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46F6CC" w14:textId="77777777" w:rsidR="00BD4A22" w:rsidRPr="00C578EB" w:rsidRDefault="00BD4A22" w:rsidP="00495F8F">
      <w:pPr>
        <w:pStyle w:val="1jb"/>
        <w:numPr>
          <w:ilvl w:val="0"/>
          <w:numId w:val="0"/>
        </w:numPr>
        <w:ind w:left="720" w:hanging="360"/>
      </w:pPr>
    </w:p>
    <w:p w14:paraId="3076BC17" w14:textId="77777777" w:rsidR="00BD4A22" w:rsidRPr="00C578EB" w:rsidRDefault="00BD4A22" w:rsidP="4B63D3D8">
      <w:pPr>
        <w:pStyle w:val="BodyText1"/>
        <w:rPr>
          <w:b/>
          <w:bCs/>
          <w:color w:val="FFFFFF" w:themeColor="background1"/>
          <w:sz w:val="64"/>
          <w:szCs w:val="64"/>
        </w:rPr>
      </w:pPr>
      <w:r w:rsidRPr="4B63D3D8">
        <w:rPr>
          <w:b/>
          <w:bCs/>
          <w:color w:val="FFFFFF" w:themeColor="background1"/>
          <w:sz w:val="96"/>
          <w:szCs w:val="96"/>
        </w:rPr>
        <w:t xml:space="preserve">National Disability Insurance Scheme </w:t>
      </w:r>
    </w:p>
    <w:p w14:paraId="561A78E0" w14:textId="77777777" w:rsidR="00BD4A22" w:rsidRPr="00C578EB" w:rsidRDefault="00BD4A22" w:rsidP="00BD4A22">
      <w:pPr>
        <w:pStyle w:val="BodyText1"/>
        <w:rPr>
          <w:b/>
          <w:color w:val="FFFFFF" w:themeColor="background1"/>
          <w:sz w:val="64"/>
          <w:szCs w:val="64"/>
        </w:rPr>
      </w:pPr>
    </w:p>
    <w:p w14:paraId="509BFDE5" w14:textId="77777777" w:rsidR="00963201" w:rsidRDefault="00354523" w:rsidP="003534B1">
      <w:pPr>
        <w:pStyle w:val="BodyText1"/>
        <w:rPr>
          <w:b/>
          <w:noProof/>
          <w:color w:val="FFFFFF" w:themeColor="background1"/>
          <w:sz w:val="64"/>
          <w:szCs w:val="64"/>
          <w:lang w:eastAsia="en-AU"/>
        </w:rPr>
      </w:pPr>
      <w:r w:rsidRPr="00C578EB">
        <w:rPr>
          <w:b/>
          <w:noProof/>
          <w:color w:val="FFFFFF" w:themeColor="background1"/>
          <w:sz w:val="64"/>
          <w:szCs w:val="64"/>
          <w:lang w:eastAsia="en-AU"/>
        </w:rPr>
        <w:drawing>
          <wp:anchor distT="0" distB="0" distL="114300" distR="114300" simplePos="0" relativeHeight="251657216" behindDoc="1" locked="0" layoutInCell="1" allowOverlap="1" wp14:anchorId="27F20190" wp14:editId="0A32B32E">
            <wp:simplePos x="0" y="0"/>
            <wp:positionH relativeFrom="page">
              <wp:posOffset>331470</wp:posOffset>
            </wp:positionH>
            <wp:positionV relativeFrom="page">
              <wp:posOffset>360045</wp:posOffset>
            </wp:positionV>
            <wp:extent cx="6839585" cy="8999855"/>
            <wp:effectExtent l="0" t="0" r="0" b="0"/>
            <wp:wrapNone/>
            <wp:docPr id="15" name="Picture 15">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r w:rsidR="00226D8F" w:rsidRPr="00C578EB">
        <w:rPr>
          <w:b/>
          <w:noProof/>
          <w:color w:val="FFFFFF" w:themeColor="background1"/>
          <w:sz w:val="64"/>
          <w:szCs w:val="64"/>
          <w:lang w:eastAsia="en-AU"/>
        </w:rPr>
        <w:t xml:space="preserve">Annual </w:t>
      </w:r>
      <w:r w:rsidR="00BD4A22" w:rsidRPr="00C578EB">
        <w:rPr>
          <w:b/>
          <w:noProof/>
          <w:color w:val="FFFFFF" w:themeColor="background1"/>
          <w:sz w:val="64"/>
          <w:szCs w:val="64"/>
          <w:lang w:eastAsia="en-AU"/>
        </w:rPr>
        <w:t>Financial Sustainability Report</w:t>
      </w:r>
      <w:r w:rsidR="00963201" w:rsidRPr="00C578EB">
        <w:rPr>
          <w:b/>
          <w:noProof/>
          <w:color w:val="FFFFFF" w:themeColor="background1"/>
          <w:sz w:val="64"/>
          <w:szCs w:val="64"/>
          <w:lang w:eastAsia="en-AU"/>
        </w:rPr>
        <w:t xml:space="preserve"> </w:t>
      </w:r>
    </w:p>
    <w:p w14:paraId="0B680FD7" w14:textId="77777777" w:rsidR="003534B1" w:rsidRDefault="003534B1" w:rsidP="003534B1">
      <w:pPr>
        <w:pStyle w:val="BodyText1"/>
        <w:rPr>
          <w:b/>
          <w:noProof/>
          <w:color w:val="FFFFFF" w:themeColor="background1"/>
          <w:sz w:val="64"/>
          <w:szCs w:val="64"/>
          <w:lang w:eastAsia="en-AU"/>
        </w:rPr>
      </w:pPr>
    </w:p>
    <w:p w14:paraId="32344FD2" w14:textId="77777777" w:rsidR="003534B1" w:rsidRPr="002D07AB" w:rsidRDefault="003534B1" w:rsidP="003534B1">
      <w:pPr>
        <w:pStyle w:val="BodyText1"/>
        <w:rPr>
          <w:b/>
          <w:smallCaps/>
          <w:noProof/>
          <w:color w:val="FFFFFF" w:themeColor="background1"/>
          <w:sz w:val="52"/>
          <w:szCs w:val="52"/>
          <w:lang w:eastAsia="en-AU"/>
        </w:rPr>
      </w:pPr>
      <w:r w:rsidRPr="002D07AB">
        <w:rPr>
          <w:b/>
          <w:smallCaps/>
          <w:noProof/>
          <w:color w:val="FFFFFF" w:themeColor="background1"/>
          <w:sz w:val="52"/>
          <w:szCs w:val="52"/>
          <w:lang w:eastAsia="en-AU"/>
        </w:rPr>
        <w:t>202</w:t>
      </w:r>
      <w:r w:rsidR="002D07AB" w:rsidRPr="002D07AB">
        <w:rPr>
          <w:b/>
          <w:smallCaps/>
          <w:noProof/>
          <w:color w:val="FFFFFF" w:themeColor="background1"/>
          <w:sz w:val="52"/>
          <w:szCs w:val="52"/>
          <w:lang w:eastAsia="en-AU"/>
        </w:rPr>
        <w:t>1</w:t>
      </w:r>
      <w:r w:rsidRPr="002D07AB">
        <w:rPr>
          <w:b/>
          <w:smallCaps/>
          <w:noProof/>
          <w:color w:val="FFFFFF" w:themeColor="background1"/>
          <w:sz w:val="52"/>
          <w:szCs w:val="52"/>
          <w:lang w:eastAsia="en-AU"/>
        </w:rPr>
        <w:t>-2</w:t>
      </w:r>
      <w:r w:rsidR="002D07AB" w:rsidRPr="002D07AB">
        <w:rPr>
          <w:b/>
          <w:smallCaps/>
          <w:noProof/>
          <w:color w:val="FFFFFF" w:themeColor="background1"/>
          <w:sz w:val="52"/>
          <w:szCs w:val="52"/>
          <w:lang w:eastAsia="en-AU"/>
        </w:rPr>
        <w:t>2</w:t>
      </w:r>
    </w:p>
    <w:p w14:paraId="1BE70548" w14:textId="77777777" w:rsidR="003534B1" w:rsidRPr="00C31FB4" w:rsidRDefault="003534B1" w:rsidP="003534B1">
      <w:pPr>
        <w:pStyle w:val="BodyText1"/>
        <w:rPr>
          <w:b/>
          <w:noProof/>
          <w:color w:val="FFFFFF" w:themeColor="background1"/>
          <w:sz w:val="52"/>
          <w:szCs w:val="52"/>
          <w:highlight w:val="yellow"/>
          <w:lang w:eastAsia="en-AU"/>
        </w:rPr>
      </w:pPr>
    </w:p>
    <w:p w14:paraId="08C25468" w14:textId="77777777" w:rsidR="00BD4A22" w:rsidRPr="00C31FB4" w:rsidRDefault="00BD4A22" w:rsidP="00BD4A22">
      <w:pPr>
        <w:rPr>
          <w:highlight w:val="yellow"/>
        </w:rPr>
      </w:pPr>
    </w:p>
    <w:p w14:paraId="222CC491" w14:textId="77777777" w:rsidR="00656E4D" w:rsidRPr="00E80354" w:rsidRDefault="00656E4D" w:rsidP="00656E4D">
      <w:pPr>
        <w:rPr>
          <w:b/>
          <w:color w:val="FFFFFF" w:themeColor="background1"/>
        </w:rPr>
      </w:pPr>
      <w:r w:rsidRPr="00E80354">
        <w:rPr>
          <w:b/>
          <w:color w:val="FFFFFF" w:themeColor="background1"/>
        </w:rPr>
        <w:t>Sarah Johnson BCom FIAA</w:t>
      </w:r>
      <w:r>
        <w:rPr>
          <w:b/>
          <w:color w:val="FFFFFF" w:themeColor="background1"/>
        </w:rPr>
        <w:tab/>
      </w:r>
      <w:r>
        <w:rPr>
          <w:b/>
          <w:color w:val="FFFFFF" w:themeColor="background1"/>
        </w:rPr>
        <w:tab/>
        <w:t xml:space="preserve">David Gifford </w:t>
      </w:r>
      <w:r w:rsidRPr="000107AE">
        <w:rPr>
          <w:b/>
          <w:color w:val="FFFFFF" w:themeColor="background1"/>
        </w:rPr>
        <w:t>BEc MBA FIAA</w:t>
      </w:r>
    </w:p>
    <w:p w14:paraId="2A7DBDA7" w14:textId="77777777" w:rsidR="00656E4D" w:rsidRDefault="00656E4D" w:rsidP="00656E4D">
      <w:pPr>
        <w:rPr>
          <w:b/>
          <w:color w:val="FFFFFF" w:themeColor="background1"/>
        </w:rPr>
      </w:pPr>
      <w:r w:rsidRPr="00E80354">
        <w:rPr>
          <w:b/>
          <w:color w:val="FFFFFF" w:themeColor="background1"/>
        </w:rPr>
        <w:t>Scheme Actuary</w:t>
      </w:r>
      <w:r>
        <w:rPr>
          <w:b/>
          <w:color w:val="FFFFFF" w:themeColor="background1"/>
        </w:rPr>
        <w:tab/>
      </w:r>
      <w:r>
        <w:rPr>
          <w:b/>
          <w:color w:val="FFFFFF" w:themeColor="background1"/>
        </w:rPr>
        <w:tab/>
      </w:r>
      <w:r>
        <w:rPr>
          <w:b/>
          <w:color w:val="FFFFFF" w:themeColor="background1"/>
        </w:rPr>
        <w:tab/>
        <w:t>Deputy Scheme Actuary</w:t>
      </w:r>
    </w:p>
    <w:p w14:paraId="34E17461" w14:textId="77777777" w:rsidR="003534B1" w:rsidRDefault="003534B1" w:rsidP="00BD4A22">
      <w:pPr>
        <w:rPr>
          <w:b/>
          <w:color w:val="FFFFFF" w:themeColor="background1"/>
        </w:rPr>
      </w:pPr>
    </w:p>
    <w:p w14:paraId="483A765E" w14:textId="77777777" w:rsidR="00BD4A22" w:rsidRPr="00C578EB" w:rsidRDefault="00BD4A22" w:rsidP="00BD4A22"/>
    <w:p w14:paraId="05DBD8C8" w14:textId="77777777" w:rsidR="00E27451" w:rsidRPr="00C578EB" w:rsidRDefault="00BD4A22">
      <w:pPr>
        <w:spacing w:after="160" w:line="259" w:lineRule="auto"/>
      </w:pPr>
      <w:r w:rsidRPr="00C578EB">
        <w:br w:type="page"/>
      </w:r>
      <w:bookmarkStart w:id="0" w:name="_Ref489526146"/>
      <w:bookmarkStart w:id="1" w:name="_Toc16268366"/>
    </w:p>
    <w:sdt>
      <w:sdtPr>
        <w:rPr>
          <w:rFonts w:ascii="Arial" w:eastAsiaTheme="minorEastAsia" w:hAnsi="Arial" w:cstheme="minorBidi"/>
          <w:b w:val="0"/>
          <w:color w:val="auto"/>
          <w:sz w:val="22"/>
          <w:szCs w:val="24"/>
          <w:lang w:eastAsia="ja-JP"/>
        </w:rPr>
        <w:id w:val="-1319571241"/>
        <w:docPartObj>
          <w:docPartGallery w:val="Table of Contents"/>
          <w:docPartUnique/>
        </w:docPartObj>
      </w:sdtPr>
      <w:sdtEndPr>
        <w:rPr>
          <w:bCs/>
          <w:noProof/>
        </w:rPr>
      </w:sdtEndPr>
      <w:sdtContent>
        <w:p w14:paraId="5E1821F5" w14:textId="77777777" w:rsidR="00E27451" w:rsidRPr="00F27EF7" w:rsidRDefault="00E27451">
          <w:pPr>
            <w:pStyle w:val="TOCHeading"/>
            <w:rPr>
              <w:rFonts w:ascii="Arial" w:hAnsi="Arial" w:cs="Arial"/>
            </w:rPr>
          </w:pPr>
          <w:r w:rsidRPr="00F27EF7">
            <w:rPr>
              <w:rFonts w:ascii="Arial" w:hAnsi="Arial" w:cs="Arial"/>
            </w:rPr>
            <w:t>Table of Contents</w:t>
          </w:r>
        </w:p>
        <w:p w14:paraId="5EDBA1C6" w14:textId="77777777" w:rsidR="00231EB3" w:rsidRDefault="00E27451">
          <w:pPr>
            <w:pStyle w:val="TOC2"/>
            <w:rPr>
              <w:rFonts w:asciiTheme="minorHAnsi" w:hAnsiTheme="minorHAnsi"/>
              <w:noProof/>
              <w:szCs w:val="22"/>
              <w:lang w:eastAsia="en-AU"/>
            </w:rPr>
          </w:pPr>
          <w:r w:rsidRPr="00C578EB">
            <w:fldChar w:fldCharType="begin"/>
          </w:r>
          <w:r w:rsidRPr="00C578EB">
            <w:instrText xml:space="preserve"> TOC \o "1-3" \h \z \u </w:instrText>
          </w:r>
          <w:r w:rsidRPr="00C578EB">
            <w:fldChar w:fldCharType="separate"/>
          </w:r>
          <w:hyperlink w:anchor="_Toc118460184" w:history="1">
            <w:r w:rsidR="00231EB3" w:rsidRPr="00234EFC">
              <w:rPr>
                <w:rStyle w:val="Hyperlink"/>
                <w:noProof/>
              </w:rPr>
              <w:t>Executive Summary</w:t>
            </w:r>
            <w:r w:rsidR="00231EB3">
              <w:rPr>
                <w:noProof/>
                <w:webHidden/>
              </w:rPr>
              <w:tab/>
            </w:r>
            <w:r w:rsidR="00231EB3">
              <w:rPr>
                <w:noProof/>
                <w:webHidden/>
              </w:rPr>
              <w:fldChar w:fldCharType="begin"/>
            </w:r>
            <w:r w:rsidR="00231EB3">
              <w:rPr>
                <w:noProof/>
                <w:webHidden/>
              </w:rPr>
              <w:instrText xml:space="preserve"> PAGEREF _Toc118460184 \h </w:instrText>
            </w:r>
            <w:r w:rsidR="00231EB3">
              <w:rPr>
                <w:noProof/>
                <w:webHidden/>
              </w:rPr>
            </w:r>
            <w:r w:rsidR="00231EB3">
              <w:rPr>
                <w:noProof/>
                <w:webHidden/>
              </w:rPr>
              <w:fldChar w:fldCharType="separate"/>
            </w:r>
            <w:r w:rsidR="00231EB3">
              <w:rPr>
                <w:noProof/>
                <w:webHidden/>
              </w:rPr>
              <w:t>4</w:t>
            </w:r>
            <w:r w:rsidR="00231EB3">
              <w:rPr>
                <w:noProof/>
                <w:webHidden/>
              </w:rPr>
              <w:fldChar w:fldCharType="end"/>
            </w:r>
          </w:hyperlink>
        </w:p>
        <w:p w14:paraId="2ADA06BE" w14:textId="77777777" w:rsidR="00231EB3" w:rsidRDefault="007F30D6">
          <w:pPr>
            <w:pStyle w:val="TOC2"/>
            <w:rPr>
              <w:rFonts w:asciiTheme="minorHAnsi" w:hAnsiTheme="minorHAnsi"/>
              <w:noProof/>
              <w:szCs w:val="22"/>
              <w:lang w:eastAsia="en-AU"/>
            </w:rPr>
          </w:pPr>
          <w:hyperlink w:anchor="_Toc118460185" w:history="1">
            <w:r w:rsidR="00231EB3" w:rsidRPr="00234EFC">
              <w:rPr>
                <w:rStyle w:val="Hyperlink"/>
                <w:noProof/>
                <w14:scene3d>
                  <w14:camera w14:prst="orthographicFront"/>
                  <w14:lightRig w14:rig="threePt" w14:dir="t">
                    <w14:rot w14:lat="0" w14:lon="0" w14:rev="0"/>
                  </w14:lightRig>
                </w14:scene3d>
              </w:rPr>
              <w:t>Section 1:</w:t>
            </w:r>
            <w:r w:rsidR="00231EB3" w:rsidRPr="00234EFC">
              <w:rPr>
                <w:rStyle w:val="Hyperlink"/>
                <w:noProof/>
              </w:rPr>
              <w:t xml:space="preserve"> Introduction</w:t>
            </w:r>
            <w:r w:rsidR="00231EB3">
              <w:rPr>
                <w:noProof/>
                <w:webHidden/>
              </w:rPr>
              <w:tab/>
            </w:r>
            <w:r w:rsidR="00231EB3">
              <w:rPr>
                <w:noProof/>
                <w:webHidden/>
              </w:rPr>
              <w:fldChar w:fldCharType="begin"/>
            </w:r>
            <w:r w:rsidR="00231EB3">
              <w:rPr>
                <w:noProof/>
                <w:webHidden/>
              </w:rPr>
              <w:instrText xml:space="preserve"> PAGEREF _Toc118460185 \h </w:instrText>
            </w:r>
            <w:r w:rsidR="00231EB3">
              <w:rPr>
                <w:noProof/>
                <w:webHidden/>
              </w:rPr>
            </w:r>
            <w:r w:rsidR="00231EB3">
              <w:rPr>
                <w:noProof/>
                <w:webHidden/>
              </w:rPr>
              <w:fldChar w:fldCharType="separate"/>
            </w:r>
            <w:r w:rsidR="00231EB3">
              <w:rPr>
                <w:noProof/>
                <w:webHidden/>
              </w:rPr>
              <w:t>26</w:t>
            </w:r>
            <w:r w:rsidR="00231EB3">
              <w:rPr>
                <w:noProof/>
                <w:webHidden/>
              </w:rPr>
              <w:fldChar w:fldCharType="end"/>
            </w:r>
          </w:hyperlink>
        </w:p>
        <w:p w14:paraId="09416A63" w14:textId="77777777" w:rsidR="00231EB3" w:rsidRDefault="007F30D6">
          <w:pPr>
            <w:pStyle w:val="TOC3"/>
            <w:rPr>
              <w:rFonts w:asciiTheme="minorHAnsi" w:hAnsiTheme="minorHAnsi"/>
              <w:noProof/>
              <w:szCs w:val="22"/>
              <w:lang w:eastAsia="en-AU"/>
            </w:rPr>
          </w:pPr>
          <w:hyperlink w:anchor="_Toc118460186" w:history="1">
            <w:r w:rsidR="00231EB3" w:rsidRPr="00234EFC">
              <w:rPr>
                <w:rStyle w:val="Hyperlink"/>
                <w:noProof/>
              </w:rPr>
              <w:t>1.1</w:t>
            </w:r>
            <w:r w:rsidR="00231EB3">
              <w:rPr>
                <w:rFonts w:asciiTheme="minorHAnsi" w:hAnsiTheme="minorHAnsi"/>
                <w:noProof/>
                <w:szCs w:val="22"/>
                <w:lang w:eastAsia="en-AU"/>
              </w:rPr>
              <w:tab/>
            </w:r>
            <w:r w:rsidR="00231EB3" w:rsidRPr="00234EFC">
              <w:rPr>
                <w:rStyle w:val="Hyperlink"/>
                <w:noProof/>
              </w:rPr>
              <w:t>Background</w:t>
            </w:r>
            <w:r w:rsidR="00231EB3">
              <w:rPr>
                <w:noProof/>
                <w:webHidden/>
              </w:rPr>
              <w:tab/>
            </w:r>
            <w:r w:rsidR="00231EB3">
              <w:rPr>
                <w:noProof/>
                <w:webHidden/>
              </w:rPr>
              <w:fldChar w:fldCharType="begin"/>
            </w:r>
            <w:r w:rsidR="00231EB3">
              <w:rPr>
                <w:noProof/>
                <w:webHidden/>
              </w:rPr>
              <w:instrText xml:space="preserve"> PAGEREF _Toc118460186 \h </w:instrText>
            </w:r>
            <w:r w:rsidR="00231EB3">
              <w:rPr>
                <w:noProof/>
                <w:webHidden/>
              </w:rPr>
            </w:r>
            <w:r w:rsidR="00231EB3">
              <w:rPr>
                <w:noProof/>
                <w:webHidden/>
              </w:rPr>
              <w:fldChar w:fldCharType="separate"/>
            </w:r>
            <w:r w:rsidR="00231EB3">
              <w:rPr>
                <w:noProof/>
                <w:webHidden/>
              </w:rPr>
              <w:t>26</w:t>
            </w:r>
            <w:r w:rsidR="00231EB3">
              <w:rPr>
                <w:noProof/>
                <w:webHidden/>
              </w:rPr>
              <w:fldChar w:fldCharType="end"/>
            </w:r>
          </w:hyperlink>
        </w:p>
        <w:p w14:paraId="2D9B16C2" w14:textId="77777777" w:rsidR="00231EB3" w:rsidRDefault="007F30D6">
          <w:pPr>
            <w:pStyle w:val="TOC3"/>
            <w:rPr>
              <w:rFonts w:asciiTheme="minorHAnsi" w:hAnsiTheme="minorHAnsi"/>
              <w:noProof/>
              <w:szCs w:val="22"/>
              <w:lang w:eastAsia="en-AU"/>
            </w:rPr>
          </w:pPr>
          <w:hyperlink w:anchor="_Toc118460187" w:history="1">
            <w:r w:rsidR="00231EB3" w:rsidRPr="00234EFC">
              <w:rPr>
                <w:rStyle w:val="Hyperlink"/>
                <w:noProof/>
              </w:rPr>
              <w:t>1.2</w:t>
            </w:r>
            <w:r w:rsidR="00231EB3">
              <w:rPr>
                <w:rFonts w:asciiTheme="minorHAnsi" w:hAnsiTheme="minorHAnsi"/>
                <w:noProof/>
                <w:szCs w:val="22"/>
                <w:lang w:eastAsia="en-AU"/>
              </w:rPr>
              <w:tab/>
            </w:r>
            <w:r w:rsidR="00231EB3" w:rsidRPr="00234EFC">
              <w:rPr>
                <w:rStyle w:val="Hyperlink"/>
                <w:noProof/>
              </w:rPr>
              <w:t>Financial sustainability of the NDIS</w:t>
            </w:r>
            <w:r w:rsidR="00231EB3">
              <w:rPr>
                <w:noProof/>
                <w:webHidden/>
              </w:rPr>
              <w:tab/>
            </w:r>
            <w:r w:rsidR="00231EB3">
              <w:rPr>
                <w:noProof/>
                <w:webHidden/>
              </w:rPr>
              <w:fldChar w:fldCharType="begin"/>
            </w:r>
            <w:r w:rsidR="00231EB3">
              <w:rPr>
                <w:noProof/>
                <w:webHidden/>
              </w:rPr>
              <w:instrText xml:space="preserve"> PAGEREF _Toc118460187 \h </w:instrText>
            </w:r>
            <w:r w:rsidR="00231EB3">
              <w:rPr>
                <w:noProof/>
                <w:webHidden/>
              </w:rPr>
            </w:r>
            <w:r w:rsidR="00231EB3">
              <w:rPr>
                <w:noProof/>
                <w:webHidden/>
              </w:rPr>
              <w:fldChar w:fldCharType="separate"/>
            </w:r>
            <w:r w:rsidR="00231EB3">
              <w:rPr>
                <w:noProof/>
                <w:webHidden/>
              </w:rPr>
              <w:t>27</w:t>
            </w:r>
            <w:r w:rsidR="00231EB3">
              <w:rPr>
                <w:noProof/>
                <w:webHidden/>
              </w:rPr>
              <w:fldChar w:fldCharType="end"/>
            </w:r>
          </w:hyperlink>
        </w:p>
        <w:p w14:paraId="31C4CC32" w14:textId="77777777" w:rsidR="00231EB3" w:rsidRDefault="007F30D6">
          <w:pPr>
            <w:pStyle w:val="TOC3"/>
            <w:rPr>
              <w:rFonts w:asciiTheme="minorHAnsi" w:hAnsiTheme="minorHAnsi"/>
              <w:noProof/>
              <w:szCs w:val="22"/>
              <w:lang w:eastAsia="en-AU"/>
            </w:rPr>
          </w:pPr>
          <w:hyperlink w:anchor="_Toc118460188" w:history="1">
            <w:r w:rsidR="00231EB3" w:rsidRPr="00234EFC">
              <w:rPr>
                <w:rStyle w:val="Hyperlink"/>
                <w:noProof/>
              </w:rPr>
              <w:t>1.3</w:t>
            </w:r>
            <w:r w:rsidR="00231EB3">
              <w:rPr>
                <w:rFonts w:asciiTheme="minorHAnsi" w:hAnsiTheme="minorHAnsi"/>
                <w:noProof/>
                <w:szCs w:val="22"/>
                <w:lang w:eastAsia="en-AU"/>
              </w:rPr>
              <w:tab/>
            </w:r>
            <w:r w:rsidR="00231EB3" w:rsidRPr="00234EFC">
              <w:rPr>
                <w:rStyle w:val="Hyperlink"/>
                <w:noProof/>
              </w:rPr>
              <w:t>Reliance and limitations</w:t>
            </w:r>
            <w:r w:rsidR="00231EB3">
              <w:rPr>
                <w:noProof/>
                <w:webHidden/>
              </w:rPr>
              <w:tab/>
            </w:r>
            <w:r w:rsidR="00231EB3">
              <w:rPr>
                <w:noProof/>
                <w:webHidden/>
              </w:rPr>
              <w:fldChar w:fldCharType="begin"/>
            </w:r>
            <w:r w:rsidR="00231EB3">
              <w:rPr>
                <w:noProof/>
                <w:webHidden/>
              </w:rPr>
              <w:instrText xml:space="preserve"> PAGEREF _Toc118460188 \h </w:instrText>
            </w:r>
            <w:r w:rsidR="00231EB3">
              <w:rPr>
                <w:noProof/>
                <w:webHidden/>
              </w:rPr>
            </w:r>
            <w:r w:rsidR="00231EB3">
              <w:rPr>
                <w:noProof/>
                <w:webHidden/>
              </w:rPr>
              <w:fldChar w:fldCharType="separate"/>
            </w:r>
            <w:r w:rsidR="00231EB3">
              <w:rPr>
                <w:noProof/>
                <w:webHidden/>
              </w:rPr>
              <w:t>28</w:t>
            </w:r>
            <w:r w:rsidR="00231EB3">
              <w:rPr>
                <w:noProof/>
                <w:webHidden/>
              </w:rPr>
              <w:fldChar w:fldCharType="end"/>
            </w:r>
          </w:hyperlink>
        </w:p>
        <w:p w14:paraId="65DA6B16" w14:textId="77777777" w:rsidR="00231EB3" w:rsidRDefault="007F30D6">
          <w:pPr>
            <w:pStyle w:val="TOC2"/>
            <w:rPr>
              <w:rFonts w:asciiTheme="minorHAnsi" w:hAnsiTheme="minorHAnsi"/>
              <w:noProof/>
              <w:szCs w:val="22"/>
              <w:lang w:eastAsia="en-AU"/>
            </w:rPr>
          </w:pPr>
          <w:hyperlink w:anchor="_Toc118460189" w:history="1">
            <w:r w:rsidR="00231EB3" w:rsidRPr="00234EFC">
              <w:rPr>
                <w:rStyle w:val="Hyperlink"/>
                <w:noProof/>
                <w14:scene3d>
                  <w14:camera w14:prst="orthographicFront"/>
                  <w14:lightRig w14:rig="threePt" w14:dir="t">
                    <w14:rot w14:lat="0" w14:lon="0" w14:rev="0"/>
                  </w14:lightRig>
                </w14:scene3d>
              </w:rPr>
              <w:t>Section 2:</w:t>
            </w:r>
            <w:r w:rsidR="00231EB3" w:rsidRPr="00234EFC">
              <w:rPr>
                <w:rStyle w:val="Hyperlink"/>
                <w:noProof/>
              </w:rPr>
              <w:t xml:space="preserve"> Information and data integrity</w:t>
            </w:r>
            <w:r w:rsidR="00231EB3">
              <w:rPr>
                <w:noProof/>
                <w:webHidden/>
              </w:rPr>
              <w:tab/>
            </w:r>
            <w:r w:rsidR="00231EB3">
              <w:rPr>
                <w:noProof/>
                <w:webHidden/>
              </w:rPr>
              <w:fldChar w:fldCharType="begin"/>
            </w:r>
            <w:r w:rsidR="00231EB3">
              <w:rPr>
                <w:noProof/>
                <w:webHidden/>
              </w:rPr>
              <w:instrText xml:space="preserve"> PAGEREF _Toc118460189 \h </w:instrText>
            </w:r>
            <w:r w:rsidR="00231EB3">
              <w:rPr>
                <w:noProof/>
                <w:webHidden/>
              </w:rPr>
            </w:r>
            <w:r w:rsidR="00231EB3">
              <w:rPr>
                <w:noProof/>
                <w:webHidden/>
              </w:rPr>
              <w:fldChar w:fldCharType="separate"/>
            </w:r>
            <w:r w:rsidR="00231EB3">
              <w:rPr>
                <w:noProof/>
                <w:webHidden/>
              </w:rPr>
              <w:t>29</w:t>
            </w:r>
            <w:r w:rsidR="00231EB3">
              <w:rPr>
                <w:noProof/>
                <w:webHidden/>
              </w:rPr>
              <w:fldChar w:fldCharType="end"/>
            </w:r>
          </w:hyperlink>
        </w:p>
        <w:p w14:paraId="074B0B6E" w14:textId="77777777" w:rsidR="00231EB3" w:rsidRDefault="007F30D6">
          <w:pPr>
            <w:pStyle w:val="TOC2"/>
            <w:rPr>
              <w:rFonts w:asciiTheme="minorHAnsi" w:hAnsiTheme="minorHAnsi"/>
              <w:noProof/>
              <w:szCs w:val="22"/>
              <w:lang w:eastAsia="en-AU"/>
            </w:rPr>
          </w:pPr>
          <w:hyperlink w:anchor="_Toc118460190" w:history="1">
            <w:r w:rsidR="00231EB3" w:rsidRPr="00234EFC">
              <w:rPr>
                <w:rStyle w:val="Hyperlink"/>
                <w:noProof/>
                <w14:scene3d>
                  <w14:camera w14:prst="orthographicFront"/>
                  <w14:lightRig w14:rig="threePt" w14:dir="t">
                    <w14:rot w14:lat="0" w14:lon="0" w14:rev="0"/>
                  </w14:lightRig>
                </w14:scene3d>
              </w:rPr>
              <w:t>Section 3:</w:t>
            </w:r>
            <w:r w:rsidR="00231EB3" w:rsidRPr="00234EFC">
              <w:rPr>
                <w:rStyle w:val="Hyperlink"/>
                <w:noProof/>
              </w:rPr>
              <w:t xml:space="preserve"> Modelling approach</w:t>
            </w:r>
            <w:r w:rsidR="00231EB3">
              <w:rPr>
                <w:noProof/>
                <w:webHidden/>
              </w:rPr>
              <w:tab/>
            </w:r>
            <w:r w:rsidR="00231EB3">
              <w:rPr>
                <w:noProof/>
                <w:webHidden/>
              </w:rPr>
              <w:fldChar w:fldCharType="begin"/>
            </w:r>
            <w:r w:rsidR="00231EB3">
              <w:rPr>
                <w:noProof/>
                <w:webHidden/>
              </w:rPr>
              <w:instrText xml:space="preserve"> PAGEREF _Toc118460190 \h </w:instrText>
            </w:r>
            <w:r w:rsidR="00231EB3">
              <w:rPr>
                <w:noProof/>
                <w:webHidden/>
              </w:rPr>
            </w:r>
            <w:r w:rsidR="00231EB3">
              <w:rPr>
                <w:noProof/>
                <w:webHidden/>
              </w:rPr>
              <w:fldChar w:fldCharType="separate"/>
            </w:r>
            <w:r w:rsidR="00231EB3">
              <w:rPr>
                <w:noProof/>
                <w:webHidden/>
              </w:rPr>
              <w:t>31</w:t>
            </w:r>
            <w:r w:rsidR="00231EB3">
              <w:rPr>
                <w:noProof/>
                <w:webHidden/>
              </w:rPr>
              <w:fldChar w:fldCharType="end"/>
            </w:r>
          </w:hyperlink>
        </w:p>
        <w:p w14:paraId="650225AB" w14:textId="77777777" w:rsidR="00231EB3" w:rsidRDefault="007F30D6">
          <w:pPr>
            <w:pStyle w:val="TOC2"/>
            <w:rPr>
              <w:rFonts w:asciiTheme="minorHAnsi" w:hAnsiTheme="minorHAnsi"/>
              <w:noProof/>
              <w:szCs w:val="22"/>
              <w:lang w:eastAsia="en-AU"/>
            </w:rPr>
          </w:pPr>
          <w:hyperlink w:anchor="_Toc118460191" w:history="1">
            <w:r w:rsidR="00231EB3" w:rsidRPr="00234EFC">
              <w:rPr>
                <w:rStyle w:val="Hyperlink"/>
                <w:noProof/>
                <w14:scene3d>
                  <w14:camera w14:prst="orthographicFront"/>
                  <w14:lightRig w14:rig="threePt" w14:dir="t">
                    <w14:rot w14:lat="0" w14:lon="0" w14:rev="0"/>
                  </w14:lightRig>
                </w14:scene3d>
              </w:rPr>
              <w:t>Section 4:</w:t>
            </w:r>
            <w:r w:rsidR="00231EB3" w:rsidRPr="00234EFC">
              <w:rPr>
                <w:rStyle w:val="Hyperlink"/>
                <w:noProof/>
              </w:rPr>
              <w:t xml:space="preserve"> Scheme experience</w:t>
            </w:r>
            <w:r w:rsidR="00231EB3">
              <w:rPr>
                <w:noProof/>
                <w:webHidden/>
              </w:rPr>
              <w:tab/>
            </w:r>
            <w:r w:rsidR="00231EB3">
              <w:rPr>
                <w:noProof/>
                <w:webHidden/>
              </w:rPr>
              <w:fldChar w:fldCharType="begin"/>
            </w:r>
            <w:r w:rsidR="00231EB3">
              <w:rPr>
                <w:noProof/>
                <w:webHidden/>
              </w:rPr>
              <w:instrText xml:space="preserve"> PAGEREF _Toc118460191 \h </w:instrText>
            </w:r>
            <w:r w:rsidR="00231EB3">
              <w:rPr>
                <w:noProof/>
                <w:webHidden/>
              </w:rPr>
            </w:r>
            <w:r w:rsidR="00231EB3">
              <w:rPr>
                <w:noProof/>
                <w:webHidden/>
              </w:rPr>
              <w:fldChar w:fldCharType="separate"/>
            </w:r>
            <w:r w:rsidR="00231EB3">
              <w:rPr>
                <w:noProof/>
                <w:webHidden/>
              </w:rPr>
              <w:t>36</w:t>
            </w:r>
            <w:r w:rsidR="00231EB3">
              <w:rPr>
                <w:noProof/>
                <w:webHidden/>
              </w:rPr>
              <w:fldChar w:fldCharType="end"/>
            </w:r>
          </w:hyperlink>
        </w:p>
        <w:p w14:paraId="1E6BFF7E" w14:textId="77777777" w:rsidR="00231EB3" w:rsidRDefault="007F30D6">
          <w:pPr>
            <w:pStyle w:val="TOC3"/>
            <w:rPr>
              <w:rFonts w:asciiTheme="minorHAnsi" w:hAnsiTheme="minorHAnsi"/>
              <w:noProof/>
              <w:szCs w:val="22"/>
              <w:lang w:eastAsia="en-AU"/>
            </w:rPr>
          </w:pPr>
          <w:hyperlink w:anchor="_Toc118460192" w:history="1">
            <w:r w:rsidR="00231EB3" w:rsidRPr="00234EFC">
              <w:rPr>
                <w:rStyle w:val="Hyperlink"/>
                <w:noProof/>
              </w:rPr>
              <w:t>4.1</w:t>
            </w:r>
            <w:r w:rsidR="00231EB3">
              <w:rPr>
                <w:rFonts w:asciiTheme="minorHAnsi" w:hAnsiTheme="minorHAnsi"/>
                <w:noProof/>
                <w:szCs w:val="22"/>
                <w:lang w:eastAsia="en-AU"/>
              </w:rPr>
              <w:tab/>
            </w:r>
            <w:r w:rsidR="00231EB3" w:rsidRPr="00234EFC">
              <w:rPr>
                <w:rStyle w:val="Hyperlink"/>
                <w:noProof/>
              </w:rPr>
              <w:t>Participant numbers</w:t>
            </w:r>
            <w:r w:rsidR="00231EB3">
              <w:rPr>
                <w:noProof/>
                <w:webHidden/>
              </w:rPr>
              <w:tab/>
            </w:r>
            <w:r w:rsidR="00231EB3">
              <w:rPr>
                <w:noProof/>
                <w:webHidden/>
              </w:rPr>
              <w:fldChar w:fldCharType="begin"/>
            </w:r>
            <w:r w:rsidR="00231EB3">
              <w:rPr>
                <w:noProof/>
                <w:webHidden/>
              </w:rPr>
              <w:instrText xml:space="preserve"> PAGEREF _Toc118460192 \h </w:instrText>
            </w:r>
            <w:r w:rsidR="00231EB3">
              <w:rPr>
                <w:noProof/>
                <w:webHidden/>
              </w:rPr>
            </w:r>
            <w:r w:rsidR="00231EB3">
              <w:rPr>
                <w:noProof/>
                <w:webHidden/>
              </w:rPr>
              <w:fldChar w:fldCharType="separate"/>
            </w:r>
            <w:r w:rsidR="00231EB3">
              <w:rPr>
                <w:noProof/>
                <w:webHidden/>
              </w:rPr>
              <w:t>36</w:t>
            </w:r>
            <w:r w:rsidR="00231EB3">
              <w:rPr>
                <w:noProof/>
                <w:webHidden/>
              </w:rPr>
              <w:fldChar w:fldCharType="end"/>
            </w:r>
          </w:hyperlink>
        </w:p>
        <w:p w14:paraId="30354D9B" w14:textId="77777777" w:rsidR="00231EB3" w:rsidRDefault="007F30D6">
          <w:pPr>
            <w:pStyle w:val="TOC3"/>
            <w:rPr>
              <w:rFonts w:asciiTheme="minorHAnsi" w:hAnsiTheme="minorHAnsi"/>
              <w:noProof/>
              <w:szCs w:val="22"/>
              <w:lang w:eastAsia="en-AU"/>
            </w:rPr>
          </w:pPr>
          <w:hyperlink w:anchor="_Toc118460193" w:history="1">
            <w:r w:rsidR="00231EB3" w:rsidRPr="00234EFC">
              <w:rPr>
                <w:rStyle w:val="Hyperlink"/>
                <w:noProof/>
              </w:rPr>
              <w:t>4.2</w:t>
            </w:r>
            <w:r w:rsidR="00231EB3">
              <w:rPr>
                <w:rFonts w:asciiTheme="minorHAnsi" w:hAnsiTheme="minorHAnsi"/>
                <w:noProof/>
                <w:szCs w:val="22"/>
                <w:lang w:eastAsia="en-AU"/>
              </w:rPr>
              <w:tab/>
            </w:r>
            <w:r w:rsidR="00231EB3" w:rsidRPr="00234EFC">
              <w:rPr>
                <w:rStyle w:val="Hyperlink"/>
                <w:noProof/>
              </w:rPr>
              <w:t>Actual versus expected participant numbers</w:t>
            </w:r>
            <w:r w:rsidR="00231EB3">
              <w:rPr>
                <w:noProof/>
                <w:webHidden/>
              </w:rPr>
              <w:tab/>
            </w:r>
            <w:r w:rsidR="00231EB3">
              <w:rPr>
                <w:noProof/>
                <w:webHidden/>
              </w:rPr>
              <w:fldChar w:fldCharType="begin"/>
            </w:r>
            <w:r w:rsidR="00231EB3">
              <w:rPr>
                <w:noProof/>
                <w:webHidden/>
              </w:rPr>
              <w:instrText xml:space="preserve"> PAGEREF _Toc118460193 \h </w:instrText>
            </w:r>
            <w:r w:rsidR="00231EB3">
              <w:rPr>
                <w:noProof/>
                <w:webHidden/>
              </w:rPr>
            </w:r>
            <w:r w:rsidR="00231EB3">
              <w:rPr>
                <w:noProof/>
                <w:webHidden/>
              </w:rPr>
              <w:fldChar w:fldCharType="separate"/>
            </w:r>
            <w:r w:rsidR="00231EB3">
              <w:rPr>
                <w:noProof/>
                <w:webHidden/>
              </w:rPr>
              <w:t>36</w:t>
            </w:r>
            <w:r w:rsidR="00231EB3">
              <w:rPr>
                <w:noProof/>
                <w:webHidden/>
              </w:rPr>
              <w:fldChar w:fldCharType="end"/>
            </w:r>
          </w:hyperlink>
        </w:p>
        <w:p w14:paraId="07EEFC11" w14:textId="77777777" w:rsidR="00231EB3" w:rsidRDefault="007F30D6">
          <w:pPr>
            <w:pStyle w:val="TOC3"/>
            <w:rPr>
              <w:rFonts w:asciiTheme="minorHAnsi" w:hAnsiTheme="minorHAnsi"/>
              <w:noProof/>
              <w:szCs w:val="22"/>
              <w:lang w:eastAsia="en-AU"/>
            </w:rPr>
          </w:pPr>
          <w:hyperlink w:anchor="_Toc118460194" w:history="1">
            <w:r w:rsidR="00231EB3" w:rsidRPr="00234EFC">
              <w:rPr>
                <w:rStyle w:val="Hyperlink"/>
                <w:noProof/>
              </w:rPr>
              <w:t>4.3</w:t>
            </w:r>
            <w:r w:rsidR="00231EB3">
              <w:rPr>
                <w:rFonts w:asciiTheme="minorHAnsi" w:hAnsiTheme="minorHAnsi"/>
                <w:noProof/>
                <w:szCs w:val="22"/>
                <w:lang w:eastAsia="en-AU"/>
              </w:rPr>
              <w:tab/>
            </w:r>
            <w:r w:rsidR="00231EB3" w:rsidRPr="00234EFC">
              <w:rPr>
                <w:rStyle w:val="Hyperlink"/>
                <w:noProof/>
              </w:rPr>
              <w:t>Total Scheme expense</w:t>
            </w:r>
            <w:r w:rsidR="00231EB3">
              <w:rPr>
                <w:noProof/>
                <w:webHidden/>
              </w:rPr>
              <w:tab/>
            </w:r>
            <w:r w:rsidR="00231EB3">
              <w:rPr>
                <w:noProof/>
                <w:webHidden/>
              </w:rPr>
              <w:fldChar w:fldCharType="begin"/>
            </w:r>
            <w:r w:rsidR="00231EB3">
              <w:rPr>
                <w:noProof/>
                <w:webHidden/>
              </w:rPr>
              <w:instrText xml:space="preserve"> PAGEREF _Toc118460194 \h </w:instrText>
            </w:r>
            <w:r w:rsidR="00231EB3">
              <w:rPr>
                <w:noProof/>
                <w:webHidden/>
              </w:rPr>
            </w:r>
            <w:r w:rsidR="00231EB3">
              <w:rPr>
                <w:noProof/>
                <w:webHidden/>
              </w:rPr>
              <w:fldChar w:fldCharType="separate"/>
            </w:r>
            <w:r w:rsidR="00231EB3">
              <w:rPr>
                <w:noProof/>
                <w:webHidden/>
              </w:rPr>
              <w:t>47</w:t>
            </w:r>
            <w:r w:rsidR="00231EB3">
              <w:rPr>
                <w:noProof/>
                <w:webHidden/>
              </w:rPr>
              <w:fldChar w:fldCharType="end"/>
            </w:r>
          </w:hyperlink>
        </w:p>
        <w:p w14:paraId="7648D9F6" w14:textId="77777777" w:rsidR="00231EB3" w:rsidRDefault="007F30D6">
          <w:pPr>
            <w:pStyle w:val="TOC3"/>
            <w:rPr>
              <w:rFonts w:asciiTheme="minorHAnsi" w:hAnsiTheme="minorHAnsi"/>
              <w:noProof/>
              <w:szCs w:val="22"/>
              <w:lang w:eastAsia="en-AU"/>
            </w:rPr>
          </w:pPr>
          <w:hyperlink w:anchor="_Toc118460195" w:history="1">
            <w:r w:rsidR="00231EB3" w:rsidRPr="00234EFC">
              <w:rPr>
                <w:rStyle w:val="Hyperlink"/>
                <w:noProof/>
              </w:rPr>
              <w:t>4.4</w:t>
            </w:r>
            <w:r w:rsidR="00231EB3">
              <w:rPr>
                <w:rFonts w:asciiTheme="minorHAnsi" w:hAnsiTheme="minorHAnsi"/>
                <w:noProof/>
                <w:szCs w:val="22"/>
                <w:lang w:eastAsia="en-AU"/>
              </w:rPr>
              <w:tab/>
            </w:r>
            <w:r w:rsidR="00231EB3" w:rsidRPr="00234EFC">
              <w:rPr>
                <w:rStyle w:val="Hyperlink"/>
                <w:noProof/>
              </w:rPr>
              <w:t>Average payments per participant</w:t>
            </w:r>
            <w:r w:rsidR="00231EB3">
              <w:rPr>
                <w:noProof/>
                <w:webHidden/>
              </w:rPr>
              <w:tab/>
            </w:r>
            <w:r w:rsidR="00231EB3">
              <w:rPr>
                <w:noProof/>
                <w:webHidden/>
              </w:rPr>
              <w:fldChar w:fldCharType="begin"/>
            </w:r>
            <w:r w:rsidR="00231EB3">
              <w:rPr>
                <w:noProof/>
                <w:webHidden/>
              </w:rPr>
              <w:instrText xml:space="preserve"> PAGEREF _Toc118460195 \h </w:instrText>
            </w:r>
            <w:r w:rsidR="00231EB3">
              <w:rPr>
                <w:noProof/>
                <w:webHidden/>
              </w:rPr>
            </w:r>
            <w:r w:rsidR="00231EB3">
              <w:rPr>
                <w:noProof/>
                <w:webHidden/>
              </w:rPr>
              <w:fldChar w:fldCharType="separate"/>
            </w:r>
            <w:r w:rsidR="00231EB3">
              <w:rPr>
                <w:noProof/>
                <w:webHidden/>
              </w:rPr>
              <w:t>52</w:t>
            </w:r>
            <w:r w:rsidR="00231EB3">
              <w:rPr>
                <w:noProof/>
                <w:webHidden/>
              </w:rPr>
              <w:fldChar w:fldCharType="end"/>
            </w:r>
          </w:hyperlink>
        </w:p>
        <w:p w14:paraId="63DE9EA3" w14:textId="77777777" w:rsidR="00231EB3" w:rsidRDefault="007F30D6">
          <w:pPr>
            <w:pStyle w:val="TOC3"/>
            <w:rPr>
              <w:rFonts w:asciiTheme="minorHAnsi" w:hAnsiTheme="minorHAnsi"/>
              <w:noProof/>
              <w:szCs w:val="22"/>
              <w:lang w:eastAsia="en-AU"/>
            </w:rPr>
          </w:pPr>
          <w:hyperlink w:anchor="_Toc118460196" w:history="1">
            <w:r w:rsidR="00231EB3" w:rsidRPr="00234EFC">
              <w:rPr>
                <w:rStyle w:val="Hyperlink"/>
                <w:noProof/>
              </w:rPr>
              <w:t>4.5</w:t>
            </w:r>
            <w:r w:rsidR="00231EB3">
              <w:rPr>
                <w:rFonts w:asciiTheme="minorHAnsi" w:hAnsiTheme="minorHAnsi"/>
                <w:noProof/>
                <w:szCs w:val="22"/>
                <w:lang w:eastAsia="en-AU"/>
              </w:rPr>
              <w:tab/>
            </w:r>
            <w:r w:rsidR="00231EB3" w:rsidRPr="00234EFC">
              <w:rPr>
                <w:rStyle w:val="Hyperlink"/>
                <w:noProof/>
              </w:rPr>
              <w:t>Scheme payment inflation experience</w:t>
            </w:r>
            <w:r w:rsidR="00231EB3">
              <w:rPr>
                <w:noProof/>
                <w:webHidden/>
              </w:rPr>
              <w:tab/>
            </w:r>
            <w:r w:rsidR="00231EB3">
              <w:rPr>
                <w:noProof/>
                <w:webHidden/>
              </w:rPr>
              <w:fldChar w:fldCharType="begin"/>
            </w:r>
            <w:r w:rsidR="00231EB3">
              <w:rPr>
                <w:noProof/>
                <w:webHidden/>
              </w:rPr>
              <w:instrText xml:space="preserve"> PAGEREF _Toc118460196 \h </w:instrText>
            </w:r>
            <w:r w:rsidR="00231EB3">
              <w:rPr>
                <w:noProof/>
                <w:webHidden/>
              </w:rPr>
            </w:r>
            <w:r w:rsidR="00231EB3">
              <w:rPr>
                <w:noProof/>
                <w:webHidden/>
              </w:rPr>
              <w:fldChar w:fldCharType="separate"/>
            </w:r>
            <w:r w:rsidR="00231EB3">
              <w:rPr>
                <w:noProof/>
                <w:webHidden/>
              </w:rPr>
              <w:t>56</w:t>
            </w:r>
            <w:r w:rsidR="00231EB3">
              <w:rPr>
                <w:noProof/>
                <w:webHidden/>
              </w:rPr>
              <w:fldChar w:fldCharType="end"/>
            </w:r>
          </w:hyperlink>
        </w:p>
        <w:p w14:paraId="6E78BF2F" w14:textId="77777777" w:rsidR="00231EB3" w:rsidRDefault="007F30D6">
          <w:pPr>
            <w:pStyle w:val="TOC3"/>
            <w:rPr>
              <w:rFonts w:asciiTheme="minorHAnsi" w:hAnsiTheme="minorHAnsi"/>
              <w:noProof/>
              <w:szCs w:val="22"/>
              <w:lang w:eastAsia="en-AU"/>
            </w:rPr>
          </w:pPr>
          <w:hyperlink w:anchor="_Toc118460197" w:history="1">
            <w:r w:rsidR="00231EB3" w:rsidRPr="00234EFC">
              <w:rPr>
                <w:rStyle w:val="Hyperlink"/>
                <w:noProof/>
              </w:rPr>
              <w:t>4.6</w:t>
            </w:r>
            <w:r w:rsidR="00231EB3">
              <w:rPr>
                <w:rFonts w:asciiTheme="minorHAnsi" w:hAnsiTheme="minorHAnsi"/>
                <w:noProof/>
                <w:szCs w:val="22"/>
                <w:lang w:eastAsia="en-AU"/>
              </w:rPr>
              <w:tab/>
            </w:r>
            <w:r w:rsidR="00231EB3" w:rsidRPr="00234EFC">
              <w:rPr>
                <w:rStyle w:val="Hyperlink"/>
                <w:noProof/>
              </w:rPr>
              <w:t>Plan budgets</w:t>
            </w:r>
            <w:r w:rsidR="00231EB3">
              <w:rPr>
                <w:noProof/>
                <w:webHidden/>
              </w:rPr>
              <w:tab/>
            </w:r>
            <w:r w:rsidR="00231EB3">
              <w:rPr>
                <w:noProof/>
                <w:webHidden/>
              </w:rPr>
              <w:fldChar w:fldCharType="begin"/>
            </w:r>
            <w:r w:rsidR="00231EB3">
              <w:rPr>
                <w:noProof/>
                <w:webHidden/>
              </w:rPr>
              <w:instrText xml:space="preserve"> PAGEREF _Toc118460197 \h </w:instrText>
            </w:r>
            <w:r w:rsidR="00231EB3">
              <w:rPr>
                <w:noProof/>
                <w:webHidden/>
              </w:rPr>
            </w:r>
            <w:r w:rsidR="00231EB3">
              <w:rPr>
                <w:noProof/>
                <w:webHidden/>
              </w:rPr>
              <w:fldChar w:fldCharType="separate"/>
            </w:r>
            <w:r w:rsidR="00231EB3">
              <w:rPr>
                <w:noProof/>
                <w:webHidden/>
              </w:rPr>
              <w:t>59</w:t>
            </w:r>
            <w:r w:rsidR="00231EB3">
              <w:rPr>
                <w:noProof/>
                <w:webHidden/>
              </w:rPr>
              <w:fldChar w:fldCharType="end"/>
            </w:r>
          </w:hyperlink>
        </w:p>
        <w:p w14:paraId="294B6476" w14:textId="77777777" w:rsidR="00231EB3" w:rsidRDefault="007F30D6">
          <w:pPr>
            <w:pStyle w:val="TOC3"/>
            <w:rPr>
              <w:rFonts w:asciiTheme="minorHAnsi" w:hAnsiTheme="minorHAnsi"/>
              <w:noProof/>
              <w:szCs w:val="22"/>
              <w:lang w:eastAsia="en-AU"/>
            </w:rPr>
          </w:pPr>
          <w:hyperlink w:anchor="_Toc118460198" w:history="1">
            <w:r w:rsidR="00231EB3" w:rsidRPr="00234EFC">
              <w:rPr>
                <w:rStyle w:val="Hyperlink"/>
                <w:noProof/>
              </w:rPr>
              <w:t>4.7</w:t>
            </w:r>
            <w:r w:rsidR="00231EB3">
              <w:rPr>
                <w:rFonts w:asciiTheme="minorHAnsi" w:hAnsiTheme="minorHAnsi"/>
                <w:noProof/>
                <w:szCs w:val="22"/>
                <w:lang w:eastAsia="en-AU"/>
              </w:rPr>
              <w:tab/>
            </w:r>
            <w:r w:rsidR="00231EB3" w:rsidRPr="00234EFC">
              <w:rPr>
                <w:rStyle w:val="Hyperlink"/>
                <w:noProof/>
              </w:rPr>
              <w:t>Utilisation</w:t>
            </w:r>
            <w:r w:rsidR="00231EB3">
              <w:rPr>
                <w:noProof/>
                <w:webHidden/>
              </w:rPr>
              <w:tab/>
            </w:r>
            <w:r w:rsidR="00231EB3">
              <w:rPr>
                <w:noProof/>
                <w:webHidden/>
              </w:rPr>
              <w:fldChar w:fldCharType="begin"/>
            </w:r>
            <w:r w:rsidR="00231EB3">
              <w:rPr>
                <w:noProof/>
                <w:webHidden/>
              </w:rPr>
              <w:instrText xml:space="preserve"> PAGEREF _Toc118460198 \h </w:instrText>
            </w:r>
            <w:r w:rsidR="00231EB3">
              <w:rPr>
                <w:noProof/>
                <w:webHidden/>
              </w:rPr>
            </w:r>
            <w:r w:rsidR="00231EB3">
              <w:rPr>
                <w:noProof/>
                <w:webHidden/>
              </w:rPr>
              <w:fldChar w:fldCharType="separate"/>
            </w:r>
            <w:r w:rsidR="00231EB3">
              <w:rPr>
                <w:noProof/>
                <w:webHidden/>
              </w:rPr>
              <w:t>66</w:t>
            </w:r>
            <w:r w:rsidR="00231EB3">
              <w:rPr>
                <w:noProof/>
                <w:webHidden/>
              </w:rPr>
              <w:fldChar w:fldCharType="end"/>
            </w:r>
          </w:hyperlink>
        </w:p>
        <w:p w14:paraId="4C59DC68" w14:textId="77777777" w:rsidR="00231EB3" w:rsidRDefault="007F30D6">
          <w:pPr>
            <w:pStyle w:val="TOC2"/>
            <w:rPr>
              <w:rFonts w:asciiTheme="minorHAnsi" w:hAnsiTheme="minorHAnsi"/>
              <w:noProof/>
              <w:szCs w:val="22"/>
              <w:lang w:eastAsia="en-AU"/>
            </w:rPr>
          </w:pPr>
          <w:hyperlink w:anchor="_Toc118460199" w:history="1">
            <w:r w:rsidR="00231EB3" w:rsidRPr="00234EFC">
              <w:rPr>
                <w:rStyle w:val="Hyperlink"/>
                <w:noProof/>
                <w14:scene3d>
                  <w14:camera w14:prst="orthographicFront"/>
                  <w14:lightRig w14:rig="threePt" w14:dir="t">
                    <w14:rot w14:lat="0" w14:lon="0" w14:rev="0"/>
                  </w14:lightRig>
                </w14:scene3d>
              </w:rPr>
              <w:t>Section 5:</w:t>
            </w:r>
            <w:r w:rsidR="00231EB3" w:rsidRPr="00234EFC">
              <w:rPr>
                <w:rStyle w:val="Hyperlink"/>
                <w:noProof/>
              </w:rPr>
              <w:t xml:space="preserve"> Projections</w:t>
            </w:r>
            <w:r w:rsidR="00231EB3">
              <w:rPr>
                <w:noProof/>
                <w:webHidden/>
              </w:rPr>
              <w:tab/>
            </w:r>
            <w:r w:rsidR="00231EB3">
              <w:rPr>
                <w:noProof/>
                <w:webHidden/>
              </w:rPr>
              <w:fldChar w:fldCharType="begin"/>
            </w:r>
            <w:r w:rsidR="00231EB3">
              <w:rPr>
                <w:noProof/>
                <w:webHidden/>
              </w:rPr>
              <w:instrText xml:space="preserve"> PAGEREF _Toc118460199 \h </w:instrText>
            </w:r>
            <w:r w:rsidR="00231EB3">
              <w:rPr>
                <w:noProof/>
                <w:webHidden/>
              </w:rPr>
            </w:r>
            <w:r w:rsidR="00231EB3">
              <w:rPr>
                <w:noProof/>
                <w:webHidden/>
              </w:rPr>
              <w:fldChar w:fldCharType="separate"/>
            </w:r>
            <w:r w:rsidR="00231EB3">
              <w:rPr>
                <w:noProof/>
                <w:webHidden/>
              </w:rPr>
              <w:t>69</w:t>
            </w:r>
            <w:r w:rsidR="00231EB3">
              <w:rPr>
                <w:noProof/>
                <w:webHidden/>
              </w:rPr>
              <w:fldChar w:fldCharType="end"/>
            </w:r>
          </w:hyperlink>
        </w:p>
        <w:p w14:paraId="2E695DF2" w14:textId="77777777" w:rsidR="00231EB3" w:rsidRDefault="007F30D6">
          <w:pPr>
            <w:pStyle w:val="TOC3"/>
            <w:rPr>
              <w:rFonts w:asciiTheme="minorHAnsi" w:hAnsiTheme="minorHAnsi"/>
              <w:noProof/>
              <w:szCs w:val="22"/>
              <w:lang w:eastAsia="en-AU"/>
            </w:rPr>
          </w:pPr>
          <w:hyperlink w:anchor="_Toc118460200" w:history="1">
            <w:r w:rsidR="00231EB3" w:rsidRPr="00234EFC">
              <w:rPr>
                <w:rStyle w:val="Hyperlink"/>
                <w:noProof/>
              </w:rPr>
              <w:t>5.1</w:t>
            </w:r>
            <w:r w:rsidR="00231EB3">
              <w:rPr>
                <w:rFonts w:asciiTheme="minorHAnsi" w:hAnsiTheme="minorHAnsi"/>
                <w:noProof/>
                <w:szCs w:val="22"/>
                <w:lang w:eastAsia="en-AU"/>
              </w:rPr>
              <w:tab/>
            </w:r>
            <w:r w:rsidR="00231EB3" w:rsidRPr="00234EFC">
              <w:rPr>
                <w:rStyle w:val="Hyperlink"/>
                <w:noProof/>
              </w:rPr>
              <w:t>Total Scheme expense projections</w:t>
            </w:r>
            <w:r w:rsidR="00231EB3">
              <w:rPr>
                <w:noProof/>
                <w:webHidden/>
              </w:rPr>
              <w:tab/>
            </w:r>
            <w:r w:rsidR="00231EB3">
              <w:rPr>
                <w:noProof/>
                <w:webHidden/>
              </w:rPr>
              <w:fldChar w:fldCharType="begin"/>
            </w:r>
            <w:r w:rsidR="00231EB3">
              <w:rPr>
                <w:noProof/>
                <w:webHidden/>
              </w:rPr>
              <w:instrText xml:space="preserve"> PAGEREF _Toc118460200 \h </w:instrText>
            </w:r>
            <w:r w:rsidR="00231EB3">
              <w:rPr>
                <w:noProof/>
                <w:webHidden/>
              </w:rPr>
            </w:r>
            <w:r w:rsidR="00231EB3">
              <w:rPr>
                <w:noProof/>
                <w:webHidden/>
              </w:rPr>
              <w:fldChar w:fldCharType="separate"/>
            </w:r>
            <w:r w:rsidR="00231EB3">
              <w:rPr>
                <w:noProof/>
                <w:webHidden/>
              </w:rPr>
              <w:t>69</w:t>
            </w:r>
            <w:r w:rsidR="00231EB3">
              <w:rPr>
                <w:noProof/>
                <w:webHidden/>
              </w:rPr>
              <w:fldChar w:fldCharType="end"/>
            </w:r>
          </w:hyperlink>
        </w:p>
        <w:p w14:paraId="1B45D06D" w14:textId="77777777" w:rsidR="00231EB3" w:rsidRDefault="007F30D6">
          <w:pPr>
            <w:pStyle w:val="TOC3"/>
            <w:rPr>
              <w:rFonts w:asciiTheme="minorHAnsi" w:hAnsiTheme="minorHAnsi"/>
              <w:noProof/>
              <w:szCs w:val="22"/>
              <w:lang w:eastAsia="en-AU"/>
            </w:rPr>
          </w:pPr>
          <w:hyperlink w:anchor="_Toc118460201" w:history="1">
            <w:r w:rsidR="00231EB3" w:rsidRPr="00234EFC">
              <w:rPr>
                <w:rStyle w:val="Hyperlink"/>
                <w:noProof/>
              </w:rPr>
              <w:t>5.2</w:t>
            </w:r>
            <w:r w:rsidR="00231EB3">
              <w:rPr>
                <w:rFonts w:asciiTheme="minorHAnsi" w:hAnsiTheme="minorHAnsi"/>
                <w:noProof/>
                <w:szCs w:val="22"/>
                <w:lang w:eastAsia="en-AU"/>
              </w:rPr>
              <w:tab/>
            </w:r>
            <w:r w:rsidR="00231EB3" w:rsidRPr="00234EFC">
              <w:rPr>
                <w:rStyle w:val="Hyperlink"/>
                <w:noProof/>
              </w:rPr>
              <w:t>Comparison with previous AFSR</w:t>
            </w:r>
            <w:r w:rsidR="00231EB3">
              <w:rPr>
                <w:noProof/>
                <w:webHidden/>
              </w:rPr>
              <w:tab/>
            </w:r>
            <w:r w:rsidR="00231EB3">
              <w:rPr>
                <w:noProof/>
                <w:webHidden/>
              </w:rPr>
              <w:fldChar w:fldCharType="begin"/>
            </w:r>
            <w:r w:rsidR="00231EB3">
              <w:rPr>
                <w:noProof/>
                <w:webHidden/>
              </w:rPr>
              <w:instrText xml:space="preserve"> PAGEREF _Toc118460201 \h </w:instrText>
            </w:r>
            <w:r w:rsidR="00231EB3">
              <w:rPr>
                <w:noProof/>
                <w:webHidden/>
              </w:rPr>
            </w:r>
            <w:r w:rsidR="00231EB3">
              <w:rPr>
                <w:noProof/>
                <w:webHidden/>
              </w:rPr>
              <w:fldChar w:fldCharType="separate"/>
            </w:r>
            <w:r w:rsidR="00231EB3">
              <w:rPr>
                <w:noProof/>
                <w:webHidden/>
              </w:rPr>
              <w:t>71</w:t>
            </w:r>
            <w:r w:rsidR="00231EB3">
              <w:rPr>
                <w:noProof/>
                <w:webHidden/>
              </w:rPr>
              <w:fldChar w:fldCharType="end"/>
            </w:r>
          </w:hyperlink>
        </w:p>
        <w:p w14:paraId="6059B253" w14:textId="77777777" w:rsidR="00231EB3" w:rsidRDefault="007F30D6">
          <w:pPr>
            <w:pStyle w:val="TOC3"/>
            <w:rPr>
              <w:rFonts w:asciiTheme="minorHAnsi" w:hAnsiTheme="minorHAnsi"/>
              <w:noProof/>
              <w:szCs w:val="22"/>
              <w:lang w:eastAsia="en-AU"/>
            </w:rPr>
          </w:pPr>
          <w:hyperlink w:anchor="_Toc118460202" w:history="1">
            <w:r w:rsidR="00231EB3" w:rsidRPr="00234EFC">
              <w:rPr>
                <w:rStyle w:val="Hyperlink"/>
                <w:noProof/>
              </w:rPr>
              <w:t>5.3</w:t>
            </w:r>
            <w:r w:rsidR="00231EB3">
              <w:rPr>
                <w:rFonts w:asciiTheme="minorHAnsi" w:hAnsiTheme="minorHAnsi"/>
                <w:noProof/>
                <w:szCs w:val="22"/>
                <w:lang w:eastAsia="en-AU"/>
              </w:rPr>
              <w:tab/>
            </w:r>
            <w:r w:rsidR="00231EB3" w:rsidRPr="00234EFC">
              <w:rPr>
                <w:rStyle w:val="Hyperlink"/>
                <w:noProof/>
              </w:rPr>
              <w:t>Projection of plan budgets and utilisation</w:t>
            </w:r>
            <w:r w:rsidR="00231EB3">
              <w:rPr>
                <w:noProof/>
                <w:webHidden/>
              </w:rPr>
              <w:tab/>
            </w:r>
            <w:r w:rsidR="00231EB3">
              <w:rPr>
                <w:noProof/>
                <w:webHidden/>
              </w:rPr>
              <w:fldChar w:fldCharType="begin"/>
            </w:r>
            <w:r w:rsidR="00231EB3">
              <w:rPr>
                <w:noProof/>
                <w:webHidden/>
              </w:rPr>
              <w:instrText xml:space="preserve"> PAGEREF _Toc118460202 \h </w:instrText>
            </w:r>
            <w:r w:rsidR="00231EB3">
              <w:rPr>
                <w:noProof/>
                <w:webHidden/>
              </w:rPr>
            </w:r>
            <w:r w:rsidR="00231EB3">
              <w:rPr>
                <w:noProof/>
                <w:webHidden/>
              </w:rPr>
              <w:fldChar w:fldCharType="separate"/>
            </w:r>
            <w:r w:rsidR="00231EB3">
              <w:rPr>
                <w:noProof/>
                <w:webHidden/>
              </w:rPr>
              <w:t>72</w:t>
            </w:r>
            <w:r w:rsidR="00231EB3">
              <w:rPr>
                <w:noProof/>
                <w:webHidden/>
              </w:rPr>
              <w:fldChar w:fldCharType="end"/>
            </w:r>
          </w:hyperlink>
        </w:p>
        <w:p w14:paraId="6C1AF3FD" w14:textId="77777777" w:rsidR="00231EB3" w:rsidRDefault="007F30D6">
          <w:pPr>
            <w:pStyle w:val="TOC3"/>
            <w:rPr>
              <w:rFonts w:asciiTheme="minorHAnsi" w:hAnsiTheme="minorHAnsi"/>
              <w:noProof/>
              <w:szCs w:val="22"/>
              <w:lang w:eastAsia="en-AU"/>
            </w:rPr>
          </w:pPr>
          <w:hyperlink w:anchor="_Toc118460203" w:history="1">
            <w:r w:rsidR="00231EB3" w:rsidRPr="00234EFC">
              <w:rPr>
                <w:rStyle w:val="Hyperlink"/>
                <w:noProof/>
              </w:rPr>
              <w:t>5.4</w:t>
            </w:r>
            <w:r w:rsidR="00231EB3">
              <w:rPr>
                <w:rFonts w:asciiTheme="minorHAnsi" w:hAnsiTheme="minorHAnsi"/>
                <w:noProof/>
                <w:szCs w:val="22"/>
                <w:lang w:eastAsia="en-AU"/>
              </w:rPr>
              <w:tab/>
            </w:r>
            <w:r w:rsidR="00231EB3" w:rsidRPr="00234EFC">
              <w:rPr>
                <w:rStyle w:val="Hyperlink"/>
                <w:noProof/>
              </w:rPr>
              <w:t>Participant projections</w:t>
            </w:r>
            <w:r w:rsidR="00231EB3">
              <w:rPr>
                <w:noProof/>
                <w:webHidden/>
              </w:rPr>
              <w:tab/>
            </w:r>
            <w:r w:rsidR="00231EB3">
              <w:rPr>
                <w:noProof/>
                <w:webHidden/>
              </w:rPr>
              <w:fldChar w:fldCharType="begin"/>
            </w:r>
            <w:r w:rsidR="00231EB3">
              <w:rPr>
                <w:noProof/>
                <w:webHidden/>
              </w:rPr>
              <w:instrText xml:space="preserve"> PAGEREF _Toc118460203 \h </w:instrText>
            </w:r>
            <w:r w:rsidR="00231EB3">
              <w:rPr>
                <w:noProof/>
                <w:webHidden/>
              </w:rPr>
            </w:r>
            <w:r w:rsidR="00231EB3">
              <w:rPr>
                <w:noProof/>
                <w:webHidden/>
              </w:rPr>
              <w:fldChar w:fldCharType="separate"/>
            </w:r>
            <w:r w:rsidR="00231EB3">
              <w:rPr>
                <w:noProof/>
                <w:webHidden/>
              </w:rPr>
              <w:t>76</w:t>
            </w:r>
            <w:r w:rsidR="00231EB3">
              <w:rPr>
                <w:noProof/>
                <w:webHidden/>
              </w:rPr>
              <w:fldChar w:fldCharType="end"/>
            </w:r>
          </w:hyperlink>
        </w:p>
        <w:p w14:paraId="610F28F2" w14:textId="77777777" w:rsidR="00231EB3" w:rsidRDefault="007F30D6">
          <w:pPr>
            <w:pStyle w:val="TOC3"/>
            <w:rPr>
              <w:rFonts w:asciiTheme="minorHAnsi" w:hAnsiTheme="minorHAnsi"/>
              <w:noProof/>
              <w:szCs w:val="22"/>
              <w:lang w:eastAsia="en-AU"/>
            </w:rPr>
          </w:pPr>
          <w:hyperlink w:anchor="_Toc118460204" w:history="1">
            <w:r w:rsidR="00231EB3" w:rsidRPr="00234EFC">
              <w:rPr>
                <w:rStyle w:val="Hyperlink"/>
                <w:noProof/>
              </w:rPr>
              <w:t>5.5</w:t>
            </w:r>
            <w:r w:rsidR="00231EB3">
              <w:rPr>
                <w:rFonts w:asciiTheme="minorHAnsi" w:hAnsiTheme="minorHAnsi"/>
                <w:noProof/>
                <w:szCs w:val="22"/>
                <w:lang w:eastAsia="en-AU"/>
              </w:rPr>
              <w:tab/>
            </w:r>
            <w:r w:rsidR="00231EB3" w:rsidRPr="00234EFC">
              <w:rPr>
                <w:rStyle w:val="Hyperlink"/>
                <w:noProof/>
              </w:rPr>
              <w:t>Average payment assumptions</w:t>
            </w:r>
            <w:r w:rsidR="00231EB3">
              <w:rPr>
                <w:noProof/>
                <w:webHidden/>
              </w:rPr>
              <w:tab/>
            </w:r>
            <w:r w:rsidR="00231EB3">
              <w:rPr>
                <w:noProof/>
                <w:webHidden/>
              </w:rPr>
              <w:fldChar w:fldCharType="begin"/>
            </w:r>
            <w:r w:rsidR="00231EB3">
              <w:rPr>
                <w:noProof/>
                <w:webHidden/>
              </w:rPr>
              <w:instrText xml:space="preserve"> PAGEREF _Toc118460204 \h </w:instrText>
            </w:r>
            <w:r w:rsidR="00231EB3">
              <w:rPr>
                <w:noProof/>
                <w:webHidden/>
              </w:rPr>
            </w:r>
            <w:r w:rsidR="00231EB3">
              <w:rPr>
                <w:noProof/>
                <w:webHidden/>
              </w:rPr>
              <w:fldChar w:fldCharType="separate"/>
            </w:r>
            <w:r w:rsidR="00231EB3">
              <w:rPr>
                <w:noProof/>
                <w:webHidden/>
              </w:rPr>
              <w:t>89</w:t>
            </w:r>
            <w:r w:rsidR="00231EB3">
              <w:rPr>
                <w:noProof/>
                <w:webHidden/>
              </w:rPr>
              <w:fldChar w:fldCharType="end"/>
            </w:r>
          </w:hyperlink>
        </w:p>
        <w:p w14:paraId="1DA2A575" w14:textId="77777777" w:rsidR="00231EB3" w:rsidRDefault="007F30D6">
          <w:pPr>
            <w:pStyle w:val="TOC3"/>
            <w:rPr>
              <w:rFonts w:asciiTheme="minorHAnsi" w:hAnsiTheme="minorHAnsi"/>
              <w:noProof/>
              <w:szCs w:val="22"/>
              <w:lang w:eastAsia="en-AU"/>
            </w:rPr>
          </w:pPr>
          <w:hyperlink w:anchor="_Toc118460205" w:history="1">
            <w:r w:rsidR="00231EB3" w:rsidRPr="00234EFC">
              <w:rPr>
                <w:rStyle w:val="Hyperlink"/>
                <w:noProof/>
              </w:rPr>
              <w:t>5.6</w:t>
            </w:r>
            <w:r w:rsidR="00231EB3">
              <w:rPr>
                <w:rFonts w:asciiTheme="minorHAnsi" w:hAnsiTheme="minorHAnsi"/>
                <w:noProof/>
                <w:szCs w:val="22"/>
                <w:lang w:eastAsia="en-AU"/>
              </w:rPr>
              <w:tab/>
            </w:r>
            <w:r w:rsidR="00231EB3" w:rsidRPr="00234EFC">
              <w:rPr>
                <w:rStyle w:val="Hyperlink"/>
                <w:noProof/>
              </w:rPr>
              <w:t>Inflation assumptions</w:t>
            </w:r>
            <w:r w:rsidR="00231EB3">
              <w:rPr>
                <w:noProof/>
                <w:webHidden/>
              </w:rPr>
              <w:tab/>
            </w:r>
            <w:r w:rsidR="00231EB3">
              <w:rPr>
                <w:noProof/>
                <w:webHidden/>
              </w:rPr>
              <w:fldChar w:fldCharType="begin"/>
            </w:r>
            <w:r w:rsidR="00231EB3">
              <w:rPr>
                <w:noProof/>
                <w:webHidden/>
              </w:rPr>
              <w:instrText xml:space="preserve"> PAGEREF _Toc118460205 \h </w:instrText>
            </w:r>
            <w:r w:rsidR="00231EB3">
              <w:rPr>
                <w:noProof/>
                <w:webHidden/>
              </w:rPr>
            </w:r>
            <w:r w:rsidR="00231EB3">
              <w:rPr>
                <w:noProof/>
                <w:webHidden/>
              </w:rPr>
              <w:fldChar w:fldCharType="separate"/>
            </w:r>
            <w:r w:rsidR="00231EB3">
              <w:rPr>
                <w:noProof/>
                <w:webHidden/>
              </w:rPr>
              <w:t>93</w:t>
            </w:r>
            <w:r w:rsidR="00231EB3">
              <w:rPr>
                <w:noProof/>
                <w:webHidden/>
              </w:rPr>
              <w:fldChar w:fldCharType="end"/>
            </w:r>
          </w:hyperlink>
        </w:p>
        <w:p w14:paraId="03B22F4E" w14:textId="77777777" w:rsidR="00231EB3" w:rsidRDefault="007F30D6">
          <w:pPr>
            <w:pStyle w:val="TOC3"/>
            <w:rPr>
              <w:rFonts w:asciiTheme="minorHAnsi" w:hAnsiTheme="minorHAnsi"/>
              <w:noProof/>
              <w:szCs w:val="22"/>
              <w:lang w:eastAsia="en-AU"/>
            </w:rPr>
          </w:pPr>
          <w:hyperlink w:anchor="_Toc118460206" w:history="1">
            <w:r w:rsidR="00231EB3" w:rsidRPr="00234EFC">
              <w:rPr>
                <w:rStyle w:val="Hyperlink"/>
                <w:noProof/>
              </w:rPr>
              <w:t>5.7</w:t>
            </w:r>
            <w:r w:rsidR="00231EB3">
              <w:rPr>
                <w:rFonts w:asciiTheme="minorHAnsi" w:hAnsiTheme="minorHAnsi"/>
                <w:noProof/>
                <w:szCs w:val="22"/>
                <w:lang w:eastAsia="en-AU"/>
              </w:rPr>
              <w:tab/>
            </w:r>
            <w:r w:rsidR="00231EB3" w:rsidRPr="00234EFC">
              <w:rPr>
                <w:rStyle w:val="Hyperlink"/>
                <w:noProof/>
              </w:rPr>
              <w:t>Average payment per participant assumptions after inflation</w:t>
            </w:r>
            <w:r w:rsidR="00231EB3">
              <w:rPr>
                <w:noProof/>
                <w:webHidden/>
              </w:rPr>
              <w:tab/>
            </w:r>
            <w:r w:rsidR="00231EB3">
              <w:rPr>
                <w:noProof/>
                <w:webHidden/>
              </w:rPr>
              <w:fldChar w:fldCharType="begin"/>
            </w:r>
            <w:r w:rsidR="00231EB3">
              <w:rPr>
                <w:noProof/>
                <w:webHidden/>
              </w:rPr>
              <w:instrText xml:space="preserve"> PAGEREF _Toc118460206 \h </w:instrText>
            </w:r>
            <w:r w:rsidR="00231EB3">
              <w:rPr>
                <w:noProof/>
                <w:webHidden/>
              </w:rPr>
            </w:r>
            <w:r w:rsidR="00231EB3">
              <w:rPr>
                <w:noProof/>
                <w:webHidden/>
              </w:rPr>
              <w:fldChar w:fldCharType="separate"/>
            </w:r>
            <w:r w:rsidR="00231EB3">
              <w:rPr>
                <w:noProof/>
                <w:webHidden/>
              </w:rPr>
              <w:t>98</w:t>
            </w:r>
            <w:r w:rsidR="00231EB3">
              <w:rPr>
                <w:noProof/>
                <w:webHidden/>
              </w:rPr>
              <w:fldChar w:fldCharType="end"/>
            </w:r>
          </w:hyperlink>
        </w:p>
        <w:p w14:paraId="65CD86D8" w14:textId="77777777" w:rsidR="00231EB3" w:rsidRDefault="007F30D6">
          <w:pPr>
            <w:pStyle w:val="TOC3"/>
            <w:rPr>
              <w:rFonts w:asciiTheme="minorHAnsi" w:hAnsiTheme="minorHAnsi"/>
              <w:noProof/>
              <w:szCs w:val="22"/>
              <w:lang w:eastAsia="en-AU"/>
            </w:rPr>
          </w:pPr>
          <w:hyperlink w:anchor="_Toc118460207" w:history="1">
            <w:r w:rsidR="00231EB3" w:rsidRPr="00234EFC">
              <w:rPr>
                <w:rStyle w:val="Hyperlink"/>
                <w:noProof/>
              </w:rPr>
              <w:t>5.8</w:t>
            </w:r>
            <w:r w:rsidR="00231EB3">
              <w:rPr>
                <w:rFonts w:asciiTheme="minorHAnsi" w:hAnsiTheme="minorHAnsi"/>
                <w:noProof/>
                <w:szCs w:val="22"/>
                <w:lang w:eastAsia="en-AU"/>
              </w:rPr>
              <w:tab/>
            </w:r>
            <w:r w:rsidR="00231EB3" w:rsidRPr="00234EFC">
              <w:rPr>
                <w:rStyle w:val="Hyperlink"/>
                <w:noProof/>
              </w:rPr>
              <w:t>Operating expenses</w:t>
            </w:r>
            <w:r w:rsidR="00231EB3">
              <w:rPr>
                <w:noProof/>
                <w:webHidden/>
              </w:rPr>
              <w:tab/>
            </w:r>
            <w:r w:rsidR="00231EB3">
              <w:rPr>
                <w:noProof/>
                <w:webHidden/>
              </w:rPr>
              <w:fldChar w:fldCharType="begin"/>
            </w:r>
            <w:r w:rsidR="00231EB3">
              <w:rPr>
                <w:noProof/>
                <w:webHidden/>
              </w:rPr>
              <w:instrText xml:space="preserve"> PAGEREF _Toc118460207 \h </w:instrText>
            </w:r>
            <w:r w:rsidR="00231EB3">
              <w:rPr>
                <w:noProof/>
                <w:webHidden/>
              </w:rPr>
            </w:r>
            <w:r w:rsidR="00231EB3">
              <w:rPr>
                <w:noProof/>
                <w:webHidden/>
              </w:rPr>
              <w:fldChar w:fldCharType="separate"/>
            </w:r>
            <w:r w:rsidR="00231EB3">
              <w:rPr>
                <w:noProof/>
                <w:webHidden/>
              </w:rPr>
              <w:t>103</w:t>
            </w:r>
            <w:r w:rsidR="00231EB3">
              <w:rPr>
                <w:noProof/>
                <w:webHidden/>
              </w:rPr>
              <w:fldChar w:fldCharType="end"/>
            </w:r>
          </w:hyperlink>
        </w:p>
        <w:p w14:paraId="18BAFF90" w14:textId="77777777" w:rsidR="00231EB3" w:rsidRDefault="007F30D6">
          <w:pPr>
            <w:pStyle w:val="TOC3"/>
            <w:rPr>
              <w:rFonts w:asciiTheme="minorHAnsi" w:hAnsiTheme="minorHAnsi"/>
              <w:noProof/>
              <w:szCs w:val="22"/>
              <w:lang w:eastAsia="en-AU"/>
            </w:rPr>
          </w:pPr>
          <w:hyperlink w:anchor="_Toc118460208" w:history="1">
            <w:r w:rsidR="00231EB3" w:rsidRPr="00234EFC">
              <w:rPr>
                <w:rStyle w:val="Hyperlink"/>
                <w:noProof/>
              </w:rPr>
              <w:t>5.9</w:t>
            </w:r>
            <w:r w:rsidR="00231EB3">
              <w:rPr>
                <w:rFonts w:asciiTheme="minorHAnsi" w:hAnsiTheme="minorHAnsi"/>
                <w:noProof/>
                <w:szCs w:val="22"/>
                <w:lang w:eastAsia="en-AU"/>
              </w:rPr>
              <w:tab/>
            </w:r>
            <w:r w:rsidR="00231EB3" w:rsidRPr="00234EFC">
              <w:rPr>
                <w:rStyle w:val="Hyperlink"/>
                <w:noProof/>
              </w:rPr>
              <w:t>Lifetime expense for care and support</w:t>
            </w:r>
            <w:r w:rsidR="00231EB3">
              <w:rPr>
                <w:noProof/>
                <w:webHidden/>
              </w:rPr>
              <w:tab/>
            </w:r>
            <w:r w:rsidR="00231EB3">
              <w:rPr>
                <w:noProof/>
                <w:webHidden/>
              </w:rPr>
              <w:fldChar w:fldCharType="begin"/>
            </w:r>
            <w:r w:rsidR="00231EB3">
              <w:rPr>
                <w:noProof/>
                <w:webHidden/>
              </w:rPr>
              <w:instrText xml:space="preserve"> PAGEREF _Toc118460208 \h </w:instrText>
            </w:r>
            <w:r w:rsidR="00231EB3">
              <w:rPr>
                <w:noProof/>
                <w:webHidden/>
              </w:rPr>
            </w:r>
            <w:r w:rsidR="00231EB3">
              <w:rPr>
                <w:noProof/>
                <w:webHidden/>
              </w:rPr>
              <w:fldChar w:fldCharType="separate"/>
            </w:r>
            <w:r w:rsidR="00231EB3">
              <w:rPr>
                <w:noProof/>
                <w:webHidden/>
              </w:rPr>
              <w:t>104</w:t>
            </w:r>
            <w:r w:rsidR="00231EB3">
              <w:rPr>
                <w:noProof/>
                <w:webHidden/>
              </w:rPr>
              <w:fldChar w:fldCharType="end"/>
            </w:r>
          </w:hyperlink>
        </w:p>
        <w:p w14:paraId="58EAEAC9" w14:textId="77777777" w:rsidR="00231EB3" w:rsidRDefault="007F30D6">
          <w:pPr>
            <w:pStyle w:val="TOC2"/>
            <w:rPr>
              <w:rFonts w:asciiTheme="minorHAnsi" w:hAnsiTheme="minorHAnsi"/>
              <w:noProof/>
              <w:szCs w:val="22"/>
              <w:lang w:eastAsia="en-AU"/>
            </w:rPr>
          </w:pPr>
          <w:hyperlink w:anchor="_Toc118460209" w:history="1">
            <w:r w:rsidR="00231EB3" w:rsidRPr="00234EFC">
              <w:rPr>
                <w:rStyle w:val="Hyperlink"/>
                <w:noProof/>
                <w14:scene3d>
                  <w14:camera w14:prst="orthographicFront"/>
                  <w14:lightRig w14:rig="threePt" w14:dir="t">
                    <w14:rot w14:lat="0" w14:lon="0" w14:rev="0"/>
                  </w14:lightRig>
                </w14:scene3d>
              </w:rPr>
              <w:t>Section 6:</w:t>
            </w:r>
            <w:r w:rsidR="00231EB3" w:rsidRPr="00234EFC">
              <w:rPr>
                <w:rStyle w:val="Hyperlink"/>
                <w:noProof/>
              </w:rPr>
              <w:t xml:space="preserve"> Uncertainty and comparisons to previous projections</w:t>
            </w:r>
            <w:r w:rsidR="00231EB3">
              <w:rPr>
                <w:noProof/>
                <w:webHidden/>
              </w:rPr>
              <w:tab/>
            </w:r>
            <w:r w:rsidR="00231EB3">
              <w:rPr>
                <w:noProof/>
                <w:webHidden/>
              </w:rPr>
              <w:fldChar w:fldCharType="begin"/>
            </w:r>
            <w:r w:rsidR="00231EB3">
              <w:rPr>
                <w:noProof/>
                <w:webHidden/>
              </w:rPr>
              <w:instrText xml:space="preserve"> PAGEREF _Toc118460209 \h </w:instrText>
            </w:r>
            <w:r w:rsidR="00231EB3">
              <w:rPr>
                <w:noProof/>
                <w:webHidden/>
              </w:rPr>
            </w:r>
            <w:r w:rsidR="00231EB3">
              <w:rPr>
                <w:noProof/>
                <w:webHidden/>
              </w:rPr>
              <w:fldChar w:fldCharType="separate"/>
            </w:r>
            <w:r w:rsidR="00231EB3">
              <w:rPr>
                <w:noProof/>
                <w:webHidden/>
              </w:rPr>
              <w:t>107</w:t>
            </w:r>
            <w:r w:rsidR="00231EB3">
              <w:rPr>
                <w:noProof/>
                <w:webHidden/>
              </w:rPr>
              <w:fldChar w:fldCharType="end"/>
            </w:r>
          </w:hyperlink>
        </w:p>
        <w:p w14:paraId="473E190E" w14:textId="77777777" w:rsidR="00231EB3" w:rsidRDefault="007F30D6">
          <w:pPr>
            <w:pStyle w:val="TOC3"/>
            <w:rPr>
              <w:rFonts w:asciiTheme="minorHAnsi" w:hAnsiTheme="minorHAnsi"/>
              <w:noProof/>
              <w:szCs w:val="22"/>
              <w:lang w:eastAsia="en-AU"/>
            </w:rPr>
          </w:pPr>
          <w:hyperlink w:anchor="_Toc118460210" w:history="1">
            <w:r w:rsidR="00231EB3" w:rsidRPr="00234EFC">
              <w:rPr>
                <w:rStyle w:val="Hyperlink"/>
                <w:noProof/>
              </w:rPr>
              <w:t>6.1</w:t>
            </w:r>
            <w:r w:rsidR="00231EB3">
              <w:rPr>
                <w:rFonts w:asciiTheme="minorHAnsi" w:hAnsiTheme="minorHAnsi"/>
                <w:noProof/>
                <w:szCs w:val="22"/>
                <w:lang w:eastAsia="en-AU"/>
              </w:rPr>
              <w:tab/>
            </w:r>
            <w:r w:rsidR="00231EB3" w:rsidRPr="00234EFC">
              <w:rPr>
                <w:rStyle w:val="Hyperlink"/>
                <w:noProof/>
              </w:rPr>
              <w:t>Scenario analysis</w:t>
            </w:r>
            <w:r w:rsidR="00231EB3">
              <w:rPr>
                <w:noProof/>
                <w:webHidden/>
              </w:rPr>
              <w:tab/>
            </w:r>
            <w:r w:rsidR="00231EB3">
              <w:rPr>
                <w:noProof/>
                <w:webHidden/>
              </w:rPr>
              <w:fldChar w:fldCharType="begin"/>
            </w:r>
            <w:r w:rsidR="00231EB3">
              <w:rPr>
                <w:noProof/>
                <w:webHidden/>
              </w:rPr>
              <w:instrText xml:space="preserve"> PAGEREF _Toc118460210 \h </w:instrText>
            </w:r>
            <w:r w:rsidR="00231EB3">
              <w:rPr>
                <w:noProof/>
                <w:webHidden/>
              </w:rPr>
            </w:r>
            <w:r w:rsidR="00231EB3">
              <w:rPr>
                <w:noProof/>
                <w:webHidden/>
              </w:rPr>
              <w:fldChar w:fldCharType="separate"/>
            </w:r>
            <w:r w:rsidR="00231EB3">
              <w:rPr>
                <w:noProof/>
                <w:webHidden/>
              </w:rPr>
              <w:t>107</w:t>
            </w:r>
            <w:r w:rsidR="00231EB3">
              <w:rPr>
                <w:noProof/>
                <w:webHidden/>
              </w:rPr>
              <w:fldChar w:fldCharType="end"/>
            </w:r>
          </w:hyperlink>
        </w:p>
        <w:p w14:paraId="3454077A" w14:textId="77777777" w:rsidR="00231EB3" w:rsidRDefault="007F30D6">
          <w:pPr>
            <w:pStyle w:val="TOC3"/>
            <w:rPr>
              <w:rFonts w:asciiTheme="minorHAnsi" w:hAnsiTheme="minorHAnsi"/>
              <w:noProof/>
              <w:szCs w:val="22"/>
              <w:lang w:eastAsia="en-AU"/>
            </w:rPr>
          </w:pPr>
          <w:hyperlink w:anchor="_Toc118460211" w:history="1">
            <w:r w:rsidR="00231EB3" w:rsidRPr="00234EFC">
              <w:rPr>
                <w:rStyle w:val="Hyperlink"/>
                <w:noProof/>
              </w:rPr>
              <w:t>6.2</w:t>
            </w:r>
            <w:r w:rsidR="00231EB3">
              <w:rPr>
                <w:rFonts w:asciiTheme="minorHAnsi" w:hAnsiTheme="minorHAnsi"/>
                <w:noProof/>
                <w:szCs w:val="22"/>
                <w:lang w:eastAsia="en-AU"/>
              </w:rPr>
              <w:tab/>
            </w:r>
            <w:r w:rsidR="00231EB3" w:rsidRPr="00234EFC">
              <w:rPr>
                <w:rStyle w:val="Hyperlink"/>
                <w:noProof/>
              </w:rPr>
              <w:t>Stochastic modelling</w:t>
            </w:r>
            <w:r w:rsidR="00231EB3">
              <w:rPr>
                <w:noProof/>
                <w:webHidden/>
              </w:rPr>
              <w:tab/>
            </w:r>
            <w:r w:rsidR="00231EB3">
              <w:rPr>
                <w:noProof/>
                <w:webHidden/>
              </w:rPr>
              <w:fldChar w:fldCharType="begin"/>
            </w:r>
            <w:r w:rsidR="00231EB3">
              <w:rPr>
                <w:noProof/>
                <w:webHidden/>
              </w:rPr>
              <w:instrText xml:space="preserve"> PAGEREF _Toc118460211 \h </w:instrText>
            </w:r>
            <w:r w:rsidR="00231EB3">
              <w:rPr>
                <w:noProof/>
                <w:webHidden/>
              </w:rPr>
            </w:r>
            <w:r w:rsidR="00231EB3">
              <w:rPr>
                <w:noProof/>
                <w:webHidden/>
              </w:rPr>
              <w:fldChar w:fldCharType="separate"/>
            </w:r>
            <w:r w:rsidR="00231EB3">
              <w:rPr>
                <w:noProof/>
                <w:webHidden/>
              </w:rPr>
              <w:t>119</w:t>
            </w:r>
            <w:r w:rsidR="00231EB3">
              <w:rPr>
                <w:noProof/>
                <w:webHidden/>
              </w:rPr>
              <w:fldChar w:fldCharType="end"/>
            </w:r>
          </w:hyperlink>
        </w:p>
        <w:p w14:paraId="16AFA18C" w14:textId="77777777" w:rsidR="00231EB3" w:rsidRDefault="007F30D6">
          <w:pPr>
            <w:pStyle w:val="TOC3"/>
            <w:rPr>
              <w:rFonts w:asciiTheme="minorHAnsi" w:hAnsiTheme="minorHAnsi"/>
              <w:noProof/>
              <w:szCs w:val="22"/>
              <w:lang w:eastAsia="en-AU"/>
            </w:rPr>
          </w:pPr>
          <w:hyperlink w:anchor="_Toc118460212" w:history="1">
            <w:r w:rsidR="00231EB3" w:rsidRPr="00234EFC">
              <w:rPr>
                <w:rStyle w:val="Hyperlink"/>
                <w:noProof/>
              </w:rPr>
              <w:t>6.3</w:t>
            </w:r>
            <w:r w:rsidR="00231EB3">
              <w:rPr>
                <w:rFonts w:asciiTheme="minorHAnsi" w:hAnsiTheme="minorHAnsi"/>
                <w:noProof/>
                <w:szCs w:val="22"/>
                <w:lang w:eastAsia="en-AU"/>
              </w:rPr>
              <w:tab/>
            </w:r>
            <w:r w:rsidR="00231EB3" w:rsidRPr="00234EFC">
              <w:rPr>
                <w:rStyle w:val="Hyperlink"/>
                <w:noProof/>
              </w:rPr>
              <w:t>Historic AFSR projections</w:t>
            </w:r>
            <w:r w:rsidR="00231EB3">
              <w:rPr>
                <w:noProof/>
                <w:webHidden/>
              </w:rPr>
              <w:tab/>
            </w:r>
            <w:r w:rsidR="00231EB3">
              <w:rPr>
                <w:noProof/>
                <w:webHidden/>
              </w:rPr>
              <w:fldChar w:fldCharType="begin"/>
            </w:r>
            <w:r w:rsidR="00231EB3">
              <w:rPr>
                <w:noProof/>
                <w:webHidden/>
              </w:rPr>
              <w:instrText xml:space="preserve"> PAGEREF _Toc118460212 \h </w:instrText>
            </w:r>
            <w:r w:rsidR="00231EB3">
              <w:rPr>
                <w:noProof/>
                <w:webHidden/>
              </w:rPr>
            </w:r>
            <w:r w:rsidR="00231EB3">
              <w:rPr>
                <w:noProof/>
                <w:webHidden/>
              </w:rPr>
              <w:fldChar w:fldCharType="separate"/>
            </w:r>
            <w:r w:rsidR="00231EB3">
              <w:rPr>
                <w:noProof/>
                <w:webHidden/>
              </w:rPr>
              <w:t>122</w:t>
            </w:r>
            <w:r w:rsidR="00231EB3">
              <w:rPr>
                <w:noProof/>
                <w:webHidden/>
              </w:rPr>
              <w:fldChar w:fldCharType="end"/>
            </w:r>
          </w:hyperlink>
        </w:p>
        <w:p w14:paraId="6AD5439C" w14:textId="77777777" w:rsidR="00231EB3" w:rsidRDefault="007F30D6">
          <w:pPr>
            <w:pStyle w:val="TOC2"/>
            <w:rPr>
              <w:rFonts w:asciiTheme="minorHAnsi" w:hAnsiTheme="minorHAnsi"/>
              <w:noProof/>
              <w:szCs w:val="22"/>
              <w:lang w:eastAsia="en-AU"/>
            </w:rPr>
          </w:pPr>
          <w:hyperlink w:anchor="_Toc118460213" w:history="1">
            <w:r w:rsidR="00231EB3" w:rsidRPr="00234EFC">
              <w:rPr>
                <w:rStyle w:val="Hyperlink"/>
                <w:noProof/>
                <w14:scene3d>
                  <w14:camera w14:prst="orthographicFront"/>
                  <w14:lightRig w14:rig="threePt" w14:dir="t">
                    <w14:rot w14:lat="0" w14:lon="0" w14:rev="0"/>
                  </w14:lightRig>
                </w14:scene3d>
              </w:rPr>
              <w:t>Section 7:</w:t>
            </w:r>
            <w:r w:rsidR="00231EB3" w:rsidRPr="00234EFC">
              <w:rPr>
                <w:rStyle w:val="Hyperlink"/>
                <w:noProof/>
              </w:rPr>
              <w:t xml:space="preserve"> Outcomes</w:t>
            </w:r>
            <w:r w:rsidR="00231EB3">
              <w:rPr>
                <w:noProof/>
                <w:webHidden/>
              </w:rPr>
              <w:tab/>
            </w:r>
            <w:r w:rsidR="00231EB3">
              <w:rPr>
                <w:noProof/>
                <w:webHidden/>
              </w:rPr>
              <w:fldChar w:fldCharType="begin"/>
            </w:r>
            <w:r w:rsidR="00231EB3">
              <w:rPr>
                <w:noProof/>
                <w:webHidden/>
              </w:rPr>
              <w:instrText xml:space="preserve"> PAGEREF _Toc118460213 \h </w:instrText>
            </w:r>
            <w:r w:rsidR="00231EB3">
              <w:rPr>
                <w:noProof/>
                <w:webHidden/>
              </w:rPr>
            </w:r>
            <w:r w:rsidR="00231EB3">
              <w:rPr>
                <w:noProof/>
                <w:webHidden/>
              </w:rPr>
              <w:fldChar w:fldCharType="separate"/>
            </w:r>
            <w:r w:rsidR="00231EB3">
              <w:rPr>
                <w:noProof/>
                <w:webHidden/>
              </w:rPr>
              <w:t>127</w:t>
            </w:r>
            <w:r w:rsidR="00231EB3">
              <w:rPr>
                <w:noProof/>
                <w:webHidden/>
              </w:rPr>
              <w:fldChar w:fldCharType="end"/>
            </w:r>
          </w:hyperlink>
        </w:p>
        <w:p w14:paraId="128FAA04" w14:textId="77777777" w:rsidR="00231EB3" w:rsidRDefault="007F30D6">
          <w:pPr>
            <w:pStyle w:val="TOC3"/>
            <w:rPr>
              <w:rFonts w:asciiTheme="minorHAnsi" w:hAnsiTheme="minorHAnsi"/>
              <w:noProof/>
              <w:szCs w:val="22"/>
              <w:lang w:eastAsia="en-AU"/>
            </w:rPr>
          </w:pPr>
          <w:hyperlink w:anchor="_Toc118460214" w:history="1">
            <w:r w:rsidR="00231EB3" w:rsidRPr="00234EFC">
              <w:rPr>
                <w:rStyle w:val="Hyperlink"/>
                <w:noProof/>
              </w:rPr>
              <w:t>7.1</w:t>
            </w:r>
            <w:r w:rsidR="00231EB3">
              <w:rPr>
                <w:rFonts w:asciiTheme="minorHAnsi" w:hAnsiTheme="minorHAnsi"/>
                <w:noProof/>
                <w:szCs w:val="22"/>
                <w:lang w:eastAsia="en-AU"/>
              </w:rPr>
              <w:tab/>
            </w:r>
            <w:r w:rsidR="00231EB3" w:rsidRPr="00234EFC">
              <w:rPr>
                <w:rStyle w:val="Hyperlink"/>
                <w:noProof/>
              </w:rPr>
              <w:t>Outcomes and financial sustainability</w:t>
            </w:r>
            <w:r w:rsidR="00231EB3">
              <w:rPr>
                <w:noProof/>
                <w:webHidden/>
              </w:rPr>
              <w:tab/>
            </w:r>
            <w:r w:rsidR="00231EB3">
              <w:rPr>
                <w:noProof/>
                <w:webHidden/>
              </w:rPr>
              <w:fldChar w:fldCharType="begin"/>
            </w:r>
            <w:r w:rsidR="00231EB3">
              <w:rPr>
                <w:noProof/>
                <w:webHidden/>
              </w:rPr>
              <w:instrText xml:space="preserve"> PAGEREF _Toc118460214 \h </w:instrText>
            </w:r>
            <w:r w:rsidR="00231EB3">
              <w:rPr>
                <w:noProof/>
                <w:webHidden/>
              </w:rPr>
            </w:r>
            <w:r w:rsidR="00231EB3">
              <w:rPr>
                <w:noProof/>
                <w:webHidden/>
              </w:rPr>
              <w:fldChar w:fldCharType="separate"/>
            </w:r>
            <w:r w:rsidR="00231EB3">
              <w:rPr>
                <w:noProof/>
                <w:webHidden/>
              </w:rPr>
              <w:t>127</w:t>
            </w:r>
            <w:r w:rsidR="00231EB3">
              <w:rPr>
                <w:noProof/>
                <w:webHidden/>
              </w:rPr>
              <w:fldChar w:fldCharType="end"/>
            </w:r>
          </w:hyperlink>
        </w:p>
        <w:p w14:paraId="2C7A1620" w14:textId="77777777" w:rsidR="00231EB3" w:rsidRDefault="007F30D6">
          <w:pPr>
            <w:pStyle w:val="TOC3"/>
            <w:rPr>
              <w:rFonts w:asciiTheme="minorHAnsi" w:hAnsiTheme="minorHAnsi"/>
              <w:noProof/>
              <w:szCs w:val="22"/>
              <w:lang w:eastAsia="en-AU"/>
            </w:rPr>
          </w:pPr>
          <w:hyperlink w:anchor="_Toc118460215" w:history="1">
            <w:r w:rsidR="00231EB3" w:rsidRPr="00234EFC">
              <w:rPr>
                <w:rStyle w:val="Hyperlink"/>
                <w:noProof/>
              </w:rPr>
              <w:t>7.2</w:t>
            </w:r>
            <w:r w:rsidR="00231EB3">
              <w:rPr>
                <w:rFonts w:asciiTheme="minorHAnsi" w:hAnsiTheme="minorHAnsi"/>
                <w:noProof/>
                <w:szCs w:val="22"/>
                <w:lang w:eastAsia="en-AU"/>
              </w:rPr>
              <w:tab/>
            </w:r>
            <w:r w:rsidR="00231EB3" w:rsidRPr="00234EFC">
              <w:rPr>
                <w:rStyle w:val="Hyperlink"/>
                <w:noProof/>
              </w:rPr>
              <w:t>The outcomes framework questionnaires</w:t>
            </w:r>
            <w:r w:rsidR="00231EB3">
              <w:rPr>
                <w:noProof/>
                <w:webHidden/>
              </w:rPr>
              <w:tab/>
            </w:r>
            <w:r w:rsidR="00231EB3">
              <w:rPr>
                <w:noProof/>
                <w:webHidden/>
              </w:rPr>
              <w:fldChar w:fldCharType="begin"/>
            </w:r>
            <w:r w:rsidR="00231EB3">
              <w:rPr>
                <w:noProof/>
                <w:webHidden/>
              </w:rPr>
              <w:instrText xml:space="preserve"> PAGEREF _Toc118460215 \h </w:instrText>
            </w:r>
            <w:r w:rsidR="00231EB3">
              <w:rPr>
                <w:noProof/>
                <w:webHidden/>
              </w:rPr>
            </w:r>
            <w:r w:rsidR="00231EB3">
              <w:rPr>
                <w:noProof/>
                <w:webHidden/>
              </w:rPr>
              <w:fldChar w:fldCharType="separate"/>
            </w:r>
            <w:r w:rsidR="00231EB3">
              <w:rPr>
                <w:noProof/>
                <w:webHidden/>
              </w:rPr>
              <w:t>128</w:t>
            </w:r>
            <w:r w:rsidR="00231EB3">
              <w:rPr>
                <w:noProof/>
                <w:webHidden/>
              </w:rPr>
              <w:fldChar w:fldCharType="end"/>
            </w:r>
          </w:hyperlink>
        </w:p>
        <w:p w14:paraId="62AF85B7" w14:textId="77777777" w:rsidR="00231EB3" w:rsidRDefault="007F30D6">
          <w:pPr>
            <w:pStyle w:val="TOC3"/>
            <w:rPr>
              <w:rFonts w:asciiTheme="minorHAnsi" w:hAnsiTheme="minorHAnsi"/>
              <w:noProof/>
              <w:szCs w:val="22"/>
              <w:lang w:eastAsia="en-AU"/>
            </w:rPr>
          </w:pPr>
          <w:hyperlink w:anchor="_Toc118460216" w:history="1">
            <w:r w:rsidR="00231EB3" w:rsidRPr="00234EFC">
              <w:rPr>
                <w:rStyle w:val="Hyperlink"/>
                <w:noProof/>
              </w:rPr>
              <w:t>7.3</w:t>
            </w:r>
            <w:r w:rsidR="00231EB3">
              <w:rPr>
                <w:rFonts w:asciiTheme="minorHAnsi" w:hAnsiTheme="minorHAnsi"/>
                <w:noProof/>
                <w:szCs w:val="22"/>
                <w:lang w:eastAsia="en-AU"/>
              </w:rPr>
              <w:tab/>
            </w:r>
            <w:r w:rsidR="00231EB3" w:rsidRPr="00234EFC">
              <w:rPr>
                <w:rStyle w:val="Hyperlink"/>
                <w:noProof/>
              </w:rPr>
              <w:t>Participant outcomes – results</w:t>
            </w:r>
            <w:r w:rsidR="00231EB3">
              <w:rPr>
                <w:noProof/>
                <w:webHidden/>
              </w:rPr>
              <w:tab/>
            </w:r>
            <w:r w:rsidR="00231EB3">
              <w:rPr>
                <w:noProof/>
                <w:webHidden/>
              </w:rPr>
              <w:fldChar w:fldCharType="begin"/>
            </w:r>
            <w:r w:rsidR="00231EB3">
              <w:rPr>
                <w:noProof/>
                <w:webHidden/>
              </w:rPr>
              <w:instrText xml:space="preserve"> PAGEREF _Toc118460216 \h </w:instrText>
            </w:r>
            <w:r w:rsidR="00231EB3">
              <w:rPr>
                <w:noProof/>
                <w:webHidden/>
              </w:rPr>
            </w:r>
            <w:r w:rsidR="00231EB3">
              <w:rPr>
                <w:noProof/>
                <w:webHidden/>
              </w:rPr>
              <w:fldChar w:fldCharType="separate"/>
            </w:r>
            <w:r w:rsidR="00231EB3">
              <w:rPr>
                <w:noProof/>
                <w:webHidden/>
              </w:rPr>
              <w:t>132</w:t>
            </w:r>
            <w:r w:rsidR="00231EB3">
              <w:rPr>
                <w:noProof/>
                <w:webHidden/>
              </w:rPr>
              <w:fldChar w:fldCharType="end"/>
            </w:r>
          </w:hyperlink>
        </w:p>
        <w:p w14:paraId="02A9B140" w14:textId="77777777" w:rsidR="00231EB3" w:rsidRDefault="007F30D6">
          <w:pPr>
            <w:pStyle w:val="TOC3"/>
            <w:rPr>
              <w:rFonts w:asciiTheme="minorHAnsi" w:hAnsiTheme="minorHAnsi"/>
              <w:noProof/>
              <w:szCs w:val="22"/>
              <w:lang w:eastAsia="en-AU"/>
            </w:rPr>
          </w:pPr>
          <w:hyperlink w:anchor="_Toc118460217" w:history="1">
            <w:r w:rsidR="00231EB3" w:rsidRPr="00234EFC">
              <w:rPr>
                <w:rStyle w:val="Hyperlink"/>
                <w:noProof/>
              </w:rPr>
              <w:t>7.4</w:t>
            </w:r>
            <w:r w:rsidR="00231EB3">
              <w:rPr>
                <w:rFonts w:asciiTheme="minorHAnsi" w:hAnsiTheme="minorHAnsi"/>
                <w:noProof/>
                <w:szCs w:val="22"/>
                <w:lang w:eastAsia="en-AU"/>
              </w:rPr>
              <w:tab/>
            </w:r>
            <w:r w:rsidR="00231EB3" w:rsidRPr="00234EFC">
              <w:rPr>
                <w:rStyle w:val="Hyperlink"/>
                <w:noProof/>
              </w:rPr>
              <w:t>Family and carer outcomes – results</w:t>
            </w:r>
            <w:r w:rsidR="00231EB3">
              <w:rPr>
                <w:noProof/>
                <w:webHidden/>
              </w:rPr>
              <w:tab/>
            </w:r>
            <w:r w:rsidR="00231EB3">
              <w:rPr>
                <w:noProof/>
                <w:webHidden/>
              </w:rPr>
              <w:fldChar w:fldCharType="begin"/>
            </w:r>
            <w:r w:rsidR="00231EB3">
              <w:rPr>
                <w:noProof/>
                <w:webHidden/>
              </w:rPr>
              <w:instrText xml:space="preserve"> PAGEREF _Toc118460217 \h </w:instrText>
            </w:r>
            <w:r w:rsidR="00231EB3">
              <w:rPr>
                <w:noProof/>
                <w:webHidden/>
              </w:rPr>
            </w:r>
            <w:r w:rsidR="00231EB3">
              <w:rPr>
                <w:noProof/>
                <w:webHidden/>
              </w:rPr>
              <w:fldChar w:fldCharType="separate"/>
            </w:r>
            <w:r w:rsidR="00231EB3">
              <w:rPr>
                <w:noProof/>
                <w:webHidden/>
              </w:rPr>
              <w:t>143</w:t>
            </w:r>
            <w:r w:rsidR="00231EB3">
              <w:rPr>
                <w:noProof/>
                <w:webHidden/>
              </w:rPr>
              <w:fldChar w:fldCharType="end"/>
            </w:r>
          </w:hyperlink>
        </w:p>
        <w:p w14:paraId="430189B7" w14:textId="77777777" w:rsidR="00231EB3" w:rsidRDefault="007F30D6">
          <w:pPr>
            <w:pStyle w:val="TOC2"/>
            <w:rPr>
              <w:rFonts w:asciiTheme="minorHAnsi" w:hAnsiTheme="minorHAnsi"/>
              <w:noProof/>
              <w:szCs w:val="22"/>
              <w:lang w:eastAsia="en-AU"/>
            </w:rPr>
          </w:pPr>
          <w:hyperlink w:anchor="_Toc118460218" w:history="1">
            <w:r w:rsidR="00231EB3" w:rsidRPr="00234EFC">
              <w:rPr>
                <w:rStyle w:val="Hyperlink"/>
                <w:noProof/>
                <w14:scene3d>
                  <w14:camera w14:prst="orthographicFront"/>
                  <w14:lightRig w14:rig="threePt" w14:dir="t">
                    <w14:rot w14:lat="0" w14:lon="0" w14:rev="0"/>
                  </w14:lightRig>
                </w14:scene3d>
              </w:rPr>
              <w:t>Section 8:</w:t>
            </w:r>
            <w:r w:rsidR="00231EB3" w:rsidRPr="00234EFC">
              <w:rPr>
                <w:rStyle w:val="Hyperlink"/>
                <w:noProof/>
              </w:rPr>
              <w:t xml:space="preserve"> Information systems and risk management approach</w:t>
            </w:r>
            <w:r w:rsidR="00231EB3">
              <w:rPr>
                <w:noProof/>
                <w:webHidden/>
              </w:rPr>
              <w:tab/>
            </w:r>
            <w:r w:rsidR="00231EB3">
              <w:rPr>
                <w:noProof/>
                <w:webHidden/>
              </w:rPr>
              <w:fldChar w:fldCharType="begin"/>
            </w:r>
            <w:r w:rsidR="00231EB3">
              <w:rPr>
                <w:noProof/>
                <w:webHidden/>
              </w:rPr>
              <w:instrText xml:space="preserve"> PAGEREF _Toc118460218 \h </w:instrText>
            </w:r>
            <w:r w:rsidR="00231EB3">
              <w:rPr>
                <w:noProof/>
                <w:webHidden/>
              </w:rPr>
            </w:r>
            <w:r w:rsidR="00231EB3">
              <w:rPr>
                <w:noProof/>
                <w:webHidden/>
              </w:rPr>
              <w:fldChar w:fldCharType="separate"/>
            </w:r>
            <w:r w:rsidR="00231EB3">
              <w:rPr>
                <w:noProof/>
                <w:webHidden/>
              </w:rPr>
              <w:t>147</w:t>
            </w:r>
            <w:r w:rsidR="00231EB3">
              <w:rPr>
                <w:noProof/>
                <w:webHidden/>
              </w:rPr>
              <w:fldChar w:fldCharType="end"/>
            </w:r>
          </w:hyperlink>
        </w:p>
        <w:p w14:paraId="2D0D046E" w14:textId="77777777" w:rsidR="00231EB3" w:rsidRDefault="007F30D6">
          <w:pPr>
            <w:pStyle w:val="TOC3"/>
            <w:rPr>
              <w:rFonts w:asciiTheme="minorHAnsi" w:hAnsiTheme="minorHAnsi"/>
              <w:noProof/>
              <w:szCs w:val="22"/>
              <w:lang w:eastAsia="en-AU"/>
            </w:rPr>
          </w:pPr>
          <w:hyperlink w:anchor="_Toc118460219" w:history="1">
            <w:r w:rsidR="00231EB3" w:rsidRPr="00234EFC">
              <w:rPr>
                <w:rStyle w:val="Hyperlink"/>
                <w:noProof/>
              </w:rPr>
              <w:t>8.1</w:t>
            </w:r>
            <w:r w:rsidR="00231EB3">
              <w:rPr>
                <w:rFonts w:asciiTheme="minorHAnsi" w:hAnsiTheme="minorHAnsi"/>
                <w:noProof/>
                <w:szCs w:val="22"/>
                <w:lang w:eastAsia="en-AU"/>
              </w:rPr>
              <w:tab/>
            </w:r>
            <w:r w:rsidR="00231EB3" w:rsidRPr="00234EFC">
              <w:rPr>
                <w:rStyle w:val="Hyperlink"/>
                <w:noProof/>
              </w:rPr>
              <w:t>Information systems</w:t>
            </w:r>
            <w:r w:rsidR="00231EB3">
              <w:rPr>
                <w:noProof/>
                <w:webHidden/>
              </w:rPr>
              <w:tab/>
            </w:r>
            <w:r w:rsidR="00231EB3">
              <w:rPr>
                <w:noProof/>
                <w:webHidden/>
              </w:rPr>
              <w:fldChar w:fldCharType="begin"/>
            </w:r>
            <w:r w:rsidR="00231EB3">
              <w:rPr>
                <w:noProof/>
                <w:webHidden/>
              </w:rPr>
              <w:instrText xml:space="preserve"> PAGEREF _Toc118460219 \h </w:instrText>
            </w:r>
            <w:r w:rsidR="00231EB3">
              <w:rPr>
                <w:noProof/>
                <w:webHidden/>
              </w:rPr>
            </w:r>
            <w:r w:rsidR="00231EB3">
              <w:rPr>
                <w:noProof/>
                <w:webHidden/>
              </w:rPr>
              <w:fldChar w:fldCharType="separate"/>
            </w:r>
            <w:r w:rsidR="00231EB3">
              <w:rPr>
                <w:noProof/>
                <w:webHidden/>
              </w:rPr>
              <w:t>147</w:t>
            </w:r>
            <w:r w:rsidR="00231EB3">
              <w:rPr>
                <w:noProof/>
                <w:webHidden/>
              </w:rPr>
              <w:fldChar w:fldCharType="end"/>
            </w:r>
          </w:hyperlink>
        </w:p>
        <w:p w14:paraId="676FBD5C" w14:textId="77777777" w:rsidR="00231EB3" w:rsidRDefault="007F30D6">
          <w:pPr>
            <w:pStyle w:val="TOC3"/>
            <w:rPr>
              <w:rFonts w:asciiTheme="minorHAnsi" w:hAnsiTheme="minorHAnsi"/>
              <w:noProof/>
              <w:szCs w:val="22"/>
              <w:lang w:eastAsia="en-AU"/>
            </w:rPr>
          </w:pPr>
          <w:hyperlink w:anchor="_Toc118460220" w:history="1">
            <w:r w:rsidR="00231EB3" w:rsidRPr="00234EFC">
              <w:rPr>
                <w:rStyle w:val="Hyperlink"/>
                <w:noProof/>
              </w:rPr>
              <w:t>8.2</w:t>
            </w:r>
            <w:r w:rsidR="00231EB3">
              <w:rPr>
                <w:rFonts w:asciiTheme="minorHAnsi" w:hAnsiTheme="minorHAnsi"/>
                <w:noProof/>
                <w:szCs w:val="22"/>
                <w:lang w:eastAsia="en-AU"/>
              </w:rPr>
              <w:tab/>
            </w:r>
            <w:r w:rsidR="00231EB3" w:rsidRPr="00234EFC">
              <w:rPr>
                <w:rStyle w:val="Hyperlink"/>
                <w:noProof/>
              </w:rPr>
              <w:t>Risk Management</w:t>
            </w:r>
            <w:r w:rsidR="00231EB3">
              <w:rPr>
                <w:noProof/>
                <w:webHidden/>
              </w:rPr>
              <w:tab/>
            </w:r>
            <w:r w:rsidR="00231EB3">
              <w:rPr>
                <w:noProof/>
                <w:webHidden/>
              </w:rPr>
              <w:fldChar w:fldCharType="begin"/>
            </w:r>
            <w:r w:rsidR="00231EB3">
              <w:rPr>
                <w:noProof/>
                <w:webHidden/>
              </w:rPr>
              <w:instrText xml:space="preserve"> PAGEREF _Toc118460220 \h </w:instrText>
            </w:r>
            <w:r w:rsidR="00231EB3">
              <w:rPr>
                <w:noProof/>
                <w:webHidden/>
              </w:rPr>
            </w:r>
            <w:r w:rsidR="00231EB3">
              <w:rPr>
                <w:noProof/>
                <w:webHidden/>
              </w:rPr>
              <w:fldChar w:fldCharType="separate"/>
            </w:r>
            <w:r w:rsidR="00231EB3">
              <w:rPr>
                <w:noProof/>
                <w:webHidden/>
              </w:rPr>
              <w:t>149</w:t>
            </w:r>
            <w:r w:rsidR="00231EB3">
              <w:rPr>
                <w:noProof/>
                <w:webHidden/>
              </w:rPr>
              <w:fldChar w:fldCharType="end"/>
            </w:r>
          </w:hyperlink>
        </w:p>
        <w:p w14:paraId="44C0649D" w14:textId="77777777" w:rsidR="00231EB3" w:rsidRDefault="007F30D6">
          <w:pPr>
            <w:pStyle w:val="TOC2"/>
            <w:rPr>
              <w:rFonts w:asciiTheme="minorHAnsi" w:hAnsiTheme="minorHAnsi"/>
              <w:noProof/>
              <w:szCs w:val="22"/>
              <w:lang w:eastAsia="en-AU"/>
            </w:rPr>
          </w:pPr>
          <w:hyperlink w:anchor="_Toc118460221" w:history="1">
            <w:r w:rsidR="00231EB3" w:rsidRPr="00234EFC">
              <w:rPr>
                <w:rStyle w:val="Hyperlink"/>
                <w:noProof/>
                <w14:scene3d>
                  <w14:camera w14:prst="orthographicFront"/>
                  <w14:lightRig w14:rig="threePt" w14:dir="t">
                    <w14:rot w14:lat="0" w14:lon="0" w14:rev="0"/>
                  </w14:lightRig>
                </w14:scene3d>
              </w:rPr>
              <w:t>Section 9:</w:t>
            </w:r>
            <w:r w:rsidR="00231EB3" w:rsidRPr="00234EFC">
              <w:rPr>
                <w:rStyle w:val="Hyperlink"/>
                <w:noProof/>
              </w:rPr>
              <w:t xml:space="preserve"> Recommendations</w:t>
            </w:r>
            <w:r w:rsidR="00231EB3">
              <w:rPr>
                <w:noProof/>
                <w:webHidden/>
              </w:rPr>
              <w:tab/>
            </w:r>
            <w:r w:rsidR="00231EB3">
              <w:rPr>
                <w:noProof/>
                <w:webHidden/>
              </w:rPr>
              <w:fldChar w:fldCharType="begin"/>
            </w:r>
            <w:r w:rsidR="00231EB3">
              <w:rPr>
                <w:noProof/>
                <w:webHidden/>
              </w:rPr>
              <w:instrText xml:space="preserve"> PAGEREF _Toc118460221 \h </w:instrText>
            </w:r>
            <w:r w:rsidR="00231EB3">
              <w:rPr>
                <w:noProof/>
                <w:webHidden/>
              </w:rPr>
            </w:r>
            <w:r w:rsidR="00231EB3">
              <w:rPr>
                <w:noProof/>
                <w:webHidden/>
              </w:rPr>
              <w:fldChar w:fldCharType="separate"/>
            </w:r>
            <w:r w:rsidR="00231EB3">
              <w:rPr>
                <w:noProof/>
                <w:webHidden/>
              </w:rPr>
              <w:t>152</w:t>
            </w:r>
            <w:r w:rsidR="00231EB3">
              <w:rPr>
                <w:noProof/>
                <w:webHidden/>
              </w:rPr>
              <w:fldChar w:fldCharType="end"/>
            </w:r>
          </w:hyperlink>
        </w:p>
        <w:p w14:paraId="23E0ADFC" w14:textId="77777777" w:rsidR="00231EB3" w:rsidRDefault="007F30D6">
          <w:pPr>
            <w:pStyle w:val="TOC3"/>
            <w:rPr>
              <w:rFonts w:asciiTheme="minorHAnsi" w:hAnsiTheme="minorHAnsi"/>
              <w:noProof/>
              <w:szCs w:val="22"/>
              <w:lang w:eastAsia="en-AU"/>
            </w:rPr>
          </w:pPr>
          <w:hyperlink w:anchor="_Toc118460222" w:history="1">
            <w:r w:rsidR="00231EB3" w:rsidRPr="00234EFC">
              <w:rPr>
                <w:rStyle w:val="Hyperlink"/>
                <w:noProof/>
              </w:rPr>
              <w:t>9.1</w:t>
            </w:r>
            <w:r w:rsidR="00231EB3">
              <w:rPr>
                <w:rFonts w:asciiTheme="minorHAnsi" w:hAnsiTheme="minorHAnsi"/>
                <w:noProof/>
                <w:szCs w:val="22"/>
                <w:lang w:eastAsia="en-AU"/>
              </w:rPr>
              <w:tab/>
            </w:r>
            <w:r w:rsidR="00231EB3" w:rsidRPr="00234EFC">
              <w:rPr>
                <w:rStyle w:val="Hyperlink"/>
                <w:noProof/>
              </w:rPr>
              <w:t>Pr</w:t>
            </w:r>
            <w:r w:rsidR="00231EB3" w:rsidRPr="00234EFC">
              <w:rPr>
                <w:rStyle w:val="Hyperlink"/>
                <w:noProof/>
              </w:rPr>
              <w:t>o</w:t>
            </w:r>
            <w:r w:rsidR="00231EB3" w:rsidRPr="00234EFC">
              <w:rPr>
                <w:rStyle w:val="Hyperlink"/>
                <w:noProof/>
              </w:rPr>
              <w:t>gress on previous recommendations</w:t>
            </w:r>
            <w:r w:rsidR="00231EB3">
              <w:rPr>
                <w:noProof/>
                <w:webHidden/>
              </w:rPr>
              <w:tab/>
            </w:r>
            <w:r w:rsidR="00231EB3">
              <w:rPr>
                <w:noProof/>
                <w:webHidden/>
              </w:rPr>
              <w:fldChar w:fldCharType="begin"/>
            </w:r>
            <w:r w:rsidR="00231EB3">
              <w:rPr>
                <w:noProof/>
                <w:webHidden/>
              </w:rPr>
              <w:instrText xml:space="preserve"> PAGEREF _Toc118460222 \h </w:instrText>
            </w:r>
            <w:r w:rsidR="00231EB3">
              <w:rPr>
                <w:noProof/>
                <w:webHidden/>
              </w:rPr>
            </w:r>
            <w:r w:rsidR="00231EB3">
              <w:rPr>
                <w:noProof/>
                <w:webHidden/>
              </w:rPr>
              <w:fldChar w:fldCharType="separate"/>
            </w:r>
            <w:r w:rsidR="00231EB3">
              <w:rPr>
                <w:noProof/>
                <w:webHidden/>
              </w:rPr>
              <w:t>152</w:t>
            </w:r>
            <w:r w:rsidR="00231EB3">
              <w:rPr>
                <w:noProof/>
                <w:webHidden/>
              </w:rPr>
              <w:fldChar w:fldCharType="end"/>
            </w:r>
          </w:hyperlink>
        </w:p>
        <w:p w14:paraId="7D7F52F1" w14:textId="77777777" w:rsidR="00231EB3" w:rsidRDefault="007F30D6">
          <w:pPr>
            <w:pStyle w:val="TOC3"/>
            <w:rPr>
              <w:rFonts w:asciiTheme="minorHAnsi" w:hAnsiTheme="minorHAnsi"/>
              <w:noProof/>
              <w:szCs w:val="22"/>
              <w:lang w:eastAsia="en-AU"/>
            </w:rPr>
          </w:pPr>
          <w:hyperlink w:anchor="_Toc118460223" w:history="1">
            <w:r w:rsidR="00231EB3" w:rsidRPr="00234EFC">
              <w:rPr>
                <w:rStyle w:val="Hyperlink"/>
                <w:noProof/>
              </w:rPr>
              <w:t>9.2</w:t>
            </w:r>
            <w:r w:rsidR="00231EB3">
              <w:rPr>
                <w:rFonts w:asciiTheme="minorHAnsi" w:hAnsiTheme="minorHAnsi"/>
                <w:noProof/>
                <w:szCs w:val="22"/>
                <w:lang w:eastAsia="en-AU"/>
              </w:rPr>
              <w:tab/>
            </w:r>
            <w:r w:rsidR="00231EB3" w:rsidRPr="00234EFC">
              <w:rPr>
                <w:rStyle w:val="Hyperlink"/>
                <w:noProof/>
              </w:rPr>
              <w:t>New recommendations</w:t>
            </w:r>
            <w:r w:rsidR="00231EB3">
              <w:rPr>
                <w:noProof/>
                <w:webHidden/>
              </w:rPr>
              <w:tab/>
            </w:r>
            <w:r w:rsidR="00231EB3">
              <w:rPr>
                <w:noProof/>
                <w:webHidden/>
              </w:rPr>
              <w:fldChar w:fldCharType="begin"/>
            </w:r>
            <w:r w:rsidR="00231EB3">
              <w:rPr>
                <w:noProof/>
                <w:webHidden/>
              </w:rPr>
              <w:instrText xml:space="preserve"> PAGEREF _Toc118460223 \h </w:instrText>
            </w:r>
            <w:r w:rsidR="00231EB3">
              <w:rPr>
                <w:noProof/>
                <w:webHidden/>
              </w:rPr>
            </w:r>
            <w:r w:rsidR="00231EB3">
              <w:rPr>
                <w:noProof/>
                <w:webHidden/>
              </w:rPr>
              <w:fldChar w:fldCharType="separate"/>
            </w:r>
            <w:r w:rsidR="00231EB3">
              <w:rPr>
                <w:noProof/>
                <w:webHidden/>
              </w:rPr>
              <w:t>157</w:t>
            </w:r>
            <w:r w:rsidR="00231EB3">
              <w:rPr>
                <w:noProof/>
                <w:webHidden/>
              </w:rPr>
              <w:fldChar w:fldCharType="end"/>
            </w:r>
          </w:hyperlink>
        </w:p>
        <w:p w14:paraId="189DE2D0" w14:textId="77777777" w:rsidR="00231EB3" w:rsidRDefault="007F30D6">
          <w:pPr>
            <w:pStyle w:val="TOC2"/>
            <w:rPr>
              <w:rFonts w:asciiTheme="minorHAnsi" w:hAnsiTheme="minorHAnsi"/>
              <w:noProof/>
              <w:szCs w:val="22"/>
              <w:lang w:eastAsia="en-AU"/>
            </w:rPr>
          </w:pPr>
          <w:hyperlink w:anchor="_Toc118460224" w:history="1">
            <w:r w:rsidR="00231EB3" w:rsidRPr="00234EFC">
              <w:rPr>
                <w:rStyle w:val="Hyperlink"/>
                <w:noProof/>
              </w:rPr>
              <w:t>Appendix A:</w:t>
            </w:r>
            <w:r w:rsidR="00231EB3">
              <w:rPr>
                <w:rFonts w:asciiTheme="minorHAnsi" w:hAnsiTheme="minorHAnsi"/>
                <w:noProof/>
                <w:szCs w:val="22"/>
                <w:lang w:eastAsia="en-AU"/>
              </w:rPr>
              <w:tab/>
            </w:r>
            <w:r w:rsidR="00231EB3" w:rsidRPr="00234EFC">
              <w:rPr>
                <w:rStyle w:val="Hyperlink"/>
                <w:noProof/>
              </w:rPr>
              <w:t>Average payment assumption setting details</w:t>
            </w:r>
            <w:r w:rsidR="00231EB3">
              <w:rPr>
                <w:noProof/>
                <w:webHidden/>
              </w:rPr>
              <w:tab/>
            </w:r>
            <w:r w:rsidR="00231EB3">
              <w:rPr>
                <w:noProof/>
                <w:webHidden/>
              </w:rPr>
              <w:fldChar w:fldCharType="begin"/>
            </w:r>
            <w:r w:rsidR="00231EB3">
              <w:rPr>
                <w:noProof/>
                <w:webHidden/>
              </w:rPr>
              <w:instrText xml:space="preserve"> PAGEREF _Toc118460224 \h </w:instrText>
            </w:r>
            <w:r w:rsidR="00231EB3">
              <w:rPr>
                <w:noProof/>
                <w:webHidden/>
              </w:rPr>
            </w:r>
            <w:r w:rsidR="00231EB3">
              <w:rPr>
                <w:noProof/>
                <w:webHidden/>
              </w:rPr>
              <w:fldChar w:fldCharType="separate"/>
            </w:r>
            <w:r w:rsidR="00231EB3">
              <w:rPr>
                <w:noProof/>
                <w:webHidden/>
              </w:rPr>
              <w:t>162</w:t>
            </w:r>
            <w:r w:rsidR="00231EB3">
              <w:rPr>
                <w:noProof/>
                <w:webHidden/>
              </w:rPr>
              <w:fldChar w:fldCharType="end"/>
            </w:r>
          </w:hyperlink>
        </w:p>
        <w:p w14:paraId="7C12F164" w14:textId="77777777" w:rsidR="00231EB3" w:rsidRDefault="007F30D6">
          <w:pPr>
            <w:pStyle w:val="TOC2"/>
            <w:rPr>
              <w:rFonts w:asciiTheme="minorHAnsi" w:hAnsiTheme="minorHAnsi"/>
              <w:noProof/>
              <w:szCs w:val="22"/>
              <w:lang w:eastAsia="en-AU"/>
            </w:rPr>
          </w:pPr>
          <w:hyperlink w:anchor="_Toc118460225" w:history="1">
            <w:r w:rsidR="00231EB3" w:rsidRPr="00234EFC">
              <w:rPr>
                <w:rStyle w:val="Hyperlink"/>
                <w:noProof/>
              </w:rPr>
              <w:t>Appendix B:</w:t>
            </w:r>
            <w:r w:rsidR="00231EB3">
              <w:rPr>
                <w:rFonts w:asciiTheme="minorHAnsi" w:hAnsiTheme="minorHAnsi"/>
                <w:noProof/>
                <w:szCs w:val="22"/>
                <w:lang w:eastAsia="en-AU"/>
              </w:rPr>
              <w:tab/>
            </w:r>
            <w:r w:rsidR="00231EB3" w:rsidRPr="00234EFC">
              <w:rPr>
                <w:rStyle w:val="Hyperlink"/>
                <w:noProof/>
              </w:rPr>
              <w:t>Comparison to previous review – detailed tables</w:t>
            </w:r>
            <w:r w:rsidR="00231EB3">
              <w:rPr>
                <w:noProof/>
                <w:webHidden/>
              </w:rPr>
              <w:tab/>
            </w:r>
            <w:r w:rsidR="00231EB3">
              <w:rPr>
                <w:noProof/>
                <w:webHidden/>
              </w:rPr>
              <w:fldChar w:fldCharType="begin"/>
            </w:r>
            <w:r w:rsidR="00231EB3">
              <w:rPr>
                <w:noProof/>
                <w:webHidden/>
              </w:rPr>
              <w:instrText xml:space="preserve"> PAGEREF _Toc118460225 \h </w:instrText>
            </w:r>
            <w:r w:rsidR="00231EB3">
              <w:rPr>
                <w:noProof/>
                <w:webHidden/>
              </w:rPr>
            </w:r>
            <w:r w:rsidR="00231EB3">
              <w:rPr>
                <w:noProof/>
                <w:webHidden/>
              </w:rPr>
              <w:fldChar w:fldCharType="separate"/>
            </w:r>
            <w:r w:rsidR="00231EB3">
              <w:rPr>
                <w:noProof/>
                <w:webHidden/>
              </w:rPr>
              <w:t>167</w:t>
            </w:r>
            <w:r w:rsidR="00231EB3">
              <w:rPr>
                <w:noProof/>
                <w:webHidden/>
              </w:rPr>
              <w:fldChar w:fldCharType="end"/>
            </w:r>
          </w:hyperlink>
        </w:p>
        <w:p w14:paraId="7DC3937E" w14:textId="77777777" w:rsidR="00231EB3" w:rsidRDefault="007F30D6">
          <w:pPr>
            <w:pStyle w:val="TOC2"/>
            <w:rPr>
              <w:rFonts w:asciiTheme="minorHAnsi" w:hAnsiTheme="minorHAnsi"/>
              <w:noProof/>
              <w:szCs w:val="22"/>
              <w:lang w:eastAsia="en-AU"/>
            </w:rPr>
          </w:pPr>
          <w:hyperlink w:anchor="_Toc118460226" w:history="1">
            <w:r w:rsidR="00231EB3" w:rsidRPr="00234EFC">
              <w:rPr>
                <w:rStyle w:val="Hyperlink"/>
                <w:noProof/>
              </w:rPr>
              <w:t>Appendix C:</w:t>
            </w:r>
            <w:r w:rsidR="00231EB3">
              <w:rPr>
                <w:rFonts w:asciiTheme="minorHAnsi" w:hAnsiTheme="minorHAnsi"/>
                <w:noProof/>
                <w:szCs w:val="22"/>
                <w:lang w:eastAsia="en-AU"/>
              </w:rPr>
              <w:tab/>
            </w:r>
            <w:r w:rsidR="00231EB3" w:rsidRPr="00234EFC">
              <w:rPr>
                <w:rStyle w:val="Hyperlink"/>
                <w:noProof/>
              </w:rPr>
              <w:t>Reconciliation to previous review</w:t>
            </w:r>
            <w:r w:rsidR="00231EB3">
              <w:rPr>
                <w:noProof/>
                <w:webHidden/>
              </w:rPr>
              <w:tab/>
            </w:r>
            <w:r w:rsidR="00231EB3">
              <w:rPr>
                <w:noProof/>
                <w:webHidden/>
              </w:rPr>
              <w:fldChar w:fldCharType="begin"/>
            </w:r>
            <w:r w:rsidR="00231EB3">
              <w:rPr>
                <w:noProof/>
                <w:webHidden/>
              </w:rPr>
              <w:instrText xml:space="preserve"> PAGEREF _Toc118460226 \h </w:instrText>
            </w:r>
            <w:r w:rsidR="00231EB3">
              <w:rPr>
                <w:noProof/>
                <w:webHidden/>
              </w:rPr>
            </w:r>
            <w:r w:rsidR="00231EB3">
              <w:rPr>
                <w:noProof/>
                <w:webHidden/>
              </w:rPr>
              <w:fldChar w:fldCharType="separate"/>
            </w:r>
            <w:r w:rsidR="00231EB3">
              <w:rPr>
                <w:noProof/>
                <w:webHidden/>
              </w:rPr>
              <w:t>175</w:t>
            </w:r>
            <w:r w:rsidR="00231EB3">
              <w:rPr>
                <w:noProof/>
                <w:webHidden/>
              </w:rPr>
              <w:fldChar w:fldCharType="end"/>
            </w:r>
          </w:hyperlink>
        </w:p>
        <w:p w14:paraId="52FE46E0" w14:textId="77777777" w:rsidR="00231EB3" w:rsidRDefault="007F30D6">
          <w:pPr>
            <w:pStyle w:val="TOC2"/>
            <w:rPr>
              <w:rFonts w:asciiTheme="minorHAnsi" w:hAnsiTheme="minorHAnsi"/>
              <w:noProof/>
              <w:szCs w:val="22"/>
              <w:lang w:eastAsia="en-AU"/>
            </w:rPr>
          </w:pPr>
          <w:hyperlink w:anchor="_Toc118460227" w:history="1">
            <w:r w:rsidR="00231EB3" w:rsidRPr="00234EFC">
              <w:rPr>
                <w:rStyle w:val="Hyperlink"/>
                <w:noProof/>
              </w:rPr>
              <w:t>Appendix D:</w:t>
            </w:r>
            <w:r w:rsidR="00231EB3">
              <w:rPr>
                <w:rFonts w:asciiTheme="minorHAnsi" w:hAnsiTheme="minorHAnsi"/>
                <w:noProof/>
                <w:szCs w:val="22"/>
                <w:lang w:eastAsia="en-AU"/>
              </w:rPr>
              <w:tab/>
            </w:r>
            <w:r w:rsidR="00231EB3" w:rsidRPr="00234EFC">
              <w:rPr>
                <w:rStyle w:val="Hyperlink"/>
                <w:noProof/>
              </w:rPr>
              <w:t>State and Territory breakdown</w:t>
            </w:r>
            <w:r w:rsidR="00231EB3">
              <w:rPr>
                <w:noProof/>
                <w:webHidden/>
              </w:rPr>
              <w:tab/>
            </w:r>
            <w:r w:rsidR="00231EB3">
              <w:rPr>
                <w:noProof/>
                <w:webHidden/>
              </w:rPr>
              <w:fldChar w:fldCharType="begin"/>
            </w:r>
            <w:r w:rsidR="00231EB3">
              <w:rPr>
                <w:noProof/>
                <w:webHidden/>
              </w:rPr>
              <w:instrText xml:space="preserve"> PAGEREF _Toc118460227 \h </w:instrText>
            </w:r>
            <w:r w:rsidR="00231EB3">
              <w:rPr>
                <w:noProof/>
                <w:webHidden/>
              </w:rPr>
            </w:r>
            <w:r w:rsidR="00231EB3">
              <w:rPr>
                <w:noProof/>
                <w:webHidden/>
              </w:rPr>
              <w:fldChar w:fldCharType="separate"/>
            </w:r>
            <w:r w:rsidR="00231EB3">
              <w:rPr>
                <w:noProof/>
                <w:webHidden/>
              </w:rPr>
              <w:t>177</w:t>
            </w:r>
            <w:r w:rsidR="00231EB3">
              <w:rPr>
                <w:noProof/>
                <w:webHidden/>
              </w:rPr>
              <w:fldChar w:fldCharType="end"/>
            </w:r>
          </w:hyperlink>
        </w:p>
        <w:p w14:paraId="7FF1F42F" w14:textId="77777777" w:rsidR="00231EB3" w:rsidRDefault="007F30D6">
          <w:pPr>
            <w:pStyle w:val="TOC2"/>
            <w:rPr>
              <w:rFonts w:asciiTheme="minorHAnsi" w:hAnsiTheme="minorHAnsi"/>
              <w:noProof/>
              <w:szCs w:val="22"/>
              <w:lang w:eastAsia="en-AU"/>
            </w:rPr>
          </w:pPr>
          <w:hyperlink w:anchor="_Toc118460228" w:history="1">
            <w:r w:rsidR="00231EB3" w:rsidRPr="00234EFC">
              <w:rPr>
                <w:rStyle w:val="Hyperlink"/>
                <w:noProof/>
              </w:rPr>
              <w:t>Appendix E:</w:t>
            </w:r>
            <w:r w:rsidR="00231EB3">
              <w:rPr>
                <w:rFonts w:asciiTheme="minorHAnsi" w:hAnsiTheme="minorHAnsi"/>
                <w:noProof/>
                <w:szCs w:val="22"/>
                <w:lang w:eastAsia="en-AU"/>
              </w:rPr>
              <w:tab/>
            </w:r>
            <w:r w:rsidR="00231EB3" w:rsidRPr="00234EFC">
              <w:rPr>
                <w:rStyle w:val="Hyperlink"/>
                <w:noProof/>
              </w:rPr>
              <w:t>Historic average participant payments by SIL type</w:t>
            </w:r>
            <w:r w:rsidR="00231EB3">
              <w:rPr>
                <w:noProof/>
                <w:webHidden/>
              </w:rPr>
              <w:tab/>
            </w:r>
            <w:r w:rsidR="00231EB3">
              <w:rPr>
                <w:noProof/>
                <w:webHidden/>
              </w:rPr>
              <w:fldChar w:fldCharType="begin"/>
            </w:r>
            <w:r w:rsidR="00231EB3">
              <w:rPr>
                <w:noProof/>
                <w:webHidden/>
              </w:rPr>
              <w:instrText xml:space="preserve"> PAGEREF _Toc118460228 \h </w:instrText>
            </w:r>
            <w:r w:rsidR="00231EB3">
              <w:rPr>
                <w:noProof/>
                <w:webHidden/>
              </w:rPr>
            </w:r>
            <w:r w:rsidR="00231EB3">
              <w:rPr>
                <w:noProof/>
                <w:webHidden/>
              </w:rPr>
              <w:fldChar w:fldCharType="separate"/>
            </w:r>
            <w:r w:rsidR="00231EB3">
              <w:rPr>
                <w:noProof/>
                <w:webHidden/>
              </w:rPr>
              <w:t>178</w:t>
            </w:r>
            <w:r w:rsidR="00231EB3">
              <w:rPr>
                <w:noProof/>
                <w:webHidden/>
              </w:rPr>
              <w:fldChar w:fldCharType="end"/>
            </w:r>
          </w:hyperlink>
        </w:p>
        <w:p w14:paraId="0031B619" w14:textId="77777777" w:rsidR="00231EB3" w:rsidRDefault="007F30D6">
          <w:pPr>
            <w:pStyle w:val="TOC2"/>
            <w:rPr>
              <w:rFonts w:asciiTheme="minorHAnsi" w:hAnsiTheme="minorHAnsi"/>
              <w:noProof/>
              <w:szCs w:val="22"/>
              <w:lang w:eastAsia="en-AU"/>
            </w:rPr>
          </w:pPr>
          <w:hyperlink w:anchor="_Toc118460229" w:history="1">
            <w:r w:rsidR="00231EB3" w:rsidRPr="00234EFC">
              <w:rPr>
                <w:rStyle w:val="Hyperlink"/>
                <w:noProof/>
              </w:rPr>
              <w:t>Appendix F:</w:t>
            </w:r>
            <w:r w:rsidR="00231EB3">
              <w:rPr>
                <w:rFonts w:asciiTheme="minorHAnsi" w:hAnsiTheme="minorHAnsi"/>
                <w:noProof/>
                <w:szCs w:val="22"/>
                <w:lang w:eastAsia="en-AU"/>
              </w:rPr>
              <w:tab/>
            </w:r>
            <w:r w:rsidR="00231EB3" w:rsidRPr="00234EFC">
              <w:rPr>
                <w:rStyle w:val="Hyperlink"/>
                <w:noProof/>
              </w:rPr>
              <w:t>Scenario analysis from previous AFSRs</w:t>
            </w:r>
            <w:r w:rsidR="00231EB3">
              <w:rPr>
                <w:noProof/>
                <w:webHidden/>
              </w:rPr>
              <w:tab/>
            </w:r>
            <w:r w:rsidR="00231EB3">
              <w:rPr>
                <w:noProof/>
                <w:webHidden/>
              </w:rPr>
              <w:fldChar w:fldCharType="begin"/>
            </w:r>
            <w:r w:rsidR="00231EB3">
              <w:rPr>
                <w:noProof/>
                <w:webHidden/>
              </w:rPr>
              <w:instrText xml:space="preserve"> PAGEREF _Toc118460229 \h </w:instrText>
            </w:r>
            <w:r w:rsidR="00231EB3">
              <w:rPr>
                <w:noProof/>
                <w:webHidden/>
              </w:rPr>
            </w:r>
            <w:r w:rsidR="00231EB3">
              <w:rPr>
                <w:noProof/>
                <w:webHidden/>
              </w:rPr>
              <w:fldChar w:fldCharType="separate"/>
            </w:r>
            <w:r w:rsidR="00231EB3">
              <w:rPr>
                <w:noProof/>
                <w:webHidden/>
              </w:rPr>
              <w:t>179</w:t>
            </w:r>
            <w:r w:rsidR="00231EB3">
              <w:rPr>
                <w:noProof/>
                <w:webHidden/>
              </w:rPr>
              <w:fldChar w:fldCharType="end"/>
            </w:r>
          </w:hyperlink>
        </w:p>
        <w:p w14:paraId="0E239CD9" w14:textId="77777777" w:rsidR="00231EB3" w:rsidRDefault="007F30D6">
          <w:pPr>
            <w:pStyle w:val="TOC2"/>
            <w:rPr>
              <w:rFonts w:asciiTheme="minorHAnsi" w:hAnsiTheme="minorHAnsi"/>
              <w:noProof/>
              <w:szCs w:val="22"/>
              <w:lang w:eastAsia="en-AU"/>
            </w:rPr>
          </w:pPr>
          <w:hyperlink w:anchor="_Toc118460230" w:history="1">
            <w:r w:rsidR="00231EB3" w:rsidRPr="00234EFC">
              <w:rPr>
                <w:rStyle w:val="Hyperlink"/>
                <w:noProof/>
              </w:rPr>
              <w:t>Appendix G:</w:t>
            </w:r>
            <w:r w:rsidR="00231EB3">
              <w:rPr>
                <w:rFonts w:asciiTheme="minorHAnsi" w:hAnsiTheme="minorHAnsi"/>
                <w:noProof/>
                <w:szCs w:val="22"/>
                <w:lang w:eastAsia="en-AU"/>
              </w:rPr>
              <w:tab/>
            </w:r>
            <w:r w:rsidR="00231EB3" w:rsidRPr="00234EFC">
              <w:rPr>
                <w:rStyle w:val="Hyperlink"/>
                <w:noProof/>
              </w:rPr>
              <w:t>Scenario analysis of participant numbers</w:t>
            </w:r>
            <w:r w:rsidR="00231EB3">
              <w:rPr>
                <w:noProof/>
                <w:webHidden/>
              </w:rPr>
              <w:tab/>
            </w:r>
            <w:r w:rsidR="00231EB3">
              <w:rPr>
                <w:noProof/>
                <w:webHidden/>
              </w:rPr>
              <w:fldChar w:fldCharType="begin"/>
            </w:r>
            <w:r w:rsidR="00231EB3">
              <w:rPr>
                <w:noProof/>
                <w:webHidden/>
              </w:rPr>
              <w:instrText xml:space="preserve"> PAGEREF _Toc118460230 \h </w:instrText>
            </w:r>
            <w:r w:rsidR="00231EB3">
              <w:rPr>
                <w:noProof/>
                <w:webHidden/>
              </w:rPr>
            </w:r>
            <w:r w:rsidR="00231EB3">
              <w:rPr>
                <w:noProof/>
                <w:webHidden/>
              </w:rPr>
              <w:fldChar w:fldCharType="separate"/>
            </w:r>
            <w:r w:rsidR="00231EB3">
              <w:rPr>
                <w:noProof/>
                <w:webHidden/>
              </w:rPr>
              <w:t>183</w:t>
            </w:r>
            <w:r w:rsidR="00231EB3">
              <w:rPr>
                <w:noProof/>
                <w:webHidden/>
              </w:rPr>
              <w:fldChar w:fldCharType="end"/>
            </w:r>
          </w:hyperlink>
        </w:p>
        <w:p w14:paraId="0744FA6B" w14:textId="77777777" w:rsidR="00231EB3" w:rsidRDefault="007F30D6">
          <w:pPr>
            <w:pStyle w:val="TOC2"/>
            <w:rPr>
              <w:rFonts w:asciiTheme="minorHAnsi" w:hAnsiTheme="minorHAnsi"/>
              <w:noProof/>
              <w:szCs w:val="22"/>
              <w:lang w:eastAsia="en-AU"/>
            </w:rPr>
          </w:pPr>
          <w:hyperlink w:anchor="_Toc118460231" w:history="1">
            <w:r w:rsidR="00231EB3" w:rsidRPr="00234EFC">
              <w:rPr>
                <w:rStyle w:val="Hyperlink"/>
                <w:noProof/>
              </w:rPr>
              <w:t xml:space="preserve">Appendix H: </w:t>
            </w:r>
            <w:r w:rsidR="00231EB3">
              <w:rPr>
                <w:rFonts w:asciiTheme="minorHAnsi" w:hAnsiTheme="minorHAnsi"/>
                <w:noProof/>
                <w:szCs w:val="22"/>
                <w:lang w:eastAsia="en-AU"/>
              </w:rPr>
              <w:tab/>
            </w:r>
            <w:r w:rsidR="00231EB3" w:rsidRPr="00234EFC">
              <w:rPr>
                <w:rStyle w:val="Hyperlink"/>
                <w:noProof/>
              </w:rPr>
              <w:t>Analysis of Scheme new entrant rates</w:t>
            </w:r>
            <w:r w:rsidR="00231EB3">
              <w:rPr>
                <w:noProof/>
                <w:webHidden/>
              </w:rPr>
              <w:tab/>
            </w:r>
            <w:r w:rsidR="00231EB3">
              <w:rPr>
                <w:noProof/>
                <w:webHidden/>
              </w:rPr>
              <w:fldChar w:fldCharType="begin"/>
            </w:r>
            <w:r w:rsidR="00231EB3">
              <w:rPr>
                <w:noProof/>
                <w:webHidden/>
              </w:rPr>
              <w:instrText xml:space="preserve"> PAGEREF _Toc118460231 \h </w:instrText>
            </w:r>
            <w:r w:rsidR="00231EB3">
              <w:rPr>
                <w:noProof/>
                <w:webHidden/>
              </w:rPr>
            </w:r>
            <w:r w:rsidR="00231EB3">
              <w:rPr>
                <w:noProof/>
                <w:webHidden/>
              </w:rPr>
              <w:fldChar w:fldCharType="separate"/>
            </w:r>
            <w:r w:rsidR="00231EB3">
              <w:rPr>
                <w:noProof/>
                <w:webHidden/>
              </w:rPr>
              <w:t>187</w:t>
            </w:r>
            <w:r w:rsidR="00231EB3">
              <w:rPr>
                <w:noProof/>
                <w:webHidden/>
              </w:rPr>
              <w:fldChar w:fldCharType="end"/>
            </w:r>
          </w:hyperlink>
        </w:p>
        <w:p w14:paraId="7C478496" w14:textId="77777777" w:rsidR="00231EB3" w:rsidRDefault="007F30D6">
          <w:pPr>
            <w:pStyle w:val="TOC2"/>
            <w:rPr>
              <w:rFonts w:asciiTheme="minorHAnsi" w:hAnsiTheme="minorHAnsi"/>
              <w:noProof/>
              <w:szCs w:val="22"/>
              <w:lang w:eastAsia="en-AU"/>
            </w:rPr>
          </w:pPr>
          <w:hyperlink w:anchor="_Toc118460232" w:history="1">
            <w:r w:rsidR="00231EB3" w:rsidRPr="00234EFC">
              <w:rPr>
                <w:rStyle w:val="Hyperlink"/>
                <w:noProof/>
              </w:rPr>
              <w:t xml:space="preserve">Appendix I: </w:t>
            </w:r>
            <w:r w:rsidR="00231EB3">
              <w:rPr>
                <w:rFonts w:asciiTheme="minorHAnsi" w:hAnsiTheme="minorHAnsi"/>
                <w:noProof/>
                <w:szCs w:val="22"/>
                <w:lang w:eastAsia="en-AU"/>
              </w:rPr>
              <w:tab/>
            </w:r>
            <w:r w:rsidR="00231EB3" w:rsidRPr="00234EFC">
              <w:rPr>
                <w:rStyle w:val="Hyperlink"/>
                <w:noProof/>
              </w:rPr>
              <w:t>Analysis of experience of participants leaving the Scheme</w:t>
            </w:r>
            <w:r w:rsidR="00231EB3">
              <w:rPr>
                <w:noProof/>
                <w:webHidden/>
              </w:rPr>
              <w:tab/>
            </w:r>
            <w:r w:rsidR="00231EB3">
              <w:rPr>
                <w:noProof/>
                <w:webHidden/>
              </w:rPr>
              <w:fldChar w:fldCharType="begin"/>
            </w:r>
            <w:r w:rsidR="00231EB3">
              <w:rPr>
                <w:noProof/>
                <w:webHidden/>
              </w:rPr>
              <w:instrText xml:space="preserve"> PAGEREF _Toc118460232 \h </w:instrText>
            </w:r>
            <w:r w:rsidR="00231EB3">
              <w:rPr>
                <w:noProof/>
                <w:webHidden/>
              </w:rPr>
            </w:r>
            <w:r w:rsidR="00231EB3">
              <w:rPr>
                <w:noProof/>
                <w:webHidden/>
              </w:rPr>
              <w:fldChar w:fldCharType="separate"/>
            </w:r>
            <w:r w:rsidR="00231EB3">
              <w:rPr>
                <w:noProof/>
                <w:webHidden/>
              </w:rPr>
              <w:t>203</w:t>
            </w:r>
            <w:r w:rsidR="00231EB3">
              <w:rPr>
                <w:noProof/>
                <w:webHidden/>
              </w:rPr>
              <w:fldChar w:fldCharType="end"/>
            </w:r>
          </w:hyperlink>
        </w:p>
        <w:p w14:paraId="5EB656D9" w14:textId="77777777" w:rsidR="00231EB3" w:rsidRDefault="007F30D6">
          <w:pPr>
            <w:pStyle w:val="TOC2"/>
            <w:rPr>
              <w:rFonts w:asciiTheme="minorHAnsi" w:hAnsiTheme="minorHAnsi"/>
              <w:noProof/>
              <w:szCs w:val="22"/>
              <w:lang w:eastAsia="en-AU"/>
            </w:rPr>
          </w:pPr>
          <w:hyperlink w:anchor="_Toc118460233" w:history="1">
            <w:r w:rsidR="00231EB3" w:rsidRPr="00234EFC">
              <w:rPr>
                <w:rStyle w:val="Hyperlink"/>
                <w:noProof/>
              </w:rPr>
              <w:t>Appendix J:</w:t>
            </w:r>
            <w:r w:rsidR="00231EB3">
              <w:rPr>
                <w:rFonts w:asciiTheme="minorHAnsi" w:hAnsiTheme="minorHAnsi"/>
                <w:noProof/>
                <w:szCs w:val="22"/>
                <w:lang w:eastAsia="en-AU"/>
              </w:rPr>
              <w:tab/>
            </w:r>
            <w:r w:rsidR="00231EB3" w:rsidRPr="00234EFC">
              <w:rPr>
                <w:rStyle w:val="Hyperlink"/>
                <w:noProof/>
              </w:rPr>
              <w:t>Analysis of Scheme mortality experience</w:t>
            </w:r>
            <w:r w:rsidR="00231EB3">
              <w:rPr>
                <w:noProof/>
                <w:webHidden/>
              </w:rPr>
              <w:tab/>
            </w:r>
            <w:r w:rsidR="00231EB3">
              <w:rPr>
                <w:noProof/>
                <w:webHidden/>
              </w:rPr>
              <w:fldChar w:fldCharType="begin"/>
            </w:r>
            <w:r w:rsidR="00231EB3">
              <w:rPr>
                <w:noProof/>
                <w:webHidden/>
              </w:rPr>
              <w:instrText xml:space="preserve"> PAGEREF _Toc118460233 \h </w:instrText>
            </w:r>
            <w:r w:rsidR="00231EB3">
              <w:rPr>
                <w:noProof/>
                <w:webHidden/>
              </w:rPr>
            </w:r>
            <w:r w:rsidR="00231EB3">
              <w:rPr>
                <w:noProof/>
                <w:webHidden/>
              </w:rPr>
              <w:fldChar w:fldCharType="separate"/>
            </w:r>
            <w:r w:rsidR="00231EB3">
              <w:rPr>
                <w:noProof/>
                <w:webHidden/>
              </w:rPr>
              <w:t>216</w:t>
            </w:r>
            <w:r w:rsidR="00231EB3">
              <w:rPr>
                <w:noProof/>
                <w:webHidden/>
              </w:rPr>
              <w:fldChar w:fldCharType="end"/>
            </w:r>
          </w:hyperlink>
        </w:p>
        <w:p w14:paraId="142EA584" w14:textId="77777777" w:rsidR="00231EB3" w:rsidRDefault="007F30D6">
          <w:pPr>
            <w:pStyle w:val="TOC2"/>
            <w:rPr>
              <w:rFonts w:asciiTheme="minorHAnsi" w:hAnsiTheme="minorHAnsi"/>
              <w:noProof/>
              <w:szCs w:val="22"/>
              <w:lang w:eastAsia="en-AU"/>
            </w:rPr>
          </w:pPr>
          <w:hyperlink w:anchor="_Toc118460234" w:history="1">
            <w:r w:rsidR="00231EB3" w:rsidRPr="00234EFC">
              <w:rPr>
                <w:rStyle w:val="Hyperlink"/>
                <w:noProof/>
              </w:rPr>
              <w:t>Appendix K:</w:t>
            </w:r>
            <w:r w:rsidR="00231EB3">
              <w:rPr>
                <w:rFonts w:asciiTheme="minorHAnsi" w:hAnsiTheme="minorHAnsi"/>
                <w:noProof/>
                <w:szCs w:val="22"/>
                <w:lang w:eastAsia="en-AU"/>
              </w:rPr>
              <w:tab/>
            </w:r>
            <w:r w:rsidR="00231EB3" w:rsidRPr="00234EFC">
              <w:rPr>
                <w:rStyle w:val="Hyperlink"/>
                <w:noProof/>
              </w:rPr>
              <w:t>Investment Effectiveness Program</w:t>
            </w:r>
            <w:r w:rsidR="00231EB3">
              <w:rPr>
                <w:noProof/>
                <w:webHidden/>
              </w:rPr>
              <w:tab/>
            </w:r>
            <w:r w:rsidR="00231EB3">
              <w:rPr>
                <w:noProof/>
                <w:webHidden/>
              </w:rPr>
              <w:fldChar w:fldCharType="begin"/>
            </w:r>
            <w:r w:rsidR="00231EB3">
              <w:rPr>
                <w:noProof/>
                <w:webHidden/>
              </w:rPr>
              <w:instrText xml:space="preserve"> PAGEREF _Toc118460234 \h </w:instrText>
            </w:r>
            <w:r w:rsidR="00231EB3">
              <w:rPr>
                <w:noProof/>
                <w:webHidden/>
              </w:rPr>
            </w:r>
            <w:r w:rsidR="00231EB3">
              <w:rPr>
                <w:noProof/>
                <w:webHidden/>
              </w:rPr>
              <w:fldChar w:fldCharType="separate"/>
            </w:r>
            <w:r w:rsidR="00231EB3">
              <w:rPr>
                <w:noProof/>
                <w:webHidden/>
              </w:rPr>
              <w:t>234</w:t>
            </w:r>
            <w:r w:rsidR="00231EB3">
              <w:rPr>
                <w:noProof/>
                <w:webHidden/>
              </w:rPr>
              <w:fldChar w:fldCharType="end"/>
            </w:r>
          </w:hyperlink>
        </w:p>
        <w:p w14:paraId="5C9074E5" w14:textId="77777777" w:rsidR="0014246F" w:rsidRPr="00C578EB" w:rsidRDefault="00E27451" w:rsidP="0014246F">
          <w:pPr>
            <w:rPr>
              <w:bCs/>
              <w:noProof/>
            </w:rPr>
          </w:pPr>
          <w:r w:rsidRPr="00C578EB">
            <w:rPr>
              <w:b/>
              <w:bCs/>
              <w:noProof/>
            </w:rPr>
            <w:fldChar w:fldCharType="end"/>
          </w:r>
        </w:p>
      </w:sdtContent>
    </w:sdt>
    <w:p w14:paraId="2CE15B05" w14:textId="77777777" w:rsidR="00892048" w:rsidRPr="002F4765" w:rsidRDefault="00892048" w:rsidP="00825181">
      <w:pPr>
        <w:pStyle w:val="Heading2"/>
        <w:numPr>
          <w:ilvl w:val="0"/>
          <w:numId w:val="0"/>
        </w:numPr>
      </w:pPr>
      <w:bookmarkStart w:id="2" w:name="_Toc118460184"/>
      <w:bookmarkStart w:id="3" w:name="_Toc83220836"/>
      <w:r w:rsidRPr="002F4765">
        <w:lastRenderedPageBreak/>
        <w:t>Executive Summary</w:t>
      </w:r>
      <w:bookmarkEnd w:id="2"/>
    </w:p>
    <w:p w14:paraId="5C6DA2E2" w14:textId="77777777" w:rsidR="00892048" w:rsidRPr="002F4765" w:rsidRDefault="00892048" w:rsidP="00892048">
      <w:pPr>
        <w:pStyle w:val="FSRnormal"/>
      </w:pPr>
      <w:r w:rsidRPr="002F4765">
        <w:t xml:space="preserve">An annual financial sustainability report (AFSR) is required under section 180B of the NDIS Act and provides an assessment of the financial sustainability of the National Disability Insurance Scheme (“the Scheme”, or NDIS). The AFSR is produced using data at 30 June each year and a summary of each year’s AFSR has been included in the NDIA annual report. This report uses data to 30 June 2022 to project the future </w:t>
      </w:r>
      <w:r>
        <w:t>expenses</w:t>
      </w:r>
      <w:r w:rsidRPr="002F4765">
        <w:t xml:space="preserve"> of the Scheme.</w:t>
      </w:r>
    </w:p>
    <w:p w14:paraId="750EB0A9" w14:textId="77777777" w:rsidR="00892048" w:rsidRPr="00CA009B" w:rsidRDefault="00892048" w:rsidP="00892048">
      <w:pPr>
        <w:pStyle w:val="FSRnormal"/>
      </w:pPr>
      <w:r w:rsidRPr="002F4765">
        <w:t>The previous report was the AFSR released on 8 October 2021</w:t>
      </w:r>
      <w:r w:rsidRPr="00CA009B">
        <w:t xml:space="preserve"> (the “2020-21 AFSR”)</w:t>
      </w:r>
      <w:r w:rsidRPr="002F4765">
        <w:t>.</w:t>
      </w:r>
      <w:r w:rsidRPr="00CA009B">
        <w:rPr>
          <w:rStyle w:val="FootnoteReference"/>
        </w:rPr>
        <w:footnoteReference w:id="2"/>
      </w:r>
      <w:r w:rsidRPr="002F4765">
        <w:t xml:space="preserve"> It was based on data to 30 June 2021, with commentary about experience to 30 June 202</w:t>
      </w:r>
      <w:r w:rsidR="00056F4F">
        <w:t>1 (the “previous review”). Refer</w:t>
      </w:r>
      <w:r w:rsidRPr="002F4765">
        <w:t xml:space="preserve">ences to the “previous review” throughout this report refer to results contained within that report. </w:t>
      </w:r>
    </w:p>
    <w:p w14:paraId="4F9C2733" w14:textId="77777777" w:rsidR="00892048" w:rsidRPr="00352ED9" w:rsidRDefault="00892048" w:rsidP="00D72D94">
      <w:pPr>
        <w:pStyle w:val="FSRHeading4"/>
      </w:pPr>
      <w:r w:rsidRPr="00352ED9">
        <w:t>Financial sustainability</w:t>
      </w:r>
    </w:p>
    <w:p w14:paraId="3498A745" w14:textId="77777777" w:rsidR="00892048" w:rsidRPr="0015362B" w:rsidRDefault="00892048" w:rsidP="00892048">
      <w:pPr>
        <w:pStyle w:val="FSRnormal"/>
      </w:pPr>
      <w:r w:rsidRPr="0015362B">
        <w:t xml:space="preserve">The </w:t>
      </w:r>
      <w:r w:rsidRPr="0015362B">
        <w:rPr>
          <w:i/>
        </w:rPr>
        <w:t>NDIS Insurance Principles and Financial Sustainability Manual</w:t>
      </w:r>
      <w:r w:rsidRPr="0015362B">
        <w:rPr>
          <w:rStyle w:val="FootnoteReference"/>
        </w:rPr>
        <w:footnoteReference w:id="3"/>
      </w:r>
      <w:r w:rsidRPr="0015362B">
        <w:t xml:space="preserve"> outlines the NDIS’ insurance model in detail and defines financial sustainability as the state where:</w:t>
      </w:r>
    </w:p>
    <w:p w14:paraId="5F55D071" w14:textId="77777777" w:rsidR="00892048" w:rsidRPr="0015362B" w:rsidRDefault="00892048" w:rsidP="00892048">
      <w:pPr>
        <w:pStyle w:val="FSRlist"/>
        <w:rPr>
          <w:i/>
        </w:rPr>
      </w:pPr>
      <w:r w:rsidRPr="0015362B">
        <w:rPr>
          <w:i/>
        </w:rPr>
        <w:t>The Scheme is successful on the balance of objective measures and projections of economic and social participation and independence, and on participants’ views that they are getting enough money to buy enough goods and services to allow them reasonable access to life opportunities - that is, reasonable and necessary support.</w:t>
      </w:r>
    </w:p>
    <w:p w14:paraId="7A2A58BD" w14:textId="77777777" w:rsidR="00892048" w:rsidRPr="002F4765" w:rsidRDefault="00892048" w:rsidP="00892048">
      <w:pPr>
        <w:pStyle w:val="FSRlist"/>
        <w:rPr>
          <w:b/>
          <w:i/>
          <w:color w:val="6B2976"/>
          <w:sz w:val="25"/>
        </w:rPr>
      </w:pPr>
      <w:r w:rsidRPr="0015362B">
        <w:rPr>
          <w:i/>
        </w:rPr>
        <w:t>Contributors think that the cost is and will continue to be affordable, under control, represents value for money and, therefore, remain willing to contribute.</w:t>
      </w:r>
    </w:p>
    <w:p w14:paraId="459B34C2" w14:textId="77777777" w:rsidR="00892048" w:rsidRPr="00CE4527" w:rsidRDefault="00892048" w:rsidP="00D72D94">
      <w:pPr>
        <w:pStyle w:val="FSRHeading4"/>
      </w:pPr>
      <w:r>
        <w:t>2021-22 financial projection of Scheme expenses</w:t>
      </w:r>
    </w:p>
    <w:p w14:paraId="6E43D81B" w14:textId="77777777" w:rsidR="00892048" w:rsidRPr="00CE4527" w:rsidRDefault="00892048" w:rsidP="00892048">
      <w:pPr>
        <w:pStyle w:val="FSRnormal"/>
      </w:pPr>
      <w:r w:rsidRPr="00BE6B4B">
        <w:t xml:space="preserve">Projected </w:t>
      </w:r>
      <w:r>
        <w:t>total Scheme expenses</w:t>
      </w:r>
      <w:r w:rsidRPr="00BE6B4B">
        <w:t xml:space="preserve"> on an accrual basis are $34.0 billion in 2022-23, increasing to $</w:t>
      </w:r>
      <w:r>
        <w:t>89.4</w:t>
      </w:r>
      <w:r w:rsidRPr="00BE6B4B">
        <w:t xml:space="preserve"> billion in 2031-32.</w:t>
      </w:r>
      <w:r w:rsidRPr="00CE4527">
        <w:rPr>
          <w:rStyle w:val="FootnoteReference"/>
        </w:rPr>
        <w:footnoteReference w:id="4"/>
      </w:r>
      <w:r>
        <w:t xml:space="preserve"> Projected Scheme expenses on an accrual basis, for</w:t>
      </w:r>
      <w:r w:rsidRPr="0008770D">
        <w:t xml:space="preserve"> the four years to June 2026</w:t>
      </w:r>
      <w:r>
        <w:t>, ha</w:t>
      </w:r>
      <w:r w:rsidR="00C23A4C">
        <w:t>ve</w:t>
      </w:r>
      <w:r>
        <w:t xml:space="preserve"> been estimated to be $166.6 billion.</w:t>
      </w:r>
    </w:p>
    <w:p w14:paraId="3BC677A6" w14:textId="77777777" w:rsidR="00892048" w:rsidRDefault="00892048" w:rsidP="00892048">
      <w:pPr>
        <w:spacing w:after="160" w:line="259" w:lineRule="auto"/>
        <w:rPr>
          <w:rFonts w:eastAsiaTheme="minorHAnsi"/>
          <w:b/>
          <w:bCs/>
          <w:szCs w:val="18"/>
          <w:lang w:eastAsia="en-US"/>
        </w:rPr>
      </w:pPr>
      <w:r>
        <w:br w:type="page"/>
      </w:r>
    </w:p>
    <w:p w14:paraId="47E8EE40" w14:textId="77777777" w:rsidR="00892048" w:rsidRDefault="00892048" w:rsidP="00892048">
      <w:pPr>
        <w:pStyle w:val="Tables"/>
        <w:rPr>
          <w:highlight w:val="yellow"/>
        </w:rPr>
      </w:pPr>
      <w:bookmarkStart w:id="4" w:name="_Ref112410973"/>
      <w:r w:rsidRPr="00D400CA">
        <w:lastRenderedPageBreak/>
        <w:t>Table</w:t>
      </w:r>
      <w:r w:rsidR="00155941">
        <w:t xml:space="preserve"> </w:t>
      </w:r>
      <w:fldSimple w:instr=" SEQ Table \* ARABIC \s 2 ">
        <w:r w:rsidR="00A87896">
          <w:rPr>
            <w:noProof/>
          </w:rPr>
          <w:t>1</w:t>
        </w:r>
      </w:fldSimple>
      <w:bookmarkEnd w:id="4"/>
      <w:r w:rsidRPr="00D400CA">
        <w:rPr>
          <w:noProof/>
        </w:rPr>
        <w:t>:</w:t>
      </w:r>
      <w:r w:rsidRPr="00783946">
        <w:t xml:space="preserve"> </w:t>
      </w:r>
      <w:r w:rsidRPr="00BE6B4B">
        <w:t>Baseline</w:t>
      </w:r>
      <w:r w:rsidRPr="00A44092">
        <w:t xml:space="preserve"> projection of </w:t>
      </w:r>
      <w:r>
        <w:t>Scheme expenses</w:t>
      </w:r>
      <w:r>
        <w:rPr>
          <w:rStyle w:val="FootnoteReference"/>
        </w:rPr>
        <w:footnoteReference w:id="5"/>
      </w:r>
      <w:r w:rsidRPr="00A44092">
        <w:t xml:space="preserve"> </w:t>
      </w:r>
    </w:p>
    <w:tbl>
      <w:tblPr>
        <w:tblStyle w:val="FSRtable"/>
        <w:tblW w:w="5000" w:type="pct"/>
        <w:tblInd w:w="0" w:type="dxa"/>
        <w:tblLayout w:type="fixed"/>
        <w:tblLook w:val="04A0" w:firstRow="1" w:lastRow="0" w:firstColumn="1" w:lastColumn="0" w:noHBand="0" w:noVBand="1"/>
      </w:tblPr>
      <w:tblGrid>
        <w:gridCol w:w="3371"/>
        <w:gridCol w:w="943"/>
        <w:gridCol w:w="944"/>
        <w:gridCol w:w="942"/>
        <w:gridCol w:w="942"/>
        <w:gridCol w:w="942"/>
        <w:gridCol w:w="942"/>
      </w:tblGrid>
      <w:tr w:rsidR="0004693C" w:rsidRPr="00F55162" w14:paraId="29DE934C" w14:textId="77777777" w:rsidTr="003A43B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867" w:type="pct"/>
            <w:noWrap/>
            <w:hideMark/>
          </w:tcPr>
          <w:p w14:paraId="4E08EA03" w14:textId="77777777" w:rsidR="00823B67" w:rsidRPr="0065210D" w:rsidRDefault="00823B67" w:rsidP="00392EB7">
            <w:pPr>
              <w:spacing w:after="0" w:line="240" w:lineRule="auto"/>
              <w:rPr>
                <w:rFonts w:eastAsia="Times New Roman"/>
                <w:b w:val="0"/>
                <w:bCs/>
                <w:color w:val="FFFFFF"/>
                <w:sz w:val="18"/>
                <w:szCs w:val="18"/>
                <w:lang w:eastAsia="en-AU"/>
              </w:rPr>
            </w:pPr>
            <w:r>
              <w:rPr>
                <w:rFonts w:eastAsia="Times New Roman"/>
                <w:bCs/>
                <w:color w:val="FFFFFF"/>
                <w:sz w:val="18"/>
                <w:szCs w:val="18"/>
                <w:lang w:eastAsia="en-AU"/>
              </w:rPr>
              <w:t>Scheme Expenses</w:t>
            </w:r>
            <w:r w:rsidRPr="0065210D">
              <w:rPr>
                <w:rFonts w:eastAsia="Times New Roman"/>
                <w:bCs/>
                <w:color w:val="FFFFFF"/>
                <w:sz w:val="18"/>
                <w:szCs w:val="18"/>
                <w:lang w:eastAsia="en-AU"/>
              </w:rPr>
              <w:t xml:space="preserve"> ($m) </w:t>
            </w:r>
          </w:p>
        </w:tc>
        <w:tc>
          <w:tcPr>
            <w:tcW w:w="522" w:type="pct"/>
            <w:noWrap/>
            <w:hideMark/>
          </w:tcPr>
          <w:p w14:paraId="470649FC" w14:textId="77777777" w:rsidR="00823B67" w:rsidRPr="0065210D" w:rsidRDefault="00823B67" w:rsidP="00392EB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2022-23</w:t>
            </w:r>
          </w:p>
        </w:tc>
        <w:tc>
          <w:tcPr>
            <w:tcW w:w="523" w:type="pct"/>
            <w:noWrap/>
            <w:hideMark/>
          </w:tcPr>
          <w:p w14:paraId="57511AAB" w14:textId="77777777" w:rsidR="00823B67" w:rsidRPr="0065210D" w:rsidRDefault="00823B67" w:rsidP="00392EB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2023-24</w:t>
            </w:r>
          </w:p>
        </w:tc>
        <w:tc>
          <w:tcPr>
            <w:tcW w:w="522" w:type="pct"/>
            <w:noWrap/>
            <w:hideMark/>
          </w:tcPr>
          <w:p w14:paraId="5D78EEF5" w14:textId="77777777" w:rsidR="00823B67" w:rsidRPr="0065210D" w:rsidRDefault="00823B67" w:rsidP="00392EB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2024-25</w:t>
            </w:r>
          </w:p>
        </w:tc>
        <w:tc>
          <w:tcPr>
            <w:tcW w:w="522" w:type="pct"/>
            <w:tcBorders>
              <w:top w:val="single" w:sz="4" w:space="0" w:color="auto"/>
              <w:right w:val="dotted" w:sz="4" w:space="0" w:color="auto"/>
            </w:tcBorders>
            <w:noWrap/>
            <w:hideMark/>
          </w:tcPr>
          <w:p w14:paraId="037408DF" w14:textId="77777777" w:rsidR="00823B67" w:rsidRPr="0065210D" w:rsidRDefault="00823B67" w:rsidP="00392EB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2025-26</w:t>
            </w:r>
          </w:p>
        </w:tc>
        <w:tc>
          <w:tcPr>
            <w:tcW w:w="522" w:type="pct"/>
            <w:tcBorders>
              <w:top w:val="single" w:sz="4" w:space="0" w:color="auto"/>
              <w:left w:val="dotted" w:sz="4" w:space="0" w:color="auto"/>
              <w:right w:val="single" w:sz="4" w:space="0" w:color="auto"/>
            </w:tcBorders>
            <w:noWrap/>
            <w:hideMark/>
          </w:tcPr>
          <w:p w14:paraId="1584FAA7" w14:textId="77777777" w:rsidR="00823B67" w:rsidRPr="0065210D" w:rsidRDefault="00823B67" w:rsidP="00392EB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2031-32</w:t>
            </w:r>
          </w:p>
        </w:tc>
        <w:tc>
          <w:tcPr>
            <w:tcW w:w="522" w:type="pct"/>
            <w:tcBorders>
              <w:left w:val="single" w:sz="4" w:space="0" w:color="auto"/>
            </w:tcBorders>
          </w:tcPr>
          <w:p w14:paraId="29908F84" w14:textId="77777777" w:rsidR="00823B67" w:rsidRPr="0065210D" w:rsidRDefault="00823B67" w:rsidP="00392EB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65210D">
              <w:rPr>
                <w:rFonts w:eastAsia="Times New Roman"/>
                <w:bCs/>
                <w:color w:val="FFFFFF"/>
                <w:sz w:val="18"/>
                <w:szCs w:val="18"/>
                <w:lang w:eastAsia="en-AU"/>
              </w:rPr>
              <w:t>2022-26</w:t>
            </w:r>
          </w:p>
        </w:tc>
      </w:tr>
      <w:tr w:rsidR="00823B67" w:rsidRPr="00F55162" w14:paraId="7C2EFC56" w14:textId="77777777" w:rsidTr="003A43B5">
        <w:trPr>
          <w:trHeight w:val="301"/>
        </w:trPr>
        <w:tc>
          <w:tcPr>
            <w:cnfStyle w:val="001000000000" w:firstRow="0" w:lastRow="0" w:firstColumn="1" w:lastColumn="0" w:oddVBand="0" w:evenVBand="0" w:oddHBand="0" w:evenHBand="0" w:firstRowFirstColumn="0" w:firstRowLastColumn="0" w:lastRowFirstColumn="0" w:lastRowLastColumn="0"/>
            <w:tcW w:w="1867" w:type="pct"/>
            <w:noWrap/>
            <w:hideMark/>
          </w:tcPr>
          <w:p w14:paraId="5AC58401" w14:textId="77777777" w:rsidR="00823B67" w:rsidRPr="0065210D" w:rsidRDefault="005D776F" w:rsidP="00392EB7">
            <w:pPr>
              <w:spacing w:after="0" w:line="240" w:lineRule="auto"/>
              <w:rPr>
                <w:rFonts w:eastAsia="Times New Roman" w:cs="Arial"/>
                <w:b/>
                <w:bCs/>
                <w:color w:val="000000"/>
                <w:sz w:val="18"/>
                <w:szCs w:val="18"/>
                <w:lang w:eastAsia="en-AU"/>
              </w:rPr>
            </w:pPr>
            <w:r>
              <w:rPr>
                <w:rFonts w:eastAsia="Times New Roman" w:cs="Arial"/>
                <w:b/>
                <w:bCs/>
                <w:color w:val="000000"/>
                <w:sz w:val="18"/>
                <w:szCs w:val="18"/>
                <w:lang w:eastAsia="en-AU"/>
              </w:rPr>
              <w:t xml:space="preserve">Scheme Expenses </w:t>
            </w:r>
            <w:r w:rsidR="00823B67" w:rsidRPr="0065210D">
              <w:rPr>
                <w:rFonts w:eastAsia="Times New Roman" w:cs="Arial"/>
                <w:b/>
                <w:bCs/>
                <w:color w:val="000000"/>
                <w:sz w:val="18"/>
                <w:szCs w:val="18"/>
                <w:lang w:eastAsia="en-AU"/>
              </w:rPr>
              <w:t>(cash basis)</w:t>
            </w:r>
          </w:p>
        </w:tc>
        <w:tc>
          <w:tcPr>
            <w:tcW w:w="522" w:type="pct"/>
            <w:noWrap/>
            <w:hideMark/>
          </w:tcPr>
          <w:p w14:paraId="6665F972" w14:textId="77777777" w:rsidR="00823B67" w:rsidRPr="0065210D" w:rsidRDefault="00823B67"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r w:rsidRPr="0065210D">
              <w:rPr>
                <w:rFonts w:eastAsia="Times New Roman" w:cs="Arial"/>
                <w:b/>
                <w:bCs/>
                <w:i/>
                <w:iCs/>
                <w:color w:val="000000"/>
                <w:sz w:val="18"/>
                <w:szCs w:val="18"/>
                <w:lang w:eastAsia="en-AU"/>
              </w:rPr>
              <w:t> </w:t>
            </w:r>
          </w:p>
        </w:tc>
        <w:tc>
          <w:tcPr>
            <w:tcW w:w="523" w:type="pct"/>
            <w:noWrap/>
            <w:hideMark/>
          </w:tcPr>
          <w:p w14:paraId="711F7782" w14:textId="77777777" w:rsidR="00823B67" w:rsidRPr="0065210D" w:rsidRDefault="00823B67"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r w:rsidRPr="0065210D">
              <w:rPr>
                <w:rFonts w:eastAsia="Times New Roman" w:cs="Arial"/>
                <w:b/>
                <w:bCs/>
                <w:i/>
                <w:iCs/>
                <w:color w:val="000000"/>
                <w:sz w:val="18"/>
                <w:szCs w:val="18"/>
                <w:lang w:eastAsia="en-AU"/>
              </w:rPr>
              <w:t> </w:t>
            </w:r>
          </w:p>
        </w:tc>
        <w:tc>
          <w:tcPr>
            <w:tcW w:w="522" w:type="pct"/>
            <w:noWrap/>
            <w:hideMark/>
          </w:tcPr>
          <w:p w14:paraId="5F38A20C" w14:textId="77777777" w:rsidR="00823B67" w:rsidRPr="0065210D" w:rsidRDefault="00823B67"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r w:rsidRPr="0065210D">
              <w:rPr>
                <w:rFonts w:eastAsia="Times New Roman" w:cs="Arial"/>
                <w:b/>
                <w:bCs/>
                <w:i/>
                <w:iCs/>
                <w:color w:val="000000"/>
                <w:sz w:val="18"/>
                <w:szCs w:val="18"/>
                <w:lang w:eastAsia="en-AU"/>
              </w:rPr>
              <w:t> </w:t>
            </w:r>
          </w:p>
        </w:tc>
        <w:tc>
          <w:tcPr>
            <w:tcW w:w="522" w:type="pct"/>
            <w:tcBorders>
              <w:right w:val="dotted" w:sz="4" w:space="0" w:color="auto"/>
            </w:tcBorders>
            <w:noWrap/>
            <w:hideMark/>
          </w:tcPr>
          <w:p w14:paraId="1AAD8EE3" w14:textId="77777777" w:rsidR="00823B67" w:rsidRPr="0065210D" w:rsidRDefault="00823B67"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r w:rsidRPr="0065210D">
              <w:rPr>
                <w:rFonts w:eastAsia="Times New Roman" w:cs="Arial"/>
                <w:b/>
                <w:bCs/>
                <w:i/>
                <w:iCs/>
                <w:color w:val="000000"/>
                <w:sz w:val="18"/>
                <w:szCs w:val="18"/>
                <w:lang w:eastAsia="en-AU"/>
              </w:rPr>
              <w:t> </w:t>
            </w:r>
          </w:p>
        </w:tc>
        <w:tc>
          <w:tcPr>
            <w:tcW w:w="522" w:type="pct"/>
            <w:tcBorders>
              <w:left w:val="dotted" w:sz="4" w:space="0" w:color="auto"/>
              <w:right w:val="single" w:sz="4" w:space="0" w:color="auto"/>
            </w:tcBorders>
            <w:noWrap/>
            <w:hideMark/>
          </w:tcPr>
          <w:p w14:paraId="0F4F5CDB" w14:textId="77777777" w:rsidR="00823B67" w:rsidRPr="0065210D" w:rsidRDefault="00823B67"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r w:rsidRPr="0065210D">
              <w:rPr>
                <w:rFonts w:eastAsia="Times New Roman" w:cs="Arial"/>
                <w:b/>
                <w:bCs/>
                <w:i/>
                <w:iCs/>
                <w:color w:val="000000"/>
                <w:sz w:val="18"/>
                <w:szCs w:val="18"/>
                <w:lang w:eastAsia="en-AU"/>
              </w:rPr>
              <w:t> </w:t>
            </w:r>
          </w:p>
        </w:tc>
        <w:tc>
          <w:tcPr>
            <w:tcW w:w="522" w:type="pct"/>
            <w:tcBorders>
              <w:left w:val="single" w:sz="4" w:space="0" w:color="auto"/>
            </w:tcBorders>
          </w:tcPr>
          <w:p w14:paraId="72A9EE7C" w14:textId="77777777" w:rsidR="00823B67" w:rsidRPr="0065210D" w:rsidRDefault="00823B67"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p>
        </w:tc>
      </w:tr>
      <w:tr w:rsidR="00823B67" w:rsidRPr="00F55162" w14:paraId="7A7EBBCC" w14:textId="77777777" w:rsidTr="003A43B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noWrap/>
            <w:hideMark/>
          </w:tcPr>
          <w:p w14:paraId="319361A9" w14:textId="77777777" w:rsidR="00823B67" w:rsidRPr="0065210D" w:rsidRDefault="005D776F" w:rsidP="00392EB7">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xml:space="preserve">Scheme Expenses </w:t>
            </w:r>
            <w:r w:rsidR="00823B67" w:rsidRPr="0065210D">
              <w:rPr>
                <w:rFonts w:eastAsia="Times New Roman" w:cs="Arial"/>
                <w:color w:val="000000"/>
                <w:sz w:val="18"/>
                <w:szCs w:val="18"/>
                <w:lang w:eastAsia="en-AU"/>
              </w:rPr>
              <w:t xml:space="preserve"> (0-64)</w:t>
            </w:r>
          </w:p>
        </w:tc>
        <w:tc>
          <w:tcPr>
            <w:tcW w:w="522" w:type="pct"/>
            <w:noWrap/>
            <w:hideMark/>
          </w:tcPr>
          <w:p w14:paraId="7E1651F4" w14:textId="77777777" w:rsidR="00823B67" w:rsidRPr="0065210D"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30,931</w:t>
            </w:r>
          </w:p>
        </w:tc>
        <w:tc>
          <w:tcPr>
            <w:tcW w:w="523" w:type="pct"/>
            <w:noWrap/>
            <w:hideMark/>
          </w:tcPr>
          <w:p w14:paraId="3952FB5F" w14:textId="77777777" w:rsidR="00823B67" w:rsidRPr="0065210D"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34,357</w:t>
            </w:r>
          </w:p>
        </w:tc>
        <w:tc>
          <w:tcPr>
            <w:tcW w:w="522" w:type="pct"/>
            <w:noWrap/>
            <w:hideMark/>
          </w:tcPr>
          <w:p w14:paraId="3F823D8F" w14:textId="77777777" w:rsidR="00823B67" w:rsidRPr="0065210D"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39,364</w:t>
            </w:r>
          </w:p>
        </w:tc>
        <w:tc>
          <w:tcPr>
            <w:tcW w:w="522" w:type="pct"/>
            <w:tcBorders>
              <w:right w:val="dotted" w:sz="4" w:space="0" w:color="auto"/>
            </w:tcBorders>
            <w:noWrap/>
            <w:hideMark/>
          </w:tcPr>
          <w:p w14:paraId="02806CD2" w14:textId="77777777" w:rsidR="00823B67" w:rsidRPr="0065210D"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44,519</w:t>
            </w:r>
          </w:p>
        </w:tc>
        <w:tc>
          <w:tcPr>
            <w:tcW w:w="522" w:type="pct"/>
            <w:tcBorders>
              <w:left w:val="dotted" w:sz="4" w:space="0" w:color="auto"/>
              <w:right w:val="single" w:sz="4" w:space="0" w:color="auto"/>
            </w:tcBorders>
            <w:noWrap/>
            <w:hideMark/>
          </w:tcPr>
          <w:p w14:paraId="13DB6DE9" w14:textId="77777777" w:rsidR="00823B67" w:rsidRPr="0065210D"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76,700</w:t>
            </w:r>
          </w:p>
        </w:tc>
        <w:tc>
          <w:tcPr>
            <w:tcW w:w="522" w:type="pct"/>
            <w:tcBorders>
              <w:left w:val="single" w:sz="4" w:space="0" w:color="auto"/>
            </w:tcBorders>
          </w:tcPr>
          <w:p w14:paraId="64145145" w14:textId="77777777" w:rsidR="00823B67" w:rsidRPr="0065210D"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65210D">
              <w:rPr>
                <w:rFonts w:cs="Arial"/>
                <w:sz w:val="18"/>
                <w:szCs w:val="18"/>
              </w:rPr>
              <w:t>149,171</w:t>
            </w:r>
          </w:p>
        </w:tc>
      </w:tr>
      <w:tr w:rsidR="00823B67" w:rsidRPr="00F55162" w14:paraId="06D4FFBB" w14:textId="77777777" w:rsidTr="003A43B5">
        <w:trPr>
          <w:trHeight w:val="301"/>
        </w:trPr>
        <w:tc>
          <w:tcPr>
            <w:cnfStyle w:val="001000000000" w:firstRow="0" w:lastRow="0" w:firstColumn="1" w:lastColumn="0" w:oddVBand="0" w:evenVBand="0" w:oddHBand="0" w:evenHBand="0" w:firstRowFirstColumn="0" w:firstRowLastColumn="0" w:lastRowFirstColumn="0" w:lastRowLastColumn="0"/>
            <w:tcW w:w="1867" w:type="pct"/>
            <w:tcBorders>
              <w:bottom w:val="single" w:sz="4" w:space="0" w:color="auto"/>
            </w:tcBorders>
            <w:noWrap/>
            <w:hideMark/>
          </w:tcPr>
          <w:p w14:paraId="6AF78B5A" w14:textId="77777777" w:rsidR="00823B67" w:rsidRPr="0065210D" w:rsidRDefault="005D776F" w:rsidP="00392EB7">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xml:space="preserve">Scheme Expenses </w:t>
            </w:r>
            <w:r w:rsidR="00823B67" w:rsidRPr="0065210D">
              <w:rPr>
                <w:rFonts w:eastAsia="Times New Roman" w:cs="Arial"/>
                <w:color w:val="000000"/>
                <w:sz w:val="18"/>
                <w:szCs w:val="18"/>
                <w:lang w:eastAsia="en-AU"/>
              </w:rPr>
              <w:t>(65+)</w:t>
            </w:r>
          </w:p>
        </w:tc>
        <w:tc>
          <w:tcPr>
            <w:tcW w:w="522" w:type="pct"/>
            <w:tcBorders>
              <w:bottom w:val="single" w:sz="4" w:space="0" w:color="auto"/>
            </w:tcBorders>
            <w:noWrap/>
            <w:hideMark/>
          </w:tcPr>
          <w:p w14:paraId="35A9DA7B" w14:textId="77777777" w:rsidR="00823B67" w:rsidRPr="0065210D" w:rsidRDefault="00823B67"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2,544</w:t>
            </w:r>
          </w:p>
        </w:tc>
        <w:tc>
          <w:tcPr>
            <w:tcW w:w="523" w:type="pct"/>
            <w:tcBorders>
              <w:bottom w:val="single" w:sz="4" w:space="0" w:color="auto"/>
            </w:tcBorders>
            <w:noWrap/>
            <w:hideMark/>
          </w:tcPr>
          <w:p w14:paraId="502F71FB" w14:textId="77777777" w:rsidR="00823B67" w:rsidRPr="0065210D" w:rsidRDefault="00823B67"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3,211</w:t>
            </w:r>
          </w:p>
        </w:tc>
        <w:tc>
          <w:tcPr>
            <w:tcW w:w="522" w:type="pct"/>
            <w:tcBorders>
              <w:bottom w:val="single" w:sz="4" w:space="0" w:color="auto"/>
            </w:tcBorders>
            <w:noWrap/>
            <w:hideMark/>
          </w:tcPr>
          <w:p w14:paraId="47348718" w14:textId="77777777" w:rsidR="00823B67" w:rsidRPr="0065210D" w:rsidRDefault="00823B67"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4,099</w:t>
            </w:r>
          </w:p>
        </w:tc>
        <w:tc>
          <w:tcPr>
            <w:tcW w:w="522" w:type="pct"/>
            <w:tcBorders>
              <w:bottom w:val="single" w:sz="4" w:space="0" w:color="auto"/>
              <w:right w:val="dotted" w:sz="4" w:space="0" w:color="auto"/>
            </w:tcBorders>
            <w:noWrap/>
            <w:hideMark/>
          </w:tcPr>
          <w:p w14:paraId="452F868D" w14:textId="77777777" w:rsidR="00823B67" w:rsidRPr="0065210D" w:rsidRDefault="00823B67"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5,081</w:t>
            </w:r>
          </w:p>
        </w:tc>
        <w:tc>
          <w:tcPr>
            <w:tcW w:w="522" w:type="pct"/>
            <w:tcBorders>
              <w:left w:val="dotted" w:sz="4" w:space="0" w:color="auto"/>
              <w:bottom w:val="single" w:sz="4" w:space="0" w:color="auto"/>
              <w:right w:val="single" w:sz="4" w:space="0" w:color="auto"/>
            </w:tcBorders>
            <w:noWrap/>
            <w:hideMark/>
          </w:tcPr>
          <w:p w14:paraId="4B49991A" w14:textId="77777777" w:rsidR="00823B67" w:rsidRPr="0065210D" w:rsidRDefault="00823B67"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11,389</w:t>
            </w:r>
          </w:p>
        </w:tc>
        <w:tc>
          <w:tcPr>
            <w:tcW w:w="522" w:type="pct"/>
            <w:tcBorders>
              <w:left w:val="single" w:sz="4" w:space="0" w:color="auto"/>
              <w:bottom w:val="single" w:sz="4" w:space="0" w:color="auto"/>
            </w:tcBorders>
          </w:tcPr>
          <w:p w14:paraId="61835807" w14:textId="77777777" w:rsidR="00823B67" w:rsidRPr="0065210D" w:rsidRDefault="00823B67"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5210D">
              <w:rPr>
                <w:rFonts w:cs="Arial"/>
                <w:sz w:val="18"/>
                <w:szCs w:val="18"/>
              </w:rPr>
              <w:t>14,934</w:t>
            </w:r>
          </w:p>
        </w:tc>
      </w:tr>
      <w:tr w:rsidR="0004693C" w:rsidRPr="00E5208A" w14:paraId="5D1AC417" w14:textId="77777777" w:rsidTr="003A43B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tcBorders>
              <w:top w:val="single" w:sz="4" w:space="0" w:color="auto"/>
              <w:bottom w:val="single" w:sz="4" w:space="0" w:color="auto"/>
            </w:tcBorders>
            <w:shd w:val="clear" w:color="auto" w:fill="D4C5D7"/>
            <w:noWrap/>
            <w:hideMark/>
          </w:tcPr>
          <w:p w14:paraId="34634DB9" w14:textId="77777777" w:rsidR="00823B67" w:rsidRPr="00E5208A" w:rsidRDefault="00823B67" w:rsidP="005D776F">
            <w:pPr>
              <w:spacing w:after="0" w:line="240" w:lineRule="auto"/>
              <w:rPr>
                <w:rFonts w:eastAsia="Times New Roman" w:cs="Arial"/>
                <w:b/>
                <w:bCs/>
                <w:color w:val="000000"/>
                <w:sz w:val="18"/>
                <w:szCs w:val="18"/>
                <w:lang w:eastAsia="en-AU"/>
              </w:rPr>
            </w:pPr>
            <w:r w:rsidRPr="00E5208A">
              <w:rPr>
                <w:rFonts w:eastAsia="Times New Roman" w:cs="Arial"/>
                <w:b/>
                <w:bCs/>
                <w:color w:val="000000"/>
                <w:sz w:val="18"/>
                <w:szCs w:val="18"/>
                <w:lang w:eastAsia="en-AU"/>
              </w:rPr>
              <w:t>Total</w:t>
            </w:r>
            <w:r w:rsidR="005D776F" w:rsidRPr="00E5208A">
              <w:rPr>
                <w:rFonts w:eastAsia="Times New Roman" w:cs="Arial"/>
                <w:b/>
                <w:bCs/>
                <w:color w:val="000000"/>
                <w:sz w:val="18"/>
                <w:szCs w:val="18"/>
                <w:lang w:eastAsia="en-AU"/>
              </w:rPr>
              <w:t xml:space="preserve"> Scheme Expenses</w:t>
            </w:r>
            <w:r w:rsidRPr="00E5208A">
              <w:rPr>
                <w:rFonts w:eastAsia="Times New Roman" w:cs="Arial"/>
                <w:b/>
                <w:bCs/>
                <w:color w:val="000000"/>
                <w:sz w:val="18"/>
                <w:szCs w:val="18"/>
                <w:lang w:eastAsia="en-AU"/>
              </w:rPr>
              <w:t xml:space="preserve"> (cash basis)</w:t>
            </w:r>
          </w:p>
        </w:tc>
        <w:tc>
          <w:tcPr>
            <w:tcW w:w="522" w:type="pct"/>
            <w:tcBorders>
              <w:top w:val="single" w:sz="4" w:space="0" w:color="auto"/>
              <w:bottom w:val="single" w:sz="4" w:space="0" w:color="auto"/>
            </w:tcBorders>
            <w:shd w:val="clear" w:color="auto" w:fill="D4C5D7"/>
            <w:noWrap/>
            <w:hideMark/>
          </w:tcPr>
          <w:p w14:paraId="60A9932A" w14:textId="77777777" w:rsidR="00823B67" w:rsidRPr="00E5208A"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562467">
              <w:rPr>
                <w:rFonts w:cs="Arial"/>
                <w:b/>
                <w:sz w:val="18"/>
                <w:szCs w:val="18"/>
              </w:rPr>
              <w:t>33,475</w:t>
            </w:r>
          </w:p>
        </w:tc>
        <w:tc>
          <w:tcPr>
            <w:tcW w:w="523" w:type="pct"/>
            <w:tcBorders>
              <w:top w:val="single" w:sz="4" w:space="0" w:color="auto"/>
              <w:bottom w:val="single" w:sz="4" w:space="0" w:color="auto"/>
            </w:tcBorders>
            <w:shd w:val="clear" w:color="auto" w:fill="D4C5D7"/>
            <w:noWrap/>
            <w:hideMark/>
          </w:tcPr>
          <w:p w14:paraId="647F8DBE" w14:textId="77777777" w:rsidR="00823B67" w:rsidRPr="00E5208A"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562467">
              <w:rPr>
                <w:rFonts w:cs="Arial"/>
                <w:b/>
                <w:sz w:val="18"/>
                <w:szCs w:val="18"/>
              </w:rPr>
              <w:t>37,568</w:t>
            </w:r>
          </w:p>
        </w:tc>
        <w:tc>
          <w:tcPr>
            <w:tcW w:w="522" w:type="pct"/>
            <w:tcBorders>
              <w:top w:val="single" w:sz="4" w:space="0" w:color="auto"/>
              <w:bottom w:val="single" w:sz="4" w:space="0" w:color="auto"/>
            </w:tcBorders>
            <w:shd w:val="clear" w:color="auto" w:fill="D4C5D7"/>
            <w:noWrap/>
            <w:hideMark/>
          </w:tcPr>
          <w:p w14:paraId="0C6DA9EA" w14:textId="77777777" w:rsidR="00823B67" w:rsidRPr="00E5208A"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562467">
              <w:rPr>
                <w:rFonts w:cs="Arial"/>
                <w:b/>
                <w:sz w:val="18"/>
                <w:szCs w:val="18"/>
              </w:rPr>
              <w:t>43,463</w:t>
            </w:r>
          </w:p>
        </w:tc>
        <w:tc>
          <w:tcPr>
            <w:tcW w:w="522" w:type="pct"/>
            <w:tcBorders>
              <w:top w:val="single" w:sz="4" w:space="0" w:color="auto"/>
              <w:bottom w:val="single" w:sz="4" w:space="0" w:color="auto"/>
              <w:right w:val="dotted" w:sz="4" w:space="0" w:color="auto"/>
            </w:tcBorders>
            <w:shd w:val="clear" w:color="auto" w:fill="D4C5D7"/>
            <w:noWrap/>
            <w:hideMark/>
          </w:tcPr>
          <w:p w14:paraId="661C1B18" w14:textId="77777777" w:rsidR="00823B67" w:rsidRPr="00E5208A"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562467">
              <w:rPr>
                <w:rFonts w:cs="Arial"/>
                <w:b/>
                <w:sz w:val="18"/>
                <w:szCs w:val="18"/>
              </w:rPr>
              <w:t>49,599</w:t>
            </w:r>
          </w:p>
        </w:tc>
        <w:tc>
          <w:tcPr>
            <w:tcW w:w="522" w:type="pct"/>
            <w:tcBorders>
              <w:top w:val="single" w:sz="4" w:space="0" w:color="auto"/>
              <w:left w:val="dotted" w:sz="4" w:space="0" w:color="auto"/>
              <w:bottom w:val="single" w:sz="4" w:space="0" w:color="auto"/>
              <w:right w:val="single" w:sz="4" w:space="0" w:color="auto"/>
            </w:tcBorders>
            <w:shd w:val="clear" w:color="auto" w:fill="D4C5D7"/>
            <w:noWrap/>
            <w:hideMark/>
          </w:tcPr>
          <w:p w14:paraId="5F48648C" w14:textId="77777777" w:rsidR="00823B67" w:rsidRPr="00E5208A"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562467">
              <w:rPr>
                <w:rFonts w:cs="Arial"/>
                <w:b/>
                <w:sz w:val="18"/>
                <w:szCs w:val="18"/>
              </w:rPr>
              <w:t>88,089</w:t>
            </w:r>
          </w:p>
        </w:tc>
        <w:tc>
          <w:tcPr>
            <w:tcW w:w="522" w:type="pct"/>
            <w:tcBorders>
              <w:top w:val="single" w:sz="4" w:space="0" w:color="auto"/>
              <w:left w:val="single" w:sz="4" w:space="0" w:color="auto"/>
              <w:bottom w:val="single" w:sz="4" w:space="0" w:color="auto"/>
            </w:tcBorders>
            <w:shd w:val="clear" w:color="auto" w:fill="D4C5D7"/>
          </w:tcPr>
          <w:p w14:paraId="77464039" w14:textId="77777777" w:rsidR="00823B67" w:rsidRPr="00E5208A"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en-AU"/>
              </w:rPr>
            </w:pPr>
            <w:r w:rsidRPr="00562467">
              <w:rPr>
                <w:rFonts w:cs="Arial"/>
                <w:b/>
                <w:sz w:val="18"/>
                <w:szCs w:val="18"/>
              </w:rPr>
              <w:t>164,105</w:t>
            </w:r>
          </w:p>
        </w:tc>
      </w:tr>
      <w:tr w:rsidR="00823B67" w:rsidRPr="00F55162" w14:paraId="36B520BA" w14:textId="77777777" w:rsidTr="003A43B5">
        <w:trPr>
          <w:trHeight w:val="301"/>
        </w:trPr>
        <w:tc>
          <w:tcPr>
            <w:cnfStyle w:val="001000000000" w:firstRow="0" w:lastRow="0" w:firstColumn="1" w:lastColumn="0" w:oddVBand="0" w:evenVBand="0" w:oddHBand="0" w:evenHBand="0" w:firstRowFirstColumn="0" w:firstRowLastColumn="0" w:lastRowFirstColumn="0" w:lastRowLastColumn="0"/>
            <w:tcW w:w="1867" w:type="pct"/>
            <w:tcBorders>
              <w:top w:val="single" w:sz="4" w:space="0" w:color="auto"/>
            </w:tcBorders>
            <w:noWrap/>
            <w:hideMark/>
          </w:tcPr>
          <w:p w14:paraId="66E18A15" w14:textId="77777777" w:rsidR="00823B67" w:rsidRPr="0065210D" w:rsidRDefault="005D776F" w:rsidP="00392EB7">
            <w:pPr>
              <w:spacing w:after="0" w:line="240" w:lineRule="auto"/>
              <w:rPr>
                <w:rFonts w:eastAsia="Times New Roman" w:cs="Arial"/>
                <w:b/>
                <w:bCs/>
                <w:color w:val="000000"/>
                <w:sz w:val="18"/>
                <w:szCs w:val="18"/>
                <w:lang w:eastAsia="en-AU"/>
              </w:rPr>
            </w:pPr>
            <w:r>
              <w:rPr>
                <w:rFonts w:eastAsia="Times New Roman" w:cs="Arial"/>
                <w:b/>
                <w:bCs/>
                <w:color w:val="000000"/>
                <w:sz w:val="18"/>
                <w:szCs w:val="18"/>
                <w:lang w:eastAsia="en-AU"/>
              </w:rPr>
              <w:t>Scheme Expenses</w:t>
            </w:r>
            <w:r w:rsidR="00823B67" w:rsidRPr="0065210D">
              <w:rPr>
                <w:rFonts w:eastAsia="Times New Roman" w:cs="Arial"/>
                <w:b/>
                <w:bCs/>
                <w:color w:val="000000"/>
                <w:sz w:val="18"/>
                <w:szCs w:val="18"/>
                <w:lang w:eastAsia="en-AU"/>
              </w:rPr>
              <w:t xml:space="preserve"> (accrual basis)</w:t>
            </w:r>
          </w:p>
        </w:tc>
        <w:tc>
          <w:tcPr>
            <w:tcW w:w="522" w:type="pct"/>
            <w:tcBorders>
              <w:top w:val="single" w:sz="4" w:space="0" w:color="auto"/>
            </w:tcBorders>
            <w:noWrap/>
            <w:hideMark/>
          </w:tcPr>
          <w:p w14:paraId="757B3EC3" w14:textId="77777777" w:rsidR="00823B67" w:rsidRPr="0065210D" w:rsidRDefault="00823B67"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p>
        </w:tc>
        <w:tc>
          <w:tcPr>
            <w:tcW w:w="523" w:type="pct"/>
            <w:tcBorders>
              <w:top w:val="single" w:sz="4" w:space="0" w:color="auto"/>
            </w:tcBorders>
            <w:noWrap/>
            <w:hideMark/>
          </w:tcPr>
          <w:p w14:paraId="1423B7B4" w14:textId="77777777" w:rsidR="00823B67" w:rsidRPr="0065210D" w:rsidRDefault="00823B67"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p>
        </w:tc>
        <w:tc>
          <w:tcPr>
            <w:tcW w:w="522" w:type="pct"/>
            <w:tcBorders>
              <w:top w:val="single" w:sz="4" w:space="0" w:color="auto"/>
            </w:tcBorders>
            <w:noWrap/>
            <w:hideMark/>
          </w:tcPr>
          <w:p w14:paraId="394B276B" w14:textId="77777777" w:rsidR="00823B67" w:rsidRPr="0065210D" w:rsidRDefault="00823B67"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p>
        </w:tc>
        <w:tc>
          <w:tcPr>
            <w:tcW w:w="522" w:type="pct"/>
            <w:tcBorders>
              <w:top w:val="single" w:sz="4" w:space="0" w:color="auto"/>
              <w:right w:val="dotted" w:sz="4" w:space="0" w:color="auto"/>
            </w:tcBorders>
            <w:noWrap/>
            <w:hideMark/>
          </w:tcPr>
          <w:p w14:paraId="13340219" w14:textId="77777777" w:rsidR="00823B67" w:rsidRPr="0065210D" w:rsidRDefault="00823B67"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p>
        </w:tc>
        <w:tc>
          <w:tcPr>
            <w:tcW w:w="522" w:type="pct"/>
            <w:tcBorders>
              <w:top w:val="single" w:sz="4" w:space="0" w:color="auto"/>
              <w:left w:val="dotted" w:sz="4" w:space="0" w:color="auto"/>
              <w:right w:val="single" w:sz="4" w:space="0" w:color="auto"/>
            </w:tcBorders>
            <w:noWrap/>
            <w:hideMark/>
          </w:tcPr>
          <w:p w14:paraId="4D4144D6" w14:textId="77777777" w:rsidR="00823B67" w:rsidRPr="0065210D" w:rsidRDefault="00823B67"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p>
        </w:tc>
        <w:tc>
          <w:tcPr>
            <w:tcW w:w="522" w:type="pct"/>
            <w:tcBorders>
              <w:top w:val="single" w:sz="4" w:space="0" w:color="auto"/>
              <w:left w:val="single" w:sz="4" w:space="0" w:color="auto"/>
            </w:tcBorders>
          </w:tcPr>
          <w:p w14:paraId="5BFA91B8" w14:textId="77777777" w:rsidR="00823B67" w:rsidRPr="0065210D" w:rsidRDefault="00823B67"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p>
        </w:tc>
      </w:tr>
      <w:tr w:rsidR="00823B67" w:rsidRPr="00F55162" w14:paraId="37DB44AF" w14:textId="77777777" w:rsidTr="003A43B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noWrap/>
            <w:hideMark/>
          </w:tcPr>
          <w:p w14:paraId="5DB55417" w14:textId="77777777" w:rsidR="00823B67" w:rsidRPr="0065210D" w:rsidRDefault="005D776F" w:rsidP="005D776F">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xml:space="preserve">Scheme Expenses </w:t>
            </w:r>
            <w:r w:rsidR="00823B67" w:rsidRPr="0065210D">
              <w:rPr>
                <w:rFonts w:eastAsia="Times New Roman" w:cs="Arial"/>
                <w:color w:val="000000"/>
                <w:sz w:val="18"/>
                <w:szCs w:val="18"/>
                <w:lang w:eastAsia="en-AU"/>
              </w:rPr>
              <w:t>(0-64) </w:t>
            </w:r>
          </w:p>
        </w:tc>
        <w:tc>
          <w:tcPr>
            <w:tcW w:w="522" w:type="pct"/>
            <w:noWrap/>
            <w:hideMark/>
          </w:tcPr>
          <w:p w14:paraId="1067CC00" w14:textId="77777777" w:rsidR="00823B67" w:rsidRPr="0065210D"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31,394</w:t>
            </w:r>
          </w:p>
        </w:tc>
        <w:tc>
          <w:tcPr>
            <w:tcW w:w="523" w:type="pct"/>
            <w:noWrap/>
            <w:hideMark/>
          </w:tcPr>
          <w:p w14:paraId="7909E713" w14:textId="77777777" w:rsidR="00823B67" w:rsidRPr="0065210D"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34,874</w:t>
            </w:r>
          </w:p>
        </w:tc>
        <w:tc>
          <w:tcPr>
            <w:tcW w:w="522" w:type="pct"/>
            <w:noWrap/>
            <w:hideMark/>
          </w:tcPr>
          <w:p w14:paraId="0BF2C442" w14:textId="77777777" w:rsidR="00823B67" w:rsidRPr="0065210D"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39,955</w:t>
            </w:r>
          </w:p>
        </w:tc>
        <w:tc>
          <w:tcPr>
            <w:tcW w:w="522" w:type="pct"/>
            <w:tcBorders>
              <w:right w:val="dotted" w:sz="4" w:space="0" w:color="auto"/>
            </w:tcBorders>
            <w:noWrap/>
            <w:hideMark/>
          </w:tcPr>
          <w:p w14:paraId="7B5FD14B" w14:textId="77777777" w:rsidR="00823B67" w:rsidRPr="0065210D"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45,187</w:t>
            </w:r>
          </w:p>
        </w:tc>
        <w:tc>
          <w:tcPr>
            <w:tcW w:w="522" w:type="pct"/>
            <w:tcBorders>
              <w:left w:val="dotted" w:sz="4" w:space="0" w:color="auto"/>
              <w:right w:val="single" w:sz="4" w:space="0" w:color="auto"/>
            </w:tcBorders>
            <w:noWrap/>
            <w:hideMark/>
          </w:tcPr>
          <w:p w14:paraId="25ED28BA" w14:textId="77777777" w:rsidR="00823B67" w:rsidRPr="0065210D"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77,843</w:t>
            </w:r>
          </w:p>
        </w:tc>
        <w:tc>
          <w:tcPr>
            <w:tcW w:w="522" w:type="pct"/>
            <w:tcBorders>
              <w:left w:val="single" w:sz="4" w:space="0" w:color="auto"/>
            </w:tcBorders>
          </w:tcPr>
          <w:p w14:paraId="1640326D" w14:textId="77777777" w:rsidR="00823B67" w:rsidRPr="0065210D"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65210D">
              <w:rPr>
                <w:rFonts w:cs="Arial"/>
                <w:sz w:val="18"/>
                <w:szCs w:val="18"/>
              </w:rPr>
              <w:t>151,411</w:t>
            </w:r>
          </w:p>
        </w:tc>
      </w:tr>
      <w:tr w:rsidR="00823B67" w:rsidRPr="00F55162" w14:paraId="6DDFDDDC" w14:textId="77777777" w:rsidTr="003A43B5">
        <w:trPr>
          <w:trHeight w:val="301"/>
        </w:trPr>
        <w:tc>
          <w:tcPr>
            <w:cnfStyle w:val="001000000000" w:firstRow="0" w:lastRow="0" w:firstColumn="1" w:lastColumn="0" w:oddVBand="0" w:evenVBand="0" w:oddHBand="0" w:evenHBand="0" w:firstRowFirstColumn="0" w:firstRowLastColumn="0" w:lastRowFirstColumn="0" w:lastRowLastColumn="0"/>
            <w:tcW w:w="1867" w:type="pct"/>
            <w:tcBorders>
              <w:bottom w:val="single" w:sz="4" w:space="0" w:color="auto"/>
            </w:tcBorders>
            <w:noWrap/>
            <w:hideMark/>
          </w:tcPr>
          <w:p w14:paraId="71E6B32E" w14:textId="77777777" w:rsidR="00823B67" w:rsidRPr="0065210D" w:rsidRDefault="005D776F" w:rsidP="00392EB7">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xml:space="preserve">Scheme Expenses </w:t>
            </w:r>
            <w:r w:rsidR="00823B67" w:rsidRPr="0065210D">
              <w:rPr>
                <w:rFonts w:eastAsia="Times New Roman" w:cs="Arial"/>
                <w:color w:val="000000"/>
                <w:sz w:val="18"/>
                <w:szCs w:val="18"/>
                <w:lang w:eastAsia="en-AU"/>
              </w:rPr>
              <w:t>(65+) </w:t>
            </w:r>
          </w:p>
        </w:tc>
        <w:tc>
          <w:tcPr>
            <w:tcW w:w="522" w:type="pct"/>
            <w:tcBorders>
              <w:bottom w:val="single" w:sz="4" w:space="0" w:color="auto"/>
            </w:tcBorders>
            <w:noWrap/>
            <w:hideMark/>
          </w:tcPr>
          <w:p w14:paraId="3A74E219" w14:textId="77777777" w:rsidR="00823B67" w:rsidRPr="0065210D" w:rsidRDefault="00823B67"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2,582</w:t>
            </w:r>
          </w:p>
        </w:tc>
        <w:tc>
          <w:tcPr>
            <w:tcW w:w="523" w:type="pct"/>
            <w:tcBorders>
              <w:bottom w:val="single" w:sz="4" w:space="0" w:color="auto"/>
            </w:tcBorders>
            <w:noWrap/>
            <w:hideMark/>
          </w:tcPr>
          <w:p w14:paraId="3112B29F" w14:textId="77777777" w:rsidR="00823B67" w:rsidRPr="0065210D" w:rsidRDefault="00823B67"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3,259</w:t>
            </w:r>
          </w:p>
        </w:tc>
        <w:tc>
          <w:tcPr>
            <w:tcW w:w="522" w:type="pct"/>
            <w:tcBorders>
              <w:bottom w:val="single" w:sz="4" w:space="0" w:color="auto"/>
            </w:tcBorders>
            <w:noWrap/>
            <w:hideMark/>
          </w:tcPr>
          <w:p w14:paraId="355B59ED" w14:textId="77777777" w:rsidR="00823B67" w:rsidRPr="0065210D" w:rsidRDefault="00823B67"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4,160</w:t>
            </w:r>
          </w:p>
        </w:tc>
        <w:tc>
          <w:tcPr>
            <w:tcW w:w="522" w:type="pct"/>
            <w:tcBorders>
              <w:bottom w:val="single" w:sz="4" w:space="0" w:color="auto"/>
              <w:right w:val="dotted" w:sz="4" w:space="0" w:color="auto"/>
            </w:tcBorders>
            <w:noWrap/>
            <w:hideMark/>
          </w:tcPr>
          <w:p w14:paraId="0C959C9D" w14:textId="77777777" w:rsidR="00823B67" w:rsidRPr="0065210D" w:rsidRDefault="00823B67"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5,157</w:t>
            </w:r>
          </w:p>
        </w:tc>
        <w:tc>
          <w:tcPr>
            <w:tcW w:w="522" w:type="pct"/>
            <w:tcBorders>
              <w:left w:val="dotted" w:sz="4" w:space="0" w:color="auto"/>
              <w:bottom w:val="single" w:sz="4" w:space="0" w:color="auto"/>
              <w:right w:val="single" w:sz="4" w:space="0" w:color="auto"/>
            </w:tcBorders>
            <w:noWrap/>
            <w:hideMark/>
          </w:tcPr>
          <w:p w14:paraId="62A5D966" w14:textId="77777777" w:rsidR="00823B67" w:rsidRPr="0065210D" w:rsidRDefault="00823B67"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11,559</w:t>
            </w:r>
          </w:p>
        </w:tc>
        <w:tc>
          <w:tcPr>
            <w:tcW w:w="522" w:type="pct"/>
            <w:tcBorders>
              <w:left w:val="single" w:sz="4" w:space="0" w:color="auto"/>
              <w:bottom w:val="single" w:sz="4" w:space="0" w:color="auto"/>
            </w:tcBorders>
          </w:tcPr>
          <w:p w14:paraId="0F91F7E6" w14:textId="77777777" w:rsidR="00823B67" w:rsidRPr="0065210D" w:rsidRDefault="00823B67"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5210D">
              <w:rPr>
                <w:rFonts w:cs="Arial"/>
                <w:sz w:val="18"/>
                <w:szCs w:val="18"/>
              </w:rPr>
              <w:t>15,158</w:t>
            </w:r>
          </w:p>
        </w:tc>
      </w:tr>
      <w:tr w:rsidR="0004693C" w:rsidRPr="00E5208A" w14:paraId="018C67DB" w14:textId="77777777" w:rsidTr="003A43B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tcBorders>
              <w:top w:val="single" w:sz="4" w:space="0" w:color="auto"/>
              <w:bottom w:val="single" w:sz="4" w:space="0" w:color="auto"/>
            </w:tcBorders>
            <w:shd w:val="clear" w:color="auto" w:fill="D4C5D7"/>
            <w:noWrap/>
            <w:hideMark/>
          </w:tcPr>
          <w:p w14:paraId="404F40AD" w14:textId="77777777" w:rsidR="00823B67" w:rsidRPr="00E5208A" w:rsidRDefault="00823B67" w:rsidP="005D776F">
            <w:pPr>
              <w:spacing w:after="0" w:line="240" w:lineRule="auto"/>
              <w:rPr>
                <w:rFonts w:eastAsia="Times New Roman" w:cs="Arial"/>
                <w:b/>
                <w:bCs/>
                <w:color w:val="000000"/>
                <w:sz w:val="18"/>
                <w:szCs w:val="18"/>
                <w:lang w:eastAsia="en-AU"/>
              </w:rPr>
            </w:pPr>
            <w:r w:rsidRPr="00E5208A">
              <w:rPr>
                <w:rFonts w:eastAsia="Times New Roman" w:cs="Arial"/>
                <w:b/>
                <w:bCs/>
                <w:color w:val="000000"/>
                <w:sz w:val="18"/>
                <w:szCs w:val="18"/>
                <w:lang w:eastAsia="en-AU"/>
              </w:rPr>
              <w:t>Total</w:t>
            </w:r>
            <w:r w:rsidR="005D776F" w:rsidRPr="00E5208A">
              <w:rPr>
                <w:rFonts w:eastAsia="Times New Roman" w:cs="Arial"/>
                <w:b/>
                <w:bCs/>
                <w:color w:val="000000"/>
                <w:sz w:val="18"/>
                <w:szCs w:val="18"/>
                <w:lang w:eastAsia="en-AU"/>
              </w:rPr>
              <w:t xml:space="preserve"> Scheme Expenses</w:t>
            </w:r>
            <w:r w:rsidRPr="00E5208A">
              <w:rPr>
                <w:rFonts w:eastAsia="Times New Roman" w:cs="Arial"/>
                <w:b/>
                <w:bCs/>
                <w:color w:val="000000"/>
                <w:sz w:val="18"/>
                <w:szCs w:val="18"/>
                <w:lang w:eastAsia="en-AU"/>
              </w:rPr>
              <w:t xml:space="preserve"> (accrual basis) </w:t>
            </w:r>
          </w:p>
        </w:tc>
        <w:tc>
          <w:tcPr>
            <w:tcW w:w="522" w:type="pct"/>
            <w:tcBorders>
              <w:top w:val="single" w:sz="4" w:space="0" w:color="auto"/>
              <w:bottom w:val="single" w:sz="4" w:space="0" w:color="auto"/>
            </w:tcBorders>
            <w:shd w:val="clear" w:color="auto" w:fill="D4C5D7"/>
            <w:noWrap/>
            <w:hideMark/>
          </w:tcPr>
          <w:p w14:paraId="3B70FB26" w14:textId="77777777" w:rsidR="00823B67" w:rsidRPr="00E5208A"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562467">
              <w:rPr>
                <w:rFonts w:cs="Arial"/>
                <w:b/>
                <w:sz w:val="18"/>
                <w:szCs w:val="18"/>
              </w:rPr>
              <w:t>33,976</w:t>
            </w:r>
          </w:p>
        </w:tc>
        <w:tc>
          <w:tcPr>
            <w:tcW w:w="523" w:type="pct"/>
            <w:tcBorders>
              <w:top w:val="single" w:sz="4" w:space="0" w:color="auto"/>
              <w:bottom w:val="single" w:sz="4" w:space="0" w:color="auto"/>
            </w:tcBorders>
            <w:shd w:val="clear" w:color="auto" w:fill="D4C5D7"/>
            <w:noWrap/>
            <w:hideMark/>
          </w:tcPr>
          <w:p w14:paraId="785FB386" w14:textId="77777777" w:rsidR="00823B67" w:rsidRPr="00E5208A"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562467">
              <w:rPr>
                <w:rFonts w:cs="Arial"/>
                <w:b/>
                <w:sz w:val="18"/>
                <w:szCs w:val="18"/>
              </w:rPr>
              <w:t>38,133</w:t>
            </w:r>
          </w:p>
        </w:tc>
        <w:tc>
          <w:tcPr>
            <w:tcW w:w="522" w:type="pct"/>
            <w:tcBorders>
              <w:top w:val="single" w:sz="4" w:space="0" w:color="auto"/>
              <w:bottom w:val="single" w:sz="4" w:space="0" w:color="auto"/>
            </w:tcBorders>
            <w:shd w:val="clear" w:color="auto" w:fill="D4C5D7"/>
            <w:noWrap/>
            <w:hideMark/>
          </w:tcPr>
          <w:p w14:paraId="0A7709E7" w14:textId="77777777" w:rsidR="00823B67" w:rsidRPr="00E5208A"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562467">
              <w:rPr>
                <w:rFonts w:cs="Arial"/>
                <w:b/>
                <w:sz w:val="18"/>
                <w:szCs w:val="18"/>
              </w:rPr>
              <w:t>44,116</w:t>
            </w:r>
          </w:p>
        </w:tc>
        <w:tc>
          <w:tcPr>
            <w:tcW w:w="522" w:type="pct"/>
            <w:tcBorders>
              <w:top w:val="single" w:sz="4" w:space="0" w:color="auto"/>
              <w:bottom w:val="single" w:sz="4" w:space="0" w:color="auto"/>
              <w:right w:val="dotted" w:sz="4" w:space="0" w:color="auto"/>
            </w:tcBorders>
            <w:shd w:val="clear" w:color="auto" w:fill="D4C5D7"/>
            <w:noWrap/>
            <w:hideMark/>
          </w:tcPr>
          <w:p w14:paraId="13C39DE4" w14:textId="77777777" w:rsidR="00823B67" w:rsidRPr="00E5208A"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562467">
              <w:rPr>
                <w:rFonts w:cs="Arial"/>
                <w:b/>
                <w:sz w:val="18"/>
                <w:szCs w:val="18"/>
              </w:rPr>
              <w:t>50,344</w:t>
            </w:r>
          </w:p>
        </w:tc>
        <w:tc>
          <w:tcPr>
            <w:tcW w:w="522" w:type="pct"/>
            <w:tcBorders>
              <w:top w:val="single" w:sz="4" w:space="0" w:color="auto"/>
              <w:left w:val="dotted" w:sz="4" w:space="0" w:color="auto"/>
              <w:bottom w:val="single" w:sz="4" w:space="0" w:color="auto"/>
              <w:right w:val="single" w:sz="4" w:space="0" w:color="auto"/>
            </w:tcBorders>
            <w:shd w:val="clear" w:color="auto" w:fill="D4C5D7"/>
            <w:noWrap/>
            <w:hideMark/>
          </w:tcPr>
          <w:p w14:paraId="528CE56E" w14:textId="77777777" w:rsidR="00823B67" w:rsidRPr="00E5208A"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562467">
              <w:rPr>
                <w:rFonts w:cs="Arial"/>
                <w:b/>
                <w:sz w:val="18"/>
                <w:szCs w:val="18"/>
              </w:rPr>
              <w:t>89,403</w:t>
            </w:r>
          </w:p>
        </w:tc>
        <w:tc>
          <w:tcPr>
            <w:tcW w:w="522" w:type="pct"/>
            <w:tcBorders>
              <w:top w:val="single" w:sz="4" w:space="0" w:color="auto"/>
              <w:left w:val="single" w:sz="4" w:space="0" w:color="auto"/>
              <w:bottom w:val="single" w:sz="4" w:space="0" w:color="auto"/>
            </w:tcBorders>
            <w:shd w:val="clear" w:color="auto" w:fill="D4C5D7"/>
          </w:tcPr>
          <w:p w14:paraId="024A903F" w14:textId="77777777" w:rsidR="00823B67" w:rsidRPr="00E5208A" w:rsidRDefault="00823B67"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18"/>
                <w:szCs w:val="18"/>
              </w:rPr>
            </w:pPr>
            <w:r w:rsidRPr="00562467">
              <w:rPr>
                <w:rFonts w:cs="Arial"/>
                <w:b/>
                <w:sz w:val="18"/>
                <w:szCs w:val="18"/>
              </w:rPr>
              <w:t>166,569</w:t>
            </w:r>
          </w:p>
        </w:tc>
      </w:tr>
      <w:tr w:rsidR="003A43B5" w:rsidRPr="00E5208A" w14:paraId="54DB3FC5" w14:textId="77777777" w:rsidTr="003A43B5">
        <w:trPr>
          <w:trHeight w:val="301"/>
        </w:trPr>
        <w:tc>
          <w:tcPr>
            <w:cnfStyle w:val="001000000000" w:firstRow="0" w:lastRow="0" w:firstColumn="1" w:lastColumn="0" w:oddVBand="0" w:evenVBand="0" w:oddHBand="0" w:evenHBand="0" w:firstRowFirstColumn="0" w:firstRowLastColumn="0" w:lastRowFirstColumn="0" w:lastRowLastColumn="0"/>
            <w:tcW w:w="1867" w:type="pct"/>
            <w:tcBorders>
              <w:top w:val="single" w:sz="4" w:space="0" w:color="auto"/>
              <w:bottom w:val="single" w:sz="4" w:space="0" w:color="auto"/>
            </w:tcBorders>
            <w:shd w:val="clear" w:color="auto" w:fill="D4C5D7"/>
            <w:noWrap/>
          </w:tcPr>
          <w:p w14:paraId="0278DB10" w14:textId="77777777" w:rsidR="003A43B5" w:rsidRPr="00E5208A" w:rsidRDefault="003A43B5" w:rsidP="005D776F">
            <w:pPr>
              <w:spacing w:after="0" w:line="240" w:lineRule="auto"/>
              <w:rPr>
                <w:rFonts w:eastAsia="Times New Roman" w:cs="Arial"/>
                <w:b/>
                <w:bCs/>
                <w:color w:val="000000"/>
                <w:sz w:val="18"/>
                <w:szCs w:val="18"/>
                <w:lang w:eastAsia="en-AU"/>
              </w:rPr>
            </w:pPr>
            <w:r w:rsidRPr="00E5208A">
              <w:rPr>
                <w:rFonts w:eastAsia="Times New Roman" w:cs="Arial"/>
                <w:b/>
                <w:bCs/>
                <w:color w:val="000000"/>
                <w:sz w:val="18"/>
                <w:szCs w:val="18"/>
                <w:lang w:eastAsia="en-AU"/>
              </w:rPr>
              <w:t>Total Scheme Expenses (% of GDP)</w:t>
            </w:r>
          </w:p>
        </w:tc>
        <w:tc>
          <w:tcPr>
            <w:tcW w:w="522" w:type="pct"/>
            <w:tcBorders>
              <w:top w:val="single" w:sz="4" w:space="0" w:color="auto"/>
              <w:bottom w:val="single" w:sz="4" w:space="0" w:color="auto"/>
            </w:tcBorders>
            <w:shd w:val="clear" w:color="auto" w:fill="D4C5D7"/>
            <w:noWrap/>
          </w:tcPr>
          <w:p w14:paraId="71789626" w14:textId="77777777" w:rsidR="003A43B5" w:rsidRPr="002D5B71" w:rsidRDefault="003A43B5"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cs="Arial"/>
                <w:b/>
                <w:sz w:val="18"/>
                <w:szCs w:val="18"/>
              </w:rPr>
            </w:pPr>
            <w:r w:rsidRPr="002D5B71">
              <w:rPr>
                <w:rFonts w:cs="Arial"/>
                <w:b/>
                <w:sz w:val="18"/>
                <w:szCs w:val="18"/>
              </w:rPr>
              <w:t>1.48%</w:t>
            </w:r>
          </w:p>
        </w:tc>
        <w:tc>
          <w:tcPr>
            <w:tcW w:w="523" w:type="pct"/>
            <w:tcBorders>
              <w:top w:val="single" w:sz="4" w:space="0" w:color="auto"/>
              <w:bottom w:val="single" w:sz="4" w:space="0" w:color="auto"/>
            </w:tcBorders>
            <w:shd w:val="clear" w:color="auto" w:fill="D4C5D7"/>
            <w:noWrap/>
          </w:tcPr>
          <w:p w14:paraId="3A25165E" w14:textId="77777777" w:rsidR="003A43B5" w:rsidRPr="002D5B71" w:rsidRDefault="003A43B5"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cs="Arial"/>
                <w:b/>
                <w:sz w:val="18"/>
                <w:szCs w:val="18"/>
              </w:rPr>
            </w:pPr>
            <w:r w:rsidRPr="002D5B71">
              <w:rPr>
                <w:rFonts w:cs="Arial"/>
                <w:b/>
                <w:sz w:val="18"/>
                <w:szCs w:val="18"/>
              </w:rPr>
              <w:t>1.61%</w:t>
            </w:r>
          </w:p>
        </w:tc>
        <w:tc>
          <w:tcPr>
            <w:tcW w:w="522" w:type="pct"/>
            <w:tcBorders>
              <w:top w:val="single" w:sz="4" w:space="0" w:color="auto"/>
              <w:bottom w:val="single" w:sz="4" w:space="0" w:color="auto"/>
            </w:tcBorders>
            <w:shd w:val="clear" w:color="auto" w:fill="D4C5D7"/>
            <w:noWrap/>
          </w:tcPr>
          <w:p w14:paraId="3BD7D9C2" w14:textId="77777777" w:rsidR="003A43B5" w:rsidRPr="002D5B71" w:rsidRDefault="003A43B5"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cs="Arial"/>
                <w:b/>
                <w:sz w:val="18"/>
                <w:szCs w:val="18"/>
              </w:rPr>
            </w:pPr>
            <w:r w:rsidRPr="002D5B71">
              <w:rPr>
                <w:rFonts w:cs="Arial"/>
                <w:b/>
                <w:sz w:val="18"/>
                <w:szCs w:val="18"/>
              </w:rPr>
              <w:t>1.77%</w:t>
            </w:r>
          </w:p>
        </w:tc>
        <w:tc>
          <w:tcPr>
            <w:tcW w:w="522" w:type="pct"/>
            <w:tcBorders>
              <w:top w:val="single" w:sz="4" w:space="0" w:color="auto"/>
              <w:bottom w:val="single" w:sz="4" w:space="0" w:color="auto"/>
              <w:right w:val="dotted" w:sz="4" w:space="0" w:color="auto"/>
            </w:tcBorders>
            <w:shd w:val="clear" w:color="auto" w:fill="D4C5D7"/>
            <w:noWrap/>
          </w:tcPr>
          <w:p w14:paraId="62C9B780" w14:textId="77777777" w:rsidR="003A43B5" w:rsidRPr="002D5B71" w:rsidRDefault="003A43B5"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cs="Arial"/>
                <w:b/>
                <w:sz w:val="18"/>
                <w:szCs w:val="18"/>
              </w:rPr>
            </w:pPr>
            <w:r w:rsidRPr="002D5B71">
              <w:rPr>
                <w:rFonts w:cs="Arial"/>
                <w:b/>
                <w:sz w:val="18"/>
                <w:szCs w:val="18"/>
              </w:rPr>
              <w:t>1.93%</w:t>
            </w:r>
          </w:p>
        </w:tc>
        <w:tc>
          <w:tcPr>
            <w:tcW w:w="522" w:type="pct"/>
            <w:tcBorders>
              <w:top w:val="single" w:sz="4" w:space="0" w:color="auto"/>
              <w:left w:val="dotted" w:sz="4" w:space="0" w:color="auto"/>
              <w:bottom w:val="single" w:sz="4" w:space="0" w:color="auto"/>
              <w:right w:val="single" w:sz="4" w:space="0" w:color="auto"/>
            </w:tcBorders>
            <w:shd w:val="clear" w:color="auto" w:fill="D4C5D7"/>
            <w:noWrap/>
          </w:tcPr>
          <w:p w14:paraId="6F918309" w14:textId="77777777" w:rsidR="003A43B5" w:rsidRPr="002D5B71" w:rsidRDefault="003A43B5"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cs="Arial"/>
                <w:b/>
                <w:sz w:val="18"/>
                <w:szCs w:val="18"/>
              </w:rPr>
            </w:pPr>
            <w:r w:rsidRPr="002D5B71">
              <w:rPr>
                <w:rFonts w:cs="Arial"/>
                <w:b/>
                <w:sz w:val="18"/>
                <w:szCs w:val="18"/>
              </w:rPr>
              <w:t>2.55%</w:t>
            </w:r>
          </w:p>
        </w:tc>
        <w:tc>
          <w:tcPr>
            <w:tcW w:w="522" w:type="pct"/>
            <w:tcBorders>
              <w:top w:val="single" w:sz="4" w:space="0" w:color="auto"/>
              <w:left w:val="single" w:sz="4" w:space="0" w:color="auto"/>
              <w:bottom w:val="single" w:sz="4" w:space="0" w:color="auto"/>
            </w:tcBorders>
            <w:shd w:val="clear" w:color="auto" w:fill="D4C5D7"/>
          </w:tcPr>
          <w:p w14:paraId="3C5CF2CC" w14:textId="77777777" w:rsidR="003A43B5" w:rsidRPr="002D5B71" w:rsidRDefault="003A43B5"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cs="Arial"/>
                <w:b/>
                <w:sz w:val="18"/>
                <w:szCs w:val="18"/>
              </w:rPr>
            </w:pPr>
            <w:r w:rsidRPr="002D5B71">
              <w:rPr>
                <w:rFonts w:cs="Arial"/>
                <w:b/>
                <w:sz w:val="18"/>
                <w:szCs w:val="18"/>
              </w:rPr>
              <w:t>1.70%</w:t>
            </w:r>
          </w:p>
        </w:tc>
      </w:tr>
    </w:tbl>
    <w:p w14:paraId="7A2A433A" w14:textId="77777777" w:rsidR="00A87896" w:rsidRDefault="00A87896" w:rsidP="00252EAF">
      <w:pPr>
        <w:pStyle w:val="FSRnormal"/>
        <w:rPr>
          <w:rFonts w:asciiTheme="minorHAnsi" w:eastAsiaTheme="minorHAnsi" w:hAnsiTheme="minorHAnsi"/>
          <w:szCs w:val="22"/>
          <w:lang w:eastAsia="en-US"/>
        </w:rPr>
      </w:pPr>
      <w:r>
        <w:t>It is important to recognise that the projected Scheme expenses are shown in nominal terms, i.e. that future dollars of estimated Scheme expenses include the effects of inflation over time. This impact of inflation increases over the longer term and so is particularly significant for the result in 2031-32. Expressing Scheme expenses as a proportion of GDP is a way of removing the impacts of economic inflation. Scheme expenses are estimated to be 1.48% of GDP in 2022-23, increasing to 2.55% in 2031-32.</w:t>
      </w:r>
      <w:r w:rsidR="00495F8F">
        <w:t xml:space="preserve"> In considering longer</w:t>
      </w:r>
      <w:r w:rsidR="003F6941">
        <w:t>-</w:t>
      </w:r>
      <w:r w:rsidR="00495F8F">
        <w:t xml:space="preserve">term projections it is recommended that users refer to </w:t>
      </w:r>
      <w:r w:rsidR="00197BF7">
        <w:t>expense</w:t>
      </w:r>
      <w:r w:rsidR="00495F8F">
        <w:t xml:space="preserve">s as a % of GDP rather than nominal dollar figures as these provide a more meaningful </w:t>
      </w:r>
      <w:r w:rsidR="00676BEA">
        <w:t xml:space="preserve">measure of </w:t>
      </w:r>
      <w:r w:rsidR="00197BF7">
        <w:t>S</w:t>
      </w:r>
      <w:r w:rsidR="00676BEA">
        <w:t>cheme expenses</w:t>
      </w:r>
      <w:r w:rsidR="00495F8F">
        <w:t>.</w:t>
      </w:r>
    </w:p>
    <w:p w14:paraId="42620008" w14:textId="77777777" w:rsidR="00F933BF" w:rsidRPr="00A87896" w:rsidRDefault="00F933BF">
      <w:pPr>
        <w:pStyle w:val="FSRnormal"/>
        <w:rPr>
          <w:rStyle w:val="normaltextrun"/>
        </w:rPr>
      </w:pPr>
      <w:r w:rsidRPr="00ED7E79">
        <w:t>The level of uncertainty associated with the Scheme projections also increases over the longer term. In particular, there is a wide range of plausible outcomes for the 2031-32 year as shown in Table 2. The 5</w:t>
      </w:r>
      <w:r w:rsidRPr="00252EAF">
        <w:t>th</w:t>
      </w:r>
      <w:r w:rsidRPr="00ED7E79">
        <w:t xml:space="preserve"> percentile and 95</w:t>
      </w:r>
      <w:r w:rsidRPr="00252EAF">
        <w:t>th</w:t>
      </w:r>
      <w:r w:rsidRPr="00ED7E79">
        <w:t xml:space="preserve"> percentile results form a</w:t>
      </w:r>
      <w:r w:rsidRPr="00ED7E79">
        <w:rPr>
          <w:rStyle w:val="normaltextrun"/>
        </w:rPr>
        <w:t xml:space="preserve"> 90% confidence interval for the range of expected outcomes for projected Scheme expenses. The 90</w:t>
      </w:r>
      <w:r w:rsidR="006D6FB8">
        <w:rPr>
          <w:rStyle w:val="normaltextrun"/>
        </w:rPr>
        <w:t>%</w:t>
      </w:r>
      <w:r w:rsidRPr="00ED7E79">
        <w:rPr>
          <w:rStyle w:val="normaltextrun"/>
        </w:rPr>
        <w:t xml:space="preserve"> confidence interval is $31.8 billion to $37.4 billion or </w:t>
      </w:r>
      <w:r w:rsidR="002A0E16" w:rsidRPr="00ED7E79">
        <w:rPr>
          <w:rStyle w:val="normaltextrun"/>
        </w:rPr>
        <w:t>1.38</w:t>
      </w:r>
      <w:r w:rsidRPr="00ED7E79">
        <w:rPr>
          <w:rStyle w:val="normaltextrun"/>
        </w:rPr>
        <w:t xml:space="preserve">% to </w:t>
      </w:r>
      <w:r w:rsidR="002A0E16" w:rsidRPr="00ED7E79">
        <w:rPr>
          <w:rStyle w:val="normaltextrun"/>
        </w:rPr>
        <w:t>1.63</w:t>
      </w:r>
      <w:r w:rsidRPr="00ED7E79">
        <w:rPr>
          <w:rStyle w:val="normaltextrun"/>
        </w:rPr>
        <w:t xml:space="preserve">% of GDP for 2022-23. This increases to $72.7 billion to $115.0 billion or </w:t>
      </w:r>
      <w:r w:rsidR="002A0E16" w:rsidRPr="00ED7E79">
        <w:rPr>
          <w:rStyle w:val="normaltextrun"/>
        </w:rPr>
        <w:t>2.07</w:t>
      </w:r>
      <w:r w:rsidRPr="00ED7E79">
        <w:rPr>
          <w:rStyle w:val="normaltextrun"/>
        </w:rPr>
        <w:t xml:space="preserve">% to </w:t>
      </w:r>
      <w:r w:rsidR="002A0E16" w:rsidRPr="00ED7E79">
        <w:rPr>
          <w:rStyle w:val="normaltextrun"/>
        </w:rPr>
        <w:t>3.28</w:t>
      </w:r>
      <w:r w:rsidRPr="00ED7E79">
        <w:rPr>
          <w:rStyle w:val="normaltextrun"/>
        </w:rPr>
        <w:t xml:space="preserve">% of GDP for 2031-32. Further explanation of the uncertainty in Scheme projections and the </w:t>
      </w:r>
      <w:r w:rsidR="006F66C6" w:rsidRPr="00ED7E79">
        <w:rPr>
          <w:rStyle w:val="normaltextrun"/>
        </w:rPr>
        <w:t>s</w:t>
      </w:r>
      <w:r w:rsidRPr="00ED7E79">
        <w:rPr>
          <w:rStyle w:val="normaltextrun"/>
        </w:rPr>
        <w:t>tochastic model</w:t>
      </w:r>
      <w:r w:rsidR="00770BE4" w:rsidRPr="0083436E">
        <w:rPr>
          <w:rStyle w:val="FootnoteReference"/>
        </w:rPr>
        <w:footnoteReference w:id="6"/>
      </w:r>
      <w:r w:rsidRPr="00ED7E79">
        <w:rPr>
          <w:rStyle w:val="normaltextrun"/>
        </w:rPr>
        <w:t xml:space="preserve"> used to produce these results is included later in th</w:t>
      </w:r>
      <w:r w:rsidR="00D64DFF">
        <w:rPr>
          <w:rStyle w:val="normaltextrun"/>
        </w:rPr>
        <w:t>is</w:t>
      </w:r>
      <w:r w:rsidRPr="00ED7E79">
        <w:rPr>
          <w:rStyle w:val="normaltextrun"/>
        </w:rPr>
        <w:t xml:space="preserve"> Executive Summary and in Section 6.2.</w:t>
      </w:r>
    </w:p>
    <w:p w14:paraId="44A80567" w14:textId="77777777" w:rsidR="00943F64" w:rsidRDefault="00943F64">
      <w:pPr>
        <w:spacing w:after="160" w:line="259" w:lineRule="auto"/>
        <w:rPr>
          <w:rFonts w:eastAsiaTheme="minorHAnsi"/>
          <w:b/>
          <w:bCs/>
          <w:szCs w:val="18"/>
          <w:lang w:eastAsia="en-US"/>
        </w:rPr>
      </w:pPr>
      <w:r>
        <w:br w:type="page"/>
      </w:r>
    </w:p>
    <w:p w14:paraId="7CE419BB" w14:textId="77777777" w:rsidR="006F66C6" w:rsidRDefault="006F66C6" w:rsidP="00252EAF">
      <w:pPr>
        <w:pStyle w:val="Tables"/>
      </w:pPr>
      <w:r>
        <w:lastRenderedPageBreak/>
        <w:t xml:space="preserve">Table </w:t>
      </w:r>
      <w:fldSimple w:instr=" SEQ Table \* ARABIC \s 2 ">
        <w:r w:rsidR="00A87896">
          <w:rPr>
            <w:noProof/>
          </w:rPr>
          <w:t>2</w:t>
        </w:r>
      </w:fldSimple>
      <w:r w:rsidRPr="005A45D5">
        <w:t>: Range of plausible outcomes of Scheme expenses</w:t>
      </w:r>
    </w:p>
    <w:tbl>
      <w:tblPr>
        <w:tblStyle w:val="FSRtable"/>
        <w:tblW w:w="5000" w:type="pct"/>
        <w:tblInd w:w="0" w:type="dxa"/>
        <w:tblLayout w:type="fixed"/>
        <w:tblLook w:val="04A0" w:firstRow="1" w:lastRow="0" w:firstColumn="1" w:lastColumn="0" w:noHBand="0" w:noVBand="1"/>
      </w:tblPr>
      <w:tblGrid>
        <w:gridCol w:w="3371"/>
        <w:gridCol w:w="943"/>
        <w:gridCol w:w="944"/>
        <w:gridCol w:w="942"/>
        <w:gridCol w:w="942"/>
        <w:gridCol w:w="942"/>
        <w:gridCol w:w="942"/>
      </w:tblGrid>
      <w:tr w:rsidR="00707048" w:rsidRPr="00F55162" w14:paraId="5F236F80" w14:textId="77777777" w:rsidTr="00252EAF">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0" w:type="pct"/>
            <w:noWrap/>
            <w:hideMark/>
          </w:tcPr>
          <w:p w14:paraId="55BC088D" w14:textId="77777777" w:rsidR="00707048" w:rsidRPr="0065210D" w:rsidRDefault="00707048">
            <w:pPr>
              <w:spacing w:after="0" w:line="240" w:lineRule="auto"/>
              <w:rPr>
                <w:rFonts w:eastAsia="Times New Roman"/>
                <w:b w:val="0"/>
                <w:bCs/>
                <w:color w:val="FFFFFF"/>
                <w:sz w:val="18"/>
                <w:szCs w:val="18"/>
                <w:lang w:eastAsia="en-AU"/>
              </w:rPr>
            </w:pPr>
            <w:r>
              <w:rPr>
                <w:rFonts w:eastAsia="Times New Roman"/>
                <w:bCs/>
                <w:color w:val="FFFFFF"/>
                <w:sz w:val="18"/>
                <w:szCs w:val="18"/>
                <w:lang w:eastAsia="en-AU"/>
              </w:rPr>
              <w:t>2021-22 AFSR</w:t>
            </w:r>
            <w:r w:rsidRPr="0065210D">
              <w:rPr>
                <w:rFonts w:eastAsia="Times New Roman"/>
                <w:bCs/>
                <w:color w:val="FFFFFF"/>
                <w:sz w:val="18"/>
                <w:szCs w:val="18"/>
                <w:lang w:eastAsia="en-AU"/>
              </w:rPr>
              <w:t> </w:t>
            </w:r>
          </w:p>
        </w:tc>
        <w:tc>
          <w:tcPr>
            <w:tcW w:w="0" w:type="pct"/>
            <w:noWrap/>
            <w:hideMark/>
          </w:tcPr>
          <w:p w14:paraId="29A0FF89" w14:textId="77777777" w:rsidR="00707048" w:rsidRPr="0065210D" w:rsidRDefault="00707048">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2022-23</w:t>
            </w:r>
          </w:p>
        </w:tc>
        <w:tc>
          <w:tcPr>
            <w:tcW w:w="0" w:type="pct"/>
            <w:noWrap/>
            <w:hideMark/>
          </w:tcPr>
          <w:p w14:paraId="2077FD58" w14:textId="77777777" w:rsidR="00707048" w:rsidRPr="0065210D" w:rsidRDefault="00707048">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2023-24</w:t>
            </w:r>
          </w:p>
        </w:tc>
        <w:tc>
          <w:tcPr>
            <w:tcW w:w="0" w:type="pct"/>
            <w:noWrap/>
            <w:hideMark/>
          </w:tcPr>
          <w:p w14:paraId="363ED2E4" w14:textId="77777777" w:rsidR="00707048" w:rsidRPr="0065210D" w:rsidRDefault="00707048">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2024-25</w:t>
            </w:r>
          </w:p>
        </w:tc>
        <w:tc>
          <w:tcPr>
            <w:tcW w:w="0" w:type="pct"/>
            <w:tcBorders>
              <w:top w:val="single" w:sz="4" w:space="0" w:color="auto"/>
              <w:right w:val="dotted" w:sz="4" w:space="0" w:color="auto"/>
            </w:tcBorders>
            <w:noWrap/>
            <w:hideMark/>
          </w:tcPr>
          <w:p w14:paraId="232D37F7" w14:textId="77777777" w:rsidR="00707048" w:rsidRPr="0065210D" w:rsidRDefault="00707048">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2025-26</w:t>
            </w:r>
          </w:p>
        </w:tc>
        <w:tc>
          <w:tcPr>
            <w:tcW w:w="0" w:type="pct"/>
            <w:tcBorders>
              <w:top w:val="single" w:sz="4" w:space="0" w:color="auto"/>
              <w:left w:val="dotted" w:sz="4" w:space="0" w:color="auto"/>
              <w:right w:val="single" w:sz="4" w:space="0" w:color="auto"/>
            </w:tcBorders>
            <w:noWrap/>
            <w:hideMark/>
          </w:tcPr>
          <w:p w14:paraId="18C8CEFB" w14:textId="77777777" w:rsidR="00707048" w:rsidRPr="0065210D" w:rsidRDefault="00707048">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2031-32</w:t>
            </w:r>
          </w:p>
        </w:tc>
        <w:tc>
          <w:tcPr>
            <w:tcW w:w="0" w:type="pct"/>
            <w:tcBorders>
              <w:left w:val="single" w:sz="4" w:space="0" w:color="auto"/>
            </w:tcBorders>
          </w:tcPr>
          <w:p w14:paraId="6AB93B43" w14:textId="77777777" w:rsidR="00707048" w:rsidRPr="0065210D" w:rsidRDefault="00707048">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65210D">
              <w:rPr>
                <w:rFonts w:eastAsia="Times New Roman"/>
                <w:bCs/>
                <w:color w:val="FFFFFF"/>
                <w:sz w:val="18"/>
                <w:szCs w:val="18"/>
                <w:lang w:eastAsia="en-AU"/>
              </w:rPr>
              <w:t>2022-26</w:t>
            </w:r>
          </w:p>
        </w:tc>
      </w:tr>
      <w:tr w:rsidR="00707048" w:rsidRPr="00F55162" w14:paraId="500076D7"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6D796C7F" w14:textId="77777777" w:rsidR="00707048" w:rsidRPr="0065210D" w:rsidRDefault="002A0E16">
            <w:pPr>
              <w:spacing w:after="0" w:line="240" w:lineRule="auto"/>
              <w:rPr>
                <w:rFonts w:eastAsia="Times New Roman" w:cs="Arial"/>
                <w:b/>
                <w:bCs/>
                <w:color w:val="000000"/>
                <w:sz w:val="18"/>
                <w:szCs w:val="18"/>
                <w:lang w:eastAsia="en-AU"/>
              </w:rPr>
            </w:pPr>
            <w:r>
              <w:rPr>
                <w:rFonts w:eastAsia="Times New Roman" w:cs="Arial"/>
                <w:b/>
                <w:bCs/>
                <w:color w:val="000000"/>
                <w:sz w:val="18"/>
                <w:szCs w:val="18"/>
                <w:lang w:eastAsia="en-AU"/>
              </w:rPr>
              <w:t>Scheme Expenses (</w:t>
            </w:r>
            <w:r w:rsidR="009F0F41">
              <w:rPr>
                <w:rFonts w:eastAsia="Times New Roman" w:cs="Arial"/>
                <w:b/>
                <w:bCs/>
                <w:color w:val="000000"/>
                <w:sz w:val="18"/>
                <w:szCs w:val="18"/>
                <w:lang w:eastAsia="en-AU"/>
              </w:rPr>
              <w:t>$m</w:t>
            </w:r>
            <w:r>
              <w:rPr>
                <w:rFonts w:eastAsia="Times New Roman" w:cs="Arial"/>
                <w:b/>
                <w:bCs/>
                <w:color w:val="000000"/>
                <w:sz w:val="18"/>
                <w:szCs w:val="18"/>
                <w:lang w:eastAsia="en-AU"/>
              </w:rPr>
              <w:t>)</w:t>
            </w:r>
          </w:p>
        </w:tc>
        <w:tc>
          <w:tcPr>
            <w:tcW w:w="0" w:type="pct"/>
            <w:noWrap/>
            <w:hideMark/>
          </w:tcPr>
          <w:p w14:paraId="66442CA9" w14:textId="77777777" w:rsidR="00707048" w:rsidRPr="0065210D" w:rsidRDefault="0070704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r w:rsidRPr="0065210D">
              <w:rPr>
                <w:rFonts w:eastAsia="Times New Roman" w:cs="Arial"/>
                <w:b/>
                <w:bCs/>
                <w:i/>
                <w:iCs/>
                <w:color w:val="000000"/>
                <w:sz w:val="18"/>
                <w:szCs w:val="18"/>
                <w:lang w:eastAsia="en-AU"/>
              </w:rPr>
              <w:t> </w:t>
            </w:r>
          </w:p>
        </w:tc>
        <w:tc>
          <w:tcPr>
            <w:tcW w:w="0" w:type="pct"/>
            <w:noWrap/>
            <w:hideMark/>
          </w:tcPr>
          <w:p w14:paraId="60723838" w14:textId="77777777" w:rsidR="00707048" w:rsidRPr="0065210D" w:rsidRDefault="0070704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r w:rsidRPr="0065210D">
              <w:rPr>
                <w:rFonts w:eastAsia="Times New Roman" w:cs="Arial"/>
                <w:b/>
                <w:bCs/>
                <w:i/>
                <w:iCs/>
                <w:color w:val="000000"/>
                <w:sz w:val="18"/>
                <w:szCs w:val="18"/>
                <w:lang w:eastAsia="en-AU"/>
              </w:rPr>
              <w:t> </w:t>
            </w:r>
          </w:p>
        </w:tc>
        <w:tc>
          <w:tcPr>
            <w:tcW w:w="0" w:type="pct"/>
            <w:noWrap/>
            <w:hideMark/>
          </w:tcPr>
          <w:p w14:paraId="18E39A9B" w14:textId="77777777" w:rsidR="00707048" w:rsidRPr="0065210D" w:rsidRDefault="0070704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r w:rsidRPr="0065210D">
              <w:rPr>
                <w:rFonts w:eastAsia="Times New Roman" w:cs="Arial"/>
                <w:b/>
                <w:bCs/>
                <w:i/>
                <w:iCs/>
                <w:color w:val="000000"/>
                <w:sz w:val="18"/>
                <w:szCs w:val="18"/>
                <w:lang w:eastAsia="en-AU"/>
              </w:rPr>
              <w:t> </w:t>
            </w:r>
          </w:p>
        </w:tc>
        <w:tc>
          <w:tcPr>
            <w:tcW w:w="0" w:type="pct"/>
            <w:tcBorders>
              <w:right w:val="dotted" w:sz="4" w:space="0" w:color="auto"/>
            </w:tcBorders>
            <w:noWrap/>
            <w:hideMark/>
          </w:tcPr>
          <w:p w14:paraId="6EAEF31D" w14:textId="77777777" w:rsidR="00707048" w:rsidRPr="0065210D" w:rsidRDefault="0070704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r w:rsidRPr="0065210D">
              <w:rPr>
                <w:rFonts w:eastAsia="Times New Roman" w:cs="Arial"/>
                <w:b/>
                <w:bCs/>
                <w:i/>
                <w:iCs/>
                <w:color w:val="000000"/>
                <w:sz w:val="18"/>
                <w:szCs w:val="18"/>
                <w:lang w:eastAsia="en-AU"/>
              </w:rPr>
              <w:t> </w:t>
            </w:r>
          </w:p>
        </w:tc>
        <w:tc>
          <w:tcPr>
            <w:tcW w:w="0" w:type="pct"/>
            <w:tcBorders>
              <w:left w:val="dotted" w:sz="4" w:space="0" w:color="auto"/>
              <w:right w:val="single" w:sz="4" w:space="0" w:color="auto"/>
            </w:tcBorders>
            <w:noWrap/>
            <w:hideMark/>
          </w:tcPr>
          <w:p w14:paraId="48B19253" w14:textId="77777777" w:rsidR="00707048" w:rsidRPr="0065210D" w:rsidRDefault="0070704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r w:rsidRPr="0065210D">
              <w:rPr>
                <w:rFonts w:eastAsia="Times New Roman" w:cs="Arial"/>
                <w:b/>
                <w:bCs/>
                <w:i/>
                <w:iCs/>
                <w:color w:val="000000"/>
                <w:sz w:val="18"/>
                <w:szCs w:val="18"/>
                <w:lang w:eastAsia="en-AU"/>
              </w:rPr>
              <w:t> </w:t>
            </w:r>
          </w:p>
        </w:tc>
        <w:tc>
          <w:tcPr>
            <w:tcW w:w="0" w:type="pct"/>
            <w:tcBorders>
              <w:left w:val="single" w:sz="4" w:space="0" w:color="auto"/>
            </w:tcBorders>
          </w:tcPr>
          <w:p w14:paraId="5F475E7B" w14:textId="77777777" w:rsidR="00707048" w:rsidRPr="0065210D" w:rsidRDefault="0070704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p>
        </w:tc>
      </w:tr>
      <w:tr w:rsidR="00707048" w:rsidRPr="00F55162" w14:paraId="526EFA42"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3CDBEDFF" w14:textId="77777777" w:rsidR="00707048" w:rsidRPr="00707048" w:rsidRDefault="00242C69">
            <w:pPr>
              <w:spacing w:after="0" w:line="240" w:lineRule="auto"/>
              <w:rPr>
                <w:rFonts w:eastAsia="Times New Roman" w:cs="Arial"/>
                <w:color w:val="000000"/>
                <w:sz w:val="18"/>
                <w:szCs w:val="18"/>
                <w:lang w:eastAsia="en-AU"/>
              </w:rPr>
            </w:pPr>
            <w:r>
              <w:rPr>
                <w:rFonts w:eastAsia="Times New Roman" w:cs="Arial"/>
                <w:bCs/>
                <w:color w:val="000000"/>
                <w:sz w:val="18"/>
                <w:szCs w:val="18"/>
                <w:lang w:eastAsia="en-AU"/>
              </w:rPr>
              <w:t>Baseline Projection</w:t>
            </w:r>
          </w:p>
        </w:tc>
        <w:tc>
          <w:tcPr>
            <w:tcW w:w="0" w:type="pct"/>
            <w:noWrap/>
            <w:hideMark/>
          </w:tcPr>
          <w:p w14:paraId="5C462BF2" w14:textId="77777777" w:rsidR="00707048" w:rsidRPr="00707048" w:rsidRDefault="0070704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sz w:val="18"/>
                <w:szCs w:val="18"/>
              </w:rPr>
              <w:t>33,976</w:t>
            </w:r>
          </w:p>
        </w:tc>
        <w:tc>
          <w:tcPr>
            <w:tcW w:w="0" w:type="pct"/>
            <w:noWrap/>
            <w:hideMark/>
          </w:tcPr>
          <w:p w14:paraId="0B10DABA" w14:textId="77777777" w:rsidR="00707048" w:rsidRPr="00707048" w:rsidRDefault="0070704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sz w:val="18"/>
                <w:szCs w:val="18"/>
              </w:rPr>
              <w:t>38,133</w:t>
            </w:r>
          </w:p>
        </w:tc>
        <w:tc>
          <w:tcPr>
            <w:tcW w:w="0" w:type="pct"/>
            <w:noWrap/>
            <w:hideMark/>
          </w:tcPr>
          <w:p w14:paraId="20A3D60F" w14:textId="77777777" w:rsidR="00707048" w:rsidRPr="00707048" w:rsidRDefault="0070704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sz w:val="18"/>
                <w:szCs w:val="18"/>
              </w:rPr>
              <w:t>44,116</w:t>
            </w:r>
          </w:p>
        </w:tc>
        <w:tc>
          <w:tcPr>
            <w:tcW w:w="0" w:type="pct"/>
            <w:tcBorders>
              <w:right w:val="dotted" w:sz="4" w:space="0" w:color="auto"/>
            </w:tcBorders>
            <w:noWrap/>
            <w:hideMark/>
          </w:tcPr>
          <w:p w14:paraId="4857B1AD" w14:textId="77777777" w:rsidR="00707048" w:rsidRPr="00707048" w:rsidRDefault="0070704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sz w:val="18"/>
                <w:szCs w:val="18"/>
              </w:rPr>
              <w:t>50,344</w:t>
            </w:r>
          </w:p>
        </w:tc>
        <w:tc>
          <w:tcPr>
            <w:tcW w:w="0" w:type="pct"/>
            <w:tcBorders>
              <w:left w:val="dotted" w:sz="4" w:space="0" w:color="auto"/>
              <w:right w:val="single" w:sz="4" w:space="0" w:color="auto"/>
            </w:tcBorders>
            <w:noWrap/>
            <w:hideMark/>
          </w:tcPr>
          <w:p w14:paraId="67480479" w14:textId="77777777" w:rsidR="00707048" w:rsidRPr="00707048" w:rsidRDefault="0070704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sz w:val="18"/>
                <w:szCs w:val="18"/>
              </w:rPr>
              <w:t>89,403</w:t>
            </w:r>
          </w:p>
        </w:tc>
        <w:tc>
          <w:tcPr>
            <w:tcW w:w="0" w:type="pct"/>
            <w:tcBorders>
              <w:left w:val="single" w:sz="4" w:space="0" w:color="auto"/>
            </w:tcBorders>
          </w:tcPr>
          <w:p w14:paraId="50E092DD" w14:textId="77777777" w:rsidR="00707048" w:rsidRPr="00707048" w:rsidRDefault="00707048">
            <w:pPr>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252EAF">
              <w:rPr>
                <w:sz w:val="18"/>
                <w:szCs w:val="18"/>
              </w:rPr>
              <w:t>166,569</w:t>
            </w:r>
          </w:p>
        </w:tc>
      </w:tr>
      <w:tr w:rsidR="00707048" w:rsidRPr="00F55162" w14:paraId="154CB126"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0" w:type="pct"/>
            <w:tcBorders>
              <w:bottom w:val="nil"/>
            </w:tcBorders>
            <w:noWrap/>
            <w:hideMark/>
          </w:tcPr>
          <w:p w14:paraId="068384E1" w14:textId="77777777" w:rsidR="00707048" w:rsidRPr="0065210D" w:rsidRDefault="002A0E16">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5</w:t>
            </w:r>
            <w:r w:rsidR="0025518E" w:rsidRPr="00252EAF">
              <w:rPr>
                <w:rFonts w:eastAsia="Times New Roman" w:cs="Arial"/>
                <w:color w:val="000000"/>
                <w:sz w:val="18"/>
                <w:szCs w:val="18"/>
                <w:vertAlign w:val="superscript"/>
                <w:lang w:eastAsia="en-AU"/>
              </w:rPr>
              <w:t>th</w:t>
            </w:r>
            <w:r w:rsidR="0025518E">
              <w:rPr>
                <w:rFonts w:eastAsia="Times New Roman" w:cs="Arial"/>
                <w:color w:val="000000"/>
                <w:sz w:val="18"/>
                <w:szCs w:val="18"/>
                <w:lang w:eastAsia="en-AU"/>
              </w:rPr>
              <w:t xml:space="preserve"> Percentile</w:t>
            </w:r>
            <w:r>
              <w:rPr>
                <w:rFonts w:eastAsia="Times New Roman" w:cs="Arial"/>
                <w:color w:val="000000"/>
                <w:sz w:val="18"/>
                <w:szCs w:val="18"/>
                <w:lang w:eastAsia="en-AU"/>
              </w:rPr>
              <w:t xml:space="preserve"> </w:t>
            </w:r>
            <w:r w:rsidR="0025518E">
              <w:rPr>
                <w:rFonts w:eastAsia="Times New Roman" w:cs="Arial"/>
                <w:color w:val="000000"/>
                <w:sz w:val="18"/>
                <w:szCs w:val="18"/>
                <w:lang w:eastAsia="en-AU"/>
              </w:rPr>
              <w:t>P</w:t>
            </w:r>
            <w:r>
              <w:rPr>
                <w:rFonts w:eastAsia="Times New Roman" w:cs="Arial"/>
                <w:color w:val="000000"/>
                <w:sz w:val="18"/>
                <w:szCs w:val="18"/>
                <w:lang w:eastAsia="en-AU"/>
              </w:rPr>
              <w:t xml:space="preserve">rojection </w:t>
            </w:r>
          </w:p>
        </w:tc>
        <w:tc>
          <w:tcPr>
            <w:tcW w:w="0" w:type="pct"/>
            <w:tcBorders>
              <w:bottom w:val="nil"/>
            </w:tcBorders>
            <w:noWrap/>
            <w:hideMark/>
          </w:tcPr>
          <w:p w14:paraId="7E8D697A" w14:textId="77777777" w:rsidR="00707048" w:rsidRPr="00707048" w:rsidRDefault="0070704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sz w:val="18"/>
                <w:szCs w:val="18"/>
              </w:rPr>
              <w:t>31,844</w:t>
            </w:r>
          </w:p>
        </w:tc>
        <w:tc>
          <w:tcPr>
            <w:tcW w:w="0" w:type="pct"/>
            <w:tcBorders>
              <w:bottom w:val="nil"/>
            </w:tcBorders>
            <w:noWrap/>
            <w:hideMark/>
          </w:tcPr>
          <w:p w14:paraId="121460F0" w14:textId="77777777" w:rsidR="00707048" w:rsidRPr="00707048" w:rsidRDefault="0070704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sz w:val="18"/>
                <w:szCs w:val="18"/>
              </w:rPr>
              <w:t>35,224</w:t>
            </w:r>
          </w:p>
        </w:tc>
        <w:tc>
          <w:tcPr>
            <w:tcW w:w="0" w:type="pct"/>
            <w:tcBorders>
              <w:bottom w:val="nil"/>
            </w:tcBorders>
            <w:noWrap/>
            <w:hideMark/>
          </w:tcPr>
          <w:p w14:paraId="32D79528" w14:textId="77777777" w:rsidR="00707048" w:rsidRPr="00707048" w:rsidRDefault="0070704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sz w:val="18"/>
                <w:szCs w:val="18"/>
              </w:rPr>
              <w:t>40,069</w:t>
            </w:r>
          </w:p>
        </w:tc>
        <w:tc>
          <w:tcPr>
            <w:tcW w:w="0" w:type="pct"/>
            <w:tcBorders>
              <w:bottom w:val="nil"/>
              <w:right w:val="dotted" w:sz="4" w:space="0" w:color="auto"/>
            </w:tcBorders>
            <w:noWrap/>
            <w:hideMark/>
          </w:tcPr>
          <w:p w14:paraId="1381DB54" w14:textId="77777777" w:rsidR="00707048" w:rsidRPr="00707048" w:rsidRDefault="0070704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sz w:val="18"/>
                <w:szCs w:val="18"/>
              </w:rPr>
              <w:t>45,108</w:t>
            </w:r>
          </w:p>
        </w:tc>
        <w:tc>
          <w:tcPr>
            <w:tcW w:w="0" w:type="pct"/>
            <w:tcBorders>
              <w:left w:val="dotted" w:sz="4" w:space="0" w:color="auto"/>
              <w:bottom w:val="nil"/>
              <w:right w:val="single" w:sz="4" w:space="0" w:color="auto"/>
            </w:tcBorders>
            <w:noWrap/>
            <w:hideMark/>
          </w:tcPr>
          <w:p w14:paraId="77C7D70A" w14:textId="77777777" w:rsidR="00707048" w:rsidRPr="00707048" w:rsidRDefault="0070704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sz w:val="18"/>
                <w:szCs w:val="18"/>
              </w:rPr>
              <w:t>72,700</w:t>
            </w:r>
          </w:p>
        </w:tc>
        <w:tc>
          <w:tcPr>
            <w:tcW w:w="0" w:type="pct"/>
            <w:tcBorders>
              <w:left w:val="single" w:sz="4" w:space="0" w:color="auto"/>
              <w:bottom w:val="nil"/>
            </w:tcBorders>
          </w:tcPr>
          <w:p w14:paraId="48919D4F" w14:textId="77777777" w:rsidR="00707048" w:rsidRPr="00707048" w:rsidRDefault="00707048">
            <w:pPr>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52EAF">
              <w:rPr>
                <w:sz w:val="18"/>
                <w:szCs w:val="18"/>
              </w:rPr>
              <w:t>152,246</w:t>
            </w:r>
          </w:p>
        </w:tc>
      </w:tr>
      <w:tr w:rsidR="002D5E51" w:rsidRPr="009F0F41" w14:paraId="1E2D5ADC" w14:textId="77777777" w:rsidTr="009F0F4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tcBorders>
              <w:top w:val="nil"/>
              <w:bottom w:val="single" w:sz="4" w:space="0" w:color="auto"/>
            </w:tcBorders>
            <w:shd w:val="clear" w:color="auto" w:fill="BFBFBF" w:themeFill="background1" w:themeFillShade="BF"/>
            <w:noWrap/>
            <w:hideMark/>
          </w:tcPr>
          <w:p w14:paraId="3A34C34A" w14:textId="77777777" w:rsidR="00707048" w:rsidRPr="00252EAF" w:rsidRDefault="002A0E16">
            <w:pPr>
              <w:spacing w:after="0" w:line="240" w:lineRule="auto"/>
              <w:rPr>
                <w:rFonts w:eastAsia="Times New Roman" w:cs="Arial"/>
                <w:bCs/>
                <w:color w:val="000000"/>
                <w:sz w:val="18"/>
                <w:szCs w:val="18"/>
                <w:lang w:eastAsia="en-AU"/>
              </w:rPr>
            </w:pPr>
            <w:r w:rsidRPr="009F0F41">
              <w:rPr>
                <w:sz w:val="18"/>
                <w:szCs w:val="18"/>
              </w:rPr>
              <w:t>95</w:t>
            </w:r>
            <w:r w:rsidR="0025518E" w:rsidRPr="00252EAF">
              <w:rPr>
                <w:sz w:val="18"/>
                <w:szCs w:val="18"/>
                <w:vertAlign w:val="superscript"/>
              </w:rPr>
              <w:t>th</w:t>
            </w:r>
            <w:r w:rsidR="0025518E" w:rsidRPr="009F0F41">
              <w:rPr>
                <w:sz w:val="18"/>
                <w:szCs w:val="18"/>
              </w:rPr>
              <w:t xml:space="preserve"> Percentile P</w:t>
            </w:r>
            <w:r w:rsidRPr="009F0F41">
              <w:rPr>
                <w:sz w:val="18"/>
                <w:szCs w:val="18"/>
              </w:rPr>
              <w:t xml:space="preserve">rojection </w:t>
            </w:r>
          </w:p>
        </w:tc>
        <w:tc>
          <w:tcPr>
            <w:tcW w:w="522" w:type="pct"/>
            <w:tcBorders>
              <w:top w:val="nil"/>
              <w:bottom w:val="single" w:sz="4" w:space="0" w:color="auto"/>
            </w:tcBorders>
            <w:shd w:val="clear" w:color="auto" w:fill="BFBFBF" w:themeFill="background1" w:themeFillShade="BF"/>
            <w:noWrap/>
            <w:hideMark/>
          </w:tcPr>
          <w:p w14:paraId="1534C879" w14:textId="77777777" w:rsidR="00707048" w:rsidRPr="00252EAF" w:rsidRDefault="0070704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18"/>
                <w:szCs w:val="18"/>
                <w:lang w:eastAsia="en-AU"/>
              </w:rPr>
            </w:pPr>
            <w:r w:rsidRPr="00252EAF">
              <w:rPr>
                <w:sz w:val="18"/>
                <w:szCs w:val="18"/>
              </w:rPr>
              <w:t>37,439</w:t>
            </w:r>
          </w:p>
        </w:tc>
        <w:tc>
          <w:tcPr>
            <w:tcW w:w="523" w:type="pct"/>
            <w:tcBorders>
              <w:top w:val="nil"/>
              <w:bottom w:val="single" w:sz="4" w:space="0" w:color="auto"/>
            </w:tcBorders>
            <w:shd w:val="clear" w:color="auto" w:fill="BFBFBF" w:themeFill="background1" w:themeFillShade="BF"/>
            <w:noWrap/>
            <w:hideMark/>
          </w:tcPr>
          <w:p w14:paraId="24FB9496" w14:textId="77777777" w:rsidR="00707048" w:rsidRPr="00252EAF" w:rsidRDefault="0070704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18"/>
                <w:szCs w:val="18"/>
                <w:lang w:eastAsia="en-AU"/>
              </w:rPr>
            </w:pPr>
            <w:r w:rsidRPr="00252EAF">
              <w:rPr>
                <w:sz w:val="18"/>
                <w:szCs w:val="18"/>
              </w:rPr>
              <w:t>43,844</w:t>
            </w:r>
          </w:p>
        </w:tc>
        <w:tc>
          <w:tcPr>
            <w:tcW w:w="522" w:type="pct"/>
            <w:tcBorders>
              <w:top w:val="nil"/>
              <w:bottom w:val="single" w:sz="4" w:space="0" w:color="auto"/>
            </w:tcBorders>
            <w:shd w:val="clear" w:color="auto" w:fill="BFBFBF" w:themeFill="background1" w:themeFillShade="BF"/>
            <w:noWrap/>
            <w:hideMark/>
          </w:tcPr>
          <w:p w14:paraId="62801508" w14:textId="77777777" w:rsidR="00707048" w:rsidRPr="00252EAF" w:rsidRDefault="0070704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18"/>
                <w:szCs w:val="18"/>
                <w:lang w:eastAsia="en-AU"/>
              </w:rPr>
            </w:pPr>
            <w:r w:rsidRPr="00252EAF">
              <w:rPr>
                <w:sz w:val="18"/>
                <w:szCs w:val="18"/>
              </w:rPr>
              <w:t>51,853</w:t>
            </w:r>
          </w:p>
        </w:tc>
        <w:tc>
          <w:tcPr>
            <w:tcW w:w="522" w:type="pct"/>
            <w:tcBorders>
              <w:top w:val="nil"/>
              <w:bottom w:val="single" w:sz="4" w:space="0" w:color="auto"/>
              <w:right w:val="dotted" w:sz="4" w:space="0" w:color="auto"/>
            </w:tcBorders>
            <w:shd w:val="clear" w:color="auto" w:fill="BFBFBF" w:themeFill="background1" w:themeFillShade="BF"/>
            <w:noWrap/>
            <w:hideMark/>
          </w:tcPr>
          <w:p w14:paraId="66B3CC3D" w14:textId="77777777" w:rsidR="00707048" w:rsidRPr="00252EAF" w:rsidRDefault="0070704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18"/>
                <w:szCs w:val="18"/>
                <w:lang w:eastAsia="en-AU"/>
              </w:rPr>
            </w:pPr>
            <w:r w:rsidRPr="00252EAF">
              <w:rPr>
                <w:sz w:val="18"/>
                <w:szCs w:val="18"/>
              </w:rPr>
              <w:t>59,926</w:t>
            </w:r>
          </w:p>
        </w:tc>
        <w:tc>
          <w:tcPr>
            <w:tcW w:w="522" w:type="pct"/>
            <w:tcBorders>
              <w:top w:val="nil"/>
              <w:left w:val="dotted" w:sz="4" w:space="0" w:color="auto"/>
              <w:bottom w:val="single" w:sz="4" w:space="0" w:color="auto"/>
              <w:right w:val="single" w:sz="4" w:space="0" w:color="auto"/>
            </w:tcBorders>
            <w:shd w:val="clear" w:color="auto" w:fill="BFBFBF" w:themeFill="background1" w:themeFillShade="BF"/>
            <w:noWrap/>
            <w:hideMark/>
          </w:tcPr>
          <w:p w14:paraId="1AAF356D" w14:textId="77777777" w:rsidR="00707048" w:rsidRPr="00252EAF" w:rsidRDefault="0070704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18"/>
                <w:szCs w:val="18"/>
                <w:lang w:eastAsia="en-AU"/>
              </w:rPr>
            </w:pPr>
            <w:r w:rsidRPr="00252EAF">
              <w:rPr>
                <w:sz w:val="18"/>
                <w:szCs w:val="18"/>
              </w:rPr>
              <w:t>114,973</w:t>
            </w:r>
          </w:p>
        </w:tc>
        <w:tc>
          <w:tcPr>
            <w:tcW w:w="522" w:type="pct"/>
            <w:tcBorders>
              <w:top w:val="nil"/>
              <w:left w:val="single" w:sz="4" w:space="0" w:color="auto"/>
              <w:bottom w:val="single" w:sz="4" w:space="0" w:color="auto"/>
            </w:tcBorders>
            <w:shd w:val="clear" w:color="auto" w:fill="BFBFBF" w:themeFill="background1" w:themeFillShade="BF"/>
          </w:tcPr>
          <w:p w14:paraId="4EA15457" w14:textId="77777777" w:rsidR="00707048" w:rsidRPr="00252EAF" w:rsidRDefault="0070704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sz w:val="18"/>
                <w:szCs w:val="18"/>
              </w:rPr>
              <w:t>193,061</w:t>
            </w:r>
          </w:p>
        </w:tc>
      </w:tr>
      <w:tr w:rsidR="00707048" w:rsidRPr="00F55162" w14:paraId="7F8C3515"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auto"/>
            </w:tcBorders>
            <w:noWrap/>
            <w:hideMark/>
          </w:tcPr>
          <w:p w14:paraId="4D0367D0" w14:textId="77777777" w:rsidR="00707048" w:rsidRPr="0065210D" w:rsidRDefault="002A0E16">
            <w:pPr>
              <w:spacing w:after="0" w:line="240" w:lineRule="auto"/>
              <w:rPr>
                <w:rFonts w:eastAsia="Times New Roman" w:cs="Arial"/>
                <w:b/>
                <w:bCs/>
                <w:color w:val="000000"/>
                <w:sz w:val="18"/>
                <w:szCs w:val="18"/>
                <w:lang w:eastAsia="en-AU"/>
              </w:rPr>
            </w:pPr>
            <w:r>
              <w:rPr>
                <w:rFonts w:eastAsia="Times New Roman" w:cs="Arial"/>
                <w:b/>
                <w:bCs/>
                <w:color w:val="000000"/>
                <w:sz w:val="18"/>
                <w:szCs w:val="18"/>
                <w:lang w:eastAsia="en-AU"/>
              </w:rPr>
              <w:t>% of GDP</w:t>
            </w:r>
          </w:p>
        </w:tc>
        <w:tc>
          <w:tcPr>
            <w:tcW w:w="0" w:type="pct"/>
            <w:tcBorders>
              <w:top w:val="single" w:sz="4" w:space="0" w:color="auto"/>
            </w:tcBorders>
            <w:noWrap/>
            <w:hideMark/>
          </w:tcPr>
          <w:p w14:paraId="16B271C1" w14:textId="77777777" w:rsidR="00707048" w:rsidRPr="0065210D" w:rsidRDefault="0070704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p>
        </w:tc>
        <w:tc>
          <w:tcPr>
            <w:tcW w:w="0" w:type="pct"/>
            <w:tcBorders>
              <w:top w:val="single" w:sz="4" w:space="0" w:color="auto"/>
            </w:tcBorders>
            <w:noWrap/>
            <w:hideMark/>
          </w:tcPr>
          <w:p w14:paraId="56C2AEC3" w14:textId="77777777" w:rsidR="00707048" w:rsidRPr="0065210D" w:rsidRDefault="0070704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p>
        </w:tc>
        <w:tc>
          <w:tcPr>
            <w:tcW w:w="0" w:type="pct"/>
            <w:tcBorders>
              <w:top w:val="single" w:sz="4" w:space="0" w:color="auto"/>
            </w:tcBorders>
            <w:noWrap/>
            <w:hideMark/>
          </w:tcPr>
          <w:p w14:paraId="05B74AC8" w14:textId="77777777" w:rsidR="00707048" w:rsidRPr="0065210D" w:rsidRDefault="0070704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p>
        </w:tc>
        <w:tc>
          <w:tcPr>
            <w:tcW w:w="0" w:type="pct"/>
            <w:tcBorders>
              <w:top w:val="single" w:sz="4" w:space="0" w:color="auto"/>
              <w:right w:val="dotted" w:sz="4" w:space="0" w:color="auto"/>
            </w:tcBorders>
            <w:noWrap/>
            <w:hideMark/>
          </w:tcPr>
          <w:p w14:paraId="63BC8943" w14:textId="77777777" w:rsidR="00707048" w:rsidRPr="0065210D" w:rsidRDefault="0070704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p>
        </w:tc>
        <w:tc>
          <w:tcPr>
            <w:tcW w:w="0" w:type="pct"/>
            <w:tcBorders>
              <w:top w:val="single" w:sz="4" w:space="0" w:color="auto"/>
              <w:left w:val="dotted" w:sz="4" w:space="0" w:color="auto"/>
              <w:right w:val="single" w:sz="4" w:space="0" w:color="auto"/>
            </w:tcBorders>
            <w:noWrap/>
            <w:hideMark/>
          </w:tcPr>
          <w:p w14:paraId="52EAA86E" w14:textId="77777777" w:rsidR="00707048" w:rsidRPr="0065210D" w:rsidRDefault="0070704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p>
        </w:tc>
        <w:tc>
          <w:tcPr>
            <w:tcW w:w="0" w:type="pct"/>
            <w:tcBorders>
              <w:top w:val="single" w:sz="4" w:space="0" w:color="auto"/>
              <w:left w:val="single" w:sz="4" w:space="0" w:color="auto"/>
            </w:tcBorders>
          </w:tcPr>
          <w:p w14:paraId="0F4C5CAE" w14:textId="77777777" w:rsidR="00707048" w:rsidRPr="0065210D" w:rsidRDefault="00707048">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p>
        </w:tc>
      </w:tr>
      <w:tr w:rsidR="002A0E16" w:rsidRPr="00F55162" w14:paraId="60F15EF3"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40DD5779" w14:textId="77777777" w:rsidR="002A0E16" w:rsidRPr="0065210D" w:rsidRDefault="00242C69">
            <w:pPr>
              <w:spacing w:after="0" w:line="240" w:lineRule="auto"/>
              <w:rPr>
                <w:rFonts w:eastAsia="Times New Roman" w:cs="Arial"/>
                <w:color w:val="000000"/>
                <w:sz w:val="18"/>
                <w:szCs w:val="18"/>
                <w:lang w:eastAsia="en-AU"/>
              </w:rPr>
            </w:pPr>
            <w:r>
              <w:rPr>
                <w:rFonts w:eastAsia="Times New Roman" w:cs="Arial"/>
                <w:bCs/>
                <w:color w:val="000000"/>
                <w:sz w:val="18"/>
                <w:szCs w:val="18"/>
                <w:lang w:eastAsia="en-AU"/>
              </w:rPr>
              <w:t>Baseline Projection</w:t>
            </w:r>
          </w:p>
        </w:tc>
        <w:tc>
          <w:tcPr>
            <w:tcW w:w="0" w:type="pct"/>
            <w:noWrap/>
            <w:hideMark/>
          </w:tcPr>
          <w:p w14:paraId="067185B7" w14:textId="77777777" w:rsidR="002A0E16" w:rsidRPr="002A0E16" w:rsidRDefault="002A0E1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sz w:val="18"/>
                <w:szCs w:val="18"/>
              </w:rPr>
              <w:t>1.48%</w:t>
            </w:r>
          </w:p>
        </w:tc>
        <w:tc>
          <w:tcPr>
            <w:tcW w:w="0" w:type="pct"/>
            <w:noWrap/>
            <w:hideMark/>
          </w:tcPr>
          <w:p w14:paraId="4C237F44" w14:textId="77777777" w:rsidR="002A0E16" w:rsidRPr="002A0E16" w:rsidRDefault="002A0E1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sz w:val="18"/>
                <w:szCs w:val="18"/>
              </w:rPr>
              <w:t>1.61%</w:t>
            </w:r>
          </w:p>
        </w:tc>
        <w:tc>
          <w:tcPr>
            <w:tcW w:w="0" w:type="pct"/>
            <w:noWrap/>
            <w:hideMark/>
          </w:tcPr>
          <w:p w14:paraId="08D63FFA" w14:textId="77777777" w:rsidR="002A0E16" w:rsidRPr="002A0E16" w:rsidRDefault="002A0E1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sz w:val="18"/>
                <w:szCs w:val="18"/>
              </w:rPr>
              <w:t>1.77%</w:t>
            </w:r>
          </w:p>
        </w:tc>
        <w:tc>
          <w:tcPr>
            <w:tcW w:w="0" w:type="pct"/>
            <w:tcBorders>
              <w:right w:val="dotted" w:sz="4" w:space="0" w:color="auto"/>
            </w:tcBorders>
            <w:noWrap/>
            <w:hideMark/>
          </w:tcPr>
          <w:p w14:paraId="1E611F5B" w14:textId="77777777" w:rsidR="002A0E16" w:rsidRPr="002A0E16" w:rsidRDefault="002A0E1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sz w:val="18"/>
                <w:szCs w:val="18"/>
              </w:rPr>
              <w:t>1.93%</w:t>
            </w:r>
          </w:p>
        </w:tc>
        <w:tc>
          <w:tcPr>
            <w:tcW w:w="0" w:type="pct"/>
            <w:tcBorders>
              <w:left w:val="dotted" w:sz="4" w:space="0" w:color="auto"/>
              <w:right w:val="single" w:sz="4" w:space="0" w:color="auto"/>
            </w:tcBorders>
            <w:noWrap/>
            <w:hideMark/>
          </w:tcPr>
          <w:p w14:paraId="0EFCAF1E" w14:textId="77777777" w:rsidR="002A0E16" w:rsidRPr="002A0E16" w:rsidRDefault="002A0E1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sz w:val="18"/>
                <w:szCs w:val="18"/>
              </w:rPr>
              <w:t>2.55%</w:t>
            </w:r>
          </w:p>
        </w:tc>
        <w:tc>
          <w:tcPr>
            <w:tcW w:w="0" w:type="pct"/>
            <w:tcBorders>
              <w:left w:val="single" w:sz="4" w:space="0" w:color="auto"/>
            </w:tcBorders>
          </w:tcPr>
          <w:p w14:paraId="0ED6C933" w14:textId="77777777" w:rsidR="002A0E16" w:rsidRPr="002A0E16" w:rsidRDefault="002A0E16">
            <w:pPr>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252EAF">
              <w:rPr>
                <w:sz w:val="18"/>
                <w:szCs w:val="18"/>
              </w:rPr>
              <w:t>1.70%</w:t>
            </w:r>
          </w:p>
        </w:tc>
      </w:tr>
      <w:tr w:rsidR="002A0E16" w:rsidRPr="00F55162" w14:paraId="7A1770CB"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0" w:type="pct"/>
            <w:tcBorders>
              <w:bottom w:val="nil"/>
            </w:tcBorders>
            <w:noWrap/>
            <w:hideMark/>
          </w:tcPr>
          <w:p w14:paraId="26D47DAD" w14:textId="77777777" w:rsidR="002A0E16" w:rsidRPr="0065210D" w:rsidRDefault="002A0E16">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5</w:t>
            </w:r>
            <w:r w:rsidR="0025518E" w:rsidRPr="00252EAF">
              <w:rPr>
                <w:rFonts w:eastAsia="Times New Roman" w:cs="Arial"/>
                <w:color w:val="000000"/>
                <w:sz w:val="18"/>
                <w:szCs w:val="18"/>
                <w:vertAlign w:val="superscript"/>
                <w:lang w:eastAsia="en-AU"/>
              </w:rPr>
              <w:t>th</w:t>
            </w:r>
            <w:r w:rsidR="0025518E">
              <w:rPr>
                <w:rFonts w:eastAsia="Times New Roman" w:cs="Arial"/>
                <w:color w:val="000000"/>
                <w:sz w:val="18"/>
                <w:szCs w:val="18"/>
                <w:lang w:eastAsia="en-AU"/>
              </w:rPr>
              <w:t xml:space="preserve"> Percentile </w:t>
            </w:r>
            <w:r>
              <w:rPr>
                <w:rFonts w:eastAsia="Times New Roman" w:cs="Arial"/>
                <w:color w:val="000000"/>
                <w:sz w:val="18"/>
                <w:szCs w:val="18"/>
                <w:lang w:eastAsia="en-AU"/>
              </w:rPr>
              <w:t xml:space="preserve">Projection </w:t>
            </w:r>
          </w:p>
        </w:tc>
        <w:tc>
          <w:tcPr>
            <w:tcW w:w="0" w:type="pct"/>
            <w:tcBorders>
              <w:bottom w:val="nil"/>
            </w:tcBorders>
            <w:noWrap/>
            <w:hideMark/>
          </w:tcPr>
          <w:p w14:paraId="40E610D1" w14:textId="77777777" w:rsidR="002A0E16" w:rsidRPr="002A0E16" w:rsidRDefault="002A0E1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sz w:val="18"/>
                <w:szCs w:val="18"/>
              </w:rPr>
              <w:t>1.38%</w:t>
            </w:r>
          </w:p>
        </w:tc>
        <w:tc>
          <w:tcPr>
            <w:tcW w:w="0" w:type="pct"/>
            <w:tcBorders>
              <w:bottom w:val="nil"/>
            </w:tcBorders>
            <w:noWrap/>
            <w:hideMark/>
          </w:tcPr>
          <w:p w14:paraId="551FF9E4" w14:textId="77777777" w:rsidR="002A0E16" w:rsidRPr="002A0E16" w:rsidRDefault="002A0E1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sz w:val="18"/>
                <w:szCs w:val="18"/>
              </w:rPr>
              <w:t>1.49%</w:t>
            </w:r>
          </w:p>
        </w:tc>
        <w:tc>
          <w:tcPr>
            <w:tcW w:w="0" w:type="pct"/>
            <w:tcBorders>
              <w:bottom w:val="nil"/>
            </w:tcBorders>
            <w:noWrap/>
            <w:hideMark/>
          </w:tcPr>
          <w:p w14:paraId="46C2831C" w14:textId="77777777" w:rsidR="002A0E16" w:rsidRPr="002A0E16" w:rsidRDefault="002A0E1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sz w:val="18"/>
                <w:szCs w:val="18"/>
              </w:rPr>
              <w:t>1.61%</w:t>
            </w:r>
          </w:p>
        </w:tc>
        <w:tc>
          <w:tcPr>
            <w:tcW w:w="0" w:type="pct"/>
            <w:tcBorders>
              <w:bottom w:val="nil"/>
              <w:right w:val="dotted" w:sz="4" w:space="0" w:color="auto"/>
            </w:tcBorders>
            <w:noWrap/>
            <w:hideMark/>
          </w:tcPr>
          <w:p w14:paraId="2F2C9680" w14:textId="77777777" w:rsidR="002A0E16" w:rsidRPr="002A0E16" w:rsidRDefault="002A0E1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sz w:val="18"/>
                <w:szCs w:val="18"/>
              </w:rPr>
              <w:t>1.73%</w:t>
            </w:r>
          </w:p>
        </w:tc>
        <w:tc>
          <w:tcPr>
            <w:tcW w:w="0" w:type="pct"/>
            <w:tcBorders>
              <w:left w:val="dotted" w:sz="4" w:space="0" w:color="auto"/>
              <w:bottom w:val="nil"/>
              <w:right w:val="single" w:sz="4" w:space="0" w:color="auto"/>
            </w:tcBorders>
            <w:noWrap/>
            <w:hideMark/>
          </w:tcPr>
          <w:p w14:paraId="5C96715C" w14:textId="77777777" w:rsidR="002A0E16" w:rsidRPr="002A0E16" w:rsidRDefault="002A0E1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sz w:val="18"/>
                <w:szCs w:val="18"/>
              </w:rPr>
              <w:t>2.07%</w:t>
            </w:r>
          </w:p>
        </w:tc>
        <w:tc>
          <w:tcPr>
            <w:tcW w:w="0" w:type="pct"/>
            <w:tcBorders>
              <w:left w:val="single" w:sz="4" w:space="0" w:color="auto"/>
              <w:bottom w:val="nil"/>
            </w:tcBorders>
          </w:tcPr>
          <w:p w14:paraId="1287AD7E" w14:textId="77777777" w:rsidR="002A0E16" w:rsidRPr="002A0E16" w:rsidRDefault="002A0E16">
            <w:pPr>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52EAF">
              <w:rPr>
                <w:sz w:val="18"/>
                <w:szCs w:val="18"/>
              </w:rPr>
              <w:t>1.56%</w:t>
            </w:r>
          </w:p>
        </w:tc>
      </w:tr>
      <w:tr w:rsidR="002D5E51" w:rsidRPr="00F55162" w14:paraId="14C9E2B6" w14:textId="77777777" w:rsidTr="009F0F4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tcBorders>
              <w:top w:val="nil"/>
              <w:bottom w:val="single" w:sz="4" w:space="0" w:color="auto"/>
            </w:tcBorders>
            <w:shd w:val="clear" w:color="auto" w:fill="BFBFBF" w:themeFill="background1" w:themeFillShade="BF"/>
            <w:noWrap/>
            <w:hideMark/>
          </w:tcPr>
          <w:p w14:paraId="704F1A86" w14:textId="77777777" w:rsidR="002A0E16" w:rsidRPr="0065210D" w:rsidRDefault="002A0E16">
            <w:pPr>
              <w:spacing w:after="0" w:line="240" w:lineRule="auto"/>
              <w:rPr>
                <w:rFonts w:eastAsia="Times New Roman" w:cs="Arial"/>
                <w:b/>
                <w:bCs/>
                <w:color w:val="000000"/>
                <w:sz w:val="18"/>
                <w:szCs w:val="18"/>
                <w:lang w:eastAsia="en-AU"/>
              </w:rPr>
            </w:pPr>
            <w:r w:rsidRPr="000716ED">
              <w:rPr>
                <w:sz w:val="18"/>
                <w:szCs w:val="18"/>
              </w:rPr>
              <w:t>95</w:t>
            </w:r>
            <w:r w:rsidR="0025518E" w:rsidRPr="00252EAF">
              <w:rPr>
                <w:sz w:val="18"/>
                <w:szCs w:val="18"/>
                <w:vertAlign w:val="superscript"/>
              </w:rPr>
              <w:t>th</w:t>
            </w:r>
            <w:r w:rsidR="0025518E">
              <w:rPr>
                <w:sz w:val="18"/>
                <w:szCs w:val="18"/>
              </w:rPr>
              <w:t xml:space="preserve"> Percentile</w:t>
            </w:r>
            <w:r w:rsidRPr="000716ED">
              <w:rPr>
                <w:sz w:val="18"/>
                <w:szCs w:val="18"/>
              </w:rPr>
              <w:t xml:space="preserve"> Projection </w:t>
            </w:r>
          </w:p>
        </w:tc>
        <w:tc>
          <w:tcPr>
            <w:tcW w:w="522" w:type="pct"/>
            <w:tcBorders>
              <w:top w:val="nil"/>
              <w:bottom w:val="single" w:sz="4" w:space="0" w:color="auto"/>
            </w:tcBorders>
            <w:shd w:val="clear" w:color="auto" w:fill="BFBFBF" w:themeFill="background1" w:themeFillShade="BF"/>
            <w:noWrap/>
            <w:hideMark/>
          </w:tcPr>
          <w:p w14:paraId="25B96D69" w14:textId="77777777" w:rsidR="002A0E16" w:rsidRPr="002A0E16" w:rsidRDefault="002A0E1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252EAF">
              <w:rPr>
                <w:sz w:val="18"/>
                <w:szCs w:val="18"/>
              </w:rPr>
              <w:t>1.63%</w:t>
            </w:r>
          </w:p>
        </w:tc>
        <w:tc>
          <w:tcPr>
            <w:tcW w:w="523" w:type="pct"/>
            <w:tcBorders>
              <w:top w:val="nil"/>
              <w:bottom w:val="single" w:sz="4" w:space="0" w:color="auto"/>
            </w:tcBorders>
            <w:shd w:val="clear" w:color="auto" w:fill="BFBFBF" w:themeFill="background1" w:themeFillShade="BF"/>
            <w:noWrap/>
            <w:hideMark/>
          </w:tcPr>
          <w:p w14:paraId="55A709D1" w14:textId="77777777" w:rsidR="002A0E16" w:rsidRPr="002A0E16" w:rsidRDefault="002A0E1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252EAF">
              <w:rPr>
                <w:sz w:val="18"/>
                <w:szCs w:val="18"/>
              </w:rPr>
              <w:t>1.85%</w:t>
            </w:r>
          </w:p>
        </w:tc>
        <w:tc>
          <w:tcPr>
            <w:tcW w:w="522" w:type="pct"/>
            <w:tcBorders>
              <w:top w:val="nil"/>
              <w:bottom w:val="single" w:sz="4" w:space="0" w:color="auto"/>
            </w:tcBorders>
            <w:shd w:val="clear" w:color="auto" w:fill="BFBFBF" w:themeFill="background1" w:themeFillShade="BF"/>
            <w:noWrap/>
            <w:hideMark/>
          </w:tcPr>
          <w:p w14:paraId="04308B5E" w14:textId="77777777" w:rsidR="002A0E16" w:rsidRPr="002A0E16" w:rsidRDefault="002A0E1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252EAF">
              <w:rPr>
                <w:sz w:val="18"/>
                <w:szCs w:val="18"/>
              </w:rPr>
              <w:t>2.08%</w:t>
            </w:r>
          </w:p>
        </w:tc>
        <w:tc>
          <w:tcPr>
            <w:tcW w:w="522" w:type="pct"/>
            <w:tcBorders>
              <w:top w:val="nil"/>
              <w:bottom w:val="single" w:sz="4" w:space="0" w:color="auto"/>
              <w:right w:val="dotted" w:sz="4" w:space="0" w:color="auto"/>
            </w:tcBorders>
            <w:shd w:val="clear" w:color="auto" w:fill="BFBFBF" w:themeFill="background1" w:themeFillShade="BF"/>
            <w:noWrap/>
            <w:hideMark/>
          </w:tcPr>
          <w:p w14:paraId="555F52F7" w14:textId="77777777" w:rsidR="002A0E16" w:rsidRPr="002A0E16" w:rsidRDefault="002A0E1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252EAF">
              <w:rPr>
                <w:sz w:val="18"/>
                <w:szCs w:val="18"/>
              </w:rPr>
              <w:t>2.29%</w:t>
            </w:r>
          </w:p>
        </w:tc>
        <w:tc>
          <w:tcPr>
            <w:tcW w:w="522" w:type="pct"/>
            <w:tcBorders>
              <w:top w:val="nil"/>
              <w:left w:val="dotted" w:sz="4" w:space="0" w:color="auto"/>
              <w:bottom w:val="single" w:sz="4" w:space="0" w:color="auto"/>
              <w:right w:val="single" w:sz="4" w:space="0" w:color="auto"/>
            </w:tcBorders>
            <w:shd w:val="clear" w:color="auto" w:fill="BFBFBF" w:themeFill="background1" w:themeFillShade="BF"/>
            <w:noWrap/>
            <w:hideMark/>
          </w:tcPr>
          <w:p w14:paraId="44FEA1F3" w14:textId="77777777" w:rsidR="002A0E16" w:rsidRPr="002A0E16" w:rsidRDefault="002A0E1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252EAF">
              <w:rPr>
                <w:sz w:val="18"/>
                <w:szCs w:val="18"/>
              </w:rPr>
              <w:t>3.28%</w:t>
            </w:r>
          </w:p>
        </w:tc>
        <w:tc>
          <w:tcPr>
            <w:tcW w:w="522" w:type="pct"/>
            <w:tcBorders>
              <w:top w:val="nil"/>
              <w:left w:val="single" w:sz="4" w:space="0" w:color="auto"/>
              <w:bottom w:val="single" w:sz="4" w:space="0" w:color="auto"/>
            </w:tcBorders>
            <w:shd w:val="clear" w:color="auto" w:fill="BFBFBF" w:themeFill="background1" w:themeFillShade="BF"/>
          </w:tcPr>
          <w:p w14:paraId="7797C768" w14:textId="77777777" w:rsidR="002A0E16" w:rsidRPr="002A0E16" w:rsidRDefault="002A0E16">
            <w:pPr>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18"/>
                <w:szCs w:val="18"/>
              </w:rPr>
            </w:pPr>
            <w:r w:rsidRPr="00252EAF">
              <w:rPr>
                <w:sz w:val="18"/>
                <w:szCs w:val="18"/>
              </w:rPr>
              <w:t>1.97%</w:t>
            </w:r>
          </w:p>
        </w:tc>
      </w:tr>
    </w:tbl>
    <w:p w14:paraId="200B1265" w14:textId="77777777" w:rsidR="00892048" w:rsidRPr="00ED7E79" w:rsidRDefault="00892048">
      <w:pPr>
        <w:pStyle w:val="FSRnormal"/>
      </w:pPr>
      <w:r w:rsidRPr="00ED7E79">
        <w:t>The projected Scheme expenses are approximately $8.8 billion higher than the previous review in the four years to June 2026, and about $21.4 billion higher in 2031-32</w:t>
      </w:r>
      <w:r w:rsidR="008E21F6" w:rsidRPr="00ED7E79">
        <w:t xml:space="preserve"> </w:t>
      </w:r>
      <w:r w:rsidR="00ED7E79">
        <w:t>(Table 3</w:t>
      </w:r>
      <w:r w:rsidRPr="00ED7E79">
        <w:t xml:space="preserve">). </w:t>
      </w:r>
    </w:p>
    <w:p w14:paraId="63CD81F5" w14:textId="77777777" w:rsidR="00892048" w:rsidRDefault="00892048" w:rsidP="00892048">
      <w:pPr>
        <w:pStyle w:val="Tables"/>
      </w:pPr>
      <w:bookmarkStart w:id="5" w:name="_Ref112313343"/>
      <w:r w:rsidRPr="00D400CA">
        <w:t>Table</w:t>
      </w:r>
      <w:r w:rsidR="006F66C6">
        <w:t xml:space="preserve"> </w:t>
      </w:r>
      <w:fldSimple w:instr=" SEQ Table \* ARABIC \s 2 ">
        <w:r w:rsidR="00A87896">
          <w:rPr>
            <w:noProof/>
          </w:rPr>
          <w:t>3</w:t>
        </w:r>
      </w:fldSimple>
      <w:bookmarkEnd w:id="5"/>
      <w:r w:rsidRPr="00D400CA">
        <w:rPr>
          <w:noProof/>
        </w:rPr>
        <w:t>:</w:t>
      </w:r>
      <w:r w:rsidRPr="002A5897">
        <w:t xml:space="preserve"> </w:t>
      </w:r>
      <w:r w:rsidRPr="001B3ACE">
        <w:t>Comparison of 2021-22 AFSR with 2020-21 AFSR</w:t>
      </w:r>
      <w:r>
        <w:rPr>
          <w:rStyle w:val="FootnoteReference"/>
        </w:rPr>
        <w:footnoteReference w:id="7"/>
      </w:r>
      <w:r w:rsidRPr="001B3ACE">
        <w:t xml:space="preserve">  </w:t>
      </w:r>
    </w:p>
    <w:tbl>
      <w:tblPr>
        <w:tblStyle w:val="FSRtable"/>
        <w:tblW w:w="5000" w:type="pct"/>
        <w:tblInd w:w="5" w:type="dxa"/>
        <w:tblLayout w:type="fixed"/>
        <w:tblLook w:val="04A0" w:firstRow="1" w:lastRow="0" w:firstColumn="1" w:lastColumn="0" w:noHBand="0" w:noVBand="1"/>
      </w:tblPr>
      <w:tblGrid>
        <w:gridCol w:w="3190"/>
        <w:gridCol w:w="973"/>
        <w:gridCol w:w="973"/>
        <w:gridCol w:w="973"/>
        <w:gridCol w:w="975"/>
        <w:gridCol w:w="973"/>
        <w:gridCol w:w="969"/>
      </w:tblGrid>
      <w:tr w:rsidR="00747925" w:rsidRPr="00A4710A" w14:paraId="0AF45E4B" w14:textId="77777777" w:rsidTr="00D308D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767" w:type="pct"/>
            <w:hideMark/>
          </w:tcPr>
          <w:p w14:paraId="5DFF88F7" w14:textId="77777777" w:rsidR="00747925" w:rsidRPr="0065210D" w:rsidRDefault="00747925" w:rsidP="00392EB7">
            <w:pPr>
              <w:spacing w:after="0" w:line="240" w:lineRule="auto"/>
              <w:rPr>
                <w:rFonts w:eastAsia="Times New Roman"/>
                <w:b w:val="0"/>
                <w:bCs/>
                <w:color w:val="FFFFFF"/>
                <w:sz w:val="18"/>
                <w:szCs w:val="18"/>
                <w:lang w:eastAsia="en-AU"/>
              </w:rPr>
            </w:pPr>
            <w:r w:rsidRPr="0065210D">
              <w:rPr>
                <w:rFonts w:eastAsia="Times New Roman"/>
                <w:bCs/>
                <w:color w:val="FFFFFF"/>
                <w:sz w:val="18"/>
                <w:szCs w:val="18"/>
                <w:lang w:eastAsia="en-AU"/>
              </w:rPr>
              <w:t>Projected</w:t>
            </w:r>
            <w:r>
              <w:rPr>
                <w:rFonts w:eastAsia="Times New Roman"/>
                <w:bCs/>
                <w:color w:val="FFFFFF"/>
                <w:sz w:val="18"/>
                <w:szCs w:val="18"/>
                <w:lang w:eastAsia="en-AU"/>
              </w:rPr>
              <w:t xml:space="preserve"> Scheme Expenses</w:t>
            </w:r>
            <w:r w:rsidRPr="0065210D">
              <w:rPr>
                <w:rFonts w:eastAsia="Times New Roman"/>
                <w:bCs/>
                <w:color w:val="FFFFFF"/>
                <w:sz w:val="18"/>
                <w:szCs w:val="18"/>
                <w:lang w:eastAsia="en-AU"/>
              </w:rPr>
              <w:t xml:space="preserve"> ($m)</w:t>
            </w:r>
          </w:p>
        </w:tc>
        <w:tc>
          <w:tcPr>
            <w:tcW w:w="539" w:type="pct"/>
            <w:noWrap/>
            <w:hideMark/>
          </w:tcPr>
          <w:p w14:paraId="2F365A53" w14:textId="77777777" w:rsidR="00747925" w:rsidRPr="0065210D" w:rsidRDefault="00747925" w:rsidP="00392EB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2022-23</w:t>
            </w:r>
          </w:p>
        </w:tc>
        <w:tc>
          <w:tcPr>
            <w:tcW w:w="539" w:type="pct"/>
            <w:noWrap/>
            <w:hideMark/>
          </w:tcPr>
          <w:p w14:paraId="5333FFE3" w14:textId="77777777" w:rsidR="00747925" w:rsidRPr="0065210D" w:rsidRDefault="00747925" w:rsidP="00392EB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2023-24</w:t>
            </w:r>
          </w:p>
        </w:tc>
        <w:tc>
          <w:tcPr>
            <w:tcW w:w="539" w:type="pct"/>
            <w:noWrap/>
            <w:hideMark/>
          </w:tcPr>
          <w:p w14:paraId="0CEC8A39" w14:textId="77777777" w:rsidR="00747925" w:rsidRPr="0065210D" w:rsidRDefault="00747925" w:rsidP="00392EB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2024-25</w:t>
            </w:r>
          </w:p>
        </w:tc>
        <w:tc>
          <w:tcPr>
            <w:tcW w:w="540" w:type="pct"/>
            <w:tcBorders>
              <w:top w:val="single" w:sz="4" w:space="0" w:color="auto"/>
              <w:bottom w:val="nil"/>
              <w:right w:val="dotted" w:sz="4" w:space="0" w:color="auto"/>
            </w:tcBorders>
            <w:noWrap/>
            <w:hideMark/>
          </w:tcPr>
          <w:p w14:paraId="697F6F9E" w14:textId="77777777" w:rsidR="00747925" w:rsidRPr="0065210D" w:rsidRDefault="00747925" w:rsidP="00392EB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2025-26</w:t>
            </w:r>
          </w:p>
        </w:tc>
        <w:tc>
          <w:tcPr>
            <w:tcW w:w="539" w:type="pct"/>
            <w:tcBorders>
              <w:top w:val="single" w:sz="4" w:space="0" w:color="auto"/>
              <w:left w:val="dotted" w:sz="4" w:space="0" w:color="auto"/>
              <w:bottom w:val="nil"/>
              <w:right w:val="single" w:sz="4" w:space="0" w:color="auto"/>
            </w:tcBorders>
            <w:noWrap/>
            <w:hideMark/>
          </w:tcPr>
          <w:p w14:paraId="58E9E21B" w14:textId="77777777" w:rsidR="00747925" w:rsidRPr="0065210D" w:rsidRDefault="00747925" w:rsidP="00392EB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2031-32</w:t>
            </w:r>
          </w:p>
        </w:tc>
        <w:tc>
          <w:tcPr>
            <w:tcW w:w="539" w:type="pct"/>
            <w:tcBorders>
              <w:left w:val="single" w:sz="4" w:space="0" w:color="auto"/>
            </w:tcBorders>
          </w:tcPr>
          <w:p w14:paraId="1F93FA41" w14:textId="77777777" w:rsidR="00747925" w:rsidRPr="0065210D" w:rsidRDefault="00747925" w:rsidP="00392EB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65210D">
              <w:rPr>
                <w:rFonts w:eastAsia="Times New Roman"/>
                <w:bCs/>
                <w:color w:val="FFFFFF"/>
                <w:sz w:val="18"/>
                <w:szCs w:val="18"/>
                <w:lang w:eastAsia="en-AU"/>
              </w:rPr>
              <w:t>2022-26</w:t>
            </w:r>
          </w:p>
        </w:tc>
      </w:tr>
      <w:tr w:rsidR="00747925" w:rsidRPr="00A4710A" w14:paraId="189B96A7" w14:textId="77777777" w:rsidTr="00747925">
        <w:trPr>
          <w:trHeight w:val="301"/>
        </w:trPr>
        <w:tc>
          <w:tcPr>
            <w:cnfStyle w:val="001000000000" w:firstRow="0" w:lastRow="0" w:firstColumn="1" w:lastColumn="0" w:oddVBand="0" w:evenVBand="0" w:oddHBand="0" w:evenHBand="0" w:firstRowFirstColumn="0" w:firstRowLastColumn="0" w:lastRowFirstColumn="0" w:lastRowLastColumn="0"/>
            <w:tcW w:w="1767" w:type="pct"/>
            <w:noWrap/>
            <w:hideMark/>
          </w:tcPr>
          <w:p w14:paraId="5BD20C15" w14:textId="77777777" w:rsidR="00747925" w:rsidRPr="0065210D" w:rsidRDefault="00747925" w:rsidP="00392EB7">
            <w:pPr>
              <w:spacing w:after="0" w:line="240" w:lineRule="auto"/>
              <w:rPr>
                <w:rFonts w:eastAsia="Times New Roman" w:cs="Arial"/>
                <w:color w:val="000000"/>
                <w:sz w:val="18"/>
                <w:szCs w:val="18"/>
                <w:lang w:eastAsia="en-AU"/>
              </w:rPr>
            </w:pPr>
            <w:r w:rsidRPr="0065210D">
              <w:rPr>
                <w:rFonts w:eastAsia="Times New Roman" w:cs="Arial"/>
                <w:color w:val="000000"/>
                <w:sz w:val="18"/>
                <w:szCs w:val="18"/>
                <w:lang w:eastAsia="en-AU"/>
              </w:rPr>
              <w:t>2021-22 AFSR (a)</w:t>
            </w:r>
          </w:p>
        </w:tc>
        <w:tc>
          <w:tcPr>
            <w:tcW w:w="539" w:type="pct"/>
            <w:noWrap/>
            <w:hideMark/>
          </w:tcPr>
          <w:p w14:paraId="24265B3F" w14:textId="77777777" w:rsidR="00747925" w:rsidRPr="0065210D" w:rsidRDefault="00747925"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65210D">
              <w:rPr>
                <w:sz w:val="18"/>
                <w:szCs w:val="18"/>
              </w:rPr>
              <w:t>33,976</w:t>
            </w:r>
          </w:p>
        </w:tc>
        <w:tc>
          <w:tcPr>
            <w:tcW w:w="539" w:type="pct"/>
            <w:noWrap/>
            <w:hideMark/>
          </w:tcPr>
          <w:p w14:paraId="6E873CA7" w14:textId="77777777" w:rsidR="00747925" w:rsidRPr="0065210D" w:rsidRDefault="00747925"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65210D">
              <w:rPr>
                <w:sz w:val="18"/>
                <w:szCs w:val="18"/>
              </w:rPr>
              <w:t>38,133</w:t>
            </w:r>
          </w:p>
        </w:tc>
        <w:tc>
          <w:tcPr>
            <w:tcW w:w="539" w:type="pct"/>
            <w:noWrap/>
            <w:hideMark/>
          </w:tcPr>
          <w:p w14:paraId="552EB86B" w14:textId="77777777" w:rsidR="00747925" w:rsidRPr="0065210D" w:rsidRDefault="00747925"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65210D">
              <w:rPr>
                <w:sz w:val="18"/>
                <w:szCs w:val="18"/>
              </w:rPr>
              <w:t>44,116</w:t>
            </w:r>
          </w:p>
        </w:tc>
        <w:tc>
          <w:tcPr>
            <w:tcW w:w="540" w:type="pct"/>
            <w:tcBorders>
              <w:top w:val="nil"/>
              <w:bottom w:val="nil"/>
              <w:right w:val="dotted" w:sz="4" w:space="0" w:color="auto"/>
            </w:tcBorders>
            <w:noWrap/>
            <w:hideMark/>
          </w:tcPr>
          <w:p w14:paraId="7C65D47B" w14:textId="77777777" w:rsidR="00747925" w:rsidRPr="0065210D" w:rsidRDefault="00747925"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65210D">
              <w:rPr>
                <w:sz w:val="18"/>
                <w:szCs w:val="18"/>
              </w:rPr>
              <w:t>50,344</w:t>
            </w:r>
          </w:p>
        </w:tc>
        <w:tc>
          <w:tcPr>
            <w:tcW w:w="539" w:type="pct"/>
            <w:tcBorders>
              <w:top w:val="nil"/>
              <w:left w:val="dotted" w:sz="4" w:space="0" w:color="auto"/>
              <w:bottom w:val="nil"/>
              <w:right w:val="single" w:sz="4" w:space="0" w:color="auto"/>
            </w:tcBorders>
            <w:noWrap/>
            <w:hideMark/>
          </w:tcPr>
          <w:p w14:paraId="69957D4C" w14:textId="77777777" w:rsidR="00747925" w:rsidRPr="0065210D" w:rsidRDefault="00747925"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65210D">
              <w:rPr>
                <w:sz w:val="18"/>
                <w:szCs w:val="18"/>
              </w:rPr>
              <w:t>89,403</w:t>
            </w:r>
          </w:p>
        </w:tc>
        <w:tc>
          <w:tcPr>
            <w:tcW w:w="539" w:type="pct"/>
            <w:tcBorders>
              <w:left w:val="single" w:sz="4" w:space="0" w:color="auto"/>
            </w:tcBorders>
          </w:tcPr>
          <w:p w14:paraId="26F4CE50" w14:textId="77777777" w:rsidR="00747925" w:rsidRPr="0065210D" w:rsidRDefault="00747925"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5210D">
              <w:rPr>
                <w:sz w:val="18"/>
                <w:szCs w:val="18"/>
              </w:rPr>
              <w:t>166,569</w:t>
            </w:r>
          </w:p>
        </w:tc>
      </w:tr>
      <w:tr w:rsidR="00747925" w:rsidRPr="00A4710A" w14:paraId="19F67028" w14:textId="77777777" w:rsidTr="0074792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67" w:type="pct"/>
            <w:noWrap/>
            <w:hideMark/>
          </w:tcPr>
          <w:p w14:paraId="23EF3200" w14:textId="77777777" w:rsidR="00747925" w:rsidRPr="0065210D" w:rsidRDefault="00747925" w:rsidP="00392EB7">
            <w:pPr>
              <w:spacing w:after="0" w:line="240" w:lineRule="auto"/>
              <w:rPr>
                <w:rFonts w:eastAsia="Times New Roman" w:cs="Arial"/>
                <w:color w:val="000000"/>
                <w:sz w:val="18"/>
                <w:szCs w:val="18"/>
                <w:lang w:eastAsia="en-AU"/>
              </w:rPr>
            </w:pPr>
            <w:r w:rsidRPr="0065210D">
              <w:rPr>
                <w:rFonts w:eastAsia="Times New Roman" w:cs="Arial"/>
                <w:color w:val="000000"/>
                <w:sz w:val="18"/>
                <w:szCs w:val="18"/>
                <w:lang w:eastAsia="en-AU"/>
              </w:rPr>
              <w:t>2020-21 AFSR (b)</w:t>
            </w:r>
          </w:p>
        </w:tc>
        <w:tc>
          <w:tcPr>
            <w:tcW w:w="539" w:type="pct"/>
            <w:noWrap/>
            <w:hideMark/>
          </w:tcPr>
          <w:p w14:paraId="2A5DFFB8" w14:textId="77777777" w:rsidR="00747925" w:rsidRPr="0065210D" w:rsidRDefault="00747925"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sz w:val="18"/>
                <w:szCs w:val="18"/>
              </w:rPr>
              <w:t>33,886</w:t>
            </w:r>
          </w:p>
        </w:tc>
        <w:tc>
          <w:tcPr>
            <w:tcW w:w="539" w:type="pct"/>
            <w:noWrap/>
            <w:hideMark/>
          </w:tcPr>
          <w:p w14:paraId="732807E3" w14:textId="77777777" w:rsidR="00747925" w:rsidRPr="0065210D" w:rsidRDefault="00747925"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sz w:val="18"/>
                <w:szCs w:val="18"/>
              </w:rPr>
              <w:t>37,973</w:t>
            </w:r>
          </w:p>
        </w:tc>
        <w:tc>
          <w:tcPr>
            <w:tcW w:w="539" w:type="pct"/>
            <w:noWrap/>
            <w:hideMark/>
          </w:tcPr>
          <w:p w14:paraId="61C38BB2" w14:textId="77777777" w:rsidR="00747925" w:rsidRPr="0065210D" w:rsidRDefault="00747925"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sz w:val="18"/>
                <w:szCs w:val="18"/>
              </w:rPr>
              <w:t>41,373</w:t>
            </w:r>
          </w:p>
        </w:tc>
        <w:tc>
          <w:tcPr>
            <w:tcW w:w="540" w:type="pct"/>
            <w:tcBorders>
              <w:top w:val="nil"/>
              <w:bottom w:val="nil"/>
              <w:right w:val="dotted" w:sz="4" w:space="0" w:color="auto"/>
            </w:tcBorders>
            <w:noWrap/>
            <w:hideMark/>
          </w:tcPr>
          <w:p w14:paraId="25D30BCD" w14:textId="77777777" w:rsidR="00747925" w:rsidRPr="0065210D" w:rsidRDefault="00747925"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sz w:val="18"/>
                <w:szCs w:val="18"/>
              </w:rPr>
              <w:t>44,551</w:t>
            </w:r>
          </w:p>
        </w:tc>
        <w:tc>
          <w:tcPr>
            <w:tcW w:w="539" w:type="pct"/>
            <w:tcBorders>
              <w:top w:val="nil"/>
              <w:left w:val="dotted" w:sz="4" w:space="0" w:color="auto"/>
              <w:bottom w:val="nil"/>
              <w:right w:val="single" w:sz="4" w:space="0" w:color="auto"/>
            </w:tcBorders>
            <w:noWrap/>
            <w:hideMark/>
          </w:tcPr>
          <w:p w14:paraId="2C786CAC" w14:textId="77777777" w:rsidR="00747925" w:rsidRPr="0065210D" w:rsidRDefault="00747925"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65210D">
              <w:rPr>
                <w:sz w:val="18"/>
                <w:szCs w:val="18"/>
              </w:rPr>
              <w:t>68,049</w:t>
            </w:r>
          </w:p>
        </w:tc>
        <w:tc>
          <w:tcPr>
            <w:tcW w:w="539" w:type="pct"/>
            <w:tcBorders>
              <w:left w:val="single" w:sz="4" w:space="0" w:color="auto"/>
            </w:tcBorders>
          </w:tcPr>
          <w:p w14:paraId="22EDDAFA" w14:textId="77777777" w:rsidR="00747925" w:rsidRPr="0065210D" w:rsidRDefault="00747925"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65210D">
              <w:rPr>
                <w:sz w:val="18"/>
                <w:szCs w:val="18"/>
              </w:rPr>
              <w:t>157,782</w:t>
            </w:r>
          </w:p>
        </w:tc>
      </w:tr>
      <w:tr w:rsidR="00747925" w:rsidRPr="00A4710A" w14:paraId="2270D0A6" w14:textId="77777777" w:rsidTr="00747925">
        <w:trPr>
          <w:trHeight w:val="301"/>
        </w:trPr>
        <w:tc>
          <w:tcPr>
            <w:cnfStyle w:val="001000000000" w:firstRow="0" w:lastRow="0" w:firstColumn="1" w:lastColumn="0" w:oddVBand="0" w:evenVBand="0" w:oddHBand="0" w:evenHBand="0" w:firstRowFirstColumn="0" w:firstRowLastColumn="0" w:lastRowFirstColumn="0" w:lastRowLastColumn="0"/>
            <w:tcW w:w="1767" w:type="pct"/>
            <w:tcBorders>
              <w:bottom w:val="nil"/>
            </w:tcBorders>
            <w:noWrap/>
            <w:hideMark/>
          </w:tcPr>
          <w:p w14:paraId="1E395F03" w14:textId="77777777" w:rsidR="00747925" w:rsidRPr="0065210D" w:rsidRDefault="00747925" w:rsidP="00392EB7">
            <w:pPr>
              <w:spacing w:after="0" w:line="240" w:lineRule="auto"/>
              <w:rPr>
                <w:rFonts w:eastAsia="Times New Roman" w:cs="Arial"/>
                <w:color w:val="000000"/>
                <w:sz w:val="18"/>
                <w:szCs w:val="18"/>
                <w:lang w:eastAsia="en-AU"/>
              </w:rPr>
            </w:pPr>
            <w:r w:rsidRPr="0065210D">
              <w:rPr>
                <w:rFonts w:eastAsia="Times New Roman" w:cs="Arial"/>
                <w:color w:val="000000" w:themeColor="text1"/>
                <w:sz w:val="18"/>
                <w:szCs w:val="18"/>
                <w:lang w:eastAsia="en-AU"/>
              </w:rPr>
              <w:t>Difference ($) (</w:t>
            </w:r>
            <w:r w:rsidR="00F36219">
              <w:rPr>
                <w:rFonts w:eastAsia="Times New Roman" w:cs="Arial"/>
                <w:color w:val="000000" w:themeColor="text1"/>
                <w:sz w:val="18"/>
                <w:szCs w:val="18"/>
                <w:lang w:eastAsia="en-AU"/>
              </w:rPr>
              <w:t>a</w:t>
            </w:r>
            <w:r w:rsidRPr="0065210D">
              <w:rPr>
                <w:rFonts w:eastAsia="Times New Roman" w:cs="Arial"/>
                <w:color w:val="000000" w:themeColor="text1"/>
                <w:sz w:val="18"/>
                <w:szCs w:val="18"/>
                <w:lang w:eastAsia="en-AU"/>
              </w:rPr>
              <w:t xml:space="preserve"> – </w:t>
            </w:r>
            <w:r w:rsidR="00F36219">
              <w:rPr>
                <w:rFonts w:eastAsia="Times New Roman" w:cs="Arial"/>
                <w:color w:val="000000" w:themeColor="text1"/>
                <w:sz w:val="18"/>
                <w:szCs w:val="18"/>
                <w:lang w:eastAsia="en-AU"/>
              </w:rPr>
              <w:t>b</w:t>
            </w:r>
            <w:r w:rsidRPr="0065210D">
              <w:rPr>
                <w:rFonts w:eastAsia="Times New Roman" w:cs="Arial"/>
                <w:color w:val="000000" w:themeColor="text1"/>
                <w:sz w:val="18"/>
                <w:szCs w:val="18"/>
                <w:lang w:eastAsia="en-AU"/>
              </w:rPr>
              <w:t>)</w:t>
            </w:r>
          </w:p>
        </w:tc>
        <w:tc>
          <w:tcPr>
            <w:tcW w:w="539" w:type="pct"/>
            <w:tcBorders>
              <w:bottom w:val="nil"/>
            </w:tcBorders>
            <w:noWrap/>
            <w:hideMark/>
          </w:tcPr>
          <w:p w14:paraId="19FEBD93" w14:textId="77777777" w:rsidR="00747925" w:rsidRPr="0065210D" w:rsidRDefault="00747925"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65210D">
              <w:rPr>
                <w:sz w:val="18"/>
                <w:szCs w:val="18"/>
              </w:rPr>
              <w:t>90</w:t>
            </w:r>
          </w:p>
        </w:tc>
        <w:tc>
          <w:tcPr>
            <w:tcW w:w="539" w:type="pct"/>
            <w:tcBorders>
              <w:bottom w:val="nil"/>
            </w:tcBorders>
            <w:noWrap/>
            <w:hideMark/>
          </w:tcPr>
          <w:p w14:paraId="5CBB6ED1" w14:textId="77777777" w:rsidR="00747925" w:rsidRPr="0065210D" w:rsidRDefault="00747925"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65210D">
              <w:rPr>
                <w:sz w:val="18"/>
                <w:szCs w:val="18"/>
              </w:rPr>
              <w:t>160</w:t>
            </w:r>
          </w:p>
        </w:tc>
        <w:tc>
          <w:tcPr>
            <w:tcW w:w="539" w:type="pct"/>
            <w:tcBorders>
              <w:bottom w:val="nil"/>
            </w:tcBorders>
            <w:noWrap/>
            <w:hideMark/>
          </w:tcPr>
          <w:p w14:paraId="1D972D88" w14:textId="77777777" w:rsidR="00747925" w:rsidRPr="0065210D" w:rsidRDefault="00747925"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65210D">
              <w:rPr>
                <w:sz w:val="18"/>
                <w:szCs w:val="18"/>
              </w:rPr>
              <w:t>2,743</w:t>
            </w:r>
          </w:p>
        </w:tc>
        <w:tc>
          <w:tcPr>
            <w:tcW w:w="540" w:type="pct"/>
            <w:tcBorders>
              <w:top w:val="nil"/>
              <w:bottom w:val="nil"/>
              <w:right w:val="dotted" w:sz="4" w:space="0" w:color="auto"/>
            </w:tcBorders>
            <w:noWrap/>
            <w:hideMark/>
          </w:tcPr>
          <w:p w14:paraId="4BBA7992" w14:textId="77777777" w:rsidR="00747925" w:rsidRPr="0065210D" w:rsidRDefault="00747925"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65210D">
              <w:rPr>
                <w:sz w:val="18"/>
                <w:szCs w:val="18"/>
              </w:rPr>
              <w:t>5,793</w:t>
            </w:r>
          </w:p>
        </w:tc>
        <w:tc>
          <w:tcPr>
            <w:tcW w:w="539" w:type="pct"/>
            <w:tcBorders>
              <w:top w:val="nil"/>
              <w:left w:val="dotted" w:sz="4" w:space="0" w:color="auto"/>
              <w:bottom w:val="nil"/>
              <w:right w:val="single" w:sz="4" w:space="0" w:color="auto"/>
            </w:tcBorders>
            <w:noWrap/>
            <w:hideMark/>
          </w:tcPr>
          <w:p w14:paraId="4BD6B499" w14:textId="77777777" w:rsidR="00747925" w:rsidRPr="0065210D" w:rsidRDefault="00747925"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65210D">
              <w:rPr>
                <w:sz w:val="18"/>
                <w:szCs w:val="18"/>
              </w:rPr>
              <w:t>21,354</w:t>
            </w:r>
          </w:p>
        </w:tc>
        <w:tc>
          <w:tcPr>
            <w:tcW w:w="539" w:type="pct"/>
            <w:tcBorders>
              <w:left w:val="single" w:sz="4" w:space="0" w:color="auto"/>
              <w:bottom w:val="nil"/>
            </w:tcBorders>
          </w:tcPr>
          <w:p w14:paraId="06DB3444" w14:textId="77777777" w:rsidR="00747925" w:rsidRPr="0065210D" w:rsidRDefault="00747925" w:rsidP="00392EB7">
            <w:pPr>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5210D">
              <w:rPr>
                <w:sz w:val="18"/>
                <w:szCs w:val="18"/>
              </w:rPr>
              <w:t>8,786</w:t>
            </w:r>
          </w:p>
        </w:tc>
      </w:tr>
      <w:tr w:rsidR="00747925" w:rsidRPr="00A4710A" w14:paraId="19255267" w14:textId="77777777" w:rsidTr="0074792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67" w:type="pct"/>
            <w:tcBorders>
              <w:top w:val="nil"/>
              <w:bottom w:val="single" w:sz="4" w:space="0" w:color="auto"/>
            </w:tcBorders>
            <w:noWrap/>
            <w:hideMark/>
          </w:tcPr>
          <w:p w14:paraId="5D012FC4" w14:textId="77777777" w:rsidR="00747925" w:rsidRPr="0065210D" w:rsidRDefault="00747925" w:rsidP="00392EB7">
            <w:pPr>
              <w:spacing w:after="0" w:line="240" w:lineRule="auto"/>
              <w:rPr>
                <w:rFonts w:eastAsia="DengXian" w:cs="Cordia New"/>
                <w:color w:val="000000" w:themeColor="text1"/>
                <w:sz w:val="18"/>
                <w:szCs w:val="18"/>
                <w:lang w:eastAsia="en-AU"/>
              </w:rPr>
            </w:pPr>
            <w:r w:rsidRPr="0065210D">
              <w:rPr>
                <w:rFonts w:eastAsia="DengXian" w:cs="Cordia New"/>
                <w:color w:val="000000" w:themeColor="text1"/>
                <w:sz w:val="18"/>
                <w:szCs w:val="18"/>
                <w:lang w:eastAsia="en-AU"/>
              </w:rPr>
              <w:t>Difference (%) (a/b – 1)</w:t>
            </w:r>
          </w:p>
        </w:tc>
        <w:tc>
          <w:tcPr>
            <w:tcW w:w="539" w:type="pct"/>
            <w:tcBorders>
              <w:top w:val="nil"/>
              <w:bottom w:val="single" w:sz="4" w:space="0" w:color="auto"/>
            </w:tcBorders>
            <w:noWrap/>
            <w:hideMark/>
          </w:tcPr>
          <w:p w14:paraId="11926CA4" w14:textId="77777777" w:rsidR="00747925" w:rsidRPr="0065210D" w:rsidRDefault="00747925"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sz w:val="18"/>
                <w:szCs w:val="18"/>
              </w:rPr>
            </w:pPr>
            <w:r w:rsidRPr="0065210D">
              <w:rPr>
                <w:sz w:val="18"/>
                <w:szCs w:val="18"/>
              </w:rPr>
              <w:t>0.3%</w:t>
            </w:r>
          </w:p>
        </w:tc>
        <w:tc>
          <w:tcPr>
            <w:tcW w:w="539" w:type="pct"/>
            <w:tcBorders>
              <w:top w:val="nil"/>
              <w:bottom w:val="single" w:sz="4" w:space="0" w:color="auto"/>
            </w:tcBorders>
            <w:noWrap/>
            <w:hideMark/>
          </w:tcPr>
          <w:p w14:paraId="395E7B69" w14:textId="77777777" w:rsidR="00747925" w:rsidRPr="0065210D" w:rsidRDefault="00747925"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sz w:val="18"/>
                <w:szCs w:val="18"/>
              </w:rPr>
            </w:pPr>
            <w:r w:rsidRPr="0065210D">
              <w:rPr>
                <w:sz w:val="18"/>
                <w:szCs w:val="18"/>
              </w:rPr>
              <w:t>0.4%</w:t>
            </w:r>
          </w:p>
        </w:tc>
        <w:tc>
          <w:tcPr>
            <w:tcW w:w="539" w:type="pct"/>
            <w:tcBorders>
              <w:top w:val="nil"/>
              <w:bottom w:val="single" w:sz="4" w:space="0" w:color="auto"/>
            </w:tcBorders>
            <w:noWrap/>
            <w:hideMark/>
          </w:tcPr>
          <w:p w14:paraId="78B14EF2" w14:textId="77777777" w:rsidR="00747925" w:rsidRPr="0065210D" w:rsidRDefault="00747925"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sz w:val="18"/>
                <w:szCs w:val="18"/>
              </w:rPr>
            </w:pPr>
            <w:r w:rsidRPr="0065210D">
              <w:rPr>
                <w:sz w:val="18"/>
                <w:szCs w:val="18"/>
              </w:rPr>
              <w:t>6.6%</w:t>
            </w:r>
          </w:p>
        </w:tc>
        <w:tc>
          <w:tcPr>
            <w:tcW w:w="540" w:type="pct"/>
            <w:tcBorders>
              <w:top w:val="nil"/>
              <w:bottom w:val="single" w:sz="4" w:space="0" w:color="auto"/>
              <w:right w:val="dotted" w:sz="4" w:space="0" w:color="auto"/>
            </w:tcBorders>
            <w:noWrap/>
            <w:hideMark/>
          </w:tcPr>
          <w:p w14:paraId="452E9805" w14:textId="77777777" w:rsidR="00747925" w:rsidRPr="0065210D" w:rsidRDefault="00747925"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sz w:val="18"/>
                <w:szCs w:val="18"/>
              </w:rPr>
            </w:pPr>
            <w:r w:rsidRPr="0065210D">
              <w:rPr>
                <w:sz w:val="18"/>
                <w:szCs w:val="18"/>
              </w:rPr>
              <w:t>13.0%</w:t>
            </w:r>
          </w:p>
        </w:tc>
        <w:tc>
          <w:tcPr>
            <w:tcW w:w="539" w:type="pct"/>
            <w:tcBorders>
              <w:top w:val="nil"/>
              <w:left w:val="dotted" w:sz="4" w:space="0" w:color="auto"/>
              <w:bottom w:val="single" w:sz="4" w:space="0" w:color="auto"/>
              <w:right w:val="single" w:sz="4" w:space="0" w:color="auto"/>
            </w:tcBorders>
            <w:noWrap/>
            <w:hideMark/>
          </w:tcPr>
          <w:p w14:paraId="278AC645" w14:textId="77777777" w:rsidR="00747925" w:rsidRPr="0065210D" w:rsidRDefault="00747925"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sz w:val="18"/>
                <w:szCs w:val="18"/>
              </w:rPr>
            </w:pPr>
            <w:r w:rsidRPr="0065210D">
              <w:rPr>
                <w:sz w:val="18"/>
                <w:szCs w:val="18"/>
              </w:rPr>
              <w:t>31.4%</w:t>
            </w:r>
          </w:p>
        </w:tc>
        <w:tc>
          <w:tcPr>
            <w:tcW w:w="539" w:type="pct"/>
            <w:tcBorders>
              <w:top w:val="nil"/>
              <w:left w:val="single" w:sz="4" w:space="0" w:color="auto"/>
              <w:bottom w:val="single" w:sz="4" w:space="0" w:color="auto"/>
            </w:tcBorders>
          </w:tcPr>
          <w:p w14:paraId="11E4FF5D" w14:textId="77777777" w:rsidR="00747925" w:rsidRPr="0065210D" w:rsidRDefault="00747925" w:rsidP="00392EB7">
            <w:pPr>
              <w:spacing w:after="0" w:line="240" w:lineRule="auto"/>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sz w:val="18"/>
                <w:szCs w:val="18"/>
              </w:rPr>
            </w:pPr>
            <w:r w:rsidRPr="0065210D">
              <w:rPr>
                <w:sz w:val="18"/>
                <w:szCs w:val="18"/>
              </w:rPr>
              <w:t>5.6%</w:t>
            </w:r>
          </w:p>
        </w:tc>
      </w:tr>
    </w:tbl>
    <w:p w14:paraId="47D6F510" w14:textId="77777777" w:rsidR="00892048" w:rsidRDefault="00892048" w:rsidP="00892048">
      <w:pPr>
        <w:pStyle w:val="FSRnormal"/>
      </w:pPr>
      <w:r w:rsidRPr="002A5897">
        <w:t xml:space="preserve">The sources of variance between this projection and the previous review are shown </w:t>
      </w:r>
      <w:r w:rsidR="00C6552E" w:rsidRPr="002A5897">
        <w:t>i</w:t>
      </w:r>
      <w:r w:rsidR="00C6552E">
        <w:t xml:space="preserve">n </w:t>
      </w:r>
      <w:r w:rsidR="00865FC9">
        <w:t xml:space="preserve">Table </w:t>
      </w:r>
      <w:r w:rsidR="006F66C6">
        <w:t>4</w:t>
      </w:r>
      <w:r>
        <w:t>.</w:t>
      </w:r>
    </w:p>
    <w:p w14:paraId="1C8430C5" w14:textId="77777777" w:rsidR="00892048" w:rsidRPr="00343A79" w:rsidRDefault="00571F83" w:rsidP="00892048">
      <w:pPr>
        <w:pStyle w:val="Tables"/>
        <w:keepLines/>
      </w:pPr>
      <w:bookmarkStart w:id="6" w:name="_Ref112313377"/>
      <w:r>
        <w:t>Table</w:t>
      </w:r>
      <w:r w:rsidR="006F66C6">
        <w:t xml:space="preserve"> </w:t>
      </w:r>
      <w:fldSimple w:instr=" SEQ Table \* ARABIC \s 2 ">
        <w:r w:rsidR="00A87896">
          <w:rPr>
            <w:noProof/>
          </w:rPr>
          <w:t>4</w:t>
        </w:r>
      </w:fldSimple>
      <w:bookmarkEnd w:id="6"/>
      <w:r w:rsidR="00892048">
        <w:t>:</w:t>
      </w:r>
      <w:r w:rsidR="00892048" w:rsidRPr="00343A79">
        <w:t xml:space="preserve"> </w:t>
      </w:r>
      <w:r w:rsidR="0078031A">
        <w:t>Movements in Scheme expenses</w:t>
      </w:r>
      <w:r w:rsidR="00892048" w:rsidRPr="00343A79">
        <w:t xml:space="preserve"> since previous review due to experience and updated assumptions </w:t>
      </w:r>
    </w:p>
    <w:tbl>
      <w:tblPr>
        <w:tblStyle w:val="FSRtable"/>
        <w:tblW w:w="0" w:type="auto"/>
        <w:tblInd w:w="0" w:type="dxa"/>
        <w:tblLayout w:type="fixed"/>
        <w:tblLook w:val="04A0" w:firstRow="1" w:lastRow="0" w:firstColumn="1" w:lastColumn="0" w:noHBand="0" w:noVBand="1"/>
      </w:tblPr>
      <w:tblGrid>
        <w:gridCol w:w="3588"/>
        <w:gridCol w:w="948"/>
        <w:gridCol w:w="851"/>
        <w:gridCol w:w="850"/>
        <w:gridCol w:w="851"/>
        <w:gridCol w:w="850"/>
        <w:gridCol w:w="1088"/>
      </w:tblGrid>
      <w:tr w:rsidR="0004693C" w:rsidRPr="001C1D22" w14:paraId="79E5084F" w14:textId="77777777" w:rsidTr="00D308D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588" w:type="dxa"/>
            <w:noWrap/>
            <w:hideMark/>
          </w:tcPr>
          <w:p w14:paraId="164FB3C2" w14:textId="77777777" w:rsidR="00892048" w:rsidRPr="000072D4" w:rsidRDefault="00892048" w:rsidP="008E21F6">
            <w:pPr>
              <w:keepNext/>
              <w:spacing w:after="0" w:line="240" w:lineRule="auto"/>
              <w:rPr>
                <w:rFonts w:eastAsia="Times New Roman"/>
                <w:color w:val="FFFFFF"/>
                <w:sz w:val="16"/>
                <w:szCs w:val="16"/>
                <w:lang w:eastAsia="zh-CN"/>
              </w:rPr>
            </w:pPr>
            <w:r w:rsidRPr="000072D4">
              <w:rPr>
                <w:rFonts w:eastAsia="Times New Roman"/>
                <w:color w:val="FFFFFF"/>
                <w:sz w:val="16"/>
                <w:szCs w:val="16"/>
                <w:lang w:eastAsia="zh-CN"/>
              </w:rPr>
              <w:t xml:space="preserve">Projected Scheme </w:t>
            </w:r>
            <w:r w:rsidR="00A46C63" w:rsidRPr="000072D4">
              <w:rPr>
                <w:rFonts w:eastAsia="Times New Roman"/>
                <w:color w:val="FFFFFF"/>
                <w:sz w:val="16"/>
                <w:szCs w:val="16"/>
                <w:lang w:eastAsia="zh-CN"/>
              </w:rPr>
              <w:t>E</w:t>
            </w:r>
            <w:r w:rsidRPr="000072D4">
              <w:rPr>
                <w:rFonts w:eastAsia="Times New Roman"/>
                <w:color w:val="FFFFFF"/>
                <w:sz w:val="16"/>
                <w:szCs w:val="16"/>
                <w:lang w:eastAsia="zh-CN"/>
              </w:rPr>
              <w:t>xpenses ($m)</w:t>
            </w:r>
          </w:p>
        </w:tc>
        <w:tc>
          <w:tcPr>
            <w:tcW w:w="948" w:type="dxa"/>
            <w:noWrap/>
            <w:hideMark/>
          </w:tcPr>
          <w:p w14:paraId="0AAFEA2E" w14:textId="77777777" w:rsidR="00892048" w:rsidRPr="000072D4" w:rsidRDefault="00892048" w:rsidP="008E21F6">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6"/>
                <w:szCs w:val="16"/>
                <w:lang w:eastAsia="zh-CN"/>
              </w:rPr>
            </w:pPr>
            <w:r w:rsidRPr="000072D4">
              <w:rPr>
                <w:rFonts w:eastAsia="Times New Roman"/>
                <w:color w:val="FFFFFF"/>
                <w:sz w:val="16"/>
                <w:szCs w:val="16"/>
                <w:lang w:eastAsia="zh-CN"/>
              </w:rPr>
              <w:t>2022-23</w:t>
            </w:r>
          </w:p>
        </w:tc>
        <w:tc>
          <w:tcPr>
            <w:tcW w:w="851" w:type="dxa"/>
            <w:noWrap/>
            <w:hideMark/>
          </w:tcPr>
          <w:p w14:paraId="19B78BE1" w14:textId="77777777" w:rsidR="00892048" w:rsidRPr="000072D4" w:rsidRDefault="00892048" w:rsidP="008E21F6">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6"/>
                <w:szCs w:val="16"/>
                <w:lang w:eastAsia="zh-CN"/>
              </w:rPr>
            </w:pPr>
            <w:r w:rsidRPr="000072D4">
              <w:rPr>
                <w:rFonts w:eastAsia="Times New Roman"/>
                <w:color w:val="FFFFFF"/>
                <w:sz w:val="16"/>
                <w:szCs w:val="16"/>
                <w:lang w:eastAsia="zh-CN"/>
              </w:rPr>
              <w:t>2023-24</w:t>
            </w:r>
          </w:p>
        </w:tc>
        <w:tc>
          <w:tcPr>
            <w:tcW w:w="850" w:type="dxa"/>
            <w:noWrap/>
            <w:hideMark/>
          </w:tcPr>
          <w:p w14:paraId="317DEDD0" w14:textId="77777777" w:rsidR="00892048" w:rsidRPr="000072D4" w:rsidRDefault="00892048" w:rsidP="008E21F6">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6"/>
                <w:szCs w:val="16"/>
                <w:lang w:eastAsia="zh-CN"/>
              </w:rPr>
            </w:pPr>
            <w:r w:rsidRPr="000072D4">
              <w:rPr>
                <w:rFonts w:eastAsia="Times New Roman"/>
                <w:color w:val="FFFFFF"/>
                <w:sz w:val="16"/>
                <w:szCs w:val="16"/>
                <w:lang w:eastAsia="zh-CN"/>
              </w:rPr>
              <w:t>2024-25</w:t>
            </w:r>
          </w:p>
        </w:tc>
        <w:tc>
          <w:tcPr>
            <w:tcW w:w="851" w:type="dxa"/>
            <w:tcBorders>
              <w:right w:val="dotted" w:sz="4" w:space="0" w:color="auto"/>
            </w:tcBorders>
            <w:noWrap/>
            <w:hideMark/>
          </w:tcPr>
          <w:p w14:paraId="47190B72" w14:textId="77777777" w:rsidR="00892048" w:rsidRPr="000072D4" w:rsidRDefault="00892048" w:rsidP="008E21F6">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6"/>
                <w:szCs w:val="16"/>
                <w:lang w:eastAsia="zh-CN"/>
              </w:rPr>
            </w:pPr>
            <w:r w:rsidRPr="000072D4">
              <w:rPr>
                <w:rFonts w:eastAsia="Times New Roman"/>
                <w:color w:val="FFFFFF"/>
                <w:sz w:val="16"/>
                <w:szCs w:val="16"/>
                <w:lang w:eastAsia="zh-CN"/>
              </w:rPr>
              <w:t>2025-26</w:t>
            </w:r>
          </w:p>
        </w:tc>
        <w:tc>
          <w:tcPr>
            <w:tcW w:w="850" w:type="dxa"/>
            <w:tcBorders>
              <w:top w:val="single" w:sz="4" w:space="0" w:color="auto"/>
              <w:left w:val="dotted" w:sz="4" w:space="0" w:color="auto"/>
              <w:bottom w:val="nil"/>
              <w:right w:val="single" w:sz="4" w:space="0" w:color="auto"/>
            </w:tcBorders>
            <w:noWrap/>
            <w:hideMark/>
          </w:tcPr>
          <w:p w14:paraId="26D8E7D0" w14:textId="77777777" w:rsidR="00892048" w:rsidRPr="000072D4" w:rsidRDefault="00892048" w:rsidP="008E21F6">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6"/>
                <w:szCs w:val="16"/>
                <w:lang w:eastAsia="zh-CN"/>
              </w:rPr>
            </w:pPr>
            <w:r w:rsidRPr="000072D4">
              <w:rPr>
                <w:rFonts w:eastAsia="Times New Roman"/>
                <w:color w:val="FFFFFF"/>
                <w:sz w:val="16"/>
                <w:szCs w:val="16"/>
                <w:lang w:eastAsia="zh-CN"/>
              </w:rPr>
              <w:t>2031-32</w:t>
            </w:r>
          </w:p>
        </w:tc>
        <w:tc>
          <w:tcPr>
            <w:tcW w:w="1088" w:type="dxa"/>
            <w:tcBorders>
              <w:top w:val="single" w:sz="4" w:space="0" w:color="auto"/>
              <w:left w:val="single" w:sz="4" w:space="0" w:color="auto"/>
              <w:bottom w:val="nil"/>
            </w:tcBorders>
            <w:noWrap/>
            <w:hideMark/>
          </w:tcPr>
          <w:p w14:paraId="6A41D068" w14:textId="77777777" w:rsidR="00892048" w:rsidRPr="000072D4" w:rsidRDefault="00892048" w:rsidP="008E21F6">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6"/>
                <w:szCs w:val="16"/>
                <w:lang w:eastAsia="zh-CN"/>
              </w:rPr>
            </w:pPr>
            <w:r w:rsidRPr="000072D4">
              <w:rPr>
                <w:rFonts w:eastAsia="Times New Roman"/>
                <w:color w:val="FFFFFF"/>
                <w:sz w:val="16"/>
                <w:szCs w:val="16"/>
                <w:lang w:eastAsia="zh-CN"/>
              </w:rPr>
              <w:t>2022-26</w:t>
            </w:r>
          </w:p>
        </w:tc>
      </w:tr>
      <w:tr w:rsidR="0004693C" w:rsidRPr="001C1D22" w14:paraId="6E46506D" w14:textId="77777777" w:rsidTr="0060456C">
        <w:trPr>
          <w:trHeight w:val="301"/>
        </w:trPr>
        <w:tc>
          <w:tcPr>
            <w:cnfStyle w:val="001000000000" w:firstRow="0" w:lastRow="0" w:firstColumn="1" w:lastColumn="0" w:oddVBand="0" w:evenVBand="0" w:oddHBand="0" w:evenHBand="0" w:firstRowFirstColumn="0" w:firstRowLastColumn="0" w:lastRowFirstColumn="0" w:lastRowLastColumn="0"/>
            <w:tcW w:w="3588" w:type="dxa"/>
            <w:shd w:val="clear" w:color="auto" w:fill="D4C5D7"/>
            <w:noWrap/>
            <w:hideMark/>
          </w:tcPr>
          <w:p w14:paraId="627CB96E" w14:textId="77777777" w:rsidR="00892048" w:rsidRPr="000072D4" w:rsidRDefault="00892048" w:rsidP="008E21F6">
            <w:pPr>
              <w:keepNext/>
              <w:spacing w:after="0" w:line="240" w:lineRule="auto"/>
              <w:rPr>
                <w:rFonts w:eastAsia="Times New Roman" w:cs="Arial"/>
                <w:b/>
                <w:bCs/>
                <w:color w:val="000000"/>
                <w:sz w:val="16"/>
                <w:szCs w:val="16"/>
                <w:lang w:eastAsia="zh-CN"/>
              </w:rPr>
            </w:pPr>
            <w:r w:rsidRPr="000072D4">
              <w:rPr>
                <w:rFonts w:eastAsia="Times New Roman" w:cs="Arial"/>
                <w:b/>
                <w:bCs/>
                <w:color w:val="000000"/>
                <w:sz w:val="16"/>
                <w:szCs w:val="16"/>
                <w:lang w:eastAsia="zh-CN"/>
              </w:rPr>
              <w:t>2020-21 AFSR</w:t>
            </w:r>
          </w:p>
        </w:tc>
        <w:tc>
          <w:tcPr>
            <w:tcW w:w="948" w:type="dxa"/>
            <w:shd w:val="clear" w:color="auto" w:fill="D4C5D7"/>
            <w:noWrap/>
            <w:hideMark/>
          </w:tcPr>
          <w:p w14:paraId="65E29F2E" w14:textId="77777777" w:rsidR="00892048" w:rsidRPr="000072D4" w:rsidRDefault="00892048" w:rsidP="0040530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lang w:eastAsia="zh-CN"/>
              </w:rPr>
            </w:pPr>
            <w:r w:rsidRPr="000072D4">
              <w:rPr>
                <w:rFonts w:eastAsia="Times New Roman" w:cs="Arial"/>
                <w:b/>
                <w:bCs/>
                <w:color w:val="000000"/>
                <w:sz w:val="16"/>
                <w:szCs w:val="16"/>
                <w:lang w:eastAsia="zh-CN"/>
              </w:rPr>
              <w:t>33,886</w:t>
            </w:r>
          </w:p>
        </w:tc>
        <w:tc>
          <w:tcPr>
            <w:tcW w:w="851" w:type="dxa"/>
            <w:shd w:val="clear" w:color="auto" w:fill="D4C5D7"/>
            <w:noWrap/>
            <w:hideMark/>
          </w:tcPr>
          <w:p w14:paraId="420188F8" w14:textId="77777777" w:rsidR="00892048" w:rsidRPr="000072D4" w:rsidRDefault="00892048" w:rsidP="0040530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lang w:eastAsia="zh-CN"/>
              </w:rPr>
            </w:pPr>
            <w:r w:rsidRPr="000072D4">
              <w:rPr>
                <w:rFonts w:eastAsia="Times New Roman" w:cs="Arial"/>
                <w:b/>
                <w:bCs/>
                <w:color w:val="000000"/>
                <w:sz w:val="16"/>
                <w:szCs w:val="16"/>
                <w:lang w:eastAsia="zh-CN"/>
              </w:rPr>
              <w:t>37,973</w:t>
            </w:r>
          </w:p>
        </w:tc>
        <w:tc>
          <w:tcPr>
            <w:tcW w:w="850" w:type="dxa"/>
            <w:shd w:val="clear" w:color="auto" w:fill="D4C5D7"/>
            <w:noWrap/>
            <w:hideMark/>
          </w:tcPr>
          <w:p w14:paraId="4FF06317" w14:textId="77777777" w:rsidR="00892048" w:rsidRPr="000072D4" w:rsidRDefault="00892048" w:rsidP="0040530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lang w:eastAsia="zh-CN"/>
              </w:rPr>
            </w:pPr>
            <w:r w:rsidRPr="000072D4">
              <w:rPr>
                <w:rFonts w:eastAsia="Times New Roman" w:cs="Arial"/>
                <w:b/>
                <w:bCs/>
                <w:color w:val="000000"/>
                <w:sz w:val="16"/>
                <w:szCs w:val="16"/>
                <w:lang w:eastAsia="zh-CN"/>
              </w:rPr>
              <w:t>41,373</w:t>
            </w:r>
          </w:p>
        </w:tc>
        <w:tc>
          <w:tcPr>
            <w:tcW w:w="851" w:type="dxa"/>
            <w:tcBorders>
              <w:right w:val="dotted" w:sz="4" w:space="0" w:color="auto"/>
            </w:tcBorders>
            <w:shd w:val="clear" w:color="auto" w:fill="D4C5D7"/>
            <w:noWrap/>
            <w:hideMark/>
          </w:tcPr>
          <w:p w14:paraId="541650C1" w14:textId="77777777" w:rsidR="00892048" w:rsidRPr="000072D4" w:rsidRDefault="00892048" w:rsidP="0040530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lang w:eastAsia="zh-CN"/>
              </w:rPr>
            </w:pPr>
            <w:r w:rsidRPr="000072D4">
              <w:rPr>
                <w:rFonts w:eastAsia="Times New Roman" w:cs="Arial"/>
                <w:b/>
                <w:bCs/>
                <w:color w:val="000000"/>
                <w:sz w:val="16"/>
                <w:szCs w:val="16"/>
                <w:lang w:eastAsia="zh-CN"/>
              </w:rPr>
              <w:t>44,551</w:t>
            </w:r>
          </w:p>
        </w:tc>
        <w:tc>
          <w:tcPr>
            <w:tcW w:w="850" w:type="dxa"/>
            <w:tcBorders>
              <w:top w:val="nil"/>
              <w:left w:val="dotted" w:sz="4" w:space="0" w:color="auto"/>
              <w:bottom w:val="nil"/>
              <w:right w:val="single" w:sz="4" w:space="0" w:color="auto"/>
            </w:tcBorders>
            <w:shd w:val="clear" w:color="auto" w:fill="D4C5D7"/>
            <w:noWrap/>
            <w:hideMark/>
          </w:tcPr>
          <w:p w14:paraId="7724EF6D" w14:textId="77777777" w:rsidR="00892048" w:rsidRPr="000072D4" w:rsidRDefault="00892048" w:rsidP="0040530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lang w:eastAsia="zh-CN"/>
              </w:rPr>
            </w:pPr>
            <w:r w:rsidRPr="000072D4">
              <w:rPr>
                <w:rFonts w:eastAsia="Times New Roman" w:cs="Arial"/>
                <w:b/>
                <w:bCs/>
                <w:color w:val="000000"/>
                <w:sz w:val="16"/>
                <w:szCs w:val="16"/>
                <w:lang w:eastAsia="zh-CN"/>
              </w:rPr>
              <w:t>68,049</w:t>
            </w:r>
          </w:p>
        </w:tc>
        <w:tc>
          <w:tcPr>
            <w:tcW w:w="1088" w:type="dxa"/>
            <w:tcBorders>
              <w:top w:val="nil"/>
              <w:left w:val="single" w:sz="4" w:space="0" w:color="auto"/>
              <w:bottom w:val="nil"/>
            </w:tcBorders>
            <w:shd w:val="clear" w:color="auto" w:fill="D4C5D7"/>
            <w:noWrap/>
            <w:hideMark/>
          </w:tcPr>
          <w:p w14:paraId="5F021757" w14:textId="77777777" w:rsidR="00892048" w:rsidRPr="000072D4" w:rsidRDefault="00892048" w:rsidP="0040530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lang w:eastAsia="zh-CN"/>
              </w:rPr>
            </w:pPr>
            <w:r w:rsidRPr="000072D4">
              <w:rPr>
                <w:rFonts w:eastAsia="Times New Roman" w:cs="Arial"/>
                <w:b/>
                <w:bCs/>
                <w:color w:val="000000"/>
                <w:sz w:val="16"/>
                <w:szCs w:val="16"/>
                <w:lang w:eastAsia="zh-CN"/>
              </w:rPr>
              <w:t>157,782</w:t>
            </w:r>
          </w:p>
        </w:tc>
      </w:tr>
      <w:tr w:rsidR="0004693C" w:rsidRPr="001C1D22" w14:paraId="6B0CD8A5" w14:textId="77777777" w:rsidTr="0060456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88" w:type="dxa"/>
            <w:shd w:val="clear" w:color="auto" w:fill="D9D9D9" w:themeFill="background1" w:themeFillShade="D9"/>
            <w:noWrap/>
            <w:hideMark/>
          </w:tcPr>
          <w:p w14:paraId="1A884E0D" w14:textId="77777777" w:rsidR="00892048" w:rsidRPr="000072D4" w:rsidRDefault="00892048" w:rsidP="008E21F6">
            <w:pPr>
              <w:keepNext/>
              <w:spacing w:after="0" w:line="240" w:lineRule="auto"/>
              <w:ind w:left="171"/>
              <w:rPr>
                <w:rFonts w:eastAsia="Times New Roman" w:cs="Arial"/>
                <w:color w:val="000000"/>
                <w:sz w:val="16"/>
                <w:szCs w:val="16"/>
                <w:lang w:eastAsia="zh-CN"/>
              </w:rPr>
            </w:pPr>
            <w:r w:rsidRPr="000072D4">
              <w:rPr>
                <w:rFonts w:eastAsia="Times New Roman" w:cs="Arial"/>
                <w:color w:val="000000"/>
                <w:sz w:val="16"/>
                <w:szCs w:val="16"/>
                <w:lang w:eastAsia="zh-CN"/>
              </w:rPr>
              <w:t>Update for participant population</w:t>
            </w:r>
          </w:p>
        </w:tc>
        <w:tc>
          <w:tcPr>
            <w:tcW w:w="948" w:type="dxa"/>
            <w:shd w:val="clear" w:color="auto" w:fill="D9D9D9" w:themeFill="background1" w:themeFillShade="D9"/>
            <w:noWrap/>
            <w:hideMark/>
          </w:tcPr>
          <w:p w14:paraId="7A27044A"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894</w:t>
            </w:r>
          </w:p>
        </w:tc>
        <w:tc>
          <w:tcPr>
            <w:tcW w:w="851" w:type="dxa"/>
            <w:shd w:val="clear" w:color="auto" w:fill="D9D9D9" w:themeFill="background1" w:themeFillShade="D9"/>
            <w:noWrap/>
            <w:hideMark/>
          </w:tcPr>
          <w:p w14:paraId="45DC743B"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969</w:t>
            </w:r>
          </w:p>
        </w:tc>
        <w:tc>
          <w:tcPr>
            <w:tcW w:w="850" w:type="dxa"/>
            <w:shd w:val="clear" w:color="auto" w:fill="D9D9D9" w:themeFill="background1" w:themeFillShade="D9"/>
            <w:noWrap/>
            <w:hideMark/>
          </w:tcPr>
          <w:p w14:paraId="3563E442"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999</w:t>
            </w:r>
          </w:p>
        </w:tc>
        <w:tc>
          <w:tcPr>
            <w:tcW w:w="851" w:type="dxa"/>
            <w:tcBorders>
              <w:right w:val="dotted" w:sz="4" w:space="0" w:color="auto"/>
            </w:tcBorders>
            <w:shd w:val="clear" w:color="auto" w:fill="D9D9D9" w:themeFill="background1" w:themeFillShade="D9"/>
            <w:noWrap/>
            <w:hideMark/>
          </w:tcPr>
          <w:p w14:paraId="5438963C"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1,026</w:t>
            </w:r>
          </w:p>
        </w:tc>
        <w:tc>
          <w:tcPr>
            <w:tcW w:w="850" w:type="dxa"/>
            <w:tcBorders>
              <w:top w:val="nil"/>
              <w:left w:val="dotted" w:sz="4" w:space="0" w:color="auto"/>
              <w:bottom w:val="nil"/>
              <w:right w:val="single" w:sz="4" w:space="0" w:color="auto"/>
            </w:tcBorders>
            <w:shd w:val="clear" w:color="auto" w:fill="D9D9D9" w:themeFill="background1" w:themeFillShade="D9"/>
            <w:noWrap/>
            <w:hideMark/>
          </w:tcPr>
          <w:p w14:paraId="19E868F8"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1,321</w:t>
            </w:r>
          </w:p>
        </w:tc>
        <w:tc>
          <w:tcPr>
            <w:tcW w:w="1088" w:type="dxa"/>
            <w:tcBorders>
              <w:top w:val="nil"/>
              <w:left w:val="single" w:sz="4" w:space="0" w:color="auto"/>
              <w:bottom w:val="nil"/>
            </w:tcBorders>
            <w:shd w:val="clear" w:color="auto" w:fill="D9D9D9" w:themeFill="background1" w:themeFillShade="D9"/>
            <w:noWrap/>
            <w:hideMark/>
          </w:tcPr>
          <w:p w14:paraId="040FBE86"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3,887</w:t>
            </w:r>
          </w:p>
        </w:tc>
      </w:tr>
      <w:tr w:rsidR="0004693C" w:rsidRPr="001C1D22" w14:paraId="5BE95796" w14:textId="77777777" w:rsidTr="0060456C">
        <w:trPr>
          <w:trHeight w:val="301"/>
        </w:trPr>
        <w:tc>
          <w:tcPr>
            <w:cnfStyle w:val="001000000000" w:firstRow="0" w:lastRow="0" w:firstColumn="1" w:lastColumn="0" w:oddVBand="0" w:evenVBand="0" w:oddHBand="0" w:evenHBand="0" w:firstRowFirstColumn="0" w:firstRowLastColumn="0" w:lastRowFirstColumn="0" w:lastRowLastColumn="0"/>
            <w:tcW w:w="3588" w:type="dxa"/>
            <w:shd w:val="clear" w:color="auto" w:fill="auto"/>
            <w:noWrap/>
            <w:hideMark/>
          </w:tcPr>
          <w:p w14:paraId="66E01418" w14:textId="77777777" w:rsidR="00405305" w:rsidRPr="000072D4" w:rsidRDefault="00405305" w:rsidP="00405305">
            <w:pPr>
              <w:keepNext/>
              <w:spacing w:after="0" w:line="240" w:lineRule="auto"/>
              <w:ind w:left="171"/>
              <w:rPr>
                <w:rFonts w:eastAsia="Times New Roman" w:cs="Arial"/>
                <w:color w:val="000000"/>
                <w:sz w:val="16"/>
                <w:szCs w:val="16"/>
                <w:lang w:eastAsia="zh-CN"/>
              </w:rPr>
            </w:pPr>
            <w:r w:rsidRPr="000072D4">
              <w:rPr>
                <w:rFonts w:eastAsia="Times New Roman" w:cs="Arial"/>
                <w:color w:val="000000"/>
                <w:sz w:val="16"/>
                <w:szCs w:val="16"/>
                <w:lang w:eastAsia="zh-CN"/>
              </w:rPr>
              <w:t>Update average payment assumptions</w:t>
            </w:r>
          </w:p>
        </w:tc>
        <w:tc>
          <w:tcPr>
            <w:tcW w:w="948" w:type="dxa"/>
            <w:shd w:val="clear" w:color="auto" w:fill="auto"/>
            <w:noWrap/>
            <w:hideMark/>
          </w:tcPr>
          <w:p w14:paraId="3D6FDB20" w14:textId="77777777" w:rsidR="00405305" w:rsidRPr="000072D4" w:rsidRDefault="00405305" w:rsidP="0040530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zh-CN"/>
              </w:rPr>
            </w:pPr>
            <w:r w:rsidRPr="000072D4">
              <w:rPr>
                <w:rFonts w:cs="Arial"/>
                <w:color w:val="000000"/>
                <w:sz w:val="16"/>
                <w:szCs w:val="16"/>
              </w:rPr>
              <w:t>-1,686</w:t>
            </w:r>
          </w:p>
        </w:tc>
        <w:tc>
          <w:tcPr>
            <w:tcW w:w="851" w:type="dxa"/>
            <w:shd w:val="clear" w:color="auto" w:fill="auto"/>
            <w:noWrap/>
            <w:hideMark/>
          </w:tcPr>
          <w:p w14:paraId="07361E84" w14:textId="77777777" w:rsidR="00405305" w:rsidRPr="000072D4" w:rsidRDefault="00405305" w:rsidP="0040530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zh-CN"/>
              </w:rPr>
            </w:pPr>
            <w:r w:rsidRPr="000072D4">
              <w:rPr>
                <w:rFonts w:cs="Arial"/>
                <w:color w:val="000000"/>
                <w:sz w:val="16"/>
                <w:szCs w:val="16"/>
              </w:rPr>
              <w:t>-1,921</w:t>
            </w:r>
          </w:p>
        </w:tc>
        <w:tc>
          <w:tcPr>
            <w:tcW w:w="850" w:type="dxa"/>
            <w:shd w:val="clear" w:color="auto" w:fill="auto"/>
            <w:noWrap/>
            <w:hideMark/>
          </w:tcPr>
          <w:p w14:paraId="423D50CC" w14:textId="77777777" w:rsidR="00405305" w:rsidRPr="000072D4" w:rsidRDefault="00405305" w:rsidP="0040530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zh-CN"/>
              </w:rPr>
            </w:pPr>
            <w:r w:rsidRPr="000072D4">
              <w:rPr>
                <w:rFonts w:cs="Arial"/>
                <w:color w:val="000000"/>
                <w:sz w:val="16"/>
                <w:szCs w:val="16"/>
              </w:rPr>
              <w:t>-2,116</w:t>
            </w:r>
          </w:p>
        </w:tc>
        <w:tc>
          <w:tcPr>
            <w:tcW w:w="851" w:type="dxa"/>
            <w:tcBorders>
              <w:right w:val="dotted" w:sz="4" w:space="0" w:color="auto"/>
            </w:tcBorders>
            <w:shd w:val="clear" w:color="auto" w:fill="auto"/>
            <w:noWrap/>
            <w:hideMark/>
          </w:tcPr>
          <w:p w14:paraId="45516758" w14:textId="77777777" w:rsidR="00405305" w:rsidRPr="000072D4" w:rsidRDefault="00405305" w:rsidP="0040530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zh-CN"/>
              </w:rPr>
            </w:pPr>
            <w:r w:rsidRPr="000072D4">
              <w:rPr>
                <w:rFonts w:cs="Arial"/>
                <w:color w:val="000000"/>
                <w:sz w:val="16"/>
                <w:szCs w:val="16"/>
              </w:rPr>
              <w:t>-2,253</w:t>
            </w:r>
          </w:p>
        </w:tc>
        <w:tc>
          <w:tcPr>
            <w:tcW w:w="850" w:type="dxa"/>
            <w:tcBorders>
              <w:top w:val="nil"/>
              <w:left w:val="dotted" w:sz="4" w:space="0" w:color="auto"/>
              <w:bottom w:val="nil"/>
              <w:right w:val="single" w:sz="4" w:space="0" w:color="auto"/>
            </w:tcBorders>
            <w:shd w:val="clear" w:color="auto" w:fill="auto"/>
            <w:noWrap/>
            <w:hideMark/>
          </w:tcPr>
          <w:p w14:paraId="5EF66E83" w14:textId="77777777" w:rsidR="00405305" w:rsidRPr="000072D4" w:rsidRDefault="00405305" w:rsidP="0040530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zh-CN"/>
              </w:rPr>
            </w:pPr>
            <w:r w:rsidRPr="000072D4">
              <w:rPr>
                <w:rFonts w:cs="Arial"/>
                <w:color w:val="000000"/>
                <w:sz w:val="16"/>
                <w:szCs w:val="16"/>
              </w:rPr>
              <w:t>-3,765</w:t>
            </w:r>
          </w:p>
        </w:tc>
        <w:tc>
          <w:tcPr>
            <w:tcW w:w="1088" w:type="dxa"/>
            <w:tcBorders>
              <w:top w:val="nil"/>
              <w:left w:val="single" w:sz="4" w:space="0" w:color="auto"/>
              <w:bottom w:val="nil"/>
            </w:tcBorders>
            <w:shd w:val="clear" w:color="auto" w:fill="auto"/>
            <w:noWrap/>
            <w:hideMark/>
          </w:tcPr>
          <w:p w14:paraId="2EFA85BC" w14:textId="77777777" w:rsidR="00405305" w:rsidRPr="000072D4" w:rsidRDefault="00405305" w:rsidP="0040530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zh-CN"/>
              </w:rPr>
            </w:pPr>
            <w:r w:rsidRPr="000072D4">
              <w:rPr>
                <w:rFonts w:cs="Arial"/>
                <w:color w:val="000000"/>
                <w:sz w:val="16"/>
                <w:szCs w:val="16"/>
              </w:rPr>
              <w:t>-7,977</w:t>
            </w:r>
          </w:p>
        </w:tc>
      </w:tr>
      <w:tr w:rsidR="0004693C" w:rsidRPr="001C1D22" w14:paraId="293B3651" w14:textId="77777777" w:rsidTr="0060456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88" w:type="dxa"/>
            <w:shd w:val="clear" w:color="auto" w:fill="D9D9D9" w:themeFill="background1" w:themeFillShade="D9"/>
            <w:noWrap/>
            <w:hideMark/>
          </w:tcPr>
          <w:p w14:paraId="21D1EA9D" w14:textId="77777777" w:rsidR="00892048" w:rsidRPr="000072D4" w:rsidRDefault="00892048" w:rsidP="008E21F6">
            <w:pPr>
              <w:keepNext/>
              <w:spacing w:after="0" w:line="240" w:lineRule="auto"/>
              <w:ind w:left="171"/>
              <w:rPr>
                <w:rFonts w:eastAsia="Times New Roman" w:cs="Arial"/>
                <w:color w:val="000000"/>
                <w:sz w:val="16"/>
                <w:szCs w:val="16"/>
                <w:lang w:eastAsia="zh-CN"/>
              </w:rPr>
            </w:pPr>
            <w:r w:rsidRPr="000072D4">
              <w:rPr>
                <w:rFonts w:eastAsia="Times New Roman" w:cs="Arial"/>
                <w:color w:val="000000"/>
                <w:sz w:val="16"/>
                <w:szCs w:val="16"/>
                <w:lang w:eastAsia="zh-CN"/>
              </w:rPr>
              <w:t>Update for 202</w:t>
            </w:r>
            <w:r w:rsidR="00E8709A">
              <w:rPr>
                <w:rFonts w:eastAsia="Times New Roman" w:cs="Arial"/>
                <w:color w:val="000000"/>
                <w:sz w:val="16"/>
                <w:szCs w:val="16"/>
                <w:lang w:eastAsia="zh-CN"/>
              </w:rPr>
              <w:t>1</w:t>
            </w:r>
            <w:r w:rsidRPr="000072D4">
              <w:rPr>
                <w:rFonts w:eastAsia="Times New Roman" w:cs="Arial"/>
                <w:color w:val="000000"/>
                <w:sz w:val="16"/>
                <w:szCs w:val="16"/>
                <w:lang w:eastAsia="zh-CN"/>
              </w:rPr>
              <w:t>-2</w:t>
            </w:r>
            <w:r w:rsidR="00E8709A">
              <w:rPr>
                <w:rFonts w:eastAsia="Times New Roman" w:cs="Arial"/>
                <w:color w:val="000000"/>
                <w:sz w:val="16"/>
                <w:szCs w:val="16"/>
                <w:lang w:eastAsia="zh-CN"/>
              </w:rPr>
              <w:t>2</w:t>
            </w:r>
            <w:r w:rsidRPr="000072D4">
              <w:rPr>
                <w:rFonts w:eastAsia="Times New Roman" w:cs="Arial"/>
                <w:color w:val="000000"/>
                <w:sz w:val="16"/>
                <w:szCs w:val="16"/>
                <w:lang w:eastAsia="zh-CN"/>
              </w:rPr>
              <w:t xml:space="preserve"> Annual Pricing Review </w:t>
            </w:r>
          </w:p>
        </w:tc>
        <w:tc>
          <w:tcPr>
            <w:tcW w:w="948" w:type="dxa"/>
            <w:shd w:val="clear" w:color="auto" w:fill="D9D9D9" w:themeFill="background1" w:themeFillShade="D9"/>
            <w:noWrap/>
            <w:hideMark/>
          </w:tcPr>
          <w:p w14:paraId="0D2249B4"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1,242</w:t>
            </w:r>
          </w:p>
        </w:tc>
        <w:tc>
          <w:tcPr>
            <w:tcW w:w="851" w:type="dxa"/>
            <w:shd w:val="clear" w:color="auto" w:fill="D9D9D9" w:themeFill="background1" w:themeFillShade="D9"/>
            <w:noWrap/>
            <w:hideMark/>
          </w:tcPr>
          <w:p w14:paraId="7772287F"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835</w:t>
            </w:r>
          </w:p>
        </w:tc>
        <w:tc>
          <w:tcPr>
            <w:tcW w:w="850" w:type="dxa"/>
            <w:shd w:val="clear" w:color="auto" w:fill="D9D9D9" w:themeFill="background1" w:themeFillShade="D9"/>
            <w:noWrap/>
            <w:hideMark/>
          </w:tcPr>
          <w:p w14:paraId="7188937C"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915</w:t>
            </w:r>
          </w:p>
        </w:tc>
        <w:tc>
          <w:tcPr>
            <w:tcW w:w="851" w:type="dxa"/>
            <w:tcBorders>
              <w:right w:val="dotted" w:sz="4" w:space="0" w:color="auto"/>
            </w:tcBorders>
            <w:shd w:val="clear" w:color="auto" w:fill="D9D9D9" w:themeFill="background1" w:themeFillShade="D9"/>
            <w:noWrap/>
            <w:hideMark/>
          </w:tcPr>
          <w:p w14:paraId="1F8EE5EC"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993</w:t>
            </w:r>
          </w:p>
        </w:tc>
        <w:tc>
          <w:tcPr>
            <w:tcW w:w="850" w:type="dxa"/>
            <w:tcBorders>
              <w:top w:val="nil"/>
              <w:left w:val="dotted" w:sz="4" w:space="0" w:color="auto"/>
              <w:bottom w:val="nil"/>
              <w:right w:val="single" w:sz="4" w:space="0" w:color="auto"/>
            </w:tcBorders>
            <w:shd w:val="clear" w:color="auto" w:fill="D9D9D9" w:themeFill="background1" w:themeFillShade="D9"/>
            <w:noWrap/>
            <w:hideMark/>
          </w:tcPr>
          <w:p w14:paraId="48175B89"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1,608</w:t>
            </w:r>
          </w:p>
        </w:tc>
        <w:tc>
          <w:tcPr>
            <w:tcW w:w="1088" w:type="dxa"/>
            <w:tcBorders>
              <w:top w:val="nil"/>
              <w:left w:val="single" w:sz="4" w:space="0" w:color="auto"/>
              <w:bottom w:val="nil"/>
            </w:tcBorders>
            <w:shd w:val="clear" w:color="auto" w:fill="D9D9D9" w:themeFill="background1" w:themeFillShade="D9"/>
            <w:noWrap/>
            <w:hideMark/>
          </w:tcPr>
          <w:p w14:paraId="431F7794"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3,984</w:t>
            </w:r>
          </w:p>
        </w:tc>
      </w:tr>
      <w:tr w:rsidR="0004693C" w:rsidRPr="001C1D22" w14:paraId="312E8944" w14:textId="77777777" w:rsidTr="0060456C">
        <w:trPr>
          <w:trHeight w:val="301"/>
        </w:trPr>
        <w:tc>
          <w:tcPr>
            <w:cnfStyle w:val="001000000000" w:firstRow="0" w:lastRow="0" w:firstColumn="1" w:lastColumn="0" w:oddVBand="0" w:evenVBand="0" w:oddHBand="0" w:evenHBand="0" w:firstRowFirstColumn="0" w:firstRowLastColumn="0" w:lastRowFirstColumn="0" w:lastRowLastColumn="0"/>
            <w:tcW w:w="3588" w:type="dxa"/>
            <w:shd w:val="clear" w:color="auto" w:fill="auto"/>
            <w:noWrap/>
            <w:hideMark/>
          </w:tcPr>
          <w:p w14:paraId="5F9F9B30" w14:textId="77777777" w:rsidR="00405305" w:rsidRPr="000072D4" w:rsidRDefault="00405305" w:rsidP="00405305">
            <w:pPr>
              <w:keepNext/>
              <w:spacing w:after="0" w:line="240" w:lineRule="auto"/>
              <w:rPr>
                <w:rFonts w:eastAsia="Times New Roman" w:cs="Arial"/>
                <w:b/>
                <w:bCs/>
                <w:i/>
                <w:iCs/>
                <w:color w:val="000000"/>
                <w:sz w:val="16"/>
                <w:szCs w:val="16"/>
                <w:lang w:eastAsia="zh-CN"/>
              </w:rPr>
            </w:pPr>
            <w:r w:rsidRPr="000072D4">
              <w:rPr>
                <w:rFonts w:eastAsia="Times New Roman" w:cs="Arial"/>
                <w:b/>
                <w:bCs/>
                <w:i/>
                <w:iCs/>
                <w:color w:val="000000"/>
                <w:sz w:val="16"/>
                <w:szCs w:val="16"/>
                <w:lang w:eastAsia="zh-CN"/>
              </w:rPr>
              <w:t>Subtotal: updates for experience and Annual Pricing Review</w:t>
            </w:r>
          </w:p>
        </w:tc>
        <w:tc>
          <w:tcPr>
            <w:tcW w:w="948" w:type="dxa"/>
            <w:shd w:val="clear" w:color="auto" w:fill="auto"/>
            <w:noWrap/>
            <w:hideMark/>
          </w:tcPr>
          <w:p w14:paraId="09117182" w14:textId="77777777" w:rsidR="00405305" w:rsidRPr="000072D4" w:rsidRDefault="00405305" w:rsidP="0040530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6"/>
                <w:szCs w:val="16"/>
                <w:lang w:eastAsia="zh-CN"/>
              </w:rPr>
            </w:pPr>
            <w:r w:rsidRPr="000072D4">
              <w:rPr>
                <w:rFonts w:cs="Arial"/>
                <w:b/>
                <w:bCs/>
                <w:i/>
                <w:iCs/>
                <w:color w:val="000000"/>
                <w:sz w:val="16"/>
                <w:szCs w:val="16"/>
              </w:rPr>
              <w:t>450</w:t>
            </w:r>
          </w:p>
        </w:tc>
        <w:tc>
          <w:tcPr>
            <w:tcW w:w="851" w:type="dxa"/>
            <w:shd w:val="clear" w:color="auto" w:fill="auto"/>
            <w:noWrap/>
            <w:hideMark/>
          </w:tcPr>
          <w:p w14:paraId="7D3C3F5F" w14:textId="77777777" w:rsidR="00405305" w:rsidRPr="000072D4" w:rsidRDefault="00405305" w:rsidP="0040530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6"/>
                <w:szCs w:val="16"/>
                <w:lang w:eastAsia="zh-CN"/>
              </w:rPr>
            </w:pPr>
            <w:r w:rsidRPr="000072D4">
              <w:rPr>
                <w:rFonts w:cs="Arial"/>
                <w:b/>
                <w:bCs/>
                <w:i/>
                <w:iCs/>
                <w:color w:val="000000"/>
                <w:sz w:val="16"/>
                <w:szCs w:val="16"/>
              </w:rPr>
              <w:t>-118</w:t>
            </w:r>
          </w:p>
        </w:tc>
        <w:tc>
          <w:tcPr>
            <w:tcW w:w="850" w:type="dxa"/>
            <w:shd w:val="clear" w:color="auto" w:fill="auto"/>
            <w:noWrap/>
            <w:hideMark/>
          </w:tcPr>
          <w:p w14:paraId="0B5813BB" w14:textId="77777777" w:rsidR="00405305" w:rsidRPr="000072D4" w:rsidRDefault="00405305" w:rsidP="0040530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6"/>
                <w:szCs w:val="16"/>
                <w:lang w:eastAsia="zh-CN"/>
              </w:rPr>
            </w:pPr>
            <w:r w:rsidRPr="000072D4">
              <w:rPr>
                <w:rFonts w:cs="Arial"/>
                <w:b/>
                <w:bCs/>
                <w:i/>
                <w:iCs/>
                <w:color w:val="000000"/>
                <w:sz w:val="16"/>
                <w:szCs w:val="16"/>
              </w:rPr>
              <w:t>-203</w:t>
            </w:r>
          </w:p>
        </w:tc>
        <w:tc>
          <w:tcPr>
            <w:tcW w:w="851" w:type="dxa"/>
            <w:tcBorders>
              <w:right w:val="dotted" w:sz="4" w:space="0" w:color="auto"/>
            </w:tcBorders>
            <w:shd w:val="clear" w:color="auto" w:fill="auto"/>
            <w:noWrap/>
            <w:hideMark/>
          </w:tcPr>
          <w:p w14:paraId="4CF995EB" w14:textId="77777777" w:rsidR="00405305" w:rsidRPr="000072D4" w:rsidRDefault="00405305" w:rsidP="0040530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6"/>
                <w:szCs w:val="16"/>
                <w:lang w:eastAsia="zh-CN"/>
              </w:rPr>
            </w:pPr>
            <w:r w:rsidRPr="000072D4">
              <w:rPr>
                <w:rFonts w:cs="Arial"/>
                <w:b/>
                <w:bCs/>
                <w:i/>
                <w:iCs/>
                <w:color w:val="000000"/>
                <w:sz w:val="16"/>
                <w:szCs w:val="16"/>
              </w:rPr>
              <w:t>-234</w:t>
            </w:r>
          </w:p>
        </w:tc>
        <w:tc>
          <w:tcPr>
            <w:tcW w:w="850" w:type="dxa"/>
            <w:tcBorders>
              <w:top w:val="nil"/>
              <w:left w:val="dotted" w:sz="4" w:space="0" w:color="auto"/>
              <w:bottom w:val="nil"/>
              <w:right w:val="single" w:sz="4" w:space="0" w:color="auto"/>
            </w:tcBorders>
            <w:shd w:val="clear" w:color="auto" w:fill="auto"/>
            <w:noWrap/>
            <w:hideMark/>
          </w:tcPr>
          <w:p w14:paraId="1DF93FED" w14:textId="77777777" w:rsidR="00405305" w:rsidRPr="000072D4" w:rsidRDefault="00405305" w:rsidP="0040530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6"/>
                <w:szCs w:val="16"/>
                <w:lang w:eastAsia="zh-CN"/>
              </w:rPr>
            </w:pPr>
            <w:r w:rsidRPr="000072D4">
              <w:rPr>
                <w:rFonts w:cs="Arial"/>
                <w:b/>
                <w:bCs/>
                <w:i/>
                <w:iCs/>
                <w:color w:val="000000"/>
                <w:sz w:val="16"/>
                <w:szCs w:val="16"/>
              </w:rPr>
              <w:t>-836</w:t>
            </w:r>
          </w:p>
        </w:tc>
        <w:tc>
          <w:tcPr>
            <w:tcW w:w="1088" w:type="dxa"/>
            <w:tcBorders>
              <w:top w:val="nil"/>
              <w:left w:val="single" w:sz="4" w:space="0" w:color="auto"/>
              <w:bottom w:val="nil"/>
            </w:tcBorders>
            <w:shd w:val="clear" w:color="auto" w:fill="auto"/>
            <w:noWrap/>
            <w:hideMark/>
          </w:tcPr>
          <w:p w14:paraId="7E161B9E" w14:textId="77777777" w:rsidR="00405305" w:rsidRPr="000072D4" w:rsidRDefault="00405305" w:rsidP="0040530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6"/>
                <w:szCs w:val="16"/>
                <w:lang w:eastAsia="zh-CN"/>
              </w:rPr>
            </w:pPr>
            <w:r w:rsidRPr="000072D4">
              <w:rPr>
                <w:rFonts w:cs="Arial"/>
                <w:b/>
                <w:bCs/>
                <w:i/>
                <w:iCs/>
                <w:color w:val="000000"/>
                <w:sz w:val="16"/>
                <w:szCs w:val="16"/>
              </w:rPr>
              <w:t>-105</w:t>
            </w:r>
          </w:p>
        </w:tc>
      </w:tr>
      <w:tr w:rsidR="0004693C" w:rsidRPr="001C1D22" w14:paraId="2246C530" w14:textId="77777777" w:rsidTr="0060456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88" w:type="dxa"/>
            <w:shd w:val="clear" w:color="auto" w:fill="D9D9D9" w:themeFill="background1" w:themeFillShade="D9"/>
            <w:noWrap/>
            <w:hideMark/>
          </w:tcPr>
          <w:p w14:paraId="6154BBC2" w14:textId="77777777" w:rsidR="00892048" w:rsidRPr="000072D4" w:rsidRDefault="00892048" w:rsidP="008E21F6">
            <w:pPr>
              <w:keepNext/>
              <w:spacing w:after="0" w:line="240" w:lineRule="auto"/>
              <w:ind w:left="171"/>
              <w:rPr>
                <w:rFonts w:eastAsia="Times New Roman" w:cs="Arial"/>
                <w:color w:val="000000"/>
                <w:sz w:val="16"/>
                <w:szCs w:val="16"/>
                <w:lang w:eastAsia="zh-CN"/>
              </w:rPr>
            </w:pPr>
            <w:r w:rsidRPr="000072D4">
              <w:rPr>
                <w:rFonts w:eastAsia="Times New Roman" w:cs="Arial"/>
                <w:color w:val="000000"/>
                <w:sz w:val="16"/>
                <w:szCs w:val="16"/>
                <w:lang w:eastAsia="zh-CN"/>
              </w:rPr>
              <w:t xml:space="preserve">Update for all changes to participant population assumptions </w:t>
            </w:r>
          </w:p>
        </w:tc>
        <w:tc>
          <w:tcPr>
            <w:tcW w:w="948" w:type="dxa"/>
            <w:shd w:val="clear" w:color="auto" w:fill="D9D9D9" w:themeFill="background1" w:themeFillShade="D9"/>
            <w:noWrap/>
            <w:hideMark/>
          </w:tcPr>
          <w:p w14:paraId="0AB3FB50"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82</w:t>
            </w:r>
          </w:p>
        </w:tc>
        <w:tc>
          <w:tcPr>
            <w:tcW w:w="851" w:type="dxa"/>
            <w:shd w:val="clear" w:color="auto" w:fill="D9D9D9" w:themeFill="background1" w:themeFillShade="D9"/>
            <w:noWrap/>
            <w:hideMark/>
          </w:tcPr>
          <w:p w14:paraId="35BCECE0"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409</w:t>
            </w:r>
          </w:p>
        </w:tc>
        <w:tc>
          <w:tcPr>
            <w:tcW w:w="850" w:type="dxa"/>
            <w:shd w:val="clear" w:color="auto" w:fill="D9D9D9" w:themeFill="background1" w:themeFillShade="D9"/>
            <w:noWrap/>
            <w:hideMark/>
          </w:tcPr>
          <w:p w14:paraId="2BD82BC9"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876</w:t>
            </w:r>
          </w:p>
        </w:tc>
        <w:tc>
          <w:tcPr>
            <w:tcW w:w="851" w:type="dxa"/>
            <w:tcBorders>
              <w:right w:val="dotted" w:sz="4" w:space="0" w:color="auto"/>
            </w:tcBorders>
            <w:shd w:val="clear" w:color="auto" w:fill="D9D9D9" w:themeFill="background1" w:themeFillShade="D9"/>
            <w:noWrap/>
            <w:hideMark/>
          </w:tcPr>
          <w:p w14:paraId="1F1492C4"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1,304</w:t>
            </w:r>
          </w:p>
        </w:tc>
        <w:tc>
          <w:tcPr>
            <w:tcW w:w="850" w:type="dxa"/>
            <w:tcBorders>
              <w:top w:val="nil"/>
              <w:left w:val="dotted" w:sz="4" w:space="0" w:color="auto"/>
              <w:bottom w:val="nil"/>
              <w:right w:val="single" w:sz="4" w:space="0" w:color="auto"/>
            </w:tcBorders>
            <w:shd w:val="clear" w:color="auto" w:fill="D9D9D9" w:themeFill="background1" w:themeFillShade="D9"/>
            <w:noWrap/>
            <w:hideMark/>
          </w:tcPr>
          <w:p w14:paraId="734F2D63"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4,825</w:t>
            </w:r>
          </w:p>
        </w:tc>
        <w:tc>
          <w:tcPr>
            <w:tcW w:w="1088" w:type="dxa"/>
            <w:tcBorders>
              <w:top w:val="nil"/>
              <w:left w:val="single" w:sz="4" w:space="0" w:color="auto"/>
              <w:bottom w:val="nil"/>
            </w:tcBorders>
            <w:shd w:val="clear" w:color="auto" w:fill="D9D9D9" w:themeFill="background1" w:themeFillShade="D9"/>
            <w:noWrap/>
            <w:hideMark/>
          </w:tcPr>
          <w:p w14:paraId="3F8D140B" w14:textId="77777777" w:rsidR="00892048" w:rsidRPr="000072D4" w:rsidRDefault="00892048"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6"/>
                <w:szCs w:val="16"/>
                <w:lang w:eastAsia="zh-CN"/>
              </w:rPr>
            </w:pPr>
            <w:r w:rsidRPr="000072D4">
              <w:rPr>
                <w:rFonts w:eastAsia="Times New Roman" w:cs="Arial"/>
                <w:color w:val="000000"/>
                <w:sz w:val="16"/>
                <w:szCs w:val="16"/>
                <w:lang w:eastAsia="zh-CN"/>
              </w:rPr>
              <w:t>2,671</w:t>
            </w:r>
          </w:p>
        </w:tc>
      </w:tr>
      <w:tr w:rsidR="001C1D22" w:rsidRPr="001C1D22" w14:paraId="6E756F05" w14:textId="77777777" w:rsidTr="000072D4">
        <w:trPr>
          <w:trHeight w:val="301"/>
        </w:trPr>
        <w:tc>
          <w:tcPr>
            <w:cnfStyle w:val="001000000000" w:firstRow="0" w:lastRow="0" w:firstColumn="1" w:lastColumn="0" w:oddVBand="0" w:evenVBand="0" w:oddHBand="0" w:evenHBand="0" w:firstRowFirstColumn="0" w:firstRowLastColumn="0" w:lastRowFirstColumn="0" w:lastRowLastColumn="0"/>
            <w:tcW w:w="3588" w:type="dxa"/>
            <w:noWrap/>
            <w:hideMark/>
          </w:tcPr>
          <w:p w14:paraId="10077817" w14:textId="77777777" w:rsidR="00405305" w:rsidRPr="000072D4" w:rsidRDefault="00405305" w:rsidP="00405305">
            <w:pPr>
              <w:keepNext/>
              <w:spacing w:after="0" w:line="240" w:lineRule="auto"/>
              <w:ind w:left="171"/>
              <w:rPr>
                <w:rFonts w:eastAsia="Times New Roman" w:cs="Arial"/>
                <w:color w:val="000000"/>
                <w:sz w:val="16"/>
                <w:szCs w:val="16"/>
                <w:lang w:eastAsia="zh-CN"/>
              </w:rPr>
            </w:pPr>
            <w:r w:rsidRPr="000072D4">
              <w:rPr>
                <w:rFonts w:eastAsia="Times New Roman" w:cs="Arial"/>
                <w:color w:val="000000"/>
                <w:sz w:val="16"/>
                <w:szCs w:val="16"/>
                <w:lang w:eastAsia="zh-CN"/>
              </w:rPr>
              <w:t xml:space="preserve">Update for normal inflation </w:t>
            </w:r>
          </w:p>
        </w:tc>
        <w:tc>
          <w:tcPr>
            <w:tcW w:w="948" w:type="dxa"/>
            <w:noWrap/>
            <w:hideMark/>
          </w:tcPr>
          <w:p w14:paraId="0996BFEF" w14:textId="77777777" w:rsidR="00405305" w:rsidRPr="000072D4" w:rsidRDefault="00405305" w:rsidP="0040530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highlight w:val="yellow"/>
                <w:lang w:eastAsia="zh-CN"/>
              </w:rPr>
            </w:pPr>
            <w:r w:rsidRPr="000072D4">
              <w:rPr>
                <w:rFonts w:cs="Arial"/>
                <w:color w:val="000000"/>
                <w:sz w:val="16"/>
                <w:szCs w:val="16"/>
              </w:rPr>
              <w:t>0</w:t>
            </w:r>
          </w:p>
        </w:tc>
        <w:tc>
          <w:tcPr>
            <w:tcW w:w="851" w:type="dxa"/>
            <w:noWrap/>
            <w:hideMark/>
          </w:tcPr>
          <w:p w14:paraId="774DE26D" w14:textId="77777777" w:rsidR="00405305" w:rsidRPr="000072D4" w:rsidRDefault="00405305" w:rsidP="0040530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highlight w:val="yellow"/>
                <w:lang w:eastAsia="zh-CN"/>
              </w:rPr>
            </w:pPr>
            <w:r w:rsidRPr="000072D4">
              <w:rPr>
                <w:rFonts w:cs="Arial"/>
                <w:color w:val="000000"/>
                <w:sz w:val="16"/>
                <w:szCs w:val="16"/>
              </w:rPr>
              <w:t>327</w:t>
            </w:r>
          </w:p>
        </w:tc>
        <w:tc>
          <w:tcPr>
            <w:tcW w:w="850" w:type="dxa"/>
            <w:noWrap/>
            <w:hideMark/>
          </w:tcPr>
          <w:p w14:paraId="01F46F0E" w14:textId="77777777" w:rsidR="00405305" w:rsidRPr="000072D4" w:rsidRDefault="00405305" w:rsidP="0040530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highlight w:val="yellow"/>
                <w:lang w:eastAsia="zh-CN"/>
              </w:rPr>
            </w:pPr>
            <w:r w:rsidRPr="000072D4">
              <w:rPr>
                <w:rFonts w:cs="Arial"/>
                <w:color w:val="000000"/>
                <w:sz w:val="16"/>
                <w:szCs w:val="16"/>
              </w:rPr>
              <w:t>518</w:t>
            </w:r>
          </w:p>
        </w:tc>
        <w:tc>
          <w:tcPr>
            <w:tcW w:w="851" w:type="dxa"/>
            <w:tcBorders>
              <w:right w:val="dotted" w:sz="4" w:space="0" w:color="auto"/>
            </w:tcBorders>
            <w:noWrap/>
            <w:hideMark/>
          </w:tcPr>
          <w:p w14:paraId="19551E84" w14:textId="77777777" w:rsidR="00405305" w:rsidRPr="000072D4" w:rsidRDefault="00405305" w:rsidP="0040530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highlight w:val="yellow"/>
                <w:lang w:eastAsia="zh-CN"/>
              </w:rPr>
            </w:pPr>
            <w:r w:rsidRPr="000072D4">
              <w:rPr>
                <w:rFonts w:cs="Arial"/>
                <w:color w:val="000000"/>
                <w:sz w:val="16"/>
                <w:szCs w:val="16"/>
              </w:rPr>
              <w:t>735</w:t>
            </w:r>
          </w:p>
        </w:tc>
        <w:tc>
          <w:tcPr>
            <w:tcW w:w="850" w:type="dxa"/>
            <w:tcBorders>
              <w:top w:val="nil"/>
              <w:left w:val="dotted" w:sz="4" w:space="0" w:color="auto"/>
              <w:bottom w:val="nil"/>
              <w:right w:val="single" w:sz="4" w:space="0" w:color="auto"/>
            </w:tcBorders>
            <w:noWrap/>
            <w:hideMark/>
          </w:tcPr>
          <w:p w14:paraId="71806ACB" w14:textId="77777777" w:rsidR="00405305" w:rsidRPr="000072D4" w:rsidRDefault="00405305" w:rsidP="0040530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highlight w:val="yellow"/>
                <w:lang w:eastAsia="zh-CN"/>
              </w:rPr>
            </w:pPr>
            <w:r w:rsidRPr="000072D4">
              <w:rPr>
                <w:rFonts w:cs="Arial"/>
                <w:color w:val="000000"/>
                <w:sz w:val="16"/>
                <w:szCs w:val="16"/>
              </w:rPr>
              <w:t>1,200</w:t>
            </w:r>
          </w:p>
        </w:tc>
        <w:tc>
          <w:tcPr>
            <w:tcW w:w="1088" w:type="dxa"/>
            <w:tcBorders>
              <w:top w:val="nil"/>
              <w:left w:val="single" w:sz="4" w:space="0" w:color="auto"/>
              <w:bottom w:val="nil"/>
            </w:tcBorders>
            <w:noWrap/>
            <w:hideMark/>
          </w:tcPr>
          <w:p w14:paraId="668DF178" w14:textId="77777777" w:rsidR="00405305" w:rsidRPr="000072D4" w:rsidRDefault="00405305" w:rsidP="0040530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highlight w:val="yellow"/>
                <w:lang w:eastAsia="zh-CN"/>
              </w:rPr>
            </w:pPr>
            <w:r w:rsidRPr="000072D4">
              <w:rPr>
                <w:rFonts w:cs="Arial"/>
                <w:color w:val="000000"/>
                <w:sz w:val="16"/>
                <w:szCs w:val="16"/>
              </w:rPr>
              <w:t>1,579</w:t>
            </w:r>
          </w:p>
        </w:tc>
      </w:tr>
      <w:tr w:rsidR="0004693C" w:rsidRPr="001C1D22" w14:paraId="0DA58273" w14:textId="77777777" w:rsidTr="0060456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88" w:type="dxa"/>
            <w:shd w:val="clear" w:color="auto" w:fill="D9D9D9" w:themeFill="background1" w:themeFillShade="D9"/>
            <w:noWrap/>
            <w:hideMark/>
          </w:tcPr>
          <w:p w14:paraId="2A30F845" w14:textId="77777777" w:rsidR="00405305" w:rsidRPr="000072D4" w:rsidRDefault="00405305" w:rsidP="00405305">
            <w:pPr>
              <w:keepNext/>
              <w:spacing w:after="0" w:line="240" w:lineRule="auto"/>
              <w:ind w:left="175"/>
              <w:rPr>
                <w:rFonts w:eastAsia="Times New Roman" w:cs="Arial"/>
                <w:b/>
                <w:bCs/>
                <w:i/>
                <w:iCs/>
                <w:color w:val="000000"/>
                <w:sz w:val="16"/>
                <w:szCs w:val="16"/>
                <w:lang w:eastAsia="zh-CN"/>
              </w:rPr>
            </w:pPr>
            <w:r w:rsidRPr="000072D4">
              <w:rPr>
                <w:rFonts w:eastAsia="Times New Roman" w:cs="Arial"/>
                <w:color w:val="000000"/>
                <w:sz w:val="16"/>
                <w:szCs w:val="16"/>
                <w:lang w:eastAsia="zh-CN"/>
              </w:rPr>
              <w:t>Update for additional inflation</w:t>
            </w:r>
          </w:p>
        </w:tc>
        <w:tc>
          <w:tcPr>
            <w:tcW w:w="948" w:type="dxa"/>
            <w:shd w:val="clear" w:color="auto" w:fill="D9D9D9" w:themeFill="background1" w:themeFillShade="D9"/>
            <w:noWrap/>
            <w:hideMark/>
          </w:tcPr>
          <w:p w14:paraId="33B146CF" w14:textId="77777777" w:rsidR="00405305" w:rsidRPr="000072D4" w:rsidRDefault="00405305"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i/>
                <w:iCs/>
                <w:color w:val="000000"/>
                <w:sz w:val="16"/>
                <w:szCs w:val="16"/>
                <w:highlight w:val="yellow"/>
                <w:lang w:eastAsia="zh-CN"/>
              </w:rPr>
            </w:pPr>
            <w:r w:rsidRPr="000072D4">
              <w:rPr>
                <w:rFonts w:cs="Arial"/>
                <w:color w:val="000000"/>
                <w:sz w:val="16"/>
                <w:szCs w:val="16"/>
              </w:rPr>
              <w:t>-442</w:t>
            </w:r>
          </w:p>
        </w:tc>
        <w:tc>
          <w:tcPr>
            <w:tcW w:w="851" w:type="dxa"/>
            <w:shd w:val="clear" w:color="auto" w:fill="D9D9D9" w:themeFill="background1" w:themeFillShade="D9"/>
            <w:noWrap/>
            <w:hideMark/>
          </w:tcPr>
          <w:p w14:paraId="32F64193" w14:textId="77777777" w:rsidR="00405305" w:rsidRPr="000072D4" w:rsidRDefault="00405305"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i/>
                <w:iCs/>
                <w:color w:val="000000"/>
                <w:sz w:val="16"/>
                <w:szCs w:val="16"/>
                <w:highlight w:val="yellow"/>
                <w:lang w:eastAsia="zh-CN"/>
              </w:rPr>
            </w:pPr>
            <w:r w:rsidRPr="000072D4">
              <w:rPr>
                <w:rFonts w:cs="Arial"/>
                <w:color w:val="000000"/>
                <w:sz w:val="16"/>
                <w:szCs w:val="16"/>
              </w:rPr>
              <w:t>-458</w:t>
            </w:r>
          </w:p>
        </w:tc>
        <w:tc>
          <w:tcPr>
            <w:tcW w:w="850" w:type="dxa"/>
            <w:shd w:val="clear" w:color="auto" w:fill="D9D9D9" w:themeFill="background1" w:themeFillShade="D9"/>
            <w:noWrap/>
            <w:hideMark/>
          </w:tcPr>
          <w:p w14:paraId="2C3E7E18" w14:textId="77777777" w:rsidR="00405305" w:rsidRPr="000072D4" w:rsidRDefault="00405305"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i/>
                <w:iCs/>
                <w:color w:val="000000"/>
                <w:sz w:val="16"/>
                <w:szCs w:val="16"/>
                <w:highlight w:val="yellow"/>
                <w:lang w:eastAsia="zh-CN"/>
              </w:rPr>
            </w:pPr>
            <w:r w:rsidRPr="000072D4">
              <w:rPr>
                <w:rFonts w:cs="Arial"/>
                <w:color w:val="000000"/>
                <w:sz w:val="16"/>
                <w:szCs w:val="16"/>
              </w:rPr>
              <w:t>1,553</w:t>
            </w:r>
          </w:p>
        </w:tc>
        <w:tc>
          <w:tcPr>
            <w:tcW w:w="851" w:type="dxa"/>
            <w:tcBorders>
              <w:right w:val="dotted" w:sz="4" w:space="0" w:color="auto"/>
            </w:tcBorders>
            <w:shd w:val="clear" w:color="auto" w:fill="D9D9D9" w:themeFill="background1" w:themeFillShade="D9"/>
            <w:noWrap/>
            <w:hideMark/>
          </w:tcPr>
          <w:p w14:paraId="74782273" w14:textId="77777777" w:rsidR="00405305" w:rsidRPr="000072D4" w:rsidRDefault="00405305"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i/>
                <w:iCs/>
                <w:color w:val="000000"/>
                <w:sz w:val="16"/>
                <w:szCs w:val="16"/>
                <w:highlight w:val="yellow"/>
                <w:lang w:eastAsia="zh-CN"/>
              </w:rPr>
            </w:pPr>
            <w:r w:rsidRPr="000072D4">
              <w:rPr>
                <w:rFonts w:cs="Arial"/>
                <w:color w:val="000000"/>
                <w:sz w:val="16"/>
                <w:szCs w:val="16"/>
              </w:rPr>
              <w:t>3,988</w:t>
            </w:r>
          </w:p>
        </w:tc>
        <w:tc>
          <w:tcPr>
            <w:tcW w:w="850" w:type="dxa"/>
            <w:tcBorders>
              <w:top w:val="nil"/>
              <w:left w:val="dotted" w:sz="4" w:space="0" w:color="auto"/>
              <w:bottom w:val="nil"/>
              <w:right w:val="single" w:sz="4" w:space="0" w:color="auto"/>
            </w:tcBorders>
            <w:shd w:val="clear" w:color="auto" w:fill="D9D9D9" w:themeFill="background1" w:themeFillShade="D9"/>
            <w:noWrap/>
            <w:hideMark/>
          </w:tcPr>
          <w:p w14:paraId="3FCE9DC6" w14:textId="77777777" w:rsidR="00405305" w:rsidRPr="000072D4" w:rsidRDefault="00405305"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i/>
                <w:iCs/>
                <w:color w:val="000000"/>
                <w:sz w:val="16"/>
                <w:szCs w:val="16"/>
                <w:highlight w:val="yellow"/>
                <w:lang w:eastAsia="zh-CN"/>
              </w:rPr>
            </w:pPr>
            <w:r w:rsidRPr="000072D4">
              <w:rPr>
                <w:rFonts w:cs="Arial"/>
                <w:color w:val="000000"/>
                <w:sz w:val="16"/>
                <w:szCs w:val="16"/>
              </w:rPr>
              <w:t>16,164</w:t>
            </w:r>
          </w:p>
        </w:tc>
        <w:tc>
          <w:tcPr>
            <w:tcW w:w="1088" w:type="dxa"/>
            <w:tcBorders>
              <w:top w:val="nil"/>
              <w:left w:val="single" w:sz="4" w:space="0" w:color="auto"/>
              <w:bottom w:val="nil"/>
            </w:tcBorders>
            <w:shd w:val="clear" w:color="auto" w:fill="D9D9D9" w:themeFill="background1" w:themeFillShade="D9"/>
            <w:noWrap/>
            <w:hideMark/>
          </w:tcPr>
          <w:p w14:paraId="7487827A" w14:textId="77777777" w:rsidR="00405305" w:rsidRPr="000072D4" w:rsidRDefault="00405305" w:rsidP="004053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i/>
                <w:iCs/>
                <w:color w:val="000000"/>
                <w:sz w:val="16"/>
                <w:szCs w:val="16"/>
                <w:highlight w:val="yellow"/>
                <w:lang w:eastAsia="zh-CN"/>
              </w:rPr>
            </w:pPr>
            <w:r w:rsidRPr="000072D4">
              <w:rPr>
                <w:rFonts w:cs="Arial"/>
                <w:color w:val="000000"/>
                <w:sz w:val="16"/>
                <w:szCs w:val="16"/>
              </w:rPr>
              <w:t>4,642</w:t>
            </w:r>
          </w:p>
        </w:tc>
      </w:tr>
      <w:tr w:rsidR="0004693C" w:rsidRPr="001C1D22" w14:paraId="2FE1C8A3" w14:textId="77777777" w:rsidTr="0060456C">
        <w:trPr>
          <w:trHeight w:val="301"/>
        </w:trPr>
        <w:tc>
          <w:tcPr>
            <w:cnfStyle w:val="001000000000" w:firstRow="0" w:lastRow="0" w:firstColumn="1" w:lastColumn="0" w:oddVBand="0" w:evenVBand="0" w:oddHBand="0" w:evenHBand="0" w:firstRowFirstColumn="0" w:firstRowLastColumn="0" w:lastRowFirstColumn="0" w:lastRowLastColumn="0"/>
            <w:tcW w:w="3588" w:type="dxa"/>
            <w:tcBorders>
              <w:top w:val="single" w:sz="4" w:space="0" w:color="auto"/>
              <w:bottom w:val="single" w:sz="4" w:space="0" w:color="auto"/>
            </w:tcBorders>
            <w:shd w:val="clear" w:color="auto" w:fill="D4C5D7"/>
            <w:noWrap/>
            <w:hideMark/>
          </w:tcPr>
          <w:p w14:paraId="218A40A2" w14:textId="77777777" w:rsidR="00892048" w:rsidRPr="000072D4" w:rsidRDefault="00892048" w:rsidP="008E21F6">
            <w:pPr>
              <w:keepNext/>
              <w:spacing w:after="0" w:line="240" w:lineRule="auto"/>
              <w:rPr>
                <w:rFonts w:eastAsia="Times New Roman" w:cs="Arial"/>
                <w:b/>
                <w:bCs/>
                <w:i/>
                <w:iCs/>
                <w:color w:val="000000"/>
                <w:sz w:val="16"/>
                <w:szCs w:val="16"/>
                <w:lang w:eastAsia="zh-CN"/>
              </w:rPr>
            </w:pPr>
            <w:r w:rsidRPr="000072D4">
              <w:rPr>
                <w:rFonts w:eastAsia="Times New Roman" w:cs="Arial"/>
                <w:b/>
                <w:bCs/>
                <w:i/>
                <w:iCs/>
                <w:color w:val="000000"/>
                <w:sz w:val="16"/>
                <w:szCs w:val="16"/>
                <w:lang w:eastAsia="zh-CN"/>
              </w:rPr>
              <w:t>Total Updates for all changes</w:t>
            </w:r>
          </w:p>
        </w:tc>
        <w:tc>
          <w:tcPr>
            <w:tcW w:w="948" w:type="dxa"/>
            <w:tcBorders>
              <w:top w:val="single" w:sz="4" w:space="0" w:color="auto"/>
              <w:bottom w:val="single" w:sz="4" w:space="0" w:color="auto"/>
            </w:tcBorders>
            <w:shd w:val="clear" w:color="auto" w:fill="D4C5D7"/>
            <w:noWrap/>
            <w:hideMark/>
          </w:tcPr>
          <w:p w14:paraId="4FDE4BEF" w14:textId="77777777" w:rsidR="00892048" w:rsidRPr="000072D4" w:rsidRDefault="00892048" w:rsidP="008E21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6"/>
                <w:szCs w:val="16"/>
                <w:lang w:eastAsia="zh-CN"/>
              </w:rPr>
            </w:pPr>
            <w:r w:rsidRPr="000072D4">
              <w:rPr>
                <w:rFonts w:eastAsia="Times New Roman" w:cs="Arial"/>
                <w:b/>
                <w:bCs/>
                <w:i/>
                <w:iCs/>
                <w:color w:val="000000"/>
                <w:sz w:val="16"/>
                <w:szCs w:val="16"/>
                <w:lang w:eastAsia="zh-CN"/>
              </w:rPr>
              <w:t>90</w:t>
            </w:r>
          </w:p>
        </w:tc>
        <w:tc>
          <w:tcPr>
            <w:tcW w:w="851" w:type="dxa"/>
            <w:tcBorders>
              <w:top w:val="single" w:sz="4" w:space="0" w:color="auto"/>
              <w:bottom w:val="single" w:sz="4" w:space="0" w:color="auto"/>
            </w:tcBorders>
            <w:shd w:val="clear" w:color="auto" w:fill="D4C5D7"/>
            <w:noWrap/>
            <w:hideMark/>
          </w:tcPr>
          <w:p w14:paraId="1E13FBCC" w14:textId="77777777" w:rsidR="00892048" w:rsidRPr="000072D4" w:rsidRDefault="00892048" w:rsidP="008E21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6"/>
                <w:szCs w:val="16"/>
                <w:lang w:eastAsia="zh-CN"/>
              </w:rPr>
            </w:pPr>
            <w:r w:rsidRPr="000072D4">
              <w:rPr>
                <w:rFonts w:eastAsia="Times New Roman" w:cs="Arial"/>
                <w:b/>
                <w:bCs/>
                <w:i/>
                <w:iCs/>
                <w:color w:val="000000"/>
                <w:sz w:val="16"/>
                <w:szCs w:val="16"/>
                <w:lang w:eastAsia="zh-CN"/>
              </w:rPr>
              <w:t>160</w:t>
            </w:r>
          </w:p>
        </w:tc>
        <w:tc>
          <w:tcPr>
            <w:tcW w:w="850" w:type="dxa"/>
            <w:tcBorders>
              <w:top w:val="single" w:sz="4" w:space="0" w:color="auto"/>
              <w:bottom w:val="single" w:sz="4" w:space="0" w:color="auto"/>
            </w:tcBorders>
            <w:shd w:val="clear" w:color="auto" w:fill="D4C5D7"/>
            <w:noWrap/>
            <w:hideMark/>
          </w:tcPr>
          <w:p w14:paraId="7FAF9121" w14:textId="77777777" w:rsidR="00892048" w:rsidRPr="000072D4" w:rsidRDefault="00892048" w:rsidP="008E21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6"/>
                <w:szCs w:val="16"/>
                <w:lang w:eastAsia="zh-CN"/>
              </w:rPr>
            </w:pPr>
            <w:r w:rsidRPr="000072D4">
              <w:rPr>
                <w:rFonts w:eastAsia="Times New Roman" w:cs="Arial"/>
                <w:b/>
                <w:bCs/>
                <w:i/>
                <w:iCs/>
                <w:color w:val="000000"/>
                <w:sz w:val="16"/>
                <w:szCs w:val="16"/>
                <w:lang w:eastAsia="zh-CN"/>
              </w:rPr>
              <w:t>2,743</w:t>
            </w:r>
          </w:p>
        </w:tc>
        <w:tc>
          <w:tcPr>
            <w:tcW w:w="851" w:type="dxa"/>
            <w:tcBorders>
              <w:top w:val="single" w:sz="4" w:space="0" w:color="auto"/>
              <w:bottom w:val="single" w:sz="4" w:space="0" w:color="auto"/>
              <w:right w:val="dotted" w:sz="4" w:space="0" w:color="auto"/>
            </w:tcBorders>
            <w:shd w:val="clear" w:color="auto" w:fill="D4C5D7"/>
            <w:noWrap/>
            <w:hideMark/>
          </w:tcPr>
          <w:p w14:paraId="0D5F9EE5" w14:textId="77777777" w:rsidR="00892048" w:rsidRPr="000072D4" w:rsidRDefault="00892048" w:rsidP="008E21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6"/>
                <w:szCs w:val="16"/>
                <w:lang w:eastAsia="zh-CN"/>
              </w:rPr>
            </w:pPr>
            <w:r w:rsidRPr="000072D4">
              <w:rPr>
                <w:rFonts w:eastAsia="Times New Roman" w:cs="Arial"/>
                <w:b/>
                <w:bCs/>
                <w:i/>
                <w:iCs/>
                <w:color w:val="000000"/>
                <w:sz w:val="16"/>
                <w:szCs w:val="16"/>
                <w:lang w:eastAsia="zh-CN"/>
              </w:rPr>
              <w:t>5,793</w:t>
            </w:r>
          </w:p>
        </w:tc>
        <w:tc>
          <w:tcPr>
            <w:tcW w:w="850" w:type="dxa"/>
            <w:tcBorders>
              <w:top w:val="single" w:sz="4" w:space="0" w:color="auto"/>
              <w:left w:val="dotted" w:sz="4" w:space="0" w:color="auto"/>
              <w:bottom w:val="single" w:sz="4" w:space="0" w:color="auto"/>
              <w:right w:val="single" w:sz="4" w:space="0" w:color="auto"/>
            </w:tcBorders>
            <w:shd w:val="clear" w:color="auto" w:fill="D4C5D7"/>
            <w:noWrap/>
            <w:hideMark/>
          </w:tcPr>
          <w:p w14:paraId="285F6D11" w14:textId="77777777" w:rsidR="00892048" w:rsidRPr="000072D4" w:rsidRDefault="00892048" w:rsidP="008E21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6"/>
                <w:szCs w:val="16"/>
                <w:lang w:eastAsia="zh-CN"/>
              </w:rPr>
            </w:pPr>
            <w:r w:rsidRPr="000072D4">
              <w:rPr>
                <w:rFonts w:eastAsia="Times New Roman" w:cs="Arial"/>
                <w:b/>
                <w:bCs/>
                <w:i/>
                <w:iCs/>
                <w:color w:val="000000"/>
                <w:sz w:val="16"/>
                <w:szCs w:val="16"/>
                <w:lang w:eastAsia="zh-CN"/>
              </w:rPr>
              <w:t>21,354</w:t>
            </w:r>
          </w:p>
        </w:tc>
        <w:tc>
          <w:tcPr>
            <w:tcW w:w="1088" w:type="dxa"/>
            <w:tcBorders>
              <w:top w:val="single" w:sz="4" w:space="0" w:color="auto"/>
              <w:left w:val="single" w:sz="4" w:space="0" w:color="auto"/>
              <w:bottom w:val="single" w:sz="4" w:space="0" w:color="auto"/>
            </w:tcBorders>
            <w:shd w:val="clear" w:color="auto" w:fill="D4C5D7"/>
            <w:noWrap/>
            <w:hideMark/>
          </w:tcPr>
          <w:p w14:paraId="6FE7EFA7" w14:textId="77777777" w:rsidR="00892048" w:rsidRPr="000072D4" w:rsidRDefault="00892048" w:rsidP="008E21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6"/>
                <w:szCs w:val="16"/>
                <w:lang w:eastAsia="zh-CN"/>
              </w:rPr>
            </w:pPr>
            <w:r w:rsidRPr="000072D4">
              <w:rPr>
                <w:rFonts w:eastAsia="Times New Roman" w:cs="Arial"/>
                <w:b/>
                <w:bCs/>
                <w:i/>
                <w:iCs/>
                <w:color w:val="000000"/>
                <w:sz w:val="16"/>
                <w:szCs w:val="16"/>
                <w:lang w:eastAsia="zh-CN"/>
              </w:rPr>
              <w:t>8,786</w:t>
            </w:r>
          </w:p>
        </w:tc>
      </w:tr>
    </w:tbl>
    <w:p w14:paraId="03DAEF82" w14:textId="77777777" w:rsidR="00892048" w:rsidRDefault="00892048" w:rsidP="00892048">
      <w:pPr>
        <w:pStyle w:val="FSRlist"/>
        <w:numPr>
          <w:ilvl w:val="0"/>
          <w:numId w:val="0"/>
        </w:numPr>
        <w:ind w:left="360"/>
        <w:rPr>
          <w:rFonts w:eastAsia="Times New Roman" w:cs="Arial"/>
          <w:szCs w:val="22"/>
          <w:lang w:eastAsia="en-AU"/>
        </w:rPr>
      </w:pPr>
    </w:p>
    <w:p w14:paraId="0122FCFC" w14:textId="77777777" w:rsidR="00892048" w:rsidRPr="008E4147" w:rsidRDefault="00892048" w:rsidP="00804DF8">
      <w:pPr>
        <w:pStyle w:val="FSRlist"/>
        <w:numPr>
          <w:ilvl w:val="0"/>
          <w:numId w:val="0"/>
        </w:numPr>
        <w:rPr>
          <w:rStyle w:val="FSRlistChar"/>
        </w:rPr>
      </w:pPr>
      <w:r w:rsidRPr="002F4765">
        <w:t>Past experience and the Annual Pricing Review have resulted in a projection</w:t>
      </w:r>
      <w:r w:rsidRPr="00804DF8">
        <w:t xml:space="preserve"> which is</w:t>
      </w:r>
      <w:r w:rsidRPr="008E4147">
        <w:rPr>
          <w:rStyle w:val="FSRlistChar"/>
        </w:rPr>
        <w:t xml:space="preserve"> essentially unchanged (a $0.</w:t>
      </w:r>
      <w:r w:rsidR="008D1F3D">
        <w:rPr>
          <w:rStyle w:val="FSRlistChar"/>
        </w:rPr>
        <w:t>1</w:t>
      </w:r>
      <w:r w:rsidRPr="008E4147">
        <w:rPr>
          <w:rStyle w:val="FSRlistChar"/>
        </w:rPr>
        <w:t>bn reduction) for the four years (2022-26), comprising:  </w:t>
      </w:r>
    </w:p>
    <w:p w14:paraId="36501036" w14:textId="77777777" w:rsidR="00892048" w:rsidRPr="00CF5443" w:rsidRDefault="00892048" w:rsidP="00892048">
      <w:pPr>
        <w:pStyle w:val="FSRlist"/>
        <w:numPr>
          <w:ilvl w:val="1"/>
          <w:numId w:val="36"/>
        </w:numPr>
        <w:rPr>
          <w:rFonts w:ascii="Calibri" w:eastAsia="Times New Roman" w:hAnsi="Calibri" w:cs="Calibri"/>
          <w:szCs w:val="22"/>
          <w:lang w:eastAsia="en-AU"/>
        </w:rPr>
      </w:pPr>
      <w:r w:rsidRPr="002A5897">
        <w:rPr>
          <w:rFonts w:eastAsia="Times New Roman" w:cs="Arial"/>
          <w:szCs w:val="22"/>
          <w:lang w:eastAsia="en-AU"/>
        </w:rPr>
        <w:lastRenderedPageBreak/>
        <w:t xml:space="preserve">a </w:t>
      </w:r>
      <w:r w:rsidRPr="002A5897">
        <w:rPr>
          <w:rFonts w:eastAsia="Times New Roman" w:cs="Arial"/>
          <w:b/>
          <w:bCs/>
          <w:szCs w:val="22"/>
          <w:lang w:eastAsia="en-AU"/>
        </w:rPr>
        <w:t>$3.9</w:t>
      </w:r>
      <w:r>
        <w:rPr>
          <w:rFonts w:eastAsia="Times New Roman" w:cs="Arial"/>
          <w:b/>
          <w:bCs/>
          <w:szCs w:val="22"/>
          <w:lang w:eastAsia="en-AU"/>
        </w:rPr>
        <w:t xml:space="preserve"> </w:t>
      </w:r>
      <w:r w:rsidRPr="002A5897">
        <w:rPr>
          <w:rFonts w:eastAsia="Times New Roman" w:cs="Arial"/>
          <w:b/>
          <w:bCs/>
          <w:szCs w:val="22"/>
          <w:lang w:eastAsia="en-AU"/>
        </w:rPr>
        <w:t>b</w:t>
      </w:r>
      <w:r>
        <w:rPr>
          <w:rFonts w:eastAsia="Times New Roman" w:cs="Arial"/>
          <w:b/>
          <w:bCs/>
          <w:szCs w:val="22"/>
          <w:lang w:eastAsia="en-AU"/>
        </w:rPr>
        <w:t>illio</w:t>
      </w:r>
      <w:r w:rsidRPr="002A5897">
        <w:rPr>
          <w:rFonts w:eastAsia="Times New Roman" w:cs="Arial"/>
          <w:b/>
          <w:bCs/>
          <w:szCs w:val="22"/>
          <w:lang w:eastAsia="en-AU"/>
        </w:rPr>
        <w:t>n increase</w:t>
      </w:r>
      <w:r w:rsidRPr="002A5897">
        <w:rPr>
          <w:rFonts w:eastAsia="Times New Roman" w:cs="Arial"/>
          <w:szCs w:val="22"/>
          <w:lang w:eastAsia="en-AU"/>
        </w:rPr>
        <w:t xml:space="preserve"> due to higher than expected number</w:t>
      </w:r>
      <w:r>
        <w:rPr>
          <w:rFonts w:eastAsia="Times New Roman" w:cs="Arial"/>
          <w:szCs w:val="22"/>
          <w:lang w:eastAsia="en-AU"/>
        </w:rPr>
        <w:t>s</w:t>
      </w:r>
      <w:r w:rsidRPr="002A5897">
        <w:rPr>
          <w:rFonts w:eastAsia="Times New Roman" w:cs="Arial"/>
          <w:szCs w:val="22"/>
          <w:lang w:eastAsia="en-AU"/>
        </w:rPr>
        <w:t xml:space="preserve"> of participants and a different mix of participants compared with expected. Participant projections are shown in Section </w:t>
      </w:r>
      <w:r>
        <w:rPr>
          <w:rFonts w:eastAsia="Times New Roman" w:cs="Arial"/>
          <w:szCs w:val="22"/>
          <w:lang w:eastAsia="en-AU"/>
        </w:rPr>
        <w:t>5.4</w:t>
      </w:r>
      <w:r w:rsidR="006115C5">
        <w:rPr>
          <w:rFonts w:eastAsia="Times New Roman" w:cs="Arial"/>
          <w:szCs w:val="22"/>
          <w:lang w:eastAsia="en-AU"/>
        </w:rPr>
        <w:t>;</w:t>
      </w:r>
      <w:r w:rsidRPr="00CF5443">
        <w:rPr>
          <w:rFonts w:eastAsia="Times New Roman" w:cs="Arial"/>
          <w:szCs w:val="22"/>
          <w:lang w:eastAsia="en-AU"/>
        </w:rPr>
        <w:t> </w:t>
      </w:r>
    </w:p>
    <w:p w14:paraId="388AB818" w14:textId="77777777" w:rsidR="00892048" w:rsidRPr="00CF5443" w:rsidRDefault="00892048" w:rsidP="00892048">
      <w:pPr>
        <w:pStyle w:val="FSRlist"/>
        <w:numPr>
          <w:ilvl w:val="1"/>
          <w:numId w:val="36"/>
        </w:numPr>
        <w:rPr>
          <w:rFonts w:ascii="Calibri" w:eastAsia="Times New Roman" w:hAnsi="Calibri" w:cs="Calibri"/>
          <w:szCs w:val="22"/>
          <w:lang w:eastAsia="en-AU"/>
        </w:rPr>
      </w:pPr>
      <w:r w:rsidRPr="002A5897">
        <w:rPr>
          <w:rFonts w:eastAsia="Times New Roman" w:cs="Arial"/>
          <w:szCs w:val="22"/>
          <w:lang w:eastAsia="en-AU"/>
        </w:rPr>
        <w:t>a</w:t>
      </w:r>
      <w:r>
        <w:rPr>
          <w:rFonts w:eastAsia="Times New Roman" w:cs="Arial"/>
          <w:szCs w:val="22"/>
          <w:lang w:eastAsia="en-AU"/>
        </w:rPr>
        <w:t>n</w:t>
      </w:r>
      <w:r w:rsidRPr="002A5897">
        <w:rPr>
          <w:rFonts w:eastAsia="Times New Roman" w:cs="Arial"/>
          <w:szCs w:val="22"/>
          <w:lang w:eastAsia="en-AU"/>
        </w:rPr>
        <w:t xml:space="preserve"> </w:t>
      </w:r>
      <w:r>
        <w:rPr>
          <w:rFonts w:eastAsia="Times New Roman" w:cs="Arial"/>
          <w:b/>
          <w:bCs/>
          <w:szCs w:val="22"/>
          <w:lang w:eastAsia="en-AU"/>
        </w:rPr>
        <w:t xml:space="preserve">$8.0 </w:t>
      </w:r>
      <w:r w:rsidRPr="002A5897">
        <w:rPr>
          <w:rFonts w:eastAsia="Times New Roman" w:cs="Arial"/>
          <w:b/>
          <w:bCs/>
          <w:szCs w:val="22"/>
          <w:lang w:eastAsia="en-AU"/>
        </w:rPr>
        <w:t>b</w:t>
      </w:r>
      <w:r>
        <w:rPr>
          <w:rFonts w:eastAsia="Times New Roman" w:cs="Arial"/>
          <w:b/>
          <w:bCs/>
          <w:szCs w:val="22"/>
          <w:lang w:eastAsia="en-AU"/>
        </w:rPr>
        <w:t>illio</w:t>
      </w:r>
      <w:r w:rsidRPr="002A5897">
        <w:rPr>
          <w:rFonts w:eastAsia="Times New Roman" w:cs="Arial"/>
          <w:b/>
          <w:bCs/>
          <w:szCs w:val="22"/>
          <w:lang w:eastAsia="en-AU"/>
        </w:rPr>
        <w:t>n reduction</w:t>
      </w:r>
      <w:r w:rsidRPr="002A5897">
        <w:rPr>
          <w:rFonts w:eastAsia="Times New Roman" w:cs="Arial"/>
          <w:szCs w:val="22"/>
          <w:lang w:eastAsia="en-AU"/>
        </w:rPr>
        <w:t xml:space="preserve"> due to lower than expected average </w:t>
      </w:r>
      <w:r>
        <w:rPr>
          <w:rFonts w:eastAsia="Times New Roman" w:cs="Arial"/>
          <w:szCs w:val="22"/>
          <w:lang w:eastAsia="en-AU"/>
        </w:rPr>
        <w:t>payment</w:t>
      </w:r>
      <w:r w:rsidRPr="002A5897">
        <w:rPr>
          <w:rFonts w:eastAsia="Times New Roman" w:cs="Arial"/>
          <w:szCs w:val="22"/>
          <w:lang w:eastAsia="en-AU"/>
        </w:rPr>
        <w:t>s</w:t>
      </w:r>
      <w:r>
        <w:rPr>
          <w:rFonts w:eastAsia="Times New Roman" w:cs="Arial"/>
          <w:szCs w:val="22"/>
          <w:lang w:eastAsia="en-AU"/>
        </w:rPr>
        <w:t xml:space="preserve"> per participant</w:t>
      </w:r>
      <w:r w:rsidRPr="002A5897">
        <w:rPr>
          <w:rFonts w:eastAsia="Times New Roman" w:cs="Arial"/>
          <w:szCs w:val="22"/>
          <w:lang w:eastAsia="en-AU"/>
        </w:rPr>
        <w:t xml:space="preserve"> in 2021-22, and hence a lower starting point </w:t>
      </w:r>
      <w:r>
        <w:rPr>
          <w:rFonts w:eastAsia="Times New Roman" w:cs="Arial"/>
          <w:szCs w:val="22"/>
          <w:lang w:eastAsia="en-AU"/>
        </w:rPr>
        <w:t xml:space="preserve">for </w:t>
      </w:r>
      <w:r w:rsidRPr="002A5897">
        <w:rPr>
          <w:rFonts w:eastAsia="Times New Roman" w:cs="Arial"/>
          <w:szCs w:val="22"/>
          <w:lang w:eastAsia="en-AU"/>
        </w:rPr>
        <w:t xml:space="preserve">the projection. This is driven by several factors including prolonged lockdowns due to COVID-19 pandemic and workforce shortages materialising in the second half of </w:t>
      </w:r>
      <w:r w:rsidR="00E127BA">
        <w:rPr>
          <w:rFonts w:eastAsia="Times New Roman" w:cs="Arial"/>
          <w:szCs w:val="22"/>
          <w:lang w:eastAsia="en-AU"/>
        </w:rPr>
        <w:t>2021-</w:t>
      </w:r>
      <w:r w:rsidRPr="002A5897">
        <w:rPr>
          <w:rFonts w:eastAsia="Times New Roman" w:cs="Arial"/>
          <w:szCs w:val="22"/>
          <w:lang w:eastAsia="en-AU"/>
        </w:rPr>
        <w:t>22, impacting availability of support workers</w:t>
      </w:r>
      <w:r w:rsidR="006115C5">
        <w:rPr>
          <w:rFonts w:eastAsia="Times New Roman" w:cs="Arial"/>
          <w:szCs w:val="22"/>
          <w:lang w:eastAsia="en-AU"/>
        </w:rPr>
        <w:t>; and</w:t>
      </w:r>
      <w:r w:rsidRPr="002A5897">
        <w:rPr>
          <w:rFonts w:eastAsia="Times New Roman" w:cs="Arial"/>
          <w:szCs w:val="22"/>
          <w:lang w:eastAsia="en-AU"/>
        </w:rPr>
        <w:t> </w:t>
      </w:r>
      <w:r w:rsidRPr="00CF5443">
        <w:rPr>
          <w:rFonts w:eastAsia="Times New Roman" w:cs="Arial"/>
          <w:szCs w:val="22"/>
          <w:lang w:eastAsia="en-AU"/>
        </w:rPr>
        <w:t> </w:t>
      </w:r>
    </w:p>
    <w:p w14:paraId="3CC532CE" w14:textId="77777777" w:rsidR="00892048" w:rsidRPr="00CF5443" w:rsidRDefault="00892048" w:rsidP="00892048">
      <w:pPr>
        <w:pStyle w:val="FSRlist"/>
        <w:numPr>
          <w:ilvl w:val="1"/>
          <w:numId w:val="36"/>
        </w:numPr>
        <w:rPr>
          <w:rFonts w:ascii="Calibri" w:eastAsia="Times New Roman" w:hAnsi="Calibri" w:cs="Calibri"/>
          <w:szCs w:val="22"/>
          <w:lang w:eastAsia="en-AU"/>
        </w:rPr>
      </w:pPr>
      <w:r w:rsidRPr="002A5897">
        <w:rPr>
          <w:rFonts w:eastAsia="Times New Roman" w:cs="Arial"/>
          <w:szCs w:val="22"/>
          <w:lang w:eastAsia="en-AU"/>
        </w:rPr>
        <w:t>a</w:t>
      </w:r>
      <w:r w:rsidRPr="002A5897">
        <w:rPr>
          <w:rFonts w:eastAsia="Times New Roman" w:cs="Arial"/>
          <w:b/>
          <w:bCs/>
          <w:szCs w:val="22"/>
          <w:lang w:eastAsia="en-AU"/>
        </w:rPr>
        <w:t xml:space="preserve"> $4.0</w:t>
      </w:r>
      <w:r>
        <w:rPr>
          <w:rFonts w:eastAsia="Times New Roman" w:cs="Arial"/>
          <w:b/>
          <w:bCs/>
          <w:szCs w:val="22"/>
          <w:lang w:eastAsia="en-AU"/>
        </w:rPr>
        <w:t xml:space="preserve"> </w:t>
      </w:r>
      <w:r w:rsidRPr="002A5897">
        <w:rPr>
          <w:rFonts w:eastAsia="Times New Roman" w:cs="Arial"/>
          <w:b/>
          <w:bCs/>
          <w:szCs w:val="22"/>
          <w:lang w:eastAsia="en-AU"/>
        </w:rPr>
        <w:t>b</w:t>
      </w:r>
      <w:r>
        <w:rPr>
          <w:rFonts w:eastAsia="Times New Roman" w:cs="Arial"/>
          <w:b/>
          <w:bCs/>
          <w:szCs w:val="22"/>
          <w:lang w:eastAsia="en-AU"/>
        </w:rPr>
        <w:t>illio</w:t>
      </w:r>
      <w:r w:rsidRPr="002A5897">
        <w:rPr>
          <w:rFonts w:eastAsia="Times New Roman" w:cs="Arial"/>
          <w:b/>
          <w:bCs/>
          <w:szCs w:val="22"/>
          <w:lang w:eastAsia="en-AU"/>
        </w:rPr>
        <w:t>n</w:t>
      </w:r>
      <w:r w:rsidRPr="002A5897">
        <w:rPr>
          <w:rFonts w:eastAsia="Times New Roman" w:cs="Arial"/>
          <w:szCs w:val="22"/>
          <w:lang w:eastAsia="en-AU"/>
        </w:rPr>
        <w:t xml:space="preserve"> </w:t>
      </w:r>
      <w:r w:rsidRPr="002A5897">
        <w:rPr>
          <w:rFonts w:eastAsia="Times New Roman" w:cs="Arial"/>
          <w:b/>
          <w:bCs/>
          <w:szCs w:val="22"/>
          <w:lang w:eastAsia="en-AU"/>
        </w:rPr>
        <w:t xml:space="preserve">increase </w:t>
      </w:r>
      <w:r w:rsidRPr="002A5897">
        <w:rPr>
          <w:rFonts w:eastAsia="Times New Roman" w:cs="Arial"/>
          <w:szCs w:val="22"/>
          <w:lang w:eastAsia="en-AU"/>
        </w:rPr>
        <w:t>due to the 202</w:t>
      </w:r>
      <w:r w:rsidR="00E127BA">
        <w:rPr>
          <w:rFonts w:eastAsia="Times New Roman" w:cs="Arial"/>
          <w:szCs w:val="22"/>
          <w:lang w:eastAsia="en-AU"/>
        </w:rPr>
        <w:t>1</w:t>
      </w:r>
      <w:r w:rsidRPr="002A5897">
        <w:rPr>
          <w:rFonts w:eastAsia="Times New Roman" w:cs="Arial"/>
          <w:szCs w:val="22"/>
          <w:lang w:eastAsia="en-AU"/>
        </w:rPr>
        <w:t>-2</w:t>
      </w:r>
      <w:r w:rsidR="00E127BA">
        <w:rPr>
          <w:rFonts w:eastAsia="Times New Roman" w:cs="Arial"/>
          <w:szCs w:val="22"/>
          <w:lang w:eastAsia="en-AU"/>
        </w:rPr>
        <w:t>2</w:t>
      </w:r>
      <w:r w:rsidRPr="002A5897">
        <w:rPr>
          <w:rFonts w:eastAsia="Times New Roman" w:cs="Arial"/>
          <w:szCs w:val="22"/>
          <w:lang w:eastAsia="en-AU"/>
        </w:rPr>
        <w:t xml:space="preserve"> Annual Pricing Review (APR). The update to prices in the APR reflects the Fair Work Commission increase to the national minimum wage for disability support workers as well as additional </w:t>
      </w:r>
      <w:r>
        <w:rPr>
          <w:rFonts w:eastAsia="Times New Roman" w:cs="Arial"/>
          <w:szCs w:val="22"/>
          <w:lang w:eastAsia="en-AU"/>
        </w:rPr>
        <w:t>inflationary</w:t>
      </w:r>
      <w:r w:rsidRPr="002A5897">
        <w:rPr>
          <w:rFonts w:eastAsia="Times New Roman" w:cs="Arial"/>
          <w:szCs w:val="22"/>
          <w:lang w:eastAsia="en-AU"/>
        </w:rPr>
        <w:t xml:space="preserve"> pressures related to attendant care in the current COVID-19 impacted environment</w:t>
      </w:r>
      <w:r w:rsidR="006115C5">
        <w:rPr>
          <w:rFonts w:eastAsia="Times New Roman" w:cs="Arial"/>
          <w:szCs w:val="22"/>
          <w:lang w:eastAsia="en-AU"/>
        </w:rPr>
        <w:t>.</w:t>
      </w:r>
      <w:r w:rsidRPr="002A5897">
        <w:rPr>
          <w:rFonts w:eastAsia="Times New Roman" w:cs="Arial"/>
          <w:szCs w:val="22"/>
          <w:lang w:eastAsia="en-AU"/>
        </w:rPr>
        <w:t> </w:t>
      </w:r>
      <w:r w:rsidRPr="00CF5443">
        <w:rPr>
          <w:rFonts w:eastAsia="Times New Roman" w:cs="Arial"/>
          <w:szCs w:val="22"/>
          <w:lang w:eastAsia="en-AU"/>
        </w:rPr>
        <w:t> </w:t>
      </w:r>
    </w:p>
    <w:p w14:paraId="743AEA9D" w14:textId="77777777" w:rsidR="00892048" w:rsidRPr="002F4765" w:rsidRDefault="00892048" w:rsidP="00804DF8">
      <w:pPr>
        <w:pStyle w:val="FSRlist"/>
        <w:numPr>
          <w:ilvl w:val="0"/>
          <w:numId w:val="0"/>
        </w:numPr>
      </w:pPr>
      <w:r w:rsidRPr="002F4765">
        <w:t>Future assumptions result in an increase of $</w:t>
      </w:r>
      <w:r>
        <w:t>8</w:t>
      </w:r>
      <w:r w:rsidRPr="002F4765">
        <w:t>.</w:t>
      </w:r>
      <w:r w:rsidR="0078031A">
        <w:t>9</w:t>
      </w:r>
      <w:r w:rsidRPr="002F4765">
        <w:t>bn for the four years (2022-26), comprising</w:t>
      </w:r>
      <w:r>
        <w:t>:</w:t>
      </w:r>
    </w:p>
    <w:p w14:paraId="13478AD0" w14:textId="77777777" w:rsidR="00892048" w:rsidRPr="00292DCD" w:rsidRDefault="00892048" w:rsidP="00892048">
      <w:pPr>
        <w:pStyle w:val="FSRlist"/>
        <w:numPr>
          <w:ilvl w:val="1"/>
          <w:numId w:val="37"/>
        </w:numPr>
        <w:rPr>
          <w:rFonts w:ascii="Calibri" w:eastAsia="Times New Roman" w:hAnsi="Calibri" w:cs="Calibri"/>
          <w:szCs w:val="22"/>
          <w:lang w:eastAsia="en-AU"/>
        </w:rPr>
      </w:pPr>
      <w:r w:rsidRPr="002A5897">
        <w:rPr>
          <w:rFonts w:eastAsia="Times New Roman" w:cs="Arial"/>
          <w:szCs w:val="22"/>
          <w:lang w:eastAsia="en-AU"/>
        </w:rPr>
        <w:t xml:space="preserve">a </w:t>
      </w:r>
      <w:r w:rsidRPr="002A5897">
        <w:rPr>
          <w:rFonts w:eastAsia="Times New Roman" w:cs="Arial"/>
          <w:b/>
          <w:bCs/>
          <w:szCs w:val="22"/>
          <w:lang w:eastAsia="en-AU"/>
        </w:rPr>
        <w:t>$2.7</w:t>
      </w:r>
      <w:r>
        <w:rPr>
          <w:rFonts w:eastAsia="Times New Roman" w:cs="Arial"/>
          <w:b/>
          <w:bCs/>
          <w:szCs w:val="22"/>
          <w:lang w:eastAsia="en-AU"/>
        </w:rPr>
        <w:t xml:space="preserve"> </w:t>
      </w:r>
      <w:r w:rsidRPr="002A5897">
        <w:rPr>
          <w:rFonts w:eastAsia="Times New Roman" w:cs="Arial"/>
          <w:b/>
          <w:bCs/>
          <w:szCs w:val="22"/>
          <w:lang w:eastAsia="en-AU"/>
        </w:rPr>
        <w:t>b</w:t>
      </w:r>
      <w:r>
        <w:rPr>
          <w:rFonts w:eastAsia="Times New Roman" w:cs="Arial"/>
          <w:b/>
          <w:bCs/>
          <w:szCs w:val="22"/>
          <w:lang w:eastAsia="en-AU"/>
        </w:rPr>
        <w:t>illio</w:t>
      </w:r>
      <w:r w:rsidRPr="002A5897">
        <w:rPr>
          <w:rFonts w:eastAsia="Times New Roman" w:cs="Arial"/>
          <w:b/>
          <w:bCs/>
          <w:szCs w:val="22"/>
          <w:lang w:eastAsia="en-AU"/>
        </w:rPr>
        <w:t>n</w:t>
      </w:r>
      <w:r w:rsidRPr="002A5897">
        <w:rPr>
          <w:rFonts w:eastAsia="Times New Roman" w:cs="Arial"/>
          <w:szCs w:val="22"/>
          <w:lang w:eastAsia="en-AU"/>
        </w:rPr>
        <w:t xml:space="preserve"> </w:t>
      </w:r>
      <w:r w:rsidRPr="002A5897">
        <w:rPr>
          <w:rFonts w:eastAsia="Times New Roman" w:cs="Arial"/>
          <w:b/>
          <w:bCs/>
          <w:szCs w:val="22"/>
          <w:lang w:eastAsia="en-AU"/>
        </w:rPr>
        <w:t>increase</w:t>
      </w:r>
      <w:r w:rsidRPr="002A5897">
        <w:rPr>
          <w:rFonts w:eastAsia="Times New Roman" w:cs="Arial"/>
          <w:szCs w:val="22"/>
          <w:lang w:eastAsia="en-AU"/>
        </w:rPr>
        <w:t xml:space="preserve"> due to higher new </w:t>
      </w:r>
      <w:r>
        <w:rPr>
          <w:rFonts w:eastAsia="Times New Roman" w:cs="Arial"/>
          <w:szCs w:val="22"/>
          <w:lang w:eastAsia="en-AU"/>
        </w:rPr>
        <w:t>entrant assumptions</w:t>
      </w:r>
      <w:r w:rsidRPr="002A5897">
        <w:rPr>
          <w:rFonts w:eastAsia="Times New Roman" w:cs="Arial"/>
          <w:szCs w:val="22"/>
          <w:lang w:eastAsia="en-AU"/>
        </w:rPr>
        <w:t xml:space="preserve"> and assumptions </w:t>
      </w:r>
      <w:r w:rsidR="005D5FBD">
        <w:rPr>
          <w:rFonts w:eastAsia="Times New Roman" w:cs="Arial"/>
          <w:szCs w:val="22"/>
          <w:lang w:eastAsia="en-AU"/>
        </w:rPr>
        <w:t xml:space="preserve">of fewer </w:t>
      </w:r>
      <w:r>
        <w:rPr>
          <w:rFonts w:eastAsia="Times New Roman" w:cs="Arial"/>
          <w:szCs w:val="22"/>
          <w:lang w:eastAsia="en-AU"/>
        </w:rPr>
        <w:t xml:space="preserve">participants leaving the Scheme </w:t>
      </w:r>
      <w:r w:rsidRPr="002A5897">
        <w:rPr>
          <w:rFonts w:eastAsia="Times New Roman" w:cs="Arial"/>
          <w:szCs w:val="22"/>
          <w:lang w:eastAsia="en-AU"/>
        </w:rPr>
        <w:t>to better reflect recent experience</w:t>
      </w:r>
      <w:r w:rsidR="006115C5">
        <w:rPr>
          <w:rFonts w:eastAsia="Times New Roman" w:cs="Arial"/>
          <w:szCs w:val="22"/>
          <w:lang w:eastAsia="en-AU"/>
        </w:rPr>
        <w:t>;</w:t>
      </w:r>
      <w:r w:rsidRPr="002A5897">
        <w:rPr>
          <w:rFonts w:eastAsia="Times New Roman" w:cs="Arial"/>
          <w:szCs w:val="22"/>
          <w:lang w:eastAsia="en-AU"/>
        </w:rPr>
        <w:t> </w:t>
      </w:r>
      <w:r w:rsidRPr="00292DCD">
        <w:rPr>
          <w:rFonts w:eastAsia="Times New Roman" w:cs="Arial"/>
          <w:szCs w:val="22"/>
          <w:lang w:eastAsia="en-AU"/>
        </w:rPr>
        <w:t> </w:t>
      </w:r>
    </w:p>
    <w:p w14:paraId="3AA5181E" w14:textId="77777777" w:rsidR="00892048" w:rsidRPr="006B6BD1" w:rsidRDefault="00892048" w:rsidP="00892048">
      <w:pPr>
        <w:pStyle w:val="FSRlist"/>
        <w:numPr>
          <w:ilvl w:val="1"/>
          <w:numId w:val="37"/>
        </w:numPr>
        <w:rPr>
          <w:rFonts w:ascii="Calibri" w:eastAsia="Times New Roman" w:hAnsi="Calibri" w:cs="Calibri"/>
          <w:szCs w:val="22"/>
          <w:lang w:eastAsia="en-AU"/>
        </w:rPr>
      </w:pPr>
      <w:r w:rsidRPr="006B6BD1">
        <w:rPr>
          <w:rFonts w:eastAsia="Times New Roman" w:cs="Arial"/>
          <w:szCs w:val="22"/>
          <w:lang w:eastAsia="en-AU"/>
        </w:rPr>
        <w:t xml:space="preserve">a </w:t>
      </w:r>
      <w:r w:rsidRPr="006B6BD1">
        <w:rPr>
          <w:rFonts w:eastAsia="Times New Roman" w:cs="Arial"/>
          <w:b/>
          <w:bCs/>
          <w:szCs w:val="22"/>
          <w:lang w:eastAsia="en-AU"/>
        </w:rPr>
        <w:t>$</w:t>
      </w:r>
      <w:r w:rsidR="006B6BD1" w:rsidRPr="006B6BD1">
        <w:rPr>
          <w:rFonts w:eastAsia="Times New Roman" w:cs="Arial"/>
          <w:b/>
          <w:bCs/>
          <w:szCs w:val="22"/>
          <w:lang w:eastAsia="en-AU"/>
        </w:rPr>
        <w:t>1</w:t>
      </w:r>
      <w:r w:rsidRPr="006B6BD1">
        <w:rPr>
          <w:rFonts w:eastAsia="Times New Roman" w:cs="Arial"/>
          <w:b/>
          <w:bCs/>
          <w:szCs w:val="22"/>
          <w:lang w:eastAsia="en-AU"/>
        </w:rPr>
        <w:t>.</w:t>
      </w:r>
      <w:r w:rsidR="006B6BD1" w:rsidRPr="006B6BD1">
        <w:rPr>
          <w:rFonts w:eastAsia="Times New Roman" w:cs="Arial"/>
          <w:b/>
          <w:bCs/>
          <w:szCs w:val="22"/>
          <w:lang w:eastAsia="en-AU"/>
        </w:rPr>
        <w:t>6</w:t>
      </w:r>
      <w:r w:rsidRPr="006B6BD1">
        <w:rPr>
          <w:rFonts w:eastAsia="Times New Roman" w:cs="Arial"/>
          <w:b/>
          <w:bCs/>
          <w:szCs w:val="22"/>
          <w:lang w:eastAsia="en-AU"/>
        </w:rPr>
        <w:t xml:space="preserve"> billion increase</w:t>
      </w:r>
      <w:r w:rsidRPr="006B6BD1">
        <w:rPr>
          <w:rFonts w:eastAsia="Times New Roman" w:cs="Arial"/>
          <w:szCs w:val="22"/>
          <w:lang w:eastAsia="en-AU"/>
        </w:rPr>
        <w:t xml:space="preserve"> due to higher expectations regarding normal inflation after 2022-23. </w:t>
      </w:r>
      <w:r w:rsidRPr="006B6BD1">
        <w:rPr>
          <w:rFonts w:cs="Arial"/>
          <w:szCs w:val="22"/>
        </w:rPr>
        <w:t>Normal inflation refers to the increases in the prices paid for supports and reflects both average increases to wage inflation and the Consumer Price Index (CPI)</w:t>
      </w:r>
      <w:r w:rsidR="006115C5">
        <w:t>; and</w:t>
      </w:r>
      <w:r w:rsidRPr="006B6BD1">
        <w:t xml:space="preserve"> </w:t>
      </w:r>
    </w:p>
    <w:p w14:paraId="6A9B0678" w14:textId="77777777" w:rsidR="00892048" w:rsidRDefault="00892048" w:rsidP="00892048">
      <w:pPr>
        <w:pStyle w:val="FSRlist"/>
        <w:numPr>
          <w:ilvl w:val="1"/>
          <w:numId w:val="37"/>
        </w:numPr>
        <w:rPr>
          <w:rFonts w:eastAsia="Times New Roman" w:cs="Arial"/>
          <w:szCs w:val="22"/>
          <w:lang w:eastAsia="en-AU"/>
        </w:rPr>
      </w:pPr>
      <w:r w:rsidRPr="006B6BD1">
        <w:rPr>
          <w:rFonts w:eastAsia="Times New Roman" w:cs="Arial"/>
          <w:szCs w:val="22"/>
          <w:lang w:eastAsia="en-AU"/>
        </w:rPr>
        <w:t xml:space="preserve">a </w:t>
      </w:r>
      <w:r w:rsidRPr="006B6BD1">
        <w:rPr>
          <w:rFonts w:eastAsia="Times New Roman" w:cs="Arial"/>
          <w:b/>
          <w:bCs/>
          <w:szCs w:val="22"/>
          <w:lang w:eastAsia="en-AU"/>
        </w:rPr>
        <w:t>$4.</w:t>
      </w:r>
      <w:r w:rsidR="006B6BD1" w:rsidRPr="006B6BD1">
        <w:rPr>
          <w:rFonts w:eastAsia="Times New Roman" w:cs="Arial"/>
          <w:b/>
          <w:bCs/>
          <w:szCs w:val="22"/>
          <w:lang w:eastAsia="en-AU"/>
        </w:rPr>
        <w:t>6</w:t>
      </w:r>
      <w:r w:rsidRPr="006B6BD1">
        <w:rPr>
          <w:rFonts w:eastAsia="Times New Roman" w:cs="Arial"/>
          <w:b/>
          <w:bCs/>
          <w:szCs w:val="22"/>
          <w:lang w:eastAsia="en-AU"/>
        </w:rPr>
        <w:t xml:space="preserve"> billion</w:t>
      </w:r>
      <w:r w:rsidRPr="000D6130">
        <w:rPr>
          <w:rFonts w:eastAsia="Times New Roman" w:cs="Arial"/>
          <w:szCs w:val="22"/>
          <w:lang w:eastAsia="en-AU"/>
        </w:rPr>
        <w:t xml:space="preserve"> </w:t>
      </w:r>
      <w:r w:rsidRPr="002F4765">
        <w:rPr>
          <w:rFonts w:eastAsia="Times New Roman" w:cs="Arial"/>
          <w:b/>
          <w:szCs w:val="22"/>
          <w:lang w:eastAsia="en-AU"/>
        </w:rPr>
        <w:t>increase</w:t>
      </w:r>
      <w:r w:rsidRPr="000D6130">
        <w:rPr>
          <w:rFonts w:eastAsia="Times New Roman" w:cs="Arial"/>
          <w:szCs w:val="22"/>
          <w:lang w:eastAsia="en-AU"/>
        </w:rPr>
        <w:t xml:space="preserve"> due to changes in </w:t>
      </w:r>
      <w:r>
        <w:rPr>
          <w:rFonts w:eastAsia="Times New Roman" w:cs="Arial"/>
          <w:szCs w:val="22"/>
          <w:lang w:eastAsia="en-AU"/>
        </w:rPr>
        <w:t>additional</w:t>
      </w:r>
      <w:r w:rsidRPr="000D6130">
        <w:rPr>
          <w:rFonts w:eastAsia="Times New Roman" w:cs="Arial"/>
          <w:szCs w:val="22"/>
          <w:lang w:eastAsia="en-AU"/>
        </w:rPr>
        <w:t xml:space="preserve"> inflation assumptions. </w:t>
      </w:r>
      <w:r>
        <w:rPr>
          <w:rFonts w:eastAsia="Times New Roman" w:cs="Arial"/>
          <w:szCs w:val="22"/>
          <w:lang w:eastAsia="en-AU"/>
        </w:rPr>
        <w:t xml:space="preserve">Additional inflation (in addition to normal inflation) may arise from a variety of sources including future </w:t>
      </w:r>
      <w:r w:rsidRPr="001C0000">
        <w:t>price increases in excess of normal inflation, increased volumes of service being utilised by participants, reductions in levels of informal s</w:t>
      </w:r>
      <w:r>
        <w:t>upport received by participants</w:t>
      </w:r>
      <w:r w:rsidRPr="001C0000">
        <w:t xml:space="preserve"> and increases in </w:t>
      </w:r>
      <w:r>
        <w:t xml:space="preserve">the </w:t>
      </w:r>
      <w:r w:rsidRPr="001C0000">
        <w:t>scope of supports provided by the Scheme</w:t>
      </w:r>
      <w:r w:rsidR="001B58E3">
        <w:t>.</w:t>
      </w:r>
      <w:r>
        <w:rPr>
          <w:rStyle w:val="FootnoteReference"/>
        </w:rPr>
        <w:footnoteReference w:id="8"/>
      </w:r>
    </w:p>
    <w:p w14:paraId="5854260C" w14:textId="77777777" w:rsidR="008E21F6" w:rsidRDefault="008E21F6">
      <w:pPr>
        <w:spacing w:after="160" w:line="259" w:lineRule="auto"/>
        <w:rPr>
          <w:b/>
          <w:color w:val="6B2976"/>
          <w:sz w:val="25"/>
        </w:rPr>
      </w:pPr>
      <w:r>
        <w:br w:type="page"/>
      </w:r>
    </w:p>
    <w:p w14:paraId="2F448F40" w14:textId="77777777" w:rsidR="00892048" w:rsidRPr="001E357C" w:rsidRDefault="00892048" w:rsidP="00D72D94">
      <w:pPr>
        <w:pStyle w:val="FSRHeading4"/>
      </w:pPr>
      <w:r>
        <w:lastRenderedPageBreak/>
        <w:t>Information and data used for analysis</w:t>
      </w:r>
    </w:p>
    <w:p w14:paraId="74384B82" w14:textId="77777777" w:rsidR="00892048" w:rsidRPr="001E357C" w:rsidRDefault="00892048" w:rsidP="00D72D94">
      <w:pPr>
        <w:pStyle w:val="FSRnormal"/>
        <w:spacing w:after="120"/>
      </w:pPr>
      <w:r>
        <w:t xml:space="preserve">The actuarial analysis underpinning this report relies upon the Agency’s case management system, finance system and data warehouse, as well as external sources (such as various industry benchmarks and population surveys). </w:t>
      </w:r>
      <w:r w:rsidRPr="4AEA818C">
        <w:t>The analysis in this report is based on data at 30 June 2022, unless stated otherwise. The sources of data are summarised in</w:t>
      </w:r>
      <w:r w:rsidR="006F66C6">
        <w:t xml:space="preserve"> Table 5</w:t>
      </w:r>
      <w:r w:rsidR="00996904">
        <w:t>.</w:t>
      </w:r>
    </w:p>
    <w:p w14:paraId="2EB5C273" w14:textId="77777777" w:rsidR="00892048" w:rsidRPr="001E357C" w:rsidRDefault="00892048" w:rsidP="00892048">
      <w:pPr>
        <w:pStyle w:val="Tables"/>
      </w:pPr>
      <w:r w:rsidRPr="00D400CA">
        <w:t>Table</w:t>
      </w:r>
      <w:r w:rsidR="006F66C6">
        <w:t xml:space="preserve"> </w:t>
      </w:r>
      <w:fldSimple w:instr=" SEQ Table \* ARABIC \s 2 ">
        <w:r w:rsidR="00A87896">
          <w:rPr>
            <w:noProof/>
          </w:rPr>
          <w:t>5</w:t>
        </w:r>
      </w:fldSimple>
      <w:r w:rsidRPr="00D400CA">
        <w:t>:</w:t>
      </w:r>
      <w:r>
        <w:t xml:space="preserve"> Summary of data utilised for actuarial analysis</w:t>
      </w:r>
    </w:p>
    <w:tbl>
      <w:tblPr>
        <w:tblStyle w:val="ListTable2"/>
        <w:tblW w:w="0" w:type="auto"/>
        <w:tblBorders>
          <w:top w:val="none" w:sz="0" w:space="0" w:color="auto"/>
          <w:bottom w:val="none" w:sz="0" w:space="0" w:color="auto"/>
          <w:insideH w:val="none" w:sz="0" w:space="0" w:color="auto"/>
        </w:tblBorders>
        <w:tblLook w:val="04A0" w:firstRow="1" w:lastRow="0" w:firstColumn="1" w:lastColumn="0" w:noHBand="0" w:noVBand="1"/>
      </w:tblPr>
      <w:tblGrid>
        <w:gridCol w:w="2689"/>
        <w:gridCol w:w="5825"/>
      </w:tblGrid>
      <w:tr w:rsidR="00F81CCC" w:rsidRPr="00013986" w14:paraId="477C293A" w14:textId="77777777" w:rsidTr="00D308D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689" w:type="dxa"/>
            <w:shd w:val="clear" w:color="auto" w:fill="6B2976"/>
            <w:vAlign w:val="center"/>
            <w:hideMark/>
          </w:tcPr>
          <w:p w14:paraId="0DF171F3" w14:textId="77777777" w:rsidR="00F81CCC" w:rsidRPr="00013986" w:rsidRDefault="00F81CCC" w:rsidP="00392EB7">
            <w:pPr>
              <w:spacing w:after="0"/>
              <w:rPr>
                <w:rFonts w:cs="Arial"/>
                <w:b w:val="0"/>
                <w:bCs w:val="0"/>
                <w:color w:val="FFFFFF" w:themeColor="background1"/>
                <w:sz w:val="18"/>
                <w:szCs w:val="18"/>
              </w:rPr>
            </w:pPr>
            <w:r w:rsidRPr="00013986">
              <w:rPr>
                <w:rFonts w:cs="Arial"/>
                <w:color w:val="FFFFFF" w:themeColor="background1"/>
                <w:sz w:val="18"/>
                <w:szCs w:val="18"/>
              </w:rPr>
              <w:t>Data</w:t>
            </w:r>
          </w:p>
        </w:tc>
        <w:tc>
          <w:tcPr>
            <w:tcW w:w="5825" w:type="dxa"/>
            <w:shd w:val="clear" w:color="auto" w:fill="6B2976"/>
            <w:vAlign w:val="center"/>
            <w:hideMark/>
          </w:tcPr>
          <w:p w14:paraId="02AD254A" w14:textId="77777777" w:rsidR="00F81CCC" w:rsidRPr="00013986" w:rsidRDefault="00F81CCC" w:rsidP="00392EB7">
            <w:pPr>
              <w:spacing w:after="0"/>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8"/>
                <w:szCs w:val="18"/>
              </w:rPr>
            </w:pPr>
            <w:r w:rsidRPr="00013986">
              <w:rPr>
                <w:rFonts w:cs="Arial"/>
                <w:color w:val="FFFFFF" w:themeColor="background1"/>
                <w:sz w:val="18"/>
                <w:szCs w:val="18"/>
              </w:rPr>
              <w:t>Description</w:t>
            </w:r>
          </w:p>
        </w:tc>
      </w:tr>
      <w:tr w:rsidR="00F81CCC" w:rsidRPr="00013986" w14:paraId="6F9532B0" w14:textId="77777777" w:rsidTr="00392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hideMark/>
          </w:tcPr>
          <w:p w14:paraId="01466966" w14:textId="77777777" w:rsidR="00F81CCC" w:rsidRPr="00013986" w:rsidRDefault="00F81CCC" w:rsidP="00392EB7">
            <w:pPr>
              <w:spacing w:after="0" w:line="240" w:lineRule="auto"/>
              <w:rPr>
                <w:rFonts w:cs="Arial"/>
                <w:b w:val="0"/>
                <w:bCs w:val="0"/>
                <w:sz w:val="18"/>
                <w:szCs w:val="18"/>
              </w:rPr>
            </w:pPr>
            <w:r w:rsidRPr="00013986">
              <w:rPr>
                <w:rFonts w:cs="Arial"/>
                <w:sz w:val="18"/>
                <w:szCs w:val="18"/>
              </w:rPr>
              <w:t>Access requests to the NDIS</w:t>
            </w:r>
          </w:p>
        </w:tc>
        <w:tc>
          <w:tcPr>
            <w:tcW w:w="5825" w:type="dxa"/>
            <w:vAlign w:val="center"/>
            <w:hideMark/>
          </w:tcPr>
          <w:p w14:paraId="05461193" w14:textId="77777777" w:rsidR="00F81CCC" w:rsidRPr="00013986" w:rsidRDefault="00F81CCC" w:rsidP="00392EB7">
            <w:pPr>
              <w:pStyle w:val="ListParagraph"/>
              <w:numPr>
                <w:ilvl w:val="0"/>
                <w:numId w:val="28"/>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Demographic information (age, gender, disability, geographic location, living arrangements and other participant profile information)</w:t>
            </w:r>
          </w:p>
          <w:p w14:paraId="6C1CEBA0" w14:textId="77777777" w:rsidR="00F81CCC" w:rsidRPr="00013986" w:rsidRDefault="00F81CCC" w:rsidP="00392EB7">
            <w:pPr>
              <w:pStyle w:val="ListParagraph"/>
              <w:numPr>
                <w:ilvl w:val="0"/>
                <w:numId w:val="28"/>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Contact details</w:t>
            </w:r>
          </w:p>
          <w:p w14:paraId="2C883971" w14:textId="77777777" w:rsidR="00F81CCC" w:rsidRPr="00013986" w:rsidRDefault="00F81CCC" w:rsidP="00392EB7">
            <w:pPr>
              <w:pStyle w:val="ListParagraph"/>
              <w:numPr>
                <w:ilvl w:val="0"/>
                <w:numId w:val="28"/>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Access request date</w:t>
            </w:r>
          </w:p>
          <w:p w14:paraId="01107640" w14:textId="77777777" w:rsidR="00F81CCC" w:rsidRPr="00013986" w:rsidRDefault="00F81CCC" w:rsidP="00392EB7">
            <w:pPr>
              <w:pStyle w:val="ListParagraph"/>
              <w:numPr>
                <w:ilvl w:val="0"/>
                <w:numId w:val="28"/>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Outcome of request (for example: eligible, ineligible)</w:t>
            </w:r>
          </w:p>
        </w:tc>
      </w:tr>
      <w:tr w:rsidR="00F81CCC" w:rsidRPr="00013986" w14:paraId="04CD43F0" w14:textId="77777777" w:rsidTr="00392EB7">
        <w:tc>
          <w:tcPr>
            <w:cnfStyle w:val="001000000000" w:firstRow="0" w:lastRow="0" w:firstColumn="1" w:lastColumn="0" w:oddVBand="0" w:evenVBand="0" w:oddHBand="0" w:evenHBand="0" w:firstRowFirstColumn="0" w:firstRowLastColumn="0" w:lastRowFirstColumn="0" w:lastRowLastColumn="0"/>
            <w:tcW w:w="2689" w:type="dxa"/>
            <w:vAlign w:val="center"/>
          </w:tcPr>
          <w:p w14:paraId="49C6880B" w14:textId="77777777" w:rsidR="00F81CCC" w:rsidRPr="00013986" w:rsidRDefault="00F81CCC" w:rsidP="00392EB7">
            <w:pPr>
              <w:spacing w:after="0" w:line="240" w:lineRule="auto"/>
              <w:rPr>
                <w:rFonts w:cs="Arial"/>
                <w:b w:val="0"/>
                <w:bCs w:val="0"/>
                <w:sz w:val="18"/>
                <w:szCs w:val="18"/>
              </w:rPr>
            </w:pPr>
            <w:r w:rsidRPr="00013986">
              <w:rPr>
                <w:rFonts w:cs="Arial"/>
                <w:sz w:val="18"/>
                <w:szCs w:val="18"/>
              </w:rPr>
              <w:t>Payments to service providers</w:t>
            </w:r>
          </w:p>
        </w:tc>
        <w:tc>
          <w:tcPr>
            <w:tcW w:w="5825" w:type="dxa"/>
            <w:vAlign w:val="center"/>
          </w:tcPr>
          <w:p w14:paraId="605DE7FC" w14:textId="77777777" w:rsidR="00F81CCC" w:rsidRPr="00013986" w:rsidRDefault="00F81CCC" w:rsidP="00392EB7">
            <w:pPr>
              <w:pStyle w:val="ListParagraph"/>
              <w:numPr>
                <w:ilvl w:val="0"/>
                <w:numId w:val="29"/>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Service provider submitting the claim for payment</w:t>
            </w:r>
          </w:p>
          <w:p w14:paraId="0D998E29" w14:textId="77777777" w:rsidR="00F81CCC" w:rsidRPr="00013986" w:rsidRDefault="00F81CCC" w:rsidP="00392EB7">
            <w:pPr>
              <w:pStyle w:val="ListParagraph"/>
              <w:numPr>
                <w:ilvl w:val="0"/>
                <w:numId w:val="29"/>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Participant for whom the support was provided</w:t>
            </w:r>
          </w:p>
          <w:p w14:paraId="56EF65AD" w14:textId="77777777" w:rsidR="00F81CCC" w:rsidRPr="00013986" w:rsidRDefault="00F81CCC" w:rsidP="00392EB7">
            <w:pPr>
              <w:pStyle w:val="ListParagraph"/>
              <w:numPr>
                <w:ilvl w:val="0"/>
                <w:numId w:val="29"/>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The support item and cost of support provided</w:t>
            </w:r>
          </w:p>
          <w:p w14:paraId="391C9330" w14:textId="77777777" w:rsidR="00F81CCC" w:rsidRPr="00013986" w:rsidRDefault="00F81CCC" w:rsidP="00392EB7">
            <w:pPr>
              <w:pStyle w:val="ListParagraph"/>
              <w:numPr>
                <w:ilvl w:val="0"/>
                <w:numId w:val="29"/>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Dates of when the support was provided</w:t>
            </w:r>
          </w:p>
          <w:p w14:paraId="18475D26" w14:textId="77777777" w:rsidR="00F81CCC" w:rsidRPr="00013986" w:rsidRDefault="00F81CCC" w:rsidP="00392EB7">
            <w:pPr>
              <w:pStyle w:val="ListParagraph"/>
              <w:numPr>
                <w:ilvl w:val="0"/>
                <w:numId w:val="29"/>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eastAsia="Yu Mincho" w:cs="Arial"/>
                <w:sz w:val="18"/>
                <w:szCs w:val="18"/>
              </w:rPr>
              <w:t>Method of plan management used</w:t>
            </w:r>
          </w:p>
        </w:tc>
      </w:tr>
      <w:tr w:rsidR="00F81CCC" w:rsidRPr="00013986" w14:paraId="3AC15215" w14:textId="77777777" w:rsidTr="00392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51B40C74" w14:textId="77777777" w:rsidR="00F81CCC" w:rsidRPr="00013986" w:rsidRDefault="00F81CCC" w:rsidP="00392EB7">
            <w:pPr>
              <w:spacing w:after="0" w:line="240" w:lineRule="auto"/>
              <w:rPr>
                <w:rFonts w:cs="Arial"/>
                <w:b w:val="0"/>
                <w:bCs w:val="0"/>
                <w:sz w:val="18"/>
                <w:szCs w:val="18"/>
              </w:rPr>
            </w:pPr>
            <w:r w:rsidRPr="00013986">
              <w:rPr>
                <w:rFonts w:cs="Arial"/>
                <w:sz w:val="18"/>
                <w:szCs w:val="18"/>
              </w:rPr>
              <w:t>Payments to participants</w:t>
            </w:r>
          </w:p>
        </w:tc>
        <w:tc>
          <w:tcPr>
            <w:tcW w:w="5825" w:type="dxa"/>
            <w:vAlign w:val="center"/>
          </w:tcPr>
          <w:p w14:paraId="034E95D0" w14:textId="77777777" w:rsidR="00F81CCC" w:rsidRPr="00013986" w:rsidRDefault="00F81CCC" w:rsidP="00392EB7">
            <w:pPr>
              <w:pStyle w:val="ListParagraph"/>
              <w:numPr>
                <w:ilvl w:val="0"/>
                <w:numId w:val="30"/>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Participant submitting the claim for payment</w:t>
            </w:r>
          </w:p>
          <w:p w14:paraId="78D5ED9A" w14:textId="77777777" w:rsidR="00F81CCC" w:rsidRPr="00013986" w:rsidRDefault="00F81CCC" w:rsidP="00392EB7">
            <w:pPr>
              <w:pStyle w:val="ListParagraph"/>
              <w:numPr>
                <w:ilvl w:val="0"/>
                <w:numId w:val="30"/>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The support category provided</w:t>
            </w:r>
          </w:p>
          <w:p w14:paraId="4209311F" w14:textId="77777777" w:rsidR="00F81CCC" w:rsidRPr="00013986" w:rsidRDefault="00F81CCC" w:rsidP="00392EB7">
            <w:pPr>
              <w:pStyle w:val="ListParagraph"/>
              <w:numPr>
                <w:ilvl w:val="0"/>
                <w:numId w:val="30"/>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 xml:space="preserve">Total </w:t>
            </w:r>
            <w:r w:rsidR="0078031A">
              <w:rPr>
                <w:rFonts w:cs="Arial"/>
                <w:sz w:val="18"/>
                <w:szCs w:val="18"/>
              </w:rPr>
              <w:t>amount</w:t>
            </w:r>
            <w:r w:rsidRPr="00013986">
              <w:rPr>
                <w:rFonts w:cs="Arial"/>
                <w:sz w:val="18"/>
                <w:szCs w:val="18"/>
              </w:rPr>
              <w:t xml:space="preserve"> spend on support category</w:t>
            </w:r>
          </w:p>
          <w:p w14:paraId="75AE4CB2" w14:textId="77777777" w:rsidR="00F81CCC" w:rsidRPr="00013986" w:rsidRDefault="00F81CCC" w:rsidP="00392EB7">
            <w:pPr>
              <w:pStyle w:val="ListParagraph"/>
              <w:numPr>
                <w:ilvl w:val="0"/>
                <w:numId w:val="30"/>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Period of reimbursement</w:t>
            </w:r>
          </w:p>
        </w:tc>
      </w:tr>
      <w:tr w:rsidR="00F81CCC" w:rsidRPr="00013986" w14:paraId="6B025ECF" w14:textId="77777777" w:rsidTr="00392EB7">
        <w:tc>
          <w:tcPr>
            <w:cnfStyle w:val="001000000000" w:firstRow="0" w:lastRow="0" w:firstColumn="1" w:lastColumn="0" w:oddVBand="0" w:evenVBand="0" w:oddHBand="0" w:evenHBand="0" w:firstRowFirstColumn="0" w:firstRowLastColumn="0" w:lastRowFirstColumn="0" w:lastRowLastColumn="0"/>
            <w:tcW w:w="2689" w:type="dxa"/>
            <w:vAlign w:val="center"/>
            <w:hideMark/>
          </w:tcPr>
          <w:p w14:paraId="2576CE91" w14:textId="77777777" w:rsidR="00F81CCC" w:rsidRPr="00013986" w:rsidRDefault="00F81CCC" w:rsidP="00392EB7">
            <w:pPr>
              <w:spacing w:after="0" w:line="240" w:lineRule="auto"/>
              <w:rPr>
                <w:rFonts w:cs="Arial"/>
                <w:b w:val="0"/>
                <w:bCs w:val="0"/>
                <w:sz w:val="18"/>
                <w:szCs w:val="18"/>
              </w:rPr>
            </w:pPr>
            <w:r w:rsidRPr="00013986">
              <w:rPr>
                <w:rFonts w:cs="Arial"/>
                <w:sz w:val="18"/>
                <w:szCs w:val="18"/>
              </w:rPr>
              <w:t>NDIS participant plans</w:t>
            </w:r>
          </w:p>
        </w:tc>
        <w:tc>
          <w:tcPr>
            <w:tcW w:w="5825" w:type="dxa"/>
            <w:vAlign w:val="center"/>
            <w:hideMark/>
          </w:tcPr>
          <w:p w14:paraId="59DF4978" w14:textId="77777777" w:rsidR="00F81CCC" w:rsidRPr="00013986" w:rsidRDefault="00F81CCC" w:rsidP="00392EB7">
            <w:pPr>
              <w:pStyle w:val="ListParagraph"/>
              <w:numPr>
                <w:ilvl w:val="0"/>
                <w:numId w:val="31"/>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Plan approval date</w:t>
            </w:r>
          </w:p>
          <w:p w14:paraId="661274A8" w14:textId="77777777" w:rsidR="00F81CCC" w:rsidRPr="00013986" w:rsidRDefault="00F81CCC" w:rsidP="00392EB7">
            <w:pPr>
              <w:pStyle w:val="ListParagraph"/>
              <w:numPr>
                <w:ilvl w:val="0"/>
                <w:numId w:val="31"/>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Length of plan</w:t>
            </w:r>
          </w:p>
          <w:p w14:paraId="6D1238BB" w14:textId="77777777" w:rsidR="00F81CCC" w:rsidRPr="00013986" w:rsidRDefault="00F81CCC" w:rsidP="00392EB7">
            <w:pPr>
              <w:pStyle w:val="ListParagraph"/>
              <w:numPr>
                <w:ilvl w:val="0"/>
                <w:numId w:val="31"/>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All plan budgets included in the plan</w:t>
            </w:r>
          </w:p>
          <w:p w14:paraId="6F1746C1" w14:textId="77777777" w:rsidR="00F81CCC" w:rsidRPr="00F62C61" w:rsidRDefault="00F81CCC" w:rsidP="00F70113">
            <w:pPr>
              <w:pStyle w:val="ListParagraph"/>
              <w:numPr>
                <w:ilvl w:val="0"/>
                <w:numId w:val="31"/>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Level of function</w:t>
            </w:r>
          </w:p>
        </w:tc>
      </w:tr>
      <w:tr w:rsidR="00F81CCC" w:rsidRPr="00013986" w14:paraId="34B75D1C" w14:textId="77777777" w:rsidTr="00392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54FC1F69" w14:textId="77777777" w:rsidR="00F81CCC" w:rsidRPr="00013986" w:rsidRDefault="00F81CCC" w:rsidP="00392EB7">
            <w:pPr>
              <w:spacing w:after="0" w:line="240" w:lineRule="auto"/>
              <w:rPr>
                <w:rFonts w:cs="Arial"/>
                <w:b w:val="0"/>
                <w:bCs w:val="0"/>
                <w:sz w:val="18"/>
                <w:szCs w:val="18"/>
              </w:rPr>
            </w:pPr>
            <w:r w:rsidRPr="00013986">
              <w:rPr>
                <w:rFonts w:cs="Arial"/>
                <w:sz w:val="18"/>
                <w:szCs w:val="18"/>
              </w:rPr>
              <w:t>In-kind supports data</w:t>
            </w:r>
          </w:p>
        </w:tc>
        <w:tc>
          <w:tcPr>
            <w:tcW w:w="5825" w:type="dxa"/>
            <w:vAlign w:val="center"/>
          </w:tcPr>
          <w:p w14:paraId="674DF4DB" w14:textId="77777777" w:rsidR="00F81CCC" w:rsidRPr="00013986" w:rsidRDefault="00F81CCC" w:rsidP="00392EB7">
            <w:pPr>
              <w:pStyle w:val="ListParagraph"/>
              <w:numPr>
                <w:ilvl w:val="0"/>
                <w:numId w:val="32"/>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Unit record in-kind support details from State/Territory programs including details on support type, level and duration of coverage.</w:t>
            </w:r>
          </w:p>
        </w:tc>
      </w:tr>
      <w:tr w:rsidR="00F81CCC" w:rsidRPr="00013986" w14:paraId="2868CDB3" w14:textId="77777777" w:rsidTr="00392EB7">
        <w:tc>
          <w:tcPr>
            <w:cnfStyle w:val="001000000000" w:firstRow="0" w:lastRow="0" w:firstColumn="1" w:lastColumn="0" w:oddVBand="0" w:evenVBand="0" w:oddHBand="0" w:evenHBand="0" w:firstRowFirstColumn="0" w:firstRowLastColumn="0" w:lastRowFirstColumn="0" w:lastRowLastColumn="0"/>
            <w:tcW w:w="2689" w:type="dxa"/>
            <w:vAlign w:val="center"/>
          </w:tcPr>
          <w:p w14:paraId="797BD60F" w14:textId="77777777" w:rsidR="00F81CCC" w:rsidRPr="00013986" w:rsidRDefault="00F81CCC" w:rsidP="00392EB7">
            <w:pPr>
              <w:spacing w:after="0" w:line="240" w:lineRule="auto"/>
              <w:rPr>
                <w:rFonts w:cs="Arial"/>
                <w:b w:val="0"/>
                <w:bCs w:val="0"/>
                <w:sz w:val="18"/>
                <w:szCs w:val="18"/>
              </w:rPr>
            </w:pPr>
            <w:r w:rsidRPr="00013986">
              <w:rPr>
                <w:rFonts w:cs="Arial"/>
                <w:sz w:val="18"/>
                <w:szCs w:val="18"/>
              </w:rPr>
              <w:t>Data on outcomes</w:t>
            </w:r>
          </w:p>
        </w:tc>
        <w:tc>
          <w:tcPr>
            <w:tcW w:w="5825" w:type="dxa"/>
            <w:vAlign w:val="center"/>
          </w:tcPr>
          <w:p w14:paraId="1ECFE3F4" w14:textId="77777777" w:rsidR="00F81CCC" w:rsidRPr="00013986" w:rsidRDefault="00F81CCC" w:rsidP="00392EB7">
            <w:pPr>
              <w:pStyle w:val="ListParagraph"/>
              <w:numPr>
                <w:ilvl w:val="0"/>
                <w:numId w:val="33"/>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For participants entering the Scheme from 1 July 2016, data on outcomes has been collected from 99% of all participants, with the intention to collect information from all participants.</w:t>
            </w:r>
          </w:p>
        </w:tc>
      </w:tr>
      <w:tr w:rsidR="00F81CCC" w:rsidRPr="00013986" w14:paraId="46100579" w14:textId="77777777" w:rsidTr="00392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57A81F7F" w14:textId="77777777" w:rsidR="00F81CCC" w:rsidRPr="00013986" w:rsidRDefault="00F81CCC" w:rsidP="00392EB7">
            <w:pPr>
              <w:spacing w:after="0" w:line="240" w:lineRule="auto"/>
              <w:rPr>
                <w:rFonts w:cs="Arial"/>
                <w:b w:val="0"/>
                <w:bCs w:val="0"/>
                <w:sz w:val="18"/>
                <w:szCs w:val="18"/>
              </w:rPr>
            </w:pPr>
            <w:r w:rsidRPr="00013986">
              <w:rPr>
                <w:rFonts w:cs="Arial"/>
                <w:sz w:val="18"/>
                <w:szCs w:val="18"/>
              </w:rPr>
              <w:t>Financial information</w:t>
            </w:r>
          </w:p>
        </w:tc>
        <w:tc>
          <w:tcPr>
            <w:tcW w:w="5825" w:type="dxa"/>
            <w:vAlign w:val="center"/>
          </w:tcPr>
          <w:p w14:paraId="67CD3250" w14:textId="77777777" w:rsidR="00F81CCC" w:rsidRPr="00013986" w:rsidRDefault="00F81CCC" w:rsidP="00392EB7">
            <w:pPr>
              <w:pStyle w:val="ListParagraph"/>
              <w:numPr>
                <w:ilvl w:val="0"/>
                <w:numId w:val="34"/>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Data from the SAP</w:t>
            </w:r>
            <w:r w:rsidRPr="00013986">
              <w:rPr>
                <w:rStyle w:val="FootnoteReference"/>
                <w:rFonts w:cs="Arial"/>
                <w:sz w:val="18"/>
                <w:szCs w:val="18"/>
              </w:rPr>
              <w:footnoteReference w:id="9"/>
            </w:r>
            <w:r w:rsidRPr="00013986">
              <w:rPr>
                <w:rFonts w:cs="Arial"/>
                <w:sz w:val="18"/>
                <w:szCs w:val="18"/>
              </w:rPr>
              <w:t xml:space="preserve"> CRM system were reconciled with financial information in SAP.</w:t>
            </w:r>
          </w:p>
        </w:tc>
      </w:tr>
      <w:tr w:rsidR="00F81CCC" w:rsidRPr="00013986" w14:paraId="10C5D4A2" w14:textId="77777777" w:rsidTr="00392EB7">
        <w:tc>
          <w:tcPr>
            <w:cnfStyle w:val="001000000000" w:firstRow="0" w:lastRow="0" w:firstColumn="1" w:lastColumn="0" w:oddVBand="0" w:evenVBand="0" w:oddHBand="0" w:evenHBand="0" w:firstRowFirstColumn="0" w:firstRowLastColumn="0" w:lastRowFirstColumn="0" w:lastRowLastColumn="0"/>
            <w:tcW w:w="2689" w:type="dxa"/>
            <w:vAlign w:val="center"/>
          </w:tcPr>
          <w:p w14:paraId="6FAEC7B3" w14:textId="77777777" w:rsidR="00F81CCC" w:rsidRPr="00013986" w:rsidRDefault="00F81CCC" w:rsidP="00392EB7">
            <w:pPr>
              <w:spacing w:after="0" w:line="240" w:lineRule="auto"/>
              <w:rPr>
                <w:rFonts w:cs="Arial"/>
                <w:b w:val="0"/>
                <w:bCs w:val="0"/>
                <w:sz w:val="18"/>
                <w:szCs w:val="18"/>
              </w:rPr>
            </w:pPr>
            <w:r w:rsidRPr="00013986">
              <w:rPr>
                <w:rFonts w:cs="Arial"/>
                <w:sz w:val="18"/>
                <w:szCs w:val="18"/>
              </w:rPr>
              <w:t>ABS Survey of Disability, Ageing and Carers</w:t>
            </w:r>
          </w:p>
        </w:tc>
        <w:tc>
          <w:tcPr>
            <w:tcW w:w="5825" w:type="dxa"/>
            <w:vAlign w:val="center"/>
          </w:tcPr>
          <w:p w14:paraId="1F300894" w14:textId="77777777" w:rsidR="00F81CCC" w:rsidRPr="00013986" w:rsidRDefault="00F81CCC" w:rsidP="00392EB7">
            <w:pPr>
              <w:pStyle w:val="ListParagraph"/>
              <w:numPr>
                <w:ilvl w:val="0"/>
                <w:numId w:val="27"/>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Prevalence of disability in Australia, including demographic and socioeconomic profile of people with disabilities.</w:t>
            </w:r>
          </w:p>
        </w:tc>
      </w:tr>
      <w:tr w:rsidR="00F81CCC" w:rsidRPr="00013986" w14:paraId="6C056C66" w14:textId="77777777" w:rsidTr="00392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107B0D8A" w14:textId="77777777" w:rsidR="00F81CCC" w:rsidRPr="00013986" w:rsidRDefault="00F81CCC" w:rsidP="00392EB7">
            <w:pPr>
              <w:spacing w:after="0" w:line="240" w:lineRule="auto"/>
              <w:rPr>
                <w:rFonts w:cs="Arial"/>
                <w:b w:val="0"/>
                <w:bCs w:val="0"/>
                <w:sz w:val="18"/>
                <w:szCs w:val="18"/>
              </w:rPr>
            </w:pPr>
            <w:r w:rsidRPr="1DA33BE3">
              <w:rPr>
                <w:rFonts w:cs="Arial"/>
                <w:sz w:val="18"/>
                <w:szCs w:val="18"/>
              </w:rPr>
              <w:t>Economic information</w:t>
            </w:r>
          </w:p>
        </w:tc>
        <w:tc>
          <w:tcPr>
            <w:tcW w:w="5825" w:type="dxa"/>
            <w:vAlign w:val="center"/>
          </w:tcPr>
          <w:p w14:paraId="5BC333EF" w14:textId="77777777" w:rsidR="00F81CCC" w:rsidRPr="00013986" w:rsidRDefault="00F81CCC" w:rsidP="00392EB7">
            <w:pPr>
              <w:pStyle w:val="ListParagraph"/>
              <w:numPr>
                <w:ilvl w:val="0"/>
                <w:numId w:val="27"/>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Government economic forecasts for GDP</w:t>
            </w:r>
          </w:p>
          <w:p w14:paraId="6AAC38A1" w14:textId="77777777" w:rsidR="00F81CCC" w:rsidRPr="00013986" w:rsidRDefault="00F81CCC" w:rsidP="00392EB7">
            <w:pPr>
              <w:pStyle w:val="ListParagraph"/>
              <w:numPr>
                <w:ilvl w:val="0"/>
                <w:numId w:val="27"/>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1DA33BE3">
              <w:rPr>
                <w:rFonts w:cs="Arial"/>
                <w:sz w:val="18"/>
                <w:szCs w:val="18"/>
              </w:rPr>
              <w:t>Inflation indicators</w:t>
            </w:r>
          </w:p>
        </w:tc>
      </w:tr>
      <w:tr w:rsidR="00F81CCC" w14:paraId="0172709F" w14:textId="77777777" w:rsidTr="00392EB7">
        <w:tc>
          <w:tcPr>
            <w:cnfStyle w:val="001000000000" w:firstRow="0" w:lastRow="0" w:firstColumn="1" w:lastColumn="0" w:oddVBand="0" w:evenVBand="0" w:oddHBand="0" w:evenHBand="0" w:firstRowFirstColumn="0" w:firstRowLastColumn="0" w:lastRowFirstColumn="0" w:lastRowLastColumn="0"/>
            <w:tcW w:w="2689" w:type="dxa"/>
            <w:tcBorders>
              <w:bottom w:val="single" w:sz="4" w:space="0" w:color="auto"/>
            </w:tcBorders>
            <w:vAlign w:val="center"/>
          </w:tcPr>
          <w:p w14:paraId="271C852F" w14:textId="77777777" w:rsidR="00F81CCC" w:rsidRDefault="00F81CCC" w:rsidP="00392EB7">
            <w:pPr>
              <w:spacing w:line="240" w:lineRule="auto"/>
              <w:rPr>
                <w:rFonts w:eastAsia="Yu Mincho" w:cs="Arial"/>
                <w:sz w:val="18"/>
                <w:szCs w:val="18"/>
              </w:rPr>
            </w:pPr>
            <w:r w:rsidRPr="1DA33BE3">
              <w:rPr>
                <w:rFonts w:eastAsia="Yu Mincho" w:cs="Arial"/>
                <w:sz w:val="18"/>
                <w:szCs w:val="18"/>
              </w:rPr>
              <w:t>Demographic information</w:t>
            </w:r>
          </w:p>
        </w:tc>
        <w:tc>
          <w:tcPr>
            <w:tcW w:w="5825" w:type="dxa"/>
            <w:tcBorders>
              <w:bottom w:val="single" w:sz="4" w:space="0" w:color="auto"/>
            </w:tcBorders>
            <w:vAlign w:val="center"/>
          </w:tcPr>
          <w:p w14:paraId="0C2E26EE" w14:textId="77777777" w:rsidR="00F81CCC" w:rsidRDefault="00F81CCC" w:rsidP="00392EB7">
            <w:pPr>
              <w:pStyle w:val="ListParagraph"/>
              <w:numPr>
                <w:ilvl w:val="0"/>
                <w:numId w:val="27"/>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1DA33BE3">
              <w:rPr>
                <w:rFonts w:cs="Arial"/>
                <w:sz w:val="18"/>
                <w:szCs w:val="18"/>
              </w:rPr>
              <w:t>Australian Life Tables 2018-2020 – published in November 2021</w:t>
            </w:r>
          </w:p>
          <w:p w14:paraId="61983D8B" w14:textId="77777777" w:rsidR="00F81CCC" w:rsidRDefault="00F81CCC" w:rsidP="00392EB7">
            <w:pPr>
              <w:pStyle w:val="ListParagraph"/>
              <w:numPr>
                <w:ilvl w:val="0"/>
                <w:numId w:val="27"/>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1DA33BE3">
              <w:rPr>
                <w:rFonts w:cs="Arial"/>
                <w:sz w:val="18"/>
                <w:szCs w:val="18"/>
              </w:rPr>
              <w:t xml:space="preserve">Population forecasts – estimated for the 2021 Intergenerational Report </w:t>
            </w:r>
          </w:p>
          <w:p w14:paraId="287DE978" w14:textId="77777777" w:rsidR="00F81CCC" w:rsidRDefault="00F81CCC" w:rsidP="00392EB7">
            <w:pPr>
              <w:pStyle w:val="ListParagraph"/>
              <w:numPr>
                <w:ilvl w:val="0"/>
                <w:numId w:val="27"/>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1DA33BE3">
              <w:rPr>
                <w:rFonts w:cs="Arial"/>
                <w:sz w:val="18"/>
                <w:szCs w:val="18"/>
              </w:rPr>
              <w:t>Budget 2022-23: population projections, Australia, 2021-22 to 2032-33 from the Centre for Population Projections</w:t>
            </w:r>
          </w:p>
        </w:tc>
      </w:tr>
    </w:tbl>
    <w:p w14:paraId="1E5736F1" w14:textId="77777777" w:rsidR="00796DB5" w:rsidRDefault="00796DB5" w:rsidP="00D72D94">
      <w:pPr>
        <w:pStyle w:val="FSRHeading4"/>
      </w:pPr>
    </w:p>
    <w:p w14:paraId="12E3715B" w14:textId="77777777" w:rsidR="00796DB5" w:rsidRDefault="00796DB5">
      <w:pPr>
        <w:spacing w:after="160" w:line="259" w:lineRule="auto"/>
        <w:rPr>
          <w:b/>
          <w:color w:val="6B2976"/>
          <w:sz w:val="25"/>
        </w:rPr>
      </w:pPr>
      <w:r>
        <w:br w:type="page"/>
      </w:r>
    </w:p>
    <w:p w14:paraId="3A8058B5" w14:textId="77777777" w:rsidR="00892048" w:rsidRPr="002F4765" w:rsidRDefault="00892048" w:rsidP="00D72D94">
      <w:pPr>
        <w:pStyle w:val="FSRHeading4"/>
      </w:pPr>
      <w:r w:rsidRPr="002F4765">
        <w:lastRenderedPageBreak/>
        <w:t>Projection model</w:t>
      </w:r>
    </w:p>
    <w:p w14:paraId="68D7F320" w14:textId="77777777" w:rsidR="00892048" w:rsidRPr="002D6B56" w:rsidRDefault="00892048" w:rsidP="00892048">
      <w:pPr>
        <w:pStyle w:val="FSRnormal"/>
      </w:pPr>
      <w:r w:rsidRPr="002D6B56">
        <w:t>An experience-based projection model continues to be used to project Scheme participant numbers</w:t>
      </w:r>
      <w:r>
        <w:t xml:space="preserve">, </w:t>
      </w:r>
      <w:r w:rsidR="00F62C61">
        <w:t xml:space="preserve">average </w:t>
      </w:r>
      <w:r>
        <w:t>payments</w:t>
      </w:r>
      <w:r w:rsidR="00F62C61">
        <w:t xml:space="preserve"> per participant, </w:t>
      </w:r>
      <w:r>
        <w:t xml:space="preserve">and </w:t>
      </w:r>
      <w:r w:rsidR="00F62C61">
        <w:t xml:space="preserve">total </w:t>
      </w:r>
      <w:r>
        <w:t>Scheme expenses</w:t>
      </w:r>
      <w:r w:rsidRPr="002D6B56">
        <w:t xml:space="preserve"> reported in the AFSR.</w:t>
      </w:r>
      <w:r w:rsidR="00F62C61">
        <w:t xml:space="preserve">  </w:t>
      </w:r>
      <w:r>
        <w:t>As with previous</w:t>
      </w:r>
      <w:r w:rsidRPr="002D6B56">
        <w:t xml:space="preserve"> AFSRs</w:t>
      </w:r>
      <w:r>
        <w:t>, the 2021-22 AFSR</w:t>
      </w:r>
      <w:r w:rsidRPr="002D6B56">
        <w:t xml:space="preserve"> </w:t>
      </w:r>
      <w:r>
        <w:t>is</w:t>
      </w:r>
      <w:r w:rsidRPr="002D6B56">
        <w:t xml:space="preserve"> based on projecting average payments made for supports for 2,052 participant cohorts</w:t>
      </w:r>
      <w:r>
        <w:rPr>
          <w:rStyle w:val="FootnoteReference"/>
          <w:rFonts w:cs="Arial"/>
        </w:rPr>
        <w:footnoteReference w:id="10"/>
      </w:r>
      <w:r w:rsidRPr="002D6B56">
        <w:t xml:space="preserve">. The average payments for each cohort are then multiplied by projected participant numbers and summed across all cohorts to arrive at the total </w:t>
      </w:r>
      <w:r w:rsidR="00D64DFF">
        <w:t xml:space="preserve">projected </w:t>
      </w:r>
      <w:r>
        <w:t>Scheme expenses</w:t>
      </w:r>
      <w:r w:rsidRPr="002D6B56">
        <w:t>.</w:t>
      </w:r>
    </w:p>
    <w:p w14:paraId="3F971334" w14:textId="77777777" w:rsidR="00892048" w:rsidRDefault="00892048" w:rsidP="00892048">
      <w:pPr>
        <w:pStyle w:val="FSRnormal"/>
      </w:pPr>
      <w:r>
        <w:t xml:space="preserve">To enable a closer alignment to the Agency’s plan budget setting process, the projection model has been enhanced to include a projection of future plan budgets. This complements the total projection of Scheme expenses and allows future utilisation rates to be estimated. </w:t>
      </w:r>
    </w:p>
    <w:p w14:paraId="21C8800B" w14:textId="77777777" w:rsidR="00892048" w:rsidRPr="002D1B40" w:rsidRDefault="00892048" w:rsidP="00892048">
      <w:pPr>
        <w:pStyle w:val="FSRnormal"/>
      </w:pPr>
      <w:r>
        <w:t>Plan budget projections are included in Section 5.3 of the report, along with the projected utilisation rate which is calculated as the ratio of the Scheme expenses to these projected plan budgets.</w:t>
      </w:r>
    </w:p>
    <w:p w14:paraId="23E4EAC8" w14:textId="77777777" w:rsidR="00892048" w:rsidRDefault="00892048" w:rsidP="00892048">
      <w:pPr>
        <w:pStyle w:val="FSRnormal"/>
      </w:pPr>
      <w:r w:rsidRPr="002F4765">
        <w:t xml:space="preserve">Assumptions have </w:t>
      </w:r>
      <w:r w:rsidRPr="00241F16">
        <w:t xml:space="preserve">been set </w:t>
      </w:r>
      <w:r>
        <w:t>considering factors both internal and external to the Scheme.</w:t>
      </w:r>
      <w:r w:rsidRPr="00022ACF">
        <w:t xml:space="preserve"> </w:t>
      </w:r>
      <w:r>
        <w:t>External factors include broader macroeconomic factors, insofar as they impact the Scheme. Internal factors include trends in past numbers of participants and</w:t>
      </w:r>
      <w:r w:rsidR="00F62C61">
        <w:t xml:space="preserve"> average</w:t>
      </w:r>
      <w:r>
        <w:t xml:space="preserve"> payments per participant.</w:t>
      </w:r>
    </w:p>
    <w:p w14:paraId="200FCAC2" w14:textId="77777777" w:rsidR="00892048" w:rsidRDefault="00892048" w:rsidP="00892048">
      <w:pPr>
        <w:pStyle w:val="FSRnormal"/>
      </w:pPr>
      <w:r w:rsidRPr="002F4765">
        <w:t>As with any projection, there is uncertainty in the results</w:t>
      </w:r>
      <w:r>
        <w:t xml:space="preserve">. </w:t>
      </w:r>
      <w:r w:rsidRPr="002F4765">
        <w:t xml:space="preserve">As the Scheme continues to mature, </w:t>
      </w:r>
      <w:r>
        <w:t xml:space="preserve">the expected trajectory of </w:t>
      </w:r>
      <w:r w:rsidRPr="002F4765">
        <w:t>Scheme experience</w:t>
      </w:r>
      <w:r>
        <w:t xml:space="preserve"> and projected expenses</w:t>
      </w:r>
      <w:r w:rsidRPr="002F4765">
        <w:t xml:space="preserve"> </w:t>
      </w:r>
      <w:r>
        <w:t>can change materially,</w:t>
      </w:r>
      <w:r w:rsidRPr="002F4765">
        <w:t xml:space="preserve"> resulting from the decisions and actions of the </w:t>
      </w:r>
      <w:r>
        <w:t xml:space="preserve">Government and </w:t>
      </w:r>
      <w:r w:rsidRPr="002F4765">
        <w:t xml:space="preserve">Agency and </w:t>
      </w:r>
      <w:r>
        <w:t>the Australian and global economic climate</w:t>
      </w:r>
      <w:r w:rsidRPr="002F4765">
        <w:t>.</w:t>
      </w:r>
      <w:r>
        <w:t xml:space="preserve"> Two approaches have been used to illustrate the drivers of uncertainty and the estimated impacts those have on the projection results:</w:t>
      </w:r>
    </w:p>
    <w:p w14:paraId="18E22EA0" w14:textId="77777777" w:rsidR="00892048" w:rsidRDefault="00892048" w:rsidP="00892048">
      <w:pPr>
        <w:pStyle w:val="FSRlist"/>
      </w:pPr>
      <w:r>
        <w:t>Testing the sensitivity of projected Scheme expenses to changes in specific key assumptions in Section 6.1</w:t>
      </w:r>
      <w:r w:rsidR="008D2677">
        <w:t>; and</w:t>
      </w:r>
    </w:p>
    <w:p w14:paraId="382361CE" w14:textId="77777777" w:rsidR="00892048" w:rsidRPr="002F4765" w:rsidRDefault="00892048" w:rsidP="00892048">
      <w:pPr>
        <w:pStyle w:val="FSRlist"/>
      </w:pPr>
      <w:r>
        <w:t>Projecting Scheme expenses using a stochastic model</w:t>
      </w:r>
      <w:r>
        <w:rPr>
          <w:rStyle w:val="FootnoteReference"/>
        </w:rPr>
        <w:footnoteReference w:id="11"/>
      </w:r>
      <w:r>
        <w:t xml:space="preserve"> which </w:t>
      </w:r>
      <w:r w:rsidRPr="00D92142">
        <w:t>provide</w:t>
      </w:r>
      <w:r w:rsidRPr="002F4765">
        <w:t>s</w:t>
      </w:r>
      <w:r w:rsidRPr="00D92142">
        <w:t xml:space="preserve"> a more holistic view of the interaction between material risks facing the Scheme and the variability in these risk factors.</w:t>
      </w:r>
      <w:r>
        <w:t xml:space="preserve"> The approach and results of this model are included in Section 6.2.</w:t>
      </w:r>
    </w:p>
    <w:p w14:paraId="406BDFB9" w14:textId="77777777" w:rsidR="00892048" w:rsidRPr="002F4765" w:rsidRDefault="00892048" w:rsidP="00D72D94">
      <w:pPr>
        <w:pStyle w:val="FSRHeading4"/>
      </w:pPr>
      <w:r w:rsidRPr="002F4765">
        <w:lastRenderedPageBreak/>
        <w:t>Number of participants</w:t>
      </w:r>
    </w:p>
    <w:p w14:paraId="0572856A" w14:textId="77777777" w:rsidR="00892048" w:rsidRPr="002F4765" w:rsidRDefault="00892048" w:rsidP="00892048">
      <w:pPr>
        <w:pStyle w:val="FSRnormal"/>
        <w:keepNext/>
        <w:keepLines/>
        <w:rPr>
          <w:i/>
        </w:rPr>
      </w:pPr>
      <w:r w:rsidRPr="002F4765">
        <w:t xml:space="preserve">The number of </w:t>
      </w:r>
      <w:r>
        <w:t xml:space="preserve">actual </w:t>
      </w:r>
      <w:r w:rsidRPr="002F4765">
        <w:t>participants in the Scheme each year, and the project</w:t>
      </w:r>
      <w:r>
        <w:t xml:space="preserve">ed number of future </w:t>
      </w:r>
      <w:r w:rsidRPr="002F4765">
        <w:t xml:space="preserve">participants </w:t>
      </w:r>
      <w:r>
        <w:t xml:space="preserve">at this review compared to those from the previous review, are </w:t>
      </w:r>
      <w:r w:rsidRPr="002F4765">
        <w:t xml:space="preserve">presented </w:t>
      </w:r>
      <w:r w:rsidR="00C6552E" w:rsidRPr="002F4765">
        <w:t>in</w:t>
      </w:r>
      <w:r w:rsidR="00446247">
        <w:t xml:space="preserve"> </w:t>
      </w:r>
      <w:r w:rsidR="00ED7E79">
        <w:t>Figure 1</w:t>
      </w:r>
      <w:r w:rsidRPr="00D400CA">
        <w:t>.</w:t>
      </w:r>
      <w:r w:rsidRPr="002F4765">
        <w:t xml:space="preserve"> </w:t>
      </w:r>
      <w:r>
        <w:t xml:space="preserve">At 30 June 2026 </w:t>
      </w:r>
      <w:r w:rsidRPr="002F4765">
        <w:t xml:space="preserve">it is estimated that there will be </w:t>
      </w:r>
      <w:r>
        <w:t>741,077</w:t>
      </w:r>
      <w:r w:rsidRPr="002F4765">
        <w:t xml:space="preserve"> participants in the Scheme, and </w:t>
      </w:r>
      <w:r>
        <w:t>by 30 June 20</w:t>
      </w:r>
      <w:r w:rsidRPr="002F4765">
        <w:t>32 it is estimated that the number of participants will increase to 1,017,522.</w:t>
      </w:r>
      <w:r>
        <w:t xml:space="preserve"> </w:t>
      </w:r>
      <w:r w:rsidRPr="001625DC">
        <w:t xml:space="preserve">The current projections indicate a higher rate of growth in projected participant numbers, </w:t>
      </w:r>
      <w:r w:rsidRPr="002F4765">
        <w:rPr>
          <w:rFonts w:eastAsiaTheme="minorHAnsi"/>
          <w:bCs/>
          <w:szCs w:val="18"/>
          <w:lang w:eastAsia="en-US"/>
        </w:rPr>
        <w:t>compared</w:t>
      </w:r>
      <w:r w:rsidRPr="001625DC">
        <w:t xml:space="preserve"> to the previous </w:t>
      </w:r>
      <w:r>
        <w:t>review.</w:t>
      </w:r>
    </w:p>
    <w:p w14:paraId="1574F8BF" w14:textId="77777777" w:rsidR="00892048" w:rsidRDefault="00892048" w:rsidP="00D53FD2">
      <w:pPr>
        <w:pStyle w:val="Figures"/>
        <w:spacing w:after="240"/>
        <w:rPr>
          <w:noProof/>
        </w:rPr>
      </w:pPr>
      <w:bookmarkStart w:id="7" w:name="_Ref114565007"/>
      <w:bookmarkStart w:id="8" w:name="_Ref112406537"/>
      <w:r w:rsidRPr="00D400CA">
        <w:t>Figure</w:t>
      </w:r>
      <w:r w:rsidR="002B79D9">
        <w:t xml:space="preserve"> </w:t>
      </w:r>
      <w:fldSimple w:instr=" SEQ Figure \* ARABIC \s 2 ">
        <w:r w:rsidR="00447AA1">
          <w:rPr>
            <w:noProof/>
          </w:rPr>
          <w:t>1</w:t>
        </w:r>
      </w:fldSimple>
      <w:bookmarkEnd w:id="7"/>
      <w:bookmarkEnd w:id="8"/>
      <w:r w:rsidRPr="00D400CA">
        <w:t>:</w:t>
      </w:r>
      <w:r>
        <w:t xml:space="preserve"> Comparison of participant numbers to previous review</w:t>
      </w:r>
    </w:p>
    <w:p w14:paraId="43776492" w14:textId="77777777" w:rsidR="00892048" w:rsidRPr="002F4765" w:rsidRDefault="00342FB9" w:rsidP="00892048">
      <w:pPr>
        <w:pStyle w:val="Figures"/>
      </w:pPr>
      <w:r>
        <w:rPr>
          <w:noProof/>
          <w:lang w:eastAsia="en-AU"/>
        </w:rPr>
        <w:drawing>
          <wp:inline distT="0" distB="0" distL="0" distR="0" wp14:anchorId="56109239" wp14:editId="54C67C7B">
            <wp:extent cx="5724000" cy="2969896"/>
            <wp:effectExtent l="0" t="0" r="0" b="1905"/>
            <wp:docPr id="54" name="Picture 54" descr="The graph shows the trend of participant numbers comparing 2021-22 AFSR with 2020-21 AFSR from 30 June 2018 to 30 June 2032. It shows that:&#10;Actual numbers are 172,333 as at 30 June 2018; 286,015 as at 30 June 2019; 391,999 as at 30 June 2020; 466,619 as at 30 June 2021; 534,655 as at 30 June 2022;&#10;Projected numbers based on 2021-22 AFSR are 741,077 as at 30 June 2026; 1,017,522 as at 30 June 2032;&#10;Projected numbers based on 2020-21 AFSR are 709,645 as at 30 June 2026; 931,591 as at 30 June 2032." title="Figure 1: Comparison of participant numbers to previous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4000" cy="2969896"/>
                    </a:xfrm>
                    <a:prstGeom prst="rect">
                      <a:avLst/>
                    </a:prstGeom>
                    <a:noFill/>
                  </pic:spPr>
                </pic:pic>
              </a:graphicData>
            </a:graphic>
          </wp:inline>
        </w:drawing>
      </w:r>
    </w:p>
    <w:p w14:paraId="5659FCD2" w14:textId="77777777" w:rsidR="00892048" w:rsidRDefault="00892048" w:rsidP="00892048">
      <w:pPr>
        <w:pStyle w:val="FSRnormal"/>
      </w:pPr>
      <w:r w:rsidRPr="009D6872">
        <w:t>The drivers in the growth in the number of participants are the rate of new entrants to the Scheme</w:t>
      </w:r>
      <w:r w:rsidR="00CA6BAB">
        <w:t xml:space="preserve"> and </w:t>
      </w:r>
      <w:r w:rsidRPr="009D6872">
        <w:t xml:space="preserve">the rate at which participants </w:t>
      </w:r>
      <w:r>
        <w:t>leave</w:t>
      </w:r>
      <w:r w:rsidRPr="009D6872">
        <w:t xml:space="preserve"> the Scheme</w:t>
      </w:r>
      <w:r w:rsidR="00CA6BAB">
        <w:t xml:space="preserve">. </w:t>
      </w:r>
    </w:p>
    <w:p w14:paraId="5544DE94" w14:textId="77777777" w:rsidR="00892048" w:rsidRDefault="00892048" w:rsidP="00892048">
      <w:pPr>
        <w:pStyle w:val="FSRnormal"/>
      </w:pPr>
      <w:r>
        <w:t>It is also important to note that the mix of participants in the Scheme is changing over time. A high proportion of recent new entrants to the Scheme are children and/ or have a high reported level of function compared with existing participants. Both children and those with a high level of function tend to have lower support needs than other participants. As a result</w:t>
      </w:r>
      <w:r w:rsidR="0078031A">
        <w:t>,</w:t>
      </w:r>
      <w:r>
        <w:t xml:space="preserve"> the average payment per new entrant to the Scheme is lower than that of existing participants, and so the increase in participant numbers does not necessarily lead to an increase in Scheme expense</w:t>
      </w:r>
      <w:r w:rsidR="0078031A">
        <w:t>s</w:t>
      </w:r>
      <w:r>
        <w:t xml:space="preserve"> of the same magnitude.</w:t>
      </w:r>
    </w:p>
    <w:p w14:paraId="4E1BA8E2" w14:textId="77777777" w:rsidR="00892048" w:rsidRPr="002F4765" w:rsidRDefault="00892048" w:rsidP="00892048">
      <w:pPr>
        <w:pStyle w:val="FSRHeading4"/>
      </w:pPr>
      <w:r w:rsidRPr="002F4765">
        <w:t xml:space="preserve">New </w:t>
      </w:r>
      <w:r>
        <w:t>entrants</w:t>
      </w:r>
    </w:p>
    <w:p w14:paraId="162ACD21" w14:textId="77777777" w:rsidR="00892048" w:rsidRPr="002F4765" w:rsidRDefault="00892048" w:rsidP="00892048">
      <w:pPr>
        <w:pStyle w:val="FSRnormal"/>
        <w:rPr>
          <w:bCs/>
          <w:szCs w:val="18"/>
          <w:lang w:eastAsia="en-US"/>
        </w:rPr>
      </w:pPr>
      <w:r>
        <w:t>The rate of new entr</w:t>
      </w:r>
      <w:r w:rsidR="00D64DFF">
        <w:t>y</w:t>
      </w:r>
      <w:r>
        <w:t xml:space="preserve"> to the Scheme continues to be high, including in the geographical areas where the Scheme has been operating for several years. As an example, the rate of new entrants in geographical areas that commenced in 2014 was 380 participants per 100,000 population aged between 0 and 64 over the year ended 31 March 2022. This is approximately 40% higher than the 2020-21 AFSR assumed rate of 272 participants per </w:t>
      </w:r>
      <w:r>
        <w:lastRenderedPageBreak/>
        <w:t>100,000 population aged between 0 and 64, and about 23% higher than the rate assumed at this review of 308 per 100,000 population aged between 0 and 64.</w:t>
      </w:r>
    </w:p>
    <w:p w14:paraId="030C3B77" w14:textId="77777777" w:rsidR="00892048" w:rsidRPr="00EE183D" w:rsidRDefault="00892048" w:rsidP="00D53FD2">
      <w:pPr>
        <w:pStyle w:val="Figures"/>
      </w:pPr>
      <w:r w:rsidRPr="003E2702">
        <w:t>Figure</w:t>
      </w:r>
      <w:r w:rsidR="00040EAF">
        <w:t xml:space="preserve"> </w:t>
      </w:r>
      <w:fldSimple w:instr=" SEQ Figure \* ARABIC \s 2 ">
        <w:r w:rsidR="00447AA1">
          <w:rPr>
            <w:noProof/>
          </w:rPr>
          <w:t>2</w:t>
        </w:r>
      </w:fldSimple>
      <w:r w:rsidRPr="003E2702">
        <w:t xml:space="preserve">: </w:t>
      </w:r>
      <w:r w:rsidR="00EE183D" w:rsidRPr="003E2702">
        <w:t>Expected new entrant rate together with observed experience for the year ended 31 March 2022 by financial phasing year</w:t>
      </w:r>
      <w:r w:rsidRPr="003E2702">
        <w:rPr>
          <w:rStyle w:val="FootnoteReference"/>
        </w:rPr>
        <w:footnoteReference w:id="12"/>
      </w:r>
    </w:p>
    <w:p w14:paraId="0751FADB" w14:textId="77777777" w:rsidR="00892048" w:rsidRPr="00860FF4" w:rsidRDefault="00EE183D" w:rsidP="00892048">
      <w:pPr>
        <w:spacing w:line="264" w:lineRule="auto"/>
      </w:pPr>
      <w:r>
        <w:rPr>
          <w:noProof/>
          <w:lang w:eastAsia="en-AU"/>
        </w:rPr>
        <w:drawing>
          <wp:inline distT="0" distB="0" distL="0" distR="0" wp14:anchorId="5DA26A7A" wp14:editId="3ADBA476">
            <wp:extent cx="5724000" cy="2842196"/>
            <wp:effectExtent l="0" t="0" r="0" b="0"/>
            <wp:docPr id="249" name="Picture 249" descr="The figure shows the expected new entrant rate from the previous AFSR, the proposed new entrant rate for the 2021-22 AFSR, and the observed experience as at 31 March 2022 by financial phasing year.&#10;The expected new entrant rate adopted in the 2020-21 AFSR is 272 per 100,000 population, whilst the expected new entrant rate adopted in the 2021-22 AFSR is 308, and the observed new entrant rate for all phasing years as at 31 March 2022 is 342 per 100,000 population.&#10;The observed new entrant rate experience observed by financial phasing year is as follows: in 2014 380 per 100,000 population; in 2015 314 per 100,000 population; in 2016 0 per 100,000 population as no regions phased into the Scheme in this year; in 2017 324 per 100,000 population; in 2018 330 per 100,000 population; in 2019 375 per 100,000 population; in 2020 291 per 100,000 population.&#10;" title="Figure 2: Expected new entrant rate together with observed experience for the year ended 31 March 2022 by financial phasing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4000" cy="2842196"/>
                    </a:xfrm>
                    <a:prstGeom prst="rect">
                      <a:avLst/>
                    </a:prstGeom>
                    <a:noFill/>
                  </pic:spPr>
                </pic:pic>
              </a:graphicData>
            </a:graphic>
          </wp:inline>
        </w:drawing>
      </w:r>
    </w:p>
    <w:p w14:paraId="6F1166FE" w14:textId="77777777" w:rsidR="00892048" w:rsidRDefault="00892048" w:rsidP="00892048">
      <w:pPr>
        <w:pStyle w:val="FSRnormal"/>
        <w:rPr>
          <w:rFonts w:cs="Arial"/>
        </w:rPr>
      </w:pPr>
      <w:r w:rsidRPr="002F4765">
        <w:t xml:space="preserve">The </w:t>
      </w:r>
      <w:r>
        <w:t xml:space="preserve">new entrant </w:t>
      </w:r>
      <w:r w:rsidRPr="002F4765">
        <w:t xml:space="preserve">assumption adopted at this review (308 </w:t>
      </w:r>
      <w:r>
        <w:t xml:space="preserve">participants per 100,000 population aged between 0 and 64), is 14% </w:t>
      </w:r>
      <w:r w:rsidRPr="002F4765">
        <w:t xml:space="preserve">higher than the rate assumed </w:t>
      </w:r>
      <w:r>
        <w:t>in the previous review</w:t>
      </w:r>
      <w:r w:rsidRPr="002F4765">
        <w:t xml:space="preserve">. </w:t>
      </w:r>
      <w:r>
        <w:t xml:space="preserve">The approach to modelling new entrants has evolved over time in response to the emerging experience and available data. More recently, the observed </w:t>
      </w:r>
      <w:r w:rsidRPr="008B547C">
        <w:rPr>
          <w:rFonts w:cs="Arial"/>
        </w:rPr>
        <w:t>experience</w:t>
      </w:r>
      <w:r>
        <w:rPr>
          <w:rFonts w:cs="Arial"/>
        </w:rPr>
        <w:t xml:space="preserve"> of new participants entering the Scheme</w:t>
      </w:r>
      <w:r w:rsidRPr="008B547C">
        <w:rPr>
          <w:rFonts w:cs="Arial"/>
        </w:rPr>
        <w:t xml:space="preserve"> has stabilised such that </w:t>
      </w:r>
      <w:r>
        <w:rPr>
          <w:rFonts w:cs="Arial"/>
        </w:rPr>
        <w:t xml:space="preserve">the </w:t>
      </w:r>
      <w:r w:rsidRPr="008B547C">
        <w:rPr>
          <w:rFonts w:cs="Arial"/>
        </w:rPr>
        <w:t xml:space="preserve">new </w:t>
      </w:r>
      <w:r>
        <w:rPr>
          <w:rFonts w:cs="Arial"/>
        </w:rPr>
        <w:t>entrant</w:t>
      </w:r>
      <w:r w:rsidRPr="008B547C">
        <w:rPr>
          <w:rFonts w:cs="Arial"/>
        </w:rPr>
        <w:t xml:space="preserve"> rates </w:t>
      </w:r>
      <w:r>
        <w:rPr>
          <w:rFonts w:cs="Arial"/>
        </w:rPr>
        <w:t xml:space="preserve">adopted at this review have been </w:t>
      </w:r>
      <w:r w:rsidRPr="008B547C">
        <w:rPr>
          <w:rFonts w:cs="Arial"/>
        </w:rPr>
        <w:t>estimated solel</w:t>
      </w:r>
      <w:r>
        <w:rPr>
          <w:rFonts w:cs="Arial"/>
        </w:rPr>
        <w:t>y based on a method which relies on currently observed experience</w:t>
      </w:r>
      <w:r w:rsidR="003A191D">
        <w:rPr>
          <w:rFonts w:cs="Arial"/>
        </w:rPr>
        <w:t>, whilst noting that the assumed number of new participants in the medium to long</w:t>
      </w:r>
      <w:r w:rsidR="003F6941">
        <w:rPr>
          <w:rFonts w:cs="Arial"/>
        </w:rPr>
        <w:t xml:space="preserve"> </w:t>
      </w:r>
      <w:r w:rsidR="003A191D">
        <w:rPr>
          <w:rFonts w:cs="Arial"/>
        </w:rPr>
        <w:t>term is below the number recently observed</w:t>
      </w:r>
      <w:r>
        <w:rPr>
          <w:rFonts w:cs="Arial"/>
        </w:rPr>
        <w:t>. The details of the approach used, and the resulting new entrant assumptions are set out in Section 5.4.</w:t>
      </w:r>
    </w:p>
    <w:p w14:paraId="09A92164" w14:textId="77777777" w:rsidR="00892048" w:rsidRPr="00825181" w:rsidRDefault="00892048" w:rsidP="00825181">
      <w:pPr>
        <w:pStyle w:val="FSRHeading4"/>
      </w:pPr>
      <w:r w:rsidRPr="00825181">
        <w:t>Participants leaving the Scheme</w:t>
      </w:r>
    </w:p>
    <w:p w14:paraId="3872BF16" w14:textId="77777777" w:rsidR="00892048" w:rsidRDefault="00892048" w:rsidP="00892048">
      <w:pPr>
        <w:pStyle w:val="FSRnormal"/>
      </w:pPr>
      <w:r>
        <w:t>A proportion of p</w:t>
      </w:r>
      <w:r w:rsidRPr="00940E06">
        <w:t xml:space="preserve">articipants </w:t>
      </w:r>
      <w:r>
        <w:t>leaving</w:t>
      </w:r>
      <w:r w:rsidRPr="00940E06">
        <w:t xml:space="preserve"> the Scheme was always </w:t>
      </w:r>
      <w:r>
        <w:t xml:space="preserve">expected within </w:t>
      </w:r>
      <w:r w:rsidRPr="00940E06">
        <w:t xml:space="preserve">the original Scheme design, as </w:t>
      </w:r>
      <w:r>
        <w:t xml:space="preserve">one of </w:t>
      </w:r>
      <w:r w:rsidRPr="00940E06">
        <w:t xml:space="preserve">the Scheme’s </w:t>
      </w:r>
      <w:r>
        <w:t xml:space="preserve">objectives </w:t>
      </w:r>
      <w:r w:rsidRPr="00940E06">
        <w:t xml:space="preserve">is that early investment and intervention should lead to capacity building and greater social and economic participation where support from the NDIS is no longer required. </w:t>
      </w:r>
    </w:p>
    <w:p w14:paraId="25198CF4" w14:textId="77777777" w:rsidR="00892048" w:rsidRDefault="00892048" w:rsidP="00892048">
      <w:pPr>
        <w:pStyle w:val="FSRnormal"/>
      </w:pPr>
      <w:r w:rsidRPr="00A22657">
        <w:t>The experience</w:t>
      </w:r>
      <w:r>
        <w:t xml:space="preserve"> of participants leaving the Scheme</w:t>
      </w:r>
      <w:r w:rsidRPr="00A22657">
        <w:t xml:space="preserve"> has changed materially since the last full review which was completed in 2019 (using 2018 experience). The refinement to the eligibility reassessment</w:t>
      </w:r>
      <w:r w:rsidR="003A191D">
        <w:rPr>
          <w:rStyle w:val="FootnoteReference"/>
        </w:rPr>
        <w:footnoteReference w:id="13"/>
      </w:r>
      <w:r w:rsidRPr="00A22657">
        <w:t xml:space="preserve"> process during 2019 and ongoing operational improvements since then have had a significant impact on the underlying experience, whilst the COVID-19 </w:t>
      </w:r>
      <w:r w:rsidRPr="00A22657">
        <w:lastRenderedPageBreak/>
        <w:t>lockdown restrictions have had a significant though transitory impact on the experience since 2020.</w:t>
      </w:r>
    </w:p>
    <w:p w14:paraId="60413DF0" w14:textId="77777777" w:rsidR="00892048" w:rsidRPr="00A22657" w:rsidRDefault="00892048" w:rsidP="00892048">
      <w:pPr>
        <w:pStyle w:val="FSRnormal"/>
      </w:pPr>
      <w:r>
        <w:t>The actual overall rates of participants leaving the Scheme from 2019 to 2021 were much lower than the long-term rate of 1.67% per annum adopted in the 2020-21 AFSR.</w:t>
      </w:r>
      <w:r w:rsidRPr="003B4A44">
        <w:t xml:space="preserve"> </w:t>
      </w:r>
      <w:r w:rsidRPr="00A22657">
        <w:t>As a result, overall rates</w:t>
      </w:r>
      <w:r>
        <w:t xml:space="preserve"> of participants leaving the Scheme</w:t>
      </w:r>
      <w:r w:rsidRPr="00A22657">
        <w:t xml:space="preserve"> have been revised downwards from 1.67% to 1.19% (based on the participant mix </w:t>
      </w:r>
      <w:r>
        <w:t>at</w:t>
      </w:r>
      <w:r w:rsidRPr="00A22657">
        <w:t xml:space="preserve"> 30 June 2021). </w:t>
      </w:r>
    </w:p>
    <w:p w14:paraId="41F1FD19" w14:textId="77777777" w:rsidR="00892048" w:rsidRPr="00825181" w:rsidRDefault="00892048" w:rsidP="00825181">
      <w:pPr>
        <w:pStyle w:val="FSRHeading4"/>
      </w:pPr>
      <w:r w:rsidRPr="00825181">
        <w:t>P</w:t>
      </w:r>
      <w:r w:rsidRPr="00825181">
        <w:rPr>
          <w:rStyle w:val="FSRHeading4Char"/>
          <w:b/>
        </w:rPr>
        <w:t xml:space="preserve">articipants </w:t>
      </w:r>
      <w:r w:rsidR="0078031A">
        <w:rPr>
          <w:rStyle w:val="FSRHeading4Char"/>
          <w:b/>
        </w:rPr>
        <w:t>with</w:t>
      </w:r>
      <w:r w:rsidRPr="00825181">
        <w:rPr>
          <w:rStyle w:val="FSRHeading4Char"/>
          <w:b/>
        </w:rPr>
        <w:t xml:space="preserve"> Supported Independent Living</w:t>
      </w:r>
    </w:p>
    <w:p w14:paraId="7B878AE9" w14:textId="77777777" w:rsidR="00892048" w:rsidRDefault="00892048" w:rsidP="00892048">
      <w:pPr>
        <w:pStyle w:val="FSRnormal"/>
      </w:pPr>
      <w:r w:rsidRPr="002F4765">
        <w:t xml:space="preserve">Since the previous review, analysis has been undertaken to understand the composition of the </w:t>
      </w:r>
      <w:r>
        <w:t xml:space="preserve">participants </w:t>
      </w:r>
      <w:r w:rsidRPr="002F4765">
        <w:t xml:space="preserve">new </w:t>
      </w:r>
      <w:r>
        <w:t>to Supported Independent Living (</w:t>
      </w:r>
      <w:r w:rsidRPr="002F4765">
        <w:t>SIL</w:t>
      </w:r>
      <w:r>
        <w:t>) arrangements</w:t>
      </w:r>
      <w:r w:rsidRPr="002F4765">
        <w:t xml:space="preserve"> between those participants transitioning from existing schemes and those who were new to disability supports. </w:t>
      </w:r>
    </w:p>
    <w:p w14:paraId="19E8FCE4" w14:textId="77777777" w:rsidR="00892048" w:rsidRDefault="00ED7E79" w:rsidP="00892048">
      <w:pPr>
        <w:pStyle w:val="FSRnormal"/>
        <w:rPr>
          <w:rFonts w:cs="Arial"/>
        </w:rPr>
      </w:pPr>
      <w:r w:rsidRPr="002D5B71">
        <w:t>Figure 3</w:t>
      </w:r>
      <w:r>
        <w:t xml:space="preserve"> </w:t>
      </w:r>
      <w:r w:rsidR="00892048">
        <w:rPr>
          <w:rFonts w:cs="Arial"/>
        </w:rPr>
        <w:t>show</w:t>
      </w:r>
      <w:r w:rsidR="00892048" w:rsidRPr="003A55F8">
        <w:rPr>
          <w:rFonts w:cs="Arial"/>
        </w:rPr>
        <w:t xml:space="preserve">s that the revised projection is slightly higher </w:t>
      </w:r>
      <w:r w:rsidR="00892048">
        <w:rPr>
          <w:rFonts w:cs="Arial"/>
        </w:rPr>
        <w:t>than at the previous</w:t>
      </w:r>
      <w:r w:rsidR="00892048" w:rsidRPr="003A55F8">
        <w:rPr>
          <w:rFonts w:cs="Arial"/>
        </w:rPr>
        <w:t xml:space="preserve"> review</w:t>
      </w:r>
      <w:r w:rsidR="003A191D">
        <w:rPr>
          <w:rStyle w:val="FootnoteReference"/>
          <w:rFonts w:cs="Arial"/>
        </w:rPr>
        <w:footnoteReference w:id="14"/>
      </w:r>
      <w:r w:rsidR="00892048" w:rsidRPr="003A55F8">
        <w:rPr>
          <w:rFonts w:cs="Arial"/>
        </w:rPr>
        <w:t>. This reflects a higher number of participants</w:t>
      </w:r>
      <w:r w:rsidR="00892048">
        <w:rPr>
          <w:rFonts w:cs="Arial"/>
        </w:rPr>
        <w:t xml:space="preserve"> having</w:t>
      </w:r>
      <w:r w:rsidR="00892048" w:rsidRPr="003A55F8">
        <w:rPr>
          <w:rFonts w:cs="Arial"/>
        </w:rPr>
        <w:t xml:space="preserve"> </w:t>
      </w:r>
      <w:r w:rsidR="00892048" w:rsidRPr="00C717C0">
        <w:rPr>
          <w:rFonts w:cs="Arial"/>
        </w:rPr>
        <w:t xml:space="preserve">moved into SIL </w:t>
      </w:r>
      <w:r w:rsidR="00892048">
        <w:rPr>
          <w:rFonts w:cs="Arial"/>
        </w:rPr>
        <w:t>arrangements due to</w:t>
      </w:r>
      <w:r w:rsidR="00892048" w:rsidRPr="00C717C0">
        <w:rPr>
          <w:rFonts w:cs="Arial"/>
        </w:rPr>
        <w:t xml:space="preserve"> the clearing of backlogs of home and living decisions. While this initiative is well progressed, </w:t>
      </w:r>
      <w:r w:rsidR="00892048">
        <w:rPr>
          <w:rFonts w:cs="Arial"/>
        </w:rPr>
        <w:t xml:space="preserve">at this review </w:t>
      </w:r>
      <w:r w:rsidR="00892048" w:rsidRPr="00C717C0">
        <w:rPr>
          <w:rFonts w:cs="Arial"/>
        </w:rPr>
        <w:t xml:space="preserve">a higher number of participants has been assumed to move into SIL in the future compared with the 2020-21 AFSR (with </w:t>
      </w:r>
      <w:r w:rsidR="00892048">
        <w:rPr>
          <w:rFonts w:cs="Arial"/>
        </w:rPr>
        <w:t xml:space="preserve">an </w:t>
      </w:r>
      <w:r w:rsidR="00892048" w:rsidRPr="00C717C0">
        <w:rPr>
          <w:rFonts w:cs="Arial"/>
        </w:rPr>
        <w:t xml:space="preserve">increase </w:t>
      </w:r>
      <w:r w:rsidR="00892048">
        <w:rPr>
          <w:rFonts w:cs="Arial"/>
        </w:rPr>
        <w:t xml:space="preserve">of approximately 300 to 400 additional SIL participants </w:t>
      </w:r>
      <w:r w:rsidR="00892048" w:rsidRPr="00C717C0">
        <w:rPr>
          <w:rFonts w:cs="Arial"/>
        </w:rPr>
        <w:t>per year).</w:t>
      </w:r>
    </w:p>
    <w:p w14:paraId="1A3A6E34" w14:textId="77777777" w:rsidR="00892048" w:rsidRPr="002F4765" w:rsidRDefault="00892048" w:rsidP="00892048">
      <w:pPr>
        <w:pStyle w:val="Figures"/>
      </w:pPr>
      <w:bookmarkStart w:id="9" w:name="_Ref112406599"/>
      <w:r w:rsidRPr="003E2702">
        <w:lastRenderedPageBreak/>
        <w:t>Figure</w:t>
      </w:r>
      <w:r w:rsidR="00040EAF">
        <w:t xml:space="preserve"> </w:t>
      </w:r>
      <w:fldSimple w:instr=" SEQ Figure \* ARABIC \s 2 ">
        <w:r w:rsidR="00447AA1">
          <w:rPr>
            <w:noProof/>
          </w:rPr>
          <w:t>3</w:t>
        </w:r>
      </w:fldSimple>
      <w:bookmarkEnd w:id="9"/>
      <w:r w:rsidRPr="003E2702">
        <w:rPr>
          <w:noProof/>
        </w:rPr>
        <w:t>:</w:t>
      </w:r>
      <w:r w:rsidRPr="000F0FB7">
        <w:t xml:space="preserve"> </w:t>
      </w:r>
      <w:r>
        <w:t>E</w:t>
      </w:r>
      <w:r w:rsidRPr="00285B66">
        <w:t xml:space="preserve">xperience to date and </w:t>
      </w:r>
      <w:r>
        <w:t>projections of</w:t>
      </w:r>
      <w:r w:rsidRPr="00285B66">
        <w:t xml:space="preserve"> participants </w:t>
      </w:r>
      <w:r>
        <w:t>new to</w:t>
      </w:r>
      <w:r w:rsidRPr="00285B66">
        <w:t xml:space="preserve"> SIL</w:t>
      </w:r>
      <w:r>
        <w:rPr>
          <w:rStyle w:val="FootnoteReference"/>
        </w:rPr>
        <w:footnoteReference w:id="15"/>
      </w:r>
    </w:p>
    <w:p w14:paraId="4EA27D48" w14:textId="77777777" w:rsidR="00892048" w:rsidRPr="00953DDA" w:rsidRDefault="00AF01F1" w:rsidP="00892048">
      <w:pPr>
        <w:pStyle w:val="FSRHeading4"/>
      </w:pPr>
      <w:r>
        <w:rPr>
          <w:noProof/>
          <w:lang w:eastAsia="en-AU"/>
        </w:rPr>
        <w:drawing>
          <wp:inline distT="0" distB="0" distL="0" distR="0" wp14:anchorId="17410A0D" wp14:editId="352B5DA1">
            <wp:extent cx="5724000" cy="3012251"/>
            <wp:effectExtent l="0" t="0" r="0" b="0"/>
            <wp:docPr id="476" name="Picture 476" descr="The chart show experience to date and trajectory for participants with SIL: &#10;Actual participants new to SIL supports are 5,867 in 2017-18; 8,389 in 2018-19; 3,067 in 2019-20; 1,201 in 2020-21; &#10;Actual participants new to SIL supports (new SIL definition) is 2,408 in 2021-22; &#10;Actual new entrants with SIL supports are 48 in 2017-18; 430 in 2018-19; 767 in 2019-20; 726 in 2020-21; 1,157 in 2021-22; &#10;Projected participants new to SIL supports based on 2021-22 AFSR are 1,361 in 2022-23; 1,434 in 2023-24; 1,289 in 2024-25; 1,347 in 2025-26; 1,398 in 2026-27; 1,474 in 2027-28; 1,513 in 2028-29; 1,597 in 2029-30; 1,676 in 2030-31; and 1,756 in 2031-32; &#10;Projected participants new to SIL supports based on 2020-21 AFSR are 905 in 2022-23; 1,006 in 2023-24; 1,015 in 2024-25; 1,067 in 2025-26; 1,106 in 2026-27; 1,166 in 2027-28; 1,195 in 2028-29; 1,261 in 2029-30; 1,323 in 2030-31; and 1,380 in 2031-32." title="Figure 3: Experience to date and projections of participants new to S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4000" cy="3012251"/>
                    </a:xfrm>
                    <a:prstGeom prst="rect">
                      <a:avLst/>
                    </a:prstGeom>
                    <a:noFill/>
                  </pic:spPr>
                </pic:pic>
              </a:graphicData>
            </a:graphic>
          </wp:inline>
        </w:drawing>
      </w:r>
    </w:p>
    <w:p w14:paraId="4AAD1C6E" w14:textId="77777777" w:rsidR="00892048" w:rsidRDefault="00892048" w:rsidP="00D72D94">
      <w:pPr>
        <w:pStyle w:val="FSRHeading4"/>
      </w:pPr>
      <w:r>
        <w:t xml:space="preserve">Payments </w:t>
      </w:r>
      <w:r w:rsidR="001B58E3">
        <w:t>e</w:t>
      </w:r>
      <w:r>
        <w:t>xperience 2021-2022</w:t>
      </w:r>
    </w:p>
    <w:p w14:paraId="6E2889AA" w14:textId="77777777" w:rsidR="00892048" w:rsidRDefault="00892048" w:rsidP="00892048">
      <w:pPr>
        <w:pStyle w:val="FSRnormal"/>
      </w:pPr>
      <w:r>
        <w:t>From 1 July 2021 to 30 June 2022, $27.6 billion in payments for supports were made on a cash basis across all participants. This was $1.2 billion or 4.2% less than the 2020-21 AFSR estimate of $28.8 billion. Total payments on an accrual basis were $28.6 billion</w:t>
      </w:r>
      <w:r>
        <w:rPr>
          <w:rStyle w:val="FootnoteReference"/>
          <w:rFonts w:eastAsia="Times New Roman" w:cs="Arial"/>
        </w:rPr>
        <w:footnoteReference w:id="16"/>
      </w:r>
      <w:r>
        <w:t>, 2.0</w:t>
      </w:r>
      <w:r w:rsidRPr="00A670C8">
        <w:t>%</w:t>
      </w:r>
      <w:r>
        <w:t xml:space="preserve"> lower than the 2020-21 AFSR estimate of $29.2 billion.</w:t>
      </w:r>
    </w:p>
    <w:p w14:paraId="24363991" w14:textId="77777777" w:rsidR="00892048" w:rsidRDefault="00892048" w:rsidP="00892048">
      <w:pPr>
        <w:pStyle w:val="FSRnormal"/>
      </w:pPr>
      <w:r>
        <w:t>A significant component of the variance is estimated to be related to systemic impacts from COVID-19 on the supply of and demand for disability support services. Supply-side impacts that are likely to have driven lower payment experience include disability workforce shortages, mobility restrictions and workforce absenteeism from COVID illness and isolation requirements. Demand-side impacts include participant or family wariness of accessing supports due to COVID exposure and participant COVID infection and illness.</w:t>
      </w:r>
    </w:p>
    <w:p w14:paraId="4F4B3E6D" w14:textId="77777777" w:rsidR="00100478" w:rsidRDefault="00100478">
      <w:pPr>
        <w:spacing w:after="160" w:line="259" w:lineRule="auto"/>
      </w:pPr>
      <w:r>
        <w:br w:type="page"/>
      </w:r>
    </w:p>
    <w:p w14:paraId="14A6B1C5" w14:textId="77777777" w:rsidR="00892048" w:rsidRDefault="00892048" w:rsidP="00892048">
      <w:pPr>
        <w:pStyle w:val="FSRnormal"/>
      </w:pPr>
      <w:r>
        <w:lastRenderedPageBreak/>
        <w:t>The impacts of the primary drivers of the variance in the Scheme expense</w:t>
      </w:r>
      <w:r w:rsidR="00FC5741">
        <w:t>s</w:t>
      </w:r>
      <w:r>
        <w:t xml:space="preserve"> for 2021-22 are summarised in </w:t>
      </w:r>
      <w:r w:rsidR="00996904">
        <w:t>Table 6</w:t>
      </w:r>
      <w:r>
        <w:t>.</w:t>
      </w:r>
    </w:p>
    <w:p w14:paraId="59FE81B2" w14:textId="77777777" w:rsidR="00892048" w:rsidRDefault="00892048" w:rsidP="00892048">
      <w:pPr>
        <w:pStyle w:val="Tables"/>
      </w:pPr>
      <w:bookmarkStart w:id="10" w:name="_Ref112314227"/>
      <w:r w:rsidRPr="00DF5D1D">
        <w:t>Table</w:t>
      </w:r>
      <w:r w:rsidR="00ED7E79">
        <w:t xml:space="preserve"> </w:t>
      </w:r>
      <w:fldSimple w:instr=" SEQ Table \* ARABIC \s 2 ">
        <w:r w:rsidR="00A87896">
          <w:rPr>
            <w:noProof/>
          </w:rPr>
          <w:t>6</w:t>
        </w:r>
      </w:fldSimple>
      <w:bookmarkEnd w:id="10"/>
      <w:r w:rsidRPr="00DF5D1D">
        <w:t xml:space="preserve">: </w:t>
      </w:r>
      <w:r w:rsidR="003A191D">
        <w:t>Estimated d</w:t>
      </w:r>
      <w:r w:rsidRPr="00DF5D1D">
        <w:t>rivers of variation in Scheme expense</w:t>
      </w:r>
      <w:r w:rsidR="00FC5741" w:rsidRPr="00DF5D1D">
        <w:t>s</w:t>
      </w:r>
      <w:r w:rsidRPr="00DF5D1D">
        <w:t xml:space="preserve"> in 2021-22</w:t>
      </w:r>
    </w:p>
    <w:tbl>
      <w:tblPr>
        <w:tblW w:w="9026" w:type="dxa"/>
        <w:tblLook w:val="04A0" w:firstRow="1" w:lastRow="0" w:firstColumn="1" w:lastColumn="0" w:noHBand="0" w:noVBand="1"/>
      </w:tblPr>
      <w:tblGrid>
        <w:gridCol w:w="5245"/>
        <w:gridCol w:w="2552"/>
        <w:gridCol w:w="1229"/>
      </w:tblGrid>
      <w:tr w:rsidR="008E74CA" w:rsidRPr="003A191D" w14:paraId="17BCF89E" w14:textId="77777777" w:rsidTr="008E74CA">
        <w:trPr>
          <w:trHeight w:val="397"/>
        </w:trPr>
        <w:tc>
          <w:tcPr>
            <w:tcW w:w="5245" w:type="dxa"/>
            <w:shd w:val="clear" w:color="000000" w:fill="6B2976"/>
            <w:vAlign w:val="center"/>
            <w:hideMark/>
          </w:tcPr>
          <w:p w14:paraId="13C26D2C" w14:textId="77777777" w:rsidR="008E74CA" w:rsidRPr="003A191D" w:rsidRDefault="008E74CA" w:rsidP="008E74CA">
            <w:pPr>
              <w:spacing w:after="0" w:line="240" w:lineRule="auto"/>
              <w:rPr>
                <w:rFonts w:eastAsia="Times New Roman" w:cs="Arial"/>
                <w:b/>
                <w:color w:val="FFFFFF"/>
                <w:sz w:val="20"/>
                <w:szCs w:val="20"/>
                <w:lang w:eastAsia="en-AU"/>
              </w:rPr>
            </w:pPr>
            <w:r w:rsidRPr="003A191D">
              <w:rPr>
                <w:rFonts w:eastAsia="Times New Roman" w:cs="Arial"/>
                <w:b/>
                <w:color w:val="FFFFFF"/>
                <w:sz w:val="20"/>
                <w:szCs w:val="20"/>
                <w:lang w:eastAsia="en-AU"/>
              </w:rPr>
              <w:t xml:space="preserve">Drivers of variation </w:t>
            </w:r>
          </w:p>
        </w:tc>
        <w:tc>
          <w:tcPr>
            <w:tcW w:w="2552" w:type="dxa"/>
            <w:shd w:val="clear" w:color="000000" w:fill="6B2976"/>
            <w:vAlign w:val="center"/>
          </w:tcPr>
          <w:p w14:paraId="24E2ECDB" w14:textId="77777777" w:rsidR="008E74CA" w:rsidRDefault="008E74CA" w:rsidP="008E74CA">
            <w:pPr>
              <w:spacing w:after="0" w:line="240" w:lineRule="auto"/>
              <w:jc w:val="right"/>
              <w:rPr>
                <w:rFonts w:eastAsia="Times New Roman" w:cs="Arial"/>
                <w:b/>
                <w:color w:val="FFFFFF"/>
                <w:sz w:val="20"/>
                <w:szCs w:val="20"/>
                <w:lang w:eastAsia="en-AU"/>
              </w:rPr>
            </w:pPr>
            <w:r>
              <w:rPr>
                <w:rFonts w:eastAsia="Times New Roman" w:cs="Arial"/>
                <w:b/>
                <w:color w:val="FFFFFF"/>
                <w:sz w:val="20"/>
                <w:szCs w:val="20"/>
                <w:lang w:eastAsia="en-AU"/>
              </w:rPr>
              <w:t xml:space="preserve">Estimated </w:t>
            </w:r>
          </w:p>
          <w:p w14:paraId="30A5460E" w14:textId="77777777" w:rsidR="008E74CA" w:rsidRPr="003A191D" w:rsidRDefault="008E74CA" w:rsidP="008E74CA">
            <w:pPr>
              <w:spacing w:after="0" w:line="240" w:lineRule="auto"/>
              <w:jc w:val="right"/>
              <w:rPr>
                <w:rFonts w:eastAsia="Times New Roman" w:cs="Arial"/>
                <w:b/>
                <w:color w:val="FFFFFF"/>
                <w:sz w:val="20"/>
                <w:szCs w:val="20"/>
                <w:lang w:eastAsia="en-AU"/>
              </w:rPr>
            </w:pPr>
            <w:r>
              <w:rPr>
                <w:rFonts w:eastAsia="Times New Roman" w:cs="Arial"/>
                <w:b/>
                <w:color w:val="FFFFFF"/>
                <w:sz w:val="20"/>
                <w:szCs w:val="20"/>
                <w:lang w:eastAsia="en-AU"/>
              </w:rPr>
              <w:t>Impact ($m)</w:t>
            </w:r>
          </w:p>
        </w:tc>
        <w:tc>
          <w:tcPr>
            <w:tcW w:w="1229" w:type="dxa"/>
            <w:shd w:val="clear" w:color="000000" w:fill="6B2976"/>
          </w:tcPr>
          <w:p w14:paraId="4F7D5F47" w14:textId="77777777" w:rsidR="008E74CA" w:rsidRDefault="008E74CA" w:rsidP="008E74CA">
            <w:pPr>
              <w:spacing w:after="0" w:line="240" w:lineRule="auto"/>
              <w:jc w:val="right"/>
              <w:rPr>
                <w:rFonts w:eastAsia="Times New Roman" w:cs="Arial"/>
                <w:b/>
                <w:color w:val="FFFFFF"/>
                <w:sz w:val="20"/>
                <w:szCs w:val="20"/>
                <w:lang w:eastAsia="en-AU"/>
              </w:rPr>
            </w:pPr>
            <w:r>
              <w:rPr>
                <w:rFonts w:eastAsia="Times New Roman" w:cs="Arial"/>
                <w:b/>
                <w:color w:val="FFFFFF"/>
                <w:sz w:val="20"/>
                <w:szCs w:val="20"/>
                <w:lang w:eastAsia="en-AU"/>
              </w:rPr>
              <w:t>Estimated Impact (%)</w:t>
            </w:r>
          </w:p>
        </w:tc>
      </w:tr>
      <w:tr w:rsidR="008E74CA" w:rsidRPr="003A191D" w14:paraId="5CE8FC79" w14:textId="77777777" w:rsidTr="008E74CA">
        <w:trPr>
          <w:trHeight w:val="301"/>
        </w:trPr>
        <w:tc>
          <w:tcPr>
            <w:tcW w:w="5245" w:type="dxa"/>
            <w:shd w:val="clear" w:color="auto" w:fill="auto"/>
            <w:noWrap/>
            <w:vAlign w:val="center"/>
            <w:hideMark/>
          </w:tcPr>
          <w:p w14:paraId="479A865C" w14:textId="77777777" w:rsidR="008E74CA" w:rsidRPr="003A191D" w:rsidRDefault="008E74CA" w:rsidP="008E74CA">
            <w:pPr>
              <w:spacing w:after="0" w:line="240" w:lineRule="auto"/>
              <w:rPr>
                <w:rFonts w:eastAsia="Times New Roman" w:cs="Arial"/>
                <w:color w:val="000000"/>
                <w:sz w:val="20"/>
                <w:szCs w:val="20"/>
                <w:lang w:eastAsia="en-AU"/>
              </w:rPr>
            </w:pPr>
            <w:r w:rsidRPr="003A191D">
              <w:rPr>
                <w:rFonts w:eastAsia="Times New Roman" w:cs="Arial"/>
                <w:color w:val="000000"/>
                <w:sz w:val="20"/>
                <w:szCs w:val="20"/>
                <w:lang w:eastAsia="en-AU"/>
              </w:rPr>
              <w:t>Participant numbers</w:t>
            </w:r>
          </w:p>
        </w:tc>
        <w:tc>
          <w:tcPr>
            <w:tcW w:w="2552" w:type="dxa"/>
            <w:shd w:val="clear" w:color="auto" w:fill="auto"/>
            <w:noWrap/>
            <w:vAlign w:val="center"/>
            <w:hideMark/>
          </w:tcPr>
          <w:p w14:paraId="0E2163C6" w14:textId="77777777" w:rsidR="008E74CA" w:rsidRPr="003A191D" w:rsidRDefault="008E74CA" w:rsidP="008E74CA">
            <w:pPr>
              <w:spacing w:after="0" w:line="240" w:lineRule="auto"/>
              <w:jc w:val="right"/>
              <w:rPr>
                <w:rFonts w:eastAsia="Times New Roman" w:cs="Arial"/>
                <w:color w:val="000000"/>
                <w:sz w:val="20"/>
                <w:szCs w:val="20"/>
                <w:lang w:eastAsia="en-AU"/>
              </w:rPr>
            </w:pPr>
            <w:r w:rsidRPr="003A191D">
              <w:rPr>
                <w:rFonts w:eastAsia="Times New Roman" w:cs="Arial"/>
                <w:color w:val="000000"/>
                <w:sz w:val="20"/>
                <w:szCs w:val="20"/>
                <w:lang w:eastAsia="en-AU"/>
              </w:rPr>
              <w:t xml:space="preserve">+15 </w:t>
            </w:r>
          </w:p>
        </w:tc>
        <w:tc>
          <w:tcPr>
            <w:tcW w:w="1229" w:type="dxa"/>
          </w:tcPr>
          <w:p w14:paraId="31FD4912" w14:textId="77777777" w:rsidR="008E74CA" w:rsidRPr="003A191D" w:rsidRDefault="008E74CA" w:rsidP="008E74CA">
            <w:pPr>
              <w:spacing w:after="0" w:line="240" w:lineRule="auto"/>
              <w:jc w:val="right"/>
              <w:rPr>
                <w:rFonts w:eastAsia="Times New Roman" w:cs="Arial"/>
                <w:color w:val="000000"/>
                <w:sz w:val="20"/>
                <w:szCs w:val="20"/>
                <w:lang w:eastAsia="en-AU"/>
              </w:rPr>
            </w:pPr>
            <w:r>
              <w:rPr>
                <w:rFonts w:eastAsia="Times New Roman" w:cs="Arial"/>
                <w:color w:val="000000"/>
                <w:sz w:val="20"/>
                <w:szCs w:val="20"/>
                <w:lang w:eastAsia="en-AU"/>
              </w:rPr>
              <w:t>-1%</w:t>
            </w:r>
          </w:p>
        </w:tc>
      </w:tr>
      <w:tr w:rsidR="008E74CA" w:rsidRPr="003A191D" w14:paraId="7BF48DAD" w14:textId="77777777" w:rsidTr="00252EAF">
        <w:trPr>
          <w:trHeight w:val="301"/>
        </w:trPr>
        <w:tc>
          <w:tcPr>
            <w:tcW w:w="5245" w:type="dxa"/>
            <w:shd w:val="clear" w:color="auto" w:fill="BFBFBF" w:themeFill="background1" w:themeFillShade="BF"/>
            <w:noWrap/>
            <w:vAlign w:val="center"/>
            <w:hideMark/>
          </w:tcPr>
          <w:p w14:paraId="712A8BFD" w14:textId="77777777" w:rsidR="008E74CA" w:rsidRPr="003A191D" w:rsidRDefault="008E74CA" w:rsidP="008E74CA">
            <w:pPr>
              <w:spacing w:after="0" w:line="240" w:lineRule="auto"/>
              <w:rPr>
                <w:rFonts w:eastAsia="Times New Roman" w:cs="Arial"/>
                <w:color w:val="000000"/>
                <w:sz w:val="20"/>
                <w:szCs w:val="20"/>
                <w:lang w:eastAsia="en-AU"/>
              </w:rPr>
            </w:pPr>
            <w:r w:rsidRPr="003A191D">
              <w:rPr>
                <w:rFonts w:eastAsia="Times New Roman" w:cs="Arial"/>
                <w:color w:val="000000"/>
                <w:sz w:val="20"/>
                <w:szCs w:val="20"/>
                <w:lang w:eastAsia="en-AU"/>
              </w:rPr>
              <w:t>Participant mix</w:t>
            </w:r>
          </w:p>
        </w:tc>
        <w:tc>
          <w:tcPr>
            <w:tcW w:w="2552" w:type="dxa"/>
            <w:shd w:val="clear" w:color="auto" w:fill="BFBFBF" w:themeFill="background1" w:themeFillShade="BF"/>
            <w:noWrap/>
            <w:vAlign w:val="center"/>
            <w:hideMark/>
          </w:tcPr>
          <w:p w14:paraId="0849678B" w14:textId="77777777" w:rsidR="008E74CA" w:rsidRPr="003A191D" w:rsidRDefault="008E74CA" w:rsidP="008E74CA">
            <w:pPr>
              <w:spacing w:after="0" w:line="240" w:lineRule="auto"/>
              <w:jc w:val="right"/>
              <w:rPr>
                <w:rFonts w:eastAsia="Times New Roman" w:cs="Arial"/>
                <w:color w:val="000000"/>
                <w:sz w:val="20"/>
                <w:szCs w:val="20"/>
                <w:lang w:eastAsia="en-AU"/>
              </w:rPr>
            </w:pPr>
            <w:r w:rsidRPr="003A191D">
              <w:rPr>
                <w:rFonts w:eastAsia="Times New Roman" w:cs="Arial"/>
                <w:color w:val="000000"/>
                <w:sz w:val="20"/>
                <w:szCs w:val="20"/>
                <w:lang w:eastAsia="en-AU"/>
              </w:rPr>
              <w:t xml:space="preserve">-126 </w:t>
            </w:r>
          </w:p>
        </w:tc>
        <w:tc>
          <w:tcPr>
            <w:tcW w:w="1229" w:type="dxa"/>
            <w:shd w:val="clear" w:color="auto" w:fill="BFBFBF" w:themeFill="background1" w:themeFillShade="BF"/>
          </w:tcPr>
          <w:p w14:paraId="0315F214" w14:textId="77777777" w:rsidR="008E74CA" w:rsidRPr="003A191D" w:rsidRDefault="008E74CA" w:rsidP="008E74CA">
            <w:pPr>
              <w:spacing w:after="0" w:line="240" w:lineRule="auto"/>
              <w:jc w:val="right"/>
              <w:rPr>
                <w:rFonts w:eastAsia="Times New Roman" w:cs="Arial"/>
                <w:color w:val="000000"/>
                <w:sz w:val="20"/>
                <w:szCs w:val="20"/>
                <w:lang w:eastAsia="en-AU"/>
              </w:rPr>
            </w:pPr>
            <w:r>
              <w:rPr>
                <w:rFonts w:eastAsia="Times New Roman" w:cs="Arial"/>
                <w:color w:val="000000"/>
                <w:sz w:val="20"/>
                <w:szCs w:val="20"/>
                <w:lang w:eastAsia="en-AU"/>
              </w:rPr>
              <w:t>10%</w:t>
            </w:r>
          </w:p>
        </w:tc>
      </w:tr>
      <w:tr w:rsidR="008E74CA" w:rsidRPr="003A191D" w14:paraId="0F037AF4" w14:textId="77777777" w:rsidTr="008E74CA">
        <w:trPr>
          <w:trHeight w:val="301"/>
        </w:trPr>
        <w:tc>
          <w:tcPr>
            <w:tcW w:w="5245" w:type="dxa"/>
            <w:shd w:val="clear" w:color="auto" w:fill="auto"/>
            <w:noWrap/>
            <w:vAlign w:val="center"/>
            <w:hideMark/>
          </w:tcPr>
          <w:p w14:paraId="6FEC30B1" w14:textId="77777777" w:rsidR="008E74CA" w:rsidRPr="003A191D" w:rsidRDefault="008E74CA" w:rsidP="008E74CA">
            <w:pPr>
              <w:spacing w:after="0" w:line="240" w:lineRule="auto"/>
              <w:rPr>
                <w:rFonts w:eastAsia="Times New Roman" w:cs="Arial"/>
                <w:color w:val="000000"/>
                <w:sz w:val="20"/>
                <w:szCs w:val="20"/>
                <w:lang w:eastAsia="en-AU"/>
              </w:rPr>
            </w:pPr>
            <w:r w:rsidRPr="003A191D">
              <w:rPr>
                <w:rFonts w:eastAsia="Times New Roman" w:cs="Arial"/>
                <w:color w:val="000000"/>
                <w:sz w:val="20"/>
                <w:szCs w:val="20"/>
                <w:lang w:eastAsia="en-AU"/>
              </w:rPr>
              <w:t>Systematic supply and demand impacts</w:t>
            </w:r>
          </w:p>
        </w:tc>
        <w:tc>
          <w:tcPr>
            <w:tcW w:w="2552" w:type="dxa"/>
            <w:shd w:val="clear" w:color="auto" w:fill="auto"/>
            <w:noWrap/>
            <w:vAlign w:val="center"/>
            <w:hideMark/>
          </w:tcPr>
          <w:p w14:paraId="5314D708" w14:textId="77777777" w:rsidR="008E74CA" w:rsidRPr="003A191D" w:rsidRDefault="008E74CA" w:rsidP="008E74CA">
            <w:pPr>
              <w:spacing w:after="0" w:line="240" w:lineRule="auto"/>
              <w:jc w:val="right"/>
              <w:rPr>
                <w:rFonts w:eastAsia="Times New Roman" w:cs="Arial"/>
                <w:color w:val="000000"/>
                <w:sz w:val="20"/>
                <w:szCs w:val="20"/>
                <w:lang w:eastAsia="en-AU"/>
              </w:rPr>
            </w:pPr>
            <w:r w:rsidRPr="003A191D">
              <w:rPr>
                <w:rFonts w:eastAsia="Times New Roman" w:cs="Arial"/>
                <w:color w:val="000000"/>
                <w:sz w:val="20"/>
                <w:szCs w:val="20"/>
                <w:lang w:eastAsia="en-AU"/>
              </w:rPr>
              <w:t>-</w:t>
            </w:r>
            <w:r>
              <w:rPr>
                <w:rFonts w:eastAsia="Times New Roman" w:cs="Arial"/>
                <w:color w:val="000000"/>
                <w:sz w:val="20"/>
                <w:szCs w:val="20"/>
                <w:lang w:eastAsia="en-AU"/>
              </w:rPr>
              <w:t>440</w:t>
            </w:r>
            <w:r w:rsidRPr="003A191D">
              <w:rPr>
                <w:rFonts w:eastAsia="Times New Roman" w:cs="Arial"/>
                <w:color w:val="000000"/>
                <w:sz w:val="20"/>
                <w:szCs w:val="20"/>
                <w:lang w:eastAsia="en-AU"/>
              </w:rPr>
              <w:t xml:space="preserve"> </w:t>
            </w:r>
          </w:p>
        </w:tc>
        <w:tc>
          <w:tcPr>
            <w:tcW w:w="1229" w:type="dxa"/>
          </w:tcPr>
          <w:p w14:paraId="618A3AED" w14:textId="77777777" w:rsidR="008E74CA" w:rsidRPr="003A191D" w:rsidRDefault="008E74CA" w:rsidP="008E74CA">
            <w:pPr>
              <w:spacing w:after="0" w:line="240" w:lineRule="auto"/>
              <w:jc w:val="right"/>
              <w:rPr>
                <w:rFonts w:eastAsia="Times New Roman" w:cs="Arial"/>
                <w:color w:val="000000"/>
                <w:sz w:val="20"/>
                <w:szCs w:val="20"/>
                <w:lang w:eastAsia="en-AU"/>
              </w:rPr>
            </w:pPr>
            <w:r>
              <w:rPr>
                <w:rFonts w:eastAsia="Times New Roman" w:cs="Arial"/>
                <w:color w:val="000000"/>
                <w:sz w:val="20"/>
                <w:szCs w:val="20"/>
                <w:lang w:eastAsia="en-AU"/>
              </w:rPr>
              <w:t>37%</w:t>
            </w:r>
          </w:p>
        </w:tc>
      </w:tr>
      <w:tr w:rsidR="008E74CA" w:rsidRPr="003A191D" w14:paraId="0887ECE2" w14:textId="77777777" w:rsidTr="00252EAF">
        <w:trPr>
          <w:trHeight w:val="301"/>
        </w:trPr>
        <w:tc>
          <w:tcPr>
            <w:tcW w:w="5245" w:type="dxa"/>
            <w:shd w:val="clear" w:color="auto" w:fill="BFBFBF" w:themeFill="background1" w:themeFillShade="BF"/>
            <w:noWrap/>
            <w:vAlign w:val="center"/>
            <w:hideMark/>
          </w:tcPr>
          <w:p w14:paraId="1390A8DA" w14:textId="77777777" w:rsidR="008E74CA" w:rsidRPr="003A191D" w:rsidRDefault="008E74CA" w:rsidP="008E74CA">
            <w:pPr>
              <w:spacing w:after="0" w:line="240" w:lineRule="auto"/>
              <w:rPr>
                <w:rFonts w:eastAsia="Times New Roman" w:cs="Arial"/>
                <w:color w:val="000000"/>
                <w:sz w:val="20"/>
                <w:szCs w:val="20"/>
                <w:lang w:eastAsia="en-AU"/>
              </w:rPr>
            </w:pPr>
            <w:r w:rsidRPr="003A191D">
              <w:rPr>
                <w:rFonts w:eastAsia="Times New Roman" w:cs="Arial"/>
                <w:color w:val="000000"/>
                <w:sz w:val="20"/>
                <w:szCs w:val="20"/>
                <w:lang w:eastAsia="en-AU"/>
              </w:rPr>
              <w:t>Provider compliance</w:t>
            </w:r>
          </w:p>
        </w:tc>
        <w:tc>
          <w:tcPr>
            <w:tcW w:w="2552" w:type="dxa"/>
            <w:shd w:val="clear" w:color="auto" w:fill="BFBFBF" w:themeFill="background1" w:themeFillShade="BF"/>
            <w:noWrap/>
            <w:vAlign w:val="center"/>
            <w:hideMark/>
          </w:tcPr>
          <w:p w14:paraId="2FAA6E3D" w14:textId="77777777" w:rsidR="008E74CA" w:rsidRPr="003A191D" w:rsidRDefault="008E74CA" w:rsidP="008E74CA">
            <w:pPr>
              <w:spacing w:after="0" w:line="240" w:lineRule="auto"/>
              <w:jc w:val="right"/>
              <w:rPr>
                <w:rFonts w:eastAsia="Times New Roman" w:cs="Arial"/>
                <w:color w:val="000000"/>
                <w:sz w:val="20"/>
                <w:szCs w:val="20"/>
                <w:lang w:eastAsia="en-AU"/>
              </w:rPr>
            </w:pPr>
            <w:r w:rsidRPr="003A191D">
              <w:rPr>
                <w:rFonts w:eastAsia="Times New Roman" w:cs="Arial"/>
                <w:color w:val="000000"/>
                <w:sz w:val="20"/>
                <w:szCs w:val="20"/>
                <w:lang w:eastAsia="en-AU"/>
              </w:rPr>
              <w:t xml:space="preserve">-65 </w:t>
            </w:r>
          </w:p>
        </w:tc>
        <w:tc>
          <w:tcPr>
            <w:tcW w:w="1229" w:type="dxa"/>
            <w:shd w:val="clear" w:color="auto" w:fill="BFBFBF" w:themeFill="background1" w:themeFillShade="BF"/>
          </w:tcPr>
          <w:p w14:paraId="3853F918" w14:textId="77777777" w:rsidR="008E74CA" w:rsidRPr="003A191D" w:rsidRDefault="008E74CA" w:rsidP="008E74CA">
            <w:pPr>
              <w:spacing w:after="0" w:line="240" w:lineRule="auto"/>
              <w:jc w:val="right"/>
              <w:rPr>
                <w:rFonts w:eastAsia="Times New Roman" w:cs="Arial"/>
                <w:color w:val="000000"/>
                <w:sz w:val="20"/>
                <w:szCs w:val="20"/>
                <w:lang w:eastAsia="en-AU"/>
              </w:rPr>
            </w:pPr>
            <w:r>
              <w:rPr>
                <w:rFonts w:eastAsia="Times New Roman" w:cs="Arial"/>
                <w:color w:val="000000"/>
                <w:sz w:val="20"/>
                <w:szCs w:val="20"/>
                <w:lang w:eastAsia="en-AU"/>
              </w:rPr>
              <w:t>5%</w:t>
            </w:r>
          </w:p>
        </w:tc>
      </w:tr>
      <w:tr w:rsidR="008E74CA" w:rsidRPr="003A191D" w14:paraId="3D6E9EA5" w14:textId="77777777" w:rsidTr="008E74CA">
        <w:trPr>
          <w:trHeight w:val="301"/>
        </w:trPr>
        <w:tc>
          <w:tcPr>
            <w:tcW w:w="5245" w:type="dxa"/>
            <w:shd w:val="clear" w:color="auto" w:fill="auto"/>
            <w:noWrap/>
            <w:vAlign w:val="center"/>
            <w:hideMark/>
          </w:tcPr>
          <w:p w14:paraId="61974170" w14:textId="77777777" w:rsidR="008E74CA" w:rsidRPr="003A191D" w:rsidRDefault="008E74CA" w:rsidP="008E74CA">
            <w:pPr>
              <w:spacing w:after="0" w:line="240" w:lineRule="auto"/>
              <w:rPr>
                <w:rFonts w:eastAsia="Times New Roman" w:cs="Arial"/>
                <w:color w:val="000000"/>
                <w:sz w:val="20"/>
                <w:szCs w:val="20"/>
                <w:lang w:eastAsia="en-AU"/>
              </w:rPr>
            </w:pPr>
            <w:r w:rsidRPr="003A191D">
              <w:rPr>
                <w:rFonts w:eastAsia="Times New Roman" w:cs="Arial"/>
                <w:color w:val="000000"/>
                <w:sz w:val="20"/>
                <w:szCs w:val="20"/>
                <w:lang w:eastAsia="en-AU"/>
              </w:rPr>
              <w:t>Residential Aged Care variance</w:t>
            </w:r>
          </w:p>
        </w:tc>
        <w:tc>
          <w:tcPr>
            <w:tcW w:w="2552" w:type="dxa"/>
            <w:shd w:val="clear" w:color="auto" w:fill="auto"/>
            <w:noWrap/>
            <w:vAlign w:val="center"/>
            <w:hideMark/>
          </w:tcPr>
          <w:p w14:paraId="02B64D64" w14:textId="77777777" w:rsidR="008E74CA" w:rsidRPr="003A191D" w:rsidRDefault="008E74CA" w:rsidP="008E74CA">
            <w:pPr>
              <w:spacing w:after="0" w:line="240" w:lineRule="auto"/>
              <w:jc w:val="right"/>
              <w:rPr>
                <w:rFonts w:eastAsia="Times New Roman" w:cs="Arial"/>
                <w:color w:val="000000"/>
                <w:sz w:val="20"/>
                <w:szCs w:val="20"/>
                <w:lang w:eastAsia="en-AU"/>
              </w:rPr>
            </w:pPr>
            <w:r w:rsidRPr="003A191D">
              <w:rPr>
                <w:rFonts w:eastAsia="Times New Roman" w:cs="Arial"/>
                <w:color w:val="000000"/>
                <w:sz w:val="20"/>
                <w:szCs w:val="20"/>
                <w:lang w:eastAsia="en-AU"/>
              </w:rPr>
              <w:t>-1</w:t>
            </w:r>
            <w:r>
              <w:rPr>
                <w:rFonts w:eastAsia="Times New Roman" w:cs="Arial"/>
                <w:color w:val="000000"/>
                <w:sz w:val="20"/>
                <w:szCs w:val="20"/>
                <w:lang w:eastAsia="en-AU"/>
              </w:rPr>
              <w:t>75</w:t>
            </w:r>
            <w:r w:rsidRPr="003A191D">
              <w:rPr>
                <w:rFonts w:eastAsia="Times New Roman" w:cs="Arial"/>
                <w:color w:val="000000"/>
                <w:sz w:val="20"/>
                <w:szCs w:val="20"/>
                <w:lang w:eastAsia="en-AU"/>
              </w:rPr>
              <w:t xml:space="preserve"> </w:t>
            </w:r>
          </w:p>
        </w:tc>
        <w:tc>
          <w:tcPr>
            <w:tcW w:w="1229" w:type="dxa"/>
          </w:tcPr>
          <w:p w14:paraId="26C3B7CB" w14:textId="77777777" w:rsidR="008E74CA" w:rsidRPr="003A191D" w:rsidRDefault="008E74CA" w:rsidP="008E74CA">
            <w:pPr>
              <w:spacing w:after="0" w:line="240" w:lineRule="auto"/>
              <w:jc w:val="right"/>
              <w:rPr>
                <w:rFonts w:eastAsia="Times New Roman" w:cs="Arial"/>
                <w:color w:val="000000"/>
                <w:sz w:val="20"/>
                <w:szCs w:val="20"/>
                <w:lang w:eastAsia="en-AU"/>
              </w:rPr>
            </w:pPr>
            <w:r>
              <w:rPr>
                <w:rFonts w:eastAsia="Times New Roman" w:cs="Arial"/>
                <w:color w:val="000000"/>
                <w:sz w:val="20"/>
                <w:szCs w:val="20"/>
                <w:lang w:eastAsia="en-AU"/>
              </w:rPr>
              <w:t>15%</w:t>
            </w:r>
          </w:p>
        </w:tc>
      </w:tr>
      <w:tr w:rsidR="008E74CA" w:rsidRPr="003A191D" w14:paraId="7EE2F740" w14:textId="77777777" w:rsidTr="00252EAF">
        <w:trPr>
          <w:trHeight w:val="301"/>
        </w:trPr>
        <w:tc>
          <w:tcPr>
            <w:tcW w:w="5245" w:type="dxa"/>
            <w:tcBorders>
              <w:bottom w:val="single" w:sz="4" w:space="0" w:color="auto"/>
            </w:tcBorders>
            <w:shd w:val="clear" w:color="auto" w:fill="D4C5D7"/>
            <w:noWrap/>
            <w:vAlign w:val="center"/>
          </w:tcPr>
          <w:p w14:paraId="57C8FDC0" w14:textId="77777777" w:rsidR="008E74CA" w:rsidRPr="003A191D" w:rsidRDefault="008E74CA" w:rsidP="008E74CA">
            <w:pPr>
              <w:spacing w:after="0" w:line="240" w:lineRule="auto"/>
              <w:rPr>
                <w:rFonts w:eastAsia="Times New Roman" w:cs="Arial"/>
                <w:b/>
                <w:color w:val="000000"/>
                <w:sz w:val="20"/>
                <w:szCs w:val="20"/>
                <w:lang w:eastAsia="en-AU"/>
              </w:rPr>
            </w:pPr>
            <w:r w:rsidRPr="003A191D">
              <w:rPr>
                <w:rFonts w:eastAsia="Times New Roman" w:cs="Arial"/>
                <w:b/>
                <w:color w:val="000000"/>
                <w:sz w:val="20"/>
                <w:szCs w:val="20"/>
                <w:lang w:eastAsia="en-AU"/>
              </w:rPr>
              <w:t>Total explained</w:t>
            </w:r>
          </w:p>
        </w:tc>
        <w:tc>
          <w:tcPr>
            <w:tcW w:w="2552" w:type="dxa"/>
            <w:tcBorders>
              <w:bottom w:val="single" w:sz="4" w:space="0" w:color="auto"/>
            </w:tcBorders>
            <w:shd w:val="clear" w:color="auto" w:fill="D4C5D7"/>
            <w:noWrap/>
            <w:vAlign w:val="center"/>
          </w:tcPr>
          <w:p w14:paraId="54BB9879" w14:textId="77777777" w:rsidR="008E74CA" w:rsidRPr="003A191D" w:rsidRDefault="008E74CA" w:rsidP="008E74CA">
            <w:pPr>
              <w:spacing w:after="0" w:line="240" w:lineRule="auto"/>
              <w:jc w:val="right"/>
              <w:rPr>
                <w:rFonts w:eastAsia="Times New Roman" w:cs="Arial"/>
                <w:b/>
                <w:color w:val="000000"/>
                <w:sz w:val="20"/>
                <w:szCs w:val="20"/>
                <w:lang w:eastAsia="en-AU"/>
              </w:rPr>
            </w:pPr>
            <w:r w:rsidRPr="003A191D">
              <w:rPr>
                <w:rFonts w:eastAsia="Times New Roman" w:cs="Arial"/>
                <w:b/>
                <w:color w:val="000000"/>
                <w:sz w:val="20"/>
                <w:szCs w:val="20"/>
                <w:lang w:eastAsia="en-AU"/>
              </w:rPr>
              <w:t>-</w:t>
            </w:r>
            <w:r>
              <w:rPr>
                <w:rFonts w:eastAsia="Times New Roman" w:cs="Arial"/>
                <w:b/>
                <w:color w:val="000000"/>
                <w:sz w:val="20"/>
                <w:szCs w:val="20"/>
                <w:lang w:eastAsia="en-AU"/>
              </w:rPr>
              <w:t>792</w:t>
            </w:r>
          </w:p>
        </w:tc>
        <w:tc>
          <w:tcPr>
            <w:tcW w:w="1229" w:type="dxa"/>
            <w:tcBorders>
              <w:bottom w:val="single" w:sz="4" w:space="0" w:color="auto"/>
            </w:tcBorders>
            <w:shd w:val="clear" w:color="auto" w:fill="D4C5D7"/>
          </w:tcPr>
          <w:p w14:paraId="3BD53F1C" w14:textId="77777777" w:rsidR="008E74CA" w:rsidRPr="003A191D" w:rsidRDefault="008E74CA" w:rsidP="008E74CA">
            <w:pPr>
              <w:spacing w:after="0" w:line="240" w:lineRule="auto"/>
              <w:jc w:val="right"/>
              <w:rPr>
                <w:rFonts w:eastAsia="Times New Roman" w:cs="Arial"/>
                <w:b/>
                <w:color w:val="000000"/>
                <w:sz w:val="20"/>
                <w:szCs w:val="20"/>
                <w:lang w:eastAsia="en-AU"/>
              </w:rPr>
            </w:pPr>
            <w:r>
              <w:rPr>
                <w:rFonts w:eastAsia="Times New Roman" w:cs="Arial"/>
                <w:b/>
                <w:color w:val="000000"/>
                <w:sz w:val="20"/>
                <w:szCs w:val="20"/>
                <w:lang w:eastAsia="en-AU"/>
              </w:rPr>
              <w:t>66%</w:t>
            </w:r>
          </w:p>
        </w:tc>
      </w:tr>
      <w:tr w:rsidR="008E74CA" w:rsidRPr="003A191D" w14:paraId="08C02FBE" w14:textId="77777777" w:rsidTr="008E74CA">
        <w:trPr>
          <w:trHeight w:val="301"/>
        </w:trPr>
        <w:tc>
          <w:tcPr>
            <w:tcW w:w="5245" w:type="dxa"/>
            <w:tcBorders>
              <w:bottom w:val="single" w:sz="4" w:space="0" w:color="auto"/>
            </w:tcBorders>
            <w:shd w:val="clear" w:color="auto" w:fill="auto"/>
            <w:noWrap/>
            <w:vAlign w:val="center"/>
            <w:hideMark/>
          </w:tcPr>
          <w:p w14:paraId="64344989" w14:textId="77777777" w:rsidR="008E74CA" w:rsidRPr="003A191D" w:rsidRDefault="008E74CA" w:rsidP="008E74CA">
            <w:pPr>
              <w:spacing w:after="0" w:line="240" w:lineRule="auto"/>
              <w:rPr>
                <w:rFonts w:eastAsia="Times New Roman" w:cs="Arial"/>
                <w:color w:val="000000"/>
                <w:sz w:val="20"/>
                <w:szCs w:val="20"/>
                <w:lang w:eastAsia="en-AU"/>
              </w:rPr>
            </w:pPr>
            <w:r w:rsidRPr="003A191D">
              <w:rPr>
                <w:rFonts w:eastAsia="Times New Roman" w:cs="Arial"/>
                <w:color w:val="000000"/>
                <w:sz w:val="20"/>
                <w:szCs w:val="20"/>
                <w:lang w:eastAsia="en-AU"/>
              </w:rPr>
              <w:t>Unexplained variation</w:t>
            </w:r>
          </w:p>
        </w:tc>
        <w:tc>
          <w:tcPr>
            <w:tcW w:w="2552" w:type="dxa"/>
            <w:tcBorders>
              <w:bottom w:val="single" w:sz="4" w:space="0" w:color="auto"/>
            </w:tcBorders>
            <w:shd w:val="clear" w:color="auto" w:fill="auto"/>
            <w:noWrap/>
            <w:vAlign w:val="center"/>
            <w:hideMark/>
          </w:tcPr>
          <w:p w14:paraId="44F5ED34" w14:textId="77777777" w:rsidR="008E74CA" w:rsidRPr="003A191D" w:rsidRDefault="008E74CA" w:rsidP="008E74CA">
            <w:pPr>
              <w:spacing w:after="0" w:line="240" w:lineRule="auto"/>
              <w:jc w:val="right"/>
              <w:rPr>
                <w:rFonts w:eastAsia="Times New Roman" w:cs="Arial"/>
                <w:color w:val="000000"/>
                <w:sz w:val="20"/>
                <w:szCs w:val="20"/>
                <w:lang w:eastAsia="en-AU"/>
              </w:rPr>
            </w:pPr>
            <w:r w:rsidRPr="003A191D">
              <w:rPr>
                <w:rFonts w:eastAsia="Times New Roman" w:cs="Arial"/>
                <w:color w:val="000000"/>
                <w:sz w:val="20"/>
                <w:szCs w:val="20"/>
                <w:lang w:eastAsia="en-AU"/>
              </w:rPr>
              <w:t>-</w:t>
            </w:r>
            <w:r>
              <w:rPr>
                <w:rFonts w:eastAsia="Times New Roman" w:cs="Arial"/>
                <w:color w:val="000000"/>
                <w:sz w:val="20"/>
                <w:szCs w:val="20"/>
                <w:lang w:eastAsia="en-AU"/>
              </w:rPr>
              <w:t>413</w:t>
            </w:r>
            <w:r w:rsidRPr="003A191D">
              <w:rPr>
                <w:rFonts w:eastAsia="Times New Roman" w:cs="Arial"/>
                <w:color w:val="000000"/>
                <w:sz w:val="20"/>
                <w:szCs w:val="20"/>
                <w:lang w:eastAsia="en-AU"/>
              </w:rPr>
              <w:t xml:space="preserve"> </w:t>
            </w:r>
          </w:p>
        </w:tc>
        <w:tc>
          <w:tcPr>
            <w:tcW w:w="1229" w:type="dxa"/>
            <w:tcBorders>
              <w:bottom w:val="single" w:sz="4" w:space="0" w:color="auto"/>
            </w:tcBorders>
          </w:tcPr>
          <w:p w14:paraId="2999B4F7" w14:textId="77777777" w:rsidR="008E74CA" w:rsidRPr="003A191D" w:rsidRDefault="008E74CA" w:rsidP="008E74CA">
            <w:pPr>
              <w:spacing w:after="0" w:line="240" w:lineRule="auto"/>
              <w:jc w:val="right"/>
              <w:rPr>
                <w:rFonts w:eastAsia="Times New Roman" w:cs="Arial"/>
                <w:color w:val="000000"/>
                <w:sz w:val="20"/>
                <w:szCs w:val="20"/>
                <w:lang w:eastAsia="en-AU"/>
              </w:rPr>
            </w:pPr>
            <w:r>
              <w:rPr>
                <w:rFonts w:eastAsia="Times New Roman" w:cs="Arial"/>
                <w:color w:val="000000"/>
                <w:sz w:val="20"/>
                <w:szCs w:val="20"/>
                <w:lang w:eastAsia="en-AU"/>
              </w:rPr>
              <w:t>34%</w:t>
            </w:r>
          </w:p>
        </w:tc>
      </w:tr>
      <w:tr w:rsidR="008E74CA" w:rsidRPr="003A191D" w14:paraId="21635B13" w14:textId="77777777" w:rsidTr="008E74CA">
        <w:trPr>
          <w:trHeight w:val="301"/>
        </w:trPr>
        <w:tc>
          <w:tcPr>
            <w:tcW w:w="5245" w:type="dxa"/>
            <w:tcBorders>
              <w:top w:val="single" w:sz="4" w:space="0" w:color="auto"/>
              <w:bottom w:val="single" w:sz="4" w:space="0" w:color="auto"/>
            </w:tcBorders>
            <w:shd w:val="clear" w:color="auto" w:fill="D4C5D7"/>
            <w:noWrap/>
            <w:vAlign w:val="center"/>
            <w:hideMark/>
          </w:tcPr>
          <w:p w14:paraId="4FF42E7D" w14:textId="77777777" w:rsidR="008E74CA" w:rsidRPr="003A191D" w:rsidRDefault="008E74CA" w:rsidP="008E74CA">
            <w:pPr>
              <w:spacing w:after="0" w:line="240" w:lineRule="auto"/>
              <w:rPr>
                <w:rFonts w:eastAsia="Times New Roman" w:cs="Arial"/>
                <w:b/>
                <w:bCs/>
                <w:color w:val="000000"/>
                <w:sz w:val="20"/>
                <w:szCs w:val="20"/>
                <w:lang w:eastAsia="en-AU"/>
              </w:rPr>
            </w:pPr>
            <w:r w:rsidRPr="003A191D">
              <w:rPr>
                <w:rFonts w:eastAsia="Times New Roman" w:cs="Arial"/>
                <w:b/>
                <w:bCs/>
                <w:color w:val="000000"/>
                <w:sz w:val="20"/>
                <w:szCs w:val="20"/>
                <w:lang w:eastAsia="en-AU"/>
              </w:rPr>
              <w:t>Total variation (Actual less expected on cash basis)</w:t>
            </w:r>
          </w:p>
        </w:tc>
        <w:tc>
          <w:tcPr>
            <w:tcW w:w="2552" w:type="dxa"/>
            <w:tcBorders>
              <w:top w:val="single" w:sz="4" w:space="0" w:color="auto"/>
              <w:bottom w:val="single" w:sz="4" w:space="0" w:color="auto"/>
            </w:tcBorders>
            <w:shd w:val="clear" w:color="auto" w:fill="D4C5D7"/>
            <w:noWrap/>
            <w:vAlign w:val="center"/>
            <w:hideMark/>
          </w:tcPr>
          <w:p w14:paraId="65A86087" w14:textId="77777777" w:rsidR="008E74CA" w:rsidRPr="003A191D" w:rsidRDefault="008E74CA" w:rsidP="008E74CA">
            <w:pPr>
              <w:spacing w:after="0" w:line="240" w:lineRule="auto"/>
              <w:jc w:val="right"/>
              <w:rPr>
                <w:rFonts w:eastAsia="Times New Roman" w:cs="Arial"/>
                <w:b/>
                <w:bCs/>
                <w:color w:val="000000"/>
                <w:sz w:val="20"/>
                <w:szCs w:val="20"/>
                <w:lang w:eastAsia="en-AU"/>
              </w:rPr>
            </w:pPr>
            <w:r w:rsidRPr="003A191D">
              <w:rPr>
                <w:rFonts w:eastAsia="Times New Roman" w:cs="Arial"/>
                <w:b/>
                <w:bCs/>
                <w:color w:val="000000"/>
                <w:sz w:val="20"/>
                <w:szCs w:val="20"/>
                <w:lang w:eastAsia="en-AU"/>
              </w:rPr>
              <w:t>-1,204</w:t>
            </w:r>
          </w:p>
        </w:tc>
        <w:tc>
          <w:tcPr>
            <w:tcW w:w="1229" w:type="dxa"/>
            <w:tcBorders>
              <w:top w:val="single" w:sz="4" w:space="0" w:color="auto"/>
              <w:bottom w:val="single" w:sz="4" w:space="0" w:color="auto"/>
            </w:tcBorders>
            <w:shd w:val="clear" w:color="auto" w:fill="D4C5D7"/>
          </w:tcPr>
          <w:p w14:paraId="078C0332" w14:textId="77777777" w:rsidR="008E74CA" w:rsidRPr="003A191D" w:rsidRDefault="008E74CA" w:rsidP="008E74CA">
            <w:pPr>
              <w:spacing w:after="0" w:line="240" w:lineRule="auto"/>
              <w:jc w:val="right"/>
              <w:rPr>
                <w:rFonts w:eastAsia="Times New Roman" w:cs="Arial"/>
                <w:b/>
                <w:bCs/>
                <w:color w:val="000000"/>
                <w:sz w:val="20"/>
                <w:szCs w:val="20"/>
                <w:lang w:eastAsia="en-AU"/>
              </w:rPr>
            </w:pPr>
            <w:r>
              <w:rPr>
                <w:rFonts w:eastAsia="Times New Roman" w:cs="Arial"/>
                <w:b/>
                <w:bCs/>
                <w:color w:val="000000"/>
                <w:sz w:val="20"/>
                <w:szCs w:val="20"/>
                <w:lang w:eastAsia="en-AU"/>
              </w:rPr>
              <w:t>100%</w:t>
            </w:r>
          </w:p>
        </w:tc>
      </w:tr>
    </w:tbl>
    <w:p w14:paraId="7BA9AD6F" w14:textId="77777777" w:rsidR="00822F2F" w:rsidRDefault="00822F2F" w:rsidP="00822F2F">
      <w:pPr>
        <w:pStyle w:val="FSRnormal"/>
      </w:pPr>
      <w:r>
        <w:t>In summary, the v</w:t>
      </w:r>
      <w:r w:rsidRPr="002F4765">
        <w:t xml:space="preserve">ariance in </w:t>
      </w:r>
      <w:r>
        <w:t>Scheme expenses for 2021-22 compared with expected</w:t>
      </w:r>
      <w:r w:rsidRPr="002F4765">
        <w:t xml:space="preserve"> </w:t>
      </w:r>
      <w:r>
        <w:t xml:space="preserve">is explained </w:t>
      </w:r>
      <w:r w:rsidRPr="002F4765">
        <w:t>by</w:t>
      </w:r>
      <w:r>
        <w:t>:</w:t>
      </w:r>
      <w:r w:rsidRPr="002F4765">
        <w:t xml:space="preserve"> </w:t>
      </w:r>
    </w:p>
    <w:p w14:paraId="376F6ABE" w14:textId="77777777" w:rsidR="00822F2F" w:rsidRDefault="00822F2F" w:rsidP="00822F2F">
      <w:pPr>
        <w:pStyle w:val="FSRlist"/>
      </w:pPr>
      <w:r>
        <w:t>Systematic disruptions to demand for and supply of services (estimated to be $440m or 37% of total variation)</w:t>
      </w:r>
    </w:p>
    <w:p w14:paraId="485ED8C2" w14:textId="77777777" w:rsidR="00822F2F" w:rsidRDefault="00822F2F" w:rsidP="00822F2F">
      <w:pPr>
        <w:pStyle w:val="FSRlist"/>
      </w:pPr>
      <w:r>
        <w:t>A lower</w:t>
      </w:r>
      <w:r w:rsidRPr="002F4765">
        <w:t xml:space="preserve"> </w:t>
      </w:r>
      <w:r>
        <w:t>than expected expense</w:t>
      </w:r>
      <w:r w:rsidRPr="002F4765">
        <w:t xml:space="preserve"> f</w:t>
      </w:r>
      <w:r>
        <w:t>or</w:t>
      </w:r>
      <w:r w:rsidRPr="002F4765">
        <w:t xml:space="preserve"> participants in Residential Aged Care</w:t>
      </w:r>
      <w:r>
        <w:t xml:space="preserve"> (estimated to be $175m or 15% of total variation)</w:t>
      </w:r>
    </w:p>
    <w:p w14:paraId="79AE6D3B" w14:textId="77777777" w:rsidR="00822F2F" w:rsidRDefault="00822F2F" w:rsidP="00822F2F">
      <w:pPr>
        <w:pStyle w:val="FSRlist"/>
      </w:pPr>
      <w:r>
        <w:t xml:space="preserve">The </w:t>
      </w:r>
      <w:r w:rsidRPr="002F4765">
        <w:t xml:space="preserve">mix </w:t>
      </w:r>
      <w:r>
        <w:t>of</w:t>
      </w:r>
      <w:r w:rsidRPr="002F4765">
        <w:t xml:space="preserve"> new entrants</w:t>
      </w:r>
      <w:r>
        <w:t xml:space="preserve"> which have a relatively low per participant expense, (partially offset by higher than expected participant numbers overall) – estimated to be $111m</w:t>
      </w:r>
      <w:r w:rsidR="00996904">
        <w:t xml:space="preserve"> or 9%</w:t>
      </w:r>
      <w:r>
        <w:rPr>
          <w:rStyle w:val="FootnoteReference"/>
          <w:rFonts w:eastAsia="Times New Roman" w:cs="Arial"/>
        </w:rPr>
        <w:footnoteReference w:id="17"/>
      </w:r>
    </w:p>
    <w:p w14:paraId="33A159B5" w14:textId="77777777" w:rsidR="00822F2F" w:rsidRDefault="00822F2F" w:rsidP="00822F2F">
      <w:pPr>
        <w:pStyle w:val="FSRlist"/>
      </w:pPr>
      <w:r>
        <w:t>Activities to address provider compliance; and</w:t>
      </w:r>
    </w:p>
    <w:p w14:paraId="4FFB5689" w14:textId="77777777" w:rsidR="00822F2F" w:rsidRDefault="00822F2F" w:rsidP="00822F2F">
      <w:pPr>
        <w:pStyle w:val="FSRlist"/>
      </w:pPr>
      <w:r>
        <w:t>Other items which are not explained as they are not able to be quantified</w:t>
      </w:r>
      <w:r w:rsidR="00177C0C">
        <w:t>.</w:t>
      </w:r>
    </w:p>
    <w:p w14:paraId="7833A12E" w14:textId="77777777" w:rsidR="00892048" w:rsidRPr="000F0FB7" w:rsidRDefault="00892048" w:rsidP="00D72D94">
      <w:pPr>
        <w:pStyle w:val="FSRHeading4"/>
      </w:pPr>
      <w:r w:rsidRPr="000F0FB7">
        <w:t>Average payments per participant</w:t>
      </w:r>
    </w:p>
    <w:p w14:paraId="6FBB52A0" w14:textId="77777777" w:rsidR="00892048" w:rsidRPr="000F0FB7" w:rsidRDefault="00892048" w:rsidP="00892048">
      <w:pPr>
        <w:pStyle w:val="FSRnormal"/>
      </w:pPr>
      <w:r>
        <w:t>Despite the lower than expected Scheme expense</w:t>
      </w:r>
      <w:r w:rsidR="00FC5741">
        <w:t>s</w:t>
      </w:r>
      <w:r>
        <w:t xml:space="preserve"> in 2021-22, the average payment increased between 2020-21 and 2021-22 by 1.6% to about $55,200 per participant. This is lower than the increases observed in previous periods. </w:t>
      </w:r>
      <w:r w:rsidRPr="000F0FB7">
        <w:t xml:space="preserve"> Average payments have increased by 9.2% p</w:t>
      </w:r>
      <w:r w:rsidR="00155496">
        <w:t xml:space="preserve">er </w:t>
      </w:r>
      <w:r w:rsidRPr="000F0FB7">
        <w:t>a</w:t>
      </w:r>
      <w:r w:rsidR="00155496">
        <w:t>nnum</w:t>
      </w:r>
      <w:r w:rsidRPr="000F0FB7">
        <w:t xml:space="preserve"> over the last </w:t>
      </w:r>
      <w:r>
        <w:t>three</w:t>
      </w:r>
      <w:r w:rsidRPr="000F0FB7">
        <w:t xml:space="preserve"> years</w:t>
      </w:r>
      <w:r>
        <w:t xml:space="preserve"> </w:t>
      </w:r>
      <w:r w:rsidRPr="005B077F">
        <w:t>(</w:t>
      </w:r>
      <w:r w:rsidR="00ED7E79">
        <w:t>Figure 4</w:t>
      </w:r>
      <w:r w:rsidRPr="000F0FB7">
        <w:t>)</w:t>
      </w:r>
      <w:r>
        <w:t>.</w:t>
      </w:r>
      <w:r w:rsidRPr="000F0FB7">
        <w:t xml:space="preserve"> </w:t>
      </w:r>
    </w:p>
    <w:p w14:paraId="005DBA24" w14:textId="77777777" w:rsidR="00892048" w:rsidRPr="002F4765" w:rsidRDefault="00892048" w:rsidP="00892048">
      <w:pPr>
        <w:pStyle w:val="Figures"/>
      </w:pPr>
      <w:bookmarkStart w:id="11" w:name="_Ref112410379"/>
      <w:r w:rsidRPr="00DF5D1D">
        <w:lastRenderedPageBreak/>
        <w:t>Figure</w:t>
      </w:r>
      <w:r w:rsidR="00040EAF">
        <w:t xml:space="preserve"> </w:t>
      </w:r>
      <w:fldSimple w:instr=" SEQ Figure \* ARABIC \s 2 ">
        <w:r w:rsidR="00447AA1">
          <w:rPr>
            <w:noProof/>
          </w:rPr>
          <w:t>4</w:t>
        </w:r>
      </w:fldSimple>
      <w:bookmarkEnd w:id="11"/>
      <w:r w:rsidRPr="00DF5D1D">
        <w:rPr>
          <w:noProof/>
        </w:rPr>
        <w:t>:</w:t>
      </w:r>
      <w:r w:rsidR="00014BCE">
        <w:rPr>
          <w:noProof/>
        </w:rPr>
        <w:t xml:space="preserve"> </w:t>
      </w:r>
      <w:r w:rsidRPr="000F0FB7">
        <w:t>Average annualised payments over time</w:t>
      </w:r>
      <w:r w:rsidR="006D6FB8">
        <w:t xml:space="preserve"> ($)</w:t>
      </w:r>
      <w:r w:rsidRPr="002F4765">
        <w:rPr>
          <w:rStyle w:val="FootnoteReference"/>
        </w:rPr>
        <w:footnoteReference w:id="18"/>
      </w:r>
    </w:p>
    <w:p w14:paraId="26BAADDA" w14:textId="77777777" w:rsidR="00892048" w:rsidRPr="00177C0C" w:rsidRDefault="007E5211" w:rsidP="00892048">
      <w:pPr>
        <w:pStyle w:val="FSRnormal"/>
      </w:pPr>
      <w:r w:rsidRPr="007E5211">
        <w:rPr>
          <w:noProof/>
          <w:lang w:eastAsia="en-AU"/>
        </w:rPr>
        <w:drawing>
          <wp:inline distT="0" distB="0" distL="0" distR="0" wp14:anchorId="5BB3B936" wp14:editId="18D530A6">
            <wp:extent cx="5346700" cy="3873500"/>
            <wp:effectExtent l="0" t="0" r="6350" b="0"/>
            <wp:docPr id="16" name="Picture 16" descr="The chart shows the average annualised payments over time starting from $42,375 in 2018-19 to $55,184 in 2021-22, an average increase of 9.2% p.a." title="Figure 4: Average annualised payments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4: Average annualised payments over time&#10;&#10;The chart shows the average annualised payments over time starting from $42,375 in 2018-19 to $55,184 in 2021-22, an average increase of 9.2% p.a.&#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6700" cy="3873500"/>
                    </a:xfrm>
                    <a:prstGeom prst="rect">
                      <a:avLst/>
                    </a:prstGeom>
                    <a:noFill/>
                    <a:ln>
                      <a:noFill/>
                    </a:ln>
                  </pic:spPr>
                </pic:pic>
              </a:graphicData>
            </a:graphic>
          </wp:inline>
        </w:drawing>
      </w:r>
    </w:p>
    <w:p w14:paraId="62AC5591" w14:textId="77777777" w:rsidR="00892048" w:rsidRDefault="00892048" w:rsidP="00892048">
      <w:pPr>
        <w:pStyle w:val="FSRnormal"/>
        <w:rPr>
          <w:rFonts w:eastAsia="Times New Roman" w:cs="Arial"/>
          <w:szCs w:val="22"/>
          <w:lang w:eastAsia="en-US"/>
        </w:rPr>
      </w:pPr>
      <w:r w:rsidRPr="00E32B14">
        <w:rPr>
          <w:rFonts w:eastAsia="Times New Roman" w:cs="Arial"/>
          <w:szCs w:val="22"/>
          <w:lang w:eastAsia="en-US"/>
        </w:rPr>
        <w:t xml:space="preserve">Over the past four years, the mix of participants in the Scheme has changed. That is, as the Scheme has rolled out across the country, the proportion of participants by different characteristics has changed. In particular, the proportion of children in the Scheme </w:t>
      </w:r>
      <w:r>
        <w:rPr>
          <w:rFonts w:eastAsia="Times New Roman" w:cs="Arial"/>
          <w:szCs w:val="22"/>
          <w:lang w:eastAsia="en-US"/>
        </w:rPr>
        <w:t>at</w:t>
      </w:r>
      <w:r w:rsidRPr="00E32B14">
        <w:rPr>
          <w:rFonts w:eastAsia="Times New Roman" w:cs="Arial"/>
          <w:szCs w:val="22"/>
          <w:lang w:eastAsia="en-US"/>
        </w:rPr>
        <w:t xml:space="preserve"> June 2022 is </w:t>
      </w:r>
      <w:r>
        <w:rPr>
          <w:rFonts w:eastAsia="Times New Roman" w:cs="Arial"/>
          <w:szCs w:val="22"/>
          <w:lang w:eastAsia="en-US"/>
        </w:rPr>
        <w:t xml:space="preserve">much </w:t>
      </w:r>
      <w:r w:rsidRPr="00E32B14">
        <w:rPr>
          <w:rFonts w:eastAsia="Times New Roman" w:cs="Arial"/>
          <w:szCs w:val="22"/>
          <w:lang w:eastAsia="en-US"/>
        </w:rPr>
        <w:t xml:space="preserve">higher compared to the proportion </w:t>
      </w:r>
      <w:r>
        <w:rPr>
          <w:rFonts w:eastAsia="Times New Roman" w:cs="Arial"/>
          <w:szCs w:val="22"/>
          <w:lang w:eastAsia="en-US"/>
        </w:rPr>
        <w:t>at</w:t>
      </w:r>
      <w:r w:rsidRPr="00E32B14">
        <w:rPr>
          <w:rFonts w:eastAsia="Times New Roman" w:cs="Arial"/>
          <w:szCs w:val="22"/>
          <w:lang w:eastAsia="en-US"/>
        </w:rPr>
        <w:t xml:space="preserve"> June 2019, and the proportion </w:t>
      </w:r>
      <w:r w:rsidR="00FC5741">
        <w:rPr>
          <w:rFonts w:eastAsia="Times New Roman" w:cs="Arial"/>
          <w:szCs w:val="22"/>
          <w:lang w:eastAsia="en-US"/>
        </w:rPr>
        <w:t xml:space="preserve">of participants with </w:t>
      </w:r>
      <w:r w:rsidRPr="00E32B14">
        <w:rPr>
          <w:rFonts w:eastAsia="Times New Roman" w:cs="Arial"/>
          <w:szCs w:val="22"/>
          <w:lang w:eastAsia="en-US"/>
        </w:rPr>
        <w:t xml:space="preserve">SIL in the Scheme </w:t>
      </w:r>
      <w:r>
        <w:rPr>
          <w:rFonts w:eastAsia="Times New Roman" w:cs="Arial"/>
          <w:szCs w:val="22"/>
          <w:lang w:eastAsia="en-US"/>
        </w:rPr>
        <w:t>at</w:t>
      </w:r>
      <w:r w:rsidRPr="00E32B14">
        <w:rPr>
          <w:rFonts w:eastAsia="Times New Roman" w:cs="Arial"/>
          <w:szCs w:val="22"/>
          <w:lang w:eastAsia="en-US"/>
        </w:rPr>
        <w:t xml:space="preserve"> June 2022 is lower compared to the proportion </w:t>
      </w:r>
      <w:r>
        <w:rPr>
          <w:rFonts w:eastAsia="Times New Roman" w:cs="Arial"/>
          <w:szCs w:val="22"/>
          <w:lang w:eastAsia="en-US"/>
        </w:rPr>
        <w:t>at</w:t>
      </w:r>
      <w:r w:rsidRPr="00E32B14">
        <w:rPr>
          <w:rFonts w:eastAsia="Times New Roman" w:cs="Arial"/>
          <w:szCs w:val="22"/>
          <w:lang w:eastAsia="en-US"/>
        </w:rPr>
        <w:t xml:space="preserve"> June 2019</w:t>
      </w:r>
      <w:r>
        <w:rPr>
          <w:rFonts w:eastAsia="Times New Roman" w:cs="Arial"/>
          <w:szCs w:val="22"/>
          <w:lang w:eastAsia="en-US"/>
        </w:rPr>
        <w:t>.</w:t>
      </w:r>
    </w:p>
    <w:p w14:paraId="085B8DF2" w14:textId="77777777" w:rsidR="00892048" w:rsidRDefault="00892048" w:rsidP="00892048">
      <w:pPr>
        <w:pStyle w:val="FSRnormal"/>
        <w:rPr>
          <w:highlight w:val="yellow"/>
        </w:rPr>
      </w:pPr>
      <w:r>
        <w:t xml:space="preserve">In 2021-22, average payments increased by 5.1% for </w:t>
      </w:r>
      <w:r w:rsidRPr="00C578EB">
        <w:t xml:space="preserve">participants </w:t>
      </w:r>
      <w:r>
        <w:t xml:space="preserve">with SIL and 3.6% for </w:t>
      </w:r>
      <w:r w:rsidRPr="00C578EB">
        <w:t xml:space="preserve">participants </w:t>
      </w:r>
      <w:r>
        <w:t>without</w:t>
      </w:r>
      <w:r w:rsidRPr="00C578EB">
        <w:t xml:space="preserve"> SIL</w:t>
      </w:r>
      <w:r>
        <w:t xml:space="preserve"> compared to 1.6% overall. Over the last three years</w:t>
      </w:r>
      <w:r w:rsidRPr="000E6D8A">
        <w:t>, the average annual</w:t>
      </w:r>
      <w:r w:rsidR="006D6FB8">
        <w:t>ised</w:t>
      </w:r>
      <w:r w:rsidRPr="000E6D8A">
        <w:t xml:space="preserve"> payment has increased for participants </w:t>
      </w:r>
      <w:r>
        <w:t xml:space="preserve">with SIL </w:t>
      </w:r>
      <w:r w:rsidRPr="000E6D8A">
        <w:t xml:space="preserve">by </w:t>
      </w:r>
      <w:r>
        <w:t>11.9%,</w:t>
      </w:r>
      <w:r w:rsidRPr="000E6D8A">
        <w:t xml:space="preserve"> and the average annual</w:t>
      </w:r>
      <w:r w:rsidR="006D6FB8">
        <w:t>ised</w:t>
      </w:r>
      <w:r w:rsidRPr="000E6D8A">
        <w:t xml:space="preserve"> payment has increased for participants </w:t>
      </w:r>
      <w:r w:rsidR="00FC5741">
        <w:t xml:space="preserve">without SIL </w:t>
      </w:r>
      <w:r w:rsidRPr="000E6D8A">
        <w:t xml:space="preserve">by </w:t>
      </w:r>
      <w:r>
        <w:t>14.4</w:t>
      </w:r>
      <w:r w:rsidRPr="000E6D8A">
        <w:t>%</w:t>
      </w:r>
      <w:r>
        <w:t xml:space="preserve"> as shown </w:t>
      </w:r>
      <w:r w:rsidR="00C6552E">
        <w:t>in</w:t>
      </w:r>
      <w:r w:rsidR="009E5DD8">
        <w:t xml:space="preserve"> Figure 5</w:t>
      </w:r>
      <w:r w:rsidRPr="00DF5D1D">
        <w:t>.</w:t>
      </w:r>
      <w:r>
        <w:t xml:space="preserve"> </w:t>
      </w:r>
    </w:p>
    <w:p w14:paraId="3B613077" w14:textId="77777777" w:rsidR="00892048" w:rsidRPr="00B14DF0" w:rsidRDefault="00892048" w:rsidP="00892048">
      <w:pPr>
        <w:pStyle w:val="Figures"/>
      </w:pPr>
      <w:bookmarkStart w:id="12" w:name="_Ref112410465"/>
      <w:r w:rsidRPr="00DF5D1D">
        <w:lastRenderedPageBreak/>
        <w:t>Figure</w:t>
      </w:r>
      <w:r w:rsidR="00B10998">
        <w:t xml:space="preserve"> </w:t>
      </w:r>
      <w:fldSimple w:instr=" SEQ Figure \* ARABIC \s 2 ">
        <w:r w:rsidR="00447AA1">
          <w:rPr>
            <w:noProof/>
          </w:rPr>
          <w:t>5</w:t>
        </w:r>
      </w:fldSimple>
      <w:bookmarkEnd w:id="12"/>
      <w:r w:rsidRPr="00DF5D1D">
        <w:t>:</w:t>
      </w:r>
      <w:r w:rsidRPr="00B14DF0">
        <w:t xml:space="preserve"> Average annualised payments over time by SIL </w:t>
      </w:r>
      <w:r>
        <w:t>status</w:t>
      </w:r>
      <w:r w:rsidR="006D6FB8">
        <w:t xml:space="preserve"> ($)</w:t>
      </w:r>
    </w:p>
    <w:p w14:paraId="1A8D1DE0" w14:textId="77777777" w:rsidR="00892048" w:rsidRPr="00DF5D1D" w:rsidRDefault="003F1A97" w:rsidP="00892048">
      <w:pPr>
        <w:pStyle w:val="FSRnormal"/>
      </w:pPr>
      <w:r>
        <w:rPr>
          <w:noProof/>
          <w:lang w:eastAsia="en-AU"/>
        </w:rPr>
        <w:drawing>
          <wp:inline distT="0" distB="0" distL="0" distR="0" wp14:anchorId="45B81696" wp14:editId="424760DE">
            <wp:extent cx="5724000" cy="2252447"/>
            <wp:effectExtent l="0" t="0" r="0" b="0"/>
            <wp:docPr id="255" name="Picture 255" descr="The charts show the average annualised payments, split for participants with and without SIL, over time. For participants with SIL, average annualised payments start from $243,317 in 2018-19 to $340,859 in 2021-22, an average increase of 11.9% p.a. &#10;For participants without SIL, average annualised payments start from $26,421 in 2018-19 to $39,471 in 2021-22, an increase of 14.4% p.a." title="Figure 5: Average annualised pay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4000" cy="2252447"/>
                    </a:xfrm>
                    <a:prstGeom prst="rect">
                      <a:avLst/>
                    </a:prstGeom>
                    <a:noFill/>
                  </pic:spPr>
                </pic:pic>
              </a:graphicData>
            </a:graphic>
          </wp:inline>
        </w:drawing>
      </w:r>
      <w:r w:rsidR="00892048" w:rsidRPr="00DF5D1D">
        <w:fldChar w:fldCharType="begin"/>
      </w:r>
      <w:r w:rsidR="00892048" w:rsidRPr="00DF5D1D">
        <w:instrText xml:space="preserve"> REF _Ref76039593 \h  \* MERGEFORMAT </w:instrText>
      </w:r>
      <w:r w:rsidR="00892048" w:rsidRPr="00DF5D1D">
        <w:fldChar w:fldCharType="separate"/>
      </w:r>
    </w:p>
    <w:p w14:paraId="32BFC948" w14:textId="77777777" w:rsidR="00892048" w:rsidRDefault="00892048" w:rsidP="00892048">
      <w:pPr>
        <w:pStyle w:val="FSRnormal"/>
        <w:rPr>
          <w:b/>
        </w:rPr>
      </w:pPr>
      <w:r w:rsidRPr="00DF5D1D">
        <w:fldChar w:fldCharType="end"/>
      </w:r>
      <w:r w:rsidR="009E5DD8">
        <w:t xml:space="preserve">Figure </w:t>
      </w:r>
      <w:r w:rsidR="00ED7E79">
        <w:t>6</w:t>
      </w:r>
      <w:r w:rsidRPr="00B606C2">
        <w:t xml:space="preserve"> </w:t>
      </w:r>
      <w:r>
        <w:t xml:space="preserve">shows </w:t>
      </w:r>
      <w:r w:rsidRPr="00B606C2">
        <w:t>the change in a</w:t>
      </w:r>
      <w:r w:rsidRPr="009109D0">
        <w:t>verage payment over time by age band for participants</w:t>
      </w:r>
      <w:r w:rsidR="00177C0C">
        <w:t xml:space="preserve"> without SIL</w:t>
      </w:r>
      <w:r w:rsidRPr="009109D0">
        <w:t>. The</w:t>
      </w:r>
      <w:r w:rsidRPr="000E6D8A">
        <w:t xml:space="preserve"> average</w:t>
      </w:r>
      <w:r>
        <w:t xml:space="preserve"> annual</w:t>
      </w:r>
      <w:r w:rsidRPr="000E6D8A">
        <w:t xml:space="preserve"> increase</w:t>
      </w:r>
      <w:r>
        <w:t xml:space="preserve"> over the last three years</w:t>
      </w:r>
      <w:r w:rsidRPr="000E6D8A">
        <w:t xml:space="preserve"> for </w:t>
      </w:r>
      <w:r>
        <w:t>participants</w:t>
      </w:r>
      <w:r w:rsidRPr="000E6D8A">
        <w:t xml:space="preserve"> </w:t>
      </w:r>
      <w:r>
        <w:t xml:space="preserve">aged </w:t>
      </w:r>
      <w:r w:rsidRPr="000E6D8A">
        <w:t xml:space="preserve">0 to 14 </w:t>
      </w:r>
      <w:r>
        <w:t>was</w:t>
      </w:r>
      <w:r w:rsidRPr="000E6D8A">
        <w:t xml:space="preserve"> </w:t>
      </w:r>
      <w:r>
        <w:t xml:space="preserve">10% </w:t>
      </w:r>
      <w:r w:rsidR="00155496">
        <w:t>per annum</w:t>
      </w:r>
      <w:r w:rsidRPr="000E6D8A">
        <w:t>, the average increa</w:t>
      </w:r>
      <w:r>
        <w:t xml:space="preserve">se for participants aged 15 to 24 years was 9% </w:t>
      </w:r>
      <w:r w:rsidR="00155496">
        <w:t>per annum</w:t>
      </w:r>
      <w:r w:rsidRPr="000E6D8A">
        <w:t xml:space="preserve">, the average increase for </w:t>
      </w:r>
      <w:r>
        <w:t>participants</w:t>
      </w:r>
      <w:r w:rsidRPr="000E6D8A">
        <w:t xml:space="preserve"> </w:t>
      </w:r>
      <w:r>
        <w:t>aged 25 to 64 was</w:t>
      </w:r>
      <w:r w:rsidRPr="000E6D8A">
        <w:t xml:space="preserve"> </w:t>
      </w:r>
      <w:r>
        <w:t>19</w:t>
      </w:r>
      <w:r w:rsidRPr="000E6D8A">
        <w:t>%</w:t>
      </w:r>
      <w:r>
        <w:t xml:space="preserve"> </w:t>
      </w:r>
      <w:r w:rsidR="00155496">
        <w:t>per annum</w:t>
      </w:r>
      <w:r w:rsidRPr="000E6D8A">
        <w:t>, and the average increase for</w:t>
      </w:r>
      <w:r>
        <w:t xml:space="preserve"> participants aged over 65 was 20</w:t>
      </w:r>
      <w:r w:rsidRPr="000E6D8A">
        <w:t>%</w:t>
      </w:r>
      <w:r>
        <w:t xml:space="preserve"> </w:t>
      </w:r>
      <w:r w:rsidR="00155496">
        <w:t>per annum</w:t>
      </w:r>
      <w:r>
        <w:t>.</w:t>
      </w:r>
      <w:r w:rsidRPr="000E6D8A">
        <w:t xml:space="preserve"> For </w:t>
      </w:r>
      <w:r w:rsidR="00177C0C">
        <w:t xml:space="preserve">participants </w:t>
      </w:r>
      <w:r w:rsidR="00FC5741">
        <w:t>without SIL</w:t>
      </w:r>
      <w:r w:rsidRPr="000E6D8A">
        <w:t>, average payments have increased at a faster rate for adults (those aged over 25)</w:t>
      </w:r>
      <w:r>
        <w:t>. This</w:t>
      </w:r>
      <w:r w:rsidRPr="000E6D8A">
        <w:t xml:space="preserve"> reflects a material increase in the hours of attendant care support these participants are receiving over time.</w:t>
      </w:r>
    </w:p>
    <w:p w14:paraId="02999DC3" w14:textId="77777777" w:rsidR="00892048" w:rsidRPr="002F4765" w:rsidRDefault="00892048" w:rsidP="0087175F">
      <w:pPr>
        <w:pStyle w:val="Figures"/>
        <w:spacing w:after="0"/>
        <w:rPr>
          <w:rFonts w:cs="Arial"/>
          <w:highlight w:val="yellow"/>
        </w:rPr>
      </w:pPr>
      <w:bookmarkStart w:id="13" w:name="_Ref112410662"/>
      <w:r w:rsidRPr="00DF5D1D">
        <w:lastRenderedPageBreak/>
        <w:t>Figure</w:t>
      </w:r>
      <w:r w:rsidR="00063F77">
        <w:t xml:space="preserve"> </w:t>
      </w:r>
      <w:fldSimple w:instr=" SEQ Figure \* ARABIC \s 2 ">
        <w:r w:rsidR="00447AA1">
          <w:rPr>
            <w:noProof/>
          </w:rPr>
          <w:t>6</w:t>
        </w:r>
      </w:fldSimple>
      <w:bookmarkEnd w:id="13"/>
      <w:r w:rsidRPr="00DF5D1D">
        <w:rPr>
          <w:noProof/>
        </w:rPr>
        <w:t>:</w:t>
      </w:r>
      <w:r w:rsidRPr="00F13B89">
        <w:t xml:space="preserve"> Average annualised payments over time for </w:t>
      </w:r>
      <w:r w:rsidR="00694AEC">
        <w:t xml:space="preserve">participants </w:t>
      </w:r>
      <w:r w:rsidR="0064109A">
        <w:t xml:space="preserve">without SIL </w:t>
      </w:r>
      <w:r w:rsidRPr="00F13B89">
        <w:t>by age band</w:t>
      </w:r>
      <w:r w:rsidR="006D6FB8">
        <w:t xml:space="preserve"> ($)</w:t>
      </w:r>
    </w:p>
    <w:p w14:paraId="5A45E3B5" w14:textId="77777777" w:rsidR="00892048" w:rsidRPr="00C60EC1" w:rsidRDefault="007E5211" w:rsidP="00892048">
      <w:pPr>
        <w:pStyle w:val="FSRnormal"/>
        <w:keepNext/>
        <w:keepLines/>
      </w:pPr>
      <w:r w:rsidRPr="007E5211">
        <w:rPr>
          <w:noProof/>
          <w:lang w:eastAsia="en-AU"/>
        </w:rPr>
        <w:drawing>
          <wp:inline distT="0" distB="0" distL="0" distR="0" wp14:anchorId="475BFF76" wp14:editId="2F643167">
            <wp:extent cx="5731510" cy="3672205"/>
            <wp:effectExtent l="0" t="0" r="2540" b="4445"/>
            <wp:docPr id="36" name="Picture 36" descr="The chart shows the average annualised payments for participants without SIL, split by age band, over time. For age band 0 to 14, average annualised payments start from $14,080 in 2018-19 to $18,731 in 2021-22, an average increase of 10% p.a. For age band 15 to 24, average annualised payments start from $32,160 in 2018-19 to $41,883 in 2021-22, an average increase of 9% p.a. For age band 25 to 64, average annualised payments start from $36,173 in 2018-19 to $60,647 in 2021-22, an average increase of 19% p.a. For age band 65+, average annualised payments start from $38,823 in 2018-19 to $67,445 in 2021-22, an average increase of 20% p.a." title="Figure 6: Average annualised payments over time for participants without SIL by age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Figure 6: Average annualised payments over time for participants without SIL by age band&#10;&#10;The chart shows the average annualised payments for participants without SIL, split by age band, over time. For age band 0 to 14, average annualised payments start from $14,080 in 2018-19 to $18,731 in 2021-22, an average increase of 10% p.a. For age band 15 to 24, average annualised payments start from $32,160 in 2018-19 to $41,883 in 2021-22, an average increase of 9% p.a. For age band 25 to 64, average annualised payments start from $36,173 in 2018-19 to $60,647 in 2021-22, an average increase of 19% p.a. For age band 65+, average annualised payments start from $38,823 in 2018-19 to $67,445 in 2021-22, an average increase of 20% p.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3672205"/>
                    </a:xfrm>
                    <a:prstGeom prst="rect">
                      <a:avLst/>
                    </a:prstGeom>
                    <a:noFill/>
                    <a:ln>
                      <a:noFill/>
                    </a:ln>
                  </pic:spPr>
                </pic:pic>
              </a:graphicData>
            </a:graphic>
          </wp:inline>
        </w:drawing>
      </w:r>
    </w:p>
    <w:p w14:paraId="463D747E" w14:textId="77777777" w:rsidR="00892048" w:rsidRDefault="00892048" w:rsidP="00892048">
      <w:pPr>
        <w:pStyle w:val="FSRnormal"/>
      </w:pPr>
      <w:r>
        <w:t xml:space="preserve">For age groups other than 25-64 years, the average </w:t>
      </w:r>
      <w:r w:rsidR="00DD6EBC">
        <w:t xml:space="preserve">annualised </w:t>
      </w:r>
      <w:r>
        <w:t xml:space="preserve">payment was very similar in 2021-22 compared with 2020-21, while the age group 25-64 saw an increase of 6% in average payment. </w:t>
      </w:r>
    </w:p>
    <w:p w14:paraId="3EAAD92B" w14:textId="77777777" w:rsidR="0087175F" w:rsidRDefault="0087175F">
      <w:pPr>
        <w:spacing w:after="160" w:line="259" w:lineRule="auto"/>
        <w:rPr>
          <w:b/>
          <w:color w:val="6B2976"/>
          <w:sz w:val="25"/>
        </w:rPr>
      </w:pPr>
      <w:r>
        <w:br w:type="page"/>
      </w:r>
    </w:p>
    <w:p w14:paraId="3B5A26D4" w14:textId="77777777" w:rsidR="00892048" w:rsidRPr="000F0FB7" w:rsidRDefault="00892048" w:rsidP="00D72D94">
      <w:pPr>
        <w:pStyle w:val="FSRHeading4"/>
      </w:pPr>
      <w:r>
        <w:lastRenderedPageBreak/>
        <w:t>Inflation</w:t>
      </w:r>
    </w:p>
    <w:p w14:paraId="0C90758D" w14:textId="77777777" w:rsidR="0068540D" w:rsidRPr="000F7384" w:rsidRDefault="00892048" w:rsidP="00892048">
      <w:pPr>
        <w:pStyle w:val="FSRnormal"/>
        <w:rPr>
          <w:rFonts w:cs="Arial"/>
        </w:rPr>
      </w:pPr>
      <w:r w:rsidRPr="000F7384">
        <w:rPr>
          <w:rFonts w:cs="Arial"/>
        </w:rPr>
        <w:t xml:space="preserve">An analysis has been undertaken to quantify the components </w:t>
      </w:r>
      <w:r>
        <w:rPr>
          <w:rFonts w:cs="Arial"/>
        </w:rPr>
        <w:t>driving</w:t>
      </w:r>
      <w:r w:rsidRPr="000F7384">
        <w:rPr>
          <w:rFonts w:cs="Arial"/>
        </w:rPr>
        <w:t xml:space="preserve"> historic inflation. </w:t>
      </w:r>
      <w:r w:rsidR="00ED7E79">
        <w:rPr>
          <w:rFonts w:cs="Arial"/>
        </w:rPr>
        <w:t xml:space="preserve">Table 7 </w:t>
      </w:r>
      <w:r w:rsidRPr="000F7384">
        <w:rPr>
          <w:rFonts w:cs="Arial"/>
        </w:rPr>
        <w:t>sets out the high-level results of the experience analysis where inflation is measured as the year</w:t>
      </w:r>
      <w:r>
        <w:rPr>
          <w:rFonts w:cs="Arial"/>
        </w:rPr>
        <w:t xml:space="preserve">ly </w:t>
      </w:r>
      <w:r w:rsidRPr="000F7384">
        <w:rPr>
          <w:rFonts w:cs="Arial"/>
        </w:rPr>
        <w:t>change in average payments.  </w:t>
      </w:r>
    </w:p>
    <w:p w14:paraId="1CFA503B" w14:textId="77777777" w:rsidR="00892048" w:rsidRPr="00FA6E76" w:rsidRDefault="00892048" w:rsidP="00892048">
      <w:pPr>
        <w:pStyle w:val="Tables"/>
        <w:rPr>
          <w:rFonts w:ascii="Segoe UI" w:hAnsi="Segoe UI" w:cs="Segoe UI"/>
          <w:sz w:val="18"/>
        </w:rPr>
      </w:pPr>
      <w:bookmarkStart w:id="14" w:name="_Ref112410988"/>
      <w:r w:rsidRPr="00783946">
        <w:t>Table</w:t>
      </w:r>
      <w:r w:rsidR="00A87896">
        <w:t xml:space="preserve"> </w:t>
      </w:r>
      <w:fldSimple w:instr=" SEQ Table \* ARABIC \s 2 ">
        <w:r w:rsidR="00A87896">
          <w:rPr>
            <w:noProof/>
          </w:rPr>
          <w:t>7</w:t>
        </w:r>
      </w:fldSimple>
      <w:bookmarkEnd w:id="14"/>
      <w:r w:rsidRPr="004B5A4E">
        <w:t>: Breakdown</w:t>
      </w:r>
      <w:r w:rsidRPr="00FA2D6B">
        <w:t xml:space="preserve"> of past observed inflation</w:t>
      </w:r>
      <w:r w:rsidR="0025355D">
        <w:t xml:space="preserve"> in payments</w:t>
      </w:r>
      <w:r w:rsidRPr="00FA2D6B">
        <w:t> </w:t>
      </w:r>
      <w:r w:rsidRPr="00FA6E76">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0"/>
        <w:gridCol w:w="995"/>
        <w:gridCol w:w="993"/>
        <w:gridCol w:w="850"/>
        <w:gridCol w:w="991"/>
        <w:gridCol w:w="991"/>
        <w:gridCol w:w="946"/>
      </w:tblGrid>
      <w:tr w:rsidR="00115E2B" w:rsidRPr="00063F77" w14:paraId="10CC7694" w14:textId="77777777" w:rsidTr="00115E2B">
        <w:trPr>
          <w:trHeight w:val="300"/>
        </w:trPr>
        <w:tc>
          <w:tcPr>
            <w:tcW w:w="1806" w:type="pct"/>
            <w:tcBorders>
              <w:top w:val="nil"/>
              <w:left w:val="nil"/>
              <w:bottom w:val="nil"/>
              <w:right w:val="nil"/>
            </w:tcBorders>
            <w:shd w:val="clear" w:color="auto" w:fill="6B2976"/>
            <w:vAlign w:val="center"/>
            <w:hideMark/>
          </w:tcPr>
          <w:p w14:paraId="49E4AF24" w14:textId="77777777" w:rsidR="00892048" w:rsidRPr="00DA3F73" w:rsidRDefault="00892048" w:rsidP="00252EAF">
            <w:pPr>
              <w:spacing w:after="0" w:line="240" w:lineRule="auto"/>
              <w:ind w:left="142"/>
              <w:textAlignment w:val="baseline"/>
              <w:rPr>
                <w:rFonts w:eastAsia="Times New Roman" w:cs="Arial"/>
                <w:b/>
                <w:bCs/>
                <w:i/>
                <w:iCs/>
                <w:color w:val="800000"/>
                <w:sz w:val="18"/>
                <w:szCs w:val="18"/>
                <w:lang w:eastAsia="en-AU"/>
              </w:rPr>
            </w:pPr>
            <w:r w:rsidRPr="00063F77">
              <w:rPr>
                <w:rFonts w:eastAsia="Times New Roman" w:cs="Arial"/>
                <w:b/>
                <w:bCs/>
                <w:color w:val="FFFFFF"/>
                <w:sz w:val="18"/>
                <w:szCs w:val="18"/>
                <w:lang w:eastAsia="en-AU"/>
              </w:rPr>
              <w:t>Item of inflation</w:t>
            </w:r>
            <w:r w:rsidRPr="00063F77">
              <w:rPr>
                <w:rFonts w:eastAsia="Times New Roman" w:cs="Arial"/>
                <w:b/>
                <w:bCs/>
                <w:i/>
                <w:iCs/>
                <w:color w:val="FFFFFF"/>
                <w:sz w:val="18"/>
                <w:szCs w:val="18"/>
                <w:lang w:eastAsia="en-AU"/>
              </w:rPr>
              <w:t> </w:t>
            </w:r>
          </w:p>
        </w:tc>
        <w:tc>
          <w:tcPr>
            <w:tcW w:w="551" w:type="pct"/>
            <w:tcBorders>
              <w:top w:val="nil"/>
              <w:left w:val="nil"/>
              <w:bottom w:val="nil"/>
              <w:right w:val="nil"/>
            </w:tcBorders>
            <w:shd w:val="clear" w:color="auto" w:fill="6B2976"/>
            <w:vAlign w:val="center"/>
            <w:hideMark/>
          </w:tcPr>
          <w:p w14:paraId="651FCB65" w14:textId="77777777" w:rsidR="00892048" w:rsidRPr="00DA3F73" w:rsidRDefault="00892048" w:rsidP="008E21F6">
            <w:pPr>
              <w:spacing w:after="0" w:line="240" w:lineRule="auto"/>
              <w:jc w:val="right"/>
              <w:textAlignment w:val="baseline"/>
              <w:rPr>
                <w:rFonts w:eastAsia="Times New Roman" w:cs="Arial"/>
                <w:b/>
                <w:bCs/>
                <w:i/>
                <w:iCs/>
                <w:color w:val="800000"/>
                <w:sz w:val="18"/>
                <w:szCs w:val="18"/>
                <w:lang w:eastAsia="en-AU"/>
              </w:rPr>
            </w:pPr>
            <w:r w:rsidRPr="00063F77">
              <w:rPr>
                <w:rFonts w:eastAsia="Times New Roman" w:cs="Arial"/>
                <w:b/>
                <w:bCs/>
                <w:color w:val="FFFFFF"/>
                <w:sz w:val="18"/>
                <w:szCs w:val="18"/>
                <w:lang w:eastAsia="en-AU"/>
              </w:rPr>
              <w:t>2018-19</w:t>
            </w:r>
            <w:r w:rsidRPr="00063F77">
              <w:rPr>
                <w:rStyle w:val="FootnoteReference"/>
                <w:rFonts w:eastAsia="Times New Roman" w:cs="Arial"/>
                <w:bCs/>
                <w:color w:val="FFFFFF"/>
                <w:sz w:val="18"/>
                <w:szCs w:val="18"/>
                <w:lang w:eastAsia="en-AU"/>
              </w:rPr>
              <w:footnoteReference w:id="19"/>
            </w:r>
          </w:p>
        </w:tc>
        <w:tc>
          <w:tcPr>
            <w:tcW w:w="550" w:type="pct"/>
            <w:tcBorders>
              <w:top w:val="nil"/>
              <w:left w:val="nil"/>
              <w:bottom w:val="nil"/>
              <w:right w:val="nil"/>
            </w:tcBorders>
            <w:shd w:val="clear" w:color="auto" w:fill="6B2976"/>
            <w:vAlign w:val="center"/>
            <w:hideMark/>
          </w:tcPr>
          <w:p w14:paraId="0FCAE14C" w14:textId="77777777" w:rsidR="00892048" w:rsidRPr="00DA3F73" w:rsidRDefault="00892048" w:rsidP="008E21F6">
            <w:pPr>
              <w:spacing w:after="0" w:line="240" w:lineRule="auto"/>
              <w:jc w:val="right"/>
              <w:textAlignment w:val="baseline"/>
              <w:rPr>
                <w:rFonts w:eastAsia="Times New Roman" w:cs="Arial"/>
                <w:b/>
                <w:bCs/>
                <w:i/>
                <w:iCs/>
                <w:color w:val="800000"/>
                <w:sz w:val="18"/>
                <w:szCs w:val="18"/>
                <w:lang w:eastAsia="en-AU"/>
              </w:rPr>
            </w:pPr>
            <w:r w:rsidRPr="00063F77">
              <w:rPr>
                <w:rFonts w:eastAsia="Times New Roman" w:cs="Arial"/>
                <w:b/>
                <w:bCs/>
                <w:color w:val="FFFFFF"/>
                <w:sz w:val="18"/>
                <w:szCs w:val="18"/>
                <w:lang w:eastAsia="en-AU"/>
              </w:rPr>
              <w:t>2019-20</w:t>
            </w:r>
          </w:p>
        </w:tc>
        <w:tc>
          <w:tcPr>
            <w:tcW w:w="471" w:type="pct"/>
            <w:tcBorders>
              <w:top w:val="nil"/>
              <w:left w:val="nil"/>
              <w:bottom w:val="nil"/>
              <w:right w:val="nil"/>
            </w:tcBorders>
            <w:shd w:val="clear" w:color="auto" w:fill="6B2976"/>
            <w:vAlign w:val="center"/>
            <w:hideMark/>
          </w:tcPr>
          <w:p w14:paraId="7531E0E5" w14:textId="77777777" w:rsidR="00892048" w:rsidRPr="00DA3F73" w:rsidRDefault="00892048" w:rsidP="008E21F6">
            <w:pPr>
              <w:spacing w:after="0" w:line="240" w:lineRule="auto"/>
              <w:jc w:val="right"/>
              <w:textAlignment w:val="baseline"/>
              <w:rPr>
                <w:rFonts w:eastAsia="Times New Roman" w:cs="Arial"/>
                <w:b/>
                <w:bCs/>
                <w:i/>
                <w:iCs/>
                <w:color w:val="800000"/>
                <w:sz w:val="18"/>
                <w:szCs w:val="18"/>
                <w:lang w:eastAsia="en-AU"/>
              </w:rPr>
            </w:pPr>
            <w:r w:rsidRPr="00063F77">
              <w:rPr>
                <w:rFonts w:eastAsia="Times New Roman" w:cs="Arial"/>
                <w:b/>
                <w:bCs/>
                <w:color w:val="FFFFFF"/>
                <w:sz w:val="18"/>
                <w:szCs w:val="18"/>
                <w:lang w:eastAsia="en-AU"/>
              </w:rPr>
              <w:t>2020-21</w:t>
            </w:r>
          </w:p>
        </w:tc>
        <w:tc>
          <w:tcPr>
            <w:tcW w:w="549" w:type="pct"/>
            <w:tcBorders>
              <w:top w:val="nil"/>
              <w:left w:val="nil"/>
              <w:bottom w:val="nil"/>
              <w:right w:val="nil"/>
            </w:tcBorders>
            <w:shd w:val="clear" w:color="auto" w:fill="6B2976"/>
            <w:vAlign w:val="center"/>
            <w:hideMark/>
          </w:tcPr>
          <w:p w14:paraId="158DAB8D" w14:textId="77777777" w:rsidR="00892048" w:rsidRPr="00DA3F73" w:rsidRDefault="00892048" w:rsidP="008E21F6">
            <w:pPr>
              <w:spacing w:after="0" w:line="240" w:lineRule="auto"/>
              <w:jc w:val="right"/>
              <w:textAlignment w:val="baseline"/>
              <w:rPr>
                <w:rFonts w:eastAsia="Times New Roman" w:cs="Arial"/>
                <w:b/>
                <w:bCs/>
                <w:i/>
                <w:iCs/>
                <w:color w:val="800000"/>
                <w:sz w:val="18"/>
                <w:szCs w:val="18"/>
                <w:lang w:eastAsia="en-AU"/>
              </w:rPr>
            </w:pPr>
            <w:r w:rsidRPr="00063F77">
              <w:rPr>
                <w:rFonts w:eastAsia="Times New Roman" w:cs="Arial"/>
                <w:b/>
                <w:bCs/>
                <w:color w:val="FFFFFF"/>
                <w:sz w:val="18"/>
                <w:szCs w:val="18"/>
                <w:lang w:eastAsia="en-AU"/>
              </w:rPr>
              <w:t>2021-22</w:t>
            </w:r>
          </w:p>
        </w:tc>
        <w:tc>
          <w:tcPr>
            <w:tcW w:w="549" w:type="pct"/>
            <w:tcBorders>
              <w:top w:val="nil"/>
              <w:left w:val="nil"/>
              <w:bottom w:val="nil"/>
              <w:right w:val="nil"/>
            </w:tcBorders>
            <w:shd w:val="clear" w:color="auto" w:fill="6B2976"/>
            <w:vAlign w:val="center"/>
            <w:hideMark/>
          </w:tcPr>
          <w:p w14:paraId="76FB0B86" w14:textId="77777777" w:rsidR="00892048" w:rsidRPr="00063F77" w:rsidRDefault="00892048" w:rsidP="008E21F6">
            <w:pPr>
              <w:spacing w:after="0" w:line="240" w:lineRule="auto"/>
              <w:jc w:val="right"/>
              <w:textAlignment w:val="baseline"/>
              <w:rPr>
                <w:rFonts w:eastAsia="Times New Roman" w:cs="Arial"/>
                <w:b/>
                <w:bCs/>
                <w:color w:val="FFFFFF"/>
                <w:sz w:val="18"/>
                <w:szCs w:val="18"/>
                <w:lang w:eastAsia="en-AU"/>
              </w:rPr>
            </w:pPr>
            <w:r w:rsidRPr="00063F77">
              <w:rPr>
                <w:rFonts w:eastAsia="Times New Roman" w:cs="Arial"/>
                <w:b/>
                <w:bCs/>
                <w:color w:val="FFFFFF"/>
                <w:sz w:val="18"/>
                <w:szCs w:val="18"/>
                <w:lang w:eastAsia="en-AU"/>
              </w:rPr>
              <w:t>Average</w:t>
            </w:r>
          </w:p>
          <w:p w14:paraId="17F60294" w14:textId="77777777" w:rsidR="00892048" w:rsidRPr="00DA3F73" w:rsidRDefault="00892048" w:rsidP="008E21F6">
            <w:pPr>
              <w:spacing w:after="0" w:line="240" w:lineRule="auto"/>
              <w:jc w:val="right"/>
              <w:textAlignment w:val="baseline"/>
              <w:rPr>
                <w:rFonts w:eastAsia="Times New Roman" w:cs="Arial"/>
                <w:b/>
                <w:bCs/>
                <w:i/>
                <w:iCs/>
                <w:color w:val="800000"/>
                <w:sz w:val="18"/>
                <w:szCs w:val="18"/>
                <w:lang w:eastAsia="en-AU"/>
              </w:rPr>
            </w:pPr>
            <w:r w:rsidRPr="00063F77">
              <w:rPr>
                <w:rFonts w:eastAsia="Times New Roman" w:cs="Arial"/>
                <w:b/>
                <w:bCs/>
                <w:color w:val="FFFFFF"/>
                <w:sz w:val="18"/>
                <w:szCs w:val="18"/>
                <w:lang w:eastAsia="en-AU"/>
              </w:rPr>
              <w:t>2018-22</w:t>
            </w:r>
          </w:p>
        </w:tc>
        <w:tc>
          <w:tcPr>
            <w:tcW w:w="524" w:type="pct"/>
            <w:tcBorders>
              <w:top w:val="nil"/>
              <w:left w:val="nil"/>
              <w:bottom w:val="nil"/>
              <w:right w:val="nil"/>
            </w:tcBorders>
            <w:shd w:val="clear" w:color="auto" w:fill="6B2976"/>
            <w:vAlign w:val="center"/>
          </w:tcPr>
          <w:p w14:paraId="53CD94A6" w14:textId="77777777" w:rsidR="00892048" w:rsidRPr="00063F77" w:rsidRDefault="00892048" w:rsidP="00252EAF">
            <w:pPr>
              <w:spacing w:after="0" w:line="240" w:lineRule="auto"/>
              <w:ind w:right="92"/>
              <w:jc w:val="right"/>
              <w:textAlignment w:val="baseline"/>
              <w:rPr>
                <w:rFonts w:eastAsia="Times New Roman" w:cs="Arial"/>
                <w:b/>
                <w:bCs/>
                <w:color w:val="FFFFFF"/>
                <w:sz w:val="18"/>
                <w:szCs w:val="18"/>
                <w:lang w:eastAsia="en-AU"/>
              </w:rPr>
            </w:pPr>
            <w:r w:rsidRPr="00063F77">
              <w:rPr>
                <w:rFonts w:eastAsia="Times New Roman" w:cs="Arial"/>
                <w:b/>
                <w:bCs/>
                <w:color w:val="FFFFFF"/>
                <w:sz w:val="18"/>
                <w:szCs w:val="18"/>
                <w:lang w:eastAsia="en-AU"/>
              </w:rPr>
              <w:t>Average 2019-22</w:t>
            </w:r>
          </w:p>
        </w:tc>
      </w:tr>
      <w:tr w:rsidR="00115E2B" w:rsidRPr="00063F77" w14:paraId="424BA830" w14:textId="77777777" w:rsidTr="00252EAF">
        <w:trPr>
          <w:trHeight w:val="300"/>
        </w:trPr>
        <w:tc>
          <w:tcPr>
            <w:tcW w:w="1806" w:type="pct"/>
            <w:tcBorders>
              <w:top w:val="nil"/>
              <w:left w:val="nil"/>
              <w:bottom w:val="nil"/>
              <w:right w:val="nil"/>
            </w:tcBorders>
            <w:shd w:val="clear" w:color="auto" w:fill="BFBFBF" w:themeFill="background1" w:themeFillShade="BF"/>
            <w:vAlign w:val="center"/>
            <w:hideMark/>
          </w:tcPr>
          <w:p w14:paraId="0EEDD02E" w14:textId="77777777" w:rsidR="00F73307" w:rsidRPr="00DA3F73" w:rsidRDefault="00F73307" w:rsidP="00252EAF">
            <w:pPr>
              <w:spacing w:after="0" w:line="240" w:lineRule="auto"/>
              <w:ind w:left="142"/>
              <w:textAlignment w:val="baseline"/>
              <w:rPr>
                <w:rFonts w:eastAsia="Times New Roman" w:cs="Arial"/>
                <w:sz w:val="18"/>
                <w:szCs w:val="18"/>
                <w:lang w:eastAsia="en-AU"/>
              </w:rPr>
            </w:pPr>
            <w:r w:rsidRPr="00063F77">
              <w:rPr>
                <w:rFonts w:eastAsia="Times New Roman" w:cs="Arial"/>
                <w:b/>
                <w:bCs/>
                <w:sz w:val="18"/>
                <w:szCs w:val="18"/>
                <w:lang w:eastAsia="en-AU"/>
              </w:rPr>
              <w:t>Observed inflation</w:t>
            </w:r>
            <w:r w:rsidRPr="00063F77">
              <w:rPr>
                <w:rFonts w:eastAsia="Times New Roman" w:cs="Arial"/>
                <w:sz w:val="18"/>
                <w:szCs w:val="18"/>
                <w:lang w:eastAsia="en-AU"/>
              </w:rPr>
              <w:t> </w:t>
            </w:r>
          </w:p>
        </w:tc>
        <w:tc>
          <w:tcPr>
            <w:tcW w:w="551" w:type="pct"/>
            <w:tcBorders>
              <w:top w:val="nil"/>
              <w:left w:val="nil"/>
              <w:bottom w:val="nil"/>
              <w:right w:val="nil"/>
            </w:tcBorders>
            <w:shd w:val="clear" w:color="auto" w:fill="BFBFBF" w:themeFill="background1" w:themeFillShade="BF"/>
            <w:vAlign w:val="center"/>
            <w:hideMark/>
          </w:tcPr>
          <w:p w14:paraId="545821F7" w14:textId="77777777" w:rsidR="00F73307" w:rsidRPr="00DA3F73" w:rsidRDefault="00F73307" w:rsidP="00F73307">
            <w:pPr>
              <w:spacing w:after="0" w:line="240" w:lineRule="auto"/>
              <w:jc w:val="right"/>
              <w:textAlignment w:val="baseline"/>
              <w:rPr>
                <w:rFonts w:eastAsia="Times New Roman" w:cs="Arial"/>
                <w:sz w:val="18"/>
                <w:szCs w:val="18"/>
                <w:lang w:eastAsia="en-AU"/>
              </w:rPr>
            </w:pPr>
            <w:r w:rsidRPr="00F73307">
              <w:rPr>
                <w:sz w:val="18"/>
                <w:szCs w:val="18"/>
              </w:rPr>
              <w:t>9.2%</w:t>
            </w:r>
          </w:p>
        </w:tc>
        <w:tc>
          <w:tcPr>
            <w:tcW w:w="550" w:type="pct"/>
            <w:tcBorders>
              <w:top w:val="nil"/>
              <w:left w:val="nil"/>
              <w:bottom w:val="nil"/>
              <w:right w:val="nil"/>
            </w:tcBorders>
            <w:shd w:val="clear" w:color="auto" w:fill="BFBFBF" w:themeFill="background1" w:themeFillShade="BF"/>
            <w:vAlign w:val="center"/>
            <w:hideMark/>
          </w:tcPr>
          <w:p w14:paraId="541BF5D8" w14:textId="77777777" w:rsidR="00F73307" w:rsidRPr="00DA3F73" w:rsidRDefault="00F73307" w:rsidP="00F73307">
            <w:pPr>
              <w:spacing w:after="0" w:line="240" w:lineRule="auto"/>
              <w:jc w:val="right"/>
              <w:textAlignment w:val="baseline"/>
              <w:rPr>
                <w:rFonts w:eastAsia="Times New Roman" w:cs="Arial"/>
                <w:sz w:val="18"/>
                <w:szCs w:val="18"/>
                <w:lang w:eastAsia="en-AU"/>
              </w:rPr>
            </w:pPr>
            <w:r w:rsidRPr="00F73307">
              <w:rPr>
                <w:sz w:val="18"/>
                <w:szCs w:val="18"/>
              </w:rPr>
              <w:t>19.7%</w:t>
            </w:r>
          </w:p>
        </w:tc>
        <w:tc>
          <w:tcPr>
            <w:tcW w:w="471" w:type="pct"/>
            <w:tcBorders>
              <w:top w:val="nil"/>
              <w:left w:val="nil"/>
              <w:bottom w:val="nil"/>
              <w:right w:val="nil"/>
            </w:tcBorders>
            <w:shd w:val="clear" w:color="auto" w:fill="BFBFBF" w:themeFill="background1" w:themeFillShade="BF"/>
            <w:vAlign w:val="center"/>
            <w:hideMark/>
          </w:tcPr>
          <w:p w14:paraId="4FB335A3" w14:textId="77777777" w:rsidR="00F73307" w:rsidRPr="00DA3F73" w:rsidRDefault="00F73307" w:rsidP="00F73307">
            <w:pPr>
              <w:spacing w:after="0" w:line="240" w:lineRule="auto"/>
              <w:jc w:val="right"/>
              <w:textAlignment w:val="baseline"/>
              <w:rPr>
                <w:rFonts w:eastAsia="Times New Roman" w:cs="Arial"/>
                <w:sz w:val="18"/>
                <w:szCs w:val="18"/>
                <w:lang w:eastAsia="en-AU"/>
              </w:rPr>
            </w:pPr>
            <w:r w:rsidRPr="00F73307">
              <w:rPr>
                <w:sz w:val="18"/>
                <w:szCs w:val="18"/>
              </w:rPr>
              <w:t>6.9%</w:t>
            </w:r>
          </w:p>
        </w:tc>
        <w:tc>
          <w:tcPr>
            <w:tcW w:w="549" w:type="pct"/>
            <w:tcBorders>
              <w:top w:val="nil"/>
              <w:left w:val="nil"/>
              <w:bottom w:val="nil"/>
              <w:right w:val="nil"/>
            </w:tcBorders>
            <w:shd w:val="clear" w:color="auto" w:fill="BFBFBF" w:themeFill="background1" w:themeFillShade="BF"/>
            <w:vAlign w:val="center"/>
            <w:hideMark/>
          </w:tcPr>
          <w:p w14:paraId="291D83B6" w14:textId="77777777" w:rsidR="00F73307" w:rsidRPr="00DA3F73" w:rsidRDefault="00F73307" w:rsidP="00F73307">
            <w:pPr>
              <w:spacing w:after="0" w:line="240" w:lineRule="auto"/>
              <w:jc w:val="right"/>
              <w:textAlignment w:val="baseline"/>
              <w:rPr>
                <w:rFonts w:eastAsia="Times New Roman" w:cs="Arial"/>
                <w:sz w:val="18"/>
                <w:szCs w:val="18"/>
                <w:lang w:eastAsia="en-AU"/>
              </w:rPr>
            </w:pPr>
            <w:r w:rsidRPr="00F73307">
              <w:rPr>
                <w:sz w:val="18"/>
                <w:szCs w:val="18"/>
              </w:rPr>
              <w:t>1.6%</w:t>
            </w:r>
          </w:p>
        </w:tc>
        <w:tc>
          <w:tcPr>
            <w:tcW w:w="549" w:type="pct"/>
            <w:tcBorders>
              <w:top w:val="nil"/>
              <w:left w:val="nil"/>
              <w:bottom w:val="nil"/>
              <w:right w:val="nil"/>
            </w:tcBorders>
            <w:shd w:val="clear" w:color="auto" w:fill="BFBFBF" w:themeFill="background1" w:themeFillShade="BF"/>
            <w:vAlign w:val="center"/>
            <w:hideMark/>
          </w:tcPr>
          <w:p w14:paraId="6C529A42" w14:textId="77777777" w:rsidR="00F73307" w:rsidRPr="00DA3F73" w:rsidRDefault="00F73307" w:rsidP="00F73307">
            <w:pPr>
              <w:spacing w:after="0" w:line="240" w:lineRule="auto"/>
              <w:jc w:val="right"/>
              <w:textAlignment w:val="baseline"/>
              <w:rPr>
                <w:rFonts w:eastAsia="Times New Roman" w:cs="Arial"/>
                <w:sz w:val="18"/>
                <w:szCs w:val="18"/>
                <w:lang w:eastAsia="en-AU"/>
              </w:rPr>
            </w:pPr>
            <w:r w:rsidRPr="00F73307">
              <w:rPr>
                <w:sz w:val="18"/>
                <w:szCs w:val="18"/>
              </w:rPr>
              <w:t>9.2%</w:t>
            </w:r>
          </w:p>
        </w:tc>
        <w:tc>
          <w:tcPr>
            <w:tcW w:w="524" w:type="pct"/>
            <w:tcBorders>
              <w:top w:val="nil"/>
              <w:left w:val="nil"/>
              <w:bottom w:val="nil"/>
              <w:right w:val="nil"/>
            </w:tcBorders>
            <w:shd w:val="clear" w:color="auto" w:fill="BFBFBF" w:themeFill="background1" w:themeFillShade="BF"/>
            <w:vAlign w:val="center"/>
          </w:tcPr>
          <w:p w14:paraId="37F4B835" w14:textId="77777777" w:rsidR="00F73307" w:rsidRPr="00F73307" w:rsidRDefault="00F73307" w:rsidP="00252EAF">
            <w:pPr>
              <w:spacing w:after="0" w:line="240" w:lineRule="auto"/>
              <w:ind w:right="92"/>
              <w:jc w:val="right"/>
              <w:textAlignment w:val="baseline"/>
              <w:rPr>
                <w:rFonts w:eastAsia="Times New Roman" w:cs="Arial"/>
                <w:b/>
                <w:bCs/>
                <w:color w:val="000000"/>
                <w:sz w:val="18"/>
                <w:szCs w:val="18"/>
                <w:lang w:eastAsia="en-AU"/>
              </w:rPr>
            </w:pPr>
            <w:r w:rsidRPr="00F73307">
              <w:rPr>
                <w:sz w:val="18"/>
                <w:szCs w:val="18"/>
              </w:rPr>
              <w:t>9.2%</w:t>
            </w:r>
          </w:p>
        </w:tc>
      </w:tr>
      <w:tr w:rsidR="00F73307" w:rsidRPr="00063F77" w14:paraId="4DA3E3AD" w14:textId="77777777" w:rsidTr="00252EAF">
        <w:trPr>
          <w:trHeight w:val="300"/>
        </w:trPr>
        <w:tc>
          <w:tcPr>
            <w:tcW w:w="1806" w:type="pct"/>
            <w:tcBorders>
              <w:top w:val="nil"/>
              <w:left w:val="nil"/>
              <w:bottom w:val="nil"/>
              <w:right w:val="nil"/>
            </w:tcBorders>
            <w:shd w:val="clear" w:color="auto" w:fill="auto"/>
            <w:vAlign w:val="center"/>
            <w:hideMark/>
          </w:tcPr>
          <w:p w14:paraId="6B801898" w14:textId="77777777" w:rsidR="00F73307" w:rsidRPr="00DA3F73" w:rsidRDefault="00F73307" w:rsidP="00252EAF">
            <w:pPr>
              <w:spacing w:after="0" w:line="240" w:lineRule="auto"/>
              <w:ind w:left="142"/>
              <w:textAlignment w:val="baseline"/>
              <w:rPr>
                <w:rFonts w:eastAsia="Times New Roman" w:cs="Arial"/>
                <w:sz w:val="18"/>
                <w:szCs w:val="18"/>
                <w:lang w:eastAsia="en-AU"/>
              </w:rPr>
            </w:pPr>
            <w:r w:rsidRPr="00063F77">
              <w:rPr>
                <w:rFonts w:eastAsia="Times New Roman" w:cs="Arial"/>
                <w:sz w:val="18"/>
                <w:szCs w:val="18"/>
                <w:lang w:eastAsia="en-AU"/>
              </w:rPr>
              <w:t>less normal inflation and price reviews</w:t>
            </w:r>
          </w:p>
        </w:tc>
        <w:tc>
          <w:tcPr>
            <w:tcW w:w="551" w:type="pct"/>
            <w:tcBorders>
              <w:top w:val="nil"/>
              <w:left w:val="nil"/>
              <w:bottom w:val="nil"/>
              <w:right w:val="nil"/>
            </w:tcBorders>
            <w:shd w:val="clear" w:color="auto" w:fill="auto"/>
            <w:vAlign w:val="center"/>
            <w:hideMark/>
          </w:tcPr>
          <w:p w14:paraId="2C3C7349" w14:textId="77777777" w:rsidR="00F73307" w:rsidRPr="00DA3F73" w:rsidRDefault="00F73307" w:rsidP="00F73307">
            <w:pPr>
              <w:spacing w:after="0" w:line="240" w:lineRule="auto"/>
              <w:jc w:val="right"/>
              <w:textAlignment w:val="baseline"/>
              <w:rPr>
                <w:rFonts w:eastAsia="Times New Roman" w:cs="Arial"/>
                <w:sz w:val="18"/>
                <w:szCs w:val="18"/>
                <w:lang w:eastAsia="en-AU"/>
              </w:rPr>
            </w:pPr>
            <w:r w:rsidRPr="00F73307">
              <w:rPr>
                <w:sz w:val="18"/>
                <w:szCs w:val="18"/>
              </w:rPr>
              <w:t>6.4%</w:t>
            </w:r>
          </w:p>
        </w:tc>
        <w:tc>
          <w:tcPr>
            <w:tcW w:w="550" w:type="pct"/>
            <w:tcBorders>
              <w:top w:val="nil"/>
              <w:left w:val="nil"/>
              <w:bottom w:val="nil"/>
              <w:right w:val="nil"/>
            </w:tcBorders>
            <w:shd w:val="clear" w:color="auto" w:fill="auto"/>
            <w:vAlign w:val="center"/>
            <w:hideMark/>
          </w:tcPr>
          <w:p w14:paraId="261F78EF" w14:textId="77777777" w:rsidR="00F73307" w:rsidRPr="00DA3F73" w:rsidRDefault="00F73307" w:rsidP="00F73307">
            <w:pPr>
              <w:spacing w:after="0" w:line="240" w:lineRule="auto"/>
              <w:jc w:val="right"/>
              <w:textAlignment w:val="baseline"/>
              <w:rPr>
                <w:rFonts w:eastAsia="Times New Roman" w:cs="Arial"/>
                <w:sz w:val="18"/>
                <w:szCs w:val="18"/>
                <w:lang w:eastAsia="en-AU"/>
              </w:rPr>
            </w:pPr>
            <w:r w:rsidRPr="00F73307">
              <w:rPr>
                <w:sz w:val="18"/>
                <w:szCs w:val="18"/>
              </w:rPr>
              <w:t>12.0%</w:t>
            </w:r>
          </w:p>
        </w:tc>
        <w:tc>
          <w:tcPr>
            <w:tcW w:w="471" w:type="pct"/>
            <w:tcBorders>
              <w:top w:val="nil"/>
              <w:left w:val="nil"/>
              <w:bottom w:val="nil"/>
              <w:right w:val="nil"/>
            </w:tcBorders>
            <w:shd w:val="clear" w:color="auto" w:fill="auto"/>
            <w:vAlign w:val="center"/>
            <w:hideMark/>
          </w:tcPr>
          <w:p w14:paraId="206F3242" w14:textId="77777777" w:rsidR="00F73307" w:rsidRPr="00DA3F73" w:rsidRDefault="00F73307" w:rsidP="00F73307">
            <w:pPr>
              <w:spacing w:after="0" w:line="240" w:lineRule="auto"/>
              <w:jc w:val="right"/>
              <w:textAlignment w:val="baseline"/>
              <w:rPr>
                <w:rFonts w:eastAsia="Times New Roman" w:cs="Arial"/>
                <w:sz w:val="18"/>
                <w:szCs w:val="18"/>
                <w:lang w:eastAsia="en-AU"/>
              </w:rPr>
            </w:pPr>
            <w:r w:rsidRPr="00F73307">
              <w:rPr>
                <w:sz w:val="18"/>
                <w:szCs w:val="18"/>
              </w:rPr>
              <w:t>2.1%</w:t>
            </w:r>
          </w:p>
        </w:tc>
        <w:tc>
          <w:tcPr>
            <w:tcW w:w="549" w:type="pct"/>
            <w:tcBorders>
              <w:top w:val="nil"/>
              <w:left w:val="nil"/>
              <w:bottom w:val="nil"/>
              <w:right w:val="nil"/>
            </w:tcBorders>
            <w:shd w:val="clear" w:color="auto" w:fill="auto"/>
            <w:vAlign w:val="center"/>
            <w:hideMark/>
          </w:tcPr>
          <w:p w14:paraId="64E7C1C0" w14:textId="77777777" w:rsidR="00F73307" w:rsidRPr="00DA3F73" w:rsidRDefault="00F73307" w:rsidP="00F73307">
            <w:pPr>
              <w:spacing w:after="0" w:line="240" w:lineRule="auto"/>
              <w:jc w:val="right"/>
              <w:textAlignment w:val="baseline"/>
              <w:rPr>
                <w:rFonts w:eastAsia="Times New Roman" w:cs="Arial"/>
                <w:sz w:val="18"/>
                <w:szCs w:val="18"/>
                <w:lang w:eastAsia="en-AU"/>
              </w:rPr>
            </w:pPr>
            <w:r w:rsidRPr="00F73307">
              <w:rPr>
                <w:sz w:val="18"/>
                <w:szCs w:val="18"/>
              </w:rPr>
              <w:t>2.4%</w:t>
            </w:r>
          </w:p>
        </w:tc>
        <w:tc>
          <w:tcPr>
            <w:tcW w:w="549" w:type="pct"/>
            <w:tcBorders>
              <w:top w:val="nil"/>
              <w:left w:val="nil"/>
              <w:bottom w:val="nil"/>
              <w:right w:val="nil"/>
            </w:tcBorders>
            <w:shd w:val="clear" w:color="auto" w:fill="auto"/>
            <w:vAlign w:val="center"/>
            <w:hideMark/>
          </w:tcPr>
          <w:p w14:paraId="2A00D04C" w14:textId="77777777" w:rsidR="00F73307" w:rsidRPr="00DA3F73" w:rsidRDefault="00F73307" w:rsidP="00F73307">
            <w:pPr>
              <w:spacing w:after="0" w:line="240" w:lineRule="auto"/>
              <w:jc w:val="right"/>
              <w:textAlignment w:val="baseline"/>
              <w:rPr>
                <w:rFonts w:eastAsia="Times New Roman" w:cs="Arial"/>
                <w:sz w:val="18"/>
                <w:szCs w:val="18"/>
                <w:lang w:eastAsia="en-AU"/>
              </w:rPr>
            </w:pPr>
            <w:r w:rsidRPr="00F73307">
              <w:rPr>
                <w:sz w:val="18"/>
                <w:szCs w:val="18"/>
              </w:rPr>
              <w:t>5.6%</w:t>
            </w:r>
          </w:p>
        </w:tc>
        <w:tc>
          <w:tcPr>
            <w:tcW w:w="524" w:type="pct"/>
            <w:tcBorders>
              <w:top w:val="nil"/>
              <w:left w:val="nil"/>
              <w:bottom w:val="nil"/>
              <w:right w:val="nil"/>
            </w:tcBorders>
            <w:vAlign w:val="center"/>
          </w:tcPr>
          <w:p w14:paraId="7C43BC83" w14:textId="77777777" w:rsidR="00F73307" w:rsidRPr="00F73307" w:rsidRDefault="00F73307" w:rsidP="00252EAF">
            <w:pPr>
              <w:spacing w:after="0" w:line="240" w:lineRule="auto"/>
              <w:ind w:right="92"/>
              <w:jc w:val="right"/>
              <w:textAlignment w:val="baseline"/>
              <w:rPr>
                <w:rFonts w:eastAsia="Times New Roman" w:cs="Arial"/>
                <w:color w:val="000000"/>
                <w:sz w:val="18"/>
                <w:szCs w:val="18"/>
                <w:lang w:eastAsia="en-AU"/>
              </w:rPr>
            </w:pPr>
            <w:r w:rsidRPr="00F73307">
              <w:rPr>
                <w:sz w:val="18"/>
                <w:szCs w:val="18"/>
              </w:rPr>
              <w:t>5.4%</w:t>
            </w:r>
          </w:p>
        </w:tc>
      </w:tr>
      <w:tr w:rsidR="00115E2B" w:rsidRPr="00063F77" w14:paraId="7A5C6A62" w14:textId="77777777" w:rsidTr="00252EAF">
        <w:trPr>
          <w:trHeight w:val="300"/>
        </w:trPr>
        <w:tc>
          <w:tcPr>
            <w:tcW w:w="1806" w:type="pct"/>
            <w:tcBorders>
              <w:top w:val="nil"/>
              <w:left w:val="nil"/>
              <w:bottom w:val="nil"/>
              <w:right w:val="nil"/>
            </w:tcBorders>
            <w:shd w:val="clear" w:color="auto" w:fill="BFBFBF" w:themeFill="background1" w:themeFillShade="BF"/>
            <w:vAlign w:val="center"/>
            <w:hideMark/>
          </w:tcPr>
          <w:p w14:paraId="236247E1" w14:textId="77777777" w:rsidR="00F73307" w:rsidRPr="00DA3F73" w:rsidRDefault="00F73307" w:rsidP="00252EAF">
            <w:pPr>
              <w:spacing w:after="0" w:line="240" w:lineRule="auto"/>
              <w:ind w:left="142"/>
              <w:textAlignment w:val="baseline"/>
              <w:rPr>
                <w:rFonts w:eastAsia="Times New Roman" w:cs="Arial"/>
                <w:sz w:val="18"/>
                <w:szCs w:val="18"/>
                <w:lang w:eastAsia="en-AU"/>
              </w:rPr>
            </w:pPr>
            <w:r w:rsidRPr="00063F77">
              <w:rPr>
                <w:rFonts w:eastAsia="Times New Roman" w:cs="Arial"/>
                <w:sz w:val="18"/>
                <w:szCs w:val="18"/>
                <w:lang w:eastAsia="en-AU"/>
              </w:rPr>
              <w:t>less change in mix</w:t>
            </w:r>
            <w:r w:rsidRPr="00063F77">
              <w:rPr>
                <w:rStyle w:val="FootnoteReference"/>
                <w:rFonts w:eastAsia="Times New Roman" w:cs="Arial"/>
                <w:sz w:val="18"/>
                <w:szCs w:val="18"/>
                <w:lang w:eastAsia="en-AU"/>
              </w:rPr>
              <w:footnoteReference w:id="20"/>
            </w:r>
          </w:p>
        </w:tc>
        <w:tc>
          <w:tcPr>
            <w:tcW w:w="551" w:type="pct"/>
            <w:tcBorders>
              <w:top w:val="nil"/>
              <w:left w:val="nil"/>
              <w:bottom w:val="nil"/>
              <w:right w:val="nil"/>
            </w:tcBorders>
            <w:shd w:val="clear" w:color="auto" w:fill="BFBFBF" w:themeFill="background1" w:themeFillShade="BF"/>
            <w:vAlign w:val="center"/>
            <w:hideMark/>
          </w:tcPr>
          <w:p w14:paraId="0C6C4906" w14:textId="77777777" w:rsidR="00F73307" w:rsidRPr="00DA3F73" w:rsidRDefault="00F73307" w:rsidP="00F73307">
            <w:pPr>
              <w:spacing w:after="0" w:line="240" w:lineRule="auto"/>
              <w:jc w:val="right"/>
              <w:textAlignment w:val="baseline"/>
              <w:rPr>
                <w:rFonts w:eastAsia="Times New Roman" w:cs="Arial"/>
                <w:sz w:val="18"/>
                <w:szCs w:val="18"/>
                <w:lang w:eastAsia="en-AU"/>
              </w:rPr>
            </w:pPr>
            <w:r w:rsidRPr="00F73307">
              <w:rPr>
                <w:sz w:val="18"/>
                <w:szCs w:val="18"/>
              </w:rPr>
              <w:t>1.5%</w:t>
            </w:r>
          </w:p>
        </w:tc>
        <w:tc>
          <w:tcPr>
            <w:tcW w:w="550" w:type="pct"/>
            <w:tcBorders>
              <w:top w:val="nil"/>
              <w:left w:val="nil"/>
              <w:bottom w:val="nil"/>
              <w:right w:val="nil"/>
            </w:tcBorders>
            <w:shd w:val="clear" w:color="auto" w:fill="BFBFBF" w:themeFill="background1" w:themeFillShade="BF"/>
            <w:vAlign w:val="center"/>
            <w:hideMark/>
          </w:tcPr>
          <w:p w14:paraId="313A2D31" w14:textId="77777777" w:rsidR="00F73307" w:rsidRPr="00DA3F73" w:rsidRDefault="00F73307" w:rsidP="00F73307">
            <w:pPr>
              <w:spacing w:after="0" w:line="240" w:lineRule="auto"/>
              <w:jc w:val="right"/>
              <w:textAlignment w:val="baseline"/>
              <w:rPr>
                <w:rFonts w:eastAsia="Times New Roman" w:cs="Arial"/>
                <w:sz w:val="18"/>
                <w:szCs w:val="18"/>
                <w:lang w:eastAsia="en-AU"/>
              </w:rPr>
            </w:pPr>
            <w:r w:rsidRPr="00F73307">
              <w:rPr>
                <w:sz w:val="18"/>
                <w:szCs w:val="18"/>
              </w:rPr>
              <w:t>-6.6%</w:t>
            </w:r>
          </w:p>
        </w:tc>
        <w:tc>
          <w:tcPr>
            <w:tcW w:w="471" w:type="pct"/>
            <w:tcBorders>
              <w:top w:val="nil"/>
              <w:left w:val="nil"/>
              <w:bottom w:val="nil"/>
              <w:right w:val="nil"/>
            </w:tcBorders>
            <w:shd w:val="clear" w:color="auto" w:fill="BFBFBF" w:themeFill="background1" w:themeFillShade="BF"/>
            <w:vAlign w:val="center"/>
            <w:hideMark/>
          </w:tcPr>
          <w:p w14:paraId="1FE48B9E" w14:textId="77777777" w:rsidR="00F73307" w:rsidRPr="00DA3F73" w:rsidRDefault="00F73307" w:rsidP="00F73307">
            <w:pPr>
              <w:spacing w:after="0" w:line="240" w:lineRule="auto"/>
              <w:jc w:val="right"/>
              <w:textAlignment w:val="baseline"/>
              <w:rPr>
                <w:rFonts w:eastAsia="Times New Roman" w:cs="Arial"/>
                <w:sz w:val="18"/>
                <w:szCs w:val="18"/>
                <w:lang w:eastAsia="en-AU"/>
              </w:rPr>
            </w:pPr>
            <w:r w:rsidRPr="00F73307">
              <w:rPr>
                <w:sz w:val="18"/>
                <w:szCs w:val="18"/>
              </w:rPr>
              <w:t>-9.2%</w:t>
            </w:r>
          </w:p>
        </w:tc>
        <w:tc>
          <w:tcPr>
            <w:tcW w:w="549" w:type="pct"/>
            <w:tcBorders>
              <w:top w:val="nil"/>
              <w:left w:val="nil"/>
              <w:bottom w:val="nil"/>
              <w:right w:val="nil"/>
            </w:tcBorders>
            <w:shd w:val="clear" w:color="auto" w:fill="BFBFBF" w:themeFill="background1" w:themeFillShade="BF"/>
            <w:vAlign w:val="center"/>
            <w:hideMark/>
          </w:tcPr>
          <w:p w14:paraId="1DCCE592" w14:textId="77777777" w:rsidR="00F73307" w:rsidRPr="00DA3F73" w:rsidRDefault="00F73307" w:rsidP="00F73307">
            <w:pPr>
              <w:spacing w:after="0" w:line="240" w:lineRule="auto"/>
              <w:jc w:val="right"/>
              <w:textAlignment w:val="baseline"/>
              <w:rPr>
                <w:rFonts w:eastAsia="Times New Roman" w:cs="Arial"/>
                <w:sz w:val="18"/>
                <w:szCs w:val="18"/>
                <w:lang w:eastAsia="en-AU"/>
              </w:rPr>
            </w:pPr>
            <w:r w:rsidRPr="00F73307">
              <w:rPr>
                <w:sz w:val="18"/>
                <w:szCs w:val="18"/>
              </w:rPr>
              <w:t>-6.2%</w:t>
            </w:r>
          </w:p>
        </w:tc>
        <w:tc>
          <w:tcPr>
            <w:tcW w:w="549" w:type="pct"/>
            <w:tcBorders>
              <w:top w:val="nil"/>
              <w:left w:val="nil"/>
              <w:bottom w:val="nil"/>
              <w:right w:val="nil"/>
            </w:tcBorders>
            <w:shd w:val="clear" w:color="auto" w:fill="BFBFBF" w:themeFill="background1" w:themeFillShade="BF"/>
            <w:vAlign w:val="center"/>
            <w:hideMark/>
          </w:tcPr>
          <w:p w14:paraId="588FDC38" w14:textId="77777777" w:rsidR="00F73307" w:rsidRPr="00DA3F73" w:rsidRDefault="00F73307" w:rsidP="00F73307">
            <w:pPr>
              <w:spacing w:after="0" w:line="240" w:lineRule="auto"/>
              <w:jc w:val="right"/>
              <w:textAlignment w:val="baseline"/>
              <w:rPr>
                <w:rFonts w:eastAsia="Times New Roman" w:cs="Arial"/>
                <w:sz w:val="18"/>
                <w:szCs w:val="18"/>
                <w:lang w:eastAsia="en-AU"/>
              </w:rPr>
            </w:pPr>
            <w:r w:rsidRPr="00F73307">
              <w:rPr>
                <w:sz w:val="18"/>
                <w:szCs w:val="18"/>
              </w:rPr>
              <w:t>-5.2%</w:t>
            </w:r>
          </w:p>
        </w:tc>
        <w:tc>
          <w:tcPr>
            <w:tcW w:w="524" w:type="pct"/>
            <w:tcBorders>
              <w:top w:val="nil"/>
              <w:left w:val="nil"/>
              <w:bottom w:val="nil"/>
              <w:right w:val="nil"/>
            </w:tcBorders>
            <w:shd w:val="clear" w:color="auto" w:fill="BFBFBF" w:themeFill="background1" w:themeFillShade="BF"/>
            <w:vAlign w:val="center"/>
          </w:tcPr>
          <w:p w14:paraId="22002371" w14:textId="77777777" w:rsidR="00F73307" w:rsidRPr="00DA3F73" w:rsidRDefault="00F73307" w:rsidP="00252EAF">
            <w:pPr>
              <w:spacing w:after="0" w:line="240" w:lineRule="auto"/>
              <w:ind w:right="92"/>
              <w:jc w:val="right"/>
              <w:textAlignment w:val="baseline"/>
              <w:rPr>
                <w:rFonts w:eastAsia="Times New Roman" w:cs="Arial"/>
                <w:color w:val="000000"/>
                <w:sz w:val="18"/>
                <w:szCs w:val="18"/>
                <w:lang w:eastAsia="en-AU"/>
              </w:rPr>
            </w:pPr>
            <w:r w:rsidRPr="00F73307">
              <w:rPr>
                <w:sz w:val="18"/>
                <w:szCs w:val="18"/>
              </w:rPr>
              <w:t>-7.4%</w:t>
            </w:r>
          </w:p>
        </w:tc>
      </w:tr>
      <w:tr w:rsidR="00F73307" w:rsidRPr="00063F77" w14:paraId="389461BB" w14:textId="77777777" w:rsidTr="00252EAF">
        <w:trPr>
          <w:trHeight w:val="300"/>
        </w:trPr>
        <w:tc>
          <w:tcPr>
            <w:tcW w:w="1806" w:type="pct"/>
            <w:tcBorders>
              <w:top w:val="nil"/>
              <w:left w:val="nil"/>
              <w:bottom w:val="single" w:sz="4" w:space="0" w:color="auto"/>
              <w:right w:val="nil"/>
            </w:tcBorders>
            <w:shd w:val="clear" w:color="auto" w:fill="auto"/>
            <w:vAlign w:val="center"/>
            <w:hideMark/>
          </w:tcPr>
          <w:p w14:paraId="466A249E" w14:textId="77777777" w:rsidR="00F73307" w:rsidRPr="00DA3F73" w:rsidRDefault="00F73307" w:rsidP="00252EAF">
            <w:pPr>
              <w:spacing w:after="0" w:line="240" w:lineRule="auto"/>
              <w:ind w:left="142"/>
              <w:textAlignment w:val="baseline"/>
              <w:rPr>
                <w:rFonts w:eastAsia="Times New Roman" w:cs="Arial"/>
                <w:sz w:val="18"/>
                <w:szCs w:val="18"/>
                <w:lang w:eastAsia="en-AU"/>
              </w:rPr>
            </w:pPr>
            <w:r w:rsidRPr="00063F77">
              <w:rPr>
                <w:rFonts w:eastAsia="Times New Roman" w:cs="Arial"/>
                <w:b/>
                <w:bCs/>
                <w:sz w:val="18"/>
                <w:szCs w:val="18"/>
                <w:lang w:eastAsia="en-AU"/>
              </w:rPr>
              <w:t>Additional inflation</w:t>
            </w:r>
            <w:r w:rsidRPr="00063F77">
              <w:rPr>
                <w:rStyle w:val="FootnoteReference"/>
                <w:rFonts w:eastAsia="Times New Roman" w:cs="Arial"/>
                <w:bCs/>
                <w:sz w:val="18"/>
                <w:szCs w:val="18"/>
                <w:lang w:eastAsia="en-AU"/>
              </w:rPr>
              <w:footnoteReference w:id="21"/>
            </w:r>
          </w:p>
        </w:tc>
        <w:tc>
          <w:tcPr>
            <w:tcW w:w="551" w:type="pct"/>
            <w:tcBorders>
              <w:top w:val="nil"/>
              <w:left w:val="nil"/>
              <w:bottom w:val="single" w:sz="4" w:space="0" w:color="auto"/>
              <w:right w:val="nil"/>
            </w:tcBorders>
            <w:shd w:val="clear" w:color="auto" w:fill="auto"/>
            <w:vAlign w:val="center"/>
            <w:hideMark/>
          </w:tcPr>
          <w:p w14:paraId="710B9457" w14:textId="77777777" w:rsidR="00F73307" w:rsidRPr="00DA3F73" w:rsidRDefault="00F73307" w:rsidP="00F73307">
            <w:pPr>
              <w:spacing w:after="0" w:line="240" w:lineRule="auto"/>
              <w:jc w:val="right"/>
              <w:textAlignment w:val="baseline"/>
              <w:rPr>
                <w:rFonts w:eastAsia="Times New Roman" w:cs="Arial"/>
                <w:b/>
                <w:sz w:val="18"/>
                <w:szCs w:val="18"/>
                <w:lang w:eastAsia="en-AU"/>
              </w:rPr>
            </w:pPr>
            <w:r w:rsidRPr="00DA3F73">
              <w:rPr>
                <w:b/>
                <w:sz w:val="18"/>
                <w:szCs w:val="18"/>
              </w:rPr>
              <w:t>1.4%</w:t>
            </w:r>
          </w:p>
        </w:tc>
        <w:tc>
          <w:tcPr>
            <w:tcW w:w="550" w:type="pct"/>
            <w:tcBorders>
              <w:top w:val="nil"/>
              <w:left w:val="nil"/>
              <w:bottom w:val="single" w:sz="4" w:space="0" w:color="auto"/>
              <w:right w:val="nil"/>
            </w:tcBorders>
            <w:shd w:val="clear" w:color="auto" w:fill="auto"/>
            <w:vAlign w:val="center"/>
            <w:hideMark/>
          </w:tcPr>
          <w:p w14:paraId="6446D0BA" w14:textId="77777777" w:rsidR="00F73307" w:rsidRPr="00DA3F73" w:rsidRDefault="00F73307" w:rsidP="00F73307">
            <w:pPr>
              <w:spacing w:after="0" w:line="240" w:lineRule="auto"/>
              <w:jc w:val="right"/>
              <w:textAlignment w:val="baseline"/>
              <w:rPr>
                <w:rFonts w:eastAsia="Times New Roman" w:cs="Arial"/>
                <w:b/>
                <w:sz w:val="18"/>
                <w:szCs w:val="18"/>
                <w:lang w:eastAsia="en-AU"/>
              </w:rPr>
            </w:pPr>
            <w:r w:rsidRPr="00DA3F73">
              <w:rPr>
                <w:b/>
                <w:sz w:val="18"/>
                <w:szCs w:val="18"/>
              </w:rPr>
              <w:t>14.3%</w:t>
            </w:r>
          </w:p>
        </w:tc>
        <w:tc>
          <w:tcPr>
            <w:tcW w:w="471" w:type="pct"/>
            <w:tcBorders>
              <w:top w:val="nil"/>
              <w:left w:val="nil"/>
              <w:bottom w:val="single" w:sz="4" w:space="0" w:color="auto"/>
              <w:right w:val="nil"/>
            </w:tcBorders>
            <w:shd w:val="clear" w:color="auto" w:fill="auto"/>
            <w:vAlign w:val="center"/>
            <w:hideMark/>
          </w:tcPr>
          <w:p w14:paraId="0BC26AFB" w14:textId="77777777" w:rsidR="00F73307" w:rsidRPr="00DA3F73" w:rsidRDefault="00F73307" w:rsidP="00F73307">
            <w:pPr>
              <w:spacing w:after="0" w:line="240" w:lineRule="auto"/>
              <w:jc w:val="right"/>
              <w:textAlignment w:val="baseline"/>
              <w:rPr>
                <w:rFonts w:eastAsia="Times New Roman" w:cs="Arial"/>
                <w:b/>
                <w:sz w:val="18"/>
                <w:szCs w:val="18"/>
                <w:lang w:eastAsia="en-AU"/>
              </w:rPr>
            </w:pPr>
            <w:r w:rsidRPr="00DA3F73">
              <w:rPr>
                <w:b/>
                <w:sz w:val="18"/>
                <w:szCs w:val="18"/>
              </w:rPr>
              <w:t>14.0%</w:t>
            </w:r>
          </w:p>
        </w:tc>
        <w:tc>
          <w:tcPr>
            <w:tcW w:w="549" w:type="pct"/>
            <w:tcBorders>
              <w:top w:val="nil"/>
              <w:left w:val="nil"/>
              <w:bottom w:val="single" w:sz="4" w:space="0" w:color="auto"/>
              <w:right w:val="nil"/>
            </w:tcBorders>
            <w:shd w:val="clear" w:color="auto" w:fill="auto"/>
            <w:vAlign w:val="center"/>
            <w:hideMark/>
          </w:tcPr>
          <w:p w14:paraId="3C8ED8E1" w14:textId="77777777" w:rsidR="00F73307" w:rsidRPr="00DA3F73" w:rsidRDefault="00F73307" w:rsidP="00F73307">
            <w:pPr>
              <w:spacing w:after="0" w:line="240" w:lineRule="auto"/>
              <w:jc w:val="right"/>
              <w:textAlignment w:val="baseline"/>
              <w:rPr>
                <w:rFonts w:eastAsia="Times New Roman" w:cs="Arial"/>
                <w:b/>
                <w:sz w:val="18"/>
                <w:szCs w:val="18"/>
                <w:lang w:eastAsia="en-AU"/>
              </w:rPr>
            </w:pPr>
            <w:r w:rsidRPr="00DA3F73">
              <w:rPr>
                <w:b/>
                <w:sz w:val="18"/>
                <w:szCs w:val="18"/>
              </w:rPr>
              <w:t>5.4%</w:t>
            </w:r>
          </w:p>
        </w:tc>
        <w:tc>
          <w:tcPr>
            <w:tcW w:w="549" w:type="pct"/>
            <w:tcBorders>
              <w:top w:val="nil"/>
              <w:left w:val="nil"/>
              <w:bottom w:val="single" w:sz="4" w:space="0" w:color="auto"/>
              <w:right w:val="nil"/>
            </w:tcBorders>
            <w:shd w:val="clear" w:color="auto" w:fill="auto"/>
            <w:vAlign w:val="center"/>
            <w:hideMark/>
          </w:tcPr>
          <w:p w14:paraId="4F230455" w14:textId="77777777" w:rsidR="00F73307" w:rsidRPr="00DA3F73" w:rsidRDefault="00F73307" w:rsidP="00F73307">
            <w:pPr>
              <w:spacing w:after="0" w:line="240" w:lineRule="auto"/>
              <w:jc w:val="right"/>
              <w:textAlignment w:val="baseline"/>
              <w:rPr>
                <w:rFonts w:eastAsia="Times New Roman" w:cs="Arial"/>
                <w:b/>
                <w:sz w:val="18"/>
                <w:szCs w:val="18"/>
                <w:lang w:eastAsia="en-AU"/>
              </w:rPr>
            </w:pPr>
            <w:r w:rsidRPr="00DA3F73">
              <w:rPr>
                <w:b/>
                <w:sz w:val="18"/>
                <w:szCs w:val="18"/>
              </w:rPr>
              <w:t>8.6%</w:t>
            </w:r>
          </w:p>
        </w:tc>
        <w:tc>
          <w:tcPr>
            <w:tcW w:w="524" w:type="pct"/>
            <w:tcBorders>
              <w:top w:val="nil"/>
              <w:left w:val="nil"/>
              <w:bottom w:val="single" w:sz="4" w:space="0" w:color="auto"/>
              <w:right w:val="nil"/>
            </w:tcBorders>
            <w:vAlign w:val="center"/>
          </w:tcPr>
          <w:p w14:paraId="0D6A0D7E" w14:textId="77777777" w:rsidR="00F73307" w:rsidRPr="00DA3F73" w:rsidRDefault="00F73307" w:rsidP="00252EAF">
            <w:pPr>
              <w:spacing w:after="0" w:line="240" w:lineRule="auto"/>
              <w:ind w:right="92"/>
              <w:jc w:val="right"/>
              <w:textAlignment w:val="baseline"/>
              <w:rPr>
                <w:rFonts w:eastAsia="Times New Roman" w:cs="Arial"/>
                <w:b/>
                <w:bCs/>
                <w:color w:val="000000"/>
                <w:sz w:val="18"/>
                <w:szCs w:val="18"/>
                <w:lang w:eastAsia="en-AU"/>
              </w:rPr>
            </w:pPr>
            <w:r w:rsidRPr="00DA3F73">
              <w:rPr>
                <w:b/>
                <w:sz w:val="18"/>
                <w:szCs w:val="18"/>
              </w:rPr>
              <w:t>11.2%</w:t>
            </w:r>
          </w:p>
        </w:tc>
      </w:tr>
    </w:tbl>
    <w:p w14:paraId="2F761D4C" w14:textId="77777777" w:rsidR="00892048" w:rsidRDefault="009E5DD8" w:rsidP="00892048">
      <w:pPr>
        <w:pStyle w:val="FSRnormal"/>
        <w:rPr>
          <w:rFonts w:eastAsia="Times New Roman"/>
          <w:b/>
          <w:bCs/>
          <w:lang w:eastAsia="en-AU"/>
        </w:rPr>
      </w:pPr>
      <w:r>
        <w:t>Figure 7</w:t>
      </w:r>
      <w:r w:rsidR="00892048" w:rsidRPr="00825181">
        <w:t xml:space="preserve"> </w:t>
      </w:r>
      <w:r w:rsidR="00892048" w:rsidRPr="000F7384">
        <w:t xml:space="preserve">sets out the </w:t>
      </w:r>
      <w:r w:rsidR="00892048">
        <w:t>quarterly</w:t>
      </w:r>
      <w:r w:rsidR="00892048" w:rsidRPr="000F7384">
        <w:t xml:space="preserve"> rate of annualised plan inflation over the </w:t>
      </w:r>
      <w:r w:rsidR="00892048">
        <w:t>three years</w:t>
      </w:r>
      <w:r w:rsidR="00892048" w:rsidRPr="000F7384">
        <w:t xml:space="preserve"> to June 2022, as well as the rolling 12-month average plan inflation rate. Total plan inflation is divided into inflation which occurs at plan review</w:t>
      </w:r>
      <w:r w:rsidR="00892048">
        <w:rPr>
          <w:rStyle w:val="FootnoteReference"/>
        </w:rPr>
        <w:footnoteReference w:id="22"/>
      </w:r>
      <w:r w:rsidR="00892048">
        <w:t xml:space="preserve"> (interplan inflation</w:t>
      </w:r>
      <w:r w:rsidR="00892048" w:rsidRPr="000F7384">
        <w:t>) and inflation which occurs within a plan between reviews</w:t>
      </w:r>
      <w:r w:rsidR="00892048">
        <w:t xml:space="preserve"> (intraplan inflation</w:t>
      </w:r>
      <w:r w:rsidR="00892048" w:rsidRPr="000F7384">
        <w:t>)</w:t>
      </w:r>
      <w:r w:rsidR="00892048">
        <w:rPr>
          <w:rStyle w:val="FootnoteReference"/>
        </w:rPr>
        <w:footnoteReference w:id="23"/>
      </w:r>
      <w:r w:rsidR="00892048" w:rsidRPr="000F7384">
        <w:t xml:space="preserve">. </w:t>
      </w:r>
      <w:r w:rsidR="00892048">
        <w:t>At</w:t>
      </w:r>
      <w:r w:rsidR="00892048" w:rsidRPr="000F7384">
        <w:t xml:space="preserve"> June 2022, total plan inflation for the previous 12 month period was 8.9% </w:t>
      </w:r>
      <w:r w:rsidR="00D067C5">
        <w:t>per annum</w:t>
      </w:r>
      <w:r w:rsidR="00892048" w:rsidRPr="000F7384">
        <w:t>, of which intraplan inflation made up 6.</w:t>
      </w:r>
      <w:r w:rsidR="0064109A">
        <w:t>4</w:t>
      </w:r>
      <w:r w:rsidR="00892048" w:rsidRPr="000F7384">
        <w:t xml:space="preserve">% </w:t>
      </w:r>
      <w:r w:rsidR="00D067C5">
        <w:t>per annum.</w:t>
      </w:r>
      <w:r w:rsidR="00892048" w:rsidRPr="000F7384">
        <w:t xml:space="preserve"> The rate has increased over the past six months, having been 5.6% for the</w:t>
      </w:r>
      <w:r w:rsidR="0064109A">
        <w:t xml:space="preserve"> </w:t>
      </w:r>
      <w:r w:rsidR="00892048" w:rsidRPr="000F7384">
        <w:t xml:space="preserve">twelve months to 31 December 2021. </w:t>
      </w:r>
      <w:r w:rsidR="00892048" w:rsidRPr="006461FE" w:rsidDel="00FA6E76">
        <w:rPr>
          <w:rFonts w:eastAsia="Times New Roman"/>
          <w:b/>
          <w:bCs/>
          <w:lang w:eastAsia="en-AU"/>
        </w:rPr>
        <w:t xml:space="preserve"> </w:t>
      </w:r>
    </w:p>
    <w:p w14:paraId="614EC8B2" w14:textId="77777777" w:rsidR="0087175F" w:rsidRDefault="0087175F">
      <w:pPr>
        <w:spacing w:after="160" w:line="259" w:lineRule="auto"/>
        <w:rPr>
          <w:rFonts w:eastAsiaTheme="minorHAnsi"/>
          <w:b/>
          <w:bCs/>
          <w:szCs w:val="18"/>
          <w:lang w:eastAsia="en-US"/>
        </w:rPr>
      </w:pPr>
      <w:bookmarkStart w:id="15" w:name="_Ref112410737"/>
    </w:p>
    <w:p w14:paraId="26763792" w14:textId="77777777" w:rsidR="00892048" w:rsidRPr="006461FE" w:rsidRDefault="00892048" w:rsidP="0087175F">
      <w:pPr>
        <w:pStyle w:val="Figures"/>
        <w:keepLines/>
        <w:spacing w:after="0"/>
        <w:rPr>
          <w:rFonts w:ascii="Segoe UI" w:hAnsi="Segoe UI" w:cs="Segoe UI"/>
          <w:sz w:val="18"/>
        </w:rPr>
      </w:pPr>
      <w:r w:rsidRPr="0018570A">
        <w:lastRenderedPageBreak/>
        <w:t>Figure</w:t>
      </w:r>
      <w:r w:rsidR="00B10998">
        <w:t xml:space="preserve"> </w:t>
      </w:r>
      <w:fldSimple w:instr=" SEQ Figure \* ARABIC \s 2 ">
        <w:r w:rsidR="00447AA1">
          <w:rPr>
            <w:noProof/>
          </w:rPr>
          <w:t>7</w:t>
        </w:r>
      </w:fldSimple>
      <w:bookmarkEnd w:id="15"/>
      <w:r w:rsidRPr="0018570A">
        <w:t xml:space="preserve">: </w:t>
      </w:r>
      <w:r w:rsidRPr="006461FE">
        <w:t>Plan inflation for active participants </w:t>
      </w:r>
    </w:p>
    <w:p w14:paraId="203EACE4" w14:textId="77777777" w:rsidR="00F34334" w:rsidRDefault="00087AFF" w:rsidP="00252EAF">
      <w:pPr>
        <w:spacing w:after="0" w:line="240" w:lineRule="auto"/>
        <w:ind w:left="135"/>
        <w:textAlignment w:val="baseline"/>
        <w:rPr>
          <w:rFonts w:eastAsia="Times New Roman" w:cs="Arial"/>
          <w:szCs w:val="22"/>
          <w:lang w:eastAsia="en-AU"/>
        </w:rPr>
      </w:pPr>
      <w:r>
        <w:rPr>
          <w:rFonts w:eastAsia="Times New Roman" w:cs="Arial"/>
          <w:noProof/>
          <w:szCs w:val="22"/>
          <w:lang w:eastAsia="en-AU"/>
        </w:rPr>
        <w:drawing>
          <wp:inline distT="0" distB="0" distL="0" distR="0" wp14:anchorId="31C80699" wp14:editId="61B1EEAD">
            <wp:extent cx="5730875" cy="3694430"/>
            <wp:effectExtent l="0" t="0" r="3175" b="1270"/>
            <wp:docPr id="236" name="Picture 236" descr="This chart shows the annualised plan inflation rate over June 2019 to June 2022. Annualised inflation rate for each quarter is visualised as shaded areas for inflation within a plan and inflation at plan review.  Rolling 12 month averages of total inflation, inflation within a plan and inflation at plan review starting from quarter ending June 2020 to quarter ending June 2022. " title="Figure 7: Plan inflation for active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0875" cy="3694430"/>
                    </a:xfrm>
                    <a:prstGeom prst="rect">
                      <a:avLst/>
                    </a:prstGeom>
                    <a:noFill/>
                  </pic:spPr>
                </pic:pic>
              </a:graphicData>
            </a:graphic>
          </wp:inline>
        </w:drawing>
      </w:r>
    </w:p>
    <w:p w14:paraId="1F7B59EE" w14:textId="77777777" w:rsidR="00892048" w:rsidRDefault="00892048" w:rsidP="00892048">
      <w:pPr>
        <w:pStyle w:val="FSRnormal"/>
      </w:pPr>
      <w:r w:rsidRPr="000F7384">
        <w:t>Plan inflation was also high over the preceding two years, averaging 22.5% in 2019-20</w:t>
      </w:r>
      <w:r>
        <w:rPr>
          <w:rStyle w:val="FootnoteReference"/>
          <w:rFonts w:cs="Arial"/>
        </w:rPr>
        <w:footnoteReference w:id="24"/>
      </w:r>
      <w:r w:rsidRPr="000F7384">
        <w:t xml:space="preserve"> and 9.3% in 2020-21. </w:t>
      </w:r>
      <w:r>
        <w:t>This has been observed in other social insurance schemes in Australia and New Zealand, in the absence of substantial legislative or policy change</w:t>
      </w:r>
      <w:r>
        <w:rPr>
          <w:rStyle w:val="FootnoteReference"/>
        </w:rPr>
        <w:footnoteReference w:id="25"/>
      </w:r>
      <w:r w:rsidRPr="00FC6DB8">
        <w:t>. </w:t>
      </w:r>
    </w:p>
    <w:p w14:paraId="5A35D4A7" w14:textId="77777777" w:rsidR="00892048" w:rsidRPr="00825181" w:rsidRDefault="00892048" w:rsidP="00825181">
      <w:pPr>
        <w:pStyle w:val="FSRHeading4"/>
      </w:pPr>
      <w:r w:rsidRPr="00825181">
        <w:t>Inflation assumptions</w:t>
      </w:r>
    </w:p>
    <w:p w14:paraId="5E2BF8A9" w14:textId="77777777" w:rsidR="00892048" w:rsidRDefault="00892048" w:rsidP="00892048">
      <w:pPr>
        <w:pStyle w:val="FSRnormal"/>
      </w:pPr>
      <w:r w:rsidRPr="000F7384">
        <w:t>Normal inflation assumptions have been selected based on the increases in price limits from the 202</w:t>
      </w:r>
      <w:r w:rsidR="00E127BA">
        <w:t>1</w:t>
      </w:r>
      <w:r w:rsidRPr="000F7384">
        <w:t>-2</w:t>
      </w:r>
      <w:r w:rsidR="00E127BA">
        <w:t>2</w:t>
      </w:r>
      <w:r w:rsidRPr="000F7384">
        <w:t xml:space="preserve"> Annual Price Review (APR) and on recent economic forecasts and inflationary expectations</w:t>
      </w:r>
      <w:r>
        <w:rPr>
          <w:rStyle w:val="FootnoteReference"/>
          <w:rFonts w:cs="Arial"/>
        </w:rPr>
        <w:footnoteReference w:id="26"/>
      </w:r>
      <w:r w:rsidRPr="000F7384">
        <w:t>.</w:t>
      </w:r>
      <w:r>
        <w:t xml:space="preserve"> </w:t>
      </w:r>
    </w:p>
    <w:p w14:paraId="57EF5E1C" w14:textId="77777777" w:rsidR="00892048" w:rsidRDefault="00892048" w:rsidP="00892048">
      <w:pPr>
        <w:pStyle w:val="FSRnormal"/>
      </w:pPr>
      <w:r>
        <w:t xml:space="preserve">Additional inflation assumptions have been selected which are higher than those in the 2020-21 AFSR, with the exception of the first two years of the projection. However, they are still </w:t>
      </w:r>
      <w:r w:rsidR="00856C6A">
        <w:t xml:space="preserve">well </w:t>
      </w:r>
      <w:r>
        <w:t xml:space="preserve">below the average historical experience of the Scheme. </w:t>
      </w:r>
    </w:p>
    <w:p w14:paraId="14FA3589" w14:textId="77777777" w:rsidR="00892048" w:rsidRDefault="00892048" w:rsidP="00892048">
      <w:pPr>
        <w:pStyle w:val="FSRnormal"/>
      </w:pPr>
      <w:r>
        <w:t xml:space="preserve">In 2022-23 and 2023-24, it is expected that additional inflation will continue to be constrained by supply side impacts of workforce shortages and also potentially by COVID-19 related effects. These constraints are expected to subside by 2024-25 and a higher rate of additional inflation is assumed, albeit lower than the rates observed in 2019-20 and 2020-21. This level of inflation is then expected to decrease marginally in 2025-26 before reducing to </w:t>
      </w:r>
      <w:r>
        <w:lastRenderedPageBreak/>
        <w:t>a long</w:t>
      </w:r>
      <w:r w:rsidR="00040594">
        <w:t>-</w:t>
      </w:r>
      <w:r>
        <w:t>term rate of 2% per annum. The long</w:t>
      </w:r>
      <w:r w:rsidR="00741928">
        <w:t>-</w:t>
      </w:r>
      <w:r>
        <w:t>term rate of additional inflation reflects that under the current parameters of the Scheme, inflationary pressures in excess of the general economic environment are likely to reduce as the Scheme continues to mature but will</w:t>
      </w:r>
      <w:r w:rsidR="007A3F8C">
        <w:t xml:space="preserve"> remain present</w:t>
      </w:r>
      <w:r>
        <w:t>.</w:t>
      </w:r>
    </w:p>
    <w:p w14:paraId="5DE488AF" w14:textId="77777777" w:rsidR="00892048" w:rsidRPr="001E53E0" w:rsidRDefault="00892048" w:rsidP="00892048">
      <w:pPr>
        <w:pStyle w:val="FSRnormal"/>
        <w:rPr>
          <w:highlight w:val="yellow"/>
        </w:rPr>
      </w:pPr>
      <w:r w:rsidRPr="00195906">
        <w:t xml:space="preserve">Normal inflation has been combined with </w:t>
      </w:r>
      <w:r>
        <w:t>additional</w:t>
      </w:r>
      <w:r w:rsidRPr="00195906">
        <w:t xml:space="preserve"> inflation rates to calculate total </w:t>
      </w:r>
      <w:r w:rsidRPr="00B238F2">
        <w:t>inflation</w:t>
      </w:r>
      <w:r w:rsidRPr="002F4765">
        <w:t>.</w:t>
      </w:r>
      <w:r w:rsidR="009E5DD8">
        <w:t xml:space="preserve"> Table 8 </w:t>
      </w:r>
      <w:r w:rsidRPr="00CF3F5F">
        <w:t>detail</w:t>
      </w:r>
      <w:r w:rsidR="000C748E">
        <w:t>s</w:t>
      </w:r>
      <w:r w:rsidRPr="00CF3F5F">
        <w:t xml:space="preserve"> the underlying normal and </w:t>
      </w:r>
      <w:r>
        <w:t>additional</w:t>
      </w:r>
      <w:r w:rsidRPr="00CF3F5F">
        <w:t xml:space="preserve"> inflation assumptions adopted for each projection year, with a comparison made to historic inflation experience. </w:t>
      </w:r>
      <w:r>
        <w:t xml:space="preserve">The adopted inflation assumptions compared with those from the previous review are shown in </w:t>
      </w:r>
      <w:r w:rsidR="009E5DD8">
        <w:t>Figure 8</w:t>
      </w:r>
      <w:r>
        <w:t>.</w:t>
      </w:r>
    </w:p>
    <w:p w14:paraId="235C7918" w14:textId="77777777" w:rsidR="00892048" w:rsidRDefault="00892048" w:rsidP="00892048">
      <w:pPr>
        <w:pStyle w:val="Tables"/>
      </w:pPr>
      <w:bookmarkStart w:id="16" w:name="_Ref112314429"/>
      <w:r w:rsidRPr="0018570A">
        <w:t>Table</w:t>
      </w:r>
      <w:r w:rsidR="00A87D00">
        <w:t xml:space="preserve"> </w:t>
      </w:r>
      <w:fldSimple w:instr=" SEQ Table \* ARABIC \s 2 ">
        <w:r w:rsidR="00A87896">
          <w:rPr>
            <w:noProof/>
          </w:rPr>
          <w:t>8</w:t>
        </w:r>
      </w:fldSimple>
      <w:bookmarkEnd w:id="16"/>
      <w:r w:rsidRPr="0018570A">
        <w:rPr>
          <w:noProof/>
        </w:rPr>
        <w:t>:</w:t>
      </w:r>
      <w:r w:rsidRPr="00D95941">
        <w:t xml:space="preserve"> </w:t>
      </w:r>
      <w:r w:rsidRPr="00B238F2">
        <w:t>Comparison</w:t>
      </w:r>
      <w:r w:rsidRPr="00CF3F5F">
        <w:t xml:space="preserve"> of historic inflation experience and adopted total inflation</w:t>
      </w:r>
      <w:r w:rsidRPr="00CF3F5F">
        <w:rPr>
          <w:rStyle w:val="FootnoteReference"/>
        </w:rPr>
        <w:footnoteReference w:id="27"/>
      </w:r>
      <w:r w:rsidRPr="00CF3F5F">
        <w:t xml:space="preserve"> </w:t>
      </w:r>
    </w:p>
    <w:tbl>
      <w:tblPr>
        <w:tblW w:w="5023" w:type="pct"/>
        <w:tblLayout w:type="fixed"/>
        <w:tblLook w:val="04A0" w:firstRow="1" w:lastRow="0" w:firstColumn="1" w:lastColumn="0" w:noHBand="0" w:noVBand="1"/>
      </w:tblPr>
      <w:tblGrid>
        <w:gridCol w:w="3217"/>
        <w:gridCol w:w="1179"/>
        <w:gridCol w:w="910"/>
        <w:gridCol w:w="914"/>
        <w:gridCol w:w="780"/>
        <w:gridCol w:w="176"/>
        <w:gridCol w:w="880"/>
        <w:gridCol w:w="1012"/>
      </w:tblGrid>
      <w:tr w:rsidR="00FF0BD4" w:rsidRPr="00063F77" w14:paraId="0C45F40B" w14:textId="77777777" w:rsidTr="00F73307">
        <w:trPr>
          <w:trHeight w:val="300"/>
        </w:trPr>
        <w:tc>
          <w:tcPr>
            <w:tcW w:w="1774" w:type="pct"/>
            <w:vMerge w:val="restart"/>
            <w:shd w:val="clear" w:color="auto" w:fill="6B2F76"/>
            <w:vAlign w:val="center"/>
            <w:hideMark/>
          </w:tcPr>
          <w:p w14:paraId="2D9E4731" w14:textId="77777777" w:rsidR="00FF0BD4" w:rsidRPr="00063F77" w:rsidRDefault="00FF0BD4">
            <w:pPr>
              <w:keepNext/>
              <w:keepLines/>
              <w:spacing w:after="0" w:line="240" w:lineRule="auto"/>
              <w:rPr>
                <w:rFonts w:eastAsia="Times New Roman" w:cs="Arial"/>
                <w:b/>
                <w:color w:val="FFFFFF"/>
                <w:sz w:val="18"/>
                <w:szCs w:val="18"/>
                <w:lang w:eastAsia="zh-CN" w:bidi="th-TH"/>
              </w:rPr>
            </w:pPr>
            <w:r w:rsidRPr="00063F77">
              <w:rPr>
                <w:rFonts w:eastAsia="Times New Roman" w:cs="Arial"/>
                <w:b/>
                <w:color w:val="FFFFFF"/>
                <w:sz w:val="18"/>
                <w:szCs w:val="18"/>
                <w:lang w:eastAsia="zh-CN" w:bidi="th-TH"/>
              </w:rPr>
              <w:t>Inflation on payments</w:t>
            </w:r>
          </w:p>
        </w:tc>
        <w:tc>
          <w:tcPr>
            <w:tcW w:w="650" w:type="pct"/>
            <w:tcBorders>
              <w:right w:val="dotted" w:sz="4" w:space="0" w:color="auto"/>
            </w:tcBorders>
            <w:shd w:val="clear" w:color="auto" w:fill="6B2F76"/>
            <w:vAlign w:val="center"/>
            <w:hideMark/>
          </w:tcPr>
          <w:p w14:paraId="2C1DE27E" w14:textId="77777777" w:rsidR="00FF0BD4" w:rsidRPr="00063F77" w:rsidRDefault="00FF0BD4">
            <w:pPr>
              <w:keepNext/>
              <w:keepLines/>
              <w:spacing w:after="0" w:line="240" w:lineRule="auto"/>
              <w:jc w:val="center"/>
              <w:rPr>
                <w:rFonts w:eastAsia="Times New Roman" w:cs="Arial"/>
                <w:b/>
                <w:i/>
                <w:color w:val="FFFFFF"/>
                <w:sz w:val="18"/>
                <w:szCs w:val="18"/>
                <w:lang w:eastAsia="zh-CN" w:bidi="th-TH"/>
              </w:rPr>
            </w:pPr>
            <w:r w:rsidRPr="00063F77">
              <w:rPr>
                <w:rFonts w:eastAsia="Times New Roman" w:cs="Arial"/>
                <w:b/>
                <w:i/>
                <w:color w:val="FFFFFF"/>
                <w:sz w:val="18"/>
                <w:szCs w:val="18"/>
                <w:lang w:eastAsia="zh-CN" w:bidi="th-TH"/>
              </w:rPr>
              <w:t>Actual</w:t>
            </w:r>
          </w:p>
        </w:tc>
        <w:tc>
          <w:tcPr>
            <w:tcW w:w="2018" w:type="pct"/>
            <w:gridSpan w:val="5"/>
            <w:tcBorders>
              <w:left w:val="dotted" w:sz="4" w:space="0" w:color="auto"/>
              <w:bottom w:val="single" w:sz="4" w:space="0" w:color="D9D9D9" w:themeColor="background1" w:themeShade="D9"/>
            </w:tcBorders>
            <w:shd w:val="clear" w:color="auto" w:fill="6B2F76"/>
            <w:noWrap/>
            <w:vAlign w:val="center"/>
            <w:hideMark/>
          </w:tcPr>
          <w:p w14:paraId="1186BE63" w14:textId="77777777" w:rsidR="00FF0BD4" w:rsidRPr="00063F77" w:rsidRDefault="00FF0BD4">
            <w:pPr>
              <w:keepNext/>
              <w:keepLines/>
              <w:spacing w:after="0" w:line="240" w:lineRule="auto"/>
              <w:jc w:val="center"/>
              <w:rPr>
                <w:rFonts w:eastAsia="Times New Roman" w:cs="Arial"/>
                <w:b/>
                <w:color w:val="FFFFFF"/>
                <w:sz w:val="18"/>
                <w:szCs w:val="18"/>
                <w:lang w:eastAsia="zh-CN" w:bidi="th-TH"/>
              </w:rPr>
            </w:pPr>
            <w:r w:rsidRPr="00063F77">
              <w:rPr>
                <w:rFonts w:eastAsia="Times New Roman" w:cs="Arial"/>
                <w:b/>
                <w:color w:val="FFFFFF"/>
                <w:sz w:val="18"/>
                <w:szCs w:val="18"/>
                <w:lang w:eastAsia="zh-CN" w:bidi="th-TH"/>
              </w:rPr>
              <w:t>Projection Year</w:t>
            </w:r>
          </w:p>
        </w:tc>
        <w:tc>
          <w:tcPr>
            <w:tcW w:w="558" w:type="pct"/>
            <w:tcBorders>
              <w:bottom w:val="single" w:sz="4" w:space="0" w:color="D9D9D9" w:themeColor="background1" w:themeShade="D9"/>
            </w:tcBorders>
            <w:shd w:val="clear" w:color="auto" w:fill="6B2F76"/>
            <w:noWrap/>
            <w:vAlign w:val="bottom"/>
            <w:hideMark/>
          </w:tcPr>
          <w:p w14:paraId="7942A1CB" w14:textId="77777777" w:rsidR="00FF0BD4" w:rsidRPr="00063F77" w:rsidRDefault="00FF0BD4">
            <w:pPr>
              <w:keepNext/>
              <w:keepLines/>
              <w:spacing w:after="0" w:line="240" w:lineRule="auto"/>
              <w:jc w:val="center"/>
              <w:rPr>
                <w:rFonts w:eastAsia="Times New Roman" w:cs="Arial"/>
                <w:b/>
                <w:color w:val="FFFFFF"/>
                <w:sz w:val="18"/>
                <w:szCs w:val="18"/>
                <w:lang w:eastAsia="zh-CN" w:bidi="th-TH"/>
              </w:rPr>
            </w:pPr>
            <w:r w:rsidRPr="00063F77">
              <w:rPr>
                <w:rFonts w:eastAsia="Times New Roman" w:cs="Arial"/>
                <w:b/>
                <w:color w:val="FFFFFF"/>
                <w:sz w:val="18"/>
                <w:szCs w:val="18"/>
                <w:lang w:eastAsia="zh-CN" w:bidi="th-TH"/>
              </w:rPr>
              <w:t> </w:t>
            </w:r>
          </w:p>
        </w:tc>
      </w:tr>
      <w:tr w:rsidR="00FF0BD4" w:rsidRPr="00063F77" w14:paraId="5C68F6BC" w14:textId="77777777" w:rsidTr="00F73307">
        <w:trPr>
          <w:trHeight w:val="300"/>
        </w:trPr>
        <w:tc>
          <w:tcPr>
            <w:tcW w:w="1774" w:type="pct"/>
            <w:vMerge/>
            <w:vAlign w:val="center"/>
            <w:hideMark/>
          </w:tcPr>
          <w:p w14:paraId="72AFF0E2" w14:textId="77777777" w:rsidR="00FF0BD4" w:rsidRPr="00063F77" w:rsidRDefault="00FF0BD4">
            <w:pPr>
              <w:keepNext/>
              <w:keepLines/>
              <w:spacing w:after="0" w:line="240" w:lineRule="auto"/>
              <w:rPr>
                <w:rFonts w:eastAsia="Times New Roman" w:cs="Arial"/>
                <w:b/>
                <w:color w:val="FFFFFF"/>
                <w:sz w:val="18"/>
                <w:szCs w:val="18"/>
                <w:lang w:eastAsia="zh-CN" w:bidi="th-TH"/>
              </w:rPr>
            </w:pPr>
          </w:p>
        </w:tc>
        <w:tc>
          <w:tcPr>
            <w:tcW w:w="650" w:type="pct"/>
            <w:tcBorders>
              <w:right w:val="dotted" w:sz="4" w:space="0" w:color="auto"/>
            </w:tcBorders>
            <w:shd w:val="clear" w:color="auto" w:fill="6B2F76"/>
            <w:vAlign w:val="center"/>
            <w:hideMark/>
          </w:tcPr>
          <w:p w14:paraId="62B8F25B" w14:textId="77777777" w:rsidR="00FF0BD4" w:rsidRPr="00063F77" w:rsidRDefault="00FF0BD4">
            <w:pPr>
              <w:keepNext/>
              <w:keepLines/>
              <w:spacing w:after="0" w:line="240" w:lineRule="auto"/>
              <w:jc w:val="center"/>
              <w:rPr>
                <w:rFonts w:eastAsia="Times New Roman" w:cs="Arial"/>
                <w:b/>
                <w:i/>
                <w:color w:val="FFFFFF"/>
                <w:sz w:val="18"/>
                <w:szCs w:val="18"/>
                <w:lang w:eastAsia="zh-CN" w:bidi="th-TH"/>
              </w:rPr>
            </w:pPr>
            <w:r w:rsidRPr="00063F77">
              <w:rPr>
                <w:rFonts w:eastAsia="Times New Roman" w:cs="Arial"/>
                <w:b/>
                <w:i/>
                <w:color w:val="FFFFFF"/>
                <w:sz w:val="18"/>
                <w:szCs w:val="18"/>
                <w:lang w:eastAsia="zh-CN" w:bidi="th-TH"/>
              </w:rPr>
              <w:t>Average</w:t>
            </w:r>
          </w:p>
          <w:p w14:paraId="6C366865" w14:textId="77777777" w:rsidR="00FF0BD4" w:rsidRPr="00063F77" w:rsidRDefault="00FF0BD4">
            <w:pPr>
              <w:keepNext/>
              <w:keepLines/>
              <w:spacing w:after="0" w:line="240" w:lineRule="auto"/>
              <w:jc w:val="center"/>
              <w:rPr>
                <w:rFonts w:eastAsia="Times New Roman" w:cs="Arial"/>
                <w:b/>
                <w:i/>
                <w:color w:val="FFFFFF"/>
                <w:sz w:val="18"/>
                <w:szCs w:val="18"/>
                <w:lang w:eastAsia="zh-CN" w:bidi="th-TH"/>
              </w:rPr>
            </w:pPr>
            <w:r w:rsidRPr="00063F77">
              <w:rPr>
                <w:rFonts w:eastAsia="Times New Roman" w:cs="Arial"/>
                <w:b/>
                <w:i/>
                <w:color w:val="FFFFFF"/>
                <w:sz w:val="18"/>
                <w:szCs w:val="18"/>
                <w:lang w:eastAsia="zh-CN" w:bidi="th-TH"/>
              </w:rPr>
              <w:t>2019-22</w:t>
            </w:r>
          </w:p>
        </w:tc>
        <w:tc>
          <w:tcPr>
            <w:tcW w:w="502" w:type="pct"/>
            <w:tcBorders>
              <w:top w:val="single" w:sz="4" w:space="0" w:color="D9D9D9" w:themeColor="background1" w:themeShade="D9"/>
              <w:left w:val="dotted" w:sz="4" w:space="0" w:color="auto"/>
            </w:tcBorders>
            <w:shd w:val="clear" w:color="auto" w:fill="6B2F76"/>
            <w:noWrap/>
            <w:vAlign w:val="center"/>
            <w:hideMark/>
          </w:tcPr>
          <w:p w14:paraId="7E4FD4A3" w14:textId="77777777" w:rsidR="00FF0BD4" w:rsidRPr="00063F77" w:rsidRDefault="00FF0BD4">
            <w:pPr>
              <w:keepNext/>
              <w:keepLines/>
              <w:spacing w:after="0" w:line="240" w:lineRule="auto"/>
              <w:jc w:val="right"/>
              <w:rPr>
                <w:rFonts w:eastAsia="Times New Roman" w:cs="Arial"/>
                <w:b/>
                <w:color w:val="FFFFFF"/>
                <w:sz w:val="18"/>
                <w:szCs w:val="18"/>
                <w:lang w:eastAsia="zh-CN" w:bidi="th-TH"/>
              </w:rPr>
            </w:pPr>
            <w:r w:rsidRPr="00063F77">
              <w:rPr>
                <w:rFonts w:eastAsia="Times New Roman" w:cs="Arial"/>
                <w:b/>
                <w:color w:val="FFFFFF"/>
                <w:sz w:val="18"/>
                <w:szCs w:val="18"/>
                <w:lang w:eastAsia="zh-CN" w:bidi="th-TH"/>
              </w:rPr>
              <w:t>2022-23</w:t>
            </w:r>
          </w:p>
        </w:tc>
        <w:tc>
          <w:tcPr>
            <w:tcW w:w="504" w:type="pct"/>
            <w:tcBorders>
              <w:top w:val="single" w:sz="4" w:space="0" w:color="D9D9D9" w:themeColor="background1" w:themeShade="D9"/>
            </w:tcBorders>
            <w:shd w:val="clear" w:color="auto" w:fill="6B2F76"/>
            <w:noWrap/>
            <w:vAlign w:val="center"/>
            <w:hideMark/>
          </w:tcPr>
          <w:p w14:paraId="579D6B6C" w14:textId="77777777" w:rsidR="00FF0BD4" w:rsidRPr="00063F77" w:rsidRDefault="00FF0BD4">
            <w:pPr>
              <w:keepNext/>
              <w:keepLines/>
              <w:spacing w:after="0" w:line="240" w:lineRule="auto"/>
              <w:jc w:val="right"/>
              <w:rPr>
                <w:rFonts w:eastAsia="Times New Roman" w:cs="Arial"/>
                <w:b/>
                <w:color w:val="FFFFFF"/>
                <w:sz w:val="18"/>
                <w:szCs w:val="18"/>
                <w:lang w:eastAsia="zh-CN" w:bidi="th-TH"/>
              </w:rPr>
            </w:pPr>
            <w:r w:rsidRPr="00063F77">
              <w:rPr>
                <w:rFonts w:eastAsia="Times New Roman" w:cs="Arial"/>
                <w:b/>
                <w:color w:val="FFFFFF"/>
                <w:sz w:val="18"/>
                <w:szCs w:val="18"/>
                <w:lang w:eastAsia="zh-CN" w:bidi="th-TH"/>
              </w:rPr>
              <w:t>2023-24</w:t>
            </w:r>
          </w:p>
        </w:tc>
        <w:tc>
          <w:tcPr>
            <w:tcW w:w="527" w:type="pct"/>
            <w:gridSpan w:val="2"/>
            <w:tcBorders>
              <w:top w:val="single" w:sz="4" w:space="0" w:color="D9D9D9" w:themeColor="background1" w:themeShade="D9"/>
            </w:tcBorders>
            <w:shd w:val="clear" w:color="auto" w:fill="6B2F76"/>
            <w:noWrap/>
            <w:vAlign w:val="center"/>
            <w:hideMark/>
          </w:tcPr>
          <w:p w14:paraId="4D2EF1F7" w14:textId="77777777" w:rsidR="00FF0BD4" w:rsidRPr="00063F77" w:rsidRDefault="00FF0BD4">
            <w:pPr>
              <w:keepNext/>
              <w:keepLines/>
              <w:spacing w:after="0" w:line="240" w:lineRule="auto"/>
              <w:jc w:val="right"/>
              <w:rPr>
                <w:rFonts w:eastAsia="Times New Roman" w:cs="Arial"/>
                <w:b/>
                <w:color w:val="FFFFFF"/>
                <w:sz w:val="18"/>
                <w:szCs w:val="18"/>
                <w:lang w:eastAsia="zh-CN" w:bidi="th-TH"/>
              </w:rPr>
            </w:pPr>
            <w:r w:rsidRPr="00063F77">
              <w:rPr>
                <w:rFonts w:eastAsia="Times New Roman" w:cs="Arial"/>
                <w:b/>
                <w:color w:val="FFFFFF"/>
                <w:sz w:val="18"/>
                <w:szCs w:val="18"/>
                <w:lang w:eastAsia="zh-CN" w:bidi="th-TH"/>
              </w:rPr>
              <w:t>2024-25</w:t>
            </w:r>
          </w:p>
        </w:tc>
        <w:tc>
          <w:tcPr>
            <w:tcW w:w="485" w:type="pct"/>
            <w:tcBorders>
              <w:top w:val="single" w:sz="4" w:space="0" w:color="D9D9D9" w:themeColor="background1" w:themeShade="D9"/>
              <w:right w:val="dashSmallGap" w:sz="4" w:space="0" w:color="BFBFBF" w:themeColor="background1" w:themeShade="BF"/>
            </w:tcBorders>
            <w:shd w:val="clear" w:color="auto" w:fill="6B2F76"/>
            <w:noWrap/>
            <w:vAlign w:val="center"/>
            <w:hideMark/>
          </w:tcPr>
          <w:p w14:paraId="1D056181" w14:textId="77777777" w:rsidR="00FF0BD4" w:rsidRPr="00063F77" w:rsidRDefault="00FF0BD4">
            <w:pPr>
              <w:keepNext/>
              <w:keepLines/>
              <w:spacing w:after="0" w:line="240" w:lineRule="auto"/>
              <w:jc w:val="right"/>
              <w:rPr>
                <w:rFonts w:eastAsia="Times New Roman" w:cs="Arial"/>
                <w:b/>
                <w:color w:val="FFFFFF"/>
                <w:sz w:val="18"/>
                <w:szCs w:val="18"/>
                <w:lang w:eastAsia="zh-CN" w:bidi="th-TH"/>
              </w:rPr>
            </w:pPr>
            <w:r w:rsidRPr="00063F77">
              <w:rPr>
                <w:rFonts w:eastAsia="Times New Roman" w:cs="Arial"/>
                <w:b/>
                <w:color w:val="FFFFFF"/>
                <w:sz w:val="18"/>
                <w:szCs w:val="18"/>
                <w:lang w:eastAsia="zh-CN" w:bidi="th-TH"/>
              </w:rPr>
              <w:t>2025-26</w:t>
            </w:r>
          </w:p>
        </w:tc>
        <w:tc>
          <w:tcPr>
            <w:tcW w:w="558" w:type="pct"/>
            <w:tcBorders>
              <w:top w:val="single" w:sz="4" w:space="0" w:color="D9D9D9" w:themeColor="background1" w:themeShade="D9"/>
              <w:left w:val="dashSmallGap" w:sz="4" w:space="0" w:color="BFBFBF" w:themeColor="background1" w:themeShade="BF"/>
            </w:tcBorders>
            <w:shd w:val="clear" w:color="auto" w:fill="6B2F76"/>
            <w:noWrap/>
            <w:vAlign w:val="center"/>
            <w:hideMark/>
          </w:tcPr>
          <w:p w14:paraId="727A645B" w14:textId="77777777" w:rsidR="00FF0BD4" w:rsidRPr="00063F77" w:rsidRDefault="00FF0BD4">
            <w:pPr>
              <w:keepNext/>
              <w:keepLines/>
              <w:spacing w:after="0" w:line="240" w:lineRule="auto"/>
              <w:jc w:val="right"/>
              <w:rPr>
                <w:rFonts w:eastAsia="Times New Roman" w:cs="Arial"/>
                <w:b/>
                <w:color w:val="FFFFFF"/>
                <w:sz w:val="18"/>
                <w:szCs w:val="18"/>
                <w:lang w:eastAsia="zh-CN" w:bidi="th-TH"/>
              </w:rPr>
            </w:pPr>
            <w:r w:rsidRPr="00063F77">
              <w:rPr>
                <w:rFonts w:eastAsia="Times New Roman" w:cs="Arial"/>
                <w:b/>
                <w:bCs/>
                <w:color w:val="FFFFFF"/>
                <w:sz w:val="18"/>
                <w:szCs w:val="18"/>
                <w:lang w:eastAsia="zh-CN" w:bidi="th-TH"/>
              </w:rPr>
              <w:t>2031-32</w:t>
            </w:r>
          </w:p>
        </w:tc>
      </w:tr>
      <w:tr w:rsidR="00FF0BD4" w:rsidRPr="00063F77" w14:paraId="73B5EF04" w14:textId="77777777" w:rsidTr="00F73307">
        <w:trPr>
          <w:trHeight w:val="300"/>
        </w:trPr>
        <w:tc>
          <w:tcPr>
            <w:tcW w:w="1774" w:type="pct"/>
            <w:shd w:val="clear" w:color="auto" w:fill="D4C5D7"/>
            <w:noWrap/>
            <w:vAlign w:val="center"/>
            <w:hideMark/>
          </w:tcPr>
          <w:p w14:paraId="41CE77EB" w14:textId="77777777" w:rsidR="00FF0BD4" w:rsidRPr="00063F77" w:rsidRDefault="00FF0BD4">
            <w:pPr>
              <w:keepNext/>
              <w:keepLines/>
              <w:spacing w:after="0" w:line="240" w:lineRule="auto"/>
              <w:rPr>
                <w:rFonts w:eastAsia="Times New Roman" w:cs="Arial"/>
                <w:b/>
                <w:color w:val="000000"/>
                <w:sz w:val="18"/>
                <w:szCs w:val="18"/>
                <w:lang w:eastAsia="zh-CN" w:bidi="th-TH"/>
              </w:rPr>
            </w:pPr>
            <w:r w:rsidRPr="00063F77">
              <w:rPr>
                <w:rFonts w:eastAsia="Times New Roman" w:cs="Arial"/>
                <w:b/>
                <w:color w:val="000000"/>
                <w:sz w:val="18"/>
                <w:szCs w:val="18"/>
                <w:lang w:eastAsia="zh-CN" w:bidi="th-TH"/>
              </w:rPr>
              <w:t xml:space="preserve">June </w:t>
            </w:r>
            <w:r w:rsidRPr="00063F77">
              <w:rPr>
                <w:rFonts w:eastAsia="Times New Roman" w:cs="Arial"/>
                <w:b/>
                <w:bCs/>
                <w:color w:val="000000"/>
                <w:sz w:val="18"/>
                <w:szCs w:val="18"/>
                <w:lang w:eastAsia="zh-CN" w:bidi="th-TH"/>
              </w:rPr>
              <w:t>2021-22</w:t>
            </w:r>
            <w:r w:rsidRPr="00063F77">
              <w:rPr>
                <w:rFonts w:eastAsia="Times New Roman" w:cs="Arial"/>
                <w:b/>
                <w:color w:val="000000"/>
                <w:sz w:val="18"/>
                <w:szCs w:val="18"/>
                <w:lang w:eastAsia="zh-CN" w:bidi="th-TH"/>
              </w:rPr>
              <w:t xml:space="preserve"> AFSR</w:t>
            </w:r>
          </w:p>
        </w:tc>
        <w:tc>
          <w:tcPr>
            <w:tcW w:w="650" w:type="pct"/>
            <w:tcBorders>
              <w:right w:val="dotted" w:sz="4" w:space="0" w:color="auto"/>
            </w:tcBorders>
            <w:shd w:val="clear" w:color="auto" w:fill="D4C5D7"/>
            <w:noWrap/>
            <w:vAlign w:val="bottom"/>
            <w:hideMark/>
          </w:tcPr>
          <w:p w14:paraId="28DB423F" w14:textId="77777777" w:rsidR="00FF0BD4" w:rsidRPr="00DA3F73" w:rsidRDefault="00FF0BD4">
            <w:pPr>
              <w:keepNext/>
              <w:keepLines/>
              <w:spacing w:after="0" w:line="240" w:lineRule="auto"/>
              <w:rPr>
                <w:rFonts w:eastAsia="Times New Roman" w:cs="Arial"/>
                <w:b/>
                <w:color w:val="000000"/>
                <w:sz w:val="18"/>
                <w:szCs w:val="18"/>
                <w:lang w:eastAsia="zh-CN" w:bidi="th-TH"/>
              </w:rPr>
            </w:pPr>
            <w:r w:rsidRPr="00063F77">
              <w:rPr>
                <w:rFonts w:eastAsia="Times New Roman" w:cs="Arial"/>
                <w:b/>
                <w:i/>
                <w:color w:val="000000"/>
                <w:sz w:val="18"/>
                <w:szCs w:val="18"/>
                <w:lang w:eastAsia="zh-CN" w:bidi="th-TH"/>
              </w:rPr>
              <w:t> </w:t>
            </w:r>
          </w:p>
        </w:tc>
        <w:tc>
          <w:tcPr>
            <w:tcW w:w="502" w:type="pct"/>
            <w:tcBorders>
              <w:left w:val="dotted" w:sz="4" w:space="0" w:color="auto"/>
            </w:tcBorders>
            <w:shd w:val="clear" w:color="auto" w:fill="D4C5D7"/>
            <w:noWrap/>
            <w:vAlign w:val="center"/>
            <w:hideMark/>
          </w:tcPr>
          <w:p w14:paraId="7E89367C" w14:textId="77777777" w:rsidR="00FF0BD4" w:rsidRPr="00063F77" w:rsidRDefault="00FF0BD4">
            <w:pPr>
              <w:keepNext/>
              <w:keepLines/>
              <w:spacing w:after="0" w:line="240" w:lineRule="auto"/>
              <w:jc w:val="right"/>
              <w:rPr>
                <w:rFonts w:eastAsia="Times New Roman" w:cs="Arial"/>
                <w:b/>
                <w:color w:val="000000"/>
                <w:sz w:val="18"/>
                <w:szCs w:val="18"/>
                <w:lang w:eastAsia="zh-CN" w:bidi="th-TH"/>
              </w:rPr>
            </w:pPr>
            <w:r w:rsidRPr="00063F77">
              <w:rPr>
                <w:rFonts w:eastAsia="Times New Roman" w:cs="Arial"/>
                <w:b/>
                <w:color w:val="000000"/>
                <w:sz w:val="18"/>
                <w:szCs w:val="18"/>
                <w:lang w:eastAsia="zh-CN" w:bidi="th-TH"/>
              </w:rPr>
              <w:t> </w:t>
            </w:r>
          </w:p>
        </w:tc>
        <w:tc>
          <w:tcPr>
            <w:tcW w:w="504" w:type="pct"/>
            <w:shd w:val="clear" w:color="auto" w:fill="D4C5D7"/>
            <w:noWrap/>
            <w:vAlign w:val="center"/>
            <w:hideMark/>
          </w:tcPr>
          <w:p w14:paraId="70FC3DD0" w14:textId="77777777" w:rsidR="00FF0BD4" w:rsidRPr="00063F77" w:rsidRDefault="00FF0BD4">
            <w:pPr>
              <w:keepNext/>
              <w:keepLines/>
              <w:spacing w:after="0" w:line="240" w:lineRule="auto"/>
              <w:jc w:val="right"/>
              <w:rPr>
                <w:rFonts w:eastAsia="Times New Roman" w:cs="Arial"/>
                <w:b/>
                <w:color w:val="000000"/>
                <w:sz w:val="18"/>
                <w:szCs w:val="18"/>
                <w:lang w:eastAsia="zh-CN" w:bidi="th-TH"/>
              </w:rPr>
            </w:pPr>
            <w:r w:rsidRPr="00063F77">
              <w:rPr>
                <w:rFonts w:eastAsia="Times New Roman" w:cs="Arial"/>
                <w:b/>
                <w:color w:val="000000"/>
                <w:sz w:val="18"/>
                <w:szCs w:val="18"/>
                <w:lang w:eastAsia="zh-CN" w:bidi="th-TH"/>
              </w:rPr>
              <w:t> </w:t>
            </w:r>
          </w:p>
        </w:tc>
        <w:tc>
          <w:tcPr>
            <w:tcW w:w="430" w:type="pct"/>
            <w:shd w:val="clear" w:color="auto" w:fill="D4C5D7"/>
            <w:noWrap/>
            <w:vAlign w:val="center"/>
            <w:hideMark/>
          </w:tcPr>
          <w:p w14:paraId="17DC3DB1" w14:textId="77777777" w:rsidR="00FF0BD4" w:rsidRPr="00063F77" w:rsidRDefault="00FF0BD4">
            <w:pPr>
              <w:keepNext/>
              <w:keepLines/>
              <w:spacing w:after="0" w:line="240" w:lineRule="auto"/>
              <w:jc w:val="right"/>
              <w:rPr>
                <w:rFonts w:eastAsia="Times New Roman" w:cs="Arial"/>
                <w:b/>
                <w:color w:val="000000"/>
                <w:sz w:val="18"/>
                <w:szCs w:val="18"/>
                <w:lang w:eastAsia="zh-CN" w:bidi="th-TH"/>
              </w:rPr>
            </w:pPr>
            <w:r w:rsidRPr="00063F77">
              <w:rPr>
                <w:rFonts w:eastAsia="Times New Roman" w:cs="Arial"/>
                <w:b/>
                <w:color w:val="000000"/>
                <w:sz w:val="18"/>
                <w:szCs w:val="18"/>
                <w:lang w:eastAsia="zh-CN" w:bidi="th-TH"/>
              </w:rPr>
              <w:t> </w:t>
            </w:r>
          </w:p>
        </w:tc>
        <w:tc>
          <w:tcPr>
            <w:tcW w:w="582" w:type="pct"/>
            <w:gridSpan w:val="2"/>
            <w:tcBorders>
              <w:right w:val="dashSmallGap" w:sz="4" w:space="0" w:color="BFBFBF" w:themeColor="background1" w:themeShade="BF"/>
            </w:tcBorders>
            <w:shd w:val="clear" w:color="auto" w:fill="D4C5D7"/>
            <w:noWrap/>
            <w:vAlign w:val="center"/>
            <w:hideMark/>
          </w:tcPr>
          <w:p w14:paraId="77375CC7" w14:textId="77777777" w:rsidR="00FF0BD4" w:rsidRPr="00063F77" w:rsidRDefault="00FF0BD4">
            <w:pPr>
              <w:keepNext/>
              <w:keepLines/>
              <w:spacing w:after="0" w:line="240" w:lineRule="auto"/>
              <w:jc w:val="right"/>
              <w:rPr>
                <w:rFonts w:eastAsia="Times New Roman" w:cs="Arial"/>
                <w:b/>
                <w:color w:val="000000"/>
                <w:sz w:val="18"/>
                <w:szCs w:val="18"/>
                <w:lang w:eastAsia="zh-CN" w:bidi="th-TH"/>
              </w:rPr>
            </w:pPr>
            <w:r w:rsidRPr="00063F77">
              <w:rPr>
                <w:rFonts w:eastAsia="Times New Roman" w:cs="Arial"/>
                <w:b/>
                <w:color w:val="000000"/>
                <w:sz w:val="18"/>
                <w:szCs w:val="18"/>
                <w:lang w:eastAsia="zh-CN" w:bidi="th-TH"/>
              </w:rPr>
              <w:t> </w:t>
            </w:r>
          </w:p>
        </w:tc>
        <w:tc>
          <w:tcPr>
            <w:tcW w:w="558" w:type="pct"/>
            <w:tcBorders>
              <w:left w:val="dashSmallGap" w:sz="4" w:space="0" w:color="BFBFBF" w:themeColor="background1" w:themeShade="BF"/>
            </w:tcBorders>
            <w:shd w:val="clear" w:color="auto" w:fill="D4C5D7"/>
            <w:noWrap/>
            <w:vAlign w:val="center"/>
            <w:hideMark/>
          </w:tcPr>
          <w:p w14:paraId="21EF4850" w14:textId="77777777" w:rsidR="00FF0BD4" w:rsidRPr="00063F77" w:rsidRDefault="00FF0BD4">
            <w:pPr>
              <w:keepNext/>
              <w:keepLines/>
              <w:spacing w:after="0" w:line="240" w:lineRule="auto"/>
              <w:jc w:val="right"/>
              <w:rPr>
                <w:rFonts w:eastAsia="Times New Roman" w:cs="Arial"/>
                <w:b/>
                <w:color w:val="000000"/>
                <w:sz w:val="18"/>
                <w:szCs w:val="18"/>
                <w:lang w:eastAsia="zh-CN" w:bidi="th-TH"/>
              </w:rPr>
            </w:pPr>
            <w:r w:rsidRPr="00063F77">
              <w:rPr>
                <w:rFonts w:eastAsia="Times New Roman" w:cs="Arial"/>
                <w:b/>
                <w:color w:val="000000"/>
                <w:sz w:val="18"/>
                <w:szCs w:val="18"/>
                <w:lang w:eastAsia="zh-CN" w:bidi="th-TH"/>
              </w:rPr>
              <w:t> </w:t>
            </w:r>
          </w:p>
        </w:tc>
      </w:tr>
      <w:tr w:rsidR="00087CD9" w:rsidRPr="00063F77" w14:paraId="33AB2DD0" w14:textId="77777777" w:rsidTr="00252EAF">
        <w:trPr>
          <w:trHeight w:val="300"/>
        </w:trPr>
        <w:tc>
          <w:tcPr>
            <w:tcW w:w="1774" w:type="pct"/>
            <w:shd w:val="clear" w:color="auto" w:fill="BFBFBF" w:themeFill="background1" w:themeFillShade="BF"/>
            <w:noWrap/>
            <w:vAlign w:val="center"/>
            <w:hideMark/>
          </w:tcPr>
          <w:p w14:paraId="259F5102" w14:textId="77777777" w:rsidR="00087CD9" w:rsidRPr="00063F77" w:rsidRDefault="00087CD9">
            <w:pPr>
              <w:keepNext/>
              <w:keepLines/>
              <w:spacing w:after="0" w:line="240" w:lineRule="auto"/>
              <w:rPr>
                <w:rFonts w:eastAsia="Times New Roman" w:cs="Arial"/>
                <w:color w:val="000000"/>
                <w:sz w:val="18"/>
                <w:szCs w:val="18"/>
                <w:lang w:eastAsia="zh-CN" w:bidi="th-TH"/>
              </w:rPr>
            </w:pPr>
            <w:r w:rsidRPr="00063F77">
              <w:rPr>
                <w:rFonts w:eastAsia="Times New Roman" w:cs="Arial"/>
                <w:color w:val="000000"/>
                <w:sz w:val="18"/>
                <w:szCs w:val="18"/>
                <w:lang w:eastAsia="zh-CN" w:bidi="th-TH"/>
              </w:rPr>
              <w:t>Normal inflation (inc</w:t>
            </w:r>
            <w:r w:rsidR="00672B50">
              <w:rPr>
                <w:rFonts w:eastAsia="Times New Roman" w:cs="Arial"/>
                <w:color w:val="000000"/>
                <w:sz w:val="18"/>
                <w:szCs w:val="18"/>
                <w:lang w:eastAsia="zh-CN" w:bidi="th-TH"/>
              </w:rPr>
              <w:t xml:space="preserve">l. </w:t>
            </w:r>
            <w:r w:rsidRPr="00063F77">
              <w:rPr>
                <w:rFonts w:eastAsia="Times New Roman" w:cs="Arial"/>
                <w:color w:val="000000"/>
                <w:sz w:val="18"/>
                <w:szCs w:val="18"/>
                <w:lang w:eastAsia="zh-CN" w:bidi="th-TH"/>
              </w:rPr>
              <w:t>APR)</w:t>
            </w:r>
          </w:p>
        </w:tc>
        <w:tc>
          <w:tcPr>
            <w:tcW w:w="650" w:type="pct"/>
            <w:tcBorders>
              <w:right w:val="dotted" w:sz="4" w:space="0" w:color="auto"/>
            </w:tcBorders>
            <w:shd w:val="clear" w:color="auto" w:fill="BFBFBF" w:themeFill="background1" w:themeFillShade="BF"/>
            <w:noWrap/>
            <w:vAlign w:val="center"/>
            <w:hideMark/>
          </w:tcPr>
          <w:p w14:paraId="6BF38A92" w14:textId="77777777" w:rsidR="00087CD9" w:rsidRPr="00DA3F73" w:rsidRDefault="00087CD9">
            <w:pPr>
              <w:keepNext/>
              <w:keepLines/>
              <w:spacing w:after="0" w:line="240" w:lineRule="auto"/>
              <w:jc w:val="right"/>
              <w:rPr>
                <w:rFonts w:eastAsia="Times New Roman" w:cs="Arial"/>
                <w:i/>
                <w:color w:val="000000"/>
                <w:sz w:val="18"/>
                <w:szCs w:val="18"/>
                <w:lang w:eastAsia="zh-CN" w:bidi="th-TH"/>
              </w:rPr>
            </w:pPr>
            <w:r w:rsidRPr="00DA3F73">
              <w:rPr>
                <w:rFonts w:cs="Arial"/>
                <w:sz w:val="18"/>
                <w:szCs w:val="18"/>
              </w:rPr>
              <w:t>5.4%</w:t>
            </w:r>
          </w:p>
        </w:tc>
        <w:tc>
          <w:tcPr>
            <w:tcW w:w="502" w:type="pct"/>
            <w:tcBorders>
              <w:left w:val="dotted" w:sz="4" w:space="0" w:color="auto"/>
            </w:tcBorders>
            <w:shd w:val="clear" w:color="auto" w:fill="BFBFBF" w:themeFill="background1" w:themeFillShade="BF"/>
            <w:noWrap/>
            <w:vAlign w:val="center"/>
            <w:hideMark/>
          </w:tcPr>
          <w:p w14:paraId="791802DD" w14:textId="77777777" w:rsidR="00087CD9" w:rsidRPr="00063F77" w:rsidRDefault="00087CD9">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7.2%</w:t>
            </w:r>
          </w:p>
        </w:tc>
        <w:tc>
          <w:tcPr>
            <w:tcW w:w="504" w:type="pct"/>
            <w:shd w:val="clear" w:color="auto" w:fill="BFBFBF" w:themeFill="background1" w:themeFillShade="BF"/>
            <w:noWrap/>
            <w:vAlign w:val="center"/>
            <w:hideMark/>
          </w:tcPr>
          <w:p w14:paraId="2932D3FE" w14:textId="77777777" w:rsidR="00087CD9" w:rsidRPr="00063F77" w:rsidRDefault="00087CD9">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2.6%</w:t>
            </w:r>
          </w:p>
        </w:tc>
        <w:tc>
          <w:tcPr>
            <w:tcW w:w="527" w:type="pct"/>
            <w:gridSpan w:val="2"/>
            <w:shd w:val="clear" w:color="auto" w:fill="BFBFBF" w:themeFill="background1" w:themeFillShade="BF"/>
            <w:noWrap/>
            <w:vAlign w:val="center"/>
            <w:hideMark/>
          </w:tcPr>
          <w:p w14:paraId="1DFB8CEB" w14:textId="77777777" w:rsidR="00087CD9" w:rsidRPr="00063F77" w:rsidRDefault="00087CD9">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3.6%</w:t>
            </w:r>
          </w:p>
        </w:tc>
        <w:tc>
          <w:tcPr>
            <w:tcW w:w="485" w:type="pct"/>
            <w:tcBorders>
              <w:right w:val="dashSmallGap" w:sz="4" w:space="0" w:color="BFBFBF" w:themeColor="background1" w:themeShade="BF"/>
            </w:tcBorders>
            <w:shd w:val="clear" w:color="auto" w:fill="BFBFBF" w:themeFill="background1" w:themeFillShade="BF"/>
            <w:noWrap/>
            <w:vAlign w:val="center"/>
            <w:hideMark/>
          </w:tcPr>
          <w:p w14:paraId="5659DE73" w14:textId="77777777" w:rsidR="00087CD9" w:rsidRPr="00063F77" w:rsidRDefault="00087CD9">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3.6%</w:t>
            </w:r>
          </w:p>
        </w:tc>
        <w:tc>
          <w:tcPr>
            <w:tcW w:w="558" w:type="pct"/>
            <w:tcBorders>
              <w:left w:val="dashSmallGap" w:sz="4" w:space="0" w:color="BFBFBF" w:themeColor="background1" w:themeShade="BF"/>
            </w:tcBorders>
            <w:shd w:val="clear" w:color="auto" w:fill="BFBFBF" w:themeFill="background1" w:themeFillShade="BF"/>
            <w:noWrap/>
            <w:vAlign w:val="center"/>
            <w:hideMark/>
          </w:tcPr>
          <w:p w14:paraId="50B7BBC4" w14:textId="77777777" w:rsidR="00087CD9" w:rsidRPr="00063F77" w:rsidRDefault="00087CD9">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3.3%</w:t>
            </w:r>
          </w:p>
        </w:tc>
      </w:tr>
      <w:tr w:rsidR="00F73307" w:rsidRPr="00063F77" w14:paraId="6B3C59C6" w14:textId="77777777" w:rsidTr="00F73307">
        <w:trPr>
          <w:trHeight w:val="300"/>
        </w:trPr>
        <w:tc>
          <w:tcPr>
            <w:tcW w:w="1774" w:type="pct"/>
            <w:shd w:val="clear" w:color="auto" w:fill="FFFFFF" w:themeFill="background1"/>
            <w:noWrap/>
            <w:vAlign w:val="center"/>
            <w:hideMark/>
          </w:tcPr>
          <w:p w14:paraId="490955B6" w14:textId="77777777" w:rsidR="00F73307" w:rsidRPr="00063F77" w:rsidRDefault="00F73307" w:rsidP="00F73307">
            <w:pPr>
              <w:keepNext/>
              <w:keepLines/>
              <w:spacing w:after="0" w:line="240" w:lineRule="auto"/>
              <w:rPr>
                <w:rFonts w:eastAsia="Times New Roman" w:cs="Arial"/>
                <w:sz w:val="18"/>
                <w:szCs w:val="18"/>
                <w:lang w:eastAsia="zh-CN" w:bidi="th-TH"/>
              </w:rPr>
            </w:pPr>
            <w:r w:rsidRPr="00063F77">
              <w:rPr>
                <w:rFonts w:eastAsia="Times New Roman" w:cs="Arial"/>
                <w:sz w:val="18"/>
                <w:szCs w:val="18"/>
                <w:lang w:eastAsia="zh-CN" w:bidi="th-TH"/>
              </w:rPr>
              <w:t>Additional inflation</w:t>
            </w:r>
          </w:p>
        </w:tc>
        <w:tc>
          <w:tcPr>
            <w:tcW w:w="650" w:type="pct"/>
            <w:tcBorders>
              <w:right w:val="dotted" w:sz="4" w:space="0" w:color="auto"/>
            </w:tcBorders>
            <w:shd w:val="clear" w:color="auto" w:fill="FFFFFF" w:themeFill="background1"/>
            <w:noWrap/>
            <w:vAlign w:val="center"/>
            <w:hideMark/>
          </w:tcPr>
          <w:p w14:paraId="0629F618" w14:textId="77777777" w:rsidR="00F73307" w:rsidRPr="00DA3F73" w:rsidRDefault="00F73307" w:rsidP="00F73307">
            <w:pPr>
              <w:keepNext/>
              <w:keepLines/>
              <w:spacing w:after="0" w:line="240" w:lineRule="auto"/>
              <w:jc w:val="right"/>
              <w:rPr>
                <w:rFonts w:eastAsia="Times New Roman" w:cs="Arial"/>
                <w:i/>
                <w:sz w:val="18"/>
                <w:szCs w:val="18"/>
                <w:lang w:eastAsia="zh-CN" w:bidi="th-TH"/>
              </w:rPr>
            </w:pPr>
            <w:r w:rsidRPr="00F73307">
              <w:rPr>
                <w:sz w:val="18"/>
                <w:szCs w:val="18"/>
              </w:rPr>
              <w:t>11.2%</w:t>
            </w:r>
          </w:p>
        </w:tc>
        <w:tc>
          <w:tcPr>
            <w:tcW w:w="502" w:type="pct"/>
            <w:tcBorders>
              <w:left w:val="dotted" w:sz="4" w:space="0" w:color="auto"/>
            </w:tcBorders>
            <w:shd w:val="clear" w:color="auto" w:fill="FFFFFF" w:themeFill="background1"/>
            <w:noWrap/>
            <w:vAlign w:val="center"/>
            <w:hideMark/>
          </w:tcPr>
          <w:p w14:paraId="12D2BB6E" w14:textId="77777777" w:rsidR="00F73307" w:rsidRPr="00063F77" w:rsidRDefault="00F73307" w:rsidP="00F73307">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3.4%</w:t>
            </w:r>
          </w:p>
        </w:tc>
        <w:tc>
          <w:tcPr>
            <w:tcW w:w="504" w:type="pct"/>
            <w:shd w:val="clear" w:color="auto" w:fill="FFFFFF" w:themeFill="background1"/>
            <w:noWrap/>
            <w:vAlign w:val="center"/>
            <w:hideMark/>
          </w:tcPr>
          <w:p w14:paraId="396D3417" w14:textId="77777777" w:rsidR="00F73307" w:rsidRPr="00063F77" w:rsidRDefault="00F73307" w:rsidP="00F73307">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3.0%</w:t>
            </w:r>
          </w:p>
        </w:tc>
        <w:tc>
          <w:tcPr>
            <w:tcW w:w="527" w:type="pct"/>
            <w:gridSpan w:val="2"/>
            <w:shd w:val="clear" w:color="auto" w:fill="FFFFFF" w:themeFill="background1"/>
            <w:noWrap/>
            <w:vAlign w:val="center"/>
            <w:hideMark/>
          </w:tcPr>
          <w:p w14:paraId="2D743AFC" w14:textId="77777777" w:rsidR="00F73307" w:rsidRPr="00063F77" w:rsidRDefault="00F73307" w:rsidP="00F73307">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6.0%</w:t>
            </w:r>
          </w:p>
        </w:tc>
        <w:tc>
          <w:tcPr>
            <w:tcW w:w="485" w:type="pct"/>
            <w:tcBorders>
              <w:right w:val="dashSmallGap" w:sz="4" w:space="0" w:color="BFBFBF" w:themeColor="background1" w:themeShade="BF"/>
            </w:tcBorders>
            <w:shd w:val="clear" w:color="auto" w:fill="FFFFFF" w:themeFill="background1"/>
            <w:noWrap/>
            <w:vAlign w:val="center"/>
            <w:hideMark/>
          </w:tcPr>
          <w:p w14:paraId="5F07AD36" w14:textId="77777777" w:rsidR="00F73307" w:rsidRPr="00063F77" w:rsidRDefault="00F73307" w:rsidP="00F73307">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5.0%</w:t>
            </w:r>
          </w:p>
        </w:tc>
        <w:tc>
          <w:tcPr>
            <w:tcW w:w="558" w:type="pct"/>
            <w:tcBorders>
              <w:left w:val="dashSmallGap" w:sz="4" w:space="0" w:color="BFBFBF" w:themeColor="background1" w:themeShade="BF"/>
            </w:tcBorders>
            <w:shd w:val="clear" w:color="auto" w:fill="FFFFFF" w:themeFill="background1"/>
            <w:noWrap/>
            <w:vAlign w:val="center"/>
            <w:hideMark/>
          </w:tcPr>
          <w:p w14:paraId="448CDE63" w14:textId="77777777" w:rsidR="00F73307" w:rsidRPr="00063F77" w:rsidRDefault="00F73307" w:rsidP="00F73307">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2.0%</w:t>
            </w:r>
          </w:p>
        </w:tc>
      </w:tr>
      <w:tr w:rsidR="00F73307" w:rsidRPr="00943F64" w14:paraId="21928D29" w14:textId="77777777" w:rsidTr="00252EAF">
        <w:trPr>
          <w:trHeight w:val="300"/>
        </w:trPr>
        <w:tc>
          <w:tcPr>
            <w:tcW w:w="1774" w:type="pct"/>
            <w:shd w:val="clear" w:color="auto" w:fill="D4C5D7"/>
            <w:noWrap/>
            <w:vAlign w:val="center"/>
            <w:hideMark/>
          </w:tcPr>
          <w:p w14:paraId="054CEAA8" w14:textId="77777777" w:rsidR="00F73307" w:rsidRPr="00943F64" w:rsidRDefault="00F73307" w:rsidP="00F73307">
            <w:pPr>
              <w:keepNext/>
              <w:keepLines/>
              <w:spacing w:after="0" w:line="240" w:lineRule="auto"/>
              <w:rPr>
                <w:rFonts w:eastAsia="Times New Roman" w:cs="Arial"/>
                <w:b/>
                <w:color w:val="000000"/>
                <w:sz w:val="18"/>
                <w:szCs w:val="18"/>
                <w:lang w:eastAsia="zh-CN" w:bidi="th-TH"/>
              </w:rPr>
            </w:pPr>
            <w:r w:rsidRPr="00943F64">
              <w:rPr>
                <w:rFonts w:eastAsia="Times New Roman" w:cs="Arial"/>
                <w:b/>
                <w:color w:val="000000"/>
                <w:sz w:val="18"/>
                <w:szCs w:val="18"/>
                <w:lang w:eastAsia="zh-CN" w:bidi="th-TH"/>
              </w:rPr>
              <w:t>Total inflation (excl. change in mix)</w:t>
            </w:r>
          </w:p>
        </w:tc>
        <w:tc>
          <w:tcPr>
            <w:tcW w:w="650" w:type="pct"/>
            <w:tcBorders>
              <w:right w:val="dotted" w:sz="4" w:space="0" w:color="auto"/>
            </w:tcBorders>
            <w:shd w:val="clear" w:color="auto" w:fill="D4C5D7"/>
            <w:noWrap/>
            <w:vAlign w:val="center"/>
            <w:hideMark/>
          </w:tcPr>
          <w:p w14:paraId="72D2EDE5" w14:textId="77777777" w:rsidR="00F73307" w:rsidRPr="00943F64" w:rsidRDefault="00F73307" w:rsidP="00F73307">
            <w:pPr>
              <w:keepNext/>
              <w:keepLines/>
              <w:spacing w:after="0" w:line="240" w:lineRule="auto"/>
              <w:jc w:val="right"/>
              <w:rPr>
                <w:rFonts w:eastAsia="Times New Roman" w:cs="Arial"/>
                <w:b/>
                <w:bCs/>
                <w:i/>
                <w:color w:val="000000"/>
                <w:sz w:val="18"/>
                <w:szCs w:val="18"/>
                <w:lang w:eastAsia="zh-CN" w:bidi="th-TH"/>
              </w:rPr>
            </w:pPr>
            <w:r w:rsidRPr="00943F64">
              <w:rPr>
                <w:b/>
                <w:sz w:val="18"/>
                <w:szCs w:val="18"/>
              </w:rPr>
              <w:t>16.6%</w:t>
            </w:r>
          </w:p>
        </w:tc>
        <w:tc>
          <w:tcPr>
            <w:tcW w:w="502" w:type="pct"/>
            <w:tcBorders>
              <w:left w:val="dotted" w:sz="4" w:space="0" w:color="auto"/>
            </w:tcBorders>
            <w:shd w:val="clear" w:color="auto" w:fill="D4C5D7"/>
            <w:noWrap/>
            <w:vAlign w:val="center"/>
            <w:hideMark/>
          </w:tcPr>
          <w:p w14:paraId="20FD533E" w14:textId="77777777" w:rsidR="00F73307" w:rsidRPr="00943F64" w:rsidRDefault="00F73307" w:rsidP="00F73307">
            <w:pPr>
              <w:keepNext/>
              <w:keepLines/>
              <w:spacing w:after="0" w:line="240" w:lineRule="auto"/>
              <w:jc w:val="right"/>
              <w:rPr>
                <w:rFonts w:eastAsia="Times New Roman" w:cs="Arial"/>
                <w:b/>
                <w:color w:val="000000"/>
                <w:sz w:val="18"/>
                <w:szCs w:val="18"/>
                <w:lang w:eastAsia="zh-CN" w:bidi="th-TH"/>
              </w:rPr>
            </w:pPr>
            <w:r w:rsidRPr="00943F64">
              <w:rPr>
                <w:rFonts w:cs="Arial"/>
                <w:b/>
                <w:sz w:val="18"/>
                <w:szCs w:val="18"/>
              </w:rPr>
              <w:t>10.6%</w:t>
            </w:r>
          </w:p>
        </w:tc>
        <w:tc>
          <w:tcPr>
            <w:tcW w:w="504" w:type="pct"/>
            <w:shd w:val="clear" w:color="auto" w:fill="D4C5D7"/>
            <w:noWrap/>
            <w:vAlign w:val="center"/>
            <w:hideMark/>
          </w:tcPr>
          <w:p w14:paraId="316F3E7A" w14:textId="77777777" w:rsidR="00F73307" w:rsidRPr="00943F64" w:rsidRDefault="00F73307" w:rsidP="00F73307">
            <w:pPr>
              <w:keepNext/>
              <w:keepLines/>
              <w:spacing w:after="0" w:line="240" w:lineRule="auto"/>
              <w:jc w:val="right"/>
              <w:rPr>
                <w:rFonts w:eastAsia="Times New Roman" w:cs="Arial"/>
                <w:b/>
                <w:color w:val="000000"/>
                <w:sz w:val="18"/>
                <w:szCs w:val="18"/>
                <w:lang w:eastAsia="zh-CN" w:bidi="th-TH"/>
              </w:rPr>
            </w:pPr>
            <w:r w:rsidRPr="00943F64">
              <w:rPr>
                <w:rFonts w:cs="Arial"/>
                <w:b/>
                <w:sz w:val="18"/>
                <w:szCs w:val="18"/>
              </w:rPr>
              <w:t>5.6%</w:t>
            </w:r>
          </w:p>
        </w:tc>
        <w:tc>
          <w:tcPr>
            <w:tcW w:w="527" w:type="pct"/>
            <w:gridSpan w:val="2"/>
            <w:shd w:val="clear" w:color="auto" w:fill="D4C5D7"/>
            <w:noWrap/>
            <w:vAlign w:val="center"/>
            <w:hideMark/>
          </w:tcPr>
          <w:p w14:paraId="13BC96B4" w14:textId="77777777" w:rsidR="00F73307" w:rsidRPr="00943F64" w:rsidRDefault="00F73307" w:rsidP="00F73307">
            <w:pPr>
              <w:keepNext/>
              <w:keepLines/>
              <w:spacing w:after="0" w:line="240" w:lineRule="auto"/>
              <w:jc w:val="right"/>
              <w:rPr>
                <w:rFonts w:eastAsia="Times New Roman" w:cs="Arial"/>
                <w:b/>
                <w:color w:val="000000"/>
                <w:sz w:val="18"/>
                <w:szCs w:val="18"/>
                <w:lang w:eastAsia="zh-CN" w:bidi="th-TH"/>
              </w:rPr>
            </w:pPr>
            <w:r w:rsidRPr="00943F64">
              <w:rPr>
                <w:rFonts w:cs="Arial"/>
                <w:b/>
                <w:sz w:val="18"/>
                <w:szCs w:val="18"/>
              </w:rPr>
              <w:t>9.6%</w:t>
            </w:r>
          </w:p>
        </w:tc>
        <w:tc>
          <w:tcPr>
            <w:tcW w:w="485" w:type="pct"/>
            <w:tcBorders>
              <w:right w:val="dashSmallGap" w:sz="4" w:space="0" w:color="BFBFBF" w:themeColor="background1" w:themeShade="BF"/>
            </w:tcBorders>
            <w:shd w:val="clear" w:color="auto" w:fill="D4C5D7"/>
            <w:noWrap/>
            <w:vAlign w:val="center"/>
            <w:hideMark/>
          </w:tcPr>
          <w:p w14:paraId="44EE3CB3" w14:textId="77777777" w:rsidR="00F73307" w:rsidRPr="00943F64" w:rsidRDefault="00F73307" w:rsidP="00F73307">
            <w:pPr>
              <w:keepNext/>
              <w:keepLines/>
              <w:spacing w:after="0" w:line="240" w:lineRule="auto"/>
              <w:jc w:val="right"/>
              <w:rPr>
                <w:rFonts w:eastAsia="Times New Roman" w:cs="Arial"/>
                <w:b/>
                <w:color w:val="000000"/>
                <w:sz w:val="18"/>
                <w:szCs w:val="18"/>
                <w:lang w:eastAsia="zh-CN" w:bidi="th-TH"/>
              </w:rPr>
            </w:pPr>
            <w:r w:rsidRPr="00943F64">
              <w:rPr>
                <w:rFonts w:cs="Arial"/>
                <w:b/>
                <w:sz w:val="18"/>
                <w:szCs w:val="18"/>
              </w:rPr>
              <w:t>8.6%</w:t>
            </w:r>
          </w:p>
        </w:tc>
        <w:tc>
          <w:tcPr>
            <w:tcW w:w="558" w:type="pct"/>
            <w:tcBorders>
              <w:left w:val="dashSmallGap" w:sz="4" w:space="0" w:color="BFBFBF" w:themeColor="background1" w:themeShade="BF"/>
            </w:tcBorders>
            <w:shd w:val="clear" w:color="auto" w:fill="D4C5D7"/>
            <w:noWrap/>
            <w:vAlign w:val="center"/>
            <w:hideMark/>
          </w:tcPr>
          <w:p w14:paraId="029B798B" w14:textId="77777777" w:rsidR="00F73307" w:rsidRPr="00943F64" w:rsidRDefault="00F73307" w:rsidP="00F73307">
            <w:pPr>
              <w:keepNext/>
              <w:keepLines/>
              <w:spacing w:after="0" w:line="240" w:lineRule="auto"/>
              <w:jc w:val="right"/>
              <w:rPr>
                <w:rFonts w:eastAsia="Times New Roman" w:cs="Arial"/>
                <w:b/>
                <w:color w:val="000000"/>
                <w:sz w:val="18"/>
                <w:szCs w:val="18"/>
                <w:lang w:eastAsia="zh-CN" w:bidi="th-TH"/>
              </w:rPr>
            </w:pPr>
            <w:r w:rsidRPr="00943F64">
              <w:rPr>
                <w:rFonts w:cs="Arial"/>
                <w:b/>
                <w:sz w:val="18"/>
                <w:szCs w:val="18"/>
              </w:rPr>
              <w:t>5.3%</w:t>
            </w:r>
          </w:p>
        </w:tc>
      </w:tr>
      <w:tr w:rsidR="00F73307" w:rsidRPr="00063F77" w14:paraId="6D13A023" w14:textId="77777777" w:rsidTr="00F73307">
        <w:trPr>
          <w:trHeight w:val="300"/>
        </w:trPr>
        <w:tc>
          <w:tcPr>
            <w:tcW w:w="1774" w:type="pct"/>
            <w:tcBorders>
              <w:bottom w:val="single" w:sz="4" w:space="0" w:color="auto"/>
            </w:tcBorders>
            <w:shd w:val="clear" w:color="auto" w:fill="FFFFFF" w:themeFill="background1"/>
            <w:noWrap/>
            <w:vAlign w:val="center"/>
            <w:hideMark/>
          </w:tcPr>
          <w:p w14:paraId="0E3E1233" w14:textId="77777777" w:rsidR="00F73307" w:rsidRPr="00063F77" w:rsidRDefault="00F73307" w:rsidP="00F73307">
            <w:pPr>
              <w:keepNext/>
              <w:keepLines/>
              <w:spacing w:after="0" w:line="240" w:lineRule="auto"/>
              <w:rPr>
                <w:rFonts w:eastAsia="Times New Roman" w:cs="Arial"/>
                <w:sz w:val="18"/>
                <w:szCs w:val="18"/>
                <w:lang w:eastAsia="zh-CN" w:bidi="th-TH"/>
              </w:rPr>
            </w:pPr>
            <w:r w:rsidRPr="00063F77">
              <w:rPr>
                <w:rFonts w:eastAsia="Times New Roman" w:cs="Arial"/>
                <w:sz w:val="18"/>
                <w:szCs w:val="18"/>
                <w:lang w:eastAsia="zh-CN" w:bidi="th-TH"/>
              </w:rPr>
              <w:t>Change in Mix</w:t>
            </w:r>
          </w:p>
        </w:tc>
        <w:tc>
          <w:tcPr>
            <w:tcW w:w="650" w:type="pct"/>
            <w:tcBorders>
              <w:bottom w:val="single" w:sz="4" w:space="0" w:color="auto"/>
              <w:right w:val="dotted" w:sz="4" w:space="0" w:color="auto"/>
            </w:tcBorders>
            <w:shd w:val="clear" w:color="auto" w:fill="FFFFFF" w:themeFill="background1"/>
            <w:noWrap/>
            <w:vAlign w:val="center"/>
            <w:hideMark/>
          </w:tcPr>
          <w:p w14:paraId="7E4CF0C3" w14:textId="77777777" w:rsidR="00F73307" w:rsidRPr="00F73307" w:rsidRDefault="00F73307" w:rsidP="00F73307">
            <w:pPr>
              <w:keepNext/>
              <w:keepLines/>
              <w:spacing w:after="0" w:line="240" w:lineRule="auto"/>
              <w:jc w:val="right"/>
              <w:rPr>
                <w:rFonts w:eastAsia="Times New Roman" w:cs="Arial"/>
                <w:i/>
                <w:color w:val="000000"/>
                <w:sz w:val="18"/>
                <w:szCs w:val="18"/>
                <w:lang w:eastAsia="zh-CN" w:bidi="th-TH"/>
              </w:rPr>
            </w:pPr>
            <w:r w:rsidRPr="00F73307">
              <w:rPr>
                <w:sz w:val="18"/>
                <w:szCs w:val="18"/>
              </w:rPr>
              <w:t>-7.4%</w:t>
            </w:r>
          </w:p>
        </w:tc>
        <w:tc>
          <w:tcPr>
            <w:tcW w:w="502" w:type="pct"/>
            <w:tcBorders>
              <w:left w:val="dotted" w:sz="4" w:space="0" w:color="auto"/>
              <w:bottom w:val="single" w:sz="4" w:space="0" w:color="auto"/>
            </w:tcBorders>
            <w:shd w:val="clear" w:color="auto" w:fill="FFFFFF" w:themeFill="background1"/>
            <w:noWrap/>
            <w:vAlign w:val="center"/>
            <w:hideMark/>
          </w:tcPr>
          <w:p w14:paraId="68BD588E" w14:textId="77777777" w:rsidR="00F73307" w:rsidRPr="00063F77" w:rsidRDefault="00F73307" w:rsidP="00F73307">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-2.7%</w:t>
            </w:r>
          </w:p>
        </w:tc>
        <w:tc>
          <w:tcPr>
            <w:tcW w:w="504" w:type="pct"/>
            <w:tcBorders>
              <w:bottom w:val="single" w:sz="4" w:space="0" w:color="auto"/>
            </w:tcBorders>
            <w:shd w:val="clear" w:color="auto" w:fill="FFFFFF" w:themeFill="background1"/>
            <w:noWrap/>
            <w:vAlign w:val="center"/>
            <w:hideMark/>
          </w:tcPr>
          <w:p w14:paraId="42FB3932" w14:textId="77777777" w:rsidR="00F73307" w:rsidRPr="00063F77" w:rsidRDefault="00F73307" w:rsidP="00F73307">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-3.3%</w:t>
            </w:r>
          </w:p>
        </w:tc>
        <w:tc>
          <w:tcPr>
            <w:tcW w:w="527" w:type="pct"/>
            <w:gridSpan w:val="2"/>
            <w:tcBorders>
              <w:bottom w:val="single" w:sz="4" w:space="0" w:color="auto"/>
            </w:tcBorders>
            <w:shd w:val="clear" w:color="auto" w:fill="FFFFFF" w:themeFill="background1"/>
            <w:noWrap/>
            <w:vAlign w:val="center"/>
            <w:hideMark/>
          </w:tcPr>
          <w:p w14:paraId="3ACE0570" w14:textId="77777777" w:rsidR="00F73307" w:rsidRPr="00063F77" w:rsidRDefault="00F73307" w:rsidP="00F73307">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-2.5%</w:t>
            </w:r>
          </w:p>
        </w:tc>
        <w:tc>
          <w:tcPr>
            <w:tcW w:w="485" w:type="pct"/>
            <w:tcBorders>
              <w:bottom w:val="single" w:sz="4" w:space="0" w:color="auto"/>
              <w:right w:val="dashSmallGap" w:sz="4" w:space="0" w:color="BFBFBF" w:themeColor="background1" w:themeShade="BF"/>
            </w:tcBorders>
            <w:shd w:val="clear" w:color="auto" w:fill="FFFFFF" w:themeFill="background1"/>
            <w:noWrap/>
            <w:vAlign w:val="center"/>
            <w:hideMark/>
          </w:tcPr>
          <w:p w14:paraId="0CB35E1A" w14:textId="77777777" w:rsidR="00F73307" w:rsidRPr="00063F77" w:rsidRDefault="00F73307" w:rsidP="00F73307">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-1.9%</w:t>
            </w:r>
          </w:p>
        </w:tc>
        <w:tc>
          <w:tcPr>
            <w:tcW w:w="558" w:type="pct"/>
            <w:tcBorders>
              <w:left w:val="dashSmallGap" w:sz="4" w:space="0" w:color="BFBFBF" w:themeColor="background1" w:themeShade="BF"/>
              <w:bottom w:val="single" w:sz="4" w:space="0" w:color="auto"/>
            </w:tcBorders>
            <w:shd w:val="clear" w:color="auto" w:fill="FFFFFF" w:themeFill="background1"/>
            <w:noWrap/>
            <w:vAlign w:val="center"/>
            <w:hideMark/>
          </w:tcPr>
          <w:p w14:paraId="582DB8B3" w14:textId="77777777" w:rsidR="00F73307" w:rsidRPr="00063F77" w:rsidRDefault="00F73307" w:rsidP="00F73307">
            <w:pPr>
              <w:keepNext/>
              <w:keepLines/>
              <w:spacing w:after="0" w:line="240" w:lineRule="auto"/>
              <w:jc w:val="right"/>
              <w:rPr>
                <w:rFonts w:eastAsia="Times New Roman" w:cs="Arial"/>
                <w:color w:val="000000"/>
                <w:sz w:val="18"/>
                <w:szCs w:val="18"/>
                <w:lang w:eastAsia="zh-CN" w:bidi="th-TH"/>
              </w:rPr>
            </w:pPr>
            <w:r w:rsidRPr="00063F77">
              <w:rPr>
                <w:rFonts w:cs="Arial"/>
                <w:sz w:val="18"/>
                <w:szCs w:val="18"/>
              </w:rPr>
              <w:t>-0.4%</w:t>
            </w:r>
          </w:p>
        </w:tc>
      </w:tr>
      <w:tr w:rsidR="00FF0BD4" w:rsidRPr="00063F77" w14:paraId="2CDAE2C3" w14:textId="77777777" w:rsidTr="00F73307">
        <w:trPr>
          <w:trHeight w:val="300"/>
        </w:trPr>
        <w:tc>
          <w:tcPr>
            <w:tcW w:w="1774" w:type="pct"/>
            <w:tcBorders>
              <w:top w:val="single" w:sz="4" w:space="0" w:color="auto"/>
              <w:bottom w:val="single" w:sz="4" w:space="0" w:color="auto"/>
            </w:tcBorders>
            <w:shd w:val="clear" w:color="auto" w:fill="D4C5D7"/>
            <w:noWrap/>
            <w:vAlign w:val="center"/>
            <w:hideMark/>
          </w:tcPr>
          <w:p w14:paraId="24F35B3F" w14:textId="77777777" w:rsidR="00FF0BD4" w:rsidRPr="00063F77" w:rsidRDefault="00FF0BD4">
            <w:pPr>
              <w:keepNext/>
              <w:keepLines/>
              <w:spacing w:after="0" w:line="240" w:lineRule="auto"/>
              <w:rPr>
                <w:rFonts w:eastAsia="Times New Roman" w:cs="Arial"/>
                <w:b/>
                <w:color w:val="000000"/>
                <w:sz w:val="18"/>
                <w:szCs w:val="18"/>
                <w:lang w:eastAsia="zh-CN" w:bidi="th-TH"/>
              </w:rPr>
            </w:pPr>
            <w:r w:rsidRPr="00063F77">
              <w:rPr>
                <w:rFonts w:eastAsia="Times New Roman" w:cs="Arial"/>
                <w:b/>
                <w:color w:val="000000"/>
                <w:sz w:val="18"/>
                <w:szCs w:val="18"/>
                <w:lang w:eastAsia="zh-CN" w:bidi="th-TH"/>
              </w:rPr>
              <w:t>Total Inflation (incl</w:t>
            </w:r>
            <w:r w:rsidR="00672B50">
              <w:rPr>
                <w:rFonts w:eastAsia="Times New Roman" w:cs="Arial"/>
                <w:b/>
                <w:color w:val="000000"/>
                <w:sz w:val="18"/>
                <w:szCs w:val="18"/>
                <w:lang w:eastAsia="zh-CN" w:bidi="th-TH"/>
              </w:rPr>
              <w:t>.</w:t>
            </w:r>
            <w:r w:rsidRPr="00063F77">
              <w:rPr>
                <w:rFonts w:eastAsia="Times New Roman" w:cs="Arial"/>
                <w:b/>
                <w:color w:val="000000"/>
                <w:sz w:val="18"/>
                <w:szCs w:val="18"/>
                <w:lang w:eastAsia="zh-CN" w:bidi="th-TH"/>
              </w:rPr>
              <w:t xml:space="preserve"> change in mix)</w:t>
            </w:r>
          </w:p>
        </w:tc>
        <w:tc>
          <w:tcPr>
            <w:tcW w:w="650" w:type="pct"/>
            <w:tcBorders>
              <w:top w:val="single" w:sz="4" w:space="0" w:color="auto"/>
              <w:bottom w:val="single" w:sz="4" w:space="0" w:color="auto"/>
              <w:right w:val="dotted" w:sz="4" w:space="0" w:color="auto"/>
            </w:tcBorders>
            <w:shd w:val="clear" w:color="auto" w:fill="D4C5D7"/>
            <w:noWrap/>
            <w:vAlign w:val="center"/>
            <w:hideMark/>
          </w:tcPr>
          <w:p w14:paraId="27005588" w14:textId="77777777" w:rsidR="00FF0BD4" w:rsidRPr="00672B50" w:rsidRDefault="00FF0BD4">
            <w:pPr>
              <w:keepNext/>
              <w:keepLines/>
              <w:spacing w:after="0" w:line="240" w:lineRule="auto"/>
              <w:jc w:val="right"/>
              <w:rPr>
                <w:rFonts w:eastAsia="Times New Roman" w:cs="Arial"/>
                <w:b/>
                <w:bCs/>
                <w:i/>
                <w:color w:val="000000"/>
                <w:sz w:val="18"/>
                <w:szCs w:val="18"/>
                <w:lang w:eastAsia="zh-CN" w:bidi="th-TH"/>
              </w:rPr>
            </w:pPr>
            <w:r w:rsidRPr="00252EAF">
              <w:rPr>
                <w:rFonts w:cs="Arial"/>
                <w:b/>
                <w:sz w:val="18"/>
                <w:szCs w:val="18"/>
              </w:rPr>
              <w:t>9.2%</w:t>
            </w:r>
          </w:p>
        </w:tc>
        <w:tc>
          <w:tcPr>
            <w:tcW w:w="502" w:type="pct"/>
            <w:tcBorders>
              <w:top w:val="single" w:sz="4" w:space="0" w:color="auto"/>
              <w:left w:val="dotted" w:sz="4" w:space="0" w:color="auto"/>
              <w:bottom w:val="single" w:sz="4" w:space="0" w:color="auto"/>
            </w:tcBorders>
            <w:shd w:val="clear" w:color="auto" w:fill="D4C5D7"/>
            <w:noWrap/>
            <w:vAlign w:val="center"/>
            <w:hideMark/>
          </w:tcPr>
          <w:p w14:paraId="52DE0D7C" w14:textId="77777777" w:rsidR="00FF0BD4" w:rsidRPr="00672B50" w:rsidRDefault="00FF0BD4">
            <w:pPr>
              <w:keepNext/>
              <w:keepLines/>
              <w:spacing w:after="0" w:line="240" w:lineRule="auto"/>
              <w:jc w:val="right"/>
              <w:rPr>
                <w:rFonts w:eastAsia="Times New Roman" w:cs="Arial"/>
                <w:b/>
                <w:color w:val="000000"/>
                <w:sz w:val="18"/>
                <w:szCs w:val="18"/>
                <w:lang w:eastAsia="zh-CN" w:bidi="th-TH"/>
              </w:rPr>
            </w:pPr>
            <w:r w:rsidRPr="00252EAF">
              <w:rPr>
                <w:rFonts w:cs="Arial"/>
                <w:b/>
                <w:sz w:val="18"/>
                <w:szCs w:val="18"/>
              </w:rPr>
              <w:t>7.7%</w:t>
            </w:r>
          </w:p>
        </w:tc>
        <w:tc>
          <w:tcPr>
            <w:tcW w:w="504" w:type="pct"/>
            <w:tcBorders>
              <w:top w:val="single" w:sz="4" w:space="0" w:color="auto"/>
              <w:bottom w:val="single" w:sz="4" w:space="0" w:color="auto"/>
            </w:tcBorders>
            <w:shd w:val="clear" w:color="auto" w:fill="D4C5D7"/>
            <w:noWrap/>
            <w:vAlign w:val="center"/>
            <w:hideMark/>
          </w:tcPr>
          <w:p w14:paraId="2BB8280A" w14:textId="77777777" w:rsidR="00FF0BD4" w:rsidRPr="00672B50" w:rsidRDefault="00FF0BD4">
            <w:pPr>
              <w:keepNext/>
              <w:keepLines/>
              <w:spacing w:after="0" w:line="240" w:lineRule="auto"/>
              <w:jc w:val="right"/>
              <w:rPr>
                <w:rFonts w:eastAsia="Times New Roman" w:cs="Arial"/>
                <w:b/>
                <w:color w:val="000000"/>
                <w:sz w:val="18"/>
                <w:szCs w:val="18"/>
                <w:lang w:eastAsia="zh-CN" w:bidi="th-TH"/>
              </w:rPr>
            </w:pPr>
            <w:r w:rsidRPr="00252EAF">
              <w:rPr>
                <w:rFonts w:cs="Arial"/>
                <w:b/>
                <w:sz w:val="18"/>
                <w:szCs w:val="18"/>
              </w:rPr>
              <w:t>2.1%</w:t>
            </w:r>
          </w:p>
        </w:tc>
        <w:tc>
          <w:tcPr>
            <w:tcW w:w="527" w:type="pct"/>
            <w:gridSpan w:val="2"/>
            <w:tcBorders>
              <w:top w:val="single" w:sz="4" w:space="0" w:color="auto"/>
              <w:bottom w:val="single" w:sz="4" w:space="0" w:color="auto"/>
            </w:tcBorders>
            <w:shd w:val="clear" w:color="auto" w:fill="D4C5D7"/>
            <w:noWrap/>
            <w:vAlign w:val="center"/>
            <w:hideMark/>
          </w:tcPr>
          <w:p w14:paraId="52E4C0E1" w14:textId="77777777" w:rsidR="00FF0BD4" w:rsidRPr="00672B50" w:rsidRDefault="00FF0BD4">
            <w:pPr>
              <w:keepNext/>
              <w:keepLines/>
              <w:spacing w:after="0" w:line="240" w:lineRule="auto"/>
              <w:jc w:val="right"/>
              <w:rPr>
                <w:rFonts w:eastAsia="Times New Roman" w:cs="Arial"/>
                <w:b/>
                <w:color w:val="000000"/>
                <w:sz w:val="18"/>
                <w:szCs w:val="18"/>
                <w:lang w:eastAsia="zh-CN" w:bidi="th-TH"/>
              </w:rPr>
            </w:pPr>
            <w:r w:rsidRPr="00252EAF">
              <w:rPr>
                <w:rFonts w:cs="Arial"/>
                <w:b/>
                <w:sz w:val="18"/>
                <w:szCs w:val="18"/>
              </w:rPr>
              <w:t>6.9%</w:t>
            </w:r>
          </w:p>
        </w:tc>
        <w:tc>
          <w:tcPr>
            <w:tcW w:w="485" w:type="pct"/>
            <w:tcBorders>
              <w:top w:val="single" w:sz="4" w:space="0" w:color="auto"/>
              <w:bottom w:val="single" w:sz="4" w:space="0" w:color="auto"/>
              <w:right w:val="dashSmallGap" w:sz="4" w:space="0" w:color="BFBFBF" w:themeColor="background1" w:themeShade="BF"/>
            </w:tcBorders>
            <w:shd w:val="clear" w:color="auto" w:fill="D4C5D7"/>
            <w:noWrap/>
            <w:vAlign w:val="center"/>
            <w:hideMark/>
          </w:tcPr>
          <w:p w14:paraId="2CC848E3" w14:textId="77777777" w:rsidR="00FF0BD4" w:rsidRPr="00672B50" w:rsidRDefault="00FF0BD4">
            <w:pPr>
              <w:keepNext/>
              <w:keepLines/>
              <w:spacing w:after="0" w:line="240" w:lineRule="auto"/>
              <w:jc w:val="right"/>
              <w:rPr>
                <w:rFonts w:eastAsia="Times New Roman" w:cs="Arial"/>
                <w:b/>
                <w:color w:val="000000"/>
                <w:sz w:val="18"/>
                <w:szCs w:val="18"/>
                <w:lang w:eastAsia="zh-CN" w:bidi="th-TH"/>
              </w:rPr>
            </w:pPr>
            <w:r w:rsidRPr="00252EAF">
              <w:rPr>
                <w:rFonts w:cs="Arial"/>
                <w:b/>
                <w:sz w:val="18"/>
                <w:szCs w:val="18"/>
              </w:rPr>
              <w:t>6.6%</w:t>
            </w:r>
          </w:p>
        </w:tc>
        <w:tc>
          <w:tcPr>
            <w:tcW w:w="558" w:type="pct"/>
            <w:tcBorders>
              <w:top w:val="single" w:sz="4" w:space="0" w:color="auto"/>
              <w:left w:val="dashSmallGap" w:sz="4" w:space="0" w:color="BFBFBF" w:themeColor="background1" w:themeShade="BF"/>
              <w:bottom w:val="single" w:sz="4" w:space="0" w:color="auto"/>
            </w:tcBorders>
            <w:shd w:val="clear" w:color="auto" w:fill="D4C5D7"/>
            <w:noWrap/>
            <w:vAlign w:val="center"/>
            <w:hideMark/>
          </w:tcPr>
          <w:p w14:paraId="1AA0FB71" w14:textId="77777777" w:rsidR="00FF0BD4" w:rsidRPr="00672B50" w:rsidRDefault="00FF0BD4">
            <w:pPr>
              <w:keepNext/>
              <w:keepLines/>
              <w:spacing w:after="0" w:line="240" w:lineRule="auto"/>
              <w:jc w:val="right"/>
              <w:rPr>
                <w:rFonts w:eastAsia="Times New Roman" w:cs="Arial"/>
                <w:b/>
                <w:color w:val="000000"/>
                <w:sz w:val="18"/>
                <w:szCs w:val="18"/>
                <w:lang w:eastAsia="zh-CN" w:bidi="th-TH"/>
              </w:rPr>
            </w:pPr>
            <w:r w:rsidRPr="00252EAF">
              <w:rPr>
                <w:rFonts w:cs="Arial"/>
                <w:b/>
                <w:sz w:val="18"/>
                <w:szCs w:val="18"/>
              </w:rPr>
              <w:t>4.8%</w:t>
            </w:r>
          </w:p>
        </w:tc>
      </w:tr>
    </w:tbl>
    <w:p w14:paraId="643A1BF8" w14:textId="77777777" w:rsidR="00892048" w:rsidRDefault="00892048" w:rsidP="00892048">
      <w:pPr>
        <w:pStyle w:val="NoSpacing"/>
        <w:rPr>
          <w:rFonts w:eastAsiaTheme="minorHAnsi"/>
          <w:b/>
          <w:bCs/>
          <w:szCs w:val="18"/>
          <w:highlight w:val="yellow"/>
          <w:lang w:eastAsia="en-US"/>
        </w:rPr>
      </w:pPr>
    </w:p>
    <w:p w14:paraId="244FDDB9" w14:textId="77777777" w:rsidR="00892048" w:rsidRPr="00087CD9" w:rsidRDefault="00892048" w:rsidP="00892048">
      <w:pPr>
        <w:pStyle w:val="Figures"/>
        <w:keepLines/>
      </w:pPr>
      <w:bookmarkStart w:id="17" w:name="_Ref112410856"/>
      <w:r w:rsidRPr="002F4765">
        <w:lastRenderedPageBreak/>
        <w:t>Figure</w:t>
      </w:r>
      <w:r w:rsidR="00B10998">
        <w:t xml:space="preserve"> </w:t>
      </w:r>
      <w:fldSimple w:instr=" SEQ Figure \* ARABIC \s 2 ">
        <w:r w:rsidR="00447AA1">
          <w:rPr>
            <w:noProof/>
          </w:rPr>
          <w:t>8</w:t>
        </w:r>
      </w:fldSimple>
      <w:bookmarkEnd w:id="17"/>
      <w:r>
        <w:rPr>
          <w:noProof/>
        </w:rPr>
        <w:t>:</w:t>
      </w:r>
      <w:r w:rsidRPr="002F4765">
        <w:t xml:space="preserve"> </w:t>
      </w:r>
      <w:r w:rsidRPr="00087CD9">
        <w:t>Comparison of adopted total inflation with previous review</w:t>
      </w:r>
    </w:p>
    <w:p w14:paraId="26F9D9E0" w14:textId="77777777" w:rsidR="00892048" w:rsidRPr="00087CD9" w:rsidRDefault="00825181" w:rsidP="00892048">
      <w:pPr>
        <w:pStyle w:val="FSRnormal"/>
        <w:keepNext/>
        <w:keepLines/>
        <w:rPr>
          <w:i/>
        </w:rPr>
      </w:pPr>
      <w:r w:rsidRPr="00087CD9">
        <w:rPr>
          <w:i/>
          <w:noProof/>
          <w:lang w:eastAsia="en-AU"/>
        </w:rPr>
        <w:drawing>
          <wp:inline distT="0" distB="0" distL="0" distR="0" wp14:anchorId="021E4D8D" wp14:editId="5F91C082">
            <wp:extent cx="5724000" cy="2991078"/>
            <wp:effectExtent l="0" t="0" r="0" b="0"/>
            <wp:docPr id="479" name="Picture 479" descr="This charts shows that the 2021-22 AFSR projected that the overall inflation is 10.6% in 2022-23, consisting of 7.2% normal inflation and 3.4% additional inflation. This compares to 2020-21 AFSR where the overall inflation is 8.1% in 2022-23, consisting of 3.2% normal inflation and 5.0% additional inflation.2021-22 AFSR projected that the overall inflation is 5.6% in 2023-24, consisting of 2.6% normal inflation and 3.0% additional inflation. This compares to 2020-21 AFSR where the overall inflation is 6.2% in 2023-24, consisting of 3.2% normal inflation and 3.0% additional inflation.2021-22 AFSR projected that the overall inflation is 9.6% in 2024-25, consisting of 3.6% normal inflation and 6.0% additional inflation. This compares to 2020-21 AFSR where the overall inflation is 4.3% in 2024-25, consisting of 3.2% normal inflation and 1.1% additional inflation. 2021-22 AFSR projected that the overall inflation is 8.6% in 2025-26, consisting of 3.6% normal inflation and 5.0% additional inflation. This compares to 2020-21 AFSR where the overall inflation is 3.4% in 2025-26, consisting of 3.2% normal inflation and 0.2% additional inflation.2021-22 AFSR projected that the overall inflation is 5.3% in 2031-32, consisting of 3.3% normal inflation and 2.0% additional inflation. This compares to 2020-21 AFSR where the overall inflation is 3.3% in 2031-32, consisting of 3.2% normal inflation and 0.0% additional inflation." title="Figure 8: Comparison of adopted total inflation with previous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24000" cy="2991078"/>
                    </a:xfrm>
                    <a:prstGeom prst="rect">
                      <a:avLst/>
                    </a:prstGeom>
                    <a:noFill/>
                  </pic:spPr>
                </pic:pic>
              </a:graphicData>
            </a:graphic>
          </wp:inline>
        </w:drawing>
      </w:r>
    </w:p>
    <w:p w14:paraId="5A282DC8" w14:textId="77777777" w:rsidR="00892048" w:rsidRPr="00087CD9" w:rsidRDefault="00892048" w:rsidP="00892048">
      <w:pPr>
        <w:pStyle w:val="FSRnormal"/>
      </w:pPr>
      <w:r w:rsidRPr="00087CD9">
        <w:t>Overall higher normal inflation is adopted reflective of the 202</w:t>
      </w:r>
      <w:r w:rsidR="005E0BE6">
        <w:t>1</w:t>
      </w:r>
      <w:r w:rsidRPr="00087CD9">
        <w:t>-2</w:t>
      </w:r>
      <w:r w:rsidR="005E0BE6">
        <w:t>2</w:t>
      </w:r>
      <w:r w:rsidRPr="00087CD9">
        <w:t xml:space="preserve"> APR and higher forecasts in relation to future inflation. Higher additional inflation assumptions (in addition to normal inflation) have been set taking into consideration: </w:t>
      </w:r>
    </w:p>
    <w:p w14:paraId="52712F77" w14:textId="77777777" w:rsidR="00892048" w:rsidRPr="00192FCB" w:rsidRDefault="00892048" w:rsidP="00002362">
      <w:pPr>
        <w:pStyle w:val="FSRlist"/>
        <w:rPr>
          <w:lang w:eastAsia="en-AU"/>
        </w:rPr>
      </w:pPr>
      <w:r w:rsidRPr="00087CD9">
        <w:rPr>
          <w:lang w:eastAsia="en-AU"/>
        </w:rPr>
        <w:t>A deeper analysis of additional inflation has been undertaken, identifying various sources. This indicates that additional inflation has been driven by</w:t>
      </w:r>
      <w:r w:rsidRPr="00192FCB">
        <w:rPr>
          <w:lang w:eastAsia="en-AU"/>
        </w:rPr>
        <w:t xml:space="preserve"> changes in participant </w:t>
      </w:r>
      <w:r w:rsidR="0068540D">
        <w:rPr>
          <w:lang w:eastAsia="en-AU"/>
        </w:rPr>
        <w:t xml:space="preserve">level of </w:t>
      </w:r>
      <w:r w:rsidRPr="00192FCB">
        <w:rPr>
          <w:lang w:eastAsia="en-AU"/>
        </w:rPr>
        <w:t xml:space="preserve">function, a broadening in the types of supports utilised by participants, and an increase in the volumes of supports utilised, particularly in relation to attendant care. This analysis shows more detail regarding the forces driving the </w:t>
      </w:r>
      <w:r>
        <w:rPr>
          <w:lang w:eastAsia="en-AU"/>
        </w:rPr>
        <w:t>additional</w:t>
      </w:r>
      <w:r w:rsidRPr="00192FCB">
        <w:rPr>
          <w:lang w:eastAsia="en-AU"/>
        </w:rPr>
        <w:t xml:space="preserve"> inflation and provides a stronger justification for the higher </w:t>
      </w:r>
      <w:r>
        <w:rPr>
          <w:lang w:eastAsia="en-AU"/>
        </w:rPr>
        <w:t>additional</w:t>
      </w:r>
      <w:r w:rsidRPr="00192FCB">
        <w:rPr>
          <w:lang w:eastAsia="en-AU"/>
        </w:rPr>
        <w:t xml:space="preserve"> inflation assumed.</w:t>
      </w:r>
    </w:p>
    <w:p w14:paraId="5B36D1F4" w14:textId="77777777" w:rsidR="00892048" w:rsidRPr="00192FCB" w:rsidRDefault="00892048" w:rsidP="00002362">
      <w:pPr>
        <w:pStyle w:val="FSRlist"/>
        <w:rPr>
          <w:lang w:eastAsia="en-AU"/>
        </w:rPr>
      </w:pPr>
      <w:r w:rsidRPr="00192FCB">
        <w:rPr>
          <w:lang w:eastAsia="en-AU"/>
        </w:rPr>
        <w:t xml:space="preserve">In their </w:t>
      </w:r>
      <w:r w:rsidRPr="00120E75">
        <w:rPr>
          <w:i/>
          <w:iCs/>
          <w:lang w:eastAsia="en-AU"/>
        </w:rPr>
        <w:t>Review of NDIA actuarial forecast model and drivers of Scheme costs</w:t>
      </w:r>
      <w:r w:rsidR="00B72CF9">
        <w:rPr>
          <w:rStyle w:val="FootnoteReference"/>
          <w:i/>
          <w:iCs/>
          <w:lang w:eastAsia="en-AU"/>
        </w:rPr>
        <w:footnoteReference w:id="28"/>
      </w:r>
      <w:r w:rsidRPr="00192FCB">
        <w:rPr>
          <w:lang w:eastAsia="en-AU"/>
        </w:rPr>
        <w:t xml:space="preserve">, Taylor Fry concluded that a projection of </w:t>
      </w:r>
      <w:r w:rsidR="00197BF7">
        <w:rPr>
          <w:lang w:eastAsia="en-AU"/>
        </w:rPr>
        <w:t>Scheme expense</w:t>
      </w:r>
      <w:r w:rsidRPr="00192FCB">
        <w:rPr>
          <w:lang w:eastAsia="en-AU"/>
        </w:rPr>
        <w:t xml:space="preserve">s which is higher than the 2020-21 AFSR model would not be unreasonable. Taylor Fry noted that the allowance for </w:t>
      </w:r>
      <w:r>
        <w:rPr>
          <w:lang w:eastAsia="en-AU"/>
        </w:rPr>
        <w:t>additional</w:t>
      </w:r>
      <w:r w:rsidRPr="00192FCB">
        <w:rPr>
          <w:lang w:eastAsia="en-AU"/>
        </w:rPr>
        <w:t xml:space="preserve"> inflation in the 2020-21 AFSR was likely to be on the low side given the significant upside risk related to inflation facing the Scheme.</w:t>
      </w:r>
    </w:p>
    <w:p w14:paraId="612162CB" w14:textId="77777777" w:rsidR="00892048" w:rsidRPr="00192FCB" w:rsidRDefault="00892048" w:rsidP="00002362">
      <w:pPr>
        <w:pStyle w:val="FSRlist"/>
        <w:rPr>
          <w:lang w:eastAsia="en-AU"/>
        </w:rPr>
      </w:pPr>
      <w:r w:rsidRPr="00192FCB">
        <w:rPr>
          <w:lang w:eastAsia="en-AU"/>
        </w:rPr>
        <w:t xml:space="preserve">Observed </w:t>
      </w:r>
      <w:r>
        <w:rPr>
          <w:lang w:eastAsia="en-AU"/>
        </w:rPr>
        <w:t>additional</w:t>
      </w:r>
      <w:r w:rsidRPr="00192FCB">
        <w:rPr>
          <w:lang w:eastAsia="en-AU"/>
        </w:rPr>
        <w:t xml:space="preserve"> inflation in payments over 2021-22 was 5.4%, and there is reasonable evidence that growth in payments would have been higher had it not been for both demand-side and supply-side effects arising from COVID-19.</w:t>
      </w:r>
      <w:r w:rsidR="00B72CF9">
        <w:rPr>
          <w:lang w:eastAsia="en-AU"/>
        </w:rPr>
        <w:t xml:space="preserve"> T</w:t>
      </w:r>
      <w:r w:rsidRPr="00192FCB">
        <w:rPr>
          <w:lang w:eastAsia="en-AU"/>
        </w:rPr>
        <w:t>hese effects</w:t>
      </w:r>
      <w:r w:rsidR="00B72CF9">
        <w:rPr>
          <w:lang w:eastAsia="en-AU"/>
        </w:rPr>
        <w:t xml:space="preserve"> have been estimated to have reduced payments by approximately</w:t>
      </w:r>
      <w:r w:rsidRPr="00192FCB">
        <w:rPr>
          <w:lang w:eastAsia="en-AU"/>
        </w:rPr>
        <w:t>, 2-3%</w:t>
      </w:r>
      <w:r w:rsidR="005A2EF3">
        <w:rPr>
          <w:lang w:eastAsia="en-AU"/>
        </w:rPr>
        <w:t>,</w:t>
      </w:r>
      <w:r w:rsidRPr="00192FCB">
        <w:rPr>
          <w:lang w:eastAsia="en-AU"/>
        </w:rPr>
        <w:t xml:space="preserve"> </w:t>
      </w:r>
      <w:r>
        <w:rPr>
          <w:lang w:eastAsia="en-AU"/>
        </w:rPr>
        <w:t>mean</w:t>
      </w:r>
      <w:r w:rsidR="00B72CF9">
        <w:rPr>
          <w:lang w:eastAsia="en-AU"/>
        </w:rPr>
        <w:t xml:space="preserve">ing the </w:t>
      </w:r>
      <w:r w:rsidRPr="00192FCB">
        <w:rPr>
          <w:lang w:eastAsia="en-AU"/>
        </w:rPr>
        <w:t xml:space="preserve">underlying </w:t>
      </w:r>
      <w:r>
        <w:rPr>
          <w:lang w:eastAsia="en-AU"/>
        </w:rPr>
        <w:t>additional</w:t>
      </w:r>
      <w:r w:rsidRPr="00192FCB">
        <w:rPr>
          <w:lang w:eastAsia="en-AU"/>
        </w:rPr>
        <w:t xml:space="preserve"> inflation for 2021-22 </w:t>
      </w:r>
      <w:r w:rsidR="00B72CF9">
        <w:rPr>
          <w:lang w:eastAsia="en-AU"/>
        </w:rPr>
        <w:t xml:space="preserve">was </w:t>
      </w:r>
      <w:r w:rsidRPr="00192FCB">
        <w:rPr>
          <w:lang w:eastAsia="en-AU"/>
        </w:rPr>
        <w:t xml:space="preserve">approximately 7-8%, considerably higher than </w:t>
      </w:r>
      <w:r>
        <w:rPr>
          <w:lang w:eastAsia="en-AU"/>
        </w:rPr>
        <w:t>future assumptions at the previous review.</w:t>
      </w:r>
      <w:r w:rsidRPr="00192FCB">
        <w:rPr>
          <w:lang w:eastAsia="en-AU"/>
        </w:rPr>
        <w:t xml:space="preserve">   </w:t>
      </w:r>
    </w:p>
    <w:p w14:paraId="58D7E7D3" w14:textId="77777777" w:rsidR="00892048" w:rsidRDefault="00892048" w:rsidP="00002362">
      <w:pPr>
        <w:pStyle w:val="FSRlist"/>
        <w:rPr>
          <w:lang w:eastAsia="en-AU"/>
        </w:rPr>
      </w:pPr>
      <w:r w:rsidRPr="00192FCB">
        <w:rPr>
          <w:lang w:eastAsia="en-AU"/>
        </w:rPr>
        <w:lastRenderedPageBreak/>
        <w:t xml:space="preserve">Current plan decision making resulted in increases in plans of approximately 9% over 2021-22, with an annualised rate of 12% over the quarter to June 2022. These figures included price increases of approximately 2%, meaning that real growth in plan values were approximately 7% over the 2021-22 year and 10% in the quarter to June 2022, rates which are also considerably higher than </w:t>
      </w:r>
      <w:r>
        <w:rPr>
          <w:lang w:eastAsia="en-AU"/>
        </w:rPr>
        <w:t>future inflation assumptions at the previous review</w:t>
      </w:r>
      <w:r w:rsidRPr="00192FCB">
        <w:rPr>
          <w:lang w:eastAsia="en-AU"/>
        </w:rPr>
        <w:t xml:space="preserve">. </w:t>
      </w:r>
    </w:p>
    <w:p w14:paraId="6DE580F0" w14:textId="77777777" w:rsidR="00892048" w:rsidRDefault="00892048" w:rsidP="00002362">
      <w:pPr>
        <w:pStyle w:val="FSRlist"/>
      </w:pPr>
      <w:r w:rsidRPr="00192FCB">
        <w:rPr>
          <w:lang w:eastAsia="en-AU"/>
        </w:rPr>
        <w:t>Any reduction in inflation from current levels will necessarily require fewer plan increases and/or more plan reductions relative to current, and there remains considerable uncertainty about the likelihood of this in the short to medium term as there are few substantive legislative, policy or operational responses currently planned to mitigate these plan increases.</w:t>
      </w:r>
      <w:r w:rsidR="00D64DFF">
        <w:rPr>
          <w:lang w:eastAsia="en-AU"/>
        </w:rPr>
        <w:t xml:space="preserve"> E</w:t>
      </w:r>
      <w:r w:rsidR="008D2677">
        <w:rPr>
          <w:lang w:eastAsia="en-AU"/>
        </w:rPr>
        <w:t>xploratory initiatives in identifying and assessing fraud and compliance matters impacting the Scheme have commenced</w:t>
      </w:r>
      <w:r w:rsidR="00D64DFF">
        <w:rPr>
          <w:lang w:eastAsia="en-AU"/>
        </w:rPr>
        <w:t xml:space="preserve">, however as </w:t>
      </w:r>
      <w:r w:rsidR="008D2677">
        <w:rPr>
          <w:lang w:eastAsia="en-AU"/>
        </w:rPr>
        <w:t>these initiatives</w:t>
      </w:r>
      <w:r w:rsidR="00D64DFF">
        <w:rPr>
          <w:lang w:eastAsia="en-AU"/>
        </w:rPr>
        <w:t xml:space="preserve"> are</w:t>
      </w:r>
      <w:r w:rsidR="008D2677">
        <w:rPr>
          <w:lang w:eastAsia="en-AU"/>
        </w:rPr>
        <w:t xml:space="preserve"> in their preliminary stages of implementation, their impact on inflation levels was unclear at the time of assumption selections. These initiatives will continue to be closely monitored and will be appropriately factored in at future reviews as greater clarity on the estimated impact is better understood.</w:t>
      </w:r>
    </w:p>
    <w:p w14:paraId="1890579F" w14:textId="77777777" w:rsidR="00892048" w:rsidRPr="001E53E0" w:rsidRDefault="00892048" w:rsidP="00892048">
      <w:pPr>
        <w:pStyle w:val="FSRnormal"/>
        <w:rPr>
          <w:i/>
          <w:highlight w:val="yellow"/>
        </w:rPr>
      </w:pPr>
      <w:r>
        <w:t xml:space="preserve">There is considerable uncertainty regarding these future levels of </w:t>
      </w:r>
      <w:r>
        <w:rPr>
          <w:rFonts w:eastAsia="Times New Roman" w:cs="Arial"/>
          <w:szCs w:val="22"/>
          <w:lang w:eastAsia="en-AU"/>
        </w:rPr>
        <w:t>additional</w:t>
      </w:r>
      <w:r>
        <w:t xml:space="preserve"> inflation, and the impact of different scenarios is quantified in Section 6.1.</w:t>
      </w:r>
    </w:p>
    <w:p w14:paraId="747E3FE8" w14:textId="77777777" w:rsidR="00D1131C" w:rsidRPr="00D1131C" w:rsidRDefault="00D1131C" w:rsidP="00D1131C">
      <w:pPr>
        <w:pStyle w:val="FSRHeading4"/>
      </w:pPr>
      <w:r w:rsidRPr="002F4765">
        <w:t xml:space="preserve">Operating </w:t>
      </w:r>
      <w:r>
        <w:t>Expenses</w:t>
      </w:r>
    </w:p>
    <w:p w14:paraId="2A669C9F" w14:textId="77777777" w:rsidR="00D1131C" w:rsidRPr="00D1131C" w:rsidRDefault="00D1131C" w:rsidP="00D1131C">
      <w:pPr>
        <w:pStyle w:val="FSRnormal"/>
      </w:pPr>
      <w:r w:rsidRPr="00D1131C">
        <w:t>The Agency maintains a detailed activity-based costing of its operations. The operating expenses adopted in this AFSR are based on this internal model. In 2021-22 actual operating expenses (at $1,590 million) were lower than budgeted in the Portfolio Budget Statements (PBS) by $83 million, or 4.9% (</w:t>
      </w:r>
      <w:r w:rsidR="00564FA7" w:rsidRPr="00D1131C">
        <w:t xml:space="preserve">Table </w:t>
      </w:r>
      <w:r w:rsidR="00132846">
        <w:rPr>
          <w:noProof/>
        </w:rPr>
        <w:t>9</w:t>
      </w:r>
      <w:r w:rsidRPr="00D1131C">
        <w:t>). In 2021-22 operating expenses represented 5.6% of Scheme expenses for participant supports, which is lower than the 2020-21 result of 6.3% of Scheme expenses.</w:t>
      </w:r>
    </w:p>
    <w:p w14:paraId="3D93449F" w14:textId="77777777" w:rsidR="00D1131C" w:rsidRPr="00D1131C" w:rsidRDefault="00D1131C" w:rsidP="00D1131C">
      <w:pPr>
        <w:pStyle w:val="Tables"/>
      </w:pPr>
      <w:bookmarkStart w:id="18" w:name="_Ref113271842"/>
      <w:bookmarkStart w:id="19" w:name="_Ref113271800"/>
      <w:r w:rsidRPr="00D1131C">
        <w:t>Table</w:t>
      </w:r>
      <w:r w:rsidR="009E5DD8">
        <w:t xml:space="preserve"> </w:t>
      </w:r>
      <w:fldSimple w:instr=" SEQ Table \* ARABIC \s 2 ">
        <w:r w:rsidR="00A87896">
          <w:rPr>
            <w:noProof/>
          </w:rPr>
          <w:t>9</w:t>
        </w:r>
      </w:fldSimple>
      <w:bookmarkEnd w:id="18"/>
      <w:r w:rsidRPr="00D1131C">
        <w:t>: Actual operating expenses compared to expectations for 2021-22</w:t>
      </w:r>
      <w:bookmarkEnd w:id="19"/>
    </w:p>
    <w:tbl>
      <w:tblPr>
        <w:tblStyle w:val="FSRtable"/>
        <w:tblW w:w="8300" w:type="dxa"/>
        <w:tblInd w:w="5" w:type="dxa"/>
        <w:tblLook w:val="04A0" w:firstRow="1" w:lastRow="0" w:firstColumn="1" w:lastColumn="0" w:noHBand="0" w:noVBand="1"/>
      </w:tblPr>
      <w:tblGrid>
        <w:gridCol w:w="5807"/>
        <w:gridCol w:w="2493"/>
      </w:tblGrid>
      <w:tr w:rsidR="00D1131C" w:rsidRPr="00D1131C" w14:paraId="1E8492D6" w14:textId="77777777" w:rsidTr="00D308D5">
        <w:trPr>
          <w:cnfStyle w:val="100000000000" w:firstRow="1" w:lastRow="0" w:firstColumn="0" w:lastColumn="0" w:oddVBand="0" w:evenVBand="0" w:oddHBand="0" w:evenHBand="0" w:firstRowFirstColumn="0" w:firstRowLastColumn="0" w:lastRowFirstColumn="0" w:lastRowLastColumn="0"/>
          <w:trHeight w:val="414"/>
          <w:tblHeader/>
        </w:trPr>
        <w:tc>
          <w:tcPr>
            <w:cnfStyle w:val="001000000000" w:firstRow="0" w:lastRow="0" w:firstColumn="1" w:lastColumn="0" w:oddVBand="0" w:evenVBand="0" w:oddHBand="0" w:evenHBand="0" w:firstRowFirstColumn="0" w:firstRowLastColumn="0" w:lastRowFirstColumn="0" w:lastRowLastColumn="0"/>
            <w:tcW w:w="5807" w:type="dxa"/>
            <w:noWrap/>
            <w:hideMark/>
          </w:tcPr>
          <w:p w14:paraId="55BC5ED4" w14:textId="77777777" w:rsidR="00D1131C" w:rsidRPr="00F830E6" w:rsidRDefault="00D1131C" w:rsidP="00953DDA">
            <w:pPr>
              <w:spacing w:after="0" w:line="240" w:lineRule="auto"/>
              <w:rPr>
                <w:rFonts w:eastAsia="Times New Roman"/>
                <w:b w:val="0"/>
                <w:bCs/>
                <w:color w:val="FFFFFF"/>
                <w:sz w:val="20"/>
                <w:szCs w:val="20"/>
                <w:lang w:eastAsia="en-AU"/>
              </w:rPr>
            </w:pPr>
            <w:r w:rsidRPr="00F830E6">
              <w:rPr>
                <w:rFonts w:eastAsia="Times New Roman"/>
                <w:bCs/>
                <w:color w:val="FFFFFF"/>
                <w:sz w:val="20"/>
                <w:szCs w:val="20"/>
                <w:lang w:eastAsia="en-AU"/>
              </w:rPr>
              <w:t>Operating expenses - full year to 30 June 2022</w:t>
            </w:r>
          </w:p>
        </w:tc>
        <w:tc>
          <w:tcPr>
            <w:tcW w:w="2493" w:type="dxa"/>
            <w:noWrap/>
            <w:hideMark/>
          </w:tcPr>
          <w:p w14:paraId="368EC767" w14:textId="77777777" w:rsidR="00D1131C" w:rsidRPr="00F830E6" w:rsidRDefault="00D1131C" w:rsidP="00953DDA">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lang w:eastAsia="en-AU"/>
              </w:rPr>
            </w:pPr>
            <w:r w:rsidRPr="00F830E6">
              <w:rPr>
                <w:rFonts w:eastAsia="Times New Roman"/>
                <w:bCs/>
                <w:color w:val="FFFFFF"/>
                <w:sz w:val="20"/>
                <w:szCs w:val="20"/>
                <w:lang w:eastAsia="en-AU"/>
              </w:rPr>
              <w:t>$m</w:t>
            </w:r>
          </w:p>
        </w:tc>
      </w:tr>
      <w:tr w:rsidR="00D1131C" w:rsidRPr="00D1131C" w14:paraId="0E53BD0A" w14:textId="77777777" w:rsidTr="00953DDA">
        <w:trPr>
          <w:trHeight w:val="297"/>
        </w:trPr>
        <w:tc>
          <w:tcPr>
            <w:cnfStyle w:val="001000000000" w:firstRow="0" w:lastRow="0" w:firstColumn="1" w:lastColumn="0" w:oddVBand="0" w:evenVBand="0" w:oddHBand="0" w:evenHBand="0" w:firstRowFirstColumn="0" w:firstRowLastColumn="0" w:lastRowFirstColumn="0" w:lastRowLastColumn="0"/>
            <w:tcW w:w="5807" w:type="dxa"/>
            <w:noWrap/>
            <w:hideMark/>
          </w:tcPr>
          <w:p w14:paraId="5F01DC1B" w14:textId="77777777" w:rsidR="00D1131C" w:rsidRPr="00F830E6" w:rsidRDefault="00D1131C" w:rsidP="00953DDA">
            <w:pPr>
              <w:spacing w:after="0" w:line="240" w:lineRule="auto"/>
              <w:rPr>
                <w:rFonts w:eastAsia="Times New Roman" w:cs="Arial"/>
                <w:color w:val="000000"/>
                <w:sz w:val="20"/>
                <w:szCs w:val="20"/>
                <w:lang w:eastAsia="en-AU"/>
              </w:rPr>
            </w:pPr>
            <w:r w:rsidRPr="00F830E6">
              <w:rPr>
                <w:rFonts w:eastAsia="Times New Roman" w:cs="Arial"/>
                <w:color w:val="000000"/>
                <w:sz w:val="20"/>
                <w:szCs w:val="20"/>
                <w:lang w:eastAsia="en-AU"/>
              </w:rPr>
              <w:t>Actual</w:t>
            </w:r>
          </w:p>
        </w:tc>
        <w:tc>
          <w:tcPr>
            <w:tcW w:w="2493" w:type="dxa"/>
            <w:noWrap/>
            <w:hideMark/>
          </w:tcPr>
          <w:p w14:paraId="6565D2C5" w14:textId="77777777" w:rsidR="00D1131C" w:rsidRPr="00F830E6" w:rsidRDefault="00D1131C" w:rsidP="00953DD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eastAsia="Times New Roman" w:cs="Arial"/>
                <w:color w:val="000000"/>
                <w:sz w:val="20"/>
                <w:szCs w:val="20"/>
                <w:lang w:eastAsia="en-AU"/>
              </w:rPr>
              <w:t>1,590</w:t>
            </w:r>
          </w:p>
        </w:tc>
      </w:tr>
      <w:tr w:rsidR="00D1131C" w:rsidRPr="00D1131C" w14:paraId="5AFADFC1" w14:textId="77777777" w:rsidTr="00252EAF">
        <w:trPr>
          <w:cnfStyle w:val="000000010000" w:firstRow="0" w:lastRow="0" w:firstColumn="0" w:lastColumn="0" w:oddVBand="0" w:evenVBand="0" w:oddHBand="0" w:evenHBand="1"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5807" w:type="dxa"/>
            <w:tcBorders>
              <w:bottom w:val="nil"/>
            </w:tcBorders>
            <w:shd w:val="clear" w:color="auto" w:fill="BFBFBF" w:themeFill="background1" w:themeFillShade="BF"/>
            <w:noWrap/>
            <w:hideMark/>
          </w:tcPr>
          <w:p w14:paraId="3D87EA92" w14:textId="77777777" w:rsidR="00D1131C" w:rsidRPr="00F830E6" w:rsidRDefault="00D1131C" w:rsidP="00953DDA">
            <w:pPr>
              <w:spacing w:after="0" w:line="240" w:lineRule="auto"/>
              <w:rPr>
                <w:rFonts w:eastAsia="Times New Roman" w:cs="Arial"/>
                <w:color w:val="000000"/>
                <w:sz w:val="20"/>
                <w:szCs w:val="20"/>
                <w:lang w:eastAsia="en-AU"/>
              </w:rPr>
            </w:pPr>
            <w:r w:rsidRPr="00F830E6">
              <w:rPr>
                <w:rFonts w:eastAsia="Times New Roman" w:cs="Arial"/>
                <w:color w:val="000000"/>
                <w:sz w:val="20"/>
                <w:szCs w:val="20"/>
                <w:lang w:eastAsia="en-AU"/>
              </w:rPr>
              <w:t>Budget (from 2022-23 PBS)</w:t>
            </w:r>
          </w:p>
        </w:tc>
        <w:tc>
          <w:tcPr>
            <w:tcW w:w="2493" w:type="dxa"/>
            <w:tcBorders>
              <w:bottom w:val="nil"/>
            </w:tcBorders>
            <w:shd w:val="clear" w:color="auto" w:fill="BFBFBF" w:themeFill="background1" w:themeFillShade="BF"/>
            <w:noWrap/>
            <w:hideMark/>
          </w:tcPr>
          <w:p w14:paraId="223EB6E3" w14:textId="77777777" w:rsidR="00D1131C" w:rsidRPr="00F830E6" w:rsidRDefault="00D1131C" w:rsidP="00953DD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eastAsia="Times New Roman" w:cs="Arial"/>
                <w:color w:val="000000"/>
                <w:sz w:val="20"/>
                <w:szCs w:val="20"/>
                <w:lang w:eastAsia="en-AU"/>
              </w:rPr>
              <w:t>1,672</w:t>
            </w:r>
          </w:p>
        </w:tc>
      </w:tr>
      <w:tr w:rsidR="00D1131C" w:rsidRPr="00D1131C" w14:paraId="65E7BBDE" w14:textId="77777777" w:rsidTr="00953DDA">
        <w:trPr>
          <w:trHeight w:val="297"/>
        </w:trPr>
        <w:tc>
          <w:tcPr>
            <w:cnfStyle w:val="001000000000" w:firstRow="0" w:lastRow="0" w:firstColumn="1" w:lastColumn="0" w:oddVBand="0" w:evenVBand="0" w:oddHBand="0" w:evenHBand="0" w:firstRowFirstColumn="0" w:firstRowLastColumn="0" w:lastRowFirstColumn="0" w:lastRowLastColumn="0"/>
            <w:tcW w:w="5807" w:type="dxa"/>
            <w:tcBorders>
              <w:top w:val="nil"/>
              <w:bottom w:val="single" w:sz="4" w:space="0" w:color="auto"/>
            </w:tcBorders>
            <w:noWrap/>
            <w:hideMark/>
          </w:tcPr>
          <w:p w14:paraId="6566DF47" w14:textId="77777777" w:rsidR="00D1131C" w:rsidRPr="00F830E6" w:rsidRDefault="00D1131C" w:rsidP="00953DDA">
            <w:pPr>
              <w:spacing w:after="0" w:line="240" w:lineRule="auto"/>
              <w:rPr>
                <w:rFonts w:eastAsia="Times New Roman" w:cs="Arial"/>
                <w:color w:val="000000"/>
                <w:sz w:val="20"/>
                <w:szCs w:val="20"/>
                <w:lang w:eastAsia="en-AU"/>
              </w:rPr>
            </w:pPr>
            <w:r w:rsidRPr="00F830E6">
              <w:rPr>
                <w:rFonts w:eastAsia="Times New Roman" w:cs="Arial"/>
                <w:color w:val="000000"/>
                <w:sz w:val="20"/>
                <w:szCs w:val="20"/>
                <w:lang w:eastAsia="en-AU"/>
              </w:rPr>
              <w:t>Difference (Actual - Budget)</w:t>
            </w:r>
          </w:p>
        </w:tc>
        <w:tc>
          <w:tcPr>
            <w:tcW w:w="2493" w:type="dxa"/>
            <w:tcBorders>
              <w:top w:val="nil"/>
              <w:bottom w:val="single" w:sz="4" w:space="0" w:color="auto"/>
            </w:tcBorders>
            <w:noWrap/>
            <w:hideMark/>
          </w:tcPr>
          <w:p w14:paraId="3690A3C6" w14:textId="77777777" w:rsidR="00D1131C" w:rsidRPr="00F830E6" w:rsidRDefault="00D1131C" w:rsidP="00953DD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eastAsia="Times New Roman" w:cs="Arial"/>
                <w:color w:val="000000"/>
                <w:sz w:val="20"/>
                <w:szCs w:val="20"/>
                <w:lang w:eastAsia="en-AU"/>
              </w:rPr>
              <w:t>-83</w:t>
            </w:r>
          </w:p>
        </w:tc>
      </w:tr>
    </w:tbl>
    <w:p w14:paraId="061F24CB" w14:textId="77777777" w:rsidR="00D1131C" w:rsidRPr="00D1131C" w:rsidRDefault="00D1131C" w:rsidP="00D1131C">
      <w:pPr>
        <w:pStyle w:val="FSRnormal"/>
        <w:rPr>
          <w:rFonts w:eastAsiaTheme="minorHAnsi"/>
          <w:szCs w:val="18"/>
          <w:lang w:eastAsia="en-US"/>
        </w:rPr>
      </w:pPr>
      <w:r w:rsidRPr="00D1131C">
        <w:t>Operating expenses, as a percentage of Scheme expenses, are projected to reduce over time, as the relative</w:t>
      </w:r>
      <w:r w:rsidR="00D64DFF">
        <w:t xml:space="preserve"> expense</w:t>
      </w:r>
      <w:r w:rsidRPr="00D1131C">
        <w:t xml:space="preserve"> of bringing new participants into the Scheme is expected to reduce, and because the average payment per participant is expected to increase at a faster rate than the inflation rate assumed to underpin the Scheme’s operating expenses. Operating expenses are</w:t>
      </w:r>
      <w:r w:rsidR="00D64DFF">
        <w:t xml:space="preserve"> projected</w:t>
      </w:r>
      <w:r w:rsidRPr="00D1131C">
        <w:t xml:space="preserve"> to be 5.2% of Scheme expenses for participant supports in 2022-23, reducing to 4.2% in 2025-26, and 3.4% in 2029-30.</w:t>
      </w:r>
    </w:p>
    <w:p w14:paraId="73D33DDC" w14:textId="77777777" w:rsidR="00D1131C" w:rsidRDefault="00D1131C" w:rsidP="00D1131C">
      <w:pPr>
        <w:pStyle w:val="FSRnormal"/>
      </w:pPr>
      <w:r w:rsidRPr="00D1131C">
        <w:t>The</w:t>
      </w:r>
      <w:r w:rsidR="00D64DFF">
        <w:t xml:space="preserve"> projected</w:t>
      </w:r>
      <w:r w:rsidRPr="00D1131C">
        <w:t xml:space="preserve"> operating expenses of $1,780 million in 2022-23 are approximately $190 million (or 12%) higher than actual operating expenses in 2021-22 (and $107 million higher </w:t>
      </w:r>
      <w:r w:rsidRPr="00D1131C">
        <w:lastRenderedPageBreak/>
        <w:t xml:space="preserve">than the amount allowed for in </w:t>
      </w:r>
      <w:r w:rsidRPr="00ED4E05">
        <w:t>2021-22 in the</w:t>
      </w:r>
      <w:r w:rsidRPr="00D1131C">
        <w:t xml:space="preserve"> 2022-23 PBS). However, this variance is regarded as relatively small in the context of the sustainability risks relating to Scheme expenses which are identified in this report, and the recommended operating expense range in the 2017 Productivity Commission study report, of 7 to 10% of Scheme expenses</w:t>
      </w:r>
      <w:r w:rsidRPr="00D1131C">
        <w:rPr>
          <w:rStyle w:val="FootnoteReference"/>
        </w:rPr>
        <w:footnoteReference w:id="29"/>
      </w:r>
      <w:r w:rsidRPr="00D1131C">
        <w:t>. In adopting an estimate which is considerably higher than both the actual and budgeted expenses in 2021-22, it is noted that significant investments are required, to develop stronger noncompliance payment controls and fraud mitigation measures, as well as to achieve a continued focus on improvement in participant experience (as prescribed by the Participant Service Guarantee (PSG) which was legislated in 2022). This investment needs to take the form of frontline capability and capacity, as well as strategic investments in broader organisation capabilities</w:t>
      </w:r>
    </w:p>
    <w:p w14:paraId="09F91105" w14:textId="77777777" w:rsidR="00892048" w:rsidRPr="002F4765" w:rsidRDefault="00892048" w:rsidP="00D72D94">
      <w:pPr>
        <w:pStyle w:val="FSRHeading4"/>
      </w:pPr>
      <w:r>
        <w:t>Scenario analysis and uncertainty</w:t>
      </w:r>
    </w:p>
    <w:p w14:paraId="330E961A" w14:textId="77777777" w:rsidR="00892048" w:rsidRDefault="00892048" w:rsidP="00892048">
      <w:pPr>
        <w:pStyle w:val="FSRnormal"/>
        <w:rPr>
          <w:rFonts w:eastAsia="Times New Roman" w:cs="Arial"/>
          <w:b/>
          <w:bCs/>
          <w:color w:val="FFFFFF"/>
          <w:sz w:val="16"/>
          <w:szCs w:val="16"/>
          <w:lang w:eastAsia="zh-CN" w:bidi="th-TH"/>
        </w:rPr>
      </w:pPr>
      <w:r w:rsidRPr="000919C4">
        <w:t xml:space="preserve">The projections presented in Section 5 of this report represent the “baseline” estimate of Scheme population and </w:t>
      </w:r>
      <w:r>
        <w:t>expense</w:t>
      </w:r>
      <w:r w:rsidRPr="000919C4">
        <w:t xml:space="preserve">s. </w:t>
      </w:r>
      <w:r>
        <w:t>There</w:t>
      </w:r>
      <w:r w:rsidRPr="000919C4">
        <w:t xml:space="preserve"> is considerable uncertainty in relation to these projections, and the actual </w:t>
      </w:r>
      <w:r>
        <w:t>expense</w:t>
      </w:r>
      <w:r w:rsidRPr="000919C4">
        <w:t xml:space="preserve"> may vary from the baseline projections</w:t>
      </w:r>
      <w:r>
        <w:t>,</w:t>
      </w:r>
      <w:r w:rsidRPr="000919C4">
        <w:t xml:space="preserve"> possibly significantly</w:t>
      </w:r>
      <w:r>
        <w:t>.</w:t>
      </w:r>
      <w:r>
        <w:rPr>
          <w:rFonts w:eastAsia="Times New Roman" w:cs="Arial"/>
          <w:b/>
          <w:bCs/>
          <w:color w:val="FFFFFF"/>
          <w:sz w:val="16"/>
          <w:szCs w:val="16"/>
          <w:lang w:eastAsia="zh-CN" w:bidi="th-TH"/>
        </w:rPr>
        <w:t xml:space="preserve"> </w:t>
      </w:r>
    </w:p>
    <w:p w14:paraId="51A14081" w14:textId="77777777" w:rsidR="00892048" w:rsidRDefault="00892048" w:rsidP="00892048">
      <w:pPr>
        <w:pStyle w:val="FSRnormal"/>
        <w:rPr>
          <w:lang w:eastAsia="en-AU"/>
        </w:rPr>
      </w:pPr>
      <w:r>
        <w:rPr>
          <w:rFonts w:eastAsia="Yu Mincho" w:cs="Arial"/>
        </w:rPr>
        <w:t>I</w:t>
      </w:r>
      <w:r w:rsidRPr="6D5F3EEF">
        <w:rPr>
          <w:rFonts w:eastAsia="Yu Mincho" w:cs="Arial"/>
        </w:rPr>
        <w:t xml:space="preserve">n the 2020-21 AFSR, a set of combined scenarios were used to illustrate a plausible range of projected </w:t>
      </w:r>
      <w:r>
        <w:rPr>
          <w:rFonts w:eastAsia="Yu Mincho" w:cs="Arial"/>
        </w:rPr>
        <w:t>Scheme expenses</w:t>
      </w:r>
      <w:r w:rsidRPr="6D5F3EEF">
        <w:rPr>
          <w:rFonts w:eastAsia="Yu Mincho" w:cs="Arial"/>
        </w:rPr>
        <w:t xml:space="preserve">. Since the previous review, a stochastic model of the AFSR projections has been developed </w:t>
      </w:r>
      <w:r>
        <w:rPr>
          <w:rFonts w:eastAsia="Yu Mincho" w:cs="Arial"/>
        </w:rPr>
        <w:t>which</w:t>
      </w:r>
      <w:r w:rsidRPr="6D5F3EEF">
        <w:rPr>
          <w:rFonts w:eastAsia="Yu Mincho" w:cs="Arial"/>
        </w:rPr>
        <w:t xml:space="preserve"> provides a more rigorous approach to measuring the level of uncertainty in the projected </w:t>
      </w:r>
      <w:r>
        <w:rPr>
          <w:rFonts w:eastAsia="Yu Mincho" w:cs="Arial"/>
        </w:rPr>
        <w:t>Scheme expenses</w:t>
      </w:r>
      <w:r w:rsidRPr="6D5F3EEF">
        <w:rPr>
          <w:rFonts w:eastAsia="Yu Mincho" w:cs="Arial"/>
        </w:rPr>
        <w:t>.</w:t>
      </w:r>
      <w:r>
        <w:rPr>
          <w:lang w:eastAsia="en-AU"/>
        </w:rPr>
        <w:t xml:space="preserve"> Section 6 details the projected outcomes of varying key assumptions and an overview of the stochastic model. The stochastic simulation results in the projected Scheme expenses are shown in </w:t>
      </w:r>
      <w:r w:rsidR="00014BCE" w:rsidRPr="00277116">
        <w:t xml:space="preserve">Figure </w:t>
      </w:r>
      <w:r w:rsidR="00014BCE">
        <w:rPr>
          <w:noProof/>
        </w:rPr>
        <w:t>9</w:t>
      </w:r>
      <w:r>
        <w:rPr>
          <w:lang w:eastAsia="en-AU"/>
        </w:rPr>
        <w:t>.</w:t>
      </w:r>
    </w:p>
    <w:p w14:paraId="323485A2" w14:textId="77777777" w:rsidR="00892048" w:rsidRDefault="00892048" w:rsidP="0020526A">
      <w:pPr>
        <w:pStyle w:val="Figures"/>
        <w:rPr>
          <w:noProof/>
        </w:rPr>
      </w:pPr>
      <w:bookmarkStart w:id="20" w:name="_Ref112411747"/>
      <w:r w:rsidRPr="00277116">
        <w:lastRenderedPageBreak/>
        <w:t>Figure</w:t>
      </w:r>
      <w:r w:rsidR="00B10998">
        <w:t xml:space="preserve"> </w:t>
      </w:r>
      <w:fldSimple w:instr=" SEQ Figure \* ARABIC \s 2 ">
        <w:r w:rsidR="00447AA1">
          <w:rPr>
            <w:noProof/>
          </w:rPr>
          <w:t>9</w:t>
        </w:r>
      </w:fldSimple>
      <w:bookmarkEnd w:id="20"/>
      <w:r>
        <w:t>:</w:t>
      </w:r>
      <w:r w:rsidRPr="00277116">
        <w:t xml:space="preserve"> </w:t>
      </w:r>
      <w:r>
        <w:t>Projected total annualised Scheme expenses with uncertainty bands</w:t>
      </w:r>
      <w:r w:rsidRPr="00247EC6">
        <w:rPr>
          <w:noProof/>
        </w:rPr>
        <w:t xml:space="preserve"> </w:t>
      </w:r>
      <w:r>
        <w:rPr>
          <w:noProof/>
        </w:rPr>
        <w:t xml:space="preserve"> </w:t>
      </w:r>
    </w:p>
    <w:p w14:paraId="23F7597E" w14:textId="77777777" w:rsidR="00087CD9" w:rsidRDefault="00FD0D9A" w:rsidP="0020526A">
      <w:pPr>
        <w:pStyle w:val="Figures"/>
        <w:rPr>
          <w:noProof/>
        </w:rPr>
      </w:pPr>
      <w:r>
        <w:rPr>
          <w:noProof/>
          <w:lang w:eastAsia="en-AU"/>
        </w:rPr>
        <w:drawing>
          <wp:inline distT="0" distB="0" distL="0" distR="0" wp14:anchorId="75933476" wp14:editId="2B507FAA">
            <wp:extent cx="5724000" cy="3415838"/>
            <wp:effectExtent l="0" t="0" r="0" b="0"/>
            <wp:docPr id="477" name="Picture 477" descr="This chart shows the projected total of Scheme expenses in million dollars for the 5% to 95% certainty at 5% increments over each year ending 30 June 2023 to 30 June 2032." title="Figure 9: Projected total annualised Scheme expenses with uncertainty ba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24000" cy="3415838"/>
                    </a:xfrm>
                    <a:prstGeom prst="rect">
                      <a:avLst/>
                    </a:prstGeom>
                    <a:noFill/>
                  </pic:spPr>
                </pic:pic>
              </a:graphicData>
            </a:graphic>
          </wp:inline>
        </w:drawing>
      </w:r>
    </w:p>
    <w:p w14:paraId="6330EEBE" w14:textId="77777777" w:rsidR="00892048" w:rsidRPr="006F7473" w:rsidRDefault="00892048" w:rsidP="006F7473">
      <w:pPr>
        <w:pStyle w:val="FSRnormal"/>
        <w:rPr>
          <w:rStyle w:val="normaltextrun"/>
        </w:rPr>
      </w:pPr>
      <w:r w:rsidRPr="006F7473">
        <w:rPr>
          <w:rStyle w:val="normaltextrun"/>
        </w:rPr>
        <w:t xml:space="preserve">The 90% confidence interval for the range of expected outcomes for projected Scheme expense is: </w:t>
      </w:r>
    </w:p>
    <w:p w14:paraId="6743E329" w14:textId="77777777" w:rsidR="00892048" w:rsidRDefault="00892048" w:rsidP="00892048">
      <w:pPr>
        <w:pStyle w:val="FSRlist"/>
        <w:rPr>
          <w:rFonts w:ascii="Segoe UI" w:hAnsi="Segoe UI" w:cs="Segoe UI"/>
          <w:sz w:val="18"/>
          <w:szCs w:val="18"/>
        </w:rPr>
      </w:pPr>
      <w:r>
        <w:rPr>
          <w:rStyle w:val="normaltextrun"/>
          <w:rFonts w:cs="Arial"/>
          <w:szCs w:val="22"/>
        </w:rPr>
        <w:t>$31.8 billion to $37.4 billion</w:t>
      </w:r>
      <w:r w:rsidRPr="00D92142">
        <w:rPr>
          <w:rStyle w:val="normaltextrun"/>
          <w:rFonts w:cs="Arial"/>
          <w:szCs w:val="22"/>
        </w:rPr>
        <w:t xml:space="preserve"> </w:t>
      </w:r>
      <w:r>
        <w:rPr>
          <w:rStyle w:val="normaltextrun"/>
          <w:rFonts w:cs="Arial"/>
          <w:szCs w:val="22"/>
        </w:rPr>
        <w:t>for the year ending 30 June 2023, a range of $5.6 billion (1</w:t>
      </w:r>
      <w:r w:rsidR="005B0B8A">
        <w:rPr>
          <w:rStyle w:val="normaltextrun"/>
          <w:rFonts w:cs="Arial"/>
          <w:szCs w:val="22"/>
        </w:rPr>
        <w:t>6</w:t>
      </w:r>
      <w:r>
        <w:rPr>
          <w:rStyle w:val="normaltextrun"/>
          <w:rFonts w:cs="Arial"/>
          <w:szCs w:val="22"/>
        </w:rPr>
        <w:t>% of the baseline estimate).</w:t>
      </w:r>
      <w:r>
        <w:rPr>
          <w:rStyle w:val="eop"/>
          <w:rFonts w:cs="Arial"/>
          <w:szCs w:val="22"/>
        </w:rPr>
        <w:t> </w:t>
      </w:r>
    </w:p>
    <w:p w14:paraId="326E8A91" w14:textId="77777777" w:rsidR="00892048" w:rsidRDefault="00892048" w:rsidP="00892048">
      <w:pPr>
        <w:pStyle w:val="FSRlist"/>
        <w:rPr>
          <w:rFonts w:ascii="Segoe UI" w:hAnsi="Segoe UI" w:cs="Segoe UI"/>
          <w:sz w:val="18"/>
          <w:szCs w:val="18"/>
        </w:rPr>
      </w:pPr>
      <w:r>
        <w:rPr>
          <w:rStyle w:val="normaltextrun"/>
          <w:rFonts w:cs="Arial"/>
          <w:szCs w:val="22"/>
        </w:rPr>
        <w:t>$15</w:t>
      </w:r>
      <w:r w:rsidR="005B0B8A">
        <w:rPr>
          <w:rStyle w:val="normaltextrun"/>
          <w:rFonts w:cs="Arial"/>
          <w:szCs w:val="22"/>
        </w:rPr>
        <w:t>3</w:t>
      </w:r>
      <w:r>
        <w:rPr>
          <w:rStyle w:val="normaltextrun"/>
          <w:rFonts w:cs="Arial"/>
          <w:szCs w:val="22"/>
        </w:rPr>
        <w:t>.</w:t>
      </w:r>
      <w:r w:rsidR="005B0B8A">
        <w:rPr>
          <w:rStyle w:val="normaltextrun"/>
          <w:rFonts w:cs="Arial"/>
          <w:szCs w:val="22"/>
        </w:rPr>
        <w:t>4</w:t>
      </w:r>
      <w:r>
        <w:rPr>
          <w:rStyle w:val="normaltextrun"/>
          <w:rFonts w:cs="Arial"/>
          <w:szCs w:val="22"/>
        </w:rPr>
        <w:t xml:space="preserve"> billion to $19</w:t>
      </w:r>
      <w:r w:rsidR="005B0B8A">
        <w:rPr>
          <w:rStyle w:val="normaltextrun"/>
          <w:rFonts w:cs="Arial"/>
          <w:szCs w:val="22"/>
        </w:rPr>
        <w:t>1</w:t>
      </w:r>
      <w:r>
        <w:rPr>
          <w:rStyle w:val="normaltextrun"/>
          <w:rFonts w:cs="Arial"/>
          <w:szCs w:val="22"/>
        </w:rPr>
        <w:t>.</w:t>
      </w:r>
      <w:r w:rsidR="005B0B8A">
        <w:rPr>
          <w:rStyle w:val="normaltextrun"/>
          <w:rFonts w:cs="Arial"/>
          <w:szCs w:val="22"/>
        </w:rPr>
        <w:t>6</w:t>
      </w:r>
      <w:r>
        <w:rPr>
          <w:rStyle w:val="normaltextrun"/>
          <w:rFonts w:cs="Arial"/>
          <w:szCs w:val="22"/>
        </w:rPr>
        <w:t xml:space="preserve"> billion</w:t>
      </w:r>
      <w:r w:rsidRPr="00D92142">
        <w:rPr>
          <w:rStyle w:val="normaltextrun"/>
          <w:rFonts w:cs="Arial"/>
          <w:szCs w:val="22"/>
        </w:rPr>
        <w:t xml:space="preserve"> </w:t>
      </w:r>
      <w:r>
        <w:rPr>
          <w:rStyle w:val="normaltextrun"/>
          <w:rFonts w:cs="Arial"/>
          <w:szCs w:val="22"/>
        </w:rPr>
        <w:t>for the four years to 30 June 2026, a range of $</w:t>
      </w:r>
      <w:r w:rsidR="00A46C63">
        <w:rPr>
          <w:rStyle w:val="normaltextrun"/>
          <w:rFonts w:cs="Arial"/>
          <w:szCs w:val="22"/>
        </w:rPr>
        <w:t>3</w:t>
      </w:r>
      <w:r w:rsidR="005B0B8A">
        <w:rPr>
          <w:rStyle w:val="normaltextrun"/>
          <w:rFonts w:cs="Arial"/>
          <w:szCs w:val="22"/>
        </w:rPr>
        <w:t>8</w:t>
      </w:r>
      <w:r w:rsidR="00A46C63">
        <w:rPr>
          <w:rStyle w:val="normaltextrun"/>
          <w:rFonts w:cs="Arial"/>
          <w:szCs w:val="22"/>
        </w:rPr>
        <w:t>.</w:t>
      </w:r>
      <w:r w:rsidR="005B0B8A">
        <w:rPr>
          <w:rStyle w:val="normaltextrun"/>
          <w:rFonts w:cs="Arial"/>
          <w:szCs w:val="22"/>
        </w:rPr>
        <w:t>2</w:t>
      </w:r>
      <w:r>
        <w:rPr>
          <w:rStyle w:val="normaltextrun"/>
          <w:rFonts w:cs="Arial"/>
          <w:szCs w:val="22"/>
        </w:rPr>
        <w:t xml:space="preserve"> billion (23% of the baseline estimate).</w:t>
      </w:r>
      <w:r>
        <w:rPr>
          <w:rStyle w:val="eop"/>
          <w:rFonts w:cs="Arial"/>
          <w:szCs w:val="22"/>
        </w:rPr>
        <w:t> </w:t>
      </w:r>
    </w:p>
    <w:p w14:paraId="55C69B04" w14:textId="77777777" w:rsidR="00892048" w:rsidRDefault="00892048" w:rsidP="00892048">
      <w:pPr>
        <w:pStyle w:val="FSRlist"/>
        <w:rPr>
          <w:rFonts w:ascii="Segoe UI" w:hAnsi="Segoe UI" w:cs="Segoe UI"/>
          <w:sz w:val="18"/>
          <w:szCs w:val="18"/>
        </w:rPr>
      </w:pPr>
      <w:r>
        <w:rPr>
          <w:rStyle w:val="normaltextrun"/>
          <w:rFonts w:cs="Arial"/>
          <w:szCs w:val="22"/>
        </w:rPr>
        <w:t>$7</w:t>
      </w:r>
      <w:r w:rsidR="005B0B8A">
        <w:rPr>
          <w:rStyle w:val="normaltextrun"/>
          <w:rFonts w:cs="Arial"/>
          <w:szCs w:val="22"/>
        </w:rPr>
        <w:t>2</w:t>
      </w:r>
      <w:r>
        <w:rPr>
          <w:rStyle w:val="normaltextrun"/>
          <w:rFonts w:cs="Arial"/>
          <w:szCs w:val="22"/>
        </w:rPr>
        <w:t>.</w:t>
      </w:r>
      <w:r w:rsidR="005B0B8A">
        <w:rPr>
          <w:rStyle w:val="normaltextrun"/>
          <w:rFonts w:cs="Arial"/>
          <w:szCs w:val="22"/>
        </w:rPr>
        <w:t>7</w:t>
      </w:r>
      <w:r>
        <w:rPr>
          <w:rStyle w:val="normaltextrun"/>
          <w:rFonts w:cs="Arial"/>
          <w:szCs w:val="22"/>
        </w:rPr>
        <w:t xml:space="preserve"> billion to $11</w:t>
      </w:r>
      <w:r w:rsidR="005B0B8A">
        <w:rPr>
          <w:rStyle w:val="normaltextrun"/>
          <w:rFonts w:cs="Arial"/>
          <w:szCs w:val="22"/>
        </w:rPr>
        <w:t>5</w:t>
      </w:r>
      <w:r>
        <w:rPr>
          <w:rStyle w:val="normaltextrun"/>
          <w:rFonts w:cs="Arial"/>
          <w:szCs w:val="22"/>
        </w:rPr>
        <w:t>.</w:t>
      </w:r>
      <w:r w:rsidR="005B0B8A">
        <w:rPr>
          <w:rStyle w:val="normaltextrun"/>
          <w:rFonts w:cs="Arial"/>
          <w:szCs w:val="22"/>
        </w:rPr>
        <w:t>0</w:t>
      </w:r>
      <w:r>
        <w:rPr>
          <w:rStyle w:val="normaltextrun"/>
          <w:rFonts w:cs="Arial"/>
          <w:szCs w:val="22"/>
        </w:rPr>
        <w:t xml:space="preserve"> billion</w:t>
      </w:r>
      <w:r w:rsidRPr="00D92142">
        <w:rPr>
          <w:rStyle w:val="normaltextrun"/>
          <w:rFonts w:cs="Arial"/>
          <w:szCs w:val="22"/>
        </w:rPr>
        <w:t xml:space="preserve"> </w:t>
      </w:r>
      <w:r>
        <w:rPr>
          <w:rStyle w:val="normaltextrun"/>
          <w:rFonts w:cs="Arial"/>
          <w:szCs w:val="22"/>
        </w:rPr>
        <w:t>for the year ending 30 June 2032, a range of $4</w:t>
      </w:r>
      <w:r w:rsidR="005B0B8A">
        <w:rPr>
          <w:rStyle w:val="normaltextrun"/>
          <w:rFonts w:cs="Arial"/>
          <w:szCs w:val="22"/>
        </w:rPr>
        <w:t>2</w:t>
      </w:r>
      <w:r>
        <w:rPr>
          <w:rStyle w:val="normaltextrun"/>
          <w:rFonts w:cs="Arial"/>
          <w:szCs w:val="22"/>
        </w:rPr>
        <w:t>.</w:t>
      </w:r>
      <w:r w:rsidR="005B0B8A">
        <w:rPr>
          <w:rStyle w:val="normaltextrun"/>
          <w:rFonts w:cs="Arial"/>
          <w:szCs w:val="22"/>
        </w:rPr>
        <w:t>3</w:t>
      </w:r>
      <w:r>
        <w:rPr>
          <w:rStyle w:val="normaltextrun"/>
          <w:rFonts w:cs="Arial"/>
          <w:szCs w:val="22"/>
        </w:rPr>
        <w:t xml:space="preserve"> billion (4</w:t>
      </w:r>
      <w:r w:rsidR="005B0B8A">
        <w:rPr>
          <w:rStyle w:val="normaltextrun"/>
          <w:rFonts w:cs="Arial"/>
          <w:szCs w:val="22"/>
        </w:rPr>
        <w:t>7</w:t>
      </w:r>
      <w:r>
        <w:rPr>
          <w:rStyle w:val="normaltextrun"/>
          <w:rFonts w:cs="Arial"/>
          <w:szCs w:val="22"/>
        </w:rPr>
        <w:t>% of the baseline estimate).</w:t>
      </w:r>
      <w:r>
        <w:rPr>
          <w:rStyle w:val="eop"/>
          <w:rFonts w:cs="Arial"/>
          <w:szCs w:val="22"/>
        </w:rPr>
        <w:t> </w:t>
      </w:r>
    </w:p>
    <w:p w14:paraId="3F35C717" w14:textId="77777777" w:rsidR="00892048" w:rsidRDefault="00892048" w:rsidP="00892048">
      <w:pPr>
        <w:pStyle w:val="FSRnormal"/>
      </w:pPr>
      <w:r>
        <w:t>For any given level of confidence, the range of expected outcomes widens with the duration of the projection, reflecting the increased uncertainty of assumptions and future experience in the longer term.</w:t>
      </w:r>
    </w:p>
    <w:p w14:paraId="0D2380A5" w14:textId="77777777" w:rsidR="00892048" w:rsidRPr="003F6C39" w:rsidRDefault="00892048" w:rsidP="00892048">
      <w:pPr>
        <w:pStyle w:val="FSRnormal"/>
      </w:pPr>
      <w:r w:rsidRPr="003F6C39">
        <w:t>The key risks determined as part of the risk analysis were</w:t>
      </w:r>
      <w:r>
        <w:t xml:space="preserve"> additional inflation, model specification risk</w:t>
      </w:r>
      <w:r>
        <w:rPr>
          <w:rStyle w:val="FootnoteReference"/>
        </w:rPr>
        <w:footnoteReference w:id="30"/>
      </w:r>
      <w:r>
        <w:t>, normal inflation, the numbers of new entrants to the Scheme and projected plan utilisation.</w:t>
      </w:r>
    </w:p>
    <w:p w14:paraId="260AF1C4" w14:textId="77777777" w:rsidR="00892048" w:rsidRDefault="00892048" w:rsidP="00D72D94">
      <w:pPr>
        <w:pStyle w:val="FSRHeading4"/>
      </w:pPr>
      <w:r>
        <w:lastRenderedPageBreak/>
        <w:t>Outcomes</w:t>
      </w:r>
    </w:p>
    <w:p w14:paraId="0CE9AC0C" w14:textId="77777777" w:rsidR="00854323" w:rsidRDefault="00854323" w:rsidP="006F7473">
      <w:pPr>
        <w:pStyle w:val="FSRnormal"/>
      </w:pPr>
      <w:r>
        <w:t xml:space="preserve">A holistic assessment of Scheme financial sustainability requires consideration of both the costs of participant funding and the associated benefit the funding provides for participants in enabling them to achieve the desired goals and outcomes. </w:t>
      </w:r>
    </w:p>
    <w:p w14:paraId="7B79F28A" w14:textId="77777777" w:rsidR="00854323" w:rsidRDefault="00854323" w:rsidP="006F7473">
      <w:pPr>
        <w:pStyle w:val="FSRnormal"/>
      </w:pPr>
      <w:r>
        <w:t>In the NDIS Corporate Plan 2021-25</w:t>
      </w:r>
      <w:r w:rsidRPr="00347743">
        <w:rPr>
          <w:vertAlign w:val="superscript"/>
        </w:rPr>
        <w:footnoteReference w:id="31"/>
      </w:r>
      <w:r>
        <w:t>, Aspiration 1 is “a quality experience and improved outcomes for participants”. Aligned to Aspiration 1 are specific performance metrics, such as the proportion of participants in work and the proportion of participants involved in community and social activities. The NDIA had a target of 24 per cent of working-age participants in paid employment by June 2022, with the achieved result of 23 per cent slightly below this target. F</w:t>
      </w:r>
      <w:r w:rsidRPr="00A75521">
        <w:t xml:space="preserve">or participants aged 15 and over, </w:t>
      </w:r>
      <w:r>
        <w:t>the</w:t>
      </w:r>
      <w:r w:rsidRPr="0065210D">
        <w:t xml:space="preserve"> percentage</w:t>
      </w:r>
      <w:r>
        <w:t xml:space="preserve"> of participants</w:t>
      </w:r>
      <w:r w:rsidRPr="0065210D">
        <w:t xml:space="preserve"> actively involved in the community</w:t>
      </w:r>
      <w:r>
        <w:t xml:space="preserve"> was </w:t>
      </w:r>
      <w:r w:rsidRPr="0065210D">
        <w:t>43%</w:t>
      </w:r>
      <w:r>
        <w:t xml:space="preserve"> compared to the</w:t>
      </w:r>
      <w:r w:rsidRPr="00A75521">
        <w:t xml:space="preserve"> 2021-22 target of 48%. </w:t>
      </w:r>
    </w:p>
    <w:p w14:paraId="105AA274" w14:textId="77777777" w:rsidR="00854323" w:rsidRDefault="00854323" w:rsidP="006F7473">
      <w:pPr>
        <w:pStyle w:val="FSRnormal"/>
      </w:pPr>
      <w:r>
        <w:t xml:space="preserve">The NDIS Outcomes Framework also measures outcomes for the families and carers of participants, recognising that the outcomes for people with a disability and the people who support them are likely to be closely linked. The percentage of parents/carers of participants in a paid job is 50% compared </w:t>
      </w:r>
      <w:r w:rsidRPr="005236AA">
        <w:t xml:space="preserve">to </w:t>
      </w:r>
      <w:r>
        <w:t>the</w:t>
      </w:r>
      <w:r w:rsidRPr="005236AA">
        <w:t xml:space="preserve"> 2021-22 target of 49%.</w:t>
      </w:r>
      <w:r>
        <w:t xml:space="preserve"> </w:t>
      </w:r>
    </w:p>
    <w:p w14:paraId="0016FB9C" w14:textId="77777777" w:rsidR="00854323" w:rsidRDefault="00854323" w:rsidP="006F7473">
      <w:pPr>
        <w:pStyle w:val="FSRnormal"/>
      </w:pPr>
      <w:r>
        <w:t xml:space="preserve">On the whole, perceptions of the Scheme have been positive, with participants and their families/carers more likely to report that the Scheme had helped them in various areas of their lives the longer the participant was in the Scheme. Participant outcomes and family and carer outcomes are further discussed in Section 7. </w:t>
      </w:r>
    </w:p>
    <w:bookmarkEnd w:id="3"/>
    <w:p w14:paraId="0CBF3D62" w14:textId="77777777" w:rsidR="00ED20D3" w:rsidRDefault="00ED20D3" w:rsidP="003F6C39">
      <w:pPr>
        <w:pStyle w:val="FSRnormal"/>
      </w:pPr>
    </w:p>
    <w:p w14:paraId="1FA28470" w14:textId="77777777" w:rsidR="00CD6BE4" w:rsidRDefault="00CD6BE4" w:rsidP="003F6C39">
      <w:pPr>
        <w:pStyle w:val="FSRnormal"/>
        <w:sectPr w:rsidR="00CD6BE4" w:rsidSect="00B17C79">
          <w:headerReference w:type="even" r:id="rId21"/>
          <w:footerReference w:type="default" r:id="rId22"/>
          <w:headerReference w:type="first" r:id="rId23"/>
          <w:pgSz w:w="11906" w:h="16838" w:code="9"/>
          <w:pgMar w:top="1956" w:right="1440" w:bottom="851" w:left="1440" w:header="851" w:footer="851" w:gutter="0"/>
          <w:cols w:space="720"/>
          <w:docGrid w:linePitch="299"/>
        </w:sectPr>
      </w:pPr>
    </w:p>
    <w:p w14:paraId="38BF87C9" w14:textId="77777777" w:rsidR="00BE242A" w:rsidRPr="001769F7" w:rsidRDefault="00BE242A" w:rsidP="00825181">
      <w:pPr>
        <w:pStyle w:val="Heading2"/>
      </w:pPr>
      <w:bookmarkStart w:id="21" w:name="_Toc83220837"/>
      <w:bookmarkStart w:id="22" w:name="_Toc118460185"/>
      <w:bookmarkEnd w:id="0"/>
      <w:bookmarkEnd w:id="1"/>
      <w:r>
        <w:lastRenderedPageBreak/>
        <w:t>Introduction</w:t>
      </w:r>
      <w:bookmarkEnd w:id="21"/>
      <w:bookmarkEnd w:id="22"/>
    </w:p>
    <w:p w14:paraId="26C8FC25" w14:textId="77777777" w:rsidR="00BE242A" w:rsidRDefault="00BE242A" w:rsidP="00BE242A">
      <w:pPr>
        <w:pStyle w:val="FSRnormal"/>
      </w:pPr>
      <w:r w:rsidRPr="00E80888">
        <w:t>An annual financial sustainability report (AFSR) is required under section 180B of the NDIS Act and provides an assessment of the financial sustainability of the National Disability Insurance Scheme (“the Scheme”, or NDIS). This report includes analyses and discussion on recent Scheme experience, best estimate projections of future participant numbers and</w:t>
      </w:r>
      <w:r w:rsidR="00D64DFF">
        <w:t xml:space="preserve"> expenses</w:t>
      </w:r>
      <w:r w:rsidRPr="00E80888">
        <w:t xml:space="preserve"> (based on emerging experience and future expectations), and strategies to address risks to sustainability. </w:t>
      </w:r>
    </w:p>
    <w:p w14:paraId="005165E0" w14:textId="3DC84E06" w:rsidR="00E26BD7" w:rsidRPr="00E26BD7" w:rsidRDefault="00E26BD7" w:rsidP="0006587D">
      <w:pPr>
        <w:pStyle w:val="FSRnormal"/>
      </w:pPr>
      <w:r w:rsidRPr="00E26BD7">
        <w:t>On 18 October 2022, the Minister for the National Disability Insurance Scheme (NDIS) announced the Independent Review into the NDIS to improve the wellbeing of Australians with disability and ensure the Scheme’s sustainability so that future generations receive the benefit of the NDIS.</w:t>
      </w:r>
    </w:p>
    <w:p w14:paraId="4DBDEA03" w14:textId="3EF441BE" w:rsidR="00E26BD7" w:rsidRPr="00E26BD7" w:rsidRDefault="00E26BD7" w:rsidP="0006587D">
      <w:pPr>
        <w:pStyle w:val="FSRnormal"/>
      </w:pPr>
      <w:r w:rsidRPr="00E26BD7">
        <w:t>It is expected that the Review will lead to changes in the NDIA’s work plan. Initiatives and activities described in this report, which commenced prior to the announcement of the Review, should be viewed in that context.</w:t>
      </w:r>
    </w:p>
    <w:p w14:paraId="09C7524E" w14:textId="77777777" w:rsidR="00E26BD7" w:rsidRPr="00E80888" w:rsidRDefault="00E26BD7" w:rsidP="00BE242A">
      <w:pPr>
        <w:pStyle w:val="FSRnormal"/>
      </w:pPr>
    </w:p>
    <w:p w14:paraId="3EAD3AB3" w14:textId="77777777" w:rsidR="00BE242A" w:rsidRPr="003366B8" w:rsidRDefault="00BE242A" w:rsidP="004E667E">
      <w:pPr>
        <w:pStyle w:val="Heading3"/>
        <w:numPr>
          <w:ilvl w:val="0"/>
          <w:numId w:val="26"/>
        </w:numPr>
        <w:ind w:left="851" w:hanging="851"/>
      </w:pPr>
      <w:bookmarkStart w:id="23" w:name="_Toc118460186"/>
      <w:r w:rsidRPr="003366B8">
        <w:t>Background</w:t>
      </w:r>
      <w:bookmarkEnd w:id="23"/>
    </w:p>
    <w:p w14:paraId="16B1BFFE" w14:textId="77777777" w:rsidR="00BE242A" w:rsidRPr="001769F7" w:rsidRDefault="005B7A47" w:rsidP="00BE242A">
      <w:pPr>
        <w:pStyle w:val="FSRnormal"/>
      </w:pPr>
      <w:r>
        <w:t xml:space="preserve">The </w:t>
      </w:r>
      <w:r w:rsidR="00BE242A">
        <w:t>purpose of the NDIS is to provide reasonable and necessary funding to people with a permanent and significant disability so that they have choice and control over the supports and services they need to pursue an ordinary life. A key cornerstone underlying the operation of the Scheme is strong insurance principles, where evidence-based decisions on access and planning are made by drawing on objective information on individuals and the longitudinal data that is collected on participants in the Scheme. Experience is closely and regularly monitored to allow emerging risks and issues to be identified and where required, remediation strategies to be implemented.</w:t>
      </w:r>
    </w:p>
    <w:p w14:paraId="3C1F3A62" w14:textId="77777777" w:rsidR="00BE242A" w:rsidRPr="001769F7" w:rsidRDefault="00E93598" w:rsidP="00BE242A">
      <w:pPr>
        <w:pStyle w:val="FSRnormal"/>
      </w:pPr>
      <w:r>
        <w:t>T</w:t>
      </w:r>
      <w:r w:rsidR="00BE242A">
        <w:t xml:space="preserve">he Scheme has a </w:t>
      </w:r>
      <w:r>
        <w:t>lifetime</w:t>
      </w:r>
      <w:r w:rsidR="00BE242A">
        <w:t xml:space="preserve">, person-centric approach to its model of support for people with disability, where early investment in core, capacity building and capital supports are anticipated to drive better outcomes for participants and their family/carers over their lifetime. </w:t>
      </w:r>
    </w:p>
    <w:p w14:paraId="150F838B" w14:textId="77777777" w:rsidR="00BE242A" w:rsidRPr="001769F7" w:rsidRDefault="00BE242A" w:rsidP="00BE242A">
      <w:pPr>
        <w:pStyle w:val="FSRnormal"/>
      </w:pPr>
      <w:r w:rsidRPr="79C99E17">
        <w:t xml:space="preserve">The </w:t>
      </w:r>
      <w:r w:rsidRPr="79C99E17">
        <w:rPr>
          <w:i/>
          <w:iCs/>
        </w:rPr>
        <w:t>NDIS Insurance Principles and Financial Sustainability Manual</w:t>
      </w:r>
      <w:r w:rsidRPr="79C99E17">
        <w:rPr>
          <w:rStyle w:val="FootnoteReference"/>
        </w:rPr>
        <w:footnoteReference w:id="32"/>
      </w:r>
      <w:r w:rsidRPr="79C99E17">
        <w:t xml:space="preserve"> outlines the insurance model in detail and defines financial sustainability as the state where:</w:t>
      </w:r>
    </w:p>
    <w:p w14:paraId="0F3618FB" w14:textId="77777777" w:rsidR="00BE242A" w:rsidRPr="001769F7" w:rsidRDefault="00BE242A" w:rsidP="00BE242A">
      <w:pPr>
        <w:pStyle w:val="FSRlist"/>
        <w:rPr>
          <w:i/>
          <w:iCs/>
        </w:rPr>
      </w:pPr>
      <w:r w:rsidRPr="79C99E17">
        <w:rPr>
          <w:i/>
          <w:iCs/>
        </w:rPr>
        <w:t xml:space="preserve">the Scheme is successful on the balance of objective measures and projections of economic and social participation and independence, and on participants’ views that they are getting enough money to buy enough goods and services to allow them reasonable access to life opportunities - that is, reasonable and necessary </w:t>
      </w:r>
      <w:r w:rsidR="00EB77C3" w:rsidRPr="79C99E17">
        <w:rPr>
          <w:i/>
          <w:iCs/>
        </w:rPr>
        <w:t>support.</w:t>
      </w:r>
    </w:p>
    <w:p w14:paraId="2969127A" w14:textId="77777777" w:rsidR="00BE242A" w:rsidRPr="001769F7" w:rsidRDefault="00BE242A" w:rsidP="00BE242A">
      <w:pPr>
        <w:pStyle w:val="FSRlist"/>
        <w:rPr>
          <w:i/>
          <w:iCs/>
        </w:rPr>
      </w:pPr>
      <w:r w:rsidRPr="79C99E17">
        <w:rPr>
          <w:i/>
          <w:iCs/>
        </w:rPr>
        <w:lastRenderedPageBreak/>
        <w:t>contributors think that the cost is and will continue to be affordable, under control, represents value for money and, therefore, remain willing to contribute.</w:t>
      </w:r>
    </w:p>
    <w:p w14:paraId="3EF69C20" w14:textId="77777777" w:rsidR="00BE242A" w:rsidRPr="001769F7" w:rsidRDefault="00BE242A" w:rsidP="00BE242A">
      <w:pPr>
        <w:pStyle w:val="FSRnormal"/>
      </w:pPr>
      <w:r>
        <w:t xml:space="preserve">The current government expectation of Scheme </w:t>
      </w:r>
      <w:r w:rsidR="00197BF7">
        <w:t>expenses</w:t>
      </w:r>
      <w:r>
        <w:t xml:space="preserve"> is included in the annual Portfolio Budget Statements (PBS), noting it is not only the financial cost of the Scheme that is important within the context of financial sustainability, but also the outcomes for participants achieved by the Scheme.</w:t>
      </w:r>
    </w:p>
    <w:p w14:paraId="15D04E3F" w14:textId="77777777" w:rsidR="00BE242A" w:rsidRPr="001769F7" w:rsidRDefault="00BE242A" w:rsidP="00BE242A">
      <w:pPr>
        <w:pStyle w:val="FSRnormal"/>
      </w:pPr>
      <w:r w:rsidRPr="79C99E17">
        <w:t xml:space="preserve">Outcomes for participants and their families/carers are reported regularly in the NDIA’s </w:t>
      </w:r>
      <w:r w:rsidR="0036266E">
        <w:t>Q</w:t>
      </w:r>
      <w:r w:rsidRPr="79C99E17">
        <w:t xml:space="preserve">uarterly </w:t>
      </w:r>
      <w:r w:rsidR="0036266E">
        <w:t>R</w:t>
      </w:r>
      <w:r w:rsidRPr="79C99E17">
        <w:t>eports to Disability Ministers</w:t>
      </w:r>
      <w:r w:rsidR="0036266E">
        <w:rPr>
          <w:rStyle w:val="FootnoteReference"/>
        </w:rPr>
        <w:footnoteReference w:id="33"/>
      </w:r>
      <w:r w:rsidRPr="79C99E17">
        <w:t>, and more detailed analysis and data is available on the NDIA Data and Insights website.</w:t>
      </w:r>
      <w:r w:rsidRPr="79C99E17">
        <w:rPr>
          <w:rStyle w:val="FootnoteReference"/>
        </w:rPr>
        <w:footnoteReference w:id="34"/>
      </w:r>
      <w:r>
        <w:t xml:space="preserve"> Section 7 of this report contains key information relating to outcomes measurement and recent results of the outcomes being achieved by Scheme participants, their families and carers.</w:t>
      </w:r>
    </w:p>
    <w:p w14:paraId="73567976" w14:textId="77777777" w:rsidR="00BE242A" w:rsidRPr="001769F7" w:rsidRDefault="00BE242A" w:rsidP="004E667E">
      <w:pPr>
        <w:pStyle w:val="Heading3"/>
        <w:numPr>
          <w:ilvl w:val="0"/>
          <w:numId w:val="26"/>
        </w:numPr>
        <w:ind w:left="851" w:hanging="851"/>
      </w:pPr>
      <w:r>
        <w:t xml:space="preserve"> </w:t>
      </w:r>
      <w:bookmarkStart w:id="24" w:name="_Toc118460187"/>
      <w:r>
        <w:t>Financial sustainability of the NDIS</w:t>
      </w:r>
      <w:bookmarkEnd w:id="24"/>
    </w:p>
    <w:p w14:paraId="577E9502" w14:textId="77777777" w:rsidR="00BE242A" w:rsidRPr="001769F7" w:rsidRDefault="00BE242A" w:rsidP="00BE242A">
      <w:pPr>
        <w:pStyle w:val="FSRnormal"/>
        <w:rPr>
          <w:highlight w:val="yellow"/>
        </w:rPr>
      </w:pPr>
      <w:r w:rsidRPr="4DEB98D4">
        <w:t xml:space="preserve">The NDIS has been in operation since 1 July 2013. The first three years of the Scheme were a trial period, and this was followed by the transition period which commenced on 1 July 2016, with the Scheme progressively rolled out across the country within four years. </w:t>
      </w:r>
    </w:p>
    <w:p w14:paraId="2E27525B" w14:textId="77777777" w:rsidR="00BE242A" w:rsidRPr="001769F7" w:rsidRDefault="00BE242A" w:rsidP="00BE242A">
      <w:pPr>
        <w:pStyle w:val="FSRnormal"/>
      </w:pPr>
      <w:r w:rsidRPr="4DEB98D4">
        <w:t>Since inception, the National Disability Insurance Agency (“the Agency”, or NDIA) has had an increasing focus on improving participant experience.</w:t>
      </w:r>
      <w:r w:rsidRPr="11461FFC">
        <w:t xml:space="preserve"> The Participant Service Charter</w:t>
      </w:r>
      <w:r w:rsidRPr="11461FFC">
        <w:rPr>
          <w:rStyle w:val="FootnoteReference"/>
        </w:rPr>
        <w:footnoteReference w:id="35"/>
      </w:r>
      <w:r w:rsidRPr="11461FFC">
        <w:t xml:space="preserve"> sets out what participants can expect from the NDIA. It is being actioned under the Participant Service Improvement Plan 2022-23</w:t>
      </w:r>
      <w:r w:rsidRPr="11461FFC">
        <w:rPr>
          <w:rStyle w:val="FootnoteReference"/>
        </w:rPr>
        <w:footnoteReference w:id="36"/>
      </w:r>
      <w:r w:rsidRPr="11461FFC">
        <w:t xml:space="preserve"> which sets out how the Agency is working towards increased consistency and transparency of decision making with better operational procedures, guidelines and controls. The Agency is also designing and building a new Information and Communication Technology (ICT) system which will provide an enhanced Customer Relationship Management system and improve the end-to-end participant pathway. </w:t>
      </w:r>
    </w:p>
    <w:p w14:paraId="358F44BA" w14:textId="77777777" w:rsidR="00BE242A" w:rsidRPr="001769F7" w:rsidRDefault="00BE242A" w:rsidP="00BE242A">
      <w:pPr>
        <w:pStyle w:val="FSRnormal"/>
      </w:pPr>
      <w:r w:rsidRPr="11461FFC">
        <w:t xml:space="preserve">However, significant pressures on the financial sustainability of the Scheme remain and have become more significant. This </w:t>
      </w:r>
      <w:r>
        <w:t xml:space="preserve">is </w:t>
      </w:r>
      <w:r w:rsidRPr="11461FFC">
        <w:t xml:space="preserve">reflected in the upward revision of </w:t>
      </w:r>
      <w:r w:rsidR="00197BF7">
        <w:t xml:space="preserve">projected </w:t>
      </w:r>
      <w:r w:rsidRPr="11461FFC">
        <w:t xml:space="preserve">Scheme </w:t>
      </w:r>
      <w:r w:rsidR="00197BF7">
        <w:t>expenses</w:t>
      </w:r>
      <w:r w:rsidRPr="11461FFC">
        <w:t xml:space="preserve"> in past AFSR and PBS estimates over time. </w:t>
      </w:r>
    </w:p>
    <w:p w14:paraId="544C5AFA" w14:textId="77777777" w:rsidR="00BE242A" w:rsidRPr="001769F7" w:rsidRDefault="00BE242A" w:rsidP="00BE242A">
      <w:pPr>
        <w:pStyle w:val="FSRnormal"/>
      </w:pPr>
      <w:r w:rsidRPr="11461FFC">
        <w:t xml:space="preserve">There are few substantive legislative, policy or operational responses currently planned to mitigate upward cost pressures. While improvements to Agency processes are underway, as well as initiatives to address fraud and compliance, many of these are at an early stage. To the extent that any such initiatives are already implemented they will be reflected in the experience used to set the assumptions </w:t>
      </w:r>
      <w:r w:rsidR="007F2B28">
        <w:t>at this review</w:t>
      </w:r>
      <w:r w:rsidRPr="11461FFC">
        <w:t>, but no additional future savings have been allowed for explicitly.</w:t>
      </w:r>
    </w:p>
    <w:p w14:paraId="104B06A2" w14:textId="77777777" w:rsidR="00BE242A" w:rsidRPr="001769F7" w:rsidRDefault="00BE242A" w:rsidP="004E667E">
      <w:pPr>
        <w:pStyle w:val="Heading3"/>
        <w:numPr>
          <w:ilvl w:val="0"/>
          <w:numId w:val="26"/>
        </w:numPr>
        <w:ind w:left="851" w:hanging="851"/>
      </w:pPr>
      <w:bookmarkStart w:id="25" w:name="_Toc118460188"/>
      <w:bookmarkStart w:id="26" w:name="_Ref17800025"/>
      <w:r>
        <w:lastRenderedPageBreak/>
        <w:t>Reliance and limitations</w:t>
      </w:r>
      <w:bookmarkEnd w:id="25"/>
      <w:r>
        <w:t xml:space="preserve"> </w:t>
      </w:r>
    </w:p>
    <w:p w14:paraId="294A3837" w14:textId="77777777" w:rsidR="00BE242A" w:rsidRPr="00C53CDC" w:rsidRDefault="00BE242A" w:rsidP="00BE242A">
      <w:pPr>
        <w:pStyle w:val="FSRnormal"/>
      </w:pPr>
      <w:bookmarkStart w:id="27" w:name="_Ref47594314"/>
      <w:r w:rsidRPr="00C53CDC">
        <w:t xml:space="preserve">It is the responsibility of the Agency and </w:t>
      </w:r>
      <w:r w:rsidR="00DA3F27" w:rsidRPr="00C53CDC">
        <w:t xml:space="preserve">other </w:t>
      </w:r>
      <w:r w:rsidRPr="00C53CDC">
        <w:t>parties to ensure that recipients of copies of, or extracts from, this document understand the reliances on which any conclusions in this document are based.</w:t>
      </w:r>
    </w:p>
    <w:p w14:paraId="1F5B54C6" w14:textId="77777777" w:rsidR="00BE242A" w:rsidRPr="001769F7" w:rsidRDefault="00BE242A" w:rsidP="00BE242A">
      <w:pPr>
        <w:pStyle w:val="FSRnormal"/>
      </w:pPr>
      <w:r>
        <w:t>Given the long-</w:t>
      </w:r>
      <w:r w:rsidR="0031401C">
        <w:t>term</w:t>
      </w:r>
      <w:r>
        <w:t xml:space="preserve"> nature of the Scheme, experience continues to be relatively </w:t>
      </w:r>
      <w:r w:rsidR="00EB77C3">
        <w:t>immature,</w:t>
      </w:r>
      <w:r>
        <w:t xml:space="preserve"> and many aspects remain difficult to interpret. Specifically, estimation of future expenditure based on </w:t>
      </w:r>
      <w:r w:rsidR="00EF4568">
        <w:t>experience</w:t>
      </w:r>
      <w:r>
        <w:t xml:space="preserve"> is inherently challenging given the relative size, complexity, and immaturity of the Scheme, meaning there is significant uncertainty in the projection. In addition, </w:t>
      </w:r>
      <w:r w:rsidR="00DA3F27">
        <w:t>with</w:t>
      </w:r>
      <w:r>
        <w:t xml:space="preserve">in emerging experience to date, issues have been identified with the current resource allocation process, and in particular the lack of a mechanism for robust assessments of support need. As the Scheme continues to mature, and staff, operational and governance capabilities improve, there is an expectation that the Scheme experience will change, perhaps materially, and this would affect the eventual trajectory of </w:t>
      </w:r>
      <w:r w:rsidR="002B670C">
        <w:t>Scheme Expense</w:t>
      </w:r>
      <w:r>
        <w:t xml:space="preserve">. </w:t>
      </w:r>
    </w:p>
    <w:p w14:paraId="0DCFEBA7" w14:textId="77777777" w:rsidR="00BE242A" w:rsidRPr="001769F7" w:rsidRDefault="00BE242A" w:rsidP="00BE242A">
      <w:pPr>
        <w:pStyle w:val="FSRnormal"/>
      </w:pPr>
      <w:r>
        <w:t>Future events, which cannot currently be predicted, may also occur and would have an unexpected impact on Scheme experience and thus the projections in this report. For example, the COVID-19 pandemic was an unforeseen event that posed some initial uncertainty to participant experience, outcomes and cost trajectory of the Scheme in 2020. The impacts of COVID-19, and related issues such as workforce shortages in the disability sector, remain significant and there is a high level of uncertainty regarding how long this will continue to be the case.</w:t>
      </w:r>
    </w:p>
    <w:p w14:paraId="7C901039" w14:textId="77777777" w:rsidR="00BE242A" w:rsidRPr="00C578EB" w:rsidRDefault="00BE242A" w:rsidP="00BE242A">
      <w:pPr>
        <w:pStyle w:val="FSRnormal"/>
      </w:pPr>
      <w:r w:rsidRPr="11461FFC">
        <w:t>Lastly, more data on Scheme experience is available in NDIA quarterly reports and on the NDIA Data and Insights website.</w:t>
      </w:r>
      <w:r w:rsidRPr="11461FFC">
        <w:rPr>
          <w:rStyle w:val="FootnoteReference"/>
        </w:rPr>
        <w:footnoteReference w:id="37"/>
      </w:r>
      <w:bookmarkEnd w:id="26"/>
      <w:bookmarkEnd w:id="27"/>
    </w:p>
    <w:p w14:paraId="3DCB6181" w14:textId="77777777" w:rsidR="00E315E1" w:rsidRPr="00E315E1" w:rsidRDefault="00E315E1" w:rsidP="00825181">
      <w:pPr>
        <w:pStyle w:val="Heading2"/>
      </w:pPr>
      <w:bookmarkStart w:id="28" w:name="_Toc83220838"/>
      <w:bookmarkStart w:id="29" w:name="_Toc118460189"/>
      <w:bookmarkStart w:id="30" w:name="_Ref74937424"/>
      <w:bookmarkStart w:id="31" w:name="_Toc83220839"/>
      <w:bookmarkStart w:id="32" w:name="_Toc83220840"/>
      <w:bookmarkStart w:id="33" w:name="_Ref16772177"/>
      <w:r w:rsidRPr="00E315E1">
        <w:lastRenderedPageBreak/>
        <w:t>Information and data integrity</w:t>
      </w:r>
      <w:bookmarkEnd w:id="28"/>
      <w:bookmarkEnd w:id="29"/>
    </w:p>
    <w:p w14:paraId="3E686303" w14:textId="77777777" w:rsidR="00E315E1" w:rsidRPr="001E357C" w:rsidRDefault="00E315E1" w:rsidP="00E315E1">
      <w:pPr>
        <w:pStyle w:val="FSRnormal"/>
      </w:pPr>
      <w:r>
        <w:t xml:space="preserve">An integral part of an insurance model is the collection of accurate data in a timely manner. This is because quality data drives the ability of the Agency to monitor emerging experience, perform meaningful analyses, project the financial position of the Scheme and, hence make consistent evidence-based decisions to support Scheme objectives. The success of the Scheme is dependent on the availability and quality of the data and information collected.  </w:t>
      </w:r>
    </w:p>
    <w:p w14:paraId="45AB3910" w14:textId="77777777" w:rsidR="00E315E1" w:rsidRPr="001E357C" w:rsidRDefault="00E315E1" w:rsidP="00E315E1">
      <w:pPr>
        <w:pStyle w:val="FSRnormal"/>
      </w:pPr>
      <w:r>
        <w:t>The data collected by the Agency is varied and broad-reaching and covers information across each step of the participant pathway, from Scheme access and eligibility to participant plan approval, plan implementation and plan review</w:t>
      </w:r>
      <w:r w:rsidR="001D508F">
        <w:rPr>
          <w:rStyle w:val="FootnoteReference"/>
        </w:rPr>
        <w:footnoteReference w:id="38"/>
      </w:r>
      <w:r>
        <w:t xml:space="preserve">. Payments for disability supports and the outcomes for participants and their family/carers are also collected regularly to track progress of participants and the Scheme. The information being collected enables the Agency to continually build one of the most comprehensive, longitudinal data sources on disability in the world. </w:t>
      </w:r>
    </w:p>
    <w:p w14:paraId="54B905E2" w14:textId="77777777" w:rsidR="00E315E1" w:rsidRPr="001E357C" w:rsidRDefault="00E315E1" w:rsidP="00E315E1">
      <w:pPr>
        <w:pStyle w:val="FSRHeading4"/>
      </w:pPr>
      <w:r>
        <w:t>Information and data used for analysis</w:t>
      </w:r>
    </w:p>
    <w:p w14:paraId="59239E98" w14:textId="77777777" w:rsidR="00E315E1" w:rsidRPr="001E357C" w:rsidRDefault="00E315E1" w:rsidP="00E315E1">
      <w:pPr>
        <w:pStyle w:val="FSRnormal"/>
      </w:pPr>
      <w:bookmarkStart w:id="34" w:name="_Ref16673933"/>
      <w:r>
        <w:t>The actuarial analysis underpinning this report relies upon the Agency’s case management system, finance system and data warehouse, as well as external sources (such as various industry benchmarks and population surveys). While there is a substantial amount of data in the current Client Relationship Management (CRM) system, this section focuses on the data utilised for the analysis presented in this report.</w:t>
      </w:r>
    </w:p>
    <w:p w14:paraId="468811D9" w14:textId="77777777" w:rsidR="00E315E1" w:rsidRPr="001E357C" w:rsidRDefault="00E315E1" w:rsidP="00DA3F27">
      <w:pPr>
        <w:pStyle w:val="FSRnormal"/>
      </w:pPr>
      <w:r w:rsidRPr="4AEA818C">
        <w:t>The analysis in this report is based on data at 30 June 2022, unless stated otherwise. The sources of data are summarised in</w:t>
      </w:r>
      <w:r w:rsidR="00DA3F27">
        <w:t xml:space="preserve"> </w:t>
      </w:r>
      <w:r w:rsidR="00260852" w:rsidRPr="00013986">
        <w:t xml:space="preserve">Table </w:t>
      </w:r>
      <w:r w:rsidR="00260852">
        <w:rPr>
          <w:noProof/>
        </w:rPr>
        <w:t>2</w:t>
      </w:r>
      <w:r w:rsidR="00260852">
        <w:t>.</w:t>
      </w:r>
      <w:r w:rsidR="00260852">
        <w:rPr>
          <w:noProof/>
        </w:rPr>
        <w:t>1</w:t>
      </w:r>
    </w:p>
    <w:p w14:paraId="6D21897F" w14:textId="77777777" w:rsidR="006416C7" w:rsidRDefault="006416C7">
      <w:pPr>
        <w:spacing w:after="160" w:line="259" w:lineRule="auto"/>
        <w:rPr>
          <w:rFonts w:eastAsiaTheme="minorHAnsi"/>
          <w:b/>
          <w:bCs/>
          <w:szCs w:val="18"/>
          <w:lang w:eastAsia="en-US"/>
        </w:rPr>
      </w:pPr>
      <w:bookmarkStart w:id="35" w:name="_Ref80259912"/>
      <w:bookmarkStart w:id="36" w:name="_Ref111805552"/>
      <w:r>
        <w:br w:type="page"/>
      </w:r>
    </w:p>
    <w:p w14:paraId="3AA4BAE8" w14:textId="77777777" w:rsidR="00E315E1" w:rsidRPr="001E357C" w:rsidRDefault="00E315E1" w:rsidP="00E315E1">
      <w:pPr>
        <w:pStyle w:val="Tables"/>
      </w:pPr>
      <w:bookmarkStart w:id="37" w:name="_Ref111888701"/>
      <w:r w:rsidRPr="00013986">
        <w:lastRenderedPageBreak/>
        <w:t xml:space="preserve">Table </w:t>
      </w:r>
      <w:fldSimple w:instr=" STYLEREF 2 \s ">
        <w:r w:rsidR="00A87896">
          <w:rPr>
            <w:noProof/>
          </w:rPr>
          <w:t>2</w:t>
        </w:r>
      </w:fldSimple>
      <w:r w:rsidR="00A87896">
        <w:t>.</w:t>
      </w:r>
      <w:fldSimple w:instr=" SEQ Table \* ARABIC \s 2 ">
        <w:r w:rsidR="00A87896">
          <w:rPr>
            <w:noProof/>
          </w:rPr>
          <w:t>1</w:t>
        </w:r>
      </w:fldSimple>
      <w:bookmarkEnd w:id="34"/>
      <w:bookmarkEnd w:id="35"/>
      <w:bookmarkEnd w:id="36"/>
      <w:bookmarkEnd w:id="37"/>
      <w:r>
        <w:t>: Summary of data utilised for actuarial analysis</w:t>
      </w:r>
    </w:p>
    <w:tbl>
      <w:tblPr>
        <w:tblStyle w:val="ListTable2"/>
        <w:tblW w:w="0" w:type="auto"/>
        <w:tblBorders>
          <w:top w:val="none" w:sz="0" w:space="0" w:color="auto"/>
          <w:bottom w:val="none" w:sz="0" w:space="0" w:color="auto"/>
          <w:insideH w:val="none" w:sz="0" w:space="0" w:color="auto"/>
        </w:tblBorders>
        <w:tblLook w:val="04A0" w:firstRow="1" w:lastRow="0" w:firstColumn="1" w:lastColumn="0" w:noHBand="0" w:noVBand="1"/>
      </w:tblPr>
      <w:tblGrid>
        <w:gridCol w:w="2689"/>
        <w:gridCol w:w="5825"/>
      </w:tblGrid>
      <w:tr w:rsidR="00E315E1" w:rsidRPr="00013986" w14:paraId="51778E4F" w14:textId="77777777" w:rsidTr="00D308D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689" w:type="dxa"/>
            <w:shd w:val="clear" w:color="auto" w:fill="6B2976"/>
            <w:vAlign w:val="center"/>
            <w:hideMark/>
          </w:tcPr>
          <w:p w14:paraId="5CA3342A" w14:textId="77777777" w:rsidR="00E315E1" w:rsidRPr="00013986" w:rsidRDefault="00E315E1" w:rsidP="00B17C79">
            <w:pPr>
              <w:spacing w:after="0"/>
              <w:rPr>
                <w:rFonts w:cs="Arial"/>
                <w:b w:val="0"/>
                <w:bCs w:val="0"/>
                <w:color w:val="FFFFFF" w:themeColor="background1"/>
                <w:sz w:val="18"/>
                <w:szCs w:val="18"/>
              </w:rPr>
            </w:pPr>
            <w:r w:rsidRPr="00013986">
              <w:rPr>
                <w:rFonts w:cs="Arial"/>
                <w:color w:val="FFFFFF" w:themeColor="background1"/>
                <w:sz w:val="18"/>
                <w:szCs w:val="18"/>
              </w:rPr>
              <w:t>Data</w:t>
            </w:r>
          </w:p>
        </w:tc>
        <w:tc>
          <w:tcPr>
            <w:tcW w:w="5825" w:type="dxa"/>
            <w:shd w:val="clear" w:color="auto" w:fill="6B2976"/>
            <w:vAlign w:val="center"/>
            <w:hideMark/>
          </w:tcPr>
          <w:p w14:paraId="7C151FF2" w14:textId="77777777" w:rsidR="00E315E1" w:rsidRPr="00013986" w:rsidRDefault="00E315E1" w:rsidP="002239F6">
            <w:pPr>
              <w:spacing w:after="0"/>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18"/>
                <w:szCs w:val="18"/>
              </w:rPr>
            </w:pPr>
            <w:r w:rsidRPr="00013986">
              <w:rPr>
                <w:rFonts w:cs="Arial"/>
                <w:color w:val="FFFFFF" w:themeColor="background1"/>
                <w:sz w:val="18"/>
                <w:szCs w:val="18"/>
              </w:rPr>
              <w:t>Description</w:t>
            </w:r>
          </w:p>
        </w:tc>
      </w:tr>
      <w:tr w:rsidR="00E315E1" w:rsidRPr="00013986" w14:paraId="4FA48C64" w14:textId="77777777" w:rsidTr="001877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hideMark/>
          </w:tcPr>
          <w:p w14:paraId="729B4F3A" w14:textId="77777777" w:rsidR="00E315E1" w:rsidRPr="00013986" w:rsidRDefault="00E315E1" w:rsidP="00B17C79">
            <w:pPr>
              <w:spacing w:after="0" w:line="240" w:lineRule="auto"/>
              <w:rPr>
                <w:rFonts w:cs="Arial"/>
                <w:b w:val="0"/>
                <w:bCs w:val="0"/>
                <w:sz w:val="18"/>
                <w:szCs w:val="18"/>
              </w:rPr>
            </w:pPr>
            <w:r w:rsidRPr="00013986">
              <w:rPr>
                <w:rFonts w:cs="Arial"/>
                <w:sz w:val="18"/>
                <w:szCs w:val="18"/>
              </w:rPr>
              <w:t>Access requests to the NDIS</w:t>
            </w:r>
          </w:p>
        </w:tc>
        <w:tc>
          <w:tcPr>
            <w:tcW w:w="5825" w:type="dxa"/>
            <w:vAlign w:val="center"/>
            <w:hideMark/>
          </w:tcPr>
          <w:p w14:paraId="4B3B5ECD" w14:textId="77777777" w:rsidR="00E315E1" w:rsidRPr="00013986" w:rsidRDefault="00E315E1" w:rsidP="004E667E">
            <w:pPr>
              <w:pStyle w:val="ListParagraph"/>
              <w:numPr>
                <w:ilvl w:val="0"/>
                <w:numId w:val="28"/>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Demographic information (age, gender, disability, geographic location, living arrangements and other participant profile information)</w:t>
            </w:r>
          </w:p>
          <w:p w14:paraId="3FB0CCB1" w14:textId="77777777" w:rsidR="00E315E1" w:rsidRPr="00013986" w:rsidRDefault="00E315E1" w:rsidP="004E667E">
            <w:pPr>
              <w:pStyle w:val="ListParagraph"/>
              <w:numPr>
                <w:ilvl w:val="0"/>
                <w:numId w:val="28"/>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Contact details</w:t>
            </w:r>
          </w:p>
          <w:p w14:paraId="7CA9838E" w14:textId="77777777" w:rsidR="00E315E1" w:rsidRPr="00013986" w:rsidRDefault="00E315E1" w:rsidP="004E667E">
            <w:pPr>
              <w:pStyle w:val="ListParagraph"/>
              <w:numPr>
                <w:ilvl w:val="0"/>
                <w:numId w:val="28"/>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Access request date</w:t>
            </w:r>
          </w:p>
          <w:p w14:paraId="0E28D5F3" w14:textId="77777777" w:rsidR="00E315E1" w:rsidRPr="00013986" w:rsidRDefault="00E315E1" w:rsidP="004E667E">
            <w:pPr>
              <w:pStyle w:val="ListParagraph"/>
              <w:numPr>
                <w:ilvl w:val="0"/>
                <w:numId w:val="28"/>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Outcome of request (for example: eligible, ineligible)</w:t>
            </w:r>
          </w:p>
        </w:tc>
      </w:tr>
      <w:tr w:rsidR="00E315E1" w:rsidRPr="00013986" w14:paraId="52D1E99C" w14:textId="77777777" w:rsidTr="00187763">
        <w:tc>
          <w:tcPr>
            <w:cnfStyle w:val="001000000000" w:firstRow="0" w:lastRow="0" w:firstColumn="1" w:lastColumn="0" w:oddVBand="0" w:evenVBand="0" w:oddHBand="0" w:evenHBand="0" w:firstRowFirstColumn="0" w:firstRowLastColumn="0" w:lastRowFirstColumn="0" w:lastRowLastColumn="0"/>
            <w:tcW w:w="2689" w:type="dxa"/>
            <w:vAlign w:val="center"/>
          </w:tcPr>
          <w:p w14:paraId="76AAAC3F" w14:textId="77777777" w:rsidR="00E315E1" w:rsidRPr="00013986" w:rsidRDefault="00E315E1" w:rsidP="00B17C79">
            <w:pPr>
              <w:spacing w:after="0" w:line="240" w:lineRule="auto"/>
              <w:rPr>
                <w:rFonts w:cs="Arial"/>
                <w:b w:val="0"/>
                <w:bCs w:val="0"/>
                <w:sz w:val="18"/>
                <w:szCs w:val="18"/>
              </w:rPr>
            </w:pPr>
            <w:r w:rsidRPr="00013986">
              <w:rPr>
                <w:rFonts w:cs="Arial"/>
                <w:sz w:val="18"/>
                <w:szCs w:val="18"/>
              </w:rPr>
              <w:t>Payments to service providers</w:t>
            </w:r>
          </w:p>
        </w:tc>
        <w:tc>
          <w:tcPr>
            <w:tcW w:w="5825" w:type="dxa"/>
            <w:vAlign w:val="center"/>
          </w:tcPr>
          <w:p w14:paraId="0C9ED783" w14:textId="77777777" w:rsidR="00E315E1" w:rsidRPr="00013986" w:rsidRDefault="00E315E1" w:rsidP="004E667E">
            <w:pPr>
              <w:pStyle w:val="ListParagraph"/>
              <w:numPr>
                <w:ilvl w:val="0"/>
                <w:numId w:val="29"/>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Service provider submitting the claim for payment</w:t>
            </w:r>
          </w:p>
          <w:p w14:paraId="44BE8259" w14:textId="77777777" w:rsidR="00E315E1" w:rsidRPr="00013986" w:rsidRDefault="00E315E1" w:rsidP="004E667E">
            <w:pPr>
              <w:pStyle w:val="ListParagraph"/>
              <w:numPr>
                <w:ilvl w:val="0"/>
                <w:numId w:val="29"/>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Participant for whom the support was provided</w:t>
            </w:r>
          </w:p>
          <w:p w14:paraId="5B9B6E4A" w14:textId="77777777" w:rsidR="00E315E1" w:rsidRPr="00013986" w:rsidRDefault="00E315E1" w:rsidP="004E667E">
            <w:pPr>
              <w:pStyle w:val="ListParagraph"/>
              <w:numPr>
                <w:ilvl w:val="0"/>
                <w:numId w:val="29"/>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The support item and cost of support provided</w:t>
            </w:r>
          </w:p>
          <w:p w14:paraId="74E3048A" w14:textId="77777777" w:rsidR="00E315E1" w:rsidRPr="00013986" w:rsidRDefault="00E315E1" w:rsidP="004E667E">
            <w:pPr>
              <w:pStyle w:val="ListParagraph"/>
              <w:numPr>
                <w:ilvl w:val="0"/>
                <w:numId w:val="29"/>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Dates of when the support was provided</w:t>
            </w:r>
          </w:p>
          <w:p w14:paraId="44322568" w14:textId="77777777" w:rsidR="00E315E1" w:rsidRPr="00013986" w:rsidRDefault="00E315E1" w:rsidP="004E667E">
            <w:pPr>
              <w:pStyle w:val="ListParagraph"/>
              <w:numPr>
                <w:ilvl w:val="0"/>
                <w:numId w:val="29"/>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eastAsia="Yu Mincho" w:cs="Arial"/>
                <w:sz w:val="18"/>
                <w:szCs w:val="18"/>
              </w:rPr>
              <w:t>Method of plan management used</w:t>
            </w:r>
          </w:p>
        </w:tc>
      </w:tr>
      <w:tr w:rsidR="00E315E1" w:rsidRPr="00013986" w14:paraId="61283A4E" w14:textId="77777777" w:rsidTr="001877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59FBF5EA" w14:textId="77777777" w:rsidR="00E315E1" w:rsidRPr="00013986" w:rsidRDefault="00E315E1" w:rsidP="00B17C79">
            <w:pPr>
              <w:spacing w:after="0" w:line="240" w:lineRule="auto"/>
              <w:rPr>
                <w:rFonts w:cs="Arial"/>
                <w:b w:val="0"/>
                <w:bCs w:val="0"/>
                <w:sz w:val="18"/>
                <w:szCs w:val="18"/>
              </w:rPr>
            </w:pPr>
            <w:r w:rsidRPr="00013986">
              <w:rPr>
                <w:rFonts w:cs="Arial"/>
                <w:sz w:val="18"/>
                <w:szCs w:val="18"/>
              </w:rPr>
              <w:t>Payments to participants</w:t>
            </w:r>
          </w:p>
        </w:tc>
        <w:tc>
          <w:tcPr>
            <w:tcW w:w="5825" w:type="dxa"/>
            <w:vAlign w:val="center"/>
          </w:tcPr>
          <w:p w14:paraId="3215EF98" w14:textId="77777777" w:rsidR="00E315E1" w:rsidRPr="00013986" w:rsidRDefault="00E315E1" w:rsidP="004E667E">
            <w:pPr>
              <w:pStyle w:val="ListParagraph"/>
              <w:numPr>
                <w:ilvl w:val="0"/>
                <w:numId w:val="30"/>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Participant submitting the claim for payment</w:t>
            </w:r>
          </w:p>
          <w:p w14:paraId="0E956F0A" w14:textId="77777777" w:rsidR="00E315E1" w:rsidRPr="00013986" w:rsidRDefault="00E315E1" w:rsidP="004E667E">
            <w:pPr>
              <w:pStyle w:val="ListParagraph"/>
              <w:numPr>
                <w:ilvl w:val="0"/>
                <w:numId w:val="30"/>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The support category provided</w:t>
            </w:r>
          </w:p>
          <w:p w14:paraId="15D19DCA" w14:textId="77777777" w:rsidR="00E315E1" w:rsidRPr="00013986" w:rsidRDefault="0078031A" w:rsidP="004E667E">
            <w:pPr>
              <w:pStyle w:val="ListParagraph"/>
              <w:numPr>
                <w:ilvl w:val="0"/>
                <w:numId w:val="30"/>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Total amount</w:t>
            </w:r>
            <w:r w:rsidR="00E315E1" w:rsidRPr="00013986">
              <w:rPr>
                <w:rFonts w:cs="Arial"/>
                <w:sz w:val="18"/>
                <w:szCs w:val="18"/>
              </w:rPr>
              <w:t xml:space="preserve"> spend on support category</w:t>
            </w:r>
          </w:p>
          <w:p w14:paraId="259F08FB" w14:textId="77777777" w:rsidR="00E315E1" w:rsidRPr="00013986" w:rsidRDefault="00E315E1" w:rsidP="004E667E">
            <w:pPr>
              <w:pStyle w:val="ListParagraph"/>
              <w:numPr>
                <w:ilvl w:val="0"/>
                <w:numId w:val="30"/>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Period of reimbursement</w:t>
            </w:r>
          </w:p>
        </w:tc>
      </w:tr>
      <w:tr w:rsidR="00E315E1" w:rsidRPr="00013986" w14:paraId="1491D6A8" w14:textId="77777777" w:rsidTr="00187763">
        <w:tc>
          <w:tcPr>
            <w:cnfStyle w:val="001000000000" w:firstRow="0" w:lastRow="0" w:firstColumn="1" w:lastColumn="0" w:oddVBand="0" w:evenVBand="0" w:oddHBand="0" w:evenHBand="0" w:firstRowFirstColumn="0" w:firstRowLastColumn="0" w:lastRowFirstColumn="0" w:lastRowLastColumn="0"/>
            <w:tcW w:w="2689" w:type="dxa"/>
            <w:vAlign w:val="center"/>
            <w:hideMark/>
          </w:tcPr>
          <w:p w14:paraId="5F51BA38" w14:textId="77777777" w:rsidR="00E315E1" w:rsidRPr="00013986" w:rsidRDefault="00E315E1" w:rsidP="00B17C79">
            <w:pPr>
              <w:spacing w:after="0" w:line="240" w:lineRule="auto"/>
              <w:rPr>
                <w:rFonts w:cs="Arial"/>
                <w:b w:val="0"/>
                <w:bCs w:val="0"/>
                <w:sz w:val="18"/>
                <w:szCs w:val="18"/>
              </w:rPr>
            </w:pPr>
            <w:r w:rsidRPr="00013986">
              <w:rPr>
                <w:rFonts w:cs="Arial"/>
                <w:sz w:val="18"/>
                <w:szCs w:val="18"/>
              </w:rPr>
              <w:t>NDIS participant plans</w:t>
            </w:r>
          </w:p>
        </w:tc>
        <w:tc>
          <w:tcPr>
            <w:tcW w:w="5825" w:type="dxa"/>
            <w:vAlign w:val="center"/>
            <w:hideMark/>
          </w:tcPr>
          <w:p w14:paraId="5D61E829" w14:textId="77777777" w:rsidR="00E315E1" w:rsidRPr="00013986" w:rsidRDefault="00E315E1" w:rsidP="004E667E">
            <w:pPr>
              <w:pStyle w:val="ListParagraph"/>
              <w:numPr>
                <w:ilvl w:val="0"/>
                <w:numId w:val="31"/>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Plan approval date</w:t>
            </w:r>
          </w:p>
          <w:p w14:paraId="1014435D" w14:textId="77777777" w:rsidR="00E315E1" w:rsidRPr="00013986" w:rsidRDefault="00E315E1" w:rsidP="004E667E">
            <w:pPr>
              <w:pStyle w:val="ListParagraph"/>
              <w:numPr>
                <w:ilvl w:val="0"/>
                <w:numId w:val="31"/>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Length of plan</w:t>
            </w:r>
          </w:p>
          <w:p w14:paraId="746911C9" w14:textId="77777777" w:rsidR="00E315E1" w:rsidRPr="00013986" w:rsidRDefault="00E315E1" w:rsidP="004E667E">
            <w:pPr>
              <w:pStyle w:val="ListParagraph"/>
              <w:numPr>
                <w:ilvl w:val="0"/>
                <w:numId w:val="31"/>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All plan budgets included in the plan</w:t>
            </w:r>
          </w:p>
          <w:p w14:paraId="7DDC4566" w14:textId="77777777" w:rsidR="00E315E1" w:rsidRPr="00013986" w:rsidRDefault="00E315E1" w:rsidP="004E667E">
            <w:pPr>
              <w:pStyle w:val="ListParagraph"/>
              <w:numPr>
                <w:ilvl w:val="0"/>
                <w:numId w:val="31"/>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Level of function</w:t>
            </w:r>
            <w:r w:rsidRPr="00013986">
              <w:rPr>
                <w:rStyle w:val="FootnoteReference"/>
                <w:rFonts w:cs="Arial"/>
                <w:sz w:val="18"/>
                <w:szCs w:val="18"/>
              </w:rPr>
              <w:footnoteReference w:id="39"/>
            </w:r>
          </w:p>
          <w:p w14:paraId="065F6427" w14:textId="77777777" w:rsidR="00E315E1" w:rsidRPr="00013986" w:rsidRDefault="00E315E1" w:rsidP="004E667E">
            <w:pPr>
              <w:pStyle w:val="ListParagraph"/>
              <w:numPr>
                <w:ilvl w:val="0"/>
                <w:numId w:val="31"/>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Reference package and typical support package</w:t>
            </w:r>
          </w:p>
        </w:tc>
      </w:tr>
      <w:tr w:rsidR="00E315E1" w:rsidRPr="00013986" w14:paraId="38F8E97E" w14:textId="77777777" w:rsidTr="001877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39E49E22" w14:textId="77777777" w:rsidR="00E315E1" w:rsidRPr="00013986" w:rsidRDefault="00E315E1" w:rsidP="00B17C79">
            <w:pPr>
              <w:spacing w:after="0" w:line="240" w:lineRule="auto"/>
              <w:rPr>
                <w:rFonts w:cs="Arial"/>
                <w:b w:val="0"/>
                <w:bCs w:val="0"/>
                <w:sz w:val="18"/>
                <w:szCs w:val="18"/>
              </w:rPr>
            </w:pPr>
            <w:r w:rsidRPr="00013986">
              <w:rPr>
                <w:rFonts w:cs="Arial"/>
                <w:sz w:val="18"/>
                <w:szCs w:val="18"/>
              </w:rPr>
              <w:t>In-kind supports data</w:t>
            </w:r>
          </w:p>
        </w:tc>
        <w:tc>
          <w:tcPr>
            <w:tcW w:w="5825" w:type="dxa"/>
            <w:vAlign w:val="center"/>
          </w:tcPr>
          <w:p w14:paraId="1293538C" w14:textId="77777777" w:rsidR="00E315E1" w:rsidRPr="00013986" w:rsidRDefault="00E315E1" w:rsidP="004E667E">
            <w:pPr>
              <w:pStyle w:val="ListParagraph"/>
              <w:numPr>
                <w:ilvl w:val="0"/>
                <w:numId w:val="32"/>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Unit record in-kind support details from State/Territory programs including details on support type, level and duration of coverage.</w:t>
            </w:r>
          </w:p>
        </w:tc>
      </w:tr>
      <w:tr w:rsidR="00E315E1" w:rsidRPr="00013986" w14:paraId="2EC6DCD3" w14:textId="77777777" w:rsidTr="00187763">
        <w:tc>
          <w:tcPr>
            <w:cnfStyle w:val="001000000000" w:firstRow="0" w:lastRow="0" w:firstColumn="1" w:lastColumn="0" w:oddVBand="0" w:evenVBand="0" w:oddHBand="0" w:evenHBand="0" w:firstRowFirstColumn="0" w:firstRowLastColumn="0" w:lastRowFirstColumn="0" w:lastRowLastColumn="0"/>
            <w:tcW w:w="2689" w:type="dxa"/>
            <w:vAlign w:val="center"/>
          </w:tcPr>
          <w:p w14:paraId="40225320" w14:textId="77777777" w:rsidR="00E315E1" w:rsidRPr="00013986" w:rsidRDefault="00E315E1" w:rsidP="00B17C79">
            <w:pPr>
              <w:spacing w:after="0" w:line="240" w:lineRule="auto"/>
              <w:rPr>
                <w:rFonts w:cs="Arial"/>
                <w:b w:val="0"/>
                <w:bCs w:val="0"/>
                <w:sz w:val="18"/>
                <w:szCs w:val="18"/>
              </w:rPr>
            </w:pPr>
            <w:r w:rsidRPr="00013986">
              <w:rPr>
                <w:rFonts w:cs="Arial"/>
                <w:sz w:val="18"/>
                <w:szCs w:val="18"/>
              </w:rPr>
              <w:t>Data on outcomes</w:t>
            </w:r>
          </w:p>
        </w:tc>
        <w:tc>
          <w:tcPr>
            <w:tcW w:w="5825" w:type="dxa"/>
            <w:vAlign w:val="center"/>
          </w:tcPr>
          <w:p w14:paraId="7FDBCFFB" w14:textId="77777777" w:rsidR="00E315E1" w:rsidRPr="00013986" w:rsidRDefault="00E315E1" w:rsidP="004E667E">
            <w:pPr>
              <w:pStyle w:val="ListParagraph"/>
              <w:numPr>
                <w:ilvl w:val="0"/>
                <w:numId w:val="33"/>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For participants entering the Scheme from 1 July 2016, data on outcomes has been collected from 99% of all participants, with the intention to collect information from all participants.</w:t>
            </w:r>
          </w:p>
        </w:tc>
      </w:tr>
      <w:tr w:rsidR="00E315E1" w:rsidRPr="00013986" w14:paraId="0A381116" w14:textId="77777777" w:rsidTr="001877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1E12623F" w14:textId="77777777" w:rsidR="00E315E1" w:rsidRPr="00013986" w:rsidRDefault="00E315E1" w:rsidP="00B17C79">
            <w:pPr>
              <w:spacing w:after="0" w:line="240" w:lineRule="auto"/>
              <w:rPr>
                <w:rFonts w:cs="Arial"/>
                <w:b w:val="0"/>
                <w:bCs w:val="0"/>
                <w:sz w:val="18"/>
                <w:szCs w:val="18"/>
              </w:rPr>
            </w:pPr>
            <w:r w:rsidRPr="00013986">
              <w:rPr>
                <w:rFonts w:cs="Arial"/>
                <w:sz w:val="18"/>
                <w:szCs w:val="18"/>
              </w:rPr>
              <w:t>Financial information</w:t>
            </w:r>
          </w:p>
        </w:tc>
        <w:tc>
          <w:tcPr>
            <w:tcW w:w="5825" w:type="dxa"/>
            <w:vAlign w:val="center"/>
          </w:tcPr>
          <w:p w14:paraId="424FCB53" w14:textId="77777777" w:rsidR="00E315E1" w:rsidRPr="00013986" w:rsidRDefault="00E315E1" w:rsidP="004E667E">
            <w:pPr>
              <w:pStyle w:val="ListParagraph"/>
              <w:numPr>
                <w:ilvl w:val="0"/>
                <w:numId w:val="34"/>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Data from the SAP</w:t>
            </w:r>
            <w:r w:rsidRPr="00013986">
              <w:rPr>
                <w:rStyle w:val="FootnoteReference"/>
                <w:rFonts w:cs="Arial"/>
                <w:sz w:val="18"/>
                <w:szCs w:val="18"/>
              </w:rPr>
              <w:footnoteReference w:id="40"/>
            </w:r>
            <w:r w:rsidRPr="00013986">
              <w:rPr>
                <w:rFonts w:cs="Arial"/>
                <w:sz w:val="18"/>
                <w:szCs w:val="18"/>
              </w:rPr>
              <w:t xml:space="preserve"> CRM system were reconciled with financial information in SAP.</w:t>
            </w:r>
          </w:p>
        </w:tc>
      </w:tr>
      <w:tr w:rsidR="00E315E1" w:rsidRPr="00013986" w14:paraId="05D7AE77" w14:textId="77777777" w:rsidTr="00187763">
        <w:tc>
          <w:tcPr>
            <w:cnfStyle w:val="001000000000" w:firstRow="0" w:lastRow="0" w:firstColumn="1" w:lastColumn="0" w:oddVBand="0" w:evenVBand="0" w:oddHBand="0" w:evenHBand="0" w:firstRowFirstColumn="0" w:firstRowLastColumn="0" w:lastRowFirstColumn="0" w:lastRowLastColumn="0"/>
            <w:tcW w:w="2689" w:type="dxa"/>
            <w:vAlign w:val="center"/>
          </w:tcPr>
          <w:p w14:paraId="23F43BFB" w14:textId="77777777" w:rsidR="00E315E1" w:rsidRPr="00013986" w:rsidRDefault="00E315E1" w:rsidP="00B17C79">
            <w:pPr>
              <w:spacing w:after="0" w:line="240" w:lineRule="auto"/>
              <w:rPr>
                <w:rFonts w:cs="Arial"/>
                <w:b w:val="0"/>
                <w:bCs w:val="0"/>
                <w:sz w:val="18"/>
                <w:szCs w:val="18"/>
              </w:rPr>
            </w:pPr>
            <w:r w:rsidRPr="00013986">
              <w:rPr>
                <w:rFonts w:cs="Arial"/>
                <w:sz w:val="18"/>
                <w:szCs w:val="18"/>
              </w:rPr>
              <w:t>ABS Survey of Disability, Ageing and Carers</w:t>
            </w:r>
          </w:p>
        </w:tc>
        <w:tc>
          <w:tcPr>
            <w:tcW w:w="5825" w:type="dxa"/>
            <w:vAlign w:val="center"/>
          </w:tcPr>
          <w:p w14:paraId="6BADCE7E" w14:textId="77777777" w:rsidR="00E315E1" w:rsidRPr="00013986" w:rsidRDefault="00E315E1" w:rsidP="004E667E">
            <w:pPr>
              <w:pStyle w:val="ListParagraph"/>
              <w:numPr>
                <w:ilvl w:val="0"/>
                <w:numId w:val="27"/>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cs="Arial"/>
                <w:sz w:val="18"/>
                <w:szCs w:val="18"/>
              </w:rPr>
            </w:pPr>
            <w:r w:rsidRPr="00013986">
              <w:rPr>
                <w:rFonts w:cs="Arial"/>
                <w:sz w:val="18"/>
                <w:szCs w:val="18"/>
              </w:rPr>
              <w:t>Prevalence of disability in Australia, including demographic and socioeconomic profile of people with disabilities.</w:t>
            </w:r>
          </w:p>
        </w:tc>
      </w:tr>
      <w:tr w:rsidR="00E315E1" w:rsidRPr="00013986" w14:paraId="52EC3FF0" w14:textId="77777777" w:rsidTr="001877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tcPr>
          <w:p w14:paraId="3E4CB3EB" w14:textId="77777777" w:rsidR="00E315E1" w:rsidRPr="00013986" w:rsidRDefault="00E315E1" w:rsidP="00B17C79">
            <w:pPr>
              <w:spacing w:after="0" w:line="240" w:lineRule="auto"/>
              <w:rPr>
                <w:rFonts w:cs="Arial"/>
                <w:b w:val="0"/>
                <w:bCs w:val="0"/>
                <w:sz w:val="18"/>
                <w:szCs w:val="18"/>
              </w:rPr>
            </w:pPr>
            <w:r w:rsidRPr="1DA33BE3">
              <w:rPr>
                <w:rFonts w:cs="Arial"/>
                <w:sz w:val="18"/>
                <w:szCs w:val="18"/>
              </w:rPr>
              <w:t>Economic information</w:t>
            </w:r>
          </w:p>
        </w:tc>
        <w:tc>
          <w:tcPr>
            <w:tcW w:w="5825" w:type="dxa"/>
            <w:vAlign w:val="center"/>
          </w:tcPr>
          <w:p w14:paraId="1F9F0A0D" w14:textId="77777777" w:rsidR="00E315E1" w:rsidRPr="00013986" w:rsidRDefault="00E315E1" w:rsidP="004E667E">
            <w:pPr>
              <w:pStyle w:val="ListParagraph"/>
              <w:numPr>
                <w:ilvl w:val="0"/>
                <w:numId w:val="27"/>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00013986">
              <w:rPr>
                <w:rFonts w:cs="Arial"/>
                <w:sz w:val="18"/>
                <w:szCs w:val="18"/>
              </w:rPr>
              <w:t>Government economic forecasts for GDP</w:t>
            </w:r>
          </w:p>
          <w:p w14:paraId="335159BC" w14:textId="77777777" w:rsidR="00E315E1" w:rsidRPr="00013986" w:rsidRDefault="00E315E1" w:rsidP="004E667E">
            <w:pPr>
              <w:pStyle w:val="ListParagraph"/>
              <w:numPr>
                <w:ilvl w:val="0"/>
                <w:numId w:val="27"/>
              </w:numPr>
              <w:spacing w:after="0" w:line="240" w:lineRule="auto"/>
              <w:ind w:hanging="360"/>
              <w:cnfStyle w:val="000000100000" w:firstRow="0" w:lastRow="0" w:firstColumn="0" w:lastColumn="0" w:oddVBand="0" w:evenVBand="0" w:oddHBand="1" w:evenHBand="0" w:firstRowFirstColumn="0" w:firstRowLastColumn="0" w:lastRowFirstColumn="0" w:lastRowLastColumn="0"/>
              <w:rPr>
                <w:rFonts w:cs="Arial"/>
                <w:sz w:val="18"/>
                <w:szCs w:val="18"/>
              </w:rPr>
            </w:pPr>
            <w:r w:rsidRPr="1DA33BE3">
              <w:rPr>
                <w:rFonts w:cs="Arial"/>
                <w:sz w:val="18"/>
                <w:szCs w:val="18"/>
              </w:rPr>
              <w:t>Inflation indicators</w:t>
            </w:r>
          </w:p>
        </w:tc>
      </w:tr>
      <w:tr w:rsidR="00E315E1" w14:paraId="60E3295E" w14:textId="77777777" w:rsidTr="00187763">
        <w:tc>
          <w:tcPr>
            <w:cnfStyle w:val="001000000000" w:firstRow="0" w:lastRow="0" w:firstColumn="1" w:lastColumn="0" w:oddVBand="0" w:evenVBand="0" w:oddHBand="0" w:evenHBand="0" w:firstRowFirstColumn="0" w:firstRowLastColumn="0" w:lastRowFirstColumn="0" w:lastRowLastColumn="0"/>
            <w:tcW w:w="2689" w:type="dxa"/>
            <w:tcBorders>
              <w:bottom w:val="single" w:sz="4" w:space="0" w:color="auto"/>
            </w:tcBorders>
            <w:vAlign w:val="center"/>
          </w:tcPr>
          <w:p w14:paraId="4C5DAE55" w14:textId="77777777" w:rsidR="00E315E1" w:rsidRDefault="00E315E1" w:rsidP="00B17C79">
            <w:pPr>
              <w:spacing w:line="240" w:lineRule="auto"/>
              <w:rPr>
                <w:rFonts w:eastAsia="Yu Mincho" w:cs="Arial"/>
                <w:sz w:val="18"/>
                <w:szCs w:val="18"/>
              </w:rPr>
            </w:pPr>
            <w:r w:rsidRPr="1DA33BE3">
              <w:rPr>
                <w:rFonts w:eastAsia="Yu Mincho" w:cs="Arial"/>
                <w:sz w:val="18"/>
                <w:szCs w:val="18"/>
              </w:rPr>
              <w:t>Demographic information</w:t>
            </w:r>
          </w:p>
        </w:tc>
        <w:tc>
          <w:tcPr>
            <w:tcW w:w="5825" w:type="dxa"/>
            <w:tcBorders>
              <w:bottom w:val="single" w:sz="4" w:space="0" w:color="auto"/>
            </w:tcBorders>
            <w:vAlign w:val="center"/>
          </w:tcPr>
          <w:p w14:paraId="40F5CC0B" w14:textId="77777777" w:rsidR="00E315E1" w:rsidRDefault="00E315E1" w:rsidP="004E667E">
            <w:pPr>
              <w:pStyle w:val="ListParagraph"/>
              <w:numPr>
                <w:ilvl w:val="0"/>
                <w:numId w:val="27"/>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1DA33BE3">
              <w:rPr>
                <w:rFonts w:cs="Arial"/>
                <w:sz w:val="18"/>
                <w:szCs w:val="18"/>
              </w:rPr>
              <w:t>Australian Life Tables 2018-2020 – published in November 2021</w:t>
            </w:r>
          </w:p>
          <w:p w14:paraId="30A1A1AE" w14:textId="77777777" w:rsidR="00E315E1" w:rsidRDefault="00E315E1" w:rsidP="004E667E">
            <w:pPr>
              <w:pStyle w:val="ListParagraph"/>
              <w:numPr>
                <w:ilvl w:val="0"/>
                <w:numId w:val="27"/>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1DA33BE3">
              <w:rPr>
                <w:rFonts w:cs="Arial"/>
                <w:sz w:val="18"/>
                <w:szCs w:val="18"/>
              </w:rPr>
              <w:t xml:space="preserve">Population forecasts – estimated for the 2021 Intergenerational Report </w:t>
            </w:r>
          </w:p>
          <w:p w14:paraId="43C46854" w14:textId="77777777" w:rsidR="00E315E1" w:rsidRDefault="00E315E1" w:rsidP="004E667E">
            <w:pPr>
              <w:pStyle w:val="ListParagraph"/>
              <w:numPr>
                <w:ilvl w:val="0"/>
                <w:numId w:val="27"/>
              </w:numPr>
              <w:spacing w:after="0" w:line="240" w:lineRule="auto"/>
              <w:ind w:hanging="36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1DA33BE3">
              <w:rPr>
                <w:rFonts w:cs="Arial"/>
                <w:sz w:val="18"/>
                <w:szCs w:val="18"/>
              </w:rPr>
              <w:t>Budget 2022-23: population projections, Australia, 2021-22 to 2032-33 from the Centre for Population Projections</w:t>
            </w:r>
          </w:p>
        </w:tc>
      </w:tr>
    </w:tbl>
    <w:p w14:paraId="05B6E699" w14:textId="77777777" w:rsidR="00804520" w:rsidRPr="00945BA1" w:rsidRDefault="00804520" w:rsidP="00825181">
      <w:pPr>
        <w:pStyle w:val="Heading2"/>
      </w:pPr>
      <w:bookmarkStart w:id="38" w:name="_Toc118460190"/>
      <w:bookmarkEnd w:id="30"/>
      <w:bookmarkEnd w:id="31"/>
      <w:r w:rsidRPr="00945BA1">
        <w:lastRenderedPageBreak/>
        <w:t>Modelling approach</w:t>
      </w:r>
      <w:bookmarkEnd w:id="38"/>
    </w:p>
    <w:p w14:paraId="54B94131" w14:textId="77777777" w:rsidR="00886760" w:rsidRPr="002D6B56" w:rsidRDefault="00886760" w:rsidP="00886760">
      <w:pPr>
        <w:pStyle w:val="FSRnormal"/>
      </w:pPr>
      <w:r w:rsidRPr="002D6B56">
        <w:t xml:space="preserve">An experience-based projection model continues to be used to project Scheme participant numbers and </w:t>
      </w:r>
      <w:r w:rsidR="002B670C">
        <w:t xml:space="preserve">Scheme </w:t>
      </w:r>
      <w:r w:rsidR="00ED4E05">
        <w:t>e</w:t>
      </w:r>
      <w:r w:rsidR="002B670C">
        <w:t>xpense</w:t>
      </w:r>
      <w:r w:rsidR="00D64DFF">
        <w:t>s</w:t>
      </w:r>
      <w:r w:rsidRPr="002D6B56">
        <w:t xml:space="preserve">. To reflect the ongoing maturing of the Scheme, the latest developments in Scheme experience, and refinements to operational processes, several enhancements to modelling techniques have been undertaken since the previous AFSR. </w:t>
      </w:r>
    </w:p>
    <w:p w14:paraId="6206C4D3" w14:textId="77777777" w:rsidR="00886760" w:rsidRPr="002D6B56" w:rsidRDefault="00886760" w:rsidP="00886760">
      <w:pPr>
        <w:pStyle w:val="FSRnormal"/>
      </w:pPr>
      <w:r>
        <w:t>As with previous</w:t>
      </w:r>
      <w:r w:rsidRPr="002D6B56">
        <w:t xml:space="preserve"> AFSRs</w:t>
      </w:r>
      <w:r>
        <w:t>, the 2021-22 AFSR</w:t>
      </w:r>
      <w:r w:rsidRPr="002D6B56">
        <w:t xml:space="preserve"> </w:t>
      </w:r>
      <w:r>
        <w:t>is</w:t>
      </w:r>
      <w:r w:rsidRPr="002D6B56">
        <w:t xml:space="preserve"> based on projecting average payments made for supports for 2,052 participant cohorts</w:t>
      </w:r>
      <w:r>
        <w:rPr>
          <w:rStyle w:val="FootnoteReference"/>
          <w:rFonts w:cs="Arial"/>
        </w:rPr>
        <w:footnoteReference w:id="41"/>
      </w:r>
      <w:r w:rsidRPr="002D6B56">
        <w:t xml:space="preserve">. The average payments for each cohort are then multiplied by projected participant numbers and summed across all cohorts to arrive at the total </w:t>
      </w:r>
      <w:r>
        <w:t>Scheme expenses</w:t>
      </w:r>
      <w:r w:rsidRPr="002D6B56">
        <w:t>.</w:t>
      </w:r>
    </w:p>
    <w:p w14:paraId="38B9AC31" w14:textId="77777777" w:rsidR="00886760" w:rsidRDefault="00886760" w:rsidP="00886760">
      <w:pPr>
        <w:pStyle w:val="FSRnormal"/>
      </w:pPr>
      <w:r>
        <w:t xml:space="preserve">To enable a closer alignment to the Agency’s plan budget setting process, the projection model has been enhanced to include projection of future plan budgets. This complements the total </w:t>
      </w:r>
      <w:r w:rsidR="00197BF7">
        <w:t>payment</w:t>
      </w:r>
      <w:r>
        <w:t xml:space="preserve"> projections and allows future utilisation rates to be estimated. </w:t>
      </w:r>
    </w:p>
    <w:p w14:paraId="460FAFF6" w14:textId="77777777" w:rsidR="00886760" w:rsidRPr="002D1B40" w:rsidRDefault="00886760" w:rsidP="00886760">
      <w:pPr>
        <w:pStyle w:val="FSRnormal"/>
      </w:pPr>
      <w:r>
        <w:t xml:space="preserve">Plan budget projections are included in Section 5.3 of the report, along with the projected utilisation rate which is calculated as the ratio of the </w:t>
      </w:r>
      <w:r w:rsidR="002B670C">
        <w:t>Scheme expense</w:t>
      </w:r>
      <w:r>
        <w:t xml:space="preserve"> to these projected plan budgets.</w:t>
      </w:r>
    </w:p>
    <w:p w14:paraId="62DE5A3D" w14:textId="77777777" w:rsidR="00886760" w:rsidRPr="0051492E" w:rsidRDefault="00886760" w:rsidP="00886760">
      <w:pPr>
        <w:pStyle w:val="FSRnormal"/>
      </w:pPr>
      <w:r w:rsidRPr="002F4765">
        <w:t xml:space="preserve">Assumptions have </w:t>
      </w:r>
      <w:r w:rsidRPr="00241F16">
        <w:t xml:space="preserve">been set </w:t>
      </w:r>
      <w:r>
        <w:t>considering factors both internal and external to the Scheme.</w:t>
      </w:r>
      <w:r w:rsidRPr="00022ACF">
        <w:t xml:space="preserve"> </w:t>
      </w:r>
      <w:r>
        <w:t xml:space="preserve">External factors include broader macroeconomic factors, to the extent they impact the Scheme. Internal factors include trends in past numbers of participants and payments per participant. </w:t>
      </w:r>
    </w:p>
    <w:p w14:paraId="0738C941" w14:textId="77777777" w:rsidR="00886760" w:rsidRDefault="00886760" w:rsidP="00886760">
      <w:pPr>
        <w:pStyle w:val="FSRnormal"/>
      </w:pPr>
      <w:r w:rsidRPr="002F4765">
        <w:t>As with any projection, there is uncertainty in the results</w:t>
      </w:r>
      <w:r>
        <w:t xml:space="preserve">. This is particularly relevant given the heightened systemic risk due to the factors mentioned above. </w:t>
      </w:r>
      <w:r w:rsidRPr="002F4765">
        <w:t xml:space="preserve">As the Scheme continues to mature, </w:t>
      </w:r>
      <w:r>
        <w:t xml:space="preserve">the expected trajectory of </w:t>
      </w:r>
      <w:r w:rsidRPr="002F4765">
        <w:t>Scheme experience</w:t>
      </w:r>
      <w:r>
        <w:t xml:space="preserve"> and projected expenses can change materially,</w:t>
      </w:r>
      <w:r w:rsidRPr="002F4765">
        <w:t xml:space="preserve"> resulting from the decisions and actions of the </w:t>
      </w:r>
      <w:r>
        <w:t xml:space="preserve">Government and </w:t>
      </w:r>
      <w:r w:rsidRPr="002F4765">
        <w:t xml:space="preserve">Agency and </w:t>
      </w:r>
      <w:r>
        <w:t>the Australian and global economic climate</w:t>
      </w:r>
      <w:r w:rsidRPr="002F4765">
        <w:t>.</w:t>
      </w:r>
      <w:r>
        <w:t xml:space="preserve"> Two approaches have been used to illustrate the drivers of uncertainty and the estimated impacts those have on the projection results:</w:t>
      </w:r>
    </w:p>
    <w:p w14:paraId="288D7617" w14:textId="77777777" w:rsidR="00886760" w:rsidRDefault="00886760" w:rsidP="00886760">
      <w:pPr>
        <w:pStyle w:val="FSRlist"/>
      </w:pPr>
      <w:r>
        <w:t>Testing the sensitivity of projected Scheme expenses to changes in specific key assumptions in Section 6.1</w:t>
      </w:r>
      <w:r w:rsidR="0031401C">
        <w:t>, and</w:t>
      </w:r>
    </w:p>
    <w:p w14:paraId="55F82207" w14:textId="77777777" w:rsidR="00886760" w:rsidRPr="0051492E" w:rsidRDefault="00886760" w:rsidP="00252EAF">
      <w:pPr>
        <w:pStyle w:val="FSRlist"/>
        <w:ind w:left="714" w:hanging="357"/>
      </w:pPr>
      <w:r>
        <w:t>Projecting Scheme expenses using a stochastic model</w:t>
      </w:r>
      <w:r w:rsidR="002519FB">
        <w:rPr>
          <w:rStyle w:val="FootnoteReference"/>
        </w:rPr>
        <w:footnoteReference w:id="42"/>
      </w:r>
      <w:r>
        <w:t xml:space="preserve"> which </w:t>
      </w:r>
      <w:r w:rsidRPr="00D92142">
        <w:t>provide</w:t>
      </w:r>
      <w:r w:rsidRPr="0051492E">
        <w:t>s</w:t>
      </w:r>
      <w:r w:rsidRPr="00D92142">
        <w:t xml:space="preserve"> a more holistic view of the interaction between material risks facing the Scheme and the variability in these risk factors.</w:t>
      </w:r>
      <w:r>
        <w:t xml:space="preserve"> The approach and results of this model are included in Section 6.2.</w:t>
      </w:r>
    </w:p>
    <w:p w14:paraId="2B3E3FEF" w14:textId="77777777" w:rsidR="00804520" w:rsidRPr="00945BA1" w:rsidRDefault="00686AF4" w:rsidP="00804520">
      <w:pPr>
        <w:pStyle w:val="FSRnormal"/>
      </w:pPr>
      <w:r>
        <w:lastRenderedPageBreak/>
        <w:t xml:space="preserve">Figure </w:t>
      </w:r>
      <w:r>
        <w:rPr>
          <w:noProof/>
        </w:rPr>
        <w:t>3</w:t>
      </w:r>
      <w:r>
        <w:t>.</w:t>
      </w:r>
      <w:r>
        <w:rPr>
          <w:noProof/>
        </w:rPr>
        <w:t>1</w:t>
      </w:r>
      <w:r w:rsidR="00804520" w:rsidRPr="00945BA1">
        <w:t xml:space="preserve"> summarises the </w:t>
      </w:r>
      <w:r w:rsidR="00804520" w:rsidRPr="0030672B">
        <w:t>modelling approach</w:t>
      </w:r>
      <w:r w:rsidR="00804520" w:rsidRPr="00945BA1">
        <w:t xml:space="preserve"> in graphical format, with the main components of the modelling approach noted below.</w:t>
      </w:r>
    </w:p>
    <w:p w14:paraId="0E27820D" w14:textId="77777777" w:rsidR="00804520" w:rsidRPr="00945BA1" w:rsidRDefault="00804520" w:rsidP="00804520">
      <w:pPr>
        <w:pStyle w:val="FSRHeading4"/>
      </w:pPr>
      <w:r w:rsidRPr="00945BA1">
        <w:t>Participant numbers</w:t>
      </w:r>
    </w:p>
    <w:p w14:paraId="1CB4F87A" w14:textId="77777777" w:rsidR="002477C3" w:rsidRPr="00945BA1" w:rsidRDefault="002477C3" w:rsidP="002477C3">
      <w:pPr>
        <w:pStyle w:val="FSRlist"/>
      </w:pPr>
      <w:r w:rsidRPr="00945BA1">
        <w:t>Annual population projections are calculated by exact age and cohort by adding participant intake to the starting population</w:t>
      </w:r>
      <w:r>
        <w:t xml:space="preserve"> as at 30 June 2022</w:t>
      </w:r>
      <w:r w:rsidRPr="00945BA1">
        <w:t xml:space="preserve">, subtracting </w:t>
      </w:r>
      <w:r w:rsidR="00BB393A">
        <w:t>reduction due to mortality and participants leaving the Scheme</w:t>
      </w:r>
      <w:r w:rsidRPr="00945BA1">
        <w:t xml:space="preserve">, and ageing the remaining participants by one year. </w:t>
      </w:r>
    </w:p>
    <w:p w14:paraId="65AD2C4C" w14:textId="77777777" w:rsidR="002477C3" w:rsidRPr="00945BA1" w:rsidRDefault="002477C3" w:rsidP="002477C3">
      <w:pPr>
        <w:pStyle w:val="FSRlist"/>
      </w:pPr>
      <w:r w:rsidRPr="00945BA1">
        <w:t xml:space="preserve">Each cohort is differentiated by age band (summarised into nine groups), primary disability and level of function (57 groups), gender (two groups) and whether a participant is </w:t>
      </w:r>
      <w:r w:rsidR="00886760">
        <w:t>accessing</w:t>
      </w:r>
      <w:r w:rsidR="00614477">
        <w:t xml:space="preserve"> </w:t>
      </w:r>
      <w:r w:rsidRPr="00945BA1">
        <w:t xml:space="preserve">SIL </w:t>
      </w:r>
      <w:r w:rsidR="00886760">
        <w:t>supports</w:t>
      </w:r>
      <w:r w:rsidR="001D508F">
        <w:t xml:space="preserve"> </w:t>
      </w:r>
      <w:r w:rsidRPr="00945BA1">
        <w:t>(two groups). This leads to 2,052 unique cohorts.</w:t>
      </w:r>
    </w:p>
    <w:p w14:paraId="3F89407E" w14:textId="77777777" w:rsidR="00804520" w:rsidRPr="00945BA1" w:rsidRDefault="00804520" w:rsidP="00804520">
      <w:pPr>
        <w:pStyle w:val="FSRlist"/>
      </w:pPr>
      <w:r w:rsidRPr="00945BA1">
        <w:t xml:space="preserve">The number and profile of participants expected to enter the Scheme in each projection year is based on the historic profile of </w:t>
      </w:r>
      <w:r w:rsidR="002477C3">
        <w:t>new entrants</w:t>
      </w:r>
      <w:r w:rsidRPr="00945BA1">
        <w:t xml:space="preserve">, </w:t>
      </w:r>
      <w:r w:rsidR="002477C3">
        <w:t>split between</w:t>
      </w:r>
      <w:r w:rsidRPr="00945BA1">
        <w:t>:</w:t>
      </w:r>
    </w:p>
    <w:p w14:paraId="0F7BF64C" w14:textId="77777777" w:rsidR="00804520" w:rsidRPr="00945BA1" w:rsidRDefault="00585D08" w:rsidP="004E667E">
      <w:pPr>
        <w:pStyle w:val="FSRlist"/>
        <w:numPr>
          <w:ilvl w:val="1"/>
          <w:numId w:val="25"/>
        </w:numPr>
      </w:pPr>
      <w:r>
        <w:t>Ne</w:t>
      </w:r>
      <w:r w:rsidR="00804520" w:rsidRPr="00945BA1">
        <w:t xml:space="preserve">w incidence </w:t>
      </w:r>
      <w:r>
        <w:t>to</w:t>
      </w:r>
      <w:r w:rsidR="00804520" w:rsidRPr="00945BA1">
        <w:t xml:space="preserve"> disability; and</w:t>
      </w:r>
    </w:p>
    <w:p w14:paraId="21A470E4" w14:textId="77777777" w:rsidR="00804520" w:rsidRPr="00945BA1" w:rsidRDefault="00804520" w:rsidP="004E667E">
      <w:pPr>
        <w:pStyle w:val="FSRlist"/>
        <w:numPr>
          <w:ilvl w:val="1"/>
          <w:numId w:val="25"/>
        </w:numPr>
      </w:pPr>
      <w:r w:rsidRPr="00945BA1">
        <w:t>Previously unmet need for disability supports.</w:t>
      </w:r>
      <w:r w:rsidRPr="00945BA1">
        <w:rPr>
          <w:rStyle w:val="FootnoteReference"/>
        </w:rPr>
        <w:footnoteReference w:id="43"/>
      </w:r>
    </w:p>
    <w:p w14:paraId="3C8BA5E8" w14:textId="77777777" w:rsidR="002477C3" w:rsidRDefault="002477C3" w:rsidP="00804520">
      <w:pPr>
        <w:pStyle w:val="FSRlist"/>
      </w:pPr>
      <w:r>
        <w:t xml:space="preserve">Prior to the </w:t>
      </w:r>
      <w:r w:rsidRPr="00945BA1">
        <w:t>Steady Intake Date</w:t>
      </w:r>
      <w:r w:rsidRPr="00945BA1">
        <w:rPr>
          <w:rStyle w:val="FootnoteReference"/>
        </w:rPr>
        <w:footnoteReference w:id="44"/>
      </w:r>
      <w:r w:rsidRPr="00945BA1">
        <w:t xml:space="preserve"> of 30 June 2024</w:t>
      </w:r>
      <w:r>
        <w:t xml:space="preserve">, some allowance is made for participants with previous unmet need. Beyond the Steady Intake Date, the projected number of new entrants is based on the assumed new incidence </w:t>
      </w:r>
      <w:r w:rsidR="00585D08">
        <w:t xml:space="preserve">to disability </w:t>
      </w:r>
      <w:r>
        <w:t>rate</w:t>
      </w:r>
      <w:r w:rsidR="00585D08">
        <w:t>.</w:t>
      </w:r>
      <w:r>
        <w:t xml:space="preserve"> </w:t>
      </w:r>
    </w:p>
    <w:p w14:paraId="54688F45" w14:textId="77777777" w:rsidR="00804520" w:rsidRPr="00945BA1" w:rsidRDefault="00804520" w:rsidP="00355D9B">
      <w:pPr>
        <w:pStyle w:val="FSRlist"/>
      </w:pPr>
      <w:r w:rsidRPr="00945BA1">
        <w:t xml:space="preserve">There is also a transition model to explicitly allow for participants who enter the Scheme with developmental </w:t>
      </w:r>
      <w:r w:rsidR="00EB77C3" w:rsidRPr="00945BA1">
        <w:t>delay but</w:t>
      </w:r>
      <w:r w:rsidRPr="00945BA1">
        <w:t xml:space="preserve"> are later determined to have autism or an intellectual disability. Some participants with a developmental delay will transition to another disability once a diagnosis has been made. Th</w:t>
      </w:r>
      <w:r w:rsidR="002477C3">
        <w:t>ese</w:t>
      </w:r>
      <w:r w:rsidRPr="00945BA1">
        <w:t xml:space="preserve"> transfer</w:t>
      </w:r>
      <w:r w:rsidR="002477C3">
        <w:t>s</w:t>
      </w:r>
      <w:r w:rsidRPr="00945BA1">
        <w:t xml:space="preserve"> typically </w:t>
      </w:r>
      <w:r w:rsidR="0041387F" w:rsidRPr="00945BA1">
        <w:t>happen</w:t>
      </w:r>
      <w:r w:rsidRPr="00945BA1">
        <w:t xml:space="preserve"> between the ages of 5 to 8, although this can also occur outside of these ages. </w:t>
      </w:r>
    </w:p>
    <w:p w14:paraId="4A4D29AD" w14:textId="77777777" w:rsidR="00804520" w:rsidRPr="00945BA1" w:rsidRDefault="00804520" w:rsidP="00804520">
      <w:pPr>
        <w:pStyle w:val="FSRlist"/>
      </w:pPr>
      <w:r w:rsidRPr="00945BA1">
        <w:t xml:space="preserve">The number of participants in SIL arrangements is modelled based on an assumed proportion of each cohort, with the increase in the total number of participants </w:t>
      </w:r>
      <w:r w:rsidR="001D508F">
        <w:t xml:space="preserve">with SIL </w:t>
      </w:r>
      <w:r w:rsidRPr="00945BA1">
        <w:t xml:space="preserve">being based on recently observed experience. </w:t>
      </w:r>
      <w:r w:rsidR="001D508F">
        <w:t>P</w:t>
      </w:r>
      <w:r w:rsidRPr="00945BA1">
        <w:t>articipants</w:t>
      </w:r>
      <w:r w:rsidR="001D508F">
        <w:t xml:space="preserve"> with SIL</w:t>
      </w:r>
      <w:r w:rsidRPr="00945BA1">
        <w:t xml:space="preserve"> are modelled </w:t>
      </w:r>
      <w:r w:rsidR="002477C3">
        <w:t xml:space="preserve">explicitly </w:t>
      </w:r>
      <w:r w:rsidRPr="00945BA1">
        <w:t xml:space="preserve">despite only comprising 5% of all participants, </w:t>
      </w:r>
      <w:r w:rsidR="002477C3">
        <w:t xml:space="preserve">as </w:t>
      </w:r>
      <w:r w:rsidRPr="00945BA1">
        <w:t>they contribute significantly to Scheme</w:t>
      </w:r>
      <w:r w:rsidR="00D64DFF">
        <w:t xml:space="preserve"> expenses</w:t>
      </w:r>
      <w:r w:rsidRPr="00945BA1">
        <w:t xml:space="preserve"> (32% over 202</w:t>
      </w:r>
      <w:r>
        <w:t>1</w:t>
      </w:r>
      <w:r w:rsidRPr="00945BA1">
        <w:t>-2</w:t>
      </w:r>
      <w:r>
        <w:t>2</w:t>
      </w:r>
      <w:r w:rsidRPr="00945BA1">
        <w:t>).</w:t>
      </w:r>
    </w:p>
    <w:p w14:paraId="0D44A300" w14:textId="77777777" w:rsidR="00886760" w:rsidRPr="00945BA1" w:rsidRDefault="00886760" w:rsidP="00886760">
      <w:pPr>
        <w:pStyle w:val="FSRHeading4"/>
      </w:pPr>
      <w:r>
        <w:t>Scheme Expenses relating to participant supports</w:t>
      </w:r>
      <w:r w:rsidRPr="00945BA1">
        <w:t xml:space="preserve"> </w:t>
      </w:r>
    </w:p>
    <w:p w14:paraId="1D2DDF9D" w14:textId="77777777" w:rsidR="00886760" w:rsidRPr="00945BA1" w:rsidRDefault="00886760" w:rsidP="00886760">
      <w:pPr>
        <w:pStyle w:val="FSRlist"/>
      </w:pPr>
      <w:r>
        <w:t>Payments per participant</w:t>
      </w:r>
      <w:r w:rsidRPr="00D030DE">
        <w:rPr>
          <w:rStyle w:val="FootnoteReference"/>
        </w:rPr>
        <w:footnoteReference w:id="45"/>
      </w:r>
      <w:r w:rsidRPr="00945BA1">
        <w:t xml:space="preserve"> are estimated by cohort using annualised payment levels for the three months to 31 May 2022 for “</w:t>
      </w:r>
      <w:r>
        <w:t xml:space="preserve">active and </w:t>
      </w:r>
      <w:r w:rsidRPr="00945BA1">
        <w:t>mature</w:t>
      </w:r>
      <w:r>
        <w:t>”</w:t>
      </w:r>
      <w:r w:rsidRPr="00945BA1">
        <w:t xml:space="preserve"> participants, i.e., </w:t>
      </w:r>
      <w:r w:rsidRPr="00945BA1">
        <w:lastRenderedPageBreak/>
        <w:t xml:space="preserve">participants who were </w:t>
      </w:r>
      <w:r>
        <w:t>had an approved plan</w:t>
      </w:r>
      <w:r w:rsidRPr="00945BA1">
        <w:t xml:space="preserve"> at both 28 February 2022 and 31 May 2022, and had their first plan approved on or prior to 28 February 2021. Allowance is made for monthly seasonality typically observed and payments in June 2022 </w:t>
      </w:r>
      <w:r>
        <w:t>a</w:t>
      </w:r>
      <w:r w:rsidRPr="00945BA1">
        <w:t>re checked to ensure that they d</w:t>
      </w:r>
      <w:r>
        <w:t>o</w:t>
      </w:r>
      <w:r w:rsidRPr="00945BA1">
        <w:t xml:space="preserve"> not vary substantially from those assumed. </w:t>
      </w:r>
    </w:p>
    <w:p w14:paraId="03E84EC0" w14:textId="77777777" w:rsidR="00886760" w:rsidRPr="00945BA1" w:rsidRDefault="00886760" w:rsidP="00886760">
      <w:pPr>
        <w:pStyle w:val="FSRlist"/>
      </w:pPr>
      <w:r w:rsidRPr="00945BA1">
        <w:t>Explicit allowance is made for variance in average payment per participant for future new entrants, relative to the broader Scheme population.</w:t>
      </w:r>
    </w:p>
    <w:p w14:paraId="0221BE85" w14:textId="77777777" w:rsidR="00886760" w:rsidRPr="00945BA1" w:rsidRDefault="00886760" w:rsidP="00886760">
      <w:pPr>
        <w:pStyle w:val="FSRlist"/>
      </w:pPr>
      <w:r>
        <w:t>Expenses</w:t>
      </w:r>
      <w:r w:rsidRPr="00945BA1">
        <w:t xml:space="preserve"> are projected on a cash flow basis, </w:t>
      </w:r>
      <w:r w:rsidRPr="00945BA1">
        <w:rPr>
          <w:rFonts w:cs="Arial"/>
          <w:szCs w:val="22"/>
        </w:rPr>
        <w:t xml:space="preserve">representing the estimated rate of outflows from the Scheme (noting in-kind supports are expected to be used evenly throughout a participant’s plan). </w:t>
      </w:r>
      <w:r>
        <w:rPr>
          <w:rFonts w:cs="Arial"/>
          <w:szCs w:val="22"/>
        </w:rPr>
        <w:t>Scheme expenses</w:t>
      </w:r>
      <w:r w:rsidRPr="00945BA1">
        <w:rPr>
          <w:rFonts w:cs="Arial"/>
          <w:szCs w:val="22"/>
        </w:rPr>
        <w:t xml:space="preserve"> are split between 15 different support categories.</w:t>
      </w:r>
      <w:r w:rsidRPr="00945BA1">
        <w:rPr>
          <w:rStyle w:val="FootnoteReference"/>
          <w:rFonts w:cs="Arial"/>
          <w:szCs w:val="22"/>
        </w:rPr>
        <w:footnoteReference w:id="46"/>
      </w:r>
    </w:p>
    <w:p w14:paraId="6396B294" w14:textId="77777777" w:rsidR="00886760" w:rsidRPr="00945BA1" w:rsidRDefault="00886760" w:rsidP="00886760">
      <w:pPr>
        <w:pStyle w:val="FSRlist"/>
      </w:pPr>
      <w:r w:rsidRPr="00945BA1">
        <w:t>Inflation of</w:t>
      </w:r>
      <w:r w:rsidR="00D64DFF">
        <w:t xml:space="preserve"> expenses</w:t>
      </w:r>
      <w:r w:rsidRPr="00ED4E05">
        <w:t xml:space="preserve"> is</w:t>
      </w:r>
      <w:r w:rsidRPr="00945BA1">
        <w:t xml:space="preserve"> added in future years from both normal inflationary sources and sources of </w:t>
      </w:r>
      <w:r>
        <w:t>additional</w:t>
      </w:r>
      <w:r w:rsidRPr="00945BA1">
        <w:t xml:space="preserve"> inflation.</w:t>
      </w:r>
    </w:p>
    <w:p w14:paraId="274DD5CD" w14:textId="77777777" w:rsidR="00886760" w:rsidRDefault="00886760" w:rsidP="00886760">
      <w:pPr>
        <w:pStyle w:val="FSRlist"/>
      </w:pPr>
      <w:r w:rsidRPr="00945BA1">
        <w:t xml:space="preserve">Accrual factors are derived for each of the 15 different support categories to convert the </w:t>
      </w:r>
      <w:r>
        <w:t>Scheme expenses</w:t>
      </w:r>
      <w:r w:rsidRPr="00945BA1">
        <w:t xml:space="preserve"> from a cash basis to an accrual basis.</w:t>
      </w:r>
    </w:p>
    <w:p w14:paraId="700FD184" w14:textId="77777777" w:rsidR="00886760" w:rsidRPr="009A7BDA" w:rsidRDefault="00886760" w:rsidP="00886760">
      <w:pPr>
        <w:pStyle w:val="FSRHeading4"/>
      </w:pPr>
      <w:r w:rsidRPr="009A7BDA">
        <w:t xml:space="preserve">Total Scheme </w:t>
      </w:r>
      <w:r w:rsidR="008D11D0">
        <w:t>e</w:t>
      </w:r>
      <w:r>
        <w:t>xpenses</w:t>
      </w:r>
    </w:p>
    <w:p w14:paraId="29E5B010" w14:textId="77777777" w:rsidR="00886760" w:rsidRPr="009A7BDA" w:rsidRDefault="00886760" w:rsidP="00886760">
      <w:pPr>
        <w:pStyle w:val="FSRlist"/>
      </w:pPr>
      <w:r w:rsidRPr="009A7BDA">
        <w:t xml:space="preserve">Operating expenses are added to </w:t>
      </w:r>
      <w:r>
        <w:t>Scheme expenses related to participant supports</w:t>
      </w:r>
      <w:r w:rsidRPr="009A7BDA">
        <w:t xml:space="preserve"> to calculate total Scheme </w:t>
      </w:r>
      <w:r>
        <w:t>expenses</w:t>
      </w:r>
      <w:r w:rsidRPr="009A7BDA">
        <w:t>.</w:t>
      </w:r>
    </w:p>
    <w:p w14:paraId="6BA01A12" w14:textId="77777777" w:rsidR="00886760" w:rsidRPr="00945BA1" w:rsidRDefault="00886760" w:rsidP="00886760">
      <w:pPr>
        <w:pStyle w:val="FSRlist"/>
      </w:pPr>
      <w:r>
        <w:t xml:space="preserve">The sensitivity of results is tested by varying key assumptions and recalculating the estimated total Scheme expenses. A stochastic AFSR </w:t>
      </w:r>
      <w:r w:rsidR="002519FB">
        <w:t xml:space="preserve">projection </w:t>
      </w:r>
      <w:r>
        <w:t xml:space="preserve">model based on a </w:t>
      </w:r>
      <w:r w:rsidR="002737A0">
        <w:t xml:space="preserve">condensed </w:t>
      </w:r>
      <w:r>
        <w:t xml:space="preserve">set of model points is also used to </w:t>
      </w:r>
      <w:r w:rsidRPr="009A7BDA">
        <w:t>reflect uncertainty within the projections.</w:t>
      </w:r>
    </w:p>
    <w:p w14:paraId="78151095" w14:textId="77777777" w:rsidR="00886760" w:rsidRPr="00A80253" w:rsidRDefault="008D11D0" w:rsidP="00886760">
      <w:pPr>
        <w:pStyle w:val="FSRHeading4"/>
      </w:pPr>
      <w:r>
        <w:t>Projected p</w:t>
      </w:r>
      <w:r w:rsidR="00886760">
        <w:t>lan budgets</w:t>
      </w:r>
    </w:p>
    <w:p w14:paraId="5B2A21A2" w14:textId="77777777" w:rsidR="00886760" w:rsidRPr="00A80253" w:rsidRDefault="00886760" w:rsidP="00886760">
      <w:pPr>
        <w:pStyle w:val="FSRlist"/>
      </w:pPr>
      <w:r>
        <w:t>Projected plan budgets</w:t>
      </w:r>
      <w:r w:rsidRPr="00A80253">
        <w:t xml:space="preserve"> are estimated by cohort using annualised </w:t>
      </w:r>
      <w:r>
        <w:t>plan budget</w:t>
      </w:r>
      <w:r w:rsidRPr="00A80253">
        <w:t xml:space="preserve"> levels for the </w:t>
      </w:r>
      <w:r>
        <w:t>month of</w:t>
      </w:r>
      <w:r w:rsidRPr="00A80253">
        <w:t xml:space="preserve"> 31 May 2022 for “mature participants”</w:t>
      </w:r>
      <w:r>
        <w:t>. An a</w:t>
      </w:r>
      <w:r w:rsidRPr="00A80253">
        <w:t xml:space="preserve">llowance is made for monthly seasonality typically observed and </w:t>
      </w:r>
      <w:r>
        <w:t>plan budgets</w:t>
      </w:r>
      <w:r w:rsidRPr="00A80253">
        <w:t xml:space="preserve"> in June 2022 </w:t>
      </w:r>
      <w:r>
        <w:t>a</w:t>
      </w:r>
      <w:r w:rsidRPr="00A80253">
        <w:t>re checked to ensure that they d</w:t>
      </w:r>
      <w:r>
        <w:t>o</w:t>
      </w:r>
      <w:r w:rsidRPr="00A80253">
        <w:t xml:space="preserve"> not vary substantially from those assumed. </w:t>
      </w:r>
    </w:p>
    <w:p w14:paraId="7A592747" w14:textId="77777777" w:rsidR="00886760" w:rsidRPr="00A80253" w:rsidRDefault="00886760" w:rsidP="00886760">
      <w:pPr>
        <w:pStyle w:val="FSRlist"/>
      </w:pPr>
      <w:r w:rsidRPr="00A80253">
        <w:t xml:space="preserve">Explicit allowance is made for variance in average </w:t>
      </w:r>
      <w:r>
        <w:t>plan budgets</w:t>
      </w:r>
      <w:r w:rsidRPr="00A80253">
        <w:t xml:space="preserve"> for future new entrants, relative to the broader Scheme population.</w:t>
      </w:r>
    </w:p>
    <w:p w14:paraId="4944D06B" w14:textId="77777777" w:rsidR="00886760" w:rsidRPr="00A80253" w:rsidRDefault="00886760" w:rsidP="00886760">
      <w:pPr>
        <w:pStyle w:val="FSRlist"/>
      </w:pPr>
      <w:r w:rsidRPr="00A80253">
        <w:rPr>
          <w:rFonts w:cs="Arial"/>
          <w:szCs w:val="22"/>
        </w:rPr>
        <w:t xml:space="preserve">Projected </w:t>
      </w:r>
      <w:r>
        <w:rPr>
          <w:rFonts w:cs="Arial"/>
          <w:szCs w:val="22"/>
        </w:rPr>
        <w:t>plan budgets</w:t>
      </w:r>
      <w:r w:rsidRPr="00A80253">
        <w:rPr>
          <w:rFonts w:cs="Arial"/>
          <w:szCs w:val="22"/>
        </w:rPr>
        <w:t xml:space="preserve"> are split between 15 different support categories.</w:t>
      </w:r>
    </w:p>
    <w:p w14:paraId="6FFC7C00" w14:textId="77777777" w:rsidR="00886760" w:rsidRDefault="00886760" w:rsidP="00886760">
      <w:pPr>
        <w:pStyle w:val="FSRlist"/>
      </w:pPr>
      <w:r w:rsidRPr="00A80253">
        <w:t xml:space="preserve">Inflation of </w:t>
      </w:r>
      <w:r>
        <w:t>plan budgets</w:t>
      </w:r>
      <w:r w:rsidRPr="00A80253">
        <w:t xml:space="preserve"> is added in future years from both normal inflationary sources and sources of</w:t>
      </w:r>
      <w:r>
        <w:t xml:space="preserve"> additional</w:t>
      </w:r>
      <w:r w:rsidRPr="00A80253">
        <w:t xml:space="preserve"> inflation.</w:t>
      </w:r>
    </w:p>
    <w:p w14:paraId="442DF1C1" w14:textId="77777777" w:rsidR="00886760" w:rsidRPr="00D72D94" w:rsidRDefault="00886760" w:rsidP="00D72D94">
      <w:pPr>
        <w:pStyle w:val="FSRHeading4"/>
      </w:pPr>
      <w:r w:rsidRPr="00EE1B5F">
        <w:lastRenderedPageBreak/>
        <w:t>S</w:t>
      </w:r>
      <w:r w:rsidRPr="00D72D94">
        <w:t xml:space="preserve">tochastic </w:t>
      </w:r>
      <w:r w:rsidR="008D11D0">
        <w:t>M</w:t>
      </w:r>
      <w:r w:rsidRPr="00D72D94">
        <w:t>odel</w:t>
      </w:r>
    </w:p>
    <w:p w14:paraId="31A0465E" w14:textId="77777777" w:rsidR="00D5535B" w:rsidRDefault="00D5535B" w:rsidP="00886760">
      <w:pPr>
        <w:pStyle w:val="FSRnormal"/>
      </w:pPr>
      <w:r w:rsidRPr="00632BD3">
        <w:t xml:space="preserve">In addition to the deterministic </w:t>
      </w:r>
      <w:r w:rsidR="002C7CFA">
        <w:t xml:space="preserve">projections </w:t>
      </w:r>
      <w:r>
        <w:t>in this report</w:t>
      </w:r>
      <w:r w:rsidRPr="00632BD3">
        <w:t>, a stochastic projection model</w:t>
      </w:r>
      <w:r>
        <w:t xml:space="preserve"> </w:t>
      </w:r>
      <w:r w:rsidRPr="00632BD3">
        <w:t>was</w:t>
      </w:r>
      <w:r w:rsidR="00FB02FC">
        <w:t xml:space="preserve"> developed</w:t>
      </w:r>
      <w:r w:rsidRPr="00632BD3">
        <w:t xml:space="preserve"> to analyse the uncertainty of future Scheme </w:t>
      </w:r>
      <w:r>
        <w:t xml:space="preserve">expense </w:t>
      </w:r>
      <w:r w:rsidRPr="00632BD3">
        <w:t>outcomes</w:t>
      </w:r>
      <w:r>
        <w:t xml:space="preserve"> </w:t>
      </w:r>
      <w:r w:rsidRPr="00632BD3">
        <w:t>(‘S</w:t>
      </w:r>
      <w:r>
        <w:t xml:space="preserve">tochastic </w:t>
      </w:r>
      <w:r w:rsidRPr="00632BD3">
        <w:t>Model’).</w:t>
      </w:r>
      <w:r>
        <w:t xml:space="preserve"> </w:t>
      </w:r>
    </w:p>
    <w:p w14:paraId="6CB84209" w14:textId="77777777" w:rsidR="00886760" w:rsidRPr="00863454" w:rsidRDefault="00E149E3" w:rsidP="00886760">
      <w:pPr>
        <w:pStyle w:val="FSRnormal"/>
      </w:pPr>
      <w:r>
        <w:t>S</w:t>
      </w:r>
      <w:r w:rsidR="00886760" w:rsidRPr="00863454">
        <w:t>tochastic simulation ha</w:t>
      </w:r>
      <w:r w:rsidR="00971B18">
        <w:t>s</w:t>
      </w:r>
      <w:r w:rsidR="00886760" w:rsidRPr="00863454">
        <w:t xml:space="preserve"> been used to determine 5,000 simulated outcomes</w:t>
      </w:r>
      <w:r w:rsidR="00D5535B">
        <w:t xml:space="preserve">. Each simulation randomly </w:t>
      </w:r>
      <w:r w:rsidR="002C7CFA">
        <w:t xml:space="preserve">selected </w:t>
      </w:r>
      <w:r w:rsidR="00D5535B">
        <w:t xml:space="preserve">plausible outcomes for </w:t>
      </w:r>
      <w:r w:rsidR="00886760" w:rsidRPr="00863454">
        <w:t>key assumptions</w:t>
      </w:r>
      <w:r w:rsidR="00D5535B">
        <w:t xml:space="preserve">. The plausible variation in assumptions were </w:t>
      </w:r>
      <w:r w:rsidR="00886760" w:rsidRPr="00863454">
        <w:t>based on an analysis of historic data, appropriate external benchmarks, previous scenario analysis and actuarial judgement. This g</w:t>
      </w:r>
      <w:r w:rsidR="002C7CFA">
        <w:t>a</w:t>
      </w:r>
      <w:r w:rsidR="00886760" w:rsidRPr="00863454">
        <w:t>ve cash</w:t>
      </w:r>
      <w:r>
        <w:noBreakHyphen/>
      </w:r>
      <w:r w:rsidR="00886760" w:rsidRPr="00863454">
        <w:t>flow ranges for each projection year.</w:t>
      </w:r>
    </w:p>
    <w:p w14:paraId="73CA54D1" w14:textId="77777777" w:rsidR="00886760" w:rsidRPr="00863454" w:rsidRDefault="00886760" w:rsidP="00886760">
      <w:pPr>
        <w:pStyle w:val="FSRnormal"/>
      </w:pPr>
      <w:r w:rsidRPr="00863454">
        <w:t>A scan of internal NDIA reporting and external publications has been used to identify the key risks that are most likely to impact on the uncertainty of future cash flows of the Scheme. These key risks have been consolidated, where appropriate, and then analysed for materiality in their contribution to future projection uncertainty.</w:t>
      </w:r>
    </w:p>
    <w:p w14:paraId="3424D861" w14:textId="77777777" w:rsidR="00886760" w:rsidRPr="00863454" w:rsidRDefault="00886760" w:rsidP="00886760">
      <w:pPr>
        <w:pStyle w:val="FSRnormal"/>
        <w:keepNext/>
      </w:pPr>
      <w:r w:rsidRPr="00863454">
        <w:t xml:space="preserve">The methodology underlying the </w:t>
      </w:r>
      <w:r w:rsidR="00E149E3">
        <w:t xml:space="preserve">Stochastic </w:t>
      </w:r>
      <w:r w:rsidRPr="00863454">
        <w:t>Model can be described as:</w:t>
      </w:r>
    </w:p>
    <w:p w14:paraId="048DBDDC" w14:textId="77777777" w:rsidR="00886760" w:rsidRPr="00863454" w:rsidRDefault="00886760" w:rsidP="00886760">
      <w:pPr>
        <w:pStyle w:val="FSRlist"/>
      </w:pPr>
      <w:r w:rsidRPr="00863454">
        <w:t xml:space="preserve">The number of </w:t>
      </w:r>
      <w:r w:rsidR="00E149E3">
        <w:t xml:space="preserve">model points </w:t>
      </w:r>
      <w:r w:rsidRPr="00863454">
        <w:t xml:space="preserve">has been </w:t>
      </w:r>
      <w:r w:rsidR="00E149E3" w:rsidRPr="00863454">
        <w:t xml:space="preserve">determined based on the ability of the model to vary assumptions related to the key risks </w:t>
      </w:r>
      <w:r w:rsidR="00E149E3">
        <w:t xml:space="preserve">that are expected to influence </w:t>
      </w:r>
      <w:r w:rsidR="00E149E3" w:rsidRPr="00863454">
        <w:t xml:space="preserve">future </w:t>
      </w:r>
      <w:r w:rsidR="00E149E3">
        <w:t xml:space="preserve">Scheme expense </w:t>
      </w:r>
      <w:r w:rsidR="00E149E3" w:rsidRPr="00863454">
        <w:t>projection outcomes.</w:t>
      </w:r>
    </w:p>
    <w:p w14:paraId="4CB95260" w14:textId="77777777" w:rsidR="00886760" w:rsidRPr="00863454" w:rsidRDefault="00886760" w:rsidP="00886760">
      <w:pPr>
        <w:pStyle w:val="FSRlist"/>
      </w:pPr>
      <w:r w:rsidRPr="00863454">
        <w:t>Future participant numbers for each cohort ha</w:t>
      </w:r>
      <w:r w:rsidR="00971B18">
        <w:t>ve</w:t>
      </w:r>
      <w:r w:rsidRPr="00863454">
        <w:t xml:space="preserve"> been determined as the number of participants at the start of each financial year, plus new entrants, less mortality and </w:t>
      </w:r>
      <w:r>
        <w:t xml:space="preserve">participants leaving the </w:t>
      </w:r>
      <w:r w:rsidR="00FE6A7C">
        <w:t>S</w:t>
      </w:r>
      <w:r>
        <w:t>cheme</w:t>
      </w:r>
      <w:r w:rsidRPr="00863454">
        <w:t>, less those ageing into the next age band grouping, plus those ageing up from the previous age band grouping, plus/minus transitions of functional capacity for those in developmental delay, plus/minus transition of participants into Supported Independent Living (“SIL”).</w:t>
      </w:r>
    </w:p>
    <w:p w14:paraId="7C9A0237" w14:textId="77777777" w:rsidR="00886760" w:rsidRDefault="00E149E3" w:rsidP="00886760">
      <w:pPr>
        <w:pStyle w:val="FSRlist"/>
      </w:pPr>
      <w:r>
        <w:t xml:space="preserve">Future cash flows </w:t>
      </w:r>
      <w:r w:rsidR="00886760" w:rsidRPr="00863454">
        <w:t>ha</w:t>
      </w:r>
      <w:r>
        <w:t>ve</w:t>
      </w:r>
      <w:r w:rsidR="00886760" w:rsidRPr="00863454">
        <w:t xml:space="preserve"> been calculated using average payments for each cohort, updated for </w:t>
      </w:r>
      <w:r w:rsidR="00F605C2">
        <w:t>inflation</w:t>
      </w:r>
      <w:r w:rsidR="00886760" w:rsidRPr="00863454">
        <w:t xml:space="preserve"> in future periods, multiplied by the average number of participants in the cohort for each financial year multiplied by an incurred cost development factor.</w:t>
      </w:r>
    </w:p>
    <w:p w14:paraId="3B53F3EA" w14:textId="77777777" w:rsidR="00E149E3" w:rsidRDefault="00E149E3" w:rsidP="00886760">
      <w:pPr>
        <w:pStyle w:val="FSRlist"/>
      </w:pPr>
      <w:r w:rsidRPr="00863454">
        <w:t xml:space="preserve">Stochastic elements </w:t>
      </w:r>
      <w:r>
        <w:t xml:space="preserve">have been introduced to the </w:t>
      </w:r>
      <w:r w:rsidRPr="00863454">
        <w:t>assumption</w:t>
      </w:r>
      <w:r w:rsidR="002C7CFA">
        <w:t xml:space="preserve"> </w:t>
      </w:r>
      <w:r w:rsidRPr="00863454">
        <w:t>s</w:t>
      </w:r>
      <w:r>
        <w:t>etting</w:t>
      </w:r>
      <w:r w:rsidRPr="00863454">
        <w:t xml:space="preserve"> </w:t>
      </w:r>
      <w:r>
        <w:t>related to the key risks</w:t>
      </w:r>
      <w:r w:rsidRPr="00863454">
        <w:t>. These assumptions have been allowed to vary stochastically based on their expected future variation. This approach captures the compounding of risks over time.</w:t>
      </w:r>
    </w:p>
    <w:p w14:paraId="1EC11C45" w14:textId="77777777" w:rsidR="00E149E3" w:rsidRPr="00863454" w:rsidRDefault="00E149E3" w:rsidP="00886760">
      <w:pPr>
        <w:pStyle w:val="FSRlist"/>
      </w:pPr>
      <w:r w:rsidRPr="00863454">
        <w:t>In instances where relationships between key risks are assumed, the correlations are generated by the creation of two unit normal random variables using a Cholesky decomposition of contemporaneous covariance matrix.</w:t>
      </w:r>
    </w:p>
    <w:p w14:paraId="716648BF" w14:textId="77777777" w:rsidR="00804520" w:rsidRDefault="00804520" w:rsidP="00804520">
      <w:pPr>
        <w:spacing w:line="276" w:lineRule="auto"/>
        <w:rPr>
          <w:highlight w:val="yellow"/>
        </w:rPr>
      </w:pPr>
    </w:p>
    <w:p w14:paraId="7C01C4BD" w14:textId="77777777" w:rsidR="00F43202" w:rsidRDefault="00F43202" w:rsidP="00804520">
      <w:pPr>
        <w:spacing w:line="276" w:lineRule="auto"/>
        <w:rPr>
          <w:highlight w:val="yellow"/>
        </w:rPr>
        <w:sectPr w:rsidR="00F43202" w:rsidSect="00B17C79">
          <w:pgSz w:w="11906" w:h="16838" w:code="9"/>
          <w:pgMar w:top="1956" w:right="1440" w:bottom="851" w:left="1440" w:header="851" w:footer="851" w:gutter="0"/>
          <w:cols w:space="720"/>
          <w:docGrid w:linePitch="299"/>
        </w:sectPr>
      </w:pPr>
    </w:p>
    <w:p w14:paraId="6AE58284" w14:textId="77777777" w:rsidR="003754B8" w:rsidRDefault="008D2871" w:rsidP="00564FA7">
      <w:pPr>
        <w:pStyle w:val="Figures"/>
      </w:pPr>
      <w:bookmarkStart w:id="39" w:name="_Ref112411939"/>
      <w:bookmarkStart w:id="40" w:name="_Ref111885126"/>
      <w:r>
        <w:lastRenderedPageBreak/>
        <w:t xml:space="preserve">Figure </w:t>
      </w:r>
      <w:fldSimple w:instr=" STYLEREF 2 \s ">
        <w:r w:rsidR="00447AA1">
          <w:rPr>
            <w:noProof/>
          </w:rPr>
          <w:t>3</w:t>
        </w:r>
      </w:fldSimple>
      <w:r w:rsidR="00447AA1">
        <w:t>.</w:t>
      </w:r>
      <w:fldSimple w:instr=" SEQ Figure \* ARABIC \s 2 ">
        <w:r w:rsidR="00447AA1">
          <w:rPr>
            <w:noProof/>
          </w:rPr>
          <w:t>1</w:t>
        </w:r>
      </w:fldSimple>
      <w:bookmarkEnd w:id="39"/>
      <w:bookmarkEnd w:id="40"/>
      <w:r>
        <w:t>:</w:t>
      </w:r>
      <w:bookmarkStart w:id="41" w:name="_Toc16847605"/>
      <w:r w:rsidR="003754B8" w:rsidRPr="003754B8">
        <w:t xml:space="preserve"> </w:t>
      </w:r>
      <w:r w:rsidR="003754B8" w:rsidRPr="00341966">
        <w:t>Schematic of modelling approach</w:t>
      </w:r>
      <w:bookmarkEnd w:id="41"/>
      <w:r w:rsidR="003754B8" w:rsidRPr="00341966">
        <w:t xml:space="preserve"> using the average </w:t>
      </w:r>
      <w:r w:rsidR="00805340">
        <w:t>payment-based</w:t>
      </w:r>
      <w:r w:rsidR="003754B8" w:rsidRPr="00341966">
        <w:t xml:space="preserve"> model</w:t>
      </w:r>
    </w:p>
    <w:p w14:paraId="01CCE589" w14:textId="77777777" w:rsidR="005A5DE3" w:rsidRPr="00252EAF" w:rsidRDefault="00AA1884" w:rsidP="00804520">
      <w:pPr>
        <w:pStyle w:val="Figures"/>
        <w:sectPr w:rsidR="005A5DE3" w:rsidRPr="00252EAF" w:rsidSect="00F43202">
          <w:footerReference w:type="default" r:id="rId24"/>
          <w:pgSz w:w="16838" w:h="11906" w:orient="landscape"/>
          <w:pgMar w:top="1440" w:right="1440" w:bottom="1440" w:left="1440" w:header="708" w:footer="708" w:gutter="0"/>
          <w:cols w:space="708"/>
          <w:docGrid w:linePitch="360"/>
        </w:sectPr>
      </w:pPr>
      <w:r w:rsidRPr="00AA1884">
        <w:rPr>
          <w:noProof/>
          <w:lang w:eastAsia="en-AU"/>
        </w:rPr>
        <w:drawing>
          <wp:inline distT="0" distB="0" distL="0" distR="0" wp14:anchorId="4A3E6CB5" wp14:editId="57DD2E53">
            <wp:extent cx="8863330" cy="5220274"/>
            <wp:effectExtent l="0" t="0" r="0" b="0"/>
            <wp:docPr id="475" name="Picture 475" descr="Diagram describes the model approach. Participant numbers at the end of each year is equal to the starting participant population plus new entrants minus the number of participants leaving the Scheme. Base average participant payment assumptions has been calibrated using recent payment experience, with inflation applied in subsequent years to calculate future payment assumptions. Total Scheme expenses on participant payments is equal to number of participants multiplied by average payments per participant. Factors that affect the uncertainty of Scheme experience and the projection include: Agency policy initiatives, systematic and operational risks, SIL numbers and expenses, heightened uncertainty in the global and local economic environment, unanticipated sources of additional inflation, new entrant levels, increase in plan utilisation, impact of supply and demand." title="Figure 3.1: Schematic of modelling approach using the average payment-based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63330" cy="5220274"/>
                    </a:xfrm>
                    <a:prstGeom prst="rect">
                      <a:avLst/>
                    </a:prstGeom>
                    <a:noFill/>
                    <a:ln>
                      <a:noFill/>
                    </a:ln>
                  </pic:spPr>
                </pic:pic>
              </a:graphicData>
            </a:graphic>
          </wp:inline>
        </w:drawing>
      </w:r>
    </w:p>
    <w:p w14:paraId="2C8E7BAF" w14:textId="77777777" w:rsidR="0093332E" w:rsidRPr="0096107E" w:rsidRDefault="0093332E" w:rsidP="00825181">
      <w:pPr>
        <w:pStyle w:val="Heading2"/>
      </w:pPr>
      <w:bookmarkStart w:id="42" w:name="_Toc118460191"/>
      <w:bookmarkStart w:id="43" w:name="_Ref74834314"/>
      <w:bookmarkEnd w:id="32"/>
      <w:r w:rsidRPr="0096107E">
        <w:lastRenderedPageBreak/>
        <w:t>Scheme experience</w:t>
      </w:r>
      <w:bookmarkEnd w:id="42"/>
    </w:p>
    <w:p w14:paraId="712BA3EB" w14:textId="77777777" w:rsidR="0093332E" w:rsidRDefault="0093332E" w:rsidP="0093332E">
      <w:pPr>
        <w:pStyle w:val="FSRnormal"/>
      </w:pPr>
      <w:r w:rsidRPr="008F4DF7">
        <w:t>This section includes trends in Scheme experience to 30 June 2022. Comparisons of actual experience are made to projections from the previous review</w:t>
      </w:r>
      <w:r>
        <w:t xml:space="preserve"> relating to key drivers of Scheme </w:t>
      </w:r>
      <w:r w:rsidR="00197BF7">
        <w:t>expenses</w:t>
      </w:r>
      <w:r>
        <w:t xml:space="preserve"> including participant numbers, average payment per participant, plan budgets, inflation experience and historic utilisation rates.</w:t>
      </w:r>
    </w:p>
    <w:p w14:paraId="323C59D2" w14:textId="77777777" w:rsidR="0093332E" w:rsidRDefault="0093332E" w:rsidP="0093332E">
      <w:pPr>
        <w:pStyle w:val="Heading3"/>
        <w:ind w:left="851" w:hanging="851"/>
      </w:pPr>
      <w:bookmarkStart w:id="44" w:name="_Toc118460192"/>
      <w:r w:rsidRPr="00AC224D">
        <w:t>Participant numbers</w:t>
      </w:r>
      <w:bookmarkEnd w:id="44"/>
    </w:p>
    <w:p w14:paraId="504E930C" w14:textId="77777777" w:rsidR="0093332E" w:rsidRPr="009A2243" w:rsidRDefault="0093332E" w:rsidP="0093332E">
      <w:pPr>
        <w:pStyle w:val="FSRnormal"/>
      </w:pPr>
      <w:r>
        <w:t xml:space="preserve">The Scheme population continues to grow at a rapid rate, considerably more than population growth, with an increase of 14.6% in active participants compared to the Scheme population at 30 June 2021. </w:t>
      </w:r>
      <w:r w:rsidRPr="009A2243">
        <w:t>Th</w:t>
      </w:r>
      <w:r>
        <w:t xml:space="preserve">e increase </w:t>
      </w:r>
      <w:r w:rsidRPr="009A2243">
        <w:t xml:space="preserve">reflects the net effect of </w:t>
      </w:r>
      <w:r w:rsidR="00353A74">
        <w:t>new entrants</w:t>
      </w:r>
      <w:r w:rsidRPr="009A2243">
        <w:t xml:space="preserve"> and </w:t>
      </w:r>
      <w:r w:rsidR="00353A74">
        <w:t>participants leaving the Scheme</w:t>
      </w:r>
      <w:r w:rsidR="001B60AA" w:rsidRPr="009A2243">
        <w:t xml:space="preserve"> </w:t>
      </w:r>
      <w:r w:rsidRPr="009A2243">
        <w:t>over the past 1</w:t>
      </w:r>
      <w:r>
        <w:t>2 months as shown in</w:t>
      </w:r>
      <w:r w:rsidRPr="009A2243">
        <w:t xml:space="preserve"> </w:t>
      </w:r>
      <w:r w:rsidR="007C3EDE" w:rsidRPr="007C3EDE">
        <w:t xml:space="preserve">Figure </w:t>
      </w:r>
      <w:r w:rsidR="007C3EDE" w:rsidRPr="007C3EDE">
        <w:rPr>
          <w:noProof/>
        </w:rPr>
        <w:t>4</w:t>
      </w:r>
      <w:r w:rsidR="007C3EDE" w:rsidRPr="007C3EDE">
        <w:t>.</w:t>
      </w:r>
      <w:r w:rsidR="007C3EDE" w:rsidRPr="007C3EDE">
        <w:rPr>
          <w:noProof/>
        </w:rPr>
        <w:t>1</w:t>
      </w:r>
      <w:r>
        <w:t xml:space="preserve">. </w:t>
      </w:r>
    </w:p>
    <w:p w14:paraId="716C1151" w14:textId="77777777" w:rsidR="0093332E" w:rsidRPr="00455B75" w:rsidRDefault="0093332E" w:rsidP="0093332E">
      <w:pPr>
        <w:pStyle w:val="Figures"/>
      </w:pPr>
      <w:bookmarkStart w:id="45" w:name="_Ref112424057"/>
      <w:r w:rsidRPr="007C3EDE">
        <w:t xml:space="preserve">Figure </w:t>
      </w:r>
      <w:fldSimple w:instr=" STYLEREF 2 \s ">
        <w:r w:rsidR="00447AA1">
          <w:rPr>
            <w:noProof/>
          </w:rPr>
          <w:t>4</w:t>
        </w:r>
      </w:fldSimple>
      <w:r w:rsidR="00447AA1">
        <w:t>.</w:t>
      </w:r>
      <w:fldSimple w:instr=" SEQ Figure \* ARABIC \s 2 ">
        <w:r w:rsidR="00447AA1">
          <w:rPr>
            <w:noProof/>
          </w:rPr>
          <w:t>1</w:t>
        </w:r>
      </w:fldSimple>
      <w:bookmarkEnd w:id="45"/>
      <w:r w:rsidRPr="00164A79">
        <w:t>:</w:t>
      </w:r>
      <w:r w:rsidRPr="00455B75">
        <w:t xml:space="preserve"> Active participants in the Scheme by quarter over the past 3 years</w:t>
      </w:r>
    </w:p>
    <w:p w14:paraId="59E14816" w14:textId="77777777" w:rsidR="0093332E" w:rsidRPr="009A2243" w:rsidRDefault="003A19FF" w:rsidP="0093332E">
      <w:pPr>
        <w:pStyle w:val="FSRnormal"/>
      </w:pPr>
      <w:r w:rsidRPr="003A19FF">
        <w:rPr>
          <w:noProof/>
          <w:lang w:eastAsia="en-AU"/>
        </w:rPr>
        <w:drawing>
          <wp:inline distT="0" distB="0" distL="0" distR="0" wp14:anchorId="5B47066F" wp14:editId="4ECEB9D3">
            <wp:extent cx="5731510" cy="3060980"/>
            <wp:effectExtent l="0" t="0" r="2540" b="6350"/>
            <wp:docPr id="31" name="Picture 31" descr="Graph shows the number of active participants in the Scheme by quarter over the past 3 years. The number of active participants as at the end of each quarter is as follows:&#10;Jun-19: 286,015; Sep-19: 311,774; Dec-19: 338,982; Mar-20: 364,879; Jun-20: 391,999; Sep-20: 412,543; Dec-20: 432,649; Mar-21: 449,998; Jun-21: 466,619; Sep-21: 475,614; Dec-21: 495,880; Mar-22: 515,364; Jun-22: 534,655.&#10;There was an increase of 105,984 (+37.1%) from Jun-19 to Jun-20; followed by an increase of 74,620 (+19.0%) from Jun-20 to Jun-21; followed by an increase of 68,036 (+14.6%) from Jun-21 to Jun-22." title="Figure 4.1: Active participants in the Scheme by quarter over the past 3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3060980"/>
                    </a:xfrm>
                    <a:prstGeom prst="rect">
                      <a:avLst/>
                    </a:prstGeom>
                    <a:noFill/>
                    <a:ln>
                      <a:noFill/>
                    </a:ln>
                  </pic:spPr>
                </pic:pic>
              </a:graphicData>
            </a:graphic>
          </wp:inline>
        </w:drawing>
      </w:r>
    </w:p>
    <w:p w14:paraId="329750FB" w14:textId="77777777" w:rsidR="0093332E" w:rsidRPr="00E872F9" w:rsidRDefault="0093332E" w:rsidP="0093332E">
      <w:pPr>
        <w:pStyle w:val="Heading3"/>
        <w:ind w:left="851" w:hanging="851"/>
      </w:pPr>
      <w:bookmarkStart w:id="46" w:name="_Toc118460193"/>
      <w:r w:rsidRPr="00E872F9">
        <w:t xml:space="preserve">Actual versus </w:t>
      </w:r>
      <w:r w:rsidR="00285583">
        <w:t>e</w:t>
      </w:r>
      <w:r w:rsidRPr="00E872F9">
        <w:t xml:space="preserve">xpected </w:t>
      </w:r>
      <w:r w:rsidR="00285583">
        <w:t>p</w:t>
      </w:r>
      <w:r w:rsidRPr="00E872F9">
        <w:t xml:space="preserve">articipant </w:t>
      </w:r>
      <w:r w:rsidR="00285583">
        <w:t>n</w:t>
      </w:r>
      <w:r w:rsidRPr="00E872F9">
        <w:t>umbers</w:t>
      </w:r>
      <w:bookmarkEnd w:id="46"/>
      <w:r w:rsidRPr="00E872F9">
        <w:t xml:space="preserve"> </w:t>
      </w:r>
    </w:p>
    <w:p w14:paraId="720A709E" w14:textId="77777777" w:rsidR="008D1F3D" w:rsidRPr="00AF01F1" w:rsidRDefault="008D1F3D" w:rsidP="008D1F3D">
      <w:pPr>
        <w:pStyle w:val="FSRHeading5"/>
      </w:pPr>
      <w:r w:rsidRPr="00AF01F1">
        <w:t>The net increase in Scheme participants was higher than expected</w:t>
      </w:r>
      <w:r w:rsidRPr="00AF01F1">
        <w:rPr>
          <w:rStyle w:val="FootnoteReference"/>
          <w:i w:val="0"/>
        </w:rPr>
        <w:footnoteReference w:id="47"/>
      </w:r>
    </w:p>
    <w:p w14:paraId="158F4986" w14:textId="77777777" w:rsidR="0093332E" w:rsidRDefault="0093332E" w:rsidP="0093332E">
      <w:pPr>
        <w:pStyle w:val="FSRnormal"/>
      </w:pPr>
      <w:r w:rsidRPr="003D6B97">
        <w:t xml:space="preserve">The Scheme population of 534,655 active participants </w:t>
      </w:r>
      <w:r>
        <w:t>at</w:t>
      </w:r>
      <w:r w:rsidRPr="003D6B97">
        <w:t xml:space="preserve"> 30 June 2022 was 0.8% (or 4,198) higher than that expected from the previous review</w:t>
      </w:r>
      <w:r w:rsidR="00B92AB4">
        <w:t>. T</w:t>
      </w:r>
      <w:r w:rsidRPr="003D6B97">
        <w:t xml:space="preserve">he net increase in participants </w:t>
      </w:r>
      <w:r w:rsidR="00B92AB4">
        <w:t>over</w:t>
      </w:r>
      <w:r w:rsidRPr="003D6B97">
        <w:t xml:space="preserve"> the 12 months to 30 June 2022 </w:t>
      </w:r>
      <w:r w:rsidR="00B92AB4">
        <w:t>was 68,036, or</w:t>
      </w:r>
      <w:r w:rsidRPr="003D6B97">
        <w:t xml:space="preserve"> 6.6% higher</w:t>
      </w:r>
      <w:r w:rsidR="00B92AB4">
        <w:t xml:space="preserve"> than expected</w:t>
      </w:r>
      <w:r w:rsidRPr="003D6B97">
        <w:t>.</w:t>
      </w:r>
    </w:p>
    <w:p w14:paraId="3504515A" w14:textId="77777777" w:rsidR="0093332E" w:rsidRPr="00347E20" w:rsidRDefault="0093332E" w:rsidP="0093332E">
      <w:pPr>
        <w:pStyle w:val="Tables"/>
      </w:pPr>
      <w:r w:rsidRPr="00072B81">
        <w:lastRenderedPageBreak/>
        <w:t xml:space="preserve">Table </w:t>
      </w:r>
      <w:fldSimple w:instr=" STYLEREF 2 \s ">
        <w:r w:rsidR="00A87896">
          <w:rPr>
            <w:noProof/>
          </w:rPr>
          <w:t>4</w:t>
        </w:r>
      </w:fldSimple>
      <w:r w:rsidR="00A87896">
        <w:t>.</w:t>
      </w:r>
      <w:fldSimple w:instr=" SEQ Table \* ARABIC \s 2 ">
        <w:r w:rsidR="00A87896">
          <w:rPr>
            <w:noProof/>
          </w:rPr>
          <w:t>1</w:t>
        </w:r>
      </w:fldSimple>
      <w:r>
        <w:t xml:space="preserve">: </w:t>
      </w:r>
      <w:r w:rsidRPr="004E667E">
        <w:rPr>
          <w:rFonts w:eastAsiaTheme="minorEastAsia"/>
        </w:rPr>
        <w:t xml:space="preserve">Actual versus expected total participant numbers and net increase </w:t>
      </w:r>
      <w:r>
        <w:rPr>
          <w:rFonts w:eastAsiaTheme="minorEastAsia"/>
        </w:rPr>
        <w:t>at</w:t>
      </w:r>
      <w:r w:rsidRPr="004E667E">
        <w:rPr>
          <w:rFonts w:eastAsiaTheme="minorEastAsia"/>
        </w:rPr>
        <w:t xml:space="preserve"> 30 June 2022</w:t>
      </w:r>
    </w:p>
    <w:tbl>
      <w:tblPr>
        <w:tblW w:w="8970" w:type="dxa"/>
        <w:tblLayout w:type="fixed"/>
        <w:tblLook w:val="04A0" w:firstRow="1" w:lastRow="0" w:firstColumn="1" w:lastColumn="0" w:noHBand="0" w:noVBand="1"/>
      </w:tblPr>
      <w:tblGrid>
        <w:gridCol w:w="3712"/>
        <w:gridCol w:w="1119"/>
        <w:gridCol w:w="1241"/>
        <w:gridCol w:w="1380"/>
        <w:gridCol w:w="1518"/>
      </w:tblGrid>
      <w:tr w:rsidR="0093332E" w:rsidRPr="00AC4B75" w14:paraId="78B7D5F9" w14:textId="77777777" w:rsidTr="008E21F6">
        <w:trPr>
          <w:trHeight w:val="285"/>
          <w:tblHeader/>
        </w:trPr>
        <w:tc>
          <w:tcPr>
            <w:tcW w:w="3712" w:type="dxa"/>
            <w:tcBorders>
              <w:top w:val="nil"/>
              <w:left w:val="nil"/>
              <w:bottom w:val="nil"/>
              <w:right w:val="nil"/>
            </w:tcBorders>
            <w:shd w:val="clear" w:color="000000" w:fill="6B2976"/>
            <w:noWrap/>
            <w:vAlign w:val="center"/>
            <w:hideMark/>
          </w:tcPr>
          <w:p w14:paraId="01B1C1F7" w14:textId="77777777" w:rsidR="0093332E" w:rsidRPr="00DC5E78" w:rsidRDefault="0093332E" w:rsidP="008E21F6">
            <w:pPr>
              <w:spacing w:after="0" w:line="240" w:lineRule="auto"/>
              <w:rPr>
                <w:rFonts w:eastAsia="Times New Roman" w:cs="Arial"/>
                <w:b/>
                <w:bCs/>
                <w:color w:val="FFFFFF"/>
                <w:sz w:val="20"/>
                <w:szCs w:val="20"/>
              </w:rPr>
            </w:pPr>
            <w:r w:rsidRPr="00DC5E78">
              <w:rPr>
                <w:rFonts w:eastAsia="Times New Roman" w:cs="Arial"/>
                <w:b/>
                <w:bCs/>
                <w:color w:val="FFFFFF"/>
                <w:sz w:val="20"/>
                <w:szCs w:val="20"/>
              </w:rPr>
              <w:t> </w:t>
            </w:r>
            <w:r>
              <w:rPr>
                <w:rFonts w:eastAsia="Times New Roman" w:cs="Arial"/>
                <w:b/>
                <w:bCs/>
                <w:color w:val="FFFFFF"/>
                <w:sz w:val="20"/>
                <w:szCs w:val="20"/>
              </w:rPr>
              <w:t>At</w:t>
            </w:r>
            <w:r w:rsidRPr="00DC5E78">
              <w:rPr>
                <w:rFonts w:eastAsia="Times New Roman" w:cs="Arial"/>
                <w:b/>
                <w:bCs/>
                <w:color w:val="FFFFFF"/>
                <w:sz w:val="20"/>
                <w:szCs w:val="20"/>
              </w:rPr>
              <w:t xml:space="preserve"> 30 June 2022</w:t>
            </w:r>
          </w:p>
        </w:tc>
        <w:tc>
          <w:tcPr>
            <w:tcW w:w="1119" w:type="dxa"/>
            <w:tcBorders>
              <w:top w:val="nil"/>
              <w:left w:val="nil"/>
              <w:bottom w:val="nil"/>
              <w:right w:val="nil"/>
            </w:tcBorders>
            <w:shd w:val="clear" w:color="000000" w:fill="6B2976"/>
            <w:vAlign w:val="center"/>
            <w:hideMark/>
          </w:tcPr>
          <w:p w14:paraId="1B6AD329"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Actual</w:t>
            </w:r>
          </w:p>
        </w:tc>
        <w:tc>
          <w:tcPr>
            <w:tcW w:w="1241" w:type="dxa"/>
            <w:tcBorders>
              <w:top w:val="nil"/>
              <w:left w:val="nil"/>
              <w:bottom w:val="nil"/>
              <w:right w:val="nil"/>
            </w:tcBorders>
            <w:shd w:val="clear" w:color="000000" w:fill="6B2976"/>
            <w:vAlign w:val="center"/>
            <w:hideMark/>
          </w:tcPr>
          <w:p w14:paraId="6C3388BC"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Expected</w:t>
            </w:r>
          </w:p>
        </w:tc>
        <w:tc>
          <w:tcPr>
            <w:tcW w:w="1380" w:type="dxa"/>
            <w:tcBorders>
              <w:top w:val="nil"/>
              <w:left w:val="nil"/>
              <w:bottom w:val="nil"/>
              <w:right w:val="nil"/>
            </w:tcBorders>
            <w:shd w:val="clear" w:color="000000" w:fill="6B2976"/>
            <w:vAlign w:val="center"/>
            <w:hideMark/>
          </w:tcPr>
          <w:p w14:paraId="10119806"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Difference</w:t>
            </w:r>
          </w:p>
        </w:tc>
        <w:tc>
          <w:tcPr>
            <w:tcW w:w="1518" w:type="dxa"/>
            <w:tcBorders>
              <w:top w:val="nil"/>
              <w:left w:val="nil"/>
              <w:bottom w:val="nil"/>
              <w:right w:val="nil"/>
            </w:tcBorders>
            <w:shd w:val="clear" w:color="000000" w:fill="6B2976"/>
            <w:vAlign w:val="center"/>
            <w:hideMark/>
          </w:tcPr>
          <w:p w14:paraId="0E01DE3F"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%Difference</w:t>
            </w:r>
          </w:p>
        </w:tc>
      </w:tr>
      <w:tr w:rsidR="0093332E" w:rsidRPr="00AC4B75" w14:paraId="14B66A83" w14:textId="77777777" w:rsidTr="008E21F6">
        <w:trPr>
          <w:trHeight w:val="285"/>
          <w:tblHeader/>
        </w:trPr>
        <w:tc>
          <w:tcPr>
            <w:tcW w:w="3712" w:type="dxa"/>
            <w:tcBorders>
              <w:top w:val="nil"/>
              <w:left w:val="nil"/>
              <w:right w:val="nil"/>
            </w:tcBorders>
            <w:shd w:val="clear" w:color="auto" w:fill="auto"/>
            <w:noWrap/>
            <w:vAlign w:val="center"/>
            <w:hideMark/>
          </w:tcPr>
          <w:p w14:paraId="3F98AF69" w14:textId="77777777" w:rsidR="0093332E" w:rsidRPr="00DC5E78" w:rsidRDefault="0093332E" w:rsidP="008E21F6">
            <w:pPr>
              <w:spacing w:after="0" w:line="240" w:lineRule="auto"/>
              <w:rPr>
                <w:rFonts w:eastAsia="Times New Roman" w:cs="Arial"/>
                <w:b/>
                <w:bCs/>
                <w:color w:val="000000"/>
                <w:sz w:val="20"/>
                <w:szCs w:val="20"/>
              </w:rPr>
            </w:pPr>
            <w:r w:rsidRPr="00DC5E78">
              <w:rPr>
                <w:rFonts w:eastAsia="Times New Roman" w:cs="Arial"/>
                <w:b/>
                <w:bCs/>
                <w:color w:val="000000"/>
                <w:sz w:val="20"/>
                <w:szCs w:val="20"/>
              </w:rPr>
              <w:t>Participant Numbers</w:t>
            </w:r>
          </w:p>
        </w:tc>
        <w:tc>
          <w:tcPr>
            <w:tcW w:w="1119" w:type="dxa"/>
            <w:tcBorders>
              <w:top w:val="nil"/>
              <w:left w:val="nil"/>
              <w:right w:val="nil"/>
            </w:tcBorders>
            <w:shd w:val="clear" w:color="auto" w:fill="auto"/>
            <w:noWrap/>
            <w:vAlign w:val="center"/>
            <w:hideMark/>
          </w:tcPr>
          <w:p w14:paraId="5F8E3605"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534,655</w:t>
            </w:r>
          </w:p>
        </w:tc>
        <w:tc>
          <w:tcPr>
            <w:tcW w:w="1241" w:type="dxa"/>
            <w:tcBorders>
              <w:top w:val="nil"/>
              <w:left w:val="nil"/>
              <w:right w:val="nil"/>
            </w:tcBorders>
            <w:shd w:val="clear" w:color="auto" w:fill="auto"/>
            <w:noWrap/>
            <w:vAlign w:val="center"/>
            <w:hideMark/>
          </w:tcPr>
          <w:p w14:paraId="6DBB46B7"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530,457</w:t>
            </w:r>
          </w:p>
        </w:tc>
        <w:tc>
          <w:tcPr>
            <w:tcW w:w="1380" w:type="dxa"/>
            <w:tcBorders>
              <w:top w:val="nil"/>
              <w:left w:val="nil"/>
              <w:right w:val="nil"/>
            </w:tcBorders>
            <w:shd w:val="clear" w:color="auto" w:fill="auto"/>
            <w:noWrap/>
            <w:vAlign w:val="center"/>
            <w:hideMark/>
          </w:tcPr>
          <w:p w14:paraId="4494BFB5"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4,198</w:t>
            </w:r>
          </w:p>
        </w:tc>
        <w:tc>
          <w:tcPr>
            <w:tcW w:w="1518" w:type="dxa"/>
            <w:tcBorders>
              <w:top w:val="nil"/>
              <w:left w:val="nil"/>
              <w:right w:val="nil"/>
            </w:tcBorders>
            <w:shd w:val="clear" w:color="auto" w:fill="auto"/>
            <w:noWrap/>
            <w:vAlign w:val="center"/>
            <w:hideMark/>
          </w:tcPr>
          <w:p w14:paraId="198B6BE2"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0.8%</w:t>
            </w:r>
          </w:p>
        </w:tc>
      </w:tr>
      <w:tr w:rsidR="0093332E" w:rsidRPr="00AC4B75" w14:paraId="687539ED" w14:textId="77777777" w:rsidTr="00E55F75">
        <w:trPr>
          <w:trHeight w:val="285"/>
          <w:tblHeader/>
        </w:trPr>
        <w:tc>
          <w:tcPr>
            <w:tcW w:w="3712" w:type="dxa"/>
            <w:tcBorders>
              <w:top w:val="nil"/>
              <w:left w:val="nil"/>
              <w:bottom w:val="single" w:sz="4" w:space="0" w:color="auto"/>
              <w:right w:val="nil"/>
            </w:tcBorders>
            <w:shd w:val="clear" w:color="auto" w:fill="BFBFBF" w:themeFill="background1" w:themeFillShade="BF"/>
            <w:noWrap/>
            <w:vAlign w:val="center"/>
            <w:hideMark/>
          </w:tcPr>
          <w:p w14:paraId="3520D9EA" w14:textId="77777777" w:rsidR="0093332E" w:rsidRPr="00DC5E78" w:rsidRDefault="0093332E" w:rsidP="008E21F6">
            <w:pPr>
              <w:spacing w:after="0" w:line="240" w:lineRule="auto"/>
              <w:rPr>
                <w:rFonts w:eastAsia="Times New Roman" w:cs="Arial"/>
                <w:b/>
                <w:bCs/>
                <w:color w:val="000000"/>
                <w:sz w:val="20"/>
                <w:szCs w:val="20"/>
              </w:rPr>
            </w:pPr>
            <w:r w:rsidRPr="00DC5E78">
              <w:rPr>
                <w:rFonts w:eastAsia="Times New Roman" w:cs="Arial"/>
                <w:b/>
                <w:bCs/>
                <w:color w:val="000000" w:themeColor="text1"/>
                <w:sz w:val="20"/>
                <w:szCs w:val="20"/>
              </w:rPr>
              <w:t>Net Increase over pa</w:t>
            </w:r>
            <w:r w:rsidR="00727135">
              <w:rPr>
                <w:rFonts w:eastAsia="Times New Roman" w:cs="Arial"/>
                <w:b/>
                <w:bCs/>
                <w:color w:val="000000" w:themeColor="text1"/>
                <w:sz w:val="20"/>
                <w:szCs w:val="20"/>
              </w:rPr>
              <w:t>s</w:t>
            </w:r>
            <w:r w:rsidRPr="00DC5E78">
              <w:rPr>
                <w:rFonts w:eastAsia="Times New Roman" w:cs="Arial"/>
                <w:b/>
                <w:bCs/>
                <w:color w:val="000000" w:themeColor="text1"/>
                <w:sz w:val="20"/>
                <w:szCs w:val="20"/>
              </w:rPr>
              <w:t>t 12 months</w:t>
            </w:r>
          </w:p>
        </w:tc>
        <w:tc>
          <w:tcPr>
            <w:tcW w:w="1119" w:type="dxa"/>
            <w:tcBorders>
              <w:top w:val="nil"/>
              <w:left w:val="nil"/>
              <w:bottom w:val="single" w:sz="4" w:space="0" w:color="auto"/>
              <w:right w:val="nil"/>
            </w:tcBorders>
            <w:shd w:val="clear" w:color="auto" w:fill="BFBFBF" w:themeFill="background1" w:themeFillShade="BF"/>
            <w:noWrap/>
            <w:vAlign w:val="center"/>
            <w:hideMark/>
          </w:tcPr>
          <w:p w14:paraId="4854B3EF"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68,036</w:t>
            </w:r>
          </w:p>
        </w:tc>
        <w:tc>
          <w:tcPr>
            <w:tcW w:w="1241" w:type="dxa"/>
            <w:tcBorders>
              <w:top w:val="nil"/>
              <w:left w:val="nil"/>
              <w:bottom w:val="single" w:sz="4" w:space="0" w:color="auto"/>
              <w:right w:val="nil"/>
            </w:tcBorders>
            <w:shd w:val="clear" w:color="auto" w:fill="BFBFBF" w:themeFill="background1" w:themeFillShade="BF"/>
            <w:noWrap/>
            <w:vAlign w:val="center"/>
            <w:hideMark/>
          </w:tcPr>
          <w:p w14:paraId="7487AE10"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63,838</w:t>
            </w:r>
          </w:p>
        </w:tc>
        <w:tc>
          <w:tcPr>
            <w:tcW w:w="1380" w:type="dxa"/>
            <w:tcBorders>
              <w:top w:val="nil"/>
              <w:left w:val="nil"/>
              <w:bottom w:val="single" w:sz="4" w:space="0" w:color="auto"/>
              <w:right w:val="nil"/>
            </w:tcBorders>
            <w:shd w:val="clear" w:color="auto" w:fill="BFBFBF" w:themeFill="background1" w:themeFillShade="BF"/>
            <w:noWrap/>
            <w:vAlign w:val="center"/>
            <w:hideMark/>
          </w:tcPr>
          <w:p w14:paraId="142D9EA4"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4,198</w:t>
            </w:r>
          </w:p>
        </w:tc>
        <w:tc>
          <w:tcPr>
            <w:tcW w:w="1518" w:type="dxa"/>
            <w:tcBorders>
              <w:top w:val="nil"/>
              <w:left w:val="nil"/>
              <w:bottom w:val="single" w:sz="4" w:space="0" w:color="auto"/>
              <w:right w:val="nil"/>
            </w:tcBorders>
            <w:shd w:val="clear" w:color="auto" w:fill="BFBFBF" w:themeFill="background1" w:themeFillShade="BF"/>
            <w:noWrap/>
            <w:vAlign w:val="center"/>
            <w:hideMark/>
          </w:tcPr>
          <w:p w14:paraId="352BB2C0"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6.6%</w:t>
            </w:r>
          </w:p>
        </w:tc>
      </w:tr>
    </w:tbl>
    <w:p w14:paraId="743C328E" w14:textId="77777777" w:rsidR="0093332E" w:rsidRPr="00EA219A" w:rsidRDefault="0093332E" w:rsidP="0093332E">
      <w:pPr>
        <w:pStyle w:val="FSRnormal"/>
      </w:pPr>
      <w:r w:rsidRPr="00286E9D">
        <w:t xml:space="preserve">The comparison of actual </w:t>
      </w:r>
      <w:r>
        <w:t xml:space="preserve">net increase in participants </w:t>
      </w:r>
      <w:r w:rsidRPr="00286E9D">
        <w:t xml:space="preserve">to that expected from the previous review is shown </w:t>
      </w:r>
      <w:r w:rsidRPr="00EA219A">
        <w:t xml:space="preserve">in </w:t>
      </w:r>
      <w:r w:rsidR="00564FA7" w:rsidRPr="00B74097">
        <w:t xml:space="preserve">Table </w:t>
      </w:r>
      <w:r w:rsidR="00564FA7">
        <w:rPr>
          <w:noProof/>
        </w:rPr>
        <w:t>4</w:t>
      </w:r>
      <w:r w:rsidR="00564FA7">
        <w:t>.</w:t>
      </w:r>
      <w:r w:rsidR="00564FA7">
        <w:rPr>
          <w:noProof/>
        </w:rPr>
        <w:t>2</w:t>
      </w:r>
      <w:r w:rsidRPr="00EA219A">
        <w:t xml:space="preserve">, </w:t>
      </w:r>
      <w:r w:rsidR="00564FA7">
        <w:t xml:space="preserve">Table </w:t>
      </w:r>
      <w:r w:rsidR="00564FA7">
        <w:rPr>
          <w:noProof/>
        </w:rPr>
        <w:t>4</w:t>
      </w:r>
      <w:r w:rsidR="00564FA7">
        <w:t>.</w:t>
      </w:r>
      <w:r w:rsidR="00564FA7">
        <w:rPr>
          <w:noProof/>
        </w:rPr>
        <w:t>3</w:t>
      </w:r>
      <w:r w:rsidRPr="00EA219A">
        <w:t xml:space="preserve">, </w:t>
      </w:r>
      <w:r w:rsidR="00564FA7">
        <w:t xml:space="preserve">Table </w:t>
      </w:r>
      <w:r w:rsidR="00564FA7">
        <w:rPr>
          <w:noProof/>
        </w:rPr>
        <w:t>4</w:t>
      </w:r>
      <w:r w:rsidR="00564FA7">
        <w:t>.</w:t>
      </w:r>
      <w:r w:rsidR="00564FA7">
        <w:rPr>
          <w:noProof/>
        </w:rPr>
        <w:t>4</w:t>
      </w:r>
      <w:r w:rsidRPr="00EA219A">
        <w:t xml:space="preserve">, and </w:t>
      </w:r>
      <w:r w:rsidR="00564FA7" w:rsidRPr="00621D33">
        <w:t xml:space="preserve">Table </w:t>
      </w:r>
      <w:r w:rsidR="00564FA7">
        <w:rPr>
          <w:noProof/>
        </w:rPr>
        <w:t>4</w:t>
      </w:r>
      <w:r w:rsidR="00564FA7">
        <w:t>.</w:t>
      </w:r>
      <w:r w:rsidR="00564FA7">
        <w:rPr>
          <w:noProof/>
        </w:rPr>
        <w:t>5</w:t>
      </w:r>
      <w:r w:rsidRPr="00EA219A">
        <w:t xml:space="preserve"> by key participant characteristics (participants with SIL and without SIL, age group, primary </w:t>
      </w:r>
      <w:r>
        <w:t>disability group</w:t>
      </w:r>
      <w:r w:rsidRPr="00EA219A">
        <w:t xml:space="preserve"> and reported level of function respectively).</w:t>
      </w:r>
    </w:p>
    <w:p w14:paraId="446C5C49" w14:textId="77777777" w:rsidR="0093332E" w:rsidRDefault="003A3F9D" w:rsidP="0093332E">
      <w:pPr>
        <w:pStyle w:val="FSRnormal"/>
      </w:pPr>
      <w:r w:rsidRPr="00B74097">
        <w:t xml:space="preserve">Table </w:t>
      </w:r>
      <w:r>
        <w:rPr>
          <w:noProof/>
        </w:rPr>
        <w:t>4</w:t>
      </w:r>
      <w:r>
        <w:t>.</w:t>
      </w:r>
      <w:r>
        <w:rPr>
          <w:noProof/>
        </w:rPr>
        <w:t>2</w:t>
      </w:r>
      <w:r w:rsidR="0093332E" w:rsidRPr="00EA219A">
        <w:t xml:space="preserve"> illustrates that </w:t>
      </w:r>
      <w:r w:rsidR="0093332E" w:rsidRPr="00EA219A">
        <w:rPr>
          <w:rFonts w:cs="Arial"/>
        </w:rPr>
        <w:t>the</w:t>
      </w:r>
      <w:r w:rsidR="0093332E">
        <w:rPr>
          <w:rFonts w:cs="Arial"/>
        </w:rPr>
        <w:t xml:space="preserve"> net increase in participants with SIL (including those who were already in the Scheme but transferred to receiving SIL during the year) was </w:t>
      </w:r>
      <w:r w:rsidR="0093332E" w:rsidRPr="003C4520">
        <w:t>more (</w:t>
      </w:r>
      <w:r w:rsidR="0093332E">
        <w:t>1,295 or 116.3</w:t>
      </w:r>
      <w:r w:rsidR="0093332E" w:rsidRPr="003C4520">
        <w:t>%) than</w:t>
      </w:r>
      <w:r w:rsidR="0093332E">
        <w:t xml:space="preserve"> </w:t>
      </w:r>
      <w:r w:rsidR="0093332E" w:rsidRPr="003C4520">
        <w:t>expected</w:t>
      </w:r>
      <w:r w:rsidR="0093332E">
        <w:t>.</w:t>
      </w:r>
      <w:r w:rsidR="0093332E" w:rsidRPr="002A3FCF">
        <w:t xml:space="preserve"> This reflects a higher number of participants mov</w:t>
      </w:r>
      <w:r w:rsidR="0093332E">
        <w:t>ing in</w:t>
      </w:r>
      <w:r w:rsidR="0093332E" w:rsidRPr="002A3FCF">
        <w:t xml:space="preserve">to SIL </w:t>
      </w:r>
      <w:r w:rsidR="0093332E">
        <w:t xml:space="preserve">arrangements </w:t>
      </w:r>
      <w:r w:rsidR="0093332E" w:rsidRPr="002A3FCF">
        <w:t>due to the clearing of backlogs of home and living decisions.</w:t>
      </w:r>
    </w:p>
    <w:p w14:paraId="0C1D292D" w14:textId="77777777" w:rsidR="0093332E" w:rsidRDefault="0093332E" w:rsidP="0093332E">
      <w:pPr>
        <w:pStyle w:val="FSRnormal"/>
      </w:pPr>
      <w:r w:rsidRPr="00ED4DDE">
        <w:t>Due to operational changes since July 2020, there has been a</w:t>
      </w:r>
      <w:r w:rsidRPr="00DC5E78">
        <w:t xml:space="preserve"> known</w:t>
      </w:r>
      <w:r w:rsidRPr="00ED4DDE">
        <w:t xml:space="preserve"> issue with identifying </w:t>
      </w:r>
      <w:r w:rsidRPr="00DC5E78">
        <w:t xml:space="preserve">participants </w:t>
      </w:r>
      <w:r>
        <w:t>with SIL</w:t>
      </w:r>
      <w:r w:rsidRPr="00ED4DDE">
        <w:t xml:space="preserve">. </w:t>
      </w:r>
      <w:r w:rsidRPr="00DC5E78">
        <w:t>From</w:t>
      </w:r>
      <w:r w:rsidRPr="00ED4DDE">
        <w:t xml:space="preserve"> May 2022</w:t>
      </w:r>
      <w:r w:rsidRPr="00DC5E78">
        <w:t xml:space="preserve"> onwards</w:t>
      </w:r>
      <w:r w:rsidRPr="00ED4DDE">
        <w:t xml:space="preserve">, an automated and more accurate method has been applied in identifying participants </w:t>
      </w:r>
      <w:r>
        <w:t>with</w:t>
      </w:r>
      <w:r w:rsidRPr="00ED4DDE">
        <w:t xml:space="preserve"> SIL, leading to restatement of both the actual and expected number of participants </w:t>
      </w:r>
      <w:r>
        <w:t>with</w:t>
      </w:r>
      <w:r w:rsidRPr="00ED4DDE">
        <w:t xml:space="preserve"> SIL from July 2020 to April 2022. </w:t>
      </w:r>
      <w:r w:rsidRPr="000C4AD7">
        <w:t>This issue is now resolved</w:t>
      </w:r>
      <w:r w:rsidR="00147ECF">
        <w:t>,</w:t>
      </w:r>
      <w:r w:rsidRPr="000C4AD7">
        <w:t xml:space="preserve"> </w:t>
      </w:r>
      <w:r w:rsidRPr="00DC5E78">
        <w:t xml:space="preserve">therefore no </w:t>
      </w:r>
      <w:r w:rsidRPr="000C4AD7">
        <w:t>further restatement is expected</w:t>
      </w:r>
      <w:r w:rsidRPr="00DC5E78">
        <w:t xml:space="preserve"> going forward</w:t>
      </w:r>
      <w:r w:rsidR="00B92AB4">
        <w:t>.</w:t>
      </w:r>
      <w:r>
        <w:t xml:space="preserve"> </w:t>
      </w:r>
      <w:r>
        <w:rPr>
          <w:rStyle w:val="FootnoteReference"/>
        </w:rPr>
        <w:footnoteReference w:id="48"/>
      </w:r>
      <w:r w:rsidRPr="000C4AD7">
        <w:t xml:space="preserve"> </w:t>
      </w:r>
    </w:p>
    <w:p w14:paraId="55C14FDB" w14:textId="77777777" w:rsidR="0093332E" w:rsidRPr="00B74097" w:rsidRDefault="0093332E" w:rsidP="0093332E">
      <w:pPr>
        <w:pStyle w:val="Tables"/>
      </w:pPr>
      <w:bookmarkStart w:id="47" w:name="_Ref112425489"/>
      <w:r w:rsidRPr="00B74097">
        <w:t xml:space="preserve">Table </w:t>
      </w:r>
      <w:fldSimple w:instr=" STYLEREF 2 \s ">
        <w:r w:rsidR="00A87896">
          <w:rPr>
            <w:noProof/>
          </w:rPr>
          <w:t>4</w:t>
        </w:r>
      </w:fldSimple>
      <w:r w:rsidR="00A87896">
        <w:t>.</w:t>
      </w:r>
      <w:fldSimple w:instr=" SEQ Table \* ARABIC \s 2 ">
        <w:r w:rsidR="00A87896">
          <w:rPr>
            <w:noProof/>
          </w:rPr>
          <w:t>2</w:t>
        </w:r>
      </w:fldSimple>
      <w:bookmarkEnd w:id="47"/>
      <w:r w:rsidRPr="00B74097">
        <w:t xml:space="preserve">: Actual versus expected net increase in number of participants with SIL </w:t>
      </w:r>
      <w:r>
        <w:t>at</w:t>
      </w:r>
      <w:r w:rsidRPr="00B74097">
        <w:t xml:space="preserve"> 30 June 2022</w:t>
      </w:r>
    </w:p>
    <w:tbl>
      <w:tblPr>
        <w:tblW w:w="8400" w:type="dxa"/>
        <w:tblLook w:val="04A0" w:firstRow="1" w:lastRow="0" w:firstColumn="1" w:lastColumn="0" w:noHBand="0" w:noVBand="1"/>
      </w:tblPr>
      <w:tblGrid>
        <w:gridCol w:w="1740"/>
        <w:gridCol w:w="1720"/>
        <w:gridCol w:w="1720"/>
        <w:gridCol w:w="1560"/>
        <w:gridCol w:w="1660"/>
      </w:tblGrid>
      <w:tr w:rsidR="0093332E" w:rsidRPr="00BB0373" w14:paraId="2B55247D" w14:textId="77777777" w:rsidTr="008E21F6">
        <w:trPr>
          <w:trHeight w:val="397"/>
          <w:tblHeader/>
        </w:trPr>
        <w:tc>
          <w:tcPr>
            <w:tcW w:w="1740" w:type="dxa"/>
            <w:tcBorders>
              <w:top w:val="nil"/>
              <w:left w:val="nil"/>
              <w:bottom w:val="nil"/>
              <w:right w:val="nil"/>
            </w:tcBorders>
            <w:shd w:val="clear" w:color="000000" w:fill="6B2976"/>
            <w:vAlign w:val="center"/>
            <w:hideMark/>
          </w:tcPr>
          <w:p w14:paraId="74215A59" w14:textId="77777777" w:rsidR="0093332E" w:rsidRPr="00DC5E78" w:rsidRDefault="0093332E" w:rsidP="008E21F6">
            <w:pPr>
              <w:spacing w:after="0" w:line="240" w:lineRule="auto"/>
              <w:rPr>
                <w:rFonts w:eastAsia="Times New Roman" w:cs="Arial"/>
                <w:b/>
                <w:bCs/>
                <w:color w:val="FFFFFF"/>
                <w:sz w:val="20"/>
                <w:szCs w:val="20"/>
              </w:rPr>
            </w:pPr>
            <w:r w:rsidRPr="00DC5E78">
              <w:rPr>
                <w:rFonts w:eastAsia="Times New Roman" w:cs="Arial"/>
                <w:b/>
                <w:bCs/>
                <w:color w:val="FFFFFF"/>
                <w:sz w:val="20"/>
                <w:szCs w:val="20"/>
              </w:rPr>
              <w:t>SIL Status</w:t>
            </w:r>
          </w:p>
        </w:tc>
        <w:tc>
          <w:tcPr>
            <w:tcW w:w="1720" w:type="dxa"/>
            <w:tcBorders>
              <w:top w:val="nil"/>
              <w:left w:val="nil"/>
              <w:bottom w:val="nil"/>
              <w:right w:val="nil"/>
            </w:tcBorders>
            <w:shd w:val="clear" w:color="000000" w:fill="6B2976"/>
            <w:vAlign w:val="center"/>
            <w:hideMark/>
          </w:tcPr>
          <w:p w14:paraId="3E9407B6"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Actual</w:t>
            </w:r>
          </w:p>
        </w:tc>
        <w:tc>
          <w:tcPr>
            <w:tcW w:w="1720" w:type="dxa"/>
            <w:tcBorders>
              <w:top w:val="nil"/>
              <w:left w:val="nil"/>
              <w:bottom w:val="nil"/>
              <w:right w:val="nil"/>
            </w:tcBorders>
            <w:shd w:val="clear" w:color="000000" w:fill="6B2976"/>
            <w:vAlign w:val="center"/>
            <w:hideMark/>
          </w:tcPr>
          <w:p w14:paraId="4FF8A2DD"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Expected</w:t>
            </w:r>
          </w:p>
        </w:tc>
        <w:tc>
          <w:tcPr>
            <w:tcW w:w="1560" w:type="dxa"/>
            <w:tcBorders>
              <w:top w:val="nil"/>
              <w:left w:val="nil"/>
              <w:bottom w:val="nil"/>
              <w:right w:val="nil"/>
            </w:tcBorders>
            <w:shd w:val="clear" w:color="000000" w:fill="6B2976"/>
            <w:vAlign w:val="center"/>
            <w:hideMark/>
          </w:tcPr>
          <w:p w14:paraId="108CD8A5"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Difference</w:t>
            </w:r>
          </w:p>
        </w:tc>
        <w:tc>
          <w:tcPr>
            <w:tcW w:w="1660" w:type="dxa"/>
            <w:tcBorders>
              <w:top w:val="nil"/>
              <w:left w:val="nil"/>
              <w:bottom w:val="nil"/>
              <w:right w:val="nil"/>
            </w:tcBorders>
            <w:shd w:val="clear" w:color="000000" w:fill="6B2976"/>
            <w:vAlign w:val="center"/>
            <w:hideMark/>
          </w:tcPr>
          <w:p w14:paraId="065FFC0D"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%Difference</w:t>
            </w:r>
          </w:p>
        </w:tc>
      </w:tr>
      <w:tr w:rsidR="0093332E" w:rsidRPr="00BB0373" w14:paraId="6330A35D" w14:textId="77777777" w:rsidTr="008E21F6">
        <w:trPr>
          <w:trHeight w:val="285"/>
          <w:tblHeader/>
        </w:trPr>
        <w:tc>
          <w:tcPr>
            <w:tcW w:w="1740" w:type="dxa"/>
            <w:tcBorders>
              <w:top w:val="nil"/>
              <w:left w:val="nil"/>
              <w:bottom w:val="nil"/>
              <w:right w:val="nil"/>
            </w:tcBorders>
            <w:shd w:val="clear" w:color="auto" w:fill="auto"/>
            <w:noWrap/>
            <w:vAlign w:val="center"/>
            <w:hideMark/>
          </w:tcPr>
          <w:p w14:paraId="7C6597DD" w14:textId="77777777" w:rsidR="0093332E" w:rsidRPr="00DC5E78" w:rsidRDefault="0093332E" w:rsidP="008E21F6">
            <w:pPr>
              <w:spacing w:after="0" w:line="240" w:lineRule="auto"/>
              <w:rPr>
                <w:rFonts w:eastAsia="Times New Roman" w:cs="Arial"/>
                <w:color w:val="000000"/>
                <w:sz w:val="20"/>
                <w:szCs w:val="20"/>
              </w:rPr>
            </w:pPr>
            <w:r w:rsidRPr="00DC5E78">
              <w:rPr>
                <w:rFonts w:eastAsia="Times New Roman" w:cs="Arial"/>
                <w:color w:val="000000"/>
                <w:sz w:val="20"/>
                <w:szCs w:val="20"/>
              </w:rPr>
              <w:t>SIL</w:t>
            </w:r>
          </w:p>
        </w:tc>
        <w:tc>
          <w:tcPr>
            <w:tcW w:w="1720" w:type="dxa"/>
            <w:tcBorders>
              <w:top w:val="nil"/>
              <w:left w:val="nil"/>
              <w:bottom w:val="nil"/>
              <w:right w:val="nil"/>
            </w:tcBorders>
            <w:shd w:val="clear" w:color="auto" w:fill="auto"/>
            <w:noWrap/>
            <w:vAlign w:val="center"/>
            <w:hideMark/>
          </w:tcPr>
          <w:p w14:paraId="607FEBEC"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2,408</w:t>
            </w:r>
          </w:p>
        </w:tc>
        <w:tc>
          <w:tcPr>
            <w:tcW w:w="1720" w:type="dxa"/>
            <w:tcBorders>
              <w:top w:val="nil"/>
              <w:left w:val="nil"/>
              <w:bottom w:val="nil"/>
              <w:right w:val="nil"/>
            </w:tcBorders>
            <w:shd w:val="clear" w:color="auto" w:fill="auto"/>
            <w:noWrap/>
            <w:vAlign w:val="center"/>
            <w:hideMark/>
          </w:tcPr>
          <w:p w14:paraId="268AB9A4"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1,113</w:t>
            </w:r>
          </w:p>
        </w:tc>
        <w:tc>
          <w:tcPr>
            <w:tcW w:w="1560" w:type="dxa"/>
            <w:tcBorders>
              <w:top w:val="nil"/>
              <w:left w:val="nil"/>
              <w:bottom w:val="nil"/>
              <w:right w:val="nil"/>
            </w:tcBorders>
            <w:shd w:val="clear" w:color="auto" w:fill="auto"/>
            <w:noWrap/>
            <w:vAlign w:val="center"/>
            <w:hideMark/>
          </w:tcPr>
          <w:p w14:paraId="33009A8D"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1,295</w:t>
            </w:r>
          </w:p>
        </w:tc>
        <w:tc>
          <w:tcPr>
            <w:tcW w:w="1660" w:type="dxa"/>
            <w:tcBorders>
              <w:top w:val="nil"/>
              <w:left w:val="nil"/>
              <w:bottom w:val="nil"/>
              <w:right w:val="nil"/>
            </w:tcBorders>
            <w:shd w:val="clear" w:color="auto" w:fill="auto"/>
            <w:noWrap/>
            <w:vAlign w:val="center"/>
            <w:hideMark/>
          </w:tcPr>
          <w:p w14:paraId="3935E21F"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116.3%</w:t>
            </w:r>
          </w:p>
        </w:tc>
      </w:tr>
      <w:tr w:rsidR="0093332E" w:rsidRPr="00BB0373" w14:paraId="7893F0F1" w14:textId="77777777" w:rsidTr="00E55F75">
        <w:trPr>
          <w:trHeight w:val="285"/>
          <w:tblHeader/>
        </w:trPr>
        <w:tc>
          <w:tcPr>
            <w:tcW w:w="1740" w:type="dxa"/>
            <w:tcBorders>
              <w:top w:val="nil"/>
              <w:left w:val="nil"/>
              <w:bottom w:val="nil"/>
              <w:right w:val="nil"/>
            </w:tcBorders>
            <w:shd w:val="clear" w:color="auto" w:fill="BFBFBF" w:themeFill="background1" w:themeFillShade="BF"/>
            <w:noWrap/>
            <w:vAlign w:val="center"/>
            <w:hideMark/>
          </w:tcPr>
          <w:p w14:paraId="5BF81A66" w14:textId="77777777" w:rsidR="0093332E" w:rsidRPr="00DC5E78" w:rsidRDefault="0093332E" w:rsidP="008E21F6">
            <w:pPr>
              <w:spacing w:after="0" w:line="240" w:lineRule="auto"/>
              <w:rPr>
                <w:rFonts w:eastAsia="Times New Roman" w:cs="Arial"/>
                <w:color w:val="000000"/>
                <w:sz w:val="20"/>
                <w:szCs w:val="20"/>
              </w:rPr>
            </w:pPr>
            <w:r w:rsidRPr="00DC5E78">
              <w:rPr>
                <w:rFonts w:eastAsia="Times New Roman" w:cs="Arial"/>
                <w:color w:val="000000"/>
                <w:sz w:val="20"/>
                <w:szCs w:val="20"/>
              </w:rPr>
              <w:t>Non</w:t>
            </w:r>
            <w:r>
              <w:rPr>
                <w:rFonts w:eastAsia="Times New Roman" w:cs="Arial"/>
                <w:color w:val="000000"/>
                <w:sz w:val="20"/>
                <w:szCs w:val="20"/>
              </w:rPr>
              <w:t>-</w:t>
            </w:r>
            <w:r w:rsidRPr="00DC5E78">
              <w:rPr>
                <w:rFonts w:eastAsia="Times New Roman" w:cs="Arial"/>
                <w:color w:val="000000"/>
                <w:sz w:val="20"/>
                <w:szCs w:val="20"/>
              </w:rPr>
              <w:t>SIL</w:t>
            </w:r>
          </w:p>
        </w:tc>
        <w:tc>
          <w:tcPr>
            <w:tcW w:w="1720" w:type="dxa"/>
            <w:tcBorders>
              <w:top w:val="nil"/>
              <w:left w:val="nil"/>
              <w:bottom w:val="nil"/>
              <w:right w:val="nil"/>
            </w:tcBorders>
            <w:shd w:val="clear" w:color="auto" w:fill="BFBFBF" w:themeFill="background1" w:themeFillShade="BF"/>
            <w:noWrap/>
            <w:vAlign w:val="center"/>
            <w:hideMark/>
          </w:tcPr>
          <w:p w14:paraId="58199F4F"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65,628</w:t>
            </w:r>
          </w:p>
        </w:tc>
        <w:tc>
          <w:tcPr>
            <w:tcW w:w="1720" w:type="dxa"/>
            <w:tcBorders>
              <w:top w:val="nil"/>
              <w:left w:val="nil"/>
              <w:bottom w:val="nil"/>
              <w:right w:val="nil"/>
            </w:tcBorders>
            <w:shd w:val="clear" w:color="auto" w:fill="BFBFBF" w:themeFill="background1" w:themeFillShade="BF"/>
            <w:noWrap/>
            <w:vAlign w:val="center"/>
            <w:hideMark/>
          </w:tcPr>
          <w:p w14:paraId="6A0174E2"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62,725</w:t>
            </w:r>
          </w:p>
        </w:tc>
        <w:tc>
          <w:tcPr>
            <w:tcW w:w="1560" w:type="dxa"/>
            <w:tcBorders>
              <w:top w:val="nil"/>
              <w:left w:val="nil"/>
              <w:bottom w:val="nil"/>
              <w:right w:val="nil"/>
            </w:tcBorders>
            <w:shd w:val="clear" w:color="auto" w:fill="BFBFBF" w:themeFill="background1" w:themeFillShade="BF"/>
            <w:noWrap/>
            <w:vAlign w:val="center"/>
            <w:hideMark/>
          </w:tcPr>
          <w:p w14:paraId="54EE047A"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2,903</w:t>
            </w:r>
          </w:p>
        </w:tc>
        <w:tc>
          <w:tcPr>
            <w:tcW w:w="1660" w:type="dxa"/>
            <w:tcBorders>
              <w:top w:val="nil"/>
              <w:left w:val="nil"/>
              <w:bottom w:val="nil"/>
              <w:right w:val="nil"/>
            </w:tcBorders>
            <w:shd w:val="clear" w:color="auto" w:fill="BFBFBF" w:themeFill="background1" w:themeFillShade="BF"/>
            <w:noWrap/>
            <w:vAlign w:val="center"/>
            <w:hideMark/>
          </w:tcPr>
          <w:p w14:paraId="4A2E9842"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4.6%</w:t>
            </w:r>
          </w:p>
        </w:tc>
      </w:tr>
      <w:tr w:rsidR="0093332E" w:rsidRPr="00BB0373" w14:paraId="31F0E6FC" w14:textId="77777777" w:rsidTr="008E21F6">
        <w:trPr>
          <w:trHeight w:val="300"/>
          <w:tblHeader/>
        </w:trPr>
        <w:tc>
          <w:tcPr>
            <w:tcW w:w="1740" w:type="dxa"/>
            <w:tcBorders>
              <w:top w:val="single" w:sz="4" w:space="0" w:color="auto"/>
              <w:left w:val="nil"/>
              <w:bottom w:val="single" w:sz="4" w:space="0" w:color="auto"/>
              <w:right w:val="nil"/>
            </w:tcBorders>
            <w:shd w:val="clear" w:color="auto" w:fill="D4C5D7"/>
            <w:noWrap/>
            <w:vAlign w:val="center"/>
            <w:hideMark/>
          </w:tcPr>
          <w:p w14:paraId="5E8F4D01" w14:textId="77777777" w:rsidR="0093332E" w:rsidRPr="00DC5E78" w:rsidRDefault="0093332E" w:rsidP="008E21F6">
            <w:pPr>
              <w:spacing w:after="0" w:line="240" w:lineRule="auto"/>
              <w:rPr>
                <w:rFonts w:eastAsia="Times New Roman" w:cs="Arial"/>
                <w:b/>
                <w:bCs/>
                <w:color w:val="000000"/>
                <w:sz w:val="20"/>
                <w:szCs w:val="20"/>
              </w:rPr>
            </w:pPr>
            <w:r w:rsidRPr="00DC5E78">
              <w:rPr>
                <w:rFonts w:eastAsia="Times New Roman" w:cs="Arial"/>
                <w:b/>
                <w:bCs/>
                <w:color w:val="000000"/>
                <w:sz w:val="20"/>
                <w:szCs w:val="20"/>
              </w:rPr>
              <w:t>Total</w:t>
            </w:r>
          </w:p>
        </w:tc>
        <w:tc>
          <w:tcPr>
            <w:tcW w:w="1720" w:type="dxa"/>
            <w:tcBorders>
              <w:top w:val="single" w:sz="4" w:space="0" w:color="auto"/>
              <w:left w:val="nil"/>
              <w:bottom w:val="single" w:sz="4" w:space="0" w:color="auto"/>
              <w:right w:val="nil"/>
            </w:tcBorders>
            <w:shd w:val="clear" w:color="auto" w:fill="D4C5D7"/>
            <w:noWrap/>
            <w:vAlign w:val="center"/>
            <w:hideMark/>
          </w:tcPr>
          <w:p w14:paraId="3A89F827" w14:textId="77777777" w:rsidR="0093332E" w:rsidRPr="00DC5E78" w:rsidRDefault="0093332E" w:rsidP="008E21F6">
            <w:pPr>
              <w:spacing w:after="0" w:line="240" w:lineRule="auto"/>
              <w:jc w:val="right"/>
              <w:rPr>
                <w:rFonts w:eastAsia="Times New Roman" w:cs="Arial"/>
                <w:b/>
                <w:bCs/>
                <w:color w:val="000000"/>
                <w:sz w:val="20"/>
                <w:szCs w:val="20"/>
              </w:rPr>
            </w:pPr>
            <w:r w:rsidRPr="00DC5E78">
              <w:rPr>
                <w:rFonts w:eastAsia="Times New Roman" w:cs="Arial"/>
                <w:b/>
                <w:bCs/>
                <w:color w:val="000000"/>
                <w:sz w:val="20"/>
                <w:szCs w:val="20"/>
              </w:rPr>
              <w:t>68,036</w:t>
            </w:r>
          </w:p>
        </w:tc>
        <w:tc>
          <w:tcPr>
            <w:tcW w:w="1720" w:type="dxa"/>
            <w:tcBorders>
              <w:top w:val="single" w:sz="4" w:space="0" w:color="auto"/>
              <w:left w:val="nil"/>
              <w:bottom w:val="single" w:sz="4" w:space="0" w:color="auto"/>
              <w:right w:val="nil"/>
            </w:tcBorders>
            <w:shd w:val="clear" w:color="auto" w:fill="D4C5D7"/>
            <w:noWrap/>
            <w:vAlign w:val="center"/>
            <w:hideMark/>
          </w:tcPr>
          <w:p w14:paraId="5A01D35F" w14:textId="77777777" w:rsidR="0093332E" w:rsidRPr="00DC5E78" w:rsidRDefault="0093332E" w:rsidP="008E21F6">
            <w:pPr>
              <w:spacing w:after="0" w:line="240" w:lineRule="auto"/>
              <w:jc w:val="right"/>
              <w:rPr>
                <w:rFonts w:eastAsia="Times New Roman" w:cs="Arial"/>
                <w:b/>
                <w:bCs/>
                <w:color w:val="000000"/>
                <w:sz w:val="20"/>
                <w:szCs w:val="20"/>
              </w:rPr>
            </w:pPr>
            <w:r w:rsidRPr="00DC5E78">
              <w:rPr>
                <w:rFonts w:eastAsia="Times New Roman" w:cs="Arial"/>
                <w:b/>
                <w:bCs/>
                <w:color w:val="000000"/>
                <w:sz w:val="20"/>
                <w:szCs w:val="20"/>
              </w:rPr>
              <w:t>63,838</w:t>
            </w:r>
          </w:p>
        </w:tc>
        <w:tc>
          <w:tcPr>
            <w:tcW w:w="1560" w:type="dxa"/>
            <w:tcBorders>
              <w:top w:val="single" w:sz="4" w:space="0" w:color="auto"/>
              <w:left w:val="nil"/>
              <w:bottom w:val="single" w:sz="4" w:space="0" w:color="auto"/>
              <w:right w:val="nil"/>
            </w:tcBorders>
            <w:shd w:val="clear" w:color="auto" w:fill="D4C5D7"/>
            <w:noWrap/>
            <w:vAlign w:val="center"/>
            <w:hideMark/>
          </w:tcPr>
          <w:p w14:paraId="1316D03C" w14:textId="77777777" w:rsidR="0093332E" w:rsidRPr="00DC5E78" w:rsidRDefault="0093332E" w:rsidP="008E21F6">
            <w:pPr>
              <w:spacing w:after="0" w:line="240" w:lineRule="auto"/>
              <w:jc w:val="right"/>
              <w:rPr>
                <w:rFonts w:eastAsia="Times New Roman" w:cs="Arial"/>
                <w:b/>
                <w:bCs/>
                <w:color w:val="000000"/>
                <w:sz w:val="20"/>
                <w:szCs w:val="20"/>
              </w:rPr>
            </w:pPr>
            <w:r w:rsidRPr="00DC5E78">
              <w:rPr>
                <w:rFonts w:eastAsia="Times New Roman" w:cs="Arial"/>
                <w:b/>
                <w:bCs/>
                <w:color w:val="000000"/>
                <w:sz w:val="20"/>
                <w:szCs w:val="20"/>
              </w:rPr>
              <w:t>4,198</w:t>
            </w:r>
          </w:p>
        </w:tc>
        <w:tc>
          <w:tcPr>
            <w:tcW w:w="1660" w:type="dxa"/>
            <w:tcBorders>
              <w:top w:val="single" w:sz="4" w:space="0" w:color="auto"/>
              <w:left w:val="nil"/>
              <w:bottom w:val="single" w:sz="4" w:space="0" w:color="auto"/>
              <w:right w:val="nil"/>
            </w:tcBorders>
            <w:shd w:val="clear" w:color="auto" w:fill="D4C5D7"/>
            <w:noWrap/>
            <w:vAlign w:val="center"/>
            <w:hideMark/>
          </w:tcPr>
          <w:p w14:paraId="6D3F56C6" w14:textId="77777777" w:rsidR="0093332E" w:rsidRPr="00DC5E78" w:rsidRDefault="0093332E" w:rsidP="008E21F6">
            <w:pPr>
              <w:spacing w:after="0" w:line="240" w:lineRule="auto"/>
              <w:jc w:val="right"/>
              <w:rPr>
                <w:rFonts w:eastAsia="Times New Roman" w:cs="Arial"/>
                <w:b/>
                <w:bCs/>
                <w:color w:val="000000"/>
                <w:sz w:val="20"/>
                <w:szCs w:val="20"/>
              </w:rPr>
            </w:pPr>
            <w:r w:rsidRPr="00DC5E78">
              <w:rPr>
                <w:rFonts w:eastAsia="Times New Roman" w:cs="Arial"/>
                <w:b/>
                <w:bCs/>
                <w:color w:val="000000"/>
                <w:sz w:val="20"/>
                <w:szCs w:val="20"/>
              </w:rPr>
              <w:t>6.6%</w:t>
            </w:r>
          </w:p>
        </w:tc>
      </w:tr>
    </w:tbl>
    <w:p w14:paraId="01DA3189" w14:textId="77777777" w:rsidR="0093332E" w:rsidRPr="00F849E1" w:rsidRDefault="004461D2" w:rsidP="0093332E">
      <w:pPr>
        <w:pStyle w:val="FSRnormal"/>
      </w:pPr>
      <w:r>
        <w:t xml:space="preserve">Table </w:t>
      </w:r>
      <w:r>
        <w:rPr>
          <w:noProof/>
        </w:rPr>
        <w:t>4</w:t>
      </w:r>
      <w:r>
        <w:t>.</w:t>
      </w:r>
      <w:r>
        <w:rPr>
          <w:noProof/>
        </w:rPr>
        <w:t>3</w:t>
      </w:r>
      <w:r w:rsidR="0093332E" w:rsidRPr="00EA219A">
        <w:t xml:space="preserve"> illustrates </w:t>
      </w:r>
      <w:r w:rsidR="0093332E">
        <w:t xml:space="preserve">a higher than expected </w:t>
      </w:r>
      <w:r w:rsidR="0093332E" w:rsidRPr="00EA219A">
        <w:t>net increase in participants across each age group above age 14. The biggest differences were in the cohort aged 15 to 18, wher</w:t>
      </w:r>
      <w:r w:rsidR="0093332E" w:rsidRPr="003C4520">
        <w:t xml:space="preserve">e the net increase was </w:t>
      </w:r>
      <w:r w:rsidR="0093332E">
        <w:t>1,141</w:t>
      </w:r>
      <w:r w:rsidR="0093332E" w:rsidRPr="003C4520">
        <w:t xml:space="preserve"> more </w:t>
      </w:r>
      <w:r w:rsidR="0093332E">
        <w:t>than expected</w:t>
      </w:r>
      <w:r w:rsidR="0093332E" w:rsidRPr="003C4520">
        <w:t xml:space="preserve"> (</w:t>
      </w:r>
      <w:r w:rsidR="0093332E">
        <w:t>16.3</w:t>
      </w:r>
      <w:r w:rsidR="0093332E" w:rsidRPr="003C4520">
        <w:t xml:space="preserve">% higher), followed by </w:t>
      </w:r>
      <w:r w:rsidR="0093332E">
        <w:t xml:space="preserve">participants aged </w:t>
      </w:r>
      <w:r w:rsidR="0093332E" w:rsidRPr="003C4520">
        <w:t xml:space="preserve">25 to 34 and </w:t>
      </w:r>
      <w:r w:rsidR="0093332E">
        <w:t xml:space="preserve">those aged </w:t>
      </w:r>
      <w:r w:rsidR="0093332E" w:rsidRPr="003C4520">
        <w:t xml:space="preserve">35 to 44 where the net increases were </w:t>
      </w:r>
      <w:r w:rsidR="0093332E">
        <w:t>1,005</w:t>
      </w:r>
      <w:r w:rsidR="0093332E" w:rsidRPr="003C4520">
        <w:t xml:space="preserve"> more than expected (</w:t>
      </w:r>
      <w:r w:rsidR="0093332E">
        <w:t>21.9</w:t>
      </w:r>
      <w:r w:rsidR="0093332E" w:rsidRPr="003C4520">
        <w:t>% higher</w:t>
      </w:r>
      <w:r w:rsidR="0093332E" w:rsidRPr="00F849E1">
        <w:t>) and 918 more than expected (24.6% higher) respectively.</w:t>
      </w:r>
    </w:p>
    <w:p w14:paraId="2AAAFC09" w14:textId="77777777" w:rsidR="0093332E" w:rsidRPr="00F849E1" w:rsidRDefault="0093332E" w:rsidP="0093332E">
      <w:pPr>
        <w:pStyle w:val="FSRnormal"/>
      </w:pPr>
      <w:r>
        <w:t>Despite large percentage increases above age 14, these cohorts accounted for only slightly more than half of the total participants. The net increase in participants aged 0 to 6 and aged 7 to14 were slightly less than expected, and hence overall participant numbers were only 6.6% higher than expected.</w:t>
      </w:r>
    </w:p>
    <w:p w14:paraId="7C939FA3" w14:textId="77777777" w:rsidR="0093332E" w:rsidRDefault="0093332E" w:rsidP="0093332E">
      <w:pPr>
        <w:pStyle w:val="Tables"/>
      </w:pPr>
      <w:bookmarkStart w:id="48" w:name="_Ref113272320"/>
      <w:r>
        <w:lastRenderedPageBreak/>
        <w:t xml:space="preserve">Table </w:t>
      </w:r>
      <w:fldSimple w:instr=" STYLEREF 2 \s ">
        <w:r w:rsidR="00A87896">
          <w:rPr>
            <w:noProof/>
          </w:rPr>
          <w:t>4</w:t>
        </w:r>
      </w:fldSimple>
      <w:r w:rsidR="00A87896">
        <w:t>.</w:t>
      </w:r>
      <w:fldSimple w:instr=" SEQ Table \* ARABIC \s 2 ">
        <w:r w:rsidR="00A87896">
          <w:rPr>
            <w:noProof/>
          </w:rPr>
          <w:t>3</w:t>
        </w:r>
      </w:fldSimple>
      <w:bookmarkEnd w:id="48"/>
      <w:r>
        <w:t xml:space="preserve">: </w:t>
      </w:r>
      <w:r w:rsidRPr="00871C67">
        <w:t xml:space="preserve">Actual versus </w:t>
      </w:r>
      <w:r>
        <w:t>e</w:t>
      </w:r>
      <w:r w:rsidRPr="00871C67">
        <w:t xml:space="preserve">xpected </w:t>
      </w:r>
      <w:r>
        <w:t>n</w:t>
      </w:r>
      <w:r w:rsidRPr="00F46AE9">
        <w:t xml:space="preserve">et </w:t>
      </w:r>
      <w:r>
        <w:t>i</w:t>
      </w:r>
      <w:r w:rsidRPr="00F46AE9">
        <w:t xml:space="preserve">ncrease in </w:t>
      </w:r>
      <w:r>
        <w:t>p</w:t>
      </w:r>
      <w:r w:rsidRPr="00F46AE9">
        <w:t>articipants in 2021-22</w:t>
      </w:r>
      <w:r w:rsidRPr="00842099">
        <w:t xml:space="preserve"> </w:t>
      </w:r>
      <w:r w:rsidRPr="00871C67">
        <w:t xml:space="preserve">by </w:t>
      </w:r>
      <w:r>
        <w:t>age group</w:t>
      </w:r>
    </w:p>
    <w:tbl>
      <w:tblPr>
        <w:tblW w:w="0" w:type="auto"/>
        <w:tblLook w:val="04A0" w:firstRow="1" w:lastRow="0" w:firstColumn="1" w:lastColumn="0" w:noHBand="0" w:noVBand="1"/>
      </w:tblPr>
      <w:tblGrid>
        <w:gridCol w:w="1250"/>
        <w:gridCol w:w="828"/>
        <w:gridCol w:w="1106"/>
        <w:gridCol w:w="1195"/>
        <w:gridCol w:w="1372"/>
      </w:tblGrid>
      <w:tr w:rsidR="0093332E" w:rsidRPr="006A1FD8" w14:paraId="664B44C1" w14:textId="77777777" w:rsidTr="008E21F6">
        <w:trPr>
          <w:trHeight w:val="397"/>
          <w:tblHeader/>
        </w:trPr>
        <w:tc>
          <w:tcPr>
            <w:tcW w:w="0" w:type="auto"/>
            <w:tcBorders>
              <w:top w:val="nil"/>
              <w:left w:val="nil"/>
              <w:bottom w:val="nil"/>
              <w:right w:val="nil"/>
            </w:tcBorders>
            <w:shd w:val="clear" w:color="000000" w:fill="6B2976"/>
            <w:noWrap/>
            <w:vAlign w:val="center"/>
            <w:hideMark/>
          </w:tcPr>
          <w:p w14:paraId="4660342A" w14:textId="77777777" w:rsidR="0093332E" w:rsidRPr="00DC5E78" w:rsidRDefault="0093332E" w:rsidP="008E21F6">
            <w:pPr>
              <w:spacing w:after="0" w:line="240" w:lineRule="auto"/>
              <w:rPr>
                <w:rFonts w:eastAsia="Times New Roman" w:cs="Arial"/>
                <w:b/>
                <w:bCs/>
                <w:color w:val="FFFFFF"/>
                <w:sz w:val="20"/>
                <w:szCs w:val="20"/>
              </w:rPr>
            </w:pPr>
            <w:r w:rsidRPr="00DC5E78">
              <w:rPr>
                <w:rFonts w:eastAsia="Times New Roman" w:cs="Arial"/>
                <w:b/>
                <w:bCs/>
                <w:color w:val="FFFFFF"/>
                <w:sz w:val="20"/>
                <w:szCs w:val="20"/>
              </w:rPr>
              <w:t>Age Group</w:t>
            </w:r>
          </w:p>
        </w:tc>
        <w:tc>
          <w:tcPr>
            <w:tcW w:w="0" w:type="auto"/>
            <w:tcBorders>
              <w:top w:val="nil"/>
              <w:left w:val="nil"/>
              <w:bottom w:val="nil"/>
              <w:right w:val="nil"/>
            </w:tcBorders>
            <w:shd w:val="clear" w:color="000000" w:fill="6B2976"/>
            <w:vAlign w:val="center"/>
            <w:hideMark/>
          </w:tcPr>
          <w:p w14:paraId="73BE0426"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Actual</w:t>
            </w:r>
          </w:p>
        </w:tc>
        <w:tc>
          <w:tcPr>
            <w:tcW w:w="0" w:type="auto"/>
            <w:tcBorders>
              <w:top w:val="nil"/>
              <w:left w:val="nil"/>
              <w:bottom w:val="nil"/>
              <w:right w:val="nil"/>
            </w:tcBorders>
            <w:shd w:val="clear" w:color="000000" w:fill="6B2976"/>
            <w:vAlign w:val="center"/>
            <w:hideMark/>
          </w:tcPr>
          <w:p w14:paraId="5BB21E4A"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Expected</w:t>
            </w:r>
          </w:p>
        </w:tc>
        <w:tc>
          <w:tcPr>
            <w:tcW w:w="0" w:type="auto"/>
            <w:tcBorders>
              <w:top w:val="nil"/>
              <w:left w:val="nil"/>
              <w:bottom w:val="nil"/>
              <w:right w:val="nil"/>
            </w:tcBorders>
            <w:shd w:val="clear" w:color="000000" w:fill="6B2976"/>
            <w:vAlign w:val="center"/>
            <w:hideMark/>
          </w:tcPr>
          <w:p w14:paraId="5B40D9B8"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Difference</w:t>
            </w:r>
          </w:p>
        </w:tc>
        <w:tc>
          <w:tcPr>
            <w:tcW w:w="0" w:type="auto"/>
            <w:tcBorders>
              <w:top w:val="nil"/>
              <w:left w:val="nil"/>
              <w:bottom w:val="nil"/>
              <w:right w:val="nil"/>
            </w:tcBorders>
            <w:shd w:val="clear" w:color="000000" w:fill="6B2976"/>
            <w:vAlign w:val="center"/>
            <w:hideMark/>
          </w:tcPr>
          <w:p w14:paraId="61ED43B4"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%Difference</w:t>
            </w:r>
          </w:p>
        </w:tc>
      </w:tr>
      <w:tr w:rsidR="0093332E" w:rsidRPr="006A1FD8" w14:paraId="661F1EF6" w14:textId="77777777" w:rsidTr="008E21F6">
        <w:trPr>
          <w:trHeight w:val="285"/>
          <w:tblHeader/>
        </w:trPr>
        <w:tc>
          <w:tcPr>
            <w:tcW w:w="0" w:type="auto"/>
            <w:tcBorders>
              <w:top w:val="nil"/>
              <w:left w:val="nil"/>
              <w:bottom w:val="nil"/>
              <w:right w:val="nil"/>
            </w:tcBorders>
            <w:shd w:val="clear" w:color="auto" w:fill="auto"/>
            <w:noWrap/>
            <w:vAlign w:val="center"/>
            <w:hideMark/>
          </w:tcPr>
          <w:p w14:paraId="70997D52"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 0 to 6 </w:t>
            </w:r>
          </w:p>
        </w:tc>
        <w:tc>
          <w:tcPr>
            <w:tcW w:w="0" w:type="auto"/>
            <w:tcBorders>
              <w:top w:val="nil"/>
              <w:left w:val="nil"/>
              <w:bottom w:val="nil"/>
              <w:right w:val="nil"/>
            </w:tcBorders>
            <w:shd w:val="clear" w:color="auto" w:fill="auto"/>
            <w:noWrap/>
            <w:vAlign w:val="center"/>
            <w:hideMark/>
          </w:tcPr>
          <w:p w14:paraId="4B69B17E"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10,605</w:t>
            </w:r>
          </w:p>
        </w:tc>
        <w:tc>
          <w:tcPr>
            <w:tcW w:w="0" w:type="auto"/>
            <w:tcBorders>
              <w:top w:val="nil"/>
              <w:left w:val="nil"/>
              <w:bottom w:val="nil"/>
              <w:right w:val="nil"/>
            </w:tcBorders>
            <w:shd w:val="clear" w:color="auto" w:fill="auto"/>
            <w:noWrap/>
            <w:vAlign w:val="center"/>
            <w:hideMark/>
          </w:tcPr>
          <w:p w14:paraId="30CB0E9C"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10,640</w:t>
            </w:r>
          </w:p>
        </w:tc>
        <w:tc>
          <w:tcPr>
            <w:tcW w:w="0" w:type="auto"/>
            <w:tcBorders>
              <w:top w:val="nil"/>
              <w:left w:val="nil"/>
              <w:bottom w:val="nil"/>
              <w:right w:val="nil"/>
            </w:tcBorders>
            <w:shd w:val="clear" w:color="auto" w:fill="auto"/>
            <w:noWrap/>
            <w:vAlign w:val="center"/>
            <w:hideMark/>
          </w:tcPr>
          <w:p w14:paraId="78FC365C"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-35</w:t>
            </w:r>
          </w:p>
        </w:tc>
        <w:tc>
          <w:tcPr>
            <w:tcW w:w="0" w:type="auto"/>
            <w:tcBorders>
              <w:top w:val="nil"/>
              <w:left w:val="nil"/>
              <w:bottom w:val="nil"/>
              <w:right w:val="nil"/>
            </w:tcBorders>
            <w:shd w:val="clear" w:color="auto" w:fill="auto"/>
            <w:noWrap/>
            <w:vAlign w:val="center"/>
            <w:hideMark/>
          </w:tcPr>
          <w:p w14:paraId="7EBE5065"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-0.3%</w:t>
            </w:r>
          </w:p>
        </w:tc>
      </w:tr>
      <w:tr w:rsidR="0093332E" w:rsidRPr="006A1FD8" w14:paraId="5008AA81" w14:textId="77777777" w:rsidTr="00E55F75">
        <w:trPr>
          <w:trHeight w:val="285"/>
          <w:tblHeader/>
        </w:trPr>
        <w:tc>
          <w:tcPr>
            <w:tcW w:w="0" w:type="auto"/>
            <w:tcBorders>
              <w:top w:val="nil"/>
              <w:left w:val="nil"/>
              <w:bottom w:val="nil"/>
              <w:right w:val="nil"/>
            </w:tcBorders>
            <w:shd w:val="clear" w:color="auto" w:fill="BFBFBF" w:themeFill="background1" w:themeFillShade="BF"/>
            <w:noWrap/>
            <w:vAlign w:val="center"/>
            <w:hideMark/>
          </w:tcPr>
          <w:p w14:paraId="52F3AF57"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 7 to 14 </w:t>
            </w:r>
          </w:p>
        </w:tc>
        <w:tc>
          <w:tcPr>
            <w:tcW w:w="0" w:type="auto"/>
            <w:tcBorders>
              <w:top w:val="nil"/>
              <w:left w:val="nil"/>
              <w:bottom w:val="nil"/>
              <w:right w:val="nil"/>
            </w:tcBorders>
            <w:shd w:val="clear" w:color="auto" w:fill="BFBFBF" w:themeFill="background1" w:themeFillShade="BF"/>
            <w:noWrap/>
            <w:vAlign w:val="center"/>
            <w:hideMark/>
          </w:tcPr>
          <w:p w14:paraId="699A6CA0"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18,475</w:t>
            </w:r>
          </w:p>
        </w:tc>
        <w:tc>
          <w:tcPr>
            <w:tcW w:w="0" w:type="auto"/>
            <w:tcBorders>
              <w:top w:val="nil"/>
              <w:left w:val="nil"/>
              <w:bottom w:val="nil"/>
              <w:right w:val="nil"/>
            </w:tcBorders>
            <w:shd w:val="clear" w:color="auto" w:fill="BFBFBF" w:themeFill="background1" w:themeFillShade="BF"/>
            <w:noWrap/>
            <w:vAlign w:val="center"/>
            <w:hideMark/>
          </w:tcPr>
          <w:p w14:paraId="64463607"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18,764</w:t>
            </w:r>
          </w:p>
        </w:tc>
        <w:tc>
          <w:tcPr>
            <w:tcW w:w="0" w:type="auto"/>
            <w:tcBorders>
              <w:top w:val="nil"/>
              <w:left w:val="nil"/>
              <w:bottom w:val="nil"/>
              <w:right w:val="nil"/>
            </w:tcBorders>
            <w:shd w:val="clear" w:color="auto" w:fill="BFBFBF" w:themeFill="background1" w:themeFillShade="BF"/>
            <w:noWrap/>
            <w:vAlign w:val="center"/>
            <w:hideMark/>
          </w:tcPr>
          <w:p w14:paraId="749386B4"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-289</w:t>
            </w:r>
          </w:p>
        </w:tc>
        <w:tc>
          <w:tcPr>
            <w:tcW w:w="0" w:type="auto"/>
            <w:tcBorders>
              <w:top w:val="nil"/>
              <w:left w:val="nil"/>
              <w:bottom w:val="nil"/>
              <w:right w:val="nil"/>
            </w:tcBorders>
            <w:shd w:val="clear" w:color="auto" w:fill="BFBFBF" w:themeFill="background1" w:themeFillShade="BF"/>
            <w:noWrap/>
            <w:vAlign w:val="center"/>
            <w:hideMark/>
          </w:tcPr>
          <w:p w14:paraId="5AA39143"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-1.5%</w:t>
            </w:r>
          </w:p>
        </w:tc>
      </w:tr>
      <w:tr w:rsidR="0093332E" w:rsidRPr="006A1FD8" w14:paraId="0C369A27" w14:textId="77777777" w:rsidTr="008E21F6">
        <w:trPr>
          <w:trHeight w:val="300"/>
          <w:tblHeader/>
        </w:trPr>
        <w:tc>
          <w:tcPr>
            <w:tcW w:w="0" w:type="auto"/>
            <w:tcBorders>
              <w:top w:val="nil"/>
              <w:left w:val="nil"/>
              <w:bottom w:val="nil"/>
              <w:right w:val="nil"/>
            </w:tcBorders>
            <w:shd w:val="clear" w:color="auto" w:fill="auto"/>
            <w:noWrap/>
            <w:vAlign w:val="center"/>
            <w:hideMark/>
          </w:tcPr>
          <w:p w14:paraId="7781F7AB"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 15 to 18 </w:t>
            </w:r>
          </w:p>
        </w:tc>
        <w:tc>
          <w:tcPr>
            <w:tcW w:w="0" w:type="auto"/>
            <w:tcBorders>
              <w:top w:val="nil"/>
              <w:left w:val="nil"/>
              <w:bottom w:val="nil"/>
              <w:right w:val="nil"/>
            </w:tcBorders>
            <w:shd w:val="clear" w:color="auto" w:fill="auto"/>
            <w:noWrap/>
            <w:vAlign w:val="center"/>
            <w:hideMark/>
          </w:tcPr>
          <w:p w14:paraId="50074F09"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8,122</w:t>
            </w:r>
          </w:p>
        </w:tc>
        <w:tc>
          <w:tcPr>
            <w:tcW w:w="0" w:type="auto"/>
            <w:tcBorders>
              <w:top w:val="nil"/>
              <w:left w:val="nil"/>
              <w:bottom w:val="nil"/>
              <w:right w:val="nil"/>
            </w:tcBorders>
            <w:shd w:val="clear" w:color="auto" w:fill="auto"/>
            <w:noWrap/>
            <w:vAlign w:val="center"/>
            <w:hideMark/>
          </w:tcPr>
          <w:p w14:paraId="436FE61C"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6,981</w:t>
            </w:r>
          </w:p>
        </w:tc>
        <w:tc>
          <w:tcPr>
            <w:tcW w:w="0" w:type="auto"/>
            <w:tcBorders>
              <w:top w:val="nil"/>
              <w:left w:val="nil"/>
              <w:bottom w:val="nil"/>
              <w:right w:val="nil"/>
            </w:tcBorders>
            <w:shd w:val="clear" w:color="auto" w:fill="auto"/>
            <w:noWrap/>
            <w:vAlign w:val="center"/>
            <w:hideMark/>
          </w:tcPr>
          <w:p w14:paraId="36DB91D8"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1,141</w:t>
            </w:r>
          </w:p>
        </w:tc>
        <w:tc>
          <w:tcPr>
            <w:tcW w:w="0" w:type="auto"/>
            <w:tcBorders>
              <w:top w:val="nil"/>
              <w:left w:val="nil"/>
              <w:bottom w:val="nil"/>
              <w:right w:val="nil"/>
            </w:tcBorders>
            <w:shd w:val="clear" w:color="auto" w:fill="auto"/>
            <w:noWrap/>
            <w:vAlign w:val="center"/>
            <w:hideMark/>
          </w:tcPr>
          <w:p w14:paraId="2076E4DC"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16.3%</w:t>
            </w:r>
          </w:p>
        </w:tc>
      </w:tr>
      <w:tr w:rsidR="0093332E" w:rsidRPr="006A1FD8" w14:paraId="2EDCBA3D" w14:textId="77777777" w:rsidTr="00E55F75">
        <w:trPr>
          <w:trHeight w:val="285"/>
          <w:tblHeader/>
        </w:trPr>
        <w:tc>
          <w:tcPr>
            <w:tcW w:w="0" w:type="auto"/>
            <w:tcBorders>
              <w:top w:val="nil"/>
              <w:left w:val="nil"/>
              <w:bottom w:val="nil"/>
              <w:right w:val="nil"/>
            </w:tcBorders>
            <w:shd w:val="clear" w:color="auto" w:fill="BFBFBF" w:themeFill="background1" w:themeFillShade="BF"/>
            <w:noWrap/>
            <w:vAlign w:val="center"/>
            <w:hideMark/>
          </w:tcPr>
          <w:p w14:paraId="25C46F8F"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 19 to 24 </w:t>
            </w:r>
          </w:p>
        </w:tc>
        <w:tc>
          <w:tcPr>
            <w:tcW w:w="0" w:type="auto"/>
            <w:tcBorders>
              <w:top w:val="nil"/>
              <w:left w:val="nil"/>
              <w:bottom w:val="nil"/>
              <w:right w:val="nil"/>
            </w:tcBorders>
            <w:shd w:val="clear" w:color="auto" w:fill="BFBFBF" w:themeFill="background1" w:themeFillShade="BF"/>
            <w:noWrap/>
            <w:vAlign w:val="center"/>
            <w:hideMark/>
          </w:tcPr>
          <w:p w14:paraId="7BF88CEC"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5,614</w:t>
            </w:r>
          </w:p>
        </w:tc>
        <w:tc>
          <w:tcPr>
            <w:tcW w:w="0" w:type="auto"/>
            <w:tcBorders>
              <w:top w:val="nil"/>
              <w:left w:val="nil"/>
              <w:bottom w:val="nil"/>
              <w:right w:val="nil"/>
            </w:tcBorders>
            <w:shd w:val="clear" w:color="auto" w:fill="BFBFBF" w:themeFill="background1" w:themeFillShade="BF"/>
            <w:noWrap/>
            <w:vAlign w:val="center"/>
            <w:hideMark/>
          </w:tcPr>
          <w:p w14:paraId="094340FC"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5,073</w:t>
            </w:r>
          </w:p>
        </w:tc>
        <w:tc>
          <w:tcPr>
            <w:tcW w:w="0" w:type="auto"/>
            <w:tcBorders>
              <w:top w:val="nil"/>
              <w:left w:val="nil"/>
              <w:bottom w:val="nil"/>
              <w:right w:val="nil"/>
            </w:tcBorders>
            <w:shd w:val="clear" w:color="auto" w:fill="BFBFBF" w:themeFill="background1" w:themeFillShade="BF"/>
            <w:noWrap/>
            <w:vAlign w:val="center"/>
            <w:hideMark/>
          </w:tcPr>
          <w:p w14:paraId="7420B1C6"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541</w:t>
            </w:r>
          </w:p>
        </w:tc>
        <w:tc>
          <w:tcPr>
            <w:tcW w:w="0" w:type="auto"/>
            <w:tcBorders>
              <w:top w:val="nil"/>
              <w:left w:val="nil"/>
              <w:bottom w:val="nil"/>
              <w:right w:val="nil"/>
            </w:tcBorders>
            <w:shd w:val="clear" w:color="auto" w:fill="BFBFBF" w:themeFill="background1" w:themeFillShade="BF"/>
            <w:noWrap/>
            <w:vAlign w:val="center"/>
            <w:hideMark/>
          </w:tcPr>
          <w:p w14:paraId="2550FBE8"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10.7%</w:t>
            </w:r>
          </w:p>
        </w:tc>
      </w:tr>
      <w:tr w:rsidR="0093332E" w:rsidRPr="006A1FD8" w14:paraId="42BA195A" w14:textId="77777777" w:rsidTr="008E21F6">
        <w:trPr>
          <w:trHeight w:val="300"/>
          <w:tblHeader/>
        </w:trPr>
        <w:tc>
          <w:tcPr>
            <w:tcW w:w="0" w:type="auto"/>
            <w:tcBorders>
              <w:top w:val="nil"/>
              <w:left w:val="nil"/>
              <w:bottom w:val="nil"/>
              <w:right w:val="nil"/>
            </w:tcBorders>
            <w:shd w:val="clear" w:color="auto" w:fill="auto"/>
            <w:noWrap/>
            <w:vAlign w:val="center"/>
            <w:hideMark/>
          </w:tcPr>
          <w:p w14:paraId="64E19086"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 25 to 34 </w:t>
            </w:r>
          </w:p>
        </w:tc>
        <w:tc>
          <w:tcPr>
            <w:tcW w:w="0" w:type="auto"/>
            <w:tcBorders>
              <w:top w:val="nil"/>
              <w:left w:val="nil"/>
              <w:bottom w:val="nil"/>
              <w:right w:val="nil"/>
            </w:tcBorders>
            <w:shd w:val="clear" w:color="auto" w:fill="auto"/>
            <w:noWrap/>
            <w:vAlign w:val="center"/>
            <w:hideMark/>
          </w:tcPr>
          <w:p w14:paraId="3C7240C4"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5,601</w:t>
            </w:r>
          </w:p>
        </w:tc>
        <w:tc>
          <w:tcPr>
            <w:tcW w:w="0" w:type="auto"/>
            <w:tcBorders>
              <w:top w:val="nil"/>
              <w:left w:val="nil"/>
              <w:bottom w:val="nil"/>
              <w:right w:val="nil"/>
            </w:tcBorders>
            <w:shd w:val="clear" w:color="auto" w:fill="auto"/>
            <w:noWrap/>
            <w:vAlign w:val="center"/>
            <w:hideMark/>
          </w:tcPr>
          <w:p w14:paraId="062B821D"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4,596</w:t>
            </w:r>
          </w:p>
        </w:tc>
        <w:tc>
          <w:tcPr>
            <w:tcW w:w="0" w:type="auto"/>
            <w:tcBorders>
              <w:top w:val="nil"/>
              <w:left w:val="nil"/>
              <w:bottom w:val="nil"/>
              <w:right w:val="nil"/>
            </w:tcBorders>
            <w:shd w:val="clear" w:color="auto" w:fill="auto"/>
            <w:noWrap/>
            <w:vAlign w:val="center"/>
            <w:hideMark/>
          </w:tcPr>
          <w:p w14:paraId="4E2B3D05"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1,005</w:t>
            </w:r>
          </w:p>
        </w:tc>
        <w:tc>
          <w:tcPr>
            <w:tcW w:w="0" w:type="auto"/>
            <w:tcBorders>
              <w:top w:val="nil"/>
              <w:left w:val="nil"/>
              <w:bottom w:val="nil"/>
              <w:right w:val="nil"/>
            </w:tcBorders>
            <w:shd w:val="clear" w:color="auto" w:fill="auto"/>
            <w:noWrap/>
            <w:vAlign w:val="center"/>
            <w:hideMark/>
          </w:tcPr>
          <w:p w14:paraId="6BD0C247"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21.9%</w:t>
            </w:r>
          </w:p>
        </w:tc>
      </w:tr>
      <w:tr w:rsidR="0093332E" w:rsidRPr="006A1FD8" w14:paraId="2B39DF7B" w14:textId="77777777" w:rsidTr="00E55F75">
        <w:trPr>
          <w:trHeight w:val="285"/>
          <w:tblHeader/>
        </w:trPr>
        <w:tc>
          <w:tcPr>
            <w:tcW w:w="0" w:type="auto"/>
            <w:tcBorders>
              <w:top w:val="nil"/>
              <w:left w:val="nil"/>
              <w:bottom w:val="nil"/>
              <w:right w:val="nil"/>
            </w:tcBorders>
            <w:shd w:val="clear" w:color="auto" w:fill="BFBFBF" w:themeFill="background1" w:themeFillShade="BF"/>
            <w:noWrap/>
            <w:vAlign w:val="center"/>
            <w:hideMark/>
          </w:tcPr>
          <w:p w14:paraId="786B5966"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 35 to 44 </w:t>
            </w:r>
          </w:p>
        </w:tc>
        <w:tc>
          <w:tcPr>
            <w:tcW w:w="0" w:type="auto"/>
            <w:tcBorders>
              <w:top w:val="nil"/>
              <w:left w:val="nil"/>
              <w:bottom w:val="nil"/>
              <w:right w:val="nil"/>
            </w:tcBorders>
            <w:shd w:val="clear" w:color="auto" w:fill="BFBFBF" w:themeFill="background1" w:themeFillShade="BF"/>
            <w:noWrap/>
            <w:vAlign w:val="center"/>
            <w:hideMark/>
          </w:tcPr>
          <w:p w14:paraId="495197BD"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4,648</w:t>
            </w:r>
          </w:p>
        </w:tc>
        <w:tc>
          <w:tcPr>
            <w:tcW w:w="0" w:type="auto"/>
            <w:tcBorders>
              <w:top w:val="nil"/>
              <w:left w:val="nil"/>
              <w:bottom w:val="nil"/>
              <w:right w:val="nil"/>
            </w:tcBorders>
            <w:shd w:val="clear" w:color="auto" w:fill="BFBFBF" w:themeFill="background1" w:themeFillShade="BF"/>
            <w:noWrap/>
            <w:vAlign w:val="center"/>
            <w:hideMark/>
          </w:tcPr>
          <w:p w14:paraId="5A3706E6"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3,730</w:t>
            </w:r>
          </w:p>
        </w:tc>
        <w:tc>
          <w:tcPr>
            <w:tcW w:w="0" w:type="auto"/>
            <w:tcBorders>
              <w:top w:val="nil"/>
              <w:left w:val="nil"/>
              <w:bottom w:val="nil"/>
              <w:right w:val="nil"/>
            </w:tcBorders>
            <w:shd w:val="clear" w:color="auto" w:fill="BFBFBF" w:themeFill="background1" w:themeFillShade="BF"/>
            <w:noWrap/>
            <w:vAlign w:val="center"/>
            <w:hideMark/>
          </w:tcPr>
          <w:p w14:paraId="0C108C36"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918</w:t>
            </w:r>
          </w:p>
        </w:tc>
        <w:tc>
          <w:tcPr>
            <w:tcW w:w="0" w:type="auto"/>
            <w:tcBorders>
              <w:top w:val="nil"/>
              <w:left w:val="nil"/>
              <w:bottom w:val="nil"/>
              <w:right w:val="nil"/>
            </w:tcBorders>
            <w:shd w:val="clear" w:color="auto" w:fill="BFBFBF" w:themeFill="background1" w:themeFillShade="BF"/>
            <w:noWrap/>
            <w:vAlign w:val="center"/>
            <w:hideMark/>
          </w:tcPr>
          <w:p w14:paraId="71DFA13F"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24.6%</w:t>
            </w:r>
          </w:p>
        </w:tc>
      </w:tr>
      <w:tr w:rsidR="0093332E" w:rsidRPr="006A1FD8" w14:paraId="3B129A60" w14:textId="77777777" w:rsidTr="008E21F6">
        <w:trPr>
          <w:trHeight w:val="285"/>
          <w:tblHeader/>
        </w:trPr>
        <w:tc>
          <w:tcPr>
            <w:tcW w:w="0" w:type="auto"/>
            <w:tcBorders>
              <w:top w:val="nil"/>
              <w:left w:val="nil"/>
              <w:bottom w:val="nil"/>
              <w:right w:val="nil"/>
            </w:tcBorders>
            <w:shd w:val="clear" w:color="auto" w:fill="auto"/>
            <w:noWrap/>
            <w:vAlign w:val="center"/>
            <w:hideMark/>
          </w:tcPr>
          <w:p w14:paraId="663F333E"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 45 to 54 </w:t>
            </w:r>
          </w:p>
        </w:tc>
        <w:tc>
          <w:tcPr>
            <w:tcW w:w="0" w:type="auto"/>
            <w:tcBorders>
              <w:top w:val="nil"/>
              <w:left w:val="nil"/>
              <w:bottom w:val="nil"/>
              <w:right w:val="nil"/>
            </w:tcBorders>
            <w:shd w:val="clear" w:color="auto" w:fill="auto"/>
            <w:noWrap/>
            <w:vAlign w:val="center"/>
            <w:hideMark/>
          </w:tcPr>
          <w:p w14:paraId="219DCF41"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4,114</w:t>
            </w:r>
          </w:p>
        </w:tc>
        <w:tc>
          <w:tcPr>
            <w:tcW w:w="0" w:type="auto"/>
            <w:tcBorders>
              <w:top w:val="nil"/>
              <w:left w:val="nil"/>
              <w:bottom w:val="nil"/>
              <w:right w:val="nil"/>
            </w:tcBorders>
            <w:shd w:val="clear" w:color="auto" w:fill="auto"/>
            <w:noWrap/>
            <w:vAlign w:val="center"/>
            <w:hideMark/>
          </w:tcPr>
          <w:p w14:paraId="3E24C283"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3,712</w:t>
            </w:r>
          </w:p>
        </w:tc>
        <w:tc>
          <w:tcPr>
            <w:tcW w:w="0" w:type="auto"/>
            <w:tcBorders>
              <w:top w:val="nil"/>
              <w:left w:val="nil"/>
              <w:bottom w:val="nil"/>
              <w:right w:val="nil"/>
            </w:tcBorders>
            <w:shd w:val="clear" w:color="auto" w:fill="auto"/>
            <w:noWrap/>
            <w:vAlign w:val="center"/>
            <w:hideMark/>
          </w:tcPr>
          <w:p w14:paraId="2346E386"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402</w:t>
            </w:r>
          </w:p>
        </w:tc>
        <w:tc>
          <w:tcPr>
            <w:tcW w:w="0" w:type="auto"/>
            <w:tcBorders>
              <w:top w:val="nil"/>
              <w:left w:val="nil"/>
              <w:bottom w:val="nil"/>
              <w:right w:val="nil"/>
            </w:tcBorders>
            <w:shd w:val="clear" w:color="auto" w:fill="auto"/>
            <w:noWrap/>
            <w:vAlign w:val="center"/>
            <w:hideMark/>
          </w:tcPr>
          <w:p w14:paraId="71934D8A"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10.8%</w:t>
            </w:r>
          </w:p>
        </w:tc>
      </w:tr>
      <w:tr w:rsidR="0093332E" w:rsidRPr="006A1FD8" w14:paraId="625654A0" w14:textId="77777777" w:rsidTr="00E55F75">
        <w:trPr>
          <w:trHeight w:val="285"/>
          <w:tblHeader/>
        </w:trPr>
        <w:tc>
          <w:tcPr>
            <w:tcW w:w="0" w:type="auto"/>
            <w:tcBorders>
              <w:top w:val="nil"/>
              <w:left w:val="nil"/>
              <w:bottom w:val="nil"/>
              <w:right w:val="nil"/>
            </w:tcBorders>
            <w:shd w:val="clear" w:color="auto" w:fill="BFBFBF" w:themeFill="background1" w:themeFillShade="BF"/>
            <w:noWrap/>
            <w:vAlign w:val="center"/>
            <w:hideMark/>
          </w:tcPr>
          <w:p w14:paraId="53B91670"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 55 to 64 </w:t>
            </w:r>
          </w:p>
        </w:tc>
        <w:tc>
          <w:tcPr>
            <w:tcW w:w="0" w:type="auto"/>
            <w:tcBorders>
              <w:top w:val="nil"/>
              <w:left w:val="nil"/>
              <w:bottom w:val="nil"/>
              <w:right w:val="nil"/>
            </w:tcBorders>
            <w:shd w:val="clear" w:color="auto" w:fill="BFBFBF" w:themeFill="background1" w:themeFillShade="BF"/>
            <w:noWrap/>
            <w:vAlign w:val="center"/>
            <w:hideMark/>
          </w:tcPr>
          <w:p w14:paraId="7E9E9E0D"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5,442</w:t>
            </w:r>
          </w:p>
        </w:tc>
        <w:tc>
          <w:tcPr>
            <w:tcW w:w="0" w:type="auto"/>
            <w:tcBorders>
              <w:top w:val="nil"/>
              <w:left w:val="nil"/>
              <w:bottom w:val="nil"/>
              <w:right w:val="nil"/>
            </w:tcBorders>
            <w:shd w:val="clear" w:color="auto" w:fill="BFBFBF" w:themeFill="background1" w:themeFillShade="BF"/>
            <w:noWrap/>
            <w:vAlign w:val="center"/>
            <w:hideMark/>
          </w:tcPr>
          <w:p w14:paraId="262250FC"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5,441</w:t>
            </w:r>
          </w:p>
        </w:tc>
        <w:tc>
          <w:tcPr>
            <w:tcW w:w="0" w:type="auto"/>
            <w:tcBorders>
              <w:top w:val="nil"/>
              <w:left w:val="nil"/>
              <w:bottom w:val="nil"/>
              <w:right w:val="nil"/>
            </w:tcBorders>
            <w:shd w:val="clear" w:color="auto" w:fill="BFBFBF" w:themeFill="background1" w:themeFillShade="BF"/>
            <w:noWrap/>
            <w:vAlign w:val="center"/>
            <w:hideMark/>
          </w:tcPr>
          <w:p w14:paraId="0D899B8E"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w:t>
            </w:r>
          </w:p>
        </w:tc>
        <w:tc>
          <w:tcPr>
            <w:tcW w:w="0" w:type="auto"/>
            <w:tcBorders>
              <w:top w:val="nil"/>
              <w:left w:val="nil"/>
              <w:bottom w:val="nil"/>
              <w:right w:val="nil"/>
            </w:tcBorders>
            <w:shd w:val="clear" w:color="auto" w:fill="BFBFBF" w:themeFill="background1" w:themeFillShade="BF"/>
            <w:noWrap/>
            <w:vAlign w:val="center"/>
            <w:hideMark/>
          </w:tcPr>
          <w:p w14:paraId="73215F6A"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0.0%</w:t>
            </w:r>
          </w:p>
        </w:tc>
      </w:tr>
      <w:tr w:rsidR="0093332E" w:rsidRPr="006A1FD8" w14:paraId="025FF6B7" w14:textId="77777777" w:rsidTr="008E21F6">
        <w:trPr>
          <w:trHeight w:val="315"/>
          <w:tblHeader/>
        </w:trPr>
        <w:tc>
          <w:tcPr>
            <w:tcW w:w="0" w:type="auto"/>
            <w:tcBorders>
              <w:top w:val="nil"/>
              <w:left w:val="nil"/>
              <w:bottom w:val="single" w:sz="4" w:space="0" w:color="auto"/>
              <w:right w:val="nil"/>
            </w:tcBorders>
            <w:shd w:val="clear" w:color="auto" w:fill="auto"/>
            <w:noWrap/>
            <w:vAlign w:val="center"/>
            <w:hideMark/>
          </w:tcPr>
          <w:p w14:paraId="24F9665A"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 65+ </w:t>
            </w:r>
          </w:p>
        </w:tc>
        <w:tc>
          <w:tcPr>
            <w:tcW w:w="0" w:type="auto"/>
            <w:tcBorders>
              <w:top w:val="nil"/>
              <w:left w:val="nil"/>
              <w:bottom w:val="single" w:sz="4" w:space="0" w:color="auto"/>
              <w:right w:val="nil"/>
            </w:tcBorders>
            <w:shd w:val="clear" w:color="auto" w:fill="auto"/>
            <w:noWrap/>
            <w:vAlign w:val="center"/>
            <w:hideMark/>
          </w:tcPr>
          <w:p w14:paraId="0ED85793"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5,415</w:t>
            </w:r>
          </w:p>
        </w:tc>
        <w:tc>
          <w:tcPr>
            <w:tcW w:w="0" w:type="auto"/>
            <w:tcBorders>
              <w:top w:val="nil"/>
              <w:left w:val="nil"/>
              <w:bottom w:val="single" w:sz="4" w:space="0" w:color="auto"/>
              <w:right w:val="nil"/>
            </w:tcBorders>
            <w:shd w:val="clear" w:color="auto" w:fill="auto"/>
            <w:noWrap/>
            <w:vAlign w:val="center"/>
            <w:hideMark/>
          </w:tcPr>
          <w:p w14:paraId="1CA463D1"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4,902</w:t>
            </w:r>
          </w:p>
        </w:tc>
        <w:tc>
          <w:tcPr>
            <w:tcW w:w="0" w:type="auto"/>
            <w:tcBorders>
              <w:top w:val="nil"/>
              <w:left w:val="nil"/>
              <w:bottom w:val="single" w:sz="4" w:space="0" w:color="auto"/>
              <w:right w:val="nil"/>
            </w:tcBorders>
            <w:shd w:val="clear" w:color="auto" w:fill="auto"/>
            <w:noWrap/>
            <w:vAlign w:val="center"/>
            <w:hideMark/>
          </w:tcPr>
          <w:p w14:paraId="6996125A"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513</w:t>
            </w:r>
          </w:p>
        </w:tc>
        <w:tc>
          <w:tcPr>
            <w:tcW w:w="0" w:type="auto"/>
            <w:tcBorders>
              <w:top w:val="nil"/>
              <w:left w:val="nil"/>
              <w:bottom w:val="single" w:sz="4" w:space="0" w:color="auto"/>
              <w:right w:val="nil"/>
            </w:tcBorders>
            <w:shd w:val="clear" w:color="auto" w:fill="auto"/>
            <w:noWrap/>
            <w:vAlign w:val="center"/>
            <w:hideMark/>
          </w:tcPr>
          <w:p w14:paraId="3D4B0733"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10.5%</w:t>
            </w:r>
          </w:p>
        </w:tc>
      </w:tr>
      <w:tr w:rsidR="0093332E" w:rsidRPr="006A1FD8" w14:paraId="71FB9A36" w14:textId="77777777" w:rsidTr="008E21F6">
        <w:trPr>
          <w:trHeight w:val="315"/>
          <w:tblHeader/>
        </w:trPr>
        <w:tc>
          <w:tcPr>
            <w:tcW w:w="0" w:type="auto"/>
            <w:tcBorders>
              <w:top w:val="nil"/>
              <w:left w:val="nil"/>
              <w:bottom w:val="single" w:sz="8" w:space="0" w:color="auto"/>
              <w:right w:val="nil"/>
            </w:tcBorders>
            <w:shd w:val="clear" w:color="auto" w:fill="D4C5D7"/>
            <w:noWrap/>
            <w:vAlign w:val="center"/>
            <w:hideMark/>
          </w:tcPr>
          <w:p w14:paraId="36886D06" w14:textId="77777777" w:rsidR="0093332E" w:rsidRPr="00DC5E78" w:rsidRDefault="0093332E" w:rsidP="008E21F6">
            <w:pPr>
              <w:spacing w:after="0" w:line="240" w:lineRule="auto"/>
              <w:rPr>
                <w:rFonts w:eastAsia="Times New Roman" w:cs="Arial"/>
                <w:b/>
                <w:bCs/>
                <w:sz w:val="20"/>
                <w:szCs w:val="20"/>
              </w:rPr>
            </w:pPr>
            <w:r w:rsidRPr="00DC5E78">
              <w:rPr>
                <w:rFonts w:eastAsia="Times New Roman" w:cs="Arial"/>
                <w:b/>
                <w:bCs/>
                <w:sz w:val="20"/>
                <w:szCs w:val="20"/>
              </w:rPr>
              <w:t>Total</w:t>
            </w:r>
          </w:p>
        </w:tc>
        <w:tc>
          <w:tcPr>
            <w:tcW w:w="0" w:type="auto"/>
            <w:tcBorders>
              <w:top w:val="nil"/>
              <w:left w:val="nil"/>
              <w:bottom w:val="single" w:sz="8" w:space="0" w:color="auto"/>
              <w:right w:val="nil"/>
            </w:tcBorders>
            <w:shd w:val="clear" w:color="auto" w:fill="D4C5D7"/>
            <w:noWrap/>
            <w:vAlign w:val="center"/>
            <w:hideMark/>
          </w:tcPr>
          <w:p w14:paraId="2ACB4EE8" w14:textId="77777777" w:rsidR="0093332E" w:rsidRPr="00DC5E78" w:rsidRDefault="0093332E" w:rsidP="008E21F6">
            <w:pPr>
              <w:spacing w:after="0" w:line="240" w:lineRule="auto"/>
              <w:jc w:val="right"/>
              <w:rPr>
                <w:rFonts w:eastAsia="Times New Roman" w:cs="Arial"/>
                <w:b/>
                <w:bCs/>
                <w:sz w:val="20"/>
                <w:szCs w:val="20"/>
              </w:rPr>
            </w:pPr>
            <w:r w:rsidRPr="00DC5E78">
              <w:rPr>
                <w:rFonts w:eastAsia="Times New Roman" w:cs="Arial"/>
                <w:b/>
                <w:bCs/>
                <w:sz w:val="20"/>
                <w:szCs w:val="20"/>
              </w:rPr>
              <w:t>68,036</w:t>
            </w:r>
          </w:p>
        </w:tc>
        <w:tc>
          <w:tcPr>
            <w:tcW w:w="0" w:type="auto"/>
            <w:tcBorders>
              <w:top w:val="nil"/>
              <w:left w:val="nil"/>
              <w:bottom w:val="single" w:sz="8" w:space="0" w:color="auto"/>
              <w:right w:val="nil"/>
            </w:tcBorders>
            <w:shd w:val="clear" w:color="auto" w:fill="D4C5D7"/>
            <w:noWrap/>
            <w:vAlign w:val="center"/>
            <w:hideMark/>
          </w:tcPr>
          <w:p w14:paraId="549EEEF3" w14:textId="77777777" w:rsidR="0093332E" w:rsidRPr="00DC5E78" w:rsidRDefault="0093332E" w:rsidP="008E21F6">
            <w:pPr>
              <w:spacing w:after="0" w:line="240" w:lineRule="auto"/>
              <w:jc w:val="right"/>
              <w:rPr>
                <w:rFonts w:eastAsia="Times New Roman" w:cs="Arial"/>
                <w:b/>
                <w:bCs/>
                <w:sz w:val="20"/>
                <w:szCs w:val="20"/>
              </w:rPr>
            </w:pPr>
            <w:r w:rsidRPr="00DC5E78">
              <w:rPr>
                <w:rFonts w:eastAsia="Times New Roman" w:cs="Arial"/>
                <w:b/>
                <w:bCs/>
                <w:sz w:val="20"/>
                <w:szCs w:val="20"/>
              </w:rPr>
              <w:t>63,838</w:t>
            </w:r>
          </w:p>
        </w:tc>
        <w:tc>
          <w:tcPr>
            <w:tcW w:w="0" w:type="auto"/>
            <w:tcBorders>
              <w:top w:val="nil"/>
              <w:left w:val="nil"/>
              <w:bottom w:val="single" w:sz="8" w:space="0" w:color="auto"/>
              <w:right w:val="nil"/>
            </w:tcBorders>
            <w:shd w:val="clear" w:color="auto" w:fill="D4C5D7"/>
            <w:noWrap/>
            <w:vAlign w:val="center"/>
            <w:hideMark/>
          </w:tcPr>
          <w:p w14:paraId="7041C3DB" w14:textId="77777777" w:rsidR="0093332E" w:rsidRPr="00DC5E78" w:rsidRDefault="0093332E" w:rsidP="008E21F6">
            <w:pPr>
              <w:spacing w:after="0" w:line="240" w:lineRule="auto"/>
              <w:jc w:val="right"/>
              <w:rPr>
                <w:rFonts w:eastAsia="Times New Roman" w:cs="Arial"/>
                <w:b/>
                <w:bCs/>
                <w:sz w:val="20"/>
                <w:szCs w:val="20"/>
              </w:rPr>
            </w:pPr>
            <w:r w:rsidRPr="00DC5E78">
              <w:rPr>
                <w:rFonts w:eastAsia="Times New Roman" w:cs="Arial"/>
                <w:b/>
                <w:bCs/>
                <w:sz w:val="20"/>
                <w:szCs w:val="20"/>
              </w:rPr>
              <w:t>4,198</w:t>
            </w:r>
          </w:p>
        </w:tc>
        <w:tc>
          <w:tcPr>
            <w:tcW w:w="0" w:type="auto"/>
            <w:tcBorders>
              <w:top w:val="nil"/>
              <w:left w:val="nil"/>
              <w:bottom w:val="single" w:sz="8" w:space="0" w:color="auto"/>
              <w:right w:val="nil"/>
            </w:tcBorders>
            <w:shd w:val="clear" w:color="auto" w:fill="D4C5D7"/>
            <w:noWrap/>
            <w:vAlign w:val="center"/>
            <w:hideMark/>
          </w:tcPr>
          <w:p w14:paraId="260391C3" w14:textId="77777777" w:rsidR="0093332E" w:rsidRPr="00DC5E78" w:rsidRDefault="0093332E" w:rsidP="008E21F6">
            <w:pPr>
              <w:spacing w:after="0" w:line="240" w:lineRule="auto"/>
              <w:jc w:val="right"/>
              <w:rPr>
                <w:rFonts w:eastAsia="Times New Roman" w:cs="Arial"/>
                <w:b/>
                <w:bCs/>
                <w:sz w:val="20"/>
                <w:szCs w:val="20"/>
              </w:rPr>
            </w:pPr>
            <w:r w:rsidRPr="00DC5E78">
              <w:rPr>
                <w:rFonts w:eastAsia="Times New Roman" w:cs="Arial"/>
                <w:b/>
                <w:bCs/>
                <w:sz w:val="20"/>
                <w:szCs w:val="20"/>
              </w:rPr>
              <w:t>6.6%</w:t>
            </w:r>
          </w:p>
        </w:tc>
      </w:tr>
    </w:tbl>
    <w:p w14:paraId="5C58088B" w14:textId="77777777" w:rsidR="0093332E" w:rsidRDefault="004461D2" w:rsidP="0093332E">
      <w:pPr>
        <w:pStyle w:val="FSRnormal"/>
      </w:pPr>
      <w:r>
        <w:t xml:space="preserve">Table </w:t>
      </w:r>
      <w:r>
        <w:rPr>
          <w:noProof/>
        </w:rPr>
        <w:t>4</w:t>
      </w:r>
      <w:r>
        <w:t>.</w:t>
      </w:r>
      <w:r>
        <w:rPr>
          <w:noProof/>
        </w:rPr>
        <w:t>4</w:t>
      </w:r>
      <w:r w:rsidR="0093332E" w:rsidRPr="00EA219A">
        <w:t xml:space="preserve"> illustrates that the net increase in participants across most primary disability groups </w:t>
      </w:r>
      <w:r w:rsidR="0093332E">
        <w:t xml:space="preserve">differed </w:t>
      </w:r>
      <w:r w:rsidR="0093332E" w:rsidRPr="00EA219A">
        <w:t xml:space="preserve">significantly from </w:t>
      </w:r>
      <w:r w:rsidR="0093332E">
        <w:t xml:space="preserve">that </w:t>
      </w:r>
      <w:r w:rsidR="0093332E" w:rsidRPr="00EA219A">
        <w:t>expected at the previous review. The largest deviation aro</w:t>
      </w:r>
      <w:r w:rsidR="0093332E" w:rsidRPr="00626398">
        <w:t>se from participants with autism</w:t>
      </w:r>
      <w:r w:rsidR="0093332E">
        <w:t>, where t</w:t>
      </w:r>
      <w:r w:rsidR="0093332E" w:rsidRPr="00626398">
        <w:t xml:space="preserve">here was a net increase of </w:t>
      </w:r>
      <w:r w:rsidR="0093332E">
        <w:t>7,237 more than expected</w:t>
      </w:r>
      <w:r w:rsidR="0093332E" w:rsidRPr="00626398">
        <w:t xml:space="preserve"> (</w:t>
      </w:r>
      <w:r w:rsidR="0093332E">
        <w:t>30.4</w:t>
      </w:r>
      <w:r w:rsidR="0093332E" w:rsidRPr="00626398">
        <w:t>% higher)</w:t>
      </w:r>
      <w:r w:rsidR="00E71EE3">
        <w:t>, with over 75% of this variation arising from age 0 to 18</w:t>
      </w:r>
      <w:r w:rsidR="0093332E">
        <w:t xml:space="preserve">. This </w:t>
      </w:r>
      <w:r w:rsidR="0093332E" w:rsidRPr="00626398">
        <w:t>includ</w:t>
      </w:r>
      <w:r w:rsidR="0093332E">
        <w:t>e</w:t>
      </w:r>
      <w:r w:rsidR="00FB02FC">
        <w:t>s</w:t>
      </w:r>
      <w:r w:rsidR="0093332E" w:rsidRPr="00626398">
        <w:t xml:space="preserve"> those who entered the Scheme</w:t>
      </w:r>
      <w:r w:rsidR="0093332E">
        <w:t xml:space="preserve"> as well as those who were already in the Scheme but whose primary disability changed to autism less those who</w:t>
      </w:r>
      <w:r w:rsidR="0098770B">
        <w:t xml:space="preserve"> left</w:t>
      </w:r>
      <w:r w:rsidR="0093332E">
        <w:t xml:space="preserve"> the Scheme</w:t>
      </w:r>
      <w:r w:rsidR="0098770B">
        <w:t xml:space="preserve"> or passed away</w:t>
      </w:r>
      <w:r w:rsidR="0093332E" w:rsidRPr="00763EE6">
        <w:t>. This was partly offset by fewer than expected participants with a primary disability of d</w:t>
      </w:r>
      <w:r w:rsidR="0093332E">
        <w:t>evelopmental delay</w:t>
      </w:r>
      <w:r w:rsidR="0093332E" w:rsidRPr="00763EE6">
        <w:t xml:space="preserve"> (1,</w:t>
      </w:r>
      <w:r w:rsidR="0093332E">
        <w:t>778</w:t>
      </w:r>
      <w:r w:rsidR="0093332E" w:rsidRPr="00763EE6">
        <w:t xml:space="preserve"> or </w:t>
      </w:r>
      <w:r w:rsidR="0093332E">
        <w:t>13.4% lower),</w:t>
      </w:r>
      <w:r w:rsidR="0093332E" w:rsidRPr="00763EE6">
        <w:t xml:space="preserve"> i</w:t>
      </w:r>
      <w:r w:rsidR="0093332E">
        <w:t>ntellectual disability</w:t>
      </w:r>
      <w:r w:rsidR="0093332E" w:rsidRPr="00763EE6">
        <w:t xml:space="preserve"> (1,</w:t>
      </w:r>
      <w:r w:rsidR="0093332E">
        <w:t>645</w:t>
      </w:r>
      <w:r w:rsidR="0093332E" w:rsidRPr="00763EE6">
        <w:t xml:space="preserve"> or </w:t>
      </w:r>
      <w:r w:rsidR="0093332E">
        <w:t>24.2</w:t>
      </w:r>
      <w:r w:rsidR="0093332E" w:rsidRPr="00763EE6">
        <w:t>% lower) and other p</w:t>
      </w:r>
      <w:r w:rsidR="0093332E">
        <w:t>hysical disability</w:t>
      </w:r>
      <w:r w:rsidR="0093332E" w:rsidRPr="00763EE6">
        <w:t xml:space="preserve"> (1,</w:t>
      </w:r>
      <w:r w:rsidR="0093332E">
        <w:t>147</w:t>
      </w:r>
      <w:r w:rsidR="0093332E" w:rsidRPr="00763EE6">
        <w:t xml:space="preserve"> or </w:t>
      </w:r>
      <w:r w:rsidR="0093332E">
        <w:t>60.4</w:t>
      </w:r>
      <w:r w:rsidR="0093332E" w:rsidRPr="00763EE6">
        <w:t>% lower)</w:t>
      </w:r>
      <w:r w:rsidR="0093332E">
        <w:t>.</w:t>
      </w:r>
    </w:p>
    <w:p w14:paraId="384CB14F" w14:textId="77777777" w:rsidR="0093332E" w:rsidRDefault="0093332E" w:rsidP="0093332E">
      <w:pPr>
        <w:pStyle w:val="Tables"/>
      </w:pPr>
      <w:bookmarkStart w:id="49" w:name="_Ref113272336"/>
      <w:r>
        <w:t xml:space="preserve">Table </w:t>
      </w:r>
      <w:fldSimple w:instr=" STYLEREF 2 \s ">
        <w:r w:rsidR="00A87896">
          <w:rPr>
            <w:noProof/>
          </w:rPr>
          <w:t>4</w:t>
        </w:r>
      </w:fldSimple>
      <w:r w:rsidR="00A87896">
        <w:t>.</w:t>
      </w:r>
      <w:fldSimple w:instr=" SEQ Table \* ARABIC \s 2 ">
        <w:r w:rsidR="00A87896">
          <w:rPr>
            <w:noProof/>
          </w:rPr>
          <w:t>4</w:t>
        </w:r>
      </w:fldSimple>
      <w:bookmarkEnd w:id="49"/>
      <w:r>
        <w:t xml:space="preserve">: </w:t>
      </w:r>
      <w:r w:rsidRPr="00F46AE9">
        <w:t xml:space="preserve">Actual versus </w:t>
      </w:r>
      <w:r w:rsidR="004113A1">
        <w:t>e</w:t>
      </w:r>
      <w:r w:rsidRPr="00F46AE9">
        <w:t xml:space="preserve">xpected </w:t>
      </w:r>
      <w:r w:rsidR="004113A1">
        <w:t>n</w:t>
      </w:r>
      <w:r w:rsidRPr="00F46AE9">
        <w:t xml:space="preserve">et </w:t>
      </w:r>
      <w:r w:rsidR="004113A1">
        <w:t>i</w:t>
      </w:r>
      <w:r w:rsidRPr="00F46AE9">
        <w:t xml:space="preserve">ncrease in </w:t>
      </w:r>
      <w:r w:rsidR="004113A1">
        <w:t>p</w:t>
      </w:r>
      <w:r w:rsidRPr="00F46AE9">
        <w:t xml:space="preserve">articipants in 2021-22 by </w:t>
      </w:r>
      <w:r>
        <w:t>p</w:t>
      </w:r>
      <w:r w:rsidRPr="00F46AE9">
        <w:t xml:space="preserve">rimary </w:t>
      </w:r>
      <w:r>
        <w:t>d</w:t>
      </w:r>
      <w:r w:rsidRPr="00F46AE9">
        <w:t>isability</w:t>
      </w:r>
    </w:p>
    <w:tbl>
      <w:tblPr>
        <w:tblW w:w="8040" w:type="dxa"/>
        <w:tblLook w:val="04A0" w:firstRow="1" w:lastRow="0" w:firstColumn="1" w:lastColumn="0" w:noHBand="0" w:noVBand="1"/>
      </w:tblPr>
      <w:tblGrid>
        <w:gridCol w:w="2576"/>
        <w:gridCol w:w="1313"/>
        <w:gridCol w:w="1317"/>
        <w:gridCol w:w="1417"/>
        <w:gridCol w:w="1417"/>
      </w:tblGrid>
      <w:tr w:rsidR="0093332E" w:rsidRPr="006A1FD8" w14:paraId="22C4059F" w14:textId="77777777" w:rsidTr="008E21F6">
        <w:trPr>
          <w:trHeight w:val="397"/>
          <w:tblHeader/>
        </w:trPr>
        <w:tc>
          <w:tcPr>
            <w:tcW w:w="2576" w:type="dxa"/>
            <w:tcBorders>
              <w:top w:val="nil"/>
              <w:left w:val="nil"/>
              <w:bottom w:val="nil"/>
              <w:right w:val="nil"/>
            </w:tcBorders>
            <w:shd w:val="clear" w:color="000000" w:fill="6B2976"/>
            <w:noWrap/>
            <w:vAlign w:val="center"/>
            <w:hideMark/>
          </w:tcPr>
          <w:p w14:paraId="713B045B" w14:textId="77777777" w:rsidR="0093332E" w:rsidRPr="00DC5E78" w:rsidRDefault="0093332E" w:rsidP="008E21F6">
            <w:pPr>
              <w:spacing w:after="0" w:line="240" w:lineRule="auto"/>
              <w:rPr>
                <w:rFonts w:eastAsia="Times New Roman" w:cs="Arial"/>
                <w:b/>
                <w:bCs/>
                <w:color w:val="FFFFFF"/>
                <w:sz w:val="20"/>
                <w:szCs w:val="20"/>
              </w:rPr>
            </w:pPr>
            <w:r w:rsidRPr="00DC5E78">
              <w:rPr>
                <w:rFonts w:eastAsia="Times New Roman" w:cs="Arial"/>
                <w:b/>
                <w:bCs/>
                <w:color w:val="FFFFFF"/>
                <w:sz w:val="20"/>
                <w:szCs w:val="20"/>
              </w:rPr>
              <w:t>Primary Disability</w:t>
            </w:r>
          </w:p>
        </w:tc>
        <w:tc>
          <w:tcPr>
            <w:tcW w:w="1313" w:type="dxa"/>
            <w:tcBorders>
              <w:top w:val="nil"/>
              <w:left w:val="nil"/>
              <w:bottom w:val="nil"/>
              <w:right w:val="nil"/>
            </w:tcBorders>
            <w:shd w:val="clear" w:color="000000" w:fill="6B2976"/>
            <w:vAlign w:val="center"/>
            <w:hideMark/>
          </w:tcPr>
          <w:p w14:paraId="0022FD0A"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Actual</w:t>
            </w:r>
          </w:p>
        </w:tc>
        <w:tc>
          <w:tcPr>
            <w:tcW w:w="1317" w:type="dxa"/>
            <w:tcBorders>
              <w:top w:val="nil"/>
              <w:left w:val="nil"/>
              <w:bottom w:val="nil"/>
              <w:right w:val="nil"/>
            </w:tcBorders>
            <w:shd w:val="clear" w:color="000000" w:fill="6B2976"/>
            <w:vAlign w:val="center"/>
            <w:hideMark/>
          </w:tcPr>
          <w:p w14:paraId="59522459"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Expected</w:t>
            </w:r>
          </w:p>
        </w:tc>
        <w:tc>
          <w:tcPr>
            <w:tcW w:w="1417" w:type="dxa"/>
            <w:tcBorders>
              <w:top w:val="nil"/>
              <w:left w:val="nil"/>
              <w:bottom w:val="nil"/>
              <w:right w:val="nil"/>
            </w:tcBorders>
            <w:shd w:val="clear" w:color="000000" w:fill="6B2976"/>
            <w:vAlign w:val="center"/>
            <w:hideMark/>
          </w:tcPr>
          <w:p w14:paraId="3F49619F"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Difference</w:t>
            </w:r>
          </w:p>
        </w:tc>
        <w:tc>
          <w:tcPr>
            <w:tcW w:w="1417" w:type="dxa"/>
            <w:tcBorders>
              <w:top w:val="nil"/>
              <w:left w:val="nil"/>
              <w:bottom w:val="nil"/>
              <w:right w:val="nil"/>
            </w:tcBorders>
            <w:shd w:val="clear" w:color="000000" w:fill="6B2976"/>
            <w:vAlign w:val="center"/>
            <w:hideMark/>
          </w:tcPr>
          <w:p w14:paraId="7D32D937"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%Difference</w:t>
            </w:r>
          </w:p>
        </w:tc>
      </w:tr>
      <w:tr w:rsidR="0093332E" w:rsidRPr="006A1FD8" w14:paraId="571AC1B1" w14:textId="77777777" w:rsidTr="008E21F6">
        <w:trPr>
          <w:trHeight w:val="285"/>
          <w:tblHeader/>
        </w:trPr>
        <w:tc>
          <w:tcPr>
            <w:tcW w:w="2576" w:type="dxa"/>
            <w:tcBorders>
              <w:top w:val="nil"/>
              <w:left w:val="nil"/>
              <w:bottom w:val="nil"/>
              <w:right w:val="nil"/>
            </w:tcBorders>
            <w:shd w:val="clear" w:color="auto" w:fill="auto"/>
            <w:noWrap/>
            <w:vAlign w:val="center"/>
            <w:hideMark/>
          </w:tcPr>
          <w:p w14:paraId="55187B4E"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Acquired Brain Injury </w:t>
            </w:r>
          </w:p>
        </w:tc>
        <w:tc>
          <w:tcPr>
            <w:tcW w:w="1313" w:type="dxa"/>
            <w:tcBorders>
              <w:top w:val="nil"/>
              <w:left w:val="nil"/>
              <w:bottom w:val="nil"/>
              <w:right w:val="nil"/>
            </w:tcBorders>
            <w:shd w:val="clear" w:color="auto" w:fill="auto"/>
            <w:noWrap/>
            <w:vAlign w:val="center"/>
            <w:hideMark/>
          </w:tcPr>
          <w:p w14:paraId="273F314F"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1,755</w:t>
            </w:r>
          </w:p>
        </w:tc>
        <w:tc>
          <w:tcPr>
            <w:tcW w:w="1317" w:type="dxa"/>
            <w:tcBorders>
              <w:top w:val="nil"/>
              <w:left w:val="nil"/>
              <w:bottom w:val="nil"/>
              <w:right w:val="nil"/>
            </w:tcBorders>
            <w:shd w:val="clear" w:color="auto" w:fill="auto"/>
            <w:noWrap/>
            <w:vAlign w:val="center"/>
            <w:hideMark/>
          </w:tcPr>
          <w:p w14:paraId="3E537299"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1,174</w:t>
            </w:r>
          </w:p>
        </w:tc>
        <w:tc>
          <w:tcPr>
            <w:tcW w:w="1417" w:type="dxa"/>
            <w:tcBorders>
              <w:top w:val="nil"/>
              <w:left w:val="nil"/>
              <w:bottom w:val="nil"/>
              <w:right w:val="nil"/>
            </w:tcBorders>
            <w:shd w:val="clear" w:color="auto" w:fill="auto"/>
            <w:noWrap/>
            <w:vAlign w:val="center"/>
            <w:hideMark/>
          </w:tcPr>
          <w:p w14:paraId="22603BB0"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581</w:t>
            </w:r>
          </w:p>
        </w:tc>
        <w:tc>
          <w:tcPr>
            <w:tcW w:w="1417" w:type="dxa"/>
            <w:tcBorders>
              <w:top w:val="nil"/>
              <w:left w:val="nil"/>
              <w:bottom w:val="nil"/>
              <w:right w:val="nil"/>
            </w:tcBorders>
            <w:shd w:val="clear" w:color="auto" w:fill="auto"/>
            <w:noWrap/>
            <w:vAlign w:val="center"/>
            <w:hideMark/>
          </w:tcPr>
          <w:p w14:paraId="60DE9C30"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49.5%</w:t>
            </w:r>
          </w:p>
        </w:tc>
      </w:tr>
      <w:tr w:rsidR="0093332E" w:rsidRPr="006A1FD8" w14:paraId="70C65D89" w14:textId="77777777" w:rsidTr="00E55F75">
        <w:trPr>
          <w:trHeight w:val="315"/>
          <w:tblHeader/>
        </w:trPr>
        <w:tc>
          <w:tcPr>
            <w:tcW w:w="2576" w:type="dxa"/>
            <w:tcBorders>
              <w:top w:val="nil"/>
              <w:left w:val="nil"/>
              <w:bottom w:val="nil"/>
              <w:right w:val="nil"/>
            </w:tcBorders>
            <w:shd w:val="clear" w:color="auto" w:fill="BFBFBF" w:themeFill="background1" w:themeFillShade="BF"/>
            <w:noWrap/>
            <w:vAlign w:val="center"/>
            <w:hideMark/>
          </w:tcPr>
          <w:p w14:paraId="38857E7D"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Autism </w:t>
            </w:r>
          </w:p>
        </w:tc>
        <w:tc>
          <w:tcPr>
            <w:tcW w:w="1313" w:type="dxa"/>
            <w:tcBorders>
              <w:top w:val="nil"/>
              <w:left w:val="nil"/>
              <w:bottom w:val="nil"/>
              <w:right w:val="nil"/>
            </w:tcBorders>
            <w:shd w:val="clear" w:color="auto" w:fill="BFBFBF" w:themeFill="background1" w:themeFillShade="BF"/>
            <w:noWrap/>
            <w:vAlign w:val="center"/>
            <w:hideMark/>
          </w:tcPr>
          <w:p w14:paraId="74525D6B"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31,061</w:t>
            </w:r>
          </w:p>
        </w:tc>
        <w:tc>
          <w:tcPr>
            <w:tcW w:w="1317" w:type="dxa"/>
            <w:tcBorders>
              <w:top w:val="nil"/>
              <w:left w:val="nil"/>
              <w:bottom w:val="nil"/>
              <w:right w:val="nil"/>
            </w:tcBorders>
            <w:shd w:val="clear" w:color="auto" w:fill="BFBFBF" w:themeFill="background1" w:themeFillShade="BF"/>
            <w:noWrap/>
            <w:vAlign w:val="center"/>
            <w:hideMark/>
          </w:tcPr>
          <w:p w14:paraId="16D6D42D"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23,824</w:t>
            </w:r>
          </w:p>
        </w:tc>
        <w:tc>
          <w:tcPr>
            <w:tcW w:w="1417" w:type="dxa"/>
            <w:tcBorders>
              <w:top w:val="nil"/>
              <w:left w:val="nil"/>
              <w:bottom w:val="nil"/>
              <w:right w:val="nil"/>
            </w:tcBorders>
            <w:shd w:val="clear" w:color="auto" w:fill="BFBFBF" w:themeFill="background1" w:themeFillShade="BF"/>
            <w:noWrap/>
            <w:vAlign w:val="center"/>
            <w:hideMark/>
          </w:tcPr>
          <w:p w14:paraId="4A967107"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7,237</w:t>
            </w:r>
          </w:p>
        </w:tc>
        <w:tc>
          <w:tcPr>
            <w:tcW w:w="1417" w:type="dxa"/>
            <w:tcBorders>
              <w:top w:val="nil"/>
              <w:left w:val="nil"/>
              <w:bottom w:val="nil"/>
              <w:right w:val="nil"/>
            </w:tcBorders>
            <w:shd w:val="clear" w:color="auto" w:fill="BFBFBF" w:themeFill="background1" w:themeFillShade="BF"/>
            <w:noWrap/>
            <w:vAlign w:val="center"/>
            <w:hideMark/>
          </w:tcPr>
          <w:p w14:paraId="087AF99B"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30.4%</w:t>
            </w:r>
          </w:p>
        </w:tc>
      </w:tr>
      <w:tr w:rsidR="0093332E" w:rsidRPr="006A1FD8" w14:paraId="363952EF" w14:textId="77777777" w:rsidTr="008E21F6">
        <w:trPr>
          <w:trHeight w:val="285"/>
          <w:tblHeader/>
        </w:trPr>
        <w:tc>
          <w:tcPr>
            <w:tcW w:w="2576" w:type="dxa"/>
            <w:tcBorders>
              <w:top w:val="nil"/>
              <w:left w:val="nil"/>
              <w:bottom w:val="nil"/>
              <w:right w:val="nil"/>
            </w:tcBorders>
            <w:shd w:val="clear" w:color="auto" w:fill="auto"/>
            <w:noWrap/>
            <w:vAlign w:val="center"/>
            <w:hideMark/>
          </w:tcPr>
          <w:p w14:paraId="04FF53C0"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Cerebral Palsy </w:t>
            </w:r>
          </w:p>
        </w:tc>
        <w:tc>
          <w:tcPr>
            <w:tcW w:w="1313" w:type="dxa"/>
            <w:tcBorders>
              <w:top w:val="nil"/>
              <w:left w:val="nil"/>
              <w:bottom w:val="nil"/>
              <w:right w:val="nil"/>
            </w:tcBorders>
            <w:shd w:val="clear" w:color="auto" w:fill="auto"/>
            <w:noWrap/>
            <w:vAlign w:val="center"/>
            <w:hideMark/>
          </w:tcPr>
          <w:p w14:paraId="523C8D58"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634</w:t>
            </w:r>
          </w:p>
        </w:tc>
        <w:tc>
          <w:tcPr>
            <w:tcW w:w="1317" w:type="dxa"/>
            <w:tcBorders>
              <w:top w:val="nil"/>
              <w:left w:val="nil"/>
              <w:bottom w:val="nil"/>
              <w:right w:val="nil"/>
            </w:tcBorders>
            <w:shd w:val="clear" w:color="auto" w:fill="auto"/>
            <w:noWrap/>
            <w:vAlign w:val="center"/>
            <w:hideMark/>
          </w:tcPr>
          <w:p w14:paraId="78074354"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672</w:t>
            </w:r>
          </w:p>
        </w:tc>
        <w:tc>
          <w:tcPr>
            <w:tcW w:w="1417" w:type="dxa"/>
            <w:tcBorders>
              <w:top w:val="nil"/>
              <w:left w:val="nil"/>
              <w:bottom w:val="nil"/>
              <w:right w:val="nil"/>
            </w:tcBorders>
            <w:shd w:val="clear" w:color="auto" w:fill="auto"/>
            <w:noWrap/>
            <w:vAlign w:val="center"/>
            <w:hideMark/>
          </w:tcPr>
          <w:p w14:paraId="49AEEFF7"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-38</w:t>
            </w:r>
          </w:p>
        </w:tc>
        <w:tc>
          <w:tcPr>
            <w:tcW w:w="1417" w:type="dxa"/>
            <w:tcBorders>
              <w:top w:val="nil"/>
              <w:left w:val="nil"/>
              <w:bottom w:val="nil"/>
              <w:right w:val="nil"/>
            </w:tcBorders>
            <w:shd w:val="clear" w:color="auto" w:fill="auto"/>
            <w:noWrap/>
            <w:vAlign w:val="center"/>
            <w:hideMark/>
          </w:tcPr>
          <w:p w14:paraId="5738B9B6"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-5.7%</w:t>
            </w:r>
          </w:p>
        </w:tc>
      </w:tr>
      <w:tr w:rsidR="0093332E" w:rsidRPr="006A1FD8" w14:paraId="708C2000" w14:textId="77777777" w:rsidTr="00E55F75">
        <w:trPr>
          <w:trHeight w:val="300"/>
          <w:tblHeader/>
        </w:trPr>
        <w:tc>
          <w:tcPr>
            <w:tcW w:w="2576" w:type="dxa"/>
            <w:tcBorders>
              <w:top w:val="nil"/>
              <w:left w:val="nil"/>
              <w:bottom w:val="nil"/>
              <w:right w:val="nil"/>
            </w:tcBorders>
            <w:shd w:val="clear" w:color="auto" w:fill="BFBFBF" w:themeFill="background1" w:themeFillShade="BF"/>
            <w:noWrap/>
            <w:vAlign w:val="center"/>
            <w:hideMark/>
          </w:tcPr>
          <w:p w14:paraId="502F702B"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Developmental Delay</w:t>
            </w:r>
          </w:p>
        </w:tc>
        <w:tc>
          <w:tcPr>
            <w:tcW w:w="1313" w:type="dxa"/>
            <w:tcBorders>
              <w:top w:val="nil"/>
              <w:left w:val="nil"/>
              <w:bottom w:val="nil"/>
              <w:right w:val="nil"/>
            </w:tcBorders>
            <w:shd w:val="clear" w:color="auto" w:fill="BFBFBF" w:themeFill="background1" w:themeFillShade="BF"/>
            <w:noWrap/>
            <w:vAlign w:val="center"/>
            <w:hideMark/>
          </w:tcPr>
          <w:p w14:paraId="46EEF730"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11,485</w:t>
            </w:r>
          </w:p>
        </w:tc>
        <w:tc>
          <w:tcPr>
            <w:tcW w:w="1317" w:type="dxa"/>
            <w:tcBorders>
              <w:top w:val="nil"/>
              <w:left w:val="nil"/>
              <w:bottom w:val="nil"/>
              <w:right w:val="nil"/>
            </w:tcBorders>
            <w:shd w:val="clear" w:color="auto" w:fill="BFBFBF" w:themeFill="background1" w:themeFillShade="BF"/>
            <w:noWrap/>
            <w:vAlign w:val="center"/>
            <w:hideMark/>
          </w:tcPr>
          <w:p w14:paraId="588DD6E9"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13,263</w:t>
            </w:r>
          </w:p>
        </w:tc>
        <w:tc>
          <w:tcPr>
            <w:tcW w:w="1417" w:type="dxa"/>
            <w:tcBorders>
              <w:top w:val="nil"/>
              <w:left w:val="nil"/>
              <w:bottom w:val="nil"/>
              <w:right w:val="nil"/>
            </w:tcBorders>
            <w:shd w:val="clear" w:color="auto" w:fill="BFBFBF" w:themeFill="background1" w:themeFillShade="BF"/>
            <w:noWrap/>
            <w:vAlign w:val="center"/>
            <w:hideMark/>
          </w:tcPr>
          <w:p w14:paraId="547A86C1"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-1,778</w:t>
            </w:r>
          </w:p>
        </w:tc>
        <w:tc>
          <w:tcPr>
            <w:tcW w:w="1417" w:type="dxa"/>
            <w:tcBorders>
              <w:top w:val="nil"/>
              <w:left w:val="nil"/>
              <w:bottom w:val="nil"/>
              <w:right w:val="nil"/>
            </w:tcBorders>
            <w:shd w:val="clear" w:color="auto" w:fill="BFBFBF" w:themeFill="background1" w:themeFillShade="BF"/>
            <w:noWrap/>
            <w:vAlign w:val="center"/>
            <w:hideMark/>
          </w:tcPr>
          <w:p w14:paraId="7B907958"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-13.4%</w:t>
            </w:r>
          </w:p>
        </w:tc>
      </w:tr>
      <w:tr w:rsidR="0093332E" w:rsidRPr="006A1FD8" w14:paraId="5267FC11" w14:textId="77777777" w:rsidTr="008E21F6">
        <w:trPr>
          <w:trHeight w:val="285"/>
          <w:tblHeader/>
        </w:trPr>
        <w:tc>
          <w:tcPr>
            <w:tcW w:w="2576" w:type="dxa"/>
            <w:tcBorders>
              <w:top w:val="nil"/>
              <w:left w:val="nil"/>
              <w:bottom w:val="nil"/>
              <w:right w:val="nil"/>
            </w:tcBorders>
            <w:shd w:val="clear" w:color="auto" w:fill="auto"/>
            <w:noWrap/>
            <w:vAlign w:val="center"/>
            <w:hideMark/>
          </w:tcPr>
          <w:p w14:paraId="4AB483BB"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Hearing Impairment </w:t>
            </w:r>
          </w:p>
        </w:tc>
        <w:tc>
          <w:tcPr>
            <w:tcW w:w="1313" w:type="dxa"/>
            <w:tcBorders>
              <w:top w:val="nil"/>
              <w:left w:val="nil"/>
              <w:bottom w:val="nil"/>
              <w:right w:val="nil"/>
            </w:tcBorders>
            <w:shd w:val="clear" w:color="auto" w:fill="auto"/>
            <w:noWrap/>
            <w:vAlign w:val="center"/>
            <w:hideMark/>
          </w:tcPr>
          <w:p w14:paraId="0A2E6DC9"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2,252</w:t>
            </w:r>
          </w:p>
        </w:tc>
        <w:tc>
          <w:tcPr>
            <w:tcW w:w="1317" w:type="dxa"/>
            <w:tcBorders>
              <w:top w:val="nil"/>
              <w:left w:val="nil"/>
              <w:bottom w:val="nil"/>
              <w:right w:val="nil"/>
            </w:tcBorders>
            <w:shd w:val="clear" w:color="auto" w:fill="auto"/>
            <w:noWrap/>
            <w:vAlign w:val="center"/>
            <w:hideMark/>
          </w:tcPr>
          <w:p w14:paraId="32366B1F"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2,951</w:t>
            </w:r>
          </w:p>
        </w:tc>
        <w:tc>
          <w:tcPr>
            <w:tcW w:w="1417" w:type="dxa"/>
            <w:tcBorders>
              <w:top w:val="nil"/>
              <w:left w:val="nil"/>
              <w:bottom w:val="nil"/>
              <w:right w:val="nil"/>
            </w:tcBorders>
            <w:shd w:val="clear" w:color="auto" w:fill="auto"/>
            <w:noWrap/>
            <w:vAlign w:val="center"/>
            <w:hideMark/>
          </w:tcPr>
          <w:p w14:paraId="6CB85974"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-699</w:t>
            </w:r>
          </w:p>
        </w:tc>
        <w:tc>
          <w:tcPr>
            <w:tcW w:w="1417" w:type="dxa"/>
            <w:tcBorders>
              <w:top w:val="nil"/>
              <w:left w:val="nil"/>
              <w:bottom w:val="nil"/>
              <w:right w:val="nil"/>
            </w:tcBorders>
            <w:shd w:val="clear" w:color="auto" w:fill="auto"/>
            <w:noWrap/>
            <w:vAlign w:val="center"/>
            <w:hideMark/>
          </w:tcPr>
          <w:p w14:paraId="774CA522"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-23.7%</w:t>
            </w:r>
          </w:p>
        </w:tc>
      </w:tr>
      <w:tr w:rsidR="0093332E" w:rsidRPr="006A1FD8" w14:paraId="22ED1EA0" w14:textId="77777777" w:rsidTr="00E55F75">
        <w:trPr>
          <w:trHeight w:val="300"/>
          <w:tblHeader/>
        </w:trPr>
        <w:tc>
          <w:tcPr>
            <w:tcW w:w="2576" w:type="dxa"/>
            <w:tcBorders>
              <w:top w:val="nil"/>
              <w:left w:val="nil"/>
              <w:bottom w:val="nil"/>
              <w:right w:val="nil"/>
            </w:tcBorders>
            <w:shd w:val="clear" w:color="auto" w:fill="BFBFBF" w:themeFill="background1" w:themeFillShade="BF"/>
            <w:noWrap/>
            <w:vAlign w:val="center"/>
            <w:hideMark/>
          </w:tcPr>
          <w:p w14:paraId="7A3DF59C"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Intellectual Disability </w:t>
            </w:r>
          </w:p>
        </w:tc>
        <w:tc>
          <w:tcPr>
            <w:tcW w:w="1313" w:type="dxa"/>
            <w:tcBorders>
              <w:top w:val="nil"/>
              <w:left w:val="nil"/>
              <w:bottom w:val="nil"/>
              <w:right w:val="nil"/>
            </w:tcBorders>
            <w:shd w:val="clear" w:color="auto" w:fill="BFBFBF" w:themeFill="background1" w:themeFillShade="BF"/>
            <w:noWrap/>
            <w:vAlign w:val="center"/>
            <w:hideMark/>
          </w:tcPr>
          <w:p w14:paraId="36044EEB"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5,158</w:t>
            </w:r>
          </w:p>
        </w:tc>
        <w:tc>
          <w:tcPr>
            <w:tcW w:w="1317" w:type="dxa"/>
            <w:tcBorders>
              <w:top w:val="nil"/>
              <w:left w:val="nil"/>
              <w:bottom w:val="nil"/>
              <w:right w:val="nil"/>
            </w:tcBorders>
            <w:shd w:val="clear" w:color="auto" w:fill="BFBFBF" w:themeFill="background1" w:themeFillShade="BF"/>
            <w:noWrap/>
            <w:vAlign w:val="center"/>
            <w:hideMark/>
          </w:tcPr>
          <w:p w14:paraId="5E5460EA"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6,803</w:t>
            </w:r>
          </w:p>
        </w:tc>
        <w:tc>
          <w:tcPr>
            <w:tcW w:w="1417" w:type="dxa"/>
            <w:tcBorders>
              <w:top w:val="nil"/>
              <w:left w:val="nil"/>
              <w:bottom w:val="nil"/>
              <w:right w:val="nil"/>
            </w:tcBorders>
            <w:shd w:val="clear" w:color="auto" w:fill="BFBFBF" w:themeFill="background1" w:themeFillShade="BF"/>
            <w:noWrap/>
            <w:vAlign w:val="center"/>
            <w:hideMark/>
          </w:tcPr>
          <w:p w14:paraId="6616DF27"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-1,645</w:t>
            </w:r>
          </w:p>
        </w:tc>
        <w:tc>
          <w:tcPr>
            <w:tcW w:w="1417" w:type="dxa"/>
            <w:tcBorders>
              <w:top w:val="nil"/>
              <w:left w:val="nil"/>
              <w:bottom w:val="nil"/>
              <w:right w:val="nil"/>
            </w:tcBorders>
            <w:shd w:val="clear" w:color="auto" w:fill="BFBFBF" w:themeFill="background1" w:themeFillShade="BF"/>
            <w:noWrap/>
            <w:vAlign w:val="center"/>
            <w:hideMark/>
          </w:tcPr>
          <w:p w14:paraId="167BB576"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-24.2%</w:t>
            </w:r>
          </w:p>
        </w:tc>
      </w:tr>
      <w:tr w:rsidR="0093332E" w:rsidRPr="006A1FD8" w14:paraId="7AE85283" w14:textId="77777777" w:rsidTr="008E21F6">
        <w:trPr>
          <w:trHeight w:val="300"/>
          <w:tblHeader/>
        </w:trPr>
        <w:tc>
          <w:tcPr>
            <w:tcW w:w="2576" w:type="dxa"/>
            <w:tcBorders>
              <w:top w:val="nil"/>
              <w:left w:val="nil"/>
              <w:bottom w:val="nil"/>
              <w:right w:val="nil"/>
            </w:tcBorders>
            <w:shd w:val="clear" w:color="auto" w:fill="auto"/>
            <w:noWrap/>
            <w:vAlign w:val="center"/>
            <w:hideMark/>
          </w:tcPr>
          <w:p w14:paraId="7DBCA0C9"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Multiple Sclerosis </w:t>
            </w:r>
          </w:p>
        </w:tc>
        <w:tc>
          <w:tcPr>
            <w:tcW w:w="1313" w:type="dxa"/>
            <w:tcBorders>
              <w:top w:val="nil"/>
              <w:left w:val="nil"/>
              <w:bottom w:val="nil"/>
              <w:right w:val="nil"/>
            </w:tcBorders>
            <w:shd w:val="clear" w:color="auto" w:fill="auto"/>
            <w:noWrap/>
            <w:vAlign w:val="center"/>
            <w:hideMark/>
          </w:tcPr>
          <w:p w14:paraId="487135DB"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1,000</w:t>
            </w:r>
          </w:p>
        </w:tc>
        <w:tc>
          <w:tcPr>
            <w:tcW w:w="1317" w:type="dxa"/>
            <w:tcBorders>
              <w:top w:val="nil"/>
              <w:left w:val="nil"/>
              <w:bottom w:val="nil"/>
              <w:right w:val="nil"/>
            </w:tcBorders>
            <w:shd w:val="clear" w:color="auto" w:fill="auto"/>
            <w:noWrap/>
            <w:vAlign w:val="center"/>
            <w:hideMark/>
          </w:tcPr>
          <w:p w14:paraId="3A2BEFB2"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768</w:t>
            </w:r>
          </w:p>
        </w:tc>
        <w:tc>
          <w:tcPr>
            <w:tcW w:w="1417" w:type="dxa"/>
            <w:tcBorders>
              <w:top w:val="nil"/>
              <w:left w:val="nil"/>
              <w:bottom w:val="nil"/>
              <w:right w:val="nil"/>
            </w:tcBorders>
            <w:shd w:val="clear" w:color="auto" w:fill="auto"/>
            <w:noWrap/>
            <w:vAlign w:val="center"/>
            <w:hideMark/>
          </w:tcPr>
          <w:p w14:paraId="42975109"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232</w:t>
            </w:r>
          </w:p>
        </w:tc>
        <w:tc>
          <w:tcPr>
            <w:tcW w:w="1417" w:type="dxa"/>
            <w:tcBorders>
              <w:top w:val="nil"/>
              <w:left w:val="nil"/>
              <w:bottom w:val="nil"/>
              <w:right w:val="nil"/>
            </w:tcBorders>
            <w:shd w:val="clear" w:color="auto" w:fill="auto"/>
            <w:noWrap/>
            <w:vAlign w:val="center"/>
            <w:hideMark/>
          </w:tcPr>
          <w:p w14:paraId="420CAA26"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30.3%</w:t>
            </w:r>
          </w:p>
        </w:tc>
      </w:tr>
      <w:tr w:rsidR="0093332E" w:rsidRPr="006A1FD8" w14:paraId="61C4228C" w14:textId="77777777" w:rsidTr="00E55F75">
        <w:trPr>
          <w:trHeight w:val="285"/>
          <w:tblHeader/>
        </w:trPr>
        <w:tc>
          <w:tcPr>
            <w:tcW w:w="2576" w:type="dxa"/>
            <w:tcBorders>
              <w:top w:val="nil"/>
              <w:left w:val="nil"/>
              <w:bottom w:val="nil"/>
              <w:right w:val="nil"/>
            </w:tcBorders>
            <w:shd w:val="clear" w:color="auto" w:fill="BFBFBF" w:themeFill="background1" w:themeFillShade="BF"/>
            <w:noWrap/>
            <w:vAlign w:val="center"/>
            <w:hideMark/>
          </w:tcPr>
          <w:p w14:paraId="3DB25C35"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Other </w:t>
            </w:r>
          </w:p>
        </w:tc>
        <w:tc>
          <w:tcPr>
            <w:tcW w:w="1313" w:type="dxa"/>
            <w:tcBorders>
              <w:top w:val="nil"/>
              <w:left w:val="nil"/>
              <w:bottom w:val="nil"/>
              <w:right w:val="nil"/>
            </w:tcBorders>
            <w:shd w:val="clear" w:color="auto" w:fill="BFBFBF" w:themeFill="background1" w:themeFillShade="BF"/>
            <w:noWrap/>
            <w:vAlign w:val="center"/>
            <w:hideMark/>
          </w:tcPr>
          <w:p w14:paraId="7E883764"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2,596</w:t>
            </w:r>
          </w:p>
        </w:tc>
        <w:tc>
          <w:tcPr>
            <w:tcW w:w="1317" w:type="dxa"/>
            <w:tcBorders>
              <w:top w:val="nil"/>
              <w:left w:val="nil"/>
              <w:bottom w:val="nil"/>
              <w:right w:val="nil"/>
            </w:tcBorders>
            <w:shd w:val="clear" w:color="auto" w:fill="BFBFBF" w:themeFill="background1" w:themeFillShade="BF"/>
            <w:noWrap/>
            <w:vAlign w:val="center"/>
            <w:hideMark/>
          </w:tcPr>
          <w:p w14:paraId="4AC1E4DF"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1,454</w:t>
            </w:r>
          </w:p>
        </w:tc>
        <w:tc>
          <w:tcPr>
            <w:tcW w:w="1417" w:type="dxa"/>
            <w:tcBorders>
              <w:top w:val="nil"/>
              <w:left w:val="nil"/>
              <w:bottom w:val="nil"/>
              <w:right w:val="nil"/>
            </w:tcBorders>
            <w:shd w:val="clear" w:color="auto" w:fill="BFBFBF" w:themeFill="background1" w:themeFillShade="BF"/>
            <w:noWrap/>
            <w:vAlign w:val="center"/>
            <w:hideMark/>
          </w:tcPr>
          <w:p w14:paraId="0B762E6F"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1,142</w:t>
            </w:r>
          </w:p>
        </w:tc>
        <w:tc>
          <w:tcPr>
            <w:tcW w:w="1417" w:type="dxa"/>
            <w:tcBorders>
              <w:top w:val="nil"/>
              <w:left w:val="nil"/>
              <w:bottom w:val="nil"/>
              <w:right w:val="nil"/>
            </w:tcBorders>
            <w:shd w:val="clear" w:color="auto" w:fill="BFBFBF" w:themeFill="background1" w:themeFillShade="BF"/>
            <w:noWrap/>
            <w:vAlign w:val="center"/>
            <w:hideMark/>
          </w:tcPr>
          <w:p w14:paraId="4FE00F9F"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78.5%</w:t>
            </w:r>
          </w:p>
        </w:tc>
      </w:tr>
      <w:tr w:rsidR="0093332E" w:rsidRPr="006A1FD8" w14:paraId="1721AF16" w14:textId="77777777" w:rsidTr="008E21F6">
        <w:trPr>
          <w:trHeight w:val="285"/>
          <w:tblHeader/>
        </w:trPr>
        <w:tc>
          <w:tcPr>
            <w:tcW w:w="2576" w:type="dxa"/>
            <w:tcBorders>
              <w:top w:val="nil"/>
              <w:left w:val="nil"/>
              <w:bottom w:val="nil"/>
              <w:right w:val="nil"/>
            </w:tcBorders>
            <w:shd w:val="clear" w:color="auto" w:fill="auto"/>
            <w:noWrap/>
            <w:vAlign w:val="center"/>
            <w:hideMark/>
          </w:tcPr>
          <w:p w14:paraId="3C6E4241"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Other Neurological </w:t>
            </w:r>
          </w:p>
        </w:tc>
        <w:tc>
          <w:tcPr>
            <w:tcW w:w="1313" w:type="dxa"/>
            <w:tcBorders>
              <w:top w:val="nil"/>
              <w:left w:val="nil"/>
              <w:bottom w:val="nil"/>
              <w:right w:val="nil"/>
            </w:tcBorders>
            <w:shd w:val="clear" w:color="auto" w:fill="auto"/>
            <w:noWrap/>
            <w:vAlign w:val="center"/>
            <w:hideMark/>
          </w:tcPr>
          <w:p w14:paraId="6CF098F1"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1,596</w:t>
            </w:r>
          </w:p>
        </w:tc>
        <w:tc>
          <w:tcPr>
            <w:tcW w:w="1317" w:type="dxa"/>
            <w:tcBorders>
              <w:top w:val="nil"/>
              <w:left w:val="nil"/>
              <w:bottom w:val="nil"/>
              <w:right w:val="nil"/>
            </w:tcBorders>
            <w:shd w:val="clear" w:color="auto" w:fill="auto"/>
            <w:noWrap/>
            <w:vAlign w:val="center"/>
            <w:hideMark/>
          </w:tcPr>
          <w:p w14:paraId="652853E1"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1,812</w:t>
            </w:r>
          </w:p>
        </w:tc>
        <w:tc>
          <w:tcPr>
            <w:tcW w:w="1417" w:type="dxa"/>
            <w:tcBorders>
              <w:top w:val="nil"/>
              <w:left w:val="nil"/>
              <w:bottom w:val="nil"/>
              <w:right w:val="nil"/>
            </w:tcBorders>
            <w:shd w:val="clear" w:color="auto" w:fill="auto"/>
            <w:noWrap/>
            <w:vAlign w:val="center"/>
            <w:hideMark/>
          </w:tcPr>
          <w:p w14:paraId="5726C22B"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-216</w:t>
            </w:r>
          </w:p>
        </w:tc>
        <w:tc>
          <w:tcPr>
            <w:tcW w:w="1417" w:type="dxa"/>
            <w:tcBorders>
              <w:top w:val="nil"/>
              <w:left w:val="nil"/>
              <w:bottom w:val="nil"/>
              <w:right w:val="nil"/>
            </w:tcBorders>
            <w:shd w:val="clear" w:color="auto" w:fill="auto"/>
            <w:noWrap/>
            <w:vAlign w:val="center"/>
            <w:hideMark/>
          </w:tcPr>
          <w:p w14:paraId="04F3C6E3"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-11.9%</w:t>
            </w:r>
          </w:p>
        </w:tc>
      </w:tr>
      <w:tr w:rsidR="0093332E" w:rsidRPr="006A1FD8" w14:paraId="6D799C0E" w14:textId="77777777" w:rsidTr="00E55F75">
        <w:trPr>
          <w:trHeight w:val="300"/>
          <w:tblHeader/>
        </w:trPr>
        <w:tc>
          <w:tcPr>
            <w:tcW w:w="2576" w:type="dxa"/>
            <w:tcBorders>
              <w:top w:val="nil"/>
              <w:left w:val="nil"/>
              <w:bottom w:val="nil"/>
              <w:right w:val="nil"/>
            </w:tcBorders>
            <w:shd w:val="clear" w:color="auto" w:fill="BFBFBF" w:themeFill="background1" w:themeFillShade="BF"/>
            <w:noWrap/>
            <w:vAlign w:val="center"/>
            <w:hideMark/>
          </w:tcPr>
          <w:p w14:paraId="02469073"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Other Physical </w:t>
            </w:r>
          </w:p>
        </w:tc>
        <w:tc>
          <w:tcPr>
            <w:tcW w:w="1313" w:type="dxa"/>
            <w:tcBorders>
              <w:top w:val="nil"/>
              <w:left w:val="nil"/>
              <w:bottom w:val="nil"/>
              <w:right w:val="nil"/>
            </w:tcBorders>
            <w:shd w:val="clear" w:color="auto" w:fill="BFBFBF" w:themeFill="background1" w:themeFillShade="BF"/>
            <w:noWrap/>
            <w:vAlign w:val="center"/>
            <w:hideMark/>
          </w:tcPr>
          <w:p w14:paraId="68203AC1"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751</w:t>
            </w:r>
          </w:p>
        </w:tc>
        <w:tc>
          <w:tcPr>
            <w:tcW w:w="1317" w:type="dxa"/>
            <w:tcBorders>
              <w:top w:val="nil"/>
              <w:left w:val="nil"/>
              <w:bottom w:val="nil"/>
              <w:right w:val="nil"/>
            </w:tcBorders>
            <w:shd w:val="clear" w:color="auto" w:fill="BFBFBF" w:themeFill="background1" w:themeFillShade="BF"/>
            <w:noWrap/>
            <w:vAlign w:val="center"/>
            <w:hideMark/>
          </w:tcPr>
          <w:p w14:paraId="377AFA0C"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1,898</w:t>
            </w:r>
          </w:p>
        </w:tc>
        <w:tc>
          <w:tcPr>
            <w:tcW w:w="1417" w:type="dxa"/>
            <w:tcBorders>
              <w:top w:val="nil"/>
              <w:left w:val="nil"/>
              <w:bottom w:val="nil"/>
              <w:right w:val="nil"/>
            </w:tcBorders>
            <w:shd w:val="clear" w:color="auto" w:fill="BFBFBF" w:themeFill="background1" w:themeFillShade="BF"/>
            <w:noWrap/>
            <w:vAlign w:val="center"/>
            <w:hideMark/>
          </w:tcPr>
          <w:p w14:paraId="03D7797A"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-1,147</w:t>
            </w:r>
          </w:p>
        </w:tc>
        <w:tc>
          <w:tcPr>
            <w:tcW w:w="1417" w:type="dxa"/>
            <w:tcBorders>
              <w:top w:val="nil"/>
              <w:left w:val="nil"/>
              <w:bottom w:val="nil"/>
              <w:right w:val="nil"/>
            </w:tcBorders>
            <w:shd w:val="clear" w:color="auto" w:fill="BFBFBF" w:themeFill="background1" w:themeFillShade="BF"/>
            <w:noWrap/>
            <w:vAlign w:val="center"/>
            <w:hideMark/>
          </w:tcPr>
          <w:p w14:paraId="7C5BEBFF"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-60.4%</w:t>
            </w:r>
          </w:p>
        </w:tc>
      </w:tr>
      <w:tr w:rsidR="0093332E" w:rsidRPr="006A1FD8" w14:paraId="559E1430" w14:textId="77777777" w:rsidTr="008E21F6">
        <w:trPr>
          <w:trHeight w:val="285"/>
          <w:tblHeader/>
        </w:trPr>
        <w:tc>
          <w:tcPr>
            <w:tcW w:w="2576" w:type="dxa"/>
            <w:tcBorders>
              <w:top w:val="nil"/>
              <w:left w:val="nil"/>
              <w:bottom w:val="nil"/>
              <w:right w:val="nil"/>
            </w:tcBorders>
            <w:shd w:val="clear" w:color="auto" w:fill="auto"/>
            <w:noWrap/>
            <w:vAlign w:val="center"/>
            <w:hideMark/>
          </w:tcPr>
          <w:p w14:paraId="6D64C031"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Other Sensory/Speech </w:t>
            </w:r>
          </w:p>
        </w:tc>
        <w:tc>
          <w:tcPr>
            <w:tcW w:w="1313" w:type="dxa"/>
            <w:tcBorders>
              <w:top w:val="nil"/>
              <w:left w:val="nil"/>
              <w:bottom w:val="nil"/>
              <w:right w:val="nil"/>
            </w:tcBorders>
            <w:shd w:val="clear" w:color="auto" w:fill="auto"/>
            <w:noWrap/>
            <w:vAlign w:val="center"/>
            <w:hideMark/>
          </w:tcPr>
          <w:p w14:paraId="4D2E026C"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-515</w:t>
            </w:r>
          </w:p>
        </w:tc>
        <w:tc>
          <w:tcPr>
            <w:tcW w:w="1317" w:type="dxa"/>
            <w:tcBorders>
              <w:top w:val="nil"/>
              <w:left w:val="nil"/>
              <w:bottom w:val="nil"/>
              <w:right w:val="nil"/>
            </w:tcBorders>
            <w:shd w:val="clear" w:color="auto" w:fill="auto"/>
            <w:noWrap/>
            <w:vAlign w:val="center"/>
            <w:hideMark/>
          </w:tcPr>
          <w:p w14:paraId="791FD55A"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209</w:t>
            </w:r>
          </w:p>
        </w:tc>
        <w:tc>
          <w:tcPr>
            <w:tcW w:w="1417" w:type="dxa"/>
            <w:tcBorders>
              <w:top w:val="nil"/>
              <w:left w:val="nil"/>
              <w:bottom w:val="nil"/>
              <w:right w:val="nil"/>
            </w:tcBorders>
            <w:shd w:val="clear" w:color="auto" w:fill="auto"/>
            <w:noWrap/>
            <w:vAlign w:val="center"/>
            <w:hideMark/>
          </w:tcPr>
          <w:p w14:paraId="5548E205"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-724</w:t>
            </w:r>
          </w:p>
        </w:tc>
        <w:tc>
          <w:tcPr>
            <w:tcW w:w="1417" w:type="dxa"/>
            <w:tcBorders>
              <w:top w:val="nil"/>
              <w:left w:val="nil"/>
              <w:bottom w:val="nil"/>
              <w:right w:val="nil"/>
            </w:tcBorders>
            <w:shd w:val="clear" w:color="auto" w:fill="auto"/>
            <w:noWrap/>
            <w:vAlign w:val="center"/>
            <w:hideMark/>
          </w:tcPr>
          <w:p w14:paraId="6813AB43"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-346.1%</w:t>
            </w:r>
          </w:p>
        </w:tc>
      </w:tr>
      <w:tr w:rsidR="0093332E" w:rsidRPr="006A1FD8" w14:paraId="5D231ACC" w14:textId="77777777" w:rsidTr="00E55F75">
        <w:trPr>
          <w:trHeight w:val="300"/>
          <w:tblHeader/>
        </w:trPr>
        <w:tc>
          <w:tcPr>
            <w:tcW w:w="2576" w:type="dxa"/>
            <w:tcBorders>
              <w:top w:val="nil"/>
              <w:left w:val="nil"/>
              <w:bottom w:val="nil"/>
              <w:right w:val="nil"/>
            </w:tcBorders>
            <w:shd w:val="clear" w:color="auto" w:fill="BFBFBF" w:themeFill="background1" w:themeFillShade="BF"/>
            <w:noWrap/>
            <w:vAlign w:val="center"/>
            <w:hideMark/>
          </w:tcPr>
          <w:p w14:paraId="2C795007"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Psychosocial Disability </w:t>
            </w:r>
          </w:p>
        </w:tc>
        <w:tc>
          <w:tcPr>
            <w:tcW w:w="1313" w:type="dxa"/>
            <w:tcBorders>
              <w:top w:val="nil"/>
              <w:left w:val="nil"/>
              <w:bottom w:val="nil"/>
              <w:right w:val="nil"/>
            </w:tcBorders>
            <w:shd w:val="clear" w:color="auto" w:fill="BFBFBF" w:themeFill="background1" w:themeFillShade="BF"/>
            <w:noWrap/>
            <w:vAlign w:val="center"/>
            <w:hideMark/>
          </w:tcPr>
          <w:p w14:paraId="44FFE72C"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8,099</w:t>
            </w:r>
          </w:p>
        </w:tc>
        <w:tc>
          <w:tcPr>
            <w:tcW w:w="1317" w:type="dxa"/>
            <w:tcBorders>
              <w:top w:val="nil"/>
              <w:left w:val="nil"/>
              <w:bottom w:val="nil"/>
              <w:right w:val="nil"/>
            </w:tcBorders>
            <w:shd w:val="clear" w:color="auto" w:fill="BFBFBF" w:themeFill="background1" w:themeFillShade="BF"/>
            <w:noWrap/>
            <w:vAlign w:val="center"/>
            <w:hideMark/>
          </w:tcPr>
          <w:p w14:paraId="28545987"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7,135</w:t>
            </w:r>
          </w:p>
        </w:tc>
        <w:tc>
          <w:tcPr>
            <w:tcW w:w="1417" w:type="dxa"/>
            <w:tcBorders>
              <w:top w:val="nil"/>
              <w:left w:val="nil"/>
              <w:bottom w:val="nil"/>
              <w:right w:val="nil"/>
            </w:tcBorders>
            <w:shd w:val="clear" w:color="auto" w:fill="BFBFBF" w:themeFill="background1" w:themeFillShade="BF"/>
            <w:noWrap/>
            <w:vAlign w:val="center"/>
            <w:hideMark/>
          </w:tcPr>
          <w:p w14:paraId="46FB6204"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964</w:t>
            </w:r>
          </w:p>
        </w:tc>
        <w:tc>
          <w:tcPr>
            <w:tcW w:w="1417" w:type="dxa"/>
            <w:tcBorders>
              <w:top w:val="nil"/>
              <w:left w:val="nil"/>
              <w:bottom w:val="nil"/>
              <w:right w:val="nil"/>
            </w:tcBorders>
            <w:shd w:val="clear" w:color="auto" w:fill="BFBFBF" w:themeFill="background1" w:themeFillShade="BF"/>
            <w:noWrap/>
            <w:vAlign w:val="center"/>
            <w:hideMark/>
          </w:tcPr>
          <w:p w14:paraId="34EC025B"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13.5%</w:t>
            </w:r>
          </w:p>
        </w:tc>
      </w:tr>
      <w:tr w:rsidR="0093332E" w:rsidRPr="006A1FD8" w14:paraId="62F6CADC" w14:textId="77777777" w:rsidTr="008E21F6">
        <w:trPr>
          <w:trHeight w:val="285"/>
          <w:tblHeader/>
        </w:trPr>
        <w:tc>
          <w:tcPr>
            <w:tcW w:w="2576" w:type="dxa"/>
            <w:tcBorders>
              <w:top w:val="nil"/>
              <w:left w:val="nil"/>
              <w:bottom w:val="nil"/>
              <w:right w:val="nil"/>
            </w:tcBorders>
            <w:shd w:val="clear" w:color="auto" w:fill="auto"/>
            <w:noWrap/>
            <w:vAlign w:val="center"/>
            <w:hideMark/>
          </w:tcPr>
          <w:p w14:paraId="26C7F7BA"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Spinal Cord Injury </w:t>
            </w:r>
          </w:p>
        </w:tc>
        <w:tc>
          <w:tcPr>
            <w:tcW w:w="1313" w:type="dxa"/>
            <w:tcBorders>
              <w:top w:val="nil"/>
              <w:left w:val="nil"/>
              <w:bottom w:val="nil"/>
              <w:right w:val="nil"/>
            </w:tcBorders>
            <w:shd w:val="clear" w:color="auto" w:fill="auto"/>
            <w:noWrap/>
            <w:vAlign w:val="center"/>
            <w:hideMark/>
          </w:tcPr>
          <w:p w14:paraId="60775876"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429</w:t>
            </w:r>
          </w:p>
        </w:tc>
        <w:tc>
          <w:tcPr>
            <w:tcW w:w="1317" w:type="dxa"/>
            <w:tcBorders>
              <w:top w:val="nil"/>
              <w:left w:val="nil"/>
              <w:bottom w:val="nil"/>
              <w:right w:val="nil"/>
            </w:tcBorders>
            <w:shd w:val="clear" w:color="auto" w:fill="auto"/>
            <w:noWrap/>
            <w:vAlign w:val="center"/>
            <w:hideMark/>
          </w:tcPr>
          <w:p w14:paraId="5D89820E"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305</w:t>
            </w:r>
          </w:p>
        </w:tc>
        <w:tc>
          <w:tcPr>
            <w:tcW w:w="1417" w:type="dxa"/>
            <w:tcBorders>
              <w:top w:val="nil"/>
              <w:left w:val="nil"/>
              <w:bottom w:val="nil"/>
              <w:right w:val="nil"/>
            </w:tcBorders>
            <w:shd w:val="clear" w:color="auto" w:fill="auto"/>
            <w:noWrap/>
            <w:vAlign w:val="center"/>
            <w:hideMark/>
          </w:tcPr>
          <w:p w14:paraId="7F4F2F18"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124</w:t>
            </w:r>
          </w:p>
        </w:tc>
        <w:tc>
          <w:tcPr>
            <w:tcW w:w="1417" w:type="dxa"/>
            <w:tcBorders>
              <w:top w:val="nil"/>
              <w:left w:val="nil"/>
              <w:bottom w:val="nil"/>
              <w:right w:val="nil"/>
            </w:tcBorders>
            <w:shd w:val="clear" w:color="auto" w:fill="auto"/>
            <w:noWrap/>
            <w:vAlign w:val="center"/>
            <w:hideMark/>
          </w:tcPr>
          <w:p w14:paraId="1BCEAE06"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40.4%</w:t>
            </w:r>
          </w:p>
        </w:tc>
      </w:tr>
      <w:tr w:rsidR="0093332E" w:rsidRPr="006A1FD8" w14:paraId="5BBDC5C4" w14:textId="77777777" w:rsidTr="00E55F75">
        <w:trPr>
          <w:trHeight w:val="285"/>
          <w:tblHeader/>
        </w:trPr>
        <w:tc>
          <w:tcPr>
            <w:tcW w:w="2576" w:type="dxa"/>
            <w:tcBorders>
              <w:top w:val="nil"/>
              <w:left w:val="nil"/>
              <w:bottom w:val="nil"/>
              <w:right w:val="nil"/>
            </w:tcBorders>
            <w:shd w:val="clear" w:color="auto" w:fill="BFBFBF" w:themeFill="background1" w:themeFillShade="BF"/>
            <w:noWrap/>
            <w:vAlign w:val="center"/>
            <w:hideMark/>
          </w:tcPr>
          <w:p w14:paraId="30D139FB"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Stroke </w:t>
            </w:r>
          </w:p>
        </w:tc>
        <w:tc>
          <w:tcPr>
            <w:tcW w:w="1313" w:type="dxa"/>
            <w:tcBorders>
              <w:top w:val="nil"/>
              <w:left w:val="nil"/>
              <w:bottom w:val="nil"/>
              <w:right w:val="nil"/>
            </w:tcBorders>
            <w:shd w:val="clear" w:color="auto" w:fill="BFBFBF" w:themeFill="background1" w:themeFillShade="BF"/>
            <w:noWrap/>
            <w:vAlign w:val="center"/>
            <w:hideMark/>
          </w:tcPr>
          <w:p w14:paraId="65AA26C7"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1,159</w:t>
            </w:r>
          </w:p>
        </w:tc>
        <w:tc>
          <w:tcPr>
            <w:tcW w:w="1317" w:type="dxa"/>
            <w:tcBorders>
              <w:top w:val="nil"/>
              <w:left w:val="nil"/>
              <w:bottom w:val="nil"/>
              <w:right w:val="nil"/>
            </w:tcBorders>
            <w:shd w:val="clear" w:color="auto" w:fill="BFBFBF" w:themeFill="background1" w:themeFillShade="BF"/>
            <w:noWrap/>
            <w:vAlign w:val="center"/>
            <w:hideMark/>
          </w:tcPr>
          <w:p w14:paraId="4B9E7CE7"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957</w:t>
            </w:r>
          </w:p>
        </w:tc>
        <w:tc>
          <w:tcPr>
            <w:tcW w:w="1417" w:type="dxa"/>
            <w:tcBorders>
              <w:top w:val="nil"/>
              <w:left w:val="nil"/>
              <w:bottom w:val="nil"/>
              <w:right w:val="nil"/>
            </w:tcBorders>
            <w:shd w:val="clear" w:color="auto" w:fill="BFBFBF" w:themeFill="background1" w:themeFillShade="BF"/>
            <w:noWrap/>
            <w:vAlign w:val="center"/>
            <w:hideMark/>
          </w:tcPr>
          <w:p w14:paraId="1A2A973E"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202</w:t>
            </w:r>
          </w:p>
        </w:tc>
        <w:tc>
          <w:tcPr>
            <w:tcW w:w="1417" w:type="dxa"/>
            <w:tcBorders>
              <w:top w:val="nil"/>
              <w:left w:val="nil"/>
              <w:bottom w:val="nil"/>
              <w:right w:val="nil"/>
            </w:tcBorders>
            <w:shd w:val="clear" w:color="auto" w:fill="BFBFBF" w:themeFill="background1" w:themeFillShade="BF"/>
            <w:noWrap/>
            <w:vAlign w:val="center"/>
            <w:hideMark/>
          </w:tcPr>
          <w:p w14:paraId="6EF8D985"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21.1%</w:t>
            </w:r>
          </w:p>
        </w:tc>
      </w:tr>
      <w:tr w:rsidR="0093332E" w:rsidRPr="006A1FD8" w14:paraId="1524F7C7" w14:textId="77777777" w:rsidTr="008E21F6">
        <w:trPr>
          <w:trHeight w:val="285"/>
          <w:tblHeader/>
        </w:trPr>
        <w:tc>
          <w:tcPr>
            <w:tcW w:w="2576" w:type="dxa"/>
            <w:tcBorders>
              <w:top w:val="nil"/>
              <w:left w:val="nil"/>
              <w:bottom w:val="single" w:sz="4" w:space="0" w:color="auto"/>
              <w:right w:val="nil"/>
            </w:tcBorders>
            <w:shd w:val="clear" w:color="auto" w:fill="auto"/>
            <w:noWrap/>
            <w:vAlign w:val="center"/>
            <w:hideMark/>
          </w:tcPr>
          <w:p w14:paraId="1A58D330" w14:textId="77777777" w:rsidR="0093332E" w:rsidRPr="00DC5E78" w:rsidRDefault="0093332E" w:rsidP="008E21F6">
            <w:pPr>
              <w:spacing w:after="0" w:line="240" w:lineRule="auto"/>
              <w:rPr>
                <w:rFonts w:eastAsia="Times New Roman" w:cs="Arial"/>
                <w:sz w:val="20"/>
                <w:szCs w:val="20"/>
              </w:rPr>
            </w:pPr>
            <w:r w:rsidRPr="00DC5E78">
              <w:rPr>
                <w:rFonts w:eastAsia="Times New Roman" w:cs="Arial"/>
                <w:sz w:val="20"/>
                <w:szCs w:val="20"/>
              </w:rPr>
              <w:t xml:space="preserve">Visual Impairment </w:t>
            </w:r>
          </w:p>
        </w:tc>
        <w:tc>
          <w:tcPr>
            <w:tcW w:w="1313" w:type="dxa"/>
            <w:tcBorders>
              <w:top w:val="nil"/>
              <w:left w:val="nil"/>
              <w:bottom w:val="single" w:sz="4" w:space="0" w:color="auto"/>
              <w:right w:val="nil"/>
            </w:tcBorders>
            <w:shd w:val="clear" w:color="auto" w:fill="auto"/>
            <w:noWrap/>
            <w:vAlign w:val="center"/>
            <w:hideMark/>
          </w:tcPr>
          <w:p w14:paraId="5CAA89E4"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576</w:t>
            </w:r>
          </w:p>
        </w:tc>
        <w:tc>
          <w:tcPr>
            <w:tcW w:w="1317" w:type="dxa"/>
            <w:tcBorders>
              <w:top w:val="nil"/>
              <w:left w:val="nil"/>
              <w:bottom w:val="single" w:sz="4" w:space="0" w:color="auto"/>
              <w:right w:val="nil"/>
            </w:tcBorders>
            <w:shd w:val="clear" w:color="auto" w:fill="auto"/>
            <w:noWrap/>
            <w:vAlign w:val="center"/>
            <w:hideMark/>
          </w:tcPr>
          <w:p w14:paraId="1578C52D"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611</w:t>
            </w:r>
          </w:p>
        </w:tc>
        <w:tc>
          <w:tcPr>
            <w:tcW w:w="1417" w:type="dxa"/>
            <w:tcBorders>
              <w:top w:val="nil"/>
              <w:left w:val="nil"/>
              <w:bottom w:val="single" w:sz="4" w:space="0" w:color="auto"/>
              <w:right w:val="nil"/>
            </w:tcBorders>
            <w:shd w:val="clear" w:color="auto" w:fill="auto"/>
            <w:noWrap/>
            <w:vAlign w:val="center"/>
            <w:hideMark/>
          </w:tcPr>
          <w:p w14:paraId="5530FE8D" w14:textId="77777777" w:rsidR="0093332E" w:rsidRPr="00DC5E78" w:rsidRDefault="0093332E" w:rsidP="008E21F6">
            <w:pPr>
              <w:spacing w:after="0" w:line="240" w:lineRule="auto"/>
              <w:jc w:val="right"/>
              <w:rPr>
                <w:rFonts w:eastAsia="Times New Roman" w:cs="Arial"/>
                <w:sz w:val="20"/>
                <w:szCs w:val="20"/>
              </w:rPr>
            </w:pPr>
            <w:r w:rsidRPr="00DC5E78">
              <w:rPr>
                <w:rFonts w:eastAsia="Times New Roman" w:cs="Arial"/>
                <w:sz w:val="20"/>
                <w:szCs w:val="20"/>
              </w:rPr>
              <w:t>-35</w:t>
            </w:r>
          </w:p>
        </w:tc>
        <w:tc>
          <w:tcPr>
            <w:tcW w:w="1417" w:type="dxa"/>
            <w:tcBorders>
              <w:top w:val="nil"/>
              <w:left w:val="nil"/>
              <w:bottom w:val="single" w:sz="4" w:space="0" w:color="auto"/>
              <w:right w:val="nil"/>
            </w:tcBorders>
            <w:shd w:val="clear" w:color="auto" w:fill="auto"/>
            <w:noWrap/>
            <w:vAlign w:val="center"/>
            <w:hideMark/>
          </w:tcPr>
          <w:p w14:paraId="53A251B2"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-5.8%</w:t>
            </w:r>
          </w:p>
        </w:tc>
      </w:tr>
      <w:tr w:rsidR="0093332E" w:rsidRPr="006A1FD8" w14:paraId="6631D289" w14:textId="77777777" w:rsidTr="008E21F6">
        <w:trPr>
          <w:trHeight w:val="315"/>
          <w:tblHeader/>
        </w:trPr>
        <w:tc>
          <w:tcPr>
            <w:tcW w:w="2576" w:type="dxa"/>
            <w:tcBorders>
              <w:top w:val="nil"/>
              <w:left w:val="nil"/>
              <w:bottom w:val="single" w:sz="8" w:space="0" w:color="auto"/>
              <w:right w:val="nil"/>
            </w:tcBorders>
            <w:shd w:val="clear" w:color="auto" w:fill="D4C5D7"/>
            <w:noWrap/>
            <w:vAlign w:val="center"/>
            <w:hideMark/>
          </w:tcPr>
          <w:p w14:paraId="4642462A" w14:textId="77777777" w:rsidR="0093332E" w:rsidRPr="00DC5E78" w:rsidRDefault="0093332E" w:rsidP="008E21F6">
            <w:pPr>
              <w:spacing w:after="0" w:line="240" w:lineRule="auto"/>
              <w:rPr>
                <w:rFonts w:eastAsia="Times New Roman" w:cs="Arial"/>
                <w:b/>
                <w:bCs/>
                <w:color w:val="000000"/>
                <w:sz w:val="20"/>
                <w:szCs w:val="20"/>
              </w:rPr>
            </w:pPr>
            <w:r w:rsidRPr="00DC5E78">
              <w:rPr>
                <w:rFonts w:eastAsia="Times New Roman" w:cs="Arial"/>
                <w:b/>
                <w:bCs/>
                <w:color w:val="000000"/>
                <w:sz w:val="20"/>
                <w:szCs w:val="20"/>
              </w:rPr>
              <w:t>Total</w:t>
            </w:r>
          </w:p>
        </w:tc>
        <w:tc>
          <w:tcPr>
            <w:tcW w:w="1313" w:type="dxa"/>
            <w:tcBorders>
              <w:top w:val="nil"/>
              <w:left w:val="nil"/>
              <w:bottom w:val="single" w:sz="8" w:space="0" w:color="auto"/>
              <w:right w:val="nil"/>
            </w:tcBorders>
            <w:shd w:val="clear" w:color="auto" w:fill="D4C5D7"/>
            <w:noWrap/>
            <w:vAlign w:val="center"/>
            <w:hideMark/>
          </w:tcPr>
          <w:p w14:paraId="778A8DEC" w14:textId="77777777" w:rsidR="0093332E" w:rsidRPr="00DC5E78" w:rsidRDefault="0093332E" w:rsidP="008E21F6">
            <w:pPr>
              <w:spacing w:after="0" w:line="240" w:lineRule="auto"/>
              <w:jc w:val="right"/>
              <w:rPr>
                <w:rFonts w:eastAsia="Times New Roman" w:cs="Arial"/>
                <w:b/>
                <w:bCs/>
                <w:color w:val="000000"/>
                <w:sz w:val="20"/>
                <w:szCs w:val="20"/>
              </w:rPr>
            </w:pPr>
            <w:r w:rsidRPr="00DC5E78">
              <w:rPr>
                <w:rFonts w:eastAsia="Times New Roman" w:cs="Arial"/>
                <w:b/>
                <w:bCs/>
                <w:color w:val="000000"/>
                <w:sz w:val="20"/>
                <w:szCs w:val="20"/>
              </w:rPr>
              <w:t>68,036</w:t>
            </w:r>
          </w:p>
        </w:tc>
        <w:tc>
          <w:tcPr>
            <w:tcW w:w="1317" w:type="dxa"/>
            <w:tcBorders>
              <w:top w:val="nil"/>
              <w:left w:val="nil"/>
              <w:bottom w:val="single" w:sz="8" w:space="0" w:color="auto"/>
              <w:right w:val="nil"/>
            </w:tcBorders>
            <w:shd w:val="clear" w:color="auto" w:fill="D4C5D7"/>
            <w:noWrap/>
            <w:vAlign w:val="center"/>
            <w:hideMark/>
          </w:tcPr>
          <w:p w14:paraId="1973A0AE" w14:textId="77777777" w:rsidR="0093332E" w:rsidRPr="00DC5E78" w:rsidRDefault="0093332E" w:rsidP="008E21F6">
            <w:pPr>
              <w:spacing w:after="0" w:line="240" w:lineRule="auto"/>
              <w:jc w:val="right"/>
              <w:rPr>
                <w:rFonts w:eastAsia="Times New Roman" w:cs="Arial"/>
                <w:b/>
                <w:bCs/>
                <w:sz w:val="20"/>
                <w:szCs w:val="20"/>
              </w:rPr>
            </w:pPr>
            <w:r w:rsidRPr="00DC5E78">
              <w:rPr>
                <w:rFonts w:eastAsia="Times New Roman" w:cs="Arial"/>
                <w:b/>
                <w:bCs/>
                <w:sz w:val="20"/>
                <w:szCs w:val="20"/>
              </w:rPr>
              <w:t>63,838</w:t>
            </w:r>
          </w:p>
        </w:tc>
        <w:tc>
          <w:tcPr>
            <w:tcW w:w="1417" w:type="dxa"/>
            <w:tcBorders>
              <w:top w:val="nil"/>
              <w:left w:val="nil"/>
              <w:bottom w:val="single" w:sz="8" w:space="0" w:color="auto"/>
              <w:right w:val="nil"/>
            </w:tcBorders>
            <w:shd w:val="clear" w:color="auto" w:fill="D4C5D7"/>
            <w:noWrap/>
            <w:vAlign w:val="center"/>
            <w:hideMark/>
          </w:tcPr>
          <w:p w14:paraId="03E7F620" w14:textId="77777777" w:rsidR="0093332E" w:rsidRPr="00DC5E78" w:rsidRDefault="0093332E" w:rsidP="008E21F6">
            <w:pPr>
              <w:spacing w:after="0" w:line="240" w:lineRule="auto"/>
              <w:jc w:val="right"/>
              <w:rPr>
                <w:rFonts w:eastAsia="Times New Roman" w:cs="Arial"/>
                <w:b/>
                <w:bCs/>
                <w:sz w:val="20"/>
                <w:szCs w:val="20"/>
              </w:rPr>
            </w:pPr>
            <w:r w:rsidRPr="00DC5E78">
              <w:rPr>
                <w:rFonts w:eastAsia="Times New Roman" w:cs="Arial"/>
                <w:b/>
                <w:bCs/>
                <w:sz w:val="20"/>
                <w:szCs w:val="20"/>
              </w:rPr>
              <w:t>4,198</w:t>
            </w:r>
          </w:p>
        </w:tc>
        <w:tc>
          <w:tcPr>
            <w:tcW w:w="1417" w:type="dxa"/>
            <w:tcBorders>
              <w:top w:val="nil"/>
              <w:left w:val="nil"/>
              <w:bottom w:val="single" w:sz="8" w:space="0" w:color="auto"/>
              <w:right w:val="nil"/>
            </w:tcBorders>
            <w:shd w:val="clear" w:color="auto" w:fill="D4C5D7"/>
            <w:noWrap/>
            <w:vAlign w:val="center"/>
            <w:hideMark/>
          </w:tcPr>
          <w:p w14:paraId="74D9E4F7" w14:textId="77777777" w:rsidR="0093332E" w:rsidRPr="00DC5E78" w:rsidRDefault="0093332E" w:rsidP="008E21F6">
            <w:pPr>
              <w:spacing w:after="0" w:line="240" w:lineRule="auto"/>
              <w:jc w:val="right"/>
              <w:rPr>
                <w:rFonts w:eastAsia="Times New Roman" w:cs="Arial"/>
                <w:b/>
                <w:bCs/>
                <w:color w:val="000000"/>
                <w:sz w:val="20"/>
                <w:szCs w:val="20"/>
              </w:rPr>
            </w:pPr>
            <w:r w:rsidRPr="00DC5E78">
              <w:rPr>
                <w:rFonts w:eastAsia="Times New Roman" w:cs="Arial"/>
                <w:b/>
                <w:bCs/>
                <w:color w:val="000000"/>
                <w:sz w:val="20"/>
                <w:szCs w:val="20"/>
              </w:rPr>
              <w:t>6.6%</w:t>
            </w:r>
          </w:p>
        </w:tc>
      </w:tr>
    </w:tbl>
    <w:p w14:paraId="2066C6E2" w14:textId="77777777" w:rsidR="0093332E" w:rsidRDefault="004461D2" w:rsidP="0093332E">
      <w:pPr>
        <w:pStyle w:val="FSRnormal"/>
      </w:pPr>
      <w:r w:rsidRPr="00621D33">
        <w:t xml:space="preserve">Table </w:t>
      </w:r>
      <w:r>
        <w:rPr>
          <w:noProof/>
        </w:rPr>
        <w:t>4</w:t>
      </w:r>
      <w:r>
        <w:t>.</w:t>
      </w:r>
      <w:r>
        <w:rPr>
          <w:noProof/>
        </w:rPr>
        <w:t>5</w:t>
      </w:r>
      <w:r w:rsidR="0093332E" w:rsidRPr="00E91E60">
        <w:t xml:space="preserve"> illustrates</w:t>
      </w:r>
      <w:r w:rsidR="0093332E" w:rsidRPr="00A55F5E">
        <w:t xml:space="preserve"> that </w:t>
      </w:r>
      <w:r w:rsidR="0093332E">
        <w:t>the net increase</w:t>
      </w:r>
      <w:r w:rsidR="0093332E" w:rsidRPr="00A55F5E">
        <w:t xml:space="preserve"> in participants with a reported high level of function was </w:t>
      </w:r>
      <w:r w:rsidR="0093332E">
        <w:t>lower</w:t>
      </w:r>
      <w:r w:rsidR="0093332E" w:rsidRPr="00A55F5E">
        <w:t xml:space="preserve"> than expected, whi</w:t>
      </w:r>
      <w:r w:rsidR="0093332E">
        <w:t>le that of medium and low levels of functions was</w:t>
      </w:r>
      <w:r w:rsidR="0093332E" w:rsidRPr="00A55F5E">
        <w:t xml:space="preserve"> </w:t>
      </w:r>
      <w:r w:rsidR="0093332E">
        <w:t>higher</w:t>
      </w:r>
      <w:r w:rsidR="0093332E" w:rsidRPr="00A55F5E">
        <w:t xml:space="preserve"> than expected. </w:t>
      </w:r>
    </w:p>
    <w:p w14:paraId="21E8A245" w14:textId="77777777" w:rsidR="0093332E" w:rsidRDefault="0093332E" w:rsidP="0093332E">
      <w:pPr>
        <w:pStyle w:val="Tables"/>
      </w:pPr>
      <w:bookmarkStart w:id="50" w:name="_Ref113272349"/>
      <w:r w:rsidRPr="00621D33">
        <w:lastRenderedPageBreak/>
        <w:t xml:space="preserve">Table </w:t>
      </w:r>
      <w:fldSimple w:instr=" STYLEREF 2 \s ">
        <w:r w:rsidR="00A87896">
          <w:rPr>
            <w:noProof/>
          </w:rPr>
          <w:t>4</w:t>
        </w:r>
      </w:fldSimple>
      <w:r w:rsidR="00A87896">
        <w:t>.</w:t>
      </w:r>
      <w:fldSimple w:instr=" SEQ Table \* ARABIC \s 2 ">
        <w:r w:rsidR="00A87896">
          <w:rPr>
            <w:noProof/>
          </w:rPr>
          <w:t>5</w:t>
        </w:r>
      </w:fldSimple>
      <w:bookmarkEnd w:id="50"/>
      <w:r>
        <w:t>:</w:t>
      </w:r>
      <w:r w:rsidRPr="00621D33">
        <w:t xml:space="preserve"> Actual versus </w:t>
      </w:r>
      <w:r>
        <w:t>e</w:t>
      </w:r>
      <w:r w:rsidRPr="00621D33">
        <w:t xml:space="preserve">xpected </w:t>
      </w:r>
      <w:r>
        <w:t>n</w:t>
      </w:r>
      <w:r w:rsidRPr="00621D33">
        <w:t xml:space="preserve">et </w:t>
      </w:r>
      <w:r>
        <w:t>i</w:t>
      </w:r>
      <w:r w:rsidRPr="00621D33">
        <w:t xml:space="preserve">ncrease in </w:t>
      </w:r>
      <w:r>
        <w:t>p</w:t>
      </w:r>
      <w:r w:rsidRPr="00621D33">
        <w:t xml:space="preserve">articipants in 2021-22 by </w:t>
      </w:r>
      <w:r>
        <w:t>r</w:t>
      </w:r>
      <w:r w:rsidRPr="00621D33">
        <w:t xml:space="preserve">eported </w:t>
      </w:r>
      <w:r>
        <w:t>l</w:t>
      </w:r>
      <w:r w:rsidRPr="00621D33">
        <w:t xml:space="preserve">evel of </w:t>
      </w:r>
      <w:r>
        <w:t>f</w:t>
      </w:r>
      <w:r w:rsidRPr="00621D33">
        <w:t>unction</w:t>
      </w:r>
    </w:p>
    <w:tbl>
      <w:tblPr>
        <w:tblW w:w="0" w:type="auto"/>
        <w:tblLook w:val="04A0" w:firstRow="1" w:lastRow="0" w:firstColumn="1" w:lastColumn="0" w:noHBand="0" w:noVBand="1"/>
      </w:tblPr>
      <w:tblGrid>
        <w:gridCol w:w="2805"/>
        <w:gridCol w:w="828"/>
        <w:gridCol w:w="1106"/>
        <w:gridCol w:w="1195"/>
        <w:gridCol w:w="1372"/>
      </w:tblGrid>
      <w:tr w:rsidR="00574203" w:rsidRPr="00193930" w14:paraId="359B454A" w14:textId="77777777" w:rsidTr="00773810">
        <w:trPr>
          <w:trHeight w:val="300"/>
        </w:trPr>
        <w:tc>
          <w:tcPr>
            <w:tcW w:w="0" w:type="auto"/>
            <w:tcBorders>
              <w:top w:val="nil"/>
              <w:left w:val="nil"/>
              <w:bottom w:val="nil"/>
              <w:right w:val="nil"/>
            </w:tcBorders>
            <w:shd w:val="clear" w:color="000000" w:fill="6B2976"/>
            <w:noWrap/>
            <w:vAlign w:val="center"/>
            <w:hideMark/>
          </w:tcPr>
          <w:p w14:paraId="74A6068F" w14:textId="77777777" w:rsidR="00574203" w:rsidRPr="00193930" w:rsidRDefault="00574203" w:rsidP="00773810">
            <w:pPr>
              <w:spacing w:after="0" w:line="240" w:lineRule="auto"/>
              <w:rPr>
                <w:rFonts w:eastAsia="Times New Roman" w:cs="Arial"/>
                <w:b/>
                <w:bCs/>
                <w:color w:val="FFFFFF"/>
                <w:sz w:val="20"/>
                <w:szCs w:val="20"/>
                <w:lang w:eastAsia="zh-CN"/>
              </w:rPr>
            </w:pPr>
            <w:r w:rsidRPr="00193930">
              <w:rPr>
                <w:rFonts w:eastAsia="Times New Roman" w:cs="Arial"/>
                <w:b/>
                <w:bCs/>
                <w:color w:val="FFFFFF"/>
                <w:sz w:val="20"/>
                <w:szCs w:val="20"/>
                <w:lang w:eastAsia="zh-CN"/>
              </w:rPr>
              <w:t>Reported Level of Function</w:t>
            </w:r>
          </w:p>
        </w:tc>
        <w:tc>
          <w:tcPr>
            <w:tcW w:w="0" w:type="auto"/>
            <w:tcBorders>
              <w:top w:val="nil"/>
              <w:left w:val="nil"/>
              <w:bottom w:val="nil"/>
              <w:right w:val="nil"/>
            </w:tcBorders>
            <w:shd w:val="clear" w:color="000000" w:fill="6B2976"/>
            <w:noWrap/>
            <w:vAlign w:val="center"/>
            <w:hideMark/>
          </w:tcPr>
          <w:p w14:paraId="20567F75" w14:textId="77777777" w:rsidR="00574203" w:rsidRPr="00193930" w:rsidRDefault="00574203" w:rsidP="00773810">
            <w:pPr>
              <w:spacing w:after="0" w:line="240" w:lineRule="auto"/>
              <w:jc w:val="center"/>
              <w:rPr>
                <w:rFonts w:eastAsia="Times New Roman" w:cs="Arial"/>
                <w:b/>
                <w:bCs/>
                <w:color w:val="FFFFFF"/>
                <w:sz w:val="20"/>
                <w:szCs w:val="20"/>
                <w:lang w:eastAsia="zh-CN"/>
              </w:rPr>
            </w:pPr>
            <w:r w:rsidRPr="00193930">
              <w:rPr>
                <w:rFonts w:eastAsia="Times New Roman" w:cs="Arial"/>
                <w:b/>
                <w:bCs/>
                <w:color w:val="FFFFFF"/>
                <w:sz w:val="20"/>
                <w:szCs w:val="20"/>
                <w:lang w:eastAsia="zh-CN"/>
              </w:rPr>
              <w:t>Actual</w:t>
            </w:r>
          </w:p>
        </w:tc>
        <w:tc>
          <w:tcPr>
            <w:tcW w:w="0" w:type="auto"/>
            <w:tcBorders>
              <w:top w:val="nil"/>
              <w:left w:val="nil"/>
              <w:bottom w:val="nil"/>
              <w:right w:val="nil"/>
            </w:tcBorders>
            <w:shd w:val="clear" w:color="000000" w:fill="6B2976"/>
            <w:noWrap/>
            <w:vAlign w:val="center"/>
            <w:hideMark/>
          </w:tcPr>
          <w:p w14:paraId="3164675F" w14:textId="77777777" w:rsidR="00574203" w:rsidRPr="00193930" w:rsidRDefault="00574203" w:rsidP="00773810">
            <w:pPr>
              <w:spacing w:after="0" w:line="240" w:lineRule="auto"/>
              <w:jc w:val="center"/>
              <w:rPr>
                <w:rFonts w:eastAsia="Times New Roman" w:cs="Arial"/>
                <w:b/>
                <w:bCs/>
                <w:color w:val="FFFFFF"/>
                <w:sz w:val="20"/>
                <w:szCs w:val="20"/>
                <w:lang w:eastAsia="zh-CN"/>
              </w:rPr>
            </w:pPr>
            <w:r w:rsidRPr="00193930">
              <w:rPr>
                <w:rFonts w:eastAsia="Times New Roman" w:cs="Arial"/>
                <w:b/>
                <w:bCs/>
                <w:color w:val="FFFFFF"/>
                <w:sz w:val="20"/>
                <w:szCs w:val="20"/>
                <w:lang w:eastAsia="zh-CN"/>
              </w:rPr>
              <w:t>Expected</w:t>
            </w:r>
          </w:p>
        </w:tc>
        <w:tc>
          <w:tcPr>
            <w:tcW w:w="0" w:type="auto"/>
            <w:tcBorders>
              <w:top w:val="nil"/>
              <w:left w:val="nil"/>
              <w:bottom w:val="nil"/>
              <w:right w:val="nil"/>
            </w:tcBorders>
            <w:shd w:val="clear" w:color="000000" w:fill="6B2976"/>
            <w:noWrap/>
            <w:vAlign w:val="center"/>
            <w:hideMark/>
          </w:tcPr>
          <w:p w14:paraId="73DE865E" w14:textId="77777777" w:rsidR="00574203" w:rsidRPr="00193930" w:rsidRDefault="00574203" w:rsidP="00773810">
            <w:pPr>
              <w:spacing w:after="0" w:line="240" w:lineRule="auto"/>
              <w:jc w:val="center"/>
              <w:rPr>
                <w:rFonts w:eastAsia="Times New Roman" w:cs="Arial"/>
                <w:b/>
                <w:bCs/>
                <w:color w:val="FFFFFF"/>
                <w:sz w:val="20"/>
                <w:szCs w:val="20"/>
                <w:lang w:eastAsia="zh-CN"/>
              </w:rPr>
            </w:pPr>
            <w:r w:rsidRPr="00193930">
              <w:rPr>
                <w:rFonts w:eastAsia="Times New Roman" w:cs="Arial"/>
                <w:b/>
                <w:bCs/>
                <w:color w:val="FFFFFF"/>
                <w:sz w:val="20"/>
                <w:szCs w:val="20"/>
                <w:lang w:eastAsia="zh-CN"/>
              </w:rPr>
              <w:t>Difference</w:t>
            </w:r>
          </w:p>
        </w:tc>
        <w:tc>
          <w:tcPr>
            <w:tcW w:w="0" w:type="auto"/>
            <w:tcBorders>
              <w:top w:val="nil"/>
              <w:left w:val="nil"/>
              <w:bottom w:val="nil"/>
              <w:right w:val="nil"/>
            </w:tcBorders>
            <w:shd w:val="clear" w:color="000000" w:fill="6B2976"/>
            <w:noWrap/>
            <w:vAlign w:val="center"/>
            <w:hideMark/>
          </w:tcPr>
          <w:p w14:paraId="3AD5C2B4" w14:textId="77777777" w:rsidR="00574203" w:rsidRPr="00193930" w:rsidRDefault="00574203" w:rsidP="00773810">
            <w:pPr>
              <w:spacing w:after="0" w:line="240" w:lineRule="auto"/>
              <w:jc w:val="center"/>
              <w:rPr>
                <w:rFonts w:eastAsia="Times New Roman" w:cs="Arial"/>
                <w:b/>
                <w:bCs/>
                <w:color w:val="FFFFFF"/>
                <w:sz w:val="20"/>
                <w:szCs w:val="20"/>
                <w:lang w:eastAsia="zh-CN"/>
              </w:rPr>
            </w:pPr>
            <w:r w:rsidRPr="00193930">
              <w:rPr>
                <w:rFonts w:eastAsia="Times New Roman" w:cs="Arial"/>
                <w:b/>
                <w:bCs/>
                <w:color w:val="FFFFFF"/>
                <w:sz w:val="20"/>
                <w:szCs w:val="20"/>
                <w:lang w:eastAsia="zh-CN"/>
              </w:rPr>
              <w:t>%Difference</w:t>
            </w:r>
          </w:p>
        </w:tc>
      </w:tr>
      <w:tr w:rsidR="00574203" w:rsidRPr="00193930" w14:paraId="43CCF2A3" w14:textId="77777777" w:rsidTr="00773810">
        <w:trPr>
          <w:trHeight w:val="285"/>
        </w:trPr>
        <w:tc>
          <w:tcPr>
            <w:tcW w:w="0" w:type="auto"/>
            <w:tcBorders>
              <w:top w:val="nil"/>
              <w:left w:val="nil"/>
              <w:bottom w:val="nil"/>
              <w:right w:val="nil"/>
            </w:tcBorders>
            <w:shd w:val="clear" w:color="auto" w:fill="auto"/>
            <w:noWrap/>
            <w:vAlign w:val="center"/>
            <w:hideMark/>
          </w:tcPr>
          <w:p w14:paraId="20BDEFD1" w14:textId="77777777" w:rsidR="00574203" w:rsidRPr="00193930" w:rsidRDefault="00574203" w:rsidP="00773810">
            <w:pPr>
              <w:spacing w:after="0" w:line="240" w:lineRule="auto"/>
              <w:rPr>
                <w:rFonts w:eastAsia="Times New Roman" w:cs="Arial"/>
                <w:color w:val="000000"/>
                <w:sz w:val="20"/>
                <w:szCs w:val="20"/>
                <w:lang w:eastAsia="zh-CN"/>
              </w:rPr>
            </w:pPr>
            <w:r w:rsidRPr="00193930">
              <w:rPr>
                <w:rFonts w:eastAsia="Times New Roman" w:cs="Arial"/>
                <w:color w:val="000000"/>
                <w:sz w:val="20"/>
                <w:szCs w:val="20"/>
                <w:lang w:eastAsia="zh-CN"/>
              </w:rPr>
              <w:t>High</w:t>
            </w:r>
          </w:p>
        </w:tc>
        <w:tc>
          <w:tcPr>
            <w:tcW w:w="0" w:type="auto"/>
            <w:tcBorders>
              <w:top w:val="nil"/>
              <w:left w:val="nil"/>
              <w:bottom w:val="nil"/>
              <w:right w:val="nil"/>
            </w:tcBorders>
            <w:shd w:val="clear" w:color="auto" w:fill="auto"/>
            <w:noWrap/>
            <w:vAlign w:val="center"/>
            <w:hideMark/>
          </w:tcPr>
          <w:p w14:paraId="31A5E6CA" w14:textId="77777777" w:rsidR="00574203" w:rsidRPr="00193930" w:rsidRDefault="00574203" w:rsidP="00773810">
            <w:pPr>
              <w:spacing w:after="0" w:line="240" w:lineRule="auto"/>
              <w:jc w:val="right"/>
              <w:rPr>
                <w:rFonts w:eastAsia="Times New Roman" w:cs="Arial"/>
                <w:color w:val="000000"/>
                <w:sz w:val="20"/>
                <w:szCs w:val="20"/>
                <w:lang w:eastAsia="zh-CN"/>
              </w:rPr>
            </w:pPr>
            <w:r w:rsidRPr="00193930">
              <w:rPr>
                <w:rFonts w:eastAsia="Times New Roman" w:cs="Arial"/>
                <w:color w:val="000000"/>
                <w:sz w:val="20"/>
                <w:szCs w:val="20"/>
                <w:lang w:eastAsia="zh-CN"/>
              </w:rPr>
              <w:t>21,474</w:t>
            </w:r>
          </w:p>
        </w:tc>
        <w:tc>
          <w:tcPr>
            <w:tcW w:w="0" w:type="auto"/>
            <w:tcBorders>
              <w:top w:val="nil"/>
              <w:left w:val="nil"/>
              <w:bottom w:val="nil"/>
              <w:right w:val="nil"/>
            </w:tcBorders>
            <w:shd w:val="clear" w:color="auto" w:fill="auto"/>
            <w:noWrap/>
            <w:vAlign w:val="center"/>
            <w:hideMark/>
          </w:tcPr>
          <w:p w14:paraId="4493A042" w14:textId="77777777" w:rsidR="00574203" w:rsidRPr="00193930" w:rsidRDefault="00574203" w:rsidP="00773810">
            <w:pPr>
              <w:spacing w:after="0" w:line="240" w:lineRule="auto"/>
              <w:jc w:val="right"/>
              <w:rPr>
                <w:rFonts w:eastAsia="Times New Roman" w:cs="Arial"/>
                <w:color w:val="000000"/>
                <w:sz w:val="20"/>
                <w:szCs w:val="20"/>
                <w:lang w:eastAsia="zh-CN"/>
              </w:rPr>
            </w:pPr>
            <w:r w:rsidRPr="00193930">
              <w:rPr>
                <w:rFonts w:eastAsia="Times New Roman" w:cs="Arial"/>
                <w:color w:val="000000"/>
                <w:sz w:val="20"/>
                <w:szCs w:val="20"/>
                <w:lang w:eastAsia="zh-CN"/>
              </w:rPr>
              <w:t>25,425</w:t>
            </w:r>
          </w:p>
        </w:tc>
        <w:tc>
          <w:tcPr>
            <w:tcW w:w="0" w:type="auto"/>
            <w:tcBorders>
              <w:top w:val="nil"/>
              <w:left w:val="nil"/>
              <w:bottom w:val="nil"/>
              <w:right w:val="nil"/>
            </w:tcBorders>
            <w:shd w:val="clear" w:color="auto" w:fill="auto"/>
            <w:noWrap/>
            <w:vAlign w:val="center"/>
            <w:hideMark/>
          </w:tcPr>
          <w:p w14:paraId="6E77EBC0" w14:textId="77777777" w:rsidR="00574203" w:rsidRPr="00193930" w:rsidRDefault="00574203" w:rsidP="00773810">
            <w:pPr>
              <w:spacing w:after="0" w:line="240" w:lineRule="auto"/>
              <w:jc w:val="right"/>
              <w:rPr>
                <w:rFonts w:eastAsia="Times New Roman" w:cs="Arial"/>
                <w:color w:val="000000"/>
                <w:sz w:val="20"/>
                <w:szCs w:val="20"/>
                <w:lang w:eastAsia="zh-CN"/>
              </w:rPr>
            </w:pPr>
            <w:r w:rsidRPr="00193930">
              <w:rPr>
                <w:rFonts w:eastAsia="Times New Roman" w:cs="Arial"/>
                <w:color w:val="000000"/>
                <w:sz w:val="20"/>
                <w:szCs w:val="20"/>
                <w:lang w:eastAsia="zh-CN"/>
              </w:rPr>
              <w:t>-3,951</w:t>
            </w:r>
          </w:p>
        </w:tc>
        <w:tc>
          <w:tcPr>
            <w:tcW w:w="0" w:type="auto"/>
            <w:tcBorders>
              <w:top w:val="nil"/>
              <w:left w:val="nil"/>
              <w:bottom w:val="nil"/>
              <w:right w:val="nil"/>
            </w:tcBorders>
            <w:shd w:val="clear" w:color="auto" w:fill="auto"/>
            <w:noWrap/>
            <w:vAlign w:val="center"/>
            <w:hideMark/>
          </w:tcPr>
          <w:p w14:paraId="099C148C" w14:textId="77777777" w:rsidR="00574203" w:rsidRPr="00193930" w:rsidRDefault="00574203" w:rsidP="00773810">
            <w:pPr>
              <w:spacing w:after="0" w:line="240" w:lineRule="auto"/>
              <w:jc w:val="right"/>
              <w:rPr>
                <w:rFonts w:eastAsia="Times New Roman" w:cs="Arial"/>
                <w:sz w:val="20"/>
                <w:szCs w:val="20"/>
                <w:lang w:eastAsia="zh-CN"/>
              </w:rPr>
            </w:pPr>
            <w:r w:rsidRPr="00193930">
              <w:rPr>
                <w:rFonts w:eastAsia="Times New Roman" w:cs="Arial"/>
                <w:sz w:val="20"/>
                <w:szCs w:val="20"/>
                <w:lang w:eastAsia="zh-CN"/>
              </w:rPr>
              <w:t>-15.5%</w:t>
            </w:r>
          </w:p>
        </w:tc>
      </w:tr>
      <w:tr w:rsidR="00574203" w:rsidRPr="00193930" w14:paraId="2ABD9343" w14:textId="77777777" w:rsidTr="00773810">
        <w:trPr>
          <w:trHeight w:val="285"/>
        </w:trPr>
        <w:tc>
          <w:tcPr>
            <w:tcW w:w="0" w:type="auto"/>
            <w:tcBorders>
              <w:top w:val="nil"/>
              <w:left w:val="nil"/>
              <w:bottom w:val="nil"/>
              <w:right w:val="nil"/>
            </w:tcBorders>
            <w:shd w:val="clear" w:color="auto" w:fill="BFBFBF" w:themeFill="background1" w:themeFillShade="BF"/>
            <w:noWrap/>
            <w:vAlign w:val="center"/>
            <w:hideMark/>
          </w:tcPr>
          <w:p w14:paraId="28851E66" w14:textId="77777777" w:rsidR="00574203" w:rsidRPr="00193930" w:rsidRDefault="00574203" w:rsidP="00773810">
            <w:pPr>
              <w:spacing w:after="0" w:line="240" w:lineRule="auto"/>
              <w:rPr>
                <w:rFonts w:eastAsia="Times New Roman" w:cs="Arial"/>
                <w:color w:val="000000"/>
                <w:sz w:val="20"/>
                <w:szCs w:val="20"/>
                <w:lang w:eastAsia="zh-CN"/>
              </w:rPr>
            </w:pPr>
            <w:r w:rsidRPr="00193930">
              <w:rPr>
                <w:rFonts w:eastAsia="Times New Roman" w:cs="Arial"/>
                <w:color w:val="000000"/>
                <w:sz w:val="20"/>
                <w:szCs w:val="20"/>
                <w:lang w:eastAsia="zh-CN"/>
              </w:rPr>
              <w:t>Medium</w:t>
            </w:r>
          </w:p>
        </w:tc>
        <w:tc>
          <w:tcPr>
            <w:tcW w:w="0" w:type="auto"/>
            <w:tcBorders>
              <w:top w:val="nil"/>
              <w:left w:val="nil"/>
              <w:bottom w:val="nil"/>
              <w:right w:val="nil"/>
            </w:tcBorders>
            <w:shd w:val="clear" w:color="auto" w:fill="BFBFBF" w:themeFill="background1" w:themeFillShade="BF"/>
            <w:noWrap/>
            <w:vAlign w:val="center"/>
            <w:hideMark/>
          </w:tcPr>
          <w:p w14:paraId="15EBF7F6" w14:textId="77777777" w:rsidR="00574203" w:rsidRPr="00193930" w:rsidRDefault="00574203" w:rsidP="00773810">
            <w:pPr>
              <w:spacing w:after="0" w:line="240" w:lineRule="auto"/>
              <w:jc w:val="right"/>
              <w:rPr>
                <w:rFonts w:eastAsia="Times New Roman" w:cs="Arial"/>
                <w:color w:val="000000"/>
                <w:sz w:val="20"/>
                <w:szCs w:val="20"/>
                <w:lang w:eastAsia="zh-CN"/>
              </w:rPr>
            </w:pPr>
            <w:r w:rsidRPr="00193930">
              <w:rPr>
                <w:rFonts w:eastAsia="Times New Roman" w:cs="Arial"/>
                <w:color w:val="000000"/>
                <w:sz w:val="20"/>
                <w:szCs w:val="20"/>
                <w:lang w:eastAsia="zh-CN"/>
              </w:rPr>
              <w:t>34,311</w:t>
            </w:r>
          </w:p>
        </w:tc>
        <w:tc>
          <w:tcPr>
            <w:tcW w:w="0" w:type="auto"/>
            <w:tcBorders>
              <w:top w:val="nil"/>
              <w:left w:val="nil"/>
              <w:bottom w:val="nil"/>
              <w:right w:val="nil"/>
            </w:tcBorders>
            <w:shd w:val="clear" w:color="auto" w:fill="BFBFBF" w:themeFill="background1" w:themeFillShade="BF"/>
            <w:noWrap/>
            <w:vAlign w:val="center"/>
            <w:hideMark/>
          </w:tcPr>
          <w:p w14:paraId="18946818" w14:textId="77777777" w:rsidR="00574203" w:rsidRPr="00193930" w:rsidRDefault="00574203" w:rsidP="00773810">
            <w:pPr>
              <w:spacing w:after="0" w:line="240" w:lineRule="auto"/>
              <w:jc w:val="right"/>
              <w:rPr>
                <w:rFonts w:eastAsia="Times New Roman" w:cs="Arial"/>
                <w:color w:val="000000"/>
                <w:sz w:val="20"/>
                <w:szCs w:val="20"/>
                <w:lang w:eastAsia="zh-CN"/>
              </w:rPr>
            </w:pPr>
            <w:r w:rsidRPr="00193930">
              <w:rPr>
                <w:rFonts w:eastAsia="Times New Roman" w:cs="Arial"/>
                <w:color w:val="000000"/>
                <w:sz w:val="20"/>
                <w:szCs w:val="20"/>
                <w:lang w:eastAsia="zh-CN"/>
              </w:rPr>
              <w:t>30,532</w:t>
            </w:r>
          </w:p>
        </w:tc>
        <w:tc>
          <w:tcPr>
            <w:tcW w:w="0" w:type="auto"/>
            <w:tcBorders>
              <w:top w:val="nil"/>
              <w:left w:val="nil"/>
              <w:bottom w:val="nil"/>
              <w:right w:val="nil"/>
            </w:tcBorders>
            <w:shd w:val="clear" w:color="auto" w:fill="BFBFBF" w:themeFill="background1" w:themeFillShade="BF"/>
            <w:noWrap/>
            <w:vAlign w:val="center"/>
            <w:hideMark/>
          </w:tcPr>
          <w:p w14:paraId="106A1E63" w14:textId="77777777" w:rsidR="00574203" w:rsidRPr="00193930" w:rsidRDefault="00574203" w:rsidP="00773810">
            <w:pPr>
              <w:spacing w:after="0" w:line="240" w:lineRule="auto"/>
              <w:jc w:val="right"/>
              <w:rPr>
                <w:rFonts w:eastAsia="Times New Roman" w:cs="Arial"/>
                <w:color w:val="000000"/>
                <w:sz w:val="20"/>
                <w:szCs w:val="20"/>
                <w:lang w:eastAsia="zh-CN"/>
              </w:rPr>
            </w:pPr>
            <w:r w:rsidRPr="00193930">
              <w:rPr>
                <w:rFonts w:eastAsia="Times New Roman" w:cs="Arial"/>
                <w:color w:val="000000"/>
                <w:sz w:val="20"/>
                <w:szCs w:val="20"/>
                <w:lang w:eastAsia="zh-CN"/>
              </w:rPr>
              <w:t>3,779</w:t>
            </w:r>
          </w:p>
        </w:tc>
        <w:tc>
          <w:tcPr>
            <w:tcW w:w="0" w:type="auto"/>
            <w:tcBorders>
              <w:top w:val="nil"/>
              <w:left w:val="nil"/>
              <w:bottom w:val="nil"/>
              <w:right w:val="nil"/>
            </w:tcBorders>
            <w:shd w:val="clear" w:color="auto" w:fill="BFBFBF" w:themeFill="background1" w:themeFillShade="BF"/>
            <w:noWrap/>
            <w:vAlign w:val="center"/>
            <w:hideMark/>
          </w:tcPr>
          <w:p w14:paraId="521C823F" w14:textId="77777777" w:rsidR="00574203" w:rsidRPr="00193930" w:rsidRDefault="00574203" w:rsidP="00773810">
            <w:pPr>
              <w:spacing w:after="0" w:line="240" w:lineRule="auto"/>
              <w:jc w:val="right"/>
              <w:rPr>
                <w:rFonts w:eastAsia="Times New Roman" w:cs="Arial"/>
                <w:sz w:val="20"/>
                <w:szCs w:val="20"/>
                <w:lang w:eastAsia="zh-CN"/>
              </w:rPr>
            </w:pPr>
            <w:r w:rsidRPr="00193930">
              <w:rPr>
                <w:rFonts w:eastAsia="Times New Roman" w:cs="Arial"/>
                <w:sz w:val="20"/>
                <w:szCs w:val="20"/>
                <w:lang w:eastAsia="zh-CN"/>
              </w:rPr>
              <w:t>12.4%</w:t>
            </w:r>
          </w:p>
        </w:tc>
      </w:tr>
      <w:tr w:rsidR="00574203" w:rsidRPr="00193930" w14:paraId="4687BC60" w14:textId="77777777" w:rsidTr="00773810">
        <w:trPr>
          <w:trHeight w:val="285"/>
        </w:trPr>
        <w:tc>
          <w:tcPr>
            <w:tcW w:w="0" w:type="auto"/>
            <w:tcBorders>
              <w:top w:val="nil"/>
              <w:left w:val="nil"/>
              <w:bottom w:val="nil"/>
              <w:right w:val="nil"/>
            </w:tcBorders>
            <w:shd w:val="clear" w:color="auto" w:fill="auto"/>
            <w:noWrap/>
            <w:vAlign w:val="center"/>
            <w:hideMark/>
          </w:tcPr>
          <w:p w14:paraId="45C74C27" w14:textId="77777777" w:rsidR="00574203" w:rsidRPr="00193930" w:rsidRDefault="00574203" w:rsidP="00773810">
            <w:pPr>
              <w:spacing w:after="0" w:line="240" w:lineRule="auto"/>
              <w:rPr>
                <w:rFonts w:eastAsia="Times New Roman" w:cs="Arial"/>
                <w:color w:val="000000"/>
                <w:sz w:val="20"/>
                <w:szCs w:val="20"/>
                <w:lang w:eastAsia="zh-CN"/>
              </w:rPr>
            </w:pPr>
            <w:r w:rsidRPr="00193930">
              <w:rPr>
                <w:rFonts w:eastAsia="Times New Roman" w:cs="Arial"/>
                <w:color w:val="000000"/>
                <w:sz w:val="20"/>
                <w:szCs w:val="20"/>
                <w:lang w:eastAsia="zh-CN"/>
              </w:rPr>
              <w:t>Low</w:t>
            </w:r>
          </w:p>
        </w:tc>
        <w:tc>
          <w:tcPr>
            <w:tcW w:w="0" w:type="auto"/>
            <w:tcBorders>
              <w:top w:val="nil"/>
              <w:left w:val="nil"/>
              <w:bottom w:val="nil"/>
              <w:right w:val="nil"/>
            </w:tcBorders>
            <w:shd w:val="clear" w:color="auto" w:fill="auto"/>
            <w:noWrap/>
            <w:vAlign w:val="center"/>
            <w:hideMark/>
          </w:tcPr>
          <w:p w14:paraId="09C153B5" w14:textId="77777777" w:rsidR="00574203" w:rsidRPr="00193930" w:rsidRDefault="00574203" w:rsidP="00773810">
            <w:pPr>
              <w:spacing w:after="0" w:line="240" w:lineRule="auto"/>
              <w:jc w:val="right"/>
              <w:rPr>
                <w:rFonts w:eastAsia="Times New Roman" w:cs="Arial"/>
                <w:color w:val="000000"/>
                <w:sz w:val="20"/>
                <w:szCs w:val="20"/>
                <w:lang w:eastAsia="zh-CN"/>
              </w:rPr>
            </w:pPr>
            <w:r w:rsidRPr="00193930">
              <w:rPr>
                <w:rFonts w:eastAsia="Times New Roman" w:cs="Arial"/>
                <w:color w:val="000000"/>
                <w:sz w:val="20"/>
                <w:szCs w:val="20"/>
                <w:lang w:eastAsia="zh-CN"/>
              </w:rPr>
              <w:t>12,309</w:t>
            </w:r>
          </w:p>
        </w:tc>
        <w:tc>
          <w:tcPr>
            <w:tcW w:w="0" w:type="auto"/>
            <w:tcBorders>
              <w:top w:val="nil"/>
              <w:left w:val="nil"/>
              <w:bottom w:val="nil"/>
              <w:right w:val="nil"/>
            </w:tcBorders>
            <w:shd w:val="clear" w:color="auto" w:fill="auto"/>
            <w:noWrap/>
            <w:vAlign w:val="center"/>
            <w:hideMark/>
          </w:tcPr>
          <w:p w14:paraId="58B4EA92" w14:textId="77777777" w:rsidR="00574203" w:rsidRPr="00193930" w:rsidRDefault="00574203" w:rsidP="00773810">
            <w:pPr>
              <w:spacing w:after="0" w:line="240" w:lineRule="auto"/>
              <w:jc w:val="right"/>
              <w:rPr>
                <w:rFonts w:eastAsia="Times New Roman" w:cs="Arial"/>
                <w:color w:val="000000"/>
                <w:sz w:val="20"/>
                <w:szCs w:val="20"/>
                <w:lang w:eastAsia="zh-CN"/>
              </w:rPr>
            </w:pPr>
            <w:r w:rsidRPr="00193930">
              <w:rPr>
                <w:rFonts w:eastAsia="Times New Roman" w:cs="Arial"/>
                <w:color w:val="000000"/>
                <w:sz w:val="20"/>
                <w:szCs w:val="20"/>
                <w:lang w:eastAsia="zh-CN"/>
              </w:rPr>
              <w:t>7,880</w:t>
            </w:r>
          </w:p>
        </w:tc>
        <w:tc>
          <w:tcPr>
            <w:tcW w:w="0" w:type="auto"/>
            <w:tcBorders>
              <w:top w:val="nil"/>
              <w:left w:val="nil"/>
              <w:bottom w:val="nil"/>
              <w:right w:val="nil"/>
            </w:tcBorders>
            <w:shd w:val="clear" w:color="auto" w:fill="auto"/>
            <w:noWrap/>
            <w:vAlign w:val="center"/>
            <w:hideMark/>
          </w:tcPr>
          <w:p w14:paraId="2F97B623" w14:textId="77777777" w:rsidR="00574203" w:rsidRPr="00193930" w:rsidRDefault="00574203" w:rsidP="00773810">
            <w:pPr>
              <w:spacing w:after="0" w:line="240" w:lineRule="auto"/>
              <w:jc w:val="right"/>
              <w:rPr>
                <w:rFonts w:eastAsia="Times New Roman" w:cs="Arial"/>
                <w:color w:val="000000"/>
                <w:sz w:val="20"/>
                <w:szCs w:val="20"/>
                <w:lang w:eastAsia="zh-CN"/>
              </w:rPr>
            </w:pPr>
            <w:r w:rsidRPr="00193930">
              <w:rPr>
                <w:rFonts w:eastAsia="Times New Roman" w:cs="Arial"/>
                <w:color w:val="000000"/>
                <w:sz w:val="20"/>
                <w:szCs w:val="20"/>
                <w:lang w:eastAsia="zh-CN"/>
              </w:rPr>
              <w:t>4,429</w:t>
            </w:r>
          </w:p>
        </w:tc>
        <w:tc>
          <w:tcPr>
            <w:tcW w:w="0" w:type="auto"/>
            <w:tcBorders>
              <w:top w:val="nil"/>
              <w:left w:val="nil"/>
              <w:bottom w:val="nil"/>
              <w:right w:val="nil"/>
            </w:tcBorders>
            <w:shd w:val="clear" w:color="auto" w:fill="auto"/>
            <w:noWrap/>
            <w:vAlign w:val="center"/>
            <w:hideMark/>
          </w:tcPr>
          <w:p w14:paraId="6A33210C" w14:textId="77777777" w:rsidR="00574203" w:rsidRPr="00193930" w:rsidRDefault="00574203" w:rsidP="00773810">
            <w:pPr>
              <w:spacing w:after="0" w:line="240" w:lineRule="auto"/>
              <w:jc w:val="right"/>
              <w:rPr>
                <w:rFonts w:eastAsia="Times New Roman" w:cs="Arial"/>
                <w:sz w:val="20"/>
                <w:szCs w:val="20"/>
                <w:lang w:eastAsia="zh-CN"/>
              </w:rPr>
            </w:pPr>
            <w:r w:rsidRPr="00193930">
              <w:rPr>
                <w:rFonts w:eastAsia="Times New Roman" w:cs="Arial"/>
                <w:sz w:val="20"/>
                <w:szCs w:val="20"/>
                <w:lang w:eastAsia="zh-CN"/>
              </w:rPr>
              <w:t>56.2%</w:t>
            </w:r>
          </w:p>
        </w:tc>
      </w:tr>
      <w:tr w:rsidR="00574203" w:rsidRPr="00193930" w14:paraId="3C669C20" w14:textId="77777777" w:rsidTr="00773810">
        <w:trPr>
          <w:trHeight w:val="285"/>
        </w:trPr>
        <w:tc>
          <w:tcPr>
            <w:tcW w:w="0" w:type="auto"/>
            <w:tcBorders>
              <w:top w:val="nil"/>
              <w:left w:val="nil"/>
              <w:bottom w:val="nil"/>
              <w:right w:val="nil"/>
            </w:tcBorders>
            <w:shd w:val="clear" w:color="auto" w:fill="BFBFBF" w:themeFill="background1" w:themeFillShade="BF"/>
            <w:noWrap/>
            <w:vAlign w:val="center"/>
            <w:hideMark/>
          </w:tcPr>
          <w:p w14:paraId="605281BE" w14:textId="77777777" w:rsidR="00574203" w:rsidRPr="00193930" w:rsidRDefault="00574203" w:rsidP="00773810">
            <w:pPr>
              <w:spacing w:after="0" w:line="240" w:lineRule="auto"/>
              <w:rPr>
                <w:rFonts w:eastAsia="Times New Roman" w:cs="Arial"/>
                <w:color w:val="000000"/>
                <w:sz w:val="20"/>
                <w:szCs w:val="20"/>
                <w:lang w:eastAsia="zh-CN"/>
              </w:rPr>
            </w:pPr>
            <w:r w:rsidRPr="00193930">
              <w:rPr>
                <w:rFonts w:eastAsia="Times New Roman" w:cs="Arial"/>
                <w:color w:val="000000"/>
                <w:sz w:val="20"/>
                <w:szCs w:val="20"/>
                <w:lang w:eastAsia="zh-CN"/>
              </w:rPr>
              <w:t>Missing</w:t>
            </w:r>
          </w:p>
        </w:tc>
        <w:tc>
          <w:tcPr>
            <w:tcW w:w="0" w:type="auto"/>
            <w:tcBorders>
              <w:top w:val="nil"/>
              <w:left w:val="nil"/>
              <w:bottom w:val="nil"/>
              <w:right w:val="nil"/>
            </w:tcBorders>
            <w:shd w:val="clear" w:color="auto" w:fill="BFBFBF" w:themeFill="background1" w:themeFillShade="BF"/>
            <w:noWrap/>
            <w:vAlign w:val="center"/>
            <w:hideMark/>
          </w:tcPr>
          <w:p w14:paraId="5848522E" w14:textId="77777777" w:rsidR="00574203" w:rsidRPr="00193930" w:rsidRDefault="00574203" w:rsidP="00773810">
            <w:pPr>
              <w:spacing w:after="0" w:line="240" w:lineRule="auto"/>
              <w:jc w:val="right"/>
              <w:rPr>
                <w:rFonts w:eastAsia="Times New Roman" w:cs="Arial"/>
                <w:color w:val="000000"/>
                <w:sz w:val="20"/>
                <w:szCs w:val="20"/>
                <w:lang w:eastAsia="zh-CN"/>
              </w:rPr>
            </w:pPr>
            <w:r w:rsidRPr="00193930">
              <w:rPr>
                <w:rFonts w:eastAsia="Times New Roman" w:cs="Arial"/>
                <w:color w:val="000000"/>
                <w:sz w:val="20"/>
                <w:szCs w:val="20"/>
                <w:lang w:eastAsia="zh-CN"/>
              </w:rPr>
              <w:t>-58</w:t>
            </w:r>
          </w:p>
        </w:tc>
        <w:tc>
          <w:tcPr>
            <w:tcW w:w="0" w:type="auto"/>
            <w:tcBorders>
              <w:top w:val="nil"/>
              <w:left w:val="nil"/>
              <w:bottom w:val="nil"/>
              <w:right w:val="nil"/>
            </w:tcBorders>
            <w:shd w:val="clear" w:color="auto" w:fill="BFBFBF" w:themeFill="background1" w:themeFillShade="BF"/>
            <w:noWrap/>
            <w:vAlign w:val="center"/>
            <w:hideMark/>
          </w:tcPr>
          <w:p w14:paraId="698587B9" w14:textId="77777777" w:rsidR="00574203" w:rsidRPr="00193930" w:rsidRDefault="00574203" w:rsidP="00773810">
            <w:pPr>
              <w:spacing w:after="0" w:line="240" w:lineRule="auto"/>
              <w:jc w:val="right"/>
              <w:rPr>
                <w:rFonts w:eastAsia="Times New Roman" w:cs="Arial"/>
                <w:color w:val="000000"/>
                <w:sz w:val="20"/>
                <w:szCs w:val="20"/>
                <w:lang w:eastAsia="zh-CN"/>
              </w:rPr>
            </w:pPr>
            <w:r w:rsidRPr="00193930">
              <w:rPr>
                <w:rFonts w:eastAsia="Times New Roman" w:cs="Arial"/>
                <w:color w:val="000000"/>
                <w:sz w:val="20"/>
                <w:szCs w:val="20"/>
                <w:lang w:eastAsia="zh-CN"/>
              </w:rPr>
              <w:t> </w:t>
            </w:r>
          </w:p>
        </w:tc>
        <w:tc>
          <w:tcPr>
            <w:tcW w:w="0" w:type="auto"/>
            <w:tcBorders>
              <w:top w:val="nil"/>
              <w:left w:val="nil"/>
              <w:bottom w:val="nil"/>
              <w:right w:val="nil"/>
            </w:tcBorders>
            <w:shd w:val="clear" w:color="auto" w:fill="BFBFBF" w:themeFill="background1" w:themeFillShade="BF"/>
            <w:noWrap/>
            <w:vAlign w:val="center"/>
            <w:hideMark/>
          </w:tcPr>
          <w:p w14:paraId="42B4BC51" w14:textId="77777777" w:rsidR="00574203" w:rsidRPr="00193930" w:rsidRDefault="00574203" w:rsidP="00773810">
            <w:pPr>
              <w:spacing w:after="0" w:line="240" w:lineRule="auto"/>
              <w:jc w:val="right"/>
              <w:rPr>
                <w:rFonts w:eastAsia="Times New Roman" w:cs="Arial"/>
                <w:color w:val="000000"/>
                <w:sz w:val="20"/>
                <w:szCs w:val="20"/>
                <w:lang w:eastAsia="zh-CN"/>
              </w:rPr>
            </w:pPr>
            <w:r w:rsidRPr="00193930">
              <w:rPr>
                <w:rFonts w:eastAsia="Times New Roman" w:cs="Arial"/>
                <w:color w:val="000000"/>
                <w:sz w:val="20"/>
                <w:szCs w:val="20"/>
                <w:lang w:eastAsia="zh-CN"/>
              </w:rPr>
              <w:t>-58</w:t>
            </w:r>
          </w:p>
        </w:tc>
        <w:tc>
          <w:tcPr>
            <w:tcW w:w="0" w:type="auto"/>
            <w:tcBorders>
              <w:top w:val="nil"/>
              <w:left w:val="nil"/>
              <w:bottom w:val="nil"/>
              <w:right w:val="nil"/>
            </w:tcBorders>
            <w:shd w:val="clear" w:color="auto" w:fill="BFBFBF" w:themeFill="background1" w:themeFillShade="BF"/>
            <w:noWrap/>
            <w:vAlign w:val="center"/>
            <w:hideMark/>
          </w:tcPr>
          <w:p w14:paraId="2AA94FC9" w14:textId="77777777" w:rsidR="00574203" w:rsidRPr="00193930" w:rsidRDefault="00574203" w:rsidP="00773810">
            <w:pPr>
              <w:spacing w:after="0" w:line="240" w:lineRule="auto"/>
              <w:jc w:val="right"/>
              <w:rPr>
                <w:rFonts w:eastAsia="Times New Roman" w:cs="Arial"/>
                <w:sz w:val="20"/>
                <w:szCs w:val="20"/>
                <w:lang w:eastAsia="zh-CN"/>
              </w:rPr>
            </w:pPr>
            <w:r w:rsidRPr="00193930">
              <w:rPr>
                <w:rFonts w:eastAsia="Times New Roman" w:cs="Arial"/>
                <w:sz w:val="20"/>
                <w:szCs w:val="20"/>
                <w:lang w:eastAsia="zh-CN"/>
              </w:rPr>
              <w:t> </w:t>
            </w:r>
          </w:p>
        </w:tc>
      </w:tr>
      <w:tr w:rsidR="00574203" w:rsidRPr="00193930" w14:paraId="1FC5D02B" w14:textId="77777777" w:rsidTr="00773810">
        <w:trPr>
          <w:trHeight w:val="300"/>
        </w:trPr>
        <w:tc>
          <w:tcPr>
            <w:tcW w:w="0" w:type="auto"/>
            <w:tcBorders>
              <w:top w:val="single" w:sz="4" w:space="0" w:color="auto"/>
              <w:left w:val="nil"/>
              <w:bottom w:val="single" w:sz="4" w:space="0" w:color="auto"/>
              <w:right w:val="nil"/>
            </w:tcBorders>
            <w:shd w:val="clear" w:color="000000" w:fill="D4C5D7"/>
            <w:noWrap/>
            <w:vAlign w:val="bottom"/>
            <w:hideMark/>
          </w:tcPr>
          <w:p w14:paraId="478043C1" w14:textId="77777777" w:rsidR="00574203" w:rsidRPr="00193930" w:rsidRDefault="00574203" w:rsidP="00773810">
            <w:pPr>
              <w:spacing w:after="0" w:line="240" w:lineRule="auto"/>
              <w:rPr>
                <w:rFonts w:eastAsia="Times New Roman" w:cs="Arial"/>
                <w:b/>
                <w:bCs/>
                <w:color w:val="000000"/>
                <w:sz w:val="20"/>
                <w:szCs w:val="20"/>
                <w:lang w:eastAsia="zh-CN"/>
              </w:rPr>
            </w:pPr>
            <w:r w:rsidRPr="00193930">
              <w:rPr>
                <w:rFonts w:eastAsia="Times New Roman" w:cs="Arial"/>
                <w:b/>
                <w:bCs/>
                <w:color w:val="000000"/>
                <w:sz w:val="20"/>
                <w:szCs w:val="20"/>
                <w:lang w:eastAsia="zh-CN"/>
              </w:rPr>
              <w:t>Total</w:t>
            </w:r>
          </w:p>
        </w:tc>
        <w:tc>
          <w:tcPr>
            <w:tcW w:w="0" w:type="auto"/>
            <w:tcBorders>
              <w:top w:val="single" w:sz="4" w:space="0" w:color="auto"/>
              <w:left w:val="nil"/>
              <w:bottom w:val="single" w:sz="4" w:space="0" w:color="auto"/>
              <w:right w:val="nil"/>
            </w:tcBorders>
            <w:shd w:val="clear" w:color="000000" w:fill="D4C5D7"/>
            <w:noWrap/>
            <w:vAlign w:val="center"/>
            <w:hideMark/>
          </w:tcPr>
          <w:p w14:paraId="1EB40B92" w14:textId="77777777" w:rsidR="00574203" w:rsidRPr="00193930" w:rsidRDefault="00574203" w:rsidP="00773810">
            <w:pPr>
              <w:spacing w:after="0" w:line="240" w:lineRule="auto"/>
              <w:jc w:val="right"/>
              <w:rPr>
                <w:rFonts w:eastAsia="Times New Roman" w:cs="Arial"/>
                <w:b/>
                <w:bCs/>
                <w:color w:val="000000"/>
                <w:sz w:val="20"/>
                <w:szCs w:val="20"/>
                <w:lang w:eastAsia="zh-CN"/>
              </w:rPr>
            </w:pPr>
            <w:r w:rsidRPr="00193930">
              <w:rPr>
                <w:rFonts w:eastAsia="Times New Roman" w:cs="Arial"/>
                <w:b/>
                <w:bCs/>
                <w:color w:val="000000"/>
                <w:sz w:val="20"/>
                <w:szCs w:val="20"/>
                <w:lang w:eastAsia="zh-CN"/>
              </w:rPr>
              <w:t>68,036</w:t>
            </w:r>
          </w:p>
        </w:tc>
        <w:tc>
          <w:tcPr>
            <w:tcW w:w="0" w:type="auto"/>
            <w:tcBorders>
              <w:top w:val="single" w:sz="4" w:space="0" w:color="auto"/>
              <w:left w:val="nil"/>
              <w:bottom w:val="single" w:sz="4" w:space="0" w:color="auto"/>
              <w:right w:val="nil"/>
            </w:tcBorders>
            <w:shd w:val="clear" w:color="000000" w:fill="D4C5D7"/>
            <w:noWrap/>
            <w:vAlign w:val="center"/>
            <w:hideMark/>
          </w:tcPr>
          <w:p w14:paraId="7C2CAC50" w14:textId="77777777" w:rsidR="00574203" w:rsidRPr="00193930" w:rsidRDefault="00574203" w:rsidP="00773810">
            <w:pPr>
              <w:spacing w:after="0" w:line="240" w:lineRule="auto"/>
              <w:jc w:val="right"/>
              <w:rPr>
                <w:rFonts w:eastAsia="Times New Roman" w:cs="Arial"/>
                <w:b/>
                <w:bCs/>
                <w:color w:val="000000"/>
                <w:sz w:val="20"/>
                <w:szCs w:val="20"/>
                <w:lang w:eastAsia="zh-CN"/>
              </w:rPr>
            </w:pPr>
            <w:r w:rsidRPr="00193930">
              <w:rPr>
                <w:rFonts w:eastAsia="Times New Roman" w:cs="Arial"/>
                <w:b/>
                <w:bCs/>
                <w:color w:val="000000"/>
                <w:sz w:val="20"/>
                <w:szCs w:val="20"/>
                <w:lang w:eastAsia="zh-CN"/>
              </w:rPr>
              <w:t>63,838</w:t>
            </w:r>
          </w:p>
        </w:tc>
        <w:tc>
          <w:tcPr>
            <w:tcW w:w="0" w:type="auto"/>
            <w:tcBorders>
              <w:top w:val="single" w:sz="4" w:space="0" w:color="auto"/>
              <w:left w:val="nil"/>
              <w:bottom w:val="single" w:sz="4" w:space="0" w:color="auto"/>
              <w:right w:val="nil"/>
            </w:tcBorders>
            <w:shd w:val="clear" w:color="000000" w:fill="D4C5D7"/>
            <w:noWrap/>
            <w:vAlign w:val="center"/>
            <w:hideMark/>
          </w:tcPr>
          <w:p w14:paraId="58DB75D1" w14:textId="77777777" w:rsidR="00574203" w:rsidRPr="00193930" w:rsidRDefault="00574203" w:rsidP="00773810">
            <w:pPr>
              <w:spacing w:after="0" w:line="240" w:lineRule="auto"/>
              <w:jc w:val="right"/>
              <w:rPr>
                <w:rFonts w:eastAsia="Times New Roman" w:cs="Arial"/>
                <w:b/>
                <w:bCs/>
                <w:color w:val="000000"/>
                <w:sz w:val="20"/>
                <w:szCs w:val="20"/>
                <w:lang w:eastAsia="zh-CN"/>
              </w:rPr>
            </w:pPr>
            <w:r w:rsidRPr="00193930">
              <w:rPr>
                <w:rFonts w:eastAsia="Times New Roman" w:cs="Arial"/>
                <w:b/>
                <w:bCs/>
                <w:color w:val="000000"/>
                <w:sz w:val="20"/>
                <w:szCs w:val="20"/>
                <w:lang w:eastAsia="zh-CN"/>
              </w:rPr>
              <w:t>4,198</w:t>
            </w:r>
          </w:p>
        </w:tc>
        <w:tc>
          <w:tcPr>
            <w:tcW w:w="0" w:type="auto"/>
            <w:tcBorders>
              <w:top w:val="single" w:sz="4" w:space="0" w:color="auto"/>
              <w:left w:val="nil"/>
              <w:bottom w:val="single" w:sz="4" w:space="0" w:color="auto"/>
              <w:right w:val="nil"/>
            </w:tcBorders>
            <w:shd w:val="clear" w:color="000000" w:fill="D4C5D7"/>
            <w:noWrap/>
            <w:vAlign w:val="center"/>
            <w:hideMark/>
          </w:tcPr>
          <w:p w14:paraId="7643BD65" w14:textId="77777777" w:rsidR="00574203" w:rsidRPr="00193930" w:rsidRDefault="00574203" w:rsidP="00773810">
            <w:pPr>
              <w:spacing w:after="0" w:line="240" w:lineRule="auto"/>
              <w:jc w:val="right"/>
              <w:rPr>
                <w:rFonts w:eastAsia="Times New Roman" w:cs="Arial"/>
                <w:b/>
                <w:bCs/>
                <w:color w:val="000000"/>
                <w:sz w:val="20"/>
                <w:szCs w:val="20"/>
                <w:lang w:eastAsia="zh-CN"/>
              </w:rPr>
            </w:pPr>
            <w:r w:rsidRPr="00193930">
              <w:rPr>
                <w:rFonts w:eastAsia="Times New Roman" w:cs="Arial"/>
                <w:b/>
                <w:bCs/>
                <w:color w:val="000000"/>
                <w:sz w:val="20"/>
                <w:szCs w:val="20"/>
                <w:lang w:eastAsia="zh-CN"/>
              </w:rPr>
              <w:t>6.6%</w:t>
            </w:r>
          </w:p>
        </w:tc>
      </w:tr>
    </w:tbl>
    <w:p w14:paraId="02CFBA7F" w14:textId="77777777" w:rsidR="00070BDA" w:rsidRPr="004609D3" w:rsidRDefault="00FB02FC" w:rsidP="00070BDA">
      <w:pPr>
        <w:pStyle w:val="FSRHeading5"/>
      </w:pPr>
      <w:r>
        <w:t>Reported L</w:t>
      </w:r>
      <w:r w:rsidR="00070BDA" w:rsidRPr="004609D3">
        <w:t>evel</w:t>
      </w:r>
      <w:r w:rsidR="00070BDA">
        <w:t>s</w:t>
      </w:r>
      <w:r w:rsidR="00070BDA" w:rsidRPr="004609D3">
        <w:t xml:space="preserve"> of function continue to </w:t>
      </w:r>
      <w:r w:rsidR="00070BDA">
        <w:t>reduce</w:t>
      </w:r>
    </w:p>
    <w:p w14:paraId="76324870" w14:textId="77777777" w:rsidR="0093332E" w:rsidRDefault="0093332E" w:rsidP="0093332E">
      <w:pPr>
        <w:pStyle w:val="FSRnormal"/>
      </w:pPr>
      <w:r w:rsidRPr="005274EE">
        <w:t xml:space="preserve">A persistent </w:t>
      </w:r>
      <w:r w:rsidR="00353A74">
        <w:t>deterioration</w:t>
      </w:r>
      <w:r w:rsidRPr="005274EE">
        <w:t xml:space="preserve"> in reported level</w:t>
      </w:r>
      <w:r w:rsidR="00FB02FC">
        <w:t>s</w:t>
      </w:r>
      <w:r w:rsidRPr="005274EE">
        <w:t xml:space="preserve"> of function is observed within the participant population. This can be seen in </w:t>
      </w:r>
      <w:r w:rsidR="004461D2" w:rsidRPr="00164A79">
        <w:t xml:space="preserve">Figure </w:t>
      </w:r>
      <w:r w:rsidR="004461D2">
        <w:rPr>
          <w:noProof/>
        </w:rPr>
        <w:t>4</w:t>
      </w:r>
      <w:r w:rsidR="004461D2">
        <w:t>.</w:t>
      </w:r>
      <w:r w:rsidR="004461D2">
        <w:rPr>
          <w:noProof/>
        </w:rPr>
        <w:t>2</w:t>
      </w:r>
      <w:r w:rsidR="00DC3E63">
        <w:rPr>
          <w:noProof/>
        </w:rPr>
        <w:t xml:space="preserve"> </w:t>
      </w:r>
      <w:r w:rsidRPr="005274EE">
        <w:t xml:space="preserve">which shows the reported functional distribution for participants who entered the Scheme prior to 30 June 2017. It indicates that over time the proportion with a high level of function has decreased, and the proportions with low levels of function have increased. </w:t>
      </w:r>
      <w:r>
        <w:t xml:space="preserve">The shift in distribution was most significant in the initial years after participants entered the Scheme, although there remains a noticeable change in the fifth and sixth years. </w:t>
      </w:r>
    </w:p>
    <w:p w14:paraId="0211FAA3" w14:textId="77777777" w:rsidR="0093332E" w:rsidRDefault="0093332E" w:rsidP="0093332E">
      <w:pPr>
        <w:pStyle w:val="FSRnormal"/>
      </w:pPr>
      <w:r>
        <w:t>Similar trends are</w:t>
      </w:r>
      <w:r w:rsidRPr="00BA5509">
        <w:t xml:space="preserve"> consistently observed for participants who entered in later years (post 2017) and for individual cohorts of participants</w:t>
      </w:r>
      <w:r w:rsidRPr="000C622B">
        <w:rPr>
          <w:rStyle w:val="FootnoteReference"/>
        </w:rPr>
        <w:footnoteReference w:id="49"/>
      </w:r>
      <w:r w:rsidR="00FB02FC">
        <w:t>.</w:t>
      </w:r>
      <w:r w:rsidRPr="000C622B">
        <w:t xml:space="preserve"> </w:t>
      </w:r>
      <w:r w:rsidRPr="00E872F9">
        <w:t>Th</w:t>
      </w:r>
      <w:r>
        <w:t>e</w:t>
      </w:r>
      <w:r w:rsidRPr="00E872F9">
        <w:t xml:space="preserve"> deterioration of level of function is present in </w:t>
      </w:r>
      <w:r>
        <w:t xml:space="preserve">all </w:t>
      </w:r>
      <w:r w:rsidRPr="00E872F9">
        <w:t>disabili</w:t>
      </w:r>
      <w:r>
        <w:t>ty groups</w:t>
      </w:r>
      <w:r w:rsidRPr="00E872F9">
        <w:t>, and in most age groups (children or adults), whether the actual participant number is high</w:t>
      </w:r>
      <w:r w:rsidR="00F64BE4">
        <w:t>er</w:t>
      </w:r>
      <w:r w:rsidRPr="00E872F9">
        <w:t xml:space="preserve"> or lower than expected. Despite this, the pace and extent of deterioration varies across disabilities.</w:t>
      </w:r>
    </w:p>
    <w:p w14:paraId="06C8F2B2" w14:textId="77777777" w:rsidR="0093332E" w:rsidRPr="00B4620E" w:rsidRDefault="003F2574" w:rsidP="0093332E">
      <w:pPr>
        <w:pStyle w:val="FSRnormal"/>
      </w:pPr>
      <w:r>
        <w:t>I</w:t>
      </w:r>
      <w:r w:rsidR="0093332E">
        <w:t>t is likely that the shift reflects inconsistent assessments over time</w:t>
      </w:r>
      <w:r>
        <w:t>, and</w:t>
      </w:r>
      <w:r w:rsidR="0093332E">
        <w:t xml:space="preserve"> </w:t>
      </w:r>
      <w:r>
        <w:t>i</w:t>
      </w:r>
      <w:r w:rsidR="0093332E">
        <w:t xml:space="preserve">t has been associated with increasing </w:t>
      </w:r>
      <w:r>
        <w:t>Scheme expenses</w:t>
      </w:r>
      <w:r w:rsidR="0093332E">
        <w:t xml:space="preserve"> (as participants with lower function on average have higher support packages and hence higher average payments). </w:t>
      </w:r>
    </w:p>
    <w:p w14:paraId="661341F9" w14:textId="77777777" w:rsidR="0093332E" w:rsidRPr="00715657" w:rsidRDefault="0093332E" w:rsidP="0093332E">
      <w:pPr>
        <w:pStyle w:val="Figures"/>
      </w:pPr>
      <w:bookmarkStart w:id="51" w:name="_Ref113272589"/>
      <w:r w:rsidRPr="00164A79">
        <w:lastRenderedPageBreak/>
        <w:t xml:space="preserve">Figure </w:t>
      </w:r>
      <w:fldSimple w:instr=" STYLEREF 2 \s ">
        <w:r w:rsidR="00447AA1">
          <w:rPr>
            <w:noProof/>
          </w:rPr>
          <w:t>4</w:t>
        </w:r>
      </w:fldSimple>
      <w:r w:rsidR="00447AA1">
        <w:t>.</w:t>
      </w:r>
      <w:fldSimple w:instr=" SEQ Figure \* ARABIC \s 2 ">
        <w:r w:rsidR="00447AA1">
          <w:rPr>
            <w:noProof/>
          </w:rPr>
          <w:t>2</w:t>
        </w:r>
      </w:fldSimple>
      <w:r>
        <w:t>:</w:t>
      </w:r>
      <w:r w:rsidRPr="00715657">
        <w:t xml:space="preserve"> Change in reported functional distribution from 30 June 2017 to 30 June 2022</w:t>
      </w:r>
      <w:r w:rsidRPr="00621D33">
        <w:rPr>
          <w:rStyle w:val="FootnoteReference"/>
        </w:rPr>
        <w:footnoteReference w:id="50"/>
      </w:r>
      <w:bookmarkEnd w:id="51"/>
    </w:p>
    <w:p w14:paraId="0BD6DDD8" w14:textId="77777777" w:rsidR="0093332E" w:rsidRPr="005274EE" w:rsidRDefault="003A19FF" w:rsidP="0093332E">
      <w:pPr>
        <w:pStyle w:val="FSRnormal"/>
      </w:pPr>
      <w:r w:rsidRPr="003A19FF">
        <w:rPr>
          <w:noProof/>
          <w:lang w:eastAsia="en-AU"/>
        </w:rPr>
        <w:drawing>
          <wp:inline distT="0" distB="0" distL="0" distR="0" wp14:anchorId="6BBBA3E6" wp14:editId="188B9D00">
            <wp:extent cx="5165725" cy="2766695"/>
            <wp:effectExtent l="0" t="0" r="0" b="0"/>
            <wp:docPr id="199784928" name="Picture 199784928" descr="Graph shows change in distribution of participants by reported level of function from 30 June 2017 to 30 June 2022: &#10;High level of function changed from 38% to 20%; &#10;Medium level of function changed from 38% to 44%; &#10;Low level of function changed from 23% to 35%;.&#10;" title="Figure 4.2: Change in reported functional distribution from 30 June 2017 to 30 June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65725" cy="2766695"/>
                    </a:xfrm>
                    <a:prstGeom prst="rect">
                      <a:avLst/>
                    </a:prstGeom>
                    <a:noFill/>
                    <a:ln>
                      <a:noFill/>
                    </a:ln>
                  </pic:spPr>
                </pic:pic>
              </a:graphicData>
            </a:graphic>
          </wp:inline>
        </w:drawing>
      </w:r>
    </w:p>
    <w:p w14:paraId="4D095D57" w14:textId="77777777" w:rsidR="0093332E" w:rsidRPr="00940E06" w:rsidRDefault="005D7416" w:rsidP="0093332E">
      <w:pPr>
        <w:pStyle w:val="FSRHeading5"/>
      </w:pPr>
      <w:r>
        <w:t xml:space="preserve">The increase in participants with </w:t>
      </w:r>
      <w:r w:rsidR="0093332E">
        <w:t>SIL was higher than expected</w:t>
      </w:r>
    </w:p>
    <w:p w14:paraId="7B4EC372" w14:textId="77777777" w:rsidR="000878B6" w:rsidRDefault="000878B6" w:rsidP="0093332E">
      <w:pPr>
        <w:pStyle w:val="FSRlist"/>
        <w:numPr>
          <w:ilvl w:val="0"/>
          <w:numId w:val="0"/>
        </w:numPr>
      </w:pPr>
      <w:r>
        <w:t>T</w:t>
      </w:r>
      <w:r w:rsidRPr="004609D3">
        <w:t>he number of Scheme participants with SIL has increased due to existing participants moving into SIL arrangements, and, to a lesser extent, new entrants requiring SIL supports.</w:t>
      </w:r>
      <w:r>
        <w:t xml:space="preserve"> The increase in 2021-22 was higher than in 2020-21, as shown in </w:t>
      </w:r>
      <w:r w:rsidR="00911A3E" w:rsidRPr="00164A79">
        <w:t xml:space="preserve">Figure </w:t>
      </w:r>
      <w:r w:rsidR="00911A3E">
        <w:rPr>
          <w:noProof/>
        </w:rPr>
        <w:t>4</w:t>
      </w:r>
      <w:r w:rsidR="00911A3E">
        <w:t>.</w:t>
      </w:r>
      <w:r w:rsidR="00911A3E">
        <w:rPr>
          <w:noProof/>
        </w:rPr>
        <w:t>3</w:t>
      </w:r>
      <w:r>
        <w:t>.</w:t>
      </w:r>
    </w:p>
    <w:p w14:paraId="17ACDB63" w14:textId="77777777" w:rsidR="00E65453" w:rsidRPr="00FB02FC" w:rsidRDefault="000878B6" w:rsidP="000878B6">
      <w:pPr>
        <w:pStyle w:val="Figures"/>
        <w:rPr>
          <w:highlight w:val="yellow"/>
        </w:rPr>
      </w:pPr>
      <w:bookmarkStart w:id="52" w:name="_Ref114821994"/>
      <w:r w:rsidRPr="00164A79">
        <w:lastRenderedPageBreak/>
        <w:t xml:space="preserve">Figure </w:t>
      </w:r>
      <w:fldSimple w:instr=" STYLEREF 2 \s ">
        <w:r w:rsidR="00447AA1">
          <w:rPr>
            <w:noProof/>
          </w:rPr>
          <w:t>4</w:t>
        </w:r>
      </w:fldSimple>
      <w:r w:rsidR="00447AA1">
        <w:t>.</w:t>
      </w:r>
      <w:fldSimple w:instr=" SEQ Figure \* ARABIC \s 2 ">
        <w:r w:rsidR="00447AA1">
          <w:rPr>
            <w:noProof/>
          </w:rPr>
          <w:t>3</w:t>
        </w:r>
      </w:fldSimple>
      <w:bookmarkEnd w:id="52"/>
      <w:r w:rsidRPr="00164A79">
        <w:t>:</w:t>
      </w:r>
      <w:r w:rsidRPr="00E872F9">
        <w:t xml:space="preserve"> Increase in participants with SIL over the past 3 </w:t>
      </w:r>
      <w:r w:rsidRPr="00ED4E05">
        <w:t>years</w:t>
      </w:r>
      <w:r w:rsidRPr="00ED4E05">
        <w:rPr>
          <w:rStyle w:val="FootnoteReference"/>
        </w:rPr>
        <w:footnoteReference w:id="51"/>
      </w:r>
    </w:p>
    <w:p w14:paraId="5D6918E4" w14:textId="77777777" w:rsidR="000878B6" w:rsidRDefault="000878B6" w:rsidP="000878B6">
      <w:pPr>
        <w:pStyle w:val="Figures"/>
        <w:rPr>
          <w:rFonts w:eastAsia="DengXian" w:cs="Cordia New"/>
        </w:rPr>
      </w:pPr>
      <w:r w:rsidRPr="003A19FF">
        <w:rPr>
          <w:noProof/>
          <w:lang w:eastAsia="en-AU"/>
        </w:rPr>
        <w:drawing>
          <wp:inline distT="0" distB="0" distL="0" distR="0" wp14:anchorId="3F12D8F3" wp14:editId="5119B4D9">
            <wp:extent cx="5731510" cy="3408735"/>
            <wp:effectExtent l="0" t="0" r="2540" b="1270"/>
            <wp:docPr id="232" name="Picture 232" descr="Graph shows the change in the number of participants with SIL, over the past 3 years. The change in each financial year has been as follows:&#10;2018-19: +8,389; 2019-20: +3,067; 2020-21: +1,201; 2021-22: +2,408." title="Figure 4.3: Increase in participants with SIL over the past 3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3408735"/>
                    </a:xfrm>
                    <a:prstGeom prst="rect">
                      <a:avLst/>
                    </a:prstGeom>
                    <a:noFill/>
                    <a:ln>
                      <a:noFill/>
                    </a:ln>
                  </pic:spPr>
                </pic:pic>
              </a:graphicData>
            </a:graphic>
          </wp:inline>
        </w:drawing>
      </w:r>
    </w:p>
    <w:p w14:paraId="23ECB7F3" w14:textId="77777777" w:rsidR="0093332E" w:rsidRDefault="0093332E" w:rsidP="0093332E">
      <w:pPr>
        <w:pStyle w:val="FSRlist"/>
        <w:numPr>
          <w:ilvl w:val="0"/>
          <w:numId w:val="0"/>
        </w:numPr>
      </w:pPr>
      <w:r>
        <w:t xml:space="preserve">At 30 June 2022, the number of participants with SIL was 5% higher than expected at 26,950. </w:t>
      </w:r>
      <w:r w:rsidR="00DD1B09">
        <w:t>T</w:t>
      </w:r>
      <w:r w:rsidRPr="00940E06">
        <w:t xml:space="preserve">he net increase in participants with SIL during 2021-22 </w:t>
      </w:r>
      <w:r w:rsidR="005D7416">
        <w:t>was</w:t>
      </w:r>
      <w:r w:rsidRPr="00940E06">
        <w:t xml:space="preserve"> 116% higher than expected (</w:t>
      </w:r>
      <w:r w:rsidR="004461D2">
        <w:t xml:space="preserve">Table </w:t>
      </w:r>
      <w:r w:rsidR="004461D2">
        <w:rPr>
          <w:noProof/>
        </w:rPr>
        <w:t>4</w:t>
      </w:r>
      <w:r w:rsidR="004461D2">
        <w:t>.</w:t>
      </w:r>
      <w:r w:rsidR="004461D2">
        <w:rPr>
          <w:noProof/>
        </w:rPr>
        <w:t>6</w:t>
      </w:r>
      <w:r w:rsidRPr="00940E06">
        <w:t>). This reflects a higher number of participants moving into SIL arrangements due to the clearing of backlogs of home and living decisions.</w:t>
      </w:r>
    </w:p>
    <w:p w14:paraId="4B59A5F1" w14:textId="77777777" w:rsidR="0093332E" w:rsidRPr="00711C14" w:rsidRDefault="0093332E" w:rsidP="00711C14">
      <w:pPr>
        <w:pStyle w:val="Tables"/>
      </w:pPr>
      <w:bookmarkStart w:id="53" w:name="_Ref113272872"/>
      <w:bookmarkStart w:id="54" w:name="_Ref113272721"/>
      <w:r w:rsidRPr="00711C14">
        <w:t xml:space="preserve">Table </w:t>
      </w:r>
      <w:fldSimple w:instr=" STYLEREF 2 \s ">
        <w:r w:rsidR="00A87896" w:rsidRPr="00F830E6">
          <w:t>4</w:t>
        </w:r>
      </w:fldSimple>
      <w:r w:rsidR="00A87896" w:rsidRPr="00711C14">
        <w:t>.</w:t>
      </w:r>
      <w:fldSimple w:instr=" SEQ Table \* ARABIC \s 2 ">
        <w:r w:rsidR="00A87896" w:rsidRPr="00F830E6">
          <w:t>6</w:t>
        </w:r>
      </w:fldSimple>
      <w:bookmarkEnd w:id="53"/>
      <w:r w:rsidRPr="00711C14">
        <w:t>: Actual versus expected total participant numbers and net increase in SIL (expected adjusted for SIL restatement)</w:t>
      </w:r>
      <w:bookmarkEnd w:id="54"/>
    </w:p>
    <w:tbl>
      <w:tblPr>
        <w:tblW w:w="0" w:type="auto"/>
        <w:tblLayout w:type="fixed"/>
        <w:tblLook w:val="04A0" w:firstRow="1" w:lastRow="0" w:firstColumn="1" w:lastColumn="0" w:noHBand="0" w:noVBand="1"/>
      </w:tblPr>
      <w:tblGrid>
        <w:gridCol w:w="3402"/>
        <w:gridCol w:w="1700"/>
        <w:gridCol w:w="1106"/>
        <w:gridCol w:w="1195"/>
        <w:gridCol w:w="1372"/>
      </w:tblGrid>
      <w:tr w:rsidR="0093332E" w:rsidRPr="00111BAD" w14:paraId="1A38DE48" w14:textId="77777777" w:rsidTr="00F830E6">
        <w:trPr>
          <w:trHeight w:val="397"/>
          <w:tblHeader/>
        </w:trPr>
        <w:tc>
          <w:tcPr>
            <w:tcW w:w="3402" w:type="dxa"/>
            <w:tcBorders>
              <w:top w:val="nil"/>
              <w:left w:val="nil"/>
              <w:bottom w:val="nil"/>
              <w:right w:val="nil"/>
            </w:tcBorders>
            <w:shd w:val="clear" w:color="000000" w:fill="6B2976"/>
            <w:vAlign w:val="center"/>
            <w:hideMark/>
          </w:tcPr>
          <w:p w14:paraId="493FDF06" w14:textId="77777777" w:rsidR="0093332E" w:rsidRPr="00DC5E78" w:rsidRDefault="0093332E" w:rsidP="008E21F6">
            <w:pPr>
              <w:spacing w:after="0" w:line="240" w:lineRule="auto"/>
              <w:rPr>
                <w:rFonts w:eastAsia="Times New Roman" w:cs="Arial"/>
                <w:b/>
                <w:bCs/>
                <w:color w:val="FFFFFF"/>
                <w:sz w:val="20"/>
                <w:szCs w:val="20"/>
              </w:rPr>
            </w:pPr>
            <w:r>
              <w:rPr>
                <w:rFonts w:eastAsia="Times New Roman" w:cs="Arial"/>
                <w:b/>
                <w:bCs/>
                <w:color w:val="FFFFFF"/>
                <w:sz w:val="20"/>
                <w:szCs w:val="20"/>
              </w:rPr>
              <w:t>At</w:t>
            </w:r>
            <w:r w:rsidRPr="00DC5E78">
              <w:rPr>
                <w:rFonts w:eastAsia="Times New Roman" w:cs="Arial"/>
                <w:b/>
                <w:bCs/>
                <w:color w:val="FFFFFF"/>
                <w:sz w:val="20"/>
                <w:szCs w:val="20"/>
              </w:rPr>
              <w:t xml:space="preserve"> 30 June 2022</w:t>
            </w:r>
          </w:p>
        </w:tc>
        <w:tc>
          <w:tcPr>
            <w:tcW w:w="1700" w:type="dxa"/>
            <w:tcBorders>
              <w:top w:val="nil"/>
              <w:left w:val="nil"/>
              <w:bottom w:val="nil"/>
              <w:right w:val="nil"/>
            </w:tcBorders>
            <w:shd w:val="clear" w:color="000000" w:fill="6B2976"/>
            <w:vAlign w:val="center"/>
            <w:hideMark/>
          </w:tcPr>
          <w:p w14:paraId="325BC62B"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Actual</w:t>
            </w:r>
          </w:p>
        </w:tc>
        <w:tc>
          <w:tcPr>
            <w:tcW w:w="1106" w:type="dxa"/>
            <w:tcBorders>
              <w:top w:val="nil"/>
              <w:left w:val="nil"/>
              <w:bottom w:val="nil"/>
              <w:right w:val="nil"/>
            </w:tcBorders>
            <w:shd w:val="clear" w:color="000000" w:fill="6B2976"/>
            <w:vAlign w:val="center"/>
            <w:hideMark/>
          </w:tcPr>
          <w:p w14:paraId="05CE230F"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Expected</w:t>
            </w:r>
          </w:p>
        </w:tc>
        <w:tc>
          <w:tcPr>
            <w:tcW w:w="1195" w:type="dxa"/>
            <w:tcBorders>
              <w:top w:val="nil"/>
              <w:left w:val="nil"/>
              <w:bottom w:val="nil"/>
              <w:right w:val="nil"/>
            </w:tcBorders>
            <w:shd w:val="clear" w:color="000000" w:fill="6B2976"/>
            <w:vAlign w:val="center"/>
            <w:hideMark/>
          </w:tcPr>
          <w:p w14:paraId="5023BC35"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Difference</w:t>
            </w:r>
          </w:p>
        </w:tc>
        <w:tc>
          <w:tcPr>
            <w:tcW w:w="1372" w:type="dxa"/>
            <w:tcBorders>
              <w:top w:val="nil"/>
              <w:left w:val="nil"/>
              <w:bottom w:val="nil"/>
              <w:right w:val="nil"/>
            </w:tcBorders>
            <w:shd w:val="clear" w:color="000000" w:fill="6B2976"/>
            <w:vAlign w:val="center"/>
            <w:hideMark/>
          </w:tcPr>
          <w:p w14:paraId="05F81B38" w14:textId="77777777" w:rsidR="0093332E" w:rsidRPr="00DC5E78" w:rsidRDefault="0093332E" w:rsidP="008E21F6">
            <w:pPr>
              <w:spacing w:after="0" w:line="240" w:lineRule="auto"/>
              <w:jc w:val="right"/>
              <w:rPr>
                <w:rFonts w:eastAsia="Times New Roman" w:cs="Arial"/>
                <w:b/>
                <w:bCs/>
                <w:color w:val="FFFFFF"/>
                <w:sz w:val="20"/>
                <w:szCs w:val="20"/>
              </w:rPr>
            </w:pPr>
            <w:r w:rsidRPr="00DC5E78">
              <w:rPr>
                <w:rFonts w:eastAsia="Times New Roman" w:cs="Arial"/>
                <w:b/>
                <w:bCs/>
                <w:color w:val="FFFFFF"/>
                <w:sz w:val="20"/>
                <w:szCs w:val="20"/>
              </w:rPr>
              <w:t>%Difference</w:t>
            </w:r>
          </w:p>
        </w:tc>
      </w:tr>
      <w:tr w:rsidR="0093332E" w:rsidRPr="00111BAD" w14:paraId="6ACB8117" w14:textId="77777777" w:rsidTr="00F830E6">
        <w:trPr>
          <w:trHeight w:val="300"/>
          <w:tblHeader/>
        </w:trPr>
        <w:tc>
          <w:tcPr>
            <w:tcW w:w="3402" w:type="dxa"/>
            <w:tcBorders>
              <w:top w:val="nil"/>
              <w:left w:val="nil"/>
              <w:right w:val="nil"/>
            </w:tcBorders>
            <w:shd w:val="clear" w:color="auto" w:fill="auto"/>
            <w:noWrap/>
            <w:vAlign w:val="center"/>
            <w:hideMark/>
          </w:tcPr>
          <w:p w14:paraId="12B426B5" w14:textId="77777777" w:rsidR="0093332E" w:rsidRPr="00DC5E78" w:rsidRDefault="0093332E" w:rsidP="008E21F6">
            <w:pPr>
              <w:spacing w:after="0" w:line="240" w:lineRule="auto"/>
              <w:rPr>
                <w:rFonts w:eastAsia="Times New Roman" w:cs="Arial"/>
                <w:color w:val="000000"/>
                <w:sz w:val="20"/>
                <w:szCs w:val="20"/>
              </w:rPr>
            </w:pPr>
            <w:r w:rsidRPr="00DC5E78">
              <w:rPr>
                <w:rFonts w:eastAsia="Times New Roman" w:cs="Arial"/>
                <w:color w:val="000000"/>
                <w:sz w:val="20"/>
                <w:szCs w:val="20"/>
              </w:rPr>
              <w:t xml:space="preserve">Numbers </w:t>
            </w:r>
            <w:r w:rsidR="005D529D">
              <w:rPr>
                <w:rFonts w:eastAsia="Times New Roman" w:cs="Arial"/>
                <w:color w:val="000000"/>
                <w:sz w:val="20"/>
                <w:szCs w:val="20"/>
              </w:rPr>
              <w:t>of Participants with</w:t>
            </w:r>
            <w:r w:rsidRPr="00DC5E78">
              <w:rPr>
                <w:rFonts w:eastAsia="Times New Roman" w:cs="Arial"/>
                <w:color w:val="000000"/>
                <w:sz w:val="20"/>
                <w:szCs w:val="20"/>
              </w:rPr>
              <w:t xml:space="preserve"> SIL</w:t>
            </w:r>
          </w:p>
        </w:tc>
        <w:tc>
          <w:tcPr>
            <w:tcW w:w="1700" w:type="dxa"/>
            <w:tcBorders>
              <w:top w:val="nil"/>
              <w:left w:val="nil"/>
              <w:right w:val="nil"/>
            </w:tcBorders>
            <w:shd w:val="clear" w:color="auto" w:fill="auto"/>
            <w:noWrap/>
            <w:vAlign w:val="center"/>
            <w:hideMark/>
          </w:tcPr>
          <w:p w14:paraId="243DAA39"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26,950</w:t>
            </w:r>
          </w:p>
        </w:tc>
        <w:tc>
          <w:tcPr>
            <w:tcW w:w="1106" w:type="dxa"/>
            <w:tcBorders>
              <w:top w:val="nil"/>
              <w:left w:val="nil"/>
              <w:right w:val="nil"/>
            </w:tcBorders>
            <w:shd w:val="clear" w:color="auto" w:fill="auto"/>
            <w:noWrap/>
            <w:vAlign w:val="center"/>
            <w:hideMark/>
          </w:tcPr>
          <w:p w14:paraId="6CB81695"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25,655</w:t>
            </w:r>
          </w:p>
        </w:tc>
        <w:tc>
          <w:tcPr>
            <w:tcW w:w="1195" w:type="dxa"/>
            <w:tcBorders>
              <w:top w:val="nil"/>
              <w:left w:val="nil"/>
              <w:right w:val="nil"/>
            </w:tcBorders>
            <w:shd w:val="clear" w:color="auto" w:fill="auto"/>
            <w:noWrap/>
            <w:vAlign w:val="center"/>
            <w:hideMark/>
          </w:tcPr>
          <w:p w14:paraId="6D475613"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1,295</w:t>
            </w:r>
          </w:p>
        </w:tc>
        <w:tc>
          <w:tcPr>
            <w:tcW w:w="1372" w:type="dxa"/>
            <w:tcBorders>
              <w:top w:val="nil"/>
              <w:left w:val="nil"/>
              <w:right w:val="nil"/>
            </w:tcBorders>
            <w:shd w:val="clear" w:color="auto" w:fill="auto"/>
            <w:noWrap/>
            <w:vAlign w:val="center"/>
            <w:hideMark/>
          </w:tcPr>
          <w:p w14:paraId="64BE1228"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5.0%</w:t>
            </w:r>
          </w:p>
        </w:tc>
      </w:tr>
      <w:tr w:rsidR="0093332E" w:rsidRPr="00111BAD" w14:paraId="483392DA" w14:textId="77777777" w:rsidTr="00F830E6">
        <w:trPr>
          <w:trHeight w:val="300"/>
          <w:tblHeader/>
        </w:trPr>
        <w:tc>
          <w:tcPr>
            <w:tcW w:w="3402" w:type="dxa"/>
            <w:tcBorders>
              <w:top w:val="nil"/>
              <w:left w:val="nil"/>
              <w:bottom w:val="single" w:sz="4" w:space="0" w:color="auto"/>
              <w:right w:val="nil"/>
            </w:tcBorders>
            <w:shd w:val="clear" w:color="auto" w:fill="BFBFBF" w:themeFill="background1" w:themeFillShade="BF"/>
            <w:noWrap/>
            <w:vAlign w:val="center"/>
            <w:hideMark/>
          </w:tcPr>
          <w:p w14:paraId="1C24332A" w14:textId="77777777" w:rsidR="0093332E" w:rsidRPr="00DC5E78" w:rsidRDefault="0093332E" w:rsidP="008E21F6">
            <w:pPr>
              <w:spacing w:after="0" w:line="240" w:lineRule="auto"/>
              <w:rPr>
                <w:rFonts w:eastAsia="Times New Roman" w:cs="Arial"/>
                <w:color w:val="000000"/>
                <w:sz w:val="20"/>
                <w:szCs w:val="20"/>
              </w:rPr>
            </w:pPr>
            <w:r w:rsidRPr="00DC5E78">
              <w:rPr>
                <w:rFonts w:eastAsia="Times New Roman" w:cs="Arial"/>
                <w:color w:val="000000"/>
                <w:sz w:val="20"/>
                <w:szCs w:val="20"/>
              </w:rPr>
              <w:t>Net Increase in SIL</w:t>
            </w:r>
          </w:p>
        </w:tc>
        <w:tc>
          <w:tcPr>
            <w:tcW w:w="1700" w:type="dxa"/>
            <w:tcBorders>
              <w:top w:val="nil"/>
              <w:left w:val="nil"/>
              <w:bottom w:val="single" w:sz="4" w:space="0" w:color="auto"/>
              <w:right w:val="nil"/>
            </w:tcBorders>
            <w:shd w:val="clear" w:color="auto" w:fill="BFBFBF" w:themeFill="background1" w:themeFillShade="BF"/>
            <w:noWrap/>
            <w:vAlign w:val="center"/>
            <w:hideMark/>
          </w:tcPr>
          <w:p w14:paraId="33CB83A3"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2,408</w:t>
            </w:r>
          </w:p>
        </w:tc>
        <w:tc>
          <w:tcPr>
            <w:tcW w:w="1106" w:type="dxa"/>
            <w:tcBorders>
              <w:top w:val="nil"/>
              <w:left w:val="nil"/>
              <w:bottom w:val="single" w:sz="4" w:space="0" w:color="auto"/>
              <w:right w:val="nil"/>
            </w:tcBorders>
            <w:shd w:val="clear" w:color="auto" w:fill="BFBFBF" w:themeFill="background1" w:themeFillShade="BF"/>
            <w:noWrap/>
            <w:vAlign w:val="center"/>
            <w:hideMark/>
          </w:tcPr>
          <w:p w14:paraId="2185D298"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1,113</w:t>
            </w:r>
          </w:p>
        </w:tc>
        <w:tc>
          <w:tcPr>
            <w:tcW w:w="1195" w:type="dxa"/>
            <w:tcBorders>
              <w:top w:val="nil"/>
              <w:left w:val="nil"/>
              <w:bottom w:val="single" w:sz="4" w:space="0" w:color="auto"/>
              <w:right w:val="nil"/>
            </w:tcBorders>
            <w:shd w:val="clear" w:color="auto" w:fill="BFBFBF" w:themeFill="background1" w:themeFillShade="BF"/>
            <w:noWrap/>
            <w:vAlign w:val="center"/>
            <w:hideMark/>
          </w:tcPr>
          <w:p w14:paraId="25ECC48C"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1,295</w:t>
            </w:r>
          </w:p>
        </w:tc>
        <w:tc>
          <w:tcPr>
            <w:tcW w:w="1372" w:type="dxa"/>
            <w:tcBorders>
              <w:top w:val="nil"/>
              <w:left w:val="nil"/>
              <w:bottom w:val="single" w:sz="4" w:space="0" w:color="auto"/>
              <w:right w:val="nil"/>
            </w:tcBorders>
            <w:shd w:val="clear" w:color="auto" w:fill="BFBFBF" w:themeFill="background1" w:themeFillShade="BF"/>
            <w:noWrap/>
            <w:vAlign w:val="center"/>
            <w:hideMark/>
          </w:tcPr>
          <w:p w14:paraId="073CF299" w14:textId="77777777" w:rsidR="0093332E" w:rsidRPr="00DC5E78" w:rsidRDefault="0093332E" w:rsidP="008E21F6">
            <w:pPr>
              <w:spacing w:after="0" w:line="240" w:lineRule="auto"/>
              <w:jc w:val="right"/>
              <w:rPr>
                <w:rFonts w:eastAsia="Times New Roman" w:cs="Arial"/>
                <w:color w:val="000000"/>
                <w:sz w:val="20"/>
                <w:szCs w:val="20"/>
              </w:rPr>
            </w:pPr>
            <w:r w:rsidRPr="00DC5E78">
              <w:rPr>
                <w:rFonts w:eastAsia="Times New Roman" w:cs="Arial"/>
                <w:color w:val="000000"/>
                <w:sz w:val="20"/>
                <w:szCs w:val="20"/>
              </w:rPr>
              <w:t>116.3%</w:t>
            </w:r>
          </w:p>
        </w:tc>
      </w:tr>
    </w:tbl>
    <w:p w14:paraId="7D9582AB" w14:textId="77777777" w:rsidR="0093332E" w:rsidRDefault="0093332E" w:rsidP="0093332E">
      <w:pPr>
        <w:pStyle w:val="FSRnormal"/>
      </w:pPr>
      <w:r w:rsidRPr="00E02F3C">
        <w:t>The higher than expected n</w:t>
      </w:r>
      <w:r>
        <w:t>et increase in participants with</w:t>
      </w:r>
      <w:r w:rsidRPr="00E02F3C">
        <w:t xml:space="preserve"> SIL was primarily due to those aged 45 years and over (</w:t>
      </w:r>
      <w:r w:rsidR="004461D2">
        <w:t xml:space="preserve">Table </w:t>
      </w:r>
      <w:r w:rsidR="004461D2">
        <w:rPr>
          <w:noProof/>
        </w:rPr>
        <w:t>4</w:t>
      </w:r>
      <w:r w:rsidR="004461D2">
        <w:t>.</w:t>
      </w:r>
      <w:r w:rsidR="004461D2">
        <w:rPr>
          <w:noProof/>
        </w:rPr>
        <w:t>7</w:t>
      </w:r>
      <w:r w:rsidRPr="00E02F3C">
        <w:t xml:space="preserve">). </w:t>
      </w:r>
    </w:p>
    <w:p w14:paraId="6BC2D347" w14:textId="77777777" w:rsidR="0093332E" w:rsidRDefault="0093332E" w:rsidP="0093332E">
      <w:pPr>
        <w:pStyle w:val="Tables"/>
      </w:pPr>
      <w:bookmarkStart w:id="55" w:name="_Ref113272768"/>
      <w:bookmarkStart w:id="56" w:name="_Ref113272740"/>
      <w:r>
        <w:lastRenderedPageBreak/>
        <w:t xml:space="preserve">Table </w:t>
      </w:r>
      <w:fldSimple w:instr=" STYLEREF 2 \s ">
        <w:r w:rsidR="00A87896">
          <w:rPr>
            <w:noProof/>
          </w:rPr>
          <w:t>4</w:t>
        </w:r>
      </w:fldSimple>
      <w:r w:rsidR="00A87896">
        <w:t>.</w:t>
      </w:r>
      <w:fldSimple w:instr=" SEQ Table \* ARABIC \s 2 ">
        <w:r w:rsidR="00A87896">
          <w:rPr>
            <w:noProof/>
          </w:rPr>
          <w:t>7</w:t>
        </w:r>
      </w:fldSimple>
      <w:bookmarkEnd w:id="55"/>
      <w:r>
        <w:t>:</w:t>
      </w:r>
      <w:r w:rsidRPr="005346E3">
        <w:t xml:space="preserve"> </w:t>
      </w:r>
      <w:r w:rsidR="00390C88" w:rsidRPr="00390C88">
        <w:t>Actual versus expected net increase in participants with SIL by age group at 30 June 2022</w:t>
      </w:r>
      <w:r>
        <w:rPr>
          <w:rStyle w:val="FootnoteReference"/>
        </w:rPr>
        <w:footnoteReference w:id="52"/>
      </w:r>
      <w:bookmarkEnd w:id="56"/>
    </w:p>
    <w:tbl>
      <w:tblPr>
        <w:tblW w:w="0" w:type="auto"/>
        <w:tblLook w:val="04A0" w:firstRow="1" w:lastRow="0" w:firstColumn="1" w:lastColumn="0" w:noHBand="0" w:noVBand="1"/>
      </w:tblPr>
      <w:tblGrid>
        <w:gridCol w:w="1250"/>
        <w:gridCol w:w="828"/>
        <w:gridCol w:w="1106"/>
        <w:gridCol w:w="1195"/>
        <w:gridCol w:w="1372"/>
      </w:tblGrid>
      <w:tr w:rsidR="0093332E" w:rsidRPr="00072051" w14:paraId="31C5561C" w14:textId="77777777" w:rsidTr="008E21F6">
        <w:trPr>
          <w:trHeight w:val="397"/>
          <w:tblHeader/>
        </w:trPr>
        <w:tc>
          <w:tcPr>
            <w:tcW w:w="0" w:type="auto"/>
            <w:tcBorders>
              <w:top w:val="nil"/>
              <w:left w:val="nil"/>
              <w:bottom w:val="nil"/>
              <w:right w:val="nil"/>
            </w:tcBorders>
            <w:shd w:val="clear" w:color="000000" w:fill="6B2976"/>
            <w:noWrap/>
            <w:vAlign w:val="center"/>
            <w:hideMark/>
          </w:tcPr>
          <w:p w14:paraId="2C30400F" w14:textId="77777777" w:rsidR="0093332E" w:rsidRPr="00DC5E78" w:rsidRDefault="0093332E" w:rsidP="008E21F6">
            <w:pPr>
              <w:spacing w:after="0" w:line="240" w:lineRule="auto"/>
              <w:rPr>
                <w:rFonts w:eastAsia="Times New Roman" w:cs="Arial"/>
                <w:b/>
                <w:bCs/>
                <w:color w:val="FFFFFF"/>
                <w:sz w:val="20"/>
                <w:szCs w:val="20"/>
                <w:lang w:eastAsia="zh-CN"/>
              </w:rPr>
            </w:pPr>
            <w:r w:rsidRPr="00DC5E78">
              <w:rPr>
                <w:rFonts w:eastAsia="Times New Roman" w:cs="Arial"/>
                <w:b/>
                <w:bCs/>
                <w:color w:val="FFFFFF"/>
                <w:sz w:val="20"/>
                <w:szCs w:val="20"/>
                <w:lang w:eastAsia="zh-CN"/>
              </w:rPr>
              <w:t>Age Group</w:t>
            </w:r>
          </w:p>
        </w:tc>
        <w:tc>
          <w:tcPr>
            <w:tcW w:w="0" w:type="auto"/>
            <w:tcBorders>
              <w:top w:val="nil"/>
              <w:left w:val="nil"/>
              <w:bottom w:val="nil"/>
              <w:right w:val="nil"/>
            </w:tcBorders>
            <w:shd w:val="clear" w:color="000000" w:fill="6B2976"/>
            <w:vAlign w:val="center"/>
            <w:hideMark/>
          </w:tcPr>
          <w:p w14:paraId="52163D44" w14:textId="77777777" w:rsidR="0093332E" w:rsidRPr="00DC5E78" w:rsidRDefault="0093332E" w:rsidP="008E21F6">
            <w:pPr>
              <w:spacing w:after="0" w:line="240" w:lineRule="auto"/>
              <w:jc w:val="right"/>
              <w:rPr>
                <w:rFonts w:eastAsia="Times New Roman" w:cs="Arial"/>
                <w:b/>
                <w:bCs/>
                <w:color w:val="FFFFFF"/>
                <w:sz w:val="20"/>
                <w:szCs w:val="20"/>
                <w:lang w:eastAsia="zh-CN"/>
              </w:rPr>
            </w:pPr>
            <w:r w:rsidRPr="00DC5E78">
              <w:rPr>
                <w:rFonts w:eastAsia="Times New Roman" w:cs="Arial"/>
                <w:b/>
                <w:bCs/>
                <w:color w:val="FFFFFF"/>
                <w:sz w:val="20"/>
                <w:szCs w:val="20"/>
                <w:lang w:eastAsia="zh-CN"/>
              </w:rPr>
              <w:t>Actual</w:t>
            </w:r>
          </w:p>
        </w:tc>
        <w:tc>
          <w:tcPr>
            <w:tcW w:w="0" w:type="auto"/>
            <w:tcBorders>
              <w:top w:val="nil"/>
              <w:left w:val="nil"/>
              <w:bottom w:val="nil"/>
              <w:right w:val="nil"/>
            </w:tcBorders>
            <w:shd w:val="clear" w:color="000000" w:fill="6B2976"/>
            <w:vAlign w:val="center"/>
            <w:hideMark/>
          </w:tcPr>
          <w:p w14:paraId="3A392DEC" w14:textId="77777777" w:rsidR="0093332E" w:rsidRPr="00DC5E78" w:rsidRDefault="0093332E" w:rsidP="008E21F6">
            <w:pPr>
              <w:spacing w:after="0" w:line="240" w:lineRule="auto"/>
              <w:jc w:val="right"/>
              <w:rPr>
                <w:rFonts w:eastAsia="Times New Roman" w:cs="Arial"/>
                <w:b/>
                <w:bCs/>
                <w:color w:val="FFFFFF"/>
                <w:sz w:val="20"/>
                <w:szCs w:val="20"/>
                <w:lang w:eastAsia="zh-CN"/>
              </w:rPr>
            </w:pPr>
            <w:r w:rsidRPr="00DC5E78">
              <w:rPr>
                <w:rFonts w:eastAsia="Times New Roman" w:cs="Arial"/>
                <w:b/>
                <w:bCs/>
                <w:color w:val="FFFFFF"/>
                <w:sz w:val="20"/>
                <w:szCs w:val="20"/>
                <w:lang w:eastAsia="zh-CN"/>
              </w:rPr>
              <w:t>Expected</w:t>
            </w:r>
          </w:p>
        </w:tc>
        <w:tc>
          <w:tcPr>
            <w:tcW w:w="0" w:type="auto"/>
            <w:tcBorders>
              <w:top w:val="nil"/>
              <w:left w:val="nil"/>
              <w:bottom w:val="nil"/>
              <w:right w:val="nil"/>
            </w:tcBorders>
            <w:shd w:val="clear" w:color="000000" w:fill="6B2976"/>
            <w:vAlign w:val="center"/>
            <w:hideMark/>
          </w:tcPr>
          <w:p w14:paraId="3EA396DE" w14:textId="77777777" w:rsidR="0093332E" w:rsidRPr="00DC5E78" w:rsidRDefault="0093332E" w:rsidP="008E21F6">
            <w:pPr>
              <w:spacing w:after="0" w:line="240" w:lineRule="auto"/>
              <w:jc w:val="right"/>
              <w:rPr>
                <w:rFonts w:eastAsia="Times New Roman" w:cs="Arial"/>
                <w:b/>
                <w:bCs/>
                <w:color w:val="FFFFFF"/>
                <w:sz w:val="20"/>
                <w:szCs w:val="20"/>
                <w:lang w:eastAsia="zh-CN"/>
              </w:rPr>
            </w:pPr>
            <w:r w:rsidRPr="00DC5E78">
              <w:rPr>
                <w:rFonts w:eastAsia="Times New Roman" w:cs="Arial"/>
                <w:b/>
                <w:bCs/>
                <w:color w:val="FFFFFF"/>
                <w:sz w:val="20"/>
                <w:szCs w:val="20"/>
                <w:lang w:eastAsia="zh-CN"/>
              </w:rPr>
              <w:t>Difference</w:t>
            </w:r>
          </w:p>
        </w:tc>
        <w:tc>
          <w:tcPr>
            <w:tcW w:w="0" w:type="auto"/>
            <w:tcBorders>
              <w:top w:val="nil"/>
              <w:left w:val="nil"/>
              <w:bottom w:val="nil"/>
              <w:right w:val="nil"/>
            </w:tcBorders>
            <w:shd w:val="clear" w:color="000000" w:fill="6B2976"/>
            <w:vAlign w:val="center"/>
            <w:hideMark/>
          </w:tcPr>
          <w:p w14:paraId="24DF9E36" w14:textId="77777777" w:rsidR="0093332E" w:rsidRPr="00DC5E78" w:rsidRDefault="0093332E" w:rsidP="008E21F6">
            <w:pPr>
              <w:spacing w:after="0" w:line="240" w:lineRule="auto"/>
              <w:jc w:val="right"/>
              <w:rPr>
                <w:rFonts w:eastAsia="Times New Roman" w:cs="Arial"/>
                <w:b/>
                <w:bCs/>
                <w:color w:val="FFFFFF"/>
                <w:sz w:val="20"/>
                <w:szCs w:val="20"/>
                <w:lang w:eastAsia="zh-CN"/>
              </w:rPr>
            </w:pPr>
            <w:r w:rsidRPr="00DC5E78">
              <w:rPr>
                <w:rFonts w:eastAsia="Times New Roman" w:cs="Arial"/>
                <w:b/>
                <w:bCs/>
                <w:color w:val="FFFFFF"/>
                <w:sz w:val="20"/>
                <w:szCs w:val="20"/>
                <w:lang w:eastAsia="zh-CN"/>
              </w:rPr>
              <w:t>%Difference</w:t>
            </w:r>
          </w:p>
        </w:tc>
      </w:tr>
      <w:tr w:rsidR="0093332E" w:rsidRPr="00072051" w14:paraId="66C77018" w14:textId="77777777" w:rsidTr="008E21F6">
        <w:trPr>
          <w:trHeight w:val="300"/>
          <w:tblHeader/>
        </w:trPr>
        <w:tc>
          <w:tcPr>
            <w:tcW w:w="0" w:type="auto"/>
            <w:tcBorders>
              <w:top w:val="nil"/>
              <w:left w:val="nil"/>
              <w:bottom w:val="nil"/>
              <w:right w:val="nil"/>
            </w:tcBorders>
            <w:shd w:val="clear" w:color="auto" w:fill="auto"/>
            <w:noWrap/>
            <w:vAlign w:val="center"/>
            <w:hideMark/>
          </w:tcPr>
          <w:p w14:paraId="7A853780" w14:textId="77777777" w:rsidR="0093332E" w:rsidRPr="00DC5E78" w:rsidRDefault="0093332E" w:rsidP="008E21F6">
            <w:pPr>
              <w:spacing w:after="0" w:line="240" w:lineRule="auto"/>
              <w:rPr>
                <w:rFonts w:eastAsia="Times New Roman" w:cs="Arial"/>
                <w:color w:val="000000"/>
                <w:sz w:val="20"/>
                <w:szCs w:val="20"/>
                <w:lang w:eastAsia="zh-CN"/>
              </w:rPr>
            </w:pPr>
            <w:r w:rsidRPr="00DC5E78">
              <w:rPr>
                <w:rFonts w:eastAsia="Times New Roman" w:cs="Arial"/>
                <w:color w:val="000000"/>
                <w:sz w:val="20"/>
                <w:szCs w:val="20"/>
                <w:lang w:eastAsia="zh-CN"/>
              </w:rPr>
              <w:t xml:space="preserve"> 0 to </w:t>
            </w:r>
            <w:r w:rsidR="003F2574">
              <w:rPr>
                <w:rFonts w:eastAsia="Times New Roman" w:cs="Arial"/>
                <w:color w:val="000000"/>
                <w:sz w:val="20"/>
                <w:szCs w:val="20"/>
                <w:lang w:eastAsia="zh-CN"/>
              </w:rPr>
              <w:t>18</w:t>
            </w:r>
            <w:r w:rsidRPr="00DC5E78">
              <w:rPr>
                <w:rFonts w:eastAsia="Times New Roman" w:cs="Arial"/>
                <w:color w:val="000000"/>
                <w:sz w:val="20"/>
                <w:szCs w:val="20"/>
                <w:lang w:eastAsia="zh-CN"/>
              </w:rPr>
              <w:t xml:space="preserve"> </w:t>
            </w:r>
          </w:p>
        </w:tc>
        <w:tc>
          <w:tcPr>
            <w:tcW w:w="0" w:type="auto"/>
            <w:tcBorders>
              <w:top w:val="nil"/>
              <w:left w:val="nil"/>
              <w:bottom w:val="nil"/>
              <w:right w:val="nil"/>
            </w:tcBorders>
            <w:shd w:val="clear" w:color="auto" w:fill="auto"/>
            <w:noWrap/>
            <w:vAlign w:val="center"/>
            <w:hideMark/>
          </w:tcPr>
          <w:p w14:paraId="63AF26B4" w14:textId="77777777" w:rsidR="0093332E" w:rsidRPr="00DC5E78" w:rsidRDefault="003F2574" w:rsidP="008E21F6">
            <w:pPr>
              <w:spacing w:after="0" w:line="240" w:lineRule="auto"/>
              <w:jc w:val="right"/>
              <w:rPr>
                <w:rFonts w:eastAsia="Times New Roman" w:cs="Arial"/>
                <w:color w:val="000000"/>
                <w:sz w:val="20"/>
                <w:szCs w:val="20"/>
                <w:lang w:eastAsia="zh-CN"/>
              </w:rPr>
            </w:pPr>
            <w:r>
              <w:rPr>
                <w:rFonts w:eastAsia="Times New Roman" w:cs="Arial"/>
                <w:color w:val="000000"/>
                <w:sz w:val="20"/>
                <w:szCs w:val="20"/>
                <w:lang w:eastAsia="zh-CN"/>
              </w:rPr>
              <w:t>2</w:t>
            </w:r>
            <w:r w:rsidR="0093332E" w:rsidRPr="00DC5E78">
              <w:rPr>
                <w:rFonts w:eastAsia="Times New Roman" w:cs="Arial"/>
                <w:color w:val="000000"/>
                <w:sz w:val="20"/>
                <w:szCs w:val="20"/>
                <w:lang w:eastAsia="zh-CN"/>
              </w:rPr>
              <w:t>0</w:t>
            </w:r>
          </w:p>
        </w:tc>
        <w:tc>
          <w:tcPr>
            <w:tcW w:w="0" w:type="auto"/>
            <w:tcBorders>
              <w:top w:val="nil"/>
              <w:left w:val="nil"/>
              <w:bottom w:val="nil"/>
              <w:right w:val="nil"/>
            </w:tcBorders>
            <w:shd w:val="clear" w:color="auto" w:fill="auto"/>
            <w:noWrap/>
            <w:vAlign w:val="center"/>
            <w:hideMark/>
          </w:tcPr>
          <w:p w14:paraId="516CB54F" w14:textId="77777777" w:rsidR="0093332E" w:rsidRPr="00DC5E78" w:rsidRDefault="003F2574" w:rsidP="008E21F6">
            <w:pPr>
              <w:spacing w:after="0" w:line="240" w:lineRule="auto"/>
              <w:jc w:val="right"/>
              <w:rPr>
                <w:rFonts w:eastAsia="Times New Roman" w:cs="Arial"/>
                <w:color w:val="000000"/>
                <w:sz w:val="20"/>
                <w:szCs w:val="20"/>
                <w:lang w:eastAsia="zh-CN"/>
              </w:rPr>
            </w:pPr>
            <w:r>
              <w:rPr>
                <w:rFonts w:eastAsia="Times New Roman" w:cs="Arial"/>
                <w:color w:val="000000"/>
                <w:sz w:val="20"/>
                <w:szCs w:val="20"/>
                <w:lang w:eastAsia="zh-CN"/>
              </w:rPr>
              <w:t>15</w:t>
            </w:r>
          </w:p>
        </w:tc>
        <w:tc>
          <w:tcPr>
            <w:tcW w:w="0" w:type="auto"/>
            <w:tcBorders>
              <w:top w:val="nil"/>
              <w:left w:val="nil"/>
              <w:bottom w:val="nil"/>
              <w:right w:val="nil"/>
            </w:tcBorders>
            <w:shd w:val="clear" w:color="auto" w:fill="auto"/>
            <w:noWrap/>
            <w:vAlign w:val="center"/>
            <w:hideMark/>
          </w:tcPr>
          <w:p w14:paraId="52748372" w14:textId="77777777" w:rsidR="0093332E" w:rsidRPr="00DC5E78" w:rsidRDefault="003F2574" w:rsidP="008E21F6">
            <w:pPr>
              <w:spacing w:after="0" w:line="240" w:lineRule="auto"/>
              <w:jc w:val="right"/>
              <w:rPr>
                <w:rFonts w:eastAsia="Times New Roman" w:cs="Arial"/>
                <w:color w:val="000000"/>
                <w:sz w:val="20"/>
                <w:szCs w:val="20"/>
                <w:lang w:eastAsia="zh-CN"/>
              </w:rPr>
            </w:pPr>
            <w:r>
              <w:rPr>
                <w:rFonts w:eastAsia="Times New Roman" w:cs="Arial"/>
                <w:color w:val="000000"/>
                <w:sz w:val="20"/>
                <w:szCs w:val="20"/>
                <w:lang w:eastAsia="zh-CN"/>
              </w:rPr>
              <w:t>5</w:t>
            </w:r>
          </w:p>
        </w:tc>
        <w:tc>
          <w:tcPr>
            <w:tcW w:w="0" w:type="auto"/>
            <w:tcBorders>
              <w:top w:val="nil"/>
              <w:left w:val="nil"/>
              <w:bottom w:val="nil"/>
              <w:right w:val="nil"/>
            </w:tcBorders>
            <w:shd w:val="clear" w:color="auto" w:fill="auto"/>
            <w:noWrap/>
            <w:vAlign w:val="center"/>
            <w:hideMark/>
          </w:tcPr>
          <w:p w14:paraId="5AE38DE5" w14:textId="77777777" w:rsidR="0093332E" w:rsidRPr="00DC5E78" w:rsidRDefault="003F2574" w:rsidP="008E21F6">
            <w:pPr>
              <w:spacing w:after="0" w:line="240" w:lineRule="auto"/>
              <w:jc w:val="right"/>
              <w:rPr>
                <w:rFonts w:eastAsia="Times New Roman" w:cs="Arial"/>
                <w:color w:val="000000"/>
                <w:sz w:val="20"/>
                <w:szCs w:val="20"/>
                <w:lang w:eastAsia="zh-CN"/>
              </w:rPr>
            </w:pPr>
            <w:r>
              <w:rPr>
                <w:rFonts w:eastAsia="Times New Roman" w:cs="Arial"/>
                <w:color w:val="000000"/>
                <w:sz w:val="20"/>
                <w:szCs w:val="20"/>
                <w:lang w:eastAsia="zh-CN"/>
              </w:rPr>
              <w:t>32.1</w:t>
            </w:r>
            <w:r w:rsidR="0093332E" w:rsidRPr="00DC5E78">
              <w:rPr>
                <w:rFonts w:eastAsia="Times New Roman" w:cs="Arial"/>
                <w:color w:val="000000"/>
                <w:sz w:val="20"/>
                <w:szCs w:val="20"/>
                <w:lang w:eastAsia="zh-CN"/>
              </w:rPr>
              <w:t>%</w:t>
            </w:r>
          </w:p>
        </w:tc>
      </w:tr>
      <w:tr w:rsidR="0093332E" w:rsidRPr="00072051" w14:paraId="76C725E4" w14:textId="77777777" w:rsidTr="00E55F75">
        <w:trPr>
          <w:trHeight w:val="300"/>
          <w:tblHeader/>
        </w:trPr>
        <w:tc>
          <w:tcPr>
            <w:tcW w:w="0" w:type="auto"/>
            <w:tcBorders>
              <w:top w:val="nil"/>
              <w:left w:val="nil"/>
              <w:bottom w:val="nil"/>
              <w:right w:val="nil"/>
            </w:tcBorders>
            <w:shd w:val="clear" w:color="auto" w:fill="BFBFBF" w:themeFill="background1" w:themeFillShade="BF"/>
            <w:noWrap/>
            <w:vAlign w:val="center"/>
            <w:hideMark/>
          </w:tcPr>
          <w:p w14:paraId="0C2423C3" w14:textId="77777777" w:rsidR="0093332E" w:rsidRPr="00DC5E78" w:rsidRDefault="0093332E" w:rsidP="008E21F6">
            <w:pPr>
              <w:spacing w:after="0" w:line="240" w:lineRule="auto"/>
              <w:rPr>
                <w:rFonts w:eastAsia="Times New Roman" w:cs="Arial"/>
                <w:color w:val="000000"/>
                <w:sz w:val="20"/>
                <w:szCs w:val="20"/>
                <w:lang w:eastAsia="zh-CN"/>
              </w:rPr>
            </w:pPr>
            <w:r w:rsidRPr="00DC5E78">
              <w:rPr>
                <w:rFonts w:eastAsia="Times New Roman" w:cs="Arial"/>
                <w:color w:val="000000"/>
                <w:sz w:val="20"/>
                <w:szCs w:val="20"/>
                <w:lang w:eastAsia="zh-CN"/>
              </w:rPr>
              <w:t xml:space="preserve"> 19 to 24 </w:t>
            </w:r>
          </w:p>
        </w:tc>
        <w:tc>
          <w:tcPr>
            <w:tcW w:w="0" w:type="auto"/>
            <w:tcBorders>
              <w:top w:val="nil"/>
              <w:left w:val="nil"/>
              <w:bottom w:val="nil"/>
              <w:right w:val="nil"/>
            </w:tcBorders>
            <w:shd w:val="clear" w:color="auto" w:fill="BFBFBF" w:themeFill="background1" w:themeFillShade="BF"/>
            <w:noWrap/>
            <w:vAlign w:val="center"/>
            <w:hideMark/>
          </w:tcPr>
          <w:p w14:paraId="617C978D"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186</w:t>
            </w:r>
          </w:p>
        </w:tc>
        <w:tc>
          <w:tcPr>
            <w:tcW w:w="0" w:type="auto"/>
            <w:tcBorders>
              <w:top w:val="nil"/>
              <w:left w:val="nil"/>
              <w:bottom w:val="nil"/>
              <w:right w:val="nil"/>
            </w:tcBorders>
            <w:shd w:val="clear" w:color="auto" w:fill="BFBFBF" w:themeFill="background1" w:themeFillShade="BF"/>
            <w:noWrap/>
            <w:vAlign w:val="center"/>
            <w:hideMark/>
          </w:tcPr>
          <w:p w14:paraId="03CEE068"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136</w:t>
            </w:r>
          </w:p>
        </w:tc>
        <w:tc>
          <w:tcPr>
            <w:tcW w:w="0" w:type="auto"/>
            <w:tcBorders>
              <w:top w:val="nil"/>
              <w:left w:val="nil"/>
              <w:bottom w:val="nil"/>
              <w:right w:val="nil"/>
            </w:tcBorders>
            <w:shd w:val="clear" w:color="auto" w:fill="BFBFBF" w:themeFill="background1" w:themeFillShade="BF"/>
            <w:noWrap/>
            <w:vAlign w:val="center"/>
            <w:hideMark/>
          </w:tcPr>
          <w:p w14:paraId="3283A3A3"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50</w:t>
            </w:r>
          </w:p>
        </w:tc>
        <w:tc>
          <w:tcPr>
            <w:tcW w:w="0" w:type="auto"/>
            <w:tcBorders>
              <w:top w:val="nil"/>
              <w:left w:val="nil"/>
              <w:bottom w:val="nil"/>
              <w:right w:val="nil"/>
            </w:tcBorders>
            <w:shd w:val="clear" w:color="auto" w:fill="BFBFBF" w:themeFill="background1" w:themeFillShade="BF"/>
            <w:noWrap/>
            <w:vAlign w:val="center"/>
            <w:hideMark/>
          </w:tcPr>
          <w:p w14:paraId="7F298458"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36.4%</w:t>
            </w:r>
          </w:p>
        </w:tc>
      </w:tr>
      <w:tr w:rsidR="0093332E" w:rsidRPr="00072051" w14:paraId="13CFF148" w14:textId="77777777" w:rsidTr="008E21F6">
        <w:trPr>
          <w:trHeight w:val="300"/>
          <w:tblHeader/>
        </w:trPr>
        <w:tc>
          <w:tcPr>
            <w:tcW w:w="0" w:type="auto"/>
            <w:tcBorders>
              <w:top w:val="nil"/>
              <w:left w:val="nil"/>
              <w:bottom w:val="nil"/>
              <w:right w:val="nil"/>
            </w:tcBorders>
            <w:shd w:val="clear" w:color="auto" w:fill="auto"/>
            <w:noWrap/>
            <w:vAlign w:val="center"/>
            <w:hideMark/>
          </w:tcPr>
          <w:p w14:paraId="51059AD5" w14:textId="77777777" w:rsidR="0093332E" w:rsidRPr="00DC5E78" w:rsidRDefault="0093332E" w:rsidP="008E21F6">
            <w:pPr>
              <w:spacing w:after="0" w:line="240" w:lineRule="auto"/>
              <w:rPr>
                <w:rFonts w:eastAsia="Times New Roman" w:cs="Arial"/>
                <w:color w:val="000000"/>
                <w:sz w:val="20"/>
                <w:szCs w:val="20"/>
                <w:lang w:eastAsia="zh-CN"/>
              </w:rPr>
            </w:pPr>
            <w:r w:rsidRPr="00DC5E78">
              <w:rPr>
                <w:rFonts w:eastAsia="Times New Roman" w:cs="Arial"/>
                <w:color w:val="000000"/>
                <w:sz w:val="20"/>
                <w:szCs w:val="20"/>
                <w:lang w:eastAsia="zh-CN"/>
              </w:rPr>
              <w:t xml:space="preserve"> 25 to 34 </w:t>
            </w:r>
          </w:p>
        </w:tc>
        <w:tc>
          <w:tcPr>
            <w:tcW w:w="0" w:type="auto"/>
            <w:tcBorders>
              <w:top w:val="nil"/>
              <w:left w:val="nil"/>
              <w:bottom w:val="nil"/>
              <w:right w:val="nil"/>
            </w:tcBorders>
            <w:shd w:val="clear" w:color="auto" w:fill="auto"/>
            <w:noWrap/>
            <w:vAlign w:val="center"/>
            <w:hideMark/>
          </w:tcPr>
          <w:p w14:paraId="5F11B2B8"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276</w:t>
            </w:r>
          </w:p>
        </w:tc>
        <w:tc>
          <w:tcPr>
            <w:tcW w:w="0" w:type="auto"/>
            <w:tcBorders>
              <w:top w:val="nil"/>
              <w:left w:val="nil"/>
              <w:bottom w:val="nil"/>
              <w:right w:val="nil"/>
            </w:tcBorders>
            <w:shd w:val="clear" w:color="auto" w:fill="auto"/>
            <w:noWrap/>
            <w:vAlign w:val="center"/>
            <w:hideMark/>
          </w:tcPr>
          <w:p w14:paraId="450238C6"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248</w:t>
            </w:r>
          </w:p>
        </w:tc>
        <w:tc>
          <w:tcPr>
            <w:tcW w:w="0" w:type="auto"/>
            <w:tcBorders>
              <w:top w:val="nil"/>
              <w:left w:val="nil"/>
              <w:bottom w:val="nil"/>
              <w:right w:val="nil"/>
            </w:tcBorders>
            <w:shd w:val="clear" w:color="auto" w:fill="auto"/>
            <w:noWrap/>
            <w:vAlign w:val="center"/>
            <w:hideMark/>
          </w:tcPr>
          <w:p w14:paraId="0148EE68"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28</w:t>
            </w:r>
          </w:p>
        </w:tc>
        <w:tc>
          <w:tcPr>
            <w:tcW w:w="0" w:type="auto"/>
            <w:tcBorders>
              <w:top w:val="nil"/>
              <w:left w:val="nil"/>
              <w:bottom w:val="nil"/>
              <w:right w:val="nil"/>
            </w:tcBorders>
            <w:shd w:val="clear" w:color="auto" w:fill="auto"/>
            <w:noWrap/>
            <w:vAlign w:val="center"/>
            <w:hideMark/>
          </w:tcPr>
          <w:p w14:paraId="65EEC387"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11.5%</w:t>
            </w:r>
          </w:p>
        </w:tc>
      </w:tr>
      <w:tr w:rsidR="0093332E" w:rsidRPr="00072051" w14:paraId="1226D021" w14:textId="77777777" w:rsidTr="00E55F75">
        <w:trPr>
          <w:trHeight w:val="300"/>
          <w:tblHeader/>
        </w:trPr>
        <w:tc>
          <w:tcPr>
            <w:tcW w:w="0" w:type="auto"/>
            <w:tcBorders>
              <w:top w:val="nil"/>
              <w:left w:val="nil"/>
              <w:bottom w:val="nil"/>
              <w:right w:val="nil"/>
            </w:tcBorders>
            <w:shd w:val="clear" w:color="auto" w:fill="BFBFBF" w:themeFill="background1" w:themeFillShade="BF"/>
            <w:noWrap/>
            <w:vAlign w:val="center"/>
            <w:hideMark/>
          </w:tcPr>
          <w:p w14:paraId="2B6810ED" w14:textId="77777777" w:rsidR="0093332E" w:rsidRPr="00DC5E78" w:rsidRDefault="0093332E" w:rsidP="008E21F6">
            <w:pPr>
              <w:spacing w:after="0" w:line="240" w:lineRule="auto"/>
              <w:rPr>
                <w:rFonts w:eastAsia="Times New Roman" w:cs="Arial"/>
                <w:color w:val="000000"/>
                <w:sz w:val="20"/>
                <w:szCs w:val="20"/>
                <w:lang w:eastAsia="zh-CN"/>
              </w:rPr>
            </w:pPr>
            <w:r w:rsidRPr="00DC5E78">
              <w:rPr>
                <w:rFonts w:eastAsia="Times New Roman" w:cs="Arial"/>
                <w:color w:val="000000"/>
                <w:sz w:val="20"/>
                <w:szCs w:val="20"/>
                <w:lang w:eastAsia="zh-CN"/>
              </w:rPr>
              <w:t xml:space="preserve"> 35 to 44 </w:t>
            </w:r>
          </w:p>
        </w:tc>
        <w:tc>
          <w:tcPr>
            <w:tcW w:w="0" w:type="auto"/>
            <w:tcBorders>
              <w:top w:val="nil"/>
              <w:left w:val="nil"/>
              <w:bottom w:val="nil"/>
              <w:right w:val="nil"/>
            </w:tcBorders>
            <w:shd w:val="clear" w:color="auto" w:fill="BFBFBF" w:themeFill="background1" w:themeFillShade="BF"/>
            <w:noWrap/>
            <w:vAlign w:val="center"/>
            <w:hideMark/>
          </w:tcPr>
          <w:p w14:paraId="525E2FA9"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312</w:t>
            </w:r>
          </w:p>
        </w:tc>
        <w:tc>
          <w:tcPr>
            <w:tcW w:w="0" w:type="auto"/>
            <w:tcBorders>
              <w:top w:val="nil"/>
              <w:left w:val="nil"/>
              <w:bottom w:val="nil"/>
              <w:right w:val="nil"/>
            </w:tcBorders>
            <w:shd w:val="clear" w:color="auto" w:fill="BFBFBF" w:themeFill="background1" w:themeFillShade="BF"/>
            <w:noWrap/>
            <w:vAlign w:val="center"/>
            <w:hideMark/>
          </w:tcPr>
          <w:p w14:paraId="02573EE4"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179</w:t>
            </w:r>
          </w:p>
        </w:tc>
        <w:tc>
          <w:tcPr>
            <w:tcW w:w="0" w:type="auto"/>
            <w:tcBorders>
              <w:top w:val="nil"/>
              <w:left w:val="nil"/>
              <w:bottom w:val="nil"/>
              <w:right w:val="nil"/>
            </w:tcBorders>
            <w:shd w:val="clear" w:color="auto" w:fill="BFBFBF" w:themeFill="background1" w:themeFillShade="BF"/>
            <w:noWrap/>
            <w:vAlign w:val="center"/>
            <w:hideMark/>
          </w:tcPr>
          <w:p w14:paraId="681451CB"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133</w:t>
            </w:r>
          </w:p>
        </w:tc>
        <w:tc>
          <w:tcPr>
            <w:tcW w:w="0" w:type="auto"/>
            <w:tcBorders>
              <w:top w:val="nil"/>
              <w:left w:val="nil"/>
              <w:bottom w:val="nil"/>
              <w:right w:val="nil"/>
            </w:tcBorders>
            <w:shd w:val="clear" w:color="auto" w:fill="BFBFBF" w:themeFill="background1" w:themeFillShade="BF"/>
            <w:noWrap/>
            <w:vAlign w:val="center"/>
            <w:hideMark/>
          </w:tcPr>
          <w:p w14:paraId="6E92D5F3"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74.8%</w:t>
            </w:r>
          </w:p>
        </w:tc>
      </w:tr>
      <w:tr w:rsidR="0093332E" w:rsidRPr="00072051" w14:paraId="4944A3BD" w14:textId="77777777" w:rsidTr="008E21F6">
        <w:trPr>
          <w:trHeight w:val="300"/>
          <w:tblHeader/>
        </w:trPr>
        <w:tc>
          <w:tcPr>
            <w:tcW w:w="0" w:type="auto"/>
            <w:tcBorders>
              <w:top w:val="nil"/>
              <w:left w:val="nil"/>
              <w:bottom w:val="nil"/>
              <w:right w:val="nil"/>
            </w:tcBorders>
            <w:shd w:val="clear" w:color="auto" w:fill="auto"/>
            <w:noWrap/>
            <w:vAlign w:val="center"/>
            <w:hideMark/>
          </w:tcPr>
          <w:p w14:paraId="760B3769" w14:textId="77777777" w:rsidR="0093332E" w:rsidRPr="00DC5E78" w:rsidRDefault="0093332E" w:rsidP="008E21F6">
            <w:pPr>
              <w:spacing w:after="0" w:line="240" w:lineRule="auto"/>
              <w:rPr>
                <w:rFonts w:eastAsia="Times New Roman" w:cs="Arial"/>
                <w:color w:val="000000"/>
                <w:sz w:val="20"/>
                <w:szCs w:val="20"/>
                <w:lang w:eastAsia="zh-CN"/>
              </w:rPr>
            </w:pPr>
            <w:r w:rsidRPr="00DC5E78">
              <w:rPr>
                <w:rFonts w:eastAsia="Times New Roman" w:cs="Arial"/>
                <w:color w:val="000000"/>
                <w:sz w:val="20"/>
                <w:szCs w:val="20"/>
                <w:lang w:eastAsia="zh-CN"/>
              </w:rPr>
              <w:t xml:space="preserve"> 45 to 54 </w:t>
            </w:r>
          </w:p>
        </w:tc>
        <w:tc>
          <w:tcPr>
            <w:tcW w:w="0" w:type="auto"/>
            <w:tcBorders>
              <w:top w:val="nil"/>
              <w:left w:val="nil"/>
              <w:bottom w:val="nil"/>
              <w:right w:val="nil"/>
            </w:tcBorders>
            <w:shd w:val="clear" w:color="auto" w:fill="auto"/>
            <w:noWrap/>
            <w:vAlign w:val="center"/>
            <w:hideMark/>
          </w:tcPr>
          <w:p w14:paraId="2759A48B"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249</w:t>
            </w:r>
          </w:p>
        </w:tc>
        <w:tc>
          <w:tcPr>
            <w:tcW w:w="0" w:type="auto"/>
            <w:tcBorders>
              <w:top w:val="nil"/>
              <w:left w:val="nil"/>
              <w:bottom w:val="nil"/>
              <w:right w:val="nil"/>
            </w:tcBorders>
            <w:shd w:val="clear" w:color="auto" w:fill="auto"/>
            <w:noWrap/>
            <w:vAlign w:val="center"/>
            <w:hideMark/>
          </w:tcPr>
          <w:p w14:paraId="350A2377"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-1</w:t>
            </w:r>
          </w:p>
        </w:tc>
        <w:tc>
          <w:tcPr>
            <w:tcW w:w="0" w:type="auto"/>
            <w:tcBorders>
              <w:top w:val="nil"/>
              <w:left w:val="nil"/>
              <w:bottom w:val="nil"/>
              <w:right w:val="nil"/>
            </w:tcBorders>
            <w:shd w:val="clear" w:color="auto" w:fill="auto"/>
            <w:noWrap/>
            <w:vAlign w:val="center"/>
            <w:hideMark/>
          </w:tcPr>
          <w:p w14:paraId="60FF6432"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250</w:t>
            </w:r>
          </w:p>
        </w:tc>
        <w:tc>
          <w:tcPr>
            <w:tcW w:w="0" w:type="auto"/>
            <w:tcBorders>
              <w:top w:val="nil"/>
              <w:left w:val="nil"/>
              <w:bottom w:val="nil"/>
              <w:right w:val="nil"/>
            </w:tcBorders>
            <w:shd w:val="clear" w:color="auto" w:fill="auto"/>
            <w:noWrap/>
            <w:vAlign w:val="center"/>
            <w:hideMark/>
          </w:tcPr>
          <w:p w14:paraId="40B3B572" w14:textId="77777777" w:rsidR="0093332E" w:rsidRPr="00DC5E78" w:rsidRDefault="0093332E" w:rsidP="008E21F6">
            <w:pPr>
              <w:spacing w:after="0" w:line="240" w:lineRule="auto"/>
              <w:jc w:val="right"/>
              <w:rPr>
                <w:rFonts w:eastAsia="Times New Roman" w:cs="Arial"/>
                <w:color w:val="000000"/>
                <w:sz w:val="20"/>
                <w:szCs w:val="20"/>
                <w:lang w:eastAsia="zh-CN"/>
              </w:rPr>
            </w:pPr>
            <w:r w:rsidRPr="00865432">
              <w:rPr>
                <w:rFonts w:eastAsia="Times New Roman" w:cs="Arial"/>
                <w:color w:val="000000"/>
                <w:sz w:val="20"/>
                <w:szCs w:val="20"/>
                <w:lang w:eastAsia="zh-CN"/>
              </w:rPr>
              <w:t>-27685.0%</w:t>
            </w:r>
          </w:p>
        </w:tc>
      </w:tr>
      <w:tr w:rsidR="0093332E" w:rsidRPr="00072051" w14:paraId="35F8B4CD" w14:textId="77777777" w:rsidTr="00E55F75">
        <w:trPr>
          <w:trHeight w:val="300"/>
          <w:tblHeader/>
        </w:trPr>
        <w:tc>
          <w:tcPr>
            <w:tcW w:w="0" w:type="auto"/>
            <w:tcBorders>
              <w:top w:val="nil"/>
              <w:left w:val="nil"/>
              <w:bottom w:val="nil"/>
              <w:right w:val="nil"/>
            </w:tcBorders>
            <w:shd w:val="clear" w:color="auto" w:fill="BFBFBF" w:themeFill="background1" w:themeFillShade="BF"/>
            <w:noWrap/>
            <w:vAlign w:val="center"/>
            <w:hideMark/>
          </w:tcPr>
          <w:p w14:paraId="694A74E1" w14:textId="77777777" w:rsidR="0093332E" w:rsidRPr="00DC5E78" w:rsidRDefault="0093332E" w:rsidP="008E21F6">
            <w:pPr>
              <w:spacing w:after="0" w:line="240" w:lineRule="auto"/>
              <w:rPr>
                <w:rFonts w:eastAsia="Times New Roman" w:cs="Arial"/>
                <w:color w:val="000000"/>
                <w:sz w:val="20"/>
                <w:szCs w:val="20"/>
                <w:lang w:eastAsia="zh-CN"/>
              </w:rPr>
            </w:pPr>
            <w:r w:rsidRPr="00DC5E78">
              <w:rPr>
                <w:rFonts w:eastAsia="Times New Roman" w:cs="Arial"/>
                <w:color w:val="000000"/>
                <w:sz w:val="20"/>
                <w:szCs w:val="20"/>
                <w:lang w:eastAsia="zh-CN"/>
              </w:rPr>
              <w:t xml:space="preserve"> 55 to 64 </w:t>
            </w:r>
          </w:p>
        </w:tc>
        <w:tc>
          <w:tcPr>
            <w:tcW w:w="0" w:type="auto"/>
            <w:tcBorders>
              <w:top w:val="nil"/>
              <w:left w:val="nil"/>
              <w:bottom w:val="nil"/>
              <w:right w:val="nil"/>
            </w:tcBorders>
            <w:shd w:val="clear" w:color="auto" w:fill="BFBFBF" w:themeFill="background1" w:themeFillShade="BF"/>
            <w:noWrap/>
            <w:vAlign w:val="center"/>
            <w:hideMark/>
          </w:tcPr>
          <w:p w14:paraId="6872D92B"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699</w:t>
            </w:r>
          </w:p>
        </w:tc>
        <w:tc>
          <w:tcPr>
            <w:tcW w:w="0" w:type="auto"/>
            <w:tcBorders>
              <w:top w:val="nil"/>
              <w:left w:val="nil"/>
              <w:bottom w:val="nil"/>
              <w:right w:val="nil"/>
            </w:tcBorders>
            <w:shd w:val="clear" w:color="auto" w:fill="BFBFBF" w:themeFill="background1" w:themeFillShade="BF"/>
            <w:noWrap/>
            <w:vAlign w:val="center"/>
            <w:hideMark/>
          </w:tcPr>
          <w:p w14:paraId="19022303"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148</w:t>
            </w:r>
          </w:p>
        </w:tc>
        <w:tc>
          <w:tcPr>
            <w:tcW w:w="0" w:type="auto"/>
            <w:tcBorders>
              <w:top w:val="nil"/>
              <w:left w:val="nil"/>
              <w:bottom w:val="nil"/>
              <w:right w:val="nil"/>
            </w:tcBorders>
            <w:shd w:val="clear" w:color="auto" w:fill="BFBFBF" w:themeFill="background1" w:themeFillShade="BF"/>
            <w:noWrap/>
            <w:vAlign w:val="center"/>
            <w:hideMark/>
          </w:tcPr>
          <w:p w14:paraId="0205DC25"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551</w:t>
            </w:r>
          </w:p>
        </w:tc>
        <w:tc>
          <w:tcPr>
            <w:tcW w:w="0" w:type="auto"/>
            <w:tcBorders>
              <w:top w:val="nil"/>
              <w:left w:val="nil"/>
              <w:bottom w:val="nil"/>
              <w:right w:val="nil"/>
            </w:tcBorders>
            <w:shd w:val="clear" w:color="auto" w:fill="BFBFBF" w:themeFill="background1" w:themeFillShade="BF"/>
            <w:noWrap/>
            <w:vAlign w:val="center"/>
            <w:hideMark/>
          </w:tcPr>
          <w:p w14:paraId="35DB37CE"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373.2%</w:t>
            </w:r>
          </w:p>
        </w:tc>
      </w:tr>
      <w:tr w:rsidR="0093332E" w:rsidRPr="00072051" w14:paraId="40D3A2BC" w14:textId="77777777" w:rsidTr="008E21F6">
        <w:trPr>
          <w:trHeight w:val="300"/>
          <w:tblHeader/>
        </w:trPr>
        <w:tc>
          <w:tcPr>
            <w:tcW w:w="0" w:type="auto"/>
            <w:tcBorders>
              <w:top w:val="nil"/>
              <w:left w:val="nil"/>
              <w:bottom w:val="nil"/>
              <w:right w:val="nil"/>
            </w:tcBorders>
            <w:shd w:val="clear" w:color="auto" w:fill="auto"/>
            <w:noWrap/>
            <w:vAlign w:val="center"/>
            <w:hideMark/>
          </w:tcPr>
          <w:p w14:paraId="213CFA96" w14:textId="77777777" w:rsidR="0093332E" w:rsidRPr="00DC5E78" w:rsidRDefault="0093332E" w:rsidP="008E21F6">
            <w:pPr>
              <w:spacing w:after="0" w:line="240" w:lineRule="auto"/>
              <w:rPr>
                <w:rFonts w:eastAsia="Times New Roman" w:cs="Arial"/>
                <w:color w:val="000000"/>
                <w:sz w:val="20"/>
                <w:szCs w:val="20"/>
                <w:lang w:eastAsia="zh-CN"/>
              </w:rPr>
            </w:pPr>
            <w:r w:rsidRPr="00DC5E78">
              <w:rPr>
                <w:rFonts w:eastAsia="Times New Roman" w:cs="Arial"/>
                <w:color w:val="000000"/>
                <w:sz w:val="20"/>
                <w:szCs w:val="20"/>
                <w:lang w:eastAsia="zh-CN"/>
              </w:rPr>
              <w:t xml:space="preserve"> 65+ </w:t>
            </w:r>
          </w:p>
        </w:tc>
        <w:tc>
          <w:tcPr>
            <w:tcW w:w="0" w:type="auto"/>
            <w:tcBorders>
              <w:top w:val="nil"/>
              <w:left w:val="nil"/>
              <w:bottom w:val="nil"/>
              <w:right w:val="nil"/>
            </w:tcBorders>
            <w:shd w:val="clear" w:color="auto" w:fill="auto"/>
            <w:noWrap/>
            <w:vAlign w:val="center"/>
            <w:hideMark/>
          </w:tcPr>
          <w:p w14:paraId="3B66055D"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666</w:t>
            </w:r>
          </w:p>
        </w:tc>
        <w:tc>
          <w:tcPr>
            <w:tcW w:w="0" w:type="auto"/>
            <w:tcBorders>
              <w:top w:val="nil"/>
              <w:left w:val="nil"/>
              <w:bottom w:val="nil"/>
              <w:right w:val="nil"/>
            </w:tcBorders>
            <w:shd w:val="clear" w:color="auto" w:fill="auto"/>
            <w:noWrap/>
            <w:vAlign w:val="center"/>
            <w:hideMark/>
          </w:tcPr>
          <w:p w14:paraId="53E89574"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389</w:t>
            </w:r>
          </w:p>
        </w:tc>
        <w:tc>
          <w:tcPr>
            <w:tcW w:w="0" w:type="auto"/>
            <w:tcBorders>
              <w:top w:val="nil"/>
              <w:left w:val="nil"/>
              <w:bottom w:val="nil"/>
              <w:right w:val="nil"/>
            </w:tcBorders>
            <w:shd w:val="clear" w:color="auto" w:fill="auto"/>
            <w:noWrap/>
            <w:vAlign w:val="center"/>
            <w:hideMark/>
          </w:tcPr>
          <w:p w14:paraId="1CBA66B9"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277</w:t>
            </w:r>
          </w:p>
        </w:tc>
        <w:tc>
          <w:tcPr>
            <w:tcW w:w="0" w:type="auto"/>
            <w:tcBorders>
              <w:top w:val="nil"/>
              <w:left w:val="nil"/>
              <w:bottom w:val="nil"/>
              <w:right w:val="nil"/>
            </w:tcBorders>
            <w:shd w:val="clear" w:color="auto" w:fill="auto"/>
            <w:noWrap/>
            <w:vAlign w:val="center"/>
            <w:hideMark/>
          </w:tcPr>
          <w:p w14:paraId="36038A0B" w14:textId="77777777" w:rsidR="0093332E" w:rsidRPr="00DC5E78" w:rsidRDefault="0093332E" w:rsidP="008E21F6">
            <w:pPr>
              <w:spacing w:after="0" w:line="240" w:lineRule="auto"/>
              <w:jc w:val="right"/>
              <w:rPr>
                <w:rFonts w:eastAsia="Times New Roman" w:cs="Arial"/>
                <w:color w:val="000000"/>
                <w:sz w:val="20"/>
                <w:szCs w:val="20"/>
                <w:lang w:eastAsia="zh-CN"/>
              </w:rPr>
            </w:pPr>
            <w:r w:rsidRPr="00DC5E78">
              <w:rPr>
                <w:rFonts w:eastAsia="Times New Roman" w:cs="Arial"/>
                <w:color w:val="000000"/>
                <w:sz w:val="20"/>
                <w:szCs w:val="20"/>
                <w:lang w:eastAsia="zh-CN"/>
              </w:rPr>
              <w:t>71.4%</w:t>
            </w:r>
          </w:p>
        </w:tc>
      </w:tr>
      <w:tr w:rsidR="0093332E" w:rsidRPr="00072051" w14:paraId="5522B7FF" w14:textId="77777777" w:rsidTr="008E21F6">
        <w:trPr>
          <w:trHeight w:val="300"/>
          <w:tblHeader/>
        </w:trPr>
        <w:tc>
          <w:tcPr>
            <w:tcW w:w="0" w:type="auto"/>
            <w:tcBorders>
              <w:top w:val="single" w:sz="4" w:space="0" w:color="auto"/>
              <w:left w:val="nil"/>
              <w:bottom w:val="single" w:sz="4" w:space="0" w:color="auto"/>
              <w:right w:val="nil"/>
            </w:tcBorders>
            <w:shd w:val="clear" w:color="auto" w:fill="D4C5D7"/>
            <w:noWrap/>
            <w:vAlign w:val="center"/>
            <w:hideMark/>
          </w:tcPr>
          <w:p w14:paraId="1216DEDE" w14:textId="77777777" w:rsidR="0093332E" w:rsidRPr="00DC5E78" w:rsidRDefault="0093332E" w:rsidP="008E21F6">
            <w:pPr>
              <w:spacing w:after="0" w:line="240" w:lineRule="auto"/>
              <w:rPr>
                <w:rFonts w:eastAsia="Times New Roman" w:cs="Arial"/>
                <w:b/>
                <w:bCs/>
                <w:color w:val="000000"/>
                <w:sz w:val="20"/>
                <w:szCs w:val="20"/>
                <w:lang w:eastAsia="zh-CN"/>
              </w:rPr>
            </w:pPr>
            <w:r w:rsidRPr="00DC5E78">
              <w:rPr>
                <w:rFonts w:eastAsia="Times New Roman" w:cs="Arial"/>
                <w:b/>
                <w:bCs/>
                <w:color w:val="000000"/>
                <w:sz w:val="20"/>
                <w:szCs w:val="20"/>
                <w:lang w:eastAsia="zh-CN"/>
              </w:rPr>
              <w:t>Total</w:t>
            </w:r>
          </w:p>
        </w:tc>
        <w:tc>
          <w:tcPr>
            <w:tcW w:w="0" w:type="auto"/>
            <w:tcBorders>
              <w:top w:val="single" w:sz="4" w:space="0" w:color="auto"/>
              <w:left w:val="nil"/>
              <w:bottom w:val="single" w:sz="4" w:space="0" w:color="auto"/>
              <w:right w:val="nil"/>
            </w:tcBorders>
            <w:shd w:val="clear" w:color="auto" w:fill="D4C5D7"/>
            <w:noWrap/>
            <w:vAlign w:val="center"/>
            <w:hideMark/>
          </w:tcPr>
          <w:p w14:paraId="12709297" w14:textId="77777777" w:rsidR="0093332E" w:rsidRPr="00DC5E78" w:rsidRDefault="0093332E" w:rsidP="008E21F6">
            <w:pPr>
              <w:spacing w:after="0" w:line="240" w:lineRule="auto"/>
              <w:jc w:val="right"/>
              <w:rPr>
                <w:rFonts w:eastAsia="Times New Roman" w:cs="Arial"/>
                <w:b/>
                <w:bCs/>
                <w:color w:val="000000"/>
                <w:sz w:val="20"/>
                <w:szCs w:val="20"/>
                <w:lang w:eastAsia="zh-CN"/>
              </w:rPr>
            </w:pPr>
            <w:r w:rsidRPr="00DC5E78">
              <w:rPr>
                <w:rFonts w:eastAsia="Times New Roman" w:cs="Arial"/>
                <w:b/>
                <w:bCs/>
                <w:color w:val="000000"/>
                <w:sz w:val="20"/>
                <w:szCs w:val="20"/>
                <w:lang w:eastAsia="zh-CN"/>
              </w:rPr>
              <w:t>2,408</w:t>
            </w:r>
          </w:p>
        </w:tc>
        <w:tc>
          <w:tcPr>
            <w:tcW w:w="0" w:type="auto"/>
            <w:tcBorders>
              <w:top w:val="single" w:sz="4" w:space="0" w:color="auto"/>
              <w:left w:val="nil"/>
              <w:bottom w:val="single" w:sz="4" w:space="0" w:color="auto"/>
              <w:right w:val="nil"/>
            </w:tcBorders>
            <w:shd w:val="clear" w:color="auto" w:fill="D4C5D7"/>
            <w:noWrap/>
            <w:vAlign w:val="center"/>
            <w:hideMark/>
          </w:tcPr>
          <w:p w14:paraId="03B45738" w14:textId="77777777" w:rsidR="0093332E" w:rsidRPr="00DC5E78" w:rsidRDefault="0093332E" w:rsidP="008E21F6">
            <w:pPr>
              <w:spacing w:after="0" w:line="240" w:lineRule="auto"/>
              <w:jc w:val="right"/>
              <w:rPr>
                <w:rFonts w:eastAsia="Times New Roman" w:cs="Arial"/>
                <w:b/>
                <w:bCs/>
                <w:color w:val="000000"/>
                <w:sz w:val="20"/>
                <w:szCs w:val="20"/>
                <w:lang w:eastAsia="zh-CN"/>
              </w:rPr>
            </w:pPr>
            <w:r w:rsidRPr="00DC5E78">
              <w:rPr>
                <w:rFonts w:eastAsia="Times New Roman" w:cs="Arial"/>
                <w:b/>
                <w:bCs/>
                <w:color w:val="000000"/>
                <w:sz w:val="20"/>
                <w:szCs w:val="20"/>
                <w:lang w:eastAsia="zh-CN"/>
              </w:rPr>
              <w:t>1,113</w:t>
            </w:r>
          </w:p>
        </w:tc>
        <w:tc>
          <w:tcPr>
            <w:tcW w:w="0" w:type="auto"/>
            <w:tcBorders>
              <w:top w:val="single" w:sz="4" w:space="0" w:color="auto"/>
              <w:left w:val="nil"/>
              <w:bottom w:val="single" w:sz="4" w:space="0" w:color="auto"/>
              <w:right w:val="nil"/>
            </w:tcBorders>
            <w:shd w:val="clear" w:color="auto" w:fill="D4C5D7"/>
            <w:noWrap/>
            <w:vAlign w:val="center"/>
            <w:hideMark/>
          </w:tcPr>
          <w:p w14:paraId="3882A0D6" w14:textId="77777777" w:rsidR="0093332E" w:rsidRPr="00DC5E78" w:rsidRDefault="0093332E" w:rsidP="008E21F6">
            <w:pPr>
              <w:spacing w:after="0" w:line="240" w:lineRule="auto"/>
              <w:jc w:val="right"/>
              <w:rPr>
                <w:rFonts w:eastAsia="Times New Roman" w:cs="Arial"/>
                <w:b/>
                <w:bCs/>
                <w:color w:val="000000"/>
                <w:sz w:val="20"/>
                <w:szCs w:val="20"/>
                <w:lang w:eastAsia="zh-CN"/>
              </w:rPr>
            </w:pPr>
            <w:r w:rsidRPr="00DC5E78">
              <w:rPr>
                <w:rFonts w:eastAsia="Times New Roman" w:cs="Arial"/>
                <w:b/>
                <w:bCs/>
                <w:color w:val="000000"/>
                <w:sz w:val="20"/>
                <w:szCs w:val="20"/>
                <w:lang w:eastAsia="zh-CN"/>
              </w:rPr>
              <w:t>1,295</w:t>
            </w:r>
          </w:p>
        </w:tc>
        <w:tc>
          <w:tcPr>
            <w:tcW w:w="0" w:type="auto"/>
            <w:tcBorders>
              <w:top w:val="single" w:sz="4" w:space="0" w:color="auto"/>
              <w:left w:val="nil"/>
              <w:bottom w:val="single" w:sz="4" w:space="0" w:color="auto"/>
              <w:right w:val="nil"/>
            </w:tcBorders>
            <w:shd w:val="clear" w:color="auto" w:fill="D4C5D7"/>
            <w:noWrap/>
            <w:vAlign w:val="center"/>
            <w:hideMark/>
          </w:tcPr>
          <w:p w14:paraId="06611301" w14:textId="77777777" w:rsidR="0093332E" w:rsidRPr="00DC5E78" w:rsidRDefault="0093332E" w:rsidP="008E21F6">
            <w:pPr>
              <w:spacing w:after="0" w:line="240" w:lineRule="auto"/>
              <w:jc w:val="right"/>
              <w:rPr>
                <w:rFonts w:eastAsia="Times New Roman" w:cs="Arial"/>
                <w:b/>
                <w:bCs/>
                <w:color w:val="000000"/>
                <w:sz w:val="20"/>
                <w:szCs w:val="20"/>
                <w:lang w:eastAsia="zh-CN"/>
              </w:rPr>
            </w:pPr>
            <w:r w:rsidRPr="00DC5E78">
              <w:rPr>
                <w:rFonts w:eastAsia="Times New Roman" w:cs="Arial"/>
                <w:b/>
                <w:bCs/>
                <w:color w:val="000000"/>
                <w:sz w:val="20"/>
                <w:szCs w:val="20"/>
                <w:lang w:eastAsia="zh-CN"/>
              </w:rPr>
              <w:t>116.3%</w:t>
            </w:r>
          </w:p>
        </w:tc>
      </w:tr>
    </w:tbl>
    <w:p w14:paraId="2FF9990A" w14:textId="77777777" w:rsidR="0093332E" w:rsidRDefault="0093332E" w:rsidP="0093332E">
      <w:pPr>
        <w:pStyle w:val="FSRnormal"/>
      </w:pPr>
      <w:r>
        <w:t xml:space="preserve">The largest net increases by primary disability were for intellectual disability, psychosocial disability and other neurological. </w:t>
      </w:r>
      <w:r w:rsidRPr="001A20F1">
        <w:t xml:space="preserve">The </w:t>
      </w:r>
      <w:r>
        <w:t>net increase was</w:t>
      </w:r>
      <w:r w:rsidRPr="001A20F1">
        <w:t xml:space="preserve"> </w:t>
      </w:r>
      <w:r>
        <w:t xml:space="preserve">higher than expected for all disability types except for autism </w:t>
      </w:r>
      <w:r w:rsidRPr="001A20F1">
        <w:t>(</w:t>
      </w:r>
      <w:r w:rsidR="004461D2">
        <w:t xml:space="preserve">Table </w:t>
      </w:r>
      <w:r w:rsidR="004461D2">
        <w:rPr>
          <w:noProof/>
        </w:rPr>
        <w:t>4</w:t>
      </w:r>
      <w:r w:rsidR="004461D2">
        <w:t>.</w:t>
      </w:r>
      <w:r w:rsidR="004461D2">
        <w:rPr>
          <w:noProof/>
        </w:rPr>
        <w:t>8</w:t>
      </w:r>
      <w:r w:rsidRPr="001A20F1">
        <w:t>)</w:t>
      </w:r>
      <w:r>
        <w:t>.</w:t>
      </w:r>
    </w:p>
    <w:p w14:paraId="1570E196" w14:textId="77777777" w:rsidR="0093332E" w:rsidRDefault="0093332E" w:rsidP="0093332E">
      <w:pPr>
        <w:pStyle w:val="Tables"/>
      </w:pPr>
      <w:bookmarkStart w:id="57" w:name="_Ref113272846"/>
      <w:r>
        <w:t xml:space="preserve">Table </w:t>
      </w:r>
      <w:fldSimple w:instr=" STYLEREF 2 \s ">
        <w:r w:rsidR="00A87896">
          <w:rPr>
            <w:noProof/>
          </w:rPr>
          <w:t>4</w:t>
        </w:r>
      </w:fldSimple>
      <w:r w:rsidR="00A87896">
        <w:t>.</w:t>
      </w:r>
      <w:fldSimple w:instr=" SEQ Table \* ARABIC \s 2 ">
        <w:r w:rsidR="00A87896">
          <w:rPr>
            <w:noProof/>
          </w:rPr>
          <w:t>8</w:t>
        </w:r>
      </w:fldSimple>
      <w:bookmarkEnd w:id="57"/>
      <w:r>
        <w:t xml:space="preserve">: </w:t>
      </w:r>
      <w:r w:rsidR="00390C88" w:rsidRPr="00390C88">
        <w:t>Actual versus expected</w:t>
      </w:r>
      <w:r w:rsidR="00390C88">
        <w:t xml:space="preserve"> net increase in participants with</w:t>
      </w:r>
      <w:r w:rsidR="00390C88" w:rsidRPr="00390C88">
        <w:t xml:space="preserve"> SIL by primary disability at 30 June 2022</w:t>
      </w:r>
    </w:p>
    <w:tbl>
      <w:tblPr>
        <w:tblStyle w:val="FSRtable"/>
        <w:tblW w:w="0" w:type="auto"/>
        <w:tblInd w:w="0" w:type="dxa"/>
        <w:tblLook w:val="04A0" w:firstRow="1" w:lastRow="0" w:firstColumn="1" w:lastColumn="0" w:noHBand="0" w:noVBand="1"/>
      </w:tblPr>
      <w:tblGrid>
        <w:gridCol w:w="2295"/>
        <w:gridCol w:w="828"/>
        <w:gridCol w:w="1106"/>
        <w:gridCol w:w="1195"/>
        <w:gridCol w:w="1372"/>
      </w:tblGrid>
      <w:tr w:rsidR="0093332E" w:rsidRPr="009079E9" w14:paraId="248B675F" w14:textId="77777777" w:rsidTr="00F830E6">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noWrap/>
            <w:hideMark/>
          </w:tcPr>
          <w:p w14:paraId="268AFFE0" w14:textId="77777777" w:rsidR="0093332E" w:rsidRPr="009079E9" w:rsidRDefault="0093332E" w:rsidP="008E21F6">
            <w:pPr>
              <w:spacing w:after="0" w:line="240" w:lineRule="auto"/>
              <w:rPr>
                <w:rFonts w:eastAsia="Times New Roman"/>
                <w:b w:val="0"/>
                <w:bCs/>
                <w:color w:val="FFFFFF"/>
                <w:sz w:val="20"/>
                <w:szCs w:val="20"/>
              </w:rPr>
            </w:pPr>
            <w:r w:rsidRPr="009079E9">
              <w:rPr>
                <w:rFonts w:eastAsia="Times New Roman"/>
                <w:bCs/>
                <w:color w:val="FFFFFF"/>
                <w:sz w:val="20"/>
                <w:szCs w:val="20"/>
              </w:rPr>
              <w:t>Primary Disability</w:t>
            </w:r>
          </w:p>
        </w:tc>
        <w:tc>
          <w:tcPr>
            <w:tcW w:w="0" w:type="auto"/>
            <w:noWrap/>
            <w:hideMark/>
          </w:tcPr>
          <w:p w14:paraId="3D86F9AF" w14:textId="77777777" w:rsidR="0093332E" w:rsidRPr="009079E9" w:rsidRDefault="0093332E" w:rsidP="008E21F6">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rPr>
            </w:pPr>
            <w:r w:rsidRPr="009079E9">
              <w:rPr>
                <w:rFonts w:eastAsia="Times New Roman"/>
                <w:bCs/>
                <w:color w:val="FFFFFF"/>
                <w:sz w:val="20"/>
                <w:szCs w:val="20"/>
              </w:rPr>
              <w:t>Actual</w:t>
            </w:r>
          </w:p>
        </w:tc>
        <w:tc>
          <w:tcPr>
            <w:tcW w:w="0" w:type="auto"/>
            <w:noWrap/>
            <w:hideMark/>
          </w:tcPr>
          <w:p w14:paraId="7E258916" w14:textId="77777777" w:rsidR="0093332E" w:rsidRPr="009079E9" w:rsidRDefault="0093332E" w:rsidP="008E21F6">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rPr>
            </w:pPr>
            <w:r w:rsidRPr="009079E9">
              <w:rPr>
                <w:rFonts w:eastAsia="Times New Roman"/>
                <w:bCs/>
                <w:color w:val="FFFFFF"/>
                <w:sz w:val="20"/>
                <w:szCs w:val="20"/>
              </w:rPr>
              <w:t>Expected</w:t>
            </w:r>
          </w:p>
        </w:tc>
        <w:tc>
          <w:tcPr>
            <w:tcW w:w="0" w:type="auto"/>
            <w:noWrap/>
            <w:hideMark/>
          </w:tcPr>
          <w:p w14:paraId="0108FB05" w14:textId="77777777" w:rsidR="0093332E" w:rsidRPr="009079E9" w:rsidRDefault="0093332E" w:rsidP="008E21F6">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rPr>
            </w:pPr>
            <w:r w:rsidRPr="009079E9">
              <w:rPr>
                <w:rFonts w:eastAsia="Times New Roman"/>
                <w:bCs/>
                <w:color w:val="FFFFFF"/>
                <w:sz w:val="20"/>
                <w:szCs w:val="20"/>
              </w:rPr>
              <w:t>Difference</w:t>
            </w:r>
          </w:p>
        </w:tc>
        <w:tc>
          <w:tcPr>
            <w:tcW w:w="0" w:type="auto"/>
            <w:hideMark/>
          </w:tcPr>
          <w:p w14:paraId="5092A331" w14:textId="77777777" w:rsidR="0093332E" w:rsidRPr="009079E9" w:rsidRDefault="0093332E" w:rsidP="008E21F6">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rPr>
            </w:pPr>
            <w:r w:rsidRPr="009079E9">
              <w:rPr>
                <w:rFonts w:eastAsia="Times New Roman"/>
                <w:bCs/>
                <w:color w:val="FFFFFF"/>
                <w:sz w:val="20"/>
                <w:szCs w:val="20"/>
              </w:rPr>
              <w:t>%Difference</w:t>
            </w:r>
          </w:p>
        </w:tc>
      </w:tr>
      <w:tr w:rsidR="0093332E" w:rsidRPr="009079E9" w14:paraId="2866BA53" w14:textId="77777777" w:rsidTr="00F830E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13095AEA" w14:textId="77777777" w:rsidR="0093332E" w:rsidRPr="009079E9" w:rsidRDefault="0093332E" w:rsidP="008E21F6">
            <w:pPr>
              <w:spacing w:after="0" w:line="240" w:lineRule="auto"/>
              <w:rPr>
                <w:rFonts w:eastAsia="Times New Roman" w:cs="Arial"/>
                <w:color w:val="000000"/>
                <w:sz w:val="20"/>
                <w:szCs w:val="20"/>
              </w:rPr>
            </w:pPr>
            <w:r w:rsidRPr="009079E9">
              <w:rPr>
                <w:rFonts w:eastAsia="Times New Roman" w:cs="Arial"/>
                <w:color w:val="000000"/>
                <w:sz w:val="20"/>
                <w:szCs w:val="20"/>
              </w:rPr>
              <w:t xml:space="preserve"> Autism </w:t>
            </w:r>
          </w:p>
        </w:tc>
        <w:tc>
          <w:tcPr>
            <w:tcW w:w="0" w:type="auto"/>
            <w:noWrap/>
            <w:hideMark/>
          </w:tcPr>
          <w:p w14:paraId="68F18DB6" w14:textId="77777777" w:rsidR="0093332E" w:rsidRPr="009079E9"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316</w:t>
            </w:r>
          </w:p>
        </w:tc>
        <w:tc>
          <w:tcPr>
            <w:tcW w:w="0" w:type="auto"/>
            <w:noWrap/>
            <w:hideMark/>
          </w:tcPr>
          <w:p w14:paraId="15D65CA1" w14:textId="77777777" w:rsidR="0093332E" w:rsidRPr="009079E9"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375</w:t>
            </w:r>
          </w:p>
        </w:tc>
        <w:tc>
          <w:tcPr>
            <w:tcW w:w="0" w:type="auto"/>
            <w:noWrap/>
            <w:hideMark/>
          </w:tcPr>
          <w:p w14:paraId="5BAC5A56" w14:textId="77777777" w:rsidR="0093332E" w:rsidRPr="009079E9"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-59</w:t>
            </w:r>
          </w:p>
        </w:tc>
        <w:tc>
          <w:tcPr>
            <w:tcW w:w="0" w:type="auto"/>
            <w:noWrap/>
            <w:hideMark/>
          </w:tcPr>
          <w:p w14:paraId="7E128AE0" w14:textId="77777777" w:rsidR="0093332E" w:rsidRPr="009079E9"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-15.6%</w:t>
            </w:r>
          </w:p>
        </w:tc>
      </w:tr>
      <w:tr w:rsidR="0093332E" w:rsidRPr="009079E9" w14:paraId="5958A281" w14:textId="77777777" w:rsidTr="00F830E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0806BAE0" w14:textId="77777777" w:rsidR="0093332E" w:rsidRPr="009079E9" w:rsidRDefault="0093332E" w:rsidP="008E21F6">
            <w:pPr>
              <w:spacing w:after="0" w:line="240" w:lineRule="auto"/>
              <w:rPr>
                <w:rFonts w:eastAsia="Times New Roman" w:cs="Arial"/>
                <w:color w:val="000000"/>
                <w:sz w:val="20"/>
                <w:szCs w:val="20"/>
              </w:rPr>
            </w:pPr>
            <w:r w:rsidRPr="009079E9">
              <w:rPr>
                <w:rFonts w:eastAsia="Times New Roman" w:cs="Arial"/>
                <w:color w:val="000000"/>
                <w:sz w:val="20"/>
                <w:szCs w:val="20"/>
              </w:rPr>
              <w:t xml:space="preserve"> Intellectual Disability </w:t>
            </w:r>
          </w:p>
        </w:tc>
        <w:tc>
          <w:tcPr>
            <w:tcW w:w="0" w:type="auto"/>
            <w:noWrap/>
            <w:hideMark/>
          </w:tcPr>
          <w:p w14:paraId="053BEA1C" w14:textId="77777777" w:rsidR="0093332E" w:rsidRPr="009079E9"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538</w:t>
            </w:r>
          </w:p>
        </w:tc>
        <w:tc>
          <w:tcPr>
            <w:tcW w:w="0" w:type="auto"/>
            <w:noWrap/>
            <w:hideMark/>
          </w:tcPr>
          <w:p w14:paraId="6690F9A1" w14:textId="77777777" w:rsidR="0093332E" w:rsidRPr="009079E9"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292</w:t>
            </w:r>
          </w:p>
        </w:tc>
        <w:tc>
          <w:tcPr>
            <w:tcW w:w="0" w:type="auto"/>
            <w:noWrap/>
            <w:hideMark/>
          </w:tcPr>
          <w:p w14:paraId="62C57DF0" w14:textId="77777777" w:rsidR="0093332E" w:rsidRPr="009079E9"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246</w:t>
            </w:r>
          </w:p>
        </w:tc>
        <w:tc>
          <w:tcPr>
            <w:tcW w:w="0" w:type="auto"/>
            <w:noWrap/>
            <w:hideMark/>
          </w:tcPr>
          <w:p w14:paraId="4D7D41F8" w14:textId="77777777" w:rsidR="0093332E" w:rsidRPr="009079E9"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84.2%</w:t>
            </w:r>
          </w:p>
        </w:tc>
      </w:tr>
      <w:tr w:rsidR="0093332E" w:rsidRPr="009079E9" w14:paraId="111BB2D5" w14:textId="77777777" w:rsidTr="00F830E6">
        <w:trPr>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385F1FC8" w14:textId="77777777" w:rsidR="0093332E" w:rsidRPr="009079E9" w:rsidRDefault="0093332E" w:rsidP="008E21F6">
            <w:pPr>
              <w:spacing w:after="0" w:line="240" w:lineRule="auto"/>
              <w:rPr>
                <w:rFonts w:eastAsia="Times New Roman" w:cs="Arial"/>
                <w:color w:val="000000"/>
                <w:sz w:val="20"/>
                <w:szCs w:val="20"/>
              </w:rPr>
            </w:pPr>
            <w:r w:rsidRPr="009079E9">
              <w:rPr>
                <w:rFonts w:eastAsia="Times New Roman" w:cs="Arial"/>
                <w:color w:val="000000"/>
                <w:sz w:val="20"/>
                <w:szCs w:val="20"/>
              </w:rPr>
              <w:t xml:space="preserve"> Psychosocial Disability </w:t>
            </w:r>
          </w:p>
        </w:tc>
        <w:tc>
          <w:tcPr>
            <w:tcW w:w="0" w:type="auto"/>
            <w:noWrap/>
            <w:hideMark/>
          </w:tcPr>
          <w:p w14:paraId="34530B3B" w14:textId="77777777" w:rsidR="0093332E" w:rsidRPr="009079E9"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489</w:t>
            </w:r>
          </w:p>
        </w:tc>
        <w:tc>
          <w:tcPr>
            <w:tcW w:w="0" w:type="auto"/>
            <w:noWrap/>
            <w:hideMark/>
          </w:tcPr>
          <w:p w14:paraId="70E2AC86" w14:textId="77777777" w:rsidR="0093332E" w:rsidRPr="009079E9"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258</w:t>
            </w:r>
          </w:p>
        </w:tc>
        <w:tc>
          <w:tcPr>
            <w:tcW w:w="0" w:type="auto"/>
            <w:noWrap/>
            <w:hideMark/>
          </w:tcPr>
          <w:p w14:paraId="43018591" w14:textId="77777777" w:rsidR="0093332E" w:rsidRPr="009079E9"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231</w:t>
            </w:r>
          </w:p>
        </w:tc>
        <w:tc>
          <w:tcPr>
            <w:tcW w:w="0" w:type="auto"/>
            <w:noWrap/>
            <w:hideMark/>
          </w:tcPr>
          <w:p w14:paraId="2C6DF34E" w14:textId="77777777" w:rsidR="0093332E" w:rsidRPr="009079E9"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89.8%</w:t>
            </w:r>
          </w:p>
        </w:tc>
      </w:tr>
      <w:tr w:rsidR="0093332E" w:rsidRPr="009079E9" w14:paraId="420C0716" w14:textId="77777777" w:rsidTr="00F830E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EA85165" w14:textId="77777777" w:rsidR="0093332E" w:rsidRPr="009079E9" w:rsidRDefault="0093332E" w:rsidP="008E21F6">
            <w:pPr>
              <w:spacing w:after="0" w:line="240" w:lineRule="auto"/>
              <w:rPr>
                <w:rFonts w:eastAsia="Times New Roman" w:cs="Arial"/>
                <w:color w:val="000000"/>
                <w:sz w:val="20"/>
                <w:szCs w:val="20"/>
              </w:rPr>
            </w:pPr>
            <w:r w:rsidRPr="009079E9">
              <w:rPr>
                <w:rFonts w:eastAsia="Times New Roman" w:cs="Arial"/>
                <w:color w:val="000000"/>
                <w:sz w:val="20"/>
                <w:szCs w:val="20"/>
              </w:rPr>
              <w:t xml:space="preserve"> Sensory Disabilities </w:t>
            </w:r>
          </w:p>
        </w:tc>
        <w:tc>
          <w:tcPr>
            <w:tcW w:w="0" w:type="auto"/>
            <w:noWrap/>
            <w:hideMark/>
          </w:tcPr>
          <w:p w14:paraId="4A477C7D" w14:textId="77777777" w:rsidR="0093332E" w:rsidRPr="009079E9"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8</w:t>
            </w:r>
          </w:p>
        </w:tc>
        <w:tc>
          <w:tcPr>
            <w:tcW w:w="0" w:type="auto"/>
            <w:noWrap/>
            <w:hideMark/>
          </w:tcPr>
          <w:p w14:paraId="337F975C" w14:textId="77777777" w:rsidR="0093332E" w:rsidRPr="009079E9"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5</w:t>
            </w:r>
          </w:p>
        </w:tc>
        <w:tc>
          <w:tcPr>
            <w:tcW w:w="0" w:type="auto"/>
            <w:noWrap/>
            <w:hideMark/>
          </w:tcPr>
          <w:p w14:paraId="40DE76FE" w14:textId="77777777" w:rsidR="0093332E" w:rsidRPr="009079E9"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3</w:t>
            </w:r>
          </w:p>
        </w:tc>
        <w:tc>
          <w:tcPr>
            <w:tcW w:w="0" w:type="auto"/>
            <w:noWrap/>
            <w:hideMark/>
          </w:tcPr>
          <w:p w14:paraId="3187CE8F" w14:textId="77777777" w:rsidR="0093332E" w:rsidRPr="009079E9"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62.4%</w:t>
            </w:r>
          </w:p>
        </w:tc>
      </w:tr>
      <w:tr w:rsidR="0093332E" w:rsidRPr="009079E9" w14:paraId="3B98A22C" w14:textId="77777777" w:rsidTr="00F830E6">
        <w:trPr>
          <w:trHeight w:val="30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6278A73D" w14:textId="77777777" w:rsidR="0093332E" w:rsidRPr="009079E9" w:rsidRDefault="0093332E" w:rsidP="008E21F6">
            <w:pPr>
              <w:spacing w:after="0" w:line="240" w:lineRule="auto"/>
              <w:rPr>
                <w:rFonts w:eastAsia="Times New Roman" w:cs="Arial"/>
                <w:color w:val="000000"/>
                <w:sz w:val="20"/>
                <w:szCs w:val="20"/>
              </w:rPr>
            </w:pPr>
            <w:r w:rsidRPr="009079E9">
              <w:rPr>
                <w:rFonts w:eastAsia="Times New Roman" w:cs="Arial"/>
                <w:color w:val="000000"/>
                <w:sz w:val="20"/>
                <w:szCs w:val="20"/>
              </w:rPr>
              <w:t xml:space="preserve"> Other Disabilities </w:t>
            </w:r>
          </w:p>
        </w:tc>
        <w:tc>
          <w:tcPr>
            <w:tcW w:w="0" w:type="auto"/>
            <w:tcBorders>
              <w:bottom w:val="single" w:sz="4" w:space="0" w:color="auto"/>
            </w:tcBorders>
            <w:noWrap/>
            <w:hideMark/>
          </w:tcPr>
          <w:p w14:paraId="49B4BD9B" w14:textId="77777777" w:rsidR="0093332E" w:rsidRPr="009079E9"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1,057</w:t>
            </w:r>
          </w:p>
        </w:tc>
        <w:tc>
          <w:tcPr>
            <w:tcW w:w="0" w:type="auto"/>
            <w:tcBorders>
              <w:bottom w:val="single" w:sz="4" w:space="0" w:color="auto"/>
            </w:tcBorders>
            <w:noWrap/>
            <w:hideMark/>
          </w:tcPr>
          <w:p w14:paraId="35DAB31C" w14:textId="77777777" w:rsidR="0093332E" w:rsidRPr="009079E9"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184</w:t>
            </w:r>
          </w:p>
        </w:tc>
        <w:tc>
          <w:tcPr>
            <w:tcW w:w="0" w:type="auto"/>
            <w:tcBorders>
              <w:bottom w:val="single" w:sz="4" w:space="0" w:color="auto"/>
            </w:tcBorders>
            <w:noWrap/>
            <w:hideMark/>
          </w:tcPr>
          <w:p w14:paraId="2215FDCF" w14:textId="77777777" w:rsidR="0093332E" w:rsidRPr="009079E9"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873</w:t>
            </w:r>
          </w:p>
        </w:tc>
        <w:tc>
          <w:tcPr>
            <w:tcW w:w="0" w:type="auto"/>
            <w:tcBorders>
              <w:bottom w:val="single" w:sz="4" w:space="0" w:color="auto"/>
            </w:tcBorders>
            <w:noWrap/>
            <w:hideMark/>
          </w:tcPr>
          <w:p w14:paraId="40B6B05C" w14:textId="77777777" w:rsidR="0093332E" w:rsidRPr="009079E9"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9079E9">
              <w:rPr>
                <w:rFonts w:eastAsia="Times New Roman" w:cs="Arial"/>
                <w:color w:val="000000"/>
                <w:sz w:val="20"/>
                <w:szCs w:val="20"/>
              </w:rPr>
              <w:t>475.0%</w:t>
            </w:r>
          </w:p>
        </w:tc>
      </w:tr>
      <w:tr w:rsidR="0093332E" w:rsidRPr="009079E9" w14:paraId="08503887" w14:textId="77777777" w:rsidTr="00F830E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D4C5D7"/>
            <w:noWrap/>
            <w:hideMark/>
          </w:tcPr>
          <w:p w14:paraId="69924946" w14:textId="77777777" w:rsidR="0093332E" w:rsidRPr="009079E9" w:rsidRDefault="0093332E" w:rsidP="008E21F6">
            <w:pPr>
              <w:spacing w:after="0" w:line="240" w:lineRule="auto"/>
              <w:rPr>
                <w:rFonts w:eastAsia="Times New Roman" w:cs="Arial"/>
                <w:b/>
                <w:bCs/>
                <w:color w:val="000000"/>
                <w:sz w:val="20"/>
                <w:szCs w:val="20"/>
              </w:rPr>
            </w:pPr>
            <w:r w:rsidRPr="009079E9">
              <w:rPr>
                <w:rFonts w:eastAsia="Times New Roman" w:cs="Arial"/>
                <w:b/>
                <w:bCs/>
                <w:color w:val="000000"/>
                <w:sz w:val="20"/>
                <w:szCs w:val="20"/>
              </w:rPr>
              <w:t>Total</w:t>
            </w:r>
          </w:p>
        </w:tc>
        <w:tc>
          <w:tcPr>
            <w:tcW w:w="0" w:type="auto"/>
            <w:tcBorders>
              <w:top w:val="single" w:sz="4" w:space="0" w:color="auto"/>
              <w:bottom w:val="single" w:sz="4" w:space="0" w:color="auto"/>
            </w:tcBorders>
            <w:shd w:val="clear" w:color="auto" w:fill="D4C5D7"/>
            <w:noWrap/>
            <w:hideMark/>
          </w:tcPr>
          <w:p w14:paraId="2C11F3B9" w14:textId="77777777" w:rsidR="0093332E" w:rsidRPr="009079E9"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20"/>
                <w:szCs w:val="20"/>
              </w:rPr>
            </w:pPr>
            <w:r w:rsidRPr="009079E9">
              <w:rPr>
                <w:rFonts w:eastAsia="Times New Roman" w:cs="Arial"/>
                <w:b/>
                <w:bCs/>
                <w:color w:val="000000"/>
                <w:sz w:val="20"/>
                <w:szCs w:val="20"/>
              </w:rPr>
              <w:t>2,408</w:t>
            </w:r>
          </w:p>
        </w:tc>
        <w:tc>
          <w:tcPr>
            <w:tcW w:w="0" w:type="auto"/>
            <w:tcBorders>
              <w:top w:val="single" w:sz="4" w:space="0" w:color="auto"/>
              <w:bottom w:val="single" w:sz="4" w:space="0" w:color="auto"/>
            </w:tcBorders>
            <w:shd w:val="clear" w:color="auto" w:fill="D4C5D7"/>
            <w:noWrap/>
            <w:hideMark/>
          </w:tcPr>
          <w:p w14:paraId="47BFCC42" w14:textId="77777777" w:rsidR="0093332E" w:rsidRPr="009079E9"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20"/>
                <w:szCs w:val="20"/>
              </w:rPr>
            </w:pPr>
            <w:r w:rsidRPr="009079E9">
              <w:rPr>
                <w:rFonts w:eastAsia="Times New Roman" w:cs="Arial"/>
                <w:b/>
                <w:bCs/>
                <w:color w:val="000000"/>
                <w:sz w:val="20"/>
                <w:szCs w:val="20"/>
              </w:rPr>
              <w:t>1,113</w:t>
            </w:r>
          </w:p>
        </w:tc>
        <w:tc>
          <w:tcPr>
            <w:tcW w:w="0" w:type="auto"/>
            <w:tcBorders>
              <w:top w:val="single" w:sz="4" w:space="0" w:color="auto"/>
              <w:bottom w:val="single" w:sz="4" w:space="0" w:color="auto"/>
            </w:tcBorders>
            <w:shd w:val="clear" w:color="auto" w:fill="D4C5D7"/>
            <w:noWrap/>
            <w:hideMark/>
          </w:tcPr>
          <w:p w14:paraId="240BE7D4" w14:textId="77777777" w:rsidR="0093332E" w:rsidRPr="009079E9"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20"/>
                <w:szCs w:val="20"/>
              </w:rPr>
            </w:pPr>
            <w:r w:rsidRPr="009079E9">
              <w:rPr>
                <w:rFonts w:eastAsia="Times New Roman" w:cs="Arial"/>
                <w:b/>
                <w:bCs/>
                <w:color w:val="000000"/>
                <w:sz w:val="20"/>
                <w:szCs w:val="20"/>
              </w:rPr>
              <w:t>1,295</w:t>
            </w:r>
          </w:p>
        </w:tc>
        <w:tc>
          <w:tcPr>
            <w:tcW w:w="0" w:type="auto"/>
            <w:tcBorders>
              <w:top w:val="single" w:sz="4" w:space="0" w:color="auto"/>
              <w:bottom w:val="single" w:sz="4" w:space="0" w:color="auto"/>
            </w:tcBorders>
            <w:shd w:val="clear" w:color="auto" w:fill="D4C5D7"/>
            <w:noWrap/>
            <w:hideMark/>
          </w:tcPr>
          <w:p w14:paraId="77C98069" w14:textId="77777777" w:rsidR="0093332E" w:rsidRPr="009079E9"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20"/>
                <w:szCs w:val="20"/>
              </w:rPr>
            </w:pPr>
            <w:r w:rsidRPr="009079E9">
              <w:rPr>
                <w:rFonts w:eastAsia="Times New Roman" w:cs="Arial"/>
                <w:b/>
                <w:bCs/>
                <w:color w:val="000000"/>
                <w:sz w:val="20"/>
                <w:szCs w:val="20"/>
              </w:rPr>
              <w:t>116.3%</w:t>
            </w:r>
          </w:p>
        </w:tc>
      </w:tr>
    </w:tbl>
    <w:p w14:paraId="08955A9A" w14:textId="77777777" w:rsidR="000878B6" w:rsidRDefault="000878B6" w:rsidP="000878B6">
      <w:pPr>
        <w:pStyle w:val="FSRnormal"/>
      </w:pPr>
      <w:r w:rsidRPr="004609D3">
        <w:t xml:space="preserve">Overall, at 30 June 2022 approximately 5.0% of Scheme participants are currently in SIL arrangements, slightly lower than </w:t>
      </w:r>
      <w:r w:rsidR="00FB02FC">
        <w:t>the proportion</w:t>
      </w:r>
      <w:r w:rsidRPr="004609D3">
        <w:t xml:space="preserve"> of 5.3% 12 months ago (</w:t>
      </w:r>
      <w:r w:rsidR="00911A3E" w:rsidRPr="00164A79">
        <w:t xml:space="preserve">Figure </w:t>
      </w:r>
      <w:r w:rsidR="00911A3E">
        <w:rPr>
          <w:noProof/>
        </w:rPr>
        <w:t>4</w:t>
      </w:r>
      <w:r w:rsidR="00911A3E">
        <w:t>.</w:t>
      </w:r>
      <w:r w:rsidR="00911A3E">
        <w:rPr>
          <w:noProof/>
        </w:rPr>
        <w:t>4</w:t>
      </w:r>
      <w:r>
        <w:fldChar w:fldCharType="begin"/>
      </w:r>
      <w:r>
        <w:instrText xml:space="preserve"> REF _Ref113272659 \h </w:instrText>
      </w:r>
      <w:r>
        <w:fldChar w:fldCharType="end"/>
      </w:r>
      <w:r w:rsidRPr="004609D3">
        <w:t xml:space="preserve">). This is a continuation of a downward trend which can be observed over the </w:t>
      </w:r>
      <w:r w:rsidRPr="00E91E60">
        <w:t xml:space="preserve">last three years, as a result of the </w:t>
      </w:r>
      <w:r>
        <w:t xml:space="preserve">changing mix of participants in the Scheme. </w:t>
      </w:r>
      <w:r w:rsidR="00DD1B09">
        <w:t>M</w:t>
      </w:r>
      <w:r>
        <w:t>any new entrants are children or young adults with lower support needs than existing participants</w:t>
      </w:r>
      <w:r w:rsidR="00DD1B09">
        <w:t xml:space="preserve"> and</w:t>
      </w:r>
      <w:r>
        <w:t xml:space="preserve"> the</w:t>
      </w:r>
      <w:r w:rsidRPr="00E91E60">
        <w:t xml:space="preserve"> transition of participants with SIL fro</w:t>
      </w:r>
      <w:r w:rsidRPr="004609D3">
        <w:t>m State/Territory and Commonwealth programs into the Scheme</w:t>
      </w:r>
      <w:r>
        <w:t xml:space="preserve"> has tapered off</w:t>
      </w:r>
      <w:r w:rsidRPr="004609D3">
        <w:t>. This</w:t>
      </w:r>
      <w:r w:rsidR="00FB02FC">
        <w:t xml:space="preserve"> reducing</w:t>
      </w:r>
      <w:r w:rsidRPr="004609D3">
        <w:t xml:space="preserve"> proportion of participants with SIL</w:t>
      </w:r>
      <w:r w:rsidRPr="00E872F9">
        <w:t xml:space="preserve"> </w:t>
      </w:r>
      <w:r w:rsidR="00FB02FC">
        <w:t xml:space="preserve">leads to a </w:t>
      </w:r>
      <w:r w:rsidRPr="00E872F9">
        <w:t>reduc</w:t>
      </w:r>
      <w:r w:rsidR="00FB02FC">
        <w:t>tion in</w:t>
      </w:r>
      <w:r w:rsidRPr="00E872F9">
        <w:t xml:space="preserve"> the overall (Scheme level) average payment per participant as the new participants have lower </w:t>
      </w:r>
      <w:r w:rsidR="00197BF7">
        <w:t>levels of support need</w:t>
      </w:r>
      <w:r w:rsidRPr="00E872F9">
        <w:t>, on average, than existing participants.</w:t>
      </w:r>
    </w:p>
    <w:p w14:paraId="64C18B54" w14:textId="77777777" w:rsidR="000878B6" w:rsidRPr="00241BEA" w:rsidRDefault="000878B6" w:rsidP="000878B6">
      <w:pPr>
        <w:pStyle w:val="Figures"/>
      </w:pPr>
      <w:bookmarkStart w:id="58" w:name="_Ref114822081"/>
      <w:r w:rsidRPr="00164A79">
        <w:lastRenderedPageBreak/>
        <w:t xml:space="preserve">Figure </w:t>
      </w:r>
      <w:fldSimple w:instr=" STYLEREF 2 \s ">
        <w:r w:rsidR="00447AA1">
          <w:rPr>
            <w:noProof/>
          </w:rPr>
          <w:t>4</w:t>
        </w:r>
      </w:fldSimple>
      <w:r w:rsidR="00447AA1">
        <w:t>.</w:t>
      </w:r>
      <w:fldSimple w:instr=" SEQ Figure \* ARABIC \s 2 ">
        <w:r w:rsidR="00447AA1">
          <w:rPr>
            <w:noProof/>
          </w:rPr>
          <w:t>4</w:t>
        </w:r>
      </w:fldSimple>
      <w:bookmarkEnd w:id="58"/>
      <w:r w:rsidRPr="00164A79">
        <w:t>:</w:t>
      </w:r>
      <w:r w:rsidRPr="00241BEA">
        <w:t xml:space="preserve"> Active participants in the Scheme over the past 3 years, split by SIL </w:t>
      </w:r>
      <w:r>
        <w:t>status</w:t>
      </w:r>
    </w:p>
    <w:p w14:paraId="700AF6FF" w14:textId="77777777" w:rsidR="000878B6" w:rsidRDefault="003F5C22" w:rsidP="000878B6">
      <w:pPr>
        <w:pStyle w:val="FSRnormal"/>
        <w:jc w:val="center"/>
        <w:rPr>
          <w:rFonts w:eastAsia="DengXian" w:cs="Cordia New"/>
          <w:szCs w:val="22"/>
        </w:rPr>
      </w:pPr>
      <w:r>
        <w:rPr>
          <w:rFonts w:eastAsia="DengXian" w:cs="Cordia New"/>
          <w:noProof/>
          <w:szCs w:val="22"/>
          <w:lang w:eastAsia="en-AU"/>
        </w:rPr>
        <w:drawing>
          <wp:inline distT="0" distB="0" distL="0" distR="0" wp14:anchorId="623BC91D" wp14:editId="2A9F4709">
            <wp:extent cx="5724000" cy="2814473"/>
            <wp:effectExtent l="0" t="0" r="0" b="5080"/>
            <wp:docPr id="57" name="Picture 57" descr="Graph shows the number of active participants in the Scheme over the past 3 years, split by SIL status. It shows that the proportion of participants with and without SIL has been as follows:&#10;Jun-19: 7.4% with SIL and 92.6% without SIL; Jun-20: 6.2% with SIL and 93.8% without SIL; Jun-21: 5.3% with SIL and 94.7% without SIL; Jun-22: 5.0% with SIL and 95.0% without SIL." title="Figure 4.4: Active participants in the Scheme over the past 3 years, split by SIL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24000" cy="2814473"/>
                    </a:xfrm>
                    <a:prstGeom prst="rect">
                      <a:avLst/>
                    </a:prstGeom>
                    <a:noFill/>
                  </pic:spPr>
                </pic:pic>
              </a:graphicData>
            </a:graphic>
          </wp:inline>
        </w:drawing>
      </w:r>
    </w:p>
    <w:p w14:paraId="6FB27A89" w14:textId="77777777" w:rsidR="00D71E73" w:rsidRPr="00EF15F2" w:rsidRDefault="00D71E73" w:rsidP="00D71E73">
      <w:pPr>
        <w:pStyle w:val="FSRHeading5"/>
        <w:keepNext/>
        <w:keepLines/>
      </w:pPr>
      <w:r w:rsidRPr="00940E06">
        <w:t>Scheme participa</w:t>
      </w:r>
      <w:r>
        <w:t>nts as a proportion of the general population</w:t>
      </w:r>
      <w:r w:rsidRPr="00940E06">
        <w:t xml:space="preserve"> continue to increase</w:t>
      </w:r>
      <w:r w:rsidRPr="004609D3">
        <w:rPr>
          <w:rStyle w:val="FootnoteReference"/>
        </w:rPr>
        <w:footnoteReference w:id="53"/>
      </w:r>
      <w:r w:rsidRPr="004609D3">
        <w:t xml:space="preserve"> </w:t>
      </w:r>
    </w:p>
    <w:p w14:paraId="2D13DB2C" w14:textId="77777777" w:rsidR="00D71E73" w:rsidRDefault="00D71E73" w:rsidP="00D71E73">
      <w:pPr>
        <w:pStyle w:val="FSRnormal"/>
        <w:keepNext/>
        <w:keepLines/>
      </w:pPr>
      <w:r w:rsidRPr="00940E06">
        <w:t xml:space="preserve">Participation rate refers to the proportion of the Australian population who are NDIS participants. The rate varies by age and gender, reflecting the prevalence of different </w:t>
      </w:r>
      <w:r>
        <w:t>disability group</w:t>
      </w:r>
      <w:r w:rsidRPr="00940E06">
        <w:t>s.</w:t>
      </w:r>
    </w:p>
    <w:p w14:paraId="6DCBF522" w14:textId="77777777" w:rsidR="00D71E73" w:rsidRPr="00D71E73" w:rsidRDefault="00D71E73" w:rsidP="00D71E73">
      <w:pPr>
        <w:pStyle w:val="Figures"/>
        <w:rPr>
          <w:highlight w:val="yellow"/>
        </w:rPr>
      </w:pPr>
      <w:bookmarkStart w:id="59" w:name="_Ref113899333"/>
      <w:r w:rsidRPr="00164A79">
        <w:t xml:space="preserve">Figure </w:t>
      </w:r>
      <w:fldSimple w:instr=" STYLEREF 2 \s ">
        <w:r w:rsidR="00447AA1">
          <w:rPr>
            <w:noProof/>
          </w:rPr>
          <w:t>4</w:t>
        </w:r>
      </w:fldSimple>
      <w:r w:rsidR="00447AA1">
        <w:t>.</w:t>
      </w:r>
      <w:fldSimple w:instr=" SEQ Figure \* ARABIC \s 2 ">
        <w:r w:rsidR="00447AA1">
          <w:rPr>
            <w:noProof/>
          </w:rPr>
          <w:t>5</w:t>
        </w:r>
      </w:fldSimple>
      <w:bookmarkEnd w:id="59"/>
      <w:r w:rsidRPr="00164A79">
        <w:t>:</w:t>
      </w:r>
      <w:r w:rsidRPr="00E872F9">
        <w:t xml:space="preserve"> </w:t>
      </w:r>
      <w:r w:rsidRPr="44DF83B8">
        <w:t>Participation rates by age and gender at 30 June 2022</w:t>
      </w:r>
    </w:p>
    <w:p w14:paraId="44880480" w14:textId="77777777" w:rsidR="00D71E73" w:rsidRDefault="00D71E73" w:rsidP="00DA3F73">
      <w:pPr>
        <w:pStyle w:val="FSRnormal"/>
      </w:pPr>
      <w:r w:rsidRPr="004B30C8">
        <w:rPr>
          <w:noProof/>
          <w:lang w:eastAsia="en-AU"/>
        </w:rPr>
        <w:drawing>
          <wp:inline distT="0" distB="0" distL="0" distR="0" wp14:anchorId="3B74F485" wp14:editId="10D55A67">
            <wp:extent cx="5731510" cy="1666240"/>
            <wp:effectExtent l="0" t="0" r="2540" b="0"/>
            <wp:docPr id="199784932" name="Picture 199784932" descr="Graph states participation rates by age and gender at 30 June 2022. It shows that: &#10;Male: Age 5: 9.4%; Age 10: 7.4%; Age 15: 5.2%; Age 20: 3.0%; Age 25: 1.7%; Age 30: 1.3%; Age 35: 1.1%; Age 40: 1.4%; Age 45: 1.3%; Age 50: 1.7%; Age 55: 1.8%; Age 60: 2.1%; &#10;Female: Age 5: 4.0%; Age 10: 3.3%; Age 15: 2.8%; Age 20: 1.7%; Age 25: 1.1%; Age 30: 0.9%; Age 35: 0.9%; Age 40: 1.1%; Age 45: 1.1%; Age 50: 1.6%; Age 55: 1.6%; Age 60: 1.9%; &#10;Total: Age 5: 6.8%; Age 10: 5.4%; Age 15: 4.0%; Age 20: 2.3%; Age 25: 1.5%; Age 30: 1.1%; Age 35: 1.0%; Age 40: 1.3%; Age 45: 1.2%; Age 50: 1.7%; Age 55: 1.7%; Age 60: 2.0%." title="Figure 4.5: Participation rates by age and gender at 30 June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1666240"/>
                    </a:xfrm>
                    <a:prstGeom prst="rect">
                      <a:avLst/>
                    </a:prstGeom>
                    <a:noFill/>
                    <a:ln>
                      <a:noFill/>
                    </a:ln>
                  </pic:spPr>
                </pic:pic>
              </a:graphicData>
            </a:graphic>
          </wp:inline>
        </w:drawing>
      </w:r>
    </w:p>
    <w:p w14:paraId="312172C0" w14:textId="77777777" w:rsidR="00D71E73" w:rsidRPr="00475656" w:rsidRDefault="00D71E73" w:rsidP="00D71E73">
      <w:pPr>
        <w:pStyle w:val="FSRnormal"/>
      </w:pPr>
      <w:r>
        <w:t>The rate of net increase in participant numbers decline</w:t>
      </w:r>
      <w:r w:rsidR="00557A9E">
        <w:t>d in 2021</w:t>
      </w:r>
      <w:r w:rsidR="00DD1B09">
        <w:t>-</w:t>
      </w:r>
      <w:r w:rsidR="00557A9E">
        <w:t>22</w:t>
      </w:r>
      <w:r>
        <w:t xml:space="preserve"> as transition from the State/Territory disability programs has tapered off and almost all new entrants are individuals who are new to disability supports. The net increase in participant numbers in the 12 months to June 2022 was 68,036, lower than the net increase of 74,620 in the 12 months to June 2021.</w:t>
      </w:r>
    </w:p>
    <w:p w14:paraId="6B3BF7D4" w14:textId="77777777" w:rsidR="00D71E73" w:rsidRPr="00475656" w:rsidRDefault="00D71E73" w:rsidP="00D71E73">
      <w:pPr>
        <w:pStyle w:val="FSRnormal"/>
        <w:keepNext/>
        <w:keepLines/>
      </w:pPr>
      <w:r w:rsidRPr="00475656">
        <w:lastRenderedPageBreak/>
        <w:t xml:space="preserve">However, the </w:t>
      </w:r>
      <w:r>
        <w:t>participation</w:t>
      </w:r>
      <w:r w:rsidRPr="00475656">
        <w:t xml:space="preserve"> rates </w:t>
      </w:r>
      <w:r w:rsidR="00FB02FC">
        <w:t>for</w:t>
      </w:r>
      <w:r w:rsidRPr="00475656">
        <w:t xml:space="preserve"> mature regions</w:t>
      </w:r>
      <w:r w:rsidRPr="00475656">
        <w:rPr>
          <w:vertAlign w:val="superscript"/>
        </w:rPr>
        <w:footnoteReference w:id="54"/>
      </w:r>
      <w:r w:rsidRPr="00475656">
        <w:t xml:space="preserve"> continue to exceed benchmark levels assumed in the original Scheme design.</w:t>
      </w:r>
      <w:r>
        <w:t xml:space="preserve"> </w:t>
      </w:r>
      <w:r w:rsidRPr="00164A79">
        <w:t xml:space="preserve">Figure </w:t>
      </w:r>
      <w:r>
        <w:rPr>
          <w:noProof/>
        </w:rPr>
        <w:t>4</w:t>
      </w:r>
      <w:r>
        <w:t>.</w:t>
      </w:r>
      <w:r>
        <w:rPr>
          <w:noProof/>
        </w:rPr>
        <w:t>6</w:t>
      </w:r>
      <w:r w:rsidRPr="00475656">
        <w:t xml:space="preserve"> </w:t>
      </w:r>
      <w:r w:rsidRPr="00D71E73">
        <w:t>displays</w:t>
      </w:r>
      <w:r w:rsidRPr="00475656">
        <w:t xml:space="preserve"> the participation rate for each phasing cohort by the number of quarters since phasing into the Scheme commenced. The development curves show the proportion of active participants aged from 0 to 64 (compared to the general population) in the Scheme at specific development points in time. Increases over time reflect participants entering the Scheme while reductions reflect participants </w:t>
      </w:r>
      <w:r>
        <w:t xml:space="preserve">leaving the Scheme, passed away </w:t>
      </w:r>
      <w:r w:rsidRPr="00475656">
        <w:t>or turning age 65.</w:t>
      </w:r>
    </w:p>
    <w:p w14:paraId="769F762D" w14:textId="77777777" w:rsidR="00D71E73" w:rsidRPr="0091233F" w:rsidRDefault="00D71E73" w:rsidP="00D71E73">
      <w:pPr>
        <w:pStyle w:val="FSRnormal"/>
      </w:pPr>
      <w:r>
        <w:t xml:space="preserve">It was expected that these participation curves would “flatten out” over time. However, the Scheme population in these regions continues to increase above general population growth, and participation rates for ages 0 to 64 have continued to rise even in more “mature” geographical areas, with little sign of slowing. As an example, the unbroken dark purple line represents the participation rate of the regions that phased into the Scheme in the September 2013 quarter (e.g., Barwon in </w:t>
      </w:r>
      <w:r w:rsidR="00DD1B09">
        <w:t xml:space="preserve">Victoria </w:t>
      </w:r>
      <w:r>
        <w:t>and Hunter in NSW). It is evident that even after 35 quarters (more than nine years), there remains an upward trend in the number of participants entering the Scheme.</w:t>
      </w:r>
    </w:p>
    <w:p w14:paraId="5E85876B" w14:textId="77777777" w:rsidR="00D71E73" w:rsidRPr="009D2877" w:rsidRDefault="00D71E73" w:rsidP="00D71E73">
      <w:pPr>
        <w:pStyle w:val="Figures"/>
      </w:pPr>
      <w:bookmarkStart w:id="60" w:name="_Ref113899445"/>
      <w:r w:rsidRPr="00164A79">
        <w:t xml:space="preserve">Figure </w:t>
      </w:r>
      <w:fldSimple w:instr=" STYLEREF 2 \s ">
        <w:r w:rsidR="00447AA1">
          <w:rPr>
            <w:noProof/>
          </w:rPr>
          <w:t>4</w:t>
        </w:r>
      </w:fldSimple>
      <w:r w:rsidR="00447AA1">
        <w:t>.</w:t>
      </w:r>
      <w:fldSimple w:instr=" SEQ Figure \* ARABIC \s 2 ">
        <w:r w:rsidR="00447AA1">
          <w:rPr>
            <w:noProof/>
          </w:rPr>
          <w:t>6</w:t>
        </w:r>
      </w:fldSimple>
      <w:bookmarkEnd w:id="60"/>
      <w:r w:rsidRPr="00164A79">
        <w:t>:</w:t>
      </w:r>
      <w:r w:rsidRPr="009D2877">
        <w:t xml:space="preserve"> Participants as a proportion of Australian population since phase-in date –</w:t>
      </w:r>
      <w:r w:rsidRPr="0091233F">
        <w:t xml:space="preserve"> </w:t>
      </w:r>
      <w:r w:rsidRPr="009D2877">
        <w:t>aged 0 to 64</w:t>
      </w:r>
    </w:p>
    <w:p w14:paraId="43A90370" w14:textId="77777777" w:rsidR="00D71E73" w:rsidRDefault="00D71E73" w:rsidP="00D71E73">
      <w:pPr>
        <w:pStyle w:val="FSRnormal"/>
      </w:pPr>
      <w:r w:rsidRPr="007C2B64">
        <w:rPr>
          <w:noProof/>
          <w:lang w:eastAsia="en-AU"/>
        </w:rPr>
        <w:drawing>
          <wp:inline distT="0" distB="0" distL="0" distR="0" wp14:anchorId="63F9CADA" wp14:editId="00E7F832">
            <wp:extent cx="5731510" cy="3114649"/>
            <wp:effectExtent l="0" t="0" r="2540" b="0"/>
            <wp:docPr id="199784933" name="Picture 199784933" descr="Chart shows that the Scheme population in the more mature sites continues to increase above general population growth, and prevalence rates for ages 0 to 64 have thus continued to rise in these regions with little signs of slowing down. " title="Figure 4.6: Participants as a proportion of Australian population since phase-in date – aged 0 to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3114649"/>
                    </a:xfrm>
                    <a:prstGeom prst="rect">
                      <a:avLst/>
                    </a:prstGeom>
                    <a:noFill/>
                    <a:ln>
                      <a:noFill/>
                    </a:ln>
                  </pic:spPr>
                </pic:pic>
              </a:graphicData>
            </a:graphic>
          </wp:inline>
        </w:drawing>
      </w:r>
    </w:p>
    <w:p w14:paraId="45F5CB49" w14:textId="77777777" w:rsidR="00D71E73" w:rsidRDefault="00D71E73" w:rsidP="00D71E73">
      <w:pPr>
        <w:pStyle w:val="FSRnormal"/>
      </w:pPr>
      <w:r w:rsidRPr="00164A79">
        <w:t xml:space="preserve">Figure </w:t>
      </w:r>
      <w:r>
        <w:rPr>
          <w:noProof/>
        </w:rPr>
        <w:t>4</w:t>
      </w:r>
      <w:r>
        <w:t>.</w:t>
      </w:r>
      <w:r>
        <w:rPr>
          <w:noProof/>
        </w:rPr>
        <w:t>7</w:t>
      </w:r>
      <w:r>
        <w:t xml:space="preserve"> </w:t>
      </w:r>
      <w:r w:rsidRPr="00051EE1">
        <w:t xml:space="preserve">displays the participation rate for participants with autism by phase-in quarter. It shows the same trends as </w:t>
      </w:r>
      <w:r w:rsidR="0098613C" w:rsidRPr="00164A79">
        <w:t xml:space="preserve">Figure </w:t>
      </w:r>
      <w:r w:rsidR="0098613C">
        <w:rPr>
          <w:noProof/>
        </w:rPr>
        <w:t>4</w:t>
      </w:r>
      <w:r w:rsidR="0098613C">
        <w:t>.</w:t>
      </w:r>
      <w:r w:rsidR="0098613C">
        <w:rPr>
          <w:noProof/>
        </w:rPr>
        <w:t>6</w:t>
      </w:r>
      <w:r w:rsidR="0098613C" w:rsidRPr="00475656">
        <w:t xml:space="preserve"> </w:t>
      </w:r>
      <w:r w:rsidR="00DD1B09">
        <w:t>(</w:t>
      </w:r>
      <w:r w:rsidRPr="00051EE1">
        <w:t>i.e., the participation rate curves do not flatten out over time</w:t>
      </w:r>
      <w:r w:rsidR="00DD1B09">
        <w:t>)</w:t>
      </w:r>
      <w:r w:rsidRPr="00051EE1">
        <w:t xml:space="preserve">. </w:t>
      </w:r>
      <w:r>
        <w:t>T</w:t>
      </w:r>
      <w:r w:rsidRPr="00051EE1">
        <w:t xml:space="preserve">hese curves are steeper than those in </w:t>
      </w:r>
      <w:r w:rsidR="0098613C" w:rsidRPr="00164A79">
        <w:t xml:space="preserve">Figure </w:t>
      </w:r>
      <w:r w:rsidR="0098613C">
        <w:rPr>
          <w:noProof/>
        </w:rPr>
        <w:t>4</w:t>
      </w:r>
      <w:r w:rsidR="0098613C">
        <w:t>.</w:t>
      </w:r>
      <w:r w:rsidR="0098613C">
        <w:rPr>
          <w:noProof/>
        </w:rPr>
        <w:t>6</w:t>
      </w:r>
      <w:r w:rsidRPr="00051EE1">
        <w:t>, indicati</w:t>
      </w:r>
      <w:r>
        <w:t>ng that the participation rate for autism is increasing faster than that of the Scheme as a whole.</w:t>
      </w:r>
    </w:p>
    <w:p w14:paraId="01848312" w14:textId="77777777" w:rsidR="00D71E73" w:rsidRDefault="00D71E73" w:rsidP="00D71E73">
      <w:pPr>
        <w:pStyle w:val="FSRnormal"/>
      </w:pPr>
    </w:p>
    <w:p w14:paraId="53A4EAF5" w14:textId="77777777" w:rsidR="00D71E73" w:rsidRDefault="00D71E73" w:rsidP="00D71E73">
      <w:pPr>
        <w:pStyle w:val="Figures"/>
      </w:pPr>
      <w:bookmarkStart w:id="61" w:name="_Ref113899505"/>
      <w:r w:rsidRPr="00164A79">
        <w:lastRenderedPageBreak/>
        <w:t xml:space="preserve">Figure </w:t>
      </w:r>
      <w:fldSimple w:instr=" STYLEREF 2 \s ">
        <w:r w:rsidR="00447AA1">
          <w:rPr>
            <w:noProof/>
          </w:rPr>
          <w:t>4</w:t>
        </w:r>
      </w:fldSimple>
      <w:r w:rsidR="00447AA1">
        <w:t>.</w:t>
      </w:r>
      <w:fldSimple w:instr=" SEQ Figure \* ARABIC \s 2 ">
        <w:r w:rsidR="00447AA1">
          <w:rPr>
            <w:noProof/>
          </w:rPr>
          <w:t>7</w:t>
        </w:r>
      </w:fldSimple>
      <w:bookmarkEnd w:id="61"/>
      <w:r w:rsidRPr="00164A79">
        <w:t>:</w:t>
      </w:r>
      <w:r w:rsidRPr="0091233F">
        <w:t xml:space="preserve"> Participants </w:t>
      </w:r>
      <w:r>
        <w:t xml:space="preserve">with Autism </w:t>
      </w:r>
      <w:r w:rsidRPr="0091233F">
        <w:t>as a proportion of Australian population since phase-in date – aged 0 to 64</w:t>
      </w:r>
    </w:p>
    <w:p w14:paraId="78D6934A" w14:textId="77777777" w:rsidR="00D71E73" w:rsidRDefault="00D71E73" w:rsidP="00D71E73">
      <w:pPr>
        <w:pStyle w:val="FSRnormal"/>
      </w:pPr>
      <w:r w:rsidRPr="00E037DC">
        <w:rPr>
          <w:noProof/>
          <w:lang w:eastAsia="en-AU"/>
        </w:rPr>
        <w:drawing>
          <wp:inline distT="0" distB="0" distL="0" distR="0" wp14:anchorId="5E295853" wp14:editId="732E50E7">
            <wp:extent cx="5731510" cy="3107125"/>
            <wp:effectExtent l="0" t="0" r="2540" b="0"/>
            <wp:docPr id="199784934" name="Picture 199784934" descr="Chart shows that participants with Autism in the more mature sites continues to increase above general population growth, and prevalence rates for ages 0 to 64 have thus continued to rise in these regions with little signs of slowing down. " title="Figure 4.7: Participants with Autism as a proportion of Australian population since phase-in date – aged 0 to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3107125"/>
                    </a:xfrm>
                    <a:prstGeom prst="rect">
                      <a:avLst/>
                    </a:prstGeom>
                    <a:noFill/>
                    <a:ln>
                      <a:noFill/>
                    </a:ln>
                  </pic:spPr>
                </pic:pic>
              </a:graphicData>
            </a:graphic>
          </wp:inline>
        </w:drawing>
      </w:r>
    </w:p>
    <w:p w14:paraId="5ADD84D4" w14:textId="77777777" w:rsidR="0098613C" w:rsidRPr="00940E06" w:rsidRDefault="0098613C" w:rsidP="0098613C">
      <w:pPr>
        <w:pStyle w:val="FSRHeading5"/>
        <w:rPr>
          <w:color w:val="6A2875"/>
        </w:rPr>
      </w:pPr>
      <w:r>
        <w:t>The number of new entrants to the Scheme is not reducing</w:t>
      </w:r>
    </w:p>
    <w:p w14:paraId="7F3D9819" w14:textId="77777777" w:rsidR="0098613C" w:rsidRDefault="0098613C" w:rsidP="0098613C">
      <w:pPr>
        <w:pStyle w:val="FSRnormal"/>
      </w:pPr>
      <w:r>
        <w:t xml:space="preserve">The two drivers in the growth in the number of participants are the rate of new entrants to the Scheme, and the rate at which participants </w:t>
      </w:r>
      <w:r w:rsidR="00B45898">
        <w:t xml:space="preserve">are </w:t>
      </w:r>
      <w:r>
        <w:t xml:space="preserve">leaving the Scheme or passing away. The rate of new entrants to the Scheme continues to be high. This can be seen in </w:t>
      </w:r>
      <w:r w:rsidRPr="00164A79">
        <w:t xml:space="preserve">Figure </w:t>
      </w:r>
      <w:r>
        <w:rPr>
          <w:noProof/>
        </w:rPr>
        <w:t>4</w:t>
      </w:r>
      <w:r>
        <w:t>.</w:t>
      </w:r>
      <w:r>
        <w:rPr>
          <w:noProof/>
        </w:rPr>
        <w:t>8</w:t>
      </w:r>
      <w:r>
        <w:t xml:space="preserve"> which shows the actual number of new entrants by year, together with the projected number of new entrants in the 20</w:t>
      </w:r>
      <w:r w:rsidR="00DD1B09">
        <w:t>21-</w:t>
      </w:r>
      <w:r>
        <w:t>22 year from the 2020-21 AFSR. This chart shows that the actual number of new entrants in the year ended 30 June 2022 (79,321) only declined marginally compared to the actual number of new entrants in the year ended 30 June 2021 (80,453) and was significantly higher than those projected in the 2020-21 AFSR (72,741).</w:t>
      </w:r>
    </w:p>
    <w:p w14:paraId="7900E42D" w14:textId="77777777" w:rsidR="0098613C" w:rsidRDefault="0098613C" w:rsidP="0098613C">
      <w:pPr>
        <w:pStyle w:val="Figures"/>
      </w:pPr>
      <w:bookmarkStart w:id="62" w:name="_Ref113900096"/>
      <w:r w:rsidRPr="00164A79">
        <w:lastRenderedPageBreak/>
        <w:t xml:space="preserve">Figure </w:t>
      </w:r>
      <w:fldSimple w:instr=" STYLEREF 2 \s ">
        <w:r w:rsidR="00447AA1">
          <w:rPr>
            <w:noProof/>
          </w:rPr>
          <w:t>4</w:t>
        </w:r>
      </w:fldSimple>
      <w:r w:rsidR="00447AA1">
        <w:t>.</w:t>
      </w:r>
      <w:fldSimple w:instr=" SEQ Figure \* ARABIC \s 2 ">
        <w:r w:rsidR="00447AA1">
          <w:rPr>
            <w:noProof/>
          </w:rPr>
          <w:t>8</w:t>
        </w:r>
      </w:fldSimple>
      <w:bookmarkEnd w:id="62"/>
      <w:r w:rsidRPr="00164A79">
        <w:t>:</w:t>
      </w:r>
      <w:r w:rsidRPr="009D2877">
        <w:t xml:space="preserve"> </w:t>
      </w:r>
      <w:r w:rsidR="00390C88" w:rsidRPr="00390C88">
        <w:t>Number of new entrants to the Scheme aged 0 to 64 by financial year</w:t>
      </w:r>
    </w:p>
    <w:p w14:paraId="323E7E2C" w14:textId="77777777" w:rsidR="00E65453" w:rsidRDefault="0000158F" w:rsidP="0098613C">
      <w:pPr>
        <w:pStyle w:val="Figures"/>
      </w:pPr>
      <w:r w:rsidRPr="0000158F">
        <w:rPr>
          <w:noProof/>
          <w:lang w:eastAsia="en-AU"/>
        </w:rPr>
        <w:drawing>
          <wp:inline distT="0" distB="0" distL="0" distR="0" wp14:anchorId="52E290AC" wp14:editId="58D4FFE8">
            <wp:extent cx="5729605" cy="3757930"/>
            <wp:effectExtent l="0" t="0" r="4445" b="0"/>
            <wp:docPr id="234" name="Picture 234" descr="Chart shows actual number of new entrants in each year has been as follows:&#10;2017-18: 85,209; 2018-19: 116,750; 2019-20: 110,731; 2020-21: 80,453; 2021-22: 79,321&#10;The projected number of new entrants for 2021-22 based on the 2020-21 AFSR was 72,741&#10;" title="Figure 4.8: Number of new entrants to the Scheme aged 0 to 64 by financial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29605" cy="3757930"/>
                    </a:xfrm>
                    <a:prstGeom prst="rect">
                      <a:avLst/>
                    </a:prstGeom>
                    <a:noFill/>
                    <a:ln>
                      <a:noFill/>
                    </a:ln>
                  </pic:spPr>
                </pic:pic>
              </a:graphicData>
            </a:graphic>
          </wp:inline>
        </w:drawing>
      </w:r>
    </w:p>
    <w:p w14:paraId="227B2026" w14:textId="77777777" w:rsidR="00433229" w:rsidRPr="000913B0" w:rsidRDefault="00433229" w:rsidP="00433229">
      <w:pPr>
        <w:pStyle w:val="FSRHeading5"/>
      </w:pPr>
      <w:r>
        <w:t>Rates of participants leaving the Scheme have increased due to backlog clearances</w:t>
      </w:r>
    </w:p>
    <w:p w14:paraId="688D1430" w14:textId="77777777" w:rsidR="00433229" w:rsidRPr="00025832" w:rsidRDefault="00433229" w:rsidP="00433229">
      <w:pPr>
        <w:pStyle w:val="FSRnormal"/>
      </w:pPr>
      <w:r w:rsidRPr="00025832">
        <w:t>Within the context of financial sustainability, it is important to understand the emerging experience of participants</w:t>
      </w:r>
      <w:r>
        <w:t xml:space="preserve"> leaving the Scheme</w:t>
      </w:r>
      <w:r w:rsidRPr="00025832">
        <w:t xml:space="preserve">. Participants may </w:t>
      </w:r>
      <w:r>
        <w:t xml:space="preserve">leave </w:t>
      </w:r>
      <w:r w:rsidRPr="00025832">
        <w:t xml:space="preserve">the Scheme for various reasons and are analysed in two categories for projection purposes: </w:t>
      </w:r>
    </w:p>
    <w:p w14:paraId="074C7319" w14:textId="77777777" w:rsidR="00433229" w:rsidRPr="004609D3" w:rsidRDefault="00433229" w:rsidP="00433229">
      <w:pPr>
        <w:pStyle w:val="FSRlist"/>
      </w:pPr>
      <w:r w:rsidRPr="004609D3">
        <w:t xml:space="preserve">Mortality: participants who have </w:t>
      </w:r>
      <w:r>
        <w:t>passed away</w:t>
      </w:r>
      <w:r w:rsidRPr="004609D3">
        <w:t>.</w:t>
      </w:r>
    </w:p>
    <w:p w14:paraId="1AE82AA6" w14:textId="77777777" w:rsidR="00433229" w:rsidRPr="00940E06" w:rsidRDefault="00433229" w:rsidP="00433229">
      <w:pPr>
        <w:pStyle w:val="FSRlist"/>
      </w:pPr>
      <w:r>
        <w:t>Participants leaving the Scheme</w:t>
      </w:r>
      <w:r w:rsidRPr="004609D3">
        <w:t xml:space="preserve">: participants who no longer meet the Scheme’s eligibility </w:t>
      </w:r>
      <w:r w:rsidRPr="00940E06">
        <w:t xml:space="preserve">criteria, have chosen to leave the Scheme of their own accord, or have chosen to move into residential aged care if over the age of 65. </w:t>
      </w:r>
      <w:r>
        <w:t>A proportion of p</w:t>
      </w:r>
      <w:r w:rsidRPr="00940E06">
        <w:t xml:space="preserve">articipants </w:t>
      </w:r>
      <w:r>
        <w:t xml:space="preserve">leaving </w:t>
      </w:r>
      <w:r w:rsidRPr="00940E06">
        <w:t xml:space="preserve">the Scheme was always </w:t>
      </w:r>
      <w:r>
        <w:t xml:space="preserve">expected within </w:t>
      </w:r>
      <w:r w:rsidRPr="00940E06">
        <w:t xml:space="preserve">the original Scheme design, as </w:t>
      </w:r>
      <w:r>
        <w:t xml:space="preserve">one of </w:t>
      </w:r>
      <w:r w:rsidRPr="00940E06">
        <w:t xml:space="preserve">the Scheme’s </w:t>
      </w:r>
      <w:r>
        <w:t xml:space="preserve">objectives </w:t>
      </w:r>
      <w:r w:rsidRPr="00940E06">
        <w:t xml:space="preserve">is that early investment and intervention should lead to capacity building and greater social and economic participation where support from the NDIS is no longer required. </w:t>
      </w:r>
    </w:p>
    <w:p w14:paraId="57B8EE5B" w14:textId="77777777" w:rsidR="00433229" w:rsidRDefault="00270ACD" w:rsidP="00433229">
      <w:pPr>
        <w:pStyle w:val="FSRnormal"/>
      </w:pPr>
      <w:r w:rsidRPr="00164A79">
        <w:t xml:space="preserve">Figure </w:t>
      </w:r>
      <w:r>
        <w:rPr>
          <w:noProof/>
        </w:rPr>
        <w:t>4</w:t>
      </w:r>
      <w:r>
        <w:t>.</w:t>
      </w:r>
      <w:r>
        <w:rPr>
          <w:noProof/>
        </w:rPr>
        <w:t>9</w:t>
      </w:r>
      <w:r>
        <w:t xml:space="preserve"> </w:t>
      </w:r>
      <w:r w:rsidR="00433229" w:rsidRPr="00051EE1">
        <w:t>shows the ex</w:t>
      </w:r>
      <w:r w:rsidR="00433229" w:rsidRPr="00025832">
        <w:t xml:space="preserve">perience </w:t>
      </w:r>
      <w:r w:rsidR="00433229">
        <w:t>of mortality and participants leaving the Scheme in the calendar years of 2019, 2020, 2021 and first half of 2022, compared to long</w:t>
      </w:r>
      <w:r w:rsidR="0066745C">
        <w:t>-</w:t>
      </w:r>
      <w:r w:rsidR="00433229">
        <w:t xml:space="preserve">term expectations from the previous review.  Experience of participants leaving the Scheme was well below expected from 2019 to 2021, due to low number of eligibility reassessments and COVID-19 related restrictions. Resumption of reassessment activities was slow until the first half of 2022, when additional resources were deployed to clear a backlog which had arisen. As a result, the rate of participants leaving the Scheme observed during 2022 has been </w:t>
      </w:r>
      <w:r w:rsidR="00433229">
        <w:lastRenderedPageBreak/>
        <w:t xml:space="preserve">higher and much closer to the </w:t>
      </w:r>
      <w:r w:rsidR="0066745C">
        <w:t>long-term</w:t>
      </w:r>
      <w:r w:rsidR="00433229">
        <w:t xml:space="preserve"> assumption adopted in the previous review. However, this is not expected to continue as the backlog has now been cleared.</w:t>
      </w:r>
    </w:p>
    <w:p w14:paraId="6C9D00E8" w14:textId="77777777" w:rsidR="00433229" w:rsidRDefault="00433229" w:rsidP="00433229">
      <w:pPr>
        <w:pStyle w:val="FSRnormal"/>
      </w:pPr>
      <w:r>
        <w:t xml:space="preserve">Recent </w:t>
      </w:r>
      <w:r w:rsidRPr="00EB5441">
        <w:t>mortality rates</w:t>
      </w:r>
      <w:r>
        <w:t xml:space="preserve"> were </w:t>
      </w:r>
      <w:r w:rsidRPr="00EB5441">
        <w:t xml:space="preserve">slightly higher than expected </w:t>
      </w:r>
      <w:r w:rsidR="00DD1B09">
        <w:t>in the 2020-21 AFSR</w:t>
      </w:r>
      <w:r w:rsidR="00DD1B09" w:rsidRPr="00EB5441">
        <w:t xml:space="preserve"> </w:t>
      </w:r>
      <w:r>
        <w:t xml:space="preserve">at 1.10% </w:t>
      </w:r>
      <w:r w:rsidR="00D067C5">
        <w:t>per annum</w:t>
      </w:r>
      <w:r>
        <w:t xml:space="preserve"> in the six months to 30 June 2022 compared to 0.94% </w:t>
      </w:r>
      <w:r w:rsidR="00D067C5">
        <w:t>per annum</w:t>
      </w:r>
      <w:r>
        <w:t xml:space="preserve"> expected for the calendar year of 2021 (CY2021).</w:t>
      </w:r>
    </w:p>
    <w:p w14:paraId="5E38BB0B" w14:textId="77777777" w:rsidR="00433229" w:rsidRDefault="00433229" w:rsidP="00433229">
      <w:pPr>
        <w:pStyle w:val="Figures"/>
        <w:keepLines/>
      </w:pPr>
      <w:bookmarkStart w:id="63" w:name="_Ref113900215"/>
      <w:r w:rsidRPr="00164A79">
        <w:t xml:space="preserve">Figure </w:t>
      </w:r>
      <w:fldSimple w:instr=" STYLEREF 2 \s ">
        <w:r w:rsidR="00447AA1">
          <w:rPr>
            <w:noProof/>
          </w:rPr>
          <w:t>4</w:t>
        </w:r>
      </w:fldSimple>
      <w:r w:rsidR="00447AA1">
        <w:t>.</w:t>
      </w:r>
      <w:fldSimple w:instr=" SEQ Figure \* ARABIC \s 2 ">
        <w:r w:rsidR="00447AA1">
          <w:rPr>
            <w:noProof/>
          </w:rPr>
          <w:t>9</w:t>
        </w:r>
      </w:fldSimple>
      <w:bookmarkEnd w:id="63"/>
      <w:r w:rsidRPr="00164A79">
        <w:t>:</w:t>
      </w:r>
      <w:r w:rsidRPr="009D2877">
        <w:t xml:space="preserve"> </w:t>
      </w:r>
      <w:r w:rsidRPr="00164A79">
        <w:t>Actual versus expected – rate of mortality and participants leaving the</w:t>
      </w:r>
      <w:r>
        <w:t xml:space="preserve"> </w:t>
      </w:r>
      <w:r w:rsidRPr="00D115DA">
        <w:t>Scheme</w:t>
      </w:r>
    </w:p>
    <w:p w14:paraId="416C6B17" w14:textId="77777777" w:rsidR="00E65453" w:rsidRPr="00EB5441" w:rsidRDefault="00E65453" w:rsidP="00433229">
      <w:pPr>
        <w:pStyle w:val="Figures"/>
        <w:keepLines/>
      </w:pPr>
      <w:r>
        <w:rPr>
          <w:noProof/>
          <w:lang w:eastAsia="en-AU"/>
        </w:rPr>
        <w:drawing>
          <wp:inline distT="0" distB="0" distL="0" distR="0" wp14:anchorId="7E6A56EC" wp14:editId="50958E4D">
            <wp:extent cx="5731200" cy="3813116"/>
            <wp:effectExtent l="0" t="0" r="3175" b="0"/>
            <wp:docPr id="230" name="Picture 230" descr="Graph presents actual versus expected experience, for the proportion of participants leaving the Scheme or passing away. It shows that: &#10;Mortality Experience: Actual (CY2019) 2,762 0.97%; Actual (CY2020) 3,841 0.99%; Actual (CY2021) 4,389 0.94%; Actual (Jan22 - Jun22) 2,827 1.10%; Expected (CY2021, with exposure as at 31 Dec 2021) 4,374 0.94%. &#10;Participants leaving the Scheme: Actual (CY2019) 1,123 0.39%; Actual (CY2020) 2,059 0.53%; Actual (CY2021) 4,483 0.96%; Actual (Jan22 - Jun22) 3,993 1.55%; Expected (CY2021, with exposure as at 31 Dec 2021) 7,991 1.71%. " title="Figure 4.9: Actual versus expected – rate of mortality and participants leaving the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200" cy="3813116"/>
                    </a:xfrm>
                    <a:prstGeom prst="rect">
                      <a:avLst/>
                    </a:prstGeom>
                    <a:noFill/>
                  </pic:spPr>
                </pic:pic>
              </a:graphicData>
            </a:graphic>
          </wp:inline>
        </w:drawing>
      </w:r>
    </w:p>
    <w:p w14:paraId="77551FE1" w14:textId="77777777" w:rsidR="0093332E" w:rsidRPr="004461D2" w:rsidRDefault="00A158DA" w:rsidP="004461D2">
      <w:pPr>
        <w:pStyle w:val="Heading3"/>
        <w:spacing w:before="360"/>
      </w:pPr>
      <w:bookmarkStart w:id="64" w:name="_Toc117543027"/>
      <w:bookmarkStart w:id="65" w:name="_Toc117545521"/>
      <w:bookmarkStart w:id="66" w:name="_Toc117546188"/>
      <w:bookmarkStart w:id="67" w:name="_Toc117574823"/>
      <w:bookmarkStart w:id="68" w:name="_Toc118117660"/>
      <w:bookmarkStart w:id="69" w:name="_Toc118460194"/>
      <w:bookmarkEnd w:id="64"/>
      <w:bookmarkEnd w:id="65"/>
      <w:bookmarkEnd w:id="66"/>
      <w:bookmarkEnd w:id="67"/>
      <w:bookmarkEnd w:id="68"/>
      <w:r w:rsidRPr="004461D2">
        <w:t>Total Scheme e</w:t>
      </w:r>
      <w:r w:rsidR="006C241E" w:rsidRPr="004461D2">
        <w:t>xpense</w:t>
      </w:r>
      <w:bookmarkEnd w:id="69"/>
    </w:p>
    <w:p w14:paraId="17B4E25E" w14:textId="77777777" w:rsidR="00DD13FE" w:rsidRDefault="00DD13FE" w:rsidP="00DD13FE">
      <w:pPr>
        <w:pStyle w:val="FSRHeading5"/>
      </w:pPr>
      <w:r>
        <w:t>Scheme expenses (before operating expenses) for the year were lower than expected, due primarily to COV</w:t>
      </w:r>
      <w:r w:rsidR="005739AF">
        <w:t>I</w:t>
      </w:r>
      <w:r>
        <w:t>D-19</w:t>
      </w:r>
    </w:p>
    <w:p w14:paraId="115CEBB8" w14:textId="77777777" w:rsidR="0093332E" w:rsidRDefault="0093332E" w:rsidP="0093332E">
      <w:pPr>
        <w:pStyle w:val="FSRnormal"/>
      </w:pPr>
      <w:r>
        <w:t>From 1 July 2021 to 30 June 2022, $27.6 billion in</w:t>
      </w:r>
      <w:r w:rsidR="00BD2ABE">
        <w:t xml:space="preserve"> </w:t>
      </w:r>
      <w:r w:rsidR="00FE6A7C">
        <w:t>S</w:t>
      </w:r>
      <w:r w:rsidR="00BD2ABE">
        <w:t>cheme expenses (before operating expenses)</w:t>
      </w:r>
      <w:r>
        <w:t xml:space="preserve"> were </w:t>
      </w:r>
      <w:r w:rsidR="00BD2ABE">
        <w:t xml:space="preserve">incurred </w:t>
      </w:r>
      <w:r>
        <w:t>on a cash basis</w:t>
      </w:r>
      <w:r>
        <w:rPr>
          <w:rStyle w:val="FootnoteReference"/>
          <w:rFonts w:eastAsia="Times New Roman" w:cs="Arial"/>
        </w:rPr>
        <w:footnoteReference w:id="55"/>
      </w:r>
      <w:r>
        <w:t xml:space="preserve"> across all participants. This was $1.2 billion or 4.2% less than the 2020-21 AFSR estimate of $28.8 billion. </w:t>
      </w:r>
      <w:r w:rsidR="00BD2ABE">
        <w:t xml:space="preserve">Scheme expenses (before operating expenses) </w:t>
      </w:r>
      <w:r>
        <w:t>on an accrual basis were $28.6 billion</w:t>
      </w:r>
      <w:r>
        <w:rPr>
          <w:rStyle w:val="FootnoteReference"/>
          <w:rFonts w:eastAsia="Times New Roman" w:cs="Arial"/>
        </w:rPr>
        <w:footnoteReference w:id="56"/>
      </w:r>
      <w:r>
        <w:t>, 2.0</w:t>
      </w:r>
      <w:r w:rsidRPr="00A670C8">
        <w:t>%</w:t>
      </w:r>
      <w:r>
        <w:t xml:space="preserve"> lower than the 2020-21 AFSR estimate of $29.2 billion. </w:t>
      </w:r>
    </w:p>
    <w:p w14:paraId="34CBB4D5" w14:textId="77777777" w:rsidR="0093332E" w:rsidRPr="00127E2F" w:rsidRDefault="0093332E" w:rsidP="0093332E">
      <w:pPr>
        <w:pStyle w:val="FSRnormal"/>
      </w:pPr>
      <w:r w:rsidRPr="338CCB38">
        <w:lastRenderedPageBreak/>
        <w:t xml:space="preserve">The differences between actual and expected </w:t>
      </w:r>
      <w:r w:rsidR="00FE6A7C">
        <w:t>S</w:t>
      </w:r>
      <w:r w:rsidR="00BD2ABE">
        <w:t xml:space="preserve">cheme expenses </w:t>
      </w:r>
      <w:r w:rsidRPr="338CCB38">
        <w:t xml:space="preserve">on a cash basis for 2021-22 by </w:t>
      </w:r>
      <w:r>
        <w:t>disability group</w:t>
      </w:r>
      <w:r w:rsidRPr="338CCB38">
        <w:t xml:space="preserve"> and age are shown in the tables below. Participants with intellectual disability, autism and cerebral palsy had lower than expected payment</w:t>
      </w:r>
      <w:r>
        <w:t>s</w:t>
      </w:r>
      <w:r w:rsidRPr="338CCB38">
        <w:t>, while participants with stroke and other neurological disabilities had higher than expected payments. Participants aged 0 to 14 and 15 to 24 had larger variance in payments than those in older age groups.</w:t>
      </w:r>
    </w:p>
    <w:p w14:paraId="05E511B2" w14:textId="77777777" w:rsidR="0093332E" w:rsidRPr="004461D2" w:rsidRDefault="0093332E" w:rsidP="004461D2">
      <w:pPr>
        <w:pStyle w:val="Tables"/>
      </w:pPr>
      <w:r w:rsidRPr="004461D2">
        <w:t xml:space="preserve">Table </w:t>
      </w:r>
      <w:fldSimple w:instr=" STYLEREF 2 \s ">
        <w:r w:rsidR="00A87896">
          <w:rPr>
            <w:noProof/>
          </w:rPr>
          <w:t>4</w:t>
        </w:r>
      </w:fldSimple>
      <w:r w:rsidR="00A87896">
        <w:t>.</w:t>
      </w:r>
      <w:fldSimple w:instr=" SEQ Table \* ARABIC \s 2 ">
        <w:r w:rsidR="00A87896">
          <w:rPr>
            <w:noProof/>
          </w:rPr>
          <w:t>9</w:t>
        </w:r>
      </w:fldSimple>
      <w:r w:rsidRPr="004461D2">
        <w:rPr>
          <w:rStyle w:val="Strong"/>
          <w:b/>
          <w:bCs/>
        </w:rPr>
        <w:t>: Actual vs Expected Payments by primary disability</w:t>
      </w:r>
      <w:r w:rsidR="00040393">
        <w:rPr>
          <w:rStyle w:val="FootnoteReference"/>
        </w:rPr>
        <w:footnoteReference w:id="57"/>
      </w:r>
    </w:p>
    <w:tbl>
      <w:tblPr>
        <w:tblStyle w:val="FSRtable"/>
        <w:tblW w:w="5000" w:type="pct"/>
        <w:tblInd w:w="0" w:type="dxa"/>
        <w:tblLook w:val="04A0" w:firstRow="1" w:lastRow="0" w:firstColumn="1" w:lastColumn="0" w:noHBand="0" w:noVBand="1"/>
      </w:tblPr>
      <w:tblGrid>
        <w:gridCol w:w="2907"/>
        <w:gridCol w:w="859"/>
        <w:gridCol w:w="1166"/>
        <w:gridCol w:w="1316"/>
        <w:gridCol w:w="1578"/>
        <w:gridCol w:w="1200"/>
      </w:tblGrid>
      <w:tr w:rsidR="008577A5" w:rsidRPr="001B0D3C" w14:paraId="4B4BE7BE" w14:textId="77777777" w:rsidTr="00F830E6">
        <w:trPr>
          <w:cnfStyle w:val="100000000000" w:firstRow="1" w:lastRow="0" w:firstColumn="0" w:lastColumn="0" w:oddVBand="0" w:evenVBand="0" w:oddHBand="0" w:evenHBand="0" w:firstRowFirstColumn="0" w:firstRowLastColumn="0" w:lastRowFirstColumn="0" w:lastRowLastColumn="0"/>
          <w:trHeight w:val="1195"/>
          <w:tblHeader/>
        </w:trPr>
        <w:tc>
          <w:tcPr>
            <w:cnfStyle w:val="001000000000" w:firstRow="0" w:lastRow="0" w:firstColumn="1" w:lastColumn="0" w:oddVBand="0" w:evenVBand="0" w:oddHBand="0" w:evenHBand="0" w:firstRowFirstColumn="0" w:firstRowLastColumn="0" w:lastRowFirstColumn="0" w:lastRowLastColumn="0"/>
            <w:tcW w:w="1610" w:type="pct"/>
            <w:hideMark/>
          </w:tcPr>
          <w:p w14:paraId="3FE483A0" w14:textId="77777777" w:rsidR="008577A5" w:rsidRPr="00252EAF" w:rsidRDefault="008577A5" w:rsidP="008577A5">
            <w:pPr>
              <w:keepNext/>
              <w:rPr>
                <w:rFonts w:eastAsia="Times New Roman"/>
                <w:bCs/>
                <w:color w:val="FFFFFF"/>
                <w:sz w:val="20"/>
                <w:szCs w:val="20"/>
              </w:rPr>
            </w:pPr>
            <w:r w:rsidRPr="00252EAF">
              <w:rPr>
                <w:sz w:val="20"/>
                <w:szCs w:val="20"/>
              </w:rPr>
              <w:t>Primary Disability ($m)</w:t>
            </w:r>
          </w:p>
        </w:tc>
        <w:tc>
          <w:tcPr>
            <w:tcW w:w="476" w:type="pct"/>
            <w:tcBorders>
              <w:top w:val="single" w:sz="4" w:space="0" w:color="FFFFFF" w:themeColor="background1"/>
              <w:bottom w:val="nil"/>
            </w:tcBorders>
            <w:hideMark/>
          </w:tcPr>
          <w:p w14:paraId="3C9A602D" w14:textId="77777777" w:rsidR="008577A5" w:rsidRPr="00252EAF" w:rsidRDefault="008577A5">
            <w:pPr>
              <w:keepNext/>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252EAF">
              <w:rPr>
                <w:rFonts w:eastAsia="Times New Roman"/>
                <w:bCs/>
                <w:color w:val="FFFFFF"/>
                <w:sz w:val="20"/>
                <w:szCs w:val="20"/>
              </w:rPr>
              <w:t xml:space="preserve">Actual </w:t>
            </w:r>
          </w:p>
          <w:p w14:paraId="09686A07" w14:textId="77777777" w:rsidR="008577A5" w:rsidRPr="00252EAF" w:rsidRDefault="008577A5">
            <w:pPr>
              <w:keepNext/>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252EAF">
              <w:rPr>
                <w:rFonts w:eastAsia="Times New Roman"/>
                <w:bCs/>
                <w:color w:val="FFFFFF"/>
                <w:sz w:val="20"/>
                <w:szCs w:val="20"/>
              </w:rPr>
              <w:t>(i)</w:t>
            </w:r>
          </w:p>
        </w:tc>
        <w:tc>
          <w:tcPr>
            <w:tcW w:w="646" w:type="pct"/>
            <w:tcBorders>
              <w:top w:val="single" w:sz="4" w:space="0" w:color="FFFFFF" w:themeColor="background1"/>
              <w:bottom w:val="nil"/>
            </w:tcBorders>
            <w:hideMark/>
          </w:tcPr>
          <w:p w14:paraId="05B8538E" w14:textId="77777777" w:rsidR="008577A5" w:rsidRPr="00252EAF" w:rsidRDefault="008577A5" w:rsidP="008577A5">
            <w:pPr>
              <w:keepNext/>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252EAF">
              <w:rPr>
                <w:rFonts w:eastAsia="Times New Roman"/>
                <w:bCs/>
                <w:color w:val="FFFFFF"/>
                <w:sz w:val="20"/>
                <w:szCs w:val="20"/>
              </w:rPr>
              <w:t xml:space="preserve">Expected </w:t>
            </w:r>
          </w:p>
          <w:p w14:paraId="0B6A2D3B" w14:textId="77777777" w:rsidR="008577A5" w:rsidRPr="00252EAF" w:rsidRDefault="008577A5" w:rsidP="008577A5">
            <w:pPr>
              <w:keepNext/>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252EAF">
              <w:rPr>
                <w:rFonts w:eastAsia="Times New Roman"/>
                <w:bCs/>
                <w:color w:val="FFFFFF"/>
                <w:sz w:val="20"/>
                <w:szCs w:val="20"/>
              </w:rPr>
              <w:t>(ii)</w:t>
            </w:r>
          </w:p>
        </w:tc>
        <w:tc>
          <w:tcPr>
            <w:tcW w:w="729" w:type="pct"/>
            <w:tcBorders>
              <w:top w:val="single" w:sz="4" w:space="0" w:color="FFFFFF" w:themeColor="background1"/>
              <w:bottom w:val="nil"/>
            </w:tcBorders>
            <w:hideMark/>
          </w:tcPr>
          <w:p w14:paraId="0355DE38" w14:textId="77777777" w:rsidR="008577A5" w:rsidRPr="00252EAF" w:rsidRDefault="008577A5" w:rsidP="008577A5">
            <w:pPr>
              <w:keepNext/>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252EAF">
              <w:rPr>
                <w:rFonts w:eastAsia="Times New Roman"/>
                <w:bCs/>
                <w:color w:val="FFFFFF"/>
                <w:sz w:val="20"/>
                <w:szCs w:val="20"/>
              </w:rPr>
              <w:t>Difference ($)</w:t>
            </w:r>
            <w:r w:rsidRPr="00252EAF">
              <w:rPr>
                <w:rFonts w:eastAsia="Times New Roman"/>
                <w:bCs/>
                <w:color w:val="FFFFFF"/>
                <w:sz w:val="20"/>
                <w:szCs w:val="20"/>
              </w:rPr>
              <w:br/>
              <w:t>iii = (i)-(ii)</w:t>
            </w:r>
          </w:p>
        </w:tc>
        <w:tc>
          <w:tcPr>
            <w:tcW w:w="874" w:type="pct"/>
            <w:tcBorders>
              <w:top w:val="single" w:sz="4" w:space="0" w:color="FFFFFF" w:themeColor="background1"/>
              <w:bottom w:val="nil"/>
            </w:tcBorders>
            <w:hideMark/>
          </w:tcPr>
          <w:p w14:paraId="103ABD26" w14:textId="77777777" w:rsidR="008577A5" w:rsidRPr="00252EAF" w:rsidRDefault="008577A5" w:rsidP="008577A5">
            <w:pPr>
              <w:keepNext/>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252EAF">
              <w:rPr>
                <w:rFonts w:eastAsia="Times New Roman"/>
                <w:bCs/>
                <w:color w:val="FFFFFF"/>
                <w:sz w:val="20"/>
                <w:szCs w:val="20"/>
              </w:rPr>
              <w:t>Difference (%)</w:t>
            </w:r>
            <w:r w:rsidRPr="00252EAF">
              <w:rPr>
                <w:rFonts w:eastAsia="Times New Roman"/>
                <w:bCs/>
                <w:color w:val="FFFFFF"/>
                <w:sz w:val="20"/>
                <w:szCs w:val="20"/>
              </w:rPr>
              <w:br/>
              <w:t>iv = (i) / (ii) - 1</w:t>
            </w:r>
          </w:p>
        </w:tc>
        <w:tc>
          <w:tcPr>
            <w:tcW w:w="665" w:type="pct"/>
            <w:tcBorders>
              <w:top w:val="single" w:sz="4" w:space="0" w:color="FFFFFF" w:themeColor="background1"/>
              <w:bottom w:val="nil"/>
            </w:tcBorders>
            <w:hideMark/>
          </w:tcPr>
          <w:p w14:paraId="38771420" w14:textId="77777777" w:rsidR="008577A5" w:rsidRPr="00252EAF" w:rsidRDefault="008577A5" w:rsidP="008577A5">
            <w:pPr>
              <w:keepNext/>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252EAF">
              <w:rPr>
                <w:rFonts w:eastAsia="Times New Roman"/>
                <w:bCs/>
                <w:color w:val="FFFFFF"/>
                <w:sz w:val="20"/>
                <w:szCs w:val="20"/>
              </w:rPr>
              <w:t>Scheme Impact             v = iv x share</w:t>
            </w:r>
          </w:p>
        </w:tc>
      </w:tr>
      <w:tr w:rsidR="00D308D5" w:rsidRPr="001B0D3C" w14:paraId="004D83F1" w14:textId="77777777" w:rsidTr="00F830E6">
        <w:trPr>
          <w:trHeight w:val="307"/>
        </w:trPr>
        <w:tc>
          <w:tcPr>
            <w:cnfStyle w:val="001000000000" w:firstRow="0" w:lastRow="0" w:firstColumn="1" w:lastColumn="0" w:oddVBand="0" w:evenVBand="0" w:oddHBand="0" w:evenHBand="0" w:firstRowFirstColumn="0" w:firstRowLastColumn="0" w:lastRowFirstColumn="0" w:lastRowLastColumn="0"/>
            <w:tcW w:w="1610" w:type="pct"/>
            <w:noWrap/>
            <w:hideMark/>
          </w:tcPr>
          <w:p w14:paraId="3A062EE1" w14:textId="77777777" w:rsidR="008577A5" w:rsidRPr="00252EAF" w:rsidRDefault="008577A5" w:rsidP="008577A5">
            <w:pPr>
              <w:keepNext/>
              <w:spacing w:after="0"/>
              <w:rPr>
                <w:rFonts w:eastAsia="Times New Roman" w:cs="Arial"/>
                <w:color w:val="000000"/>
                <w:sz w:val="20"/>
                <w:szCs w:val="20"/>
              </w:rPr>
            </w:pPr>
            <w:r w:rsidRPr="00252EAF">
              <w:rPr>
                <w:rFonts w:eastAsia="Times New Roman" w:cs="Arial"/>
                <w:color w:val="000000"/>
                <w:sz w:val="20"/>
                <w:szCs w:val="20"/>
              </w:rPr>
              <w:t>Intellectual Disability</w:t>
            </w:r>
          </w:p>
        </w:tc>
        <w:tc>
          <w:tcPr>
            <w:tcW w:w="476" w:type="pct"/>
            <w:tcBorders>
              <w:top w:val="nil"/>
            </w:tcBorders>
            <w:noWrap/>
            <w:hideMark/>
          </w:tcPr>
          <w:p w14:paraId="1A4132D3" w14:textId="77777777" w:rsidR="008577A5" w:rsidRPr="00252EAF" w:rsidRDefault="008577A5" w:rsidP="008577A5">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8,279</w:t>
            </w:r>
          </w:p>
        </w:tc>
        <w:tc>
          <w:tcPr>
            <w:tcW w:w="646" w:type="pct"/>
            <w:tcBorders>
              <w:top w:val="nil"/>
            </w:tcBorders>
            <w:noWrap/>
            <w:hideMark/>
          </w:tcPr>
          <w:p w14:paraId="52478E43" w14:textId="77777777" w:rsidR="008577A5" w:rsidRPr="00252EAF" w:rsidRDefault="008577A5" w:rsidP="008577A5">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8,878</w:t>
            </w:r>
          </w:p>
        </w:tc>
        <w:tc>
          <w:tcPr>
            <w:tcW w:w="729" w:type="pct"/>
            <w:tcBorders>
              <w:top w:val="nil"/>
            </w:tcBorders>
            <w:noWrap/>
            <w:hideMark/>
          </w:tcPr>
          <w:p w14:paraId="1E29705E" w14:textId="77777777" w:rsidR="008577A5" w:rsidRPr="00252EAF" w:rsidRDefault="008577A5" w:rsidP="008577A5">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-599</w:t>
            </w:r>
          </w:p>
        </w:tc>
        <w:tc>
          <w:tcPr>
            <w:tcW w:w="874" w:type="pct"/>
            <w:tcBorders>
              <w:top w:val="nil"/>
            </w:tcBorders>
            <w:noWrap/>
            <w:hideMark/>
          </w:tcPr>
          <w:p w14:paraId="36C87953" w14:textId="77777777" w:rsidR="008577A5" w:rsidRPr="00252EAF" w:rsidRDefault="008577A5" w:rsidP="008577A5">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-6.7%</w:t>
            </w:r>
          </w:p>
        </w:tc>
        <w:tc>
          <w:tcPr>
            <w:tcW w:w="665" w:type="pct"/>
            <w:tcBorders>
              <w:top w:val="nil"/>
            </w:tcBorders>
            <w:noWrap/>
            <w:hideMark/>
          </w:tcPr>
          <w:p w14:paraId="43E34150" w14:textId="77777777" w:rsidR="008577A5" w:rsidRPr="00252EAF" w:rsidRDefault="008577A5" w:rsidP="008577A5">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-2.1%</w:t>
            </w:r>
          </w:p>
        </w:tc>
      </w:tr>
      <w:tr w:rsidR="008577A5" w:rsidRPr="001B0D3C" w14:paraId="662A170A" w14:textId="77777777" w:rsidTr="00F830E6">
        <w:trPr>
          <w:cnfStyle w:val="000000010000" w:firstRow="0" w:lastRow="0" w:firstColumn="0" w:lastColumn="0" w:oddVBand="0" w:evenVBand="0" w:oddHBand="0" w:evenHBand="1"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610" w:type="pct"/>
            <w:noWrap/>
            <w:hideMark/>
          </w:tcPr>
          <w:p w14:paraId="38CB5AEA" w14:textId="77777777" w:rsidR="008577A5" w:rsidRPr="00252EAF" w:rsidRDefault="008577A5" w:rsidP="008577A5">
            <w:pPr>
              <w:keepNext/>
              <w:spacing w:after="0"/>
              <w:rPr>
                <w:rFonts w:eastAsia="Times New Roman" w:cs="Arial"/>
                <w:color w:val="000000"/>
                <w:sz w:val="20"/>
                <w:szCs w:val="20"/>
              </w:rPr>
            </w:pPr>
            <w:r w:rsidRPr="00252EAF">
              <w:rPr>
                <w:rFonts w:eastAsia="Times New Roman" w:cs="Arial"/>
                <w:color w:val="000000"/>
                <w:sz w:val="20"/>
                <w:szCs w:val="20"/>
              </w:rPr>
              <w:t>Autism</w:t>
            </w:r>
          </w:p>
        </w:tc>
        <w:tc>
          <w:tcPr>
            <w:tcW w:w="476" w:type="pct"/>
            <w:noWrap/>
            <w:hideMark/>
          </w:tcPr>
          <w:p w14:paraId="6C6B9CD9" w14:textId="77777777" w:rsidR="008577A5" w:rsidRPr="00252EAF" w:rsidRDefault="008577A5" w:rsidP="008577A5">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5,272</w:t>
            </w:r>
          </w:p>
        </w:tc>
        <w:tc>
          <w:tcPr>
            <w:tcW w:w="646" w:type="pct"/>
            <w:noWrap/>
            <w:hideMark/>
          </w:tcPr>
          <w:p w14:paraId="776D10E3" w14:textId="77777777" w:rsidR="008577A5" w:rsidRPr="00252EAF" w:rsidRDefault="008577A5" w:rsidP="008577A5">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5,856</w:t>
            </w:r>
          </w:p>
        </w:tc>
        <w:tc>
          <w:tcPr>
            <w:tcW w:w="729" w:type="pct"/>
            <w:noWrap/>
            <w:hideMark/>
          </w:tcPr>
          <w:p w14:paraId="2E2DCF93" w14:textId="77777777" w:rsidR="008577A5" w:rsidRPr="00252EAF" w:rsidRDefault="008577A5" w:rsidP="008577A5">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-584</w:t>
            </w:r>
          </w:p>
        </w:tc>
        <w:tc>
          <w:tcPr>
            <w:tcW w:w="874" w:type="pct"/>
            <w:noWrap/>
            <w:hideMark/>
          </w:tcPr>
          <w:p w14:paraId="2E80FEAA" w14:textId="77777777" w:rsidR="008577A5" w:rsidRPr="00252EAF" w:rsidRDefault="008577A5" w:rsidP="008577A5">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-10.0%</w:t>
            </w:r>
          </w:p>
        </w:tc>
        <w:tc>
          <w:tcPr>
            <w:tcW w:w="665" w:type="pct"/>
            <w:noWrap/>
            <w:hideMark/>
          </w:tcPr>
          <w:p w14:paraId="25B68571" w14:textId="77777777" w:rsidR="008577A5" w:rsidRPr="00252EAF" w:rsidRDefault="008577A5" w:rsidP="008577A5">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-2.0%</w:t>
            </w:r>
          </w:p>
        </w:tc>
      </w:tr>
      <w:tr w:rsidR="00D308D5" w:rsidRPr="001B0D3C" w14:paraId="11AED567" w14:textId="77777777" w:rsidTr="00F830E6">
        <w:trPr>
          <w:trHeight w:val="307"/>
        </w:trPr>
        <w:tc>
          <w:tcPr>
            <w:cnfStyle w:val="001000000000" w:firstRow="0" w:lastRow="0" w:firstColumn="1" w:lastColumn="0" w:oddVBand="0" w:evenVBand="0" w:oddHBand="0" w:evenHBand="0" w:firstRowFirstColumn="0" w:firstRowLastColumn="0" w:lastRowFirstColumn="0" w:lastRowLastColumn="0"/>
            <w:tcW w:w="1610" w:type="pct"/>
            <w:noWrap/>
            <w:hideMark/>
          </w:tcPr>
          <w:p w14:paraId="77C2D669" w14:textId="77777777" w:rsidR="008577A5" w:rsidRPr="00252EAF" w:rsidRDefault="008577A5" w:rsidP="008577A5">
            <w:pPr>
              <w:keepNext/>
              <w:spacing w:after="0"/>
              <w:rPr>
                <w:rFonts w:eastAsia="Times New Roman" w:cs="Arial"/>
                <w:color w:val="000000"/>
                <w:sz w:val="20"/>
                <w:szCs w:val="20"/>
              </w:rPr>
            </w:pPr>
            <w:r w:rsidRPr="00252EAF">
              <w:rPr>
                <w:rFonts w:eastAsia="Times New Roman" w:cs="Arial"/>
                <w:color w:val="000000"/>
                <w:sz w:val="20"/>
                <w:szCs w:val="20"/>
              </w:rPr>
              <w:t>Cerebral Palsy</w:t>
            </w:r>
          </w:p>
        </w:tc>
        <w:tc>
          <w:tcPr>
            <w:tcW w:w="476" w:type="pct"/>
            <w:noWrap/>
            <w:hideMark/>
          </w:tcPr>
          <w:p w14:paraId="08A87D0C" w14:textId="77777777" w:rsidR="008577A5" w:rsidRPr="00252EAF" w:rsidRDefault="008577A5" w:rsidP="008577A5">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2,116</w:t>
            </w:r>
          </w:p>
        </w:tc>
        <w:tc>
          <w:tcPr>
            <w:tcW w:w="646" w:type="pct"/>
            <w:noWrap/>
            <w:hideMark/>
          </w:tcPr>
          <w:p w14:paraId="42D1F56C" w14:textId="77777777" w:rsidR="008577A5" w:rsidRPr="00252EAF" w:rsidRDefault="008577A5" w:rsidP="008577A5">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2,274</w:t>
            </w:r>
          </w:p>
        </w:tc>
        <w:tc>
          <w:tcPr>
            <w:tcW w:w="729" w:type="pct"/>
            <w:noWrap/>
            <w:hideMark/>
          </w:tcPr>
          <w:p w14:paraId="0BC115B1" w14:textId="77777777" w:rsidR="008577A5" w:rsidRPr="00252EAF" w:rsidRDefault="008577A5" w:rsidP="008577A5">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-159</w:t>
            </w:r>
          </w:p>
        </w:tc>
        <w:tc>
          <w:tcPr>
            <w:tcW w:w="874" w:type="pct"/>
            <w:noWrap/>
            <w:hideMark/>
          </w:tcPr>
          <w:p w14:paraId="0969D888" w14:textId="77777777" w:rsidR="008577A5" w:rsidRPr="00252EAF" w:rsidRDefault="008577A5" w:rsidP="008577A5">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-7.0%</w:t>
            </w:r>
          </w:p>
        </w:tc>
        <w:tc>
          <w:tcPr>
            <w:tcW w:w="665" w:type="pct"/>
            <w:noWrap/>
            <w:hideMark/>
          </w:tcPr>
          <w:p w14:paraId="3CA499D8" w14:textId="77777777" w:rsidR="008577A5" w:rsidRPr="00252EAF" w:rsidRDefault="008577A5" w:rsidP="008577A5">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-0.6%</w:t>
            </w:r>
          </w:p>
        </w:tc>
      </w:tr>
      <w:tr w:rsidR="008577A5" w:rsidRPr="001B0D3C" w14:paraId="3E6030F3" w14:textId="77777777" w:rsidTr="00F830E6">
        <w:trPr>
          <w:cnfStyle w:val="000000010000" w:firstRow="0" w:lastRow="0" w:firstColumn="0" w:lastColumn="0" w:oddVBand="0" w:evenVBand="0" w:oddHBand="0" w:evenHBand="1"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610" w:type="pct"/>
            <w:noWrap/>
            <w:hideMark/>
          </w:tcPr>
          <w:p w14:paraId="7B3D9367" w14:textId="77777777" w:rsidR="008577A5" w:rsidRPr="00252EAF" w:rsidRDefault="008577A5" w:rsidP="008577A5">
            <w:pPr>
              <w:keepNext/>
              <w:spacing w:after="0"/>
              <w:rPr>
                <w:rFonts w:eastAsia="Times New Roman" w:cs="Arial"/>
                <w:color w:val="000000"/>
                <w:sz w:val="20"/>
                <w:szCs w:val="20"/>
              </w:rPr>
            </w:pPr>
            <w:r w:rsidRPr="00252EAF">
              <w:rPr>
                <w:rFonts w:eastAsia="Times New Roman" w:cs="Arial"/>
                <w:color w:val="000000"/>
                <w:sz w:val="20"/>
                <w:szCs w:val="20"/>
              </w:rPr>
              <w:t>Other Neurological</w:t>
            </w:r>
          </w:p>
        </w:tc>
        <w:tc>
          <w:tcPr>
            <w:tcW w:w="476" w:type="pct"/>
            <w:noWrap/>
            <w:hideMark/>
          </w:tcPr>
          <w:p w14:paraId="044CBF19" w14:textId="77777777" w:rsidR="008577A5" w:rsidRPr="00252EAF" w:rsidRDefault="008577A5" w:rsidP="008577A5">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2,132</w:t>
            </w:r>
          </w:p>
        </w:tc>
        <w:tc>
          <w:tcPr>
            <w:tcW w:w="646" w:type="pct"/>
            <w:noWrap/>
            <w:hideMark/>
          </w:tcPr>
          <w:p w14:paraId="0F4BCC1F" w14:textId="77777777" w:rsidR="008577A5" w:rsidRPr="00252EAF" w:rsidRDefault="008577A5" w:rsidP="008577A5">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2,060</w:t>
            </w:r>
          </w:p>
        </w:tc>
        <w:tc>
          <w:tcPr>
            <w:tcW w:w="729" w:type="pct"/>
            <w:noWrap/>
            <w:hideMark/>
          </w:tcPr>
          <w:p w14:paraId="69E270EA" w14:textId="77777777" w:rsidR="008577A5" w:rsidRPr="00252EAF" w:rsidRDefault="008577A5" w:rsidP="008577A5">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72</w:t>
            </w:r>
          </w:p>
        </w:tc>
        <w:tc>
          <w:tcPr>
            <w:tcW w:w="874" w:type="pct"/>
            <w:noWrap/>
            <w:hideMark/>
          </w:tcPr>
          <w:p w14:paraId="2F12AEEE" w14:textId="77777777" w:rsidR="008577A5" w:rsidRPr="00252EAF" w:rsidRDefault="008577A5" w:rsidP="008577A5">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3.5%</w:t>
            </w:r>
          </w:p>
        </w:tc>
        <w:tc>
          <w:tcPr>
            <w:tcW w:w="665" w:type="pct"/>
            <w:noWrap/>
            <w:hideMark/>
          </w:tcPr>
          <w:p w14:paraId="7ACDA5D7" w14:textId="77777777" w:rsidR="008577A5" w:rsidRPr="00252EAF" w:rsidRDefault="008577A5" w:rsidP="008577A5">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0.2%</w:t>
            </w:r>
          </w:p>
        </w:tc>
      </w:tr>
      <w:tr w:rsidR="00D308D5" w:rsidRPr="001B0D3C" w14:paraId="56669832" w14:textId="77777777" w:rsidTr="00F830E6">
        <w:trPr>
          <w:trHeight w:val="307"/>
        </w:trPr>
        <w:tc>
          <w:tcPr>
            <w:cnfStyle w:val="001000000000" w:firstRow="0" w:lastRow="0" w:firstColumn="1" w:lastColumn="0" w:oddVBand="0" w:evenVBand="0" w:oddHBand="0" w:evenHBand="0" w:firstRowFirstColumn="0" w:firstRowLastColumn="0" w:lastRowFirstColumn="0" w:lastRowLastColumn="0"/>
            <w:tcW w:w="1610" w:type="pct"/>
            <w:noWrap/>
            <w:hideMark/>
          </w:tcPr>
          <w:p w14:paraId="0B42C042" w14:textId="77777777" w:rsidR="008577A5" w:rsidRPr="00252EAF" w:rsidRDefault="008577A5" w:rsidP="008577A5">
            <w:pPr>
              <w:keepNext/>
              <w:spacing w:after="0"/>
              <w:rPr>
                <w:rFonts w:eastAsia="Times New Roman" w:cs="Arial"/>
                <w:color w:val="000000"/>
                <w:sz w:val="20"/>
                <w:szCs w:val="20"/>
              </w:rPr>
            </w:pPr>
            <w:r w:rsidRPr="00252EAF">
              <w:rPr>
                <w:rFonts w:eastAsia="Times New Roman" w:cs="Arial"/>
                <w:color w:val="000000"/>
                <w:sz w:val="20"/>
                <w:szCs w:val="20"/>
              </w:rPr>
              <w:t>Stroke</w:t>
            </w:r>
          </w:p>
        </w:tc>
        <w:tc>
          <w:tcPr>
            <w:tcW w:w="476" w:type="pct"/>
            <w:noWrap/>
            <w:hideMark/>
          </w:tcPr>
          <w:p w14:paraId="1AD65F9F" w14:textId="77777777" w:rsidR="008577A5" w:rsidRPr="00252EAF" w:rsidRDefault="008577A5" w:rsidP="008577A5">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777</w:t>
            </w:r>
          </w:p>
        </w:tc>
        <w:tc>
          <w:tcPr>
            <w:tcW w:w="646" w:type="pct"/>
            <w:noWrap/>
            <w:hideMark/>
          </w:tcPr>
          <w:p w14:paraId="2D1F20B8" w14:textId="77777777" w:rsidR="008577A5" w:rsidRPr="00252EAF" w:rsidRDefault="008577A5" w:rsidP="008577A5">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713</w:t>
            </w:r>
          </w:p>
        </w:tc>
        <w:tc>
          <w:tcPr>
            <w:tcW w:w="729" w:type="pct"/>
            <w:noWrap/>
            <w:hideMark/>
          </w:tcPr>
          <w:p w14:paraId="1E36F109" w14:textId="77777777" w:rsidR="008577A5" w:rsidRPr="00252EAF" w:rsidRDefault="008577A5" w:rsidP="008577A5">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64</w:t>
            </w:r>
          </w:p>
        </w:tc>
        <w:tc>
          <w:tcPr>
            <w:tcW w:w="874" w:type="pct"/>
            <w:noWrap/>
            <w:hideMark/>
          </w:tcPr>
          <w:p w14:paraId="3CC9B6F8" w14:textId="77777777" w:rsidR="008577A5" w:rsidRPr="00252EAF" w:rsidRDefault="008577A5" w:rsidP="008577A5">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9.0%</w:t>
            </w:r>
          </w:p>
        </w:tc>
        <w:tc>
          <w:tcPr>
            <w:tcW w:w="665" w:type="pct"/>
            <w:noWrap/>
            <w:hideMark/>
          </w:tcPr>
          <w:p w14:paraId="217D13A0" w14:textId="77777777" w:rsidR="008577A5" w:rsidRPr="00252EAF" w:rsidRDefault="008577A5" w:rsidP="008577A5">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0.2%</w:t>
            </w:r>
          </w:p>
        </w:tc>
      </w:tr>
      <w:tr w:rsidR="001257D5" w:rsidRPr="001B0D3C" w14:paraId="106F9A1D" w14:textId="77777777" w:rsidTr="00F830E6">
        <w:trPr>
          <w:cnfStyle w:val="000000010000" w:firstRow="0" w:lastRow="0" w:firstColumn="0" w:lastColumn="0" w:oddVBand="0" w:evenVBand="0" w:oddHBand="0" w:evenHBand="1"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610" w:type="pct"/>
            <w:tcBorders>
              <w:bottom w:val="single" w:sz="4" w:space="0" w:color="auto"/>
            </w:tcBorders>
            <w:noWrap/>
          </w:tcPr>
          <w:p w14:paraId="38E9A369" w14:textId="77777777" w:rsidR="008577A5" w:rsidRPr="00252EAF" w:rsidRDefault="008577A5" w:rsidP="008577A5">
            <w:pPr>
              <w:keepNext/>
              <w:spacing w:after="0"/>
              <w:rPr>
                <w:rFonts w:eastAsia="Times New Roman" w:cs="Arial"/>
                <w:color w:val="000000"/>
                <w:sz w:val="20"/>
                <w:szCs w:val="20"/>
              </w:rPr>
            </w:pPr>
            <w:r w:rsidRPr="00252EAF">
              <w:rPr>
                <w:rFonts w:eastAsia="Times New Roman" w:cs="Arial"/>
                <w:color w:val="000000"/>
                <w:sz w:val="20"/>
                <w:szCs w:val="20"/>
              </w:rPr>
              <w:t>Others</w:t>
            </w:r>
          </w:p>
        </w:tc>
        <w:tc>
          <w:tcPr>
            <w:tcW w:w="476" w:type="pct"/>
            <w:tcBorders>
              <w:bottom w:val="single" w:sz="4" w:space="0" w:color="auto"/>
            </w:tcBorders>
            <w:noWrap/>
          </w:tcPr>
          <w:p w14:paraId="762EC689" w14:textId="77777777" w:rsidR="008577A5" w:rsidRPr="00252EAF" w:rsidRDefault="008577A5" w:rsidP="008577A5">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9,051</w:t>
            </w:r>
          </w:p>
        </w:tc>
        <w:tc>
          <w:tcPr>
            <w:tcW w:w="646" w:type="pct"/>
            <w:tcBorders>
              <w:bottom w:val="single" w:sz="4" w:space="0" w:color="auto"/>
            </w:tcBorders>
            <w:noWrap/>
          </w:tcPr>
          <w:p w14:paraId="7B837C56" w14:textId="77777777" w:rsidR="008577A5" w:rsidRPr="00252EAF" w:rsidRDefault="008577A5" w:rsidP="008577A5">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9,050</w:t>
            </w:r>
          </w:p>
        </w:tc>
        <w:tc>
          <w:tcPr>
            <w:tcW w:w="729" w:type="pct"/>
            <w:tcBorders>
              <w:bottom w:val="single" w:sz="4" w:space="0" w:color="auto"/>
            </w:tcBorders>
            <w:noWrap/>
          </w:tcPr>
          <w:p w14:paraId="7E45F822" w14:textId="77777777" w:rsidR="008577A5" w:rsidRPr="00252EAF" w:rsidRDefault="008577A5" w:rsidP="008577A5">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1</w:t>
            </w:r>
          </w:p>
        </w:tc>
        <w:tc>
          <w:tcPr>
            <w:tcW w:w="874" w:type="pct"/>
            <w:tcBorders>
              <w:bottom w:val="single" w:sz="4" w:space="0" w:color="auto"/>
            </w:tcBorders>
            <w:noWrap/>
          </w:tcPr>
          <w:p w14:paraId="5D4D2B28" w14:textId="77777777" w:rsidR="008577A5" w:rsidRPr="00252EAF" w:rsidRDefault="008577A5" w:rsidP="008577A5">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0.0%</w:t>
            </w:r>
          </w:p>
        </w:tc>
        <w:tc>
          <w:tcPr>
            <w:tcW w:w="665" w:type="pct"/>
            <w:tcBorders>
              <w:bottom w:val="single" w:sz="4" w:space="0" w:color="auto"/>
            </w:tcBorders>
            <w:noWrap/>
          </w:tcPr>
          <w:p w14:paraId="747D92A4" w14:textId="77777777" w:rsidR="008577A5" w:rsidRPr="00252EAF" w:rsidRDefault="008577A5" w:rsidP="008577A5">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252EAF">
              <w:rPr>
                <w:rFonts w:eastAsia="Times New Roman" w:cs="Arial"/>
                <w:color w:val="000000"/>
                <w:sz w:val="20"/>
                <w:szCs w:val="20"/>
              </w:rPr>
              <w:t>0.0%</w:t>
            </w:r>
          </w:p>
        </w:tc>
      </w:tr>
      <w:tr w:rsidR="00D308D5" w:rsidRPr="001B0D3C" w14:paraId="2C64B630" w14:textId="77777777" w:rsidTr="00F830E6">
        <w:trPr>
          <w:trHeight w:val="245"/>
        </w:trPr>
        <w:tc>
          <w:tcPr>
            <w:cnfStyle w:val="001000000000" w:firstRow="0" w:lastRow="0" w:firstColumn="1" w:lastColumn="0" w:oddVBand="0" w:evenVBand="0" w:oddHBand="0" w:evenHBand="0" w:firstRowFirstColumn="0" w:firstRowLastColumn="0" w:lastRowFirstColumn="0" w:lastRowLastColumn="0"/>
            <w:tcW w:w="1610" w:type="pct"/>
            <w:tcBorders>
              <w:top w:val="single" w:sz="4" w:space="0" w:color="auto"/>
              <w:bottom w:val="single" w:sz="4" w:space="0" w:color="auto"/>
            </w:tcBorders>
            <w:shd w:val="clear" w:color="auto" w:fill="D4C5D7"/>
            <w:noWrap/>
            <w:hideMark/>
          </w:tcPr>
          <w:p w14:paraId="2477F9D1" w14:textId="77777777" w:rsidR="008577A5" w:rsidRPr="00252EAF" w:rsidRDefault="008577A5" w:rsidP="008577A5">
            <w:pPr>
              <w:keepNext/>
              <w:spacing w:before="40" w:after="40"/>
              <w:rPr>
                <w:rFonts w:eastAsia="Times New Roman" w:cs="Arial"/>
                <w:b/>
                <w:bCs/>
                <w:color w:val="000000"/>
                <w:sz w:val="20"/>
                <w:szCs w:val="20"/>
              </w:rPr>
            </w:pPr>
            <w:r w:rsidRPr="00252EAF">
              <w:rPr>
                <w:rFonts w:eastAsia="Times New Roman" w:cs="Arial"/>
                <w:b/>
                <w:bCs/>
                <w:color w:val="000000"/>
                <w:sz w:val="20"/>
                <w:szCs w:val="20"/>
              </w:rPr>
              <w:t>Total</w:t>
            </w:r>
          </w:p>
        </w:tc>
        <w:tc>
          <w:tcPr>
            <w:tcW w:w="476" w:type="pct"/>
            <w:tcBorders>
              <w:top w:val="single" w:sz="4" w:space="0" w:color="auto"/>
              <w:bottom w:val="single" w:sz="4" w:space="0" w:color="auto"/>
            </w:tcBorders>
            <w:shd w:val="clear" w:color="auto" w:fill="D4C5D7"/>
            <w:noWrap/>
            <w:hideMark/>
          </w:tcPr>
          <w:p w14:paraId="29B79201" w14:textId="77777777" w:rsidR="008577A5" w:rsidRPr="00252EAF" w:rsidRDefault="008577A5" w:rsidP="008577A5">
            <w:pPr>
              <w:keepNext/>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252EAF">
              <w:rPr>
                <w:rFonts w:eastAsia="Times New Roman" w:cs="Arial"/>
                <w:b/>
                <w:bCs/>
                <w:color w:val="000000"/>
                <w:sz w:val="20"/>
                <w:szCs w:val="20"/>
              </w:rPr>
              <w:t>27,627</w:t>
            </w:r>
          </w:p>
        </w:tc>
        <w:tc>
          <w:tcPr>
            <w:tcW w:w="646" w:type="pct"/>
            <w:tcBorders>
              <w:top w:val="single" w:sz="4" w:space="0" w:color="auto"/>
              <w:bottom w:val="single" w:sz="4" w:space="0" w:color="auto"/>
            </w:tcBorders>
            <w:shd w:val="clear" w:color="auto" w:fill="D4C5D7"/>
            <w:noWrap/>
            <w:hideMark/>
          </w:tcPr>
          <w:p w14:paraId="02690A5B" w14:textId="77777777" w:rsidR="008577A5" w:rsidRPr="00252EAF" w:rsidRDefault="008577A5" w:rsidP="008577A5">
            <w:pPr>
              <w:keepNext/>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252EAF">
              <w:rPr>
                <w:rFonts w:eastAsia="Times New Roman" w:cs="Arial"/>
                <w:b/>
                <w:bCs/>
                <w:color w:val="000000"/>
                <w:sz w:val="20"/>
                <w:szCs w:val="20"/>
              </w:rPr>
              <w:t>28,831</w:t>
            </w:r>
          </w:p>
        </w:tc>
        <w:tc>
          <w:tcPr>
            <w:tcW w:w="729" w:type="pct"/>
            <w:tcBorders>
              <w:top w:val="single" w:sz="4" w:space="0" w:color="auto"/>
              <w:bottom w:val="single" w:sz="4" w:space="0" w:color="auto"/>
            </w:tcBorders>
            <w:shd w:val="clear" w:color="auto" w:fill="D4C5D7"/>
            <w:noWrap/>
            <w:hideMark/>
          </w:tcPr>
          <w:p w14:paraId="12BEFE4F" w14:textId="77777777" w:rsidR="008577A5" w:rsidRPr="00252EAF" w:rsidRDefault="008577A5" w:rsidP="008577A5">
            <w:pPr>
              <w:keepNext/>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252EAF">
              <w:rPr>
                <w:rFonts w:eastAsia="Times New Roman" w:cs="Arial"/>
                <w:b/>
                <w:bCs/>
                <w:color w:val="000000"/>
                <w:sz w:val="20"/>
                <w:szCs w:val="20"/>
              </w:rPr>
              <w:t>-1,204</w:t>
            </w:r>
          </w:p>
        </w:tc>
        <w:tc>
          <w:tcPr>
            <w:tcW w:w="874" w:type="pct"/>
            <w:tcBorders>
              <w:top w:val="single" w:sz="4" w:space="0" w:color="auto"/>
              <w:bottom w:val="single" w:sz="4" w:space="0" w:color="auto"/>
            </w:tcBorders>
            <w:shd w:val="clear" w:color="auto" w:fill="D4C5D7"/>
            <w:noWrap/>
            <w:hideMark/>
          </w:tcPr>
          <w:p w14:paraId="442EC77C" w14:textId="77777777" w:rsidR="008577A5" w:rsidRPr="00252EAF" w:rsidRDefault="008577A5" w:rsidP="008577A5">
            <w:pPr>
              <w:keepNext/>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252EAF">
              <w:rPr>
                <w:rFonts w:eastAsia="Times New Roman" w:cs="Arial"/>
                <w:b/>
                <w:bCs/>
                <w:color w:val="000000"/>
                <w:sz w:val="20"/>
                <w:szCs w:val="20"/>
              </w:rPr>
              <w:t>-4.2%</w:t>
            </w:r>
          </w:p>
        </w:tc>
        <w:tc>
          <w:tcPr>
            <w:tcW w:w="665" w:type="pct"/>
            <w:tcBorders>
              <w:top w:val="single" w:sz="4" w:space="0" w:color="auto"/>
              <w:bottom w:val="single" w:sz="4" w:space="0" w:color="auto"/>
            </w:tcBorders>
            <w:shd w:val="clear" w:color="auto" w:fill="D4C5D7"/>
            <w:noWrap/>
            <w:hideMark/>
          </w:tcPr>
          <w:p w14:paraId="51A7C606" w14:textId="77777777" w:rsidR="008577A5" w:rsidRPr="00252EAF" w:rsidRDefault="008577A5" w:rsidP="008577A5">
            <w:pPr>
              <w:keepNext/>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252EAF">
              <w:rPr>
                <w:rFonts w:eastAsia="Times New Roman" w:cs="Arial"/>
                <w:b/>
                <w:bCs/>
                <w:color w:val="000000"/>
                <w:sz w:val="20"/>
                <w:szCs w:val="20"/>
              </w:rPr>
              <w:t>-4.2%</w:t>
            </w:r>
          </w:p>
        </w:tc>
      </w:tr>
    </w:tbl>
    <w:p w14:paraId="2EAE1965" w14:textId="77777777" w:rsidR="0093332E" w:rsidRDefault="0093332E" w:rsidP="0093332E">
      <w:pPr>
        <w:pStyle w:val="ListParagraph"/>
        <w:keepNext/>
        <w:keepLines/>
        <w:ind w:left="709"/>
        <w:contextualSpacing w:val="0"/>
        <w:rPr>
          <w:rFonts w:cs="Arial"/>
        </w:rPr>
      </w:pPr>
    </w:p>
    <w:p w14:paraId="6810F5E1" w14:textId="77777777" w:rsidR="0093332E" w:rsidRPr="0037125F" w:rsidRDefault="0093332E" w:rsidP="0093332E">
      <w:pPr>
        <w:pStyle w:val="Tables"/>
      </w:pPr>
      <w:r w:rsidRPr="00072B81">
        <w:t xml:space="preserve">Table </w:t>
      </w:r>
      <w:fldSimple w:instr=" STYLEREF 2 \s ">
        <w:r w:rsidR="00A87896">
          <w:rPr>
            <w:noProof/>
          </w:rPr>
          <w:t>4</w:t>
        </w:r>
      </w:fldSimple>
      <w:r w:rsidR="00A87896">
        <w:t>.</w:t>
      </w:r>
      <w:fldSimple w:instr=" SEQ Table \* ARABIC \s 2 ">
        <w:r w:rsidR="00A87896">
          <w:rPr>
            <w:noProof/>
          </w:rPr>
          <w:t>10</w:t>
        </w:r>
      </w:fldSimple>
      <w:r w:rsidRPr="00252EAF">
        <w:rPr>
          <w:rStyle w:val="Strong"/>
          <w:b/>
        </w:rPr>
        <w:t>:</w:t>
      </w:r>
      <w:r w:rsidRPr="00931A5C">
        <w:t xml:space="preserve"> Actual vs Expected Payments </w:t>
      </w:r>
      <w:r>
        <w:t>by a</w:t>
      </w:r>
      <w:r w:rsidRPr="00931A5C">
        <w:t xml:space="preserve">ge </w:t>
      </w:r>
      <w:r>
        <w:t>g</w:t>
      </w:r>
      <w:r w:rsidRPr="00931A5C">
        <w:t>roup</w:t>
      </w:r>
      <w:r w:rsidR="00040393">
        <w:rPr>
          <w:rStyle w:val="FootnoteReference"/>
        </w:rPr>
        <w:footnoteReference w:id="58"/>
      </w:r>
      <w:r w:rsidRPr="0037125F">
        <w:t xml:space="preserve"> </w:t>
      </w:r>
    </w:p>
    <w:tbl>
      <w:tblPr>
        <w:tblStyle w:val="FSRtable"/>
        <w:tblW w:w="5000" w:type="pct"/>
        <w:tblInd w:w="0" w:type="dxa"/>
        <w:tblLook w:val="04A0" w:firstRow="1" w:lastRow="0" w:firstColumn="1" w:lastColumn="0" w:noHBand="0" w:noVBand="1"/>
      </w:tblPr>
      <w:tblGrid>
        <w:gridCol w:w="2907"/>
        <w:gridCol w:w="990"/>
        <w:gridCol w:w="1112"/>
        <w:gridCol w:w="1363"/>
        <w:gridCol w:w="1506"/>
        <w:gridCol w:w="1148"/>
      </w:tblGrid>
      <w:tr w:rsidR="00E533B3" w:rsidRPr="00725C2C" w14:paraId="68492B8F" w14:textId="77777777" w:rsidTr="00F830E6">
        <w:trPr>
          <w:cnfStyle w:val="100000000000" w:firstRow="1" w:lastRow="0" w:firstColumn="0" w:lastColumn="0" w:oddVBand="0" w:evenVBand="0" w:oddHBand="0" w:evenHBand="0" w:firstRowFirstColumn="0" w:firstRowLastColumn="0" w:lastRowFirstColumn="0" w:lastRowLastColumn="0"/>
          <w:trHeight w:val="366"/>
          <w:tblHeader/>
        </w:trPr>
        <w:tc>
          <w:tcPr>
            <w:cnfStyle w:val="001000000000" w:firstRow="0" w:lastRow="0" w:firstColumn="1" w:lastColumn="0" w:oddVBand="0" w:evenVBand="0" w:oddHBand="0" w:evenHBand="0" w:firstRowFirstColumn="0" w:firstRowLastColumn="0" w:lastRowFirstColumn="0" w:lastRowLastColumn="0"/>
            <w:tcW w:w="1610" w:type="pct"/>
            <w:hideMark/>
          </w:tcPr>
          <w:p w14:paraId="6DB5AFCC" w14:textId="77777777" w:rsidR="0093332E" w:rsidRPr="000072D4" w:rsidRDefault="001E0C52" w:rsidP="008E21F6">
            <w:pPr>
              <w:keepNext/>
              <w:spacing w:after="0"/>
              <w:rPr>
                <w:rFonts w:eastAsia="Times New Roman"/>
                <w:bCs/>
                <w:color w:val="FFFFFF"/>
                <w:sz w:val="20"/>
                <w:szCs w:val="20"/>
              </w:rPr>
            </w:pPr>
            <w:r w:rsidRPr="000072D4">
              <w:rPr>
                <w:rFonts w:eastAsia="Times New Roman"/>
                <w:bCs/>
                <w:color w:val="FFFFFF"/>
                <w:sz w:val="20"/>
                <w:szCs w:val="20"/>
              </w:rPr>
              <w:t>Age Group ($m)</w:t>
            </w:r>
          </w:p>
        </w:tc>
        <w:tc>
          <w:tcPr>
            <w:tcW w:w="548" w:type="pct"/>
            <w:tcBorders>
              <w:top w:val="single" w:sz="4" w:space="0" w:color="FFFFFF" w:themeColor="background1"/>
              <w:bottom w:val="nil"/>
            </w:tcBorders>
            <w:hideMark/>
          </w:tcPr>
          <w:p w14:paraId="6E2616FF" w14:textId="77777777" w:rsidR="0093332E" w:rsidRPr="00E55F75" w:rsidRDefault="0093332E" w:rsidP="008E21F6">
            <w:pPr>
              <w:keepNext/>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E55F75">
              <w:rPr>
                <w:rFonts w:eastAsia="Times New Roman"/>
                <w:color w:val="FFFFFF"/>
                <w:sz w:val="20"/>
                <w:szCs w:val="20"/>
              </w:rPr>
              <w:t>Actual</w:t>
            </w:r>
            <w:r w:rsidRPr="00E55F75">
              <w:rPr>
                <w:rFonts w:eastAsia="Times New Roman"/>
                <w:color w:val="FFFFFF"/>
                <w:sz w:val="20"/>
                <w:szCs w:val="20"/>
              </w:rPr>
              <w:br/>
              <w:t xml:space="preserve"> (i)</w:t>
            </w:r>
          </w:p>
        </w:tc>
        <w:tc>
          <w:tcPr>
            <w:tcW w:w="616" w:type="pct"/>
            <w:tcBorders>
              <w:top w:val="single" w:sz="4" w:space="0" w:color="FFFFFF" w:themeColor="background1"/>
              <w:bottom w:val="nil"/>
            </w:tcBorders>
            <w:hideMark/>
          </w:tcPr>
          <w:p w14:paraId="464D386F" w14:textId="77777777" w:rsidR="0093332E" w:rsidRPr="00E55F75" w:rsidRDefault="0093332E" w:rsidP="008E21F6">
            <w:pPr>
              <w:keepNext/>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E55F75">
              <w:rPr>
                <w:rFonts w:eastAsia="Times New Roman"/>
                <w:bCs/>
                <w:color w:val="FFFFFF"/>
                <w:sz w:val="20"/>
                <w:szCs w:val="20"/>
              </w:rPr>
              <w:t xml:space="preserve">Expected </w:t>
            </w:r>
            <w:r w:rsidRPr="00E55F75">
              <w:rPr>
                <w:rFonts w:eastAsia="Times New Roman"/>
                <w:bCs/>
                <w:color w:val="FFFFFF"/>
                <w:sz w:val="20"/>
                <w:szCs w:val="20"/>
              </w:rPr>
              <w:br/>
              <w:t>(ii)</w:t>
            </w:r>
          </w:p>
        </w:tc>
        <w:tc>
          <w:tcPr>
            <w:tcW w:w="755" w:type="pct"/>
            <w:tcBorders>
              <w:top w:val="single" w:sz="4" w:space="0" w:color="FFFFFF" w:themeColor="background1"/>
              <w:bottom w:val="nil"/>
            </w:tcBorders>
            <w:hideMark/>
          </w:tcPr>
          <w:p w14:paraId="1B7AE7A6" w14:textId="77777777" w:rsidR="0093332E" w:rsidRPr="00E55F75" w:rsidRDefault="0093332E" w:rsidP="008E21F6">
            <w:pPr>
              <w:keepNext/>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E55F75">
              <w:rPr>
                <w:rFonts w:eastAsia="Times New Roman"/>
                <w:bCs/>
                <w:color w:val="FFFFFF"/>
                <w:sz w:val="20"/>
                <w:szCs w:val="20"/>
              </w:rPr>
              <w:t>Difference ($)</w:t>
            </w:r>
            <w:r w:rsidRPr="00E55F75">
              <w:rPr>
                <w:rFonts w:eastAsia="Times New Roman"/>
                <w:bCs/>
                <w:color w:val="FFFFFF"/>
                <w:sz w:val="20"/>
                <w:szCs w:val="20"/>
              </w:rPr>
              <w:br/>
              <w:t>(i)-(ii)</w:t>
            </w:r>
          </w:p>
        </w:tc>
        <w:tc>
          <w:tcPr>
            <w:tcW w:w="834" w:type="pct"/>
            <w:tcBorders>
              <w:top w:val="single" w:sz="4" w:space="0" w:color="FFFFFF" w:themeColor="background1"/>
              <w:bottom w:val="nil"/>
            </w:tcBorders>
            <w:hideMark/>
          </w:tcPr>
          <w:p w14:paraId="55157F4E" w14:textId="77777777" w:rsidR="0093332E" w:rsidRPr="00E55F75" w:rsidRDefault="0093332E" w:rsidP="008E21F6">
            <w:pPr>
              <w:keepNext/>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E55F75">
              <w:rPr>
                <w:rFonts w:eastAsia="Times New Roman"/>
                <w:bCs/>
                <w:color w:val="FFFFFF"/>
                <w:sz w:val="20"/>
                <w:szCs w:val="20"/>
              </w:rPr>
              <w:t>Difference</w:t>
            </w:r>
          </w:p>
          <w:p w14:paraId="34C1AF6C" w14:textId="77777777" w:rsidR="0093332E" w:rsidRPr="00E55F75" w:rsidRDefault="0093332E" w:rsidP="008E21F6">
            <w:pPr>
              <w:keepNext/>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E55F75">
              <w:rPr>
                <w:rFonts w:eastAsia="Times New Roman"/>
                <w:bCs/>
                <w:color w:val="FFFFFF"/>
                <w:sz w:val="20"/>
                <w:szCs w:val="20"/>
              </w:rPr>
              <w:t>(%)</w:t>
            </w:r>
            <w:r w:rsidRPr="00E55F75">
              <w:rPr>
                <w:rFonts w:eastAsia="Times New Roman"/>
                <w:bCs/>
                <w:color w:val="FFFFFF"/>
                <w:sz w:val="20"/>
                <w:szCs w:val="20"/>
              </w:rPr>
              <w:br/>
              <w:t>iv =(i) / (ii) - 1</w:t>
            </w:r>
          </w:p>
        </w:tc>
        <w:tc>
          <w:tcPr>
            <w:tcW w:w="636" w:type="pct"/>
            <w:tcBorders>
              <w:top w:val="single" w:sz="4" w:space="0" w:color="FFFFFF" w:themeColor="background1"/>
              <w:bottom w:val="nil"/>
            </w:tcBorders>
          </w:tcPr>
          <w:p w14:paraId="0573A525" w14:textId="77777777" w:rsidR="0093332E" w:rsidRPr="00E55F75" w:rsidRDefault="0093332E" w:rsidP="008E21F6">
            <w:pPr>
              <w:keepNext/>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E55F75">
              <w:rPr>
                <w:rFonts w:eastAsia="Times New Roman"/>
                <w:bCs/>
                <w:color w:val="FFFFFF"/>
                <w:sz w:val="20"/>
                <w:szCs w:val="20"/>
              </w:rPr>
              <w:t>Scheme</w:t>
            </w:r>
          </w:p>
          <w:p w14:paraId="409326ED" w14:textId="77777777" w:rsidR="0093332E" w:rsidRPr="00E55F75" w:rsidRDefault="0093332E" w:rsidP="008E21F6">
            <w:pPr>
              <w:keepNext/>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E55F75">
              <w:rPr>
                <w:rFonts w:eastAsia="Times New Roman"/>
                <w:bCs/>
                <w:color w:val="FFFFFF"/>
                <w:sz w:val="20"/>
                <w:szCs w:val="20"/>
              </w:rPr>
              <w:t>Impact</w:t>
            </w:r>
            <w:r w:rsidRPr="00E55F75">
              <w:rPr>
                <w:rFonts w:eastAsia="Times New Roman"/>
                <w:bCs/>
                <w:color w:val="FFFFFF"/>
                <w:sz w:val="20"/>
                <w:szCs w:val="20"/>
              </w:rPr>
              <w:br/>
              <w:t>v = iv x share</w:t>
            </w:r>
          </w:p>
        </w:tc>
      </w:tr>
      <w:tr w:rsidR="00E533B3" w:rsidRPr="00725C2C" w14:paraId="49BE4B42" w14:textId="77777777" w:rsidTr="00F830E6">
        <w:trPr>
          <w:trHeight w:val="189"/>
        </w:trPr>
        <w:tc>
          <w:tcPr>
            <w:cnfStyle w:val="001000000000" w:firstRow="0" w:lastRow="0" w:firstColumn="1" w:lastColumn="0" w:oddVBand="0" w:evenVBand="0" w:oddHBand="0" w:evenHBand="0" w:firstRowFirstColumn="0" w:firstRowLastColumn="0" w:lastRowFirstColumn="0" w:lastRowLastColumn="0"/>
            <w:tcW w:w="1610" w:type="pct"/>
            <w:shd w:val="clear" w:color="auto" w:fill="auto"/>
            <w:noWrap/>
            <w:hideMark/>
          </w:tcPr>
          <w:p w14:paraId="5A190881" w14:textId="77777777" w:rsidR="0093332E" w:rsidRPr="00725C2C" w:rsidRDefault="0093332E" w:rsidP="008E21F6">
            <w:pPr>
              <w:keepNext/>
              <w:spacing w:before="40" w:after="40"/>
              <w:rPr>
                <w:rFonts w:eastAsia="Times New Roman" w:cs="Arial"/>
                <w:color w:val="000000"/>
                <w:sz w:val="20"/>
                <w:szCs w:val="20"/>
              </w:rPr>
            </w:pPr>
            <w:r w:rsidRPr="00725C2C">
              <w:rPr>
                <w:rFonts w:eastAsia="Times New Roman" w:cs="Arial"/>
                <w:color w:val="000000"/>
                <w:sz w:val="20"/>
                <w:szCs w:val="20"/>
              </w:rPr>
              <w:t>0 to 14</w:t>
            </w:r>
          </w:p>
        </w:tc>
        <w:tc>
          <w:tcPr>
            <w:tcW w:w="548" w:type="pct"/>
            <w:tcBorders>
              <w:top w:val="nil"/>
            </w:tcBorders>
            <w:shd w:val="clear" w:color="auto" w:fill="auto"/>
            <w:noWrap/>
            <w:hideMark/>
          </w:tcPr>
          <w:p w14:paraId="0D682ADD" w14:textId="77777777" w:rsidR="0093332E" w:rsidRPr="00725C2C" w:rsidRDefault="0093332E" w:rsidP="008E21F6">
            <w:pPr>
              <w:keepNext/>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3,889</w:t>
            </w:r>
          </w:p>
        </w:tc>
        <w:tc>
          <w:tcPr>
            <w:tcW w:w="616" w:type="pct"/>
            <w:tcBorders>
              <w:top w:val="nil"/>
            </w:tcBorders>
            <w:shd w:val="clear" w:color="auto" w:fill="auto"/>
            <w:noWrap/>
            <w:hideMark/>
          </w:tcPr>
          <w:p w14:paraId="70410645" w14:textId="77777777" w:rsidR="0093332E" w:rsidRPr="00725C2C" w:rsidRDefault="0093332E" w:rsidP="008E21F6">
            <w:pPr>
              <w:keepNext/>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4,318</w:t>
            </w:r>
          </w:p>
        </w:tc>
        <w:tc>
          <w:tcPr>
            <w:tcW w:w="755" w:type="pct"/>
            <w:tcBorders>
              <w:top w:val="nil"/>
            </w:tcBorders>
            <w:shd w:val="clear" w:color="auto" w:fill="auto"/>
            <w:noWrap/>
            <w:hideMark/>
          </w:tcPr>
          <w:p w14:paraId="099A88CB" w14:textId="77777777" w:rsidR="0093332E" w:rsidRPr="00725C2C" w:rsidRDefault="0093332E" w:rsidP="008E21F6">
            <w:pPr>
              <w:keepNext/>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-429</w:t>
            </w:r>
          </w:p>
        </w:tc>
        <w:tc>
          <w:tcPr>
            <w:tcW w:w="834" w:type="pct"/>
            <w:tcBorders>
              <w:top w:val="nil"/>
            </w:tcBorders>
            <w:shd w:val="clear" w:color="auto" w:fill="auto"/>
            <w:noWrap/>
            <w:hideMark/>
          </w:tcPr>
          <w:p w14:paraId="087E93D0" w14:textId="77777777" w:rsidR="0093332E" w:rsidRPr="00725C2C" w:rsidRDefault="0093332E" w:rsidP="008E21F6">
            <w:pPr>
              <w:keepNext/>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-9.9%</w:t>
            </w:r>
          </w:p>
        </w:tc>
        <w:tc>
          <w:tcPr>
            <w:tcW w:w="636" w:type="pct"/>
            <w:tcBorders>
              <w:top w:val="nil"/>
            </w:tcBorders>
            <w:shd w:val="clear" w:color="auto" w:fill="auto"/>
          </w:tcPr>
          <w:p w14:paraId="7AF951A6" w14:textId="77777777" w:rsidR="0093332E" w:rsidRPr="00725C2C" w:rsidRDefault="0093332E" w:rsidP="008E21F6">
            <w:pPr>
              <w:keepNext/>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-1.4%</w:t>
            </w:r>
          </w:p>
        </w:tc>
      </w:tr>
      <w:tr w:rsidR="00E533B3" w:rsidRPr="00725C2C" w14:paraId="3F42F750" w14:textId="77777777" w:rsidTr="00F830E6">
        <w:trPr>
          <w:cnfStyle w:val="000000010000" w:firstRow="0" w:lastRow="0" w:firstColumn="0" w:lastColumn="0" w:oddVBand="0" w:evenVBand="0" w:oddHBand="0" w:evenHBand="1"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610" w:type="pct"/>
            <w:noWrap/>
            <w:hideMark/>
          </w:tcPr>
          <w:p w14:paraId="245A09DB" w14:textId="77777777" w:rsidR="0093332E" w:rsidRPr="00725C2C" w:rsidRDefault="0093332E" w:rsidP="008E21F6">
            <w:pPr>
              <w:keepNext/>
              <w:spacing w:before="40" w:after="40"/>
              <w:rPr>
                <w:rFonts w:eastAsia="Times New Roman" w:cs="Arial"/>
                <w:color w:val="000000"/>
                <w:sz w:val="20"/>
                <w:szCs w:val="20"/>
              </w:rPr>
            </w:pPr>
            <w:r w:rsidRPr="00725C2C">
              <w:rPr>
                <w:rFonts w:eastAsia="Times New Roman" w:cs="Arial"/>
                <w:color w:val="000000"/>
                <w:sz w:val="20"/>
                <w:szCs w:val="20"/>
              </w:rPr>
              <w:t>15 to 24</w:t>
            </w:r>
          </w:p>
        </w:tc>
        <w:tc>
          <w:tcPr>
            <w:tcW w:w="548" w:type="pct"/>
            <w:noWrap/>
            <w:hideMark/>
          </w:tcPr>
          <w:p w14:paraId="2D38D919"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4,234</w:t>
            </w:r>
          </w:p>
        </w:tc>
        <w:tc>
          <w:tcPr>
            <w:tcW w:w="616" w:type="pct"/>
            <w:noWrap/>
            <w:hideMark/>
          </w:tcPr>
          <w:p w14:paraId="78ED52F2"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4,715</w:t>
            </w:r>
          </w:p>
        </w:tc>
        <w:tc>
          <w:tcPr>
            <w:tcW w:w="755" w:type="pct"/>
            <w:noWrap/>
            <w:hideMark/>
          </w:tcPr>
          <w:p w14:paraId="4393F6F7"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-481</w:t>
            </w:r>
          </w:p>
        </w:tc>
        <w:tc>
          <w:tcPr>
            <w:tcW w:w="834" w:type="pct"/>
            <w:noWrap/>
            <w:hideMark/>
          </w:tcPr>
          <w:p w14:paraId="1E762EAF"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-10.2%</w:t>
            </w:r>
          </w:p>
        </w:tc>
        <w:tc>
          <w:tcPr>
            <w:tcW w:w="636" w:type="pct"/>
          </w:tcPr>
          <w:p w14:paraId="36E9B7F5"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-1.6%</w:t>
            </w:r>
          </w:p>
        </w:tc>
      </w:tr>
      <w:tr w:rsidR="00E533B3" w:rsidRPr="00725C2C" w14:paraId="6850B931" w14:textId="77777777" w:rsidTr="00F830E6">
        <w:trPr>
          <w:trHeight w:val="189"/>
        </w:trPr>
        <w:tc>
          <w:tcPr>
            <w:cnfStyle w:val="001000000000" w:firstRow="0" w:lastRow="0" w:firstColumn="1" w:lastColumn="0" w:oddVBand="0" w:evenVBand="0" w:oddHBand="0" w:evenHBand="0" w:firstRowFirstColumn="0" w:firstRowLastColumn="0" w:lastRowFirstColumn="0" w:lastRowLastColumn="0"/>
            <w:tcW w:w="1610" w:type="pct"/>
            <w:shd w:val="clear" w:color="auto" w:fill="auto"/>
            <w:noWrap/>
            <w:hideMark/>
          </w:tcPr>
          <w:p w14:paraId="07169294" w14:textId="77777777" w:rsidR="0093332E" w:rsidRPr="00725C2C" w:rsidRDefault="0093332E" w:rsidP="008E21F6">
            <w:pPr>
              <w:keepNext/>
              <w:spacing w:before="40" w:after="40"/>
              <w:rPr>
                <w:rFonts w:eastAsia="Times New Roman" w:cs="Arial"/>
                <w:color w:val="000000"/>
                <w:sz w:val="20"/>
                <w:szCs w:val="20"/>
              </w:rPr>
            </w:pPr>
            <w:r w:rsidRPr="00725C2C">
              <w:rPr>
                <w:rFonts w:eastAsia="Times New Roman" w:cs="Arial"/>
                <w:color w:val="000000"/>
                <w:sz w:val="20"/>
                <w:szCs w:val="20"/>
              </w:rPr>
              <w:t>25 to 64</w:t>
            </w:r>
          </w:p>
        </w:tc>
        <w:tc>
          <w:tcPr>
            <w:tcW w:w="548" w:type="pct"/>
            <w:shd w:val="clear" w:color="auto" w:fill="auto"/>
            <w:noWrap/>
            <w:hideMark/>
          </w:tcPr>
          <w:p w14:paraId="0801FB6E" w14:textId="77777777" w:rsidR="0093332E" w:rsidRPr="00725C2C" w:rsidRDefault="0093332E" w:rsidP="008E21F6">
            <w:pPr>
              <w:keepNext/>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17,619</w:t>
            </w:r>
          </w:p>
        </w:tc>
        <w:tc>
          <w:tcPr>
            <w:tcW w:w="616" w:type="pct"/>
            <w:shd w:val="clear" w:color="auto" w:fill="auto"/>
            <w:noWrap/>
            <w:hideMark/>
          </w:tcPr>
          <w:p w14:paraId="4F175F43" w14:textId="77777777" w:rsidR="0093332E" w:rsidRPr="00725C2C" w:rsidRDefault="0093332E" w:rsidP="008E21F6">
            <w:pPr>
              <w:keepNext/>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17,962</w:t>
            </w:r>
          </w:p>
        </w:tc>
        <w:tc>
          <w:tcPr>
            <w:tcW w:w="755" w:type="pct"/>
            <w:shd w:val="clear" w:color="auto" w:fill="auto"/>
            <w:noWrap/>
            <w:hideMark/>
          </w:tcPr>
          <w:p w14:paraId="4EAE5EF0" w14:textId="77777777" w:rsidR="0093332E" w:rsidRPr="00725C2C" w:rsidRDefault="0093332E" w:rsidP="008E21F6">
            <w:pPr>
              <w:keepNext/>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-343</w:t>
            </w:r>
          </w:p>
        </w:tc>
        <w:tc>
          <w:tcPr>
            <w:tcW w:w="834" w:type="pct"/>
            <w:shd w:val="clear" w:color="auto" w:fill="auto"/>
            <w:noWrap/>
            <w:hideMark/>
          </w:tcPr>
          <w:p w14:paraId="127CEF9D" w14:textId="77777777" w:rsidR="0093332E" w:rsidRPr="00725C2C" w:rsidRDefault="0093332E" w:rsidP="008E21F6">
            <w:pPr>
              <w:keepNext/>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-1.9%</w:t>
            </w:r>
          </w:p>
        </w:tc>
        <w:tc>
          <w:tcPr>
            <w:tcW w:w="636" w:type="pct"/>
            <w:shd w:val="clear" w:color="auto" w:fill="auto"/>
          </w:tcPr>
          <w:p w14:paraId="5E010604" w14:textId="77777777" w:rsidR="0093332E" w:rsidRPr="00725C2C" w:rsidRDefault="0093332E" w:rsidP="008E21F6">
            <w:pPr>
              <w:keepNext/>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-1.0%</w:t>
            </w:r>
          </w:p>
        </w:tc>
      </w:tr>
      <w:tr w:rsidR="00E533B3" w:rsidRPr="00725C2C" w14:paraId="6CEEC21F" w14:textId="77777777" w:rsidTr="00F830E6">
        <w:trPr>
          <w:cnfStyle w:val="000000010000" w:firstRow="0" w:lastRow="0" w:firstColumn="0" w:lastColumn="0" w:oddVBand="0" w:evenVBand="0" w:oddHBand="0" w:evenHBand="1"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610" w:type="pct"/>
            <w:noWrap/>
          </w:tcPr>
          <w:p w14:paraId="7BDD82A9" w14:textId="77777777" w:rsidR="0093332E" w:rsidRPr="00725C2C" w:rsidRDefault="0093332E" w:rsidP="008E21F6">
            <w:pPr>
              <w:keepNext/>
              <w:spacing w:before="40" w:after="40"/>
              <w:rPr>
                <w:rFonts w:eastAsia="Times New Roman" w:cs="Arial"/>
                <w:color w:val="000000"/>
                <w:sz w:val="20"/>
                <w:szCs w:val="20"/>
              </w:rPr>
            </w:pPr>
            <w:r w:rsidRPr="00725C2C">
              <w:rPr>
                <w:rFonts w:eastAsia="Times New Roman" w:cs="Arial"/>
                <w:color w:val="000000"/>
                <w:sz w:val="20"/>
                <w:szCs w:val="20"/>
              </w:rPr>
              <w:t>65+</w:t>
            </w:r>
          </w:p>
        </w:tc>
        <w:tc>
          <w:tcPr>
            <w:tcW w:w="548" w:type="pct"/>
            <w:noWrap/>
          </w:tcPr>
          <w:p w14:paraId="7BEA82E1"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1,778</w:t>
            </w:r>
          </w:p>
        </w:tc>
        <w:tc>
          <w:tcPr>
            <w:tcW w:w="616" w:type="pct"/>
            <w:noWrap/>
          </w:tcPr>
          <w:p w14:paraId="6EABEABF"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1,837</w:t>
            </w:r>
          </w:p>
        </w:tc>
        <w:tc>
          <w:tcPr>
            <w:tcW w:w="755" w:type="pct"/>
            <w:noWrap/>
          </w:tcPr>
          <w:p w14:paraId="545988B6"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-59</w:t>
            </w:r>
          </w:p>
        </w:tc>
        <w:tc>
          <w:tcPr>
            <w:tcW w:w="834" w:type="pct"/>
            <w:noWrap/>
          </w:tcPr>
          <w:p w14:paraId="09DE9A8B"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-3.2%</w:t>
            </w:r>
          </w:p>
        </w:tc>
        <w:tc>
          <w:tcPr>
            <w:tcW w:w="636" w:type="pct"/>
          </w:tcPr>
          <w:p w14:paraId="3BDB739A"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-0.2%</w:t>
            </w:r>
          </w:p>
        </w:tc>
      </w:tr>
      <w:tr w:rsidR="001257D5" w:rsidRPr="00725C2C" w14:paraId="39B54535" w14:textId="77777777" w:rsidTr="00F830E6">
        <w:trPr>
          <w:trHeight w:val="189"/>
        </w:trPr>
        <w:tc>
          <w:tcPr>
            <w:cnfStyle w:val="001000000000" w:firstRow="0" w:lastRow="0" w:firstColumn="1" w:lastColumn="0" w:oddVBand="0" w:evenVBand="0" w:oddHBand="0" w:evenHBand="0" w:firstRowFirstColumn="0" w:firstRowLastColumn="0" w:lastRowFirstColumn="0" w:lastRowLastColumn="0"/>
            <w:tcW w:w="1610" w:type="pct"/>
            <w:tcBorders>
              <w:bottom w:val="single" w:sz="4" w:space="0" w:color="auto"/>
            </w:tcBorders>
            <w:shd w:val="clear" w:color="auto" w:fill="auto"/>
            <w:noWrap/>
            <w:hideMark/>
          </w:tcPr>
          <w:p w14:paraId="1E99FDAC" w14:textId="77777777" w:rsidR="0093332E" w:rsidRPr="00725C2C" w:rsidRDefault="0093332E" w:rsidP="008E21F6">
            <w:pPr>
              <w:keepNext/>
              <w:spacing w:before="40" w:after="40"/>
              <w:rPr>
                <w:rFonts w:eastAsia="Times New Roman" w:cs="Arial"/>
                <w:color w:val="000000"/>
                <w:sz w:val="20"/>
                <w:szCs w:val="20"/>
              </w:rPr>
            </w:pPr>
            <w:r w:rsidRPr="00725C2C">
              <w:rPr>
                <w:rFonts w:eastAsia="Times New Roman" w:cs="Arial"/>
                <w:color w:val="000000"/>
                <w:sz w:val="20"/>
                <w:szCs w:val="20"/>
              </w:rPr>
              <w:t>Missing</w:t>
            </w:r>
          </w:p>
        </w:tc>
        <w:tc>
          <w:tcPr>
            <w:tcW w:w="548" w:type="pct"/>
            <w:tcBorders>
              <w:bottom w:val="single" w:sz="4" w:space="0" w:color="auto"/>
            </w:tcBorders>
            <w:shd w:val="clear" w:color="auto" w:fill="auto"/>
            <w:noWrap/>
            <w:hideMark/>
          </w:tcPr>
          <w:p w14:paraId="14A5843B" w14:textId="77777777" w:rsidR="0093332E" w:rsidRPr="00725C2C" w:rsidRDefault="0093332E" w:rsidP="008E21F6">
            <w:pPr>
              <w:keepNext/>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107</w:t>
            </w:r>
          </w:p>
        </w:tc>
        <w:tc>
          <w:tcPr>
            <w:tcW w:w="616" w:type="pct"/>
            <w:tcBorders>
              <w:bottom w:val="single" w:sz="4" w:space="0" w:color="auto"/>
            </w:tcBorders>
            <w:shd w:val="clear" w:color="auto" w:fill="auto"/>
            <w:noWrap/>
            <w:hideMark/>
          </w:tcPr>
          <w:p w14:paraId="2CCE8F9F" w14:textId="77777777" w:rsidR="0093332E" w:rsidRPr="00725C2C" w:rsidRDefault="0093332E" w:rsidP="008E21F6">
            <w:pPr>
              <w:keepNext/>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0</w:t>
            </w:r>
          </w:p>
        </w:tc>
        <w:tc>
          <w:tcPr>
            <w:tcW w:w="755" w:type="pct"/>
            <w:tcBorders>
              <w:bottom w:val="single" w:sz="4" w:space="0" w:color="auto"/>
            </w:tcBorders>
            <w:shd w:val="clear" w:color="auto" w:fill="auto"/>
            <w:noWrap/>
            <w:hideMark/>
          </w:tcPr>
          <w:p w14:paraId="0B68857B" w14:textId="77777777" w:rsidR="0093332E" w:rsidRPr="00725C2C" w:rsidRDefault="0093332E" w:rsidP="008E21F6">
            <w:pPr>
              <w:keepNext/>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107</w:t>
            </w:r>
          </w:p>
        </w:tc>
        <w:tc>
          <w:tcPr>
            <w:tcW w:w="834" w:type="pct"/>
            <w:tcBorders>
              <w:bottom w:val="single" w:sz="4" w:space="0" w:color="auto"/>
            </w:tcBorders>
            <w:shd w:val="clear" w:color="auto" w:fill="auto"/>
            <w:noWrap/>
            <w:hideMark/>
          </w:tcPr>
          <w:p w14:paraId="43D5746F" w14:textId="77777777" w:rsidR="0093332E" w:rsidRPr="00725C2C" w:rsidRDefault="0093332E" w:rsidP="008E21F6">
            <w:pPr>
              <w:keepNext/>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NA</w:t>
            </w:r>
          </w:p>
        </w:tc>
        <w:tc>
          <w:tcPr>
            <w:tcW w:w="636" w:type="pct"/>
            <w:tcBorders>
              <w:bottom w:val="single" w:sz="4" w:space="0" w:color="auto"/>
            </w:tcBorders>
            <w:shd w:val="clear" w:color="auto" w:fill="auto"/>
          </w:tcPr>
          <w:p w14:paraId="6EE09B5E" w14:textId="77777777" w:rsidR="0093332E" w:rsidRPr="00725C2C" w:rsidRDefault="0093332E" w:rsidP="008E21F6">
            <w:pPr>
              <w:keepNext/>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25C2C">
              <w:rPr>
                <w:rFonts w:eastAsia="Times New Roman" w:cs="Arial"/>
                <w:color w:val="000000"/>
                <w:sz w:val="20"/>
                <w:szCs w:val="20"/>
              </w:rPr>
              <w:t>NA</w:t>
            </w:r>
          </w:p>
        </w:tc>
      </w:tr>
      <w:tr w:rsidR="00E533B3" w:rsidRPr="00725C2C" w14:paraId="61418AB1" w14:textId="77777777" w:rsidTr="00F830E6">
        <w:trPr>
          <w:cnfStyle w:val="000000010000" w:firstRow="0" w:lastRow="0" w:firstColumn="0" w:lastColumn="0" w:oddVBand="0" w:evenVBand="0" w:oddHBand="0" w:evenHBand="1"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1610" w:type="pct"/>
            <w:tcBorders>
              <w:top w:val="single" w:sz="4" w:space="0" w:color="auto"/>
              <w:bottom w:val="single" w:sz="4" w:space="0" w:color="auto"/>
            </w:tcBorders>
            <w:shd w:val="clear" w:color="auto" w:fill="D4C5D7"/>
            <w:noWrap/>
            <w:hideMark/>
          </w:tcPr>
          <w:p w14:paraId="7A2CD6FF" w14:textId="77777777" w:rsidR="0093332E" w:rsidRPr="00725C2C" w:rsidRDefault="0093332E" w:rsidP="008E21F6">
            <w:pPr>
              <w:keepNext/>
              <w:spacing w:before="40" w:after="40"/>
              <w:rPr>
                <w:rFonts w:eastAsia="Times New Roman" w:cs="Arial"/>
                <w:b/>
                <w:bCs/>
                <w:color w:val="000000"/>
                <w:sz w:val="20"/>
                <w:szCs w:val="20"/>
              </w:rPr>
            </w:pPr>
            <w:r w:rsidRPr="00725C2C">
              <w:rPr>
                <w:rFonts w:eastAsia="Times New Roman" w:cs="Arial"/>
                <w:b/>
                <w:bCs/>
                <w:color w:val="000000"/>
                <w:sz w:val="20"/>
                <w:szCs w:val="20"/>
              </w:rPr>
              <w:t>Total</w:t>
            </w:r>
          </w:p>
        </w:tc>
        <w:tc>
          <w:tcPr>
            <w:tcW w:w="548" w:type="pct"/>
            <w:tcBorders>
              <w:top w:val="single" w:sz="4" w:space="0" w:color="auto"/>
              <w:bottom w:val="single" w:sz="4" w:space="0" w:color="auto"/>
            </w:tcBorders>
            <w:shd w:val="clear" w:color="auto" w:fill="D4C5D7"/>
            <w:noWrap/>
            <w:hideMark/>
          </w:tcPr>
          <w:p w14:paraId="2540DF30"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20"/>
                <w:szCs w:val="20"/>
              </w:rPr>
            </w:pPr>
            <w:r w:rsidRPr="00725C2C">
              <w:rPr>
                <w:rFonts w:eastAsia="Times New Roman" w:cs="Arial"/>
                <w:b/>
                <w:bCs/>
                <w:color w:val="000000"/>
                <w:sz w:val="20"/>
                <w:szCs w:val="20"/>
              </w:rPr>
              <w:t>27,627</w:t>
            </w:r>
          </w:p>
        </w:tc>
        <w:tc>
          <w:tcPr>
            <w:tcW w:w="616" w:type="pct"/>
            <w:tcBorders>
              <w:top w:val="single" w:sz="4" w:space="0" w:color="auto"/>
              <w:bottom w:val="single" w:sz="4" w:space="0" w:color="auto"/>
            </w:tcBorders>
            <w:shd w:val="clear" w:color="auto" w:fill="D4C5D7"/>
            <w:noWrap/>
            <w:hideMark/>
          </w:tcPr>
          <w:p w14:paraId="44BEF34D"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20"/>
                <w:szCs w:val="20"/>
              </w:rPr>
            </w:pPr>
            <w:r w:rsidRPr="00725C2C">
              <w:rPr>
                <w:rFonts w:eastAsia="Times New Roman" w:cs="Arial"/>
                <w:b/>
                <w:bCs/>
                <w:color w:val="000000"/>
                <w:sz w:val="20"/>
                <w:szCs w:val="20"/>
              </w:rPr>
              <w:t>28,831</w:t>
            </w:r>
          </w:p>
        </w:tc>
        <w:tc>
          <w:tcPr>
            <w:tcW w:w="755" w:type="pct"/>
            <w:tcBorders>
              <w:top w:val="single" w:sz="4" w:space="0" w:color="auto"/>
              <w:bottom w:val="single" w:sz="4" w:space="0" w:color="auto"/>
            </w:tcBorders>
            <w:shd w:val="clear" w:color="auto" w:fill="D4C5D7"/>
            <w:noWrap/>
            <w:hideMark/>
          </w:tcPr>
          <w:p w14:paraId="6C88BA05"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20"/>
                <w:szCs w:val="20"/>
              </w:rPr>
            </w:pPr>
            <w:r w:rsidRPr="00725C2C">
              <w:rPr>
                <w:rFonts w:eastAsia="Times New Roman" w:cs="Arial"/>
                <w:b/>
                <w:bCs/>
                <w:color w:val="000000"/>
                <w:sz w:val="20"/>
                <w:szCs w:val="20"/>
              </w:rPr>
              <w:t>-1,204</w:t>
            </w:r>
          </w:p>
        </w:tc>
        <w:tc>
          <w:tcPr>
            <w:tcW w:w="834" w:type="pct"/>
            <w:tcBorders>
              <w:top w:val="single" w:sz="4" w:space="0" w:color="auto"/>
              <w:bottom w:val="single" w:sz="4" w:space="0" w:color="auto"/>
            </w:tcBorders>
            <w:shd w:val="clear" w:color="auto" w:fill="D4C5D7"/>
            <w:noWrap/>
            <w:hideMark/>
          </w:tcPr>
          <w:p w14:paraId="545544FB"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20"/>
                <w:szCs w:val="20"/>
              </w:rPr>
            </w:pPr>
            <w:r w:rsidRPr="00725C2C">
              <w:rPr>
                <w:rFonts w:eastAsia="Times New Roman" w:cs="Arial"/>
                <w:b/>
                <w:bCs/>
                <w:color w:val="000000"/>
                <w:sz w:val="20"/>
                <w:szCs w:val="20"/>
              </w:rPr>
              <w:t>-4.2%</w:t>
            </w:r>
          </w:p>
        </w:tc>
        <w:tc>
          <w:tcPr>
            <w:tcW w:w="636" w:type="pct"/>
            <w:tcBorders>
              <w:top w:val="single" w:sz="4" w:space="0" w:color="auto"/>
              <w:bottom w:val="single" w:sz="4" w:space="0" w:color="auto"/>
            </w:tcBorders>
            <w:shd w:val="clear" w:color="auto" w:fill="D4C5D7"/>
          </w:tcPr>
          <w:p w14:paraId="66443210" w14:textId="77777777" w:rsidR="0093332E" w:rsidRPr="00725C2C" w:rsidRDefault="0093332E" w:rsidP="008E21F6">
            <w:pPr>
              <w:keepNext/>
              <w:spacing w:before="40" w:after="40"/>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20"/>
                <w:szCs w:val="20"/>
              </w:rPr>
            </w:pPr>
            <w:r w:rsidRPr="00725C2C">
              <w:rPr>
                <w:rFonts w:eastAsia="Times New Roman" w:cs="Arial"/>
                <w:b/>
                <w:bCs/>
                <w:color w:val="000000"/>
                <w:sz w:val="20"/>
                <w:szCs w:val="20"/>
              </w:rPr>
              <w:t>-4.2%</w:t>
            </w:r>
          </w:p>
        </w:tc>
      </w:tr>
    </w:tbl>
    <w:p w14:paraId="2A72A44F" w14:textId="77777777" w:rsidR="0093332E" w:rsidRPr="00A10DF0" w:rsidRDefault="0093332E" w:rsidP="0093332E">
      <w:pPr>
        <w:pStyle w:val="ListParagraph"/>
        <w:ind w:left="0"/>
        <w:jc w:val="both"/>
        <w:rPr>
          <w:rFonts w:eastAsia="Times New Roman" w:cs="Arial"/>
        </w:rPr>
      </w:pPr>
    </w:p>
    <w:p w14:paraId="0B1635C8" w14:textId="77777777" w:rsidR="0093332E" w:rsidRPr="00A515D8" w:rsidRDefault="0093332E" w:rsidP="0093332E">
      <w:pPr>
        <w:pStyle w:val="ListParagraph"/>
        <w:ind w:left="0"/>
        <w:rPr>
          <w:rStyle w:val="FSRnormalChar"/>
        </w:rPr>
      </w:pPr>
      <w:r w:rsidRPr="00A515D8">
        <w:rPr>
          <w:rStyle w:val="FSRnormalChar"/>
        </w:rPr>
        <w:t xml:space="preserve">The potential drivers of lower than expected payment experience are outlined in subsequent paragraphs. </w:t>
      </w:r>
      <w:r>
        <w:rPr>
          <w:rStyle w:val="FSRnormalChar"/>
        </w:rPr>
        <w:t>In s</w:t>
      </w:r>
      <w:r w:rsidRPr="00A515D8">
        <w:rPr>
          <w:rStyle w:val="FSRnormalChar"/>
        </w:rPr>
        <w:t>ummary, variance</w:t>
      </w:r>
      <w:r>
        <w:rPr>
          <w:rStyle w:val="FSRnormalChar"/>
        </w:rPr>
        <w:t>s</w:t>
      </w:r>
      <w:r w:rsidRPr="00A515D8">
        <w:rPr>
          <w:rStyle w:val="FSRnormalChar"/>
        </w:rPr>
        <w:t xml:space="preserve"> </w:t>
      </w:r>
      <w:r>
        <w:rPr>
          <w:rStyle w:val="FSRnormalChar"/>
        </w:rPr>
        <w:t>over the 202</w:t>
      </w:r>
      <w:r w:rsidR="00557A9E">
        <w:rPr>
          <w:rStyle w:val="FSRnormalChar"/>
        </w:rPr>
        <w:t>1</w:t>
      </w:r>
      <w:r>
        <w:rPr>
          <w:rStyle w:val="FSRnormalChar"/>
        </w:rPr>
        <w:t xml:space="preserve">-22 </w:t>
      </w:r>
      <w:r w:rsidRPr="00A515D8">
        <w:rPr>
          <w:rStyle w:val="FSRnormalChar"/>
        </w:rPr>
        <w:t xml:space="preserve">year </w:t>
      </w:r>
      <w:r>
        <w:rPr>
          <w:rStyle w:val="FSRnormalChar"/>
        </w:rPr>
        <w:t xml:space="preserve">were </w:t>
      </w:r>
      <w:r w:rsidR="009A2547">
        <w:rPr>
          <w:rStyle w:val="FSRnormalChar"/>
        </w:rPr>
        <w:t>driven</w:t>
      </w:r>
      <w:r w:rsidRPr="00A515D8">
        <w:rPr>
          <w:rStyle w:val="FSRnormalChar"/>
        </w:rPr>
        <w:t xml:space="preserve"> by systematic disruptions to demand for and supply of services and, to a lesser extent, lower </w:t>
      </w:r>
      <w:r w:rsidR="00BD2ABE">
        <w:rPr>
          <w:rStyle w:val="FSRnormalChar"/>
        </w:rPr>
        <w:t xml:space="preserve">payment </w:t>
      </w:r>
      <w:r w:rsidRPr="00A515D8">
        <w:rPr>
          <w:rStyle w:val="FSRnormalChar"/>
        </w:rPr>
        <w:t>mix for new entrants and lower number of younger participants in Residential Aged Care.</w:t>
      </w:r>
    </w:p>
    <w:p w14:paraId="6E19ED48" w14:textId="77777777" w:rsidR="0093332E" w:rsidRDefault="0093332E" w:rsidP="0093332E">
      <w:pPr>
        <w:pStyle w:val="FSRHeading4"/>
      </w:pPr>
      <w:r>
        <w:t xml:space="preserve">Drivers of payment variation </w:t>
      </w:r>
      <w:r w:rsidR="009A2547">
        <w:t xml:space="preserve">in </w:t>
      </w:r>
      <w:r>
        <w:t>2021-22</w:t>
      </w:r>
    </w:p>
    <w:p w14:paraId="73B0C2C3" w14:textId="77777777" w:rsidR="0093332E" w:rsidRDefault="004461D2" w:rsidP="0093332E">
      <w:pPr>
        <w:pStyle w:val="FSRnormal"/>
        <w:rPr>
          <w:lang w:val="en-US"/>
        </w:rPr>
      </w:pPr>
      <w:r w:rsidRPr="00164A79">
        <w:t xml:space="preserve">Table </w:t>
      </w:r>
      <w:r>
        <w:rPr>
          <w:noProof/>
        </w:rPr>
        <w:t>4</w:t>
      </w:r>
      <w:r>
        <w:t>.</w:t>
      </w:r>
      <w:r>
        <w:rPr>
          <w:noProof/>
        </w:rPr>
        <w:t>11</w:t>
      </w:r>
      <w:r w:rsidR="0093332E" w:rsidRPr="008D16F5">
        <w:rPr>
          <w:lang w:val="en-US"/>
        </w:rPr>
        <w:t xml:space="preserve"> breaks down the $1.2 billion variance in actual to expected payments (on a cash basis) into the following categories: </w:t>
      </w:r>
    </w:p>
    <w:p w14:paraId="5F2CAA59" w14:textId="77777777" w:rsidR="0093332E" w:rsidRDefault="0093332E" w:rsidP="0093332E">
      <w:pPr>
        <w:pStyle w:val="FSRNumberedList"/>
        <w:rPr>
          <w:lang w:val="en-US"/>
        </w:rPr>
      </w:pPr>
      <w:r w:rsidRPr="00DC5E78">
        <w:rPr>
          <w:lang w:val="en-US"/>
        </w:rPr>
        <w:lastRenderedPageBreak/>
        <w:t>Variance in the number of active participants in the Scheme</w:t>
      </w:r>
    </w:p>
    <w:p w14:paraId="4F900DBE" w14:textId="77777777" w:rsidR="0093332E" w:rsidRDefault="0093332E" w:rsidP="0093332E">
      <w:pPr>
        <w:pStyle w:val="FSRNumberedList"/>
        <w:rPr>
          <w:lang w:val="en-US"/>
        </w:rPr>
      </w:pPr>
      <w:r w:rsidRPr="00DC5E78">
        <w:rPr>
          <w:lang w:val="en-US"/>
        </w:rPr>
        <w:t>Variance in the average annualised payment rates due to:</w:t>
      </w:r>
    </w:p>
    <w:p w14:paraId="646C2410" w14:textId="77777777" w:rsidR="0093332E" w:rsidRDefault="0093332E" w:rsidP="0093332E">
      <w:pPr>
        <w:pStyle w:val="FSRnormal"/>
        <w:numPr>
          <w:ilvl w:val="1"/>
          <w:numId w:val="40"/>
        </w:numPr>
        <w:spacing w:before="0" w:after="0"/>
        <w:rPr>
          <w:lang w:val="en-US"/>
        </w:rPr>
      </w:pPr>
      <w:r w:rsidRPr="00DC5E78">
        <w:rPr>
          <w:lang w:val="en-US"/>
        </w:rPr>
        <w:t>Changes in participant mix</w:t>
      </w:r>
    </w:p>
    <w:p w14:paraId="23B06530" w14:textId="77777777" w:rsidR="0093332E" w:rsidRDefault="0093332E" w:rsidP="0093332E">
      <w:pPr>
        <w:pStyle w:val="FSRnormal"/>
        <w:numPr>
          <w:ilvl w:val="1"/>
          <w:numId w:val="40"/>
        </w:numPr>
        <w:spacing w:before="0" w:after="0"/>
        <w:rPr>
          <w:lang w:val="en-US"/>
        </w:rPr>
      </w:pPr>
      <w:r>
        <w:rPr>
          <w:lang w:val="en-US"/>
        </w:rPr>
        <w:t>Systemic supply and demand impact fo</w:t>
      </w:r>
      <w:r w:rsidRPr="00DC5E78">
        <w:rPr>
          <w:lang w:val="en-US"/>
        </w:rPr>
        <w:t>r disability support services</w:t>
      </w:r>
    </w:p>
    <w:p w14:paraId="4126A114" w14:textId="77777777" w:rsidR="0093332E" w:rsidRPr="00461171" w:rsidRDefault="0093332E" w:rsidP="0093332E">
      <w:pPr>
        <w:pStyle w:val="FSRnormal"/>
        <w:numPr>
          <w:ilvl w:val="1"/>
          <w:numId w:val="40"/>
        </w:numPr>
        <w:spacing w:before="0" w:after="0"/>
        <w:rPr>
          <w:lang w:val="en-US"/>
        </w:rPr>
      </w:pPr>
      <w:r w:rsidRPr="00DC5E78">
        <w:rPr>
          <w:lang w:val="en-US"/>
        </w:rPr>
        <w:t>Provider compliance activities</w:t>
      </w:r>
    </w:p>
    <w:p w14:paraId="01FE506A" w14:textId="77777777" w:rsidR="0093332E" w:rsidRDefault="0093332E" w:rsidP="0093332E">
      <w:pPr>
        <w:pStyle w:val="FSRnormal"/>
        <w:numPr>
          <w:ilvl w:val="1"/>
          <w:numId w:val="40"/>
        </w:numPr>
        <w:spacing w:before="0" w:after="0"/>
        <w:rPr>
          <w:lang w:val="en-US"/>
        </w:rPr>
      </w:pPr>
      <w:r w:rsidRPr="00DC5E78">
        <w:rPr>
          <w:lang w:val="en-US"/>
        </w:rPr>
        <w:t xml:space="preserve">Cross-billing for participants in Residential Aged Care (RAC) </w:t>
      </w:r>
    </w:p>
    <w:p w14:paraId="145FA550" w14:textId="77777777" w:rsidR="0093332E" w:rsidRPr="00DC5E78" w:rsidRDefault="0093332E" w:rsidP="0093332E">
      <w:pPr>
        <w:pStyle w:val="FSRNumberedList"/>
        <w:rPr>
          <w:lang w:val="en-US"/>
        </w:rPr>
      </w:pPr>
      <w:r>
        <w:rPr>
          <w:lang w:val="en-US"/>
        </w:rPr>
        <w:t>Remaining amounts which do not fall into any of the above categories.</w:t>
      </w:r>
    </w:p>
    <w:p w14:paraId="3455A763" w14:textId="77777777" w:rsidR="0093332E" w:rsidRDefault="0093332E" w:rsidP="0093332E">
      <w:pPr>
        <w:pStyle w:val="Tables"/>
      </w:pPr>
      <w:bookmarkStart w:id="70" w:name="_Ref113273028"/>
      <w:r w:rsidRPr="00164A79">
        <w:t xml:space="preserve">Table </w:t>
      </w:r>
      <w:fldSimple w:instr=" STYLEREF 2 \s ">
        <w:r w:rsidR="00A87896">
          <w:rPr>
            <w:noProof/>
          </w:rPr>
          <w:t>4</w:t>
        </w:r>
      </w:fldSimple>
      <w:r w:rsidR="00A87896">
        <w:t>.</w:t>
      </w:r>
      <w:fldSimple w:instr=" SEQ Table \* ARABIC \s 2 ">
        <w:r w:rsidR="00A87896">
          <w:rPr>
            <w:noProof/>
          </w:rPr>
          <w:t>11</w:t>
        </w:r>
      </w:fldSimple>
      <w:bookmarkEnd w:id="70"/>
      <w:r w:rsidRPr="00252EAF">
        <w:rPr>
          <w:rStyle w:val="Strong"/>
          <w:b/>
        </w:rPr>
        <w:t>:</w:t>
      </w:r>
      <w:r w:rsidRPr="00164A79">
        <w:t xml:space="preserve"> </w:t>
      </w:r>
      <w:r w:rsidR="001C3076" w:rsidRPr="00164A79">
        <w:t>Drivers of variation in Scheme expense in 2021-22</w:t>
      </w:r>
    </w:p>
    <w:tbl>
      <w:tblPr>
        <w:tblW w:w="9026" w:type="dxa"/>
        <w:tblLook w:val="04A0" w:firstRow="1" w:lastRow="0" w:firstColumn="1" w:lastColumn="0" w:noHBand="0" w:noVBand="1"/>
      </w:tblPr>
      <w:tblGrid>
        <w:gridCol w:w="5245"/>
        <w:gridCol w:w="2552"/>
        <w:gridCol w:w="1229"/>
      </w:tblGrid>
      <w:tr w:rsidR="00E07C5F" w:rsidRPr="003A191D" w14:paraId="015D20F1" w14:textId="77777777" w:rsidTr="00E07C5F">
        <w:trPr>
          <w:trHeight w:val="397"/>
        </w:trPr>
        <w:tc>
          <w:tcPr>
            <w:tcW w:w="5245" w:type="dxa"/>
            <w:shd w:val="clear" w:color="000000" w:fill="6B2976"/>
            <w:vAlign w:val="center"/>
            <w:hideMark/>
          </w:tcPr>
          <w:p w14:paraId="550349B8" w14:textId="77777777" w:rsidR="00E07C5F" w:rsidRPr="003A191D" w:rsidRDefault="00E07C5F" w:rsidP="00E07C5F">
            <w:pPr>
              <w:spacing w:after="0" w:line="240" w:lineRule="auto"/>
              <w:rPr>
                <w:rFonts w:eastAsia="Times New Roman" w:cs="Arial"/>
                <w:b/>
                <w:color w:val="FFFFFF"/>
                <w:sz w:val="20"/>
                <w:szCs w:val="20"/>
                <w:lang w:eastAsia="en-AU"/>
              </w:rPr>
            </w:pPr>
            <w:r w:rsidRPr="003A191D">
              <w:rPr>
                <w:rFonts w:eastAsia="Times New Roman" w:cs="Arial"/>
                <w:b/>
                <w:color w:val="FFFFFF"/>
                <w:sz w:val="20"/>
                <w:szCs w:val="20"/>
                <w:lang w:eastAsia="en-AU"/>
              </w:rPr>
              <w:t xml:space="preserve">Drivers of variation </w:t>
            </w:r>
          </w:p>
        </w:tc>
        <w:tc>
          <w:tcPr>
            <w:tcW w:w="2552" w:type="dxa"/>
            <w:shd w:val="clear" w:color="000000" w:fill="6B2976"/>
            <w:vAlign w:val="center"/>
          </w:tcPr>
          <w:p w14:paraId="7A2FFFFE" w14:textId="77777777" w:rsidR="00E07C5F" w:rsidRDefault="00E07C5F" w:rsidP="00E07C5F">
            <w:pPr>
              <w:spacing w:after="0" w:line="240" w:lineRule="auto"/>
              <w:jc w:val="right"/>
              <w:rPr>
                <w:rFonts w:eastAsia="Times New Roman" w:cs="Arial"/>
                <w:b/>
                <w:color w:val="FFFFFF"/>
                <w:sz w:val="20"/>
                <w:szCs w:val="20"/>
                <w:lang w:eastAsia="en-AU"/>
              </w:rPr>
            </w:pPr>
            <w:r>
              <w:rPr>
                <w:rFonts w:eastAsia="Times New Roman" w:cs="Arial"/>
                <w:b/>
                <w:color w:val="FFFFFF"/>
                <w:sz w:val="20"/>
                <w:szCs w:val="20"/>
                <w:lang w:eastAsia="en-AU"/>
              </w:rPr>
              <w:t xml:space="preserve">Estimated </w:t>
            </w:r>
          </w:p>
          <w:p w14:paraId="1E7C9F8C" w14:textId="77777777" w:rsidR="00E07C5F" w:rsidRPr="003A191D" w:rsidRDefault="00E07C5F" w:rsidP="00E07C5F">
            <w:pPr>
              <w:spacing w:after="0" w:line="240" w:lineRule="auto"/>
              <w:jc w:val="right"/>
              <w:rPr>
                <w:rFonts w:eastAsia="Times New Roman" w:cs="Arial"/>
                <w:b/>
                <w:color w:val="FFFFFF"/>
                <w:sz w:val="20"/>
                <w:szCs w:val="20"/>
                <w:lang w:eastAsia="en-AU"/>
              </w:rPr>
            </w:pPr>
            <w:r>
              <w:rPr>
                <w:rFonts w:eastAsia="Times New Roman" w:cs="Arial"/>
                <w:b/>
                <w:color w:val="FFFFFF"/>
                <w:sz w:val="20"/>
                <w:szCs w:val="20"/>
                <w:lang w:eastAsia="en-AU"/>
              </w:rPr>
              <w:t>Impact ($m)</w:t>
            </w:r>
          </w:p>
        </w:tc>
        <w:tc>
          <w:tcPr>
            <w:tcW w:w="1229" w:type="dxa"/>
            <w:shd w:val="clear" w:color="000000" w:fill="6B2976"/>
          </w:tcPr>
          <w:p w14:paraId="2E018378" w14:textId="77777777" w:rsidR="00E07C5F" w:rsidRDefault="00E07C5F" w:rsidP="00E07C5F">
            <w:pPr>
              <w:spacing w:after="0" w:line="240" w:lineRule="auto"/>
              <w:jc w:val="right"/>
              <w:rPr>
                <w:rFonts w:eastAsia="Times New Roman" w:cs="Arial"/>
                <w:b/>
                <w:color w:val="FFFFFF"/>
                <w:sz w:val="20"/>
                <w:szCs w:val="20"/>
                <w:lang w:eastAsia="en-AU"/>
              </w:rPr>
            </w:pPr>
            <w:r>
              <w:rPr>
                <w:rFonts w:eastAsia="Times New Roman" w:cs="Arial"/>
                <w:b/>
                <w:color w:val="FFFFFF"/>
                <w:sz w:val="20"/>
                <w:szCs w:val="20"/>
                <w:lang w:eastAsia="en-AU"/>
              </w:rPr>
              <w:t xml:space="preserve">Estimated </w:t>
            </w:r>
          </w:p>
          <w:p w14:paraId="0B1D629F" w14:textId="77777777" w:rsidR="00E07C5F" w:rsidRDefault="00E07C5F" w:rsidP="00E07C5F">
            <w:pPr>
              <w:spacing w:after="0" w:line="240" w:lineRule="auto"/>
              <w:jc w:val="right"/>
              <w:rPr>
                <w:rFonts w:eastAsia="Times New Roman" w:cs="Arial"/>
                <w:b/>
                <w:color w:val="FFFFFF"/>
                <w:sz w:val="20"/>
                <w:szCs w:val="20"/>
                <w:lang w:eastAsia="en-AU"/>
              </w:rPr>
            </w:pPr>
            <w:r>
              <w:rPr>
                <w:rFonts w:eastAsia="Times New Roman" w:cs="Arial"/>
                <w:b/>
                <w:color w:val="FFFFFF"/>
                <w:sz w:val="20"/>
                <w:szCs w:val="20"/>
                <w:lang w:eastAsia="en-AU"/>
              </w:rPr>
              <w:t>Impact (%)</w:t>
            </w:r>
          </w:p>
        </w:tc>
      </w:tr>
      <w:tr w:rsidR="00E07C5F" w:rsidRPr="003A191D" w14:paraId="1B162B0E" w14:textId="77777777" w:rsidTr="00E07C5F">
        <w:trPr>
          <w:trHeight w:val="301"/>
        </w:trPr>
        <w:tc>
          <w:tcPr>
            <w:tcW w:w="5245" w:type="dxa"/>
            <w:shd w:val="clear" w:color="auto" w:fill="auto"/>
            <w:noWrap/>
            <w:vAlign w:val="center"/>
            <w:hideMark/>
          </w:tcPr>
          <w:p w14:paraId="6CC57359" w14:textId="77777777" w:rsidR="00E07C5F" w:rsidRPr="003A191D" w:rsidRDefault="00E07C5F" w:rsidP="00E07C5F">
            <w:pPr>
              <w:spacing w:after="0" w:line="240" w:lineRule="auto"/>
              <w:rPr>
                <w:rFonts w:eastAsia="Times New Roman" w:cs="Arial"/>
                <w:color w:val="000000"/>
                <w:sz w:val="20"/>
                <w:szCs w:val="20"/>
                <w:lang w:eastAsia="en-AU"/>
              </w:rPr>
            </w:pPr>
            <w:r w:rsidRPr="003A191D">
              <w:rPr>
                <w:rFonts w:eastAsia="Times New Roman" w:cs="Arial"/>
                <w:color w:val="000000"/>
                <w:sz w:val="20"/>
                <w:szCs w:val="20"/>
                <w:lang w:eastAsia="en-AU"/>
              </w:rPr>
              <w:t>Participant numbers</w:t>
            </w:r>
          </w:p>
        </w:tc>
        <w:tc>
          <w:tcPr>
            <w:tcW w:w="2552" w:type="dxa"/>
            <w:shd w:val="clear" w:color="auto" w:fill="auto"/>
            <w:noWrap/>
            <w:vAlign w:val="center"/>
            <w:hideMark/>
          </w:tcPr>
          <w:p w14:paraId="6DE70734" w14:textId="77777777" w:rsidR="00E07C5F" w:rsidRPr="003A191D" w:rsidRDefault="00E07C5F" w:rsidP="00E07C5F">
            <w:pPr>
              <w:spacing w:after="0" w:line="240" w:lineRule="auto"/>
              <w:jc w:val="right"/>
              <w:rPr>
                <w:rFonts w:eastAsia="Times New Roman" w:cs="Arial"/>
                <w:color w:val="000000"/>
                <w:sz w:val="20"/>
                <w:szCs w:val="20"/>
                <w:lang w:eastAsia="en-AU"/>
              </w:rPr>
            </w:pPr>
            <w:r w:rsidRPr="003A191D">
              <w:rPr>
                <w:rFonts w:eastAsia="Times New Roman" w:cs="Arial"/>
                <w:color w:val="000000"/>
                <w:sz w:val="20"/>
                <w:szCs w:val="20"/>
                <w:lang w:eastAsia="en-AU"/>
              </w:rPr>
              <w:t xml:space="preserve">+15 </w:t>
            </w:r>
          </w:p>
        </w:tc>
        <w:tc>
          <w:tcPr>
            <w:tcW w:w="1229" w:type="dxa"/>
          </w:tcPr>
          <w:p w14:paraId="530C5498" w14:textId="77777777" w:rsidR="00E07C5F" w:rsidRPr="003A191D" w:rsidRDefault="00E07C5F" w:rsidP="00E07C5F">
            <w:pPr>
              <w:spacing w:after="0" w:line="240" w:lineRule="auto"/>
              <w:jc w:val="right"/>
              <w:rPr>
                <w:rFonts w:eastAsia="Times New Roman" w:cs="Arial"/>
                <w:color w:val="000000"/>
                <w:sz w:val="20"/>
                <w:szCs w:val="20"/>
                <w:lang w:eastAsia="en-AU"/>
              </w:rPr>
            </w:pPr>
            <w:r>
              <w:rPr>
                <w:rFonts w:eastAsia="Times New Roman" w:cs="Arial"/>
                <w:color w:val="000000"/>
                <w:sz w:val="20"/>
                <w:szCs w:val="20"/>
                <w:lang w:eastAsia="en-AU"/>
              </w:rPr>
              <w:t>-1%</w:t>
            </w:r>
          </w:p>
        </w:tc>
      </w:tr>
      <w:tr w:rsidR="00E07C5F" w:rsidRPr="003A191D" w14:paraId="49F4E677" w14:textId="77777777" w:rsidTr="00F830E6">
        <w:trPr>
          <w:trHeight w:val="301"/>
        </w:trPr>
        <w:tc>
          <w:tcPr>
            <w:tcW w:w="5245" w:type="dxa"/>
            <w:shd w:val="clear" w:color="auto" w:fill="BFBFBF" w:themeFill="background1" w:themeFillShade="BF"/>
            <w:noWrap/>
            <w:vAlign w:val="center"/>
            <w:hideMark/>
          </w:tcPr>
          <w:p w14:paraId="3C7E77C7" w14:textId="77777777" w:rsidR="00E07C5F" w:rsidRPr="003A191D" w:rsidRDefault="00E07C5F" w:rsidP="00E07C5F">
            <w:pPr>
              <w:spacing w:after="0" w:line="240" w:lineRule="auto"/>
              <w:rPr>
                <w:rFonts w:eastAsia="Times New Roman" w:cs="Arial"/>
                <w:color w:val="000000"/>
                <w:sz w:val="20"/>
                <w:szCs w:val="20"/>
                <w:lang w:eastAsia="en-AU"/>
              </w:rPr>
            </w:pPr>
            <w:r w:rsidRPr="003A191D">
              <w:rPr>
                <w:rFonts w:eastAsia="Times New Roman" w:cs="Arial"/>
                <w:color w:val="000000"/>
                <w:sz w:val="20"/>
                <w:szCs w:val="20"/>
                <w:lang w:eastAsia="en-AU"/>
              </w:rPr>
              <w:t>Participant mix</w:t>
            </w:r>
          </w:p>
        </w:tc>
        <w:tc>
          <w:tcPr>
            <w:tcW w:w="2552" w:type="dxa"/>
            <w:shd w:val="clear" w:color="auto" w:fill="BFBFBF" w:themeFill="background1" w:themeFillShade="BF"/>
            <w:noWrap/>
            <w:vAlign w:val="center"/>
            <w:hideMark/>
          </w:tcPr>
          <w:p w14:paraId="5AC5CFE7" w14:textId="77777777" w:rsidR="00E07C5F" w:rsidRPr="003A191D" w:rsidRDefault="00E07C5F" w:rsidP="00E07C5F">
            <w:pPr>
              <w:spacing w:after="0" w:line="240" w:lineRule="auto"/>
              <w:jc w:val="right"/>
              <w:rPr>
                <w:rFonts w:eastAsia="Times New Roman" w:cs="Arial"/>
                <w:color w:val="000000"/>
                <w:sz w:val="20"/>
                <w:szCs w:val="20"/>
                <w:lang w:eastAsia="en-AU"/>
              </w:rPr>
            </w:pPr>
            <w:r w:rsidRPr="003A191D">
              <w:rPr>
                <w:rFonts w:eastAsia="Times New Roman" w:cs="Arial"/>
                <w:color w:val="000000"/>
                <w:sz w:val="20"/>
                <w:szCs w:val="20"/>
                <w:lang w:eastAsia="en-AU"/>
              </w:rPr>
              <w:t xml:space="preserve">-126 </w:t>
            </w:r>
          </w:p>
        </w:tc>
        <w:tc>
          <w:tcPr>
            <w:tcW w:w="1229" w:type="dxa"/>
            <w:shd w:val="clear" w:color="auto" w:fill="BFBFBF" w:themeFill="background1" w:themeFillShade="BF"/>
          </w:tcPr>
          <w:p w14:paraId="71C5BD1D" w14:textId="77777777" w:rsidR="00E07C5F" w:rsidRPr="003A191D" w:rsidRDefault="00E07C5F" w:rsidP="00E07C5F">
            <w:pPr>
              <w:spacing w:after="0" w:line="240" w:lineRule="auto"/>
              <w:jc w:val="right"/>
              <w:rPr>
                <w:rFonts w:eastAsia="Times New Roman" w:cs="Arial"/>
                <w:color w:val="000000"/>
                <w:sz w:val="20"/>
                <w:szCs w:val="20"/>
                <w:lang w:eastAsia="en-AU"/>
              </w:rPr>
            </w:pPr>
            <w:r>
              <w:rPr>
                <w:rFonts w:eastAsia="Times New Roman" w:cs="Arial"/>
                <w:color w:val="000000"/>
                <w:sz w:val="20"/>
                <w:szCs w:val="20"/>
                <w:lang w:eastAsia="en-AU"/>
              </w:rPr>
              <w:t>10%</w:t>
            </w:r>
          </w:p>
        </w:tc>
      </w:tr>
      <w:tr w:rsidR="00E07C5F" w:rsidRPr="003A191D" w14:paraId="79C7DAF5" w14:textId="77777777" w:rsidTr="00E07C5F">
        <w:trPr>
          <w:trHeight w:val="301"/>
        </w:trPr>
        <w:tc>
          <w:tcPr>
            <w:tcW w:w="5245" w:type="dxa"/>
            <w:shd w:val="clear" w:color="auto" w:fill="auto"/>
            <w:noWrap/>
            <w:vAlign w:val="center"/>
            <w:hideMark/>
          </w:tcPr>
          <w:p w14:paraId="533A307B" w14:textId="77777777" w:rsidR="00E07C5F" w:rsidRPr="003A191D" w:rsidRDefault="00E07C5F" w:rsidP="00E07C5F">
            <w:pPr>
              <w:spacing w:after="0" w:line="240" w:lineRule="auto"/>
              <w:rPr>
                <w:rFonts w:eastAsia="Times New Roman" w:cs="Arial"/>
                <w:color w:val="000000"/>
                <w:sz w:val="20"/>
                <w:szCs w:val="20"/>
                <w:lang w:eastAsia="en-AU"/>
              </w:rPr>
            </w:pPr>
            <w:r w:rsidRPr="003A191D">
              <w:rPr>
                <w:rFonts w:eastAsia="Times New Roman" w:cs="Arial"/>
                <w:color w:val="000000"/>
                <w:sz w:val="20"/>
                <w:szCs w:val="20"/>
                <w:lang w:eastAsia="en-AU"/>
              </w:rPr>
              <w:t>Systematic supply and demand impacts</w:t>
            </w:r>
          </w:p>
        </w:tc>
        <w:tc>
          <w:tcPr>
            <w:tcW w:w="2552" w:type="dxa"/>
            <w:shd w:val="clear" w:color="auto" w:fill="auto"/>
            <w:noWrap/>
            <w:vAlign w:val="center"/>
            <w:hideMark/>
          </w:tcPr>
          <w:p w14:paraId="7A62C2EF" w14:textId="77777777" w:rsidR="00E07C5F" w:rsidRPr="003A191D" w:rsidRDefault="00E07C5F" w:rsidP="00E07C5F">
            <w:pPr>
              <w:spacing w:after="0" w:line="240" w:lineRule="auto"/>
              <w:jc w:val="right"/>
              <w:rPr>
                <w:rFonts w:eastAsia="Times New Roman" w:cs="Arial"/>
                <w:color w:val="000000"/>
                <w:sz w:val="20"/>
                <w:szCs w:val="20"/>
                <w:lang w:eastAsia="en-AU"/>
              </w:rPr>
            </w:pPr>
            <w:r w:rsidRPr="003A191D">
              <w:rPr>
                <w:rFonts w:eastAsia="Times New Roman" w:cs="Arial"/>
                <w:color w:val="000000"/>
                <w:sz w:val="20"/>
                <w:szCs w:val="20"/>
                <w:lang w:eastAsia="en-AU"/>
              </w:rPr>
              <w:t>-</w:t>
            </w:r>
            <w:r>
              <w:rPr>
                <w:rFonts w:eastAsia="Times New Roman" w:cs="Arial"/>
                <w:color w:val="000000"/>
                <w:sz w:val="20"/>
                <w:szCs w:val="20"/>
                <w:lang w:eastAsia="en-AU"/>
              </w:rPr>
              <w:t>440</w:t>
            </w:r>
            <w:r w:rsidRPr="003A191D">
              <w:rPr>
                <w:rFonts w:eastAsia="Times New Roman" w:cs="Arial"/>
                <w:color w:val="000000"/>
                <w:sz w:val="20"/>
                <w:szCs w:val="20"/>
                <w:lang w:eastAsia="en-AU"/>
              </w:rPr>
              <w:t xml:space="preserve"> </w:t>
            </w:r>
          </w:p>
        </w:tc>
        <w:tc>
          <w:tcPr>
            <w:tcW w:w="1229" w:type="dxa"/>
          </w:tcPr>
          <w:p w14:paraId="39DD4C60" w14:textId="77777777" w:rsidR="00E07C5F" w:rsidRPr="003A191D" w:rsidRDefault="00E07C5F" w:rsidP="00E07C5F">
            <w:pPr>
              <w:spacing w:after="0" w:line="240" w:lineRule="auto"/>
              <w:jc w:val="right"/>
              <w:rPr>
                <w:rFonts w:eastAsia="Times New Roman" w:cs="Arial"/>
                <w:color w:val="000000"/>
                <w:sz w:val="20"/>
                <w:szCs w:val="20"/>
                <w:lang w:eastAsia="en-AU"/>
              </w:rPr>
            </w:pPr>
            <w:r>
              <w:rPr>
                <w:rFonts w:eastAsia="Times New Roman" w:cs="Arial"/>
                <w:color w:val="000000"/>
                <w:sz w:val="20"/>
                <w:szCs w:val="20"/>
                <w:lang w:eastAsia="en-AU"/>
              </w:rPr>
              <w:t>37%</w:t>
            </w:r>
          </w:p>
        </w:tc>
      </w:tr>
      <w:tr w:rsidR="00E07C5F" w:rsidRPr="003A191D" w14:paraId="55E7312C" w14:textId="77777777" w:rsidTr="00F830E6">
        <w:trPr>
          <w:trHeight w:val="301"/>
        </w:trPr>
        <w:tc>
          <w:tcPr>
            <w:tcW w:w="5245" w:type="dxa"/>
            <w:shd w:val="clear" w:color="auto" w:fill="BFBFBF" w:themeFill="background1" w:themeFillShade="BF"/>
            <w:noWrap/>
            <w:vAlign w:val="center"/>
            <w:hideMark/>
          </w:tcPr>
          <w:p w14:paraId="0327F247" w14:textId="77777777" w:rsidR="00E07C5F" w:rsidRPr="003A191D" w:rsidRDefault="00E07C5F" w:rsidP="00E07C5F">
            <w:pPr>
              <w:spacing w:after="0" w:line="240" w:lineRule="auto"/>
              <w:rPr>
                <w:rFonts w:eastAsia="Times New Roman" w:cs="Arial"/>
                <w:color w:val="000000"/>
                <w:sz w:val="20"/>
                <w:szCs w:val="20"/>
                <w:lang w:eastAsia="en-AU"/>
              </w:rPr>
            </w:pPr>
            <w:r w:rsidRPr="003A191D">
              <w:rPr>
                <w:rFonts w:eastAsia="Times New Roman" w:cs="Arial"/>
                <w:color w:val="000000"/>
                <w:sz w:val="20"/>
                <w:szCs w:val="20"/>
                <w:lang w:eastAsia="en-AU"/>
              </w:rPr>
              <w:t>Provider compliance</w:t>
            </w:r>
          </w:p>
        </w:tc>
        <w:tc>
          <w:tcPr>
            <w:tcW w:w="2552" w:type="dxa"/>
            <w:shd w:val="clear" w:color="auto" w:fill="BFBFBF" w:themeFill="background1" w:themeFillShade="BF"/>
            <w:noWrap/>
            <w:vAlign w:val="center"/>
            <w:hideMark/>
          </w:tcPr>
          <w:p w14:paraId="2E863847" w14:textId="77777777" w:rsidR="00E07C5F" w:rsidRPr="003A191D" w:rsidRDefault="00E07C5F" w:rsidP="00E07C5F">
            <w:pPr>
              <w:spacing w:after="0" w:line="240" w:lineRule="auto"/>
              <w:jc w:val="right"/>
              <w:rPr>
                <w:rFonts w:eastAsia="Times New Roman" w:cs="Arial"/>
                <w:color w:val="000000"/>
                <w:sz w:val="20"/>
                <w:szCs w:val="20"/>
                <w:lang w:eastAsia="en-AU"/>
              </w:rPr>
            </w:pPr>
            <w:r w:rsidRPr="003A191D">
              <w:rPr>
                <w:rFonts w:eastAsia="Times New Roman" w:cs="Arial"/>
                <w:color w:val="000000"/>
                <w:sz w:val="20"/>
                <w:szCs w:val="20"/>
                <w:lang w:eastAsia="en-AU"/>
              </w:rPr>
              <w:t xml:space="preserve">-65 </w:t>
            </w:r>
          </w:p>
        </w:tc>
        <w:tc>
          <w:tcPr>
            <w:tcW w:w="1229" w:type="dxa"/>
            <w:shd w:val="clear" w:color="auto" w:fill="BFBFBF" w:themeFill="background1" w:themeFillShade="BF"/>
          </w:tcPr>
          <w:p w14:paraId="6E29D542" w14:textId="77777777" w:rsidR="00E07C5F" w:rsidRPr="003A191D" w:rsidRDefault="00E07C5F" w:rsidP="00E07C5F">
            <w:pPr>
              <w:spacing w:after="0" w:line="240" w:lineRule="auto"/>
              <w:jc w:val="right"/>
              <w:rPr>
                <w:rFonts w:eastAsia="Times New Roman" w:cs="Arial"/>
                <w:color w:val="000000"/>
                <w:sz w:val="20"/>
                <w:szCs w:val="20"/>
                <w:lang w:eastAsia="en-AU"/>
              </w:rPr>
            </w:pPr>
            <w:r>
              <w:rPr>
                <w:rFonts w:eastAsia="Times New Roman" w:cs="Arial"/>
                <w:color w:val="000000"/>
                <w:sz w:val="20"/>
                <w:szCs w:val="20"/>
                <w:lang w:eastAsia="en-AU"/>
              </w:rPr>
              <w:t>5%</w:t>
            </w:r>
          </w:p>
        </w:tc>
      </w:tr>
      <w:tr w:rsidR="00E07C5F" w:rsidRPr="003A191D" w14:paraId="71F8ABBA" w14:textId="77777777" w:rsidTr="00E07C5F">
        <w:trPr>
          <w:trHeight w:val="301"/>
        </w:trPr>
        <w:tc>
          <w:tcPr>
            <w:tcW w:w="5245" w:type="dxa"/>
            <w:shd w:val="clear" w:color="auto" w:fill="auto"/>
            <w:noWrap/>
            <w:vAlign w:val="center"/>
            <w:hideMark/>
          </w:tcPr>
          <w:p w14:paraId="215649EA" w14:textId="77777777" w:rsidR="00E07C5F" w:rsidRPr="003A191D" w:rsidRDefault="00E07C5F" w:rsidP="00E07C5F">
            <w:pPr>
              <w:spacing w:after="0" w:line="240" w:lineRule="auto"/>
              <w:rPr>
                <w:rFonts w:eastAsia="Times New Roman" w:cs="Arial"/>
                <w:color w:val="000000"/>
                <w:sz w:val="20"/>
                <w:szCs w:val="20"/>
                <w:lang w:eastAsia="en-AU"/>
              </w:rPr>
            </w:pPr>
            <w:r w:rsidRPr="003A191D">
              <w:rPr>
                <w:rFonts w:eastAsia="Times New Roman" w:cs="Arial"/>
                <w:color w:val="000000"/>
                <w:sz w:val="20"/>
                <w:szCs w:val="20"/>
                <w:lang w:eastAsia="en-AU"/>
              </w:rPr>
              <w:t>Residential Aged Care variance</w:t>
            </w:r>
          </w:p>
        </w:tc>
        <w:tc>
          <w:tcPr>
            <w:tcW w:w="2552" w:type="dxa"/>
            <w:shd w:val="clear" w:color="auto" w:fill="auto"/>
            <w:noWrap/>
            <w:vAlign w:val="center"/>
            <w:hideMark/>
          </w:tcPr>
          <w:p w14:paraId="065E6330" w14:textId="77777777" w:rsidR="00E07C5F" w:rsidRPr="003A191D" w:rsidRDefault="00E07C5F" w:rsidP="00E07C5F">
            <w:pPr>
              <w:spacing w:after="0" w:line="240" w:lineRule="auto"/>
              <w:jc w:val="right"/>
              <w:rPr>
                <w:rFonts w:eastAsia="Times New Roman" w:cs="Arial"/>
                <w:color w:val="000000"/>
                <w:sz w:val="20"/>
                <w:szCs w:val="20"/>
                <w:lang w:eastAsia="en-AU"/>
              </w:rPr>
            </w:pPr>
            <w:r w:rsidRPr="003A191D">
              <w:rPr>
                <w:rFonts w:eastAsia="Times New Roman" w:cs="Arial"/>
                <w:color w:val="000000"/>
                <w:sz w:val="20"/>
                <w:szCs w:val="20"/>
                <w:lang w:eastAsia="en-AU"/>
              </w:rPr>
              <w:t xml:space="preserve">-193 </w:t>
            </w:r>
          </w:p>
        </w:tc>
        <w:tc>
          <w:tcPr>
            <w:tcW w:w="1229" w:type="dxa"/>
          </w:tcPr>
          <w:p w14:paraId="6E0FDF5C" w14:textId="77777777" w:rsidR="00E07C5F" w:rsidRPr="003A191D" w:rsidRDefault="00E07C5F" w:rsidP="00E07C5F">
            <w:pPr>
              <w:spacing w:after="0" w:line="240" w:lineRule="auto"/>
              <w:jc w:val="right"/>
              <w:rPr>
                <w:rFonts w:eastAsia="Times New Roman" w:cs="Arial"/>
                <w:color w:val="000000"/>
                <w:sz w:val="20"/>
                <w:szCs w:val="20"/>
                <w:lang w:eastAsia="en-AU"/>
              </w:rPr>
            </w:pPr>
            <w:r>
              <w:rPr>
                <w:rFonts w:eastAsia="Times New Roman" w:cs="Arial"/>
                <w:color w:val="000000"/>
                <w:sz w:val="20"/>
                <w:szCs w:val="20"/>
                <w:lang w:eastAsia="en-AU"/>
              </w:rPr>
              <w:t>15%</w:t>
            </w:r>
          </w:p>
        </w:tc>
      </w:tr>
      <w:tr w:rsidR="00E07C5F" w:rsidRPr="003A191D" w14:paraId="3B3FB418" w14:textId="77777777" w:rsidTr="00F830E6">
        <w:trPr>
          <w:trHeight w:val="301"/>
        </w:trPr>
        <w:tc>
          <w:tcPr>
            <w:tcW w:w="5245" w:type="dxa"/>
            <w:tcBorders>
              <w:bottom w:val="single" w:sz="4" w:space="0" w:color="auto"/>
            </w:tcBorders>
            <w:shd w:val="clear" w:color="auto" w:fill="D4C5D7"/>
            <w:noWrap/>
            <w:vAlign w:val="center"/>
          </w:tcPr>
          <w:p w14:paraId="6BE10092" w14:textId="77777777" w:rsidR="00E07C5F" w:rsidRPr="003A191D" w:rsidRDefault="00E07C5F" w:rsidP="00E07C5F">
            <w:pPr>
              <w:spacing w:after="0" w:line="240" w:lineRule="auto"/>
              <w:rPr>
                <w:rFonts w:eastAsia="Times New Roman" w:cs="Arial"/>
                <w:b/>
                <w:color w:val="000000"/>
                <w:sz w:val="20"/>
                <w:szCs w:val="20"/>
                <w:lang w:eastAsia="en-AU"/>
              </w:rPr>
            </w:pPr>
            <w:r w:rsidRPr="003A191D">
              <w:rPr>
                <w:rFonts w:eastAsia="Times New Roman" w:cs="Arial"/>
                <w:b/>
                <w:color w:val="000000"/>
                <w:sz w:val="20"/>
                <w:szCs w:val="20"/>
                <w:lang w:eastAsia="en-AU"/>
              </w:rPr>
              <w:t>Total explained</w:t>
            </w:r>
          </w:p>
        </w:tc>
        <w:tc>
          <w:tcPr>
            <w:tcW w:w="2552" w:type="dxa"/>
            <w:tcBorders>
              <w:bottom w:val="single" w:sz="4" w:space="0" w:color="auto"/>
            </w:tcBorders>
            <w:shd w:val="clear" w:color="auto" w:fill="D4C5D7"/>
            <w:noWrap/>
            <w:vAlign w:val="center"/>
          </w:tcPr>
          <w:p w14:paraId="31DFC093" w14:textId="77777777" w:rsidR="00E07C5F" w:rsidRPr="003A191D" w:rsidRDefault="00E07C5F" w:rsidP="00E07C5F">
            <w:pPr>
              <w:spacing w:after="0" w:line="240" w:lineRule="auto"/>
              <w:jc w:val="right"/>
              <w:rPr>
                <w:rFonts w:eastAsia="Times New Roman" w:cs="Arial"/>
                <w:b/>
                <w:color w:val="000000"/>
                <w:sz w:val="20"/>
                <w:szCs w:val="20"/>
                <w:lang w:eastAsia="en-AU"/>
              </w:rPr>
            </w:pPr>
            <w:r w:rsidRPr="003A191D">
              <w:rPr>
                <w:rFonts w:eastAsia="Times New Roman" w:cs="Arial"/>
                <w:b/>
                <w:color w:val="000000"/>
                <w:sz w:val="20"/>
                <w:szCs w:val="20"/>
                <w:lang w:eastAsia="en-AU"/>
              </w:rPr>
              <w:t>-</w:t>
            </w:r>
            <w:r>
              <w:rPr>
                <w:rFonts w:eastAsia="Times New Roman" w:cs="Arial"/>
                <w:b/>
                <w:color w:val="000000"/>
                <w:sz w:val="20"/>
                <w:szCs w:val="20"/>
                <w:lang w:eastAsia="en-AU"/>
              </w:rPr>
              <w:t>792</w:t>
            </w:r>
          </w:p>
        </w:tc>
        <w:tc>
          <w:tcPr>
            <w:tcW w:w="1229" w:type="dxa"/>
            <w:tcBorders>
              <w:bottom w:val="single" w:sz="4" w:space="0" w:color="auto"/>
            </w:tcBorders>
            <w:shd w:val="clear" w:color="auto" w:fill="D4C5D7"/>
          </w:tcPr>
          <w:p w14:paraId="6FEB91A7" w14:textId="77777777" w:rsidR="00E07C5F" w:rsidRPr="003A191D" w:rsidRDefault="00E07C5F" w:rsidP="00E07C5F">
            <w:pPr>
              <w:spacing w:after="0" w:line="240" w:lineRule="auto"/>
              <w:jc w:val="right"/>
              <w:rPr>
                <w:rFonts w:eastAsia="Times New Roman" w:cs="Arial"/>
                <w:b/>
                <w:color w:val="000000"/>
                <w:sz w:val="20"/>
                <w:szCs w:val="20"/>
                <w:lang w:eastAsia="en-AU"/>
              </w:rPr>
            </w:pPr>
            <w:r>
              <w:rPr>
                <w:rFonts w:eastAsia="Times New Roman" w:cs="Arial"/>
                <w:b/>
                <w:color w:val="000000"/>
                <w:sz w:val="20"/>
                <w:szCs w:val="20"/>
                <w:lang w:eastAsia="en-AU"/>
              </w:rPr>
              <w:t>66%</w:t>
            </w:r>
          </w:p>
        </w:tc>
      </w:tr>
      <w:tr w:rsidR="00E07C5F" w:rsidRPr="003A191D" w14:paraId="0E900746" w14:textId="77777777" w:rsidTr="00E07C5F">
        <w:trPr>
          <w:trHeight w:val="301"/>
        </w:trPr>
        <w:tc>
          <w:tcPr>
            <w:tcW w:w="5245" w:type="dxa"/>
            <w:tcBorders>
              <w:bottom w:val="single" w:sz="4" w:space="0" w:color="auto"/>
            </w:tcBorders>
            <w:shd w:val="clear" w:color="auto" w:fill="auto"/>
            <w:noWrap/>
            <w:vAlign w:val="center"/>
            <w:hideMark/>
          </w:tcPr>
          <w:p w14:paraId="15ECE373" w14:textId="77777777" w:rsidR="00E07C5F" w:rsidRPr="003A191D" w:rsidRDefault="00E07C5F" w:rsidP="00E07C5F">
            <w:pPr>
              <w:spacing w:after="0" w:line="240" w:lineRule="auto"/>
              <w:rPr>
                <w:rFonts w:eastAsia="Times New Roman" w:cs="Arial"/>
                <w:color w:val="000000"/>
                <w:sz w:val="20"/>
                <w:szCs w:val="20"/>
                <w:lang w:eastAsia="en-AU"/>
              </w:rPr>
            </w:pPr>
            <w:r w:rsidRPr="003A191D">
              <w:rPr>
                <w:rFonts w:eastAsia="Times New Roman" w:cs="Arial"/>
                <w:color w:val="000000"/>
                <w:sz w:val="20"/>
                <w:szCs w:val="20"/>
                <w:lang w:eastAsia="en-AU"/>
              </w:rPr>
              <w:t>Unexplained variation</w:t>
            </w:r>
          </w:p>
        </w:tc>
        <w:tc>
          <w:tcPr>
            <w:tcW w:w="2552" w:type="dxa"/>
            <w:tcBorders>
              <w:bottom w:val="single" w:sz="4" w:space="0" w:color="auto"/>
            </w:tcBorders>
            <w:shd w:val="clear" w:color="auto" w:fill="auto"/>
            <w:noWrap/>
            <w:vAlign w:val="center"/>
            <w:hideMark/>
          </w:tcPr>
          <w:p w14:paraId="3BDE6761" w14:textId="77777777" w:rsidR="00E07C5F" w:rsidRPr="003A191D" w:rsidRDefault="00E07C5F" w:rsidP="00E07C5F">
            <w:pPr>
              <w:spacing w:after="0" w:line="240" w:lineRule="auto"/>
              <w:jc w:val="right"/>
              <w:rPr>
                <w:rFonts w:eastAsia="Times New Roman" w:cs="Arial"/>
                <w:color w:val="000000"/>
                <w:sz w:val="20"/>
                <w:szCs w:val="20"/>
                <w:lang w:eastAsia="en-AU"/>
              </w:rPr>
            </w:pPr>
            <w:r w:rsidRPr="003A191D">
              <w:rPr>
                <w:rFonts w:eastAsia="Times New Roman" w:cs="Arial"/>
                <w:color w:val="000000"/>
                <w:sz w:val="20"/>
                <w:szCs w:val="20"/>
                <w:lang w:eastAsia="en-AU"/>
              </w:rPr>
              <w:t>-</w:t>
            </w:r>
            <w:r>
              <w:rPr>
                <w:rFonts w:eastAsia="Times New Roman" w:cs="Arial"/>
                <w:color w:val="000000"/>
                <w:sz w:val="20"/>
                <w:szCs w:val="20"/>
                <w:lang w:eastAsia="en-AU"/>
              </w:rPr>
              <w:t>413</w:t>
            </w:r>
            <w:r w:rsidRPr="003A191D">
              <w:rPr>
                <w:rFonts w:eastAsia="Times New Roman" w:cs="Arial"/>
                <w:color w:val="000000"/>
                <w:sz w:val="20"/>
                <w:szCs w:val="20"/>
                <w:lang w:eastAsia="en-AU"/>
              </w:rPr>
              <w:t xml:space="preserve"> </w:t>
            </w:r>
          </w:p>
        </w:tc>
        <w:tc>
          <w:tcPr>
            <w:tcW w:w="1229" w:type="dxa"/>
            <w:tcBorders>
              <w:bottom w:val="single" w:sz="4" w:space="0" w:color="auto"/>
            </w:tcBorders>
          </w:tcPr>
          <w:p w14:paraId="5E30BB58" w14:textId="77777777" w:rsidR="00E07C5F" w:rsidRPr="003A191D" w:rsidRDefault="00E07C5F" w:rsidP="00E07C5F">
            <w:pPr>
              <w:spacing w:after="0" w:line="240" w:lineRule="auto"/>
              <w:jc w:val="right"/>
              <w:rPr>
                <w:rFonts w:eastAsia="Times New Roman" w:cs="Arial"/>
                <w:color w:val="000000"/>
                <w:sz w:val="20"/>
                <w:szCs w:val="20"/>
                <w:lang w:eastAsia="en-AU"/>
              </w:rPr>
            </w:pPr>
            <w:r>
              <w:rPr>
                <w:rFonts w:eastAsia="Times New Roman" w:cs="Arial"/>
                <w:color w:val="000000"/>
                <w:sz w:val="20"/>
                <w:szCs w:val="20"/>
                <w:lang w:eastAsia="en-AU"/>
              </w:rPr>
              <w:t>34%</w:t>
            </w:r>
          </w:p>
        </w:tc>
      </w:tr>
      <w:tr w:rsidR="00E07C5F" w:rsidRPr="003A191D" w14:paraId="599C16E9" w14:textId="77777777" w:rsidTr="00E07C5F">
        <w:trPr>
          <w:trHeight w:val="301"/>
        </w:trPr>
        <w:tc>
          <w:tcPr>
            <w:tcW w:w="5245" w:type="dxa"/>
            <w:tcBorders>
              <w:top w:val="single" w:sz="4" w:space="0" w:color="auto"/>
              <w:bottom w:val="single" w:sz="4" w:space="0" w:color="auto"/>
            </w:tcBorders>
            <w:shd w:val="clear" w:color="auto" w:fill="D4C5D7"/>
            <w:noWrap/>
            <w:vAlign w:val="center"/>
            <w:hideMark/>
          </w:tcPr>
          <w:p w14:paraId="4673B5E9" w14:textId="77777777" w:rsidR="00E07C5F" w:rsidRPr="003A191D" w:rsidRDefault="00E07C5F" w:rsidP="00E07C5F">
            <w:pPr>
              <w:spacing w:after="0" w:line="240" w:lineRule="auto"/>
              <w:rPr>
                <w:rFonts w:eastAsia="Times New Roman" w:cs="Arial"/>
                <w:b/>
                <w:bCs/>
                <w:color w:val="000000"/>
                <w:sz w:val="20"/>
                <w:szCs w:val="20"/>
                <w:lang w:eastAsia="en-AU"/>
              </w:rPr>
            </w:pPr>
            <w:r w:rsidRPr="003A191D">
              <w:rPr>
                <w:rFonts w:eastAsia="Times New Roman" w:cs="Arial"/>
                <w:b/>
                <w:bCs/>
                <w:color w:val="000000"/>
                <w:sz w:val="20"/>
                <w:szCs w:val="20"/>
                <w:lang w:eastAsia="en-AU"/>
              </w:rPr>
              <w:t>Total variation (Actual less expected on cash basis)</w:t>
            </w:r>
          </w:p>
        </w:tc>
        <w:tc>
          <w:tcPr>
            <w:tcW w:w="2552" w:type="dxa"/>
            <w:tcBorders>
              <w:top w:val="single" w:sz="4" w:space="0" w:color="auto"/>
              <w:bottom w:val="single" w:sz="4" w:space="0" w:color="auto"/>
            </w:tcBorders>
            <w:shd w:val="clear" w:color="auto" w:fill="D4C5D7"/>
            <w:noWrap/>
            <w:vAlign w:val="center"/>
            <w:hideMark/>
          </w:tcPr>
          <w:p w14:paraId="60168F4C" w14:textId="77777777" w:rsidR="00E07C5F" w:rsidRPr="003A191D" w:rsidRDefault="00E07C5F" w:rsidP="00E07C5F">
            <w:pPr>
              <w:spacing w:after="0" w:line="240" w:lineRule="auto"/>
              <w:jc w:val="right"/>
              <w:rPr>
                <w:rFonts w:eastAsia="Times New Roman" w:cs="Arial"/>
                <w:b/>
                <w:bCs/>
                <w:color w:val="000000"/>
                <w:sz w:val="20"/>
                <w:szCs w:val="20"/>
                <w:lang w:eastAsia="en-AU"/>
              </w:rPr>
            </w:pPr>
            <w:r w:rsidRPr="003A191D">
              <w:rPr>
                <w:rFonts w:eastAsia="Times New Roman" w:cs="Arial"/>
                <w:b/>
                <w:bCs/>
                <w:color w:val="000000"/>
                <w:sz w:val="20"/>
                <w:szCs w:val="20"/>
                <w:lang w:eastAsia="en-AU"/>
              </w:rPr>
              <w:t>-1,204</w:t>
            </w:r>
          </w:p>
        </w:tc>
        <w:tc>
          <w:tcPr>
            <w:tcW w:w="1229" w:type="dxa"/>
            <w:tcBorders>
              <w:top w:val="single" w:sz="4" w:space="0" w:color="auto"/>
              <w:bottom w:val="single" w:sz="4" w:space="0" w:color="auto"/>
            </w:tcBorders>
            <w:shd w:val="clear" w:color="auto" w:fill="D4C5D7"/>
          </w:tcPr>
          <w:p w14:paraId="5C8446C7" w14:textId="77777777" w:rsidR="00E07C5F" w:rsidRPr="003A191D" w:rsidRDefault="00E07C5F" w:rsidP="00E07C5F">
            <w:pPr>
              <w:spacing w:after="0" w:line="240" w:lineRule="auto"/>
              <w:jc w:val="right"/>
              <w:rPr>
                <w:rFonts w:eastAsia="Times New Roman" w:cs="Arial"/>
                <w:b/>
                <w:bCs/>
                <w:color w:val="000000"/>
                <w:sz w:val="20"/>
                <w:szCs w:val="20"/>
                <w:lang w:eastAsia="en-AU"/>
              </w:rPr>
            </w:pPr>
            <w:r>
              <w:rPr>
                <w:rFonts w:eastAsia="Times New Roman" w:cs="Arial"/>
                <w:b/>
                <w:bCs/>
                <w:color w:val="000000"/>
                <w:sz w:val="20"/>
                <w:szCs w:val="20"/>
                <w:lang w:eastAsia="en-AU"/>
              </w:rPr>
              <w:t>100%</w:t>
            </w:r>
          </w:p>
        </w:tc>
      </w:tr>
    </w:tbl>
    <w:p w14:paraId="5427C195" w14:textId="77777777" w:rsidR="00E07C5F" w:rsidRDefault="00E07C5F" w:rsidP="0093332E">
      <w:pPr>
        <w:pStyle w:val="Tables"/>
      </w:pPr>
    </w:p>
    <w:p w14:paraId="143A6246" w14:textId="77777777" w:rsidR="0093332E" w:rsidRPr="00FB7CB2" w:rsidRDefault="0093332E" w:rsidP="0093332E">
      <w:pPr>
        <w:pStyle w:val="FSRHeading4"/>
        <w:rPr>
          <w:lang w:val="en-US"/>
        </w:rPr>
      </w:pPr>
      <w:r w:rsidRPr="00DC5E78">
        <w:rPr>
          <w:lang w:val="en-US"/>
        </w:rPr>
        <w:t>Participant numbers</w:t>
      </w:r>
    </w:p>
    <w:p w14:paraId="1ED8D58C" w14:textId="77777777" w:rsidR="0093332E" w:rsidRPr="00DC5E78" w:rsidRDefault="0093332E" w:rsidP="0093332E">
      <w:pPr>
        <w:pStyle w:val="FSRnormal"/>
        <w:rPr>
          <w:lang w:val="en-US"/>
        </w:rPr>
      </w:pPr>
      <w:r>
        <w:rPr>
          <w:lang w:val="en-US"/>
        </w:rPr>
        <w:t>At</w:t>
      </w:r>
      <w:r w:rsidRPr="00DC5E78">
        <w:rPr>
          <w:lang w:val="en-US"/>
        </w:rPr>
        <w:t xml:space="preserve"> 30 June 2022, active participants in the Scheme were 0.8% above expected as described in </w:t>
      </w:r>
      <w:r w:rsidRPr="00E84B28">
        <w:rPr>
          <w:lang w:val="en-US"/>
        </w:rPr>
        <w:t>Section 4.1.</w:t>
      </w:r>
      <w:r w:rsidRPr="00DC5E78">
        <w:rPr>
          <w:lang w:val="en-US"/>
        </w:rPr>
        <w:t xml:space="preserve"> The higher than expected participant numbers resulted in payments being $15 million higher than expected.</w:t>
      </w:r>
    </w:p>
    <w:p w14:paraId="7F852596" w14:textId="77777777" w:rsidR="0093332E" w:rsidRPr="00DC5E78" w:rsidRDefault="0093332E" w:rsidP="0093332E">
      <w:pPr>
        <w:pStyle w:val="FSRHeading4"/>
        <w:rPr>
          <w:lang w:val="en-US"/>
        </w:rPr>
      </w:pPr>
      <w:r w:rsidRPr="00DC5E78">
        <w:rPr>
          <w:lang w:val="en-US"/>
        </w:rPr>
        <w:t>Participant mix</w:t>
      </w:r>
    </w:p>
    <w:p w14:paraId="31FFE181" w14:textId="77777777" w:rsidR="0093332E" w:rsidRPr="00DC5E78" w:rsidRDefault="0093332E" w:rsidP="0093332E">
      <w:pPr>
        <w:pStyle w:val="FSRnormal"/>
        <w:rPr>
          <w:lang w:val="en-US"/>
        </w:rPr>
      </w:pPr>
      <w:r w:rsidRPr="00DC5E78">
        <w:rPr>
          <w:lang w:val="en-US"/>
        </w:rPr>
        <w:t xml:space="preserve">Expected average annualised payment rates in the 2020-21 AFSR projections differ by </w:t>
      </w:r>
      <w:r>
        <w:rPr>
          <w:lang w:val="en-US"/>
        </w:rPr>
        <w:t xml:space="preserve">various </w:t>
      </w:r>
      <w:r w:rsidRPr="00DC5E78">
        <w:rPr>
          <w:lang w:val="en-US"/>
        </w:rPr>
        <w:t>participant characteristics</w:t>
      </w:r>
      <w:r>
        <w:rPr>
          <w:rStyle w:val="FootnoteReference"/>
        </w:rPr>
        <w:footnoteReference w:id="59"/>
      </w:r>
      <w:r w:rsidRPr="00DC5E78">
        <w:rPr>
          <w:lang w:val="en-US"/>
        </w:rPr>
        <w:t>. Therefore, some of the variance in actual to expected payments can be explained by differences in the observed participant profile compared to expected</w:t>
      </w:r>
      <w:r>
        <w:rPr>
          <w:rStyle w:val="FootnoteReference"/>
        </w:rPr>
        <w:footnoteReference w:id="60"/>
      </w:r>
      <w:r w:rsidRPr="00DC5E78">
        <w:rPr>
          <w:lang w:val="en-US"/>
        </w:rPr>
        <w:t xml:space="preserve">. </w:t>
      </w:r>
    </w:p>
    <w:p w14:paraId="407AEF00" w14:textId="77777777" w:rsidR="0093332E" w:rsidRDefault="0093332E" w:rsidP="0093332E">
      <w:pPr>
        <w:pStyle w:val="FSRnormal"/>
        <w:rPr>
          <w:lang w:val="en-US"/>
        </w:rPr>
      </w:pPr>
      <w:r w:rsidRPr="00DC5E78">
        <w:rPr>
          <w:lang w:val="en-US"/>
        </w:rPr>
        <w:t xml:space="preserve">The </w:t>
      </w:r>
      <w:r>
        <w:rPr>
          <w:lang w:val="en-US"/>
        </w:rPr>
        <w:t>overall</w:t>
      </w:r>
      <w:r w:rsidRPr="002C6238">
        <w:rPr>
          <w:lang w:val="en-US"/>
        </w:rPr>
        <w:t xml:space="preserve"> </w:t>
      </w:r>
      <w:r w:rsidRPr="00DC5E78">
        <w:rPr>
          <w:lang w:val="en-US"/>
        </w:rPr>
        <w:t xml:space="preserve">mix-adjusted average annualised payments were 3.8% below expected, whereas the </w:t>
      </w:r>
      <w:r>
        <w:rPr>
          <w:lang w:val="en-US"/>
        </w:rPr>
        <w:t xml:space="preserve">average payment </w:t>
      </w:r>
      <w:r w:rsidRPr="00DC5E78">
        <w:rPr>
          <w:lang w:val="en-US"/>
        </w:rPr>
        <w:t xml:space="preserve">variance was larger at 4.7% below expected on an unadjusted basis. This suggests that </w:t>
      </w:r>
      <w:r>
        <w:rPr>
          <w:lang w:val="en-US"/>
        </w:rPr>
        <w:t xml:space="preserve">actual </w:t>
      </w:r>
      <w:r w:rsidR="00BD2ABE">
        <w:rPr>
          <w:lang w:val="en-US"/>
        </w:rPr>
        <w:t xml:space="preserve">payment </w:t>
      </w:r>
      <w:r>
        <w:rPr>
          <w:lang w:val="en-US"/>
        </w:rPr>
        <w:t xml:space="preserve">mix </w:t>
      </w:r>
      <w:r w:rsidRPr="00DC5E78">
        <w:rPr>
          <w:lang w:val="en-US"/>
        </w:rPr>
        <w:t xml:space="preserve">of participants </w:t>
      </w:r>
      <w:r>
        <w:rPr>
          <w:lang w:val="en-US"/>
        </w:rPr>
        <w:t xml:space="preserve">are </w:t>
      </w:r>
      <w:r w:rsidRPr="00DC5E78">
        <w:rPr>
          <w:lang w:val="en-US"/>
        </w:rPr>
        <w:t xml:space="preserve">lower </w:t>
      </w:r>
      <w:r>
        <w:rPr>
          <w:lang w:val="en-US"/>
        </w:rPr>
        <w:t xml:space="preserve">on average, </w:t>
      </w:r>
      <w:r w:rsidRPr="00DC5E78">
        <w:rPr>
          <w:lang w:val="en-US"/>
        </w:rPr>
        <w:t xml:space="preserve">compared to the expected </w:t>
      </w:r>
      <w:r w:rsidR="00BD2ABE">
        <w:rPr>
          <w:lang w:val="en-US"/>
        </w:rPr>
        <w:t xml:space="preserve">payment </w:t>
      </w:r>
      <w:r w:rsidRPr="00DC5E78">
        <w:rPr>
          <w:lang w:val="en-US"/>
        </w:rPr>
        <w:t xml:space="preserve">mix. </w:t>
      </w:r>
      <w:r>
        <w:rPr>
          <w:lang w:val="en-US"/>
        </w:rPr>
        <w:t>A substantial part of this difference will be driven by:</w:t>
      </w:r>
    </w:p>
    <w:p w14:paraId="472FA45F" w14:textId="77777777" w:rsidR="0093332E" w:rsidRPr="00E84B28" w:rsidRDefault="0093332E" w:rsidP="0093332E">
      <w:pPr>
        <w:pStyle w:val="FSRnormal"/>
        <w:numPr>
          <w:ilvl w:val="0"/>
          <w:numId w:val="44"/>
        </w:numPr>
        <w:rPr>
          <w:lang w:val="en-US"/>
        </w:rPr>
      </w:pPr>
      <w:r w:rsidRPr="00E84B28">
        <w:rPr>
          <w:lang w:val="en-US"/>
        </w:rPr>
        <w:lastRenderedPageBreak/>
        <w:t>Higher than expected new entries (and transitions) into autism; a lower-</w:t>
      </w:r>
      <w:r w:rsidR="00BD2ABE">
        <w:rPr>
          <w:lang w:val="en-US"/>
        </w:rPr>
        <w:t xml:space="preserve">payment </w:t>
      </w:r>
      <w:r w:rsidRPr="00E84B28">
        <w:rPr>
          <w:lang w:val="en-US"/>
        </w:rPr>
        <w:t xml:space="preserve"> primary disability group; and </w:t>
      </w:r>
    </w:p>
    <w:p w14:paraId="09C1B465" w14:textId="77777777" w:rsidR="0093332E" w:rsidRPr="00E84B28" w:rsidRDefault="0093332E" w:rsidP="0093332E">
      <w:pPr>
        <w:pStyle w:val="FSRnormal"/>
        <w:numPr>
          <w:ilvl w:val="0"/>
          <w:numId w:val="44"/>
        </w:numPr>
        <w:rPr>
          <w:lang w:val="en-US"/>
        </w:rPr>
      </w:pPr>
      <w:r w:rsidRPr="00E84B28">
        <w:rPr>
          <w:lang w:val="en-US"/>
        </w:rPr>
        <w:t>Lower than expected new entries and transitions into higher</w:t>
      </w:r>
      <w:r w:rsidR="00BD2ABE">
        <w:rPr>
          <w:lang w:val="en-US"/>
        </w:rPr>
        <w:t xml:space="preserve"> payment </w:t>
      </w:r>
      <w:r w:rsidRPr="00E84B28">
        <w:rPr>
          <w:lang w:val="en-US"/>
        </w:rPr>
        <w:t>primary disability groups like intellectual disabilit</w:t>
      </w:r>
      <w:r w:rsidR="009A2547">
        <w:rPr>
          <w:lang w:val="en-US"/>
        </w:rPr>
        <w:t>y</w:t>
      </w:r>
      <w:r w:rsidRPr="00E84B28">
        <w:rPr>
          <w:lang w:val="en-US"/>
        </w:rPr>
        <w:t xml:space="preserve"> and psychosocial disabilit</w:t>
      </w:r>
      <w:r w:rsidR="009A2547">
        <w:rPr>
          <w:lang w:val="en-US"/>
        </w:rPr>
        <w:t>y</w:t>
      </w:r>
      <w:r w:rsidRPr="00E84B28">
        <w:rPr>
          <w:lang w:val="en-US"/>
        </w:rPr>
        <w:t>. </w:t>
      </w:r>
    </w:p>
    <w:p w14:paraId="67323F09" w14:textId="77777777" w:rsidR="0093332E" w:rsidRDefault="0026179D" w:rsidP="0093332E">
      <w:pPr>
        <w:pStyle w:val="FSRnormal"/>
        <w:rPr>
          <w:lang w:val="en-US"/>
        </w:rPr>
      </w:pPr>
      <w:r w:rsidRPr="00BE7362">
        <w:t xml:space="preserve">Table </w:t>
      </w:r>
      <w:r>
        <w:rPr>
          <w:noProof/>
        </w:rPr>
        <w:t>4</w:t>
      </w:r>
      <w:r>
        <w:t>.</w:t>
      </w:r>
      <w:r>
        <w:rPr>
          <w:noProof/>
        </w:rPr>
        <w:t>12</w:t>
      </w:r>
      <w:r w:rsidR="0093332E" w:rsidRPr="47FAF0E8">
        <w:rPr>
          <w:lang w:val="en-US"/>
        </w:rPr>
        <w:t xml:space="preserve"> shows th</w:t>
      </w:r>
      <w:r w:rsidR="00E07C5F">
        <w:rPr>
          <w:lang w:val="en-US"/>
        </w:rPr>
        <w:t>at the number of participants with</w:t>
      </w:r>
      <w:r w:rsidR="0093332E" w:rsidRPr="47FAF0E8">
        <w:rPr>
          <w:lang w:val="en-US"/>
        </w:rPr>
        <w:t xml:space="preserve"> autism (lower average </w:t>
      </w:r>
      <w:r w:rsidR="00BD2ABE">
        <w:rPr>
          <w:lang w:val="en-US"/>
        </w:rPr>
        <w:t xml:space="preserve">payment </w:t>
      </w:r>
      <w:r w:rsidR="0093332E" w:rsidRPr="47FAF0E8">
        <w:rPr>
          <w:lang w:val="en-US"/>
        </w:rPr>
        <w:t xml:space="preserve">primary disability) were 4.1% </w:t>
      </w:r>
      <w:r w:rsidR="0093332E">
        <w:rPr>
          <w:lang w:val="en-US"/>
        </w:rPr>
        <w:t>above expected,</w:t>
      </w:r>
      <w:r w:rsidR="0093332E" w:rsidRPr="47FAF0E8">
        <w:rPr>
          <w:lang w:val="en-US"/>
        </w:rPr>
        <w:t xml:space="preserve"> while intellectual disability (higher average </w:t>
      </w:r>
      <w:r w:rsidR="00BD2ABE">
        <w:rPr>
          <w:lang w:val="en-US"/>
        </w:rPr>
        <w:t xml:space="preserve">payment </w:t>
      </w:r>
      <w:r w:rsidR="0093332E" w:rsidRPr="47FAF0E8">
        <w:rPr>
          <w:lang w:val="en-US"/>
        </w:rPr>
        <w:t xml:space="preserve">primary disability) was 1.7% below </w:t>
      </w:r>
      <w:r w:rsidR="0093332E">
        <w:rPr>
          <w:lang w:val="en-US"/>
        </w:rPr>
        <w:t>expected</w:t>
      </w:r>
      <w:r w:rsidR="0093332E" w:rsidRPr="47FAF0E8">
        <w:rPr>
          <w:lang w:val="en-US"/>
        </w:rPr>
        <w:t xml:space="preserve">. </w:t>
      </w:r>
    </w:p>
    <w:p w14:paraId="0DA92CE4" w14:textId="77777777" w:rsidR="0093332E" w:rsidRPr="00BE7362" w:rsidRDefault="0093332E" w:rsidP="0093332E">
      <w:pPr>
        <w:pStyle w:val="Tables"/>
      </w:pPr>
      <w:bookmarkStart w:id="71" w:name="_Ref113273207"/>
      <w:r w:rsidRPr="00BE7362">
        <w:t xml:space="preserve">Table </w:t>
      </w:r>
      <w:fldSimple w:instr=" STYLEREF 2 \s ">
        <w:r w:rsidR="00A87896">
          <w:rPr>
            <w:noProof/>
          </w:rPr>
          <w:t>4</w:t>
        </w:r>
      </w:fldSimple>
      <w:r w:rsidR="00A87896">
        <w:t>.</w:t>
      </w:r>
      <w:fldSimple w:instr=" SEQ Table \* ARABIC \s 2 ">
        <w:r w:rsidR="00A87896">
          <w:rPr>
            <w:noProof/>
          </w:rPr>
          <w:t>12</w:t>
        </w:r>
      </w:fldSimple>
      <w:bookmarkEnd w:id="71"/>
      <w:r w:rsidR="002A46D3" w:rsidRPr="00252EAF">
        <w:rPr>
          <w:rStyle w:val="Strong"/>
          <w:b/>
        </w:rPr>
        <w:t>:</w:t>
      </w:r>
      <w:r w:rsidRPr="00D72D94">
        <w:rPr>
          <w:rStyle w:val="Strong"/>
          <w:b/>
        </w:rPr>
        <w:t xml:space="preserve"> </w:t>
      </w:r>
      <w:r w:rsidRPr="00BE7362">
        <w:t xml:space="preserve">Participants </w:t>
      </w:r>
      <w:r w:rsidR="009A2547">
        <w:t>compared with expected at 30 June 2022</w:t>
      </w:r>
      <w:r w:rsidR="009A2547" w:rsidRPr="00BE7362">
        <w:t xml:space="preserve"> </w:t>
      </w:r>
      <w:r w:rsidRPr="00BE7362">
        <w:t xml:space="preserve">and Expected Average </w:t>
      </w:r>
      <w:r w:rsidR="00BD2ABE">
        <w:t>Payment</w:t>
      </w:r>
      <w:r w:rsidR="009A2547">
        <w:t xml:space="preserve"> for 2021-22</w:t>
      </w:r>
    </w:p>
    <w:tbl>
      <w:tblPr>
        <w:tblStyle w:val="FSRtable"/>
        <w:tblW w:w="8475" w:type="dxa"/>
        <w:tblInd w:w="0" w:type="dxa"/>
        <w:tblBorders>
          <w:top w:val="none" w:sz="0" w:space="0" w:color="auto"/>
          <w:bottom w:val="none" w:sz="0" w:space="0" w:color="auto"/>
        </w:tblBorders>
        <w:tblLook w:val="04A0" w:firstRow="1" w:lastRow="0" w:firstColumn="1" w:lastColumn="0" w:noHBand="0" w:noVBand="1"/>
      </w:tblPr>
      <w:tblGrid>
        <w:gridCol w:w="4635"/>
        <w:gridCol w:w="2070"/>
        <w:gridCol w:w="1770"/>
      </w:tblGrid>
      <w:tr w:rsidR="0093332E" w:rsidRPr="0026179D" w14:paraId="533EFA53" w14:textId="77777777" w:rsidTr="001257D5">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4635" w:type="dxa"/>
            <w:hideMark/>
          </w:tcPr>
          <w:p w14:paraId="2E2BDA88" w14:textId="77777777" w:rsidR="0093332E" w:rsidRPr="0026179D" w:rsidRDefault="0093332E" w:rsidP="00F830E6">
            <w:pPr>
              <w:keepNext/>
              <w:spacing w:after="0" w:line="240" w:lineRule="auto"/>
              <w:textAlignment w:val="baseline"/>
              <w:rPr>
                <w:rFonts w:ascii="Times New Roman" w:eastAsia="Times New Roman" w:hAnsi="Times New Roman" w:cs="Times New Roman"/>
                <w:sz w:val="20"/>
                <w:szCs w:val="20"/>
                <w:lang w:eastAsia="en-AU"/>
              </w:rPr>
            </w:pPr>
            <w:r w:rsidRPr="0026179D">
              <w:rPr>
                <w:rFonts w:eastAsia="Times New Roman"/>
                <w:sz w:val="20"/>
                <w:szCs w:val="20"/>
                <w:lang w:eastAsia="en-AU"/>
              </w:rPr>
              <w:t>Primary Disability </w:t>
            </w:r>
          </w:p>
        </w:tc>
        <w:tc>
          <w:tcPr>
            <w:tcW w:w="2070" w:type="dxa"/>
            <w:hideMark/>
          </w:tcPr>
          <w:p w14:paraId="636B539E" w14:textId="77777777" w:rsidR="0093332E" w:rsidRPr="0026179D" w:rsidRDefault="0093332E" w:rsidP="00F830E6">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bCs/>
                <w:sz w:val="20"/>
                <w:szCs w:val="20"/>
                <w:lang w:eastAsia="en-AU"/>
              </w:rPr>
              <w:t>Actual vs Expected:</w:t>
            </w:r>
          </w:p>
          <w:p w14:paraId="2773C7CA" w14:textId="77777777" w:rsidR="0093332E" w:rsidRPr="0026179D" w:rsidRDefault="0093332E" w:rsidP="00F830E6">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bCs/>
                <w:sz w:val="20"/>
                <w:szCs w:val="20"/>
                <w:lang w:eastAsia="en-AU"/>
              </w:rPr>
              <w:t>Participants</w:t>
            </w:r>
          </w:p>
        </w:tc>
        <w:tc>
          <w:tcPr>
            <w:tcW w:w="1770" w:type="dxa"/>
            <w:hideMark/>
          </w:tcPr>
          <w:p w14:paraId="1FC45FBC" w14:textId="77777777" w:rsidR="0093332E" w:rsidRPr="0026179D" w:rsidRDefault="0093332E" w:rsidP="00F830E6">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bCs/>
                <w:sz w:val="20"/>
                <w:szCs w:val="20"/>
                <w:lang w:eastAsia="en-AU"/>
              </w:rPr>
              <w:t>Expected</w:t>
            </w:r>
          </w:p>
          <w:p w14:paraId="4B99707C" w14:textId="77777777" w:rsidR="0093332E" w:rsidRPr="0026179D" w:rsidRDefault="0093332E" w:rsidP="00F830E6">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bCs/>
                <w:sz w:val="20"/>
                <w:szCs w:val="20"/>
                <w:lang w:eastAsia="en-AU"/>
              </w:rPr>
              <w:t>Average</w:t>
            </w:r>
          </w:p>
          <w:p w14:paraId="587D1FEF" w14:textId="77777777" w:rsidR="0093332E" w:rsidRPr="0026179D" w:rsidRDefault="0093332E" w:rsidP="00F830E6">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bCs/>
                <w:sz w:val="20"/>
                <w:szCs w:val="20"/>
                <w:lang w:eastAsia="en-AU"/>
              </w:rPr>
              <w:t>Payment</w:t>
            </w:r>
          </w:p>
        </w:tc>
      </w:tr>
      <w:tr w:rsidR="0093332E" w:rsidRPr="0026179D" w14:paraId="42C1E9D9"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4635" w:type="dxa"/>
            <w:hideMark/>
          </w:tcPr>
          <w:p w14:paraId="32162E93" w14:textId="77777777" w:rsidR="0093332E" w:rsidRPr="0026179D" w:rsidRDefault="0093332E" w:rsidP="00F830E6">
            <w:pPr>
              <w:keepNext/>
              <w:spacing w:after="0" w:line="240" w:lineRule="auto"/>
              <w:textAlignment w:val="baseline"/>
              <w:rPr>
                <w:rFonts w:ascii="Times New Roman" w:eastAsia="Times New Roman" w:hAnsi="Times New Roman" w:cs="Times New Roman"/>
                <w:sz w:val="20"/>
                <w:szCs w:val="20"/>
                <w:lang w:eastAsia="en-AU"/>
              </w:rPr>
            </w:pPr>
            <w:r w:rsidRPr="0026179D">
              <w:rPr>
                <w:rFonts w:eastAsia="Times New Roman" w:cs="Arial"/>
                <w:sz w:val="20"/>
                <w:szCs w:val="20"/>
                <w:lang w:eastAsia="en-AU"/>
              </w:rPr>
              <w:t>Autism </w:t>
            </w:r>
          </w:p>
        </w:tc>
        <w:tc>
          <w:tcPr>
            <w:tcW w:w="2070" w:type="dxa"/>
            <w:hideMark/>
          </w:tcPr>
          <w:p w14:paraId="180590E0" w14:textId="77777777" w:rsidR="0093332E" w:rsidRPr="0026179D" w:rsidRDefault="0093332E" w:rsidP="00F830E6">
            <w:pPr>
              <w:keepNext/>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cs="Arial"/>
                <w:sz w:val="20"/>
                <w:szCs w:val="20"/>
                <w:lang w:eastAsia="en-AU"/>
              </w:rPr>
              <w:t>4.1% </w:t>
            </w:r>
          </w:p>
        </w:tc>
        <w:tc>
          <w:tcPr>
            <w:tcW w:w="1770" w:type="dxa"/>
            <w:hideMark/>
          </w:tcPr>
          <w:p w14:paraId="2893A231" w14:textId="77777777" w:rsidR="0093332E" w:rsidRPr="0026179D" w:rsidRDefault="0093332E" w:rsidP="00F830E6">
            <w:pPr>
              <w:keepNext/>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cs="Arial"/>
                <w:sz w:val="20"/>
                <w:szCs w:val="20"/>
                <w:lang w:eastAsia="en-AU"/>
              </w:rPr>
              <w:t>35,900 </w:t>
            </w:r>
          </w:p>
        </w:tc>
      </w:tr>
      <w:tr w:rsidR="0093332E" w:rsidRPr="0026179D" w14:paraId="2C93602C"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635" w:type="dxa"/>
            <w:hideMark/>
          </w:tcPr>
          <w:p w14:paraId="2434FE94" w14:textId="77777777" w:rsidR="0093332E" w:rsidRPr="0026179D" w:rsidRDefault="0093332E" w:rsidP="00F830E6">
            <w:pPr>
              <w:keepNext/>
              <w:spacing w:after="0" w:line="240" w:lineRule="auto"/>
              <w:textAlignment w:val="baseline"/>
              <w:rPr>
                <w:rFonts w:ascii="Times New Roman" w:eastAsia="Times New Roman" w:hAnsi="Times New Roman" w:cs="Times New Roman"/>
                <w:sz w:val="20"/>
                <w:szCs w:val="20"/>
                <w:lang w:eastAsia="en-AU"/>
              </w:rPr>
            </w:pPr>
            <w:r w:rsidRPr="0026179D">
              <w:rPr>
                <w:rFonts w:eastAsia="Times New Roman" w:cs="Arial"/>
                <w:sz w:val="20"/>
                <w:szCs w:val="20"/>
                <w:lang w:eastAsia="en-AU"/>
              </w:rPr>
              <w:t>Intellectual Disabilit</w:t>
            </w:r>
            <w:r w:rsidR="009A2547">
              <w:rPr>
                <w:rFonts w:eastAsia="Times New Roman" w:cs="Arial"/>
                <w:sz w:val="20"/>
                <w:szCs w:val="20"/>
                <w:lang w:eastAsia="en-AU"/>
              </w:rPr>
              <w:t>y</w:t>
            </w:r>
            <w:r w:rsidRPr="0026179D">
              <w:rPr>
                <w:rFonts w:eastAsia="Times New Roman" w:cs="Arial"/>
                <w:sz w:val="20"/>
                <w:szCs w:val="20"/>
                <w:lang w:eastAsia="en-AU"/>
              </w:rPr>
              <w:t> </w:t>
            </w:r>
          </w:p>
        </w:tc>
        <w:tc>
          <w:tcPr>
            <w:tcW w:w="2070" w:type="dxa"/>
            <w:hideMark/>
          </w:tcPr>
          <w:p w14:paraId="201737F4" w14:textId="77777777" w:rsidR="0093332E" w:rsidRPr="0026179D" w:rsidRDefault="0093332E" w:rsidP="00F830E6">
            <w:pPr>
              <w:keepNext/>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cs="Arial"/>
                <w:sz w:val="20"/>
                <w:szCs w:val="20"/>
                <w:lang w:eastAsia="en-AU"/>
              </w:rPr>
              <w:t>-1.7% </w:t>
            </w:r>
          </w:p>
        </w:tc>
        <w:tc>
          <w:tcPr>
            <w:tcW w:w="1770" w:type="dxa"/>
            <w:hideMark/>
          </w:tcPr>
          <w:p w14:paraId="35CA4A5B" w14:textId="77777777" w:rsidR="0093332E" w:rsidRPr="0026179D" w:rsidRDefault="0093332E" w:rsidP="00F830E6">
            <w:pPr>
              <w:keepNext/>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cs="Arial"/>
                <w:sz w:val="20"/>
                <w:szCs w:val="20"/>
                <w:lang w:eastAsia="en-AU"/>
              </w:rPr>
              <w:t>93,770 </w:t>
            </w:r>
          </w:p>
        </w:tc>
      </w:tr>
      <w:tr w:rsidR="0093332E" w:rsidRPr="0026179D" w14:paraId="20419FBF"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4635" w:type="dxa"/>
            <w:hideMark/>
          </w:tcPr>
          <w:p w14:paraId="2CDD4D08" w14:textId="77777777" w:rsidR="0093332E" w:rsidRPr="0026179D" w:rsidRDefault="0093332E" w:rsidP="00F830E6">
            <w:pPr>
              <w:keepNext/>
              <w:spacing w:after="0" w:line="240" w:lineRule="auto"/>
              <w:textAlignment w:val="baseline"/>
              <w:rPr>
                <w:rFonts w:ascii="Times New Roman" w:eastAsia="Times New Roman" w:hAnsi="Times New Roman" w:cs="Times New Roman"/>
                <w:sz w:val="20"/>
                <w:szCs w:val="20"/>
                <w:lang w:eastAsia="en-AU"/>
              </w:rPr>
            </w:pPr>
            <w:r w:rsidRPr="0026179D">
              <w:rPr>
                <w:rFonts w:eastAsia="Times New Roman" w:cs="Arial"/>
                <w:sz w:val="20"/>
                <w:szCs w:val="20"/>
                <w:lang w:eastAsia="en-AU"/>
              </w:rPr>
              <w:t>Psychosocial Disabilit</w:t>
            </w:r>
            <w:r w:rsidR="009A2547">
              <w:rPr>
                <w:rFonts w:eastAsia="Times New Roman" w:cs="Arial"/>
                <w:sz w:val="20"/>
                <w:szCs w:val="20"/>
                <w:lang w:eastAsia="en-AU"/>
              </w:rPr>
              <w:t>y</w:t>
            </w:r>
            <w:r w:rsidRPr="0026179D">
              <w:rPr>
                <w:rFonts w:eastAsia="Times New Roman" w:cs="Arial"/>
                <w:sz w:val="20"/>
                <w:szCs w:val="20"/>
                <w:lang w:eastAsia="en-AU"/>
              </w:rPr>
              <w:t> </w:t>
            </w:r>
          </w:p>
        </w:tc>
        <w:tc>
          <w:tcPr>
            <w:tcW w:w="2070" w:type="dxa"/>
            <w:hideMark/>
          </w:tcPr>
          <w:p w14:paraId="40E0E59A" w14:textId="77777777" w:rsidR="0093332E" w:rsidRPr="0026179D" w:rsidRDefault="0093332E" w:rsidP="00F830E6">
            <w:pPr>
              <w:keepNext/>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cs="Arial"/>
                <w:sz w:val="20"/>
                <w:szCs w:val="20"/>
                <w:lang w:eastAsia="en-AU"/>
              </w:rPr>
              <w:t>1.7% </w:t>
            </w:r>
          </w:p>
        </w:tc>
        <w:tc>
          <w:tcPr>
            <w:tcW w:w="1770" w:type="dxa"/>
            <w:hideMark/>
          </w:tcPr>
          <w:p w14:paraId="0ED5198B" w14:textId="77777777" w:rsidR="0093332E" w:rsidRPr="0026179D" w:rsidRDefault="0093332E" w:rsidP="00F830E6">
            <w:pPr>
              <w:keepNext/>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cs="Arial"/>
                <w:sz w:val="20"/>
                <w:szCs w:val="20"/>
                <w:lang w:eastAsia="en-AU"/>
              </w:rPr>
              <w:t>59,460 </w:t>
            </w:r>
          </w:p>
        </w:tc>
      </w:tr>
      <w:tr w:rsidR="0093332E" w:rsidRPr="0026179D" w14:paraId="44ECC5A3"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635" w:type="dxa"/>
            <w:hideMark/>
          </w:tcPr>
          <w:p w14:paraId="109A2959" w14:textId="77777777" w:rsidR="0093332E" w:rsidRPr="0026179D" w:rsidRDefault="0093332E" w:rsidP="00F830E6">
            <w:pPr>
              <w:keepNext/>
              <w:spacing w:after="0" w:line="240" w:lineRule="auto"/>
              <w:textAlignment w:val="baseline"/>
              <w:rPr>
                <w:rFonts w:ascii="Times New Roman" w:eastAsia="Times New Roman" w:hAnsi="Times New Roman" w:cs="Times New Roman"/>
                <w:sz w:val="20"/>
                <w:szCs w:val="20"/>
                <w:lang w:eastAsia="en-AU"/>
              </w:rPr>
            </w:pPr>
            <w:r w:rsidRPr="0026179D">
              <w:rPr>
                <w:rFonts w:eastAsia="Times New Roman" w:cs="Arial"/>
                <w:sz w:val="20"/>
                <w:szCs w:val="20"/>
                <w:lang w:eastAsia="en-AU"/>
              </w:rPr>
              <w:t>Sensory Disabilities </w:t>
            </w:r>
          </w:p>
        </w:tc>
        <w:tc>
          <w:tcPr>
            <w:tcW w:w="2070" w:type="dxa"/>
            <w:hideMark/>
          </w:tcPr>
          <w:p w14:paraId="0530EF56" w14:textId="77777777" w:rsidR="0093332E" w:rsidRPr="0026179D" w:rsidRDefault="0093332E" w:rsidP="00F830E6">
            <w:pPr>
              <w:keepNext/>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cs="Arial"/>
                <w:sz w:val="20"/>
                <w:szCs w:val="20"/>
                <w:lang w:eastAsia="en-AU"/>
              </w:rPr>
              <w:t>-4.5% </w:t>
            </w:r>
          </w:p>
        </w:tc>
        <w:tc>
          <w:tcPr>
            <w:tcW w:w="1770" w:type="dxa"/>
            <w:hideMark/>
          </w:tcPr>
          <w:p w14:paraId="415A6BF7" w14:textId="77777777" w:rsidR="0093332E" w:rsidRPr="0026179D" w:rsidRDefault="0093332E" w:rsidP="00F830E6">
            <w:pPr>
              <w:keepNext/>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cs="Arial"/>
                <w:sz w:val="20"/>
                <w:szCs w:val="20"/>
                <w:lang w:eastAsia="en-AU"/>
              </w:rPr>
              <w:t>29,050 </w:t>
            </w:r>
          </w:p>
        </w:tc>
      </w:tr>
      <w:tr w:rsidR="0093332E" w:rsidRPr="0026179D" w14:paraId="52BECB8A"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4635" w:type="dxa"/>
            <w:tcBorders>
              <w:bottom w:val="single" w:sz="4" w:space="0" w:color="auto"/>
            </w:tcBorders>
            <w:hideMark/>
          </w:tcPr>
          <w:p w14:paraId="4A66CF10" w14:textId="77777777" w:rsidR="0093332E" w:rsidRPr="0026179D" w:rsidRDefault="009A2547" w:rsidP="00F830E6">
            <w:pPr>
              <w:keepNext/>
              <w:spacing w:after="0" w:line="240" w:lineRule="auto"/>
              <w:textAlignment w:val="baseline"/>
              <w:rPr>
                <w:rFonts w:ascii="Times New Roman" w:eastAsia="Times New Roman" w:hAnsi="Times New Roman" w:cs="Times New Roman"/>
                <w:sz w:val="20"/>
                <w:szCs w:val="20"/>
                <w:lang w:eastAsia="en-AU"/>
              </w:rPr>
            </w:pPr>
            <w:r>
              <w:rPr>
                <w:rFonts w:eastAsia="Times New Roman" w:cs="Arial"/>
                <w:sz w:val="20"/>
                <w:szCs w:val="20"/>
                <w:lang w:eastAsia="en-AU"/>
              </w:rPr>
              <w:t xml:space="preserve">All </w:t>
            </w:r>
            <w:r w:rsidR="0093332E" w:rsidRPr="0026179D">
              <w:rPr>
                <w:rFonts w:eastAsia="Times New Roman" w:cs="Arial"/>
                <w:sz w:val="20"/>
                <w:szCs w:val="20"/>
                <w:lang w:eastAsia="en-AU"/>
              </w:rPr>
              <w:t>Other Disabilities </w:t>
            </w:r>
          </w:p>
        </w:tc>
        <w:tc>
          <w:tcPr>
            <w:tcW w:w="2070" w:type="dxa"/>
            <w:tcBorders>
              <w:bottom w:val="single" w:sz="4" w:space="0" w:color="auto"/>
            </w:tcBorders>
            <w:hideMark/>
          </w:tcPr>
          <w:p w14:paraId="65227246" w14:textId="77777777" w:rsidR="0093332E" w:rsidRPr="0026179D" w:rsidRDefault="0093332E" w:rsidP="00F830E6">
            <w:pPr>
              <w:keepNext/>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cs="Arial"/>
                <w:sz w:val="20"/>
                <w:szCs w:val="20"/>
                <w:lang w:eastAsia="en-AU"/>
              </w:rPr>
              <w:t>0.2% </w:t>
            </w:r>
          </w:p>
        </w:tc>
        <w:tc>
          <w:tcPr>
            <w:tcW w:w="1770" w:type="dxa"/>
            <w:tcBorders>
              <w:bottom w:val="single" w:sz="4" w:space="0" w:color="auto"/>
            </w:tcBorders>
            <w:hideMark/>
          </w:tcPr>
          <w:p w14:paraId="7586E2FC" w14:textId="77777777" w:rsidR="0093332E" w:rsidRPr="0026179D" w:rsidRDefault="0093332E" w:rsidP="00F830E6">
            <w:pPr>
              <w:keepNext/>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AU"/>
              </w:rPr>
            </w:pPr>
            <w:r w:rsidRPr="0026179D">
              <w:rPr>
                <w:rFonts w:eastAsia="Times New Roman" w:cs="Arial"/>
                <w:sz w:val="20"/>
                <w:szCs w:val="20"/>
                <w:lang w:eastAsia="en-AU"/>
              </w:rPr>
              <w:t>70,870 </w:t>
            </w:r>
          </w:p>
        </w:tc>
      </w:tr>
    </w:tbl>
    <w:p w14:paraId="7C935FD8" w14:textId="77777777" w:rsidR="0093332E" w:rsidRDefault="0093332E" w:rsidP="0093332E">
      <w:pPr>
        <w:pStyle w:val="FSRnormal"/>
      </w:pPr>
      <w:r>
        <w:t>It is estimated that differences in actual and expected participant mix resulted in payments being $126 million lower than expected.</w:t>
      </w:r>
    </w:p>
    <w:p w14:paraId="3CD0E531" w14:textId="77777777" w:rsidR="0093332E" w:rsidRDefault="0093332E" w:rsidP="0093332E">
      <w:pPr>
        <w:pStyle w:val="FSRHeading4"/>
      </w:pPr>
      <w:r>
        <w:rPr>
          <w:lang w:val="en-US"/>
        </w:rPr>
        <w:t>Systematic</w:t>
      </w:r>
      <w:r w:rsidRPr="00DC5E78">
        <w:rPr>
          <w:lang w:val="en-US"/>
        </w:rPr>
        <w:t xml:space="preserve"> supply and demand impacts</w:t>
      </w:r>
    </w:p>
    <w:p w14:paraId="34F56F3B" w14:textId="77777777" w:rsidR="0093332E" w:rsidRDefault="0093332E" w:rsidP="0093332E">
      <w:pPr>
        <w:pStyle w:val="FSRnormal"/>
      </w:pPr>
      <w:r>
        <w:t xml:space="preserve">The impacts of COVID-19 on the supply and demand for disability support services has contributed to lower than expected payments in the last financial year. Supply-side impacts that are likely to drive lower payment experience include disability workforce shortages, mobility restrictions and workforce absenteeism from COVID illness and isolation requirements. Demand-side impacts include participant or family wariness of accessing supports due to COVID exposure and participant COVID infection and illness. </w:t>
      </w:r>
    </w:p>
    <w:p w14:paraId="46B8E986" w14:textId="77777777" w:rsidR="0093332E" w:rsidRDefault="0093332E" w:rsidP="0093332E">
      <w:pPr>
        <w:pStyle w:val="FSRnormal"/>
      </w:pPr>
      <w:r>
        <w:t>Two approaches have been used to estimate the impact of COVID on payment experience in FY2021-22:</w:t>
      </w:r>
    </w:p>
    <w:p w14:paraId="3EE39145" w14:textId="77777777" w:rsidR="0093332E" w:rsidRDefault="0093332E" w:rsidP="0093332E">
      <w:pPr>
        <w:pStyle w:val="FSRlist"/>
      </w:pPr>
      <w:r>
        <w:t>A top-down regression analysis of payment data against COVID</w:t>
      </w:r>
      <w:r w:rsidR="00286969">
        <w:t xml:space="preserve"> </w:t>
      </w:r>
      <w:r>
        <w:t>indicators to determine contribution of COVID to trends in average payments. COVID</w:t>
      </w:r>
      <w:r w:rsidR="00286969">
        <w:t xml:space="preserve"> </w:t>
      </w:r>
      <w:r>
        <w:t xml:space="preserve">indicators include a workforce shortage indicator for disability support services, </w:t>
      </w:r>
      <w:r w:rsidR="00E07C5F">
        <w:t xml:space="preserve">COVID </w:t>
      </w:r>
      <w:r>
        <w:t>case numbers, mobility data, and public health restriction intensity.</w:t>
      </w:r>
    </w:p>
    <w:p w14:paraId="3B48EADE" w14:textId="77777777" w:rsidR="0093332E" w:rsidRDefault="0093332E" w:rsidP="0093332E">
      <w:pPr>
        <w:pStyle w:val="FSRlist"/>
      </w:pPr>
      <w:r>
        <w:t>A bottom-up approach measuring spend lost due to COVID illness and isolation requirements for participants and workers. This was based on estimated COVID infections and close contacts for participants and workers, allowing for conversion of some services to telehealth and an estimated rate of worker replacement.</w:t>
      </w:r>
    </w:p>
    <w:p w14:paraId="77672894" w14:textId="77777777" w:rsidR="0093332E" w:rsidRDefault="0093332E" w:rsidP="0093332E">
      <w:pPr>
        <w:pStyle w:val="FSRnormal"/>
        <w:rPr>
          <w:lang w:val="en-US"/>
        </w:rPr>
      </w:pPr>
      <w:r>
        <w:t xml:space="preserve">The results of this analysis indicate that the impact on the </w:t>
      </w:r>
      <w:r w:rsidR="00197BF7">
        <w:t>Scheme expenses</w:t>
      </w:r>
      <w:r>
        <w:t xml:space="preserve"> in 2021-22 is a</w:t>
      </w:r>
      <w:r w:rsidR="00E07C5F">
        <w:t>n estimated</w:t>
      </w:r>
      <w:r>
        <w:t xml:space="preserve"> reduction of $440 million.</w:t>
      </w:r>
    </w:p>
    <w:p w14:paraId="4B8C9F1D" w14:textId="77777777" w:rsidR="0093332E" w:rsidRPr="00DC5E78" w:rsidRDefault="0093332E" w:rsidP="0093332E">
      <w:pPr>
        <w:pStyle w:val="FSRHeading4"/>
        <w:rPr>
          <w:lang w:val="en-US"/>
        </w:rPr>
      </w:pPr>
      <w:r w:rsidRPr="00DC5E78">
        <w:rPr>
          <w:lang w:val="en-US"/>
        </w:rPr>
        <w:lastRenderedPageBreak/>
        <w:t>Provider compliance activities</w:t>
      </w:r>
    </w:p>
    <w:p w14:paraId="6CC1045C" w14:textId="77777777" w:rsidR="0093332E" w:rsidRPr="00B202C9" w:rsidRDefault="0093332E" w:rsidP="0093332E">
      <w:pPr>
        <w:pStyle w:val="FSRnormal"/>
      </w:pPr>
      <w:r w:rsidRPr="00905371">
        <w:t xml:space="preserve">Over the last year, a program of </w:t>
      </w:r>
      <w:r w:rsidRPr="00455BC3">
        <w:t>interventions w</w:t>
      </w:r>
      <w:r>
        <w:t>as</w:t>
      </w:r>
      <w:r w:rsidRPr="00455BC3">
        <w:t xml:space="preserve"> undertaken </w:t>
      </w:r>
      <w:r w:rsidRPr="006D7D1E">
        <w:t>to</w:t>
      </w:r>
      <w:r w:rsidRPr="000547D2">
        <w:t xml:space="preserve"> monitor and address potential noncompliance in claiming behaviour from providers. Interventions </w:t>
      </w:r>
      <w:r>
        <w:t xml:space="preserve">included </w:t>
      </w:r>
      <w:r w:rsidRPr="000547D2">
        <w:t xml:space="preserve">sending self-assessment letters to promote behaviour change, and targeted </w:t>
      </w:r>
      <w:r>
        <w:t xml:space="preserve">various </w:t>
      </w:r>
      <w:r w:rsidRPr="000547D2">
        <w:t>behaviours</w:t>
      </w:r>
      <w:r>
        <w:t>, including</w:t>
      </w:r>
      <w:r w:rsidRPr="000547D2">
        <w:t>:</w:t>
      </w:r>
    </w:p>
    <w:p w14:paraId="43D11BAF" w14:textId="77777777" w:rsidR="0093332E" w:rsidRPr="00905371" w:rsidRDefault="0093332E" w:rsidP="0093332E">
      <w:pPr>
        <w:pStyle w:val="FSRlist"/>
      </w:pPr>
      <w:r w:rsidRPr="00905371">
        <w:t>Claiming of weekend rates on a weekday</w:t>
      </w:r>
    </w:p>
    <w:p w14:paraId="481FCF88" w14:textId="77777777" w:rsidR="0093332E" w:rsidRPr="00BE4557" w:rsidRDefault="0093332E" w:rsidP="0093332E">
      <w:pPr>
        <w:pStyle w:val="FSRlist"/>
      </w:pPr>
      <w:r w:rsidRPr="00DE49C3">
        <w:t>Inappropriate volumes of supports claimed e.g., more than 24 hours in a single day or more than 72 hours across three days</w:t>
      </w:r>
    </w:p>
    <w:p w14:paraId="07696EC6" w14:textId="77777777" w:rsidR="0093332E" w:rsidRPr="00DC5E78" w:rsidRDefault="0093332E" w:rsidP="0093332E">
      <w:pPr>
        <w:pStyle w:val="FSRlist"/>
      </w:pPr>
      <w:r w:rsidRPr="00650519">
        <w:t xml:space="preserve">Double claiming supports with </w:t>
      </w:r>
      <w:r w:rsidR="00286969">
        <w:t>short-term accommodation (</w:t>
      </w:r>
      <w:r w:rsidRPr="00650519">
        <w:t>STA</w:t>
      </w:r>
      <w:r w:rsidR="00286969">
        <w:t>)</w:t>
      </w:r>
      <w:r w:rsidRPr="00650519">
        <w:t xml:space="preserve"> that are covered by STA e.g., assistance with self-care activities etc</w:t>
      </w:r>
      <w:r w:rsidRPr="00D642A3">
        <w:t>.</w:t>
      </w:r>
    </w:p>
    <w:p w14:paraId="72CB57A7" w14:textId="77777777" w:rsidR="0093332E" w:rsidRPr="00DC5E78" w:rsidRDefault="0093332E" w:rsidP="0093332E">
      <w:pPr>
        <w:pStyle w:val="FSRlist"/>
      </w:pPr>
      <w:r w:rsidRPr="00DC5E78">
        <w:t>Overcharging plan management set-up and monthly fees</w:t>
      </w:r>
    </w:p>
    <w:p w14:paraId="7DEE8492" w14:textId="77777777" w:rsidR="0093332E" w:rsidRPr="00DC5E78" w:rsidRDefault="0093332E" w:rsidP="0093332E">
      <w:pPr>
        <w:pStyle w:val="FSRlist"/>
      </w:pPr>
      <w:r w:rsidRPr="00DC5E78">
        <w:t xml:space="preserve">Extreme overcharging of low skilled services e.g., assistance with personal domestic activities, house and/or yard maintenance etc. </w:t>
      </w:r>
    </w:p>
    <w:p w14:paraId="4260CC40" w14:textId="77777777" w:rsidR="0093332E" w:rsidRPr="00A515D8" w:rsidRDefault="0093332E" w:rsidP="0093332E">
      <w:pPr>
        <w:pStyle w:val="FSRnormal"/>
      </w:pPr>
      <w:r w:rsidRPr="00A515D8">
        <w:t>The impact of these interventions was not allowed for in the 2020-21 AFSR projections, therefore any reduction in payments because of the program would result in actual payments being lower than expected. To quantify this impact, an ARIMA model</w:t>
      </w:r>
      <w:r>
        <w:rPr>
          <w:rStyle w:val="FootnoteReference"/>
        </w:rPr>
        <w:footnoteReference w:id="61"/>
      </w:r>
      <w:r w:rsidRPr="00A515D8">
        <w:t xml:space="preserve"> was employed to measure the change in provider claiming behaviour post-intervention. After accounting for random variation in provider claiming patterns</w:t>
      </w:r>
      <w:r>
        <w:t xml:space="preserve"> and averaging across the 50</w:t>
      </w:r>
      <w:r w:rsidRPr="0065210D">
        <w:rPr>
          <w:vertAlign w:val="superscript"/>
        </w:rPr>
        <w:t>th</w:t>
      </w:r>
      <w:r w:rsidR="00E07C5F" w:rsidRPr="00A515D8">
        <w:t xml:space="preserve"> </w:t>
      </w:r>
      <w:r>
        <w:t>and 80</w:t>
      </w:r>
      <w:r w:rsidRPr="0065210D">
        <w:rPr>
          <w:vertAlign w:val="superscript"/>
        </w:rPr>
        <w:t>th</w:t>
      </w:r>
      <w:r>
        <w:t xml:space="preserve"> prediction intervals</w:t>
      </w:r>
      <w:r w:rsidR="00E07C5F">
        <w:rPr>
          <w:rStyle w:val="FootnoteReference"/>
        </w:rPr>
        <w:footnoteReference w:id="62"/>
      </w:r>
      <w:r w:rsidRPr="00A515D8">
        <w:t xml:space="preserve">, the savings for the provider compliance program in 2020-21 </w:t>
      </w:r>
      <w:r>
        <w:t>was</w:t>
      </w:r>
      <w:r w:rsidRPr="00A515D8">
        <w:t xml:space="preserve"> estimated to be </w:t>
      </w:r>
      <w:r>
        <w:t>$65 million.</w:t>
      </w:r>
    </w:p>
    <w:p w14:paraId="16888CCB" w14:textId="77777777" w:rsidR="0093332E" w:rsidRDefault="0093332E" w:rsidP="0093332E">
      <w:pPr>
        <w:pStyle w:val="FSRHeading4"/>
      </w:pPr>
      <w:r>
        <w:t>RAC cross-billing</w:t>
      </w:r>
    </w:p>
    <w:p w14:paraId="0F8DFD8C" w14:textId="77777777" w:rsidR="0093332E" w:rsidRPr="00B202C9" w:rsidRDefault="0093332E" w:rsidP="0093332E">
      <w:pPr>
        <w:pStyle w:val="FSRnormal"/>
      </w:pPr>
      <w:r w:rsidRPr="00DC5E78">
        <w:t>Cross-billing payments for participants in Residential Aged Care (RAC) were $175</w:t>
      </w:r>
      <w:r w:rsidR="000955A1">
        <w:t xml:space="preserve"> </w:t>
      </w:r>
      <w:r w:rsidRPr="00DC5E78">
        <w:t>m</w:t>
      </w:r>
      <w:r w:rsidR="000955A1">
        <w:t>illion</w:t>
      </w:r>
      <w:r w:rsidRPr="00DC5E78">
        <w:t xml:space="preserve"> lower than expected. This was due to the actual number of participants in RAC being lower than expected in the 2020-21 AFSR projection as well as the </w:t>
      </w:r>
      <w:r w:rsidR="00BD2ABE">
        <w:t xml:space="preserve">payment </w:t>
      </w:r>
      <w:r w:rsidRPr="00DC5E78">
        <w:t xml:space="preserve">per participant in RAC being lower than expected. </w:t>
      </w:r>
    </w:p>
    <w:p w14:paraId="5544A75E" w14:textId="77777777" w:rsidR="0093332E" w:rsidRDefault="009A2547" w:rsidP="0093332E">
      <w:pPr>
        <w:pStyle w:val="FSRnormal"/>
      </w:pPr>
      <w:r>
        <w:t>I</w:t>
      </w:r>
      <w:r w:rsidR="0093332E" w:rsidRPr="00A515D8">
        <w:t xml:space="preserve">nvoices </w:t>
      </w:r>
      <w:r>
        <w:t xml:space="preserve">related to RAC </w:t>
      </w:r>
      <w:r w:rsidR="0093332E" w:rsidRPr="00A515D8">
        <w:t xml:space="preserve">raised by end of </w:t>
      </w:r>
      <w:r w:rsidR="0093332E">
        <w:t xml:space="preserve">2021-22 </w:t>
      </w:r>
      <w:r w:rsidR="0093332E" w:rsidRPr="00A515D8">
        <w:t>were $355</w:t>
      </w:r>
      <w:r w:rsidR="000955A1">
        <w:t xml:space="preserve"> </w:t>
      </w:r>
      <w:r w:rsidR="0093332E" w:rsidRPr="00A515D8">
        <w:t>m</w:t>
      </w:r>
      <w:r w:rsidR="000955A1">
        <w:t>illion</w:t>
      </w:r>
      <w:r w:rsidR="0093332E" w:rsidRPr="00A515D8">
        <w:t>; down by about 31% from $511</w:t>
      </w:r>
      <w:r w:rsidR="000955A1">
        <w:t xml:space="preserve"> </w:t>
      </w:r>
      <w:r w:rsidR="0093332E" w:rsidRPr="00A515D8">
        <w:t>m</w:t>
      </w:r>
      <w:r w:rsidR="000955A1">
        <w:t>illion</w:t>
      </w:r>
      <w:r w:rsidR="0093332E" w:rsidRPr="00A515D8">
        <w:t xml:space="preserve"> invoices raised in </w:t>
      </w:r>
      <w:r w:rsidR="0093332E">
        <w:t>2020-21</w:t>
      </w:r>
      <w:r w:rsidR="0093332E" w:rsidRPr="00A515D8">
        <w:t>.</w:t>
      </w:r>
    </w:p>
    <w:p w14:paraId="45D5B43D" w14:textId="77777777" w:rsidR="007264B8" w:rsidRDefault="007264B8">
      <w:pPr>
        <w:spacing w:after="160" w:line="259" w:lineRule="auto"/>
        <w:rPr>
          <w:rFonts w:eastAsiaTheme="minorHAnsi"/>
          <w:b/>
          <w:color w:val="6A2875"/>
          <w:sz w:val="36"/>
          <w:szCs w:val="44"/>
        </w:rPr>
      </w:pPr>
      <w:r>
        <w:br w:type="page"/>
      </w:r>
    </w:p>
    <w:p w14:paraId="32706200" w14:textId="77777777" w:rsidR="0093332E" w:rsidRDefault="0093332E" w:rsidP="0093332E">
      <w:pPr>
        <w:pStyle w:val="Heading3"/>
        <w:ind w:left="851" w:hanging="851"/>
      </w:pPr>
      <w:bookmarkStart w:id="72" w:name="_Toc118460195"/>
      <w:r>
        <w:lastRenderedPageBreak/>
        <w:t xml:space="preserve">Average </w:t>
      </w:r>
      <w:r w:rsidR="00A158DA">
        <w:t>p</w:t>
      </w:r>
      <w:r>
        <w:t xml:space="preserve">ayments </w:t>
      </w:r>
      <w:r w:rsidR="00A158DA">
        <w:t>per p</w:t>
      </w:r>
      <w:r w:rsidR="006C241E">
        <w:t>articipant</w:t>
      </w:r>
      <w:bookmarkEnd w:id="72"/>
    </w:p>
    <w:p w14:paraId="1C6C6BAD" w14:textId="77777777" w:rsidR="0093332E" w:rsidRDefault="0093332E" w:rsidP="0093332E">
      <w:pPr>
        <w:pStyle w:val="FSRHeading5"/>
      </w:pPr>
      <w:r>
        <w:t>Average payments have grown at a slower rate in 2021-22 compared with previous years</w:t>
      </w:r>
    </w:p>
    <w:p w14:paraId="066B7EE1" w14:textId="77777777" w:rsidR="0093332E" w:rsidRPr="00127E2F" w:rsidRDefault="0093332E" w:rsidP="0093332E">
      <w:pPr>
        <w:pStyle w:val="FSRnormal"/>
      </w:pPr>
      <w:r w:rsidRPr="00127E2F">
        <w:t xml:space="preserve">Participant numbers </w:t>
      </w:r>
      <w:r>
        <w:t>were slightly higher than</w:t>
      </w:r>
      <w:r w:rsidRPr="00127E2F">
        <w:t xml:space="preserve"> expected over </w:t>
      </w:r>
      <w:r>
        <w:t>2021-22</w:t>
      </w:r>
      <w:r w:rsidRPr="00127E2F">
        <w:t xml:space="preserve">, and hence the variance in </w:t>
      </w:r>
      <w:r w:rsidR="00FE6A7C">
        <w:t>S</w:t>
      </w:r>
      <w:r w:rsidR="00215E2B">
        <w:t xml:space="preserve">cheme expense (before operating expense) </w:t>
      </w:r>
      <w:r w:rsidRPr="00127E2F">
        <w:t xml:space="preserve">is primarily a result of lower growth than expected in the average payment per participant. </w:t>
      </w:r>
      <w:r w:rsidRPr="00127E2F" w:rsidDel="009C30BE">
        <w:t xml:space="preserve"> </w:t>
      </w:r>
      <w:r w:rsidRPr="00127E2F">
        <w:t xml:space="preserve">Average annualised payments were 4.7% less than expected over the 12 months to 30 June 2022 for all participants. Participants without SIL had average annualised payments 6.7% below expected, compared to participants </w:t>
      </w:r>
      <w:r>
        <w:t>with</w:t>
      </w:r>
      <w:r w:rsidRPr="00127E2F">
        <w:t xml:space="preserve"> SIL who had average annualised payments 0.1% above expected. Therefore, the </w:t>
      </w:r>
      <w:r>
        <w:t>lower than expected</w:t>
      </w:r>
      <w:r w:rsidRPr="00127E2F">
        <w:t xml:space="preserve"> average annualised payment experience over 2021-22 </w:t>
      </w:r>
      <w:r>
        <w:t>was</w:t>
      </w:r>
      <w:r w:rsidRPr="00127E2F">
        <w:t xml:space="preserve"> driven by non-SIL participants.</w:t>
      </w:r>
      <w:r>
        <w:t xml:space="preserve"> </w:t>
      </w:r>
      <w:r w:rsidRPr="00127E2F">
        <w:t xml:space="preserve"> </w:t>
      </w:r>
    </w:p>
    <w:p w14:paraId="64EF2599" w14:textId="77777777" w:rsidR="0093332E" w:rsidRPr="00127E2F" w:rsidRDefault="0093332E" w:rsidP="0093332E">
      <w:pPr>
        <w:pStyle w:val="FSRnormal"/>
      </w:pPr>
      <w:r>
        <w:t>Over the past three years</w:t>
      </w:r>
      <w:r w:rsidR="0021227A">
        <w:t>,</w:t>
      </w:r>
      <w:r>
        <w:t xml:space="preserve"> </w:t>
      </w:r>
      <w:r w:rsidRPr="00127E2F">
        <w:t xml:space="preserve">average annualised payments </w:t>
      </w:r>
      <w:r>
        <w:t xml:space="preserve">per participant </w:t>
      </w:r>
      <w:r w:rsidRPr="00127E2F">
        <w:t xml:space="preserve">increased </w:t>
      </w:r>
      <w:r>
        <w:t>at a</w:t>
      </w:r>
      <w:r w:rsidRPr="00127E2F">
        <w:t xml:space="preserve"> rate</w:t>
      </w:r>
      <w:r>
        <w:t xml:space="preserve"> significantly higher than general inflation (9.2% over the last three years)</w:t>
      </w:r>
      <w:r w:rsidRPr="00127E2F">
        <w:t xml:space="preserve">. However, </w:t>
      </w:r>
      <w:r>
        <w:t>between 2020-21 and 2021-22,</w:t>
      </w:r>
      <w:r w:rsidRPr="00127E2F">
        <w:t xml:space="preserve"> </w:t>
      </w:r>
      <w:r>
        <w:t xml:space="preserve">annual </w:t>
      </w:r>
      <w:r w:rsidRPr="00127E2F">
        <w:t xml:space="preserve">average payment </w:t>
      </w:r>
      <w:r>
        <w:t>increased by only</w:t>
      </w:r>
      <w:r w:rsidRPr="00127E2F">
        <w:t xml:space="preserve"> </w:t>
      </w:r>
      <w:r>
        <w:t xml:space="preserve">1.6% to $55,200. </w:t>
      </w:r>
      <w:r w:rsidRPr="00127E2F">
        <w:t>(</w:t>
      </w:r>
      <w:r w:rsidR="0026179D" w:rsidRPr="00164A79">
        <w:t xml:space="preserve">Figure </w:t>
      </w:r>
      <w:r w:rsidR="0026179D">
        <w:rPr>
          <w:noProof/>
        </w:rPr>
        <w:t>4</w:t>
      </w:r>
      <w:r w:rsidR="0026179D">
        <w:t>.</w:t>
      </w:r>
      <w:r w:rsidR="0026179D">
        <w:rPr>
          <w:noProof/>
        </w:rPr>
        <w:t>10</w:t>
      </w:r>
      <w:r w:rsidRPr="000913B0">
        <w:t>).</w:t>
      </w:r>
    </w:p>
    <w:p w14:paraId="458250B3" w14:textId="77777777" w:rsidR="0093332E" w:rsidRPr="000E6D8A" w:rsidRDefault="0093332E" w:rsidP="0093332E">
      <w:pPr>
        <w:pStyle w:val="Figures"/>
      </w:pPr>
      <w:bookmarkStart w:id="73" w:name="_Ref113273321"/>
      <w:r w:rsidRPr="00164A79">
        <w:t xml:space="preserve">Figure </w:t>
      </w:r>
      <w:fldSimple w:instr=" STYLEREF 2 \s ">
        <w:r w:rsidR="00447AA1">
          <w:rPr>
            <w:noProof/>
          </w:rPr>
          <w:t>4</w:t>
        </w:r>
      </w:fldSimple>
      <w:r w:rsidR="00447AA1">
        <w:t>.</w:t>
      </w:r>
      <w:fldSimple w:instr=" SEQ Figure \* ARABIC \s 2 ">
        <w:r w:rsidR="00447AA1">
          <w:rPr>
            <w:noProof/>
          </w:rPr>
          <w:t>10</w:t>
        </w:r>
      </w:fldSimple>
      <w:bookmarkEnd w:id="73"/>
      <w:r w:rsidRPr="00164A79">
        <w:t>: Average annualised payments over time</w:t>
      </w:r>
      <w:r w:rsidR="008E3FF2">
        <w:t xml:space="preserve"> ($)</w:t>
      </w:r>
      <w:r w:rsidRPr="00164A79">
        <w:rPr>
          <w:vertAlign w:val="superscript"/>
        </w:rPr>
        <w:footnoteReference w:id="63"/>
      </w:r>
    </w:p>
    <w:p w14:paraId="335EAF01" w14:textId="77777777" w:rsidR="0093332E" w:rsidRDefault="00040393" w:rsidP="0093332E">
      <w:pPr>
        <w:pStyle w:val="FSRnormal"/>
        <w:rPr>
          <w:rFonts w:eastAsia="Times New Roman" w:cs="Arial"/>
          <w:szCs w:val="22"/>
          <w:lang w:eastAsia="en-US"/>
        </w:rPr>
      </w:pPr>
      <w:r w:rsidRPr="007E5211">
        <w:rPr>
          <w:noProof/>
          <w:lang w:eastAsia="en-AU"/>
        </w:rPr>
        <w:drawing>
          <wp:inline distT="0" distB="0" distL="0" distR="0" wp14:anchorId="1480EF79" wp14:editId="316FC415">
            <wp:extent cx="5346700" cy="3873500"/>
            <wp:effectExtent l="0" t="0" r="6350" b="0"/>
            <wp:docPr id="38" name="Picture 38" descr="The chart shows the average annualised payments over time starting from $42,375 in 2018-19 to $55,184 in 2021-22, an average increase of 9.2% p.a." title="Figure 4: Average annualised payments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4: Average annualised payments over time&#10;&#10;The chart shows the average annualised payments over time starting from $42,375 in 2018-19 to $55,184 in 2021-22, an average increase of 9.2% p.a.&#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6700" cy="3873500"/>
                    </a:xfrm>
                    <a:prstGeom prst="rect">
                      <a:avLst/>
                    </a:prstGeom>
                    <a:noFill/>
                    <a:ln>
                      <a:noFill/>
                    </a:ln>
                  </pic:spPr>
                </pic:pic>
              </a:graphicData>
            </a:graphic>
          </wp:inline>
        </w:drawing>
      </w:r>
    </w:p>
    <w:p w14:paraId="526C9A3F" w14:textId="77777777" w:rsidR="0093332E" w:rsidRPr="00127E2F" w:rsidRDefault="0093332E" w:rsidP="0093332E">
      <w:pPr>
        <w:pStyle w:val="FSRnormal"/>
        <w:rPr>
          <w:rFonts w:eastAsia="Times New Roman" w:cs="Arial"/>
          <w:lang w:eastAsia="en-US"/>
        </w:rPr>
      </w:pPr>
      <w:r w:rsidRPr="2956F0AE">
        <w:rPr>
          <w:rFonts w:eastAsia="Times New Roman" w:cs="Arial"/>
          <w:lang w:eastAsia="en-US"/>
        </w:rPr>
        <w:t xml:space="preserve">Over the past </w:t>
      </w:r>
      <w:r>
        <w:rPr>
          <w:rFonts w:eastAsia="Times New Roman" w:cs="Arial"/>
          <w:lang w:eastAsia="en-US"/>
        </w:rPr>
        <w:t>three</w:t>
      </w:r>
      <w:r w:rsidRPr="2956F0AE">
        <w:rPr>
          <w:rFonts w:eastAsia="Times New Roman" w:cs="Arial"/>
          <w:lang w:eastAsia="en-US"/>
        </w:rPr>
        <w:t xml:space="preserve"> years, the mix of participants </w:t>
      </w:r>
      <w:r>
        <w:rPr>
          <w:rFonts w:eastAsia="Times New Roman" w:cs="Arial"/>
          <w:lang w:eastAsia="en-US"/>
        </w:rPr>
        <w:t xml:space="preserve">(i.e., the proportions of participants with various characteristics) </w:t>
      </w:r>
      <w:r w:rsidRPr="2956F0AE">
        <w:rPr>
          <w:rFonts w:eastAsia="Times New Roman" w:cs="Arial"/>
          <w:lang w:eastAsia="en-US"/>
        </w:rPr>
        <w:t xml:space="preserve">in the Scheme has changed. In particular, the proportion of children </w:t>
      </w:r>
      <w:r w:rsidRPr="2956F0AE">
        <w:rPr>
          <w:rFonts w:eastAsia="Times New Roman" w:cs="Arial"/>
          <w:lang w:eastAsia="en-US"/>
        </w:rPr>
        <w:lastRenderedPageBreak/>
        <w:t xml:space="preserve">in the Scheme as at </w:t>
      </w:r>
      <w:r w:rsidR="00286969">
        <w:rPr>
          <w:rFonts w:eastAsia="Times New Roman" w:cs="Arial"/>
          <w:lang w:eastAsia="en-US"/>
        </w:rPr>
        <w:t xml:space="preserve">30 </w:t>
      </w:r>
      <w:r w:rsidRPr="2956F0AE">
        <w:rPr>
          <w:rFonts w:eastAsia="Times New Roman" w:cs="Arial"/>
          <w:lang w:eastAsia="en-US"/>
        </w:rPr>
        <w:t xml:space="preserve">June 2022 is higher compared to the proportion as at </w:t>
      </w:r>
      <w:r w:rsidR="00286969">
        <w:rPr>
          <w:rFonts w:eastAsia="Times New Roman" w:cs="Arial"/>
          <w:lang w:eastAsia="en-US"/>
        </w:rPr>
        <w:t xml:space="preserve">30 </w:t>
      </w:r>
      <w:r w:rsidRPr="2956F0AE">
        <w:rPr>
          <w:rFonts w:eastAsia="Times New Roman" w:cs="Arial"/>
          <w:lang w:eastAsia="en-US"/>
        </w:rPr>
        <w:t xml:space="preserve">June 2019, and the proportion of SIL participants in the Scheme as at </w:t>
      </w:r>
      <w:r w:rsidR="00286969">
        <w:rPr>
          <w:rFonts w:eastAsia="Times New Roman" w:cs="Arial"/>
          <w:lang w:eastAsia="en-US"/>
        </w:rPr>
        <w:t xml:space="preserve">30 </w:t>
      </w:r>
      <w:r w:rsidRPr="2956F0AE">
        <w:rPr>
          <w:rFonts w:eastAsia="Times New Roman" w:cs="Arial"/>
          <w:lang w:eastAsia="en-US"/>
        </w:rPr>
        <w:t xml:space="preserve">June 2022 is lower compared to the proportion as at </w:t>
      </w:r>
      <w:r w:rsidR="00286969">
        <w:rPr>
          <w:rFonts w:eastAsia="Times New Roman" w:cs="Arial"/>
          <w:lang w:eastAsia="en-US"/>
        </w:rPr>
        <w:t xml:space="preserve">30 </w:t>
      </w:r>
      <w:r w:rsidRPr="2956F0AE">
        <w:rPr>
          <w:rFonts w:eastAsia="Times New Roman" w:cs="Arial"/>
          <w:lang w:eastAsia="en-US"/>
        </w:rPr>
        <w:t xml:space="preserve">June 2019. </w:t>
      </w:r>
      <w:r>
        <w:rPr>
          <w:rFonts w:eastAsia="Times New Roman" w:cs="Arial"/>
          <w:lang w:eastAsia="en-US"/>
        </w:rPr>
        <w:t xml:space="preserve">All else being equal, these shifts would be expected to reduce the average </w:t>
      </w:r>
      <w:r w:rsidR="00215E2B">
        <w:rPr>
          <w:rFonts w:eastAsia="Times New Roman" w:cs="Arial"/>
          <w:lang w:eastAsia="en-US"/>
        </w:rPr>
        <w:t xml:space="preserve">payments </w:t>
      </w:r>
      <w:r>
        <w:rPr>
          <w:rFonts w:eastAsia="Times New Roman" w:cs="Arial"/>
          <w:lang w:eastAsia="en-US"/>
        </w:rPr>
        <w:t xml:space="preserve">of Scheme participants, as the shift in mix is towards lower </w:t>
      </w:r>
      <w:r w:rsidR="00215E2B">
        <w:rPr>
          <w:rFonts w:eastAsia="Times New Roman" w:cs="Arial"/>
          <w:lang w:eastAsia="en-US"/>
        </w:rPr>
        <w:t xml:space="preserve">payments </w:t>
      </w:r>
      <w:r>
        <w:rPr>
          <w:rFonts w:eastAsia="Times New Roman" w:cs="Arial"/>
          <w:lang w:eastAsia="en-US"/>
        </w:rPr>
        <w:t xml:space="preserve">(i.e. younger and non-SIL participants). </w:t>
      </w:r>
    </w:p>
    <w:p w14:paraId="2B663768" w14:textId="77777777" w:rsidR="00796DB5" w:rsidRDefault="00796DB5" w:rsidP="00796DB5">
      <w:pPr>
        <w:pStyle w:val="FSRnormal"/>
        <w:rPr>
          <w:highlight w:val="yellow"/>
        </w:rPr>
      </w:pPr>
      <w:r>
        <w:t xml:space="preserve">In 2021-22, average payments increased by 5.1% for </w:t>
      </w:r>
      <w:r w:rsidRPr="00C578EB">
        <w:t xml:space="preserve">participants </w:t>
      </w:r>
      <w:r>
        <w:t xml:space="preserve">with SIL and 3.6% for </w:t>
      </w:r>
      <w:r w:rsidRPr="00C578EB">
        <w:t xml:space="preserve">participants </w:t>
      </w:r>
      <w:r>
        <w:t>without</w:t>
      </w:r>
      <w:r w:rsidRPr="00C578EB">
        <w:t xml:space="preserve"> SIL</w:t>
      </w:r>
      <w:r w:rsidR="00286969">
        <w:t>,</w:t>
      </w:r>
      <w:r>
        <w:t xml:space="preserve"> compared to 1.6</w:t>
      </w:r>
      <w:r w:rsidRPr="00F70113">
        <w:t xml:space="preserve">% overall. </w:t>
      </w:r>
      <w:r w:rsidRPr="00252EAF">
        <w:t>These averages are higher than the overal</w:t>
      </w:r>
      <w:r w:rsidRPr="00F70113">
        <w:rPr>
          <w:bCs/>
        </w:rPr>
        <w:t>l average</w:t>
      </w:r>
      <w:r w:rsidRPr="00252EAF">
        <w:t>, as the proportion of</w:t>
      </w:r>
      <w:r>
        <w:rPr>
          <w:bCs/>
        </w:rPr>
        <w:t xml:space="preserve"> </w:t>
      </w:r>
      <w:r w:rsidRPr="00252EAF">
        <w:t xml:space="preserve">participants </w:t>
      </w:r>
      <w:r>
        <w:rPr>
          <w:bCs/>
        </w:rPr>
        <w:t>with</w:t>
      </w:r>
      <w:r w:rsidRPr="00252EAF">
        <w:t xml:space="preserve"> SIL decreased </w:t>
      </w:r>
      <w:r>
        <w:rPr>
          <w:bCs/>
        </w:rPr>
        <w:t>in 2021-22</w:t>
      </w:r>
      <w:r w:rsidRPr="00252EAF">
        <w:t xml:space="preserve">. </w:t>
      </w:r>
      <w:r w:rsidRPr="00F70113">
        <w:t>Over</w:t>
      </w:r>
      <w:r>
        <w:t xml:space="preserve"> the last three years</w:t>
      </w:r>
      <w:r w:rsidRPr="000E6D8A">
        <w:t>, the average annual</w:t>
      </w:r>
      <w:r>
        <w:t>ised</w:t>
      </w:r>
      <w:r w:rsidRPr="000E6D8A">
        <w:t xml:space="preserve"> payment has increased for participants </w:t>
      </w:r>
      <w:r>
        <w:t xml:space="preserve">with SIL </w:t>
      </w:r>
      <w:r w:rsidRPr="000E6D8A">
        <w:t xml:space="preserve">by </w:t>
      </w:r>
      <w:r>
        <w:t>11.9%,</w:t>
      </w:r>
      <w:r w:rsidRPr="000E6D8A">
        <w:t xml:space="preserve"> and the average annual</w:t>
      </w:r>
      <w:r>
        <w:t>ised</w:t>
      </w:r>
      <w:r w:rsidRPr="000E6D8A">
        <w:t xml:space="preserve"> payment has increased for participants </w:t>
      </w:r>
      <w:r>
        <w:t xml:space="preserve">without SIL </w:t>
      </w:r>
      <w:r w:rsidRPr="000E6D8A">
        <w:t xml:space="preserve">by </w:t>
      </w:r>
      <w:r>
        <w:t>14.4</w:t>
      </w:r>
      <w:r w:rsidRPr="000E6D8A">
        <w:t>%</w:t>
      </w:r>
      <w:r>
        <w:t xml:space="preserve"> as shown in Figure 11</w:t>
      </w:r>
      <w:r w:rsidRPr="00DF5D1D">
        <w:t>.</w:t>
      </w:r>
      <w:r>
        <w:t xml:space="preserve"> </w:t>
      </w:r>
    </w:p>
    <w:p w14:paraId="0B68666E" w14:textId="77777777" w:rsidR="0093332E" w:rsidRDefault="0093332E" w:rsidP="0093332E">
      <w:pPr>
        <w:pStyle w:val="Figures"/>
      </w:pPr>
      <w:bookmarkStart w:id="74" w:name="_Ref113273363"/>
      <w:r w:rsidRPr="00164A79">
        <w:t xml:space="preserve">Figure </w:t>
      </w:r>
      <w:fldSimple w:instr=" STYLEREF 2 \s ">
        <w:r w:rsidR="00447AA1">
          <w:rPr>
            <w:noProof/>
          </w:rPr>
          <w:t>4</w:t>
        </w:r>
      </w:fldSimple>
      <w:r w:rsidR="00447AA1">
        <w:t>.</w:t>
      </w:r>
      <w:fldSimple w:instr=" SEQ Figure \* ARABIC \s 2 ">
        <w:r w:rsidR="00447AA1">
          <w:rPr>
            <w:noProof/>
          </w:rPr>
          <w:t>11</w:t>
        </w:r>
      </w:fldSimple>
      <w:bookmarkEnd w:id="74"/>
      <w:r w:rsidRPr="00164A79">
        <w:t>: Average annualised payments over time by SIL status</w:t>
      </w:r>
      <w:r w:rsidR="008E3FF2">
        <w:t xml:space="preserve"> ($)</w:t>
      </w:r>
      <w:r w:rsidRPr="00164A79">
        <w:rPr>
          <w:vertAlign w:val="superscript"/>
        </w:rPr>
        <w:footnoteReference w:id="64"/>
      </w:r>
    </w:p>
    <w:p w14:paraId="3F2E2EAD" w14:textId="77777777" w:rsidR="0093332E" w:rsidRDefault="00040393" w:rsidP="0093332E">
      <w:pPr>
        <w:pStyle w:val="FSRnormal"/>
      </w:pPr>
      <w:r w:rsidRPr="007E5211">
        <w:rPr>
          <w:noProof/>
          <w:lang w:eastAsia="en-AU"/>
        </w:rPr>
        <w:drawing>
          <wp:inline distT="0" distB="0" distL="0" distR="0" wp14:anchorId="27C22C47" wp14:editId="5F2960AE">
            <wp:extent cx="5731510" cy="2195830"/>
            <wp:effectExtent l="0" t="0" r="2540" b="0"/>
            <wp:docPr id="39" name="Picture 39" descr="Figure 5: Average annualised payments over time by SIL status&#10;&#10;The charts show the average annualised payments, split for participants with and without SIL, over time. For participants with SIL, average annualised payments start from $243,317 in 2018-19 to $340,859 in 2021-22, an average increase of 11.9% p.a. &#10;For participants without SIL, average annualised payments start from $26,421 in 2018-19 to $39,471 in 2021-22, an increase of 14.4% p.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Figure 5: Average annualised payments over time by SIL status&#10;&#10;The charts show the average annualised payments, split for participants with and without SIL, over time. For participants with SIL, average annualised payments start from $243,317 in 2018-19 to $340,859 in 2021-22, an average increase of 11.9% p.a. &#10;For participants without SIL, average annualised payments start from $26,421 in 2018-19 to $39,471 in 2021-22, an increase of 14.4% p.a.&#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1510" cy="2195830"/>
                    </a:xfrm>
                    <a:prstGeom prst="rect">
                      <a:avLst/>
                    </a:prstGeom>
                    <a:noFill/>
                    <a:ln>
                      <a:noFill/>
                    </a:ln>
                  </pic:spPr>
                </pic:pic>
              </a:graphicData>
            </a:graphic>
          </wp:inline>
        </w:drawing>
      </w:r>
    </w:p>
    <w:p w14:paraId="69C17CD6" w14:textId="77777777" w:rsidR="0093332E" w:rsidRPr="000E6D8A" w:rsidRDefault="0026179D" w:rsidP="0093332E">
      <w:pPr>
        <w:pStyle w:val="FSRnormal"/>
      </w:pPr>
      <w:r w:rsidRPr="00164A79">
        <w:t xml:space="preserve">Figure </w:t>
      </w:r>
      <w:r>
        <w:rPr>
          <w:noProof/>
        </w:rPr>
        <w:t>4</w:t>
      </w:r>
      <w:r>
        <w:t>.</w:t>
      </w:r>
      <w:r>
        <w:rPr>
          <w:noProof/>
        </w:rPr>
        <w:t>1</w:t>
      </w:r>
      <w:r w:rsidR="00796DB5">
        <w:rPr>
          <w:noProof/>
        </w:rPr>
        <w:t>2</w:t>
      </w:r>
      <w:r w:rsidR="0093332E" w:rsidRPr="00FE163D">
        <w:t xml:space="preserve"> </w:t>
      </w:r>
      <w:r w:rsidR="0093332E">
        <w:t xml:space="preserve">shows </w:t>
      </w:r>
      <w:r w:rsidR="0093332E" w:rsidRPr="00FE163D">
        <w:t xml:space="preserve">the change in average payment over time by age band for participants </w:t>
      </w:r>
      <w:r w:rsidR="0093332E">
        <w:t>without</w:t>
      </w:r>
      <w:r w:rsidR="0093332E" w:rsidRPr="000E6D8A">
        <w:t xml:space="preserve"> SIL. The average</w:t>
      </w:r>
      <w:r w:rsidR="0093332E">
        <w:t xml:space="preserve"> annual</w:t>
      </w:r>
      <w:r w:rsidR="0093332E" w:rsidRPr="000E6D8A">
        <w:t xml:space="preserve"> increase</w:t>
      </w:r>
      <w:r w:rsidR="0093332E">
        <w:t xml:space="preserve"> over the last three years</w:t>
      </w:r>
      <w:r w:rsidR="0093332E" w:rsidRPr="000E6D8A">
        <w:t xml:space="preserve"> for </w:t>
      </w:r>
      <w:r w:rsidR="0093332E">
        <w:t xml:space="preserve">participants aged </w:t>
      </w:r>
      <w:r w:rsidR="0093332E" w:rsidRPr="000E6D8A">
        <w:t xml:space="preserve">0 to 14 is </w:t>
      </w:r>
      <w:r w:rsidR="0093332E">
        <w:t xml:space="preserve">10% </w:t>
      </w:r>
      <w:r w:rsidR="00D067C5">
        <w:t>per annum</w:t>
      </w:r>
      <w:r w:rsidR="0093332E" w:rsidRPr="000E6D8A">
        <w:t>, the average increa</w:t>
      </w:r>
      <w:r w:rsidR="0093332E">
        <w:t xml:space="preserve">se for participants aged 15 to 24 is 9% </w:t>
      </w:r>
      <w:r w:rsidR="00D067C5">
        <w:t>per annum</w:t>
      </w:r>
      <w:r w:rsidR="0093332E" w:rsidRPr="000E6D8A">
        <w:t xml:space="preserve">, the average increase for </w:t>
      </w:r>
      <w:r w:rsidR="0093332E">
        <w:t xml:space="preserve">participants aged </w:t>
      </w:r>
      <w:r w:rsidR="0093332E" w:rsidRPr="000E6D8A">
        <w:t xml:space="preserve">25 to 64 is </w:t>
      </w:r>
      <w:r w:rsidR="0093332E">
        <w:t>19</w:t>
      </w:r>
      <w:r w:rsidR="0093332E" w:rsidRPr="000E6D8A">
        <w:t>%</w:t>
      </w:r>
      <w:r w:rsidR="0093332E">
        <w:t xml:space="preserve"> </w:t>
      </w:r>
      <w:r w:rsidR="00D067C5">
        <w:t>per annum</w:t>
      </w:r>
      <w:r w:rsidR="00286969">
        <w:rPr>
          <w:rStyle w:val="FootnoteReference"/>
        </w:rPr>
        <w:footnoteReference w:id="65"/>
      </w:r>
      <w:r w:rsidR="0093332E" w:rsidRPr="000E6D8A">
        <w:t>, and the average increase for</w:t>
      </w:r>
      <w:r w:rsidR="0093332E">
        <w:t xml:space="preserve"> participants aged over 65 is 20</w:t>
      </w:r>
      <w:r w:rsidR="0093332E" w:rsidRPr="000E6D8A">
        <w:t>%</w:t>
      </w:r>
      <w:r w:rsidR="0093332E">
        <w:t xml:space="preserve"> </w:t>
      </w:r>
      <w:r w:rsidR="00D067C5">
        <w:t>per annum.</w:t>
      </w:r>
      <w:r w:rsidR="0093332E" w:rsidRPr="000E6D8A">
        <w:t xml:space="preserve"> For participants</w:t>
      </w:r>
      <w:r w:rsidR="00D067C5">
        <w:t xml:space="preserve"> without SIL</w:t>
      </w:r>
      <w:r w:rsidR="0093332E" w:rsidRPr="000E6D8A">
        <w:t>, average payments have increased at a faster rate for adults (those aged over 25) and reflects a material increase in the hours of attendant care support these participants are receiving over time.</w:t>
      </w:r>
    </w:p>
    <w:p w14:paraId="3EDEFD5A" w14:textId="77777777" w:rsidR="0093332E" w:rsidRPr="00B14DF0" w:rsidRDefault="0093332E" w:rsidP="0093332E">
      <w:pPr>
        <w:pStyle w:val="Figures"/>
      </w:pPr>
      <w:r w:rsidRPr="00164A79">
        <w:lastRenderedPageBreak/>
        <w:t xml:space="preserve">Figure </w:t>
      </w:r>
      <w:fldSimple w:instr=" STYLEREF 2 \s ">
        <w:r w:rsidR="00447AA1">
          <w:rPr>
            <w:noProof/>
          </w:rPr>
          <w:t>4</w:t>
        </w:r>
      </w:fldSimple>
      <w:r w:rsidR="00447AA1">
        <w:t>.</w:t>
      </w:r>
      <w:fldSimple w:instr=" SEQ Figure \* ARABIC \s 2 ">
        <w:r w:rsidR="00447AA1">
          <w:rPr>
            <w:noProof/>
          </w:rPr>
          <w:t>12</w:t>
        </w:r>
      </w:fldSimple>
      <w:r w:rsidRPr="00164A79">
        <w:t>: Average annualised payments over time for non-SIL participants by age</w:t>
      </w:r>
      <w:r w:rsidRPr="00B14DF0">
        <w:t xml:space="preserve"> band</w:t>
      </w:r>
      <w:r w:rsidR="008E3FF2">
        <w:t xml:space="preserve"> ($)</w:t>
      </w:r>
      <w:r w:rsidRPr="00DC5E78">
        <w:rPr>
          <w:vertAlign w:val="superscript"/>
        </w:rPr>
        <w:footnoteReference w:id="66"/>
      </w:r>
    </w:p>
    <w:p w14:paraId="0BAA36D9" w14:textId="77777777" w:rsidR="0093332E" w:rsidRDefault="00040393" w:rsidP="0093332E">
      <w:pPr>
        <w:pStyle w:val="FSRnormal"/>
      </w:pPr>
      <w:r w:rsidRPr="007E5211">
        <w:rPr>
          <w:noProof/>
          <w:lang w:eastAsia="en-AU"/>
        </w:rPr>
        <w:drawing>
          <wp:inline distT="0" distB="0" distL="0" distR="0" wp14:anchorId="516ED897" wp14:editId="2477E97B">
            <wp:extent cx="5731510" cy="3672205"/>
            <wp:effectExtent l="0" t="0" r="2540" b="4445"/>
            <wp:docPr id="41" name="Picture 41" descr="The chart shows the average annualised payments for participants without SIL, split by age band, over time. For age band 0 to 14, average annualised payments start from $14,080 in 2018-19 to $18,731 in 2021-22, an average increase of 10% p.a. For age band 15 to 24, average annualised payments start from $32,160 in 2018-19 to $41,883 in 2021-22, an average increase of 9% p.a. For age band 25 to 64, average annualised payments start from $36,173 in 2018-19 to $60,647 in 2021-22, an average increase of 19% p.a. For age band 65+, average annualised payments start from $38,823 in 2018-19 to $67,445 in 2021-22, an average increase of 20% p.a." title="Figure 4.12: Average annualised payments over time for participants without SIL by age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Figure 6: Average annualised payments over time for participants without SIL by age band&#10;&#10;The chart shows the average annualised payments for participants without SIL, split by age band, over time. For age band 0 to 14, average annualised payments start from $14,080 in 2018-19 to $18,731 in 2021-22, an average increase of 10% p.a. For age band 15 to 24, average annualised payments start from $32,160 in 2018-19 to $41,883 in 2021-22, an average increase of 9% p.a. For age band 25 to 64, average annualised payments start from $36,173 in 2018-19 to $60,647 in 2021-22, an average increase of 19% p.a. For age band 65+, average annualised payments start from $38,823 in 2018-19 to $67,445 in 2021-22, an average increase of 20% p.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3672205"/>
                    </a:xfrm>
                    <a:prstGeom prst="rect">
                      <a:avLst/>
                    </a:prstGeom>
                    <a:noFill/>
                    <a:ln>
                      <a:noFill/>
                    </a:ln>
                  </pic:spPr>
                </pic:pic>
              </a:graphicData>
            </a:graphic>
          </wp:inline>
        </w:drawing>
      </w:r>
    </w:p>
    <w:p w14:paraId="1C06CB72" w14:textId="77777777" w:rsidR="0093332E" w:rsidRDefault="0093332E" w:rsidP="0093332E">
      <w:pPr>
        <w:pStyle w:val="FSRnormal"/>
      </w:pPr>
      <w:r w:rsidRPr="00EF0091">
        <w:t xml:space="preserve">Between 2020-21 and 2021-22, growth in the average </w:t>
      </w:r>
      <w:r w:rsidR="008E3FF2" w:rsidRPr="00EF0091">
        <w:t xml:space="preserve">annualised </w:t>
      </w:r>
      <w:r w:rsidRPr="00EF0091">
        <w:t xml:space="preserve">payment for age groups other than those aged </w:t>
      </w:r>
      <w:r w:rsidR="00D9305B" w:rsidRPr="00EF0091">
        <w:t xml:space="preserve">25-64 </w:t>
      </w:r>
      <w:r w:rsidRPr="00EF0091">
        <w:t>was approximately 1%, while those aged</w:t>
      </w:r>
      <w:r w:rsidR="00D9305B" w:rsidRPr="00EF0091">
        <w:t xml:space="preserve"> 25-64 </w:t>
      </w:r>
      <w:r w:rsidRPr="00EF0091">
        <w:t xml:space="preserve">experienced an increase of 6% in their </w:t>
      </w:r>
      <w:r w:rsidR="00D9305B" w:rsidRPr="00EF0091">
        <w:t>average payment</w:t>
      </w:r>
      <w:r w:rsidR="00286969" w:rsidRPr="00EF0091">
        <w:t>. Over the same period the proportion of participants aged 25 to 64 years has reduced</w:t>
      </w:r>
      <w:r w:rsidR="00D9305B" w:rsidRPr="00EF0091">
        <w:t xml:space="preserve">, as shown in Figure </w:t>
      </w:r>
      <w:r w:rsidR="00D9305B" w:rsidRPr="00EF0091">
        <w:rPr>
          <w:noProof/>
        </w:rPr>
        <w:t>4</w:t>
      </w:r>
      <w:r w:rsidR="00D9305B" w:rsidRPr="00EF0091">
        <w:t>.</w:t>
      </w:r>
      <w:r w:rsidR="00D9305B" w:rsidRPr="00EF0091">
        <w:rPr>
          <w:noProof/>
        </w:rPr>
        <w:t>13</w:t>
      </w:r>
      <w:r w:rsidR="00D9305B" w:rsidRPr="00EF0091">
        <w:t xml:space="preserve">. </w:t>
      </w:r>
      <w:r w:rsidR="001458E3" w:rsidRPr="00EF0091">
        <w:t>The lower growth in average payments for participant cohorts which are growing as a proportion of the Scheme has contributed to</w:t>
      </w:r>
      <w:r w:rsidR="00D9305B" w:rsidRPr="00EF0091">
        <w:t xml:space="preserve"> the </w:t>
      </w:r>
      <w:r w:rsidR="001458E3" w:rsidRPr="00EF0091">
        <w:t xml:space="preserve">overall </w:t>
      </w:r>
      <w:r w:rsidR="00D9305B" w:rsidRPr="00EF0091">
        <w:t>low</w:t>
      </w:r>
      <w:r w:rsidR="001458E3" w:rsidRPr="00EF0091">
        <w:t>er</w:t>
      </w:r>
      <w:r w:rsidR="00D9305B" w:rsidRPr="00EF0091">
        <w:t xml:space="preserve"> average payment growth experienced in 2021-22</w:t>
      </w:r>
      <w:r w:rsidR="00040393">
        <w:t>.</w:t>
      </w:r>
    </w:p>
    <w:p w14:paraId="4BB7991F" w14:textId="77777777" w:rsidR="0093332E" w:rsidRPr="00B14DF0" w:rsidRDefault="0093332E" w:rsidP="0093332E">
      <w:pPr>
        <w:pStyle w:val="Figures"/>
      </w:pPr>
      <w:bookmarkStart w:id="75" w:name="_Ref113903043"/>
      <w:r w:rsidRPr="00B14DF0">
        <w:lastRenderedPageBreak/>
        <w:t xml:space="preserve">Figure </w:t>
      </w:r>
      <w:fldSimple w:instr=" STYLEREF 2 \s ">
        <w:r w:rsidR="00447AA1">
          <w:rPr>
            <w:noProof/>
          </w:rPr>
          <w:t>4</w:t>
        </w:r>
      </w:fldSimple>
      <w:r w:rsidR="00447AA1">
        <w:t>.</w:t>
      </w:r>
      <w:fldSimple w:instr=" SEQ Figure \* ARABIC \s 2 ">
        <w:r w:rsidR="00447AA1">
          <w:rPr>
            <w:noProof/>
          </w:rPr>
          <w:t>13</w:t>
        </w:r>
      </w:fldSimple>
      <w:bookmarkEnd w:id="75"/>
      <w:r>
        <w:t>:</w:t>
      </w:r>
      <w:r w:rsidRPr="00B14DF0">
        <w:t xml:space="preserve"> A</w:t>
      </w:r>
      <w:r>
        <w:t>vera</w:t>
      </w:r>
      <w:r w:rsidRPr="00B14DF0">
        <w:t xml:space="preserve">ge </w:t>
      </w:r>
      <w:r w:rsidR="001458E3">
        <w:t>d</w:t>
      </w:r>
      <w:r w:rsidRPr="00B14DF0">
        <w:t>istribution of participants</w:t>
      </w:r>
      <w:r w:rsidR="00040393">
        <w:t xml:space="preserve"> without SIL</w:t>
      </w:r>
      <w:r w:rsidRPr="00B14DF0">
        <w:t xml:space="preserve"> by age band</w:t>
      </w:r>
    </w:p>
    <w:p w14:paraId="5D7A29C1" w14:textId="77777777" w:rsidR="0093332E" w:rsidRPr="000E6D8A" w:rsidRDefault="00040393" w:rsidP="0093332E">
      <w:pPr>
        <w:pStyle w:val="FSRnormal"/>
      </w:pPr>
      <w:r w:rsidRPr="00040393">
        <w:rPr>
          <w:noProof/>
          <w:lang w:eastAsia="en-AU"/>
        </w:rPr>
        <w:drawing>
          <wp:inline distT="0" distB="0" distL="0" distR="0" wp14:anchorId="2744D83F" wp14:editId="1728A415">
            <wp:extent cx="4895850" cy="3435350"/>
            <wp:effectExtent l="0" t="0" r="0" b="0"/>
            <wp:docPr id="42" name="Picture 42" descr="Chart shows the distribution of participants without SIL, by age band over time. &#10;For 2018-19 on average, the distribution is 41.1% for age band 0 to 14, 17.7% for age band 15 to 24, 39.0% for age band 25 to 64 and 2.2% for age band 65+.&#10;For 2019-20 on average, the distribution is 42.4% for age band 0 to 14, 16.7% for age band 15 to 24, 38.3% for age band 25 to 64 and 2.6% for age band 65+.&#10;For 2020-21 on average, the distribution is 43.5% for age band 0 to 14, 16.3% for age band 15 to 24, 37.0% for age band 25 to 64 and 3.1% for age band 65+.&#10;For 2021-22 on average, the distribution is 43.7% for age band 0 to 14, 16.6% for age band 15 to 24, 36.1% for age band 25 to 64 and 3.7% for age band 65+." title="Figure 4.13: Average distribution of participants without SIL by age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Figure 4.13: Average distribution of participants without SIL by age band&#10;&#10;Chart shows the distribution of participants without SIL, by age band over time. &#10;For 2018-19, the distribution is 41.1% for age band 0 to 14, 17.7% for age band 15 to 24, 39.0% for age band 25 to 64 and 2.2% for age band 65+.&#10;For 2019-20, the distribution is 42.4% for age band 0 to 14, 16.7% for age band 15 to 24, 38.3% for age band 25 to 64 and 2.6% for age band 65+.&#10;For 2020-21, the distribution is 43.5% for age band 0 to 14, 16.3% for age band 15 to 24, 37.0% for age band 25 to 64 and 3.1% for age band 65+.&#10;For 2021-22, the distribution is 43.7% for age band 0 to 14, 16.6% for age band 15 to 24, 36.1% for age band 25 to 64 and 3.7% for age band 65+.&#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95850" cy="3435350"/>
                    </a:xfrm>
                    <a:prstGeom prst="rect">
                      <a:avLst/>
                    </a:prstGeom>
                    <a:noFill/>
                    <a:ln>
                      <a:noFill/>
                    </a:ln>
                  </pic:spPr>
                </pic:pic>
              </a:graphicData>
            </a:graphic>
          </wp:inline>
        </w:drawing>
      </w:r>
    </w:p>
    <w:p w14:paraId="32A0B5BE" w14:textId="77777777" w:rsidR="0093332E" w:rsidRPr="00C53CDC" w:rsidRDefault="0093332E" w:rsidP="0093332E">
      <w:pPr>
        <w:pStyle w:val="FSRHeading5"/>
      </w:pPr>
      <w:r w:rsidRPr="00C53CDC">
        <w:t xml:space="preserve">The average </w:t>
      </w:r>
      <w:r w:rsidR="001458E3">
        <w:t xml:space="preserve">annualised </w:t>
      </w:r>
      <w:r w:rsidRPr="00C53CDC">
        <w:t>payment per participant is lower for new entrants (on a mix-adjusted basis)</w:t>
      </w:r>
    </w:p>
    <w:p w14:paraId="5A6911B0" w14:textId="77777777" w:rsidR="0093332E" w:rsidRDefault="0093332E" w:rsidP="0093332E">
      <w:pPr>
        <w:pStyle w:val="FSRnormal"/>
        <w:rPr>
          <w:lang w:val="en-US"/>
        </w:rPr>
      </w:pPr>
      <w:r>
        <w:rPr>
          <w:lang w:val="en-US"/>
        </w:rPr>
        <w:t>In 2021-22</w:t>
      </w:r>
      <w:r w:rsidR="001458E3">
        <w:rPr>
          <w:lang w:val="en-US"/>
        </w:rPr>
        <w:t>,</w:t>
      </w:r>
      <w:r w:rsidRPr="003C4335">
        <w:rPr>
          <w:lang w:val="en-US"/>
        </w:rPr>
        <w:t xml:space="preserve"> the average</w:t>
      </w:r>
      <w:r>
        <w:rPr>
          <w:lang w:val="en-US"/>
        </w:rPr>
        <w:t xml:space="preserve"> annualised</w:t>
      </w:r>
      <w:r w:rsidRPr="003C4335">
        <w:rPr>
          <w:lang w:val="en-US"/>
        </w:rPr>
        <w:t xml:space="preserve"> </w:t>
      </w:r>
      <w:r>
        <w:rPr>
          <w:lang w:val="en-US"/>
        </w:rPr>
        <w:t xml:space="preserve">payment </w:t>
      </w:r>
      <w:r w:rsidRPr="003C4335">
        <w:rPr>
          <w:lang w:val="en-US"/>
        </w:rPr>
        <w:t>for recent non-SIL</w:t>
      </w:r>
      <w:r>
        <w:rPr>
          <w:lang w:val="en-US"/>
        </w:rPr>
        <w:t xml:space="preserve"> new entrants is approximately 15</w:t>
      </w:r>
      <w:r w:rsidRPr="003C4335">
        <w:rPr>
          <w:lang w:val="en-US"/>
        </w:rPr>
        <w:t xml:space="preserve">% lower than the average </w:t>
      </w:r>
      <w:r>
        <w:rPr>
          <w:lang w:val="en-US"/>
        </w:rPr>
        <w:t xml:space="preserve">payment </w:t>
      </w:r>
      <w:r w:rsidRPr="003C4335">
        <w:rPr>
          <w:lang w:val="en-US"/>
        </w:rPr>
        <w:t xml:space="preserve">for all participants, on a </w:t>
      </w:r>
      <w:r>
        <w:rPr>
          <w:lang w:val="en-US"/>
        </w:rPr>
        <w:t>mix</w:t>
      </w:r>
      <w:r w:rsidRPr="003C4335">
        <w:rPr>
          <w:lang w:val="en-US"/>
        </w:rPr>
        <w:t>-adjusted basis</w:t>
      </w:r>
      <w:r w:rsidRPr="003C4335">
        <w:rPr>
          <w:rStyle w:val="FootnoteReference"/>
        </w:rPr>
        <w:footnoteReference w:id="67"/>
      </w:r>
      <w:r w:rsidRPr="003C4335">
        <w:rPr>
          <w:lang w:val="en-US"/>
        </w:rPr>
        <w:t xml:space="preserve"> (</w:t>
      </w:r>
      <w:r w:rsidR="0026179D" w:rsidRPr="00B14DF0">
        <w:t xml:space="preserve">Figure </w:t>
      </w:r>
      <w:r w:rsidR="0026179D">
        <w:rPr>
          <w:noProof/>
        </w:rPr>
        <w:t>4</w:t>
      </w:r>
      <w:r w:rsidR="0026179D">
        <w:t>.</w:t>
      </w:r>
      <w:r w:rsidR="0026179D">
        <w:rPr>
          <w:noProof/>
        </w:rPr>
        <w:t>14</w:t>
      </w:r>
      <w:r w:rsidRPr="003C7CF0">
        <w:rPr>
          <w:lang w:val="en-US"/>
        </w:rPr>
        <w:t>). Given that age and primary disability are objective, it is reasonable to infer that t</w:t>
      </w:r>
      <w:r>
        <w:rPr>
          <w:lang w:val="en-US"/>
        </w:rPr>
        <w:t xml:space="preserve">his variance results from the average payment for new entrants, with a given level of function, varying from that of the population more broadly. </w:t>
      </w:r>
    </w:p>
    <w:p w14:paraId="0BD87AB6" w14:textId="77777777" w:rsidR="0093332E" w:rsidRDefault="0093332E" w:rsidP="0093332E">
      <w:pPr>
        <w:pStyle w:val="Figures"/>
      </w:pPr>
      <w:bookmarkStart w:id="76" w:name="_Ref113273493"/>
      <w:r w:rsidRPr="00B14DF0">
        <w:lastRenderedPageBreak/>
        <w:t xml:space="preserve">Figure </w:t>
      </w:r>
      <w:fldSimple w:instr=" STYLEREF 2 \s ">
        <w:r w:rsidR="00447AA1">
          <w:rPr>
            <w:noProof/>
          </w:rPr>
          <w:t>4</w:t>
        </w:r>
      </w:fldSimple>
      <w:r w:rsidR="00447AA1">
        <w:t>.</w:t>
      </w:r>
      <w:fldSimple w:instr=" SEQ Figure \* ARABIC \s 2 ">
        <w:r w:rsidR="00447AA1">
          <w:rPr>
            <w:noProof/>
          </w:rPr>
          <w:t>14</w:t>
        </w:r>
      </w:fldSimple>
      <w:bookmarkEnd w:id="76"/>
      <w:r w:rsidRPr="00B14DF0">
        <w:t xml:space="preserve">: </w:t>
      </w:r>
      <w:r w:rsidR="00E12E97" w:rsidRPr="00E12E97">
        <w:t>Mix-adjusted average payment for participants without SIL</w:t>
      </w:r>
    </w:p>
    <w:p w14:paraId="0AE84F91" w14:textId="77777777" w:rsidR="0093332E" w:rsidRDefault="00866C90" w:rsidP="0093332E">
      <w:pPr>
        <w:pStyle w:val="FSRnormal"/>
      </w:pPr>
      <w:r w:rsidRPr="00866C90">
        <w:rPr>
          <w:noProof/>
          <w:lang w:eastAsia="en-AU"/>
        </w:rPr>
        <w:drawing>
          <wp:inline distT="0" distB="0" distL="0" distR="0" wp14:anchorId="0D2B8024" wp14:editId="58DF95A1">
            <wp:extent cx="5731510" cy="3046897"/>
            <wp:effectExtent l="0" t="0" r="2540" b="1270"/>
            <wp:docPr id="199784950" name="Picture 199784950" descr="Chart shows mix-adjusted average payments for participants without SIL. The average payment is $39,862 for all participants without SIL and $33,862 for recent entrants without SIL, a difference of -15%." title="Figure 4.14: Mix-adjusted average payment for participants without S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3046897"/>
                    </a:xfrm>
                    <a:prstGeom prst="rect">
                      <a:avLst/>
                    </a:prstGeom>
                    <a:noFill/>
                    <a:ln>
                      <a:noFill/>
                    </a:ln>
                  </pic:spPr>
                </pic:pic>
              </a:graphicData>
            </a:graphic>
          </wp:inline>
        </w:drawing>
      </w:r>
    </w:p>
    <w:p w14:paraId="0D41310A" w14:textId="77777777" w:rsidR="001B0D3C" w:rsidRDefault="001B0D3C">
      <w:pPr>
        <w:spacing w:after="160" w:line="259" w:lineRule="auto"/>
      </w:pPr>
    </w:p>
    <w:p w14:paraId="19030B6D" w14:textId="77777777" w:rsidR="0093332E" w:rsidRPr="00A3032F" w:rsidRDefault="0093332E" w:rsidP="0093332E">
      <w:pPr>
        <w:pStyle w:val="Heading3"/>
      </w:pPr>
      <w:bookmarkStart w:id="77" w:name="_Toc116563068"/>
      <w:bookmarkStart w:id="78" w:name="_Toc116632833"/>
      <w:bookmarkStart w:id="79" w:name="_Toc116632885"/>
      <w:bookmarkStart w:id="80" w:name="_Toc118460196"/>
      <w:bookmarkEnd w:id="77"/>
      <w:bookmarkEnd w:id="78"/>
      <w:bookmarkEnd w:id="79"/>
      <w:r w:rsidRPr="00A3032F">
        <w:t>Scheme payment inflation experience</w:t>
      </w:r>
      <w:bookmarkEnd w:id="80"/>
      <w:r w:rsidRPr="00A3032F">
        <w:t xml:space="preserve"> </w:t>
      </w:r>
    </w:p>
    <w:p w14:paraId="24DA1051" w14:textId="77777777" w:rsidR="0093332E" w:rsidRPr="00C53CDC" w:rsidRDefault="0093332E" w:rsidP="0093332E">
      <w:pPr>
        <w:spacing w:after="120" w:line="264" w:lineRule="auto"/>
        <w:rPr>
          <w:rFonts w:cs="Arial"/>
          <w:szCs w:val="22"/>
          <w:lang w:eastAsia="en-US"/>
        </w:rPr>
      </w:pPr>
      <w:r w:rsidRPr="00C53CDC">
        <w:rPr>
          <w:rFonts w:cs="Arial"/>
          <w:szCs w:val="22"/>
          <w:lang w:eastAsia="en-US"/>
        </w:rPr>
        <w:t xml:space="preserve">An analysis has been undertaken to quantify the components of historic inflation </w:t>
      </w:r>
      <w:r w:rsidR="000735AD" w:rsidRPr="00D115DA">
        <w:rPr>
          <w:rFonts w:cs="Arial"/>
          <w:szCs w:val="22"/>
          <w:lang w:eastAsia="en-US"/>
        </w:rPr>
        <w:t>in payments for participants</w:t>
      </w:r>
      <w:r w:rsidR="000735AD">
        <w:rPr>
          <w:rFonts w:cs="Arial"/>
          <w:szCs w:val="22"/>
          <w:lang w:eastAsia="en-US"/>
        </w:rPr>
        <w:t xml:space="preserve"> </w:t>
      </w:r>
      <w:r w:rsidRPr="00C53CDC">
        <w:rPr>
          <w:rFonts w:cs="Arial"/>
          <w:szCs w:val="22"/>
          <w:lang w:eastAsia="en-US"/>
        </w:rPr>
        <w:t xml:space="preserve">by </w:t>
      </w:r>
      <w:r w:rsidR="000735AD">
        <w:rPr>
          <w:rFonts w:cs="Arial"/>
          <w:szCs w:val="22"/>
          <w:lang w:eastAsia="en-US"/>
        </w:rPr>
        <w:t xml:space="preserve">the </w:t>
      </w:r>
      <w:r w:rsidRPr="00C53CDC">
        <w:rPr>
          <w:rFonts w:cs="Arial"/>
          <w:szCs w:val="22"/>
          <w:lang w:eastAsia="en-US"/>
        </w:rPr>
        <w:t>underlying driver</w:t>
      </w:r>
      <w:r w:rsidR="000735AD">
        <w:rPr>
          <w:rFonts w:cs="Arial"/>
          <w:szCs w:val="22"/>
          <w:lang w:eastAsia="en-US"/>
        </w:rPr>
        <w:t xml:space="preserve"> of the increase</w:t>
      </w:r>
      <w:r w:rsidRPr="00C53CDC">
        <w:rPr>
          <w:rFonts w:cs="Arial"/>
          <w:szCs w:val="22"/>
          <w:lang w:eastAsia="en-US"/>
        </w:rPr>
        <w:t xml:space="preserve">. </w:t>
      </w:r>
      <w:r w:rsidR="00EF0091">
        <w:rPr>
          <w:rFonts w:cs="Arial"/>
          <w:szCs w:val="22"/>
          <w:lang w:eastAsia="en-US"/>
        </w:rPr>
        <w:t>Table 4.13</w:t>
      </w:r>
      <w:r w:rsidRPr="00C53CDC">
        <w:rPr>
          <w:rFonts w:cs="Arial"/>
          <w:szCs w:val="22"/>
          <w:lang w:eastAsia="en-US"/>
        </w:rPr>
        <w:t xml:space="preserve"> sets out the results of the experience analysis where inflation is measured as the annual change in average payments. </w:t>
      </w:r>
    </w:p>
    <w:p w14:paraId="5CB0C459" w14:textId="77777777" w:rsidR="007264B8" w:rsidRDefault="007264B8">
      <w:pPr>
        <w:spacing w:after="160" w:line="259" w:lineRule="auto"/>
        <w:rPr>
          <w:rFonts w:eastAsiaTheme="minorHAnsi"/>
          <w:b/>
          <w:bCs/>
          <w:szCs w:val="18"/>
          <w:lang w:eastAsia="en-US"/>
        </w:rPr>
      </w:pPr>
      <w:r>
        <w:br w:type="page"/>
      </w:r>
    </w:p>
    <w:p w14:paraId="04696AC5" w14:textId="77777777" w:rsidR="0093332E" w:rsidRDefault="0093332E" w:rsidP="0026179D">
      <w:pPr>
        <w:pStyle w:val="Tables"/>
      </w:pPr>
      <w:r>
        <w:lastRenderedPageBreak/>
        <w:t xml:space="preserve">Table </w:t>
      </w:r>
      <w:fldSimple w:instr=" STYLEREF 2 \s ">
        <w:r w:rsidR="00A87896">
          <w:rPr>
            <w:noProof/>
          </w:rPr>
          <w:t>4</w:t>
        </w:r>
      </w:fldSimple>
      <w:r w:rsidR="00A87896">
        <w:t>.</w:t>
      </w:r>
      <w:fldSimple w:instr=" SEQ Table \* ARABIC \s 2 ">
        <w:r w:rsidR="00A87896">
          <w:rPr>
            <w:noProof/>
          </w:rPr>
          <w:t>13</w:t>
        </w:r>
      </w:fldSimple>
      <w:r>
        <w:t>:</w:t>
      </w:r>
      <w:r w:rsidRPr="00D90406">
        <w:t xml:space="preserve"> </w:t>
      </w:r>
      <w:r w:rsidRPr="00A3032F">
        <w:t>Breakdown of past observed inflation</w:t>
      </w:r>
    </w:p>
    <w:tbl>
      <w:tblPr>
        <w:tblStyle w:val="SustainabilityTable"/>
        <w:tblW w:w="95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806"/>
        <w:gridCol w:w="975"/>
        <w:gridCol w:w="901"/>
        <w:gridCol w:w="901"/>
        <w:gridCol w:w="901"/>
        <w:gridCol w:w="927"/>
        <w:gridCol w:w="1129"/>
      </w:tblGrid>
      <w:tr w:rsidR="00282494" w:rsidRPr="00C00575" w14:paraId="65C711E3" w14:textId="77777777" w:rsidTr="002B79D9">
        <w:trPr>
          <w:cnfStyle w:val="100000000000" w:firstRow="1" w:lastRow="0" w:firstColumn="0" w:lastColumn="0" w:oddVBand="0" w:evenVBand="0" w:oddHBand="0" w:evenHBand="0" w:firstRowFirstColumn="0" w:firstRowLastColumn="0" w:lastRowFirstColumn="0" w:lastRowLastColumn="0"/>
          <w:trHeight w:val="397"/>
          <w:tblHeader/>
        </w:trPr>
        <w:tc>
          <w:tcPr>
            <w:tcW w:w="3806" w:type="dxa"/>
            <w:tcBorders>
              <w:bottom w:val="none" w:sz="0" w:space="0" w:color="auto"/>
            </w:tcBorders>
            <w:shd w:val="clear" w:color="auto" w:fill="6B2976"/>
            <w:noWrap/>
            <w:vAlign w:val="center"/>
            <w:hideMark/>
          </w:tcPr>
          <w:p w14:paraId="5B31B246" w14:textId="77777777" w:rsidR="0093332E" w:rsidRPr="00C00575" w:rsidRDefault="0093332E" w:rsidP="008E21F6">
            <w:pPr>
              <w:keepNext/>
              <w:keepLines/>
              <w:spacing w:after="0" w:line="264" w:lineRule="auto"/>
              <w:rPr>
                <w:rFonts w:eastAsia="Times New Roman" w:cs="Arial"/>
                <w:i w:val="0"/>
                <w:color w:val="FFFFFF"/>
                <w:sz w:val="18"/>
                <w:szCs w:val="18"/>
                <w:lang w:eastAsia="en-AU"/>
              </w:rPr>
            </w:pPr>
            <w:r w:rsidRPr="00C00575">
              <w:rPr>
                <w:rFonts w:eastAsia="Times New Roman" w:cs="Arial"/>
                <w:i w:val="0"/>
                <w:color w:val="FFFFFF"/>
                <w:sz w:val="18"/>
                <w:szCs w:val="18"/>
                <w:lang w:eastAsia="en-AU"/>
              </w:rPr>
              <w:t>Item of inflation</w:t>
            </w:r>
          </w:p>
        </w:tc>
        <w:tc>
          <w:tcPr>
            <w:tcW w:w="975" w:type="dxa"/>
            <w:tcBorders>
              <w:bottom w:val="none" w:sz="0" w:space="0" w:color="auto"/>
            </w:tcBorders>
            <w:shd w:val="clear" w:color="auto" w:fill="6B2976"/>
            <w:noWrap/>
            <w:vAlign w:val="center"/>
            <w:hideMark/>
          </w:tcPr>
          <w:p w14:paraId="1C9115CD" w14:textId="77777777" w:rsidR="0093332E" w:rsidRPr="00C00575" w:rsidRDefault="0093332E" w:rsidP="008E21F6">
            <w:pPr>
              <w:keepNext/>
              <w:keepLines/>
              <w:spacing w:after="0" w:line="264" w:lineRule="auto"/>
              <w:jc w:val="right"/>
              <w:rPr>
                <w:rFonts w:eastAsia="Times New Roman" w:cs="Arial"/>
                <w:i w:val="0"/>
                <w:color w:val="FFFFFF"/>
                <w:sz w:val="18"/>
                <w:szCs w:val="18"/>
                <w:lang w:eastAsia="en-AU"/>
              </w:rPr>
            </w:pPr>
            <w:r w:rsidRPr="00C00575">
              <w:rPr>
                <w:rFonts w:eastAsia="Times New Roman" w:cs="Arial"/>
                <w:i w:val="0"/>
                <w:color w:val="FFFFFF"/>
                <w:sz w:val="18"/>
                <w:szCs w:val="18"/>
                <w:lang w:eastAsia="en-AU"/>
              </w:rPr>
              <w:t>2018-19</w:t>
            </w:r>
          </w:p>
        </w:tc>
        <w:tc>
          <w:tcPr>
            <w:tcW w:w="901" w:type="dxa"/>
            <w:tcBorders>
              <w:bottom w:val="none" w:sz="0" w:space="0" w:color="auto"/>
            </w:tcBorders>
            <w:shd w:val="clear" w:color="auto" w:fill="6B2976"/>
            <w:noWrap/>
            <w:vAlign w:val="center"/>
            <w:hideMark/>
          </w:tcPr>
          <w:p w14:paraId="04FE224F" w14:textId="77777777" w:rsidR="0093332E" w:rsidRPr="00C00575" w:rsidRDefault="0093332E" w:rsidP="008E21F6">
            <w:pPr>
              <w:keepNext/>
              <w:keepLines/>
              <w:spacing w:after="0" w:line="264" w:lineRule="auto"/>
              <w:jc w:val="right"/>
              <w:rPr>
                <w:rFonts w:eastAsia="Times New Roman" w:cs="Arial"/>
                <w:i w:val="0"/>
                <w:color w:val="FFFFFF"/>
                <w:sz w:val="18"/>
                <w:szCs w:val="18"/>
                <w:lang w:eastAsia="en-AU"/>
              </w:rPr>
            </w:pPr>
            <w:r w:rsidRPr="00C00575">
              <w:rPr>
                <w:rFonts w:eastAsia="Times New Roman" w:cs="Arial"/>
                <w:i w:val="0"/>
                <w:color w:val="FFFFFF"/>
                <w:sz w:val="18"/>
                <w:szCs w:val="18"/>
                <w:lang w:eastAsia="en-AU"/>
              </w:rPr>
              <w:t>2019-20</w:t>
            </w:r>
          </w:p>
        </w:tc>
        <w:tc>
          <w:tcPr>
            <w:tcW w:w="901" w:type="dxa"/>
            <w:tcBorders>
              <w:bottom w:val="none" w:sz="0" w:space="0" w:color="auto"/>
            </w:tcBorders>
            <w:shd w:val="clear" w:color="auto" w:fill="6B2976"/>
            <w:noWrap/>
            <w:vAlign w:val="center"/>
            <w:hideMark/>
          </w:tcPr>
          <w:p w14:paraId="2476D318" w14:textId="77777777" w:rsidR="0093332E" w:rsidRPr="00C00575" w:rsidRDefault="0093332E" w:rsidP="008E21F6">
            <w:pPr>
              <w:keepNext/>
              <w:keepLines/>
              <w:spacing w:after="0" w:line="264" w:lineRule="auto"/>
              <w:jc w:val="right"/>
              <w:rPr>
                <w:rFonts w:eastAsia="Times New Roman" w:cs="Arial"/>
                <w:i w:val="0"/>
                <w:color w:val="FFFFFF"/>
                <w:sz w:val="18"/>
                <w:szCs w:val="18"/>
                <w:lang w:eastAsia="en-AU"/>
              </w:rPr>
            </w:pPr>
            <w:r w:rsidRPr="00C00575">
              <w:rPr>
                <w:rFonts w:eastAsia="Times New Roman" w:cs="Arial"/>
                <w:i w:val="0"/>
                <w:color w:val="FFFFFF"/>
                <w:sz w:val="18"/>
                <w:szCs w:val="18"/>
                <w:lang w:eastAsia="en-AU"/>
              </w:rPr>
              <w:t>2020-21</w:t>
            </w:r>
          </w:p>
        </w:tc>
        <w:tc>
          <w:tcPr>
            <w:tcW w:w="901" w:type="dxa"/>
            <w:tcBorders>
              <w:bottom w:val="none" w:sz="0" w:space="0" w:color="auto"/>
            </w:tcBorders>
            <w:shd w:val="clear" w:color="auto" w:fill="6B2976"/>
            <w:noWrap/>
            <w:vAlign w:val="center"/>
            <w:hideMark/>
          </w:tcPr>
          <w:p w14:paraId="7D8D0181" w14:textId="77777777" w:rsidR="0093332E" w:rsidRPr="00C00575" w:rsidRDefault="0093332E" w:rsidP="008E21F6">
            <w:pPr>
              <w:keepNext/>
              <w:keepLines/>
              <w:spacing w:after="0" w:line="264" w:lineRule="auto"/>
              <w:jc w:val="right"/>
              <w:rPr>
                <w:rFonts w:eastAsia="Times New Roman" w:cs="Arial"/>
                <w:i w:val="0"/>
                <w:color w:val="FFFFFF"/>
                <w:sz w:val="18"/>
                <w:szCs w:val="18"/>
                <w:lang w:eastAsia="en-AU"/>
              </w:rPr>
            </w:pPr>
            <w:r w:rsidRPr="00C00575">
              <w:rPr>
                <w:rFonts w:eastAsia="Times New Roman" w:cs="Arial"/>
                <w:i w:val="0"/>
                <w:color w:val="FFFFFF"/>
                <w:sz w:val="18"/>
                <w:szCs w:val="18"/>
                <w:lang w:eastAsia="en-AU"/>
              </w:rPr>
              <w:t>2021-22</w:t>
            </w:r>
          </w:p>
        </w:tc>
        <w:tc>
          <w:tcPr>
            <w:tcW w:w="927" w:type="dxa"/>
            <w:tcBorders>
              <w:bottom w:val="none" w:sz="0" w:space="0" w:color="auto"/>
            </w:tcBorders>
            <w:shd w:val="clear" w:color="auto" w:fill="6B2976"/>
            <w:noWrap/>
            <w:vAlign w:val="center"/>
            <w:hideMark/>
          </w:tcPr>
          <w:p w14:paraId="257F9E23" w14:textId="77777777" w:rsidR="0093332E" w:rsidRPr="00C00575" w:rsidRDefault="0093332E" w:rsidP="008E21F6">
            <w:pPr>
              <w:keepNext/>
              <w:keepLines/>
              <w:spacing w:after="0" w:line="264" w:lineRule="auto"/>
              <w:jc w:val="right"/>
              <w:rPr>
                <w:rFonts w:eastAsia="Times New Roman" w:cs="Arial"/>
                <w:i w:val="0"/>
                <w:color w:val="FFFFFF"/>
                <w:sz w:val="18"/>
                <w:szCs w:val="18"/>
                <w:lang w:eastAsia="en-AU"/>
              </w:rPr>
            </w:pPr>
            <w:r w:rsidRPr="00C00575">
              <w:rPr>
                <w:rFonts w:eastAsia="Times New Roman" w:cs="Arial"/>
                <w:i w:val="0"/>
                <w:color w:val="FFFFFF"/>
                <w:sz w:val="18"/>
                <w:szCs w:val="18"/>
                <w:lang w:eastAsia="en-AU"/>
              </w:rPr>
              <w:t>Average</w:t>
            </w:r>
          </w:p>
          <w:p w14:paraId="2BE26A53" w14:textId="77777777" w:rsidR="0093332E" w:rsidRPr="00C00575" w:rsidRDefault="0093332E" w:rsidP="008E21F6">
            <w:pPr>
              <w:keepNext/>
              <w:keepLines/>
              <w:spacing w:after="0" w:line="264" w:lineRule="auto"/>
              <w:jc w:val="right"/>
              <w:rPr>
                <w:rFonts w:eastAsia="Times New Roman" w:cs="Arial"/>
                <w:i w:val="0"/>
                <w:color w:val="FFFFFF"/>
                <w:sz w:val="18"/>
                <w:szCs w:val="18"/>
                <w:lang w:eastAsia="en-AU"/>
              </w:rPr>
            </w:pPr>
            <w:r w:rsidRPr="00C00575">
              <w:rPr>
                <w:rFonts w:eastAsia="Times New Roman" w:cs="Arial"/>
                <w:i w:val="0"/>
                <w:color w:val="FFFFFF"/>
                <w:sz w:val="18"/>
                <w:szCs w:val="18"/>
                <w:lang w:eastAsia="en-AU"/>
              </w:rPr>
              <w:t>2018-22</w:t>
            </w:r>
          </w:p>
        </w:tc>
        <w:tc>
          <w:tcPr>
            <w:tcW w:w="1129" w:type="dxa"/>
            <w:tcBorders>
              <w:bottom w:val="none" w:sz="0" w:space="0" w:color="auto"/>
            </w:tcBorders>
            <w:shd w:val="clear" w:color="auto" w:fill="6B2976"/>
            <w:vAlign w:val="bottom"/>
          </w:tcPr>
          <w:p w14:paraId="2815C22D" w14:textId="77777777" w:rsidR="0093332E" w:rsidRPr="005C1438" w:rsidRDefault="0093332E" w:rsidP="008E21F6">
            <w:pPr>
              <w:keepNext/>
              <w:keepLines/>
              <w:spacing w:after="0" w:line="264" w:lineRule="auto"/>
              <w:jc w:val="right"/>
              <w:rPr>
                <w:rFonts w:eastAsia="Times New Roman" w:cs="Arial"/>
                <w:i w:val="0"/>
                <w:color w:val="FFFFFF"/>
                <w:sz w:val="18"/>
                <w:szCs w:val="18"/>
                <w:lang w:eastAsia="en-AU"/>
              </w:rPr>
            </w:pPr>
            <w:r w:rsidRPr="005C1438">
              <w:rPr>
                <w:rFonts w:cs="Arial"/>
                <w:i w:val="0"/>
                <w:color w:val="FFFFFF"/>
                <w:sz w:val="18"/>
                <w:szCs w:val="18"/>
              </w:rPr>
              <w:t>Average 2019-22</w:t>
            </w:r>
          </w:p>
        </w:tc>
      </w:tr>
      <w:tr w:rsidR="0093332E" w:rsidRPr="00C00575" w14:paraId="5F6D8790" w14:textId="77777777" w:rsidTr="002B79D9">
        <w:trPr>
          <w:cnfStyle w:val="000000100000" w:firstRow="0" w:lastRow="0" w:firstColumn="0" w:lastColumn="0" w:oddVBand="0" w:evenVBand="0" w:oddHBand="1" w:evenHBand="0" w:firstRowFirstColumn="0" w:firstRowLastColumn="0" w:lastRowFirstColumn="0" w:lastRowLastColumn="0"/>
          <w:trHeight w:val="300"/>
        </w:trPr>
        <w:tc>
          <w:tcPr>
            <w:tcW w:w="3806" w:type="dxa"/>
            <w:vAlign w:val="center"/>
            <w:hideMark/>
          </w:tcPr>
          <w:p w14:paraId="21060DA1" w14:textId="77777777" w:rsidR="0093332E" w:rsidRPr="00C00575" w:rsidRDefault="0093332E" w:rsidP="008E21F6">
            <w:pPr>
              <w:keepNext/>
              <w:keepLines/>
              <w:spacing w:after="0" w:line="264" w:lineRule="auto"/>
              <w:rPr>
                <w:rFonts w:eastAsia="Times New Roman" w:cs="Arial"/>
                <w:b/>
                <w:bCs/>
                <w:sz w:val="18"/>
                <w:szCs w:val="18"/>
                <w:lang w:eastAsia="en-AU"/>
              </w:rPr>
            </w:pPr>
            <w:r w:rsidRPr="00C00575">
              <w:rPr>
                <w:rFonts w:eastAsia="Times New Roman" w:cs="Arial"/>
                <w:b/>
                <w:bCs/>
                <w:sz w:val="18"/>
                <w:szCs w:val="18"/>
                <w:lang w:eastAsia="en-AU"/>
              </w:rPr>
              <w:t>Observed inflation</w:t>
            </w:r>
          </w:p>
        </w:tc>
        <w:tc>
          <w:tcPr>
            <w:tcW w:w="975" w:type="dxa"/>
            <w:noWrap/>
            <w:vAlign w:val="center"/>
            <w:hideMark/>
          </w:tcPr>
          <w:p w14:paraId="00459D01"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r w:rsidRPr="00C00575">
              <w:rPr>
                <w:rFonts w:eastAsia="Times New Roman" w:cs="Arial"/>
                <w:b/>
                <w:bCs/>
                <w:color w:val="000000"/>
                <w:sz w:val="18"/>
                <w:szCs w:val="18"/>
                <w:lang w:eastAsia="en-AU"/>
              </w:rPr>
              <w:t>9.2%</w:t>
            </w:r>
          </w:p>
        </w:tc>
        <w:tc>
          <w:tcPr>
            <w:tcW w:w="901" w:type="dxa"/>
            <w:noWrap/>
            <w:vAlign w:val="center"/>
            <w:hideMark/>
          </w:tcPr>
          <w:p w14:paraId="09A4D5BB"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r w:rsidRPr="00C00575">
              <w:rPr>
                <w:rFonts w:eastAsia="Times New Roman" w:cs="Arial"/>
                <w:b/>
                <w:bCs/>
                <w:color w:val="000000"/>
                <w:sz w:val="18"/>
                <w:szCs w:val="18"/>
                <w:lang w:eastAsia="en-AU"/>
              </w:rPr>
              <w:t>19.7%</w:t>
            </w:r>
          </w:p>
        </w:tc>
        <w:tc>
          <w:tcPr>
            <w:tcW w:w="901" w:type="dxa"/>
            <w:noWrap/>
            <w:vAlign w:val="center"/>
            <w:hideMark/>
          </w:tcPr>
          <w:p w14:paraId="13A81A6A"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r w:rsidRPr="00C00575">
              <w:rPr>
                <w:rFonts w:eastAsia="Times New Roman" w:cs="Arial"/>
                <w:b/>
                <w:bCs/>
                <w:color w:val="000000"/>
                <w:sz w:val="18"/>
                <w:szCs w:val="18"/>
                <w:lang w:eastAsia="en-AU"/>
              </w:rPr>
              <w:t>6.9%</w:t>
            </w:r>
          </w:p>
        </w:tc>
        <w:tc>
          <w:tcPr>
            <w:tcW w:w="901" w:type="dxa"/>
            <w:noWrap/>
            <w:vAlign w:val="center"/>
            <w:hideMark/>
          </w:tcPr>
          <w:p w14:paraId="330A0E32"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r w:rsidRPr="00C00575">
              <w:rPr>
                <w:rFonts w:eastAsia="Times New Roman" w:cs="Arial"/>
                <w:b/>
                <w:bCs/>
                <w:color w:val="000000"/>
                <w:sz w:val="18"/>
                <w:szCs w:val="18"/>
                <w:lang w:eastAsia="en-AU"/>
              </w:rPr>
              <w:t>1.6%</w:t>
            </w:r>
          </w:p>
        </w:tc>
        <w:tc>
          <w:tcPr>
            <w:tcW w:w="927" w:type="dxa"/>
            <w:noWrap/>
            <w:vAlign w:val="center"/>
            <w:hideMark/>
          </w:tcPr>
          <w:p w14:paraId="23CF5983"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r w:rsidRPr="00C00575">
              <w:rPr>
                <w:rFonts w:cs="Arial"/>
                <w:b/>
                <w:bCs/>
                <w:color w:val="000000"/>
                <w:sz w:val="18"/>
                <w:szCs w:val="18"/>
              </w:rPr>
              <w:t>9.2%</w:t>
            </w:r>
          </w:p>
        </w:tc>
        <w:tc>
          <w:tcPr>
            <w:tcW w:w="1129" w:type="dxa"/>
            <w:vAlign w:val="center"/>
          </w:tcPr>
          <w:p w14:paraId="64A9C167"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r w:rsidRPr="00C00575">
              <w:rPr>
                <w:rFonts w:cs="Arial"/>
                <w:b/>
                <w:bCs/>
                <w:color w:val="000000"/>
                <w:sz w:val="18"/>
                <w:szCs w:val="18"/>
              </w:rPr>
              <w:t>9.2%</w:t>
            </w:r>
          </w:p>
        </w:tc>
      </w:tr>
      <w:tr w:rsidR="0093332E" w:rsidRPr="00C00575" w14:paraId="32D7059C" w14:textId="77777777" w:rsidTr="002B79D9">
        <w:trPr>
          <w:cnfStyle w:val="000000010000" w:firstRow="0" w:lastRow="0" w:firstColumn="0" w:lastColumn="0" w:oddVBand="0" w:evenVBand="0" w:oddHBand="0" w:evenHBand="1" w:firstRowFirstColumn="0" w:firstRowLastColumn="0" w:lastRowFirstColumn="0" w:lastRowLastColumn="0"/>
          <w:trHeight w:val="300"/>
        </w:trPr>
        <w:tc>
          <w:tcPr>
            <w:tcW w:w="3806" w:type="dxa"/>
            <w:vAlign w:val="center"/>
            <w:hideMark/>
          </w:tcPr>
          <w:p w14:paraId="07F67A21" w14:textId="77777777" w:rsidR="0093332E" w:rsidRPr="00C00575" w:rsidRDefault="0093332E" w:rsidP="008E21F6">
            <w:pPr>
              <w:keepNext/>
              <w:keepLines/>
              <w:spacing w:after="0" w:line="264" w:lineRule="auto"/>
              <w:rPr>
                <w:rFonts w:eastAsia="Times New Roman" w:cs="Arial"/>
                <w:sz w:val="18"/>
                <w:szCs w:val="18"/>
                <w:lang w:eastAsia="en-AU"/>
              </w:rPr>
            </w:pPr>
            <w:r w:rsidRPr="00C00575">
              <w:rPr>
                <w:rFonts w:eastAsia="Times New Roman" w:cs="Arial"/>
                <w:sz w:val="18"/>
                <w:szCs w:val="18"/>
                <w:lang w:eastAsia="en-AU"/>
              </w:rPr>
              <w:t>less pricing impacts</w:t>
            </w:r>
          </w:p>
        </w:tc>
        <w:tc>
          <w:tcPr>
            <w:tcW w:w="975" w:type="dxa"/>
            <w:noWrap/>
            <w:vAlign w:val="center"/>
            <w:hideMark/>
          </w:tcPr>
          <w:p w14:paraId="15B7FD29"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6.4%</w:t>
            </w:r>
          </w:p>
        </w:tc>
        <w:tc>
          <w:tcPr>
            <w:tcW w:w="901" w:type="dxa"/>
            <w:noWrap/>
            <w:vAlign w:val="center"/>
            <w:hideMark/>
          </w:tcPr>
          <w:p w14:paraId="4E77D813" w14:textId="77777777" w:rsidR="0093332E" w:rsidRPr="00C00575" w:rsidRDefault="0093332E" w:rsidP="008E21F6">
            <w:pPr>
              <w:spacing w:after="0" w:line="240" w:lineRule="auto"/>
              <w:jc w:val="right"/>
              <w:textAlignment w:val="baseline"/>
              <w:rPr>
                <w:rFonts w:eastAsia="Times New Roman" w:cs="Arial"/>
                <w:sz w:val="18"/>
                <w:szCs w:val="18"/>
                <w:lang w:eastAsia="en-AU"/>
              </w:rPr>
            </w:pPr>
            <w:r w:rsidRPr="00C00575">
              <w:rPr>
                <w:rFonts w:eastAsia="Times New Roman" w:cs="Arial"/>
                <w:color w:val="000000"/>
                <w:sz w:val="18"/>
                <w:szCs w:val="18"/>
                <w:lang w:eastAsia="en-AU"/>
              </w:rPr>
              <w:t>12.0%</w:t>
            </w:r>
          </w:p>
        </w:tc>
        <w:tc>
          <w:tcPr>
            <w:tcW w:w="901" w:type="dxa"/>
            <w:noWrap/>
            <w:vAlign w:val="center"/>
            <w:hideMark/>
          </w:tcPr>
          <w:p w14:paraId="66A923FF" w14:textId="77777777" w:rsidR="0093332E" w:rsidRPr="00C00575" w:rsidRDefault="0093332E" w:rsidP="008E21F6">
            <w:pPr>
              <w:spacing w:after="0" w:line="240" w:lineRule="auto"/>
              <w:jc w:val="right"/>
              <w:textAlignment w:val="baseline"/>
              <w:rPr>
                <w:rFonts w:eastAsia="Times New Roman" w:cs="Arial"/>
                <w:sz w:val="18"/>
                <w:szCs w:val="18"/>
                <w:lang w:eastAsia="en-AU"/>
              </w:rPr>
            </w:pPr>
            <w:r w:rsidRPr="00C00575">
              <w:rPr>
                <w:rFonts w:eastAsia="Times New Roman" w:cs="Arial"/>
                <w:color w:val="000000"/>
                <w:sz w:val="18"/>
                <w:szCs w:val="18"/>
                <w:lang w:eastAsia="en-AU"/>
              </w:rPr>
              <w:t>2.1%</w:t>
            </w:r>
          </w:p>
        </w:tc>
        <w:tc>
          <w:tcPr>
            <w:tcW w:w="901" w:type="dxa"/>
            <w:noWrap/>
            <w:vAlign w:val="center"/>
            <w:hideMark/>
          </w:tcPr>
          <w:p w14:paraId="01D6D857" w14:textId="77777777" w:rsidR="0093332E" w:rsidRPr="00C00575" w:rsidRDefault="0093332E" w:rsidP="008E21F6">
            <w:pPr>
              <w:spacing w:after="0" w:line="240" w:lineRule="auto"/>
              <w:jc w:val="right"/>
              <w:textAlignment w:val="baseline"/>
              <w:rPr>
                <w:rFonts w:eastAsia="Times New Roman" w:cs="Arial"/>
                <w:sz w:val="18"/>
                <w:szCs w:val="18"/>
                <w:lang w:eastAsia="en-AU"/>
              </w:rPr>
            </w:pPr>
            <w:r w:rsidRPr="00C00575">
              <w:rPr>
                <w:rFonts w:eastAsia="Times New Roman" w:cs="Arial"/>
                <w:color w:val="000000"/>
                <w:sz w:val="18"/>
                <w:szCs w:val="18"/>
                <w:lang w:eastAsia="en-AU"/>
              </w:rPr>
              <w:t>2.4%</w:t>
            </w:r>
          </w:p>
        </w:tc>
        <w:tc>
          <w:tcPr>
            <w:tcW w:w="927" w:type="dxa"/>
            <w:noWrap/>
            <w:vAlign w:val="center"/>
            <w:hideMark/>
          </w:tcPr>
          <w:p w14:paraId="2A3627E5"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5.6%</w:t>
            </w:r>
          </w:p>
        </w:tc>
        <w:tc>
          <w:tcPr>
            <w:tcW w:w="1129" w:type="dxa"/>
            <w:vAlign w:val="center"/>
          </w:tcPr>
          <w:p w14:paraId="7AA54F10"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5.4%</w:t>
            </w:r>
          </w:p>
        </w:tc>
      </w:tr>
      <w:tr w:rsidR="0093332E" w:rsidRPr="00C00575" w14:paraId="6BE75201" w14:textId="77777777" w:rsidTr="002B79D9">
        <w:trPr>
          <w:cnfStyle w:val="000000100000" w:firstRow="0" w:lastRow="0" w:firstColumn="0" w:lastColumn="0" w:oddVBand="0" w:evenVBand="0" w:oddHBand="1" w:evenHBand="0" w:firstRowFirstColumn="0" w:firstRowLastColumn="0" w:lastRowFirstColumn="0" w:lastRowLastColumn="0"/>
          <w:trHeight w:val="300"/>
        </w:trPr>
        <w:tc>
          <w:tcPr>
            <w:tcW w:w="3806" w:type="dxa"/>
            <w:vAlign w:val="center"/>
            <w:hideMark/>
          </w:tcPr>
          <w:p w14:paraId="7DFF019E" w14:textId="77777777" w:rsidR="0093332E" w:rsidRPr="00C00575" w:rsidRDefault="0093332E" w:rsidP="008E21F6">
            <w:pPr>
              <w:keepNext/>
              <w:keepLines/>
              <w:spacing w:after="0" w:line="264" w:lineRule="auto"/>
              <w:rPr>
                <w:rFonts w:eastAsia="Times New Roman" w:cs="Arial"/>
                <w:sz w:val="18"/>
                <w:szCs w:val="18"/>
                <w:lang w:eastAsia="en-AU"/>
              </w:rPr>
            </w:pPr>
            <w:r w:rsidRPr="00C00575">
              <w:rPr>
                <w:rFonts w:eastAsia="Times New Roman" w:cs="Arial"/>
                <w:sz w:val="18"/>
                <w:szCs w:val="18"/>
                <w:lang w:eastAsia="en-AU"/>
              </w:rPr>
              <w:t>less change in mix</w:t>
            </w:r>
            <w:r w:rsidRPr="00C00575">
              <w:rPr>
                <w:rFonts w:eastAsia="Times New Roman" w:cs="Arial"/>
                <w:sz w:val="18"/>
                <w:szCs w:val="18"/>
                <w:vertAlign w:val="superscript"/>
                <w:lang w:eastAsia="en-AU"/>
              </w:rPr>
              <w:footnoteReference w:id="68"/>
            </w:r>
          </w:p>
        </w:tc>
        <w:tc>
          <w:tcPr>
            <w:tcW w:w="975" w:type="dxa"/>
            <w:noWrap/>
            <w:vAlign w:val="center"/>
            <w:hideMark/>
          </w:tcPr>
          <w:p w14:paraId="3AEE0355"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1.5%</w:t>
            </w:r>
          </w:p>
        </w:tc>
        <w:tc>
          <w:tcPr>
            <w:tcW w:w="901" w:type="dxa"/>
            <w:noWrap/>
            <w:vAlign w:val="center"/>
            <w:hideMark/>
          </w:tcPr>
          <w:p w14:paraId="5802B44F"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-6.6%</w:t>
            </w:r>
          </w:p>
        </w:tc>
        <w:tc>
          <w:tcPr>
            <w:tcW w:w="901" w:type="dxa"/>
            <w:noWrap/>
            <w:vAlign w:val="center"/>
            <w:hideMark/>
          </w:tcPr>
          <w:p w14:paraId="7ACC3222"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-9.2%</w:t>
            </w:r>
          </w:p>
        </w:tc>
        <w:tc>
          <w:tcPr>
            <w:tcW w:w="901" w:type="dxa"/>
            <w:noWrap/>
            <w:vAlign w:val="center"/>
            <w:hideMark/>
          </w:tcPr>
          <w:p w14:paraId="06AC30BA"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-6.2%</w:t>
            </w:r>
          </w:p>
        </w:tc>
        <w:tc>
          <w:tcPr>
            <w:tcW w:w="927" w:type="dxa"/>
            <w:noWrap/>
            <w:vAlign w:val="center"/>
            <w:hideMark/>
          </w:tcPr>
          <w:p w14:paraId="16D5F21D"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-5.2%</w:t>
            </w:r>
          </w:p>
        </w:tc>
        <w:tc>
          <w:tcPr>
            <w:tcW w:w="1129" w:type="dxa"/>
            <w:vAlign w:val="center"/>
          </w:tcPr>
          <w:p w14:paraId="28B61243"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-7.4%</w:t>
            </w:r>
          </w:p>
        </w:tc>
      </w:tr>
      <w:tr w:rsidR="0093332E" w:rsidRPr="00C00575" w14:paraId="1D46BBA1" w14:textId="77777777" w:rsidTr="002B79D9">
        <w:trPr>
          <w:cnfStyle w:val="000000010000" w:firstRow="0" w:lastRow="0" w:firstColumn="0" w:lastColumn="0" w:oddVBand="0" w:evenVBand="0" w:oddHBand="0" w:evenHBand="1" w:firstRowFirstColumn="0" w:firstRowLastColumn="0" w:lastRowFirstColumn="0" w:lastRowLastColumn="0"/>
          <w:trHeight w:val="300"/>
        </w:trPr>
        <w:tc>
          <w:tcPr>
            <w:tcW w:w="3806" w:type="dxa"/>
            <w:vAlign w:val="center"/>
            <w:hideMark/>
          </w:tcPr>
          <w:p w14:paraId="2441DD03" w14:textId="77777777" w:rsidR="0093332E" w:rsidRPr="00C00575" w:rsidRDefault="001F61B0" w:rsidP="008E21F6">
            <w:pPr>
              <w:keepNext/>
              <w:keepLines/>
              <w:spacing w:after="0" w:line="264" w:lineRule="auto"/>
              <w:rPr>
                <w:rFonts w:eastAsia="Times New Roman" w:cs="Arial"/>
                <w:b/>
                <w:bCs/>
                <w:sz w:val="18"/>
                <w:szCs w:val="18"/>
                <w:lang w:eastAsia="en-AU"/>
              </w:rPr>
            </w:pPr>
            <w:r>
              <w:rPr>
                <w:rFonts w:eastAsia="Times New Roman" w:cs="Arial"/>
                <w:b/>
                <w:bCs/>
                <w:sz w:val="18"/>
                <w:szCs w:val="18"/>
                <w:lang w:eastAsia="en-AU"/>
              </w:rPr>
              <w:t>Additional</w:t>
            </w:r>
            <w:r w:rsidR="0093332E" w:rsidRPr="00C00575">
              <w:rPr>
                <w:rFonts w:eastAsia="Times New Roman" w:cs="Arial"/>
                <w:b/>
                <w:bCs/>
                <w:sz w:val="18"/>
                <w:szCs w:val="18"/>
                <w:lang w:eastAsia="en-AU"/>
              </w:rPr>
              <w:t xml:space="preserve"> inflation</w:t>
            </w:r>
            <w:r w:rsidR="0093332E" w:rsidRPr="00C00575">
              <w:rPr>
                <w:rFonts w:eastAsia="Times New Roman" w:cs="Arial"/>
                <w:b/>
                <w:bCs/>
                <w:sz w:val="18"/>
                <w:szCs w:val="18"/>
                <w:vertAlign w:val="superscript"/>
                <w:lang w:eastAsia="en-AU"/>
              </w:rPr>
              <w:footnoteReference w:id="69"/>
            </w:r>
          </w:p>
        </w:tc>
        <w:tc>
          <w:tcPr>
            <w:tcW w:w="975" w:type="dxa"/>
            <w:noWrap/>
            <w:vAlign w:val="center"/>
            <w:hideMark/>
          </w:tcPr>
          <w:p w14:paraId="0DC87E41"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r w:rsidRPr="00C00575">
              <w:rPr>
                <w:rFonts w:eastAsia="Times New Roman" w:cs="Arial"/>
                <w:b/>
                <w:bCs/>
                <w:color w:val="000000"/>
                <w:sz w:val="18"/>
                <w:szCs w:val="18"/>
                <w:lang w:eastAsia="en-AU"/>
              </w:rPr>
              <w:t>1.4%</w:t>
            </w:r>
          </w:p>
        </w:tc>
        <w:tc>
          <w:tcPr>
            <w:tcW w:w="901" w:type="dxa"/>
            <w:noWrap/>
            <w:vAlign w:val="center"/>
            <w:hideMark/>
          </w:tcPr>
          <w:p w14:paraId="5FA04600"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r w:rsidRPr="00C00575">
              <w:rPr>
                <w:rFonts w:eastAsia="Times New Roman" w:cs="Arial"/>
                <w:b/>
                <w:bCs/>
                <w:color w:val="000000"/>
                <w:sz w:val="18"/>
                <w:szCs w:val="18"/>
                <w:lang w:eastAsia="en-AU"/>
              </w:rPr>
              <w:t>14.3%</w:t>
            </w:r>
          </w:p>
        </w:tc>
        <w:tc>
          <w:tcPr>
            <w:tcW w:w="901" w:type="dxa"/>
            <w:noWrap/>
            <w:vAlign w:val="center"/>
            <w:hideMark/>
          </w:tcPr>
          <w:p w14:paraId="22AA454B"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r w:rsidRPr="00C00575">
              <w:rPr>
                <w:rFonts w:eastAsia="Times New Roman" w:cs="Arial"/>
                <w:b/>
                <w:bCs/>
                <w:color w:val="000000"/>
                <w:sz w:val="18"/>
                <w:szCs w:val="18"/>
                <w:lang w:eastAsia="en-AU"/>
              </w:rPr>
              <w:t>14.0%</w:t>
            </w:r>
          </w:p>
        </w:tc>
        <w:tc>
          <w:tcPr>
            <w:tcW w:w="901" w:type="dxa"/>
            <w:noWrap/>
            <w:vAlign w:val="center"/>
            <w:hideMark/>
          </w:tcPr>
          <w:p w14:paraId="7931192C"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r w:rsidRPr="00C00575">
              <w:rPr>
                <w:rFonts w:eastAsia="Times New Roman" w:cs="Arial"/>
                <w:b/>
                <w:bCs/>
                <w:color w:val="000000"/>
                <w:sz w:val="18"/>
                <w:szCs w:val="18"/>
                <w:lang w:eastAsia="en-AU"/>
              </w:rPr>
              <w:t>5.4%</w:t>
            </w:r>
          </w:p>
        </w:tc>
        <w:tc>
          <w:tcPr>
            <w:tcW w:w="927" w:type="dxa"/>
            <w:noWrap/>
            <w:vAlign w:val="center"/>
            <w:hideMark/>
          </w:tcPr>
          <w:p w14:paraId="6B9F9F66"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r w:rsidRPr="00C00575">
              <w:rPr>
                <w:rFonts w:cs="Arial"/>
                <w:b/>
                <w:bCs/>
                <w:color w:val="000000"/>
                <w:sz w:val="18"/>
                <w:szCs w:val="18"/>
              </w:rPr>
              <w:t>8.6%</w:t>
            </w:r>
          </w:p>
        </w:tc>
        <w:tc>
          <w:tcPr>
            <w:tcW w:w="1129" w:type="dxa"/>
            <w:vAlign w:val="center"/>
          </w:tcPr>
          <w:p w14:paraId="65B2F3FA"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r w:rsidRPr="00C00575">
              <w:rPr>
                <w:rFonts w:cs="Arial"/>
                <w:b/>
                <w:bCs/>
                <w:color w:val="000000"/>
                <w:sz w:val="18"/>
                <w:szCs w:val="18"/>
              </w:rPr>
              <w:t>11.2%</w:t>
            </w:r>
          </w:p>
        </w:tc>
      </w:tr>
      <w:tr w:rsidR="0093332E" w:rsidRPr="00C00575" w14:paraId="22E37073" w14:textId="77777777" w:rsidTr="002B79D9">
        <w:trPr>
          <w:cnfStyle w:val="000000100000" w:firstRow="0" w:lastRow="0" w:firstColumn="0" w:lastColumn="0" w:oddVBand="0" w:evenVBand="0" w:oddHBand="1" w:evenHBand="0" w:firstRowFirstColumn="0" w:firstRowLastColumn="0" w:lastRowFirstColumn="0" w:lastRowLastColumn="0"/>
          <w:trHeight w:val="300"/>
        </w:trPr>
        <w:tc>
          <w:tcPr>
            <w:tcW w:w="3806" w:type="dxa"/>
            <w:vAlign w:val="center"/>
            <w:hideMark/>
          </w:tcPr>
          <w:p w14:paraId="3D98C1FE" w14:textId="77777777" w:rsidR="0093332E" w:rsidRPr="00C00575" w:rsidRDefault="0093332E" w:rsidP="008E21F6">
            <w:pPr>
              <w:keepNext/>
              <w:keepLines/>
              <w:spacing w:after="0" w:line="264" w:lineRule="auto"/>
              <w:rPr>
                <w:rFonts w:eastAsia="Times New Roman" w:cs="Arial"/>
                <w:sz w:val="18"/>
                <w:szCs w:val="18"/>
                <w:lang w:eastAsia="en-AU"/>
              </w:rPr>
            </w:pPr>
            <w:r w:rsidRPr="00C00575">
              <w:rPr>
                <w:rFonts w:eastAsia="Times New Roman" w:cs="Arial"/>
                <w:sz w:val="18"/>
                <w:szCs w:val="18"/>
                <w:lang w:eastAsia="en-AU"/>
              </w:rPr>
              <w:t>Explained by:</w:t>
            </w:r>
          </w:p>
        </w:tc>
        <w:tc>
          <w:tcPr>
            <w:tcW w:w="975" w:type="dxa"/>
            <w:noWrap/>
            <w:vAlign w:val="center"/>
          </w:tcPr>
          <w:p w14:paraId="2856F116"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p>
        </w:tc>
        <w:tc>
          <w:tcPr>
            <w:tcW w:w="901" w:type="dxa"/>
            <w:noWrap/>
            <w:vAlign w:val="center"/>
          </w:tcPr>
          <w:p w14:paraId="2A6B9B3B"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p>
        </w:tc>
        <w:tc>
          <w:tcPr>
            <w:tcW w:w="901" w:type="dxa"/>
            <w:noWrap/>
            <w:vAlign w:val="center"/>
          </w:tcPr>
          <w:p w14:paraId="7D2EEFC9"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p>
        </w:tc>
        <w:tc>
          <w:tcPr>
            <w:tcW w:w="901" w:type="dxa"/>
            <w:noWrap/>
            <w:vAlign w:val="center"/>
          </w:tcPr>
          <w:p w14:paraId="0CB1EB8F"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p>
        </w:tc>
        <w:tc>
          <w:tcPr>
            <w:tcW w:w="927" w:type="dxa"/>
            <w:noWrap/>
            <w:vAlign w:val="center"/>
          </w:tcPr>
          <w:p w14:paraId="20A6720A"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r w:rsidRPr="00C00575">
              <w:rPr>
                <w:rFonts w:cs="Arial"/>
                <w:b/>
                <w:bCs/>
                <w:color w:val="000000"/>
                <w:sz w:val="18"/>
                <w:szCs w:val="18"/>
              </w:rPr>
              <w:t> </w:t>
            </w:r>
          </w:p>
        </w:tc>
        <w:tc>
          <w:tcPr>
            <w:tcW w:w="1129" w:type="dxa"/>
            <w:vAlign w:val="center"/>
          </w:tcPr>
          <w:p w14:paraId="2C71C01A" w14:textId="77777777" w:rsidR="0093332E" w:rsidRPr="00C00575" w:rsidRDefault="0093332E" w:rsidP="008E21F6">
            <w:pPr>
              <w:keepNext/>
              <w:keepLines/>
              <w:spacing w:after="0" w:line="264" w:lineRule="auto"/>
              <w:jc w:val="right"/>
              <w:rPr>
                <w:rFonts w:eastAsia="Times New Roman" w:cs="Arial"/>
                <w:b/>
                <w:bCs/>
                <w:color w:val="000000"/>
                <w:sz w:val="18"/>
                <w:szCs w:val="18"/>
                <w:lang w:eastAsia="en-AU"/>
              </w:rPr>
            </w:pPr>
            <w:r w:rsidRPr="00C00575">
              <w:rPr>
                <w:rFonts w:cs="Arial"/>
                <w:b/>
                <w:bCs/>
                <w:color w:val="000000"/>
                <w:sz w:val="18"/>
                <w:szCs w:val="18"/>
              </w:rPr>
              <w:t> </w:t>
            </w:r>
          </w:p>
        </w:tc>
      </w:tr>
      <w:tr w:rsidR="0093332E" w:rsidRPr="00C00575" w14:paraId="120AAD5E" w14:textId="77777777" w:rsidTr="002B79D9">
        <w:trPr>
          <w:cnfStyle w:val="000000010000" w:firstRow="0" w:lastRow="0" w:firstColumn="0" w:lastColumn="0" w:oddVBand="0" w:evenVBand="0" w:oddHBand="0" w:evenHBand="1" w:firstRowFirstColumn="0" w:firstRowLastColumn="0" w:lastRowFirstColumn="0" w:lastRowLastColumn="0"/>
          <w:trHeight w:val="300"/>
        </w:trPr>
        <w:tc>
          <w:tcPr>
            <w:tcW w:w="3806" w:type="dxa"/>
            <w:vAlign w:val="center"/>
            <w:hideMark/>
          </w:tcPr>
          <w:p w14:paraId="0A5DBECD" w14:textId="77777777" w:rsidR="0093332E" w:rsidRPr="00C00575" w:rsidRDefault="0093332E" w:rsidP="008E21F6">
            <w:pPr>
              <w:keepNext/>
              <w:keepLines/>
              <w:spacing w:after="0" w:line="264" w:lineRule="auto"/>
              <w:rPr>
                <w:rFonts w:eastAsia="Times New Roman" w:cs="Arial"/>
                <w:i/>
                <w:iCs/>
                <w:sz w:val="18"/>
                <w:szCs w:val="18"/>
                <w:lang w:eastAsia="en-AU"/>
              </w:rPr>
            </w:pPr>
            <w:r w:rsidRPr="00C00575">
              <w:rPr>
                <w:rFonts w:eastAsia="Times New Roman" w:cs="Arial"/>
                <w:i/>
                <w:iCs/>
                <w:sz w:val="18"/>
                <w:szCs w:val="18"/>
                <w:lang w:eastAsia="en-AU"/>
              </w:rPr>
              <w:t>1. LoF (Level of Function) Change</w:t>
            </w:r>
          </w:p>
        </w:tc>
        <w:tc>
          <w:tcPr>
            <w:tcW w:w="975" w:type="dxa"/>
            <w:noWrap/>
            <w:vAlign w:val="center"/>
            <w:hideMark/>
          </w:tcPr>
          <w:p w14:paraId="496D7BD7"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0.9%</w:t>
            </w:r>
          </w:p>
        </w:tc>
        <w:tc>
          <w:tcPr>
            <w:tcW w:w="901" w:type="dxa"/>
            <w:noWrap/>
            <w:vAlign w:val="center"/>
            <w:hideMark/>
          </w:tcPr>
          <w:p w14:paraId="0834B7E2"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1.9%</w:t>
            </w:r>
          </w:p>
        </w:tc>
        <w:tc>
          <w:tcPr>
            <w:tcW w:w="901" w:type="dxa"/>
            <w:noWrap/>
            <w:vAlign w:val="center"/>
            <w:hideMark/>
          </w:tcPr>
          <w:p w14:paraId="697F053B"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2.6%</w:t>
            </w:r>
          </w:p>
        </w:tc>
        <w:tc>
          <w:tcPr>
            <w:tcW w:w="901" w:type="dxa"/>
            <w:noWrap/>
            <w:vAlign w:val="center"/>
            <w:hideMark/>
          </w:tcPr>
          <w:p w14:paraId="48F8A81C"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1.7%</w:t>
            </w:r>
          </w:p>
        </w:tc>
        <w:tc>
          <w:tcPr>
            <w:tcW w:w="927" w:type="dxa"/>
            <w:noWrap/>
            <w:vAlign w:val="center"/>
            <w:hideMark/>
          </w:tcPr>
          <w:p w14:paraId="065627CC"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1.8%</w:t>
            </w:r>
          </w:p>
        </w:tc>
        <w:tc>
          <w:tcPr>
            <w:tcW w:w="1129" w:type="dxa"/>
            <w:vAlign w:val="center"/>
          </w:tcPr>
          <w:p w14:paraId="3241669F"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2.1%</w:t>
            </w:r>
          </w:p>
        </w:tc>
      </w:tr>
      <w:tr w:rsidR="0093332E" w:rsidRPr="00C00575" w14:paraId="103EDCC9" w14:textId="77777777" w:rsidTr="002B79D9">
        <w:trPr>
          <w:cnfStyle w:val="000000100000" w:firstRow="0" w:lastRow="0" w:firstColumn="0" w:lastColumn="0" w:oddVBand="0" w:evenVBand="0" w:oddHBand="1" w:evenHBand="0" w:firstRowFirstColumn="0" w:firstRowLastColumn="0" w:lastRowFirstColumn="0" w:lastRowLastColumn="0"/>
          <w:trHeight w:val="300"/>
        </w:trPr>
        <w:tc>
          <w:tcPr>
            <w:tcW w:w="3806" w:type="dxa"/>
            <w:vAlign w:val="center"/>
            <w:hideMark/>
          </w:tcPr>
          <w:p w14:paraId="3EA9AD31" w14:textId="77777777" w:rsidR="0093332E" w:rsidRPr="00C00575" w:rsidRDefault="0093332E" w:rsidP="008E21F6">
            <w:pPr>
              <w:keepNext/>
              <w:keepLines/>
              <w:spacing w:after="0" w:line="264" w:lineRule="auto"/>
              <w:rPr>
                <w:rFonts w:eastAsia="Times New Roman" w:cs="Arial"/>
                <w:i/>
                <w:iCs/>
                <w:sz w:val="18"/>
                <w:szCs w:val="18"/>
                <w:lang w:eastAsia="en-AU"/>
              </w:rPr>
            </w:pPr>
            <w:r w:rsidRPr="00C00575">
              <w:rPr>
                <w:rFonts w:eastAsia="Times New Roman" w:cs="Arial"/>
                <w:i/>
                <w:iCs/>
                <w:sz w:val="18"/>
                <w:szCs w:val="18"/>
                <w:lang w:eastAsia="en-AU"/>
              </w:rPr>
              <w:t xml:space="preserve">2. Volume of </w:t>
            </w:r>
            <w:r w:rsidR="000735AD">
              <w:rPr>
                <w:rFonts w:eastAsia="Times New Roman" w:cs="Arial"/>
                <w:i/>
                <w:iCs/>
                <w:sz w:val="18"/>
                <w:szCs w:val="18"/>
                <w:lang w:eastAsia="en-AU"/>
              </w:rPr>
              <w:t>s</w:t>
            </w:r>
            <w:r w:rsidRPr="00C00575">
              <w:rPr>
                <w:rFonts w:eastAsia="Times New Roman" w:cs="Arial"/>
                <w:i/>
                <w:iCs/>
                <w:sz w:val="18"/>
                <w:szCs w:val="18"/>
                <w:lang w:eastAsia="en-AU"/>
              </w:rPr>
              <w:t>upports</w:t>
            </w:r>
          </w:p>
        </w:tc>
        <w:tc>
          <w:tcPr>
            <w:tcW w:w="975" w:type="dxa"/>
            <w:noWrap/>
            <w:vAlign w:val="center"/>
            <w:hideMark/>
          </w:tcPr>
          <w:p w14:paraId="0E65F391"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3.7%</w:t>
            </w:r>
          </w:p>
        </w:tc>
        <w:tc>
          <w:tcPr>
            <w:tcW w:w="901" w:type="dxa"/>
            <w:noWrap/>
            <w:vAlign w:val="center"/>
            <w:hideMark/>
          </w:tcPr>
          <w:p w14:paraId="783DAF14"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2.4%</w:t>
            </w:r>
          </w:p>
        </w:tc>
        <w:tc>
          <w:tcPr>
            <w:tcW w:w="901" w:type="dxa"/>
            <w:noWrap/>
            <w:vAlign w:val="center"/>
            <w:hideMark/>
          </w:tcPr>
          <w:p w14:paraId="71729550"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2.3%</w:t>
            </w:r>
          </w:p>
        </w:tc>
        <w:tc>
          <w:tcPr>
            <w:tcW w:w="901" w:type="dxa"/>
            <w:noWrap/>
            <w:vAlign w:val="center"/>
            <w:hideMark/>
          </w:tcPr>
          <w:p w14:paraId="53D7126D"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0.5%</w:t>
            </w:r>
          </w:p>
        </w:tc>
        <w:tc>
          <w:tcPr>
            <w:tcW w:w="927" w:type="dxa"/>
            <w:noWrap/>
            <w:vAlign w:val="center"/>
            <w:hideMark/>
          </w:tcPr>
          <w:p w14:paraId="7CEABCE1"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2.2%</w:t>
            </w:r>
          </w:p>
        </w:tc>
        <w:tc>
          <w:tcPr>
            <w:tcW w:w="1129" w:type="dxa"/>
            <w:vAlign w:val="center"/>
          </w:tcPr>
          <w:p w14:paraId="545D0969"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1.7%</w:t>
            </w:r>
          </w:p>
        </w:tc>
      </w:tr>
      <w:tr w:rsidR="0093332E" w:rsidRPr="00C00575" w14:paraId="1CA8A80F" w14:textId="77777777" w:rsidTr="002B79D9">
        <w:trPr>
          <w:cnfStyle w:val="000000010000" w:firstRow="0" w:lastRow="0" w:firstColumn="0" w:lastColumn="0" w:oddVBand="0" w:evenVBand="0" w:oddHBand="0" w:evenHBand="1" w:firstRowFirstColumn="0" w:firstRowLastColumn="0" w:lastRowFirstColumn="0" w:lastRowLastColumn="0"/>
          <w:trHeight w:val="300"/>
        </w:trPr>
        <w:tc>
          <w:tcPr>
            <w:tcW w:w="3806" w:type="dxa"/>
            <w:vAlign w:val="center"/>
            <w:hideMark/>
          </w:tcPr>
          <w:p w14:paraId="56A8C41D" w14:textId="77777777" w:rsidR="0093332E" w:rsidRPr="00C00575" w:rsidRDefault="0093332E" w:rsidP="00261C7C">
            <w:pPr>
              <w:keepNext/>
              <w:keepLines/>
              <w:spacing w:after="0" w:line="264" w:lineRule="auto"/>
              <w:rPr>
                <w:rFonts w:eastAsia="Times New Roman" w:cs="Arial"/>
                <w:i/>
                <w:iCs/>
                <w:sz w:val="18"/>
                <w:szCs w:val="18"/>
                <w:lang w:eastAsia="en-AU"/>
              </w:rPr>
            </w:pPr>
            <w:r w:rsidRPr="00C00575">
              <w:rPr>
                <w:rFonts w:eastAsia="Times New Roman" w:cs="Arial"/>
                <w:i/>
                <w:iCs/>
                <w:sz w:val="18"/>
                <w:szCs w:val="18"/>
                <w:lang w:eastAsia="en-AU"/>
              </w:rPr>
              <w:t>3. Increased use of attendant care</w:t>
            </w:r>
          </w:p>
        </w:tc>
        <w:tc>
          <w:tcPr>
            <w:tcW w:w="975" w:type="dxa"/>
            <w:noWrap/>
            <w:vAlign w:val="center"/>
            <w:hideMark/>
          </w:tcPr>
          <w:p w14:paraId="2378761C"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-3.4%</w:t>
            </w:r>
          </w:p>
        </w:tc>
        <w:tc>
          <w:tcPr>
            <w:tcW w:w="901" w:type="dxa"/>
            <w:noWrap/>
            <w:vAlign w:val="center"/>
            <w:hideMark/>
          </w:tcPr>
          <w:p w14:paraId="5F57E763"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6.3%</w:t>
            </w:r>
          </w:p>
        </w:tc>
        <w:tc>
          <w:tcPr>
            <w:tcW w:w="901" w:type="dxa"/>
            <w:noWrap/>
            <w:vAlign w:val="center"/>
            <w:hideMark/>
          </w:tcPr>
          <w:p w14:paraId="4A54AB4A"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6.3%</w:t>
            </w:r>
          </w:p>
        </w:tc>
        <w:tc>
          <w:tcPr>
            <w:tcW w:w="901" w:type="dxa"/>
            <w:noWrap/>
            <w:vAlign w:val="center"/>
            <w:hideMark/>
          </w:tcPr>
          <w:p w14:paraId="2D3C060F"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1.1%</w:t>
            </w:r>
          </w:p>
        </w:tc>
        <w:tc>
          <w:tcPr>
            <w:tcW w:w="927" w:type="dxa"/>
            <w:noWrap/>
            <w:vAlign w:val="center"/>
            <w:hideMark/>
          </w:tcPr>
          <w:p w14:paraId="72C12E8F"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2.5%</w:t>
            </w:r>
          </w:p>
        </w:tc>
        <w:tc>
          <w:tcPr>
            <w:tcW w:w="1129" w:type="dxa"/>
            <w:vAlign w:val="center"/>
          </w:tcPr>
          <w:p w14:paraId="78241E3B"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4.5%</w:t>
            </w:r>
          </w:p>
        </w:tc>
      </w:tr>
      <w:tr w:rsidR="0093332E" w:rsidRPr="00C00575" w14:paraId="6163B715" w14:textId="77777777" w:rsidTr="002B79D9">
        <w:trPr>
          <w:cnfStyle w:val="000000100000" w:firstRow="0" w:lastRow="0" w:firstColumn="0" w:lastColumn="0" w:oddVBand="0" w:evenVBand="0" w:oddHBand="1" w:evenHBand="0" w:firstRowFirstColumn="0" w:firstRowLastColumn="0" w:lastRowFirstColumn="0" w:lastRowLastColumn="0"/>
          <w:trHeight w:val="300"/>
        </w:trPr>
        <w:tc>
          <w:tcPr>
            <w:tcW w:w="3806" w:type="dxa"/>
            <w:vAlign w:val="center"/>
            <w:hideMark/>
          </w:tcPr>
          <w:p w14:paraId="0D440D36" w14:textId="77777777" w:rsidR="0093332E" w:rsidRPr="00C00575" w:rsidRDefault="0093332E" w:rsidP="008E21F6">
            <w:pPr>
              <w:keepNext/>
              <w:keepLines/>
              <w:spacing w:after="0" w:line="264" w:lineRule="auto"/>
              <w:rPr>
                <w:rFonts w:eastAsia="Times New Roman" w:cs="Arial"/>
                <w:i/>
                <w:iCs/>
                <w:sz w:val="18"/>
                <w:szCs w:val="18"/>
                <w:lang w:eastAsia="en-AU"/>
              </w:rPr>
            </w:pPr>
            <w:r w:rsidRPr="00C00575">
              <w:rPr>
                <w:rFonts w:eastAsia="Times New Roman" w:cs="Arial"/>
                <w:i/>
                <w:iCs/>
                <w:sz w:val="18"/>
                <w:szCs w:val="18"/>
                <w:lang w:eastAsia="en-AU"/>
              </w:rPr>
              <w:t>4. Increased use of therapy supports</w:t>
            </w:r>
          </w:p>
        </w:tc>
        <w:tc>
          <w:tcPr>
            <w:tcW w:w="975" w:type="dxa"/>
            <w:noWrap/>
            <w:vAlign w:val="center"/>
            <w:hideMark/>
          </w:tcPr>
          <w:p w14:paraId="06BB8838"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0.1%</w:t>
            </w:r>
          </w:p>
        </w:tc>
        <w:tc>
          <w:tcPr>
            <w:tcW w:w="901" w:type="dxa"/>
            <w:noWrap/>
            <w:vAlign w:val="center"/>
            <w:hideMark/>
          </w:tcPr>
          <w:p w14:paraId="63657747"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1.6%</w:t>
            </w:r>
          </w:p>
        </w:tc>
        <w:tc>
          <w:tcPr>
            <w:tcW w:w="901" w:type="dxa"/>
            <w:noWrap/>
            <w:vAlign w:val="center"/>
            <w:hideMark/>
          </w:tcPr>
          <w:p w14:paraId="469DBBB4"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2.0%</w:t>
            </w:r>
          </w:p>
        </w:tc>
        <w:tc>
          <w:tcPr>
            <w:tcW w:w="901" w:type="dxa"/>
            <w:noWrap/>
            <w:vAlign w:val="center"/>
            <w:hideMark/>
          </w:tcPr>
          <w:p w14:paraId="2C36CB39"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0.0%</w:t>
            </w:r>
          </w:p>
        </w:tc>
        <w:tc>
          <w:tcPr>
            <w:tcW w:w="927" w:type="dxa"/>
            <w:noWrap/>
            <w:vAlign w:val="center"/>
            <w:hideMark/>
          </w:tcPr>
          <w:p w14:paraId="4D1F1396"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0.9%</w:t>
            </w:r>
          </w:p>
        </w:tc>
        <w:tc>
          <w:tcPr>
            <w:tcW w:w="1129" w:type="dxa"/>
            <w:vAlign w:val="center"/>
          </w:tcPr>
          <w:p w14:paraId="3C3F3F14"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1.2%</w:t>
            </w:r>
          </w:p>
        </w:tc>
      </w:tr>
      <w:tr w:rsidR="0093332E" w:rsidRPr="00C00575" w14:paraId="252E8C52" w14:textId="77777777" w:rsidTr="002B79D9">
        <w:trPr>
          <w:cnfStyle w:val="000000010000" w:firstRow="0" w:lastRow="0" w:firstColumn="0" w:lastColumn="0" w:oddVBand="0" w:evenVBand="0" w:oddHBand="0" w:evenHBand="1" w:firstRowFirstColumn="0" w:firstRowLastColumn="0" w:lastRowFirstColumn="0" w:lastRowLastColumn="0"/>
          <w:trHeight w:val="300"/>
        </w:trPr>
        <w:tc>
          <w:tcPr>
            <w:tcW w:w="3806" w:type="dxa"/>
            <w:tcBorders>
              <w:bottom w:val="single" w:sz="4" w:space="0" w:color="auto"/>
            </w:tcBorders>
            <w:vAlign w:val="center"/>
            <w:hideMark/>
          </w:tcPr>
          <w:p w14:paraId="49739225" w14:textId="77777777" w:rsidR="0093332E" w:rsidRPr="00C00575" w:rsidRDefault="0093332E" w:rsidP="008E21F6">
            <w:pPr>
              <w:keepNext/>
              <w:keepLines/>
              <w:spacing w:after="0" w:line="264" w:lineRule="auto"/>
              <w:rPr>
                <w:rFonts w:eastAsia="Times New Roman" w:cs="Arial"/>
                <w:i/>
                <w:iCs/>
                <w:sz w:val="18"/>
                <w:szCs w:val="18"/>
                <w:lang w:eastAsia="en-AU"/>
              </w:rPr>
            </w:pPr>
            <w:r w:rsidRPr="00C00575">
              <w:rPr>
                <w:rFonts w:eastAsia="Times New Roman" w:cs="Arial"/>
                <w:i/>
                <w:iCs/>
                <w:sz w:val="18"/>
                <w:szCs w:val="18"/>
                <w:lang w:eastAsia="en-AU"/>
              </w:rPr>
              <w:t>5. Increased use of other supports</w:t>
            </w:r>
          </w:p>
        </w:tc>
        <w:tc>
          <w:tcPr>
            <w:tcW w:w="975" w:type="dxa"/>
            <w:tcBorders>
              <w:bottom w:val="single" w:sz="4" w:space="0" w:color="auto"/>
            </w:tcBorders>
            <w:noWrap/>
            <w:vAlign w:val="center"/>
            <w:hideMark/>
          </w:tcPr>
          <w:p w14:paraId="71BA7665"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0.1%</w:t>
            </w:r>
          </w:p>
        </w:tc>
        <w:tc>
          <w:tcPr>
            <w:tcW w:w="901" w:type="dxa"/>
            <w:tcBorders>
              <w:bottom w:val="single" w:sz="4" w:space="0" w:color="auto"/>
            </w:tcBorders>
            <w:noWrap/>
            <w:vAlign w:val="center"/>
            <w:hideMark/>
          </w:tcPr>
          <w:p w14:paraId="195D028B"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2.0%</w:t>
            </w:r>
          </w:p>
        </w:tc>
        <w:tc>
          <w:tcPr>
            <w:tcW w:w="901" w:type="dxa"/>
            <w:tcBorders>
              <w:bottom w:val="single" w:sz="4" w:space="0" w:color="auto"/>
            </w:tcBorders>
            <w:noWrap/>
            <w:vAlign w:val="center"/>
            <w:hideMark/>
          </w:tcPr>
          <w:p w14:paraId="20376018"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0.9%</w:t>
            </w:r>
          </w:p>
        </w:tc>
        <w:tc>
          <w:tcPr>
            <w:tcW w:w="901" w:type="dxa"/>
            <w:tcBorders>
              <w:bottom w:val="single" w:sz="4" w:space="0" w:color="auto"/>
            </w:tcBorders>
            <w:noWrap/>
            <w:vAlign w:val="center"/>
            <w:hideMark/>
          </w:tcPr>
          <w:p w14:paraId="076E4B25"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2.1%</w:t>
            </w:r>
          </w:p>
        </w:tc>
        <w:tc>
          <w:tcPr>
            <w:tcW w:w="927" w:type="dxa"/>
            <w:tcBorders>
              <w:bottom w:val="single" w:sz="4" w:space="0" w:color="auto"/>
            </w:tcBorders>
            <w:noWrap/>
            <w:vAlign w:val="center"/>
            <w:hideMark/>
          </w:tcPr>
          <w:p w14:paraId="2D45766D"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1.3%</w:t>
            </w:r>
          </w:p>
        </w:tc>
        <w:tc>
          <w:tcPr>
            <w:tcW w:w="1129" w:type="dxa"/>
            <w:tcBorders>
              <w:bottom w:val="single" w:sz="4" w:space="0" w:color="auto"/>
            </w:tcBorders>
            <w:vAlign w:val="center"/>
          </w:tcPr>
          <w:p w14:paraId="5CDCFEF9" w14:textId="77777777" w:rsidR="0093332E" w:rsidRPr="00C00575" w:rsidRDefault="0093332E" w:rsidP="008E21F6">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1.7%</w:t>
            </w:r>
          </w:p>
        </w:tc>
      </w:tr>
    </w:tbl>
    <w:p w14:paraId="05C9F4EB" w14:textId="77777777" w:rsidR="002B79D9" w:rsidRDefault="002B79D9" w:rsidP="00E55F75">
      <w:pPr>
        <w:pStyle w:val="FSRnormal"/>
        <w:spacing w:before="0" w:after="0"/>
        <w:rPr>
          <w:lang w:eastAsia="en-US"/>
        </w:rPr>
      </w:pPr>
    </w:p>
    <w:tbl>
      <w:tblPr>
        <w:tblStyle w:val="SustainabilityTable"/>
        <w:tblW w:w="95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806"/>
        <w:gridCol w:w="975"/>
        <w:gridCol w:w="901"/>
        <w:gridCol w:w="901"/>
        <w:gridCol w:w="901"/>
        <w:gridCol w:w="927"/>
        <w:gridCol w:w="1129"/>
      </w:tblGrid>
      <w:tr w:rsidR="002B79D9" w:rsidRPr="00C00575" w14:paraId="776B864D" w14:textId="77777777" w:rsidTr="002B79D9">
        <w:trPr>
          <w:cnfStyle w:val="100000000000" w:firstRow="1" w:lastRow="0" w:firstColumn="0" w:lastColumn="0" w:oddVBand="0" w:evenVBand="0" w:oddHBand="0" w:evenHBand="0" w:firstRowFirstColumn="0" w:firstRowLastColumn="0" w:lastRowFirstColumn="0" w:lastRowLastColumn="0"/>
          <w:trHeight w:val="397"/>
        </w:trPr>
        <w:tc>
          <w:tcPr>
            <w:tcW w:w="3806" w:type="dxa"/>
            <w:shd w:val="clear" w:color="auto" w:fill="6B2976"/>
            <w:noWrap/>
            <w:vAlign w:val="center"/>
            <w:hideMark/>
          </w:tcPr>
          <w:p w14:paraId="2FC587A8" w14:textId="77777777" w:rsidR="002B79D9" w:rsidRPr="00C00575" w:rsidRDefault="002B79D9" w:rsidP="002B79D9">
            <w:pPr>
              <w:keepNext/>
              <w:keepLines/>
              <w:spacing w:after="0" w:line="264" w:lineRule="auto"/>
              <w:rPr>
                <w:rFonts w:eastAsia="Times New Roman" w:cs="Arial"/>
                <w:b w:val="0"/>
                <w:bCs w:val="0"/>
                <w:color w:val="FFFFFF"/>
                <w:sz w:val="18"/>
                <w:szCs w:val="18"/>
                <w:lang w:eastAsia="en-AU"/>
              </w:rPr>
            </w:pPr>
            <w:r w:rsidRPr="00C00575">
              <w:rPr>
                <w:rFonts w:eastAsia="Times New Roman" w:cs="Arial"/>
                <w:color w:val="FFFFFF"/>
                <w:sz w:val="18"/>
                <w:szCs w:val="18"/>
                <w:lang w:eastAsia="en-AU"/>
              </w:rPr>
              <w:t>Inflation rate for grouped support categories</w:t>
            </w:r>
            <w:r w:rsidRPr="00C00575">
              <w:rPr>
                <w:rFonts w:eastAsia="Times New Roman" w:cs="Arial"/>
                <w:color w:val="FFFFFF"/>
                <w:sz w:val="18"/>
                <w:szCs w:val="18"/>
                <w:vertAlign w:val="superscript"/>
                <w:lang w:eastAsia="en-AU"/>
              </w:rPr>
              <w:footnoteReference w:id="70"/>
            </w:r>
          </w:p>
        </w:tc>
        <w:tc>
          <w:tcPr>
            <w:tcW w:w="975" w:type="dxa"/>
            <w:shd w:val="clear" w:color="auto" w:fill="6B2976"/>
            <w:noWrap/>
            <w:vAlign w:val="center"/>
            <w:hideMark/>
          </w:tcPr>
          <w:p w14:paraId="47F1F8EB" w14:textId="77777777" w:rsidR="002B79D9" w:rsidRPr="00C00575" w:rsidRDefault="002B79D9" w:rsidP="002B79D9">
            <w:pPr>
              <w:keepNext/>
              <w:keepLines/>
              <w:spacing w:after="0" w:line="264" w:lineRule="auto"/>
              <w:jc w:val="right"/>
              <w:rPr>
                <w:rFonts w:eastAsia="Times New Roman" w:cs="Arial"/>
                <w:b w:val="0"/>
                <w:bCs w:val="0"/>
                <w:color w:val="FFFFFF"/>
                <w:sz w:val="18"/>
                <w:szCs w:val="18"/>
                <w:lang w:eastAsia="en-AU"/>
              </w:rPr>
            </w:pPr>
            <w:r w:rsidRPr="00C00575">
              <w:rPr>
                <w:rFonts w:eastAsia="Times New Roman" w:cs="Arial"/>
                <w:color w:val="FFFFFF"/>
                <w:sz w:val="18"/>
                <w:szCs w:val="18"/>
                <w:lang w:eastAsia="en-AU"/>
              </w:rPr>
              <w:t>2018-19</w:t>
            </w:r>
          </w:p>
        </w:tc>
        <w:tc>
          <w:tcPr>
            <w:tcW w:w="901" w:type="dxa"/>
            <w:shd w:val="clear" w:color="auto" w:fill="6B2976"/>
            <w:noWrap/>
            <w:vAlign w:val="center"/>
            <w:hideMark/>
          </w:tcPr>
          <w:p w14:paraId="28E734C0" w14:textId="77777777" w:rsidR="002B79D9" w:rsidRPr="00C00575" w:rsidRDefault="002B79D9" w:rsidP="002B79D9">
            <w:pPr>
              <w:keepNext/>
              <w:keepLines/>
              <w:spacing w:after="0" w:line="264" w:lineRule="auto"/>
              <w:jc w:val="right"/>
              <w:rPr>
                <w:rFonts w:eastAsia="Times New Roman" w:cs="Arial"/>
                <w:b w:val="0"/>
                <w:bCs w:val="0"/>
                <w:color w:val="FFFFFF"/>
                <w:sz w:val="18"/>
                <w:szCs w:val="18"/>
                <w:lang w:eastAsia="en-AU"/>
              </w:rPr>
            </w:pPr>
            <w:r w:rsidRPr="00C00575">
              <w:rPr>
                <w:rFonts w:eastAsia="Times New Roman" w:cs="Arial"/>
                <w:color w:val="FFFFFF"/>
                <w:sz w:val="18"/>
                <w:szCs w:val="18"/>
                <w:lang w:eastAsia="en-AU"/>
              </w:rPr>
              <w:t>2019-20</w:t>
            </w:r>
          </w:p>
        </w:tc>
        <w:tc>
          <w:tcPr>
            <w:tcW w:w="901" w:type="dxa"/>
            <w:shd w:val="clear" w:color="auto" w:fill="6B2976"/>
            <w:noWrap/>
            <w:vAlign w:val="center"/>
            <w:hideMark/>
          </w:tcPr>
          <w:p w14:paraId="48DF7A5F" w14:textId="77777777" w:rsidR="002B79D9" w:rsidRPr="00C00575" w:rsidRDefault="002B79D9" w:rsidP="002B79D9">
            <w:pPr>
              <w:keepNext/>
              <w:keepLines/>
              <w:spacing w:after="0" w:line="264" w:lineRule="auto"/>
              <w:jc w:val="right"/>
              <w:rPr>
                <w:rFonts w:eastAsia="Times New Roman" w:cs="Arial"/>
                <w:b w:val="0"/>
                <w:bCs w:val="0"/>
                <w:color w:val="FFFFFF"/>
                <w:sz w:val="18"/>
                <w:szCs w:val="18"/>
                <w:lang w:eastAsia="en-AU"/>
              </w:rPr>
            </w:pPr>
            <w:r w:rsidRPr="00C00575">
              <w:rPr>
                <w:rFonts w:eastAsia="Times New Roman" w:cs="Arial"/>
                <w:color w:val="FFFFFF"/>
                <w:sz w:val="18"/>
                <w:szCs w:val="18"/>
                <w:lang w:eastAsia="en-AU"/>
              </w:rPr>
              <w:t>2020-21</w:t>
            </w:r>
          </w:p>
        </w:tc>
        <w:tc>
          <w:tcPr>
            <w:tcW w:w="901" w:type="dxa"/>
            <w:shd w:val="clear" w:color="auto" w:fill="6B2976"/>
            <w:noWrap/>
            <w:vAlign w:val="center"/>
            <w:hideMark/>
          </w:tcPr>
          <w:p w14:paraId="4066796F" w14:textId="77777777" w:rsidR="002B79D9" w:rsidRPr="00C00575" w:rsidRDefault="002B79D9" w:rsidP="002B79D9">
            <w:pPr>
              <w:keepNext/>
              <w:keepLines/>
              <w:spacing w:after="0" w:line="264" w:lineRule="auto"/>
              <w:jc w:val="right"/>
              <w:rPr>
                <w:rFonts w:eastAsia="Times New Roman" w:cs="Arial"/>
                <w:b w:val="0"/>
                <w:bCs w:val="0"/>
                <w:color w:val="FFFFFF"/>
                <w:sz w:val="18"/>
                <w:szCs w:val="18"/>
                <w:lang w:eastAsia="en-AU"/>
              </w:rPr>
            </w:pPr>
            <w:r w:rsidRPr="00C00575">
              <w:rPr>
                <w:rFonts w:eastAsia="Times New Roman" w:cs="Arial"/>
                <w:color w:val="FFFFFF"/>
                <w:sz w:val="18"/>
                <w:szCs w:val="18"/>
                <w:lang w:eastAsia="en-AU"/>
              </w:rPr>
              <w:t>2021-22</w:t>
            </w:r>
          </w:p>
        </w:tc>
        <w:tc>
          <w:tcPr>
            <w:tcW w:w="880" w:type="dxa"/>
            <w:shd w:val="clear" w:color="auto" w:fill="6B2976"/>
            <w:noWrap/>
            <w:vAlign w:val="center"/>
            <w:hideMark/>
          </w:tcPr>
          <w:p w14:paraId="364D78E2" w14:textId="77777777" w:rsidR="002B79D9" w:rsidRPr="008B3CB6" w:rsidRDefault="002B79D9" w:rsidP="002B79D9">
            <w:pPr>
              <w:keepNext/>
              <w:keepLines/>
              <w:spacing w:after="0" w:line="264" w:lineRule="auto"/>
              <w:jc w:val="right"/>
              <w:rPr>
                <w:rFonts w:eastAsia="Times New Roman" w:cs="Arial"/>
                <w:b w:val="0"/>
                <w:color w:val="FFFFFF"/>
                <w:sz w:val="18"/>
                <w:szCs w:val="18"/>
                <w:lang w:eastAsia="en-AU"/>
              </w:rPr>
            </w:pPr>
            <w:r w:rsidRPr="008B3CB6">
              <w:rPr>
                <w:rFonts w:eastAsia="Times New Roman" w:cs="Arial"/>
                <w:color w:val="FFFFFF"/>
                <w:sz w:val="18"/>
                <w:szCs w:val="18"/>
                <w:lang w:eastAsia="en-AU"/>
              </w:rPr>
              <w:t>Average</w:t>
            </w:r>
          </w:p>
          <w:p w14:paraId="55233C9C" w14:textId="77777777" w:rsidR="002B79D9" w:rsidRPr="00C00575" w:rsidRDefault="002B79D9" w:rsidP="002B79D9">
            <w:pPr>
              <w:keepNext/>
              <w:keepLines/>
              <w:spacing w:after="0" w:line="264" w:lineRule="auto"/>
              <w:jc w:val="right"/>
              <w:rPr>
                <w:rFonts w:eastAsia="Times New Roman" w:cs="Arial"/>
                <w:b w:val="0"/>
                <w:bCs w:val="0"/>
                <w:color w:val="FFFFFF"/>
                <w:sz w:val="18"/>
                <w:szCs w:val="18"/>
                <w:lang w:eastAsia="en-AU"/>
              </w:rPr>
            </w:pPr>
            <w:r w:rsidRPr="008B3CB6">
              <w:rPr>
                <w:rFonts w:eastAsia="Times New Roman" w:cs="Arial"/>
                <w:color w:val="FFFFFF"/>
                <w:sz w:val="18"/>
                <w:szCs w:val="18"/>
                <w:lang w:eastAsia="en-AU"/>
              </w:rPr>
              <w:t>2018-22</w:t>
            </w:r>
          </w:p>
        </w:tc>
        <w:tc>
          <w:tcPr>
            <w:tcW w:w="1176" w:type="dxa"/>
            <w:shd w:val="clear" w:color="auto" w:fill="6B2976"/>
            <w:vAlign w:val="bottom"/>
          </w:tcPr>
          <w:p w14:paraId="43D90397" w14:textId="77777777" w:rsidR="002B79D9" w:rsidRPr="00C00575" w:rsidRDefault="002B79D9" w:rsidP="002B79D9">
            <w:pPr>
              <w:keepNext/>
              <w:keepLines/>
              <w:spacing w:after="0" w:line="264" w:lineRule="auto"/>
              <w:jc w:val="right"/>
              <w:rPr>
                <w:rFonts w:eastAsia="Times New Roman" w:cs="Arial"/>
                <w:b w:val="0"/>
                <w:bCs w:val="0"/>
                <w:color w:val="FFFFFF"/>
                <w:sz w:val="18"/>
                <w:szCs w:val="18"/>
                <w:lang w:eastAsia="en-AU"/>
              </w:rPr>
            </w:pPr>
            <w:r w:rsidRPr="00C00575">
              <w:rPr>
                <w:rFonts w:cs="Arial"/>
                <w:color w:val="FFFFFF"/>
                <w:sz w:val="18"/>
                <w:szCs w:val="18"/>
              </w:rPr>
              <w:t>Average 2019-22</w:t>
            </w:r>
          </w:p>
        </w:tc>
      </w:tr>
      <w:tr w:rsidR="002B79D9" w:rsidRPr="00C00575" w14:paraId="47E8E751" w14:textId="77777777" w:rsidTr="002B79D9">
        <w:trPr>
          <w:cnfStyle w:val="000000100000" w:firstRow="0" w:lastRow="0" w:firstColumn="0" w:lastColumn="0" w:oddVBand="0" w:evenVBand="0" w:oddHBand="1" w:evenHBand="0" w:firstRowFirstColumn="0" w:firstRowLastColumn="0" w:lastRowFirstColumn="0" w:lastRowLastColumn="0"/>
          <w:trHeight w:val="300"/>
        </w:trPr>
        <w:tc>
          <w:tcPr>
            <w:tcW w:w="3806" w:type="dxa"/>
            <w:vAlign w:val="center"/>
            <w:hideMark/>
          </w:tcPr>
          <w:p w14:paraId="730C3EFE" w14:textId="77777777" w:rsidR="002B79D9" w:rsidRPr="00C00575" w:rsidRDefault="002B79D9" w:rsidP="002B79D9">
            <w:pPr>
              <w:keepNext/>
              <w:keepLines/>
              <w:spacing w:after="0" w:line="264" w:lineRule="auto"/>
              <w:rPr>
                <w:rFonts w:eastAsia="Times New Roman" w:cs="Arial"/>
                <w:sz w:val="18"/>
                <w:szCs w:val="18"/>
                <w:lang w:eastAsia="en-AU"/>
              </w:rPr>
            </w:pPr>
            <w:r w:rsidRPr="00C00575">
              <w:rPr>
                <w:rFonts w:eastAsia="Times New Roman" w:cs="Arial"/>
                <w:sz w:val="18"/>
                <w:szCs w:val="18"/>
                <w:lang w:eastAsia="en-AU"/>
              </w:rPr>
              <w:t>Attendant care</w:t>
            </w:r>
          </w:p>
        </w:tc>
        <w:tc>
          <w:tcPr>
            <w:tcW w:w="975" w:type="dxa"/>
            <w:noWrap/>
            <w:vAlign w:val="center"/>
            <w:hideMark/>
          </w:tcPr>
          <w:p w14:paraId="37D97C67"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-4.5%</w:t>
            </w:r>
          </w:p>
        </w:tc>
        <w:tc>
          <w:tcPr>
            <w:tcW w:w="901" w:type="dxa"/>
            <w:noWrap/>
            <w:vAlign w:val="center"/>
            <w:hideMark/>
          </w:tcPr>
          <w:p w14:paraId="2D864513"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8.3%</w:t>
            </w:r>
          </w:p>
        </w:tc>
        <w:tc>
          <w:tcPr>
            <w:tcW w:w="901" w:type="dxa"/>
            <w:noWrap/>
            <w:vAlign w:val="center"/>
            <w:hideMark/>
          </w:tcPr>
          <w:p w14:paraId="1314B296"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8.6%</w:t>
            </w:r>
          </w:p>
        </w:tc>
        <w:tc>
          <w:tcPr>
            <w:tcW w:w="901" w:type="dxa"/>
            <w:noWrap/>
            <w:vAlign w:val="center"/>
            <w:hideMark/>
          </w:tcPr>
          <w:p w14:paraId="1C13DF50"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1.5%</w:t>
            </w:r>
          </w:p>
        </w:tc>
        <w:tc>
          <w:tcPr>
            <w:tcW w:w="880" w:type="dxa"/>
            <w:noWrap/>
            <w:vAlign w:val="center"/>
            <w:hideMark/>
          </w:tcPr>
          <w:p w14:paraId="416ACA18"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3.5%</w:t>
            </w:r>
          </w:p>
        </w:tc>
        <w:tc>
          <w:tcPr>
            <w:tcW w:w="1176" w:type="dxa"/>
            <w:vAlign w:val="bottom"/>
          </w:tcPr>
          <w:p w14:paraId="38D7BFE1"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6.1%</w:t>
            </w:r>
          </w:p>
        </w:tc>
      </w:tr>
      <w:tr w:rsidR="002B79D9" w:rsidRPr="00C00575" w14:paraId="57BB33B1" w14:textId="77777777" w:rsidTr="002B79D9">
        <w:trPr>
          <w:cnfStyle w:val="000000010000" w:firstRow="0" w:lastRow="0" w:firstColumn="0" w:lastColumn="0" w:oddVBand="0" w:evenVBand="0" w:oddHBand="0" w:evenHBand="1" w:firstRowFirstColumn="0" w:firstRowLastColumn="0" w:lastRowFirstColumn="0" w:lastRowLastColumn="0"/>
          <w:trHeight w:val="300"/>
        </w:trPr>
        <w:tc>
          <w:tcPr>
            <w:tcW w:w="3806" w:type="dxa"/>
            <w:noWrap/>
            <w:vAlign w:val="center"/>
            <w:hideMark/>
          </w:tcPr>
          <w:p w14:paraId="4CFEDA54" w14:textId="77777777" w:rsidR="002B79D9" w:rsidRPr="00C00575" w:rsidRDefault="002B79D9" w:rsidP="002B79D9">
            <w:pPr>
              <w:keepNext/>
              <w:keepLines/>
              <w:spacing w:after="0" w:line="264" w:lineRule="auto"/>
              <w:rPr>
                <w:rFonts w:eastAsia="Times New Roman" w:cs="Arial"/>
                <w:color w:val="000000"/>
                <w:sz w:val="18"/>
                <w:szCs w:val="18"/>
                <w:lang w:eastAsia="en-AU"/>
              </w:rPr>
            </w:pPr>
            <w:r w:rsidRPr="00C00575">
              <w:rPr>
                <w:rFonts w:eastAsia="Times New Roman" w:cs="Arial"/>
                <w:color w:val="000000"/>
                <w:sz w:val="18"/>
                <w:szCs w:val="18"/>
                <w:lang w:eastAsia="en-AU"/>
              </w:rPr>
              <w:t>Therapy</w:t>
            </w:r>
          </w:p>
        </w:tc>
        <w:tc>
          <w:tcPr>
            <w:tcW w:w="975" w:type="dxa"/>
            <w:noWrap/>
            <w:vAlign w:val="center"/>
            <w:hideMark/>
          </w:tcPr>
          <w:p w14:paraId="680AA26D"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1.1%</w:t>
            </w:r>
          </w:p>
        </w:tc>
        <w:tc>
          <w:tcPr>
            <w:tcW w:w="901" w:type="dxa"/>
            <w:noWrap/>
            <w:vAlign w:val="center"/>
            <w:hideMark/>
          </w:tcPr>
          <w:p w14:paraId="7B062E99"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16.9%</w:t>
            </w:r>
          </w:p>
        </w:tc>
        <w:tc>
          <w:tcPr>
            <w:tcW w:w="901" w:type="dxa"/>
            <w:noWrap/>
            <w:vAlign w:val="center"/>
            <w:hideMark/>
          </w:tcPr>
          <w:p w14:paraId="37369F37"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19.0%</w:t>
            </w:r>
          </w:p>
        </w:tc>
        <w:tc>
          <w:tcPr>
            <w:tcW w:w="901" w:type="dxa"/>
            <w:noWrap/>
            <w:vAlign w:val="center"/>
            <w:hideMark/>
          </w:tcPr>
          <w:p w14:paraId="4586CFBB"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-0.1%</w:t>
            </w:r>
          </w:p>
        </w:tc>
        <w:tc>
          <w:tcPr>
            <w:tcW w:w="880" w:type="dxa"/>
            <w:noWrap/>
            <w:vAlign w:val="center"/>
            <w:hideMark/>
          </w:tcPr>
          <w:p w14:paraId="5FDC0F19"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9.2%</w:t>
            </w:r>
          </w:p>
        </w:tc>
        <w:tc>
          <w:tcPr>
            <w:tcW w:w="1176" w:type="dxa"/>
            <w:vAlign w:val="bottom"/>
          </w:tcPr>
          <w:p w14:paraId="183C2DF1"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11.9%</w:t>
            </w:r>
          </w:p>
        </w:tc>
      </w:tr>
      <w:tr w:rsidR="002B79D9" w:rsidRPr="00C00575" w14:paraId="4915BE1E" w14:textId="77777777" w:rsidTr="002B79D9">
        <w:trPr>
          <w:cnfStyle w:val="000000100000" w:firstRow="0" w:lastRow="0" w:firstColumn="0" w:lastColumn="0" w:oddVBand="0" w:evenVBand="0" w:oddHBand="1" w:evenHBand="0" w:firstRowFirstColumn="0" w:firstRowLastColumn="0" w:lastRowFirstColumn="0" w:lastRowLastColumn="0"/>
          <w:trHeight w:val="300"/>
        </w:trPr>
        <w:tc>
          <w:tcPr>
            <w:tcW w:w="3806" w:type="dxa"/>
            <w:tcBorders>
              <w:bottom w:val="single" w:sz="4" w:space="0" w:color="auto"/>
            </w:tcBorders>
            <w:noWrap/>
            <w:vAlign w:val="center"/>
            <w:hideMark/>
          </w:tcPr>
          <w:p w14:paraId="43BAEF88" w14:textId="77777777" w:rsidR="002B79D9" w:rsidRPr="00C00575" w:rsidRDefault="002B79D9" w:rsidP="002B79D9">
            <w:pPr>
              <w:keepNext/>
              <w:keepLines/>
              <w:spacing w:after="0" w:line="264" w:lineRule="auto"/>
              <w:rPr>
                <w:rFonts w:eastAsia="Times New Roman" w:cs="Arial"/>
                <w:color w:val="000000"/>
                <w:sz w:val="18"/>
                <w:szCs w:val="18"/>
                <w:lang w:eastAsia="en-AU"/>
              </w:rPr>
            </w:pPr>
            <w:r w:rsidRPr="00C00575">
              <w:rPr>
                <w:rFonts w:eastAsia="Times New Roman" w:cs="Arial"/>
                <w:color w:val="000000"/>
                <w:sz w:val="18"/>
                <w:szCs w:val="18"/>
                <w:lang w:eastAsia="en-AU"/>
              </w:rPr>
              <w:t>Other supports</w:t>
            </w:r>
          </w:p>
        </w:tc>
        <w:tc>
          <w:tcPr>
            <w:tcW w:w="975" w:type="dxa"/>
            <w:tcBorders>
              <w:bottom w:val="single" w:sz="4" w:space="0" w:color="auto"/>
            </w:tcBorders>
            <w:noWrap/>
            <w:vAlign w:val="center"/>
            <w:hideMark/>
          </w:tcPr>
          <w:p w14:paraId="75841343"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0.8%</w:t>
            </w:r>
          </w:p>
        </w:tc>
        <w:tc>
          <w:tcPr>
            <w:tcW w:w="901" w:type="dxa"/>
            <w:tcBorders>
              <w:bottom w:val="single" w:sz="4" w:space="0" w:color="auto"/>
            </w:tcBorders>
            <w:noWrap/>
            <w:vAlign w:val="center"/>
            <w:hideMark/>
          </w:tcPr>
          <w:p w14:paraId="66E3EFE4"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12.9%</w:t>
            </w:r>
          </w:p>
        </w:tc>
        <w:tc>
          <w:tcPr>
            <w:tcW w:w="901" w:type="dxa"/>
            <w:tcBorders>
              <w:bottom w:val="single" w:sz="4" w:space="0" w:color="auto"/>
            </w:tcBorders>
            <w:noWrap/>
            <w:vAlign w:val="center"/>
            <w:hideMark/>
          </w:tcPr>
          <w:p w14:paraId="5176F616"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5.7%</w:t>
            </w:r>
          </w:p>
        </w:tc>
        <w:tc>
          <w:tcPr>
            <w:tcW w:w="901" w:type="dxa"/>
            <w:tcBorders>
              <w:bottom w:val="single" w:sz="4" w:space="0" w:color="auto"/>
            </w:tcBorders>
            <w:noWrap/>
            <w:vAlign w:val="center"/>
            <w:hideMark/>
          </w:tcPr>
          <w:p w14:paraId="5BCB9849"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14.8%</w:t>
            </w:r>
          </w:p>
        </w:tc>
        <w:tc>
          <w:tcPr>
            <w:tcW w:w="880" w:type="dxa"/>
            <w:tcBorders>
              <w:bottom w:val="single" w:sz="4" w:space="0" w:color="auto"/>
            </w:tcBorders>
            <w:noWrap/>
            <w:vAlign w:val="center"/>
            <w:hideMark/>
          </w:tcPr>
          <w:p w14:paraId="2C9E10BF"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eastAsia="Times New Roman" w:cs="Arial"/>
                <w:color w:val="000000"/>
                <w:sz w:val="18"/>
                <w:szCs w:val="18"/>
                <w:lang w:eastAsia="en-AU"/>
              </w:rPr>
              <w:t>8.6%</w:t>
            </w:r>
          </w:p>
        </w:tc>
        <w:tc>
          <w:tcPr>
            <w:tcW w:w="1176" w:type="dxa"/>
            <w:tcBorders>
              <w:bottom w:val="single" w:sz="4" w:space="0" w:color="auto"/>
            </w:tcBorders>
            <w:vAlign w:val="bottom"/>
          </w:tcPr>
          <w:p w14:paraId="46F53C43" w14:textId="77777777" w:rsidR="002B79D9" w:rsidRPr="00C00575" w:rsidRDefault="002B79D9" w:rsidP="002B79D9">
            <w:pPr>
              <w:keepNext/>
              <w:keepLines/>
              <w:spacing w:after="0" w:line="264" w:lineRule="auto"/>
              <w:jc w:val="right"/>
              <w:rPr>
                <w:rFonts w:eastAsia="Times New Roman" w:cs="Arial"/>
                <w:color w:val="000000"/>
                <w:sz w:val="18"/>
                <w:szCs w:val="18"/>
                <w:lang w:eastAsia="en-AU"/>
              </w:rPr>
            </w:pPr>
            <w:r w:rsidRPr="00C00575">
              <w:rPr>
                <w:rFonts w:cs="Arial"/>
                <w:color w:val="000000"/>
                <w:sz w:val="18"/>
                <w:szCs w:val="18"/>
              </w:rPr>
              <w:t>11.2%</w:t>
            </w:r>
          </w:p>
        </w:tc>
      </w:tr>
    </w:tbl>
    <w:p w14:paraId="622B4E54" w14:textId="77777777" w:rsidR="0093332E" w:rsidRPr="00A3032F" w:rsidRDefault="0093332E" w:rsidP="0093332E">
      <w:pPr>
        <w:pStyle w:val="FSRnormal"/>
        <w:rPr>
          <w:lang w:eastAsia="en-US"/>
        </w:rPr>
      </w:pPr>
      <w:r w:rsidRPr="00A3032F">
        <w:rPr>
          <w:lang w:eastAsia="en-US"/>
        </w:rPr>
        <w:t>The observed rate of Scheme inflation has averaged 9.</w:t>
      </w:r>
      <w:r>
        <w:rPr>
          <w:lang w:eastAsia="en-US"/>
        </w:rPr>
        <w:t>2</w:t>
      </w:r>
      <w:r w:rsidRPr="00A3032F">
        <w:rPr>
          <w:lang w:eastAsia="en-US"/>
        </w:rPr>
        <w:t>% </w:t>
      </w:r>
      <w:r w:rsidR="00D067C5">
        <w:t>per annum</w:t>
      </w:r>
      <w:r w:rsidRPr="00A3032F">
        <w:rPr>
          <w:lang w:eastAsia="en-US"/>
        </w:rPr>
        <w:t xml:space="preserve"> over the latest </w:t>
      </w:r>
      <w:r w:rsidR="000735AD">
        <w:rPr>
          <w:lang w:eastAsia="en-US"/>
        </w:rPr>
        <w:t>four</w:t>
      </w:r>
      <w:r w:rsidRPr="00A3032F">
        <w:rPr>
          <w:lang w:eastAsia="en-US"/>
        </w:rPr>
        <w:t> years. The key contributors to this observed rate are:</w:t>
      </w:r>
    </w:p>
    <w:p w14:paraId="3268C6A8" w14:textId="77777777" w:rsidR="0093332E" w:rsidRPr="00C53CDC" w:rsidRDefault="0093332E" w:rsidP="0093332E">
      <w:pPr>
        <w:numPr>
          <w:ilvl w:val="2"/>
          <w:numId w:val="48"/>
        </w:numPr>
        <w:spacing w:after="120" w:line="264" w:lineRule="auto"/>
        <w:rPr>
          <w:rFonts w:asciiTheme="minorHAnsi" w:eastAsia="Times New Roman" w:hAnsiTheme="minorHAnsi" w:cs="Arial"/>
          <w:szCs w:val="22"/>
          <w:lang w:eastAsia="en-US"/>
        </w:rPr>
      </w:pPr>
      <w:r w:rsidRPr="00C53CDC">
        <w:rPr>
          <w:rFonts w:eastAsia="Times New Roman" w:cs="Arial"/>
          <w:b/>
          <w:bCs/>
          <w:szCs w:val="22"/>
          <w:lang w:eastAsia="en-US"/>
        </w:rPr>
        <w:t>Pricing impacts</w:t>
      </w:r>
      <w:r w:rsidRPr="00C53CDC">
        <w:rPr>
          <w:rFonts w:eastAsia="Times New Roman" w:cs="Arial"/>
          <w:szCs w:val="22"/>
          <w:lang w:eastAsia="en-US"/>
        </w:rPr>
        <w:t xml:space="preserve"> of 5.</w:t>
      </w:r>
      <w:r>
        <w:rPr>
          <w:rFonts w:eastAsia="Times New Roman" w:cs="Arial"/>
          <w:szCs w:val="22"/>
          <w:lang w:eastAsia="en-US"/>
        </w:rPr>
        <w:t>6</w:t>
      </w:r>
      <w:r w:rsidRPr="00C53CDC">
        <w:rPr>
          <w:rFonts w:eastAsia="Times New Roman" w:cs="Arial"/>
          <w:szCs w:val="22"/>
          <w:lang w:eastAsia="en-US"/>
        </w:rPr>
        <w:t xml:space="preserve">% </w:t>
      </w:r>
      <w:r w:rsidR="00D067C5">
        <w:t>per annum.</w:t>
      </w:r>
      <w:r w:rsidRPr="00C53CDC">
        <w:rPr>
          <w:rFonts w:eastAsia="Times New Roman" w:cs="Arial"/>
          <w:szCs w:val="22"/>
          <w:lang w:eastAsia="en-US"/>
        </w:rPr>
        <w:t xml:space="preserve"> This includes the impact of normal economic inflation </w:t>
      </w:r>
      <w:r w:rsidRPr="00767561">
        <w:rPr>
          <w:rFonts w:eastAsia="Times New Roman" w:cs="Arial"/>
          <w:szCs w:val="22"/>
          <w:lang w:eastAsia="en-US"/>
        </w:rPr>
        <w:t>and</w:t>
      </w:r>
      <w:r w:rsidRPr="00C53CDC">
        <w:rPr>
          <w:rFonts w:eastAsia="Times New Roman" w:cs="Arial"/>
          <w:szCs w:val="22"/>
          <w:lang w:eastAsia="en-US"/>
        </w:rPr>
        <w:t xml:space="preserve"> changes to NDIS price limits. The </w:t>
      </w:r>
      <w:r>
        <w:rPr>
          <w:rFonts w:eastAsia="Times New Roman" w:cs="Arial"/>
          <w:szCs w:val="22"/>
          <w:lang w:eastAsia="en-US"/>
        </w:rPr>
        <w:t>2022-23</w:t>
      </w:r>
      <w:r w:rsidRPr="00C53CDC">
        <w:rPr>
          <w:rFonts w:eastAsia="Times New Roman" w:cs="Arial"/>
          <w:szCs w:val="22"/>
          <w:lang w:eastAsia="en-US"/>
        </w:rPr>
        <w:t xml:space="preserve"> Annual Price Review increased prices by 7% in aggregate or 4% above normal inflationary expectations</w:t>
      </w:r>
      <w:r w:rsidRPr="00C53CDC">
        <w:rPr>
          <w:rFonts w:eastAsia="Times New Roman" w:cs="Arial"/>
          <w:szCs w:val="22"/>
          <w:vertAlign w:val="superscript"/>
          <w:lang w:eastAsia="en-US"/>
        </w:rPr>
        <w:footnoteReference w:id="71"/>
      </w:r>
      <w:r w:rsidRPr="00C53CDC">
        <w:rPr>
          <w:rFonts w:eastAsia="Times New Roman" w:cs="Arial"/>
          <w:szCs w:val="22"/>
          <w:lang w:eastAsia="en-US"/>
        </w:rPr>
        <w:t xml:space="preserve"> (which is not included in the historic experience shown). </w:t>
      </w:r>
    </w:p>
    <w:p w14:paraId="7899E236" w14:textId="77777777" w:rsidR="0093332E" w:rsidRPr="00A3032F" w:rsidRDefault="0093332E" w:rsidP="005B376B">
      <w:pPr>
        <w:pStyle w:val="FSRlist"/>
        <w:rPr>
          <w:lang w:eastAsia="en-US"/>
        </w:rPr>
      </w:pPr>
      <w:r w:rsidRPr="00A3032F">
        <w:rPr>
          <w:lang w:eastAsia="en-US"/>
        </w:rPr>
        <w:t xml:space="preserve">A reduction due to </w:t>
      </w:r>
      <w:r w:rsidRPr="00A3032F">
        <w:rPr>
          <w:b/>
          <w:bCs/>
          <w:lang w:eastAsia="en-US"/>
        </w:rPr>
        <w:t>change in participant mix</w:t>
      </w:r>
      <w:r w:rsidRPr="00A3032F">
        <w:rPr>
          <w:lang w:eastAsia="en-US"/>
        </w:rPr>
        <w:t xml:space="preserve"> of 5.</w:t>
      </w:r>
      <w:r>
        <w:rPr>
          <w:lang w:eastAsia="en-US"/>
        </w:rPr>
        <w:t>2</w:t>
      </w:r>
      <w:r w:rsidRPr="00A3032F">
        <w:rPr>
          <w:lang w:eastAsia="en-US"/>
        </w:rPr>
        <w:t>% </w:t>
      </w:r>
      <w:r w:rsidR="00D067C5">
        <w:t>per annum</w:t>
      </w:r>
      <w:r w:rsidRPr="00A3032F">
        <w:rPr>
          <w:lang w:eastAsia="en-US"/>
        </w:rPr>
        <w:t xml:space="preserve">, noting that this is anticipated </w:t>
      </w:r>
      <w:r w:rsidR="001F61B0">
        <w:rPr>
          <w:lang w:eastAsia="en-US"/>
        </w:rPr>
        <w:t xml:space="preserve">as the AFSR model allows for this attribute </w:t>
      </w:r>
      <w:r w:rsidRPr="00A3032F">
        <w:rPr>
          <w:lang w:eastAsia="en-US"/>
        </w:rPr>
        <w:t xml:space="preserve">and hence does not form a part of the modelled </w:t>
      </w:r>
      <w:r w:rsidR="007C3EDE">
        <w:rPr>
          <w:lang w:eastAsia="en-US"/>
        </w:rPr>
        <w:t>additional</w:t>
      </w:r>
      <w:r w:rsidRPr="00A3032F">
        <w:rPr>
          <w:lang w:eastAsia="en-US"/>
        </w:rPr>
        <w:t xml:space="preserve"> inflation.</w:t>
      </w:r>
      <w:r w:rsidRPr="00A3032F">
        <w:rPr>
          <w:vertAlign w:val="superscript"/>
          <w:lang w:eastAsia="en-US"/>
        </w:rPr>
        <w:footnoteReference w:id="72"/>
      </w:r>
      <w:r w:rsidRPr="00A3032F">
        <w:rPr>
          <w:lang w:eastAsia="en-US"/>
        </w:rPr>
        <w:t xml:space="preserve"> </w:t>
      </w:r>
    </w:p>
    <w:p w14:paraId="428820E3" w14:textId="77777777" w:rsidR="0093332E" w:rsidRPr="00A3032F" w:rsidRDefault="0093332E" w:rsidP="005B376B">
      <w:pPr>
        <w:pStyle w:val="FSRlist"/>
        <w:rPr>
          <w:rFonts w:asciiTheme="minorHAnsi" w:hAnsiTheme="minorHAnsi"/>
          <w:lang w:eastAsia="en-US"/>
        </w:rPr>
      </w:pPr>
      <w:r w:rsidRPr="00A3032F">
        <w:rPr>
          <w:b/>
          <w:bCs/>
          <w:lang w:eastAsia="en-US"/>
        </w:rPr>
        <w:lastRenderedPageBreak/>
        <w:t>Level of function change</w:t>
      </w:r>
      <w:r w:rsidRPr="00A3032F">
        <w:rPr>
          <w:lang w:eastAsia="en-US"/>
        </w:rPr>
        <w:t xml:space="preserve">: This refers to the change in </w:t>
      </w:r>
      <w:r w:rsidR="008B69C2">
        <w:rPr>
          <w:lang w:eastAsia="en-US"/>
        </w:rPr>
        <w:t>average payments</w:t>
      </w:r>
      <w:r w:rsidR="008B69C2" w:rsidRPr="00A3032F">
        <w:rPr>
          <w:lang w:eastAsia="en-US"/>
        </w:rPr>
        <w:t xml:space="preserve"> </w:t>
      </w:r>
      <w:r w:rsidRPr="00A3032F">
        <w:rPr>
          <w:lang w:eastAsia="en-US"/>
        </w:rPr>
        <w:t xml:space="preserve">observed when participants level of function changes, and has averaged 1.8% </w:t>
      </w:r>
      <w:r w:rsidR="00D067C5">
        <w:t>per annum.</w:t>
      </w:r>
      <w:r w:rsidRPr="00A3032F">
        <w:rPr>
          <w:lang w:eastAsia="en-US"/>
        </w:rPr>
        <w:t xml:space="preserve"> This is likely to continue, albeit at a reducing rate over time, if the current functional assessment processes remain in place, and as long as the indirect link between functional assessment and funding levels remain. </w:t>
      </w:r>
    </w:p>
    <w:p w14:paraId="7B627443" w14:textId="77777777" w:rsidR="0093332E" w:rsidRPr="00A3032F" w:rsidRDefault="0093332E" w:rsidP="005B376B">
      <w:pPr>
        <w:pStyle w:val="FSRlist"/>
        <w:rPr>
          <w:rFonts w:asciiTheme="minorHAnsi" w:hAnsiTheme="minorHAnsi"/>
          <w:lang w:eastAsia="en-US"/>
        </w:rPr>
      </w:pPr>
      <w:r w:rsidRPr="00A3032F">
        <w:rPr>
          <w:b/>
          <w:bCs/>
          <w:lang w:eastAsia="en-US"/>
        </w:rPr>
        <w:t>Volume of supports</w:t>
      </w:r>
      <w:r w:rsidRPr="00A3032F">
        <w:rPr>
          <w:lang w:eastAsia="en-US"/>
        </w:rPr>
        <w:t xml:space="preserve">: This refers to the increase in supports from the addition of additional support categories to a participant’s total plan budget, contributing 2.2% </w:t>
      </w:r>
      <w:r w:rsidR="00D067C5">
        <w:t>per annum.</w:t>
      </w:r>
      <w:r w:rsidRPr="00A3032F">
        <w:rPr>
          <w:lang w:eastAsia="en-US"/>
        </w:rPr>
        <w:t xml:space="preserve"> Plan management and support coordination have had high rates of inflation due to increasing proportions of participants using those supports over time, although in absolute terms, daily activities, social and community participant and therapies have also contributed to escalation</w:t>
      </w:r>
      <w:r w:rsidR="008B69C2">
        <w:rPr>
          <w:lang w:eastAsia="en-US"/>
        </w:rPr>
        <w:t xml:space="preserve"> in payments</w:t>
      </w:r>
      <w:r w:rsidRPr="00A3032F">
        <w:rPr>
          <w:lang w:eastAsia="en-US"/>
        </w:rPr>
        <w:t>. This impact has been steadily reducing over time and is expected to continue to reduce.</w:t>
      </w:r>
    </w:p>
    <w:p w14:paraId="0B131957" w14:textId="77777777" w:rsidR="0093332E" w:rsidRPr="00A3032F" w:rsidRDefault="0093332E" w:rsidP="005B376B">
      <w:pPr>
        <w:pStyle w:val="FSRlist"/>
        <w:rPr>
          <w:rFonts w:asciiTheme="minorHAnsi" w:hAnsiTheme="minorHAnsi"/>
          <w:lang w:eastAsia="en-US"/>
        </w:rPr>
      </w:pPr>
      <w:r w:rsidRPr="00A3032F">
        <w:rPr>
          <w:b/>
          <w:lang w:eastAsia="en-US"/>
        </w:rPr>
        <w:t>Increased use of attendant care supports</w:t>
      </w:r>
      <w:r w:rsidRPr="00A3032F">
        <w:rPr>
          <w:lang w:eastAsia="en-US"/>
        </w:rPr>
        <w:t>: This refers to participants receiving more hours of care from disability support workers or a greater proportion of hours of higher intensity supports over time unrelated to the change in level of function. This has averaged 2.</w:t>
      </w:r>
      <w:r>
        <w:rPr>
          <w:lang w:eastAsia="en-US"/>
        </w:rPr>
        <w:t>5</w:t>
      </w:r>
      <w:r w:rsidRPr="00A3032F">
        <w:rPr>
          <w:lang w:eastAsia="en-US"/>
        </w:rPr>
        <w:t xml:space="preserve">% </w:t>
      </w:r>
      <w:r w:rsidR="00D067C5">
        <w:t>per annum,</w:t>
      </w:r>
      <w:r w:rsidRPr="00A3032F">
        <w:rPr>
          <w:lang w:eastAsia="en-US"/>
        </w:rPr>
        <w:t xml:space="preserve"> however has varied substantially. The observed rate of 1</w:t>
      </w:r>
      <w:r w:rsidR="00B45898">
        <w:rPr>
          <w:lang w:eastAsia="en-US"/>
        </w:rPr>
        <w:t>.1</w:t>
      </w:r>
      <w:r w:rsidRPr="00A3032F">
        <w:rPr>
          <w:lang w:eastAsia="en-US"/>
        </w:rPr>
        <w:t>% in 2021-22 is lower than the rate of 6.3% observed in each of the two preceding years, which is consistent with recent evidence of workforce and supply side constraints for disability support workers</w:t>
      </w:r>
      <w:r w:rsidR="00557A9E">
        <w:rPr>
          <w:lang w:eastAsia="en-US"/>
        </w:rPr>
        <w:t xml:space="preserve"> and COVID-related demand effects.</w:t>
      </w:r>
    </w:p>
    <w:p w14:paraId="76BFE0C4" w14:textId="77777777" w:rsidR="0093332E" w:rsidRPr="00A3032F" w:rsidRDefault="0093332E" w:rsidP="005B376B">
      <w:pPr>
        <w:pStyle w:val="FSRlist"/>
        <w:rPr>
          <w:lang w:eastAsia="en-US"/>
        </w:rPr>
      </w:pPr>
      <w:r w:rsidRPr="00A3032F">
        <w:rPr>
          <w:b/>
          <w:lang w:eastAsia="en-US"/>
        </w:rPr>
        <w:t>Increased use of therapy supports</w:t>
      </w:r>
      <w:r w:rsidRPr="00A3032F">
        <w:rPr>
          <w:lang w:eastAsia="en-US"/>
        </w:rPr>
        <w:t xml:space="preserve">: This has averaged 0.9% </w:t>
      </w:r>
      <w:r w:rsidR="00D067C5">
        <w:t>per annum</w:t>
      </w:r>
      <w:r w:rsidRPr="00A3032F">
        <w:rPr>
          <w:lang w:eastAsia="en-US"/>
        </w:rPr>
        <w:t xml:space="preserve"> and has arisen from participants receiving more hours of therapy supports or more expensive supports over time.</w:t>
      </w:r>
    </w:p>
    <w:p w14:paraId="3A1EA7F4" w14:textId="77777777" w:rsidR="0093332E" w:rsidRDefault="0093332E" w:rsidP="005B376B">
      <w:pPr>
        <w:pStyle w:val="FSRlist"/>
        <w:rPr>
          <w:lang w:eastAsia="en-US"/>
        </w:rPr>
      </w:pPr>
      <w:r w:rsidRPr="00A3032F">
        <w:rPr>
          <w:b/>
          <w:lang w:eastAsia="en-US"/>
        </w:rPr>
        <w:t>Increased use of other supports</w:t>
      </w:r>
      <w:r w:rsidRPr="00A3032F">
        <w:rPr>
          <w:lang w:eastAsia="en-US"/>
        </w:rPr>
        <w:t xml:space="preserve">: The remaining 1.3% </w:t>
      </w:r>
      <w:r w:rsidR="00D067C5">
        <w:t>per annum</w:t>
      </w:r>
      <w:r w:rsidRPr="00A3032F">
        <w:rPr>
          <w:lang w:eastAsia="en-US"/>
        </w:rPr>
        <w:t xml:space="preserve"> of </w:t>
      </w:r>
      <w:r w:rsidR="007C3EDE">
        <w:rPr>
          <w:lang w:eastAsia="en-US"/>
        </w:rPr>
        <w:t>additional</w:t>
      </w:r>
      <w:r w:rsidRPr="00A3032F">
        <w:rPr>
          <w:lang w:eastAsia="en-US"/>
        </w:rPr>
        <w:t xml:space="preserve"> inflation is due to increased use of other supports including consumables and capital items.</w:t>
      </w:r>
    </w:p>
    <w:p w14:paraId="451E1315" w14:textId="77777777" w:rsidR="005B376B" w:rsidRDefault="005B376B">
      <w:pPr>
        <w:spacing w:after="160" w:line="259" w:lineRule="auto"/>
        <w:rPr>
          <w:lang w:eastAsia="en-US"/>
        </w:rPr>
      </w:pPr>
      <w:r>
        <w:rPr>
          <w:lang w:eastAsia="en-US"/>
        </w:rPr>
        <w:br w:type="page"/>
      </w:r>
    </w:p>
    <w:p w14:paraId="2DCEE57F" w14:textId="77777777" w:rsidR="0093332E" w:rsidRPr="00DC5E78" w:rsidRDefault="0093332E" w:rsidP="0093332E">
      <w:pPr>
        <w:pStyle w:val="Heading3"/>
        <w:ind w:left="851" w:hanging="851"/>
      </w:pPr>
      <w:bookmarkStart w:id="81" w:name="_Toc118460197"/>
      <w:r w:rsidRPr="00DC5E78">
        <w:lastRenderedPageBreak/>
        <w:t xml:space="preserve">Plan </w:t>
      </w:r>
      <w:r w:rsidR="00C86253">
        <w:t>b</w:t>
      </w:r>
      <w:r w:rsidRPr="00DC5E78">
        <w:t>udget</w:t>
      </w:r>
      <w:r>
        <w:t>s</w:t>
      </w:r>
      <w:bookmarkEnd w:id="81"/>
    </w:p>
    <w:p w14:paraId="7546FCF2" w14:textId="77777777" w:rsidR="0093332E" w:rsidRPr="009976F9" w:rsidRDefault="0093332E" w:rsidP="0093332E">
      <w:pPr>
        <w:pStyle w:val="FSRnormal"/>
      </w:pPr>
      <w:r>
        <w:t xml:space="preserve">At the point when the Scheme is mature, plan budgets should provide a robust indicator of the reasonable and necessary supports required for each participant if there were no supply constraints and barriers for participants to utilise their plan budget, such as ease of access and lack of understanding of their supports. Plan budgets can thus be used to determine a reasonable </w:t>
      </w:r>
      <w:r w:rsidR="003F6941">
        <w:t>upper bound on potential longer-</w:t>
      </w:r>
      <w:r>
        <w:t xml:space="preserve">term </w:t>
      </w:r>
      <w:r w:rsidR="0061416E">
        <w:t>Scheme expense</w:t>
      </w:r>
      <w:r>
        <w:t xml:space="preserve"> within the Scheme.</w:t>
      </w:r>
    </w:p>
    <w:p w14:paraId="3F62B884" w14:textId="77777777" w:rsidR="0093332E" w:rsidRPr="009976F9" w:rsidRDefault="0093332E" w:rsidP="0093332E">
      <w:pPr>
        <w:pStyle w:val="FSRnormal"/>
      </w:pPr>
      <w:r>
        <w:t>Annualised plan budgets at 30 June 2022 were $36.8 billion, about 14% higher than annualised plan budget</w:t>
      </w:r>
      <w:r w:rsidR="00147768">
        <w:t>s</w:t>
      </w:r>
      <w:r>
        <w:t xml:space="preserve"> at 30 June 2021. The overall growth in plan budgets has reduced over time as the proportional increase in participant numbers has slowed and the distribution of participants has shifted towards younger ages and lower support needs. During this time, operational and planning processes in determining plan budgets have been refined and the Scheme has continued to mature.  </w:t>
      </w:r>
    </w:p>
    <w:p w14:paraId="494D694F" w14:textId="77777777" w:rsidR="0093332E" w:rsidRPr="00DC5E78" w:rsidRDefault="0093332E" w:rsidP="0093332E">
      <w:pPr>
        <w:pStyle w:val="Figures"/>
        <w:rPr>
          <w:i/>
        </w:rPr>
      </w:pPr>
      <w:r w:rsidRPr="00DC5E78">
        <w:t xml:space="preserve">Figure </w:t>
      </w:r>
      <w:fldSimple w:instr=" STYLEREF 2 \s ">
        <w:r w:rsidR="00447AA1">
          <w:rPr>
            <w:noProof/>
          </w:rPr>
          <w:t>4</w:t>
        </w:r>
      </w:fldSimple>
      <w:r w:rsidR="00447AA1">
        <w:t>.</w:t>
      </w:r>
      <w:fldSimple w:instr=" SEQ Figure \* ARABIC \s 2 ">
        <w:r w:rsidR="00447AA1">
          <w:rPr>
            <w:noProof/>
          </w:rPr>
          <w:t>15</w:t>
        </w:r>
      </w:fldSimple>
      <w:r w:rsidRPr="00DC5E78">
        <w:t xml:space="preserve">: Total </w:t>
      </w:r>
      <w:r w:rsidR="00147768">
        <w:t>a</w:t>
      </w:r>
      <w:r w:rsidRPr="00DC5E78">
        <w:t xml:space="preserve">nnualised </w:t>
      </w:r>
      <w:r w:rsidR="00147768">
        <w:t>p</w:t>
      </w:r>
      <w:r w:rsidRPr="00DC5E78">
        <w:t xml:space="preserve">lan </w:t>
      </w:r>
      <w:r w:rsidR="00147768">
        <w:t>b</w:t>
      </w:r>
      <w:r w:rsidRPr="300184CC">
        <w:t>udgets</w:t>
      </w:r>
      <w:r w:rsidRPr="00DC5E78">
        <w:t xml:space="preserve"> </w:t>
      </w:r>
      <w:r>
        <w:t>at</w:t>
      </w:r>
      <w:r w:rsidRPr="00DC5E78">
        <w:t xml:space="preserve"> end of each financial year</w:t>
      </w:r>
    </w:p>
    <w:p w14:paraId="39CDCEDF" w14:textId="77777777" w:rsidR="0093332E" w:rsidRPr="00AF2D4F" w:rsidRDefault="0093332E" w:rsidP="0093332E">
      <w:pPr>
        <w:pStyle w:val="FSRnormal"/>
        <w:spacing w:after="0"/>
        <w:rPr>
          <w:highlight w:val="lightGray"/>
        </w:rPr>
      </w:pPr>
      <w:r>
        <w:rPr>
          <w:noProof/>
          <w:color w:val="2B579A"/>
          <w:shd w:val="clear" w:color="auto" w:fill="E6E6E6"/>
          <w:lang w:eastAsia="en-AU"/>
        </w:rPr>
        <w:drawing>
          <wp:inline distT="0" distB="0" distL="0" distR="0" wp14:anchorId="147C364E" wp14:editId="7C3C08A0">
            <wp:extent cx="5731510" cy="3479800"/>
            <wp:effectExtent l="0" t="0" r="2540" b="6350"/>
            <wp:docPr id="466" name="Picture 39" descr="Chart shows the increasing trend in total annualised plan budget over time, from $18.9bil as at 30 June 2019, $27.5bil as at June 2020, $32.3bil as at 30 June 2021 to $36.8bil as at 30 June 2022." title="Figure 4.15: Total Annualised Plan Budgets at end of each financial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38">
                      <a:extLst>
                        <a:ext uri="{28A0092B-C50C-407E-A947-70E740481C1C}">
                          <a14:useLocalDpi xmlns:a14="http://schemas.microsoft.com/office/drawing/2010/main" val="0"/>
                        </a:ext>
                      </a:extLst>
                    </a:blip>
                    <a:stretch>
                      <a:fillRect/>
                    </a:stretch>
                  </pic:blipFill>
                  <pic:spPr>
                    <a:xfrm>
                      <a:off x="0" y="0"/>
                      <a:ext cx="5731510" cy="3479800"/>
                    </a:xfrm>
                    <a:prstGeom prst="rect">
                      <a:avLst/>
                    </a:prstGeom>
                  </pic:spPr>
                </pic:pic>
              </a:graphicData>
            </a:graphic>
          </wp:inline>
        </w:drawing>
      </w:r>
    </w:p>
    <w:p w14:paraId="27860C51" w14:textId="77777777" w:rsidR="0093332E" w:rsidRPr="00A515D8" w:rsidRDefault="0093332E" w:rsidP="0093332E">
      <w:pPr>
        <w:pStyle w:val="FSRnormal"/>
      </w:pPr>
      <w:r w:rsidRPr="00A515D8">
        <w:t xml:space="preserve">While the Scheme is expanding, the increasing plan budget are largely driven by existing participants. In the 12 months to the end of June 2022, total plan inflation for continuing participants was 8.9% </w:t>
      </w:r>
      <w:r w:rsidR="00D067C5">
        <w:t>per annum</w:t>
      </w:r>
      <w:r w:rsidRPr="00A515D8">
        <w:t xml:space="preserve"> and was also high over the preceding two years, averaging 22.5% in 2019-20</w:t>
      </w:r>
      <w:r w:rsidRPr="00252EAF">
        <w:rPr>
          <w:vertAlign w:val="superscript"/>
        </w:rPr>
        <w:footnoteReference w:id="73"/>
      </w:r>
      <w:r w:rsidRPr="00A515D8">
        <w:t xml:space="preserve"> and 9.3% in 2020-21. </w:t>
      </w:r>
      <w:r w:rsidR="005B376B" w:rsidRPr="00164A79">
        <w:t xml:space="preserve">Figure </w:t>
      </w:r>
      <w:r w:rsidR="005B376B">
        <w:rPr>
          <w:noProof/>
        </w:rPr>
        <w:t>4</w:t>
      </w:r>
      <w:r w:rsidR="005B376B">
        <w:t>.</w:t>
      </w:r>
      <w:r w:rsidR="005B376B">
        <w:rPr>
          <w:noProof/>
        </w:rPr>
        <w:t>16</w:t>
      </w:r>
      <w:r w:rsidRPr="00A515D8">
        <w:t xml:space="preserve"> sets out the quarterly rate of annualised plan inflation over the three years to June 2022, as well as the rolling 12 month average plan inflation rate. </w:t>
      </w:r>
    </w:p>
    <w:p w14:paraId="5C9347F4" w14:textId="77777777" w:rsidR="0093332E" w:rsidRDefault="0093332E" w:rsidP="0093332E">
      <w:pPr>
        <w:pStyle w:val="Figures"/>
      </w:pPr>
      <w:bookmarkStart w:id="82" w:name="_Ref113275652"/>
      <w:r w:rsidRPr="00164A79">
        <w:lastRenderedPageBreak/>
        <w:t xml:space="preserve">Figure </w:t>
      </w:r>
      <w:fldSimple w:instr=" STYLEREF 2 \s ">
        <w:r w:rsidR="00447AA1">
          <w:rPr>
            <w:noProof/>
          </w:rPr>
          <w:t>4</w:t>
        </w:r>
      </w:fldSimple>
      <w:r w:rsidR="00447AA1">
        <w:t>.</w:t>
      </w:r>
      <w:fldSimple w:instr=" SEQ Figure \* ARABIC \s 2 ">
        <w:r w:rsidR="00447AA1">
          <w:rPr>
            <w:noProof/>
          </w:rPr>
          <w:t>16</w:t>
        </w:r>
      </w:fldSimple>
      <w:bookmarkEnd w:id="82"/>
      <w:r w:rsidRPr="00164A79">
        <w:t>: Plan inflation for active participants</w:t>
      </w:r>
    </w:p>
    <w:p w14:paraId="193C5540" w14:textId="77777777" w:rsidR="0093332E" w:rsidRDefault="00AF59CC" w:rsidP="0093332E">
      <w:pPr>
        <w:pStyle w:val="Figures"/>
      </w:pPr>
      <w:r>
        <w:rPr>
          <w:noProof/>
          <w:lang w:eastAsia="en-AU"/>
        </w:rPr>
        <w:drawing>
          <wp:inline distT="0" distB="0" distL="0" distR="0" wp14:anchorId="2623EE78" wp14:editId="4B802D50">
            <wp:extent cx="5730875" cy="3694430"/>
            <wp:effectExtent l="0" t="0" r="3175" b="1270"/>
            <wp:docPr id="199784931" name="Picture 199784931" descr="Chart shows the annualised plan inflation rate over June 2019 to June 2022. Annualised inflation rate for each quarter is visualised as shaded areas for inflation within a plan and inflation at plan review.  Rolling 12 month averages of total inflation, inflation within a plan and inflation at plan review starting from quarter ending June 2020 to quarter ending June 2022." title="Figure 4.16: Plan inflation for active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0875" cy="3694430"/>
                    </a:xfrm>
                    <a:prstGeom prst="rect">
                      <a:avLst/>
                    </a:prstGeom>
                    <a:noFill/>
                  </pic:spPr>
                </pic:pic>
              </a:graphicData>
            </a:graphic>
          </wp:inline>
        </w:drawing>
      </w:r>
    </w:p>
    <w:p w14:paraId="3A9F4A86" w14:textId="77777777" w:rsidR="0093332E" w:rsidRDefault="0093332E" w:rsidP="0093332E">
      <w:pPr>
        <w:pStyle w:val="FSRnormal"/>
      </w:pPr>
      <w:r>
        <w:t xml:space="preserve">Of the 8.9% </w:t>
      </w:r>
      <w:r w:rsidR="00D067C5">
        <w:t>per annum</w:t>
      </w:r>
      <w:r>
        <w:t xml:space="preserve"> total</w:t>
      </w:r>
      <w:r w:rsidRPr="008D67D0">
        <w:t xml:space="preserve"> plan inflation for the </w:t>
      </w:r>
      <w:r>
        <w:t>1</w:t>
      </w:r>
      <w:r w:rsidRPr="008D67D0">
        <w:t xml:space="preserve">2 month period </w:t>
      </w:r>
      <w:r>
        <w:t>to June, i</w:t>
      </w:r>
      <w:r w:rsidRPr="008D67D0">
        <w:t>ntraplan inflation</w:t>
      </w:r>
      <w:r>
        <w:rPr>
          <w:rStyle w:val="FootnoteReference"/>
        </w:rPr>
        <w:footnoteReference w:id="74"/>
      </w:r>
      <w:r w:rsidRPr="008D67D0">
        <w:t xml:space="preserve"> made up 6.</w:t>
      </w:r>
      <w:r w:rsidR="000735AD">
        <w:t>4</w:t>
      </w:r>
      <w:r w:rsidRPr="008D67D0">
        <w:t xml:space="preserve">% </w:t>
      </w:r>
      <w:r w:rsidR="00D067C5">
        <w:t>per annum</w:t>
      </w:r>
      <w:r w:rsidR="00F605C2">
        <w:t>.</w:t>
      </w:r>
      <w:r w:rsidRPr="008D67D0">
        <w:t xml:space="preserve"> The </w:t>
      </w:r>
      <w:r w:rsidR="000735AD">
        <w:t xml:space="preserve">total </w:t>
      </w:r>
      <w:r w:rsidRPr="008D67D0">
        <w:t>rate has increased over the past six months, having been 5.6% for the twelve months to 31 December 2021.</w:t>
      </w:r>
      <w:r w:rsidRPr="00F94D7D">
        <w:t xml:space="preserve"> </w:t>
      </w:r>
    </w:p>
    <w:p w14:paraId="0BFABB18" w14:textId="77777777" w:rsidR="0093332E" w:rsidRDefault="0093332E" w:rsidP="0093332E">
      <w:pPr>
        <w:pStyle w:val="FSRnormal"/>
        <w:rPr>
          <w:rFonts w:cs="FS Me Light"/>
          <w:color w:val="000000"/>
          <w:szCs w:val="22"/>
        </w:rPr>
      </w:pPr>
      <w:r>
        <w:rPr>
          <w:rFonts w:cs="FS Me Light"/>
          <w:color w:val="000000"/>
          <w:szCs w:val="22"/>
        </w:rPr>
        <w:t>Plan reviews</w:t>
      </w:r>
      <w:r>
        <w:rPr>
          <w:rStyle w:val="FootnoteReference"/>
          <w:rFonts w:cs="FS Me Light"/>
          <w:color w:val="000000"/>
          <w:szCs w:val="22"/>
        </w:rPr>
        <w:footnoteReference w:id="75"/>
      </w:r>
      <w:r>
        <w:rPr>
          <w:rFonts w:cs="FS Me Light"/>
          <w:color w:val="000000"/>
          <w:szCs w:val="22"/>
        </w:rPr>
        <w:t xml:space="preserve"> result in plan budgets varying from plan to plan for a variety of reasons – for example, one-off capital items in one plan and not the next. Another example is investment in capacity building (such as behavioural supports) resulting in less need for core support over time. The NDIA has published an Operational Guideline on </w:t>
      </w:r>
      <w:r w:rsidR="000735AD">
        <w:rPr>
          <w:rFonts w:cs="FS Me Light"/>
          <w:color w:val="000000"/>
          <w:szCs w:val="22"/>
        </w:rPr>
        <w:t>‘</w:t>
      </w:r>
      <w:r>
        <w:rPr>
          <w:rFonts w:cs="FS Me Light"/>
          <w:color w:val="000000"/>
          <w:szCs w:val="22"/>
        </w:rPr>
        <w:t>Changing Your Plan’</w:t>
      </w:r>
      <w:r>
        <w:rPr>
          <w:rStyle w:val="FootnoteReference"/>
          <w:rFonts w:cs="FS Me Light"/>
          <w:color w:val="000000"/>
          <w:szCs w:val="22"/>
        </w:rPr>
        <w:footnoteReference w:id="76"/>
      </w:r>
      <w:r>
        <w:rPr>
          <w:rFonts w:cs="FS Me Light"/>
          <w:color w:val="000000"/>
          <w:szCs w:val="22"/>
        </w:rPr>
        <w:t xml:space="preserve"> which details the reasons why a new plan could be different to a current plan. </w:t>
      </w:r>
    </w:p>
    <w:p w14:paraId="2CE834FA" w14:textId="77777777" w:rsidR="0093332E" w:rsidRDefault="0093332E" w:rsidP="0093332E">
      <w:pPr>
        <w:pStyle w:val="FSRnormal"/>
      </w:pPr>
      <w:r>
        <w:rPr>
          <w:rFonts w:cs="FS Me Light"/>
          <w:color w:val="000000"/>
          <w:szCs w:val="22"/>
        </w:rPr>
        <w:t xml:space="preserve">These reasons can also occur before a plan is due to be renewed, and often the plan may be reviewed early, and a new plan put in place, both of which contribute to increases in plan budgets. Increases in plan budgets by time in Scheme are shown in </w:t>
      </w:r>
      <w:r w:rsidR="005B376B" w:rsidRPr="009A2243">
        <w:t xml:space="preserve">Figure </w:t>
      </w:r>
      <w:r w:rsidR="005B376B">
        <w:rPr>
          <w:noProof/>
        </w:rPr>
        <w:t>4</w:t>
      </w:r>
      <w:r w:rsidR="005B376B">
        <w:t>.</w:t>
      </w:r>
      <w:r w:rsidR="005B376B">
        <w:rPr>
          <w:noProof/>
        </w:rPr>
        <w:t>17</w:t>
      </w:r>
      <w:r>
        <w:t>.</w:t>
      </w:r>
    </w:p>
    <w:p w14:paraId="63452991" w14:textId="77777777" w:rsidR="0093332E" w:rsidRDefault="0093332E" w:rsidP="0093332E">
      <w:pPr>
        <w:pStyle w:val="Figures"/>
      </w:pPr>
      <w:bookmarkStart w:id="83" w:name="_Ref113275758"/>
      <w:r w:rsidRPr="009A2243">
        <w:lastRenderedPageBreak/>
        <w:t xml:space="preserve">Figure </w:t>
      </w:r>
      <w:fldSimple w:instr=" STYLEREF 2 \s ">
        <w:r w:rsidR="00447AA1">
          <w:rPr>
            <w:noProof/>
          </w:rPr>
          <w:t>4</w:t>
        </w:r>
      </w:fldSimple>
      <w:r w:rsidR="00447AA1">
        <w:t>.</w:t>
      </w:r>
      <w:fldSimple w:instr=" SEQ Figure \* ARABIC \s 2 ">
        <w:r w:rsidR="00447AA1">
          <w:rPr>
            <w:noProof/>
          </w:rPr>
          <w:t>17</w:t>
        </w:r>
      </w:fldSimple>
      <w:bookmarkEnd w:id="83"/>
      <w:r>
        <w:t>:</w:t>
      </w:r>
      <w:r w:rsidRPr="004530C9">
        <w:t xml:space="preserve"> </w:t>
      </w:r>
      <w:r>
        <w:t>Average annualised plan budgets for participants over time</w:t>
      </w:r>
    </w:p>
    <w:p w14:paraId="6F589C34" w14:textId="77777777" w:rsidR="0093332E" w:rsidRDefault="00A07F15" w:rsidP="0093332E">
      <w:pPr>
        <w:pStyle w:val="Figures"/>
      </w:pPr>
      <w:r>
        <w:rPr>
          <w:noProof/>
          <w:lang w:eastAsia="en-AU"/>
        </w:rPr>
        <w:drawing>
          <wp:inline distT="0" distB="0" distL="0" distR="0" wp14:anchorId="0F5726FD" wp14:editId="1D7F71FB">
            <wp:extent cx="5724000" cy="2671174"/>
            <wp:effectExtent l="0" t="0" r="0" b="0"/>
            <wp:docPr id="56" name="Picture 56" descr="Bar chart showing average annualised plan budgets for first, second, third, fourth, fifth and sixth plans where relevant for participant cohorts who have had two or more plans.&#10;For the participant cohort that has had two plans, there has been average growth per plan of 12.7% with average annualised budgets of $39,700 and $44,700 for first plan and second plan respectively. &#10;For the participant cohort that has had three plans, there has been average growth per plan of 11.6% with average annualised budgets of $45,200, $53,800 and $56,400 for first plan, second plan, and third plan respectively. &#10;For the participant cohort that has had four plans, there has been average growth per plan of 12.7% with average annualised budgets of $52,000, $64,400, $72,300 and $74,500 for first plan, second plan, third plan and fourth plan respectively. &#10;For the participant cohort that has had five plans, there has been average growth per plan of 13.4% with average annualised budgets of $55,100, $66,600, $79,100, $88,900 and $91,100 for first plan, second plan, third plan, fourth plan and fifth plan respectively. &#10;For the participant cohort that has had more than six or more plans, there has been average growth per plan of 15.1% with average annualised budgets of $64,400, $76,700, $88,600, $105,100, $120,600 and $130,200 for first plan, second plan, third plan, fourth plan, fifth plan and sixth or  more plans respectively." title="Figure 4.17: Average annualised plan budgets for participants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24000" cy="2671174"/>
                    </a:xfrm>
                    <a:prstGeom prst="rect">
                      <a:avLst/>
                    </a:prstGeom>
                    <a:noFill/>
                  </pic:spPr>
                </pic:pic>
              </a:graphicData>
            </a:graphic>
          </wp:inline>
        </w:drawing>
      </w:r>
    </w:p>
    <w:p w14:paraId="356D72C0" w14:textId="77777777" w:rsidR="0093332E" w:rsidRDefault="0093332E" w:rsidP="0093332E">
      <w:pPr>
        <w:pStyle w:val="FSRnormal"/>
      </w:pPr>
      <w:r w:rsidRPr="00F94D7D">
        <w:t xml:space="preserve">While this level of plan inflation persists and without changes to the assessment process for participants accessing the Scheme, it is reasonable to assume that </w:t>
      </w:r>
      <w:r w:rsidR="007C3EDE">
        <w:t>additional</w:t>
      </w:r>
      <w:r w:rsidRPr="00F94D7D">
        <w:t xml:space="preserve"> inflation in Scheme </w:t>
      </w:r>
      <w:r w:rsidR="00EF0091">
        <w:t xml:space="preserve">expenses </w:t>
      </w:r>
      <w:r w:rsidRPr="00F94D7D">
        <w:t>will continue in the medium to long</w:t>
      </w:r>
      <w:r w:rsidR="003F6941">
        <w:t xml:space="preserve"> </w:t>
      </w:r>
      <w:r w:rsidRPr="00F94D7D">
        <w:t>term. This has been observed in other social insurance schemes in Australia and New Zealand, in the absence of substantial legislative or policy change</w:t>
      </w:r>
      <w:r w:rsidR="00147768">
        <w:rPr>
          <w:rStyle w:val="FootnoteReference"/>
        </w:rPr>
        <w:footnoteReference w:id="77"/>
      </w:r>
      <w:r w:rsidRPr="00F94D7D">
        <w:t>.</w:t>
      </w:r>
    </w:p>
    <w:p w14:paraId="42D7ECF7" w14:textId="77777777" w:rsidR="0093332E" w:rsidRPr="004F7F4A" w:rsidRDefault="0093332E" w:rsidP="0093332E">
      <w:pPr>
        <w:pStyle w:val="FSRnormal"/>
      </w:pPr>
      <w:r>
        <w:t>In contrast, plan budgets for new participants have been decreasing over time and have the effect of lowering the average across the Scheme overall. In aggregate, the average annualised plan budget</w:t>
      </w:r>
      <w:r w:rsidR="00147768">
        <w:t>s</w:t>
      </w:r>
      <w:r>
        <w:t xml:space="preserve"> at</w:t>
      </w:r>
      <w:r w:rsidR="00147768">
        <w:t xml:space="preserve"> the</w:t>
      </w:r>
      <w:r>
        <w:t xml:space="preserve"> end </w:t>
      </w:r>
      <w:r w:rsidR="00147768">
        <w:t>of the</w:t>
      </w:r>
      <w:r>
        <w:t xml:space="preserve"> financial year have been relatively stable for the most recent three years, as highlighted in </w:t>
      </w:r>
      <w:r w:rsidR="005B376B" w:rsidRPr="00DC5E78">
        <w:t xml:space="preserve">Figure </w:t>
      </w:r>
      <w:r w:rsidR="005B376B">
        <w:rPr>
          <w:noProof/>
        </w:rPr>
        <w:t>4</w:t>
      </w:r>
      <w:r w:rsidR="005B376B">
        <w:t>.</w:t>
      </w:r>
      <w:r w:rsidR="005B376B">
        <w:rPr>
          <w:noProof/>
        </w:rPr>
        <w:t>18</w:t>
      </w:r>
      <w:r>
        <w:t xml:space="preserve">. </w:t>
      </w:r>
    </w:p>
    <w:p w14:paraId="70AAA8ED" w14:textId="77777777" w:rsidR="0093332E" w:rsidRPr="001201CD" w:rsidRDefault="0093332E" w:rsidP="0093332E">
      <w:pPr>
        <w:pStyle w:val="Figures"/>
      </w:pPr>
      <w:bookmarkStart w:id="84" w:name="_Ref113275804"/>
      <w:r w:rsidRPr="00DC5E78">
        <w:lastRenderedPageBreak/>
        <w:t xml:space="preserve">Figure </w:t>
      </w:r>
      <w:fldSimple w:instr=" STYLEREF 2 \s ">
        <w:r w:rsidR="00447AA1">
          <w:rPr>
            <w:noProof/>
          </w:rPr>
          <w:t>4</w:t>
        </w:r>
      </w:fldSimple>
      <w:r w:rsidR="00447AA1">
        <w:t>.</w:t>
      </w:r>
      <w:fldSimple w:instr=" SEQ Figure \* ARABIC \s 2 ">
        <w:r w:rsidR="00447AA1">
          <w:rPr>
            <w:noProof/>
          </w:rPr>
          <w:t>18</w:t>
        </w:r>
      </w:fldSimple>
      <w:bookmarkEnd w:id="84"/>
      <w:r w:rsidRPr="005A7D4D">
        <w:t xml:space="preserve">: </w:t>
      </w:r>
      <w:r w:rsidRPr="001201CD">
        <w:t>Average annualised plan budget</w:t>
      </w:r>
      <w:r w:rsidR="00561A51">
        <w:t xml:space="preserve"> as at 30 June</w:t>
      </w:r>
      <w:r w:rsidRPr="001201CD">
        <w:t xml:space="preserve"> over time</w:t>
      </w:r>
    </w:p>
    <w:p w14:paraId="5E1F8D33" w14:textId="77777777" w:rsidR="0093332E" w:rsidRPr="005B376B" w:rsidRDefault="00AA2B85" w:rsidP="0093332E">
      <w:pPr>
        <w:pStyle w:val="Figures"/>
      </w:pPr>
      <w:r>
        <w:rPr>
          <w:noProof/>
          <w:lang w:eastAsia="en-AU"/>
        </w:rPr>
        <w:drawing>
          <wp:inline distT="0" distB="0" distL="0" distR="0" wp14:anchorId="3D447B42" wp14:editId="07395AFD">
            <wp:extent cx="3944620" cy="3121660"/>
            <wp:effectExtent l="0" t="0" r="0" b="2540"/>
            <wp:docPr id="256" name="Picture 256" descr="Graph shows the average annualised plan budget, on a yearly basis as at 30 June, from 2019 to 2022. As at 30 June 2019, the average annualised plan budget was $66,100. As at 30 June 2020, the average annualised plan budget was $70,100.  As at 30 June 2021, the average annualised plan budget was $69,200.  As at 30 June 2022, the average annualised plan budget was $68,800. This has meant that the average annualised plan budget has grown at an average annual rate of 1.4%." title="Figure 4.18: Average annualised plan budget as at 30 June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44620" cy="3121660"/>
                    </a:xfrm>
                    <a:prstGeom prst="rect">
                      <a:avLst/>
                    </a:prstGeom>
                    <a:noFill/>
                  </pic:spPr>
                </pic:pic>
              </a:graphicData>
            </a:graphic>
          </wp:inline>
        </w:drawing>
      </w:r>
    </w:p>
    <w:p w14:paraId="7B78B62A" w14:textId="77777777" w:rsidR="0093332E" w:rsidRPr="00AF2D4F" w:rsidRDefault="0093332E" w:rsidP="0093332E">
      <w:pPr>
        <w:pStyle w:val="FSRnormal"/>
        <w:rPr>
          <w:highlight w:val="lightGray"/>
        </w:rPr>
      </w:pPr>
      <w:r>
        <w:t xml:space="preserve">The overall average annualised plan budget has increased by 1.4% per annum on average, over the past three years. However, there has been a reduction of 1.2% and 0.6% in 2020-21 and 2021-22 respectively. </w:t>
      </w:r>
    </w:p>
    <w:p w14:paraId="60F164E3" w14:textId="77777777" w:rsidR="0093332E" w:rsidRDefault="00EF0091" w:rsidP="0093332E">
      <w:pPr>
        <w:pStyle w:val="FSRnormal"/>
      </w:pPr>
      <w:r>
        <w:t xml:space="preserve">This results from a continuing shift in </w:t>
      </w:r>
      <w:r w:rsidR="0093332E">
        <w:t>the mix of participants</w:t>
      </w:r>
      <w:r>
        <w:t>, despite the Scheme having been available to all Australians since the 2019-20 year</w:t>
      </w:r>
      <w:r w:rsidR="0093332E">
        <w:t xml:space="preserve">. The recent reduction in overall growth rate of plan budgets can be attributed to: </w:t>
      </w:r>
    </w:p>
    <w:p w14:paraId="27B84D94" w14:textId="77777777" w:rsidR="0093332E" w:rsidRDefault="0093332E" w:rsidP="0093332E">
      <w:pPr>
        <w:pStyle w:val="FSRlist"/>
      </w:pPr>
      <w:r>
        <w:t xml:space="preserve">A high proportion of new entrants aged below 18 entering the Scheme. As children and young adults have lower plan budgets on average than adults, this contributes to a reduction in average plan budgets across the Scheme. </w:t>
      </w:r>
    </w:p>
    <w:p w14:paraId="6484FCEE" w14:textId="77777777" w:rsidR="0093332E" w:rsidRDefault="0093332E" w:rsidP="0093332E">
      <w:pPr>
        <w:pStyle w:val="FSRlist"/>
        <w:rPr>
          <w:rFonts w:asciiTheme="minorHAnsi" w:hAnsiTheme="minorHAnsi"/>
          <w:szCs w:val="22"/>
        </w:rPr>
      </w:pPr>
      <w:r>
        <w:t xml:space="preserve">New entrants have been observed to have a higher level of function than existing participants, reflecting participants with higher support needs having previously transitioned into the Scheme. This results in new entrants having lower support needs and hence lower plan budgets, on average. </w:t>
      </w:r>
    </w:p>
    <w:p w14:paraId="5CE83251" w14:textId="77777777" w:rsidR="0093332E" w:rsidRDefault="0093332E" w:rsidP="0093332E">
      <w:pPr>
        <w:pStyle w:val="FSRlist"/>
      </w:pPr>
      <w:r>
        <w:t xml:space="preserve">Fewer new participants with SIL as those requiring SIL supports tend to require intensive support and care and generally </w:t>
      </w:r>
      <w:r w:rsidR="000735AD">
        <w:t>transitioned from Commonwealth or State/ Territory programs into the Scheme in earlier years</w:t>
      </w:r>
      <w:r>
        <w:t xml:space="preserve">. </w:t>
      </w:r>
    </w:p>
    <w:p w14:paraId="52DF30EE" w14:textId="77777777" w:rsidR="0093332E" w:rsidRDefault="0093332E" w:rsidP="0093332E">
      <w:pPr>
        <w:spacing w:after="160" w:line="259" w:lineRule="auto"/>
        <w:rPr>
          <w:rFonts w:eastAsiaTheme="minorHAnsi"/>
          <w:color w:val="2B579A"/>
          <w:sz w:val="24"/>
          <w:szCs w:val="18"/>
          <w:shd w:val="clear" w:color="auto" w:fill="E6E6E6"/>
          <w:lang w:eastAsia="en-US"/>
        </w:rPr>
      </w:pPr>
      <w:r>
        <w:rPr>
          <w:rFonts w:eastAsiaTheme="minorHAnsi"/>
          <w:b/>
          <w:color w:val="2B579A"/>
          <w:sz w:val="24"/>
          <w:szCs w:val="18"/>
          <w:shd w:val="clear" w:color="auto" w:fill="E6E6E6"/>
          <w:lang w:eastAsia="en-US"/>
        </w:rPr>
        <w:br w:type="page"/>
      </w:r>
    </w:p>
    <w:p w14:paraId="5764FCB1" w14:textId="77777777" w:rsidR="0093332E" w:rsidRDefault="0093332E" w:rsidP="0093332E">
      <w:pPr>
        <w:pStyle w:val="Figures"/>
      </w:pPr>
      <w:r w:rsidRPr="00DC5E78">
        <w:lastRenderedPageBreak/>
        <w:t xml:space="preserve">Figure </w:t>
      </w:r>
      <w:fldSimple w:instr=" STYLEREF 2 \s ">
        <w:r w:rsidR="00447AA1">
          <w:rPr>
            <w:noProof/>
          </w:rPr>
          <w:t>4</w:t>
        </w:r>
      </w:fldSimple>
      <w:r w:rsidR="00447AA1">
        <w:t>.</w:t>
      </w:r>
      <w:fldSimple w:instr=" SEQ Figure \* ARABIC \s 2 ">
        <w:r w:rsidR="00447AA1">
          <w:rPr>
            <w:noProof/>
          </w:rPr>
          <w:t>19</w:t>
        </w:r>
      </w:fldSimple>
      <w:r>
        <w:t>:</w:t>
      </w:r>
      <w:r w:rsidRPr="00DC5E78">
        <w:t xml:space="preserve"> Average annualised plan budgets over time by SIL</w:t>
      </w:r>
      <w:r>
        <w:t xml:space="preserve"> status</w:t>
      </w:r>
    </w:p>
    <w:p w14:paraId="583EF129" w14:textId="77777777" w:rsidR="0093332E" w:rsidRPr="00866DE0" w:rsidRDefault="00ED1A32" w:rsidP="0093332E">
      <w:pPr>
        <w:pStyle w:val="Figures"/>
      </w:pPr>
      <w:r>
        <w:rPr>
          <w:noProof/>
          <w:lang w:eastAsia="en-AU"/>
        </w:rPr>
        <w:drawing>
          <wp:inline distT="0" distB="0" distL="0" distR="0" wp14:anchorId="3E643E61" wp14:editId="26B9D7FF">
            <wp:extent cx="5724000" cy="2278132"/>
            <wp:effectExtent l="0" t="0" r="0" b="8255"/>
            <wp:docPr id="60" name="Picture 60" descr="Graphs show the average annualised plan budgets for participants with and without SIL, on a yearly basis as at 30 June, from 2019 to 2022. Average annualised plan budgets as at 30 June for participants with SIL have been as follows: 2019 $290,800; 2020 $344,300; 2021 $354,300; 2022 $358,000. This has meant that average annualised plan budgets for participants with SIL have grown at an average annual rate of 7.2%. Average annualised plan budgets as at 30 June for participants with SIL have been as follows: 2019 $48,200; 2020 $52,100; 2021 $53,400; 2022 $53,500. This has meant that average annualised plan budgets for participants without SIL have grown at an average annual rate of 3.5%." title="Figure 4.19: Average annualised plan budgets over time by SIL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24000" cy="2278132"/>
                    </a:xfrm>
                    <a:prstGeom prst="rect">
                      <a:avLst/>
                    </a:prstGeom>
                    <a:noFill/>
                  </pic:spPr>
                </pic:pic>
              </a:graphicData>
            </a:graphic>
          </wp:inline>
        </w:drawing>
      </w:r>
    </w:p>
    <w:p w14:paraId="01B68A17" w14:textId="77777777" w:rsidR="0093332E" w:rsidRDefault="0093332E" w:rsidP="0093332E">
      <w:pPr>
        <w:pStyle w:val="FSRnormal"/>
      </w:pPr>
      <w:r>
        <w:t>Average plan budgets over time continue to increase for both participants with and without SIL but have been relatively stable in the two most recent years. A</w:t>
      </w:r>
      <w:r w:rsidRPr="00EE3594">
        <w:t xml:space="preserve">verage plan budgets for participants with </w:t>
      </w:r>
      <w:r>
        <w:t xml:space="preserve">SIL </w:t>
      </w:r>
      <w:r w:rsidRPr="00EE3594">
        <w:t xml:space="preserve">and without SIL </w:t>
      </w:r>
      <w:r>
        <w:t xml:space="preserve">have increased by </w:t>
      </w:r>
      <w:r w:rsidRPr="00EE3594">
        <w:t>7.2% and 3.5% per annum</w:t>
      </w:r>
      <w:r>
        <w:t xml:space="preserve"> respectively</w:t>
      </w:r>
      <w:r w:rsidRPr="00EE3594">
        <w:t xml:space="preserve">. </w:t>
      </w:r>
      <w:r>
        <w:t xml:space="preserve">The average annualised plan budget has increased by 2.9% per annum over 2020-21 and 1.1% 2021-22 for participants with SIL, and for participants without SIL, 2.5% per annum in 2020-21 and 0.1% per annum in 2021-22. </w:t>
      </w:r>
    </w:p>
    <w:p w14:paraId="52DC3FD0" w14:textId="77777777" w:rsidR="0093332E" w:rsidRDefault="0093332E" w:rsidP="0093332E">
      <w:pPr>
        <w:pStyle w:val="FSRnormal"/>
        <w:rPr>
          <w:highlight w:val="yellow"/>
        </w:rPr>
      </w:pPr>
      <w:r w:rsidRPr="00CD6FB8">
        <w:t xml:space="preserve">The lower increase for participants without SIL </w:t>
      </w:r>
      <w:r w:rsidRPr="00DC5E78">
        <w:t>compared to participants with</w:t>
      </w:r>
      <w:r w:rsidRPr="00730C0E">
        <w:t xml:space="preserve"> SIL </w:t>
      </w:r>
      <w:r>
        <w:t>was</w:t>
      </w:r>
      <w:r w:rsidRPr="00CD6FB8">
        <w:t xml:space="preserve"> expected as </w:t>
      </w:r>
      <w:r>
        <w:t>most of</w:t>
      </w:r>
      <w:r w:rsidRPr="00CD6FB8">
        <w:t xml:space="preserve"> the new entrants are without SIL and </w:t>
      </w:r>
      <w:r>
        <w:t>have higher levels of function.</w:t>
      </w:r>
      <w:r w:rsidRPr="00CD6FB8">
        <w:t xml:space="preserve"> </w:t>
      </w:r>
    </w:p>
    <w:p w14:paraId="6688F5E4" w14:textId="77777777" w:rsidR="0093332E" w:rsidRDefault="0093332E" w:rsidP="0093332E">
      <w:pPr>
        <w:pStyle w:val="Figures"/>
      </w:pPr>
      <w:bookmarkStart w:id="85" w:name="_Ref113275936"/>
      <w:r w:rsidRPr="00DC5E78">
        <w:t xml:space="preserve">Figure </w:t>
      </w:r>
      <w:fldSimple w:instr=" STYLEREF 2 \s ">
        <w:r w:rsidR="00447AA1">
          <w:rPr>
            <w:noProof/>
          </w:rPr>
          <w:t>4</w:t>
        </w:r>
      </w:fldSimple>
      <w:r w:rsidR="00447AA1">
        <w:t>.</w:t>
      </w:r>
      <w:fldSimple w:instr=" SEQ Figure \* ARABIC \s 2 ">
        <w:r w:rsidR="00447AA1">
          <w:rPr>
            <w:noProof/>
          </w:rPr>
          <w:t>20</w:t>
        </w:r>
      </w:fldSimple>
      <w:bookmarkEnd w:id="85"/>
      <w:r>
        <w:t>:</w:t>
      </w:r>
      <w:r w:rsidRPr="0094035E">
        <w:t xml:space="preserve"> Average annualised plan budgets over time by age </w:t>
      </w:r>
      <w:r w:rsidR="00040393">
        <w:t>band</w:t>
      </w:r>
    </w:p>
    <w:p w14:paraId="2F4E08D1" w14:textId="77777777" w:rsidR="00DC4194" w:rsidRPr="0094035E" w:rsidRDefault="00AA2B85" w:rsidP="0093332E">
      <w:pPr>
        <w:pStyle w:val="Figures"/>
      </w:pPr>
      <w:r>
        <w:rPr>
          <w:noProof/>
          <w:lang w:eastAsia="en-AU"/>
        </w:rPr>
        <w:drawing>
          <wp:inline distT="0" distB="0" distL="0" distR="0" wp14:anchorId="42A0136D" wp14:editId="12160282">
            <wp:extent cx="5724000" cy="3282025"/>
            <wp:effectExtent l="0" t="0" r="0" b="0"/>
            <wp:docPr id="257" name="Picture 257" descr="This graph displays average annualised plan budgets by age band for participants without SIL, on a yearly basis as at 30 June, for 2019 to 2022. Average annualised plan budgets as at 30 June for participants without SIL and aged 0 to 14 have been as follows: 2019 $20,800; 2020 $24,400; 2021 $24,500; 2022 $24,500. This has meant that average annualised plan budgets for participants without SIL and aged 0 to 14 have grown at an average annual rate of 5.6%. Average annualised plan budgets as at 30 June for participants without SIL and aged 15 to 24 have been as follows: 2019 $66,400; 2020 $71,300; 2021 $69,400; 2022 $66,700. This has meant that average annualised plan budgets for participants without SIL and aged 15 to 24 have grown at an average annual rate of 0.1%. Average annualised plan budgets as at 30 June for participants without SIL and aged 25 to 64 have been as follows: 2019 $104,100; 2020 $112,800; 2021 $112,300; 2022 $112,900. This has meant that average annualised plan budgets for participants without SIL and aged 25 to 64 have grown at an average annual rate of 2.7%. Average annualised plan budgets as at 30 June for participants without SIL and aged 65+ have been as follows: 2019 $96,600; 2020 $109,700; 2021 $113,900; 2022 $118,800. This has meant that average annualised plan budgets for participants without SIL and aged 65+ have grown at an average annual rate of 7.1%." title="Figure 4.20: Average annualised plan budgets over time by age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24000" cy="3282025"/>
                    </a:xfrm>
                    <a:prstGeom prst="rect">
                      <a:avLst/>
                    </a:prstGeom>
                    <a:noFill/>
                  </pic:spPr>
                </pic:pic>
              </a:graphicData>
            </a:graphic>
          </wp:inline>
        </w:drawing>
      </w:r>
    </w:p>
    <w:p w14:paraId="5FB4FD5C" w14:textId="77777777" w:rsidR="0093332E" w:rsidRDefault="0093332E" w:rsidP="0093332E">
      <w:pPr>
        <w:pStyle w:val="FSRnormal"/>
      </w:pPr>
      <w:r>
        <w:t>Average annualised plan budgets have increased across most age groups other than participants aged 15 to 24. While overall average plan budgets for those aged 15 to 24 ha</w:t>
      </w:r>
      <w:r w:rsidR="000735AD">
        <w:t>ve</w:t>
      </w:r>
      <w:r>
        <w:t xml:space="preserve"> remained broadly unchanged, increasing at 0.1% per annum, average plan budgets ha</w:t>
      </w:r>
      <w:r w:rsidR="000735AD">
        <w:t>ve</w:t>
      </w:r>
      <w:r>
        <w:t xml:space="preserve"> </w:t>
      </w:r>
      <w:r>
        <w:lastRenderedPageBreak/>
        <w:t xml:space="preserve">decreased by 2.6% and 4.0% in 2020-21 and 2021-22, respectively. Average plan budgets for those aged 0 to 14 and 25 to 64 increased by 5.6% per annum and 2.7% per annum, however, average plan budgets for both age groups have been broadly unchanged for 2020-21 and 2021-22. The relatively lower inflation in recent years for the younger age groups was mainly driven by the shift of </w:t>
      </w:r>
      <w:r w:rsidR="000735AD">
        <w:t xml:space="preserve">the profile of </w:t>
      </w:r>
      <w:r>
        <w:t xml:space="preserve">participants due to new entrants and is expected to continue. Age 65 and over continue to show an increase in average plan budget at 7.1% per annum. </w:t>
      </w:r>
    </w:p>
    <w:p w14:paraId="3D689E8B" w14:textId="77777777" w:rsidR="0093332E" w:rsidRPr="00B1557A" w:rsidRDefault="005B376B" w:rsidP="0093332E">
      <w:pPr>
        <w:pStyle w:val="FSRnormal"/>
      </w:pPr>
      <w:r w:rsidRPr="00DC5E78">
        <w:t xml:space="preserve">Figure </w:t>
      </w:r>
      <w:r>
        <w:rPr>
          <w:noProof/>
        </w:rPr>
        <w:t>4</w:t>
      </w:r>
      <w:r>
        <w:t>.</w:t>
      </w:r>
      <w:r>
        <w:rPr>
          <w:noProof/>
        </w:rPr>
        <w:t>20</w:t>
      </w:r>
      <w:r w:rsidR="0093332E">
        <w:t xml:space="preserve"> shows the change in average annualised plan budget over time by age band for participants without SIL. Similarly, those aged 65 and over observed the highest inflation over time at 7.5% per annum compared with other age group. The average increase for participants aged 0 to 14 was 5.6% per annum, the average increase for those aged 15 to 24 was 1.3% per annum, the average increase for those aged 25 to 64 was 4.8% per annum, and the average increase for participants aged over 65 was 7.5% per annum. </w:t>
      </w:r>
    </w:p>
    <w:p w14:paraId="71971874" w14:textId="77777777" w:rsidR="0093332E" w:rsidRPr="005B376B" w:rsidRDefault="0093332E" w:rsidP="005B376B">
      <w:pPr>
        <w:pStyle w:val="Figures"/>
        <w:rPr>
          <w:vertAlign w:val="superscript"/>
        </w:rPr>
      </w:pPr>
      <w:r w:rsidRPr="005B376B">
        <w:t xml:space="preserve">Figure </w:t>
      </w:r>
      <w:fldSimple w:instr=" STYLEREF 2 \s ">
        <w:r w:rsidR="00447AA1">
          <w:rPr>
            <w:noProof/>
          </w:rPr>
          <w:t>4</w:t>
        </w:r>
      </w:fldSimple>
      <w:r w:rsidR="00447AA1">
        <w:t>.</w:t>
      </w:r>
      <w:fldSimple w:instr=" SEQ Figure \* ARABIC \s 2 ">
        <w:r w:rsidR="00447AA1">
          <w:rPr>
            <w:noProof/>
          </w:rPr>
          <w:t>21</w:t>
        </w:r>
      </w:fldSimple>
      <w:r w:rsidRPr="005B376B">
        <w:t>: Average annualised plan budget over time for participants without SIL by age band</w:t>
      </w:r>
    </w:p>
    <w:p w14:paraId="4C9211CD" w14:textId="77777777" w:rsidR="0093332E" w:rsidRDefault="00C71163" w:rsidP="0093332E">
      <w:pPr>
        <w:pStyle w:val="FSRnormal"/>
        <w:keepNext/>
        <w:keepLines/>
      </w:pPr>
      <w:r>
        <w:rPr>
          <w:noProof/>
          <w:lang w:eastAsia="en-AU"/>
        </w:rPr>
        <w:drawing>
          <wp:inline distT="0" distB="0" distL="0" distR="0" wp14:anchorId="716AFAC2" wp14:editId="3022D3E5">
            <wp:extent cx="5724000" cy="3282025"/>
            <wp:effectExtent l="0" t="0" r="0" b="0"/>
            <wp:docPr id="258" name="Picture 258" descr="Graph show average annualised plan budgets by age band for participants without SIL, on a yearly basis as at 30 June, for 2019 to 2022. Average annualised plan budgets as at 30 June for participants without SIL and aged 0 to 14 have been as follows: 2019 $20,800; 2020 $24,400; 2021 $24,500; 2022 $24,500. This has meant that average annualised plan budgets for participants without SIL and aged 0 to 14 have grown at an average annual rate of 5.6%. Average annualised plan budgets as at 30 June for participants without SIL and aged 15 to 24 have been as follows: 2019 $54,200; 2020 $57,900; 2021 $58,300; 2022 $56,400. This has meant that average annualised plan budgets for participants without SIL and aged 15 to 24 have grown at an average annual rate of 1.3%. Average annualised plan budgets as at 30 June for participants without SIL and aged 25 to 64 have been as follows: 2019 $72,300; 2020 $79,100; 2021 $82,000; 2022 $83,300. This has meant that average annualised plan budgets for participants without SIL and aged 25 to 64 have grown at an average annual rate of 4.8%. Average annualised plan budgets as at 30 June for participants without SIL and aged 65+ have been as follows: 2019 $76,200; 2020 $87,000; 2021 $92,000; 2022 $94,600. This has meant that average annualised plan budgets for participants without SIL and aged 65+ have grown at an average annual rate of 7.5%." title="Figure 4.21: Average annualised plan budget over time for participants without SIL by age b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24000" cy="3282025"/>
                    </a:xfrm>
                    <a:prstGeom prst="rect">
                      <a:avLst/>
                    </a:prstGeom>
                    <a:noFill/>
                  </pic:spPr>
                </pic:pic>
              </a:graphicData>
            </a:graphic>
          </wp:inline>
        </w:drawing>
      </w:r>
    </w:p>
    <w:p w14:paraId="1AC1C276" w14:textId="77777777" w:rsidR="0093332E" w:rsidRDefault="005B376B" w:rsidP="0093332E">
      <w:pPr>
        <w:pStyle w:val="FSRnormal"/>
      </w:pPr>
      <w:r w:rsidRPr="00072B81">
        <w:t xml:space="preserve">Table </w:t>
      </w:r>
      <w:r>
        <w:rPr>
          <w:noProof/>
        </w:rPr>
        <w:t>4</w:t>
      </w:r>
      <w:r>
        <w:t>.</w:t>
      </w:r>
      <w:r>
        <w:rPr>
          <w:noProof/>
        </w:rPr>
        <w:t>14</w:t>
      </w:r>
      <w:r w:rsidR="0093332E" w:rsidRPr="005B376B">
        <w:t xml:space="preserve"> </w:t>
      </w:r>
      <w:r w:rsidR="0093332E">
        <w:t>highlights</w:t>
      </w:r>
      <w:r w:rsidR="0093332E" w:rsidRPr="00DE6AA5">
        <w:t xml:space="preserve"> </w:t>
      </w:r>
      <w:r w:rsidR="0093332E">
        <w:t xml:space="preserve">the </w:t>
      </w:r>
      <w:r w:rsidR="0093332E" w:rsidRPr="00DE6AA5">
        <w:t>average annualised plan budgets by</w:t>
      </w:r>
      <w:r w:rsidR="0093332E">
        <w:t xml:space="preserve"> disability group, for the last four financial years. </w:t>
      </w:r>
    </w:p>
    <w:p w14:paraId="164DEC4E" w14:textId="77777777" w:rsidR="0093332E" w:rsidRDefault="0093332E" w:rsidP="0093332E">
      <w:pPr>
        <w:pStyle w:val="Tables"/>
      </w:pPr>
      <w:bookmarkStart w:id="86" w:name="_Ref113276092"/>
      <w:r w:rsidRPr="00072B81">
        <w:lastRenderedPageBreak/>
        <w:t xml:space="preserve">Table </w:t>
      </w:r>
      <w:fldSimple w:instr=" STYLEREF 2 \s ">
        <w:r w:rsidR="00A87896">
          <w:rPr>
            <w:noProof/>
          </w:rPr>
          <w:t>4</w:t>
        </w:r>
      </w:fldSimple>
      <w:r w:rsidR="00A87896">
        <w:t>.</w:t>
      </w:r>
      <w:fldSimple w:instr=" SEQ Table \* ARABIC \s 2 ">
        <w:r w:rsidR="00A87896">
          <w:rPr>
            <w:noProof/>
          </w:rPr>
          <w:t>14</w:t>
        </w:r>
      </w:fldSimple>
      <w:bookmarkEnd w:id="86"/>
      <w:r w:rsidRPr="00252EAF">
        <w:rPr>
          <w:rStyle w:val="Strong"/>
          <w:b/>
        </w:rPr>
        <w:t>:</w:t>
      </w:r>
      <w:r>
        <w:t xml:space="preserve"> Average annualised plan budget by disability group </w:t>
      </w:r>
      <w:r w:rsidR="000735AD">
        <w:t>($)</w:t>
      </w:r>
    </w:p>
    <w:tbl>
      <w:tblPr>
        <w:tblStyle w:val="FSRtable"/>
        <w:tblW w:w="4162" w:type="pct"/>
        <w:tblInd w:w="0" w:type="dxa"/>
        <w:tblLayout w:type="fixed"/>
        <w:tblLook w:val="04A0" w:firstRow="1" w:lastRow="0" w:firstColumn="1" w:lastColumn="0" w:noHBand="0" w:noVBand="1"/>
      </w:tblPr>
      <w:tblGrid>
        <w:gridCol w:w="2411"/>
        <w:gridCol w:w="1017"/>
        <w:gridCol w:w="1394"/>
        <w:gridCol w:w="1415"/>
        <w:gridCol w:w="1276"/>
      </w:tblGrid>
      <w:tr w:rsidR="0093332E" w:rsidRPr="00AC78F7" w14:paraId="1E70EDBE" w14:textId="77777777" w:rsidTr="001257D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604" w:type="pct"/>
            <w:noWrap/>
            <w:hideMark/>
          </w:tcPr>
          <w:p w14:paraId="466F3218" w14:textId="77777777" w:rsidR="0093332E" w:rsidRPr="00AC78F7" w:rsidRDefault="0093332E" w:rsidP="00F830E6">
            <w:pPr>
              <w:keepNext/>
              <w:spacing w:after="0" w:line="240" w:lineRule="auto"/>
              <w:rPr>
                <w:rFonts w:eastAsia="Times New Roman"/>
                <w:color w:val="FFFFFF"/>
                <w:sz w:val="20"/>
                <w:szCs w:val="20"/>
                <w:lang w:eastAsia="zh-CN"/>
              </w:rPr>
            </w:pPr>
            <w:r w:rsidRPr="00AC78F7">
              <w:rPr>
                <w:rFonts w:eastAsia="Times New Roman"/>
                <w:color w:val="FFFFFF"/>
                <w:sz w:val="20"/>
                <w:szCs w:val="20"/>
                <w:lang w:eastAsia="zh-CN"/>
              </w:rPr>
              <w:t>Disability group</w:t>
            </w:r>
          </w:p>
        </w:tc>
        <w:tc>
          <w:tcPr>
            <w:tcW w:w="677" w:type="pct"/>
            <w:noWrap/>
            <w:hideMark/>
          </w:tcPr>
          <w:p w14:paraId="32E1A0AE" w14:textId="77777777" w:rsidR="0093332E" w:rsidRPr="00AC78F7" w:rsidRDefault="0093332E" w:rsidP="00F830E6">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zh-CN"/>
              </w:rPr>
            </w:pPr>
            <w:r w:rsidRPr="00AC78F7">
              <w:rPr>
                <w:rFonts w:eastAsia="Times New Roman"/>
                <w:color w:val="FFFFFF"/>
                <w:sz w:val="20"/>
                <w:szCs w:val="20"/>
                <w:lang w:eastAsia="zh-CN"/>
              </w:rPr>
              <w:t>Jun-19</w:t>
            </w:r>
          </w:p>
        </w:tc>
        <w:tc>
          <w:tcPr>
            <w:tcW w:w="928" w:type="pct"/>
            <w:noWrap/>
            <w:hideMark/>
          </w:tcPr>
          <w:p w14:paraId="14DE0483" w14:textId="77777777" w:rsidR="0093332E" w:rsidRPr="00AC78F7" w:rsidRDefault="0093332E" w:rsidP="00F830E6">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zh-CN"/>
              </w:rPr>
            </w:pPr>
            <w:r w:rsidRPr="00AC78F7">
              <w:rPr>
                <w:rFonts w:eastAsia="Times New Roman"/>
                <w:color w:val="FFFFFF"/>
                <w:sz w:val="20"/>
                <w:szCs w:val="20"/>
                <w:lang w:eastAsia="zh-CN"/>
              </w:rPr>
              <w:t>Jun-20</w:t>
            </w:r>
          </w:p>
        </w:tc>
        <w:tc>
          <w:tcPr>
            <w:tcW w:w="942" w:type="pct"/>
            <w:noWrap/>
            <w:hideMark/>
          </w:tcPr>
          <w:p w14:paraId="245FCC24" w14:textId="77777777" w:rsidR="0093332E" w:rsidRPr="00AC78F7" w:rsidRDefault="0093332E" w:rsidP="00F830E6">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zh-CN"/>
              </w:rPr>
            </w:pPr>
            <w:r w:rsidRPr="00AC78F7">
              <w:rPr>
                <w:rFonts w:eastAsia="Times New Roman"/>
                <w:color w:val="FFFFFF"/>
                <w:sz w:val="20"/>
                <w:szCs w:val="20"/>
                <w:lang w:eastAsia="zh-CN"/>
              </w:rPr>
              <w:t>Jun-21</w:t>
            </w:r>
          </w:p>
        </w:tc>
        <w:tc>
          <w:tcPr>
            <w:tcW w:w="849" w:type="pct"/>
            <w:noWrap/>
            <w:hideMark/>
          </w:tcPr>
          <w:p w14:paraId="0A273D8D" w14:textId="77777777" w:rsidR="0093332E" w:rsidRPr="00AC78F7" w:rsidRDefault="0093332E" w:rsidP="00F830E6">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zh-CN"/>
              </w:rPr>
            </w:pPr>
            <w:r w:rsidRPr="00AC78F7">
              <w:rPr>
                <w:rFonts w:eastAsia="Times New Roman"/>
                <w:color w:val="FFFFFF"/>
                <w:sz w:val="20"/>
                <w:szCs w:val="20"/>
                <w:lang w:eastAsia="zh-CN"/>
              </w:rPr>
              <w:t>Jun-22</w:t>
            </w:r>
          </w:p>
        </w:tc>
      </w:tr>
      <w:tr w:rsidR="0093332E" w:rsidRPr="00AC78F7" w14:paraId="7CBE1D91" w14:textId="77777777" w:rsidTr="00DA3F73">
        <w:trPr>
          <w:trHeight w:val="301"/>
        </w:trPr>
        <w:tc>
          <w:tcPr>
            <w:cnfStyle w:val="001000000000" w:firstRow="0" w:lastRow="0" w:firstColumn="1" w:lastColumn="0" w:oddVBand="0" w:evenVBand="0" w:oddHBand="0" w:evenHBand="0" w:firstRowFirstColumn="0" w:firstRowLastColumn="0" w:lastRowFirstColumn="0" w:lastRowLastColumn="0"/>
            <w:tcW w:w="1604" w:type="pct"/>
            <w:shd w:val="clear" w:color="auto" w:fill="auto"/>
            <w:noWrap/>
            <w:hideMark/>
          </w:tcPr>
          <w:p w14:paraId="6D5D493E" w14:textId="77777777" w:rsidR="0093332E" w:rsidRPr="00AC78F7" w:rsidRDefault="0093332E" w:rsidP="00F830E6">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ABI</w:t>
            </w:r>
          </w:p>
        </w:tc>
        <w:tc>
          <w:tcPr>
            <w:tcW w:w="677" w:type="pct"/>
            <w:shd w:val="clear" w:color="auto" w:fill="auto"/>
            <w:noWrap/>
            <w:hideMark/>
          </w:tcPr>
          <w:p w14:paraId="2ECFCAB5"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122,100</w:t>
            </w:r>
          </w:p>
        </w:tc>
        <w:tc>
          <w:tcPr>
            <w:tcW w:w="928" w:type="pct"/>
            <w:shd w:val="clear" w:color="auto" w:fill="auto"/>
            <w:noWrap/>
            <w:hideMark/>
          </w:tcPr>
          <w:p w14:paraId="74A04CE7"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141,600</w:t>
            </w:r>
          </w:p>
        </w:tc>
        <w:tc>
          <w:tcPr>
            <w:tcW w:w="942" w:type="pct"/>
            <w:shd w:val="clear" w:color="auto" w:fill="auto"/>
            <w:noWrap/>
            <w:hideMark/>
          </w:tcPr>
          <w:p w14:paraId="44B3413D"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145,300</w:t>
            </w:r>
          </w:p>
        </w:tc>
        <w:tc>
          <w:tcPr>
            <w:tcW w:w="849" w:type="pct"/>
            <w:shd w:val="clear" w:color="auto" w:fill="auto"/>
            <w:noWrap/>
            <w:hideMark/>
          </w:tcPr>
          <w:p w14:paraId="2BDA9CCD"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148,200</w:t>
            </w:r>
          </w:p>
        </w:tc>
      </w:tr>
      <w:tr w:rsidR="0093332E" w:rsidRPr="00AC78F7" w14:paraId="78CCF1ED"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04" w:type="pct"/>
            <w:noWrap/>
            <w:hideMark/>
          </w:tcPr>
          <w:p w14:paraId="24812D40" w14:textId="77777777" w:rsidR="0093332E" w:rsidRPr="00AC78F7" w:rsidRDefault="0093332E" w:rsidP="00F830E6">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Autism</w:t>
            </w:r>
          </w:p>
        </w:tc>
        <w:tc>
          <w:tcPr>
            <w:tcW w:w="677" w:type="pct"/>
            <w:noWrap/>
            <w:hideMark/>
          </w:tcPr>
          <w:p w14:paraId="0AB1C78C" w14:textId="77777777" w:rsidR="0093332E" w:rsidRPr="00AC78F7" w:rsidRDefault="0093332E"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36,100</w:t>
            </w:r>
          </w:p>
        </w:tc>
        <w:tc>
          <w:tcPr>
            <w:tcW w:w="928" w:type="pct"/>
            <w:noWrap/>
            <w:hideMark/>
          </w:tcPr>
          <w:p w14:paraId="6140EA6C" w14:textId="77777777" w:rsidR="0093332E" w:rsidRPr="00AC78F7" w:rsidRDefault="0093332E"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39,800</w:t>
            </w:r>
          </w:p>
        </w:tc>
        <w:tc>
          <w:tcPr>
            <w:tcW w:w="942" w:type="pct"/>
            <w:noWrap/>
            <w:hideMark/>
          </w:tcPr>
          <w:p w14:paraId="126E23A7" w14:textId="77777777" w:rsidR="0093332E" w:rsidRPr="00AC78F7" w:rsidRDefault="0093332E"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39,700</w:t>
            </w:r>
          </w:p>
        </w:tc>
        <w:tc>
          <w:tcPr>
            <w:tcW w:w="849" w:type="pct"/>
            <w:noWrap/>
            <w:hideMark/>
          </w:tcPr>
          <w:p w14:paraId="265A7F28" w14:textId="77777777" w:rsidR="0093332E" w:rsidRPr="00AC78F7" w:rsidRDefault="0093332E"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39,100</w:t>
            </w:r>
          </w:p>
        </w:tc>
      </w:tr>
      <w:tr w:rsidR="0093332E" w:rsidRPr="00AC78F7" w14:paraId="3C393110" w14:textId="77777777" w:rsidTr="00DA3F73">
        <w:trPr>
          <w:trHeight w:val="301"/>
        </w:trPr>
        <w:tc>
          <w:tcPr>
            <w:cnfStyle w:val="001000000000" w:firstRow="0" w:lastRow="0" w:firstColumn="1" w:lastColumn="0" w:oddVBand="0" w:evenVBand="0" w:oddHBand="0" w:evenHBand="0" w:firstRowFirstColumn="0" w:firstRowLastColumn="0" w:lastRowFirstColumn="0" w:lastRowLastColumn="0"/>
            <w:tcW w:w="1604" w:type="pct"/>
            <w:shd w:val="clear" w:color="auto" w:fill="auto"/>
            <w:noWrap/>
            <w:hideMark/>
          </w:tcPr>
          <w:p w14:paraId="696A0D7A" w14:textId="77777777" w:rsidR="0093332E" w:rsidRPr="00AC78F7" w:rsidRDefault="0093332E" w:rsidP="00F830E6">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Cerebral Palsy</w:t>
            </w:r>
          </w:p>
        </w:tc>
        <w:tc>
          <w:tcPr>
            <w:tcW w:w="677" w:type="pct"/>
            <w:shd w:val="clear" w:color="auto" w:fill="auto"/>
            <w:noWrap/>
            <w:hideMark/>
          </w:tcPr>
          <w:p w14:paraId="2493EF3E"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124,500</w:t>
            </w:r>
          </w:p>
        </w:tc>
        <w:tc>
          <w:tcPr>
            <w:tcW w:w="928" w:type="pct"/>
            <w:shd w:val="clear" w:color="auto" w:fill="auto"/>
            <w:noWrap/>
            <w:hideMark/>
          </w:tcPr>
          <w:p w14:paraId="5A4DE2E8"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141,700</w:t>
            </w:r>
          </w:p>
        </w:tc>
        <w:tc>
          <w:tcPr>
            <w:tcW w:w="942" w:type="pct"/>
            <w:shd w:val="clear" w:color="auto" w:fill="auto"/>
            <w:noWrap/>
            <w:hideMark/>
          </w:tcPr>
          <w:p w14:paraId="7906BFC3"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145,800</w:t>
            </w:r>
          </w:p>
        </w:tc>
        <w:tc>
          <w:tcPr>
            <w:tcW w:w="849" w:type="pct"/>
            <w:shd w:val="clear" w:color="auto" w:fill="auto"/>
            <w:noWrap/>
            <w:hideMark/>
          </w:tcPr>
          <w:p w14:paraId="12F781BF"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148,100</w:t>
            </w:r>
          </w:p>
        </w:tc>
      </w:tr>
      <w:tr w:rsidR="0093332E" w:rsidRPr="00AC78F7" w14:paraId="32B59781"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04" w:type="pct"/>
            <w:noWrap/>
            <w:hideMark/>
          </w:tcPr>
          <w:p w14:paraId="791C00E2" w14:textId="77777777" w:rsidR="0093332E" w:rsidRPr="00AC78F7" w:rsidRDefault="0093332E" w:rsidP="00F830E6">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Developmental delay</w:t>
            </w:r>
          </w:p>
        </w:tc>
        <w:tc>
          <w:tcPr>
            <w:tcW w:w="677" w:type="pct"/>
            <w:noWrap/>
            <w:hideMark/>
          </w:tcPr>
          <w:p w14:paraId="425AE8A5" w14:textId="77777777" w:rsidR="0093332E" w:rsidRPr="00AC78F7" w:rsidRDefault="0093332E"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14,800</w:t>
            </w:r>
          </w:p>
        </w:tc>
        <w:tc>
          <w:tcPr>
            <w:tcW w:w="928" w:type="pct"/>
            <w:noWrap/>
            <w:hideMark/>
          </w:tcPr>
          <w:p w14:paraId="349BD63D" w14:textId="77777777" w:rsidR="0093332E" w:rsidRPr="00AC78F7" w:rsidRDefault="0093332E"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18,500</w:t>
            </w:r>
          </w:p>
        </w:tc>
        <w:tc>
          <w:tcPr>
            <w:tcW w:w="942" w:type="pct"/>
            <w:noWrap/>
            <w:hideMark/>
          </w:tcPr>
          <w:p w14:paraId="5976A2E6" w14:textId="77777777" w:rsidR="0093332E" w:rsidRPr="00AC78F7" w:rsidRDefault="0093332E"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19,200</w:t>
            </w:r>
          </w:p>
        </w:tc>
        <w:tc>
          <w:tcPr>
            <w:tcW w:w="849" w:type="pct"/>
            <w:noWrap/>
            <w:hideMark/>
          </w:tcPr>
          <w:p w14:paraId="375428FF" w14:textId="77777777" w:rsidR="0093332E" w:rsidRPr="00AC78F7" w:rsidRDefault="0093332E"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20,000</w:t>
            </w:r>
          </w:p>
        </w:tc>
      </w:tr>
      <w:tr w:rsidR="0093332E" w:rsidRPr="00AC78F7" w14:paraId="5ACC09F7" w14:textId="77777777" w:rsidTr="00DA3F73">
        <w:trPr>
          <w:trHeight w:val="301"/>
        </w:trPr>
        <w:tc>
          <w:tcPr>
            <w:cnfStyle w:val="001000000000" w:firstRow="0" w:lastRow="0" w:firstColumn="1" w:lastColumn="0" w:oddVBand="0" w:evenVBand="0" w:oddHBand="0" w:evenHBand="0" w:firstRowFirstColumn="0" w:firstRowLastColumn="0" w:lastRowFirstColumn="0" w:lastRowLastColumn="0"/>
            <w:tcW w:w="1604" w:type="pct"/>
            <w:shd w:val="clear" w:color="auto" w:fill="auto"/>
            <w:noWrap/>
            <w:hideMark/>
          </w:tcPr>
          <w:p w14:paraId="7B81F3AC" w14:textId="77777777" w:rsidR="0093332E" w:rsidRPr="00AC78F7" w:rsidRDefault="0093332E" w:rsidP="00F830E6">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Hearing Impairment</w:t>
            </w:r>
          </w:p>
        </w:tc>
        <w:tc>
          <w:tcPr>
            <w:tcW w:w="677" w:type="pct"/>
            <w:shd w:val="clear" w:color="auto" w:fill="auto"/>
            <w:noWrap/>
            <w:hideMark/>
          </w:tcPr>
          <w:p w14:paraId="436DF616"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15,700</w:t>
            </w:r>
          </w:p>
        </w:tc>
        <w:tc>
          <w:tcPr>
            <w:tcW w:w="928" w:type="pct"/>
            <w:shd w:val="clear" w:color="auto" w:fill="auto"/>
            <w:noWrap/>
            <w:hideMark/>
          </w:tcPr>
          <w:p w14:paraId="6C867358"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16,000</w:t>
            </w:r>
          </w:p>
        </w:tc>
        <w:tc>
          <w:tcPr>
            <w:tcW w:w="942" w:type="pct"/>
            <w:shd w:val="clear" w:color="auto" w:fill="auto"/>
            <w:noWrap/>
            <w:hideMark/>
          </w:tcPr>
          <w:p w14:paraId="7D03F080"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eastAsia="Times New Roman" w:cs="Arial"/>
                <w:color w:val="000000"/>
                <w:sz w:val="20"/>
                <w:szCs w:val="20"/>
                <w:lang w:eastAsia="zh-CN"/>
              </w:rPr>
              <w:t>15,200</w:t>
            </w:r>
          </w:p>
        </w:tc>
        <w:tc>
          <w:tcPr>
            <w:tcW w:w="849" w:type="pct"/>
            <w:shd w:val="clear" w:color="auto" w:fill="auto"/>
            <w:noWrap/>
            <w:hideMark/>
          </w:tcPr>
          <w:p w14:paraId="1B2E5052"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15,000</w:t>
            </w:r>
          </w:p>
        </w:tc>
      </w:tr>
      <w:tr w:rsidR="0093332E" w:rsidRPr="00AC78F7" w14:paraId="414A8D17"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04" w:type="pct"/>
            <w:noWrap/>
            <w:hideMark/>
          </w:tcPr>
          <w:p w14:paraId="60A74110" w14:textId="77777777" w:rsidR="0093332E" w:rsidRPr="00AC78F7" w:rsidRDefault="0093332E" w:rsidP="00F830E6">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Intellectual Disability</w:t>
            </w:r>
          </w:p>
        </w:tc>
        <w:tc>
          <w:tcPr>
            <w:tcW w:w="677" w:type="pct"/>
            <w:noWrap/>
            <w:hideMark/>
          </w:tcPr>
          <w:p w14:paraId="0B77F814" w14:textId="77777777" w:rsidR="0093332E" w:rsidRPr="00AC78F7" w:rsidRDefault="0093332E"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94,100</w:t>
            </w:r>
          </w:p>
        </w:tc>
        <w:tc>
          <w:tcPr>
            <w:tcW w:w="928" w:type="pct"/>
            <w:noWrap/>
            <w:hideMark/>
          </w:tcPr>
          <w:p w14:paraId="1474D502" w14:textId="77777777" w:rsidR="0093332E" w:rsidRPr="00AC78F7" w:rsidRDefault="0093332E"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102,000</w:t>
            </w:r>
          </w:p>
        </w:tc>
        <w:tc>
          <w:tcPr>
            <w:tcW w:w="942" w:type="pct"/>
            <w:noWrap/>
            <w:hideMark/>
          </w:tcPr>
          <w:p w14:paraId="611C7AFA" w14:textId="77777777" w:rsidR="0093332E" w:rsidRPr="00AC78F7" w:rsidRDefault="0093332E"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101,600</w:t>
            </w:r>
          </w:p>
        </w:tc>
        <w:tc>
          <w:tcPr>
            <w:tcW w:w="849" w:type="pct"/>
            <w:noWrap/>
            <w:hideMark/>
          </w:tcPr>
          <w:p w14:paraId="1CA6AD14" w14:textId="77777777" w:rsidR="0093332E" w:rsidRPr="00AC78F7" w:rsidRDefault="0093332E"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102,700</w:t>
            </w:r>
          </w:p>
        </w:tc>
      </w:tr>
      <w:tr w:rsidR="0093332E" w:rsidRPr="00AC78F7" w14:paraId="46D09095" w14:textId="77777777" w:rsidTr="00DA3F73">
        <w:trPr>
          <w:trHeight w:val="301"/>
        </w:trPr>
        <w:tc>
          <w:tcPr>
            <w:cnfStyle w:val="001000000000" w:firstRow="0" w:lastRow="0" w:firstColumn="1" w:lastColumn="0" w:oddVBand="0" w:evenVBand="0" w:oddHBand="0" w:evenHBand="0" w:firstRowFirstColumn="0" w:firstRowLastColumn="0" w:lastRowFirstColumn="0" w:lastRowLastColumn="0"/>
            <w:tcW w:w="1604" w:type="pct"/>
            <w:shd w:val="clear" w:color="auto" w:fill="auto"/>
            <w:noWrap/>
            <w:hideMark/>
          </w:tcPr>
          <w:p w14:paraId="6413875E" w14:textId="77777777" w:rsidR="0093332E" w:rsidRPr="00AC78F7" w:rsidRDefault="0093332E" w:rsidP="00F830E6">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Multiple Sclerosis</w:t>
            </w:r>
          </w:p>
        </w:tc>
        <w:tc>
          <w:tcPr>
            <w:tcW w:w="677" w:type="pct"/>
            <w:shd w:val="clear" w:color="auto" w:fill="auto"/>
            <w:noWrap/>
            <w:hideMark/>
          </w:tcPr>
          <w:p w14:paraId="5C3CFD16"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94,000</w:t>
            </w:r>
          </w:p>
        </w:tc>
        <w:tc>
          <w:tcPr>
            <w:tcW w:w="928" w:type="pct"/>
            <w:shd w:val="clear" w:color="auto" w:fill="auto"/>
            <w:noWrap/>
            <w:hideMark/>
          </w:tcPr>
          <w:p w14:paraId="2AC609F6"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103,800</w:t>
            </w:r>
          </w:p>
        </w:tc>
        <w:tc>
          <w:tcPr>
            <w:tcW w:w="942" w:type="pct"/>
            <w:shd w:val="clear" w:color="auto" w:fill="auto"/>
            <w:noWrap/>
            <w:hideMark/>
          </w:tcPr>
          <w:p w14:paraId="0A78FB76"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106,300</w:t>
            </w:r>
          </w:p>
        </w:tc>
        <w:tc>
          <w:tcPr>
            <w:tcW w:w="849" w:type="pct"/>
            <w:shd w:val="clear" w:color="auto" w:fill="auto"/>
            <w:noWrap/>
            <w:hideMark/>
          </w:tcPr>
          <w:p w14:paraId="5E539038"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108,000</w:t>
            </w:r>
          </w:p>
        </w:tc>
      </w:tr>
      <w:tr w:rsidR="0093332E" w:rsidRPr="00AC78F7" w14:paraId="3EBCFFB9"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04" w:type="pct"/>
            <w:noWrap/>
            <w:hideMark/>
          </w:tcPr>
          <w:p w14:paraId="4A476E9B" w14:textId="77777777" w:rsidR="0093332E" w:rsidRPr="00AC78F7" w:rsidRDefault="0093332E" w:rsidP="00F830E6">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Other</w:t>
            </w:r>
          </w:p>
        </w:tc>
        <w:tc>
          <w:tcPr>
            <w:tcW w:w="677" w:type="pct"/>
            <w:noWrap/>
            <w:hideMark/>
          </w:tcPr>
          <w:p w14:paraId="316B1F47" w14:textId="77777777" w:rsidR="0093332E" w:rsidRPr="00AC78F7" w:rsidRDefault="0093332E"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79,200</w:t>
            </w:r>
          </w:p>
        </w:tc>
        <w:tc>
          <w:tcPr>
            <w:tcW w:w="928" w:type="pct"/>
            <w:noWrap/>
            <w:hideMark/>
          </w:tcPr>
          <w:p w14:paraId="759BC101" w14:textId="77777777" w:rsidR="0093332E" w:rsidRPr="00AC78F7" w:rsidRDefault="0093332E"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94,600</w:t>
            </w:r>
          </w:p>
        </w:tc>
        <w:tc>
          <w:tcPr>
            <w:tcW w:w="942" w:type="pct"/>
            <w:noWrap/>
            <w:hideMark/>
          </w:tcPr>
          <w:p w14:paraId="734837E0" w14:textId="77777777" w:rsidR="0093332E" w:rsidRPr="00AC78F7" w:rsidRDefault="0093332E"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86,100</w:t>
            </w:r>
          </w:p>
        </w:tc>
        <w:tc>
          <w:tcPr>
            <w:tcW w:w="849" w:type="pct"/>
            <w:noWrap/>
            <w:hideMark/>
          </w:tcPr>
          <w:p w14:paraId="34947799" w14:textId="77777777" w:rsidR="0093332E" w:rsidRPr="00AC78F7" w:rsidRDefault="0093332E"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90,200</w:t>
            </w:r>
          </w:p>
        </w:tc>
      </w:tr>
      <w:tr w:rsidR="0093332E" w:rsidRPr="00AC78F7" w14:paraId="64BD4F6F" w14:textId="77777777" w:rsidTr="00DA3F73">
        <w:trPr>
          <w:trHeight w:val="301"/>
        </w:trPr>
        <w:tc>
          <w:tcPr>
            <w:cnfStyle w:val="001000000000" w:firstRow="0" w:lastRow="0" w:firstColumn="1" w:lastColumn="0" w:oddVBand="0" w:evenVBand="0" w:oddHBand="0" w:evenHBand="0" w:firstRowFirstColumn="0" w:firstRowLastColumn="0" w:lastRowFirstColumn="0" w:lastRowLastColumn="0"/>
            <w:tcW w:w="1604" w:type="pct"/>
            <w:shd w:val="clear" w:color="auto" w:fill="auto"/>
            <w:noWrap/>
            <w:hideMark/>
          </w:tcPr>
          <w:p w14:paraId="73AB3F8F" w14:textId="77777777" w:rsidR="0093332E" w:rsidRPr="00AC78F7" w:rsidRDefault="0093332E" w:rsidP="00F830E6">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Other Neurological</w:t>
            </w:r>
          </w:p>
        </w:tc>
        <w:tc>
          <w:tcPr>
            <w:tcW w:w="677" w:type="pct"/>
            <w:shd w:val="clear" w:color="auto" w:fill="auto"/>
            <w:noWrap/>
            <w:hideMark/>
          </w:tcPr>
          <w:p w14:paraId="0BB24B9C"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103,900</w:t>
            </w:r>
          </w:p>
        </w:tc>
        <w:tc>
          <w:tcPr>
            <w:tcW w:w="928" w:type="pct"/>
            <w:shd w:val="clear" w:color="auto" w:fill="auto"/>
            <w:noWrap/>
            <w:hideMark/>
          </w:tcPr>
          <w:p w14:paraId="520B607C"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123,000</w:t>
            </w:r>
          </w:p>
        </w:tc>
        <w:tc>
          <w:tcPr>
            <w:tcW w:w="942" w:type="pct"/>
            <w:shd w:val="clear" w:color="auto" w:fill="auto"/>
            <w:noWrap/>
            <w:hideMark/>
          </w:tcPr>
          <w:p w14:paraId="19815376"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129,700</w:t>
            </w:r>
          </w:p>
        </w:tc>
        <w:tc>
          <w:tcPr>
            <w:tcW w:w="849" w:type="pct"/>
            <w:shd w:val="clear" w:color="auto" w:fill="auto"/>
            <w:noWrap/>
            <w:hideMark/>
          </w:tcPr>
          <w:p w14:paraId="116B8440"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136,100</w:t>
            </w:r>
          </w:p>
        </w:tc>
      </w:tr>
      <w:tr w:rsidR="0093332E" w:rsidRPr="00AC78F7" w14:paraId="4B006AAB"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04" w:type="pct"/>
            <w:noWrap/>
            <w:hideMark/>
          </w:tcPr>
          <w:p w14:paraId="4D9D3A67" w14:textId="77777777" w:rsidR="0093332E" w:rsidRPr="00AC78F7" w:rsidRDefault="0093332E" w:rsidP="00F830E6">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Other Physical</w:t>
            </w:r>
          </w:p>
        </w:tc>
        <w:tc>
          <w:tcPr>
            <w:tcW w:w="677" w:type="pct"/>
            <w:noWrap/>
            <w:hideMark/>
          </w:tcPr>
          <w:p w14:paraId="23D65C88" w14:textId="77777777" w:rsidR="0093332E" w:rsidRPr="00AC78F7" w:rsidRDefault="0093332E"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65,700</w:t>
            </w:r>
          </w:p>
        </w:tc>
        <w:tc>
          <w:tcPr>
            <w:tcW w:w="928" w:type="pct"/>
            <w:noWrap/>
            <w:hideMark/>
          </w:tcPr>
          <w:p w14:paraId="71A8A272" w14:textId="77777777" w:rsidR="0093332E" w:rsidRPr="00AC78F7" w:rsidRDefault="0093332E"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75,100</w:t>
            </w:r>
          </w:p>
        </w:tc>
        <w:tc>
          <w:tcPr>
            <w:tcW w:w="942" w:type="pct"/>
            <w:noWrap/>
            <w:hideMark/>
          </w:tcPr>
          <w:p w14:paraId="6D6CF5D5" w14:textId="77777777" w:rsidR="0093332E" w:rsidRPr="00AC78F7" w:rsidRDefault="0093332E"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74,900</w:t>
            </w:r>
          </w:p>
        </w:tc>
        <w:tc>
          <w:tcPr>
            <w:tcW w:w="849" w:type="pct"/>
            <w:noWrap/>
            <w:hideMark/>
          </w:tcPr>
          <w:p w14:paraId="081FE77D" w14:textId="77777777" w:rsidR="0093332E" w:rsidRPr="00AC78F7" w:rsidRDefault="0093332E"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77,600</w:t>
            </w:r>
          </w:p>
        </w:tc>
      </w:tr>
      <w:tr w:rsidR="0093332E" w:rsidRPr="00AC78F7" w14:paraId="10FB6204" w14:textId="77777777" w:rsidTr="00DA3F73">
        <w:trPr>
          <w:trHeight w:val="301"/>
        </w:trPr>
        <w:tc>
          <w:tcPr>
            <w:cnfStyle w:val="001000000000" w:firstRow="0" w:lastRow="0" w:firstColumn="1" w:lastColumn="0" w:oddVBand="0" w:evenVBand="0" w:oddHBand="0" w:evenHBand="0" w:firstRowFirstColumn="0" w:firstRowLastColumn="0" w:lastRowFirstColumn="0" w:lastRowLastColumn="0"/>
            <w:tcW w:w="1604" w:type="pct"/>
            <w:shd w:val="clear" w:color="auto" w:fill="auto"/>
            <w:noWrap/>
            <w:hideMark/>
          </w:tcPr>
          <w:p w14:paraId="6A090E2A" w14:textId="77777777" w:rsidR="0093332E" w:rsidRPr="00AC78F7" w:rsidRDefault="0093332E" w:rsidP="00F830E6">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Other Sensory/Speech</w:t>
            </w:r>
          </w:p>
        </w:tc>
        <w:tc>
          <w:tcPr>
            <w:tcW w:w="677" w:type="pct"/>
            <w:shd w:val="clear" w:color="auto" w:fill="auto"/>
            <w:noWrap/>
            <w:hideMark/>
          </w:tcPr>
          <w:p w14:paraId="78715E9C"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12,900</w:t>
            </w:r>
          </w:p>
        </w:tc>
        <w:tc>
          <w:tcPr>
            <w:tcW w:w="928" w:type="pct"/>
            <w:shd w:val="clear" w:color="auto" w:fill="auto"/>
            <w:noWrap/>
            <w:hideMark/>
          </w:tcPr>
          <w:p w14:paraId="30478274"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14,000</w:t>
            </w:r>
          </w:p>
        </w:tc>
        <w:tc>
          <w:tcPr>
            <w:tcW w:w="942" w:type="pct"/>
            <w:shd w:val="clear" w:color="auto" w:fill="auto"/>
            <w:noWrap/>
            <w:hideMark/>
          </w:tcPr>
          <w:p w14:paraId="426478AD"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14,600</w:t>
            </w:r>
          </w:p>
        </w:tc>
        <w:tc>
          <w:tcPr>
            <w:tcW w:w="849" w:type="pct"/>
            <w:shd w:val="clear" w:color="auto" w:fill="auto"/>
            <w:noWrap/>
            <w:hideMark/>
          </w:tcPr>
          <w:p w14:paraId="23766B34"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16,200</w:t>
            </w:r>
          </w:p>
        </w:tc>
      </w:tr>
      <w:tr w:rsidR="0093332E" w:rsidRPr="00AC78F7" w14:paraId="25A4E3C9"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04" w:type="pct"/>
            <w:noWrap/>
            <w:hideMark/>
          </w:tcPr>
          <w:p w14:paraId="16EBE8CE" w14:textId="77777777" w:rsidR="0093332E" w:rsidRPr="00AC78F7" w:rsidRDefault="0093332E" w:rsidP="00F830E6">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Psychosocial disability</w:t>
            </w:r>
          </w:p>
        </w:tc>
        <w:tc>
          <w:tcPr>
            <w:tcW w:w="677" w:type="pct"/>
            <w:noWrap/>
            <w:hideMark/>
          </w:tcPr>
          <w:p w14:paraId="734EE6E6" w14:textId="77777777" w:rsidR="0093332E" w:rsidRPr="00AC78F7" w:rsidRDefault="0093332E"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62,900</w:t>
            </w:r>
          </w:p>
        </w:tc>
        <w:tc>
          <w:tcPr>
            <w:tcW w:w="928" w:type="pct"/>
            <w:noWrap/>
            <w:hideMark/>
          </w:tcPr>
          <w:p w14:paraId="34FCEB02" w14:textId="77777777" w:rsidR="0093332E" w:rsidRPr="00AC78F7" w:rsidRDefault="0093332E"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74,000</w:t>
            </w:r>
          </w:p>
        </w:tc>
        <w:tc>
          <w:tcPr>
            <w:tcW w:w="942" w:type="pct"/>
            <w:noWrap/>
            <w:hideMark/>
          </w:tcPr>
          <w:p w14:paraId="65D08377" w14:textId="77777777" w:rsidR="0093332E" w:rsidRPr="00AC78F7" w:rsidRDefault="0093332E"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77,400</w:t>
            </w:r>
          </w:p>
        </w:tc>
        <w:tc>
          <w:tcPr>
            <w:tcW w:w="849" w:type="pct"/>
            <w:noWrap/>
            <w:hideMark/>
          </w:tcPr>
          <w:p w14:paraId="0B5060F9" w14:textId="77777777" w:rsidR="0093332E" w:rsidRPr="00AC78F7" w:rsidRDefault="0093332E"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80,600</w:t>
            </w:r>
          </w:p>
        </w:tc>
      </w:tr>
      <w:tr w:rsidR="0093332E" w:rsidRPr="00AC78F7" w14:paraId="17B0ADEE" w14:textId="77777777" w:rsidTr="00DA3F73">
        <w:trPr>
          <w:trHeight w:val="301"/>
        </w:trPr>
        <w:tc>
          <w:tcPr>
            <w:cnfStyle w:val="001000000000" w:firstRow="0" w:lastRow="0" w:firstColumn="1" w:lastColumn="0" w:oddVBand="0" w:evenVBand="0" w:oddHBand="0" w:evenHBand="0" w:firstRowFirstColumn="0" w:firstRowLastColumn="0" w:lastRowFirstColumn="0" w:lastRowLastColumn="0"/>
            <w:tcW w:w="1604" w:type="pct"/>
            <w:shd w:val="clear" w:color="auto" w:fill="auto"/>
            <w:noWrap/>
            <w:hideMark/>
          </w:tcPr>
          <w:p w14:paraId="41C359C1" w14:textId="77777777" w:rsidR="0093332E" w:rsidRPr="00AC78F7" w:rsidRDefault="0093332E" w:rsidP="00F830E6">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Spinal Cord Injury</w:t>
            </w:r>
          </w:p>
        </w:tc>
        <w:tc>
          <w:tcPr>
            <w:tcW w:w="677" w:type="pct"/>
            <w:shd w:val="clear" w:color="auto" w:fill="auto"/>
            <w:noWrap/>
            <w:hideMark/>
          </w:tcPr>
          <w:p w14:paraId="7E5722BE"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134,600</w:t>
            </w:r>
          </w:p>
        </w:tc>
        <w:tc>
          <w:tcPr>
            <w:tcW w:w="928" w:type="pct"/>
            <w:shd w:val="clear" w:color="auto" w:fill="auto"/>
            <w:noWrap/>
            <w:hideMark/>
          </w:tcPr>
          <w:p w14:paraId="6FDCC6DC"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158,200</w:t>
            </w:r>
          </w:p>
        </w:tc>
        <w:tc>
          <w:tcPr>
            <w:tcW w:w="942" w:type="pct"/>
            <w:shd w:val="clear" w:color="auto" w:fill="auto"/>
            <w:noWrap/>
            <w:hideMark/>
          </w:tcPr>
          <w:p w14:paraId="03C5DF3C"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161,600</w:t>
            </w:r>
          </w:p>
        </w:tc>
        <w:tc>
          <w:tcPr>
            <w:tcW w:w="849" w:type="pct"/>
            <w:shd w:val="clear" w:color="auto" w:fill="auto"/>
            <w:noWrap/>
            <w:hideMark/>
          </w:tcPr>
          <w:p w14:paraId="5911B745"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162,700</w:t>
            </w:r>
          </w:p>
        </w:tc>
      </w:tr>
      <w:tr w:rsidR="0093332E" w:rsidRPr="00AC78F7" w14:paraId="32789626"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04" w:type="pct"/>
            <w:noWrap/>
            <w:hideMark/>
          </w:tcPr>
          <w:p w14:paraId="700D5175" w14:textId="77777777" w:rsidR="0093332E" w:rsidRPr="00AC78F7" w:rsidRDefault="0093332E" w:rsidP="00F830E6">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Stroke</w:t>
            </w:r>
          </w:p>
        </w:tc>
        <w:tc>
          <w:tcPr>
            <w:tcW w:w="677" w:type="pct"/>
            <w:noWrap/>
            <w:hideMark/>
          </w:tcPr>
          <w:p w14:paraId="49FAF914" w14:textId="77777777" w:rsidR="0093332E" w:rsidRPr="00AC78F7" w:rsidRDefault="0093332E"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98,100</w:t>
            </w:r>
          </w:p>
        </w:tc>
        <w:tc>
          <w:tcPr>
            <w:tcW w:w="928" w:type="pct"/>
            <w:noWrap/>
            <w:hideMark/>
          </w:tcPr>
          <w:p w14:paraId="3C324C9B" w14:textId="77777777" w:rsidR="0093332E" w:rsidRPr="00AC78F7" w:rsidRDefault="0093332E"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118,500</w:t>
            </w:r>
          </w:p>
        </w:tc>
        <w:tc>
          <w:tcPr>
            <w:tcW w:w="942" w:type="pct"/>
            <w:noWrap/>
            <w:hideMark/>
          </w:tcPr>
          <w:p w14:paraId="70B1B610" w14:textId="77777777" w:rsidR="0093332E" w:rsidRPr="00AC78F7" w:rsidRDefault="0093332E"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126,600</w:t>
            </w:r>
          </w:p>
        </w:tc>
        <w:tc>
          <w:tcPr>
            <w:tcW w:w="849" w:type="pct"/>
            <w:noWrap/>
            <w:hideMark/>
          </w:tcPr>
          <w:p w14:paraId="6CA28942" w14:textId="77777777" w:rsidR="0093332E" w:rsidRPr="00AC78F7" w:rsidRDefault="0093332E"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134,800</w:t>
            </w:r>
          </w:p>
        </w:tc>
      </w:tr>
      <w:tr w:rsidR="0093332E" w:rsidRPr="00AC78F7" w14:paraId="59C68969" w14:textId="77777777" w:rsidTr="00DA3F73">
        <w:trPr>
          <w:trHeight w:val="301"/>
        </w:trPr>
        <w:tc>
          <w:tcPr>
            <w:cnfStyle w:val="001000000000" w:firstRow="0" w:lastRow="0" w:firstColumn="1" w:lastColumn="0" w:oddVBand="0" w:evenVBand="0" w:oddHBand="0" w:evenHBand="0" w:firstRowFirstColumn="0" w:firstRowLastColumn="0" w:lastRowFirstColumn="0" w:lastRowLastColumn="0"/>
            <w:tcW w:w="1604" w:type="pct"/>
            <w:shd w:val="clear" w:color="auto" w:fill="auto"/>
            <w:noWrap/>
            <w:hideMark/>
          </w:tcPr>
          <w:p w14:paraId="5724FC4E" w14:textId="77777777" w:rsidR="0093332E" w:rsidRPr="00AC78F7" w:rsidRDefault="0093332E" w:rsidP="00F830E6">
            <w:pPr>
              <w:keepNext/>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Visual Impairment</w:t>
            </w:r>
          </w:p>
        </w:tc>
        <w:tc>
          <w:tcPr>
            <w:tcW w:w="677" w:type="pct"/>
            <w:shd w:val="clear" w:color="auto" w:fill="auto"/>
            <w:noWrap/>
            <w:hideMark/>
          </w:tcPr>
          <w:p w14:paraId="40F027A2"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35,300</w:t>
            </w:r>
          </w:p>
        </w:tc>
        <w:tc>
          <w:tcPr>
            <w:tcW w:w="928" w:type="pct"/>
            <w:shd w:val="clear" w:color="auto" w:fill="auto"/>
            <w:noWrap/>
            <w:hideMark/>
          </w:tcPr>
          <w:p w14:paraId="582D4FE3"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39,800</w:t>
            </w:r>
          </w:p>
        </w:tc>
        <w:tc>
          <w:tcPr>
            <w:tcW w:w="942" w:type="pct"/>
            <w:shd w:val="clear" w:color="auto" w:fill="auto"/>
            <w:noWrap/>
            <w:hideMark/>
          </w:tcPr>
          <w:p w14:paraId="5D5E8FBB"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41,400</w:t>
            </w:r>
          </w:p>
        </w:tc>
        <w:tc>
          <w:tcPr>
            <w:tcW w:w="849" w:type="pct"/>
            <w:shd w:val="clear" w:color="auto" w:fill="auto"/>
            <w:noWrap/>
            <w:hideMark/>
          </w:tcPr>
          <w:p w14:paraId="0FBCD1BA" w14:textId="77777777" w:rsidR="0093332E" w:rsidRPr="00AC78F7" w:rsidRDefault="0093332E"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43,600</w:t>
            </w:r>
          </w:p>
        </w:tc>
      </w:tr>
    </w:tbl>
    <w:p w14:paraId="30926DDE" w14:textId="77777777" w:rsidR="0093332E" w:rsidRDefault="0093332E" w:rsidP="0093332E">
      <w:pPr>
        <w:pStyle w:val="FSRnormal"/>
      </w:pPr>
      <w:r>
        <w:t xml:space="preserve">Disability groups that predominantly include older participants and greater proportion of lower functioning participants such as ABI, other neurological and psychosocial disability have experienced more pronounced increases in plan budgets over time. Disability groups consisting of younger participants, such as autism, developmental delay and intellectual disability have experienced lower growth in plan budgets. </w:t>
      </w:r>
    </w:p>
    <w:p w14:paraId="7C8DA6A0" w14:textId="77777777" w:rsidR="0093332E" w:rsidRDefault="0093332E" w:rsidP="0093332E">
      <w:pPr>
        <w:pStyle w:val="Tables"/>
      </w:pPr>
      <w:r w:rsidRPr="00072B81">
        <w:t xml:space="preserve">Table </w:t>
      </w:r>
      <w:fldSimple w:instr=" STYLEREF 2 \s ">
        <w:r w:rsidR="00A87896">
          <w:rPr>
            <w:noProof/>
          </w:rPr>
          <w:t>4</w:t>
        </w:r>
      </w:fldSimple>
      <w:r w:rsidR="00A87896">
        <w:t>.</w:t>
      </w:r>
      <w:fldSimple w:instr=" SEQ Table \* ARABIC \s 2 ">
        <w:r w:rsidR="00A87896" w:rsidRPr="002A46D3">
          <w:rPr>
            <w:noProof/>
          </w:rPr>
          <w:t>15</w:t>
        </w:r>
      </w:fldSimple>
      <w:r w:rsidRPr="00252EAF">
        <w:rPr>
          <w:rStyle w:val="Strong"/>
          <w:b/>
        </w:rPr>
        <w:t>:</w:t>
      </w:r>
      <w:r>
        <w:t xml:space="preserve"> Average annualised plan budget by age group</w:t>
      </w:r>
      <w:r w:rsidR="000735AD">
        <w:t xml:space="preserve"> ($)</w:t>
      </w:r>
    </w:p>
    <w:tbl>
      <w:tblPr>
        <w:tblStyle w:val="FSRtable"/>
        <w:tblW w:w="0" w:type="auto"/>
        <w:tblInd w:w="0" w:type="dxa"/>
        <w:tblLook w:val="04A0" w:firstRow="1" w:lastRow="0" w:firstColumn="1" w:lastColumn="0" w:noHBand="0" w:noVBand="1"/>
      </w:tblPr>
      <w:tblGrid>
        <w:gridCol w:w="1701"/>
        <w:gridCol w:w="939"/>
        <w:gridCol w:w="1260"/>
        <w:gridCol w:w="1134"/>
        <w:gridCol w:w="1134"/>
      </w:tblGrid>
      <w:tr w:rsidR="0093332E" w:rsidRPr="00AC78F7" w14:paraId="44147812" w14:textId="77777777" w:rsidTr="001257D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701" w:type="dxa"/>
            <w:noWrap/>
            <w:hideMark/>
          </w:tcPr>
          <w:p w14:paraId="613E452E" w14:textId="77777777" w:rsidR="0093332E" w:rsidRPr="00AC78F7" w:rsidRDefault="0093332E" w:rsidP="008E21F6">
            <w:pPr>
              <w:spacing w:after="0" w:line="240" w:lineRule="auto"/>
              <w:rPr>
                <w:rFonts w:eastAsia="Times New Roman"/>
                <w:color w:val="FFFFFF"/>
                <w:sz w:val="20"/>
                <w:szCs w:val="20"/>
                <w:lang w:eastAsia="zh-CN"/>
              </w:rPr>
            </w:pPr>
            <w:r w:rsidRPr="00AC78F7">
              <w:rPr>
                <w:rFonts w:eastAsia="Times New Roman"/>
                <w:color w:val="FFFFFF"/>
                <w:sz w:val="20"/>
                <w:szCs w:val="20"/>
                <w:lang w:eastAsia="zh-CN"/>
              </w:rPr>
              <w:t>Age Group</w:t>
            </w:r>
          </w:p>
        </w:tc>
        <w:tc>
          <w:tcPr>
            <w:tcW w:w="939" w:type="dxa"/>
            <w:noWrap/>
            <w:hideMark/>
          </w:tcPr>
          <w:p w14:paraId="2CF0D5B2" w14:textId="77777777" w:rsidR="0093332E" w:rsidRPr="00AC78F7" w:rsidRDefault="0093332E" w:rsidP="008E21F6">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zh-CN"/>
              </w:rPr>
            </w:pPr>
            <w:r w:rsidRPr="00AC78F7">
              <w:rPr>
                <w:rFonts w:eastAsia="Times New Roman"/>
                <w:color w:val="FFFFFF"/>
                <w:sz w:val="20"/>
                <w:szCs w:val="20"/>
                <w:lang w:eastAsia="zh-CN"/>
              </w:rPr>
              <w:t>Jun-19</w:t>
            </w:r>
          </w:p>
        </w:tc>
        <w:tc>
          <w:tcPr>
            <w:tcW w:w="1260" w:type="dxa"/>
            <w:noWrap/>
            <w:hideMark/>
          </w:tcPr>
          <w:p w14:paraId="2E42DB4B" w14:textId="77777777" w:rsidR="0093332E" w:rsidRPr="00AC78F7" w:rsidRDefault="0093332E" w:rsidP="008E21F6">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zh-CN"/>
              </w:rPr>
            </w:pPr>
            <w:r w:rsidRPr="00AC78F7">
              <w:rPr>
                <w:rFonts w:eastAsia="Times New Roman"/>
                <w:color w:val="FFFFFF"/>
                <w:sz w:val="20"/>
                <w:szCs w:val="20"/>
                <w:lang w:eastAsia="zh-CN"/>
              </w:rPr>
              <w:t>Jun-20</w:t>
            </w:r>
          </w:p>
        </w:tc>
        <w:tc>
          <w:tcPr>
            <w:tcW w:w="1134" w:type="dxa"/>
            <w:noWrap/>
            <w:hideMark/>
          </w:tcPr>
          <w:p w14:paraId="55E3869D" w14:textId="77777777" w:rsidR="0093332E" w:rsidRPr="00AC78F7" w:rsidRDefault="0093332E" w:rsidP="008E21F6">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zh-CN"/>
              </w:rPr>
            </w:pPr>
            <w:r w:rsidRPr="00AC78F7">
              <w:rPr>
                <w:rFonts w:eastAsia="Times New Roman"/>
                <w:color w:val="FFFFFF"/>
                <w:sz w:val="20"/>
                <w:szCs w:val="20"/>
                <w:lang w:eastAsia="zh-CN"/>
              </w:rPr>
              <w:t>Jun-21</w:t>
            </w:r>
          </w:p>
        </w:tc>
        <w:tc>
          <w:tcPr>
            <w:tcW w:w="1134" w:type="dxa"/>
            <w:noWrap/>
            <w:hideMark/>
          </w:tcPr>
          <w:p w14:paraId="14B021FC" w14:textId="77777777" w:rsidR="0093332E" w:rsidRPr="00AC78F7" w:rsidRDefault="0093332E" w:rsidP="008E21F6">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zh-CN"/>
              </w:rPr>
            </w:pPr>
            <w:r w:rsidRPr="00AC78F7">
              <w:rPr>
                <w:rFonts w:eastAsia="Times New Roman"/>
                <w:color w:val="FFFFFF"/>
                <w:sz w:val="20"/>
                <w:szCs w:val="20"/>
                <w:lang w:eastAsia="zh-CN"/>
              </w:rPr>
              <w:t>Jun-22</w:t>
            </w:r>
          </w:p>
        </w:tc>
      </w:tr>
      <w:tr w:rsidR="0093332E" w:rsidRPr="00AC78F7" w14:paraId="7595C52B" w14:textId="77777777" w:rsidTr="00DA3F73">
        <w:trPr>
          <w:trHeight w:val="301"/>
        </w:trPr>
        <w:tc>
          <w:tcPr>
            <w:cnfStyle w:val="001000000000" w:firstRow="0" w:lastRow="0" w:firstColumn="1" w:lastColumn="0" w:oddVBand="0" w:evenVBand="0" w:oddHBand="0" w:evenHBand="0" w:firstRowFirstColumn="0" w:firstRowLastColumn="0" w:lastRowFirstColumn="0" w:lastRowLastColumn="0"/>
            <w:tcW w:w="1701" w:type="dxa"/>
            <w:noWrap/>
            <w:hideMark/>
          </w:tcPr>
          <w:p w14:paraId="604F14DE" w14:textId="77777777" w:rsidR="0093332E" w:rsidRPr="00AC78F7" w:rsidRDefault="0093332E" w:rsidP="008E21F6">
            <w:pPr>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0 to 6</w:t>
            </w:r>
          </w:p>
        </w:tc>
        <w:tc>
          <w:tcPr>
            <w:tcW w:w="939" w:type="dxa"/>
            <w:noWrap/>
            <w:hideMark/>
          </w:tcPr>
          <w:p w14:paraId="54E069AE" w14:textId="77777777" w:rsidR="0093332E" w:rsidRPr="00AC78F7"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19,000</w:t>
            </w:r>
          </w:p>
        </w:tc>
        <w:tc>
          <w:tcPr>
            <w:tcW w:w="1260" w:type="dxa"/>
            <w:noWrap/>
            <w:hideMark/>
          </w:tcPr>
          <w:p w14:paraId="40431AAB" w14:textId="77777777" w:rsidR="0093332E" w:rsidRPr="00AC78F7"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24,100</w:t>
            </w:r>
          </w:p>
        </w:tc>
        <w:tc>
          <w:tcPr>
            <w:tcW w:w="1134" w:type="dxa"/>
            <w:noWrap/>
            <w:hideMark/>
          </w:tcPr>
          <w:p w14:paraId="6962DF85" w14:textId="77777777" w:rsidR="0093332E" w:rsidRPr="00AC78F7"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24,400</w:t>
            </w:r>
          </w:p>
        </w:tc>
        <w:tc>
          <w:tcPr>
            <w:tcW w:w="1134" w:type="dxa"/>
            <w:noWrap/>
            <w:hideMark/>
          </w:tcPr>
          <w:p w14:paraId="1125E383" w14:textId="77777777" w:rsidR="0093332E" w:rsidRPr="00AC78F7"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24,800</w:t>
            </w:r>
          </w:p>
        </w:tc>
      </w:tr>
      <w:tr w:rsidR="0093332E" w:rsidRPr="00AC78F7" w14:paraId="3FE6464F"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01" w:type="dxa"/>
            <w:noWrap/>
            <w:hideMark/>
          </w:tcPr>
          <w:p w14:paraId="0DBA05C0" w14:textId="77777777" w:rsidR="0093332E" w:rsidRPr="00AC78F7" w:rsidRDefault="0093332E" w:rsidP="008E21F6">
            <w:pPr>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7 to 14</w:t>
            </w:r>
          </w:p>
        </w:tc>
        <w:tc>
          <w:tcPr>
            <w:tcW w:w="939" w:type="dxa"/>
            <w:noWrap/>
            <w:hideMark/>
          </w:tcPr>
          <w:p w14:paraId="347B456E"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21,800</w:t>
            </w:r>
          </w:p>
        </w:tc>
        <w:tc>
          <w:tcPr>
            <w:tcW w:w="1260" w:type="dxa"/>
            <w:noWrap/>
            <w:hideMark/>
          </w:tcPr>
          <w:p w14:paraId="78236D04"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24,600</w:t>
            </w:r>
          </w:p>
        </w:tc>
        <w:tc>
          <w:tcPr>
            <w:tcW w:w="1134" w:type="dxa"/>
            <w:noWrap/>
            <w:hideMark/>
          </w:tcPr>
          <w:p w14:paraId="021A2D6A"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24,500</w:t>
            </w:r>
          </w:p>
        </w:tc>
        <w:tc>
          <w:tcPr>
            <w:tcW w:w="1134" w:type="dxa"/>
            <w:noWrap/>
            <w:hideMark/>
          </w:tcPr>
          <w:p w14:paraId="414CF1D5"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24,300</w:t>
            </w:r>
          </w:p>
        </w:tc>
      </w:tr>
      <w:tr w:rsidR="0093332E" w:rsidRPr="00AC78F7" w14:paraId="6789F4ED" w14:textId="77777777" w:rsidTr="00DA3F73">
        <w:trPr>
          <w:trHeight w:val="301"/>
        </w:trPr>
        <w:tc>
          <w:tcPr>
            <w:cnfStyle w:val="001000000000" w:firstRow="0" w:lastRow="0" w:firstColumn="1" w:lastColumn="0" w:oddVBand="0" w:evenVBand="0" w:oddHBand="0" w:evenHBand="0" w:firstRowFirstColumn="0" w:firstRowLastColumn="0" w:lastRowFirstColumn="0" w:lastRowLastColumn="0"/>
            <w:tcW w:w="1701" w:type="dxa"/>
            <w:noWrap/>
            <w:hideMark/>
          </w:tcPr>
          <w:p w14:paraId="00240B96" w14:textId="77777777" w:rsidR="0093332E" w:rsidRPr="00AC78F7" w:rsidRDefault="0093332E" w:rsidP="008E21F6">
            <w:pPr>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15 to 18</w:t>
            </w:r>
          </w:p>
        </w:tc>
        <w:tc>
          <w:tcPr>
            <w:tcW w:w="939" w:type="dxa"/>
            <w:noWrap/>
            <w:hideMark/>
          </w:tcPr>
          <w:p w14:paraId="01DD2687" w14:textId="77777777" w:rsidR="0093332E" w:rsidRPr="00AC78F7"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47,800</w:t>
            </w:r>
          </w:p>
        </w:tc>
        <w:tc>
          <w:tcPr>
            <w:tcW w:w="1260" w:type="dxa"/>
            <w:noWrap/>
            <w:hideMark/>
          </w:tcPr>
          <w:p w14:paraId="1C1BC2E4" w14:textId="77777777" w:rsidR="0093332E" w:rsidRPr="00AC78F7"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52,900</w:t>
            </w:r>
          </w:p>
        </w:tc>
        <w:tc>
          <w:tcPr>
            <w:tcW w:w="1134" w:type="dxa"/>
            <w:noWrap/>
            <w:hideMark/>
          </w:tcPr>
          <w:p w14:paraId="70106F5E" w14:textId="77777777" w:rsidR="0093332E" w:rsidRPr="00AC78F7"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49,700</w:t>
            </w:r>
          </w:p>
        </w:tc>
        <w:tc>
          <w:tcPr>
            <w:tcW w:w="1134" w:type="dxa"/>
            <w:noWrap/>
            <w:hideMark/>
          </w:tcPr>
          <w:p w14:paraId="418D5F33" w14:textId="77777777" w:rsidR="0093332E" w:rsidRPr="00AC78F7"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45,700</w:t>
            </w:r>
          </w:p>
        </w:tc>
      </w:tr>
      <w:tr w:rsidR="0093332E" w:rsidRPr="00AC78F7" w14:paraId="37CAF0C9"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01" w:type="dxa"/>
            <w:noWrap/>
            <w:hideMark/>
          </w:tcPr>
          <w:p w14:paraId="32861A4A" w14:textId="77777777" w:rsidR="0093332E" w:rsidRPr="00AC78F7" w:rsidRDefault="0093332E" w:rsidP="008E21F6">
            <w:pPr>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19 to 24</w:t>
            </w:r>
          </w:p>
        </w:tc>
        <w:tc>
          <w:tcPr>
            <w:tcW w:w="939" w:type="dxa"/>
            <w:noWrap/>
            <w:hideMark/>
          </w:tcPr>
          <w:p w14:paraId="5DAB5BD4"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81,600</w:t>
            </w:r>
          </w:p>
        </w:tc>
        <w:tc>
          <w:tcPr>
            <w:tcW w:w="1260" w:type="dxa"/>
            <w:noWrap/>
            <w:hideMark/>
          </w:tcPr>
          <w:p w14:paraId="11EEB0C8"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87,500</w:t>
            </w:r>
          </w:p>
        </w:tc>
        <w:tc>
          <w:tcPr>
            <w:tcW w:w="1134" w:type="dxa"/>
            <w:noWrap/>
            <w:hideMark/>
          </w:tcPr>
          <w:p w14:paraId="0D009731"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87,800</w:t>
            </w:r>
          </w:p>
        </w:tc>
        <w:tc>
          <w:tcPr>
            <w:tcW w:w="1134" w:type="dxa"/>
            <w:noWrap/>
            <w:hideMark/>
          </w:tcPr>
          <w:p w14:paraId="6AB4DE8E"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87,600</w:t>
            </w:r>
          </w:p>
        </w:tc>
      </w:tr>
      <w:tr w:rsidR="0093332E" w:rsidRPr="00AC78F7" w14:paraId="4054B75A" w14:textId="77777777" w:rsidTr="00DA3F73">
        <w:trPr>
          <w:trHeight w:val="301"/>
        </w:trPr>
        <w:tc>
          <w:tcPr>
            <w:cnfStyle w:val="001000000000" w:firstRow="0" w:lastRow="0" w:firstColumn="1" w:lastColumn="0" w:oddVBand="0" w:evenVBand="0" w:oddHBand="0" w:evenHBand="0" w:firstRowFirstColumn="0" w:firstRowLastColumn="0" w:lastRowFirstColumn="0" w:lastRowLastColumn="0"/>
            <w:tcW w:w="1701" w:type="dxa"/>
            <w:noWrap/>
            <w:hideMark/>
          </w:tcPr>
          <w:p w14:paraId="7F842AE1" w14:textId="77777777" w:rsidR="0093332E" w:rsidRPr="00AC78F7" w:rsidRDefault="0093332E" w:rsidP="008E21F6">
            <w:pPr>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25 to 34</w:t>
            </w:r>
          </w:p>
        </w:tc>
        <w:tc>
          <w:tcPr>
            <w:tcW w:w="939" w:type="dxa"/>
            <w:noWrap/>
            <w:hideMark/>
          </w:tcPr>
          <w:p w14:paraId="0C6DEE1B" w14:textId="77777777" w:rsidR="0093332E" w:rsidRPr="00AC78F7"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103,200</w:t>
            </w:r>
          </w:p>
        </w:tc>
        <w:tc>
          <w:tcPr>
            <w:tcW w:w="1260" w:type="dxa"/>
            <w:noWrap/>
            <w:hideMark/>
          </w:tcPr>
          <w:p w14:paraId="705438BA" w14:textId="77777777" w:rsidR="0093332E" w:rsidRPr="00AC78F7"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110,300</w:t>
            </w:r>
          </w:p>
        </w:tc>
        <w:tc>
          <w:tcPr>
            <w:tcW w:w="1134" w:type="dxa"/>
            <w:noWrap/>
            <w:hideMark/>
          </w:tcPr>
          <w:p w14:paraId="6A113D3D" w14:textId="77777777" w:rsidR="0093332E" w:rsidRPr="00AC78F7"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108,200</w:t>
            </w:r>
          </w:p>
        </w:tc>
        <w:tc>
          <w:tcPr>
            <w:tcW w:w="1134" w:type="dxa"/>
            <w:noWrap/>
            <w:hideMark/>
          </w:tcPr>
          <w:p w14:paraId="32674F29" w14:textId="77777777" w:rsidR="0093332E" w:rsidRPr="00AC78F7"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106,800</w:t>
            </w:r>
          </w:p>
        </w:tc>
      </w:tr>
      <w:tr w:rsidR="0093332E" w:rsidRPr="00AC78F7" w14:paraId="6887D914"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01" w:type="dxa"/>
            <w:noWrap/>
            <w:hideMark/>
          </w:tcPr>
          <w:p w14:paraId="0D0AE146" w14:textId="77777777" w:rsidR="0093332E" w:rsidRPr="00AC78F7" w:rsidRDefault="0093332E" w:rsidP="008E21F6">
            <w:pPr>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35 to 44</w:t>
            </w:r>
          </w:p>
        </w:tc>
        <w:tc>
          <w:tcPr>
            <w:tcW w:w="939" w:type="dxa"/>
            <w:noWrap/>
            <w:hideMark/>
          </w:tcPr>
          <w:p w14:paraId="7570EB48"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104,300</w:t>
            </w:r>
          </w:p>
        </w:tc>
        <w:tc>
          <w:tcPr>
            <w:tcW w:w="1260" w:type="dxa"/>
            <w:noWrap/>
            <w:hideMark/>
          </w:tcPr>
          <w:p w14:paraId="07FF137C"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112,800</w:t>
            </w:r>
          </w:p>
        </w:tc>
        <w:tc>
          <w:tcPr>
            <w:tcW w:w="1134" w:type="dxa"/>
            <w:noWrap/>
            <w:hideMark/>
          </w:tcPr>
          <w:p w14:paraId="5F9B25EE"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111,100</w:t>
            </w:r>
          </w:p>
        </w:tc>
        <w:tc>
          <w:tcPr>
            <w:tcW w:w="1134" w:type="dxa"/>
            <w:noWrap/>
            <w:hideMark/>
          </w:tcPr>
          <w:p w14:paraId="5E0B09E7"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110,800</w:t>
            </w:r>
          </w:p>
        </w:tc>
      </w:tr>
      <w:tr w:rsidR="0093332E" w:rsidRPr="00AC78F7" w14:paraId="0FE2B173" w14:textId="77777777" w:rsidTr="00DA3F73">
        <w:trPr>
          <w:trHeight w:val="301"/>
        </w:trPr>
        <w:tc>
          <w:tcPr>
            <w:cnfStyle w:val="001000000000" w:firstRow="0" w:lastRow="0" w:firstColumn="1" w:lastColumn="0" w:oddVBand="0" w:evenVBand="0" w:oddHBand="0" w:evenHBand="0" w:firstRowFirstColumn="0" w:firstRowLastColumn="0" w:lastRowFirstColumn="0" w:lastRowLastColumn="0"/>
            <w:tcW w:w="1701" w:type="dxa"/>
            <w:noWrap/>
            <w:hideMark/>
          </w:tcPr>
          <w:p w14:paraId="3E9FBF43" w14:textId="77777777" w:rsidR="0093332E" w:rsidRPr="00AC78F7" w:rsidRDefault="0093332E" w:rsidP="008E21F6">
            <w:pPr>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45 to 54</w:t>
            </w:r>
          </w:p>
        </w:tc>
        <w:tc>
          <w:tcPr>
            <w:tcW w:w="939" w:type="dxa"/>
            <w:noWrap/>
            <w:hideMark/>
          </w:tcPr>
          <w:p w14:paraId="117955DE" w14:textId="77777777" w:rsidR="0093332E" w:rsidRPr="00AC78F7"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106,300</w:t>
            </w:r>
          </w:p>
        </w:tc>
        <w:tc>
          <w:tcPr>
            <w:tcW w:w="1260" w:type="dxa"/>
            <w:noWrap/>
            <w:hideMark/>
          </w:tcPr>
          <w:p w14:paraId="76DFE808" w14:textId="77777777" w:rsidR="0093332E" w:rsidRPr="00AC78F7"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114,900</w:t>
            </w:r>
          </w:p>
        </w:tc>
        <w:tc>
          <w:tcPr>
            <w:tcW w:w="1134" w:type="dxa"/>
            <w:noWrap/>
            <w:hideMark/>
          </w:tcPr>
          <w:p w14:paraId="06D57891" w14:textId="77777777" w:rsidR="0093332E" w:rsidRPr="00AC78F7"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113,600</w:t>
            </w:r>
          </w:p>
        </w:tc>
        <w:tc>
          <w:tcPr>
            <w:tcW w:w="1134" w:type="dxa"/>
            <w:noWrap/>
            <w:hideMark/>
          </w:tcPr>
          <w:p w14:paraId="467EF751" w14:textId="77777777" w:rsidR="0093332E" w:rsidRPr="00AC78F7"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114,100</w:t>
            </w:r>
          </w:p>
        </w:tc>
      </w:tr>
      <w:tr w:rsidR="0093332E" w:rsidRPr="00AC78F7" w14:paraId="19A1F8E8"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01" w:type="dxa"/>
            <w:noWrap/>
            <w:hideMark/>
          </w:tcPr>
          <w:p w14:paraId="06BE4626" w14:textId="77777777" w:rsidR="0093332E" w:rsidRPr="00AC78F7" w:rsidRDefault="0093332E" w:rsidP="008E21F6">
            <w:pPr>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55 to 64</w:t>
            </w:r>
          </w:p>
        </w:tc>
        <w:tc>
          <w:tcPr>
            <w:tcW w:w="939" w:type="dxa"/>
            <w:noWrap/>
            <w:hideMark/>
          </w:tcPr>
          <w:p w14:paraId="4C95CA37"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102,600</w:t>
            </w:r>
          </w:p>
        </w:tc>
        <w:tc>
          <w:tcPr>
            <w:tcW w:w="1260" w:type="dxa"/>
            <w:noWrap/>
            <w:hideMark/>
          </w:tcPr>
          <w:p w14:paraId="297B727A"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112,800</w:t>
            </w:r>
          </w:p>
        </w:tc>
        <w:tc>
          <w:tcPr>
            <w:tcW w:w="1134" w:type="dxa"/>
            <w:noWrap/>
            <w:hideMark/>
          </w:tcPr>
          <w:p w14:paraId="7FE38BA2"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114,900</w:t>
            </w:r>
          </w:p>
        </w:tc>
        <w:tc>
          <w:tcPr>
            <w:tcW w:w="1134" w:type="dxa"/>
            <w:noWrap/>
            <w:hideMark/>
          </w:tcPr>
          <w:p w14:paraId="5770B378" w14:textId="77777777" w:rsidR="0093332E" w:rsidRPr="00AC78F7" w:rsidRDefault="0093332E" w:rsidP="008E21F6">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118,000</w:t>
            </w:r>
          </w:p>
        </w:tc>
      </w:tr>
      <w:tr w:rsidR="0093332E" w:rsidRPr="00AC78F7" w14:paraId="5F8049FB" w14:textId="77777777" w:rsidTr="00DA3F73">
        <w:trPr>
          <w:trHeight w:val="301"/>
        </w:trPr>
        <w:tc>
          <w:tcPr>
            <w:cnfStyle w:val="001000000000" w:firstRow="0" w:lastRow="0" w:firstColumn="1" w:lastColumn="0" w:oddVBand="0" w:evenVBand="0" w:oddHBand="0" w:evenHBand="0" w:firstRowFirstColumn="0" w:firstRowLastColumn="0" w:lastRowFirstColumn="0" w:lastRowLastColumn="0"/>
            <w:tcW w:w="1701" w:type="dxa"/>
            <w:noWrap/>
            <w:hideMark/>
          </w:tcPr>
          <w:p w14:paraId="75D6AED9" w14:textId="77777777" w:rsidR="0093332E" w:rsidRPr="00AC78F7" w:rsidRDefault="0093332E" w:rsidP="008E21F6">
            <w:pPr>
              <w:spacing w:after="0" w:line="240" w:lineRule="auto"/>
              <w:rPr>
                <w:rFonts w:eastAsia="Times New Roman" w:cs="Arial"/>
                <w:color w:val="000000"/>
                <w:sz w:val="20"/>
                <w:szCs w:val="20"/>
                <w:lang w:eastAsia="zh-CN"/>
              </w:rPr>
            </w:pPr>
            <w:r w:rsidRPr="00AC78F7">
              <w:rPr>
                <w:rFonts w:eastAsia="Times New Roman" w:cs="Arial"/>
                <w:color w:val="000000"/>
                <w:sz w:val="20"/>
                <w:szCs w:val="20"/>
                <w:lang w:eastAsia="zh-CN"/>
              </w:rPr>
              <w:t>65+</w:t>
            </w:r>
          </w:p>
        </w:tc>
        <w:tc>
          <w:tcPr>
            <w:tcW w:w="939" w:type="dxa"/>
            <w:noWrap/>
            <w:hideMark/>
          </w:tcPr>
          <w:p w14:paraId="47FEC17A" w14:textId="77777777" w:rsidR="0093332E" w:rsidRPr="00AC78F7"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96,600</w:t>
            </w:r>
          </w:p>
        </w:tc>
        <w:tc>
          <w:tcPr>
            <w:tcW w:w="1260" w:type="dxa"/>
            <w:noWrap/>
            <w:hideMark/>
          </w:tcPr>
          <w:p w14:paraId="13514EE6" w14:textId="77777777" w:rsidR="0093332E" w:rsidRPr="00AC78F7"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109,700</w:t>
            </w:r>
          </w:p>
        </w:tc>
        <w:tc>
          <w:tcPr>
            <w:tcW w:w="1134" w:type="dxa"/>
            <w:noWrap/>
            <w:hideMark/>
          </w:tcPr>
          <w:p w14:paraId="314C7E69" w14:textId="77777777" w:rsidR="0093332E" w:rsidRPr="00AC78F7"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113,900</w:t>
            </w:r>
          </w:p>
        </w:tc>
        <w:tc>
          <w:tcPr>
            <w:tcW w:w="1134" w:type="dxa"/>
            <w:noWrap/>
            <w:hideMark/>
          </w:tcPr>
          <w:p w14:paraId="5E9A461A" w14:textId="77777777" w:rsidR="0093332E" w:rsidRPr="00AC78F7" w:rsidRDefault="0093332E" w:rsidP="008E21F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zh-CN"/>
              </w:rPr>
            </w:pPr>
            <w:r w:rsidRPr="00AC78F7">
              <w:rPr>
                <w:rFonts w:cs="Arial"/>
                <w:color w:val="000000"/>
                <w:sz w:val="20"/>
                <w:szCs w:val="20"/>
              </w:rPr>
              <w:t>118,800</w:t>
            </w:r>
          </w:p>
        </w:tc>
      </w:tr>
    </w:tbl>
    <w:p w14:paraId="57A309A9" w14:textId="77777777" w:rsidR="00671B5F" w:rsidRDefault="00671B5F" w:rsidP="0093332E">
      <w:pPr>
        <w:pStyle w:val="FSRnormal"/>
      </w:pPr>
      <w:r>
        <w:t xml:space="preserve">In the most recent two years, there has been a reduction in average annualised plan budgets across participants aged between 7 and 44, in particular those aged 15 to 18 with an 8% reduction in average annualised plan budget. </w:t>
      </w:r>
    </w:p>
    <w:p w14:paraId="24B66C51" w14:textId="77777777" w:rsidR="007264B8" w:rsidRDefault="007264B8">
      <w:pPr>
        <w:spacing w:after="160" w:line="259" w:lineRule="auto"/>
        <w:rPr>
          <w:rFonts w:eastAsiaTheme="minorHAnsi"/>
          <w:b/>
          <w:color w:val="6A2875"/>
          <w:sz w:val="36"/>
          <w:szCs w:val="44"/>
        </w:rPr>
      </w:pPr>
      <w:r>
        <w:br w:type="page"/>
      </w:r>
    </w:p>
    <w:p w14:paraId="056623B0" w14:textId="77777777" w:rsidR="0093332E" w:rsidRPr="00D77788" w:rsidRDefault="0093332E" w:rsidP="0093332E">
      <w:pPr>
        <w:pStyle w:val="Heading3"/>
        <w:ind w:left="851" w:hanging="851"/>
      </w:pPr>
      <w:bookmarkStart w:id="87" w:name="_Toc118460198"/>
      <w:r>
        <w:lastRenderedPageBreak/>
        <w:t>Utilisation</w:t>
      </w:r>
      <w:bookmarkEnd w:id="87"/>
    </w:p>
    <w:p w14:paraId="3A73DC9F" w14:textId="77777777" w:rsidR="0093332E" w:rsidRPr="00D77788" w:rsidRDefault="0093332E" w:rsidP="0093332E">
      <w:pPr>
        <w:pStyle w:val="FSRnormal"/>
      </w:pPr>
      <w:r w:rsidRPr="00D77788">
        <w:t xml:space="preserve">Plan budgets represent the dollar amount of support that has been made available to participants in their plan. </w:t>
      </w:r>
      <w:r>
        <w:t>T</w:t>
      </w:r>
      <w:r w:rsidRPr="00D77788">
        <w:t xml:space="preserve">here </w:t>
      </w:r>
      <w:r>
        <w:t xml:space="preserve">has historically been </w:t>
      </w:r>
      <w:r w:rsidRPr="00D77788">
        <w:t>a gap between plan budgets and supports which are utilised. The proportion of plan budgets which are used is referred to as the ‘utilisation rate’.</w:t>
      </w:r>
    </w:p>
    <w:p w14:paraId="09E396C2" w14:textId="77777777" w:rsidR="0093332E" w:rsidRPr="00D77788" w:rsidRDefault="0093332E" w:rsidP="0093332E">
      <w:pPr>
        <w:pStyle w:val="FSRnormal"/>
      </w:pPr>
      <w:r>
        <w:t xml:space="preserve">Utilisation rates were relatively stable until 2019-20. A marginal increase in utilisation rate to 73% was observed in 2020-21, followed by a notable increase in utilisation rate to 77% in 2021-22. </w:t>
      </w:r>
    </w:p>
    <w:p w14:paraId="7B1B3F87" w14:textId="77777777" w:rsidR="00CA54D2" w:rsidRDefault="005B376B" w:rsidP="00F830E6">
      <w:pPr>
        <w:pStyle w:val="FSRnormal"/>
        <w:rPr>
          <w:rFonts w:eastAsiaTheme="minorHAnsi"/>
          <w:b/>
          <w:bCs/>
          <w:szCs w:val="18"/>
          <w:lang w:eastAsia="en-US"/>
        </w:rPr>
      </w:pPr>
      <w:r w:rsidRPr="00D77788">
        <w:t xml:space="preserve">Table </w:t>
      </w:r>
      <w:r>
        <w:rPr>
          <w:noProof/>
        </w:rPr>
        <w:t>4</w:t>
      </w:r>
      <w:r>
        <w:t>.</w:t>
      </w:r>
      <w:r>
        <w:rPr>
          <w:noProof/>
        </w:rPr>
        <w:t>16</w:t>
      </w:r>
      <w:r w:rsidR="0093332E" w:rsidRPr="00A10D58">
        <w:t xml:space="preserve"> provides an overview of utilisation rates by support year at 30 June 2022. </w:t>
      </w:r>
      <w:bookmarkStart w:id="88" w:name="_Ref113276155"/>
    </w:p>
    <w:p w14:paraId="5F6120F1" w14:textId="77777777" w:rsidR="0093332E" w:rsidRPr="00D77788" w:rsidRDefault="0093332E" w:rsidP="0093332E">
      <w:pPr>
        <w:pStyle w:val="Tables"/>
      </w:pPr>
      <w:r w:rsidRPr="00D77788">
        <w:t xml:space="preserve">Table </w:t>
      </w:r>
      <w:fldSimple w:instr=" STYLEREF 2 \s ">
        <w:r w:rsidR="00A87896">
          <w:rPr>
            <w:noProof/>
          </w:rPr>
          <w:t>4</w:t>
        </w:r>
      </w:fldSimple>
      <w:r w:rsidR="00A87896">
        <w:t>.</w:t>
      </w:r>
      <w:fldSimple w:instr=" SEQ Table \* ARABIC \s 2 ">
        <w:r w:rsidR="00A87896">
          <w:rPr>
            <w:noProof/>
          </w:rPr>
          <w:t>16</w:t>
        </w:r>
      </w:fldSimple>
      <w:bookmarkEnd w:id="88"/>
      <w:r>
        <w:t>:</w:t>
      </w:r>
      <w:r w:rsidRPr="00D77788">
        <w:t xml:space="preserve"> Estimated utilisation rate by support year </w:t>
      </w:r>
      <w:r>
        <w:t>at</w:t>
      </w:r>
      <w:r w:rsidRPr="00D77788">
        <w:t xml:space="preserve"> 30 June 202</w:t>
      </w:r>
      <w:r w:rsidRPr="005740E2">
        <w:t>2</w:t>
      </w:r>
      <w:r w:rsidRPr="00D77788">
        <w:t xml:space="preserve"> </w:t>
      </w:r>
    </w:p>
    <w:tbl>
      <w:tblPr>
        <w:tblStyle w:val="FSRtable"/>
        <w:tblW w:w="5229" w:type="pct"/>
        <w:tblInd w:w="0" w:type="dxa"/>
        <w:tblLayout w:type="fixed"/>
        <w:tblLook w:val="04A0" w:firstRow="1" w:lastRow="0" w:firstColumn="1" w:lastColumn="0" w:noHBand="0" w:noVBand="1"/>
      </w:tblPr>
      <w:tblGrid>
        <w:gridCol w:w="3346"/>
        <w:gridCol w:w="1136"/>
        <w:gridCol w:w="995"/>
        <w:gridCol w:w="993"/>
        <w:gridCol w:w="997"/>
        <w:gridCol w:w="1038"/>
        <w:gridCol w:w="934"/>
      </w:tblGrid>
      <w:tr w:rsidR="0093332E" w:rsidRPr="001257D5" w14:paraId="38AAEFB1" w14:textId="77777777" w:rsidTr="001257D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72" w:type="pct"/>
          </w:tcPr>
          <w:p w14:paraId="2C39A3FB" w14:textId="77777777" w:rsidR="0093332E" w:rsidRPr="001257D5" w:rsidRDefault="0093332E" w:rsidP="008E21F6">
            <w:pPr>
              <w:pStyle w:val="Tables"/>
              <w:rPr>
                <w:b/>
                <w:color w:val="FFFFFF" w:themeColor="background1"/>
                <w:sz w:val="18"/>
              </w:rPr>
            </w:pPr>
            <w:r w:rsidRPr="001257D5">
              <w:rPr>
                <w:b/>
                <w:color w:val="FFFFFF" w:themeColor="background1"/>
                <w:sz w:val="18"/>
              </w:rPr>
              <w:t>Utilisation component</w:t>
            </w:r>
          </w:p>
        </w:tc>
        <w:tc>
          <w:tcPr>
            <w:tcW w:w="602" w:type="pct"/>
          </w:tcPr>
          <w:p w14:paraId="3A549346" w14:textId="77777777" w:rsidR="0093332E" w:rsidRPr="001257D5" w:rsidRDefault="0093332E" w:rsidP="008E21F6">
            <w:pPr>
              <w:pStyle w:val="Tables"/>
              <w:spacing w:after="0"/>
              <w:cnfStyle w:val="100000000000" w:firstRow="1" w:lastRow="0" w:firstColumn="0" w:lastColumn="0" w:oddVBand="0" w:evenVBand="0" w:oddHBand="0" w:evenHBand="0" w:firstRowFirstColumn="0" w:firstRowLastColumn="0" w:lastRowFirstColumn="0" w:lastRowLastColumn="0"/>
              <w:rPr>
                <w:b/>
                <w:color w:val="FFFFFF" w:themeColor="background1"/>
                <w:sz w:val="18"/>
              </w:rPr>
            </w:pPr>
            <w:r w:rsidRPr="001257D5">
              <w:rPr>
                <w:b/>
                <w:color w:val="FFFFFF" w:themeColor="background1"/>
                <w:sz w:val="18"/>
              </w:rPr>
              <w:t>2017-18 and prior</w:t>
            </w:r>
          </w:p>
        </w:tc>
        <w:tc>
          <w:tcPr>
            <w:tcW w:w="527" w:type="pct"/>
          </w:tcPr>
          <w:p w14:paraId="59A2BC05" w14:textId="77777777" w:rsidR="0093332E" w:rsidRPr="001257D5" w:rsidRDefault="0093332E" w:rsidP="008E21F6">
            <w:pPr>
              <w:pStyle w:val="Tables"/>
              <w:spacing w:after="0"/>
              <w:cnfStyle w:val="100000000000" w:firstRow="1" w:lastRow="0" w:firstColumn="0" w:lastColumn="0" w:oddVBand="0" w:evenVBand="0" w:oddHBand="0" w:evenHBand="0" w:firstRowFirstColumn="0" w:firstRowLastColumn="0" w:lastRowFirstColumn="0" w:lastRowLastColumn="0"/>
              <w:rPr>
                <w:b/>
                <w:color w:val="FFFFFF" w:themeColor="background1"/>
                <w:sz w:val="18"/>
              </w:rPr>
            </w:pPr>
            <w:r w:rsidRPr="001257D5">
              <w:rPr>
                <w:b/>
                <w:color w:val="FFFFFF" w:themeColor="background1"/>
                <w:sz w:val="18"/>
              </w:rPr>
              <w:t>2018-19</w:t>
            </w:r>
          </w:p>
        </w:tc>
        <w:tc>
          <w:tcPr>
            <w:tcW w:w="526" w:type="pct"/>
          </w:tcPr>
          <w:p w14:paraId="5313F29E" w14:textId="77777777" w:rsidR="0093332E" w:rsidRPr="001257D5" w:rsidRDefault="0093332E" w:rsidP="008E21F6">
            <w:pPr>
              <w:pStyle w:val="Tables"/>
              <w:spacing w:after="0"/>
              <w:cnfStyle w:val="100000000000" w:firstRow="1" w:lastRow="0" w:firstColumn="0" w:lastColumn="0" w:oddVBand="0" w:evenVBand="0" w:oddHBand="0" w:evenHBand="0" w:firstRowFirstColumn="0" w:firstRowLastColumn="0" w:lastRowFirstColumn="0" w:lastRowLastColumn="0"/>
              <w:rPr>
                <w:b/>
                <w:color w:val="FFFFFF" w:themeColor="background1"/>
                <w:sz w:val="18"/>
              </w:rPr>
            </w:pPr>
            <w:r w:rsidRPr="001257D5">
              <w:rPr>
                <w:b/>
                <w:color w:val="FFFFFF" w:themeColor="background1"/>
                <w:sz w:val="18"/>
              </w:rPr>
              <w:t>2019-20</w:t>
            </w:r>
          </w:p>
        </w:tc>
        <w:tc>
          <w:tcPr>
            <w:tcW w:w="528" w:type="pct"/>
          </w:tcPr>
          <w:p w14:paraId="3F4F7955" w14:textId="77777777" w:rsidR="0093332E" w:rsidRPr="001257D5" w:rsidRDefault="0093332E" w:rsidP="008E21F6">
            <w:pPr>
              <w:pStyle w:val="Tables"/>
              <w:spacing w:after="0"/>
              <w:cnfStyle w:val="100000000000" w:firstRow="1" w:lastRow="0" w:firstColumn="0" w:lastColumn="0" w:oddVBand="0" w:evenVBand="0" w:oddHBand="0" w:evenHBand="0" w:firstRowFirstColumn="0" w:firstRowLastColumn="0" w:lastRowFirstColumn="0" w:lastRowLastColumn="0"/>
              <w:rPr>
                <w:b/>
                <w:color w:val="FFFFFF" w:themeColor="background1"/>
                <w:sz w:val="18"/>
              </w:rPr>
            </w:pPr>
            <w:r w:rsidRPr="001257D5">
              <w:rPr>
                <w:b/>
                <w:color w:val="FFFFFF" w:themeColor="background1"/>
                <w:sz w:val="18"/>
              </w:rPr>
              <w:t>2020-21</w:t>
            </w:r>
          </w:p>
        </w:tc>
        <w:tc>
          <w:tcPr>
            <w:tcW w:w="550" w:type="pct"/>
          </w:tcPr>
          <w:p w14:paraId="66EE74DD" w14:textId="77777777" w:rsidR="0093332E" w:rsidRPr="001257D5" w:rsidRDefault="0093332E" w:rsidP="008E21F6">
            <w:pPr>
              <w:pStyle w:val="Tables"/>
              <w:spacing w:after="0"/>
              <w:cnfStyle w:val="100000000000" w:firstRow="1" w:lastRow="0" w:firstColumn="0" w:lastColumn="0" w:oddVBand="0" w:evenVBand="0" w:oddHBand="0" w:evenHBand="0" w:firstRowFirstColumn="0" w:firstRowLastColumn="0" w:lastRowFirstColumn="0" w:lastRowLastColumn="0"/>
              <w:rPr>
                <w:b/>
                <w:color w:val="FFFFFF" w:themeColor="background1"/>
                <w:sz w:val="18"/>
              </w:rPr>
            </w:pPr>
            <w:r w:rsidRPr="001257D5">
              <w:rPr>
                <w:b/>
                <w:color w:val="FFFFFF" w:themeColor="background1"/>
                <w:sz w:val="18"/>
              </w:rPr>
              <w:t>2021-22</w:t>
            </w:r>
          </w:p>
        </w:tc>
        <w:tc>
          <w:tcPr>
            <w:tcW w:w="495" w:type="pct"/>
          </w:tcPr>
          <w:p w14:paraId="65062AF5" w14:textId="77777777" w:rsidR="0093332E" w:rsidRPr="001257D5" w:rsidRDefault="0093332E" w:rsidP="008E21F6">
            <w:pPr>
              <w:pStyle w:val="Tables"/>
              <w:spacing w:after="0"/>
              <w:cnfStyle w:val="100000000000" w:firstRow="1" w:lastRow="0" w:firstColumn="0" w:lastColumn="0" w:oddVBand="0" w:evenVBand="0" w:oddHBand="0" w:evenHBand="0" w:firstRowFirstColumn="0" w:firstRowLastColumn="0" w:lastRowFirstColumn="0" w:lastRowLastColumn="0"/>
              <w:rPr>
                <w:b/>
                <w:color w:val="FFFFFF" w:themeColor="background1"/>
                <w:sz w:val="18"/>
              </w:rPr>
            </w:pPr>
            <w:r w:rsidRPr="001257D5">
              <w:rPr>
                <w:b/>
                <w:color w:val="FFFFFF" w:themeColor="background1"/>
                <w:sz w:val="18"/>
              </w:rPr>
              <w:t>Total</w:t>
            </w:r>
          </w:p>
        </w:tc>
      </w:tr>
      <w:tr w:rsidR="0093332E" w:rsidRPr="006A6180" w14:paraId="4C2D366F" w14:textId="77777777" w:rsidTr="00DA3F73">
        <w:trPr>
          <w:trHeight w:val="284"/>
        </w:trPr>
        <w:tc>
          <w:tcPr>
            <w:cnfStyle w:val="001000000000" w:firstRow="0" w:lastRow="0" w:firstColumn="1" w:lastColumn="0" w:oddVBand="0" w:evenVBand="0" w:oddHBand="0" w:evenHBand="0" w:firstRowFirstColumn="0" w:firstRowLastColumn="0" w:lastRowFirstColumn="0" w:lastRowLastColumn="0"/>
            <w:tcW w:w="1772" w:type="pct"/>
          </w:tcPr>
          <w:p w14:paraId="10BA285A" w14:textId="77777777" w:rsidR="0093332E" w:rsidRPr="006A6180" w:rsidRDefault="0093332E" w:rsidP="008E21F6">
            <w:pPr>
              <w:pStyle w:val="Tables"/>
              <w:spacing w:after="0"/>
              <w:rPr>
                <w:b w:val="0"/>
                <w:sz w:val="18"/>
              </w:rPr>
            </w:pPr>
            <w:r w:rsidRPr="006A6180">
              <w:rPr>
                <w:b w:val="0"/>
                <w:sz w:val="18"/>
              </w:rPr>
              <w:t>Plan budgets to date ($m)</w:t>
            </w:r>
          </w:p>
        </w:tc>
        <w:tc>
          <w:tcPr>
            <w:tcW w:w="602" w:type="pct"/>
          </w:tcPr>
          <w:p w14:paraId="50AAD05F" w14:textId="77777777" w:rsidR="0093332E" w:rsidRPr="006A6180" w:rsidRDefault="0093332E">
            <w:pPr>
              <w:pStyle w:val="Tables"/>
              <w:spacing w:after="0"/>
              <w:cnfStyle w:val="000000000000" w:firstRow="0" w:lastRow="0" w:firstColumn="0" w:lastColumn="0" w:oddVBand="0" w:evenVBand="0" w:oddHBand="0" w:evenHBand="0" w:firstRowFirstColumn="0" w:firstRowLastColumn="0" w:lastRowFirstColumn="0" w:lastRowLastColumn="0"/>
              <w:rPr>
                <w:rFonts w:cs="Arial"/>
                <w:b w:val="0"/>
                <w:sz w:val="18"/>
              </w:rPr>
            </w:pPr>
            <w:r w:rsidRPr="006A6180">
              <w:rPr>
                <w:rFonts w:cs="Arial"/>
                <w:b w:val="0"/>
                <w:sz w:val="18"/>
              </w:rPr>
              <w:t>12,591</w:t>
            </w:r>
          </w:p>
        </w:tc>
        <w:tc>
          <w:tcPr>
            <w:tcW w:w="527" w:type="pct"/>
          </w:tcPr>
          <w:p w14:paraId="4408B7E2" w14:textId="77777777" w:rsidR="0093332E" w:rsidRPr="006A6180" w:rsidRDefault="0093332E">
            <w:pPr>
              <w:pStyle w:val="Tables"/>
              <w:spacing w:after="0"/>
              <w:cnfStyle w:val="000000000000" w:firstRow="0" w:lastRow="0" w:firstColumn="0" w:lastColumn="0" w:oddVBand="0" w:evenVBand="0" w:oddHBand="0" w:evenHBand="0" w:firstRowFirstColumn="0" w:firstRowLastColumn="0" w:lastRowFirstColumn="0" w:lastRowLastColumn="0"/>
              <w:rPr>
                <w:rFonts w:cs="Arial"/>
                <w:b w:val="0"/>
                <w:sz w:val="18"/>
              </w:rPr>
            </w:pPr>
            <w:r w:rsidRPr="006A6180">
              <w:rPr>
                <w:rFonts w:cs="Arial"/>
                <w:b w:val="0"/>
                <w:sz w:val="18"/>
              </w:rPr>
              <w:t>14,576</w:t>
            </w:r>
          </w:p>
        </w:tc>
        <w:tc>
          <w:tcPr>
            <w:tcW w:w="526" w:type="pct"/>
          </w:tcPr>
          <w:p w14:paraId="1D833E1B" w14:textId="77777777" w:rsidR="0093332E" w:rsidRPr="006A6180" w:rsidRDefault="0093332E">
            <w:pPr>
              <w:pStyle w:val="Tables"/>
              <w:spacing w:after="0"/>
              <w:cnfStyle w:val="000000000000" w:firstRow="0" w:lastRow="0" w:firstColumn="0" w:lastColumn="0" w:oddVBand="0" w:evenVBand="0" w:oddHBand="0" w:evenHBand="0" w:firstRowFirstColumn="0" w:firstRowLastColumn="0" w:lastRowFirstColumn="0" w:lastRowLastColumn="0"/>
              <w:rPr>
                <w:rFonts w:cs="Arial"/>
                <w:b w:val="0"/>
                <w:sz w:val="18"/>
              </w:rPr>
            </w:pPr>
            <w:r w:rsidRPr="006A6180">
              <w:rPr>
                <w:rFonts w:cs="Arial"/>
                <w:b w:val="0"/>
                <w:sz w:val="18"/>
              </w:rPr>
              <w:t>24,418</w:t>
            </w:r>
          </w:p>
        </w:tc>
        <w:tc>
          <w:tcPr>
            <w:tcW w:w="528" w:type="pct"/>
          </w:tcPr>
          <w:p w14:paraId="4EF265F4" w14:textId="77777777" w:rsidR="0093332E" w:rsidRPr="006A6180" w:rsidRDefault="0093332E">
            <w:pPr>
              <w:pStyle w:val="Tables"/>
              <w:spacing w:after="0"/>
              <w:cnfStyle w:val="000000000000" w:firstRow="0" w:lastRow="0" w:firstColumn="0" w:lastColumn="0" w:oddVBand="0" w:evenVBand="0" w:oddHBand="0" w:evenHBand="0" w:firstRowFirstColumn="0" w:firstRowLastColumn="0" w:lastRowFirstColumn="0" w:lastRowLastColumn="0"/>
              <w:rPr>
                <w:rFonts w:cs="Arial"/>
                <w:b w:val="0"/>
                <w:sz w:val="18"/>
              </w:rPr>
            </w:pPr>
            <w:r w:rsidRPr="006A6180">
              <w:rPr>
                <w:rFonts w:cs="Arial"/>
                <w:b w:val="0"/>
                <w:sz w:val="18"/>
              </w:rPr>
              <w:t>32,345</w:t>
            </w:r>
          </w:p>
        </w:tc>
        <w:tc>
          <w:tcPr>
            <w:tcW w:w="550" w:type="pct"/>
          </w:tcPr>
          <w:p w14:paraId="443E1ACE" w14:textId="77777777" w:rsidR="0093332E" w:rsidRPr="006A6180" w:rsidRDefault="0093332E">
            <w:pPr>
              <w:pStyle w:val="Tables"/>
              <w:spacing w:after="0"/>
              <w:cnfStyle w:val="000000000000" w:firstRow="0" w:lastRow="0" w:firstColumn="0" w:lastColumn="0" w:oddVBand="0" w:evenVBand="0" w:oddHBand="0" w:evenHBand="0" w:firstRowFirstColumn="0" w:firstRowLastColumn="0" w:lastRowFirstColumn="0" w:lastRowLastColumn="0"/>
              <w:rPr>
                <w:rFonts w:cs="Arial"/>
                <w:b w:val="0"/>
                <w:sz w:val="18"/>
              </w:rPr>
            </w:pPr>
            <w:r w:rsidRPr="006A6180">
              <w:rPr>
                <w:rFonts w:cs="Arial"/>
                <w:b w:val="0"/>
                <w:sz w:val="18"/>
              </w:rPr>
              <w:t>36,030</w:t>
            </w:r>
          </w:p>
        </w:tc>
        <w:tc>
          <w:tcPr>
            <w:tcW w:w="495" w:type="pct"/>
          </w:tcPr>
          <w:p w14:paraId="1D973086" w14:textId="77777777" w:rsidR="0093332E" w:rsidRPr="006A6180" w:rsidRDefault="0093332E">
            <w:pPr>
              <w:pStyle w:val="Tables"/>
              <w:spacing w:after="0"/>
              <w:cnfStyle w:val="000000000000" w:firstRow="0" w:lastRow="0" w:firstColumn="0" w:lastColumn="0" w:oddVBand="0" w:evenVBand="0" w:oddHBand="0" w:evenHBand="0" w:firstRowFirstColumn="0" w:firstRowLastColumn="0" w:lastRowFirstColumn="0" w:lastRowLastColumn="0"/>
              <w:rPr>
                <w:rFonts w:cs="Arial"/>
                <w:b w:val="0"/>
                <w:sz w:val="18"/>
              </w:rPr>
            </w:pPr>
            <w:r w:rsidRPr="006A6180">
              <w:rPr>
                <w:rFonts w:cs="Arial"/>
                <w:b w:val="0"/>
                <w:sz w:val="18"/>
              </w:rPr>
              <w:t>119,959</w:t>
            </w:r>
          </w:p>
        </w:tc>
      </w:tr>
      <w:tr w:rsidR="0093332E" w:rsidRPr="006A6180" w14:paraId="3C38B60B" w14:textId="77777777" w:rsidTr="00DA3F73">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772" w:type="pct"/>
          </w:tcPr>
          <w:p w14:paraId="7D8E0B2D" w14:textId="77777777" w:rsidR="0093332E" w:rsidRPr="006A6180" w:rsidRDefault="0093332E" w:rsidP="008E21F6">
            <w:pPr>
              <w:pStyle w:val="Tables"/>
              <w:spacing w:after="0"/>
              <w:rPr>
                <w:b w:val="0"/>
                <w:sz w:val="18"/>
              </w:rPr>
            </w:pPr>
            <w:r w:rsidRPr="006A6180">
              <w:rPr>
                <w:b w:val="0"/>
                <w:sz w:val="18"/>
              </w:rPr>
              <w:t>Estimated future changes to plan budgets ($m)</w:t>
            </w:r>
          </w:p>
        </w:tc>
        <w:tc>
          <w:tcPr>
            <w:tcW w:w="602" w:type="pct"/>
          </w:tcPr>
          <w:p w14:paraId="4D4FA8CB"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0</w:t>
            </w:r>
          </w:p>
        </w:tc>
        <w:tc>
          <w:tcPr>
            <w:tcW w:w="527" w:type="pct"/>
          </w:tcPr>
          <w:p w14:paraId="040B5FDF"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1</w:t>
            </w:r>
          </w:p>
        </w:tc>
        <w:tc>
          <w:tcPr>
            <w:tcW w:w="526" w:type="pct"/>
          </w:tcPr>
          <w:p w14:paraId="4369A59C"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16</w:t>
            </w:r>
          </w:p>
        </w:tc>
        <w:tc>
          <w:tcPr>
            <w:tcW w:w="528" w:type="pct"/>
          </w:tcPr>
          <w:p w14:paraId="470322F8"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45</w:t>
            </w:r>
          </w:p>
        </w:tc>
        <w:tc>
          <w:tcPr>
            <w:tcW w:w="550" w:type="pct"/>
          </w:tcPr>
          <w:p w14:paraId="5E616101"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681</w:t>
            </w:r>
          </w:p>
        </w:tc>
        <w:tc>
          <w:tcPr>
            <w:tcW w:w="495" w:type="pct"/>
          </w:tcPr>
          <w:p w14:paraId="58D34631"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742</w:t>
            </w:r>
          </w:p>
        </w:tc>
      </w:tr>
      <w:tr w:rsidR="0093332E" w:rsidRPr="006A6180" w14:paraId="53245A01" w14:textId="77777777" w:rsidTr="00DA3F73">
        <w:trPr>
          <w:trHeight w:val="284"/>
        </w:trPr>
        <w:tc>
          <w:tcPr>
            <w:cnfStyle w:val="001000000000" w:firstRow="0" w:lastRow="0" w:firstColumn="1" w:lastColumn="0" w:oddVBand="0" w:evenVBand="0" w:oddHBand="0" w:evenHBand="0" w:firstRowFirstColumn="0" w:firstRowLastColumn="0" w:lastRowFirstColumn="0" w:lastRowLastColumn="0"/>
            <w:tcW w:w="1772" w:type="pct"/>
          </w:tcPr>
          <w:p w14:paraId="66ACA194" w14:textId="77777777" w:rsidR="0093332E" w:rsidRPr="006A6180" w:rsidRDefault="0093332E" w:rsidP="008E21F6">
            <w:pPr>
              <w:pStyle w:val="Tables"/>
              <w:spacing w:after="0"/>
              <w:rPr>
                <w:b w:val="0"/>
                <w:sz w:val="18"/>
              </w:rPr>
            </w:pPr>
            <w:r w:rsidRPr="006A6180">
              <w:rPr>
                <w:b w:val="0"/>
                <w:sz w:val="18"/>
              </w:rPr>
              <w:t>Projected ultimate plan budgets ($m)</w:t>
            </w:r>
          </w:p>
        </w:tc>
        <w:tc>
          <w:tcPr>
            <w:tcW w:w="602" w:type="pct"/>
          </w:tcPr>
          <w:p w14:paraId="07BFA5F4" w14:textId="77777777" w:rsidR="0093332E" w:rsidRPr="006A6180" w:rsidRDefault="0093332E">
            <w:pPr>
              <w:pStyle w:val="Tables"/>
              <w:spacing w:after="0"/>
              <w:cnfStyle w:val="000000000000" w:firstRow="0" w:lastRow="0" w:firstColumn="0" w:lastColumn="0" w:oddVBand="0" w:evenVBand="0" w:oddHBand="0" w:evenHBand="0" w:firstRowFirstColumn="0" w:firstRowLastColumn="0" w:lastRowFirstColumn="0" w:lastRowLastColumn="0"/>
              <w:rPr>
                <w:rFonts w:cs="Arial"/>
                <w:b w:val="0"/>
                <w:sz w:val="18"/>
              </w:rPr>
            </w:pPr>
            <w:r w:rsidRPr="006A6180">
              <w:rPr>
                <w:rFonts w:cs="Arial"/>
                <w:b w:val="0"/>
                <w:sz w:val="18"/>
              </w:rPr>
              <w:t>12,591</w:t>
            </w:r>
          </w:p>
        </w:tc>
        <w:tc>
          <w:tcPr>
            <w:tcW w:w="527" w:type="pct"/>
          </w:tcPr>
          <w:p w14:paraId="5E4E266E" w14:textId="77777777" w:rsidR="0093332E" w:rsidRPr="006A6180" w:rsidRDefault="0093332E">
            <w:pPr>
              <w:pStyle w:val="Tables"/>
              <w:spacing w:after="0"/>
              <w:cnfStyle w:val="000000000000" w:firstRow="0" w:lastRow="0" w:firstColumn="0" w:lastColumn="0" w:oddVBand="0" w:evenVBand="0" w:oddHBand="0" w:evenHBand="0" w:firstRowFirstColumn="0" w:firstRowLastColumn="0" w:lastRowFirstColumn="0" w:lastRowLastColumn="0"/>
              <w:rPr>
                <w:rFonts w:cs="Arial"/>
                <w:b w:val="0"/>
                <w:sz w:val="18"/>
              </w:rPr>
            </w:pPr>
            <w:r w:rsidRPr="006A6180">
              <w:rPr>
                <w:rFonts w:cs="Arial"/>
                <w:b w:val="0"/>
                <w:sz w:val="18"/>
              </w:rPr>
              <w:t>14,577</w:t>
            </w:r>
          </w:p>
        </w:tc>
        <w:tc>
          <w:tcPr>
            <w:tcW w:w="526" w:type="pct"/>
          </w:tcPr>
          <w:p w14:paraId="77252AEA" w14:textId="77777777" w:rsidR="0093332E" w:rsidRPr="006A6180" w:rsidRDefault="0093332E">
            <w:pPr>
              <w:pStyle w:val="Tables"/>
              <w:spacing w:after="0"/>
              <w:cnfStyle w:val="000000000000" w:firstRow="0" w:lastRow="0" w:firstColumn="0" w:lastColumn="0" w:oddVBand="0" w:evenVBand="0" w:oddHBand="0" w:evenHBand="0" w:firstRowFirstColumn="0" w:firstRowLastColumn="0" w:lastRowFirstColumn="0" w:lastRowLastColumn="0"/>
              <w:rPr>
                <w:rFonts w:cs="Arial"/>
                <w:b w:val="0"/>
                <w:sz w:val="18"/>
              </w:rPr>
            </w:pPr>
            <w:r w:rsidRPr="006A6180">
              <w:rPr>
                <w:rFonts w:cs="Arial"/>
                <w:b w:val="0"/>
                <w:sz w:val="18"/>
              </w:rPr>
              <w:t>24,433</w:t>
            </w:r>
          </w:p>
        </w:tc>
        <w:tc>
          <w:tcPr>
            <w:tcW w:w="528" w:type="pct"/>
          </w:tcPr>
          <w:p w14:paraId="67EC54DB" w14:textId="77777777" w:rsidR="0093332E" w:rsidRPr="006A6180" w:rsidRDefault="0093332E">
            <w:pPr>
              <w:pStyle w:val="Tables"/>
              <w:spacing w:after="0"/>
              <w:cnfStyle w:val="000000000000" w:firstRow="0" w:lastRow="0" w:firstColumn="0" w:lastColumn="0" w:oddVBand="0" w:evenVBand="0" w:oddHBand="0" w:evenHBand="0" w:firstRowFirstColumn="0" w:firstRowLastColumn="0" w:lastRowFirstColumn="0" w:lastRowLastColumn="0"/>
              <w:rPr>
                <w:rFonts w:cs="Arial"/>
                <w:b w:val="0"/>
                <w:sz w:val="18"/>
              </w:rPr>
            </w:pPr>
            <w:r w:rsidRPr="006A6180">
              <w:rPr>
                <w:rFonts w:cs="Arial"/>
                <w:b w:val="0"/>
                <w:sz w:val="18"/>
              </w:rPr>
              <w:t>32,390</w:t>
            </w:r>
          </w:p>
        </w:tc>
        <w:tc>
          <w:tcPr>
            <w:tcW w:w="550" w:type="pct"/>
          </w:tcPr>
          <w:p w14:paraId="70804D84" w14:textId="77777777" w:rsidR="0093332E" w:rsidRPr="006A6180" w:rsidRDefault="0093332E">
            <w:pPr>
              <w:pStyle w:val="Tables"/>
              <w:spacing w:after="0"/>
              <w:cnfStyle w:val="000000000000" w:firstRow="0" w:lastRow="0" w:firstColumn="0" w:lastColumn="0" w:oddVBand="0" w:evenVBand="0" w:oddHBand="0" w:evenHBand="0" w:firstRowFirstColumn="0" w:firstRowLastColumn="0" w:lastRowFirstColumn="0" w:lastRowLastColumn="0"/>
              <w:rPr>
                <w:rFonts w:cs="Arial"/>
                <w:b w:val="0"/>
                <w:sz w:val="18"/>
              </w:rPr>
            </w:pPr>
            <w:r w:rsidRPr="006A6180">
              <w:rPr>
                <w:rFonts w:cs="Arial"/>
                <w:b w:val="0"/>
                <w:sz w:val="18"/>
              </w:rPr>
              <w:t>36,710</w:t>
            </w:r>
          </w:p>
        </w:tc>
        <w:tc>
          <w:tcPr>
            <w:tcW w:w="495" w:type="pct"/>
          </w:tcPr>
          <w:p w14:paraId="052AB9BE" w14:textId="77777777" w:rsidR="0093332E" w:rsidRPr="006A6180" w:rsidRDefault="0093332E">
            <w:pPr>
              <w:pStyle w:val="Tables"/>
              <w:spacing w:after="0"/>
              <w:cnfStyle w:val="000000000000" w:firstRow="0" w:lastRow="0" w:firstColumn="0" w:lastColumn="0" w:oddVBand="0" w:evenVBand="0" w:oddHBand="0" w:evenHBand="0" w:firstRowFirstColumn="0" w:firstRowLastColumn="0" w:lastRowFirstColumn="0" w:lastRowLastColumn="0"/>
              <w:rPr>
                <w:rFonts w:cs="Arial"/>
                <w:b w:val="0"/>
                <w:sz w:val="18"/>
              </w:rPr>
            </w:pPr>
            <w:r w:rsidRPr="006A6180">
              <w:rPr>
                <w:rFonts w:cs="Arial"/>
                <w:b w:val="0"/>
                <w:sz w:val="18"/>
              </w:rPr>
              <w:t>120,702</w:t>
            </w:r>
          </w:p>
        </w:tc>
      </w:tr>
      <w:tr w:rsidR="0093332E" w:rsidRPr="006A6180" w14:paraId="3CF90C63" w14:textId="77777777" w:rsidTr="00DA3F73">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772" w:type="pct"/>
          </w:tcPr>
          <w:p w14:paraId="349DCA1B" w14:textId="77777777" w:rsidR="0093332E" w:rsidRPr="006A6180" w:rsidRDefault="0093332E" w:rsidP="008E21F6">
            <w:pPr>
              <w:pStyle w:val="Tables"/>
              <w:spacing w:after="0"/>
              <w:rPr>
                <w:b w:val="0"/>
                <w:bCs w:val="0"/>
                <w:sz w:val="18"/>
              </w:rPr>
            </w:pPr>
            <w:r w:rsidRPr="006A6180">
              <w:rPr>
                <w:b w:val="0"/>
                <w:sz w:val="18"/>
              </w:rPr>
              <w:t>Payments to date ($m)</w:t>
            </w:r>
          </w:p>
        </w:tc>
        <w:tc>
          <w:tcPr>
            <w:tcW w:w="602" w:type="pct"/>
          </w:tcPr>
          <w:p w14:paraId="245F3D4F"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bCs w:val="0"/>
                <w:sz w:val="18"/>
              </w:rPr>
            </w:pPr>
            <w:r w:rsidRPr="006A6180">
              <w:rPr>
                <w:rFonts w:cs="Arial"/>
                <w:b w:val="0"/>
                <w:sz w:val="18"/>
              </w:rPr>
              <w:t>8,790</w:t>
            </w:r>
          </w:p>
        </w:tc>
        <w:tc>
          <w:tcPr>
            <w:tcW w:w="527" w:type="pct"/>
          </w:tcPr>
          <w:p w14:paraId="74BFCED2"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bCs w:val="0"/>
                <w:sz w:val="18"/>
              </w:rPr>
            </w:pPr>
            <w:r w:rsidRPr="006A6180">
              <w:rPr>
                <w:rFonts w:cs="Arial"/>
                <w:b w:val="0"/>
                <w:sz w:val="18"/>
              </w:rPr>
              <w:t>10,376</w:t>
            </w:r>
          </w:p>
        </w:tc>
        <w:tc>
          <w:tcPr>
            <w:tcW w:w="526" w:type="pct"/>
          </w:tcPr>
          <w:p w14:paraId="7D6E474B"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bCs w:val="0"/>
                <w:sz w:val="18"/>
              </w:rPr>
            </w:pPr>
            <w:r w:rsidRPr="006A6180">
              <w:rPr>
                <w:rFonts w:cs="Arial"/>
                <w:b w:val="0"/>
                <w:sz w:val="18"/>
              </w:rPr>
              <w:t>17,313</w:t>
            </w:r>
          </w:p>
        </w:tc>
        <w:tc>
          <w:tcPr>
            <w:tcW w:w="528" w:type="pct"/>
          </w:tcPr>
          <w:p w14:paraId="0AB215F0"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bCs w:val="0"/>
                <w:sz w:val="18"/>
              </w:rPr>
            </w:pPr>
            <w:r w:rsidRPr="006A6180">
              <w:rPr>
                <w:rFonts w:cs="Arial"/>
                <w:b w:val="0"/>
                <w:sz w:val="18"/>
              </w:rPr>
              <w:t>23,471</w:t>
            </w:r>
          </w:p>
        </w:tc>
        <w:tc>
          <w:tcPr>
            <w:tcW w:w="550" w:type="pct"/>
          </w:tcPr>
          <w:p w14:paraId="6D005E3E"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bCs w:val="0"/>
                <w:sz w:val="18"/>
              </w:rPr>
            </w:pPr>
            <w:r w:rsidRPr="006A6180">
              <w:rPr>
                <w:rFonts w:cs="Arial"/>
                <w:b w:val="0"/>
                <w:sz w:val="18"/>
              </w:rPr>
              <w:t>26,322</w:t>
            </w:r>
          </w:p>
        </w:tc>
        <w:tc>
          <w:tcPr>
            <w:tcW w:w="495" w:type="pct"/>
          </w:tcPr>
          <w:p w14:paraId="422C6A5B"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bCs w:val="0"/>
                <w:sz w:val="18"/>
              </w:rPr>
            </w:pPr>
            <w:r w:rsidRPr="006A6180">
              <w:rPr>
                <w:rFonts w:cs="Arial"/>
                <w:b w:val="0"/>
                <w:sz w:val="18"/>
              </w:rPr>
              <w:t>86,273</w:t>
            </w:r>
          </w:p>
        </w:tc>
      </w:tr>
      <w:tr w:rsidR="0093332E" w:rsidRPr="006A6180" w14:paraId="76FCB6AE" w14:textId="77777777" w:rsidTr="00DA3F73">
        <w:trPr>
          <w:trHeight w:val="284"/>
        </w:trPr>
        <w:tc>
          <w:tcPr>
            <w:cnfStyle w:val="001000000000" w:firstRow="0" w:lastRow="0" w:firstColumn="1" w:lastColumn="0" w:oddVBand="0" w:evenVBand="0" w:oddHBand="0" w:evenHBand="0" w:firstRowFirstColumn="0" w:firstRowLastColumn="0" w:lastRowFirstColumn="0" w:lastRowLastColumn="0"/>
            <w:tcW w:w="1772" w:type="pct"/>
          </w:tcPr>
          <w:p w14:paraId="395CF7F3" w14:textId="77777777" w:rsidR="0093332E" w:rsidRPr="006A6180" w:rsidRDefault="0093332E" w:rsidP="008E21F6">
            <w:pPr>
              <w:pStyle w:val="Tables"/>
              <w:spacing w:after="0"/>
              <w:rPr>
                <w:b w:val="0"/>
                <w:bCs w:val="0"/>
                <w:sz w:val="18"/>
              </w:rPr>
            </w:pPr>
            <w:r w:rsidRPr="006A6180">
              <w:rPr>
                <w:b w:val="0"/>
                <w:sz w:val="18"/>
              </w:rPr>
              <w:t>Estimated future payments ($m)</w:t>
            </w:r>
          </w:p>
        </w:tc>
        <w:tc>
          <w:tcPr>
            <w:tcW w:w="602" w:type="pct"/>
          </w:tcPr>
          <w:p w14:paraId="3EA0F1C8" w14:textId="77777777" w:rsidR="0093332E" w:rsidRPr="006A6180" w:rsidRDefault="0093332E">
            <w:pPr>
              <w:pStyle w:val="Tables"/>
              <w:spacing w:after="0"/>
              <w:cnfStyle w:val="000000000000" w:firstRow="0" w:lastRow="0" w:firstColumn="0" w:lastColumn="0" w:oddVBand="0" w:evenVBand="0" w:oddHBand="0" w:evenHBand="0" w:firstRowFirstColumn="0" w:firstRowLastColumn="0" w:lastRowFirstColumn="0" w:lastRowLastColumn="0"/>
              <w:rPr>
                <w:rFonts w:cs="Arial"/>
                <w:b w:val="0"/>
                <w:sz w:val="18"/>
              </w:rPr>
            </w:pPr>
            <w:r w:rsidRPr="006A6180">
              <w:rPr>
                <w:rFonts w:cs="Arial"/>
                <w:b w:val="0"/>
                <w:sz w:val="18"/>
              </w:rPr>
              <w:t>0</w:t>
            </w:r>
          </w:p>
        </w:tc>
        <w:tc>
          <w:tcPr>
            <w:tcW w:w="527" w:type="pct"/>
          </w:tcPr>
          <w:p w14:paraId="3F684A97" w14:textId="77777777" w:rsidR="0093332E" w:rsidRPr="006A6180" w:rsidRDefault="0093332E">
            <w:pPr>
              <w:pStyle w:val="Tables"/>
              <w:spacing w:after="0"/>
              <w:cnfStyle w:val="000000000000" w:firstRow="0" w:lastRow="0" w:firstColumn="0" w:lastColumn="0" w:oddVBand="0" w:evenVBand="0" w:oddHBand="0" w:evenHBand="0" w:firstRowFirstColumn="0" w:firstRowLastColumn="0" w:lastRowFirstColumn="0" w:lastRowLastColumn="0"/>
              <w:rPr>
                <w:rFonts w:cs="Arial"/>
                <w:b w:val="0"/>
                <w:sz w:val="18"/>
              </w:rPr>
            </w:pPr>
            <w:r w:rsidRPr="006A6180">
              <w:rPr>
                <w:rFonts w:cs="Arial"/>
                <w:b w:val="0"/>
                <w:sz w:val="18"/>
              </w:rPr>
              <w:t>3</w:t>
            </w:r>
          </w:p>
        </w:tc>
        <w:tc>
          <w:tcPr>
            <w:tcW w:w="526" w:type="pct"/>
          </w:tcPr>
          <w:p w14:paraId="1F0260E5" w14:textId="77777777" w:rsidR="0093332E" w:rsidRPr="006A6180" w:rsidRDefault="0093332E">
            <w:pPr>
              <w:pStyle w:val="Tables"/>
              <w:spacing w:after="0"/>
              <w:cnfStyle w:val="000000000000" w:firstRow="0" w:lastRow="0" w:firstColumn="0" w:lastColumn="0" w:oddVBand="0" w:evenVBand="0" w:oddHBand="0" w:evenHBand="0" w:firstRowFirstColumn="0" w:firstRowLastColumn="0" w:lastRowFirstColumn="0" w:lastRowLastColumn="0"/>
              <w:rPr>
                <w:rFonts w:cs="Arial"/>
                <w:b w:val="0"/>
                <w:bCs w:val="0"/>
                <w:sz w:val="18"/>
              </w:rPr>
            </w:pPr>
            <w:r w:rsidRPr="006A6180">
              <w:rPr>
                <w:rFonts w:cs="Arial"/>
                <w:b w:val="0"/>
                <w:sz w:val="18"/>
              </w:rPr>
              <w:t>12</w:t>
            </w:r>
          </w:p>
        </w:tc>
        <w:tc>
          <w:tcPr>
            <w:tcW w:w="528" w:type="pct"/>
          </w:tcPr>
          <w:p w14:paraId="394BE318" w14:textId="77777777" w:rsidR="0093332E" w:rsidRPr="006A6180" w:rsidRDefault="0093332E">
            <w:pPr>
              <w:pStyle w:val="Tables"/>
              <w:spacing w:after="0"/>
              <w:cnfStyle w:val="000000000000" w:firstRow="0" w:lastRow="0" w:firstColumn="0" w:lastColumn="0" w:oddVBand="0" w:evenVBand="0" w:oddHBand="0" w:evenHBand="0" w:firstRowFirstColumn="0" w:firstRowLastColumn="0" w:lastRowFirstColumn="0" w:lastRowLastColumn="0"/>
              <w:rPr>
                <w:rFonts w:cs="Arial"/>
                <w:b w:val="0"/>
                <w:bCs w:val="0"/>
                <w:sz w:val="18"/>
              </w:rPr>
            </w:pPr>
            <w:r w:rsidRPr="006A6180">
              <w:rPr>
                <w:rFonts w:cs="Arial"/>
                <w:b w:val="0"/>
                <w:sz w:val="18"/>
              </w:rPr>
              <w:t>52</w:t>
            </w:r>
          </w:p>
        </w:tc>
        <w:tc>
          <w:tcPr>
            <w:tcW w:w="550" w:type="pct"/>
          </w:tcPr>
          <w:p w14:paraId="2F53E883" w14:textId="77777777" w:rsidR="0093332E" w:rsidRPr="006A6180" w:rsidRDefault="0093332E">
            <w:pPr>
              <w:pStyle w:val="Tables"/>
              <w:spacing w:after="0"/>
              <w:cnfStyle w:val="000000000000" w:firstRow="0" w:lastRow="0" w:firstColumn="0" w:lastColumn="0" w:oddVBand="0" w:evenVBand="0" w:oddHBand="0" w:evenHBand="0" w:firstRowFirstColumn="0" w:firstRowLastColumn="0" w:lastRowFirstColumn="0" w:lastRowLastColumn="0"/>
              <w:rPr>
                <w:rFonts w:cs="Arial"/>
                <w:b w:val="0"/>
                <w:bCs w:val="0"/>
                <w:sz w:val="18"/>
              </w:rPr>
            </w:pPr>
            <w:r w:rsidRPr="006A6180">
              <w:rPr>
                <w:rFonts w:cs="Arial"/>
                <w:b w:val="0"/>
                <w:sz w:val="18"/>
              </w:rPr>
              <w:t>1,884</w:t>
            </w:r>
          </w:p>
        </w:tc>
        <w:tc>
          <w:tcPr>
            <w:tcW w:w="495" w:type="pct"/>
          </w:tcPr>
          <w:p w14:paraId="410BA66F" w14:textId="77777777" w:rsidR="0093332E" w:rsidRPr="006A6180" w:rsidRDefault="0093332E">
            <w:pPr>
              <w:pStyle w:val="Tables"/>
              <w:spacing w:after="0"/>
              <w:cnfStyle w:val="000000000000" w:firstRow="0" w:lastRow="0" w:firstColumn="0" w:lastColumn="0" w:oddVBand="0" w:evenVBand="0" w:oddHBand="0" w:evenHBand="0" w:firstRowFirstColumn="0" w:firstRowLastColumn="0" w:lastRowFirstColumn="0" w:lastRowLastColumn="0"/>
              <w:rPr>
                <w:rFonts w:cs="Arial"/>
                <w:b w:val="0"/>
                <w:bCs w:val="0"/>
                <w:sz w:val="18"/>
              </w:rPr>
            </w:pPr>
            <w:r w:rsidRPr="006A6180">
              <w:rPr>
                <w:rFonts w:cs="Arial"/>
                <w:b w:val="0"/>
                <w:sz w:val="18"/>
              </w:rPr>
              <w:t>1,951</w:t>
            </w:r>
          </w:p>
        </w:tc>
      </w:tr>
      <w:tr w:rsidR="0093332E" w:rsidRPr="006A6180" w14:paraId="240375B7" w14:textId="77777777" w:rsidTr="00DA3F73">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772" w:type="pct"/>
          </w:tcPr>
          <w:p w14:paraId="57F9208E" w14:textId="77777777" w:rsidR="0093332E" w:rsidRPr="006A6180" w:rsidRDefault="0093332E" w:rsidP="008E21F6">
            <w:pPr>
              <w:spacing w:after="0"/>
              <w:rPr>
                <w:rFonts w:cs="Arial"/>
                <w:bCs/>
                <w:sz w:val="18"/>
                <w:szCs w:val="18"/>
              </w:rPr>
            </w:pPr>
            <w:r w:rsidRPr="006A6180">
              <w:rPr>
                <w:rFonts w:cs="Arial"/>
                <w:bCs/>
                <w:sz w:val="18"/>
                <w:szCs w:val="18"/>
              </w:rPr>
              <w:t>Projected ultimate payments ($m)</w:t>
            </w:r>
          </w:p>
        </w:tc>
        <w:tc>
          <w:tcPr>
            <w:tcW w:w="602" w:type="pct"/>
          </w:tcPr>
          <w:p w14:paraId="0B62BE6E"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8,791</w:t>
            </w:r>
          </w:p>
        </w:tc>
        <w:tc>
          <w:tcPr>
            <w:tcW w:w="527" w:type="pct"/>
          </w:tcPr>
          <w:p w14:paraId="66304971"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10,378</w:t>
            </w:r>
          </w:p>
        </w:tc>
        <w:tc>
          <w:tcPr>
            <w:tcW w:w="526" w:type="pct"/>
          </w:tcPr>
          <w:p w14:paraId="657E58D4"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17,325</w:t>
            </w:r>
          </w:p>
        </w:tc>
        <w:tc>
          <w:tcPr>
            <w:tcW w:w="528" w:type="pct"/>
          </w:tcPr>
          <w:p w14:paraId="3B22A29E"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23,523</w:t>
            </w:r>
          </w:p>
        </w:tc>
        <w:tc>
          <w:tcPr>
            <w:tcW w:w="550" w:type="pct"/>
          </w:tcPr>
          <w:p w14:paraId="3AC56CED"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28,206</w:t>
            </w:r>
          </w:p>
        </w:tc>
        <w:tc>
          <w:tcPr>
            <w:tcW w:w="495" w:type="pct"/>
          </w:tcPr>
          <w:p w14:paraId="42F09EA8"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88,224</w:t>
            </w:r>
          </w:p>
        </w:tc>
      </w:tr>
      <w:tr w:rsidR="0093332E" w:rsidRPr="006A6180" w14:paraId="10B3A118" w14:textId="77777777" w:rsidTr="00DA3F73">
        <w:trPr>
          <w:trHeight w:val="284"/>
        </w:trPr>
        <w:tc>
          <w:tcPr>
            <w:cnfStyle w:val="001000000000" w:firstRow="0" w:lastRow="0" w:firstColumn="1" w:lastColumn="0" w:oddVBand="0" w:evenVBand="0" w:oddHBand="0" w:evenHBand="0" w:firstRowFirstColumn="0" w:firstRowLastColumn="0" w:lastRowFirstColumn="0" w:lastRowLastColumn="0"/>
            <w:tcW w:w="1772" w:type="pct"/>
          </w:tcPr>
          <w:p w14:paraId="33C7A96D" w14:textId="77777777" w:rsidR="0093332E" w:rsidRPr="006A6180" w:rsidRDefault="0093332E" w:rsidP="008E21F6">
            <w:pPr>
              <w:pStyle w:val="Tables"/>
              <w:spacing w:after="0"/>
              <w:rPr>
                <w:b w:val="0"/>
                <w:sz w:val="18"/>
              </w:rPr>
            </w:pPr>
            <w:r w:rsidRPr="006A6180">
              <w:rPr>
                <w:b w:val="0"/>
                <w:sz w:val="18"/>
              </w:rPr>
              <w:t>Utilisation to date (%)</w:t>
            </w:r>
          </w:p>
        </w:tc>
        <w:tc>
          <w:tcPr>
            <w:tcW w:w="602" w:type="pct"/>
          </w:tcPr>
          <w:p w14:paraId="0DBB7A11" w14:textId="77777777" w:rsidR="0093332E" w:rsidRPr="006A6180" w:rsidRDefault="0093332E">
            <w:pPr>
              <w:pStyle w:val="Tables"/>
              <w:spacing w:after="0"/>
              <w:cnfStyle w:val="000000000000" w:firstRow="0" w:lastRow="0" w:firstColumn="0" w:lastColumn="0" w:oddVBand="0" w:evenVBand="0" w:oddHBand="0" w:evenHBand="0" w:firstRowFirstColumn="0" w:firstRowLastColumn="0" w:lastRowFirstColumn="0" w:lastRowLastColumn="0"/>
              <w:rPr>
                <w:rFonts w:cs="Arial"/>
                <w:b w:val="0"/>
                <w:sz w:val="18"/>
              </w:rPr>
            </w:pPr>
            <w:r w:rsidRPr="006A6180">
              <w:rPr>
                <w:rFonts w:cs="Arial"/>
                <w:b w:val="0"/>
                <w:sz w:val="18"/>
              </w:rPr>
              <w:t>69.8%</w:t>
            </w:r>
          </w:p>
        </w:tc>
        <w:tc>
          <w:tcPr>
            <w:tcW w:w="527" w:type="pct"/>
          </w:tcPr>
          <w:p w14:paraId="6C468BE1" w14:textId="77777777" w:rsidR="0093332E" w:rsidRPr="006A6180" w:rsidRDefault="0093332E">
            <w:pPr>
              <w:pStyle w:val="Tables"/>
              <w:spacing w:after="0"/>
              <w:cnfStyle w:val="000000000000" w:firstRow="0" w:lastRow="0" w:firstColumn="0" w:lastColumn="0" w:oddVBand="0" w:evenVBand="0" w:oddHBand="0" w:evenHBand="0" w:firstRowFirstColumn="0" w:firstRowLastColumn="0" w:lastRowFirstColumn="0" w:lastRowLastColumn="0"/>
              <w:rPr>
                <w:rFonts w:cs="Arial"/>
                <w:b w:val="0"/>
                <w:sz w:val="18"/>
              </w:rPr>
            </w:pPr>
            <w:r w:rsidRPr="006A6180">
              <w:rPr>
                <w:rFonts w:cs="Arial"/>
                <w:b w:val="0"/>
                <w:sz w:val="18"/>
              </w:rPr>
              <w:t>71.2%</w:t>
            </w:r>
          </w:p>
        </w:tc>
        <w:tc>
          <w:tcPr>
            <w:tcW w:w="526" w:type="pct"/>
          </w:tcPr>
          <w:p w14:paraId="69712F4C" w14:textId="77777777" w:rsidR="0093332E" w:rsidRPr="006A6180" w:rsidRDefault="0093332E">
            <w:pPr>
              <w:pStyle w:val="Tables"/>
              <w:spacing w:after="0"/>
              <w:cnfStyle w:val="000000000000" w:firstRow="0" w:lastRow="0" w:firstColumn="0" w:lastColumn="0" w:oddVBand="0" w:evenVBand="0" w:oddHBand="0" w:evenHBand="0" w:firstRowFirstColumn="0" w:firstRowLastColumn="0" w:lastRowFirstColumn="0" w:lastRowLastColumn="0"/>
              <w:rPr>
                <w:rFonts w:cs="Arial"/>
                <w:b w:val="0"/>
                <w:sz w:val="18"/>
              </w:rPr>
            </w:pPr>
            <w:r w:rsidRPr="006A6180">
              <w:rPr>
                <w:rFonts w:cs="Arial"/>
                <w:b w:val="0"/>
                <w:sz w:val="18"/>
              </w:rPr>
              <w:t>70.9%</w:t>
            </w:r>
          </w:p>
        </w:tc>
        <w:tc>
          <w:tcPr>
            <w:tcW w:w="528" w:type="pct"/>
          </w:tcPr>
          <w:p w14:paraId="36305A7D" w14:textId="77777777" w:rsidR="0093332E" w:rsidRPr="006A6180" w:rsidRDefault="0093332E">
            <w:pPr>
              <w:pStyle w:val="Tables"/>
              <w:spacing w:after="0"/>
              <w:cnfStyle w:val="000000000000" w:firstRow="0" w:lastRow="0" w:firstColumn="0" w:lastColumn="0" w:oddVBand="0" w:evenVBand="0" w:oddHBand="0" w:evenHBand="0" w:firstRowFirstColumn="0" w:firstRowLastColumn="0" w:lastRowFirstColumn="0" w:lastRowLastColumn="0"/>
              <w:rPr>
                <w:rFonts w:cs="Arial"/>
                <w:b w:val="0"/>
                <w:sz w:val="18"/>
              </w:rPr>
            </w:pPr>
            <w:r w:rsidRPr="006A6180">
              <w:rPr>
                <w:rFonts w:cs="Arial"/>
                <w:b w:val="0"/>
                <w:sz w:val="18"/>
              </w:rPr>
              <w:t>72.6%</w:t>
            </w:r>
          </w:p>
        </w:tc>
        <w:tc>
          <w:tcPr>
            <w:tcW w:w="550" w:type="pct"/>
          </w:tcPr>
          <w:p w14:paraId="780C4C1E" w14:textId="77777777" w:rsidR="0093332E" w:rsidRPr="006A6180" w:rsidRDefault="0093332E">
            <w:pPr>
              <w:pStyle w:val="Tables"/>
              <w:spacing w:after="0"/>
              <w:cnfStyle w:val="000000000000" w:firstRow="0" w:lastRow="0" w:firstColumn="0" w:lastColumn="0" w:oddVBand="0" w:evenVBand="0" w:oddHBand="0" w:evenHBand="0" w:firstRowFirstColumn="0" w:firstRowLastColumn="0" w:lastRowFirstColumn="0" w:lastRowLastColumn="0"/>
              <w:rPr>
                <w:rFonts w:cs="Arial"/>
                <w:b w:val="0"/>
                <w:sz w:val="18"/>
              </w:rPr>
            </w:pPr>
            <w:r w:rsidRPr="006A6180">
              <w:rPr>
                <w:rFonts w:cs="Arial"/>
                <w:b w:val="0"/>
                <w:sz w:val="18"/>
              </w:rPr>
              <w:t>73.1%</w:t>
            </w:r>
          </w:p>
        </w:tc>
        <w:tc>
          <w:tcPr>
            <w:tcW w:w="495" w:type="pct"/>
          </w:tcPr>
          <w:p w14:paraId="0AD10B85" w14:textId="77777777" w:rsidR="0093332E" w:rsidRPr="006A6180" w:rsidRDefault="0093332E">
            <w:pPr>
              <w:pStyle w:val="Tables"/>
              <w:spacing w:after="0"/>
              <w:cnfStyle w:val="000000000000" w:firstRow="0" w:lastRow="0" w:firstColumn="0" w:lastColumn="0" w:oddVBand="0" w:evenVBand="0" w:oddHBand="0" w:evenHBand="0" w:firstRowFirstColumn="0" w:firstRowLastColumn="0" w:lastRowFirstColumn="0" w:lastRowLastColumn="0"/>
              <w:rPr>
                <w:rFonts w:cs="Arial"/>
                <w:b w:val="0"/>
                <w:sz w:val="18"/>
              </w:rPr>
            </w:pPr>
            <w:r w:rsidRPr="006A6180">
              <w:rPr>
                <w:rFonts w:cs="Arial"/>
                <w:b w:val="0"/>
                <w:sz w:val="18"/>
              </w:rPr>
              <w:t>71.9%</w:t>
            </w:r>
          </w:p>
        </w:tc>
      </w:tr>
      <w:tr w:rsidR="0093332E" w:rsidRPr="006A6180" w14:paraId="5BB4C348" w14:textId="77777777" w:rsidTr="00DA3F73">
        <w:trPr>
          <w:cnfStyle w:val="000000010000" w:firstRow="0" w:lastRow="0" w:firstColumn="0" w:lastColumn="0" w:oddVBand="0" w:evenVBand="0" w:oddHBand="0" w:evenHBand="1"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772" w:type="pct"/>
          </w:tcPr>
          <w:p w14:paraId="5637DCE6" w14:textId="77777777" w:rsidR="0093332E" w:rsidRPr="006A6180" w:rsidRDefault="0093332E" w:rsidP="008E21F6">
            <w:pPr>
              <w:pStyle w:val="Tables"/>
              <w:spacing w:after="0"/>
              <w:rPr>
                <w:b w:val="0"/>
                <w:sz w:val="18"/>
              </w:rPr>
            </w:pPr>
            <w:r w:rsidRPr="006A6180">
              <w:rPr>
                <w:b w:val="0"/>
                <w:sz w:val="18"/>
              </w:rPr>
              <w:t>Projected ultimate utilisation (%)</w:t>
            </w:r>
          </w:p>
        </w:tc>
        <w:tc>
          <w:tcPr>
            <w:tcW w:w="602" w:type="pct"/>
          </w:tcPr>
          <w:p w14:paraId="382252D3"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69.8%</w:t>
            </w:r>
          </w:p>
        </w:tc>
        <w:tc>
          <w:tcPr>
            <w:tcW w:w="527" w:type="pct"/>
          </w:tcPr>
          <w:p w14:paraId="17D03861"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71.2%</w:t>
            </w:r>
          </w:p>
        </w:tc>
        <w:tc>
          <w:tcPr>
            <w:tcW w:w="526" w:type="pct"/>
          </w:tcPr>
          <w:p w14:paraId="2A0F9EE8"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70.9%</w:t>
            </w:r>
          </w:p>
        </w:tc>
        <w:tc>
          <w:tcPr>
            <w:tcW w:w="528" w:type="pct"/>
          </w:tcPr>
          <w:p w14:paraId="344FF091"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72.6%</w:t>
            </w:r>
          </w:p>
        </w:tc>
        <w:tc>
          <w:tcPr>
            <w:tcW w:w="550" w:type="pct"/>
          </w:tcPr>
          <w:p w14:paraId="79CCACAF"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76.8%</w:t>
            </w:r>
          </w:p>
        </w:tc>
        <w:tc>
          <w:tcPr>
            <w:tcW w:w="495" w:type="pct"/>
          </w:tcPr>
          <w:p w14:paraId="3C09B6C0" w14:textId="77777777" w:rsidR="0093332E" w:rsidRPr="006A6180" w:rsidRDefault="0093332E">
            <w:pPr>
              <w:pStyle w:val="Tables"/>
              <w:spacing w:after="0"/>
              <w:cnfStyle w:val="000000010000" w:firstRow="0" w:lastRow="0" w:firstColumn="0" w:lastColumn="0" w:oddVBand="0" w:evenVBand="0" w:oddHBand="0" w:evenHBand="1" w:firstRowFirstColumn="0" w:firstRowLastColumn="0" w:lastRowFirstColumn="0" w:lastRowLastColumn="0"/>
              <w:rPr>
                <w:rFonts w:cs="Arial"/>
                <w:b w:val="0"/>
                <w:sz w:val="18"/>
              </w:rPr>
            </w:pPr>
            <w:r w:rsidRPr="006A6180">
              <w:rPr>
                <w:rFonts w:cs="Arial"/>
                <w:b w:val="0"/>
                <w:sz w:val="18"/>
              </w:rPr>
              <w:t>73.1%</w:t>
            </w:r>
          </w:p>
        </w:tc>
      </w:tr>
    </w:tbl>
    <w:p w14:paraId="40B491B3" w14:textId="77777777" w:rsidR="0093332E" w:rsidRPr="00A10D58" w:rsidRDefault="0093332E" w:rsidP="0093332E">
      <w:pPr>
        <w:pStyle w:val="FSRnormal"/>
      </w:pPr>
      <w:r w:rsidRPr="00C23419">
        <w:t xml:space="preserve">The utilisation rates shown in the </w:t>
      </w:r>
      <w:r w:rsidRPr="00A10D58">
        <w:t xml:space="preserve">last row of </w:t>
      </w:r>
      <w:r w:rsidR="005B376B" w:rsidRPr="00D77788">
        <w:t xml:space="preserve">Table </w:t>
      </w:r>
      <w:r w:rsidR="005B376B">
        <w:rPr>
          <w:noProof/>
        </w:rPr>
        <w:t>4</w:t>
      </w:r>
      <w:r w:rsidR="005B376B">
        <w:t>.</w:t>
      </w:r>
      <w:r w:rsidR="005B376B">
        <w:rPr>
          <w:noProof/>
        </w:rPr>
        <w:t>16</w:t>
      </w:r>
      <w:r w:rsidRPr="00A10D58">
        <w:t xml:space="preserve"> are </w:t>
      </w:r>
      <w:r>
        <w:t xml:space="preserve">projected </w:t>
      </w:r>
      <w:r w:rsidRPr="00A10D58">
        <w:t>“ultimate” rates, considering both payments already made and payments for supports already provided but not yet paid. This is to allow for the impact of payment delays when calculating ultimate utilisation for a given support year. In addition, the “ultimate” utilisation rates are calculated relative to “ultimate” plan budget figures which include an estimate of future changes to plan budgets</w:t>
      </w:r>
      <w:r w:rsidR="00EF0091">
        <w:t xml:space="preserve"> for past support periods.</w:t>
      </w:r>
    </w:p>
    <w:p w14:paraId="6A46531F" w14:textId="77777777" w:rsidR="0093332E" w:rsidRPr="00D77788" w:rsidRDefault="00DA34D6" w:rsidP="0093332E">
      <w:pPr>
        <w:pStyle w:val="FSRnormal"/>
      </w:pPr>
      <w:r w:rsidRPr="00D77788">
        <w:t xml:space="preserve">Figure </w:t>
      </w:r>
      <w:r>
        <w:rPr>
          <w:noProof/>
        </w:rPr>
        <w:t>4</w:t>
      </w:r>
      <w:r>
        <w:t>.</w:t>
      </w:r>
      <w:r>
        <w:rPr>
          <w:noProof/>
        </w:rPr>
        <w:t>22</w:t>
      </w:r>
      <w:r w:rsidR="0093332E" w:rsidRPr="00A10D58">
        <w:t xml:space="preserve"> illustrates that utilisation rates are consistently higher for participants with SIL compared </w:t>
      </w:r>
      <w:r w:rsidR="0093332E">
        <w:t>to those without</w:t>
      </w:r>
      <w:r w:rsidR="0093332E" w:rsidRPr="00D77788">
        <w:t xml:space="preserve"> SIL</w:t>
      </w:r>
      <w:r w:rsidR="0093332E">
        <w:t>.</w:t>
      </w:r>
    </w:p>
    <w:p w14:paraId="26EFB6F6" w14:textId="77777777" w:rsidR="0093332E" w:rsidRDefault="0093332E" w:rsidP="0093332E">
      <w:pPr>
        <w:pStyle w:val="FSRnormal"/>
      </w:pPr>
      <w:r>
        <w:t xml:space="preserve">For non-SIL participants, there has been a notable increase in the three-month rolling utilisation rate since February 2022. </w:t>
      </w:r>
      <w:r w:rsidRPr="00D77788">
        <w:t>Th</w:t>
      </w:r>
      <w:r>
        <w:t>is</w:t>
      </w:r>
      <w:r w:rsidRPr="00D77788">
        <w:t xml:space="preserve"> increase </w:t>
      </w:r>
      <w:r>
        <w:t>has been</w:t>
      </w:r>
      <w:r w:rsidRPr="00D77788">
        <w:t xml:space="preserve"> observed across almost all support categories, </w:t>
      </w:r>
      <w:r>
        <w:t>with</w:t>
      </w:r>
      <w:r w:rsidRPr="00D77788">
        <w:t xml:space="preserve"> </w:t>
      </w:r>
      <w:r>
        <w:t>Capacity Building</w:t>
      </w:r>
      <w:r w:rsidRPr="00D77788">
        <w:t xml:space="preserve"> </w:t>
      </w:r>
      <w:r>
        <w:t>Daily Activities</w:t>
      </w:r>
      <w:r w:rsidRPr="00D77788">
        <w:t xml:space="preserve"> </w:t>
      </w:r>
      <w:r>
        <w:t>and Social &amp; Community</w:t>
      </w:r>
      <w:r w:rsidR="000735AD">
        <w:t xml:space="preserve"> Participation</w:t>
      </w:r>
      <w:r w:rsidRPr="00D77788">
        <w:t xml:space="preserve">, </w:t>
      </w:r>
      <w:r>
        <w:t>driving the increase in utilisation rates</w:t>
      </w:r>
      <w:r w:rsidRPr="00D77788">
        <w:t xml:space="preserve"> since </w:t>
      </w:r>
      <w:r>
        <w:t>February 2022</w:t>
      </w:r>
      <w:r w:rsidRPr="00D77788">
        <w:t>.</w:t>
      </w:r>
    </w:p>
    <w:p w14:paraId="554AC805" w14:textId="77777777" w:rsidR="0093332E" w:rsidRPr="00D77788" w:rsidRDefault="0093332E" w:rsidP="0093332E">
      <w:pPr>
        <w:pStyle w:val="FSRnormal"/>
      </w:pPr>
      <w:r>
        <w:t>There has also been an increase observed over this period, for participants with SIL, albeit to a lesser extent, driven by Core Daily Activities.</w:t>
      </w:r>
    </w:p>
    <w:p w14:paraId="30E83AB0" w14:textId="77777777" w:rsidR="0093332E" w:rsidRPr="00D77788" w:rsidRDefault="0093332E" w:rsidP="0093332E">
      <w:pPr>
        <w:pStyle w:val="Figures"/>
      </w:pPr>
      <w:bookmarkStart w:id="89" w:name="_Ref113276240"/>
      <w:r w:rsidRPr="00D77788">
        <w:lastRenderedPageBreak/>
        <w:t xml:space="preserve">Figure </w:t>
      </w:r>
      <w:fldSimple w:instr=" STYLEREF 2 \s ">
        <w:r w:rsidR="00447AA1">
          <w:rPr>
            <w:noProof/>
          </w:rPr>
          <w:t>4</w:t>
        </w:r>
      </w:fldSimple>
      <w:r w:rsidR="00447AA1">
        <w:t>.</w:t>
      </w:r>
      <w:fldSimple w:instr=" SEQ Figure \* ARABIC \s 2 ">
        <w:r w:rsidR="00447AA1">
          <w:rPr>
            <w:noProof/>
          </w:rPr>
          <w:t>22</w:t>
        </w:r>
      </w:fldSimple>
      <w:bookmarkEnd w:id="89"/>
      <w:r>
        <w:t>:</w:t>
      </w:r>
      <w:r w:rsidRPr="00D77788">
        <w:t xml:space="preserve"> Three month rolling utilisation rates by SIL </w:t>
      </w:r>
      <w:r>
        <w:t xml:space="preserve">status </w:t>
      </w:r>
      <w:r w:rsidRPr="00D77788">
        <w:t>from July 20</w:t>
      </w:r>
      <w:r>
        <w:t>20</w:t>
      </w:r>
      <w:r w:rsidRPr="00D77788">
        <w:t xml:space="preserve"> to June 202</w:t>
      </w:r>
      <w:r>
        <w:t>2</w:t>
      </w:r>
    </w:p>
    <w:p w14:paraId="582047BB" w14:textId="77777777" w:rsidR="0093332E" w:rsidRPr="00D77788" w:rsidRDefault="0093332E" w:rsidP="0093332E">
      <w:pPr>
        <w:pStyle w:val="FSRnormal"/>
        <w:rPr>
          <w:noProof/>
          <w:lang w:eastAsia="en-AU"/>
        </w:rPr>
      </w:pPr>
      <w:r>
        <w:rPr>
          <w:noProof/>
          <w:color w:val="2B579A"/>
          <w:shd w:val="clear" w:color="auto" w:fill="E6E6E6"/>
          <w:lang w:eastAsia="en-AU"/>
        </w:rPr>
        <w:drawing>
          <wp:inline distT="0" distB="0" distL="0" distR="0" wp14:anchorId="4327D5ED" wp14:editId="6A46C7DA">
            <wp:extent cx="5760000" cy="2294135"/>
            <wp:effectExtent l="0" t="0" r="0" b="0"/>
            <wp:docPr id="473" name="Picture 58" descr="Line chart shows three month rolling utilisation rates by SIL group from July 2020 to June 2022. The line for participants with SIL is consistently higher than that for participants without SIL. The utilisation for participants without SIL has noticably increased since February 2022. There is also a total line for overall Scheme-wide utilisation experience. This line lies between the line for participants without SIL and the line for participants with SIL." title="Figure 4.22: Three month rolling utilisation rates by SIL type from July 2020 to June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60000" cy="2294135"/>
                    </a:xfrm>
                    <a:prstGeom prst="rect">
                      <a:avLst/>
                    </a:prstGeom>
                    <a:noFill/>
                  </pic:spPr>
                </pic:pic>
              </a:graphicData>
            </a:graphic>
          </wp:inline>
        </w:drawing>
      </w:r>
    </w:p>
    <w:p w14:paraId="696CA9F2" w14:textId="77777777" w:rsidR="0093332E" w:rsidRPr="00D77788" w:rsidRDefault="0093332E" w:rsidP="0093332E">
      <w:pPr>
        <w:pStyle w:val="FSRnormal"/>
      </w:pPr>
      <w:r w:rsidRPr="00D77788">
        <w:t xml:space="preserve">Also noteworthy is that utilisation has consistently been observed to increase, the longer participants have been in the Scheme. This is shown in </w:t>
      </w:r>
      <w:r w:rsidR="00DA34D6" w:rsidRPr="00D77788">
        <w:t xml:space="preserve">Figure </w:t>
      </w:r>
      <w:r w:rsidR="00DA34D6">
        <w:rPr>
          <w:noProof/>
        </w:rPr>
        <w:t>4</w:t>
      </w:r>
      <w:r w:rsidR="00DA34D6">
        <w:t>.</w:t>
      </w:r>
      <w:r w:rsidR="00DA34D6">
        <w:rPr>
          <w:noProof/>
        </w:rPr>
        <w:t>23</w:t>
      </w:r>
      <w:r w:rsidRPr="00D77788">
        <w:t xml:space="preserve"> which shows the breakdown of utilisation rates</w:t>
      </w:r>
      <w:r>
        <w:rPr>
          <w:rStyle w:val="FootnoteReference"/>
        </w:rPr>
        <w:footnoteReference w:id="78"/>
      </w:r>
      <w:r w:rsidRPr="00D77788">
        <w:t xml:space="preserve"> by plan number. Utilisation of plan budgets for participants on their first plan is 5</w:t>
      </w:r>
      <w:r>
        <w:t>5</w:t>
      </w:r>
      <w:r w:rsidRPr="00D77788">
        <w:t xml:space="preserve">%, compared to </w:t>
      </w:r>
      <w:r>
        <w:t>80</w:t>
      </w:r>
      <w:r w:rsidRPr="00D77788">
        <w:t xml:space="preserve">% for participants on their fifth </w:t>
      </w:r>
      <w:r>
        <w:t xml:space="preserve">(or greater) </w:t>
      </w:r>
      <w:r w:rsidRPr="00D77788">
        <w:t xml:space="preserve">plan. </w:t>
      </w:r>
      <w:r w:rsidRPr="004E667E">
        <w:t xml:space="preserve">This increase in plan utilisation, with increased duration in the Scheme, is implicitly reflected in the allowance for </w:t>
      </w:r>
      <w:r w:rsidR="007C3EDE">
        <w:t>additional</w:t>
      </w:r>
      <w:r w:rsidRPr="004E667E">
        <w:t xml:space="preserve"> inflation</w:t>
      </w:r>
      <w:r>
        <w:t xml:space="preserve"> when projecting future payments directly</w:t>
      </w:r>
      <w:r w:rsidRPr="004E667E">
        <w:t>.</w:t>
      </w:r>
      <w:r w:rsidRPr="00D77788">
        <w:t xml:space="preserve"> </w:t>
      </w:r>
    </w:p>
    <w:p w14:paraId="08C0A107" w14:textId="77777777" w:rsidR="0093332E" w:rsidRPr="00B4620E" w:rsidRDefault="0093332E" w:rsidP="0093332E">
      <w:pPr>
        <w:pStyle w:val="FSRnormal"/>
        <w:rPr>
          <w:highlight w:val="yellow"/>
        </w:rPr>
      </w:pPr>
      <w:r>
        <w:t xml:space="preserve">The utilisation rate of 75% across all plans shown </w:t>
      </w:r>
      <w:r w:rsidRPr="00433FDB">
        <w:t xml:space="preserve">in </w:t>
      </w:r>
      <w:r w:rsidR="00DA34D6" w:rsidRPr="00D77788">
        <w:t xml:space="preserve">Figure </w:t>
      </w:r>
      <w:r w:rsidR="00DA34D6">
        <w:rPr>
          <w:noProof/>
        </w:rPr>
        <w:t>4</w:t>
      </w:r>
      <w:r w:rsidR="00DA34D6">
        <w:t>.</w:t>
      </w:r>
      <w:r w:rsidR="00DA34D6">
        <w:rPr>
          <w:noProof/>
        </w:rPr>
        <w:t>23</w:t>
      </w:r>
      <w:r w:rsidRPr="00433FDB">
        <w:t xml:space="preserve"> </w:t>
      </w:r>
      <w:r>
        <w:t>relates to Scheme experience between 1 October 2021 and 31 March 2022 (based on data to 30 June 2022). This is an increase from the equivalent figure a year prior</w:t>
      </w:r>
      <w:r>
        <w:rPr>
          <w:rStyle w:val="FootnoteReference"/>
        </w:rPr>
        <w:footnoteReference w:id="79"/>
      </w:r>
      <w:r>
        <w:t xml:space="preserve"> of 71%. Roughly half of this increase can be attributed to </w:t>
      </w:r>
      <w:r w:rsidRPr="00D77788">
        <w:t xml:space="preserve">changes in the participant mix, with the remainder of the increase coming from an overall increase in utilisation within each cohort. </w:t>
      </w:r>
      <w:r w:rsidRPr="00B4620E">
        <w:rPr>
          <w:highlight w:val="yellow"/>
        </w:rPr>
        <w:t xml:space="preserve"> </w:t>
      </w:r>
    </w:p>
    <w:p w14:paraId="60EE4389" w14:textId="77777777" w:rsidR="0093332E" w:rsidRDefault="0093332E" w:rsidP="0093332E">
      <w:pPr>
        <w:pStyle w:val="Figures"/>
      </w:pPr>
      <w:bookmarkStart w:id="90" w:name="_Ref113276281"/>
      <w:r w:rsidRPr="00D77788">
        <w:lastRenderedPageBreak/>
        <w:t xml:space="preserve">Figure </w:t>
      </w:r>
      <w:fldSimple w:instr=" STYLEREF 2 \s ">
        <w:r w:rsidR="00447AA1">
          <w:rPr>
            <w:noProof/>
          </w:rPr>
          <w:t>4</w:t>
        </w:r>
      </w:fldSimple>
      <w:r w:rsidR="00447AA1">
        <w:t>.</w:t>
      </w:r>
      <w:fldSimple w:instr=" SEQ Figure \* ARABIC \s 2 ">
        <w:r w:rsidR="00447AA1">
          <w:rPr>
            <w:noProof/>
          </w:rPr>
          <w:t>23</w:t>
        </w:r>
      </w:fldSimple>
      <w:bookmarkEnd w:id="90"/>
      <w:r>
        <w:t>:</w:t>
      </w:r>
      <w:r w:rsidRPr="00D77788">
        <w:t xml:space="preserve"> Utilisation of plan budgets by plan number from 1 October 2021 to 31 March 2022 based on data to 30 June 2022</w:t>
      </w:r>
      <w:r w:rsidRPr="00D77788">
        <w:rPr>
          <w:rStyle w:val="FootnoteReference"/>
        </w:rPr>
        <w:footnoteReference w:id="80"/>
      </w:r>
    </w:p>
    <w:p w14:paraId="2FA1CF3D" w14:textId="77777777" w:rsidR="0093332E" w:rsidRDefault="0093332E" w:rsidP="0093332E">
      <w:r w:rsidRPr="00D2246C">
        <w:rPr>
          <w:noProof/>
          <w:lang w:eastAsia="en-AU"/>
        </w:rPr>
        <w:drawing>
          <wp:inline distT="0" distB="0" distL="0" distR="0" wp14:anchorId="386DDF78" wp14:editId="6A22E04C">
            <wp:extent cx="5731510" cy="3898943"/>
            <wp:effectExtent l="0" t="0" r="2540" b="0"/>
            <wp:docPr id="474" name="Picture 474" descr="Bar chart shows utilisation of plan budgets by plan number from 1 October 2021 to 31 March 2022 based on data to 30 June 2022. The calculation of utilisation by plan number excludes participants with in-kind supports as it is not possible to accurate separate in-kind payments and plan budgets between plans. Only utilisation of plan budgets between 1 October 2021 and 31 March 2022 is shown. For all plans, this stands at 75% and gradually works its way from 1 at 55% to 5+ at 80%." title="Figure 4.23: Utilisation of plan budgets by plan number from 1 October 2021 to 31 March 2022 based on data to 30 June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1510" cy="3898943"/>
                    </a:xfrm>
                    <a:prstGeom prst="rect">
                      <a:avLst/>
                    </a:prstGeom>
                    <a:noFill/>
                    <a:ln>
                      <a:noFill/>
                    </a:ln>
                  </pic:spPr>
                </pic:pic>
              </a:graphicData>
            </a:graphic>
          </wp:inline>
        </w:drawing>
      </w:r>
    </w:p>
    <w:p w14:paraId="6D982349" w14:textId="77777777" w:rsidR="0093332E" w:rsidRDefault="0093332E" w:rsidP="0093332E"/>
    <w:p w14:paraId="008E9658" w14:textId="77777777" w:rsidR="004E667E" w:rsidRDefault="004E667E" w:rsidP="004E667E">
      <w:bookmarkStart w:id="91" w:name="_Toc111904356"/>
      <w:bookmarkStart w:id="92" w:name="_Toc111904406"/>
      <w:bookmarkStart w:id="93" w:name="_Toc111904357"/>
      <w:bookmarkStart w:id="94" w:name="_Toc111904407"/>
      <w:bookmarkStart w:id="95" w:name="_Toc111904360"/>
      <w:bookmarkStart w:id="96" w:name="_Toc111904410"/>
      <w:bookmarkStart w:id="97" w:name="_Toc111904361"/>
      <w:bookmarkStart w:id="98" w:name="_Toc111904411"/>
      <w:bookmarkStart w:id="99" w:name="_Toc111904362"/>
      <w:bookmarkStart w:id="100" w:name="_Toc111904412"/>
      <w:bookmarkStart w:id="101" w:name="_Toc111904366"/>
      <w:bookmarkStart w:id="102" w:name="_Toc111904416"/>
      <w:bookmarkEnd w:id="91"/>
      <w:bookmarkEnd w:id="92"/>
      <w:bookmarkEnd w:id="93"/>
      <w:bookmarkEnd w:id="94"/>
      <w:bookmarkEnd w:id="95"/>
      <w:bookmarkEnd w:id="96"/>
      <w:bookmarkEnd w:id="97"/>
      <w:bookmarkEnd w:id="98"/>
      <w:bookmarkEnd w:id="99"/>
      <w:bookmarkEnd w:id="100"/>
      <w:bookmarkEnd w:id="101"/>
      <w:bookmarkEnd w:id="102"/>
    </w:p>
    <w:p w14:paraId="792A53F4" w14:textId="77777777" w:rsidR="00BF7697" w:rsidRPr="00F8647A" w:rsidRDefault="00BF7697" w:rsidP="00D72D94">
      <w:pPr>
        <w:pStyle w:val="Heading2"/>
      </w:pPr>
      <w:bookmarkStart w:id="103" w:name="_Toc74845954"/>
      <w:bookmarkStart w:id="104" w:name="_Toc74849898"/>
      <w:bookmarkStart w:id="105" w:name="_Toc74852199"/>
      <w:bookmarkStart w:id="106" w:name="_Toc74853352"/>
      <w:bookmarkStart w:id="107" w:name="_Toc74924950"/>
      <w:bookmarkStart w:id="108" w:name="_Toc74932411"/>
      <w:bookmarkStart w:id="109" w:name="_Toc75034637"/>
      <w:bookmarkStart w:id="110" w:name="_Toc75035694"/>
      <w:bookmarkStart w:id="111" w:name="_Toc75036683"/>
      <w:bookmarkStart w:id="112" w:name="_Toc74845955"/>
      <w:bookmarkStart w:id="113" w:name="_Toc74849899"/>
      <w:bookmarkStart w:id="114" w:name="_Toc74852200"/>
      <w:bookmarkStart w:id="115" w:name="_Toc74853353"/>
      <w:bookmarkStart w:id="116" w:name="_Toc74924951"/>
      <w:bookmarkStart w:id="117" w:name="_Toc74932412"/>
      <w:bookmarkStart w:id="118" w:name="_Toc75034638"/>
      <w:bookmarkStart w:id="119" w:name="_Toc75035695"/>
      <w:bookmarkStart w:id="120" w:name="_Toc75036684"/>
      <w:bookmarkStart w:id="121" w:name="_Toc74845956"/>
      <w:bookmarkStart w:id="122" w:name="_Toc74849900"/>
      <w:bookmarkStart w:id="123" w:name="_Toc74852201"/>
      <w:bookmarkStart w:id="124" w:name="_Toc74853354"/>
      <w:bookmarkStart w:id="125" w:name="_Toc74924952"/>
      <w:bookmarkStart w:id="126" w:name="_Toc74932413"/>
      <w:bookmarkStart w:id="127" w:name="_Toc75034639"/>
      <w:bookmarkStart w:id="128" w:name="_Toc75035696"/>
      <w:bookmarkStart w:id="129" w:name="_Toc75036685"/>
      <w:bookmarkStart w:id="130" w:name="_Toc74845957"/>
      <w:bookmarkStart w:id="131" w:name="_Toc74849901"/>
      <w:bookmarkStart w:id="132" w:name="_Toc74852202"/>
      <w:bookmarkStart w:id="133" w:name="_Toc74853355"/>
      <w:bookmarkStart w:id="134" w:name="_Toc74924953"/>
      <w:bookmarkStart w:id="135" w:name="_Toc74932414"/>
      <w:bookmarkStart w:id="136" w:name="_Toc75034640"/>
      <w:bookmarkStart w:id="137" w:name="_Toc75035697"/>
      <w:bookmarkStart w:id="138" w:name="_Toc75036686"/>
      <w:bookmarkStart w:id="139" w:name="_Toc83220846"/>
      <w:bookmarkStart w:id="140" w:name="_Toc118460199"/>
      <w:bookmarkStart w:id="141" w:name="_Toc83220854"/>
      <w:bookmarkEnd w:id="43"/>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F8647A">
        <w:lastRenderedPageBreak/>
        <w:t>Projections</w:t>
      </w:r>
      <w:bookmarkEnd w:id="139"/>
      <w:bookmarkEnd w:id="140"/>
    </w:p>
    <w:p w14:paraId="67E3BB5D" w14:textId="77777777" w:rsidR="00BF7697" w:rsidRPr="00D7195B" w:rsidRDefault="00BF7697" w:rsidP="00BF7697">
      <w:pPr>
        <w:pStyle w:val="FSRnormal"/>
      </w:pPr>
      <w:r w:rsidRPr="00F958F2">
        <w:t>This section includes the projection of Scheme</w:t>
      </w:r>
      <w:r w:rsidR="009A6E6B">
        <w:t xml:space="preserve"> expense</w:t>
      </w:r>
      <w:r w:rsidRPr="00F958F2">
        <w:t xml:space="preserve"> from 2022-23 to 2031-32, using data </w:t>
      </w:r>
      <w:r w:rsidR="007F2B28">
        <w:t>at</w:t>
      </w:r>
      <w:r w:rsidRPr="00F958F2">
        <w:t xml:space="preserve"> 30 June 2022. The methodology for the projection is included in section 3. As outlined in section 4 of this report, actual </w:t>
      </w:r>
      <w:r w:rsidR="00967CAD">
        <w:t xml:space="preserve">participant </w:t>
      </w:r>
      <w:r w:rsidR="009A6E6B">
        <w:t xml:space="preserve">expense </w:t>
      </w:r>
      <w:r w:rsidRPr="00F958F2">
        <w:t xml:space="preserve">experience in 2021-22 was lower than the projections undertaken at the previous review. This was driven by lower average payments per participant. The projections </w:t>
      </w:r>
      <w:r w:rsidR="00C711E1" w:rsidRPr="00F958F2">
        <w:t>consider</w:t>
      </w:r>
      <w:r w:rsidRPr="00F958F2">
        <w:t xml:space="preserve"> this </w:t>
      </w:r>
      <w:r w:rsidR="006669B6" w:rsidRPr="00F958F2">
        <w:t>experience and</w:t>
      </w:r>
      <w:r w:rsidRPr="00F958F2">
        <w:t xml:space="preserve"> adopt a forward-looking view regarding future Scheme inflation.</w:t>
      </w:r>
    </w:p>
    <w:p w14:paraId="2697D09A" w14:textId="77777777" w:rsidR="00BF7697" w:rsidRPr="00BF7697" w:rsidRDefault="00BF7697" w:rsidP="00BF7697">
      <w:pPr>
        <w:pStyle w:val="Heading3"/>
        <w:ind w:left="792" w:hanging="792"/>
      </w:pPr>
      <w:bookmarkStart w:id="142" w:name="_Toc83220847"/>
      <w:bookmarkStart w:id="143" w:name="_Toc118460200"/>
      <w:r w:rsidRPr="00BF7697">
        <w:t xml:space="preserve">Total </w:t>
      </w:r>
      <w:r w:rsidR="0061416E">
        <w:t>Scheme expense</w:t>
      </w:r>
      <w:r w:rsidRPr="00BF7697">
        <w:t xml:space="preserve"> projections</w:t>
      </w:r>
      <w:bookmarkEnd w:id="142"/>
      <w:bookmarkEnd w:id="143"/>
    </w:p>
    <w:p w14:paraId="292A7A6A" w14:textId="77777777" w:rsidR="00BF7697" w:rsidRPr="00953DC2" w:rsidRDefault="00BF7697" w:rsidP="00BF7697">
      <w:pPr>
        <w:pStyle w:val="FSRnormal"/>
      </w:pPr>
      <w:r w:rsidRPr="00D7195B">
        <w:t>Combining participant number projections with average payment assumptions</w:t>
      </w:r>
      <w:r w:rsidRPr="00953DC2">
        <w:t xml:space="preserve"> result in total</w:t>
      </w:r>
      <w:r w:rsidR="009A6E6B">
        <w:t xml:space="preserve"> Scheme experience</w:t>
      </w:r>
      <w:r w:rsidRPr="00953DC2">
        <w:t xml:space="preserve"> projections for each financial year on a cash basis. An allowance for support provided </w:t>
      </w:r>
      <w:r w:rsidR="00490922">
        <w:t xml:space="preserve">prior to </w:t>
      </w:r>
      <w:r w:rsidRPr="00953DC2">
        <w:t>30 June 202</w:t>
      </w:r>
      <w:r>
        <w:t>2</w:t>
      </w:r>
      <w:r w:rsidRPr="00953DC2">
        <w:t xml:space="preserve"> but not yet paid takes the projected </w:t>
      </w:r>
      <w:r w:rsidR="00EF0091">
        <w:t xml:space="preserve">expenses </w:t>
      </w:r>
      <w:r w:rsidRPr="00953DC2">
        <w:t>from a cash basis to an accrual basis.</w:t>
      </w:r>
    </w:p>
    <w:p w14:paraId="5DA6FF82" w14:textId="77777777" w:rsidR="00BF7697" w:rsidRPr="00B12FF6" w:rsidRDefault="00BF7697" w:rsidP="00BF7697">
      <w:pPr>
        <w:pStyle w:val="FSRHeading4"/>
        <w:tabs>
          <w:tab w:val="center" w:pos="4513"/>
        </w:tabs>
      </w:pPr>
      <w:r w:rsidRPr="00B12FF6">
        <w:t>Participant number projections</w:t>
      </w:r>
      <w:r>
        <w:tab/>
      </w:r>
    </w:p>
    <w:p w14:paraId="6AA5179C" w14:textId="77777777" w:rsidR="00BF7697" w:rsidRPr="00B12FF6" w:rsidRDefault="00DA34D6" w:rsidP="00BF7697">
      <w:pPr>
        <w:pStyle w:val="FSRnormal"/>
      </w:pPr>
      <w:r w:rsidRPr="00E1285E">
        <w:t xml:space="preserve">Table </w:t>
      </w:r>
      <w:r>
        <w:rPr>
          <w:noProof/>
        </w:rPr>
        <w:t>5</w:t>
      </w:r>
      <w:r>
        <w:t>.</w:t>
      </w:r>
      <w:r>
        <w:rPr>
          <w:noProof/>
        </w:rPr>
        <w:t>1</w:t>
      </w:r>
      <w:r w:rsidR="00490922">
        <w:t xml:space="preserve"> </w:t>
      </w:r>
      <w:r w:rsidR="00BF7697" w:rsidRPr="00B12FF6">
        <w:t>shows that the Scheme is projected to have a Steady Intake Date</w:t>
      </w:r>
      <w:r w:rsidR="00BF7697" w:rsidRPr="00B12FF6">
        <w:rPr>
          <w:rStyle w:val="FootnoteReference"/>
        </w:rPr>
        <w:footnoteReference w:id="81"/>
      </w:r>
      <w:r w:rsidR="00BF7697" w:rsidRPr="00B12FF6">
        <w:t xml:space="preserve"> population at 30 June 2024 of over 646,000 participants, of whom 613,000 are expected to be aged 0 to 64. This is equivalent to a </w:t>
      </w:r>
      <w:r w:rsidR="00310B12">
        <w:t>participation</w:t>
      </w:r>
      <w:r w:rsidR="00310B12" w:rsidRPr="00B12FF6">
        <w:t xml:space="preserve"> </w:t>
      </w:r>
      <w:r w:rsidR="00BF7697" w:rsidRPr="00B12FF6">
        <w:t xml:space="preserve">rate of 2.81% of the Australian general population aged 0 to 64. </w:t>
      </w:r>
    </w:p>
    <w:p w14:paraId="5A879F66" w14:textId="77777777" w:rsidR="00BF7697" w:rsidRPr="00E1285E" w:rsidRDefault="00BF7697" w:rsidP="00BF7697">
      <w:pPr>
        <w:pStyle w:val="Tables"/>
      </w:pPr>
      <w:bookmarkStart w:id="144" w:name="_Ref80274006"/>
      <w:bookmarkStart w:id="145" w:name="_Ref111896499"/>
      <w:bookmarkStart w:id="146" w:name="_Ref80337890"/>
      <w:r w:rsidRPr="00E1285E">
        <w:t xml:space="preserve">Table </w:t>
      </w:r>
      <w:bookmarkEnd w:id="144"/>
      <w:r w:rsidR="00A87896">
        <w:fldChar w:fldCharType="begin"/>
      </w:r>
      <w:r w:rsidR="00A87896">
        <w:instrText xml:space="preserve"> STYLEREF 2 \s </w:instrText>
      </w:r>
      <w:r w:rsidR="00A87896">
        <w:fldChar w:fldCharType="separate"/>
      </w:r>
      <w:r w:rsidR="00A87896">
        <w:rPr>
          <w:noProof/>
        </w:rPr>
        <w:t>5</w:t>
      </w:r>
      <w:r w:rsidR="00A87896">
        <w:fldChar w:fldCharType="end"/>
      </w:r>
      <w:r w:rsidR="00A87896">
        <w:t>.</w:t>
      </w:r>
      <w:fldSimple w:instr=" SEQ Table \* ARABIC \s 2 ">
        <w:r w:rsidR="00A87896">
          <w:rPr>
            <w:noProof/>
          </w:rPr>
          <w:t>1</w:t>
        </w:r>
      </w:fldSimple>
      <w:bookmarkEnd w:id="145"/>
      <w:r>
        <w:t>:</w:t>
      </w:r>
      <w:r w:rsidRPr="00E1285E">
        <w:t xml:space="preserve"> Baseline projection of participant numbers</w:t>
      </w:r>
      <w:bookmarkEnd w:id="146"/>
    </w:p>
    <w:tbl>
      <w:tblPr>
        <w:tblStyle w:val="FSRtable"/>
        <w:tblW w:w="9493" w:type="dxa"/>
        <w:tblInd w:w="5" w:type="dxa"/>
        <w:tblLayout w:type="fixed"/>
        <w:tblLook w:val="04A0" w:firstRow="1" w:lastRow="0" w:firstColumn="1" w:lastColumn="0" w:noHBand="0" w:noVBand="1"/>
      </w:tblPr>
      <w:tblGrid>
        <w:gridCol w:w="3397"/>
        <w:gridCol w:w="993"/>
        <w:gridCol w:w="992"/>
        <w:gridCol w:w="992"/>
        <w:gridCol w:w="992"/>
        <w:gridCol w:w="993"/>
        <w:gridCol w:w="1134"/>
      </w:tblGrid>
      <w:tr w:rsidR="00BF7697" w:rsidRPr="00CC0F59" w14:paraId="2AEAB0FF" w14:textId="77777777" w:rsidTr="001257D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397" w:type="dxa"/>
            <w:noWrap/>
            <w:hideMark/>
          </w:tcPr>
          <w:p w14:paraId="1FFB0331" w14:textId="77777777" w:rsidR="00BF7697" w:rsidRPr="00D72D94" w:rsidRDefault="00BF7697" w:rsidP="00B17C79">
            <w:pPr>
              <w:spacing w:after="0" w:line="240" w:lineRule="auto"/>
              <w:rPr>
                <w:rFonts w:eastAsia="Times New Roman"/>
                <w:b w:val="0"/>
                <w:bCs/>
                <w:color w:val="FFFFFF"/>
                <w:sz w:val="18"/>
                <w:szCs w:val="18"/>
                <w:lang w:eastAsia="en-AU"/>
              </w:rPr>
            </w:pPr>
            <w:r w:rsidRPr="00D72D94">
              <w:rPr>
                <w:rFonts w:eastAsia="Times New Roman"/>
                <w:bCs/>
                <w:color w:val="FFFFFF"/>
                <w:sz w:val="18"/>
                <w:szCs w:val="18"/>
                <w:lang w:eastAsia="en-AU"/>
              </w:rPr>
              <w:t>Number of participants as at June 30</w:t>
            </w:r>
          </w:p>
        </w:tc>
        <w:tc>
          <w:tcPr>
            <w:tcW w:w="993" w:type="dxa"/>
            <w:noWrap/>
            <w:hideMark/>
          </w:tcPr>
          <w:p w14:paraId="7BB6414B"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2022</w:t>
            </w:r>
          </w:p>
        </w:tc>
        <w:tc>
          <w:tcPr>
            <w:tcW w:w="992" w:type="dxa"/>
            <w:noWrap/>
            <w:hideMark/>
          </w:tcPr>
          <w:p w14:paraId="19F3D9ED"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2023</w:t>
            </w:r>
          </w:p>
        </w:tc>
        <w:tc>
          <w:tcPr>
            <w:tcW w:w="992" w:type="dxa"/>
            <w:noWrap/>
            <w:hideMark/>
          </w:tcPr>
          <w:p w14:paraId="3AFC205B"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2024</w:t>
            </w:r>
          </w:p>
        </w:tc>
        <w:tc>
          <w:tcPr>
            <w:tcW w:w="992" w:type="dxa"/>
            <w:noWrap/>
            <w:hideMark/>
          </w:tcPr>
          <w:p w14:paraId="757212EE"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2025</w:t>
            </w:r>
          </w:p>
        </w:tc>
        <w:tc>
          <w:tcPr>
            <w:tcW w:w="993" w:type="dxa"/>
            <w:tcBorders>
              <w:right w:val="dotted" w:sz="4" w:space="0" w:color="auto"/>
            </w:tcBorders>
            <w:noWrap/>
            <w:hideMark/>
          </w:tcPr>
          <w:p w14:paraId="344D266E"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2026</w:t>
            </w:r>
          </w:p>
        </w:tc>
        <w:tc>
          <w:tcPr>
            <w:tcW w:w="1134" w:type="dxa"/>
            <w:tcBorders>
              <w:top w:val="single" w:sz="4" w:space="0" w:color="auto"/>
              <w:left w:val="dotted" w:sz="4" w:space="0" w:color="auto"/>
            </w:tcBorders>
            <w:noWrap/>
            <w:hideMark/>
          </w:tcPr>
          <w:p w14:paraId="0EC80814"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sz w:val="18"/>
                <w:szCs w:val="18"/>
                <w:lang w:eastAsia="en-AU"/>
              </w:rPr>
              <w:t>2032</w:t>
            </w:r>
          </w:p>
        </w:tc>
      </w:tr>
      <w:tr w:rsidR="00BF7697" w:rsidRPr="00CC0F59" w14:paraId="6FFAFFDE" w14:textId="77777777" w:rsidTr="00DA3F73">
        <w:trPr>
          <w:trHeight w:val="300"/>
        </w:trPr>
        <w:tc>
          <w:tcPr>
            <w:cnfStyle w:val="001000000000" w:firstRow="0" w:lastRow="0" w:firstColumn="1" w:lastColumn="0" w:oddVBand="0" w:evenVBand="0" w:oddHBand="0" w:evenHBand="0" w:firstRowFirstColumn="0" w:firstRowLastColumn="0" w:lastRowFirstColumn="0" w:lastRowLastColumn="0"/>
            <w:tcW w:w="3397" w:type="dxa"/>
            <w:shd w:val="clear" w:color="auto" w:fill="BFBFBF" w:themeFill="background1" w:themeFillShade="BF"/>
            <w:noWrap/>
            <w:hideMark/>
          </w:tcPr>
          <w:p w14:paraId="0894F64A" w14:textId="77777777" w:rsidR="00BF7697" w:rsidRPr="00D72D94" w:rsidRDefault="00BF7697" w:rsidP="00B17C79">
            <w:pPr>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0-64 years</w:t>
            </w:r>
          </w:p>
        </w:tc>
        <w:tc>
          <w:tcPr>
            <w:tcW w:w="993" w:type="dxa"/>
            <w:shd w:val="clear" w:color="auto" w:fill="BFBFBF" w:themeFill="background1" w:themeFillShade="BF"/>
            <w:noWrap/>
            <w:hideMark/>
          </w:tcPr>
          <w:p w14:paraId="55B92B94"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512,659</w:t>
            </w:r>
          </w:p>
        </w:tc>
        <w:tc>
          <w:tcPr>
            <w:tcW w:w="992" w:type="dxa"/>
            <w:shd w:val="clear" w:color="auto" w:fill="BFBFBF" w:themeFill="background1" w:themeFillShade="BF"/>
            <w:noWrap/>
            <w:hideMark/>
          </w:tcPr>
          <w:p w14:paraId="3BC9BD89"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565,204</w:t>
            </w:r>
          </w:p>
        </w:tc>
        <w:tc>
          <w:tcPr>
            <w:tcW w:w="992" w:type="dxa"/>
            <w:shd w:val="clear" w:color="auto" w:fill="BFBFBF" w:themeFill="background1" w:themeFillShade="BF"/>
            <w:noWrap/>
            <w:hideMark/>
          </w:tcPr>
          <w:p w14:paraId="4578F268"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613,461</w:t>
            </w:r>
          </w:p>
        </w:tc>
        <w:tc>
          <w:tcPr>
            <w:tcW w:w="992" w:type="dxa"/>
            <w:shd w:val="clear" w:color="auto" w:fill="BFBFBF" w:themeFill="background1" w:themeFillShade="BF"/>
            <w:noWrap/>
            <w:hideMark/>
          </w:tcPr>
          <w:p w14:paraId="4BF85E1E"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655,902</w:t>
            </w:r>
          </w:p>
        </w:tc>
        <w:tc>
          <w:tcPr>
            <w:tcW w:w="993" w:type="dxa"/>
            <w:tcBorders>
              <w:right w:val="dotted" w:sz="4" w:space="0" w:color="auto"/>
            </w:tcBorders>
            <w:shd w:val="clear" w:color="auto" w:fill="BFBFBF" w:themeFill="background1" w:themeFillShade="BF"/>
            <w:noWrap/>
            <w:hideMark/>
          </w:tcPr>
          <w:p w14:paraId="123F72AD"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697,469</w:t>
            </w:r>
          </w:p>
        </w:tc>
        <w:tc>
          <w:tcPr>
            <w:tcW w:w="1134" w:type="dxa"/>
            <w:tcBorders>
              <w:left w:val="dotted" w:sz="4" w:space="0" w:color="auto"/>
            </w:tcBorders>
            <w:shd w:val="clear" w:color="auto" w:fill="BFBFBF" w:themeFill="background1" w:themeFillShade="BF"/>
            <w:noWrap/>
            <w:hideMark/>
          </w:tcPr>
          <w:p w14:paraId="271F1F28"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themeColor="text1"/>
                <w:sz w:val="18"/>
                <w:szCs w:val="18"/>
                <w:lang w:eastAsia="en-AU"/>
              </w:rPr>
              <w:t>942,226</w:t>
            </w:r>
          </w:p>
        </w:tc>
      </w:tr>
      <w:tr w:rsidR="00BF7697" w:rsidRPr="00CC0F59" w14:paraId="5049C3B9" w14:textId="77777777" w:rsidTr="00DA3F7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97" w:type="dxa"/>
            <w:tcBorders>
              <w:bottom w:val="single" w:sz="4" w:space="0" w:color="auto"/>
            </w:tcBorders>
            <w:shd w:val="clear" w:color="auto" w:fill="auto"/>
            <w:noWrap/>
            <w:hideMark/>
          </w:tcPr>
          <w:p w14:paraId="0B36ECA6" w14:textId="77777777" w:rsidR="00BF7697" w:rsidRPr="00D72D94" w:rsidRDefault="00BF7697" w:rsidP="00B17C79">
            <w:pPr>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65+ years</w:t>
            </w:r>
          </w:p>
        </w:tc>
        <w:tc>
          <w:tcPr>
            <w:tcW w:w="993" w:type="dxa"/>
            <w:tcBorders>
              <w:bottom w:val="single" w:sz="4" w:space="0" w:color="auto"/>
            </w:tcBorders>
            <w:shd w:val="clear" w:color="auto" w:fill="auto"/>
            <w:noWrap/>
            <w:hideMark/>
          </w:tcPr>
          <w:p w14:paraId="55215FAA"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21,996</w:t>
            </w:r>
          </w:p>
        </w:tc>
        <w:tc>
          <w:tcPr>
            <w:tcW w:w="992" w:type="dxa"/>
            <w:tcBorders>
              <w:bottom w:val="single" w:sz="4" w:space="0" w:color="auto"/>
            </w:tcBorders>
            <w:shd w:val="clear" w:color="auto" w:fill="auto"/>
            <w:noWrap/>
            <w:hideMark/>
          </w:tcPr>
          <w:p w14:paraId="7C5FE1E8"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27,090</w:t>
            </w:r>
          </w:p>
        </w:tc>
        <w:tc>
          <w:tcPr>
            <w:tcW w:w="992" w:type="dxa"/>
            <w:tcBorders>
              <w:bottom w:val="single" w:sz="4" w:space="0" w:color="auto"/>
            </w:tcBorders>
            <w:shd w:val="clear" w:color="auto" w:fill="auto"/>
            <w:noWrap/>
            <w:hideMark/>
          </w:tcPr>
          <w:p w14:paraId="056A89BB"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32,551</w:t>
            </w:r>
          </w:p>
        </w:tc>
        <w:tc>
          <w:tcPr>
            <w:tcW w:w="992" w:type="dxa"/>
            <w:tcBorders>
              <w:bottom w:val="single" w:sz="4" w:space="0" w:color="auto"/>
            </w:tcBorders>
            <w:shd w:val="clear" w:color="auto" w:fill="auto"/>
            <w:noWrap/>
            <w:hideMark/>
          </w:tcPr>
          <w:p w14:paraId="63327591"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37,987</w:t>
            </w:r>
          </w:p>
        </w:tc>
        <w:tc>
          <w:tcPr>
            <w:tcW w:w="993" w:type="dxa"/>
            <w:tcBorders>
              <w:bottom w:val="single" w:sz="4" w:space="0" w:color="auto"/>
              <w:right w:val="dotted" w:sz="4" w:space="0" w:color="auto"/>
            </w:tcBorders>
            <w:shd w:val="clear" w:color="auto" w:fill="auto"/>
            <w:noWrap/>
            <w:hideMark/>
          </w:tcPr>
          <w:p w14:paraId="21D52314"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43,607</w:t>
            </w:r>
          </w:p>
        </w:tc>
        <w:tc>
          <w:tcPr>
            <w:tcW w:w="1134" w:type="dxa"/>
            <w:tcBorders>
              <w:left w:val="dotted" w:sz="4" w:space="0" w:color="auto"/>
              <w:bottom w:val="single" w:sz="4" w:space="0" w:color="auto"/>
            </w:tcBorders>
            <w:shd w:val="clear" w:color="auto" w:fill="auto"/>
            <w:noWrap/>
            <w:hideMark/>
          </w:tcPr>
          <w:p w14:paraId="08AF8338"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themeColor="text1"/>
                <w:sz w:val="18"/>
                <w:szCs w:val="18"/>
                <w:lang w:eastAsia="en-AU"/>
              </w:rPr>
              <w:t>75,296</w:t>
            </w:r>
          </w:p>
        </w:tc>
      </w:tr>
      <w:tr w:rsidR="00BF7697" w:rsidRPr="00CC0F59" w14:paraId="5256E98D" w14:textId="77777777" w:rsidTr="00DA3F73">
        <w:trPr>
          <w:trHeight w:val="30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bottom w:val="single" w:sz="4" w:space="0" w:color="auto"/>
            </w:tcBorders>
            <w:shd w:val="clear" w:color="auto" w:fill="D4C5D7"/>
            <w:noWrap/>
            <w:hideMark/>
          </w:tcPr>
          <w:p w14:paraId="38E67BE1" w14:textId="77777777" w:rsidR="00BF7697" w:rsidRPr="00D72D94" w:rsidRDefault="00BF7697" w:rsidP="00B17C79">
            <w:pPr>
              <w:spacing w:after="0" w:line="240" w:lineRule="auto"/>
              <w:rPr>
                <w:rFonts w:eastAsia="Times New Roman" w:cs="Arial"/>
                <w:b/>
                <w:bCs/>
                <w:color w:val="000000"/>
                <w:sz w:val="18"/>
                <w:szCs w:val="18"/>
                <w:lang w:eastAsia="en-AU"/>
              </w:rPr>
            </w:pPr>
            <w:r w:rsidRPr="00D72D94">
              <w:rPr>
                <w:rFonts w:eastAsia="Times New Roman" w:cs="Arial"/>
                <w:b/>
                <w:bCs/>
                <w:color w:val="000000"/>
                <w:sz w:val="18"/>
                <w:szCs w:val="18"/>
                <w:lang w:eastAsia="en-AU"/>
              </w:rPr>
              <w:t>Total</w:t>
            </w:r>
          </w:p>
        </w:tc>
        <w:tc>
          <w:tcPr>
            <w:tcW w:w="993" w:type="dxa"/>
            <w:tcBorders>
              <w:top w:val="single" w:sz="4" w:space="0" w:color="auto"/>
              <w:bottom w:val="single" w:sz="4" w:space="0" w:color="auto"/>
            </w:tcBorders>
            <w:shd w:val="clear" w:color="auto" w:fill="D4C5D7"/>
            <w:noWrap/>
            <w:hideMark/>
          </w:tcPr>
          <w:p w14:paraId="7D2B4140"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534,655</w:t>
            </w:r>
          </w:p>
        </w:tc>
        <w:tc>
          <w:tcPr>
            <w:tcW w:w="992" w:type="dxa"/>
            <w:tcBorders>
              <w:top w:val="single" w:sz="4" w:space="0" w:color="auto"/>
              <w:bottom w:val="single" w:sz="4" w:space="0" w:color="auto"/>
            </w:tcBorders>
            <w:shd w:val="clear" w:color="auto" w:fill="D4C5D7"/>
            <w:noWrap/>
            <w:hideMark/>
          </w:tcPr>
          <w:p w14:paraId="7F731E45"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592,294</w:t>
            </w:r>
          </w:p>
        </w:tc>
        <w:tc>
          <w:tcPr>
            <w:tcW w:w="992" w:type="dxa"/>
            <w:tcBorders>
              <w:top w:val="single" w:sz="4" w:space="0" w:color="auto"/>
              <w:bottom w:val="single" w:sz="4" w:space="0" w:color="auto"/>
            </w:tcBorders>
            <w:shd w:val="clear" w:color="auto" w:fill="D4C5D7"/>
            <w:noWrap/>
            <w:hideMark/>
          </w:tcPr>
          <w:p w14:paraId="7E5D3E2A"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646,012</w:t>
            </w:r>
          </w:p>
        </w:tc>
        <w:tc>
          <w:tcPr>
            <w:tcW w:w="992" w:type="dxa"/>
            <w:tcBorders>
              <w:top w:val="single" w:sz="4" w:space="0" w:color="auto"/>
              <w:bottom w:val="single" w:sz="4" w:space="0" w:color="auto"/>
            </w:tcBorders>
            <w:shd w:val="clear" w:color="auto" w:fill="D4C5D7"/>
            <w:noWrap/>
            <w:hideMark/>
          </w:tcPr>
          <w:p w14:paraId="5A26D043"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693,889</w:t>
            </w:r>
          </w:p>
        </w:tc>
        <w:tc>
          <w:tcPr>
            <w:tcW w:w="993" w:type="dxa"/>
            <w:tcBorders>
              <w:top w:val="single" w:sz="4" w:space="0" w:color="auto"/>
              <w:bottom w:val="single" w:sz="4" w:space="0" w:color="auto"/>
              <w:right w:val="dotted" w:sz="4" w:space="0" w:color="auto"/>
            </w:tcBorders>
            <w:shd w:val="clear" w:color="auto" w:fill="D4C5D7"/>
            <w:noWrap/>
            <w:hideMark/>
          </w:tcPr>
          <w:p w14:paraId="1E106FB0"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741,077</w:t>
            </w:r>
          </w:p>
        </w:tc>
        <w:tc>
          <w:tcPr>
            <w:tcW w:w="1134" w:type="dxa"/>
            <w:tcBorders>
              <w:top w:val="single" w:sz="4" w:space="0" w:color="auto"/>
              <w:left w:val="dotted" w:sz="4" w:space="0" w:color="auto"/>
              <w:bottom w:val="single" w:sz="4" w:space="0" w:color="auto"/>
            </w:tcBorders>
            <w:shd w:val="clear" w:color="auto" w:fill="D4C5D7"/>
            <w:noWrap/>
            <w:hideMark/>
          </w:tcPr>
          <w:p w14:paraId="77996224"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themeColor="text1"/>
                <w:sz w:val="18"/>
                <w:szCs w:val="18"/>
                <w:lang w:eastAsia="en-AU"/>
              </w:rPr>
              <w:t>1,017,522</w:t>
            </w:r>
          </w:p>
        </w:tc>
      </w:tr>
      <w:tr w:rsidR="00BF7697" w:rsidRPr="00CC0F59" w14:paraId="48016C42" w14:textId="77777777" w:rsidTr="00DA3F7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bottom w:val="single" w:sz="4" w:space="0" w:color="auto"/>
            </w:tcBorders>
            <w:shd w:val="clear" w:color="auto" w:fill="auto"/>
            <w:noWrap/>
            <w:hideMark/>
          </w:tcPr>
          <w:p w14:paraId="6B4AA468" w14:textId="77777777" w:rsidR="00BF7697" w:rsidRPr="00D72D94" w:rsidRDefault="00BF7697" w:rsidP="00B17C79">
            <w:pPr>
              <w:spacing w:after="0" w:line="240" w:lineRule="auto"/>
              <w:rPr>
                <w:rFonts w:eastAsia="Times New Roman" w:cs="Arial"/>
                <w:color w:val="000000"/>
                <w:sz w:val="18"/>
                <w:szCs w:val="18"/>
                <w:lang w:eastAsia="en-AU"/>
              </w:rPr>
            </w:pPr>
            <w:r w:rsidRPr="00D72D94">
              <w:rPr>
                <w:rFonts w:eastAsia="Times New Roman" w:cs="Arial"/>
                <w:color w:val="000000" w:themeColor="text1"/>
                <w:sz w:val="18"/>
                <w:szCs w:val="18"/>
                <w:lang w:eastAsia="en-AU"/>
              </w:rPr>
              <w:t>Participation rate (0-64)</w:t>
            </w:r>
          </w:p>
        </w:tc>
        <w:tc>
          <w:tcPr>
            <w:tcW w:w="993" w:type="dxa"/>
            <w:tcBorders>
              <w:top w:val="single" w:sz="4" w:space="0" w:color="auto"/>
              <w:bottom w:val="single" w:sz="4" w:space="0" w:color="auto"/>
            </w:tcBorders>
            <w:shd w:val="clear" w:color="auto" w:fill="auto"/>
            <w:noWrap/>
            <w:hideMark/>
          </w:tcPr>
          <w:p w14:paraId="29920FFC"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2.39%</w:t>
            </w:r>
          </w:p>
        </w:tc>
        <w:tc>
          <w:tcPr>
            <w:tcW w:w="992" w:type="dxa"/>
            <w:tcBorders>
              <w:top w:val="single" w:sz="4" w:space="0" w:color="auto"/>
              <w:bottom w:val="single" w:sz="4" w:space="0" w:color="auto"/>
            </w:tcBorders>
            <w:shd w:val="clear" w:color="auto" w:fill="auto"/>
            <w:noWrap/>
            <w:hideMark/>
          </w:tcPr>
          <w:p w14:paraId="637C0718"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2.62%</w:t>
            </w:r>
          </w:p>
        </w:tc>
        <w:tc>
          <w:tcPr>
            <w:tcW w:w="992" w:type="dxa"/>
            <w:tcBorders>
              <w:top w:val="single" w:sz="4" w:space="0" w:color="auto"/>
              <w:bottom w:val="single" w:sz="4" w:space="0" w:color="auto"/>
            </w:tcBorders>
            <w:shd w:val="clear" w:color="auto" w:fill="auto"/>
            <w:noWrap/>
            <w:hideMark/>
          </w:tcPr>
          <w:p w14:paraId="282907AD"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2.81%</w:t>
            </w:r>
          </w:p>
        </w:tc>
        <w:tc>
          <w:tcPr>
            <w:tcW w:w="992" w:type="dxa"/>
            <w:tcBorders>
              <w:top w:val="single" w:sz="4" w:space="0" w:color="auto"/>
              <w:bottom w:val="single" w:sz="4" w:space="0" w:color="auto"/>
            </w:tcBorders>
            <w:shd w:val="clear" w:color="auto" w:fill="auto"/>
            <w:noWrap/>
            <w:hideMark/>
          </w:tcPr>
          <w:p w14:paraId="49183729"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2.98%</w:t>
            </w:r>
          </w:p>
        </w:tc>
        <w:tc>
          <w:tcPr>
            <w:tcW w:w="993" w:type="dxa"/>
            <w:tcBorders>
              <w:top w:val="single" w:sz="4" w:space="0" w:color="auto"/>
              <w:bottom w:val="single" w:sz="4" w:space="0" w:color="auto"/>
              <w:right w:val="dotted" w:sz="4" w:space="0" w:color="auto"/>
            </w:tcBorders>
            <w:shd w:val="clear" w:color="auto" w:fill="auto"/>
            <w:noWrap/>
            <w:hideMark/>
          </w:tcPr>
          <w:p w14:paraId="41090C64"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3.14%</w:t>
            </w:r>
          </w:p>
        </w:tc>
        <w:tc>
          <w:tcPr>
            <w:tcW w:w="1134" w:type="dxa"/>
            <w:tcBorders>
              <w:top w:val="single" w:sz="4" w:space="0" w:color="auto"/>
              <w:left w:val="dotted" w:sz="4" w:space="0" w:color="auto"/>
              <w:bottom w:val="single" w:sz="4" w:space="0" w:color="auto"/>
            </w:tcBorders>
            <w:shd w:val="clear" w:color="auto" w:fill="auto"/>
            <w:noWrap/>
            <w:hideMark/>
          </w:tcPr>
          <w:p w14:paraId="132D32C5"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themeColor="text1"/>
                <w:sz w:val="18"/>
                <w:szCs w:val="18"/>
                <w:lang w:eastAsia="en-AU"/>
              </w:rPr>
              <w:t>3.99%</w:t>
            </w:r>
          </w:p>
        </w:tc>
      </w:tr>
    </w:tbl>
    <w:p w14:paraId="79A2FEC2" w14:textId="77777777" w:rsidR="00BF7697" w:rsidRPr="00E60982" w:rsidRDefault="00DA34D6" w:rsidP="00BF7697">
      <w:pPr>
        <w:pStyle w:val="FSRnormal"/>
      </w:pPr>
      <w:r w:rsidRPr="00387BA3">
        <w:t xml:space="preserve">Table </w:t>
      </w:r>
      <w:r>
        <w:rPr>
          <w:noProof/>
        </w:rPr>
        <w:t>5</w:t>
      </w:r>
      <w:r>
        <w:t>.</w:t>
      </w:r>
      <w:r>
        <w:rPr>
          <w:noProof/>
        </w:rPr>
        <w:t>2</w:t>
      </w:r>
      <w:r w:rsidR="00BF7697" w:rsidRPr="00E60982">
        <w:t xml:space="preserve"> and </w:t>
      </w:r>
      <w:r w:rsidRPr="00F624A5">
        <w:t xml:space="preserve">Table </w:t>
      </w:r>
      <w:r>
        <w:rPr>
          <w:noProof/>
        </w:rPr>
        <w:t>5</w:t>
      </w:r>
      <w:r>
        <w:t>.</w:t>
      </w:r>
      <w:r>
        <w:rPr>
          <w:noProof/>
        </w:rPr>
        <w:t>3</w:t>
      </w:r>
      <w:r w:rsidR="00BF7697" w:rsidRPr="00E60982">
        <w:t xml:space="preserve"> show the split in the projection between existing participants and future participants (</w:t>
      </w:r>
      <w:r w:rsidR="006669B6" w:rsidRPr="00E60982">
        <w:t>i.e.</w:t>
      </w:r>
      <w:r w:rsidR="00BF7697" w:rsidRPr="00E60982">
        <w:t xml:space="preserve"> new entrants post 30 June 2022). 42% of projected participants in 2031-32 are estimated to be current Scheme participants, with 58% being new entrants to the Scheme. </w:t>
      </w:r>
    </w:p>
    <w:p w14:paraId="7D14500F" w14:textId="77777777" w:rsidR="00BF7697" w:rsidRDefault="00BF7697" w:rsidP="00BF7697">
      <w:pPr>
        <w:spacing w:after="160" w:line="259" w:lineRule="auto"/>
        <w:rPr>
          <w:highlight w:val="yellow"/>
        </w:rPr>
      </w:pPr>
      <w:r>
        <w:rPr>
          <w:highlight w:val="yellow"/>
        </w:rPr>
        <w:br w:type="page"/>
      </w:r>
    </w:p>
    <w:p w14:paraId="0F504BC2" w14:textId="77777777" w:rsidR="00BF7697" w:rsidRPr="000368A8" w:rsidRDefault="00BF7697" w:rsidP="00BF7697">
      <w:pPr>
        <w:pStyle w:val="FSRnormal"/>
        <w:rPr>
          <w:highlight w:val="yellow"/>
        </w:rPr>
      </w:pPr>
    </w:p>
    <w:p w14:paraId="16771224" w14:textId="77777777" w:rsidR="00BF7697" w:rsidRPr="00387BA3" w:rsidRDefault="00BF7697" w:rsidP="00BF7697">
      <w:pPr>
        <w:pStyle w:val="Tables"/>
      </w:pPr>
      <w:bookmarkStart w:id="147" w:name="_Ref80274050"/>
      <w:bookmarkStart w:id="148" w:name="_Ref111896537"/>
      <w:r w:rsidRPr="00387BA3">
        <w:t xml:space="preserve">Table </w:t>
      </w:r>
      <w:bookmarkEnd w:id="147"/>
      <w:r w:rsidR="00A87896">
        <w:fldChar w:fldCharType="begin"/>
      </w:r>
      <w:r w:rsidR="00A87896">
        <w:instrText xml:space="preserve"> STYLEREF 2 \s </w:instrText>
      </w:r>
      <w:r w:rsidR="00A87896">
        <w:fldChar w:fldCharType="separate"/>
      </w:r>
      <w:r w:rsidR="00A87896">
        <w:rPr>
          <w:noProof/>
        </w:rPr>
        <w:t>5</w:t>
      </w:r>
      <w:r w:rsidR="00A87896">
        <w:fldChar w:fldCharType="end"/>
      </w:r>
      <w:r w:rsidR="00A87896">
        <w:t>.</w:t>
      </w:r>
      <w:fldSimple w:instr=" SEQ Table \* ARABIC \s 2 ">
        <w:r w:rsidR="00A87896">
          <w:rPr>
            <w:noProof/>
          </w:rPr>
          <w:t>2</w:t>
        </w:r>
      </w:fldSimple>
      <w:bookmarkEnd w:id="148"/>
      <w:r>
        <w:t>:</w:t>
      </w:r>
      <w:r w:rsidR="0001346E">
        <w:t xml:space="preserve"> Split</w:t>
      </w:r>
      <w:r w:rsidRPr="00387BA3">
        <w:t xml:space="preserve"> of participant numbers between existing and future participants</w:t>
      </w:r>
    </w:p>
    <w:tbl>
      <w:tblPr>
        <w:tblStyle w:val="FSRtable"/>
        <w:tblW w:w="9408" w:type="dxa"/>
        <w:tblInd w:w="5" w:type="dxa"/>
        <w:tblLook w:val="04A0" w:firstRow="1" w:lastRow="0" w:firstColumn="1" w:lastColumn="0" w:noHBand="0" w:noVBand="1"/>
      </w:tblPr>
      <w:tblGrid>
        <w:gridCol w:w="3160"/>
        <w:gridCol w:w="1248"/>
        <w:gridCol w:w="1256"/>
        <w:gridCol w:w="1256"/>
        <w:gridCol w:w="1248"/>
        <w:gridCol w:w="1240"/>
      </w:tblGrid>
      <w:tr w:rsidR="00BF7697" w:rsidRPr="00CC0F59" w14:paraId="1BA29B42" w14:textId="77777777" w:rsidTr="001257D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160" w:type="dxa"/>
            <w:noWrap/>
            <w:hideMark/>
          </w:tcPr>
          <w:p w14:paraId="70FFBF8C" w14:textId="77777777" w:rsidR="00BF7697" w:rsidRPr="00D72D94" w:rsidRDefault="00BF7697" w:rsidP="00B17C79">
            <w:pPr>
              <w:spacing w:after="0" w:line="240" w:lineRule="auto"/>
              <w:rPr>
                <w:rFonts w:eastAsia="Times New Roman"/>
                <w:b w:val="0"/>
                <w:bCs/>
                <w:color w:val="FFFFFF"/>
                <w:sz w:val="18"/>
                <w:szCs w:val="18"/>
                <w:lang w:eastAsia="en-AU"/>
              </w:rPr>
            </w:pPr>
            <w:r w:rsidRPr="00D72D94">
              <w:rPr>
                <w:rFonts w:eastAsia="Times New Roman"/>
                <w:bCs/>
                <w:color w:val="FFFFFF"/>
                <w:sz w:val="18"/>
                <w:szCs w:val="18"/>
                <w:lang w:eastAsia="en-AU"/>
              </w:rPr>
              <w:t>Number of Participants</w:t>
            </w:r>
            <w:r w:rsidR="00C82055">
              <w:rPr>
                <w:rFonts w:eastAsia="Times New Roman"/>
                <w:bCs/>
                <w:color w:val="FFFFFF"/>
                <w:sz w:val="18"/>
                <w:szCs w:val="18"/>
                <w:lang w:eastAsia="en-AU"/>
              </w:rPr>
              <w:t xml:space="preserve"> as at 30 June</w:t>
            </w:r>
          </w:p>
        </w:tc>
        <w:tc>
          <w:tcPr>
            <w:tcW w:w="1248" w:type="dxa"/>
            <w:noWrap/>
            <w:hideMark/>
          </w:tcPr>
          <w:p w14:paraId="1E646136"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2023</w:t>
            </w:r>
          </w:p>
        </w:tc>
        <w:tc>
          <w:tcPr>
            <w:tcW w:w="1256" w:type="dxa"/>
            <w:noWrap/>
            <w:hideMark/>
          </w:tcPr>
          <w:p w14:paraId="0BF21822"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2024</w:t>
            </w:r>
          </w:p>
        </w:tc>
        <w:tc>
          <w:tcPr>
            <w:tcW w:w="1256" w:type="dxa"/>
            <w:noWrap/>
            <w:hideMark/>
          </w:tcPr>
          <w:p w14:paraId="619476B7"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2025</w:t>
            </w:r>
          </w:p>
        </w:tc>
        <w:tc>
          <w:tcPr>
            <w:tcW w:w="1248" w:type="dxa"/>
            <w:tcBorders>
              <w:right w:val="dotted" w:sz="4" w:space="0" w:color="auto"/>
            </w:tcBorders>
            <w:noWrap/>
            <w:hideMark/>
          </w:tcPr>
          <w:p w14:paraId="179B2453"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2026</w:t>
            </w:r>
          </w:p>
        </w:tc>
        <w:tc>
          <w:tcPr>
            <w:tcW w:w="1240" w:type="dxa"/>
            <w:tcBorders>
              <w:top w:val="single" w:sz="4" w:space="0" w:color="auto"/>
              <w:left w:val="dotted" w:sz="4" w:space="0" w:color="auto"/>
            </w:tcBorders>
            <w:noWrap/>
            <w:hideMark/>
          </w:tcPr>
          <w:p w14:paraId="35CD2F76"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2032</w:t>
            </w:r>
          </w:p>
        </w:tc>
      </w:tr>
      <w:tr w:rsidR="00BF7697" w:rsidRPr="00CC0F59" w14:paraId="6175C0CA" w14:textId="77777777" w:rsidTr="00B17C79">
        <w:trPr>
          <w:trHeight w:val="301"/>
        </w:trPr>
        <w:tc>
          <w:tcPr>
            <w:cnfStyle w:val="001000000000" w:firstRow="0" w:lastRow="0" w:firstColumn="1" w:lastColumn="0" w:oddVBand="0" w:evenVBand="0" w:oddHBand="0" w:evenHBand="0" w:firstRowFirstColumn="0" w:firstRowLastColumn="0" w:lastRowFirstColumn="0" w:lastRowLastColumn="0"/>
            <w:tcW w:w="3160" w:type="dxa"/>
            <w:noWrap/>
            <w:hideMark/>
          </w:tcPr>
          <w:p w14:paraId="482B0134" w14:textId="77777777" w:rsidR="00BF7697" w:rsidRPr="00D72D94" w:rsidRDefault="00BF7697" w:rsidP="00B17C79">
            <w:pPr>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Existing Scheme participants</w:t>
            </w:r>
          </w:p>
        </w:tc>
        <w:tc>
          <w:tcPr>
            <w:tcW w:w="1248" w:type="dxa"/>
            <w:noWrap/>
            <w:hideMark/>
          </w:tcPr>
          <w:p w14:paraId="34D9F3A5"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521,547</w:t>
            </w:r>
          </w:p>
        </w:tc>
        <w:tc>
          <w:tcPr>
            <w:tcW w:w="1256" w:type="dxa"/>
            <w:noWrap/>
            <w:hideMark/>
          </w:tcPr>
          <w:p w14:paraId="2864CCEC"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507,074</w:t>
            </w:r>
          </w:p>
        </w:tc>
        <w:tc>
          <w:tcPr>
            <w:tcW w:w="1256" w:type="dxa"/>
            <w:noWrap/>
            <w:hideMark/>
          </w:tcPr>
          <w:p w14:paraId="3E163441"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493,631</w:t>
            </w:r>
          </w:p>
        </w:tc>
        <w:tc>
          <w:tcPr>
            <w:tcW w:w="1248" w:type="dxa"/>
            <w:tcBorders>
              <w:right w:val="dotted" w:sz="4" w:space="0" w:color="auto"/>
            </w:tcBorders>
            <w:noWrap/>
            <w:hideMark/>
          </w:tcPr>
          <w:p w14:paraId="74DF7621"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481,543</w:t>
            </w:r>
          </w:p>
        </w:tc>
        <w:tc>
          <w:tcPr>
            <w:tcW w:w="1240" w:type="dxa"/>
            <w:tcBorders>
              <w:left w:val="dotted" w:sz="4" w:space="0" w:color="auto"/>
            </w:tcBorders>
            <w:noWrap/>
            <w:hideMark/>
          </w:tcPr>
          <w:p w14:paraId="3BC3CBFF"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427,039</w:t>
            </w:r>
          </w:p>
        </w:tc>
      </w:tr>
      <w:tr w:rsidR="00BF7697" w:rsidRPr="00CC0F59" w14:paraId="09414ADC" w14:textId="77777777" w:rsidTr="00B17C7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60" w:type="dxa"/>
            <w:tcBorders>
              <w:bottom w:val="single" w:sz="4" w:space="0" w:color="auto"/>
            </w:tcBorders>
            <w:noWrap/>
            <w:hideMark/>
          </w:tcPr>
          <w:p w14:paraId="7D71E656" w14:textId="77777777" w:rsidR="00BF7697" w:rsidRPr="00D72D94" w:rsidRDefault="00BF7697" w:rsidP="00B17C79">
            <w:pPr>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Future participant intake</w:t>
            </w:r>
          </w:p>
        </w:tc>
        <w:tc>
          <w:tcPr>
            <w:tcW w:w="1248" w:type="dxa"/>
            <w:tcBorders>
              <w:bottom w:val="single" w:sz="4" w:space="0" w:color="auto"/>
            </w:tcBorders>
            <w:noWrap/>
            <w:hideMark/>
          </w:tcPr>
          <w:p w14:paraId="159E7319"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70,747</w:t>
            </w:r>
          </w:p>
        </w:tc>
        <w:tc>
          <w:tcPr>
            <w:tcW w:w="1256" w:type="dxa"/>
            <w:tcBorders>
              <w:bottom w:val="single" w:sz="4" w:space="0" w:color="auto"/>
            </w:tcBorders>
            <w:noWrap/>
            <w:hideMark/>
          </w:tcPr>
          <w:p w14:paraId="7AB23150"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138,938</w:t>
            </w:r>
          </w:p>
        </w:tc>
        <w:tc>
          <w:tcPr>
            <w:tcW w:w="1256" w:type="dxa"/>
            <w:tcBorders>
              <w:bottom w:val="single" w:sz="4" w:space="0" w:color="auto"/>
            </w:tcBorders>
            <w:noWrap/>
            <w:hideMark/>
          </w:tcPr>
          <w:p w14:paraId="211AC2D9"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200,258</w:t>
            </w:r>
          </w:p>
        </w:tc>
        <w:tc>
          <w:tcPr>
            <w:tcW w:w="1248" w:type="dxa"/>
            <w:tcBorders>
              <w:bottom w:val="single" w:sz="4" w:space="0" w:color="auto"/>
              <w:right w:val="dotted" w:sz="4" w:space="0" w:color="auto"/>
            </w:tcBorders>
            <w:noWrap/>
            <w:hideMark/>
          </w:tcPr>
          <w:p w14:paraId="1AB1D12E"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259,533</w:t>
            </w:r>
          </w:p>
        </w:tc>
        <w:tc>
          <w:tcPr>
            <w:tcW w:w="1240" w:type="dxa"/>
            <w:tcBorders>
              <w:left w:val="dotted" w:sz="4" w:space="0" w:color="auto"/>
              <w:bottom w:val="single" w:sz="4" w:space="0" w:color="auto"/>
            </w:tcBorders>
            <w:noWrap/>
            <w:hideMark/>
          </w:tcPr>
          <w:p w14:paraId="32B29D17"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590,483</w:t>
            </w:r>
          </w:p>
        </w:tc>
      </w:tr>
      <w:tr w:rsidR="00BF7697" w:rsidRPr="00CC0F59" w14:paraId="70BC0199" w14:textId="77777777" w:rsidTr="00B17C79">
        <w:trPr>
          <w:trHeight w:val="301"/>
        </w:trPr>
        <w:tc>
          <w:tcPr>
            <w:cnfStyle w:val="001000000000" w:firstRow="0" w:lastRow="0" w:firstColumn="1" w:lastColumn="0" w:oddVBand="0" w:evenVBand="0" w:oddHBand="0" w:evenHBand="0" w:firstRowFirstColumn="0" w:firstRowLastColumn="0" w:lastRowFirstColumn="0" w:lastRowLastColumn="0"/>
            <w:tcW w:w="3160" w:type="dxa"/>
            <w:tcBorders>
              <w:top w:val="single" w:sz="4" w:space="0" w:color="auto"/>
              <w:bottom w:val="single" w:sz="4" w:space="0" w:color="auto"/>
            </w:tcBorders>
            <w:shd w:val="clear" w:color="auto" w:fill="D4C5D7"/>
            <w:noWrap/>
            <w:hideMark/>
          </w:tcPr>
          <w:p w14:paraId="28E182AF" w14:textId="77777777" w:rsidR="00BF7697" w:rsidRPr="00D72D94" w:rsidRDefault="00BF7697" w:rsidP="00B17C79">
            <w:pPr>
              <w:spacing w:after="0" w:line="240" w:lineRule="auto"/>
              <w:rPr>
                <w:rFonts w:eastAsia="Times New Roman" w:cs="Arial"/>
                <w:b/>
                <w:bCs/>
                <w:color w:val="000000"/>
                <w:sz w:val="18"/>
                <w:szCs w:val="18"/>
                <w:lang w:eastAsia="en-AU"/>
              </w:rPr>
            </w:pPr>
            <w:r w:rsidRPr="00D72D94">
              <w:rPr>
                <w:rFonts w:eastAsia="Times New Roman" w:cs="Arial"/>
                <w:b/>
                <w:bCs/>
                <w:color w:val="000000"/>
                <w:sz w:val="18"/>
                <w:szCs w:val="18"/>
                <w:lang w:eastAsia="en-AU"/>
              </w:rPr>
              <w:t>Total Number of Participants</w:t>
            </w:r>
          </w:p>
        </w:tc>
        <w:tc>
          <w:tcPr>
            <w:tcW w:w="1248" w:type="dxa"/>
            <w:tcBorders>
              <w:top w:val="single" w:sz="4" w:space="0" w:color="auto"/>
              <w:bottom w:val="single" w:sz="4" w:space="0" w:color="auto"/>
            </w:tcBorders>
            <w:shd w:val="clear" w:color="auto" w:fill="D4C5D7"/>
            <w:noWrap/>
            <w:hideMark/>
          </w:tcPr>
          <w:p w14:paraId="6E5F4638"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592,294</w:t>
            </w:r>
          </w:p>
        </w:tc>
        <w:tc>
          <w:tcPr>
            <w:tcW w:w="1256" w:type="dxa"/>
            <w:tcBorders>
              <w:top w:val="single" w:sz="4" w:space="0" w:color="auto"/>
              <w:bottom w:val="single" w:sz="4" w:space="0" w:color="auto"/>
            </w:tcBorders>
            <w:shd w:val="clear" w:color="auto" w:fill="D4C5D7"/>
            <w:noWrap/>
            <w:hideMark/>
          </w:tcPr>
          <w:p w14:paraId="5815B998"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646,012</w:t>
            </w:r>
          </w:p>
        </w:tc>
        <w:tc>
          <w:tcPr>
            <w:tcW w:w="1256" w:type="dxa"/>
            <w:tcBorders>
              <w:top w:val="single" w:sz="4" w:space="0" w:color="auto"/>
              <w:bottom w:val="single" w:sz="4" w:space="0" w:color="auto"/>
            </w:tcBorders>
            <w:shd w:val="clear" w:color="auto" w:fill="D4C5D7"/>
            <w:noWrap/>
            <w:hideMark/>
          </w:tcPr>
          <w:p w14:paraId="547DE1BF"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693,889</w:t>
            </w:r>
          </w:p>
        </w:tc>
        <w:tc>
          <w:tcPr>
            <w:tcW w:w="1248" w:type="dxa"/>
            <w:tcBorders>
              <w:top w:val="single" w:sz="4" w:space="0" w:color="auto"/>
              <w:bottom w:val="single" w:sz="4" w:space="0" w:color="auto"/>
              <w:right w:val="dotted" w:sz="4" w:space="0" w:color="auto"/>
            </w:tcBorders>
            <w:shd w:val="clear" w:color="auto" w:fill="D4C5D7"/>
            <w:noWrap/>
            <w:hideMark/>
          </w:tcPr>
          <w:p w14:paraId="7C4A3AF1"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741,077</w:t>
            </w:r>
          </w:p>
        </w:tc>
        <w:tc>
          <w:tcPr>
            <w:tcW w:w="1240" w:type="dxa"/>
            <w:tcBorders>
              <w:top w:val="single" w:sz="4" w:space="0" w:color="auto"/>
              <w:left w:val="dotted" w:sz="4" w:space="0" w:color="auto"/>
              <w:bottom w:val="single" w:sz="4" w:space="0" w:color="auto"/>
            </w:tcBorders>
            <w:shd w:val="clear" w:color="auto" w:fill="D4C5D7"/>
            <w:noWrap/>
            <w:hideMark/>
          </w:tcPr>
          <w:p w14:paraId="46C43898"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1,017,522</w:t>
            </w:r>
          </w:p>
        </w:tc>
      </w:tr>
    </w:tbl>
    <w:p w14:paraId="77963760" w14:textId="77777777" w:rsidR="00BF7697" w:rsidRPr="00F624A5" w:rsidRDefault="00BF7697" w:rsidP="00BF7697">
      <w:pPr>
        <w:pStyle w:val="Tables"/>
        <w:spacing w:before="240"/>
      </w:pPr>
      <w:bookmarkStart w:id="149" w:name="_Ref80734568"/>
      <w:bookmarkStart w:id="150" w:name="_Ref111896556"/>
      <w:r w:rsidRPr="00F624A5">
        <w:t xml:space="preserve">Table </w:t>
      </w:r>
      <w:bookmarkEnd w:id="149"/>
      <w:r w:rsidR="00A87896">
        <w:fldChar w:fldCharType="begin"/>
      </w:r>
      <w:r w:rsidR="00A87896">
        <w:instrText xml:space="preserve"> STYLEREF 2 \s </w:instrText>
      </w:r>
      <w:r w:rsidR="00A87896">
        <w:fldChar w:fldCharType="separate"/>
      </w:r>
      <w:r w:rsidR="00A87896">
        <w:rPr>
          <w:noProof/>
        </w:rPr>
        <w:t>5</w:t>
      </w:r>
      <w:r w:rsidR="00A87896">
        <w:fldChar w:fldCharType="end"/>
      </w:r>
      <w:r w:rsidR="00A87896">
        <w:t>.</w:t>
      </w:r>
      <w:fldSimple w:instr=" SEQ Table \* ARABIC \s 2 ">
        <w:r w:rsidR="00A87896">
          <w:rPr>
            <w:noProof/>
          </w:rPr>
          <w:t>3</w:t>
        </w:r>
      </w:fldSimple>
      <w:bookmarkEnd w:id="150"/>
      <w:r>
        <w:t>:</w:t>
      </w:r>
      <w:r w:rsidRPr="00F624A5">
        <w:t xml:space="preserve"> Proportional split of participants between existing and future participants</w:t>
      </w:r>
    </w:p>
    <w:tbl>
      <w:tblPr>
        <w:tblStyle w:val="FSRtable"/>
        <w:tblW w:w="9408" w:type="dxa"/>
        <w:tblInd w:w="5" w:type="dxa"/>
        <w:tblLook w:val="04A0" w:firstRow="1" w:lastRow="0" w:firstColumn="1" w:lastColumn="0" w:noHBand="0" w:noVBand="1"/>
      </w:tblPr>
      <w:tblGrid>
        <w:gridCol w:w="3160"/>
        <w:gridCol w:w="1248"/>
        <w:gridCol w:w="1256"/>
        <w:gridCol w:w="1256"/>
        <w:gridCol w:w="1248"/>
        <w:gridCol w:w="1240"/>
      </w:tblGrid>
      <w:tr w:rsidR="00BF7697" w:rsidRPr="00CC0F59" w14:paraId="7762A6B7" w14:textId="77777777" w:rsidTr="001257D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160" w:type="dxa"/>
            <w:noWrap/>
            <w:hideMark/>
          </w:tcPr>
          <w:p w14:paraId="58D75430" w14:textId="77777777" w:rsidR="00BF7697" w:rsidRPr="00D72D94" w:rsidRDefault="00BF7697" w:rsidP="00B17C79">
            <w:pPr>
              <w:spacing w:after="0" w:line="240" w:lineRule="auto"/>
              <w:rPr>
                <w:rFonts w:eastAsia="Times New Roman"/>
                <w:b w:val="0"/>
                <w:bCs/>
                <w:color w:val="FFFFFF"/>
                <w:sz w:val="18"/>
                <w:szCs w:val="18"/>
                <w:lang w:eastAsia="en-AU"/>
              </w:rPr>
            </w:pPr>
            <w:r w:rsidRPr="00D72D94">
              <w:rPr>
                <w:rFonts w:eastAsia="Times New Roman"/>
                <w:bCs/>
                <w:color w:val="FFFFFF"/>
                <w:sz w:val="18"/>
                <w:szCs w:val="18"/>
                <w:lang w:eastAsia="en-AU"/>
              </w:rPr>
              <w:t>Number of Participants</w:t>
            </w:r>
            <w:r w:rsidR="00C82055">
              <w:rPr>
                <w:rFonts w:eastAsia="Times New Roman"/>
                <w:bCs/>
                <w:color w:val="FFFFFF"/>
                <w:sz w:val="18"/>
                <w:szCs w:val="18"/>
                <w:lang w:eastAsia="en-AU"/>
              </w:rPr>
              <w:t xml:space="preserve"> as at 30 June</w:t>
            </w:r>
            <w:r w:rsidRPr="00D72D94">
              <w:rPr>
                <w:rFonts w:eastAsia="Times New Roman"/>
                <w:bCs/>
                <w:color w:val="FFFFFF"/>
                <w:sz w:val="18"/>
                <w:szCs w:val="18"/>
                <w:lang w:eastAsia="en-AU"/>
              </w:rPr>
              <w:t xml:space="preserve"> (%)</w:t>
            </w:r>
          </w:p>
        </w:tc>
        <w:tc>
          <w:tcPr>
            <w:tcW w:w="1248" w:type="dxa"/>
            <w:noWrap/>
            <w:hideMark/>
          </w:tcPr>
          <w:p w14:paraId="57C58815"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2023</w:t>
            </w:r>
          </w:p>
        </w:tc>
        <w:tc>
          <w:tcPr>
            <w:tcW w:w="1256" w:type="dxa"/>
            <w:noWrap/>
            <w:hideMark/>
          </w:tcPr>
          <w:p w14:paraId="500274E1"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2024</w:t>
            </w:r>
          </w:p>
        </w:tc>
        <w:tc>
          <w:tcPr>
            <w:tcW w:w="1256" w:type="dxa"/>
            <w:noWrap/>
            <w:hideMark/>
          </w:tcPr>
          <w:p w14:paraId="094AC11F"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2025</w:t>
            </w:r>
          </w:p>
        </w:tc>
        <w:tc>
          <w:tcPr>
            <w:tcW w:w="1248" w:type="dxa"/>
            <w:tcBorders>
              <w:right w:val="dotted" w:sz="4" w:space="0" w:color="auto"/>
            </w:tcBorders>
            <w:noWrap/>
            <w:hideMark/>
          </w:tcPr>
          <w:p w14:paraId="13DF6C86"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2026</w:t>
            </w:r>
          </w:p>
        </w:tc>
        <w:tc>
          <w:tcPr>
            <w:tcW w:w="1240" w:type="dxa"/>
            <w:tcBorders>
              <w:top w:val="single" w:sz="4" w:space="0" w:color="auto"/>
              <w:left w:val="dotted" w:sz="4" w:space="0" w:color="auto"/>
            </w:tcBorders>
            <w:noWrap/>
            <w:hideMark/>
          </w:tcPr>
          <w:p w14:paraId="7D53153C" w14:textId="77777777" w:rsidR="00BF7697" w:rsidRPr="00D72D94"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2032</w:t>
            </w:r>
          </w:p>
        </w:tc>
      </w:tr>
      <w:tr w:rsidR="00BF7697" w:rsidRPr="00CC0F59" w14:paraId="743CF897" w14:textId="77777777" w:rsidTr="00DA3F73">
        <w:trPr>
          <w:trHeight w:val="301"/>
        </w:trPr>
        <w:tc>
          <w:tcPr>
            <w:cnfStyle w:val="001000000000" w:firstRow="0" w:lastRow="0" w:firstColumn="1" w:lastColumn="0" w:oddVBand="0" w:evenVBand="0" w:oddHBand="0" w:evenHBand="0" w:firstRowFirstColumn="0" w:firstRowLastColumn="0" w:lastRowFirstColumn="0" w:lastRowLastColumn="0"/>
            <w:tcW w:w="3160" w:type="dxa"/>
            <w:noWrap/>
            <w:hideMark/>
          </w:tcPr>
          <w:p w14:paraId="1EA2A781" w14:textId="77777777" w:rsidR="00BF7697" w:rsidRPr="00D72D94" w:rsidRDefault="00BF7697" w:rsidP="00B17C79">
            <w:pPr>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Existing Scheme participants</w:t>
            </w:r>
          </w:p>
        </w:tc>
        <w:tc>
          <w:tcPr>
            <w:tcW w:w="1248" w:type="dxa"/>
            <w:noWrap/>
            <w:hideMark/>
          </w:tcPr>
          <w:p w14:paraId="6100BE6D"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88.1%</w:t>
            </w:r>
          </w:p>
        </w:tc>
        <w:tc>
          <w:tcPr>
            <w:tcW w:w="1256" w:type="dxa"/>
            <w:noWrap/>
            <w:hideMark/>
          </w:tcPr>
          <w:p w14:paraId="74964F22"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78.5%</w:t>
            </w:r>
          </w:p>
        </w:tc>
        <w:tc>
          <w:tcPr>
            <w:tcW w:w="1256" w:type="dxa"/>
            <w:noWrap/>
            <w:hideMark/>
          </w:tcPr>
          <w:p w14:paraId="4566CF00"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71.1%</w:t>
            </w:r>
          </w:p>
        </w:tc>
        <w:tc>
          <w:tcPr>
            <w:tcW w:w="1248" w:type="dxa"/>
            <w:tcBorders>
              <w:right w:val="dotted" w:sz="4" w:space="0" w:color="auto"/>
            </w:tcBorders>
            <w:noWrap/>
            <w:hideMark/>
          </w:tcPr>
          <w:p w14:paraId="14201263"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65</w:t>
            </w:r>
            <w:r w:rsidR="00446336">
              <w:rPr>
                <w:rFonts w:eastAsia="Times New Roman" w:cs="Arial"/>
                <w:color w:val="000000"/>
                <w:sz w:val="18"/>
                <w:szCs w:val="18"/>
                <w:lang w:eastAsia="en-AU"/>
              </w:rPr>
              <w:t>.0</w:t>
            </w:r>
            <w:r w:rsidRPr="00D72D94">
              <w:rPr>
                <w:rFonts w:eastAsia="Times New Roman" w:cs="Arial"/>
                <w:color w:val="000000"/>
                <w:sz w:val="18"/>
                <w:szCs w:val="18"/>
                <w:lang w:eastAsia="en-AU"/>
              </w:rPr>
              <w:t>%</w:t>
            </w:r>
          </w:p>
        </w:tc>
        <w:tc>
          <w:tcPr>
            <w:tcW w:w="1240" w:type="dxa"/>
            <w:tcBorders>
              <w:left w:val="dotted" w:sz="4" w:space="0" w:color="auto"/>
            </w:tcBorders>
            <w:noWrap/>
            <w:hideMark/>
          </w:tcPr>
          <w:p w14:paraId="2D6E1C35"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42.0%</w:t>
            </w:r>
          </w:p>
        </w:tc>
      </w:tr>
      <w:tr w:rsidR="00BF7697" w:rsidRPr="00CC0F59" w14:paraId="0536E2BA"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60" w:type="dxa"/>
            <w:tcBorders>
              <w:bottom w:val="single" w:sz="4" w:space="0" w:color="auto"/>
            </w:tcBorders>
            <w:noWrap/>
            <w:hideMark/>
          </w:tcPr>
          <w:p w14:paraId="6219A2CD" w14:textId="77777777" w:rsidR="00BF7697" w:rsidRPr="00D72D94" w:rsidRDefault="00BF7697" w:rsidP="00B17C79">
            <w:pPr>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Future participant intake</w:t>
            </w:r>
          </w:p>
        </w:tc>
        <w:tc>
          <w:tcPr>
            <w:tcW w:w="1248" w:type="dxa"/>
            <w:tcBorders>
              <w:bottom w:val="single" w:sz="4" w:space="0" w:color="auto"/>
            </w:tcBorders>
            <w:noWrap/>
            <w:hideMark/>
          </w:tcPr>
          <w:p w14:paraId="0C878CAF"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11.9%</w:t>
            </w:r>
          </w:p>
        </w:tc>
        <w:tc>
          <w:tcPr>
            <w:tcW w:w="1256" w:type="dxa"/>
            <w:tcBorders>
              <w:bottom w:val="single" w:sz="4" w:space="0" w:color="auto"/>
            </w:tcBorders>
            <w:noWrap/>
            <w:hideMark/>
          </w:tcPr>
          <w:p w14:paraId="472CD2DE"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21.5%</w:t>
            </w:r>
          </w:p>
        </w:tc>
        <w:tc>
          <w:tcPr>
            <w:tcW w:w="1256" w:type="dxa"/>
            <w:tcBorders>
              <w:bottom w:val="single" w:sz="4" w:space="0" w:color="auto"/>
            </w:tcBorders>
            <w:noWrap/>
            <w:hideMark/>
          </w:tcPr>
          <w:p w14:paraId="1DA25875"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28.9%</w:t>
            </w:r>
          </w:p>
        </w:tc>
        <w:tc>
          <w:tcPr>
            <w:tcW w:w="1248" w:type="dxa"/>
            <w:tcBorders>
              <w:bottom w:val="single" w:sz="4" w:space="0" w:color="auto"/>
              <w:right w:val="dotted" w:sz="4" w:space="0" w:color="auto"/>
            </w:tcBorders>
            <w:noWrap/>
            <w:hideMark/>
          </w:tcPr>
          <w:p w14:paraId="782830C1"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35</w:t>
            </w:r>
            <w:r w:rsidR="00446336">
              <w:rPr>
                <w:rFonts w:eastAsia="Times New Roman" w:cs="Arial"/>
                <w:color w:val="000000"/>
                <w:sz w:val="18"/>
                <w:szCs w:val="18"/>
                <w:lang w:eastAsia="en-AU"/>
              </w:rPr>
              <w:t>.0</w:t>
            </w:r>
            <w:r w:rsidRPr="00D72D94">
              <w:rPr>
                <w:rFonts w:eastAsia="Times New Roman" w:cs="Arial"/>
                <w:color w:val="000000"/>
                <w:sz w:val="18"/>
                <w:szCs w:val="18"/>
                <w:lang w:eastAsia="en-AU"/>
              </w:rPr>
              <w:t>%</w:t>
            </w:r>
          </w:p>
        </w:tc>
        <w:tc>
          <w:tcPr>
            <w:tcW w:w="1240" w:type="dxa"/>
            <w:tcBorders>
              <w:left w:val="dotted" w:sz="4" w:space="0" w:color="auto"/>
              <w:bottom w:val="single" w:sz="4" w:space="0" w:color="auto"/>
            </w:tcBorders>
            <w:noWrap/>
            <w:hideMark/>
          </w:tcPr>
          <w:p w14:paraId="38E35B6B" w14:textId="77777777" w:rsidR="00BF7697" w:rsidRPr="00D72D94"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rFonts w:eastAsia="Times New Roman" w:cs="Arial"/>
                <w:color w:val="000000"/>
                <w:sz w:val="18"/>
                <w:szCs w:val="18"/>
                <w:lang w:eastAsia="en-AU"/>
              </w:rPr>
              <w:t>58.0%</w:t>
            </w:r>
          </w:p>
        </w:tc>
      </w:tr>
      <w:tr w:rsidR="00BF7697" w:rsidRPr="00CC0F59" w14:paraId="18CFD289" w14:textId="77777777" w:rsidTr="00DA3F73">
        <w:trPr>
          <w:trHeight w:val="301"/>
        </w:trPr>
        <w:tc>
          <w:tcPr>
            <w:cnfStyle w:val="001000000000" w:firstRow="0" w:lastRow="0" w:firstColumn="1" w:lastColumn="0" w:oddVBand="0" w:evenVBand="0" w:oddHBand="0" w:evenHBand="0" w:firstRowFirstColumn="0" w:firstRowLastColumn="0" w:lastRowFirstColumn="0" w:lastRowLastColumn="0"/>
            <w:tcW w:w="3160" w:type="dxa"/>
            <w:tcBorders>
              <w:top w:val="single" w:sz="4" w:space="0" w:color="auto"/>
              <w:bottom w:val="single" w:sz="4" w:space="0" w:color="auto"/>
            </w:tcBorders>
            <w:shd w:val="clear" w:color="auto" w:fill="D4C5D7"/>
            <w:noWrap/>
            <w:hideMark/>
          </w:tcPr>
          <w:p w14:paraId="25A4BEA8" w14:textId="77777777" w:rsidR="00BF7697" w:rsidRPr="00D72D94" w:rsidRDefault="00BF7697" w:rsidP="00B17C79">
            <w:pPr>
              <w:spacing w:after="0" w:line="240" w:lineRule="auto"/>
              <w:rPr>
                <w:rFonts w:eastAsia="Times New Roman" w:cs="Arial"/>
                <w:b/>
                <w:bCs/>
                <w:color w:val="000000"/>
                <w:sz w:val="18"/>
                <w:szCs w:val="18"/>
                <w:lang w:eastAsia="en-AU"/>
              </w:rPr>
            </w:pPr>
            <w:r w:rsidRPr="00D72D94">
              <w:rPr>
                <w:rFonts w:eastAsia="Times New Roman" w:cs="Arial"/>
                <w:b/>
                <w:bCs/>
                <w:color w:val="000000"/>
                <w:sz w:val="18"/>
                <w:szCs w:val="18"/>
                <w:lang w:eastAsia="en-AU"/>
              </w:rPr>
              <w:t>Total Number of Participants</w:t>
            </w:r>
          </w:p>
        </w:tc>
        <w:tc>
          <w:tcPr>
            <w:tcW w:w="1248" w:type="dxa"/>
            <w:tcBorders>
              <w:top w:val="single" w:sz="4" w:space="0" w:color="auto"/>
              <w:bottom w:val="single" w:sz="4" w:space="0" w:color="auto"/>
            </w:tcBorders>
            <w:shd w:val="clear" w:color="auto" w:fill="D4C5D7"/>
            <w:noWrap/>
            <w:hideMark/>
          </w:tcPr>
          <w:p w14:paraId="3C32F8A4"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100.0%</w:t>
            </w:r>
          </w:p>
        </w:tc>
        <w:tc>
          <w:tcPr>
            <w:tcW w:w="1256" w:type="dxa"/>
            <w:tcBorders>
              <w:top w:val="single" w:sz="4" w:space="0" w:color="auto"/>
              <w:bottom w:val="single" w:sz="4" w:space="0" w:color="auto"/>
            </w:tcBorders>
            <w:shd w:val="clear" w:color="auto" w:fill="D4C5D7"/>
            <w:noWrap/>
            <w:hideMark/>
          </w:tcPr>
          <w:p w14:paraId="0A797B9B"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100.0%</w:t>
            </w:r>
          </w:p>
        </w:tc>
        <w:tc>
          <w:tcPr>
            <w:tcW w:w="1256" w:type="dxa"/>
            <w:tcBorders>
              <w:top w:val="single" w:sz="4" w:space="0" w:color="auto"/>
              <w:bottom w:val="single" w:sz="4" w:space="0" w:color="auto"/>
            </w:tcBorders>
            <w:shd w:val="clear" w:color="auto" w:fill="D4C5D7"/>
            <w:noWrap/>
            <w:hideMark/>
          </w:tcPr>
          <w:p w14:paraId="71879C7B"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100.0%</w:t>
            </w:r>
          </w:p>
        </w:tc>
        <w:tc>
          <w:tcPr>
            <w:tcW w:w="1248" w:type="dxa"/>
            <w:tcBorders>
              <w:top w:val="single" w:sz="4" w:space="0" w:color="auto"/>
              <w:bottom w:val="single" w:sz="4" w:space="0" w:color="auto"/>
              <w:right w:val="dotted" w:sz="4" w:space="0" w:color="auto"/>
            </w:tcBorders>
            <w:shd w:val="clear" w:color="auto" w:fill="D4C5D7"/>
            <w:noWrap/>
            <w:hideMark/>
          </w:tcPr>
          <w:p w14:paraId="7A8B1D35"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100</w:t>
            </w:r>
            <w:r w:rsidR="00446336">
              <w:rPr>
                <w:rFonts w:eastAsia="Times New Roman" w:cs="Arial"/>
                <w:b/>
                <w:bCs/>
                <w:color w:val="000000"/>
                <w:sz w:val="18"/>
                <w:szCs w:val="18"/>
                <w:lang w:eastAsia="en-AU"/>
              </w:rPr>
              <w:t>.0</w:t>
            </w:r>
            <w:r w:rsidRPr="00D72D94">
              <w:rPr>
                <w:rFonts w:eastAsia="Times New Roman" w:cs="Arial"/>
                <w:b/>
                <w:bCs/>
                <w:color w:val="000000"/>
                <w:sz w:val="18"/>
                <w:szCs w:val="18"/>
                <w:lang w:eastAsia="en-AU"/>
              </w:rPr>
              <w:t>%</w:t>
            </w:r>
          </w:p>
        </w:tc>
        <w:tc>
          <w:tcPr>
            <w:tcW w:w="1240" w:type="dxa"/>
            <w:tcBorders>
              <w:top w:val="single" w:sz="4" w:space="0" w:color="auto"/>
              <w:left w:val="dotted" w:sz="4" w:space="0" w:color="auto"/>
              <w:bottom w:val="single" w:sz="4" w:space="0" w:color="auto"/>
            </w:tcBorders>
            <w:shd w:val="clear" w:color="auto" w:fill="D4C5D7"/>
            <w:noWrap/>
            <w:hideMark/>
          </w:tcPr>
          <w:p w14:paraId="45EC6447" w14:textId="77777777" w:rsidR="00BF7697" w:rsidRPr="00D72D94"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D72D94">
              <w:rPr>
                <w:rFonts w:eastAsia="Times New Roman" w:cs="Arial"/>
                <w:b/>
                <w:bCs/>
                <w:color w:val="000000"/>
                <w:sz w:val="18"/>
                <w:szCs w:val="18"/>
                <w:lang w:eastAsia="en-AU"/>
              </w:rPr>
              <w:t>100.0%</w:t>
            </w:r>
          </w:p>
        </w:tc>
      </w:tr>
    </w:tbl>
    <w:p w14:paraId="77CC83F8" w14:textId="77777777" w:rsidR="00BF7697" w:rsidRPr="00FF421C" w:rsidRDefault="009A6E6B" w:rsidP="00BF7697">
      <w:pPr>
        <w:pStyle w:val="FSRHeading4"/>
      </w:pPr>
      <w:r>
        <w:t>Scheme expense</w:t>
      </w:r>
      <w:r w:rsidR="00BF7697" w:rsidRPr="00FF421C">
        <w:t xml:space="preserve"> projection</w:t>
      </w:r>
    </w:p>
    <w:p w14:paraId="7BEFB5C1" w14:textId="77777777" w:rsidR="002D5E51" w:rsidRDefault="00BF7697" w:rsidP="00BF7697">
      <w:pPr>
        <w:pStyle w:val="FSRnormal"/>
      </w:pPr>
      <w:r w:rsidRPr="00FF421C">
        <w:t>Projected</w:t>
      </w:r>
      <w:r w:rsidR="009A6E6B">
        <w:t xml:space="preserve"> Scheme expense</w:t>
      </w:r>
      <w:r w:rsidR="00B710A9">
        <w:t>s</w:t>
      </w:r>
      <w:r w:rsidR="009A6E6B">
        <w:t xml:space="preserve"> </w:t>
      </w:r>
      <w:r w:rsidRPr="00FF421C">
        <w:t>on an accrual basis are $34.0 billion in 2022-23, increasing to $</w:t>
      </w:r>
      <w:r w:rsidR="00952BB4">
        <w:t>89.4</w:t>
      </w:r>
      <w:r w:rsidRPr="00FF421C">
        <w:t xml:space="preserve"> billion in 2031-32. </w:t>
      </w:r>
      <w:r w:rsidR="00F652C8">
        <w:t xml:space="preserve">Estimated </w:t>
      </w:r>
      <w:r w:rsidR="00B710A9">
        <w:t>S</w:t>
      </w:r>
      <w:r w:rsidR="009A6E6B">
        <w:t xml:space="preserve">cheme expenses </w:t>
      </w:r>
      <w:r>
        <w:t xml:space="preserve">for the four years to June 2026 </w:t>
      </w:r>
      <w:r w:rsidR="00F652C8">
        <w:t xml:space="preserve">are </w:t>
      </w:r>
      <w:r>
        <w:t>$166</w:t>
      </w:r>
      <w:r w:rsidR="00952BB4">
        <w:t>.</w:t>
      </w:r>
      <w:r w:rsidR="00865432">
        <w:t>6</w:t>
      </w:r>
      <w:r>
        <w:t xml:space="preserve"> billion</w:t>
      </w:r>
      <w:r w:rsidR="00F652C8">
        <w:t xml:space="preserve"> on an accrual basis</w:t>
      </w:r>
      <w:r>
        <w:t>.</w:t>
      </w:r>
      <w:r w:rsidR="002D5E51">
        <w:t xml:space="preserve"> </w:t>
      </w:r>
    </w:p>
    <w:p w14:paraId="361CA646" w14:textId="77777777" w:rsidR="00BF7697" w:rsidRDefault="00BF7697" w:rsidP="00BF7697">
      <w:pPr>
        <w:pStyle w:val="Tables"/>
      </w:pPr>
      <w:bookmarkStart w:id="151" w:name="_Ref80783106"/>
      <w:bookmarkStart w:id="152" w:name="_Ref113276432"/>
      <w:r w:rsidRPr="00164A79">
        <w:t xml:space="preserve">Table </w:t>
      </w:r>
      <w:bookmarkEnd w:id="151"/>
      <w:r w:rsidR="00A87896">
        <w:fldChar w:fldCharType="begin"/>
      </w:r>
      <w:r w:rsidR="00A87896">
        <w:instrText xml:space="preserve"> STYLEREF 2 \s </w:instrText>
      </w:r>
      <w:r w:rsidR="00A87896">
        <w:fldChar w:fldCharType="separate"/>
      </w:r>
      <w:r w:rsidR="00A87896">
        <w:rPr>
          <w:noProof/>
        </w:rPr>
        <w:t>5</w:t>
      </w:r>
      <w:r w:rsidR="00A87896">
        <w:fldChar w:fldCharType="end"/>
      </w:r>
      <w:r w:rsidR="00A87896">
        <w:t>.</w:t>
      </w:r>
      <w:fldSimple w:instr=" SEQ Table \* ARABIC \s 2 ">
        <w:r w:rsidR="00A87896">
          <w:rPr>
            <w:noProof/>
          </w:rPr>
          <w:t>4</w:t>
        </w:r>
      </w:fldSimple>
      <w:bookmarkEnd w:id="152"/>
      <w:r w:rsidRPr="00164A79">
        <w:t>: Baseline projection of</w:t>
      </w:r>
      <w:r w:rsidR="00A74CF1" w:rsidRPr="00164A79">
        <w:t xml:space="preserve"> Scheme expenses</w:t>
      </w:r>
      <w:r>
        <w:t xml:space="preserve"> </w:t>
      </w:r>
    </w:p>
    <w:tbl>
      <w:tblPr>
        <w:tblStyle w:val="FSRtable"/>
        <w:tblW w:w="5000" w:type="pct"/>
        <w:tblInd w:w="0" w:type="dxa"/>
        <w:tblLayout w:type="fixed"/>
        <w:tblLook w:val="04A0" w:firstRow="1" w:lastRow="0" w:firstColumn="1" w:lastColumn="0" w:noHBand="0" w:noVBand="1"/>
      </w:tblPr>
      <w:tblGrid>
        <w:gridCol w:w="3371"/>
        <w:gridCol w:w="943"/>
        <w:gridCol w:w="944"/>
        <w:gridCol w:w="942"/>
        <w:gridCol w:w="942"/>
        <w:gridCol w:w="942"/>
        <w:gridCol w:w="942"/>
      </w:tblGrid>
      <w:tr w:rsidR="002D5E51" w:rsidRPr="00F55162" w14:paraId="116C685F" w14:textId="77777777" w:rsidTr="002D5E51">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867" w:type="pct"/>
            <w:noWrap/>
            <w:hideMark/>
          </w:tcPr>
          <w:p w14:paraId="04239A55" w14:textId="77777777" w:rsidR="002D5E51" w:rsidRPr="0065210D" w:rsidRDefault="002D5E51" w:rsidP="002D5E51">
            <w:pPr>
              <w:spacing w:after="0" w:line="240" w:lineRule="auto"/>
              <w:rPr>
                <w:rFonts w:eastAsia="Times New Roman"/>
                <w:b w:val="0"/>
                <w:bCs/>
                <w:color w:val="FFFFFF"/>
                <w:sz w:val="18"/>
                <w:szCs w:val="18"/>
                <w:lang w:eastAsia="en-AU"/>
              </w:rPr>
            </w:pPr>
            <w:r>
              <w:rPr>
                <w:rFonts w:eastAsia="Times New Roman"/>
                <w:bCs/>
                <w:color w:val="FFFFFF"/>
                <w:sz w:val="18"/>
                <w:szCs w:val="18"/>
                <w:lang w:eastAsia="en-AU"/>
              </w:rPr>
              <w:t>Scheme Expenses</w:t>
            </w:r>
            <w:r w:rsidRPr="0065210D">
              <w:rPr>
                <w:rFonts w:eastAsia="Times New Roman"/>
                <w:bCs/>
                <w:color w:val="FFFFFF"/>
                <w:sz w:val="18"/>
                <w:szCs w:val="18"/>
                <w:lang w:eastAsia="en-AU"/>
              </w:rPr>
              <w:t xml:space="preserve"> ($m) </w:t>
            </w:r>
          </w:p>
        </w:tc>
        <w:tc>
          <w:tcPr>
            <w:tcW w:w="522" w:type="pct"/>
            <w:noWrap/>
            <w:hideMark/>
          </w:tcPr>
          <w:p w14:paraId="64E46C9E" w14:textId="77777777" w:rsidR="002D5E51" w:rsidRPr="0065210D" w:rsidRDefault="002D5E51" w:rsidP="002D5E5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2022-23</w:t>
            </w:r>
          </w:p>
        </w:tc>
        <w:tc>
          <w:tcPr>
            <w:tcW w:w="523" w:type="pct"/>
            <w:noWrap/>
            <w:hideMark/>
          </w:tcPr>
          <w:p w14:paraId="2A27DD04" w14:textId="77777777" w:rsidR="002D5E51" w:rsidRPr="0065210D" w:rsidRDefault="002D5E51" w:rsidP="002D5E5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2023-24</w:t>
            </w:r>
          </w:p>
        </w:tc>
        <w:tc>
          <w:tcPr>
            <w:tcW w:w="522" w:type="pct"/>
            <w:noWrap/>
            <w:hideMark/>
          </w:tcPr>
          <w:p w14:paraId="5656A058" w14:textId="77777777" w:rsidR="002D5E51" w:rsidRPr="0065210D" w:rsidRDefault="002D5E51" w:rsidP="002D5E5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2024-25</w:t>
            </w:r>
          </w:p>
        </w:tc>
        <w:tc>
          <w:tcPr>
            <w:tcW w:w="522" w:type="pct"/>
            <w:tcBorders>
              <w:top w:val="single" w:sz="4" w:space="0" w:color="auto"/>
              <w:right w:val="dotted" w:sz="4" w:space="0" w:color="auto"/>
            </w:tcBorders>
            <w:noWrap/>
            <w:hideMark/>
          </w:tcPr>
          <w:p w14:paraId="54522B28" w14:textId="77777777" w:rsidR="002D5E51" w:rsidRPr="0065210D" w:rsidRDefault="002D5E51" w:rsidP="002D5E5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2025-26</w:t>
            </w:r>
          </w:p>
        </w:tc>
        <w:tc>
          <w:tcPr>
            <w:tcW w:w="522" w:type="pct"/>
            <w:tcBorders>
              <w:top w:val="single" w:sz="4" w:space="0" w:color="auto"/>
              <w:left w:val="dotted" w:sz="4" w:space="0" w:color="auto"/>
              <w:right w:val="single" w:sz="4" w:space="0" w:color="auto"/>
            </w:tcBorders>
            <w:noWrap/>
            <w:hideMark/>
          </w:tcPr>
          <w:p w14:paraId="6F4E798A" w14:textId="77777777" w:rsidR="002D5E51" w:rsidRPr="0065210D" w:rsidRDefault="002D5E51" w:rsidP="002D5E5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65210D">
              <w:rPr>
                <w:rFonts w:eastAsia="Times New Roman"/>
                <w:bCs/>
                <w:color w:val="FFFFFF"/>
                <w:sz w:val="18"/>
                <w:szCs w:val="18"/>
                <w:lang w:eastAsia="en-AU"/>
              </w:rPr>
              <w:t>2031-32</w:t>
            </w:r>
          </w:p>
        </w:tc>
        <w:tc>
          <w:tcPr>
            <w:tcW w:w="522" w:type="pct"/>
            <w:tcBorders>
              <w:left w:val="single" w:sz="4" w:space="0" w:color="auto"/>
            </w:tcBorders>
          </w:tcPr>
          <w:p w14:paraId="3099A56F" w14:textId="77777777" w:rsidR="002D5E51" w:rsidRPr="0065210D" w:rsidRDefault="002D5E51" w:rsidP="002D5E5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65210D">
              <w:rPr>
                <w:rFonts w:eastAsia="Times New Roman"/>
                <w:bCs/>
                <w:color w:val="FFFFFF"/>
                <w:sz w:val="18"/>
                <w:szCs w:val="18"/>
                <w:lang w:eastAsia="en-AU"/>
              </w:rPr>
              <w:t>2022-26</w:t>
            </w:r>
          </w:p>
        </w:tc>
      </w:tr>
      <w:tr w:rsidR="002D5E51" w:rsidRPr="00F55162" w14:paraId="28131BF1" w14:textId="77777777" w:rsidTr="002D5E51">
        <w:trPr>
          <w:trHeight w:val="301"/>
        </w:trPr>
        <w:tc>
          <w:tcPr>
            <w:cnfStyle w:val="001000000000" w:firstRow="0" w:lastRow="0" w:firstColumn="1" w:lastColumn="0" w:oddVBand="0" w:evenVBand="0" w:oddHBand="0" w:evenHBand="0" w:firstRowFirstColumn="0" w:firstRowLastColumn="0" w:lastRowFirstColumn="0" w:lastRowLastColumn="0"/>
            <w:tcW w:w="1867" w:type="pct"/>
            <w:noWrap/>
            <w:hideMark/>
          </w:tcPr>
          <w:p w14:paraId="06ECBE36" w14:textId="77777777" w:rsidR="002D5E51" w:rsidRPr="0065210D" w:rsidRDefault="002D5E51" w:rsidP="002D5E51">
            <w:pPr>
              <w:spacing w:after="0" w:line="240" w:lineRule="auto"/>
              <w:rPr>
                <w:rFonts w:eastAsia="Times New Roman" w:cs="Arial"/>
                <w:b/>
                <w:bCs/>
                <w:color w:val="000000"/>
                <w:sz w:val="18"/>
                <w:szCs w:val="18"/>
                <w:lang w:eastAsia="en-AU"/>
              </w:rPr>
            </w:pPr>
            <w:r>
              <w:rPr>
                <w:rFonts w:eastAsia="Times New Roman" w:cs="Arial"/>
                <w:b/>
                <w:bCs/>
                <w:color w:val="000000"/>
                <w:sz w:val="18"/>
                <w:szCs w:val="18"/>
                <w:lang w:eastAsia="en-AU"/>
              </w:rPr>
              <w:t xml:space="preserve">Scheme Expenses </w:t>
            </w:r>
            <w:r w:rsidRPr="0065210D">
              <w:rPr>
                <w:rFonts w:eastAsia="Times New Roman" w:cs="Arial"/>
                <w:b/>
                <w:bCs/>
                <w:color w:val="000000"/>
                <w:sz w:val="18"/>
                <w:szCs w:val="18"/>
                <w:lang w:eastAsia="en-AU"/>
              </w:rPr>
              <w:t>(cash basis)</w:t>
            </w:r>
          </w:p>
        </w:tc>
        <w:tc>
          <w:tcPr>
            <w:tcW w:w="522" w:type="pct"/>
            <w:noWrap/>
            <w:hideMark/>
          </w:tcPr>
          <w:p w14:paraId="4349CBD9" w14:textId="77777777" w:rsidR="002D5E51" w:rsidRPr="0065210D"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r w:rsidRPr="0065210D">
              <w:rPr>
                <w:rFonts w:eastAsia="Times New Roman" w:cs="Arial"/>
                <w:b/>
                <w:bCs/>
                <w:i/>
                <w:iCs/>
                <w:color w:val="000000"/>
                <w:sz w:val="18"/>
                <w:szCs w:val="18"/>
                <w:lang w:eastAsia="en-AU"/>
              </w:rPr>
              <w:t> </w:t>
            </w:r>
          </w:p>
        </w:tc>
        <w:tc>
          <w:tcPr>
            <w:tcW w:w="523" w:type="pct"/>
            <w:noWrap/>
            <w:hideMark/>
          </w:tcPr>
          <w:p w14:paraId="011E2073" w14:textId="77777777" w:rsidR="002D5E51" w:rsidRPr="0065210D"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r w:rsidRPr="0065210D">
              <w:rPr>
                <w:rFonts w:eastAsia="Times New Roman" w:cs="Arial"/>
                <w:b/>
                <w:bCs/>
                <w:i/>
                <w:iCs/>
                <w:color w:val="000000"/>
                <w:sz w:val="18"/>
                <w:szCs w:val="18"/>
                <w:lang w:eastAsia="en-AU"/>
              </w:rPr>
              <w:t> </w:t>
            </w:r>
          </w:p>
        </w:tc>
        <w:tc>
          <w:tcPr>
            <w:tcW w:w="522" w:type="pct"/>
            <w:noWrap/>
            <w:hideMark/>
          </w:tcPr>
          <w:p w14:paraId="7BCF7C5E" w14:textId="77777777" w:rsidR="002D5E51" w:rsidRPr="0065210D"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r w:rsidRPr="0065210D">
              <w:rPr>
                <w:rFonts w:eastAsia="Times New Roman" w:cs="Arial"/>
                <w:b/>
                <w:bCs/>
                <w:i/>
                <w:iCs/>
                <w:color w:val="000000"/>
                <w:sz w:val="18"/>
                <w:szCs w:val="18"/>
                <w:lang w:eastAsia="en-AU"/>
              </w:rPr>
              <w:t> </w:t>
            </w:r>
          </w:p>
        </w:tc>
        <w:tc>
          <w:tcPr>
            <w:tcW w:w="522" w:type="pct"/>
            <w:tcBorders>
              <w:right w:val="dotted" w:sz="4" w:space="0" w:color="auto"/>
            </w:tcBorders>
            <w:noWrap/>
            <w:hideMark/>
          </w:tcPr>
          <w:p w14:paraId="61E322E0" w14:textId="77777777" w:rsidR="002D5E51" w:rsidRPr="0065210D"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r w:rsidRPr="0065210D">
              <w:rPr>
                <w:rFonts w:eastAsia="Times New Roman" w:cs="Arial"/>
                <w:b/>
                <w:bCs/>
                <w:i/>
                <w:iCs/>
                <w:color w:val="000000"/>
                <w:sz w:val="18"/>
                <w:szCs w:val="18"/>
                <w:lang w:eastAsia="en-AU"/>
              </w:rPr>
              <w:t> </w:t>
            </w:r>
          </w:p>
        </w:tc>
        <w:tc>
          <w:tcPr>
            <w:tcW w:w="522" w:type="pct"/>
            <w:tcBorders>
              <w:left w:val="dotted" w:sz="4" w:space="0" w:color="auto"/>
              <w:right w:val="single" w:sz="4" w:space="0" w:color="auto"/>
            </w:tcBorders>
            <w:noWrap/>
            <w:hideMark/>
          </w:tcPr>
          <w:p w14:paraId="61BDD300" w14:textId="77777777" w:rsidR="002D5E51" w:rsidRPr="0065210D"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r w:rsidRPr="0065210D">
              <w:rPr>
                <w:rFonts w:eastAsia="Times New Roman" w:cs="Arial"/>
                <w:b/>
                <w:bCs/>
                <w:i/>
                <w:iCs/>
                <w:color w:val="000000"/>
                <w:sz w:val="18"/>
                <w:szCs w:val="18"/>
                <w:lang w:eastAsia="en-AU"/>
              </w:rPr>
              <w:t> </w:t>
            </w:r>
          </w:p>
        </w:tc>
        <w:tc>
          <w:tcPr>
            <w:tcW w:w="522" w:type="pct"/>
            <w:tcBorders>
              <w:left w:val="single" w:sz="4" w:space="0" w:color="auto"/>
            </w:tcBorders>
          </w:tcPr>
          <w:p w14:paraId="4A5488DB" w14:textId="77777777" w:rsidR="002D5E51" w:rsidRPr="0065210D"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p>
        </w:tc>
      </w:tr>
      <w:tr w:rsidR="002D5E51" w:rsidRPr="00F55162" w14:paraId="24DDE386" w14:textId="77777777" w:rsidTr="002D5E5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noWrap/>
            <w:hideMark/>
          </w:tcPr>
          <w:p w14:paraId="0023B2FD" w14:textId="77777777" w:rsidR="002D5E51" w:rsidRPr="0065210D" w:rsidRDefault="002D5E51" w:rsidP="002D5E51">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xml:space="preserve">Scheme Expenses </w:t>
            </w:r>
            <w:r w:rsidRPr="0065210D">
              <w:rPr>
                <w:rFonts w:eastAsia="Times New Roman" w:cs="Arial"/>
                <w:color w:val="000000"/>
                <w:sz w:val="18"/>
                <w:szCs w:val="18"/>
                <w:lang w:eastAsia="en-AU"/>
              </w:rPr>
              <w:t xml:space="preserve"> (0-64)</w:t>
            </w:r>
          </w:p>
        </w:tc>
        <w:tc>
          <w:tcPr>
            <w:tcW w:w="522" w:type="pct"/>
            <w:noWrap/>
            <w:hideMark/>
          </w:tcPr>
          <w:p w14:paraId="74963D7E" w14:textId="77777777" w:rsidR="002D5E51" w:rsidRPr="0065210D"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30,931</w:t>
            </w:r>
          </w:p>
        </w:tc>
        <w:tc>
          <w:tcPr>
            <w:tcW w:w="523" w:type="pct"/>
            <w:noWrap/>
            <w:hideMark/>
          </w:tcPr>
          <w:p w14:paraId="42C203B6" w14:textId="77777777" w:rsidR="002D5E51" w:rsidRPr="0065210D"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34,357</w:t>
            </w:r>
          </w:p>
        </w:tc>
        <w:tc>
          <w:tcPr>
            <w:tcW w:w="522" w:type="pct"/>
            <w:noWrap/>
            <w:hideMark/>
          </w:tcPr>
          <w:p w14:paraId="2815256D" w14:textId="77777777" w:rsidR="002D5E51" w:rsidRPr="0065210D"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39,364</w:t>
            </w:r>
          </w:p>
        </w:tc>
        <w:tc>
          <w:tcPr>
            <w:tcW w:w="522" w:type="pct"/>
            <w:tcBorders>
              <w:right w:val="dotted" w:sz="4" w:space="0" w:color="auto"/>
            </w:tcBorders>
            <w:noWrap/>
            <w:hideMark/>
          </w:tcPr>
          <w:p w14:paraId="4E4984F0" w14:textId="77777777" w:rsidR="002D5E51" w:rsidRPr="0065210D"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44,519</w:t>
            </w:r>
          </w:p>
        </w:tc>
        <w:tc>
          <w:tcPr>
            <w:tcW w:w="522" w:type="pct"/>
            <w:tcBorders>
              <w:left w:val="dotted" w:sz="4" w:space="0" w:color="auto"/>
              <w:right w:val="single" w:sz="4" w:space="0" w:color="auto"/>
            </w:tcBorders>
            <w:noWrap/>
            <w:hideMark/>
          </w:tcPr>
          <w:p w14:paraId="757DC9D2" w14:textId="77777777" w:rsidR="002D5E51" w:rsidRPr="0065210D"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76,700</w:t>
            </w:r>
          </w:p>
        </w:tc>
        <w:tc>
          <w:tcPr>
            <w:tcW w:w="522" w:type="pct"/>
            <w:tcBorders>
              <w:left w:val="single" w:sz="4" w:space="0" w:color="auto"/>
            </w:tcBorders>
          </w:tcPr>
          <w:p w14:paraId="75B466EF" w14:textId="77777777" w:rsidR="002D5E51" w:rsidRPr="0065210D"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65210D">
              <w:rPr>
                <w:rFonts w:cs="Arial"/>
                <w:sz w:val="18"/>
                <w:szCs w:val="18"/>
              </w:rPr>
              <w:t>149,171</w:t>
            </w:r>
          </w:p>
        </w:tc>
      </w:tr>
      <w:tr w:rsidR="002D5E51" w:rsidRPr="00F55162" w14:paraId="4C73D5CD" w14:textId="77777777" w:rsidTr="002D5E51">
        <w:trPr>
          <w:trHeight w:val="301"/>
        </w:trPr>
        <w:tc>
          <w:tcPr>
            <w:cnfStyle w:val="001000000000" w:firstRow="0" w:lastRow="0" w:firstColumn="1" w:lastColumn="0" w:oddVBand="0" w:evenVBand="0" w:oddHBand="0" w:evenHBand="0" w:firstRowFirstColumn="0" w:firstRowLastColumn="0" w:lastRowFirstColumn="0" w:lastRowLastColumn="0"/>
            <w:tcW w:w="1867" w:type="pct"/>
            <w:tcBorders>
              <w:bottom w:val="single" w:sz="4" w:space="0" w:color="auto"/>
            </w:tcBorders>
            <w:noWrap/>
            <w:hideMark/>
          </w:tcPr>
          <w:p w14:paraId="6F6E5987" w14:textId="77777777" w:rsidR="002D5E51" w:rsidRPr="0065210D" w:rsidRDefault="002D5E51" w:rsidP="002D5E51">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xml:space="preserve">Scheme Expenses </w:t>
            </w:r>
            <w:r w:rsidRPr="0065210D">
              <w:rPr>
                <w:rFonts w:eastAsia="Times New Roman" w:cs="Arial"/>
                <w:color w:val="000000"/>
                <w:sz w:val="18"/>
                <w:szCs w:val="18"/>
                <w:lang w:eastAsia="en-AU"/>
              </w:rPr>
              <w:t>(65+)</w:t>
            </w:r>
          </w:p>
        </w:tc>
        <w:tc>
          <w:tcPr>
            <w:tcW w:w="522" w:type="pct"/>
            <w:tcBorders>
              <w:bottom w:val="single" w:sz="4" w:space="0" w:color="auto"/>
            </w:tcBorders>
            <w:noWrap/>
            <w:hideMark/>
          </w:tcPr>
          <w:p w14:paraId="776D85AD" w14:textId="77777777" w:rsidR="002D5E51" w:rsidRPr="0065210D"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2,544</w:t>
            </w:r>
          </w:p>
        </w:tc>
        <w:tc>
          <w:tcPr>
            <w:tcW w:w="523" w:type="pct"/>
            <w:tcBorders>
              <w:bottom w:val="single" w:sz="4" w:space="0" w:color="auto"/>
            </w:tcBorders>
            <w:noWrap/>
            <w:hideMark/>
          </w:tcPr>
          <w:p w14:paraId="3FAE44F2" w14:textId="77777777" w:rsidR="002D5E51" w:rsidRPr="0065210D"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3,211</w:t>
            </w:r>
          </w:p>
        </w:tc>
        <w:tc>
          <w:tcPr>
            <w:tcW w:w="522" w:type="pct"/>
            <w:tcBorders>
              <w:bottom w:val="single" w:sz="4" w:space="0" w:color="auto"/>
            </w:tcBorders>
            <w:noWrap/>
            <w:hideMark/>
          </w:tcPr>
          <w:p w14:paraId="1B97BE93" w14:textId="77777777" w:rsidR="002D5E51" w:rsidRPr="0065210D"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4,099</w:t>
            </w:r>
          </w:p>
        </w:tc>
        <w:tc>
          <w:tcPr>
            <w:tcW w:w="522" w:type="pct"/>
            <w:tcBorders>
              <w:bottom w:val="single" w:sz="4" w:space="0" w:color="auto"/>
              <w:right w:val="dotted" w:sz="4" w:space="0" w:color="auto"/>
            </w:tcBorders>
            <w:noWrap/>
            <w:hideMark/>
          </w:tcPr>
          <w:p w14:paraId="2776CBE5" w14:textId="77777777" w:rsidR="002D5E51" w:rsidRPr="0065210D"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5,081</w:t>
            </w:r>
          </w:p>
        </w:tc>
        <w:tc>
          <w:tcPr>
            <w:tcW w:w="522" w:type="pct"/>
            <w:tcBorders>
              <w:left w:val="dotted" w:sz="4" w:space="0" w:color="auto"/>
              <w:bottom w:val="single" w:sz="4" w:space="0" w:color="auto"/>
              <w:right w:val="single" w:sz="4" w:space="0" w:color="auto"/>
            </w:tcBorders>
            <w:noWrap/>
            <w:hideMark/>
          </w:tcPr>
          <w:p w14:paraId="1378D667" w14:textId="77777777" w:rsidR="002D5E51" w:rsidRPr="0065210D"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11,389</w:t>
            </w:r>
          </w:p>
        </w:tc>
        <w:tc>
          <w:tcPr>
            <w:tcW w:w="522" w:type="pct"/>
            <w:tcBorders>
              <w:left w:val="single" w:sz="4" w:space="0" w:color="auto"/>
              <w:bottom w:val="single" w:sz="4" w:space="0" w:color="auto"/>
            </w:tcBorders>
          </w:tcPr>
          <w:p w14:paraId="1DC5E877" w14:textId="77777777" w:rsidR="002D5E51" w:rsidRPr="0065210D"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5210D">
              <w:rPr>
                <w:rFonts w:cs="Arial"/>
                <w:sz w:val="18"/>
                <w:szCs w:val="18"/>
              </w:rPr>
              <w:t>14,934</w:t>
            </w:r>
          </w:p>
        </w:tc>
      </w:tr>
      <w:tr w:rsidR="002D5E51" w:rsidRPr="00E5208A" w14:paraId="2D93C883" w14:textId="77777777" w:rsidTr="002D5E5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tcBorders>
              <w:top w:val="single" w:sz="4" w:space="0" w:color="auto"/>
              <w:bottom w:val="single" w:sz="4" w:space="0" w:color="auto"/>
            </w:tcBorders>
            <w:shd w:val="clear" w:color="auto" w:fill="D4C5D7"/>
            <w:noWrap/>
            <w:hideMark/>
          </w:tcPr>
          <w:p w14:paraId="12DDF8A2" w14:textId="77777777" w:rsidR="002D5E51" w:rsidRPr="00E5208A" w:rsidRDefault="002D5E51" w:rsidP="002D5E51">
            <w:pPr>
              <w:spacing w:after="0" w:line="240" w:lineRule="auto"/>
              <w:rPr>
                <w:rFonts w:eastAsia="Times New Roman" w:cs="Arial"/>
                <w:b/>
                <w:bCs/>
                <w:color w:val="000000"/>
                <w:sz w:val="18"/>
                <w:szCs w:val="18"/>
                <w:lang w:eastAsia="en-AU"/>
              </w:rPr>
            </w:pPr>
            <w:r w:rsidRPr="00E5208A">
              <w:rPr>
                <w:rFonts w:eastAsia="Times New Roman" w:cs="Arial"/>
                <w:b/>
                <w:bCs/>
                <w:color w:val="000000"/>
                <w:sz w:val="18"/>
                <w:szCs w:val="18"/>
                <w:lang w:eastAsia="en-AU"/>
              </w:rPr>
              <w:t>Total Scheme Expenses (cash basis)</w:t>
            </w:r>
          </w:p>
        </w:tc>
        <w:tc>
          <w:tcPr>
            <w:tcW w:w="522" w:type="pct"/>
            <w:tcBorders>
              <w:top w:val="single" w:sz="4" w:space="0" w:color="auto"/>
              <w:bottom w:val="single" w:sz="4" w:space="0" w:color="auto"/>
            </w:tcBorders>
            <w:shd w:val="clear" w:color="auto" w:fill="D4C5D7"/>
            <w:noWrap/>
            <w:hideMark/>
          </w:tcPr>
          <w:p w14:paraId="68982C8D" w14:textId="77777777" w:rsidR="002D5E51" w:rsidRPr="00E5208A"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3646DE">
              <w:rPr>
                <w:rFonts w:cs="Arial"/>
                <w:b/>
                <w:sz w:val="18"/>
                <w:szCs w:val="18"/>
              </w:rPr>
              <w:t>33,475</w:t>
            </w:r>
          </w:p>
        </w:tc>
        <w:tc>
          <w:tcPr>
            <w:tcW w:w="523" w:type="pct"/>
            <w:tcBorders>
              <w:top w:val="single" w:sz="4" w:space="0" w:color="auto"/>
              <w:bottom w:val="single" w:sz="4" w:space="0" w:color="auto"/>
            </w:tcBorders>
            <w:shd w:val="clear" w:color="auto" w:fill="D4C5D7"/>
            <w:noWrap/>
            <w:hideMark/>
          </w:tcPr>
          <w:p w14:paraId="30F204ED" w14:textId="77777777" w:rsidR="002D5E51" w:rsidRPr="00E5208A"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3646DE">
              <w:rPr>
                <w:rFonts w:cs="Arial"/>
                <w:b/>
                <w:sz w:val="18"/>
                <w:szCs w:val="18"/>
              </w:rPr>
              <w:t>37,568</w:t>
            </w:r>
          </w:p>
        </w:tc>
        <w:tc>
          <w:tcPr>
            <w:tcW w:w="522" w:type="pct"/>
            <w:tcBorders>
              <w:top w:val="single" w:sz="4" w:space="0" w:color="auto"/>
              <w:bottom w:val="single" w:sz="4" w:space="0" w:color="auto"/>
            </w:tcBorders>
            <w:shd w:val="clear" w:color="auto" w:fill="D4C5D7"/>
            <w:noWrap/>
            <w:hideMark/>
          </w:tcPr>
          <w:p w14:paraId="4FB3BA8F" w14:textId="77777777" w:rsidR="002D5E51" w:rsidRPr="00E5208A"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3646DE">
              <w:rPr>
                <w:rFonts w:cs="Arial"/>
                <w:b/>
                <w:sz w:val="18"/>
                <w:szCs w:val="18"/>
              </w:rPr>
              <w:t>43,463</w:t>
            </w:r>
          </w:p>
        </w:tc>
        <w:tc>
          <w:tcPr>
            <w:tcW w:w="522" w:type="pct"/>
            <w:tcBorders>
              <w:top w:val="single" w:sz="4" w:space="0" w:color="auto"/>
              <w:bottom w:val="single" w:sz="4" w:space="0" w:color="auto"/>
              <w:right w:val="dotted" w:sz="4" w:space="0" w:color="auto"/>
            </w:tcBorders>
            <w:shd w:val="clear" w:color="auto" w:fill="D4C5D7"/>
            <w:noWrap/>
            <w:hideMark/>
          </w:tcPr>
          <w:p w14:paraId="3D08DE36" w14:textId="77777777" w:rsidR="002D5E51" w:rsidRPr="00E5208A"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3646DE">
              <w:rPr>
                <w:rFonts w:cs="Arial"/>
                <w:b/>
                <w:sz w:val="18"/>
                <w:szCs w:val="18"/>
              </w:rPr>
              <w:t>49,599</w:t>
            </w:r>
          </w:p>
        </w:tc>
        <w:tc>
          <w:tcPr>
            <w:tcW w:w="522" w:type="pct"/>
            <w:tcBorders>
              <w:top w:val="single" w:sz="4" w:space="0" w:color="auto"/>
              <w:left w:val="dotted" w:sz="4" w:space="0" w:color="auto"/>
              <w:bottom w:val="single" w:sz="4" w:space="0" w:color="auto"/>
              <w:right w:val="single" w:sz="4" w:space="0" w:color="auto"/>
            </w:tcBorders>
            <w:shd w:val="clear" w:color="auto" w:fill="D4C5D7"/>
            <w:noWrap/>
            <w:hideMark/>
          </w:tcPr>
          <w:p w14:paraId="1841846D" w14:textId="77777777" w:rsidR="002D5E51" w:rsidRPr="00E5208A"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3646DE">
              <w:rPr>
                <w:rFonts w:cs="Arial"/>
                <w:b/>
                <w:sz w:val="18"/>
                <w:szCs w:val="18"/>
              </w:rPr>
              <w:t>88,089</w:t>
            </w:r>
          </w:p>
        </w:tc>
        <w:tc>
          <w:tcPr>
            <w:tcW w:w="522" w:type="pct"/>
            <w:tcBorders>
              <w:top w:val="single" w:sz="4" w:space="0" w:color="auto"/>
              <w:left w:val="single" w:sz="4" w:space="0" w:color="auto"/>
              <w:bottom w:val="single" w:sz="4" w:space="0" w:color="auto"/>
            </w:tcBorders>
            <w:shd w:val="clear" w:color="auto" w:fill="D4C5D7"/>
          </w:tcPr>
          <w:p w14:paraId="24821607" w14:textId="77777777" w:rsidR="002D5E51" w:rsidRPr="00E5208A"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en-AU"/>
              </w:rPr>
            </w:pPr>
            <w:r w:rsidRPr="003646DE">
              <w:rPr>
                <w:rFonts w:cs="Arial"/>
                <w:b/>
                <w:sz w:val="18"/>
                <w:szCs w:val="18"/>
              </w:rPr>
              <w:t>164,105</w:t>
            </w:r>
          </w:p>
        </w:tc>
      </w:tr>
      <w:tr w:rsidR="002D5E51" w:rsidRPr="00F55162" w14:paraId="3DD42944" w14:textId="77777777" w:rsidTr="002D5E51">
        <w:trPr>
          <w:trHeight w:val="301"/>
        </w:trPr>
        <w:tc>
          <w:tcPr>
            <w:cnfStyle w:val="001000000000" w:firstRow="0" w:lastRow="0" w:firstColumn="1" w:lastColumn="0" w:oddVBand="0" w:evenVBand="0" w:oddHBand="0" w:evenHBand="0" w:firstRowFirstColumn="0" w:firstRowLastColumn="0" w:lastRowFirstColumn="0" w:lastRowLastColumn="0"/>
            <w:tcW w:w="1867" w:type="pct"/>
            <w:tcBorders>
              <w:top w:val="single" w:sz="4" w:space="0" w:color="auto"/>
            </w:tcBorders>
            <w:noWrap/>
            <w:hideMark/>
          </w:tcPr>
          <w:p w14:paraId="19800563" w14:textId="77777777" w:rsidR="002D5E51" w:rsidRPr="0065210D" w:rsidRDefault="002D5E51" w:rsidP="002D5E51">
            <w:pPr>
              <w:spacing w:after="0" w:line="240" w:lineRule="auto"/>
              <w:rPr>
                <w:rFonts w:eastAsia="Times New Roman" w:cs="Arial"/>
                <w:b/>
                <w:bCs/>
                <w:color w:val="000000"/>
                <w:sz w:val="18"/>
                <w:szCs w:val="18"/>
                <w:lang w:eastAsia="en-AU"/>
              </w:rPr>
            </w:pPr>
            <w:r>
              <w:rPr>
                <w:rFonts w:eastAsia="Times New Roman" w:cs="Arial"/>
                <w:b/>
                <w:bCs/>
                <w:color w:val="000000"/>
                <w:sz w:val="18"/>
                <w:szCs w:val="18"/>
                <w:lang w:eastAsia="en-AU"/>
              </w:rPr>
              <w:t>Scheme Expenses</w:t>
            </w:r>
            <w:r w:rsidRPr="0065210D">
              <w:rPr>
                <w:rFonts w:eastAsia="Times New Roman" w:cs="Arial"/>
                <w:b/>
                <w:bCs/>
                <w:color w:val="000000"/>
                <w:sz w:val="18"/>
                <w:szCs w:val="18"/>
                <w:lang w:eastAsia="en-AU"/>
              </w:rPr>
              <w:t xml:space="preserve"> (accrual basis)</w:t>
            </w:r>
          </w:p>
        </w:tc>
        <w:tc>
          <w:tcPr>
            <w:tcW w:w="522" w:type="pct"/>
            <w:tcBorders>
              <w:top w:val="single" w:sz="4" w:space="0" w:color="auto"/>
            </w:tcBorders>
            <w:noWrap/>
            <w:hideMark/>
          </w:tcPr>
          <w:p w14:paraId="5F5B587E" w14:textId="77777777" w:rsidR="002D5E51" w:rsidRPr="0065210D"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p>
        </w:tc>
        <w:tc>
          <w:tcPr>
            <w:tcW w:w="523" w:type="pct"/>
            <w:tcBorders>
              <w:top w:val="single" w:sz="4" w:space="0" w:color="auto"/>
            </w:tcBorders>
            <w:noWrap/>
            <w:hideMark/>
          </w:tcPr>
          <w:p w14:paraId="4E5EB616" w14:textId="77777777" w:rsidR="002D5E51" w:rsidRPr="0065210D"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p>
        </w:tc>
        <w:tc>
          <w:tcPr>
            <w:tcW w:w="522" w:type="pct"/>
            <w:tcBorders>
              <w:top w:val="single" w:sz="4" w:space="0" w:color="auto"/>
            </w:tcBorders>
            <w:noWrap/>
            <w:hideMark/>
          </w:tcPr>
          <w:p w14:paraId="227C3B71" w14:textId="77777777" w:rsidR="002D5E51" w:rsidRPr="0065210D"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p>
        </w:tc>
        <w:tc>
          <w:tcPr>
            <w:tcW w:w="522" w:type="pct"/>
            <w:tcBorders>
              <w:top w:val="single" w:sz="4" w:space="0" w:color="auto"/>
              <w:right w:val="dotted" w:sz="4" w:space="0" w:color="auto"/>
            </w:tcBorders>
            <w:noWrap/>
            <w:hideMark/>
          </w:tcPr>
          <w:p w14:paraId="1301228A" w14:textId="77777777" w:rsidR="002D5E51" w:rsidRPr="0065210D"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p>
        </w:tc>
        <w:tc>
          <w:tcPr>
            <w:tcW w:w="522" w:type="pct"/>
            <w:tcBorders>
              <w:top w:val="single" w:sz="4" w:space="0" w:color="auto"/>
              <w:left w:val="dotted" w:sz="4" w:space="0" w:color="auto"/>
              <w:right w:val="single" w:sz="4" w:space="0" w:color="auto"/>
            </w:tcBorders>
            <w:noWrap/>
            <w:hideMark/>
          </w:tcPr>
          <w:p w14:paraId="2D96BC5C" w14:textId="77777777" w:rsidR="002D5E51" w:rsidRPr="0065210D"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p>
        </w:tc>
        <w:tc>
          <w:tcPr>
            <w:tcW w:w="522" w:type="pct"/>
            <w:tcBorders>
              <w:top w:val="single" w:sz="4" w:space="0" w:color="auto"/>
              <w:left w:val="single" w:sz="4" w:space="0" w:color="auto"/>
            </w:tcBorders>
          </w:tcPr>
          <w:p w14:paraId="0AC4E00E" w14:textId="77777777" w:rsidR="002D5E51" w:rsidRPr="0065210D"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p>
        </w:tc>
      </w:tr>
      <w:tr w:rsidR="002D5E51" w:rsidRPr="00F55162" w14:paraId="142CCBE3" w14:textId="77777777" w:rsidTr="002D5E5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noWrap/>
            <w:hideMark/>
          </w:tcPr>
          <w:p w14:paraId="0F3FE7AE" w14:textId="77777777" w:rsidR="002D5E51" w:rsidRPr="0065210D" w:rsidRDefault="002D5E51" w:rsidP="002D5E51">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xml:space="preserve">Scheme Expenses </w:t>
            </w:r>
            <w:r w:rsidRPr="0065210D">
              <w:rPr>
                <w:rFonts w:eastAsia="Times New Roman" w:cs="Arial"/>
                <w:color w:val="000000"/>
                <w:sz w:val="18"/>
                <w:szCs w:val="18"/>
                <w:lang w:eastAsia="en-AU"/>
              </w:rPr>
              <w:t>(0-64) </w:t>
            </w:r>
          </w:p>
        </w:tc>
        <w:tc>
          <w:tcPr>
            <w:tcW w:w="522" w:type="pct"/>
            <w:noWrap/>
            <w:hideMark/>
          </w:tcPr>
          <w:p w14:paraId="21A7A6C0" w14:textId="77777777" w:rsidR="002D5E51" w:rsidRPr="0065210D"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31,394</w:t>
            </w:r>
          </w:p>
        </w:tc>
        <w:tc>
          <w:tcPr>
            <w:tcW w:w="523" w:type="pct"/>
            <w:noWrap/>
            <w:hideMark/>
          </w:tcPr>
          <w:p w14:paraId="37B4D17E" w14:textId="77777777" w:rsidR="002D5E51" w:rsidRPr="0065210D"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34,874</w:t>
            </w:r>
          </w:p>
        </w:tc>
        <w:tc>
          <w:tcPr>
            <w:tcW w:w="522" w:type="pct"/>
            <w:noWrap/>
            <w:hideMark/>
          </w:tcPr>
          <w:p w14:paraId="2ED59C07" w14:textId="77777777" w:rsidR="002D5E51" w:rsidRPr="0065210D"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39,955</w:t>
            </w:r>
          </w:p>
        </w:tc>
        <w:tc>
          <w:tcPr>
            <w:tcW w:w="522" w:type="pct"/>
            <w:tcBorders>
              <w:right w:val="dotted" w:sz="4" w:space="0" w:color="auto"/>
            </w:tcBorders>
            <w:noWrap/>
            <w:hideMark/>
          </w:tcPr>
          <w:p w14:paraId="53CF766F" w14:textId="77777777" w:rsidR="002D5E51" w:rsidRPr="0065210D"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45,187</w:t>
            </w:r>
          </w:p>
        </w:tc>
        <w:tc>
          <w:tcPr>
            <w:tcW w:w="522" w:type="pct"/>
            <w:tcBorders>
              <w:left w:val="dotted" w:sz="4" w:space="0" w:color="auto"/>
              <w:right w:val="single" w:sz="4" w:space="0" w:color="auto"/>
            </w:tcBorders>
            <w:noWrap/>
            <w:hideMark/>
          </w:tcPr>
          <w:p w14:paraId="58FF5B83" w14:textId="77777777" w:rsidR="002D5E51" w:rsidRPr="0065210D"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65210D">
              <w:rPr>
                <w:rFonts w:cs="Arial"/>
                <w:sz w:val="18"/>
                <w:szCs w:val="18"/>
              </w:rPr>
              <w:t>77,843</w:t>
            </w:r>
          </w:p>
        </w:tc>
        <w:tc>
          <w:tcPr>
            <w:tcW w:w="522" w:type="pct"/>
            <w:tcBorders>
              <w:left w:val="single" w:sz="4" w:space="0" w:color="auto"/>
            </w:tcBorders>
          </w:tcPr>
          <w:p w14:paraId="57668C9A" w14:textId="77777777" w:rsidR="002D5E51" w:rsidRPr="0065210D"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65210D">
              <w:rPr>
                <w:rFonts w:cs="Arial"/>
                <w:sz w:val="18"/>
                <w:szCs w:val="18"/>
              </w:rPr>
              <w:t>151,411</w:t>
            </w:r>
          </w:p>
        </w:tc>
      </w:tr>
      <w:tr w:rsidR="002D5E51" w:rsidRPr="00F55162" w14:paraId="1081662D" w14:textId="77777777" w:rsidTr="002D5E51">
        <w:trPr>
          <w:trHeight w:val="301"/>
        </w:trPr>
        <w:tc>
          <w:tcPr>
            <w:cnfStyle w:val="001000000000" w:firstRow="0" w:lastRow="0" w:firstColumn="1" w:lastColumn="0" w:oddVBand="0" w:evenVBand="0" w:oddHBand="0" w:evenHBand="0" w:firstRowFirstColumn="0" w:firstRowLastColumn="0" w:lastRowFirstColumn="0" w:lastRowLastColumn="0"/>
            <w:tcW w:w="1867" w:type="pct"/>
            <w:tcBorders>
              <w:bottom w:val="single" w:sz="4" w:space="0" w:color="auto"/>
            </w:tcBorders>
            <w:noWrap/>
            <w:hideMark/>
          </w:tcPr>
          <w:p w14:paraId="15967213" w14:textId="77777777" w:rsidR="002D5E51" w:rsidRPr="0065210D" w:rsidRDefault="002D5E51" w:rsidP="002D5E51">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xml:space="preserve">Scheme Expenses </w:t>
            </w:r>
            <w:r w:rsidRPr="0065210D">
              <w:rPr>
                <w:rFonts w:eastAsia="Times New Roman" w:cs="Arial"/>
                <w:color w:val="000000"/>
                <w:sz w:val="18"/>
                <w:szCs w:val="18"/>
                <w:lang w:eastAsia="en-AU"/>
              </w:rPr>
              <w:t>(65+) </w:t>
            </w:r>
          </w:p>
        </w:tc>
        <w:tc>
          <w:tcPr>
            <w:tcW w:w="522" w:type="pct"/>
            <w:tcBorders>
              <w:bottom w:val="single" w:sz="4" w:space="0" w:color="auto"/>
            </w:tcBorders>
            <w:noWrap/>
            <w:hideMark/>
          </w:tcPr>
          <w:p w14:paraId="47A2F5A1" w14:textId="77777777" w:rsidR="002D5E51" w:rsidRPr="0065210D"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2,582</w:t>
            </w:r>
          </w:p>
        </w:tc>
        <w:tc>
          <w:tcPr>
            <w:tcW w:w="523" w:type="pct"/>
            <w:tcBorders>
              <w:bottom w:val="single" w:sz="4" w:space="0" w:color="auto"/>
            </w:tcBorders>
            <w:noWrap/>
            <w:hideMark/>
          </w:tcPr>
          <w:p w14:paraId="51B5FA34" w14:textId="77777777" w:rsidR="002D5E51" w:rsidRPr="0065210D"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3,259</w:t>
            </w:r>
          </w:p>
        </w:tc>
        <w:tc>
          <w:tcPr>
            <w:tcW w:w="522" w:type="pct"/>
            <w:tcBorders>
              <w:bottom w:val="single" w:sz="4" w:space="0" w:color="auto"/>
            </w:tcBorders>
            <w:noWrap/>
            <w:hideMark/>
          </w:tcPr>
          <w:p w14:paraId="4D4C7920" w14:textId="77777777" w:rsidR="002D5E51" w:rsidRPr="0065210D"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4,160</w:t>
            </w:r>
          </w:p>
        </w:tc>
        <w:tc>
          <w:tcPr>
            <w:tcW w:w="522" w:type="pct"/>
            <w:tcBorders>
              <w:bottom w:val="single" w:sz="4" w:space="0" w:color="auto"/>
              <w:right w:val="dotted" w:sz="4" w:space="0" w:color="auto"/>
            </w:tcBorders>
            <w:noWrap/>
            <w:hideMark/>
          </w:tcPr>
          <w:p w14:paraId="09CFB178" w14:textId="77777777" w:rsidR="002D5E51" w:rsidRPr="0065210D"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5,157</w:t>
            </w:r>
          </w:p>
        </w:tc>
        <w:tc>
          <w:tcPr>
            <w:tcW w:w="522" w:type="pct"/>
            <w:tcBorders>
              <w:left w:val="dotted" w:sz="4" w:space="0" w:color="auto"/>
              <w:bottom w:val="single" w:sz="4" w:space="0" w:color="auto"/>
              <w:right w:val="single" w:sz="4" w:space="0" w:color="auto"/>
            </w:tcBorders>
            <w:noWrap/>
            <w:hideMark/>
          </w:tcPr>
          <w:p w14:paraId="7FD81132" w14:textId="77777777" w:rsidR="002D5E51" w:rsidRPr="0065210D"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65210D">
              <w:rPr>
                <w:rFonts w:cs="Arial"/>
                <w:sz w:val="18"/>
                <w:szCs w:val="18"/>
              </w:rPr>
              <w:t>11,559</w:t>
            </w:r>
          </w:p>
        </w:tc>
        <w:tc>
          <w:tcPr>
            <w:tcW w:w="522" w:type="pct"/>
            <w:tcBorders>
              <w:left w:val="single" w:sz="4" w:space="0" w:color="auto"/>
              <w:bottom w:val="single" w:sz="4" w:space="0" w:color="auto"/>
            </w:tcBorders>
          </w:tcPr>
          <w:p w14:paraId="1F18ABBE" w14:textId="77777777" w:rsidR="002D5E51" w:rsidRPr="0065210D"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65210D">
              <w:rPr>
                <w:rFonts w:cs="Arial"/>
                <w:sz w:val="18"/>
                <w:szCs w:val="18"/>
              </w:rPr>
              <w:t>15,158</w:t>
            </w:r>
          </w:p>
        </w:tc>
      </w:tr>
      <w:tr w:rsidR="002D5E51" w:rsidRPr="00E5208A" w14:paraId="0B0B2028" w14:textId="77777777" w:rsidTr="002D5E51">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867" w:type="pct"/>
            <w:tcBorders>
              <w:top w:val="single" w:sz="4" w:space="0" w:color="auto"/>
              <w:bottom w:val="single" w:sz="4" w:space="0" w:color="auto"/>
            </w:tcBorders>
            <w:shd w:val="clear" w:color="auto" w:fill="D4C5D7"/>
            <w:noWrap/>
            <w:hideMark/>
          </w:tcPr>
          <w:p w14:paraId="4F399122" w14:textId="77777777" w:rsidR="002D5E51" w:rsidRPr="00E5208A" w:rsidRDefault="002D5E51" w:rsidP="002D5E51">
            <w:pPr>
              <w:spacing w:after="0" w:line="240" w:lineRule="auto"/>
              <w:rPr>
                <w:rFonts w:eastAsia="Times New Roman" w:cs="Arial"/>
                <w:b/>
                <w:bCs/>
                <w:color w:val="000000"/>
                <w:sz w:val="18"/>
                <w:szCs w:val="18"/>
                <w:lang w:eastAsia="en-AU"/>
              </w:rPr>
            </w:pPr>
            <w:r w:rsidRPr="00E5208A">
              <w:rPr>
                <w:rFonts w:eastAsia="Times New Roman" w:cs="Arial"/>
                <w:b/>
                <w:bCs/>
                <w:color w:val="000000"/>
                <w:sz w:val="18"/>
                <w:szCs w:val="18"/>
                <w:lang w:eastAsia="en-AU"/>
              </w:rPr>
              <w:t>Total Scheme Expenses (accrual basis) </w:t>
            </w:r>
          </w:p>
        </w:tc>
        <w:tc>
          <w:tcPr>
            <w:tcW w:w="522" w:type="pct"/>
            <w:tcBorders>
              <w:top w:val="single" w:sz="4" w:space="0" w:color="auto"/>
              <w:bottom w:val="single" w:sz="4" w:space="0" w:color="auto"/>
            </w:tcBorders>
            <w:shd w:val="clear" w:color="auto" w:fill="D4C5D7"/>
            <w:noWrap/>
            <w:hideMark/>
          </w:tcPr>
          <w:p w14:paraId="6E819573" w14:textId="77777777" w:rsidR="002D5E51" w:rsidRPr="00E5208A"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3646DE">
              <w:rPr>
                <w:rFonts w:cs="Arial"/>
                <w:b/>
                <w:sz w:val="18"/>
                <w:szCs w:val="18"/>
              </w:rPr>
              <w:t>33,976</w:t>
            </w:r>
          </w:p>
        </w:tc>
        <w:tc>
          <w:tcPr>
            <w:tcW w:w="523" w:type="pct"/>
            <w:tcBorders>
              <w:top w:val="single" w:sz="4" w:space="0" w:color="auto"/>
              <w:bottom w:val="single" w:sz="4" w:space="0" w:color="auto"/>
            </w:tcBorders>
            <w:shd w:val="clear" w:color="auto" w:fill="D4C5D7"/>
            <w:noWrap/>
            <w:hideMark/>
          </w:tcPr>
          <w:p w14:paraId="7C4F3D48" w14:textId="77777777" w:rsidR="002D5E51" w:rsidRPr="00E5208A"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3646DE">
              <w:rPr>
                <w:rFonts w:cs="Arial"/>
                <w:b/>
                <w:sz w:val="18"/>
                <w:szCs w:val="18"/>
              </w:rPr>
              <w:t>38,133</w:t>
            </w:r>
          </w:p>
        </w:tc>
        <w:tc>
          <w:tcPr>
            <w:tcW w:w="522" w:type="pct"/>
            <w:tcBorders>
              <w:top w:val="single" w:sz="4" w:space="0" w:color="auto"/>
              <w:bottom w:val="single" w:sz="4" w:space="0" w:color="auto"/>
            </w:tcBorders>
            <w:shd w:val="clear" w:color="auto" w:fill="D4C5D7"/>
            <w:noWrap/>
            <w:hideMark/>
          </w:tcPr>
          <w:p w14:paraId="06EEF190" w14:textId="77777777" w:rsidR="002D5E51" w:rsidRPr="00E5208A"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3646DE">
              <w:rPr>
                <w:rFonts w:cs="Arial"/>
                <w:b/>
                <w:sz w:val="18"/>
                <w:szCs w:val="18"/>
              </w:rPr>
              <w:t>44,116</w:t>
            </w:r>
          </w:p>
        </w:tc>
        <w:tc>
          <w:tcPr>
            <w:tcW w:w="522" w:type="pct"/>
            <w:tcBorders>
              <w:top w:val="single" w:sz="4" w:space="0" w:color="auto"/>
              <w:bottom w:val="single" w:sz="4" w:space="0" w:color="auto"/>
              <w:right w:val="dotted" w:sz="4" w:space="0" w:color="auto"/>
            </w:tcBorders>
            <w:shd w:val="clear" w:color="auto" w:fill="D4C5D7"/>
            <w:noWrap/>
            <w:hideMark/>
          </w:tcPr>
          <w:p w14:paraId="17B5E546" w14:textId="77777777" w:rsidR="002D5E51" w:rsidRPr="00E5208A"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3646DE">
              <w:rPr>
                <w:rFonts w:cs="Arial"/>
                <w:b/>
                <w:sz w:val="18"/>
                <w:szCs w:val="18"/>
              </w:rPr>
              <w:t>50,344</w:t>
            </w:r>
          </w:p>
        </w:tc>
        <w:tc>
          <w:tcPr>
            <w:tcW w:w="522" w:type="pct"/>
            <w:tcBorders>
              <w:top w:val="single" w:sz="4" w:space="0" w:color="auto"/>
              <w:left w:val="dotted" w:sz="4" w:space="0" w:color="auto"/>
              <w:bottom w:val="single" w:sz="4" w:space="0" w:color="auto"/>
              <w:right w:val="single" w:sz="4" w:space="0" w:color="auto"/>
            </w:tcBorders>
            <w:shd w:val="clear" w:color="auto" w:fill="D4C5D7"/>
            <w:noWrap/>
            <w:hideMark/>
          </w:tcPr>
          <w:p w14:paraId="38297E9B" w14:textId="77777777" w:rsidR="002D5E51" w:rsidRPr="00E5208A"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3646DE">
              <w:rPr>
                <w:rFonts w:cs="Arial"/>
                <w:b/>
                <w:sz w:val="18"/>
                <w:szCs w:val="18"/>
              </w:rPr>
              <w:t>89,403</w:t>
            </w:r>
          </w:p>
        </w:tc>
        <w:tc>
          <w:tcPr>
            <w:tcW w:w="522" w:type="pct"/>
            <w:tcBorders>
              <w:top w:val="single" w:sz="4" w:space="0" w:color="auto"/>
              <w:left w:val="single" w:sz="4" w:space="0" w:color="auto"/>
              <w:bottom w:val="single" w:sz="4" w:space="0" w:color="auto"/>
            </w:tcBorders>
            <w:shd w:val="clear" w:color="auto" w:fill="D4C5D7"/>
          </w:tcPr>
          <w:p w14:paraId="2AEAC16C" w14:textId="77777777" w:rsidR="002D5E51" w:rsidRPr="00E5208A" w:rsidRDefault="002D5E51" w:rsidP="002D5E51">
            <w:pPr>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18"/>
                <w:szCs w:val="18"/>
              </w:rPr>
            </w:pPr>
            <w:r w:rsidRPr="003646DE">
              <w:rPr>
                <w:rFonts w:cs="Arial"/>
                <w:b/>
                <w:sz w:val="18"/>
                <w:szCs w:val="18"/>
              </w:rPr>
              <w:t>166,569</w:t>
            </w:r>
          </w:p>
        </w:tc>
      </w:tr>
      <w:tr w:rsidR="002D5E51" w:rsidRPr="00E5208A" w14:paraId="53BEABB7" w14:textId="77777777" w:rsidTr="002D5E51">
        <w:trPr>
          <w:trHeight w:val="301"/>
        </w:trPr>
        <w:tc>
          <w:tcPr>
            <w:cnfStyle w:val="001000000000" w:firstRow="0" w:lastRow="0" w:firstColumn="1" w:lastColumn="0" w:oddVBand="0" w:evenVBand="0" w:oddHBand="0" w:evenHBand="0" w:firstRowFirstColumn="0" w:firstRowLastColumn="0" w:lastRowFirstColumn="0" w:lastRowLastColumn="0"/>
            <w:tcW w:w="1867" w:type="pct"/>
            <w:tcBorders>
              <w:top w:val="single" w:sz="4" w:space="0" w:color="auto"/>
              <w:bottom w:val="single" w:sz="4" w:space="0" w:color="auto"/>
            </w:tcBorders>
            <w:shd w:val="clear" w:color="auto" w:fill="D4C5D7"/>
            <w:noWrap/>
          </w:tcPr>
          <w:p w14:paraId="44DD62CA" w14:textId="77777777" w:rsidR="002D5E51" w:rsidRPr="00E5208A" w:rsidRDefault="002D5E51" w:rsidP="002D5E51">
            <w:pPr>
              <w:spacing w:after="0" w:line="240" w:lineRule="auto"/>
              <w:rPr>
                <w:rFonts w:eastAsia="Times New Roman" w:cs="Arial"/>
                <w:b/>
                <w:bCs/>
                <w:color w:val="000000"/>
                <w:sz w:val="18"/>
                <w:szCs w:val="18"/>
                <w:lang w:eastAsia="en-AU"/>
              </w:rPr>
            </w:pPr>
            <w:r w:rsidRPr="00E5208A">
              <w:rPr>
                <w:rFonts w:eastAsia="Times New Roman" w:cs="Arial"/>
                <w:b/>
                <w:bCs/>
                <w:color w:val="000000"/>
                <w:sz w:val="18"/>
                <w:szCs w:val="18"/>
                <w:lang w:eastAsia="en-AU"/>
              </w:rPr>
              <w:t>Total Scheme Expenses (% of GDP)</w:t>
            </w:r>
          </w:p>
        </w:tc>
        <w:tc>
          <w:tcPr>
            <w:tcW w:w="522" w:type="pct"/>
            <w:tcBorders>
              <w:top w:val="single" w:sz="4" w:space="0" w:color="auto"/>
              <w:bottom w:val="single" w:sz="4" w:space="0" w:color="auto"/>
            </w:tcBorders>
            <w:shd w:val="clear" w:color="auto" w:fill="D4C5D7"/>
            <w:noWrap/>
          </w:tcPr>
          <w:p w14:paraId="7C23CB6D" w14:textId="77777777" w:rsidR="002D5E51" w:rsidRPr="003646DE"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cs="Arial"/>
                <w:b/>
                <w:sz w:val="18"/>
                <w:szCs w:val="18"/>
              </w:rPr>
            </w:pPr>
            <w:r w:rsidRPr="003646DE">
              <w:rPr>
                <w:rFonts w:cs="Arial"/>
                <w:b/>
                <w:sz w:val="18"/>
                <w:szCs w:val="18"/>
              </w:rPr>
              <w:t>1.48%</w:t>
            </w:r>
          </w:p>
        </w:tc>
        <w:tc>
          <w:tcPr>
            <w:tcW w:w="523" w:type="pct"/>
            <w:tcBorders>
              <w:top w:val="single" w:sz="4" w:space="0" w:color="auto"/>
              <w:bottom w:val="single" w:sz="4" w:space="0" w:color="auto"/>
            </w:tcBorders>
            <w:shd w:val="clear" w:color="auto" w:fill="D4C5D7"/>
            <w:noWrap/>
          </w:tcPr>
          <w:p w14:paraId="044011F5" w14:textId="77777777" w:rsidR="002D5E51" w:rsidRPr="003646DE"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cs="Arial"/>
                <w:b/>
                <w:sz w:val="18"/>
                <w:szCs w:val="18"/>
              </w:rPr>
            </w:pPr>
            <w:r w:rsidRPr="003646DE">
              <w:rPr>
                <w:rFonts w:cs="Arial"/>
                <w:b/>
                <w:sz w:val="18"/>
                <w:szCs w:val="18"/>
              </w:rPr>
              <w:t>1.61%</w:t>
            </w:r>
          </w:p>
        </w:tc>
        <w:tc>
          <w:tcPr>
            <w:tcW w:w="522" w:type="pct"/>
            <w:tcBorders>
              <w:top w:val="single" w:sz="4" w:space="0" w:color="auto"/>
              <w:bottom w:val="single" w:sz="4" w:space="0" w:color="auto"/>
            </w:tcBorders>
            <w:shd w:val="clear" w:color="auto" w:fill="D4C5D7"/>
            <w:noWrap/>
          </w:tcPr>
          <w:p w14:paraId="28FD9323" w14:textId="77777777" w:rsidR="002D5E51" w:rsidRPr="003646DE"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cs="Arial"/>
                <w:b/>
                <w:sz w:val="18"/>
                <w:szCs w:val="18"/>
              </w:rPr>
            </w:pPr>
            <w:r w:rsidRPr="003646DE">
              <w:rPr>
                <w:rFonts w:cs="Arial"/>
                <w:b/>
                <w:sz w:val="18"/>
                <w:szCs w:val="18"/>
              </w:rPr>
              <w:t>1.77%</w:t>
            </w:r>
          </w:p>
        </w:tc>
        <w:tc>
          <w:tcPr>
            <w:tcW w:w="522" w:type="pct"/>
            <w:tcBorders>
              <w:top w:val="single" w:sz="4" w:space="0" w:color="auto"/>
              <w:bottom w:val="single" w:sz="4" w:space="0" w:color="auto"/>
              <w:right w:val="dotted" w:sz="4" w:space="0" w:color="auto"/>
            </w:tcBorders>
            <w:shd w:val="clear" w:color="auto" w:fill="D4C5D7"/>
            <w:noWrap/>
          </w:tcPr>
          <w:p w14:paraId="230262DC" w14:textId="77777777" w:rsidR="002D5E51" w:rsidRPr="003646DE"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cs="Arial"/>
                <w:b/>
                <w:sz w:val="18"/>
                <w:szCs w:val="18"/>
              </w:rPr>
            </w:pPr>
            <w:r w:rsidRPr="003646DE">
              <w:rPr>
                <w:rFonts w:cs="Arial"/>
                <w:b/>
                <w:sz w:val="18"/>
                <w:szCs w:val="18"/>
              </w:rPr>
              <w:t>1.93%</w:t>
            </w:r>
          </w:p>
        </w:tc>
        <w:tc>
          <w:tcPr>
            <w:tcW w:w="522" w:type="pct"/>
            <w:tcBorders>
              <w:top w:val="single" w:sz="4" w:space="0" w:color="auto"/>
              <w:left w:val="dotted" w:sz="4" w:space="0" w:color="auto"/>
              <w:bottom w:val="single" w:sz="4" w:space="0" w:color="auto"/>
              <w:right w:val="single" w:sz="4" w:space="0" w:color="auto"/>
            </w:tcBorders>
            <w:shd w:val="clear" w:color="auto" w:fill="D4C5D7"/>
            <w:noWrap/>
          </w:tcPr>
          <w:p w14:paraId="2D974DCB" w14:textId="77777777" w:rsidR="002D5E51" w:rsidRPr="003646DE"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cs="Arial"/>
                <w:b/>
                <w:sz w:val="18"/>
                <w:szCs w:val="18"/>
              </w:rPr>
            </w:pPr>
            <w:r w:rsidRPr="003646DE">
              <w:rPr>
                <w:rFonts w:cs="Arial"/>
                <w:b/>
                <w:sz w:val="18"/>
                <w:szCs w:val="18"/>
              </w:rPr>
              <w:t>2.55%</w:t>
            </w:r>
          </w:p>
        </w:tc>
        <w:tc>
          <w:tcPr>
            <w:tcW w:w="522" w:type="pct"/>
            <w:tcBorders>
              <w:top w:val="single" w:sz="4" w:space="0" w:color="auto"/>
              <w:left w:val="single" w:sz="4" w:space="0" w:color="auto"/>
              <w:bottom w:val="single" w:sz="4" w:space="0" w:color="auto"/>
            </w:tcBorders>
            <w:shd w:val="clear" w:color="auto" w:fill="D4C5D7"/>
          </w:tcPr>
          <w:p w14:paraId="20901D3F" w14:textId="77777777" w:rsidR="002D5E51" w:rsidRPr="003646DE" w:rsidRDefault="002D5E51" w:rsidP="002D5E51">
            <w:pPr>
              <w:spacing w:after="0" w:line="240" w:lineRule="auto"/>
              <w:cnfStyle w:val="000000000000" w:firstRow="0" w:lastRow="0" w:firstColumn="0" w:lastColumn="0" w:oddVBand="0" w:evenVBand="0" w:oddHBand="0" w:evenHBand="0" w:firstRowFirstColumn="0" w:firstRowLastColumn="0" w:lastRowFirstColumn="0" w:lastRowLastColumn="0"/>
              <w:rPr>
                <w:rFonts w:cs="Arial"/>
                <w:b/>
                <w:sz w:val="18"/>
                <w:szCs w:val="18"/>
              </w:rPr>
            </w:pPr>
            <w:r w:rsidRPr="003646DE">
              <w:rPr>
                <w:rFonts w:cs="Arial"/>
                <w:b/>
                <w:sz w:val="18"/>
                <w:szCs w:val="18"/>
              </w:rPr>
              <w:t>1.70%</w:t>
            </w:r>
          </w:p>
        </w:tc>
      </w:tr>
    </w:tbl>
    <w:p w14:paraId="54CE5D4D" w14:textId="77777777" w:rsidR="0008067A" w:rsidRPr="00FF421C" w:rsidRDefault="0008067A" w:rsidP="0008067A">
      <w:pPr>
        <w:pStyle w:val="FSRnormal"/>
      </w:pPr>
      <w:r w:rsidRPr="00835575">
        <w:t>It is important to recognise that the projected Scheme expenses are shown in nomin</w:t>
      </w:r>
      <w:r w:rsidRPr="00562467">
        <w:t xml:space="preserve">al terms, i.e. that future dollars of estimated Scheme expenses include the effects of inflation over time, as shown in Table </w:t>
      </w:r>
      <w:r w:rsidRPr="00252EAF">
        <w:t>5</w:t>
      </w:r>
      <w:r w:rsidRPr="00562467">
        <w:t>.</w:t>
      </w:r>
      <w:r w:rsidRPr="00252EAF">
        <w:t>4</w:t>
      </w:r>
      <w:r w:rsidRPr="00562467">
        <w:t>. This impact of inflation increases over the longer term and so is particularly significant for the result in 2031-32. Expressing Scheme expenses as a proportion of GDP is a way of removing the impacts of economic inflation. Scheme expenses</w:t>
      </w:r>
      <w:r>
        <w:t xml:space="preserve"> are estimated to be 1.48% of GDP in 2022-23, increasing to 2.55% in 2031-32.</w:t>
      </w:r>
      <w:r w:rsidR="00D029AD">
        <w:t xml:space="preserve"> In considering longer</w:t>
      </w:r>
      <w:r w:rsidR="003F6941">
        <w:t>-</w:t>
      </w:r>
      <w:r w:rsidR="00D029AD">
        <w:t xml:space="preserve">term projections it is recommended that users refer to </w:t>
      </w:r>
      <w:r w:rsidR="00E753F3">
        <w:t>expenses</w:t>
      </w:r>
      <w:r w:rsidR="00D029AD">
        <w:t xml:space="preserve"> as a % of GDP rather than nominal dollar figures as these provide a more meaningful measure of </w:t>
      </w:r>
      <w:r w:rsidR="008C2B7B">
        <w:t>S</w:t>
      </w:r>
      <w:r w:rsidR="00D029AD">
        <w:t>cheme expenses.</w:t>
      </w:r>
    </w:p>
    <w:p w14:paraId="0BDE3A4D" w14:textId="77777777" w:rsidR="00BF7697" w:rsidRPr="00B54B06" w:rsidRDefault="00260852" w:rsidP="00BF7697">
      <w:pPr>
        <w:pStyle w:val="FSRnormal"/>
      </w:pPr>
      <w:r w:rsidRPr="00B54B06">
        <w:t xml:space="preserve">Table </w:t>
      </w:r>
      <w:r>
        <w:rPr>
          <w:noProof/>
        </w:rPr>
        <w:t>5</w:t>
      </w:r>
      <w:r>
        <w:t>.</w:t>
      </w:r>
      <w:r>
        <w:rPr>
          <w:noProof/>
        </w:rPr>
        <w:t>5</w:t>
      </w:r>
      <w:r w:rsidR="00E45CB1" w:rsidRPr="00252EAF">
        <w:t xml:space="preserve"> </w:t>
      </w:r>
      <w:r w:rsidR="00BF7697" w:rsidRPr="00B710A9">
        <w:t>s</w:t>
      </w:r>
      <w:r w:rsidR="00BF7697" w:rsidRPr="00B54B06">
        <w:t>hows the</w:t>
      </w:r>
      <w:r w:rsidR="00A74CF1">
        <w:t xml:space="preserve"> Scheme expenses</w:t>
      </w:r>
      <w:r w:rsidR="00BF7697" w:rsidRPr="00B54B06">
        <w:t xml:space="preserve"> projections on an accrual basis, split between existing Scheme participants and future participant intake (post 30 June 2022). In 2031-32, </w:t>
      </w:r>
      <w:r w:rsidR="00BF7697" w:rsidRPr="00B54B06">
        <w:lastRenderedPageBreak/>
        <w:t>60.</w:t>
      </w:r>
      <w:r w:rsidR="00952BB4">
        <w:t>8</w:t>
      </w:r>
      <w:r w:rsidR="00BF7697" w:rsidRPr="00B54B06">
        <w:t xml:space="preserve">% of projected </w:t>
      </w:r>
      <w:r w:rsidR="00E753F3">
        <w:t>expenses</w:t>
      </w:r>
      <w:r w:rsidR="00BF7697" w:rsidRPr="00B54B06">
        <w:t xml:space="preserve"> relate to current Scheme participants, with 39.</w:t>
      </w:r>
      <w:r w:rsidR="00952BB4">
        <w:t>2</w:t>
      </w:r>
      <w:r w:rsidR="00BF7697" w:rsidRPr="00B54B06">
        <w:t xml:space="preserve">% relating to new entrants. </w:t>
      </w:r>
    </w:p>
    <w:p w14:paraId="676F61F4" w14:textId="77777777" w:rsidR="00BF7697" w:rsidRPr="00B54B06" w:rsidRDefault="00BF7697" w:rsidP="00BF7697">
      <w:pPr>
        <w:pStyle w:val="Tables"/>
        <w:keepLines/>
      </w:pPr>
      <w:bookmarkStart w:id="153" w:name="_Ref80274232"/>
      <w:bookmarkStart w:id="154" w:name="_Ref111896646"/>
      <w:r w:rsidRPr="00164A79">
        <w:t xml:space="preserve">Table </w:t>
      </w:r>
      <w:bookmarkEnd w:id="153"/>
      <w:r w:rsidR="00A87896">
        <w:fldChar w:fldCharType="begin"/>
      </w:r>
      <w:r w:rsidR="00A87896">
        <w:instrText xml:space="preserve"> STYLEREF 2 \s </w:instrText>
      </w:r>
      <w:r w:rsidR="00A87896">
        <w:fldChar w:fldCharType="separate"/>
      </w:r>
      <w:r w:rsidR="00A87896">
        <w:rPr>
          <w:noProof/>
        </w:rPr>
        <w:t>5</w:t>
      </w:r>
      <w:r w:rsidR="00A87896">
        <w:fldChar w:fldCharType="end"/>
      </w:r>
      <w:r w:rsidR="00A87896">
        <w:t>.</w:t>
      </w:r>
      <w:fldSimple w:instr=" SEQ Table \* ARABIC \s 2 ">
        <w:r w:rsidR="00A87896">
          <w:rPr>
            <w:noProof/>
          </w:rPr>
          <w:t>5</w:t>
        </w:r>
      </w:fldSimple>
      <w:bookmarkEnd w:id="154"/>
      <w:r w:rsidRPr="00164A79">
        <w:t xml:space="preserve">: Breakdown of </w:t>
      </w:r>
      <w:r w:rsidR="00A74CF1" w:rsidRPr="00164A79">
        <w:t xml:space="preserve">Scheme expenses </w:t>
      </w:r>
      <w:r w:rsidRPr="00164A79">
        <w:t>between existing and new participants</w:t>
      </w:r>
    </w:p>
    <w:tbl>
      <w:tblPr>
        <w:tblStyle w:val="FSRtable"/>
        <w:tblW w:w="5000" w:type="pct"/>
        <w:tblInd w:w="0" w:type="dxa"/>
        <w:tblLayout w:type="fixed"/>
        <w:tblLook w:val="04A0" w:firstRow="1" w:lastRow="0" w:firstColumn="1" w:lastColumn="0" w:noHBand="0" w:noVBand="1"/>
      </w:tblPr>
      <w:tblGrid>
        <w:gridCol w:w="3971"/>
        <w:gridCol w:w="1133"/>
        <w:gridCol w:w="992"/>
        <w:gridCol w:w="992"/>
        <w:gridCol w:w="991"/>
        <w:gridCol w:w="942"/>
      </w:tblGrid>
      <w:tr w:rsidR="00F815FD" w:rsidRPr="00F815FD" w14:paraId="403606D9" w14:textId="77777777" w:rsidTr="000072D4">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199" w:type="pct"/>
            <w:tcBorders>
              <w:top w:val="single" w:sz="4" w:space="0" w:color="auto"/>
              <w:left w:val="single" w:sz="4" w:space="0" w:color="auto"/>
              <w:bottom w:val="nil"/>
              <w:right w:val="nil"/>
            </w:tcBorders>
            <w:noWrap/>
            <w:hideMark/>
          </w:tcPr>
          <w:p w14:paraId="370DC082" w14:textId="77777777" w:rsidR="00F815FD" w:rsidRPr="001257D5" w:rsidRDefault="00A74CF1" w:rsidP="001257D5">
            <w:pPr>
              <w:keepNext/>
              <w:spacing w:after="0" w:line="240" w:lineRule="auto"/>
              <w:rPr>
                <w:rFonts w:eastAsia="Times New Roman"/>
                <w:bCs/>
                <w:color w:val="FFFFFF"/>
                <w:sz w:val="18"/>
                <w:szCs w:val="18"/>
                <w:lang w:eastAsia="en-AU"/>
              </w:rPr>
            </w:pPr>
            <w:r>
              <w:rPr>
                <w:rFonts w:eastAsia="Times New Roman"/>
                <w:bCs/>
                <w:color w:val="FFFFFF"/>
                <w:sz w:val="18"/>
                <w:szCs w:val="18"/>
                <w:lang w:eastAsia="en-AU"/>
              </w:rPr>
              <w:t xml:space="preserve">Scheme Expenses </w:t>
            </w:r>
            <w:r w:rsidR="00F815FD" w:rsidRPr="00D72D94">
              <w:rPr>
                <w:rFonts w:eastAsia="Times New Roman"/>
                <w:bCs/>
                <w:color w:val="FFFFFF"/>
                <w:sz w:val="18"/>
                <w:szCs w:val="18"/>
                <w:lang w:eastAsia="en-AU"/>
              </w:rPr>
              <w:t>($m) - accrual basis</w:t>
            </w:r>
          </w:p>
        </w:tc>
        <w:tc>
          <w:tcPr>
            <w:tcW w:w="628" w:type="pct"/>
            <w:tcBorders>
              <w:left w:val="nil"/>
            </w:tcBorders>
            <w:noWrap/>
            <w:hideMark/>
          </w:tcPr>
          <w:p w14:paraId="259F002A" w14:textId="77777777" w:rsidR="00F815FD" w:rsidRPr="00D72D94" w:rsidRDefault="00F815FD" w:rsidP="001257D5">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2022-23</w:t>
            </w:r>
          </w:p>
        </w:tc>
        <w:tc>
          <w:tcPr>
            <w:tcW w:w="550" w:type="pct"/>
            <w:noWrap/>
            <w:hideMark/>
          </w:tcPr>
          <w:p w14:paraId="5FD602EE" w14:textId="77777777" w:rsidR="00F815FD" w:rsidRPr="00D72D94" w:rsidRDefault="00F815FD" w:rsidP="001257D5">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2023-24</w:t>
            </w:r>
          </w:p>
        </w:tc>
        <w:tc>
          <w:tcPr>
            <w:tcW w:w="550" w:type="pct"/>
            <w:noWrap/>
            <w:hideMark/>
          </w:tcPr>
          <w:p w14:paraId="303B3CBA" w14:textId="77777777" w:rsidR="00F815FD" w:rsidRPr="00D72D94" w:rsidRDefault="00F815FD" w:rsidP="001257D5">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2024-25</w:t>
            </w:r>
          </w:p>
        </w:tc>
        <w:tc>
          <w:tcPr>
            <w:tcW w:w="549" w:type="pct"/>
            <w:tcBorders>
              <w:right w:val="dotted" w:sz="4" w:space="0" w:color="auto"/>
            </w:tcBorders>
            <w:noWrap/>
            <w:hideMark/>
          </w:tcPr>
          <w:p w14:paraId="6B95845C" w14:textId="77777777" w:rsidR="00F815FD" w:rsidRPr="00D72D94" w:rsidRDefault="00F815FD" w:rsidP="001257D5">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2025-26</w:t>
            </w:r>
          </w:p>
        </w:tc>
        <w:tc>
          <w:tcPr>
            <w:tcW w:w="524" w:type="pct"/>
            <w:tcBorders>
              <w:top w:val="single" w:sz="4" w:space="0" w:color="auto"/>
              <w:left w:val="dotted" w:sz="4" w:space="0" w:color="auto"/>
            </w:tcBorders>
            <w:noWrap/>
            <w:hideMark/>
          </w:tcPr>
          <w:p w14:paraId="6203A0A0" w14:textId="77777777" w:rsidR="00F815FD" w:rsidRPr="00D72D94" w:rsidRDefault="00F815FD" w:rsidP="001257D5">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2031-32</w:t>
            </w:r>
          </w:p>
        </w:tc>
      </w:tr>
      <w:tr w:rsidR="00F815FD" w:rsidRPr="00F815FD" w14:paraId="3C81C9DD" w14:textId="77777777" w:rsidTr="000072D4">
        <w:trPr>
          <w:trHeight w:val="301"/>
        </w:trPr>
        <w:tc>
          <w:tcPr>
            <w:cnfStyle w:val="001000000000" w:firstRow="0" w:lastRow="0" w:firstColumn="1" w:lastColumn="0" w:oddVBand="0" w:evenVBand="0" w:oddHBand="0" w:evenHBand="0" w:firstRowFirstColumn="0" w:firstRowLastColumn="0" w:lastRowFirstColumn="0" w:lastRowLastColumn="0"/>
            <w:tcW w:w="2201" w:type="pct"/>
            <w:tcBorders>
              <w:top w:val="nil"/>
              <w:bottom w:val="nil"/>
              <w:right w:val="nil"/>
            </w:tcBorders>
            <w:noWrap/>
            <w:hideMark/>
          </w:tcPr>
          <w:p w14:paraId="73B17BCF" w14:textId="77777777" w:rsidR="00F815FD" w:rsidRPr="00D72D94" w:rsidRDefault="00F815FD" w:rsidP="00F815FD">
            <w:pPr>
              <w:keepNext/>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Existing Scheme participants</w:t>
            </w:r>
          </w:p>
        </w:tc>
        <w:tc>
          <w:tcPr>
            <w:tcW w:w="626" w:type="pct"/>
            <w:tcBorders>
              <w:left w:val="nil"/>
            </w:tcBorders>
            <w:noWrap/>
            <w:hideMark/>
          </w:tcPr>
          <w:p w14:paraId="7AE7B140" w14:textId="77777777" w:rsidR="00F815FD" w:rsidRPr="00D72D94" w:rsidRDefault="00F815FD">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sz w:val="18"/>
                <w:szCs w:val="18"/>
              </w:rPr>
              <w:t>32,967</w:t>
            </w:r>
          </w:p>
        </w:tc>
        <w:tc>
          <w:tcPr>
            <w:tcW w:w="550" w:type="pct"/>
            <w:noWrap/>
            <w:hideMark/>
          </w:tcPr>
          <w:p w14:paraId="2587EA99" w14:textId="77777777" w:rsidR="00F815FD" w:rsidRPr="00D72D94" w:rsidRDefault="00F815FD">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sz w:val="18"/>
                <w:szCs w:val="18"/>
              </w:rPr>
              <w:t>34,700</w:t>
            </w:r>
          </w:p>
        </w:tc>
        <w:tc>
          <w:tcPr>
            <w:tcW w:w="550" w:type="pct"/>
            <w:noWrap/>
            <w:hideMark/>
          </w:tcPr>
          <w:p w14:paraId="6A3FBD48" w14:textId="77777777" w:rsidR="00F815FD" w:rsidRPr="00D72D94" w:rsidRDefault="00F815FD">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sz w:val="18"/>
                <w:szCs w:val="18"/>
              </w:rPr>
              <w:t>37,662</w:t>
            </w:r>
          </w:p>
        </w:tc>
        <w:tc>
          <w:tcPr>
            <w:tcW w:w="549" w:type="pct"/>
            <w:tcBorders>
              <w:right w:val="dotted" w:sz="4" w:space="0" w:color="auto"/>
            </w:tcBorders>
            <w:noWrap/>
            <w:hideMark/>
          </w:tcPr>
          <w:p w14:paraId="2A4D5ADC" w14:textId="77777777" w:rsidR="00F815FD" w:rsidRPr="00D72D94" w:rsidRDefault="00F815FD">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sz w:val="18"/>
                <w:szCs w:val="18"/>
              </w:rPr>
              <w:t>40,621</w:t>
            </w:r>
          </w:p>
        </w:tc>
        <w:tc>
          <w:tcPr>
            <w:tcW w:w="524" w:type="pct"/>
            <w:tcBorders>
              <w:left w:val="dotted" w:sz="4" w:space="0" w:color="auto"/>
            </w:tcBorders>
            <w:noWrap/>
            <w:hideMark/>
          </w:tcPr>
          <w:p w14:paraId="74A36C61" w14:textId="77777777" w:rsidR="00F815FD" w:rsidRPr="00D72D94" w:rsidRDefault="00F815FD">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sz w:val="18"/>
                <w:szCs w:val="18"/>
              </w:rPr>
              <w:t>54,370</w:t>
            </w:r>
          </w:p>
        </w:tc>
      </w:tr>
      <w:tr w:rsidR="00F815FD" w:rsidRPr="00F815FD" w14:paraId="70C99972" w14:textId="77777777" w:rsidTr="000072D4">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201" w:type="pct"/>
            <w:tcBorders>
              <w:top w:val="nil"/>
              <w:bottom w:val="single" w:sz="4" w:space="0" w:color="auto"/>
            </w:tcBorders>
            <w:noWrap/>
            <w:hideMark/>
          </w:tcPr>
          <w:p w14:paraId="5A29EA3E" w14:textId="77777777" w:rsidR="00F815FD" w:rsidRPr="00D72D94" w:rsidRDefault="00F815FD" w:rsidP="00F815FD">
            <w:pPr>
              <w:keepNext/>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Future participant intake</w:t>
            </w:r>
          </w:p>
        </w:tc>
        <w:tc>
          <w:tcPr>
            <w:tcW w:w="626" w:type="pct"/>
            <w:tcBorders>
              <w:bottom w:val="single" w:sz="4" w:space="0" w:color="auto"/>
            </w:tcBorders>
            <w:noWrap/>
            <w:hideMark/>
          </w:tcPr>
          <w:p w14:paraId="150C26E4" w14:textId="77777777" w:rsidR="00F815FD" w:rsidRPr="00D72D94" w:rsidRDefault="00F815FD">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1,009</w:t>
            </w:r>
          </w:p>
        </w:tc>
        <w:tc>
          <w:tcPr>
            <w:tcW w:w="550" w:type="pct"/>
            <w:tcBorders>
              <w:bottom w:val="single" w:sz="4" w:space="0" w:color="auto"/>
            </w:tcBorders>
            <w:noWrap/>
            <w:hideMark/>
          </w:tcPr>
          <w:p w14:paraId="0E3CAE8E" w14:textId="77777777" w:rsidR="00F815FD" w:rsidRPr="00D72D94" w:rsidRDefault="00F815FD">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3,432</w:t>
            </w:r>
          </w:p>
        </w:tc>
        <w:tc>
          <w:tcPr>
            <w:tcW w:w="550" w:type="pct"/>
            <w:tcBorders>
              <w:bottom w:val="single" w:sz="4" w:space="0" w:color="auto"/>
            </w:tcBorders>
            <w:noWrap/>
            <w:hideMark/>
          </w:tcPr>
          <w:p w14:paraId="49013A21" w14:textId="77777777" w:rsidR="00F815FD" w:rsidRPr="00D72D94" w:rsidRDefault="00F815FD">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6,454</w:t>
            </w:r>
          </w:p>
        </w:tc>
        <w:tc>
          <w:tcPr>
            <w:tcW w:w="549" w:type="pct"/>
            <w:tcBorders>
              <w:bottom w:val="single" w:sz="4" w:space="0" w:color="auto"/>
              <w:right w:val="dotted" w:sz="4" w:space="0" w:color="auto"/>
            </w:tcBorders>
            <w:noWrap/>
            <w:hideMark/>
          </w:tcPr>
          <w:p w14:paraId="4F1FD4D6" w14:textId="77777777" w:rsidR="00F815FD" w:rsidRPr="00D72D94" w:rsidRDefault="00F815FD">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9,723</w:t>
            </w:r>
          </w:p>
        </w:tc>
        <w:tc>
          <w:tcPr>
            <w:tcW w:w="524" w:type="pct"/>
            <w:tcBorders>
              <w:left w:val="dotted" w:sz="4" w:space="0" w:color="auto"/>
              <w:bottom w:val="single" w:sz="4" w:space="0" w:color="auto"/>
            </w:tcBorders>
            <w:noWrap/>
            <w:hideMark/>
          </w:tcPr>
          <w:p w14:paraId="1334EF36" w14:textId="77777777" w:rsidR="00F815FD" w:rsidRPr="00D72D94" w:rsidRDefault="00F815FD">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35,033</w:t>
            </w:r>
          </w:p>
        </w:tc>
      </w:tr>
      <w:tr w:rsidR="00F815FD" w:rsidRPr="00F815FD" w14:paraId="045FEB5F" w14:textId="77777777" w:rsidTr="000072D4">
        <w:trPr>
          <w:trHeight w:val="301"/>
        </w:trPr>
        <w:tc>
          <w:tcPr>
            <w:cnfStyle w:val="001000000000" w:firstRow="0" w:lastRow="0" w:firstColumn="1" w:lastColumn="0" w:oddVBand="0" w:evenVBand="0" w:oddHBand="0" w:evenHBand="0" w:firstRowFirstColumn="0" w:firstRowLastColumn="0" w:lastRowFirstColumn="0" w:lastRowLastColumn="0"/>
            <w:tcW w:w="2201" w:type="pct"/>
            <w:tcBorders>
              <w:top w:val="single" w:sz="4" w:space="0" w:color="auto"/>
              <w:bottom w:val="single" w:sz="4" w:space="0" w:color="auto"/>
            </w:tcBorders>
            <w:shd w:val="clear" w:color="auto" w:fill="D4C5D7"/>
            <w:noWrap/>
            <w:hideMark/>
          </w:tcPr>
          <w:p w14:paraId="0110986A" w14:textId="77777777" w:rsidR="00F815FD" w:rsidRPr="00D72D94" w:rsidRDefault="00F815FD" w:rsidP="002B670C">
            <w:pPr>
              <w:keepNext/>
              <w:spacing w:after="0" w:line="240" w:lineRule="auto"/>
              <w:rPr>
                <w:rFonts w:eastAsia="Times New Roman" w:cs="Arial"/>
                <w:b/>
                <w:bCs/>
                <w:color w:val="000000"/>
                <w:sz w:val="18"/>
                <w:szCs w:val="18"/>
                <w:lang w:eastAsia="en-AU"/>
              </w:rPr>
            </w:pPr>
            <w:r w:rsidRPr="00D72D94">
              <w:rPr>
                <w:rFonts w:eastAsia="Times New Roman" w:cs="Arial"/>
                <w:b/>
                <w:bCs/>
                <w:color w:val="000000"/>
                <w:sz w:val="18"/>
                <w:szCs w:val="18"/>
                <w:lang w:eastAsia="en-AU"/>
              </w:rPr>
              <w:t xml:space="preserve">Total </w:t>
            </w:r>
            <w:r w:rsidR="002B670C">
              <w:rPr>
                <w:rFonts w:eastAsia="Times New Roman" w:cs="Arial"/>
                <w:b/>
                <w:bCs/>
                <w:color w:val="000000"/>
                <w:sz w:val="18"/>
                <w:szCs w:val="18"/>
                <w:lang w:eastAsia="en-AU"/>
              </w:rPr>
              <w:t>Scheme Expense</w:t>
            </w:r>
          </w:p>
        </w:tc>
        <w:tc>
          <w:tcPr>
            <w:tcW w:w="626" w:type="pct"/>
            <w:tcBorders>
              <w:top w:val="single" w:sz="4" w:space="0" w:color="auto"/>
              <w:bottom w:val="single" w:sz="4" w:space="0" w:color="auto"/>
            </w:tcBorders>
            <w:shd w:val="clear" w:color="auto" w:fill="D4C5D7"/>
            <w:noWrap/>
            <w:hideMark/>
          </w:tcPr>
          <w:p w14:paraId="74B3C07E" w14:textId="77777777" w:rsidR="00F815FD" w:rsidRPr="00BA5058" w:rsidRDefault="00F815FD">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33,976</w:t>
            </w:r>
          </w:p>
        </w:tc>
        <w:tc>
          <w:tcPr>
            <w:tcW w:w="550" w:type="pct"/>
            <w:tcBorders>
              <w:top w:val="single" w:sz="4" w:space="0" w:color="auto"/>
              <w:bottom w:val="single" w:sz="4" w:space="0" w:color="auto"/>
            </w:tcBorders>
            <w:shd w:val="clear" w:color="auto" w:fill="D4C5D7"/>
            <w:noWrap/>
            <w:hideMark/>
          </w:tcPr>
          <w:p w14:paraId="2EECA580" w14:textId="77777777" w:rsidR="00F815FD" w:rsidRPr="00BA5058" w:rsidRDefault="00F815FD">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38,133</w:t>
            </w:r>
          </w:p>
        </w:tc>
        <w:tc>
          <w:tcPr>
            <w:tcW w:w="550" w:type="pct"/>
            <w:tcBorders>
              <w:top w:val="single" w:sz="4" w:space="0" w:color="auto"/>
              <w:bottom w:val="single" w:sz="4" w:space="0" w:color="auto"/>
            </w:tcBorders>
            <w:shd w:val="clear" w:color="auto" w:fill="D4C5D7"/>
            <w:noWrap/>
            <w:hideMark/>
          </w:tcPr>
          <w:p w14:paraId="4795EAF4" w14:textId="77777777" w:rsidR="00F815FD" w:rsidRPr="00BA5058" w:rsidRDefault="00F815FD">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44,116</w:t>
            </w:r>
          </w:p>
        </w:tc>
        <w:tc>
          <w:tcPr>
            <w:tcW w:w="549" w:type="pct"/>
            <w:tcBorders>
              <w:top w:val="single" w:sz="4" w:space="0" w:color="auto"/>
              <w:bottom w:val="single" w:sz="4" w:space="0" w:color="auto"/>
              <w:right w:val="dotted" w:sz="4" w:space="0" w:color="auto"/>
            </w:tcBorders>
            <w:shd w:val="clear" w:color="auto" w:fill="D4C5D7"/>
            <w:noWrap/>
            <w:hideMark/>
          </w:tcPr>
          <w:p w14:paraId="5D63691B" w14:textId="77777777" w:rsidR="00F815FD" w:rsidRPr="00BA5058" w:rsidRDefault="00F815FD">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50,344</w:t>
            </w:r>
          </w:p>
        </w:tc>
        <w:tc>
          <w:tcPr>
            <w:tcW w:w="524" w:type="pct"/>
            <w:tcBorders>
              <w:top w:val="single" w:sz="4" w:space="0" w:color="auto"/>
              <w:left w:val="dotted" w:sz="4" w:space="0" w:color="auto"/>
              <w:bottom w:val="single" w:sz="4" w:space="0" w:color="auto"/>
            </w:tcBorders>
            <w:shd w:val="clear" w:color="auto" w:fill="D4C5D7"/>
            <w:noWrap/>
            <w:hideMark/>
          </w:tcPr>
          <w:p w14:paraId="49C4222D" w14:textId="77777777" w:rsidR="00F815FD" w:rsidRPr="00BA5058" w:rsidRDefault="00F815FD">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89,403</w:t>
            </w:r>
          </w:p>
        </w:tc>
      </w:tr>
    </w:tbl>
    <w:p w14:paraId="6ED558E0" w14:textId="77777777" w:rsidR="00BF7697" w:rsidRDefault="00BF7697" w:rsidP="00DA3F73">
      <w:pPr>
        <w:keepNext/>
        <w:keepLines/>
        <w:spacing w:after="0"/>
      </w:pPr>
    </w:p>
    <w:tbl>
      <w:tblPr>
        <w:tblStyle w:val="FSRtable"/>
        <w:tblW w:w="5000" w:type="pct"/>
        <w:tblInd w:w="0" w:type="dxa"/>
        <w:tblLayout w:type="fixed"/>
        <w:tblLook w:val="04A0" w:firstRow="1" w:lastRow="0" w:firstColumn="1" w:lastColumn="0" w:noHBand="0" w:noVBand="1"/>
      </w:tblPr>
      <w:tblGrid>
        <w:gridCol w:w="4110"/>
        <w:gridCol w:w="993"/>
        <w:gridCol w:w="993"/>
        <w:gridCol w:w="993"/>
        <w:gridCol w:w="993"/>
        <w:gridCol w:w="944"/>
      </w:tblGrid>
      <w:tr w:rsidR="00F815FD" w:rsidRPr="00F815FD" w14:paraId="0D316AD3" w14:textId="77777777" w:rsidTr="001257D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277" w:type="pct"/>
            <w:noWrap/>
            <w:hideMark/>
          </w:tcPr>
          <w:p w14:paraId="09BF8084" w14:textId="77777777" w:rsidR="00F815FD" w:rsidRPr="00D72D94" w:rsidRDefault="00A74CF1">
            <w:pPr>
              <w:keepNext/>
              <w:spacing w:after="0" w:line="240" w:lineRule="auto"/>
              <w:rPr>
                <w:rFonts w:eastAsia="Times New Roman"/>
                <w:b w:val="0"/>
                <w:bCs/>
                <w:color w:val="FFFFFF"/>
                <w:sz w:val="18"/>
                <w:szCs w:val="18"/>
                <w:lang w:eastAsia="en-AU"/>
              </w:rPr>
            </w:pPr>
            <w:r>
              <w:rPr>
                <w:rFonts w:eastAsia="Times New Roman"/>
                <w:bCs/>
                <w:color w:val="FFFFFF"/>
                <w:sz w:val="18"/>
                <w:szCs w:val="18"/>
                <w:lang w:eastAsia="en-AU"/>
              </w:rPr>
              <w:t>Scheme Expenses</w:t>
            </w:r>
            <w:r w:rsidR="00F815FD" w:rsidRPr="00D72D94">
              <w:rPr>
                <w:rFonts w:eastAsia="Times New Roman"/>
                <w:bCs/>
                <w:color w:val="FFFFFF"/>
                <w:sz w:val="18"/>
                <w:szCs w:val="18"/>
                <w:lang w:eastAsia="en-AU"/>
              </w:rPr>
              <w:t xml:space="preserve"> (%) - accrual basis</w:t>
            </w:r>
          </w:p>
        </w:tc>
        <w:tc>
          <w:tcPr>
            <w:tcW w:w="550" w:type="pct"/>
            <w:noWrap/>
            <w:hideMark/>
          </w:tcPr>
          <w:p w14:paraId="12B1F43D" w14:textId="77777777" w:rsidR="00F815FD" w:rsidRPr="00D72D94" w:rsidRDefault="00F815FD" w:rsidP="00D72D94">
            <w:pPr>
              <w:keepNext/>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sz w:val="18"/>
                <w:szCs w:val="18"/>
              </w:rPr>
              <w:t>2022-23</w:t>
            </w:r>
          </w:p>
        </w:tc>
        <w:tc>
          <w:tcPr>
            <w:tcW w:w="550" w:type="pct"/>
            <w:noWrap/>
            <w:hideMark/>
          </w:tcPr>
          <w:p w14:paraId="4FF3890C" w14:textId="77777777" w:rsidR="00F815FD" w:rsidRPr="00D72D94" w:rsidRDefault="00F815FD" w:rsidP="00D72D94">
            <w:pPr>
              <w:keepNext/>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sz w:val="18"/>
                <w:szCs w:val="18"/>
              </w:rPr>
              <w:t>2023-24</w:t>
            </w:r>
          </w:p>
        </w:tc>
        <w:tc>
          <w:tcPr>
            <w:tcW w:w="550" w:type="pct"/>
            <w:noWrap/>
            <w:hideMark/>
          </w:tcPr>
          <w:p w14:paraId="4CDD76BD" w14:textId="77777777" w:rsidR="00F815FD" w:rsidRPr="00D72D94" w:rsidRDefault="00F815FD" w:rsidP="00D72D94">
            <w:pPr>
              <w:keepNext/>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sz w:val="18"/>
                <w:szCs w:val="18"/>
              </w:rPr>
              <w:t>2024-25</w:t>
            </w:r>
          </w:p>
        </w:tc>
        <w:tc>
          <w:tcPr>
            <w:tcW w:w="550" w:type="pct"/>
            <w:tcBorders>
              <w:right w:val="dotted" w:sz="4" w:space="0" w:color="auto"/>
            </w:tcBorders>
            <w:noWrap/>
            <w:hideMark/>
          </w:tcPr>
          <w:p w14:paraId="67210148" w14:textId="77777777" w:rsidR="00F815FD" w:rsidRPr="00D72D94" w:rsidRDefault="00F815FD" w:rsidP="00D72D94">
            <w:pPr>
              <w:keepNext/>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sz w:val="18"/>
                <w:szCs w:val="18"/>
              </w:rPr>
              <w:t>2025-26</w:t>
            </w:r>
          </w:p>
        </w:tc>
        <w:tc>
          <w:tcPr>
            <w:tcW w:w="523" w:type="pct"/>
            <w:tcBorders>
              <w:top w:val="single" w:sz="4" w:space="0" w:color="auto"/>
              <w:left w:val="dotted" w:sz="4" w:space="0" w:color="auto"/>
            </w:tcBorders>
            <w:noWrap/>
            <w:hideMark/>
          </w:tcPr>
          <w:p w14:paraId="783B1213" w14:textId="77777777" w:rsidR="00F815FD" w:rsidRPr="00D72D94" w:rsidRDefault="00F815FD" w:rsidP="00D72D94">
            <w:pPr>
              <w:keepNext/>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sz w:val="18"/>
                <w:szCs w:val="18"/>
              </w:rPr>
              <w:t>2031-32</w:t>
            </w:r>
          </w:p>
        </w:tc>
      </w:tr>
      <w:tr w:rsidR="00F815FD" w:rsidRPr="00F815FD" w14:paraId="39D70736" w14:textId="77777777" w:rsidTr="00D72D94">
        <w:trPr>
          <w:trHeight w:val="301"/>
        </w:trPr>
        <w:tc>
          <w:tcPr>
            <w:cnfStyle w:val="001000000000" w:firstRow="0" w:lastRow="0" w:firstColumn="1" w:lastColumn="0" w:oddVBand="0" w:evenVBand="0" w:oddHBand="0" w:evenHBand="0" w:firstRowFirstColumn="0" w:firstRowLastColumn="0" w:lastRowFirstColumn="0" w:lastRowLastColumn="0"/>
            <w:tcW w:w="2277" w:type="pct"/>
            <w:noWrap/>
            <w:hideMark/>
          </w:tcPr>
          <w:p w14:paraId="3BDBE74F" w14:textId="77777777" w:rsidR="00F815FD" w:rsidRPr="00D72D94" w:rsidRDefault="00F815FD" w:rsidP="00F815FD">
            <w:pPr>
              <w:keepNext/>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Existing Scheme participants</w:t>
            </w:r>
          </w:p>
        </w:tc>
        <w:tc>
          <w:tcPr>
            <w:tcW w:w="550" w:type="pct"/>
            <w:noWrap/>
            <w:hideMark/>
          </w:tcPr>
          <w:p w14:paraId="7E45A68D" w14:textId="77777777" w:rsidR="00F815FD" w:rsidRPr="00D72D94" w:rsidRDefault="00F815FD">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sz w:val="18"/>
                <w:szCs w:val="18"/>
              </w:rPr>
              <w:t>97.0%</w:t>
            </w:r>
          </w:p>
        </w:tc>
        <w:tc>
          <w:tcPr>
            <w:tcW w:w="550" w:type="pct"/>
            <w:noWrap/>
            <w:hideMark/>
          </w:tcPr>
          <w:p w14:paraId="51135BCB" w14:textId="77777777" w:rsidR="00F815FD" w:rsidRPr="00D72D94" w:rsidRDefault="00F815FD">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sz w:val="18"/>
                <w:szCs w:val="18"/>
              </w:rPr>
              <w:t>91.0%</w:t>
            </w:r>
          </w:p>
        </w:tc>
        <w:tc>
          <w:tcPr>
            <w:tcW w:w="550" w:type="pct"/>
            <w:noWrap/>
            <w:hideMark/>
          </w:tcPr>
          <w:p w14:paraId="6EB55C3A" w14:textId="77777777" w:rsidR="00F815FD" w:rsidRPr="00D72D94" w:rsidRDefault="00F815FD">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sz w:val="18"/>
                <w:szCs w:val="18"/>
              </w:rPr>
              <w:t>85.4%</w:t>
            </w:r>
          </w:p>
        </w:tc>
        <w:tc>
          <w:tcPr>
            <w:tcW w:w="550" w:type="pct"/>
            <w:tcBorders>
              <w:right w:val="dotted" w:sz="4" w:space="0" w:color="auto"/>
            </w:tcBorders>
            <w:noWrap/>
            <w:hideMark/>
          </w:tcPr>
          <w:p w14:paraId="3EA002F9" w14:textId="77777777" w:rsidR="00F815FD" w:rsidRPr="00D72D94" w:rsidRDefault="00F815FD">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sz w:val="18"/>
                <w:szCs w:val="18"/>
              </w:rPr>
              <w:t>80.7%</w:t>
            </w:r>
          </w:p>
        </w:tc>
        <w:tc>
          <w:tcPr>
            <w:tcW w:w="523" w:type="pct"/>
            <w:tcBorders>
              <w:left w:val="dotted" w:sz="4" w:space="0" w:color="auto"/>
            </w:tcBorders>
            <w:noWrap/>
            <w:hideMark/>
          </w:tcPr>
          <w:p w14:paraId="1B9EE57F" w14:textId="77777777" w:rsidR="00F815FD" w:rsidRPr="00D72D94" w:rsidRDefault="00F815FD">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sz w:val="18"/>
                <w:szCs w:val="18"/>
              </w:rPr>
              <w:t>60.8%</w:t>
            </w:r>
          </w:p>
        </w:tc>
      </w:tr>
      <w:tr w:rsidR="00F815FD" w:rsidRPr="00F815FD" w14:paraId="791F2530" w14:textId="77777777" w:rsidTr="00D72D94">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277" w:type="pct"/>
            <w:tcBorders>
              <w:bottom w:val="single" w:sz="4" w:space="0" w:color="auto"/>
            </w:tcBorders>
            <w:noWrap/>
            <w:hideMark/>
          </w:tcPr>
          <w:p w14:paraId="093C86CD" w14:textId="77777777" w:rsidR="00F815FD" w:rsidRPr="00D72D94" w:rsidRDefault="00F815FD" w:rsidP="00F815FD">
            <w:pPr>
              <w:keepNext/>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Future participant intake</w:t>
            </w:r>
          </w:p>
        </w:tc>
        <w:tc>
          <w:tcPr>
            <w:tcW w:w="550" w:type="pct"/>
            <w:tcBorders>
              <w:bottom w:val="single" w:sz="4" w:space="0" w:color="auto"/>
            </w:tcBorders>
            <w:noWrap/>
            <w:hideMark/>
          </w:tcPr>
          <w:p w14:paraId="720C1453" w14:textId="77777777" w:rsidR="00F815FD" w:rsidRPr="00D72D94" w:rsidRDefault="00F815FD">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3.0%</w:t>
            </w:r>
          </w:p>
        </w:tc>
        <w:tc>
          <w:tcPr>
            <w:tcW w:w="550" w:type="pct"/>
            <w:tcBorders>
              <w:bottom w:val="single" w:sz="4" w:space="0" w:color="auto"/>
            </w:tcBorders>
            <w:noWrap/>
            <w:hideMark/>
          </w:tcPr>
          <w:p w14:paraId="5474BAA6" w14:textId="77777777" w:rsidR="00F815FD" w:rsidRPr="00D72D94" w:rsidRDefault="00F815FD">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9.0%</w:t>
            </w:r>
          </w:p>
        </w:tc>
        <w:tc>
          <w:tcPr>
            <w:tcW w:w="550" w:type="pct"/>
            <w:tcBorders>
              <w:bottom w:val="single" w:sz="4" w:space="0" w:color="auto"/>
            </w:tcBorders>
            <w:noWrap/>
            <w:hideMark/>
          </w:tcPr>
          <w:p w14:paraId="1D294DF2" w14:textId="77777777" w:rsidR="00F815FD" w:rsidRPr="00D72D94" w:rsidRDefault="00F815FD">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14.6%</w:t>
            </w:r>
          </w:p>
        </w:tc>
        <w:tc>
          <w:tcPr>
            <w:tcW w:w="550" w:type="pct"/>
            <w:tcBorders>
              <w:bottom w:val="single" w:sz="4" w:space="0" w:color="auto"/>
              <w:right w:val="dotted" w:sz="4" w:space="0" w:color="auto"/>
            </w:tcBorders>
            <w:noWrap/>
            <w:hideMark/>
          </w:tcPr>
          <w:p w14:paraId="549FF602" w14:textId="77777777" w:rsidR="00F815FD" w:rsidRPr="00D72D94" w:rsidRDefault="00F815FD">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19.3%</w:t>
            </w:r>
          </w:p>
        </w:tc>
        <w:tc>
          <w:tcPr>
            <w:tcW w:w="523" w:type="pct"/>
            <w:tcBorders>
              <w:left w:val="dotted" w:sz="4" w:space="0" w:color="auto"/>
              <w:bottom w:val="single" w:sz="4" w:space="0" w:color="auto"/>
            </w:tcBorders>
            <w:noWrap/>
            <w:hideMark/>
          </w:tcPr>
          <w:p w14:paraId="17AD944E" w14:textId="77777777" w:rsidR="00F815FD" w:rsidRPr="00D72D94" w:rsidRDefault="00F815FD">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39.2%</w:t>
            </w:r>
          </w:p>
        </w:tc>
      </w:tr>
      <w:tr w:rsidR="00F815FD" w:rsidRPr="00F815FD" w14:paraId="24094011" w14:textId="77777777" w:rsidTr="00D72D94">
        <w:trPr>
          <w:trHeight w:val="301"/>
        </w:trPr>
        <w:tc>
          <w:tcPr>
            <w:cnfStyle w:val="001000000000" w:firstRow="0" w:lastRow="0" w:firstColumn="1" w:lastColumn="0" w:oddVBand="0" w:evenVBand="0" w:oddHBand="0" w:evenHBand="0" w:firstRowFirstColumn="0" w:firstRowLastColumn="0" w:lastRowFirstColumn="0" w:lastRowLastColumn="0"/>
            <w:tcW w:w="2277" w:type="pct"/>
            <w:tcBorders>
              <w:top w:val="single" w:sz="4" w:space="0" w:color="auto"/>
              <w:bottom w:val="single" w:sz="4" w:space="0" w:color="auto"/>
            </w:tcBorders>
            <w:shd w:val="clear" w:color="auto" w:fill="D4C5D7"/>
            <w:noWrap/>
            <w:hideMark/>
          </w:tcPr>
          <w:p w14:paraId="3AE28CC3" w14:textId="77777777" w:rsidR="00F815FD" w:rsidRPr="00D72D94" w:rsidRDefault="00F815FD" w:rsidP="002B670C">
            <w:pPr>
              <w:keepNext/>
              <w:spacing w:after="0" w:line="240" w:lineRule="auto"/>
              <w:rPr>
                <w:rFonts w:eastAsia="Times New Roman" w:cs="Arial"/>
                <w:b/>
                <w:bCs/>
                <w:color w:val="000000"/>
                <w:sz w:val="18"/>
                <w:szCs w:val="18"/>
                <w:lang w:eastAsia="en-AU"/>
              </w:rPr>
            </w:pPr>
            <w:r w:rsidRPr="00D72D94">
              <w:rPr>
                <w:rFonts w:eastAsia="Times New Roman" w:cs="Arial"/>
                <w:b/>
                <w:bCs/>
                <w:color w:val="000000"/>
                <w:sz w:val="18"/>
                <w:szCs w:val="18"/>
                <w:lang w:eastAsia="en-AU"/>
              </w:rPr>
              <w:t xml:space="preserve">Total </w:t>
            </w:r>
            <w:r w:rsidR="002B670C">
              <w:rPr>
                <w:rFonts w:eastAsia="Times New Roman" w:cs="Arial"/>
                <w:b/>
                <w:bCs/>
                <w:color w:val="000000"/>
                <w:sz w:val="18"/>
                <w:szCs w:val="18"/>
                <w:lang w:eastAsia="en-AU"/>
              </w:rPr>
              <w:t>Scheme Expense</w:t>
            </w:r>
          </w:p>
        </w:tc>
        <w:tc>
          <w:tcPr>
            <w:tcW w:w="550" w:type="pct"/>
            <w:tcBorders>
              <w:top w:val="single" w:sz="4" w:space="0" w:color="auto"/>
              <w:bottom w:val="single" w:sz="4" w:space="0" w:color="auto"/>
            </w:tcBorders>
            <w:shd w:val="clear" w:color="auto" w:fill="D4C5D7"/>
            <w:noWrap/>
            <w:hideMark/>
          </w:tcPr>
          <w:p w14:paraId="203EE517" w14:textId="77777777" w:rsidR="00F815FD" w:rsidRPr="00BA5058" w:rsidRDefault="00F815FD">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100.0%</w:t>
            </w:r>
          </w:p>
        </w:tc>
        <w:tc>
          <w:tcPr>
            <w:tcW w:w="550" w:type="pct"/>
            <w:tcBorders>
              <w:top w:val="single" w:sz="4" w:space="0" w:color="auto"/>
              <w:bottom w:val="single" w:sz="4" w:space="0" w:color="auto"/>
            </w:tcBorders>
            <w:shd w:val="clear" w:color="auto" w:fill="D4C5D7"/>
            <w:noWrap/>
            <w:hideMark/>
          </w:tcPr>
          <w:p w14:paraId="27E76B70" w14:textId="77777777" w:rsidR="00F815FD" w:rsidRPr="00BA5058" w:rsidRDefault="00F815FD">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100.0%</w:t>
            </w:r>
          </w:p>
        </w:tc>
        <w:tc>
          <w:tcPr>
            <w:tcW w:w="550" w:type="pct"/>
            <w:tcBorders>
              <w:top w:val="single" w:sz="4" w:space="0" w:color="auto"/>
              <w:bottom w:val="single" w:sz="4" w:space="0" w:color="auto"/>
            </w:tcBorders>
            <w:shd w:val="clear" w:color="auto" w:fill="D4C5D7"/>
            <w:noWrap/>
            <w:hideMark/>
          </w:tcPr>
          <w:p w14:paraId="7411777C" w14:textId="77777777" w:rsidR="00F815FD" w:rsidRPr="00BA5058" w:rsidRDefault="00F815FD">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100.0%</w:t>
            </w:r>
          </w:p>
        </w:tc>
        <w:tc>
          <w:tcPr>
            <w:tcW w:w="550" w:type="pct"/>
            <w:tcBorders>
              <w:top w:val="single" w:sz="4" w:space="0" w:color="auto"/>
              <w:bottom w:val="single" w:sz="4" w:space="0" w:color="auto"/>
              <w:right w:val="dotted" w:sz="4" w:space="0" w:color="auto"/>
            </w:tcBorders>
            <w:shd w:val="clear" w:color="auto" w:fill="D4C5D7"/>
            <w:noWrap/>
            <w:hideMark/>
          </w:tcPr>
          <w:p w14:paraId="5D21BB0B" w14:textId="77777777" w:rsidR="00F815FD" w:rsidRPr="00BA5058" w:rsidRDefault="00F815FD">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100.00%</w:t>
            </w:r>
          </w:p>
        </w:tc>
        <w:tc>
          <w:tcPr>
            <w:tcW w:w="523" w:type="pct"/>
            <w:tcBorders>
              <w:top w:val="single" w:sz="4" w:space="0" w:color="auto"/>
              <w:left w:val="dotted" w:sz="4" w:space="0" w:color="auto"/>
              <w:bottom w:val="single" w:sz="4" w:space="0" w:color="auto"/>
            </w:tcBorders>
            <w:shd w:val="clear" w:color="auto" w:fill="D4C5D7"/>
            <w:noWrap/>
            <w:hideMark/>
          </w:tcPr>
          <w:p w14:paraId="72117D85" w14:textId="77777777" w:rsidR="00F815FD" w:rsidRPr="00BA5058" w:rsidRDefault="00F815FD">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100.0%</w:t>
            </w:r>
          </w:p>
        </w:tc>
      </w:tr>
    </w:tbl>
    <w:p w14:paraId="11EBA39F" w14:textId="77777777" w:rsidR="00BF7697" w:rsidRPr="00E9536B" w:rsidRDefault="00BF7697" w:rsidP="00BF7697"/>
    <w:p w14:paraId="17F0BD44" w14:textId="77777777" w:rsidR="00BF7697" w:rsidRPr="007B71F7" w:rsidRDefault="00BF7697" w:rsidP="00BF7697">
      <w:pPr>
        <w:pStyle w:val="Heading3"/>
        <w:ind w:left="792" w:hanging="792"/>
      </w:pPr>
      <w:bookmarkStart w:id="155" w:name="_Toc74849903"/>
      <w:bookmarkStart w:id="156" w:name="_Toc74852204"/>
      <w:bookmarkStart w:id="157" w:name="_Toc74853357"/>
      <w:bookmarkStart w:id="158" w:name="_Toc74924955"/>
      <w:bookmarkStart w:id="159" w:name="_Toc74932416"/>
      <w:bookmarkStart w:id="160" w:name="_Toc75034642"/>
      <w:bookmarkStart w:id="161" w:name="_Toc75035699"/>
      <w:bookmarkStart w:id="162" w:name="_Toc75036688"/>
      <w:bookmarkStart w:id="163" w:name="_Toc83220848"/>
      <w:bookmarkStart w:id="164" w:name="_Toc118460201"/>
      <w:bookmarkEnd w:id="155"/>
      <w:bookmarkEnd w:id="156"/>
      <w:bookmarkEnd w:id="157"/>
      <w:bookmarkEnd w:id="158"/>
      <w:bookmarkEnd w:id="159"/>
      <w:bookmarkEnd w:id="160"/>
      <w:bookmarkEnd w:id="161"/>
      <w:bookmarkEnd w:id="162"/>
      <w:r w:rsidRPr="007B71F7">
        <w:t>Comparison with previous AFSR</w:t>
      </w:r>
      <w:bookmarkEnd w:id="163"/>
      <w:bookmarkEnd w:id="164"/>
    </w:p>
    <w:p w14:paraId="09999D84" w14:textId="77777777" w:rsidR="00BF7697" w:rsidRPr="00E45CB1" w:rsidRDefault="00BF7697" w:rsidP="00BF7697">
      <w:pPr>
        <w:pStyle w:val="FSRnormal"/>
      </w:pPr>
      <w:r w:rsidRPr="007B71F7">
        <w:t>This section compares the 202</w:t>
      </w:r>
      <w:r>
        <w:t>1</w:t>
      </w:r>
      <w:r w:rsidRPr="007B71F7">
        <w:t>-2</w:t>
      </w:r>
      <w:r>
        <w:t>2</w:t>
      </w:r>
      <w:r w:rsidRPr="007B71F7">
        <w:t xml:space="preserve"> AFSR </w:t>
      </w:r>
      <w:r w:rsidR="00A74CF1">
        <w:t xml:space="preserve">Scheme expense </w:t>
      </w:r>
      <w:r w:rsidRPr="007B71F7">
        <w:t xml:space="preserve">projections with those from the previous review. The projected </w:t>
      </w:r>
      <w:r w:rsidR="00A74CF1">
        <w:t xml:space="preserve">Scheme expenses </w:t>
      </w:r>
      <w:r w:rsidRPr="007B71F7">
        <w:t>are approximately $</w:t>
      </w:r>
      <w:r w:rsidR="00E34100">
        <w:t>8</w:t>
      </w:r>
      <w:r w:rsidRPr="007B71F7">
        <w:t xml:space="preserve">.8 </w:t>
      </w:r>
      <w:r w:rsidRPr="00E45CB1">
        <w:t xml:space="preserve">billion </w:t>
      </w:r>
      <w:r w:rsidRPr="00C53CDC">
        <w:t>higher</w:t>
      </w:r>
      <w:r w:rsidRPr="00E45CB1">
        <w:t xml:space="preserve"> than the previous review in the four years to June 2026, and about $2</w:t>
      </w:r>
      <w:r w:rsidR="00E34100">
        <w:t>1</w:t>
      </w:r>
      <w:r w:rsidRPr="00E45CB1">
        <w:t>.</w:t>
      </w:r>
      <w:r w:rsidR="00E34100">
        <w:t>4</w:t>
      </w:r>
      <w:r w:rsidRPr="00E45CB1">
        <w:t xml:space="preserve"> billion </w:t>
      </w:r>
      <w:r w:rsidRPr="00C53CDC">
        <w:t xml:space="preserve">higher </w:t>
      </w:r>
      <w:r w:rsidRPr="00E45CB1">
        <w:t>in 2031-32 (</w:t>
      </w:r>
      <w:r w:rsidR="00221197" w:rsidRPr="00164A79">
        <w:t xml:space="preserve">Table </w:t>
      </w:r>
      <w:r w:rsidR="00221197">
        <w:rPr>
          <w:noProof/>
        </w:rPr>
        <w:t>5</w:t>
      </w:r>
      <w:r w:rsidR="00221197">
        <w:t>.</w:t>
      </w:r>
      <w:r w:rsidR="00221197">
        <w:rPr>
          <w:noProof/>
        </w:rPr>
        <w:t>6</w:t>
      </w:r>
      <w:r w:rsidRPr="00E45CB1">
        <w:t xml:space="preserve">). </w:t>
      </w:r>
    </w:p>
    <w:p w14:paraId="653C9330" w14:textId="77777777" w:rsidR="00BF7697" w:rsidRPr="001158AF" w:rsidRDefault="00BF7697" w:rsidP="00BF7697">
      <w:pPr>
        <w:pStyle w:val="FSRnormal"/>
      </w:pPr>
      <w:r w:rsidRPr="001158AF">
        <w:t>More detailed comparisons with the previous review are shown in Appendix C.</w:t>
      </w:r>
    </w:p>
    <w:p w14:paraId="5FE78827" w14:textId="77777777" w:rsidR="00BF7697" w:rsidRPr="003D04AC" w:rsidRDefault="00BF7697" w:rsidP="00BF7697">
      <w:pPr>
        <w:pStyle w:val="Tables"/>
      </w:pPr>
      <w:bookmarkStart w:id="165" w:name="_Ref79489005"/>
      <w:bookmarkStart w:id="166" w:name="_Ref111896681"/>
      <w:r w:rsidRPr="00164A79">
        <w:t xml:space="preserve">Table </w:t>
      </w:r>
      <w:bookmarkEnd w:id="165"/>
      <w:r w:rsidR="00A87896">
        <w:fldChar w:fldCharType="begin"/>
      </w:r>
      <w:r w:rsidR="00A87896">
        <w:instrText xml:space="preserve"> STYLEREF 2 \s </w:instrText>
      </w:r>
      <w:r w:rsidR="00A87896">
        <w:fldChar w:fldCharType="separate"/>
      </w:r>
      <w:r w:rsidR="00A87896">
        <w:rPr>
          <w:noProof/>
        </w:rPr>
        <w:t>5</w:t>
      </w:r>
      <w:r w:rsidR="00A87896">
        <w:fldChar w:fldCharType="end"/>
      </w:r>
      <w:r w:rsidR="00A87896">
        <w:t>.</w:t>
      </w:r>
      <w:fldSimple w:instr=" SEQ Table \* ARABIC \s 2 ">
        <w:r w:rsidR="00A87896">
          <w:rPr>
            <w:noProof/>
          </w:rPr>
          <w:t>6</w:t>
        </w:r>
      </w:fldSimple>
      <w:bookmarkEnd w:id="166"/>
      <w:r w:rsidRPr="00164A79">
        <w:t>: Comparison of 2021-22 AFSR with 2020-21 AFSR</w:t>
      </w:r>
      <w:r w:rsidRPr="00164A79">
        <w:rPr>
          <w:rStyle w:val="FootnoteReference"/>
        </w:rPr>
        <w:footnoteReference w:id="82"/>
      </w:r>
      <w:r w:rsidRPr="003D04AC">
        <w:t xml:space="preserve">  </w:t>
      </w:r>
    </w:p>
    <w:tbl>
      <w:tblPr>
        <w:tblStyle w:val="FSRtable"/>
        <w:tblW w:w="4997" w:type="pct"/>
        <w:tblInd w:w="5" w:type="dxa"/>
        <w:tblLayout w:type="fixed"/>
        <w:tblLook w:val="04A0" w:firstRow="1" w:lastRow="0" w:firstColumn="1" w:lastColumn="0" w:noHBand="0" w:noVBand="1"/>
      </w:tblPr>
      <w:tblGrid>
        <w:gridCol w:w="3115"/>
        <w:gridCol w:w="992"/>
        <w:gridCol w:w="992"/>
        <w:gridCol w:w="992"/>
        <w:gridCol w:w="992"/>
        <w:gridCol w:w="994"/>
        <w:gridCol w:w="944"/>
      </w:tblGrid>
      <w:tr w:rsidR="00D72D94" w:rsidRPr="00A4710A" w14:paraId="24AAA80B" w14:textId="77777777" w:rsidTr="001257D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726" w:type="pct"/>
            <w:hideMark/>
          </w:tcPr>
          <w:p w14:paraId="505F39B3" w14:textId="77777777" w:rsidR="00BF7697" w:rsidRPr="00D72D94" w:rsidRDefault="00BF7697" w:rsidP="00E23228">
            <w:pPr>
              <w:spacing w:after="0" w:line="240" w:lineRule="auto"/>
              <w:rPr>
                <w:rFonts w:eastAsia="Times New Roman"/>
                <w:b w:val="0"/>
                <w:bCs/>
                <w:color w:val="FFFFFF"/>
                <w:sz w:val="18"/>
                <w:szCs w:val="18"/>
                <w:lang w:eastAsia="en-AU"/>
              </w:rPr>
            </w:pPr>
            <w:r w:rsidRPr="00D72D94">
              <w:rPr>
                <w:rFonts w:eastAsia="Times New Roman"/>
                <w:bCs/>
                <w:color w:val="FFFFFF"/>
                <w:sz w:val="18"/>
                <w:szCs w:val="18"/>
                <w:lang w:eastAsia="en-AU"/>
              </w:rPr>
              <w:t>Projected</w:t>
            </w:r>
            <w:r w:rsidR="00A74CF1">
              <w:rPr>
                <w:rFonts w:eastAsia="Times New Roman"/>
                <w:bCs/>
                <w:color w:val="FFFFFF"/>
                <w:sz w:val="18"/>
                <w:szCs w:val="18"/>
                <w:lang w:eastAsia="en-AU"/>
              </w:rPr>
              <w:t xml:space="preserve"> Scheme Expenses</w:t>
            </w:r>
            <w:r w:rsidRPr="00D72D94">
              <w:rPr>
                <w:rFonts w:eastAsia="Times New Roman"/>
                <w:bCs/>
                <w:color w:val="FFFFFF"/>
                <w:sz w:val="18"/>
                <w:szCs w:val="18"/>
                <w:lang w:eastAsia="en-AU"/>
              </w:rPr>
              <w:t xml:space="preserve"> ($m)</w:t>
            </w:r>
          </w:p>
        </w:tc>
        <w:tc>
          <w:tcPr>
            <w:tcW w:w="550" w:type="pct"/>
            <w:noWrap/>
            <w:hideMark/>
          </w:tcPr>
          <w:p w14:paraId="703579B1" w14:textId="77777777" w:rsidR="00BF7697" w:rsidRPr="00D72D94" w:rsidRDefault="00BF769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2022-23</w:t>
            </w:r>
          </w:p>
        </w:tc>
        <w:tc>
          <w:tcPr>
            <w:tcW w:w="550" w:type="pct"/>
            <w:noWrap/>
            <w:hideMark/>
          </w:tcPr>
          <w:p w14:paraId="4E8A6A32" w14:textId="77777777" w:rsidR="00BF7697" w:rsidRPr="00D72D94" w:rsidRDefault="00BF769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2023-24</w:t>
            </w:r>
          </w:p>
        </w:tc>
        <w:tc>
          <w:tcPr>
            <w:tcW w:w="550" w:type="pct"/>
            <w:noWrap/>
            <w:hideMark/>
          </w:tcPr>
          <w:p w14:paraId="2F18D369" w14:textId="77777777" w:rsidR="00BF7697" w:rsidRPr="00D72D94" w:rsidRDefault="00BF769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2024-25</w:t>
            </w:r>
          </w:p>
        </w:tc>
        <w:tc>
          <w:tcPr>
            <w:tcW w:w="550" w:type="pct"/>
            <w:tcBorders>
              <w:top w:val="single" w:sz="4" w:space="0" w:color="auto"/>
              <w:bottom w:val="nil"/>
              <w:right w:val="dotted" w:sz="4" w:space="0" w:color="auto"/>
            </w:tcBorders>
            <w:noWrap/>
            <w:hideMark/>
          </w:tcPr>
          <w:p w14:paraId="6673356A" w14:textId="77777777" w:rsidR="00BF7697" w:rsidRPr="00D72D94" w:rsidRDefault="00BF769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2025-26</w:t>
            </w:r>
          </w:p>
        </w:tc>
        <w:tc>
          <w:tcPr>
            <w:tcW w:w="551" w:type="pct"/>
            <w:tcBorders>
              <w:top w:val="single" w:sz="4" w:space="0" w:color="auto"/>
              <w:left w:val="dotted" w:sz="4" w:space="0" w:color="auto"/>
              <w:bottom w:val="nil"/>
              <w:right w:val="single" w:sz="4" w:space="0" w:color="auto"/>
            </w:tcBorders>
            <w:noWrap/>
            <w:hideMark/>
          </w:tcPr>
          <w:p w14:paraId="6CD50E47" w14:textId="77777777" w:rsidR="00BF7697" w:rsidRPr="00D72D94" w:rsidRDefault="00BF769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72D94">
              <w:rPr>
                <w:rFonts w:eastAsia="Times New Roman"/>
                <w:bCs/>
                <w:color w:val="FFFFFF"/>
                <w:sz w:val="18"/>
                <w:szCs w:val="18"/>
                <w:lang w:eastAsia="en-AU"/>
              </w:rPr>
              <w:t>2031-32</w:t>
            </w:r>
          </w:p>
        </w:tc>
        <w:tc>
          <w:tcPr>
            <w:tcW w:w="523" w:type="pct"/>
            <w:tcBorders>
              <w:left w:val="single" w:sz="4" w:space="0" w:color="auto"/>
            </w:tcBorders>
          </w:tcPr>
          <w:p w14:paraId="4491B3C7" w14:textId="77777777" w:rsidR="00BF7697" w:rsidRPr="00D72D94" w:rsidRDefault="00BF769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D72D94">
              <w:rPr>
                <w:rFonts w:eastAsia="Times New Roman"/>
                <w:bCs/>
                <w:color w:val="FFFFFF"/>
                <w:sz w:val="18"/>
                <w:szCs w:val="18"/>
                <w:lang w:eastAsia="en-AU"/>
              </w:rPr>
              <w:t>2022-26</w:t>
            </w:r>
          </w:p>
        </w:tc>
      </w:tr>
      <w:tr w:rsidR="00A4710A" w:rsidRPr="00A4710A" w14:paraId="53A742BA" w14:textId="77777777" w:rsidTr="00D72D94">
        <w:trPr>
          <w:trHeight w:val="301"/>
        </w:trPr>
        <w:tc>
          <w:tcPr>
            <w:cnfStyle w:val="001000000000" w:firstRow="0" w:lastRow="0" w:firstColumn="1" w:lastColumn="0" w:oddVBand="0" w:evenVBand="0" w:oddHBand="0" w:evenHBand="0" w:firstRowFirstColumn="0" w:firstRowLastColumn="0" w:lastRowFirstColumn="0" w:lastRowLastColumn="0"/>
            <w:tcW w:w="1726" w:type="pct"/>
            <w:noWrap/>
            <w:hideMark/>
          </w:tcPr>
          <w:p w14:paraId="41FD842A" w14:textId="77777777" w:rsidR="00A4710A" w:rsidRPr="00D72D94" w:rsidRDefault="00A4710A">
            <w:pPr>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2021-22 AFSR (a)</w:t>
            </w:r>
          </w:p>
        </w:tc>
        <w:tc>
          <w:tcPr>
            <w:tcW w:w="550" w:type="pct"/>
            <w:noWrap/>
            <w:hideMark/>
          </w:tcPr>
          <w:p w14:paraId="35C414C0" w14:textId="77777777" w:rsidR="00A4710A" w:rsidRPr="00D72D94" w:rsidRDefault="00A4710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sz w:val="18"/>
                <w:szCs w:val="18"/>
              </w:rPr>
              <w:t>33,976</w:t>
            </w:r>
          </w:p>
        </w:tc>
        <w:tc>
          <w:tcPr>
            <w:tcW w:w="550" w:type="pct"/>
            <w:noWrap/>
            <w:hideMark/>
          </w:tcPr>
          <w:p w14:paraId="3E5CED41" w14:textId="77777777" w:rsidR="00A4710A" w:rsidRPr="00D72D94" w:rsidRDefault="00A4710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sz w:val="18"/>
                <w:szCs w:val="18"/>
              </w:rPr>
              <w:t>38,133</w:t>
            </w:r>
          </w:p>
        </w:tc>
        <w:tc>
          <w:tcPr>
            <w:tcW w:w="550" w:type="pct"/>
            <w:noWrap/>
            <w:hideMark/>
          </w:tcPr>
          <w:p w14:paraId="0E06B8D9" w14:textId="77777777" w:rsidR="00A4710A" w:rsidRPr="00D72D94" w:rsidRDefault="00A4710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sz w:val="18"/>
                <w:szCs w:val="18"/>
              </w:rPr>
              <w:t>44,116</w:t>
            </w:r>
          </w:p>
        </w:tc>
        <w:tc>
          <w:tcPr>
            <w:tcW w:w="550" w:type="pct"/>
            <w:tcBorders>
              <w:top w:val="nil"/>
              <w:bottom w:val="nil"/>
              <w:right w:val="dotted" w:sz="4" w:space="0" w:color="auto"/>
            </w:tcBorders>
            <w:noWrap/>
            <w:hideMark/>
          </w:tcPr>
          <w:p w14:paraId="32EE1554" w14:textId="77777777" w:rsidR="00A4710A" w:rsidRPr="00D72D94" w:rsidRDefault="00A4710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sz w:val="18"/>
                <w:szCs w:val="18"/>
              </w:rPr>
              <w:t>50,344</w:t>
            </w:r>
          </w:p>
        </w:tc>
        <w:tc>
          <w:tcPr>
            <w:tcW w:w="551" w:type="pct"/>
            <w:tcBorders>
              <w:top w:val="nil"/>
              <w:left w:val="dotted" w:sz="4" w:space="0" w:color="auto"/>
              <w:bottom w:val="nil"/>
              <w:right w:val="single" w:sz="4" w:space="0" w:color="auto"/>
            </w:tcBorders>
            <w:noWrap/>
            <w:hideMark/>
          </w:tcPr>
          <w:p w14:paraId="72B50FB4" w14:textId="77777777" w:rsidR="00A4710A" w:rsidRPr="00D72D94" w:rsidRDefault="00A4710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72D94">
              <w:rPr>
                <w:sz w:val="18"/>
                <w:szCs w:val="18"/>
              </w:rPr>
              <w:t>89,403</w:t>
            </w:r>
          </w:p>
        </w:tc>
        <w:tc>
          <w:tcPr>
            <w:tcW w:w="523" w:type="pct"/>
            <w:tcBorders>
              <w:left w:val="single" w:sz="4" w:space="0" w:color="auto"/>
            </w:tcBorders>
          </w:tcPr>
          <w:p w14:paraId="27286494" w14:textId="77777777" w:rsidR="00A4710A" w:rsidRPr="00D72D94" w:rsidRDefault="00A4710A">
            <w:pPr>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D72D94">
              <w:rPr>
                <w:sz w:val="18"/>
                <w:szCs w:val="18"/>
              </w:rPr>
              <w:t>166,569</w:t>
            </w:r>
          </w:p>
        </w:tc>
      </w:tr>
      <w:tr w:rsidR="00A4710A" w:rsidRPr="00A4710A" w14:paraId="218ED7AE" w14:textId="77777777" w:rsidTr="00D72D94">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26" w:type="pct"/>
            <w:noWrap/>
            <w:hideMark/>
          </w:tcPr>
          <w:p w14:paraId="52B7C5EA" w14:textId="77777777" w:rsidR="00A4710A" w:rsidRPr="00D72D94" w:rsidRDefault="00A4710A">
            <w:pPr>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2020-21 AFSR (b)</w:t>
            </w:r>
          </w:p>
        </w:tc>
        <w:tc>
          <w:tcPr>
            <w:tcW w:w="550" w:type="pct"/>
            <w:noWrap/>
            <w:hideMark/>
          </w:tcPr>
          <w:p w14:paraId="6F3094DF" w14:textId="77777777" w:rsidR="00A4710A" w:rsidRPr="00D72D94" w:rsidRDefault="00A4710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33,886</w:t>
            </w:r>
          </w:p>
        </w:tc>
        <w:tc>
          <w:tcPr>
            <w:tcW w:w="550" w:type="pct"/>
            <w:noWrap/>
            <w:hideMark/>
          </w:tcPr>
          <w:p w14:paraId="35CC1A4F" w14:textId="77777777" w:rsidR="00A4710A" w:rsidRPr="00D72D94" w:rsidRDefault="00A4710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37,973</w:t>
            </w:r>
          </w:p>
        </w:tc>
        <w:tc>
          <w:tcPr>
            <w:tcW w:w="550" w:type="pct"/>
            <w:noWrap/>
            <w:hideMark/>
          </w:tcPr>
          <w:p w14:paraId="721A26BB" w14:textId="77777777" w:rsidR="00A4710A" w:rsidRPr="00D72D94" w:rsidRDefault="00A4710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41,373</w:t>
            </w:r>
          </w:p>
        </w:tc>
        <w:tc>
          <w:tcPr>
            <w:tcW w:w="550" w:type="pct"/>
            <w:tcBorders>
              <w:top w:val="nil"/>
              <w:bottom w:val="nil"/>
              <w:right w:val="dotted" w:sz="4" w:space="0" w:color="auto"/>
            </w:tcBorders>
            <w:noWrap/>
            <w:hideMark/>
          </w:tcPr>
          <w:p w14:paraId="704CD28F" w14:textId="77777777" w:rsidR="00A4710A" w:rsidRPr="00D72D94" w:rsidRDefault="00A4710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44,551</w:t>
            </w:r>
          </w:p>
        </w:tc>
        <w:tc>
          <w:tcPr>
            <w:tcW w:w="551" w:type="pct"/>
            <w:tcBorders>
              <w:top w:val="nil"/>
              <w:left w:val="dotted" w:sz="4" w:space="0" w:color="auto"/>
              <w:bottom w:val="nil"/>
              <w:right w:val="single" w:sz="4" w:space="0" w:color="auto"/>
            </w:tcBorders>
            <w:noWrap/>
            <w:hideMark/>
          </w:tcPr>
          <w:p w14:paraId="4E36B740" w14:textId="77777777" w:rsidR="00A4710A" w:rsidRPr="00D72D94" w:rsidRDefault="00A4710A">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72D94">
              <w:rPr>
                <w:sz w:val="18"/>
                <w:szCs w:val="18"/>
              </w:rPr>
              <w:t>68,049</w:t>
            </w:r>
          </w:p>
        </w:tc>
        <w:tc>
          <w:tcPr>
            <w:tcW w:w="523" w:type="pct"/>
            <w:tcBorders>
              <w:left w:val="single" w:sz="4" w:space="0" w:color="auto"/>
            </w:tcBorders>
          </w:tcPr>
          <w:p w14:paraId="24210378" w14:textId="77777777" w:rsidR="00A4710A" w:rsidRPr="00D72D94" w:rsidRDefault="00A4710A">
            <w:pPr>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D72D94">
              <w:rPr>
                <w:sz w:val="18"/>
                <w:szCs w:val="18"/>
              </w:rPr>
              <w:t>157,782</w:t>
            </w:r>
          </w:p>
        </w:tc>
      </w:tr>
      <w:tr w:rsidR="00A4710A" w:rsidRPr="00A4710A" w14:paraId="6E212F79" w14:textId="77777777" w:rsidTr="00D72D94">
        <w:trPr>
          <w:trHeight w:val="301"/>
        </w:trPr>
        <w:tc>
          <w:tcPr>
            <w:cnfStyle w:val="001000000000" w:firstRow="0" w:lastRow="0" w:firstColumn="1" w:lastColumn="0" w:oddVBand="0" w:evenVBand="0" w:oddHBand="0" w:evenHBand="0" w:firstRowFirstColumn="0" w:firstRowLastColumn="0" w:lastRowFirstColumn="0" w:lastRowLastColumn="0"/>
            <w:tcW w:w="1726" w:type="pct"/>
            <w:tcBorders>
              <w:bottom w:val="nil"/>
            </w:tcBorders>
            <w:noWrap/>
            <w:hideMark/>
          </w:tcPr>
          <w:p w14:paraId="7FF4F3D1" w14:textId="77777777" w:rsidR="00A4710A" w:rsidRPr="00D72D94" w:rsidRDefault="00A4710A">
            <w:pPr>
              <w:spacing w:after="0" w:line="240" w:lineRule="auto"/>
              <w:rPr>
                <w:rFonts w:eastAsia="Times New Roman" w:cs="Arial"/>
                <w:color w:val="000000"/>
                <w:sz w:val="18"/>
                <w:szCs w:val="18"/>
                <w:lang w:eastAsia="en-AU"/>
              </w:rPr>
            </w:pPr>
            <w:r w:rsidRPr="00D72D94">
              <w:rPr>
                <w:rFonts w:eastAsia="Times New Roman" w:cs="Arial"/>
                <w:color w:val="000000" w:themeColor="text1"/>
                <w:sz w:val="18"/>
                <w:szCs w:val="18"/>
                <w:lang w:eastAsia="en-AU"/>
              </w:rPr>
              <w:t>Difference ($) (b – a)</w:t>
            </w:r>
          </w:p>
        </w:tc>
        <w:tc>
          <w:tcPr>
            <w:tcW w:w="550" w:type="pct"/>
            <w:tcBorders>
              <w:bottom w:val="nil"/>
            </w:tcBorders>
            <w:noWrap/>
            <w:hideMark/>
          </w:tcPr>
          <w:p w14:paraId="733A8F4F" w14:textId="77777777" w:rsidR="00A4710A" w:rsidRPr="00D72D94" w:rsidRDefault="00A4710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sz w:val="18"/>
                <w:szCs w:val="18"/>
              </w:rPr>
              <w:t>90</w:t>
            </w:r>
          </w:p>
        </w:tc>
        <w:tc>
          <w:tcPr>
            <w:tcW w:w="550" w:type="pct"/>
            <w:tcBorders>
              <w:bottom w:val="nil"/>
            </w:tcBorders>
            <w:noWrap/>
            <w:hideMark/>
          </w:tcPr>
          <w:p w14:paraId="2898C99B" w14:textId="77777777" w:rsidR="00A4710A" w:rsidRPr="00D72D94" w:rsidRDefault="00A4710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sz w:val="18"/>
                <w:szCs w:val="18"/>
              </w:rPr>
              <w:t>160</w:t>
            </w:r>
          </w:p>
        </w:tc>
        <w:tc>
          <w:tcPr>
            <w:tcW w:w="550" w:type="pct"/>
            <w:tcBorders>
              <w:bottom w:val="nil"/>
            </w:tcBorders>
            <w:noWrap/>
            <w:hideMark/>
          </w:tcPr>
          <w:p w14:paraId="087AF530" w14:textId="77777777" w:rsidR="00A4710A" w:rsidRPr="00D72D94" w:rsidRDefault="00A4710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sz w:val="18"/>
                <w:szCs w:val="18"/>
              </w:rPr>
              <w:t>2,743</w:t>
            </w:r>
          </w:p>
        </w:tc>
        <w:tc>
          <w:tcPr>
            <w:tcW w:w="550" w:type="pct"/>
            <w:tcBorders>
              <w:top w:val="nil"/>
              <w:bottom w:val="nil"/>
              <w:right w:val="dotted" w:sz="4" w:space="0" w:color="auto"/>
            </w:tcBorders>
            <w:noWrap/>
            <w:hideMark/>
          </w:tcPr>
          <w:p w14:paraId="701CD68D" w14:textId="77777777" w:rsidR="00A4710A" w:rsidRPr="00D72D94" w:rsidRDefault="00A4710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sz w:val="18"/>
                <w:szCs w:val="18"/>
              </w:rPr>
              <w:t>5,793</w:t>
            </w:r>
          </w:p>
        </w:tc>
        <w:tc>
          <w:tcPr>
            <w:tcW w:w="551" w:type="pct"/>
            <w:tcBorders>
              <w:top w:val="nil"/>
              <w:left w:val="dotted" w:sz="4" w:space="0" w:color="auto"/>
              <w:bottom w:val="nil"/>
              <w:right w:val="single" w:sz="4" w:space="0" w:color="auto"/>
            </w:tcBorders>
            <w:noWrap/>
            <w:hideMark/>
          </w:tcPr>
          <w:p w14:paraId="1D5FCE32" w14:textId="77777777" w:rsidR="00A4710A" w:rsidRPr="00D72D94" w:rsidRDefault="00A4710A">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72D94">
              <w:rPr>
                <w:sz w:val="18"/>
                <w:szCs w:val="18"/>
              </w:rPr>
              <w:t>21,354</w:t>
            </w:r>
          </w:p>
        </w:tc>
        <w:tc>
          <w:tcPr>
            <w:tcW w:w="523" w:type="pct"/>
            <w:tcBorders>
              <w:left w:val="single" w:sz="4" w:space="0" w:color="auto"/>
              <w:bottom w:val="nil"/>
            </w:tcBorders>
          </w:tcPr>
          <w:p w14:paraId="7F760816" w14:textId="77777777" w:rsidR="00A4710A" w:rsidRPr="00D72D94" w:rsidRDefault="00A4710A">
            <w:pPr>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D72D94">
              <w:rPr>
                <w:sz w:val="18"/>
                <w:szCs w:val="18"/>
              </w:rPr>
              <w:t>8,786</w:t>
            </w:r>
          </w:p>
        </w:tc>
      </w:tr>
      <w:tr w:rsidR="00D72D94" w:rsidRPr="00A4710A" w14:paraId="6996871C" w14:textId="77777777" w:rsidTr="00D72D94">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26" w:type="pct"/>
            <w:tcBorders>
              <w:top w:val="nil"/>
              <w:bottom w:val="single" w:sz="4" w:space="0" w:color="auto"/>
            </w:tcBorders>
            <w:noWrap/>
            <w:hideMark/>
          </w:tcPr>
          <w:p w14:paraId="0A271BFD" w14:textId="77777777" w:rsidR="00A4710A" w:rsidRPr="00D72D94" w:rsidRDefault="00A4710A">
            <w:pPr>
              <w:spacing w:after="0" w:line="240" w:lineRule="auto"/>
              <w:rPr>
                <w:rFonts w:eastAsia="DengXian" w:cs="Cordia New"/>
                <w:color w:val="000000" w:themeColor="text1"/>
                <w:sz w:val="18"/>
                <w:szCs w:val="18"/>
                <w:lang w:eastAsia="en-AU"/>
              </w:rPr>
            </w:pPr>
            <w:r w:rsidRPr="00D72D94">
              <w:rPr>
                <w:rFonts w:eastAsia="DengXian" w:cs="Cordia New"/>
                <w:color w:val="000000" w:themeColor="text1"/>
                <w:sz w:val="18"/>
                <w:szCs w:val="18"/>
                <w:lang w:eastAsia="en-AU"/>
              </w:rPr>
              <w:t>Difference (%) (a/b – 1)</w:t>
            </w:r>
          </w:p>
        </w:tc>
        <w:tc>
          <w:tcPr>
            <w:tcW w:w="550" w:type="pct"/>
            <w:tcBorders>
              <w:top w:val="nil"/>
              <w:bottom w:val="single" w:sz="4" w:space="0" w:color="auto"/>
            </w:tcBorders>
            <w:noWrap/>
            <w:hideMark/>
          </w:tcPr>
          <w:p w14:paraId="19696319" w14:textId="77777777" w:rsidR="00A4710A" w:rsidRPr="00D72D94" w:rsidRDefault="00A4710A">
            <w:pPr>
              <w:spacing w:after="0" w:line="240" w:lineRule="auto"/>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sz w:val="18"/>
                <w:szCs w:val="18"/>
              </w:rPr>
            </w:pPr>
            <w:r w:rsidRPr="00D72D94">
              <w:rPr>
                <w:sz w:val="18"/>
                <w:szCs w:val="18"/>
              </w:rPr>
              <w:t>0.3%</w:t>
            </w:r>
          </w:p>
        </w:tc>
        <w:tc>
          <w:tcPr>
            <w:tcW w:w="550" w:type="pct"/>
            <w:tcBorders>
              <w:top w:val="nil"/>
              <w:bottom w:val="single" w:sz="4" w:space="0" w:color="auto"/>
            </w:tcBorders>
            <w:noWrap/>
            <w:hideMark/>
          </w:tcPr>
          <w:p w14:paraId="7B0B73AB" w14:textId="77777777" w:rsidR="00A4710A" w:rsidRPr="00D72D94" w:rsidRDefault="00A4710A">
            <w:pPr>
              <w:spacing w:after="0" w:line="240" w:lineRule="auto"/>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sz w:val="18"/>
                <w:szCs w:val="18"/>
              </w:rPr>
            </w:pPr>
            <w:r w:rsidRPr="00D72D94">
              <w:rPr>
                <w:sz w:val="18"/>
                <w:szCs w:val="18"/>
              </w:rPr>
              <w:t>0.4%</w:t>
            </w:r>
          </w:p>
        </w:tc>
        <w:tc>
          <w:tcPr>
            <w:tcW w:w="550" w:type="pct"/>
            <w:tcBorders>
              <w:top w:val="nil"/>
              <w:bottom w:val="single" w:sz="4" w:space="0" w:color="auto"/>
            </w:tcBorders>
            <w:noWrap/>
            <w:hideMark/>
          </w:tcPr>
          <w:p w14:paraId="0161732B" w14:textId="77777777" w:rsidR="00A4710A" w:rsidRPr="00D72D94" w:rsidRDefault="00A4710A">
            <w:pPr>
              <w:spacing w:after="0" w:line="240" w:lineRule="auto"/>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sz w:val="18"/>
                <w:szCs w:val="18"/>
              </w:rPr>
            </w:pPr>
            <w:r w:rsidRPr="00D72D94">
              <w:rPr>
                <w:sz w:val="18"/>
                <w:szCs w:val="18"/>
              </w:rPr>
              <w:t>6.6%</w:t>
            </w:r>
          </w:p>
        </w:tc>
        <w:tc>
          <w:tcPr>
            <w:tcW w:w="550" w:type="pct"/>
            <w:tcBorders>
              <w:top w:val="nil"/>
              <w:bottom w:val="single" w:sz="4" w:space="0" w:color="auto"/>
              <w:right w:val="dotted" w:sz="4" w:space="0" w:color="auto"/>
            </w:tcBorders>
            <w:noWrap/>
            <w:hideMark/>
          </w:tcPr>
          <w:p w14:paraId="128BD878" w14:textId="77777777" w:rsidR="00A4710A" w:rsidRPr="00D72D94" w:rsidRDefault="00A4710A">
            <w:pPr>
              <w:spacing w:after="0" w:line="240" w:lineRule="auto"/>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sz w:val="18"/>
                <w:szCs w:val="18"/>
              </w:rPr>
            </w:pPr>
            <w:r w:rsidRPr="00D72D94">
              <w:rPr>
                <w:sz w:val="18"/>
                <w:szCs w:val="18"/>
              </w:rPr>
              <w:t>13.0%</w:t>
            </w:r>
          </w:p>
        </w:tc>
        <w:tc>
          <w:tcPr>
            <w:tcW w:w="551" w:type="pct"/>
            <w:tcBorders>
              <w:top w:val="nil"/>
              <w:left w:val="dotted" w:sz="4" w:space="0" w:color="auto"/>
              <w:bottom w:val="single" w:sz="4" w:space="0" w:color="auto"/>
              <w:right w:val="single" w:sz="4" w:space="0" w:color="auto"/>
            </w:tcBorders>
            <w:noWrap/>
            <w:hideMark/>
          </w:tcPr>
          <w:p w14:paraId="19FC2EA4" w14:textId="77777777" w:rsidR="00A4710A" w:rsidRPr="00D72D94" w:rsidRDefault="00A4710A">
            <w:pPr>
              <w:spacing w:after="0" w:line="240" w:lineRule="auto"/>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sz w:val="18"/>
                <w:szCs w:val="18"/>
              </w:rPr>
            </w:pPr>
            <w:r w:rsidRPr="00D72D94">
              <w:rPr>
                <w:sz w:val="18"/>
                <w:szCs w:val="18"/>
              </w:rPr>
              <w:t>31.4%</w:t>
            </w:r>
          </w:p>
        </w:tc>
        <w:tc>
          <w:tcPr>
            <w:tcW w:w="523" w:type="pct"/>
            <w:tcBorders>
              <w:top w:val="nil"/>
              <w:left w:val="single" w:sz="4" w:space="0" w:color="auto"/>
              <w:bottom w:val="single" w:sz="4" w:space="0" w:color="auto"/>
            </w:tcBorders>
          </w:tcPr>
          <w:p w14:paraId="7A960DA6" w14:textId="77777777" w:rsidR="00A4710A" w:rsidRPr="00D72D94" w:rsidRDefault="00A4710A">
            <w:pPr>
              <w:spacing w:after="0" w:line="240" w:lineRule="auto"/>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sz w:val="18"/>
                <w:szCs w:val="18"/>
              </w:rPr>
            </w:pPr>
            <w:r w:rsidRPr="00D72D94">
              <w:rPr>
                <w:sz w:val="18"/>
                <w:szCs w:val="18"/>
              </w:rPr>
              <w:t>5.6%</w:t>
            </w:r>
          </w:p>
        </w:tc>
      </w:tr>
    </w:tbl>
    <w:p w14:paraId="4ECA31AF" w14:textId="77777777" w:rsidR="00BF7697" w:rsidRPr="00EA186B" w:rsidRDefault="00BF7697" w:rsidP="00BF7697">
      <w:pPr>
        <w:pStyle w:val="FSRnormal"/>
      </w:pPr>
      <w:r w:rsidRPr="00EA186B">
        <w:t xml:space="preserve">The sources of variance between this projection and the previous review are shown in </w:t>
      </w:r>
      <w:r w:rsidR="00260852" w:rsidRPr="00D72D94">
        <w:t>Table</w:t>
      </w:r>
      <w:r w:rsidR="00260852" w:rsidRPr="00C53CDC">
        <w:rPr>
          <w:u w:val="single"/>
        </w:rPr>
        <w:t xml:space="preserve"> </w:t>
      </w:r>
      <w:r w:rsidR="00B710A9" w:rsidRPr="00252EAF">
        <w:t>5.7</w:t>
      </w:r>
      <w:r w:rsidR="00B710A9">
        <w:t>.</w:t>
      </w:r>
    </w:p>
    <w:p w14:paraId="3DE0F1B9" w14:textId="77777777" w:rsidR="00BF7697" w:rsidRPr="00D520AD" w:rsidRDefault="0075118C" w:rsidP="00BF7697">
      <w:pPr>
        <w:pStyle w:val="FSRlist"/>
        <w:rPr>
          <w:rFonts w:asciiTheme="minorHAnsi" w:hAnsiTheme="minorHAnsi"/>
          <w:szCs w:val="22"/>
        </w:rPr>
      </w:pPr>
      <w:r>
        <w:t xml:space="preserve">Participant and payment </w:t>
      </w:r>
      <w:r w:rsidR="00BF7697" w:rsidRPr="2B6AFA61">
        <w:t xml:space="preserve">experience and the </w:t>
      </w:r>
      <w:r>
        <w:t xml:space="preserve">impact of the </w:t>
      </w:r>
      <w:r w:rsidR="00631BB8">
        <w:t>202</w:t>
      </w:r>
      <w:r w:rsidR="00FB3159">
        <w:t>1</w:t>
      </w:r>
      <w:r w:rsidR="00631BB8">
        <w:t>-2</w:t>
      </w:r>
      <w:r w:rsidR="00FB3159">
        <w:t>2</w:t>
      </w:r>
      <w:r w:rsidR="00631BB8">
        <w:t xml:space="preserve"> </w:t>
      </w:r>
      <w:r w:rsidR="00BF7697" w:rsidRPr="2B6AFA61">
        <w:t xml:space="preserve">Annual Pricing Review have resulted in a projection which is essentially unchanged (a </w:t>
      </w:r>
      <w:r w:rsidR="00BF7697" w:rsidRPr="2B6AFA61">
        <w:rPr>
          <w:b/>
          <w:bCs/>
        </w:rPr>
        <w:t>$0.</w:t>
      </w:r>
      <w:r w:rsidR="00A07E9D">
        <w:rPr>
          <w:b/>
          <w:bCs/>
        </w:rPr>
        <w:t>1</w:t>
      </w:r>
      <w:r w:rsidR="00BF7697" w:rsidRPr="2B6AFA61">
        <w:rPr>
          <w:b/>
          <w:bCs/>
        </w:rPr>
        <w:t>bn</w:t>
      </w:r>
      <w:r w:rsidR="00BF7697" w:rsidRPr="2B6AFA61">
        <w:t xml:space="preserve"> re</w:t>
      </w:r>
      <w:r w:rsidR="00BF7697">
        <w:t>duction</w:t>
      </w:r>
      <w:r w:rsidR="00BF7697" w:rsidRPr="2B6AFA61">
        <w:t>) for the four years (2022-26), comprising:</w:t>
      </w:r>
    </w:p>
    <w:p w14:paraId="79A6164D" w14:textId="77777777" w:rsidR="00BF7697" w:rsidRPr="00D520AD" w:rsidRDefault="00BF7697" w:rsidP="00C53CDC">
      <w:pPr>
        <w:pStyle w:val="FSRlist"/>
        <w:numPr>
          <w:ilvl w:val="1"/>
          <w:numId w:val="4"/>
        </w:numPr>
        <w:rPr>
          <w:rFonts w:asciiTheme="minorHAnsi" w:hAnsiTheme="minorHAnsi"/>
          <w:szCs w:val="22"/>
        </w:rPr>
      </w:pPr>
      <w:r w:rsidRPr="2B6AFA61">
        <w:t xml:space="preserve">a </w:t>
      </w:r>
      <w:r w:rsidRPr="2B6AFA61">
        <w:rPr>
          <w:b/>
          <w:bCs/>
        </w:rPr>
        <w:t>$3.9bn increase</w:t>
      </w:r>
      <w:r w:rsidRPr="2B6AFA61">
        <w:t xml:space="preserve"> due to higher than expected participants and a different mix of participants compared with expected. Participant projections are shown in Section 5.</w:t>
      </w:r>
      <w:r w:rsidR="00631BB8">
        <w:t>4</w:t>
      </w:r>
      <w:r w:rsidRPr="2B6AFA61">
        <w:t xml:space="preserve"> </w:t>
      </w:r>
    </w:p>
    <w:p w14:paraId="73B28ED7" w14:textId="77777777" w:rsidR="00BF7697" w:rsidRPr="00D520AD" w:rsidRDefault="00BF7697" w:rsidP="00C53CDC">
      <w:pPr>
        <w:pStyle w:val="FSRlist"/>
        <w:numPr>
          <w:ilvl w:val="1"/>
          <w:numId w:val="4"/>
        </w:numPr>
        <w:rPr>
          <w:rFonts w:asciiTheme="minorHAnsi" w:hAnsiTheme="minorHAnsi"/>
          <w:szCs w:val="22"/>
        </w:rPr>
      </w:pPr>
      <w:r w:rsidRPr="2B6AFA61">
        <w:t>a</w:t>
      </w:r>
      <w:r w:rsidR="00B710A9">
        <w:t>n</w:t>
      </w:r>
      <w:r w:rsidRPr="2B6AFA61">
        <w:t xml:space="preserve"> </w:t>
      </w:r>
      <w:r w:rsidR="001C139F">
        <w:rPr>
          <w:b/>
          <w:bCs/>
        </w:rPr>
        <w:t>$8.0</w:t>
      </w:r>
      <w:r w:rsidRPr="2B6AFA61">
        <w:rPr>
          <w:b/>
          <w:bCs/>
        </w:rPr>
        <w:t>bn reduction</w:t>
      </w:r>
      <w:r w:rsidRPr="2B6AFA61">
        <w:t xml:space="preserve"> due to lower than expected average </w:t>
      </w:r>
      <w:r w:rsidR="00C20533">
        <w:t xml:space="preserve">payments </w:t>
      </w:r>
      <w:r w:rsidRPr="2B6AFA61">
        <w:t>in</w:t>
      </w:r>
      <w:r w:rsidR="00631BB8">
        <w:t xml:space="preserve"> 2021-22</w:t>
      </w:r>
      <w:r w:rsidRPr="2B6AFA61">
        <w:t xml:space="preserve">, and hence a lower starting point </w:t>
      </w:r>
      <w:r w:rsidR="004967C7">
        <w:t>for the projection</w:t>
      </w:r>
      <w:r w:rsidRPr="2B6AFA61">
        <w:t xml:space="preserve">. This is driven by </w:t>
      </w:r>
      <w:r w:rsidRPr="2B6AFA61">
        <w:lastRenderedPageBreak/>
        <w:t xml:space="preserve">several factors including prolonged lockdowns due to </w:t>
      </w:r>
      <w:r w:rsidR="00310B12">
        <w:t xml:space="preserve">the </w:t>
      </w:r>
      <w:r w:rsidRPr="2B6AFA61">
        <w:t xml:space="preserve">COVID-19 pandemic and workforce shortages materialising in the second half of </w:t>
      </w:r>
      <w:r w:rsidR="006B1AF7">
        <w:t>2021-</w:t>
      </w:r>
      <w:r w:rsidR="006B1AF7" w:rsidRPr="2B6AFA61">
        <w:t>22</w:t>
      </w:r>
      <w:r w:rsidRPr="2B6AFA61">
        <w:t xml:space="preserve">, impacting availability of support workers </w:t>
      </w:r>
    </w:p>
    <w:p w14:paraId="241ECC83" w14:textId="77777777" w:rsidR="00BF7697" w:rsidRPr="00D520AD" w:rsidRDefault="00BF7697" w:rsidP="00C53CDC">
      <w:pPr>
        <w:pStyle w:val="FSRlist"/>
        <w:numPr>
          <w:ilvl w:val="1"/>
          <w:numId w:val="4"/>
        </w:numPr>
        <w:rPr>
          <w:rFonts w:asciiTheme="minorHAnsi" w:hAnsiTheme="minorHAnsi"/>
          <w:szCs w:val="22"/>
        </w:rPr>
      </w:pPr>
      <w:r w:rsidRPr="2B6AFA61">
        <w:t>a</w:t>
      </w:r>
      <w:r w:rsidRPr="2B6AFA61">
        <w:rPr>
          <w:b/>
          <w:bCs/>
        </w:rPr>
        <w:t xml:space="preserve"> $4.0bn</w:t>
      </w:r>
      <w:r w:rsidRPr="2B6AFA61">
        <w:t xml:space="preserve"> </w:t>
      </w:r>
      <w:r w:rsidRPr="2B6AFA61">
        <w:rPr>
          <w:b/>
          <w:bCs/>
        </w:rPr>
        <w:t xml:space="preserve">increase </w:t>
      </w:r>
      <w:r w:rsidRPr="2B6AFA61">
        <w:t>due to the 202</w:t>
      </w:r>
      <w:r w:rsidR="00A07E9D">
        <w:t>1</w:t>
      </w:r>
      <w:r w:rsidRPr="2B6AFA61">
        <w:t>-2</w:t>
      </w:r>
      <w:r w:rsidR="00A07E9D">
        <w:t>2</w:t>
      </w:r>
      <w:r w:rsidRPr="2B6AFA61">
        <w:t xml:space="preserve"> Annual Pricing Review (APR). The update to prices in the</w:t>
      </w:r>
      <w:r w:rsidR="001B3570">
        <w:t xml:space="preserve"> 202</w:t>
      </w:r>
      <w:r w:rsidR="00A07E9D">
        <w:t>1</w:t>
      </w:r>
      <w:r w:rsidR="001B3570">
        <w:t>-2</w:t>
      </w:r>
      <w:r w:rsidR="00A07E9D">
        <w:t>2</w:t>
      </w:r>
      <w:r w:rsidRPr="2B6AFA61">
        <w:t xml:space="preserve"> APR </w:t>
      </w:r>
      <w:r w:rsidR="00E978BA">
        <w:t xml:space="preserve">includes </w:t>
      </w:r>
      <w:r w:rsidRPr="2B6AFA61">
        <w:t xml:space="preserve">the increase </w:t>
      </w:r>
      <w:r w:rsidR="00E978BA">
        <w:t xml:space="preserve">in </w:t>
      </w:r>
      <w:r w:rsidRPr="2B6AFA61">
        <w:t xml:space="preserve">the national minimum wage for disability support workers </w:t>
      </w:r>
      <w:r w:rsidR="00E978BA">
        <w:t xml:space="preserve">awarded by the </w:t>
      </w:r>
      <w:r w:rsidR="00E978BA" w:rsidRPr="2B6AFA61">
        <w:t xml:space="preserve">Fair Work Commission </w:t>
      </w:r>
      <w:r w:rsidRPr="2B6AFA61">
        <w:t xml:space="preserve">as well as additional cost pressures related to attendant care in the current COVID-19 impacted environment. </w:t>
      </w:r>
    </w:p>
    <w:p w14:paraId="4C98818D" w14:textId="77777777" w:rsidR="00BF7697" w:rsidRPr="00D520AD" w:rsidRDefault="00BF7697" w:rsidP="00BF7697">
      <w:pPr>
        <w:pStyle w:val="FSRlist"/>
        <w:rPr>
          <w:rFonts w:asciiTheme="minorHAnsi" w:hAnsiTheme="minorHAnsi"/>
          <w:szCs w:val="22"/>
        </w:rPr>
      </w:pPr>
      <w:r w:rsidRPr="2B6AFA61">
        <w:t xml:space="preserve">Future assumptions result in an increase of </w:t>
      </w:r>
      <w:r w:rsidR="00066EA6">
        <w:t>$8</w:t>
      </w:r>
      <w:r>
        <w:t>.9bn</w:t>
      </w:r>
      <w:r w:rsidRPr="2B6AFA61">
        <w:t xml:space="preserve"> for the four years (2022-26), comprising</w:t>
      </w:r>
      <w:r>
        <w:t>:</w:t>
      </w:r>
      <w:r w:rsidRPr="2B6AFA61">
        <w:t xml:space="preserve"> </w:t>
      </w:r>
    </w:p>
    <w:p w14:paraId="11AECE66" w14:textId="77777777" w:rsidR="00BF7697" w:rsidRPr="00C53CDC" w:rsidRDefault="00BF7697" w:rsidP="00C53CDC">
      <w:pPr>
        <w:pStyle w:val="FSRlist"/>
        <w:numPr>
          <w:ilvl w:val="1"/>
          <w:numId w:val="4"/>
        </w:numPr>
      </w:pPr>
      <w:r>
        <w:t xml:space="preserve">a </w:t>
      </w:r>
      <w:r w:rsidRPr="004C1E49">
        <w:rPr>
          <w:b/>
          <w:bCs/>
        </w:rPr>
        <w:t>$2.7bn</w:t>
      </w:r>
      <w:r w:rsidRPr="00C53CDC">
        <w:rPr>
          <w:b/>
          <w:bCs/>
        </w:rPr>
        <w:t xml:space="preserve"> </w:t>
      </w:r>
      <w:r w:rsidRPr="004C1E49">
        <w:rPr>
          <w:b/>
          <w:bCs/>
        </w:rPr>
        <w:t>increase</w:t>
      </w:r>
      <w:r>
        <w:t xml:space="preserve"> due to higher new</w:t>
      </w:r>
      <w:r w:rsidR="00A35D4D">
        <w:t xml:space="preserve"> entrant</w:t>
      </w:r>
      <w:r w:rsidR="00310B12">
        <w:t xml:space="preserve"> assumption</w:t>
      </w:r>
      <w:r w:rsidR="00A35D4D">
        <w:t>s</w:t>
      </w:r>
      <w:r>
        <w:t xml:space="preserve"> and</w:t>
      </w:r>
      <w:r w:rsidR="009777D8">
        <w:t xml:space="preserve"> lower</w:t>
      </w:r>
      <w:r>
        <w:t xml:space="preserve"> rate</w:t>
      </w:r>
      <w:r w:rsidR="00310B12">
        <w:t>s</w:t>
      </w:r>
      <w:r>
        <w:t xml:space="preserve"> </w:t>
      </w:r>
      <w:r w:rsidR="009777D8">
        <w:t xml:space="preserve">of participants leaving the Scheme </w:t>
      </w:r>
      <w:r>
        <w:t>assumptions to better reflect recent experience</w:t>
      </w:r>
      <w:r w:rsidR="004D53FB">
        <w:rPr>
          <w:rStyle w:val="FootnoteReference"/>
        </w:rPr>
        <w:footnoteReference w:id="83"/>
      </w:r>
      <w:r>
        <w:t xml:space="preserve"> </w:t>
      </w:r>
    </w:p>
    <w:p w14:paraId="7A30E02A" w14:textId="77777777" w:rsidR="00BF7697" w:rsidRPr="00C53CDC" w:rsidRDefault="00BF7697" w:rsidP="00C53CDC">
      <w:pPr>
        <w:pStyle w:val="FSRlist"/>
        <w:numPr>
          <w:ilvl w:val="1"/>
          <w:numId w:val="4"/>
        </w:numPr>
      </w:pPr>
      <w:r>
        <w:t xml:space="preserve">a </w:t>
      </w:r>
      <w:r w:rsidRPr="004C1E49">
        <w:rPr>
          <w:b/>
          <w:bCs/>
        </w:rPr>
        <w:t>$</w:t>
      </w:r>
      <w:r w:rsidR="00A326ED">
        <w:rPr>
          <w:b/>
          <w:bCs/>
        </w:rPr>
        <w:t>1.6</w:t>
      </w:r>
      <w:r w:rsidRPr="004C1E49">
        <w:rPr>
          <w:b/>
          <w:bCs/>
        </w:rPr>
        <w:t>bn increase</w:t>
      </w:r>
      <w:r>
        <w:t xml:space="preserve"> due to higher expectations regarding normal inflation after 2022-23. This reflects recent economic forecasts as well as the potential for wages in the disability sector to increase faster than the long-term average due to potential ongoing supply shortages. </w:t>
      </w:r>
    </w:p>
    <w:p w14:paraId="4014A58B" w14:textId="77777777" w:rsidR="00BF7697" w:rsidRPr="005375E5" w:rsidRDefault="00BF7697" w:rsidP="00C53CDC">
      <w:pPr>
        <w:pStyle w:val="FSRlist"/>
        <w:numPr>
          <w:ilvl w:val="1"/>
          <w:numId w:val="4"/>
        </w:numPr>
      </w:pPr>
      <w:r w:rsidRPr="0043040B">
        <w:t xml:space="preserve">a </w:t>
      </w:r>
      <w:r w:rsidRPr="00C53CDC">
        <w:rPr>
          <w:b/>
          <w:bCs/>
        </w:rPr>
        <w:t>$4.</w:t>
      </w:r>
      <w:r w:rsidR="00A326ED">
        <w:rPr>
          <w:b/>
          <w:bCs/>
        </w:rPr>
        <w:t>6</w:t>
      </w:r>
      <w:r w:rsidRPr="00C53CDC">
        <w:rPr>
          <w:b/>
          <w:bCs/>
        </w:rPr>
        <w:t>bn increase</w:t>
      </w:r>
      <w:r>
        <w:t xml:space="preserve"> due to changes in </w:t>
      </w:r>
      <w:r w:rsidR="007C3EDE">
        <w:t>additional</w:t>
      </w:r>
      <w:r>
        <w:t xml:space="preserve"> inflation assumptions. </w:t>
      </w:r>
      <w:r w:rsidRPr="0043040B">
        <w:t xml:space="preserve"> </w:t>
      </w:r>
    </w:p>
    <w:p w14:paraId="731F89C1" w14:textId="77777777" w:rsidR="00BF7697" w:rsidRDefault="00BF7697" w:rsidP="00BF7697">
      <w:pPr>
        <w:pStyle w:val="Figures"/>
        <w:keepLines/>
      </w:pPr>
      <w:bookmarkStart w:id="167" w:name="_Ref80272209"/>
      <w:r w:rsidRPr="00164A79">
        <w:t xml:space="preserve">Table </w:t>
      </w:r>
      <w:bookmarkEnd w:id="167"/>
      <w:r w:rsidR="00A87896">
        <w:fldChar w:fldCharType="begin"/>
      </w:r>
      <w:r w:rsidR="00A87896">
        <w:instrText xml:space="preserve"> STYLEREF 2 \s </w:instrText>
      </w:r>
      <w:r w:rsidR="00A87896">
        <w:fldChar w:fldCharType="separate"/>
      </w:r>
      <w:r w:rsidR="00A87896">
        <w:rPr>
          <w:noProof/>
        </w:rPr>
        <w:t>5</w:t>
      </w:r>
      <w:r w:rsidR="00A87896">
        <w:fldChar w:fldCharType="end"/>
      </w:r>
      <w:r w:rsidR="00A87896">
        <w:t>.</w:t>
      </w:r>
      <w:fldSimple w:instr=" SEQ Table \* ARABIC \s 2 ">
        <w:r w:rsidR="00A87896">
          <w:rPr>
            <w:noProof/>
          </w:rPr>
          <w:t>7</w:t>
        </w:r>
      </w:fldSimple>
      <w:r w:rsidRPr="00164A79">
        <w:rPr>
          <w:noProof/>
        </w:rPr>
        <w:t>:</w:t>
      </w:r>
      <w:r w:rsidRPr="00164A79">
        <w:t xml:space="preserve"> </w:t>
      </w:r>
      <w:r w:rsidR="000D20C9" w:rsidRPr="00164A79">
        <w:t>Scheme Expense</w:t>
      </w:r>
      <w:r w:rsidRPr="00164A79">
        <w:t xml:space="preserve"> projection movements since previous review due to</w:t>
      </w:r>
      <w:r w:rsidRPr="00BF7697">
        <w:t xml:space="preserve"> experience and updated assumptions </w:t>
      </w:r>
    </w:p>
    <w:tbl>
      <w:tblPr>
        <w:tblStyle w:val="FSRtable"/>
        <w:tblW w:w="9209" w:type="dxa"/>
        <w:tblInd w:w="5" w:type="dxa"/>
        <w:tblLayout w:type="fixed"/>
        <w:tblLook w:val="04A0" w:firstRow="1" w:lastRow="0" w:firstColumn="1" w:lastColumn="0" w:noHBand="0" w:noVBand="1"/>
      </w:tblPr>
      <w:tblGrid>
        <w:gridCol w:w="3539"/>
        <w:gridCol w:w="945"/>
        <w:gridCol w:w="945"/>
        <w:gridCol w:w="945"/>
        <w:gridCol w:w="945"/>
        <w:gridCol w:w="945"/>
        <w:gridCol w:w="945"/>
      </w:tblGrid>
      <w:tr w:rsidR="00101781" w:rsidRPr="008A3258" w14:paraId="6337D43F" w14:textId="77777777" w:rsidTr="001257D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539" w:type="dxa"/>
            <w:noWrap/>
            <w:hideMark/>
          </w:tcPr>
          <w:p w14:paraId="1BF49D2A" w14:textId="77777777" w:rsidR="00101781" w:rsidRPr="008A3258" w:rsidRDefault="000D20C9" w:rsidP="002B7BE6">
            <w:pPr>
              <w:keepNext/>
              <w:spacing w:after="0" w:line="240" w:lineRule="auto"/>
              <w:rPr>
                <w:rFonts w:eastAsia="Times New Roman"/>
                <w:color w:val="FFFFFF"/>
                <w:sz w:val="18"/>
                <w:szCs w:val="18"/>
                <w:lang w:eastAsia="zh-CN"/>
              </w:rPr>
            </w:pPr>
            <w:r>
              <w:rPr>
                <w:rFonts w:eastAsia="Times New Roman"/>
                <w:color w:val="FFFFFF"/>
                <w:sz w:val="18"/>
                <w:szCs w:val="18"/>
                <w:lang w:eastAsia="zh-CN"/>
              </w:rPr>
              <w:t>Scheme Expense</w:t>
            </w:r>
            <w:r w:rsidR="00101781" w:rsidRPr="008A3258">
              <w:rPr>
                <w:rFonts w:eastAsia="Times New Roman"/>
                <w:color w:val="FFFFFF"/>
                <w:sz w:val="18"/>
                <w:szCs w:val="18"/>
                <w:lang w:eastAsia="zh-CN"/>
              </w:rPr>
              <w:t xml:space="preserve"> - Accrual basis ($m)</w:t>
            </w:r>
          </w:p>
        </w:tc>
        <w:tc>
          <w:tcPr>
            <w:tcW w:w="945" w:type="dxa"/>
            <w:noWrap/>
            <w:hideMark/>
          </w:tcPr>
          <w:p w14:paraId="123E050A" w14:textId="77777777" w:rsidR="00101781" w:rsidRPr="008A3258" w:rsidRDefault="00101781">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lang w:eastAsia="zh-CN"/>
              </w:rPr>
            </w:pPr>
            <w:r w:rsidRPr="008A3258">
              <w:rPr>
                <w:rFonts w:eastAsia="Times New Roman"/>
                <w:color w:val="FFFFFF"/>
                <w:sz w:val="18"/>
                <w:szCs w:val="18"/>
                <w:lang w:eastAsia="zh-CN"/>
              </w:rPr>
              <w:t>2022-23</w:t>
            </w:r>
          </w:p>
        </w:tc>
        <w:tc>
          <w:tcPr>
            <w:tcW w:w="945" w:type="dxa"/>
            <w:noWrap/>
            <w:hideMark/>
          </w:tcPr>
          <w:p w14:paraId="70540D9F" w14:textId="77777777" w:rsidR="00101781" w:rsidRPr="008A3258" w:rsidRDefault="00101781">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lang w:eastAsia="zh-CN"/>
              </w:rPr>
            </w:pPr>
            <w:r w:rsidRPr="008A3258">
              <w:rPr>
                <w:rFonts w:eastAsia="Times New Roman"/>
                <w:color w:val="FFFFFF"/>
                <w:sz w:val="18"/>
                <w:szCs w:val="18"/>
                <w:lang w:eastAsia="zh-CN"/>
              </w:rPr>
              <w:t>2023-24</w:t>
            </w:r>
          </w:p>
        </w:tc>
        <w:tc>
          <w:tcPr>
            <w:tcW w:w="945" w:type="dxa"/>
            <w:noWrap/>
            <w:hideMark/>
          </w:tcPr>
          <w:p w14:paraId="639B876B" w14:textId="77777777" w:rsidR="00101781" w:rsidRPr="008A3258" w:rsidRDefault="00101781">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lang w:eastAsia="zh-CN"/>
              </w:rPr>
            </w:pPr>
            <w:r w:rsidRPr="008A3258">
              <w:rPr>
                <w:rFonts w:eastAsia="Times New Roman"/>
                <w:color w:val="FFFFFF"/>
                <w:sz w:val="18"/>
                <w:szCs w:val="18"/>
                <w:lang w:eastAsia="zh-CN"/>
              </w:rPr>
              <w:t>2024-25</w:t>
            </w:r>
          </w:p>
        </w:tc>
        <w:tc>
          <w:tcPr>
            <w:tcW w:w="945" w:type="dxa"/>
            <w:tcBorders>
              <w:right w:val="dotted" w:sz="4" w:space="0" w:color="auto"/>
            </w:tcBorders>
            <w:noWrap/>
            <w:hideMark/>
          </w:tcPr>
          <w:p w14:paraId="60A6FB0C" w14:textId="77777777" w:rsidR="00101781" w:rsidRPr="008A3258" w:rsidRDefault="00101781">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lang w:eastAsia="zh-CN"/>
              </w:rPr>
            </w:pPr>
            <w:r w:rsidRPr="008A3258">
              <w:rPr>
                <w:rFonts w:eastAsia="Times New Roman"/>
                <w:color w:val="FFFFFF"/>
                <w:sz w:val="18"/>
                <w:szCs w:val="18"/>
                <w:lang w:eastAsia="zh-CN"/>
              </w:rPr>
              <w:t>2025-26</w:t>
            </w:r>
          </w:p>
        </w:tc>
        <w:tc>
          <w:tcPr>
            <w:tcW w:w="945" w:type="dxa"/>
            <w:tcBorders>
              <w:top w:val="single" w:sz="4" w:space="0" w:color="auto"/>
              <w:left w:val="dotted" w:sz="4" w:space="0" w:color="auto"/>
              <w:bottom w:val="nil"/>
              <w:right w:val="single" w:sz="4" w:space="0" w:color="auto"/>
            </w:tcBorders>
            <w:noWrap/>
            <w:hideMark/>
          </w:tcPr>
          <w:p w14:paraId="00F9D9C6" w14:textId="77777777" w:rsidR="00101781" w:rsidRPr="008A3258" w:rsidRDefault="00101781">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lang w:eastAsia="zh-CN"/>
              </w:rPr>
            </w:pPr>
            <w:r w:rsidRPr="008A3258">
              <w:rPr>
                <w:rFonts w:eastAsia="Times New Roman"/>
                <w:color w:val="FFFFFF"/>
                <w:sz w:val="18"/>
                <w:szCs w:val="18"/>
                <w:lang w:eastAsia="zh-CN"/>
              </w:rPr>
              <w:t>2031-32</w:t>
            </w:r>
          </w:p>
        </w:tc>
        <w:tc>
          <w:tcPr>
            <w:tcW w:w="945" w:type="dxa"/>
            <w:tcBorders>
              <w:top w:val="single" w:sz="4" w:space="0" w:color="auto"/>
              <w:left w:val="single" w:sz="4" w:space="0" w:color="auto"/>
              <w:bottom w:val="nil"/>
            </w:tcBorders>
            <w:noWrap/>
            <w:hideMark/>
          </w:tcPr>
          <w:p w14:paraId="0C242F50" w14:textId="77777777" w:rsidR="00101781" w:rsidRPr="008A3258" w:rsidRDefault="00101781">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lang w:eastAsia="zh-CN"/>
              </w:rPr>
            </w:pPr>
            <w:r w:rsidRPr="008A3258">
              <w:rPr>
                <w:rFonts w:eastAsia="Times New Roman"/>
                <w:color w:val="FFFFFF"/>
                <w:sz w:val="18"/>
                <w:szCs w:val="18"/>
                <w:lang w:eastAsia="zh-CN"/>
              </w:rPr>
              <w:t>2022-26</w:t>
            </w:r>
          </w:p>
        </w:tc>
      </w:tr>
      <w:tr w:rsidR="00D72D94" w:rsidRPr="008A3258" w14:paraId="3F4EF533" w14:textId="77777777" w:rsidTr="00D72D94">
        <w:trPr>
          <w:trHeight w:val="301"/>
        </w:trPr>
        <w:tc>
          <w:tcPr>
            <w:cnfStyle w:val="001000000000" w:firstRow="0" w:lastRow="0" w:firstColumn="1" w:lastColumn="0" w:oddVBand="0" w:evenVBand="0" w:oddHBand="0" w:evenHBand="0" w:firstRowFirstColumn="0" w:firstRowLastColumn="0" w:lastRowFirstColumn="0" w:lastRowLastColumn="0"/>
            <w:tcW w:w="3539" w:type="dxa"/>
            <w:shd w:val="clear" w:color="auto" w:fill="D4C5D7"/>
            <w:noWrap/>
            <w:hideMark/>
          </w:tcPr>
          <w:p w14:paraId="6FD66577" w14:textId="77777777" w:rsidR="008A3258" w:rsidRPr="008A3258" w:rsidRDefault="008A3258" w:rsidP="008A3258">
            <w:pPr>
              <w:keepNext/>
              <w:spacing w:after="0" w:line="240" w:lineRule="auto"/>
              <w:rPr>
                <w:rFonts w:eastAsia="Times New Roman" w:cs="Arial"/>
                <w:b/>
                <w:bCs/>
                <w:color w:val="000000"/>
                <w:sz w:val="18"/>
                <w:szCs w:val="18"/>
                <w:lang w:eastAsia="zh-CN"/>
              </w:rPr>
            </w:pPr>
            <w:r w:rsidRPr="008A3258">
              <w:rPr>
                <w:rFonts w:eastAsia="Times New Roman" w:cs="Arial"/>
                <w:b/>
                <w:bCs/>
                <w:color w:val="000000"/>
                <w:sz w:val="18"/>
                <w:szCs w:val="18"/>
                <w:lang w:eastAsia="zh-CN"/>
              </w:rPr>
              <w:t>2020-21 AFSR model</w:t>
            </w:r>
          </w:p>
        </w:tc>
        <w:tc>
          <w:tcPr>
            <w:tcW w:w="945" w:type="dxa"/>
            <w:shd w:val="clear" w:color="auto" w:fill="D4C5D7"/>
            <w:noWrap/>
            <w:hideMark/>
          </w:tcPr>
          <w:p w14:paraId="0EFF7008"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r w:rsidRPr="00D72D94">
              <w:rPr>
                <w:rFonts w:cs="Arial"/>
                <w:sz w:val="18"/>
                <w:szCs w:val="18"/>
              </w:rPr>
              <w:t>33,886</w:t>
            </w:r>
          </w:p>
        </w:tc>
        <w:tc>
          <w:tcPr>
            <w:tcW w:w="945" w:type="dxa"/>
            <w:shd w:val="clear" w:color="auto" w:fill="D4C5D7"/>
            <w:noWrap/>
            <w:hideMark/>
          </w:tcPr>
          <w:p w14:paraId="7879A8A9"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r w:rsidRPr="00D72D94">
              <w:rPr>
                <w:rFonts w:cs="Arial"/>
                <w:sz w:val="18"/>
                <w:szCs w:val="18"/>
              </w:rPr>
              <w:t>37,973</w:t>
            </w:r>
          </w:p>
        </w:tc>
        <w:tc>
          <w:tcPr>
            <w:tcW w:w="945" w:type="dxa"/>
            <w:shd w:val="clear" w:color="auto" w:fill="D4C5D7"/>
            <w:noWrap/>
            <w:hideMark/>
          </w:tcPr>
          <w:p w14:paraId="6E485FB7"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r w:rsidRPr="00D72D94">
              <w:rPr>
                <w:rFonts w:cs="Arial"/>
                <w:sz w:val="18"/>
                <w:szCs w:val="18"/>
              </w:rPr>
              <w:t>41,373</w:t>
            </w:r>
          </w:p>
        </w:tc>
        <w:tc>
          <w:tcPr>
            <w:tcW w:w="945" w:type="dxa"/>
            <w:tcBorders>
              <w:right w:val="dotted" w:sz="4" w:space="0" w:color="auto"/>
            </w:tcBorders>
            <w:shd w:val="clear" w:color="auto" w:fill="D4C5D7"/>
            <w:noWrap/>
            <w:hideMark/>
          </w:tcPr>
          <w:p w14:paraId="698CE74A"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r w:rsidRPr="00D72D94">
              <w:rPr>
                <w:rFonts w:cs="Arial"/>
                <w:sz w:val="18"/>
                <w:szCs w:val="18"/>
              </w:rPr>
              <w:t>44,551</w:t>
            </w:r>
          </w:p>
        </w:tc>
        <w:tc>
          <w:tcPr>
            <w:tcW w:w="945" w:type="dxa"/>
            <w:tcBorders>
              <w:top w:val="nil"/>
              <w:left w:val="dotted" w:sz="4" w:space="0" w:color="auto"/>
              <w:bottom w:val="nil"/>
              <w:right w:val="single" w:sz="4" w:space="0" w:color="auto"/>
            </w:tcBorders>
            <w:shd w:val="clear" w:color="auto" w:fill="D4C5D7"/>
            <w:noWrap/>
            <w:hideMark/>
          </w:tcPr>
          <w:p w14:paraId="5D91ECCE"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r w:rsidRPr="00D72D94">
              <w:rPr>
                <w:rFonts w:cs="Arial"/>
                <w:sz w:val="18"/>
                <w:szCs w:val="18"/>
              </w:rPr>
              <w:t>68,049</w:t>
            </w:r>
          </w:p>
        </w:tc>
        <w:tc>
          <w:tcPr>
            <w:tcW w:w="945" w:type="dxa"/>
            <w:tcBorders>
              <w:top w:val="nil"/>
              <w:left w:val="single" w:sz="4" w:space="0" w:color="auto"/>
              <w:bottom w:val="nil"/>
            </w:tcBorders>
            <w:shd w:val="clear" w:color="auto" w:fill="D4C5D7"/>
            <w:noWrap/>
            <w:hideMark/>
          </w:tcPr>
          <w:p w14:paraId="42367C65"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r w:rsidRPr="00D72D94">
              <w:rPr>
                <w:rFonts w:cs="Arial"/>
                <w:sz w:val="18"/>
                <w:szCs w:val="18"/>
              </w:rPr>
              <w:t>157,782</w:t>
            </w:r>
          </w:p>
        </w:tc>
      </w:tr>
      <w:tr w:rsidR="00D72D94" w:rsidRPr="008A3258" w14:paraId="530CC269" w14:textId="77777777" w:rsidTr="00D72D94">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noWrap/>
            <w:hideMark/>
          </w:tcPr>
          <w:p w14:paraId="53217C71" w14:textId="77777777" w:rsidR="008A3258" w:rsidRPr="008A3258" w:rsidRDefault="008A3258" w:rsidP="008A3258">
            <w:pPr>
              <w:keepNext/>
              <w:spacing w:after="0" w:line="240" w:lineRule="auto"/>
              <w:ind w:left="171"/>
              <w:rPr>
                <w:rFonts w:eastAsia="Times New Roman" w:cs="Arial"/>
                <w:color w:val="000000"/>
                <w:sz w:val="18"/>
                <w:szCs w:val="18"/>
                <w:lang w:eastAsia="zh-CN"/>
              </w:rPr>
            </w:pPr>
            <w:r w:rsidRPr="008A3258">
              <w:rPr>
                <w:rFonts w:eastAsia="Times New Roman" w:cs="Arial"/>
                <w:color w:val="000000"/>
                <w:sz w:val="18"/>
                <w:szCs w:val="18"/>
                <w:lang w:eastAsia="zh-CN"/>
              </w:rPr>
              <w:t>Update for participant experience</w:t>
            </w:r>
          </w:p>
        </w:tc>
        <w:tc>
          <w:tcPr>
            <w:tcW w:w="945" w:type="dxa"/>
            <w:shd w:val="clear" w:color="auto" w:fill="D9D9D9" w:themeFill="background1" w:themeFillShade="D9"/>
            <w:noWrap/>
            <w:hideMark/>
          </w:tcPr>
          <w:p w14:paraId="46AFEFDD"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894</w:t>
            </w:r>
          </w:p>
        </w:tc>
        <w:tc>
          <w:tcPr>
            <w:tcW w:w="945" w:type="dxa"/>
            <w:shd w:val="clear" w:color="auto" w:fill="D9D9D9" w:themeFill="background1" w:themeFillShade="D9"/>
            <w:noWrap/>
            <w:hideMark/>
          </w:tcPr>
          <w:p w14:paraId="6691D1F1"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969</w:t>
            </w:r>
          </w:p>
        </w:tc>
        <w:tc>
          <w:tcPr>
            <w:tcW w:w="945" w:type="dxa"/>
            <w:shd w:val="clear" w:color="auto" w:fill="D9D9D9" w:themeFill="background1" w:themeFillShade="D9"/>
            <w:noWrap/>
            <w:hideMark/>
          </w:tcPr>
          <w:p w14:paraId="032FF088"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999</w:t>
            </w:r>
          </w:p>
        </w:tc>
        <w:tc>
          <w:tcPr>
            <w:tcW w:w="945" w:type="dxa"/>
            <w:tcBorders>
              <w:right w:val="dotted" w:sz="4" w:space="0" w:color="auto"/>
            </w:tcBorders>
            <w:shd w:val="clear" w:color="auto" w:fill="D9D9D9" w:themeFill="background1" w:themeFillShade="D9"/>
            <w:noWrap/>
            <w:hideMark/>
          </w:tcPr>
          <w:p w14:paraId="612B4D0C"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1,026</w:t>
            </w:r>
          </w:p>
        </w:tc>
        <w:tc>
          <w:tcPr>
            <w:tcW w:w="945" w:type="dxa"/>
            <w:tcBorders>
              <w:top w:val="nil"/>
              <w:left w:val="dotted" w:sz="4" w:space="0" w:color="auto"/>
              <w:bottom w:val="nil"/>
              <w:right w:val="single" w:sz="4" w:space="0" w:color="auto"/>
            </w:tcBorders>
            <w:shd w:val="clear" w:color="auto" w:fill="D9D9D9" w:themeFill="background1" w:themeFillShade="D9"/>
            <w:noWrap/>
            <w:hideMark/>
          </w:tcPr>
          <w:p w14:paraId="5537B5AE"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1,321</w:t>
            </w:r>
          </w:p>
        </w:tc>
        <w:tc>
          <w:tcPr>
            <w:tcW w:w="945" w:type="dxa"/>
            <w:tcBorders>
              <w:top w:val="nil"/>
              <w:left w:val="single" w:sz="4" w:space="0" w:color="auto"/>
              <w:bottom w:val="nil"/>
            </w:tcBorders>
            <w:shd w:val="clear" w:color="auto" w:fill="D9D9D9" w:themeFill="background1" w:themeFillShade="D9"/>
            <w:noWrap/>
            <w:hideMark/>
          </w:tcPr>
          <w:p w14:paraId="5541A967"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3,887</w:t>
            </w:r>
          </w:p>
        </w:tc>
      </w:tr>
      <w:tr w:rsidR="008A3258" w:rsidRPr="008A3258" w14:paraId="089B838D" w14:textId="77777777" w:rsidTr="00D72D94">
        <w:trPr>
          <w:trHeight w:val="301"/>
        </w:trPr>
        <w:tc>
          <w:tcPr>
            <w:cnfStyle w:val="001000000000" w:firstRow="0" w:lastRow="0" w:firstColumn="1" w:lastColumn="0" w:oddVBand="0" w:evenVBand="0" w:oddHBand="0" w:evenHBand="0" w:firstRowFirstColumn="0" w:firstRowLastColumn="0" w:lastRowFirstColumn="0" w:lastRowLastColumn="0"/>
            <w:tcW w:w="3539" w:type="dxa"/>
            <w:noWrap/>
            <w:hideMark/>
          </w:tcPr>
          <w:p w14:paraId="2B8B28DC" w14:textId="77777777" w:rsidR="008A3258" w:rsidRPr="008A3258" w:rsidRDefault="008A3258" w:rsidP="008A3258">
            <w:pPr>
              <w:keepNext/>
              <w:spacing w:after="0" w:line="240" w:lineRule="auto"/>
              <w:ind w:left="171"/>
              <w:rPr>
                <w:rFonts w:eastAsia="Times New Roman" w:cs="Arial"/>
                <w:color w:val="000000"/>
                <w:sz w:val="18"/>
                <w:szCs w:val="18"/>
                <w:lang w:eastAsia="zh-CN"/>
              </w:rPr>
            </w:pPr>
            <w:r w:rsidRPr="008A3258">
              <w:rPr>
                <w:rFonts w:eastAsia="Times New Roman" w:cs="Arial"/>
                <w:color w:val="000000"/>
                <w:sz w:val="18"/>
                <w:szCs w:val="18"/>
                <w:lang w:eastAsia="zh-CN"/>
              </w:rPr>
              <w:t>Update average payment assumptions</w:t>
            </w:r>
          </w:p>
        </w:tc>
        <w:tc>
          <w:tcPr>
            <w:tcW w:w="945" w:type="dxa"/>
            <w:noWrap/>
            <w:hideMark/>
          </w:tcPr>
          <w:p w14:paraId="14AB5D49"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-1,686</w:t>
            </w:r>
          </w:p>
        </w:tc>
        <w:tc>
          <w:tcPr>
            <w:tcW w:w="945" w:type="dxa"/>
            <w:noWrap/>
            <w:hideMark/>
          </w:tcPr>
          <w:p w14:paraId="0D267970"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-1,921</w:t>
            </w:r>
          </w:p>
        </w:tc>
        <w:tc>
          <w:tcPr>
            <w:tcW w:w="945" w:type="dxa"/>
            <w:noWrap/>
            <w:hideMark/>
          </w:tcPr>
          <w:p w14:paraId="180D6ED8"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-2,116</w:t>
            </w:r>
          </w:p>
        </w:tc>
        <w:tc>
          <w:tcPr>
            <w:tcW w:w="945" w:type="dxa"/>
            <w:tcBorders>
              <w:right w:val="dotted" w:sz="4" w:space="0" w:color="auto"/>
            </w:tcBorders>
            <w:noWrap/>
            <w:hideMark/>
          </w:tcPr>
          <w:p w14:paraId="56620DF0"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-2,253</w:t>
            </w:r>
          </w:p>
        </w:tc>
        <w:tc>
          <w:tcPr>
            <w:tcW w:w="945" w:type="dxa"/>
            <w:tcBorders>
              <w:top w:val="nil"/>
              <w:left w:val="dotted" w:sz="4" w:space="0" w:color="auto"/>
              <w:bottom w:val="nil"/>
              <w:right w:val="single" w:sz="4" w:space="0" w:color="auto"/>
            </w:tcBorders>
            <w:noWrap/>
            <w:hideMark/>
          </w:tcPr>
          <w:p w14:paraId="0ABD963E"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-3,765</w:t>
            </w:r>
          </w:p>
        </w:tc>
        <w:tc>
          <w:tcPr>
            <w:tcW w:w="945" w:type="dxa"/>
            <w:tcBorders>
              <w:top w:val="nil"/>
              <w:left w:val="single" w:sz="4" w:space="0" w:color="auto"/>
              <w:bottom w:val="nil"/>
            </w:tcBorders>
            <w:noWrap/>
            <w:hideMark/>
          </w:tcPr>
          <w:p w14:paraId="26398B23"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-7,977</w:t>
            </w:r>
          </w:p>
        </w:tc>
      </w:tr>
      <w:tr w:rsidR="00D72D94" w:rsidRPr="008A3258" w14:paraId="193F38C9" w14:textId="77777777" w:rsidTr="00D72D94">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noWrap/>
            <w:hideMark/>
          </w:tcPr>
          <w:p w14:paraId="511276C9" w14:textId="77777777" w:rsidR="008A3258" w:rsidRPr="008A3258" w:rsidRDefault="008A3258" w:rsidP="008A3258">
            <w:pPr>
              <w:keepNext/>
              <w:spacing w:after="0" w:line="240" w:lineRule="auto"/>
              <w:ind w:left="171"/>
              <w:rPr>
                <w:rFonts w:eastAsia="Times New Roman" w:cs="Arial"/>
                <w:color w:val="000000"/>
                <w:sz w:val="18"/>
                <w:szCs w:val="18"/>
                <w:lang w:eastAsia="zh-CN"/>
              </w:rPr>
            </w:pPr>
            <w:r w:rsidRPr="008A3258">
              <w:rPr>
                <w:rFonts w:eastAsia="Times New Roman" w:cs="Arial"/>
                <w:color w:val="000000"/>
                <w:sz w:val="18"/>
                <w:szCs w:val="18"/>
                <w:lang w:eastAsia="zh-CN"/>
              </w:rPr>
              <w:t>Update for 202</w:t>
            </w:r>
            <w:r w:rsidR="00FD68D7">
              <w:rPr>
                <w:rFonts w:eastAsia="Times New Roman" w:cs="Arial"/>
                <w:color w:val="000000"/>
                <w:sz w:val="18"/>
                <w:szCs w:val="18"/>
                <w:lang w:eastAsia="zh-CN"/>
              </w:rPr>
              <w:t>1</w:t>
            </w:r>
            <w:r w:rsidRPr="008A3258">
              <w:rPr>
                <w:rFonts w:eastAsia="Times New Roman" w:cs="Arial"/>
                <w:color w:val="000000"/>
                <w:sz w:val="18"/>
                <w:szCs w:val="18"/>
                <w:lang w:eastAsia="zh-CN"/>
              </w:rPr>
              <w:t>-2</w:t>
            </w:r>
            <w:r w:rsidR="00FD68D7">
              <w:rPr>
                <w:rFonts w:eastAsia="Times New Roman" w:cs="Arial"/>
                <w:color w:val="000000"/>
                <w:sz w:val="18"/>
                <w:szCs w:val="18"/>
                <w:lang w:eastAsia="zh-CN"/>
              </w:rPr>
              <w:t>2</w:t>
            </w:r>
            <w:r w:rsidRPr="008A3258">
              <w:rPr>
                <w:rFonts w:eastAsia="Times New Roman" w:cs="Arial"/>
                <w:color w:val="000000"/>
                <w:sz w:val="18"/>
                <w:szCs w:val="18"/>
                <w:lang w:eastAsia="zh-CN"/>
              </w:rPr>
              <w:t xml:space="preserve"> Annual Pricing Review </w:t>
            </w:r>
          </w:p>
        </w:tc>
        <w:tc>
          <w:tcPr>
            <w:tcW w:w="945" w:type="dxa"/>
            <w:shd w:val="clear" w:color="auto" w:fill="D9D9D9" w:themeFill="background1" w:themeFillShade="D9"/>
            <w:noWrap/>
            <w:hideMark/>
          </w:tcPr>
          <w:p w14:paraId="4C63F08F"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1,242</w:t>
            </w:r>
          </w:p>
        </w:tc>
        <w:tc>
          <w:tcPr>
            <w:tcW w:w="945" w:type="dxa"/>
            <w:shd w:val="clear" w:color="auto" w:fill="D9D9D9" w:themeFill="background1" w:themeFillShade="D9"/>
            <w:noWrap/>
            <w:hideMark/>
          </w:tcPr>
          <w:p w14:paraId="31107B3C"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835</w:t>
            </w:r>
          </w:p>
        </w:tc>
        <w:tc>
          <w:tcPr>
            <w:tcW w:w="945" w:type="dxa"/>
            <w:shd w:val="clear" w:color="auto" w:fill="D9D9D9" w:themeFill="background1" w:themeFillShade="D9"/>
            <w:noWrap/>
            <w:hideMark/>
          </w:tcPr>
          <w:p w14:paraId="60548C1B"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915</w:t>
            </w:r>
          </w:p>
        </w:tc>
        <w:tc>
          <w:tcPr>
            <w:tcW w:w="945" w:type="dxa"/>
            <w:tcBorders>
              <w:right w:val="dotted" w:sz="4" w:space="0" w:color="auto"/>
            </w:tcBorders>
            <w:shd w:val="clear" w:color="auto" w:fill="D9D9D9" w:themeFill="background1" w:themeFillShade="D9"/>
            <w:noWrap/>
            <w:hideMark/>
          </w:tcPr>
          <w:p w14:paraId="268FC373"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993</w:t>
            </w:r>
          </w:p>
        </w:tc>
        <w:tc>
          <w:tcPr>
            <w:tcW w:w="945" w:type="dxa"/>
            <w:tcBorders>
              <w:top w:val="nil"/>
              <w:left w:val="dotted" w:sz="4" w:space="0" w:color="auto"/>
              <w:bottom w:val="nil"/>
              <w:right w:val="single" w:sz="4" w:space="0" w:color="auto"/>
            </w:tcBorders>
            <w:shd w:val="clear" w:color="auto" w:fill="D9D9D9" w:themeFill="background1" w:themeFillShade="D9"/>
            <w:noWrap/>
            <w:hideMark/>
          </w:tcPr>
          <w:p w14:paraId="7449CBDF"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1,608</w:t>
            </w:r>
          </w:p>
        </w:tc>
        <w:tc>
          <w:tcPr>
            <w:tcW w:w="945" w:type="dxa"/>
            <w:tcBorders>
              <w:top w:val="nil"/>
              <w:left w:val="single" w:sz="4" w:space="0" w:color="auto"/>
              <w:bottom w:val="nil"/>
            </w:tcBorders>
            <w:shd w:val="clear" w:color="auto" w:fill="D9D9D9" w:themeFill="background1" w:themeFillShade="D9"/>
            <w:noWrap/>
            <w:hideMark/>
          </w:tcPr>
          <w:p w14:paraId="4E1F1396"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3,984</w:t>
            </w:r>
          </w:p>
        </w:tc>
      </w:tr>
      <w:tr w:rsidR="008A3258" w:rsidRPr="008A3258" w14:paraId="581827A0" w14:textId="77777777" w:rsidTr="00D72D94">
        <w:trPr>
          <w:trHeight w:val="301"/>
        </w:trPr>
        <w:tc>
          <w:tcPr>
            <w:cnfStyle w:val="001000000000" w:firstRow="0" w:lastRow="0" w:firstColumn="1" w:lastColumn="0" w:oddVBand="0" w:evenVBand="0" w:oddHBand="0" w:evenHBand="0" w:firstRowFirstColumn="0" w:firstRowLastColumn="0" w:lastRowFirstColumn="0" w:lastRowLastColumn="0"/>
            <w:tcW w:w="3539" w:type="dxa"/>
            <w:shd w:val="clear" w:color="auto" w:fill="auto"/>
            <w:noWrap/>
            <w:hideMark/>
          </w:tcPr>
          <w:p w14:paraId="297241F3" w14:textId="77777777" w:rsidR="008A3258" w:rsidRPr="008A3258" w:rsidRDefault="008A3258" w:rsidP="008A3258">
            <w:pPr>
              <w:keepNext/>
              <w:spacing w:after="0" w:line="240" w:lineRule="auto"/>
              <w:rPr>
                <w:rFonts w:eastAsia="Times New Roman" w:cs="Arial"/>
                <w:b/>
                <w:bCs/>
                <w:i/>
                <w:iCs/>
                <w:color w:val="000000"/>
                <w:sz w:val="18"/>
                <w:szCs w:val="18"/>
                <w:lang w:eastAsia="zh-CN"/>
              </w:rPr>
            </w:pPr>
            <w:r w:rsidRPr="008A3258">
              <w:rPr>
                <w:rFonts w:eastAsia="Times New Roman" w:cs="Arial"/>
                <w:b/>
                <w:bCs/>
                <w:i/>
                <w:iCs/>
                <w:color w:val="000000"/>
                <w:sz w:val="18"/>
                <w:szCs w:val="18"/>
                <w:lang w:eastAsia="zh-CN"/>
              </w:rPr>
              <w:t>Subtotal: updates for experience and Annual Pricing Review</w:t>
            </w:r>
          </w:p>
        </w:tc>
        <w:tc>
          <w:tcPr>
            <w:tcW w:w="945" w:type="dxa"/>
            <w:shd w:val="clear" w:color="auto" w:fill="auto"/>
            <w:noWrap/>
            <w:hideMark/>
          </w:tcPr>
          <w:p w14:paraId="1F58D355"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D72D94">
              <w:rPr>
                <w:rFonts w:cs="Arial"/>
                <w:sz w:val="18"/>
                <w:szCs w:val="18"/>
              </w:rPr>
              <w:t>450</w:t>
            </w:r>
          </w:p>
        </w:tc>
        <w:tc>
          <w:tcPr>
            <w:tcW w:w="945" w:type="dxa"/>
            <w:shd w:val="clear" w:color="auto" w:fill="auto"/>
            <w:noWrap/>
            <w:hideMark/>
          </w:tcPr>
          <w:p w14:paraId="2DB0255E"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D72D94">
              <w:rPr>
                <w:rFonts w:cs="Arial"/>
                <w:sz w:val="18"/>
                <w:szCs w:val="18"/>
              </w:rPr>
              <w:t>-118</w:t>
            </w:r>
          </w:p>
        </w:tc>
        <w:tc>
          <w:tcPr>
            <w:tcW w:w="945" w:type="dxa"/>
            <w:shd w:val="clear" w:color="auto" w:fill="auto"/>
            <w:noWrap/>
            <w:hideMark/>
          </w:tcPr>
          <w:p w14:paraId="5996578C"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D72D94">
              <w:rPr>
                <w:rFonts w:cs="Arial"/>
                <w:sz w:val="18"/>
                <w:szCs w:val="18"/>
              </w:rPr>
              <w:t>-203</w:t>
            </w:r>
          </w:p>
        </w:tc>
        <w:tc>
          <w:tcPr>
            <w:tcW w:w="945" w:type="dxa"/>
            <w:tcBorders>
              <w:right w:val="dotted" w:sz="4" w:space="0" w:color="auto"/>
            </w:tcBorders>
            <w:shd w:val="clear" w:color="auto" w:fill="auto"/>
            <w:noWrap/>
            <w:hideMark/>
          </w:tcPr>
          <w:p w14:paraId="77A96BE0"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D72D94">
              <w:rPr>
                <w:rFonts w:cs="Arial"/>
                <w:sz w:val="18"/>
                <w:szCs w:val="18"/>
              </w:rPr>
              <w:t>-234</w:t>
            </w:r>
          </w:p>
        </w:tc>
        <w:tc>
          <w:tcPr>
            <w:tcW w:w="945" w:type="dxa"/>
            <w:tcBorders>
              <w:top w:val="nil"/>
              <w:left w:val="dotted" w:sz="4" w:space="0" w:color="auto"/>
              <w:bottom w:val="nil"/>
              <w:right w:val="single" w:sz="4" w:space="0" w:color="auto"/>
            </w:tcBorders>
            <w:shd w:val="clear" w:color="auto" w:fill="auto"/>
            <w:noWrap/>
            <w:hideMark/>
          </w:tcPr>
          <w:p w14:paraId="399C5E4C"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D72D94">
              <w:rPr>
                <w:rFonts w:cs="Arial"/>
                <w:sz w:val="18"/>
                <w:szCs w:val="18"/>
              </w:rPr>
              <w:t>-836</w:t>
            </w:r>
          </w:p>
        </w:tc>
        <w:tc>
          <w:tcPr>
            <w:tcW w:w="945" w:type="dxa"/>
            <w:tcBorders>
              <w:top w:val="nil"/>
              <w:left w:val="single" w:sz="4" w:space="0" w:color="auto"/>
              <w:bottom w:val="nil"/>
            </w:tcBorders>
            <w:shd w:val="clear" w:color="auto" w:fill="auto"/>
            <w:noWrap/>
            <w:hideMark/>
          </w:tcPr>
          <w:p w14:paraId="3EDA4F11"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D72D94">
              <w:rPr>
                <w:rFonts w:cs="Arial"/>
                <w:sz w:val="18"/>
                <w:szCs w:val="18"/>
              </w:rPr>
              <w:t>-105</w:t>
            </w:r>
          </w:p>
        </w:tc>
      </w:tr>
      <w:tr w:rsidR="00D72D94" w:rsidRPr="008A3258" w14:paraId="6774EA84" w14:textId="77777777" w:rsidTr="00D72D94">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noWrap/>
            <w:hideMark/>
          </w:tcPr>
          <w:p w14:paraId="31B506E8" w14:textId="77777777" w:rsidR="008A3258" w:rsidRPr="008A3258" w:rsidRDefault="008A3258" w:rsidP="008A3258">
            <w:pPr>
              <w:keepNext/>
              <w:spacing w:after="0" w:line="240" w:lineRule="auto"/>
              <w:ind w:left="171"/>
              <w:rPr>
                <w:rFonts w:eastAsia="Times New Roman" w:cs="Arial"/>
                <w:color w:val="000000"/>
                <w:sz w:val="18"/>
                <w:szCs w:val="18"/>
                <w:lang w:eastAsia="zh-CN"/>
              </w:rPr>
            </w:pPr>
            <w:r w:rsidRPr="008A3258">
              <w:rPr>
                <w:rFonts w:eastAsia="Times New Roman" w:cs="Arial"/>
                <w:color w:val="000000"/>
                <w:sz w:val="18"/>
                <w:szCs w:val="18"/>
                <w:lang w:eastAsia="zh-CN"/>
              </w:rPr>
              <w:t xml:space="preserve">Update for all changes to participant population assumptions </w:t>
            </w:r>
          </w:p>
        </w:tc>
        <w:tc>
          <w:tcPr>
            <w:tcW w:w="945" w:type="dxa"/>
            <w:shd w:val="clear" w:color="auto" w:fill="D9D9D9" w:themeFill="background1" w:themeFillShade="D9"/>
            <w:noWrap/>
            <w:hideMark/>
          </w:tcPr>
          <w:p w14:paraId="08D6CDB3"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82</w:t>
            </w:r>
          </w:p>
        </w:tc>
        <w:tc>
          <w:tcPr>
            <w:tcW w:w="945" w:type="dxa"/>
            <w:shd w:val="clear" w:color="auto" w:fill="D9D9D9" w:themeFill="background1" w:themeFillShade="D9"/>
            <w:noWrap/>
            <w:hideMark/>
          </w:tcPr>
          <w:p w14:paraId="339DF038"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409</w:t>
            </w:r>
          </w:p>
        </w:tc>
        <w:tc>
          <w:tcPr>
            <w:tcW w:w="945" w:type="dxa"/>
            <w:shd w:val="clear" w:color="auto" w:fill="D9D9D9" w:themeFill="background1" w:themeFillShade="D9"/>
            <w:noWrap/>
            <w:hideMark/>
          </w:tcPr>
          <w:p w14:paraId="4D1563EB"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876</w:t>
            </w:r>
          </w:p>
        </w:tc>
        <w:tc>
          <w:tcPr>
            <w:tcW w:w="945" w:type="dxa"/>
            <w:tcBorders>
              <w:right w:val="dotted" w:sz="4" w:space="0" w:color="auto"/>
            </w:tcBorders>
            <w:shd w:val="clear" w:color="auto" w:fill="D9D9D9" w:themeFill="background1" w:themeFillShade="D9"/>
            <w:noWrap/>
            <w:hideMark/>
          </w:tcPr>
          <w:p w14:paraId="48A70477"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1,304</w:t>
            </w:r>
          </w:p>
        </w:tc>
        <w:tc>
          <w:tcPr>
            <w:tcW w:w="945" w:type="dxa"/>
            <w:tcBorders>
              <w:top w:val="nil"/>
              <w:left w:val="dotted" w:sz="4" w:space="0" w:color="auto"/>
              <w:bottom w:val="nil"/>
              <w:right w:val="single" w:sz="4" w:space="0" w:color="auto"/>
            </w:tcBorders>
            <w:shd w:val="clear" w:color="auto" w:fill="D9D9D9" w:themeFill="background1" w:themeFillShade="D9"/>
            <w:noWrap/>
            <w:hideMark/>
          </w:tcPr>
          <w:p w14:paraId="4A6317C1"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4,825</w:t>
            </w:r>
          </w:p>
        </w:tc>
        <w:tc>
          <w:tcPr>
            <w:tcW w:w="945" w:type="dxa"/>
            <w:tcBorders>
              <w:top w:val="nil"/>
              <w:left w:val="single" w:sz="4" w:space="0" w:color="auto"/>
              <w:bottom w:val="nil"/>
            </w:tcBorders>
            <w:shd w:val="clear" w:color="auto" w:fill="D9D9D9" w:themeFill="background1" w:themeFillShade="D9"/>
            <w:noWrap/>
            <w:hideMark/>
          </w:tcPr>
          <w:p w14:paraId="56932EBD"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2,671</w:t>
            </w:r>
          </w:p>
        </w:tc>
      </w:tr>
      <w:tr w:rsidR="008A3258" w:rsidRPr="008A3258" w14:paraId="6E2AEE71" w14:textId="77777777" w:rsidTr="00D72D94">
        <w:trPr>
          <w:trHeight w:val="301"/>
        </w:trPr>
        <w:tc>
          <w:tcPr>
            <w:cnfStyle w:val="001000000000" w:firstRow="0" w:lastRow="0" w:firstColumn="1" w:lastColumn="0" w:oddVBand="0" w:evenVBand="0" w:oddHBand="0" w:evenHBand="0" w:firstRowFirstColumn="0" w:firstRowLastColumn="0" w:lastRowFirstColumn="0" w:lastRowLastColumn="0"/>
            <w:tcW w:w="3539" w:type="dxa"/>
            <w:noWrap/>
            <w:hideMark/>
          </w:tcPr>
          <w:p w14:paraId="0B55AC56" w14:textId="77777777" w:rsidR="008A3258" w:rsidRPr="008A3258" w:rsidRDefault="008A3258" w:rsidP="008A3258">
            <w:pPr>
              <w:keepNext/>
              <w:spacing w:after="0" w:line="240" w:lineRule="auto"/>
              <w:ind w:left="171"/>
              <w:rPr>
                <w:rFonts w:eastAsia="Times New Roman" w:cs="Arial"/>
                <w:color w:val="000000"/>
                <w:sz w:val="18"/>
                <w:szCs w:val="18"/>
                <w:lang w:eastAsia="zh-CN"/>
              </w:rPr>
            </w:pPr>
            <w:r w:rsidRPr="008A3258">
              <w:rPr>
                <w:rFonts w:eastAsia="Times New Roman" w:cs="Arial"/>
                <w:color w:val="000000"/>
                <w:sz w:val="18"/>
                <w:szCs w:val="18"/>
                <w:lang w:eastAsia="zh-CN"/>
              </w:rPr>
              <w:t xml:space="preserve">Update for normal inflation </w:t>
            </w:r>
          </w:p>
        </w:tc>
        <w:tc>
          <w:tcPr>
            <w:tcW w:w="945" w:type="dxa"/>
            <w:noWrap/>
            <w:hideMark/>
          </w:tcPr>
          <w:p w14:paraId="70C125AC"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0</w:t>
            </w:r>
          </w:p>
        </w:tc>
        <w:tc>
          <w:tcPr>
            <w:tcW w:w="945" w:type="dxa"/>
            <w:noWrap/>
            <w:hideMark/>
          </w:tcPr>
          <w:p w14:paraId="3CCF2DCC"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327</w:t>
            </w:r>
          </w:p>
        </w:tc>
        <w:tc>
          <w:tcPr>
            <w:tcW w:w="945" w:type="dxa"/>
            <w:noWrap/>
            <w:hideMark/>
          </w:tcPr>
          <w:p w14:paraId="731CBDC1"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518</w:t>
            </w:r>
          </w:p>
        </w:tc>
        <w:tc>
          <w:tcPr>
            <w:tcW w:w="945" w:type="dxa"/>
            <w:tcBorders>
              <w:right w:val="dotted" w:sz="4" w:space="0" w:color="auto"/>
            </w:tcBorders>
            <w:noWrap/>
            <w:hideMark/>
          </w:tcPr>
          <w:p w14:paraId="30A87C5E"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735</w:t>
            </w:r>
          </w:p>
        </w:tc>
        <w:tc>
          <w:tcPr>
            <w:tcW w:w="945" w:type="dxa"/>
            <w:tcBorders>
              <w:top w:val="nil"/>
              <w:left w:val="dotted" w:sz="4" w:space="0" w:color="auto"/>
              <w:bottom w:val="nil"/>
              <w:right w:val="single" w:sz="4" w:space="0" w:color="auto"/>
            </w:tcBorders>
            <w:noWrap/>
            <w:hideMark/>
          </w:tcPr>
          <w:p w14:paraId="4AB7E150"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1,200</w:t>
            </w:r>
          </w:p>
        </w:tc>
        <w:tc>
          <w:tcPr>
            <w:tcW w:w="945" w:type="dxa"/>
            <w:tcBorders>
              <w:top w:val="nil"/>
              <w:left w:val="single" w:sz="4" w:space="0" w:color="auto"/>
              <w:bottom w:val="nil"/>
            </w:tcBorders>
            <w:noWrap/>
            <w:hideMark/>
          </w:tcPr>
          <w:p w14:paraId="0B4B98A0"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1,579</w:t>
            </w:r>
          </w:p>
        </w:tc>
      </w:tr>
      <w:tr w:rsidR="00D72D94" w:rsidRPr="008A3258" w14:paraId="55C073DB" w14:textId="77777777" w:rsidTr="00D72D94">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noWrap/>
            <w:hideMark/>
          </w:tcPr>
          <w:p w14:paraId="000A475C" w14:textId="77777777" w:rsidR="008A3258" w:rsidRPr="008A3258" w:rsidRDefault="008A3258" w:rsidP="00310B12">
            <w:pPr>
              <w:keepNext/>
              <w:spacing w:after="0" w:line="240" w:lineRule="auto"/>
              <w:ind w:left="175"/>
              <w:rPr>
                <w:rFonts w:eastAsia="Times New Roman" w:cs="Arial"/>
                <w:b/>
                <w:bCs/>
                <w:i/>
                <w:iCs/>
                <w:color w:val="000000"/>
                <w:sz w:val="18"/>
                <w:szCs w:val="18"/>
                <w:lang w:eastAsia="zh-CN"/>
              </w:rPr>
            </w:pPr>
            <w:r w:rsidRPr="008A3258">
              <w:rPr>
                <w:rFonts w:eastAsia="Times New Roman" w:cs="Arial"/>
                <w:color w:val="000000"/>
                <w:sz w:val="18"/>
                <w:szCs w:val="18"/>
                <w:lang w:eastAsia="zh-CN"/>
              </w:rPr>
              <w:t>Update for</w:t>
            </w:r>
            <w:r w:rsidR="001712EA">
              <w:rPr>
                <w:rFonts w:eastAsia="Times New Roman" w:cs="Arial"/>
                <w:color w:val="000000"/>
                <w:sz w:val="18"/>
                <w:szCs w:val="18"/>
                <w:lang w:eastAsia="zh-CN"/>
              </w:rPr>
              <w:t xml:space="preserve"> </w:t>
            </w:r>
            <w:r w:rsidR="00310B12">
              <w:rPr>
                <w:rFonts w:eastAsia="Times New Roman" w:cs="Arial"/>
                <w:color w:val="000000"/>
                <w:sz w:val="18"/>
                <w:szCs w:val="18"/>
                <w:lang w:eastAsia="zh-CN"/>
              </w:rPr>
              <w:t>a</w:t>
            </w:r>
            <w:r w:rsidR="001712EA">
              <w:rPr>
                <w:rFonts w:eastAsia="Times New Roman" w:cs="Arial"/>
                <w:color w:val="000000"/>
                <w:sz w:val="18"/>
                <w:szCs w:val="18"/>
                <w:lang w:eastAsia="zh-CN"/>
              </w:rPr>
              <w:t>dditional</w:t>
            </w:r>
            <w:r w:rsidRPr="008A3258">
              <w:rPr>
                <w:rFonts w:eastAsia="Times New Roman" w:cs="Arial"/>
                <w:color w:val="000000"/>
                <w:sz w:val="18"/>
                <w:szCs w:val="18"/>
                <w:lang w:eastAsia="zh-CN"/>
              </w:rPr>
              <w:t xml:space="preserve"> inflation</w:t>
            </w:r>
          </w:p>
        </w:tc>
        <w:tc>
          <w:tcPr>
            <w:tcW w:w="945" w:type="dxa"/>
            <w:shd w:val="clear" w:color="auto" w:fill="D9D9D9" w:themeFill="background1" w:themeFillShade="D9"/>
            <w:noWrap/>
            <w:hideMark/>
          </w:tcPr>
          <w:p w14:paraId="256053E3"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i/>
                <w:iCs/>
                <w:color w:val="000000"/>
                <w:sz w:val="18"/>
                <w:szCs w:val="18"/>
                <w:lang w:eastAsia="zh-CN"/>
              </w:rPr>
            </w:pPr>
            <w:r w:rsidRPr="00D72D94">
              <w:rPr>
                <w:rFonts w:cs="Arial"/>
                <w:sz w:val="18"/>
                <w:szCs w:val="18"/>
              </w:rPr>
              <w:t>-442</w:t>
            </w:r>
          </w:p>
        </w:tc>
        <w:tc>
          <w:tcPr>
            <w:tcW w:w="945" w:type="dxa"/>
            <w:shd w:val="clear" w:color="auto" w:fill="D9D9D9" w:themeFill="background1" w:themeFillShade="D9"/>
            <w:noWrap/>
            <w:hideMark/>
          </w:tcPr>
          <w:p w14:paraId="7B7EFF88"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i/>
                <w:iCs/>
                <w:color w:val="000000"/>
                <w:sz w:val="18"/>
                <w:szCs w:val="18"/>
                <w:lang w:eastAsia="zh-CN"/>
              </w:rPr>
            </w:pPr>
            <w:r w:rsidRPr="00D72D94">
              <w:rPr>
                <w:rFonts w:cs="Arial"/>
                <w:sz w:val="18"/>
                <w:szCs w:val="18"/>
              </w:rPr>
              <w:t>-458</w:t>
            </w:r>
          </w:p>
        </w:tc>
        <w:tc>
          <w:tcPr>
            <w:tcW w:w="945" w:type="dxa"/>
            <w:shd w:val="clear" w:color="auto" w:fill="D9D9D9" w:themeFill="background1" w:themeFillShade="D9"/>
            <w:noWrap/>
            <w:hideMark/>
          </w:tcPr>
          <w:p w14:paraId="521E0A9A"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i/>
                <w:iCs/>
                <w:color w:val="000000"/>
                <w:sz w:val="18"/>
                <w:szCs w:val="18"/>
                <w:lang w:eastAsia="zh-CN"/>
              </w:rPr>
            </w:pPr>
            <w:r w:rsidRPr="00D72D94">
              <w:rPr>
                <w:rFonts w:cs="Arial"/>
                <w:sz w:val="18"/>
                <w:szCs w:val="18"/>
              </w:rPr>
              <w:t>1,553</w:t>
            </w:r>
          </w:p>
        </w:tc>
        <w:tc>
          <w:tcPr>
            <w:tcW w:w="945" w:type="dxa"/>
            <w:tcBorders>
              <w:right w:val="dotted" w:sz="4" w:space="0" w:color="auto"/>
            </w:tcBorders>
            <w:shd w:val="clear" w:color="auto" w:fill="D9D9D9" w:themeFill="background1" w:themeFillShade="D9"/>
            <w:noWrap/>
            <w:hideMark/>
          </w:tcPr>
          <w:p w14:paraId="65899C12"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i/>
                <w:iCs/>
                <w:color w:val="000000"/>
                <w:sz w:val="18"/>
                <w:szCs w:val="18"/>
                <w:lang w:eastAsia="zh-CN"/>
              </w:rPr>
            </w:pPr>
            <w:r w:rsidRPr="00D72D94">
              <w:rPr>
                <w:rFonts w:cs="Arial"/>
                <w:sz w:val="18"/>
                <w:szCs w:val="18"/>
              </w:rPr>
              <w:t>3,988</w:t>
            </w:r>
          </w:p>
        </w:tc>
        <w:tc>
          <w:tcPr>
            <w:tcW w:w="945" w:type="dxa"/>
            <w:tcBorders>
              <w:top w:val="nil"/>
              <w:left w:val="dotted" w:sz="4" w:space="0" w:color="auto"/>
              <w:bottom w:val="nil"/>
              <w:right w:val="single" w:sz="4" w:space="0" w:color="auto"/>
            </w:tcBorders>
            <w:shd w:val="clear" w:color="auto" w:fill="D9D9D9" w:themeFill="background1" w:themeFillShade="D9"/>
            <w:noWrap/>
            <w:hideMark/>
          </w:tcPr>
          <w:p w14:paraId="6B354E7B"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i/>
                <w:iCs/>
                <w:color w:val="000000"/>
                <w:sz w:val="18"/>
                <w:szCs w:val="18"/>
                <w:lang w:eastAsia="zh-CN"/>
              </w:rPr>
            </w:pPr>
            <w:r w:rsidRPr="00D72D94">
              <w:rPr>
                <w:rFonts w:cs="Arial"/>
                <w:sz w:val="18"/>
                <w:szCs w:val="18"/>
              </w:rPr>
              <w:t>16,164</w:t>
            </w:r>
          </w:p>
        </w:tc>
        <w:tc>
          <w:tcPr>
            <w:tcW w:w="945" w:type="dxa"/>
            <w:tcBorders>
              <w:top w:val="nil"/>
              <w:left w:val="single" w:sz="4" w:space="0" w:color="auto"/>
              <w:bottom w:val="nil"/>
            </w:tcBorders>
            <w:shd w:val="clear" w:color="auto" w:fill="D9D9D9" w:themeFill="background1" w:themeFillShade="D9"/>
            <w:noWrap/>
            <w:hideMark/>
          </w:tcPr>
          <w:p w14:paraId="7710ACC2" w14:textId="77777777" w:rsidR="008A3258" w:rsidRPr="008A3258" w:rsidRDefault="008A325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i/>
                <w:iCs/>
                <w:color w:val="000000"/>
                <w:sz w:val="18"/>
                <w:szCs w:val="18"/>
                <w:lang w:eastAsia="zh-CN"/>
              </w:rPr>
            </w:pPr>
            <w:r w:rsidRPr="00D72D94">
              <w:rPr>
                <w:rFonts w:cs="Arial"/>
                <w:sz w:val="18"/>
                <w:szCs w:val="18"/>
              </w:rPr>
              <w:t>4,642</w:t>
            </w:r>
          </w:p>
        </w:tc>
      </w:tr>
      <w:tr w:rsidR="00304672" w:rsidRPr="008A3258" w14:paraId="40CC7886" w14:textId="77777777" w:rsidTr="008A3258">
        <w:trPr>
          <w:trHeight w:val="301"/>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bottom w:val="single" w:sz="4" w:space="0" w:color="auto"/>
            </w:tcBorders>
            <w:shd w:val="clear" w:color="auto" w:fill="D4C5D7"/>
            <w:noWrap/>
            <w:hideMark/>
          </w:tcPr>
          <w:p w14:paraId="53296941" w14:textId="77777777" w:rsidR="008A3258" w:rsidRPr="008A3258" w:rsidRDefault="008A3258" w:rsidP="00310B12">
            <w:pPr>
              <w:keepNext/>
              <w:spacing w:after="0" w:line="240" w:lineRule="auto"/>
              <w:rPr>
                <w:rFonts w:eastAsia="Times New Roman" w:cs="Arial"/>
                <w:b/>
                <w:bCs/>
                <w:i/>
                <w:iCs/>
                <w:color w:val="000000"/>
                <w:sz w:val="18"/>
                <w:szCs w:val="18"/>
                <w:lang w:eastAsia="zh-CN"/>
              </w:rPr>
            </w:pPr>
            <w:r w:rsidRPr="008A3258">
              <w:rPr>
                <w:rFonts w:eastAsia="Times New Roman" w:cs="Arial"/>
                <w:b/>
                <w:bCs/>
                <w:i/>
                <w:iCs/>
                <w:color w:val="000000"/>
                <w:sz w:val="18"/>
                <w:szCs w:val="18"/>
                <w:lang w:eastAsia="zh-CN"/>
              </w:rPr>
              <w:t xml:space="preserve">Total </w:t>
            </w:r>
            <w:r w:rsidR="00310B12">
              <w:rPr>
                <w:rFonts w:eastAsia="Times New Roman" w:cs="Arial"/>
                <w:b/>
                <w:bCs/>
                <w:i/>
                <w:iCs/>
                <w:color w:val="000000"/>
                <w:sz w:val="18"/>
                <w:szCs w:val="18"/>
                <w:lang w:eastAsia="zh-CN"/>
              </w:rPr>
              <w:t>u</w:t>
            </w:r>
            <w:r w:rsidRPr="008A3258">
              <w:rPr>
                <w:rFonts w:eastAsia="Times New Roman" w:cs="Arial"/>
                <w:b/>
                <w:bCs/>
                <w:i/>
                <w:iCs/>
                <w:color w:val="000000"/>
                <w:sz w:val="18"/>
                <w:szCs w:val="18"/>
                <w:lang w:eastAsia="zh-CN"/>
              </w:rPr>
              <w:t>pdates for all changes</w:t>
            </w:r>
          </w:p>
        </w:tc>
        <w:tc>
          <w:tcPr>
            <w:tcW w:w="945" w:type="dxa"/>
            <w:tcBorders>
              <w:top w:val="single" w:sz="4" w:space="0" w:color="auto"/>
              <w:bottom w:val="single" w:sz="4" w:space="0" w:color="auto"/>
            </w:tcBorders>
            <w:shd w:val="clear" w:color="auto" w:fill="D4C5D7"/>
            <w:noWrap/>
            <w:hideMark/>
          </w:tcPr>
          <w:p w14:paraId="76B7D480"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D72D94">
              <w:rPr>
                <w:rFonts w:cs="Arial"/>
                <w:b/>
                <w:sz w:val="18"/>
                <w:szCs w:val="18"/>
              </w:rPr>
              <w:t>90</w:t>
            </w:r>
          </w:p>
        </w:tc>
        <w:tc>
          <w:tcPr>
            <w:tcW w:w="945" w:type="dxa"/>
            <w:tcBorders>
              <w:top w:val="single" w:sz="4" w:space="0" w:color="auto"/>
              <w:bottom w:val="single" w:sz="4" w:space="0" w:color="auto"/>
            </w:tcBorders>
            <w:shd w:val="clear" w:color="auto" w:fill="D4C5D7"/>
            <w:noWrap/>
            <w:hideMark/>
          </w:tcPr>
          <w:p w14:paraId="0560364E"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D72D94">
              <w:rPr>
                <w:rFonts w:cs="Arial"/>
                <w:b/>
                <w:sz w:val="18"/>
                <w:szCs w:val="18"/>
              </w:rPr>
              <w:t>160</w:t>
            </w:r>
          </w:p>
        </w:tc>
        <w:tc>
          <w:tcPr>
            <w:tcW w:w="945" w:type="dxa"/>
            <w:tcBorders>
              <w:top w:val="single" w:sz="4" w:space="0" w:color="auto"/>
              <w:bottom w:val="single" w:sz="4" w:space="0" w:color="auto"/>
            </w:tcBorders>
            <w:shd w:val="clear" w:color="auto" w:fill="D4C5D7"/>
            <w:noWrap/>
            <w:hideMark/>
          </w:tcPr>
          <w:p w14:paraId="570FEEEE"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D72D94">
              <w:rPr>
                <w:rFonts w:cs="Arial"/>
                <w:b/>
                <w:sz w:val="18"/>
                <w:szCs w:val="18"/>
              </w:rPr>
              <w:t>2,743</w:t>
            </w:r>
          </w:p>
        </w:tc>
        <w:tc>
          <w:tcPr>
            <w:tcW w:w="945" w:type="dxa"/>
            <w:tcBorders>
              <w:top w:val="single" w:sz="4" w:space="0" w:color="auto"/>
              <w:bottom w:val="single" w:sz="4" w:space="0" w:color="auto"/>
              <w:right w:val="dotted" w:sz="4" w:space="0" w:color="auto"/>
            </w:tcBorders>
            <w:shd w:val="clear" w:color="auto" w:fill="D4C5D7"/>
            <w:noWrap/>
            <w:hideMark/>
          </w:tcPr>
          <w:p w14:paraId="194DFAD4"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D72D94">
              <w:rPr>
                <w:rFonts w:cs="Arial"/>
                <w:b/>
                <w:sz w:val="18"/>
                <w:szCs w:val="18"/>
              </w:rPr>
              <w:t>5,793</w:t>
            </w:r>
          </w:p>
        </w:tc>
        <w:tc>
          <w:tcPr>
            <w:tcW w:w="945" w:type="dxa"/>
            <w:tcBorders>
              <w:top w:val="single" w:sz="4" w:space="0" w:color="auto"/>
              <w:left w:val="dotted" w:sz="4" w:space="0" w:color="auto"/>
              <w:bottom w:val="single" w:sz="4" w:space="0" w:color="auto"/>
              <w:right w:val="single" w:sz="4" w:space="0" w:color="auto"/>
            </w:tcBorders>
            <w:shd w:val="clear" w:color="auto" w:fill="D4C5D7"/>
            <w:noWrap/>
            <w:hideMark/>
          </w:tcPr>
          <w:p w14:paraId="5F9C4CBD"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D72D94">
              <w:rPr>
                <w:rFonts w:cs="Arial"/>
                <w:b/>
                <w:sz w:val="18"/>
                <w:szCs w:val="18"/>
              </w:rPr>
              <w:t>21,354</w:t>
            </w:r>
          </w:p>
        </w:tc>
        <w:tc>
          <w:tcPr>
            <w:tcW w:w="945" w:type="dxa"/>
            <w:tcBorders>
              <w:top w:val="single" w:sz="4" w:space="0" w:color="auto"/>
              <w:left w:val="single" w:sz="4" w:space="0" w:color="auto"/>
              <w:bottom w:val="single" w:sz="4" w:space="0" w:color="auto"/>
            </w:tcBorders>
            <w:shd w:val="clear" w:color="auto" w:fill="D4C5D7"/>
            <w:noWrap/>
            <w:hideMark/>
          </w:tcPr>
          <w:p w14:paraId="0A38D192" w14:textId="77777777" w:rsidR="008A3258" w:rsidRPr="008A3258" w:rsidRDefault="008A325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D72D94">
              <w:rPr>
                <w:rFonts w:cs="Arial"/>
                <w:b/>
                <w:sz w:val="18"/>
                <w:szCs w:val="18"/>
              </w:rPr>
              <w:t>8,786</w:t>
            </w:r>
          </w:p>
        </w:tc>
      </w:tr>
    </w:tbl>
    <w:p w14:paraId="7F388624" w14:textId="77777777" w:rsidR="00BF7697" w:rsidRDefault="00717D1B" w:rsidP="00221197">
      <w:pPr>
        <w:pStyle w:val="Heading3"/>
        <w:spacing w:before="360"/>
        <w:ind w:left="794" w:hanging="794"/>
      </w:pPr>
      <w:bookmarkStart w:id="168" w:name="_Toc118460202"/>
      <w:bookmarkStart w:id="169" w:name="_Toc83220849"/>
      <w:r>
        <w:t xml:space="preserve">Projection of </w:t>
      </w:r>
      <w:r w:rsidR="00D9305B">
        <w:t>plan budgets</w:t>
      </w:r>
      <w:r>
        <w:t xml:space="preserve"> and u</w:t>
      </w:r>
      <w:r w:rsidR="00BF7697">
        <w:t>tilisation</w:t>
      </w:r>
      <w:bookmarkEnd w:id="168"/>
    </w:p>
    <w:p w14:paraId="367F0EA3" w14:textId="77777777" w:rsidR="00DB7181" w:rsidRDefault="00DB7181" w:rsidP="00DB7181">
      <w:pPr>
        <w:pStyle w:val="FSRnormal"/>
      </w:pPr>
      <w:r w:rsidRPr="2F45504E">
        <w:rPr>
          <w:rFonts w:eastAsia="Arial" w:cs="Arial"/>
          <w:szCs w:val="22"/>
        </w:rPr>
        <w:t xml:space="preserve">To enable a closer alignment to the Agency’s plan budget setting process, the AFSR model has been enhanced to include a projection of future plan budgets. This can also be used to project the expected utilisation rate for future years. The utilisation rate is the proportion of a participant’s plan which is used for payment of supports. </w:t>
      </w:r>
      <w:r>
        <w:t xml:space="preserve"> </w:t>
      </w:r>
    </w:p>
    <w:p w14:paraId="43614AEC" w14:textId="77777777" w:rsidR="00DB7181" w:rsidRDefault="00DB7181" w:rsidP="00DB7181">
      <w:pPr>
        <w:pStyle w:val="FSRHeading4"/>
      </w:pPr>
      <w:r w:rsidRPr="00984AB7">
        <w:lastRenderedPageBreak/>
        <w:t xml:space="preserve">Projected </w:t>
      </w:r>
      <w:r>
        <w:t>Plan Budgets</w:t>
      </w:r>
    </w:p>
    <w:p w14:paraId="0684130F" w14:textId="77777777" w:rsidR="00DB7181" w:rsidRDefault="00DB7181" w:rsidP="00DB7181">
      <w:pPr>
        <w:pStyle w:val="FSRnormal"/>
      </w:pPr>
      <w:r>
        <w:t xml:space="preserve">Average plan budget amounts have been selected for each participant cohort and support category based on recent experience. This process is similar to the assumption setting for average payment amounts. </w:t>
      </w:r>
      <w:r w:rsidR="00310B12">
        <w:t>As for</w:t>
      </w:r>
      <w:r>
        <w:t xml:space="preserve"> the projection of average payments and Scheme expenses, inflation of plan budgets consists of normal inflation and additional inflation components. The change in mix of participants over time also impacts the rate at which average plan budgets and total plan budgets grow over time. </w:t>
      </w:r>
    </w:p>
    <w:p w14:paraId="13DBD954" w14:textId="77777777" w:rsidR="00DB7181" w:rsidRDefault="00DB7181" w:rsidP="00DB7181">
      <w:pPr>
        <w:pStyle w:val="FSRnormal"/>
      </w:pPr>
      <w:r>
        <w:t>T</w:t>
      </w:r>
      <w:r w:rsidR="00E753F3">
        <w:t>able 5.8</w:t>
      </w:r>
      <w:r>
        <w:t xml:space="preserve"> summarises the results for projected plan budgets. </w:t>
      </w:r>
    </w:p>
    <w:p w14:paraId="742D2BCD" w14:textId="77777777" w:rsidR="00DB7181" w:rsidRDefault="002259DA" w:rsidP="00221197">
      <w:pPr>
        <w:pStyle w:val="Tables"/>
      </w:pPr>
      <w:bookmarkStart w:id="170" w:name="_Ref113277634"/>
      <w:r w:rsidRPr="002259DA">
        <w:t xml:space="preserve">Table </w:t>
      </w:r>
      <w:fldSimple w:instr=" STYLEREF 2 \s ">
        <w:r w:rsidR="00A87896">
          <w:rPr>
            <w:noProof/>
          </w:rPr>
          <w:t>5</w:t>
        </w:r>
      </w:fldSimple>
      <w:r w:rsidR="00A87896">
        <w:t>.</w:t>
      </w:r>
      <w:fldSimple w:instr=" SEQ Table \* ARABIC \s 2 ">
        <w:r w:rsidR="00A87896">
          <w:rPr>
            <w:noProof/>
          </w:rPr>
          <w:t>8</w:t>
        </w:r>
      </w:fldSimple>
      <w:bookmarkEnd w:id="170"/>
      <w:r w:rsidR="00DB7181" w:rsidRPr="2F45504E">
        <w:t>: Total and Average Plan Budgets </w:t>
      </w:r>
    </w:p>
    <w:tbl>
      <w:tblPr>
        <w:tblStyle w:val="FSRtable"/>
        <w:tblW w:w="8959" w:type="dxa"/>
        <w:tblInd w:w="5" w:type="dxa"/>
        <w:tblLook w:val="04A0" w:firstRow="1" w:lastRow="0" w:firstColumn="1" w:lastColumn="0" w:noHBand="0" w:noVBand="1"/>
      </w:tblPr>
      <w:tblGrid>
        <w:gridCol w:w="2751"/>
        <w:gridCol w:w="1028"/>
        <w:gridCol w:w="1036"/>
        <w:gridCol w:w="1036"/>
        <w:gridCol w:w="1036"/>
        <w:gridCol w:w="1036"/>
        <w:gridCol w:w="1036"/>
      </w:tblGrid>
      <w:tr w:rsidR="00DB7181" w:rsidRPr="00221197" w14:paraId="1872CE43" w14:textId="77777777" w:rsidTr="007D70F6">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751" w:type="dxa"/>
            <w:noWrap/>
            <w:hideMark/>
          </w:tcPr>
          <w:p w14:paraId="03F651D6" w14:textId="77777777" w:rsidR="00DB7181" w:rsidRPr="00221197" w:rsidRDefault="00DB7181" w:rsidP="00446247">
            <w:pPr>
              <w:spacing w:after="0" w:line="240" w:lineRule="auto"/>
              <w:rPr>
                <w:rFonts w:eastAsia="Times New Roman"/>
                <w:color w:val="FFFFFF"/>
                <w:sz w:val="18"/>
                <w:szCs w:val="18"/>
                <w:lang w:eastAsia="en-AU"/>
              </w:rPr>
            </w:pPr>
            <w:r w:rsidRPr="00221197">
              <w:rPr>
                <w:rFonts w:eastAsia="Times New Roman"/>
                <w:color w:val="FFFFFF"/>
                <w:sz w:val="18"/>
                <w:szCs w:val="18"/>
                <w:lang w:eastAsia="en-AU"/>
              </w:rPr>
              <w:t> </w:t>
            </w:r>
          </w:p>
        </w:tc>
        <w:tc>
          <w:tcPr>
            <w:tcW w:w="1028" w:type="dxa"/>
            <w:noWrap/>
            <w:hideMark/>
          </w:tcPr>
          <w:p w14:paraId="1BAE23AF" w14:textId="77777777" w:rsidR="00DB7181" w:rsidRPr="00221197" w:rsidRDefault="00DB7181" w:rsidP="0022119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bCs/>
                <w:color w:val="FFFFFF"/>
                <w:sz w:val="18"/>
                <w:szCs w:val="18"/>
                <w:lang w:eastAsia="en-AU"/>
              </w:rPr>
              <w:t>2021-22</w:t>
            </w:r>
          </w:p>
        </w:tc>
        <w:tc>
          <w:tcPr>
            <w:tcW w:w="1036" w:type="dxa"/>
            <w:noWrap/>
            <w:hideMark/>
          </w:tcPr>
          <w:p w14:paraId="029BB91C" w14:textId="77777777" w:rsidR="00DB7181" w:rsidRPr="00221197" w:rsidRDefault="00DB7181" w:rsidP="0022119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bCs/>
                <w:color w:val="FFFFFF"/>
                <w:sz w:val="18"/>
                <w:szCs w:val="18"/>
                <w:lang w:eastAsia="en-AU"/>
              </w:rPr>
              <w:t>2022-23</w:t>
            </w:r>
          </w:p>
        </w:tc>
        <w:tc>
          <w:tcPr>
            <w:tcW w:w="1036" w:type="dxa"/>
            <w:noWrap/>
            <w:hideMark/>
          </w:tcPr>
          <w:p w14:paraId="2B19140E" w14:textId="77777777" w:rsidR="00DB7181" w:rsidRPr="00221197" w:rsidRDefault="00DB7181" w:rsidP="0022119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bCs/>
                <w:color w:val="FFFFFF"/>
                <w:sz w:val="18"/>
                <w:szCs w:val="18"/>
                <w:lang w:eastAsia="en-AU"/>
              </w:rPr>
              <w:t>2023-24</w:t>
            </w:r>
          </w:p>
        </w:tc>
        <w:tc>
          <w:tcPr>
            <w:tcW w:w="1036" w:type="dxa"/>
            <w:noWrap/>
            <w:hideMark/>
          </w:tcPr>
          <w:p w14:paraId="7C232F5B" w14:textId="77777777" w:rsidR="00DB7181" w:rsidRPr="00221197" w:rsidRDefault="00DB7181" w:rsidP="0022119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bCs/>
                <w:color w:val="FFFFFF"/>
                <w:sz w:val="18"/>
                <w:szCs w:val="18"/>
                <w:lang w:eastAsia="en-AU"/>
              </w:rPr>
              <w:t>2024-25</w:t>
            </w:r>
          </w:p>
        </w:tc>
        <w:tc>
          <w:tcPr>
            <w:tcW w:w="1036" w:type="dxa"/>
            <w:tcBorders>
              <w:right w:val="dotted" w:sz="4" w:space="0" w:color="auto"/>
            </w:tcBorders>
            <w:noWrap/>
            <w:hideMark/>
          </w:tcPr>
          <w:p w14:paraId="6CDCB7D5" w14:textId="77777777" w:rsidR="00DB7181" w:rsidRPr="00221197" w:rsidRDefault="00DB7181" w:rsidP="0022119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bCs/>
                <w:color w:val="FFFFFF"/>
                <w:sz w:val="18"/>
                <w:szCs w:val="18"/>
                <w:lang w:eastAsia="en-AU"/>
              </w:rPr>
              <w:t>2025-26</w:t>
            </w:r>
          </w:p>
        </w:tc>
        <w:tc>
          <w:tcPr>
            <w:tcW w:w="1036" w:type="dxa"/>
            <w:tcBorders>
              <w:top w:val="single" w:sz="4" w:space="0" w:color="auto"/>
              <w:left w:val="dotted" w:sz="4" w:space="0" w:color="auto"/>
              <w:bottom w:val="nil"/>
            </w:tcBorders>
            <w:noWrap/>
            <w:hideMark/>
          </w:tcPr>
          <w:p w14:paraId="6A85574B" w14:textId="77777777" w:rsidR="00DB7181" w:rsidRPr="00221197" w:rsidRDefault="00DB7181" w:rsidP="0022119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bCs/>
                <w:color w:val="FFFFFF"/>
                <w:sz w:val="18"/>
                <w:szCs w:val="18"/>
                <w:lang w:eastAsia="en-AU"/>
              </w:rPr>
              <w:t>2031-32</w:t>
            </w:r>
          </w:p>
        </w:tc>
      </w:tr>
      <w:tr w:rsidR="00DB7181" w:rsidRPr="00221197" w14:paraId="7086D83E"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2751" w:type="dxa"/>
            <w:noWrap/>
            <w:hideMark/>
          </w:tcPr>
          <w:p w14:paraId="075F970B" w14:textId="77777777" w:rsidR="00DB7181" w:rsidRPr="00221197" w:rsidRDefault="00DB7181" w:rsidP="00446247">
            <w:pPr>
              <w:spacing w:after="0" w:line="240" w:lineRule="auto"/>
              <w:rPr>
                <w:rFonts w:eastAsia="Times New Roman" w:cs="Arial"/>
                <w:color w:val="000000"/>
                <w:sz w:val="18"/>
                <w:szCs w:val="18"/>
                <w:lang w:eastAsia="en-AU"/>
              </w:rPr>
            </w:pPr>
            <w:r w:rsidRPr="00221197">
              <w:rPr>
                <w:rFonts w:eastAsia="Times New Roman" w:cs="Arial"/>
                <w:color w:val="000000"/>
                <w:sz w:val="18"/>
                <w:szCs w:val="18"/>
                <w:lang w:eastAsia="en-AU"/>
              </w:rPr>
              <w:t>Plan Budgets ($b)</w:t>
            </w:r>
          </w:p>
        </w:tc>
        <w:tc>
          <w:tcPr>
            <w:tcW w:w="1028" w:type="dxa"/>
            <w:noWrap/>
            <w:hideMark/>
          </w:tcPr>
          <w:p w14:paraId="79322509" w14:textId="77777777" w:rsidR="00DB7181" w:rsidRPr="00221197" w:rsidRDefault="00DB7181" w:rsidP="002211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eastAsia="Times New Roman" w:cs="Arial"/>
                <w:color w:val="000000"/>
                <w:sz w:val="18"/>
                <w:szCs w:val="18"/>
                <w:lang w:eastAsia="en-AU"/>
              </w:rPr>
              <w:t>36,710</w:t>
            </w:r>
          </w:p>
        </w:tc>
        <w:tc>
          <w:tcPr>
            <w:tcW w:w="1036" w:type="dxa"/>
            <w:noWrap/>
            <w:hideMark/>
          </w:tcPr>
          <w:p w14:paraId="13C3B246" w14:textId="77777777" w:rsidR="00DB7181" w:rsidRPr="00221197" w:rsidRDefault="00DB7181" w:rsidP="002211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eastAsia="Times New Roman" w:cs="Arial"/>
                <w:color w:val="000000"/>
                <w:sz w:val="18"/>
                <w:szCs w:val="18"/>
                <w:lang w:eastAsia="en-AU"/>
              </w:rPr>
              <w:t>44,666</w:t>
            </w:r>
          </w:p>
        </w:tc>
        <w:tc>
          <w:tcPr>
            <w:tcW w:w="1036" w:type="dxa"/>
            <w:noWrap/>
            <w:hideMark/>
          </w:tcPr>
          <w:p w14:paraId="559ADF66" w14:textId="77777777" w:rsidR="00DB7181" w:rsidRPr="00221197" w:rsidRDefault="00DB7181" w:rsidP="002211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eastAsia="Times New Roman" w:cs="Arial"/>
                <w:color w:val="000000"/>
                <w:sz w:val="18"/>
                <w:szCs w:val="18"/>
                <w:lang w:eastAsia="en-AU"/>
              </w:rPr>
              <w:t>50,56</w:t>
            </w:r>
            <w:r w:rsidR="000C0B20">
              <w:rPr>
                <w:rFonts w:eastAsia="Times New Roman" w:cs="Arial"/>
                <w:color w:val="000000"/>
                <w:sz w:val="18"/>
                <w:szCs w:val="18"/>
                <w:lang w:eastAsia="en-AU"/>
              </w:rPr>
              <w:t>4</w:t>
            </w:r>
          </w:p>
        </w:tc>
        <w:tc>
          <w:tcPr>
            <w:tcW w:w="1036" w:type="dxa"/>
            <w:noWrap/>
            <w:hideMark/>
          </w:tcPr>
          <w:p w14:paraId="31794032" w14:textId="77777777" w:rsidR="00DB7181" w:rsidRPr="00221197" w:rsidRDefault="00DB7181" w:rsidP="002211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eastAsia="Times New Roman" w:cs="Arial"/>
                <w:color w:val="000000"/>
                <w:sz w:val="18"/>
                <w:szCs w:val="18"/>
                <w:lang w:eastAsia="en-AU"/>
              </w:rPr>
              <w:t>57,628</w:t>
            </w:r>
          </w:p>
        </w:tc>
        <w:tc>
          <w:tcPr>
            <w:tcW w:w="1036" w:type="dxa"/>
            <w:tcBorders>
              <w:right w:val="dotted" w:sz="4" w:space="0" w:color="auto"/>
            </w:tcBorders>
            <w:noWrap/>
            <w:hideMark/>
          </w:tcPr>
          <w:p w14:paraId="13A08679" w14:textId="77777777" w:rsidR="00DB7181" w:rsidRPr="00221197" w:rsidRDefault="00DB7181" w:rsidP="002211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eastAsia="Times New Roman" w:cs="Arial"/>
                <w:color w:val="000000"/>
                <w:sz w:val="18"/>
                <w:szCs w:val="18"/>
                <w:lang w:eastAsia="en-AU"/>
              </w:rPr>
              <w:t>65,019</w:t>
            </w:r>
          </w:p>
        </w:tc>
        <w:tc>
          <w:tcPr>
            <w:tcW w:w="1036" w:type="dxa"/>
            <w:tcBorders>
              <w:top w:val="nil"/>
              <w:left w:val="dotted" w:sz="4" w:space="0" w:color="auto"/>
              <w:bottom w:val="nil"/>
            </w:tcBorders>
            <w:noWrap/>
            <w:hideMark/>
          </w:tcPr>
          <w:p w14:paraId="10538E4D" w14:textId="77777777" w:rsidR="00DB7181" w:rsidRPr="00221197" w:rsidRDefault="00DB7181" w:rsidP="002211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eastAsia="Times New Roman" w:cs="Arial"/>
                <w:color w:val="000000"/>
                <w:sz w:val="18"/>
                <w:szCs w:val="18"/>
                <w:lang w:eastAsia="en-AU"/>
              </w:rPr>
              <w:t>116,529</w:t>
            </w:r>
          </w:p>
        </w:tc>
      </w:tr>
      <w:tr w:rsidR="00DB7181" w:rsidRPr="00221197" w14:paraId="6B3E41F7"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751" w:type="dxa"/>
            <w:noWrap/>
            <w:hideMark/>
          </w:tcPr>
          <w:p w14:paraId="0022AC2D" w14:textId="77777777" w:rsidR="00DB7181" w:rsidRPr="00221197" w:rsidRDefault="00DB7181" w:rsidP="00446247">
            <w:pPr>
              <w:spacing w:after="0" w:line="240" w:lineRule="auto"/>
              <w:ind w:firstLineChars="200" w:firstLine="360"/>
              <w:rPr>
                <w:rFonts w:eastAsia="Times New Roman" w:cs="Arial"/>
                <w:i/>
                <w:iCs/>
                <w:color w:val="000000"/>
                <w:sz w:val="18"/>
                <w:szCs w:val="18"/>
                <w:lang w:eastAsia="en-AU"/>
              </w:rPr>
            </w:pPr>
            <w:r w:rsidRPr="00221197">
              <w:rPr>
                <w:rFonts w:eastAsia="Times New Roman" w:cs="Arial"/>
                <w:i/>
                <w:iCs/>
                <w:color w:val="000000"/>
                <w:sz w:val="18"/>
                <w:szCs w:val="18"/>
                <w:lang w:eastAsia="en-AU"/>
              </w:rPr>
              <w:t>Implied Growth (%)</w:t>
            </w:r>
          </w:p>
        </w:tc>
        <w:tc>
          <w:tcPr>
            <w:tcW w:w="1028" w:type="dxa"/>
            <w:noWrap/>
            <w:hideMark/>
          </w:tcPr>
          <w:p w14:paraId="4D33F252" w14:textId="77777777" w:rsidR="00DB7181" w:rsidRPr="00221197" w:rsidRDefault="00DB7181" w:rsidP="00221197">
            <w:pPr>
              <w:spacing w:after="0" w:line="240" w:lineRule="auto"/>
              <w:ind w:firstLineChars="200" w:firstLine="360"/>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p>
        </w:tc>
        <w:tc>
          <w:tcPr>
            <w:tcW w:w="1036" w:type="dxa"/>
            <w:noWrap/>
            <w:hideMark/>
          </w:tcPr>
          <w:p w14:paraId="5CE40191"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21.7%</w:t>
            </w:r>
          </w:p>
        </w:tc>
        <w:tc>
          <w:tcPr>
            <w:tcW w:w="1036" w:type="dxa"/>
            <w:noWrap/>
            <w:hideMark/>
          </w:tcPr>
          <w:p w14:paraId="321CEE5E"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13.2%</w:t>
            </w:r>
          </w:p>
        </w:tc>
        <w:tc>
          <w:tcPr>
            <w:tcW w:w="1036" w:type="dxa"/>
            <w:noWrap/>
            <w:hideMark/>
          </w:tcPr>
          <w:p w14:paraId="1AF16C0F"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14.0%</w:t>
            </w:r>
          </w:p>
        </w:tc>
        <w:tc>
          <w:tcPr>
            <w:tcW w:w="1036" w:type="dxa"/>
            <w:tcBorders>
              <w:right w:val="dotted" w:sz="4" w:space="0" w:color="auto"/>
            </w:tcBorders>
            <w:noWrap/>
            <w:hideMark/>
          </w:tcPr>
          <w:p w14:paraId="3ACB421B"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12.8%</w:t>
            </w:r>
          </w:p>
        </w:tc>
        <w:tc>
          <w:tcPr>
            <w:tcW w:w="1036" w:type="dxa"/>
            <w:tcBorders>
              <w:top w:val="nil"/>
              <w:left w:val="dotted" w:sz="4" w:space="0" w:color="auto"/>
              <w:bottom w:val="nil"/>
            </w:tcBorders>
            <w:noWrap/>
            <w:hideMark/>
          </w:tcPr>
          <w:p w14:paraId="22B3EAAA"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10.2%</w:t>
            </w:r>
          </w:p>
        </w:tc>
      </w:tr>
      <w:tr w:rsidR="00DB7181" w:rsidRPr="00221197" w14:paraId="55E1D2D1"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2751" w:type="dxa"/>
            <w:noWrap/>
            <w:hideMark/>
          </w:tcPr>
          <w:p w14:paraId="4E758223" w14:textId="77777777" w:rsidR="00DB7181" w:rsidRPr="00221197" w:rsidRDefault="00DB7181" w:rsidP="00310B12">
            <w:pPr>
              <w:spacing w:after="0" w:line="240" w:lineRule="auto"/>
              <w:ind w:firstLineChars="200" w:firstLine="360"/>
              <w:rPr>
                <w:rFonts w:eastAsia="Times New Roman" w:cs="Arial"/>
                <w:i/>
                <w:iCs/>
                <w:color w:val="000000"/>
                <w:sz w:val="18"/>
                <w:szCs w:val="18"/>
                <w:lang w:eastAsia="en-AU"/>
              </w:rPr>
            </w:pPr>
            <w:r w:rsidRPr="00221197">
              <w:rPr>
                <w:rFonts w:eastAsia="Times New Roman" w:cs="Arial"/>
                <w:i/>
                <w:iCs/>
                <w:color w:val="000000"/>
                <w:sz w:val="18"/>
                <w:szCs w:val="18"/>
                <w:lang w:eastAsia="en-AU"/>
              </w:rPr>
              <w:t>P</w:t>
            </w:r>
            <w:r w:rsidR="00310B12">
              <w:rPr>
                <w:rFonts w:eastAsia="Times New Roman" w:cs="Arial"/>
                <w:i/>
                <w:iCs/>
                <w:color w:val="000000"/>
                <w:sz w:val="18"/>
                <w:szCs w:val="18"/>
                <w:lang w:eastAsia="en-AU"/>
              </w:rPr>
              <w:t>roportion</w:t>
            </w:r>
            <w:r w:rsidRPr="00221197">
              <w:rPr>
                <w:rFonts w:eastAsia="Times New Roman" w:cs="Arial"/>
                <w:i/>
                <w:iCs/>
                <w:color w:val="000000"/>
                <w:sz w:val="18"/>
                <w:szCs w:val="18"/>
                <w:lang w:eastAsia="en-AU"/>
              </w:rPr>
              <w:t xml:space="preserve"> with SIL</w:t>
            </w:r>
          </w:p>
        </w:tc>
        <w:tc>
          <w:tcPr>
            <w:tcW w:w="1028" w:type="dxa"/>
            <w:noWrap/>
            <w:hideMark/>
          </w:tcPr>
          <w:p w14:paraId="0D0E57A7" w14:textId="77777777" w:rsidR="00DB7181" w:rsidRPr="00221197" w:rsidRDefault="00DB7181" w:rsidP="002211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26.2%</w:t>
            </w:r>
          </w:p>
        </w:tc>
        <w:tc>
          <w:tcPr>
            <w:tcW w:w="1036" w:type="dxa"/>
            <w:noWrap/>
            <w:hideMark/>
          </w:tcPr>
          <w:p w14:paraId="7A455A76" w14:textId="77777777" w:rsidR="00DB7181" w:rsidRPr="00221197" w:rsidRDefault="00DB7181" w:rsidP="002211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25.9%</w:t>
            </w:r>
          </w:p>
        </w:tc>
        <w:tc>
          <w:tcPr>
            <w:tcW w:w="1036" w:type="dxa"/>
            <w:noWrap/>
            <w:hideMark/>
          </w:tcPr>
          <w:p w14:paraId="51AC54EE" w14:textId="77777777" w:rsidR="00DB7181" w:rsidRPr="00221197" w:rsidRDefault="00DB7181" w:rsidP="002211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25.3%</w:t>
            </w:r>
          </w:p>
        </w:tc>
        <w:tc>
          <w:tcPr>
            <w:tcW w:w="1036" w:type="dxa"/>
            <w:noWrap/>
            <w:hideMark/>
          </w:tcPr>
          <w:p w14:paraId="5B43163C" w14:textId="77777777" w:rsidR="00DB7181" w:rsidRPr="00221197" w:rsidRDefault="00DB7181" w:rsidP="002211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25.2%</w:t>
            </w:r>
          </w:p>
        </w:tc>
        <w:tc>
          <w:tcPr>
            <w:tcW w:w="1036" w:type="dxa"/>
            <w:tcBorders>
              <w:right w:val="dotted" w:sz="4" w:space="0" w:color="auto"/>
            </w:tcBorders>
            <w:noWrap/>
            <w:hideMark/>
          </w:tcPr>
          <w:p w14:paraId="37B8EB97" w14:textId="77777777" w:rsidR="00DB7181" w:rsidRPr="00221197" w:rsidRDefault="00DB7181" w:rsidP="002211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25.1%</w:t>
            </w:r>
          </w:p>
        </w:tc>
        <w:tc>
          <w:tcPr>
            <w:tcW w:w="1036" w:type="dxa"/>
            <w:tcBorders>
              <w:top w:val="nil"/>
              <w:left w:val="dotted" w:sz="4" w:space="0" w:color="auto"/>
              <w:bottom w:val="nil"/>
            </w:tcBorders>
            <w:noWrap/>
            <w:hideMark/>
          </w:tcPr>
          <w:p w14:paraId="4C32D9FE" w14:textId="77777777" w:rsidR="00DB7181" w:rsidRPr="00221197" w:rsidRDefault="00DB7181" w:rsidP="002211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24.2%</w:t>
            </w:r>
          </w:p>
        </w:tc>
      </w:tr>
      <w:tr w:rsidR="00DB7181" w:rsidRPr="00221197" w14:paraId="65C9827D"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751" w:type="dxa"/>
            <w:noWrap/>
            <w:hideMark/>
          </w:tcPr>
          <w:p w14:paraId="53618B32" w14:textId="77777777" w:rsidR="00DB7181" w:rsidRPr="00221197" w:rsidRDefault="00DB7181" w:rsidP="00310B12">
            <w:pPr>
              <w:spacing w:after="0" w:line="240" w:lineRule="auto"/>
              <w:ind w:firstLineChars="200" w:firstLine="360"/>
              <w:rPr>
                <w:rFonts w:eastAsia="Times New Roman" w:cs="Arial"/>
                <w:i/>
                <w:iCs/>
                <w:color w:val="000000"/>
                <w:sz w:val="18"/>
                <w:szCs w:val="18"/>
                <w:lang w:eastAsia="en-AU"/>
              </w:rPr>
            </w:pPr>
            <w:r w:rsidRPr="00221197">
              <w:rPr>
                <w:rFonts w:eastAsia="Times New Roman" w:cs="Arial"/>
                <w:i/>
                <w:iCs/>
                <w:color w:val="000000"/>
                <w:sz w:val="18"/>
                <w:szCs w:val="18"/>
                <w:lang w:eastAsia="en-AU"/>
              </w:rPr>
              <w:t>P</w:t>
            </w:r>
            <w:r w:rsidR="00310B12">
              <w:rPr>
                <w:rFonts w:eastAsia="Times New Roman" w:cs="Arial"/>
                <w:i/>
                <w:iCs/>
                <w:color w:val="000000"/>
                <w:sz w:val="18"/>
                <w:szCs w:val="18"/>
                <w:lang w:eastAsia="en-AU"/>
              </w:rPr>
              <w:t>roportion</w:t>
            </w:r>
            <w:r w:rsidRPr="00221197">
              <w:rPr>
                <w:rFonts w:eastAsia="Times New Roman" w:cs="Arial"/>
                <w:i/>
                <w:iCs/>
                <w:color w:val="000000"/>
                <w:sz w:val="18"/>
                <w:szCs w:val="18"/>
                <w:lang w:eastAsia="en-AU"/>
              </w:rPr>
              <w:t xml:space="preserve"> without SIL</w:t>
            </w:r>
          </w:p>
        </w:tc>
        <w:tc>
          <w:tcPr>
            <w:tcW w:w="1028" w:type="dxa"/>
            <w:noWrap/>
            <w:hideMark/>
          </w:tcPr>
          <w:p w14:paraId="6025CCE3"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73.8%</w:t>
            </w:r>
          </w:p>
        </w:tc>
        <w:tc>
          <w:tcPr>
            <w:tcW w:w="1036" w:type="dxa"/>
            <w:noWrap/>
            <w:hideMark/>
          </w:tcPr>
          <w:p w14:paraId="2532047F"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74.1%</w:t>
            </w:r>
          </w:p>
        </w:tc>
        <w:tc>
          <w:tcPr>
            <w:tcW w:w="1036" w:type="dxa"/>
            <w:noWrap/>
            <w:hideMark/>
          </w:tcPr>
          <w:p w14:paraId="0AE3426C"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74.7%</w:t>
            </w:r>
          </w:p>
        </w:tc>
        <w:tc>
          <w:tcPr>
            <w:tcW w:w="1036" w:type="dxa"/>
            <w:noWrap/>
            <w:hideMark/>
          </w:tcPr>
          <w:p w14:paraId="4B77EB3F"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74.8%</w:t>
            </w:r>
          </w:p>
        </w:tc>
        <w:tc>
          <w:tcPr>
            <w:tcW w:w="1036" w:type="dxa"/>
            <w:tcBorders>
              <w:right w:val="dotted" w:sz="4" w:space="0" w:color="auto"/>
            </w:tcBorders>
            <w:noWrap/>
            <w:hideMark/>
          </w:tcPr>
          <w:p w14:paraId="5288AAB3"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74.9%</w:t>
            </w:r>
          </w:p>
        </w:tc>
        <w:tc>
          <w:tcPr>
            <w:tcW w:w="1036" w:type="dxa"/>
            <w:tcBorders>
              <w:top w:val="nil"/>
              <w:left w:val="dotted" w:sz="4" w:space="0" w:color="auto"/>
              <w:bottom w:val="nil"/>
            </w:tcBorders>
            <w:noWrap/>
            <w:hideMark/>
          </w:tcPr>
          <w:p w14:paraId="6009748F"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75.8%</w:t>
            </w:r>
          </w:p>
        </w:tc>
      </w:tr>
      <w:tr w:rsidR="00DB7181" w:rsidRPr="00221197" w14:paraId="29D7FB35"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2751" w:type="dxa"/>
            <w:noWrap/>
            <w:hideMark/>
          </w:tcPr>
          <w:p w14:paraId="7E9FEEDE" w14:textId="77777777" w:rsidR="00DB7181" w:rsidRPr="00221197" w:rsidRDefault="00DB7181" w:rsidP="00446247">
            <w:pPr>
              <w:spacing w:after="0" w:line="240" w:lineRule="auto"/>
              <w:rPr>
                <w:rFonts w:eastAsia="Times New Roman" w:cs="Arial"/>
                <w:color w:val="000000"/>
                <w:sz w:val="18"/>
                <w:szCs w:val="18"/>
                <w:lang w:eastAsia="en-AU"/>
              </w:rPr>
            </w:pPr>
            <w:r w:rsidRPr="00221197">
              <w:rPr>
                <w:rFonts w:eastAsia="Times New Roman" w:cs="Arial"/>
                <w:color w:val="000000"/>
                <w:sz w:val="18"/>
                <w:szCs w:val="18"/>
                <w:lang w:eastAsia="en-AU"/>
              </w:rPr>
              <w:t>Average Plan Budgets ($)</w:t>
            </w:r>
          </w:p>
        </w:tc>
        <w:tc>
          <w:tcPr>
            <w:tcW w:w="1028" w:type="dxa"/>
            <w:noWrap/>
            <w:hideMark/>
          </w:tcPr>
          <w:p w14:paraId="589BA558" w14:textId="77777777" w:rsidR="00DB7181" w:rsidRPr="00221197" w:rsidRDefault="00DB7181" w:rsidP="002211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eastAsia="Times New Roman" w:cs="Arial"/>
                <w:color w:val="000000"/>
                <w:sz w:val="18"/>
                <w:szCs w:val="18"/>
                <w:lang w:eastAsia="en-AU"/>
              </w:rPr>
              <w:t>73,330</w:t>
            </w:r>
          </w:p>
        </w:tc>
        <w:tc>
          <w:tcPr>
            <w:tcW w:w="1036" w:type="dxa"/>
            <w:noWrap/>
            <w:hideMark/>
          </w:tcPr>
          <w:p w14:paraId="662313FB" w14:textId="77777777" w:rsidR="00DB7181" w:rsidRPr="00221197" w:rsidRDefault="00DB7181" w:rsidP="002211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eastAsia="Times New Roman" w:cs="Arial"/>
                <w:color w:val="000000"/>
                <w:sz w:val="18"/>
                <w:szCs w:val="18"/>
                <w:lang w:eastAsia="en-AU"/>
              </w:rPr>
              <w:t>79,270</w:t>
            </w:r>
          </w:p>
        </w:tc>
        <w:tc>
          <w:tcPr>
            <w:tcW w:w="1036" w:type="dxa"/>
            <w:noWrap/>
            <w:hideMark/>
          </w:tcPr>
          <w:p w14:paraId="6AC27D6A" w14:textId="77777777" w:rsidR="00DB7181" w:rsidRPr="00221197" w:rsidRDefault="00DB7181" w:rsidP="002211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eastAsia="Times New Roman" w:cs="Arial"/>
                <w:color w:val="000000"/>
                <w:sz w:val="18"/>
                <w:szCs w:val="18"/>
                <w:lang w:eastAsia="en-AU"/>
              </w:rPr>
              <w:t>81,670</w:t>
            </w:r>
          </w:p>
        </w:tc>
        <w:tc>
          <w:tcPr>
            <w:tcW w:w="1036" w:type="dxa"/>
            <w:noWrap/>
            <w:hideMark/>
          </w:tcPr>
          <w:p w14:paraId="425247AA" w14:textId="77777777" w:rsidR="00DB7181" w:rsidRPr="00221197" w:rsidRDefault="00DB7181" w:rsidP="002211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eastAsia="Times New Roman" w:cs="Arial"/>
                <w:color w:val="000000"/>
                <w:sz w:val="18"/>
                <w:szCs w:val="18"/>
                <w:lang w:eastAsia="en-AU"/>
              </w:rPr>
              <w:t>86,020</w:t>
            </w:r>
          </w:p>
        </w:tc>
        <w:tc>
          <w:tcPr>
            <w:tcW w:w="1036" w:type="dxa"/>
            <w:tcBorders>
              <w:right w:val="dotted" w:sz="4" w:space="0" w:color="auto"/>
            </w:tcBorders>
            <w:noWrap/>
            <w:hideMark/>
          </w:tcPr>
          <w:p w14:paraId="69941DC5" w14:textId="77777777" w:rsidR="00DB7181" w:rsidRPr="00221197" w:rsidRDefault="00DB7181" w:rsidP="002211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eastAsia="Times New Roman" w:cs="Arial"/>
                <w:color w:val="000000"/>
                <w:sz w:val="18"/>
                <w:szCs w:val="18"/>
                <w:lang w:eastAsia="en-AU"/>
              </w:rPr>
              <w:t>90,620</w:t>
            </w:r>
          </w:p>
        </w:tc>
        <w:tc>
          <w:tcPr>
            <w:tcW w:w="1036" w:type="dxa"/>
            <w:tcBorders>
              <w:top w:val="nil"/>
              <w:left w:val="dotted" w:sz="4" w:space="0" w:color="auto"/>
              <w:bottom w:val="nil"/>
            </w:tcBorders>
            <w:noWrap/>
            <w:hideMark/>
          </w:tcPr>
          <w:p w14:paraId="724706AC" w14:textId="77777777" w:rsidR="00DB7181" w:rsidRPr="00221197" w:rsidRDefault="00DB7181" w:rsidP="002211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eastAsia="Times New Roman" w:cs="Arial"/>
                <w:color w:val="000000"/>
                <w:sz w:val="18"/>
                <w:szCs w:val="18"/>
                <w:lang w:eastAsia="en-AU"/>
              </w:rPr>
              <w:t>117,140</w:t>
            </w:r>
          </w:p>
        </w:tc>
      </w:tr>
      <w:tr w:rsidR="00DB7181" w:rsidRPr="00221197" w14:paraId="34319972"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751" w:type="dxa"/>
            <w:noWrap/>
            <w:hideMark/>
          </w:tcPr>
          <w:p w14:paraId="5DCCEA82" w14:textId="77777777" w:rsidR="00DB7181" w:rsidRPr="00221197" w:rsidRDefault="00DB7181" w:rsidP="00446247">
            <w:pPr>
              <w:spacing w:after="0" w:line="240" w:lineRule="auto"/>
              <w:ind w:firstLineChars="200" w:firstLine="360"/>
              <w:rPr>
                <w:rFonts w:eastAsia="Times New Roman" w:cs="Arial"/>
                <w:i/>
                <w:iCs/>
                <w:color w:val="000000"/>
                <w:sz w:val="18"/>
                <w:szCs w:val="18"/>
                <w:lang w:eastAsia="en-AU"/>
              </w:rPr>
            </w:pPr>
            <w:r w:rsidRPr="00221197">
              <w:rPr>
                <w:rFonts w:eastAsia="Times New Roman" w:cs="Arial"/>
                <w:i/>
                <w:iCs/>
                <w:color w:val="000000"/>
                <w:sz w:val="18"/>
                <w:szCs w:val="18"/>
                <w:lang w:eastAsia="en-AU"/>
              </w:rPr>
              <w:t>Implied Growth (%)</w:t>
            </w:r>
            <w:r w:rsidR="001971BB">
              <w:rPr>
                <w:rStyle w:val="FootnoteReference"/>
                <w:rFonts w:eastAsia="Times New Roman" w:cs="Arial"/>
                <w:i/>
                <w:iCs/>
                <w:color w:val="000000"/>
                <w:sz w:val="18"/>
                <w:szCs w:val="18"/>
                <w:lang w:eastAsia="en-AU"/>
              </w:rPr>
              <w:footnoteReference w:id="84"/>
            </w:r>
          </w:p>
        </w:tc>
        <w:tc>
          <w:tcPr>
            <w:tcW w:w="1028" w:type="dxa"/>
            <w:noWrap/>
            <w:hideMark/>
          </w:tcPr>
          <w:p w14:paraId="194D574B" w14:textId="77777777" w:rsidR="00DB7181" w:rsidRPr="00221197" w:rsidRDefault="00DB7181" w:rsidP="00221197">
            <w:pPr>
              <w:spacing w:after="0" w:line="240" w:lineRule="auto"/>
              <w:ind w:firstLineChars="200" w:firstLine="360"/>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p>
        </w:tc>
        <w:tc>
          <w:tcPr>
            <w:tcW w:w="1036" w:type="dxa"/>
            <w:noWrap/>
            <w:hideMark/>
          </w:tcPr>
          <w:p w14:paraId="471A9876"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8.1%</w:t>
            </w:r>
          </w:p>
        </w:tc>
        <w:tc>
          <w:tcPr>
            <w:tcW w:w="1036" w:type="dxa"/>
            <w:noWrap/>
            <w:hideMark/>
          </w:tcPr>
          <w:p w14:paraId="6257B3E4"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3.0%</w:t>
            </w:r>
          </w:p>
        </w:tc>
        <w:tc>
          <w:tcPr>
            <w:tcW w:w="1036" w:type="dxa"/>
            <w:noWrap/>
            <w:hideMark/>
          </w:tcPr>
          <w:p w14:paraId="599D278A"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5.3%</w:t>
            </w:r>
          </w:p>
        </w:tc>
        <w:tc>
          <w:tcPr>
            <w:tcW w:w="1036" w:type="dxa"/>
            <w:tcBorders>
              <w:right w:val="dotted" w:sz="4" w:space="0" w:color="auto"/>
            </w:tcBorders>
            <w:noWrap/>
            <w:hideMark/>
          </w:tcPr>
          <w:p w14:paraId="7D02C0AE"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5.3%</w:t>
            </w:r>
          </w:p>
        </w:tc>
        <w:tc>
          <w:tcPr>
            <w:tcW w:w="1036" w:type="dxa"/>
            <w:tcBorders>
              <w:top w:val="nil"/>
              <w:left w:val="dotted" w:sz="4" w:space="0" w:color="auto"/>
              <w:bottom w:val="nil"/>
            </w:tcBorders>
            <w:noWrap/>
            <w:hideMark/>
          </w:tcPr>
          <w:p w14:paraId="6DA6D476" w14:textId="77777777" w:rsidR="00DB7181" w:rsidRPr="00221197" w:rsidRDefault="00DB7181" w:rsidP="002211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4.4%</w:t>
            </w:r>
          </w:p>
        </w:tc>
      </w:tr>
      <w:tr w:rsidR="00DB7181" w:rsidRPr="00221197" w14:paraId="4CE0AAB3"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2751" w:type="dxa"/>
            <w:noWrap/>
            <w:hideMark/>
          </w:tcPr>
          <w:p w14:paraId="6DD87783" w14:textId="77777777" w:rsidR="00DB7181" w:rsidRPr="00221197" w:rsidRDefault="00DB7181" w:rsidP="00446247">
            <w:pPr>
              <w:spacing w:after="0" w:line="240" w:lineRule="auto"/>
              <w:ind w:firstLineChars="200" w:firstLine="360"/>
              <w:rPr>
                <w:rFonts w:eastAsia="Times New Roman" w:cs="Arial"/>
                <w:i/>
                <w:iCs/>
                <w:color w:val="000000"/>
                <w:sz w:val="18"/>
                <w:szCs w:val="18"/>
                <w:lang w:eastAsia="en-AU"/>
              </w:rPr>
            </w:pPr>
            <w:r w:rsidRPr="00221197">
              <w:rPr>
                <w:rFonts w:eastAsia="Times New Roman" w:cs="Arial"/>
                <w:i/>
                <w:iCs/>
                <w:color w:val="000000"/>
                <w:sz w:val="18"/>
                <w:szCs w:val="18"/>
                <w:lang w:eastAsia="en-AU"/>
              </w:rPr>
              <w:t>Assumed Inflation (%)</w:t>
            </w:r>
            <w:r w:rsidR="004C3DED">
              <w:rPr>
                <w:rStyle w:val="FootnoteReference"/>
                <w:rFonts w:eastAsia="Times New Roman" w:cs="Arial"/>
                <w:i/>
                <w:iCs/>
                <w:color w:val="000000"/>
                <w:sz w:val="18"/>
                <w:szCs w:val="18"/>
                <w:lang w:eastAsia="en-AU"/>
              </w:rPr>
              <w:footnoteReference w:id="85"/>
            </w:r>
          </w:p>
        </w:tc>
        <w:tc>
          <w:tcPr>
            <w:tcW w:w="1028" w:type="dxa"/>
            <w:noWrap/>
            <w:hideMark/>
          </w:tcPr>
          <w:p w14:paraId="246DD946" w14:textId="77777777" w:rsidR="00DB7181" w:rsidRPr="00221197" w:rsidRDefault="00DB7181" w:rsidP="002211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 </w:t>
            </w:r>
          </w:p>
        </w:tc>
        <w:tc>
          <w:tcPr>
            <w:tcW w:w="1036" w:type="dxa"/>
            <w:noWrap/>
            <w:hideMark/>
          </w:tcPr>
          <w:p w14:paraId="25350F80" w14:textId="77777777" w:rsidR="00DB7181" w:rsidRPr="00221197" w:rsidRDefault="00DB7181" w:rsidP="002211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10.7%</w:t>
            </w:r>
          </w:p>
        </w:tc>
        <w:tc>
          <w:tcPr>
            <w:tcW w:w="1036" w:type="dxa"/>
            <w:noWrap/>
            <w:hideMark/>
          </w:tcPr>
          <w:p w14:paraId="7FA05665" w14:textId="77777777" w:rsidR="00DB7181" w:rsidRPr="00221197" w:rsidRDefault="00DB7181" w:rsidP="002211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6.4%</w:t>
            </w:r>
          </w:p>
        </w:tc>
        <w:tc>
          <w:tcPr>
            <w:tcW w:w="1036" w:type="dxa"/>
            <w:noWrap/>
            <w:hideMark/>
          </w:tcPr>
          <w:p w14:paraId="451F6A09" w14:textId="77777777" w:rsidR="00DB7181" w:rsidRPr="00221197" w:rsidRDefault="00DB7181" w:rsidP="002211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8.0%</w:t>
            </w:r>
          </w:p>
        </w:tc>
        <w:tc>
          <w:tcPr>
            <w:tcW w:w="1036" w:type="dxa"/>
            <w:tcBorders>
              <w:right w:val="dotted" w:sz="4" w:space="0" w:color="auto"/>
            </w:tcBorders>
            <w:noWrap/>
            <w:hideMark/>
          </w:tcPr>
          <w:p w14:paraId="6133B329" w14:textId="77777777" w:rsidR="00DB7181" w:rsidRPr="00221197" w:rsidRDefault="00DB7181" w:rsidP="002211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7.3%</w:t>
            </w:r>
          </w:p>
        </w:tc>
        <w:tc>
          <w:tcPr>
            <w:tcW w:w="1036" w:type="dxa"/>
            <w:tcBorders>
              <w:top w:val="nil"/>
              <w:left w:val="dotted" w:sz="4" w:space="0" w:color="auto"/>
              <w:bottom w:val="single" w:sz="4" w:space="0" w:color="auto"/>
            </w:tcBorders>
            <w:noWrap/>
            <w:hideMark/>
          </w:tcPr>
          <w:p w14:paraId="176D0836" w14:textId="77777777" w:rsidR="00DB7181" w:rsidRPr="00221197" w:rsidRDefault="00DB7181" w:rsidP="002211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18"/>
                <w:szCs w:val="18"/>
                <w:lang w:eastAsia="en-AU"/>
              </w:rPr>
            </w:pPr>
            <w:r w:rsidRPr="00221197">
              <w:rPr>
                <w:rFonts w:eastAsia="Times New Roman" w:cs="Arial"/>
                <w:i/>
                <w:iCs/>
                <w:color w:val="000000"/>
                <w:sz w:val="18"/>
                <w:szCs w:val="18"/>
                <w:lang w:eastAsia="en-AU"/>
              </w:rPr>
              <w:t>5.3%</w:t>
            </w:r>
          </w:p>
        </w:tc>
      </w:tr>
    </w:tbl>
    <w:p w14:paraId="62017FE0" w14:textId="77777777" w:rsidR="00DB7181" w:rsidRDefault="00DB7181" w:rsidP="00DB7181">
      <w:pPr>
        <w:pStyle w:val="FSRnormal"/>
        <w:spacing w:before="0" w:after="0"/>
        <w:rPr>
          <w:b/>
          <w:bCs/>
        </w:rPr>
      </w:pPr>
    </w:p>
    <w:p w14:paraId="6E938EF6" w14:textId="77777777" w:rsidR="00DB7181" w:rsidRDefault="00221197" w:rsidP="00DB7181">
      <w:pPr>
        <w:pStyle w:val="FSRnormal"/>
        <w:spacing w:before="0" w:after="0"/>
      </w:pPr>
      <w:r w:rsidRPr="00221197">
        <w:t xml:space="preserve">Table </w:t>
      </w:r>
      <w:r w:rsidRPr="00221197">
        <w:rPr>
          <w:noProof/>
        </w:rPr>
        <w:t>5</w:t>
      </w:r>
      <w:r w:rsidRPr="00221197">
        <w:t>.</w:t>
      </w:r>
      <w:r w:rsidRPr="00221197">
        <w:rPr>
          <w:noProof/>
        </w:rPr>
        <w:t>8</w:t>
      </w:r>
      <w:r>
        <w:rPr>
          <w:color w:val="000000"/>
          <w:lang w:eastAsia="en-AU"/>
        </w:rPr>
        <w:t xml:space="preserve"> </w:t>
      </w:r>
      <w:r w:rsidR="00DB7181" w:rsidRPr="00B45AC5">
        <w:rPr>
          <w:lang w:eastAsia="en-AU"/>
        </w:rPr>
        <w:t xml:space="preserve">shows the </w:t>
      </w:r>
      <w:r w:rsidR="00DB7181">
        <w:rPr>
          <w:lang w:eastAsia="en-AU"/>
        </w:rPr>
        <w:t xml:space="preserve">total and </w:t>
      </w:r>
      <w:r w:rsidR="00DB7181" w:rsidRPr="00B45AC5">
        <w:rPr>
          <w:lang w:eastAsia="en-AU"/>
        </w:rPr>
        <w:t xml:space="preserve">projected </w:t>
      </w:r>
      <w:r w:rsidR="00DB7181">
        <w:rPr>
          <w:lang w:eastAsia="en-AU"/>
        </w:rPr>
        <w:t xml:space="preserve">plan budgets (broken down into proportions for participants in Supported Independent Living and those not); </w:t>
      </w:r>
      <w:r w:rsidR="00DB7181" w:rsidRPr="00B45AC5">
        <w:rPr>
          <w:lang w:eastAsia="en-AU"/>
        </w:rPr>
        <w:t xml:space="preserve">and the </w:t>
      </w:r>
      <w:r w:rsidR="00DB7181">
        <w:rPr>
          <w:lang w:eastAsia="en-AU"/>
        </w:rPr>
        <w:t xml:space="preserve">expected </w:t>
      </w:r>
      <w:r w:rsidR="00DB7181" w:rsidRPr="00B45AC5">
        <w:rPr>
          <w:lang w:eastAsia="en-AU"/>
        </w:rPr>
        <w:t xml:space="preserve">growth in average </w:t>
      </w:r>
      <w:r w:rsidR="00DB7181">
        <w:rPr>
          <w:lang w:eastAsia="en-AU"/>
        </w:rPr>
        <w:t>plan budgets</w:t>
      </w:r>
      <w:r w:rsidR="00DB7181" w:rsidRPr="00B45AC5">
        <w:rPr>
          <w:lang w:eastAsia="en-AU"/>
        </w:rPr>
        <w:t xml:space="preserve"> </w:t>
      </w:r>
      <w:r w:rsidR="00DB7181">
        <w:rPr>
          <w:lang w:eastAsia="en-AU"/>
        </w:rPr>
        <w:t>over the projection period</w:t>
      </w:r>
      <w:r w:rsidR="00DB7181" w:rsidRPr="00B45AC5">
        <w:rPr>
          <w:lang w:eastAsia="en-AU"/>
        </w:rPr>
        <w:t>.</w:t>
      </w:r>
      <w:r w:rsidR="00DB7181">
        <w:rPr>
          <w:lang w:eastAsia="en-AU"/>
        </w:rPr>
        <w:t xml:space="preserve"> </w:t>
      </w:r>
      <w:r w:rsidR="00DB7181">
        <w:t>Scheme-level plan budgets are expected to grow by 21.7% from $36.7 billion in 2021-22 to $44.7 billion by 2022-23 (</w:t>
      </w:r>
      <w:r w:rsidR="00310B12">
        <w:t xml:space="preserve">of which </w:t>
      </w:r>
      <w:r w:rsidR="00DB7181">
        <w:t xml:space="preserve">25.9% </w:t>
      </w:r>
      <w:r w:rsidR="00310B12">
        <w:t>relates to</w:t>
      </w:r>
      <w:r w:rsidR="00DB7181">
        <w:t xml:space="preserve"> </w:t>
      </w:r>
      <w:r w:rsidR="00DB7181">
        <w:rPr>
          <w:lang w:eastAsia="en-AU"/>
        </w:rPr>
        <w:t xml:space="preserve">participants </w:t>
      </w:r>
      <w:r w:rsidR="00310B12">
        <w:rPr>
          <w:lang w:eastAsia="en-AU"/>
        </w:rPr>
        <w:t>with</w:t>
      </w:r>
      <w:r w:rsidR="00DB7181">
        <w:rPr>
          <w:lang w:eastAsia="en-AU"/>
        </w:rPr>
        <w:t xml:space="preserve"> Supported Independent Living</w:t>
      </w:r>
      <w:r w:rsidR="00DB7181">
        <w:t xml:space="preserve"> and 74.1% for those </w:t>
      </w:r>
      <w:r w:rsidR="00310B12">
        <w:t>without</w:t>
      </w:r>
      <w:r w:rsidR="00DB7181">
        <w:t>)</w:t>
      </w:r>
      <w:r w:rsidR="00310B12">
        <w:t>. By 2025-26,</w:t>
      </w:r>
      <w:r w:rsidR="00DB7181">
        <w:t xml:space="preserve"> total annual plan budgets are expected to be ab</w:t>
      </w:r>
      <w:r w:rsidR="00E162EA">
        <w:t>out $65 billion (25.1</w:t>
      </w:r>
      <w:r w:rsidR="00DB7181">
        <w:t xml:space="preserve">% </w:t>
      </w:r>
      <w:r w:rsidR="00310B12">
        <w:t xml:space="preserve">for </w:t>
      </w:r>
      <w:r w:rsidR="00DB7181">
        <w:rPr>
          <w:lang w:eastAsia="en-AU"/>
        </w:rPr>
        <w:t xml:space="preserve">participants </w:t>
      </w:r>
      <w:r w:rsidR="00310B12">
        <w:rPr>
          <w:lang w:eastAsia="en-AU"/>
        </w:rPr>
        <w:t>with</w:t>
      </w:r>
      <w:r w:rsidR="00DB7181">
        <w:rPr>
          <w:lang w:eastAsia="en-AU"/>
        </w:rPr>
        <w:t xml:space="preserve"> Supported Independent Living </w:t>
      </w:r>
      <w:r w:rsidR="00DB7181">
        <w:t xml:space="preserve">and </w:t>
      </w:r>
      <w:r w:rsidR="00E162EA">
        <w:t>74.9</w:t>
      </w:r>
      <w:r w:rsidR="00DB7181">
        <w:t xml:space="preserve">% for those </w:t>
      </w:r>
      <w:r w:rsidR="00310B12">
        <w:t>without</w:t>
      </w:r>
      <w:r w:rsidR="00DB7181">
        <w:t xml:space="preserve">). </w:t>
      </w:r>
    </w:p>
    <w:p w14:paraId="2DE0645C" w14:textId="77777777" w:rsidR="00DB7181" w:rsidRDefault="00DB7181" w:rsidP="00DB7181">
      <w:pPr>
        <w:pStyle w:val="FSRnormal"/>
        <w:rPr>
          <w:rFonts w:eastAsia="Times New Roman" w:cs="Arial"/>
          <w:lang w:eastAsia="en-AU"/>
        </w:rPr>
      </w:pPr>
      <w:r>
        <w:t>The</w:t>
      </w:r>
      <w:r w:rsidRPr="00125BC8">
        <w:t xml:space="preserve"> projected average </w:t>
      </w:r>
      <w:r>
        <w:t xml:space="preserve">annualised </w:t>
      </w:r>
      <w:r w:rsidRPr="00125BC8">
        <w:t xml:space="preserve">plan budget for </w:t>
      </w:r>
      <w:r>
        <w:t xml:space="preserve">2022-23 is expected to </w:t>
      </w:r>
      <w:r w:rsidRPr="00125BC8">
        <w:t xml:space="preserve">increase </w:t>
      </w:r>
      <w:r>
        <w:t>by 8.1% to $79,270. Approximately 7% of this increase is due to the changes to price limits in the 202</w:t>
      </w:r>
      <w:r w:rsidR="00FB3159">
        <w:t>1</w:t>
      </w:r>
      <w:r>
        <w:t>-2</w:t>
      </w:r>
      <w:r w:rsidR="00FB3159">
        <w:t>2</w:t>
      </w:r>
      <w:r>
        <w:t xml:space="preserve"> Annual Pricing review, noting that the unspent portions </w:t>
      </w:r>
      <w:r w:rsidRPr="00125BC8">
        <w:t xml:space="preserve">of </w:t>
      </w:r>
      <w:r>
        <w:t>all in-force plans were indexed to reflect the new price limits on 9 July 2022.</w:t>
      </w:r>
      <w:r w:rsidRPr="00125BC8">
        <w:t xml:space="preserve"> By </w:t>
      </w:r>
      <w:r>
        <w:t>2025-26</w:t>
      </w:r>
      <w:r w:rsidRPr="00125BC8">
        <w:t xml:space="preserve">, average plan budget per participant </w:t>
      </w:r>
      <w:r>
        <w:t xml:space="preserve">is expected to be </w:t>
      </w:r>
      <w:r w:rsidRPr="00125BC8">
        <w:t>$90,620.</w:t>
      </w:r>
      <w:r>
        <w:t xml:space="preserve"> </w:t>
      </w:r>
      <w:r w:rsidR="00E753F3">
        <w:t>Projected</w:t>
      </w:r>
      <w:r w:rsidRPr="00125BC8">
        <w:rPr>
          <w:rFonts w:eastAsia="Times New Roman" w:cs="Arial"/>
          <w:lang w:eastAsia="en-AU"/>
        </w:rPr>
        <w:t xml:space="preserve"> average annual plan budgets are expected to further grow by </w:t>
      </w:r>
      <w:r w:rsidRPr="2F45504E">
        <w:rPr>
          <w:rFonts w:eastAsia="Times New Roman" w:cs="Arial"/>
          <w:lang w:eastAsia="en-AU"/>
        </w:rPr>
        <w:t xml:space="preserve">3.0% in 2023-24, </w:t>
      </w:r>
      <w:r w:rsidR="00310B12">
        <w:rPr>
          <w:rFonts w:eastAsia="Times New Roman" w:cs="Arial"/>
          <w:lang w:eastAsia="en-AU"/>
        </w:rPr>
        <w:t xml:space="preserve">and </w:t>
      </w:r>
      <w:r w:rsidRPr="2F45504E">
        <w:rPr>
          <w:rFonts w:eastAsia="Times New Roman" w:cs="Arial"/>
          <w:lang w:eastAsia="en-AU"/>
        </w:rPr>
        <w:t>5.3% for each of 2024-25 and 2025-26. The growth in projected average budgets is lower than the inflation rate applied due to changes in the projected mix of participants. That is, to the extent that the proportion of participants in the Scheme who are children or who have a high level of function grows, the</w:t>
      </w:r>
      <w:r w:rsidRPr="00125BC8">
        <w:rPr>
          <w:rFonts w:eastAsia="Times New Roman" w:cs="Arial"/>
          <w:lang w:eastAsia="en-AU"/>
        </w:rPr>
        <w:t xml:space="preserve"> </w:t>
      </w:r>
      <w:r>
        <w:rPr>
          <w:rFonts w:eastAsia="Times New Roman" w:cs="Arial"/>
          <w:lang w:eastAsia="en-AU"/>
        </w:rPr>
        <w:t xml:space="preserve">average </w:t>
      </w:r>
      <w:r w:rsidRPr="00125BC8">
        <w:rPr>
          <w:rFonts w:eastAsia="Times New Roman" w:cs="Arial"/>
          <w:lang w:eastAsia="en-AU"/>
        </w:rPr>
        <w:t xml:space="preserve">plan budget </w:t>
      </w:r>
      <w:r w:rsidRPr="2F45504E">
        <w:rPr>
          <w:rFonts w:eastAsia="Times New Roman" w:cs="Arial"/>
          <w:lang w:eastAsia="en-AU"/>
        </w:rPr>
        <w:t xml:space="preserve">will be lower. </w:t>
      </w:r>
      <w:r>
        <w:rPr>
          <w:lang w:eastAsia="en-AU"/>
        </w:rPr>
        <w:t xml:space="preserve">As an example, the percentage </w:t>
      </w:r>
      <w:r>
        <w:rPr>
          <w:rFonts w:eastAsia="Times New Roman" w:cs="Arial"/>
          <w:lang w:eastAsia="en-AU"/>
        </w:rPr>
        <w:t xml:space="preserve">of participants </w:t>
      </w:r>
      <w:r w:rsidR="00967CAD">
        <w:rPr>
          <w:rFonts w:eastAsia="Times New Roman" w:cs="Arial"/>
          <w:lang w:eastAsia="en-AU"/>
        </w:rPr>
        <w:t xml:space="preserve">who are children (and </w:t>
      </w:r>
      <w:r w:rsidR="00967CAD">
        <w:rPr>
          <w:rFonts w:eastAsia="Times New Roman" w:cs="Arial"/>
          <w:lang w:eastAsia="en-AU"/>
        </w:rPr>
        <w:lastRenderedPageBreak/>
        <w:t xml:space="preserve">who have lower budgets) </w:t>
      </w:r>
      <w:r>
        <w:rPr>
          <w:rFonts w:eastAsia="Times New Roman" w:cs="Arial"/>
          <w:lang w:eastAsia="en-AU"/>
        </w:rPr>
        <w:t>is expected to increase (through new entrants/transitions) in 2023-24</w:t>
      </w:r>
      <w:r w:rsidR="007A48F5">
        <w:rPr>
          <w:rFonts w:eastAsia="Times New Roman" w:cs="Arial"/>
          <w:lang w:eastAsia="en-AU"/>
        </w:rPr>
        <w:t>.</w:t>
      </w:r>
      <w:r>
        <w:rPr>
          <w:rFonts w:eastAsia="Times New Roman" w:cs="Arial"/>
          <w:lang w:eastAsia="en-AU"/>
        </w:rPr>
        <w:t xml:space="preserve"> </w:t>
      </w:r>
    </w:p>
    <w:p w14:paraId="1476F3F8" w14:textId="77777777" w:rsidR="00DB7181" w:rsidRDefault="00221197" w:rsidP="00DB7181">
      <w:pPr>
        <w:pStyle w:val="FSRnormal"/>
        <w:rPr>
          <w:rFonts w:eastAsia="Times New Roman" w:cs="Arial"/>
          <w:lang w:eastAsia="en-AU"/>
        </w:rPr>
      </w:pPr>
      <w:r w:rsidRPr="00221197">
        <w:t xml:space="preserve">Table </w:t>
      </w:r>
      <w:r w:rsidRPr="00221197">
        <w:rPr>
          <w:noProof/>
        </w:rPr>
        <w:t>5</w:t>
      </w:r>
      <w:r w:rsidRPr="00221197">
        <w:t>.</w:t>
      </w:r>
      <w:r w:rsidRPr="00221197">
        <w:rPr>
          <w:noProof/>
        </w:rPr>
        <w:t>9</w:t>
      </w:r>
      <w:r w:rsidR="00DB7181" w:rsidRPr="00221197">
        <w:rPr>
          <w:rFonts w:eastAsia="Times New Roman" w:cs="Arial"/>
          <w:lang w:eastAsia="en-AU"/>
        </w:rPr>
        <w:t xml:space="preserve"> </w:t>
      </w:r>
      <w:r w:rsidR="00DB7181" w:rsidRPr="00B45AC5">
        <w:rPr>
          <w:rFonts w:eastAsia="Times New Roman" w:cs="Arial"/>
          <w:lang w:eastAsia="en-AU"/>
        </w:rPr>
        <w:t>details the resulting average annual</w:t>
      </w:r>
      <w:r w:rsidR="006D5A4C">
        <w:rPr>
          <w:rFonts w:eastAsia="Times New Roman" w:cs="Arial"/>
          <w:lang w:eastAsia="en-AU"/>
        </w:rPr>
        <w:t>ised</w:t>
      </w:r>
      <w:r w:rsidR="00DB7181" w:rsidRPr="00B45AC5">
        <w:rPr>
          <w:rFonts w:eastAsia="Times New Roman" w:cs="Arial"/>
          <w:lang w:eastAsia="en-AU"/>
        </w:rPr>
        <w:t xml:space="preserve"> </w:t>
      </w:r>
      <w:r w:rsidR="00DB7181">
        <w:rPr>
          <w:rFonts w:eastAsia="Times New Roman" w:cs="Arial"/>
          <w:lang w:eastAsia="en-AU"/>
        </w:rPr>
        <w:t>plan budgets for 2022-23 by age and disability</w:t>
      </w:r>
      <w:r w:rsidR="00DB7181" w:rsidRPr="00B45AC5">
        <w:rPr>
          <w:rFonts w:eastAsia="Times New Roman" w:cs="Arial"/>
          <w:lang w:eastAsia="en-AU"/>
        </w:rPr>
        <w:t xml:space="preserve"> </w:t>
      </w:r>
      <w:r w:rsidR="00DB7181">
        <w:rPr>
          <w:rFonts w:eastAsia="Times New Roman" w:cs="Arial"/>
          <w:lang w:eastAsia="en-AU"/>
        </w:rPr>
        <w:t>groups after i</w:t>
      </w:r>
      <w:r w:rsidR="00DB7181" w:rsidRPr="00B45AC5">
        <w:rPr>
          <w:rFonts w:eastAsia="Times New Roman" w:cs="Arial"/>
          <w:lang w:eastAsia="en-AU"/>
        </w:rPr>
        <w:t>nflation has been applied to the base average payment assumptions. </w:t>
      </w:r>
    </w:p>
    <w:p w14:paraId="327A1CB4" w14:textId="77777777" w:rsidR="00DB7181" w:rsidRDefault="002259DA" w:rsidP="00221197">
      <w:pPr>
        <w:pStyle w:val="Tables"/>
      </w:pPr>
      <w:bookmarkStart w:id="171" w:name="_Ref113277696"/>
      <w:r w:rsidRPr="002259DA">
        <w:t xml:space="preserve">Table </w:t>
      </w:r>
      <w:fldSimple w:instr=" STYLEREF 2 \s ">
        <w:r w:rsidR="00A87896">
          <w:rPr>
            <w:noProof/>
          </w:rPr>
          <w:t>5</w:t>
        </w:r>
      </w:fldSimple>
      <w:r w:rsidR="00A87896">
        <w:t>.</w:t>
      </w:r>
      <w:fldSimple w:instr=" SEQ Table \* ARABIC \s 2 ">
        <w:r w:rsidR="00A87896">
          <w:rPr>
            <w:noProof/>
          </w:rPr>
          <w:t>9</w:t>
        </w:r>
      </w:fldSimple>
      <w:bookmarkEnd w:id="171"/>
      <w:r>
        <w:rPr>
          <w:noProof/>
        </w:rPr>
        <w:t>:</w:t>
      </w:r>
      <w:r w:rsidR="00DB7181">
        <w:t xml:space="preserve"> </w:t>
      </w:r>
      <w:r w:rsidR="00DB7181" w:rsidRPr="0000327C">
        <w:t>Average annual</w:t>
      </w:r>
      <w:r w:rsidR="006D5A4C">
        <w:t>ised</w:t>
      </w:r>
      <w:r w:rsidR="00DB7181" w:rsidRPr="0000327C">
        <w:t xml:space="preserve"> </w:t>
      </w:r>
      <w:r w:rsidR="00D9305B">
        <w:t>plan budgets</w:t>
      </w:r>
      <w:r w:rsidR="00DB7181" w:rsidRPr="0000327C">
        <w:t xml:space="preserve"> ($) by age band and disability group in 202</w:t>
      </w:r>
      <w:r w:rsidR="00DB7181">
        <w:t>2</w:t>
      </w:r>
      <w:r w:rsidR="00DB7181" w:rsidRPr="0000327C">
        <w:t>-2</w:t>
      </w:r>
      <w:r w:rsidR="00DB7181">
        <w:t>3</w:t>
      </w:r>
      <w:r w:rsidR="00DB7181" w:rsidRPr="0000327C">
        <w:t xml:space="preserve"> (20</w:t>
      </w:r>
      <w:r w:rsidR="00DB7181">
        <w:t>22</w:t>
      </w:r>
      <w:r w:rsidR="00DB7181" w:rsidRPr="0000327C">
        <w:t>-2</w:t>
      </w:r>
      <w:r w:rsidR="00DB7181">
        <w:t>3</w:t>
      </w:r>
      <w:r w:rsidR="00DB7181" w:rsidRPr="0000327C">
        <w:t xml:space="preserve"> dollars)</w:t>
      </w:r>
      <w:r w:rsidR="00DB7181" w:rsidRPr="00221197">
        <w:rPr>
          <w:rStyle w:val="FootnoteReference"/>
          <w:rFonts w:eastAsia="Times New Roman" w:cs="Times New Roman"/>
          <w:sz w:val="16"/>
          <w:szCs w:val="16"/>
          <w:lang w:eastAsia="en-AU"/>
        </w:rPr>
        <w:footnoteReference w:id="86"/>
      </w:r>
    </w:p>
    <w:tbl>
      <w:tblPr>
        <w:tblStyle w:val="FSRtable"/>
        <w:tblW w:w="9115" w:type="dxa"/>
        <w:tblInd w:w="5" w:type="dxa"/>
        <w:tblLook w:val="04A0" w:firstRow="1" w:lastRow="0" w:firstColumn="1" w:lastColumn="0" w:noHBand="0" w:noVBand="1"/>
      </w:tblPr>
      <w:tblGrid>
        <w:gridCol w:w="2405"/>
        <w:gridCol w:w="1418"/>
        <w:gridCol w:w="1275"/>
        <w:gridCol w:w="1418"/>
        <w:gridCol w:w="1276"/>
        <w:gridCol w:w="1323"/>
      </w:tblGrid>
      <w:tr w:rsidR="00DB7181" w:rsidRPr="00221197" w14:paraId="10D04E76" w14:textId="77777777" w:rsidTr="002B79D9">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2405" w:type="dxa"/>
            <w:hideMark/>
          </w:tcPr>
          <w:p w14:paraId="11ABF44B" w14:textId="77777777" w:rsidR="00DB7181" w:rsidRPr="00221197" w:rsidRDefault="00DB7181" w:rsidP="002B79D9">
            <w:pPr>
              <w:keepNext/>
              <w:spacing w:after="0" w:line="240" w:lineRule="auto"/>
              <w:rPr>
                <w:rFonts w:eastAsia="Times New Roman"/>
                <w:b w:val="0"/>
                <w:bCs/>
                <w:color w:val="FFFFFF"/>
                <w:sz w:val="18"/>
                <w:szCs w:val="18"/>
                <w:lang w:eastAsia="en-AU"/>
              </w:rPr>
            </w:pPr>
            <w:r w:rsidRPr="00221197">
              <w:rPr>
                <w:rFonts w:eastAsia="Times New Roman"/>
                <w:sz w:val="18"/>
                <w:szCs w:val="18"/>
                <w:lang w:eastAsia="en-AU"/>
              </w:rPr>
              <w:t>Disability Group </w:t>
            </w:r>
          </w:p>
        </w:tc>
        <w:tc>
          <w:tcPr>
            <w:tcW w:w="1418" w:type="dxa"/>
            <w:hideMark/>
          </w:tcPr>
          <w:p w14:paraId="0CC79EFE" w14:textId="77777777" w:rsidR="00DB7181" w:rsidRPr="00221197" w:rsidRDefault="00DB7181" w:rsidP="0044624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sz w:val="18"/>
                <w:szCs w:val="18"/>
                <w:lang w:eastAsia="en-AU"/>
              </w:rPr>
              <w:t>0 to 6</w:t>
            </w:r>
          </w:p>
        </w:tc>
        <w:tc>
          <w:tcPr>
            <w:tcW w:w="1275" w:type="dxa"/>
            <w:hideMark/>
          </w:tcPr>
          <w:p w14:paraId="612B1D29" w14:textId="77777777" w:rsidR="00DB7181" w:rsidRPr="00221197" w:rsidRDefault="00DB7181" w:rsidP="0044624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sz w:val="18"/>
                <w:szCs w:val="18"/>
                <w:lang w:eastAsia="en-AU"/>
              </w:rPr>
              <w:t>7 to 14</w:t>
            </w:r>
          </w:p>
        </w:tc>
        <w:tc>
          <w:tcPr>
            <w:tcW w:w="1418" w:type="dxa"/>
            <w:hideMark/>
          </w:tcPr>
          <w:p w14:paraId="4E0A9226" w14:textId="77777777" w:rsidR="00DB7181" w:rsidRPr="00221197" w:rsidRDefault="00DB7181" w:rsidP="0044624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sz w:val="18"/>
                <w:szCs w:val="18"/>
                <w:lang w:eastAsia="en-AU"/>
              </w:rPr>
              <w:t>15 to 18</w:t>
            </w:r>
          </w:p>
        </w:tc>
        <w:tc>
          <w:tcPr>
            <w:tcW w:w="1276" w:type="dxa"/>
            <w:hideMark/>
          </w:tcPr>
          <w:p w14:paraId="069596FF" w14:textId="77777777" w:rsidR="00DB7181" w:rsidRPr="00221197" w:rsidRDefault="00DB7181" w:rsidP="0044624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sz w:val="18"/>
                <w:szCs w:val="18"/>
                <w:lang w:eastAsia="en-AU"/>
              </w:rPr>
              <w:t>19 to 24</w:t>
            </w:r>
          </w:p>
        </w:tc>
        <w:tc>
          <w:tcPr>
            <w:tcW w:w="1323" w:type="dxa"/>
            <w:hideMark/>
          </w:tcPr>
          <w:p w14:paraId="33CE6A49" w14:textId="77777777" w:rsidR="00DB7181" w:rsidRPr="00221197" w:rsidRDefault="00DB7181" w:rsidP="0044624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sz w:val="18"/>
                <w:szCs w:val="18"/>
                <w:lang w:eastAsia="en-AU"/>
              </w:rPr>
              <w:t>25 to 34</w:t>
            </w:r>
          </w:p>
        </w:tc>
      </w:tr>
      <w:tr w:rsidR="00DB7181" w:rsidRPr="00221197" w14:paraId="25C03719" w14:textId="77777777" w:rsidTr="002B79D9">
        <w:trPr>
          <w:trHeight w:hRule="exact" w:val="301"/>
        </w:trPr>
        <w:tc>
          <w:tcPr>
            <w:cnfStyle w:val="001000000000" w:firstRow="0" w:lastRow="0" w:firstColumn="1" w:lastColumn="0" w:oddVBand="0" w:evenVBand="0" w:oddHBand="0" w:evenHBand="0" w:firstRowFirstColumn="0" w:firstRowLastColumn="0" w:lastRowFirstColumn="0" w:lastRowLastColumn="0"/>
            <w:tcW w:w="2405" w:type="dxa"/>
            <w:hideMark/>
          </w:tcPr>
          <w:p w14:paraId="225EB37A" w14:textId="77777777" w:rsidR="00DB7181" w:rsidRPr="00221197" w:rsidRDefault="00DB7181" w:rsidP="002B79D9">
            <w:pPr>
              <w:keepNext/>
              <w:spacing w:after="0" w:line="240" w:lineRule="auto"/>
              <w:rPr>
                <w:rFonts w:eastAsia="Times New Roman" w:cs="Arial"/>
                <w:color w:val="000000"/>
                <w:sz w:val="18"/>
                <w:szCs w:val="18"/>
                <w:lang w:eastAsia="en-AU"/>
              </w:rPr>
            </w:pPr>
            <w:r w:rsidRPr="00221197">
              <w:rPr>
                <w:rFonts w:eastAsia="Times New Roman" w:cs="Arial"/>
                <w:color w:val="000000" w:themeColor="text1"/>
                <w:sz w:val="18"/>
                <w:szCs w:val="18"/>
                <w:lang w:eastAsia="en-AU"/>
              </w:rPr>
              <w:t>Autism </w:t>
            </w:r>
          </w:p>
        </w:tc>
        <w:tc>
          <w:tcPr>
            <w:tcW w:w="1418" w:type="dxa"/>
            <w:hideMark/>
          </w:tcPr>
          <w:p w14:paraId="2618020C" w14:textId="77777777" w:rsidR="00DB7181" w:rsidRPr="00221197" w:rsidRDefault="00DB7181" w:rsidP="00446247">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31,900</w:t>
            </w:r>
          </w:p>
        </w:tc>
        <w:tc>
          <w:tcPr>
            <w:tcW w:w="1275" w:type="dxa"/>
            <w:hideMark/>
          </w:tcPr>
          <w:p w14:paraId="02135F14" w14:textId="77777777" w:rsidR="00DB7181" w:rsidRPr="00221197" w:rsidRDefault="00DB7181" w:rsidP="00446247">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28,400</w:t>
            </w:r>
          </w:p>
        </w:tc>
        <w:tc>
          <w:tcPr>
            <w:tcW w:w="1418" w:type="dxa"/>
            <w:hideMark/>
          </w:tcPr>
          <w:p w14:paraId="3C333824" w14:textId="77777777" w:rsidR="00DB7181" w:rsidRPr="00221197" w:rsidRDefault="00DB7181" w:rsidP="00446247">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47,500</w:t>
            </w:r>
          </w:p>
        </w:tc>
        <w:tc>
          <w:tcPr>
            <w:tcW w:w="1276" w:type="dxa"/>
            <w:hideMark/>
          </w:tcPr>
          <w:p w14:paraId="13FD8790" w14:textId="77777777" w:rsidR="00DB7181" w:rsidRPr="00221197" w:rsidRDefault="00DB7181" w:rsidP="00446247">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85,800</w:t>
            </w:r>
          </w:p>
        </w:tc>
        <w:tc>
          <w:tcPr>
            <w:tcW w:w="1323" w:type="dxa"/>
            <w:hideMark/>
          </w:tcPr>
          <w:p w14:paraId="00465890" w14:textId="77777777" w:rsidR="00DB7181" w:rsidRPr="00221197" w:rsidRDefault="00DB7181" w:rsidP="00446247">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113,900</w:t>
            </w:r>
          </w:p>
        </w:tc>
      </w:tr>
      <w:tr w:rsidR="00DB7181" w:rsidRPr="00221197" w14:paraId="4EFC91EF" w14:textId="77777777" w:rsidTr="002B79D9">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405" w:type="dxa"/>
            <w:hideMark/>
          </w:tcPr>
          <w:p w14:paraId="5A0E890F" w14:textId="77777777" w:rsidR="00DB7181" w:rsidRPr="00221197" w:rsidRDefault="00DB7181" w:rsidP="002B79D9">
            <w:pPr>
              <w:keepNext/>
              <w:spacing w:after="0" w:line="240" w:lineRule="auto"/>
              <w:rPr>
                <w:rFonts w:eastAsia="Times New Roman" w:cs="Arial"/>
                <w:color w:val="000000"/>
                <w:sz w:val="18"/>
                <w:szCs w:val="18"/>
                <w:lang w:eastAsia="en-AU"/>
              </w:rPr>
            </w:pPr>
            <w:r w:rsidRPr="00221197">
              <w:rPr>
                <w:rFonts w:eastAsia="Times New Roman" w:cs="Arial"/>
                <w:color w:val="000000" w:themeColor="text1"/>
                <w:sz w:val="18"/>
                <w:szCs w:val="18"/>
                <w:lang w:eastAsia="en-AU"/>
              </w:rPr>
              <w:t>Intellectual Disability </w:t>
            </w:r>
          </w:p>
        </w:tc>
        <w:tc>
          <w:tcPr>
            <w:tcW w:w="1418" w:type="dxa"/>
            <w:hideMark/>
          </w:tcPr>
          <w:p w14:paraId="7AACD78B"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47,200</w:t>
            </w:r>
          </w:p>
        </w:tc>
        <w:tc>
          <w:tcPr>
            <w:tcW w:w="1275" w:type="dxa"/>
            <w:hideMark/>
          </w:tcPr>
          <w:p w14:paraId="53D5DA31"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41,800</w:t>
            </w:r>
          </w:p>
        </w:tc>
        <w:tc>
          <w:tcPr>
            <w:tcW w:w="1418" w:type="dxa"/>
            <w:hideMark/>
          </w:tcPr>
          <w:p w14:paraId="4E207CD1"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72,200</w:t>
            </w:r>
          </w:p>
        </w:tc>
        <w:tc>
          <w:tcPr>
            <w:tcW w:w="1276" w:type="dxa"/>
            <w:hideMark/>
          </w:tcPr>
          <w:p w14:paraId="4F6130CC"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111,900</w:t>
            </w:r>
          </w:p>
        </w:tc>
        <w:tc>
          <w:tcPr>
            <w:tcW w:w="1323" w:type="dxa"/>
            <w:hideMark/>
          </w:tcPr>
          <w:p w14:paraId="5E99D7E7"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137,100</w:t>
            </w:r>
          </w:p>
        </w:tc>
      </w:tr>
      <w:tr w:rsidR="00DB7181" w:rsidRPr="00221197" w14:paraId="7F45A72A" w14:textId="77777777" w:rsidTr="002B79D9">
        <w:trPr>
          <w:trHeight w:hRule="exact" w:val="301"/>
        </w:trPr>
        <w:tc>
          <w:tcPr>
            <w:cnfStyle w:val="001000000000" w:firstRow="0" w:lastRow="0" w:firstColumn="1" w:lastColumn="0" w:oddVBand="0" w:evenVBand="0" w:oddHBand="0" w:evenHBand="0" w:firstRowFirstColumn="0" w:firstRowLastColumn="0" w:lastRowFirstColumn="0" w:lastRowLastColumn="0"/>
            <w:tcW w:w="2405" w:type="dxa"/>
            <w:hideMark/>
          </w:tcPr>
          <w:p w14:paraId="4A774F92" w14:textId="77777777" w:rsidR="00DB7181" w:rsidRPr="00221197" w:rsidRDefault="00DB7181" w:rsidP="002B79D9">
            <w:pPr>
              <w:keepNext/>
              <w:spacing w:after="0" w:line="240" w:lineRule="auto"/>
              <w:rPr>
                <w:rFonts w:eastAsia="Times New Roman" w:cs="Arial"/>
                <w:color w:val="000000"/>
                <w:sz w:val="18"/>
                <w:szCs w:val="18"/>
                <w:lang w:eastAsia="en-AU"/>
              </w:rPr>
            </w:pPr>
            <w:r w:rsidRPr="00221197">
              <w:rPr>
                <w:rFonts w:eastAsia="Times New Roman" w:cs="Arial"/>
                <w:color w:val="000000" w:themeColor="text1"/>
                <w:sz w:val="18"/>
                <w:szCs w:val="18"/>
                <w:lang w:eastAsia="en-AU"/>
              </w:rPr>
              <w:t>Psychosocial Disability </w:t>
            </w:r>
          </w:p>
        </w:tc>
        <w:tc>
          <w:tcPr>
            <w:tcW w:w="1418" w:type="dxa"/>
            <w:hideMark/>
          </w:tcPr>
          <w:p w14:paraId="5E347465" w14:textId="77777777" w:rsidR="00DB7181" w:rsidRPr="00221197" w:rsidRDefault="00DB7181" w:rsidP="00446247">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36,900</w:t>
            </w:r>
          </w:p>
        </w:tc>
        <w:tc>
          <w:tcPr>
            <w:tcW w:w="1275" w:type="dxa"/>
            <w:hideMark/>
          </w:tcPr>
          <w:p w14:paraId="1D623729" w14:textId="77777777" w:rsidR="00DB7181" w:rsidRPr="00221197" w:rsidRDefault="00DB7181" w:rsidP="00446247">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44,700</w:t>
            </w:r>
          </w:p>
        </w:tc>
        <w:tc>
          <w:tcPr>
            <w:tcW w:w="1418" w:type="dxa"/>
            <w:hideMark/>
          </w:tcPr>
          <w:p w14:paraId="5BEAEC05" w14:textId="77777777" w:rsidR="00DB7181" w:rsidRPr="00221197" w:rsidRDefault="00DB7181" w:rsidP="00446247">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66,200</w:t>
            </w:r>
          </w:p>
        </w:tc>
        <w:tc>
          <w:tcPr>
            <w:tcW w:w="1276" w:type="dxa"/>
            <w:hideMark/>
          </w:tcPr>
          <w:p w14:paraId="5E6D6AA2" w14:textId="77777777" w:rsidR="00DB7181" w:rsidRPr="00221197" w:rsidRDefault="00DB7181" w:rsidP="00446247">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114,500</w:t>
            </w:r>
          </w:p>
        </w:tc>
        <w:tc>
          <w:tcPr>
            <w:tcW w:w="1323" w:type="dxa"/>
            <w:hideMark/>
          </w:tcPr>
          <w:p w14:paraId="26A0BB7E" w14:textId="77777777" w:rsidR="00DB7181" w:rsidRPr="00221197" w:rsidRDefault="00DB7181" w:rsidP="00446247">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90,700</w:t>
            </w:r>
          </w:p>
        </w:tc>
      </w:tr>
      <w:tr w:rsidR="00DB7181" w:rsidRPr="00221197" w14:paraId="40FC8CD2" w14:textId="77777777" w:rsidTr="00F830E6">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dxa"/>
            <w:hideMark/>
          </w:tcPr>
          <w:p w14:paraId="2E2AE0A8" w14:textId="77777777" w:rsidR="00DB7181" w:rsidRPr="00221197" w:rsidRDefault="00DB7181" w:rsidP="002B79D9">
            <w:pPr>
              <w:keepNext/>
              <w:spacing w:after="0" w:line="240" w:lineRule="auto"/>
              <w:rPr>
                <w:rFonts w:eastAsia="Times New Roman" w:cs="Arial"/>
                <w:color w:val="000000"/>
                <w:sz w:val="18"/>
                <w:szCs w:val="18"/>
                <w:lang w:eastAsia="en-AU"/>
              </w:rPr>
            </w:pPr>
            <w:r w:rsidRPr="00221197">
              <w:rPr>
                <w:rFonts w:eastAsia="Times New Roman" w:cs="Arial"/>
                <w:color w:val="000000" w:themeColor="text1"/>
                <w:sz w:val="18"/>
                <w:szCs w:val="18"/>
                <w:lang w:eastAsia="en-AU"/>
              </w:rPr>
              <w:t>Developmental Delay </w:t>
            </w:r>
          </w:p>
        </w:tc>
        <w:tc>
          <w:tcPr>
            <w:tcW w:w="0" w:type="dxa"/>
            <w:hideMark/>
          </w:tcPr>
          <w:p w14:paraId="3DF9642C"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21,900</w:t>
            </w:r>
          </w:p>
        </w:tc>
        <w:tc>
          <w:tcPr>
            <w:tcW w:w="0" w:type="dxa"/>
            <w:hideMark/>
          </w:tcPr>
          <w:p w14:paraId="2384CF57"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19,200</w:t>
            </w:r>
          </w:p>
        </w:tc>
        <w:tc>
          <w:tcPr>
            <w:tcW w:w="0" w:type="dxa"/>
          </w:tcPr>
          <w:p w14:paraId="391310E7"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0" w:type="dxa"/>
          </w:tcPr>
          <w:p w14:paraId="2B7C2EA8"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0" w:type="dxa"/>
          </w:tcPr>
          <w:p w14:paraId="5616BA79"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r>
      <w:tr w:rsidR="00DB7181" w:rsidRPr="00221197" w14:paraId="63EA4B6A" w14:textId="77777777" w:rsidTr="002B79D9">
        <w:trPr>
          <w:trHeight w:hRule="exact" w:val="301"/>
        </w:trPr>
        <w:tc>
          <w:tcPr>
            <w:cnfStyle w:val="001000000000" w:firstRow="0" w:lastRow="0" w:firstColumn="1" w:lastColumn="0" w:oddVBand="0" w:evenVBand="0" w:oddHBand="0" w:evenHBand="0" w:firstRowFirstColumn="0" w:firstRowLastColumn="0" w:lastRowFirstColumn="0" w:lastRowLastColumn="0"/>
            <w:tcW w:w="2405" w:type="dxa"/>
            <w:hideMark/>
          </w:tcPr>
          <w:p w14:paraId="33B33E77" w14:textId="77777777" w:rsidR="00DB7181" w:rsidRPr="00221197" w:rsidRDefault="00DB7181" w:rsidP="002B79D9">
            <w:pPr>
              <w:keepNext/>
              <w:spacing w:after="0" w:line="240" w:lineRule="auto"/>
              <w:rPr>
                <w:rFonts w:eastAsia="Times New Roman" w:cs="Arial"/>
                <w:color w:val="000000"/>
                <w:sz w:val="18"/>
                <w:szCs w:val="18"/>
                <w:lang w:eastAsia="en-AU"/>
              </w:rPr>
            </w:pPr>
            <w:r w:rsidRPr="00221197">
              <w:rPr>
                <w:rFonts w:eastAsia="Times New Roman" w:cs="Arial"/>
                <w:color w:val="000000" w:themeColor="text1"/>
                <w:sz w:val="18"/>
                <w:szCs w:val="18"/>
                <w:lang w:eastAsia="en-AU"/>
              </w:rPr>
              <w:t>Sensory </w:t>
            </w:r>
          </w:p>
        </w:tc>
        <w:tc>
          <w:tcPr>
            <w:tcW w:w="1418" w:type="dxa"/>
            <w:hideMark/>
          </w:tcPr>
          <w:p w14:paraId="7E701D77" w14:textId="77777777" w:rsidR="00DB7181" w:rsidRPr="00221197" w:rsidRDefault="00DB7181" w:rsidP="00446247">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19,000</w:t>
            </w:r>
          </w:p>
        </w:tc>
        <w:tc>
          <w:tcPr>
            <w:tcW w:w="1275" w:type="dxa"/>
            <w:hideMark/>
          </w:tcPr>
          <w:p w14:paraId="2E274DF3" w14:textId="77777777" w:rsidR="00DB7181" w:rsidRPr="00221197" w:rsidRDefault="00DB7181" w:rsidP="00446247">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14,200</w:t>
            </w:r>
          </w:p>
        </w:tc>
        <w:tc>
          <w:tcPr>
            <w:tcW w:w="1418" w:type="dxa"/>
            <w:hideMark/>
          </w:tcPr>
          <w:p w14:paraId="34E63686" w14:textId="77777777" w:rsidR="00DB7181" w:rsidRPr="00221197" w:rsidRDefault="00DB7181" w:rsidP="00446247">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17,000</w:t>
            </w:r>
          </w:p>
        </w:tc>
        <w:tc>
          <w:tcPr>
            <w:tcW w:w="1276" w:type="dxa"/>
            <w:hideMark/>
          </w:tcPr>
          <w:p w14:paraId="7EC684F3" w14:textId="77777777" w:rsidR="00DB7181" w:rsidRPr="00221197" w:rsidRDefault="00DB7181" w:rsidP="00446247">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20,000</w:t>
            </w:r>
          </w:p>
        </w:tc>
        <w:tc>
          <w:tcPr>
            <w:tcW w:w="1323" w:type="dxa"/>
            <w:hideMark/>
          </w:tcPr>
          <w:p w14:paraId="20E7490D" w14:textId="77777777" w:rsidR="00DB7181" w:rsidRPr="00221197" w:rsidRDefault="00DB7181" w:rsidP="00446247">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25,600</w:t>
            </w:r>
          </w:p>
        </w:tc>
      </w:tr>
      <w:tr w:rsidR="00DB7181" w:rsidRPr="00221197" w14:paraId="284EEA87" w14:textId="77777777" w:rsidTr="002B79D9">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405" w:type="dxa"/>
            <w:tcBorders>
              <w:bottom w:val="single" w:sz="4" w:space="0" w:color="auto"/>
            </w:tcBorders>
            <w:hideMark/>
          </w:tcPr>
          <w:p w14:paraId="2E5C1D97" w14:textId="77777777" w:rsidR="00DB7181" w:rsidRPr="00221197" w:rsidRDefault="00DB7181" w:rsidP="002B79D9">
            <w:pPr>
              <w:keepNext/>
              <w:spacing w:after="0" w:line="240" w:lineRule="auto"/>
              <w:rPr>
                <w:rFonts w:eastAsia="Times New Roman" w:cs="Arial"/>
                <w:color w:val="000000"/>
                <w:sz w:val="18"/>
                <w:szCs w:val="18"/>
                <w:lang w:eastAsia="en-AU"/>
              </w:rPr>
            </w:pPr>
            <w:r w:rsidRPr="00221197">
              <w:rPr>
                <w:rFonts w:eastAsia="Times New Roman" w:cs="Arial"/>
                <w:color w:val="000000" w:themeColor="text1"/>
                <w:sz w:val="18"/>
                <w:szCs w:val="18"/>
                <w:lang w:eastAsia="en-AU"/>
              </w:rPr>
              <w:t>Other </w:t>
            </w:r>
          </w:p>
        </w:tc>
        <w:tc>
          <w:tcPr>
            <w:tcW w:w="1418" w:type="dxa"/>
            <w:tcBorders>
              <w:bottom w:val="single" w:sz="4" w:space="0" w:color="auto"/>
            </w:tcBorders>
            <w:hideMark/>
          </w:tcPr>
          <w:p w14:paraId="1EE7FBE7"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52,000</w:t>
            </w:r>
          </w:p>
        </w:tc>
        <w:tc>
          <w:tcPr>
            <w:tcW w:w="1275" w:type="dxa"/>
            <w:tcBorders>
              <w:bottom w:val="single" w:sz="4" w:space="0" w:color="auto"/>
            </w:tcBorders>
            <w:hideMark/>
          </w:tcPr>
          <w:p w14:paraId="44B7A2C9"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61,700</w:t>
            </w:r>
          </w:p>
        </w:tc>
        <w:tc>
          <w:tcPr>
            <w:tcW w:w="1418" w:type="dxa"/>
            <w:tcBorders>
              <w:bottom w:val="single" w:sz="4" w:space="0" w:color="auto"/>
            </w:tcBorders>
            <w:hideMark/>
          </w:tcPr>
          <w:p w14:paraId="53ECD900"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98,500</w:t>
            </w:r>
          </w:p>
        </w:tc>
        <w:tc>
          <w:tcPr>
            <w:tcW w:w="1276" w:type="dxa"/>
            <w:tcBorders>
              <w:bottom w:val="single" w:sz="4" w:space="0" w:color="auto"/>
            </w:tcBorders>
            <w:hideMark/>
          </w:tcPr>
          <w:p w14:paraId="404DC8FD"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150,800</w:t>
            </w:r>
          </w:p>
        </w:tc>
        <w:tc>
          <w:tcPr>
            <w:tcW w:w="1323" w:type="dxa"/>
            <w:tcBorders>
              <w:bottom w:val="single" w:sz="4" w:space="0" w:color="auto"/>
            </w:tcBorders>
            <w:hideMark/>
          </w:tcPr>
          <w:p w14:paraId="032472A6" w14:textId="77777777" w:rsidR="00DB7181" w:rsidRPr="00221197" w:rsidRDefault="00DB7181" w:rsidP="00446247">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171,600</w:t>
            </w:r>
          </w:p>
        </w:tc>
      </w:tr>
      <w:tr w:rsidR="00DB7181" w:rsidRPr="00221197" w14:paraId="73423138" w14:textId="77777777" w:rsidTr="002B79D9">
        <w:trPr>
          <w:trHeight w:hRule="exact" w:val="301"/>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single" w:sz="4" w:space="0" w:color="auto"/>
            </w:tcBorders>
            <w:shd w:val="clear" w:color="auto" w:fill="D4C5D7"/>
            <w:hideMark/>
          </w:tcPr>
          <w:p w14:paraId="7687F490" w14:textId="77777777" w:rsidR="00DB7181" w:rsidRPr="00221197" w:rsidRDefault="00DB7181" w:rsidP="002B79D9">
            <w:pPr>
              <w:keepNext/>
              <w:spacing w:after="0" w:line="240" w:lineRule="auto"/>
              <w:rPr>
                <w:rFonts w:eastAsia="Times New Roman" w:cs="Arial"/>
                <w:b/>
                <w:bCs/>
                <w:color w:val="000000"/>
                <w:sz w:val="18"/>
                <w:szCs w:val="18"/>
                <w:lang w:eastAsia="en-AU"/>
              </w:rPr>
            </w:pPr>
            <w:r w:rsidRPr="00221197">
              <w:rPr>
                <w:rFonts w:eastAsia="Times New Roman" w:cs="Arial"/>
                <w:b/>
                <w:color w:val="000000" w:themeColor="text1"/>
                <w:sz w:val="18"/>
                <w:szCs w:val="18"/>
                <w:lang w:eastAsia="en-AU"/>
              </w:rPr>
              <w:t>Total</w:t>
            </w:r>
            <w:r w:rsidRPr="00221197">
              <w:rPr>
                <w:rFonts w:eastAsia="Times New Roman" w:cs="Arial"/>
                <w:color w:val="000000" w:themeColor="text1"/>
                <w:sz w:val="18"/>
                <w:szCs w:val="18"/>
                <w:lang w:eastAsia="en-AU"/>
              </w:rPr>
              <w:t> </w:t>
            </w:r>
          </w:p>
        </w:tc>
        <w:tc>
          <w:tcPr>
            <w:tcW w:w="1418" w:type="dxa"/>
            <w:tcBorders>
              <w:top w:val="single" w:sz="4" w:space="0" w:color="auto"/>
              <w:bottom w:val="single" w:sz="4" w:space="0" w:color="auto"/>
            </w:tcBorders>
            <w:shd w:val="clear" w:color="auto" w:fill="D4C5D7"/>
            <w:hideMark/>
          </w:tcPr>
          <w:p w14:paraId="58BE4002" w14:textId="77777777" w:rsidR="00DB7181" w:rsidRPr="00221197" w:rsidRDefault="00DB7181" w:rsidP="00446247">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21197">
              <w:rPr>
                <w:rFonts w:cs="Arial"/>
                <w:b/>
                <w:color w:val="000000" w:themeColor="text1"/>
                <w:sz w:val="18"/>
                <w:szCs w:val="18"/>
              </w:rPr>
              <w:t>26,500</w:t>
            </w:r>
          </w:p>
        </w:tc>
        <w:tc>
          <w:tcPr>
            <w:tcW w:w="1275" w:type="dxa"/>
            <w:tcBorders>
              <w:top w:val="single" w:sz="4" w:space="0" w:color="auto"/>
              <w:bottom w:val="single" w:sz="4" w:space="0" w:color="auto"/>
            </w:tcBorders>
            <w:shd w:val="clear" w:color="auto" w:fill="D4C5D7"/>
            <w:hideMark/>
          </w:tcPr>
          <w:p w14:paraId="15AA64C5" w14:textId="77777777" w:rsidR="00DB7181" w:rsidRPr="00221197" w:rsidRDefault="00DB7181" w:rsidP="00446247">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21197">
              <w:rPr>
                <w:rFonts w:cs="Arial"/>
                <w:b/>
                <w:color w:val="000000" w:themeColor="text1"/>
                <w:sz w:val="18"/>
                <w:szCs w:val="18"/>
              </w:rPr>
              <w:t>30,700</w:t>
            </w:r>
          </w:p>
        </w:tc>
        <w:tc>
          <w:tcPr>
            <w:tcW w:w="1418" w:type="dxa"/>
            <w:tcBorders>
              <w:top w:val="single" w:sz="4" w:space="0" w:color="auto"/>
              <w:bottom w:val="single" w:sz="4" w:space="0" w:color="auto"/>
            </w:tcBorders>
            <w:shd w:val="clear" w:color="auto" w:fill="D4C5D7"/>
            <w:hideMark/>
          </w:tcPr>
          <w:p w14:paraId="44E89D74" w14:textId="77777777" w:rsidR="00DB7181" w:rsidRPr="00221197" w:rsidRDefault="00DB7181" w:rsidP="00446247">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21197">
              <w:rPr>
                <w:rFonts w:cs="Arial"/>
                <w:b/>
                <w:color w:val="000000" w:themeColor="text1"/>
                <w:sz w:val="18"/>
                <w:szCs w:val="18"/>
              </w:rPr>
              <w:t>55,000</w:t>
            </w:r>
          </w:p>
        </w:tc>
        <w:tc>
          <w:tcPr>
            <w:tcW w:w="1276" w:type="dxa"/>
            <w:tcBorders>
              <w:top w:val="single" w:sz="4" w:space="0" w:color="auto"/>
              <w:bottom w:val="single" w:sz="4" w:space="0" w:color="auto"/>
            </w:tcBorders>
            <w:shd w:val="clear" w:color="auto" w:fill="D4C5D7"/>
            <w:hideMark/>
          </w:tcPr>
          <w:p w14:paraId="2AED3459" w14:textId="77777777" w:rsidR="00DB7181" w:rsidRPr="00221197" w:rsidRDefault="00DB7181" w:rsidP="00446247">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21197">
              <w:rPr>
                <w:rFonts w:cs="Arial"/>
                <w:b/>
                <w:color w:val="000000" w:themeColor="text1"/>
                <w:sz w:val="18"/>
                <w:szCs w:val="18"/>
              </w:rPr>
              <w:t>98,200</w:t>
            </w:r>
          </w:p>
        </w:tc>
        <w:tc>
          <w:tcPr>
            <w:tcW w:w="1323" w:type="dxa"/>
            <w:tcBorders>
              <w:top w:val="single" w:sz="4" w:space="0" w:color="auto"/>
              <w:bottom w:val="single" w:sz="4" w:space="0" w:color="auto"/>
            </w:tcBorders>
            <w:shd w:val="clear" w:color="auto" w:fill="D4C5D7"/>
            <w:hideMark/>
          </w:tcPr>
          <w:p w14:paraId="68FDFF90" w14:textId="77777777" w:rsidR="00DB7181" w:rsidRPr="00221197" w:rsidRDefault="00DB7181" w:rsidP="00446247">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21197">
              <w:rPr>
                <w:rFonts w:cs="Arial"/>
                <w:b/>
                <w:color w:val="000000" w:themeColor="text1"/>
                <w:sz w:val="18"/>
                <w:szCs w:val="18"/>
              </w:rPr>
              <w:t>121,500</w:t>
            </w:r>
          </w:p>
        </w:tc>
      </w:tr>
    </w:tbl>
    <w:p w14:paraId="4D671F7D" w14:textId="77777777" w:rsidR="002B79D9" w:rsidRDefault="002B79D9" w:rsidP="002B79D9">
      <w:pPr>
        <w:pStyle w:val="FSRnormal"/>
        <w:spacing w:before="120" w:after="0"/>
      </w:pPr>
    </w:p>
    <w:tbl>
      <w:tblPr>
        <w:tblStyle w:val="FSRtable"/>
        <w:tblW w:w="9115" w:type="dxa"/>
        <w:tblInd w:w="5" w:type="dxa"/>
        <w:tblLook w:val="04A0" w:firstRow="1" w:lastRow="0" w:firstColumn="1" w:lastColumn="0" w:noHBand="0" w:noVBand="1"/>
      </w:tblPr>
      <w:tblGrid>
        <w:gridCol w:w="2405"/>
        <w:gridCol w:w="1418"/>
        <w:gridCol w:w="1275"/>
        <w:gridCol w:w="1418"/>
        <w:gridCol w:w="1276"/>
        <w:gridCol w:w="1323"/>
      </w:tblGrid>
      <w:tr w:rsidR="002B79D9" w:rsidRPr="00221197" w14:paraId="0A1927E2" w14:textId="77777777" w:rsidTr="002B79D9">
        <w:trPr>
          <w:cnfStyle w:val="100000000000" w:firstRow="1" w:lastRow="0" w:firstColumn="0" w:lastColumn="0" w:oddVBand="0" w:evenVBand="0" w:oddHBand="0"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2405" w:type="dxa"/>
            <w:hideMark/>
          </w:tcPr>
          <w:p w14:paraId="082FD8DA" w14:textId="77777777" w:rsidR="002B79D9" w:rsidRPr="00221197" w:rsidRDefault="002B79D9" w:rsidP="002B79D9">
            <w:pPr>
              <w:keepNext/>
              <w:spacing w:after="0" w:line="240" w:lineRule="auto"/>
              <w:rPr>
                <w:rFonts w:eastAsia="Times New Roman"/>
                <w:color w:val="000000"/>
                <w:sz w:val="18"/>
                <w:szCs w:val="18"/>
                <w:lang w:eastAsia="en-AU"/>
              </w:rPr>
            </w:pPr>
            <w:r w:rsidRPr="00221197">
              <w:rPr>
                <w:rFonts w:eastAsia="Times New Roman"/>
                <w:color w:val="000000" w:themeColor="text1"/>
                <w:sz w:val="18"/>
                <w:szCs w:val="18"/>
                <w:lang w:eastAsia="en-AU"/>
              </w:rPr>
              <w:t> </w:t>
            </w:r>
            <w:r w:rsidRPr="00221197">
              <w:rPr>
                <w:rFonts w:eastAsia="Times New Roman"/>
                <w:sz w:val="18"/>
                <w:szCs w:val="18"/>
                <w:lang w:eastAsia="en-AU"/>
              </w:rPr>
              <w:t>Disability Group </w:t>
            </w:r>
          </w:p>
        </w:tc>
        <w:tc>
          <w:tcPr>
            <w:tcW w:w="1418" w:type="dxa"/>
            <w:hideMark/>
          </w:tcPr>
          <w:p w14:paraId="2E9EDFE3" w14:textId="77777777" w:rsidR="002B79D9" w:rsidRPr="00221197" w:rsidRDefault="002B79D9" w:rsidP="002B79D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sz w:val="18"/>
                <w:szCs w:val="18"/>
                <w:lang w:eastAsia="en-AU"/>
              </w:rPr>
              <w:t>35 to 44</w:t>
            </w:r>
          </w:p>
        </w:tc>
        <w:tc>
          <w:tcPr>
            <w:tcW w:w="1275" w:type="dxa"/>
            <w:hideMark/>
          </w:tcPr>
          <w:p w14:paraId="1FFFE640" w14:textId="77777777" w:rsidR="002B79D9" w:rsidRPr="00221197" w:rsidRDefault="002B79D9" w:rsidP="002B79D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sz w:val="18"/>
                <w:szCs w:val="18"/>
                <w:lang w:eastAsia="en-AU"/>
              </w:rPr>
              <w:t>45 to 54</w:t>
            </w:r>
          </w:p>
        </w:tc>
        <w:tc>
          <w:tcPr>
            <w:tcW w:w="1418" w:type="dxa"/>
            <w:hideMark/>
          </w:tcPr>
          <w:p w14:paraId="3730F679" w14:textId="77777777" w:rsidR="002B79D9" w:rsidRPr="00221197" w:rsidRDefault="002B79D9" w:rsidP="002B79D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sz w:val="18"/>
                <w:szCs w:val="18"/>
                <w:lang w:eastAsia="en-AU"/>
              </w:rPr>
              <w:t>55 to 64</w:t>
            </w:r>
          </w:p>
        </w:tc>
        <w:tc>
          <w:tcPr>
            <w:tcW w:w="1276" w:type="dxa"/>
            <w:hideMark/>
          </w:tcPr>
          <w:p w14:paraId="6C6C55E6" w14:textId="77777777" w:rsidR="002B79D9" w:rsidRPr="00221197" w:rsidRDefault="002B79D9" w:rsidP="002B79D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sz w:val="18"/>
                <w:szCs w:val="18"/>
                <w:lang w:eastAsia="en-AU"/>
              </w:rPr>
              <w:t>65+</w:t>
            </w:r>
          </w:p>
        </w:tc>
        <w:tc>
          <w:tcPr>
            <w:tcW w:w="1323" w:type="dxa"/>
            <w:hideMark/>
          </w:tcPr>
          <w:p w14:paraId="13283F82" w14:textId="77777777" w:rsidR="002B79D9" w:rsidRPr="00221197" w:rsidRDefault="002B79D9" w:rsidP="002B79D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21197">
              <w:rPr>
                <w:rFonts w:eastAsia="Times New Roman"/>
                <w:sz w:val="18"/>
                <w:szCs w:val="18"/>
                <w:lang w:eastAsia="en-AU"/>
              </w:rPr>
              <w:t>Total</w:t>
            </w:r>
          </w:p>
        </w:tc>
      </w:tr>
      <w:tr w:rsidR="002B79D9" w:rsidRPr="00221197" w14:paraId="3EDC2C42" w14:textId="77777777" w:rsidTr="002B79D9">
        <w:trPr>
          <w:trHeight w:hRule="exact" w:val="301"/>
        </w:trPr>
        <w:tc>
          <w:tcPr>
            <w:cnfStyle w:val="001000000000" w:firstRow="0" w:lastRow="0" w:firstColumn="1" w:lastColumn="0" w:oddVBand="0" w:evenVBand="0" w:oddHBand="0" w:evenHBand="0" w:firstRowFirstColumn="0" w:firstRowLastColumn="0" w:lastRowFirstColumn="0" w:lastRowLastColumn="0"/>
            <w:tcW w:w="2405" w:type="dxa"/>
            <w:hideMark/>
          </w:tcPr>
          <w:p w14:paraId="021BD1C9" w14:textId="77777777" w:rsidR="002B79D9" w:rsidRPr="00221197" w:rsidRDefault="002B79D9" w:rsidP="002B79D9">
            <w:pPr>
              <w:keepNext/>
              <w:spacing w:after="0" w:line="240" w:lineRule="auto"/>
              <w:rPr>
                <w:rFonts w:eastAsia="Times New Roman" w:cs="Arial"/>
                <w:color w:val="000000"/>
                <w:sz w:val="18"/>
                <w:szCs w:val="18"/>
                <w:lang w:eastAsia="en-AU"/>
              </w:rPr>
            </w:pPr>
            <w:r w:rsidRPr="00221197">
              <w:rPr>
                <w:rFonts w:eastAsia="Times New Roman" w:cs="Arial"/>
                <w:color w:val="000000" w:themeColor="text1"/>
                <w:sz w:val="18"/>
                <w:szCs w:val="18"/>
                <w:lang w:eastAsia="en-AU"/>
              </w:rPr>
              <w:t>Autism </w:t>
            </w:r>
          </w:p>
        </w:tc>
        <w:tc>
          <w:tcPr>
            <w:tcW w:w="1418" w:type="dxa"/>
            <w:hideMark/>
          </w:tcPr>
          <w:p w14:paraId="004BC6D8" w14:textId="77777777" w:rsidR="002B79D9" w:rsidRPr="00221197" w:rsidRDefault="002B79D9" w:rsidP="002B79D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130,800</w:t>
            </w:r>
          </w:p>
        </w:tc>
        <w:tc>
          <w:tcPr>
            <w:tcW w:w="1275" w:type="dxa"/>
            <w:hideMark/>
          </w:tcPr>
          <w:p w14:paraId="7617F022" w14:textId="77777777" w:rsidR="002B79D9" w:rsidRPr="00221197" w:rsidRDefault="002B79D9" w:rsidP="002B79D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140,200</w:t>
            </w:r>
          </w:p>
        </w:tc>
        <w:tc>
          <w:tcPr>
            <w:tcW w:w="1418" w:type="dxa"/>
            <w:hideMark/>
          </w:tcPr>
          <w:p w14:paraId="0F644AE0" w14:textId="77777777" w:rsidR="002B79D9" w:rsidRPr="00221197" w:rsidRDefault="002B79D9" w:rsidP="002B79D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162,000</w:t>
            </w:r>
          </w:p>
        </w:tc>
        <w:tc>
          <w:tcPr>
            <w:tcW w:w="1276" w:type="dxa"/>
            <w:hideMark/>
          </w:tcPr>
          <w:p w14:paraId="159926B4" w14:textId="77777777" w:rsidR="002B79D9" w:rsidRPr="00221197" w:rsidRDefault="002B79D9" w:rsidP="002B79D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186,600</w:t>
            </w:r>
          </w:p>
        </w:tc>
        <w:tc>
          <w:tcPr>
            <w:tcW w:w="1323" w:type="dxa"/>
            <w:hideMark/>
          </w:tcPr>
          <w:p w14:paraId="2F6E8B21" w14:textId="77777777" w:rsidR="002B79D9" w:rsidRPr="00221197" w:rsidRDefault="002B79D9" w:rsidP="002B79D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47,500</w:t>
            </w:r>
          </w:p>
        </w:tc>
      </w:tr>
      <w:tr w:rsidR="002B79D9" w:rsidRPr="00221197" w14:paraId="3A1E242C" w14:textId="77777777" w:rsidTr="002B79D9">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405" w:type="dxa"/>
            <w:hideMark/>
          </w:tcPr>
          <w:p w14:paraId="1F9AAD74" w14:textId="77777777" w:rsidR="002B79D9" w:rsidRPr="00221197" w:rsidRDefault="002B79D9" w:rsidP="002B79D9">
            <w:pPr>
              <w:keepNext/>
              <w:spacing w:after="0" w:line="240" w:lineRule="auto"/>
              <w:rPr>
                <w:rFonts w:eastAsia="Times New Roman" w:cs="Arial"/>
                <w:color w:val="000000"/>
                <w:sz w:val="18"/>
                <w:szCs w:val="18"/>
                <w:lang w:eastAsia="en-AU"/>
              </w:rPr>
            </w:pPr>
            <w:r w:rsidRPr="00221197">
              <w:rPr>
                <w:rFonts w:eastAsia="Times New Roman" w:cs="Arial"/>
                <w:color w:val="000000" w:themeColor="text1"/>
                <w:sz w:val="18"/>
                <w:szCs w:val="18"/>
                <w:lang w:eastAsia="en-AU"/>
              </w:rPr>
              <w:t>Intellectual Disability </w:t>
            </w:r>
          </w:p>
        </w:tc>
        <w:tc>
          <w:tcPr>
            <w:tcW w:w="1418" w:type="dxa"/>
            <w:hideMark/>
          </w:tcPr>
          <w:p w14:paraId="0BFD0DF1"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155,300</w:t>
            </w:r>
          </w:p>
        </w:tc>
        <w:tc>
          <w:tcPr>
            <w:tcW w:w="1275" w:type="dxa"/>
            <w:hideMark/>
          </w:tcPr>
          <w:p w14:paraId="060C7F04"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186,700</w:t>
            </w:r>
          </w:p>
        </w:tc>
        <w:tc>
          <w:tcPr>
            <w:tcW w:w="1418" w:type="dxa"/>
            <w:hideMark/>
          </w:tcPr>
          <w:p w14:paraId="2871733A"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201,700</w:t>
            </w:r>
          </w:p>
        </w:tc>
        <w:tc>
          <w:tcPr>
            <w:tcW w:w="1276" w:type="dxa"/>
            <w:hideMark/>
          </w:tcPr>
          <w:p w14:paraId="235E4972"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222,600</w:t>
            </w:r>
          </w:p>
        </w:tc>
        <w:tc>
          <w:tcPr>
            <w:tcW w:w="1323" w:type="dxa"/>
            <w:hideMark/>
          </w:tcPr>
          <w:p w14:paraId="733457ED"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122,700</w:t>
            </w:r>
          </w:p>
        </w:tc>
      </w:tr>
      <w:tr w:rsidR="002B79D9" w:rsidRPr="00221197" w14:paraId="748C69DF" w14:textId="77777777" w:rsidTr="002B79D9">
        <w:trPr>
          <w:trHeight w:hRule="exact" w:val="301"/>
        </w:trPr>
        <w:tc>
          <w:tcPr>
            <w:cnfStyle w:val="001000000000" w:firstRow="0" w:lastRow="0" w:firstColumn="1" w:lastColumn="0" w:oddVBand="0" w:evenVBand="0" w:oddHBand="0" w:evenHBand="0" w:firstRowFirstColumn="0" w:firstRowLastColumn="0" w:lastRowFirstColumn="0" w:lastRowLastColumn="0"/>
            <w:tcW w:w="2405" w:type="dxa"/>
            <w:hideMark/>
          </w:tcPr>
          <w:p w14:paraId="315E763D" w14:textId="77777777" w:rsidR="002B79D9" w:rsidRPr="00221197" w:rsidRDefault="002B79D9" w:rsidP="002B79D9">
            <w:pPr>
              <w:keepNext/>
              <w:spacing w:after="0" w:line="240" w:lineRule="auto"/>
              <w:rPr>
                <w:rFonts w:eastAsia="Times New Roman" w:cs="Arial"/>
                <w:color w:val="000000"/>
                <w:sz w:val="18"/>
                <w:szCs w:val="18"/>
                <w:lang w:eastAsia="en-AU"/>
              </w:rPr>
            </w:pPr>
            <w:r w:rsidRPr="00221197">
              <w:rPr>
                <w:rFonts w:eastAsia="Times New Roman" w:cs="Arial"/>
                <w:color w:val="000000" w:themeColor="text1"/>
                <w:sz w:val="18"/>
                <w:szCs w:val="18"/>
                <w:lang w:eastAsia="en-AU"/>
              </w:rPr>
              <w:t>Psychosocial Disability </w:t>
            </w:r>
          </w:p>
        </w:tc>
        <w:tc>
          <w:tcPr>
            <w:tcW w:w="1418" w:type="dxa"/>
            <w:hideMark/>
          </w:tcPr>
          <w:p w14:paraId="0FEADC3A" w14:textId="77777777" w:rsidR="002B79D9" w:rsidRPr="00221197" w:rsidRDefault="002B79D9" w:rsidP="002B79D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91,200</w:t>
            </w:r>
          </w:p>
        </w:tc>
        <w:tc>
          <w:tcPr>
            <w:tcW w:w="1275" w:type="dxa"/>
            <w:hideMark/>
          </w:tcPr>
          <w:p w14:paraId="400F5D49" w14:textId="77777777" w:rsidR="002B79D9" w:rsidRPr="00221197" w:rsidRDefault="002B79D9" w:rsidP="002B79D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88,400</w:t>
            </w:r>
          </w:p>
        </w:tc>
        <w:tc>
          <w:tcPr>
            <w:tcW w:w="1418" w:type="dxa"/>
            <w:hideMark/>
          </w:tcPr>
          <w:p w14:paraId="287A868C" w14:textId="77777777" w:rsidR="002B79D9" w:rsidRPr="00221197" w:rsidRDefault="002B79D9" w:rsidP="002B79D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92,800</w:t>
            </w:r>
          </w:p>
        </w:tc>
        <w:tc>
          <w:tcPr>
            <w:tcW w:w="1276" w:type="dxa"/>
            <w:hideMark/>
          </w:tcPr>
          <w:p w14:paraId="7F887834" w14:textId="77777777" w:rsidR="002B79D9" w:rsidRPr="00221197" w:rsidRDefault="002B79D9" w:rsidP="002B79D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103,300</w:t>
            </w:r>
          </w:p>
        </w:tc>
        <w:tc>
          <w:tcPr>
            <w:tcW w:w="1323" w:type="dxa"/>
            <w:hideMark/>
          </w:tcPr>
          <w:p w14:paraId="317870CE" w14:textId="77777777" w:rsidR="002B79D9" w:rsidRPr="00221197" w:rsidRDefault="002B79D9" w:rsidP="002B79D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92,000</w:t>
            </w:r>
          </w:p>
        </w:tc>
      </w:tr>
      <w:tr w:rsidR="002B79D9" w:rsidRPr="00221197" w14:paraId="0B097B42" w14:textId="77777777" w:rsidTr="00F830E6">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dxa"/>
            <w:hideMark/>
          </w:tcPr>
          <w:p w14:paraId="49C68473" w14:textId="77777777" w:rsidR="002B79D9" w:rsidRPr="00221197" w:rsidRDefault="002B79D9" w:rsidP="002B79D9">
            <w:pPr>
              <w:keepNext/>
              <w:spacing w:after="0" w:line="240" w:lineRule="auto"/>
              <w:rPr>
                <w:rFonts w:eastAsia="Times New Roman" w:cs="Arial"/>
                <w:color w:val="000000"/>
                <w:sz w:val="18"/>
                <w:szCs w:val="18"/>
                <w:lang w:eastAsia="en-AU"/>
              </w:rPr>
            </w:pPr>
            <w:r w:rsidRPr="00221197">
              <w:rPr>
                <w:rFonts w:eastAsia="Times New Roman" w:cs="Arial"/>
                <w:color w:val="000000" w:themeColor="text1"/>
                <w:sz w:val="18"/>
                <w:szCs w:val="18"/>
                <w:lang w:eastAsia="en-AU"/>
              </w:rPr>
              <w:t>Developmental Delay </w:t>
            </w:r>
          </w:p>
        </w:tc>
        <w:tc>
          <w:tcPr>
            <w:tcW w:w="0" w:type="dxa"/>
          </w:tcPr>
          <w:p w14:paraId="5FD4141B"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0" w:type="dxa"/>
          </w:tcPr>
          <w:p w14:paraId="661431F6"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0" w:type="dxa"/>
          </w:tcPr>
          <w:p w14:paraId="2FCDA89F"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0" w:type="dxa"/>
            <w:hideMark/>
          </w:tcPr>
          <w:p w14:paraId="7FCAB812"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0" w:type="dxa"/>
            <w:hideMark/>
          </w:tcPr>
          <w:p w14:paraId="1F04825A"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21,500</w:t>
            </w:r>
          </w:p>
        </w:tc>
      </w:tr>
      <w:tr w:rsidR="002B79D9" w:rsidRPr="00221197" w14:paraId="256F797C" w14:textId="77777777" w:rsidTr="002B79D9">
        <w:trPr>
          <w:trHeight w:hRule="exact" w:val="301"/>
        </w:trPr>
        <w:tc>
          <w:tcPr>
            <w:cnfStyle w:val="001000000000" w:firstRow="0" w:lastRow="0" w:firstColumn="1" w:lastColumn="0" w:oddVBand="0" w:evenVBand="0" w:oddHBand="0" w:evenHBand="0" w:firstRowFirstColumn="0" w:firstRowLastColumn="0" w:lastRowFirstColumn="0" w:lastRowLastColumn="0"/>
            <w:tcW w:w="2405" w:type="dxa"/>
            <w:hideMark/>
          </w:tcPr>
          <w:p w14:paraId="05CA4E2C" w14:textId="77777777" w:rsidR="002B79D9" w:rsidRPr="00221197" w:rsidRDefault="002B79D9" w:rsidP="002B79D9">
            <w:pPr>
              <w:keepNext/>
              <w:spacing w:after="0" w:line="240" w:lineRule="auto"/>
              <w:rPr>
                <w:rFonts w:eastAsia="Times New Roman" w:cs="Arial"/>
                <w:color w:val="000000"/>
                <w:sz w:val="18"/>
                <w:szCs w:val="18"/>
                <w:lang w:eastAsia="en-AU"/>
              </w:rPr>
            </w:pPr>
            <w:r w:rsidRPr="00221197">
              <w:rPr>
                <w:rFonts w:eastAsia="Times New Roman" w:cs="Arial"/>
                <w:color w:val="000000" w:themeColor="text1"/>
                <w:sz w:val="18"/>
                <w:szCs w:val="18"/>
                <w:lang w:eastAsia="en-AU"/>
              </w:rPr>
              <w:t>Sensory </w:t>
            </w:r>
          </w:p>
        </w:tc>
        <w:tc>
          <w:tcPr>
            <w:tcW w:w="1418" w:type="dxa"/>
            <w:hideMark/>
          </w:tcPr>
          <w:p w14:paraId="3D25B47E" w14:textId="77777777" w:rsidR="002B79D9" w:rsidRPr="00221197" w:rsidRDefault="002B79D9" w:rsidP="002B79D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35,100</w:t>
            </w:r>
          </w:p>
        </w:tc>
        <w:tc>
          <w:tcPr>
            <w:tcW w:w="1275" w:type="dxa"/>
            <w:hideMark/>
          </w:tcPr>
          <w:p w14:paraId="6A8A1CB0" w14:textId="77777777" w:rsidR="002B79D9" w:rsidRPr="00221197" w:rsidRDefault="002B79D9" w:rsidP="002B79D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36,500</w:t>
            </w:r>
          </w:p>
        </w:tc>
        <w:tc>
          <w:tcPr>
            <w:tcW w:w="1418" w:type="dxa"/>
            <w:hideMark/>
          </w:tcPr>
          <w:p w14:paraId="4F7B80C0" w14:textId="77777777" w:rsidR="002B79D9" w:rsidRPr="00221197" w:rsidRDefault="002B79D9" w:rsidP="002B79D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34,900</w:t>
            </w:r>
          </w:p>
        </w:tc>
        <w:tc>
          <w:tcPr>
            <w:tcW w:w="1276" w:type="dxa"/>
            <w:hideMark/>
          </w:tcPr>
          <w:p w14:paraId="50072668" w14:textId="77777777" w:rsidR="002B79D9" w:rsidRPr="00221197" w:rsidRDefault="002B79D9" w:rsidP="002B79D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36,300</w:t>
            </w:r>
          </w:p>
        </w:tc>
        <w:tc>
          <w:tcPr>
            <w:tcW w:w="1323" w:type="dxa"/>
            <w:hideMark/>
          </w:tcPr>
          <w:p w14:paraId="3D5949C2" w14:textId="77777777" w:rsidR="002B79D9" w:rsidRPr="00221197" w:rsidRDefault="002B79D9" w:rsidP="002B79D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25,600</w:t>
            </w:r>
          </w:p>
        </w:tc>
      </w:tr>
      <w:tr w:rsidR="002B79D9" w:rsidRPr="00221197" w14:paraId="673918AB" w14:textId="77777777" w:rsidTr="002B79D9">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405" w:type="dxa"/>
            <w:tcBorders>
              <w:bottom w:val="single" w:sz="4" w:space="0" w:color="auto"/>
            </w:tcBorders>
            <w:hideMark/>
          </w:tcPr>
          <w:p w14:paraId="40945400" w14:textId="77777777" w:rsidR="002B79D9" w:rsidRPr="00221197" w:rsidRDefault="002B79D9" w:rsidP="002B79D9">
            <w:pPr>
              <w:keepNext/>
              <w:spacing w:after="0" w:line="240" w:lineRule="auto"/>
              <w:rPr>
                <w:rFonts w:eastAsia="Times New Roman" w:cs="Arial"/>
                <w:color w:val="000000"/>
                <w:sz w:val="18"/>
                <w:szCs w:val="18"/>
                <w:lang w:eastAsia="en-AU"/>
              </w:rPr>
            </w:pPr>
            <w:r w:rsidRPr="00221197">
              <w:rPr>
                <w:rFonts w:eastAsia="Times New Roman" w:cs="Arial"/>
                <w:color w:val="000000" w:themeColor="text1"/>
                <w:sz w:val="18"/>
                <w:szCs w:val="18"/>
                <w:lang w:eastAsia="en-AU"/>
              </w:rPr>
              <w:t>Other </w:t>
            </w:r>
          </w:p>
        </w:tc>
        <w:tc>
          <w:tcPr>
            <w:tcW w:w="1418" w:type="dxa"/>
            <w:tcBorders>
              <w:bottom w:val="single" w:sz="4" w:space="0" w:color="auto"/>
            </w:tcBorders>
            <w:hideMark/>
          </w:tcPr>
          <w:p w14:paraId="1567688F"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158,900</w:t>
            </w:r>
          </w:p>
        </w:tc>
        <w:tc>
          <w:tcPr>
            <w:tcW w:w="1275" w:type="dxa"/>
            <w:tcBorders>
              <w:bottom w:val="single" w:sz="4" w:space="0" w:color="auto"/>
            </w:tcBorders>
            <w:hideMark/>
          </w:tcPr>
          <w:p w14:paraId="3B22E049"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156,000</w:t>
            </w:r>
          </w:p>
        </w:tc>
        <w:tc>
          <w:tcPr>
            <w:tcW w:w="1418" w:type="dxa"/>
            <w:tcBorders>
              <w:bottom w:val="single" w:sz="4" w:space="0" w:color="auto"/>
            </w:tcBorders>
            <w:hideMark/>
          </w:tcPr>
          <w:p w14:paraId="44031C0C"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151,100</w:t>
            </w:r>
          </w:p>
        </w:tc>
        <w:tc>
          <w:tcPr>
            <w:tcW w:w="1276" w:type="dxa"/>
            <w:tcBorders>
              <w:bottom w:val="single" w:sz="4" w:space="0" w:color="auto"/>
            </w:tcBorders>
            <w:hideMark/>
          </w:tcPr>
          <w:p w14:paraId="4657D5CB"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149,900</w:t>
            </w:r>
          </w:p>
        </w:tc>
        <w:tc>
          <w:tcPr>
            <w:tcW w:w="1323" w:type="dxa"/>
            <w:tcBorders>
              <w:bottom w:val="single" w:sz="4" w:space="0" w:color="auto"/>
            </w:tcBorders>
            <w:hideMark/>
          </w:tcPr>
          <w:p w14:paraId="32B1B9FE" w14:textId="77777777" w:rsidR="002B79D9" w:rsidRPr="00221197" w:rsidRDefault="002B79D9" w:rsidP="002B79D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21197">
              <w:rPr>
                <w:rFonts w:cs="Arial"/>
                <w:color w:val="000000" w:themeColor="text1"/>
                <w:sz w:val="18"/>
                <w:szCs w:val="18"/>
              </w:rPr>
              <w:t>142,000</w:t>
            </w:r>
          </w:p>
        </w:tc>
      </w:tr>
      <w:tr w:rsidR="002B79D9" w:rsidRPr="00221197" w14:paraId="6E759665" w14:textId="77777777" w:rsidTr="002B79D9">
        <w:trPr>
          <w:trHeight w:hRule="exact" w:val="301"/>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single" w:sz="4" w:space="0" w:color="auto"/>
            </w:tcBorders>
            <w:shd w:val="clear" w:color="auto" w:fill="D4C5D7"/>
            <w:hideMark/>
          </w:tcPr>
          <w:p w14:paraId="14743855" w14:textId="77777777" w:rsidR="002B79D9" w:rsidRPr="00221197" w:rsidRDefault="002B79D9" w:rsidP="002B79D9">
            <w:pPr>
              <w:keepNext/>
              <w:spacing w:after="0" w:line="240" w:lineRule="auto"/>
              <w:rPr>
                <w:rFonts w:eastAsia="Times New Roman" w:cs="Arial"/>
                <w:b/>
                <w:bCs/>
                <w:color w:val="000000"/>
                <w:sz w:val="18"/>
                <w:szCs w:val="18"/>
                <w:lang w:eastAsia="en-AU"/>
              </w:rPr>
            </w:pPr>
            <w:r w:rsidRPr="00221197">
              <w:rPr>
                <w:rFonts w:eastAsia="Times New Roman" w:cs="Arial"/>
                <w:b/>
                <w:color w:val="000000" w:themeColor="text1"/>
                <w:sz w:val="18"/>
                <w:szCs w:val="18"/>
                <w:lang w:eastAsia="en-AU"/>
              </w:rPr>
              <w:t>Total</w:t>
            </w:r>
            <w:r w:rsidRPr="00221197">
              <w:rPr>
                <w:rFonts w:eastAsia="Times New Roman" w:cs="Arial"/>
                <w:color w:val="000000" w:themeColor="text1"/>
                <w:sz w:val="18"/>
                <w:szCs w:val="18"/>
                <w:lang w:eastAsia="en-AU"/>
              </w:rPr>
              <w:t> </w:t>
            </w:r>
          </w:p>
        </w:tc>
        <w:tc>
          <w:tcPr>
            <w:tcW w:w="1418" w:type="dxa"/>
            <w:tcBorders>
              <w:top w:val="single" w:sz="4" w:space="0" w:color="auto"/>
              <w:bottom w:val="single" w:sz="4" w:space="0" w:color="auto"/>
            </w:tcBorders>
            <w:shd w:val="clear" w:color="auto" w:fill="D4C5D7"/>
            <w:hideMark/>
          </w:tcPr>
          <w:p w14:paraId="49A1D10C" w14:textId="77777777" w:rsidR="002B79D9" w:rsidRPr="00221197" w:rsidRDefault="002B79D9" w:rsidP="002B79D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21197">
              <w:rPr>
                <w:rFonts w:cs="Arial"/>
                <w:b/>
                <w:color w:val="000000" w:themeColor="text1"/>
                <w:sz w:val="18"/>
                <w:szCs w:val="18"/>
              </w:rPr>
              <w:t>126,200</w:t>
            </w:r>
          </w:p>
        </w:tc>
        <w:tc>
          <w:tcPr>
            <w:tcW w:w="1275" w:type="dxa"/>
            <w:tcBorders>
              <w:top w:val="single" w:sz="4" w:space="0" w:color="auto"/>
              <w:bottom w:val="single" w:sz="4" w:space="0" w:color="auto"/>
            </w:tcBorders>
            <w:shd w:val="clear" w:color="auto" w:fill="D4C5D7"/>
            <w:hideMark/>
          </w:tcPr>
          <w:p w14:paraId="5FDD8DBA" w14:textId="77777777" w:rsidR="002B79D9" w:rsidRPr="00221197" w:rsidRDefault="002B79D9" w:rsidP="002B79D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21197">
              <w:rPr>
                <w:rFonts w:cs="Arial"/>
                <w:b/>
                <w:color w:val="000000" w:themeColor="text1"/>
                <w:sz w:val="18"/>
                <w:szCs w:val="18"/>
              </w:rPr>
              <w:t>130,500</w:t>
            </w:r>
          </w:p>
        </w:tc>
        <w:tc>
          <w:tcPr>
            <w:tcW w:w="1418" w:type="dxa"/>
            <w:tcBorders>
              <w:top w:val="single" w:sz="4" w:space="0" w:color="auto"/>
              <w:bottom w:val="single" w:sz="4" w:space="0" w:color="auto"/>
            </w:tcBorders>
            <w:shd w:val="clear" w:color="auto" w:fill="D4C5D7"/>
            <w:hideMark/>
          </w:tcPr>
          <w:p w14:paraId="519306A4" w14:textId="77777777" w:rsidR="002B79D9" w:rsidRPr="00221197" w:rsidRDefault="002B79D9" w:rsidP="002B79D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21197">
              <w:rPr>
                <w:rFonts w:cs="Arial"/>
                <w:b/>
                <w:color w:val="000000" w:themeColor="text1"/>
                <w:sz w:val="18"/>
                <w:szCs w:val="18"/>
              </w:rPr>
              <w:t>133,900</w:t>
            </w:r>
          </w:p>
        </w:tc>
        <w:tc>
          <w:tcPr>
            <w:tcW w:w="1276" w:type="dxa"/>
            <w:tcBorders>
              <w:top w:val="single" w:sz="4" w:space="0" w:color="auto"/>
              <w:bottom w:val="single" w:sz="4" w:space="0" w:color="auto"/>
            </w:tcBorders>
            <w:shd w:val="clear" w:color="auto" w:fill="D4C5D7"/>
            <w:hideMark/>
          </w:tcPr>
          <w:p w14:paraId="107294E7" w14:textId="77777777" w:rsidR="002B79D9" w:rsidRPr="00221197" w:rsidRDefault="002B79D9" w:rsidP="002B79D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21197">
              <w:rPr>
                <w:rFonts w:cs="Arial"/>
                <w:b/>
                <w:color w:val="000000" w:themeColor="text1"/>
                <w:sz w:val="18"/>
                <w:szCs w:val="18"/>
              </w:rPr>
              <w:t>140,000</w:t>
            </w:r>
          </w:p>
        </w:tc>
        <w:tc>
          <w:tcPr>
            <w:tcW w:w="1323" w:type="dxa"/>
            <w:tcBorders>
              <w:top w:val="single" w:sz="4" w:space="0" w:color="auto"/>
              <w:bottom w:val="single" w:sz="4" w:space="0" w:color="auto"/>
            </w:tcBorders>
            <w:shd w:val="clear" w:color="auto" w:fill="D4C5D7"/>
            <w:hideMark/>
          </w:tcPr>
          <w:p w14:paraId="16C714CC" w14:textId="77777777" w:rsidR="002B79D9" w:rsidRPr="00221197" w:rsidRDefault="002B79D9" w:rsidP="002B79D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21197">
              <w:rPr>
                <w:rFonts w:cs="Arial"/>
                <w:b/>
                <w:color w:val="000000" w:themeColor="text1"/>
                <w:sz w:val="18"/>
                <w:szCs w:val="18"/>
              </w:rPr>
              <w:t>79,300</w:t>
            </w:r>
          </w:p>
        </w:tc>
      </w:tr>
    </w:tbl>
    <w:p w14:paraId="30179B0D" w14:textId="77777777" w:rsidR="00DB7181" w:rsidRPr="0000327C" w:rsidRDefault="00D9305B" w:rsidP="00DB7181">
      <w:pPr>
        <w:pStyle w:val="FSRnormal"/>
        <w:rPr>
          <w:rFonts w:eastAsia="Times New Roman" w:cs="Arial"/>
          <w:lang w:eastAsia="en-AU"/>
        </w:rPr>
      </w:pPr>
      <w:r w:rsidRPr="002259DA">
        <w:t xml:space="preserve">Table </w:t>
      </w:r>
      <w:r>
        <w:rPr>
          <w:noProof/>
        </w:rPr>
        <w:t>5.</w:t>
      </w:r>
      <w:r w:rsidR="006D5A4C">
        <w:rPr>
          <w:noProof/>
        </w:rPr>
        <w:t>9</w:t>
      </w:r>
      <w:r w:rsidR="00DB7181" w:rsidRPr="00221197">
        <w:rPr>
          <w:rFonts w:eastAsia="Times New Roman" w:cs="Arial"/>
          <w:lang w:eastAsia="en-AU"/>
        </w:rPr>
        <w:t xml:space="preserve"> </w:t>
      </w:r>
      <w:r w:rsidR="00DB7181" w:rsidRPr="75E88BCB">
        <w:rPr>
          <w:rFonts w:eastAsia="Times New Roman" w:cs="Arial"/>
          <w:lang w:eastAsia="en-AU"/>
        </w:rPr>
        <w:t>displays the projected average annual</w:t>
      </w:r>
      <w:r w:rsidR="006D5A4C">
        <w:rPr>
          <w:rFonts w:eastAsia="Times New Roman" w:cs="Arial"/>
          <w:lang w:eastAsia="en-AU"/>
        </w:rPr>
        <w:t>ised</w:t>
      </w:r>
      <w:r w:rsidR="00DB7181" w:rsidRPr="75E88BCB">
        <w:rPr>
          <w:rFonts w:eastAsia="Times New Roman" w:cs="Arial"/>
          <w:lang w:eastAsia="en-AU"/>
        </w:rPr>
        <w:t xml:space="preserve"> plan budgets (in 2022-23 dollars) by grouped disability and age band for the 2022-23 financial year.</w:t>
      </w:r>
    </w:p>
    <w:p w14:paraId="14A40D07" w14:textId="77777777" w:rsidR="00DB7181" w:rsidRPr="00A70E69" w:rsidRDefault="00DB7181" w:rsidP="00D9305B">
      <w:pPr>
        <w:pStyle w:val="FSRlist"/>
        <w:rPr>
          <w:lang w:eastAsia="en-AU"/>
        </w:rPr>
      </w:pPr>
      <w:r w:rsidRPr="12B0989B">
        <w:rPr>
          <w:lang w:eastAsia="en-AU"/>
        </w:rPr>
        <w:t>Plan</w:t>
      </w:r>
      <w:r w:rsidRPr="75E88BCB">
        <w:rPr>
          <w:lang w:eastAsia="en-AU"/>
        </w:rPr>
        <w:t xml:space="preserve"> budgets are expected to generally increase with age. </w:t>
      </w:r>
      <w:r w:rsidR="00D9305B" w:rsidRPr="00D9305B">
        <w:rPr>
          <w:lang w:eastAsia="en-AU"/>
        </w:rPr>
        <w:t xml:space="preserve">At </w:t>
      </w:r>
      <w:r w:rsidR="003A1F0A">
        <w:rPr>
          <w:lang w:eastAsia="en-AU"/>
        </w:rPr>
        <w:t>S</w:t>
      </w:r>
      <w:r w:rsidR="00D9305B" w:rsidRPr="00D9305B">
        <w:rPr>
          <w:lang w:eastAsia="en-AU"/>
        </w:rPr>
        <w:t>cheme</w:t>
      </w:r>
      <w:r w:rsidR="003A1F0A">
        <w:rPr>
          <w:lang w:eastAsia="en-AU"/>
        </w:rPr>
        <w:t xml:space="preserve"> </w:t>
      </w:r>
      <w:r w:rsidR="00D9305B" w:rsidRPr="00D9305B">
        <w:rPr>
          <w:lang w:eastAsia="en-AU"/>
        </w:rPr>
        <w:t>level</w:t>
      </w:r>
      <w:r w:rsidR="003A1F0A">
        <w:rPr>
          <w:lang w:eastAsia="en-AU"/>
        </w:rPr>
        <w:t>,</w:t>
      </w:r>
      <w:r w:rsidR="00D9305B" w:rsidRPr="00D9305B">
        <w:rPr>
          <w:lang w:eastAsia="en-AU"/>
        </w:rPr>
        <w:t xml:space="preserve"> plan budgets are expected to be about $26</w:t>
      </w:r>
      <w:r w:rsidR="00E85BBB">
        <w:rPr>
          <w:lang w:eastAsia="en-AU"/>
        </w:rPr>
        <w:t>,</w:t>
      </w:r>
      <w:r w:rsidR="00D9305B" w:rsidRPr="00D9305B">
        <w:rPr>
          <w:lang w:eastAsia="en-AU"/>
        </w:rPr>
        <w:t>500 for participants aged 0 to 6 years, about $121,500 for participants aged 25 to 34 years; and about $140,000 for participants over 65 years of age</w:t>
      </w:r>
      <w:r w:rsidR="00D9305B">
        <w:rPr>
          <w:lang w:eastAsia="en-AU"/>
        </w:rPr>
        <w:t>.</w:t>
      </w:r>
      <w:r w:rsidR="00D9305B" w:rsidRPr="00D9305B">
        <w:rPr>
          <w:lang w:eastAsia="en-AU"/>
        </w:rPr>
        <w:t xml:space="preserve">  </w:t>
      </w:r>
    </w:p>
    <w:p w14:paraId="74948E12" w14:textId="77777777" w:rsidR="00DB7181" w:rsidRPr="003556E2" w:rsidRDefault="00DB7181" w:rsidP="00221197">
      <w:pPr>
        <w:pStyle w:val="FSRlist"/>
        <w:rPr>
          <w:lang w:eastAsia="en-AU"/>
        </w:rPr>
      </w:pPr>
      <w:r w:rsidRPr="75E88BCB">
        <w:rPr>
          <w:lang w:eastAsia="en-AU"/>
        </w:rPr>
        <w:t>Children have lower average annualised plan budgets than adults, reflecting a higher proportion of early intervention participants, l</w:t>
      </w:r>
      <w:r w:rsidR="00E753F3">
        <w:rPr>
          <w:lang w:eastAsia="en-AU"/>
        </w:rPr>
        <w:t>ower</w:t>
      </w:r>
      <w:r w:rsidRPr="75E88BCB">
        <w:rPr>
          <w:lang w:eastAsia="en-AU"/>
        </w:rPr>
        <w:t xml:space="preserve"> usage of SIL arrangements and more informal supports, primarily provided by parents. </w:t>
      </w:r>
    </w:p>
    <w:p w14:paraId="021B4227" w14:textId="77777777" w:rsidR="00DB7181" w:rsidRDefault="00DB7181" w:rsidP="00221197">
      <w:pPr>
        <w:pStyle w:val="FSRlist"/>
        <w:rPr>
          <w:lang w:eastAsia="en-AU"/>
        </w:rPr>
      </w:pPr>
      <w:r w:rsidRPr="00AF5328">
        <w:rPr>
          <w:lang w:eastAsia="en-AU"/>
        </w:rPr>
        <w:t>Participants with intellectual d</w:t>
      </w:r>
      <w:r>
        <w:rPr>
          <w:lang w:eastAsia="en-AU"/>
        </w:rPr>
        <w:t>isability and other disabilities</w:t>
      </w:r>
      <w:r>
        <w:rPr>
          <w:rStyle w:val="FootnoteReference"/>
          <w:rFonts w:eastAsia="Times New Roman" w:cs="Arial"/>
          <w:lang w:eastAsia="en-AU"/>
        </w:rPr>
        <w:footnoteReference w:id="87"/>
      </w:r>
      <w:r w:rsidRPr="00AF5328">
        <w:rPr>
          <w:lang w:eastAsia="en-AU"/>
        </w:rPr>
        <w:t xml:space="preserve"> have the largest average </w:t>
      </w:r>
      <w:r>
        <w:rPr>
          <w:lang w:eastAsia="en-AU"/>
        </w:rPr>
        <w:t>plan budgets</w:t>
      </w:r>
      <w:r w:rsidRPr="00AF5328">
        <w:rPr>
          <w:lang w:eastAsia="en-AU"/>
        </w:rPr>
        <w:t>. </w:t>
      </w:r>
    </w:p>
    <w:p w14:paraId="6AC57E26" w14:textId="77777777" w:rsidR="00DB7181" w:rsidRPr="006D1105" w:rsidRDefault="00DB7181" w:rsidP="00221197">
      <w:pPr>
        <w:pStyle w:val="FSRlist"/>
        <w:rPr>
          <w:lang w:eastAsia="en-AU"/>
        </w:rPr>
      </w:pPr>
      <w:r w:rsidRPr="00AF5328">
        <w:rPr>
          <w:lang w:eastAsia="en-AU"/>
        </w:rPr>
        <w:t>Participants with sensory disabilitie</w:t>
      </w:r>
      <w:r>
        <w:rPr>
          <w:lang w:eastAsia="en-AU"/>
        </w:rPr>
        <w:t>s</w:t>
      </w:r>
      <w:r>
        <w:rPr>
          <w:rStyle w:val="FootnoteReference"/>
          <w:rFonts w:eastAsia="Times New Roman" w:cs="Arial"/>
          <w:lang w:eastAsia="en-AU"/>
        </w:rPr>
        <w:footnoteReference w:id="88"/>
      </w:r>
      <w:r>
        <w:rPr>
          <w:lang w:eastAsia="en-AU"/>
        </w:rPr>
        <w:t xml:space="preserve"> </w:t>
      </w:r>
      <w:r w:rsidRPr="00AF5328">
        <w:rPr>
          <w:lang w:eastAsia="en-AU"/>
        </w:rPr>
        <w:t xml:space="preserve">and developmental delay have the lowest average </w:t>
      </w:r>
      <w:r>
        <w:rPr>
          <w:lang w:eastAsia="en-AU"/>
        </w:rPr>
        <w:t>plan budgets</w:t>
      </w:r>
      <w:r w:rsidRPr="00AF5328">
        <w:rPr>
          <w:lang w:eastAsia="en-AU"/>
        </w:rPr>
        <w:t>. </w:t>
      </w:r>
    </w:p>
    <w:p w14:paraId="3585698D" w14:textId="77777777" w:rsidR="00DB7181" w:rsidRPr="00984AB7" w:rsidRDefault="00DB7181" w:rsidP="00DB7181">
      <w:pPr>
        <w:pStyle w:val="FSRHeading4"/>
      </w:pPr>
      <w:r w:rsidRPr="00984AB7">
        <w:lastRenderedPageBreak/>
        <w:t>Projected Utilisation</w:t>
      </w:r>
    </w:p>
    <w:p w14:paraId="5A2F066F" w14:textId="77777777" w:rsidR="00DB7181" w:rsidRDefault="00E753F3" w:rsidP="00DB7181">
      <w:pPr>
        <w:pStyle w:val="FSRnormal"/>
        <w:rPr>
          <w:rFonts w:eastAsia="Times New Roman" w:cs="Arial"/>
          <w:lang w:eastAsia="en-AU"/>
        </w:rPr>
      </w:pPr>
      <w:r>
        <w:rPr>
          <w:rFonts w:eastAsia="Times New Roman" w:cs="Arial"/>
          <w:lang w:eastAsia="en-AU"/>
        </w:rPr>
        <w:t>Figure 5.1</w:t>
      </w:r>
      <w:r w:rsidR="00DB7181" w:rsidRPr="00E726CB">
        <w:rPr>
          <w:rFonts w:eastAsia="Times New Roman" w:cs="Arial"/>
          <w:lang w:eastAsia="en-AU"/>
        </w:rPr>
        <w:t xml:space="preserve"> shows Scheme expenses as a proportion of total plan budgets historically and for the first four years of the projection period, as well as the Scheme utilisation rate for each year. </w:t>
      </w:r>
    </w:p>
    <w:p w14:paraId="5916C3B6" w14:textId="77777777" w:rsidR="00DB7181" w:rsidRPr="002259DA" w:rsidRDefault="002259DA">
      <w:pPr>
        <w:pStyle w:val="Figures"/>
      </w:pPr>
      <w:r w:rsidRPr="00164A79">
        <w:t xml:space="preserve">Figure </w:t>
      </w:r>
      <w:fldSimple w:instr=" STYLEREF 2 \s ">
        <w:r w:rsidR="00447AA1">
          <w:rPr>
            <w:noProof/>
          </w:rPr>
          <w:t>5</w:t>
        </w:r>
      </w:fldSimple>
      <w:r w:rsidR="00447AA1">
        <w:t>.</w:t>
      </w:r>
      <w:fldSimple w:instr=" SEQ Figure \* ARABIC \s 2 ">
        <w:r w:rsidR="00447AA1">
          <w:rPr>
            <w:noProof/>
          </w:rPr>
          <w:t>1</w:t>
        </w:r>
      </w:fldSimple>
      <w:r w:rsidR="00DB7181" w:rsidRPr="002259DA">
        <w:t>: Utilisation rate over time</w:t>
      </w:r>
    </w:p>
    <w:p w14:paraId="595F12D4" w14:textId="77777777" w:rsidR="00DB7181" w:rsidRPr="00E726CB" w:rsidRDefault="0056340E" w:rsidP="00DB7181">
      <w:pPr>
        <w:pStyle w:val="FSRnormal"/>
        <w:rPr>
          <w:rFonts w:eastAsia="Times New Roman" w:cs="Arial"/>
          <w:lang w:eastAsia="en-AU"/>
        </w:rPr>
      </w:pPr>
      <w:r>
        <w:rPr>
          <w:rFonts w:eastAsia="Times New Roman" w:cs="Arial"/>
          <w:noProof/>
          <w:lang w:eastAsia="en-AU"/>
        </w:rPr>
        <w:drawing>
          <wp:inline distT="0" distB="0" distL="0" distR="0" wp14:anchorId="5703BE6A" wp14:editId="45ACDD8C">
            <wp:extent cx="5724000" cy="3204026"/>
            <wp:effectExtent l="0" t="0" r="0" b="0"/>
            <wp:docPr id="259" name="Picture 259" descr="The chart shows the total historical and projected Scheme payments and unutilised plan budgets, and the resulting utilisation. &#10;For 2017-18 and prior, total payments are $8.8b and total unutilised plan budgets are $3.8b, resulting in a utilisation rate of 69.8%.&#10;For 2018-19, total payments are $10.4b and total unutilised plan budgets are $4.2b, resulting in a utilisation rate of 71.2%.&#10;For 2019-20, total payments are $17.3b and total unutilised plan budgets are $7.1b, resulting in a utilisation rate of 70.9%.&#10;For 2020-21, total payments are $23.5b and total unutilised plan budgets are $8.9b, resulting in a utilisation rate of 72.6%.&#10;For 2021-22, total payments are $28.2b and total unutilised plan budgets are $8.5b, resulting in a utilisation rate of 76.8%.&#10;For 2022-23, projected total payments are $34.0b and projected total unutilised plan budgets are $10.7b, resulting in a projected utilisation rate of 76.1%.&#10;For 2023-24, projected total payments are $38.1b and projected total unutilised plan budgets are $12.4b, resulting in a projected utilisation rate of 75.4%.&#10;For 2024-25, projected total payments are $44.1b and projected total unutilised plan budgets are $13.5b, resulting in a projected utilisation rate of 76.6%.&#10;For 2025-26, projected total payments are $50.3b and projected total unutilised plan budgets are $14.7b, resulting in a projected utilisation rate of 77.4%." title="Figure 5.1: Utilisation rate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24000" cy="3204026"/>
                    </a:xfrm>
                    <a:prstGeom prst="rect">
                      <a:avLst/>
                    </a:prstGeom>
                    <a:noFill/>
                  </pic:spPr>
                </pic:pic>
              </a:graphicData>
            </a:graphic>
          </wp:inline>
        </w:drawing>
      </w:r>
    </w:p>
    <w:p w14:paraId="2F623691" w14:textId="77777777" w:rsidR="00DB7181" w:rsidRDefault="00DB7181" w:rsidP="00DB7181">
      <w:pPr>
        <w:pStyle w:val="FSRnormal"/>
      </w:pPr>
      <w:r>
        <w:t>The overall utilisation rate was close to 70% until 2019-20, although experience varied significantly across different participant cohort</w:t>
      </w:r>
      <w:r w:rsidR="00967CAD">
        <w:t>s</w:t>
      </w:r>
      <w:r>
        <w:t xml:space="preserve">. In 2020-21 the utilisation rate increased to 72.6%. </w:t>
      </w:r>
    </w:p>
    <w:p w14:paraId="65D43390" w14:textId="77777777" w:rsidR="00DB7181" w:rsidRDefault="00DB7181" w:rsidP="00DB7181">
      <w:pPr>
        <w:pStyle w:val="FSRnormal"/>
      </w:pPr>
      <w:r>
        <w:t>Utilisation was higher again in 2021-22 at 76.8%.</w:t>
      </w:r>
      <w:r w:rsidRPr="2F45504E">
        <w:rPr>
          <w:rStyle w:val="FootnoteReference"/>
        </w:rPr>
        <w:footnoteReference w:id="89"/>
      </w:r>
      <w:r>
        <w:t xml:space="preserve"> </w:t>
      </w:r>
      <w:r w:rsidR="00E37E24">
        <w:t xml:space="preserve">One contributor to this was plans </w:t>
      </w:r>
      <w:r>
        <w:t xml:space="preserve">not </w:t>
      </w:r>
      <w:r w:rsidR="00E37E24">
        <w:t xml:space="preserve">having been </w:t>
      </w:r>
      <w:r>
        <w:t>indexed in July 2021 when the changes to price limits from the 202</w:t>
      </w:r>
      <w:r w:rsidR="00804E54">
        <w:t>0</w:t>
      </w:r>
      <w:r>
        <w:t>-2</w:t>
      </w:r>
      <w:r w:rsidR="00804E54">
        <w:t>1</w:t>
      </w:r>
      <w:r>
        <w:t xml:space="preserve"> Annual Pricing Review came into effect. This led to an </w:t>
      </w:r>
      <w:r w:rsidR="00E37E24">
        <w:t xml:space="preserve">estimated </w:t>
      </w:r>
      <w:r>
        <w:t xml:space="preserve">increase in utilisation of approximately 1% - 1.5%. </w:t>
      </w:r>
    </w:p>
    <w:p w14:paraId="18CB01D1" w14:textId="77777777" w:rsidR="00DB7181" w:rsidRDefault="00DB7181" w:rsidP="00DB7181">
      <w:pPr>
        <w:pStyle w:val="FSRnormal"/>
      </w:pPr>
      <w:r>
        <w:t xml:space="preserve">Projected utilisation for 2022-23 </w:t>
      </w:r>
      <w:r w:rsidR="00E37E24">
        <w:t xml:space="preserve">and 2023-24 </w:t>
      </w:r>
      <w:r>
        <w:t xml:space="preserve">is </w:t>
      </w:r>
      <w:r w:rsidR="00E37E24">
        <w:t xml:space="preserve">expected to reduce slightly, due to ongoing </w:t>
      </w:r>
      <w:r>
        <w:t xml:space="preserve">workforce shortages in the disability sector, </w:t>
      </w:r>
      <w:r w:rsidR="00E37E24">
        <w:t xml:space="preserve">meaning </w:t>
      </w:r>
      <w:r>
        <w:t xml:space="preserve">it is unlikely that participants will be able to utilise more of the supports in their plans than has recently been observed. </w:t>
      </w:r>
    </w:p>
    <w:p w14:paraId="3F1174FC" w14:textId="77777777" w:rsidR="00DB7181" w:rsidRDefault="00DB7181" w:rsidP="00DB7181">
      <w:pPr>
        <w:pStyle w:val="FSRnormal"/>
      </w:pPr>
      <w:r>
        <w:t>In 2024-25</w:t>
      </w:r>
      <w:r w:rsidR="00E37E24">
        <w:t xml:space="preserve"> and 2025-26</w:t>
      </w:r>
      <w:r>
        <w:t xml:space="preserve">, when workforce shortages and other COVID-19 related impacts are expected to subside, participants </w:t>
      </w:r>
      <w:r w:rsidR="00E37E24">
        <w:t xml:space="preserve">are expected to </w:t>
      </w:r>
      <w:r>
        <w:t>utilise more of their plans</w:t>
      </w:r>
      <w:r w:rsidR="00E37E24">
        <w:t xml:space="preserve">, leading to a </w:t>
      </w:r>
      <w:r>
        <w:t xml:space="preserve">projected utilisation rate </w:t>
      </w:r>
      <w:r w:rsidR="00E37E24">
        <w:t xml:space="preserve">of </w:t>
      </w:r>
      <w:r>
        <w:t xml:space="preserve">76.6% </w:t>
      </w:r>
      <w:r w:rsidR="008F74E1">
        <w:t xml:space="preserve">in 2024-25 </w:t>
      </w:r>
      <w:r>
        <w:t xml:space="preserve">and </w:t>
      </w:r>
      <w:r w:rsidR="00E37E24">
        <w:t xml:space="preserve">of </w:t>
      </w:r>
      <w:r>
        <w:t xml:space="preserve">77.4% </w:t>
      </w:r>
      <w:r w:rsidR="008F74E1">
        <w:t>in 2025-26.</w:t>
      </w:r>
    </w:p>
    <w:p w14:paraId="1BC1BB05" w14:textId="77777777" w:rsidR="00BF7697" w:rsidRPr="00861678" w:rsidRDefault="00BF7697" w:rsidP="00C53CDC">
      <w:pPr>
        <w:pStyle w:val="Heading3"/>
        <w:keepNext/>
        <w:keepLines/>
        <w:ind w:left="792" w:hanging="792"/>
      </w:pPr>
      <w:bookmarkStart w:id="172" w:name="_Toc114844699"/>
      <w:bookmarkStart w:id="173" w:name="_Toc118460203"/>
      <w:bookmarkEnd w:id="172"/>
      <w:r w:rsidRPr="00861678">
        <w:lastRenderedPageBreak/>
        <w:t>Participant projections</w:t>
      </w:r>
      <w:bookmarkEnd w:id="169"/>
      <w:bookmarkEnd w:id="173"/>
    </w:p>
    <w:p w14:paraId="72306FA0" w14:textId="77777777" w:rsidR="006806BF" w:rsidRPr="000368A8" w:rsidRDefault="006806BF" w:rsidP="006806BF">
      <w:pPr>
        <w:pStyle w:val="FSRnormal"/>
        <w:keepNext/>
        <w:keepLines/>
        <w:rPr>
          <w:bCs/>
          <w:szCs w:val="18"/>
          <w:highlight w:val="yellow"/>
          <w:lang w:eastAsia="en-US"/>
        </w:rPr>
      </w:pPr>
      <w:bookmarkStart w:id="174" w:name="_Ref75966917"/>
      <w:bookmarkStart w:id="175" w:name="_Ref80283024"/>
      <w:r w:rsidRPr="000969DE">
        <w:t xml:space="preserve">The current projections indicate </w:t>
      </w:r>
      <w:r>
        <w:t>a higher rate of growth</w:t>
      </w:r>
      <w:r w:rsidRPr="000969DE">
        <w:t xml:space="preserve"> in projected participant numbers, compared to the previous </w:t>
      </w:r>
      <w:r>
        <w:t xml:space="preserve">review </w:t>
      </w:r>
      <w:r w:rsidRPr="000969DE">
        <w:t>(</w:t>
      </w:r>
      <w:r w:rsidR="00221197" w:rsidRPr="00164A79">
        <w:t xml:space="preserve">Figure </w:t>
      </w:r>
      <w:r w:rsidR="00221197">
        <w:rPr>
          <w:noProof/>
        </w:rPr>
        <w:t>5</w:t>
      </w:r>
      <w:r w:rsidR="00221197">
        <w:t>.</w:t>
      </w:r>
      <w:r w:rsidR="00221197">
        <w:rPr>
          <w:noProof/>
        </w:rPr>
        <w:t>2</w:t>
      </w:r>
      <w:r w:rsidRPr="00B32776">
        <w:t xml:space="preserve">). This is </w:t>
      </w:r>
      <w:r w:rsidRPr="00B32776">
        <w:rPr>
          <w:rFonts w:cs="Arial"/>
        </w:rPr>
        <w:t>primarily</w:t>
      </w:r>
      <w:r w:rsidRPr="000D68B9">
        <w:rPr>
          <w:rFonts w:cs="Arial"/>
        </w:rPr>
        <w:t xml:space="preserve"> driven by higher new incidence assumptions</w:t>
      </w:r>
      <w:r>
        <w:rPr>
          <w:rFonts w:cs="Arial"/>
        </w:rPr>
        <w:t xml:space="preserve"> and overall lower rate of assumptions for participant leaving the Scheme</w:t>
      </w:r>
      <w:r w:rsidRPr="000D68B9">
        <w:rPr>
          <w:rFonts w:cs="Arial"/>
        </w:rPr>
        <w:t>.</w:t>
      </w:r>
    </w:p>
    <w:p w14:paraId="473751E6" w14:textId="77777777" w:rsidR="00BF7697" w:rsidRPr="00D600D1" w:rsidRDefault="00BF7697" w:rsidP="00BF7697">
      <w:pPr>
        <w:pStyle w:val="Figures"/>
      </w:pPr>
      <w:bookmarkStart w:id="176" w:name="_Ref110522844"/>
      <w:bookmarkStart w:id="177" w:name="_Ref113277992"/>
      <w:bookmarkStart w:id="178" w:name="_Ref111897095"/>
      <w:r w:rsidRPr="00164A79">
        <w:t xml:space="preserve">Figure </w:t>
      </w:r>
      <w:bookmarkEnd w:id="174"/>
      <w:bookmarkEnd w:id="175"/>
      <w:bookmarkEnd w:id="176"/>
      <w:r w:rsidR="00447AA1">
        <w:fldChar w:fldCharType="begin"/>
      </w:r>
      <w:r w:rsidR="00447AA1">
        <w:instrText xml:space="preserve"> STYLEREF 2 \s </w:instrText>
      </w:r>
      <w:r w:rsidR="00447AA1">
        <w:fldChar w:fldCharType="separate"/>
      </w:r>
      <w:r w:rsidR="00447AA1">
        <w:rPr>
          <w:noProof/>
        </w:rPr>
        <w:t>5</w:t>
      </w:r>
      <w:r w:rsidR="00447AA1">
        <w:fldChar w:fldCharType="end"/>
      </w:r>
      <w:r w:rsidR="00447AA1">
        <w:t>.</w:t>
      </w:r>
      <w:fldSimple w:instr=" SEQ Figure \* ARABIC \s 2 ">
        <w:r w:rsidR="00447AA1">
          <w:rPr>
            <w:noProof/>
          </w:rPr>
          <w:t>2</w:t>
        </w:r>
      </w:fldSimple>
      <w:bookmarkEnd w:id="177"/>
      <w:bookmarkEnd w:id="178"/>
      <w:r w:rsidRPr="00164A79">
        <w:t>: Projected participant numbers (all ages)</w:t>
      </w:r>
    </w:p>
    <w:p w14:paraId="304DB94D" w14:textId="77777777" w:rsidR="00BF7697" w:rsidRPr="00546077" w:rsidRDefault="003116A8" w:rsidP="00BF7697">
      <w:pPr>
        <w:pStyle w:val="FSRnormal"/>
      </w:pPr>
      <w:r>
        <w:rPr>
          <w:noProof/>
          <w:lang w:eastAsia="en-AU"/>
        </w:rPr>
        <w:drawing>
          <wp:inline distT="0" distB="0" distL="0" distR="0" wp14:anchorId="13BC1310" wp14:editId="31340011">
            <wp:extent cx="5724525" cy="2969260"/>
            <wp:effectExtent l="0" t="0" r="9525" b="2540"/>
            <wp:docPr id="59" name="Picture 59" descr="The graph shows the trend of participant numbers comparing 2021-22 AFSR with 2020-21 AFSR from 30 June 2018 to 30 June 2032. It shows that:&#10;Actual numbers are 172,333 as at 30 June 2018; 286,015 as at 30 June 2019; 391,999 as at 30 June 2020; 466,619 as at 30 June 2021; 534,655 as at 30 June 2022; &#10;Projected numbers based on 2021-22 AFSR are 741,077 as at 30 June 2026; 1,017,522 as at 30 June 2032;&#10;Projected numbers based on 2020-21 AFSR are 709,645 as at 30 June 2026; 931,591 as at 30 June 2032." title="Figure 5.2: Comparison of participant numbers to previous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24525" cy="2969260"/>
                    </a:xfrm>
                    <a:prstGeom prst="rect">
                      <a:avLst/>
                    </a:prstGeom>
                    <a:noFill/>
                  </pic:spPr>
                </pic:pic>
              </a:graphicData>
            </a:graphic>
          </wp:inline>
        </w:drawing>
      </w:r>
    </w:p>
    <w:p w14:paraId="30CA8329" w14:textId="77777777" w:rsidR="00BF7697" w:rsidRPr="006245B5" w:rsidRDefault="00BF7697" w:rsidP="00D72D94">
      <w:pPr>
        <w:pStyle w:val="FSRHeading4"/>
      </w:pPr>
      <w:r w:rsidRPr="006245B5">
        <w:t xml:space="preserve">New </w:t>
      </w:r>
      <w:r w:rsidR="00A35D4D">
        <w:t>entrants</w:t>
      </w:r>
    </w:p>
    <w:p w14:paraId="64167A9C" w14:textId="77777777" w:rsidR="00BF7697" w:rsidRPr="00860FF4" w:rsidRDefault="00BF7697" w:rsidP="00C53CDC">
      <w:pPr>
        <w:pStyle w:val="FSRnormal"/>
        <w:rPr>
          <w:rFonts w:asciiTheme="minorHAnsi" w:hAnsiTheme="minorHAnsi"/>
          <w:b/>
          <w:bCs/>
          <w:szCs w:val="22"/>
        </w:rPr>
      </w:pPr>
      <w:r w:rsidRPr="00860FF4">
        <w:rPr>
          <w:rFonts w:eastAsia="Arial" w:cs="Arial"/>
        </w:rPr>
        <w:t xml:space="preserve">The approach to modelling new </w:t>
      </w:r>
      <w:r w:rsidR="00A35D4D">
        <w:rPr>
          <w:rFonts w:eastAsia="Arial" w:cs="Arial"/>
        </w:rPr>
        <w:t xml:space="preserve">entrants </w:t>
      </w:r>
      <w:r w:rsidRPr="00860FF4">
        <w:rPr>
          <w:rFonts w:eastAsia="Arial" w:cs="Arial"/>
        </w:rPr>
        <w:t xml:space="preserve">has evolved over time in response to the emerging experience and available </w:t>
      </w:r>
      <w:r w:rsidR="006669B6" w:rsidRPr="00860FF4">
        <w:rPr>
          <w:rFonts w:eastAsia="Arial" w:cs="Arial"/>
        </w:rPr>
        <w:t>data.</w:t>
      </w:r>
      <w:r w:rsidR="00323DD5">
        <w:rPr>
          <w:rFonts w:eastAsia="Arial" w:cs="Arial"/>
        </w:rPr>
        <w:t xml:space="preserve"> </w:t>
      </w:r>
      <w:r w:rsidR="00D954A4">
        <w:rPr>
          <w:rFonts w:eastAsia="Arial" w:cs="Arial"/>
        </w:rPr>
        <w:t xml:space="preserve">At this review new </w:t>
      </w:r>
      <w:r w:rsidR="00A35D4D">
        <w:rPr>
          <w:rFonts w:eastAsia="Arial" w:cs="Arial"/>
        </w:rPr>
        <w:t xml:space="preserve">entrant </w:t>
      </w:r>
      <w:r w:rsidR="00D954A4">
        <w:rPr>
          <w:rFonts w:eastAsia="Arial" w:cs="Arial"/>
        </w:rPr>
        <w:t>rates have been determined based on t</w:t>
      </w:r>
      <w:r w:rsidR="00CC5460">
        <w:rPr>
          <w:rFonts w:eastAsia="Arial" w:cs="Arial"/>
        </w:rPr>
        <w:t>he direct method</w:t>
      </w:r>
      <w:r w:rsidR="00D954A4">
        <w:rPr>
          <w:rFonts w:eastAsia="Arial" w:cs="Arial"/>
        </w:rPr>
        <w:t xml:space="preserve">, which </w:t>
      </w:r>
      <w:r w:rsidR="00A35D4D">
        <w:rPr>
          <w:rStyle w:val="FSRnormalChar"/>
        </w:rPr>
        <w:t>relies</w:t>
      </w:r>
      <w:r w:rsidRPr="00EC5BF4">
        <w:rPr>
          <w:rStyle w:val="FSRnormalChar"/>
        </w:rPr>
        <w:t xml:space="preserve"> on the observed new entrant experience to estimate the new </w:t>
      </w:r>
      <w:r w:rsidR="00A35D4D">
        <w:rPr>
          <w:rStyle w:val="FSRnormalChar"/>
        </w:rPr>
        <w:t xml:space="preserve">entrant </w:t>
      </w:r>
      <w:r w:rsidRPr="00EC5BF4">
        <w:rPr>
          <w:rStyle w:val="FSRnormalChar"/>
        </w:rPr>
        <w:t xml:space="preserve">rates. This requires </w:t>
      </w:r>
      <w:r w:rsidR="00E37E24">
        <w:rPr>
          <w:rStyle w:val="FSRnormalChar"/>
        </w:rPr>
        <w:t xml:space="preserve">relatively </w:t>
      </w:r>
      <w:r w:rsidR="00C711E1" w:rsidRPr="00EC5BF4">
        <w:rPr>
          <w:rStyle w:val="FSRnormalChar"/>
        </w:rPr>
        <w:t>stable</w:t>
      </w:r>
      <w:r w:rsidRPr="00EC5BF4">
        <w:rPr>
          <w:rStyle w:val="FSRnormalChar"/>
        </w:rPr>
        <w:t xml:space="preserve"> </w:t>
      </w:r>
      <w:r w:rsidR="00A35D4D">
        <w:rPr>
          <w:rStyle w:val="FSRnormalChar"/>
        </w:rPr>
        <w:t xml:space="preserve">new entrant </w:t>
      </w:r>
      <w:r w:rsidRPr="00EC5BF4">
        <w:rPr>
          <w:rStyle w:val="FSRnormalChar"/>
        </w:rPr>
        <w:t xml:space="preserve">experience to inform assumptions about the future entrants to the </w:t>
      </w:r>
      <w:r w:rsidRPr="00D72D94">
        <w:rPr>
          <w:rStyle w:val="FSRnormalChar"/>
        </w:rPr>
        <w:t>Scheme</w:t>
      </w:r>
      <w:r w:rsidR="00E37E24">
        <w:rPr>
          <w:rStyle w:val="FSRnormalChar"/>
        </w:rPr>
        <w:t xml:space="preserve">. </w:t>
      </w:r>
    </w:p>
    <w:p w14:paraId="4D6A8DC9" w14:textId="77777777" w:rsidR="00BF7697" w:rsidRPr="00860FF4" w:rsidRDefault="00BF7697" w:rsidP="00BF7697">
      <w:pPr>
        <w:pStyle w:val="FSRnormal"/>
        <w:rPr>
          <w:rFonts w:asciiTheme="minorHAnsi" w:hAnsiTheme="minorHAnsi"/>
          <w:szCs w:val="22"/>
        </w:rPr>
      </w:pPr>
      <w:r w:rsidRPr="00860FF4">
        <w:rPr>
          <w:rFonts w:eastAsia="Arial" w:cs="Arial"/>
        </w:rPr>
        <w:t>The new</w:t>
      </w:r>
      <w:r w:rsidR="00A35D4D">
        <w:rPr>
          <w:rFonts w:eastAsia="Arial" w:cs="Arial"/>
        </w:rPr>
        <w:t xml:space="preserve"> entrant rate</w:t>
      </w:r>
      <w:r w:rsidRPr="00860FF4">
        <w:rPr>
          <w:rFonts w:eastAsia="Arial" w:cs="Arial"/>
        </w:rPr>
        <w:t xml:space="preserve"> assumptions adopted at the 2020-21 AFSR were estimated by equally weighting the results from the direct and indirect methods</w:t>
      </w:r>
      <w:r w:rsidR="00323DD5">
        <w:rPr>
          <w:rStyle w:val="FootnoteReference"/>
          <w:rFonts w:eastAsia="Arial" w:cs="Arial"/>
        </w:rPr>
        <w:footnoteReference w:id="90"/>
      </w:r>
      <w:r w:rsidRPr="00860FF4">
        <w:rPr>
          <w:rFonts w:eastAsia="Arial" w:cs="Arial"/>
        </w:rPr>
        <w:t xml:space="preserve"> with new </w:t>
      </w:r>
      <w:r w:rsidR="00A35D4D">
        <w:rPr>
          <w:rFonts w:eastAsia="Arial" w:cs="Arial"/>
        </w:rPr>
        <w:t xml:space="preserve">entrant rate </w:t>
      </w:r>
      <w:r w:rsidRPr="00860FF4">
        <w:rPr>
          <w:rFonts w:eastAsia="Arial" w:cs="Arial"/>
        </w:rPr>
        <w:t xml:space="preserve">assumptions at </w:t>
      </w:r>
      <w:r w:rsidR="00323DD5">
        <w:rPr>
          <w:rFonts w:eastAsia="Arial" w:cs="Arial"/>
        </w:rPr>
        <w:t xml:space="preserve">earlier </w:t>
      </w:r>
      <w:r w:rsidRPr="00860FF4">
        <w:rPr>
          <w:rFonts w:eastAsia="Arial" w:cs="Arial"/>
        </w:rPr>
        <w:t>reviews being based exclusively on the indirect method due to the relative immaturity of the available experience.</w:t>
      </w:r>
    </w:p>
    <w:p w14:paraId="0BCE2D11" w14:textId="77777777" w:rsidR="00BF7697" w:rsidRPr="00860FF4" w:rsidRDefault="00BF7697" w:rsidP="00BF7697">
      <w:pPr>
        <w:pStyle w:val="FSRnormal"/>
        <w:rPr>
          <w:rFonts w:asciiTheme="minorHAnsi" w:hAnsiTheme="minorHAnsi"/>
          <w:szCs w:val="22"/>
        </w:rPr>
      </w:pPr>
      <w:r w:rsidRPr="00860FF4">
        <w:rPr>
          <w:rFonts w:eastAsia="Arial" w:cs="Arial"/>
        </w:rPr>
        <w:t xml:space="preserve">In setting future assumptions relating to new </w:t>
      </w:r>
      <w:r w:rsidR="00A35D4D">
        <w:rPr>
          <w:rFonts w:eastAsia="Arial" w:cs="Arial"/>
        </w:rPr>
        <w:t xml:space="preserve">entrants </w:t>
      </w:r>
      <w:r w:rsidRPr="00860FF4">
        <w:rPr>
          <w:rFonts w:eastAsia="Arial" w:cs="Arial"/>
        </w:rPr>
        <w:t xml:space="preserve">using the direct method which relies on currently observed experience, it is however necessary to estimate, the proportional split </w:t>
      </w:r>
      <w:r w:rsidR="00E753F3">
        <w:rPr>
          <w:rFonts w:eastAsia="Arial" w:cs="Arial"/>
        </w:rPr>
        <w:t xml:space="preserve">within the observed experience </w:t>
      </w:r>
      <w:r w:rsidRPr="00860FF4">
        <w:rPr>
          <w:rFonts w:eastAsia="Arial" w:cs="Arial"/>
        </w:rPr>
        <w:t>between</w:t>
      </w:r>
      <w:r w:rsidR="00310B12">
        <w:rPr>
          <w:rFonts w:eastAsia="Arial" w:cs="Arial"/>
        </w:rPr>
        <w:t>:</w:t>
      </w:r>
      <w:r w:rsidRPr="00860FF4">
        <w:rPr>
          <w:rFonts w:eastAsia="Arial" w:cs="Arial"/>
        </w:rPr>
        <w:t xml:space="preserve"> </w:t>
      </w:r>
    </w:p>
    <w:p w14:paraId="7FA39EDE" w14:textId="77777777" w:rsidR="00BF7697" w:rsidRPr="008159A7" w:rsidRDefault="00A35D4D" w:rsidP="00221197">
      <w:pPr>
        <w:pStyle w:val="FSRlist"/>
        <w:rPr>
          <w:rStyle w:val="FSRnormalChar"/>
        </w:rPr>
      </w:pPr>
      <w:r>
        <w:rPr>
          <w:rFonts w:eastAsia="Arial" w:cs="Arial"/>
          <w:i/>
          <w:iCs/>
        </w:rPr>
        <w:lastRenderedPageBreak/>
        <w:t>New</w:t>
      </w:r>
      <w:r w:rsidR="00E6285B">
        <w:rPr>
          <w:rFonts w:eastAsia="Arial" w:cs="Arial"/>
          <w:i/>
          <w:iCs/>
        </w:rPr>
        <w:t xml:space="preserve"> incidence</w:t>
      </w:r>
      <w:r>
        <w:rPr>
          <w:rFonts w:eastAsia="Arial" w:cs="Arial"/>
          <w:i/>
          <w:iCs/>
        </w:rPr>
        <w:t xml:space="preserve"> to disability</w:t>
      </w:r>
      <w:r w:rsidR="00BF7697" w:rsidRPr="00860FF4">
        <w:rPr>
          <w:rFonts w:eastAsia="Arial" w:cs="Arial"/>
        </w:rPr>
        <w:t xml:space="preserve"> – </w:t>
      </w:r>
      <w:r w:rsidR="00E56489" w:rsidRPr="00860FF4">
        <w:rPr>
          <w:rFonts w:eastAsia="Arial" w:cs="Arial"/>
        </w:rPr>
        <w:t>i</w:t>
      </w:r>
      <w:r w:rsidR="00E56489" w:rsidRPr="008159A7">
        <w:rPr>
          <w:rStyle w:val="FSRnormalChar"/>
        </w:rPr>
        <w:t>.e.,</w:t>
      </w:r>
      <w:r w:rsidR="00BF7697" w:rsidRPr="008159A7">
        <w:rPr>
          <w:rStyle w:val="FSRnormalChar"/>
        </w:rPr>
        <w:t xml:space="preserve"> new entrants who acquired their disability relatively recently, or who have only recently met the necessary criteria for access to the Scheme. These participants </w:t>
      </w:r>
      <w:r w:rsidR="001E4CEB">
        <w:rPr>
          <w:rStyle w:val="FSRnormalChar"/>
        </w:rPr>
        <w:t xml:space="preserve">are </w:t>
      </w:r>
      <w:r w:rsidR="00BF7697" w:rsidRPr="008159A7">
        <w:rPr>
          <w:rStyle w:val="FSRnormalChar"/>
        </w:rPr>
        <w:t xml:space="preserve">indicative of </w:t>
      </w:r>
      <w:r w:rsidR="00C711E1" w:rsidRPr="008159A7">
        <w:rPr>
          <w:rStyle w:val="FSRnormalChar"/>
        </w:rPr>
        <w:t>longer</w:t>
      </w:r>
      <w:r w:rsidR="003F6941">
        <w:rPr>
          <w:rStyle w:val="FSRnormalChar"/>
        </w:rPr>
        <w:t>-</w:t>
      </w:r>
      <w:r w:rsidR="00BF7697" w:rsidRPr="008159A7">
        <w:rPr>
          <w:rStyle w:val="FSRnormalChar"/>
        </w:rPr>
        <w:t>term levels of new</w:t>
      </w:r>
      <w:r>
        <w:rPr>
          <w:rStyle w:val="FSRnormalChar"/>
        </w:rPr>
        <w:t xml:space="preserve"> entrants</w:t>
      </w:r>
      <w:r w:rsidR="00BF7697" w:rsidRPr="008159A7">
        <w:rPr>
          <w:rStyle w:val="FSRnormalChar"/>
        </w:rPr>
        <w:t>; and</w:t>
      </w:r>
    </w:p>
    <w:p w14:paraId="4312A59B" w14:textId="77777777" w:rsidR="00BF7697" w:rsidRPr="008159A7" w:rsidRDefault="00BF7697" w:rsidP="00221197">
      <w:pPr>
        <w:pStyle w:val="FSRlist"/>
        <w:rPr>
          <w:rStyle w:val="FSRnormalChar"/>
        </w:rPr>
      </w:pPr>
      <w:r w:rsidRPr="00860FF4">
        <w:rPr>
          <w:rFonts w:eastAsia="Arial" w:cs="Arial"/>
          <w:i/>
          <w:iCs/>
        </w:rPr>
        <w:t>Previously unmet need</w:t>
      </w:r>
      <w:r w:rsidR="00E753F3">
        <w:rPr>
          <w:rFonts w:eastAsia="Arial" w:cs="Arial"/>
          <w:i/>
          <w:iCs/>
        </w:rPr>
        <w:t xml:space="preserve"> (PUN)</w:t>
      </w:r>
      <w:r w:rsidRPr="00860FF4">
        <w:rPr>
          <w:rFonts w:eastAsia="Arial" w:cs="Arial"/>
        </w:rPr>
        <w:t xml:space="preserve"> –</w:t>
      </w:r>
      <w:r w:rsidRPr="008159A7">
        <w:rPr>
          <w:rStyle w:val="FSRnormalChar"/>
        </w:rPr>
        <w:t xml:space="preserve"> </w:t>
      </w:r>
      <w:r w:rsidR="00E56489" w:rsidRPr="008159A7">
        <w:rPr>
          <w:rStyle w:val="FSRnormalChar"/>
        </w:rPr>
        <w:t>i.e.,</w:t>
      </w:r>
      <w:r w:rsidRPr="008159A7">
        <w:rPr>
          <w:rStyle w:val="FSRnormalChar"/>
        </w:rPr>
        <w:t xml:space="preserve"> participants who acquired their disability some years prior who only accessed the Scheme recently (for various reasons). These participants would not therefore be indicative of </w:t>
      </w:r>
      <w:r w:rsidR="00C711E1" w:rsidRPr="008159A7">
        <w:rPr>
          <w:rStyle w:val="FSRnormalChar"/>
        </w:rPr>
        <w:t>longer</w:t>
      </w:r>
      <w:r w:rsidR="003F6941">
        <w:rPr>
          <w:rStyle w:val="FSRnormalChar"/>
        </w:rPr>
        <w:t>-</w:t>
      </w:r>
      <w:r w:rsidRPr="008159A7">
        <w:rPr>
          <w:rStyle w:val="FSRnormalChar"/>
        </w:rPr>
        <w:t xml:space="preserve">term levels of new </w:t>
      </w:r>
      <w:r w:rsidR="00A35D4D">
        <w:rPr>
          <w:rStyle w:val="FSRnormalChar"/>
        </w:rPr>
        <w:t>entrants</w:t>
      </w:r>
      <w:r w:rsidRPr="008159A7">
        <w:rPr>
          <w:rStyle w:val="FSRnormalChar"/>
        </w:rPr>
        <w:t>.</w:t>
      </w:r>
    </w:p>
    <w:p w14:paraId="3D6807FF" w14:textId="77777777" w:rsidR="00BF7697" w:rsidRPr="00860FF4" w:rsidRDefault="00BF7697" w:rsidP="00BF7697">
      <w:pPr>
        <w:pStyle w:val="FSRnormal"/>
        <w:rPr>
          <w:rFonts w:asciiTheme="minorHAnsi" w:hAnsiTheme="minorHAnsi"/>
          <w:i/>
          <w:iCs/>
          <w:szCs w:val="22"/>
        </w:rPr>
      </w:pPr>
      <w:r w:rsidRPr="00860FF4">
        <w:rPr>
          <w:rFonts w:eastAsia="Arial" w:cs="Arial"/>
        </w:rPr>
        <w:t>To assist in determining this proportional split, a deep dive investigation was performed by the Agency’s Performance Management and Quality (PMQ) Branch, the details of which are provided below. A</w:t>
      </w:r>
      <w:r w:rsidRPr="00860FF4">
        <w:rPr>
          <w:rFonts w:cs="Arial"/>
        </w:rPr>
        <w:t xml:space="preserve"> sample of 1,001 recent new entrants from the geographic areas that phased into the Scheme at 31 December 2018 and prior, was analysed. </w:t>
      </w:r>
      <w:r w:rsidR="0025748B">
        <w:rPr>
          <w:rFonts w:cs="Arial"/>
        </w:rPr>
        <w:t>K</w:t>
      </w:r>
      <w:r w:rsidRPr="00860FF4">
        <w:rPr>
          <w:rFonts w:cs="Arial"/>
        </w:rPr>
        <w:t xml:space="preserve">ey findings </w:t>
      </w:r>
      <w:r w:rsidR="0025748B">
        <w:rPr>
          <w:rFonts w:cs="Arial"/>
        </w:rPr>
        <w:t>were</w:t>
      </w:r>
      <w:r w:rsidRPr="00860FF4">
        <w:rPr>
          <w:rFonts w:cs="Arial"/>
        </w:rPr>
        <w:t>:</w:t>
      </w:r>
    </w:p>
    <w:p w14:paraId="5B078F90" w14:textId="77777777" w:rsidR="00BF7697" w:rsidRPr="00860FF4" w:rsidRDefault="00BF7697" w:rsidP="00221197">
      <w:pPr>
        <w:pStyle w:val="FSRlist"/>
        <w:rPr>
          <w:rFonts w:eastAsia="Arial"/>
        </w:rPr>
      </w:pPr>
      <w:r w:rsidRPr="00252EAF">
        <w:rPr>
          <w:b/>
        </w:rPr>
        <w:t xml:space="preserve">78% of the sample are regarded as likely to be </w:t>
      </w:r>
      <w:r w:rsidR="00A35D4D" w:rsidRPr="00252EAF">
        <w:rPr>
          <w:b/>
        </w:rPr>
        <w:t xml:space="preserve">new </w:t>
      </w:r>
      <w:r w:rsidR="00E6285B" w:rsidRPr="00252EAF">
        <w:rPr>
          <w:b/>
        </w:rPr>
        <w:t>incidence</w:t>
      </w:r>
      <w:r w:rsidR="00A35D4D" w:rsidRPr="00252EAF">
        <w:rPr>
          <w:b/>
        </w:rPr>
        <w:t xml:space="preserve"> to disability</w:t>
      </w:r>
      <w:r w:rsidRPr="00860FF4">
        <w:t xml:space="preserve">. This figure </w:t>
      </w:r>
      <w:r w:rsidRPr="00860FF4">
        <w:rPr>
          <w:rFonts w:eastAsia="Arial"/>
        </w:rPr>
        <w:t>comprises participants who:</w:t>
      </w:r>
    </w:p>
    <w:p w14:paraId="4C1B5D8E" w14:textId="77777777" w:rsidR="00BF7697" w:rsidRPr="00860FF4" w:rsidRDefault="00BF7697" w:rsidP="00221197">
      <w:pPr>
        <w:pStyle w:val="FSRlist"/>
        <w:numPr>
          <w:ilvl w:val="1"/>
          <w:numId w:val="4"/>
        </w:numPr>
      </w:pPr>
      <w:r w:rsidRPr="00860FF4">
        <w:t>acquired their disability in the past 12 months; or</w:t>
      </w:r>
    </w:p>
    <w:p w14:paraId="50E0ED0C" w14:textId="77777777" w:rsidR="00BF7697" w:rsidRPr="00860FF4" w:rsidRDefault="00BF7697" w:rsidP="00221197">
      <w:pPr>
        <w:pStyle w:val="FSRlist"/>
        <w:numPr>
          <w:ilvl w:val="1"/>
          <w:numId w:val="4"/>
        </w:numPr>
      </w:pPr>
      <w:r w:rsidRPr="00860FF4">
        <w:t xml:space="preserve">acquired a disability more than 12 months previously but where there was a recent </w:t>
      </w:r>
      <w:r w:rsidR="00E56489" w:rsidRPr="00860FF4">
        <w:t>event or</w:t>
      </w:r>
      <w:r w:rsidRPr="00860FF4">
        <w:t xml:space="preserve"> change in circumstances giving rise to their gaining access to the Scheme.</w:t>
      </w:r>
    </w:p>
    <w:p w14:paraId="5FF2C4BE" w14:textId="77777777" w:rsidR="00BF7697" w:rsidRPr="00860FF4" w:rsidRDefault="00BF7697" w:rsidP="00221197">
      <w:pPr>
        <w:pStyle w:val="FSRlist"/>
      </w:pPr>
      <w:r w:rsidRPr="00860FF4">
        <w:rPr>
          <w:b/>
        </w:rPr>
        <w:t>22% of the sample are regarded as likely to be previously unmet need.</w:t>
      </w:r>
      <w:r w:rsidRPr="00860FF4">
        <w:t xml:space="preserve">  This figure comprises participants who generally took more than 12 months to apply to the Scheme since acquiring their disability because they:</w:t>
      </w:r>
    </w:p>
    <w:p w14:paraId="7F728FA0" w14:textId="77777777" w:rsidR="00BF7697" w:rsidRPr="00860FF4" w:rsidRDefault="00BF7697" w:rsidP="00221197">
      <w:pPr>
        <w:pStyle w:val="FSRlist"/>
        <w:numPr>
          <w:ilvl w:val="1"/>
          <w:numId w:val="4"/>
        </w:numPr>
      </w:pPr>
      <w:r w:rsidRPr="00860FF4">
        <w:t>were unaware of the NDIS and the supports available; or</w:t>
      </w:r>
    </w:p>
    <w:p w14:paraId="68FCEED3" w14:textId="77777777" w:rsidR="00BF7697" w:rsidRPr="00860FF4" w:rsidRDefault="00BF7697" w:rsidP="00221197">
      <w:pPr>
        <w:pStyle w:val="FSRlist"/>
        <w:numPr>
          <w:ilvl w:val="1"/>
          <w:numId w:val="4"/>
        </w:numPr>
      </w:pPr>
      <w:r w:rsidRPr="00860FF4">
        <w:t xml:space="preserve">because they did not have the capacity to apply or follow up on their </w:t>
      </w:r>
      <w:r w:rsidR="00E56489" w:rsidRPr="00860FF4">
        <w:t>application and</w:t>
      </w:r>
      <w:r w:rsidRPr="00860FF4">
        <w:t xml:space="preserve"> did not receive the appropriate support to do so.</w:t>
      </w:r>
    </w:p>
    <w:p w14:paraId="4A62FEAD" w14:textId="77777777" w:rsidR="00BF7697" w:rsidRPr="00860FF4" w:rsidRDefault="00BF7697" w:rsidP="00094056">
      <w:pPr>
        <w:pStyle w:val="FSRnormal"/>
        <w:rPr>
          <w:rFonts w:cs="Arial"/>
        </w:rPr>
      </w:pPr>
      <w:r w:rsidRPr="00860FF4">
        <w:rPr>
          <w:rFonts w:cs="Arial"/>
        </w:rPr>
        <w:t>From the New</w:t>
      </w:r>
      <w:r w:rsidR="00A35D4D">
        <w:rPr>
          <w:rFonts w:cs="Arial"/>
        </w:rPr>
        <w:t xml:space="preserve"> Entrants</w:t>
      </w:r>
      <w:r w:rsidRPr="00860FF4">
        <w:rPr>
          <w:rFonts w:cs="Arial"/>
        </w:rPr>
        <w:t xml:space="preserve"> Deep Dive investigation, lower PUN proportions were observed at younger ages</w:t>
      </w:r>
      <w:r w:rsidR="00E37E24">
        <w:rPr>
          <w:rFonts w:cs="Arial"/>
        </w:rPr>
        <w:t xml:space="preserve"> </w:t>
      </w:r>
      <w:r w:rsidRPr="00860FF4">
        <w:rPr>
          <w:rFonts w:cs="Arial"/>
        </w:rPr>
        <w:t>and</w:t>
      </w:r>
      <w:r w:rsidR="00E37E24">
        <w:rPr>
          <w:rFonts w:cs="Arial"/>
        </w:rPr>
        <w:t xml:space="preserve"> </w:t>
      </w:r>
      <w:r w:rsidRPr="00860FF4">
        <w:rPr>
          <w:rFonts w:cs="Arial"/>
        </w:rPr>
        <w:t>a higher proportion of PUN participants was observed for psychological disability (</w:t>
      </w:r>
      <w:r w:rsidR="00561744">
        <w:rPr>
          <w:rFonts w:cs="Arial"/>
        </w:rPr>
        <w:t xml:space="preserve">especially </w:t>
      </w:r>
      <w:r w:rsidRPr="00860FF4">
        <w:rPr>
          <w:rFonts w:cs="Arial"/>
        </w:rPr>
        <w:t xml:space="preserve">for males) compared to all other disability </w:t>
      </w:r>
      <w:r w:rsidR="005424AC">
        <w:rPr>
          <w:rFonts w:cs="Arial"/>
        </w:rPr>
        <w:t>groups</w:t>
      </w:r>
      <w:r w:rsidRPr="00860FF4">
        <w:rPr>
          <w:rFonts w:cs="Arial"/>
        </w:rPr>
        <w:t>.</w:t>
      </w:r>
    </w:p>
    <w:p w14:paraId="52D10D83" w14:textId="77777777" w:rsidR="00DD155C" w:rsidRDefault="00BF7697" w:rsidP="00DD155C">
      <w:pPr>
        <w:pStyle w:val="FSRnormal"/>
        <w:rPr>
          <w:rFonts w:cs="Arial"/>
        </w:rPr>
      </w:pPr>
      <w:r w:rsidRPr="00860FF4">
        <w:rPr>
          <w:rFonts w:cs="Arial"/>
        </w:rPr>
        <w:t xml:space="preserve">To reflect these </w:t>
      </w:r>
      <w:r w:rsidR="00E37E24">
        <w:rPr>
          <w:rFonts w:cs="Arial"/>
        </w:rPr>
        <w:t>findings</w:t>
      </w:r>
      <w:r w:rsidRPr="00860FF4">
        <w:rPr>
          <w:rFonts w:cs="Arial"/>
        </w:rPr>
        <w:t>, separate PUN</w:t>
      </w:r>
      <w:r w:rsidRPr="00FD7736">
        <w:rPr>
          <w:rStyle w:val="FSRnormalChar"/>
        </w:rPr>
        <w:t xml:space="preserve"> proportion curves were fitted for males and females with psychological disability by age, with a further set of PUN proportion curves then fitted for males and females by age, for all </w:t>
      </w:r>
      <w:r w:rsidR="005424AC">
        <w:rPr>
          <w:rStyle w:val="FSRnormalChar"/>
        </w:rPr>
        <w:t>disability group</w:t>
      </w:r>
      <w:r w:rsidRPr="00860FF4">
        <w:rPr>
          <w:rFonts w:cs="Arial"/>
        </w:rPr>
        <w:t>s excluding psychological disability</w:t>
      </w:r>
      <w:r w:rsidRPr="00DD155C">
        <w:rPr>
          <w:rFonts w:cs="Arial"/>
        </w:rPr>
        <w:t>.</w:t>
      </w:r>
      <w:r w:rsidR="00DD155C" w:rsidRPr="00DD155C">
        <w:rPr>
          <w:rFonts w:cs="Arial"/>
        </w:rPr>
        <w:t xml:space="preserve"> The selected PUN proportions by age group, disability type and gender are summarised in</w:t>
      </w:r>
      <w:r w:rsidR="00DD155C">
        <w:rPr>
          <w:rFonts w:cs="Arial"/>
        </w:rPr>
        <w:t xml:space="preserve"> </w:t>
      </w:r>
      <w:r w:rsidR="00DD155C" w:rsidRPr="00DD155C">
        <w:t xml:space="preserve">Table </w:t>
      </w:r>
      <w:r w:rsidR="00DD155C" w:rsidRPr="00DD155C">
        <w:rPr>
          <w:noProof/>
        </w:rPr>
        <w:t>5</w:t>
      </w:r>
      <w:r w:rsidR="00DD155C" w:rsidRPr="00DD155C">
        <w:t>.</w:t>
      </w:r>
      <w:r w:rsidR="00DD155C" w:rsidRPr="00DD155C">
        <w:rPr>
          <w:noProof/>
        </w:rPr>
        <w:t>10</w:t>
      </w:r>
      <w:r w:rsidR="00DD155C">
        <w:rPr>
          <w:rFonts w:cs="Arial"/>
        </w:rPr>
        <w:t>.</w:t>
      </w:r>
    </w:p>
    <w:p w14:paraId="39002C30" w14:textId="77777777" w:rsidR="00DD155C" w:rsidRPr="00DD155C" w:rsidRDefault="00DD155C" w:rsidP="00DA3F73">
      <w:pPr>
        <w:pStyle w:val="Tables"/>
        <w:rPr>
          <w:rFonts w:cs="Arial"/>
        </w:rPr>
      </w:pPr>
      <w:bookmarkStart w:id="179" w:name="_Ref113901874"/>
      <w:r w:rsidRPr="00DD155C">
        <w:lastRenderedPageBreak/>
        <w:t xml:space="preserve">Table </w:t>
      </w:r>
      <w:fldSimple w:instr=" STYLEREF 2 \s ">
        <w:r w:rsidR="00A87896">
          <w:rPr>
            <w:noProof/>
          </w:rPr>
          <w:t>5</w:t>
        </w:r>
      </w:fldSimple>
      <w:r w:rsidR="00A87896">
        <w:t>.</w:t>
      </w:r>
      <w:fldSimple w:instr=" SEQ Table \* ARABIC \s 2 ">
        <w:r w:rsidR="00A87896">
          <w:rPr>
            <w:noProof/>
          </w:rPr>
          <w:t>10</w:t>
        </w:r>
      </w:fldSimple>
      <w:bookmarkEnd w:id="179"/>
      <w:r w:rsidRPr="00DD155C">
        <w:rPr>
          <w:noProof/>
        </w:rPr>
        <w:t>:</w:t>
      </w:r>
      <w:r w:rsidRPr="00DD155C">
        <w:t xml:space="preserve"> Selected previously unmet need proportions by age group, disability type and gender</w:t>
      </w:r>
    </w:p>
    <w:tbl>
      <w:tblPr>
        <w:tblW w:w="9360" w:type="dxa"/>
        <w:tblLook w:val="04A0" w:firstRow="1" w:lastRow="0" w:firstColumn="1" w:lastColumn="0" w:noHBand="0" w:noVBand="1"/>
      </w:tblPr>
      <w:tblGrid>
        <w:gridCol w:w="1026"/>
        <w:gridCol w:w="1503"/>
        <w:gridCol w:w="2330"/>
        <w:gridCol w:w="1784"/>
        <w:gridCol w:w="2717"/>
      </w:tblGrid>
      <w:tr w:rsidR="00DD155C" w:rsidRPr="00C91D96" w14:paraId="1003BB73" w14:textId="77777777" w:rsidTr="00F830E6">
        <w:trPr>
          <w:cantSplit/>
          <w:trHeight w:val="308"/>
        </w:trPr>
        <w:tc>
          <w:tcPr>
            <w:tcW w:w="1026" w:type="dxa"/>
            <w:tcBorders>
              <w:top w:val="nil"/>
              <w:left w:val="nil"/>
              <w:bottom w:val="nil"/>
              <w:right w:val="nil"/>
            </w:tcBorders>
            <w:shd w:val="clear" w:color="000000" w:fill="6B2976"/>
            <w:noWrap/>
            <w:vAlign w:val="bottom"/>
            <w:hideMark/>
          </w:tcPr>
          <w:p w14:paraId="56ABFFDC" w14:textId="77777777" w:rsidR="00DD155C" w:rsidRPr="00C91D96" w:rsidRDefault="00DD155C" w:rsidP="00F830E6">
            <w:pPr>
              <w:keepNext/>
              <w:keepLines/>
              <w:spacing w:after="0" w:line="240" w:lineRule="auto"/>
              <w:rPr>
                <w:rFonts w:eastAsia="Times New Roman" w:cs="Arial"/>
                <w:color w:val="FFFFFF"/>
                <w:sz w:val="18"/>
                <w:szCs w:val="18"/>
                <w:lang w:eastAsia="en-AU"/>
              </w:rPr>
            </w:pPr>
            <w:r w:rsidRPr="00C91D96">
              <w:rPr>
                <w:rFonts w:eastAsia="Times New Roman" w:cs="Arial"/>
                <w:color w:val="FFFFFF"/>
                <w:sz w:val="18"/>
                <w:szCs w:val="18"/>
                <w:lang w:eastAsia="en-AU"/>
              </w:rPr>
              <w:t> </w:t>
            </w:r>
          </w:p>
        </w:tc>
        <w:tc>
          <w:tcPr>
            <w:tcW w:w="8334" w:type="dxa"/>
            <w:gridSpan w:val="4"/>
            <w:tcBorders>
              <w:top w:val="nil"/>
              <w:left w:val="nil"/>
              <w:bottom w:val="single" w:sz="4" w:space="0" w:color="F2F2F2"/>
              <w:right w:val="nil"/>
            </w:tcBorders>
            <w:shd w:val="clear" w:color="000000" w:fill="6B2976"/>
            <w:noWrap/>
            <w:vAlign w:val="bottom"/>
            <w:hideMark/>
          </w:tcPr>
          <w:p w14:paraId="1F836D45" w14:textId="77777777" w:rsidR="00DD155C" w:rsidRPr="00C91D96" w:rsidRDefault="00DD155C" w:rsidP="00F830E6">
            <w:pPr>
              <w:keepNext/>
              <w:keepLines/>
              <w:spacing w:after="0" w:line="240" w:lineRule="auto"/>
              <w:jc w:val="center"/>
              <w:rPr>
                <w:rFonts w:eastAsia="Times New Roman" w:cs="Arial"/>
                <w:b/>
                <w:color w:val="FFFFFF"/>
                <w:sz w:val="18"/>
                <w:szCs w:val="18"/>
                <w:lang w:eastAsia="en-AU"/>
              </w:rPr>
            </w:pPr>
            <w:r w:rsidRPr="00C91D96">
              <w:rPr>
                <w:rFonts w:eastAsia="Times New Roman" w:cs="Arial"/>
                <w:b/>
                <w:color w:val="FFFFFF"/>
                <w:sz w:val="18"/>
                <w:szCs w:val="18"/>
                <w:lang w:eastAsia="en-AU"/>
              </w:rPr>
              <w:t>Selected previously unmet need proportion</w:t>
            </w:r>
          </w:p>
        </w:tc>
      </w:tr>
      <w:tr w:rsidR="00DD155C" w:rsidRPr="00C91D96" w14:paraId="2B661EE4" w14:textId="77777777" w:rsidTr="00DD155C">
        <w:trPr>
          <w:trHeight w:val="285"/>
        </w:trPr>
        <w:tc>
          <w:tcPr>
            <w:tcW w:w="1026" w:type="dxa"/>
            <w:tcBorders>
              <w:top w:val="nil"/>
              <w:left w:val="nil"/>
              <w:bottom w:val="nil"/>
              <w:right w:val="nil"/>
            </w:tcBorders>
            <w:shd w:val="clear" w:color="000000" w:fill="6B2976"/>
            <w:noWrap/>
            <w:vAlign w:val="bottom"/>
            <w:hideMark/>
          </w:tcPr>
          <w:p w14:paraId="7A3AD3E9" w14:textId="77777777" w:rsidR="00DD155C" w:rsidRPr="00C91D96" w:rsidRDefault="00DD155C" w:rsidP="00F830E6">
            <w:pPr>
              <w:keepNext/>
              <w:keepLines/>
              <w:spacing w:after="0" w:line="240" w:lineRule="auto"/>
              <w:rPr>
                <w:rFonts w:eastAsia="Times New Roman" w:cs="Arial"/>
                <w:b/>
                <w:color w:val="FFFFFF"/>
                <w:sz w:val="18"/>
                <w:szCs w:val="18"/>
                <w:lang w:eastAsia="en-AU"/>
              </w:rPr>
            </w:pPr>
            <w:r w:rsidRPr="00C91D96">
              <w:rPr>
                <w:rFonts w:eastAsia="Times New Roman" w:cs="Arial"/>
                <w:b/>
                <w:color w:val="FFFFFF"/>
                <w:sz w:val="18"/>
                <w:szCs w:val="18"/>
                <w:lang w:eastAsia="en-AU"/>
              </w:rPr>
              <w:t>Age</w:t>
            </w:r>
          </w:p>
        </w:tc>
        <w:tc>
          <w:tcPr>
            <w:tcW w:w="3833" w:type="dxa"/>
            <w:gridSpan w:val="2"/>
            <w:tcBorders>
              <w:top w:val="single" w:sz="4" w:space="0" w:color="F2F2F2"/>
              <w:left w:val="nil"/>
              <w:bottom w:val="single" w:sz="4" w:space="0" w:color="F2F2F2"/>
              <w:right w:val="single" w:sz="4" w:space="0" w:color="F2F2F2"/>
            </w:tcBorders>
            <w:shd w:val="clear" w:color="000000" w:fill="6B2976"/>
            <w:noWrap/>
            <w:vAlign w:val="center"/>
            <w:hideMark/>
          </w:tcPr>
          <w:p w14:paraId="3DE08722" w14:textId="77777777" w:rsidR="00DD155C" w:rsidRPr="00C91D96" w:rsidRDefault="00DD155C" w:rsidP="00F830E6">
            <w:pPr>
              <w:keepNext/>
              <w:keepLines/>
              <w:spacing w:after="0" w:line="240" w:lineRule="auto"/>
              <w:jc w:val="center"/>
              <w:rPr>
                <w:rFonts w:eastAsia="Times New Roman" w:cs="Arial"/>
                <w:b/>
                <w:color w:val="FFFFFF"/>
                <w:sz w:val="18"/>
                <w:szCs w:val="18"/>
                <w:lang w:eastAsia="en-AU"/>
              </w:rPr>
            </w:pPr>
            <w:r w:rsidRPr="00C91D96">
              <w:rPr>
                <w:rFonts w:eastAsia="Times New Roman" w:cs="Arial"/>
                <w:b/>
                <w:color w:val="FFFFFF"/>
                <w:sz w:val="18"/>
                <w:szCs w:val="18"/>
                <w:lang w:eastAsia="en-AU"/>
              </w:rPr>
              <w:t>Psychosocial disability</w:t>
            </w:r>
          </w:p>
        </w:tc>
        <w:tc>
          <w:tcPr>
            <w:tcW w:w="4501" w:type="dxa"/>
            <w:gridSpan w:val="2"/>
            <w:tcBorders>
              <w:top w:val="single" w:sz="4" w:space="0" w:color="F2F2F2"/>
              <w:left w:val="nil"/>
              <w:bottom w:val="single" w:sz="4" w:space="0" w:color="F2F2F2"/>
              <w:right w:val="nil"/>
            </w:tcBorders>
            <w:shd w:val="clear" w:color="000000" w:fill="6B2976"/>
            <w:noWrap/>
            <w:vAlign w:val="center"/>
            <w:hideMark/>
          </w:tcPr>
          <w:p w14:paraId="69ACF5FF" w14:textId="77777777" w:rsidR="00DD155C" w:rsidRPr="00C91D96" w:rsidRDefault="00DD155C" w:rsidP="00F830E6">
            <w:pPr>
              <w:keepNext/>
              <w:keepLines/>
              <w:spacing w:after="0" w:line="240" w:lineRule="auto"/>
              <w:jc w:val="center"/>
              <w:rPr>
                <w:rFonts w:eastAsia="Times New Roman" w:cs="Arial"/>
                <w:b/>
                <w:color w:val="FFFFFF"/>
                <w:sz w:val="18"/>
                <w:szCs w:val="18"/>
                <w:lang w:eastAsia="en-AU"/>
              </w:rPr>
            </w:pPr>
            <w:r w:rsidRPr="00C91D96">
              <w:rPr>
                <w:rFonts w:eastAsia="Times New Roman" w:cs="Arial"/>
                <w:b/>
                <w:color w:val="FFFFFF"/>
                <w:sz w:val="18"/>
                <w:szCs w:val="18"/>
                <w:lang w:eastAsia="en-AU"/>
              </w:rPr>
              <w:t>All disabilities excluding psychosocial disability</w:t>
            </w:r>
          </w:p>
        </w:tc>
      </w:tr>
      <w:tr w:rsidR="00DD155C" w:rsidRPr="00C91D96" w14:paraId="32E238CF" w14:textId="77777777" w:rsidTr="00DA3F73">
        <w:trPr>
          <w:trHeight w:val="285"/>
        </w:trPr>
        <w:tc>
          <w:tcPr>
            <w:tcW w:w="1026" w:type="dxa"/>
            <w:tcBorders>
              <w:top w:val="nil"/>
              <w:left w:val="nil"/>
              <w:bottom w:val="nil"/>
              <w:right w:val="nil"/>
            </w:tcBorders>
            <w:shd w:val="clear" w:color="000000" w:fill="6B2976"/>
            <w:noWrap/>
            <w:hideMark/>
          </w:tcPr>
          <w:p w14:paraId="07BBCFD9" w14:textId="77777777" w:rsidR="00DD155C" w:rsidRPr="00C91D96" w:rsidRDefault="00DD155C" w:rsidP="00F830E6">
            <w:pPr>
              <w:keepNext/>
              <w:keepLines/>
              <w:spacing w:after="0" w:line="240" w:lineRule="auto"/>
              <w:rPr>
                <w:rFonts w:eastAsia="Times New Roman" w:cs="Arial"/>
                <w:b/>
                <w:color w:val="FFFFFF"/>
                <w:sz w:val="18"/>
                <w:szCs w:val="18"/>
                <w:lang w:eastAsia="en-AU"/>
              </w:rPr>
            </w:pPr>
            <w:r w:rsidRPr="00C91D96">
              <w:rPr>
                <w:rFonts w:eastAsia="Times New Roman" w:cs="Arial"/>
                <w:b/>
                <w:color w:val="FFFFFF"/>
                <w:sz w:val="18"/>
                <w:szCs w:val="18"/>
                <w:lang w:eastAsia="en-AU"/>
              </w:rPr>
              <w:t>group</w:t>
            </w:r>
          </w:p>
        </w:tc>
        <w:tc>
          <w:tcPr>
            <w:tcW w:w="1503" w:type="dxa"/>
            <w:tcBorders>
              <w:top w:val="nil"/>
              <w:left w:val="nil"/>
              <w:bottom w:val="nil"/>
              <w:right w:val="nil"/>
            </w:tcBorders>
            <w:shd w:val="clear" w:color="000000" w:fill="6B2976"/>
            <w:noWrap/>
            <w:vAlign w:val="center"/>
            <w:hideMark/>
          </w:tcPr>
          <w:p w14:paraId="4B216217" w14:textId="77777777" w:rsidR="00DD155C" w:rsidRPr="00C91D96" w:rsidRDefault="00C91D96" w:rsidP="00F830E6">
            <w:pPr>
              <w:keepNext/>
              <w:keepLines/>
              <w:spacing w:after="0" w:line="240" w:lineRule="auto"/>
              <w:jc w:val="right"/>
              <w:rPr>
                <w:rFonts w:eastAsia="Times New Roman" w:cs="Arial"/>
                <w:b/>
                <w:color w:val="FFFFFF"/>
                <w:sz w:val="18"/>
                <w:szCs w:val="18"/>
                <w:lang w:eastAsia="en-AU"/>
              </w:rPr>
            </w:pPr>
            <w:r w:rsidRPr="00C91D96">
              <w:rPr>
                <w:rFonts w:eastAsia="Times New Roman" w:cs="Arial"/>
                <w:b/>
                <w:color w:val="FFFFFF"/>
                <w:sz w:val="18"/>
                <w:szCs w:val="18"/>
                <w:lang w:eastAsia="en-AU"/>
              </w:rPr>
              <w:t>Female</w:t>
            </w:r>
          </w:p>
        </w:tc>
        <w:tc>
          <w:tcPr>
            <w:tcW w:w="2330" w:type="dxa"/>
            <w:tcBorders>
              <w:top w:val="nil"/>
              <w:left w:val="nil"/>
              <w:bottom w:val="nil"/>
              <w:right w:val="single" w:sz="4" w:space="0" w:color="F2F2F2"/>
            </w:tcBorders>
            <w:shd w:val="clear" w:color="000000" w:fill="6B2976"/>
            <w:noWrap/>
            <w:vAlign w:val="center"/>
            <w:hideMark/>
          </w:tcPr>
          <w:p w14:paraId="5ABCF747" w14:textId="77777777" w:rsidR="00DD155C" w:rsidRPr="00C91D96" w:rsidRDefault="00C91D96" w:rsidP="00F830E6">
            <w:pPr>
              <w:keepNext/>
              <w:keepLines/>
              <w:spacing w:after="0" w:line="240" w:lineRule="auto"/>
              <w:jc w:val="right"/>
              <w:rPr>
                <w:rFonts w:eastAsia="Times New Roman" w:cs="Arial"/>
                <w:b/>
                <w:color w:val="FFFFFF"/>
                <w:sz w:val="18"/>
                <w:szCs w:val="18"/>
                <w:lang w:eastAsia="en-AU"/>
              </w:rPr>
            </w:pPr>
            <w:r w:rsidRPr="00C91D96">
              <w:rPr>
                <w:rFonts w:eastAsia="Times New Roman" w:cs="Arial"/>
                <w:b/>
                <w:color w:val="FFFFFF"/>
                <w:sz w:val="18"/>
                <w:szCs w:val="18"/>
                <w:lang w:eastAsia="en-AU"/>
              </w:rPr>
              <w:t>M</w:t>
            </w:r>
            <w:r w:rsidR="00DD155C" w:rsidRPr="00C91D96">
              <w:rPr>
                <w:rFonts w:eastAsia="Times New Roman" w:cs="Arial"/>
                <w:b/>
                <w:color w:val="FFFFFF"/>
                <w:sz w:val="18"/>
                <w:szCs w:val="18"/>
                <w:lang w:eastAsia="en-AU"/>
              </w:rPr>
              <w:t>ale</w:t>
            </w:r>
          </w:p>
        </w:tc>
        <w:tc>
          <w:tcPr>
            <w:tcW w:w="1784" w:type="dxa"/>
            <w:tcBorders>
              <w:top w:val="nil"/>
              <w:left w:val="nil"/>
              <w:bottom w:val="nil"/>
              <w:right w:val="nil"/>
            </w:tcBorders>
            <w:shd w:val="clear" w:color="000000" w:fill="6B2976"/>
            <w:noWrap/>
            <w:vAlign w:val="center"/>
            <w:hideMark/>
          </w:tcPr>
          <w:p w14:paraId="1E67405A" w14:textId="77777777" w:rsidR="00DD155C" w:rsidRPr="00C91D96" w:rsidRDefault="00C91D96" w:rsidP="00F830E6">
            <w:pPr>
              <w:keepNext/>
              <w:keepLines/>
              <w:spacing w:after="0" w:line="240" w:lineRule="auto"/>
              <w:jc w:val="right"/>
              <w:rPr>
                <w:rFonts w:eastAsia="Times New Roman" w:cs="Arial"/>
                <w:b/>
                <w:color w:val="FFFFFF"/>
                <w:sz w:val="18"/>
                <w:szCs w:val="18"/>
                <w:lang w:eastAsia="en-AU"/>
              </w:rPr>
            </w:pPr>
            <w:r w:rsidRPr="00C91D96">
              <w:rPr>
                <w:rFonts w:eastAsia="Times New Roman" w:cs="Arial"/>
                <w:b/>
                <w:color w:val="FFFFFF"/>
                <w:sz w:val="18"/>
                <w:szCs w:val="18"/>
                <w:lang w:eastAsia="en-AU"/>
              </w:rPr>
              <w:t>Fem</w:t>
            </w:r>
            <w:r w:rsidR="00DD155C" w:rsidRPr="00C91D96">
              <w:rPr>
                <w:rFonts w:eastAsia="Times New Roman" w:cs="Arial"/>
                <w:b/>
                <w:color w:val="FFFFFF"/>
                <w:sz w:val="18"/>
                <w:szCs w:val="18"/>
                <w:lang w:eastAsia="en-AU"/>
              </w:rPr>
              <w:t>ale</w:t>
            </w:r>
          </w:p>
        </w:tc>
        <w:tc>
          <w:tcPr>
            <w:tcW w:w="2717" w:type="dxa"/>
            <w:tcBorders>
              <w:top w:val="nil"/>
              <w:left w:val="nil"/>
              <w:bottom w:val="nil"/>
              <w:right w:val="nil"/>
            </w:tcBorders>
            <w:shd w:val="clear" w:color="000000" w:fill="6B2976"/>
            <w:noWrap/>
            <w:vAlign w:val="center"/>
            <w:hideMark/>
          </w:tcPr>
          <w:p w14:paraId="7A1C8333" w14:textId="77777777" w:rsidR="00DD155C" w:rsidRPr="00C91D96" w:rsidRDefault="00C91D96" w:rsidP="00F830E6">
            <w:pPr>
              <w:keepNext/>
              <w:keepLines/>
              <w:spacing w:after="0" w:line="240" w:lineRule="auto"/>
              <w:jc w:val="right"/>
              <w:rPr>
                <w:rFonts w:eastAsia="Times New Roman" w:cs="Arial"/>
                <w:b/>
                <w:color w:val="FFFFFF"/>
                <w:sz w:val="18"/>
                <w:szCs w:val="18"/>
                <w:lang w:eastAsia="en-AU"/>
              </w:rPr>
            </w:pPr>
            <w:r w:rsidRPr="00C91D96">
              <w:rPr>
                <w:rFonts w:eastAsia="Times New Roman" w:cs="Arial"/>
                <w:b/>
                <w:color w:val="FFFFFF"/>
                <w:sz w:val="18"/>
                <w:szCs w:val="18"/>
                <w:lang w:eastAsia="en-AU"/>
              </w:rPr>
              <w:t>M</w:t>
            </w:r>
            <w:r w:rsidR="00DD155C" w:rsidRPr="00C91D96">
              <w:rPr>
                <w:rFonts w:eastAsia="Times New Roman" w:cs="Arial"/>
                <w:b/>
                <w:color w:val="FFFFFF"/>
                <w:sz w:val="18"/>
                <w:szCs w:val="18"/>
                <w:lang w:eastAsia="en-AU"/>
              </w:rPr>
              <w:t>ale</w:t>
            </w:r>
          </w:p>
        </w:tc>
      </w:tr>
      <w:tr w:rsidR="00DD155C" w:rsidRPr="00C91D96" w14:paraId="4070877C" w14:textId="77777777" w:rsidTr="00252EAF">
        <w:trPr>
          <w:trHeight w:val="285"/>
        </w:trPr>
        <w:tc>
          <w:tcPr>
            <w:tcW w:w="1026" w:type="dxa"/>
            <w:tcBorders>
              <w:top w:val="nil"/>
              <w:left w:val="nil"/>
              <w:bottom w:val="nil"/>
              <w:right w:val="nil"/>
            </w:tcBorders>
            <w:shd w:val="clear" w:color="auto" w:fill="auto"/>
            <w:noWrap/>
            <w:vAlign w:val="center"/>
            <w:hideMark/>
          </w:tcPr>
          <w:p w14:paraId="2BAA2BA7" w14:textId="77777777" w:rsidR="00DD155C" w:rsidRPr="00252EAF" w:rsidRDefault="00DD155C" w:rsidP="00F830E6">
            <w:pPr>
              <w:keepNext/>
              <w:keepLines/>
              <w:spacing w:after="0" w:line="240" w:lineRule="auto"/>
              <w:rPr>
                <w:rFonts w:eastAsia="Times New Roman" w:cs="Arial"/>
                <w:color w:val="000000"/>
                <w:sz w:val="18"/>
                <w:szCs w:val="18"/>
                <w:lang w:eastAsia="en-AU"/>
              </w:rPr>
            </w:pPr>
            <w:r w:rsidRPr="00252EAF">
              <w:rPr>
                <w:rFonts w:eastAsia="Times New Roman" w:cs="Arial"/>
                <w:color w:val="000000"/>
                <w:sz w:val="18"/>
                <w:szCs w:val="18"/>
                <w:lang w:eastAsia="en-AU"/>
              </w:rPr>
              <w:t>0-6</w:t>
            </w:r>
          </w:p>
        </w:tc>
        <w:tc>
          <w:tcPr>
            <w:tcW w:w="1503" w:type="dxa"/>
            <w:tcBorders>
              <w:top w:val="nil"/>
              <w:left w:val="nil"/>
              <w:bottom w:val="nil"/>
              <w:right w:val="nil"/>
            </w:tcBorders>
            <w:shd w:val="clear" w:color="auto" w:fill="auto"/>
            <w:noWrap/>
            <w:vAlign w:val="center"/>
            <w:hideMark/>
          </w:tcPr>
          <w:p w14:paraId="3A595FF6" w14:textId="77777777" w:rsidR="00DD155C" w:rsidRPr="00252EAF" w:rsidRDefault="00DD155C" w:rsidP="00F830E6">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0%</w:t>
            </w:r>
          </w:p>
        </w:tc>
        <w:tc>
          <w:tcPr>
            <w:tcW w:w="2330" w:type="dxa"/>
            <w:tcBorders>
              <w:top w:val="nil"/>
              <w:left w:val="nil"/>
              <w:bottom w:val="nil"/>
              <w:right w:val="nil"/>
            </w:tcBorders>
            <w:shd w:val="clear" w:color="auto" w:fill="auto"/>
            <w:noWrap/>
            <w:vAlign w:val="center"/>
            <w:hideMark/>
          </w:tcPr>
          <w:p w14:paraId="11C34659" w14:textId="77777777" w:rsidR="00DD155C" w:rsidRPr="00252EAF" w:rsidRDefault="00DD155C" w:rsidP="00F830E6">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0%</w:t>
            </w:r>
          </w:p>
        </w:tc>
        <w:tc>
          <w:tcPr>
            <w:tcW w:w="1784" w:type="dxa"/>
            <w:tcBorders>
              <w:top w:val="nil"/>
              <w:left w:val="nil"/>
              <w:bottom w:val="nil"/>
              <w:right w:val="nil"/>
            </w:tcBorders>
            <w:shd w:val="clear" w:color="auto" w:fill="auto"/>
            <w:noWrap/>
            <w:vAlign w:val="center"/>
            <w:hideMark/>
          </w:tcPr>
          <w:p w14:paraId="0B6E7FFA" w14:textId="77777777" w:rsidR="00DD155C" w:rsidRPr="00252EAF" w:rsidRDefault="00DD155C" w:rsidP="00F830E6">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0%</w:t>
            </w:r>
          </w:p>
        </w:tc>
        <w:tc>
          <w:tcPr>
            <w:tcW w:w="2717" w:type="dxa"/>
            <w:tcBorders>
              <w:top w:val="nil"/>
              <w:left w:val="nil"/>
              <w:bottom w:val="nil"/>
              <w:right w:val="nil"/>
            </w:tcBorders>
            <w:shd w:val="clear" w:color="auto" w:fill="auto"/>
            <w:noWrap/>
            <w:vAlign w:val="center"/>
            <w:hideMark/>
          </w:tcPr>
          <w:p w14:paraId="293063C7" w14:textId="77777777" w:rsidR="00DD155C" w:rsidRPr="00252EAF" w:rsidRDefault="00DD155C" w:rsidP="00F830E6">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0%</w:t>
            </w:r>
          </w:p>
        </w:tc>
      </w:tr>
      <w:tr w:rsidR="00DD155C" w:rsidRPr="00C91D96" w14:paraId="6B1F9D92" w14:textId="77777777" w:rsidTr="00252EAF">
        <w:trPr>
          <w:trHeight w:val="285"/>
        </w:trPr>
        <w:tc>
          <w:tcPr>
            <w:tcW w:w="1026" w:type="dxa"/>
            <w:tcBorders>
              <w:top w:val="nil"/>
              <w:left w:val="nil"/>
              <w:bottom w:val="nil"/>
              <w:right w:val="nil"/>
            </w:tcBorders>
            <w:shd w:val="clear" w:color="000000" w:fill="BCBEC0"/>
            <w:noWrap/>
            <w:vAlign w:val="center"/>
            <w:hideMark/>
          </w:tcPr>
          <w:p w14:paraId="380A70BF" w14:textId="77777777" w:rsidR="00DD155C" w:rsidRPr="00252EAF" w:rsidRDefault="00DD155C" w:rsidP="00F830E6">
            <w:pPr>
              <w:keepNext/>
              <w:keepLines/>
              <w:spacing w:after="0" w:line="240" w:lineRule="auto"/>
              <w:rPr>
                <w:rFonts w:eastAsia="Times New Roman" w:cs="Arial"/>
                <w:color w:val="000000"/>
                <w:sz w:val="18"/>
                <w:szCs w:val="18"/>
                <w:lang w:eastAsia="en-AU"/>
              </w:rPr>
            </w:pPr>
            <w:r w:rsidRPr="00252EAF">
              <w:rPr>
                <w:rFonts w:eastAsia="Times New Roman" w:cs="Arial"/>
                <w:color w:val="000000"/>
                <w:sz w:val="18"/>
                <w:szCs w:val="18"/>
                <w:lang w:eastAsia="en-AU"/>
              </w:rPr>
              <w:t>7-18</w:t>
            </w:r>
          </w:p>
        </w:tc>
        <w:tc>
          <w:tcPr>
            <w:tcW w:w="1503" w:type="dxa"/>
            <w:tcBorders>
              <w:top w:val="nil"/>
              <w:left w:val="nil"/>
              <w:bottom w:val="nil"/>
              <w:right w:val="nil"/>
            </w:tcBorders>
            <w:shd w:val="clear" w:color="000000" w:fill="BCBEC0"/>
            <w:noWrap/>
            <w:vAlign w:val="center"/>
            <w:hideMark/>
          </w:tcPr>
          <w:p w14:paraId="03941AEB" w14:textId="77777777" w:rsidR="00DD155C" w:rsidRPr="00252EAF" w:rsidRDefault="00DD155C" w:rsidP="00F830E6">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1%</w:t>
            </w:r>
          </w:p>
        </w:tc>
        <w:tc>
          <w:tcPr>
            <w:tcW w:w="2330" w:type="dxa"/>
            <w:tcBorders>
              <w:top w:val="nil"/>
              <w:left w:val="nil"/>
              <w:bottom w:val="nil"/>
              <w:right w:val="nil"/>
            </w:tcBorders>
            <w:shd w:val="clear" w:color="000000" w:fill="BCBEC0"/>
            <w:noWrap/>
            <w:vAlign w:val="center"/>
            <w:hideMark/>
          </w:tcPr>
          <w:p w14:paraId="63D96071" w14:textId="77777777" w:rsidR="00DD155C" w:rsidRPr="00252EAF" w:rsidRDefault="00DD155C" w:rsidP="00F830E6">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1%</w:t>
            </w:r>
          </w:p>
        </w:tc>
        <w:tc>
          <w:tcPr>
            <w:tcW w:w="1784" w:type="dxa"/>
            <w:tcBorders>
              <w:top w:val="nil"/>
              <w:left w:val="nil"/>
              <w:bottom w:val="nil"/>
              <w:right w:val="nil"/>
            </w:tcBorders>
            <w:shd w:val="clear" w:color="000000" w:fill="BCBEC0"/>
            <w:noWrap/>
            <w:vAlign w:val="center"/>
            <w:hideMark/>
          </w:tcPr>
          <w:p w14:paraId="2555BC4C" w14:textId="77777777" w:rsidR="00DD155C" w:rsidRPr="00252EAF" w:rsidRDefault="00DD155C" w:rsidP="00F830E6">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10%</w:t>
            </w:r>
          </w:p>
        </w:tc>
        <w:tc>
          <w:tcPr>
            <w:tcW w:w="2717" w:type="dxa"/>
            <w:tcBorders>
              <w:top w:val="nil"/>
              <w:left w:val="nil"/>
              <w:bottom w:val="nil"/>
              <w:right w:val="nil"/>
            </w:tcBorders>
            <w:shd w:val="clear" w:color="000000" w:fill="BCBEC0"/>
            <w:noWrap/>
            <w:vAlign w:val="center"/>
            <w:hideMark/>
          </w:tcPr>
          <w:p w14:paraId="65258301" w14:textId="77777777" w:rsidR="00DD155C" w:rsidRPr="00252EAF" w:rsidRDefault="00DD155C" w:rsidP="00F830E6">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5%</w:t>
            </w:r>
          </w:p>
        </w:tc>
      </w:tr>
      <w:tr w:rsidR="00DD155C" w:rsidRPr="00C91D96" w14:paraId="2F4BB0D3" w14:textId="77777777" w:rsidTr="00252EAF">
        <w:trPr>
          <w:trHeight w:val="285"/>
        </w:trPr>
        <w:tc>
          <w:tcPr>
            <w:tcW w:w="1026" w:type="dxa"/>
            <w:tcBorders>
              <w:top w:val="nil"/>
              <w:left w:val="nil"/>
              <w:bottom w:val="nil"/>
              <w:right w:val="nil"/>
            </w:tcBorders>
            <w:shd w:val="clear" w:color="auto" w:fill="auto"/>
            <w:noWrap/>
            <w:vAlign w:val="center"/>
            <w:hideMark/>
          </w:tcPr>
          <w:p w14:paraId="36ECCC92" w14:textId="77777777" w:rsidR="00DD155C" w:rsidRPr="00252EAF" w:rsidRDefault="00DD155C" w:rsidP="00F830E6">
            <w:pPr>
              <w:keepNext/>
              <w:keepLines/>
              <w:spacing w:after="0" w:line="240" w:lineRule="auto"/>
              <w:rPr>
                <w:rFonts w:eastAsia="Times New Roman" w:cs="Arial"/>
                <w:color w:val="000000"/>
                <w:sz w:val="18"/>
                <w:szCs w:val="18"/>
                <w:lang w:eastAsia="en-AU"/>
              </w:rPr>
            </w:pPr>
            <w:r w:rsidRPr="00252EAF">
              <w:rPr>
                <w:rFonts w:eastAsia="Times New Roman" w:cs="Arial"/>
                <w:color w:val="000000"/>
                <w:sz w:val="18"/>
                <w:szCs w:val="18"/>
                <w:lang w:eastAsia="en-AU"/>
              </w:rPr>
              <w:t>19-24</w:t>
            </w:r>
          </w:p>
        </w:tc>
        <w:tc>
          <w:tcPr>
            <w:tcW w:w="1503" w:type="dxa"/>
            <w:tcBorders>
              <w:top w:val="nil"/>
              <w:left w:val="nil"/>
              <w:bottom w:val="nil"/>
              <w:right w:val="nil"/>
            </w:tcBorders>
            <w:shd w:val="clear" w:color="auto" w:fill="auto"/>
            <w:noWrap/>
            <w:vAlign w:val="center"/>
            <w:hideMark/>
          </w:tcPr>
          <w:p w14:paraId="3570D17C" w14:textId="77777777" w:rsidR="00DD155C" w:rsidRPr="00252EAF" w:rsidRDefault="00DD155C" w:rsidP="00F830E6">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23%</w:t>
            </w:r>
          </w:p>
        </w:tc>
        <w:tc>
          <w:tcPr>
            <w:tcW w:w="2330" w:type="dxa"/>
            <w:tcBorders>
              <w:top w:val="nil"/>
              <w:left w:val="nil"/>
              <w:bottom w:val="nil"/>
              <w:right w:val="nil"/>
            </w:tcBorders>
            <w:shd w:val="clear" w:color="auto" w:fill="auto"/>
            <w:noWrap/>
            <w:vAlign w:val="center"/>
            <w:hideMark/>
          </w:tcPr>
          <w:p w14:paraId="442150B9" w14:textId="77777777" w:rsidR="00DD155C" w:rsidRPr="00252EAF" w:rsidRDefault="00DD155C" w:rsidP="00F830E6">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28%</w:t>
            </w:r>
          </w:p>
        </w:tc>
        <w:tc>
          <w:tcPr>
            <w:tcW w:w="1784" w:type="dxa"/>
            <w:tcBorders>
              <w:top w:val="nil"/>
              <w:left w:val="nil"/>
              <w:bottom w:val="nil"/>
              <w:right w:val="nil"/>
            </w:tcBorders>
            <w:shd w:val="clear" w:color="auto" w:fill="auto"/>
            <w:noWrap/>
            <w:vAlign w:val="center"/>
            <w:hideMark/>
          </w:tcPr>
          <w:p w14:paraId="4D229868" w14:textId="77777777" w:rsidR="00DD155C" w:rsidRPr="00252EAF" w:rsidRDefault="00DD155C" w:rsidP="00F830E6">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17%</w:t>
            </w:r>
          </w:p>
        </w:tc>
        <w:tc>
          <w:tcPr>
            <w:tcW w:w="2717" w:type="dxa"/>
            <w:tcBorders>
              <w:top w:val="nil"/>
              <w:left w:val="nil"/>
              <w:bottom w:val="nil"/>
              <w:right w:val="nil"/>
            </w:tcBorders>
            <w:shd w:val="clear" w:color="auto" w:fill="auto"/>
            <w:noWrap/>
            <w:vAlign w:val="center"/>
            <w:hideMark/>
          </w:tcPr>
          <w:p w14:paraId="433DA765" w14:textId="77777777" w:rsidR="00DD155C" w:rsidRPr="00252EAF" w:rsidRDefault="00DD155C" w:rsidP="00F830E6">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22%</w:t>
            </w:r>
          </w:p>
        </w:tc>
      </w:tr>
      <w:tr w:rsidR="00DD155C" w:rsidRPr="00C91D96" w14:paraId="4A0CD78D" w14:textId="77777777" w:rsidTr="00252EAF">
        <w:trPr>
          <w:trHeight w:val="285"/>
        </w:trPr>
        <w:tc>
          <w:tcPr>
            <w:tcW w:w="1026" w:type="dxa"/>
            <w:tcBorders>
              <w:top w:val="nil"/>
              <w:left w:val="nil"/>
              <w:bottom w:val="nil"/>
              <w:right w:val="nil"/>
            </w:tcBorders>
            <w:shd w:val="clear" w:color="000000" w:fill="BCBEC0"/>
            <w:noWrap/>
            <w:vAlign w:val="center"/>
            <w:hideMark/>
          </w:tcPr>
          <w:p w14:paraId="05CB4E0C" w14:textId="77777777" w:rsidR="00DD155C" w:rsidRPr="00252EAF" w:rsidRDefault="00DD155C" w:rsidP="00F830E6">
            <w:pPr>
              <w:keepNext/>
              <w:keepLines/>
              <w:spacing w:after="0" w:line="240" w:lineRule="auto"/>
              <w:rPr>
                <w:rFonts w:eastAsia="Times New Roman" w:cs="Arial"/>
                <w:color w:val="000000"/>
                <w:sz w:val="18"/>
                <w:szCs w:val="18"/>
                <w:lang w:eastAsia="en-AU"/>
              </w:rPr>
            </w:pPr>
            <w:r w:rsidRPr="00252EAF">
              <w:rPr>
                <w:rFonts w:eastAsia="Times New Roman" w:cs="Arial"/>
                <w:color w:val="000000"/>
                <w:sz w:val="18"/>
                <w:szCs w:val="18"/>
                <w:lang w:eastAsia="en-AU"/>
              </w:rPr>
              <w:t>25-34</w:t>
            </w:r>
          </w:p>
        </w:tc>
        <w:tc>
          <w:tcPr>
            <w:tcW w:w="1503" w:type="dxa"/>
            <w:tcBorders>
              <w:top w:val="nil"/>
              <w:left w:val="nil"/>
              <w:bottom w:val="nil"/>
              <w:right w:val="nil"/>
            </w:tcBorders>
            <w:shd w:val="clear" w:color="000000" w:fill="BCBEC0"/>
            <w:noWrap/>
            <w:vAlign w:val="center"/>
            <w:hideMark/>
          </w:tcPr>
          <w:p w14:paraId="637DC918" w14:textId="77777777" w:rsidR="00DD155C" w:rsidRPr="00252EAF" w:rsidRDefault="00DD155C" w:rsidP="00F830E6">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38%</w:t>
            </w:r>
          </w:p>
        </w:tc>
        <w:tc>
          <w:tcPr>
            <w:tcW w:w="2330" w:type="dxa"/>
            <w:tcBorders>
              <w:top w:val="nil"/>
              <w:left w:val="nil"/>
              <w:bottom w:val="nil"/>
              <w:right w:val="nil"/>
            </w:tcBorders>
            <w:shd w:val="clear" w:color="000000" w:fill="BCBEC0"/>
            <w:noWrap/>
            <w:vAlign w:val="center"/>
            <w:hideMark/>
          </w:tcPr>
          <w:p w14:paraId="6B989A66" w14:textId="77777777" w:rsidR="00DD155C" w:rsidRPr="00252EAF" w:rsidRDefault="00DD155C" w:rsidP="00F830E6">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46%</w:t>
            </w:r>
          </w:p>
        </w:tc>
        <w:tc>
          <w:tcPr>
            <w:tcW w:w="1784" w:type="dxa"/>
            <w:tcBorders>
              <w:top w:val="nil"/>
              <w:left w:val="nil"/>
              <w:bottom w:val="nil"/>
              <w:right w:val="nil"/>
            </w:tcBorders>
            <w:shd w:val="clear" w:color="000000" w:fill="BCBEC0"/>
            <w:noWrap/>
            <w:vAlign w:val="center"/>
            <w:hideMark/>
          </w:tcPr>
          <w:p w14:paraId="58681E7C" w14:textId="77777777" w:rsidR="00DD155C" w:rsidRPr="00252EAF" w:rsidRDefault="00DD155C" w:rsidP="00F830E6">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17%</w:t>
            </w:r>
          </w:p>
        </w:tc>
        <w:tc>
          <w:tcPr>
            <w:tcW w:w="2717" w:type="dxa"/>
            <w:tcBorders>
              <w:top w:val="nil"/>
              <w:left w:val="nil"/>
              <w:bottom w:val="nil"/>
              <w:right w:val="nil"/>
            </w:tcBorders>
            <w:shd w:val="clear" w:color="000000" w:fill="BCBEC0"/>
            <w:noWrap/>
            <w:vAlign w:val="center"/>
            <w:hideMark/>
          </w:tcPr>
          <w:p w14:paraId="2D665663" w14:textId="77777777" w:rsidR="00DD155C" w:rsidRPr="00252EAF" w:rsidRDefault="00DD155C" w:rsidP="00F830E6">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24%</w:t>
            </w:r>
          </w:p>
        </w:tc>
      </w:tr>
      <w:tr w:rsidR="00DD155C" w:rsidRPr="00C91D96" w14:paraId="5140B37D" w14:textId="77777777" w:rsidTr="00252EAF">
        <w:trPr>
          <w:trHeight w:val="285"/>
        </w:trPr>
        <w:tc>
          <w:tcPr>
            <w:tcW w:w="1026" w:type="dxa"/>
            <w:tcBorders>
              <w:top w:val="nil"/>
              <w:left w:val="nil"/>
              <w:bottom w:val="nil"/>
              <w:right w:val="nil"/>
            </w:tcBorders>
            <w:shd w:val="clear" w:color="auto" w:fill="auto"/>
            <w:noWrap/>
            <w:vAlign w:val="center"/>
            <w:hideMark/>
          </w:tcPr>
          <w:p w14:paraId="69B60FEA" w14:textId="77777777" w:rsidR="00DD155C" w:rsidRPr="00252EAF" w:rsidRDefault="00DD155C" w:rsidP="00F830E6">
            <w:pPr>
              <w:keepNext/>
              <w:keepLines/>
              <w:spacing w:after="0" w:line="240" w:lineRule="auto"/>
              <w:rPr>
                <w:rFonts w:eastAsia="Times New Roman" w:cs="Arial"/>
                <w:color w:val="000000"/>
                <w:sz w:val="18"/>
                <w:szCs w:val="18"/>
                <w:lang w:eastAsia="en-AU"/>
              </w:rPr>
            </w:pPr>
            <w:r w:rsidRPr="00252EAF">
              <w:rPr>
                <w:rFonts w:eastAsia="Times New Roman" w:cs="Arial"/>
                <w:color w:val="000000"/>
                <w:sz w:val="18"/>
                <w:szCs w:val="18"/>
                <w:lang w:eastAsia="en-AU"/>
              </w:rPr>
              <w:t>35-44</w:t>
            </w:r>
          </w:p>
        </w:tc>
        <w:tc>
          <w:tcPr>
            <w:tcW w:w="1503" w:type="dxa"/>
            <w:tcBorders>
              <w:top w:val="nil"/>
              <w:left w:val="nil"/>
              <w:bottom w:val="nil"/>
              <w:right w:val="nil"/>
            </w:tcBorders>
            <w:shd w:val="clear" w:color="auto" w:fill="auto"/>
            <w:noWrap/>
            <w:vAlign w:val="center"/>
            <w:hideMark/>
          </w:tcPr>
          <w:p w14:paraId="088D8018" w14:textId="77777777" w:rsidR="00DD155C" w:rsidRPr="00252EAF" w:rsidRDefault="00DD155C" w:rsidP="00F830E6">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38%</w:t>
            </w:r>
          </w:p>
        </w:tc>
        <w:tc>
          <w:tcPr>
            <w:tcW w:w="2330" w:type="dxa"/>
            <w:tcBorders>
              <w:top w:val="nil"/>
              <w:left w:val="nil"/>
              <w:bottom w:val="nil"/>
              <w:right w:val="nil"/>
            </w:tcBorders>
            <w:shd w:val="clear" w:color="auto" w:fill="auto"/>
            <w:noWrap/>
            <w:vAlign w:val="center"/>
            <w:hideMark/>
          </w:tcPr>
          <w:p w14:paraId="3777C467" w14:textId="77777777" w:rsidR="00DD155C" w:rsidRPr="00252EAF" w:rsidRDefault="00DD155C" w:rsidP="00F830E6">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46%</w:t>
            </w:r>
          </w:p>
        </w:tc>
        <w:tc>
          <w:tcPr>
            <w:tcW w:w="1784" w:type="dxa"/>
            <w:tcBorders>
              <w:top w:val="nil"/>
              <w:left w:val="nil"/>
              <w:bottom w:val="nil"/>
              <w:right w:val="nil"/>
            </w:tcBorders>
            <w:shd w:val="clear" w:color="auto" w:fill="auto"/>
            <w:noWrap/>
            <w:vAlign w:val="center"/>
            <w:hideMark/>
          </w:tcPr>
          <w:p w14:paraId="08B6794A" w14:textId="77777777" w:rsidR="00DD155C" w:rsidRPr="00252EAF" w:rsidRDefault="00DD155C" w:rsidP="00F830E6">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17%</w:t>
            </w:r>
          </w:p>
        </w:tc>
        <w:tc>
          <w:tcPr>
            <w:tcW w:w="2717" w:type="dxa"/>
            <w:tcBorders>
              <w:top w:val="nil"/>
              <w:left w:val="nil"/>
              <w:bottom w:val="nil"/>
              <w:right w:val="nil"/>
            </w:tcBorders>
            <w:shd w:val="clear" w:color="auto" w:fill="auto"/>
            <w:noWrap/>
            <w:vAlign w:val="center"/>
            <w:hideMark/>
          </w:tcPr>
          <w:p w14:paraId="5B57C580" w14:textId="77777777" w:rsidR="00DD155C" w:rsidRPr="00252EAF" w:rsidRDefault="00DD155C" w:rsidP="00F830E6">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24%</w:t>
            </w:r>
          </w:p>
        </w:tc>
      </w:tr>
      <w:tr w:rsidR="00DD155C" w:rsidRPr="00C91D96" w14:paraId="6135A7B8" w14:textId="77777777" w:rsidTr="00252EAF">
        <w:trPr>
          <w:trHeight w:val="285"/>
        </w:trPr>
        <w:tc>
          <w:tcPr>
            <w:tcW w:w="1026" w:type="dxa"/>
            <w:tcBorders>
              <w:top w:val="nil"/>
              <w:left w:val="nil"/>
              <w:bottom w:val="nil"/>
              <w:right w:val="nil"/>
            </w:tcBorders>
            <w:shd w:val="clear" w:color="000000" w:fill="BCBEC0"/>
            <w:noWrap/>
            <w:vAlign w:val="center"/>
            <w:hideMark/>
          </w:tcPr>
          <w:p w14:paraId="3A32A325" w14:textId="77777777" w:rsidR="00DD155C" w:rsidRPr="00252EAF" w:rsidRDefault="00DD155C" w:rsidP="00F830E6">
            <w:pPr>
              <w:keepNext/>
              <w:keepLines/>
              <w:spacing w:after="0" w:line="240" w:lineRule="auto"/>
              <w:rPr>
                <w:rFonts w:eastAsia="Times New Roman" w:cs="Arial"/>
                <w:color w:val="000000"/>
                <w:sz w:val="18"/>
                <w:szCs w:val="18"/>
                <w:lang w:eastAsia="en-AU"/>
              </w:rPr>
            </w:pPr>
            <w:r w:rsidRPr="00252EAF">
              <w:rPr>
                <w:rFonts w:eastAsia="Times New Roman" w:cs="Arial"/>
                <w:color w:val="000000"/>
                <w:sz w:val="18"/>
                <w:szCs w:val="18"/>
                <w:lang w:eastAsia="en-AU"/>
              </w:rPr>
              <w:t>45-54</w:t>
            </w:r>
          </w:p>
        </w:tc>
        <w:tc>
          <w:tcPr>
            <w:tcW w:w="1503" w:type="dxa"/>
            <w:tcBorders>
              <w:top w:val="nil"/>
              <w:left w:val="nil"/>
              <w:bottom w:val="nil"/>
              <w:right w:val="nil"/>
            </w:tcBorders>
            <w:shd w:val="clear" w:color="000000" w:fill="BCBEC0"/>
            <w:noWrap/>
            <w:vAlign w:val="center"/>
            <w:hideMark/>
          </w:tcPr>
          <w:p w14:paraId="43A98906" w14:textId="77777777" w:rsidR="00DD155C" w:rsidRPr="00252EAF" w:rsidRDefault="00DD155C" w:rsidP="00F830E6">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38%</w:t>
            </w:r>
          </w:p>
        </w:tc>
        <w:tc>
          <w:tcPr>
            <w:tcW w:w="2330" w:type="dxa"/>
            <w:tcBorders>
              <w:top w:val="nil"/>
              <w:left w:val="nil"/>
              <w:bottom w:val="nil"/>
              <w:right w:val="nil"/>
            </w:tcBorders>
            <w:shd w:val="clear" w:color="000000" w:fill="BCBEC0"/>
            <w:noWrap/>
            <w:vAlign w:val="center"/>
            <w:hideMark/>
          </w:tcPr>
          <w:p w14:paraId="59FA8910" w14:textId="77777777" w:rsidR="00DD155C" w:rsidRPr="00252EAF" w:rsidRDefault="00DD155C" w:rsidP="00F830E6">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46%</w:t>
            </w:r>
          </w:p>
        </w:tc>
        <w:tc>
          <w:tcPr>
            <w:tcW w:w="1784" w:type="dxa"/>
            <w:tcBorders>
              <w:top w:val="nil"/>
              <w:left w:val="nil"/>
              <w:bottom w:val="nil"/>
              <w:right w:val="nil"/>
            </w:tcBorders>
            <w:shd w:val="clear" w:color="000000" w:fill="BCBEC0"/>
            <w:noWrap/>
            <w:vAlign w:val="center"/>
            <w:hideMark/>
          </w:tcPr>
          <w:p w14:paraId="7B691B80" w14:textId="77777777" w:rsidR="00DD155C" w:rsidRPr="00252EAF" w:rsidRDefault="00DD155C" w:rsidP="00F830E6">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17%</w:t>
            </w:r>
          </w:p>
        </w:tc>
        <w:tc>
          <w:tcPr>
            <w:tcW w:w="2717" w:type="dxa"/>
            <w:tcBorders>
              <w:top w:val="nil"/>
              <w:left w:val="nil"/>
              <w:bottom w:val="nil"/>
              <w:right w:val="nil"/>
            </w:tcBorders>
            <w:shd w:val="clear" w:color="000000" w:fill="BCBEC0"/>
            <w:noWrap/>
            <w:vAlign w:val="center"/>
            <w:hideMark/>
          </w:tcPr>
          <w:p w14:paraId="0A5104E6" w14:textId="77777777" w:rsidR="00DD155C" w:rsidRPr="00252EAF" w:rsidRDefault="00DD155C" w:rsidP="00F830E6">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24%</w:t>
            </w:r>
          </w:p>
        </w:tc>
      </w:tr>
      <w:tr w:rsidR="00DD155C" w:rsidRPr="00C91D96" w14:paraId="7FD521F1" w14:textId="77777777" w:rsidTr="00252EAF">
        <w:trPr>
          <w:trHeight w:val="285"/>
        </w:trPr>
        <w:tc>
          <w:tcPr>
            <w:tcW w:w="1026" w:type="dxa"/>
            <w:tcBorders>
              <w:top w:val="nil"/>
              <w:left w:val="nil"/>
              <w:bottom w:val="single" w:sz="4" w:space="0" w:color="auto"/>
              <w:right w:val="nil"/>
            </w:tcBorders>
            <w:shd w:val="clear" w:color="auto" w:fill="auto"/>
            <w:noWrap/>
            <w:vAlign w:val="center"/>
            <w:hideMark/>
          </w:tcPr>
          <w:p w14:paraId="62703893" w14:textId="77777777" w:rsidR="00DD155C" w:rsidRPr="00252EAF" w:rsidRDefault="00DD155C" w:rsidP="00F830E6">
            <w:pPr>
              <w:keepNext/>
              <w:keepLines/>
              <w:spacing w:after="0" w:line="240" w:lineRule="auto"/>
              <w:rPr>
                <w:rFonts w:eastAsia="Times New Roman" w:cs="Arial"/>
                <w:color w:val="000000"/>
                <w:sz w:val="18"/>
                <w:szCs w:val="18"/>
                <w:lang w:eastAsia="en-AU"/>
              </w:rPr>
            </w:pPr>
            <w:r w:rsidRPr="00252EAF">
              <w:rPr>
                <w:rFonts w:eastAsia="Times New Roman" w:cs="Arial"/>
                <w:color w:val="000000"/>
                <w:sz w:val="18"/>
                <w:szCs w:val="18"/>
                <w:lang w:eastAsia="en-AU"/>
              </w:rPr>
              <w:t>55-64</w:t>
            </w:r>
          </w:p>
        </w:tc>
        <w:tc>
          <w:tcPr>
            <w:tcW w:w="1503" w:type="dxa"/>
            <w:tcBorders>
              <w:top w:val="nil"/>
              <w:left w:val="nil"/>
              <w:bottom w:val="single" w:sz="4" w:space="0" w:color="auto"/>
              <w:right w:val="nil"/>
            </w:tcBorders>
            <w:shd w:val="clear" w:color="auto" w:fill="auto"/>
            <w:noWrap/>
            <w:vAlign w:val="center"/>
            <w:hideMark/>
          </w:tcPr>
          <w:p w14:paraId="06374D7A" w14:textId="77777777" w:rsidR="00DD155C" w:rsidRPr="00252EAF" w:rsidRDefault="00DD155C" w:rsidP="00F830E6">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38%</w:t>
            </w:r>
          </w:p>
        </w:tc>
        <w:tc>
          <w:tcPr>
            <w:tcW w:w="2330" w:type="dxa"/>
            <w:tcBorders>
              <w:top w:val="nil"/>
              <w:left w:val="nil"/>
              <w:bottom w:val="single" w:sz="4" w:space="0" w:color="auto"/>
              <w:right w:val="nil"/>
            </w:tcBorders>
            <w:shd w:val="clear" w:color="auto" w:fill="auto"/>
            <w:noWrap/>
            <w:vAlign w:val="center"/>
            <w:hideMark/>
          </w:tcPr>
          <w:p w14:paraId="12A3EE48" w14:textId="77777777" w:rsidR="00DD155C" w:rsidRPr="00252EAF" w:rsidRDefault="00DD155C" w:rsidP="00F830E6">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46%</w:t>
            </w:r>
          </w:p>
        </w:tc>
        <w:tc>
          <w:tcPr>
            <w:tcW w:w="1784" w:type="dxa"/>
            <w:tcBorders>
              <w:top w:val="nil"/>
              <w:left w:val="nil"/>
              <w:bottom w:val="single" w:sz="4" w:space="0" w:color="auto"/>
              <w:right w:val="nil"/>
            </w:tcBorders>
            <w:shd w:val="clear" w:color="auto" w:fill="auto"/>
            <w:noWrap/>
            <w:vAlign w:val="center"/>
            <w:hideMark/>
          </w:tcPr>
          <w:p w14:paraId="35F8F309" w14:textId="77777777" w:rsidR="00DD155C" w:rsidRPr="00252EAF" w:rsidRDefault="00DD155C" w:rsidP="00F830E6">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17%</w:t>
            </w:r>
          </w:p>
        </w:tc>
        <w:tc>
          <w:tcPr>
            <w:tcW w:w="2717" w:type="dxa"/>
            <w:tcBorders>
              <w:top w:val="nil"/>
              <w:left w:val="nil"/>
              <w:bottom w:val="single" w:sz="4" w:space="0" w:color="auto"/>
              <w:right w:val="nil"/>
            </w:tcBorders>
            <w:shd w:val="clear" w:color="auto" w:fill="auto"/>
            <w:noWrap/>
            <w:vAlign w:val="center"/>
            <w:hideMark/>
          </w:tcPr>
          <w:p w14:paraId="2A90608F" w14:textId="77777777" w:rsidR="00DD155C" w:rsidRPr="00252EAF" w:rsidRDefault="00DD155C" w:rsidP="00F830E6">
            <w:pPr>
              <w:keepNext/>
              <w:keepLines/>
              <w:spacing w:after="0" w:line="240" w:lineRule="auto"/>
              <w:jc w:val="right"/>
              <w:rPr>
                <w:rFonts w:eastAsia="Times New Roman" w:cs="Arial"/>
                <w:color w:val="000000"/>
                <w:sz w:val="18"/>
                <w:szCs w:val="18"/>
                <w:lang w:eastAsia="en-AU"/>
              </w:rPr>
            </w:pPr>
            <w:r w:rsidRPr="00252EAF">
              <w:rPr>
                <w:rFonts w:eastAsia="Times New Roman" w:cs="Arial"/>
                <w:color w:val="000000"/>
                <w:sz w:val="18"/>
                <w:szCs w:val="18"/>
                <w:lang w:eastAsia="en-AU"/>
              </w:rPr>
              <w:t>24%</w:t>
            </w:r>
          </w:p>
        </w:tc>
      </w:tr>
    </w:tbl>
    <w:p w14:paraId="2E840C25" w14:textId="77777777" w:rsidR="00BF7697" w:rsidRPr="00860FF4" w:rsidRDefault="00221197" w:rsidP="00BF7697">
      <w:pPr>
        <w:pStyle w:val="FSRnormal"/>
        <w:rPr>
          <w:rFonts w:asciiTheme="minorHAnsi" w:hAnsiTheme="minorHAnsi"/>
          <w:szCs w:val="22"/>
        </w:rPr>
      </w:pPr>
      <w:r w:rsidRPr="00164A79">
        <w:t xml:space="preserve">Figure </w:t>
      </w:r>
      <w:r>
        <w:rPr>
          <w:noProof/>
        </w:rPr>
        <w:t>5</w:t>
      </w:r>
      <w:r>
        <w:t>.</w:t>
      </w:r>
      <w:r>
        <w:rPr>
          <w:noProof/>
        </w:rPr>
        <w:t>3</w:t>
      </w:r>
      <w:r w:rsidR="00631D57">
        <w:rPr>
          <w:rFonts w:eastAsia="Arial" w:cs="Arial"/>
        </w:rPr>
        <w:t xml:space="preserve"> </w:t>
      </w:r>
      <w:r w:rsidR="00BF7697" w:rsidRPr="00860FF4">
        <w:rPr>
          <w:rFonts w:eastAsia="Arial" w:cs="Arial"/>
        </w:rPr>
        <w:t>shows the number of new entrants to the Scheme for years ended 31 March. The key points to note are:</w:t>
      </w:r>
    </w:p>
    <w:p w14:paraId="1AD2A902" w14:textId="77777777" w:rsidR="00BF7697" w:rsidRPr="00860FF4" w:rsidRDefault="00BF7697" w:rsidP="00BF7697">
      <w:pPr>
        <w:pStyle w:val="FSRlist"/>
        <w:rPr>
          <w:rFonts w:asciiTheme="minorHAnsi" w:hAnsiTheme="minorHAnsi"/>
          <w:szCs w:val="22"/>
        </w:rPr>
      </w:pPr>
      <w:r w:rsidRPr="00860FF4">
        <w:rPr>
          <w:rFonts w:eastAsia="Arial" w:cs="Arial"/>
        </w:rPr>
        <w:t xml:space="preserve">The overall number of new entrants peaked in </w:t>
      </w:r>
      <w:r w:rsidR="006669B6" w:rsidRPr="00860FF4">
        <w:rPr>
          <w:rFonts w:eastAsia="Arial" w:cs="Arial"/>
        </w:rPr>
        <w:t>2019.</w:t>
      </w:r>
    </w:p>
    <w:p w14:paraId="1EAA62BB" w14:textId="77777777" w:rsidR="00BF7697" w:rsidRPr="00860FF4" w:rsidRDefault="00BF7697" w:rsidP="00BF7697">
      <w:pPr>
        <w:pStyle w:val="FSRlist"/>
        <w:rPr>
          <w:rFonts w:asciiTheme="minorHAnsi" w:hAnsiTheme="minorHAnsi"/>
          <w:szCs w:val="22"/>
        </w:rPr>
      </w:pPr>
      <w:r w:rsidRPr="00860FF4">
        <w:rPr>
          <w:rFonts w:eastAsia="Arial" w:cs="Arial"/>
        </w:rPr>
        <w:t>The number of new entrants to the Scheme who transferred from an existing disability program has been declining since peaking in 2019</w:t>
      </w:r>
      <w:r w:rsidR="00310B12">
        <w:rPr>
          <w:rFonts w:eastAsia="Arial" w:cs="Arial"/>
        </w:rPr>
        <w:t>. I</w:t>
      </w:r>
      <w:r w:rsidRPr="00860FF4">
        <w:rPr>
          <w:rFonts w:eastAsia="Arial" w:cs="Arial"/>
        </w:rPr>
        <w:t>n 2022</w:t>
      </w:r>
      <w:r w:rsidR="00310B12">
        <w:rPr>
          <w:rFonts w:eastAsia="Arial" w:cs="Arial"/>
        </w:rPr>
        <w:t>,</w:t>
      </w:r>
      <w:r w:rsidRPr="00860FF4">
        <w:rPr>
          <w:rFonts w:eastAsia="Arial" w:cs="Arial"/>
        </w:rPr>
        <w:t xml:space="preserve"> </w:t>
      </w:r>
      <w:r w:rsidR="00310B12">
        <w:rPr>
          <w:rFonts w:eastAsia="Arial" w:cs="Arial"/>
        </w:rPr>
        <w:t xml:space="preserve">the </w:t>
      </w:r>
      <w:r w:rsidRPr="00860FF4">
        <w:rPr>
          <w:rFonts w:eastAsia="Arial" w:cs="Arial"/>
        </w:rPr>
        <w:t>participants who transferred from an existing disability program (about 4,350 participants) represented only 6% of the total number of new entrants (compared to the 2019 year where participants transferring from an existing disability program represented 62% of the total number of new entrants); and</w:t>
      </w:r>
    </w:p>
    <w:p w14:paraId="099A71D5" w14:textId="77777777" w:rsidR="00BF7697" w:rsidRPr="00860FF4" w:rsidRDefault="00BF7697" w:rsidP="00BF7697">
      <w:pPr>
        <w:pStyle w:val="FSRlist"/>
        <w:rPr>
          <w:rFonts w:asciiTheme="minorHAnsi" w:hAnsiTheme="minorHAnsi"/>
          <w:szCs w:val="22"/>
        </w:rPr>
      </w:pPr>
      <w:r w:rsidRPr="00860FF4">
        <w:rPr>
          <w:rFonts w:eastAsia="Arial" w:cs="Arial"/>
        </w:rPr>
        <w:t xml:space="preserve">Most importantly, the number of participants entering the Scheme </w:t>
      </w:r>
      <w:r w:rsidR="00EF44F7">
        <w:rPr>
          <w:rFonts w:eastAsia="Arial" w:cs="Arial"/>
        </w:rPr>
        <w:t xml:space="preserve">who </w:t>
      </w:r>
      <w:r w:rsidRPr="00860FF4">
        <w:rPr>
          <w:rFonts w:eastAsia="Arial" w:cs="Arial"/>
        </w:rPr>
        <w:t>are new to disability supports</w:t>
      </w:r>
      <w:r w:rsidR="00310B12">
        <w:rPr>
          <w:rStyle w:val="FootnoteReference"/>
          <w:rFonts w:eastAsia="Arial" w:cs="Arial"/>
        </w:rPr>
        <w:footnoteReference w:id="91"/>
      </w:r>
      <w:r w:rsidRPr="00860FF4">
        <w:rPr>
          <w:rFonts w:eastAsia="Arial" w:cs="Arial"/>
        </w:rPr>
        <w:t xml:space="preserve"> </w:t>
      </w:r>
      <w:r w:rsidR="00EF44F7">
        <w:rPr>
          <w:rFonts w:eastAsia="Arial" w:cs="Arial"/>
        </w:rPr>
        <w:t xml:space="preserve">was broadly similar in 2021 and </w:t>
      </w:r>
      <w:r w:rsidR="00041A6C">
        <w:rPr>
          <w:rFonts w:eastAsia="Arial" w:cs="Arial"/>
        </w:rPr>
        <w:t>2022</w:t>
      </w:r>
      <w:r w:rsidR="00041A6C" w:rsidRPr="00860FF4">
        <w:rPr>
          <w:rFonts w:eastAsia="Arial" w:cs="Arial"/>
        </w:rPr>
        <w:t xml:space="preserve"> and</w:t>
      </w:r>
      <w:r w:rsidRPr="00860FF4">
        <w:rPr>
          <w:rFonts w:eastAsia="Arial" w:cs="Arial"/>
        </w:rPr>
        <w:t xml:space="preserve"> is expected to continue declining until the </w:t>
      </w:r>
      <w:r w:rsidR="001B3570">
        <w:rPr>
          <w:rFonts w:eastAsia="Arial" w:cs="Arial"/>
        </w:rPr>
        <w:t>S</w:t>
      </w:r>
      <w:r w:rsidRPr="00860FF4">
        <w:rPr>
          <w:rFonts w:eastAsia="Arial" w:cs="Arial"/>
        </w:rPr>
        <w:t xml:space="preserve">teady </w:t>
      </w:r>
      <w:r w:rsidR="001B3570">
        <w:rPr>
          <w:rFonts w:eastAsia="Arial" w:cs="Arial"/>
        </w:rPr>
        <w:t>I</w:t>
      </w:r>
      <w:r w:rsidRPr="00860FF4">
        <w:rPr>
          <w:rFonts w:eastAsia="Arial" w:cs="Arial"/>
        </w:rPr>
        <w:t xml:space="preserve">ntake </w:t>
      </w:r>
      <w:r w:rsidR="001B3570">
        <w:rPr>
          <w:rFonts w:eastAsia="Arial" w:cs="Arial"/>
        </w:rPr>
        <w:t>D</w:t>
      </w:r>
      <w:r w:rsidRPr="00860FF4">
        <w:rPr>
          <w:rFonts w:eastAsia="Arial" w:cs="Arial"/>
        </w:rPr>
        <w:t>ate, which is assumed to occur around 30 June 2024</w:t>
      </w:r>
      <w:r w:rsidRPr="00860FF4">
        <w:rPr>
          <w:rFonts w:eastAsia="Arial" w:cs="Arial"/>
          <w:i/>
        </w:rPr>
        <w:t>.</w:t>
      </w:r>
    </w:p>
    <w:p w14:paraId="050DC050" w14:textId="77777777" w:rsidR="00BF7697" w:rsidRPr="00860FF4" w:rsidRDefault="00BF7697" w:rsidP="00BF7697">
      <w:pPr>
        <w:pStyle w:val="Figures"/>
      </w:pPr>
      <w:bookmarkStart w:id="180" w:name="_Ref111626911"/>
      <w:bookmarkStart w:id="181" w:name="_Ref113278080"/>
      <w:bookmarkStart w:id="182" w:name="_Ref111897471"/>
      <w:r w:rsidRPr="00164A79">
        <w:lastRenderedPageBreak/>
        <w:t xml:space="preserve">Figure </w:t>
      </w:r>
      <w:bookmarkEnd w:id="180"/>
      <w:r w:rsidR="00447AA1">
        <w:fldChar w:fldCharType="begin"/>
      </w:r>
      <w:r w:rsidR="00447AA1">
        <w:instrText xml:space="preserve"> STYLEREF 2 \s </w:instrText>
      </w:r>
      <w:r w:rsidR="00447AA1">
        <w:fldChar w:fldCharType="separate"/>
      </w:r>
      <w:r w:rsidR="00447AA1">
        <w:rPr>
          <w:noProof/>
        </w:rPr>
        <w:t>5</w:t>
      </w:r>
      <w:r w:rsidR="00447AA1">
        <w:fldChar w:fldCharType="end"/>
      </w:r>
      <w:r w:rsidR="00447AA1">
        <w:t>.</w:t>
      </w:r>
      <w:fldSimple w:instr=" SEQ Figure \* ARABIC \s 2 ">
        <w:r w:rsidR="00447AA1">
          <w:rPr>
            <w:noProof/>
          </w:rPr>
          <w:t>3</w:t>
        </w:r>
      </w:fldSimple>
      <w:bookmarkEnd w:id="181"/>
      <w:bookmarkEnd w:id="182"/>
      <w:r w:rsidRPr="00164A79">
        <w:t>: New entrants to the Scheme</w:t>
      </w:r>
    </w:p>
    <w:p w14:paraId="7B977EEC" w14:textId="77777777" w:rsidR="00BF7697" w:rsidRPr="00860FF4" w:rsidRDefault="00815157" w:rsidP="00BF7697">
      <w:pPr>
        <w:spacing w:line="264" w:lineRule="auto"/>
      </w:pPr>
      <w:r w:rsidRPr="00815157">
        <w:rPr>
          <w:noProof/>
          <w:lang w:eastAsia="en-AU"/>
        </w:rPr>
        <w:drawing>
          <wp:inline distT="0" distB="0" distL="0" distR="0" wp14:anchorId="32F348F2" wp14:editId="3A422B4E">
            <wp:extent cx="5724525" cy="3018155"/>
            <wp:effectExtent l="0" t="0" r="9525" b="0"/>
            <wp:docPr id="237" name="Picture 237" descr="Figure shows new entrants to the Scheme by years ended 31 March.&#10;The number of new entrants to the Scheme that are new to disability supports are 3,068 for the year ended 31 March 2015, 5,843 for the year ended 31 March 2016, 15,677 for the year ended 31 March 2017, 17,867 for the year ended 31 March 2018, 42,489 for the year ended 31 March 2019, 70,028 for the year ended 31 March 2020, 77,446 for the year ended 31 March 2021, and 73,347 for the year ended 31 March 2022, &#10;The number of new entrants to the Scheme transferring across from existing State/Territory/Commonwealth disability programs are 5,224 for the year ended 31 March 2015, 5,244 for the year ended 31 March 2016, 34,461 for the year ended 31 March 2017, 57,503 for the year ended 31 March 2018, 69,158 for the year ended 31 March 2019, 38,486 for the year ended 31 March 2020, 12,627 for the year ended 31 March 2021, and 4,383 for the year ended 31 March 2022, &#10;The total number of new entrants to the Scheme are 8,292 for the year ended 31 March 2015, 11,087 for the year ended 31 March 2016, 50,138 for the year ended 31 March 2017, 75,370 for the year ended 31 March 2018, 111,647 for the year ended 31 March 2019, 108,514 for the year ended 31 March 2020, 90,073 for the year ended 31 March 2021, and 77,730 for the year ended 31 March 2022.&#10;" title="Figure 5.3: New entrants to the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24525" cy="3018155"/>
                    </a:xfrm>
                    <a:prstGeom prst="rect">
                      <a:avLst/>
                    </a:prstGeom>
                    <a:noFill/>
                    <a:ln>
                      <a:noFill/>
                    </a:ln>
                  </pic:spPr>
                </pic:pic>
              </a:graphicData>
            </a:graphic>
          </wp:inline>
        </w:drawing>
      </w:r>
    </w:p>
    <w:p w14:paraId="7DED16F8" w14:textId="77777777" w:rsidR="00BF7697" w:rsidRDefault="00BF7697" w:rsidP="00BF7697">
      <w:pPr>
        <w:rPr>
          <w:rFonts w:eastAsia="Arial" w:cs="Arial"/>
        </w:rPr>
      </w:pPr>
      <w:r w:rsidRPr="00860FF4">
        <w:rPr>
          <w:rFonts w:eastAsia="Arial" w:cs="Arial"/>
        </w:rPr>
        <w:t xml:space="preserve">Applying the </w:t>
      </w:r>
      <w:r w:rsidR="00EF44F7">
        <w:rPr>
          <w:rFonts w:eastAsia="Arial" w:cs="Arial"/>
        </w:rPr>
        <w:t xml:space="preserve">adopted </w:t>
      </w:r>
      <w:r w:rsidRPr="00860FF4">
        <w:rPr>
          <w:rFonts w:eastAsia="Arial" w:cs="Arial"/>
        </w:rPr>
        <w:t xml:space="preserve">PUN assumptions to the observed new </w:t>
      </w:r>
      <w:r w:rsidR="00E6285B">
        <w:rPr>
          <w:rFonts w:eastAsia="Arial" w:cs="Arial"/>
        </w:rPr>
        <w:t xml:space="preserve">entrant </w:t>
      </w:r>
      <w:r w:rsidRPr="00860FF4">
        <w:rPr>
          <w:rFonts w:eastAsia="Arial" w:cs="Arial"/>
        </w:rPr>
        <w:t xml:space="preserve">experience for the 12 months ended 31 March 2022, results in an </w:t>
      </w:r>
      <w:r w:rsidRPr="00860FF4">
        <w:rPr>
          <w:rFonts w:eastAsia="Arial" w:cs="Arial"/>
          <w:b/>
          <w:bCs/>
        </w:rPr>
        <w:t xml:space="preserve">updated new </w:t>
      </w:r>
      <w:r w:rsidR="00E6285B">
        <w:rPr>
          <w:rFonts w:eastAsia="Arial" w:cs="Arial"/>
          <w:b/>
          <w:bCs/>
        </w:rPr>
        <w:t xml:space="preserve">entrant rate </w:t>
      </w:r>
      <w:r w:rsidRPr="00860FF4">
        <w:rPr>
          <w:rFonts w:eastAsia="Arial" w:cs="Arial"/>
          <w:b/>
          <w:bCs/>
        </w:rPr>
        <w:t>assumption of 308.4 participants per 100,000 population</w:t>
      </w:r>
      <w:r>
        <w:rPr>
          <w:rFonts w:eastAsia="Arial" w:cs="Arial"/>
          <w:b/>
          <w:bCs/>
        </w:rPr>
        <w:t xml:space="preserve"> aged between 0 and 64</w:t>
      </w:r>
      <w:r w:rsidRPr="00860FF4">
        <w:rPr>
          <w:rFonts w:eastAsia="Arial" w:cs="Arial"/>
        </w:rPr>
        <w:t xml:space="preserve">. This is 14% higher than the new </w:t>
      </w:r>
      <w:r w:rsidR="00E6285B">
        <w:rPr>
          <w:rFonts w:eastAsia="Arial" w:cs="Arial"/>
        </w:rPr>
        <w:t xml:space="preserve">entrant </w:t>
      </w:r>
      <w:r w:rsidRPr="00860FF4">
        <w:rPr>
          <w:rFonts w:eastAsia="Arial" w:cs="Arial"/>
        </w:rPr>
        <w:t>rate assumed at the 2020-21 AFSR of 271.6 participants per 100,000 population</w:t>
      </w:r>
      <w:r>
        <w:rPr>
          <w:rFonts w:eastAsia="Arial" w:cs="Arial"/>
        </w:rPr>
        <w:t xml:space="preserve"> aged between 0 and 64</w:t>
      </w:r>
      <w:r w:rsidRPr="00860FF4">
        <w:rPr>
          <w:rFonts w:eastAsia="Arial" w:cs="Arial"/>
        </w:rPr>
        <w:t xml:space="preserve">. </w:t>
      </w:r>
      <w:r w:rsidR="00221197" w:rsidRPr="00D600D1">
        <w:t xml:space="preserve">Figure </w:t>
      </w:r>
      <w:r w:rsidR="00221197">
        <w:rPr>
          <w:noProof/>
        </w:rPr>
        <w:t>5</w:t>
      </w:r>
      <w:r w:rsidR="00221197">
        <w:t>.</w:t>
      </w:r>
      <w:r w:rsidR="00221197">
        <w:rPr>
          <w:noProof/>
        </w:rPr>
        <w:t>4</w:t>
      </w:r>
      <w:r w:rsidR="00A411BA">
        <w:rPr>
          <w:rFonts w:eastAsia="Arial" w:cs="Arial"/>
        </w:rPr>
        <w:t xml:space="preserve"> </w:t>
      </w:r>
      <w:r w:rsidRPr="00860FF4">
        <w:rPr>
          <w:rFonts w:eastAsia="Arial" w:cs="Arial"/>
        </w:rPr>
        <w:t xml:space="preserve">shows the new </w:t>
      </w:r>
      <w:r w:rsidR="00566219">
        <w:rPr>
          <w:rFonts w:eastAsia="Arial" w:cs="Arial"/>
        </w:rPr>
        <w:t>entrant rate</w:t>
      </w:r>
      <w:r w:rsidR="00566219" w:rsidRPr="00860FF4">
        <w:rPr>
          <w:rFonts w:eastAsia="Arial" w:cs="Arial"/>
        </w:rPr>
        <w:t xml:space="preserve"> </w:t>
      </w:r>
      <w:r w:rsidRPr="00860FF4">
        <w:rPr>
          <w:rFonts w:eastAsia="Arial" w:cs="Arial"/>
        </w:rPr>
        <w:t xml:space="preserve">assumption adopted for the 2020-21 AFSR, the new </w:t>
      </w:r>
      <w:r w:rsidR="00566219">
        <w:rPr>
          <w:rFonts w:eastAsia="Arial" w:cs="Arial"/>
        </w:rPr>
        <w:t xml:space="preserve">entrant rate </w:t>
      </w:r>
      <w:r w:rsidRPr="00860FF4">
        <w:rPr>
          <w:rFonts w:eastAsia="Arial" w:cs="Arial"/>
        </w:rPr>
        <w:t xml:space="preserve">assumption </w:t>
      </w:r>
      <w:r>
        <w:rPr>
          <w:rFonts w:eastAsia="Arial" w:cs="Arial"/>
        </w:rPr>
        <w:t xml:space="preserve">adopted </w:t>
      </w:r>
      <w:r w:rsidR="007F2B28">
        <w:rPr>
          <w:rFonts w:eastAsia="Arial" w:cs="Arial"/>
        </w:rPr>
        <w:t>at this review</w:t>
      </w:r>
      <w:r w:rsidRPr="00860FF4">
        <w:rPr>
          <w:rFonts w:eastAsia="Arial" w:cs="Arial"/>
        </w:rPr>
        <w:t xml:space="preserve">, together with the observed new </w:t>
      </w:r>
      <w:r w:rsidR="00566219">
        <w:rPr>
          <w:rFonts w:eastAsia="Arial" w:cs="Arial"/>
        </w:rPr>
        <w:t>entrant</w:t>
      </w:r>
      <w:r w:rsidR="00566219" w:rsidRPr="00860FF4">
        <w:rPr>
          <w:rFonts w:eastAsia="Arial" w:cs="Arial"/>
        </w:rPr>
        <w:t xml:space="preserve"> </w:t>
      </w:r>
      <w:r w:rsidRPr="00860FF4">
        <w:rPr>
          <w:rFonts w:eastAsia="Arial" w:cs="Arial"/>
        </w:rPr>
        <w:t xml:space="preserve">rate for the year ended 31 March 2022 by financial </w:t>
      </w:r>
      <w:r w:rsidR="004C21FD" w:rsidRPr="00860FF4">
        <w:rPr>
          <w:rFonts w:eastAsia="Arial" w:cs="Arial"/>
        </w:rPr>
        <w:t xml:space="preserve">phasing </w:t>
      </w:r>
      <w:r w:rsidRPr="00860FF4">
        <w:rPr>
          <w:rFonts w:eastAsia="Arial" w:cs="Arial"/>
        </w:rPr>
        <w:t>year.</w:t>
      </w:r>
    </w:p>
    <w:p w14:paraId="0B973663" w14:textId="77777777" w:rsidR="00BF7697" w:rsidRDefault="00BF7697" w:rsidP="00BF7697">
      <w:pPr>
        <w:rPr>
          <w:rFonts w:eastAsia="Arial" w:cs="Arial"/>
        </w:rPr>
      </w:pPr>
    </w:p>
    <w:p w14:paraId="430E250B" w14:textId="77777777" w:rsidR="00BF7697" w:rsidRDefault="00BF7697" w:rsidP="00BF7697">
      <w:pPr>
        <w:pStyle w:val="Figures"/>
      </w:pPr>
      <w:bookmarkStart w:id="183" w:name="_Ref111627082"/>
      <w:bookmarkStart w:id="184" w:name="_Ref113278123"/>
      <w:bookmarkStart w:id="185" w:name="_Ref111897674"/>
      <w:r w:rsidRPr="00D600D1">
        <w:lastRenderedPageBreak/>
        <w:t xml:space="preserve">Figure </w:t>
      </w:r>
      <w:bookmarkEnd w:id="183"/>
      <w:r w:rsidR="00447AA1">
        <w:fldChar w:fldCharType="begin"/>
      </w:r>
      <w:r w:rsidR="00447AA1">
        <w:instrText xml:space="preserve"> STYLEREF 2 \s </w:instrText>
      </w:r>
      <w:r w:rsidR="00447AA1">
        <w:fldChar w:fldCharType="separate"/>
      </w:r>
      <w:r w:rsidR="00447AA1">
        <w:rPr>
          <w:noProof/>
        </w:rPr>
        <w:t>5</w:t>
      </w:r>
      <w:r w:rsidR="00447AA1">
        <w:fldChar w:fldCharType="end"/>
      </w:r>
      <w:r w:rsidR="00447AA1">
        <w:t>.</w:t>
      </w:r>
      <w:fldSimple w:instr=" SEQ Figure \* ARABIC \s 2 ">
        <w:r w:rsidR="00447AA1">
          <w:rPr>
            <w:noProof/>
          </w:rPr>
          <w:t>4</w:t>
        </w:r>
      </w:fldSimple>
      <w:bookmarkEnd w:id="184"/>
      <w:bookmarkEnd w:id="185"/>
      <w:r>
        <w:t>:</w:t>
      </w:r>
      <w:r w:rsidRPr="00860FF4">
        <w:t xml:space="preserve"> New</w:t>
      </w:r>
      <w:r w:rsidR="00566219">
        <w:t xml:space="preserve"> entrant rate</w:t>
      </w:r>
      <w:r w:rsidRPr="00860FF4">
        <w:t xml:space="preserve"> assumptions together with observed experience for the year ended 31 March 2022</w:t>
      </w:r>
      <w:r>
        <w:t xml:space="preserve"> by financial phasing year</w:t>
      </w:r>
      <w:r w:rsidRPr="00860FF4">
        <w:rPr>
          <w:rStyle w:val="FootnoteReference"/>
          <w:rFonts w:eastAsia="Arial" w:cs="Arial"/>
          <w:sz w:val="21"/>
          <w:szCs w:val="21"/>
        </w:rPr>
        <w:footnoteReference w:id="92"/>
      </w:r>
    </w:p>
    <w:p w14:paraId="10AFEFDD" w14:textId="77777777" w:rsidR="00BF7697" w:rsidRPr="00860FF4" w:rsidRDefault="00815157" w:rsidP="00BF7697">
      <w:pPr>
        <w:spacing w:line="264" w:lineRule="auto"/>
      </w:pPr>
      <w:r w:rsidRPr="00815157">
        <w:rPr>
          <w:noProof/>
          <w:lang w:eastAsia="en-AU"/>
        </w:rPr>
        <w:drawing>
          <wp:inline distT="0" distB="0" distL="0" distR="0" wp14:anchorId="17841C71" wp14:editId="4243CB01">
            <wp:extent cx="5724525" cy="2843530"/>
            <wp:effectExtent l="0" t="0" r="9525" b="0"/>
            <wp:docPr id="244" name="Picture 244" descr="Figure shows the new entrant rate assumptions together with observed experience for the year ended 31 March 2022 by financial phasing year.  It shows the expected new entrant rate from the previous AFSR, the proposed new entrant rate for the 2021-22 AFSR, and the observed experience as at 31 March 2022 by financial phasing year.&#10;The expected new entrant rate adopted in the 2020-21 AFSR is 272 per 100,000 population, whilst the expected new entrant rate adopted in the 2021-22 AFSR is 308, and the observed new entrant rate for all phasing years as at 31 March 2022 is 342 per 100,000 population.&#10;The observed new entrant rate experience observed by financial phasing year is as follows: in 2014 380 per 100,000 population; in 2015 314 per 100,000 population; in 2016 0 per 100,000 population as no regions phased into the Scheme in this year; in 2017 324 per 100,000 population; in 2018 330 per 100,000 population; in 2019 375 per 100,000 population; in 2020 291 per 100,000 population.&#10;" title="Figure 5.4: New entrant rate assumptions together with observed experience for the year ended 31 March 2022 by financial phasing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24525" cy="2843530"/>
                    </a:xfrm>
                    <a:prstGeom prst="rect">
                      <a:avLst/>
                    </a:prstGeom>
                    <a:noFill/>
                    <a:ln>
                      <a:noFill/>
                    </a:ln>
                  </pic:spPr>
                </pic:pic>
              </a:graphicData>
            </a:graphic>
          </wp:inline>
        </w:drawing>
      </w:r>
    </w:p>
    <w:p w14:paraId="4891B518" w14:textId="77777777" w:rsidR="00BF7697" w:rsidRPr="00860FF4" w:rsidRDefault="00BF7697" w:rsidP="00BF7697">
      <w:pPr>
        <w:pStyle w:val="FSRnormal"/>
        <w:rPr>
          <w:rFonts w:eastAsia="Arial" w:cs="Arial"/>
        </w:rPr>
      </w:pPr>
      <w:r w:rsidRPr="00860FF4">
        <w:rPr>
          <w:rFonts w:eastAsia="Arial" w:cs="Arial"/>
        </w:rPr>
        <w:t>The new</w:t>
      </w:r>
      <w:r w:rsidR="00566219">
        <w:rPr>
          <w:rFonts w:eastAsia="Arial" w:cs="Arial"/>
        </w:rPr>
        <w:t xml:space="preserve"> entrant</w:t>
      </w:r>
      <w:r w:rsidRPr="00860FF4">
        <w:rPr>
          <w:rFonts w:eastAsia="Arial" w:cs="Arial"/>
        </w:rPr>
        <w:t xml:space="preserve"> rates by </w:t>
      </w:r>
      <w:r w:rsidR="005424AC">
        <w:rPr>
          <w:rFonts w:eastAsia="Arial" w:cs="Arial"/>
        </w:rPr>
        <w:t>disability group</w:t>
      </w:r>
      <w:r w:rsidRPr="00860FF4">
        <w:rPr>
          <w:rFonts w:eastAsia="Arial" w:cs="Arial"/>
        </w:rPr>
        <w:t xml:space="preserve"> within the 2020-21 AFSR and the 2021-22 AFSR are shown in </w:t>
      </w:r>
      <w:r w:rsidR="00684E93" w:rsidRPr="003A0C3C">
        <w:t xml:space="preserve">Table </w:t>
      </w:r>
      <w:r w:rsidR="00684E93">
        <w:rPr>
          <w:noProof/>
        </w:rPr>
        <w:t>5</w:t>
      </w:r>
      <w:r w:rsidR="00684E93">
        <w:t>.</w:t>
      </w:r>
      <w:r w:rsidR="00684E93">
        <w:rPr>
          <w:noProof/>
        </w:rPr>
        <w:t>11</w:t>
      </w:r>
      <w:r w:rsidRPr="00860FF4">
        <w:rPr>
          <w:rFonts w:eastAsia="Arial" w:cs="Arial"/>
        </w:rPr>
        <w:t>.</w:t>
      </w:r>
    </w:p>
    <w:p w14:paraId="18DD4252" w14:textId="77777777" w:rsidR="00BF7697" w:rsidRPr="00860FF4" w:rsidRDefault="00BF7697" w:rsidP="00BF7697">
      <w:pPr>
        <w:pStyle w:val="Tables"/>
      </w:pPr>
      <w:bookmarkStart w:id="186" w:name="_Ref111627188"/>
      <w:bookmarkStart w:id="187" w:name="_Ref111897697"/>
      <w:r w:rsidRPr="003A0C3C">
        <w:t xml:space="preserve">Table </w:t>
      </w:r>
      <w:bookmarkEnd w:id="186"/>
      <w:r w:rsidR="00A87896">
        <w:fldChar w:fldCharType="begin"/>
      </w:r>
      <w:r w:rsidR="00A87896">
        <w:instrText xml:space="preserve"> STYLEREF 2 \s </w:instrText>
      </w:r>
      <w:r w:rsidR="00A87896">
        <w:fldChar w:fldCharType="separate"/>
      </w:r>
      <w:r w:rsidR="00A87896">
        <w:rPr>
          <w:noProof/>
        </w:rPr>
        <w:t>5</w:t>
      </w:r>
      <w:r w:rsidR="00A87896">
        <w:fldChar w:fldCharType="end"/>
      </w:r>
      <w:r w:rsidR="00A87896">
        <w:t>.</w:t>
      </w:r>
      <w:fldSimple w:instr=" SEQ Table \* ARABIC \s 2 ">
        <w:r w:rsidR="00A87896">
          <w:rPr>
            <w:noProof/>
          </w:rPr>
          <w:t>11</w:t>
        </w:r>
      </w:fldSimple>
      <w:bookmarkEnd w:id="187"/>
      <w:r>
        <w:rPr>
          <w:noProof/>
        </w:rPr>
        <w:t>:</w:t>
      </w:r>
      <w:r w:rsidRPr="003A0C3C">
        <w:t xml:space="preserve"> </w:t>
      </w:r>
      <w:r w:rsidRPr="00860FF4">
        <w:t>Adopted new</w:t>
      </w:r>
      <w:r w:rsidR="00970996">
        <w:t xml:space="preserve"> entrant</w:t>
      </w:r>
      <w:r w:rsidRPr="00860FF4">
        <w:t xml:space="preserve"> rates (per 100,000 population) by </w:t>
      </w:r>
      <w:r w:rsidR="005424AC">
        <w:t>disability group</w:t>
      </w:r>
      <w:r w:rsidRPr="00860FF4">
        <w:t xml:space="preserve">, </w:t>
      </w:r>
      <w:r w:rsidR="007F2B28">
        <w:t>at</w:t>
      </w:r>
      <w:r w:rsidR="008523A0">
        <w:t xml:space="preserve"> the</w:t>
      </w:r>
      <w:r w:rsidRPr="00860FF4">
        <w:t xml:space="preserve"> 2020-21 AFSR and 2021-22 AFSR</w:t>
      </w:r>
    </w:p>
    <w:tbl>
      <w:tblPr>
        <w:tblStyle w:val="FSRtable"/>
        <w:tblW w:w="4790" w:type="pct"/>
        <w:tblInd w:w="0" w:type="dxa"/>
        <w:tblLook w:val="04A0" w:firstRow="1" w:lastRow="0" w:firstColumn="1" w:lastColumn="0" w:noHBand="0" w:noVBand="1"/>
      </w:tblPr>
      <w:tblGrid>
        <w:gridCol w:w="2684"/>
        <w:gridCol w:w="1833"/>
        <w:gridCol w:w="2257"/>
        <w:gridCol w:w="1012"/>
        <w:gridCol w:w="861"/>
      </w:tblGrid>
      <w:tr w:rsidR="00096D80" w:rsidRPr="009309F4" w14:paraId="25D049BA" w14:textId="77777777" w:rsidTr="00096D80">
        <w:trPr>
          <w:cnfStyle w:val="100000000000" w:firstRow="1" w:lastRow="0" w:firstColumn="0" w:lastColumn="0" w:oddVBand="0" w:evenVBand="0" w:oddHBand="0" w:evenHBand="0" w:firstRowFirstColumn="0" w:firstRowLastColumn="0" w:lastRowFirstColumn="0" w:lastRowLastColumn="0"/>
          <w:trHeight w:val="655"/>
          <w:tblHeader/>
        </w:trPr>
        <w:tc>
          <w:tcPr>
            <w:cnfStyle w:val="001000000000" w:firstRow="0" w:lastRow="0" w:firstColumn="1" w:lastColumn="0" w:oddVBand="0" w:evenVBand="0" w:oddHBand="0" w:evenHBand="0" w:firstRowFirstColumn="0" w:firstRowLastColumn="0" w:lastRowFirstColumn="0" w:lastRowLastColumn="0"/>
            <w:tcW w:w="1552" w:type="pct"/>
            <w:hideMark/>
          </w:tcPr>
          <w:p w14:paraId="7B460D24" w14:textId="77777777" w:rsidR="00096D80" w:rsidRPr="009309F4" w:rsidRDefault="00096D80" w:rsidP="00B17C79">
            <w:pPr>
              <w:spacing w:after="0"/>
              <w:rPr>
                <w:rFonts w:eastAsia="Times New Roman"/>
                <w:bCs/>
                <w:i/>
                <w:color w:val="FFFFFF"/>
                <w:sz w:val="18"/>
                <w:szCs w:val="18"/>
              </w:rPr>
            </w:pPr>
            <w:r w:rsidRPr="009309F4">
              <w:rPr>
                <w:rFonts w:eastAsia="Times New Roman"/>
                <w:bCs/>
                <w:i/>
                <w:color w:val="FFFFFF"/>
                <w:sz w:val="18"/>
                <w:szCs w:val="18"/>
              </w:rPr>
              <w:t>Disability group</w:t>
            </w:r>
          </w:p>
        </w:tc>
        <w:tc>
          <w:tcPr>
            <w:tcW w:w="1060" w:type="pct"/>
            <w:hideMark/>
          </w:tcPr>
          <w:p w14:paraId="4973179D" w14:textId="77777777" w:rsidR="00096D80" w:rsidRPr="009309F4" w:rsidRDefault="00096D80" w:rsidP="007D1BF1">
            <w:pPr>
              <w:spacing w:after="0"/>
              <w:cnfStyle w:val="100000000000" w:firstRow="1" w:lastRow="0" w:firstColumn="0" w:lastColumn="0" w:oddVBand="0" w:evenVBand="0" w:oddHBand="0" w:evenHBand="0" w:firstRowFirstColumn="0" w:firstRowLastColumn="0" w:lastRowFirstColumn="0" w:lastRowLastColumn="0"/>
              <w:rPr>
                <w:rFonts w:eastAsia="Times New Roman"/>
                <w:bCs/>
                <w:i/>
                <w:color w:val="FFFFFF"/>
                <w:sz w:val="18"/>
                <w:szCs w:val="18"/>
              </w:rPr>
            </w:pPr>
            <w:r w:rsidRPr="009309F4">
              <w:rPr>
                <w:rFonts w:eastAsia="Times New Roman"/>
                <w:bCs/>
                <w:i/>
                <w:color w:val="FFFFFF"/>
                <w:sz w:val="18"/>
                <w:szCs w:val="18"/>
              </w:rPr>
              <w:t>2020-21 AFSR new entrant rate (1)</w:t>
            </w:r>
          </w:p>
        </w:tc>
        <w:tc>
          <w:tcPr>
            <w:tcW w:w="1305" w:type="pct"/>
            <w:hideMark/>
          </w:tcPr>
          <w:p w14:paraId="5F5DAD7D" w14:textId="77777777" w:rsidR="00096D80" w:rsidRPr="009309F4" w:rsidRDefault="00096D80" w:rsidP="007D1BF1">
            <w:pPr>
              <w:spacing w:after="0"/>
              <w:cnfStyle w:val="100000000000" w:firstRow="1" w:lastRow="0" w:firstColumn="0" w:lastColumn="0" w:oddVBand="0" w:evenVBand="0" w:oddHBand="0" w:evenHBand="0" w:firstRowFirstColumn="0" w:firstRowLastColumn="0" w:lastRowFirstColumn="0" w:lastRowLastColumn="0"/>
              <w:rPr>
                <w:rFonts w:eastAsia="Times New Roman"/>
                <w:bCs/>
                <w:i/>
                <w:color w:val="FFFFFF"/>
                <w:sz w:val="18"/>
                <w:szCs w:val="18"/>
              </w:rPr>
            </w:pPr>
            <w:r w:rsidRPr="009309F4">
              <w:rPr>
                <w:rFonts w:eastAsia="Times New Roman"/>
                <w:bCs/>
                <w:i/>
                <w:color w:val="FFFFFF"/>
                <w:sz w:val="18"/>
                <w:szCs w:val="18"/>
              </w:rPr>
              <w:t>2021-22 AFSR new entrant rate (2)</w:t>
            </w:r>
          </w:p>
        </w:tc>
        <w:tc>
          <w:tcPr>
            <w:tcW w:w="1083" w:type="pct"/>
            <w:gridSpan w:val="2"/>
            <w:hideMark/>
          </w:tcPr>
          <w:p w14:paraId="27D56AE1" w14:textId="77777777" w:rsidR="00096D80" w:rsidRDefault="00096D80" w:rsidP="00B1512B">
            <w:pPr>
              <w:spacing w:after="0"/>
              <w:ind w:left="486"/>
              <w:jc w:val="center"/>
              <w:cnfStyle w:val="100000000000" w:firstRow="1" w:lastRow="0" w:firstColumn="0" w:lastColumn="0" w:oddVBand="0" w:evenVBand="0" w:oddHBand="0" w:evenHBand="0" w:firstRowFirstColumn="0" w:firstRowLastColumn="0" w:lastRowFirstColumn="0" w:lastRowLastColumn="0"/>
              <w:rPr>
                <w:rFonts w:eastAsia="Times New Roman"/>
                <w:bCs/>
                <w:i/>
                <w:color w:val="FFFFFF"/>
                <w:sz w:val="18"/>
                <w:szCs w:val="18"/>
              </w:rPr>
            </w:pPr>
            <w:r w:rsidRPr="009309F4">
              <w:rPr>
                <w:rFonts w:eastAsia="Times New Roman"/>
                <w:bCs/>
                <w:i/>
                <w:color w:val="FFFFFF"/>
                <w:sz w:val="18"/>
                <w:szCs w:val="18"/>
              </w:rPr>
              <w:t>Change</w:t>
            </w:r>
          </w:p>
          <w:p w14:paraId="417204BE" w14:textId="77777777" w:rsidR="00096D80" w:rsidRPr="009309F4" w:rsidRDefault="00096D80" w:rsidP="00252EAF">
            <w:pPr>
              <w:spacing w:after="0"/>
              <w:ind w:left="486"/>
              <w:jc w:val="center"/>
              <w:cnfStyle w:val="100000000000" w:firstRow="1" w:lastRow="0" w:firstColumn="0" w:lastColumn="0" w:oddVBand="0" w:evenVBand="0" w:oddHBand="0" w:evenHBand="0" w:firstRowFirstColumn="0" w:firstRowLastColumn="0" w:lastRowFirstColumn="0" w:lastRowLastColumn="0"/>
              <w:rPr>
                <w:rFonts w:eastAsia="Times New Roman"/>
                <w:b w:val="0"/>
                <w:bCs/>
                <w:i/>
                <w:color w:val="FFFFFF"/>
                <w:sz w:val="18"/>
                <w:szCs w:val="18"/>
              </w:rPr>
            </w:pPr>
            <w:r>
              <w:rPr>
                <w:rFonts w:eastAsia="Times New Roman"/>
                <w:bCs/>
                <w:i/>
                <w:color w:val="FFFFFF"/>
                <w:sz w:val="18"/>
                <w:szCs w:val="18"/>
              </w:rPr>
              <w:t xml:space="preserve"> (</w:t>
            </w:r>
            <w:r w:rsidRPr="009309F4">
              <w:rPr>
                <w:rFonts w:eastAsia="Times New Roman"/>
                <w:bCs/>
                <w:i/>
                <w:color w:val="FFFFFF"/>
                <w:sz w:val="18"/>
                <w:szCs w:val="18"/>
              </w:rPr>
              <w:t>2)</w:t>
            </w:r>
            <w:r>
              <w:rPr>
                <w:rFonts w:eastAsia="Times New Roman"/>
                <w:bCs/>
                <w:i/>
                <w:color w:val="FFFFFF"/>
                <w:sz w:val="18"/>
                <w:szCs w:val="18"/>
              </w:rPr>
              <w:t xml:space="preserve"> </w:t>
            </w:r>
            <w:r w:rsidRPr="009309F4">
              <w:rPr>
                <w:rFonts w:eastAsia="Times New Roman"/>
                <w:bCs/>
                <w:i/>
                <w:color w:val="FFFFFF"/>
                <w:sz w:val="18"/>
                <w:szCs w:val="18"/>
              </w:rPr>
              <w:t>-</w:t>
            </w:r>
            <w:r>
              <w:rPr>
                <w:rFonts w:eastAsia="Times New Roman"/>
                <w:bCs/>
                <w:i/>
                <w:color w:val="FFFFFF"/>
                <w:sz w:val="18"/>
                <w:szCs w:val="18"/>
              </w:rPr>
              <w:t xml:space="preserve"> </w:t>
            </w:r>
            <w:r w:rsidRPr="009309F4">
              <w:rPr>
                <w:rFonts w:eastAsia="Times New Roman"/>
                <w:bCs/>
                <w:i/>
                <w:color w:val="FFFFFF"/>
                <w:sz w:val="18"/>
                <w:szCs w:val="18"/>
              </w:rPr>
              <w:t xml:space="preserve"> (1)</w:t>
            </w:r>
          </w:p>
          <w:p w14:paraId="4E2CC00B" w14:textId="77777777" w:rsidR="00096D80" w:rsidRPr="00191697" w:rsidRDefault="00096D80" w:rsidP="00252EAF">
            <w:pPr>
              <w:tabs>
                <w:tab w:val="left" w:pos="1337"/>
              </w:tabs>
              <w:spacing w:after="0"/>
              <w:ind w:left="628"/>
              <w:jc w:val="center"/>
              <w:cnfStyle w:val="100000000000" w:firstRow="1" w:lastRow="0" w:firstColumn="0" w:lastColumn="0" w:oddVBand="0" w:evenVBand="0" w:oddHBand="0" w:evenHBand="0" w:firstRowFirstColumn="0" w:firstRowLastColumn="0" w:lastRowFirstColumn="0" w:lastRowLastColumn="0"/>
              <w:rPr>
                <w:rFonts w:eastAsia="Times New Roman"/>
                <w:bCs/>
                <w:i/>
                <w:color w:val="FFFFFF"/>
                <w:sz w:val="18"/>
                <w:szCs w:val="18"/>
              </w:rPr>
            </w:pPr>
            <w:r w:rsidRPr="00191697">
              <w:rPr>
                <w:rFonts w:eastAsia="Times New Roman"/>
                <w:bCs/>
                <w:color w:val="FFFFFF"/>
                <w:sz w:val="18"/>
                <w:szCs w:val="18"/>
              </w:rPr>
              <w:t>#</w:t>
            </w:r>
            <w:r>
              <w:rPr>
                <w:rFonts w:eastAsia="Times New Roman"/>
                <w:bCs/>
                <w:color w:val="FFFFFF"/>
                <w:sz w:val="18"/>
                <w:szCs w:val="18"/>
              </w:rPr>
              <w:tab/>
            </w:r>
            <w:r w:rsidRPr="00191697">
              <w:rPr>
                <w:rFonts w:eastAsia="Times New Roman"/>
                <w:bCs/>
                <w:color w:val="FFFFFF"/>
                <w:sz w:val="18"/>
                <w:szCs w:val="18"/>
              </w:rPr>
              <w:t>%</w:t>
            </w:r>
          </w:p>
        </w:tc>
      </w:tr>
      <w:tr w:rsidR="00BF7697" w:rsidRPr="009309F4" w14:paraId="39E83888"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42A93558"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Acquired Brain Injury</w:t>
            </w:r>
          </w:p>
        </w:tc>
        <w:tc>
          <w:tcPr>
            <w:tcW w:w="1060" w:type="pct"/>
            <w:noWrap/>
            <w:hideMark/>
          </w:tcPr>
          <w:p w14:paraId="70704376"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6.0</w:t>
            </w:r>
          </w:p>
        </w:tc>
        <w:tc>
          <w:tcPr>
            <w:tcW w:w="1305" w:type="pct"/>
            <w:noWrap/>
            <w:hideMark/>
          </w:tcPr>
          <w:p w14:paraId="1DD9058C"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7.2</w:t>
            </w:r>
          </w:p>
        </w:tc>
        <w:tc>
          <w:tcPr>
            <w:tcW w:w="585" w:type="pct"/>
            <w:noWrap/>
            <w:hideMark/>
          </w:tcPr>
          <w:p w14:paraId="29B6931E"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1.2</w:t>
            </w:r>
          </w:p>
        </w:tc>
        <w:tc>
          <w:tcPr>
            <w:tcW w:w="498" w:type="pct"/>
            <w:noWrap/>
            <w:hideMark/>
          </w:tcPr>
          <w:p w14:paraId="5C36B5C5"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19%</w:t>
            </w:r>
          </w:p>
        </w:tc>
      </w:tr>
      <w:tr w:rsidR="00BF7697" w:rsidRPr="009309F4" w14:paraId="73F46422"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1CCD9DD0"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Autism</w:t>
            </w:r>
          </w:p>
        </w:tc>
        <w:tc>
          <w:tcPr>
            <w:tcW w:w="1060" w:type="pct"/>
            <w:hideMark/>
          </w:tcPr>
          <w:p w14:paraId="172BF754"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55.1</w:t>
            </w:r>
          </w:p>
        </w:tc>
        <w:tc>
          <w:tcPr>
            <w:tcW w:w="1305" w:type="pct"/>
            <w:shd w:val="clear" w:color="auto" w:fill="BFBFBF" w:themeFill="background1" w:themeFillShade="BF"/>
            <w:hideMark/>
          </w:tcPr>
          <w:p w14:paraId="0CBBFEED"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94.1</w:t>
            </w:r>
          </w:p>
        </w:tc>
        <w:tc>
          <w:tcPr>
            <w:tcW w:w="585" w:type="pct"/>
            <w:hideMark/>
          </w:tcPr>
          <w:p w14:paraId="232F806C"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39.0</w:t>
            </w:r>
          </w:p>
        </w:tc>
        <w:tc>
          <w:tcPr>
            <w:tcW w:w="498" w:type="pct"/>
            <w:hideMark/>
          </w:tcPr>
          <w:p w14:paraId="705E7D28"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71%</w:t>
            </w:r>
          </w:p>
        </w:tc>
      </w:tr>
      <w:tr w:rsidR="00BF7697" w:rsidRPr="009309F4" w14:paraId="4139F8E6"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01B26F41"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Cerebral Palsy</w:t>
            </w:r>
          </w:p>
        </w:tc>
        <w:tc>
          <w:tcPr>
            <w:tcW w:w="1060" w:type="pct"/>
            <w:hideMark/>
          </w:tcPr>
          <w:p w14:paraId="3562D0AE"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3.1</w:t>
            </w:r>
          </w:p>
        </w:tc>
        <w:tc>
          <w:tcPr>
            <w:tcW w:w="1305" w:type="pct"/>
            <w:hideMark/>
          </w:tcPr>
          <w:p w14:paraId="2AEC624E"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2.2</w:t>
            </w:r>
          </w:p>
        </w:tc>
        <w:tc>
          <w:tcPr>
            <w:tcW w:w="585" w:type="pct"/>
            <w:hideMark/>
          </w:tcPr>
          <w:p w14:paraId="49841291"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-0.9</w:t>
            </w:r>
          </w:p>
        </w:tc>
        <w:tc>
          <w:tcPr>
            <w:tcW w:w="498" w:type="pct"/>
            <w:hideMark/>
          </w:tcPr>
          <w:p w14:paraId="6AC92269"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-28%</w:t>
            </w:r>
          </w:p>
        </w:tc>
      </w:tr>
      <w:tr w:rsidR="00BF7697" w:rsidRPr="009309F4" w14:paraId="62D6100C"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680E78FA"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Developmental Delay</w:t>
            </w:r>
          </w:p>
        </w:tc>
        <w:tc>
          <w:tcPr>
            <w:tcW w:w="1060" w:type="pct"/>
            <w:hideMark/>
          </w:tcPr>
          <w:p w14:paraId="0E43FE78"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112.4</w:t>
            </w:r>
          </w:p>
        </w:tc>
        <w:tc>
          <w:tcPr>
            <w:tcW w:w="1305" w:type="pct"/>
            <w:hideMark/>
          </w:tcPr>
          <w:p w14:paraId="6185E76E"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110.5</w:t>
            </w:r>
          </w:p>
        </w:tc>
        <w:tc>
          <w:tcPr>
            <w:tcW w:w="585" w:type="pct"/>
            <w:hideMark/>
          </w:tcPr>
          <w:p w14:paraId="690C5CBF"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-1.9</w:t>
            </w:r>
          </w:p>
        </w:tc>
        <w:tc>
          <w:tcPr>
            <w:tcW w:w="498" w:type="pct"/>
            <w:hideMark/>
          </w:tcPr>
          <w:p w14:paraId="1A4EF9E9"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-2%</w:t>
            </w:r>
          </w:p>
        </w:tc>
      </w:tr>
      <w:tr w:rsidR="00BF7697" w:rsidRPr="009309F4" w14:paraId="2F0C4FF1"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4932833C"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Hearing Impairment</w:t>
            </w:r>
          </w:p>
        </w:tc>
        <w:tc>
          <w:tcPr>
            <w:tcW w:w="1060" w:type="pct"/>
            <w:hideMark/>
          </w:tcPr>
          <w:p w14:paraId="31E17DB3"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12.3</w:t>
            </w:r>
          </w:p>
        </w:tc>
        <w:tc>
          <w:tcPr>
            <w:tcW w:w="1305" w:type="pct"/>
            <w:hideMark/>
          </w:tcPr>
          <w:p w14:paraId="329FFAE5"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11.2</w:t>
            </w:r>
          </w:p>
        </w:tc>
        <w:tc>
          <w:tcPr>
            <w:tcW w:w="585" w:type="pct"/>
            <w:hideMark/>
          </w:tcPr>
          <w:p w14:paraId="3E68E5E1"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-1.1</w:t>
            </w:r>
          </w:p>
        </w:tc>
        <w:tc>
          <w:tcPr>
            <w:tcW w:w="498" w:type="pct"/>
            <w:hideMark/>
          </w:tcPr>
          <w:p w14:paraId="5947B58A"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-9%</w:t>
            </w:r>
          </w:p>
        </w:tc>
      </w:tr>
      <w:tr w:rsidR="00BF7697" w:rsidRPr="009309F4" w14:paraId="4B3746ED"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06639E1B"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Intellectual Disability</w:t>
            </w:r>
          </w:p>
        </w:tc>
        <w:tc>
          <w:tcPr>
            <w:tcW w:w="1060" w:type="pct"/>
            <w:hideMark/>
          </w:tcPr>
          <w:p w14:paraId="36B52536"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17.0</w:t>
            </w:r>
          </w:p>
        </w:tc>
        <w:tc>
          <w:tcPr>
            <w:tcW w:w="1305" w:type="pct"/>
            <w:hideMark/>
          </w:tcPr>
          <w:p w14:paraId="5E615352"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21.0</w:t>
            </w:r>
          </w:p>
        </w:tc>
        <w:tc>
          <w:tcPr>
            <w:tcW w:w="585" w:type="pct"/>
            <w:hideMark/>
          </w:tcPr>
          <w:p w14:paraId="56C64E4C"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4.0</w:t>
            </w:r>
          </w:p>
        </w:tc>
        <w:tc>
          <w:tcPr>
            <w:tcW w:w="498" w:type="pct"/>
            <w:hideMark/>
          </w:tcPr>
          <w:p w14:paraId="10B6ADD4"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23%</w:t>
            </w:r>
          </w:p>
        </w:tc>
      </w:tr>
      <w:tr w:rsidR="00BF7697" w:rsidRPr="009309F4" w14:paraId="6A7887C5"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22A8D2AF"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Multiple Sclerosis</w:t>
            </w:r>
          </w:p>
        </w:tc>
        <w:tc>
          <w:tcPr>
            <w:tcW w:w="1060" w:type="pct"/>
            <w:hideMark/>
          </w:tcPr>
          <w:p w14:paraId="41A73C38"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2.9</w:t>
            </w:r>
          </w:p>
        </w:tc>
        <w:tc>
          <w:tcPr>
            <w:tcW w:w="1305" w:type="pct"/>
            <w:hideMark/>
          </w:tcPr>
          <w:p w14:paraId="47BE1679"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4.0</w:t>
            </w:r>
          </w:p>
        </w:tc>
        <w:tc>
          <w:tcPr>
            <w:tcW w:w="585" w:type="pct"/>
            <w:hideMark/>
          </w:tcPr>
          <w:p w14:paraId="6270E989"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1.1</w:t>
            </w:r>
          </w:p>
        </w:tc>
        <w:tc>
          <w:tcPr>
            <w:tcW w:w="498" w:type="pct"/>
            <w:hideMark/>
          </w:tcPr>
          <w:p w14:paraId="20BC14D9"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36%</w:t>
            </w:r>
          </w:p>
        </w:tc>
      </w:tr>
      <w:tr w:rsidR="00BF7697" w:rsidRPr="009309F4" w14:paraId="0F093398"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2CFD8096"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Other</w:t>
            </w:r>
          </w:p>
        </w:tc>
        <w:tc>
          <w:tcPr>
            <w:tcW w:w="1060" w:type="pct"/>
            <w:hideMark/>
          </w:tcPr>
          <w:p w14:paraId="143AC32D"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4.3</w:t>
            </w:r>
          </w:p>
        </w:tc>
        <w:tc>
          <w:tcPr>
            <w:tcW w:w="1305" w:type="pct"/>
            <w:hideMark/>
          </w:tcPr>
          <w:p w14:paraId="2D5E502B"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7.9</w:t>
            </w:r>
          </w:p>
        </w:tc>
        <w:tc>
          <w:tcPr>
            <w:tcW w:w="585" w:type="pct"/>
            <w:hideMark/>
          </w:tcPr>
          <w:p w14:paraId="16364BA7"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3.6</w:t>
            </w:r>
          </w:p>
        </w:tc>
        <w:tc>
          <w:tcPr>
            <w:tcW w:w="498" w:type="pct"/>
            <w:hideMark/>
          </w:tcPr>
          <w:p w14:paraId="3C010AD4"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86%</w:t>
            </w:r>
          </w:p>
        </w:tc>
      </w:tr>
      <w:tr w:rsidR="00BF7697" w:rsidRPr="009309F4" w14:paraId="44DA724B"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6F0D1A1E"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Other Neurological</w:t>
            </w:r>
          </w:p>
        </w:tc>
        <w:tc>
          <w:tcPr>
            <w:tcW w:w="1060" w:type="pct"/>
            <w:hideMark/>
          </w:tcPr>
          <w:p w14:paraId="64AFF12C"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11.6</w:t>
            </w:r>
          </w:p>
        </w:tc>
        <w:tc>
          <w:tcPr>
            <w:tcW w:w="1305" w:type="pct"/>
            <w:hideMark/>
          </w:tcPr>
          <w:p w14:paraId="4CC423FD"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9.9</w:t>
            </w:r>
          </w:p>
        </w:tc>
        <w:tc>
          <w:tcPr>
            <w:tcW w:w="585" w:type="pct"/>
            <w:hideMark/>
          </w:tcPr>
          <w:p w14:paraId="1BA5762E"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-1.7</w:t>
            </w:r>
          </w:p>
        </w:tc>
        <w:tc>
          <w:tcPr>
            <w:tcW w:w="498" w:type="pct"/>
            <w:hideMark/>
          </w:tcPr>
          <w:p w14:paraId="35B39150"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-15%</w:t>
            </w:r>
          </w:p>
        </w:tc>
      </w:tr>
      <w:tr w:rsidR="00BF7697" w:rsidRPr="009309F4" w14:paraId="0F4C3583"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0B5F84FC"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Other Physical</w:t>
            </w:r>
          </w:p>
        </w:tc>
        <w:tc>
          <w:tcPr>
            <w:tcW w:w="1060" w:type="pct"/>
            <w:hideMark/>
          </w:tcPr>
          <w:p w14:paraId="6A7D73F0"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11.4</w:t>
            </w:r>
          </w:p>
        </w:tc>
        <w:tc>
          <w:tcPr>
            <w:tcW w:w="1305" w:type="pct"/>
            <w:hideMark/>
          </w:tcPr>
          <w:p w14:paraId="69D5A776"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6.7</w:t>
            </w:r>
          </w:p>
        </w:tc>
        <w:tc>
          <w:tcPr>
            <w:tcW w:w="585" w:type="pct"/>
            <w:hideMark/>
          </w:tcPr>
          <w:p w14:paraId="44863B93"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-4.6</w:t>
            </w:r>
          </w:p>
        </w:tc>
        <w:tc>
          <w:tcPr>
            <w:tcW w:w="498" w:type="pct"/>
            <w:hideMark/>
          </w:tcPr>
          <w:p w14:paraId="6CA84AD8"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-41%</w:t>
            </w:r>
          </w:p>
        </w:tc>
      </w:tr>
      <w:tr w:rsidR="00BF7697" w:rsidRPr="009309F4" w14:paraId="3C7E6840"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79AD8B93"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Other Sensory/Speech</w:t>
            </w:r>
          </w:p>
        </w:tc>
        <w:tc>
          <w:tcPr>
            <w:tcW w:w="1060" w:type="pct"/>
            <w:hideMark/>
          </w:tcPr>
          <w:p w14:paraId="11D06DF5"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1.9</w:t>
            </w:r>
          </w:p>
        </w:tc>
        <w:tc>
          <w:tcPr>
            <w:tcW w:w="1305" w:type="pct"/>
            <w:hideMark/>
          </w:tcPr>
          <w:p w14:paraId="041704AF"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0.4</w:t>
            </w:r>
          </w:p>
        </w:tc>
        <w:tc>
          <w:tcPr>
            <w:tcW w:w="585" w:type="pct"/>
            <w:hideMark/>
          </w:tcPr>
          <w:p w14:paraId="021B554A"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-1.5</w:t>
            </w:r>
          </w:p>
        </w:tc>
        <w:tc>
          <w:tcPr>
            <w:tcW w:w="498" w:type="pct"/>
            <w:hideMark/>
          </w:tcPr>
          <w:p w14:paraId="6DA3B5B2"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-79%</w:t>
            </w:r>
          </w:p>
        </w:tc>
      </w:tr>
      <w:tr w:rsidR="00BF7697" w:rsidRPr="009309F4" w14:paraId="55BA5686"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58723019"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Psychosocial Disability</w:t>
            </w:r>
          </w:p>
        </w:tc>
        <w:tc>
          <w:tcPr>
            <w:tcW w:w="1060" w:type="pct"/>
            <w:hideMark/>
          </w:tcPr>
          <w:p w14:paraId="2FAC088C"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24.2</w:t>
            </w:r>
          </w:p>
        </w:tc>
        <w:tc>
          <w:tcPr>
            <w:tcW w:w="1305" w:type="pct"/>
            <w:hideMark/>
          </w:tcPr>
          <w:p w14:paraId="75D0B80D"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24.4</w:t>
            </w:r>
          </w:p>
        </w:tc>
        <w:tc>
          <w:tcPr>
            <w:tcW w:w="585" w:type="pct"/>
            <w:hideMark/>
          </w:tcPr>
          <w:p w14:paraId="6331B8B7"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0.1</w:t>
            </w:r>
          </w:p>
        </w:tc>
        <w:tc>
          <w:tcPr>
            <w:tcW w:w="498" w:type="pct"/>
            <w:hideMark/>
          </w:tcPr>
          <w:p w14:paraId="05883733"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w:t>
            </w:r>
          </w:p>
        </w:tc>
      </w:tr>
      <w:tr w:rsidR="00BF7697" w:rsidRPr="009309F4" w14:paraId="72CA3A9A"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689638F4"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Spinal Cord Injury</w:t>
            </w:r>
          </w:p>
        </w:tc>
        <w:tc>
          <w:tcPr>
            <w:tcW w:w="1060" w:type="pct"/>
            <w:hideMark/>
          </w:tcPr>
          <w:p w14:paraId="6613E685"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1.8</w:t>
            </w:r>
          </w:p>
        </w:tc>
        <w:tc>
          <w:tcPr>
            <w:tcW w:w="1305" w:type="pct"/>
            <w:hideMark/>
          </w:tcPr>
          <w:p w14:paraId="247F5C27"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1.7</w:t>
            </w:r>
          </w:p>
        </w:tc>
        <w:tc>
          <w:tcPr>
            <w:tcW w:w="585" w:type="pct"/>
            <w:hideMark/>
          </w:tcPr>
          <w:p w14:paraId="44FF03DB"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-0.1</w:t>
            </w:r>
          </w:p>
        </w:tc>
        <w:tc>
          <w:tcPr>
            <w:tcW w:w="498" w:type="pct"/>
            <w:hideMark/>
          </w:tcPr>
          <w:p w14:paraId="0643D189"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-7%</w:t>
            </w:r>
          </w:p>
        </w:tc>
      </w:tr>
      <w:tr w:rsidR="00BF7697" w:rsidRPr="009309F4" w14:paraId="1233AFD4"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53370ADF"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Stroke</w:t>
            </w:r>
          </w:p>
        </w:tc>
        <w:tc>
          <w:tcPr>
            <w:tcW w:w="1060" w:type="pct"/>
            <w:hideMark/>
          </w:tcPr>
          <w:p w14:paraId="01A900A1"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4.6</w:t>
            </w:r>
          </w:p>
        </w:tc>
        <w:tc>
          <w:tcPr>
            <w:tcW w:w="1305" w:type="pct"/>
            <w:hideMark/>
          </w:tcPr>
          <w:p w14:paraId="4B89DE61"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4.7</w:t>
            </w:r>
          </w:p>
        </w:tc>
        <w:tc>
          <w:tcPr>
            <w:tcW w:w="585" w:type="pct"/>
            <w:hideMark/>
          </w:tcPr>
          <w:p w14:paraId="03250A6E"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0.1</w:t>
            </w:r>
          </w:p>
        </w:tc>
        <w:tc>
          <w:tcPr>
            <w:tcW w:w="498" w:type="pct"/>
            <w:hideMark/>
          </w:tcPr>
          <w:p w14:paraId="3F0DDF13"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2%</w:t>
            </w:r>
          </w:p>
        </w:tc>
      </w:tr>
      <w:tr w:rsidR="00BF7697" w:rsidRPr="009309F4" w14:paraId="217B17E1"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1552" w:type="pct"/>
            <w:hideMark/>
          </w:tcPr>
          <w:p w14:paraId="63ED0CEA" w14:textId="77777777" w:rsidR="00BF7697" w:rsidRPr="009309F4" w:rsidRDefault="00BF7697" w:rsidP="00B17C79">
            <w:pPr>
              <w:spacing w:after="0"/>
              <w:rPr>
                <w:rFonts w:eastAsia="Times New Roman" w:cs="Arial"/>
                <w:color w:val="000000"/>
                <w:sz w:val="18"/>
                <w:szCs w:val="18"/>
              </w:rPr>
            </w:pPr>
            <w:r w:rsidRPr="009309F4">
              <w:rPr>
                <w:rFonts w:eastAsia="Times New Roman" w:cs="Arial"/>
                <w:color w:val="000000"/>
                <w:sz w:val="18"/>
                <w:szCs w:val="18"/>
              </w:rPr>
              <w:t>Visual Impairment</w:t>
            </w:r>
          </w:p>
        </w:tc>
        <w:tc>
          <w:tcPr>
            <w:tcW w:w="1060" w:type="pct"/>
            <w:hideMark/>
          </w:tcPr>
          <w:p w14:paraId="18154FFE"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3.0</w:t>
            </w:r>
          </w:p>
        </w:tc>
        <w:tc>
          <w:tcPr>
            <w:tcW w:w="1305" w:type="pct"/>
            <w:hideMark/>
          </w:tcPr>
          <w:p w14:paraId="04AA74BB"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2.6</w:t>
            </w:r>
          </w:p>
        </w:tc>
        <w:tc>
          <w:tcPr>
            <w:tcW w:w="585" w:type="pct"/>
            <w:hideMark/>
          </w:tcPr>
          <w:p w14:paraId="1A4CD8EB"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-0.3</w:t>
            </w:r>
          </w:p>
        </w:tc>
        <w:tc>
          <w:tcPr>
            <w:tcW w:w="498" w:type="pct"/>
            <w:hideMark/>
          </w:tcPr>
          <w:p w14:paraId="112A5E94" w14:textId="77777777" w:rsidR="00BF7697" w:rsidRPr="009309F4" w:rsidRDefault="00BF7697" w:rsidP="00B17C79">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9309F4">
              <w:rPr>
                <w:rFonts w:eastAsia="Times New Roman" w:cs="Arial"/>
                <w:color w:val="000000"/>
                <w:sz w:val="18"/>
                <w:szCs w:val="18"/>
              </w:rPr>
              <w:t>-12%</w:t>
            </w:r>
          </w:p>
        </w:tc>
      </w:tr>
      <w:tr w:rsidR="00096D80" w:rsidRPr="009309F4" w14:paraId="4DEDBF97" w14:textId="77777777" w:rsidTr="00096D80">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2" w:type="pct"/>
            <w:shd w:val="clear" w:color="auto" w:fill="D4C5D7"/>
            <w:hideMark/>
          </w:tcPr>
          <w:p w14:paraId="0A4FCA7D" w14:textId="77777777" w:rsidR="00BF7697" w:rsidRPr="009309F4" w:rsidRDefault="00BF7697" w:rsidP="00B17C79">
            <w:pPr>
              <w:spacing w:after="0"/>
              <w:rPr>
                <w:rFonts w:eastAsia="Times New Roman" w:cs="Arial"/>
                <w:b/>
                <w:bCs/>
                <w:color w:val="000000"/>
                <w:sz w:val="18"/>
                <w:szCs w:val="18"/>
              </w:rPr>
            </w:pPr>
            <w:r w:rsidRPr="009309F4">
              <w:rPr>
                <w:rFonts w:eastAsia="Times New Roman" w:cs="Arial"/>
                <w:b/>
                <w:bCs/>
                <w:color w:val="000000"/>
                <w:sz w:val="18"/>
                <w:szCs w:val="18"/>
              </w:rPr>
              <w:t>Total All Disabilities</w:t>
            </w:r>
          </w:p>
        </w:tc>
        <w:tc>
          <w:tcPr>
            <w:tcW w:w="1060" w:type="pct"/>
            <w:shd w:val="clear" w:color="auto" w:fill="D4C5D7"/>
            <w:noWrap/>
            <w:hideMark/>
          </w:tcPr>
          <w:p w14:paraId="3217D648"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rPr>
            </w:pPr>
            <w:r w:rsidRPr="009309F4">
              <w:rPr>
                <w:rFonts w:eastAsia="Times New Roman" w:cs="Arial"/>
                <w:b/>
                <w:bCs/>
                <w:color w:val="000000"/>
                <w:sz w:val="18"/>
                <w:szCs w:val="18"/>
              </w:rPr>
              <w:t>271.6</w:t>
            </w:r>
          </w:p>
        </w:tc>
        <w:tc>
          <w:tcPr>
            <w:tcW w:w="1305" w:type="pct"/>
            <w:shd w:val="clear" w:color="auto" w:fill="D4C5D7"/>
            <w:noWrap/>
            <w:hideMark/>
          </w:tcPr>
          <w:p w14:paraId="57845CD3"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rPr>
            </w:pPr>
            <w:r w:rsidRPr="009309F4">
              <w:rPr>
                <w:rFonts w:eastAsia="Times New Roman" w:cs="Arial"/>
                <w:b/>
                <w:bCs/>
                <w:color w:val="000000"/>
                <w:sz w:val="18"/>
                <w:szCs w:val="18"/>
              </w:rPr>
              <w:t>308.4</w:t>
            </w:r>
          </w:p>
        </w:tc>
        <w:tc>
          <w:tcPr>
            <w:tcW w:w="585" w:type="pct"/>
            <w:shd w:val="clear" w:color="auto" w:fill="D4C5D7"/>
            <w:noWrap/>
            <w:hideMark/>
          </w:tcPr>
          <w:p w14:paraId="0BE9EE3C"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rPr>
            </w:pPr>
            <w:r w:rsidRPr="009309F4">
              <w:rPr>
                <w:rFonts w:eastAsia="Times New Roman" w:cs="Arial"/>
                <w:b/>
                <w:bCs/>
                <w:color w:val="000000"/>
                <w:sz w:val="18"/>
                <w:szCs w:val="18"/>
              </w:rPr>
              <w:t>36.8</w:t>
            </w:r>
          </w:p>
        </w:tc>
        <w:tc>
          <w:tcPr>
            <w:tcW w:w="498" w:type="pct"/>
            <w:shd w:val="clear" w:color="auto" w:fill="D4C5D7"/>
            <w:noWrap/>
            <w:hideMark/>
          </w:tcPr>
          <w:p w14:paraId="286536A2" w14:textId="77777777" w:rsidR="00BF7697" w:rsidRPr="009309F4" w:rsidRDefault="00BF7697" w:rsidP="00B17C79">
            <w:pPr>
              <w:spacing w:after="0"/>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rPr>
            </w:pPr>
            <w:r w:rsidRPr="009309F4">
              <w:rPr>
                <w:rFonts w:eastAsia="Times New Roman" w:cs="Arial"/>
                <w:b/>
                <w:bCs/>
                <w:color w:val="000000"/>
                <w:sz w:val="18"/>
                <w:szCs w:val="18"/>
              </w:rPr>
              <w:t>14%</w:t>
            </w:r>
          </w:p>
        </w:tc>
      </w:tr>
    </w:tbl>
    <w:p w14:paraId="34DBDC6C" w14:textId="77777777" w:rsidR="00BF7697" w:rsidRPr="00860FF4" w:rsidRDefault="00BF7697" w:rsidP="009309F4">
      <w:pPr>
        <w:pStyle w:val="FSRnormal"/>
        <w:rPr>
          <w:rFonts w:asciiTheme="minorHAnsi" w:hAnsiTheme="minorHAnsi"/>
          <w:szCs w:val="22"/>
        </w:rPr>
      </w:pPr>
      <w:r w:rsidRPr="000B098B">
        <w:rPr>
          <w:rStyle w:val="FSRnormalChar"/>
        </w:rPr>
        <w:lastRenderedPageBreak/>
        <w:t xml:space="preserve">This table shows that the increase in new </w:t>
      </w:r>
      <w:r w:rsidR="007A5421">
        <w:rPr>
          <w:rStyle w:val="FSRnormalChar"/>
        </w:rPr>
        <w:t xml:space="preserve">entrant </w:t>
      </w:r>
      <w:r w:rsidRPr="000B098B">
        <w:rPr>
          <w:rStyle w:val="FSRnormalChar"/>
        </w:rPr>
        <w:t xml:space="preserve">rate for autism is </w:t>
      </w:r>
      <w:r w:rsidR="00E56489" w:rsidRPr="000B098B">
        <w:rPr>
          <w:rStyle w:val="FSRnormalChar"/>
        </w:rPr>
        <w:t>large and</w:t>
      </w:r>
      <w:r w:rsidRPr="000B098B">
        <w:rPr>
          <w:rStyle w:val="FSRnormalChar"/>
        </w:rPr>
        <w:t xml:space="preserve"> is driven by the emerging experience of higher levels of intake than expected for participants with autism. To better understand the age cohorts driving the higher new </w:t>
      </w:r>
      <w:r w:rsidR="007A5421">
        <w:rPr>
          <w:rStyle w:val="FSRnormalChar"/>
        </w:rPr>
        <w:t xml:space="preserve">entrant </w:t>
      </w:r>
      <w:r w:rsidRPr="000B098B">
        <w:rPr>
          <w:rStyle w:val="FSRnormalChar"/>
        </w:rPr>
        <w:t>experience for</w:t>
      </w:r>
      <w:r w:rsidRPr="00860FF4">
        <w:rPr>
          <w:rFonts w:eastAsia="Arial" w:cs="Arial"/>
        </w:rPr>
        <w:t xml:space="preserve"> participants with autism</w:t>
      </w:r>
      <w:r>
        <w:rPr>
          <w:rFonts w:eastAsia="Arial" w:cs="Arial"/>
        </w:rPr>
        <w:t xml:space="preserve">, </w:t>
      </w:r>
      <w:r w:rsidR="009309F4" w:rsidRPr="00164A79">
        <w:t xml:space="preserve">Figure </w:t>
      </w:r>
      <w:r w:rsidR="009309F4">
        <w:rPr>
          <w:noProof/>
        </w:rPr>
        <w:t>5</w:t>
      </w:r>
      <w:r w:rsidR="009309F4">
        <w:t>.</w:t>
      </w:r>
      <w:r w:rsidR="009309F4">
        <w:rPr>
          <w:noProof/>
        </w:rPr>
        <w:t>5</w:t>
      </w:r>
      <w:r>
        <w:rPr>
          <w:rFonts w:eastAsia="Arial" w:cs="Arial"/>
        </w:rPr>
        <w:t xml:space="preserve"> and </w:t>
      </w:r>
      <w:r w:rsidR="009309F4" w:rsidRPr="00D600D1">
        <w:t xml:space="preserve">Figure </w:t>
      </w:r>
      <w:r w:rsidR="009309F4">
        <w:rPr>
          <w:noProof/>
        </w:rPr>
        <w:t>5</w:t>
      </w:r>
      <w:r w:rsidR="009309F4">
        <w:t>.</w:t>
      </w:r>
      <w:r w:rsidR="009309F4">
        <w:rPr>
          <w:noProof/>
        </w:rPr>
        <w:t>6</w:t>
      </w:r>
      <w:r w:rsidR="00FA61D1">
        <w:rPr>
          <w:rFonts w:eastAsia="Arial" w:cs="Arial"/>
        </w:rPr>
        <w:t xml:space="preserve"> </w:t>
      </w:r>
      <w:r w:rsidRPr="00860FF4">
        <w:rPr>
          <w:rFonts w:eastAsia="Arial" w:cs="Arial"/>
        </w:rPr>
        <w:t xml:space="preserve">show the new entrant experience for participants with a </w:t>
      </w:r>
      <w:r w:rsidR="007A5421">
        <w:rPr>
          <w:rStyle w:val="FSRnormalChar"/>
        </w:rPr>
        <w:t>primary</w:t>
      </w:r>
      <w:r w:rsidRPr="00585A4E">
        <w:rPr>
          <w:rStyle w:val="FSRnormalChar"/>
        </w:rPr>
        <w:t xml:space="preserve"> disability of autism for years ended 31 March, for ages 0 to 14 at Scheme entry and ages 15+ at Scheme entry, respectively. The results are split between new entrants who are new to disability supports and new entrants transferring from an existing disability program. From the perspective of estimating the new </w:t>
      </w:r>
      <w:r w:rsidR="007A5421">
        <w:rPr>
          <w:rStyle w:val="FSRnormalChar"/>
        </w:rPr>
        <w:t xml:space="preserve">entrant </w:t>
      </w:r>
      <w:r w:rsidRPr="00585A4E">
        <w:rPr>
          <w:rStyle w:val="FSRnormalChar"/>
        </w:rPr>
        <w:t>rates using the direct method, participants new to disability supports</w:t>
      </w:r>
      <w:r w:rsidRPr="00860FF4">
        <w:rPr>
          <w:rFonts w:eastAsia="Arial" w:cs="Arial"/>
        </w:rPr>
        <w:t>:</w:t>
      </w:r>
    </w:p>
    <w:p w14:paraId="71A3E988" w14:textId="77777777" w:rsidR="00BF7697" w:rsidRPr="00860FF4" w:rsidRDefault="00BF7697" w:rsidP="00BF7697">
      <w:pPr>
        <w:pStyle w:val="FSRlist"/>
        <w:rPr>
          <w:rFonts w:asciiTheme="minorHAnsi" w:hAnsiTheme="minorHAnsi"/>
          <w:szCs w:val="22"/>
        </w:rPr>
      </w:pPr>
      <w:r w:rsidRPr="00860FF4">
        <w:rPr>
          <w:rFonts w:eastAsia="Arial" w:cs="Arial"/>
        </w:rPr>
        <w:t xml:space="preserve">appear to have peaked in 2020 for </w:t>
      </w:r>
      <w:r w:rsidR="004C21FD">
        <w:rPr>
          <w:rFonts w:eastAsia="Arial" w:cs="Arial"/>
        </w:rPr>
        <w:t xml:space="preserve">participants aged </w:t>
      </w:r>
      <w:r w:rsidRPr="00860FF4">
        <w:rPr>
          <w:rFonts w:eastAsia="Arial" w:cs="Arial"/>
        </w:rPr>
        <w:t>0 to 14 (</w:t>
      </w:r>
      <w:r w:rsidR="009309F4" w:rsidRPr="00164A79">
        <w:t xml:space="preserve">Figure </w:t>
      </w:r>
      <w:r w:rsidR="009309F4">
        <w:rPr>
          <w:noProof/>
        </w:rPr>
        <w:t>5</w:t>
      </w:r>
      <w:r w:rsidR="009309F4">
        <w:t>.</w:t>
      </w:r>
      <w:r w:rsidR="009309F4">
        <w:rPr>
          <w:noProof/>
        </w:rPr>
        <w:t>5</w:t>
      </w:r>
      <w:r w:rsidR="00F36032" w:rsidRPr="00860FF4">
        <w:rPr>
          <w:rFonts w:eastAsia="Arial" w:cs="Arial"/>
        </w:rPr>
        <w:t>) and</w:t>
      </w:r>
      <w:r w:rsidRPr="00860FF4">
        <w:rPr>
          <w:rFonts w:eastAsia="Arial" w:cs="Arial"/>
        </w:rPr>
        <w:t xml:space="preserve"> </w:t>
      </w:r>
      <w:r w:rsidR="000F1208">
        <w:rPr>
          <w:rFonts w:eastAsia="Arial" w:cs="Arial"/>
        </w:rPr>
        <w:t>are</w:t>
      </w:r>
      <w:r w:rsidRPr="00860FF4">
        <w:rPr>
          <w:rFonts w:eastAsia="Arial" w:cs="Arial"/>
        </w:rPr>
        <w:t xml:space="preserve"> expected to continue </w:t>
      </w:r>
      <w:r w:rsidR="000F1208">
        <w:rPr>
          <w:rFonts w:eastAsia="Arial" w:cs="Arial"/>
        </w:rPr>
        <w:t xml:space="preserve">to enter </w:t>
      </w:r>
      <w:r w:rsidRPr="00860FF4">
        <w:rPr>
          <w:rFonts w:eastAsia="Arial" w:cs="Arial"/>
        </w:rPr>
        <w:t>at rates that are similar to currently observed experience</w:t>
      </w:r>
      <w:r w:rsidR="001E4C5F">
        <w:rPr>
          <w:rFonts w:eastAsia="Arial" w:cs="Arial"/>
        </w:rPr>
        <w:t>. (</w:t>
      </w:r>
      <w:r w:rsidR="003C535C">
        <w:rPr>
          <w:rFonts w:eastAsia="Arial" w:cs="Arial"/>
        </w:rPr>
        <w:t>T</w:t>
      </w:r>
      <w:r w:rsidR="001E4C5F">
        <w:rPr>
          <w:rFonts w:eastAsia="Arial" w:cs="Arial"/>
        </w:rPr>
        <w:t>he reduction since 2020 may be due to children entering the Scheme with developmental delay due to possible delays in receiving an autism diagnosis</w:t>
      </w:r>
      <w:r w:rsidR="00917ED4">
        <w:rPr>
          <w:rFonts w:eastAsia="Arial" w:cs="Arial"/>
        </w:rPr>
        <w:t>, noting that the rate of young participants transitioning from a primary disability type of delay to that of autism has increased</w:t>
      </w:r>
      <w:r w:rsidR="00F36032">
        <w:rPr>
          <w:rFonts w:eastAsia="Arial" w:cs="Arial"/>
        </w:rPr>
        <w:t xml:space="preserve"> in 2022</w:t>
      </w:r>
      <w:r w:rsidR="003C535C">
        <w:rPr>
          <w:rFonts w:eastAsia="Arial" w:cs="Arial"/>
        </w:rPr>
        <w:t>)</w:t>
      </w:r>
      <w:r w:rsidRPr="00860FF4">
        <w:rPr>
          <w:rFonts w:eastAsia="Arial" w:cs="Arial"/>
        </w:rPr>
        <w:t>; and</w:t>
      </w:r>
    </w:p>
    <w:p w14:paraId="3842FF7E" w14:textId="77777777" w:rsidR="00BF7697" w:rsidRPr="00860FF4" w:rsidRDefault="00BF7697" w:rsidP="00BF7697">
      <w:pPr>
        <w:pStyle w:val="FSRlist"/>
        <w:rPr>
          <w:rFonts w:asciiTheme="minorHAnsi" w:hAnsiTheme="minorHAnsi"/>
          <w:szCs w:val="22"/>
        </w:rPr>
      </w:pPr>
      <w:r w:rsidRPr="00860FF4">
        <w:rPr>
          <w:rFonts w:eastAsia="Arial" w:cs="Arial"/>
        </w:rPr>
        <w:t>are continuing to increase for ages 15 and over (but noting that the higher numbers are predominantly driven by the 15 to 24 age group) (</w:t>
      </w:r>
      <w:r w:rsidR="009309F4" w:rsidRPr="00D600D1">
        <w:t xml:space="preserve">Figure </w:t>
      </w:r>
      <w:r w:rsidR="009309F4">
        <w:rPr>
          <w:noProof/>
        </w:rPr>
        <w:t>5</w:t>
      </w:r>
      <w:r w:rsidR="009309F4">
        <w:t>.</w:t>
      </w:r>
      <w:r w:rsidR="009309F4">
        <w:rPr>
          <w:noProof/>
        </w:rPr>
        <w:t>6</w:t>
      </w:r>
      <w:r w:rsidRPr="00860FF4">
        <w:rPr>
          <w:rFonts w:eastAsia="Arial" w:cs="Arial"/>
        </w:rPr>
        <w:t>), which is consistent with increased prevalence rates of autism that have been observed in recent times both in Australia and internationally</w:t>
      </w:r>
      <w:r w:rsidR="008D18FF" w:rsidRPr="00860FF4">
        <w:rPr>
          <w:rStyle w:val="FootnoteReference"/>
          <w:rFonts w:eastAsia="Arial" w:cs="Arial"/>
          <w:sz w:val="21"/>
          <w:szCs w:val="21"/>
        </w:rPr>
        <w:footnoteReference w:id="93"/>
      </w:r>
      <w:r w:rsidRPr="00860FF4">
        <w:rPr>
          <w:rFonts w:eastAsia="Arial" w:cs="Arial"/>
        </w:rPr>
        <w:t xml:space="preserve">. </w:t>
      </w:r>
    </w:p>
    <w:p w14:paraId="7D504CA0" w14:textId="77777777" w:rsidR="00BF7697" w:rsidRPr="00860FF4" w:rsidRDefault="00BF7697" w:rsidP="009309F4">
      <w:pPr>
        <w:pStyle w:val="FSRnormal"/>
        <w:rPr>
          <w:rFonts w:asciiTheme="minorHAnsi" w:hAnsiTheme="minorHAnsi"/>
          <w:szCs w:val="22"/>
        </w:rPr>
      </w:pPr>
      <w:r w:rsidRPr="00860FF4">
        <w:rPr>
          <w:rFonts w:eastAsia="Arial" w:cs="Arial"/>
        </w:rPr>
        <w:t>This continuing upward trend indicates that the</w:t>
      </w:r>
      <w:r w:rsidRPr="00136AE1">
        <w:rPr>
          <w:rStyle w:val="FSRnormalChar"/>
        </w:rPr>
        <w:t xml:space="preserve"> future rate of new entrants with a primary disability of autism and aged 15 and older may be higher than recent experience and/or the </w:t>
      </w:r>
      <w:r w:rsidR="001B3570">
        <w:rPr>
          <w:rStyle w:val="FSRnormalChar"/>
        </w:rPr>
        <w:t>S</w:t>
      </w:r>
      <w:r w:rsidRPr="00136AE1">
        <w:rPr>
          <w:rStyle w:val="FSRnormalChar"/>
        </w:rPr>
        <w:t xml:space="preserve">teady </w:t>
      </w:r>
      <w:r w:rsidR="001B3570">
        <w:rPr>
          <w:rStyle w:val="FSRnormalChar"/>
        </w:rPr>
        <w:t>I</w:t>
      </w:r>
      <w:r w:rsidRPr="00136AE1">
        <w:rPr>
          <w:rStyle w:val="FSRnormalChar"/>
        </w:rPr>
        <w:t xml:space="preserve">ntake </w:t>
      </w:r>
      <w:r w:rsidR="001B3570">
        <w:rPr>
          <w:rStyle w:val="FSRnormalChar"/>
        </w:rPr>
        <w:t>D</w:t>
      </w:r>
      <w:r w:rsidRPr="00136AE1">
        <w:rPr>
          <w:rStyle w:val="FSRnormalChar"/>
        </w:rPr>
        <w:t xml:space="preserve">ate may be later than 30 June 2024. Changes to these assumptions would result in a higher projected number of participants as well as a higher projected </w:t>
      </w:r>
      <w:r w:rsidR="00EF33EB">
        <w:rPr>
          <w:rStyle w:val="FSRnormalChar"/>
        </w:rPr>
        <w:t>expense</w:t>
      </w:r>
      <w:r w:rsidRPr="00136AE1">
        <w:rPr>
          <w:rStyle w:val="FSRnormalChar"/>
        </w:rPr>
        <w:t xml:space="preserve"> for this cohort</w:t>
      </w:r>
      <w:r w:rsidRPr="00860FF4">
        <w:rPr>
          <w:rFonts w:eastAsia="Arial" w:cs="Arial"/>
        </w:rPr>
        <w:t xml:space="preserve">. </w:t>
      </w:r>
    </w:p>
    <w:p w14:paraId="0C989DC0" w14:textId="77777777" w:rsidR="00BF7697" w:rsidRPr="00860FF4" w:rsidRDefault="00BF7697" w:rsidP="00BF7697">
      <w:pPr>
        <w:pStyle w:val="Figures"/>
        <w:spacing w:after="240"/>
      </w:pPr>
      <w:bookmarkStart w:id="188" w:name="_Ref111627361"/>
      <w:bookmarkStart w:id="189" w:name="_Ref113278247"/>
      <w:bookmarkStart w:id="190" w:name="_Ref111897791"/>
      <w:bookmarkStart w:id="191" w:name="_Ref111627358"/>
      <w:r w:rsidRPr="00164A79">
        <w:lastRenderedPageBreak/>
        <w:t xml:space="preserve">Figure </w:t>
      </w:r>
      <w:bookmarkEnd w:id="188"/>
      <w:r w:rsidR="00447AA1">
        <w:fldChar w:fldCharType="begin"/>
      </w:r>
      <w:r w:rsidR="00447AA1">
        <w:instrText xml:space="preserve"> STYLEREF 2 \s </w:instrText>
      </w:r>
      <w:r w:rsidR="00447AA1">
        <w:fldChar w:fldCharType="separate"/>
      </w:r>
      <w:r w:rsidR="00447AA1">
        <w:rPr>
          <w:noProof/>
        </w:rPr>
        <w:t>5</w:t>
      </w:r>
      <w:r w:rsidR="00447AA1">
        <w:fldChar w:fldCharType="end"/>
      </w:r>
      <w:r w:rsidR="00447AA1">
        <w:t>.</w:t>
      </w:r>
      <w:fldSimple w:instr=" SEQ Figure \* ARABIC \s 2 ">
        <w:r w:rsidR="00447AA1">
          <w:rPr>
            <w:noProof/>
          </w:rPr>
          <w:t>5</w:t>
        </w:r>
      </w:fldSimple>
      <w:bookmarkEnd w:id="189"/>
      <w:bookmarkEnd w:id="190"/>
      <w:r w:rsidRPr="00164A79">
        <w:t>: New entrants with autism aged 0 to 14 years at Scheme entry</w:t>
      </w:r>
      <w:bookmarkEnd w:id="191"/>
    </w:p>
    <w:p w14:paraId="55E87988" w14:textId="77777777" w:rsidR="00BF7697" w:rsidRPr="00860FF4" w:rsidRDefault="00815157" w:rsidP="00BF7697">
      <w:pPr>
        <w:spacing w:line="264" w:lineRule="auto"/>
      </w:pPr>
      <w:r>
        <w:rPr>
          <w:noProof/>
          <w:lang w:eastAsia="en-AU"/>
        </w:rPr>
        <w:drawing>
          <wp:inline distT="0" distB="0" distL="0" distR="0" wp14:anchorId="3DCFC8CB" wp14:editId="6756EF02">
            <wp:extent cx="5724000" cy="3002317"/>
            <wp:effectExtent l="0" t="0" r="0" b="7620"/>
            <wp:docPr id="248" name="Picture 248" descr="Figure shows the number new entrants to the Scheme by years ended 31 March, for participants with a primary disability type of autism and an age at Scheme entry of 14 and under, split between participants that are new to disability supports and participants that are transferring across from an existing State/Territory/Commonwealth disability programs.&#10;The number of new entrants to the Scheme that are new to disability supports are 317 for the year ended 31 March 2014, 987 for the year ended 31 March 2015, 1,621 for the year ended 31 March 2016, 3,695 for the year ended 31 March 2017, 4,266 for the year ended 31 March 2018, 11,077 for the year ended 31 March 2019, 17,355 for the year ended 31 March 2020, 16,171 for the year ended 31 March 2021, and 14,957 for the year ended 31 March 2022, &#10;The number of new entrants to the Scheme transferring across from existing State/Territory/Commonwealth disability programs are 641 for the year ended 31 March 2014, 1,274 for the year ended 31 March 2015, 1,339 for the year ended 31 March 2016, 4,855 for the year ended 31 March 2017, 9,987 for the year ended 31 March 2018, 11,990 for the year ended 31 March 2019, 9,556 for the year ended 31 March 2020, 2,827 for the year ended 31 March 2021, and 875 for the year ended 31 March 2022, &#10;The total number of new entrants to the Scheme are 958 for the year ended 31 March 2014, 2,261 for the year ended 31 March 2015, 2,960 for the year ended 31 March 2016, 8,550 for the year ended 31 March 2017, 14,253 for the year ended 31 March 2018, 23,067 for the year ended 31 March 2019, 26,911 for the year ended 31 March 2020, 18,998 for the year ended 31 March 2021, and 15,832 for the year ended 31 March 2022.&#10;" title="Figure 5.5: New entrants with autism aged 0 to 14 years at Scheme 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24000" cy="3002317"/>
                    </a:xfrm>
                    <a:prstGeom prst="rect">
                      <a:avLst/>
                    </a:prstGeom>
                    <a:noFill/>
                  </pic:spPr>
                </pic:pic>
              </a:graphicData>
            </a:graphic>
          </wp:inline>
        </w:drawing>
      </w:r>
    </w:p>
    <w:p w14:paraId="528B4BBE" w14:textId="77777777" w:rsidR="00BF7697" w:rsidRPr="00860FF4" w:rsidRDefault="00BF7697">
      <w:pPr>
        <w:pStyle w:val="Figures"/>
      </w:pPr>
      <w:bookmarkStart w:id="192" w:name="_Ref111627388"/>
      <w:bookmarkStart w:id="193" w:name="_Ref113278266"/>
      <w:bookmarkStart w:id="194" w:name="_Ref111897804"/>
      <w:r w:rsidRPr="00D600D1">
        <w:t xml:space="preserve">Figure </w:t>
      </w:r>
      <w:bookmarkEnd w:id="192"/>
      <w:r w:rsidR="00447AA1">
        <w:fldChar w:fldCharType="begin"/>
      </w:r>
      <w:r w:rsidR="00447AA1">
        <w:instrText xml:space="preserve"> STYLEREF 2 \s </w:instrText>
      </w:r>
      <w:r w:rsidR="00447AA1">
        <w:fldChar w:fldCharType="separate"/>
      </w:r>
      <w:r w:rsidR="00447AA1">
        <w:rPr>
          <w:noProof/>
        </w:rPr>
        <w:t>5</w:t>
      </w:r>
      <w:r w:rsidR="00447AA1">
        <w:fldChar w:fldCharType="end"/>
      </w:r>
      <w:r w:rsidR="00447AA1">
        <w:t>.</w:t>
      </w:r>
      <w:fldSimple w:instr=" SEQ Figure \* ARABIC \s 2 ">
        <w:r w:rsidR="00447AA1">
          <w:rPr>
            <w:noProof/>
          </w:rPr>
          <w:t>6</w:t>
        </w:r>
      </w:fldSimple>
      <w:bookmarkEnd w:id="193"/>
      <w:bookmarkEnd w:id="194"/>
      <w:r>
        <w:t>:</w:t>
      </w:r>
      <w:r w:rsidRPr="00860FF4">
        <w:t xml:space="preserve"> New entrants with autism aged 15 years and older at Scheme entry</w:t>
      </w:r>
    </w:p>
    <w:p w14:paraId="44E5A319" w14:textId="77777777" w:rsidR="00BF7697" w:rsidRPr="00860FF4" w:rsidRDefault="00815157" w:rsidP="00BF7697">
      <w:pPr>
        <w:spacing w:line="264" w:lineRule="auto"/>
      </w:pPr>
      <w:r w:rsidRPr="00815157">
        <w:rPr>
          <w:noProof/>
          <w:lang w:eastAsia="en-AU"/>
        </w:rPr>
        <w:drawing>
          <wp:inline distT="0" distB="0" distL="0" distR="0" wp14:anchorId="0D1C02B6" wp14:editId="06A0B193">
            <wp:extent cx="5724525" cy="2975610"/>
            <wp:effectExtent l="0" t="0" r="9525" b="0"/>
            <wp:docPr id="250" name="Picture 250" descr="Figure shows the number new entrants to the Scheme by years ended 31 March, for participants with a primary disability type of autism and an age at Scheme entry of 15 and over, split between participants that are new to disability supports and participants that are transferring across from an existing State/Territory/Commonwealth disability programs.&#10;The number of new entrants to the Scheme that are new to disability supports are 86 for the year ended 31 March 2014, 155 for the year ended 31 March 2015, 339 for the year ended 31 March 2016, 1,078 for the year ended 31 March 2017, 1,528 for the year ended 31 March 2018, 3,134 for the year ended 31 March 2019, 4,776 for the year ended 31 March 2020, 5,707 for the year ended 31 March 2021, and 6,715 for the year ended 31 March 2022, &#10;The number of new entrants to the Scheme transferring across from existing State/Territory/Commonwealth disability programs are 388 for the year ended 31 March 2014, 351 for the year ended 31 March 2015, 349 for the year ended 31 March 2016, 3,607 for the year ended 31 March 2017, 5,087 for the year ended 31 March 2018, 5,854 for the year ended 31 March 2019, 2,516 for the year ended 31 March 2020, 926 for the year ended 31 March 2021, and 355 for the year ended 31 March 2022, &#10;The total number of new entrants to the Scheme are 474 for the year ended 31 March 2014, 506 for the year ended 31 March 2015, 688 for the year ended 31 March 2016, 4,685 for the year ended 31 March 2017, 6,615 for the year ended 31 March 2018, 8,988 for the year ended 31 March 2019, 7,292 for the year ended 31 March 2020, 6,633 for the year ended 31 March 2021, and 7,070 for the year ended 31 March 2022." title="Figure 5.6: New entrants with autism aged 15 years and older at Scheme 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24525" cy="2975610"/>
                    </a:xfrm>
                    <a:prstGeom prst="rect">
                      <a:avLst/>
                    </a:prstGeom>
                    <a:noFill/>
                    <a:ln>
                      <a:noFill/>
                    </a:ln>
                  </pic:spPr>
                </pic:pic>
              </a:graphicData>
            </a:graphic>
          </wp:inline>
        </w:drawing>
      </w:r>
    </w:p>
    <w:p w14:paraId="38AEBF36" w14:textId="77777777" w:rsidR="00BF7697" w:rsidRPr="00860FF4" w:rsidRDefault="00DD155C" w:rsidP="00BF7697">
      <w:r w:rsidRPr="003A0C3C">
        <w:t xml:space="preserve">Table </w:t>
      </w:r>
      <w:r>
        <w:rPr>
          <w:noProof/>
        </w:rPr>
        <w:t>5</w:t>
      </w:r>
      <w:r>
        <w:t>.</w:t>
      </w:r>
      <w:r>
        <w:rPr>
          <w:noProof/>
        </w:rPr>
        <w:t>12</w:t>
      </w:r>
      <w:r w:rsidR="00EB6DA5" w:rsidRPr="00C53CDC">
        <w:rPr>
          <w:rFonts w:eastAsia="Arial" w:cs="Arial"/>
        </w:rPr>
        <w:t xml:space="preserve"> </w:t>
      </w:r>
      <w:r w:rsidR="00BF7697" w:rsidRPr="00EB6DA5">
        <w:rPr>
          <w:rStyle w:val="FSRnormalChar"/>
        </w:rPr>
        <w:t>shows the estimated annual number of new entrants by gender and age group using Austr</w:t>
      </w:r>
      <w:r w:rsidR="00BF7697" w:rsidRPr="00136AE1">
        <w:rPr>
          <w:rStyle w:val="FSRnormalChar"/>
        </w:rPr>
        <w:t xml:space="preserve">alian population data for people aged 0 to 64 years </w:t>
      </w:r>
      <w:r w:rsidR="007F2B28">
        <w:rPr>
          <w:rStyle w:val="FSRnormalChar"/>
        </w:rPr>
        <w:t>at</w:t>
      </w:r>
      <w:r w:rsidR="00BF7697" w:rsidRPr="00136AE1">
        <w:rPr>
          <w:rStyle w:val="FSRnormalChar"/>
        </w:rPr>
        <w:t xml:space="preserve"> 30 June 2021 for the 2020-21 and 2021-22 AFSRs.</w:t>
      </w:r>
    </w:p>
    <w:p w14:paraId="22EA5F3F" w14:textId="77777777" w:rsidR="00CA54D2" w:rsidRDefault="00CA54D2">
      <w:pPr>
        <w:spacing w:after="160" w:line="259" w:lineRule="auto"/>
        <w:rPr>
          <w:rFonts w:eastAsiaTheme="minorHAnsi"/>
          <w:b/>
          <w:bCs/>
          <w:szCs w:val="18"/>
          <w:lang w:eastAsia="en-US"/>
        </w:rPr>
      </w:pPr>
      <w:bookmarkStart w:id="195" w:name="_Ref111627505"/>
      <w:bookmarkStart w:id="196" w:name="_Ref111898014"/>
      <w:r>
        <w:br w:type="page"/>
      </w:r>
    </w:p>
    <w:p w14:paraId="1454CB8E" w14:textId="77777777" w:rsidR="00BF7697" w:rsidRPr="00860FF4" w:rsidRDefault="00BF7697" w:rsidP="00BF7697">
      <w:pPr>
        <w:pStyle w:val="Tables"/>
      </w:pPr>
      <w:r w:rsidRPr="003A0C3C">
        <w:lastRenderedPageBreak/>
        <w:t xml:space="preserve">Table </w:t>
      </w:r>
      <w:bookmarkEnd w:id="195"/>
      <w:r w:rsidR="00A87896">
        <w:fldChar w:fldCharType="begin"/>
      </w:r>
      <w:r w:rsidR="00A87896">
        <w:instrText xml:space="preserve"> STYLEREF 2 \s </w:instrText>
      </w:r>
      <w:r w:rsidR="00A87896">
        <w:fldChar w:fldCharType="separate"/>
      </w:r>
      <w:r w:rsidR="00A87896">
        <w:rPr>
          <w:noProof/>
        </w:rPr>
        <w:t>5</w:t>
      </w:r>
      <w:r w:rsidR="00A87896">
        <w:fldChar w:fldCharType="end"/>
      </w:r>
      <w:r w:rsidR="00A87896">
        <w:t>.</w:t>
      </w:r>
      <w:fldSimple w:instr=" SEQ Table \* ARABIC \s 2 ">
        <w:r w:rsidR="00A87896">
          <w:rPr>
            <w:noProof/>
          </w:rPr>
          <w:t>12</w:t>
        </w:r>
      </w:fldSimple>
      <w:bookmarkEnd w:id="196"/>
      <w:r>
        <w:rPr>
          <w:noProof/>
        </w:rPr>
        <w:t>:</w:t>
      </w:r>
      <w:r w:rsidRPr="003A0C3C">
        <w:t xml:space="preserve"> </w:t>
      </w:r>
      <w:r w:rsidRPr="00860FF4">
        <w:t xml:space="preserve">Estimated annual number of new entrants by gender and age group using (1) 2020-21 AFSR new </w:t>
      </w:r>
      <w:r w:rsidR="003E0B5D">
        <w:t xml:space="preserve">entrant rate </w:t>
      </w:r>
      <w:r w:rsidRPr="00860FF4">
        <w:t xml:space="preserve">assumptions; and (2) 2021-22 AFSR new </w:t>
      </w:r>
      <w:r w:rsidR="003E0B5D">
        <w:t xml:space="preserve">entrant rate </w:t>
      </w:r>
      <w:r w:rsidRPr="00860FF4">
        <w:t>assumptions</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28"/>
        <w:gridCol w:w="1992"/>
        <w:gridCol w:w="1992"/>
        <w:gridCol w:w="786"/>
        <w:gridCol w:w="816"/>
      </w:tblGrid>
      <w:tr w:rsidR="00C1476C" w:rsidRPr="00BA5058" w14:paraId="1C5DB3DA" w14:textId="77777777" w:rsidTr="007D70F6">
        <w:trPr>
          <w:cantSplit/>
          <w:trHeight w:val="600"/>
          <w:tblHeader/>
        </w:trPr>
        <w:tc>
          <w:tcPr>
            <w:tcW w:w="3628" w:type="dxa"/>
            <w:shd w:val="clear" w:color="auto" w:fill="6B2976"/>
            <w:vAlign w:val="center"/>
          </w:tcPr>
          <w:p w14:paraId="1411CDFF" w14:textId="77777777" w:rsidR="00C1476C" w:rsidRPr="00252EAF" w:rsidRDefault="00C1476C" w:rsidP="00B17C79">
            <w:pPr>
              <w:spacing w:after="0"/>
              <w:rPr>
                <w:rFonts w:cs="Arial"/>
                <w:sz w:val="18"/>
                <w:szCs w:val="18"/>
              </w:rPr>
            </w:pPr>
            <w:r w:rsidRPr="00BA5058">
              <w:rPr>
                <w:rFonts w:eastAsia="Arial" w:cs="Arial"/>
                <w:b/>
                <w:bCs/>
                <w:color w:val="FFFFFF" w:themeColor="background1"/>
                <w:sz w:val="18"/>
                <w:szCs w:val="18"/>
              </w:rPr>
              <w:t>Gender and age group</w:t>
            </w:r>
          </w:p>
        </w:tc>
        <w:tc>
          <w:tcPr>
            <w:tcW w:w="3984" w:type="dxa"/>
            <w:gridSpan w:val="2"/>
            <w:tcBorders>
              <w:bottom w:val="single" w:sz="4" w:space="0" w:color="D9D9D9" w:themeColor="background1" w:themeShade="D9"/>
            </w:tcBorders>
            <w:shd w:val="clear" w:color="auto" w:fill="6B2976"/>
            <w:vAlign w:val="center"/>
          </w:tcPr>
          <w:p w14:paraId="0A186716" w14:textId="77777777" w:rsidR="00C1476C" w:rsidRPr="00252EAF" w:rsidRDefault="00C1476C" w:rsidP="00B17C79">
            <w:pPr>
              <w:spacing w:after="0"/>
              <w:jc w:val="center"/>
              <w:rPr>
                <w:rFonts w:cs="Arial"/>
                <w:sz w:val="18"/>
                <w:szCs w:val="18"/>
              </w:rPr>
            </w:pPr>
            <w:r w:rsidRPr="00BA5058">
              <w:rPr>
                <w:rFonts w:eastAsia="Arial" w:cs="Arial"/>
                <w:b/>
                <w:bCs/>
                <w:color w:val="FFFFFF" w:themeColor="background1"/>
                <w:sz w:val="18"/>
                <w:szCs w:val="18"/>
              </w:rPr>
              <w:t>Estimated annual number of new entrants using Australian population data at 30 June 2021 and:</w:t>
            </w:r>
          </w:p>
        </w:tc>
        <w:tc>
          <w:tcPr>
            <w:tcW w:w="1602" w:type="dxa"/>
            <w:gridSpan w:val="2"/>
            <w:tcBorders>
              <w:bottom w:val="single" w:sz="4" w:space="0" w:color="D9D9D9" w:themeColor="background1" w:themeShade="D9"/>
            </w:tcBorders>
            <w:shd w:val="clear" w:color="auto" w:fill="6B2976"/>
            <w:vAlign w:val="center"/>
          </w:tcPr>
          <w:p w14:paraId="65377A5A" w14:textId="77777777" w:rsidR="00C1476C" w:rsidRPr="00252EAF" w:rsidRDefault="00C1476C" w:rsidP="00B17C79">
            <w:pPr>
              <w:spacing w:after="0"/>
              <w:jc w:val="right"/>
              <w:rPr>
                <w:rFonts w:cs="Arial"/>
                <w:sz w:val="18"/>
                <w:szCs w:val="18"/>
              </w:rPr>
            </w:pPr>
            <w:r w:rsidRPr="00BA5058">
              <w:rPr>
                <w:rFonts w:eastAsia="Arial" w:cs="Arial"/>
                <w:b/>
                <w:bCs/>
                <w:color w:val="FFFFFF" w:themeColor="background1"/>
                <w:sz w:val="18"/>
                <w:szCs w:val="18"/>
              </w:rPr>
              <w:t>Change (2) - (1)</w:t>
            </w:r>
          </w:p>
        </w:tc>
      </w:tr>
      <w:tr w:rsidR="00C1476C" w:rsidRPr="00BA5058" w14:paraId="5E5224F2" w14:textId="77777777" w:rsidTr="007D70F6">
        <w:trPr>
          <w:cantSplit/>
          <w:trHeight w:val="840"/>
          <w:tblHeader/>
        </w:trPr>
        <w:tc>
          <w:tcPr>
            <w:tcW w:w="3628" w:type="dxa"/>
            <w:shd w:val="clear" w:color="auto" w:fill="6B2976"/>
            <w:vAlign w:val="center"/>
          </w:tcPr>
          <w:p w14:paraId="51C96DEA" w14:textId="77777777" w:rsidR="00C1476C" w:rsidRPr="00252EAF" w:rsidRDefault="00C1476C" w:rsidP="00B17C79">
            <w:pPr>
              <w:spacing w:after="0"/>
              <w:rPr>
                <w:rFonts w:cs="Arial"/>
                <w:sz w:val="18"/>
                <w:szCs w:val="18"/>
              </w:rPr>
            </w:pPr>
          </w:p>
        </w:tc>
        <w:tc>
          <w:tcPr>
            <w:tcW w:w="1992" w:type="dxa"/>
            <w:tcBorders>
              <w:top w:val="single" w:sz="4" w:space="0" w:color="D9D9D9" w:themeColor="background1" w:themeShade="D9"/>
            </w:tcBorders>
            <w:shd w:val="clear" w:color="auto" w:fill="6B2976"/>
            <w:vAlign w:val="center"/>
          </w:tcPr>
          <w:p w14:paraId="378A7AEE" w14:textId="77777777" w:rsidR="00C1476C" w:rsidRPr="00252EAF" w:rsidRDefault="00C1476C" w:rsidP="007D1BF1">
            <w:pPr>
              <w:spacing w:after="0"/>
              <w:jc w:val="right"/>
              <w:rPr>
                <w:rFonts w:cs="Arial"/>
                <w:sz w:val="18"/>
                <w:szCs w:val="18"/>
              </w:rPr>
            </w:pPr>
            <w:r w:rsidRPr="00BA5058">
              <w:rPr>
                <w:rFonts w:eastAsia="Arial" w:cs="Arial"/>
                <w:b/>
                <w:bCs/>
                <w:color w:val="FFFFFF" w:themeColor="background1"/>
                <w:sz w:val="18"/>
                <w:szCs w:val="18"/>
              </w:rPr>
              <w:t>2020-21 AFSR new entrant rate assumptions (1)</w:t>
            </w:r>
          </w:p>
        </w:tc>
        <w:tc>
          <w:tcPr>
            <w:tcW w:w="1992" w:type="dxa"/>
            <w:tcBorders>
              <w:top w:val="single" w:sz="4" w:space="0" w:color="D9D9D9" w:themeColor="background1" w:themeShade="D9"/>
            </w:tcBorders>
            <w:shd w:val="clear" w:color="auto" w:fill="6B2976"/>
            <w:vAlign w:val="center"/>
          </w:tcPr>
          <w:p w14:paraId="569ADCE5" w14:textId="77777777" w:rsidR="00C1476C" w:rsidRPr="00252EAF" w:rsidRDefault="00C1476C" w:rsidP="007D1BF1">
            <w:pPr>
              <w:spacing w:after="0"/>
              <w:jc w:val="right"/>
              <w:rPr>
                <w:rFonts w:cs="Arial"/>
                <w:sz w:val="18"/>
                <w:szCs w:val="18"/>
              </w:rPr>
            </w:pPr>
            <w:r w:rsidRPr="00BA5058">
              <w:rPr>
                <w:rFonts w:eastAsia="Arial" w:cs="Arial"/>
                <w:b/>
                <w:bCs/>
                <w:color w:val="FFFFFF" w:themeColor="background1"/>
                <w:sz w:val="18"/>
                <w:szCs w:val="18"/>
              </w:rPr>
              <w:t>2021-22 AFSR new entrant rate assumptions (2)</w:t>
            </w:r>
          </w:p>
        </w:tc>
        <w:tc>
          <w:tcPr>
            <w:tcW w:w="786" w:type="dxa"/>
            <w:tcBorders>
              <w:top w:val="single" w:sz="4" w:space="0" w:color="D9D9D9" w:themeColor="background1" w:themeShade="D9"/>
            </w:tcBorders>
            <w:shd w:val="clear" w:color="auto" w:fill="6B2976"/>
            <w:vAlign w:val="center"/>
          </w:tcPr>
          <w:p w14:paraId="0E190E44" w14:textId="77777777" w:rsidR="00C1476C" w:rsidRPr="00252EAF" w:rsidRDefault="00C1476C" w:rsidP="00B17C79">
            <w:pPr>
              <w:spacing w:after="0"/>
              <w:jc w:val="right"/>
              <w:rPr>
                <w:rFonts w:cs="Arial"/>
                <w:sz w:val="18"/>
                <w:szCs w:val="18"/>
              </w:rPr>
            </w:pPr>
            <w:r w:rsidRPr="00BA5058">
              <w:rPr>
                <w:rFonts w:eastAsia="Arial" w:cs="Arial"/>
                <w:b/>
                <w:bCs/>
                <w:color w:val="FFFFFF" w:themeColor="background1"/>
                <w:sz w:val="18"/>
                <w:szCs w:val="18"/>
              </w:rPr>
              <w:t>#</w:t>
            </w:r>
          </w:p>
        </w:tc>
        <w:tc>
          <w:tcPr>
            <w:tcW w:w="816" w:type="dxa"/>
            <w:tcBorders>
              <w:top w:val="single" w:sz="4" w:space="0" w:color="D9D9D9" w:themeColor="background1" w:themeShade="D9"/>
            </w:tcBorders>
            <w:shd w:val="clear" w:color="auto" w:fill="6B2976"/>
            <w:vAlign w:val="center"/>
          </w:tcPr>
          <w:p w14:paraId="72450EB5" w14:textId="77777777" w:rsidR="00C1476C" w:rsidRPr="00252EAF" w:rsidRDefault="00C1476C" w:rsidP="00B17C79">
            <w:pPr>
              <w:spacing w:after="0"/>
              <w:jc w:val="right"/>
              <w:rPr>
                <w:rFonts w:cs="Arial"/>
                <w:sz w:val="18"/>
                <w:szCs w:val="18"/>
              </w:rPr>
            </w:pPr>
            <w:r w:rsidRPr="00BA5058">
              <w:rPr>
                <w:rFonts w:eastAsia="Arial" w:cs="Arial"/>
                <w:b/>
                <w:bCs/>
                <w:color w:val="FFFFFF" w:themeColor="background1"/>
                <w:sz w:val="18"/>
                <w:szCs w:val="18"/>
              </w:rPr>
              <w:t>%</w:t>
            </w:r>
          </w:p>
        </w:tc>
      </w:tr>
      <w:tr w:rsidR="00BF7697" w:rsidRPr="00BA5058" w14:paraId="4E93FA1C" w14:textId="77777777" w:rsidTr="00B17C79">
        <w:trPr>
          <w:cantSplit/>
          <w:trHeight w:val="301"/>
        </w:trPr>
        <w:tc>
          <w:tcPr>
            <w:tcW w:w="3628" w:type="dxa"/>
            <w:vAlign w:val="center"/>
          </w:tcPr>
          <w:p w14:paraId="10604709" w14:textId="77777777" w:rsidR="00BF7697" w:rsidRPr="00252EAF" w:rsidRDefault="00BF7697" w:rsidP="00B17C79">
            <w:pPr>
              <w:spacing w:after="0"/>
              <w:rPr>
                <w:rFonts w:cs="Arial"/>
                <w:sz w:val="18"/>
                <w:szCs w:val="18"/>
              </w:rPr>
            </w:pPr>
            <w:r w:rsidRPr="00252EAF">
              <w:rPr>
                <w:rFonts w:eastAsia="Arial" w:cs="Arial"/>
                <w:color w:val="000000" w:themeColor="text1"/>
                <w:sz w:val="18"/>
                <w:szCs w:val="18"/>
              </w:rPr>
              <w:t>Male / 0 to 6 years old</w:t>
            </w:r>
          </w:p>
        </w:tc>
        <w:tc>
          <w:tcPr>
            <w:tcW w:w="1992" w:type="dxa"/>
            <w:vAlign w:val="center"/>
          </w:tcPr>
          <w:p w14:paraId="5891E60E"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22,495</w:t>
            </w:r>
          </w:p>
        </w:tc>
        <w:tc>
          <w:tcPr>
            <w:tcW w:w="1992" w:type="dxa"/>
            <w:vAlign w:val="center"/>
          </w:tcPr>
          <w:p w14:paraId="7033935B"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21,209</w:t>
            </w:r>
          </w:p>
        </w:tc>
        <w:tc>
          <w:tcPr>
            <w:tcW w:w="786" w:type="dxa"/>
            <w:vAlign w:val="center"/>
          </w:tcPr>
          <w:p w14:paraId="05A8F5F6"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-1,287</w:t>
            </w:r>
          </w:p>
        </w:tc>
        <w:tc>
          <w:tcPr>
            <w:tcW w:w="816" w:type="dxa"/>
            <w:vAlign w:val="center"/>
          </w:tcPr>
          <w:p w14:paraId="3DF0810F"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-6%</w:t>
            </w:r>
          </w:p>
        </w:tc>
      </w:tr>
      <w:tr w:rsidR="00BF7697" w:rsidRPr="00BA5058" w14:paraId="703CE763" w14:textId="77777777" w:rsidTr="00B17C79">
        <w:trPr>
          <w:cantSplit/>
          <w:trHeight w:val="301"/>
        </w:trPr>
        <w:tc>
          <w:tcPr>
            <w:tcW w:w="3628" w:type="dxa"/>
            <w:shd w:val="clear" w:color="auto" w:fill="C0C0C0"/>
            <w:vAlign w:val="center"/>
          </w:tcPr>
          <w:p w14:paraId="1DEEDFF6" w14:textId="77777777" w:rsidR="00BF7697" w:rsidRPr="00252EAF" w:rsidRDefault="00BF7697" w:rsidP="00B17C79">
            <w:pPr>
              <w:spacing w:after="0"/>
              <w:rPr>
                <w:rFonts w:cs="Arial"/>
                <w:sz w:val="18"/>
                <w:szCs w:val="18"/>
              </w:rPr>
            </w:pPr>
            <w:r w:rsidRPr="00252EAF">
              <w:rPr>
                <w:rFonts w:eastAsia="Arial" w:cs="Arial"/>
                <w:color w:val="000000" w:themeColor="text1"/>
                <w:sz w:val="18"/>
                <w:szCs w:val="18"/>
              </w:rPr>
              <w:t>Male / 7 to 18 years old</w:t>
            </w:r>
          </w:p>
        </w:tc>
        <w:tc>
          <w:tcPr>
            <w:tcW w:w="1992" w:type="dxa"/>
            <w:shd w:val="clear" w:color="auto" w:fill="C0C0C0"/>
            <w:vAlign w:val="center"/>
          </w:tcPr>
          <w:p w14:paraId="7012A766"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6,955</w:t>
            </w:r>
          </w:p>
        </w:tc>
        <w:tc>
          <w:tcPr>
            <w:tcW w:w="1992" w:type="dxa"/>
            <w:shd w:val="clear" w:color="auto" w:fill="C0C0C0"/>
            <w:vAlign w:val="center"/>
          </w:tcPr>
          <w:p w14:paraId="16ACD564"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10,309</w:t>
            </w:r>
          </w:p>
        </w:tc>
        <w:tc>
          <w:tcPr>
            <w:tcW w:w="786" w:type="dxa"/>
            <w:shd w:val="clear" w:color="auto" w:fill="C0C0C0"/>
            <w:vAlign w:val="center"/>
          </w:tcPr>
          <w:p w14:paraId="7F830F01"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3,354</w:t>
            </w:r>
          </w:p>
        </w:tc>
        <w:tc>
          <w:tcPr>
            <w:tcW w:w="816" w:type="dxa"/>
            <w:shd w:val="clear" w:color="auto" w:fill="C0C0C0"/>
            <w:vAlign w:val="center"/>
          </w:tcPr>
          <w:p w14:paraId="61E3839C"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48%</w:t>
            </w:r>
          </w:p>
        </w:tc>
      </w:tr>
      <w:tr w:rsidR="00BF7697" w:rsidRPr="00BA5058" w14:paraId="3D461A15" w14:textId="77777777" w:rsidTr="00DA3F73">
        <w:trPr>
          <w:cantSplit/>
          <w:trHeight w:val="301"/>
        </w:trPr>
        <w:tc>
          <w:tcPr>
            <w:tcW w:w="3628" w:type="dxa"/>
            <w:tcBorders>
              <w:bottom w:val="single" w:sz="4" w:space="0" w:color="auto"/>
            </w:tcBorders>
            <w:vAlign w:val="center"/>
          </w:tcPr>
          <w:p w14:paraId="6B85BA7F" w14:textId="77777777" w:rsidR="00BF7697" w:rsidRPr="00252EAF" w:rsidRDefault="00BF7697" w:rsidP="00B17C79">
            <w:pPr>
              <w:spacing w:after="0"/>
              <w:rPr>
                <w:rFonts w:cs="Arial"/>
                <w:sz w:val="18"/>
                <w:szCs w:val="18"/>
              </w:rPr>
            </w:pPr>
            <w:r w:rsidRPr="00252EAF">
              <w:rPr>
                <w:rFonts w:eastAsia="Arial" w:cs="Arial"/>
                <w:color w:val="000000" w:themeColor="text1"/>
                <w:sz w:val="18"/>
                <w:szCs w:val="18"/>
              </w:rPr>
              <w:t>Male / 19 to 64 years old</w:t>
            </w:r>
          </w:p>
        </w:tc>
        <w:tc>
          <w:tcPr>
            <w:tcW w:w="1992" w:type="dxa"/>
            <w:tcBorders>
              <w:bottom w:val="single" w:sz="4" w:space="0" w:color="auto"/>
            </w:tcBorders>
            <w:vAlign w:val="center"/>
          </w:tcPr>
          <w:p w14:paraId="04508BF5"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9,007</w:t>
            </w:r>
          </w:p>
        </w:tc>
        <w:tc>
          <w:tcPr>
            <w:tcW w:w="1992" w:type="dxa"/>
            <w:tcBorders>
              <w:bottom w:val="single" w:sz="4" w:space="0" w:color="auto"/>
            </w:tcBorders>
            <w:vAlign w:val="center"/>
          </w:tcPr>
          <w:p w14:paraId="2115E62F"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10,101</w:t>
            </w:r>
          </w:p>
        </w:tc>
        <w:tc>
          <w:tcPr>
            <w:tcW w:w="786" w:type="dxa"/>
            <w:tcBorders>
              <w:bottom w:val="single" w:sz="4" w:space="0" w:color="auto"/>
            </w:tcBorders>
            <w:vAlign w:val="center"/>
          </w:tcPr>
          <w:p w14:paraId="602C6B0B"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1,093</w:t>
            </w:r>
          </w:p>
        </w:tc>
        <w:tc>
          <w:tcPr>
            <w:tcW w:w="816" w:type="dxa"/>
            <w:tcBorders>
              <w:bottom w:val="single" w:sz="4" w:space="0" w:color="auto"/>
            </w:tcBorders>
            <w:vAlign w:val="center"/>
          </w:tcPr>
          <w:p w14:paraId="23137A43"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12%</w:t>
            </w:r>
          </w:p>
        </w:tc>
      </w:tr>
      <w:tr w:rsidR="00BF7697" w:rsidRPr="00BA5058" w14:paraId="363438D1" w14:textId="77777777" w:rsidTr="00DA3F73">
        <w:trPr>
          <w:cantSplit/>
          <w:trHeight w:val="301"/>
        </w:trPr>
        <w:tc>
          <w:tcPr>
            <w:tcW w:w="3628" w:type="dxa"/>
            <w:tcBorders>
              <w:top w:val="single" w:sz="4" w:space="0" w:color="auto"/>
              <w:bottom w:val="single" w:sz="4" w:space="0" w:color="auto"/>
            </w:tcBorders>
            <w:shd w:val="clear" w:color="auto" w:fill="D4C5D7"/>
            <w:vAlign w:val="center"/>
          </w:tcPr>
          <w:p w14:paraId="456364E1" w14:textId="77777777" w:rsidR="00BF7697" w:rsidRPr="00252EAF" w:rsidRDefault="00BF7697" w:rsidP="00B17C79">
            <w:pPr>
              <w:spacing w:after="0"/>
              <w:rPr>
                <w:rFonts w:cs="Arial"/>
                <w:sz w:val="18"/>
                <w:szCs w:val="18"/>
              </w:rPr>
            </w:pPr>
            <w:r w:rsidRPr="00252EAF">
              <w:rPr>
                <w:rFonts w:eastAsia="Arial" w:cs="Arial"/>
                <w:b/>
                <w:bCs/>
                <w:color w:val="000000" w:themeColor="text1"/>
                <w:sz w:val="18"/>
                <w:szCs w:val="18"/>
              </w:rPr>
              <w:t>Total Male</w:t>
            </w:r>
          </w:p>
        </w:tc>
        <w:tc>
          <w:tcPr>
            <w:tcW w:w="1992" w:type="dxa"/>
            <w:tcBorders>
              <w:top w:val="single" w:sz="4" w:space="0" w:color="auto"/>
              <w:bottom w:val="single" w:sz="4" w:space="0" w:color="auto"/>
            </w:tcBorders>
            <w:shd w:val="clear" w:color="auto" w:fill="D4C5D7"/>
            <w:vAlign w:val="center"/>
          </w:tcPr>
          <w:p w14:paraId="1121EFFF" w14:textId="77777777" w:rsidR="00BF7697" w:rsidRPr="00252EAF" w:rsidRDefault="00BF7697" w:rsidP="00B17C79">
            <w:pPr>
              <w:spacing w:after="0"/>
              <w:jc w:val="right"/>
              <w:rPr>
                <w:rFonts w:cs="Arial"/>
                <w:sz w:val="18"/>
                <w:szCs w:val="18"/>
              </w:rPr>
            </w:pPr>
            <w:r w:rsidRPr="00252EAF">
              <w:rPr>
                <w:rFonts w:eastAsia="Arial" w:cs="Arial"/>
                <w:b/>
                <w:bCs/>
                <w:color w:val="000000" w:themeColor="text1"/>
                <w:sz w:val="18"/>
                <w:szCs w:val="18"/>
              </w:rPr>
              <w:t>38,457</w:t>
            </w:r>
          </w:p>
        </w:tc>
        <w:tc>
          <w:tcPr>
            <w:tcW w:w="1992" w:type="dxa"/>
            <w:tcBorders>
              <w:top w:val="single" w:sz="4" w:space="0" w:color="auto"/>
              <w:bottom w:val="single" w:sz="4" w:space="0" w:color="auto"/>
            </w:tcBorders>
            <w:shd w:val="clear" w:color="auto" w:fill="D4C5D7"/>
            <w:vAlign w:val="center"/>
          </w:tcPr>
          <w:p w14:paraId="5E00BE76" w14:textId="77777777" w:rsidR="00BF7697" w:rsidRPr="00252EAF" w:rsidRDefault="00BF7697" w:rsidP="00B17C79">
            <w:pPr>
              <w:spacing w:after="0"/>
              <w:jc w:val="right"/>
              <w:rPr>
                <w:rFonts w:cs="Arial"/>
                <w:sz w:val="18"/>
                <w:szCs w:val="18"/>
              </w:rPr>
            </w:pPr>
            <w:r w:rsidRPr="00252EAF">
              <w:rPr>
                <w:rFonts w:eastAsia="Arial" w:cs="Arial"/>
                <w:b/>
                <w:bCs/>
                <w:color w:val="000000" w:themeColor="text1"/>
                <w:sz w:val="18"/>
                <w:szCs w:val="18"/>
              </w:rPr>
              <w:t>41,618</w:t>
            </w:r>
          </w:p>
        </w:tc>
        <w:tc>
          <w:tcPr>
            <w:tcW w:w="786" w:type="dxa"/>
            <w:tcBorders>
              <w:top w:val="single" w:sz="4" w:space="0" w:color="auto"/>
              <w:bottom w:val="single" w:sz="4" w:space="0" w:color="auto"/>
            </w:tcBorders>
            <w:shd w:val="clear" w:color="auto" w:fill="D4C5D7"/>
            <w:vAlign w:val="center"/>
          </w:tcPr>
          <w:p w14:paraId="5D9790E1" w14:textId="77777777" w:rsidR="00BF7697" w:rsidRPr="00252EAF" w:rsidRDefault="00BF7697" w:rsidP="00B17C79">
            <w:pPr>
              <w:spacing w:after="0"/>
              <w:jc w:val="right"/>
              <w:rPr>
                <w:rFonts w:cs="Arial"/>
                <w:sz w:val="18"/>
                <w:szCs w:val="18"/>
              </w:rPr>
            </w:pPr>
            <w:r w:rsidRPr="00252EAF">
              <w:rPr>
                <w:rFonts w:eastAsia="Arial" w:cs="Arial"/>
                <w:b/>
                <w:bCs/>
                <w:color w:val="000000" w:themeColor="text1"/>
                <w:sz w:val="18"/>
                <w:szCs w:val="18"/>
              </w:rPr>
              <w:t>3,161</w:t>
            </w:r>
          </w:p>
        </w:tc>
        <w:tc>
          <w:tcPr>
            <w:tcW w:w="816" w:type="dxa"/>
            <w:tcBorders>
              <w:top w:val="single" w:sz="4" w:space="0" w:color="auto"/>
              <w:bottom w:val="single" w:sz="4" w:space="0" w:color="auto"/>
            </w:tcBorders>
            <w:shd w:val="clear" w:color="auto" w:fill="D4C5D7"/>
            <w:vAlign w:val="center"/>
          </w:tcPr>
          <w:p w14:paraId="1A9DE3AE" w14:textId="77777777" w:rsidR="00BF7697" w:rsidRPr="00252EAF" w:rsidRDefault="00BF7697" w:rsidP="00B17C79">
            <w:pPr>
              <w:spacing w:after="0"/>
              <w:jc w:val="right"/>
              <w:rPr>
                <w:rFonts w:cs="Arial"/>
                <w:sz w:val="18"/>
                <w:szCs w:val="18"/>
              </w:rPr>
            </w:pPr>
            <w:r w:rsidRPr="00252EAF">
              <w:rPr>
                <w:rFonts w:eastAsia="Arial" w:cs="Arial"/>
                <w:b/>
                <w:bCs/>
                <w:color w:val="000000" w:themeColor="text1"/>
                <w:sz w:val="18"/>
                <w:szCs w:val="18"/>
              </w:rPr>
              <w:t>8%</w:t>
            </w:r>
          </w:p>
        </w:tc>
      </w:tr>
      <w:tr w:rsidR="00BF7697" w:rsidRPr="00BA5058" w14:paraId="63808E27" w14:textId="77777777" w:rsidTr="00DA3F73">
        <w:trPr>
          <w:cantSplit/>
          <w:trHeight w:val="301"/>
        </w:trPr>
        <w:tc>
          <w:tcPr>
            <w:tcW w:w="3628" w:type="dxa"/>
            <w:tcBorders>
              <w:top w:val="single" w:sz="4" w:space="0" w:color="auto"/>
            </w:tcBorders>
            <w:vAlign w:val="center"/>
          </w:tcPr>
          <w:p w14:paraId="0C748305" w14:textId="77777777" w:rsidR="00BF7697" w:rsidRPr="00252EAF" w:rsidRDefault="00BF7697" w:rsidP="00B17C79">
            <w:pPr>
              <w:spacing w:after="0"/>
              <w:rPr>
                <w:rFonts w:cs="Arial"/>
                <w:sz w:val="18"/>
                <w:szCs w:val="18"/>
              </w:rPr>
            </w:pPr>
            <w:r w:rsidRPr="00252EAF">
              <w:rPr>
                <w:rFonts w:eastAsia="Arial" w:cs="Arial"/>
                <w:color w:val="000000" w:themeColor="text1"/>
                <w:sz w:val="18"/>
                <w:szCs w:val="18"/>
              </w:rPr>
              <w:t>Female / 0 to 6 years old</w:t>
            </w:r>
          </w:p>
        </w:tc>
        <w:tc>
          <w:tcPr>
            <w:tcW w:w="1992" w:type="dxa"/>
            <w:tcBorders>
              <w:top w:val="single" w:sz="4" w:space="0" w:color="auto"/>
            </w:tcBorders>
            <w:vAlign w:val="center"/>
          </w:tcPr>
          <w:p w14:paraId="6CD3092A"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9,022</w:t>
            </w:r>
          </w:p>
        </w:tc>
        <w:tc>
          <w:tcPr>
            <w:tcW w:w="1992" w:type="dxa"/>
            <w:tcBorders>
              <w:top w:val="single" w:sz="4" w:space="0" w:color="auto"/>
            </w:tcBorders>
            <w:vAlign w:val="center"/>
          </w:tcPr>
          <w:p w14:paraId="771392DB"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8,798</w:t>
            </w:r>
          </w:p>
        </w:tc>
        <w:tc>
          <w:tcPr>
            <w:tcW w:w="786" w:type="dxa"/>
            <w:tcBorders>
              <w:top w:val="single" w:sz="4" w:space="0" w:color="auto"/>
            </w:tcBorders>
            <w:vAlign w:val="center"/>
          </w:tcPr>
          <w:p w14:paraId="44F5CC7A"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-224</w:t>
            </w:r>
          </w:p>
        </w:tc>
        <w:tc>
          <w:tcPr>
            <w:tcW w:w="816" w:type="dxa"/>
            <w:tcBorders>
              <w:top w:val="single" w:sz="4" w:space="0" w:color="auto"/>
            </w:tcBorders>
            <w:vAlign w:val="center"/>
          </w:tcPr>
          <w:p w14:paraId="24B233F9"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-2%</w:t>
            </w:r>
          </w:p>
        </w:tc>
      </w:tr>
      <w:tr w:rsidR="00BF7697" w:rsidRPr="00BA5058" w14:paraId="22EFD00C" w14:textId="77777777" w:rsidTr="00B17C79">
        <w:trPr>
          <w:cantSplit/>
          <w:trHeight w:val="301"/>
        </w:trPr>
        <w:tc>
          <w:tcPr>
            <w:tcW w:w="3628" w:type="dxa"/>
            <w:shd w:val="clear" w:color="auto" w:fill="C0C0C0"/>
            <w:vAlign w:val="center"/>
          </w:tcPr>
          <w:p w14:paraId="55DA5EEF" w14:textId="77777777" w:rsidR="00BF7697" w:rsidRPr="00252EAF" w:rsidRDefault="00BF7697" w:rsidP="00B17C79">
            <w:pPr>
              <w:spacing w:after="0"/>
              <w:rPr>
                <w:rFonts w:cs="Arial"/>
                <w:sz w:val="18"/>
                <w:szCs w:val="18"/>
              </w:rPr>
            </w:pPr>
            <w:r w:rsidRPr="00252EAF">
              <w:rPr>
                <w:rFonts w:eastAsia="Arial" w:cs="Arial"/>
                <w:color w:val="000000" w:themeColor="text1"/>
                <w:sz w:val="18"/>
                <w:szCs w:val="18"/>
              </w:rPr>
              <w:t>Female / 7 to 18 years old</w:t>
            </w:r>
          </w:p>
        </w:tc>
        <w:tc>
          <w:tcPr>
            <w:tcW w:w="1992" w:type="dxa"/>
            <w:shd w:val="clear" w:color="auto" w:fill="C0C0C0"/>
            <w:vAlign w:val="center"/>
          </w:tcPr>
          <w:p w14:paraId="3578DED3"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3,626</w:t>
            </w:r>
          </w:p>
        </w:tc>
        <w:tc>
          <w:tcPr>
            <w:tcW w:w="1992" w:type="dxa"/>
            <w:shd w:val="clear" w:color="auto" w:fill="C0C0C0"/>
            <w:vAlign w:val="center"/>
          </w:tcPr>
          <w:p w14:paraId="790922FC"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6,089</w:t>
            </w:r>
          </w:p>
        </w:tc>
        <w:tc>
          <w:tcPr>
            <w:tcW w:w="786" w:type="dxa"/>
            <w:shd w:val="clear" w:color="auto" w:fill="C0C0C0"/>
            <w:vAlign w:val="center"/>
          </w:tcPr>
          <w:p w14:paraId="6E9011AF"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2,463</w:t>
            </w:r>
          </w:p>
        </w:tc>
        <w:tc>
          <w:tcPr>
            <w:tcW w:w="816" w:type="dxa"/>
            <w:shd w:val="clear" w:color="auto" w:fill="C0C0C0"/>
            <w:vAlign w:val="center"/>
          </w:tcPr>
          <w:p w14:paraId="28035565"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68%</w:t>
            </w:r>
          </w:p>
        </w:tc>
      </w:tr>
      <w:tr w:rsidR="00BF7697" w:rsidRPr="00BA5058" w14:paraId="664F0EB9" w14:textId="77777777" w:rsidTr="00DA3F73">
        <w:trPr>
          <w:cantSplit/>
          <w:trHeight w:val="301"/>
        </w:trPr>
        <w:tc>
          <w:tcPr>
            <w:tcW w:w="3628" w:type="dxa"/>
            <w:tcBorders>
              <w:bottom w:val="single" w:sz="4" w:space="0" w:color="auto"/>
            </w:tcBorders>
            <w:vAlign w:val="center"/>
          </w:tcPr>
          <w:p w14:paraId="650D135B" w14:textId="77777777" w:rsidR="00BF7697" w:rsidRPr="00252EAF" w:rsidRDefault="00BF7697" w:rsidP="00B17C79">
            <w:pPr>
              <w:spacing w:after="0"/>
              <w:rPr>
                <w:rFonts w:cs="Arial"/>
                <w:sz w:val="18"/>
                <w:szCs w:val="18"/>
              </w:rPr>
            </w:pPr>
            <w:r w:rsidRPr="00252EAF">
              <w:rPr>
                <w:rFonts w:eastAsia="Arial" w:cs="Arial"/>
                <w:color w:val="000000" w:themeColor="text1"/>
                <w:sz w:val="18"/>
                <w:szCs w:val="18"/>
              </w:rPr>
              <w:t>Female / 19 to 64 years old</w:t>
            </w:r>
          </w:p>
        </w:tc>
        <w:tc>
          <w:tcPr>
            <w:tcW w:w="1992" w:type="dxa"/>
            <w:tcBorders>
              <w:bottom w:val="single" w:sz="4" w:space="0" w:color="auto"/>
            </w:tcBorders>
            <w:vAlign w:val="center"/>
          </w:tcPr>
          <w:p w14:paraId="41AC7056"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7,883</w:t>
            </w:r>
          </w:p>
        </w:tc>
        <w:tc>
          <w:tcPr>
            <w:tcW w:w="1992" w:type="dxa"/>
            <w:tcBorders>
              <w:bottom w:val="single" w:sz="4" w:space="0" w:color="auto"/>
            </w:tcBorders>
            <w:vAlign w:val="center"/>
          </w:tcPr>
          <w:p w14:paraId="0F5E6AC3"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9,570</w:t>
            </w:r>
          </w:p>
        </w:tc>
        <w:tc>
          <w:tcPr>
            <w:tcW w:w="786" w:type="dxa"/>
            <w:tcBorders>
              <w:bottom w:val="single" w:sz="4" w:space="0" w:color="auto"/>
            </w:tcBorders>
            <w:vAlign w:val="center"/>
          </w:tcPr>
          <w:p w14:paraId="34327450"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1,687</w:t>
            </w:r>
          </w:p>
        </w:tc>
        <w:tc>
          <w:tcPr>
            <w:tcW w:w="816" w:type="dxa"/>
            <w:tcBorders>
              <w:bottom w:val="single" w:sz="4" w:space="0" w:color="auto"/>
            </w:tcBorders>
            <w:vAlign w:val="center"/>
          </w:tcPr>
          <w:p w14:paraId="0EA4E0C1"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21%</w:t>
            </w:r>
          </w:p>
        </w:tc>
      </w:tr>
      <w:tr w:rsidR="00BF7697" w:rsidRPr="00BA5058" w14:paraId="537849A0" w14:textId="77777777" w:rsidTr="00DA3F73">
        <w:trPr>
          <w:cantSplit/>
          <w:trHeight w:val="301"/>
        </w:trPr>
        <w:tc>
          <w:tcPr>
            <w:tcW w:w="3628" w:type="dxa"/>
            <w:tcBorders>
              <w:top w:val="single" w:sz="4" w:space="0" w:color="auto"/>
              <w:bottom w:val="single" w:sz="4" w:space="0" w:color="auto"/>
            </w:tcBorders>
            <w:shd w:val="clear" w:color="auto" w:fill="D4C5D7"/>
            <w:vAlign w:val="center"/>
          </w:tcPr>
          <w:p w14:paraId="01F4BB68" w14:textId="77777777" w:rsidR="00BF7697" w:rsidRPr="00252EAF" w:rsidRDefault="00BF7697" w:rsidP="00B17C79">
            <w:pPr>
              <w:spacing w:after="0"/>
              <w:rPr>
                <w:rFonts w:cs="Arial"/>
                <w:sz w:val="18"/>
                <w:szCs w:val="18"/>
              </w:rPr>
            </w:pPr>
            <w:r w:rsidRPr="00252EAF">
              <w:rPr>
                <w:rFonts w:eastAsia="Arial" w:cs="Arial"/>
                <w:b/>
                <w:bCs/>
                <w:color w:val="000000" w:themeColor="text1"/>
                <w:sz w:val="18"/>
                <w:szCs w:val="18"/>
              </w:rPr>
              <w:t>Total Female</w:t>
            </w:r>
          </w:p>
        </w:tc>
        <w:tc>
          <w:tcPr>
            <w:tcW w:w="1992" w:type="dxa"/>
            <w:tcBorders>
              <w:top w:val="single" w:sz="4" w:space="0" w:color="auto"/>
              <w:bottom w:val="single" w:sz="4" w:space="0" w:color="auto"/>
            </w:tcBorders>
            <w:shd w:val="clear" w:color="auto" w:fill="D4C5D7"/>
            <w:vAlign w:val="center"/>
          </w:tcPr>
          <w:p w14:paraId="24C64359" w14:textId="77777777" w:rsidR="00BF7697" w:rsidRPr="00252EAF" w:rsidRDefault="00BF7697" w:rsidP="00B17C79">
            <w:pPr>
              <w:spacing w:after="0"/>
              <w:jc w:val="right"/>
              <w:rPr>
                <w:rFonts w:cs="Arial"/>
                <w:sz w:val="18"/>
                <w:szCs w:val="18"/>
              </w:rPr>
            </w:pPr>
            <w:r w:rsidRPr="00252EAF">
              <w:rPr>
                <w:rFonts w:eastAsia="Arial" w:cs="Arial"/>
                <w:b/>
                <w:bCs/>
                <w:color w:val="000000" w:themeColor="text1"/>
                <w:sz w:val="18"/>
                <w:szCs w:val="18"/>
              </w:rPr>
              <w:t>20,532</w:t>
            </w:r>
          </w:p>
        </w:tc>
        <w:tc>
          <w:tcPr>
            <w:tcW w:w="1992" w:type="dxa"/>
            <w:tcBorders>
              <w:top w:val="single" w:sz="4" w:space="0" w:color="auto"/>
              <w:bottom w:val="single" w:sz="4" w:space="0" w:color="auto"/>
            </w:tcBorders>
            <w:shd w:val="clear" w:color="auto" w:fill="D4C5D7"/>
            <w:vAlign w:val="center"/>
          </w:tcPr>
          <w:p w14:paraId="65127A82" w14:textId="77777777" w:rsidR="00BF7697" w:rsidRPr="00252EAF" w:rsidRDefault="00BF7697" w:rsidP="00B17C79">
            <w:pPr>
              <w:spacing w:after="0"/>
              <w:jc w:val="right"/>
              <w:rPr>
                <w:rFonts w:cs="Arial"/>
                <w:sz w:val="18"/>
                <w:szCs w:val="18"/>
              </w:rPr>
            </w:pPr>
            <w:r w:rsidRPr="00252EAF">
              <w:rPr>
                <w:rFonts w:eastAsia="Arial" w:cs="Arial"/>
                <w:b/>
                <w:bCs/>
                <w:color w:val="000000" w:themeColor="text1"/>
                <w:sz w:val="18"/>
                <w:szCs w:val="18"/>
              </w:rPr>
              <w:t>24,457</w:t>
            </w:r>
          </w:p>
        </w:tc>
        <w:tc>
          <w:tcPr>
            <w:tcW w:w="786" w:type="dxa"/>
            <w:tcBorders>
              <w:top w:val="single" w:sz="4" w:space="0" w:color="auto"/>
              <w:bottom w:val="single" w:sz="4" w:space="0" w:color="auto"/>
            </w:tcBorders>
            <w:shd w:val="clear" w:color="auto" w:fill="D4C5D7"/>
            <w:vAlign w:val="center"/>
          </w:tcPr>
          <w:p w14:paraId="10F2C185" w14:textId="77777777" w:rsidR="00BF7697" w:rsidRPr="00252EAF" w:rsidRDefault="00BF7697" w:rsidP="00B17C79">
            <w:pPr>
              <w:spacing w:after="0"/>
              <w:jc w:val="right"/>
              <w:rPr>
                <w:rFonts w:cs="Arial"/>
                <w:sz w:val="18"/>
                <w:szCs w:val="18"/>
              </w:rPr>
            </w:pPr>
            <w:r w:rsidRPr="00252EAF">
              <w:rPr>
                <w:rFonts w:eastAsia="Arial" w:cs="Arial"/>
                <w:b/>
                <w:bCs/>
                <w:color w:val="000000" w:themeColor="text1"/>
                <w:sz w:val="18"/>
                <w:szCs w:val="18"/>
              </w:rPr>
              <w:t>3,926</w:t>
            </w:r>
          </w:p>
        </w:tc>
        <w:tc>
          <w:tcPr>
            <w:tcW w:w="816" w:type="dxa"/>
            <w:tcBorders>
              <w:top w:val="single" w:sz="4" w:space="0" w:color="auto"/>
              <w:bottom w:val="single" w:sz="4" w:space="0" w:color="auto"/>
            </w:tcBorders>
            <w:shd w:val="clear" w:color="auto" w:fill="D4C5D7"/>
            <w:vAlign w:val="center"/>
          </w:tcPr>
          <w:p w14:paraId="4BF6BB32" w14:textId="77777777" w:rsidR="00BF7697" w:rsidRPr="00252EAF" w:rsidRDefault="00BF7697" w:rsidP="00B17C79">
            <w:pPr>
              <w:spacing w:after="0"/>
              <w:jc w:val="right"/>
              <w:rPr>
                <w:rFonts w:cs="Arial"/>
                <w:sz w:val="18"/>
                <w:szCs w:val="18"/>
              </w:rPr>
            </w:pPr>
            <w:r w:rsidRPr="00252EAF">
              <w:rPr>
                <w:rFonts w:eastAsia="Arial" w:cs="Arial"/>
                <w:b/>
                <w:bCs/>
                <w:color w:val="000000" w:themeColor="text1"/>
                <w:sz w:val="18"/>
                <w:szCs w:val="18"/>
              </w:rPr>
              <w:t>19%</w:t>
            </w:r>
          </w:p>
        </w:tc>
      </w:tr>
      <w:tr w:rsidR="00BF7697" w:rsidRPr="00BA5058" w14:paraId="0FA3CC7E" w14:textId="77777777" w:rsidTr="00DA3F73">
        <w:trPr>
          <w:cantSplit/>
          <w:trHeight w:val="301"/>
        </w:trPr>
        <w:tc>
          <w:tcPr>
            <w:tcW w:w="3628" w:type="dxa"/>
            <w:tcBorders>
              <w:top w:val="single" w:sz="4" w:space="0" w:color="auto"/>
            </w:tcBorders>
            <w:vAlign w:val="center"/>
          </w:tcPr>
          <w:p w14:paraId="48AD5E82" w14:textId="77777777" w:rsidR="00BF7697" w:rsidRPr="00252EAF" w:rsidRDefault="00BF7697" w:rsidP="00B17C79">
            <w:pPr>
              <w:spacing w:after="0"/>
              <w:rPr>
                <w:rFonts w:cs="Arial"/>
                <w:sz w:val="18"/>
                <w:szCs w:val="18"/>
              </w:rPr>
            </w:pPr>
            <w:r w:rsidRPr="00252EAF">
              <w:rPr>
                <w:rFonts w:eastAsia="Arial" w:cs="Arial"/>
                <w:color w:val="000000" w:themeColor="text1"/>
                <w:sz w:val="18"/>
                <w:szCs w:val="18"/>
              </w:rPr>
              <w:t>All Persons / 0 to 6 years old</w:t>
            </w:r>
          </w:p>
        </w:tc>
        <w:tc>
          <w:tcPr>
            <w:tcW w:w="1992" w:type="dxa"/>
            <w:tcBorders>
              <w:top w:val="single" w:sz="4" w:space="0" w:color="auto"/>
            </w:tcBorders>
            <w:vAlign w:val="center"/>
          </w:tcPr>
          <w:p w14:paraId="3E0F83D5"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31,518</w:t>
            </w:r>
          </w:p>
        </w:tc>
        <w:tc>
          <w:tcPr>
            <w:tcW w:w="1992" w:type="dxa"/>
            <w:tcBorders>
              <w:top w:val="single" w:sz="4" w:space="0" w:color="auto"/>
            </w:tcBorders>
            <w:vAlign w:val="center"/>
          </w:tcPr>
          <w:p w14:paraId="74415DB7"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30,007</w:t>
            </w:r>
          </w:p>
        </w:tc>
        <w:tc>
          <w:tcPr>
            <w:tcW w:w="786" w:type="dxa"/>
            <w:tcBorders>
              <w:top w:val="single" w:sz="4" w:space="0" w:color="auto"/>
            </w:tcBorders>
            <w:vAlign w:val="center"/>
          </w:tcPr>
          <w:p w14:paraId="0AB51F6F"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-1,511</w:t>
            </w:r>
          </w:p>
        </w:tc>
        <w:tc>
          <w:tcPr>
            <w:tcW w:w="816" w:type="dxa"/>
            <w:tcBorders>
              <w:top w:val="single" w:sz="4" w:space="0" w:color="auto"/>
            </w:tcBorders>
            <w:vAlign w:val="center"/>
          </w:tcPr>
          <w:p w14:paraId="618392CE"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-5%</w:t>
            </w:r>
          </w:p>
        </w:tc>
      </w:tr>
      <w:tr w:rsidR="00BF7697" w:rsidRPr="00BA5058" w14:paraId="3C7CEF60" w14:textId="77777777" w:rsidTr="00B17C79">
        <w:trPr>
          <w:cantSplit/>
          <w:trHeight w:val="301"/>
        </w:trPr>
        <w:tc>
          <w:tcPr>
            <w:tcW w:w="3628" w:type="dxa"/>
            <w:shd w:val="clear" w:color="auto" w:fill="C0C0C0"/>
            <w:vAlign w:val="center"/>
          </w:tcPr>
          <w:p w14:paraId="19E8C795" w14:textId="77777777" w:rsidR="00BF7697" w:rsidRPr="00252EAF" w:rsidRDefault="00BF7697" w:rsidP="00B17C79">
            <w:pPr>
              <w:spacing w:after="0"/>
              <w:rPr>
                <w:rFonts w:cs="Arial"/>
                <w:sz w:val="18"/>
                <w:szCs w:val="18"/>
              </w:rPr>
            </w:pPr>
            <w:r w:rsidRPr="00252EAF">
              <w:rPr>
                <w:rFonts w:eastAsia="Arial" w:cs="Arial"/>
                <w:color w:val="000000" w:themeColor="text1"/>
                <w:sz w:val="18"/>
                <w:szCs w:val="18"/>
              </w:rPr>
              <w:t>All Persons / 7 to 18 years old</w:t>
            </w:r>
          </w:p>
        </w:tc>
        <w:tc>
          <w:tcPr>
            <w:tcW w:w="1992" w:type="dxa"/>
            <w:shd w:val="clear" w:color="auto" w:fill="C0C0C0"/>
            <w:vAlign w:val="center"/>
          </w:tcPr>
          <w:p w14:paraId="123D4F63"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10,581</w:t>
            </w:r>
          </w:p>
        </w:tc>
        <w:tc>
          <w:tcPr>
            <w:tcW w:w="1992" w:type="dxa"/>
            <w:shd w:val="clear" w:color="auto" w:fill="C0C0C0"/>
            <w:vAlign w:val="center"/>
          </w:tcPr>
          <w:p w14:paraId="551B3B8A"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16,398</w:t>
            </w:r>
          </w:p>
        </w:tc>
        <w:tc>
          <w:tcPr>
            <w:tcW w:w="786" w:type="dxa"/>
            <w:shd w:val="clear" w:color="auto" w:fill="C0C0C0"/>
            <w:vAlign w:val="center"/>
          </w:tcPr>
          <w:p w14:paraId="10C80E47"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5,817</w:t>
            </w:r>
          </w:p>
        </w:tc>
        <w:tc>
          <w:tcPr>
            <w:tcW w:w="816" w:type="dxa"/>
            <w:shd w:val="clear" w:color="auto" w:fill="C0C0C0"/>
            <w:vAlign w:val="center"/>
          </w:tcPr>
          <w:p w14:paraId="65D877E8"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55%</w:t>
            </w:r>
          </w:p>
        </w:tc>
      </w:tr>
      <w:tr w:rsidR="00BF7697" w:rsidRPr="00BA5058" w14:paraId="509B5A25" w14:textId="77777777" w:rsidTr="00B17C79">
        <w:trPr>
          <w:cantSplit/>
          <w:trHeight w:val="301"/>
        </w:trPr>
        <w:tc>
          <w:tcPr>
            <w:tcW w:w="3628" w:type="dxa"/>
            <w:tcBorders>
              <w:bottom w:val="single" w:sz="4" w:space="0" w:color="auto"/>
            </w:tcBorders>
            <w:vAlign w:val="center"/>
          </w:tcPr>
          <w:p w14:paraId="1FF80587" w14:textId="77777777" w:rsidR="00BF7697" w:rsidRPr="00252EAF" w:rsidRDefault="00BF7697" w:rsidP="00B17C79">
            <w:pPr>
              <w:spacing w:after="0"/>
              <w:rPr>
                <w:rFonts w:cs="Arial"/>
                <w:sz w:val="18"/>
                <w:szCs w:val="18"/>
              </w:rPr>
            </w:pPr>
            <w:r w:rsidRPr="00252EAF">
              <w:rPr>
                <w:rFonts w:eastAsia="Arial" w:cs="Arial"/>
                <w:color w:val="000000" w:themeColor="text1"/>
                <w:sz w:val="18"/>
                <w:szCs w:val="18"/>
              </w:rPr>
              <w:t>All Persons / 19 to 64 years old</w:t>
            </w:r>
          </w:p>
        </w:tc>
        <w:tc>
          <w:tcPr>
            <w:tcW w:w="1992" w:type="dxa"/>
            <w:tcBorders>
              <w:bottom w:val="single" w:sz="4" w:space="0" w:color="auto"/>
            </w:tcBorders>
            <w:vAlign w:val="center"/>
          </w:tcPr>
          <w:p w14:paraId="08F8C2BF"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16,891</w:t>
            </w:r>
          </w:p>
        </w:tc>
        <w:tc>
          <w:tcPr>
            <w:tcW w:w="1992" w:type="dxa"/>
            <w:tcBorders>
              <w:bottom w:val="single" w:sz="4" w:space="0" w:color="auto"/>
            </w:tcBorders>
            <w:vAlign w:val="center"/>
          </w:tcPr>
          <w:p w14:paraId="4A53BD6D"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19,671</w:t>
            </w:r>
          </w:p>
        </w:tc>
        <w:tc>
          <w:tcPr>
            <w:tcW w:w="786" w:type="dxa"/>
            <w:tcBorders>
              <w:bottom w:val="single" w:sz="4" w:space="0" w:color="auto"/>
            </w:tcBorders>
            <w:vAlign w:val="center"/>
          </w:tcPr>
          <w:p w14:paraId="0996E69A"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2,780</w:t>
            </w:r>
          </w:p>
        </w:tc>
        <w:tc>
          <w:tcPr>
            <w:tcW w:w="816" w:type="dxa"/>
            <w:tcBorders>
              <w:bottom w:val="single" w:sz="4" w:space="0" w:color="auto"/>
            </w:tcBorders>
            <w:vAlign w:val="center"/>
          </w:tcPr>
          <w:p w14:paraId="7D1959EA" w14:textId="77777777" w:rsidR="00BF7697" w:rsidRPr="00252EAF" w:rsidRDefault="00BF7697" w:rsidP="00B17C79">
            <w:pPr>
              <w:spacing w:after="0"/>
              <w:jc w:val="right"/>
              <w:rPr>
                <w:rFonts w:cs="Arial"/>
                <w:sz w:val="18"/>
                <w:szCs w:val="18"/>
              </w:rPr>
            </w:pPr>
            <w:r w:rsidRPr="00252EAF">
              <w:rPr>
                <w:rFonts w:eastAsia="Arial" w:cs="Arial"/>
                <w:color w:val="000000" w:themeColor="text1"/>
                <w:sz w:val="18"/>
                <w:szCs w:val="18"/>
              </w:rPr>
              <w:t>16%</w:t>
            </w:r>
          </w:p>
        </w:tc>
      </w:tr>
      <w:tr w:rsidR="00BF7697" w:rsidRPr="00BA5058" w14:paraId="1F7230DF" w14:textId="77777777" w:rsidTr="00B17C79">
        <w:trPr>
          <w:cantSplit/>
          <w:trHeight w:val="301"/>
        </w:trPr>
        <w:tc>
          <w:tcPr>
            <w:tcW w:w="3628" w:type="dxa"/>
            <w:tcBorders>
              <w:top w:val="single" w:sz="4" w:space="0" w:color="auto"/>
              <w:bottom w:val="single" w:sz="4" w:space="0" w:color="auto"/>
            </w:tcBorders>
            <w:shd w:val="clear" w:color="auto" w:fill="D4C5D7"/>
            <w:vAlign w:val="center"/>
          </w:tcPr>
          <w:p w14:paraId="72DE2C42" w14:textId="77777777" w:rsidR="00BF7697" w:rsidRPr="00252EAF" w:rsidRDefault="00BF7697" w:rsidP="00B17C79">
            <w:pPr>
              <w:spacing w:after="0"/>
              <w:rPr>
                <w:rFonts w:cs="Arial"/>
                <w:sz w:val="18"/>
                <w:szCs w:val="18"/>
              </w:rPr>
            </w:pPr>
            <w:r w:rsidRPr="00252EAF">
              <w:rPr>
                <w:rFonts w:eastAsia="Arial" w:cs="Arial"/>
                <w:b/>
                <w:bCs/>
                <w:color w:val="000000" w:themeColor="text1"/>
                <w:sz w:val="18"/>
                <w:szCs w:val="18"/>
              </w:rPr>
              <w:t>Total All Persons</w:t>
            </w:r>
          </w:p>
        </w:tc>
        <w:tc>
          <w:tcPr>
            <w:tcW w:w="1992" w:type="dxa"/>
            <w:tcBorders>
              <w:top w:val="single" w:sz="4" w:space="0" w:color="auto"/>
              <w:bottom w:val="single" w:sz="4" w:space="0" w:color="auto"/>
            </w:tcBorders>
            <w:shd w:val="clear" w:color="auto" w:fill="D4C5D7"/>
            <w:vAlign w:val="center"/>
          </w:tcPr>
          <w:p w14:paraId="5054D29E" w14:textId="77777777" w:rsidR="00BF7697" w:rsidRPr="00252EAF" w:rsidRDefault="00BF7697" w:rsidP="00B17C79">
            <w:pPr>
              <w:spacing w:after="0"/>
              <w:jc w:val="right"/>
              <w:rPr>
                <w:rFonts w:cs="Arial"/>
                <w:sz w:val="18"/>
                <w:szCs w:val="18"/>
              </w:rPr>
            </w:pPr>
            <w:r w:rsidRPr="00252EAF">
              <w:rPr>
                <w:rFonts w:eastAsia="Arial" w:cs="Arial"/>
                <w:b/>
                <w:bCs/>
                <w:color w:val="000000" w:themeColor="text1"/>
                <w:sz w:val="18"/>
                <w:szCs w:val="18"/>
              </w:rPr>
              <w:t>58,989</w:t>
            </w:r>
          </w:p>
        </w:tc>
        <w:tc>
          <w:tcPr>
            <w:tcW w:w="1992" w:type="dxa"/>
            <w:tcBorders>
              <w:top w:val="single" w:sz="4" w:space="0" w:color="auto"/>
              <w:bottom w:val="single" w:sz="4" w:space="0" w:color="auto"/>
            </w:tcBorders>
            <w:shd w:val="clear" w:color="auto" w:fill="D4C5D7"/>
            <w:vAlign w:val="center"/>
          </w:tcPr>
          <w:p w14:paraId="6120CDF0" w14:textId="77777777" w:rsidR="00BF7697" w:rsidRPr="00252EAF" w:rsidRDefault="00BF7697" w:rsidP="00B17C79">
            <w:pPr>
              <w:spacing w:after="0"/>
              <w:jc w:val="right"/>
              <w:rPr>
                <w:rFonts w:cs="Arial"/>
                <w:sz w:val="18"/>
                <w:szCs w:val="18"/>
              </w:rPr>
            </w:pPr>
            <w:r w:rsidRPr="00252EAF">
              <w:rPr>
                <w:rFonts w:eastAsia="Arial" w:cs="Arial"/>
                <w:b/>
                <w:bCs/>
                <w:color w:val="000000" w:themeColor="text1"/>
                <w:sz w:val="18"/>
                <w:szCs w:val="18"/>
              </w:rPr>
              <w:t>66,075</w:t>
            </w:r>
          </w:p>
        </w:tc>
        <w:tc>
          <w:tcPr>
            <w:tcW w:w="786" w:type="dxa"/>
            <w:tcBorders>
              <w:top w:val="single" w:sz="4" w:space="0" w:color="auto"/>
              <w:bottom w:val="single" w:sz="4" w:space="0" w:color="auto"/>
            </w:tcBorders>
            <w:shd w:val="clear" w:color="auto" w:fill="D4C5D7"/>
            <w:vAlign w:val="center"/>
          </w:tcPr>
          <w:p w14:paraId="42896886" w14:textId="77777777" w:rsidR="00BF7697" w:rsidRPr="00252EAF" w:rsidRDefault="00BF7697" w:rsidP="00B17C79">
            <w:pPr>
              <w:spacing w:after="0"/>
              <w:jc w:val="right"/>
              <w:rPr>
                <w:rFonts w:cs="Arial"/>
                <w:sz w:val="18"/>
                <w:szCs w:val="18"/>
              </w:rPr>
            </w:pPr>
            <w:r w:rsidRPr="00252EAF">
              <w:rPr>
                <w:rFonts w:eastAsia="Arial" w:cs="Arial"/>
                <w:b/>
                <w:bCs/>
                <w:color w:val="000000" w:themeColor="text1"/>
                <w:sz w:val="18"/>
                <w:szCs w:val="18"/>
              </w:rPr>
              <w:t>7,086</w:t>
            </w:r>
          </w:p>
        </w:tc>
        <w:tc>
          <w:tcPr>
            <w:tcW w:w="816" w:type="dxa"/>
            <w:tcBorders>
              <w:top w:val="single" w:sz="4" w:space="0" w:color="auto"/>
              <w:bottom w:val="single" w:sz="4" w:space="0" w:color="auto"/>
            </w:tcBorders>
            <w:shd w:val="clear" w:color="auto" w:fill="D4C5D7"/>
            <w:vAlign w:val="center"/>
          </w:tcPr>
          <w:p w14:paraId="2C7BAB95" w14:textId="77777777" w:rsidR="00BF7697" w:rsidRPr="00252EAF" w:rsidRDefault="00BF7697" w:rsidP="00B17C79">
            <w:pPr>
              <w:spacing w:after="0"/>
              <w:jc w:val="right"/>
              <w:rPr>
                <w:rFonts w:cs="Arial"/>
                <w:sz w:val="18"/>
                <w:szCs w:val="18"/>
              </w:rPr>
            </w:pPr>
            <w:r w:rsidRPr="00252EAF">
              <w:rPr>
                <w:rFonts w:eastAsia="Arial" w:cs="Arial"/>
                <w:b/>
                <w:bCs/>
                <w:color w:val="000000" w:themeColor="text1"/>
                <w:sz w:val="18"/>
                <w:szCs w:val="18"/>
              </w:rPr>
              <w:t>12%</w:t>
            </w:r>
          </w:p>
        </w:tc>
      </w:tr>
    </w:tbl>
    <w:p w14:paraId="7AC9A842" w14:textId="77777777" w:rsidR="00BF7697" w:rsidRPr="00C7448D" w:rsidRDefault="00BF7697" w:rsidP="00BF7697">
      <w:pPr>
        <w:spacing w:before="120"/>
        <w:rPr>
          <w:rStyle w:val="FSRnormalChar"/>
        </w:rPr>
      </w:pPr>
      <w:r w:rsidRPr="00860FF4">
        <w:rPr>
          <w:rFonts w:eastAsia="Arial" w:cs="Arial"/>
        </w:rPr>
        <w:t>The impact of t</w:t>
      </w:r>
      <w:r w:rsidRPr="00C7448D">
        <w:rPr>
          <w:rStyle w:val="FSRnormalChar"/>
        </w:rPr>
        <w:t xml:space="preserve">he updated new </w:t>
      </w:r>
      <w:r w:rsidR="008A172D">
        <w:rPr>
          <w:rStyle w:val="FSRnormalChar"/>
        </w:rPr>
        <w:t xml:space="preserve">entrant rate </w:t>
      </w:r>
      <w:r w:rsidRPr="00C7448D">
        <w:rPr>
          <w:rStyle w:val="FSRnormalChar"/>
        </w:rPr>
        <w:t xml:space="preserve">assumptions can be seen in </w:t>
      </w:r>
      <w:r w:rsidR="009309F4" w:rsidRPr="00D600D1">
        <w:t xml:space="preserve">Figure </w:t>
      </w:r>
      <w:r w:rsidR="009309F4">
        <w:rPr>
          <w:noProof/>
        </w:rPr>
        <w:t>5</w:t>
      </w:r>
      <w:r w:rsidR="009309F4">
        <w:t>.</w:t>
      </w:r>
      <w:r w:rsidR="009309F4">
        <w:rPr>
          <w:noProof/>
        </w:rPr>
        <w:t>7</w:t>
      </w:r>
      <w:r w:rsidRPr="00C7448D">
        <w:rPr>
          <w:rStyle w:val="FSRnormalChar"/>
        </w:rPr>
        <w:t xml:space="preserve">, which shows the actual number of new entrants together with those projected in the 2020-21 AFSR and 2021-22 AFSR. This chart shows that the actual number of new entrants in the year ended 30 June 2022 (79,321) only declined marginally relative to 2020-21 (80,453) and was significantly higher than those projected in the 2020-21 AFSR (72,741). The higher number of new entrants projected in the 2021-22 AFSR compared to the 2020-21 AFSR reflects the higher adopted new </w:t>
      </w:r>
      <w:r w:rsidR="008A172D">
        <w:rPr>
          <w:rStyle w:val="FSRnormalChar"/>
        </w:rPr>
        <w:t xml:space="preserve">entrant rate </w:t>
      </w:r>
      <w:r w:rsidRPr="00C7448D">
        <w:rPr>
          <w:rStyle w:val="FSRnormalChar"/>
        </w:rPr>
        <w:t>assumptions.</w:t>
      </w:r>
    </w:p>
    <w:p w14:paraId="2548F699" w14:textId="77777777" w:rsidR="00BF7697" w:rsidRPr="00860FF4" w:rsidRDefault="00BF7697" w:rsidP="00BF7697">
      <w:pPr>
        <w:pStyle w:val="Figures"/>
        <w:spacing w:line="264" w:lineRule="auto"/>
      </w:pPr>
      <w:bookmarkStart w:id="197" w:name="_Ref111627569"/>
      <w:bookmarkStart w:id="198" w:name="_Ref113278243"/>
      <w:bookmarkStart w:id="199" w:name="_Ref111898095"/>
      <w:r w:rsidRPr="00D600D1">
        <w:t xml:space="preserve">Figure </w:t>
      </w:r>
      <w:bookmarkEnd w:id="197"/>
      <w:r w:rsidR="00447AA1">
        <w:fldChar w:fldCharType="begin"/>
      </w:r>
      <w:r w:rsidR="00447AA1">
        <w:instrText xml:space="preserve"> STYLEREF 2 \s </w:instrText>
      </w:r>
      <w:r w:rsidR="00447AA1">
        <w:fldChar w:fldCharType="separate"/>
      </w:r>
      <w:r w:rsidR="00447AA1">
        <w:rPr>
          <w:noProof/>
        </w:rPr>
        <w:t>5</w:t>
      </w:r>
      <w:r w:rsidR="00447AA1">
        <w:fldChar w:fldCharType="end"/>
      </w:r>
      <w:r w:rsidR="00447AA1">
        <w:t>.</w:t>
      </w:r>
      <w:fldSimple w:instr=" SEQ Figure \* ARABIC \s 2 ">
        <w:r w:rsidR="00447AA1">
          <w:rPr>
            <w:noProof/>
          </w:rPr>
          <w:t>7</w:t>
        </w:r>
      </w:fldSimple>
      <w:bookmarkEnd w:id="198"/>
      <w:bookmarkEnd w:id="199"/>
      <w:r>
        <w:t>:</w:t>
      </w:r>
      <w:r w:rsidRPr="00860FF4">
        <w:t xml:space="preserve"> Comparison of new entrant numbers to previous review</w:t>
      </w:r>
      <w:r w:rsidRPr="00860FF4">
        <w:rPr>
          <w:rStyle w:val="FootnoteReference"/>
          <w:rFonts w:eastAsia="Arial" w:cs="Arial"/>
          <w:sz w:val="21"/>
          <w:szCs w:val="21"/>
        </w:rPr>
        <w:footnoteReference w:id="94"/>
      </w:r>
    </w:p>
    <w:p w14:paraId="7B29008E" w14:textId="77777777" w:rsidR="00BF7697" w:rsidRPr="00860FF4" w:rsidRDefault="00111C08" w:rsidP="00BF7697">
      <w:pPr>
        <w:spacing w:line="264" w:lineRule="auto"/>
      </w:pPr>
      <w:r>
        <w:rPr>
          <w:noProof/>
          <w:lang w:eastAsia="en-AU"/>
        </w:rPr>
        <w:drawing>
          <wp:inline distT="0" distB="0" distL="0" distR="0" wp14:anchorId="5DC90362" wp14:editId="03939C2C">
            <wp:extent cx="5724000" cy="2466213"/>
            <wp:effectExtent l="0" t="0" r="0" b="0"/>
            <wp:docPr id="251" name="Picture 251" descr="Figure shows the actual and projected number of new entrants by year.&#10;The actual number of new entrants for the years ended 30 June are 85,209 in 2018, 116,750 in 2019, 110,731 in 2020, 80,453 in 2021,  and 79,321 in 2022, &#10;The projected number of new entrants for years ended 30 June based on the 2021-22 AFSR are 70,747 in 2023, 69,005 in 2024, 64787 in 2025, 65,417 in 2026, 66,048 in 2027, 66,677 in 2028, 67,320 in 2029, 68,003 in 2030, 68,693 in 2031,  and 69,395 in 2032. &#10;The projected number of new entrants for years ended 30 June based on the 2020-21 AFSR are 72,741 in 2022, 68,648 in 2023, 60,333 in 2024, 60,560 in 2025, 61,154 in 2026, 61,745 in 2027, 62,330 in 2028, 62,926 in 2029, 63,559 in 2030, 64,200 in 2031,  and 64,853 in 2032. &#10;" title="Figure 5.7: Comparison of new entrant numbers to previous revie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24000" cy="2466213"/>
                    </a:xfrm>
                    <a:prstGeom prst="rect">
                      <a:avLst/>
                    </a:prstGeom>
                    <a:noFill/>
                  </pic:spPr>
                </pic:pic>
              </a:graphicData>
            </a:graphic>
          </wp:inline>
        </w:drawing>
      </w:r>
    </w:p>
    <w:p w14:paraId="6F073188" w14:textId="77777777" w:rsidR="00BF7697" w:rsidRPr="00D600D1" w:rsidRDefault="00E35F10" w:rsidP="00B047D4">
      <w:pPr>
        <w:pStyle w:val="FSRHeading4"/>
      </w:pPr>
      <w:r>
        <w:lastRenderedPageBreak/>
        <w:t>M</w:t>
      </w:r>
      <w:r w:rsidR="00BF7697" w:rsidRPr="00D600D1">
        <w:t xml:space="preserve">ortality and </w:t>
      </w:r>
      <w:r>
        <w:t>participants leaving the Scheme</w:t>
      </w:r>
    </w:p>
    <w:p w14:paraId="0204289E" w14:textId="77777777" w:rsidR="00BF7697" w:rsidRDefault="00BF7697" w:rsidP="00BF7697">
      <w:pPr>
        <w:pStyle w:val="FSRnormal"/>
      </w:pPr>
      <w:r w:rsidRPr="00393062">
        <w:t xml:space="preserve">Both assumptions </w:t>
      </w:r>
      <w:r w:rsidR="00E35F10">
        <w:t xml:space="preserve">for mortality and participants leaving the Scheme </w:t>
      </w:r>
      <w:r>
        <w:t>were</w:t>
      </w:r>
      <w:r w:rsidRPr="00393062">
        <w:t xml:space="preserve"> revised since the previous review.</w:t>
      </w:r>
    </w:p>
    <w:p w14:paraId="7496F2C3" w14:textId="77777777" w:rsidR="00BF7697" w:rsidRDefault="00BF7697" w:rsidP="00BF7697">
      <w:pPr>
        <w:pStyle w:val="FSRnormal"/>
      </w:pPr>
      <w:r>
        <w:t xml:space="preserve">Overall </w:t>
      </w:r>
      <w:r w:rsidRPr="00F75666">
        <w:t xml:space="preserve">experience </w:t>
      </w:r>
      <w:r w:rsidR="00E35F10">
        <w:t xml:space="preserve">for participants leaving the Scheme </w:t>
      </w:r>
      <w:r w:rsidRPr="00F75666">
        <w:t>changed materially since the last full review which was completed in 2019 (using 2018 experience).</w:t>
      </w:r>
      <w:r w:rsidR="00262903">
        <w:t xml:space="preserve"> The </w:t>
      </w:r>
      <w:r w:rsidR="00270ACD">
        <w:t xml:space="preserve">pause </w:t>
      </w:r>
      <w:r w:rsidR="00262903">
        <w:t>of</w:t>
      </w:r>
      <w:r w:rsidRPr="00F75666">
        <w:t xml:space="preserve"> the Eligibility Reassessment process during 2019</w:t>
      </w:r>
      <w:r w:rsidR="00262903">
        <w:t>, its recommencement in 2020</w:t>
      </w:r>
      <w:r w:rsidRPr="00F75666">
        <w:t xml:space="preserve"> and the ongoing operational improvements in this area of the Agency since then had a large impact on </w:t>
      </w:r>
      <w:r w:rsidR="00270ACD">
        <w:t>the underlying trend, whilst</w:t>
      </w:r>
      <w:r w:rsidRPr="00F75666">
        <w:t xml:space="preserve"> COVID-19 lockdown restrictions had a</w:t>
      </w:r>
      <w:r w:rsidR="00270ACD">
        <w:t>lso a</w:t>
      </w:r>
      <w:r w:rsidRPr="00F75666">
        <w:t xml:space="preserve"> significant though transitory impact on the experience since 2020. </w:t>
      </w:r>
      <w:r w:rsidRPr="0083171A">
        <w:t xml:space="preserve">As shown in </w:t>
      </w:r>
      <w:r w:rsidR="009309F4" w:rsidRPr="00164A79">
        <w:t xml:space="preserve">Figure </w:t>
      </w:r>
      <w:r w:rsidR="009309F4">
        <w:rPr>
          <w:noProof/>
        </w:rPr>
        <w:t>5</w:t>
      </w:r>
      <w:r w:rsidR="009309F4">
        <w:t>.</w:t>
      </w:r>
      <w:r w:rsidR="009309F4">
        <w:rPr>
          <w:noProof/>
        </w:rPr>
        <w:t>8</w:t>
      </w:r>
      <w:r w:rsidRPr="00F75666">
        <w:t xml:space="preserve">, the </w:t>
      </w:r>
      <w:r w:rsidR="007876CD">
        <w:t xml:space="preserve">observed </w:t>
      </w:r>
      <w:r w:rsidRPr="00F75666">
        <w:t xml:space="preserve">rate </w:t>
      </w:r>
      <w:r w:rsidR="00E35F10">
        <w:t xml:space="preserve">of participants leaving the Scheme </w:t>
      </w:r>
      <w:r>
        <w:t xml:space="preserve">up to </w:t>
      </w:r>
      <w:r w:rsidR="008523A0">
        <w:t xml:space="preserve">the </w:t>
      </w:r>
      <w:r>
        <w:t>end of 2021 was</w:t>
      </w:r>
      <w:r w:rsidRPr="00F75666">
        <w:t xml:space="preserve"> much lower than the </w:t>
      </w:r>
      <w:r w:rsidR="00934A7E" w:rsidRPr="00F75666">
        <w:t>long-term</w:t>
      </w:r>
      <w:r w:rsidRPr="00F75666">
        <w:t xml:space="preserve"> rate of 1.67% adopted in the 2020-21 AFSR.</w:t>
      </w:r>
    </w:p>
    <w:p w14:paraId="5DEC19FA" w14:textId="77777777" w:rsidR="007876CD" w:rsidRPr="000368A8" w:rsidRDefault="007876CD" w:rsidP="007876CD">
      <w:pPr>
        <w:pStyle w:val="FSRnormal"/>
        <w:rPr>
          <w:highlight w:val="yellow"/>
        </w:rPr>
      </w:pPr>
      <w:r w:rsidRPr="00F75666">
        <w:t xml:space="preserve">As a result, </w:t>
      </w:r>
      <w:r>
        <w:t>the</w:t>
      </w:r>
      <w:r w:rsidRPr="00F75666">
        <w:t xml:space="preserve"> o</w:t>
      </w:r>
      <w:r>
        <w:t xml:space="preserve">verall rate of participants leaving the Scheme was </w:t>
      </w:r>
      <w:r w:rsidRPr="00F75666">
        <w:t xml:space="preserve">revised downwards from 1.67% to 1.19% (based on the participant mix </w:t>
      </w:r>
      <w:r>
        <w:t>at</w:t>
      </w:r>
      <w:r w:rsidRPr="00F75666">
        <w:t xml:space="preserve"> 30 June 2021) in the current review. This single set of assumptions is reflective of the long-term trend and is also consistent with the recent experience at the time of the analysis</w:t>
      </w:r>
      <w:r>
        <w:rPr>
          <w:rStyle w:val="FootnoteReference"/>
        </w:rPr>
        <w:footnoteReference w:id="95"/>
      </w:r>
      <w:r w:rsidRPr="00F75666">
        <w:t xml:space="preserve">. </w:t>
      </w:r>
    </w:p>
    <w:p w14:paraId="45AD7565" w14:textId="77777777" w:rsidR="007876CD" w:rsidRPr="00F75666" w:rsidRDefault="007876CD" w:rsidP="00BF7697">
      <w:pPr>
        <w:pStyle w:val="FSRnormal"/>
      </w:pPr>
      <w:r>
        <w:t>The rate of participants leaving the Scheme increased in early 2022, over and above the revised assumptions. This increase in experience was due to additional resources deployed to clear backlogs, seasonal factors and a greater focus on eligibility reassessments given the lower number of access requests in early 2022.</w:t>
      </w:r>
      <w:r w:rsidR="00D016CA">
        <w:t xml:space="preserve"> The </w:t>
      </w:r>
      <w:r w:rsidR="00574D0D">
        <w:t xml:space="preserve">higher rate of participants leaving the Scheme is </w:t>
      </w:r>
      <w:r w:rsidR="000E2F35">
        <w:t xml:space="preserve">not </w:t>
      </w:r>
      <w:r w:rsidR="00574D0D">
        <w:t xml:space="preserve">expected to be maintained beyond </w:t>
      </w:r>
      <w:r w:rsidR="00AF4191">
        <w:t>June 2022</w:t>
      </w:r>
      <w:r w:rsidR="000E2F35">
        <w:t xml:space="preserve"> and so was not used as a basis for setting the assumptions in this review.</w:t>
      </w:r>
    </w:p>
    <w:p w14:paraId="2A7D7AE9" w14:textId="77777777" w:rsidR="00BF7697" w:rsidRDefault="00BF7697" w:rsidP="00BF7697">
      <w:pPr>
        <w:pStyle w:val="Figures"/>
      </w:pPr>
      <w:bookmarkStart w:id="200" w:name="_Ref111627617"/>
      <w:bookmarkStart w:id="201" w:name="_Ref113278526"/>
      <w:bookmarkStart w:id="202" w:name="_Ref111898193"/>
      <w:bookmarkStart w:id="203" w:name="_Toc83220850"/>
      <w:r w:rsidRPr="00164A79">
        <w:lastRenderedPageBreak/>
        <w:t xml:space="preserve">Figure </w:t>
      </w:r>
      <w:bookmarkEnd w:id="200"/>
      <w:r w:rsidR="00447AA1">
        <w:fldChar w:fldCharType="begin"/>
      </w:r>
      <w:r w:rsidR="00447AA1">
        <w:instrText xml:space="preserve"> STYLEREF 2 \s </w:instrText>
      </w:r>
      <w:r w:rsidR="00447AA1">
        <w:fldChar w:fldCharType="separate"/>
      </w:r>
      <w:r w:rsidR="00447AA1">
        <w:rPr>
          <w:noProof/>
        </w:rPr>
        <w:t>5</w:t>
      </w:r>
      <w:r w:rsidR="00447AA1">
        <w:fldChar w:fldCharType="end"/>
      </w:r>
      <w:r w:rsidR="00447AA1">
        <w:t>.</w:t>
      </w:r>
      <w:fldSimple w:instr=" SEQ Figure \* ARABIC \s 2 ">
        <w:r w:rsidR="00447AA1">
          <w:rPr>
            <w:noProof/>
          </w:rPr>
          <w:t>8</w:t>
        </w:r>
      </w:fldSimple>
      <w:bookmarkEnd w:id="201"/>
      <w:bookmarkEnd w:id="202"/>
      <w:r w:rsidRPr="00164A79">
        <w:t xml:space="preserve">: Actual vs Expected rates </w:t>
      </w:r>
      <w:r w:rsidR="00E35F10" w:rsidRPr="00164A79">
        <w:t xml:space="preserve">of participants leaving the Scheme </w:t>
      </w:r>
      <w:r w:rsidRPr="00164A79">
        <w:t>by calendar</w:t>
      </w:r>
      <w:r w:rsidRPr="005761FB">
        <w:t xml:space="preserve"> quarter</w:t>
      </w:r>
    </w:p>
    <w:p w14:paraId="2AE1009B" w14:textId="77777777" w:rsidR="00BF7697" w:rsidRPr="00393062" w:rsidRDefault="00111C08" w:rsidP="00BF7697">
      <w:pPr>
        <w:keepNext/>
        <w:keepLines/>
        <w:rPr>
          <w:rFonts w:cs="Arial"/>
          <w:szCs w:val="21"/>
          <w:lang w:eastAsia="en-US"/>
        </w:rPr>
      </w:pPr>
      <w:r w:rsidRPr="00111C08">
        <w:rPr>
          <w:noProof/>
          <w:lang w:eastAsia="en-AU"/>
        </w:rPr>
        <w:drawing>
          <wp:inline distT="0" distB="0" distL="0" distR="0" wp14:anchorId="50DB0818" wp14:editId="7DD25ED3">
            <wp:extent cx="5724525" cy="3075940"/>
            <wp:effectExtent l="0" t="0" r="9525" b="0"/>
            <wp:docPr id="253" name="Picture 253" descr="Figure shows rates of participants leaving the Scheme by calendar quarter from 2017Q1 to 2022Q1. &#10;It shows that: the actual rates are 0.02% in 2017Q1, 0.7% in 2017Q2, 1.1% in 2017Q3, 1.23% in 2017Q4, 1.13% in 2018Q1, 1.15% in 2018Q2, 0.84% in 2018Q3, 0.9% in 2018Q4, 0.61% in 2019Q1, 0.41% in 2019Q2, 0.31% in 2019Q3, 0.33% in 2019Q4, 0.73% in 2020Q1, 0.59% in 2020Q2, 0.42% in 2020Q3, 0.44% in 2020Q4, 0.74% in 2021Q1, 0.79% in 2021Q2, 1.04% in 2021Q3, 1.28% in 2021Q4, and 1.72% in 2022Q1. &#10;Expected rate based on 2020-2021 AFSR from 2017Q1 to 2022Q1 is 1.67%. &#10;Expected rate based on 2021-2022 AFSR from 2017Q1 to 2022Q1 is 1.19%. &#10;" title="Figure 5.8: Actual vs Expected rates of participants leaving the Scheme by calendar qu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24525" cy="3075940"/>
                    </a:xfrm>
                    <a:prstGeom prst="rect">
                      <a:avLst/>
                    </a:prstGeom>
                    <a:noFill/>
                    <a:ln>
                      <a:noFill/>
                    </a:ln>
                  </pic:spPr>
                </pic:pic>
              </a:graphicData>
            </a:graphic>
          </wp:inline>
        </w:drawing>
      </w:r>
    </w:p>
    <w:p w14:paraId="14E10A7C" w14:textId="77777777" w:rsidR="00E35F10" w:rsidRDefault="00E35F10" w:rsidP="00E35F10">
      <w:pPr>
        <w:pStyle w:val="FSRnormal"/>
      </w:pPr>
      <w:r>
        <w:t>Overall mortality experience w</w:t>
      </w:r>
      <w:r w:rsidR="004817D8">
        <w:t>as</w:t>
      </w:r>
      <w:r>
        <w:t xml:space="preserve"> slightly higher than expected </w:t>
      </w:r>
      <w:r w:rsidR="007876CD">
        <w:t xml:space="preserve">over 2021 and early </w:t>
      </w:r>
      <w:r w:rsidR="00B93482">
        <w:t>2022.</w:t>
      </w:r>
      <w:r>
        <w:t xml:space="preserve"> As shown in </w:t>
      </w:r>
      <w:r w:rsidR="009309F4">
        <w:t xml:space="preserve">Table </w:t>
      </w:r>
      <w:r w:rsidR="009309F4">
        <w:rPr>
          <w:noProof/>
        </w:rPr>
        <w:t>5</w:t>
      </w:r>
      <w:r w:rsidR="009309F4">
        <w:t>.</w:t>
      </w:r>
      <w:r w:rsidR="009309F4">
        <w:rPr>
          <w:noProof/>
        </w:rPr>
        <w:t>1</w:t>
      </w:r>
      <w:r w:rsidR="004817D8">
        <w:rPr>
          <w:noProof/>
        </w:rPr>
        <w:t>3</w:t>
      </w:r>
      <w:r>
        <w:t xml:space="preserve">, the actual overall mortality rate was 0.95%, marginally higher than the expected rate of 0.93% (although it is noted that the relativity of actual mortality rates to expected can vary according to the underlying mix of participants). </w:t>
      </w:r>
    </w:p>
    <w:p w14:paraId="185BF82A" w14:textId="77777777" w:rsidR="00270ACD" w:rsidRDefault="00270ACD" w:rsidP="00270ACD">
      <w:pPr>
        <w:pStyle w:val="FSRnormal"/>
      </w:pPr>
      <w:r>
        <w:t>The assumed mortality rates are constructed by applying disability specific loadings to standard</w:t>
      </w:r>
      <w:r w:rsidR="00B228B4">
        <w:t xml:space="preserve"> population</w:t>
      </w:r>
      <w:r>
        <w:t xml:space="preserve"> mortality rates from the Australian Life Tables</w:t>
      </w:r>
      <w:r w:rsidR="001444E8">
        <w:rPr>
          <w:rStyle w:val="FootnoteReference"/>
        </w:rPr>
        <w:footnoteReference w:id="96"/>
      </w:r>
      <w:r>
        <w:t>. For this review, to reflect the slight</w:t>
      </w:r>
      <w:r w:rsidR="002D3932">
        <w:t>ly</w:t>
      </w:r>
      <w:r>
        <w:t xml:space="preserve"> higher than expected mortality experience, a recalibration of the loadings was undertaken, le</w:t>
      </w:r>
      <w:r w:rsidR="002D3932">
        <w:t>a</w:t>
      </w:r>
      <w:r>
        <w:t>d</w:t>
      </w:r>
      <w:r w:rsidR="002D3932">
        <w:t>ing</w:t>
      </w:r>
      <w:r>
        <w:t xml:space="preserve"> to </w:t>
      </w:r>
      <w:r w:rsidR="007876CD">
        <w:t xml:space="preserve">a </w:t>
      </w:r>
      <w:r>
        <w:t xml:space="preserve">marginally higher rate of 0.94% </w:t>
      </w:r>
      <w:r w:rsidR="00D067C5">
        <w:t>per annum.</w:t>
      </w:r>
    </w:p>
    <w:p w14:paraId="1B4C10D1" w14:textId="77777777" w:rsidR="00270ACD" w:rsidRDefault="006952CF" w:rsidP="00E35F10">
      <w:pPr>
        <w:pStyle w:val="FSRnormal"/>
      </w:pPr>
      <w:r>
        <w:t>However</w:t>
      </w:r>
      <w:r w:rsidR="00270ACD">
        <w:t>, new Australian Life Tables (ALT 2018-20)</w:t>
      </w:r>
      <w:r w:rsidR="003B6FD4">
        <w:rPr>
          <w:rStyle w:val="FootnoteReference"/>
        </w:rPr>
        <w:footnoteReference w:id="97"/>
      </w:r>
      <w:r w:rsidR="00270ACD">
        <w:t xml:space="preserve"> were released since the last review. Mortality rates from the new ALT 2018-20 tables were slightly lower than the previous ones, driven by gradual mortality improvement in the general population because of better public health and advancement in medical science</w:t>
      </w:r>
      <w:r>
        <w:t>.</w:t>
      </w:r>
    </w:p>
    <w:p w14:paraId="502DE62F" w14:textId="77777777" w:rsidR="00E35F10" w:rsidRDefault="00E35F10" w:rsidP="00E35F10">
      <w:pPr>
        <w:pStyle w:val="FSRnormal"/>
      </w:pPr>
      <w:r>
        <w:t>Final</w:t>
      </w:r>
      <w:r w:rsidR="00270ACD">
        <w:t>ly,</w:t>
      </w:r>
      <w:r w:rsidR="00270ACD" w:rsidRPr="00270ACD">
        <w:t xml:space="preserve"> </w:t>
      </w:r>
      <w:r w:rsidR="00270ACD">
        <w:t>adjustments were</w:t>
      </w:r>
      <w:r w:rsidR="00797503">
        <w:t xml:space="preserve"> also</w:t>
      </w:r>
      <w:r w:rsidR="00270ACD">
        <w:t xml:space="preserve"> made to ensure the adopted mortality rates increase smoothly with age. These impacts offset the marginal increase in loadings, le</w:t>
      </w:r>
      <w:r w:rsidR="00797503">
        <w:t>a</w:t>
      </w:r>
      <w:r w:rsidR="00270ACD">
        <w:t>d</w:t>
      </w:r>
      <w:r w:rsidR="00797503">
        <w:t>ing</w:t>
      </w:r>
      <w:r w:rsidR="00270ACD">
        <w:t xml:space="preserve"> to an overall mortality rate of 0.93% </w:t>
      </w:r>
      <w:r w:rsidR="00D067C5">
        <w:t>per annum</w:t>
      </w:r>
      <w:r w:rsidR="00270ACD">
        <w:t>, similar to that at the previous review, based</w:t>
      </w:r>
      <w:r w:rsidR="00270ACD" w:rsidRPr="00270ACD">
        <w:t xml:space="preserve"> </w:t>
      </w:r>
      <w:r w:rsidR="00270ACD">
        <w:t>on the participant mix at February 2022.</w:t>
      </w:r>
    </w:p>
    <w:p w14:paraId="0BE48520" w14:textId="77777777" w:rsidR="00BF7697" w:rsidRDefault="00BF7697" w:rsidP="00BF7697">
      <w:pPr>
        <w:pStyle w:val="FSRnormal"/>
      </w:pPr>
      <w:r>
        <w:t xml:space="preserve">Experience compared with expected was more varied by age and gender, as shown in </w:t>
      </w:r>
      <w:r w:rsidR="00DD155C">
        <w:t xml:space="preserve">Table </w:t>
      </w:r>
      <w:r w:rsidR="00DD155C">
        <w:rPr>
          <w:noProof/>
        </w:rPr>
        <w:t>5</w:t>
      </w:r>
      <w:r w:rsidR="00DD155C">
        <w:t>.</w:t>
      </w:r>
      <w:r w:rsidR="00DD155C">
        <w:rPr>
          <w:noProof/>
        </w:rPr>
        <w:t>13</w:t>
      </w:r>
      <w:r>
        <w:t xml:space="preserve">. </w:t>
      </w:r>
    </w:p>
    <w:p w14:paraId="58D3CD41" w14:textId="77777777" w:rsidR="00FD7490" w:rsidRDefault="00FD7490" w:rsidP="00BF7697">
      <w:pPr>
        <w:pStyle w:val="Tables"/>
      </w:pPr>
      <w:bookmarkStart w:id="204" w:name="_Ref110522530"/>
      <w:bookmarkStart w:id="205" w:name="_Ref111898400"/>
    </w:p>
    <w:p w14:paraId="50760C08" w14:textId="77777777" w:rsidR="00B80955" w:rsidRDefault="00BF7697" w:rsidP="00BF7697">
      <w:pPr>
        <w:pStyle w:val="Tables"/>
      </w:pPr>
      <w:r>
        <w:t xml:space="preserve">Table </w:t>
      </w:r>
      <w:bookmarkEnd w:id="204"/>
      <w:r w:rsidR="00A87896">
        <w:fldChar w:fldCharType="begin"/>
      </w:r>
      <w:r w:rsidR="00A87896">
        <w:instrText xml:space="preserve"> STYLEREF 2 \s </w:instrText>
      </w:r>
      <w:r w:rsidR="00A87896">
        <w:fldChar w:fldCharType="separate"/>
      </w:r>
      <w:r w:rsidR="00A87896">
        <w:rPr>
          <w:noProof/>
        </w:rPr>
        <w:t>5</w:t>
      </w:r>
      <w:r w:rsidR="00A87896">
        <w:fldChar w:fldCharType="end"/>
      </w:r>
      <w:r w:rsidR="00A87896">
        <w:t>.</w:t>
      </w:r>
      <w:fldSimple w:instr=" SEQ Table \* ARABIC \s 2 ">
        <w:r w:rsidR="00A87896">
          <w:rPr>
            <w:noProof/>
          </w:rPr>
          <w:t>13</w:t>
        </w:r>
      </w:fldSimple>
      <w:bookmarkEnd w:id="205"/>
      <w:r>
        <w:t>: Actual and Expected Mortality rates by age group</w:t>
      </w:r>
    </w:p>
    <w:tbl>
      <w:tblPr>
        <w:tblW w:w="5000" w:type="pct"/>
        <w:tblLayout w:type="fixed"/>
        <w:tblLook w:val="04A0" w:firstRow="1" w:lastRow="0" w:firstColumn="1" w:lastColumn="0" w:noHBand="0" w:noVBand="1"/>
      </w:tblPr>
      <w:tblGrid>
        <w:gridCol w:w="970"/>
        <w:gridCol w:w="2948"/>
        <w:gridCol w:w="1043"/>
        <w:gridCol w:w="2480"/>
        <w:gridCol w:w="1585"/>
      </w:tblGrid>
      <w:tr w:rsidR="00B80955" w:rsidRPr="00711C14" w14:paraId="625BB1E7" w14:textId="77777777" w:rsidTr="00F830E6">
        <w:trPr>
          <w:trHeight w:val="397"/>
        </w:trPr>
        <w:tc>
          <w:tcPr>
            <w:tcW w:w="2170" w:type="pct"/>
            <w:gridSpan w:val="2"/>
            <w:tcBorders>
              <w:top w:val="nil"/>
              <w:left w:val="nil"/>
              <w:bottom w:val="nil"/>
              <w:right w:val="nil"/>
            </w:tcBorders>
            <w:shd w:val="clear" w:color="000000" w:fill="6B2976"/>
            <w:noWrap/>
            <w:vAlign w:val="center"/>
            <w:hideMark/>
          </w:tcPr>
          <w:p w14:paraId="5BB86B71" w14:textId="77777777" w:rsidR="00B80955" w:rsidRPr="00F830E6" w:rsidRDefault="00B80955">
            <w:pPr>
              <w:spacing w:after="0" w:line="240" w:lineRule="auto"/>
              <w:jc w:val="center"/>
              <w:rPr>
                <w:rFonts w:eastAsia="Times New Roman" w:cs="Arial"/>
                <w:b/>
                <w:bCs/>
                <w:color w:val="FFFFFF"/>
                <w:sz w:val="18"/>
                <w:szCs w:val="18"/>
                <w:lang w:eastAsia="en-AU"/>
              </w:rPr>
            </w:pPr>
          </w:p>
        </w:tc>
        <w:tc>
          <w:tcPr>
            <w:tcW w:w="2830" w:type="pct"/>
            <w:gridSpan w:val="3"/>
            <w:tcBorders>
              <w:top w:val="nil"/>
              <w:left w:val="nil"/>
              <w:bottom w:val="single" w:sz="4" w:space="0" w:color="FFFFFF"/>
              <w:right w:val="nil"/>
            </w:tcBorders>
            <w:shd w:val="clear" w:color="000000" w:fill="6B2976"/>
            <w:noWrap/>
            <w:vAlign w:val="center"/>
            <w:hideMark/>
          </w:tcPr>
          <w:p w14:paraId="4CFEB467" w14:textId="77777777" w:rsidR="00B80955" w:rsidRPr="00F830E6" w:rsidRDefault="00B80955">
            <w:pPr>
              <w:spacing w:after="0" w:line="240" w:lineRule="auto"/>
              <w:jc w:val="center"/>
              <w:rPr>
                <w:rFonts w:eastAsia="Times New Roman" w:cs="Arial"/>
                <w:b/>
                <w:bCs/>
                <w:color w:val="FFFFFF"/>
                <w:sz w:val="18"/>
                <w:szCs w:val="18"/>
                <w:lang w:eastAsia="en-AU"/>
              </w:rPr>
            </w:pPr>
            <w:r w:rsidRPr="00F830E6">
              <w:rPr>
                <w:rFonts w:eastAsia="Times New Roman" w:cs="Arial"/>
                <w:b/>
                <w:bCs/>
                <w:color w:val="FFFFFF"/>
                <w:sz w:val="18"/>
                <w:szCs w:val="18"/>
                <w:lang w:eastAsia="en-AU"/>
              </w:rPr>
              <w:t>Mortality Rates</w:t>
            </w:r>
          </w:p>
        </w:tc>
      </w:tr>
      <w:tr w:rsidR="00B80955" w:rsidRPr="00711C14" w14:paraId="349BE5C5" w14:textId="77777777" w:rsidTr="00F830E6">
        <w:trPr>
          <w:trHeight w:val="397"/>
        </w:trPr>
        <w:tc>
          <w:tcPr>
            <w:tcW w:w="537" w:type="pct"/>
            <w:tcBorders>
              <w:top w:val="nil"/>
              <w:left w:val="nil"/>
              <w:bottom w:val="nil"/>
              <w:right w:val="nil"/>
            </w:tcBorders>
            <w:shd w:val="clear" w:color="000000" w:fill="6B2976"/>
            <w:vAlign w:val="center"/>
            <w:hideMark/>
          </w:tcPr>
          <w:p w14:paraId="72C4C6A1" w14:textId="77777777" w:rsidR="00B80955" w:rsidRPr="00F830E6" w:rsidRDefault="00B80955" w:rsidP="00F830E6">
            <w:pPr>
              <w:spacing w:after="0" w:line="240" w:lineRule="auto"/>
              <w:rPr>
                <w:rFonts w:eastAsia="Times New Roman" w:cs="Arial"/>
                <w:b/>
                <w:bCs/>
                <w:color w:val="FFFFFF"/>
                <w:sz w:val="18"/>
                <w:szCs w:val="18"/>
                <w:lang w:eastAsia="en-AU"/>
              </w:rPr>
            </w:pPr>
            <w:r w:rsidRPr="00F830E6">
              <w:rPr>
                <w:rFonts w:eastAsia="Times New Roman" w:cs="Arial"/>
                <w:b/>
                <w:bCs/>
                <w:color w:val="FFFFFF"/>
                <w:sz w:val="18"/>
                <w:szCs w:val="18"/>
                <w:lang w:eastAsia="en-AU"/>
              </w:rPr>
              <w:t>Age</w:t>
            </w:r>
          </w:p>
        </w:tc>
        <w:tc>
          <w:tcPr>
            <w:tcW w:w="1633" w:type="pct"/>
            <w:tcBorders>
              <w:top w:val="nil"/>
              <w:left w:val="nil"/>
              <w:bottom w:val="nil"/>
              <w:right w:val="nil"/>
            </w:tcBorders>
            <w:shd w:val="clear" w:color="000000" w:fill="6B2976"/>
            <w:vAlign w:val="center"/>
            <w:hideMark/>
          </w:tcPr>
          <w:p w14:paraId="0204F4EB" w14:textId="77777777" w:rsidR="00B80955" w:rsidRPr="00F830E6" w:rsidRDefault="00B80955" w:rsidP="00F830E6">
            <w:pPr>
              <w:spacing w:after="0" w:line="240" w:lineRule="auto"/>
              <w:jc w:val="right"/>
              <w:rPr>
                <w:rFonts w:eastAsia="Times New Roman" w:cs="Arial"/>
                <w:b/>
                <w:bCs/>
                <w:color w:val="FFFFFF"/>
                <w:sz w:val="18"/>
                <w:szCs w:val="18"/>
                <w:lang w:eastAsia="en-AU"/>
              </w:rPr>
            </w:pPr>
            <w:r w:rsidRPr="00F830E6">
              <w:rPr>
                <w:rFonts w:eastAsia="Times New Roman" w:cs="Arial"/>
                <w:b/>
                <w:bCs/>
                <w:color w:val="FFFFFF"/>
                <w:sz w:val="18"/>
                <w:szCs w:val="18"/>
                <w:lang w:eastAsia="en-AU"/>
              </w:rPr>
              <w:t xml:space="preserve">Average </w:t>
            </w:r>
            <w:r w:rsidR="008523A0">
              <w:rPr>
                <w:rFonts w:eastAsia="Times New Roman" w:cs="Arial"/>
                <w:b/>
                <w:bCs/>
                <w:color w:val="FFFFFF"/>
                <w:sz w:val="18"/>
                <w:szCs w:val="18"/>
                <w:lang w:eastAsia="en-AU"/>
              </w:rPr>
              <w:t>n</w:t>
            </w:r>
            <w:r w:rsidRPr="00F830E6">
              <w:rPr>
                <w:rFonts w:eastAsia="Times New Roman" w:cs="Arial"/>
                <w:b/>
                <w:bCs/>
                <w:color w:val="FFFFFF"/>
                <w:sz w:val="18"/>
                <w:szCs w:val="18"/>
                <w:lang w:eastAsia="en-AU"/>
              </w:rPr>
              <w:t>umber</w:t>
            </w:r>
            <w:r w:rsidR="008523A0">
              <w:rPr>
                <w:rFonts w:eastAsia="Times New Roman" w:cs="Arial"/>
                <w:b/>
                <w:bCs/>
                <w:color w:val="FFFFFF"/>
                <w:sz w:val="18"/>
                <w:szCs w:val="18"/>
                <w:lang w:eastAsia="en-AU"/>
              </w:rPr>
              <w:t xml:space="preserve"> of participants</w:t>
            </w:r>
          </w:p>
        </w:tc>
        <w:tc>
          <w:tcPr>
            <w:tcW w:w="578" w:type="pct"/>
            <w:tcBorders>
              <w:top w:val="nil"/>
              <w:left w:val="nil"/>
              <w:bottom w:val="nil"/>
              <w:right w:val="nil"/>
            </w:tcBorders>
            <w:shd w:val="clear" w:color="000000" w:fill="6B2976"/>
            <w:vAlign w:val="center"/>
            <w:hideMark/>
          </w:tcPr>
          <w:p w14:paraId="13349A8A" w14:textId="77777777" w:rsidR="00B80955" w:rsidRPr="00F830E6" w:rsidRDefault="00B80955" w:rsidP="00F830E6">
            <w:pPr>
              <w:spacing w:after="0" w:line="240" w:lineRule="auto"/>
              <w:jc w:val="right"/>
              <w:rPr>
                <w:rFonts w:eastAsia="Times New Roman" w:cs="Arial"/>
                <w:b/>
                <w:bCs/>
                <w:color w:val="FFFFFF"/>
                <w:sz w:val="18"/>
                <w:szCs w:val="18"/>
                <w:lang w:eastAsia="en-AU"/>
              </w:rPr>
            </w:pPr>
            <w:r w:rsidRPr="00F830E6">
              <w:rPr>
                <w:rFonts w:eastAsia="Times New Roman" w:cs="Arial"/>
                <w:b/>
                <w:bCs/>
                <w:color w:val="FFFFFF"/>
                <w:sz w:val="18"/>
                <w:szCs w:val="18"/>
                <w:lang w:eastAsia="en-AU"/>
              </w:rPr>
              <w:t>Actual</w:t>
            </w:r>
          </w:p>
        </w:tc>
        <w:tc>
          <w:tcPr>
            <w:tcW w:w="1374" w:type="pct"/>
            <w:tcBorders>
              <w:top w:val="nil"/>
              <w:left w:val="nil"/>
              <w:bottom w:val="nil"/>
              <w:right w:val="nil"/>
            </w:tcBorders>
            <w:shd w:val="clear" w:color="000000" w:fill="6B2976"/>
            <w:vAlign w:val="center"/>
            <w:hideMark/>
          </w:tcPr>
          <w:p w14:paraId="64195854" w14:textId="77777777" w:rsidR="00B80955" w:rsidRPr="00F830E6" w:rsidRDefault="00B80955">
            <w:pPr>
              <w:spacing w:after="0" w:line="240" w:lineRule="auto"/>
              <w:jc w:val="right"/>
              <w:rPr>
                <w:rFonts w:eastAsia="Times New Roman" w:cs="Arial"/>
                <w:b/>
                <w:bCs/>
                <w:color w:val="FFFFFF"/>
                <w:sz w:val="18"/>
                <w:szCs w:val="18"/>
                <w:lang w:eastAsia="en-AU"/>
              </w:rPr>
            </w:pPr>
            <w:r w:rsidRPr="00F830E6">
              <w:rPr>
                <w:rFonts w:eastAsia="Times New Roman" w:cs="Arial"/>
                <w:b/>
                <w:bCs/>
                <w:color w:val="FFFFFF"/>
                <w:sz w:val="18"/>
                <w:szCs w:val="18"/>
                <w:lang w:eastAsia="en-AU"/>
              </w:rPr>
              <w:t>Expected (2020-21 AFSR)</w:t>
            </w:r>
          </w:p>
        </w:tc>
        <w:tc>
          <w:tcPr>
            <w:tcW w:w="877" w:type="pct"/>
            <w:tcBorders>
              <w:top w:val="nil"/>
              <w:left w:val="nil"/>
              <w:bottom w:val="nil"/>
              <w:right w:val="nil"/>
            </w:tcBorders>
            <w:shd w:val="clear" w:color="000000" w:fill="6B2976"/>
            <w:vAlign w:val="center"/>
            <w:hideMark/>
          </w:tcPr>
          <w:p w14:paraId="3B5E8833" w14:textId="77777777" w:rsidR="00B80955" w:rsidRPr="00F830E6" w:rsidRDefault="00B80955">
            <w:pPr>
              <w:spacing w:after="0" w:line="240" w:lineRule="auto"/>
              <w:jc w:val="right"/>
              <w:rPr>
                <w:rFonts w:eastAsia="Times New Roman" w:cs="Arial"/>
                <w:b/>
                <w:bCs/>
                <w:color w:val="FFFFFF"/>
                <w:sz w:val="18"/>
                <w:szCs w:val="18"/>
                <w:lang w:eastAsia="en-AU"/>
              </w:rPr>
            </w:pPr>
            <w:r w:rsidRPr="00F830E6">
              <w:rPr>
                <w:rFonts w:eastAsia="Times New Roman" w:cs="Arial"/>
                <w:b/>
                <w:bCs/>
                <w:color w:val="FFFFFF"/>
                <w:sz w:val="18"/>
                <w:szCs w:val="18"/>
                <w:lang w:eastAsia="en-AU"/>
              </w:rPr>
              <w:t>2021-22 AFSR</w:t>
            </w:r>
          </w:p>
        </w:tc>
      </w:tr>
      <w:tr w:rsidR="00B80955" w:rsidRPr="00711C14" w14:paraId="3A20B267" w14:textId="77777777" w:rsidTr="00F830E6">
        <w:trPr>
          <w:trHeight w:val="288"/>
        </w:trPr>
        <w:tc>
          <w:tcPr>
            <w:tcW w:w="537" w:type="pct"/>
            <w:tcBorders>
              <w:top w:val="nil"/>
              <w:left w:val="nil"/>
              <w:bottom w:val="nil"/>
              <w:right w:val="nil"/>
            </w:tcBorders>
            <w:shd w:val="clear" w:color="auto" w:fill="auto"/>
            <w:noWrap/>
            <w:vAlign w:val="center"/>
            <w:hideMark/>
          </w:tcPr>
          <w:p w14:paraId="5BCA76DA" w14:textId="77777777" w:rsidR="00B80955" w:rsidRPr="00F830E6" w:rsidRDefault="00B80955">
            <w:pPr>
              <w:spacing w:after="0" w:line="240" w:lineRule="auto"/>
              <w:rPr>
                <w:rFonts w:eastAsia="Times New Roman" w:cs="Arial"/>
                <w:color w:val="000000"/>
                <w:sz w:val="18"/>
                <w:szCs w:val="18"/>
                <w:lang w:eastAsia="en-AU"/>
              </w:rPr>
            </w:pPr>
            <w:r w:rsidRPr="00F830E6">
              <w:rPr>
                <w:rFonts w:eastAsia="Times New Roman" w:cs="Arial"/>
                <w:color w:val="000000"/>
                <w:sz w:val="18"/>
                <w:szCs w:val="18"/>
                <w:lang w:eastAsia="en-AU"/>
              </w:rPr>
              <w:t>0 to 6</w:t>
            </w:r>
          </w:p>
        </w:tc>
        <w:tc>
          <w:tcPr>
            <w:tcW w:w="1633" w:type="pct"/>
            <w:tcBorders>
              <w:top w:val="nil"/>
              <w:left w:val="nil"/>
              <w:bottom w:val="nil"/>
              <w:right w:val="nil"/>
            </w:tcBorders>
            <w:shd w:val="clear" w:color="auto" w:fill="auto"/>
            <w:noWrap/>
            <w:vAlign w:val="center"/>
            <w:hideMark/>
          </w:tcPr>
          <w:p w14:paraId="013E838F" w14:textId="77777777" w:rsidR="00B80955" w:rsidRPr="00F830E6" w:rsidRDefault="00B80955" w:rsidP="00F830E6">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 xml:space="preserve">            79,324 </w:t>
            </w:r>
          </w:p>
        </w:tc>
        <w:tc>
          <w:tcPr>
            <w:tcW w:w="578" w:type="pct"/>
            <w:tcBorders>
              <w:top w:val="nil"/>
              <w:left w:val="nil"/>
              <w:bottom w:val="nil"/>
              <w:right w:val="nil"/>
            </w:tcBorders>
            <w:shd w:val="clear" w:color="auto" w:fill="auto"/>
            <w:noWrap/>
            <w:vAlign w:val="center"/>
            <w:hideMark/>
          </w:tcPr>
          <w:p w14:paraId="5649A9D0" w14:textId="77777777" w:rsidR="00B80955" w:rsidRPr="00F830E6" w:rsidRDefault="00B80955">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0.09%</w:t>
            </w:r>
          </w:p>
        </w:tc>
        <w:tc>
          <w:tcPr>
            <w:tcW w:w="1374" w:type="pct"/>
            <w:tcBorders>
              <w:top w:val="nil"/>
              <w:left w:val="nil"/>
              <w:bottom w:val="nil"/>
              <w:right w:val="nil"/>
            </w:tcBorders>
            <w:shd w:val="clear" w:color="auto" w:fill="auto"/>
            <w:noWrap/>
            <w:vAlign w:val="center"/>
            <w:hideMark/>
          </w:tcPr>
          <w:p w14:paraId="6304787D" w14:textId="77777777" w:rsidR="00B80955" w:rsidRPr="00F830E6" w:rsidRDefault="00B80955">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0.11%</w:t>
            </w:r>
          </w:p>
        </w:tc>
        <w:tc>
          <w:tcPr>
            <w:tcW w:w="877" w:type="pct"/>
            <w:tcBorders>
              <w:top w:val="nil"/>
              <w:left w:val="nil"/>
              <w:bottom w:val="nil"/>
              <w:right w:val="nil"/>
            </w:tcBorders>
            <w:shd w:val="clear" w:color="auto" w:fill="auto"/>
            <w:noWrap/>
            <w:vAlign w:val="center"/>
            <w:hideMark/>
          </w:tcPr>
          <w:p w14:paraId="3D8F363E" w14:textId="77777777" w:rsidR="00B80955" w:rsidRPr="00F830E6" w:rsidRDefault="00B80955">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0.10%</w:t>
            </w:r>
          </w:p>
        </w:tc>
      </w:tr>
      <w:tr w:rsidR="00711C14" w:rsidRPr="00711C14" w14:paraId="24FEB281" w14:textId="77777777" w:rsidTr="00711C14">
        <w:trPr>
          <w:trHeight w:val="288"/>
        </w:trPr>
        <w:tc>
          <w:tcPr>
            <w:tcW w:w="537" w:type="pct"/>
            <w:tcBorders>
              <w:top w:val="nil"/>
              <w:left w:val="nil"/>
              <w:bottom w:val="nil"/>
              <w:right w:val="nil"/>
            </w:tcBorders>
            <w:shd w:val="clear" w:color="auto" w:fill="BFBFBF" w:themeFill="background1" w:themeFillShade="BF"/>
            <w:noWrap/>
            <w:vAlign w:val="center"/>
            <w:hideMark/>
          </w:tcPr>
          <w:p w14:paraId="1368F702" w14:textId="77777777" w:rsidR="00B80955" w:rsidRPr="00F830E6" w:rsidRDefault="00B80955">
            <w:pPr>
              <w:spacing w:after="0" w:line="240" w:lineRule="auto"/>
              <w:rPr>
                <w:rFonts w:eastAsia="Times New Roman" w:cs="Arial"/>
                <w:color w:val="000000"/>
                <w:sz w:val="18"/>
                <w:szCs w:val="18"/>
                <w:lang w:eastAsia="en-AU"/>
              </w:rPr>
            </w:pPr>
            <w:r w:rsidRPr="00F830E6">
              <w:rPr>
                <w:rFonts w:eastAsia="Times New Roman" w:cs="Arial"/>
                <w:color w:val="000000"/>
                <w:sz w:val="18"/>
                <w:szCs w:val="18"/>
                <w:lang w:eastAsia="en-AU"/>
              </w:rPr>
              <w:t>7 to 14</w:t>
            </w:r>
          </w:p>
        </w:tc>
        <w:tc>
          <w:tcPr>
            <w:tcW w:w="1633" w:type="pct"/>
            <w:tcBorders>
              <w:top w:val="nil"/>
              <w:left w:val="nil"/>
              <w:bottom w:val="nil"/>
              <w:right w:val="nil"/>
            </w:tcBorders>
            <w:shd w:val="clear" w:color="auto" w:fill="BFBFBF" w:themeFill="background1" w:themeFillShade="BF"/>
            <w:noWrap/>
            <w:vAlign w:val="center"/>
            <w:hideMark/>
          </w:tcPr>
          <w:p w14:paraId="3CD8B62F" w14:textId="77777777" w:rsidR="00B80955" w:rsidRPr="00F830E6" w:rsidRDefault="00B80955" w:rsidP="00F830E6">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 xml:space="preserve">         132,586 </w:t>
            </w:r>
          </w:p>
        </w:tc>
        <w:tc>
          <w:tcPr>
            <w:tcW w:w="578" w:type="pct"/>
            <w:tcBorders>
              <w:top w:val="nil"/>
              <w:left w:val="nil"/>
              <w:bottom w:val="nil"/>
              <w:right w:val="nil"/>
            </w:tcBorders>
            <w:shd w:val="clear" w:color="auto" w:fill="BFBFBF" w:themeFill="background1" w:themeFillShade="BF"/>
            <w:noWrap/>
            <w:vAlign w:val="center"/>
            <w:hideMark/>
          </w:tcPr>
          <w:p w14:paraId="60D1F43A" w14:textId="77777777" w:rsidR="00B80955" w:rsidRPr="00F830E6" w:rsidRDefault="00B80955">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0.06%</w:t>
            </w:r>
          </w:p>
        </w:tc>
        <w:tc>
          <w:tcPr>
            <w:tcW w:w="1374" w:type="pct"/>
            <w:tcBorders>
              <w:top w:val="nil"/>
              <w:left w:val="nil"/>
              <w:bottom w:val="nil"/>
              <w:right w:val="nil"/>
            </w:tcBorders>
            <w:shd w:val="clear" w:color="auto" w:fill="BFBFBF" w:themeFill="background1" w:themeFillShade="BF"/>
            <w:noWrap/>
            <w:vAlign w:val="center"/>
            <w:hideMark/>
          </w:tcPr>
          <w:p w14:paraId="71933606" w14:textId="77777777" w:rsidR="00B80955" w:rsidRPr="00F830E6" w:rsidRDefault="00B80955">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0.07%</w:t>
            </w:r>
          </w:p>
        </w:tc>
        <w:tc>
          <w:tcPr>
            <w:tcW w:w="877" w:type="pct"/>
            <w:tcBorders>
              <w:top w:val="nil"/>
              <w:left w:val="nil"/>
              <w:bottom w:val="nil"/>
              <w:right w:val="nil"/>
            </w:tcBorders>
            <w:shd w:val="clear" w:color="auto" w:fill="BFBFBF" w:themeFill="background1" w:themeFillShade="BF"/>
            <w:noWrap/>
            <w:vAlign w:val="center"/>
            <w:hideMark/>
          </w:tcPr>
          <w:p w14:paraId="378C8608" w14:textId="77777777" w:rsidR="00B80955" w:rsidRPr="00F830E6" w:rsidRDefault="00B80955">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0.07%</w:t>
            </w:r>
          </w:p>
        </w:tc>
      </w:tr>
      <w:tr w:rsidR="00B80955" w:rsidRPr="00711C14" w14:paraId="16BEE3E9" w14:textId="77777777" w:rsidTr="00F830E6">
        <w:trPr>
          <w:trHeight w:val="288"/>
        </w:trPr>
        <w:tc>
          <w:tcPr>
            <w:tcW w:w="537" w:type="pct"/>
            <w:tcBorders>
              <w:top w:val="nil"/>
              <w:left w:val="nil"/>
              <w:bottom w:val="nil"/>
              <w:right w:val="nil"/>
            </w:tcBorders>
            <w:shd w:val="clear" w:color="auto" w:fill="auto"/>
            <w:noWrap/>
            <w:vAlign w:val="center"/>
            <w:hideMark/>
          </w:tcPr>
          <w:p w14:paraId="5A12D148" w14:textId="77777777" w:rsidR="00B80955" w:rsidRPr="00F830E6" w:rsidRDefault="00B80955">
            <w:pPr>
              <w:spacing w:after="0" w:line="240" w:lineRule="auto"/>
              <w:rPr>
                <w:rFonts w:eastAsia="Times New Roman" w:cs="Arial"/>
                <w:color w:val="000000"/>
                <w:sz w:val="18"/>
                <w:szCs w:val="18"/>
                <w:lang w:eastAsia="en-AU"/>
              </w:rPr>
            </w:pPr>
            <w:r w:rsidRPr="00F830E6">
              <w:rPr>
                <w:rFonts w:eastAsia="Times New Roman" w:cs="Arial"/>
                <w:color w:val="000000"/>
                <w:sz w:val="18"/>
                <w:szCs w:val="18"/>
                <w:lang w:eastAsia="en-AU"/>
              </w:rPr>
              <w:t>15 to 18</w:t>
            </w:r>
          </w:p>
        </w:tc>
        <w:tc>
          <w:tcPr>
            <w:tcW w:w="1633" w:type="pct"/>
            <w:tcBorders>
              <w:top w:val="nil"/>
              <w:left w:val="nil"/>
              <w:bottom w:val="nil"/>
              <w:right w:val="nil"/>
            </w:tcBorders>
            <w:shd w:val="clear" w:color="auto" w:fill="auto"/>
            <w:noWrap/>
            <w:vAlign w:val="center"/>
            <w:hideMark/>
          </w:tcPr>
          <w:p w14:paraId="1EF3AFDE" w14:textId="77777777" w:rsidR="00B80955" w:rsidRPr="00F830E6" w:rsidRDefault="00B80955" w:rsidP="00F830E6">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 xml:space="preserve">            39,732 </w:t>
            </w:r>
          </w:p>
        </w:tc>
        <w:tc>
          <w:tcPr>
            <w:tcW w:w="578" w:type="pct"/>
            <w:tcBorders>
              <w:top w:val="nil"/>
              <w:left w:val="nil"/>
              <w:bottom w:val="nil"/>
              <w:right w:val="nil"/>
            </w:tcBorders>
            <w:shd w:val="clear" w:color="auto" w:fill="auto"/>
            <w:noWrap/>
            <w:vAlign w:val="center"/>
            <w:hideMark/>
          </w:tcPr>
          <w:p w14:paraId="05AEA308" w14:textId="77777777" w:rsidR="00B80955" w:rsidRPr="00F830E6" w:rsidRDefault="00B80955">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0.14%</w:t>
            </w:r>
          </w:p>
        </w:tc>
        <w:tc>
          <w:tcPr>
            <w:tcW w:w="1374" w:type="pct"/>
            <w:tcBorders>
              <w:top w:val="nil"/>
              <w:left w:val="nil"/>
              <w:bottom w:val="nil"/>
              <w:right w:val="nil"/>
            </w:tcBorders>
            <w:shd w:val="clear" w:color="auto" w:fill="auto"/>
            <w:noWrap/>
            <w:vAlign w:val="center"/>
            <w:hideMark/>
          </w:tcPr>
          <w:p w14:paraId="17B1130B" w14:textId="77777777" w:rsidR="00B80955" w:rsidRPr="00F830E6" w:rsidRDefault="00B80955">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0.14%</w:t>
            </w:r>
          </w:p>
        </w:tc>
        <w:tc>
          <w:tcPr>
            <w:tcW w:w="877" w:type="pct"/>
            <w:tcBorders>
              <w:top w:val="nil"/>
              <w:left w:val="nil"/>
              <w:bottom w:val="nil"/>
              <w:right w:val="nil"/>
            </w:tcBorders>
            <w:shd w:val="clear" w:color="auto" w:fill="auto"/>
            <w:noWrap/>
            <w:vAlign w:val="center"/>
            <w:hideMark/>
          </w:tcPr>
          <w:p w14:paraId="7F345C1E" w14:textId="77777777" w:rsidR="00B80955" w:rsidRPr="00F830E6" w:rsidRDefault="00B80955">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0.14%</w:t>
            </w:r>
          </w:p>
        </w:tc>
      </w:tr>
      <w:tr w:rsidR="00711C14" w:rsidRPr="00711C14" w14:paraId="009D51DE" w14:textId="77777777" w:rsidTr="00711C14">
        <w:trPr>
          <w:trHeight w:val="288"/>
        </w:trPr>
        <w:tc>
          <w:tcPr>
            <w:tcW w:w="537" w:type="pct"/>
            <w:tcBorders>
              <w:top w:val="nil"/>
              <w:left w:val="nil"/>
              <w:bottom w:val="nil"/>
              <w:right w:val="nil"/>
            </w:tcBorders>
            <w:shd w:val="clear" w:color="auto" w:fill="BFBFBF" w:themeFill="background1" w:themeFillShade="BF"/>
            <w:noWrap/>
            <w:vAlign w:val="center"/>
            <w:hideMark/>
          </w:tcPr>
          <w:p w14:paraId="343A229C" w14:textId="77777777" w:rsidR="00B80955" w:rsidRPr="00F830E6" w:rsidRDefault="00B80955">
            <w:pPr>
              <w:spacing w:after="0" w:line="240" w:lineRule="auto"/>
              <w:rPr>
                <w:rFonts w:eastAsia="Times New Roman" w:cs="Arial"/>
                <w:color w:val="000000"/>
                <w:sz w:val="18"/>
                <w:szCs w:val="18"/>
                <w:lang w:eastAsia="en-AU"/>
              </w:rPr>
            </w:pPr>
            <w:r w:rsidRPr="00F830E6">
              <w:rPr>
                <w:rFonts w:eastAsia="Times New Roman" w:cs="Arial"/>
                <w:color w:val="000000"/>
                <w:sz w:val="18"/>
                <w:szCs w:val="18"/>
                <w:lang w:eastAsia="en-AU"/>
              </w:rPr>
              <w:t>19 to 24</w:t>
            </w:r>
          </w:p>
        </w:tc>
        <w:tc>
          <w:tcPr>
            <w:tcW w:w="1633" w:type="pct"/>
            <w:tcBorders>
              <w:top w:val="nil"/>
              <w:left w:val="nil"/>
              <w:bottom w:val="nil"/>
              <w:right w:val="nil"/>
            </w:tcBorders>
            <w:shd w:val="clear" w:color="auto" w:fill="BFBFBF" w:themeFill="background1" w:themeFillShade="BF"/>
            <w:noWrap/>
            <w:vAlign w:val="center"/>
            <w:hideMark/>
          </w:tcPr>
          <w:p w14:paraId="354E80A8" w14:textId="77777777" w:rsidR="00B80955" w:rsidRPr="00F830E6" w:rsidRDefault="00B80955" w:rsidP="00F830E6">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 xml:space="preserve">            42,139 </w:t>
            </w:r>
          </w:p>
        </w:tc>
        <w:tc>
          <w:tcPr>
            <w:tcW w:w="578" w:type="pct"/>
            <w:tcBorders>
              <w:top w:val="nil"/>
              <w:left w:val="nil"/>
              <w:bottom w:val="nil"/>
              <w:right w:val="nil"/>
            </w:tcBorders>
            <w:shd w:val="clear" w:color="auto" w:fill="BFBFBF" w:themeFill="background1" w:themeFillShade="BF"/>
            <w:noWrap/>
            <w:vAlign w:val="center"/>
            <w:hideMark/>
          </w:tcPr>
          <w:p w14:paraId="1FAA7989" w14:textId="77777777" w:rsidR="00B80955" w:rsidRPr="00F830E6" w:rsidRDefault="00B80955">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0.20%</w:t>
            </w:r>
          </w:p>
        </w:tc>
        <w:tc>
          <w:tcPr>
            <w:tcW w:w="1374" w:type="pct"/>
            <w:tcBorders>
              <w:top w:val="nil"/>
              <w:left w:val="nil"/>
              <w:bottom w:val="nil"/>
              <w:right w:val="nil"/>
            </w:tcBorders>
            <w:shd w:val="clear" w:color="auto" w:fill="BFBFBF" w:themeFill="background1" w:themeFillShade="BF"/>
            <w:noWrap/>
            <w:vAlign w:val="center"/>
            <w:hideMark/>
          </w:tcPr>
          <w:p w14:paraId="6A0541B4" w14:textId="77777777" w:rsidR="00B80955" w:rsidRPr="00F830E6" w:rsidRDefault="00B80955">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0.24%</w:t>
            </w:r>
          </w:p>
        </w:tc>
        <w:tc>
          <w:tcPr>
            <w:tcW w:w="877" w:type="pct"/>
            <w:tcBorders>
              <w:top w:val="nil"/>
              <w:left w:val="nil"/>
              <w:bottom w:val="nil"/>
              <w:right w:val="nil"/>
            </w:tcBorders>
            <w:shd w:val="clear" w:color="auto" w:fill="BFBFBF" w:themeFill="background1" w:themeFillShade="BF"/>
            <w:noWrap/>
            <w:vAlign w:val="center"/>
            <w:hideMark/>
          </w:tcPr>
          <w:p w14:paraId="66B6746C" w14:textId="77777777" w:rsidR="00B80955" w:rsidRPr="00F830E6" w:rsidRDefault="00B80955">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0.24%</w:t>
            </w:r>
          </w:p>
        </w:tc>
      </w:tr>
      <w:tr w:rsidR="00B80955" w:rsidRPr="00711C14" w14:paraId="00DCCE02" w14:textId="77777777" w:rsidTr="00F830E6">
        <w:trPr>
          <w:trHeight w:val="288"/>
        </w:trPr>
        <w:tc>
          <w:tcPr>
            <w:tcW w:w="537" w:type="pct"/>
            <w:tcBorders>
              <w:top w:val="nil"/>
              <w:left w:val="nil"/>
              <w:bottom w:val="nil"/>
              <w:right w:val="nil"/>
            </w:tcBorders>
            <w:shd w:val="clear" w:color="auto" w:fill="auto"/>
            <w:noWrap/>
            <w:vAlign w:val="center"/>
            <w:hideMark/>
          </w:tcPr>
          <w:p w14:paraId="2E5A6414" w14:textId="77777777" w:rsidR="00B80955" w:rsidRPr="00F830E6" w:rsidRDefault="00B80955">
            <w:pPr>
              <w:spacing w:after="0" w:line="240" w:lineRule="auto"/>
              <w:rPr>
                <w:rFonts w:eastAsia="Times New Roman" w:cs="Arial"/>
                <w:color w:val="000000"/>
                <w:sz w:val="18"/>
                <w:szCs w:val="18"/>
                <w:lang w:eastAsia="en-AU"/>
              </w:rPr>
            </w:pPr>
            <w:r w:rsidRPr="00F830E6">
              <w:rPr>
                <w:rFonts w:eastAsia="Times New Roman" w:cs="Arial"/>
                <w:color w:val="000000"/>
                <w:sz w:val="18"/>
                <w:szCs w:val="18"/>
                <w:lang w:eastAsia="en-AU"/>
              </w:rPr>
              <w:t>25 to 34</w:t>
            </w:r>
          </w:p>
        </w:tc>
        <w:tc>
          <w:tcPr>
            <w:tcW w:w="1633" w:type="pct"/>
            <w:tcBorders>
              <w:top w:val="nil"/>
              <w:left w:val="nil"/>
              <w:bottom w:val="nil"/>
              <w:right w:val="nil"/>
            </w:tcBorders>
            <w:shd w:val="clear" w:color="auto" w:fill="auto"/>
            <w:noWrap/>
            <w:vAlign w:val="center"/>
            <w:hideMark/>
          </w:tcPr>
          <w:p w14:paraId="5CBE101B" w14:textId="77777777" w:rsidR="00B80955" w:rsidRPr="00F830E6" w:rsidRDefault="00B80955" w:rsidP="00F830E6">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 xml:space="preserve">            45,540 </w:t>
            </w:r>
          </w:p>
        </w:tc>
        <w:tc>
          <w:tcPr>
            <w:tcW w:w="578" w:type="pct"/>
            <w:tcBorders>
              <w:top w:val="nil"/>
              <w:left w:val="nil"/>
              <w:bottom w:val="nil"/>
              <w:right w:val="nil"/>
            </w:tcBorders>
            <w:shd w:val="clear" w:color="auto" w:fill="auto"/>
            <w:noWrap/>
            <w:vAlign w:val="center"/>
            <w:hideMark/>
          </w:tcPr>
          <w:p w14:paraId="027CD409" w14:textId="77777777" w:rsidR="00B80955" w:rsidRPr="00F830E6" w:rsidRDefault="00B80955">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0.49%</w:t>
            </w:r>
          </w:p>
        </w:tc>
        <w:tc>
          <w:tcPr>
            <w:tcW w:w="1374" w:type="pct"/>
            <w:tcBorders>
              <w:top w:val="nil"/>
              <w:left w:val="nil"/>
              <w:bottom w:val="nil"/>
              <w:right w:val="nil"/>
            </w:tcBorders>
            <w:shd w:val="clear" w:color="auto" w:fill="auto"/>
            <w:noWrap/>
            <w:vAlign w:val="center"/>
            <w:hideMark/>
          </w:tcPr>
          <w:p w14:paraId="09DF0E93" w14:textId="77777777" w:rsidR="00B80955" w:rsidRPr="00F830E6" w:rsidRDefault="00B80955">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0.45%</w:t>
            </w:r>
          </w:p>
        </w:tc>
        <w:tc>
          <w:tcPr>
            <w:tcW w:w="877" w:type="pct"/>
            <w:tcBorders>
              <w:top w:val="nil"/>
              <w:left w:val="nil"/>
              <w:bottom w:val="nil"/>
              <w:right w:val="nil"/>
            </w:tcBorders>
            <w:shd w:val="clear" w:color="auto" w:fill="auto"/>
            <w:noWrap/>
            <w:vAlign w:val="center"/>
            <w:hideMark/>
          </w:tcPr>
          <w:p w14:paraId="4D3EE4D0" w14:textId="77777777" w:rsidR="00B80955" w:rsidRPr="00F830E6" w:rsidRDefault="00B80955">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0.44%</w:t>
            </w:r>
          </w:p>
        </w:tc>
      </w:tr>
      <w:tr w:rsidR="00711C14" w:rsidRPr="00711C14" w14:paraId="5CD48CB6" w14:textId="77777777" w:rsidTr="00711C14">
        <w:trPr>
          <w:trHeight w:val="288"/>
        </w:trPr>
        <w:tc>
          <w:tcPr>
            <w:tcW w:w="537" w:type="pct"/>
            <w:tcBorders>
              <w:top w:val="nil"/>
              <w:left w:val="nil"/>
              <w:bottom w:val="nil"/>
              <w:right w:val="nil"/>
            </w:tcBorders>
            <w:shd w:val="clear" w:color="auto" w:fill="BFBFBF" w:themeFill="background1" w:themeFillShade="BF"/>
            <w:noWrap/>
            <w:vAlign w:val="center"/>
            <w:hideMark/>
          </w:tcPr>
          <w:p w14:paraId="31D7CDBD" w14:textId="77777777" w:rsidR="00B80955" w:rsidRPr="00F830E6" w:rsidRDefault="00B80955">
            <w:pPr>
              <w:spacing w:after="0" w:line="240" w:lineRule="auto"/>
              <w:rPr>
                <w:rFonts w:eastAsia="Times New Roman" w:cs="Arial"/>
                <w:color w:val="000000"/>
                <w:sz w:val="18"/>
                <w:szCs w:val="18"/>
                <w:lang w:eastAsia="en-AU"/>
              </w:rPr>
            </w:pPr>
            <w:r w:rsidRPr="00F830E6">
              <w:rPr>
                <w:rFonts w:eastAsia="Times New Roman" w:cs="Arial"/>
                <w:color w:val="000000"/>
                <w:sz w:val="18"/>
                <w:szCs w:val="18"/>
                <w:lang w:eastAsia="en-AU"/>
              </w:rPr>
              <w:t>35 to 44</w:t>
            </w:r>
          </w:p>
        </w:tc>
        <w:tc>
          <w:tcPr>
            <w:tcW w:w="1633" w:type="pct"/>
            <w:tcBorders>
              <w:top w:val="nil"/>
              <w:left w:val="nil"/>
              <w:bottom w:val="nil"/>
              <w:right w:val="nil"/>
            </w:tcBorders>
            <w:shd w:val="clear" w:color="auto" w:fill="BFBFBF" w:themeFill="background1" w:themeFillShade="BF"/>
            <w:noWrap/>
            <w:vAlign w:val="center"/>
            <w:hideMark/>
          </w:tcPr>
          <w:p w14:paraId="3EFC892E" w14:textId="77777777" w:rsidR="00B80955" w:rsidRPr="00F830E6" w:rsidRDefault="00B80955" w:rsidP="00F830E6">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 xml:space="preserve">            42,221 </w:t>
            </w:r>
          </w:p>
        </w:tc>
        <w:tc>
          <w:tcPr>
            <w:tcW w:w="578" w:type="pct"/>
            <w:tcBorders>
              <w:top w:val="nil"/>
              <w:left w:val="nil"/>
              <w:bottom w:val="nil"/>
              <w:right w:val="nil"/>
            </w:tcBorders>
            <w:shd w:val="clear" w:color="auto" w:fill="BFBFBF" w:themeFill="background1" w:themeFillShade="BF"/>
            <w:noWrap/>
            <w:vAlign w:val="center"/>
            <w:hideMark/>
          </w:tcPr>
          <w:p w14:paraId="79276D8E" w14:textId="77777777" w:rsidR="00B80955" w:rsidRPr="00F830E6" w:rsidRDefault="00B80955">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0.86%</w:t>
            </w:r>
          </w:p>
        </w:tc>
        <w:tc>
          <w:tcPr>
            <w:tcW w:w="1374" w:type="pct"/>
            <w:tcBorders>
              <w:top w:val="nil"/>
              <w:left w:val="nil"/>
              <w:bottom w:val="nil"/>
              <w:right w:val="nil"/>
            </w:tcBorders>
            <w:shd w:val="clear" w:color="auto" w:fill="BFBFBF" w:themeFill="background1" w:themeFillShade="BF"/>
            <w:noWrap/>
            <w:vAlign w:val="center"/>
            <w:hideMark/>
          </w:tcPr>
          <w:p w14:paraId="78A2DFD0" w14:textId="77777777" w:rsidR="00B80955" w:rsidRPr="00F830E6" w:rsidRDefault="00B80955">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0.88%</w:t>
            </w:r>
          </w:p>
        </w:tc>
        <w:tc>
          <w:tcPr>
            <w:tcW w:w="877" w:type="pct"/>
            <w:tcBorders>
              <w:top w:val="nil"/>
              <w:left w:val="nil"/>
              <w:bottom w:val="nil"/>
              <w:right w:val="nil"/>
            </w:tcBorders>
            <w:shd w:val="clear" w:color="auto" w:fill="BFBFBF" w:themeFill="background1" w:themeFillShade="BF"/>
            <w:noWrap/>
            <w:vAlign w:val="center"/>
            <w:hideMark/>
          </w:tcPr>
          <w:p w14:paraId="1B7118E3" w14:textId="77777777" w:rsidR="00B80955" w:rsidRPr="00F830E6" w:rsidRDefault="00B80955">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0.86%</w:t>
            </w:r>
          </w:p>
        </w:tc>
      </w:tr>
      <w:tr w:rsidR="00B80955" w:rsidRPr="00711C14" w14:paraId="2ADB0218" w14:textId="77777777" w:rsidTr="00F830E6">
        <w:trPr>
          <w:trHeight w:val="288"/>
        </w:trPr>
        <w:tc>
          <w:tcPr>
            <w:tcW w:w="537" w:type="pct"/>
            <w:tcBorders>
              <w:top w:val="nil"/>
              <w:left w:val="nil"/>
              <w:bottom w:val="nil"/>
              <w:right w:val="nil"/>
            </w:tcBorders>
            <w:shd w:val="clear" w:color="auto" w:fill="auto"/>
            <w:noWrap/>
            <w:vAlign w:val="center"/>
            <w:hideMark/>
          </w:tcPr>
          <w:p w14:paraId="6127108F" w14:textId="77777777" w:rsidR="00B80955" w:rsidRPr="00F830E6" w:rsidRDefault="00B80955">
            <w:pPr>
              <w:spacing w:after="0" w:line="240" w:lineRule="auto"/>
              <w:rPr>
                <w:rFonts w:eastAsia="Times New Roman" w:cs="Arial"/>
                <w:color w:val="000000"/>
                <w:sz w:val="18"/>
                <w:szCs w:val="18"/>
                <w:lang w:eastAsia="en-AU"/>
              </w:rPr>
            </w:pPr>
            <w:r w:rsidRPr="00F830E6">
              <w:rPr>
                <w:rFonts w:eastAsia="Times New Roman" w:cs="Arial"/>
                <w:color w:val="000000"/>
                <w:sz w:val="18"/>
                <w:szCs w:val="18"/>
                <w:lang w:eastAsia="en-AU"/>
              </w:rPr>
              <w:t>45 to 54</w:t>
            </w:r>
          </w:p>
        </w:tc>
        <w:tc>
          <w:tcPr>
            <w:tcW w:w="1633" w:type="pct"/>
            <w:tcBorders>
              <w:top w:val="nil"/>
              <w:left w:val="nil"/>
              <w:bottom w:val="nil"/>
              <w:right w:val="nil"/>
            </w:tcBorders>
            <w:shd w:val="clear" w:color="auto" w:fill="auto"/>
            <w:noWrap/>
            <w:vAlign w:val="center"/>
            <w:hideMark/>
          </w:tcPr>
          <w:p w14:paraId="32B3341D" w14:textId="77777777" w:rsidR="00B80955" w:rsidRPr="00F830E6" w:rsidRDefault="00B80955" w:rsidP="00F830E6">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 xml:space="preserve">            51,451 </w:t>
            </w:r>
          </w:p>
        </w:tc>
        <w:tc>
          <w:tcPr>
            <w:tcW w:w="578" w:type="pct"/>
            <w:tcBorders>
              <w:top w:val="nil"/>
              <w:left w:val="nil"/>
              <w:bottom w:val="nil"/>
              <w:right w:val="nil"/>
            </w:tcBorders>
            <w:shd w:val="clear" w:color="auto" w:fill="auto"/>
            <w:noWrap/>
            <w:vAlign w:val="center"/>
            <w:hideMark/>
          </w:tcPr>
          <w:p w14:paraId="1FE3012C" w14:textId="77777777" w:rsidR="00B80955" w:rsidRPr="00F830E6" w:rsidRDefault="00B80955">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1.84%</w:t>
            </w:r>
          </w:p>
        </w:tc>
        <w:tc>
          <w:tcPr>
            <w:tcW w:w="1374" w:type="pct"/>
            <w:tcBorders>
              <w:top w:val="nil"/>
              <w:left w:val="nil"/>
              <w:bottom w:val="nil"/>
              <w:right w:val="nil"/>
            </w:tcBorders>
            <w:shd w:val="clear" w:color="auto" w:fill="auto"/>
            <w:noWrap/>
            <w:vAlign w:val="center"/>
            <w:hideMark/>
          </w:tcPr>
          <w:p w14:paraId="62B0B725" w14:textId="77777777" w:rsidR="00B80955" w:rsidRPr="00F830E6" w:rsidRDefault="00B80955">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1.78%</w:t>
            </w:r>
          </w:p>
        </w:tc>
        <w:tc>
          <w:tcPr>
            <w:tcW w:w="877" w:type="pct"/>
            <w:tcBorders>
              <w:top w:val="nil"/>
              <w:left w:val="nil"/>
              <w:bottom w:val="nil"/>
              <w:right w:val="nil"/>
            </w:tcBorders>
            <w:shd w:val="clear" w:color="auto" w:fill="auto"/>
            <w:noWrap/>
            <w:vAlign w:val="center"/>
            <w:hideMark/>
          </w:tcPr>
          <w:p w14:paraId="306EEF31" w14:textId="77777777" w:rsidR="00B80955" w:rsidRPr="00F830E6" w:rsidRDefault="00B80955">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1.77%</w:t>
            </w:r>
          </w:p>
        </w:tc>
      </w:tr>
      <w:tr w:rsidR="00711C14" w:rsidRPr="00711C14" w14:paraId="0F6E3703" w14:textId="77777777" w:rsidTr="00711C14">
        <w:trPr>
          <w:trHeight w:val="288"/>
        </w:trPr>
        <w:tc>
          <w:tcPr>
            <w:tcW w:w="537" w:type="pct"/>
            <w:tcBorders>
              <w:top w:val="nil"/>
              <w:left w:val="nil"/>
              <w:bottom w:val="nil"/>
              <w:right w:val="nil"/>
            </w:tcBorders>
            <w:shd w:val="clear" w:color="auto" w:fill="BFBFBF" w:themeFill="background1" w:themeFillShade="BF"/>
            <w:noWrap/>
            <w:vAlign w:val="center"/>
            <w:hideMark/>
          </w:tcPr>
          <w:p w14:paraId="2EEC1DA6" w14:textId="77777777" w:rsidR="00B80955" w:rsidRPr="00F830E6" w:rsidRDefault="00B80955">
            <w:pPr>
              <w:spacing w:after="0" w:line="240" w:lineRule="auto"/>
              <w:rPr>
                <w:rFonts w:eastAsia="Times New Roman" w:cs="Arial"/>
                <w:color w:val="000000"/>
                <w:sz w:val="18"/>
                <w:szCs w:val="18"/>
                <w:lang w:eastAsia="en-AU"/>
              </w:rPr>
            </w:pPr>
            <w:r w:rsidRPr="00F830E6">
              <w:rPr>
                <w:rFonts w:eastAsia="Times New Roman" w:cs="Arial"/>
                <w:color w:val="000000"/>
                <w:sz w:val="18"/>
                <w:szCs w:val="18"/>
                <w:lang w:eastAsia="en-AU"/>
              </w:rPr>
              <w:t>55 to 64</w:t>
            </w:r>
          </w:p>
        </w:tc>
        <w:tc>
          <w:tcPr>
            <w:tcW w:w="1633" w:type="pct"/>
            <w:tcBorders>
              <w:top w:val="nil"/>
              <w:left w:val="nil"/>
              <w:bottom w:val="nil"/>
              <w:right w:val="nil"/>
            </w:tcBorders>
            <w:shd w:val="clear" w:color="auto" w:fill="BFBFBF" w:themeFill="background1" w:themeFillShade="BF"/>
            <w:noWrap/>
            <w:vAlign w:val="center"/>
            <w:hideMark/>
          </w:tcPr>
          <w:p w14:paraId="333A355C" w14:textId="77777777" w:rsidR="00B80955" w:rsidRPr="00F830E6" w:rsidRDefault="00B80955" w:rsidP="00F830E6">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 xml:space="preserve">            60,504 </w:t>
            </w:r>
          </w:p>
        </w:tc>
        <w:tc>
          <w:tcPr>
            <w:tcW w:w="578" w:type="pct"/>
            <w:tcBorders>
              <w:top w:val="nil"/>
              <w:left w:val="nil"/>
              <w:bottom w:val="nil"/>
              <w:right w:val="nil"/>
            </w:tcBorders>
            <w:shd w:val="clear" w:color="auto" w:fill="BFBFBF" w:themeFill="background1" w:themeFillShade="BF"/>
            <w:noWrap/>
            <w:vAlign w:val="center"/>
            <w:hideMark/>
          </w:tcPr>
          <w:p w14:paraId="5B1DCBE8" w14:textId="77777777" w:rsidR="00B80955" w:rsidRPr="00F830E6" w:rsidRDefault="00B80955">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3.54%</w:t>
            </w:r>
          </w:p>
        </w:tc>
        <w:tc>
          <w:tcPr>
            <w:tcW w:w="1374" w:type="pct"/>
            <w:tcBorders>
              <w:top w:val="nil"/>
              <w:left w:val="nil"/>
              <w:bottom w:val="nil"/>
              <w:right w:val="nil"/>
            </w:tcBorders>
            <w:shd w:val="clear" w:color="auto" w:fill="BFBFBF" w:themeFill="background1" w:themeFillShade="BF"/>
            <w:noWrap/>
            <w:vAlign w:val="center"/>
            <w:hideMark/>
          </w:tcPr>
          <w:p w14:paraId="21247A0B" w14:textId="77777777" w:rsidR="00B80955" w:rsidRPr="00F830E6" w:rsidRDefault="00B80955">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3.37%</w:t>
            </w:r>
          </w:p>
        </w:tc>
        <w:tc>
          <w:tcPr>
            <w:tcW w:w="877" w:type="pct"/>
            <w:tcBorders>
              <w:top w:val="nil"/>
              <w:left w:val="nil"/>
              <w:bottom w:val="nil"/>
              <w:right w:val="nil"/>
            </w:tcBorders>
            <w:shd w:val="clear" w:color="auto" w:fill="BFBFBF" w:themeFill="background1" w:themeFillShade="BF"/>
            <w:noWrap/>
            <w:vAlign w:val="center"/>
            <w:hideMark/>
          </w:tcPr>
          <w:p w14:paraId="0F6ACE04" w14:textId="77777777" w:rsidR="00B80955" w:rsidRPr="00F830E6" w:rsidRDefault="00B80955">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3.41%</w:t>
            </w:r>
          </w:p>
        </w:tc>
      </w:tr>
      <w:tr w:rsidR="00B80955" w:rsidRPr="00711C14" w14:paraId="5154FAE2" w14:textId="77777777" w:rsidTr="00F830E6">
        <w:trPr>
          <w:trHeight w:val="288"/>
        </w:trPr>
        <w:tc>
          <w:tcPr>
            <w:tcW w:w="537" w:type="pct"/>
            <w:tcBorders>
              <w:top w:val="nil"/>
              <w:left w:val="nil"/>
              <w:bottom w:val="nil"/>
              <w:right w:val="nil"/>
            </w:tcBorders>
            <w:shd w:val="clear" w:color="auto" w:fill="auto"/>
            <w:noWrap/>
            <w:vAlign w:val="center"/>
            <w:hideMark/>
          </w:tcPr>
          <w:p w14:paraId="1241337A" w14:textId="77777777" w:rsidR="00B80955" w:rsidRPr="00F830E6" w:rsidRDefault="00B80955">
            <w:pPr>
              <w:spacing w:after="0" w:line="240" w:lineRule="auto"/>
              <w:rPr>
                <w:rFonts w:eastAsia="Times New Roman" w:cs="Arial"/>
                <w:color w:val="000000"/>
                <w:sz w:val="18"/>
                <w:szCs w:val="18"/>
                <w:lang w:eastAsia="en-AU"/>
              </w:rPr>
            </w:pPr>
            <w:r w:rsidRPr="00F830E6">
              <w:rPr>
                <w:rFonts w:eastAsia="Times New Roman" w:cs="Arial"/>
                <w:color w:val="000000"/>
                <w:sz w:val="18"/>
                <w:szCs w:val="18"/>
                <w:lang w:eastAsia="en-AU"/>
              </w:rPr>
              <w:t>65+</w:t>
            </w:r>
          </w:p>
        </w:tc>
        <w:tc>
          <w:tcPr>
            <w:tcW w:w="1633" w:type="pct"/>
            <w:tcBorders>
              <w:top w:val="nil"/>
              <w:left w:val="nil"/>
              <w:bottom w:val="nil"/>
              <w:right w:val="nil"/>
            </w:tcBorders>
            <w:shd w:val="clear" w:color="auto" w:fill="auto"/>
            <w:noWrap/>
            <w:vAlign w:val="center"/>
            <w:hideMark/>
          </w:tcPr>
          <w:p w14:paraId="6A608A70" w14:textId="77777777" w:rsidR="00B80955" w:rsidRPr="00F830E6" w:rsidRDefault="00B80955" w:rsidP="00F830E6">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 xml:space="preserve">            18,761 </w:t>
            </w:r>
          </w:p>
        </w:tc>
        <w:tc>
          <w:tcPr>
            <w:tcW w:w="578" w:type="pct"/>
            <w:tcBorders>
              <w:top w:val="nil"/>
              <w:left w:val="nil"/>
              <w:bottom w:val="nil"/>
              <w:right w:val="nil"/>
            </w:tcBorders>
            <w:shd w:val="clear" w:color="auto" w:fill="auto"/>
            <w:noWrap/>
            <w:vAlign w:val="center"/>
            <w:hideMark/>
          </w:tcPr>
          <w:p w14:paraId="14ABD098" w14:textId="77777777" w:rsidR="00B80955" w:rsidRPr="00F830E6" w:rsidRDefault="00B80955">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4.90%</w:t>
            </w:r>
          </w:p>
        </w:tc>
        <w:tc>
          <w:tcPr>
            <w:tcW w:w="1374" w:type="pct"/>
            <w:tcBorders>
              <w:top w:val="nil"/>
              <w:left w:val="nil"/>
              <w:bottom w:val="nil"/>
              <w:right w:val="nil"/>
            </w:tcBorders>
            <w:shd w:val="clear" w:color="auto" w:fill="auto"/>
            <w:noWrap/>
            <w:vAlign w:val="center"/>
            <w:hideMark/>
          </w:tcPr>
          <w:p w14:paraId="1E6E0BE5" w14:textId="77777777" w:rsidR="00B80955" w:rsidRPr="00F830E6" w:rsidRDefault="00B80955">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4.74%</w:t>
            </w:r>
          </w:p>
        </w:tc>
        <w:tc>
          <w:tcPr>
            <w:tcW w:w="877" w:type="pct"/>
            <w:tcBorders>
              <w:top w:val="nil"/>
              <w:left w:val="nil"/>
              <w:bottom w:val="nil"/>
              <w:right w:val="nil"/>
            </w:tcBorders>
            <w:shd w:val="clear" w:color="auto" w:fill="auto"/>
            <w:noWrap/>
            <w:vAlign w:val="center"/>
            <w:hideMark/>
          </w:tcPr>
          <w:p w14:paraId="7ECB1E43" w14:textId="77777777" w:rsidR="00B80955" w:rsidRPr="00F830E6" w:rsidRDefault="00B80955">
            <w:pPr>
              <w:spacing w:after="0" w:line="240" w:lineRule="auto"/>
              <w:jc w:val="right"/>
              <w:rPr>
                <w:rFonts w:eastAsia="Times New Roman" w:cs="Arial"/>
                <w:color w:val="000000"/>
                <w:sz w:val="18"/>
                <w:szCs w:val="18"/>
                <w:lang w:eastAsia="en-AU"/>
              </w:rPr>
            </w:pPr>
            <w:r w:rsidRPr="00F830E6">
              <w:rPr>
                <w:rFonts w:eastAsia="Times New Roman" w:cs="Arial"/>
                <w:color w:val="000000"/>
                <w:sz w:val="18"/>
                <w:szCs w:val="18"/>
                <w:lang w:eastAsia="en-AU"/>
              </w:rPr>
              <w:t>4.82%</w:t>
            </w:r>
          </w:p>
        </w:tc>
      </w:tr>
      <w:tr w:rsidR="00711C14" w:rsidRPr="00711C14" w14:paraId="7E5C4E0A" w14:textId="77777777" w:rsidTr="00711C14">
        <w:trPr>
          <w:trHeight w:val="288"/>
        </w:trPr>
        <w:tc>
          <w:tcPr>
            <w:tcW w:w="537" w:type="pct"/>
            <w:tcBorders>
              <w:top w:val="single" w:sz="4" w:space="0" w:color="auto"/>
              <w:left w:val="nil"/>
              <w:bottom w:val="single" w:sz="4" w:space="0" w:color="auto"/>
              <w:right w:val="nil"/>
            </w:tcBorders>
            <w:shd w:val="clear" w:color="auto" w:fill="D4C5D7"/>
            <w:noWrap/>
            <w:vAlign w:val="center"/>
            <w:hideMark/>
          </w:tcPr>
          <w:p w14:paraId="44298465" w14:textId="77777777" w:rsidR="00B80955" w:rsidRPr="00F830E6" w:rsidRDefault="00B80955">
            <w:pPr>
              <w:spacing w:after="0" w:line="240" w:lineRule="auto"/>
              <w:rPr>
                <w:rFonts w:eastAsia="Times New Roman" w:cs="Arial"/>
                <w:b/>
                <w:bCs/>
                <w:color w:val="000000"/>
                <w:sz w:val="18"/>
                <w:szCs w:val="18"/>
                <w:lang w:eastAsia="en-AU"/>
              </w:rPr>
            </w:pPr>
            <w:r w:rsidRPr="00F830E6">
              <w:rPr>
                <w:rFonts w:eastAsia="Times New Roman" w:cs="Arial"/>
                <w:b/>
                <w:bCs/>
                <w:color w:val="000000"/>
                <w:sz w:val="18"/>
                <w:szCs w:val="18"/>
                <w:lang w:eastAsia="en-AU"/>
              </w:rPr>
              <w:t>Total</w:t>
            </w:r>
          </w:p>
        </w:tc>
        <w:tc>
          <w:tcPr>
            <w:tcW w:w="1633" w:type="pct"/>
            <w:tcBorders>
              <w:top w:val="single" w:sz="4" w:space="0" w:color="auto"/>
              <w:left w:val="nil"/>
              <w:bottom w:val="single" w:sz="4" w:space="0" w:color="auto"/>
              <w:right w:val="nil"/>
            </w:tcBorders>
            <w:shd w:val="clear" w:color="auto" w:fill="D4C5D7"/>
            <w:noWrap/>
            <w:vAlign w:val="center"/>
            <w:hideMark/>
          </w:tcPr>
          <w:p w14:paraId="07C8FDCC" w14:textId="77777777" w:rsidR="00B80955" w:rsidRPr="00F830E6" w:rsidRDefault="00B80955" w:rsidP="00F830E6">
            <w:pPr>
              <w:spacing w:after="0" w:line="240" w:lineRule="auto"/>
              <w:jc w:val="right"/>
              <w:rPr>
                <w:rFonts w:eastAsia="Times New Roman" w:cs="Arial"/>
                <w:b/>
                <w:bCs/>
                <w:color w:val="000000"/>
                <w:sz w:val="18"/>
                <w:szCs w:val="18"/>
                <w:lang w:eastAsia="en-AU"/>
              </w:rPr>
            </w:pPr>
            <w:r w:rsidRPr="00F830E6">
              <w:rPr>
                <w:rFonts w:eastAsia="Times New Roman" w:cs="Arial"/>
                <w:b/>
                <w:bCs/>
                <w:color w:val="000000"/>
                <w:sz w:val="18"/>
                <w:szCs w:val="18"/>
                <w:lang w:eastAsia="en-AU"/>
              </w:rPr>
              <w:t xml:space="preserve">         512,258 </w:t>
            </w:r>
          </w:p>
        </w:tc>
        <w:tc>
          <w:tcPr>
            <w:tcW w:w="578" w:type="pct"/>
            <w:tcBorders>
              <w:top w:val="single" w:sz="4" w:space="0" w:color="auto"/>
              <w:left w:val="nil"/>
              <w:bottom w:val="single" w:sz="4" w:space="0" w:color="auto"/>
              <w:right w:val="nil"/>
            </w:tcBorders>
            <w:shd w:val="clear" w:color="auto" w:fill="D4C5D7"/>
            <w:noWrap/>
            <w:vAlign w:val="center"/>
            <w:hideMark/>
          </w:tcPr>
          <w:p w14:paraId="44BD2C30" w14:textId="77777777" w:rsidR="00B80955" w:rsidRPr="00F830E6" w:rsidRDefault="00B80955">
            <w:pPr>
              <w:spacing w:after="0" w:line="240" w:lineRule="auto"/>
              <w:jc w:val="right"/>
              <w:rPr>
                <w:rFonts w:eastAsia="Times New Roman" w:cs="Arial"/>
                <w:b/>
                <w:bCs/>
                <w:color w:val="000000"/>
                <w:sz w:val="18"/>
                <w:szCs w:val="18"/>
                <w:lang w:eastAsia="en-AU"/>
              </w:rPr>
            </w:pPr>
            <w:r w:rsidRPr="00F830E6">
              <w:rPr>
                <w:rFonts w:eastAsia="Times New Roman" w:cs="Arial"/>
                <w:b/>
                <w:bCs/>
                <w:color w:val="000000"/>
                <w:sz w:val="18"/>
                <w:szCs w:val="18"/>
                <w:lang w:eastAsia="en-AU"/>
              </w:rPr>
              <w:t>0.95%</w:t>
            </w:r>
          </w:p>
        </w:tc>
        <w:tc>
          <w:tcPr>
            <w:tcW w:w="1374" w:type="pct"/>
            <w:tcBorders>
              <w:top w:val="single" w:sz="4" w:space="0" w:color="auto"/>
              <w:left w:val="nil"/>
              <w:bottom w:val="single" w:sz="4" w:space="0" w:color="auto"/>
              <w:right w:val="nil"/>
            </w:tcBorders>
            <w:shd w:val="clear" w:color="auto" w:fill="D4C5D7"/>
            <w:noWrap/>
            <w:vAlign w:val="center"/>
            <w:hideMark/>
          </w:tcPr>
          <w:p w14:paraId="2855064E" w14:textId="77777777" w:rsidR="00B80955" w:rsidRPr="00F830E6" w:rsidRDefault="00B80955">
            <w:pPr>
              <w:spacing w:after="0" w:line="240" w:lineRule="auto"/>
              <w:jc w:val="right"/>
              <w:rPr>
                <w:rFonts w:eastAsia="Times New Roman" w:cs="Arial"/>
                <w:b/>
                <w:bCs/>
                <w:color w:val="000000"/>
                <w:sz w:val="18"/>
                <w:szCs w:val="18"/>
                <w:lang w:eastAsia="en-AU"/>
              </w:rPr>
            </w:pPr>
            <w:r w:rsidRPr="00F830E6">
              <w:rPr>
                <w:rFonts w:eastAsia="Times New Roman" w:cs="Arial"/>
                <w:b/>
                <w:bCs/>
                <w:color w:val="000000"/>
                <w:sz w:val="18"/>
                <w:szCs w:val="18"/>
                <w:lang w:eastAsia="en-AU"/>
              </w:rPr>
              <w:t>0.93%</w:t>
            </w:r>
          </w:p>
        </w:tc>
        <w:tc>
          <w:tcPr>
            <w:tcW w:w="877" w:type="pct"/>
            <w:tcBorders>
              <w:top w:val="single" w:sz="4" w:space="0" w:color="auto"/>
              <w:left w:val="nil"/>
              <w:bottom w:val="single" w:sz="4" w:space="0" w:color="auto"/>
              <w:right w:val="nil"/>
            </w:tcBorders>
            <w:shd w:val="clear" w:color="auto" w:fill="D4C5D7"/>
            <w:noWrap/>
            <w:vAlign w:val="center"/>
            <w:hideMark/>
          </w:tcPr>
          <w:p w14:paraId="60DFA225" w14:textId="77777777" w:rsidR="00B80955" w:rsidRPr="00F830E6" w:rsidRDefault="00B80955">
            <w:pPr>
              <w:spacing w:after="0" w:line="240" w:lineRule="auto"/>
              <w:jc w:val="right"/>
              <w:rPr>
                <w:rFonts w:eastAsia="Times New Roman" w:cs="Arial"/>
                <w:b/>
                <w:bCs/>
                <w:color w:val="000000"/>
                <w:sz w:val="18"/>
                <w:szCs w:val="18"/>
                <w:lang w:eastAsia="en-AU"/>
              </w:rPr>
            </w:pPr>
            <w:r w:rsidRPr="00F830E6">
              <w:rPr>
                <w:rFonts w:eastAsia="Times New Roman" w:cs="Arial"/>
                <w:b/>
                <w:bCs/>
                <w:color w:val="000000"/>
                <w:sz w:val="18"/>
                <w:szCs w:val="18"/>
                <w:lang w:eastAsia="en-AU"/>
              </w:rPr>
              <w:t>0.93%</w:t>
            </w:r>
          </w:p>
        </w:tc>
      </w:tr>
    </w:tbl>
    <w:p w14:paraId="362AC55A" w14:textId="77777777" w:rsidR="00E35F10" w:rsidRDefault="0001693F" w:rsidP="00E35F10">
      <w:pPr>
        <w:pStyle w:val="FSRnormal"/>
      </w:pPr>
      <w:r w:rsidRPr="006F6A66">
        <w:t xml:space="preserve">Past and projected </w:t>
      </w:r>
      <w:r>
        <w:t>numbers of participants leaving the Scheme across all reasons including mortality</w:t>
      </w:r>
      <w:r w:rsidRPr="006F6A66">
        <w:t xml:space="preserve"> are shown in </w:t>
      </w:r>
      <w:r w:rsidRPr="00164A79">
        <w:t xml:space="preserve">Figure </w:t>
      </w:r>
      <w:r>
        <w:rPr>
          <w:noProof/>
        </w:rPr>
        <w:t>5</w:t>
      </w:r>
      <w:r>
        <w:t>.</w:t>
      </w:r>
      <w:r>
        <w:rPr>
          <w:noProof/>
        </w:rPr>
        <w:t>9</w:t>
      </w:r>
      <w:r>
        <w:t xml:space="preserve">. </w:t>
      </w:r>
      <w:r w:rsidR="00E35F10">
        <w:t xml:space="preserve">Compared with the previous review, there </w:t>
      </w:r>
      <w:r w:rsidR="00B51B9E">
        <w:t>is</w:t>
      </w:r>
      <w:r w:rsidR="00E35F10">
        <w:t xml:space="preserve"> a material decrease, from more than 20,000 to less than 18,000 in 2024-25, and almost 29,000 to less than 24,000 in 2031-32, driven by the reduction in long-term rates of participants leaving the Scheme. The exception is 2022-23, where th</w:t>
      </w:r>
      <w:r w:rsidR="00B51B9E">
        <w:t>ere</w:t>
      </w:r>
      <w:r w:rsidR="00E35F10">
        <w:t xml:space="preserve"> </w:t>
      </w:r>
      <w:r w:rsidR="00B51B9E">
        <w:t>is</w:t>
      </w:r>
      <w:r w:rsidR="00E35F10">
        <w:t xml:space="preserve"> a small increase in projected </w:t>
      </w:r>
      <w:r w:rsidR="00B51B9E">
        <w:t>participants leaving</w:t>
      </w:r>
      <w:r w:rsidR="00E35F10">
        <w:t xml:space="preserve">, reflecting the adoption </w:t>
      </w:r>
      <w:r w:rsidR="00B1512B">
        <w:t xml:space="preserve">of </w:t>
      </w:r>
      <w:r w:rsidR="00E35F10">
        <w:t>the long-term rates from the current review instead of the lower short-term rates from the last review.</w:t>
      </w:r>
    </w:p>
    <w:p w14:paraId="21E1E0F1" w14:textId="77777777" w:rsidR="005F37BC" w:rsidRDefault="005F37BC" w:rsidP="00E35F10">
      <w:pPr>
        <w:pStyle w:val="FSRnormal"/>
      </w:pPr>
      <w:r>
        <w:t xml:space="preserve">The total numbers of participants projected to leave the Scheme in 2022-23 is only marginally higher </w:t>
      </w:r>
      <w:r w:rsidR="00B30817">
        <w:t xml:space="preserve">than the </w:t>
      </w:r>
      <w:r w:rsidR="008523A0">
        <w:t xml:space="preserve">actual </w:t>
      </w:r>
      <w:r w:rsidR="00B30817">
        <w:t xml:space="preserve">2021-22 result, </w:t>
      </w:r>
      <w:r w:rsidR="001A687F">
        <w:t xml:space="preserve">despite the expected </w:t>
      </w:r>
      <w:r w:rsidR="001F79C7">
        <w:t xml:space="preserve">future </w:t>
      </w:r>
      <w:r w:rsidR="001A687F">
        <w:t>growth in participant numbers</w:t>
      </w:r>
      <w:r w:rsidR="001F79C7">
        <w:t xml:space="preserve">. This is </w:t>
      </w:r>
      <w:r w:rsidR="00B30817">
        <w:t xml:space="preserve">because </w:t>
      </w:r>
      <w:r w:rsidR="001F79C7">
        <w:t xml:space="preserve">of </w:t>
      </w:r>
      <w:r w:rsidR="00B779C3">
        <w:t xml:space="preserve">the clearing of </w:t>
      </w:r>
      <w:r w:rsidR="001F79C7">
        <w:t>eligibility reassessment</w:t>
      </w:r>
      <w:r w:rsidR="000F60E7">
        <w:t xml:space="preserve"> backlogs</w:t>
      </w:r>
      <w:r w:rsidR="00B779C3">
        <w:t xml:space="preserve"> during 2021-22</w:t>
      </w:r>
      <w:r w:rsidR="00C1039B">
        <w:t xml:space="preserve"> </w:t>
      </w:r>
      <w:r w:rsidR="000F60E7">
        <w:t xml:space="preserve">which </w:t>
      </w:r>
      <w:r w:rsidR="00C1039B">
        <w:t>led to a higher rate of participants leaving than is expected going forward</w:t>
      </w:r>
      <w:r w:rsidR="00B779C3">
        <w:t>.</w:t>
      </w:r>
    </w:p>
    <w:p w14:paraId="717F4FD2" w14:textId="77777777" w:rsidR="00446DD2" w:rsidRDefault="00BF7697" w:rsidP="00DA3F73">
      <w:pPr>
        <w:pStyle w:val="Figures"/>
        <w:spacing w:after="240"/>
        <w:rPr>
          <w:sz w:val="16"/>
        </w:rPr>
      </w:pPr>
      <w:bookmarkStart w:id="206" w:name="_Ref110522597"/>
      <w:bookmarkStart w:id="207" w:name="_Ref113278750"/>
      <w:bookmarkStart w:id="208" w:name="_Ref111898123"/>
      <w:r w:rsidRPr="00771F1F">
        <w:lastRenderedPageBreak/>
        <w:t xml:space="preserve">Figure </w:t>
      </w:r>
      <w:bookmarkEnd w:id="206"/>
      <w:r w:rsidR="00447AA1">
        <w:fldChar w:fldCharType="begin"/>
      </w:r>
      <w:r w:rsidR="00447AA1">
        <w:instrText xml:space="preserve"> STYLEREF 2 \s </w:instrText>
      </w:r>
      <w:r w:rsidR="00447AA1">
        <w:fldChar w:fldCharType="separate"/>
      </w:r>
      <w:r w:rsidR="00447AA1">
        <w:rPr>
          <w:noProof/>
        </w:rPr>
        <w:t>5</w:t>
      </w:r>
      <w:r w:rsidR="00447AA1">
        <w:fldChar w:fldCharType="end"/>
      </w:r>
      <w:r w:rsidR="00447AA1">
        <w:t>.</w:t>
      </w:r>
      <w:fldSimple w:instr=" SEQ Figure \* ARABIC \s 2 ">
        <w:r w:rsidR="00447AA1">
          <w:rPr>
            <w:noProof/>
          </w:rPr>
          <w:t>9</w:t>
        </w:r>
      </w:fldSimple>
      <w:bookmarkEnd w:id="207"/>
      <w:bookmarkEnd w:id="208"/>
      <w:r w:rsidRPr="00771F1F">
        <w:t xml:space="preserve">: </w:t>
      </w:r>
      <w:r w:rsidR="00530E46" w:rsidRPr="00771F1F">
        <w:t>Past and projected number</w:t>
      </w:r>
      <w:r w:rsidR="00E877F2">
        <w:t>s</w:t>
      </w:r>
      <w:r w:rsidR="00530E46" w:rsidRPr="00771F1F">
        <w:t xml:space="preserve"> of deaths in the Scheme and participants leaving the Scheme</w:t>
      </w:r>
    </w:p>
    <w:p w14:paraId="3C261610" w14:textId="77777777" w:rsidR="00BF7697" w:rsidRDefault="00111C08" w:rsidP="00DA3F73">
      <w:pPr>
        <w:pStyle w:val="Figures"/>
        <w:spacing w:after="240"/>
        <w:rPr>
          <w:rFonts w:eastAsia="Calibri" w:cs="Cordia New"/>
          <w:b w:val="0"/>
          <w:bCs w:val="0"/>
        </w:rPr>
      </w:pPr>
      <w:r>
        <w:rPr>
          <w:noProof/>
          <w:lang w:eastAsia="en-AU"/>
        </w:rPr>
        <w:drawing>
          <wp:inline distT="0" distB="0" distL="0" distR="0" wp14:anchorId="0A8CCA41" wp14:editId="5637CDFE">
            <wp:extent cx="5724000" cy="2583571"/>
            <wp:effectExtent l="0" t="0" r="0" b="7620"/>
            <wp:docPr id="254" name="Picture 254" descr="Figure shows past and projected number of deaths in the Scheme and participants leaving the Scheme. &#10;The actual numbers for the years ended 30 June are 2,878 in 2018, 3,783 in 2019, 5,396 in 2020, 6,596 in 2021, and 11,961 in 2022, &#10;The projected numbers for years ended 30 June based on 2021-22 AFSR are 13,108 in 2023, 15,287 in 2024, 16,910 in 2025, 18,229 in 2026, 19,304 in 2027, 20,265 in 2028, 21,176 in 2029, 22,076 in 2030, 22,975 in 2031, and 23,894 in 2032. &#10;The projected numbers for years ended 30 June based on 2020-21 AFSR are 12,672 in 2023, 16,440 in 2024, 20,487 in 2025, 21,910 in 2026, 23,372 in 2027, 24,702 in 2028, 25,874 in 2029, 26,929 in 2030, 27,917 in 2031, and 28,873 in 2032.&#10;" title="Figure 5.9: Past and projected numbers of deaths in the Scheme and participants leaving the Sche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24000" cy="2583571"/>
                    </a:xfrm>
                    <a:prstGeom prst="rect">
                      <a:avLst/>
                    </a:prstGeom>
                    <a:noFill/>
                  </pic:spPr>
                </pic:pic>
              </a:graphicData>
            </a:graphic>
          </wp:inline>
        </w:drawing>
      </w:r>
    </w:p>
    <w:p w14:paraId="1C293783" w14:textId="77777777" w:rsidR="00BF7697" w:rsidRPr="00C652E6" w:rsidRDefault="00BF7697" w:rsidP="00B047D4">
      <w:pPr>
        <w:pStyle w:val="FSRHeading4"/>
      </w:pPr>
      <w:r w:rsidRPr="00C652E6">
        <w:t>Scheme population projection</w:t>
      </w:r>
    </w:p>
    <w:p w14:paraId="74434BF1" w14:textId="77777777" w:rsidR="00681063" w:rsidRDefault="00E35F10" w:rsidP="00F830E6">
      <w:pPr>
        <w:pStyle w:val="FSRnormal"/>
        <w:rPr>
          <w:rFonts w:eastAsiaTheme="minorHAnsi"/>
          <w:b/>
          <w:bCs/>
          <w:szCs w:val="18"/>
          <w:lang w:eastAsia="en-US"/>
        </w:rPr>
      </w:pPr>
      <w:r w:rsidRPr="00C652E6">
        <w:t>The expected number of participants at the end of each year is calculated as the starting participant population</w:t>
      </w:r>
      <w:r w:rsidR="00BB7FC3">
        <w:t>,</w:t>
      </w:r>
      <w:r w:rsidRPr="00C652E6">
        <w:t xml:space="preserve"> adding </w:t>
      </w:r>
      <w:r w:rsidR="00BB7FC3">
        <w:t xml:space="preserve">expected </w:t>
      </w:r>
      <w:r w:rsidRPr="00C652E6">
        <w:t>participant intake and subtracting participant</w:t>
      </w:r>
      <w:r w:rsidR="00BB7FC3">
        <w:t>s</w:t>
      </w:r>
      <w:r w:rsidRPr="00C652E6">
        <w:t xml:space="preserve"> </w:t>
      </w:r>
      <w:r>
        <w:t>leaving the Scheme or passing away</w:t>
      </w:r>
      <w:r w:rsidRPr="00C652E6">
        <w:t xml:space="preserve"> over the year. The resulting participant projection by age group is shown in </w:t>
      </w:r>
      <w:r w:rsidR="00684E93" w:rsidRPr="00C652E6">
        <w:t xml:space="preserve">Table </w:t>
      </w:r>
      <w:r w:rsidR="00684E93">
        <w:rPr>
          <w:noProof/>
        </w:rPr>
        <w:t>5</w:t>
      </w:r>
      <w:r w:rsidR="00684E93">
        <w:t>.</w:t>
      </w:r>
      <w:r w:rsidR="00684E93">
        <w:rPr>
          <w:noProof/>
        </w:rPr>
        <w:t>14</w:t>
      </w:r>
      <w:r w:rsidRPr="00C652E6">
        <w:t xml:space="preserve">. </w:t>
      </w:r>
      <w:bookmarkStart w:id="209" w:name="_Ref74848839"/>
      <w:bookmarkStart w:id="210" w:name="_Ref111899088"/>
    </w:p>
    <w:p w14:paraId="54C554F6" w14:textId="77777777" w:rsidR="00BF7697" w:rsidRPr="00E979FA" w:rsidRDefault="00BF7697" w:rsidP="00BF7697">
      <w:pPr>
        <w:pStyle w:val="Tables"/>
        <w:keepLines/>
      </w:pPr>
      <w:r w:rsidRPr="00C652E6">
        <w:t xml:space="preserve">Table </w:t>
      </w:r>
      <w:bookmarkEnd w:id="209"/>
      <w:r w:rsidR="00A87896">
        <w:fldChar w:fldCharType="begin"/>
      </w:r>
      <w:r w:rsidR="00A87896">
        <w:instrText xml:space="preserve"> STYLEREF 2 \s </w:instrText>
      </w:r>
      <w:r w:rsidR="00A87896">
        <w:fldChar w:fldCharType="separate"/>
      </w:r>
      <w:r w:rsidR="00A87896">
        <w:rPr>
          <w:noProof/>
        </w:rPr>
        <w:t>5</w:t>
      </w:r>
      <w:r w:rsidR="00A87896">
        <w:fldChar w:fldCharType="end"/>
      </w:r>
      <w:r w:rsidR="00A87896">
        <w:t>.</w:t>
      </w:r>
      <w:fldSimple w:instr=" SEQ Table \* ARABIC \s 2 ">
        <w:r w:rsidR="00A87896">
          <w:rPr>
            <w:noProof/>
          </w:rPr>
          <w:t>14</w:t>
        </w:r>
      </w:fldSimple>
      <w:bookmarkEnd w:id="210"/>
      <w:r>
        <w:t>:</w:t>
      </w:r>
      <w:r w:rsidRPr="00C652E6">
        <w:t xml:space="preserve"> Projected participant numbers by age </w:t>
      </w:r>
      <w:r>
        <w:t>group</w:t>
      </w:r>
    </w:p>
    <w:tbl>
      <w:tblPr>
        <w:tblStyle w:val="FSRtable"/>
        <w:tblW w:w="5000" w:type="pct"/>
        <w:tblInd w:w="0" w:type="dxa"/>
        <w:tblLook w:val="04A0" w:firstRow="1" w:lastRow="0" w:firstColumn="1" w:lastColumn="0" w:noHBand="0" w:noVBand="1"/>
      </w:tblPr>
      <w:tblGrid>
        <w:gridCol w:w="2644"/>
        <w:gridCol w:w="1032"/>
        <w:gridCol w:w="1032"/>
        <w:gridCol w:w="1033"/>
        <w:gridCol w:w="1033"/>
        <w:gridCol w:w="1033"/>
        <w:gridCol w:w="1219"/>
      </w:tblGrid>
      <w:tr w:rsidR="00BF7697" w:rsidRPr="00771F1F" w14:paraId="44D7A82C" w14:textId="77777777" w:rsidTr="00681063">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465" w:type="pct"/>
            <w:noWrap/>
            <w:hideMark/>
          </w:tcPr>
          <w:p w14:paraId="31593750" w14:textId="77777777" w:rsidR="00BF7697" w:rsidRPr="00DA3F73" w:rsidRDefault="00BF7697" w:rsidP="00771F1F">
            <w:pPr>
              <w:keepNext/>
              <w:spacing w:after="0" w:line="240" w:lineRule="auto"/>
              <w:rPr>
                <w:rFonts w:eastAsia="Times New Roman"/>
                <w:bCs/>
                <w:color w:val="FFFFFF"/>
                <w:sz w:val="20"/>
                <w:szCs w:val="20"/>
              </w:rPr>
            </w:pPr>
          </w:p>
        </w:tc>
        <w:tc>
          <w:tcPr>
            <w:tcW w:w="3535" w:type="pct"/>
            <w:gridSpan w:val="6"/>
            <w:tcBorders>
              <w:top w:val="single" w:sz="4" w:space="0" w:color="auto"/>
              <w:bottom w:val="single" w:sz="4" w:space="0" w:color="FFFFFF" w:themeColor="background1"/>
            </w:tcBorders>
            <w:noWrap/>
            <w:hideMark/>
          </w:tcPr>
          <w:p w14:paraId="46ABB8A7" w14:textId="77777777" w:rsidR="00BF7697" w:rsidRPr="00DA3F73" w:rsidRDefault="007F2B28" w:rsidP="00BF7697">
            <w:pPr>
              <w:keepNext/>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446DD2">
              <w:rPr>
                <w:rFonts w:eastAsia="Times New Roman"/>
                <w:bCs/>
                <w:color w:val="FFFFFF"/>
                <w:sz w:val="20"/>
                <w:szCs w:val="20"/>
              </w:rPr>
              <w:t>At</w:t>
            </w:r>
            <w:r w:rsidR="00BF7697" w:rsidRPr="00446DD2">
              <w:rPr>
                <w:rFonts w:eastAsia="Times New Roman"/>
                <w:bCs/>
                <w:color w:val="FFFFFF"/>
                <w:sz w:val="20"/>
                <w:szCs w:val="20"/>
              </w:rPr>
              <w:t xml:space="preserve"> 30 June</w:t>
            </w:r>
          </w:p>
        </w:tc>
      </w:tr>
      <w:tr w:rsidR="00BF7697" w:rsidRPr="00191697" w14:paraId="4B4850C6" w14:textId="77777777" w:rsidTr="00681063">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465" w:type="pct"/>
            <w:hideMark/>
          </w:tcPr>
          <w:p w14:paraId="205B8118" w14:textId="77777777" w:rsidR="00BF7697" w:rsidRPr="00191697" w:rsidRDefault="007D70F6" w:rsidP="00771F1F">
            <w:pPr>
              <w:keepNext/>
              <w:spacing w:after="0" w:line="240" w:lineRule="auto"/>
              <w:rPr>
                <w:rFonts w:eastAsia="Times New Roman"/>
                <w:bCs/>
                <w:color w:val="FFFFFF"/>
                <w:sz w:val="20"/>
                <w:szCs w:val="20"/>
              </w:rPr>
            </w:pPr>
            <w:r w:rsidRPr="00191697">
              <w:rPr>
                <w:rFonts w:eastAsia="Times New Roman"/>
                <w:bCs/>
                <w:color w:val="FFFFFF"/>
                <w:sz w:val="20"/>
                <w:szCs w:val="20"/>
              </w:rPr>
              <w:t>Number of participants</w:t>
            </w:r>
          </w:p>
        </w:tc>
        <w:tc>
          <w:tcPr>
            <w:tcW w:w="572" w:type="pct"/>
            <w:tcBorders>
              <w:top w:val="single" w:sz="4" w:space="0" w:color="FFFFFF" w:themeColor="background1"/>
            </w:tcBorders>
            <w:noWrap/>
            <w:hideMark/>
          </w:tcPr>
          <w:p w14:paraId="717438C7" w14:textId="77777777" w:rsidR="00BF7697" w:rsidRPr="00191697" w:rsidRDefault="00BF7697" w:rsidP="00771F1F">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2022</w:t>
            </w:r>
          </w:p>
        </w:tc>
        <w:tc>
          <w:tcPr>
            <w:tcW w:w="572" w:type="pct"/>
            <w:tcBorders>
              <w:top w:val="single" w:sz="4" w:space="0" w:color="FFFFFF" w:themeColor="background1"/>
            </w:tcBorders>
            <w:noWrap/>
            <w:hideMark/>
          </w:tcPr>
          <w:p w14:paraId="12B319F0" w14:textId="77777777" w:rsidR="00BF7697" w:rsidRPr="00191697" w:rsidRDefault="00BF7697" w:rsidP="00771F1F">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2023</w:t>
            </w:r>
          </w:p>
        </w:tc>
        <w:tc>
          <w:tcPr>
            <w:tcW w:w="572" w:type="pct"/>
            <w:tcBorders>
              <w:top w:val="single" w:sz="4" w:space="0" w:color="FFFFFF" w:themeColor="background1"/>
            </w:tcBorders>
            <w:noWrap/>
            <w:hideMark/>
          </w:tcPr>
          <w:p w14:paraId="7BF6D889" w14:textId="77777777" w:rsidR="00BF7697" w:rsidRPr="00191697" w:rsidRDefault="00BF7697" w:rsidP="00771F1F">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2024</w:t>
            </w:r>
          </w:p>
        </w:tc>
        <w:tc>
          <w:tcPr>
            <w:tcW w:w="572" w:type="pct"/>
            <w:tcBorders>
              <w:top w:val="single" w:sz="4" w:space="0" w:color="FFFFFF" w:themeColor="background1"/>
            </w:tcBorders>
            <w:noWrap/>
            <w:hideMark/>
          </w:tcPr>
          <w:p w14:paraId="47DE037E" w14:textId="77777777" w:rsidR="00BF7697" w:rsidRPr="00191697" w:rsidRDefault="00BF7697" w:rsidP="00771F1F">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2025</w:t>
            </w:r>
          </w:p>
        </w:tc>
        <w:tc>
          <w:tcPr>
            <w:tcW w:w="572" w:type="pct"/>
            <w:tcBorders>
              <w:top w:val="single" w:sz="4" w:space="0" w:color="FFFFFF" w:themeColor="background1"/>
              <w:right w:val="dotted" w:sz="4" w:space="0" w:color="auto"/>
            </w:tcBorders>
            <w:noWrap/>
            <w:hideMark/>
          </w:tcPr>
          <w:p w14:paraId="2B38DF34" w14:textId="77777777" w:rsidR="00BF7697" w:rsidRPr="00191697" w:rsidRDefault="00BF7697" w:rsidP="00771F1F">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2026</w:t>
            </w:r>
          </w:p>
        </w:tc>
        <w:tc>
          <w:tcPr>
            <w:tcW w:w="675" w:type="pct"/>
            <w:tcBorders>
              <w:top w:val="single" w:sz="4" w:space="0" w:color="FFFFFF" w:themeColor="background1"/>
              <w:left w:val="dotted" w:sz="4" w:space="0" w:color="auto"/>
            </w:tcBorders>
            <w:noWrap/>
            <w:hideMark/>
          </w:tcPr>
          <w:p w14:paraId="3FD78CFB" w14:textId="77777777" w:rsidR="00BF7697" w:rsidRPr="00191697" w:rsidRDefault="00BF7697" w:rsidP="00771F1F">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2032</w:t>
            </w:r>
          </w:p>
        </w:tc>
      </w:tr>
      <w:tr w:rsidR="00BF7697" w:rsidRPr="00771F1F" w14:paraId="1608CC01" w14:textId="77777777" w:rsidTr="00681063">
        <w:trPr>
          <w:trHeight w:val="300"/>
        </w:trPr>
        <w:tc>
          <w:tcPr>
            <w:cnfStyle w:val="001000000000" w:firstRow="0" w:lastRow="0" w:firstColumn="1" w:lastColumn="0" w:oddVBand="0" w:evenVBand="0" w:oddHBand="0" w:evenHBand="0" w:firstRowFirstColumn="0" w:firstRowLastColumn="0" w:lastRowFirstColumn="0" w:lastRowLastColumn="0"/>
            <w:tcW w:w="1465" w:type="pct"/>
            <w:shd w:val="clear" w:color="auto" w:fill="auto"/>
            <w:noWrap/>
            <w:hideMark/>
          </w:tcPr>
          <w:p w14:paraId="304FA2BC" w14:textId="77777777" w:rsidR="00BF7697" w:rsidRPr="00771F1F" w:rsidRDefault="00BF7697" w:rsidP="00771F1F">
            <w:pPr>
              <w:keepNext/>
              <w:spacing w:after="0" w:line="240" w:lineRule="auto"/>
              <w:rPr>
                <w:rFonts w:eastAsia="Times New Roman" w:cs="Arial"/>
                <w:color w:val="000000"/>
                <w:sz w:val="20"/>
                <w:szCs w:val="20"/>
              </w:rPr>
            </w:pPr>
            <w:r w:rsidRPr="00771F1F">
              <w:rPr>
                <w:rFonts w:eastAsia="Times New Roman" w:cs="Arial"/>
                <w:color w:val="000000"/>
                <w:sz w:val="20"/>
                <w:szCs w:val="20"/>
              </w:rPr>
              <w:t>Children (0 to 14)</w:t>
            </w:r>
          </w:p>
        </w:tc>
        <w:tc>
          <w:tcPr>
            <w:tcW w:w="572" w:type="pct"/>
            <w:shd w:val="clear" w:color="auto" w:fill="auto"/>
            <w:noWrap/>
            <w:hideMark/>
          </w:tcPr>
          <w:p w14:paraId="7A22C1DD" w14:textId="77777777" w:rsidR="00BF7697" w:rsidRPr="00771F1F" w:rsidRDefault="00BF7697" w:rsidP="00771F1F">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221,950</w:t>
            </w:r>
          </w:p>
        </w:tc>
        <w:tc>
          <w:tcPr>
            <w:tcW w:w="572" w:type="pct"/>
            <w:shd w:val="clear" w:color="auto" w:fill="auto"/>
            <w:noWrap/>
            <w:hideMark/>
          </w:tcPr>
          <w:p w14:paraId="227424A3" w14:textId="77777777" w:rsidR="00BF7697" w:rsidRPr="00771F1F" w:rsidRDefault="00BF7697" w:rsidP="00771F1F">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242,436</w:t>
            </w:r>
          </w:p>
        </w:tc>
        <w:tc>
          <w:tcPr>
            <w:tcW w:w="572" w:type="pct"/>
            <w:shd w:val="clear" w:color="auto" w:fill="auto"/>
            <w:noWrap/>
            <w:hideMark/>
          </w:tcPr>
          <w:p w14:paraId="5CAE43AD" w14:textId="77777777" w:rsidR="00BF7697" w:rsidRPr="00771F1F" w:rsidRDefault="00BF7697" w:rsidP="00771F1F">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258,986</w:t>
            </w:r>
          </w:p>
        </w:tc>
        <w:tc>
          <w:tcPr>
            <w:tcW w:w="572" w:type="pct"/>
            <w:shd w:val="clear" w:color="auto" w:fill="auto"/>
            <w:noWrap/>
            <w:hideMark/>
          </w:tcPr>
          <w:p w14:paraId="2467221C" w14:textId="77777777" w:rsidR="00BF7697" w:rsidRPr="00771F1F" w:rsidRDefault="00BF7697" w:rsidP="00771F1F">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272,507</w:t>
            </w:r>
          </w:p>
        </w:tc>
        <w:tc>
          <w:tcPr>
            <w:tcW w:w="572" w:type="pct"/>
            <w:tcBorders>
              <w:right w:val="dotted" w:sz="4" w:space="0" w:color="auto"/>
            </w:tcBorders>
            <w:shd w:val="clear" w:color="auto" w:fill="auto"/>
            <w:noWrap/>
            <w:hideMark/>
          </w:tcPr>
          <w:p w14:paraId="239452FB" w14:textId="77777777" w:rsidR="00BF7697" w:rsidRPr="00771F1F" w:rsidRDefault="00BF7697" w:rsidP="00771F1F">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283,595</w:t>
            </w:r>
          </w:p>
        </w:tc>
        <w:tc>
          <w:tcPr>
            <w:tcW w:w="675" w:type="pct"/>
            <w:tcBorders>
              <w:left w:val="dotted" w:sz="4" w:space="0" w:color="auto"/>
            </w:tcBorders>
            <w:shd w:val="clear" w:color="auto" w:fill="auto"/>
            <w:noWrap/>
            <w:hideMark/>
          </w:tcPr>
          <w:p w14:paraId="0C40339D" w14:textId="77777777" w:rsidR="00BF7697" w:rsidRPr="00771F1F" w:rsidRDefault="00BF7697" w:rsidP="00771F1F">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316,728</w:t>
            </w:r>
          </w:p>
        </w:tc>
      </w:tr>
      <w:tr w:rsidR="00BF7697" w:rsidRPr="00771F1F" w14:paraId="7FB87F49" w14:textId="77777777" w:rsidTr="006810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noWrap/>
            <w:hideMark/>
          </w:tcPr>
          <w:p w14:paraId="6A86FE27" w14:textId="77777777" w:rsidR="00BF7697" w:rsidRPr="00771F1F" w:rsidRDefault="00BF7697" w:rsidP="00771F1F">
            <w:pPr>
              <w:keepNext/>
              <w:spacing w:after="0" w:line="240" w:lineRule="auto"/>
              <w:rPr>
                <w:rFonts w:eastAsia="Times New Roman" w:cs="Arial"/>
                <w:color w:val="000000"/>
                <w:sz w:val="20"/>
                <w:szCs w:val="20"/>
              </w:rPr>
            </w:pPr>
            <w:r w:rsidRPr="00771F1F">
              <w:rPr>
                <w:rFonts w:eastAsia="Times New Roman" w:cs="Arial"/>
                <w:color w:val="000000"/>
                <w:sz w:val="20"/>
                <w:szCs w:val="20"/>
              </w:rPr>
              <w:t>Young adults (15 to 24)</w:t>
            </w:r>
          </w:p>
        </w:tc>
        <w:tc>
          <w:tcPr>
            <w:tcW w:w="572" w:type="pct"/>
            <w:noWrap/>
            <w:hideMark/>
          </w:tcPr>
          <w:p w14:paraId="57D11C6C" w14:textId="77777777" w:rsidR="00BF7697" w:rsidRPr="00771F1F" w:rsidRDefault="00BF7697" w:rsidP="00771F1F">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87,949</w:t>
            </w:r>
          </w:p>
        </w:tc>
        <w:tc>
          <w:tcPr>
            <w:tcW w:w="572" w:type="pct"/>
            <w:noWrap/>
            <w:hideMark/>
          </w:tcPr>
          <w:p w14:paraId="0C3C378D" w14:textId="77777777" w:rsidR="00BF7697" w:rsidRPr="00771F1F" w:rsidRDefault="00BF7697" w:rsidP="00771F1F">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102,029</w:t>
            </w:r>
          </w:p>
        </w:tc>
        <w:tc>
          <w:tcPr>
            <w:tcW w:w="572" w:type="pct"/>
            <w:noWrap/>
            <w:hideMark/>
          </w:tcPr>
          <w:p w14:paraId="7D2BC74E" w14:textId="77777777" w:rsidR="00BF7697" w:rsidRPr="00771F1F" w:rsidRDefault="00BF7697" w:rsidP="00771F1F">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117,670</w:t>
            </w:r>
          </w:p>
        </w:tc>
        <w:tc>
          <w:tcPr>
            <w:tcW w:w="572" w:type="pct"/>
            <w:noWrap/>
            <w:hideMark/>
          </w:tcPr>
          <w:p w14:paraId="1389E630" w14:textId="77777777" w:rsidR="00BF7697" w:rsidRPr="00771F1F" w:rsidRDefault="00BF7697" w:rsidP="00771F1F">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133,935</w:t>
            </w:r>
          </w:p>
        </w:tc>
        <w:tc>
          <w:tcPr>
            <w:tcW w:w="572" w:type="pct"/>
            <w:tcBorders>
              <w:right w:val="dotted" w:sz="4" w:space="0" w:color="auto"/>
            </w:tcBorders>
            <w:noWrap/>
            <w:hideMark/>
          </w:tcPr>
          <w:p w14:paraId="2C5073D0" w14:textId="77777777" w:rsidR="00BF7697" w:rsidRPr="00771F1F" w:rsidRDefault="00BF7697" w:rsidP="00771F1F">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152,005</w:t>
            </w:r>
          </w:p>
        </w:tc>
        <w:tc>
          <w:tcPr>
            <w:tcW w:w="675" w:type="pct"/>
            <w:tcBorders>
              <w:left w:val="dotted" w:sz="4" w:space="0" w:color="auto"/>
            </w:tcBorders>
            <w:noWrap/>
            <w:hideMark/>
          </w:tcPr>
          <w:p w14:paraId="2577CB21" w14:textId="77777777" w:rsidR="00BF7697" w:rsidRPr="00771F1F" w:rsidRDefault="00BF7697" w:rsidP="00771F1F">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268,255</w:t>
            </w:r>
          </w:p>
        </w:tc>
      </w:tr>
      <w:tr w:rsidR="00BF7697" w:rsidRPr="00771F1F" w14:paraId="3E0EB6E3" w14:textId="77777777" w:rsidTr="00681063">
        <w:trPr>
          <w:trHeight w:val="300"/>
        </w:trPr>
        <w:tc>
          <w:tcPr>
            <w:cnfStyle w:val="001000000000" w:firstRow="0" w:lastRow="0" w:firstColumn="1" w:lastColumn="0" w:oddVBand="0" w:evenVBand="0" w:oddHBand="0" w:evenHBand="0" w:firstRowFirstColumn="0" w:firstRowLastColumn="0" w:lastRowFirstColumn="0" w:lastRowLastColumn="0"/>
            <w:tcW w:w="1465" w:type="pct"/>
            <w:shd w:val="clear" w:color="auto" w:fill="auto"/>
            <w:noWrap/>
            <w:hideMark/>
          </w:tcPr>
          <w:p w14:paraId="63F80C9A" w14:textId="77777777" w:rsidR="00BF7697" w:rsidRPr="00771F1F" w:rsidRDefault="00BF7697" w:rsidP="00771F1F">
            <w:pPr>
              <w:keepNext/>
              <w:spacing w:after="0" w:line="240" w:lineRule="auto"/>
              <w:rPr>
                <w:rFonts w:eastAsia="Times New Roman" w:cs="Arial"/>
                <w:color w:val="000000"/>
                <w:sz w:val="20"/>
                <w:szCs w:val="20"/>
              </w:rPr>
            </w:pPr>
            <w:r w:rsidRPr="00771F1F">
              <w:rPr>
                <w:rFonts w:eastAsia="Times New Roman" w:cs="Arial"/>
                <w:color w:val="000000"/>
                <w:sz w:val="20"/>
                <w:szCs w:val="20"/>
              </w:rPr>
              <w:t>Adults (25 to 64)</w:t>
            </w:r>
          </w:p>
        </w:tc>
        <w:tc>
          <w:tcPr>
            <w:tcW w:w="572" w:type="pct"/>
            <w:shd w:val="clear" w:color="auto" w:fill="auto"/>
            <w:noWrap/>
            <w:hideMark/>
          </w:tcPr>
          <w:p w14:paraId="3E085E2A" w14:textId="77777777" w:rsidR="00BF7697" w:rsidRPr="00771F1F" w:rsidRDefault="00BF7697" w:rsidP="00771F1F">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202,760</w:t>
            </w:r>
          </w:p>
        </w:tc>
        <w:tc>
          <w:tcPr>
            <w:tcW w:w="572" w:type="pct"/>
            <w:shd w:val="clear" w:color="auto" w:fill="auto"/>
            <w:noWrap/>
            <w:hideMark/>
          </w:tcPr>
          <w:p w14:paraId="62115283" w14:textId="77777777" w:rsidR="00BF7697" w:rsidRPr="00771F1F" w:rsidRDefault="00BF7697" w:rsidP="00771F1F">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220,739</w:t>
            </w:r>
          </w:p>
        </w:tc>
        <w:tc>
          <w:tcPr>
            <w:tcW w:w="572" w:type="pct"/>
            <w:shd w:val="clear" w:color="auto" w:fill="auto"/>
            <w:noWrap/>
            <w:hideMark/>
          </w:tcPr>
          <w:p w14:paraId="4D9762F3" w14:textId="77777777" w:rsidR="00BF7697" w:rsidRPr="00771F1F" w:rsidRDefault="00BF7697" w:rsidP="00771F1F">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236,805</w:t>
            </w:r>
          </w:p>
        </w:tc>
        <w:tc>
          <w:tcPr>
            <w:tcW w:w="572" w:type="pct"/>
            <w:shd w:val="clear" w:color="auto" w:fill="auto"/>
            <w:noWrap/>
            <w:hideMark/>
          </w:tcPr>
          <w:p w14:paraId="43BBEBAE" w14:textId="77777777" w:rsidR="00BF7697" w:rsidRPr="00771F1F" w:rsidRDefault="00BF7697" w:rsidP="00771F1F">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249,459</w:t>
            </w:r>
          </w:p>
        </w:tc>
        <w:tc>
          <w:tcPr>
            <w:tcW w:w="572" w:type="pct"/>
            <w:tcBorders>
              <w:right w:val="dotted" w:sz="4" w:space="0" w:color="auto"/>
            </w:tcBorders>
            <w:shd w:val="clear" w:color="auto" w:fill="auto"/>
            <w:noWrap/>
            <w:hideMark/>
          </w:tcPr>
          <w:p w14:paraId="1B4D3F2A" w14:textId="77777777" w:rsidR="00BF7697" w:rsidRPr="00771F1F" w:rsidRDefault="00BF7697" w:rsidP="00771F1F">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261,869</w:t>
            </w:r>
          </w:p>
        </w:tc>
        <w:tc>
          <w:tcPr>
            <w:tcW w:w="675" w:type="pct"/>
            <w:tcBorders>
              <w:left w:val="dotted" w:sz="4" w:space="0" w:color="auto"/>
            </w:tcBorders>
            <w:shd w:val="clear" w:color="auto" w:fill="auto"/>
            <w:noWrap/>
            <w:hideMark/>
          </w:tcPr>
          <w:p w14:paraId="7D7CF6A3" w14:textId="77777777" w:rsidR="00BF7697" w:rsidRPr="00771F1F" w:rsidRDefault="00BF7697" w:rsidP="00771F1F">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357,243</w:t>
            </w:r>
          </w:p>
        </w:tc>
      </w:tr>
      <w:tr w:rsidR="00BF7697" w:rsidRPr="00771F1F" w14:paraId="55CFB309" w14:textId="77777777" w:rsidTr="006810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tcBorders>
              <w:bottom w:val="single" w:sz="4" w:space="0" w:color="auto"/>
            </w:tcBorders>
            <w:noWrap/>
            <w:hideMark/>
          </w:tcPr>
          <w:p w14:paraId="558AFD0D" w14:textId="77777777" w:rsidR="00BF7697" w:rsidRPr="00771F1F" w:rsidRDefault="00BF7697" w:rsidP="00771F1F">
            <w:pPr>
              <w:keepNext/>
              <w:spacing w:after="0" w:line="240" w:lineRule="auto"/>
              <w:rPr>
                <w:rFonts w:eastAsia="Times New Roman" w:cs="Arial"/>
                <w:color w:val="000000"/>
                <w:sz w:val="20"/>
                <w:szCs w:val="20"/>
              </w:rPr>
            </w:pPr>
            <w:r w:rsidRPr="00771F1F">
              <w:rPr>
                <w:rFonts w:eastAsia="Times New Roman" w:cs="Arial"/>
                <w:color w:val="000000"/>
                <w:sz w:val="20"/>
                <w:szCs w:val="20"/>
              </w:rPr>
              <w:t>Older adults (65+)</w:t>
            </w:r>
          </w:p>
        </w:tc>
        <w:tc>
          <w:tcPr>
            <w:tcW w:w="572" w:type="pct"/>
            <w:tcBorders>
              <w:bottom w:val="single" w:sz="4" w:space="0" w:color="auto"/>
            </w:tcBorders>
            <w:noWrap/>
            <w:hideMark/>
          </w:tcPr>
          <w:p w14:paraId="501ACCB7" w14:textId="77777777" w:rsidR="00BF7697" w:rsidRPr="00771F1F" w:rsidRDefault="00BF7697" w:rsidP="00771F1F">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21,996</w:t>
            </w:r>
          </w:p>
        </w:tc>
        <w:tc>
          <w:tcPr>
            <w:tcW w:w="572" w:type="pct"/>
            <w:tcBorders>
              <w:bottom w:val="single" w:sz="4" w:space="0" w:color="auto"/>
            </w:tcBorders>
            <w:noWrap/>
            <w:hideMark/>
          </w:tcPr>
          <w:p w14:paraId="2F2C5F06" w14:textId="77777777" w:rsidR="00BF7697" w:rsidRPr="00771F1F" w:rsidRDefault="00BF7697" w:rsidP="00771F1F">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27,090</w:t>
            </w:r>
          </w:p>
        </w:tc>
        <w:tc>
          <w:tcPr>
            <w:tcW w:w="572" w:type="pct"/>
            <w:tcBorders>
              <w:bottom w:val="single" w:sz="4" w:space="0" w:color="auto"/>
            </w:tcBorders>
            <w:noWrap/>
            <w:hideMark/>
          </w:tcPr>
          <w:p w14:paraId="54463B26" w14:textId="77777777" w:rsidR="00BF7697" w:rsidRPr="00771F1F" w:rsidRDefault="00BF7697" w:rsidP="00771F1F">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32,551</w:t>
            </w:r>
          </w:p>
        </w:tc>
        <w:tc>
          <w:tcPr>
            <w:tcW w:w="572" w:type="pct"/>
            <w:tcBorders>
              <w:bottom w:val="single" w:sz="4" w:space="0" w:color="auto"/>
            </w:tcBorders>
            <w:noWrap/>
            <w:hideMark/>
          </w:tcPr>
          <w:p w14:paraId="25581612" w14:textId="77777777" w:rsidR="00BF7697" w:rsidRPr="00771F1F" w:rsidRDefault="00BF7697" w:rsidP="00771F1F">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37,987</w:t>
            </w:r>
          </w:p>
        </w:tc>
        <w:tc>
          <w:tcPr>
            <w:tcW w:w="572" w:type="pct"/>
            <w:tcBorders>
              <w:bottom w:val="single" w:sz="4" w:space="0" w:color="auto"/>
              <w:right w:val="dotted" w:sz="4" w:space="0" w:color="auto"/>
            </w:tcBorders>
            <w:noWrap/>
            <w:hideMark/>
          </w:tcPr>
          <w:p w14:paraId="3F536E48" w14:textId="77777777" w:rsidR="00BF7697" w:rsidRPr="00771F1F" w:rsidRDefault="00BF7697" w:rsidP="00771F1F">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43,607</w:t>
            </w:r>
          </w:p>
        </w:tc>
        <w:tc>
          <w:tcPr>
            <w:tcW w:w="675" w:type="pct"/>
            <w:tcBorders>
              <w:left w:val="dotted" w:sz="4" w:space="0" w:color="auto"/>
              <w:bottom w:val="single" w:sz="4" w:space="0" w:color="auto"/>
            </w:tcBorders>
            <w:noWrap/>
            <w:hideMark/>
          </w:tcPr>
          <w:p w14:paraId="7EBA8D67" w14:textId="77777777" w:rsidR="00BF7697" w:rsidRPr="00771F1F" w:rsidRDefault="00BF7697" w:rsidP="00771F1F">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75,296</w:t>
            </w:r>
          </w:p>
        </w:tc>
      </w:tr>
      <w:tr w:rsidR="00BF7697" w:rsidRPr="00771F1F" w14:paraId="4CC1183D" w14:textId="77777777" w:rsidTr="00681063">
        <w:trPr>
          <w:trHeight w:val="300"/>
        </w:trPr>
        <w:tc>
          <w:tcPr>
            <w:cnfStyle w:val="001000000000" w:firstRow="0" w:lastRow="0" w:firstColumn="1" w:lastColumn="0" w:oddVBand="0" w:evenVBand="0" w:oddHBand="0" w:evenHBand="0" w:firstRowFirstColumn="0" w:firstRowLastColumn="0" w:lastRowFirstColumn="0" w:lastRowLastColumn="0"/>
            <w:tcW w:w="1465" w:type="pct"/>
            <w:tcBorders>
              <w:top w:val="single" w:sz="4" w:space="0" w:color="auto"/>
              <w:bottom w:val="single" w:sz="4" w:space="0" w:color="auto"/>
            </w:tcBorders>
            <w:shd w:val="clear" w:color="auto" w:fill="D4C5D7"/>
            <w:noWrap/>
            <w:hideMark/>
          </w:tcPr>
          <w:p w14:paraId="1C143B9C" w14:textId="77777777" w:rsidR="00BF7697" w:rsidRPr="00771F1F" w:rsidRDefault="00BF7697" w:rsidP="00771F1F">
            <w:pPr>
              <w:keepNext/>
              <w:spacing w:after="0" w:line="240" w:lineRule="auto"/>
              <w:rPr>
                <w:rFonts w:eastAsia="Times New Roman" w:cs="Arial"/>
                <w:b/>
                <w:bCs/>
                <w:color w:val="000000"/>
                <w:sz w:val="20"/>
                <w:szCs w:val="20"/>
              </w:rPr>
            </w:pPr>
            <w:r w:rsidRPr="00771F1F">
              <w:rPr>
                <w:rFonts w:eastAsia="Times New Roman" w:cs="Arial"/>
                <w:b/>
                <w:bCs/>
                <w:color w:val="000000"/>
                <w:sz w:val="20"/>
                <w:szCs w:val="20"/>
              </w:rPr>
              <w:t>Total</w:t>
            </w:r>
          </w:p>
        </w:tc>
        <w:tc>
          <w:tcPr>
            <w:tcW w:w="572" w:type="pct"/>
            <w:tcBorders>
              <w:top w:val="single" w:sz="4" w:space="0" w:color="auto"/>
              <w:bottom w:val="single" w:sz="4" w:space="0" w:color="auto"/>
            </w:tcBorders>
            <w:shd w:val="clear" w:color="auto" w:fill="D4C5D7"/>
            <w:noWrap/>
            <w:hideMark/>
          </w:tcPr>
          <w:p w14:paraId="4F3F9342" w14:textId="77777777" w:rsidR="00BF7697" w:rsidRPr="00771F1F" w:rsidRDefault="00BF7697" w:rsidP="00771F1F">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534,655</w:t>
            </w:r>
          </w:p>
        </w:tc>
        <w:tc>
          <w:tcPr>
            <w:tcW w:w="572" w:type="pct"/>
            <w:tcBorders>
              <w:top w:val="single" w:sz="4" w:space="0" w:color="auto"/>
              <w:bottom w:val="single" w:sz="4" w:space="0" w:color="auto"/>
            </w:tcBorders>
            <w:shd w:val="clear" w:color="auto" w:fill="D4C5D7"/>
            <w:noWrap/>
            <w:hideMark/>
          </w:tcPr>
          <w:p w14:paraId="55011EAC" w14:textId="77777777" w:rsidR="00BF7697" w:rsidRPr="00771F1F" w:rsidRDefault="00BF7697" w:rsidP="00771F1F">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592,294</w:t>
            </w:r>
          </w:p>
        </w:tc>
        <w:tc>
          <w:tcPr>
            <w:tcW w:w="572" w:type="pct"/>
            <w:tcBorders>
              <w:top w:val="single" w:sz="4" w:space="0" w:color="auto"/>
              <w:bottom w:val="single" w:sz="4" w:space="0" w:color="auto"/>
            </w:tcBorders>
            <w:shd w:val="clear" w:color="auto" w:fill="D4C5D7"/>
            <w:noWrap/>
            <w:hideMark/>
          </w:tcPr>
          <w:p w14:paraId="27028234" w14:textId="77777777" w:rsidR="00BF7697" w:rsidRPr="00771F1F" w:rsidRDefault="00BF7697" w:rsidP="00771F1F">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646,012</w:t>
            </w:r>
          </w:p>
        </w:tc>
        <w:tc>
          <w:tcPr>
            <w:tcW w:w="572" w:type="pct"/>
            <w:tcBorders>
              <w:top w:val="single" w:sz="4" w:space="0" w:color="auto"/>
              <w:bottom w:val="single" w:sz="4" w:space="0" w:color="auto"/>
            </w:tcBorders>
            <w:shd w:val="clear" w:color="auto" w:fill="D4C5D7"/>
            <w:noWrap/>
            <w:hideMark/>
          </w:tcPr>
          <w:p w14:paraId="2649D6F0" w14:textId="77777777" w:rsidR="00BF7697" w:rsidRPr="00771F1F" w:rsidRDefault="00BF7697" w:rsidP="00771F1F">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693,889</w:t>
            </w:r>
          </w:p>
        </w:tc>
        <w:tc>
          <w:tcPr>
            <w:tcW w:w="572" w:type="pct"/>
            <w:tcBorders>
              <w:top w:val="single" w:sz="4" w:space="0" w:color="auto"/>
              <w:bottom w:val="single" w:sz="4" w:space="0" w:color="auto"/>
              <w:right w:val="dotted" w:sz="4" w:space="0" w:color="auto"/>
            </w:tcBorders>
            <w:shd w:val="clear" w:color="auto" w:fill="D4C5D7"/>
            <w:noWrap/>
            <w:hideMark/>
          </w:tcPr>
          <w:p w14:paraId="79C78B0D" w14:textId="77777777" w:rsidR="00BF7697" w:rsidRPr="00771F1F" w:rsidRDefault="00BF7697" w:rsidP="00771F1F">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741,077</w:t>
            </w:r>
          </w:p>
        </w:tc>
        <w:tc>
          <w:tcPr>
            <w:tcW w:w="675" w:type="pct"/>
            <w:tcBorders>
              <w:top w:val="single" w:sz="4" w:space="0" w:color="auto"/>
              <w:left w:val="dotted" w:sz="4" w:space="0" w:color="auto"/>
              <w:bottom w:val="single" w:sz="4" w:space="0" w:color="auto"/>
            </w:tcBorders>
            <w:shd w:val="clear" w:color="auto" w:fill="D4C5D7"/>
            <w:noWrap/>
            <w:hideMark/>
          </w:tcPr>
          <w:p w14:paraId="772E7811" w14:textId="77777777" w:rsidR="00BF7697" w:rsidRPr="00771F1F" w:rsidRDefault="00BF7697" w:rsidP="00771F1F">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1,017,522</w:t>
            </w:r>
          </w:p>
        </w:tc>
      </w:tr>
    </w:tbl>
    <w:p w14:paraId="26CBC3F0" w14:textId="77777777" w:rsidR="00681063" w:rsidRDefault="00681063" w:rsidP="00681063">
      <w:pPr>
        <w:pStyle w:val="FSRnormal"/>
        <w:spacing w:before="0" w:after="0"/>
      </w:pPr>
    </w:p>
    <w:tbl>
      <w:tblPr>
        <w:tblStyle w:val="FSRtable"/>
        <w:tblW w:w="5000" w:type="pct"/>
        <w:tblInd w:w="0" w:type="dxa"/>
        <w:tblLook w:val="04A0" w:firstRow="1" w:lastRow="0" w:firstColumn="1" w:lastColumn="0" w:noHBand="0" w:noVBand="1"/>
      </w:tblPr>
      <w:tblGrid>
        <w:gridCol w:w="2644"/>
        <w:gridCol w:w="1032"/>
        <w:gridCol w:w="1032"/>
        <w:gridCol w:w="1033"/>
        <w:gridCol w:w="1033"/>
        <w:gridCol w:w="1033"/>
        <w:gridCol w:w="1219"/>
      </w:tblGrid>
      <w:tr w:rsidR="00681063" w:rsidRPr="00771F1F" w14:paraId="25CA0F64" w14:textId="77777777" w:rsidTr="00681063">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465" w:type="pct"/>
            <w:noWrap/>
            <w:hideMark/>
          </w:tcPr>
          <w:p w14:paraId="7228979D" w14:textId="77777777" w:rsidR="00681063" w:rsidRPr="00DA3F73" w:rsidRDefault="00681063" w:rsidP="009B4009">
            <w:pPr>
              <w:keepNext/>
              <w:spacing w:after="0" w:line="240" w:lineRule="auto"/>
              <w:rPr>
                <w:rFonts w:eastAsia="Times New Roman"/>
                <w:bCs/>
                <w:color w:val="FFFFFF"/>
                <w:sz w:val="20"/>
                <w:szCs w:val="20"/>
              </w:rPr>
            </w:pPr>
          </w:p>
        </w:tc>
        <w:tc>
          <w:tcPr>
            <w:tcW w:w="3535" w:type="pct"/>
            <w:gridSpan w:val="6"/>
            <w:tcBorders>
              <w:top w:val="single" w:sz="4" w:space="0" w:color="auto"/>
              <w:bottom w:val="single" w:sz="4" w:space="0" w:color="FFFFFF" w:themeColor="background1"/>
            </w:tcBorders>
            <w:noWrap/>
            <w:hideMark/>
          </w:tcPr>
          <w:p w14:paraId="1A4D628A" w14:textId="77777777" w:rsidR="00681063" w:rsidRPr="00DA3F73" w:rsidRDefault="00681063" w:rsidP="009B4009">
            <w:pPr>
              <w:keepNext/>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446DD2">
              <w:rPr>
                <w:rFonts w:eastAsia="Times New Roman"/>
                <w:bCs/>
                <w:color w:val="FFFFFF"/>
                <w:sz w:val="20"/>
                <w:szCs w:val="20"/>
              </w:rPr>
              <w:t>At 30 June</w:t>
            </w:r>
          </w:p>
        </w:tc>
      </w:tr>
      <w:tr w:rsidR="00681063" w:rsidRPr="00191697" w14:paraId="0CFC3634" w14:textId="77777777" w:rsidTr="00681063">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465" w:type="pct"/>
            <w:hideMark/>
          </w:tcPr>
          <w:p w14:paraId="53BD3F33" w14:textId="77777777" w:rsidR="00681063" w:rsidRPr="00191697" w:rsidRDefault="00681063" w:rsidP="009B4009">
            <w:pPr>
              <w:keepNext/>
              <w:spacing w:after="0" w:line="240" w:lineRule="auto"/>
              <w:rPr>
                <w:rFonts w:eastAsia="Times New Roman"/>
                <w:bCs/>
                <w:color w:val="FFFFFF"/>
                <w:sz w:val="20"/>
                <w:szCs w:val="20"/>
              </w:rPr>
            </w:pPr>
            <w:r w:rsidRPr="00191697">
              <w:rPr>
                <w:rFonts w:eastAsia="Times New Roman"/>
                <w:bCs/>
                <w:color w:val="FFFFFF"/>
                <w:sz w:val="20"/>
                <w:szCs w:val="20"/>
              </w:rPr>
              <w:t>Number of participants</w:t>
            </w:r>
          </w:p>
        </w:tc>
        <w:tc>
          <w:tcPr>
            <w:tcW w:w="572" w:type="pct"/>
            <w:tcBorders>
              <w:top w:val="single" w:sz="4" w:space="0" w:color="FFFFFF" w:themeColor="background1"/>
            </w:tcBorders>
            <w:noWrap/>
            <w:hideMark/>
          </w:tcPr>
          <w:p w14:paraId="1E2E797F" w14:textId="77777777" w:rsidR="00681063" w:rsidRPr="00191697" w:rsidRDefault="00681063" w:rsidP="009B400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2022</w:t>
            </w:r>
          </w:p>
        </w:tc>
        <w:tc>
          <w:tcPr>
            <w:tcW w:w="572" w:type="pct"/>
            <w:tcBorders>
              <w:top w:val="single" w:sz="4" w:space="0" w:color="FFFFFF" w:themeColor="background1"/>
            </w:tcBorders>
            <w:noWrap/>
            <w:hideMark/>
          </w:tcPr>
          <w:p w14:paraId="77F7BB2D" w14:textId="77777777" w:rsidR="00681063" w:rsidRPr="00191697" w:rsidRDefault="00681063" w:rsidP="009B400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2023</w:t>
            </w:r>
          </w:p>
        </w:tc>
        <w:tc>
          <w:tcPr>
            <w:tcW w:w="572" w:type="pct"/>
            <w:tcBorders>
              <w:top w:val="single" w:sz="4" w:space="0" w:color="FFFFFF" w:themeColor="background1"/>
            </w:tcBorders>
            <w:noWrap/>
            <w:hideMark/>
          </w:tcPr>
          <w:p w14:paraId="75D49678" w14:textId="77777777" w:rsidR="00681063" w:rsidRPr="00191697" w:rsidRDefault="00681063" w:rsidP="009B400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2024</w:t>
            </w:r>
          </w:p>
        </w:tc>
        <w:tc>
          <w:tcPr>
            <w:tcW w:w="572" w:type="pct"/>
            <w:tcBorders>
              <w:top w:val="single" w:sz="4" w:space="0" w:color="FFFFFF" w:themeColor="background1"/>
            </w:tcBorders>
            <w:noWrap/>
            <w:hideMark/>
          </w:tcPr>
          <w:p w14:paraId="779D73CC" w14:textId="77777777" w:rsidR="00681063" w:rsidRPr="00191697" w:rsidRDefault="00681063" w:rsidP="009B400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2025</w:t>
            </w:r>
          </w:p>
        </w:tc>
        <w:tc>
          <w:tcPr>
            <w:tcW w:w="572" w:type="pct"/>
            <w:tcBorders>
              <w:top w:val="single" w:sz="4" w:space="0" w:color="FFFFFF" w:themeColor="background1"/>
              <w:right w:val="dotted" w:sz="4" w:space="0" w:color="auto"/>
            </w:tcBorders>
            <w:noWrap/>
            <w:hideMark/>
          </w:tcPr>
          <w:p w14:paraId="6E706333" w14:textId="77777777" w:rsidR="00681063" w:rsidRPr="00191697" w:rsidRDefault="00681063" w:rsidP="009B400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2026</w:t>
            </w:r>
          </w:p>
        </w:tc>
        <w:tc>
          <w:tcPr>
            <w:tcW w:w="675" w:type="pct"/>
            <w:tcBorders>
              <w:top w:val="single" w:sz="4" w:space="0" w:color="FFFFFF" w:themeColor="background1"/>
              <w:left w:val="dotted" w:sz="4" w:space="0" w:color="auto"/>
            </w:tcBorders>
            <w:noWrap/>
            <w:hideMark/>
          </w:tcPr>
          <w:p w14:paraId="689A92BC" w14:textId="77777777" w:rsidR="00681063" w:rsidRPr="00191697" w:rsidRDefault="00681063" w:rsidP="009B400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2032</w:t>
            </w:r>
          </w:p>
        </w:tc>
      </w:tr>
      <w:tr w:rsidR="00681063" w:rsidRPr="00771F1F" w14:paraId="7AFDC3EF" w14:textId="77777777" w:rsidTr="00681063">
        <w:trPr>
          <w:trHeight w:val="300"/>
        </w:trPr>
        <w:tc>
          <w:tcPr>
            <w:cnfStyle w:val="001000000000" w:firstRow="0" w:lastRow="0" w:firstColumn="1" w:lastColumn="0" w:oddVBand="0" w:evenVBand="0" w:oddHBand="0" w:evenHBand="0" w:firstRowFirstColumn="0" w:firstRowLastColumn="0" w:lastRowFirstColumn="0" w:lastRowLastColumn="0"/>
            <w:tcW w:w="1465" w:type="pct"/>
            <w:tcBorders>
              <w:top w:val="single" w:sz="4" w:space="0" w:color="auto"/>
            </w:tcBorders>
            <w:noWrap/>
            <w:hideMark/>
          </w:tcPr>
          <w:p w14:paraId="42B81EB0" w14:textId="77777777" w:rsidR="00681063" w:rsidRPr="00771F1F" w:rsidRDefault="00681063" w:rsidP="009B4009">
            <w:pPr>
              <w:keepNext/>
              <w:spacing w:after="0" w:line="240" w:lineRule="auto"/>
              <w:rPr>
                <w:rFonts w:eastAsia="Times New Roman" w:cs="Arial"/>
                <w:color w:val="000000"/>
                <w:sz w:val="20"/>
                <w:szCs w:val="20"/>
              </w:rPr>
            </w:pPr>
            <w:r w:rsidRPr="00771F1F">
              <w:rPr>
                <w:rFonts w:eastAsia="Times New Roman" w:cs="Arial"/>
                <w:color w:val="000000"/>
                <w:sz w:val="20"/>
                <w:szCs w:val="20"/>
              </w:rPr>
              <w:t>Children (0 to 14)</w:t>
            </w:r>
          </w:p>
        </w:tc>
        <w:tc>
          <w:tcPr>
            <w:tcW w:w="572" w:type="pct"/>
            <w:tcBorders>
              <w:top w:val="single" w:sz="4" w:space="0" w:color="auto"/>
            </w:tcBorders>
            <w:noWrap/>
            <w:hideMark/>
          </w:tcPr>
          <w:p w14:paraId="2C7E2FD0" w14:textId="77777777" w:rsidR="00681063" w:rsidRPr="00771F1F" w:rsidRDefault="00681063"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41.5%</w:t>
            </w:r>
          </w:p>
        </w:tc>
        <w:tc>
          <w:tcPr>
            <w:tcW w:w="572" w:type="pct"/>
            <w:tcBorders>
              <w:top w:val="single" w:sz="4" w:space="0" w:color="auto"/>
            </w:tcBorders>
            <w:noWrap/>
            <w:hideMark/>
          </w:tcPr>
          <w:p w14:paraId="7FFD0B49" w14:textId="77777777" w:rsidR="00681063" w:rsidRPr="00771F1F" w:rsidRDefault="00681063"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40.9%</w:t>
            </w:r>
          </w:p>
        </w:tc>
        <w:tc>
          <w:tcPr>
            <w:tcW w:w="572" w:type="pct"/>
            <w:tcBorders>
              <w:top w:val="single" w:sz="4" w:space="0" w:color="auto"/>
            </w:tcBorders>
            <w:noWrap/>
            <w:hideMark/>
          </w:tcPr>
          <w:p w14:paraId="29A6EFB9" w14:textId="77777777" w:rsidR="00681063" w:rsidRPr="00771F1F" w:rsidRDefault="00681063"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40.1%</w:t>
            </w:r>
          </w:p>
        </w:tc>
        <w:tc>
          <w:tcPr>
            <w:tcW w:w="572" w:type="pct"/>
            <w:tcBorders>
              <w:top w:val="single" w:sz="4" w:space="0" w:color="auto"/>
            </w:tcBorders>
            <w:noWrap/>
            <w:hideMark/>
          </w:tcPr>
          <w:p w14:paraId="04475DF5" w14:textId="77777777" w:rsidR="00681063" w:rsidRPr="00771F1F" w:rsidRDefault="00681063"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39.3%</w:t>
            </w:r>
          </w:p>
        </w:tc>
        <w:tc>
          <w:tcPr>
            <w:tcW w:w="572" w:type="pct"/>
            <w:tcBorders>
              <w:top w:val="single" w:sz="4" w:space="0" w:color="auto"/>
              <w:right w:val="dotted" w:sz="4" w:space="0" w:color="auto"/>
            </w:tcBorders>
            <w:noWrap/>
            <w:hideMark/>
          </w:tcPr>
          <w:p w14:paraId="40EC3A00" w14:textId="77777777" w:rsidR="00681063" w:rsidRPr="00771F1F" w:rsidRDefault="00681063"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38.3%</w:t>
            </w:r>
          </w:p>
        </w:tc>
        <w:tc>
          <w:tcPr>
            <w:tcW w:w="674" w:type="pct"/>
            <w:tcBorders>
              <w:top w:val="single" w:sz="4" w:space="0" w:color="auto"/>
              <w:left w:val="dotted" w:sz="4" w:space="0" w:color="auto"/>
            </w:tcBorders>
            <w:noWrap/>
            <w:hideMark/>
          </w:tcPr>
          <w:p w14:paraId="4179DC1B" w14:textId="77777777" w:rsidR="00681063" w:rsidRPr="00771F1F" w:rsidRDefault="00681063"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31.1%</w:t>
            </w:r>
          </w:p>
        </w:tc>
      </w:tr>
      <w:tr w:rsidR="00681063" w:rsidRPr="00771F1F" w14:paraId="34A1B5A5" w14:textId="77777777" w:rsidTr="006810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shd w:val="clear" w:color="auto" w:fill="BFBFBF" w:themeFill="background1" w:themeFillShade="BF"/>
            <w:noWrap/>
            <w:hideMark/>
          </w:tcPr>
          <w:p w14:paraId="745296A4" w14:textId="77777777" w:rsidR="00681063" w:rsidRPr="00771F1F" w:rsidRDefault="00681063" w:rsidP="009B4009">
            <w:pPr>
              <w:keepNext/>
              <w:spacing w:after="0" w:line="240" w:lineRule="auto"/>
              <w:rPr>
                <w:rFonts w:eastAsia="Times New Roman" w:cs="Arial"/>
                <w:color w:val="000000"/>
                <w:sz w:val="20"/>
                <w:szCs w:val="20"/>
              </w:rPr>
            </w:pPr>
            <w:r w:rsidRPr="00771F1F">
              <w:rPr>
                <w:rFonts w:eastAsia="Times New Roman" w:cs="Arial"/>
                <w:color w:val="000000"/>
                <w:sz w:val="20"/>
                <w:szCs w:val="20"/>
              </w:rPr>
              <w:t>Young adults (15 to 24)</w:t>
            </w:r>
          </w:p>
        </w:tc>
        <w:tc>
          <w:tcPr>
            <w:tcW w:w="572" w:type="pct"/>
            <w:shd w:val="clear" w:color="auto" w:fill="BFBFBF" w:themeFill="background1" w:themeFillShade="BF"/>
            <w:noWrap/>
            <w:hideMark/>
          </w:tcPr>
          <w:p w14:paraId="1F6A044C" w14:textId="77777777" w:rsidR="00681063" w:rsidRPr="00771F1F" w:rsidRDefault="00681063"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16.4%</w:t>
            </w:r>
          </w:p>
        </w:tc>
        <w:tc>
          <w:tcPr>
            <w:tcW w:w="572" w:type="pct"/>
            <w:shd w:val="clear" w:color="auto" w:fill="BFBFBF" w:themeFill="background1" w:themeFillShade="BF"/>
            <w:noWrap/>
            <w:hideMark/>
          </w:tcPr>
          <w:p w14:paraId="41338EAF" w14:textId="77777777" w:rsidR="00681063" w:rsidRPr="00771F1F" w:rsidRDefault="00681063"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17.2%</w:t>
            </w:r>
          </w:p>
        </w:tc>
        <w:tc>
          <w:tcPr>
            <w:tcW w:w="572" w:type="pct"/>
            <w:shd w:val="clear" w:color="auto" w:fill="BFBFBF" w:themeFill="background1" w:themeFillShade="BF"/>
            <w:noWrap/>
            <w:hideMark/>
          </w:tcPr>
          <w:p w14:paraId="71F59674" w14:textId="77777777" w:rsidR="00681063" w:rsidRPr="00771F1F" w:rsidRDefault="00681063"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18.2%</w:t>
            </w:r>
          </w:p>
        </w:tc>
        <w:tc>
          <w:tcPr>
            <w:tcW w:w="572" w:type="pct"/>
            <w:shd w:val="clear" w:color="auto" w:fill="BFBFBF" w:themeFill="background1" w:themeFillShade="BF"/>
            <w:noWrap/>
            <w:hideMark/>
          </w:tcPr>
          <w:p w14:paraId="7599D9E5" w14:textId="77777777" w:rsidR="00681063" w:rsidRPr="00771F1F" w:rsidRDefault="00681063"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19.3%</w:t>
            </w:r>
          </w:p>
        </w:tc>
        <w:tc>
          <w:tcPr>
            <w:tcW w:w="572" w:type="pct"/>
            <w:tcBorders>
              <w:right w:val="dotted" w:sz="4" w:space="0" w:color="auto"/>
            </w:tcBorders>
            <w:shd w:val="clear" w:color="auto" w:fill="BFBFBF" w:themeFill="background1" w:themeFillShade="BF"/>
            <w:noWrap/>
            <w:hideMark/>
          </w:tcPr>
          <w:p w14:paraId="2A492CD7" w14:textId="77777777" w:rsidR="00681063" w:rsidRPr="00771F1F" w:rsidRDefault="00681063"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20.5%</w:t>
            </w:r>
          </w:p>
        </w:tc>
        <w:tc>
          <w:tcPr>
            <w:tcW w:w="674" w:type="pct"/>
            <w:tcBorders>
              <w:left w:val="dotted" w:sz="4" w:space="0" w:color="auto"/>
            </w:tcBorders>
            <w:shd w:val="clear" w:color="auto" w:fill="BFBFBF" w:themeFill="background1" w:themeFillShade="BF"/>
            <w:noWrap/>
            <w:hideMark/>
          </w:tcPr>
          <w:p w14:paraId="5449F751" w14:textId="77777777" w:rsidR="00681063" w:rsidRPr="00771F1F" w:rsidRDefault="00681063"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26.4%</w:t>
            </w:r>
          </w:p>
        </w:tc>
      </w:tr>
      <w:tr w:rsidR="00681063" w:rsidRPr="00771F1F" w14:paraId="722F5C01" w14:textId="77777777" w:rsidTr="00681063">
        <w:trPr>
          <w:trHeight w:val="300"/>
        </w:trPr>
        <w:tc>
          <w:tcPr>
            <w:cnfStyle w:val="001000000000" w:firstRow="0" w:lastRow="0" w:firstColumn="1" w:lastColumn="0" w:oddVBand="0" w:evenVBand="0" w:oddHBand="0" w:evenHBand="0" w:firstRowFirstColumn="0" w:firstRowLastColumn="0" w:lastRowFirstColumn="0" w:lastRowLastColumn="0"/>
            <w:tcW w:w="1465" w:type="pct"/>
            <w:noWrap/>
            <w:hideMark/>
          </w:tcPr>
          <w:p w14:paraId="3AC23EE7" w14:textId="77777777" w:rsidR="00681063" w:rsidRPr="00771F1F" w:rsidRDefault="00681063" w:rsidP="009B4009">
            <w:pPr>
              <w:keepNext/>
              <w:spacing w:after="0" w:line="240" w:lineRule="auto"/>
              <w:rPr>
                <w:rFonts w:eastAsia="Times New Roman" w:cs="Arial"/>
                <w:color w:val="000000"/>
                <w:sz w:val="20"/>
                <w:szCs w:val="20"/>
              </w:rPr>
            </w:pPr>
            <w:r w:rsidRPr="00771F1F">
              <w:rPr>
                <w:rFonts w:eastAsia="Times New Roman" w:cs="Arial"/>
                <w:color w:val="000000"/>
                <w:sz w:val="20"/>
                <w:szCs w:val="20"/>
              </w:rPr>
              <w:t>Adults (25 to 64)</w:t>
            </w:r>
          </w:p>
        </w:tc>
        <w:tc>
          <w:tcPr>
            <w:tcW w:w="572" w:type="pct"/>
            <w:noWrap/>
            <w:hideMark/>
          </w:tcPr>
          <w:p w14:paraId="48F3F417" w14:textId="77777777" w:rsidR="00681063" w:rsidRPr="00771F1F" w:rsidRDefault="00681063"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37.9%</w:t>
            </w:r>
          </w:p>
        </w:tc>
        <w:tc>
          <w:tcPr>
            <w:tcW w:w="572" w:type="pct"/>
            <w:noWrap/>
            <w:hideMark/>
          </w:tcPr>
          <w:p w14:paraId="51E7FDD5" w14:textId="77777777" w:rsidR="00681063" w:rsidRPr="00771F1F" w:rsidRDefault="00681063"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37.3%</w:t>
            </w:r>
          </w:p>
        </w:tc>
        <w:tc>
          <w:tcPr>
            <w:tcW w:w="572" w:type="pct"/>
            <w:noWrap/>
            <w:hideMark/>
          </w:tcPr>
          <w:p w14:paraId="4C01A84C" w14:textId="77777777" w:rsidR="00681063" w:rsidRPr="00771F1F" w:rsidRDefault="00681063"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36.7%</w:t>
            </w:r>
          </w:p>
        </w:tc>
        <w:tc>
          <w:tcPr>
            <w:tcW w:w="572" w:type="pct"/>
            <w:noWrap/>
            <w:hideMark/>
          </w:tcPr>
          <w:p w14:paraId="76A2563B" w14:textId="77777777" w:rsidR="00681063" w:rsidRPr="00771F1F" w:rsidRDefault="00681063"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36.0%</w:t>
            </w:r>
          </w:p>
        </w:tc>
        <w:tc>
          <w:tcPr>
            <w:tcW w:w="572" w:type="pct"/>
            <w:tcBorders>
              <w:right w:val="dotted" w:sz="4" w:space="0" w:color="auto"/>
            </w:tcBorders>
            <w:noWrap/>
            <w:hideMark/>
          </w:tcPr>
          <w:p w14:paraId="4CD3017B" w14:textId="77777777" w:rsidR="00681063" w:rsidRPr="00771F1F" w:rsidRDefault="00681063"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35.3%</w:t>
            </w:r>
          </w:p>
        </w:tc>
        <w:tc>
          <w:tcPr>
            <w:tcW w:w="674" w:type="pct"/>
            <w:tcBorders>
              <w:left w:val="dotted" w:sz="4" w:space="0" w:color="auto"/>
            </w:tcBorders>
            <w:noWrap/>
            <w:hideMark/>
          </w:tcPr>
          <w:p w14:paraId="55ECA2D3" w14:textId="77777777" w:rsidR="00681063" w:rsidRPr="00771F1F" w:rsidRDefault="00681063"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35.1%</w:t>
            </w:r>
          </w:p>
        </w:tc>
      </w:tr>
      <w:tr w:rsidR="00681063" w:rsidRPr="00771F1F" w14:paraId="08ED89EE" w14:textId="77777777" w:rsidTr="0068106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tcBorders>
              <w:bottom w:val="single" w:sz="4" w:space="0" w:color="auto"/>
            </w:tcBorders>
            <w:shd w:val="clear" w:color="auto" w:fill="BFBFBF" w:themeFill="background1" w:themeFillShade="BF"/>
            <w:noWrap/>
            <w:hideMark/>
          </w:tcPr>
          <w:p w14:paraId="1DE98D06" w14:textId="77777777" w:rsidR="00681063" w:rsidRPr="00771F1F" w:rsidRDefault="00681063" w:rsidP="009B4009">
            <w:pPr>
              <w:keepNext/>
              <w:spacing w:after="0" w:line="240" w:lineRule="auto"/>
              <w:rPr>
                <w:rFonts w:eastAsia="Times New Roman" w:cs="Arial"/>
                <w:color w:val="000000"/>
                <w:sz w:val="20"/>
                <w:szCs w:val="20"/>
              </w:rPr>
            </w:pPr>
            <w:r w:rsidRPr="00771F1F">
              <w:rPr>
                <w:rFonts w:eastAsia="Times New Roman" w:cs="Arial"/>
                <w:color w:val="000000"/>
                <w:sz w:val="20"/>
                <w:szCs w:val="20"/>
              </w:rPr>
              <w:t>Older adults (65+)</w:t>
            </w:r>
          </w:p>
        </w:tc>
        <w:tc>
          <w:tcPr>
            <w:tcW w:w="572" w:type="pct"/>
            <w:tcBorders>
              <w:bottom w:val="single" w:sz="4" w:space="0" w:color="auto"/>
            </w:tcBorders>
            <w:shd w:val="clear" w:color="auto" w:fill="BFBFBF" w:themeFill="background1" w:themeFillShade="BF"/>
            <w:noWrap/>
            <w:hideMark/>
          </w:tcPr>
          <w:p w14:paraId="23D3DFFF" w14:textId="77777777" w:rsidR="00681063" w:rsidRPr="00771F1F" w:rsidRDefault="00681063"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4.1%</w:t>
            </w:r>
          </w:p>
        </w:tc>
        <w:tc>
          <w:tcPr>
            <w:tcW w:w="572" w:type="pct"/>
            <w:tcBorders>
              <w:bottom w:val="single" w:sz="4" w:space="0" w:color="auto"/>
            </w:tcBorders>
            <w:shd w:val="clear" w:color="auto" w:fill="BFBFBF" w:themeFill="background1" w:themeFillShade="BF"/>
            <w:noWrap/>
            <w:hideMark/>
          </w:tcPr>
          <w:p w14:paraId="1244F1B0" w14:textId="77777777" w:rsidR="00681063" w:rsidRPr="00771F1F" w:rsidRDefault="00681063"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4.6%</w:t>
            </w:r>
          </w:p>
        </w:tc>
        <w:tc>
          <w:tcPr>
            <w:tcW w:w="572" w:type="pct"/>
            <w:tcBorders>
              <w:bottom w:val="single" w:sz="4" w:space="0" w:color="auto"/>
            </w:tcBorders>
            <w:shd w:val="clear" w:color="auto" w:fill="BFBFBF" w:themeFill="background1" w:themeFillShade="BF"/>
            <w:noWrap/>
            <w:hideMark/>
          </w:tcPr>
          <w:p w14:paraId="79F89B51" w14:textId="77777777" w:rsidR="00681063" w:rsidRPr="00771F1F" w:rsidRDefault="00681063"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5.0%</w:t>
            </w:r>
          </w:p>
        </w:tc>
        <w:tc>
          <w:tcPr>
            <w:tcW w:w="572" w:type="pct"/>
            <w:tcBorders>
              <w:bottom w:val="single" w:sz="4" w:space="0" w:color="auto"/>
            </w:tcBorders>
            <w:shd w:val="clear" w:color="auto" w:fill="BFBFBF" w:themeFill="background1" w:themeFillShade="BF"/>
            <w:noWrap/>
            <w:hideMark/>
          </w:tcPr>
          <w:p w14:paraId="516B5CF9" w14:textId="77777777" w:rsidR="00681063" w:rsidRPr="00771F1F" w:rsidRDefault="00681063"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5.5%</w:t>
            </w:r>
          </w:p>
        </w:tc>
        <w:tc>
          <w:tcPr>
            <w:tcW w:w="572" w:type="pct"/>
            <w:tcBorders>
              <w:bottom w:val="single" w:sz="4" w:space="0" w:color="auto"/>
              <w:right w:val="dotted" w:sz="4" w:space="0" w:color="auto"/>
            </w:tcBorders>
            <w:shd w:val="clear" w:color="auto" w:fill="BFBFBF" w:themeFill="background1" w:themeFillShade="BF"/>
            <w:noWrap/>
            <w:hideMark/>
          </w:tcPr>
          <w:p w14:paraId="1EDAA1B0" w14:textId="77777777" w:rsidR="00681063" w:rsidRPr="00771F1F" w:rsidRDefault="00681063"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5.9%</w:t>
            </w:r>
          </w:p>
        </w:tc>
        <w:tc>
          <w:tcPr>
            <w:tcW w:w="674" w:type="pct"/>
            <w:tcBorders>
              <w:left w:val="dotted" w:sz="4" w:space="0" w:color="auto"/>
              <w:bottom w:val="single" w:sz="4" w:space="0" w:color="auto"/>
            </w:tcBorders>
            <w:shd w:val="clear" w:color="auto" w:fill="BFBFBF" w:themeFill="background1" w:themeFillShade="BF"/>
            <w:noWrap/>
            <w:hideMark/>
          </w:tcPr>
          <w:p w14:paraId="44799FA0" w14:textId="77777777" w:rsidR="00681063" w:rsidRPr="00771F1F" w:rsidRDefault="00681063"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7.4%</w:t>
            </w:r>
          </w:p>
        </w:tc>
      </w:tr>
      <w:tr w:rsidR="00681063" w:rsidRPr="00771F1F" w14:paraId="5C04653D" w14:textId="77777777" w:rsidTr="00681063">
        <w:trPr>
          <w:trHeight w:val="300"/>
        </w:trPr>
        <w:tc>
          <w:tcPr>
            <w:cnfStyle w:val="001000000000" w:firstRow="0" w:lastRow="0" w:firstColumn="1" w:lastColumn="0" w:oddVBand="0" w:evenVBand="0" w:oddHBand="0" w:evenHBand="0" w:firstRowFirstColumn="0" w:firstRowLastColumn="0" w:lastRowFirstColumn="0" w:lastRowLastColumn="0"/>
            <w:tcW w:w="1465" w:type="pct"/>
            <w:tcBorders>
              <w:top w:val="single" w:sz="4" w:space="0" w:color="auto"/>
              <w:bottom w:val="single" w:sz="4" w:space="0" w:color="auto"/>
            </w:tcBorders>
            <w:shd w:val="clear" w:color="auto" w:fill="D4C5D7"/>
            <w:noWrap/>
            <w:hideMark/>
          </w:tcPr>
          <w:p w14:paraId="1BD129E8" w14:textId="77777777" w:rsidR="00681063" w:rsidRPr="00771F1F" w:rsidRDefault="00681063" w:rsidP="009B4009">
            <w:pPr>
              <w:keepNext/>
              <w:spacing w:after="0" w:line="240" w:lineRule="auto"/>
              <w:rPr>
                <w:rFonts w:eastAsia="Times New Roman" w:cs="Arial"/>
                <w:b/>
                <w:bCs/>
                <w:color w:val="000000"/>
                <w:sz w:val="20"/>
                <w:szCs w:val="20"/>
              </w:rPr>
            </w:pPr>
            <w:r w:rsidRPr="00771F1F">
              <w:rPr>
                <w:rFonts w:eastAsia="Times New Roman" w:cs="Arial"/>
                <w:b/>
                <w:bCs/>
                <w:color w:val="000000"/>
                <w:sz w:val="20"/>
                <w:szCs w:val="20"/>
              </w:rPr>
              <w:t>Total</w:t>
            </w:r>
          </w:p>
        </w:tc>
        <w:tc>
          <w:tcPr>
            <w:tcW w:w="572" w:type="pct"/>
            <w:tcBorders>
              <w:top w:val="single" w:sz="4" w:space="0" w:color="auto"/>
              <w:bottom w:val="single" w:sz="4" w:space="0" w:color="auto"/>
            </w:tcBorders>
            <w:shd w:val="clear" w:color="auto" w:fill="D4C5D7"/>
            <w:noWrap/>
            <w:hideMark/>
          </w:tcPr>
          <w:p w14:paraId="424176D5" w14:textId="77777777" w:rsidR="00681063" w:rsidRPr="00771F1F" w:rsidRDefault="00681063"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100.0%</w:t>
            </w:r>
          </w:p>
        </w:tc>
        <w:tc>
          <w:tcPr>
            <w:tcW w:w="572" w:type="pct"/>
            <w:tcBorders>
              <w:top w:val="single" w:sz="4" w:space="0" w:color="auto"/>
              <w:bottom w:val="single" w:sz="4" w:space="0" w:color="auto"/>
            </w:tcBorders>
            <w:shd w:val="clear" w:color="auto" w:fill="D4C5D7"/>
            <w:noWrap/>
            <w:hideMark/>
          </w:tcPr>
          <w:p w14:paraId="6478A324" w14:textId="77777777" w:rsidR="00681063" w:rsidRPr="00771F1F" w:rsidRDefault="00681063"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100.0%</w:t>
            </w:r>
          </w:p>
        </w:tc>
        <w:tc>
          <w:tcPr>
            <w:tcW w:w="572" w:type="pct"/>
            <w:tcBorders>
              <w:top w:val="single" w:sz="4" w:space="0" w:color="auto"/>
              <w:bottom w:val="single" w:sz="4" w:space="0" w:color="auto"/>
            </w:tcBorders>
            <w:shd w:val="clear" w:color="auto" w:fill="D4C5D7"/>
            <w:noWrap/>
            <w:hideMark/>
          </w:tcPr>
          <w:p w14:paraId="03178D26" w14:textId="77777777" w:rsidR="00681063" w:rsidRPr="00771F1F" w:rsidRDefault="00681063"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100.0%</w:t>
            </w:r>
          </w:p>
        </w:tc>
        <w:tc>
          <w:tcPr>
            <w:tcW w:w="572" w:type="pct"/>
            <w:tcBorders>
              <w:top w:val="single" w:sz="4" w:space="0" w:color="auto"/>
              <w:bottom w:val="single" w:sz="4" w:space="0" w:color="auto"/>
            </w:tcBorders>
            <w:shd w:val="clear" w:color="auto" w:fill="D4C5D7"/>
            <w:noWrap/>
            <w:hideMark/>
          </w:tcPr>
          <w:p w14:paraId="398EA1F4" w14:textId="77777777" w:rsidR="00681063" w:rsidRPr="00771F1F" w:rsidRDefault="00681063"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100.0%</w:t>
            </w:r>
          </w:p>
        </w:tc>
        <w:tc>
          <w:tcPr>
            <w:tcW w:w="572" w:type="pct"/>
            <w:tcBorders>
              <w:top w:val="single" w:sz="4" w:space="0" w:color="auto"/>
              <w:bottom w:val="single" w:sz="4" w:space="0" w:color="auto"/>
              <w:right w:val="dotted" w:sz="4" w:space="0" w:color="auto"/>
            </w:tcBorders>
            <w:shd w:val="clear" w:color="auto" w:fill="D4C5D7"/>
            <w:noWrap/>
            <w:hideMark/>
          </w:tcPr>
          <w:p w14:paraId="2FE7DB7F" w14:textId="77777777" w:rsidR="00681063" w:rsidRPr="00771F1F" w:rsidRDefault="00681063"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100.0%</w:t>
            </w:r>
          </w:p>
        </w:tc>
        <w:tc>
          <w:tcPr>
            <w:tcW w:w="674" w:type="pct"/>
            <w:tcBorders>
              <w:top w:val="single" w:sz="4" w:space="0" w:color="auto"/>
              <w:left w:val="dotted" w:sz="4" w:space="0" w:color="auto"/>
              <w:bottom w:val="single" w:sz="4" w:space="0" w:color="auto"/>
            </w:tcBorders>
            <w:shd w:val="clear" w:color="auto" w:fill="D4C5D7"/>
            <w:noWrap/>
            <w:hideMark/>
          </w:tcPr>
          <w:p w14:paraId="6CDC570C" w14:textId="77777777" w:rsidR="00681063" w:rsidRPr="00771F1F" w:rsidRDefault="00681063"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100.0%</w:t>
            </w:r>
          </w:p>
        </w:tc>
      </w:tr>
    </w:tbl>
    <w:p w14:paraId="2FACB4FF" w14:textId="77777777" w:rsidR="00BF7697" w:rsidRPr="00C652E6" w:rsidRDefault="00BF7697" w:rsidP="00BF7697">
      <w:pPr>
        <w:pStyle w:val="FSRnormal"/>
        <w:rPr>
          <w:lang w:eastAsia="en-AU"/>
        </w:rPr>
      </w:pPr>
      <w:r w:rsidRPr="00C652E6">
        <w:t xml:space="preserve">Young adults represent a growing proportion of the Scheme’s participant numbers as the children </w:t>
      </w:r>
      <w:r w:rsidR="00BB7FC3">
        <w:t xml:space="preserve">entering the Scheme in earlier </w:t>
      </w:r>
      <w:r w:rsidRPr="00C652E6">
        <w:t xml:space="preserve">projection years transition into older age bands. </w:t>
      </w:r>
      <w:r w:rsidR="00684E93" w:rsidRPr="00E979FA">
        <w:t xml:space="preserve">Table </w:t>
      </w:r>
      <w:r w:rsidR="00684E93">
        <w:rPr>
          <w:noProof/>
        </w:rPr>
        <w:t>5</w:t>
      </w:r>
      <w:r w:rsidR="00684E93">
        <w:t>.</w:t>
      </w:r>
      <w:r w:rsidR="00684E93">
        <w:rPr>
          <w:noProof/>
        </w:rPr>
        <w:t>15</w:t>
      </w:r>
      <w:r w:rsidRPr="00C652E6">
        <w:rPr>
          <w:lang w:eastAsia="en-AU"/>
        </w:rPr>
        <w:t xml:space="preserve"> illustrates the projections split by disability group.</w:t>
      </w:r>
    </w:p>
    <w:p w14:paraId="0FA85A54" w14:textId="77777777" w:rsidR="00BF7697" w:rsidRDefault="00BF7697" w:rsidP="00260852">
      <w:pPr>
        <w:pStyle w:val="Tables"/>
        <w:keepLines/>
      </w:pPr>
      <w:bookmarkStart w:id="211" w:name="_Ref74849130"/>
      <w:bookmarkStart w:id="212" w:name="_Ref111899124"/>
      <w:r w:rsidRPr="00E979FA">
        <w:lastRenderedPageBreak/>
        <w:t xml:space="preserve">Table </w:t>
      </w:r>
      <w:bookmarkEnd w:id="211"/>
      <w:r w:rsidR="00A87896">
        <w:fldChar w:fldCharType="begin"/>
      </w:r>
      <w:r w:rsidR="00A87896">
        <w:instrText xml:space="preserve"> STYLEREF 2 \s </w:instrText>
      </w:r>
      <w:r w:rsidR="00A87896">
        <w:fldChar w:fldCharType="separate"/>
      </w:r>
      <w:r w:rsidR="00A87896">
        <w:rPr>
          <w:noProof/>
        </w:rPr>
        <w:t>5</w:t>
      </w:r>
      <w:r w:rsidR="00A87896">
        <w:fldChar w:fldCharType="end"/>
      </w:r>
      <w:r w:rsidR="00A87896">
        <w:t>.</w:t>
      </w:r>
      <w:fldSimple w:instr=" SEQ Table \* ARABIC \s 2 ">
        <w:r w:rsidR="00A87896">
          <w:rPr>
            <w:noProof/>
          </w:rPr>
          <w:t>15</w:t>
        </w:r>
      </w:fldSimple>
      <w:bookmarkEnd w:id="212"/>
      <w:r>
        <w:t>:</w:t>
      </w:r>
      <w:r w:rsidRPr="00E979FA">
        <w:t xml:space="preserve"> Projected participant numbers by disability group</w:t>
      </w:r>
    </w:p>
    <w:tbl>
      <w:tblPr>
        <w:tblStyle w:val="FSRtable"/>
        <w:tblW w:w="5000" w:type="pct"/>
        <w:tblInd w:w="0" w:type="dxa"/>
        <w:tblLook w:val="04A0" w:firstRow="1" w:lastRow="0" w:firstColumn="1" w:lastColumn="0" w:noHBand="0" w:noVBand="1"/>
      </w:tblPr>
      <w:tblGrid>
        <w:gridCol w:w="2644"/>
        <w:gridCol w:w="1032"/>
        <w:gridCol w:w="1032"/>
        <w:gridCol w:w="1033"/>
        <w:gridCol w:w="1033"/>
        <w:gridCol w:w="1033"/>
        <w:gridCol w:w="1219"/>
      </w:tblGrid>
      <w:tr w:rsidR="00BF7697" w:rsidRPr="00446DD2" w14:paraId="78FB7B37" w14:textId="77777777" w:rsidTr="007D70F6">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465" w:type="pct"/>
          </w:tcPr>
          <w:p w14:paraId="489E0B20" w14:textId="77777777" w:rsidR="00BF7697" w:rsidRPr="00DA3F73" w:rsidRDefault="00BF7697" w:rsidP="00771F1F">
            <w:pPr>
              <w:keepNext/>
              <w:spacing w:after="0" w:line="240" w:lineRule="auto"/>
              <w:rPr>
                <w:rFonts w:eastAsia="Times New Roman"/>
                <w:bCs/>
                <w:color w:val="FFFFFF"/>
                <w:sz w:val="20"/>
                <w:szCs w:val="20"/>
              </w:rPr>
            </w:pPr>
          </w:p>
        </w:tc>
        <w:tc>
          <w:tcPr>
            <w:tcW w:w="3535" w:type="pct"/>
            <w:gridSpan w:val="6"/>
            <w:tcBorders>
              <w:top w:val="single" w:sz="4" w:space="0" w:color="auto"/>
              <w:bottom w:val="single" w:sz="4" w:space="0" w:color="FFFFFF" w:themeColor="background1"/>
            </w:tcBorders>
            <w:noWrap/>
            <w:hideMark/>
          </w:tcPr>
          <w:p w14:paraId="721DB6D2" w14:textId="77777777" w:rsidR="00BF7697" w:rsidRPr="00DA3F73" w:rsidRDefault="007F2B28" w:rsidP="00C53CDC">
            <w:pPr>
              <w:keepNext/>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446DD2">
              <w:rPr>
                <w:rFonts w:eastAsia="Times New Roman"/>
                <w:bCs/>
                <w:color w:val="FFFFFF"/>
                <w:sz w:val="20"/>
                <w:szCs w:val="20"/>
              </w:rPr>
              <w:t>At</w:t>
            </w:r>
            <w:r w:rsidR="00BF7697" w:rsidRPr="00446DD2">
              <w:rPr>
                <w:rFonts w:eastAsia="Times New Roman"/>
                <w:bCs/>
                <w:color w:val="FFFFFF"/>
                <w:sz w:val="20"/>
                <w:szCs w:val="20"/>
              </w:rPr>
              <w:t xml:space="preserve"> 30 June</w:t>
            </w:r>
          </w:p>
        </w:tc>
      </w:tr>
      <w:tr w:rsidR="007D70F6" w:rsidRPr="00191697" w14:paraId="07D8F75E" w14:textId="77777777" w:rsidTr="00444E58">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465" w:type="pct"/>
            <w:hideMark/>
          </w:tcPr>
          <w:p w14:paraId="62B2E098" w14:textId="77777777" w:rsidR="007D70F6" w:rsidRPr="00191697" w:rsidRDefault="007D70F6" w:rsidP="007D70F6">
            <w:pPr>
              <w:keepNext/>
              <w:spacing w:after="0" w:line="240" w:lineRule="auto"/>
              <w:rPr>
                <w:rFonts w:eastAsia="Times New Roman"/>
                <w:bCs/>
                <w:color w:val="FFFFFF"/>
                <w:sz w:val="20"/>
                <w:szCs w:val="20"/>
              </w:rPr>
            </w:pPr>
            <w:r w:rsidRPr="00191697">
              <w:rPr>
                <w:rFonts w:eastAsia="Times New Roman"/>
                <w:bCs/>
                <w:color w:val="FFFFFF"/>
                <w:sz w:val="20"/>
                <w:szCs w:val="20"/>
              </w:rPr>
              <w:t>Number of participants</w:t>
            </w:r>
          </w:p>
        </w:tc>
        <w:tc>
          <w:tcPr>
            <w:tcW w:w="572" w:type="pct"/>
            <w:tcBorders>
              <w:top w:val="single" w:sz="4" w:space="0" w:color="FFFFFF" w:themeColor="background1"/>
            </w:tcBorders>
            <w:noWrap/>
            <w:hideMark/>
          </w:tcPr>
          <w:p w14:paraId="035F0B8D" w14:textId="77777777" w:rsidR="007D70F6" w:rsidRPr="00191697" w:rsidRDefault="007D70F6" w:rsidP="007D70F6">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2022</w:t>
            </w:r>
          </w:p>
        </w:tc>
        <w:tc>
          <w:tcPr>
            <w:tcW w:w="572" w:type="pct"/>
            <w:tcBorders>
              <w:top w:val="single" w:sz="4" w:space="0" w:color="FFFFFF" w:themeColor="background1"/>
            </w:tcBorders>
            <w:noWrap/>
            <w:hideMark/>
          </w:tcPr>
          <w:p w14:paraId="704ADC03" w14:textId="77777777" w:rsidR="007D70F6" w:rsidRPr="00191697" w:rsidRDefault="007D70F6" w:rsidP="007D70F6">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2023</w:t>
            </w:r>
          </w:p>
        </w:tc>
        <w:tc>
          <w:tcPr>
            <w:tcW w:w="572" w:type="pct"/>
            <w:tcBorders>
              <w:top w:val="single" w:sz="4" w:space="0" w:color="FFFFFF" w:themeColor="background1"/>
            </w:tcBorders>
            <w:noWrap/>
            <w:hideMark/>
          </w:tcPr>
          <w:p w14:paraId="02E75D59" w14:textId="77777777" w:rsidR="007D70F6" w:rsidRPr="00191697" w:rsidRDefault="007D70F6" w:rsidP="007D70F6">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2024</w:t>
            </w:r>
          </w:p>
        </w:tc>
        <w:tc>
          <w:tcPr>
            <w:tcW w:w="572" w:type="pct"/>
            <w:tcBorders>
              <w:top w:val="single" w:sz="4" w:space="0" w:color="FFFFFF" w:themeColor="background1"/>
            </w:tcBorders>
            <w:noWrap/>
            <w:hideMark/>
          </w:tcPr>
          <w:p w14:paraId="00F4D55C" w14:textId="77777777" w:rsidR="007D70F6" w:rsidRPr="00191697" w:rsidRDefault="007D70F6" w:rsidP="007D70F6">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2025</w:t>
            </w:r>
          </w:p>
        </w:tc>
        <w:tc>
          <w:tcPr>
            <w:tcW w:w="572" w:type="pct"/>
            <w:tcBorders>
              <w:top w:val="single" w:sz="4" w:space="0" w:color="FFFFFF" w:themeColor="background1"/>
              <w:right w:val="dotted" w:sz="4" w:space="0" w:color="auto"/>
            </w:tcBorders>
            <w:noWrap/>
            <w:hideMark/>
          </w:tcPr>
          <w:p w14:paraId="4BA9DC7A" w14:textId="77777777" w:rsidR="007D70F6" w:rsidRPr="00191697" w:rsidRDefault="007D70F6" w:rsidP="007D70F6">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2026</w:t>
            </w:r>
          </w:p>
        </w:tc>
        <w:tc>
          <w:tcPr>
            <w:tcW w:w="675" w:type="pct"/>
            <w:tcBorders>
              <w:top w:val="single" w:sz="4" w:space="0" w:color="FFFFFF" w:themeColor="background1"/>
              <w:left w:val="dotted" w:sz="4" w:space="0" w:color="auto"/>
            </w:tcBorders>
            <w:noWrap/>
            <w:hideMark/>
          </w:tcPr>
          <w:p w14:paraId="4E7C0BAE" w14:textId="77777777" w:rsidR="007D70F6" w:rsidRPr="00191697" w:rsidRDefault="007D70F6" w:rsidP="007D70F6">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2032</w:t>
            </w:r>
          </w:p>
        </w:tc>
      </w:tr>
      <w:tr w:rsidR="007D70F6" w:rsidRPr="00771F1F" w14:paraId="553925F6" w14:textId="77777777" w:rsidTr="00444E58">
        <w:trPr>
          <w:trHeight w:val="300"/>
        </w:trPr>
        <w:tc>
          <w:tcPr>
            <w:cnfStyle w:val="001000000000" w:firstRow="0" w:lastRow="0" w:firstColumn="1" w:lastColumn="0" w:oddVBand="0" w:evenVBand="0" w:oddHBand="0" w:evenHBand="0" w:firstRowFirstColumn="0" w:firstRowLastColumn="0" w:lastRowFirstColumn="0" w:lastRowLastColumn="0"/>
            <w:tcW w:w="1465" w:type="pct"/>
            <w:shd w:val="clear" w:color="auto" w:fill="auto"/>
            <w:noWrap/>
            <w:hideMark/>
          </w:tcPr>
          <w:p w14:paraId="29968CDE" w14:textId="77777777" w:rsidR="007D70F6" w:rsidRPr="00771F1F" w:rsidRDefault="007D70F6" w:rsidP="007D70F6">
            <w:pPr>
              <w:keepNext/>
              <w:spacing w:after="0" w:line="240" w:lineRule="auto"/>
              <w:rPr>
                <w:rFonts w:eastAsia="Times New Roman" w:cs="Arial"/>
                <w:color w:val="000000"/>
                <w:sz w:val="20"/>
                <w:szCs w:val="20"/>
              </w:rPr>
            </w:pPr>
            <w:r w:rsidRPr="00771F1F">
              <w:rPr>
                <w:rFonts w:eastAsia="Times New Roman" w:cs="Arial"/>
                <w:color w:val="000000"/>
                <w:sz w:val="20"/>
                <w:szCs w:val="20"/>
              </w:rPr>
              <w:t>Autism</w:t>
            </w:r>
          </w:p>
        </w:tc>
        <w:tc>
          <w:tcPr>
            <w:tcW w:w="572" w:type="pct"/>
            <w:shd w:val="clear" w:color="auto" w:fill="auto"/>
            <w:noWrap/>
            <w:hideMark/>
          </w:tcPr>
          <w:p w14:paraId="0FA6F193" w14:textId="77777777" w:rsidR="007D70F6" w:rsidRPr="00771F1F" w:rsidRDefault="007D70F6" w:rsidP="007D70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182,494</w:t>
            </w:r>
          </w:p>
        </w:tc>
        <w:tc>
          <w:tcPr>
            <w:tcW w:w="572" w:type="pct"/>
            <w:shd w:val="clear" w:color="auto" w:fill="auto"/>
            <w:noWrap/>
            <w:hideMark/>
          </w:tcPr>
          <w:p w14:paraId="128E4E7A" w14:textId="77777777" w:rsidR="007D70F6" w:rsidRPr="00771F1F" w:rsidRDefault="007D70F6" w:rsidP="007D70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211,814</w:t>
            </w:r>
          </w:p>
        </w:tc>
        <w:tc>
          <w:tcPr>
            <w:tcW w:w="572" w:type="pct"/>
            <w:shd w:val="clear" w:color="auto" w:fill="auto"/>
            <w:noWrap/>
            <w:hideMark/>
          </w:tcPr>
          <w:p w14:paraId="78654907" w14:textId="77777777" w:rsidR="007D70F6" w:rsidRPr="00771F1F" w:rsidRDefault="007D70F6" w:rsidP="007D70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241,591</w:t>
            </w:r>
          </w:p>
        </w:tc>
        <w:tc>
          <w:tcPr>
            <w:tcW w:w="572" w:type="pct"/>
            <w:shd w:val="clear" w:color="auto" w:fill="auto"/>
            <w:noWrap/>
            <w:hideMark/>
          </w:tcPr>
          <w:p w14:paraId="60AF7FE9" w14:textId="77777777" w:rsidR="007D70F6" w:rsidRPr="00771F1F" w:rsidRDefault="007D70F6" w:rsidP="007D70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270,920</w:t>
            </w:r>
          </w:p>
        </w:tc>
        <w:tc>
          <w:tcPr>
            <w:tcW w:w="572" w:type="pct"/>
            <w:tcBorders>
              <w:right w:val="dotted" w:sz="4" w:space="0" w:color="auto"/>
            </w:tcBorders>
            <w:shd w:val="clear" w:color="auto" w:fill="auto"/>
            <w:noWrap/>
            <w:hideMark/>
          </w:tcPr>
          <w:p w14:paraId="47CAFCEA" w14:textId="77777777" w:rsidR="007D70F6" w:rsidRPr="00771F1F" w:rsidRDefault="007D70F6" w:rsidP="007D70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300,488</w:t>
            </w:r>
          </w:p>
        </w:tc>
        <w:tc>
          <w:tcPr>
            <w:tcW w:w="675" w:type="pct"/>
            <w:tcBorders>
              <w:left w:val="dotted" w:sz="4" w:space="0" w:color="auto"/>
            </w:tcBorders>
            <w:shd w:val="clear" w:color="auto" w:fill="auto"/>
            <w:noWrap/>
            <w:hideMark/>
          </w:tcPr>
          <w:p w14:paraId="51556CBB" w14:textId="77777777" w:rsidR="007D70F6" w:rsidRPr="00771F1F" w:rsidRDefault="007D70F6" w:rsidP="007D70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479,090</w:t>
            </w:r>
          </w:p>
        </w:tc>
      </w:tr>
      <w:tr w:rsidR="007D70F6" w:rsidRPr="00771F1F" w14:paraId="49946074" w14:textId="77777777" w:rsidTr="00444E5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noWrap/>
            <w:hideMark/>
          </w:tcPr>
          <w:p w14:paraId="0C723B04" w14:textId="77777777" w:rsidR="007D70F6" w:rsidRPr="00771F1F" w:rsidRDefault="007D70F6" w:rsidP="007D70F6">
            <w:pPr>
              <w:keepNext/>
              <w:spacing w:after="0" w:line="240" w:lineRule="auto"/>
              <w:rPr>
                <w:rFonts w:eastAsia="Times New Roman" w:cs="Arial"/>
                <w:color w:val="000000"/>
                <w:sz w:val="20"/>
                <w:szCs w:val="20"/>
              </w:rPr>
            </w:pPr>
            <w:r w:rsidRPr="00771F1F">
              <w:rPr>
                <w:rFonts w:eastAsia="Times New Roman" w:cs="Arial"/>
                <w:color w:val="000000"/>
                <w:sz w:val="20"/>
                <w:szCs w:val="20"/>
              </w:rPr>
              <w:t>Intellectual Disability</w:t>
            </w:r>
          </w:p>
        </w:tc>
        <w:tc>
          <w:tcPr>
            <w:tcW w:w="572" w:type="pct"/>
            <w:noWrap/>
            <w:hideMark/>
          </w:tcPr>
          <w:p w14:paraId="154ECA78"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96,469</w:t>
            </w:r>
          </w:p>
        </w:tc>
        <w:tc>
          <w:tcPr>
            <w:tcW w:w="572" w:type="pct"/>
            <w:noWrap/>
            <w:hideMark/>
          </w:tcPr>
          <w:p w14:paraId="0ABA120C"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102,027</w:t>
            </w:r>
          </w:p>
        </w:tc>
        <w:tc>
          <w:tcPr>
            <w:tcW w:w="572" w:type="pct"/>
            <w:noWrap/>
            <w:hideMark/>
          </w:tcPr>
          <w:p w14:paraId="1F530F88"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107,598</w:t>
            </w:r>
          </w:p>
        </w:tc>
        <w:tc>
          <w:tcPr>
            <w:tcW w:w="572" w:type="pct"/>
            <w:noWrap/>
            <w:hideMark/>
          </w:tcPr>
          <w:p w14:paraId="50879E96"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112,930</w:t>
            </w:r>
          </w:p>
        </w:tc>
        <w:tc>
          <w:tcPr>
            <w:tcW w:w="572" w:type="pct"/>
            <w:tcBorders>
              <w:right w:val="dotted" w:sz="4" w:space="0" w:color="auto"/>
            </w:tcBorders>
            <w:noWrap/>
            <w:hideMark/>
          </w:tcPr>
          <w:p w14:paraId="7DDBB396"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118,315</w:t>
            </w:r>
          </w:p>
        </w:tc>
        <w:tc>
          <w:tcPr>
            <w:tcW w:w="675" w:type="pct"/>
            <w:tcBorders>
              <w:left w:val="dotted" w:sz="4" w:space="0" w:color="auto"/>
            </w:tcBorders>
            <w:noWrap/>
            <w:hideMark/>
          </w:tcPr>
          <w:p w14:paraId="70856C30"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150,335</w:t>
            </w:r>
          </w:p>
        </w:tc>
      </w:tr>
      <w:tr w:rsidR="007D70F6" w:rsidRPr="00771F1F" w14:paraId="761BC911" w14:textId="77777777" w:rsidTr="00444E58">
        <w:trPr>
          <w:trHeight w:val="300"/>
        </w:trPr>
        <w:tc>
          <w:tcPr>
            <w:cnfStyle w:val="001000000000" w:firstRow="0" w:lastRow="0" w:firstColumn="1" w:lastColumn="0" w:oddVBand="0" w:evenVBand="0" w:oddHBand="0" w:evenHBand="0" w:firstRowFirstColumn="0" w:firstRowLastColumn="0" w:lastRowFirstColumn="0" w:lastRowLastColumn="0"/>
            <w:tcW w:w="1465" w:type="pct"/>
            <w:shd w:val="clear" w:color="auto" w:fill="auto"/>
            <w:noWrap/>
            <w:hideMark/>
          </w:tcPr>
          <w:p w14:paraId="5C451516" w14:textId="77777777" w:rsidR="007D70F6" w:rsidRPr="00771F1F" w:rsidRDefault="007D70F6" w:rsidP="007D70F6">
            <w:pPr>
              <w:keepNext/>
              <w:spacing w:after="0" w:line="240" w:lineRule="auto"/>
              <w:rPr>
                <w:rFonts w:eastAsia="Times New Roman" w:cs="Arial"/>
                <w:color w:val="000000"/>
                <w:sz w:val="20"/>
                <w:szCs w:val="20"/>
              </w:rPr>
            </w:pPr>
            <w:r w:rsidRPr="00771F1F">
              <w:rPr>
                <w:rFonts w:eastAsia="Times New Roman" w:cs="Arial"/>
                <w:color w:val="000000"/>
                <w:sz w:val="20"/>
                <w:szCs w:val="20"/>
              </w:rPr>
              <w:t>Psychosocial Disability</w:t>
            </w:r>
          </w:p>
        </w:tc>
        <w:tc>
          <w:tcPr>
            <w:tcW w:w="572" w:type="pct"/>
            <w:shd w:val="clear" w:color="auto" w:fill="auto"/>
            <w:noWrap/>
            <w:hideMark/>
          </w:tcPr>
          <w:p w14:paraId="6146C9C0" w14:textId="77777777" w:rsidR="007D70F6" w:rsidRPr="00771F1F" w:rsidRDefault="007D70F6" w:rsidP="007D70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56,559</w:t>
            </w:r>
          </w:p>
        </w:tc>
        <w:tc>
          <w:tcPr>
            <w:tcW w:w="572" w:type="pct"/>
            <w:shd w:val="clear" w:color="auto" w:fill="auto"/>
            <w:noWrap/>
            <w:hideMark/>
          </w:tcPr>
          <w:p w14:paraId="73B6C601" w14:textId="77777777" w:rsidR="007D70F6" w:rsidRPr="00771F1F" w:rsidRDefault="007D70F6" w:rsidP="007D70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63,974</w:t>
            </w:r>
          </w:p>
        </w:tc>
        <w:tc>
          <w:tcPr>
            <w:tcW w:w="572" w:type="pct"/>
            <w:shd w:val="clear" w:color="auto" w:fill="auto"/>
            <w:noWrap/>
            <w:hideMark/>
          </w:tcPr>
          <w:p w14:paraId="45D70CD9" w14:textId="77777777" w:rsidR="007D70F6" w:rsidRPr="00771F1F" w:rsidRDefault="007D70F6" w:rsidP="007D70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70,306</w:t>
            </w:r>
          </w:p>
        </w:tc>
        <w:tc>
          <w:tcPr>
            <w:tcW w:w="572" w:type="pct"/>
            <w:shd w:val="clear" w:color="auto" w:fill="auto"/>
            <w:noWrap/>
            <w:hideMark/>
          </w:tcPr>
          <w:p w14:paraId="6614BDAB" w14:textId="77777777" w:rsidR="007D70F6" w:rsidRPr="00771F1F" w:rsidRDefault="007D70F6" w:rsidP="007D70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74,520</w:t>
            </w:r>
          </w:p>
        </w:tc>
        <w:tc>
          <w:tcPr>
            <w:tcW w:w="572" w:type="pct"/>
            <w:tcBorders>
              <w:right w:val="dotted" w:sz="4" w:space="0" w:color="auto"/>
            </w:tcBorders>
            <w:shd w:val="clear" w:color="auto" w:fill="auto"/>
            <w:noWrap/>
            <w:hideMark/>
          </w:tcPr>
          <w:p w14:paraId="44BD24FC" w14:textId="77777777" w:rsidR="007D70F6" w:rsidRPr="00771F1F" w:rsidRDefault="007D70F6" w:rsidP="007D70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78,659</w:t>
            </w:r>
          </w:p>
        </w:tc>
        <w:tc>
          <w:tcPr>
            <w:tcW w:w="675" w:type="pct"/>
            <w:tcBorders>
              <w:left w:val="dotted" w:sz="4" w:space="0" w:color="auto"/>
            </w:tcBorders>
            <w:shd w:val="clear" w:color="auto" w:fill="auto"/>
            <w:noWrap/>
            <w:hideMark/>
          </w:tcPr>
          <w:p w14:paraId="2740A58D" w14:textId="77777777" w:rsidR="007D70F6" w:rsidRPr="00771F1F" w:rsidRDefault="007D70F6" w:rsidP="007D70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102,026</w:t>
            </w:r>
          </w:p>
        </w:tc>
      </w:tr>
      <w:tr w:rsidR="007D70F6" w:rsidRPr="00771F1F" w14:paraId="5D36F5CB" w14:textId="77777777" w:rsidTr="00444E5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noWrap/>
            <w:hideMark/>
          </w:tcPr>
          <w:p w14:paraId="22FD8FE2" w14:textId="77777777" w:rsidR="007D70F6" w:rsidRPr="00771F1F" w:rsidRDefault="007D70F6" w:rsidP="007D70F6">
            <w:pPr>
              <w:keepNext/>
              <w:spacing w:after="0" w:line="240" w:lineRule="auto"/>
              <w:rPr>
                <w:rFonts w:eastAsia="Times New Roman" w:cs="Arial"/>
                <w:color w:val="000000"/>
                <w:sz w:val="20"/>
                <w:szCs w:val="20"/>
              </w:rPr>
            </w:pPr>
            <w:r w:rsidRPr="00771F1F">
              <w:rPr>
                <w:rFonts w:eastAsia="Times New Roman" w:cs="Arial"/>
                <w:color w:val="000000"/>
                <w:sz w:val="20"/>
                <w:szCs w:val="20"/>
              </w:rPr>
              <w:t>Developmental Delay</w:t>
            </w:r>
          </w:p>
        </w:tc>
        <w:tc>
          <w:tcPr>
            <w:tcW w:w="572" w:type="pct"/>
            <w:noWrap/>
            <w:hideMark/>
          </w:tcPr>
          <w:p w14:paraId="74858A92"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58,718</w:t>
            </w:r>
          </w:p>
        </w:tc>
        <w:tc>
          <w:tcPr>
            <w:tcW w:w="572" w:type="pct"/>
            <w:noWrap/>
            <w:hideMark/>
          </w:tcPr>
          <w:p w14:paraId="4221E917"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64,158</w:t>
            </w:r>
          </w:p>
        </w:tc>
        <w:tc>
          <w:tcPr>
            <w:tcW w:w="572" w:type="pct"/>
            <w:noWrap/>
            <w:hideMark/>
          </w:tcPr>
          <w:p w14:paraId="29F8007B"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67,276</w:t>
            </w:r>
          </w:p>
        </w:tc>
        <w:tc>
          <w:tcPr>
            <w:tcW w:w="572" w:type="pct"/>
            <w:noWrap/>
            <w:hideMark/>
          </w:tcPr>
          <w:p w14:paraId="2A374275"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69,122</w:t>
            </w:r>
          </w:p>
        </w:tc>
        <w:tc>
          <w:tcPr>
            <w:tcW w:w="572" w:type="pct"/>
            <w:tcBorders>
              <w:right w:val="dotted" w:sz="4" w:space="0" w:color="auto"/>
            </w:tcBorders>
            <w:noWrap/>
            <w:hideMark/>
          </w:tcPr>
          <w:p w14:paraId="24FD38D4"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70,252</w:t>
            </w:r>
          </w:p>
        </w:tc>
        <w:tc>
          <w:tcPr>
            <w:tcW w:w="675" w:type="pct"/>
            <w:tcBorders>
              <w:left w:val="dotted" w:sz="4" w:space="0" w:color="auto"/>
            </w:tcBorders>
            <w:noWrap/>
            <w:hideMark/>
          </w:tcPr>
          <w:p w14:paraId="2179EAF1"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74,728</w:t>
            </w:r>
          </w:p>
        </w:tc>
      </w:tr>
      <w:tr w:rsidR="007D70F6" w:rsidRPr="00771F1F" w14:paraId="2E62E605" w14:textId="77777777" w:rsidTr="00444E58">
        <w:trPr>
          <w:trHeight w:val="300"/>
        </w:trPr>
        <w:tc>
          <w:tcPr>
            <w:cnfStyle w:val="001000000000" w:firstRow="0" w:lastRow="0" w:firstColumn="1" w:lastColumn="0" w:oddVBand="0" w:evenVBand="0" w:oddHBand="0" w:evenHBand="0" w:firstRowFirstColumn="0" w:firstRowLastColumn="0" w:lastRowFirstColumn="0" w:lastRowLastColumn="0"/>
            <w:tcW w:w="1465" w:type="pct"/>
            <w:shd w:val="clear" w:color="auto" w:fill="auto"/>
            <w:noWrap/>
            <w:hideMark/>
          </w:tcPr>
          <w:p w14:paraId="20804936" w14:textId="77777777" w:rsidR="007D70F6" w:rsidRPr="00771F1F" w:rsidRDefault="007D70F6" w:rsidP="007D70F6">
            <w:pPr>
              <w:keepNext/>
              <w:spacing w:after="0" w:line="240" w:lineRule="auto"/>
              <w:rPr>
                <w:rFonts w:eastAsia="Times New Roman" w:cs="Arial"/>
                <w:color w:val="000000"/>
                <w:sz w:val="20"/>
                <w:szCs w:val="20"/>
              </w:rPr>
            </w:pPr>
            <w:r w:rsidRPr="00771F1F">
              <w:rPr>
                <w:rFonts w:eastAsia="Times New Roman" w:cs="Arial"/>
                <w:color w:val="000000"/>
                <w:sz w:val="20"/>
                <w:szCs w:val="20"/>
              </w:rPr>
              <w:t>Sensory</w:t>
            </w:r>
          </w:p>
        </w:tc>
        <w:tc>
          <w:tcPr>
            <w:tcW w:w="572" w:type="pct"/>
            <w:shd w:val="clear" w:color="auto" w:fill="auto"/>
            <w:noWrap/>
            <w:hideMark/>
          </w:tcPr>
          <w:p w14:paraId="748555A2" w14:textId="77777777" w:rsidR="007D70F6" w:rsidRPr="00771F1F" w:rsidRDefault="007D70F6" w:rsidP="007D70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36,511</w:t>
            </w:r>
          </w:p>
        </w:tc>
        <w:tc>
          <w:tcPr>
            <w:tcW w:w="572" w:type="pct"/>
            <w:shd w:val="clear" w:color="auto" w:fill="auto"/>
            <w:noWrap/>
            <w:hideMark/>
          </w:tcPr>
          <w:p w14:paraId="3A3330D2" w14:textId="77777777" w:rsidR="007D70F6" w:rsidRPr="00771F1F" w:rsidRDefault="007D70F6" w:rsidP="007D70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39,012</w:t>
            </w:r>
          </w:p>
        </w:tc>
        <w:tc>
          <w:tcPr>
            <w:tcW w:w="572" w:type="pct"/>
            <w:shd w:val="clear" w:color="auto" w:fill="auto"/>
            <w:noWrap/>
            <w:hideMark/>
          </w:tcPr>
          <w:p w14:paraId="58E4C3A0" w14:textId="77777777" w:rsidR="007D70F6" w:rsidRPr="00771F1F" w:rsidRDefault="007D70F6" w:rsidP="007D70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41,407</w:t>
            </w:r>
          </w:p>
        </w:tc>
        <w:tc>
          <w:tcPr>
            <w:tcW w:w="572" w:type="pct"/>
            <w:shd w:val="clear" w:color="auto" w:fill="auto"/>
            <w:noWrap/>
            <w:hideMark/>
          </w:tcPr>
          <w:p w14:paraId="5B31BB13" w14:textId="77777777" w:rsidR="007D70F6" w:rsidRPr="00771F1F" w:rsidRDefault="007D70F6" w:rsidP="007D70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43,540</w:t>
            </w:r>
          </w:p>
        </w:tc>
        <w:tc>
          <w:tcPr>
            <w:tcW w:w="572" w:type="pct"/>
            <w:tcBorders>
              <w:right w:val="dotted" w:sz="4" w:space="0" w:color="auto"/>
            </w:tcBorders>
            <w:shd w:val="clear" w:color="auto" w:fill="auto"/>
            <w:noWrap/>
            <w:hideMark/>
          </w:tcPr>
          <w:p w14:paraId="1DE29B9A" w14:textId="77777777" w:rsidR="007D70F6" w:rsidRPr="00771F1F" w:rsidRDefault="007D70F6" w:rsidP="007D70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45,664</w:t>
            </w:r>
          </w:p>
        </w:tc>
        <w:tc>
          <w:tcPr>
            <w:tcW w:w="675" w:type="pct"/>
            <w:tcBorders>
              <w:left w:val="dotted" w:sz="4" w:space="0" w:color="auto"/>
            </w:tcBorders>
            <w:shd w:val="clear" w:color="auto" w:fill="auto"/>
            <w:noWrap/>
            <w:hideMark/>
          </w:tcPr>
          <w:p w14:paraId="1978124D" w14:textId="77777777" w:rsidR="007D70F6" w:rsidRPr="00771F1F" w:rsidRDefault="007D70F6" w:rsidP="007D70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58,095</w:t>
            </w:r>
          </w:p>
        </w:tc>
      </w:tr>
      <w:tr w:rsidR="007D70F6" w:rsidRPr="00771F1F" w14:paraId="0DCE8936" w14:textId="77777777" w:rsidTr="00444E5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tcBorders>
              <w:bottom w:val="single" w:sz="4" w:space="0" w:color="auto"/>
            </w:tcBorders>
            <w:noWrap/>
            <w:hideMark/>
          </w:tcPr>
          <w:p w14:paraId="231F23B0" w14:textId="77777777" w:rsidR="007D70F6" w:rsidRPr="00771F1F" w:rsidRDefault="007D70F6" w:rsidP="007D70F6">
            <w:pPr>
              <w:keepNext/>
              <w:spacing w:after="0" w:line="240" w:lineRule="auto"/>
              <w:rPr>
                <w:rFonts w:eastAsia="Times New Roman" w:cs="Arial"/>
                <w:color w:val="000000"/>
                <w:sz w:val="20"/>
                <w:szCs w:val="20"/>
              </w:rPr>
            </w:pPr>
            <w:r w:rsidRPr="00771F1F">
              <w:rPr>
                <w:rFonts w:eastAsia="Times New Roman" w:cs="Arial"/>
                <w:color w:val="000000"/>
                <w:sz w:val="20"/>
                <w:szCs w:val="20"/>
              </w:rPr>
              <w:t>Other</w:t>
            </w:r>
          </w:p>
        </w:tc>
        <w:tc>
          <w:tcPr>
            <w:tcW w:w="572" w:type="pct"/>
            <w:tcBorders>
              <w:bottom w:val="single" w:sz="4" w:space="0" w:color="auto"/>
            </w:tcBorders>
            <w:noWrap/>
            <w:hideMark/>
          </w:tcPr>
          <w:p w14:paraId="7CA8D08E"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103,904</w:t>
            </w:r>
          </w:p>
        </w:tc>
        <w:tc>
          <w:tcPr>
            <w:tcW w:w="572" w:type="pct"/>
            <w:tcBorders>
              <w:bottom w:val="single" w:sz="4" w:space="0" w:color="auto"/>
            </w:tcBorders>
            <w:noWrap/>
            <w:hideMark/>
          </w:tcPr>
          <w:p w14:paraId="7355CB92"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111,310</w:t>
            </w:r>
          </w:p>
        </w:tc>
        <w:tc>
          <w:tcPr>
            <w:tcW w:w="572" w:type="pct"/>
            <w:tcBorders>
              <w:bottom w:val="single" w:sz="4" w:space="0" w:color="auto"/>
            </w:tcBorders>
            <w:noWrap/>
            <w:hideMark/>
          </w:tcPr>
          <w:p w14:paraId="3D6FA723"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117,834</w:t>
            </w:r>
          </w:p>
        </w:tc>
        <w:tc>
          <w:tcPr>
            <w:tcW w:w="572" w:type="pct"/>
            <w:tcBorders>
              <w:bottom w:val="single" w:sz="4" w:space="0" w:color="auto"/>
            </w:tcBorders>
            <w:noWrap/>
            <w:hideMark/>
          </w:tcPr>
          <w:p w14:paraId="7F6BB05E"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122,856</w:t>
            </w:r>
          </w:p>
        </w:tc>
        <w:tc>
          <w:tcPr>
            <w:tcW w:w="572" w:type="pct"/>
            <w:tcBorders>
              <w:bottom w:val="single" w:sz="4" w:space="0" w:color="auto"/>
              <w:right w:val="dotted" w:sz="4" w:space="0" w:color="auto"/>
            </w:tcBorders>
            <w:noWrap/>
            <w:hideMark/>
          </w:tcPr>
          <w:p w14:paraId="615A115D"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127,698</w:t>
            </w:r>
          </w:p>
        </w:tc>
        <w:tc>
          <w:tcPr>
            <w:tcW w:w="675" w:type="pct"/>
            <w:tcBorders>
              <w:left w:val="dotted" w:sz="4" w:space="0" w:color="auto"/>
              <w:bottom w:val="single" w:sz="4" w:space="0" w:color="auto"/>
            </w:tcBorders>
            <w:noWrap/>
            <w:hideMark/>
          </w:tcPr>
          <w:p w14:paraId="57590981" w14:textId="77777777" w:rsidR="007D70F6" w:rsidRPr="00771F1F" w:rsidRDefault="007D70F6" w:rsidP="007D70F6">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153,249</w:t>
            </w:r>
          </w:p>
        </w:tc>
      </w:tr>
      <w:tr w:rsidR="007D70F6" w:rsidRPr="00771F1F" w14:paraId="243B089B" w14:textId="77777777" w:rsidTr="00444E58">
        <w:trPr>
          <w:trHeight w:val="300"/>
        </w:trPr>
        <w:tc>
          <w:tcPr>
            <w:cnfStyle w:val="001000000000" w:firstRow="0" w:lastRow="0" w:firstColumn="1" w:lastColumn="0" w:oddVBand="0" w:evenVBand="0" w:oddHBand="0" w:evenHBand="0" w:firstRowFirstColumn="0" w:firstRowLastColumn="0" w:lastRowFirstColumn="0" w:lastRowLastColumn="0"/>
            <w:tcW w:w="1465" w:type="pct"/>
            <w:tcBorders>
              <w:top w:val="single" w:sz="4" w:space="0" w:color="auto"/>
              <w:bottom w:val="single" w:sz="4" w:space="0" w:color="auto"/>
            </w:tcBorders>
            <w:shd w:val="clear" w:color="auto" w:fill="D4C5D7"/>
            <w:noWrap/>
            <w:hideMark/>
          </w:tcPr>
          <w:p w14:paraId="47728CF2" w14:textId="77777777" w:rsidR="007D70F6" w:rsidRPr="00771F1F" w:rsidRDefault="007D70F6" w:rsidP="007D70F6">
            <w:pPr>
              <w:keepNext/>
              <w:spacing w:after="0" w:line="240" w:lineRule="auto"/>
              <w:rPr>
                <w:rFonts w:eastAsia="Times New Roman" w:cs="Arial"/>
                <w:b/>
                <w:bCs/>
                <w:color w:val="000000"/>
                <w:sz w:val="20"/>
                <w:szCs w:val="20"/>
              </w:rPr>
            </w:pPr>
            <w:r w:rsidRPr="00771F1F">
              <w:rPr>
                <w:rFonts w:eastAsia="Times New Roman" w:cs="Arial"/>
                <w:b/>
                <w:bCs/>
                <w:color w:val="000000"/>
                <w:sz w:val="20"/>
                <w:szCs w:val="20"/>
              </w:rPr>
              <w:t>Total</w:t>
            </w:r>
          </w:p>
        </w:tc>
        <w:tc>
          <w:tcPr>
            <w:tcW w:w="572" w:type="pct"/>
            <w:tcBorders>
              <w:top w:val="single" w:sz="4" w:space="0" w:color="auto"/>
              <w:bottom w:val="single" w:sz="4" w:space="0" w:color="auto"/>
            </w:tcBorders>
            <w:shd w:val="clear" w:color="auto" w:fill="D4C5D7"/>
            <w:noWrap/>
            <w:hideMark/>
          </w:tcPr>
          <w:p w14:paraId="1095FFD3" w14:textId="77777777" w:rsidR="007D70F6" w:rsidRPr="00771F1F" w:rsidRDefault="007D70F6" w:rsidP="007D70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534,655</w:t>
            </w:r>
          </w:p>
        </w:tc>
        <w:tc>
          <w:tcPr>
            <w:tcW w:w="572" w:type="pct"/>
            <w:tcBorders>
              <w:top w:val="single" w:sz="4" w:space="0" w:color="auto"/>
              <w:bottom w:val="single" w:sz="4" w:space="0" w:color="auto"/>
            </w:tcBorders>
            <w:shd w:val="clear" w:color="auto" w:fill="D4C5D7"/>
            <w:noWrap/>
            <w:hideMark/>
          </w:tcPr>
          <w:p w14:paraId="6584084F" w14:textId="77777777" w:rsidR="007D70F6" w:rsidRPr="00771F1F" w:rsidRDefault="007D70F6" w:rsidP="007D70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592,294</w:t>
            </w:r>
          </w:p>
        </w:tc>
        <w:tc>
          <w:tcPr>
            <w:tcW w:w="572" w:type="pct"/>
            <w:tcBorders>
              <w:top w:val="single" w:sz="4" w:space="0" w:color="auto"/>
              <w:bottom w:val="single" w:sz="4" w:space="0" w:color="auto"/>
            </w:tcBorders>
            <w:shd w:val="clear" w:color="auto" w:fill="D4C5D7"/>
            <w:noWrap/>
            <w:hideMark/>
          </w:tcPr>
          <w:p w14:paraId="153FA38E" w14:textId="77777777" w:rsidR="007D70F6" w:rsidRPr="00771F1F" w:rsidRDefault="007D70F6" w:rsidP="007D70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646,012</w:t>
            </w:r>
          </w:p>
        </w:tc>
        <w:tc>
          <w:tcPr>
            <w:tcW w:w="572" w:type="pct"/>
            <w:tcBorders>
              <w:top w:val="single" w:sz="4" w:space="0" w:color="auto"/>
              <w:bottom w:val="single" w:sz="4" w:space="0" w:color="auto"/>
            </w:tcBorders>
            <w:shd w:val="clear" w:color="auto" w:fill="D4C5D7"/>
            <w:noWrap/>
            <w:hideMark/>
          </w:tcPr>
          <w:p w14:paraId="457244CB" w14:textId="77777777" w:rsidR="007D70F6" w:rsidRPr="00771F1F" w:rsidRDefault="007D70F6" w:rsidP="007D70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693,889</w:t>
            </w:r>
          </w:p>
        </w:tc>
        <w:tc>
          <w:tcPr>
            <w:tcW w:w="572" w:type="pct"/>
            <w:tcBorders>
              <w:top w:val="single" w:sz="4" w:space="0" w:color="auto"/>
              <w:bottom w:val="single" w:sz="4" w:space="0" w:color="auto"/>
              <w:right w:val="dotted" w:sz="4" w:space="0" w:color="auto"/>
            </w:tcBorders>
            <w:shd w:val="clear" w:color="auto" w:fill="D4C5D7"/>
            <w:noWrap/>
            <w:hideMark/>
          </w:tcPr>
          <w:p w14:paraId="4BC60127" w14:textId="77777777" w:rsidR="007D70F6" w:rsidRPr="00771F1F" w:rsidRDefault="007D70F6" w:rsidP="007D70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741,077</w:t>
            </w:r>
          </w:p>
        </w:tc>
        <w:tc>
          <w:tcPr>
            <w:tcW w:w="675" w:type="pct"/>
            <w:tcBorders>
              <w:top w:val="single" w:sz="4" w:space="0" w:color="auto"/>
              <w:left w:val="dotted" w:sz="4" w:space="0" w:color="auto"/>
              <w:bottom w:val="single" w:sz="4" w:space="0" w:color="auto"/>
            </w:tcBorders>
            <w:shd w:val="clear" w:color="auto" w:fill="D4C5D7"/>
            <w:noWrap/>
            <w:hideMark/>
          </w:tcPr>
          <w:p w14:paraId="0627141B" w14:textId="77777777" w:rsidR="007D70F6" w:rsidRPr="00771F1F" w:rsidRDefault="007D70F6" w:rsidP="007D70F6">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1,017,522</w:t>
            </w:r>
          </w:p>
        </w:tc>
      </w:tr>
    </w:tbl>
    <w:p w14:paraId="07C5F003" w14:textId="77777777" w:rsidR="00444E58" w:rsidRDefault="00444E58" w:rsidP="00444E58">
      <w:pPr>
        <w:pStyle w:val="FSRnormal"/>
        <w:spacing w:before="0" w:after="0"/>
      </w:pPr>
    </w:p>
    <w:tbl>
      <w:tblPr>
        <w:tblStyle w:val="FSRtable"/>
        <w:tblW w:w="5000" w:type="pct"/>
        <w:tblInd w:w="0" w:type="dxa"/>
        <w:tblLook w:val="04A0" w:firstRow="1" w:lastRow="0" w:firstColumn="1" w:lastColumn="0" w:noHBand="0" w:noVBand="1"/>
      </w:tblPr>
      <w:tblGrid>
        <w:gridCol w:w="2644"/>
        <w:gridCol w:w="1032"/>
        <w:gridCol w:w="1032"/>
        <w:gridCol w:w="1033"/>
        <w:gridCol w:w="1033"/>
        <w:gridCol w:w="1033"/>
        <w:gridCol w:w="1219"/>
      </w:tblGrid>
      <w:tr w:rsidR="00444E58" w:rsidRPr="00446DD2" w14:paraId="2F10177F" w14:textId="77777777" w:rsidTr="009B4009">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465" w:type="pct"/>
          </w:tcPr>
          <w:p w14:paraId="4F95646D" w14:textId="77777777" w:rsidR="00444E58" w:rsidRPr="00DA3F73" w:rsidRDefault="00444E58" w:rsidP="009B4009">
            <w:pPr>
              <w:keepNext/>
              <w:spacing w:after="0" w:line="240" w:lineRule="auto"/>
              <w:rPr>
                <w:rFonts w:eastAsia="Times New Roman"/>
                <w:bCs/>
                <w:color w:val="FFFFFF"/>
                <w:sz w:val="20"/>
                <w:szCs w:val="20"/>
              </w:rPr>
            </w:pPr>
          </w:p>
        </w:tc>
        <w:tc>
          <w:tcPr>
            <w:tcW w:w="3535" w:type="pct"/>
            <w:gridSpan w:val="6"/>
            <w:tcBorders>
              <w:top w:val="single" w:sz="4" w:space="0" w:color="auto"/>
              <w:bottom w:val="single" w:sz="4" w:space="0" w:color="FFFFFF" w:themeColor="background1"/>
            </w:tcBorders>
            <w:noWrap/>
            <w:hideMark/>
          </w:tcPr>
          <w:p w14:paraId="313A926C" w14:textId="77777777" w:rsidR="00444E58" w:rsidRPr="00DA3F73" w:rsidRDefault="00444E58" w:rsidP="009B4009">
            <w:pPr>
              <w:keepNext/>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446DD2">
              <w:rPr>
                <w:rFonts w:eastAsia="Times New Roman"/>
                <w:bCs/>
                <w:color w:val="FFFFFF"/>
                <w:sz w:val="20"/>
                <w:szCs w:val="20"/>
              </w:rPr>
              <w:t>At 30 June</w:t>
            </w:r>
          </w:p>
        </w:tc>
      </w:tr>
      <w:tr w:rsidR="00444E58" w:rsidRPr="00191697" w14:paraId="2342C173" w14:textId="77777777" w:rsidTr="00444E58">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465" w:type="pct"/>
            <w:hideMark/>
          </w:tcPr>
          <w:p w14:paraId="176229F2" w14:textId="77777777" w:rsidR="00444E58" w:rsidRPr="00191697" w:rsidRDefault="00444E58" w:rsidP="009B4009">
            <w:pPr>
              <w:keepNext/>
              <w:spacing w:after="0" w:line="240" w:lineRule="auto"/>
              <w:rPr>
                <w:rFonts w:eastAsia="Times New Roman"/>
                <w:bCs/>
                <w:color w:val="FFFFFF"/>
                <w:sz w:val="20"/>
                <w:szCs w:val="20"/>
              </w:rPr>
            </w:pPr>
            <w:r w:rsidRPr="00191697">
              <w:rPr>
                <w:rFonts w:eastAsia="Times New Roman"/>
                <w:bCs/>
                <w:color w:val="FFFFFF"/>
                <w:sz w:val="20"/>
                <w:szCs w:val="20"/>
              </w:rPr>
              <w:t>Number of participants</w:t>
            </w:r>
          </w:p>
        </w:tc>
        <w:tc>
          <w:tcPr>
            <w:tcW w:w="572" w:type="pct"/>
            <w:tcBorders>
              <w:top w:val="single" w:sz="4" w:space="0" w:color="FFFFFF" w:themeColor="background1"/>
            </w:tcBorders>
            <w:noWrap/>
            <w:hideMark/>
          </w:tcPr>
          <w:p w14:paraId="2BEFF558" w14:textId="77777777" w:rsidR="00444E58" w:rsidRPr="00191697" w:rsidRDefault="00444E58" w:rsidP="009B400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2022</w:t>
            </w:r>
          </w:p>
        </w:tc>
        <w:tc>
          <w:tcPr>
            <w:tcW w:w="572" w:type="pct"/>
            <w:tcBorders>
              <w:top w:val="single" w:sz="4" w:space="0" w:color="FFFFFF" w:themeColor="background1"/>
            </w:tcBorders>
            <w:noWrap/>
            <w:hideMark/>
          </w:tcPr>
          <w:p w14:paraId="2FA3EEF0" w14:textId="77777777" w:rsidR="00444E58" w:rsidRPr="00191697" w:rsidRDefault="00444E58" w:rsidP="009B400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2023</w:t>
            </w:r>
          </w:p>
        </w:tc>
        <w:tc>
          <w:tcPr>
            <w:tcW w:w="572" w:type="pct"/>
            <w:tcBorders>
              <w:top w:val="single" w:sz="4" w:space="0" w:color="FFFFFF" w:themeColor="background1"/>
            </w:tcBorders>
            <w:noWrap/>
            <w:hideMark/>
          </w:tcPr>
          <w:p w14:paraId="3F1228FB" w14:textId="77777777" w:rsidR="00444E58" w:rsidRPr="00191697" w:rsidRDefault="00444E58" w:rsidP="009B400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2024</w:t>
            </w:r>
          </w:p>
        </w:tc>
        <w:tc>
          <w:tcPr>
            <w:tcW w:w="572" w:type="pct"/>
            <w:tcBorders>
              <w:top w:val="single" w:sz="4" w:space="0" w:color="FFFFFF" w:themeColor="background1"/>
            </w:tcBorders>
            <w:noWrap/>
            <w:hideMark/>
          </w:tcPr>
          <w:p w14:paraId="36BAFD13" w14:textId="77777777" w:rsidR="00444E58" w:rsidRPr="00191697" w:rsidRDefault="00444E58" w:rsidP="009B400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2025</w:t>
            </w:r>
          </w:p>
        </w:tc>
        <w:tc>
          <w:tcPr>
            <w:tcW w:w="572" w:type="pct"/>
            <w:tcBorders>
              <w:top w:val="single" w:sz="4" w:space="0" w:color="FFFFFF" w:themeColor="background1"/>
              <w:right w:val="dotted" w:sz="4" w:space="0" w:color="auto"/>
            </w:tcBorders>
            <w:noWrap/>
            <w:hideMark/>
          </w:tcPr>
          <w:p w14:paraId="3E8B9E37" w14:textId="77777777" w:rsidR="00444E58" w:rsidRPr="00191697" w:rsidRDefault="00444E58" w:rsidP="009B400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2026</w:t>
            </w:r>
          </w:p>
        </w:tc>
        <w:tc>
          <w:tcPr>
            <w:tcW w:w="675" w:type="pct"/>
            <w:tcBorders>
              <w:top w:val="single" w:sz="4" w:space="0" w:color="FFFFFF" w:themeColor="background1"/>
              <w:left w:val="dotted" w:sz="4" w:space="0" w:color="auto"/>
            </w:tcBorders>
            <w:noWrap/>
            <w:hideMark/>
          </w:tcPr>
          <w:p w14:paraId="0D41756E" w14:textId="77777777" w:rsidR="00444E58" w:rsidRPr="00191697" w:rsidRDefault="00444E58" w:rsidP="009B400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191697">
              <w:rPr>
                <w:rFonts w:eastAsia="Times New Roman"/>
                <w:bCs/>
                <w:color w:val="FFFFFF"/>
                <w:sz w:val="20"/>
                <w:szCs w:val="20"/>
              </w:rPr>
              <w:t>2032</w:t>
            </w:r>
          </w:p>
        </w:tc>
      </w:tr>
      <w:tr w:rsidR="00444E58" w:rsidRPr="00771F1F" w14:paraId="6129FEF8" w14:textId="77777777" w:rsidTr="00444E58">
        <w:trPr>
          <w:trHeight w:val="300"/>
        </w:trPr>
        <w:tc>
          <w:tcPr>
            <w:cnfStyle w:val="001000000000" w:firstRow="0" w:lastRow="0" w:firstColumn="1" w:lastColumn="0" w:oddVBand="0" w:evenVBand="0" w:oddHBand="0" w:evenHBand="0" w:firstRowFirstColumn="0" w:firstRowLastColumn="0" w:lastRowFirstColumn="0" w:lastRowLastColumn="0"/>
            <w:tcW w:w="1465" w:type="pct"/>
            <w:tcBorders>
              <w:top w:val="single" w:sz="4" w:space="0" w:color="auto"/>
            </w:tcBorders>
            <w:noWrap/>
            <w:hideMark/>
          </w:tcPr>
          <w:p w14:paraId="53040D00" w14:textId="77777777" w:rsidR="00444E58" w:rsidRPr="00771F1F" w:rsidRDefault="00444E58" w:rsidP="009B4009">
            <w:pPr>
              <w:keepNext/>
              <w:spacing w:after="0" w:line="240" w:lineRule="auto"/>
              <w:rPr>
                <w:rFonts w:eastAsia="Times New Roman" w:cs="Arial"/>
                <w:color w:val="000000"/>
                <w:sz w:val="20"/>
                <w:szCs w:val="20"/>
              </w:rPr>
            </w:pPr>
            <w:r w:rsidRPr="00771F1F">
              <w:rPr>
                <w:rFonts w:eastAsia="Times New Roman" w:cs="Arial"/>
                <w:color w:val="000000"/>
                <w:sz w:val="20"/>
                <w:szCs w:val="20"/>
              </w:rPr>
              <w:t>Autism</w:t>
            </w:r>
          </w:p>
        </w:tc>
        <w:tc>
          <w:tcPr>
            <w:tcW w:w="572" w:type="pct"/>
            <w:tcBorders>
              <w:top w:val="single" w:sz="4" w:space="0" w:color="auto"/>
            </w:tcBorders>
            <w:noWrap/>
            <w:hideMark/>
          </w:tcPr>
          <w:p w14:paraId="5D73A9FE" w14:textId="77777777" w:rsidR="00444E58" w:rsidRPr="00771F1F" w:rsidRDefault="00444E58"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34.1%</w:t>
            </w:r>
          </w:p>
        </w:tc>
        <w:tc>
          <w:tcPr>
            <w:tcW w:w="572" w:type="pct"/>
            <w:tcBorders>
              <w:top w:val="single" w:sz="4" w:space="0" w:color="auto"/>
            </w:tcBorders>
            <w:noWrap/>
            <w:hideMark/>
          </w:tcPr>
          <w:p w14:paraId="394D4BD1" w14:textId="77777777" w:rsidR="00444E58" w:rsidRPr="00771F1F" w:rsidRDefault="00444E58"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35.8%</w:t>
            </w:r>
          </w:p>
        </w:tc>
        <w:tc>
          <w:tcPr>
            <w:tcW w:w="572" w:type="pct"/>
            <w:tcBorders>
              <w:top w:val="single" w:sz="4" w:space="0" w:color="auto"/>
            </w:tcBorders>
            <w:noWrap/>
            <w:hideMark/>
          </w:tcPr>
          <w:p w14:paraId="656262E5" w14:textId="77777777" w:rsidR="00444E58" w:rsidRPr="00771F1F" w:rsidRDefault="00444E58"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37.4%</w:t>
            </w:r>
          </w:p>
        </w:tc>
        <w:tc>
          <w:tcPr>
            <w:tcW w:w="572" w:type="pct"/>
            <w:tcBorders>
              <w:top w:val="single" w:sz="4" w:space="0" w:color="auto"/>
            </w:tcBorders>
            <w:noWrap/>
            <w:hideMark/>
          </w:tcPr>
          <w:p w14:paraId="0A78E075" w14:textId="77777777" w:rsidR="00444E58" w:rsidRPr="00771F1F" w:rsidRDefault="00444E58"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39.0%</w:t>
            </w:r>
          </w:p>
        </w:tc>
        <w:tc>
          <w:tcPr>
            <w:tcW w:w="572" w:type="pct"/>
            <w:tcBorders>
              <w:top w:val="single" w:sz="4" w:space="0" w:color="auto"/>
              <w:right w:val="dotted" w:sz="4" w:space="0" w:color="auto"/>
            </w:tcBorders>
            <w:noWrap/>
            <w:hideMark/>
          </w:tcPr>
          <w:p w14:paraId="5A47A63E" w14:textId="77777777" w:rsidR="00444E58" w:rsidRPr="00771F1F" w:rsidRDefault="00444E58"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40.5%</w:t>
            </w:r>
          </w:p>
        </w:tc>
        <w:tc>
          <w:tcPr>
            <w:tcW w:w="674" w:type="pct"/>
            <w:tcBorders>
              <w:top w:val="single" w:sz="4" w:space="0" w:color="auto"/>
              <w:left w:val="dotted" w:sz="4" w:space="0" w:color="auto"/>
            </w:tcBorders>
            <w:noWrap/>
            <w:hideMark/>
          </w:tcPr>
          <w:p w14:paraId="09C18C24" w14:textId="77777777" w:rsidR="00444E58" w:rsidRPr="00771F1F" w:rsidRDefault="00444E58"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47.1%</w:t>
            </w:r>
          </w:p>
        </w:tc>
      </w:tr>
      <w:tr w:rsidR="00444E58" w:rsidRPr="00771F1F" w14:paraId="619427A0" w14:textId="77777777" w:rsidTr="00444E5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shd w:val="clear" w:color="auto" w:fill="BFBFBF" w:themeFill="background1" w:themeFillShade="BF"/>
            <w:noWrap/>
            <w:hideMark/>
          </w:tcPr>
          <w:p w14:paraId="23274B49" w14:textId="77777777" w:rsidR="00444E58" w:rsidRPr="00771F1F" w:rsidRDefault="00444E58" w:rsidP="009B4009">
            <w:pPr>
              <w:keepNext/>
              <w:spacing w:after="0" w:line="240" w:lineRule="auto"/>
              <w:rPr>
                <w:rFonts w:eastAsia="Times New Roman" w:cs="Arial"/>
                <w:color w:val="000000"/>
                <w:sz w:val="20"/>
                <w:szCs w:val="20"/>
              </w:rPr>
            </w:pPr>
            <w:r w:rsidRPr="00771F1F">
              <w:rPr>
                <w:rFonts w:eastAsia="Times New Roman" w:cs="Arial"/>
                <w:color w:val="000000"/>
                <w:sz w:val="20"/>
                <w:szCs w:val="20"/>
              </w:rPr>
              <w:t>Intellectual Disability</w:t>
            </w:r>
          </w:p>
        </w:tc>
        <w:tc>
          <w:tcPr>
            <w:tcW w:w="572" w:type="pct"/>
            <w:shd w:val="clear" w:color="auto" w:fill="BFBFBF" w:themeFill="background1" w:themeFillShade="BF"/>
            <w:noWrap/>
            <w:hideMark/>
          </w:tcPr>
          <w:p w14:paraId="357FE52B"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18.0%</w:t>
            </w:r>
          </w:p>
        </w:tc>
        <w:tc>
          <w:tcPr>
            <w:tcW w:w="572" w:type="pct"/>
            <w:shd w:val="clear" w:color="auto" w:fill="BFBFBF" w:themeFill="background1" w:themeFillShade="BF"/>
            <w:noWrap/>
            <w:hideMark/>
          </w:tcPr>
          <w:p w14:paraId="06877E90"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17.2%</w:t>
            </w:r>
          </w:p>
        </w:tc>
        <w:tc>
          <w:tcPr>
            <w:tcW w:w="572" w:type="pct"/>
            <w:shd w:val="clear" w:color="auto" w:fill="BFBFBF" w:themeFill="background1" w:themeFillShade="BF"/>
            <w:noWrap/>
            <w:hideMark/>
          </w:tcPr>
          <w:p w14:paraId="170F08EC"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16.7%</w:t>
            </w:r>
          </w:p>
        </w:tc>
        <w:tc>
          <w:tcPr>
            <w:tcW w:w="572" w:type="pct"/>
            <w:shd w:val="clear" w:color="auto" w:fill="BFBFBF" w:themeFill="background1" w:themeFillShade="BF"/>
            <w:noWrap/>
            <w:hideMark/>
          </w:tcPr>
          <w:p w14:paraId="36D5F876"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16.3%</w:t>
            </w:r>
          </w:p>
        </w:tc>
        <w:tc>
          <w:tcPr>
            <w:tcW w:w="572" w:type="pct"/>
            <w:tcBorders>
              <w:right w:val="dotted" w:sz="4" w:space="0" w:color="auto"/>
            </w:tcBorders>
            <w:shd w:val="clear" w:color="auto" w:fill="BFBFBF" w:themeFill="background1" w:themeFillShade="BF"/>
            <w:noWrap/>
            <w:hideMark/>
          </w:tcPr>
          <w:p w14:paraId="49A99F95"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16.0%</w:t>
            </w:r>
          </w:p>
        </w:tc>
        <w:tc>
          <w:tcPr>
            <w:tcW w:w="674" w:type="pct"/>
            <w:tcBorders>
              <w:left w:val="dotted" w:sz="4" w:space="0" w:color="auto"/>
            </w:tcBorders>
            <w:shd w:val="clear" w:color="auto" w:fill="BFBFBF" w:themeFill="background1" w:themeFillShade="BF"/>
            <w:noWrap/>
            <w:hideMark/>
          </w:tcPr>
          <w:p w14:paraId="0B5BF35F"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14.8%</w:t>
            </w:r>
          </w:p>
        </w:tc>
      </w:tr>
      <w:tr w:rsidR="00444E58" w:rsidRPr="00771F1F" w14:paraId="1937CCFC" w14:textId="77777777" w:rsidTr="00444E58">
        <w:trPr>
          <w:trHeight w:val="300"/>
        </w:trPr>
        <w:tc>
          <w:tcPr>
            <w:cnfStyle w:val="001000000000" w:firstRow="0" w:lastRow="0" w:firstColumn="1" w:lastColumn="0" w:oddVBand="0" w:evenVBand="0" w:oddHBand="0" w:evenHBand="0" w:firstRowFirstColumn="0" w:firstRowLastColumn="0" w:lastRowFirstColumn="0" w:lastRowLastColumn="0"/>
            <w:tcW w:w="1465" w:type="pct"/>
            <w:noWrap/>
            <w:hideMark/>
          </w:tcPr>
          <w:p w14:paraId="0BC11419" w14:textId="77777777" w:rsidR="00444E58" w:rsidRPr="00771F1F" w:rsidRDefault="00444E58" w:rsidP="009B4009">
            <w:pPr>
              <w:keepNext/>
              <w:spacing w:after="0" w:line="240" w:lineRule="auto"/>
              <w:rPr>
                <w:rFonts w:eastAsia="Times New Roman" w:cs="Arial"/>
                <w:color w:val="000000"/>
                <w:sz w:val="20"/>
                <w:szCs w:val="20"/>
              </w:rPr>
            </w:pPr>
            <w:r w:rsidRPr="00771F1F">
              <w:rPr>
                <w:rFonts w:eastAsia="Times New Roman" w:cs="Arial"/>
                <w:color w:val="000000"/>
                <w:sz w:val="20"/>
                <w:szCs w:val="20"/>
              </w:rPr>
              <w:t>Psychosocial Disability</w:t>
            </w:r>
          </w:p>
        </w:tc>
        <w:tc>
          <w:tcPr>
            <w:tcW w:w="572" w:type="pct"/>
            <w:noWrap/>
            <w:hideMark/>
          </w:tcPr>
          <w:p w14:paraId="092CB6F0" w14:textId="77777777" w:rsidR="00444E58" w:rsidRPr="00771F1F" w:rsidRDefault="00444E58"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10.6%</w:t>
            </w:r>
          </w:p>
        </w:tc>
        <w:tc>
          <w:tcPr>
            <w:tcW w:w="572" w:type="pct"/>
            <w:noWrap/>
            <w:hideMark/>
          </w:tcPr>
          <w:p w14:paraId="1372BCFA" w14:textId="77777777" w:rsidR="00444E58" w:rsidRPr="00771F1F" w:rsidRDefault="00444E58"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10.8%</w:t>
            </w:r>
          </w:p>
        </w:tc>
        <w:tc>
          <w:tcPr>
            <w:tcW w:w="572" w:type="pct"/>
            <w:noWrap/>
            <w:hideMark/>
          </w:tcPr>
          <w:p w14:paraId="33C8879B" w14:textId="77777777" w:rsidR="00444E58" w:rsidRPr="00771F1F" w:rsidRDefault="00444E58"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10.9%</w:t>
            </w:r>
          </w:p>
        </w:tc>
        <w:tc>
          <w:tcPr>
            <w:tcW w:w="572" w:type="pct"/>
            <w:noWrap/>
            <w:hideMark/>
          </w:tcPr>
          <w:p w14:paraId="2F071569" w14:textId="77777777" w:rsidR="00444E58" w:rsidRPr="00771F1F" w:rsidRDefault="00444E58"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10.7%</w:t>
            </w:r>
          </w:p>
        </w:tc>
        <w:tc>
          <w:tcPr>
            <w:tcW w:w="572" w:type="pct"/>
            <w:tcBorders>
              <w:right w:val="dotted" w:sz="4" w:space="0" w:color="auto"/>
            </w:tcBorders>
            <w:noWrap/>
            <w:hideMark/>
          </w:tcPr>
          <w:p w14:paraId="3DCD174A" w14:textId="77777777" w:rsidR="00444E58" w:rsidRPr="00771F1F" w:rsidRDefault="00444E58"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10.6%</w:t>
            </w:r>
          </w:p>
        </w:tc>
        <w:tc>
          <w:tcPr>
            <w:tcW w:w="674" w:type="pct"/>
            <w:tcBorders>
              <w:left w:val="dotted" w:sz="4" w:space="0" w:color="auto"/>
            </w:tcBorders>
            <w:noWrap/>
            <w:hideMark/>
          </w:tcPr>
          <w:p w14:paraId="000349EE" w14:textId="77777777" w:rsidR="00444E58" w:rsidRPr="00771F1F" w:rsidRDefault="00444E58"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10.0%</w:t>
            </w:r>
          </w:p>
        </w:tc>
      </w:tr>
      <w:tr w:rsidR="00444E58" w:rsidRPr="00771F1F" w14:paraId="705FAC0A" w14:textId="77777777" w:rsidTr="00444E5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shd w:val="clear" w:color="auto" w:fill="BFBFBF" w:themeFill="background1" w:themeFillShade="BF"/>
            <w:noWrap/>
            <w:hideMark/>
          </w:tcPr>
          <w:p w14:paraId="0CBFA8C2" w14:textId="77777777" w:rsidR="00444E58" w:rsidRPr="00771F1F" w:rsidRDefault="00444E58" w:rsidP="009B4009">
            <w:pPr>
              <w:keepNext/>
              <w:spacing w:after="0" w:line="240" w:lineRule="auto"/>
              <w:rPr>
                <w:rFonts w:eastAsia="Times New Roman" w:cs="Arial"/>
                <w:color w:val="000000"/>
                <w:sz w:val="20"/>
                <w:szCs w:val="20"/>
              </w:rPr>
            </w:pPr>
            <w:r w:rsidRPr="00771F1F">
              <w:rPr>
                <w:rFonts w:eastAsia="Times New Roman" w:cs="Arial"/>
                <w:color w:val="000000"/>
                <w:sz w:val="20"/>
                <w:szCs w:val="20"/>
              </w:rPr>
              <w:t>Developmental Delay</w:t>
            </w:r>
          </w:p>
        </w:tc>
        <w:tc>
          <w:tcPr>
            <w:tcW w:w="572" w:type="pct"/>
            <w:shd w:val="clear" w:color="auto" w:fill="BFBFBF" w:themeFill="background1" w:themeFillShade="BF"/>
            <w:noWrap/>
            <w:hideMark/>
          </w:tcPr>
          <w:p w14:paraId="2FB9C72C"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11.0%</w:t>
            </w:r>
          </w:p>
        </w:tc>
        <w:tc>
          <w:tcPr>
            <w:tcW w:w="572" w:type="pct"/>
            <w:shd w:val="clear" w:color="auto" w:fill="BFBFBF" w:themeFill="background1" w:themeFillShade="BF"/>
            <w:noWrap/>
            <w:hideMark/>
          </w:tcPr>
          <w:p w14:paraId="051AB705"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10.8%</w:t>
            </w:r>
          </w:p>
        </w:tc>
        <w:tc>
          <w:tcPr>
            <w:tcW w:w="572" w:type="pct"/>
            <w:shd w:val="clear" w:color="auto" w:fill="BFBFBF" w:themeFill="background1" w:themeFillShade="BF"/>
            <w:noWrap/>
            <w:hideMark/>
          </w:tcPr>
          <w:p w14:paraId="6CEBF658"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10.4%</w:t>
            </w:r>
          </w:p>
        </w:tc>
        <w:tc>
          <w:tcPr>
            <w:tcW w:w="572" w:type="pct"/>
            <w:shd w:val="clear" w:color="auto" w:fill="BFBFBF" w:themeFill="background1" w:themeFillShade="BF"/>
            <w:noWrap/>
            <w:hideMark/>
          </w:tcPr>
          <w:p w14:paraId="33568704"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10.0%</w:t>
            </w:r>
          </w:p>
        </w:tc>
        <w:tc>
          <w:tcPr>
            <w:tcW w:w="572" w:type="pct"/>
            <w:tcBorders>
              <w:right w:val="dotted" w:sz="4" w:space="0" w:color="auto"/>
            </w:tcBorders>
            <w:shd w:val="clear" w:color="auto" w:fill="BFBFBF" w:themeFill="background1" w:themeFillShade="BF"/>
            <w:noWrap/>
            <w:hideMark/>
          </w:tcPr>
          <w:p w14:paraId="19867C0C"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9.5%</w:t>
            </w:r>
          </w:p>
        </w:tc>
        <w:tc>
          <w:tcPr>
            <w:tcW w:w="674" w:type="pct"/>
            <w:tcBorders>
              <w:left w:val="dotted" w:sz="4" w:space="0" w:color="auto"/>
            </w:tcBorders>
            <w:shd w:val="clear" w:color="auto" w:fill="BFBFBF" w:themeFill="background1" w:themeFillShade="BF"/>
            <w:noWrap/>
            <w:hideMark/>
          </w:tcPr>
          <w:p w14:paraId="575198CC"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7.3%</w:t>
            </w:r>
          </w:p>
        </w:tc>
      </w:tr>
      <w:tr w:rsidR="00444E58" w:rsidRPr="00771F1F" w14:paraId="765B5AB8" w14:textId="77777777" w:rsidTr="00444E58">
        <w:trPr>
          <w:trHeight w:val="300"/>
        </w:trPr>
        <w:tc>
          <w:tcPr>
            <w:cnfStyle w:val="001000000000" w:firstRow="0" w:lastRow="0" w:firstColumn="1" w:lastColumn="0" w:oddVBand="0" w:evenVBand="0" w:oddHBand="0" w:evenHBand="0" w:firstRowFirstColumn="0" w:firstRowLastColumn="0" w:lastRowFirstColumn="0" w:lastRowLastColumn="0"/>
            <w:tcW w:w="1465" w:type="pct"/>
            <w:noWrap/>
            <w:hideMark/>
          </w:tcPr>
          <w:p w14:paraId="2157E4FC" w14:textId="77777777" w:rsidR="00444E58" w:rsidRPr="00771F1F" w:rsidRDefault="00444E58" w:rsidP="009B4009">
            <w:pPr>
              <w:keepNext/>
              <w:spacing w:after="0" w:line="240" w:lineRule="auto"/>
              <w:rPr>
                <w:rFonts w:eastAsia="Times New Roman" w:cs="Arial"/>
                <w:color w:val="000000"/>
                <w:sz w:val="20"/>
                <w:szCs w:val="20"/>
              </w:rPr>
            </w:pPr>
            <w:r w:rsidRPr="00771F1F">
              <w:rPr>
                <w:rFonts w:eastAsia="Times New Roman" w:cs="Arial"/>
                <w:color w:val="000000"/>
                <w:sz w:val="20"/>
                <w:szCs w:val="20"/>
              </w:rPr>
              <w:t>Sensory</w:t>
            </w:r>
          </w:p>
        </w:tc>
        <w:tc>
          <w:tcPr>
            <w:tcW w:w="572" w:type="pct"/>
            <w:noWrap/>
            <w:hideMark/>
          </w:tcPr>
          <w:p w14:paraId="43F85A02" w14:textId="77777777" w:rsidR="00444E58" w:rsidRPr="00771F1F" w:rsidRDefault="00444E58"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6.8%</w:t>
            </w:r>
          </w:p>
        </w:tc>
        <w:tc>
          <w:tcPr>
            <w:tcW w:w="572" w:type="pct"/>
            <w:noWrap/>
            <w:hideMark/>
          </w:tcPr>
          <w:p w14:paraId="29A1DCFD" w14:textId="77777777" w:rsidR="00444E58" w:rsidRPr="00771F1F" w:rsidRDefault="00444E58"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6.6%</w:t>
            </w:r>
          </w:p>
        </w:tc>
        <w:tc>
          <w:tcPr>
            <w:tcW w:w="572" w:type="pct"/>
            <w:noWrap/>
            <w:hideMark/>
          </w:tcPr>
          <w:p w14:paraId="41A79CB8" w14:textId="77777777" w:rsidR="00444E58" w:rsidRPr="00771F1F" w:rsidRDefault="00444E58"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6.4%</w:t>
            </w:r>
          </w:p>
        </w:tc>
        <w:tc>
          <w:tcPr>
            <w:tcW w:w="572" w:type="pct"/>
            <w:noWrap/>
            <w:hideMark/>
          </w:tcPr>
          <w:p w14:paraId="56340B45" w14:textId="77777777" w:rsidR="00444E58" w:rsidRPr="00771F1F" w:rsidRDefault="00444E58"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6.3%</w:t>
            </w:r>
          </w:p>
        </w:tc>
        <w:tc>
          <w:tcPr>
            <w:tcW w:w="572" w:type="pct"/>
            <w:tcBorders>
              <w:right w:val="dotted" w:sz="4" w:space="0" w:color="auto"/>
            </w:tcBorders>
            <w:noWrap/>
            <w:hideMark/>
          </w:tcPr>
          <w:p w14:paraId="25A13A66" w14:textId="77777777" w:rsidR="00444E58" w:rsidRPr="00771F1F" w:rsidRDefault="00444E58"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6.2%</w:t>
            </w:r>
          </w:p>
        </w:tc>
        <w:tc>
          <w:tcPr>
            <w:tcW w:w="674" w:type="pct"/>
            <w:tcBorders>
              <w:left w:val="dotted" w:sz="4" w:space="0" w:color="auto"/>
            </w:tcBorders>
            <w:noWrap/>
            <w:hideMark/>
          </w:tcPr>
          <w:p w14:paraId="354A16D9" w14:textId="77777777" w:rsidR="00444E58" w:rsidRPr="00771F1F" w:rsidRDefault="00444E58"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rPr>
            </w:pPr>
            <w:r w:rsidRPr="00771F1F">
              <w:rPr>
                <w:rFonts w:cs="Arial"/>
                <w:color w:val="000000"/>
                <w:sz w:val="20"/>
                <w:szCs w:val="20"/>
              </w:rPr>
              <w:t>5.7%</w:t>
            </w:r>
          </w:p>
        </w:tc>
      </w:tr>
      <w:tr w:rsidR="00444E58" w:rsidRPr="00771F1F" w14:paraId="060DD5DB" w14:textId="77777777" w:rsidTr="00444E5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5" w:type="pct"/>
            <w:tcBorders>
              <w:bottom w:val="single" w:sz="4" w:space="0" w:color="auto"/>
            </w:tcBorders>
            <w:shd w:val="clear" w:color="auto" w:fill="BFBFBF" w:themeFill="background1" w:themeFillShade="BF"/>
            <w:noWrap/>
            <w:hideMark/>
          </w:tcPr>
          <w:p w14:paraId="29B44785" w14:textId="77777777" w:rsidR="00444E58" w:rsidRPr="00771F1F" w:rsidRDefault="00444E58" w:rsidP="009B4009">
            <w:pPr>
              <w:keepNext/>
              <w:spacing w:after="0" w:line="240" w:lineRule="auto"/>
              <w:rPr>
                <w:rFonts w:eastAsia="Times New Roman" w:cs="Arial"/>
                <w:color w:val="000000"/>
                <w:sz w:val="20"/>
                <w:szCs w:val="20"/>
              </w:rPr>
            </w:pPr>
            <w:r w:rsidRPr="00771F1F">
              <w:rPr>
                <w:rFonts w:eastAsia="Times New Roman" w:cs="Arial"/>
                <w:color w:val="000000"/>
                <w:sz w:val="20"/>
                <w:szCs w:val="20"/>
              </w:rPr>
              <w:t>Other</w:t>
            </w:r>
          </w:p>
        </w:tc>
        <w:tc>
          <w:tcPr>
            <w:tcW w:w="572" w:type="pct"/>
            <w:tcBorders>
              <w:bottom w:val="single" w:sz="4" w:space="0" w:color="auto"/>
            </w:tcBorders>
            <w:shd w:val="clear" w:color="auto" w:fill="BFBFBF" w:themeFill="background1" w:themeFillShade="BF"/>
            <w:noWrap/>
            <w:hideMark/>
          </w:tcPr>
          <w:p w14:paraId="04288AC4"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19.4%</w:t>
            </w:r>
          </w:p>
        </w:tc>
        <w:tc>
          <w:tcPr>
            <w:tcW w:w="572" w:type="pct"/>
            <w:tcBorders>
              <w:bottom w:val="single" w:sz="4" w:space="0" w:color="auto"/>
            </w:tcBorders>
            <w:shd w:val="clear" w:color="auto" w:fill="BFBFBF" w:themeFill="background1" w:themeFillShade="BF"/>
            <w:noWrap/>
            <w:hideMark/>
          </w:tcPr>
          <w:p w14:paraId="226045B1"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18.8%</w:t>
            </w:r>
          </w:p>
        </w:tc>
        <w:tc>
          <w:tcPr>
            <w:tcW w:w="572" w:type="pct"/>
            <w:tcBorders>
              <w:bottom w:val="single" w:sz="4" w:space="0" w:color="auto"/>
            </w:tcBorders>
            <w:shd w:val="clear" w:color="auto" w:fill="BFBFBF" w:themeFill="background1" w:themeFillShade="BF"/>
            <w:noWrap/>
            <w:hideMark/>
          </w:tcPr>
          <w:p w14:paraId="625E4B86"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18.2%</w:t>
            </w:r>
          </w:p>
        </w:tc>
        <w:tc>
          <w:tcPr>
            <w:tcW w:w="572" w:type="pct"/>
            <w:tcBorders>
              <w:bottom w:val="single" w:sz="4" w:space="0" w:color="auto"/>
            </w:tcBorders>
            <w:shd w:val="clear" w:color="auto" w:fill="BFBFBF" w:themeFill="background1" w:themeFillShade="BF"/>
            <w:noWrap/>
            <w:hideMark/>
          </w:tcPr>
          <w:p w14:paraId="568444AC"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17.7%</w:t>
            </w:r>
          </w:p>
        </w:tc>
        <w:tc>
          <w:tcPr>
            <w:tcW w:w="572" w:type="pct"/>
            <w:tcBorders>
              <w:bottom w:val="single" w:sz="4" w:space="0" w:color="auto"/>
              <w:right w:val="dotted" w:sz="4" w:space="0" w:color="auto"/>
            </w:tcBorders>
            <w:shd w:val="clear" w:color="auto" w:fill="BFBFBF" w:themeFill="background1" w:themeFillShade="BF"/>
            <w:noWrap/>
            <w:hideMark/>
          </w:tcPr>
          <w:p w14:paraId="2B4B5107"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17.2%</w:t>
            </w:r>
          </w:p>
        </w:tc>
        <w:tc>
          <w:tcPr>
            <w:tcW w:w="674" w:type="pct"/>
            <w:tcBorders>
              <w:left w:val="dotted" w:sz="4" w:space="0" w:color="auto"/>
              <w:bottom w:val="single" w:sz="4" w:space="0" w:color="auto"/>
            </w:tcBorders>
            <w:shd w:val="clear" w:color="auto" w:fill="BFBFBF" w:themeFill="background1" w:themeFillShade="BF"/>
            <w:noWrap/>
            <w:hideMark/>
          </w:tcPr>
          <w:p w14:paraId="03704B85" w14:textId="77777777" w:rsidR="00444E58" w:rsidRPr="00771F1F" w:rsidRDefault="00444E58"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rPr>
            </w:pPr>
            <w:r w:rsidRPr="00771F1F">
              <w:rPr>
                <w:rFonts w:cs="Arial"/>
                <w:color w:val="000000"/>
                <w:sz w:val="20"/>
                <w:szCs w:val="20"/>
              </w:rPr>
              <w:t>15.1%</w:t>
            </w:r>
          </w:p>
        </w:tc>
      </w:tr>
      <w:tr w:rsidR="00444E58" w:rsidRPr="00771F1F" w14:paraId="49085D9C" w14:textId="77777777" w:rsidTr="00444E58">
        <w:trPr>
          <w:trHeight w:val="300"/>
        </w:trPr>
        <w:tc>
          <w:tcPr>
            <w:cnfStyle w:val="001000000000" w:firstRow="0" w:lastRow="0" w:firstColumn="1" w:lastColumn="0" w:oddVBand="0" w:evenVBand="0" w:oddHBand="0" w:evenHBand="0" w:firstRowFirstColumn="0" w:firstRowLastColumn="0" w:lastRowFirstColumn="0" w:lastRowLastColumn="0"/>
            <w:tcW w:w="1465" w:type="pct"/>
            <w:tcBorders>
              <w:top w:val="single" w:sz="4" w:space="0" w:color="auto"/>
              <w:bottom w:val="single" w:sz="4" w:space="0" w:color="auto"/>
            </w:tcBorders>
            <w:shd w:val="clear" w:color="auto" w:fill="D4C5D7"/>
            <w:noWrap/>
            <w:hideMark/>
          </w:tcPr>
          <w:p w14:paraId="5BD1F04C" w14:textId="77777777" w:rsidR="00444E58" w:rsidRPr="00771F1F" w:rsidRDefault="00444E58" w:rsidP="009B4009">
            <w:pPr>
              <w:keepNext/>
              <w:spacing w:after="0" w:line="240" w:lineRule="auto"/>
              <w:rPr>
                <w:rFonts w:eastAsia="Times New Roman" w:cs="Arial"/>
                <w:b/>
                <w:bCs/>
                <w:color w:val="000000"/>
                <w:sz w:val="20"/>
                <w:szCs w:val="20"/>
              </w:rPr>
            </w:pPr>
            <w:r w:rsidRPr="00771F1F">
              <w:rPr>
                <w:rFonts w:eastAsia="Times New Roman" w:cs="Arial"/>
                <w:b/>
                <w:bCs/>
                <w:color w:val="000000"/>
                <w:sz w:val="20"/>
                <w:szCs w:val="20"/>
              </w:rPr>
              <w:t>Total</w:t>
            </w:r>
          </w:p>
        </w:tc>
        <w:tc>
          <w:tcPr>
            <w:tcW w:w="572" w:type="pct"/>
            <w:tcBorders>
              <w:top w:val="single" w:sz="4" w:space="0" w:color="auto"/>
              <w:bottom w:val="single" w:sz="4" w:space="0" w:color="auto"/>
            </w:tcBorders>
            <w:shd w:val="clear" w:color="auto" w:fill="D4C5D7"/>
            <w:noWrap/>
            <w:hideMark/>
          </w:tcPr>
          <w:p w14:paraId="1FFC873A" w14:textId="77777777" w:rsidR="00444E58" w:rsidRPr="00771F1F" w:rsidRDefault="00444E58"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100.0%</w:t>
            </w:r>
          </w:p>
        </w:tc>
        <w:tc>
          <w:tcPr>
            <w:tcW w:w="572" w:type="pct"/>
            <w:tcBorders>
              <w:top w:val="single" w:sz="4" w:space="0" w:color="auto"/>
              <w:bottom w:val="single" w:sz="4" w:space="0" w:color="auto"/>
            </w:tcBorders>
            <w:shd w:val="clear" w:color="auto" w:fill="D4C5D7"/>
            <w:noWrap/>
            <w:hideMark/>
          </w:tcPr>
          <w:p w14:paraId="35DC79F6" w14:textId="77777777" w:rsidR="00444E58" w:rsidRPr="00771F1F" w:rsidRDefault="00444E58"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100.0%</w:t>
            </w:r>
          </w:p>
        </w:tc>
        <w:tc>
          <w:tcPr>
            <w:tcW w:w="572" w:type="pct"/>
            <w:tcBorders>
              <w:top w:val="single" w:sz="4" w:space="0" w:color="auto"/>
              <w:bottom w:val="single" w:sz="4" w:space="0" w:color="auto"/>
            </w:tcBorders>
            <w:shd w:val="clear" w:color="auto" w:fill="D4C5D7"/>
            <w:noWrap/>
            <w:hideMark/>
          </w:tcPr>
          <w:p w14:paraId="663FAD8E" w14:textId="77777777" w:rsidR="00444E58" w:rsidRPr="00771F1F" w:rsidRDefault="00444E58"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100.0%</w:t>
            </w:r>
          </w:p>
        </w:tc>
        <w:tc>
          <w:tcPr>
            <w:tcW w:w="572" w:type="pct"/>
            <w:tcBorders>
              <w:top w:val="single" w:sz="4" w:space="0" w:color="auto"/>
              <w:bottom w:val="single" w:sz="4" w:space="0" w:color="auto"/>
            </w:tcBorders>
            <w:shd w:val="clear" w:color="auto" w:fill="D4C5D7"/>
            <w:noWrap/>
            <w:hideMark/>
          </w:tcPr>
          <w:p w14:paraId="33F1FC99" w14:textId="77777777" w:rsidR="00444E58" w:rsidRPr="00771F1F" w:rsidRDefault="00444E58"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100.0%</w:t>
            </w:r>
          </w:p>
        </w:tc>
        <w:tc>
          <w:tcPr>
            <w:tcW w:w="572" w:type="pct"/>
            <w:tcBorders>
              <w:top w:val="single" w:sz="4" w:space="0" w:color="auto"/>
              <w:bottom w:val="single" w:sz="4" w:space="0" w:color="auto"/>
              <w:right w:val="dotted" w:sz="4" w:space="0" w:color="auto"/>
            </w:tcBorders>
            <w:shd w:val="clear" w:color="auto" w:fill="D4C5D7"/>
            <w:noWrap/>
            <w:hideMark/>
          </w:tcPr>
          <w:p w14:paraId="65745584" w14:textId="77777777" w:rsidR="00444E58" w:rsidRPr="00771F1F" w:rsidRDefault="00444E58"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100.0%</w:t>
            </w:r>
          </w:p>
        </w:tc>
        <w:tc>
          <w:tcPr>
            <w:tcW w:w="674" w:type="pct"/>
            <w:tcBorders>
              <w:top w:val="single" w:sz="4" w:space="0" w:color="auto"/>
              <w:left w:val="dotted" w:sz="4" w:space="0" w:color="auto"/>
              <w:bottom w:val="single" w:sz="4" w:space="0" w:color="auto"/>
            </w:tcBorders>
            <w:shd w:val="clear" w:color="auto" w:fill="D4C5D7"/>
            <w:noWrap/>
            <w:hideMark/>
          </w:tcPr>
          <w:p w14:paraId="3B01A449" w14:textId="77777777" w:rsidR="00444E58" w:rsidRPr="00771F1F" w:rsidRDefault="00444E58"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rPr>
            </w:pPr>
            <w:r w:rsidRPr="00771F1F">
              <w:rPr>
                <w:rFonts w:cs="Arial"/>
                <w:b/>
                <w:bCs/>
                <w:color w:val="000000"/>
                <w:sz w:val="20"/>
                <w:szCs w:val="20"/>
              </w:rPr>
              <w:t>100.0%</w:t>
            </w:r>
          </w:p>
        </w:tc>
      </w:tr>
    </w:tbl>
    <w:p w14:paraId="60FC0263" w14:textId="77777777" w:rsidR="00E35F10" w:rsidRPr="00841A82" w:rsidRDefault="00E35F10" w:rsidP="00E35F10">
      <w:pPr>
        <w:pStyle w:val="FSRnormal"/>
        <w:rPr>
          <w:rStyle w:val="FSRnormalChar"/>
        </w:rPr>
      </w:pPr>
      <w:r>
        <w:t xml:space="preserve">The </w:t>
      </w:r>
      <w:r w:rsidR="00672B50">
        <w:rPr>
          <w:rStyle w:val="FSRnormalChar"/>
        </w:rPr>
        <w:t>increase</w:t>
      </w:r>
      <w:r w:rsidRPr="2B5C952B">
        <w:rPr>
          <w:rStyle w:val="FSRnormalChar"/>
        </w:rPr>
        <w:t xml:space="preserve"> in projected participant numbers from 2022 to 2032 is </w:t>
      </w:r>
      <w:r>
        <w:rPr>
          <w:rStyle w:val="FSRnormalChar"/>
        </w:rPr>
        <w:t xml:space="preserve">broadly </w:t>
      </w:r>
      <w:r w:rsidRPr="2B5C952B">
        <w:rPr>
          <w:rStyle w:val="FSRnormalChar"/>
        </w:rPr>
        <w:t xml:space="preserve">consistent with </w:t>
      </w:r>
      <w:r>
        <w:rPr>
          <w:rStyle w:val="FSRnormalChar"/>
        </w:rPr>
        <w:t xml:space="preserve">the </w:t>
      </w:r>
      <w:r w:rsidRPr="2B5C952B">
        <w:rPr>
          <w:rStyle w:val="FSRnormalChar"/>
        </w:rPr>
        <w:t xml:space="preserve">previous review. Autism and intellectual disability continue to be the largest drivers of new </w:t>
      </w:r>
      <w:r>
        <w:rPr>
          <w:rStyle w:val="FSRnormalChar"/>
        </w:rPr>
        <w:t>entrants</w:t>
      </w:r>
      <w:r w:rsidRPr="2B5C952B">
        <w:rPr>
          <w:rStyle w:val="FSRnormalChar"/>
        </w:rPr>
        <w:t xml:space="preserve"> for future projections. Over time the proportion of participants with autism in the Scheme is expected to continue to increase and the proportion of participants with developmental delay is expected to reduce, as participants with developmental delay are </w:t>
      </w:r>
      <w:r w:rsidR="00FD7490">
        <w:rPr>
          <w:rStyle w:val="FSRnormalChar"/>
        </w:rPr>
        <w:t xml:space="preserve">subsequently </w:t>
      </w:r>
      <w:r w:rsidR="00BB7FC3">
        <w:rPr>
          <w:rStyle w:val="FSRnormalChar"/>
        </w:rPr>
        <w:t xml:space="preserve">diagnosed with either </w:t>
      </w:r>
      <w:r w:rsidRPr="2B5C952B">
        <w:rPr>
          <w:rStyle w:val="FSRnormalChar"/>
        </w:rPr>
        <w:t xml:space="preserve">autism </w:t>
      </w:r>
      <w:r w:rsidR="00BB7FC3">
        <w:rPr>
          <w:rStyle w:val="FSRnormalChar"/>
        </w:rPr>
        <w:t>or intellectual disability</w:t>
      </w:r>
      <w:r w:rsidRPr="2B5C952B">
        <w:rPr>
          <w:rStyle w:val="FSRnormalChar"/>
        </w:rPr>
        <w:t>.</w:t>
      </w:r>
    </w:p>
    <w:p w14:paraId="3EF46C34" w14:textId="77777777" w:rsidR="00BF7697" w:rsidRPr="00DB5D00" w:rsidRDefault="00BF7697" w:rsidP="00B047D4">
      <w:pPr>
        <w:pStyle w:val="FSRHeading4"/>
      </w:pPr>
      <w:r w:rsidRPr="00DB5D00">
        <w:t>SIL population projection</w:t>
      </w:r>
    </w:p>
    <w:p w14:paraId="41E7D15F" w14:textId="77777777" w:rsidR="00BF7697" w:rsidRPr="00DB5D00" w:rsidRDefault="00684E93" w:rsidP="00BF7697">
      <w:pPr>
        <w:pStyle w:val="FSRnormal"/>
      </w:pPr>
      <w:r w:rsidRPr="00DB5D00">
        <w:t xml:space="preserve">Table </w:t>
      </w:r>
      <w:r>
        <w:rPr>
          <w:noProof/>
        </w:rPr>
        <w:t>5</w:t>
      </w:r>
      <w:r>
        <w:t>.</w:t>
      </w:r>
      <w:r>
        <w:rPr>
          <w:noProof/>
        </w:rPr>
        <w:t>16</w:t>
      </w:r>
      <w:r w:rsidR="00BF7697" w:rsidRPr="00DB5D00">
        <w:t xml:space="preserve"> presents </w:t>
      </w:r>
      <w:r w:rsidR="00BF7697">
        <w:t xml:space="preserve">the split of projected participants </w:t>
      </w:r>
      <w:r w:rsidR="0012307F">
        <w:t>with</w:t>
      </w:r>
      <w:r w:rsidR="0012307F" w:rsidRPr="000D00AE">
        <w:t xml:space="preserve"> </w:t>
      </w:r>
      <w:r w:rsidR="00BF7697" w:rsidRPr="000D00AE">
        <w:t xml:space="preserve">SIL and </w:t>
      </w:r>
      <w:r w:rsidR="0012307F">
        <w:t>without</w:t>
      </w:r>
      <w:r w:rsidR="00BF7697" w:rsidRPr="000D00AE">
        <w:t xml:space="preserve"> SIL</w:t>
      </w:r>
      <w:r w:rsidR="00BF7697">
        <w:t>.</w:t>
      </w:r>
    </w:p>
    <w:p w14:paraId="7557F21D" w14:textId="77777777" w:rsidR="00BF7697" w:rsidRDefault="00BF7697" w:rsidP="00BF7697">
      <w:pPr>
        <w:pStyle w:val="Tables"/>
      </w:pPr>
      <w:bookmarkStart w:id="213" w:name="_Ref74849343"/>
      <w:bookmarkStart w:id="214" w:name="_Ref111899212"/>
      <w:r w:rsidRPr="00DB5D00">
        <w:t xml:space="preserve">Table </w:t>
      </w:r>
      <w:bookmarkEnd w:id="213"/>
      <w:r w:rsidR="00A87896">
        <w:fldChar w:fldCharType="begin"/>
      </w:r>
      <w:r w:rsidR="00A87896">
        <w:instrText xml:space="preserve"> STYLEREF 2 \s </w:instrText>
      </w:r>
      <w:r w:rsidR="00A87896">
        <w:fldChar w:fldCharType="separate"/>
      </w:r>
      <w:r w:rsidR="00A87896">
        <w:rPr>
          <w:noProof/>
        </w:rPr>
        <w:t>5</w:t>
      </w:r>
      <w:r w:rsidR="00A87896">
        <w:fldChar w:fldCharType="end"/>
      </w:r>
      <w:r w:rsidR="00A87896">
        <w:t>.</w:t>
      </w:r>
      <w:fldSimple w:instr=" SEQ Table \* ARABIC \s 2 ">
        <w:r w:rsidR="00A87896">
          <w:rPr>
            <w:noProof/>
          </w:rPr>
          <w:t>16</w:t>
        </w:r>
      </w:fldSimple>
      <w:bookmarkEnd w:id="214"/>
      <w:r>
        <w:t>:</w:t>
      </w:r>
      <w:r w:rsidRPr="00DB5D00">
        <w:t xml:space="preserve"> Projected participant numbers </w:t>
      </w:r>
      <w:r w:rsidR="005770B3">
        <w:t>with</w:t>
      </w:r>
      <w:r w:rsidR="005770B3" w:rsidRPr="000D00AE">
        <w:t xml:space="preserve"> </w:t>
      </w:r>
      <w:r w:rsidRPr="000D00AE">
        <w:t xml:space="preserve">SIL and </w:t>
      </w:r>
      <w:r w:rsidR="005770B3">
        <w:t>without</w:t>
      </w:r>
      <w:r w:rsidRPr="000D00AE">
        <w:t xml:space="preserve"> SIL</w:t>
      </w:r>
    </w:p>
    <w:tbl>
      <w:tblPr>
        <w:tblW w:w="0" w:type="auto"/>
        <w:tblLook w:val="04A0" w:firstRow="1" w:lastRow="0" w:firstColumn="1" w:lastColumn="0" w:noHBand="0" w:noVBand="1"/>
      </w:tblPr>
      <w:tblGrid>
        <w:gridCol w:w="2406"/>
        <w:gridCol w:w="939"/>
        <w:gridCol w:w="939"/>
        <w:gridCol w:w="939"/>
        <w:gridCol w:w="939"/>
        <w:gridCol w:w="939"/>
        <w:gridCol w:w="1106"/>
      </w:tblGrid>
      <w:tr w:rsidR="00BF7697" w:rsidRPr="00771F1F" w14:paraId="68218DB8" w14:textId="77777777" w:rsidTr="00444E58">
        <w:trPr>
          <w:trHeight w:val="397"/>
        </w:trPr>
        <w:tc>
          <w:tcPr>
            <w:tcW w:w="0" w:type="auto"/>
            <w:tcBorders>
              <w:top w:val="nil"/>
              <w:left w:val="nil"/>
              <w:right w:val="nil"/>
            </w:tcBorders>
            <w:shd w:val="clear" w:color="000000" w:fill="6B2F76"/>
            <w:vAlign w:val="center"/>
            <w:hideMark/>
          </w:tcPr>
          <w:p w14:paraId="49F0431D" w14:textId="77777777" w:rsidR="00BF7697" w:rsidRPr="00771F1F" w:rsidRDefault="00BF7697" w:rsidP="00771F1F">
            <w:pPr>
              <w:spacing w:after="0" w:line="240" w:lineRule="auto"/>
              <w:rPr>
                <w:rFonts w:eastAsia="Times New Roman" w:cs="Arial"/>
                <w:b/>
                <w:bCs/>
                <w:color w:val="FFFFFF"/>
                <w:sz w:val="20"/>
                <w:szCs w:val="20"/>
              </w:rPr>
            </w:pPr>
          </w:p>
        </w:tc>
        <w:tc>
          <w:tcPr>
            <w:tcW w:w="0" w:type="auto"/>
            <w:gridSpan w:val="6"/>
            <w:tcBorders>
              <w:top w:val="nil"/>
              <w:left w:val="nil"/>
              <w:bottom w:val="single" w:sz="4" w:space="0" w:color="FFFFFF" w:themeColor="background1"/>
              <w:right w:val="nil"/>
            </w:tcBorders>
            <w:shd w:val="clear" w:color="000000" w:fill="6B2976"/>
            <w:noWrap/>
            <w:vAlign w:val="center"/>
            <w:hideMark/>
          </w:tcPr>
          <w:p w14:paraId="214B7DB0" w14:textId="77777777" w:rsidR="00BF7697" w:rsidRPr="00771F1F" w:rsidRDefault="007F2B28" w:rsidP="00B17C79">
            <w:pPr>
              <w:spacing w:after="0" w:line="240" w:lineRule="auto"/>
              <w:jc w:val="center"/>
              <w:rPr>
                <w:rFonts w:eastAsia="Times New Roman" w:cs="Arial"/>
                <w:b/>
                <w:bCs/>
                <w:color w:val="FFFFFF"/>
                <w:sz w:val="20"/>
                <w:szCs w:val="20"/>
              </w:rPr>
            </w:pPr>
            <w:r w:rsidRPr="00771F1F">
              <w:rPr>
                <w:rFonts w:eastAsia="Times New Roman" w:cs="Arial"/>
                <w:b/>
                <w:bCs/>
                <w:color w:val="FFFFFF"/>
                <w:sz w:val="20"/>
                <w:szCs w:val="20"/>
              </w:rPr>
              <w:t>At</w:t>
            </w:r>
            <w:r w:rsidR="00BF7697" w:rsidRPr="00771F1F">
              <w:rPr>
                <w:rFonts w:eastAsia="Times New Roman" w:cs="Arial"/>
                <w:b/>
                <w:bCs/>
                <w:color w:val="FFFFFF"/>
                <w:sz w:val="20"/>
                <w:szCs w:val="20"/>
              </w:rPr>
              <w:t xml:space="preserve"> 30 June</w:t>
            </w:r>
          </w:p>
        </w:tc>
      </w:tr>
      <w:tr w:rsidR="00BF7697" w:rsidRPr="00771F1F" w14:paraId="3EC0CE63" w14:textId="77777777" w:rsidTr="00444E58">
        <w:trPr>
          <w:trHeight w:val="397"/>
        </w:trPr>
        <w:tc>
          <w:tcPr>
            <w:tcW w:w="0" w:type="auto"/>
            <w:tcBorders>
              <w:left w:val="nil"/>
              <w:right w:val="nil"/>
            </w:tcBorders>
            <w:shd w:val="clear" w:color="000000" w:fill="6B2F76"/>
            <w:vAlign w:val="center"/>
            <w:hideMark/>
          </w:tcPr>
          <w:p w14:paraId="6A46C24E" w14:textId="77777777" w:rsidR="00BF7697" w:rsidRPr="00771F1F" w:rsidRDefault="00444E58" w:rsidP="00771F1F">
            <w:pPr>
              <w:spacing w:after="0" w:line="240" w:lineRule="auto"/>
              <w:rPr>
                <w:rFonts w:eastAsia="Times New Roman" w:cs="Arial"/>
                <w:b/>
                <w:bCs/>
                <w:color w:val="FFFFFF"/>
                <w:sz w:val="20"/>
                <w:szCs w:val="20"/>
              </w:rPr>
            </w:pPr>
            <w:r w:rsidRPr="00771F1F">
              <w:rPr>
                <w:rFonts w:eastAsia="Times New Roman" w:cs="Arial"/>
                <w:b/>
                <w:bCs/>
                <w:color w:val="FFFFFF"/>
                <w:sz w:val="20"/>
                <w:szCs w:val="20"/>
              </w:rPr>
              <w:t>Number of participants</w:t>
            </w:r>
          </w:p>
        </w:tc>
        <w:tc>
          <w:tcPr>
            <w:tcW w:w="0" w:type="auto"/>
            <w:tcBorders>
              <w:top w:val="single" w:sz="4" w:space="0" w:color="FFFFFF" w:themeColor="background1"/>
              <w:left w:val="nil"/>
              <w:right w:val="nil"/>
            </w:tcBorders>
            <w:shd w:val="clear" w:color="000000" w:fill="6B2976"/>
            <w:noWrap/>
            <w:vAlign w:val="center"/>
            <w:hideMark/>
          </w:tcPr>
          <w:p w14:paraId="37990AD8" w14:textId="77777777" w:rsidR="00BF7697" w:rsidRPr="00191697" w:rsidRDefault="00BF7697" w:rsidP="00771F1F">
            <w:pPr>
              <w:spacing w:after="0" w:line="240" w:lineRule="auto"/>
              <w:jc w:val="right"/>
              <w:rPr>
                <w:rFonts w:eastAsia="Times New Roman" w:cs="Arial"/>
                <w:b/>
                <w:bCs/>
                <w:color w:val="FFFFFF"/>
                <w:sz w:val="20"/>
                <w:szCs w:val="20"/>
              </w:rPr>
            </w:pPr>
            <w:r w:rsidRPr="00191697">
              <w:rPr>
                <w:rFonts w:eastAsia="Times New Roman" w:cs="Arial"/>
                <w:b/>
                <w:bCs/>
                <w:color w:val="FFFFFF"/>
                <w:sz w:val="20"/>
                <w:szCs w:val="20"/>
              </w:rPr>
              <w:t>2022</w:t>
            </w:r>
          </w:p>
        </w:tc>
        <w:tc>
          <w:tcPr>
            <w:tcW w:w="0" w:type="auto"/>
            <w:tcBorders>
              <w:top w:val="single" w:sz="4" w:space="0" w:color="FFFFFF" w:themeColor="background1"/>
              <w:left w:val="nil"/>
              <w:right w:val="nil"/>
            </w:tcBorders>
            <w:shd w:val="clear" w:color="000000" w:fill="6B2976"/>
            <w:noWrap/>
            <w:vAlign w:val="center"/>
            <w:hideMark/>
          </w:tcPr>
          <w:p w14:paraId="0541D883" w14:textId="77777777" w:rsidR="00BF7697" w:rsidRPr="00191697" w:rsidRDefault="00BF7697" w:rsidP="00771F1F">
            <w:pPr>
              <w:spacing w:after="0" w:line="240" w:lineRule="auto"/>
              <w:jc w:val="right"/>
              <w:rPr>
                <w:rFonts w:eastAsia="Times New Roman" w:cs="Arial"/>
                <w:b/>
                <w:bCs/>
                <w:color w:val="FFFFFF"/>
                <w:sz w:val="20"/>
                <w:szCs w:val="20"/>
              </w:rPr>
            </w:pPr>
            <w:r w:rsidRPr="00191697">
              <w:rPr>
                <w:rFonts w:eastAsia="Times New Roman" w:cs="Arial"/>
                <w:b/>
                <w:bCs/>
                <w:color w:val="FFFFFF"/>
                <w:sz w:val="20"/>
                <w:szCs w:val="20"/>
              </w:rPr>
              <w:t>2023</w:t>
            </w:r>
          </w:p>
        </w:tc>
        <w:tc>
          <w:tcPr>
            <w:tcW w:w="0" w:type="auto"/>
            <w:tcBorders>
              <w:top w:val="single" w:sz="4" w:space="0" w:color="FFFFFF" w:themeColor="background1"/>
              <w:left w:val="nil"/>
              <w:right w:val="nil"/>
            </w:tcBorders>
            <w:shd w:val="clear" w:color="000000" w:fill="6B2976"/>
            <w:noWrap/>
            <w:vAlign w:val="center"/>
            <w:hideMark/>
          </w:tcPr>
          <w:p w14:paraId="4A1BDD79" w14:textId="77777777" w:rsidR="00BF7697" w:rsidRPr="00191697" w:rsidRDefault="00BF7697" w:rsidP="00771F1F">
            <w:pPr>
              <w:spacing w:after="0" w:line="240" w:lineRule="auto"/>
              <w:jc w:val="right"/>
              <w:rPr>
                <w:rFonts w:eastAsia="Times New Roman" w:cs="Arial"/>
                <w:b/>
                <w:bCs/>
                <w:color w:val="FFFFFF"/>
                <w:sz w:val="20"/>
                <w:szCs w:val="20"/>
              </w:rPr>
            </w:pPr>
            <w:r w:rsidRPr="00191697">
              <w:rPr>
                <w:rFonts w:eastAsia="Times New Roman" w:cs="Arial"/>
                <w:b/>
                <w:bCs/>
                <w:color w:val="FFFFFF"/>
                <w:sz w:val="20"/>
                <w:szCs w:val="20"/>
              </w:rPr>
              <w:t>2024</w:t>
            </w:r>
          </w:p>
        </w:tc>
        <w:tc>
          <w:tcPr>
            <w:tcW w:w="0" w:type="auto"/>
            <w:tcBorders>
              <w:top w:val="single" w:sz="4" w:space="0" w:color="FFFFFF" w:themeColor="background1"/>
              <w:left w:val="nil"/>
              <w:right w:val="nil"/>
            </w:tcBorders>
            <w:shd w:val="clear" w:color="000000" w:fill="6B2976"/>
            <w:noWrap/>
            <w:vAlign w:val="center"/>
            <w:hideMark/>
          </w:tcPr>
          <w:p w14:paraId="2A0C5A87" w14:textId="77777777" w:rsidR="00BF7697" w:rsidRPr="00191697" w:rsidRDefault="00BF7697" w:rsidP="00771F1F">
            <w:pPr>
              <w:spacing w:after="0" w:line="240" w:lineRule="auto"/>
              <w:jc w:val="right"/>
              <w:rPr>
                <w:rFonts w:eastAsia="Times New Roman" w:cs="Arial"/>
                <w:b/>
                <w:bCs/>
                <w:color w:val="FFFFFF"/>
                <w:sz w:val="20"/>
                <w:szCs w:val="20"/>
              </w:rPr>
            </w:pPr>
            <w:r w:rsidRPr="00191697">
              <w:rPr>
                <w:rFonts w:eastAsia="Times New Roman" w:cs="Arial"/>
                <w:b/>
                <w:bCs/>
                <w:color w:val="FFFFFF"/>
                <w:sz w:val="20"/>
                <w:szCs w:val="20"/>
              </w:rPr>
              <w:t>2025</w:t>
            </w:r>
          </w:p>
        </w:tc>
        <w:tc>
          <w:tcPr>
            <w:tcW w:w="0" w:type="auto"/>
            <w:tcBorders>
              <w:top w:val="single" w:sz="4" w:space="0" w:color="FFFFFF" w:themeColor="background1"/>
              <w:left w:val="nil"/>
              <w:right w:val="dotted" w:sz="4" w:space="0" w:color="auto"/>
            </w:tcBorders>
            <w:shd w:val="clear" w:color="000000" w:fill="6B2976"/>
            <w:noWrap/>
            <w:vAlign w:val="center"/>
            <w:hideMark/>
          </w:tcPr>
          <w:p w14:paraId="36F9B247" w14:textId="77777777" w:rsidR="00BF7697" w:rsidRPr="00191697" w:rsidRDefault="00BF7697" w:rsidP="00771F1F">
            <w:pPr>
              <w:spacing w:after="0" w:line="240" w:lineRule="auto"/>
              <w:jc w:val="right"/>
              <w:rPr>
                <w:rFonts w:eastAsia="Times New Roman" w:cs="Arial"/>
                <w:b/>
                <w:bCs/>
                <w:color w:val="FFFFFF"/>
                <w:sz w:val="20"/>
                <w:szCs w:val="20"/>
              </w:rPr>
            </w:pPr>
            <w:r w:rsidRPr="00191697">
              <w:rPr>
                <w:rFonts w:eastAsia="Times New Roman" w:cs="Arial"/>
                <w:b/>
                <w:bCs/>
                <w:color w:val="FFFFFF"/>
                <w:sz w:val="20"/>
                <w:szCs w:val="20"/>
              </w:rPr>
              <w:t>2026</w:t>
            </w:r>
          </w:p>
        </w:tc>
        <w:tc>
          <w:tcPr>
            <w:tcW w:w="0" w:type="auto"/>
            <w:tcBorders>
              <w:top w:val="single" w:sz="4" w:space="0" w:color="FFFFFF" w:themeColor="background1"/>
              <w:left w:val="dotted" w:sz="4" w:space="0" w:color="auto"/>
              <w:right w:val="nil"/>
            </w:tcBorders>
            <w:shd w:val="clear" w:color="000000" w:fill="6B2976"/>
            <w:noWrap/>
            <w:vAlign w:val="center"/>
            <w:hideMark/>
          </w:tcPr>
          <w:p w14:paraId="24392157" w14:textId="77777777" w:rsidR="00BF7697" w:rsidRPr="00191697" w:rsidRDefault="00BF7697" w:rsidP="00771F1F">
            <w:pPr>
              <w:spacing w:after="0" w:line="240" w:lineRule="auto"/>
              <w:jc w:val="right"/>
              <w:rPr>
                <w:rFonts w:eastAsia="Times New Roman" w:cs="Arial"/>
                <w:b/>
                <w:bCs/>
                <w:color w:val="FFFFFF"/>
                <w:sz w:val="20"/>
                <w:szCs w:val="20"/>
              </w:rPr>
            </w:pPr>
            <w:r w:rsidRPr="00191697">
              <w:rPr>
                <w:rFonts w:eastAsia="Times New Roman" w:cs="Arial"/>
                <w:b/>
                <w:bCs/>
                <w:color w:val="FFFFFF"/>
                <w:sz w:val="20"/>
                <w:szCs w:val="20"/>
              </w:rPr>
              <w:t>2032</w:t>
            </w:r>
          </w:p>
        </w:tc>
      </w:tr>
      <w:tr w:rsidR="00BF7697" w:rsidRPr="00771F1F" w14:paraId="0F8426FE" w14:textId="77777777" w:rsidTr="00771F1F">
        <w:trPr>
          <w:trHeight w:val="300"/>
        </w:trPr>
        <w:tc>
          <w:tcPr>
            <w:tcW w:w="0" w:type="auto"/>
            <w:tcBorders>
              <w:left w:val="nil"/>
              <w:bottom w:val="nil"/>
              <w:right w:val="nil"/>
            </w:tcBorders>
            <w:shd w:val="clear" w:color="auto" w:fill="auto"/>
            <w:noWrap/>
            <w:vAlign w:val="center"/>
            <w:hideMark/>
          </w:tcPr>
          <w:p w14:paraId="05BA8642" w14:textId="77777777" w:rsidR="00BF7697" w:rsidRPr="00771F1F" w:rsidRDefault="00BF7697" w:rsidP="00771F1F">
            <w:pPr>
              <w:spacing w:after="0" w:line="240" w:lineRule="auto"/>
              <w:rPr>
                <w:rFonts w:eastAsia="Times New Roman" w:cs="Arial"/>
                <w:color w:val="000000"/>
                <w:sz w:val="20"/>
                <w:szCs w:val="20"/>
              </w:rPr>
            </w:pPr>
            <w:r w:rsidRPr="00771F1F">
              <w:rPr>
                <w:rFonts w:eastAsia="Times New Roman" w:cs="Arial"/>
                <w:color w:val="000000"/>
                <w:sz w:val="20"/>
                <w:szCs w:val="20"/>
              </w:rPr>
              <w:t>Non-SIL</w:t>
            </w:r>
          </w:p>
        </w:tc>
        <w:tc>
          <w:tcPr>
            <w:tcW w:w="0" w:type="auto"/>
            <w:tcBorders>
              <w:left w:val="nil"/>
              <w:bottom w:val="nil"/>
              <w:right w:val="nil"/>
            </w:tcBorders>
            <w:shd w:val="clear" w:color="auto" w:fill="auto"/>
            <w:noWrap/>
            <w:vAlign w:val="center"/>
            <w:hideMark/>
          </w:tcPr>
          <w:p w14:paraId="5FBD40BB"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507,705</w:t>
            </w:r>
          </w:p>
        </w:tc>
        <w:tc>
          <w:tcPr>
            <w:tcW w:w="0" w:type="auto"/>
            <w:tcBorders>
              <w:left w:val="nil"/>
              <w:bottom w:val="nil"/>
              <w:right w:val="nil"/>
            </w:tcBorders>
            <w:shd w:val="clear" w:color="auto" w:fill="auto"/>
            <w:noWrap/>
            <w:vAlign w:val="center"/>
            <w:hideMark/>
          </w:tcPr>
          <w:p w14:paraId="7A692CF5"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563,983</w:t>
            </w:r>
          </w:p>
        </w:tc>
        <w:tc>
          <w:tcPr>
            <w:tcW w:w="0" w:type="auto"/>
            <w:tcBorders>
              <w:left w:val="nil"/>
              <w:bottom w:val="nil"/>
              <w:right w:val="nil"/>
            </w:tcBorders>
            <w:shd w:val="clear" w:color="auto" w:fill="auto"/>
            <w:noWrap/>
            <w:vAlign w:val="center"/>
            <w:hideMark/>
          </w:tcPr>
          <w:p w14:paraId="2FEEA9D7"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616,267</w:t>
            </w:r>
          </w:p>
        </w:tc>
        <w:tc>
          <w:tcPr>
            <w:tcW w:w="0" w:type="auto"/>
            <w:tcBorders>
              <w:left w:val="nil"/>
              <w:bottom w:val="nil"/>
              <w:right w:val="nil"/>
            </w:tcBorders>
            <w:shd w:val="clear" w:color="auto" w:fill="auto"/>
            <w:noWrap/>
            <w:vAlign w:val="center"/>
            <w:hideMark/>
          </w:tcPr>
          <w:p w14:paraId="71F67A3D"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662,855</w:t>
            </w:r>
          </w:p>
        </w:tc>
        <w:tc>
          <w:tcPr>
            <w:tcW w:w="0" w:type="auto"/>
            <w:tcBorders>
              <w:left w:val="nil"/>
              <w:bottom w:val="nil"/>
              <w:right w:val="dotted" w:sz="4" w:space="0" w:color="auto"/>
            </w:tcBorders>
            <w:shd w:val="clear" w:color="auto" w:fill="auto"/>
            <w:noWrap/>
            <w:vAlign w:val="center"/>
            <w:hideMark/>
          </w:tcPr>
          <w:p w14:paraId="17BC6DE6"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708,696</w:t>
            </w:r>
          </w:p>
        </w:tc>
        <w:tc>
          <w:tcPr>
            <w:tcW w:w="0" w:type="auto"/>
            <w:tcBorders>
              <w:left w:val="dotted" w:sz="4" w:space="0" w:color="auto"/>
              <w:bottom w:val="nil"/>
              <w:right w:val="nil"/>
            </w:tcBorders>
            <w:shd w:val="clear" w:color="auto" w:fill="auto"/>
            <w:noWrap/>
            <w:vAlign w:val="center"/>
            <w:hideMark/>
          </w:tcPr>
          <w:p w14:paraId="32D0CE39"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975,728</w:t>
            </w:r>
          </w:p>
        </w:tc>
      </w:tr>
      <w:tr w:rsidR="00BF7697" w:rsidRPr="00771F1F" w14:paraId="27D5D721" w14:textId="77777777" w:rsidTr="00DA3F73">
        <w:trPr>
          <w:trHeight w:val="300"/>
        </w:trPr>
        <w:tc>
          <w:tcPr>
            <w:tcW w:w="0" w:type="auto"/>
            <w:tcBorders>
              <w:top w:val="nil"/>
              <w:left w:val="nil"/>
              <w:bottom w:val="nil"/>
              <w:right w:val="nil"/>
            </w:tcBorders>
            <w:shd w:val="clear" w:color="auto" w:fill="BFBFBF" w:themeFill="background1" w:themeFillShade="BF"/>
            <w:noWrap/>
            <w:vAlign w:val="center"/>
            <w:hideMark/>
          </w:tcPr>
          <w:p w14:paraId="5BD8A049" w14:textId="77777777" w:rsidR="00BF7697" w:rsidRPr="00771F1F" w:rsidRDefault="00BF7697" w:rsidP="00771F1F">
            <w:pPr>
              <w:spacing w:after="0" w:line="240" w:lineRule="auto"/>
              <w:rPr>
                <w:rFonts w:eastAsia="Times New Roman" w:cs="Arial"/>
                <w:color w:val="000000"/>
                <w:sz w:val="20"/>
                <w:szCs w:val="20"/>
              </w:rPr>
            </w:pPr>
            <w:r w:rsidRPr="00771F1F">
              <w:rPr>
                <w:rFonts w:eastAsia="Times New Roman" w:cs="Arial"/>
                <w:color w:val="000000"/>
                <w:sz w:val="20"/>
                <w:szCs w:val="20"/>
              </w:rPr>
              <w:t>SIL</w:t>
            </w:r>
          </w:p>
        </w:tc>
        <w:tc>
          <w:tcPr>
            <w:tcW w:w="0" w:type="auto"/>
            <w:tcBorders>
              <w:top w:val="nil"/>
              <w:left w:val="nil"/>
              <w:bottom w:val="nil"/>
              <w:right w:val="nil"/>
            </w:tcBorders>
            <w:shd w:val="clear" w:color="auto" w:fill="BFBFBF" w:themeFill="background1" w:themeFillShade="BF"/>
            <w:noWrap/>
            <w:vAlign w:val="center"/>
            <w:hideMark/>
          </w:tcPr>
          <w:p w14:paraId="2089EB56"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26,950</w:t>
            </w:r>
          </w:p>
        </w:tc>
        <w:tc>
          <w:tcPr>
            <w:tcW w:w="0" w:type="auto"/>
            <w:tcBorders>
              <w:top w:val="nil"/>
              <w:left w:val="nil"/>
              <w:bottom w:val="nil"/>
              <w:right w:val="nil"/>
            </w:tcBorders>
            <w:shd w:val="clear" w:color="auto" w:fill="BFBFBF" w:themeFill="background1" w:themeFillShade="BF"/>
            <w:noWrap/>
            <w:vAlign w:val="center"/>
            <w:hideMark/>
          </w:tcPr>
          <w:p w14:paraId="6615FB69"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28,311</w:t>
            </w:r>
          </w:p>
        </w:tc>
        <w:tc>
          <w:tcPr>
            <w:tcW w:w="0" w:type="auto"/>
            <w:tcBorders>
              <w:top w:val="nil"/>
              <w:left w:val="nil"/>
              <w:bottom w:val="nil"/>
              <w:right w:val="nil"/>
            </w:tcBorders>
            <w:shd w:val="clear" w:color="auto" w:fill="BFBFBF" w:themeFill="background1" w:themeFillShade="BF"/>
            <w:noWrap/>
            <w:vAlign w:val="center"/>
            <w:hideMark/>
          </w:tcPr>
          <w:p w14:paraId="745ADBAF"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29,745</w:t>
            </w:r>
          </w:p>
        </w:tc>
        <w:tc>
          <w:tcPr>
            <w:tcW w:w="0" w:type="auto"/>
            <w:tcBorders>
              <w:top w:val="nil"/>
              <w:left w:val="nil"/>
              <w:bottom w:val="nil"/>
              <w:right w:val="nil"/>
            </w:tcBorders>
            <w:shd w:val="clear" w:color="auto" w:fill="BFBFBF" w:themeFill="background1" w:themeFillShade="BF"/>
            <w:noWrap/>
            <w:vAlign w:val="center"/>
            <w:hideMark/>
          </w:tcPr>
          <w:p w14:paraId="5CAAC208"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31,034</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1DE297AE"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32,381</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18E1C1D5"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41,795</w:t>
            </w:r>
          </w:p>
        </w:tc>
      </w:tr>
      <w:tr w:rsidR="00BF7697" w:rsidRPr="00771F1F" w14:paraId="4DA2E7DC" w14:textId="77777777" w:rsidTr="00771F1F">
        <w:trPr>
          <w:trHeight w:val="300"/>
        </w:trPr>
        <w:tc>
          <w:tcPr>
            <w:tcW w:w="0" w:type="auto"/>
            <w:tcBorders>
              <w:top w:val="single" w:sz="4" w:space="0" w:color="auto"/>
              <w:left w:val="nil"/>
              <w:bottom w:val="single" w:sz="4" w:space="0" w:color="auto"/>
              <w:right w:val="nil"/>
            </w:tcBorders>
            <w:shd w:val="clear" w:color="auto" w:fill="D4C5D7"/>
            <w:noWrap/>
            <w:vAlign w:val="center"/>
            <w:hideMark/>
          </w:tcPr>
          <w:p w14:paraId="51AAE328" w14:textId="77777777" w:rsidR="00BF7697" w:rsidRPr="00771F1F" w:rsidRDefault="00BF7697" w:rsidP="00771F1F">
            <w:pPr>
              <w:spacing w:after="0" w:line="240" w:lineRule="auto"/>
              <w:rPr>
                <w:rFonts w:eastAsia="Times New Roman" w:cs="Arial"/>
                <w:b/>
                <w:bCs/>
                <w:color w:val="000000"/>
                <w:sz w:val="20"/>
                <w:szCs w:val="20"/>
              </w:rPr>
            </w:pPr>
            <w:r w:rsidRPr="00771F1F">
              <w:rPr>
                <w:rFonts w:eastAsia="Times New Roman" w:cs="Arial"/>
                <w:b/>
                <w:bCs/>
                <w:color w:val="000000"/>
                <w:sz w:val="20"/>
                <w:szCs w:val="20"/>
              </w:rPr>
              <w:t>Total</w:t>
            </w:r>
          </w:p>
        </w:tc>
        <w:tc>
          <w:tcPr>
            <w:tcW w:w="0" w:type="auto"/>
            <w:tcBorders>
              <w:top w:val="single" w:sz="4" w:space="0" w:color="auto"/>
              <w:left w:val="nil"/>
              <w:bottom w:val="single" w:sz="4" w:space="0" w:color="auto"/>
              <w:right w:val="nil"/>
            </w:tcBorders>
            <w:shd w:val="clear" w:color="auto" w:fill="D4C5D7"/>
            <w:noWrap/>
            <w:vAlign w:val="center"/>
            <w:hideMark/>
          </w:tcPr>
          <w:p w14:paraId="23D94B07" w14:textId="77777777" w:rsidR="00BF7697" w:rsidRPr="00771F1F" w:rsidRDefault="00BF7697" w:rsidP="00771F1F">
            <w:pPr>
              <w:spacing w:after="0" w:line="240" w:lineRule="auto"/>
              <w:jc w:val="right"/>
              <w:rPr>
                <w:rFonts w:eastAsia="Times New Roman" w:cs="Arial"/>
                <w:b/>
                <w:bCs/>
                <w:color w:val="000000"/>
                <w:sz w:val="20"/>
                <w:szCs w:val="20"/>
              </w:rPr>
            </w:pPr>
            <w:r w:rsidRPr="00771F1F">
              <w:rPr>
                <w:rFonts w:cs="Arial"/>
                <w:b/>
                <w:bCs/>
                <w:color w:val="000000"/>
                <w:sz w:val="20"/>
                <w:szCs w:val="20"/>
              </w:rPr>
              <w:t>534,655</w:t>
            </w:r>
          </w:p>
        </w:tc>
        <w:tc>
          <w:tcPr>
            <w:tcW w:w="0" w:type="auto"/>
            <w:tcBorders>
              <w:top w:val="single" w:sz="4" w:space="0" w:color="auto"/>
              <w:left w:val="nil"/>
              <w:bottom w:val="single" w:sz="4" w:space="0" w:color="auto"/>
              <w:right w:val="nil"/>
            </w:tcBorders>
            <w:shd w:val="clear" w:color="auto" w:fill="D4C5D7"/>
            <w:noWrap/>
            <w:vAlign w:val="center"/>
            <w:hideMark/>
          </w:tcPr>
          <w:p w14:paraId="622008AF" w14:textId="77777777" w:rsidR="00BF7697" w:rsidRPr="00771F1F" w:rsidRDefault="00BF7697" w:rsidP="00771F1F">
            <w:pPr>
              <w:spacing w:after="0" w:line="240" w:lineRule="auto"/>
              <w:jc w:val="right"/>
              <w:rPr>
                <w:rFonts w:eastAsia="Times New Roman" w:cs="Arial"/>
                <w:b/>
                <w:bCs/>
                <w:color w:val="000000"/>
                <w:sz w:val="20"/>
                <w:szCs w:val="20"/>
              </w:rPr>
            </w:pPr>
            <w:r w:rsidRPr="00771F1F">
              <w:rPr>
                <w:rFonts w:cs="Arial"/>
                <w:b/>
                <w:bCs/>
                <w:color w:val="000000"/>
                <w:sz w:val="20"/>
                <w:szCs w:val="20"/>
              </w:rPr>
              <w:t>592,294</w:t>
            </w:r>
          </w:p>
        </w:tc>
        <w:tc>
          <w:tcPr>
            <w:tcW w:w="0" w:type="auto"/>
            <w:tcBorders>
              <w:top w:val="single" w:sz="4" w:space="0" w:color="auto"/>
              <w:left w:val="nil"/>
              <w:bottom w:val="single" w:sz="4" w:space="0" w:color="auto"/>
              <w:right w:val="nil"/>
            </w:tcBorders>
            <w:shd w:val="clear" w:color="auto" w:fill="D4C5D7"/>
            <w:noWrap/>
            <w:vAlign w:val="center"/>
            <w:hideMark/>
          </w:tcPr>
          <w:p w14:paraId="01FA03CF" w14:textId="77777777" w:rsidR="00BF7697" w:rsidRPr="00771F1F" w:rsidRDefault="00BF7697" w:rsidP="00771F1F">
            <w:pPr>
              <w:spacing w:after="0" w:line="240" w:lineRule="auto"/>
              <w:jc w:val="right"/>
              <w:rPr>
                <w:rFonts w:eastAsia="Times New Roman" w:cs="Arial"/>
                <w:b/>
                <w:bCs/>
                <w:color w:val="000000"/>
                <w:sz w:val="20"/>
                <w:szCs w:val="20"/>
              </w:rPr>
            </w:pPr>
            <w:r w:rsidRPr="00771F1F">
              <w:rPr>
                <w:rFonts w:cs="Arial"/>
                <w:b/>
                <w:bCs/>
                <w:color w:val="000000"/>
                <w:sz w:val="20"/>
                <w:szCs w:val="20"/>
              </w:rPr>
              <w:t>646,012</w:t>
            </w:r>
          </w:p>
        </w:tc>
        <w:tc>
          <w:tcPr>
            <w:tcW w:w="0" w:type="auto"/>
            <w:tcBorders>
              <w:top w:val="single" w:sz="4" w:space="0" w:color="auto"/>
              <w:left w:val="nil"/>
              <w:bottom w:val="single" w:sz="4" w:space="0" w:color="auto"/>
              <w:right w:val="nil"/>
            </w:tcBorders>
            <w:shd w:val="clear" w:color="auto" w:fill="D4C5D7"/>
            <w:noWrap/>
            <w:vAlign w:val="center"/>
            <w:hideMark/>
          </w:tcPr>
          <w:p w14:paraId="6F70D4B1" w14:textId="77777777" w:rsidR="00BF7697" w:rsidRPr="00771F1F" w:rsidRDefault="00BF7697" w:rsidP="00771F1F">
            <w:pPr>
              <w:spacing w:after="0" w:line="240" w:lineRule="auto"/>
              <w:jc w:val="right"/>
              <w:rPr>
                <w:rFonts w:eastAsia="Times New Roman" w:cs="Arial"/>
                <w:b/>
                <w:bCs/>
                <w:color w:val="000000"/>
                <w:sz w:val="20"/>
                <w:szCs w:val="20"/>
              </w:rPr>
            </w:pPr>
            <w:r w:rsidRPr="00771F1F">
              <w:rPr>
                <w:rFonts w:cs="Arial"/>
                <w:b/>
                <w:bCs/>
                <w:color w:val="000000"/>
                <w:sz w:val="20"/>
                <w:szCs w:val="20"/>
              </w:rPr>
              <w:t>693,889</w:t>
            </w:r>
          </w:p>
        </w:tc>
        <w:tc>
          <w:tcPr>
            <w:tcW w:w="0" w:type="auto"/>
            <w:tcBorders>
              <w:top w:val="single" w:sz="4" w:space="0" w:color="auto"/>
              <w:left w:val="nil"/>
              <w:bottom w:val="single" w:sz="4" w:space="0" w:color="auto"/>
              <w:right w:val="dotted" w:sz="4" w:space="0" w:color="auto"/>
            </w:tcBorders>
            <w:shd w:val="clear" w:color="auto" w:fill="D4C5D7"/>
            <w:noWrap/>
            <w:vAlign w:val="center"/>
            <w:hideMark/>
          </w:tcPr>
          <w:p w14:paraId="569C88DB" w14:textId="77777777" w:rsidR="00BF7697" w:rsidRPr="00771F1F" w:rsidRDefault="00BF7697" w:rsidP="00771F1F">
            <w:pPr>
              <w:spacing w:after="0" w:line="240" w:lineRule="auto"/>
              <w:jc w:val="right"/>
              <w:rPr>
                <w:rFonts w:eastAsia="Times New Roman" w:cs="Arial"/>
                <w:b/>
                <w:bCs/>
                <w:color w:val="000000"/>
                <w:sz w:val="20"/>
                <w:szCs w:val="20"/>
              </w:rPr>
            </w:pPr>
            <w:r w:rsidRPr="00771F1F">
              <w:rPr>
                <w:rFonts w:cs="Arial"/>
                <w:b/>
                <w:bCs/>
                <w:color w:val="000000"/>
                <w:sz w:val="20"/>
                <w:szCs w:val="20"/>
              </w:rPr>
              <w:t>741,077</w:t>
            </w:r>
          </w:p>
        </w:tc>
        <w:tc>
          <w:tcPr>
            <w:tcW w:w="0" w:type="auto"/>
            <w:tcBorders>
              <w:top w:val="single" w:sz="4" w:space="0" w:color="auto"/>
              <w:left w:val="dotted" w:sz="4" w:space="0" w:color="auto"/>
              <w:bottom w:val="single" w:sz="4" w:space="0" w:color="auto"/>
              <w:right w:val="nil"/>
            </w:tcBorders>
            <w:shd w:val="clear" w:color="auto" w:fill="D4C5D7"/>
            <w:noWrap/>
            <w:vAlign w:val="center"/>
            <w:hideMark/>
          </w:tcPr>
          <w:p w14:paraId="4E3B2262" w14:textId="77777777" w:rsidR="00BF7697" w:rsidRPr="00771F1F" w:rsidRDefault="00BF7697" w:rsidP="00771F1F">
            <w:pPr>
              <w:spacing w:after="0" w:line="240" w:lineRule="auto"/>
              <w:jc w:val="right"/>
              <w:rPr>
                <w:rFonts w:eastAsia="Times New Roman" w:cs="Arial"/>
                <w:b/>
                <w:bCs/>
                <w:color w:val="000000"/>
                <w:sz w:val="20"/>
                <w:szCs w:val="20"/>
              </w:rPr>
            </w:pPr>
            <w:r w:rsidRPr="00771F1F">
              <w:rPr>
                <w:rFonts w:cs="Arial"/>
                <w:b/>
                <w:bCs/>
                <w:color w:val="000000"/>
                <w:sz w:val="20"/>
                <w:szCs w:val="20"/>
              </w:rPr>
              <w:t>1,017,522</w:t>
            </w:r>
          </w:p>
        </w:tc>
      </w:tr>
      <w:tr w:rsidR="00BF7697" w:rsidRPr="00771F1F" w14:paraId="5D2CF525" w14:textId="77777777" w:rsidTr="00771F1F">
        <w:trPr>
          <w:trHeight w:val="300"/>
        </w:trPr>
        <w:tc>
          <w:tcPr>
            <w:tcW w:w="0" w:type="auto"/>
            <w:gridSpan w:val="7"/>
            <w:tcBorders>
              <w:top w:val="nil"/>
              <w:left w:val="nil"/>
              <w:bottom w:val="single" w:sz="4" w:space="0" w:color="auto"/>
              <w:right w:val="nil"/>
            </w:tcBorders>
            <w:shd w:val="clear" w:color="auto" w:fill="BFBFBF" w:themeFill="background1" w:themeFillShade="BF"/>
            <w:noWrap/>
            <w:vAlign w:val="center"/>
            <w:hideMark/>
          </w:tcPr>
          <w:p w14:paraId="7DA5D017" w14:textId="77777777" w:rsidR="00BF7697" w:rsidRPr="00771F1F" w:rsidRDefault="00BF7697" w:rsidP="00771F1F">
            <w:pPr>
              <w:spacing w:after="0" w:line="240" w:lineRule="auto"/>
              <w:rPr>
                <w:rFonts w:eastAsia="Times New Roman" w:cs="Arial"/>
                <w:b/>
                <w:bCs/>
                <w:color w:val="6B2976"/>
                <w:sz w:val="20"/>
                <w:szCs w:val="20"/>
              </w:rPr>
            </w:pPr>
            <w:r w:rsidRPr="00771F1F">
              <w:rPr>
                <w:rFonts w:eastAsia="Times New Roman" w:cs="Arial"/>
                <w:b/>
                <w:bCs/>
                <w:color w:val="6B2976"/>
                <w:sz w:val="20"/>
                <w:szCs w:val="20"/>
              </w:rPr>
              <w:t>SIL as a % of Total Scheme Population</w:t>
            </w:r>
          </w:p>
        </w:tc>
      </w:tr>
      <w:tr w:rsidR="00BF7697" w:rsidRPr="00771F1F" w14:paraId="2D445A8C" w14:textId="77777777" w:rsidTr="00771F1F">
        <w:trPr>
          <w:trHeight w:val="300"/>
        </w:trPr>
        <w:tc>
          <w:tcPr>
            <w:tcW w:w="0" w:type="auto"/>
            <w:tcBorders>
              <w:top w:val="nil"/>
              <w:left w:val="nil"/>
              <w:bottom w:val="single" w:sz="4" w:space="0" w:color="auto"/>
              <w:right w:val="nil"/>
            </w:tcBorders>
            <w:shd w:val="clear" w:color="auto" w:fill="auto"/>
            <w:noWrap/>
            <w:vAlign w:val="center"/>
            <w:hideMark/>
          </w:tcPr>
          <w:p w14:paraId="20C570C6" w14:textId="77777777" w:rsidR="00BF7697" w:rsidRPr="00771F1F" w:rsidRDefault="00BF7697" w:rsidP="00771F1F">
            <w:pPr>
              <w:spacing w:after="0" w:line="240" w:lineRule="auto"/>
              <w:rPr>
                <w:rFonts w:eastAsia="Times New Roman" w:cs="Arial"/>
                <w:color w:val="000000"/>
                <w:sz w:val="20"/>
                <w:szCs w:val="20"/>
              </w:rPr>
            </w:pPr>
            <w:r w:rsidRPr="00771F1F">
              <w:rPr>
                <w:rFonts w:eastAsia="Times New Roman" w:cs="Arial"/>
                <w:color w:val="000000"/>
                <w:sz w:val="20"/>
                <w:szCs w:val="20"/>
              </w:rPr>
              <w:t>Projection</w:t>
            </w:r>
          </w:p>
        </w:tc>
        <w:tc>
          <w:tcPr>
            <w:tcW w:w="0" w:type="auto"/>
            <w:tcBorders>
              <w:top w:val="nil"/>
              <w:left w:val="nil"/>
              <w:bottom w:val="single" w:sz="4" w:space="0" w:color="auto"/>
              <w:right w:val="nil"/>
            </w:tcBorders>
            <w:shd w:val="clear" w:color="auto" w:fill="auto"/>
            <w:noWrap/>
            <w:vAlign w:val="center"/>
            <w:hideMark/>
          </w:tcPr>
          <w:p w14:paraId="518417B9"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5.0%</w:t>
            </w:r>
          </w:p>
        </w:tc>
        <w:tc>
          <w:tcPr>
            <w:tcW w:w="0" w:type="auto"/>
            <w:tcBorders>
              <w:top w:val="nil"/>
              <w:left w:val="nil"/>
              <w:bottom w:val="single" w:sz="4" w:space="0" w:color="auto"/>
              <w:right w:val="nil"/>
            </w:tcBorders>
            <w:shd w:val="clear" w:color="auto" w:fill="auto"/>
            <w:noWrap/>
            <w:vAlign w:val="center"/>
            <w:hideMark/>
          </w:tcPr>
          <w:p w14:paraId="538EEC19"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4.8%</w:t>
            </w:r>
          </w:p>
        </w:tc>
        <w:tc>
          <w:tcPr>
            <w:tcW w:w="0" w:type="auto"/>
            <w:tcBorders>
              <w:top w:val="nil"/>
              <w:left w:val="nil"/>
              <w:bottom w:val="single" w:sz="4" w:space="0" w:color="auto"/>
              <w:right w:val="nil"/>
            </w:tcBorders>
            <w:shd w:val="clear" w:color="auto" w:fill="auto"/>
            <w:noWrap/>
            <w:vAlign w:val="center"/>
            <w:hideMark/>
          </w:tcPr>
          <w:p w14:paraId="2D045765"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4.6%</w:t>
            </w:r>
          </w:p>
        </w:tc>
        <w:tc>
          <w:tcPr>
            <w:tcW w:w="0" w:type="auto"/>
            <w:tcBorders>
              <w:top w:val="nil"/>
              <w:left w:val="nil"/>
              <w:bottom w:val="single" w:sz="4" w:space="0" w:color="auto"/>
              <w:right w:val="nil"/>
            </w:tcBorders>
            <w:shd w:val="clear" w:color="auto" w:fill="auto"/>
            <w:noWrap/>
            <w:vAlign w:val="center"/>
            <w:hideMark/>
          </w:tcPr>
          <w:p w14:paraId="1A998F24"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4.5%</w:t>
            </w:r>
          </w:p>
        </w:tc>
        <w:tc>
          <w:tcPr>
            <w:tcW w:w="0" w:type="auto"/>
            <w:tcBorders>
              <w:top w:val="nil"/>
              <w:left w:val="nil"/>
              <w:bottom w:val="single" w:sz="4" w:space="0" w:color="auto"/>
              <w:right w:val="nil"/>
            </w:tcBorders>
            <w:shd w:val="clear" w:color="auto" w:fill="auto"/>
            <w:noWrap/>
            <w:vAlign w:val="center"/>
            <w:hideMark/>
          </w:tcPr>
          <w:p w14:paraId="10151C91"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4.4%</w:t>
            </w:r>
          </w:p>
        </w:tc>
        <w:tc>
          <w:tcPr>
            <w:tcW w:w="0" w:type="auto"/>
            <w:tcBorders>
              <w:top w:val="nil"/>
              <w:left w:val="dotted" w:sz="4" w:space="0" w:color="auto"/>
              <w:bottom w:val="single" w:sz="4" w:space="0" w:color="auto"/>
              <w:right w:val="nil"/>
            </w:tcBorders>
            <w:shd w:val="clear" w:color="auto" w:fill="auto"/>
            <w:noWrap/>
            <w:vAlign w:val="center"/>
            <w:hideMark/>
          </w:tcPr>
          <w:p w14:paraId="14F59AE7" w14:textId="77777777" w:rsidR="00BF7697" w:rsidRPr="00771F1F" w:rsidRDefault="00BF7697" w:rsidP="00771F1F">
            <w:pPr>
              <w:spacing w:after="0" w:line="240" w:lineRule="auto"/>
              <w:jc w:val="right"/>
              <w:rPr>
                <w:rFonts w:eastAsia="Times New Roman" w:cs="Arial"/>
                <w:color w:val="000000"/>
                <w:sz w:val="20"/>
                <w:szCs w:val="20"/>
              </w:rPr>
            </w:pPr>
            <w:r w:rsidRPr="00771F1F">
              <w:rPr>
                <w:rFonts w:cs="Arial"/>
                <w:color w:val="000000"/>
                <w:sz w:val="20"/>
                <w:szCs w:val="20"/>
              </w:rPr>
              <w:t>4.1%</w:t>
            </w:r>
          </w:p>
        </w:tc>
      </w:tr>
    </w:tbl>
    <w:p w14:paraId="32528367" w14:textId="77777777" w:rsidR="00BF7697" w:rsidRPr="00331190" w:rsidRDefault="00BF7697" w:rsidP="00BF7697">
      <w:pPr>
        <w:pStyle w:val="FSRnormal"/>
      </w:pPr>
      <w:r>
        <w:t xml:space="preserve">Similar </w:t>
      </w:r>
      <w:r w:rsidR="00356B16">
        <w:t xml:space="preserve">to the </w:t>
      </w:r>
      <w:r>
        <w:t>last review, the number of participants in SIL arrangements is projected to increase over time to reflect existing participants moving into SIL arrangements, as well as a small number of new entrants to the Scheme accessing SIL.</w:t>
      </w:r>
    </w:p>
    <w:p w14:paraId="2287D864" w14:textId="77777777" w:rsidR="00BF7697" w:rsidRDefault="00BF7697" w:rsidP="00BF7697">
      <w:pPr>
        <w:pStyle w:val="FSRnormal"/>
      </w:pPr>
      <w:r>
        <w:lastRenderedPageBreak/>
        <w:t>Participants who were previously in State/</w:t>
      </w:r>
      <w:r w:rsidR="00356B16">
        <w:t>Territory</w:t>
      </w:r>
      <w:r w:rsidR="00111C08">
        <w:t xml:space="preserve"> or </w:t>
      </w:r>
      <w:r>
        <w:t xml:space="preserve">Commonwealth disability programs make up the bulk of the current participants </w:t>
      </w:r>
      <w:r w:rsidR="0012307F">
        <w:t>with</w:t>
      </w:r>
      <w:r>
        <w:t xml:space="preserve"> SIL. However, as discussed in Section 4.1, transitions of participants with SIL from previous government programs ha</w:t>
      </w:r>
      <w:r w:rsidR="008523A0">
        <w:t>ve</w:t>
      </w:r>
      <w:r>
        <w:t xml:space="preserve"> tapered off. Since the proportions of existing participants moving into SIL arrangements and that of new entrants accessing SIL are relatively small, the growth of participants with SIL </w:t>
      </w:r>
      <w:r w:rsidR="00356B16">
        <w:t xml:space="preserve">is unlikely to match the rate of growth of the </w:t>
      </w:r>
      <w:r>
        <w:t xml:space="preserve">Scheme </w:t>
      </w:r>
      <w:r w:rsidR="00356B16">
        <w:t>population</w:t>
      </w:r>
      <w:r>
        <w:t>, and therefore the proportion of participants</w:t>
      </w:r>
      <w:r w:rsidDel="00B76860">
        <w:t xml:space="preserve"> </w:t>
      </w:r>
      <w:r>
        <w:t>with SIL will decrease over time.</w:t>
      </w:r>
    </w:p>
    <w:p w14:paraId="5085433A" w14:textId="77777777" w:rsidR="00BF7697" w:rsidRPr="000368A8" w:rsidRDefault="00771F1F" w:rsidP="00BF7697">
      <w:pPr>
        <w:pStyle w:val="FSRnormal"/>
        <w:rPr>
          <w:rFonts w:cs="Arial"/>
          <w:highlight w:val="yellow"/>
        </w:rPr>
      </w:pPr>
      <w:r>
        <w:t xml:space="preserve">Figure </w:t>
      </w:r>
      <w:r>
        <w:rPr>
          <w:noProof/>
        </w:rPr>
        <w:t>5</w:t>
      </w:r>
      <w:r>
        <w:t>.</w:t>
      </w:r>
      <w:r>
        <w:rPr>
          <w:noProof/>
        </w:rPr>
        <w:t>10</w:t>
      </w:r>
      <w:r w:rsidR="00BF7697" w:rsidRPr="230F5976">
        <w:rPr>
          <w:rFonts w:cs="Arial"/>
        </w:rPr>
        <w:t xml:space="preserve"> </w:t>
      </w:r>
      <w:r w:rsidR="008523A0">
        <w:rPr>
          <w:rFonts w:cs="Arial"/>
        </w:rPr>
        <w:t>shows</w:t>
      </w:r>
      <w:r w:rsidR="00BF7697" w:rsidRPr="230F5976">
        <w:rPr>
          <w:rFonts w:cs="Arial"/>
        </w:rPr>
        <w:t xml:space="preserve"> the revised projection of participants moving into SIL arrangements in the current review compared with the previous review. In 2021-22, a higher number of participants moved into SIL arrangements due to the clearing of backlogs of home and living decisions. While this initiative is well progressed, improvements have been made to help streamline the process for making home and living decisions. </w:t>
      </w:r>
      <w:r w:rsidR="004B67A2">
        <w:rPr>
          <w:rFonts w:cs="Arial"/>
        </w:rPr>
        <w:t xml:space="preserve">Whilst the number of new SIL participants has been increased relative to the previous review, it remains below the number observed over the 2021-22 year. </w:t>
      </w:r>
    </w:p>
    <w:p w14:paraId="2370EC2D" w14:textId="77777777" w:rsidR="00BF7697" w:rsidRDefault="00BF7697" w:rsidP="00BF7697">
      <w:pPr>
        <w:pStyle w:val="Figures"/>
      </w:pPr>
      <w:bookmarkStart w:id="215" w:name="_Ref111629236"/>
      <w:bookmarkStart w:id="216" w:name="_Ref113279248"/>
      <w:bookmarkStart w:id="217" w:name="_Ref111899337"/>
      <w:r>
        <w:t xml:space="preserve">Figure </w:t>
      </w:r>
      <w:bookmarkEnd w:id="215"/>
      <w:r w:rsidR="00447AA1">
        <w:fldChar w:fldCharType="begin"/>
      </w:r>
      <w:r w:rsidR="00447AA1">
        <w:instrText xml:space="preserve"> STYLEREF 2 \s </w:instrText>
      </w:r>
      <w:r w:rsidR="00447AA1">
        <w:fldChar w:fldCharType="separate"/>
      </w:r>
      <w:r w:rsidR="00447AA1">
        <w:rPr>
          <w:noProof/>
        </w:rPr>
        <w:t>5</w:t>
      </w:r>
      <w:r w:rsidR="00447AA1">
        <w:fldChar w:fldCharType="end"/>
      </w:r>
      <w:r w:rsidR="00447AA1">
        <w:t>.</w:t>
      </w:r>
      <w:fldSimple w:instr=" SEQ Figure \* ARABIC \s 2 ">
        <w:r w:rsidR="00447AA1">
          <w:rPr>
            <w:noProof/>
          </w:rPr>
          <w:t>10</w:t>
        </w:r>
      </w:fldSimple>
      <w:bookmarkEnd w:id="216"/>
      <w:bookmarkEnd w:id="217"/>
      <w:r>
        <w:t>: I</w:t>
      </w:r>
      <w:r w:rsidRPr="000D14FC">
        <w:t>ntake experience to date and trajectory</w:t>
      </w:r>
      <w:r>
        <w:t xml:space="preserve"> for participants </w:t>
      </w:r>
      <w:r w:rsidR="00D067C5">
        <w:t>with</w:t>
      </w:r>
      <w:r>
        <w:t xml:space="preserve"> SIL</w:t>
      </w:r>
      <w:r w:rsidR="004B67A2">
        <w:rPr>
          <w:rStyle w:val="FootnoteReference"/>
        </w:rPr>
        <w:footnoteReference w:id="98"/>
      </w:r>
    </w:p>
    <w:p w14:paraId="3E214799" w14:textId="77777777" w:rsidR="00BF7697" w:rsidRDefault="003934F4" w:rsidP="00BF7697">
      <w:pPr>
        <w:pStyle w:val="FSRnormal"/>
      </w:pPr>
      <w:r>
        <w:rPr>
          <w:noProof/>
          <w:lang w:eastAsia="en-AU"/>
        </w:rPr>
        <w:drawing>
          <wp:inline distT="0" distB="0" distL="0" distR="0" wp14:anchorId="35E673D3" wp14:editId="64F6245E">
            <wp:extent cx="5724525" cy="3011805"/>
            <wp:effectExtent l="0" t="0" r="9525" b="0"/>
            <wp:docPr id="58" name="Picture 58" descr="The chart show experience to date and trajectory for participants with SIL: &#10;Actual participants new to SIL supports are 5,867 in 2017-18; 8,389 in 2018-19; 3,067 in 2019-20; 1,201 in 2020-21; &#10;Actual participants new to SIL supports (new SIL definition) is 2,408 in 2021-22; &#10;Actual new entrants with SIL supports are 48 in 2017-18; 430 in 2018-19; 767 in 2019-20; 726 in 2020-21; 1,157 in 2021-22; &#10;Projected participants new to SIL supports based on 2021-22 AFSR are 1,361 in 2022-23; 1,434 in 2023-24; 1,289 in 2024-25; 1,347 in 2025-26; 1,398 in 2026-27; 1,474 in 2027-28; 1,513 in 2028-29; 1,597 in 2029-30; 1,676 in 2030-31; and 1,756 in 2031-32; &#10;Projected participants new to SIL supports based on 2020-21 AFSR are 905 in 2022-23; 1,006 in 2023-24; 1,015 in 2024-25; 1,067 in 2025-26; 1,106 in 2026-27; 1,166 in 2027-28; 1,195 in 2028-29; 1,261 in 2029-30; 1,323 in 2030-31; and 1,380 in 2031-32." title="Figure 5.10: Experience to date and projections of participants new to S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24525" cy="3011805"/>
                    </a:xfrm>
                    <a:prstGeom prst="rect">
                      <a:avLst/>
                    </a:prstGeom>
                    <a:noFill/>
                  </pic:spPr>
                </pic:pic>
              </a:graphicData>
            </a:graphic>
          </wp:inline>
        </w:drawing>
      </w:r>
    </w:p>
    <w:p w14:paraId="1DC49CD7" w14:textId="77777777" w:rsidR="00BF7697" w:rsidRDefault="00BF7697" w:rsidP="00BF7697">
      <w:pPr>
        <w:spacing w:after="160" w:line="259" w:lineRule="auto"/>
        <w:rPr>
          <w:highlight w:val="yellow"/>
        </w:rPr>
      </w:pPr>
    </w:p>
    <w:p w14:paraId="1AC198EF" w14:textId="77777777" w:rsidR="00BF7697" w:rsidRPr="000368A8" w:rsidRDefault="00BF7697" w:rsidP="00BF7697">
      <w:pPr>
        <w:pStyle w:val="Heading3"/>
        <w:ind w:left="792" w:hanging="792"/>
      </w:pPr>
      <w:bookmarkStart w:id="218" w:name="_Toc118460204"/>
      <w:r>
        <w:t>Average payment assumptions</w:t>
      </w:r>
      <w:bookmarkEnd w:id="203"/>
      <w:bookmarkEnd w:id="218"/>
    </w:p>
    <w:p w14:paraId="1014BE7A" w14:textId="77777777" w:rsidR="00BF7697" w:rsidRPr="00A55A6D" w:rsidRDefault="00BF7697" w:rsidP="00A55A6D">
      <w:pPr>
        <w:pStyle w:val="FSRnormal"/>
      </w:pPr>
      <w:bookmarkStart w:id="219" w:name="_Ref76048809"/>
      <w:bookmarkStart w:id="220" w:name="_Ref80286470"/>
      <w:bookmarkStart w:id="221" w:name="_Toc83220851"/>
      <w:r w:rsidRPr="00A55A6D">
        <w:t xml:space="preserve">Scheme experience over the past twelve months has </w:t>
      </w:r>
      <w:r w:rsidR="008523A0">
        <w:t>seen</w:t>
      </w:r>
      <w:r w:rsidR="008523A0" w:rsidRPr="00A55A6D">
        <w:t xml:space="preserve"> </w:t>
      </w:r>
      <w:r w:rsidRPr="00A55A6D">
        <w:t>lower average payments per participant than expected when compared to assumptions from the 2020-21 AFSR. These lower levels are reflected in the base average payment assumptions</w:t>
      </w:r>
      <w:r w:rsidR="004B67A2">
        <w:t>,</w:t>
      </w:r>
      <w:r w:rsidRPr="00A55A6D">
        <w:t xml:space="preserve"> which were derived </w:t>
      </w:r>
      <w:r w:rsidRPr="00A55A6D">
        <w:lastRenderedPageBreak/>
        <w:t xml:space="preserve">from actual payments data </w:t>
      </w:r>
      <w:r w:rsidR="008523A0">
        <w:t>in the three</w:t>
      </w:r>
      <w:r w:rsidRPr="00A55A6D">
        <w:t xml:space="preserve"> months to 31 May 2022 and adjusted to reflect </w:t>
      </w:r>
      <w:r w:rsidR="004B67A2">
        <w:t>expected seasonality</w:t>
      </w:r>
      <w:r w:rsidR="00D5480D">
        <w:t xml:space="preserve"> (as </w:t>
      </w:r>
      <w:r w:rsidR="00D5480D" w:rsidRPr="00D72D94">
        <w:t>high payment levels have been observed historically in the months of March to May relative to other months</w:t>
      </w:r>
      <w:r w:rsidR="00D5480D" w:rsidRPr="007D1BF1">
        <w:t>).</w:t>
      </w:r>
    </w:p>
    <w:p w14:paraId="06DC03E6" w14:textId="77777777" w:rsidR="00BF7697" w:rsidRPr="00A55A6D" w:rsidRDefault="00BF7697" w:rsidP="00A55A6D">
      <w:pPr>
        <w:pStyle w:val="FSRnormal"/>
      </w:pPr>
      <w:r w:rsidRPr="00A55A6D">
        <w:t>Base average payment assumptions (</w:t>
      </w:r>
      <w:r w:rsidR="00E56489" w:rsidRPr="00A55A6D">
        <w:t>i.e.,</w:t>
      </w:r>
      <w:r w:rsidRPr="00A55A6D">
        <w:t xml:space="preserve"> those before allowance for inflation) are set with reference to payments </w:t>
      </w:r>
      <w:r w:rsidR="00DC43C9">
        <w:t>for</w:t>
      </w:r>
      <w:r w:rsidR="00BB7FC3">
        <w:t xml:space="preserve"> </w:t>
      </w:r>
      <w:r w:rsidRPr="00A55A6D">
        <w:t>participants who have been in the Scheme for at least 12 months (</w:t>
      </w:r>
      <w:r w:rsidR="00BB7FC3">
        <w:t xml:space="preserve">with </w:t>
      </w:r>
      <w:r w:rsidRPr="00A55A6D">
        <w:t xml:space="preserve">a separate </w:t>
      </w:r>
      <w:r w:rsidRPr="004B67A2">
        <w:t xml:space="preserve">allowance </w:t>
      </w:r>
      <w:r w:rsidR="00BB7FC3">
        <w:t xml:space="preserve">being </w:t>
      </w:r>
      <w:r w:rsidRPr="004B67A2">
        <w:t xml:space="preserve">made for </w:t>
      </w:r>
      <w:r w:rsidR="00BB7FC3">
        <w:t xml:space="preserve">lower expected </w:t>
      </w:r>
      <w:r w:rsidR="00D5480D">
        <w:t xml:space="preserve">payments </w:t>
      </w:r>
      <w:r w:rsidR="00DC43C9">
        <w:t>for</w:t>
      </w:r>
      <w:r w:rsidR="00BB7FC3">
        <w:t xml:space="preserve"> </w:t>
      </w:r>
      <w:r w:rsidRPr="004B67A2">
        <w:t xml:space="preserve">participants in their first year). </w:t>
      </w:r>
      <w:r w:rsidR="008523A0">
        <w:t>C</w:t>
      </w:r>
      <w:r w:rsidRPr="004B67A2">
        <w:t xml:space="preserve">ompared to expected </w:t>
      </w:r>
      <w:r w:rsidR="00D5480D">
        <w:t xml:space="preserve">payments </w:t>
      </w:r>
      <w:r w:rsidRPr="004B67A2">
        <w:t xml:space="preserve">from </w:t>
      </w:r>
      <w:r w:rsidR="008523A0">
        <w:t xml:space="preserve">the </w:t>
      </w:r>
      <w:r w:rsidRPr="004B67A2">
        <w:t xml:space="preserve">2021-22 AFSR, </w:t>
      </w:r>
      <w:r w:rsidR="008523A0">
        <w:t xml:space="preserve">these assumptions </w:t>
      </w:r>
      <w:r w:rsidRPr="004B67A2">
        <w:t xml:space="preserve">are lower by </w:t>
      </w:r>
      <w:r w:rsidR="004B67A2" w:rsidRPr="00C53CDC">
        <w:t xml:space="preserve">about </w:t>
      </w:r>
      <w:r w:rsidRPr="00C53CDC">
        <w:t xml:space="preserve">3.7% </w:t>
      </w:r>
      <w:r w:rsidRPr="004B67A2">
        <w:t xml:space="preserve">(about 5% for non-SIL and 1.3% for SIL). </w:t>
      </w:r>
      <w:r w:rsidRPr="00A55A6D">
        <w:t xml:space="preserve">Assumptions within most of the support categories from the primary disabilities in </w:t>
      </w:r>
      <w:r w:rsidR="000F7D23" w:rsidRPr="00A55A6D">
        <w:t xml:space="preserve">Table </w:t>
      </w:r>
      <w:r w:rsidR="000F7D23">
        <w:rPr>
          <w:noProof/>
        </w:rPr>
        <w:t>5</w:t>
      </w:r>
      <w:r w:rsidR="000F7D23">
        <w:t>.</w:t>
      </w:r>
      <w:r w:rsidR="000F7D23">
        <w:rPr>
          <w:noProof/>
        </w:rPr>
        <w:t>17</w:t>
      </w:r>
      <w:r w:rsidRPr="00A55A6D">
        <w:t xml:space="preserve"> have reduced relative to expectation. </w:t>
      </w:r>
    </w:p>
    <w:p w14:paraId="418E3D29" w14:textId="77777777" w:rsidR="00BF7697" w:rsidRPr="00A55A6D" w:rsidRDefault="00BF7697" w:rsidP="00A55A6D">
      <w:pPr>
        <w:pStyle w:val="Tables"/>
      </w:pPr>
      <w:bookmarkStart w:id="222" w:name="_Ref111630047"/>
      <w:bookmarkStart w:id="223" w:name="_Ref111803175"/>
      <w:bookmarkStart w:id="224" w:name="_Ref114484465"/>
      <w:r w:rsidRPr="00A55A6D">
        <w:t xml:space="preserve">Table </w:t>
      </w:r>
      <w:bookmarkEnd w:id="222"/>
      <w:r w:rsidR="00A87896">
        <w:fldChar w:fldCharType="begin"/>
      </w:r>
      <w:r w:rsidR="00A87896">
        <w:instrText xml:space="preserve"> STYLEREF 2 \s </w:instrText>
      </w:r>
      <w:r w:rsidR="00A87896">
        <w:fldChar w:fldCharType="separate"/>
      </w:r>
      <w:r w:rsidR="00A87896">
        <w:rPr>
          <w:noProof/>
        </w:rPr>
        <w:t>5</w:t>
      </w:r>
      <w:r w:rsidR="00A87896">
        <w:fldChar w:fldCharType="end"/>
      </w:r>
      <w:r w:rsidR="00A87896">
        <w:t>.</w:t>
      </w:r>
      <w:fldSimple w:instr=" SEQ Table \* ARABIC \s 2 ">
        <w:r w:rsidR="00A87896">
          <w:rPr>
            <w:noProof/>
          </w:rPr>
          <w:t>17</w:t>
        </w:r>
      </w:fldSimple>
      <w:bookmarkEnd w:id="223"/>
      <w:bookmarkEnd w:id="224"/>
      <w:r w:rsidR="00585AA2">
        <w:t>: Changes in a</w:t>
      </w:r>
      <w:r w:rsidRPr="00A55A6D">
        <w:t xml:space="preserve">verage </w:t>
      </w:r>
      <w:r w:rsidR="00585AA2">
        <w:t>p</w:t>
      </w:r>
      <w:r w:rsidR="001712EA">
        <w:t>ayment</w:t>
      </w:r>
      <w:r w:rsidR="001712EA" w:rsidRPr="00A55A6D">
        <w:t xml:space="preserve"> </w:t>
      </w:r>
      <w:r w:rsidR="00585AA2">
        <w:t>assumptions (by major support c</w:t>
      </w:r>
      <w:r w:rsidRPr="00A55A6D">
        <w:t>ategories)</w:t>
      </w:r>
    </w:p>
    <w:tbl>
      <w:tblPr>
        <w:tblStyle w:val="SustainabilityTable"/>
        <w:tblW w:w="5634" w:type="pct"/>
        <w:tblInd w:w="-42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47"/>
        <w:gridCol w:w="1017"/>
        <w:gridCol w:w="1206"/>
        <w:gridCol w:w="1017"/>
        <w:gridCol w:w="1206"/>
        <w:gridCol w:w="1057"/>
        <w:gridCol w:w="1336"/>
        <w:gridCol w:w="697"/>
        <w:gridCol w:w="787"/>
      </w:tblGrid>
      <w:tr w:rsidR="00BF7697" w:rsidRPr="00771F1F" w14:paraId="41605ECB" w14:textId="77777777" w:rsidTr="00376051">
        <w:trPr>
          <w:cnfStyle w:val="100000000000" w:firstRow="1" w:lastRow="0" w:firstColumn="0" w:lastColumn="0" w:oddVBand="0" w:evenVBand="0" w:oddHBand="0" w:evenHBand="0" w:firstRowFirstColumn="0" w:firstRowLastColumn="0" w:lastRowFirstColumn="0" w:lastRowLastColumn="0"/>
          <w:trHeight w:val="397"/>
          <w:tblHeader/>
        </w:trPr>
        <w:tc>
          <w:tcPr>
            <w:tcW w:w="908" w:type="pct"/>
            <w:shd w:val="clear" w:color="auto" w:fill="6B2976"/>
            <w:vAlign w:val="center"/>
            <w:hideMark/>
          </w:tcPr>
          <w:p w14:paraId="08CD26FD" w14:textId="77777777" w:rsidR="00BF7697" w:rsidRPr="00771F1F" w:rsidRDefault="00BF7697" w:rsidP="00B17C79">
            <w:pPr>
              <w:spacing w:after="0"/>
              <w:rPr>
                <w:rFonts w:eastAsia="Times New Roman" w:cs="Arial"/>
                <w:bCs w:val="0"/>
                <w:i w:val="0"/>
                <w:color w:val="FFFFFF"/>
                <w:sz w:val="18"/>
                <w:szCs w:val="18"/>
              </w:rPr>
            </w:pPr>
            <w:r w:rsidRPr="00771F1F">
              <w:rPr>
                <w:rFonts w:eastAsia="Times New Roman" w:cs="Arial"/>
                <w:bCs w:val="0"/>
                <w:i w:val="0"/>
                <w:color w:val="FFFFFF"/>
                <w:sz w:val="18"/>
                <w:szCs w:val="18"/>
              </w:rPr>
              <w:t>Primary Disability/ Support Category</w:t>
            </w:r>
          </w:p>
        </w:tc>
        <w:tc>
          <w:tcPr>
            <w:tcW w:w="500" w:type="pct"/>
            <w:shd w:val="clear" w:color="auto" w:fill="6B2976"/>
            <w:vAlign w:val="center"/>
            <w:hideMark/>
          </w:tcPr>
          <w:p w14:paraId="415D6A43" w14:textId="77777777" w:rsidR="00BF7697" w:rsidRPr="00771F1F" w:rsidRDefault="00BF7697" w:rsidP="00771F1F">
            <w:pPr>
              <w:spacing w:after="0"/>
              <w:jc w:val="right"/>
              <w:rPr>
                <w:rFonts w:eastAsia="Times New Roman" w:cs="Arial"/>
                <w:bCs w:val="0"/>
                <w:i w:val="0"/>
                <w:color w:val="FFFFFF"/>
                <w:sz w:val="18"/>
                <w:szCs w:val="18"/>
              </w:rPr>
            </w:pPr>
            <w:r w:rsidRPr="00771F1F">
              <w:rPr>
                <w:rFonts w:eastAsia="Times New Roman" w:cs="Arial"/>
                <w:bCs w:val="0"/>
                <w:i w:val="0"/>
                <w:color w:val="FFFFFF"/>
                <w:sz w:val="18"/>
                <w:szCs w:val="18"/>
              </w:rPr>
              <w:t>Core Daily Activities</w:t>
            </w:r>
          </w:p>
        </w:tc>
        <w:tc>
          <w:tcPr>
            <w:tcW w:w="593" w:type="pct"/>
            <w:shd w:val="clear" w:color="auto" w:fill="6B2976"/>
            <w:vAlign w:val="center"/>
            <w:hideMark/>
          </w:tcPr>
          <w:p w14:paraId="37C26894" w14:textId="77777777" w:rsidR="00BF7697" w:rsidRPr="00771F1F" w:rsidRDefault="00BF7697" w:rsidP="00771F1F">
            <w:pPr>
              <w:spacing w:after="0"/>
              <w:jc w:val="right"/>
              <w:rPr>
                <w:rFonts w:eastAsia="Times New Roman" w:cs="Arial"/>
                <w:bCs w:val="0"/>
                <w:i w:val="0"/>
                <w:color w:val="FFFFFF"/>
                <w:sz w:val="18"/>
                <w:szCs w:val="18"/>
              </w:rPr>
            </w:pPr>
            <w:r w:rsidRPr="00771F1F">
              <w:rPr>
                <w:rFonts w:eastAsia="Times New Roman" w:cs="Arial"/>
                <w:bCs w:val="0"/>
                <w:i w:val="0"/>
                <w:color w:val="FFFFFF"/>
                <w:sz w:val="18"/>
                <w:szCs w:val="18"/>
              </w:rPr>
              <w:t>Social Community Civic</w:t>
            </w:r>
          </w:p>
        </w:tc>
        <w:tc>
          <w:tcPr>
            <w:tcW w:w="500" w:type="pct"/>
            <w:shd w:val="clear" w:color="auto" w:fill="6B2976"/>
            <w:vAlign w:val="center"/>
            <w:hideMark/>
          </w:tcPr>
          <w:p w14:paraId="3832C03F" w14:textId="77777777" w:rsidR="00BF7697" w:rsidRPr="00771F1F" w:rsidRDefault="00BF7697" w:rsidP="00771F1F">
            <w:pPr>
              <w:spacing w:after="0"/>
              <w:jc w:val="right"/>
              <w:rPr>
                <w:rFonts w:eastAsia="Times New Roman" w:cs="Arial"/>
                <w:bCs w:val="0"/>
                <w:i w:val="0"/>
                <w:color w:val="FFFFFF"/>
                <w:sz w:val="18"/>
                <w:szCs w:val="18"/>
              </w:rPr>
            </w:pPr>
            <w:r w:rsidRPr="00771F1F">
              <w:rPr>
                <w:rFonts w:eastAsia="Times New Roman" w:cs="Arial"/>
                <w:bCs w:val="0"/>
                <w:i w:val="0"/>
                <w:color w:val="FFFFFF"/>
                <w:sz w:val="18"/>
                <w:szCs w:val="18"/>
              </w:rPr>
              <w:t>CB Daily Activities</w:t>
            </w:r>
          </w:p>
        </w:tc>
        <w:tc>
          <w:tcPr>
            <w:tcW w:w="593" w:type="pct"/>
            <w:shd w:val="clear" w:color="auto" w:fill="6B2976"/>
            <w:vAlign w:val="center"/>
            <w:hideMark/>
          </w:tcPr>
          <w:p w14:paraId="0E05F97F" w14:textId="77777777" w:rsidR="00BF7697" w:rsidRPr="00771F1F" w:rsidRDefault="00BF7697" w:rsidP="00771F1F">
            <w:pPr>
              <w:spacing w:after="0"/>
              <w:jc w:val="right"/>
              <w:rPr>
                <w:rFonts w:eastAsia="Times New Roman" w:cs="Arial"/>
                <w:bCs w:val="0"/>
                <w:i w:val="0"/>
                <w:color w:val="FFFFFF"/>
                <w:sz w:val="18"/>
                <w:szCs w:val="18"/>
              </w:rPr>
            </w:pPr>
            <w:r w:rsidRPr="00771F1F">
              <w:rPr>
                <w:rFonts w:eastAsia="Times New Roman" w:cs="Arial"/>
                <w:bCs w:val="0"/>
                <w:i w:val="0"/>
                <w:color w:val="FFFFFF"/>
                <w:sz w:val="18"/>
                <w:szCs w:val="18"/>
              </w:rPr>
              <w:t>CB Social Community Civic</w:t>
            </w:r>
          </w:p>
        </w:tc>
        <w:tc>
          <w:tcPr>
            <w:tcW w:w="520" w:type="pct"/>
            <w:shd w:val="clear" w:color="auto" w:fill="6B2976"/>
            <w:vAlign w:val="center"/>
            <w:hideMark/>
          </w:tcPr>
          <w:p w14:paraId="164130FD" w14:textId="77777777" w:rsidR="00BF7697" w:rsidRPr="00771F1F" w:rsidRDefault="00BF7697" w:rsidP="00771F1F">
            <w:pPr>
              <w:spacing w:after="0"/>
              <w:jc w:val="right"/>
              <w:rPr>
                <w:rFonts w:eastAsia="Times New Roman" w:cs="Arial"/>
                <w:bCs w:val="0"/>
                <w:i w:val="0"/>
                <w:color w:val="FFFFFF"/>
                <w:sz w:val="18"/>
                <w:szCs w:val="18"/>
              </w:rPr>
            </w:pPr>
            <w:r w:rsidRPr="00771F1F">
              <w:rPr>
                <w:rFonts w:eastAsia="Times New Roman" w:cs="Arial"/>
                <w:bCs w:val="0"/>
                <w:i w:val="0"/>
                <w:color w:val="FFFFFF"/>
                <w:sz w:val="18"/>
                <w:szCs w:val="18"/>
              </w:rPr>
              <w:t>Transport</w:t>
            </w:r>
          </w:p>
        </w:tc>
        <w:tc>
          <w:tcPr>
            <w:tcW w:w="657" w:type="pct"/>
            <w:shd w:val="clear" w:color="auto" w:fill="6B2976"/>
            <w:vAlign w:val="center"/>
            <w:hideMark/>
          </w:tcPr>
          <w:p w14:paraId="5E01280F" w14:textId="77777777" w:rsidR="00BF7697" w:rsidRPr="00771F1F" w:rsidRDefault="00BF7697" w:rsidP="00771F1F">
            <w:pPr>
              <w:spacing w:after="0"/>
              <w:jc w:val="right"/>
              <w:rPr>
                <w:rFonts w:eastAsia="Times New Roman" w:cs="Arial"/>
                <w:bCs w:val="0"/>
                <w:i w:val="0"/>
                <w:color w:val="FFFFFF"/>
                <w:sz w:val="18"/>
                <w:szCs w:val="18"/>
              </w:rPr>
            </w:pPr>
            <w:r w:rsidRPr="00771F1F">
              <w:rPr>
                <w:rFonts w:eastAsia="Times New Roman" w:cs="Arial"/>
                <w:bCs w:val="0"/>
                <w:i w:val="0"/>
                <w:color w:val="FFFFFF"/>
                <w:sz w:val="18"/>
                <w:szCs w:val="18"/>
              </w:rPr>
              <w:t>Support Coordination</w:t>
            </w:r>
          </w:p>
        </w:tc>
        <w:tc>
          <w:tcPr>
            <w:tcW w:w="343" w:type="pct"/>
            <w:tcBorders>
              <w:right w:val="dotted" w:sz="4" w:space="0" w:color="auto"/>
            </w:tcBorders>
            <w:shd w:val="clear" w:color="auto" w:fill="6B2976"/>
            <w:vAlign w:val="center"/>
            <w:hideMark/>
          </w:tcPr>
          <w:p w14:paraId="6D6AB298" w14:textId="77777777" w:rsidR="00BF7697" w:rsidRPr="00771F1F" w:rsidRDefault="00BF7697" w:rsidP="00771F1F">
            <w:pPr>
              <w:spacing w:after="0"/>
              <w:jc w:val="right"/>
              <w:rPr>
                <w:rFonts w:eastAsia="Times New Roman" w:cs="Arial"/>
                <w:bCs w:val="0"/>
                <w:i w:val="0"/>
                <w:color w:val="FFFFFF"/>
                <w:sz w:val="18"/>
                <w:szCs w:val="18"/>
              </w:rPr>
            </w:pPr>
            <w:r w:rsidRPr="00771F1F">
              <w:rPr>
                <w:rFonts w:eastAsia="Times New Roman" w:cs="Arial"/>
                <w:bCs w:val="0"/>
                <w:i w:val="0"/>
                <w:color w:val="FFFFFF"/>
                <w:sz w:val="18"/>
                <w:szCs w:val="18"/>
              </w:rPr>
              <w:t>Other</w:t>
            </w:r>
          </w:p>
        </w:tc>
        <w:tc>
          <w:tcPr>
            <w:tcW w:w="387" w:type="pct"/>
            <w:tcBorders>
              <w:left w:val="dotted" w:sz="4" w:space="0" w:color="auto"/>
            </w:tcBorders>
            <w:shd w:val="clear" w:color="auto" w:fill="6B2976"/>
            <w:vAlign w:val="center"/>
            <w:hideMark/>
          </w:tcPr>
          <w:p w14:paraId="315267AE" w14:textId="77777777" w:rsidR="00BF7697" w:rsidRPr="00771F1F" w:rsidRDefault="00BF7697" w:rsidP="00771F1F">
            <w:pPr>
              <w:spacing w:after="0"/>
              <w:jc w:val="right"/>
              <w:rPr>
                <w:rFonts w:eastAsia="Times New Roman" w:cs="Arial"/>
                <w:bCs w:val="0"/>
                <w:i w:val="0"/>
                <w:color w:val="FFFFFF"/>
                <w:sz w:val="18"/>
                <w:szCs w:val="18"/>
              </w:rPr>
            </w:pPr>
            <w:r w:rsidRPr="00771F1F">
              <w:rPr>
                <w:rFonts w:eastAsia="Times New Roman" w:cs="Arial"/>
                <w:bCs w:val="0"/>
                <w:i w:val="0"/>
                <w:color w:val="FFFFFF"/>
                <w:sz w:val="18"/>
                <w:szCs w:val="18"/>
              </w:rPr>
              <w:t>Total</w:t>
            </w:r>
          </w:p>
        </w:tc>
      </w:tr>
      <w:tr w:rsidR="00994C5F" w:rsidRPr="00771F1F" w14:paraId="4E234600" w14:textId="77777777" w:rsidTr="00446DD2">
        <w:trPr>
          <w:cnfStyle w:val="000000100000" w:firstRow="0" w:lastRow="0" w:firstColumn="0" w:lastColumn="0" w:oddVBand="0" w:evenVBand="0" w:oddHBand="1" w:evenHBand="0" w:firstRowFirstColumn="0" w:firstRowLastColumn="0" w:lastRowFirstColumn="0" w:lastRowLastColumn="0"/>
          <w:trHeight w:val="301"/>
        </w:trPr>
        <w:tc>
          <w:tcPr>
            <w:tcW w:w="908" w:type="pct"/>
            <w:shd w:val="clear" w:color="auto" w:fill="BFBFBF" w:themeFill="background1" w:themeFillShade="BF"/>
            <w:noWrap/>
            <w:vAlign w:val="center"/>
            <w:hideMark/>
          </w:tcPr>
          <w:p w14:paraId="292170C2" w14:textId="77777777" w:rsidR="00BF7697" w:rsidRPr="00771F1F" w:rsidRDefault="00BF7697" w:rsidP="00B17C79">
            <w:pPr>
              <w:spacing w:before="40" w:after="40"/>
              <w:rPr>
                <w:rFonts w:eastAsia="Times New Roman" w:cs="Arial"/>
                <w:color w:val="000000"/>
                <w:sz w:val="18"/>
                <w:szCs w:val="18"/>
              </w:rPr>
            </w:pPr>
            <w:r w:rsidRPr="00771F1F">
              <w:rPr>
                <w:rFonts w:eastAsia="Times New Roman" w:cs="Arial"/>
                <w:color w:val="000000"/>
                <w:sz w:val="18"/>
                <w:szCs w:val="18"/>
              </w:rPr>
              <w:t>Autism</w:t>
            </w:r>
          </w:p>
        </w:tc>
        <w:tc>
          <w:tcPr>
            <w:tcW w:w="500" w:type="pct"/>
            <w:shd w:val="clear" w:color="auto" w:fill="BFBFBF" w:themeFill="background1" w:themeFillShade="BF"/>
            <w:noWrap/>
            <w:vAlign w:val="center"/>
            <w:hideMark/>
          </w:tcPr>
          <w:p w14:paraId="02EF823F"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-11.2%</w:t>
            </w:r>
          </w:p>
        </w:tc>
        <w:tc>
          <w:tcPr>
            <w:tcW w:w="593" w:type="pct"/>
            <w:shd w:val="clear" w:color="auto" w:fill="BFBFBF" w:themeFill="background1" w:themeFillShade="BF"/>
            <w:noWrap/>
            <w:vAlign w:val="center"/>
            <w:hideMark/>
          </w:tcPr>
          <w:p w14:paraId="39644E1B"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-11.5%</w:t>
            </w:r>
          </w:p>
        </w:tc>
        <w:tc>
          <w:tcPr>
            <w:tcW w:w="500" w:type="pct"/>
            <w:shd w:val="clear" w:color="auto" w:fill="BFBFBF" w:themeFill="background1" w:themeFillShade="BF"/>
            <w:noWrap/>
            <w:vAlign w:val="center"/>
            <w:hideMark/>
          </w:tcPr>
          <w:p w14:paraId="58152386"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-8.5%</w:t>
            </w:r>
          </w:p>
        </w:tc>
        <w:tc>
          <w:tcPr>
            <w:tcW w:w="593" w:type="pct"/>
            <w:shd w:val="clear" w:color="auto" w:fill="BFBFBF" w:themeFill="background1" w:themeFillShade="BF"/>
            <w:noWrap/>
            <w:vAlign w:val="center"/>
            <w:hideMark/>
          </w:tcPr>
          <w:p w14:paraId="3E00A19F"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-11.1%</w:t>
            </w:r>
          </w:p>
        </w:tc>
        <w:tc>
          <w:tcPr>
            <w:tcW w:w="520" w:type="pct"/>
            <w:shd w:val="clear" w:color="auto" w:fill="BFBFBF" w:themeFill="background1" w:themeFillShade="BF"/>
            <w:noWrap/>
            <w:vAlign w:val="center"/>
            <w:hideMark/>
          </w:tcPr>
          <w:p w14:paraId="394537B7"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-8.0%</w:t>
            </w:r>
          </w:p>
        </w:tc>
        <w:tc>
          <w:tcPr>
            <w:tcW w:w="657" w:type="pct"/>
            <w:shd w:val="clear" w:color="auto" w:fill="BFBFBF" w:themeFill="background1" w:themeFillShade="BF"/>
            <w:noWrap/>
            <w:vAlign w:val="center"/>
            <w:hideMark/>
          </w:tcPr>
          <w:p w14:paraId="2F7730FD"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-5.9%</w:t>
            </w:r>
          </w:p>
        </w:tc>
        <w:tc>
          <w:tcPr>
            <w:tcW w:w="343" w:type="pct"/>
            <w:tcBorders>
              <w:right w:val="dotted" w:sz="4" w:space="0" w:color="auto"/>
            </w:tcBorders>
            <w:shd w:val="clear" w:color="auto" w:fill="BFBFBF" w:themeFill="background1" w:themeFillShade="BF"/>
            <w:noWrap/>
            <w:vAlign w:val="center"/>
            <w:hideMark/>
          </w:tcPr>
          <w:p w14:paraId="0A9F14A8"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-6.2%</w:t>
            </w:r>
          </w:p>
        </w:tc>
        <w:tc>
          <w:tcPr>
            <w:tcW w:w="387" w:type="pct"/>
            <w:tcBorders>
              <w:left w:val="dotted" w:sz="4" w:space="0" w:color="auto"/>
            </w:tcBorders>
            <w:shd w:val="clear" w:color="auto" w:fill="BFBFBF" w:themeFill="background1" w:themeFillShade="BF"/>
            <w:noWrap/>
            <w:vAlign w:val="center"/>
            <w:hideMark/>
          </w:tcPr>
          <w:p w14:paraId="13E83418" w14:textId="77777777" w:rsidR="00BF7697" w:rsidRPr="00771F1F" w:rsidRDefault="00BF7697" w:rsidP="00771F1F">
            <w:pPr>
              <w:spacing w:before="40" w:after="40"/>
              <w:jc w:val="right"/>
              <w:rPr>
                <w:rFonts w:eastAsia="Times New Roman" w:cs="Arial"/>
                <w:b/>
                <w:bCs/>
                <w:color w:val="000000"/>
                <w:sz w:val="18"/>
                <w:szCs w:val="18"/>
              </w:rPr>
            </w:pPr>
            <w:r w:rsidRPr="00771F1F">
              <w:rPr>
                <w:rFonts w:eastAsia="Times New Roman" w:cs="Arial"/>
                <w:b/>
                <w:bCs/>
                <w:color w:val="000000"/>
                <w:sz w:val="18"/>
                <w:szCs w:val="18"/>
              </w:rPr>
              <w:t>-10.0%</w:t>
            </w:r>
          </w:p>
        </w:tc>
      </w:tr>
      <w:tr w:rsidR="00BF7697" w:rsidRPr="00771F1F" w14:paraId="43362106" w14:textId="77777777" w:rsidTr="00771F1F">
        <w:trPr>
          <w:cnfStyle w:val="000000010000" w:firstRow="0" w:lastRow="0" w:firstColumn="0" w:lastColumn="0" w:oddVBand="0" w:evenVBand="0" w:oddHBand="0" w:evenHBand="1" w:firstRowFirstColumn="0" w:firstRowLastColumn="0" w:lastRowFirstColumn="0" w:lastRowLastColumn="0"/>
          <w:trHeight w:val="301"/>
        </w:trPr>
        <w:tc>
          <w:tcPr>
            <w:tcW w:w="908" w:type="pct"/>
            <w:shd w:val="clear" w:color="auto" w:fill="auto"/>
            <w:noWrap/>
            <w:vAlign w:val="center"/>
            <w:hideMark/>
          </w:tcPr>
          <w:p w14:paraId="3A413A34" w14:textId="77777777" w:rsidR="00BF7697" w:rsidRPr="00771F1F" w:rsidRDefault="00BF7697" w:rsidP="00B17C79">
            <w:pPr>
              <w:spacing w:before="40" w:after="40"/>
              <w:rPr>
                <w:rFonts w:eastAsia="Times New Roman" w:cs="Arial"/>
                <w:color w:val="000000"/>
                <w:sz w:val="18"/>
                <w:szCs w:val="18"/>
              </w:rPr>
            </w:pPr>
            <w:r w:rsidRPr="00771F1F">
              <w:rPr>
                <w:rFonts w:eastAsia="Times New Roman" w:cs="Arial"/>
                <w:color w:val="000000"/>
                <w:sz w:val="18"/>
                <w:szCs w:val="18"/>
              </w:rPr>
              <w:t>Cerebral Palsy</w:t>
            </w:r>
          </w:p>
        </w:tc>
        <w:tc>
          <w:tcPr>
            <w:tcW w:w="500" w:type="pct"/>
            <w:shd w:val="clear" w:color="auto" w:fill="auto"/>
            <w:noWrap/>
            <w:vAlign w:val="center"/>
            <w:hideMark/>
          </w:tcPr>
          <w:p w14:paraId="7362AC50"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-7.0%</w:t>
            </w:r>
          </w:p>
        </w:tc>
        <w:tc>
          <w:tcPr>
            <w:tcW w:w="593" w:type="pct"/>
            <w:shd w:val="clear" w:color="auto" w:fill="auto"/>
            <w:noWrap/>
            <w:vAlign w:val="center"/>
            <w:hideMark/>
          </w:tcPr>
          <w:p w14:paraId="2B796795"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-4.7%</w:t>
            </w:r>
          </w:p>
        </w:tc>
        <w:tc>
          <w:tcPr>
            <w:tcW w:w="500" w:type="pct"/>
            <w:shd w:val="clear" w:color="auto" w:fill="auto"/>
            <w:noWrap/>
            <w:vAlign w:val="center"/>
            <w:hideMark/>
          </w:tcPr>
          <w:p w14:paraId="6B8795F8"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-2.2%</w:t>
            </w:r>
          </w:p>
        </w:tc>
        <w:tc>
          <w:tcPr>
            <w:tcW w:w="593" w:type="pct"/>
            <w:shd w:val="clear" w:color="auto" w:fill="auto"/>
            <w:noWrap/>
            <w:vAlign w:val="center"/>
            <w:hideMark/>
          </w:tcPr>
          <w:p w14:paraId="4B9138F0"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-1.8%</w:t>
            </w:r>
          </w:p>
        </w:tc>
        <w:tc>
          <w:tcPr>
            <w:tcW w:w="520" w:type="pct"/>
            <w:shd w:val="clear" w:color="auto" w:fill="auto"/>
            <w:noWrap/>
            <w:vAlign w:val="center"/>
            <w:hideMark/>
          </w:tcPr>
          <w:p w14:paraId="1D42341E"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-9.1%</w:t>
            </w:r>
          </w:p>
        </w:tc>
        <w:tc>
          <w:tcPr>
            <w:tcW w:w="657" w:type="pct"/>
            <w:shd w:val="clear" w:color="auto" w:fill="auto"/>
            <w:noWrap/>
            <w:vAlign w:val="center"/>
            <w:hideMark/>
          </w:tcPr>
          <w:p w14:paraId="0FD63014"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-6.5%</w:t>
            </w:r>
          </w:p>
        </w:tc>
        <w:tc>
          <w:tcPr>
            <w:tcW w:w="343" w:type="pct"/>
            <w:tcBorders>
              <w:right w:val="dotted" w:sz="4" w:space="0" w:color="auto"/>
            </w:tcBorders>
            <w:shd w:val="clear" w:color="auto" w:fill="auto"/>
            <w:noWrap/>
            <w:vAlign w:val="center"/>
            <w:hideMark/>
          </w:tcPr>
          <w:p w14:paraId="26FF2631"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3.3%</w:t>
            </w:r>
          </w:p>
        </w:tc>
        <w:tc>
          <w:tcPr>
            <w:tcW w:w="387" w:type="pct"/>
            <w:tcBorders>
              <w:left w:val="dotted" w:sz="4" w:space="0" w:color="auto"/>
            </w:tcBorders>
            <w:shd w:val="clear" w:color="auto" w:fill="auto"/>
            <w:noWrap/>
            <w:vAlign w:val="center"/>
            <w:hideMark/>
          </w:tcPr>
          <w:p w14:paraId="2568DEC0" w14:textId="77777777" w:rsidR="00BF7697" w:rsidRPr="00771F1F" w:rsidRDefault="00BF7697" w:rsidP="00771F1F">
            <w:pPr>
              <w:spacing w:before="40" w:after="40"/>
              <w:jc w:val="right"/>
              <w:rPr>
                <w:rFonts w:eastAsia="Times New Roman" w:cs="Arial"/>
                <w:b/>
                <w:bCs/>
                <w:color w:val="000000"/>
                <w:sz w:val="18"/>
                <w:szCs w:val="18"/>
              </w:rPr>
            </w:pPr>
            <w:r w:rsidRPr="00771F1F">
              <w:rPr>
                <w:rFonts w:eastAsia="Times New Roman" w:cs="Arial"/>
                <w:b/>
                <w:bCs/>
                <w:color w:val="000000"/>
                <w:sz w:val="18"/>
                <w:szCs w:val="18"/>
              </w:rPr>
              <w:t>-5.2%</w:t>
            </w:r>
          </w:p>
        </w:tc>
      </w:tr>
      <w:tr w:rsidR="00994C5F" w:rsidRPr="00771F1F" w14:paraId="7ABA8B45" w14:textId="77777777" w:rsidTr="00446DD2">
        <w:trPr>
          <w:cnfStyle w:val="000000100000" w:firstRow="0" w:lastRow="0" w:firstColumn="0" w:lastColumn="0" w:oddVBand="0" w:evenVBand="0" w:oddHBand="1" w:evenHBand="0" w:firstRowFirstColumn="0" w:firstRowLastColumn="0" w:lastRowFirstColumn="0" w:lastRowLastColumn="0"/>
          <w:trHeight w:val="301"/>
        </w:trPr>
        <w:tc>
          <w:tcPr>
            <w:tcW w:w="908" w:type="pct"/>
            <w:shd w:val="clear" w:color="auto" w:fill="BFBFBF" w:themeFill="background1" w:themeFillShade="BF"/>
            <w:noWrap/>
            <w:vAlign w:val="center"/>
            <w:hideMark/>
          </w:tcPr>
          <w:p w14:paraId="0E9DC2A4" w14:textId="77777777" w:rsidR="00BF7697" w:rsidRPr="00771F1F" w:rsidRDefault="00BF7697" w:rsidP="00B17C79">
            <w:pPr>
              <w:spacing w:before="40" w:after="40"/>
              <w:rPr>
                <w:rFonts w:eastAsia="Times New Roman" w:cs="Arial"/>
                <w:color w:val="000000"/>
                <w:sz w:val="18"/>
                <w:szCs w:val="18"/>
              </w:rPr>
            </w:pPr>
            <w:r w:rsidRPr="00771F1F">
              <w:rPr>
                <w:rFonts w:eastAsia="Times New Roman" w:cs="Arial"/>
                <w:color w:val="000000"/>
                <w:sz w:val="18"/>
                <w:szCs w:val="18"/>
              </w:rPr>
              <w:t>Intellectual Disability</w:t>
            </w:r>
          </w:p>
        </w:tc>
        <w:tc>
          <w:tcPr>
            <w:tcW w:w="500" w:type="pct"/>
            <w:shd w:val="clear" w:color="auto" w:fill="BFBFBF" w:themeFill="background1" w:themeFillShade="BF"/>
            <w:noWrap/>
            <w:vAlign w:val="center"/>
            <w:hideMark/>
          </w:tcPr>
          <w:p w14:paraId="5540D0CA"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-4.2%</w:t>
            </w:r>
          </w:p>
        </w:tc>
        <w:tc>
          <w:tcPr>
            <w:tcW w:w="593" w:type="pct"/>
            <w:shd w:val="clear" w:color="auto" w:fill="BFBFBF" w:themeFill="background1" w:themeFillShade="BF"/>
            <w:noWrap/>
            <w:vAlign w:val="center"/>
            <w:hideMark/>
          </w:tcPr>
          <w:p w14:paraId="3296AC9A"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1.0%</w:t>
            </w:r>
          </w:p>
        </w:tc>
        <w:tc>
          <w:tcPr>
            <w:tcW w:w="500" w:type="pct"/>
            <w:shd w:val="clear" w:color="auto" w:fill="BFBFBF" w:themeFill="background1" w:themeFillShade="BF"/>
            <w:noWrap/>
            <w:vAlign w:val="center"/>
            <w:hideMark/>
          </w:tcPr>
          <w:p w14:paraId="596853E7"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0.1%</w:t>
            </w:r>
          </w:p>
        </w:tc>
        <w:tc>
          <w:tcPr>
            <w:tcW w:w="593" w:type="pct"/>
            <w:shd w:val="clear" w:color="auto" w:fill="BFBFBF" w:themeFill="background1" w:themeFillShade="BF"/>
            <w:noWrap/>
            <w:vAlign w:val="center"/>
            <w:hideMark/>
          </w:tcPr>
          <w:p w14:paraId="1267BB75"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-12.2%</w:t>
            </w:r>
          </w:p>
        </w:tc>
        <w:tc>
          <w:tcPr>
            <w:tcW w:w="520" w:type="pct"/>
            <w:shd w:val="clear" w:color="auto" w:fill="BFBFBF" w:themeFill="background1" w:themeFillShade="BF"/>
            <w:noWrap/>
            <w:vAlign w:val="center"/>
            <w:hideMark/>
          </w:tcPr>
          <w:p w14:paraId="308F389E"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-9.9%</w:t>
            </w:r>
          </w:p>
        </w:tc>
        <w:tc>
          <w:tcPr>
            <w:tcW w:w="657" w:type="pct"/>
            <w:shd w:val="clear" w:color="auto" w:fill="BFBFBF" w:themeFill="background1" w:themeFillShade="BF"/>
            <w:noWrap/>
            <w:vAlign w:val="center"/>
            <w:hideMark/>
          </w:tcPr>
          <w:p w14:paraId="017BD953"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-1.6%</w:t>
            </w:r>
          </w:p>
        </w:tc>
        <w:tc>
          <w:tcPr>
            <w:tcW w:w="343" w:type="pct"/>
            <w:tcBorders>
              <w:right w:val="dotted" w:sz="4" w:space="0" w:color="auto"/>
            </w:tcBorders>
            <w:shd w:val="clear" w:color="auto" w:fill="BFBFBF" w:themeFill="background1" w:themeFillShade="BF"/>
            <w:noWrap/>
            <w:vAlign w:val="center"/>
            <w:hideMark/>
          </w:tcPr>
          <w:p w14:paraId="074CE30D"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6.3%</w:t>
            </w:r>
          </w:p>
        </w:tc>
        <w:tc>
          <w:tcPr>
            <w:tcW w:w="387" w:type="pct"/>
            <w:tcBorders>
              <w:left w:val="dotted" w:sz="4" w:space="0" w:color="auto"/>
            </w:tcBorders>
            <w:shd w:val="clear" w:color="auto" w:fill="BFBFBF" w:themeFill="background1" w:themeFillShade="BF"/>
            <w:noWrap/>
            <w:vAlign w:val="center"/>
            <w:hideMark/>
          </w:tcPr>
          <w:p w14:paraId="2BAF2F69" w14:textId="77777777" w:rsidR="00BF7697" w:rsidRPr="00771F1F" w:rsidRDefault="00BF7697" w:rsidP="00771F1F">
            <w:pPr>
              <w:spacing w:before="40" w:after="40"/>
              <w:jc w:val="right"/>
              <w:rPr>
                <w:rFonts w:eastAsia="Times New Roman" w:cs="Arial"/>
                <w:b/>
                <w:bCs/>
                <w:color w:val="000000"/>
                <w:sz w:val="18"/>
                <w:szCs w:val="18"/>
              </w:rPr>
            </w:pPr>
            <w:r w:rsidRPr="00771F1F">
              <w:rPr>
                <w:rFonts w:eastAsia="Times New Roman" w:cs="Arial"/>
                <w:b/>
                <w:bCs/>
                <w:color w:val="000000"/>
                <w:sz w:val="18"/>
                <w:szCs w:val="18"/>
              </w:rPr>
              <w:t>-2.2%</w:t>
            </w:r>
          </w:p>
        </w:tc>
      </w:tr>
      <w:tr w:rsidR="00BF7697" w:rsidRPr="00771F1F" w14:paraId="3060FD2A" w14:textId="77777777" w:rsidTr="00771F1F">
        <w:trPr>
          <w:cnfStyle w:val="000000010000" w:firstRow="0" w:lastRow="0" w:firstColumn="0" w:lastColumn="0" w:oddVBand="0" w:evenVBand="0" w:oddHBand="0" w:evenHBand="1" w:firstRowFirstColumn="0" w:firstRowLastColumn="0" w:lastRowFirstColumn="0" w:lastRowLastColumn="0"/>
          <w:trHeight w:val="301"/>
        </w:trPr>
        <w:tc>
          <w:tcPr>
            <w:tcW w:w="908" w:type="pct"/>
            <w:shd w:val="clear" w:color="auto" w:fill="auto"/>
            <w:noWrap/>
            <w:vAlign w:val="center"/>
            <w:hideMark/>
          </w:tcPr>
          <w:p w14:paraId="617DE07F" w14:textId="77777777" w:rsidR="00BF7697" w:rsidRPr="00771F1F" w:rsidRDefault="00BF7697" w:rsidP="00B17C79">
            <w:pPr>
              <w:spacing w:before="40" w:after="40"/>
              <w:rPr>
                <w:rFonts w:eastAsia="Times New Roman" w:cs="Arial"/>
                <w:color w:val="000000"/>
                <w:sz w:val="18"/>
                <w:szCs w:val="18"/>
              </w:rPr>
            </w:pPr>
            <w:r w:rsidRPr="00771F1F">
              <w:rPr>
                <w:rFonts w:eastAsia="Times New Roman" w:cs="Arial"/>
                <w:color w:val="000000"/>
                <w:sz w:val="18"/>
                <w:szCs w:val="18"/>
              </w:rPr>
              <w:t>Other Neurological</w:t>
            </w:r>
          </w:p>
        </w:tc>
        <w:tc>
          <w:tcPr>
            <w:tcW w:w="500" w:type="pct"/>
            <w:shd w:val="clear" w:color="auto" w:fill="auto"/>
            <w:noWrap/>
            <w:vAlign w:val="center"/>
            <w:hideMark/>
          </w:tcPr>
          <w:p w14:paraId="351A4520"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-3.6%</w:t>
            </w:r>
          </w:p>
        </w:tc>
        <w:tc>
          <w:tcPr>
            <w:tcW w:w="593" w:type="pct"/>
            <w:shd w:val="clear" w:color="auto" w:fill="auto"/>
            <w:noWrap/>
            <w:vAlign w:val="center"/>
            <w:hideMark/>
          </w:tcPr>
          <w:p w14:paraId="4BDAA00F"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-2.1%</w:t>
            </w:r>
          </w:p>
        </w:tc>
        <w:tc>
          <w:tcPr>
            <w:tcW w:w="500" w:type="pct"/>
            <w:shd w:val="clear" w:color="auto" w:fill="auto"/>
            <w:noWrap/>
            <w:vAlign w:val="center"/>
            <w:hideMark/>
          </w:tcPr>
          <w:p w14:paraId="1D3B4B93"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0.5%</w:t>
            </w:r>
          </w:p>
        </w:tc>
        <w:tc>
          <w:tcPr>
            <w:tcW w:w="593" w:type="pct"/>
            <w:shd w:val="clear" w:color="auto" w:fill="auto"/>
            <w:noWrap/>
            <w:vAlign w:val="center"/>
            <w:hideMark/>
          </w:tcPr>
          <w:p w14:paraId="06CEFE01"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-13.1%</w:t>
            </w:r>
          </w:p>
        </w:tc>
        <w:tc>
          <w:tcPr>
            <w:tcW w:w="520" w:type="pct"/>
            <w:shd w:val="clear" w:color="auto" w:fill="auto"/>
            <w:noWrap/>
            <w:vAlign w:val="center"/>
            <w:hideMark/>
          </w:tcPr>
          <w:p w14:paraId="4DF3174C"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-12.0%</w:t>
            </w:r>
          </w:p>
        </w:tc>
        <w:tc>
          <w:tcPr>
            <w:tcW w:w="657" w:type="pct"/>
            <w:shd w:val="clear" w:color="auto" w:fill="auto"/>
            <w:noWrap/>
            <w:vAlign w:val="center"/>
            <w:hideMark/>
          </w:tcPr>
          <w:p w14:paraId="01D19B86"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-2.1%</w:t>
            </w:r>
          </w:p>
        </w:tc>
        <w:tc>
          <w:tcPr>
            <w:tcW w:w="343" w:type="pct"/>
            <w:tcBorders>
              <w:right w:val="dotted" w:sz="4" w:space="0" w:color="auto"/>
            </w:tcBorders>
            <w:shd w:val="clear" w:color="auto" w:fill="auto"/>
            <w:noWrap/>
            <w:vAlign w:val="center"/>
            <w:hideMark/>
          </w:tcPr>
          <w:p w14:paraId="61482025"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8.2%</w:t>
            </w:r>
          </w:p>
        </w:tc>
        <w:tc>
          <w:tcPr>
            <w:tcW w:w="387" w:type="pct"/>
            <w:tcBorders>
              <w:left w:val="dotted" w:sz="4" w:space="0" w:color="auto"/>
            </w:tcBorders>
            <w:shd w:val="clear" w:color="auto" w:fill="auto"/>
            <w:noWrap/>
            <w:vAlign w:val="center"/>
            <w:hideMark/>
          </w:tcPr>
          <w:p w14:paraId="27061BB0" w14:textId="77777777" w:rsidR="00BF7697" w:rsidRPr="00771F1F" w:rsidRDefault="00BF7697" w:rsidP="00771F1F">
            <w:pPr>
              <w:spacing w:before="40" w:after="40"/>
              <w:jc w:val="right"/>
              <w:rPr>
                <w:rFonts w:eastAsia="Times New Roman" w:cs="Arial"/>
                <w:b/>
                <w:bCs/>
                <w:color w:val="000000"/>
                <w:sz w:val="18"/>
                <w:szCs w:val="18"/>
              </w:rPr>
            </w:pPr>
            <w:r w:rsidRPr="00771F1F">
              <w:rPr>
                <w:rFonts w:eastAsia="Times New Roman" w:cs="Arial"/>
                <w:b/>
                <w:bCs/>
                <w:color w:val="000000"/>
                <w:sz w:val="18"/>
                <w:szCs w:val="18"/>
              </w:rPr>
              <w:t>-2.0%</w:t>
            </w:r>
          </w:p>
        </w:tc>
      </w:tr>
      <w:tr w:rsidR="00994C5F" w:rsidRPr="00771F1F" w14:paraId="0AD5E582" w14:textId="77777777" w:rsidTr="00446DD2">
        <w:trPr>
          <w:cnfStyle w:val="000000100000" w:firstRow="0" w:lastRow="0" w:firstColumn="0" w:lastColumn="0" w:oddVBand="0" w:evenVBand="0" w:oddHBand="1" w:evenHBand="0" w:firstRowFirstColumn="0" w:firstRowLastColumn="0" w:lastRowFirstColumn="0" w:lastRowLastColumn="0"/>
          <w:trHeight w:val="301"/>
        </w:trPr>
        <w:tc>
          <w:tcPr>
            <w:tcW w:w="908" w:type="pct"/>
            <w:tcBorders>
              <w:bottom w:val="single" w:sz="4" w:space="0" w:color="auto"/>
            </w:tcBorders>
            <w:shd w:val="clear" w:color="auto" w:fill="BFBFBF" w:themeFill="background1" w:themeFillShade="BF"/>
            <w:noWrap/>
            <w:vAlign w:val="center"/>
            <w:hideMark/>
          </w:tcPr>
          <w:p w14:paraId="13DD0003" w14:textId="77777777" w:rsidR="00BF7697" w:rsidRPr="00771F1F" w:rsidRDefault="00BF7697" w:rsidP="00B17C79">
            <w:pPr>
              <w:spacing w:before="40" w:after="40"/>
              <w:rPr>
                <w:rFonts w:eastAsia="Times New Roman" w:cs="Arial"/>
                <w:color w:val="000000"/>
                <w:sz w:val="18"/>
                <w:szCs w:val="18"/>
              </w:rPr>
            </w:pPr>
            <w:r w:rsidRPr="00771F1F">
              <w:rPr>
                <w:rFonts w:eastAsia="Times New Roman" w:cs="Arial"/>
                <w:color w:val="000000"/>
                <w:sz w:val="18"/>
                <w:szCs w:val="18"/>
              </w:rPr>
              <w:t>Other</w:t>
            </w:r>
          </w:p>
        </w:tc>
        <w:tc>
          <w:tcPr>
            <w:tcW w:w="500" w:type="pct"/>
            <w:tcBorders>
              <w:bottom w:val="single" w:sz="4" w:space="0" w:color="auto"/>
            </w:tcBorders>
            <w:shd w:val="clear" w:color="auto" w:fill="BFBFBF" w:themeFill="background1" w:themeFillShade="BF"/>
            <w:noWrap/>
            <w:vAlign w:val="center"/>
            <w:hideMark/>
          </w:tcPr>
          <w:p w14:paraId="20563F12"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1.4%</w:t>
            </w:r>
          </w:p>
        </w:tc>
        <w:tc>
          <w:tcPr>
            <w:tcW w:w="593" w:type="pct"/>
            <w:tcBorders>
              <w:bottom w:val="single" w:sz="4" w:space="0" w:color="auto"/>
            </w:tcBorders>
            <w:shd w:val="clear" w:color="auto" w:fill="BFBFBF" w:themeFill="background1" w:themeFillShade="BF"/>
            <w:noWrap/>
            <w:vAlign w:val="center"/>
            <w:hideMark/>
          </w:tcPr>
          <w:p w14:paraId="27BE500F"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-1.6%</w:t>
            </w:r>
          </w:p>
        </w:tc>
        <w:tc>
          <w:tcPr>
            <w:tcW w:w="500" w:type="pct"/>
            <w:tcBorders>
              <w:bottom w:val="single" w:sz="4" w:space="0" w:color="auto"/>
            </w:tcBorders>
            <w:shd w:val="clear" w:color="auto" w:fill="BFBFBF" w:themeFill="background1" w:themeFillShade="BF"/>
            <w:noWrap/>
            <w:vAlign w:val="center"/>
            <w:hideMark/>
          </w:tcPr>
          <w:p w14:paraId="4B1223F8"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2.5%</w:t>
            </w:r>
          </w:p>
        </w:tc>
        <w:tc>
          <w:tcPr>
            <w:tcW w:w="593" w:type="pct"/>
            <w:tcBorders>
              <w:bottom w:val="single" w:sz="4" w:space="0" w:color="auto"/>
            </w:tcBorders>
            <w:shd w:val="clear" w:color="auto" w:fill="BFBFBF" w:themeFill="background1" w:themeFillShade="BF"/>
            <w:noWrap/>
            <w:vAlign w:val="center"/>
            <w:hideMark/>
          </w:tcPr>
          <w:p w14:paraId="11FAB6BD"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-20.9%</w:t>
            </w:r>
          </w:p>
        </w:tc>
        <w:tc>
          <w:tcPr>
            <w:tcW w:w="520" w:type="pct"/>
            <w:tcBorders>
              <w:bottom w:val="single" w:sz="4" w:space="0" w:color="auto"/>
            </w:tcBorders>
            <w:shd w:val="clear" w:color="auto" w:fill="BFBFBF" w:themeFill="background1" w:themeFillShade="BF"/>
            <w:noWrap/>
            <w:vAlign w:val="center"/>
            <w:hideMark/>
          </w:tcPr>
          <w:p w14:paraId="5A413BBD"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-11.1%</w:t>
            </w:r>
          </w:p>
        </w:tc>
        <w:tc>
          <w:tcPr>
            <w:tcW w:w="657" w:type="pct"/>
            <w:tcBorders>
              <w:bottom w:val="single" w:sz="4" w:space="0" w:color="auto"/>
            </w:tcBorders>
            <w:shd w:val="clear" w:color="auto" w:fill="BFBFBF" w:themeFill="background1" w:themeFillShade="BF"/>
            <w:noWrap/>
            <w:vAlign w:val="center"/>
            <w:hideMark/>
          </w:tcPr>
          <w:p w14:paraId="139D9BA7"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0.2%</w:t>
            </w:r>
          </w:p>
        </w:tc>
        <w:tc>
          <w:tcPr>
            <w:tcW w:w="343" w:type="pct"/>
            <w:tcBorders>
              <w:bottom w:val="single" w:sz="4" w:space="0" w:color="auto"/>
              <w:right w:val="dotted" w:sz="4" w:space="0" w:color="auto"/>
            </w:tcBorders>
            <w:shd w:val="clear" w:color="auto" w:fill="BFBFBF" w:themeFill="background1" w:themeFillShade="BF"/>
            <w:noWrap/>
            <w:vAlign w:val="center"/>
            <w:hideMark/>
          </w:tcPr>
          <w:p w14:paraId="20690EEA" w14:textId="77777777" w:rsidR="00BF7697" w:rsidRPr="00771F1F" w:rsidRDefault="00BF7697" w:rsidP="00771F1F">
            <w:pPr>
              <w:spacing w:before="40" w:after="40"/>
              <w:jc w:val="right"/>
              <w:rPr>
                <w:rFonts w:eastAsia="Times New Roman" w:cs="Arial"/>
                <w:color w:val="000000"/>
                <w:sz w:val="18"/>
                <w:szCs w:val="18"/>
              </w:rPr>
            </w:pPr>
            <w:r w:rsidRPr="00771F1F">
              <w:rPr>
                <w:rFonts w:eastAsia="Times New Roman" w:cs="Arial"/>
                <w:color w:val="000000"/>
                <w:sz w:val="18"/>
                <w:szCs w:val="18"/>
              </w:rPr>
              <w:t>7.4%</w:t>
            </w:r>
          </w:p>
        </w:tc>
        <w:tc>
          <w:tcPr>
            <w:tcW w:w="387" w:type="pct"/>
            <w:tcBorders>
              <w:left w:val="dotted" w:sz="4" w:space="0" w:color="auto"/>
              <w:bottom w:val="single" w:sz="4" w:space="0" w:color="auto"/>
            </w:tcBorders>
            <w:shd w:val="clear" w:color="auto" w:fill="BFBFBF" w:themeFill="background1" w:themeFillShade="BF"/>
            <w:noWrap/>
            <w:vAlign w:val="center"/>
            <w:hideMark/>
          </w:tcPr>
          <w:p w14:paraId="796DF827" w14:textId="77777777" w:rsidR="00BF7697" w:rsidRPr="00771F1F" w:rsidRDefault="00BF7697" w:rsidP="00771F1F">
            <w:pPr>
              <w:spacing w:before="40" w:after="40"/>
              <w:jc w:val="right"/>
              <w:rPr>
                <w:rFonts w:eastAsia="Times New Roman" w:cs="Arial"/>
                <w:b/>
                <w:bCs/>
                <w:color w:val="000000"/>
                <w:sz w:val="18"/>
                <w:szCs w:val="18"/>
              </w:rPr>
            </w:pPr>
            <w:r w:rsidRPr="00771F1F">
              <w:rPr>
                <w:rFonts w:eastAsia="Times New Roman" w:cs="Arial"/>
                <w:b/>
                <w:bCs/>
                <w:color w:val="000000"/>
                <w:sz w:val="18"/>
                <w:szCs w:val="18"/>
              </w:rPr>
              <w:t>-1.5%</w:t>
            </w:r>
          </w:p>
        </w:tc>
      </w:tr>
      <w:tr w:rsidR="00BF7697" w:rsidRPr="00771F1F" w14:paraId="79C4E902" w14:textId="77777777" w:rsidTr="00771F1F">
        <w:trPr>
          <w:cnfStyle w:val="000000010000" w:firstRow="0" w:lastRow="0" w:firstColumn="0" w:lastColumn="0" w:oddVBand="0" w:evenVBand="0" w:oddHBand="0" w:evenHBand="1" w:firstRowFirstColumn="0" w:firstRowLastColumn="0" w:lastRowFirstColumn="0" w:lastRowLastColumn="0"/>
          <w:trHeight w:val="301"/>
        </w:trPr>
        <w:tc>
          <w:tcPr>
            <w:tcW w:w="908" w:type="pct"/>
            <w:tcBorders>
              <w:top w:val="single" w:sz="4" w:space="0" w:color="auto"/>
              <w:bottom w:val="single" w:sz="4" w:space="0" w:color="auto"/>
            </w:tcBorders>
            <w:shd w:val="clear" w:color="auto" w:fill="D4C5D7"/>
            <w:noWrap/>
            <w:vAlign w:val="center"/>
            <w:hideMark/>
          </w:tcPr>
          <w:p w14:paraId="4AD27116" w14:textId="77777777" w:rsidR="00BF7697" w:rsidRPr="00771F1F" w:rsidRDefault="00BF7697" w:rsidP="00B17C79">
            <w:pPr>
              <w:spacing w:before="40" w:after="40"/>
              <w:rPr>
                <w:rFonts w:eastAsia="Times New Roman" w:cs="Arial"/>
                <w:b/>
                <w:bCs/>
                <w:color w:val="000000"/>
                <w:sz w:val="18"/>
                <w:szCs w:val="18"/>
              </w:rPr>
            </w:pPr>
            <w:r w:rsidRPr="00771F1F">
              <w:rPr>
                <w:rFonts w:eastAsia="Times New Roman" w:cs="Arial"/>
                <w:b/>
                <w:bCs/>
                <w:color w:val="000000"/>
                <w:sz w:val="18"/>
                <w:szCs w:val="18"/>
              </w:rPr>
              <w:t>Total</w:t>
            </w:r>
          </w:p>
        </w:tc>
        <w:tc>
          <w:tcPr>
            <w:tcW w:w="500" w:type="pct"/>
            <w:tcBorders>
              <w:top w:val="single" w:sz="4" w:space="0" w:color="auto"/>
              <w:bottom w:val="single" w:sz="4" w:space="0" w:color="auto"/>
            </w:tcBorders>
            <w:shd w:val="clear" w:color="auto" w:fill="D4C5D7"/>
            <w:noWrap/>
            <w:vAlign w:val="center"/>
            <w:hideMark/>
          </w:tcPr>
          <w:p w14:paraId="06493010" w14:textId="77777777" w:rsidR="00BF7697" w:rsidRPr="00771F1F" w:rsidRDefault="00BF7697" w:rsidP="00771F1F">
            <w:pPr>
              <w:spacing w:before="40" w:after="40"/>
              <w:jc w:val="right"/>
              <w:rPr>
                <w:rFonts w:eastAsia="Times New Roman" w:cs="Arial"/>
                <w:b/>
                <w:bCs/>
                <w:color w:val="000000"/>
                <w:sz w:val="18"/>
                <w:szCs w:val="18"/>
              </w:rPr>
            </w:pPr>
            <w:r w:rsidRPr="00771F1F">
              <w:rPr>
                <w:rFonts w:eastAsia="Times New Roman" w:cs="Arial"/>
                <w:b/>
                <w:bCs/>
                <w:color w:val="000000"/>
                <w:sz w:val="18"/>
                <w:szCs w:val="18"/>
              </w:rPr>
              <w:t>-5.1%</w:t>
            </w:r>
          </w:p>
        </w:tc>
        <w:tc>
          <w:tcPr>
            <w:tcW w:w="593" w:type="pct"/>
            <w:tcBorders>
              <w:top w:val="single" w:sz="4" w:space="0" w:color="auto"/>
              <w:bottom w:val="single" w:sz="4" w:space="0" w:color="auto"/>
            </w:tcBorders>
            <w:shd w:val="clear" w:color="auto" w:fill="D4C5D7"/>
            <w:noWrap/>
            <w:vAlign w:val="center"/>
            <w:hideMark/>
          </w:tcPr>
          <w:p w14:paraId="40C58BD6" w14:textId="77777777" w:rsidR="00BF7697" w:rsidRPr="00771F1F" w:rsidRDefault="00BF7697" w:rsidP="00771F1F">
            <w:pPr>
              <w:spacing w:before="40" w:after="40"/>
              <w:jc w:val="right"/>
              <w:rPr>
                <w:rFonts w:eastAsia="Times New Roman" w:cs="Arial"/>
                <w:b/>
                <w:bCs/>
                <w:color w:val="000000"/>
                <w:sz w:val="18"/>
                <w:szCs w:val="18"/>
              </w:rPr>
            </w:pPr>
            <w:r w:rsidRPr="00771F1F">
              <w:rPr>
                <w:rFonts w:eastAsia="Times New Roman" w:cs="Arial"/>
                <w:b/>
                <w:bCs/>
                <w:color w:val="000000"/>
                <w:sz w:val="18"/>
                <w:szCs w:val="18"/>
              </w:rPr>
              <w:t>-2.3%</w:t>
            </w:r>
          </w:p>
        </w:tc>
        <w:tc>
          <w:tcPr>
            <w:tcW w:w="500" w:type="pct"/>
            <w:tcBorders>
              <w:top w:val="single" w:sz="4" w:space="0" w:color="auto"/>
              <w:bottom w:val="single" w:sz="4" w:space="0" w:color="auto"/>
            </w:tcBorders>
            <w:shd w:val="clear" w:color="auto" w:fill="D4C5D7"/>
            <w:noWrap/>
            <w:vAlign w:val="center"/>
            <w:hideMark/>
          </w:tcPr>
          <w:p w14:paraId="75926928" w14:textId="77777777" w:rsidR="00BF7697" w:rsidRPr="00771F1F" w:rsidRDefault="00BF7697" w:rsidP="00771F1F">
            <w:pPr>
              <w:spacing w:before="40" w:after="40"/>
              <w:jc w:val="right"/>
              <w:rPr>
                <w:rFonts w:eastAsia="Times New Roman" w:cs="Arial"/>
                <w:b/>
                <w:bCs/>
                <w:color w:val="000000"/>
                <w:sz w:val="18"/>
                <w:szCs w:val="18"/>
              </w:rPr>
            </w:pPr>
            <w:r w:rsidRPr="00771F1F">
              <w:rPr>
                <w:rFonts w:eastAsia="Times New Roman" w:cs="Arial"/>
                <w:b/>
                <w:bCs/>
                <w:color w:val="000000"/>
                <w:sz w:val="18"/>
                <w:szCs w:val="18"/>
              </w:rPr>
              <w:t>-3.5%</w:t>
            </w:r>
          </w:p>
        </w:tc>
        <w:tc>
          <w:tcPr>
            <w:tcW w:w="593" w:type="pct"/>
            <w:tcBorders>
              <w:top w:val="single" w:sz="4" w:space="0" w:color="auto"/>
              <w:bottom w:val="single" w:sz="4" w:space="0" w:color="auto"/>
            </w:tcBorders>
            <w:shd w:val="clear" w:color="auto" w:fill="D4C5D7"/>
            <w:noWrap/>
            <w:vAlign w:val="center"/>
            <w:hideMark/>
          </w:tcPr>
          <w:p w14:paraId="0CD90A43" w14:textId="77777777" w:rsidR="00BF7697" w:rsidRPr="00771F1F" w:rsidRDefault="00BF7697" w:rsidP="00771F1F">
            <w:pPr>
              <w:spacing w:before="40" w:after="40"/>
              <w:jc w:val="right"/>
              <w:rPr>
                <w:rFonts w:eastAsia="Times New Roman" w:cs="Arial"/>
                <w:b/>
                <w:bCs/>
                <w:color w:val="000000"/>
                <w:sz w:val="18"/>
                <w:szCs w:val="18"/>
              </w:rPr>
            </w:pPr>
            <w:r w:rsidRPr="00771F1F">
              <w:rPr>
                <w:rFonts w:eastAsia="Times New Roman" w:cs="Arial"/>
                <w:b/>
                <w:bCs/>
                <w:color w:val="000000"/>
                <w:sz w:val="18"/>
                <w:szCs w:val="18"/>
              </w:rPr>
              <w:t>-12.0%</w:t>
            </w:r>
          </w:p>
        </w:tc>
        <w:tc>
          <w:tcPr>
            <w:tcW w:w="520" w:type="pct"/>
            <w:tcBorders>
              <w:top w:val="single" w:sz="4" w:space="0" w:color="auto"/>
              <w:bottom w:val="single" w:sz="4" w:space="0" w:color="auto"/>
            </w:tcBorders>
            <w:shd w:val="clear" w:color="auto" w:fill="D4C5D7"/>
            <w:noWrap/>
            <w:vAlign w:val="center"/>
            <w:hideMark/>
          </w:tcPr>
          <w:p w14:paraId="7D6B6103" w14:textId="77777777" w:rsidR="00BF7697" w:rsidRPr="00771F1F" w:rsidRDefault="00BF7697" w:rsidP="00771F1F">
            <w:pPr>
              <w:spacing w:before="40" w:after="40"/>
              <w:jc w:val="right"/>
              <w:rPr>
                <w:rFonts w:eastAsia="Times New Roman" w:cs="Arial"/>
                <w:b/>
                <w:bCs/>
                <w:color w:val="000000"/>
                <w:sz w:val="18"/>
                <w:szCs w:val="18"/>
              </w:rPr>
            </w:pPr>
            <w:r w:rsidRPr="00771F1F">
              <w:rPr>
                <w:rFonts w:eastAsia="Times New Roman" w:cs="Arial"/>
                <w:b/>
                <w:bCs/>
                <w:color w:val="000000"/>
                <w:sz w:val="18"/>
                <w:szCs w:val="18"/>
              </w:rPr>
              <w:t>-9.9%</w:t>
            </w:r>
          </w:p>
        </w:tc>
        <w:tc>
          <w:tcPr>
            <w:tcW w:w="657" w:type="pct"/>
            <w:tcBorders>
              <w:top w:val="single" w:sz="4" w:space="0" w:color="auto"/>
              <w:bottom w:val="single" w:sz="4" w:space="0" w:color="auto"/>
            </w:tcBorders>
            <w:shd w:val="clear" w:color="auto" w:fill="D4C5D7"/>
            <w:noWrap/>
            <w:vAlign w:val="center"/>
            <w:hideMark/>
          </w:tcPr>
          <w:p w14:paraId="1B75A488" w14:textId="77777777" w:rsidR="00BF7697" w:rsidRPr="00771F1F" w:rsidRDefault="00BF7697" w:rsidP="00771F1F">
            <w:pPr>
              <w:spacing w:before="40" w:after="40"/>
              <w:jc w:val="right"/>
              <w:rPr>
                <w:rFonts w:eastAsia="Times New Roman" w:cs="Arial"/>
                <w:b/>
                <w:bCs/>
                <w:color w:val="000000"/>
                <w:sz w:val="18"/>
                <w:szCs w:val="18"/>
              </w:rPr>
            </w:pPr>
            <w:r w:rsidRPr="00771F1F">
              <w:rPr>
                <w:rFonts w:eastAsia="Times New Roman" w:cs="Arial"/>
                <w:b/>
                <w:bCs/>
                <w:color w:val="000000"/>
                <w:sz w:val="18"/>
                <w:szCs w:val="18"/>
              </w:rPr>
              <w:t>-1.9%</w:t>
            </w:r>
          </w:p>
        </w:tc>
        <w:tc>
          <w:tcPr>
            <w:tcW w:w="343" w:type="pct"/>
            <w:tcBorders>
              <w:top w:val="single" w:sz="4" w:space="0" w:color="auto"/>
              <w:bottom w:val="single" w:sz="4" w:space="0" w:color="auto"/>
              <w:right w:val="dotted" w:sz="4" w:space="0" w:color="auto"/>
            </w:tcBorders>
            <w:shd w:val="clear" w:color="auto" w:fill="D4C5D7"/>
            <w:noWrap/>
            <w:vAlign w:val="center"/>
            <w:hideMark/>
          </w:tcPr>
          <w:p w14:paraId="0B35B360" w14:textId="77777777" w:rsidR="00BF7697" w:rsidRPr="00771F1F" w:rsidRDefault="00BF7697" w:rsidP="00771F1F">
            <w:pPr>
              <w:spacing w:before="40" w:after="40"/>
              <w:jc w:val="right"/>
              <w:rPr>
                <w:rFonts w:eastAsia="Times New Roman" w:cs="Arial"/>
                <w:b/>
                <w:bCs/>
                <w:color w:val="000000"/>
                <w:sz w:val="18"/>
                <w:szCs w:val="18"/>
              </w:rPr>
            </w:pPr>
            <w:r w:rsidRPr="00771F1F">
              <w:rPr>
                <w:rFonts w:eastAsia="Times New Roman" w:cs="Arial"/>
                <w:b/>
                <w:bCs/>
                <w:color w:val="000000"/>
                <w:sz w:val="18"/>
                <w:szCs w:val="18"/>
              </w:rPr>
              <w:t>3.9%</w:t>
            </w:r>
          </w:p>
        </w:tc>
        <w:tc>
          <w:tcPr>
            <w:tcW w:w="387" w:type="pct"/>
            <w:tcBorders>
              <w:top w:val="single" w:sz="4" w:space="0" w:color="auto"/>
              <w:left w:val="dotted" w:sz="4" w:space="0" w:color="auto"/>
              <w:bottom w:val="single" w:sz="4" w:space="0" w:color="auto"/>
            </w:tcBorders>
            <w:shd w:val="clear" w:color="auto" w:fill="D4C5D7"/>
            <w:noWrap/>
            <w:vAlign w:val="center"/>
            <w:hideMark/>
          </w:tcPr>
          <w:p w14:paraId="262F25AB" w14:textId="77777777" w:rsidR="00BF7697" w:rsidRPr="00771F1F" w:rsidRDefault="00BF7697" w:rsidP="00771F1F">
            <w:pPr>
              <w:spacing w:before="40" w:after="40"/>
              <w:jc w:val="right"/>
              <w:rPr>
                <w:rFonts w:eastAsia="Times New Roman" w:cs="Arial"/>
                <w:b/>
                <w:bCs/>
                <w:color w:val="000000"/>
                <w:sz w:val="18"/>
                <w:szCs w:val="18"/>
              </w:rPr>
            </w:pPr>
            <w:r w:rsidRPr="00771F1F">
              <w:rPr>
                <w:rFonts w:eastAsia="Times New Roman" w:cs="Arial"/>
                <w:b/>
                <w:bCs/>
                <w:color w:val="000000"/>
                <w:sz w:val="18"/>
                <w:szCs w:val="18"/>
              </w:rPr>
              <w:t>-3.7%</w:t>
            </w:r>
          </w:p>
        </w:tc>
      </w:tr>
    </w:tbl>
    <w:p w14:paraId="122BF468" w14:textId="77777777" w:rsidR="00BF7697" w:rsidRPr="0030786F" w:rsidRDefault="00BF7697" w:rsidP="00A55A6D">
      <w:pPr>
        <w:pStyle w:val="FSRnormal"/>
      </w:pPr>
      <w:r w:rsidRPr="0030786F">
        <w:t xml:space="preserve">Average </w:t>
      </w:r>
      <w:r w:rsidR="00D5480D">
        <w:t>payments</w:t>
      </w:r>
      <w:r w:rsidR="00D5480D" w:rsidRPr="0030786F">
        <w:t xml:space="preserve"> </w:t>
      </w:r>
      <w:r w:rsidRPr="0030786F">
        <w:t xml:space="preserve">have reduced by about 10% for </w:t>
      </w:r>
      <w:r>
        <w:t>a</w:t>
      </w:r>
      <w:r w:rsidRPr="0030786F">
        <w:t xml:space="preserve">utism, 5% for </w:t>
      </w:r>
      <w:r>
        <w:t>c</w:t>
      </w:r>
      <w:r w:rsidRPr="0030786F">
        <w:t xml:space="preserve">erebral </w:t>
      </w:r>
      <w:r>
        <w:t>p</w:t>
      </w:r>
      <w:r w:rsidRPr="0030786F">
        <w:t xml:space="preserve">alsy and 2% for each of </w:t>
      </w:r>
      <w:r>
        <w:t>i</w:t>
      </w:r>
      <w:r w:rsidRPr="0030786F">
        <w:t xml:space="preserve">ntellectual </w:t>
      </w:r>
      <w:r>
        <w:t>d</w:t>
      </w:r>
      <w:r w:rsidRPr="0030786F">
        <w:t xml:space="preserve">isability and </w:t>
      </w:r>
      <w:r>
        <w:t>o</w:t>
      </w:r>
      <w:r w:rsidRPr="0030786F">
        <w:t xml:space="preserve">ther </w:t>
      </w:r>
      <w:r>
        <w:t>n</w:t>
      </w:r>
      <w:r w:rsidRPr="0030786F">
        <w:t>eurological</w:t>
      </w:r>
      <w:r w:rsidR="008523A0">
        <w:t xml:space="preserve"> disabilities</w:t>
      </w:r>
      <w:r w:rsidRPr="0030786F">
        <w:t xml:space="preserve">.  Other disability groups also reduced by about 1.5%. </w:t>
      </w:r>
      <w:r w:rsidR="00D5480D">
        <w:t xml:space="preserve">Payments </w:t>
      </w:r>
      <w:r w:rsidRPr="0030786F">
        <w:t xml:space="preserve">for the largest support categories have </w:t>
      </w:r>
      <w:r w:rsidR="00FD7490">
        <w:t xml:space="preserve">experienced </w:t>
      </w:r>
      <w:r w:rsidR="009A3610">
        <w:t xml:space="preserve">lower </w:t>
      </w:r>
      <w:r w:rsidRPr="0030786F">
        <w:t xml:space="preserve">levels of growth relative to expectation; with Daily Activities (the largest support category) </w:t>
      </w:r>
      <w:r w:rsidR="008523A0">
        <w:t>being</w:t>
      </w:r>
      <w:r w:rsidRPr="0030786F">
        <w:t xml:space="preserve"> between 4% to 11% </w:t>
      </w:r>
      <w:r w:rsidR="008523A0">
        <w:t>lower than</w:t>
      </w:r>
      <w:r w:rsidR="009A3610">
        <w:t xml:space="preserve"> </w:t>
      </w:r>
      <w:r w:rsidRPr="0030786F">
        <w:t xml:space="preserve">expected </w:t>
      </w:r>
      <w:r w:rsidR="008523A0">
        <w:t>in</w:t>
      </w:r>
      <w:r w:rsidRPr="0030786F">
        <w:t xml:space="preserve"> the 2020-21 AFSR. However, average </w:t>
      </w:r>
      <w:r w:rsidR="00D5480D">
        <w:t xml:space="preserve">payment </w:t>
      </w:r>
      <w:r w:rsidRPr="0030786F">
        <w:t xml:space="preserve">assumptions have increased for </w:t>
      </w:r>
      <w:r w:rsidR="00BB7FC3">
        <w:t xml:space="preserve">other </w:t>
      </w:r>
      <w:r w:rsidRPr="0030786F">
        <w:t xml:space="preserve">support categories (3.9% </w:t>
      </w:r>
      <w:r w:rsidR="008523A0">
        <w:t>in total</w:t>
      </w:r>
      <w:r w:rsidRPr="0030786F">
        <w:t>).</w:t>
      </w:r>
    </w:p>
    <w:p w14:paraId="3B4BE4DE" w14:textId="77777777" w:rsidR="00BF7697" w:rsidRDefault="00BF7697" w:rsidP="00A55A6D">
      <w:pPr>
        <w:pStyle w:val="FSRnormal"/>
      </w:pPr>
      <w:r w:rsidRPr="0030786F">
        <w:t xml:space="preserve">For participants in their first year and </w:t>
      </w:r>
      <w:r w:rsidR="00130D2D">
        <w:t>with</w:t>
      </w:r>
      <w:r w:rsidRPr="0030786F">
        <w:t xml:space="preserve"> Supported Independent Living, average </w:t>
      </w:r>
      <w:r w:rsidR="00D5480D">
        <w:t xml:space="preserve">payment </w:t>
      </w:r>
      <w:r w:rsidRPr="0030786F">
        <w:t>assumptions have been reduced by 10% relative to ‘mature’ partici</w:t>
      </w:r>
      <w:r>
        <w:t>pa</w:t>
      </w:r>
      <w:r w:rsidRPr="0030786F">
        <w:t xml:space="preserve">nts; while a reduction of 20% is assumed for first-year </w:t>
      </w:r>
      <w:r w:rsidR="00130D2D">
        <w:t xml:space="preserve">non-SIL </w:t>
      </w:r>
      <w:r w:rsidRPr="0030786F">
        <w:t xml:space="preserve">participants. </w:t>
      </w:r>
    </w:p>
    <w:p w14:paraId="6997DD21" w14:textId="77777777" w:rsidR="00BF7697" w:rsidRPr="00BF7697" w:rsidRDefault="000F7D23" w:rsidP="00BF7697">
      <w:pPr>
        <w:pStyle w:val="FSRnormal"/>
        <w:rPr>
          <w:rFonts w:eastAsia="Times New Roman" w:cs="Arial"/>
          <w:lang w:eastAsia="en-AU"/>
        </w:rPr>
      </w:pPr>
      <w:r w:rsidRPr="000C2B79">
        <w:t xml:space="preserve">Table </w:t>
      </w:r>
      <w:r>
        <w:rPr>
          <w:noProof/>
        </w:rPr>
        <w:t>5</w:t>
      </w:r>
      <w:r>
        <w:t>.</w:t>
      </w:r>
      <w:r>
        <w:rPr>
          <w:noProof/>
        </w:rPr>
        <w:t>18</w:t>
      </w:r>
      <w:r w:rsidR="00585AA2">
        <w:rPr>
          <w:rFonts w:eastAsia="Times New Roman" w:cs="Arial"/>
          <w:lang w:eastAsia="en-AU"/>
        </w:rPr>
        <w:t xml:space="preserve"> </w:t>
      </w:r>
      <w:r w:rsidR="009A3610">
        <w:rPr>
          <w:rFonts w:eastAsia="Times New Roman" w:cs="Arial"/>
          <w:lang w:eastAsia="en-AU"/>
        </w:rPr>
        <w:t xml:space="preserve">shows </w:t>
      </w:r>
      <w:r w:rsidR="00BF7697" w:rsidRPr="006F1019">
        <w:rPr>
          <w:rFonts w:eastAsia="Times New Roman" w:cs="Arial"/>
          <w:lang w:eastAsia="en-AU"/>
        </w:rPr>
        <w:t>the projected average annual payments by grouped disability and age band for the 2022-23 financial year. The following is noted: </w:t>
      </w:r>
    </w:p>
    <w:p w14:paraId="020B3BF2" w14:textId="77777777" w:rsidR="00BF7697" w:rsidRPr="006F1019" w:rsidRDefault="00BF7697" w:rsidP="00BF7697">
      <w:pPr>
        <w:pStyle w:val="FSRlist"/>
        <w:rPr>
          <w:lang w:eastAsia="en-AU"/>
        </w:rPr>
      </w:pPr>
      <w:r w:rsidRPr="006F1019">
        <w:rPr>
          <w:lang w:eastAsia="en-AU"/>
        </w:rPr>
        <w:t>The average annualised payment amount for all Scheme participants in 2022-23 is $53,700. This is about $4,000 (7%) lower than the assumed average payment for 2022-23 in the previous AFSR</w:t>
      </w:r>
      <w:r w:rsidR="00FD7490">
        <w:rPr>
          <w:lang w:eastAsia="en-AU"/>
        </w:rPr>
        <w:t>;</w:t>
      </w:r>
    </w:p>
    <w:p w14:paraId="0407572F" w14:textId="77777777" w:rsidR="00BF7697" w:rsidRPr="006F1019" w:rsidRDefault="009A3610" w:rsidP="00BF7697">
      <w:pPr>
        <w:pStyle w:val="FSRlist"/>
        <w:rPr>
          <w:lang w:eastAsia="en-AU"/>
        </w:rPr>
      </w:pPr>
      <w:r>
        <w:rPr>
          <w:lang w:eastAsia="en-AU"/>
        </w:rPr>
        <w:t>C</w:t>
      </w:r>
      <w:r w:rsidR="00BF7697" w:rsidRPr="006F1019">
        <w:rPr>
          <w:lang w:eastAsia="en-AU"/>
        </w:rPr>
        <w:t>hildren have lower average annualised payments than adults, reflecting a higher proportion of early intervention participants, less usage of SIL arrangements and more informal supports, primarily provided by parents</w:t>
      </w:r>
      <w:r w:rsidR="00FD7490">
        <w:rPr>
          <w:lang w:eastAsia="en-AU"/>
        </w:rPr>
        <w:t>;</w:t>
      </w:r>
    </w:p>
    <w:p w14:paraId="28A85642" w14:textId="77777777" w:rsidR="00BF7697" w:rsidRPr="006F1019" w:rsidRDefault="00BF7697" w:rsidP="00BF7697">
      <w:pPr>
        <w:pStyle w:val="FSRlist"/>
        <w:rPr>
          <w:lang w:eastAsia="en-AU"/>
        </w:rPr>
      </w:pPr>
      <w:r w:rsidRPr="006F1019">
        <w:rPr>
          <w:lang w:eastAsia="en-AU"/>
        </w:rPr>
        <w:lastRenderedPageBreak/>
        <w:t>Participants with intellectual disability and other disabilities</w:t>
      </w:r>
      <w:r w:rsidRPr="00E52AC5">
        <w:rPr>
          <w:rStyle w:val="FootnoteReference"/>
          <w:rFonts w:eastAsia="Times New Roman" w:cs="Arial"/>
          <w:szCs w:val="22"/>
          <w:lang w:eastAsia="en-AU"/>
        </w:rPr>
        <w:footnoteReference w:id="99"/>
      </w:r>
      <w:r w:rsidRPr="006F1019">
        <w:rPr>
          <w:lang w:eastAsia="en-AU"/>
        </w:rPr>
        <w:t xml:space="preserve"> have the largest average payments</w:t>
      </w:r>
      <w:r w:rsidR="00FD7490">
        <w:rPr>
          <w:lang w:eastAsia="en-AU"/>
        </w:rPr>
        <w:t>;</w:t>
      </w:r>
      <w:r w:rsidRPr="006F1019">
        <w:rPr>
          <w:lang w:eastAsia="en-AU"/>
        </w:rPr>
        <w:t> </w:t>
      </w:r>
      <w:r w:rsidR="00EF33EB">
        <w:rPr>
          <w:lang w:eastAsia="en-AU"/>
        </w:rPr>
        <w:t>and</w:t>
      </w:r>
    </w:p>
    <w:p w14:paraId="5D01E494" w14:textId="77777777" w:rsidR="00BF7697" w:rsidRPr="006F1019" w:rsidRDefault="00BF7697" w:rsidP="00BF7697">
      <w:pPr>
        <w:pStyle w:val="FSRlist"/>
        <w:rPr>
          <w:lang w:eastAsia="en-AU"/>
        </w:rPr>
      </w:pPr>
      <w:r w:rsidRPr="006F1019">
        <w:rPr>
          <w:lang w:eastAsia="en-AU"/>
        </w:rPr>
        <w:t>Participants with sensory disabilities</w:t>
      </w:r>
      <w:r w:rsidRPr="00E52AC5">
        <w:rPr>
          <w:rStyle w:val="FootnoteReference"/>
          <w:rFonts w:eastAsia="Times New Roman" w:cs="Arial"/>
          <w:szCs w:val="22"/>
          <w:lang w:eastAsia="en-AU"/>
        </w:rPr>
        <w:footnoteReference w:id="100"/>
      </w:r>
      <w:r w:rsidRPr="006F1019">
        <w:rPr>
          <w:lang w:eastAsia="en-AU"/>
        </w:rPr>
        <w:t xml:space="preserve"> and developmental delay have the lowest average payments. </w:t>
      </w:r>
    </w:p>
    <w:p w14:paraId="2CAADEB7" w14:textId="77777777" w:rsidR="00BF7697" w:rsidRPr="00ED6B42" w:rsidRDefault="00BF7697" w:rsidP="00BF7697">
      <w:pPr>
        <w:spacing w:after="0" w:line="240" w:lineRule="auto"/>
        <w:textAlignment w:val="baseline"/>
        <w:rPr>
          <w:rFonts w:eastAsia="Times New Roman" w:cs="Arial"/>
          <w:lang w:eastAsia="en-AU"/>
        </w:rPr>
      </w:pPr>
    </w:p>
    <w:p w14:paraId="322EE5A7" w14:textId="77777777" w:rsidR="00BF7697" w:rsidRPr="000C2B79" w:rsidRDefault="00BF7697" w:rsidP="00A55A6D">
      <w:pPr>
        <w:pStyle w:val="Tables"/>
        <w:rPr>
          <w:sz w:val="36"/>
          <w:szCs w:val="36"/>
        </w:rPr>
      </w:pPr>
      <w:bookmarkStart w:id="225" w:name="_Ref111630078"/>
      <w:bookmarkStart w:id="226" w:name="_Ref111900165"/>
      <w:r w:rsidRPr="000C2B79">
        <w:t xml:space="preserve">Table </w:t>
      </w:r>
      <w:bookmarkEnd w:id="225"/>
      <w:r w:rsidR="00A87896">
        <w:fldChar w:fldCharType="begin"/>
      </w:r>
      <w:r w:rsidR="00A87896">
        <w:instrText xml:space="preserve"> STYLEREF 2 \s </w:instrText>
      </w:r>
      <w:r w:rsidR="00A87896">
        <w:fldChar w:fldCharType="separate"/>
      </w:r>
      <w:r w:rsidR="00A87896">
        <w:rPr>
          <w:noProof/>
        </w:rPr>
        <w:t>5</w:t>
      </w:r>
      <w:r w:rsidR="00A87896">
        <w:fldChar w:fldCharType="end"/>
      </w:r>
      <w:r w:rsidR="00A87896">
        <w:t>.</w:t>
      </w:r>
      <w:fldSimple w:instr=" SEQ Table \* ARABIC \s 2 ">
        <w:r w:rsidR="00A87896">
          <w:rPr>
            <w:noProof/>
          </w:rPr>
          <w:t>18</w:t>
        </w:r>
      </w:fldSimple>
      <w:bookmarkEnd w:id="226"/>
      <w:r w:rsidRPr="002C6243">
        <w:t>:</w:t>
      </w:r>
      <w:r>
        <w:t xml:space="preserve"> </w:t>
      </w:r>
      <w:r w:rsidRPr="000C2B79">
        <w:t>Average annual payments ($) by age b</w:t>
      </w:r>
      <w:r>
        <w:t>and and disability group in 2022-23</w:t>
      </w:r>
      <w:r w:rsidR="009A3610">
        <w:rPr>
          <w:rStyle w:val="FootnoteReference"/>
        </w:rPr>
        <w:footnoteReference w:id="101"/>
      </w:r>
    </w:p>
    <w:tbl>
      <w:tblPr>
        <w:tblStyle w:val="FSRtable"/>
        <w:tblW w:w="4872" w:type="pct"/>
        <w:tblInd w:w="8" w:type="dxa"/>
        <w:tblLook w:val="04A0" w:firstRow="1" w:lastRow="0" w:firstColumn="1" w:lastColumn="0" w:noHBand="0" w:noVBand="1"/>
      </w:tblPr>
      <w:tblGrid>
        <w:gridCol w:w="2544"/>
        <w:gridCol w:w="1559"/>
        <w:gridCol w:w="1134"/>
        <w:gridCol w:w="1134"/>
        <w:gridCol w:w="1276"/>
        <w:gridCol w:w="1148"/>
      </w:tblGrid>
      <w:tr w:rsidR="00BF7697" w:rsidRPr="00E00F05" w14:paraId="16D67A13" w14:textId="77777777" w:rsidTr="00252EAF">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2544" w:type="dxa"/>
            <w:hideMark/>
          </w:tcPr>
          <w:p w14:paraId="4C2D02F8" w14:textId="77777777" w:rsidR="00BF7697" w:rsidRPr="00E00F05" w:rsidRDefault="00BF7697">
            <w:pPr>
              <w:keepNext/>
              <w:spacing w:after="0" w:line="240" w:lineRule="auto"/>
              <w:textAlignment w:val="baseline"/>
              <w:rPr>
                <w:rFonts w:eastAsia="Times New Roman"/>
                <w:sz w:val="20"/>
                <w:szCs w:val="20"/>
                <w:lang w:eastAsia="en-AU"/>
              </w:rPr>
            </w:pPr>
            <w:r w:rsidRPr="00E00F05">
              <w:rPr>
                <w:rFonts w:eastAsia="Times New Roman"/>
                <w:bCs/>
                <w:color w:val="FFFFFF"/>
                <w:sz w:val="20"/>
                <w:szCs w:val="20"/>
                <w:lang w:eastAsia="en-AU"/>
              </w:rPr>
              <w:t>Disability Group</w:t>
            </w:r>
            <w:r w:rsidRPr="00E00F05">
              <w:rPr>
                <w:rFonts w:eastAsia="Times New Roman"/>
                <w:color w:val="FFFFFF"/>
                <w:sz w:val="20"/>
                <w:szCs w:val="20"/>
                <w:lang w:eastAsia="en-AU"/>
              </w:rPr>
              <w:t> </w:t>
            </w:r>
          </w:p>
        </w:tc>
        <w:tc>
          <w:tcPr>
            <w:tcW w:w="1559" w:type="dxa"/>
            <w:hideMark/>
          </w:tcPr>
          <w:p w14:paraId="75D7D2FC" w14:textId="77777777" w:rsidR="00BF7697" w:rsidRPr="00E00F05" w:rsidRDefault="00BF7697">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E00F05">
              <w:rPr>
                <w:rFonts w:eastAsia="Times New Roman"/>
                <w:bCs/>
                <w:color w:val="FFFFFF"/>
                <w:sz w:val="20"/>
                <w:szCs w:val="20"/>
                <w:lang w:eastAsia="en-AU"/>
              </w:rPr>
              <w:t>0 to 6</w:t>
            </w:r>
          </w:p>
        </w:tc>
        <w:tc>
          <w:tcPr>
            <w:tcW w:w="1134" w:type="dxa"/>
            <w:hideMark/>
          </w:tcPr>
          <w:p w14:paraId="73C60727" w14:textId="77777777" w:rsidR="00BF7697" w:rsidRPr="00E00F05" w:rsidRDefault="00BF7697">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E00F05">
              <w:rPr>
                <w:rFonts w:eastAsia="Times New Roman"/>
                <w:bCs/>
                <w:color w:val="FFFFFF"/>
                <w:sz w:val="20"/>
                <w:szCs w:val="20"/>
                <w:lang w:eastAsia="en-AU"/>
              </w:rPr>
              <w:t>7 to 14</w:t>
            </w:r>
          </w:p>
        </w:tc>
        <w:tc>
          <w:tcPr>
            <w:tcW w:w="1134" w:type="dxa"/>
            <w:hideMark/>
          </w:tcPr>
          <w:p w14:paraId="0F0D5BE1" w14:textId="77777777" w:rsidR="00BF7697" w:rsidRPr="00E00F05" w:rsidRDefault="00BF7697">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E00F05">
              <w:rPr>
                <w:rFonts w:eastAsia="Times New Roman"/>
                <w:bCs/>
                <w:color w:val="FFFFFF"/>
                <w:sz w:val="20"/>
                <w:szCs w:val="20"/>
                <w:lang w:eastAsia="en-AU"/>
              </w:rPr>
              <w:t>15 to 18</w:t>
            </w:r>
          </w:p>
        </w:tc>
        <w:tc>
          <w:tcPr>
            <w:tcW w:w="1276" w:type="dxa"/>
            <w:hideMark/>
          </w:tcPr>
          <w:p w14:paraId="0E8A9232" w14:textId="77777777" w:rsidR="00BF7697" w:rsidRPr="00E00F05" w:rsidRDefault="00BF7697">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E00F05">
              <w:rPr>
                <w:rFonts w:eastAsia="Times New Roman"/>
                <w:bCs/>
                <w:color w:val="FFFFFF"/>
                <w:sz w:val="20"/>
                <w:szCs w:val="20"/>
                <w:lang w:eastAsia="en-AU"/>
              </w:rPr>
              <w:t>19 to 24</w:t>
            </w:r>
          </w:p>
        </w:tc>
        <w:tc>
          <w:tcPr>
            <w:tcW w:w="1148" w:type="dxa"/>
            <w:hideMark/>
          </w:tcPr>
          <w:p w14:paraId="75173844" w14:textId="77777777" w:rsidR="00BF7697" w:rsidRPr="00E00F05" w:rsidRDefault="00BF7697">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E00F05">
              <w:rPr>
                <w:rFonts w:eastAsia="Times New Roman"/>
                <w:bCs/>
                <w:color w:val="FFFFFF"/>
                <w:sz w:val="20"/>
                <w:szCs w:val="20"/>
                <w:lang w:eastAsia="en-AU"/>
              </w:rPr>
              <w:t>25 to 34</w:t>
            </w:r>
          </w:p>
        </w:tc>
      </w:tr>
      <w:tr w:rsidR="00BF7697" w:rsidRPr="00E00F05" w14:paraId="534AD599" w14:textId="77777777" w:rsidTr="00252EAF">
        <w:trPr>
          <w:trHeight w:hRule="exact" w:val="301"/>
        </w:trPr>
        <w:tc>
          <w:tcPr>
            <w:cnfStyle w:val="001000000000" w:firstRow="0" w:lastRow="0" w:firstColumn="1" w:lastColumn="0" w:oddVBand="0" w:evenVBand="0" w:oddHBand="0" w:evenHBand="0" w:firstRowFirstColumn="0" w:firstRowLastColumn="0" w:lastRowFirstColumn="0" w:lastRowLastColumn="0"/>
            <w:tcW w:w="2544" w:type="dxa"/>
            <w:hideMark/>
          </w:tcPr>
          <w:p w14:paraId="3D15D7A3" w14:textId="77777777" w:rsidR="00BF7697" w:rsidRPr="00E00F05" w:rsidRDefault="00BF7697">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sz w:val="20"/>
                <w:szCs w:val="20"/>
                <w:lang w:eastAsia="en-AU"/>
              </w:rPr>
              <w:t>Autism</w:t>
            </w:r>
          </w:p>
        </w:tc>
        <w:tc>
          <w:tcPr>
            <w:tcW w:w="1559" w:type="dxa"/>
            <w:hideMark/>
          </w:tcPr>
          <w:p w14:paraId="09FE4C8E" w14:textId="77777777" w:rsidR="00BF7697" w:rsidRPr="00E00F05" w:rsidRDefault="00BF7697" w:rsidP="00252EAF">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20,700</w:t>
            </w:r>
          </w:p>
        </w:tc>
        <w:tc>
          <w:tcPr>
            <w:tcW w:w="1134" w:type="dxa"/>
            <w:hideMark/>
          </w:tcPr>
          <w:p w14:paraId="7BCB89DF" w14:textId="77777777" w:rsidR="00BF7697" w:rsidRPr="00E00F05" w:rsidRDefault="00BF7697" w:rsidP="00252EAF">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18,600</w:t>
            </w:r>
          </w:p>
        </w:tc>
        <w:tc>
          <w:tcPr>
            <w:tcW w:w="1134" w:type="dxa"/>
            <w:hideMark/>
          </w:tcPr>
          <w:p w14:paraId="4A75293F" w14:textId="77777777" w:rsidR="00BF7697" w:rsidRPr="00E00F05" w:rsidRDefault="00BF7697" w:rsidP="00252EAF">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28,800</w:t>
            </w:r>
          </w:p>
        </w:tc>
        <w:tc>
          <w:tcPr>
            <w:tcW w:w="1276" w:type="dxa"/>
            <w:hideMark/>
          </w:tcPr>
          <w:p w14:paraId="0BBC2BD5" w14:textId="77777777" w:rsidR="00BF7697" w:rsidRPr="00E00F05" w:rsidRDefault="00BF7697" w:rsidP="00252EAF">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56,000</w:t>
            </w:r>
          </w:p>
        </w:tc>
        <w:tc>
          <w:tcPr>
            <w:tcW w:w="1148" w:type="dxa"/>
            <w:hideMark/>
          </w:tcPr>
          <w:p w14:paraId="4CEA4AF7" w14:textId="77777777" w:rsidR="00BF7697" w:rsidRPr="00E00F05" w:rsidRDefault="00BF7697" w:rsidP="00252EAF">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78,700</w:t>
            </w:r>
          </w:p>
        </w:tc>
      </w:tr>
      <w:tr w:rsidR="00BF7697" w:rsidRPr="00E00F05" w14:paraId="25D16125"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544" w:type="dxa"/>
            <w:hideMark/>
          </w:tcPr>
          <w:p w14:paraId="78F12FB0" w14:textId="77777777" w:rsidR="00BF7697" w:rsidRPr="00E00F05" w:rsidRDefault="00BF7697">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sz w:val="20"/>
                <w:szCs w:val="20"/>
                <w:lang w:eastAsia="en-AU"/>
              </w:rPr>
              <w:t>Intellectual Disability</w:t>
            </w:r>
          </w:p>
        </w:tc>
        <w:tc>
          <w:tcPr>
            <w:tcW w:w="1559" w:type="dxa"/>
            <w:hideMark/>
          </w:tcPr>
          <w:p w14:paraId="57BF5C5C"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30,800</w:t>
            </w:r>
          </w:p>
        </w:tc>
        <w:tc>
          <w:tcPr>
            <w:tcW w:w="1134" w:type="dxa"/>
            <w:hideMark/>
          </w:tcPr>
          <w:p w14:paraId="63472523"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28,700</w:t>
            </w:r>
          </w:p>
        </w:tc>
        <w:tc>
          <w:tcPr>
            <w:tcW w:w="1134" w:type="dxa"/>
            <w:hideMark/>
          </w:tcPr>
          <w:p w14:paraId="3B68A940"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48,700</w:t>
            </w:r>
          </w:p>
        </w:tc>
        <w:tc>
          <w:tcPr>
            <w:tcW w:w="1276" w:type="dxa"/>
            <w:hideMark/>
          </w:tcPr>
          <w:p w14:paraId="3931C78E"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77,600</w:t>
            </w:r>
          </w:p>
        </w:tc>
        <w:tc>
          <w:tcPr>
            <w:tcW w:w="1148" w:type="dxa"/>
            <w:hideMark/>
          </w:tcPr>
          <w:p w14:paraId="45C15B1E"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98,000</w:t>
            </w:r>
          </w:p>
        </w:tc>
      </w:tr>
      <w:tr w:rsidR="00BF7697" w:rsidRPr="00E00F05" w14:paraId="6FDE690B" w14:textId="77777777" w:rsidTr="00252EAF">
        <w:trPr>
          <w:trHeight w:hRule="exact" w:val="301"/>
        </w:trPr>
        <w:tc>
          <w:tcPr>
            <w:cnfStyle w:val="001000000000" w:firstRow="0" w:lastRow="0" w:firstColumn="1" w:lastColumn="0" w:oddVBand="0" w:evenVBand="0" w:oddHBand="0" w:evenHBand="0" w:firstRowFirstColumn="0" w:firstRowLastColumn="0" w:lastRowFirstColumn="0" w:lastRowLastColumn="0"/>
            <w:tcW w:w="2544" w:type="dxa"/>
            <w:hideMark/>
          </w:tcPr>
          <w:p w14:paraId="6C889AB6" w14:textId="77777777" w:rsidR="00BF7697" w:rsidRPr="00E00F05" w:rsidRDefault="00BF7697">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sz w:val="20"/>
                <w:szCs w:val="20"/>
                <w:lang w:eastAsia="en-AU"/>
              </w:rPr>
              <w:t>Psychosocial Disability</w:t>
            </w:r>
          </w:p>
        </w:tc>
        <w:tc>
          <w:tcPr>
            <w:tcW w:w="1559" w:type="dxa"/>
            <w:hideMark/>
          </w:tcPr>
          <w:p w14:paraId="4FA422E4" w14:textId="77777777" w:rsidR="00BF7697" w:rsidRPr="00E00F05" w:rsidRDefault="00BF7697" w:rsidP="00252EAF">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p>
        </w:tc>
        <w:tc>
          <w:tcPr>
            <w:tcW w:w="1134" w:type="dxa"/>
            <w:hideMark/>
          </w:tcPr>
          <w:p w14:paraId="66DB5885" w14:textId="77777777" w:rsidR="00BF7697" w:rsidRPr="00E00F05" w:rsidRDefault="00BF7697" w:rsidP="00252EAF">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20,900</w:t>
            </w:r>
          </w:p>
        </w:tc>
        <w:tc>
          <w:tcPr>
            <w:tcW w:w="1134" w:type="dxa"/>
            <w:hideMark/>
          </w:tcPr>
          <w:p w14:paraId="07DFE267" w14:textId="77777777" w:rsidR="00BF7697" w:rsidRPr="00E00F05" w:rsidRDefault="00BF7697" w:rsidP="00252EAF">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39,200</w:t>
            </w:r>
          </w:p>
        </w:tc>
        <w:tc>
          <w:tcPr>
            <w:tcW w:w="1276" w:type="dxa"/>
            <w:hideMark/>
          </w:tcPr>
          <w:p w14:paraId="32FD351A" w14:textId="77777777" w:rsidR="00BF7697" w:rsidRPr="00E00F05" w:rsidRDefault="00BF7697" w:rsidP="00252EAF">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73,800</w:t>
            </w:r>
          </w:p>
        </w:tc>
        <w:tc>
          <w:tcPr>
            <w:tcW w:w="1148" w:type="dxa"/>
            <w:hideMark/>
          </w:tcPr>
          <w:p w14:paraId="36EAFC50" w14:textId="77777777" w:rsidR="00BF7697" w:rsidRPr="00E00F05" w:rsidRDefault="00BF7697" w:rsidP="00252EAF">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56,900</w:t>
            </w:r>
          </w:p>
        </w:tc>
      </w:tr>
      <w:tr w:rsidR="00BF7697" w:rsidRPr="00E00F05" w14:paraId="2BD19775"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544" w:type="dxa"/>
            <w:hideMark/>
          </w:tcPr>
          <w:p w14:paraId="4270BEFC" w14:textId="77777777" w:rsidR="00BF7697" w:rsidRPr="00E00F05" w:rsidRDefault="00BF7697">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sz w:val="20"/>
                <w:szCs w:val="20"/>
                <w:lang w:eastAsia="en-AU"/>
              </w:rPr>
              <w:t>Developmental Delay</w:t>
            </w:r>
          </w:p>
        </w:tc>
        <w:tc>
          <w:tcPr>
            <w:tcW w:w="1559" w:type="dxa"/>
            <w:hideMark/>
          </w:tcPr>
          <w:p w14:paraId="7A5BAA47"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12,200</w:t>
            </w:r>
          </w:p>
        </w:tc>
        <w:tc>
          <w:tcPr>
            <w:tcW w:w="1134" w:type="dxa"/>
            <w:hideMark/>
          </w:tcPr>
          <w:p w14:paraId="29A052BE"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10,000</w:t>
            </w:r>
          </w:p>
        </w:tc>
        <w:tc>
          <w:tcPr>
            <w:tcW w:w="1134" w:type="dxa"/>
          </w:tcPr>
          <w:p w14:paraId="0692FAB3"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p>
        </w:tc>
        <w:tc>
          <w:tcPr>
            <w:tcW w:w="1276" w:type="dxa"/>
          </w:tcPr>
          <w:p w14:paraId="4FA856EE"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p>
        </w:tc>
        <w:tc>
          <w:tcPr>
            <w:tcW w:w="1148" w:type="dxa"/>
          </w:tcPr>
          <w:p w14:paraId="081BC141"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 </w:t>
            </w:r>
          </w:p>
        </w:tc>
      </w:tr>
      <w:tr w:rsidR="00BF7697" w:rsidRPr="00E00F05" w14:paraId="7E215DAD" w14:textId="77777777" w:rsidTr="00252EAF">
        <w:trPr>
          <w:trHeight w:hRule="exact" w:val="301"/>
        </w:trPr>
        <w:tc>
          <w:tcPr>
            <w:cnfStyle w:val="001000000000" w:firstRow="0" w:lastRow="0" w:firstColumn="1" w:lastColumn="0" w:oddVBand="0" w:evenVBand="0" w:oddHBand="0" w:evenHBand="0" w:firstRowFirstColumn="0" w:firstRowLastColumn="0" w:lastRowFirstColumn="0" w:lastRowLastColumn="0"/>
            <w:tcW w:w="2544" w:type="dxa"/>
            <w:hideMark/>
          </w:tcPr>
          <w:p w14:paraId="22AC29DD" w14:textId="77777777" w:rsidR="00BF7697" w:rsidRPr="00E00F05" w:rsidRDefault="00BF7697">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sz w:val="20"/>
                <w:szCs w:val="20"/>
                <w:lang w:eastAsia="en-AU"/>
              </w:rPr>
              <w:t>Sensory</w:t>
            </w:r>
          </w:p>
        </w:tc>
        <w:tc>
          <w:tcPr>
            <w:tcW w:w="1559" w:type="dxa"/>
            <w:hideMark/>
          </w:tcPr>
          <w:p w14:paraId="41CECC44" w14:textId="77777777" w:rsidR="00BF7697" w:rsidRPr="00E00F05" w:rsidRDefault="00BF7697" w:rsidP="00252EAF">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9,000</w:t>
            </w:r>
          </w:p>
        </w:tc>
        <w:tc>
          <w:tcPr>
            <w:tcW w:w="1134" w:type="dxa"/>
            <w:hideMark/>
          </w:tcPr>
          <w:p w14:paraId="357F2365" w14:textId="77777777" w:rsidR="00BF7697" w:rsidRPr="00E00F05" w:rsidRDefault="00BF7697" w:rsidP="00252EAF">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7,300</w:t>
            </w:r>
          </w:p>
        </w:tc>
        <w:tc>
          <w:tcPr>
            <w:tcW w:w="1134" w:type="dxa"/>
            <w:hideMark/>
          </w:tcPr>
          <w:p w14:paraId="697DB999" w14:textId="77777777" w:rsidR="00BF7697" w:rsidRPr="00E00F05" w:rsidRDefault="00BF7697" w:rsidP="00252EAF">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7,300</w:t>
            </w:r>
          </w:p>
        </w:tc>
        <w:tc>
          <w:tcPr>
            <w:tcW w:w="1276" w:type="dxa"/>
            <w:hideMark/>
          </w:tcPr>
          <w:p w14:paraId="17460F9B" w14:textId="77777777" w:rsidR="00BF7697" w:rsidRPr="00E00F05" w:rsidRDefault="00BF7697" w:rsidP="00252EAF">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10,200</w:t>
            </w:r>
          </w:p>
        </w:tc>
        <w:tc>
          <w:tcPr>
            <w:tcW w:w="1148" w:type="dxa"/>
            <w:hideMark/>
          </w:tcPr>
          <w:p w14:paraId="75D16BCC" w14:textId="77777777" w:rsidR="00BF7697" w:rsidRPr="00E00F05" w:rsidRDefault="00BF7697" w:rsidP="00252EAF">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14,900</w:t>
            </w:r>
          </w:p>
        </w:tc>
      </w:tr>
      <w:tr w:rsidR="00BF7697" w:rsidRPr="00E00F05" w14:paraId="6E163240"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544" w:type="dxa"/>
            <w:tcBorders>
              <w:bottom w:val="single" w:sz="4" w:space="0" w:color="auto"/>
            </w:tcBorders>
            <w:hideMark/>
          </w:tcPr>
          <w:p w14:paraId="6113BDB1" w14:textId="77777777" w:rsidR="00BF7697" w:rsidRPr="00E00F05" w:rsidRDefault="00BF7697">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sz w:val="20"/>
                <w:szCs w:val="20"/>
                <w:lang w:eastAsia="en-AU"/>
              </w:rPr>
              <w:t>Other</w:t>
            </w:r>
          </w:p>
        </w:tc>
        <w:tc>
          <w:tcPr>
            <w:tcW w:w="1559" w:type="dxa"/>
            <w:tcBorders>
              <w:bottom w:val="single" w:sz="4" w:space="0" w:color="auto"/>
            </w:tcBorders>
            <w:hideMark/>
          </w:tcPr>
          <w:p w14:paraId="4D611547"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35,500</w:t>
            </w:r>
          </w:p>
        </w:tc>
        <w:tc>
          <w:tcPr>
            <w:tcW w:w="1134" w:type="dxa"/>
            <w:tcBorders>
              <w:bottom w:val="single" w:sz="4" w:space="0" w:color="auto"/>
            </w:tcBorders>
            <w:hideMark/>
          </w:tcPr>
          <w:p w14:paraId="207A26CD"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42,100</w:t>
            </w:r>
          </w:p>
        </w:tc>
        <w:tc>
          <w:tcPr>
            <w:tcW w:w="1134" w:type="dxa"/>
            <w:tcBorders>
              <w:bottom w:val="single" w:sz="4" w:space="0" w:color="auto"/>
            </w:tcBorders>
            <w:hideMark/>
          </w:tcPr>
          <w:p w14:paraId="092F506E"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66,400</w:t>
            </w:r>
          </w:p>
        </w:tc>
        <w:tc>
          <w:tcPr>
            <w:tcW w:w="1276" w:type="dxa"/>
            <w:tcBorders>
              <w:bottom w:val="single" w:sz="4" w:space="0" w:color="auto"/>
            </w:tcBorders>
            <w:hideMark/>
          </w:tcPr>
          <w:p w14:paraId="772D4A26"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106,000</w:t>
            </w:r>
          </w:p>
        </w:tc>
        <w:tc>
          <w:tcPr>
            <w:tcW w:w="1148" w:type="dxa"/>
            <w:tcBorders>
              <w:bottom w:val="single" w:sz="4" w:space="0" w:color="auto"/>
            </w:tcBorders>
            <w:hideMark/>
          </w:tcPr>
          <w:p w14:paraId="1F828ADE" w14:textId="77777777" w:rsidR="00BF7697" w:rsidRPr="00E00F05" w:rsidRDefault="00BF7697" w:rsidP="00252EAF">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123,900</w:t>
            </w:r>
          </w:p>
        </w:tc>
      </w:tr>
      <w:tr w:rsidR="00BF7697" w:rsidRPr="00E00F05" w14:paraId="3BCE1D29" w14:textId="77777777" w:rsidTr="00252EAF">
        <w:trPr>
          <w:trHeight w:hRule="exact" w:val="301"/>
        </w:trPr>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auto"/>
              <w:bottom w:val="single" w:sz="4" w:space="0" w:color="auto"/>
            </w:tcBorders>
            <w:shd w:val="clear" w:color="auto" w:fill="D4C5D7"/>
            <w:hideMark/>
          </w:tcPr>
          <w:p w14:paraId="6492A5A7" w14:textId="77777777" w:rsidR="00BF7697" w:rsidRPr="00E00F05" w:rsidRDefault="00BF7697">
            <w:pPr>
              <w:keepNext/>
              <w:spacing w:after="0" w:line="240" w:lineRule="auto"/>
              <w:textAlignment w:val="baseline"/>
              <w:rPr>
                <w:rFonts w:eastAsia="Times New Roman" w:cs="Arial"/>
                <w:b/>
                <w:color w:val="000000"/>
                <w:sz w:val="20"/>
                <w:szCs w:val="20"/>
                <w:lang w:eastAsia="en-AU"/>
              </w:rPr>
            </w:pPr>
            <w:r w:rsidRPr="00E00F05">
              <w:rPr>
                <w:rFonts w:eastAsia="Times New Roman" w:cs="Arial"/>
                <w:b/>
                <w:color w:val="000000"/>
                <w:sz w:val="20"/>
                <w:szCs w:val="20"/>
                <w:lang w:eastAsia="en-AU"/>
              </w:rPr>
              <w:t>Total</w:t>
            </w:r>
          </w:p>
        </w:tc>
        <w:tc>
          <w:tcPr>
            <w:tcW w:w="1559" w:type="dxa"/>
            <w:tcBorders>
              <w:top w:val="single" w:sz="4" w:space="0" w:color="auto"/>
              <w:bottom w:val="single" w:sz="4" w:space="0" w:color="auto"/>
            </w:tcBorders>
            <w:shd w:val="clear" w:color="auto" w:fill="D4C5D7"/>
            <w:hideMark/>
          </w:tcPr>
          <w:p w14:paraId="68E9E0CA" w14:textId="77777777" w:rsidR="00BF7697" w:rsidRPr="00E00F05" w:rsidRDefault="00BF7697" w:rsidP="00252EAF">
            <w:pPr>
              <w:keepNext/>
              <w:spacing w:after="0"/>
              <w:cnfStyle w:val="000000000000" w:firstRow="0" w:lastRow="0" w:firstColumn="0" w:lastColumn="0" w:oddVBand="0" w:evenVBand="0" w:oddHBand="0" w:evenHBand="0" w:firstRowFirstColumn="0" w:firstRowLastColumn="0" w:lastRowFirstColumn="0" w:lastRowLastColumn="0"/>
              <w:rPr>
                <w:rFonts w:cs="Arial"/>
                <w:b/>
                <w:bCs/>
                <w:color w:val="000000"/>
                <w:sz w:val="20"/>
                <w:szCs w:val="20"/>
              </w:rPr>
            </w:pPr>
            <w:r w:rsidRPr="00E00F05">
              <w:rPr>
                <w:rFonts w:cs="Arial"/>
                <w:b/>
                <w:bCs/>
                <w:color w:val="000000"/>
                <w:sz w:val="20"/>
                <w:szCs w:val="20"/>
              </w:rPr>
              <w:t>15,800</w:t>
            </w:r>
          </w:p>
        </w:tc>
        <w:tc>
          <w:tcPr>
            <w:tcW w:w="1134" w:type="dxa"/>
            <w:tcBorders>
              <w:top w:val="single" w:sz="4" w:space="0" w:color="auto"/>
              <w:bottom w:val="single" w:sz="4" w:space="0" w:color="auto"/>
            </w:tcBorders>
            <w:shd w:val="clear" w:color="auto" w:fill="D4C5D7"/>
            <w:hideMark/>
          </w:tcPr>
          <w:p w14:paraId="6F619F83" w14:textId="77777777" w:rsidR="00BF7697" w:rsidRPr="00E00F05" w:rsidRDefault="00BF7697" w:rsidP="00252EAF">
            <w:pPr>
              <w:keepNext/>
              <w:spacing w:after="0"/>
              <w:cnfStyle w:val="000000000000" w:firstRow="0" w:lastRow="0" w:firstColumn="0" w:lastColumn="0" w:oddVBand="0" w:evenVBand="0" w:oddHBand="0" w:evenHBand="0" w:firstRowFirstColumn="0" w:firstRowLastColumn="0" w:lastRowFirstColumn="0" w:lastRowLastColumn="0"/>
              <w:rPr>
                <w:rFonts w:cs="Arial"/>
                <w:b/>
                <w:bCs/>
                <w:color w:val="000000"/>
                <w:sz w:val="20"/>
                <w:szCs w:val="20"/>
              </w:rPr>
            </w:pPr>
            <w:r w:rsidRPr="00E00F05">
              <w:rPr>
                <w:rFonts w:cs="Arial"/>
                <w:b/>
                <w:bCs/>
                <w:color w:val="000000"/>
                <w:sz w:val="20"/>
                <w:szCs w:val="20"/>
              </w:rPr>
              <w:t>20,100</w:t>
            </w:r>
          </w:p>
        </w:tc>
        <w:tc>
          <w:tcPr>
            <w:tcW w:w="1134" w:type="dxa"/>
            <w:tcBorders>
              <w:top w:val="single" w:sz="4" w:space="0" w:color="auto"/>
              <w:bottom w:val="single" w:sz="4" w:space="0" w:color="auto"/>
            </w:tcBorders>
            <w:shd w:val="clear" w:color="auto" w:fill="D4C5D7"/>
            <w:hideMark/>
          </w:tcPr>
          <w:p w14:paraId="0F3167A5" w14:textId="77777777" w:rsidR="00BF7697" w:rsidRPr="00E00F05" w:rsidRDefault="00BF7697" w:rsidP="00252EAF">
            <w:pPr>
              <w:keepNext/>
              <w:spacing w:after="0"/>
              <w:cnfStyle w:val="000000000000" w:firstRow="0" w:lastRow="0" w:firstColumn="0" w:lastColumn="0" w:oddVBand="0" w:evenVBand="0" w:oddHBand="0" w:evenHBand="0" w:firstRowFirstColumn="0" w:firstRowLastColumn="0" w:lastRowFirstColumn="0" w:lastRowLastColumn="0"/>
              <w:rPr>
                <w:rFonts w:cs="Arial"/>
                <w:b/>
                <w:bCs/>
                <w:color w:val="000000"/>
                <w:sz w:val="20"/>
                <w:szCs w:val="20"/>
              </w:rPr>
            </w:pPr>
            <w:r w:rsidRPr="00E00F05">
              <w:rPr>
                <w:rFonts w:cs="Arial"/>
                <w:b/>
                <w:bCs/>
                <w:color w:val="000000"/>
                <w:sz w:val="20"/>
                <w:szCs w:val="20"/>
              </w:rPr>
              <w:t>34,700</w:t>
            </w:r>
          </w:p>
        </w:tc>
        <w:tc>
          <w:tcPr>
            <w:tcW w:w="1276" w:type="dxa"/>
            <w:tcBorders>
              <w:top w:val="single" w:sz="4" w:space="0" w:color="auto"/>
              <w:bottom w:val="single" w:sz="4" w:space="0" w:color="auto"/>
            </w:tcBorders>
            <w:shd w:val="clear" w:color="auto" w:fill="D4C5D7"/>
            <w:hideMark/>
          </w:tcPr>
          <w:p w14:paraId="7561CC93" w14:textId="77777777" w:rsidR="00BF7697" w:rsidRPr="00E00F05" w:rsidRDefault="00BF7697" w:rsidP="00252EAF">
            <w:pPr>
              <w:keepNext/>
              <w:spacing w:after="0"/>
              <w:cnfStyle w:val="000000000000" w:firstRow="0" w:lastRow="0" w:firstColumn="0" w:lastColumn="0" w:oddVBand="0" w:evenVBand="0" w:oddHBand="0" w:evenHBand="0" w:firstRowFirstColumn="0" w:firstRowLastColumn="0" w:lastRowFirstColumn="0" w:lastRowLastColumn="0"/>
              <w:rPr>
                <w:rFonts w:cs="Arial"/>
                <w:b/>
                <w:bCs/>
                <w:color w:val="000000"/>
                <w:sz w:val="20"/>
                <w:szCs w:val="20"/>
              </w:rPr>
            </w:pPr>
            <w:r w:rsidRPr="00E00F05">
              <w:rPr>
                <w:rFonts w:cs="Arial"/>
                <w:b/>
                <w:bCs/>
                <w:color w:val="000000"/>
                <w:sz w:val="20"/>
                <w:szCs w:val="20"/>
              </w:rPr>
              <w:t>66,100</w:t>
            </w:r>
          </w:p>
        </w:tc>
        <w:tc>
          <w:tcPr>
            <w:tcW w:w="1148" w:type="dxa"/>
            <w:tcBorders>
              <w:top w:val="single" w:sz="4" w:space="0" w:color="auto"/>
              <w:bottom w:val="single" w:sz="4" w:space="0" w:color="auto"/>
            </w:tcBorders>
            <w:shd w:val="clear" w:color="auto" w:fill="D4C5D7"/>
            <w:hideMark/>
          </w:tcPr>
          <w:p w14:paraId="43F226FA" w14:textId="77777777" w:rsidR="00BF7697" w:rsidRPr="00E00F05" w:rsidRDefault="00BF7697" w:rsidP="00252EAF">
            <w:pPr>
              <w:keepNext/>
              <w:spacing w:after="0"/>
              <w:cnfStyle w:val="000000000000" w:firstRow="0" w:lastRow="0" w:firstColumn="0" w:lastColumn="0" w:oddVBand="0" w:evenVBand="0" w:oddHBand="0" w:evenHBand="0" w:firstRowFirstColumn="0" w:firstRowLastColumn="0" w:lastRowFirstColumn="0" w:lastRowLastColumn="0"/>
              <w:rPr>
                <w:rFonts w:cs="Arial"/>
                <w:b/>
                <w:bCs/>
                <w:color w:val="000000"/>
                <w:sz w:val="20"/>
                <w:szCs w:val="20"/>
              </w:rPr>
            </w:pPr>
            <w:r w:rsidRPr="00E00F05">
              <w:rPr>
                <w:rFonts w:cs="Arial"/>
                <w:b/>
                <w:bCs/>
                <w:color w:val="000000"/>
                <w:sz w:val="20"/>
                <w:szCs w:val="20"/>
              </w:rPr>
              <w:t>84,800</w:t>
            </w:r>
          </w:p>
        </w:tc>
      </w:tr>
    </w:tbl>
    <w:p w14:paraId="6D418DA7" w14:textId="77777777" w:rsidR="00376051" w:rsidRDefault="00376051" w:rsidP="00444E58">
      <w:pPr>
        <w:pStyle w:val="FSRnormal"/>
        <w:spacing w:before="0" w:after="0"/>
      </w:pPr>
    </w:p>
    <w:tbl>
      <w:tblPr>
        <w:tblStyle w:val="FSRtable"/>
        <w:tblW w:w="4872" w:type="pct"/>
        <w:tblInd w:w="8" w:type="dxa"/>
        <w:tblLook w:val="04A0" w:firstRow="1" w:lastRow="0" w:firstColumn="1" w:lastColumn="0" w:noHBand="0" w:noVBand="1"/>
      </w:tblPr>
      <w:tblGrid>
        <w:gridCol w:w="2544"/>
        <w:gridCol w:w="1559"/>
        <w:gridCol w:w="1134"/>
        <w:gridCol w:w="1134"/>
        <w:gridCol w:w="1276"/>
        <w:gridCol w:w="1148"/>
      </w:tblGrid>
      <w:tr w:rsidR="00DF4B18" w:rsidRPr="00DF4B18" w14:paraId="756FF3BB" w14:textId="77777777" w:rsidTr="00252EAF">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2544" w:type="dxa"/>
            <w:hideMark/>
          </w:tcPr>
          <w:p w14:paraId="06E41EC1" w14:textId="77777777" w:rsidR="00DF4B18" w:rsidRPr="00DF4B18" w:rsidRDefault="00DF4B18" w:rsidP="007B1EE1">
            <w:pPr>
              <w:keepNext/>
              <w:spacing w:after="0" w:line="240" w:lineRule="auto"/>
              <w:textAlignment w:val="baseline"/>
              <w:rPr>
                <w:rFonts w:eastAsia="Times New Roman"/>
                <w:sz w:val="20"/>
                <w:szCs w:val="20"/>
                <w:lang w:eastAsia="en-AU"/>
              </w:rPr>
            </w:pPr>
            <w:r w:rsidRPr="00DF4B18">
              <w:rPr>
                <w:rFonts w:eastAsia="Times New Roman"/>
                <w:bCs/>
                <w:color w:val="FFFFFF"/>
                <w:sz w:val="20"/>
                <w:szCs w:val="20"/>
                <w:lang w:eastAsia="en-AU"/>
              </w:rPr>
              <w:t>Disability Group</w:t>
            </w:r>
            <w:r w:rsidRPr="00DF4B18">
              <w:rPr>
                <w:rFonts w:eastAsia="Times New Roman"/>
                <w:color w:val="FFFFFF"/>
                <w:sz w:val="20"/>
                <w:szCs w:val="20"/>
                <w:lang w:eastAsia="en-AU"/>
              </w:rPr>
              <w:t> </w:t>
            </w:r>
          </w:p>
        </w:tc>
        <w:tc>
          <w:tcPr>
            <w:tcW w:w="1559" w:type="dxa"/>
            <w:hideMark/>
          </w:tcPr>
          <w:p w14:paraId="787C98EB" w14:textId="77777777" w:rsidR="00DF4B18" w:rsidRPr="00DF4B18" w:rsidRDefault="00DF4B18">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DF4B18">
              <w:rPr>
                <w:rFonts w:eastAsia="Times New Roman"/>
                <w:bCs/>
                <w:color w:val="FFFFFF"/>
                <w:sz w:val="20"/>
                <w:szCs w:val="20"/>
                <w:lang w:eastAsia="en-AU"/>
              </w:rPr>
              <w:t>35 to 44</w:t>
            </w:r>
          </w:p>
        </w:tc>
        <w:tc>
          <w:tcPr>
            <w:tcW w:w="1134" w:type="dxa"/>
            <w:hideMark/>
          </w:tcPr>
          <w:p w14:paraId="5F036229" w14:textId="77777777" w:rsidR="00DF4B18" w:rsidRPr="00DF4B18" w:rsidRDefault="00DF4B18">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DF4B18">
              <w:rPr>
                <w:rFonts w:eastAsia="Times New Roman"/>
                <w:bCs/>
                <w:color w:val="FFFFFF"/>
                <w:sz w:val="20"/>
                <w:szCs w:val="20"/>
                <w:lang w:eastAsia="en-AU"/>
              </w:rPr>
              <w:t>45 to 54</w:t>
            </w:r>
          </w:p>
        </w:tc>
        <w:tc>
          <w:tcPr>
            <w:tcW w:w="1134" w:type="dxa"/>
            <w:hideMark/>
          </w:tcPr>
          <w:p w14:paraId="1FD9A33A" w14:textId="77777777" w:rsidR="00DF4B18" w:rsidRPr="00DF4B18" w:rsidRDefault="00DF4B18">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DF4B18">
              <w:rPr>
                <w:rFonts w:eastAsia="Times New Roman"/>
                <w:bCs/>
                <w:color w:val="FFFFFF"/>
                <w:sz w:val="20"/>
                <w:szCs w:val="20"/>
                <w:lang w:eastAsia="en-AU"/>
              </w:rPr>
              <w:t>55 to 64</w:t>
            </w:r>
          </w:p>
        </w:tc>
        <w:tc>
          <w:tcPr>
            <w:tcW w:w="1276" w:type="dxa"/>
            <w:hideMark/>
          </w:tcPr>
          <w:p w14:paraId="7B57A3DC" w14:textId="77777777" w:rsidR="00DF4B18" w:rsidRPr="00DF4B18" w:rsidRDefault="00DF4B18">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DF4B18">
              <w:rPr>
                <w:rFonts w:eastAsia="Times New Roman"/>
                <w:bCs/>
                <w:color w:val="FFFFFF"/>
                <w:sz w:val="20"/>
                <w:szCs w:val="20"/>
                <w:lang w:eastAsia="en-AU"/>
              </w:rPr>
              <w:t>65+</w:t>
            </w:r>
          </w:p>
        </w:tc>
        <w:tc>
          <w:tcPr>
            <w:tcW w:w="1148" w:type="dxa"/>
            <w:hideMark/>
          </w:tcPr>
          <w:p w14:paraId="6C362D2C" w14:textId="77777777" w:rsidR="00DF4B18" w:rsidRPr="00DF4B18" w:rsidRDefault="00DF4B18">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DF4B18">
              <w:rPr>
                <w:rFonts w:eastAsia="Times New Roman"/>
                <w:bCs/>
                <w:color w:val="FFFFFF"/>
                <w:sz w:val="20"/>
                <w:szCs w:val="20"/>
                <w:lang w:eastAsia="en-AU"/>
              </w:rPr>
              <w:t>Total</w:t>
            </w:r>
          </w:p>
        </w:tc>
      </w:tr>
      <w:tr w:rsidR="00DF4B18" w:rsidRPr="00E00F05" w14:paraId="79632AAD" w14:textId="77777777" w:rsidTr="00252EAF">
        <w:trPr>
          <w:trHeight w:hRule="exact" w:val="301"/>
        </w:trPr>
        <w:tc>
          <w:tcPr>
            <w:cnfStyle w:val="001000000000" w:firstRow="0" w:lastRow="0" w:firstColumn="1" w:lastColumn="0" w:oddVBand="0" w:evenVBand="0" w:oddHBand="0" w:evenHBand="0" w:firstRowFirstColumn="0" w:firstRowLastColumn="0" w:lastRowFirstColumn="0" w:lastRowLastColumn="0"/>
            <w:tcW w:w="2544" w:type="dxa"/>
            <w:hideMark/>
          </w:tcPr>
          <w:p w14:paraId="62E64BC9" w14:textId="77777777" w:rsidR="00DF4B18" w:rsidRPr="00E00F05" w:rsidRDefault="00DF4B18"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sz w:val="20"/>
                <w:szCs w:val="20"/>
                <w:lang w:eastAsia="en-AU"/>
              </w:rPr>
              <w:t>Autism</w:t>
            </w:r>
          </w:p>
        </w:tc>
        <w:tc>
          <w:tcPr>
            <w:tcW w:w="1559" w:type="dxa"/>
            <w:hideMark/>
          </w:tcPr>
          <w:p w14:paraId="37F64BCA" w14:textId="77777777" w:rsidR="00DF4B18" w:rsidRPr="00E00F05" w:rsidRDefault="00DF4B18">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94,900</w:t>
            </w:r>
          </w:p>
        </w:tc>
        <w:tc>
          <w:tcPr>
            <w:tcW w:w="1134" w:type="dxa"/>
            <w:hideMark/>
          </w:tcPr>
          <w:p w14:paraId="7EC66231" w14:textId="77777777" w:rsidR="00DF4B18" w:rsidRPr="00E00F05" w:rsidRDefault="00DF4B18">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104,900</w:t>
            </w:r>
          </w:p>
        </w:tc>
        <w:tc>
          <w:tcPr>
            <w:tcW w:w="1134" w:type="dxa"/>
            <w:hideMark/>
          </w:tcPr>
          <w:p w14:paraId="1BB1DB87" w14:textId="77777777" w:rsidR="00DF4B18" w:rsidRPr="00E00F05" w:rsidRDefault="00DF4B18">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119,900</w:t>
            </w:r>
          </w:p>
        </w:tc>
        <w:tc>
          <w:tcPr>
            <w:tcW w:w="1276" w:type="dxa"/>
            <w:hideMark/>
          </w:tcPr>
          <w:p w14:paraId="113F88E9" w14:textId="77777777" w:rsidR="00DF4B18" w:rsidRPr="00E00F05" w:rsidRDefault="00DF4B18">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140,200</w:t>
            </w:r>
          </w:p>
        </w:tc>
        <w:tc>
          <w:tcPr>
            <w:tcW w:w="1148" w:type="dxa"/>
            <w:hideMark/>
          </w:tcPr>
          <w:p w14:paraId="4D741555" w14:textId="77777777" w:rsidR="00DF4B18" w:rsidRPr="00E00F05" w:rsidRDefault="00DF4B18">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31,400</w:t>
            </w:r>
          </w:p>
        </w:tc>
      </w:tr>
      <w:tr w:rsidR="00DF4B18" w:rsidRPr="00E00F05" w14:paraId="433ED640"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544" w:type="dxa"/>
            <w:hideMark/>
          </w:tcPr>
          <w:p w14:paraId="6C693604" w14:textId="77777777" w:rsidR="00DF4B18" w:rsidRPr="00E00F05" w:rsidRDefault="00DF4B18"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sz w:val="20"/>
                <w:szCs w:val="20"/>
                <w:lang w:eastAsia="en-AU"/>
              </w:rPr>
              <w:t>Intellectual Disability</w:t>
            </w:r>
          </w:p>
        </w:tc>
        <w:tc>
          <w:tcPr>
            <w:tcW w:w="1559" w:type="dxa"/>
            <w:hideMark/>
          </w:tcPr>
          <w:p w14:paraId="1B4A2B5F"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114,400</w:t>
            </w:r>
          </w:p>
        </w:tc>
        <w:tc>
          <w:tcPr>
            <w:tcW w:w="1134" w:type="dxa"/>
            <w:hideMark/>
          </w:tcPr>
          <w:p w14:paraId="076E8EFE"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137,900</w:t>
            </w:r>
          </w:p>
        </w:tc>
        <w:tc>
          <w:tcPr>
            <w:tcW w:w="1134" w:type="dxa"/>
            <w:hideMark/>
          </w:tcPr>
          <w:p w14:paraId="37705195"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150,300</w:t>
            </w:r>
          </w:p>
        </w:tc>
        <w:tc>
          <w:tcPr>
            <w:tcW w:w="1276" w:type="dxa"/>
            <w:hideMark/>
          </w:tcPr>
          <w:p w14:paraId="6AF69A84"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164,900</w:t>
            </w:r>
          </w:p>
        </w:tc>
        <w:tc>
          <w:tcPr>
            <w:tcW w:w="1148" w:type="dxa"/>
            <w:hideMark/>
          </w:tcPr>
          <w:p w14:paraId="1192AE8B"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88,400</w:t>
            </w:r>
          </w:p>
        </w:tc>
      </w:tr>
      <w:tr w:rsidR="00DF4B18" w:rsidRPr="00E00F05" w14:paraId="180C74EB" w14:textId="77777777" w:rsidTr="00252EAF">
        <w:trPr>
          <w:trHeight w:hRule="exact" w:val="301"/>
        </w:trPr>
        <w:tc>
          <w:tcPr>
            <w:cnfStyle w:val="001000000000" w:firstRow="0" w:lastRow="0" w:firstColumn="1" w:lastColumn="0" w:oddVBand="0" w:evenVBand="0" w:oddHBand="0" w:evenHBand="0" w:firstRowFirstColumn="0" w:firstRowLastColumn="0" w:lastRowFirstColumn="0" w:lastRowLastColumn="0"/>
            <w:tcW w:w="2544" w:type="dxa"/>
            <w:hideMark/>
          </w:tcPr>
          <w:p w14:paraId="5CAE213A" w14:textId="77777777" w:rsidR="00DF4B18" w:rsidRPr="00E00F05" w:rsidRDefault="00DF4B18"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sz w:val="20"/>
                <w:szCs w:val="20"/>
                <w:lang w:eastAsia="en-AU"/>
              </w:rPr>
              <w:t>Psychosocial Disability</w:t>
            </w:r>
          </w:p>
        </w:tc>
        <w:tc>
          <w:tcPr>
            <w:tcW w:w="1559" w:type="dxa"/>
            <w:hideMark/>
          </w:tcPr>
          <w:p w14:paraId="1F3D8EF4" w14:textId="77777777" w:rsidR="00DF4B18" w:rsidRPr="00E00F05" w:rsidRDefault="00DF4B18">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58,100</w:t>
            </w:r>
          </w:p>
        </w:tc>
        <w:tc>
          <w:tcPr>
            <w:tcW w:w="1134" w:type="dxa"/>
            <w:hideMark/>
          </w:tcPr>
          <w:p w14:paraId="17A1FB2A" w14:textId="77777777" w:rsidR="00DF4B18" w:rsidRPr="00E00F05" w:rsidRDefault="00DF4B18">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56,300</w:t>
            </w:r>
          </w:p>
        </w:tc>
        <w:tc>
          <w:tcPr>
            <w:tcW w:w="1134" w:type="dxa"/>
            <w:hideMark/>
          </w:tcPr>
          <w:p w14:paraId="3C2D298A" w14:textId="77777777" w:rsidR="00DF4B18" w:rsidRPr="00E00F05" w:rsidRDefault="00DF4B18">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60,700</w:t>
            </w:r>
          </w:p>
        </w:tc>
        <w:tc>
          <w:tcPr>
            <w:tcW w:w="1276" w:type="dxa"/>
            <w:hideMark/>
          </w:tcPr>
          <w:p w14:paraId="2B9F5E36" w14:textId="77777777" w:rsidR="00DF4B18" w:rsidRPr="00E00F05" w:rsidRDefault="00DF4B18">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64,600</w:t>
            </w:r>
          </w:p>
        </w:tc>
        <w:tc>
          <w:tcPr>
            <w:tcW w:w="1148" w:type="dxa"/>
            <w:hideMark/>
          </w:tcPr>
          <w:p w14:paraId="1BEE179C" w14:textId="77777777" w:rsidR="00DF4B18" w:rsidRPr="00E00F05" w:rsidRDefault="00DF4B18">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58,800</w:t>
            </w:r>
          </w:p>
        </w:tc>
      </w:tr>
      <w:tr w:rsidR="00DF4B18" w:rsidRPr="00E00F05" w14:paraId="65F9089A"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544" w:type="dxa"/>
            <w:hideMark/>
          </w:tcPr>
          <w:p w14:paraId="30EE2C85" w14:textId="77777777" w:rsidR="00DF4B18" w:rsidRPr="00E00F05" w:rsidRDefault="00DF4B18"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sz w:val="20"/>
                <w:szCs w:val="20"/>
                <w:lang w:eastAsia="en-AU"/>
              </w:rPr>
              <w:t>Developmental Delay</w:t>
            </w:r>
          </w:p>
        </w:tc>
        <w:tc>
          <w:tcPr>
            <w:tcW w:w="1559" w:type="dxa"/>
          </w:tcPr>
          <w:p w14:paraId="3C2EB94B"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sz w:val="20"/>
                <w:szCs w:val="20"/>
              </w:rPr>
            </w:pPr>
            <w:r w:rsidRPr="00E00F05">
              <w:rPr>
                <w:rFonts w:cs="Arial"/>
                <w:sz w:val="20"/>
                <w:szCs w:val="20"/>
              </w:rPr>
              <w:t> </w:t>
            </w:r>
          </w:p>
        </w:tc>
        <w:tc>
          <w:tcPr>
            <w:tcW w:w="1134" w:type="dxa"/>
          </w:tcPr>
          <w:p w14:paraId="678736F4"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sz w:val="20"/>
                <w:szCs w:val="20"/>
              </w:rPr>
            </w:pPr>
          </w:p>
        </w:tc>
        <w:tc>
          <w:tcPr>
            <w:tcW w:w="1134" w:type="dxa"/>
          </w:tcPr>
          <w:p w14:paraId="49541E22"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sz w:val="20"/>
                <w:szCs w:val="20"/>
              </w:rPr>
            </w:pPr>
          </w:p>
        </w:tc>
        <w:tc>
          <w:tcPr>
            <w:tcW w:w="1276" w:type="dxa"/>
          </w:tcPr>
          <w:p w14:paraId="3B14E2FB"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sz w:val="20"/>
                <w:szCs w:val="20"/>
              </w:rPr>
            </w:pPr>
          </w:p>
        </w:tc>
        <w:tc>
          <w:tcPr>
            <w:tcW w:w="1148" w:type="dxa"/>
            <w:hideMark/>
          </w:tcPr>
          <w:p w14:paraId="2B548EDA"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sz w:val="20"/>
                <w:szCs w:val="20"/>
              </w:rPr>
            </w:pPr>
            <w:r w:rsidRPr="00E00F05">
              <w:rPr>
                <w:rFonts w:cs="Arial"/>
                <w:sz w:val="20"/>
                <w:szCs w:val="20"/>
              </w:rPr>
              <w:t>11,800</w:t>
            </w:r>
          </w:p>
        </w:tc>
      </w:tr>
      <w:tr w:rsidR="00DF4B18" w:rsidRPr="00E00F05" w14:paraId="59704AD2" w14:textId="77777777" w:rsidTr="00252EAF">
        <w:trPr>
          <w:trHeight w:hRule="exact" w:val="301"/>
        </w:trPr>
        <w:tc>
          <w:tcPr>
            <w:cnfStyle w:val="001000000000" w:firstRow="0" w:lastRow="0" w:firstColumn="1" w:lastColumn="0" w:oddVBand="0" w:evenVBand="0" w:oddHBand="0" w:evenHBand="0" w:firstRowFirstColumn="0" w:firstRowLastColumn="0" w:lastRowFirstColumn="0" w:lastRowLastColumn="0"/>
            <w:tcW w:w="2544" w:type="dxa"/>
            <w:hideMark/>
          </w:tcPr>
          <w:p w14:paraId="1DCBD9C2" w14:textId="77777777" w:rsidR="00DF4B18" w:rsidRPr="00E00F05" w:rsidRDefault="00DF4B18"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sz w:val="20"/>
                <w:szCs w:val="20"/>
                <w:lang w:eastAsia="en-AU"/>
              </w:rPr>
              <w:t>Sensory</w:t>
            </w:r>
          </w:p>
        </w:tc>
        <w:tc>
          <w:tcPr>
            <w:tcW w:w="1559" w:type="dxa"/>
            <w:hideMark/>
          </w:tcPr>
          <w:p w14:paraId="306DAAD7" w14:textId="77777777" w:rsidR="00DF4B18" w:rsidRPr="00E00F05" w:rsidRDefault="00DF4B18">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21,700</w:t>
            </w:r>
          </w:p>
        </w:tc>
        <w:tc>
          <w:tcPr>
            <w:tcW w:w="1134" w:type="dxa"/>
            <w:hideMark/>
          </w:tcPr>
          <w:p w14:paraId="7A3FB8E4" w14:textId="77777777" w:rsidR="00DF4B18" w:rsidRPr="00E00F05" w:rsidRDefault="00DF4B18">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23,000</w:t>
            </w:r>
          </w:p>
        </w:tc>
        <w:tc>
          <w:tcPr>
            <w:tcW w:w="1134" w:type="dxa"/>
            <w:hideMark/>
          </w:tcPr>
          <w:p w14:paraId="79A50B45" w14:textId="77777777" w:rsidR="00DF4B18" w:rsidRPr="00E00F05" w:rsidRDefault="00DF4B18">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22,300</w:t>
            </w:r>
          </w:p>
        </w:tc>
        <w:tc>
          <w:tcPr>
            <w:tcW w:w="1276" w:type="dxa"/>
            <w:hideMark/>
          </w:tcPr>
          <w:p w14:paraId="4BAE4D6D" w14:textId="77777777" w:rsidR="00DF4B18" w:rsidRPr="00E00F05" w:rsidRDefault="00DF4B18">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23,300</w:t>
            </w:r>
          </w:p>
        </w:tc>
        <w:tc>
          <w:tcPr>
            <w:tcW w:w="1148" w:type="dxa"/>
            <w:hideMark/>
          </w:tcPr>
          <w:p w14:paraId="78DD3612" w14:textId="77777777" w:rsidR="00DF4B18" w:rsidRPr="00E00F05" w:rsidRDefault="00DF4B18">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14,900</w:t>
            </w:r>
          </w:p>
        </w:tc>
      </w:tr>
      <w:tr w:rsidR="00DF4B18" w:rsidRPr="00E00F05" w14:paraId="7C3B1237"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2544" w:type="dxa"/>
            <w:tcBorders>
              <w:bottom w:val="single" w:sz="4" w:space="0" w:color="auto"/>
            </w:tcBorders>
            <w:hideMark/>
          </w:tcPr>
          <w:p w14:paraId="43F344E9" w14:textId="77777777" w:rsidR="00DF4B18" w:rsidRPr="00E00F05" w:rsidRDefault="00DF4B18"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sz w:val="20"/>
                <w:szCs w:val="20"/>
                <w:lang w:eastAsia="en-AU"/>
              </w:rPr>
              <w:t>Other</w:t>
            </w:r>
          </w:p>
        </w:tc>
        <w:tc>
          <w:tcPr>
            <w:tcW w:w="1559" w:type="dxa"/>
            <w:tcBorders>
              <w:bottom w:val="single" w:sz="4" w:space="0" w:color="auto"/>
            </w:tcBorders>
            <w:hideMark/>
          </w:tcPr>
          <w:p w14:paraId="66A78AB0"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113,300</w:t>
            </w:r>
          </w:p>
        </w:tc>
        <w:tc>
          <w:tcPr>
            <w:tcW w:w="1134" w:type="dxa"/>
            <w:tcBorders>
              <w:bottom w:val="single" w:sz="4" w:space="0" w:color="auto"/>
            </w:tcBorders>
            <w:hideMark/>
          </w:tcPr>
          <w:p w14:paraId="44807F4B"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107,700</w:t>
            </w:r>
          </w:p>
        </w:tc>
        <w:tc>
          <w:tcPr>
            <w:tcW w:w="1134" w:type="dxa"/>
            <w:tcBorders>
              <w:bottom w:val="single" w:sz="4" w:space="0" w:color="auto"/>
            </w:tcBorders>
            <w:hideMark/>
          </w:tcPr>
          <w:p w14:paraId="10A035AB"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101,000</w:t>
            </w:r>
          </w:p>
        </w:tc>
        <w:tc>
          <w:tcPr>
            <w:tcW w:w="1276" w:type="dxa"/>
            <w:tcBorders>
              <w:bottom w:val="single" w:sz="4" w:space="0" w:color="auto"/>
            </w:tcBorders>
            <w:hideMark/>
          </w:tcPr>
          <w:p w14:paraId="6D37974B"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97,000</w:t>
            </w:r>
          </w:p>
        </w:tc>
        <w:tc>
          <w:tcPr>
            <w:tcW w:w="1148" w:type="dxa"/>
            <w:tcBorders>
              <w:bottom w:val="single" w:sz="4" w:space="0" w:color="auto"/>
            </w:tcBorders>
            <w:hideMark/>
          </w:tcPr>
          <w:p w14:paraId="08B3FE9A" w14:textId="77777777" w:rsidR="00DF4B18" w:rsidRPr="00E00F05" w:rsidRDefault="00DF4B18">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97,000</w:t>
            </w:r>
          </w:p>
        </w:tc>
      </w:tr>
      <w:tr w:rsidR="00DF4B18" w:rsidRPr="00E00F05" w14:paraId="0C09A84E" w14:textId="77777777" w:rsidTr="00252EAF">
        <w:trPr>
          <w:trHeight w:hRule="exact" w:val="301"/>
        </w:trPr>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auto"/>
              <w:bottom w:val="nil"/>
            </w:tcBorders>
            <w:shd w:val="clear" w:color="auto" w:fill="D4C5D7"/>
            <w:hideMark/>
          </w:tcPr>
          <w:p w14:paraId="0136B1A2" w14:textId="77777777" w:rsidR="00DF4B18" w:rsidRPr="00E00F05" w:rsidRDefault="00DF4B18" w:rsidP="007B1EE1">
            <w:pPr>
              <w:keepNext/>
              <w:spacing w:after="0" w:line="240" w:lineRule="auto"/>
              <w:textAlignment w:val="baseline"/>
              <w:rPr>
                <w:rFonts w:eastAsia="Times New Roman" w:cs="Arial"/>
                <w:sz w:val="20"/>
                <w:szCs w:val="20"/>
                <w:lang w:eastAsia="en-AU"/>
              </w:rPr>
            </w:pPr>
            <w:r w:rsidRPr="00E00F05">
              <w:rPr>
                <w:rFonts w:eastAsia="Times New Roman" w:cs="Arial"/>
                <w:b/>
                <w:bCs/>
                <w:color w:val="000000"/>
                <w:sz w:val="20"/>
                <w:szCs w:val="20"/>
                <w:lang w:eastAsia="en-AU"/>
              </w:rPr>
              <w:t>Total</w:t>
            </w:r>
          </w:p>
        </w:tc>
        <w:tc>
          <w:tcPr>
            <w:tcW w:w="1559" w:type="dxa"/>
            <w:tcBorders>
              <w:top w:val="single" w:sz="4" w:space="0" w:color="auto"/>
              <w:bottom w:val="nil"/>
            </w:tcBorders>
            <w:shd w:val="clear" w:color="auto" w:fill="D4C5D7"/>
            <w:hideMark/>
          </w:tcPr>
          <w:p w14:paraId="2A494BD3" w14:textId="77777777" w:rsidR="00DF4B18" w:rsidRPr="00E00F05" w:rsidRDefault="00DF4B18">
            <w:pPr>
              <w:keepNext/>
              <w:spacing w:after="0"/>
              <w:cnfStyle w:val="000000000000" w:firstRow="0" w:lastRow="0" w:firstColumn="0" w:lastColumn="0" w:oddVBand="0" w:evenVBand="0" w:oddHBand="0" w:evenHBand="0" w:firstRowFirstColumn="0" w:firstRowLastColumn="0" w:lastRowFirstColumn="0" w:lastRowLastColumn="0"/>
              <w:rPr>
                <w:rFonts w:cs="Arial"/>
                <w:b/>
                <w:bCs/>
                <w:color w:val="000000"/>
                <w:sz w:val="20"/>
                <w:szCs w:val="20"/>
              </w:rPr>
            </w:pPr>
            <w:r w:rsidRPr="00E00F05">
              <w:rPr>
                <w:rFonts w:cs="Arial"/>
                <w:b/>
                <w:bCs/>
                <w:color w:val="000000"/>
                <w:sz w:val="20"/>
                <w:szCs w:val="20"/>
              </w:rPr>
              <w:t>88,800</w:t>
            </w:r>
          </w:p>
        </w:tc>
        <w:tc>
          <w:tcPr>
            <w:tcW w:w="1134" w:type="dxa"/>
            <w:tcBorders>
              <w:top w:val="single" w:sz="4" w:space="0" w:color="auto"/>
              <w:bottom w:val="nil"/>
            </w:tcBorders>
            <w:shd w:val="clear" w:color="auto" w:fill="D4C5D7"/>
            <w:hideMark/>
          </w:tcPr>
          <w:p w14:paraId="58EEAB6E" w14:textId="77777777" w:rsidR="00DF4B18" w:rsidRPr="00E00F05" w:rsidRDefault="00DF4B18">
            <w:pPr>
              <w:keepNext/>
              <w:spacing w:after="0"/>
              <w:cnfStyle w:val="000000000000" w:firstRow="0" w:lastRow="0" w:firstColumn="0" w:lastColumn="0" w:oddVBand="0" w:evenVBand="0" w:oddHBand="0" w:evenHBand="0" w:firstRowFirstColumn="0" w:firstRowLastColumn="0" w:lastRowFirstColumn="0" w:lastRowLastColumn="0"/>
              <w:rPr>
                <w:rFonts w:cs="Arial"/>
                <w:b/>
                <w:bCs/>
                <w:color w:val="000000"/>
                <w:sz w:val="20"/>
                <w:szCs w:val="20"/>
              </w:rPr>
            </w:pPr>
            <w:r w:rsidRPr="00E00F05">
              <w:rPr>
                <w:rFonts w:cs="Arial"/>
                <w:b/>
                <w:bCs/>
                <w:color w:val="000000"/>
                <w:sz w:val="20"/>
                <w:szCs w:val="20"/>
              </w:rPr>
              <w:t>90,600</w:t>
            </w:r>
          </w:p>
        </w:tc>
        <w:tc>
          <w:tcPr>
            <w:tcW w:w="1134" w:type="dxa"/>
            <w:tcBorders>
              <w:top w:val="single" w:sz="4" w:space="0" w:color="auto"/>
              <w:bottom w:val="nil"/>
            </w:tcBorders>
            <w:shd w:val="clear" w:color="auto" w:fill="D4C5D7"/>
            <w:hideMark/>
          </w:tcPr>
          <w:p w14:paraId="57336EC4" w14:textId="77777777" w:rsidR="00DF4B18" w:rsidRPr="00E00F05" w:rsidRDefault="00DF4B18">
            <w:pPr>
              <w:keepNext/>
              <w:spacing w:after="0"/>
              <w:cnfStyle w:val="000000000000" w:firstRow="0" w:lastRow="0" w:firstColumn="0" w:lastColumn="0" w:oddVBand="0" w:evenVBand="0" w:oddHBand="0" w:evenHBand="0" w:firstRowFirstColumn="0" w:firstRowLastColumn="0" w:lastRowFirstColumn="0" w:lastRowLastColumn="0"/>
              <w:rPr>
                <w:rFonts w:cs="Arial"/>
                <w:b/>
                <w:bCs/>
                <w:color w:val="000000"/>
                <w:sz w:val="20"/>
                <w:szCs w:val="20"/>
              </w:rPr>
            </w:pPr>
            <w:r w:rsidRPr="00E00F05">
              <w:rPr>
                <w:rFonts w:cs="Arial"/>
                <w:b/>
                <w:bCs/>
                <w:color w:val="000000"/>
                <w:sz w:val="20"/>
                <w:szCs w:val="20"/>
              </w:rPr>
              <w:t>91,600</w:t>
            </w:r>
          </w:p>
        </w:tc>
        <w:tc>
          <w:tcPr>
            <w:tcW w:w="1276" w:type="dxa"/>
            <w:tcBorders>
              <w:top w:val="single" w:sz="4" w:space="0" w:color="auto"/>
              <w:bottom w:val="nil"/>
            </w:tcBorders>
            <w:shd w:val="clear" w:color="auto" w:fill="D4C5D7"/>
            <w:hideMark/>
          </w:tcPr>
          <w:p w14:paraId="6B2D4897" w14:textId="77777777" w:rsidR="00DF4B18" w:rsidRPr="00E00F05" w:rsidRDefault="00DF4B18">
            <w:pPr>
              <w:keepNext/>
              <w:spacing w:after="0"/>
              <w:cnfStyle w:val="000000000000" w:firstRow="0" w:lastRow="0" w:firstColumn="0" w:lastColumn="0" w:oddVBand="0" w:evenVBand="0" w:oddHBand="0" w:evenHBand="0" w:firstRowFirstColumn="0" w:firstRowLastColumn="0" w:lastRowFirstColumn="0" w:lastRowLastColumn="0"/>
              <w:rPr>
                <w:rFonts w:cs="Arial"/>
                <w:b/>
                <w:bCs/>
                <w:color w:val="000000"/>
                <w:sz w:val="20"/>
                <w:szCs w:val="20"/>
              </w:rPr>
            </w:pPr>
            <w:r w:rsidRPr="00E00F05">
              <w:rPr>
                <w:rFonts w:cs="Arial"/>
                <w:b/>
                <w:bCs/>
                <w:color w:val="000000"/>
                <w:sz w:val="20"/>
                <w:szCs w:val="20"/>
              </w:rPr>
              <w:t>93,000</w:t>
            </w:r>
          </w:p>
        </w:tc>
        <w:tc>
          <w:tcPr>
            <w:tcW w:w="1148" w:type="dxa"/>
            <w:tcBorders>
              <w:top w:val="single" w:sz="4" w:space="0" w:color="auto"/>
              <w:bottom w:val="nil"/>
            </w:tcBorders>
            <w:shd w:val="clear" w:color="auto" w:fill="D4C5D7"/>
            <w:hideMark/>
          </w:tcPr>
          <w:p w14:paraId="4346BE91" w14:textId="77777777" w:rsidR="00DF4B18" w:rsidRPr="00E00F05" w:rsidRDefault="00DF4B18">
            <w:pPr>
              <w:keepNext/>
              <w:spacing w:after="0"/>
              <w:cnfStyle w:val="000000000000" w:firstRow="0" w:lastRow="0" w:firstColumn="0" w:lastColumn="0" w:oddVBand="0" w:evenVBand="0" w:oddHBand="0" w:evenHBand="0" w:firstRowFirstColumn="0" w:firstRowLastColumn="0" w:lastRowFirstColumn="0" w:lastRowLastColumn="0"/>
              <w:rPr>
                <w:rFonts w:cs="Arial"/>
                <w:b/>
                <w:bCs/>
                <w:color w:val="000000"/>
                <w:sz w:val="20"/>
                <w:szCs w:val="20"/>
              </w:rPr>
            </w:pPr>
            <w:r w:rsidRPr="00E00F05">
              <w:rPr>
                <w:rFonts w:cs="Arial"/>
                <w:b/>
                <w:bCs/>
                <w:color w:val="000000"/>
                <w:sz w:val="20"/>
                <w:szCs w:val="20"/>
              </w:rPr>
              <w:t>53,700</w:t>
            </w:r>
          </w:p>
        </w:tc>
      </w:tr>
    </w:tbl>
    <w:p w14:paraId="698A73D4" w14:textId="77777777" w:rsidR="00BF7697" w:rsidRPr="00A55A6D" w:rsidRDefault="00BF7697" w:rsidP="00A55A6D">
      <w:pPr>
        <w:pStyle w:val="FSRnormal"/>
      </w:pPr>
      <w:r w:rsidRPr="00A55A6D">
        <w:t>The projected average annual payment assu</w:t>
      </w:r>
      <w:r w:rsidR="00585AA2">
        <w:t>mptions, by support category, disability and</w:t>
      </w:r>
      <w:r w:rsidRPr="00A55A6D">
        <w:t xml:space="preserve"> age band, for the 2022-23 financial year are shown in </w:t>
      </w:r>
      <w:r w:rsidR="000F7D23" w:rsidRPr="00A561EF">
        <w:t xml:space="preserve">Table </w:t>
      </w:r>
      <w:r w:rsidR="000F7D23">
        <w:rPr>
          <w:noProof/>
        </w:rPr>
        <w:t>5</w:t>
      </w:r>
      <w:r w:rsidR="000F7D23">
        <w:t>.</w:t>
      </w:r>
      <w:r w:rsidR="000F7D23">
        <w:rPr>
          <w:noProof/>
        </w:rPr>
        <w:t>19</w:t>
      </w:r>
      <w:r w:rsidRPr="00A55A6D">
        <w:t xml:space="preserve">. </w:t>
      </w:r>
    </w:p>
    <w:p w14:paraId="7F8A6E65" w14:textId="77777777" w:rsidR="00BF7697" w:rsidRPr="000C2B79" w:rsidRDefault="00BF7697" w:rsidP="00A55A6D">
      <w:pPr>
        <w:pStyle w:val="Tables"/>
        <w:rPr>
          <w:sz w:val="36"/>
          <w:szCs w:val="36"/>
        </w:rPr>
      </w:pPr>
      <w:bookmarkStart w:id="227" w:name="_Ref111630151"/>
      <w:bookmarkStart w:id="228" w:name="_Ref111898468"/>
      <w:r w:rsidRPr="00A561EF">
        <w:lastRenderedPageBreak/>
        <w:t xml:space="preserve">Table </w:t>
      </w:r>
      <w:bookmarkEnd w:id="227"/>
      <w:r w:rsidR="00A87896">
        <w:fldChar w:fldCharType="begin"/>
      </w:r>
      <w:r w:rsidR="00A87896">
        <w:instrText xml:space="preserve"> STYLEREF 2 \s </w:instrText>
      </w:r>
      <w:r w:rsidR="00A87896">
        <w:fldChar w:fldCharType="separate"/>
      </w:r>
      <w:r w:rsidR="00A87896">
        <w:rPr>
          <w:noProof/>
        </w:rPr>
        <w:t>5</w:t>
      </w:r>
      <w:r w:rsidR="00A87896">
        <w:fldChar w:fldCharType="end"/>
      </w:r>
      <w:r w:rsidR="00A87896">
        <w:t>.</w:t>
      </w:r>
      <w:fldSimple w:instr=" SEQ Table \* ARABIC \s 2 ">
        <w:r w:rsidR="00A87896">
          <w:rPr>
            <w:noProof/>
          </w:rPr>
          <w:t>19</w:t>
        </w:r>
      </w:fldSimple>
      <w:bookmarkEnd w:id="228"/>
      <w:r w:rsidRPr="00A561EF">
        <w:t>:</w:t>
      </w:r>
      <w:r>
        <w:t xml:space="preserve"> </w:t>
      </w:r>
      <w:r w:rsidRPr="000C2B79">
        <w:t>Average annual payments ($) by age b</w:t>
      </w:r>
      <w:r>
        <w:t>and and support category in 2022-23</w:t>
      </w:r>
      <w:r w:rsidRPr="000C2B79">
        <w:t xml:space="preserve"> (2022-23 dollars</w:t>
      </w:r>
      <w:r w:rsidRPr="008600EF">
        <w:t>)</w:t>
      </w:r>
      <w:r w:rsidR="009A3610">
        <w:rPr>
          <w:rStyle w:val="FootnoteReference"/>
        </w:rPr>
        <w:footnoteReference w:id="102"/>
      </w:r>
    </w:p>
    <w:tbl>
      <w:tblPr>
        <w:tblStyle w:val="FSRtable"/>
        <w:tblW w:w="5000" w:type="pct"/>
        <w:tblInd w:w="8" w:type="dxa"/>
        <w:tblLook w:val="04A0" w:firstRow="1" w:lastRow="0" w:firstColumn="1" w:lastColumn="0" w:noHBand="0" w:noVBand="1"/>
      </w:tblPr>
      <w:tblGrid>
        <w:gridCol w:w="3372"/>
        <w:gridCol w:w="991"/>
        <w:gridCol w:w="1131"/>
        <w:gridCol w:w="1270"/>
        <w:gridCol w:w="1131"/>
        <w:gridCol w:w="1131"/>
      </w:tblGrid>
      <w:tr w:rsidR="00BF7697" w:rsidRPr="00E00F05" w14:paraId="79D4F5F8" w14:textId="77777777" w:rsidTr="00252EAF">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3372" w:type="dxa"/>
            <w:hideMark/>
          </w:tcPr>
          <w:p w14:paraId="7CBA057C" w14:textId="77777777" w:rsidR="00BF7697" w:rsidRPr="00E00F05" w:rsidRDefault="00BF7697" w:rsidP="00E00F05">
            <w:pPr>
              <w:keepNext/>
              <w:spacing w:after="0" w:line="240" w:lineRule="auto"/>
              <w:textAlignment w:val="baseline"/>
              <w:rPr>
                <w:rFonts w:eastAsia="Times New Roman"/>
                <w:sz w:val="20"/>
                <w:szCs w:val="20"/>
                <w:lang w:eastAsia="en-AU"/>
              </w:rPr>
            </w:pPr>
            <w:r w:rsidRPr="00E00F05">
              <w:rPr>
                <w:rFonts w:eastAsia="Times New Roman"/>
                <w:bCs/>
                <w:color w:val="FFFFFF"/>
                <w:sz w:val="20"/>
                <w:szCs w:val="20"/>
                <w:lang w:eastAsia="en-AU"/>
              </w:rPr>
              <w:t>Support Category</w:t>
            </w:r>
            <w:r w:rsidRPr="00E00F05">
              <w:rPr>
                <w:rFonts w:eastAsia="Times New Roman"/>
                <w:color w:val="FFFFFF"/>
                <w:sz w:val="20"/>
                <w:szCs w:val="20"/>
                <w:lang w:eastAsia="en-AU"/>
              </w:rPr>
              <w:t> </w:t>
            </w:r>
          </w:p>
        </w:tc>
        <w:tc>
          <w:tcPr>
            <w:tcW w:w="991" w:type="dxa"/>
            <w:hideMark/>
          </w:tcPr>
          <w:p w14:paraId="07715C5D" w14:textId="77777777" w:rsidR="00BF7697" w:rsidRPr="00E00F05" w:rsidRDefault="00BF7697">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E00F05">
              <w:rPr>
                <w:rFonts w:eastAsia="Times New Roman"/>
                <w:bCs/>
                <w:color w:val="FFFFFF"/>
                <w:sz w:val="20"/>
                <w:szCs w:val="20"/>
                <w:lang w:eastAsia="en-AU"/>
              </w:rPr>
              <w:t>0 to 6</w:t>
            </w:r>
          </w:p>
        </w:tc>
        <w:tc>
          <w:tcPr>
            <w:tcW w:w="1131" w:type="dxa"/>
            <w:hideMark/>
          </w:tcPr>
          <w:p w14:paraId="22F10812" w14:textId="77777777" w:rsidR="00BF7697" w:rsidRPr="00E00F05" w:rsidRDefault="00BF7697">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E00F05">
              <w:rPr>
                <w:rFonts w:eastAsia="Times New Roman"/>
                <w:bCs/>
                <w:color w:val="FFFFFF"/>
                <w:sz w:val="20"/>
                <w:szCs w:val="20"/>
                <w:lang w:eastAsia="en-AU"/>
              </w:rPr>
              <w:t>7 to 14</w:t>
            </w:r>
          </w:p>
        </w:tc>
        <w:tc>
          <w:tcPr>
            <w:tcW w:w="1270" w:type="dxa"/>
            <w:hideMark/>
          </w:tcPr>
          <w:p w14:paraId="13CF5B6E" w14:textId="77777777" w:rsidR="00BF7697" w:rsidRPr="00E00F05" w:rsidRDefault="00BF7697">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E00F05">
              <w:rPr>
                <w:rFonts w:eastAsia="Times New Roman"/>
                <w:bCs/>
                <w:color w:val="FFFFFF"/>
                <w:sz w:val="20"/>
                <w:szCs w:val="20"/>
                <w:lang w:eastAsia="en-AU"/>
              </w:rPr>
              <w:t>15 to 18</w:t>
            </w:r>
          </w:p>
        </w:tc>
        <w:tc>
          <w:tcPr>
            <w:tcW w:w="1131" w:type="dxa"/>
            <w:hideMark/>
          </w:tcPr>
          <w:p w14:paraId="14F349FB" w14:textId="77777777" w:rsidR="00BF7697" w:rsidRPr="00E00F05" w:rsidRDefault="00BF7697">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E00F05">
              <w:rPr>
                <w:rFonts w:eastAsia="Times New Roman"/>
                <w:bCs/>
                <w:color w:val="FFFFFF"/>
                <w:sz w:val="20"/>
                <w:szCs w:val="20"/>
                <w:lang w:eastAsia="en-AU"/>
              </w:rPr>
              <w:t>19 to 24</w:t>
            </w:r>
          </w:p>
        </w:tc>
        <w:tc>
          <w:tcPr>
            <w:tcW w:w="1131" w:type="dxa"/>
            <w:hideMark/>
          </w:tcPr>
          <w:p w14:paraId="5469CC71" w14:textId="77777777" w:rsidR="00BF7697" w:rsidRPr="00E00F05" w:rsidRDefault="00BF7697">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E00F05">
              <w:rPr>
                <w:rFonts w:eastAsia="Times New Roman"/>
                <w:bCs/>
                <w:color w:val="FFFFFF"/>
                <w:sz w:val="20"/>
                <w:szCs w:val="20"/>
                <w:lang w:eastAsia="en-AU"/>
              </w:rPr>
              <w:t>25 to 34</w:t>
            </w:r>
          </w:p>
        </w:tc>
      </w:tr>
      <w:tr w:rsidR="00BF7697" w:rsidRPr="00E00F05" w14:paraId="726F8FA0" w14:textId="77777777" w:rsidTr="00252EAF">
        <w:trPr>
          <w:trHeight w:hRule="exact" w:val="301"/>
        </w:trPr>
        <w:tc>
          <w:tcPr>
            <w:cnfStyle w:val="001000000000" w:firstRow="0" w:lastRow="0" w:firstColumn="1" w:lastColumn="0" w:oddVBand="0" w:evenVBand="0" w:oddHBand="0" w:evenHBand="0" w:firstRowFirstColumn="0" w:firstRowLastColumn="0" w:lastRowFirstColumn="0" w:lastRowLastColumn="0"/>
            <w:tcW w:w="3372" w:type="dxa"/>
            <w:hideMark/>
          </w:tcPr>
          <w:p w14:paraId="79ED3303" w14:textId="77777777" w:rsidR="00BF7697" w:rsidRPr="00E00F05" w:rsidRDefault="00BF7697" w:rsidP="00E00F05">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sz w:val="20"/>
                <w:szCs w:val="20"/>
                <w:lang w:eastAsia="en-AU"/>
              </w:rPr>
              <w:t>Consumables </w:t>
            </w:r>
          </w:p>
        </w:tc>
        <w:tc>
          <w:tcPr>
            <w:tcW w:w="991" w:type="dxa"/>
            <w:hideMark/>
          </w:tcPr>
          <w:p w14:paraId="1BCAE71D"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600</w:t>
            </w:r>
          </w:p>
        </w:tc>
        <w:tc>
          <w:tcPr>
            <w:tcW w:w="1131" w:type="dxa"/>
            <w:hideMark/>
          </w:tcPr>
          <w:p w14:paraId="52110219"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600</w:t>
            </w:r>
          </w:p>
        </w:tc>
        <w:tc>
          <w:tcPr>
            <w:tcW w:w="1270" w:type="dxa"/>
            <w:hideMark/>
          </w:tcPr>
          <w:p w14:paraId="718A6C9E"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700</w:t>
            </w:r>
          </w:p>
        </w:tc>
        <w:tc>
          <w:tcPr>
            <w:tcW w:w="1131" w:type="dxa"/>
            <w:hideMark/>
          </w:tcPr>
          <w:p w14:paraId="6675ED0C"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800</w:t>
            </w:r>
          </w:p>
        </w:tc>
        <w:tc>
          <w:tcPr>
            <w:tcW w:w="1131" w:type="dxa"/>
            <w:hideMark/>
          </w:tcPr>
          <w:p w14:paraId="5513C4BE"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1,100</w:t>
            </w:r>
          </w:p>
        </w:tc>
      </w:tr>
      <w:tr w:rsidR="00BF7697" w:rsidRPr="00E00F05" w14:paraId="11C4BB73"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72" w:type="dxa"/>
            <w:hideMark/>
          </w:tcPr>
          <w:p w14:paraId="3CE5EED4" w14:textId="77777777" w:rsidR="00BF7697" w:rsidRPr="00E00F05" w:rsidRDefault="00BF7697" w:rsidP="00E00F05">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sz w:val="20"/>
                <w:szCs w:val="20"/>
                <w:lang w:eastAsia="en-AU"/>
              </w:rPr>
              <w:t>Daily Activities </w:t>
            </w:r>
          </w:p>
        </w:tc>
        <w:tc>
          <w:tcPr>
            <w:tcW w:w="991" w:type="dxa"/>
            <w:hideMark/>
          </w:tcPr>
          <w:p w14:paraId="5C07FEAD"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2,000</w:t>
            </w:r>
          </w:p>
        </w:tc>
        <w:tc>
          <w:tcPr>
            <w:tcW w:w="1131" w:type="dxa"/>
            <w:hideMark/>
          </w:tcPr>
          <w:p w14:paraId="39C20D83"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5,900</w:t>
            </w:r>
          </w:p>
        </w:tc>
        <w:tc>
          <w:tcPr>
            <w:tcW w:w="1270" w:type="dxa"/>
            <w:hideMark/>
          </w:tcPr>
          <w:p w14:paraId="648D2C2F"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15,300</w:t>
            </w:r>
          </w:p>
        </w:tc>
        <w:tc>
          <w:tcPr>
            <w:tcW w:w="1131" w:type="dxa"/>
            <w:hideMark/>
          </w:tcPr>
          <w:p w14:paraId="16E4FFDD"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35,200</w:t>
            </w:r>
          </w:p>
        </w:tc>
        <w:tc>
          <w:tcPr>
            <w:tcW w:w="1131" w:type="dxa"/>
            <w:hideMark/>
          </w:tcPr>
          <w:p w14:paraId="6A386D44"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49,500</w:t>
            </w:r>
          </w:p>
        </w:tc>
      </w:tr>
      <w:tr w:rsidR="00BF7697" w:rsidRPr="00E00F05" w14:paraId="0E91F748" w14:textId="77777777" w:rsidTr="00252EAF">
        <w:trPr>
          <w:trHeight w:hRule="exact" w:val="301"/>
        </w:trPr>
        <w:tc>
          <w:tcPr>
            <w:cnfStyle w:val="001000000000" w:firstRow="0" w:lastRow="0" w:firstColumn="1" w:lastColumn="0" w:oddVBand="0" w:evenVBand="0" w:oddHBand="0" w:evenHBand="0" w:firstRowFirstColumn="0" w:firstRowLastColumn="0" w:lastRowFirstColumn="0" w:lastRowLastColumn="0"/>
            <w:tcW w:w="3372" w:type="dxa"/>
            <w:hideMark/>
          </w:tcPr>
          <w:p w14:paraId="4357D3EA" w14:textId="77777777" w:rsidR="00BF7697" w:rsidRPr="00E00F05" w:rsidRDefault="00BF7697" w:rsidP="00E00F05">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sz w:val="20"/>
                <w:szCs w:val="20"/>
                <w:lang w:eastAsia="en-AU"/>
              </w:rPr>
              <w:t>Social Community Civic </w:t>
            </w:r>
          </w:p>
        </w:tc>
        <w:tc>
          <w:tcPr>
            <w:tcW w:w="991" w:type="dxa"/>
            <w:hideMark/>
          </w:tcPr>
          <w:p w14:paraId="1B698722"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200</w:t>
            </w:r>
          </w:p>
        </w:tc>
        <w:tc>
          <w:tcPr>
            <w:tcW w:w="1131" w:type="dxa"/>
            <w:hideMark/>
          </w:tcPr>
          <w:p w14:paraId="3A71F600"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1,600</w:t>
            </w:r>
          </w:p>
        </w:tc>
        <w:tc>
          <w:tcPr>
            <w:tcW w:w="1270" w:type="dxa"/>
            <w:hideMark/>
          </w:tcPr>
          <w:p w14:paraId="40F71EE3"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5,800</w:t>
            </w:r>
          </w:p>
        </w:tc>
        <w:tc>
          <w:tcPr>
            <w:tcW w:w="1131" w:type="dxa"/>
            <w:hideMark/>
          </w:tcPr>
          <w:p w14:paraId="6368CFD7"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17,400</w:t>
            </w:r>
          </w:p>
        </w:tc>
        <w:tc>
          <w:tcPr>
            <w:tcW w:w="1131" w:type="dxa"/>
            <w:hideMark/>
          </w:tcPr>
          <w:p w14:paraId="46FA6217"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21,500</w:t>
            </w:r>
          </w:p>
        </w:tc>
      </w:tr>
      <w:tr w:rsidR="00BF7697" w:rsidRPr="00E00F05" w14:paraId="06E77FFB"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72" w:type="dxa"/>
            <w:hideMark/>
          </w:tcPr>
          <w:p w14:paraId="10C8405A" w14:textId="77777777" w:rsidR="00BF7697" w:rsidRPr="00E00F05" w:rsidRDefault="00BF7697" w:rsidP="00E00F05">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sz w:val="20"/>
                <w:szCs w:val="20"/>
                <w:lang w:eastAsia="en-AU"/>
              </w:rPr>
              <w:t>Transport </w:t>
            </w:r>
          </w:p>
        </w:tc>
        <w:tc>
          <w:tcPr>
            <w:tcW w:w="991" w:type="dxa"/>
            <w:hideMark/>
          </w:tcPr>
          <w:p w14:paraId="6D598333"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500</w:t>
            </w:r>
          </w:p>
        </w:tc>
        <w:tc>
          <w:tcPr>
            <w:tcW w:w="1131" w:type="dxa"/>
            <w:hideMark/>
          </w:tcPr>
          <w:p w14:paraId="1E0B38CF"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1,800</w:t>
            </w:r>
          </w:p>
        </w:tc>
        <w:tc>
          <w:tcPr>
            <w:tcW w:w="1270" w:type="dxa"/>
            <w:hideMark/>
          </w:tcPr>
          <w:p w14:paraId="2F8F2BA7"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2,800</w:t>
            </w:r>
          </w:p>
        </w:tc>
        <w:tc>
          <w:tcPr>
            <w:tcW w:w="1131" w:type="dxa"/>
            <w:hideMark/>
          </w:tcPr>
          <w:p w14:paraId="228A5FF7"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1,700</w:t>
            </w:r>
          </w:p>
        </w:tc>
        <w:tc>
          <w:tcPr>
            <w:tcW w:w="1131" w:type="dxa"/>
            <w:hideMark/>
          </w:tcPr>
          <w:p w14:paraId="31904659"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1,700</w:t>
            </w:r>
          </w:p>
        </w:tc>
      </w:tr>
      <w:tr w:rsidR="00BF7697" w:rsidRPr="00E00F05" w14:paraId="6A544020" w14:textId="77777777" w:rsidTr="00252EAF">
        <w:trPr>
          <w:trHeight w:hRule="exact" w:val="301"/>
        </w:trPr>
        <w:tc>
          <w:tcPr>
            <w:cnfStyle w:val="001000000000" w:firstRow="0" w:lastRow="0" w:firstColumn="1" w:lastColumn="0" w:oddVBand="0" w:evenVBand="0" w:oddHBand="0" w:evenHBand="0" w:firstRowFirstColumn="0" w:firstRowLastColumn="0" w:lastRowFirstColumn="0" w:lastRowLastColumn="0"/>
            <w:tcW w:w="3372" w:type="dxa"/>
            <w:hideMark/>
          </w:tcPr>
          <w:p w14:paraId="7A2563C5" w14:textId="77777777" w:rsidR="00BF7697" w:rsidRPr="00E00F05" w:rsidRDefault="00BF7697" w:rsidP="00E00F05">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sz w:val="20"/>
                <w:szCs w:val="20"/>
                <w:lang w:eastAsia="en-AU"/>
              </w:rPr>
              <w:t>Assistive Technology </w:t>
            </w:r>
          </w:p>
        </w:tc>
        <w:tc>
          <w:tcPr>
            <w:tcW w:w="991" w:type="dxa"/>
            <w:hideMark/>
          </w:tcPr>
          <w:p w14:paraId="0771877D"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600</w:t>
            </w:r>
          </w:p>
        </w:tc>
        <w:tc>
          <w:tcPr>
            <w:tcW w:w="1131" w:type="dxa"/>
            <w:hideMark/>
          </w:tcPr>
          <w:p w14:paraId="296770E5"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400</w:t>
            </w:r>
          </w:p>
        </w:tc>
        <w:tc>
          <w:tcPr>
            <w:tcW w:w="1270" w:type="dxa"/>
            <w:hideMark/>
          </w:tcPr>
          <w:p w14:paraId="0062DAA9"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600</w:t>
            </w:r>
          </w:p>
        </w:tc>
        <w:tc>
          <w:tcPr>
            <w:tcW w:w="1131" w:type="dxa"/>
            <w:hideMark/>
          </w:tcPr>
          <w:p w14:paraId="6B6B3439"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700</w:t>
            </w:r>
          </w:p>
        </w:tc>
        <w:tc>
          <w:tcPr>
            <w:tcW w:w="1131" w:type="dxa"/>
            <w:hideMark/>
          </w:tcPr>
          <w:p w14:paraId="0ABF5CB5"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1,100</w:t>
            </w:r>
          </w:p>
        </w:tc>
      </w:tr>
      <w:tr w:rsidR="00BF7697" w:rsidRPr="00E00F05" w14:paraId="2798AD53"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72" w:type="dxa"/>
            <w:hideMark/>
          </w:tcPr>
          <w:p w14:paraId="3D2D0A8E" w14:textId="77777777" w:rsidR="00BF7697" w:rsidRPr="00E00F05" w:rsidRDefault="00BF7697" w:rsidP="00E00F05">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sz w:val="20"/>
                <w:szCs w:val="20"/>
                <w:lang w:eastAsia="en-AU"/>
              </w:rPr>
              <w:t>Home Modifications </w:t>
            </w:r>
          </w:p>
        </w:tc>
        <w:tc>
          <w:tcPr>
            <w:tcW w:w="991" w:type="dxa"/>
            <w:hideMark/>
          </w:tcPr>
          <w:p w14:paraId="03FAB7E4"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p>
        </w:tc>
        <w:tc>
          <w:tcPr>
            <w:tcW w:w="1131" w:type="dxa"/>
            <w:hideMark/>
          </w:tcPr>
          <w:p w14:paraId="446D5230"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100</w:t>
            </w:r>
          </w:p>
        </w:tc>
        <w:tc>
          <w:tcPr>
            <w:tcW w:w="1270" w:type="dxa"/>
            <w:hideMark/>
          </w:tcPr>
          <w:p w14:paraId="30F6C34C"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100</w:t>
            </w:r>
          </w:p>
        </w:tc>
        <w:tc>
          <w:tcPr>
            <w:tcW w:w="1131" w:type="dxa"/>
            <w:hideMark/>
          </w:tcPr>
          <w:p w14:paraId="05AEF582"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300</w:t>
            </w:r>
          </w:p>
        </w:tc>
        <w:tc>
          <w:tcPr>
            <w:tcW w:w="1131" w:type="dxa"/>
            <w:hideMark/>
          </w:tcPr>
          <w:p w14:paraId="240D26DD"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700</w:t>
            </w:r>
          </w:p>
        </w:tc>
      </w:tr>
      <w:tr w:rsidR="00BF7697" w:rsidRPr="00E00F05" w14:paraId="6157B87B" w14:textId="77777777" w:rsidTr="00252EAF">
        <w:trPr>
          <w:trHeight w:hRule="exact" w:val="301"/>
        </w:trPr>
        <w:tc>
          <w:tcPr>
            <w:cnfStyle w:val="001000000000" w:firstRow="0" w:lastRow="0" w:firstColumn="1" w:lastColumn="0" w:oddVBand="0" w:evenVBand="0" w:oddHBand="0" w:evenHBand="0" w:firstRowFirstColumn="0" w:firstRowLastColumn="0" w:lastRowFirstColumn="0" w:lastRowLastColumn="0"/>
            <w:tcW w:w="3372" w:type="dxa"/>
            <w:hideMark/>
          </w:tcPr>
          <w:p w14:paraId="273E161B" w14:textId="77777777" w:rsidR="00BF7697" w:rsidRPr="00E00F05" w:rsidRDefault="00BF7697" w:rsidP="00E00F05">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themeColor="text1"/>
                <w:sz w:val="20"/>
                <w:szCs w:val="20"/>
                <w:lang w:eastAsia="en-AU"/>
              </w:rPr>
              <w:t>Capacity Building Daily Activities </w:t>
            </w:r>
          </w:p>
        </w:tc>
        <w:tc>
          <w:tcPr>
            <w:tcW w:w="991" w:type="dxa"/>
            <w:hideMark/>
          </w:tcPr>
          <w:p w14:paraId="13E2D231"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11,000</w:t>
            </w:r>
          </w:p>
        </w:tc>
        <w:tc>
          <w:tcPr>
            <w:tcW w:w="1131" w:type="dxa"/>
            <w:hideMark/>
          </w:tcPr>
          <w:p w14:paraId="7FA6671B"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7,700</w:t>
            </w:r>
          </w:p>
        </w:tc>
        <w:tc>
          <w:tcPr>
            <w:tcW w:w="1270" w:type="dxa"/>
            <w:hideMark/>
          </w:tcPr>
          <w:p w14:paraId="2DCE77B0"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5,700</w:t>
            </w:r>
          </w:p>
        </w:tc>
        <w:tc>
          <w:tcPr>
            <w:tcW w:w="1131" w:type="dxa"/>
            <w:hideMark/>
          </w:tcPr>
          <w:p w14:paraId="64D25E99"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4,600</w:t>
            </w:r>
          </w:p>
        </w:tc>
        <w:tc>
          <w:tcPr>
            <w:tcW w:w="1131" w:type="dxa"/>
            <w:hideMark/>
          </w:tcPr>
          <w:p w14:paraId="7583EE3E"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4,600</w:t>
            </w:r>
          </w:p>
        </w:tc>
      </w:tr>
      <w:tr w:rsidR="00BF7697" w:rsidRPr="00E00F05" w14:paraId="4BF7B526"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72" w:type="dxa"/>
            <w:hideMark/>
          </w:tcPr>
          <w:p w14:paraId="7D4D3F8A" w14:textId="77777777" w:rsidR="00BF7697" w:rsidRPr="00E00F05" w:rsidRDefault="00BF7697" w:rsidP="00E00F05">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themeColor="text1"/>
                <w:sz w:val="20"/>
                <w:szCs w:val="20"/>
                <w:lang w:eastAsia="en-AU"/>
              </w:rPr>
              <w:t>Employment </w:t>
            </w:r>
          </w:p>
        </w:tc>
        <w:tc>
          <w:tcPr>
            <w:tcW w:w="991" w:type="dxa"/>
          </w:tcPr>
          <w:p w14:paraId="178B90D0"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p>
        </w:tc>
        <w:tc>
          <w:tcPr>
            <w:tcW w:w="1131" w:type="dxa"/>
          </w:tcPr>
          <w:p w14:paraId="603F42D1"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p>
        </w:tc>
        <w:tc>
          <w:tcPr>
            <w:tcW w:w="1270" w:type="dxa"/>
            <w:hideMark/>
          </w:tcPr>
          <w:p w14:paraId="75F34229"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500</w:t>
            </w:r>
          </w:p>
        </w:tc>
        <w:tc>
          <w:tcPr>
            <w:tcW w:w="1131" w:type="dxa"/>
            <w:hideMark/>
          </w:tcPr>
          <w:p w14:paraId="103E10DD"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1,500</w:t>
            </w:r>
          </w:p>
        </w:tc>
        <w:tc>
          <w:tcPr>
            <w:tcW w:w="1131" w:type="dxa"/>
            <w:hideMark/>
          </w:tcPr>
          <w:p w14:paraId="3819AC67"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100</w:t>
            </w:r>
          </w:p>
        </w:tc>
      </w:tr>
      <w:tr w:rsidR="00BF7697" w:rsidRPr="00E00F05" w14:paraId="413A2E17" w14:textId="77777777" w:rsidTr="00252EAF">
        <w:trPr>
          <w:trHeight w:hRule="exact" w:val="301"/>
        </w:trPr>
        <w:tc>
          <w:tcPr>
            <w:cnfStyle w:val="001000000000" w:firstRow="0" w:lastRow="0" w:firstColumn="1" w:lastColumn="0" w:oddVBand="0" w:evenVBand="0" w:oddHBand="0" w:evenHBand="0" w:firstRowFirstColumn="0" w:firstRowLastColumn="0" w:lastRowFirstColumn="0" w:lastRowLastColumn="0"/>
            <w:tcW w:w="3372" w:type="dxa"/>
            <w:hideMark/>
          </w:tcPr>
          <w:p w14:paraId="78ED4273" w14:textId="77777777" w:rsidR="00BF7697" w:rsidRPr="00E00F05" w:rsidRDefault="00BF7697" w:rsidP="00E00F05">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sz w:val="20"/>
                <w:szCs w:val="20"/>
                <w:lang w:eastAsia="en-AU"/>
              </w:rPr>
              <w:t>Support Coordination </w:t>
            </w:r>
          </w:p>
        </w:tc>
        <w:tc>
          <w:tcPr>
            <w:tcW w:w="991" w:type="dxa"/>
            <w:hideMark/>
          </w:tcPr>
          <w:p w14:paraId="411B3934"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200</w:t>
            </w:r>
          </w:p>
        </w:tc>
        <w:tc>
          <w:tcPr>
            <w:tcW w:w="1131" w:type="dxa"/>
            <w:hideMark/>
          </w:tcPr>
          <w:p w14:paraId="4C6E4A72"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500</w:t>
            </w:r>
          </w:p>
        </w:tc>
        <w:tc>
          <w:tcPr>
            <w:tcW w:w="1270" w:type="dxa"/>
            <w:hideMark/>
          </w:tcPr>
          <w:p w14:paraId="3E2AC6FD"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1,200</w:t>
            </w:r>
          </w:p>
        </w:tc>
        <w:tc>
          <w:tcPr>
            <w:tcW w:w="1131" w:type="dxa"/>
            <w:hideMark/>
          </w:tcPr>
          <w:p w14:paraId="0A20AE02"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1,600</w:t>
            </w:r>
          </w:p>
        </w:tc>
        <w:tc>
          <w:tcPr>
            <w:tcW w:w="1131" w:type="dxa"/>
            <w:hideMark/>
          </w:tcPr>
          <w:p w14:paraId="22C02AE4"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2,100</w:t>
            </w:r>
          </w:p>
        </w:tc>
      </w:tr>
      <w:tr w:rsidR="00BF7697" w:rsidRPr="00E00F05" w14:paraId="42920706"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72" w:type="dxa"/>
            <w:tcBorders>
              <w:bottom w:val="single" w:sz="4" w:space="0" w:color="auto"/>
            </w:tcBorders>
            <w:hideMark/>
          </w:tcPr>
          <w:p w14:paraId="70070A36" w14:textId="77777777" w:rsidR="00BF7697" w:rsidRPr="00E00F05" w:rsidRDefault="00BF7697" w:rsidP="00E00F05">
            <w:pPr>
              <w:keepNext/>
              <w:spacing w:after="0" w:line="240" w:lineRule="auto"/>
              <w:textAlignment w:val="baseline"/>
              <w:rPr>
                <w:rFonts w:eastAsia="Times New Roman" w:cs="Arial"/>
                <w:color w:val="000000"/>
                <w:sz w:val="20"/>
                <w:szCs w:val="20"/>
                <w:lang w:eastAsia="en-AU"/>
              </w:rPr>
            </w:pPr>
            <w:r w:rsidRPr="00E00F05">
              <w:rPr>
                <w:rFonts w:eastAsia="Times New Roman" w:cs="Arial"/>
                <w:color w:val="000000" w:themeColor="text1"/>
                <w:sz w:val="20"/>
                <w:szCs w:val="20"/>
                <w:lang w:eastAsia="en-AU"/>
              </w:rPr>
              <w:t>Remaining Capacity Building </w:t>
            </w:r>
          </w:p>
        </w:tc>
        <w:tc>
          <w:tcPr>
            <w:tcW w:w="991" w:type="dxa"/>
            <w:tcBorders>
              <w:bottom w:val="single" w:sz="4" w:space="0" w:color="auto"/>
            </w:tcBorders>
            <w:hideMark/>
          </w:tcPr>
          <w:p w14:paraId="591F9BFF"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700</w:t>
            </w:r>
          </w:p>
        </w:tc>
        <w:tc>
          <w:tcPr>
            <w:tcW w:w="1131" w:type="dxa"/>
            <w:tcBorders>
              <w:bottom w:val="single" w:sz="4" w:space="0" w:color="auto"/>
            </w:tcBorders>
            <w:hideMark/>
          </w:tcPr>
          <w:p w14:paraId="2CB07282"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1,500</w:t>
            </w:r>
          </w:p>
        </w:tc>
        <w:tc>
          <w:tcPr>
            <w:tcW w:w="1270" w:type="dxa"/>
            <w:tcBorders>
              <w:bottom w:val="single" w:sz="4" w:space="0" w:color="auto"/>
            </w:tcBorders>
            <w:hideMark/>
          </w:tcPr>
          <w:p w14:paraId="0825BC26"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2,100</w:t>
            </w:r>
          </w:p>
        </w:tc>
        <w:tc>
          <w:tcPr>
            <w:tcW w:w="1131" w:type="dxa"/>
            <w:tcBorders>
              <w:bottom w:val="single" w:sz="4" w:space="0" w:color="auto"/>
            </w:tcBorders>
            <w:hideMark/>
          </w:tcPr>
          <w:p w14:paraId="2AAFA5E5"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2,300</w:t>
            </w:r>
          </w:p>
        </w:tc>
        <w:tc>
          <w:tcPr>
            <w:tcW w:w="1131" w:type="dxa"/>
            <w:tcBorders>
              <w:bottom w:val="single" w:sz="4" w:space="0" w:color="auto"/>
            </w:tcBorders>
            <w:hideMark/>
          </w:tcPr>
          <w:p w14:paraId="2F7BFC7D" w14:textId="77777777" w:rsidR="00BF7697" w:rsidRPr="00E00F05" w:rsidRDefault="00BF7697">
            <w:pPr>
              <w:keepNext/>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00F05">
              <w:rPr>
                <w:rFonts w:cs="Arial"/>
                <w:color w:val="000000"/>
                <w:sz w:val="20"/>
                <w:szCs w:val="20"/>
              </w:rPr>
              <w:t>2,400</w:t>
            </w:r>
          </w:p>
        </w:tc>
      </w:tr>
      <w:tr w:rsidR="00BF7697" w:rsidRPr="00E00F05" w14:paraId="2F64F3D0" w14:textId="77777777" w:rsidTr="00252EAF">
        <w:trPr>
          <w:trHeight w:hRule="exact" w:val="301"/>
        </w:trPr>
        <w:tc>
          <w:tcPr>
            <w:cnfStyle w:val="001000000000" w:firstRow="0" w:lastRow="0" w:firstColumn="1" w:lastColumn="0" w:oddVBand="0" w:evenVBand="0" w:oddHBand="0" w:evenHBand="0" w:firstRowFirstColumn="0" w:firstRowLastColumn="0" w:lastRowFirstColumn="0" w:lastRowLastColumn="0"/>
            <w:tcW w:w="3372" w:type="dxa"/>
            <w:tcBorders>
              <w:top w:val="single" w:sz="4" w:space="0" w:color="auto"/>
              <w:bottom w:val="single" w:sz="4" w:space="0" w:color="auto"/>
            </w:tcBorders>
            <w:shd w:val="clear" w:color="auto" w:fill="D4C5D7"/>
            <w:hideMark/>
          </w:tcPr>
          <w:p w14:paraId="7724532F" w14:textId="77777777" w:rsidR="00BF7697" w:rsidRPr="00E00F05" w:rsidRDefault="00BF7697" w:rsidP="00E00F05">
            <w:pPr>
              <w:keepNext/>
              <w:spacing w:after="0" w:line="240" w:lineRule="auto"/>
              <w:textAlignment w:val="baseline"/>
              <w:rPr>
                <w:rFonts w:eastAsia="Times New Roman" w:cs="Arial"/>
                <w:b/>
                <w:color w:val="000000"/>
                <w:sz w:val="20"/>
                <w:szCs w:val="20"/>
                <w:lang w:eastAsia="en-AU"/>
              </w:rPr>
            </w:pPr>
            <w:r w:rsidRPr="00E00F05">
              <w:rPr>
                <w:rFonts w:eastAsia="Times New Roman" w:cs="Arial"/>
                <w:b/>
                <w:color w:val="000000"/>
                <w:sz w:val="20"/>
                <w:szCs w:val="20"/>
                <w:lang w:eastAsia="en-AU"/>
              </w:rPr>
              <w:t>Total </w:t>
            </w:r>
          </w:p>
        </w:tc>
        <w:tc>
          <w:tcPr>
            <w:tcW w:w="991" w:type="dxa"/>
            <w:tcBorders>
              <w:top w:val="single" w:sz="4" w:space="0" w:color="auto"/>
              <w:bottom w:val="single" w:sz="4" w:space="0" w:color="auto"/>
            </w:tcBorders>
            <w:shd w:val="clear" w:color="auto" w:fill="D4C5D7"/>
            <w:hideMark/>
          </w:tcPr>
          <w:p w14:paraId="47982264"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20"/>
                <w:szCs w:val="20"/>
                <w:lang w:eastAsia="en-AU"/>
              </w:rPr>
            </w:pPr>
            <w:r w:rsidRPr="00E00F05">
              <w:rPr>
                <w:rFonts w:cs="Arial"/>
                <w:b/>
                <w:bCs/>
                <w:color w:val="000000"/>
                <w:sz w:val="20"/>
                <w:szCs w:val="20"/>
              </w:rPr>
              <w:t>15,800</w:t>
            </w:r>
          </w:p>
        </w:tc>
        <w:tc>
          <w:tcPr>
            <w:tcW w:w="1131" w:type="dxa"/>
            <w:tcBorders>
              <w:top w:val="single" w:sz="4" w:space="0" w:color="auto"/>
              <w:bottom w:val="single" w:sz="4" w:space="0" w:color="auto"/>
            </w:tcBorders>
            <w:shd w:val="clear" w:color="auto" w:fill="D4C5D7"/>
            <w:hideMark/>
          </w:tcPr>
          <w:p w14:paraId="326C3AF5"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20"/>
                <w:szCs w:val="20"/>
                <w:lang w:eastAsia="en-AU"/>
              </w:rPr>
            </w:pPr>
            <w:r w:rsidRPr="00E00F05">
              <w:rPr>
                <w:rFonts w:cs="Arial"/>
                <w:b/>
                <w:bCs/>
                <w:color w:val="000000"/>
                <w:sz w:val="20"/>
                <w:szCs w:val="20"/>
              </w:rPr>
              <w:t>20,100</w:t>
            </w:r>
          </w:p>
        </w:tc>
        <w:tc>
          <w:tcPr>
            <w:tcW w:w="1270" w:type="dxa"/>
            <w:tcBorders>
              <w:top w:val="single" w:sz="4" w:space="0" w:color="auto"/>
              <w:bottom w:val="single" w:sz="4" w:space="0" w:color="auto"/>
            </w:tcBorders>
            <w:shd w:val="clear" w:color="auto" w:fill="D4C5D7"/>
            <w:hideMark/>
          </w:tcPr>
          <w:p w14:paraId="7D1EA0AB"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20"/>
                <w:szCs w:val="20"/>
                <w:lang w:eastAsia="en-AU"/>
              </w:rPr>
            </w:pPr>
            <w:r w:rsidRPr="00E00F05">
              <w:rPr>
                <w:rFonts w:cs="Arial"/>
                <w:b/>
                <w:bCs/>
                <w:color w:val="000000"/>
                <w:sz w:val="20"/>
                <w:szCs w:val="20"/>
              </w:rPr>
              <w:t>34,700</w:t>
            </w:r>
          </w:p>
        </w:tc>
        <w:tc>
          <w:tcPr>
            <w:tcW w:w="1131" w:type="dxa"/>
            <w:tcBorders>
              <w:top w:val="single" w:sz="4" w:space="0" w:color="auto"/>
              <w:bottom w:val="single" w:sz="4" w:space="0" w:color="auto"/>
            </w:tcBorders>
            <w:shd w:val="clear" w:color="auto" w:fill="D4C5D7"/>
            <w:hideMark/>
          </w:tcPr>
          <w:p w14:paraId="1B06ADE5"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20"/>
                <w:szCs w:val="20"/>
                <w:lang w:eastAsia="en-AU"/>
              </w:rPr>
            </w:pPr>
            <w:r w:rsidRPr="00E00F05">
              <w:rPr>
                <w:rFonts w:cs="Arial"/>
                <w:b/>
                <w:bCs/>
                <w:color w:val="000000"/>
                <w:sz w:val="20"/>
                <w:szCs w:val="20"/>
              </w:rPr>
              <w:t>66,100</w:t>
            </w:r>
          </w:p>
        </w:tc>
        <w:tc>
          <w:tcPr>
            <w:tcW w:w="1131" w:type="dxa"/>
            <w:tcBorders>
              <w:top w:val="single" w:sz="4" w:space="0" w:color="auto"/>
              <w:bottom w:val="single" w:sz="4" w:space="0" w:color="auto"/>
            </w:tcBorders>
            <w:shd w:val="clear" w:color="auto" w:fill="D4C5D7"/>
            <w:hideMark/>
          </w:tcPr>
          <w:p w14:paraId="6A49E1B6" w14:textId="77777777" w:rsidR="00BF7697" w:rsidRPr="00E00F05" w:rsidRDefault="00BF7697">
            <w:pPr>
              <w:keepNext/>
              <w:spacing w:after="0"/>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20"/>
                <w:szCs w:val="20"/>
                <w:lang w:eastAsia="en-AU"/>
              </w:rPr>
            </w:pPr>
            <w:r w:rsidRPr="00E00F05">
              <w:rPr>
                <w:rFonts w:cs="Arial"/>
                <w:b/>
                <w:bCs/>
                <w:color w:val="000000"/>
                <w:sz w:val="20"/>
                <w:szCs w:val="20"/>
              </w:rPr>
              <w:t>84,800</w:t>
            </w:r>
          </w:p>
        </w:tc>
      </w:tr>
    </w:tbl>
    <w:p w14:paraId="4EEA2D3B" w14:textId="77777777" w:rsidR="002D0A2F" w:rsidRDefault="002D0A2F" w:rsidP="00444E58">
      <w:pPr>
        <w:pStyle w:val="FSRnormal"/>
        <w:spacing w:before="0" w:after="0"/>
        <w:rPr>
          <w:color w:val="000000"/>
          <w:u w:val="single"/>
          <w:shd w:val="clear" w:color="auto" w:fill="E1E3E6"/>
          <w:lang w:eastAsia="en-AU"/>
        </w:rPr>
      </w:pPr>
    </w:p>
    <w:tbl>
      <w:tblPr>
        <w:tblStyle w:val="FSRtable"/>
        <w:tblW w:w="5000" w:type="pct"/>
        <w:tblInd w:w="8" w:type="dxa"/>
        <w:tblLook w:val="04A0" w:firstRow="1" w:lastRow="0" w:firstColumn="1" w:lastColumn="0" w:noHBand="0" w:noVBand="1"/>
      </w:tblPr>
      <w:tblGrid>
        <w:gridCol w:w="3372"/>
        <w:gridCol w:w="991"/>
        <w:gridCol w:w="1131"/>
        <w:gridCol w:w="1270"/>
        <w:gridCol w:w="1131"/>
        <w:gridCol w:w="1131"/>
      </w:tblGrid>
      <w:tr w:rsidR="002D0A2F" w:rsidRPr="00DF4B18" w14:paraId="59C8FAA9" w14:textId="77777777" w:rsidTr="00DF4B18">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3394" w:type="dxa"/>
            <w:tcBorders>
              <w:top w:val="single" w:sz="4" w:space="0" w:color="auto"/>
            </w:tcBorders>
            <w:hideMark/>
          </w:tcPr>
          <w:p w14:paraId="08D612E5" w14:textId="77777777" w:rsidR="002D0A2F" w:rsidRPr="00DF4B18" w:rsidRDefault="002D0A2F" w:rsidP="007B1EE1">
            <w:pPr>
              <w:keepNext/>
              <w:spacing w:after="0" w:line="240" w:lineRule="auto"/>
              <w:textAlignment w:val="baseline"/>
              <w:rPr>
                <w:rFonts w:eastAsia="Times New Roman"/>
                <w:sz w:val="20"/>
                <w:szCs w:val="20"/>
                <w:lang w:eastAsia="en-AU"/>
              </w:rPr>
            </w:pPr>
            <w:r w:rsidRPr="00DF4B18">
              <w:rPr>
                <w:rFonts w:eastAsia="Times New Roman"/>
                <w:bCs/>
                <w:color w:val="FFFFFF"/>
                <w:sz w:val="20"/>
                <w:szCs w:val="20"/>
                <w:lang w:eastAsia="en-AU"/>
              </w:rPr>
              <w:t>Support Category</w:t>
            </w:r>
          </w:p>
        </w:tc>
        <w:tc>
          <w:tcPr>
            <w:tcW w:w="993" w:type="dxa"/>
            <w:tcBorders>
              <w:top w:val="single" w:sz="4" w:space="0" w:color="auto"/>
            </w:tcBorders>
            <w:hideMark/>
          </w:tcPr>
          <w:p w14:paraId="179F823B" w14:textId="77777777" w:rsidR="002D0A2F" w:rsidRPr="00DF4B18" w:rsidRDefault="002D0A2F" w:rsidP="007B1EE1">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DF4B18">
              <w:rPr>
                <w:rFonts w:eastAsia="Times New Roman"/>
                <w:bCs/>
                <w:color w:val="FFFFFF"/>
                <w:sz w:val="20"/>
                <w:szCs w:val="20"/>
                <w:lang w:eastAsia="en-AU"/>
              </w:rPr>
              <w:t>35 to 44</w:t>
            </w:r>
          </w:p>
        </w:tc>
        <w:tc>
          <w:tcPr>
            <w:tcW w:w="1134" w:type="dxa"/>
            <w:tcBorders>
              <w:top w:val="single" w:sz="4" w:space="0" w:color="auto"/>
            </w:tcBorders>
            <w:hideMark/>
          </w:tcPr>
          <w:p w14:paraId="5D53DD42" w14:textId="77777777" w:rsidR="002D0A2F" w:rsidRPr="00DF4B18" w:rsidRDefault="002D0A2F" w:rsidP="007B1EE1">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DF4B18">
              <w:rPr>
                <w:rFonts w:eastAsia="Times New Roman"/>
                <w:bCs/>
                <w:color w:val="FFFFFF"/>
                <w:sz w:val="20"/>
                <w:szCs w:val="20"/>
                <w:lang w:eastAsia="en-AU"/>
              </w:rPr>
              <w:t>45 to 54</w:t>
            </w:r>
          </w:p>
        </w:tc>
        <w:tc>
          <w:tcPr>
            <w:tcW w:w="1275" w:type="dxa"/>
            <w:tcBorders>
              <w:top w:val="single" w:sz="4" w:space="0" w:color="auto"/>
            </w:tcBorders>
            <w:hideMark/>
          </w:tcPr>
          <w:p w14:paraId="755C2648" w14:textId="77777777" w:rsidR="002D0A2F" w:rsidRPr="00DF4B18" w:rsidRDefault="002D0A2F" w:rsidP="007B1EE1">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DF4B18">
              <w:rPr>
                <w:rFonts w:eastAsia="Times New Roman"/>
                <w:bCs/>
                <w:color w:val="FFFFFF"/>
                <w:sz w:val="20"/>
                <w:szCs w:val="20"/>
                <w:lang w:eastAsia="en-AU"/>
              </w:rPr>
              <w:t>55 to 64</w:t>
            </w:r>
          </w:p>
        </w:tc>
        <w:tc>
          <w:tcPr>
            <w:tcW w:w="1134" w:type="dxa"/>
            <w:tcBorders>
              <w:top w:val="single" w:sz="4" w:space="0" w:color="auto"/>
            </w:tcBorders>
            <w:hideMark/>
          </w:tcPr>
          <w:p w14:paraId="6B359B47" w14:textId="77777777" w:rsidR="002D0A2F" w:rsidRPr="00DF4B18" w:rsidRDefault="002D0A2F" w:rsidP="007B1EE1">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DF4B18">
              <w:rPr>
                <w:rFonts w:eastAsia="Times New Roman"/>
                <w:bCs/>
                <w:color w:val="FFFFFF"/>
                <w:sz w:val="20"/>
                <w:szCs w:val="20"/>
                <w:lang w:eastAsia="en-AU"/>
              </w:rPr>
              <w:t>65+</w:t>
            </w:r>
          </w:p>
        </w:tc>
        <w:tc>
          <w:tcPr>
            <w:tcW w:w="1134" w:type="dxa"/>
            <w:tcBorders>
              <w:top w:val="single" w:sz="4" w:space="0" w:color="auto"/>
            </w:tcBorders>
            <w:hideMark/>
          </w:tcPr>
          <w:p w14:paraId="0292EE34" w14:textId="77777777" w:rsidR="002D0A2F" w:rsidRPr="00DF4B18" w:rsidRDefault="002D0A2F" w:rsidP="007B1EE1">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en-AU"/>
              </w:rPr>
            </w:pPr>
            <w:r w:rsidRPr="00DF4B18">
              <w:rPr>
                <w:rFonts w:eastAsia="Times New Roman"/>
                <w:bCs/>
                <w:color w:val="FFFFFF"/>
                <w:sz w:val="20"/>
                <w:szCs w:val="20"/>
                <w:lang w:eastAsia="en-AU"/>
              </w:rPr>
              <w:t>Total</w:t>
            </w:r>
          </w:p>
        </w:tc>
      </w:tr>
      <w:tr w:rsidR="002D0A2F" w:rsidRPr="00E00F05" w14:paraId="482908B7" w14:textId="77777777" w:rsidTr="007B1EE1">
        <w:trPr>
          <w:trHeight w:hRule="exact" w:val="301"/>
        </w:trPr>
        <w:tc>
          <w:tcPr>
            <w:cnfStyle w:val="001000000000" w:firstRow="0" w:lastRow="0" w:firstColumn="1" w:lastColumn="0" w:oddVBand="0" w:evenVBand="0" w:oddHBand="0" w:evenHBand="0" w:firstRowFirstColumn="0" w:firstRowLastColumn="0" w:lastRowFirstColumn="0" w:lastRowLastColumn="0"/>
            <w:tcW w:w="3394" w:type="dxa"/>
            <w:hideMark/>
          </w:tcPr>
          <w:p w14:paraId="0E4500F6" w14:textId="77777777" w:rsidR="002D0A2F" w:rsidRPr="00E00F05" w:rsidRDefault="002D0A2F"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sz w:val="20"/>
                <w:szCs w:val="20"/>
                <w:lang w:eastAsia="en-AU"/>
              </w:rPr>
              <w:t>Consumables</w:t>
            </w:r>
          </w:p>
        </w:tc>
        <w:tc>
          <w:tcPr>
            <w:tcW w:w="993" w:type="dxa"/>
            <w:hideMark/>
          </w:tcPr>
          <w:p w14:paraId="0842A680" w14:textId="77777777" w:rsidR="002D0A2F" w:rsidRPr="00E00F05" w:rsidRDefault="002D0A2F" w:rsidP="007B1EE1">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1,300</w:t>
            </w:r>
          </w:p>
        </w:tc>
        <w:tc>
          <w:tcPr>
            <w:tcW w:w="1134" w:type="dxa"/>
            <w:hideMark/>
          </w:tcPr>
          <w:p w14:paraId="7FFA3AC3" w14:textId="77777777" w:rsidR="002D0A2F" w:rsidRPr="00E00F05" w:rsidRDefault="002D0A2F" w:rsidP="007B1EE1">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1,500</w:t>
            </w:r>
          </w:p>
        </w:tc>
        <w:tc>
          <w:tcPr>
            <w:tcW w:w="1275" w:type="dxa"/>
            <w:hideMark/>
          </w:tcPr>
          <w:p w14:paraId="3DAD48DF" w14:textId="77777777" w:rsidR="002D0A2F" w:rsidRPr="00E00F05" w:rsidRDefault="002D0A2F" w:rsidP="007B1EE1">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1,800</w:t>
            </w:r>
          </w:p>
        </w:tc>
        <w:tc>
          <w:tcPr>
            <w:tcW w:w="1134" w:type="dxa"/>
            <w:hideMark/>
          </w:tcPr>
          <w:p w14:paraId="3BD15A92" w14:textId="77777777" w:rsidR="002D0A2F" w:rsidRPr="00E00F05" w:rsidRDefault="002D0A2F" w:rsidP="007B1EE1">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2,000</w:t>
            </w:r>
          </w:p>
        </w:tc>
        <w:tc>
          <w:tcPr>
            <w:tcW w:w="1134" w:type="dxa"/>
            <w:hideMark/>
          </w:tcPr>
          <w:p w14:paraId="698C586C" w14:textId="77777777" w:rsidR="002D0A2F" w:rsidRPr="00E00F05" w:rsidRDefault="002D0A2F" w:rsidP="007B1EE1">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1,000</w:t>
            </w:r>
          </w:p>
        </w:tc>
      </w:tr>
      <w:tr w:rsidR="002D0A2F" w:rsidRPr="00E00F05" w14:paraId="6961071E" w14:textId="77777777" w:rsidTr="007B1EE1">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94" w:type="dxa"/>
            <w:hideMark/>
          </w:tcPr>
          <w:p w14:paraId="69403A61" w14:textId="77777777" w:rsidR="002D0A2F" w:rsidRPr="00E00F05" w:rsidRDefault="002D0A2F"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sz w:val="20"/>
                <w:szCs w:val="20"/>
                <w:lang w:eastAsia="en-AU"/>
              </w:rPr>
              <w:t>Daily Activities</w:t>
            </w:r>
          </w:p>
        </w:tc>
        <w:tc>
          <w:tcPr>
            <w:tcW w:w="993" w:type="dxa"/>
            <w:hideMark/>
          </w:tcPr>
          <w:p w14:paraId="600C9CA3"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54,000</w:t>
            </w:r>
          </w:p>
        </w:tc>
        <w:tc>
          <w:tcPr>
            <w:tcW w:w="1134" w:type="dxa"/>
            <w:hideMark/>
          </w:tcPr>
          <w:p w14:paraId="5EE20DA7"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56,800</w:t>
            </w:r>
          </w:p>
        </w:tc>
        <w:tc>
          <w:tcPr>
            <w:tcW w:w="1275" w:type="dxa"/>
            <w:hideMark/>
          </w:tcPr>
          <w:p w14:paraId="2132A3D9"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58,200</w:t>
            </w:r>
          </w:p>
        </w:tc>
        <w:tc>
          <w:tcPr>
            <w:tcW w:w="1134" w:type="dxa"/>
            <w:hideMark/>
          </w:tcPr>
          <w:p w14:paraId="2EC4900E"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58,600</w:t>
            </w:r>
          </w:p>
        </w:tc>
        <w:tc>
          <w:tcPr>
            <w:tcW w:w="1134" w:type="dxa"/>
            <w:hideMark/>
          </w:tcPr>
          <w:p w14:paraId="45D722DB"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29,300</w:t>
            </w:r>
          </w:p>
        </w:tc>
      </w:tr>
      <w:tr w:rsidR="002D0A2F" w:rsidRPr="00E00F05" w14:paraId="36F8A201" w14:textId="77777777" w:rsidTr="007B1EE1">
        <w:trPr>
          <w:trHeight w:hRule="exact" w:val="301"/>
        </w:trPr>
        <w:tc>
          <w:tcPr>
            <w:cnfStyle w:val="001000000000" w:firstRow="0" w:lastRow="0" w:firstColumn="1" w:lastColumn="0" w:oddVBand="0" w:evenVBand="0" w:oddHBand="0" w:evenHBand="0" w:firstRowFirstColumn="0" w:firstRowLastColumn="0" w:lastRowFirstColumn="0" w:lastRowLastColumn="0"/>
            <w:tcW w:w="3394" w:type="dxa"/>
            <w:hideMark/>
          </w:tcPr>
          <w:p w14:paraId="4A5B08C0" w14:textId="77777777" w:rsidR="002D0A2F" w:rsidRPr="00E00F05" w:rsidRDefault="002D0A2F"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sz w:val="20"/>
                <w:szCs w:val="20"/>
                <w:lang w:eastAsia="en-AU"/>
              </w:rPr>
              <w:t>Social Community Civic</w:t>
            </w:r>
          </w:p>
        </w:tc>
        <w:tc>
          <w:tcPr>
            <w:tcW w:w="993" w:type="dxa"/>
            <w:hideMark/>
          </w:tcPr>
          <w:p w14:paraId="216B9B72" w14:textId="77777777" w:rsidR="002D0A2F" w:rsidRPr="00E00F05" w:rsidRDefault="002D0A2F" w:rsidP="007B1EE1">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19,800</w:t>
            </w:r>
          </w:p>
        </w:tc>
        <w:tc>
          <w:tcPr>
            <w:tcW w:w="1134" w:type="dxa"/>
            <w:hideMark/>
          </w:tcPr>
          <w:p w14:paraId="38373B42" w14:textId="77777777" w:rsidR="002D0A2F" w:rsidRPr="00E00F05" w:rsidRDefault="002D0A2F" w:rsidP="007B1EE1">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17,600</w:t>
            </w:r>
          </w:p>
        </w:tc>
        <w:tc>
          <w:tcPr>
            <w:tcW w:w="1275" w:type="dxa"/>
            <w:hideMark/>
          </w:tcPr>
          <w:p w14:paraId="39E91A75" w14:textId="77777777" w:rsidR="002D0A2F" w:rsidRPr="00E00F05" w:rsidRDefault="002D0A2F" w:rsidP="007B1EE1">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16,100</w:t>
            </w:r>
          </w:p>
        </w:tc>
        <w:tc>
          <w:tcPr>
            <w:tcW w:w="1134" w:type="dxa"/>
            <w:hideMark/>
          </w:tcPr>
          <w:p w14:paraId="3EA8DF48" w14:textId="77777777" w:rsidR="002D0A2F" w:rsidRPr="00E00F05" w:rsidRDefault="002D0A2F" w:rsidP="007B1EE1">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15,900</w:t>
            </w:r>
          </w:p>
        </w:tc>
        <w:tc>
          <w:tcPr>
            <w:tcW w:w="1134" w:type="dxa"/>
            <w:hideMark/>
          </w:tcPr>
          <w:p w14:paraId="6F8AB2C2" w14:textId="77777777" w:rsidR="002D0A2F" w:rsidRPr="00E00F05" w:rsidRDefault="002D0A2F" w:rsidP="007B1EE1">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10,100</w:t>
            </w:r>
          </w:p>
        </w:tc>
      </w:tr>
      <w:tr w:rsidR="002D0A2F" w:rsidRPr="00E00F05" w14:paraId="7D67A025" w14:textId="77777777" w:rsidTr="007B1EE1">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94" w:type="dxa"/>
            <w:hideMark/>
          </w:tcPr>
          <w:p w14:paraId="7B6BDEFF" w14:textId="77777777" w:rsidR="002D0A2F" w:rsidRPr="00E00F05" w:rsidRDefault="002D0A2F"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sz w:val="20"/>
                <w:szCs w:val="20"/>
                <w:lang w:eastAsia="en-AU"/>
              </w:rPr>
              <w:t>Transport</w:t>
            </w:r>
          </w:p>
        </w:tc>
        <w:tc>
          <w:tcPr>
            <w:tcW w:w="993" w:type="dxa"/>
            <w:hideMark/>
          </w:tcPr>
          <w:p w14:paraId="7456C648"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1,600</w:t>
            </w:r>
          </w:p>
        </w:tc>
        <w:tc>
          <w:tcPr>
            <w:tcW w:w="1134" w:type="dxa"/>
            <w:hideMark/>
          </w:tcPr>
          <w:p w14:paraId="4001BCDB"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1,500</w:t>
            </w:r>
          </w:p>
        </w:tc>
        <w:tc>
          <w:tcPr>
            <w:tcW w:w="1275" w:type="dxa"/>
            <w:hideMark/>
          </w:tcPr>
          <w:p w14:paraId="1DB6EB69"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1,500</w:t>
            </w:r>
          </w:p>
        </w:tc>
        <w:tc>
          <w:tcPr>
            <w:tcW w:w="1134" w:type="dxa"/>
            <w:hideMark/>
          </w:tcPr>
          <w:p w14:paraId="0D71EA6C"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1,600</w:t>
            </w:r>
          </w:p>
        </w:tc>
        <w:tc>
          <w:tcPr>
            <w:tcW w:w="1134" w:type="dxa"/>
            <w:hideMark/>
          </w:tcPr>
          <w:p w14:paraId="663AEB74"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1,600</w:t>
            </w:r>
          </w:p>
        </w:tc>
      </w:tr>
      <w:tr w:rsidR="002D0A2F" w:rsidRPr="00E00F05" w14:paraId="50633798" w14:textId="77777777" w:rsidTr="007B1EE1">
        <w:trPr>
          <w:trHeight w:hRule="exact" w:val="301"/>
        </w:trPr>
        <w:tc>
          <w:tcPr>
            <w:cnfStyle w:val="001000000000" w:firstRow="0" w:lastRow="0" w:firstColumn="1" w:lastColumn="0" w:oddVBand="0" w:evenVBand="0" w:oddHBand="0" w:evenHBand="0" w:firstRowFirstColumn="0" w:firstRowLastColumn="0" w:lastRowFirstColumn="0" w:lastRowLastColumn="0"/>
            <w:tcW w:w="3394" w:type="dxa"/>
            <w:hideMark/>
          </w:tcPr>
          <w:p w14:paraId="0B77B7EF" w14:textId="77777777" w:rsidR="002D0A2F" w:rsidRPr="00E00F05" w:rsidRDefault="002D0A2F"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sz w:val="20"/>
                <w:szCs w:val="20"/>
                <w:lang w:eastAsia="en-AU"/>
              </w:rPr>
              <w:t>Assistive Technology</w:t>
            </w:r>
          </w:p>
        </w:tc>
        <w:tc>
          <w:tcPr>
            <w:tcW w:w="993" w:type="dxa"/>
            <w:hideMark/>
          </w:tcPr>
          <w:p w14:paraId="0AD8157B" w14:textId="77777777" w:rsidR="002D0A2F" w:rsidRPr="00E00F05" w:rsidRDefault="002D0A2F" w:rsidP="007B1EE1">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1,400</w:t>
            </w:r>
          </w:p>
        </w:tc>
        <w:tc>
          <w:tcPr>
            <w:tcW w:w="1134" w:type="dxa"/>
            <w:hideMark/>
          </w:tcPr>
          <w:p w14:paraId="1EBCD85E" w14:textId="77777777" w:rsidR="002D0A2F" w:rsidRPr="00E00F05" w:rsidRDefault="002D0A2F" w:rsidP="007B1EE1">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1,800</w:t>
            </w:r>
          </w:p>
        </w:tc>
        <w:tc>
          <w:tcPr>
            <w:tcW w:w="1275" w:type="dxa"/>
            <w:hideMark/>
          </w:tcPr>
          <w:p w14:paraId="4DC548F7" w14:textId="77777777" w:rsidR="002D0A2F" w:rsidRPr="00E00F05" w:rsidRDefault="002D0A2F" w:rsidP="007B1EE1">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2,500</w:t>
            </w:r>
          </w:p>
        </w:tc>
        <w:tc>
          <w:tcPr>
            <w:tcW w:w="1134" w:type="dxa"/>
            <w:hideMark/>
          </w:tcPr>
          <w:p w14:paraId="248D1C20" w14:textId="77777777" w:rsidR="002D0A2F" w:rsidRPr="00E00F05" w:rsidRDefault="002D0A2F" w:rsidP="007B1EE1">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3,000</w:t>
            </w:r>
          </w:p>
        </w:tc>
        <w:tc>
          <w:tcPr>
            <w:tcW w:w="1134" w:type="dxa"/>
            <w:hideMark/>
          </w:tcPr>
          <w:p w14:paraId="547CBCC8" w14:textId="77777777" w:rsidR="002D0A2F" w:rsidRPr="00E00F05" w:rsidRDefault="002D0A2F" w:rsidP="007B1EE1">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1,100</w:t>
            </w:r>
          </w:p>
        </w:tc>
      </w:tr>
      <w:tr w:rsidR="002D0A2F" w:rsidRPr="00E00F05" w14:paraId="587E2810" w14:textId="77777777" w:rsidTr="007B1EE1">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94" w:type="dxa"/>
            <w:hideMark/>
          </w:tcPr>
          <w:p w14:paraId="0958B47D" w14:textId="77777777" w:rsidR="002D0A2F" w:rsidRPr="00E00F05" w:rsidRDefault="002D0A2F"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sz w:val="20"/>
                <w:szCs w:val="20"/>
                <w:lang w:eastAsia="en-AU"/>
              </w:rPr>
              <w:t>Home Modifications</w:t>
            </w:r>
          </w:p>
        </w:tc>
        <w:tc>
          <w:tcPr>
            <w:tcW w:w="993" w:type="dxa"/>
            <w:hideMark/>
          </w:tcPr>
          <w:p w14:paraId="2B10D2F6"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900</w:t>
            </w:r>
          </w:p>
        </w:tc>
        <w:tc>
          <w:tcPr>
            <w:tcW w:w="1134" w:type="dxa"/>
            <w:hideMark/>
          </w:tcPr>
          <w:p w14:paraId="3F7A0002"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1,200</w:t>
            </w:r>
          </w:p>
        </w:tc>
        <w:tc>
          <w:tcPr>
            <w:tcW w:w="1275" w:type="dxa"/>
            <w:hideMark/>
          </w:tcPr>
          <w:p w14:paraId="465F21FF"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1,400</w:t>
            </w:r>
          </w:p>
        </w:tc>
        <w:tc>
          <w:tcPr>
            <w:tcW w:w="1134" w:type="dxa"/>
            <w:hideMark/>
          </w:tcPr>
          <w:p w14:paraId="4AA8023C"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1,600</w:t>
            </w:r>
          </w:p>
        </w:tc>
        <w:tc>
          <w:tcPr>
            <w:tcW w:w="1134" w:type="dxa"/>
            <w:hideMark/>
          </w:tcPr>
          <w:p w14:paraId="2A6AA665"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500</w:t>
            </w:r>
          </w:p>
        </w:tc>
      </w:tr>
      <w:tr w:rsidR="002D0A2F" w:rsidRPr="00E00F05" w14:paraId="47C2614E" w14:textId="77777777" w:rsidTr="007B1EE1">
        <w:trPr>
          <w:trHeight w:hRule="exact" w:val="301"/>
        </w:trPr>
        <w:tc>
          <w:tcPr>
            <w:cnfStyle w:val="001000000000" w:firstRow="0" w:lastRow="0" w:firstColumn="1" w:lastColumn="0" w:oddVBand="0" w:evenVBand="0" w:oddHBand="0" w:evenHBand="0" w:firstRowFirstColumn="0" w:firstRowLastColumn="0" w:lastRowFirstColumn="0" w:lastRowLastColumn="0"/>
            <w:tcW w:w="3394" w:type="dxa"/>
            <w:hideMark/>
          </w:tcPr>
          <w:p w14:paraId="7AD3D091" w14:textId="77777777" w:rsidR="002D0A2F" w:rsidRPr="00E00F05" w:rsidRDefault="002D0A2F"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themeColor="text1"/>
                <w:sz w:val="20"/>
                <w:szCs w:val="20"/>
                <w:lang w:eastAsia="en-AU"/>
              </w:rPr>
              <w:t>Capacity Building Daily Activities</w:t>
            </w:r>
          </w:p>
        </w:tc>
        <w:tc>
          <w:tcPr>
            <w:tcW w:w="993" w:type="dxa"/>
            <w:hideMark/>
          </w:tcPr>
          <w:p w14:paraId="2AF533F4" w14:textId="77777777" w:rsidR="002D0A2F" w:rsidRPr="00E00F05" w:rsidRDefault="002D0A2F" w:rsidP="007B1EE1">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4,900</w:t>
            </w:r>
          </w:p>
        </w:tc>
        <w:tc>
          <w:tcPr>
            <w:tcW w:w="1134" w:type="dxa"/>
            <w:hideMark/>
          </w:tcPr>
          <w:p w14:paraId="1BD6D310" w14:textId="77777777" w:rsidR="002D0A2F" w:rsidRPr="00E00F05" w:rsidRDefault="002D0A2F" w:rsidP="007B1EE1">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5,200</w:t>
            </w:r>
          </w:p>
        </w:tc>
        <w:tc>
          <w:tcPr>
            <w:tcW w:w="1275" w:type="dxa"/>
            <w:hideMark/>
          </w:tcPr>
          <w:p w14:paraId="1B6BC1DD" w14:textId="77777777" w:rsidR="002D0A2F" w:rsidRPr="00E00F05" w:rsidRDefault="002D0A2F" w:rsidP="007B1EE1">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5,400</w:t>
            </w:r>
          </w:p>
        </w:tc>
        <w:tc>
          <w:tcPr>
            <w:tcW w:w="1134" w:type="dxa"/>
            <w:hideMark/>
          </w:tcPr>
          <w:p w14:paraId="0FF905D8" w14:textId="77777777" w:rsidR="002D0A2F" w:rsidRPr="00E00F05" w:rsidRDefault="002D0A2F" w:rsidP="007B1EE1">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5,800</w:t>
            </w:r>
          </w:p>
        </w:tc>
        <w:tc>
          <w:tcPr>
            <w:tcW w:w="1134" w:type="dxa"/>
            <w:hideMark/>
          </w:tcPr>
          <w:p w14:paraId="5F61D8AD" w14:textId="77777777" w:rsidR="002D0A2F" w:rsidRPr="00E00F05" w:rsidRDefault="002D0A2F" w:rsidP="007B1EE1">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6,700</w:t>
            </w:r>
          </w:p>
        </w:tc>
      </w:tr>
      <w:tr w:rsidR="002D0A2F" w:rsidRPr="00E00F05" w14:paraId="2C81BFC8" w14:textId="77777777" w:rsidTr="007B1EE1">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94" w:type="dxa"/>
            <w:hideMark/>
          </w:tcPr>
          <w:p w14:paraId="071BBBDD" w14:textId="77777777" w:rsidR="002D0A2F" w:rsidRPr="00E00F05" w:rsidRDefault="002D0A2F"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themeColor="text1"/>
                <w:sz w:val="20"/>
                <w:szCs w:val="20"/>
                <w:lang w:eastAsia="en-AU"/>
              </w:rPr>
              <w:t>Employment</w:t>
            </w:r>
          </w:p>
        </w:tc>
        <w:tc>
          <w:tcPr>
            <w:tcW w:w="993" w:type="dxa"/>
            <w:hideMark/>
          </w:tcPr>
          <w:p w14:paraId="4E02CE8C"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100</w:t>
            </w:r>
          </w:p>
        </w:tc>
        <w:tc>
          <w:tcPr>
            <w:tcW w:w="1134" w:type="dxa"/>
            <w:hideMark/>
          </w:tcPr>
          <w:p w14:paraId="5CBAB2B7"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100</w:t>
            </w:r>
          </w:p>
        </w:tc>
        <w:tc>
          <w:tcPr>
            <w:tcW w:w="1275" w:type="dxa"/>
          </w:tcPr>
          <w:p w14:paraId="0166F8DE"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p>
        </w:tc>
        <w:tc>
          <w:tcPr>
            <w:tcW w:w="1134" w:type="dxa"/>
          </w:tcPr>
          <w:p w14:paraId="6665FCB7"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p>
        </w:tc>
        <w:tc>
          <w:tcPr>
            <w:tcW w:w="1134" w:type="dxa"/>
            <w:hideMark/>
          </w:tcPr>
          <w:p w14:paraId="719CEECA"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200</w:t>
            </w:r>
          </w:p>
        </w:tc>
      </w:tr>
      <w:tr w:rsidR="002D0A2F" w:rsidRPr="00E00F05" w14:paraId="40FD4E6E" w14:textId="77777777" w:rsidTr="007B1EE1">
        <w:trPr>
          <w:trHeight w:hRule="exact" w:val="301"/>
        </w:trPr>
        <w:tc>
          <w:tcPr>
            <w:cnfStyle w:val="001000000000" w:firstRow="0" w:lastRow="0" w:firstColumn="1" w:lastColumn="0" w:oddVBand="0" w:evenVBand="0" w:oddHBand="0" w:evenHBand="0" w:firstRowFirstColumn="0" w:firstRowLastColumn="0" w:lastRowFirstColumn="0" w:lastRowLastColumn="0"/>
            <w:tcW w:w="3394" w:type="dxa"/>
            <w:hideMark/>
          </w:tcPr>
          <w:p w14:paraId="08A73400" w14:textId="77777777" w:rsidR="002D0A2F" w:rsidRPr="00E00F05" w:rsidRDefault="002D0A2F"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sz w:val="20"/>
                <w:szCs w:val="20"/>
                <w:lang w:eastAsia="en-AU"/>
              </w:rPr>
              <w:t>Support Coordination</w:t>
            </w:r>
          </w:p>
        </w:tc>
        <w:tc>
          <w:tcPr>
            <w:tcW w:w="993" w:type="dxa"/>
            <w:hideMark/>
          </w:tcPr>
          <w:p w14:paraId="11829D66" w14:textId="77777777" w:rsidR="002D0A2F" w:rsidRPr="00E00F05" w:rsidRDefault="002D0A2F" w:rsidP="007B1EE1">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2,600</w:t>
            </w:r>
          </w:p>
        </w:tc>
        <w:tc>
          <w:tcPr>
            <w:tcW w:w="1134" w:type="dxa"/>
            <w:hideMark/>
          </w:tcPr>
          <w:p w14:paraId="5ADD0AC6" w14:textId="77777777" w:rsidR="002D0A2F" w:rsidRPr="00E00F05" w:rsidRDefault="002D0A2F" w:rsidP="007B1EE1">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2,800</w:t>
            </w:r>
          </w:p>
        </w:tc>
        <w:tc>
          <w:tcPr>
            <w:tcW w:w="1275" w:type="dxa"/>
            <w:hideMark/>
          </w:tcPr>
          <w:p w14:paraId="6CF33B06" w14:textId="77777777" w:rsidR="002D0A2F" w:rsidRPr="00E00F05" w:rsidRDefault="002D0A2F" w:rsidP="007B1EE1">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2,700</w:t>
            </w:r>
          </w:p>
        </w:tc>
        <w:tc>
          <w:tcPr>
            <w:tcW w:w="1134" w:type="dxa"/>
            <w:hideMark/>
          </w:tcPr>
          <w:p w14:paraId="4A2C4100" w14:textId="77777777" w:rsidR="002D0A2F" w:rsidRPr="00E00F05" w:rsidRDefault="002D0A2F" w:rsidP="007B1EE1">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2,700</w:t>
            </w:r>
          </w:p>
        </w:tc>
        <w:tc>
          <w:tcPr>
            <w:tcW w:w="1134" w:type="dxa"/>
            <w:hideMark/>
          </w:tcPr>
          <w:p w14:paraId="1EC68587" w14:textId="77777777" w:rsidR="002D0A2F" w:rsidRPr="00E00F05" w:rsidRDefault="002D0A2F" w:rsidP="007B1EE1">
            <w:pPr>
              <w:keepNext/>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E00F05">
              <w:rPr>
                <w:rFonts w:cs="Arial"/>
                <w:color w:val="000000"/>
                <w:sz w:val="20"/>
                <w:szCs w:val="20"/>
              </w:rPr>
              <w:t>1,500</w:t>
            </w:r>
          </w:p>
        </w:tc>
      </w:tr>
      <w:tr w:rsidR="002D0A2F" w:rsidRPr="00E00F05" w14:paraId="3DFFDA04" w14:textId="77777777" w:rsidTr="007B1EE1">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394" w:type="dxa"/>
            <w:tcBorders>
              <w:bottom w:val="single" w:sz="4" w:space="0" w:color="auto"/>
            </w:tcBorders>
            <w:hideMark/>
          </w:tcPr>
          <w:p w14:paraId="50B6A940" w14:textId="77777777" w:rsidR="002D0A2F" w:rsidRPr="00E00F05" w:rsidRDefault="002D0A2F" w:rsidP="007B1EE1">
            <w:pPr>
              <w:keepNext/>
              <w:spacing w:after="0" w:line="240" w:lineRule="auto"/>
              <w:textAlignment w:val="baseline"/>
              <w:rPr>
                <w:rFonts w:eastAsia="Times New Roman" w:cs="Arial"/>
                <w:sz w:val="20"/>
                <w:szCs w:val="20"/>
                <w:lang w:eastAsia="en-AU"/>
              </w:rPr>
            </w:pPr>
            <w:r w:rsidRPr="00E00F05">
              <w:rPr>
                <w:rFonts w:eastAsia="Times New Roman" w:cs="Arial"/>
                <w:color w:val="000000" w:themeColor="text1"/>
                <w:sz w:val="20"/>
                <w:szCs w:val="20"/>
                <w:lang w:eastAsia="en-AU"/>
              </w:rPr>
              <w:t>Remaining Capacity Building</w:t>
            </w:r>
          </w:p>
        </w:tc>
        <w:tc>
          <w:tcPr>
            <w:tcW w:w="993" w:type="dxa"/>
            <w:tcBorders>
              <w:bottom w:val="single" w:sz="4" w:space="0" w:color="auto"/>
            </w:tcBorders>
            <w:hideMark/>
          </w:tcPr>
          <w:p w14:paraId="0A87ED8C"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2,200</w:t>
            </w:r>
          </w:p>
        </w:tc>
        <w:tc>
          <w:tcPr>
            <w:tcW w:w="1134" w:type="dxa"/>
            <w:tcBorders>
              <w:bottom w:val="single" w:sz="4" w:space="0" w:color="auto"/>
            </w:tcBorders>
            <w:hideMark/>
          </w:tcPr>
          <w:p w14:paraId="1BB0B98D"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2,100</w:t>
            </w:r>
          </w:p>
        </w:tc>
        <w:tc>
          <w:tcPr>
            <w:tcW w:w="1275" w:type="dxa"/>
            <w:tcBorders>
              <w:bottom w:val="single" w:sz="4" w:space="0" w:color="auto"/>
            </w:tcBorders>
            <w:hideMark/>
          </w:tcPr>
          <w:p w14:paraId="65CB17B5"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1,900</w:t>
            </w:r>
          </w:p>
        </w:tc>
        <w:tc>
          <w:tcPr>
            <w:tcW w:w="1134" w:type="dxa"/>
            <w:tcBorders>
              <w:bottom w:val="single" w:sz="4" w:space="0" w:color="auto"/>
            </w:tcBorders>
            <w:hideMark/>
          </w:tcPr>
          <w:p w14:paraId="3B597184"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1,900</w:t>
            </w:r>
          </w:p>
        </w:tc>
        <w:tc>
          <w:tcPr>
            <w:tcW w:w="1134" w:type="dxa"/>
            <w:tcBorders>
              <w:bottom w:val="single" w:sz="4" w:space="0" w:color="auto"/>
            </w:tcBorders>
            <w:hideMark/>
          </w:tcPr>
          <w:p w14:paraId="7164AAF8" w14:textId="77777777" w:rsidR="002D0A2F" w:rsidRPr="00E00F05" w:rsidRDefault="002D0A2F" w:rsidP="007B1EE1">
            <w:pPr>
              <w:keepNext/>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E00F05">
              <w:rPr>
                <w:rFonts w:cs="Arial"/>
                <w:color w:val="000000"/>
                <w:sz w:val="20"/>
                <w:szCs w:val="20"/>
              </w:rPr>
              <w:t>1,800</w:t>
            </w:r>
          </w:p>
        </w:tc>
      </w:tr>
      <w:tr w:rsidR="002D0A2F" w:rsidRPr="00E00F05" w14:paraId="2BFDF28F" w14:textId="77777777" w:rsidTr="00252EAF">
        <w:trPr>
          <w:trHeight w:hRule="exact" w:val="301"/>
        </w:trPr>
        <w:tc>
          <w:tcPr>
            <w:cnfStyle w:val="001000000000" w:firstRow="0" w:lastRow="0" w:firstColumn="1" w:lastColumn="0" w:oddVBand="0" w:evenVBand="0" w:oddHBand="0" w:evenHBand="0" w:firstRowFirstColumn="0" w:firstRowLastColumn="0" w:lastRowFirstColumn="0" w:lastRowLastColumn="0"/>
            <w:tcW w:w="3394" w:type="dxa"/>
            <w:tcBorders>
              <w:top w:val="single" w:sz="4" w:space="0" w:color="auto"/>
              <w:bottom w:val="single" w:sz="4" w:space="0" w:color="auto"/>
            </w:tcBorders>
            <w:shd w:val="clear" w:color="auto" w:fill="D4C5D7"/>
            <w:hideMark/>
          </w:tcPr>
          <w:p w14:paraId="1B5B90EA" w14:textId="77777777" w:rsidR="002D0A2F" w:rsidRPr="00E00F05" w:rsidRDefault="002D0A2F" w:rsidP="007B1EE1">
            <w:pPr>
              <w:keepNext/>
              <w:spacing w:after="0" w:line="240" w:lineRule="auto"/>
              <w:textAlignment w:val="baseline"/>
              <w:rPr>
                <w:rFonts w:eastAsia="Times New Roman" w:cs="Arial"/>
                <w:sz w:val="20"/>
                <w:szCs w:val="20"/>
                <w:lang w:eastAsia="en-AU"/>
              </w:rPr>
            </w:pPr>
            <w:r w:rsidRPr="00E00F05">
              <w:rPr>
                <w:rFonts w:eastAsia="Times New Roman" w:cs="Arial"/>
                <w:b/>
                <w:bCs/>
                <w:color w:val="000000"/>
                <w:sz w:val="20"/>
                <w:szCs w:val="20"/>
                <w:lang w:eastAsia="en-AU"/>
              </w:rPr>
              <w:t>Total</w:t>
            </w:r>
          </w:p>
        </w:tc>
        <w:tc>
          <w:tcPr>
            <w:tcW w:w="993" w:type="dxa"/>
            <w:tcBorders>
              <w:top w:val="single" w:sz="4" w:space="0" w:color="auto"/>
              <w:bottom w:val="single" w:sz="4" w:space="0" w:color="auto"/>
            </w:tcBorders>
            <w:shd w:val="clear" w:color="auto" w:fill="D4C5D7"/>
            <w:hideMark/>
          </w:tcPr>
          <w:p w14:paraId="22D32319" w14:textId="77777777" w:rsidR="002D0A2F" w:rsidRPr="00E00F05" w:rsidRDefault="002D0A2F">
            <w:pPr>
              <w:keepNext/>
              <w:spacing w:after="0"/>
              <w:cnfStyle w:val="000000000000" w:firstRow="0" w:lastRow="0" w:firstColumn="0" w:lastColumn="0" w:oddVBand="0" w:evenVBand="0" w:oddHBand="0" w:evenHBand="0" w:firstRowFirstColumn="0" w:firstRowLastColumn="0" w:lastRowFirstColumn="0" w:lastRowLastColumn="0"/>
              <w:rPr>
                <w:rFonts w:cs="Arial"/>
                <w:b/>
                <w:bCs/>
                <w:color w:val="000000"/>
                <w:sz w:val="20"/>
                <w:szCs w:val="20"/>
              </w:rPr>
            </w:pPr>
            <w:r w:rsidRPr="00E00F05">
              <w:rPr>
                <w:rFonts w:cs="Arial"/>
                <w:b/>
                <w:bCs/>
                <w:color w:val="000000"/>
                <w:sz w:val="20"/>
                <w:szCs w:val="20"/>
              </w:rPr>
              <w:t>88,800</w:t>
            </w:r>
          </w:p>
        </w:tc>
        <w:tc>
          <w:tcPr>
            <w:tcW w:w="1134" w:type="dxa"/>
            <w:tcBorders>
              <w:top w:val="single" w:sz="4" w:space="0" w:color="auto"/>
              <w:bottom w:val="single" w:sz="4" w:space="0" w:color="auto"/>
            </w:tcBorders>
            <w:shd w:val="clear" w:color="auto" w:fill="D4C5D7"/>
            <w:hideMark/>
          </w:tcPr>
          <w:p w14:paraId="18F63181" w14:textId="77777777" w:rsidR="002D0A2F" w:rsidRPr="00E00F05" w:rsidRDefault="002D0A2F">
            <w:pPr>
              <w:keepNext/>
              <w:spacing w:after="0"/>
              <w:cnfStyle w:val="000000000000" w:firstRow="0" w:lastRow="0" w:firstColumn="0" w:lastColumn="0" w:oddVBand="0" w:evenVBand="0" w:oddHBand="0" w:evenHBand="0" w:firstRowFirstColumn="0" w:firstRowLastColumn="0" w:lastRowFirstColumn="0" w:lastRowLastColumn="0"/>
              <w:rPr>
                <w:rFonts w:cs="Arial"/>
                <w:b/>
                <w:bCs/>
                <w:color w:val="000000"/>
                <w:sz w:val="20"/>
                <w:szCs w:val="20"/>
              </w:rPr>
            </w:pPr>
            <w:r w:rsidRPr="00E00F05">
              <w:rPr>
                <w:rFonts w:cs="Arial"/>
                <w:b/>
                <w:bCs/>
                <w:color w:val="000000"/>
                <w:sz w:val="20"/>
                <w:szCs w:val="20"/>
              </w:rPr>
              <w:t>90,600</w:t>
            </w:r>
          </w:p>
        </w:tc>
        <w:tc>
          <w:tcPr>
            <w:tcW w:w="1275" w:type="dxa"/>
            <w:tcBorders>
              <w:top w:val="single" w:sz="4" w:space="0" w:color="auto"/>
              <w:bottom w:val="single" w:sz="4" w:space="0" w:color="auto"/>
            </w:tcBorders>
            <w:shd w:val="clear" w:color="auto" w:fill="D4C5D7"/>
            <w:hideMark/>
          </w:tcPr>
          <w:p w14:paraId="37D5D6EA" w14:textId="77777777" w:rsidR="002D0A2F" w:rsidRPr="00E00F05" w:rsidRDefault="002D0A2F">
            <w:pPr>
              <w:keepNext/>
              <w:spacing w:after="0"/>
              <w:cnfStyle w:val="000000000000" w:firstRow="0" w:lastRow="0" w:firstColumn="0" w:lastColumn="0" w:oddVBand="0" w:evenVBand="0" w:oddHBand="0" w:evenHBand="0" w:firstRowFirstColumn="0" w:firstRowLastColumn="0" w:lastRowFirstColumn="0" w:lastRowLastColumn="0"/>
              <w:rPr>
                <w:rFonts w:cs="Arial"/>
                <w:b/>
                <w:bCs/>
                <w:color w:val="000000"/>
                <w:sz w:val="20"/>
                <w:szCs w:val="20"/>
              </w:rPr>
            </w:pPr>
            <w:r w:rsidRPr="00E00F05">
              <w:rPr>
                <w:rFonts w:cs="Arial"/>
                <w:b/>
                <w:bCs/>
                <w:color w:val="000000"/>
                <w:sz w:val="20"/>
                <w:szCs w:val="20"/>
              </w:rPr>
              <w:t>91,600</w:t>
            </w:r>
          </w:p>
        </w:tc>
        <w:tc>
          <w:tcPr>
            <w:tcW w:w="1134" w:type="dxa"/>
            <w:tcBorders>
              <w:top w:val="single" w:sz="4" w:space="0" w:color="auto"/>
              <w:bottom w:val="single" w:sz="4" w:space="0" w:color="auto"/>
            </w:tcBorders>
            <w:shd w:val="clear" w:color="auto" w:fill="D4C5D7"/>
            <w:hideMark/>
          </w:tcPr>
          <w:p w14:paraId="21A29990" w14:textId="77777777" w:rsidR="002D0A2F" w:rsidRPr="00E00F05" w:rsidRDefault="002D0A2F">
            <w:pPr>
              <w:keepNext/>
              <w:spacing w:after="0"/>
              <w:cnfStyle w:val="000000000000" w:firstRow="0" w:lastRow="0" w:firstColumn="0" w:lastColumn="0" w:oddVBand="0" w:evenVBand="0" w:oddHBand="0" w:evenHBand="0" w:firstRowFirstColumn="0" w:firstRowLastColumn="0" w:lastRowFirstColumn="0" w:lastRowLastColumn="0"/>
              <w:rPr>
                <w:rFonts w:cs="Arial"/>
                <w:b/>
                <w:bCs/>
                <w:color w:val="000000"/>
                <w:sz w:val="20"/>
                <w:szCs w:val="20"/>
              </w:rPr>
            </w:pPr>
            <w:r w:rsidRPr="00E00F05">
              <w:rPr>
                <w:rFonts w:cs="Arial"/>
                <w:b/>
                <w:bCs/>
                <w:color w:val="000000"/>
                <w:sz w:val="20"/>
                <w:szCs w:val="20"/>
              </w:rPr>
              <w:t>93,000</w:t>
            </w:r>
          </w:p>
        </w:tc>
        <w:tc>
          <w:tcPr>
            <w:tcW w:w="1134" w:type="dxa"/>
            <w:tcBorders>
              <w:top w:val="single" w:sz="4" w:space="0" w:color="auto"/>
              <w:bottom w:val="single" w:sz="4" w:space="0" w:color="auto"/>
            </w:tcBorders>
            <w:shd w:val="clear" w:color="auto" w:fill="D4C5D7"/>
            <w:hideMark/>
          </w:tcPr>
          <w:p w14:paraId="75E9F8E2" w14:textId="77777777" w:rsidR="002D0A2F" w:rsidRPr="00E00F05" w:rsidRDefault="002D0A2F">
            <w:pPr>
              <w:keepNext/>
              <w:spacing w:after="0"/>
              <w:cnfStyle w:val="000000000000" w:firstRow="0" w:lastRow="0" w:firstColumn="0" w:lastColumn="0" w:oddVBand="0" w:evenVBand="0" w:oddHBand="0" w:evenHBand="0" w:firstRowFirstColumn="0" w:firstRowLastColumn="0" w:lastRowFirstColumn="0" w:lastRowLastColumn="0"/>
              <w:rPr>
                <w:rFonts w:cs="Arial"/>
                <w:b/>
                <w:bCs/>
                <w:color w:val="000000"/>
                <w:sz w:val="20"/>
                <w:szCs w:val="20"/>
              </w:rPr>
            </w:pPr>
            <w:r w:rsidRPr="00E00F05">
              <w:rPr>
                <w:rFonts w:cs="Arial"/>
                <w:b/>
                <w:bCs/>
                <w:color w:val="000000"/>
                <w:sz w:val="20"/>
                <w:szCs w:val="20"/>
              </w:rPr>
              <w:t>53,700</w:t>
            </w:r>
          </w:p>
        </w:tc>
      </w:tr>
    </w:tbl>
    <w:p w14:paraId="484F268C" w14:textId="77777777" w:rsidR="00BF7697" w:rsidRDefault="000F7D23" w:rsidP="00F830E6">
      <w:pPr>
        <w:pStyle w:val="FSRnormal"/>
        <w:spacing w:after="120"/>
        <w:rPr>
          <w:lang w:eastAsia="en-AU"/>
        </w:rPr>
      </w:pPr>
      <w:r w:rsidRPr="00A561EF">
        <w:t xml:space="preserve">Table </w:t>
      </w:r>
      <w:r>
        <w:rPr>
          <w:noProof/>
        </w:rPr>
        <w:t>5</w:t>
      </w:r>
      <w:r>
        <w:t>.</w:t>
      </w:r>
      <w:r>
        <w:rPr>
          <w:noProof/>
        </w:rPr>
        <w:t>19</w:t>
      </w:r>
      <w:r w:rsidR="00E00F05">
        <w:rPr>
          <w:lang w:eastAsia="en-AU"/>
        </w:rPr>
        <w:t xml:space="preserve"> s</w:t>
      </w:r>
      <w:r w:rsidR="00BF7697">
        <w:rPr>
          <w:lang w:eastAsia="en-AU"/>
        </w:rPr>
        <w:t>hows higher average payment assumptions for Core Daily Activities and Social Community &amp; Civic, the two largest support categories</w:t>
      </w:r>
      <w:r w:rsidR="00861724">
        <w:rPr>
          <w:lang w:eastAsia="en-AU"/>
        </w:rPr>
        <w:t xml:space="preserve">. Assumptions are also higher for participants </w:t>
      </w:r>
      <w:r w:rsidR="00BF7697">
        <w:rPr>
          <w:lang w:eastAsia="en-AU"/>
        </w:rPr>
        <w:t>age</w:t>
      </w:r>
      <w:r w:rsidR="00861724">
        <w:rPr>
          <w:lang w:eastAsia="en-AU"/>
        </w:rPr>
        <w:t>d</w:t>
      </w:r>
      <w:r w:rsidR="00BF7697">
        <w:rPr>
          <w:lang w:eastAsia="en-AU"/>
        </w:rPr>
        <w:t xml:space="preserve"> 1</w:t>
      </w:r>
      <w:r w:rsidR="008523A0">
        <w:rPr>
          <w:lang w:eastAsia="en-AU"/>
        </w:rPr>
        <w:t>5</w:t>
      </w:r>
      <w:r w:rsidR="00BF7697">
        <w:rPr>
          <w:lang w:eastAsia="en-AU"/>
        </w:rPr>
        <w:t xml:space="preserve"> years and over. </w:t>
      </w:r>
      <w:r w:rsidR="008523A0">
        <w:rPr>
          <w:lang w:eastAsia="en-AU"/>
        </w:rPr>
        <w:t>T</w:t>
      </w:r>
      <w:r w:rsidR="00BF7697">
        <w:rPr>
          <w:lang w:eastAsia="en-AU"/>
        </w:rPr>
        <w:t xml:space="preserve">he highest average payment for </w:t>
      </w:r>
      <w:r w:rsidR="00861724">
        <w:rPr>
          <w:lang w:eastAsia="en-AU"/>
        </w:rPr>
        <w:t xml:space="preserve">participants aged </w:t>
      </w:r>
      <w:r w:rsidR="00BF7697">
        <w:rPr>
          <w:lang w:eastAsia="en-AU"/>
        </w:rPr>
        <w:t>0 to 14 is Capacity Building Daily Activities (which includes therapies).</w:t>
      </w:r>
    </w:p>
    <w:p w14:paraId="1F86B775" w14:textId="77777777" w:rsidR="00BA5058" w:rsidRDefault="00BA5058">
      <w:pPr>
        <w:spacing w:after="160" w:line="259" w:lineRule="auto"/>
        <w:rPr>
          <w:lang w:eastAsia="en-AU"/>
        </w:rPr>
      </w:pPr>
      <w:r>
        <w:rPr>
          <w:lang w:eastAsia="en-AU"/>
        </w:rPr>
        <w:br w:type="page"/>
      </w:r>
    </w:p>
    <w:p w14:paraId="0E38BAE1" w14:textId="77777777" w:rsidR="00BF7697" w:rsidRPr="001D15ED" w:rsidRDefault="00BF7697" w:rsidP="00BF7697">
      <w:pPr>
        <w:pStyle w:val="Heading3"/>
        <w:spacing w:before="360"/>
        <w:ind w:left="792" w:hanging="792"/>
      </w:pPr>
      <w:bookmarkStart w:id="229" w:name="_Toc118460205"/>
      <w:r w:rsidRPr="001D15ED">
        <w:lastRenderedPageBreak/>
        <w:t>Inflation assumptions</w:t>
      </w:r>
      <w:bookmarkEnd w:id="219"/>
      <w:bookmarkEnd w:id="220"/>
      <w:bookmarkEnd w:id="221"/>
      <w:bookmarkEnd w:id="229"/>
    </w:p>
    <w:p w14:paraId="31660622" w14:textId="77777777" w:rsidR="00BF7697" w:rsidRPr="001C0000" w:rsidRDefault="00C20533" w:rsidP="00252EAF">
      <w:pPr>
        <w:pStyle w:val="FSRnormal"/>
        <w:keepNext/>
        <w:keepLines/>
      </w:pPr>
      <w:r>
        <w:t xml:space="preserve">Scheme expenses </w:t>
      </w:r>
      <w:r w:rsidR="00BF7697" w:rsidRPr="001C0000">
        <w:t xml:space="preserve">are assumed to increase over time with inflation, both from normal inflationary sources (such as general increases in wages and consumer prices) and from additional cost pressures, referred to as </w:t>
      </w:r>
      <w:r>
        <w:t>additional inflation</w:t>
      </w:r>
      <w:r>
        <w:rPr>
          <w:rStyle w:val="FootnoteReference"/>
        </w:rPr>
        <w:footnoteReference w:id="103"/>
      </w:r>
      <w:r>
        <w:t xml:space="preserve"> in this report.</w:t>
      </w:r>
      <w:r w:rsidRPr="001C0000">
        <w:t xml:space="preserve"> </w:t>
      </w:r>
      <w:r>
        <w:t>Additional</w:t>
      </w:r>
      <w:r w:rsidRPr="001C0000">
        <w:t xml:space="preserve"> inflation may arise from a variety of sources including price increases in excess of normal inflation, increased volumes of service being utilised by participants, reductions in levels of informal support received by participants, and increases in scope of supports provided by the Scheme. </w:t>
      </w:r>
      <w:r w:rsidR="00BF7697" w:rsidRPr="001C0000">
        <w:t xml:space="preserve">These increases may be reflected in increased plan values, increased plan utilisation, or a combination of both. </w:t>
      </w:r>
    </w:p>
    <w:p w14:paraId="32060944" w14:textId="77777777" w:rsidR="00E35F10" w:rsidRPr="000368A8" w:rsidRDefault="00E35F10" w:rsidP="00E35F10">
      <w:pPr>
        <w:pStyle w:val="FSRnormal"/>
        <w:rPr>
          <w:highlight w:val="yellow"/>
        </w:rPr>
      </w:pPr>
      <w:r w:rsidRPr="001C0000">
        <w:t xml:space="preserve">Observed increases in average payment per participant (at an aggregate level) are also influenced by ongoing changes in the mix of participants. Specifically, new entrants to the </w:t>
      </w:r>
      <w:r>
        <w:t>S</w:t>
      </w:r>
      <w:r w:rsidRPr="001C0000">
        <w:t xml:space="preserve">cheme have </w:t>
      </w:r>
      <w:r>
        <w:t xml:space="preserve">higher functional capacity </w:t>
      </w:r>
      <w:r w:rsidR="00457995">
        <w:t xml:space="preserve">on average </w:t>
      </w:r>
      <w:r>
        <w:t>and hence lower average</w:t>
      </w:r>
      <w:r w:rsidR="00FD7490">
        <w:t xml:space="preserve"> expenses</w:t>
      </w:r>
      <w:r>
        <w:t xml:space="preserve"> </w:t>
      </w:r>
      <w:r w:rsidRPr="001C0000">
        <w:t>than existing participants. Taken in isolation</w:t>
      </w:r>
      <w:r>
        <w:t>,</w:t>
      </w:r>
      <w:r w:rsidRPr="001C0000">
        <w:t xml:space="preserve"> this change will lead to a reduction in average payment per participant (which will be observed as offsetting other sources of inflation which increase the average payment per participant). </w:t>
      </w:r>
      <w:r w:rsidRPr="007C2D70">
        <w:t xml:space="preserve">Changes in average payment resulting from participant mix are not explicitly modelled; rather they arise as a function of assumptions relating to new incidence, and mortality and </w:t>
      </w:r>
      <w:r>
        <w:t>participants leaving the Scheme</w:t>
      </w:r>
      <w:r w:rsidRPr="007C2D70">
        <w:t xml:space="preserve"> by cohort. </w:t>
      </w:r>
    </w:p>
    <w:p w14:paraId="2C9E310C" w14:textId="77777777" w:rsidR="00BF7697" w:rsidRPr="001D15ED" w:rsidRDefault="00BF7697" w:rsidP="00A55A6D">
      <w:pPr>
        <w:pStyle w:val="FSRHeading4"/>
      </w:pPr>
      <w:r w:rsidRPr="001D15ED">
        <w:t>Normal inflation and Annual Pricing Review</w:t>
      </w:r>
    </w:p>
    <w:p w14:paraId="4BCC6DCE" w14:textId="77777777" w:rsidR="00BF7697" w:rsidRPr="00A55A6D" w:rsidRDefault="00BF7697" w:rsidP="00A55A6D">
      <w:pPr>
        <w:pStyle w:val="FSRnormal"/>
      </w:pPr>
      <w:r w:rsidRPr="00A55A6D">
        <w:t>The changes to NDIS price limits as part of the 202</w:t>
      </w:r>
      <w:r w:rsidR="005E0BE6">
        <w:t>1</w:t>
      </w:r>
      <w:r w:rsidRPr="00A55A6D">
        <w:t>-2</w:t>
      </w:r>
      <w:r w:rsidR="005E0BE6">
        <w:t>2</w:t>
      </w:r>
      <w:r w:rsidRPr="00A55A6D">
        <w:t xml:space="preserve"> Annual Pricing Review</w:t>
      </w:r>
      <w:r w:rsidR="00130D2D">
        <w:t xml:space="preserve"> (APR)</w:t>
      </w:r>
      <w:r w:rsidRPr="00A55A6D">
        <w:t xml:space="preserve"> came into effect on 1 July 2022, and so have been used to set inflation assumptions for the initial year of the 2021-22 AFSR projection. (No separate rate of normal inflation is assumed for 2022-23.) This includes:</w:t>
      </w:r>
    </w:p>
    <w:p w14:paraId="7C9D4682" w14:textId="77777777" w:rsidR="00BF7697" w:rsidRPr="008F1987" w:rsidRDefault="00BF7697" w:rsidP="004E667E">
      <w:pPr>
        <w:pStyle w:val="FSRlist"/>
        <w:numPr>
          <w:ilvl w:val="0"/>
          <w:numId w:val="22"/>
        </w:numPr>
        <w:rPr>
          <w:rFonts w:asciiTheme="minorHAnsi" w:hAnsiTheme="minorHAnsi"/>
          <w:b/>
          <w:bCs/>
          <w:szCs w:val="22"/>
        </w:rPr>
      </w:pPr>
      <w:r w:rsidRPr="230F5976">
        <w:rPr>
          <w:b/>
          <w:bCs/>
        </w:rPr>
        <w:t>9.</w:t>
      </w:r>
      <w:r w:rsidR="006A4ADD">
        <w:rPr>
          <w:b/>
          <w:bCs/>
        </w:rPr>
        <w:t>05</w:t>
      </w:r>
      <w:r w:rsidRPr="230F5976">
        <w:rPr>
          <w:b/>
          <w:bCs/>
        </w:rPr>
        <w:t xml:space="preserve">% per annum increase for attendant care rates. </w:t>
      </w:r>
      <w:r>
        <w:t xml:space="preserve">This </w:t>
      </w:r>
      <w:r w:rsidR="00B06649">
        <w:t xml:space="preserve">includes a </w:t>
      </w:r>
      <w:r>
        <w:t xml:space="preserve">4.6% </w:t>
      </w:r>
      <w:r w:rsidR="00D067C5">
        <w:t>per annum</w:t>
      </w:r>
      <w:r>
        <w:t xml:space="preserve"> increase in the Fair Work Commission’s minimum wage for disability support workers, </w:t>
      </w:r>
      <w:r w:rsidR="00B06649">
        <w:t xml:space="preserve">a </w:t>
      </w:r>
      <w:r>
        <w:t xml:space="preserve">0.5% increase due to change in </w:t>
      </w:r>
      <w:r w:rsidR="00FD7490">
        <w:t xml:space="preserve">the </w:t>
      </w:r>
      <w:r>
        <w:t xml:space="preserve">superannuation </w:t>
      </w:r>
      <w:r w:rsidR="00FD7490">
        <w:t>guarantee contribution</w:t>
      </w:r>
      <w:r>
        <w:t xml:space="preserve"> and a further increase of 3.7% (2.0% of which is a temporary </w:t>
      </w:r>
      <w:r w:rsidR="00FD7490">
        <w:t xml:space="preserve">COVID-related </w:t>
      </w:r>
      <w:r>
        <w:t xml:space="preserve">loading assumed to apply for the 2022-23 year only). </w:t>
      </w:r>
    </w:p>
    <w:p w14:paraId="38A6DECA" w14:textId="77777777" w:rsidR="00BF7697" w:rsidRPr="008F1987" w:rsidRDefault="00B06649" w:rsidP="004E667E">
      <w:pPr>
        <w:pStyle w:val="FSRlist"/>
        <w:numPr>
          <w:ilvl w:val="0"/>
          <w:numId w:val="22"/>
        </w:numPr>
        <w:rPr>
          <w:b/>
          <w:bCs/>
        </w:rPr>
      </w:pPr>
      <w:r>
        <w:rPr>
          <w:b/>
          <w:bCs/>
        </w:rPr>
        <w:t>no</w:t>
      </w:r>
      <w:r w:rsidR="00BF7697" w:rsidRPr="230F5976">
        <w:rPr>
          <w:b/>
          <w:bCs/>
        </w:rPr>
        <w:t xml:space="preserve"> change for Therapy supports</w:t>
      </w:r>
    </w:p>
    <w:p w14:paraId="74BDC512" w14:textId="77777777" w:rsidR="00BF7697" w:rsidRPr="000A0950" w:rsidRDefault="00BF7697" w:rsidP="004E667E">
      <w:pPr>
        <w:pStyle w:val="FSRlist"/>
        <w:numPr>
          <w:ilvl w:val="0"/>
          <w:numId w:val="22"/>
        </w:numPr>
        <w:rPr>
          <w:b/>
          <w:bCs/>
        </w:rPr>
      </w:pPr>
      <w:r w:rsidRPr="230F5976">
        <w:rPr>
          <w:b/>
          <w:bCs/>
        </w:rPr>
        <w:t>5.1% for other core and capital supports</w:t>
      </w:r>
      <w:r>
        <w:t xml:space="preserve"> (predominantly assistive technology, home modifications, transport and consumables).  </w:t>
      </w:r>
    </w:p>
    <w:p w14:paraId="2F3E2DA4" w14:textId="77777777" w:rsidR="00BF7697" w:rsidRDefault="00BF7697" w:rsidP="00346949">
      <w:pPr>
        <w:pStyle w:val="FSRnormal"/>
      </w:pPr>
      <w:r>
        <w:t>The normal inflation rates adopted for the 2023-24 year onward reflect the most recent economic forecasts</w:t>
      </w:r>
      <w:r w:rsidR="00B06649">
        <w:t>,</w:t>
      </w:r>
      <w:r>
        <w:t xml:space="preserve"> rang</w:t>
      </w:r>
      <w:r w:rsidR="00B06649">
        <w:t>ing</w:t>
      </w:r>
      <w:r>
        <w:t xml:space="preserve"> from 3.1% to 4.0% per annum, and then continu</w:t>
      </w:r>
      <w:r w:rsidR="00B06649">
        <w:t>ing</w:t>
      </w:r>
      <w:r>
        <w:t xml:space="preserve"> at 3.3% per annum in the longer term. This comprises:</w:t>
      </w:r>
    </w:p>
    <w:p w14:paraId="7F69A7D8" w14:textId="77777777" w:rsidR="00BF7697" w:rsidRPr="00857183" w:rsidRDefault="00CB37D2" w:rsidP="00CB37D2">
      <w:pPr>
        <w:pStyle w:val="FSRlist"/>
        <w:numPr>
          <w:ilvl w:val="0"/>
          <w:numId w:val="23"/>
        </w:numPr>
        <w:rPr>
          <w:rFonts w:asciiTheme="minorHAnsi" w:hAnsiTheme="minorHAnsi"/>
          <w:szCs w:val="22"/>
        </w:rPr>
      </w:pPr>
      <w:r w:rsidRPr="00CB37D2">
        <w:rPr>
          <w:b/>
        </w:rPr>
        <w:t>For attendant care, a rate of 2.3% per annum in 2023-24 followed by 4% until 2025-26 and 3.5% thereafter.</w:t>
      </w:r>
      <w:r w:rsidRPr="00CB37D2">
        <w:t xml:space="preserve"> This is based on </w:t>
      </w:r>
      <w:r w:rsidR="00D34997">
        <w:t xml:space="preserve">the most recent </w:t>
      </w:r>
      <w:r w:rsidRPr="00CB37D2">
        <w:t xml:space="preserve">forecasts of the Wage Price Index </w:t>
      </w:r>
      <w:r w:rsidR="00457995">
        <w:t xml:space="preserve">(WPI) </w:t>
      </w:r>
      <w:r w:rsidRPr="00CB37D2">
        <w:t xml:space="preserve">and includes the gradual increase of the Superannuation Guarantee rate as an additional 0.5% per annum until 2025-26. The rate assumed for </w:t>
      </w:r>
      <w:r w:rsidRPr="00CB37D2">
        <w:lastRenderedPageBreak/>
        <w:t xml:space="preserve">2023-24 </w:t>
      </w:r>
      <w:r w:rsidR="00687259">
        <w:t xml:space="preserve">is </w:t>
      </w:r>
      <w:r w:rsidRPr="00CB37D2">
        <w:t xml:space="preserve">2.0% </w:t>
      </w:r>
      <w:r w:rsidR="00687259">
        <w:t xml:space="preserve">lower than that based on </w:t>
      </w:r>
      <w:r w:rsidR="00D115DA">
        <w:t xml:space="preserve">the </w:t>
      </w:r>
      <w:r w:rsidR="00687259">
        <w:t xml:space="preserve">forecast </w:t>
      </w:r>
      <w:r w:rsidR="00457995">
        <w:t>WPI</w:t>
      </w:r>
      <w:r w:rsidR="00687259">
        <w:t xml:space="preserve"> </w:t>
      </w:r>
      <w:r w:rsidRPr="00CB37D2">
        <w:t xml:space="preserve">due to the </w:t>
      </w:r>
      <w:r w:rsidR="001F4BD0">
        <w:t xml:space="preserve">reversal </w:t>
      </w:r>
      <w:r w:rsidRPr="00CB37D2">
        <w:t>of the temporary loading applied as part of the 202</w:t>
      </w:r>
      <w:r w:rsidR="005E0BE6">
        <w:t>1</w:t>
      </w:r>
      <w:r w:rsidRPr="00CB37D2">
        <w:t>-2</w:t>
      </w:r>
      <w:r w:rsidR="005E0BE6">
        <w:t>2</w:t>
      </w:r>
      <w:r w:rsidRPr="00CB37D2">
        <w:t xml:space="preserve"> APR (see above). From 2026-27, a 3.5% per annum increase is assumed, reflective of the long</w:t>
      </w:r>
      <w:r w:rsidR="00796DB5">
        <w:t>-</w:t>
      </w:r>
      <w:r w:rsidRPr="00CB37D2">
        <w:t>term expected wage inflation.</w:t>
      </w:r>
    </w:p>
    <w:p w14:paraId="1358FD50" w14:textId="77777777" w:rsidR="00BF7697" w:rsidRDefault="00BF7697" w:rsidP="00346949">
      <w:pPr>
        <w:pStyle w:val="FSRlist"/>
        <w:numPr>
          <w:ilvl w:val="0"/>
          <w:numId w:val="23"/>
        </w:numPr>
        <w:rPr>
          <w:b/>
          <w:bCs/>
        </w:rPr>
      </w:pPr>
      <w:r w:rsidRPr="2ECA9A42">
        <w:rPr>
          <w:b/>
          <w:bCs/>
        </w:rPr>
        <w:t>Rates of 3.5% and 2.5% per annum for remaining supports in 2023-24 and after.</w:t>
      </w:r>
      <w:r>
        <w:t xml:space="preserve"> This reflects the </w:t>
      </w:r>
      <w:r w:rsidR="00D34997">
        <w:t xml:space="preserve">most recent </w:t>
      </w:r>
      <w:r>
        <w:t>Consumer Price Index forecast released by the Reserve Bank of Australia. A 3.5% per annum increase is adopted for 2023-24 and 2.5% thereafter.</w:t>
      </w:r>
    </w:p>
    <w:p w14:paraId="57FA92A5" w14:textId="77777777" w:rsidR="00BF7697" w:rsidRDefault="00BF7697" w:rsidP="00BF7697">
      <w:pPr>
        <w:pStyle w:val="FSRnormal"/>
      </w:pPr>
      <w:r>
        <w:t>These rates have generally increased compared with the normal inflation assumption of 3.2% per annum at the previous review. The increase is due to both the price limit changes in the 202</w:t>
      </w:r>
      <w:r w:rsidR="005E0BE6">
        <w:t>1</w:t>
      </w:r>
      <w:r>
        <w:t>-2</w:t>
      </w:r>
      <w:r w:rsidR="005E0BE6">
        <w:t>2</w:t>
      </w:r>
      <w:r>
        <w:t xml:space="preserve"> APR and recent inflationary pressures which have led to a </w:t>
      </w:r>
      <w:r w:rsidR="00F14D4F">
        <w:t>short-term</w:t>
      </w:r>
      <w:r>
        <w:t xml:space="preserve"> outlook of higher inflation in </w:t>
      </w:r>
      <w:r w:rsidR="006A4ADD">
        <w:t xml:space="preserve">the </w:t>
      </w:r>
      <w:r>
        <w:t xml:space="preserve">Australian </w:t>
      </w:r>
      <w:r w:rsidRPr="00632D15">
        <w:t>economy</w:t>
      </w:r>
      <w:r>
        <w:t xml:space="preserve"> (before returning to lower target levels in the longer term). </w:t>
      </w:r>
    </w:p>
    <w:p w14:paraId="42D8A0B4" w14:textId="77777777" w:rsidR="00BF7697" w:rsidRPr="000368A8" w:rsidRDefault="00BF7697" w:rsidP="00BF7697">
      <w:pPr>
        <w:pStyle w:val="Tables"/>
        <w:keepLines/>
      </w:pPr>
      <w:r w:rsidRPr="00164A79">
        <w:t xml:space="preserve">Table </w:t>
      </w:r>
      <w:fldSimple w:instr=" STYLEREF 2 \s ">
        <w:r w:rsidR="00A87896">
          <w:rPr>
            <w:noProof/>
          </w:rPr>
          <w:t>5</w:t>
        </w:r>
      </w:fldSimple>
      <w:r w:rsidR="00A87896">
        <w:t>.</w:t>
      </w:r>
      <w:fldSimple w:instr=" SEQ Table \* ARABIC \s 2 ">
        <w:r w:rsidR="00A87896">
          <w:rPr>
            <w:noProof/>
          </w:rPr>
          <w:t>20</w:t>
        </w:r>
      </w:fldSimple>
      <w:r w:rsidRPr="00164A79">
        <w:t>: Selected normal inflation rates including the 202</w:t>
      </w:r>
      <w:r w:rsidR="00E8709A">
        <w:t>1</w:t>
      </w:r>
      <w:r w:rsidRPr="00164A79">
        <w:t>-2</w:t>
      </w:r>
      <w:r w:rsidR="00E8709A">
        <w:t>2</w:t>
      </w:r>
      <w:r w:rsidRPr="00164A79">
        <w:t xml:space="preserve"> Annual Pricing</w:t>
      </w:r>
      <w:r>
        <w:t xml:space="preserve"> Review</w:t>
      </w:r>
    </w:p>
    <w:tbl>
      <w:tblPr>
        <w:tblStyle w:val="FSRtable"/>
        <w:tblW w:w="4763" w:type="pct"/>
        <w:tblInd w:w="0" w:type="dxa"/>
        <w:tblLayout w:type="fixed"/>
        <w:tblLook w:val="04A0" w:firstRow="1" w:lastRow="0" w:firstColumn="1" w:lastColumn="0" w:noHBand="0" w:noVBand="1"/>
      </w:tblPr>
      <w:tblGrid>
        <w:gridCol w:w="3120"/>
        <w:gridCol w:w="1096"/>
        <w:gridCol w:w="1096"/>
        <w:gridCol w:w="1096"/>
        <w:gridCol w:w="1095"/>
        <w:gridCol w:w="1095"/>
      </w:tblGrid>
      <w:tr w:rsidR="003D2FA4" w:rsidRPr="007068E3" w14:paraId="09C92ED1" w14:textId="77777777" w:rsidTr="00444E58">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814" w:type="pct"/>
            <w:hideMark/>
          </w:tcPr>
          <w:p w14:paraId="0B99EE4A" w14:textId="77777777" w:rsidR="003D2FA4" w:rsidRPr="007068E3" w:rsidRDefault="003D2FA4" w:rsidP="00444E58">
            <w:pPr>
              <w:keepNext/>
              <w:spacing w:after="0" w:line="240" w:lineRule="auto"/>
              <w:rPr>
                <w:rFonts w:eastAsia="Times New Roman"/>
                <w:color w:val="FFFFFF"/>
                <w:sz w:val="20"/>
                <w:szCs w:val="20"/>
                <w:lang w:eastAsia="zh-CN"/>
              </w:rPr>
            </w:pPr>
          </w:p>
        </w:tc>
        <w:tc>
          <w:tcPr>
            <w:tcW w:w="637" w:type="pct"/>
            <w:noWrap/>
            <w:hideMark/>
          </w:tcPr>
          <w:p w14:paraId="2B5738A4" w14:textId="77777777" w:rsidR="003D2FA4" w:rsidRPr="007068E3" w:rsidRDefault="003D2FA4">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zh-CN"/>
              </w:rPr>
            </w:pPr>
            <w:r w:rsidRPr="00D72D94">
              <w:rPr>
                <w:sz w:val="20"/>
                <w:szCs w:val="20"/>
              </w:rPr>
              <w:t>2022-23</w:t>
            </w:r>
          </w:p>
        </w:tc>
        <w:tc>
          <w:tcPr>
            <w:tcW w:w="637" w:type="pct"/>
            <w:noWrap/>
            <w:hideMark/>
          </w:tcPr>
          <w:p w14:paraId="4C24C86A" w14:textId="77777777" w:rsidR="003D2FA4" w:rsidRPr="007068E3" w:rsidRDefault="003D2FA4">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zh-CN"/>
              </w:rPr>
            </w:pPr>
            <w:r w:rsidRPr="00D72D94">
              <w:rPr>
                <w:sz w:val="20"/>
                <w:szCs w:val="20"/>
              </w:rPr>
              <w:t>2023-24</w:t>
            </w:r>
          </w:p>
        </w:tc>
        <w:tc>
          <w:tcPr>
            <w:tcW w:w="637" w:type="pct"/>
            <w:noWrap/>
            <w:hideMark/>
          </w:tcPr>
          <w:p w14:paraId="3A29665F" w14:textId="77777777" w:rsidR="003D2FA4" w:rsidRPr="007068E3" w:rsidRDefault="003D2FA4">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zh-CN"/>
              </w:rPr>
            </w:pPr>
            <w:r w:rsidRPr="00D72D94">
              <w:rPr>
                <w:sz w:val="20"/>
                <w:szCs w:val="20"/>
              </w:rPr>
              <w:t>2024-25</w:t>
            </w:r>
          </w:p>
        </w:tc>
        <w:tc>
          <w:tcPr>
            <w:tcW w:w="637" w:type="pct"/>
            <w:tcBorders>
              <w:right w:val="dotted" w:sz="4" w:space="0" w:color="auto"/>
            </w:tcBorders>
            <w:noWrap/>
            <w:hideMark/>
          </w:tcPr>
          <w:p w14:paraId="61491883" w14:textId="77777777" w:rsidR="003D2FA4" w:rsidRPr="007068E3" w:rsidRDefault="003D2FA4">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zh-CN"/>
              </w:rPr>
            </w:pPr>
            <w:r w:rsidRPr="00D72D94">
              <w:rPr>
                <w:sz w:val="20"/>
                <w:szCs w:val="20"/>
              </w:rPr>
              <w:t>2025-26</w:t>
            </w:r>
          </w:p>
        </w:tc>
        <w:tc>
          <w:tcPr>
            <w:tcW w:w="637" w:type="pct"/>
            <w:tcBorders>
              <w:left w:val="dotted" w:sz="4" w:space="0" w:color="auto"/>
            </w:tcBorders>
            <w:noWrap/>
            <w:hideMark/>
          </w:tcPr>
          <w:p w14:paraId="4C3E36CD" w14:textId="77777777" w:rsidR="003D2FA4" w:rsidRPr="007068E3" w:rsidRDefault="001F7F0D">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sz w:val="20"/>
                <w:szCs w:val="20"/>
                <w:lang w:eastAsia="zh-CN"/>
              </w:rPr>
            </w:pPr>
            <w:r>
              <w:rPr>
                <w:sz w:val="20"/>
                <w:szCs w:val="20"/>
              </w:rPr>
              <w:t>2031-32</w:t>
            </w:r>
          </w:p>
        </w:tc>
      </w:tr>
      <w:tr w:rsidR="003D2FA4" w:rsidRPr="007068E3" w14:paraId="58205181" w14:textId="77777777" w:rsidTr="00444E58">
        <w:trPr>
          <w:trHeight w:val="300"/>
        </w:trPr>
        <w:tc>
          <w:tcPr>
            <w:cnfStyle w:val="001000000000" w:firstRow="0" w:lastRow="0" w:firstColumn="1" w:lastColumn="0" w:oddVBand="0" w:evenVBand="0" w:oddHBand="0" w:evenHBand="0" w:firstRowFirstColumn="0" w:firstRowLastColumn="0" w:lastRowFirstColumn="0" w:lastRowLastColumn="0"/>
            <w:tcW w:w="1814" w:type="pct"/>
            <w:noWrap/>
            <w:hideMark/>
          </w:tcPr>
          <w:p w14:paraId="0615C153" w14:textId="77777777" w:rsidR="003D2FA4" w:rsidRPr="007068E3" w:rsidRDefault="003D2FA4" w:rsidP="00444E58">
            <w:pPr>
              <w:keepNext/>
              <w:spacing w:after="0" w:line="240" w:lineRule="auto"/>
              <w:rPr>
                <w:rFonts w:eastAsia="Times New Roman" w:cs="Arial"/>
                <w:sz w:val="20"/>
                <w:szCs w:val="20"/>
                <w:lang w:eastAsia="zh-CN"/>
              </w:rPr>
            </w:pPr>
            <w:r w:rsidRPr="007068E3">
              <w:rPr>
                <w:rFonts w:eastAsia="Times New Roman" w:cs="Arial"/>
                <w:sz w:val="20"/>
                <w:szCs w:val="20"/>
                <w:lang w:eastAsia="zh-CN"/>
              </w:rPr>
              <w:t>Attendant care</w:t>
            </w:r>
          </w:p>
        </w:tc>
        <w:tc>
          <w:tcPr>
            <w:tcW w:w="637" w:type="pct"/>
            <w:noWrap/>
            <w:hideMark/>
          </w:tcPr>
          <w:p w14:paraId="0BA645E0" w14:textId="77777777" w:rsidR="003D2FA4" w:rsidRPr="007068E3" w:rsidRDefault="003D2FA4">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zh-CN"/>
              </w:rPr>
            </w:pPr>
            <w:r w:rsidRPr="00D72D94">
              <w:rPr>
                <w:sz w:val="20"/>
                <w:szCs w:val="20"/>
              </w:rPr>
              <w:t>9.1%</w:t>
            </w:r>
          </w:p>
        </w:tc>
        <w:tc>
          <w:tcPr>
            <w:tcW w:w="637" w:type="pct"/>
            <w:noWrap/>
            <w:hideMark/>
          </w:tcPr>
          <w:p w14:paraId="04D3691C" w14:textId="77777777" w:rsidR="003D2FA4" w:rsidRPr="007068E3" w:rsidRDefault="003D2FA4">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zh-CN"/>
              </w:rPr>
            </w:pPr>
            <w:r w:rsidRPr="00D72D94">
              <w:rPr>
                <w:sz w:val="20"/>
                <w:szCs w:val="20"/>
              </w:rPr>
              <w:t>2.3%</w:t>
            </w:r>
          </w:p>
        </w:tc>
        <w:tc>
          <w:tcPr>
            <w:tcW w:w="637" w:type="pct"/>
            <w:noWrap/>
            <w:hideMark/>
          </w:tcPr>
          <w:p w14:paraId="3D741CA2" w14:textId="77777777" w:rsidR="003D2FA4" w:rsidRPr="007068E3" w:rsidRDefault="003D2FA4">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zh-CN"/>
              </w:rPr>
            </w:pPr>
            <w:r w:rsidRPr="00D72D94">
              <w:rPr>
                <w:sz w:val="20"/>
                <w:szCs w:val="20"/>
              </w:rPr>
              <w:t>4.0%</w:t>
            </w:r>
          </w:p>
        </w:tc>
        <w:tc>
          <w:tcPr>
            <w:tcW w:w="637" w:type="pct"/>
            <w:tcBorders>
              <w:right w:val="dotted" w:sz="4" w:space="0" w:color="auto"/>
            </w:tcBorders>
            <w:noWrap/>
            <w:hideMark/>
          </w:tcPr>
          <w:p w14:paraId="2A7B34F1" w14:textId="77777777" w:rsidR="003D2FA4" w:rsidRPr="007068E3" w:rsidRDefault="003D2FA4">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zh-CN"/>
              </w:rPr>
            </w:pPr>
            <w:r w:rsidRPr="00D72D94">
              <w:rPr>
                <w:sz w:val="20"/>
                <w:szCs w:val="20"/>
              </w:rPr>
              <w:t>4.0%</w:t>
            </w:r>
          </w:p>
        </w:tc>
        <w:tc>
          <w:tcPr>
            <w:tcW w:w="637" w:type="pct"/>
            <w:tcBorders>
              <w:left w:val="dotted" w:sz="4" w:space="0" w:color="auto"/>
            </w:tcBorders>
            <w:noWrap/>
            <w:hideMark/>
          </w:tcPr>
          <w:p w14:paraId="53AABCF8" w14:textId="77777777" w:rsidR="003D2FA4" w:rsidRPr="007068E3" w:rsidRDefault="003D2FA4">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zh-CN"/>
              </w:rPr>
            </w:pPr>
            <w:r w:rsidRPr="00D72D94">
              <w:rPr>
                <w:sz w:val="20"/>
                <w:szCs w:val="20"/>
              </w:rPr>
              <w:t>3.5%</w:t>
            </w:r>
          </w:p>
        </w:tc>
      </w:tr>
      <w:tr w:rsidR="003D2FA4" w:rsidRPr="007068E3" w14:paraId="014F3B16" w14:textId="77777777" w:rsidTr="00444E5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4" w:type="pct"/>
            <w:noWrap/>
            <w:hideMark/>
          </w:tcPr>
          <w:p w14:paraId="6AE3B2C7" w14:textId="77777777" w:rsidR="003D2FA4" w:rsidRPr="007068E3" w:rsidRDefault="003D2FA4" w:rsidP="00444E58">
            <w:pPr>
              <w:keepNext/>
              <w:spacing w:after="0" w:line="240" w:lineRule="auto"/>
              <w:rPr>
                <w:rFonts w:eastAsia="Times New Roman" w:cs="Arial"/>
                <w:sz w:val="20"/>
                <w:szCs w:val="20"/>
                <w:lang w:eastAsia="zh-CN"/>
              </w:rPr>
            </w:pPr>
            <w:r w:rsidRPr="007068E3">
              <w:rPr>
                <w:rFonts w:eastAsia="Times New Roman" w:cs="Arial"/>
                <w:sz w:val="20"/>
                <w:szCs w:val="20"/>
                <w:lang w:eastAsia="zh-CN"/>
              </w:rPr>
              <w:t>Therapy and other Capacity Building supports</w:t>
            </w:r>
            <w:r w:rsidRPr="007068E3">
              <w:rPr>
                <w:rStyle w:val="FootnoteReference"/>
                <w:rFonts w:eastAsia="Times New Roman" w:cs="Arial"/>
                <w:sz w:val="20"/>
                <w:szCs w:val="20"/>
                <w:lang w:eastAsia="zh-CN"/>
              </w:rPr>
              <w:footnoteReference w:id="104"/>
            </w:r>
          </w:p>
        </w:tc>
        <w:tc>
          <w:tcPr>
            <w:tcW w:w="637" w:type="pct"/>
            <w:noWrap/>
            <w:hideMark/>
          </w:tcPr>
          <w:p w14:paraId="3C4E723B" w14:textId="77777777" w:rsidR="003D2FA4" w:rsidRPr="007068E3" w:rsidRDefault="003D2FA4">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zh-CN"/>
              </w:rPr>
            </w:pPr>
            <w:r w:rsidRPr="00D72D94">
              <w:rPr>
                <w:sz w:val="20"/>
                <w:szCs w:val="20"/>
              </w:rPr>
              <w:t>0.0%</w:t>
            </w:r>
          </w:p>
        </w:tc>
        <w:tc>
          <w:tcPr>
            <w:tcW w:w="637" w:type="pct"/>
            <w:noWrap/>
            <w:hideMark/>
          </w:tcPr>
          <w:p w14:paraId="288117AE" w14:textId="77777777" w:rsidR="003D2FA4" w:rsidRPr="007068E3" w:rsidRDefault="003D2FA4">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zh-CN"/>
              </w:rPr>
            </w:pPr>
            <w:r w:rsidRPr="00D72D94">
              <w:rPr>
                <w:sz w:val="20"/>
                <w:szCs w:val="20"/>
              </w:rPr>
              <w:t>3.5%</w:t>
            </w:r>
          </w:p>
        </w:tc>
        <w:tc>
          <w:tcPr>
            <w:tcW w:w="637" w:type="pct"/>
            <w:noWrap/>
            <w:hideMark/>
          </w:tcPr>
          <w:p w14:paraId="7B76244E" w14:textId="77777777" w:rsidR="003D2FA4" w:rsidRPr="007068E3" w:rsidRDefault="003D2FA4">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zh-CN"/>
              </w:rPr>
            </w:pPr>
            <w:r w:rsidRPr="00D72D94">
              <w:rPr>
                <w:sz w:val="20"/>
                <w:szCs w:val="20"/>
              </w:rPr>
              <w:t>2.5%</w:t>
            </w:r>
          </w:p>
        </w:tc>
        <w:tc>
          <w:tcPr>
            <w:tcW w:w="637" w:type="pct"/>
            <w:tcBorders>
              <w:right w:val="dotted" w:sz="4" w:space="0" w:color="auto"/>
            </w:tcBorders>
            <w:noWrap/>
            <w:hideMark/>
          </w:tcPr>
          <w:p w14:paraId="7E5BCA14" w14:textId="77777777" w:rsidR="003D2FA4" w:rsidRPr="007068E3" w:rsidRDefault="003D2FA4">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zh-CN"/>
              </w:rPr>
            </w:pPr>
            <w:r w:rsidRPr="00D72D94">
              <w:rPr>
                <w:sz w:val="20"/>
                <w:szCs w:val="20"/>
              </w:rPr>
              <w:t>2.5%</w:t>
            </w:r>
          </w:p>
        </w:tc>
        <w:tc>
          <w:tcPr>
            <w:tcW w:w="637" w:type="pct"/>
            <w:tcBorders>
              <w:left w:val="dotted" w:sz="4" w:space="0" w:color="auto"/>
            </w:tcBorders>
            <w:noWrap/>
            <w:hideMark/>
          </w:tcPr>
          <w:p w14:paraId="22646A50" w14:textId="77777777" w:rsidR="003D2FA4" w:rsidRPr="007068E3" w:rsidRDefault="003D2FA4">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zh-CN"/>
              </w:rPr>
            </w:pPr>
            <w:r w:rsidRPr="00D72D94">
              <w:rPr>
                <w:sz w:val="20"/>
                <w:szCs w:val="20"/>
              </w:rPr>
              <w:t>2.5%</w:t>
            </w:r>
          </w:p>
        </w:tc>
      </w:tr>
      <w:tr w:rsidR="003D2FA4" w:rsidRPr="007068E3" w14:paraId="2823A16B" w14:textId="77777777" w:rsidTr="00444E58">
        <w:trPr>
          <w:trHeight w:val="300"/>
        </w:trPr>
        <w:tc>
          <w:tcPr>
            <w:cnfStyle w:val="001000000000" w:firstRow="0" w:lastRow="0" w:firstColumn="1" w:lastColumn="0" w:oddVBand="0" w:evenVBand="0" w:oddHBand="0" w:evenHBand="0" w:firstRowFirstColumn="0" w:firstRowLastColumn="0" w:lastRowFirstColumn="0" w:lastRowLastColumn="0"/>
            <w:tcW w:w="1814" w:type="pct"/>
            <w:tcBorders>
              <w:bottom w:val="single" w:sz="4" w:space="0" w:color="auto"/>
            </w:tcBorders>
            <w:noWrap/>
            <w:hideMark/>
          </w:tcPr>
          <w:p w14:paraId="579A5B0F" w14:textId="77777777" w:rsidR="003D2FA4" w:rsidRPr="007068E3" w:rsidRDefault="003D2FA4" w:rsidP="00444E58">
            <w:pPr>
              <w:keepNext/>
              <w:spacing w:after="0" w:line="240" w:lineRule="auto"/>
              <w:rPr>
                <w:rFonts w:eastAsia="Times New Roman" w:cs="Arial"/>
                <w:sz w:val="20"/>
                <w:szCs w:val="20"/>
                <w:lang w:eastAsia="zh-CN"/>
              </w:rPr>
            </w:pPr>
            <w:r w:rsidRPr="007068E3">
              <w:rPr>
                <w:rFonts w:eastAsia="Times New Roman" w:cs="Arial"/>
                <w:sz w:val="20"/>
                <w:szCs w:val="20"/>
                <w:lang w:eastAsia="zh-CN"/>
              </w:rPr>
              <w:t>Other supports</w:t>
            </w:r>
            <w:r w:rsidRPr="007068E3">
              <w:rPr>
                <w:rStyle w:val="FootnoteReference"/>
                <w:rFonts w:eastAsia="Times New Roman" w:cs="Arial"/>
                <w:sz w:val="20"/>
                <w:szCs w:val="20"/>
                <w:lang w:eastAsia="zh-CN"/>
              </w:rPr>
              <w:footnoteReference w:id="105"/>
            </w:r>
          </w:p>
        </w:tc>
        <w:tc>
          <w:tcPr>
            <w:tcW w:w="637" w:type="pct"/>
            <w:tcBorders>
              <w:bottom w:val="single" w:sz="4" w:space="0" w:color="auto"/>
            </w:tcBorders>
            <w:noWrap/>
            <w:hideMark/>
          </w:tcPr>
          <w:p w14:paraId="57A444C3" w14:textId="77777777" w:rsidR="003D2FA4" w:rsidRPr="007068E3" w:rsidRDefault="003D2FA4">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zh-CN"/>
              </w:rPr>
            </w:pPr>
            <w:r w:rsidRPr="00D72D94">
              <w:rPr>
                <w:sz w:val="20"/>
                <w:szCs w:val="20"/>
              </w:rPr>
              <w:t>5.1%</w:t>
            </w:r>
          </w:p>
        </w:tc>
        <w:tc>
          <w:tcPr>
            <w:tcW w:w="637" w:type="pct"/>
            <w:tcBorders>
              <w:bottom w:val="single" w:sz="4" w:space="0" w:color="auto"/>
            </w:tcBorders>
            <w:noWrap/>
            <w:hideMark/>
          </w:tcPr>
          <w:p w14:paraId="53EECAE0" w14:textId="77777777" w:rsidR="003D2FA4" w:rsidRPr="007068E3" w:rsidRDefault="003D2FA4">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zh-CN"/>
              </w:rPr>
            </w:pPr>
            <w:r w:rsidRPr="00D72D94">
              <w:rPr>
                <w:sz w:val="20"/>
                <w:szCs w:val="20"/>
              </w:rPr>
              <w:t>3.5%</w:t>
            </w:r>
          </w:p>
        </w:tc>
        <w:tc>
          <w:tcPr>
            <w:tcW w:w="637" w:type="pct"/>
            <w:tcBorders>
              <w:bottom w:val="single" w:sz="4" w:space="0" w:color="auto"/>
            </w:tcBorders>
            <w:noWrap/>
            <w:hideMark/>
          </w:tcPr>
          <w:p w14:paraId="0AE9CBA5" w14:textId="77777777" w:rsidR="003D2FA4" w:rsidRPr="007068E3" w:rsidRDefault="003D2FA4">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zh-CN"/>
              </w:rPr>
            </w:pPr>
            <w:r w:rsidRPr="00D72D94">
              <w:rPr>
                <w:sz w:val="20"/>
                <w:szCs w:val="20"/>
              </w:rPr>
              <w:t>2.5%</w:t>
            </w:r>
          </w:p>
        </w:tc>
        <w:tc>
          <w:tcPr>
            <w:tcW w:w="637" w:type="pct"/>
            <w:tcBorders>
              <w:bottom w:val="single" w:sz="4" w:space="0" w:color="auto"/>
              <w:right w:val="dotted" w:sz="4" w:space="0" w:color="auto"/>
            </w:tcBorders>
            <w:noWrap/>
            <w:hideMark/>
          </w:tcPr>
          <w:p w14:paraId="46362B5E" w14:textId="77777777" w:rsidR="003D2FA4" w:rsidRPr="007068E3" w:rsidRDefault="003D2FA4">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zh-CN"/>
              </w:rPr>
            </w:pPr>
            <w:r w:rsidRPr="00D72D94">
              <w:rPr>
                <w:sz w:val="20"/>
                <w:szCs w:val="20"/>
              </w:rPr>
              <w:t>2.5%</w:t>
            </w:r>
          </w:p>
        </w:tc>
        <w:tc>
          <w:tcPr>
            <w:tcW w:w="637" w:type="pct"/>
            <w:tcBorders>
              <w:left w:val="dotted" w:sz="4" w:space="0" w:color="auto"/>
              <w:bottom w:val="single" w:sz="4" w:space="0" w:color="auto"/>
            </w:tcBorders>
            <w:noWrap/>
            <w:hideMark/>
          </w:tcPr>
          <w:p w14:paraId="272A985B" w14:textId="77777777" w:rsidR="003D2FA4" w:rsidRPr="007068E3" w:rsidRDefault="003D2FA4">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zh-CN"/>
              </w:rPr>
            </w:pPr>
            <w:r w:rsidRPr="00D72D94">
              <w:rPr>
                <w:sz w:val="20"/>
                <w:szCs w:val="20"/>
              </w:rPr>
              <w:t>2.5%</w:t>
            </w:r>
          </w:p>
        </w:tc>
      </w:tr>
      <w:tr w:rsidR="003D2FA4" w:rsidRPr="007068E3" w14:paraId="3D6635A3" w14:textId="77777777" w:rsidTr="00444E58">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4" w:type="pct"/>
            <w:tcBorders>
              <w:top w:val="single" w:sz="4" w:space="0" w:color="auto"/>
              <w:bottom w:val="single" w:sz="4" w:space="0" w:color="auto"/>
            </w:tcBorders>
            <w:shd w:val="clear" w:color="auto" w:fill="D4C5D7"/>
            <w:noWrap/>
            <w:hideMark/>
          </w:tcPr>
          <w:p w14:paraId="79F44ED9" w14:textId="77777777" w:rsidR="003D2FA4" w:rsidRPr="007068E3" w:rsidRDefault="003D2FA4" w:rsidP="00444E58">
            <w:pPr>
              <w:keepNext/>
              <w:spacing w:after="0" w:line="240" w:lineRule="auto"/>
              <w:rPr>
                <w:rFonts w:eastAsia="Times New Roman" w:cs="Arial"/>
                <w:b/>
                <w:bCs/>
                <w:sz w:val="20"/>
                <w:szCs w:val="20"/>
                <w:lang w:eastAsia="zh-CN"/>
              </w:rPr>
            </w:pPr>
            <w:r w:rsidRPr="007068E3">
              <w:rPr>
                <w:rFonts w:eastAsia="Times New Roman" w:cs="Arial"/>
                <w:b/>
                <w:bCs/>
                <w:sz w:val="20"/>
                <w:szCs w:val="20"/>
                <w:lang w:eastAsia="zh-CN"/>
              </w:rPr>
              <w:t>Overall</w:t>
            </w:r>
          </w:p>
        </w:tc>
        <w:tc>
          <w:tcPr>
            <w:tcW w:w="637" w:type="pct"/>
            <w:tcBorders>
              <w:top w:val="single" w:sz="4" w:space="0" w:color="auto"/>
              <w:bottom w:val="single" w:sz="4" w:space="0" w:color="auto"/>
            </w:tcBorders>
            <w:shd w:val="clear" w:color="auto" w:fill="D4C5D7"/>
            <w:noWrap/>
            <w:hideMark/>
          </w:tcPr>
          <w:p w14:paraId="2C81D7E4" w14:textId="77777777" w:rsidR="003D2FA4" w:rsidRPr="007068E3" w:rsidRDefault="003D2FA4">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sz w:val="20"/>
                <w:szCs w:val="20"/>
                <w:lang w:eastAsia="zh-CN"/>
              </w:rPr>
            </w:pPr>
            <w:r w:rsidRPr="00D72D94">
              <w:rPr>
                <w:b/>
                <w:sz w:val="20"/>
                <w:szCs w:val="20"/>
              </w:rPr>
              <w:t>7.2%</w:t>
            </w:r>
          </w:p>
        </w:tc>
        <w:tc>
          <w:tcPr>
            <w:tcW w:w="637" w:type="pct"/>
            <w:tcBorders>
              <w:top w:val="single" w:sz="4" w:space="0" w:color="auto"/>
              <w:bottom w:val="single" w:sz="4" w:space="0" w:color="auto"/>
            </w:tcBorders>
            <w:shd w:val="clear" w:color="auto" w:fill="D4C5D7"/>
            <w:noWrap/>
            <w:hideMark/>
          </w:tcPr>
          <w:p w14:paraId="0C43FF74" w14:textId="77777777" w:rsidR="003D2FA4" w:rsidRPr="007068E3" w:rsidRDefault="003D2FA4">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sz w:val="20"/>
                <w:szCs w:val="20"/>
                <w:lang w:eastAsia="zh-CN"/>
              </w:rPr>
            </w:pPr>
            <w:r w:rsidRPr="00D72D94">
              <w:rPr>
                <w:b/>
                <w:sz w:val="20"/>
                <w:szCs w:val="20"/>
              </w:rPr>
              <w:t>2.6%</w:t>
            </w:r>
          </w:p>
        </w:tc>
        <w:tc>
          <w:tcPr>
            <w:tcW w:w="637" w:type="pct"/>
            <w:tcBorders>
              <w:top w:val="single" w:sz="4" w:space="0" w:color="auto"/>
              <w:bottom w:val="single" w:sz="4" w:space="0" w:color="auto"/>
            </w:tcBorders>
            <w:shd w:val="clear" w:color="auto" w:fill="D4C5D7"/>
            <w:noWrap/>
            <w:hideMark/>
          </w:tcPr>
          <w:p w14:paraId="27ABAC68" w14:textId="77777777" w:rsidR="003D2FA4" w:rsidRPr="007068E3" w:rsidRDefault="003D2FA4">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sz w:val="20"/>
                <w:szCs w:val="20"/>
                <w:lang w:eastAsia="zh-CN"/>
              </w:rPr>
            </w:pPr>
            <w:r w:rsidRPr="00D72D94">
              <w:rPr>
                <w:b/>
                <w:sz w:val="20"/>
                <w:szCs w:val="20"/>
              </w:rPr>
              <w:t>3.6%</w:t>
            </w:r>
          </w:p>
        </w:tc>
        <w:tc>
          <w:tcPr>
            <w:tcW w:w="637" w:type="pct"/>
            <w:tcBorders>
              <w:top w:val="single" w:sz="4" w:space="0" w:color="auto"/>
              <w:bottom w:val="single" w:sz="4" w:space="0" w:color="auto"/>
              <w:right w:val="dotted" w:sz="4" w:space="0" w:color="auto"/>
            </w:tcBorders>
            <w:shd w:val="clear" w:color="auto" w:fill="D4C5D7"/>
            <w:noWrap/>
            <w:hideMark/>
          </w:tcPr>
          <w:p w14:paraId="0001CC28" w14:textId="77777777" w:rsidR="003D2FA4" w:rsidRPr="007068E3" w:rsidRDefault="003D2FA4">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sz w:val="20"/>
                <w:szCs w:val="20"/>
                <w:lang w:eastAsia="zh-CN"/>
              </w:rPr>
            </w:pPr>
            <w:r w:rsidRPr="00D72D94">
              <w:rPr>
                <w:b/>
                <w:sz w:val="20"/>
                <w:szCs w:val="20"/>
              </w:rPr>
              <w:t>3.6%</w:t>
            </w:r>
          </w:p>
        </w:tc>
        <w:tc>
          <w:tcPr>
            <w:tcW w:w="637" w:type="pct"/>
            <w:tcBorders>
              <w:top w:val="single" w:sz="4" w:space="0" w:color="auto"/>
              <w:left w:val="dotted" w:sz="4" w:space="0" w:color="auto"/>
              <w:bottom w:val="single" w:sz="4" w:space="0" w:color="auto"/>
            </w:tcBorders>
            <w:shd w:val="clear" w:color="auto" w:fill="D4C5D7"/>
            <w:noWrap/>
            <w:hideMark/>
          </w:tcPr>
          <w:p w14:paraId="6001BAC0" w14:textId="77777777" w:rsidR="003D2FA4" w:rsidRPr="007068E3" w:rsidRDefault="003D2FA4">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sz w:val="20"/>
                <w:szCs w:val="20"/>
                <w:lang w:eastAsia="zh-CN"/>
              </w:rPr>
            </w:pPr>
            <w:r w:rsidRPr="001278CC">
              <w:rPr>
                <w:b/>
                <w:sz w:val="20"/>
                <w:szCs w:val="20"/>
              </w:rPr>
              <w:t>3.3%</w:t>
            </w:r>
          </w:p>
        </w:tc>
      </w:tr>
    </w:tbl>
    <w:p w14:paraId="15248669" w14:textId="77777777" w:rsidR="00BF7697" w:rsidRPr="0073404C" w:rsidRDefault="00330D42" w:rsidP="00A55A6D">
      <w:pPr>
        <w:pStyle w:val="FSRHeading4"/>
      </w:pPr>
      <w:r>
        <w:t xml:space="preserve">Additional </w:t>
      </w:r>
      <w:r w:rsidR="00BF7697" w:rsidRPr="000A5521">
        <w:t>inflation</w:t>
      </w:r>
    </w:p>
    <w:p w14:paraId="3545159B" w14:textId="77777777" w:rsidR="00BF7697" w:rsidRPr="00325288" w:rsidRDefault="00330D42" w:rsidP="00BF7697">
      <w:pPr>
        <w:pStyle w:val="FSRnormal"/>
      </w:pPr>
      <w:r>
        <w:t xml:space="preserve">Additional </w:t>
      </w:r>
      <w:r w:rsidR="00BF7697">
        <w:t xml:space="preserve">inflation is defined as the increase in average payments above normal inflation (after allowing for the change in mix of participants). </w:t>
      </w:r>
      <w:r w:rsidR="00F14D4F">
        <w:t>S</w:t>
      </w:r>
      <w:r w:rsidR="00BF7697">
        <w:t xml:space="preserve">ustained high levels of </w:t>
      </w:r>
      <w:r>
        <w:t xml:space="preserve">additional </w:t>
      </w:r>
      <w:r w:rsidR="00BF7697">
        <w:t xml:space="preserve">inflation remains one of the most critical sustainability pressures for the Scheme given </w:t>
      </w:r>
      <w:r w:rsidR="00F14D4F">
        <w:t xml:space="preserve">their </w:t>
      </w:r>
      <w:r w:rsidR="00BF7697">
        <w:t xml:space="preserve">material impact on projected </w:t>
      </w:r>
      <w:r w:rsidR="00147768">
        <w:t xml:space="preserve">Scheme expenses. </w:t>
      </w:r>
      <w:r w:rsidR="00BF7697">
        <w:t xml:space="preserve"> </w:t>
      </w:r>
    </w:p>
    <w:p w14:paraId="365A9C46" w14:textId="77777777" w:rsidR="00BF7697" w:rsidRPr="00325288" w:rsidRDefault="00BF7697" w:rsidP="00BF7697">
      <w:pPr>
        <w:pStyle w:val="FSRnormal"/>
      </w:pPr>
      <w:r>
        <w:t xml:space="preserve">In the early years of the Scheme, this inflation reflected the dynamic and rapidly changing environment of a newly established Scheme. However, these high levels of </w:t>
      </w:r>
      <w:r w:rsidR="00330D42">
        <w:t>additional</w:t>
      </w:r>
      <w:r w:rsidR="007C3EDE">
        <w:t xml:space="preserve"> </w:t>
      </w:r>
      <w:r>
        <w:t xml:space="preserve">inflation have persisted each year, despite the increasing maturity of the Scheme, although lower inflation was observed in 2021-22 compared with previous years. This is evidenced in the observed inflation rate of 9.2% </w:t>
      </w:r>
      <w:r w:rsidR="00D067C5">
        <w:t>per annum</w:t>
      </w:r>
      <w:r>
        <w:t xml:space="preserve"> over the past three year</w:t>
      </w:r>
      <w:r w:rsidR="003724FE">
        <w:t>s for Scheme participants (or 16</w:t>
      </w:r>
      <w:r>
        <w:t>.</w:t>
      </w:r>
      <w:r w:rsidR="003724FE">
        <w:t>6</w:t>
      </w:r>
      <w:r>
        <w:t xml:space="preserve">% </w:t>
      </w:r>
      <w:r w:rsidR="00D067C5">
        <w:t>per annum</w:t>
      </w:r>
      <w:r>
        <w:t xml:space="preserve"> when the effect of the change in population mix </w:t>
      </w:r>
      <w:r w:rsidR="00457995">
        <w:t>is</w:t>
      </w:r>
      <w:r>
        <w:t xml:space="preserve"> removed).</w:t>
      </w:r>
    </w:p>
    <w:p w14:paraId="4D29EF6A" w14:textId="77777777" w:rsidR="00BF7697" w:rsidRPr="00C53CDC" w:rsidRDefault="00BB70C7" w:rsidP="00BF7697">
      <w:pPr>
        <w:pStyle w:val="FSRnormal"/>
        <w:rPr>
          <w:szCs w:val="22"/>
        </w:rPr>
      </w:pPr>
      <w:r>
        <w:rPr>
          <w:szCs w:val="22"/>
        </w:rPr>
        <w:t xml:space="preserve">Noting the </w:t>
      </w:r>
      <w:r w:rsidR="00BF7697" w:rsidRPr="00C53CDC">
        <w:rPr>
          <w:szCs w:val="22"/>
        </w:rPr>
        <w:t xml:space="preserve">high uncertainty </w:t>
      </w:r>
      <w:r>
        <w:rPr>
          <w:szCs w:val="22"/>
        </w:rPr>
        <w:t xml:space="preserve">that exists in relation to additional inflation, </w:t>
      </w:r>
      <w:r w:rsidR="00F13219">
        <w:rPr>
          <w:szCs w:val="22"/>
        </w:rPr>
        <w:t xml:space="preserve">a number of considerations have been made in setting additional </w:t>
      </w:r>
      <w:r w:rsidR="00BF7697" w:rsidRPr="00C53CDC">
        <w:rPr>
          <w:szCs w:val="22"/>
        </w:rPr>
        <w:t xml:space="preserve">inflation assumptions: </w:t>
      </w:r>
    </w:p>
    <w:p w14:paraId="5CD28202" w14:textId="77777777" w:rsidR="00F14D4F" w:rsidRPr="00192FCB" w:rsidRDefault="00F14D4F" w:rsidP="00F14D4F">
      <w:pPr>
        <w:pStyle w:val="FSRlist"/>
        <w:numPr>
          <w:ilvl w:val="0"/>
          <w:numId w:val="24"/>
        </w:numPr>
        <w:rPr>
          <w:rFonts w:eastAsia="Times New Roman" w:cs="Arial"/>
          <w:szCs w:val="22"/>
          <w:lang w:eastAsia="en-AU"/>
        </w:rPr>
      </w:pPr>
      <w:r w:rsidRPr="00192FCB">
        <w:rPr>
          <w:rFonts w:eastAsia="Times New Roman" w:cs="Arial"/>
          <w:szCs w:val="22"/>
          <w:lang w:eastAsia="en-AU"/>
        </w:rPr>
        <w:t xml:space="preserve">A deeper analysis of </w:t>
      </w:r>
      <w:r w:rsidR="00330D42">
        <w:rPr>
          <w:rFonts w:eastAsia="Times New Roman" w:cs="Arial"/>
          <w:szCs w:val="22"/>
          <w:lang w:eastAsia="en-AU"/>
        </w:rPr>
        <w:t xml:space="preserve">additional </w:t>
      </w:r>
      <w:r w:rsidRPr="00192FCB">
        <w:rPr>
          <w:rFonts w:eastAsia="Times New Roman" w:cs="Arial"/>
          <w:szCs w:val="22"/>
          <w:lang w:eastAsia="en-AU"/>
        </w:rPr>
        <w:t>inflation has been undertaken, identifying various sources</w:t>
      </w:r>
      <w:r>
        <w:rPr>
          <w:rFonts w:eastAsia="Times New Roman" w:cs="Arial"/>
          <w:szCs w:val="22"/>
          <w:lang w:eastAsia="en-AU"/>
        </w:rPr>
        <w:t xml:space="preserve"> (as shown in Section 4)</w:t>
      </w:r>
      <w:r w:rsidRPr="00192FCB">
        <w:rPr>
          <w:rFonts w:eastAsia="Times New Roman" w:cs="Arial"/>
          <w:szCs w:val="22"/>
          <w:lang w:eastAsia="en-AU"/>
        </w:rPr>
        <w:t xml:space="preserve">. This indicates that </w:t>
      </w:r>
      <w:r w:rsidR="00330D42">
        <w:rPr>
          <w:rFonts w:eastAsia="Times New Roman" w:cs="Arial"/>
          <w:szCs w:val="22"/>
          <w:lang w:eastAsia="en-AU"/>
        </w:rPr>
        <w:t xml:space="preserve">additional </w:t>
      </w:r>
      <w:r w:rsidRPr="00192FCB">
        <w:rPr>
          <w:rFonts w:eastAsia="Times New Roman" w:cs="Arial"/>
          <w:szCs w:val="22"/>
          <w:lang w:eastAsia="en-AU"/>
        </w:rPr>
        <w:t xml:space="preserve">inflation has been </w:t>
      </w:r>
      <w:r w:rsidRPr="00192FCB">
        <w:rPr>
          <w:rFonts w:eastAsia="Times New Roman" w:cs="Arial"/>
          <w:szCs w:val="22"/>
          <w:lang w:eastAsia="en-AU"/>
        </w:rPr>
        <w:lastRenderedPageBreak/>
        <w:t>driven by changes in participant</w:t>
      </w:r>
      <w:r w:rsidR="00B31449">
        <w:rPr>
          <w:rFonts w:eastAsia="Times New Roman" w:cs="Arial"/>
          <w:szCs w:val="22"/>
          <w:lang w:eastAsia="en-AU"/>
        </w:rPr>
        <w:t xml:space="preserve"> level of</w:t>
      </w:r>
      <w:r w:rsidRPr="00192FCB">
        <w:rPr>
          <w:rFonts w:eastAsia="Times New Roman" w:cs="Arial"/>
          <w:szCs w:val="22"/>
          <w:lang w:eastAsia="en-AU"/>
        </w:rPr>
        <w:t xml:space="preserve"> function, a broadening in the types of supports utilised by participants, and an increase in the volumes of supports utilised, particularly in relation to attendant care. This analysis shows more detail regarding the forces driving the </w:t>
      </w:r>
      <w:r w:rsidR="00330D42">
        <w:rPr>
          <w:rFonts w:eastAsia="Times New Roman" w:cs="Arial"/>
          <w:szCs w:val="22"/>
          <w:lang w:eastAsia="en-AU"/>
        </w:rPr>
        <w:t xml:space="preserve">additional </w:t>
      </w:r>
      <w:r w:rsidRPr="00192FCB">
        <w:rPr>
          <w:rFonts w:eastAsia="Times New Roman" w:cs="Arial"/>
          <w:szCs w:val="22"/>
          <w:lang w:eastAsia="en-AU"/>
        </w:rPr>
        <w:t xml:space="preserve">inflation and provides a stronger justification for the higher </w:t>
      </w:r>
      <w:r w:rsidR="007C3EDE">
        <w:rPr>
          <w:rFonts w:eastAsia="Times New Roman" w:cs="Arial"/>
          <w:szCs w:val="22"/>
          <w:lang w:eastAsia="en-AU"/>
        </w:rPr>
        <w:t>additional</w:t>
      </w:r>
      <w:r w:rsidRPr="00192FCB">
        <w:rPr>
          <w:rFonts w:eastAsia="Times New Roman" w:cs="Arial"/>
          <w:szCs w:val="22"/>
          <w:lang w:eastAsia="en-AU"/>
        </w:rPr>
        <w:t xml:space="preserve"> inflation assumed</w:t>
      </w:r>
      <w:r w:rsidR="00687259">
        <w:rPr>
          <w:rFonts w:eastAsia="Times New Roman" w:cs="Arial"/>
          <w:szCs w:val="22"/>
          <w:lang w:eastAsia="en-AU"/>
        </w:rPr>
        <w:t>;</w:t>
      </w:r>
    </w:p>
    <w:p w14:paraId="12D27207" w14:textId="77777777" w:rsidR="00F14D4F" w:rsidRPr="00192FCB" w:rsidRDefault="00F14D4F" w:rsidP="00F14D4F">
      <w:pPr>
        <w:pStyle w:val="FSRlist"/>
        <w:numPr>
          <w:ilvl w:val="0"/>
          <w:numId w:val="24"/>
        </w:numPr>
        <w:rPr>
          <w:rFonts w:eastAsia="Times New Roman" w:cs="Arial"/>
          <w:szCs w:val="22"/>
          <w:lang w:eastAsia="en-AU"/>
        </w:rPr>
      </w:pPr>
      <w:r w:rsidRPr="00192FCB">
        <w:rPr>
          <w:rFonts w:eastAsia="Times New Roman" w:cs="Arial"/>
          <w:szCs w:val="22"/>
          <w:lang w:eastAsia="en-AU"/>
        </w:rPr>
        <w:t xml:space="preserve">In the </w:t>
      </w:r>
      <w:r w:rsidRPr="00120E75">
        <w:rPr>
          <w:rFonts w:eastAsia="Times New Roman" w:cs="Arial"/>
          <w:i/>
          <w:iCs/>
          <w:szCs w:val="22"/>
          <w:lang w:eastAsia="en-AU"/>
        </w:rPr>
        <w:t>Review of NDIA actuarial forecast model and drivers of Scheme costs</w:t>
      </w:r>
      <w:r w:rsidRPr="00192FCB">
        <w:rPr>
          <w:rFonts w:eastAsia="Times New Roman" w:cs="Arial"/>
          <w:szCs w:val="22"/>
          <w:lang w:eastAsia="en-AU"/>
        </w:rPr>
        <w:t xml:space="preserve">, Taylor Fry concluded that a projection of </w:t>
      </w:r>
      <w:r w:rsidR="008B69C2">
        <w:rPr>
          <w:rFonts w:eastAsia="Times New Roman" w:cs="Arial"/>
          <w:szCs w:val="22"/>
          <w:lang w:eastAsia="en-AU"/>
        </w:rPr>
        <w:t>Scheme expense</w:t>
      </w:r>
      <w:r w:rsidRPr="00192FCB">
        <w:rPr>
          <w:rFonts w:eastAsia="Times New Roman" w:cs="Arial"/>
          <w:szCs w:val="22"/>
          <w:lang w:eastAsia="en-AU"/>
        </w:rPr>
        <w:t xml:space="preserve">s which is higher than the 2020-21 AFSR model would not be unreasonable. Taylor Fry noted in particular that the allowance for </w:t>
      </w:r>
      <w:r w:rsidR="00330D42">
        <w:rPr>
          <w:rFonts w:eastAsia="Times New Roman" w:cs="Arial"/>
          <w:szCs w:val="22"/>
          <w:lang w:eastAsia="en-AU"/>
        </w:rPr>
        <w:t xml:space="preserve">the additional </w:t>
      </w:r>
      <w:r w:rsidRPr="00192FCB">
        <w:rPr>
          <w:rFonts w:eastAsia="Times New Roman" w:cs="Arial"/>
          <w:szCs w:val="22"/>
          <w:lang w:eastAsia="en-AU"/>
        </w:rPr>
        <w:t>inflation in the 2020-21 AFSR was likely to be on the low side given the significant upside risk related to inflation facing the Scheme</w:t>
      </w:r>
      <w:r w:rsidR="00687259">
        <w:rPr>
          <w:rFonts w:eastAsia="Times New Roman" w:cs="Arial"/>
          <w:szCs w:val="22"/>
          <w:lang w:eastAsia="en-AU"/>
        </w:rPr>
        <w:t>;</w:t>
      </w:r>
    </w:p>
    <w:p w14:paraId="2E6D2E37" w14:textId="77777777" w:rsidR="00F14D4F" w:rsidRPr="00192FCB" w:rsidRDefault="00330D42" w:rsidP="00F14D4F">
      <w:pPr>
        <w:pStyle w:val="FSRlist"/>
        <w:numPr>
          <w:ilvl w:val="0"/>
          <w:numId w:val="24"/>
        </w:numPr>
        <w:rPr>
          <w:rFonts w:eastAsia="Times New Roman" w:cs="Arial"/>
          <w:szCs w:val="22"/>
          <w:lang w:eastAsia="en-AU"/>
        </w:rPr>
      </w:pPr>
      <w:r>
        <w:rPr>
          <w:rFonts w:eastAsia="Times New Roman" w:cs="Arial"/>
          <w:szCs w:val="22"/>
          <w:lang w:eastAsia="en-AU"/>
        </w:rPr>
        <w:t>The o</w:t>
      </w:r>
      <w:r w:rsidR="00F14D4F" w:rsidRPr="00192FCB">
        <w:rPr>
          <w:rFonts w:eastAsia="Times New Roman" w:cs="Arial"/>
          <w:szCs w:val="22"/>
          <w:lang w:eastAsia="en-AU"/>
        </w:rPr>
        <w:t xml:space="preserve">bserved </w:t>
      </w:r>
      <w:r>
        <w:rPr>
          <w:rFonts w:eastAsia="Times New Roman" w:cs="Arial"/>
          <w:szCs w:val="22"/>
          <w:lang w:eastAsia="en-AU"/>
        </w:rPr>
        <w:t xml:space="preserve">additional </w:t>
      </w:r>
      <w:r w:rsidR="00F14D4F" w:rsidRPr="00192FCB">
        <w:rPr>
          <w:rFonts w:eastAsia="Times New Roman" w:cs="Arial"/>
          <w:szCs w:val="22"/>
          <w:lang w:eastAsia="en-AU"/>
        </w:rPr>
        <w:t xml:space="preserve">inflation in payments over 2021-22 was 5.4%, and there is reasonable evidence that growth in payments would have been higher had it not been for both demand-side and supply-side effects arising from COVID-19. It is hard to precisely quantify these </w:t>
      </w:r>
      <w:r w:rsidR="00663ED4" w:rsidRPr="00192FCB">
        <w:rPr>
          <w:rFonts w:eastAsia="Times New Roman" w:cs="Arial"/>
          <w:szCs w:val="22"/>
          <w:lang w:eastAsia="en-AU"/>
        </w:rPr>
        <w:t>effects,</w:t>
      </w:r>
      <w:r w:rsidR="00F14D4F" w:rsidRPr="00192FCB">
        <w:rPr>
          <w:rFonts w:eastAsia="Times New Roman" w:cs="Arial"/>
          <w:szCs w:val="22"/>
          <w:lang w:eastAsia="en-AU"/>
        </w:rPr>
        <w:t xml:space="preserve"> but a modest impact of 2-3% on payments would </w:t>
      </w:r>
      <w:r w:rsidR="00F14D4F">
        <w:rPr>
          <w:rFonts w:eastAsia="Times New Roman" w:cs="Arial"/>
          <w:szCs w:val="22"/>
          <w:lang w:eastAsia="en-AU"/>
        </w:rPr>
        <w:t xml:space="preserve">mean </w:t>
      </w:r>
      <w:r w:rsidR="00F14D4F" w:rsidRPr="00192FCB">
        <w:rPr>
          <w:rFonts w:eastAsia="Times New Roman" w:cs="Arial"/>
          <w:szCs w:val="22"/>
          <w:lang w:eastAsia="en-AU"/>
        </w:rPr>
        <w:t xml:space="preserve">an underlying </w:t>
      </w:r>
      <w:r w:rsidR="007C3EDE">
        <w:rPr>
          <w:rFonts w:eastAsia="Times New Roman" w:cs="Arial"/>
          <w:szCs w:val="22"/>
          <w:lang w:eastAsia="en-AU"/>
        </w:rPr>
        <w:t>additional</w:t>
      </w:r>
      <w:r w:rsidR="00F14D4F" w:rsidRPr="00192FCB">
        <w:rPr>
          <w:rFonts w:eastAsia="Times New Roman" w:cs="Arial"/>
          <w:szCs w:val="22"/>
          <w:lang w:eastAsia="en-AU"/>
        </w:rPr>
        <w:t xml:space="preserve"> inflation for 2021-22 of approximately 7-8%, considerably higher than </w:t>
      </w:r>
      <w:r w:rsidR="00F14D4F">
        <w:rPr>
          <w:rFonts w:eastAsia="Times New Roman" w:cs="Arial"/>
          <w:szCs w:val="22"/>
          <w:lang w:eastAsia="en-AU"/>
        </w:rPr>
        <w:t xml:space="preserve">future assumptions </w:t>
      </w:r>
      <w:r w:rsidR="00675D0A">
        <w:rPr>
          <w:rFonts w:eastAsia="Times New Roman" w:cs="Arial"/>
          <w:szCs w:val="22"/>
          <w:lang w:eastAsia="en-AU"/>
        </w:rPr>
        <w:t xml:space="preserve">adopted </w:t>
      </w:r>
      <w:r w:rsidR="00F14D4F">
        <w:rPr>
          <w:rFonts w:eastAsia="Times New Roman" w:cs="Arial"/>
          <w:szCs w:val="22"/>
          <w:lang w:eastAsia="en-AU"/>
        </w:rPr>
        <w:t>at the previous review</w:t>
      </w:r>
      <w:r w:rsidR="00687259">
        <w:rPr>
          <w:rFonts w:eastAsia="Times New Roman" w:cs="Arial"/>
          <w:szCs w:val="22"/>
          <w:lang w:eastAsia="en-AU"/>
        </w:rPr>
        <w:t>;</w:t>
      </w:r>
    </w:p>
    <w:p w14:paraId="2D92CC3F" w14:textId="77777777" w:rsidR="00F14D4F" w:rsidRDefault="00F14D4F" w:rsidP="00F14D4F">
      <w:pPr>
        <w:pStyle w:val="FSRlist"/>
        <w:numPr>
          <w:ilvl w:val="0"/>
          <w:numId w:val="24"/>
        </w:numPr>
        <w:rPr>
          <w:rFonts w:eastAsia="Times New Roman" w:cs="Arial"/>
          <w:szCs w:val="22"/>
          <w:lang w:eastAsia="en-AU"/>
        </w:rPr>
      </w:pPr>
      <w:r w:rsidRPr="00192FCB">
        <w:rPr>
          <w:rFonts w:eastAsia="Times New Roman" w:cs="Arial"/>
          <w:szCs w:val="22"/>
          <w:lang w:eastAsia="en-AU"/>
        </w:rPr>
        <w:t xml:space="preserve">Current plan decision making resulted in increases in plans of approximately 9% over 2021-22, with an annualised rate of 12% over the quarter to June 2022. These figures included price increases of approximately 2%, meaning that real growth in plan values were approximately 7% over the 2021-22 year and 10% in the quarter to June 2022, rates which are also considerably higher than </w:t>
      </w:r>
      <w:r>
        <w:rPr>
          <w:rFonts w:eastAsia="Times New Roman" w:cs="Arial"/>
          <w:szCs w:val="22"/>
          <w:lang w:eastAsia="en-AU"/>
        </w:rPr>
        <w:t>future inflation assumptions at the previous review</w:t>
      </w:r>
      <w:r w:rsidR="00687259">
        <w:rPr>
          <w:rFonts w:eastAsia="Times New Roman" w:cs="Arial"/>
          <w:szCs w:val="22"/>
          <w:lang w:eastAsia="en-AU"/>
        </w:rPr>
        <w:t>;</w:t>
      </w:r>
    </w:p>
    <w:p w14:paraId="73B265AD" w14:textId="77777777" w:rsidR="00BF7697" w:rsidRPr="008A6C8D" w:rsidRDefault="00F14D4F" w:rsidP="004E667E">
      <w:pPr>
        <w:pStyle w:val="FSRlist"/>
        <w:numPr>
          <w:ilvl w:val="0"/>
          <w:numId w:val="24"/>
        </w:numPr>
        <w:rPr>
          <w:rFonts w:asciiTheme="minorHAnsi" w:hAnsiTheme="minorHAnsi"/>
          <w:szCs w:val="22"/>
        </w:rPr>
      </w:pPr>
      <w:r w:rsidRPr="00192FCB">
        <w:rPr>
          <w:rFonts w:eastAsia="Times New Roman" w:cs="Arial"/>
          <w:szCs w:val="22"/>
          <w:lang w:eastAsia="en-AU"/>
        </w:rPr>
        <w:t>Any reduction in inflation from current levels will necessarily require fewer plan increases and/or more plan reductions relative to current, and there remains considerable uncertainty about the likelihood of this in the short to medium term as there are few substantive legislative, policy or operational responses currently planned to mitigate these plan increases</w:t>
      </w:r>
      <w:r w:rsidR="003A0DAE">
        <w:rPr>
          <w:rFonts w:eastAsia="Times New Roman" w:cs="Arial"/>
          <w:szCs w:val="22"/>
          <w:lang w:eastAsia="en-AU"/>
        </w:rPr>
        <w:t>, over and above current operational discipline</w:t>
      </w:r>
      <w:r w:rsidRPr="00192FCB">
        <w:rPr>
          <w:rFonts w:eastAsia="Times New Roman" w:cs="Arial"/>
          <w:szCs w:val="22"/>
          <w:lang w:eastAsia="en-AU"/>
        </w:rPr>
        <w:t>. Planning is underway in relation to various initiatives addressing fraud and compliance, however until these initiatives are fully scoped</w:t>
      </w:r>
      <w:r w:rsidR="003F084D">
        <w:rPr>
          <w:rFonts w:eastAsia="Times New Roman" w:cs="Arial"/>
          <w:szCs w:val="22"/>
          <w:lang w:eastAsia="en-AU"/>
        </w:rPr>
        <w:t>,</w:t>
      </w:r>
      <w:r w:rsidRPr="00192FCB">
        <w:rPr>
          <w:rFonts w:eastAsia="Times New Roman" w:cs="Arial"/>
          <w:szCs w:val="22"/>
          <w:lang w:eastAsia="en-AU"/>
        </w:rPr>
        <w:t xml:space="preserve"> and benefits estimated it is not possible to explicitly factor them into future projections.</w:t>
      </w:r>
      <w:r w:rsidR="00BF7697">
        <w:t xml:space="preserve"> </w:t>
      </w:r>
    </w:p>
    <w:p w14:paraId="1DF3810E" w14:textId="77777777" w:rsidR="00BF7697" w:rsidRPr="008A6C8D" w:rsidRDefault="00687259" w:rsidP="00C53CDC">
      <w:pPr>
        <w:pStyle w:val="FSRnormal"/>
      </w:pPr>
      <w:r>
        <w:t xml:space="preserve">Table 5.21 </w:t>
      </w:r>
      <w:r w:rsidR="00BF7697">
        <w:t xml:space="preserve">sets out the </w:t>
      </w:r>
      <w:r w:rsidR="00330D42">
        <w:t xml:space="preserve">additional </w:t>
      </w:r>
      <w:r w:rsidR="00BF7697">
        <w:t xml:space="preserve">inflation assumptions adopted </w:t>
      </w:r>
      <w:r w:rsidR="007F2B28">
        <w:t>at this review</w:t>
      </w:r>
      <w:r w:rsidR="00BF7697">
        <w:t xml:space="preserve">. The components of </w:t>
      </w:r>
      <w:r w:rsidR="00330D42">
        <w:t xml:space="preserve">additional </w:t>
      </w:r>
      <w:r w:rsidR="00BF7697">
        <w:t xml:space="preserve">inflation associated with change in level of function and increased volume of supports over time are applied across all support categories, with the level of function component having separate assumptions for participants with SIL. In addition, a further component of </w:t>
      </w:r>
      <w:r w:rsidR="00330D42">
        <w:t xml:space="preserve">additional </w:t>
      </w:r>
      <w:r w:rsidR="00BF7697">
        <w:t>inflation has been applied at support category level, with separate rates selected for attendant care, therapy and other supports.</w:t>
      </w:r>
    </w:p>
    <w:p w14:paraId="21AABC72" w14:textId="77777777" w:rsidR="00BF7697" w:rsidRDefault="00BF7697" w:rsidP="00BF7697">
      <w:pPr>
        <w:pStyle w:val="Tables"/>
      </w:pPr>
      <w:r w:rsidRPr="00164A79">
        <w:lastRenderedPageBreak/>
        <w:t xml:space="preserve">Table </w:t>
      </w:r>
      <w:fldSimple w:instr=" STYLEREF 2 \s ">
        <w:r w:rsidR="00A87896">
          <w:rPr>
            <w:noProof/>
          </w:rPr>
          <w:t>5</w:t>
        </w:r>
      </w:fldSimple>
      <w:r w:rsidR="00A87896">
        <w:t>.</w:t>
      </w:r>
      <w:fldSimple w:instr=" SEQ Table \* ARABIC \s 2 ">
        <w:r w:rsidR="00A87896">
          <w:rPr>
            <w:noProof/>
          </w:rPr>
          <w:t>21</w:t>
        </w:r>
      </w:fldSimple>
      <w:r w:rsidRPr="00164A79">
        <w:t xml:space="preserve">: Adopted </w:t>
      </w:r>
      <w:r w:rsidR="001712EA" w:rsidRPr="00164A79">
        <w:t xml:space="preserve">additional </w:t>
      </w:r>
      <w:r w:rsidRPr="00164A79">
        <w:t>inflation assumptions</w:t>
      </w:r>
    </w:p>
    <w:tbl>
      <w:tblPr>
        <w:tblStyle w:val="SustainabilityTable"/>
        <w:tblW w:w="5000" w:type="pct"/>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035"/>
        <w:gridCol w:w="1017"/>
        <w:gridCol w:w="980"/>
        <w:gridCol w:w="939"/>
        <w:gridCol w:w="61"/>
        <w:gridCol w:w="931"/>
        <w:gridCol w:w="70"/>
        <w:gridCol w:w="922"/>
        <w:gridCol w:w="276"/>
        <w:gridCol w:w="854"/>
        <w:gridCol w:w="941"/>
      </w:tblGrid>
      <w:tr w:rsidR="00DF4B18" w:rsidRPr="00191697" w14:paraId="77F5FCE8" w14:textId="77777777" w:rsidTr="00DF4B18">
        <w:trPr>
          <w:cnfStyle w:val="100000000000" w:firstRow="1" w:lastRow="0" w:firstColumn="0" w:lastColumn="0" w:oddVBand="0" w:evenVBand="0" w:oddHBand="0" w:evenHBand="0" w:firstRowFirstColumn="0" w:firstRowLastColumn="0" w:lastRowFirstColumn="0" w:lastRowLastColumn="0"/>
          <w:trHeight w:val="397"/>
          <w:tblHeader/>
        </w:trPr>
        <w:tc>
          <w:tcPr>
            <w:tcW w:w="1127" w:type="pct"/>
            <w:shd w:val="clear" w:color="auto" w:fill="6B2976"/>
            <w:noWrap/>
            <w:vAlign w:val="center"/>
            <w:hideMark/>
          </w:tcPr>
          <w:p w14:paraId="2E0C2A65" w14:textId="77777777" w:rsidR="00DF4B18" w:rsidRPr="00191697" w:rsidRDefault="00DF4B18" w:rsidP="001F19B8">
            <w:pPr>
              <w:keepNext/>
              <w:keepLines/>
              <w:spacing w:after="0" w:line="264" w:lineRule="auto"/>
              <w:rPr>
                <w:rFonts w:eastAsia="Times New Roman" w:cs="Arial"/>
                <w:i w:val="0"/>
                <w:color w:val="FFFFFF"/>
                <w:sz w:val="18"/>
                <w:szCs w:val="18"/>
                <w:lang w:eastAsia="en-US"/>
              </w:rPr>
            </w:pPr>
          </w:p>
        </w:tc>
        <w:tc>
          <w:tcPr>
            <w:tcW w:w="1106" w:type="pct"/>
            <w:gridSpan w:val="2"/>
            <w:tcBorders>
              <w:bottom w:val="single" w:sz="4" w:space="0" w:color="D9D9D9" w:themeColor="background1" w:themeShade="D9"/>
            </w:tcBorders>
            <w:shd w:val="clear" w:color="auto" w:fill="6B2976"/>
            <w:vAlign w:val="center"/>
          </w:tcPr>
          <w:p w14:paraId="23C33B63" w14:textId="77777777" w:rsidR="00DF4B18" w:rsidRPr="00191697" w:rsidRDefault="00DF4B18" w:rsidP="003F4F11">
            <w:pPr>
              <w:keepNext/>
              <w:keepLines/>
              <w:spacing w:after="0" w:line="264" w:lineRule="auto"/>
              <w:jc w:val="center"/>
              <w:rPr>
                <w:rFonts w:eastAsia="Times New Roman" w:cs="Arial"/>
                <w:i w:val="0"/>
                <w:color w:val="FFFFFF"/>
                <w:sz w:val="18"/>
                <w:szCs w:val="18"/>
                <w:lang w:eastAsia="en-US"/>
              </w:rPr>
            </w:pPr>
            <w:r w:rsidRPr="00191697">
              <w:rPr>
                <w:rFonts w:eastAsia="SimSun" w:cs="Arial"/>
                <w:i w:val="0"/>
                <w:color w:val="FFFFFF"/>
                <w:sz w:val="18"/>
                <w:szCs w:val="18"/>
                <w:lang w:eastAsia="en-US"/>
              </w:rPr>
              <w:t>Actual</w:t>
            </w:r>
          </w:p>
        </w:tc>
        <w:tc>
          <w:tcPr>
            <w:tcW w:w="554" w:type="pct"/>
            <w:gridSpan w:val="2"/>
            <w:tcBorders>
              <w:bottom w:val="single" w:sz="4" w:space="0" w:color="FFFFFF" w:themeColor="background1"/>
            </w:tcBorders>
            <w:shd w:val="clear" w:color="auto" w:fill="6B2976"/>
            <w:noWrap/>
            <w:vAlign w:val="center"/>
            <w:hideMark/>
          </w:tcPr>
          <w:p w14:paraId="13C9FE83" w14:textId="77777777" w:rsidR="00DF4B18" w:rsidRPr="00191697" w:rsidRDefault="00DF4B18" w:rsidP="00B17C79">
            <w:pPr>
              <w:keepNext/>
              <w:keepLines/>
              <w:spacing w:after="0" w:line="264" w:lineRule="auto"/>
              <w:jc w:val="center"/>
              <w:rPr>
                <w:rFonts w:eastAsia="Times New Roman" w:cs="Arial"/>
                <w:bCs w:val="0"/>
                <w:iCs w:val="0"/>
                <w:color w:val="FFFFFF"/>
                <w:sz w:val="18"/>
                <w:szCs w:val="18"/>
                <w:lang w:eastAsia="en-US"/>
              </w:rPr>
            </w:pPr>
          </w:p>
        </w:tc>
        <w:tc>
          <w:tcPr>
            <w:tcW w:w="555" w:type="pct"/>
            <w:gridSpan w:val="2"/>
            <w:tcBorders>
              <w:bottom w:val="single" w:sz="4" w:space="0" w:color="FFFFFF" w:themeColor="background1"/>
            </w:tcBorders>
            <w:shd w:val="clear" w:color="auto" w:fill="6B2976"/>
            <w:vAlign w:val="center"/>
          </w:tcPr>
          <w:p w14:paraId="4735AE3F" w14:textId="77777777" w:rsidR="00DF4B18" w:rsidRPr="00191697" w:rsidRDefault="00DF4B18" w:rsidP="00B17C79">
            <w:pPr>
              <w:keepNext/>
              <w:keepLines/>
              <w:spacing w:after="0" w:line="264" w:lineRule="auto"/>
              <w:jc w:val="center"/>
              <w:rPr>
                <w:rFonts w:eastAsia="Times New Roman" w:cs="Arial"/>
                <w:bCs w:val="0"/>
                <w:iCs w:val="0"/>
                <w:color w:val="FFFFFF"/>
                <w:sz w:val="18"/>
                <w:szCs w:val="18"/>
                <w:lang w:eastAsia="en-US"/>
              </w:rPr>
            </w:pPr>
          </w:p>
        </w:tc>
        <w:tc>
          <w:tcPr>
            <w:tcW w:w="664" w:type="pct"/>
            <w:gridSpan w:val="2"/>
            <w:tcBorders>
              <w:bottom w:val="single" w:sz="4" w:space="0" w:color="FFFFFF" w:themeColor="background1"/>
            </w:tcBorders>
            <w:shd w:val="clear" w:color="auto" w:fill="6B2976"/>
            <w:vAlign w:val="center"/>
          </w:tcPr>
          <w:p w14:paraId="716A8BBD" w14:textId="77777777" w:rsidR="00DF4B18" w:rsidRPr="00191697" w:rsidRDefault="00DF4B18" w:rsidP="00B17C79">
            <w:pPr>
              <w:keepNext/>
              <w:keepLines/>
              <w:spacing w:after="0" w:line="264" w:lineRule="auto"/>
              <w:jc w:val="center"/>
              <w:rPr>
                <w:rFonts w:eastAsia="Times New Roman" w:cs="Arial"/>
                <w:bCs w:val="0"/>
                <w:iCs w:val="0"/>
                <w:color w:val="FFFFFF"/>
                <w:sz w:val="18"/>
                <w:szCs w:val="18"/>
                <w:lang w:eastAsia="en-US"/>
              </w:rPr>
            </w:pPr>
            <w:r w:rsidRPr="00191697">
              <w:rPr>
                <w:rFonts w:eastAsia="Times New Roman" w:cs="Arial"/>
                <w:i w:val="0"/>
                <w:color w:val="FFFFFF"/>
                <w:sz w:val="18"/>
                <w:szCs w:val="18"/>
                <w:lang w:eastAsia="en-US"/>
              </w:rPr>
              <w:t>Assumed</w:t>
            </w:r>
          </w:p>
        </w:tc>
        <w:tc>
          <w:tcPr>
            <w:tcW w:w="473" w:type="pct"/>
            <w:tcBorders>
              <w:bottom w:val="single" w:sz="4" w:space="0" w:color="FFFFFF" w:themeColor="background1"/>
            </w:tcBorders>
            <w:shd w:val="clear" w:color="auto" w:fill="6B2976"/>
            <w:vAlign w:val="center"/>
          </w:tcPr>
          <w:p w14:paraId="1F7FBE3C" w14:textId="77777777" w:rsidR="00DF4B18" w:rsidRPr="00191697" w:rsidRDefault="00DF4B18" w:rsidP="00B17C79">
            <w:pPr>
              <w:keepNext/>
              <w:keepLines/>
              <w:spacing w:after="0" w:line="264" w:lineRule="auto"/>
              <w:jc w:val="center"/>
              <w:rPr>
                <w:rFonts w:eastAsia="Times New Roman" w:cs="Arial"/>
                <w:bCs w:val="0"/>
                <w:iCs w:val="0"/>
                <w:color w:val="FFFFFF"/>
                <w:sz w:val="18"/>
                <w:szCs w:val="18"/>
                <w:lang w:eastAsia="en-US"/>
              </w:rPr>
            </w:pPr>
          </w:p>
        </w:tc>
        <w:tc>
          <w:tcPr>
            <w:tcW w:w="522" w:type="pct"/>
            <w:tcBorders>
              <w:bottom w:val="single" w:sz="4" w:space="0" w:color="FFFFFF" w:themeColor="background1"/>
            </w:tcBorders>
            <w:shd w:val="clear" w:color="auto" w:fill="6B2976"/>
            <w:vAlign w:val="center"/>
          </w:tcPr>
          <w:p w14:paraId="02B1BEEB" w14:textId="77777777" w:rsidR="00DF4B18" w:rsidRPr="00191697" w:rsidRDefault="00DF4B18" w:rsidP="00B17C79">
            <w:pPr>
              <w:keepNext/>
              <w:keepLines/>
              <w:spacing w:after="0" w:line="264" w:lineRule="auto"/>
              <w:jc w:val="center"/>
              <w:rPr>
                <w:rFonts w:eastAsia="Times New Roman" w:cs="Arial"/>
                <w:i w:val="0"/>
                <w:color w:val="FFFFFF"/>
                <w:sz w:val="18"/>
                <w:szCs w:val="18"/>
                <w:lang w:eastAsia="en-US"/>
              </w:rPr>
            </w:pPr>
          </w:p>
        </w:tc>
      </w:tr>
      <w:tr w:rsidR="005C1438" w:rsidRPr="00191697" w14:paraId="2650BE92" w14:textId="77777777" w:rsidTr="00DF4B18">
        <w:trPr>
          <w:cnfStyle w:val="100000000000" w:firstRow="1" w:lastRow="0" w:firstColumn="0" w:lastColumn="0" w:oddVBand="0" w:evenVBand="0" w:oddHBand="0" w:evenHBand="0" w:firstRowFirstColumn="0" w:firstRowLastColumn="0" w:lastRowFirstColumn="0" w:lastRowLastColumn="0"/>
          <w:trHeight w:val="558"/>
          <w:tblHeader/>
        </w:trPr>
        <w:tc>
          <w:tcPr>
            <w:tcW w:w="1127" w:type="pct"/>
            <w:tcBorders>
              <w:bottom w:val="none" w:sz="0" w:space="0" w:color="auto"/>
            </w:tcBorders>
            <w:shd w:val="clear" w:color="auto" w:fill="6B2976"/>
            <w:noWrap/>
            <w:vAlign w:val="center"/>
            <w:hideMark/>
          </w:tcPr>
          <w:p w14:paraId="32F451B0" w14:textId="77777777" w:rsidR="00BF7697" w:rsidRPr="00191697" w:rsidRDefault="00DF4B18" w:rsidP="001F19B8">
            <w:pPr>
              <w:keepNext/>
              <w:keepLines/>
              <w:spacing w:after="0" w:line="264" w:lineRule="auto"/>
              <w:rPr>
                <w:rFonts w:eastAsia="Times New Roman" w:cs="Arial"/>
                <w:color w:val="FFFFFF"/>
                <w:sz w:val="18"/>
                <w:szCs w:val="18"/>
                <w:lang w:eastAsia="en-US"/>
              </w:rPr>
            </w:pPr>
            <w:r w:rsidRPr="00191697">
              <w:rPr>
                <w:rFonts w:eastAsia="Times New Roman" w:cs="Arial"/>
                <w:color w:val="FFFFFF"/>
                <w:sz w:val="18"/>
                <w:szCs w:val="18"/>
                <w:lang w:eastAsia="en-US"/>
              </w:rPr>
              <w:t> Item of inflation</w:t>
            </w:r>
          </w:p>
        </w:tc>
        <w:tc>
          <w:tcPr>
            <w:tcW w:w="563" w:type="pct"/>
            <w:tcBorders>
              <w:top w:val="single" w:sz="4" w:space="0" w:color="D9D9D9" w:themeColor="background1" w:themeShade="D9"/>
            </w:tcBorders>
            <w:shd w:val="clear" w:color="auto" w:fill="6B2976"/>
            <w:vAlign w:val="center"/>
          </w:tcPr>
          <w:p w14:paraId="61EE8BA7" w14:textId="77777777" w:rsidR="00BF7697" w:rsidRPr="00191697" w:rsidRDefault="00DD2949" w:rsidP="001F19B8">
            <w:pPr>
              <w:keepNext/>
              <w:keepLines/>
              <w:spacing w:after="0" w:line="264" w:lineRule="auto"/>
              <w:jc w:val="right"/>
              <w:rPr>
                <w:rFonts w:eastAsia="Times New Roman" w:cs="Arial"/>
                <w:color w:val="FFFFFF"/>
                <w:sz w:val="18"/>
                <w:szCs w:val="18"/>
                <w:lang w:eastAsia="en-US"/>
              </w:rPr>
            </w:pPr>
            <w:r w:rsidRPr="00191697">
              <w:rPr>
                <w:rFonts w:eastAsia="SimSun" w:cs="Arial"/>
                <w:color w:val="FFFFFF"/>
                <w:sz w:val="18"/>
                <w:szCs w:val="18"/>
                <w:lang w:eastAsia="en-US"/>
              </w:rPr>
              <w:t xml:space="preserve">Average </w:t>
            </w:r>
            <w:r w:rsidR="00BF7697" w:rsidRPr="00191697">
              <w:rPr>
                <w:rFonts w:eastAsia="SimSun" w:cs="Arial"/>
                <w:color w:val="FFFFFF"/>
                <w:sz w:val="18"/>
                <w:szCs w:val="18"/>
                <w:lang w:eastAsia="en-US"/>
              </w:rPr>
              <w:t>201</w:t>
            </w:r>
            <w:r w:rsidRPr="00191697">
              <w:rPr>
                <w:rFonts w:eastAsia="SimSun" w:cs="Arial"/>
                <w:color w:val="FFFFFF"/>
                <w:sz w:val="18"/>
                <w:szCs w:val="18"/>
                <w:lang w:eastAsia="en-US"/>
              </w:rPr>
              <w:t>9</w:t>
            </w:r>
            <w:r w:rsidR="00BF7697" w:rsidRPr="00191697">
              <w:rPr>
                <w:rFonts w:eastAsia="SimSun" w:cs="Arial"/>
                <w:color w:val="FFFFFF"/>
                <w:sz w:val="18"/>
                <w:szCs w:val="18"/>
                <w:lang w:eastAsia="en-US"/>
              </w:rPr>
              <w:t>-22</w:t>
            </w:r>
          </w:p>
        </w:tc>
        <w:tc>
          <w:tcPr>
            <w:tcW w:w="542" w:type="pct"/>
            <w:tcBorders>
              <w:top w:val="single" w:sz="4" w:space="0" w:color="D9D9D9" w:themeColor="background1" w:themeShade="D9"/>
              <w:right w:val="dotted" w:sz="4" w:space="0" w:color="auto"/>
            </w:tcBorders>
            <w:shd w:val="clear" w:color="auto" w:fill="6B2976"/>
            <w:vAlign w:val="center"/>
          </w:tcPr>
          <w:p w14:paraId="177060C9" w14:textId="77777777" w:rsidR="00BF7697" w:rsidRPr="00191697" w:rsidRDefault="00BF7697" w:rsidP="001F19B8">
            <w:pPr>
              <w:keepNext/>
              <w:keepLines/>
              <w:spacing w:after="0" w:line="264" w:lineRule="auto"/>
              <w:jc w:val="right"/>
              <w:rPr>
                <w:rFonts w:eastAsia="Times New Roman" w:cs="Arial"/>
                <w:color w:val="FFFFFF"/>
                <w:sz w:val="18"/>
                <w:szCs w:val="18"/>
                <w:lang w:eastAsia="en-US"/>
              </w:rPr>
            </w:pPr>
            <w:r w:rsidRPr="00191697">
              <w:rPr>
                <w:rFonts w:eastAsia="Times New Roman" w:cs="Arial"/>
                <w:color w:val="FFFFFF"/>
                <w:sz w:val="18"/>
                <w:szCs w:val="18"/>
                <w:lang w:eastAsia="en-US"/>
              </w:rPr>
              <w:t>2021-22</w:t>
            </w:r>
          </w:p>
        </w:tc>
        <w:tc>
          <w:tcPr>
            <w:tcW w:w="520" w:type="pct"/>
            <w:tcBorders>
              <w:top w:val="single" w:sz="4" w:space="0" w:color="FFFFFF" w:themeColor="background1"/>
              <w:left w:val="dotted" w:sz="4" w:space="0" w:color="auto"/>
            </w:tcBorders>
            <w:shd w:val="clear" w:color="auto" w:fill="6B2976"/>
            <w:noWrap/>
            <w:vAlign w:val="center"/>
            <w:hideMark/>
          </w:tcPr>
          <w:p w14:paraId="4D3DADB3" w14:textId="77777777" w:rsidR="00BF7697" w:rsidRPr="00191697" w:rsidRDefault="00BF7697" w:rsidP="001F19B8">
            <w:pPr>
              <w:keepNext/>
              <w:keepLines/>
              <w:spacing w:after="0" w:line="264" w:lineRule="auto"/>
              <w:jc w:val="right"/>
              <w:rPr>
                <w:rFonts w:eastAsia="Times New Roman" w:cs="Arial"/>
                <w:color w:val="FFFFFF"/>
                <w:sz w:val="18"/>
                <w:szCs w:val="18"/>
                <w:lang w:eastAsia="en-US"/>
              </w:rPr>
            </w:pPr>
            <w:r w:rsidRPr="00191697">
              <w:rPr>
                <w:rFonts w:eastAsia="Times New Roman" w:cs="Arial"/>
                <w:color w:val="FFFFFF"/>
                <w:sz w:val="18"/>
                <w:szCs w:val="18"/>
                <w:lang w:eastAsia="en-US"/>
              </w:rPr>
              <w:t>2022-23</w:t>
            </w:r>
          </w:p>
        </w:tc>
        <w:tc>
          <w:tcPr>
            <w:tcW w:w="550" w:type="pct"/>
            <w:gridSpan w:val="2"/>
            <w:tcBorders>
              <w:top w:val="single" w:sz="4" w:space="0" w:color="FFFFFF" w:themeColor="background1"/>
            </w:tcBorders>
            <w:shd w:val="clear" w:color="auto" w:fill="6B2976"/>
            <w:noWrap/>
            <w:vAlign w:val="center"/>
            <w:hideMark/>
          </w:tcPr>
          <w:p w14:paraId="523D8C16" w14:textId="77777777" w:rsidR="00BF7697" w:rsidRPr="00191697" w:rsidRDefault="00BF7697" w:rsidP="001F19B8">
            <w:pPr>
              <w:keepNext/>
              <w:keepLines/>
              <w:spacing w:after="0" w:line="264" w:lineRule="auto"/>
              <w:jc w:val="right"/>
              <w:rPr>
                <w:rFonts w:eastAsia="Times New Roman" w:cs="Arial"/>
                <w:color w:val="FFFFFF"/>
                <w:sz w:val="18"/>
                <w:szCs w:val="18"/>
                <w:lang w:eastAsia="en-US"/>
              </w:rPr>
            </w:pPr>
            <w:r w:rsidRPr="00191697">
              <w:rPr>
                <w:rFonts w:eastAsia="Times New Roman" w:cs="Arial"/>
                <w:color w:val="FFFFFF"/>
                <w:sz w:val="18"/>
                <w:szCs w:val="18"/>
                <w:lang w:eastAsia="en-US"/>
              </w:rPr>
              <w:t>2023-24</w:t>
            </w:r>
          </w:p>
        </w:tc>
        <w:tc>
          <w:tcPr>
            <w:tcW w:w="550" w:type="pct"/>
            <w:gridSpan w:val="2"/>
            <w:tcBorders>
              <w:top w:val="single" w:sz="4" w:space="0" w:color="FFFFFF" w:themeColor="background1"/>
            </w:tcBorders>
            <w:shd w:val="clear" w:color="auto" w:fill="6B2976"/>
            <w:noWrap/>
            <w:vAlign w:val="center"/>
            <w:hideMark/>
          </w:tcPr>
          <w:p w14:paraId="1E33FC97" w14:textId="77777777" w:rsidR="00BF7697" w:rsidRPr="00191697" w:rsidRDefault="00BF7697" w:rsidP="001F19B8">
            <w:pPr>
              <w:keepNext/>
              <w:keepLines/>
              <w:spacing w:after="0" w:line="264" w:lineRule="auto"/>
              <w:jc w:val="right"/>
              <w:rPr>
                <w:rFonts w:eastAsia="Times New Roman" w:cs="Arial"/>
                <w:color w:val="FFFFFF"/>
                <w:sz w:val="18"/>
                <w:szCs w:val="18"/>
                <w:lang w:eastAsia="en-US"/>
              </w:rPr>
            </w:pPr>
            <w:r w:rsidRPr="00191697">
              <w:rPr>
                <w:rFonts w:eastAsia="Times New Roman" w:cs="Arial"/>
                <w:color w:val="FFFFFF"/>
                <w:sz w:val="18"/>
                <w:szCs w:val="18"/>
                <w:lang w:eastAsia="en-US"/>
              </w:rPr>
              <w:t>2024-25</w:t>
            </w:r>
          </w:p>
        </w:tc>
        <w:tc>
          <w:tcPr>
            <w:tcW w:w="626" w:type="pct"/>
            <w:gridSpan w:val="2"/>
            <w:tcBorders>
              <w:top w:val="single" w:sz="4" w:space="0" w:color="FFFFFF" w:themeColor="background1"/>
              <w:right w:val="dotted" w:sz="4" w:space="0" w:color="auto"/>
            </w:tcBorders>
            <w:shd w:val="clear" w:color="auto" w:fill="6B2976"/>
            <w:noWrap/>
            <w:vAlign w:val="center"/>
            <w:hideMark/>
          </w:tcPr>
          <w:p w14:paraId="4B6DE31A" w14:textId="77777777" w:rsidR="00BF7697" w:rsidRPr="00191697" w:rsidRDefault="00BF7697" w:rsidP="001F19B8">
            <w:pPr>
              <w:keepNext/>
              <w:keepLines/>
              <w:spacing w:after="0" w:line="264" w:lineRule="auto"/>
              <w:jc w:val="right"/>
              <w:rPr>
                <w:rFonts w:eastAsia="Times New Roman" w:cs="Arial"/>
                <w:color w:val="FFFFFF"/>
                <w:sz w:val="18"/>
                <w:szCs w:val="18"/>
                <w:lang w:eastAsia="en-US"/>
              </w:rPr>
            </w:pPr>
            <w:r w:rsidRPr="00191697">
              <w:rPr>
                <w:rFonts w:eastAsia="Times New Roman" w:cs="Arial"/>
                <w:color w:val="FFFFFF"/>
                <w:sz w:val="18"/>
                <w:szCs w:val="18"/>
                <w:lang w:eastAsia="en-US"/>
              </w:rPr>
              <w:t>2025-26</w:t>
            </w:r>
          </w:p>
        </w:tc>
        <w:tc>
          <w:tcPr>
            <w:tcW w:w="522" w:type="pct"/>
            <w:tcBorders>
              <w:top w:val="single" w:sz="4" w:space="0" w:color="FFFFFF" w:themeColor="background1"/>
              <w:left w:val="dotted" w:sz="4" w:space="0" w:color="auto"/>
            </w:tcBorders>
            <w:shd w:val="clear" w:color="auto" w:fill="6B2976"/>
            <w:noWrap/>
            <w:vAlign w:val="center"/>
            <w:hideMark/>
          </w:tcPr>
          <w:p w14:paraId="51AE49C4" w14:textId="77777777" w:rsidR="00BF7697" w:rsidRPr="00191697" w:rsidRDefault="00BF7697" w:rsidP="001F19B8">
            <w:pPr>
              <w:keepNext/>
              <w:keepLines/>
              <w:spacing w:after="0" w:line="264" w:lineRule="auto"/>
              <w:jc w:val="right"/>
              <w:rPr>
                <w:rFonts w:eastAsia="Times New Roman" w:cs="Arial"/>
                <w:color w:val="FFFFFF"/>
                <w:sz w:val="18"/>
                <w:szCs w:val="18"/>
                <w:lang w:eastAsia="en-US"/>
              </w:rPr>
            </w:pPr>
            <w:r w:rsidRPr="00191697">
              <w:rPr>
                <w:rFonts w:eastAsia="Times New Roman" w:cs="Arial"/>
                <w:bCs w:val="0"/>
                <w:color w:val="FFFFFF"/>
                <w:sz w:val="18"/>
                <w:szCs w:val="18"/>
                <w:lang w:eastAsia="en-US"/>
              </w:rPr>
              <w:t>20</w:t>
            </w:r>
            <w:r w:rsidR="001F7F0D" w:rsidRPr="00191697">
              <w:rPr>
                <w:rFonts w:eastAsia="Times New Roman" w:cs="Arial"/>
                <w:bCs w:val="0"/>
                <w:color w:val="FFFFFF"/>
                <w:sz w:val="18"/>
                <w:szCs w:val="18"/>
                <w:lang w:eastAsia="en-US"/>
              </w:rPr>
              <w:t>31</w:t>
            </w:r>
            <w:r w:rsidRPr="00191697">
              <w:rPr>
                <w:rFonts w:eastAsia="Times New Roman" w:cs="Arial"/>
                <w:bCs w:val="0"/>
                <w:color w:val="FFFFFF"/>
                <w:sz w:val="18"/>
                <w:szCs w:val="18"/>
                <w:lang w:eastAsia="en-US"/>
              </w:rPr>
              <w:t>-</w:t>
            </w:r>
            <w:r w:rsidR="001F7F0D" w:rsidRPr="00191697">
              <w:rPr>
                <w:rFonts w:eastAsia="Times New Roman" w:cs="Arial"/>
                <w:bCs w:val="0"/>
                <w:color w:val="FFFFFF"/>
                <w:sz w:val="18"/>
                <w:szCs w:val="18"/>
                <w:lang w:eastAsia="en-US"/>
              </w:rPr>
              <w:t>32</w:t>
            </w:r>
          </w:p>
        </w:tc>
      </w:tr>
      <w:tr w:rsidR="00BF7697" w:rsidRPr="001F19B8" w14:paraId="120DE3A6" w14:textId="77777777" w:rsidTr="00DF4B18">
        <w:trPr>
          <w:cnfStyle w:val="000000100000" w:firstRow="0" w:lastRow="0" w:firstColumn="0" w:lastColumn="0" w:oddVBand="0" w:evenVBand="0" w:oddHBand="1" w:evenHBand="0" w:firstRowFirstColumn="0" w:firstRowLastColumn="0" w:lastRowFirstColumn="0" w:lastRowLastColumn="0"/>
          <w:trHeight w:val="285"/>
        </w:trPr>
        <w:tc>
          <w:tcPr>
            <w:tcW w:w="2753" w:type="pct"/>
            <w:gridSpan w:val="4"/>
            <w:vAlign w:val="center"/>
            <w:hideMark/>
          </w:tcPr>
          <w:p w14:paraId="02AB9CC4" w14:textId="77777777" w:rsidR="00BF7697" w:rsidRPr="001F19B8" w:rsidRDefault="00BF7697" w:rsidP="001F19B8">
            <w:pPr>
              <w:keepNext/>
              <w:keepLines/>
              <w:spacing w:after="0" w:line="264" w:lineRule="auto"/>
              <w:rPr>
                <w:rFonts w:eastAsia="Times New Roman" w:cs="Arial"/>
                <w:b/>
                <w:i/>
                <w:color w:val="000000"/>
                <w:sz w:val="18"/>
                <w:szCs w:val="18"/>
                <w:lang w:eastAsia="en-US"/>
              </w:rPr>
            </w:pPr>
            <w:r w:rsidRPr="001F19B8">
              <w:rPr>
                <w:rFonts w:eastAsia="Times New Roman" w:cs="Arial"/>
                <w:b/>
                <w:i/>
                <w:color w:val="000000"/>
                <w:sz w:val="18"/>
                <w:szCs w:val="18"/>
                <w:lang w:eastAsia="en-US"/>
              </w:rPr>
              <w:t>Applied to all support categories:</w:t>
            </w:r>
            <w:r w:rsidRPr="001F19B8">
              <w:rPr>
                <w:rFonts w:eastAsia="Times New Roman" w:cs="Arial"/>
                <w:b/>
                <w:color w:val="000000"/>
                <w:sz w:val="18"/>
                <w:szCs w:val="18"/>
                <w:lang w:eastAsia="en-US"/>
              </w:rPr>
              <w:t> </w:t>
            </w:r>
          </w:p>
        </w:tc>
        <w:tc>
          <w:tcPr>
            <w:tcW w:w="550" w:type="pct"/>
            <w:gridSpan w:val="2"/>
            <w:noWrap/>
            <w:vAlign w:val="center"/>
            <w:hideMark/>
          </w:tcPr>
          <w:p w14:paraId="0CA9C7C0" w14:textId="77777777" w:rsidR="00BF7697" w:rsidRPr="001F19B8" w:rsidRDefault="00BF7697" w:rsidP="001F19B8">
            <w:pPr>
              <w:keepNext/>
              <w:keepLines/>
              <w:spacing w:after="0" w:line="264" w:lineRule="auto"/>
              <w:jc w:val="right"/>
              <w:rPr>
                <w:rFonts w:eastAsia="Times New Roman" w:cs="Arial"/>
                <w:b/>
                <w:color w:val="000000"/>
                <w:sz w:val="18"/>
                <w:szCs w:val="18"/>
                <w:lang w:eastAsia="en-US"/>
              </w:rPr>
            </w:pPr>
            <w:r w:rsidRPr="001F19B8">
              <w:rPr>
                <w:rFonts w:eastAsia="Times New Roman" w:cs="Arial"/>
                <w:b/>
                <w:color w:val="000000"/>
                <w:sz w:val="18"/>
                <w:szCs w:val="18"/>
                <w:lang w:eastAsia="en-US"/>
              </w:rPr>
              <w:t> </w:t>
            </w:r>
          </w:p>
        </w:tc>
        <w:tc>
          <w:tcPr>
            <w:tcW w:w="550" w:type="pct"/>
            <w:gridSpan w:val="2"/>
            <w:noWrap/>
            <w:vAlign w:val="center"/>
            <w:hideMark/>
          </w:tcPr>
          <w:p w14:paraId="6860BB3C" w14:textId="77777777" w:rsidR="00BF7697" w:rsidRPr="001F19B8" w:rsidRDefault="00BF7697" w:rsidP="001F19B8">
            <w:pPr>
              <w:keepNext/>
              <w:keepLines/>
              <w:spacing w:after="0" w:line="264" w:lineRule="auto"/>
              <w:jc w:val="right"/>
              <w:rPr>
                <w:rFonts w:eastAsia="Times New Roman" w:cs="Arial"/>
                <w:b/>
                <w:color w:val="000000"/>
                <w:sz w:val="18"/>
                <w:szCs w:val="18"/>
                <w:lang w:eastAsia="en-US"/>
              </w:rPr>
            </w:pPr>
            <w:r w:rsidRPr="001F19B8">
              <w:rPr>
                <w:rFonts w:eastAsia="Times New Roman" w:cs="Arial"/>
                <w:b/>
                <w:color w:val="000000"/>
                <w:sz w:val="18"/>
                <w:szCs w:val="18"/>
                <w:lang w:eastAsia="en-US"/>
              </w:rPr>
              <w:t> </w:t>
            </w:r>
          </w:p>
        </w:tc>
        <w:tc>
          <w:tcPr>
            <w:tcW w:w="626" w:type="pct"/>
            <w:gridSpan w:val="2"/>
            <w:tcBorders>
              <w:right w:val="dotted" w:sz="4" w:space="0" w:color="auto"/>
            </w:tcBorders>
            <w:noWrap/>
            <w:vAlign w:val="center"/>
            <w:hideMark/>
          </w:tcPr>
          <w:p w14:paraId="61FBDD41" w14:textId="77777777" w:rsidR="00BF7697" w:rsidRPr="001F19B8" w:rsidRDefault="00BF7697" w:rsidP="001F19B8">
            <w:pPr>
              <w:keepNext/>
              <w:keepLines/>
              <w:spacing w:after="0" w:line="264" w:lineRule="auto"/>
              <w:jc w:val="right"/>
              <w:rPr>
                <w:rFonts w:eastAsia="Times New Roman" w:cs="Arial"/>
                <w:b/>
                <w:color w:val="000000"/>
                <w:sz w:val="18"/>
                <w:szCs w:val="18"/>
                <w:lang w:eastAsia="en-US"/>
              </w:rPr>
            </w:pPr>
            <w:r w:rsidRPr="001F19B8">
              <w:rPr>
                <w:rFonts w:eastAsia="Times New Roman" w:cs="Arial"/>
                <w:b/>
                <w:color w:val="000000"/>
                <w:sz w:val="18"/>
                <w:szCs w:val="18"/>
                <w:lang w:eastAsia="en-US"/>
              </w:rPr>
              <w:t> </w:t>
            </w:r>
          </w:p>
        </w:tc>
        <w:tc>
          <w:tcPr>
            <w:tcW w:w="522" w:type="pct"/>
            <w:tcBorders>
              <w:left w:val="dotted" w:sz="4" w:space="0" w:color="auto"/>
            </w:tcBorders>
            <w:noWrap/>
            <w:vAlign w:val="center"/>
            <w:hideMark/>
          </w:tcPr>
          <w:p w14:paraId="1663E9D2" w14:textId="77777777" w:rsidR="00BF7697" w:rsidRPr="001F19B8" w:rsidRDefault="00BF7697" w:rsidP="001F19B8">
            <w:pPr>
              <w:keepNext/>
              <w:keepLines/>
              <w:spacing w:after="0" w:line="264" w:lineRule="auto"/>
              <w:jc w:val="right"/>
              <w:rPr>
                <w:rFonts w:eastAsia="Times New Roman" w:cs="Arial"/>
                <w:b/>
                <w:color w:val="000000"/>
                <w:sz w:val="18"/>
                <w:szCs w:val="18"/>
                <w:lang w:eastAsia="en-US"/>
              </w:rPr>
            </w:pPr>
            <w:r w:rsidRPr="001F19B8">
              <w:rPr>
                <w:rFonts w:eastAsia="Times New Roman" w:cs="Arial"/>
                <w:b/>
                <w:color w:val="000000"/>
                <w:sz w:val="18"/>
                <w:szCs w:val="18"/>
                <w:lang w:eastAsia="en-US"/>
              </w:rPr>
              <w:t> </w:t>
            </w:r>
          </w:p>
        </w:tc>
      </w:tr>
      <w:tr w:rsidR="005C1438" w:rsidRPr="001F19B8" w14:paraId="353EA36C" w14:textId="77777777" w:rsidTr="00DF4B18">
        <w:trPr>
          <w:cnfStyle w:val="000000010000" w:firstRow="0" w:lastRow="0" w:firstColumn="0" w:lastColumn="0" w:oddVBand="0" w:evenVBand="0" w:oddHBand="0" w:evenHBand="1" w:firstRowFirstColumn="0" w:firstRowLastColumn="0" w:lastRowFirstColumn="0" w:lastRowLastColumn="0"/>
          <w:trHeight w:val="285"/>
        </w:trPr>
        <w:tc>
          <w:tcPr>
            <w:tcW w:w="1127" w:type="pct"/>
            <w:vAlign w:val="center"/>
            <w:hideMark/>
          </w:tcPr>
          <w:p w14:paraId="39E32049" w14:textId="77777777" w:rsidR="00BF7697" w:rsidRPr="001F19B8" w:rsidRDefault="000F7714" w:rsidP="001F19B8">
            <w:pPr>
              <w:keepNext/>
              <w:keepLines/>
              <w:spacing w:after="0" w:line="264" w:lineRule="auto"/>
              <w:rPr>
                <w:rFonts w:eastAsia="Times New Roman" w:cs="Arial"/>
                <w:color w:val="000000"/>
                <w:sz w:val="18"/>
                <w:szCs w:val="18"/>
                <w:lang w:eastAsia="en-US"/>
              </w:rPr>
            </w:pPr>
            <w:r w:rsidRPr="001F19B8">
              <w:rPr>
                <w:rFonts w:eastAsia="Times New Roman" w:cs="Arial"/>
                <w:color w:val="000000" w:themeColor="text1"/>
                <w:sz w:val="18"/>
                <w:szCs w:val="18"/>
                <w:lang w:eastAsia="en-US"/>
              </w:rPr>
              <w:t>Level of Function change – non-</w:t>
            </w:r>
            <w:r w:rsidR="00BF7697" w:rsidRPr="001F19B8">
              <w:rPr>
                <w:rFonts w:eastAsia="Times New Roman" w:cs="Arial"/>
                <w:color w:val="000000" w:themeColor="text1"/>
                <w:sz w:val="18"/>
                <w:szCs w:val="18"/>
                <w:lang w:eastAsia="en-US"/>
              </w:rPr>
              <w:t>SIL</w:t>
            </w:r>
          </w:p>
        </w:tc>
        <w:tc>
          <w:tcPr>
            <w:tcW w:w="563" w:type="pct"/>
            <w:vAlign w:val="center"/>
          </w:tcPr>
          <w:p w14:paraId="595A6736"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eastAsia="SimSun" w:cs="Arial"/>
                <w:color w:val="000000"/>
                <w:sz w:val="18"/>
                <w:szCs w:val="18"/>
                <w:lang w:eastAsia="en-US"/>
              </w:rPr>
              <w:t>2.</w:t>
            </w:r>
            <w:r w:rsidR="00DD2949" w:rsidRPr="001F19B8">
              <w:rPr>
                <w:rFonts w:eastAsia="SimSun" w:cs="Arial"/>
                <w:color w:val="000000"/>
                <w:sz w:val="18"/>
                <w:szCs w:val="18"/>
                <w:lang w:eastAsia="en-US"/>
              </w:rPr>
              <w:t>6</w:t>
            </w:r>
            <w:r w:rsidRPr="001F19B8">
              <w:rPr>
                <w:rFonts w:eastAsia="SimSun" w:cs="Arial"/>
                <w:color w:val="000000"/>
                <w:sz w:val="18"/>
                <w:szCs w:val="18"/>
                <w:lang w:eastAsia="en-US"/>
              </w:rPr>
              <w:t>%</w:t>
            </w:r>
          </w:p>
        </w:tc>
        <w:tc>
          <w:tcPr>
            <w:tcW w:w="542" w:type="pct"/>
            <w:tcBorders>
              <w:right w:val="dotted" w:sz="4" w:space="0" w:color="auto"/>
            </w:tcBorders>
            <w:vAlign w:val="center"/>
          </w:tcPr>
          <w:p w14:paraId="7C366286"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eastAsia="SimSun" w:cs="Arial"/>
                <w:color w:val="000000"/>
                <w:sz w:val="18"/>
                <w:szCs w:val="18"/>
                <w:lang w:eastAsia="en-US"/>
              </w:rPr>
              <w:t>1.8%</w:t>
            </w:r>
          </w:p>
        </w:tc>
        <w:tc>
          <w:tcPr>
            <w:tcW w:w="520" w:type="pct"/>
            <w:tcBorders>
              <w:left w:val="dotted" w:sz="4" w:space="0" w:color="auto"/>
            </w:tcBorders>
            <w:noWrap/>
            <w:vAlign w:val="center"/>
            <w:hideMark/>
          </w:tcPr>
          <w:p w14:paraId="4D6E9BB3"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1.8%</w:t>
            </w:r>
          </w:p>
        </w:tc>
        <w:tc>
          <w:tcPr>
            <w:tcW w:w="550" w:type="pct"/>
            <w:gridSpan w:val="2"/>
            <w:noWrap/>
            <w:vAlign w:val="center"/>
            <w:hideMark/>
          </w:tcPr>
          <w:p w14:paraId="275806F5"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1.5%</w:t>
            </w:r>
          </w:p>
        </w:tc>
        <w:tc>
          <w:tcPr>
            <w:tcW w:w="550" w:type="pct"/>
            <w:gridSpan w:val="2"/>
            <w:noWrap/>
            <w:vAlign w:val="center"/>
            <w:hideMark/>
          </w:tcPr>
          <w:p w14:paraId="770FB22D"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1.5%</w:t>
            </w:r>
          </w:p>
        </w:tc>
        <w:tc>
          <w:tcPr>
            <w:tcW w:w="626" w:type="pct"/>
            <w:gridSpan w:val="2"/>
            <w:tcBorders>
              <w:right w:val="dotted" w:sz="4" w:space="0" w:color="auto"/>
            </w:tcBorders>
            <w:noWrap/>
            <w:vAlign w:val="center"/>
            <w:hideMark/>
          </w:tcPr>
          <w:p w14:paraId="30336BFF"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1.5%</w:t>
            </w:r>
          </w:p>
        </w:tc>
        <w:tc>
          <w:tcPr>
            <w:tcW w:w="522" w:type="pct"/>
            <w:tcBorders>
              <w:left w:val="dotted" w:sz="4" w:space="0" w:color="auto"/>
            </w:tcBorders>
            <w:noWrap/>
            <w:vAlign w:val="center"/>
            <w:hideMark/>
          </w:tcPr>
          <w:p w14:paraId="3FC2F505"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1.0%</w:t>
            </w:r>
          </w:p>
        </w:tc>
      </w:tr>
      <w:tr w:rsidR="005C1438" w:rsidRPr="001F19B8" w14:paraId="7EDCB920" w14:textId="77777777" w:rsidTr="00DF4B18">
        <w:trPr>
          <w:cnfStyle w:val="000000100000" w:firstRow="0" w:lastRow="0" w:firstColumn="0" w:lastColumn="0" w:oddVBand="0" w:evenVBand="0" w:oddHBand="1" w:evenHBand="0" w:firstRowFirstColumn="0" w:firstRowLastColumn="0" w:lastRowFirstColumn="0" w:lastRowLastColumn="0"/>
          <w:trHeight w:val="285"/>
        </w:trPr>
        <w:tc>
          <w:tcPr>
            <w:tcW w:w="1127" w:type="pct"/>
            <w:vAlign w:val="center"/>
            <w:hideMark/>
          </w:tcPr>
          <w:p w14:paraId="3F104193" w14:textId="77777777" w:rsidR="00BF7697" w:rsidRPr="001F19B8" w:rsidRDefault="00BF7697" w:rsidP="001F19B8">
            <w:pPr>
              <w:keepNext/>
              <w:keepLines/>
              <w:spacing w:after="0" w:line="264" w:lineRule="auto"/>
              <w:rPr>
                <w:rFonts w:eastAsia="Times New Roman" w:cs="Arial"/>
                <w:color w:val="000000"/>
                <w:sz w:val="18"/>
                <w:szCs w:val="18"/>
                <w:lang w:eastAsia="en-US"/>
              </w:rPr>
            </w:pPr>
            <w:r w:rsidRPr="001F19B8">
              <w:rPr>
                <w:rFonts w:eastAsia="Times New Roman" w:cs="Arial"/>
                <w:color w:val="000000" w:themeColor="text1"/>
                <w:sz w:val="18"/>
                <w:szCs w:val="18"/>
                <w:lang w:eastAsia="en-US"/>
              </w:rPr>
              <w:t>Level of Function change - SIL</w:t>
            </w:r>
          </w:p>
        </w:tc>
        <w:tc>
          <w:tcPr>
            <w:tcW w:w="563" w:type="pct"/>
            <w:vAlign w:val="center"/>
          </w:tcPr>
          <w:p w14:paraId="6DB067FC"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eastAsia="SimSun" w:cs="Arial"/>
                <w:color w:val="000000"/>
                <w:sz w:val="18"/>
                <w:szCs w:val="18"/>
                <w:lang w:eastAsia="en-US"/>
              </w:rPr>
              <w:t>1.</w:t>
            </w:r>
            <w:r w:rsidR="00DD2949" w:rsidRPr="001F19B8">
              <w:rPr>
                <w:rFonts w:eastAsia="SimSun" w:cs="Arial"/>
                <w:color w:val="000000"/>
                <w:sz w:val="18"/>
                <w:szCs w:val="18"/>
                <w:lang w:eastAsia="en-US"/>
              </w:rPr>
              <w:t>1</w:t>
            </w:r>
            <w:r w:rsidRPr="001F19B8">
              <w:rPr>
                <w:rFonts w:eastAsia="SimSun" w:cs="Arial"/>
                <w:color w:val="000000"/>
                <w:sz w:val="18"/>
                <w:szCs w:val="18"/>
                <w:lang w:eastAsia="en-US"/>
              </w:rPr>
              <w:t>%</w:t>
            </w:r>
          </w:p>
        </w:tc>
        <w:tc>
          <w:tcPr>
            <w:tcW w:w="542" w:type="pct"/>
            <w:tcBorders>
              <w:right w:val="dotted" w:sz="4" w:space="0" w:color="auto"/>
            </w:tcBorders>
            <w:vAlign w:val="center"/>
          </w:tcPr>
          <w:p w14:paraId="2392289B"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eastAsia="SimSun" w:cs="Arial"/>
                <w:color w:val="000000"/>
                <w:sz w:val="18"/>
                <w:szCs w:val="18"/>
                <w:lang w:eastAsia="en-US"/>
              </w:rPr>
              <w:t>0.4%</w:t>
            </w:r>
          </w:p>
        </w:tc>
        <w:tc>
          <w:tcPr>
            <w:tcW w:w="520" w:type="pct"/>
            <w:tcBorders>
              <w:left w:val="dotted" w:sz="4" w:space="0" w:color="auto"/>
            </w:tcBorders>
            <w:noWrap/>
            <w:vAlign w:val="center"/>
            <w:hideMark/>
          </w:tcPr>
          <w:p w14:paraId="392C981A"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0.4%</w:t>
            </w:r>
          </w:p>
        </w:tc>
        <w:tc>
          <w:tcPr>
            <w:tcW w:w="550" w:type="pct"/>
            <w:gridSpan w:val="2"/>
            <w:noWrap/>
            <w:vAlign w:val="center"/>
            <w:hideMark/>
          </w:tcPr>
          <w:p w14:paraId="7ED3F675"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0.4%</w:t>
            </w:r>
          </w:p>
        </w:tc>
        <w:tc>
          <w:tcPr>
            <w:tcW w:w="550" w:type="pct"/>
            <w:gridSpan w:val="2"/>
            <w:noWrap/>
            <w:vAlign w:val="center"/>
            <w:hideMark/>
          </w:tcPr>
          <w:p w14:paraId="24A2DE9E"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0.4%</w:t>
            </w:r>
          </w:p>
        </w:tc>
        <w:tc>
          <w:tcPr>
            <w:tcW w:w="626" w:type="pct"/>
            <w:gridSpan w:val="2"/>
            <w:tcBorders>
              <w:right w:val="dotted" w:sz="4" w:space="0" w:color="auto"/>
            </w:tcBorders>
            <w:noWrap/>
            <w:vAlign w:val="center"/>
            <w:hideMark/>
          </w:tcPr>
          <w:p w14:paraId="17430D78"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0.4%</w:t>
            </w:r>
          </w:p>
        </w:tc>
        <w:tc>
          <w:tcPr>
            <w:tcW w:w="522" w:type="pct"/>
            <w:tcBorders>
              <w:left w:val="dotted" w:sz="4" w:space="0" w:color="auto"/>
            </w:tcBorders>
            <w:noWrap/>
            <w:vAlign w:val="center"/>
            <w:hideMark/>
          </w:tcPr>
          <w:p w14:paraId="026885AC"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0.4%</w:t>
            </w:r>
          </w:p>
        </w:tc>
      </w:tr>
      <w:tr w:rsidR="005C1438" w:rsidRPr="001F19B8" w14:paraId="54AFCC14" w14:textId="77777777" w:rsidTr="00DF4B18">
        <w:trPr>
          <w:cnfStyle w:val="000000010000" w:firstRow="0" w:lastRow="0" w:firstColumn="0" w:lastColumn="0" w:oddVBand="0" w:evenVBand="0" w:oddHBand="0" w:evenHBand="1" w:firstRowFirstColumn="0" w:firstRowLastColumn="0" w:lastRowFirstColumn="0" w:lastRowLastColumn="0"/>
          <w:trHeight w:val="285"/>
        </w:trPr>
        <w:tc>
          <w:tcPr>
            <w:tcW w:w="1127" w:type="pct"/>
            <w:vAlign w:val="center"/>
            <w:hideMark/>
          </w:tcPr>
          <w:p w14:paraId="74B6EFD1" w14:textId="77777777" w:rsidR="00BF7697" w:rsidRPr="001F19B8" w:rsidRDefault="00BF7697" w:rsidP="001F19B8">
            <w:pPr>
              <w:keepNext/>
              <w:keepLines/>
              <w:spacing w:after="0" w:line="264" w:lineRule="auto"/>
              <w:rPr>
                <w:rFonts w:eastAsia="Times New Roman" w:cs="Arial"/>
                <w:color w:val="000000"/>
                <w:sz w:val="18"/>
                <w:szCs w:val="18"/>
                <w:lang w:eastAsia="en-US"/>
              </w:rPr>
            </w:pPr>
            <w:r w:rsidRPr="001F19B8">
              <w:rPr>
                <w:rFonts w:eastAsia="Times New Roman" w:cs="Arial"/>
                <w:color w:val="000000"/>
                <w:sz w:val="18"/>
                <w:szCs w:val="18"/>
                <w:lang w:eastAsia="en-US"/>
              </w:rPr>
              <w:t>Volume of supports</w:t>
            </w:r>
          </w:p>
        </w:tc>
        <w:tc>
          <w:tcPr>
            <w:tcW w:w="563" w:type="pct"/>
            <w:vAlign w:val="center"/>
          </w:tcPr>
          <w:p w14:paraId="291B2B20" w14:textId="77777777" w:rsidR="00BF7697" w:rsidRPr="001F19B8" w:rsidRDefault="00DD2949" w:rsidP="001F19B8">
            <w:pPr>
              <w:keepNext/>
              <w:keepLines/>
              <w:spacing w:after="0" w:line="264" w:lineRule="auto"/>
              <w:jc w:val="right"/>
              <w:rPr>
                <w:rFonts w:eastAsia="Times New Roman" w:cs="Arial"/>
                <w:color w:val="000000"/>
                <w:sz w:val="18"/>
                <w:szCs w:val="18"/>
                <w:lang w:eastAsia="en-US"/>
              </w:rPr>
            </w:pPr>
            <w:r w:rsidRPr="001F19B8">
              <w:rPr>
                <w:rFonts w:eastAsia="SimSun" w:cs="Arial"/>
                <w:color w:val="000000"/>
                <w:sz w:val="18"/>
                <w:szCs w:val="18"/>
                <w:lang w:eastAsia="en-US"/>
              </w:rPr>
              <w:t>1.7</w:t>
            </w:r>
            <w:r w:rsidR="00BF7697" w:rsidRPr="001F19B8">
              <w:rPr>
                <w:rFonts w:eastAsia="SimSun" w:cs="Arial"/>
                <w:color w:val="000000"/>
                <w:sz w:val="18"/>
                <w:szCs w:val="18"/>
                <w:lang w:eastAsia="en-US"/>
              </w:rPr>
              <w:t>%</w:t>
            </w:r>
          </w:p>
        </w:tc>
        <w:tc>
          <w:tcPr>
            <w:tcW w:w="542" w:type="pct"/>
            <w:tcBorders>
              <w:right w:val="dotted" w:sz="4" w:space="0" w:color="auto"/>
            </w:tcBorders>
            <w:vAlign w:val="center"/>
          </w:tcPr>
          <w:p w14:paraId="12522A64"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eastAsia="SimSun" w:cs="Arial"/>
                <w:color w:val="000000"/>
                <w:sz w:val="18"/>
                <w:szCs w:val="18"/>
                <w:lang w:eastAsia="en-US"/>
              </w:rPr>
              <w:t>0.5%</w:t>
            </w:r>
          </w:p>
        </w:tc>
        <w:tc>
          <w:tcPr>
            <w:tcW w:w="520" w:type="pct"/>
            <w:tcBorders>
              <w:left w:val="dotted" w:sz="4" w:space="0" w:color="auto"/>
            </w:tcBorders>
            <w:noWrap/>
            <w:vAlign w:val="center"/>
            <w:hideMark/>
          </w:tcPr>
          <w:p w14:paraId="753107E8"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0.5%</w:t>
            </w:r>
          </w:p>
        </w:tc>
        <w:tc>
          <w:tcPr>
            <w:tcW w:w="550" w:type="pct"/>
            <w:gridSpan w:val="2"/>
            <w:noWrap/>
            <w:vAlign w:val="center"/>
            <w:hideMark/>
          </w:tcPr>
          <w:p w14:paraId="7509375B"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0.5%</w:t>
            </w:r>
          </w:p>
        </w:tc>
        <w:tc>
          <w:tcPr>
            <w:tcW w:w="550" w:type="pct"/>
            <w:gridSpan w:val="2"/>
            <w:noWrap/>
            <w:vAlign w:val="center"/>
            <w:hideMark/>
          </w:tcPr>
          <w:p w14:paraId="7D9D836F"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0.5%</w:t>
            </w:r>
          </w:p>
        </w:tc>
        <w:tc>
          <w:tcPr>
            <w:tcW w:w="626" w:type="pct"/>
            <w:gridSpan w:val="2"/>
            <w:tcBorders>
              <w:right w:val="dotted" w:sz="4" w:space="0" w:color="auto"/>
            </w:tcBorders>
            <w:noWrap/>
            <w:vAlign w:val="center"/>
            <w:hideMark/>
          </w:tcPr>
          <w:p w14:paraId="1EC83063"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0.5%</w:t>
            </w:r>
          </w:p>
        </w:tc>
        <w:tc>
          <w:tcPr>
            <w:tcW w:w="522" w:type="pct"/>
            <w:tcBorders>
              <w:left w:val="dotted" w:sz="4" w:space="0" w:color="auto"/>
            </w:tcBorders>
            <w:noWrap/>
            <w:vAlign w:val="center"/>
            <w:hideMark/>
          </w:tcPr>
          <w:p w14:paraId="00F51192"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0.5%</w:t>
            </w:r>
          </w:p>
        </w:tc>
      </w:tr>
      <w:tr w:rsidR="00BF7697" w:rsidRPr="001F19B8" w14:paraId="1273DB73" w14:textId="77777777" w:rsidTr="00DF4B18">
        <w:trPr>
          <w:cnfStyle w:val="000000100000" w:firstRow="0" w:lastRow="0" w:firstColumn="0" w:lastColumn="0" w:oddVBand="0" w:evenVBand="0" w:oddHBand="1" w:evenHBand="0" w:firstRowFirstColumn="0" w:firstRowLastColumn="0" w:lastRowFirstColumn="0" w:lastRowLastColumn="0"/>
          <w:trHeight w:val="284"/>
        </w:trPr>
        <w:tc>
          <w:tcPr>
            <w:tcW w:w="2233" w:type="pct"/>
            <w:gridSpan w:val="3"/>
            <w:tcBorders>
              <w:right w:val="dotted" w:sz="4" w:space="0" w:color="auto"/>
            </w:tcBorders>
            <w:vAlign w:val="center"/>
            <w:hideMark/>
          </w:tcPr>
          <w:p w14:paraId="77350463" w14:textId="77777777" w:rsidR="00BF7697" w:rsidRPr="001F19B8" w:rsidRDefault="00BF7697" w:rsidP="00DF4B18">
            <w:pPr>
              <w:keepNext/>
              <w:keepLines/>
              <w:spacing w:after="0" w:line="264" w:lineRule="auto"/>
              <w:rPr>
                <w:rFonts w:eastAsia="Times New Roman" w:cs="Arial"/>
                <w:b/>
                <w:color w:val="000000"/>
                <w:sz w:val="18"/>
                <w:szCs w:val="18"/>
                <w:lang w:eastAsia="en-US"/>
              </w:rPr>
            </w:pPr>
            <w:r w:rsidRPr="001F19B8">
              <w:rPr>
                <w:rFonts w:eastAsia="Times New Roman" w:cs="Arial"/>
                <w:b/>
                <w:i/>
                <w:color w:val="000000"/>
                <w:sz w:val="18"/>
                <w:szCs w:val="18"/>
                <w:lang w:eastAsia="en-US"/>
              </w:rPr>
              <w:t>Applied to specific support categories</w:t>
            </w:r>
            <w:r w:rsidRPr="001F19B8">
              <w:rPr>
                <w:rFonts w:eastAsia="Times New Roman" w:cs="Arial"/>
                <w:b/>
                <w:i/>
                <w:color w:val="000000"/>
                <w:sz w:val="18"/>
                <w:szCs w:val="18"/>
                <w:vertAlign w:val="superscript"/>
                <w:lang w:eastAsia="en-US"/>
              </w:rPr>
              <w:footnoteReference w:id="106"/>
            </w:r>
            <w:r w:rsidRPr="001F19B8">
              <w:rPr>
                <w:rFonts w:eastAsia="Times New Roman" w:cs="Arial"/>
                <w:b/>
                <w:i/>
                <w:color w:val="000000"/>
                <w:sz w:val="18"/>
                <w:szCs w:val="18"/>
                <w:lang w:eastAsia="en-US"/>
              </w:rPr>
              <w:t>:</w:t>
            </w:r>
          </w:p>
        </w:tc>
        <w:tc>
          <w:tcPr>
            <w:tcW w:w="520" w:type="pct"/>
            <w:tcBorders>
              <w:left w:val="dotted" w:sz="4" w:space="0" w:color="auto"/>
            </w:tcBorders>
            <w:noWrap/>
            <w:vAlign w:val="center"/>
            <w:hideMark/>
          </w:tcPr>
          <w:p w14:paraId="47F64F90"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p>
        </w:tc>
        <w:tc>
          <w:tcPr>
            <w:tcW w:w="550" w:type="pct"/>
            <w:gridSpan w:val="2"/>
            <w:noWrap/>
            <w:vAlign w:val="center"/>
            <w:hideMark/>
          </w:tcPr>
          <w:p w14:paraId="4F571C0E"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p>
        </w:tc>
        <w:tc>
          <w:tcPr>
            <w:tcW w:w="550" w:type="pct"/>
            <w:gridSpan w:val="2"/>
            <w:noWrap/>
            <w:vAlign w:val="center"/>
            <w:hideMark/>
          </w:tcPr>
          <w:p w14:paraId="5BDC2FA2" w14:textId="77777777" w:rsidR="00BF7697" w:rsidRPr="001F19B8" w:rsidRDefault="00BF7697" w:rsidP="001F19B8">
            <w:pPr>
              <w:keepNext/>
              <w:keepLines/>
              <w:spacing w:after="0" w:line="264" w:lineRule="auto"/>
              <w:jc w:val="right"/>
              <w:rPr>
                <w:rFonts w:eastAsia="Times New Roman" w:cs="Arial"/>
                <w:sz w:val="18"/>
                <w:szCs w:val="18"/>
                <w:lang w:eastAsia="en-US"/>
              </w:rPr>
            </w:pPr>
          </w:p>
        </w:tc>
        <w:tc>
          <w:tcPr>
            <w:tcW w:w="626" w:type="pct"/>
            <w:gridSpan w:val="2"/>
            <w:tcBorders>
              <w:right w:val="dotted" w:sz="4" w:space="0" w:color="auto"/>
            </w:tcBorders>
            <w:noWrap/>
            <w:vAlign w:val="center"/>
            <w:hideMark/>
          </w:tcPr>
          <w:p w14:paraId="291C3EEE" w14:textId="77777777" w:rsidR="00BF7697" w:rsidRPr="001F19B8" w:rsidRDefault="00BF7697" w:rsidP="001F19B8">
            <w:pPr>
              <w:keepNext/>
              <w:keepLines/>
              <w:spacing w:after="0" w:line="264" w:lineRule="auto"/>
              <w:jc w:val="right"/>
              <w:rPr>
                <w:rFonts w:eastAsia="Times New Roman" w:cs="Arial"/>
                <w:sz w:val="18"/>
                <w:szCs w:val="18"/>
                <w:lang w:eastAsia="en-US"/>
              </w:rPr>
            </w:pPr>
          </w:p>
        </w:tc>
        <w:tc>
          <w:tcPr>
            <w:tcW w:w="522" w:type="pct"/>
            <w:tcBorders>
              <w:left w:val="dotted" w:sz="4" w:space="0" w:color="auto"/>
            </w:tcBorders>
            <w:noWrap/>
            <w:vAlign w:val="center"/>
            <w:hideMark/>
          </w:tcPr>
          <w:p w14:paraId="3BA70B93"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eastAsia="Times New Roman" w:cs="Arial"/>
                <w:color w:val="000000"/>
                <w:sz w:val="18"/>
                <w:szCs w:val="18"/>
                <w:lang w:eastAsia="en-US"/>
              </w:rPr>
              <w:t> </w:t>
            </w:r>
          </w:p>
        </w:tc>
      </w:tr>
      <w:tr w:rsidR="005C1438" w:rsidRPr="001F19B8" w14:paraId="78B0CC43" w14:textId="77777777" w:rsidTr="00DF4B18">
        <w:trPr>
          <w:cnfStyle w:val="000000010000" w:firstRow="0" w:lastRow="0" w:firstColumn="0" w:lastColumn="0" w:oddVBand="0" w:evenVBand="0" w:oddHBand="0" w:evenHBand="1" w:firstRowFirstColumn="0" w:firstRowLastColumn="0" w:lastRowFirstColumn="0" w:lastRowLastColumn="0"/>
          <w:trHeight w:val="285"/>
        </w:trPr>
        <w:tc>
          <w:tcPr>
            <w:tcW w:w="1127" w:type="pct"/>
            <w:vAlign w:val="center"/>
            <w:hideMark/>
          </w:tcPr>
          <w:p w14:paraId="01B6847A" w14:textId="77777777" w:rsidR="00BF7697" w:rsidRPr="001F19B8" w:rsidRDefault="00BF7697" w:rsidP="001F19B8">
            <w:pPr>
              <w:keepNext/>
              <w:keepLines/>
              <w:spacing w:after="0" w:line="264" w:lineRule="auto"/>
              <w:rPr>
                <w:rFonts w:eastAsia="Times New Roman" w:cs="Arial"/>
                <w:color w:val="000000"/>
                <w:sz w:val="18"/>
                <w:szCs w:val="18"/>
                <w:lang w:eastAsia="en-US"/>
              </w:rPr>
            </w:pPr>
            <w:r w:rsidRPr="001F19B8">
              <w:rPr>
                <w:rFonts w:eastAsia="Times New Roman" w:cs="Arial"/>
                <w:color w:val="000000"/>
                <w:sz w:val="18"/>
                <w:szCs w:val="18"/>
                <w:lang w:eastAsia="en-US"/>
              </w:rPr>
              <w:t>Attendant care</w:t>
            </w:r>
          </w:p>
        </w:tc>
        <w:tc>
          <w:tcPr>
            <w:tcW w:w="563" w:type="pct"/>
            <w:vAlign w:val="center"/>
          </w:tcPr>
          <w:p w14:paraId="5204EA8D" w14:textId="77777777" w:rsidR="00BF7697" w:rsidRPr="001F19B8" w:rsidRDefault="00DD2949" w:rsidP="001F19B8">
            <w:pPr>
              <w:keepNext/>
              <w:keepLines/>
              <w:spacing w:after="0" w:line="264" w:lineRule="auto"/>
              <w:jc w:val="right"/>
              <w:rPr>
                <w:rFonts w:eastAsia="Times New Roman" w:cs="Arial"/>
                <w:color w:val="000000"/>
                <w:sz w:val="18"/>
                <w:szCs w:val="18"/>
                <w:lang w:eastAsia="en-US"/>
              </w:rPr>
            </w:pPr>
            <w:r w:rsidRPr="001F19B8">
              <w:rPr>
                <w:rFonts w:eastAsia="SimSun" w:cs="Arial"/>
                <w:color w:val="000000"/>
                <w:sz w:val="18"/>
                <w:szCs w:val="18"/>
                <w:lang w:eastAsia="en-US"/>
              </w:rPr>
              <w:t>6.1</w:t>
            </w:r>
            <w:r w:rsidR="00BF7697" w:rsidRPr="001F19B8">
              <w:rPr>
                <w:rFonts w:eastAsia="SimSun" w:cs="Arial"/>
                <w:color w:val="000000"/>
                <w:sz w:val="18"/>
                <w:szCs w:val="18"/>
                <w:lang w:eastAsia="en-US"/>
              </w:rPr>
              <w:t>%</w:t>
            </w:r>
          </w:p>
        </w:tc>
        <w:tc>
          <w:tcPr>
            <w:tcW w:w="542" w:type="pct"/>
            <w:tcBorders>
              <w:right w:val="dotted" w:sz="4" w:space="0" w:color="auto"/>
            </w:tcBorders>
            <w:vAlign w:val="center"/>
          </w:tcPr>
          <w:p w14:paraId="21A6FFD7"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eastAsia="SimSun" w:cs="Arial"/>
                <w:color w:val="000000"/>
                <w:sz w:val="18"/>
                <w:szCs w:val="18"/>
                <w:lang w:eastAsia="en-US"/>
              </w:rPr>
              <w:t>1.5%</w:t>
            </w:r>
          </w:p>
        </w:tc>
        <w:tc>
          <w:tcPr>
            <w:tcW w:w="520" w:type="pct"/>
            <w:tcBorders>
              <w:left w:val="dotted" w:sz="4" w:space="0" w:color="auto"/>
            </w:tcBorders>
            <w:noWrap/>
            <w:vAlign w:val="center"/>
            <w:hideMark/>
          </w:tcPr>
          <w:p w14:paraId="1EB192B4"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1.5%</w:t>
            </w:r>
          </w:p>
        </w:tc>
        <w:tc>
          <w:tcPr>
            <w:tcW w:w="550" w:type="pct"/>
            <w:gridSpan w:val="2"/>
            <w:noWrap/>
            <w:vAlign w:val="center"/>
            <w:hideMark/>
          </w:tcPr>
          <w:p w14:paraId="1D55D4B1"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1.5%</w:t>
            </w:r>
          </w:p>
        </w:tc>
        <w:tc>
          <w:tcPr>
            <w:tcW w:w="550" w:type="pct"/>
            <w:gridSpan w:val="2"/>
            <w:noWrap/>
            <w:vAlign w:val="center"/>
            <w:hideMark/>
          </w:tcPr>
          <w:p w14:paraId="00CD40DA"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4.4%</w:t>
            </w:r>
          </w:p>
        </w:tc>
        <w:tc>
          <w:tcPr>
            <w:tcW w:w="626" w:type="pct"/>
            <w:gridSpan w:val="2"/>
            <w:tcBorders>
              <w:right w:val="dotted" w:sz="4" w:space="0" w:color="auto"/>
            </w:tcBorders>
            <w:noWrap/>
            <w:vAlign w:val="center"/>
            <w:hideMark/>
          </w:tcPr>
          <w:p w14:paraId="5D3DA7A9"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3.3%</w:t>
            </w:r>
          </w:p>
        </w:tc>
        <w:tc>
          <w:tcPr>
            <w:tcW w:w="522" w:type="pct"/>
            <w:tcBorders>
              <w:left w:val="dotted" w:sz="4" w:space="0" w:color="auto"/>
            </w:tcBorders>
            <w:noWrap/>
            <w:vAlign w:val="center"/>
            <w:hideMark/>
          </w:tcPr>
          <w:p w14:paraId="2155EEA4"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0.7%</w:t>
            </w:r>
          </w:p>
        </w:tc>
      </w:tr>
      <w:tr w:rsidR="005C1438" w:rsidRPr="001F19B8" w14:paraId="55B86659" w14:textId="77777777" w:rsidTr="00DF4B18">
        <w:trPr>
          <w:cnfStyle w:val="000000100000" w:firstRow="0" w:lastRow="0" w:firstColumn="0" w:lastColumn="0" w:oddVBand="0" w:evenVBand="0" w:oddHBand="1" w:evenHBand="0" w:firstRowFirstColumn="0" w:firstRowLastColumn="0" w:lastRowFirstColumn="0" w:lastRowLastColumn="0"/>
          <w:trHeight w:val="285"/>
        </w:trPr>
        <w:tc>
          <w:tcPr>
            <w:tcW w:w="1127" w:type="pct"/>
            <w:noWrap/>
            <w:vAlign w:val="center"/>
            <w:hideMark/>
          </w:tcPr>
          <w:p w14:paraId="31991981" w14:textId="77777777" w:rsidR="00BF7697" w:rsidRPr="001F19B8" w:rsidRDefault="00BF7697" w:rsidP="001F19B8">
            <w:pPr>
              <w:keepNext/>
              <w:keepLines/>
              <w:spacing w:after="0" w:line="264" w:lineRule="auto"/>
              <w:rPr>
                <w:rFonts w:eastAsia="Times New Roman" w:cs="Arial"/>
                <w:color w:val="000000"/>
                <w:sz w:val="18"/>
                <w:szCs w:val="18"/>
                <w:lang w:eastAsia="en-US"/>
              </w:rPr>
            </w:pPr>
            <w:r w:rsidRPr="001F19B8">
              <w:rPr>
                <w:rFonts w:eastAsia="Times New Roman" w:cs="Arial"/>
                <w:color w:val="000000"/>
                <w:sz w:val="18"/>
                <w:szCs w:val="18"/>
                <w:lang w:eastAsia="en-US"/>
              </w:rPr>
              <w:t>Therapy</w:t>
            </w:r>
          </w:p>
        </w:tc>
        <w:tc>
          <w:tcPr>
            <w:tcW w:w="563" w:type="pct"/>
            <w:vAlign w:val="center"/>
          </w:tcPr>
          <w:p w14:paraId="59744ABF" w14:textId="77777777" w:rsidR="00BF7697" w:rsidRPr="001F19B8" w:rsidRDefault="00DD2949" w:rsidP="001F19B8">
            <w:pPr>
              <w:keepNext/>
              <w:keepLines/>
              <w:spacing w:after="0" w:line="264" w:lineRule="auto"/>
              <w:jc w:val="right"/>
              <w:rPr>
                <w:rFonts w:eastAsia="Times New Roman" w:cs="Arial"/>
                <w:color w:val="000000"/>
                <w:sz w:val="18"/>
                <w:szCs w:val="18"/>
                <w:lang w:eastAsia="en-US"/>
              </w:rPr>
            </w:pPr>
            <w:r w:rsidRPr="001F19B8">
              <w:rPr>
                <w:rFonts w:eastAsia="SimSun" w:cs="Arial"/>
                <w:color w:val="000000"/>
                <w:sz w:val="18"/>
                <w:szCs w:val="18"/>
                <w:lang w:eastAsia="en-US"/>
              </w:rPr>
              <w:t>11.9</w:t>
            </w:r>
            <w:r w:rsidR="00BF7697" w:rsidRPr="001F19B8">
              <w:rPr>
                <w:rFonts w:eastAsia="SimSun" w:cs="Arial"/>
                <w:color w:val="000000"/>
                <w:sz w:val="18"/>
                <w:szCs w:val="18"/>
                <w:lang w:eastAsia="en-US"/>
              </w:rPr>
              <w:t>%</w:t>
            </w:r>
          </w:p>
        </w:tc>
        <w:tc>
          <w:tcPr>
            <w:tcW w:w="542" w:type="pct"/>
            <w:tcBorders>
              <w:right w:val="dotted" w:sz="4" w:space="0" w:color="auto"/>
            </w:tcBorders>
            <w:vAlign w:val="center"/>
          </w:tcPr>
          <w:p w14:paraId="5D6455E8"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eastAsia="SimSun" w:cs="Arial"/>
                <w:color w:val="000000"/>
                <w:sz w:val="18"/>
                <w:szCs w:val="18"/>
                <w:lang w:eastAsia="en-US"/>
              </w:rPr>
              <w:t>-0.1%</w:t>
            </w:r>
          </w:p>
        </w:tc>
        <w:tc>
          <w:tcPr>
            <w:tcW w:w="520" w:type="pct"/>
            <w:tcBorders>
              <w:left w:val="dotted" w:sz="4" w:space="0" w:color="auto"/>
            </w:tcBorders>
            <w:noWrap/>
            <w:vAlign w:val="center"/>
            <w:hideMark/>
          </w:tcPr>
          <w:p w14:paraId="6D407AEC"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0.0%</w:t>
            </w:r>
          </w:p>
        </w:tc>
        <w:tc>
          <w:tcPr>
            <w:tcW w:w="550" w:type="pct"/>
            <w:gridSpan w:val="2"/>
            <w:noWrap/>
            <w:vAlign w:val="center"/>
            <w:hideMark/>
          </w:tcPr>
          <w:p w14:paraId="5DB8A12D"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0.0%</w:t>
            </w:r>
          </w:p>
        </w:tc>
        <w:tc>
          <w:tcPr>
            <w:tcW w:w="550" w:type="pct"/>
            <w:gridSpan w:val="2"/>
            <w:noWrap/>
            <w:vAlign w:val="center"/>
            <w:hideMark/>
          </w:tcPr>
          <w:p w14:paraId="0F0C157D"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4.4%</w:t>
            </w:r>
          </w:p>
        </w:tc>
        <w:tc>
          <w:tcPr>
            <w:tcW w:w="626" w:type="pct"/>
            <w:gridSpan w:val="2"/>
            <w:tcBorders>
              <w:right w:val="dotted" w:sz="4" w:space="0" w:color="auto"/>
            </w:tcBorders>
            <w:noWrap/>
            <w:vAlign w:val="center"/>
            <w:hideMark/>
          </w:tcPr>
          <w:p w14:paraId="5DA12397"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3.3%</w:t>
            </w:r>
          </w:p>
        </w:tc>
        <w:tc>
          <w:tcPr>
            <w:tcW w:w="522" w:type="pct"/>
            <w:tcBorders>
              <w:left w:val="dotted" w:sz="4" w:space="0" w:color="auto"/>
            </w:tcBorders>
            <w:noWrap/>
            <w:vAlign w:val="center"/>
            <w:hideMark/>
          </w:tcPr>
          <w:p w14:paraId="09DF4721"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0.7%</w:t>
            </w:r>
          </w:p>
        </w:tc>
      </w:tr>
      <w:tr w:rsidR="005C1438" w:rsidRPr="001F19B8" w14:paraId="5068129A" w14:textId="77777777" w:rsidTr="00DF4B18">
        <w:trPr>
          <w:cnfStyle w:val="000000010000" w:firstRow="0" w:lastRow="0" w:firstColumn="0" w:lastColumn="0" w:oddVBand="0" w:evenVBand="0" w:oddHBand="0" w:evenHBand="1" w:firstRowFirstColumn="0" w:firstRowLastColumn="0" w:lastRowFirstColumn="0" w:lastRowLastColumn="0"/>
          <w:trHeight w:val="293"/>
        </w:trPr>
        <w:tc>
          <w:tcPr>
            <w:tcW w:w="1127" w:type="pct"/>
            <w:tcBorders>
              <w:bottom w:val="single" w:sz="4" w:space="0" w:color="auto"/>
            </w:tcBorders>
            <w:noWrap/>
            <w:vAlign w:val="center"/>
            <w:hideMark/>
          </w:tcPr>
          <w:p w14:paraId="1E3B485D" w14:textId="77777777" w:rsidR="00BF7697" w:rsidRPr="001F19B8" w:rsidRDefault="00BF7697" w:rsidP="001F19B8">
            <w:pPr>
              <w:keepNext/>
              <w:keepLines/>
              <w:spacing w:after="0" w:line="264" w:lineRule="auto"/>
              <w:rPr>
                <w:rFonts w:eastAsia="Times New Roman" w:cs="Arial"/>
                <w:color w:val="000000"/>
                <w:sz w:val="18"/>
                <w:szCs w:val="18"/>
                <w:lang w:eastAsia="en-US"/>
              </w:rPr>
            </w:pPr>
            <w:r w:rsidRPr="001F19B8">
              <w:rPr>
                <w:rFonts w:eastAsia="Times New Roman" w:cs="Arial"/>
                <w:color w:val="000000"/>
                <w:sz w:val="18"/>
                <w:szCs w:val="18"/>
                <w:lang w:eastAsia="en-US"/>
              </w:rPr>
              <w:t>Other supports</w:t>
            </w:r>
          </w:p>
        </w:tc>
        <w:tc>
          <w:tcPr>
            <w:tcW w:w="563" w:type="pct"/>
            <w:tcBorders>
              <w:bottom w:val="single" w:sz="4" w:space="0" w:color="auto"/>
            </w:tcBorders>
            <w:vAlign w:val="center"/>
          </w:tcPr>
          <w:p w14:paraId="6353DE11" w14:textId="77777777" w:rsidR="00BF7697" w:rsidRPr="001F19B8" w:rsidRDefault="00DD2949" w:rsidP="001F19B8">
            <w:pPr>
              <w:keepNext/>
              <w:keepLines/>
              <w:spacing w:after="0" w:line="264" w:lineRule="auto"/>
              <w:jc w:val="right"/>
              <w:rPr>
                <w:rFonts w:eastAsia="Times New Roman" w:cs="Arial"/>
                <w:color w:val="000000"/>
                <w:sz w:val="18"/>
                <w:szCs w:val="18"/>
                <w:lang w:eastAsia="en-US"/>
              </w:rPr>
            </w:pPr>
            <w:r w:rsidRPr="001F19B8">
              <w:rPr>
                <w:rFonts w:eastAsia="SimSun" w:cs="Arial"/>
                <w:color w:val="000000"/>
                <w:sz w:val="18"/>
                <w:szCs w:val="18"/>
                <w:lang w:eastAsia="en-US"/>
              </w:rPr>
              <w:t>11</w:t>
            </w:r>
            <w:r w:rsidR="00BF7697" w:rsidRPr="001F19B8">
              <w:rPr>
                <w:rFonts w:eastAsia="SimSun" w:cs="Arial"/>
                <w:color w:val="000000"/>
                <w:sz w:val="18"/>
                <w:szCs w:val="18"/>
                <w:lang w:eastAsia="en-US"/>
              </w:rPr>
              <w:t>.</w:t>
            </w:r>
            <w:r w:rsidRPr="001F19B8">
              <w:rPr>
                <w:rFonts w:eastAsia="SimSun" w:cs="Arial"/>
                <w:color w:val="000000"/>
                <w:sz w:val="18"/>
                <w:szCs w:val="18"/>
                <w:lang w:eastAsia="en-US"/>
              </w:rPr>
              <w:t>2</w:t>
            </w:r>
            <w:r w:rsidR="00BF7697" w:rsidRPr="001F19B8">
              <w:rPr>
                <w:rFonts w:eastAsia="SimSun" w:cs="Arial"/>
                <w:color w:val="000000"/>
                <w:sz w:val="18"/>
                <w:szCs w:val="18"/>
                <w:lang w:eastAsia="en-US"/>
              </w:rPr>
              <w:t>%</w:t>
            </w:r>
          </w:p>
        </w:tc>
        <w:tc>
          <w:tcPr>
            <w:tcW w:w="542" w:type="pct"/>
            <w:tcBorders>
              <w:bottom w:val="single" w:sz="4" w:space="0" w:color="auto"/>
              <w:right w:val="dotted" w:sz="4" w:space="0" w:color="auto"/>
            </w:tcBorders>
            <w:vAlign w:val="center"/>
          </w:tcPr>
          <w:p w14:paraId="237B1A8E" w14:textId="77777777" w:rsidR="00BF7697" w:rsidRPr="001F19B8" w:rsidRDefault="00632D15" w:rsidP="001F19B8">
            <w:pPr>
              <w:keepNext/>
              <w:keepLines/>
              <w:spacing w:after="0" w:line="264" w:lineRule="auto"/>
              <w:jc w:val="right"/>
              <w:rPr>
                <w:rFonts w:eastAsia="Times New Roman" w:cs="Arial"/>
                <w:color w:val="000000"/>
                <w:sz w:val="18"/>
                <w:szCs w:val="18"/>
                <w:lang w:eastAsia="en-US"/>
              </w:rPr>
            </w:pPr>
            <w:r>
              <w:rPr>
                <w:rFonts w:eastAsia="SimSun" w:cs="Arial"/>
                <w:color w:val="000000"/>
                <w:sz w:val="18"/>
                <w:szCs w:val="18"/>
                <w:lang w:eastAsia="en-US"/>
              </w:rPr>
              <w:t>14.8</w:t>
            </w:r>
            <w:r w:rsidR="00BF7697" w:rsidRPr="001F19B8">
              <w:rPr>
                <w:rFonts w:eastAsia="SimSun" w:cs="Arial"/>
                <w:color w:val="000000"/>
                <w:sz w:val="18"/>
                <w:szCs w:val="18"/>
                <w:lang w:eastAsia="en-US"/>
              </w:rPr>
              <w:t>%</w:t>
            </w:r>
          </w:p>
        </w:tc>
        <w:tc>
          <w:tcPr>
            <w:tcW w:w="520" w:type="pct"/>
            <w:tcBorders>
              <w:left w:val="dotted" w:sz="4" w:space="0" w:color="auto"/>
              <w:bottom w:val="single" w:sz="4" w:space="0" w:color="auto"/>
            </w:tcBorders>
            <w:noWrap/>
            <w:vAlign w:val="center"/>
            <w:hideMark/>
          </w:tcPr>
          <w:p w14:paraId="44B66E09"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4.0%</w:t>
            </w:r>
          </w:p>
        </w:tc>
        <w:tc>
          <w:tcPr>
            <w:tcW w:w="550" w:type="pct"/>
            <w:gridSpan w:val="2"/>
            <w:tcBorders>
              <w:bottom w:val="single" w:sz="4" w:space="0" w:color="auto"/>
            </w:tcBorders>
            <w:noWrap/>
            <w:vAlign w:val="center"/>
            <w:hideMark/>
          </w:tcPr>
          <w:p w14:paraId="25A82ECE"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2.0%</w:t>
            </w:r>
          </w:p>
        </w:tc>
        <w:tc>
          <w:tcPr>
            <w:tcW w:w="550" w:type="pct"/>
            <w:gridSpan w:val="2"/>
            <w:tcBorders>
              <w:bottom w:val="single" w:sz="4" w:space="0" w:color="auto"/>
            </w:tcBorders>
            <w:noWrap/>
            <w:vAlign w:val="center"/>
            <w:hideMark/>
          </w:tcPr>
          <w:p w14:paraId="40185F04"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4.4%</w:t>
            </w:r>
          </w:p>
        </w:tc>
        <w:tc>
          <w:tcPr>
            <w:tcW w:w="626" w:type="pct"/>
            <w:gridSpan w:val="2"/>
            <w:tcBorders>
              <w:bottom w:val="single" w:sz="4" w:space="0" w:color="auto"/>
              <w:right w:val="dotted" w:sz="4" w:space="0" w:color="auto"/>
            </w:tcBorders>
            <w:noWrap/>
            <w:vAlign w:val="center"/>
            <w:hideMark/>
          </w:tcPr>
          <w:p w14:paraId="0201EF8D"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3.3%</w:t>
            </w:r>
          </w:p>
        </w:tc>
        <w:tc>
          <w:tcPr>
            <w:tcW w:w="522" w:type="pct"/>
            <w:tcBorders>
              <w:left w:val="dotted" w:sz="4" w:space="0" w:color="auto"/>
              <w:bottom w:val="single" w:sz="4" w:space="0" w:color="auto"/>
            </w:tcBorders>
            <w:noWrap/>
            <w:vAlign w:val="center"/>
            <w:hideMark/>
          </w:tcPr>
          <w:p w14:paraId="1F4FB88F" w14:textId="77777777" w:rsidR="00BF7697" w:rsidRPr="001F19B8" w:rsidRDefault="00BF7697" w:rsidP="001F19B8">
            <w:pPr>
              <w:keepNext/>
              <w:keepLines/>
              <w:spacing w:after="0" w:line="264" w:lineRule="auto"/>
              <w:jc w:val="right"/>
              <w:rPr>
                <w:rFonts w:eastAsia="Times New Roman" w:cs="Arial"/>
                <w:color w:val="000000"/>
                <w:sz w:val="18"/>
                <w:szCs w:val="18"/>
                <w:lang w:eastAsia="en-US"/>
              </w:rPr>
            </w:pPr>
            <w:r w:rsidRPr="001F19B8">
              <w:rPr>
                <w:rFonts w:cs="Arial"/>
                <w:sz w:val="18"/>
                <w:szCs w:val="18"/>
              </w:rPr>
              <w:t>0.7%</w:t>
            </w:r>
          </w:p>
        </w:tc>
      </w:tr>
    </w:tbl>
    <w:p w14:paraId="439E87D2" w14:textId="77777777" w:rsidR="00DD2949" w:rsidRPr="00346949" w:rsidRDefault="00DD2949" w:rsidP="00BF7697">
      <w:pPr>
        <w:pStyle w:val="FSRnormal"/>
      </w:pPr>
      <w:r w:rsidRPr="00346949">
        <w:t xml:space="preserve">The assumptions made about future sources of </w:t>
      </w:r>
      <w:r w:rsidR="00330D42">
        <w:t xml:space="preserve">additional </w:t>
      </w:r>
      <w:r w:rsidRPr="00346949">
        <w:t xml:space="preserve">inflation can also be expressed in terms of the contribution of each component to the overall inflation rate. This is shown in </w:t>
      </w:r>
      <w:r w:rsidR="00F1235C">
        <w:t>T</w:t>
      </w:r>
      <w:r w:rsidRPr="00346949">
        <w:t xml:space="preserve">able </w:t>
      </w:r>
      <w:r w:rsidR="00F1235C">
        <w:t>5.22</w:t>
      </w:r>
      <w:r w:rsidRPr="00346949">
        <w:t>.</w:t>
      </w:r>
    </w:p>
    <w:p w14:paraId="33CD5004" w14:textId="77777777" w:rsidR="00DD2949" w:rsidRDefault="00DD2949" w:rsidP="00DD2949">
      <w:pPr>
        <w:pStyle w:val="Tables"/>
      </w:pPr>
      <w:r w:rsidRPr="00164A79">
        <w:t xml:space="preserve">Table </w:t>
      </w:r>
      <w:fldSimple w:instr=" STYLEREF 2 \s ">
        <w:r w:rsidR="00A87896">
          <w:rPr>
            <w:noProof/>
          </w:rPr>
          <w:t>5</w:t>
        </w:r>
      </w:fldSimple>
      <w:r w:rsidR="00A87896">
        <w:t>.</w:t>
      </w:r>
      <w:fldSimple w:instr=" SEQ Table \* ARABIC \s 2 ">
        <w:r w:rsidR="00A87896">
          <w:rPr>
            <w:noProof/>
          </w:rPr>
          <w:t>22</w:t>
        </w:r>
      </w:fldSimple>
      <w:r w:rsidRPr="00164A79">
        <w:t xml:space="preserve">: Contribution to total </w:t>
      </w:r>
      <w:r w:rsidR="001712EA" w:rsidRPr="00164A79">
        <w:t xml:space="preserve">additional </w:t>
      </w:r>
      <w:r w:rsidRPr="00164A79">
        <w:t>inflation assumptions</w:t>
      </w:r>
    </w:p>
    <w:tbl>
      <w:tblPr>
        <w:tblStyle w:val="SustainabilityTable"/>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96"/>
        <w:gridCol w:w="927"/>
        <w:gridCol w:w="1139"/>
        <w:gridCol w:w="877"/>
        <w:gridCol w:w="20"/>
        <w:gridCol w:w="905"/>
        <w:gridCol w:w="1094"/>
        <w:gridCol w:w="19"/>
        <w:gridCol w:w="872"/>
        <w:gridCol w:w="819"/>
        <w:gridCol w:w="58"/>
      </w:tblGrid>
      <w:tr w:rsidR="00F36D30" w:rsidRPr="00191697" w14:paraId="179A9E99" w14:textId="77777777" w:rsidTr="00CC39E3">
        <w:trPr>
          <w:cnfStyle w:val="100000000000" w:firstRow="1" w:lastRow="0" w:firstColumn="0" w:lastColumn="0" w:oddVBand="0" w:evenVBand="0" w:oddHBand="0" w:evenHBand="0" w:firstRowFirstColumn="0" w:firstRowLastColumn="0" w:lastRowFirstColumn="0" w:lastRowLastColumn="0"/>
          <w:trHeight w:val="397"/>
          <w:tblHeader/>
        </w:trPr>
        <w:tc>
          <w:tcPr>
            <w:tcW w:w="1221" w:type="pct"/>
            <w:shd w:val="clear" w:color="auto" w:fill="6B2976"/>
            <w:noWrap/>
            <w:vAlign w:val="center"/>
            <w:hideMark/>
          </w:tcPr>
          <w:p w14:paraId="6683834A" w14:textId="77777777" w:rsidR="00F36D30" w:rsidRPr="00191697" w:rsidRDefault="00F36D30" w:rsidP="00F36D30">
            <w:pPr>
              <w:keepNext/>
              <w:keepLines/>
              <w:spacing w:after="0" w:line="264" w:lineRule="auto"/>
              <w:rPr>
                <w:rFonts w:eastAsia="Times New Roman" w:cs="Arial"/>
                <w:bCs w:val="0"/>
                <w:iCs w:val="0"/>
                <w:color w:val="FFFFFF"/>
                <w:sz w:val="18"/>
                <w:szCs w:val="18"/>
                <w:lang w:eastAsia="en-US"/>
              </w:rPr>
            </w:pPr>
          </w:p>
        </w:tc>
        <w:tc>
          <w:tcPr>
            <w:tcW w:w="518" w:type="pct"/>
            <w:tcBorders>
              <w:bottom w:val="single" w:sz="4" w:space="0" w:color="D9D9D9" w:themeColor="background1" w:themeShade="D9"/>
            </w:tcBorders>
            <w:shd w:val="clear" w:color="auto" w:fill="6B2976"/>
            <w:vAlign w:val="center"/>
          </w:tcPr>
          <w:p w14:paraId="5E50A5EB" w14:textId="77777777" w:rsidR="00F36D30" w:rsidRPr="00191697" w:rsidRDefault="00F36D30" w:rsidP="005C1438">
            <w:pPr>
              <w:keepNext/>
              <w:keepLines/>
              <w:spacing w:after="0" w:line="264" w:lineRule="auto"/>
              <w:jc w:val="center"/>
              <w:rPr>
                <w:rFonts w:eastAsia="Times New Roman" w:cs="Arial"/>
                <w:bCs w:val="0"/>
                <w:iCs w:val="0"/>
                <w:color w:val="FFFFFF"/>
                <w:sz w:val="18"/>
                <w:szCs w:val="18"/>
                <w:lang w:eastAsia="en-US"/>
              </w:rPr>
            </w:pPr>
            <w:r w:rsidRPr="00191697">
              <w:rPr>
                <w:rFonts w:eastAsia="SimSun" w:cs="Arial"/>
                <w:i w:val="0"/>
                <w:color w:val="FFFFFF"/>
                <w:sz w:val="18"/>
                <w:szCs w:val="18"/>
                <w:lang w:eastAsia="en-US"/>
              </w:rPr>
              <w:t>Actual</w:t>
            </w:r>
          </w:p>
        </w:tc>
        <w:tc>
          <w:tcPr>
            <w:tcW w:w="653" w:type="pct"/>
            <w:tcBorders>
              <w:left w:val="nil"/>
              <w:bottom w:val="single" w:sz="4" w:space="0" w:color="D9D9D9" w:themeColor="background1" w:themeShade="D9"/>
              <w:right w:val="single" w:sz="4" w:space="0" w:color="FFFFFF" w:themeColor="background1"/>
            </w:tcBorders>
            <w:shd w:val="clear" w:color="auto" w:fill="6B2976"/>
            <w:vAlign w:val="center"/>
          </w:tcPr>
          <w:p w14:paraId="56FA01C2" w14:textId="77777777" w:rsidR="00F36D30" w:rsidRPr="00191697" w:rsidRDefault="00F36D30" w:rsidP="005C1438">
            <w:pPr>
              <w:keepNext/>
              <w:keepLines/>
              <w:spacing w:after="0" w:line="264" w:lineRule="auto"/>
              <w:jc w:val="center"/>
              <w:rPr>
                <w:rFonts w:eastAsia="Times New Roman" w:cs="Arial"/>
                <w:i w:val="0"/>
                <w:color w:val="FFFFFF"/>
                <w:sz w:val="18"/>
                <w:szCs w:val="18"/>
                <w:lang w:eastAsia="en-US"/>
              </w:rPr>
            </w:pPr>
          </w:p>
        </w:tc>
        <w:tc>
          <w:tcPr>
            <w:tcW w:w="506" w:type="pct"/>
            <w:gridSpan w:val="2"/>
            <w:tcBorders>
              <w:left w:val="single" w:sz="4" w:space="0" w:color="FFFFFF" w:themeColor="background1"/>
              <w:bottom w:val="single" w:sz="4" w:space="0" w:color="FFFFFF" w:themeColor="background1"/>
            </w:tcBorders>
            <w:shd w:val="clear" w:color="auto" w:fill="6B2976"/>
            <w:noWrap/>
            <w:vAlign w:val="center"/>
            <w:hideMark/>
          </w:tcPr>
          <w:p w14:paraId="50226410" w14:textId="77777777" w:rsidR="00F36D30" w:rsidRPr="00191697" w:rsidRDefault="00F36D30" w:rsidP="005C1438">
            <w:pPr>
              <w:keepNext/>
              <w:keepLines/>
              <w:spacing w:after="0" w:line="264" w:lineRule="auto"/>
              <w:jc w:val="center"/>
              <w:rPr>
                <w:rFonts w:eastAsia="Times New Roman" w:cs="Arial"/>
                <w:bCs w:val="0"/>
                <w:iCs w:val="0"/>
                <w:color w:val="FFFFFF"/>
                <w:sz w:val="18"/>
                <w:szCs w:val="18"/>
                <w:lang w:eastAsia="en-US"/>
              </w:rPr>
            </w:pPr>
          </w:p>
        </w:tc>
        <w:tc>
          <w:tcPr>
            <w:tcW w:w="530" w:type="pct"/>
            <w:tcBorders>
              <w:bottom w:val="single" w:sz="4" w:space="0" w:color="FFFFFF" w:themeColor="background1"/>
            </w:tcBorders>
            <w:shd w:val="clear" w:color="auto" w:fill="6B2976"/>
            <w:vAlign w:val="center"/>
          </w:tcPr>
          <w:p w14:paraId="5265ABED" w14:textId="77777777" w:rsidR="00F36D30" w:rsidRPr="00191697" w:rsidRDefault="00F36D30" w:rsidP="005C1438">
            <w:pPr>
              <w:keepNext/>
              <w:keepLines/>
              <w:spacing w:after="0" w:line="264" w:lineRule="auto"/>
              <w:jc w:val="center"/>
              <w:rPr>
                <w:rFonts w:eastAsia="Times New Roman" w:cs="Arial"/>
                <w:bCs w:val="0"/>
                <w:iCs w:val="0"/>
                <w:color w:val="FFFFFF"/>
                <w:sz w:val="18"/>
                <w:szCs w:val="18"/>
                <w:lang w:eastAsia="en-US"/>
              </w:rPr>
            </w:pPr>
          </w:p>
        </w:tc>
        <w:tc>
          <w:tcPr>
            <w:tcW w:w="630" w:type="pct"/>
            <w:gridSpan w:val="2"/>
            <w:tcBorders>
              <w:bottom w:val="single" w:sz="4" w:space="0" w:color="FFFFFF" w:themeColor="background1"/>
            </w:tcBorders>
            <w:shd w:val="clear" w:color="auto" w:fill="6B2976"/>
            <w:vAlign w:val="center"/>
          </w:tcPr>
          <w:p w14:paraId="21819571" w14:textId="77777777" w:rsidR="00F36D30" w:rsidRPr="00191697" w:rsidRDefault="00F36D30" w:rsidP="005C1438">
            <w:pPr>
              <w:keepNext/>
              <w:keepLines/>
              <w:spacing w:after="0" w:line="264" w:lineRule="auto"/>
              <w:jc w:val="center"/>
              <w:rPr>
                <w:rFonts w:eastAsia="Times New Roman" w:cs="Arial"/>
                <w:bCs w:val="0"/>
                <w:iCs w:val="0"/>
                <w:color w:val="FFFFFF"/>
                <w:sz w:val="18"/>
                <w:szCs w:val="18"/>
                <w:lang w:eastAsia="en-US"/>
              </w:rPr>
            </w:pPr>
            <w:r w:rsidRPr="00191697">
              <w:rPr>
                <w:rFonts w:eastAsia="Times New Roman" w:cs="Arial"/>
                <w:i w:val="0"/>
                <w:color w:val="FFFFFF"/>
                <w:sz w:val="18"/>
                <w:szCs w:val="18"/>
                <w:lang w:eastAsia="en-US"/>
              </w:rPr>
              <w:t>Assumed</w:t>
            </w:r>
          </w:p>
        </w:tc>
        <w:tc>
          <w:tcPr>
            <w:tcW w:w="508" w:type="pct"/>
            <w:tcBorders>
              <w:bottom w:val="single" w:sz="4" w:space="0" w:color="FFFFFF" w:themeColor="background1"/>
            </w:tcBorders>
            <w:shd w:val="clear" w:color="auto" w:fill="6B2976"/>
            <w:vAlign w:val="center"/>
          </w:tcPr>
          <w:p w14:paraId="034ECA93" w14:textId="77777777" w:rsidR="00F36D30" w:rsidRPr="00191697" w:rsidRDefault="00F36D30" w:rsidP="005C1438">
            <w:pPr>
              <w:keepNext/>
              <w:keepLines/>
              <w:spacing w:after="0" w:line="264" w:lineRule="auto"/>
              <w:jc w:val="center"/>
              <w:rPr>
                <w:rFonts w:eastAsia="Times New Roman" w:cs="Arial"/>
                <w:bCs w:val="0"/>
                <w:iCs w:val="0"/>
                <w:color w:val="FFFFFF"/>
                <w:sz w:val="18"/>
                <w:szCs w:val="18"/>
                <w:lang w:eastAsia="en-US"/>
              </w:rPr>
            </w:pPr>
          </w:p>
        </w:tc>
        <w:tc>
          <w:tcPr>
            <w:tcW w:w="434" w:type="pct"/>
            <w:gridSpan w:val="2"/>
            <w:tcBorders>
              <w:bottom w:val="single" w:sz="4" w:space="0" w:color="FFFFFF" w:themeColor="background1"/>
            </w:tcBorders>
            <w:shd w:val="clear" w:color="auto" w:fill="6B2976"/>
            <w:vAlign w:val="center"/>
          </w:tcPr>
          <w:p w14:paraId="00BE1790" w14:textId="77777777" w:rsidR="00F36D30" w:rsidRPr="00191697" w:rsidRDefault="00F36D30" w:rsidP="005C1438">
            <w:pPr>
              <w:keepNext/>
              <w:keepLines/>
              <w:spacing w:after="0" w:line="264" w:lineRule="auto"/>
              <w:jc w:val="center"/>
              <w:rPr>
                <w:rFonts w:eastAsia="Times New Roman" w:cs="Arial"/>
                <w:i w:val="0"/>
                <w:color w:val="FFFFFF"/>
                <w:sz w:val="18"/>
                <w:szCs w:val="18"/>
                <w:lang w:eastAsia="en-US"/>
              </w:rPr>
            </w:pPr>
          </w:p>
        </w:tc>
      </w:tr>
      <w:tr w:rsidR="00F36D30" w:rsidRPr="00191697" w14:paraId="03D71E5E" w14:textId="77777777" w:rsidTr="00CC39E3">
        <w:trPr>
          <w:cnfStyle w:val="100000000000" w:firstRow="1" w:lastRow="0" w:firstColumn="0" w:lastColumn="0" w:oddVBand="0" w:evenVBand="0" w:oddHBand="0" w:evenHBand="0" w:firstRowFirstColumn="0" w:firstRowLastColumn="0" w:lastRowFirstColumn="0" w:lastRowLastColumn="0"/>
          <w:trHeight w:val="558"/>
          <w:tblHeader/>
        </w:trPr>
        <w:tc>
          <w:tcPr>
            <w:tcW w:w="1221" w:type="pct"/>
            <w:shd w:val="clear" w:color="auto" w:fill="6B2976"/>
            <w:noWrap/>
            <w:vAlign w:val="center"/>
            <w:hideMark/>
          </w:tcPr>
          <w:p w14:paraId="21C30F4C" w14:textId="77777777" w:rsidR="00F36D30" w:rsidRPr="00191697" w:rsidRDefault="00CC39E3" w:rsidP="009F4E63">
            <w:pPr>
              <w:keepNext/>
              <w:keepLines/>
              <w:spacing w:after="0" w:line="264" w:lineRule="auto"/>
              <w:rPr>
                <w:rFonts w:eastAsia="Times New Roman" w:cs="Arial"/>
                <w:color w:val="FFFFFF"/>
                <w:sz w:val="18"/>
                <w:szCs w:val="18"/>
                <w:lang w:eastAsia="en-US"/>
              </w:rPr>
            </w:pPr>
            <w:r w:rsidRPr="00191697">
              <w:rPr>
                <w:rFonts w:eastAsia="Times New Roman" w:cs="Arial"/>
                <w:i w:val="0"/>
                <w:color w:val="FFFFFF"/>
                <w:sz w:val="18"/>
                <w:szCs w:val="18"/>
                <w:lang w:eastAsia="en-US"/>
              </w:rPr>
              <w:t> Item of inflation</w:t>
            </w:r>
          </w:p>
        </w:tc>
        <w:tc>
          <w:tcPr>
            <w:tcW w:w="518" w:type="pct"/>
            <w:tcBorders>
              <w:top w:val="single" w:sz="4" w:space="0" w:color="D9D9D9" w:themeColor="background1" w:themeShade="D9"/>
            </w:tcBorders>
            <w:shd w:val="clear" w:color="auto" w:fill="6B2976"/>
            <w:vAlign w:val="center"/>
          </w:tcPr>
          <w:p w14:paraId="532E9468" w14:textId="77777777" w:rsidR="00F36D30" w:rsidRPr="00191697" w:rsidRDefault="00F36D30" w:rsidP="009F4E63">
            <w:pPr>
              <w:keepNext/>
              <w:keepLines/>
              <w:spacing w:after="0" w:line="264" w:lineRule="auto"/>
              <w:jc w:val="right"/>
              <w:rPr>
                <w:rFonts w:eastAsia="SimSun" w:cs="Arial"/>
                <w:color w:val="FFFFFF"/>
                <w:sz w:val="18"/>
                <w:szCs w:val="18"/>
                <w:lang w:eastAsia="en-US"/>
              </w:rPr>
            </w:pPr>
            <w:r w:rsidRPr="00191697">
              <w:rPr>
                <w:rFonts w:eastAsia="SimSun" w:cs="Arial"/>
                <w:color w:val="FFFFFF"/>
                <w:sz w:val="18"/>
                <w:szCs w:val="18"/>
                <w:lang w:eastAsia="en-US"/>
              </w:rPr>
              <w:t xml:space="preserve">Average </w:t>
            </w:r>
          </w:p>
          <w:p w14:paraId="3D0035DE" w14:textId="77777777" w:rsidR="00F36D30" w:rsidRPr="00191697" w:rsidRDefault="00F36D30" w:rsidP="009F4E63">
            <w:pPr>
              <w:keepNext/>
              <w:keepLines/>
              <w:spacing w:after="0" w:line="264" w:lineRule="auto"/>
              <w:jc w:val="right"/>
              <w:rPr>
                <w:rFonts w:eastAsia="Times New Roman" w:cs="Arial"/>
                <w:color w:val="FFFFFF"/>
                <w:sz w:val="18"/>
                <w:szCs w:val="18"/>
                <w:lang w:eastAsia="en-US"/>
              </w:rPr>
            </w:pPr>
            <w:r w:rsidRPr="00191697">
              <w:rPr>
                <w:rFonts w:eastAsia="SimSun" w:cs="Arial"/>
                <w:color w:val="FFFFFF"/>
                <w:sz w:val="18"/>
                <w:szCs w:val="18"/>
                <w:lang w:eastAsia="en-US"/>
              </w:rPr>
              <w:t>2019-22</w:t>
            </w:r>
          </w:p>
        </w:tc>
        <w:tc>
          <w:tcPr>
            <w:tcW w:w="653" w:type="pct"/>
            <w:tcBorders>
              <w:top w:val="single" w:sz="4" w:space="0" w:color="D9D9D9" w:themeColor="background1" w:themeShade="D9"/>
              <w:right w:val="dotted" w:sz="4" w:space="0" w:color="auto"/>
            </w:tcBorders>
            <w:shd w:val="clear" w:color="auto" w:fill="6B2976"/>
            <w:vAlign w:val="center"/>
          </w:tcPr>
          <w:p w14:paraId="4C1F688E" w14:textId="77777777" w:rsidR="00F36D30" w:rsidRPr="00191697" w:rsidRDefault="00F36D30" w:rsidP="009F4E63">
            <w:pPr>
              <w:keepNext/>
              <w:keepLines/>
              <w:spacing w:after="0" w:line="264" w:lineRule="auto"/>
              <w:jc w:val="right"/>
              <w:rPr>
                <w:rFonts w:eastAsia="Times New Roman" w:cs="Arial"/>
                <w:color w:val="FFFFFF"/>
                <w:sz w:val="18"/>
                <w:szCs w:val="18"/>
                <w:lang w:eastAsia="en-US"/>
              </w:rPr>
            </w:pPr>
            <w:r w:rsidRPr="00191697">
              <w:rPr>
                <w:rFonts w:eastAsia="Times New Roman" w:cs="Arial"/>
                <w:color w:val="FFFFFF"/>
                <w:sz w:val="18"/>
                <w:szCs w:val="18"/>
                <w:lang w:eastAsia="en-US"/>
              </w:rPr>
              <w:t>2021-22</w:t>
            </w:r>
          </w:p>
        </w:tc>
        <w:tc>
          <w:tcPr>
            <w:tcW w:w="494" w:type="pct"/>
            <w:tcBorders>
              <w:top w:val="single" w:sz="4" w:space="0" w:color="FFFFFF" w:themeColor="background1"/>
              <w:left w:val="dotted" w:sz="4" w:space="0" w:color="auto"/>
            </w:tcBorders>
            <w:shd w:val="clear" w:color="auto" w:fill="6B2976"/>
            <w:noWrap/>
            <w:vAlign w:val="center"/>
            <w:hideMark/>
          </w:tcPr>
          <w:p w14:paraId="6BFAE06E" w14:textId="77777777" w:rsidR="00F36D30" w:rsidRPr="00191697" w:rsidRDefault="00F36D30" w:rsidP="009F4E63">
            <w:pPr>
              <w:keepNext/>
              <w:keepLines/>
              <w:spacing w:after="0" w:line="264" w:lineRule="auto"/>
              <w:jc w:val="right"/>
              <w:rPr>
                <w:rFonts w:eastAsia="Times New Roman" w:cs="Arial"/>
                <w:color w:val="FFFFFF"/>
                <w:sz w:val="18"/>
                <w:szCs w:val="18"/>
                <w:lang w:eastAsia="en-US"/>
              </w:rPr>
            </w:pPr>
            <w:r w:rsidRPr="00191697">
              <w:rPr>
                <w:rFonts w:eastAsia="Times New Roman" w:cs="Arial"/>
                <w:color w:val="FFFFFF"/>
                <w:sz w:val="18"/>
                <w:szCs w:val="18"/>
                <w:lang w:eastAsia="en-US"/>
              </w:rPr>
              <w:t>2022-23</w:t>
            </w:r>
          </w:p>
        </w:tc>
        <w:tc>
          <w:tcPr>
            <w:tcW w:w="542" w:type="pct"/>
            <w:gridSpan w:val="2"/>
            <w:tcBorders>
              <w:top w:val="single" w:sz="4" w:space="0" w:color="FFFFFF" w:themeColor="background1"/>
            </w:tcBorders>
            <w:shd w:val="clear" w:color="auto" w:fill="6B2976"/>
            <w:noWrap/>
            <w:vAlign w:val="center"/>
            <w:hideMark/>
          </w:tcPr>
          <w:p w14:paraId="1280DBCB" w14:textId="77777777" w:rsidR="00F36D30" w:rsidRPr="00191697" w:rsidRDefault="00F36D30" w:rsidP="009F4E63">
            <w:pPr>
              <w:keepNext/>
              <w:keepLines/>
              <w:spacing w:after="0" w:line="264" w:lineRule="auto"/>
              <w:jc w:val="right"/>
              <w:rPr>
                <w:rFonts w:eastAsia="Times New Roman" w:cs="Arial"/>
                <w:color w:val="FFFFFF"/>
                <w:sz w:val="18"/>
                <w:szCs w:val="18"/>
                <w:lang w:eastAsia="en-US"/>
              </w:rPr>
            </w:pPr>
            <w:r w:rsidRPr="00191697">
              <w:rPr>
                <w:rFonts w:eastAsia="Times New Roman" w:cs="Arial"/>
                <w:color w:val="FFFFFF"/>
                <w:sz w:val="18"/>
                <w:szCs w:val="18"/>
                <w:lang w:eastAsia="en-US"/>
              </w:rPr>
              <w:t>2023-24</w:t>
            </w:r>
          </w:p>
        </w:tc>
        <w:tc>
          <w:tcPr>
            <w:tcW w:w="619" w:type="pct"/>
            <w:tcBorders>
              <w:top w:val="single" w:sz="4" w:space="0" w:color="FFFFFF" w:themeColor="background1"/>
            </w:tcBorders>
            <w:shd w:val="clear" w:color="auto" w:fill="6B2976"/>
            <w:noWrap/>
            <w:vAlign w:val="center"/>
            <w:hideMark/>
          </w:tcPr>
          <w:p w14:paraId="747CA9B9" w14:textId="77777777" w:rsidR="00F36D30" w:rsidRPr="00191697" w:rsidRDefault="00F36D30" w:rsidP="009F4E63">
            <w:pPr>
              <w:keepNext/>
              <w:keepLines/>
              <w:spacing w:after="0" w:line="264" w:lineRule="auto"/>
              <w:jc w:val="right"/>
              <w:rPr>
                <w:rFonts w:eastAsia="Times New Roman" w:cs="Arial"/>
                <w:color w:val="FFFFFF"/>
                <w:sz w:val="18"/>
                <w:szCs w:val="18"/>
                <w:lang w:eastAsia="en-US"/>
              </w:rPr>
            </w:pPr>
            <w:r w:rsidRPr="00191697">
              <w:rPr>
                <w:rFonts w:eastAsia="Times New Roman" w:cs="Arial"/>
                <w:color w:val="FFFFFF"/>
                <w:sz w:val="18"/>
                <w:szCs w:val="18"/>
                <w:lang w:eastAsia="en-US"/>
              </w:rPr>
              <w:t>2024-25</w:t>
            </w:r>
          </w:p>
        </w:tc>
        <w:tc>
          <w:tcPr>
            <w:tcW w:w="519" w:type="pct"/>
            <w:gridSpan w:val="2"/>
            <w:tcBorders>
              <w:top w:val="single" w:sz="4" w:space="0" w:color="FFFFFF" w:themeColor="background1"/>
              <w:right w:val="dotted" w:sz="4" w:space="0" w:color="auto"/>
            </w:tcBorders>
            <w:shd w:val="clear" w:color="auto" w:fill="6B2976"/>
            <w:noWrap/>
            <w:vAlign w:val="center"/>
            <w:hideMark/>
          </w:tcPr>
          <w:p w14:paraId="6D881A23" w14:textId="77777777" w:rsidR="00F36D30" w:rsidRPr="00191697" w:rsidRDefault="00F36D30" w:rsidP="009F4E63">
            <w:pPr>
              <w:keepNext/>
              <w:keepLines/>
              <w:spacing w:after="0" w:line="264" w:lineRule="auto"/>
              <w:jc w:val="right"/>
              <w:rPr>
                <w:rFonts w:eastAsia="Times New Roman" w:cs="Arial"/>
                <w:color w:val="FFFFFF"/>
                <w:sz w:val="18"/>
                <w:szCs w:val="18"/>
                <w:lang w:eastAsia="en-US"/>
              </w:rPr>
            </w:pPr>
            <w:r w:rsidRPr="00191697">
              <w:rPr>
                <w:rFonts w:eastAsia="Times New Roman" w:cs="Arial"/>
                <w:color w:val="FFFFFF"/>
                <w:sz w:val="18"/>
                <w:szCs w:val="18"/>
                <w:lang w:eastAsia="en-US"/>
              </w:rPr>
              <w:t>2025-26</w:t>
            </w:r>
          </w:p>
        </w:tc>
        <w:tc>
          <w:tcPr>
            <w:tcW w:w="434" w:type="pct"/>
            <w:gridSpan w:val="2"/>
            <w:tcBorders>
              <w:top w:val="single" w:sz="4" w:space="0" w:color="FFFFFF" w:themeColor="background1"/>
              <w:left w:val="dotted" w:sz="4" w:space="0" w:color="auto"/>
            </w:tcBorders>
            <w:shd w:val="clear" w:color="auto" w:fill="6B2976"/>
            <w:noWrap/>
            <w:vAlign w:val="center"/>
            <w:hideMark/>
          </w:tcPr>
          <w:p w14:paraId="195F9B57" w14:textId="77777777" w:rsidR="00F36D30" w:rsidRPr="00191697" w:rsidRDefault="00F36D30" w:rsidP="009F4E63">
            <w:pPr>
              <w:keepNext/>
              <w:keepLines/>
              <w:spacing w:after="0" w:line="264" w:lineRule="auto"/>
              <w:jc w:val="right"/>
              <w:rPr>
                <w:rFonts w:eastAsia="Times New Roman" w:cs="Arial"/>
                <w:color w:val="FFFFFF"/>
                <w:sz w:val="18"/>
                <w:szCs w:val="18"/>
                <w:lang w:eastAsia="en-US"/>
              </w:rPr>
            </w:pPr>
            <w:r w:rsidRPr="00191697">
              <w:rPr>
                <w:rFonts w:eastAsia="Times New Roman" w:cs="Arial"/>
                <w:bCs w:val="0"/>
                <w:color w:val="FFFFFF"/>
                <w:sz w:val="18"/>
                <w:szCs w:val="18"/>
                <w:lang w:eastAsia="en-US"/>
              </w:rPr>
              <w:t>2031-32</w:t>
            </w:r>
          </w:p>
        </w:tc>
      </w:tr>
      <w:tr w:rsidR="00F36D30" w:rsidRPr="009F4E63" w14:paraId="2AA53945" w14:textId="77777777" w:rsidTr="00CC39E3">
        <w:trPr>
          <w:gridAfter w:val="1"/>
          <w:cnfStyle w:val="000000100000" w:firstRow="0" w:lastRow="0" w:firstColumn="0" w:lastColumn="0" w:oddVBand="0" w:evenVBand="0" w:oddHBand="1" w:evenHBand="0" w:firstRowFirstColumn="0" w:firstRowLastColumn="0" w:lastRowFirstColumn="0" w:lastRowLastColumn="0"/>
          <w:wAfter w:w="29" w:type="pct"/>
          <w:trHeight w:val="285"/>
        </w:trPr>
        <w:tc>
          <w:tcPr>
            <w:tcW w:w="1221" w:type="pct"/>
            <w:vAlign w:val="center"/>
            <w:hideMark/>
          </w:tcPr>
          <w:p w14:paraId="6EB4B3BE" w14:textId="77777777" w:rsidR="00DD2949" w:rsidRPr="009F4E63" w:rsidRDefault="00DD2949" w:rsidP="009F4E63">
            <w:pPr>
              <w:keepNext/>
              <w:keepLines/>
              <w:spacing w:after="0" w:line="264" w:lineRule="auto"/>
              <w:rPr>
                <w:rFonts w:eastAsia="Times New Roman" w:cs="Arial"/>
                <w:color w:val="000000"/>
                <w:sz w:val="18"/>
                <w:szCs w:val="18"/>
                <w:lang w:eastAsia="en-US"/>
              </w:rPr>
            </w:pPr>
            <w:r w:rsidRPr="009F4E63">
              <w:rPr>
                <w:rFonts w:cs="Arial"/>
                <w:color w:val="000000"/>
                <w:sz w:val="18"/>
                <w:szCs w:val="18"/>
              </w:rPr>
              <w:t>Level of Function change</w:t>
            </w:r>
          </w:p>
        </w:tc>
        <w:tc>
          <w:tcPr>
            <w:tcW w:w="518" w:type="pct"/>
            <w:vAlign w:val="center"/>
          </w:tcPr>
          <w:p w14:paraId="256077B0" w14:textId="77777777" w:rsidR="00DD2949" w:rsidRPr="009F4E63" w:rsidRDefault="00DD2949" w:rsidP="009F4E63">
            <w:pPr>
              <w:keepNext/>
              <w:keepLines/>
              <w:spacing w:after="0" w:line="264" w:lineRule="auto"/>
              <w:jc w:val="right"/>
              <w:rPr>
                <w:rFonts w:eastAsia="Times New Roman" w:cs="Arial"/>
                <w:b/>
                <w:color w:val="000000"/>
                <w:sz w:val="18"/>
                <w:szCs w:val="18"/>
                <w:lang w:eastAsia="en-US"/>
              </w:rPr>
            </w:pPr>
            <w:r w:rsidRPr="009F4E63">
              <w:rPr>
                <w:rFonts w:cs="Arial"/>
                <w:iCs/>
                <w:color w:val="000000"/>
                <w:sz w:val="18"/>
                <w:szCs w:val="18"/>
              </w:rPr>
              <w:t>2.1%</w:t>
            </w:r>
          </w:p>
        </w:tc>
        <w:tc>
          <w:tcPr>
            <w:tcW w:w="653" w:type="pct"/>
            <w:tcBorders>
              <w:right w:val="dotted" w:sz="4" w:space="0" w:color="auto"/>
            </w:tcBorders>
            <w:vAlign w:val="center"/>
          </w:tcPr>
          <w:p w14:paraId="00DC5190" w14:textId="77777777" w:rsidR="00DD2949" w:rsidRPr="009F4E63" w:rsidRDefault="00DD2949" w:rsidP="009F4E63">
            <w:pPr>
              <w:keepNext/>
              <w:keepLines/>
              <w:spacing w:after="0" w:line="264" w:lineRule="auto"/>
              <w:jc w:val="right"/>
              <w:rPr>
                <w:rFonts w:eastAsia="Times New Roman" w:cs="Arial"/>
                <w:b/>
                <w:color w:val="000000"/>
                <w:sz w:val="18"/>
                <w:szCs w:val="18"/>
                <w:lang w:eastAsia="en-US"/>
              </w:rPr>
            </w:pPr>
            <w:r w:rsidRPr="009F4E63">
              <w:rPr>
                <w:rFonts w:cs="Arial"/>
                <w:iCs/>
                <w:color w:val="000000"/>
                <w:sz w:val="18"/>
                <w:szCs w:val="18"/>
              </w:rPr>
              <w:t>1.7%</w:t>
            </w:r>
          </w:p>
        </w:tc>
        <w:tc>
          <w:tcPr>
            <w:tcW w:w="506" w:type="pct"/>
            <w:gridSpan w:val="2"/>
            <w:tcBorders>
              <w:left w:val="dotted" w:sz="4" w:space="0" w:color="auto"/>
            </w:tcBorders>
            <w:noWrap/>
            <w:vAlign w:val="center"/>
            <w:hideMark/>
          </w:tcPr>
          <w:p w14:paraId="1F31C4C0" w14:textId="77777777" w:rsidR="00DD2949" w:rsidRPr="009F4E63" w:rsidRDefault="00DD2949" w:rsidP="009F4E63">
            <w:pPr>
              <w:keepNext/>
              <w:keepLines/>
              <w:spacing w:after="0" w:line="264" w:lineRule="auto"/>
              <w:jc w:val="right"/>
              <w:rPr>
                <w:rFonts w:eastAsia="Times New Roman" w:cs="Arial"/>
                <w:color w:val="000000"/>
                <w:sz w:val="18"/>
                <w:szCs w:val="18"/>
                <w:lang w:eastAsia="en-US"/>
              </w:rPr>
            </w:pPr>
            <w:r w:rsidRPr="009F4E63">
              <w:rPr>
                <w:rFonts w:cs="Arial"/>
                <w:color w:val="000000"/>
                <w:sz w:val="18"/>
                <w:szCs w:val="18"/>
              </w:rPr>
              <w:t>1.3%</w:t>
            </w:r>
          </w:p>
        </w:tc>
        <w:tc>
          <w:tcPr>
            <w:tcW w:w="530" w:type="pct"/>
            <w:noWrap/>
            <w:vAlign w:val="center"/>
            <w:hideMark/>
          </w:tcPr>
          <w:p w14:paraId="5355BF82" w14:textId="77777777" w:rsidR="00DD2949" w:rsidRPr="009F4E63" w:rsidRDefault="00DD2949" w:rsidP="009F4E63">
            <w:pPr>
              <w:keepNext/>
              <w:keepLines/>
              <w:spacing w:after="0" w:line="264" w:lineRule="auto"/>
              <w:jc w:val="right"/>
              <w:rPr>
                <w:rFonts w:eastAsia="Times New Roman" w:cs="Arial"/>
                <w:color w:val="000000"/>
                <w:sz w:val="18"/>
                <w:szCs w:val="18"/>
                <w:lang w:eastAsia="en-US"/>
              </w:rPr>
            </w:pPr>
            <w:r w:rsidRPr="009F4E63">
              <w:rPr>
                <w:rFonts w:cs="Arial"/>
                <w:color w:val="000000"/>
                <w:sz w:val="18"/>
                <w:szCs w:val="18"/>
              </w:rPr>
              <w:t>1.2%</w:t>
            </w:r>
          </w:p>
        </w:tc>
        <w:tc>
          <w:tcPr>
            <w:tcW w:w="630" w:type="pct"/>
            <w:gridSpan w:val="2"/>
            <w:noWrap/>
            <w:vAlign w:val="center"/>
            <w:hideMark/>
          </w:tcPr>
          <w:p w14:paraId="1BA0C7B1" w14:textId="77777777" w:rsidR="00DD2949" w:rsidRPr="009F4E63" w:rsidRDefault="00DD2949" w:rsidP="009F4E63">
            <w:pPr>
              <w:keepNext/>
              <w:keepLines/>
              <w:spacing w:after="0" w:line="264" w:lineRule="auto"/>
              <w:jc w:val="right"/>
              <w:rPr>
                <w:rFonts w:eastAsia="Times New Roman" w:cs="Arial"/>
                <w:color w:val="000000"/>
                <w:sz w:val="18"/>
                <w:szCs w:val="18"/>
                <w:lang w:eastAsia="en-US"/>
              </w:rPr>
            </w:pPr>
            <w:r w:rsidRPr="009F4E63">
              <w:rPr>
                <w:rFonts w:cs="Arial"/>
                <w:color w:val="000000"/>
                <w:sz w:val="18"/>
                <w:szCs w:val="18"/>
              </w:rPr>
              <w:t>1.2%</w:t>
            </w:r>
          </w:p>
        </w:tc>
        <w:tc>
          <w:tcPr>
            <w:tcW w:w="508" w:type="pct"/>
            <w:tcBorders>
              <w:right w:val="dotted" w:sz="4" w:space="0" w:color="auto"/>
            </w:tcBorders>
            <w:noWrap/>
            <w:vAlign w:val="center"/>
            <w:hideMark/>
          </w:tcPr>
          <w:p w14:paraId="02198ADA" w14:textId="77777777" w:rsidR="00DD2949" w:rsidRPr="009F4E63" w:rsidRDefault="00DD2949" w:rsidP="009F4E63">
            <w:pPr>
              <w:keepNext/>
              <w:keepLines/>
              <w:spacing w:after="0" w:line="264" w:lineRule="auto"/>
              <w:jc w:val="right"/>
              <w:rPr>
                <w:rFonts w:eastAsia="Times New Roman" w:cs="Arial"/>
                <w:color w:val="000000"/>
                <w:sz w:val="18"/>
                <w:szCs w:val="18"/>
                <w:lang w:eastAsia="en-US"/>
              </w:rPr>
            </w:pPr>
            <w:r w:rsidRPr="009F4E63">
              <w:rPr>
                <w:rFonts w:cs="Arial"/>
                <w:color w:val="000000"/>
                <w:sz w:val="18"/>
                <w:szCs w:val="18"/>
              </w:rPr>
              <w:t>1.2%</w:t>
            </w:r>
          </w:p>
        </w:tc>
        <w:tc>
          <w:tcPr>
            <w:tcW w:w="405" w:type="pct"/>
            <w:tcBorders>
              <w:left w:val="dotted" w:sz="4" w:space="0" w:color="auto"/>
            </w:tcBorders>
            <w:noWrap/>
            <w:vAlign w:val="center"/>
            <w:hideMark/>
          </w:tcPr>
          <w:p w14:paraId="28F06D7E" w14:textId="77777777" w:rsidR="00DD2949" w:rsidRPr="009F4E63" w:rsidRDefault="00DD2949" w:rsidP="009F4E63">
            <w:pPr>
              <w:keepNext/>
              <w:keepLines/>
              <w:spacing w:after="0" w:line="264" w:lineRule="auto"/>
              <w:jc w:val="right"/>
              <w:rPr>
                <w:rFonts w:eastAsia="Times New Roman" w:cs="Arial"/>
                <w:color w:val="000000"/>
                <w:sz w:val="18"/>
                <w:szCs w:val="18"/>
                <w:lang w:eastAsia="en-US"/>
              </w:rPr>
            </w:pPr>
            <w:r w:rsidRPr="009F4E63">
              <w:rPr>
                <w:rFonts w:cs="Arial"/>
                <w:color w:val="000000"/>
                <w:sz w:val="18"/>
                <w:szCs w:val="18"/>
              </w:rPr>
              <w:t>0.8%</w:t>
            </w:r>
          </w:p>
        </w:tc>
      </w:tr>
      <w:tr w:rsidR="00F36D30" w:rsidRPr="009F4E63" w14:paraId="563ABF1D" w14:textId="77777777" w:rsidTr="00CC39E3">
        <w:trPr>
          <w:gridAfter w:val="1"/>
          <w:cnfStyle w:val="000000010000" w:firstRow="0" w:lastRow="0" w:firstColumn="0" w:lastColumn="0" w:oddVBand="0" w:evenVBand="0" w:oddHBand="0" w:evenHBand="1" w:firstRowFirstColumn="0" w:firstRowLastColumn="0" w:lastRowFirstColumn="0" w:lastRowLastColumn="0"/>
          <w:wAfter w:w="29" w:type="pct"/>
          <w:trHeight w:val="285"/>
        </w:trPr>
        <w:tc>
          <w:tcPr>
            <w:tcW w:w="1221" w:type="pct"/>
            <w:vAlign w:val="center"/>
            <w:hideMark/>
          </w:tcPr>
          <w:p w14:paraId="1F92C2EB" w14:textId="77777777" w:rsidR="00DD2949" w:rsidRPr="009F4E63" w:rsidRDefault="00DD2949" w:rsidP="009F4E63">
            <w:pPr>
              <w:keepNext/>
              <w:keepLines/>
              <w:spacing w:after="0" w:line="264" w:lineRule="auto"/>
              <w:rPr>
                <w:rFonts w:eastAsia="Times New Roman" w:cs="Arial"/>
                <w:color w:val="000000"/>
                <w:sz w:val="18"/>
                <w:szCs w:val="18"/>
                <w:lang w:eastAsia="en-US"/>
              </w:rPr>
            </w:pPr>
            <w:r w:rsidRPr="009F4E63">
              <w:rPr>
                <w:rFonts w:cs="Arial"/>
                <w:color w:val="000000"/>
                <w:sz w:val="18"/>
                <w:szCs w:val="18"/>
              </w:rPr>
              <w:t>Volume of supports</w:t>
            </w:r>
          </w:p>
        </w:tc>
        <w:tc>
          <w:tcPr>
            <w:tcW w:w="518" w:type="pct"/>
            <w:vAlign w:val="center"/>
          </w:tcPr>
          <w:p w14:paraId="5C4C6359" w14:textId="77777777" w:rsidR="00DD2949" w:rsidRPr="009F4E63" w:rsidRDefault="00DD2949" w:rsidP="009F4E63">
            <w:pPr>
              <w:keepNext/>
              <w:keepLines/>
              <w:spacing w:after="0" w:line="264" w:lineRule="auto"/>
              <w:jc w:val="right"/>
              <w:rPr>
                <w:rFonts w:eastAsia="Times New Roman" w:cs="Arial"/>
                <w:b/>
                <w:color w:val="000000"/>
                <w:sz w:val="18"/>
                <w:szCs w:val="18"/>
                <w:lang w:eastAsia="en-US"/>
              </w:rPr>
            </w:pPr>
            <w:r w:rsidRPr="009F4E63">
              <w:rPr>
                <w:rFonts w:cs="Arial"/>
                <w:iCs/>
                <w:color w:val="000000"/>
                <w:sz w:val="18"/>
                <w:szCs w:val="18"/>
              </w:rPr>
              <w:t>1.7%</w:t>
            </w:r>
          </w:p>
        </w:tc>
        <w:tc>
          <w:tcPr>
            <w:tcW w:w="653" w:type="pct"/>
            <w:tcBorders>
              <w:right w:val="dotted" w:sz="4" w:space="0" w:color="auto"/>
            </w:tcBorders>
            <w:vAlign w:val="center"/>
          </w:tcPr>
          <w:p w14:paraId="798C2D16" w14:textId="77777777" w:rsidR="00DD2949" w:rsidRPr="009F4E63" w:rsidRDefault="00DD2949" w:rsidP="009F4E63">
            <w:pPr>
              <w:keepNext/>
              <w:keepLines/>
              <w:spacing w:after="0" w:line="264" w:lineRule="auto"/>
              <w:jc w:val="right"/>
              <w:rPr>
                <w:rFonts w:eastAsia="Times New Roman" w:cs="Arial"/>
                <w:b/>
                <w:color w:val="000000"/>
                <w:sz w:val="18"/>
                <w:szCs w:val="18"/>
                <w:lang w:eastAsia="en-US"/>
              </w:rPr>
            </w:pPr>
            <w:r w:rsidRPr="009F4E63">
              <w:rPr>
                <w:rFonts w:cs="Arial"/>
                <w:iCs/>
                <w:color w:val="000000"/>
                <w:sz w:val="18"/>
                <w:szCs w:val="18"/>
              </w:rPr>
              <w:t>0.5%</w:t>
            </w:r>
          </w:p>
        </w:tc>
        <w:tc>
          <w:tcPr>
            <w:tcW w:w="506" w:type="pct"/>
            <w:gridSpan w:val="2"/>
            <w:tcBorders>
              <w:left w:val="dotted" w:sz="4" w:space="0" w:color="auto"/>
            </w:tcBorders>
            <w:noWrap/>
            <w:vAlign w:val="center"/>
            <w:hideMark/>
          </w:tcPr>
          <w:p w14:paraId="11AAAA71" w14:textId="77777777" w:rsidR="00DD2949" w:rsidRPr="009F4E63" w:rsidRDefault="00DD2949" w:rsidP="009F4E63">
            <w:pPr>
              <w:keepNext/>
              <w:keepLines/>
              <w:spacing w:after="0" w:line="264" w:lineRule="auto"/>
              <w:jc w:val="right"/>
              <w:rPr>
                <w:rFonts w:eastAsia="Times New Roman" w:cs="Arial"/>
                <w:color w:val="000000"/>
                <w:sz w:val="18"/>
                <w:szCs w:val="18"/>
                <w:lang w:eastAsia="en-US"/>
              </w:rPr>
            </w:pPr>
            <w:r w:rsidRPr="009F4E63">
              <w:rPr>
                <w:rFonts w:cs="Arial"/>
                <w:color w:val="000000"/>
                <w:sz w:val="18"/>
                <w:szCs w:val="18"/>
              </w:rPr>
              <w:t>0.6%</w:t>
            </w:r>
          </w:p>
        </w:tc>
        <w:tc>
          <w:tcPr>
            <w:tcW w:w="530" w:type="pct"/>
            <w:noWrap/>
            <w:vAlign w:val="center"/>
            <w:hideMark/>
          </w:tcPr>
          <w:p w14:paraId="5B5977DB" w14:textId="77777777" w:rsidR="00DD2949" w:rsidRPr="009F4E63" w:rsidRDefault="00DD2949" w:rsidP="009F4E63">
            <w:pPr>
              <w:keepNext/>
              <w:keepLines/>
              <w:spacing w:after="0" w:line="264" w:lineRule="auto"/>
              <w:jc w:val="right"/>
              <w:rPr>
                <w:rFonts w:eastAsia="Times New Roman" w:cs="Arial"/>
                <w:color w:val="000000"/>
                <w:sz w:val="18"/>
                <w:szCs w:val="18"/>
                <w:lang w:eastAsia="en-US"/>
              </w:rPr>
            </w:pPr>
            <w:r w:rsidRPr="009F4E63">
              <w:rPr>
                <w:rFonts w:cs="Arial"/>
                <w:color w:val="000000"/>
                <w:sz w:val="18"/>
                <w:szCs w:val="18"/>
              </w:rPr>
              <w:t>0.6%</w:t>
            </w:r>
          </w:p>
        </w:tc>
        <w:tc>
          <w:tcPr>
            <w:tcW w:w="630" w:type="pct"/>
            <w:gridSpan w:val="2"/>
            <w:noWrap/>
            <w:vAlign w:val="center"/>
            <w:hideMark/>
          </w:tcPr>
          <w:p w14:paraId="1257FF5A" w14:textId="77777777" w:rsidR="00DD2949" w:rsidRPr="009F4E63" w:rsidRDefault="00DD2949" w:rsidP="009F4E63">
            <w:pPr>
              <w:keepNext/>
              <w:keepLines/>
              <w:spacing w:after="0" w:line="264" w:lineRule="auto"/>
              <w:jc w:val="right"/>
              <w:rPr>
                <w:rFonts w:eastAsia="Times New Roman" w:cs="Arial"/>
                <w:color w:val="000000"/>
                <w:sz w:val="18"/>
                <w:szCs w:val="18"/>
                <w:lang w:eastAsia="en-US"/>
              </w:rPr>
            </w:pPr>
            <w:r w:rsidRPr="009F4E63">
              <w:rPr>
                <w:rFonts w:cs="Arial"/>
                <w:color w:val="000000"/>
                <w:sz w:val="18"/>
                <w:szCs w:val="18"/>
              </w:rPr>
              <w:t>0.6%</w:t>
            </w:r>
          </w:p>
        </w:tc>
        <w:tc>
          <w:tcPr>
            <w:tcW w:w="508" w:type="pct"/>
            <w:tcBorders>
              <w:right w:val="dotted" w:sz="4" w:space="0" w:color="auto"/>
            </w:tcBorders>
            <w:noWrap/>
            <w:vAlign w:val="center"/>
            <w:hideMark/>
          </w:tcPr>
          <w:p w14:paraId="54EBDDA9" w14:textId="77777777" w:rsidR="00DD2949" w:rsidRPr="009F4E63" w:rsidRDefault="00DD2949" w:rsidP="009F4E63">
            <w:pPr>
              <w:keepNext/>
              <w:keepLines/>
              <w:spacing w:after="0" w:line="264" w:lineRule="auto"/>
              <w:jc w:val="right"/>
              <w:rPr>
                <w:rFonts w:eastAsia="Times New Roman" w:cs="Arial"/>
                <w:color w:val="000000"/>
                <w:sz w:val="18"/>
                <w:szCs w:val="18"/>
                <w:lang w:eastAsia="en-US"/>
              </w:rPr>
            </w:pPr>
            <w:r w:rsidRPr="009F4E63">
              <w:rPr>
                <w:rFonts w:cs="Arial"/>
                <w:color w:val="000000"/>
                <w:sz w:val="18"/>
                <w:szCs w:val="18"/>
              </w:rPr>
              <w:t>0.5%</w:t>
            </w:r>
          </w:p>
        </w:tc>
        <w:tc>
          <w:tcPr>
            <w:tcW w:w="405" w:type="pct"/>
            <w:tcBorders>
              <w:left w:val="dotted" w:sz="4" w:space="0" w:color="auto"/>
            </w:tcBorders>
            <w:noWrap/>
            <w:vAlign w:val="center"/>
            <w:hideMark/>
          </w:tcPr>
          <w:p w14:paraId="77A37E8C" w14:textId="77777777" w:rsidR="00DD2949" w:rsidRPr="009F4E63" w:rsidRDefault="00DD2949" w:rsidP="009F4E63">
            <w:pPr>
              <w:keepNext/>
              <w:keepLines/>
              <w:spacing w:after="0" w:line="264" w:lineRule="auto"/>
              <w:jc w:val="right"/>
              <w:rPr>
                <w:rFonts w:eastAsia="Times New Roman" w:cs="Arial"/>
                <w:color w:val="000000"/>
                <w:sz w:val="18"/>
                <w:szCs w:val="18"/>
                <w:lang w:eastAsia="en-US"/>
              </w:rPr>
            </w:pPr>
            <w:r w:rsidRPr="009F4E63">
              <w:rPr>
                <w:rFonts w:cs="Arial"/>
                <w:color w:val="000000"/>
                <w:sz w:val="18"/>
                <w:szCs w:val="18"/>
              </w:rPr>
              <w:t>0.5%</w:t>
            </w:r>
          </w:p>
        </w:tc>
      </w:tr>
      <w:tr w:rsidR="00F36D30" w:rsidRPr="009F4E63" w14:paraId="01D323E0" w14:textId="77777777" w:rsidTr="00CC39E3">
        <w:trPr>
          <w:gridAfter w:val="1"/>
          <w:cnfStyle w:val="000000100000" w:firstRow="0" w:lastRow="0" w:firstColumn="0" w:lastColumn="0" w:oddVBand="0" w:evenVBand="0" w:oddHBand="1" w:evenHBand="0" w:firstRowFirstColumn="0" w:firstRowLastColumn="0" w:lastRowFirstColumn="0" w:lastRowLastColumn="0"/>
          <w:wAfter w:w="29" w:type="pct"/>
          <w:trHeight w:val="284"/>
        </w:trPr>
        <w:tc>
          <w:tcPr>
            <w:tcW w:w="2392" w:type="pct"/>
            <w:gridSpan w:val="3"/>
            <w:tcBorders>
              <w:right w:val="dotted" w:sz="4" w:space="0" w:color="auto"/>
            </w:tcBorders>
            <w:vAlign w:val="center"/>
            <w:hideMark/>
          </w:tcPr>
          <w:p w14:paraId="26C297EC" w14:textId="77777777" w:rsidR="00DD2949" w:rsidRPr="009F4E63" w:rsidRDefault="00DD2949" w:rsidP="00346949">
            <w:pPr>
              <w:keepNext/>
              <w:keepLines/>
              <w:spacing w:after="0" w:line="264" w:lineRule="auto"/>
              <w:rPr>
                <w:rFonts w:eastAsia="Times New Roman" w:cs="Arial"/>
                <w:b/>
                <w:color w:val="000000"/>
                <w:sz w:val="18"/>
                <w:szCs w:val="18"/>
                <w:lang w:eastAsia="en-US"/>
              </w:rPr>
            </w:pPr>
            <w:r w:rsidRPr="009F4E63">
              <w:rPr>
                <w:rFonts w:cs="Arial"/>
                <w:iCs/>
                <w:color w:val="000000"/>
                <w:sz w:val="18"/>
                <w:szCs w:val="18"/>
              </w:rPr>
              <w:t>Increased use of:</w:t>
            </w:r>
          </w:p>
        </w:tc>
        <w:tc>
          <w:tcPr>
            <w:tcW w:w="506" w:type="pct"/>
            <w:gridSpan w:val="2"/>
            <w:tcBorders>
              <w:left w:val="dotted" w:sz="4" w:space="0" w:color="auto"/>
            </w:tcBorders>
            <w:noWrap/>
            <w:vAlign w:val="center"/>
            <w:hideMark/>
          </w:tcPr>
          <w:p w14:paraId="124B1127" w14:textId="77777777" w:rsidR="00DD2949" w:rsidRPr="009F4E63" w:rsidRDefault="00DD2949" w:rsidP="009F4E63">
            <w:pPr>
              <w:keepNext/>
              <w:keepLines/>
              <w:spacing w:after="0" w:line="264" w:lineRule="auto"/>
              <w:jc w:val="right"/>
              <w:rPr>
                <w:rFonts w:eastAsia="Times New Roman" w:cs="Arial"/>
                <w:color w:val="000000"/>
                <w:sz w:val="18"/>
                <w:szCs w:val="18"/>
                <w:lang w:eastAsia="en-US"/>
              </w:rPr>
            </w:pPr>
            <w:r w:rsidRPr="009F4E63">
              <w:rPr>
                <w:rFonts w:cs="Arial"/>
                <w:i/>
                <w:iCs/>
                <w:color w:val="000000"/>
                <w:sz w:val="18"/>
                <w:szCs w:val="18"/>
              </w:rPr>
              <w:t> </w:t>
            </w:r>
          </w:p>
        </w:tc>
        <w:tc>
          <w:tcPr>
            <w:tcW w:w="530" w:type="pct"/>
            <w:noWrap/>
            <w:vAlign w:val="center"/>
            <w:hideMark/>
          </w:tcPr>
          <w:p w14:paraId="64DDC588" w14:textId="77777777" w:rsidR="00DD2949" w:rsidRPr="009F4E63" w:rsidRDefault="00DD2949" w:rsidP="009F4E63">
            <w:pPr>
              <w:keepNext/>
              <w:keepLines/>
              <w:spacing w:after="0" w:line="264" w:lineRule="auto"/>
              <w:jc w:val="right"/>
              <w:rPr>
                <w:rFonts w:eastAsia="Times New Roman" w:cs="Arial"/>
                <w:color w:val="000000"/>
                <w:sz w:val="18"/>
                <w:szCs w:val="18"/>
                <w:lang w:eastAsia="en-US"/>
              </w:rPr>
            </w:pPr>
            <w:r w:rsidRPr="009F4E63">
              <w:rPr>
                <w:rFonts w:cs="Arial"/>
                <w:i/>
                <w:iCs/>
                <w:color w:val="000000"/>
                <w:sz w:val="18"/>
                <w:szCs w:val="18"/>
              </w:rPr>
              <w:t> </w:t>
            </w:r>
          </w:p>
        </w:tc>
        <w:tc>
          <w:tcPr>
            <w:tcW w:w="630" w:type="pct"/>
            <w:gridSpan w:val="2"/>
            <w:noWrap/>
            <w:vAlign w:val="center"/>
            <w:hideMark/>
          </w:tcPr>
          <w:p w14:paraId="2AEFCD5F" w14:textId="77777777" w:rsidR="00DD2949" w:rsidRPr="009F4E63" w:rsidRDefault="00DD2949" w:rsidP="009F4E63">
            <w:pPr>
              <w:keepNext/>
              <w:keepLines/>
              <w:spacing w:after="0" w:line="264" w:lineRule="auto"/>
              <w:jc w:val="right"/>
              <w:rPr>
                <w:rFonts w:eastAsia="Times New Roman" w:cs="Arial"/>
                <w:sz w:val="18"/>
                <w:szCs w:val="18"/>
                <w:lang w:eastAsia="en-US"/>
              </w:rPr>
            </w:pPr>
          </w:p>
        </w:tc>
        <w:tc>
          <w:tcPr>
            <w:tcW w:w="508" w:type="pct"/>
            <w:tcBorders>
              <w:right w:val="dotted" w:sz="4" w:space="0" w:color="auto"/>
            </w:tcBorders>
            <w:noWrap/>
            <w:vAlign w:val="center"/>
            <w:hideMark/>
          </w:tcPr>
          <w:p w14:paraId="4CA67C9E" w14:textId="77777777" w:rsidR="00DD2949" w:rsidRPr="009F4E63" w:rsidRDefault="00DD2949" w:rsidP="009F4E63">
            <w:pPr>
              <w:keepNext/>
              <w:keepLines/>
              <w:spacing w:after="0" w:line="264" w:lineRule="auto"/>
              <w:jc w:val="right"/>
              <w:rPr>
                <w:rFonts w:eastAsia="Times New Roman" w:cs="Arial"/>
                <w:sz w:val="18"/>
                <w:szCs w:val="18"/>
                <w:lang w:eastAsia="en-US"/>
              </w:rPr>
            </w:pPr>
          </w:p>
        </w:tc>
        <w:tc>
          <w:tcPr>
            <w:tcW w:w="405" w:type="pct"/>
            <w:tcBorders>
              <w:left w:val="dotted" w:sz="4" w:space="0" w:color="auto"/>
            </w:tcBorders>
            <w:noWrap/>
            <w:vAlign w:val="center"/>
            <w:hideMark/>
          </w:tcPr>
          <w:p w14:paraId="2A07A1B3" w14:textId="77777777" w:rsidR="00DD2949" w:rsidRPr="009F4E63" w:rsidRDefault="00DD2949" w:rsidP="009F4E63">
            <w:pPr>
              <w:keepNext/>
              <w:keepLines/>
              <w:spacing w:after="0" w:line="264" w:lineRule="auto"/>
              <w:jc w:val="right"/>
              <w:rPr>
                <w:rFonts w:eastAsia="Times New Roman" w:cs="Arial"/>
                <w:color w:val="000000"/>
                <w:sz w:val="18"/>
                <w:szCs w:val="18"/>
                <w:lang w:eastAsia="en-US"/>
              </w:rPr>
            </w:pPr>
          </w:p>
        </w:tc>
      </w:tr>
      <w:tr w:rsidR="00F36D30" w:rsidRPr="009F4E63" w14:paraId="7C9E6FA9" w14:textId="77777777" w:rsidTr="00CC39E3">
        <w:trPr>
          <w:gridAfter w:val="1"/>
          <w:cnfStyle w:val="000000010000" w:firstRow="0" w:lastRow="0" w:firstColumn="0" w:lastColumn="0" w:oddVBand="0" w:evenVBand="0" w:oddHBand="0" w:evenHBand="1" w:firstRowFirstColumn="0" w:firstRowLastColumn="0" w:lastRowFirstColumn="0" w:lastRowLastColumn="0"/>
          <w:wAfter w:w="29" w:type="pct"/>
          <w:trHeight w:val="285"/>
        </w:trPr>
        <w:tc>
          <w:tcPr>
            <w:tcW w:w="1221" w:type="pct"/>
            <w:vAlign w:val="center"/>
            <w:hideMark/>
          </w:tcPr>
          <w:p w14:paraId="1C1405AB" w14:textId="77777777" w:rsidR="00DD2949" w:rsidRPr="009F4E63" w:rsidRDefault="00DD2949" w:rsidP="009F4E63">
            <w:pPr>
              <w:keepNext/>
              <w:keepLines/>
              <w:spacing w:after="0" w:line="264" w:lineRule="auto"/>
              <w:rPr>
                <w:rFonts w:eastAsia="Times New Roman" w:cs="Arial"/>
                <w:color w:val="000000"/>
                <w:sz w:val="18"/>
                <w:szCs w:val="18"/>
                <w:lang w:eastAsia="en-US"/>
              </w:rPr>
            </w:pPr>
            <w:r w:rsidRPr="009F4E63">
              <w:rPr>
                <w:rFonts w:cs="Arial"/>
                <w:color w:val="000000"/>
                <w:sz w:val="18"/>
                <w:szCs w:val="18"/>
              </w:rPr>
              <w:t>Attendant care</w:t>
            </w:r>
          </w:p>
        </w:tc>
        <w:tc>
          <w:tcPr>
            <w:tcW w:w="518" w:type="pct"/>
            <w:vAlign w:val="center"/>
          </w:tcPr>
          <w:p w14:paraId="472A3AED" w14:textId="77777777" w:rsidR="00DD2949" w:rsidRPr="009F4E63" w:rsidRDefault="00DD2949" w:rsidP="009F4E63">
            <w:pPr>
              <w:keepNext/>
              <w:keepLines/>
              <w:spacing w:after="0" w:line="264" w:lineRule="auto"/>
              <w:jc w:val="right"/>
              <w:rPr>
                <w:rFonts w:eastAsia="Times New Roman" w:cs="Arial"/>
                <w:b/>
                <w:color w:val="000000"/>
                <w:sz w:val="18"/>
                <w:szCs w:val="18"/>
                <w:lang w:eastAsia="en-US"/>
              </w:rPr>
            </w:pPr>
            <w:r w:rsidRPr="009F4E63">
              <w:rPr>
                <w:rFonts w:cs="Arial"/>
                <w:iCs/>
                <w:color w:val="000000"/>
                <w:sz w:val="18"/>
                <w:szCs w:val="18"/>
              </w:rPr>
              <w:t>4.6%</w:t>
            </w:r>
          </w:p>
        </w:tc>
        <w:tc>
          <w:tcPr>
            <w:tcW w:w="653" w:type="pct"/>
            <w:tcBorders>
              <w:right w:val="dotted" w:sz="4" w:space="0" w:color="auto"/>
            </w:tcBorders>
            <w:vAlign w:val="center"/>
          </w:tcPr>
          <w:p w14:paraId="3A2383B8" w14:textId="77777777" w:rsidR="00DD2949" w:rsidRPr="009F4E63" w:rsidRDefault="00DD2949" w:rsidP="009F4E63">
            <w:pPr>
              <w:keepNext/>
              <w:keepLines/>
              <w:spacing w:after="0" w:line="264" w:lineRule="auto"/>
              <w:jc w:val="right"/>
              <w:rPr>
                <w:rFonts w:eastAsia="Times New Roman" w:cs="Arial"/>
                <w:b/>
                <w:color w:val="000000"/>
                <w:sz w:val="18"/>
                <w:szCs w:val="18"/>
                <w:lang w:eastAsia="en-US"/>
              </w:rPr>
            </w:pPr>
            <w:r w:rsidRPr="009F4E63">
              <w:rPr>
                <w:rFonts w:cs="Arial"/>
                <w:iCs/>
                <w:color w:val="000000"/>
                <w:sz w:val="18"/>
                <w:szCs w:val="18"/>
              </w:rPr>
              <w:t>1.1%</w:t>
            </w:r>
          </w:p>
        </w:tc>
        <w:tc>
          <w:tcPr>
            <w:tcW w:w="506" w:type="pct"/>
            <w:gridSpan w:val="2"/>
            <w:tcBorders>
              <w:left w:val="dotted" w:sz="4" w:space="0" w:color="auto"/>
            </w:tcBorders>
            <w:noWrap/>
            <w:vAlign w:val="center"/>
            <w:hideMark/>
          </w:tcPr>
          <w:p w14:paraId="7F80F9B7" w14:textId="77777777" w:rsidR="00DD2949" w:rsidRPr="009F4E63" w:rsidRDefault="00DD2949" w:rsidP="009F4E63">
            <w:pPr>
              <w:keepNext/>
              <w:keepLines/>
              <w:spacing w:after="0" w:line="264" w:lineRule="auto"/>
              <w:jc w:val="right"/>
              <w:rPr>
                <w:rFonts w:eastAsia="Times New Roman" w:cs="Arial"/>
                <w:color w:val="000000"/>
                <w:sz w:val="18"/>
                <w:szCs w:val="18"/>
                <w:lang w:eastAsia="en-US"/>
              </w:rPr>
            </w:pPr>
            <w:r w:rsidRPr="009F4E63">
              <w:rPr>
                <w:rFonts w:cs="Arial"/>
                <w:color w:val="000000"/>
                <w:sz w:val="18"/>
                <w:szCs w:val="18"/>
              </w:rPr>
              <w:t>0.9%</w:t>
            </w:r>
          </w:p>
        </w:tc>
        <w:tc>
          <w:tcPr>
            <w:tcW w:w="530" w:type="pct"/>
            <w:noWrap/>
            <w:vAlign w:val="center"/>
            <w:hideMark/>
          </w:tcPr>
          <w:p w14:paraId="11F8D373" w14:textId="77777777" w:rsidR="00DD2949" w:rsidRPr="009F4E63" w:rsidRDefault="00DD2949" w:rsidP="009F4E63">
            <w:pPr>
              <w:keepNext/>
              <w:keepLines/>
              <w:spacing w:after="0" w:line="264" w:lineRule="auto"/>
              <w:jc w:val="right"/>
              <w:rPr>
                <w:rFonts w:eastAsia="Times New Roman" w:cs="Arial"/>
                <w:color w:val="000000"/>
                <w:sz w:val="18"/>
                <w:szCs w:val="18"/>
                <w:lang w:eastAsia="en-US"/>
              </w:rPr>
            </w:pPr>
            <w:r w:rsidRPr="009F4E63">
              <w:rPr>
                <w:rFonts w:cs="Arial"/>
                <w:color w:val="000000"/>
                <w:sz w:val="18"/>
                <w:szCs w:val="18"/>
              </w:rPr>
              <w:t>0.9%</w:t>
            </w:r>
          </w:p>
        </w:tc>
        <w:tc>
          <w:tcPr>
            <w:tcW w:w="630" w:type="pct"/>
            <w:gridSpan w:val="2"/>
            <w:noWrap/>
            <w:vAlign w:val="center"/>
            <w:hideMark/>
          </w:tcPr>
          <w:p w14:paraId="11D4A0E5" w14:textId="77777777" w:rsidR="00DD2949" w:rsidRPr="009F4E63" w:rsidRDefault="00DD2949" w:rsidP="009F4E63">
            <w:pPr>
              <w:keepNext/>
              <w:keepLines/>
              <w:spacing w:after="0" w:line="264" w:lineRule="auto"/>
              <w:jc w:val="right"/>
              <w:rPr>
                <w:rFonts w:eastAsia="Times New Roman" w:cs="Arial"/>
                <w:color w:val="000000"/>
                <w:sz w:val="18"/>
                <w:szCs w:val="18"/>
                <w:lang w:eastAsia="en-US"/>
              </w:rPr>
            </w:pPr>
            <w:r w:rsidRPr="009F4E63">
              <w:rPr>
                <w:rFonts w:cs="Arial"/>
                <w:color w:val="000000"/>
                <w:sz w:val="18"/>
                <w:szCs w:val="18"/>
              </w:rPr>
              <w:t>3.1%</w:t>
            </w:r>
          </w:p>
        </w:tc>
        <w:tc>
          <w:tcPr>
            <w:tcW w:w="508" w:type="pct"/>
            <w:tcBorders>
              <w:right w:val="dotted" w:sz="4" w:space="0" w:color="auto"/>
            </w:tcBorders>
            <w:noWrap/>
            <w:vAlign w:val="center"/>
            <w:hideMark/>
          </w:tcPr>
          <w:p w14:paraId="252D3AEC" w14:textId="77777777" w:rsidR="00DD2949" w:rsidRPr="009F4E63" w:rsidRDefault="00DD2949" w:rsidP="009F4E63">
            <w:pPr>
              <w:keepNext/>
              <w:keepLines/>
              <w:spacing w:after="0" w:line="264" w:lineRule="auto"/>
              <w:jc w:val="right"/>
              <w:rPr>
                <w:rFonts w:eastAsia="Times New Roman" w:cs="Arial"/>
                <w:color w:val="000000"/>
                <w:sz w:val="18"/>
                <w:szCs w:val="18"/>
                <w:lang w:eastAsia="en-US"/>
              </w:rPr>
            </w:pPr>
            <w:r w:rsidRPr="009F4E63">
              <w:rPr>
                <w:rFonts w:cs="Arial"/>
                <w:color w:val="000000"/>
                <w:sz w:val="18"/>
                <w:szCs w:val="18"/>
              </w:rPr>
              <w:t>2.5%</w:t>
            </w:r>
          </w:p>
        </w:tc>
        <w:tc>
          <w:tcPr>
            <w:tcW w:w="405" w:type="pct"/>
            <w:tcBorders>
              <w:left w:val="dotted" w:sz="4" w:space="0" w:color="auto"/>
            </w:tcBorders>
            <w:noWrap/>
            <w:vAlign w:val="center"/>
            <w:hideMark/>
          </w:tcPr>
          <w:p w14:paraId="533A3F62" w14:textId="77777777" w:rsidR="00DD2949" w:rsidRPr="009F4E63" w:rsidRDefault="00DD2949" w:rsidP="009F4E63">
            <w:pPr>
              <w:keepNext/>
              <w:keepLines/>
              <w:spacing w:after="0" w:line="264" w:lineRule="auto"/>
              <w:jc w:val="right"/>
              <w:rPr>
                <w:rFonts w:eastAsia="Times New Roman" w:cs="Arial"/>
                <w:color w:val="000000"/>
                <w:sz w:val="18"/>
                <w:szCs w:val="18"/>
                <w:lang w:eastAsia="en-US"/>
              </w:rPr>
            </w:pPr>
            <w:r w:rsidRPr="009F4E63">
              <w:rPr>
                <w:rFonts w:cs="Arial"/>
                <w:color w:val="000000"/>
                <w:sz w:val="18"/>
                <w:szCs w:val="18"/>
              </w:rPr>
              <w:t>0.5%</w:t>
            </w:r>
          </w:p>
        </w:tc>
      </w:tr>
      <w:tr w:rsidR="00F36D30" w:rsidRPr="009F4E63" w14:paraId="0F726538" w14:textId="77777777" w:rsidTr="00CC39E3">
        <w:trPr>
          <w:gridAfter w:val="1"/>
          <w:cnfStyle w:val="000000100000" w:firstRow="0" w:lastRow="0" w:firstColumn="0" w:lastColumn="0" w:oddVBand="0" w:evenVBand="0" w:oddHBand="1" w:evenHBand="0" w:firstRowFirstColumn="0" w:firstRowLastColumn="0" w:lastRowFirstColumn="0" w:lastRowLastColumn="0"/>
          <w:wAfter w:w="29" w:type="pct"/>
          <w:trHeight w:val="285"/>
        </w:trPr>
        <w:tc>
          <w:tcPr>
            <w:tcW w:w="1221" w:type="pct"/>
            <w:noWrap/>
            <w:vAlign w:val="center"/>
            <w:hideMark/>
          </w:tcPr>
          <w:p w14:paraId="652E9729" w14:textId="77777777" w:rsidR="00DD2949" w:rsidRPr="009F4E63" w:rsidRDefault="00DD2949" w:rsidP="009F4E63">
            <w:pPr>
              <w:keepNext/>
              <w:keepLines/>
              <w:spacing w:after="0" w:line="264" w:lineRule="auto"/>
              <w:rPr>
                <w:rFonts w:eastAsia="Times New Roman" w:cs="Arial"/>
                <w:color w:val="000000"/>
                <w:sz w:val="18"/>
                <w:szCs w:val="18"/>
                <w:lang w:eastAsia="en-US"/>
              </w:rPr>
            </w:pPr>
            <w:r w:rsidRPr="009F4E63">
              <w:rPr>
                <w:rFonts w:cs="Arial"/>
                <w:color w:val="000000"/>
                <w:sz w:val="18"/>
                <w:szCs w:val="18"/>
              </w:rPr>
              <w:t>Therapy</w:t>
            </w:r>
          </w:p>
        </w:tc>
        <w:tc>
          <w:tcPr>
            <w:tcW w:w="518" w:type="pct"/>
            <w:vAlign w:val="center"/>
          </w:tcPr>
          <w:p w14:paraId="4769E7F8" w14:textId="77777777" w:rsidR="00DD2949" w:rsidRPr="009F4E63" w:rsidRDefault="00DD2949" w:rsidP="009F4E63">
            <w:pPr>
              <w:keepNext/>
              <w:keepLines/>
              <w:spacing w:after="0" w:line="264" w:lineRule="auto"/>
              <w:jc w:val="right"/>
              <w:rPr>
                <w:rFonts w:eastAsia="Times New Roman" w:cs="Arial"/>
                <w:b/>
                <w:color w:val="000000"/>
                <w:sz w:val="18"/>
                <w:szCs w:val="18"/>
                <w:lang w:eastAsia="en-US"/>
              </w:rPr>
            </w:pPr>
            <w:r w:rsidRPr="009F4E63">
              <w:rPr>
                <w:rFonts w:cs="Arial"/>
                <w:iCs/>
                <w:color w:val="000000"/>
                <w:sz w:val="18"/>
                <w:szCs w:val="18"/>
              </w:rPr>
              <w:t>1.2%</w:t>
            </w:r>
          </w:p>
        </w:tc>
        <w:tc>
          <w:tcPr>
            <w:tcW w:w="653" w:type="pct"/>
            <w:tcBorders>
              <w:right w:val="dotted" w:sz="4" w:space="0" w:color="auto"/>
            </w:tcBorders>
            <w:vAlign w:val="center"/>
          </w:tcPr>
          <w:p w14:paraId="44F4FA66" w14:textId="77777777" w:rsidR="00DD2949" w:rsidRPr="009F4E63" w:rsidRDefault="00DD2949" w:rsidP="009F4E63">
            <w:pPr>
              <w:keepNext/>
              <w:keepLines/>
              <w:spacing w:after="0" w:line="264" w:lineRule="auto"/>
              <w:jc w:val="right"/>
              <w:rPr>
                <w:rFonts w:eastAsia="Times New Roman" w:cs="Arial"/>
                <w:b/>
                <w:color w:val="000000"/>
                <w:sz w:val="18"/>
                <w:szCs w:val="18"/>
                <w:lang w:eastAsia="en-US"/>
              </w:rPr>
            </w:pPr>
            <w:r w:rsidRPr="009F4E63">
              <w:rPr>
                <w:rFonts w:cs="Arial"/>
                <w:iCs/>
                <w:color w:val="000000"/>
                <w:sz w:val="18"/>
                <w:szCs w:val="18"/>
              </w:rPr>
              <w:t>0.0%</w:t>
            </w:r>
          </w:p>
        </w:tc>
        <w:tc>
          <w:tcPr>
            <w:tcW w:w="506" w:type="pct"/>
            <w:gridSpan w:val="2"/>
            <w:tcBorders>
              <w:left w:val="dotted" w:sz="4" w:space="0" w:color="auto"/>
            </w:tcBorders>
            <w:noWrap/>
            <w:vAlign w:val="center"/>
            <w:hideMark/>
          </w:tcPr>
          <w:p w14:paraId="0536E4B7" w14:textId="77777777" w:rsidR="00DD2949" w:rsidRPr="009F4E63" w:rsidRDefault="00DD2949" w:rsidP="009F4E63">
            <w:pPr>
              <w:keepNext/>
              <w:keepLines/>
              <w:spacing w:after="0" w:line="264" w:lineRule="auto"/>
              <w:jc w:val="right"/>
              <w:rPr>
                <w:rFonts w:eastAsia="Times New Roman" w:cs="Arial"/>
                <w:color w:val="000000"/>
                <w:sz w:val="18"/>
                <w:szCs w:val="18"/>
                <w:lang w:eastAsia="en-US"/>
              </w:rPr>
            </w:pPr>
            <w:r w:rsidRPr="009F4E63">
              <w:rPr>
                <w:rFonts w:cs="Arial"/>
                <w:color w:val="000000"/>
                <w:sz w:val="18"/>
                <w:szCs w:val="18"/>
              </w:rPr>
              <w:t>0.0%</w:t>
            </w:r>
          </w:p>
        </w:tc>
        <w:tc>
          <w:tcPr>
            <w:tcW w:w="530" w:type="pct"/>
            <w:noWrap/>
            <w:vAlign w:val="center"/>
            <w:hideMark/>
          </w:tcPr>
          <w:p w14:paraId="25F0E2CD" w14:textId="77777777" w:rsidR="00DD2949" w:rsidRPr="009F4E63" w:rsidRDefault="00DD2949" w:rsidP="009F4E63">
            <w:pPr>
              <w:keepNext/>
              <w:keepLines/>
              <w:spacing w:after="0" w:line="264" w:lineRule="auto"/>
              <w:jc w:val="right"/>
              <w:rPr>
                <w:rFonts w:eastAsia="Times New Roman" w:cs="Arial"/>
                <w:color w:val="000000"/>
                <w:sz w:val="18"/>
                <w:szCs w:val="18"/>
                <w:lang w:eastAsia="en-US"/>
              </w:rPr>
            </w:pPr>
            <w:r w:rsidRPr="009F4E63">
              <w:rPr>
                <w:rFonts w:cs="Arial"/>
                <w:color w:val="000000"/>
                <w:sz w:val="18"/>
                <w:szCs w:val="18"/>
              </w:rPr>
              <w:t>0.0%</w:t>
            </w:r>
          </w:p>
        </w:tc>
        <w:tc>
          <w:tcPr>
            <w:tcW w:w="630" w:type="pct"/>
            <w:gridSpan w:val="2"/>
            <w:noWrap/>
            <w:vAlign w:val="center"/>
            <w:hideMark/>
          </w:tcPr>
          <w:p w14:paraId="25398D4B" w14:textId="77777777" w:rsidR="00DD2949" w:rsidRPr="009F4E63" w:rsidRDefault="00DD2949" w:rsidP="009F4E63">
            <w:pPr>
              <w:keepNext/>
              <w:keepLines/>
              <w:spacing w:after="0" w:line="264" w:lineRule="auto"/>
              <w:jc w:val="right"/>
              <w:rPr>
                <w:rFonts w:eastAsia="Times New Roman" w:cs="Arial"/>
                <w:color w:val="000000"/>
                <w:sz w:val="18"/>
                <w:szCs w:val="18"/>
                <w:lang w:eastAsia="en-US"/>
              </w:rPr>
            </w:pPr>
            <w:r w:rsidRPr="009F4E63">
              <w:rPr>
                <w:rFonts w:cs="Arial"/>
                <w:color w:val="000000"/>
                <w:sz w:val="18"/>
                <w:szCs w:val="18"/>
              </w:rPr>
              <w:t>0.5%</w:t>
            </w:r>
          </w:p>
        </w:tc>
        <w:tc>
          <w:tcPr>
            <w:tcW w:w="508" w:type="pct"/>
            <w:tcBorders>
              <w:right w:val="dotted" w:sz="4" w:space="0" w:color="auto"/>
            </w:tcBorders>
            <w:noWrap/>
            <w:vAlign w:val="center"/>
            <w:hideMark/>
          </w:tcPr>
          <w:p w14:paraId="2BEE4047" w14:textId="77777777" w:rsidR="00DD2949" w:rsidRPr="009F4E63" w:rsidRDefault="00DD2949" w:rsidP="009F4E63">
            <w:pPr>
              <w:keepNext/>
              <w:keepLines/>
              <w:spacing w:after="0" w:line="264" w:lineRule="auto"/>
              <w:jc w:val="right"/>
              <w:rPr>
                <w:rFonts w:eastAsia="Times New Roman" w:cs="Arial"/>
                <w:color w:val="000000"/>
                <w:sz w:val="18"/>
                <w:szCs w:val="18"/>
                <w:lang w:eastAsia="en-US"/>
              </w:rPr>
            </w:pPr>
            <w:r w:rsidRPr="009F4E63">
              <w:rPr>
                <w:rFonts w:cs="Arial"/>
                <w:color w:val="000000"/>
                <w:sz w:val="18"/>
                <w:szCs w:val="18"/>
              </w:rPr>
              <w:t>0.4%</w:t>
            </w:r>
          </w:p>
        </w:tc>
        <w:tc>
          <w:tcPr>
            <w:tcW w:w="405" w:type="pct"/>
            <w:tcBorders>
              <w:left w:val="dotted" w:sz="4" w:space="0" w:color="auto"/>
            </w:tcBorders>
            <w:noWrap/>
            <w:vAlign w:val="center"/>
            <w:hideMark/>
          </w:tcPr>
          <w:p w14:paraId="6E24A8F3" w14:textId="77777777" w:rsidR="00DD2949" w:rsidRPr="009F4E63" w:rsidRDefault="00DD2949" w:rsidP="009F4E63">
            <w:pPr>
              <w:keepNext/>
              <w:keepLines/>
              <w:spacing w:after="0" w:line="264" w:lineRule="auto"/>
              <w:jc w:val="right"/>
              <w:rPr>
                <w:rFonts w:eastAsia="Times New Roman" w:cs="Arial"/>
                <w:color w:val="000000"/>
                <w:sz w:val="18"/>
                <w:szCs w:val="18"/>
                <w:lang w:eastAsia="en-US"/>
              </w:rPr>
            </w:pPr>
            <w:r w:rsidRPr="009F4E63">
              <w:rPr>
                <w:rFonts w:cs="Arial"/>
                <w:color w:val="000000"/>
                <w:sz w:val="18"/>
                <w:szCs w:val="18"/>
              </w:rPr>
              <w:t>0.1%</w:t>
            </w:r>
          </w:p>
        </w:tc>
      </w:tr>
      <w:tr w:rsidR="00F36D30" w:rsidRPr="009F4E63" w14:paraId="3D43AE2F" w14:textId="77777777" w:rsidTr="00CC39E3">
        <w:trPr>
          <w:gridAfter w:val="1"/>
          <w:cnfStyle w:val="000000010000" w:firstRow="0" w:lastRow="0" w:firstColumn="0" w:lastColumn="0" w:oddVBand="0" w:evenVBand="0" w:oddHBand="0" w:evenHBand="1" w:firstRowFirstColumn="0" w:firstRowLastColumn="0" w:lastRowFirstColumn="0" w:lastRowLastColumn="0"/>
          <w:wAfter w:w="29" w:type="pct"/>
          <w:trHeight w:val="293"/>
        </w:trPr>
        <w:tc>
          <w:tcPr>
            <w:tcW w:w="1221" w:type="pct"/>
            <w:tcBorders>
              <w:bottom w:val="single" w:sz="4" w:space="0" w:color="auto"/>
            </w:tcBorders>
            <w:noWrap/>
            <w:vAlign w:val="center"/>
            <w:hideMark/>
          </w:tcPr>
          <w:p w14:paraId="32A1E166" w14:textId="77777777" w:rsidR="00DD2949" w:rsidRPr="009F4E63" w:rsidRDefault="00DD2949" w:rsidP="009F4E63">
            <w:pPr>
              <w:keepNext/>
              <w:keepLines/>
              <w:spacing w:after="0" w:line="264" w:lineRule="auto"/>
              <w:rPr>
                <w:rFonts w:eastAsia="Times New Roman" w:cs="Arial"/>
                <w:color w:val="000000"/>
                <w:sz w:val="18"/>
                <w:szCs w:val="18"/>
                <w:lang w:eastAsia="en-US"/>
              </w:rPr>
            </w:pPr>
            <w:r w:rsidRPr="009F4E63">
              <w:rPr>
                <w:rFonts w:cs="Arial"/>
                <w:color w:val="000000"/>
                <w:sz w:val="18"/>
                <w:szCs w:val="18"/>
              </w:rPr>
              <w:t>Other supports</w:t>
            </w:r>
          </w:p>
        </w:tc>
        <w:tc>
          <w:tcPr>
            <w:tcW w:w="518" w:type="pct"/>
            <w:tcBorders>
              <w:bottom w:val="single" w:sz="4" w:space="0" w:color="auto"/>
            </w:tcBorders>
            <w:vAlign w:val="center"/>
          </w:tcPr>
          <w:p w14:paraId="0750C78C" w14:textId="77777777" w:rsidR="00DD2949" w:rsidRPr="009F4E63" w:rsidRDefault="00DD2949" w:rsidP="009F4E63">
            <w:pPr>
              <w:keepNext/>
              <w:keepLines/>
              <w:spacing w:after="0" w:line="264" w:lineRule="auto"/>
              <w:jc w:val="right"/>
              <w:rPr>
                <w:rFonts w:eastAsia="Times New Roman" w:cs="Arial"/>
                <w:b/>
                <w:color w:val="000000"/>
                <w:sz w:val="18"/>
                <w:szCs w:val="18"/>
                <w:lang w:eastAsia="en-US"/>
              </w:rPr>
            </w:pPr>
            <w:r w:rsidRPr="009F4E63">
              <w:rPr>
                <w:rFonts w:cs="Arial"/>
                <w:iCs/>
                <w:color w:val="000000"/>
                <w:sz w:val="18"/>
                <w:szCs w:val="18"/>
              </w:rPr>
              <w:t>1.7%</w:t>
            </w:r>
          </w:p>
        </w:tc>
        <w:tc>
          <w:tcPr>
            <w:tcW w:w="653" w:type="pct"/>
            <w:tcBorders>
              <w:bottom w:val="single" w:sz="4" w:space="0" w:color="auto"/>
              <w:right w:val="dotted" w:sz="4" w:space="0" w:color="auto"/>
            </w:tcBorders>
            <w:vAlign w:val="center"/>
          </w:tcPr>
          <w:p w14:paraId="4103EFE5" w14:textId="77777777" w:rsidR="00DD2949" w:rsidRPr="009F4E63" w:rsidRDefault="00DD2949" w:rsidP="009F4E63">
            <w:pPr>
              <w:keepNext/>
              <w:keepLines/>
              <w:spacing w:after="0" w:line="264" w:lineRule="auto"/>
              <w:jc w:val="right"/>
              <w:rPr>
                <w:rFonts w:eastAsia="Times New Roman" w:cs="Arial"/>
                <w:b/>
                <w:color w:val="000000"/>
                <w:sz w:val="18"/>
                <w:szCs w:val="18"/>
                <w:lang w:eastAsia="en-US"/>
              </w:rPr>
            </w:pPr>
            <w:r w:rsidRPr="009F4E63">
              <w:rPr>
                <w:rFonts w:cs="Arial"/>
                <w:iCs/>
                <w:color w:val="000000"/>
                <w:sz w:val="18"/>
                <w:szCs w:val="18"/>
              </w:rPr>
              <w:t>2.1%</w:t>
            </w:r>
          </w:p>
        </w:tc>
        <w:tc>
          <w:tcPr>
            <w:tcW w:w="506" w:type="pct"/>
            <w:gridSpan w:val="2"/>
            <w:tcBorders>
              <w:left w:val="dotted" w:sz="4" w:space="0" w:color="auto"/>
              <w:bottom w:val="single" w:sz="4" w:space="0" w:color="auto"/>
            </w:tcBorders>
            <w:noWrap/>
            <w:vAlign w:val="center"/>
            <w:hideMark/>
          </w:tcPr>
          <w:p w14:paraId="4F16FA35" w14:textId="77777777" w:rsidR="00DD2949" w:rsidRPr="009F4E63" w:rsidRDefault="00DD2949" w:rsidP="009F4E63">
            <w:pPr>
              <w:keepNext/>
              <w:keepLines/>
              <w:spacing w:after="0" w:line="264" w:lineRule="auto"/>
              <w:jc w:val="right"/>
              <w:rPr>
                <w:rFonts w:eastAsia="Times New Roman" w:cs="Arial"/>
                <w:color w:val="000000"/>
                <w:sz w:val="18"/>
                <w:szCs w:val="18"/>
                <w:lang w:eastAsia="en-US"/>
              </w:rPr>
            </w:pPr>
            <w:r w:rsidRPr="009F4E63">
              <w:rPr>
                <w:rFonts w:cs="Arial"/>
                <w:color w:val="000000"/>
                <w:sz w:val="18"/>
                <w:szCs w:val="18"/>
              </w:rPr>
              <w:t>0.5%</w:t>
            </w:r>
          </w:p>
        </w:tc>
        <w:tc>
          <w:tcPr>
            <w:tcW w:w="530" w:type="pct"/>
            <w:tcBorders>
              <w:bottom w:val="single" w:sz="4" w:space="0" w:color="auto"/>
            </w:tcBorders>
            <w:noWrap/>
            <w:vAlign w:val="center"/>
            <w:hideMark/>
          </w:tcPr>
          <w:p w14:paraId="3F89B12D" w14:textId="77777777" w:rsidR="00DD2949" w:rsidRPr="009F4E63" w:rsidRDefault="00DD2949" w:rsidP="009F4E63">
            <w:pPr>
              <w:keepNext/>
              <w:keepLines/>
              <w:spacing w:after="0" w:line="264" w:lineRule="auto"/>
              <w:jc w:val="right"/>
              <w:rPr>
                <w:rFonts w:eastAsia="Times New Roman" w:cs="Arial"/>
                <w:color w:val="000000"/>
                <w:sz w:val="18"/>
                <w:szCs w:val="18"/>
                <w:lang w:eastAsia="en-US"/>
              </w:rPr>
            </w:pPr>
            <w:r w:rsidRPr="009F4E63">
              <w:rPr>
                <w:rFonts w:cs="Arial"/>
                <w:color w:val="000000"/>
                <w:sz w:val="18"/>
                <w:szCs w:val="18"/>
              </w:rPr>
              <w:t>0.3%</w:t>
            </w:r>
          </w:p>
        </w:tc>
        <w:tc>
          <w:tcPr>
            <w:tcW w:w="630" w:type="pct"/>
            <w:gridSpan w:val="2"/>
            <w:tcBorders>
              <w:bottom w:val="single" w:sz="4" w:space="0" w:color="auto"/>
            </w:tcBorders>
            <w:noWrap/>
            <w:vAlign w:val="center"/>
            <w:hideMark/>
          </w:tcPr>
          <w:p w14:paraId="205ED0BC" w14:textId="77777777" w:rsidR="00DD2949" w:rsidRPr="009F4E63" w:rsidRDefault="00DD2949" w:rsidP="009F4E63">
            <w:pPr>
              <w:keepNext/>
              <w:keepLines/>
              <w:spacing w:after="0" w:line="264" w:lineRule="auto"/>
              <w:jc w:val="right"/>
              <w:rPr>
                <w:rFonts w:eastAsia="Times New Roman" w:cs="Arial"/>
                <w:color w:val="000000"/>
                <w:sz w:val="18"/>
                <w:szCs w:val="18"/>
                <w:lang w:eastAsia="en-US"/>
              </w:rPr>
            </w:pPr>
            <w:r w:rsidRPr="009F4E63">
              <w:rPr>
                <w:rFonts w:cs="Arial"/>
                <w:color w:val="000000"/>
                <w:sz w:val="18"/>
                <w:szCs w:val="18"/>
              </w:rPr>
              <w:t>0.6%</w:t>
            </w:r>
          </w:p>
        </w:tc>
        <w:tc>
          <w:tcPr>
            <w:tcW w:w="508" w:type="pct"/>
            <w:tcBorders>
              <w:bottom w:val="single" w:sz="4" w:space="0" w:color="auto"/>
              <w:right w:val="dotted" w:sz="4" w:space="0" w:color="auto"/>
            </w:tcBorders>
            <w:noWrap/>
            <w:vAlign w:val="center"/>
            <w:hideMark/>
          </w:tcPr>
          <w:p w14:paraId="707A776A" w14:textId="77777777" w:rsidR="00DD2949" w:rsidRPr="009F4E63" w:rsidRDefault="00DD2949" w:rsidP="009F4E63">
            <w:pPr>
              <w:keepNext/>
              <w:keepLines/>
              <w:spacing w:after="0" w:line="264" w:lineRule="auto"/>
              <w:jc w:val="right"/>
              <w:rPr>
                <w:rFonts w:eastAsia="Times New Roman" w:cs="Arial"/>
                <w:color w:val="000000"/>
                <w:sz w:val="18"/>
                <w:szCs w:val="18"/>
                <w:lang w:eastAsia="en-US"/>
              </w:rPr>
            </w:pPr>
            <w:r w:rsidRPr="009F4E63">
              <w:rPr>
                <w:rFonts w:cs="Arial"/>
                <w:color w:val="000000"/>
                <w:sz w:val="18"/>
                <w:szCs w:val="18"/>
              </w:rPr>
              <w:t>0.5%</w:t>
            </w:r>
          </w:p>
        </w:tc>
        <w:tc>
          <w:tcPr>
            <w:tcW w:w="405" w:type="pct"/>
            <w:tcBorders>
              <w:left w:val="dotted" w:sz="4" w:space="0" w:color="auto"/>
              <w:bottom w:val="single" w:sz="4" w:space="0" w:color="auto"/>
            </w:tcBorders>
            <w:noWrap/>
            <w:vAlign w:val="center"/>
            <w:hideMark/>
          </w:tcPr>
          <w:p w14:paraId="2544036A" w14:textId="77777777" w:rsidR="00DD2949" w:rsidRPr="009F4E63" w:rsidRDefault="00DD2949" w:rsidP="009F4E63">
            <w:pPr>
              <w:keepNext/>
              <w:keepLines/>
              <w:spacing w:after="0" w:line="264" w:lineRule="auto"/>
              <w:jc w:val="right"/>
              <w:rPr>
                <w:rFonts w:eastAsia="Times New Roman" w:cs="Arial"/>
                <w:color w:val="000000"/>
                <w:sz w:val="18"/>
                <w:szCs w:val="18"/>
                <w:lang w:eastAsia="en-US"/>
              </w:rPr>
            </w:pPr>
            <w:r w:rsidRPr="009F4E63">
              <w:rPr>
                <w:rFonts w:cs="Arial"/>
                <w:color w:val="000000"/>
                <w:sz w:val="18"/>
                <w:szCs w:val="18"/>
              </w:rPr>
              <w:t>0.1%</w:t>
            </w:r>
          </w:p>
        </w:tc>
      </w:tr>
      <w:tr w:rsidR="00F36D30" w:rsidRPr="009F4E63" w14:paraId="4BE86887" w14:textId="77777777" w:rsidTr="00CC39E3">
        <w:trPr>
          <w:gridAfter w:val="1"/>
          <w:cnfStyle w:val="000000100000" w:firstRow="0" w:lastRow="0" w:firstColumn="0" w:lastColumn="0" w:oddVBand="0" w:evenVBand="0" w:oddHBand="1" w:evenHBand="0" w:firstRowFirstColumn="0" w:firstRowLastColumn="0" w:lastRowFirstColumn="0" w:lastRowLastColumn="0"/>
          <w:wAfter w:w="29" w:type="pct"/>
          <w:trHeight w:val="293"/>
        </w:trPr>
        <w:tc>
          <w:tcPr>
            <w:tcW w:w="1221" w:type="pct"/>
            <w:tcBorders>
              <w:top w:val="single" w:sz="4" w:space="0" w:color="auto"/>
              <w:bottom w:val="single" w:sz="4" w:space="0" w:color="auto"/>
            </w:tcBorders>
            <w:shd w:val="clear" w:color="auto" w:fill="D4C5D7"/>
            <w:noWrap/>
            <w:vAlign w:val="center"/>
          </w:tcPr>
          <w:p w14:paraId="687E0F26" w14:textId="77777777" w:rsidR="00DD2949" w:rsidRPr="009F4E63" w:rsidRDefault="00DD2949" w:rsidP="001102D8">
            <w:pPr>
              <w:keepNext/>
              <w:keepLines/>
              <w:spacing w:after="0" w:line="264" w:lineRule="auto"/>
              <w:rPr>
                <w:rFonts w:eastAsia="Times New Roman" w:cs="Arial"/>
                <w:color w:val="000000"/>
                <w:sz w:val="18"/>
                <w:szCs w:val="18"/>
                <w:lang w:eastAsia="en-US"/>
              </w:rPr>
            </w:pPr>
            <w:r w:rsidRPr="009F4E63">
              <w:rPr>
                <w:rFonts w:cs="Arial"/>
                <w:b/>
                <w:bCs/>
                <w:color w:val="000000"/>
                <w:sz w:val="18"/>
                <w:szCs w:val="18"/>
              </w:rPr>
              <w:t>Total</w:t>
            </w:r>
            <w:r w:rsidR="001712EA">
              <w:rPr>
                <w:rFonts w:cs="Arial"/>
                <w:b/>
                <w:bCs/>
                <w:color w:val="000000"/>
                <w:sz w:val="18"/>
                <w:szCs w:val="18"/>
              </w:rPr>
              <w:t xml:space="preserve"> additional </w:t>
            </w:r>
            <w:r w:rsidRPr="009F4E63">
              <w:rPr>
                <w:rFonts w:cs="Arial"/>
                <w:b/>
                <w:bCs/>
                <w:color w:val="000000"/>
                <w:sz w:val="18"/>
                <w:szCs w:val="18"/>
              </w:rPr>
              <w:t>inflation</w:t>
            </w:r>
          </w:p>
        </w:tc>
        <w:tc>
          <w:tcPr>
            <w:tcW w:w="518" w:type="pct"/>
            <w:tcBorders>
              <w:top w:val="single" w:sz="4" w:space="0" w:color="auto"/>
              <w:bottom w:val="single" w:sz="4" w:space="0" w:color="auto"/>
            </w:tcBorders>
            <w:shd w:val="clear" w:color="auto" w:fill="D4C5D7"/>
            <w:vAlign w:val="center"/>
          </w:tcPr>
          <w:p w14:paraId="471808FC" w14:textId="77777777" w:rsidR="00DD2949" w:rsidRPr="009F4E63" w:rsidRDefault="00DD2949" w:rsidP="009F4E63">
            <w:pPr>
              <w:keepNext/>
              <w:keepLines/>
              <w:spacing w:after="0" w:line="264" w:lineRule="auto"/>
              <w:jc w:val="right"/>
              <w:rPr>
                <w:rFonts w:eastAsia="SimSun" w:cs="Arial"/>
                <w:b/>
                <w:color w:val="000000"/>
                <w:sz w:val="18"/>
                <w:szCs w:val="18"/>
                <w:lang w:eastAsia="en-US"/>
              </w:rPr>
            </w:pPr>
            <w:r w:rsidRPr="009F4E63">
              <w:rPr>
                <w:rFonts w:cs="Arial"/>
                <w:b/>
                <w:bCs/>
                <w:iCs/>
                <w:color w:val="000000"/>
                <w:sz w:val="18"/>
                <w:szCs w:val="18"/>
              </w:rPr>
              <w:t>11.2%</w:t>
            </w:r>
          </w:p>
        </w:tc>
        <w:tc>
          <w:tcPr>
            <w:tcW w:w="653" w:type="pct"/>
            <w:tcBorders>
              <w:top w:val="single" w:sz="4" w:space="0" w:color="auto"/>
              <w:bottom w:val="single" w:sz="4" w:space="0" w:color="auto"/>
              <w:right w:val="dotted" w:sz="4" w:space="0" w:color="auto"/>
            </w:tcBorders>
            <w:shd w:val="clear" w:color="auto" w:fill="D4C5D7"/>
            <w:vAlign w:val="center"/>
          </w:tcPr>
          <w:p w14:paraId="001D7FC5" w14:textId="77777777" w:rsidR="00DD2949" w:rsidRPr="009F4E63" w:rsidRDefault="00DD2949" w:rsidP="009F4E63">
            <w:pPr>
              <w:keepNext/>
              <w:keepLines/>
              <w:spacing w:after="0" w:line="264" w:lineRule="auto"/>
              <w:jc w:val="right"/>
              <w:rPr>
                <w:rFonts w:eastAsia="SimSun" w:cs="Arial"/>
                <w:b/>
                <w:color w:val="000000"/>
                <w:sz w:val="18"/>
                <w:szCs w:val="18"/>
                <w:lang w:eastAsia="en-US"/>
              </w:rPr>
            </w:pPr>
            <w:r w:rsidRPr="00346949">
              <w:rPr>
                <w:rFonts w:cs="Arial"/>
                <w:b/>
                <w:bCs/>
                <w:color w:val="000000"/>
                <w:sz w:val="18"/>
                <w:szCs w:val="18"/>
              </w:rPr>
              <w:t>5.4%</w:t>
            </w:r>
          </w:p>
        </w:tc>
        <w:tc>
          <w:tcPr>
            <w:tcW w:w="506" w:type="pct"/>
            <w:gridSpan w:val="2"/>
            <w:tcBorders>
              <w:top w:val="single" w:sz="4" w:space="0" w:color="auto"/>
              <w:left w:val="dotted" w:sz="4" w:space="0" w:color="auto"/>
              <w:bottom w:val="single" w:sz="4" w:space="0" w:color="auto"/>
            </w:tcBorders>
            <w:shd w:val="clear" w:color="auto" w:fill="D4C5D7"/>
            <w:noWrap/>
            <w:vAlign w:val="center"/>
          </w:tcPr>
          <w:p w14:paraId="06BB6257" w14:textId="77777777" w:rsidR="00DD2949" w:rsidRPr="009F4E63" w:rsidRDefault="00DD2949" w:rsidP="009F4E63">
            <w:pPr>
              <w:keepNext/>
              <w:keepLines/>
              <w:spacing w:after="0" w:line="264" w:lineRule="auto"/>
              <w:jc w:val="right"/>
              <w:rPr>
                <w:rFonts w:cs="Arial"/>
                <w:sz w:val="18"/>
                <w:szCs w:val="18"/>
              </w:rPr>
            </w:pPr>
            <w:r w:rsidRPr="009F4E63">
              <w:rPr>
                <w:rFonts w:cs="Arial"/>
                <w:b/>
                <w:bCs/>
                <w:color w:val="000000"/>
                <w:sz w:val="18"/>
                <w:szCs w:val="18"/>
              </w:rPr>
              <w:t>3.4%</w:t>
            </w:r>
          </w:p>
        </w:tc>
        <w:tc>
          <w:tcPr>
            <w:tcW w:w="530" w:type="pct"/>
            <w:tcBorders>
              <w:top w:val="single" w:sz="4" w:space="0" w:color="auto"/>
              <w:bottom w:val="single" w:sz="4" w:space="0" w:color="auto"/>
            </w:tcBorders>
            <w:shd w:val="clear" w:color="auto" w:fill="D4C5D7"/>
            <w:noWrap/>
            <w:vAlign w:val="center"/>
          </w:tcPr>
          <w:p w14:paraId="5DB858CE" w14:textId="77777777" w:rsidR="00DD2949" w:rsidRPr="009F4E63" w:rsidRDefault="00DD2949" w:rsidP="009F4E63">
            <w:pPr>
              <w:keepNext/>
              <w:keepLines/>
              <w:spacing w:after="0" w:line="264" w:lineRule="auto"/>
              <w:jc w:val="right"/>
              <w:rPr>
                <w:rFonts w:cs="Arial"/>
                <w:sz w:val="18"/>
                <w:szCs w:val="18"/>
              </w:rPr>
            </w:pPr>
            <w:r w:rsidRPr="009F4E63">
              <w:rPr>
                <w:rFonts w:cs="Arial"/>
                <w:b/>
                <w:bCs/>
                <w:color w:val="000000"/>
                <w:sz w:val="18"/>
                <w:szCs w:val="18"/>
              </w:rPr>
              <w:t>3.0%</w:t>
            </w:r>
          </w:p>
        </w:tc>
        <w:tc>
          <w:tcPr>
            <w:tcW w:w="630" w:type="pct"/>
            <w:gridSpan w:val="2"/>
            <w:tcBorders>
              <w:top w:val="single" w:sz="4" w:space="0" w:color="auto"/>
              <w:bottom w:val="single" w:sz="4" w:space="0" w:color="auto"/>
            </w:tcBorders>
            <w:shd w:val="clear" w:color="auto" w:fill="D4C5D7"/>
            <w:noWrap/>
            <w:vAlign w:val="center"/>
          </w:tcPr>
          <w:p w14:paraId="0433BDB5" w14:textId="77777777" w:rsidR="00DD2949" w:rsidRPr="009F4E63" w:rsidRDefault="00DD2949" w:rsidP="009F4E63">
            <w:pPr>
              <w:keepNext/>
              <w:keepLines/>
              <w:spacing w:after="0" w:line="264" w:lineRule="auto"/>
              <w:jc w:val="right"/>
              <w:rPr>
                <w:rFonts w:cs="Arial"/>
                <w:sz w:val="18"/>
                <w:szCs w:val="18"/>
              </w:rPr>
            </w:pPr>
            <w:r w:rsidRPr="009F4E63">
              <w:rPr>
                <w:rFonts w:cs="Arial"/>
                <w:b/>
                <w:bCs/>
                <w:color w:val="000000"/>
                <w:sz w:val="18"/>
                <w:szCs w:val="18"/>
              </w:rPr>
              <w:t>6.0%</w:t>
            </w:r>
          </w:p>
        </w:tc>
        <w:tc>
          <w:tcPr>
            <w:tcW w:w="508" w:type="pct"/>
            <w:tcBorders>
              <w:top w:val="single" w:sz="4" w:space="0" w:color="auto"/>
              <w:bottom w:val="single" w:sz="4" w:space="0" w:color="auto"/>
              <w:right w:val="dotted" w:sz="4" w:space="0" w:color="auto"/>
            </w:tcBorders>
            <w:shd w:val="clear" w:color="auto" w:fill="D4C5D7"/>
            <w:noWrap/>
            <w:vAlign w:val="center"/>
          </w:tcPr>
          <w:p w14:paraId="50017C01" w14:textId="77777777" w:rsidR="00DD2949" w:rsidRPr="009F4E63" w:rsidRDefault="00DD2949" w:rsidP="009F4E63">
            <w:pPr>
              <w:keepNext/>
              <w:keepLines/>
              <w:spacing w:after="0" w:line="264" w:lineRule="auto"/>
              <w:jc w:val="right"/>
              <w:rPr>
                <w:rFonts w:cs="Arial"/>
                <w:sz w:val="18"/>
                <w:szCs w:val="18"/>
              </w:rPr>
            </w:pPr>
            <w:r w:rsidRPr="009F4E63">
              <w:rPr>
                <w:rFonts w:cs="Arial"/>
                <w:b/>
                <w:bCs/>
                <w:color w:val="000000"/>
                <w:sz w:val="18"/>
                <w:szCs w:val="18"/>
              </w:rPr>
              <w:t>5.0%</w:t>
            </w:r>
          </w:p>
        </w:tc>
        <w:tc>
          <w:tcPr>
            <w:tcW w:w="405" w:type="pct"/>
            <w:tcBorders>
              <w:top w:val="single" w:sz="4" w:space="0" w:color="auto"/>
              <w:left w:val="dotted" w:sz="4" w:space="0" w:color="auto"/>
              <w:bottom w:val="single" w:sz="4" w:space="0" w:color="auto"/>
            </w:tcBorders>
            <w:shd w:val="clear" w:color="auto" w:fill="D4C5D7"/>
            <w:noWrap/>
            <w:vAlign w:val="center"/>
          </w:tcPr>
          <w:p w14:paraId="63FF157E" w14:textId="77777777" w:rsidR="00DD2949" w:rsidRPr="009F4E63" w:rsidRDefault="00DD2949" w:rsidP="009F4E63">
            <w:pPr>
              <w:keepNext/>
              <w:keepLines/>
              <w:spacing w:after="0" w:line="264" w:lineRule="auto"/>
              <w:jc w:val="right"/>
              <w:rPr>
                <w:rFonts w:cs="Arial"/>
                <w:sz w:val="18"/>
                <w:szCs w:val="18"/>
              </w:rPr>
            </w:pPr>
            <w:r w:rsidRPr="009F4E63">
              <w:rPr>
                <w:rFonts w:cs="Arial"/>
                <w:b/>
                <w:bCs/>
                <w:color w:val="000000"/>
                <w:sz w:val="18"/>
                <w:szCs w:val="18"/>
              </w:rPr>
              <w:t>2.0%</w:t>
            </w:r>
          </w:p>
        </w:tc>
      </w:tr>
    </w:tbl>
    <w:p w14:paraId="2DFED025" w14:textId="77777777" w:rsidR="00BF7697" w:rsidRDefault="00BF7697" w:rsidP="00BF7697">
      <w:pPr>
        <w:pStyle w:val="FSRnormal"/>
      </w:pPr>
      <w:r>
        <w:t xml:space="preserve">Overall, the inflation rates assumed in 2022-23 and 2023-24 are well below the average observed over recent years and are in line with experience observed in 2021-22. This reflects that the impacts of workforce shortages are expected to continue in the short term and hence lead to constraints on the inflation of attendant care and therapy </w:t>
      </w:r>
      <w:r w:rsidR="00687259">
        <w:t>expenses</w:t>
      </w:r>
      <w:r>
        <w:t xml:space="preserve">. However, the workforce shortages are expected to </w:t>
      </w:r>
      <w:r w:rsidR="00663ED4">
        <w:t>subside,</w:t>
      </w:r>
      <w:r>
        <w:t xml:space="preserve"> and higher rates of </w:t>
      </w:r>
      <w:r w:rsidR="00330D42">
        <w:t xml:space="preserve">additional </w:t>
      </w:r>
      <w:r>
        <w:t xml:space="preserve">inflation are assumed in 2024-25 and 2025-26 before reducing </w:t>
      </w:r>
      <w:r w:rsidR="00330D42">
        <w:t>to</w:t>
      </w:r>
      <w:r w:rsidR="0089723B">
        <w:t xml:space="preserve"> the </w:t>
      </w:r>
      <w:r>
        <w:t>long</w:t>
      </w:r>
      <w:r w:rsidR="0089723B">
        <w:t>er</w:t>
      </w:r>
      <w:r w:rsidR="003F6941">
        <w:t>-</w:t>
      </w:r>
      <w:r>
        <w:t>term</w:t>
      </w:r>
      <w:r w:rsidR="00330D42">
        <w:t xml:space="preserve"> rate of 2% per annum</w:t>
      </w:r>
      <w:r>
        <w:t xml:space="preserve">. In relation to the other components of the </w:t>
      </w:r>
      <w:r w:rsidR="00330D42">
        <w:t xml:space="preserve">additional </w:t>
      </w:r>
      <w:r>
        <w:t>inflation future assumptions:</w:t>
      </w:r>
    </w:p>
    <w:p w14:paraId="2383F1C3" w14:textId="77777777" w:rsidR="00BF7697" w:rsidRDefault="00BF7697" w:rsidP="00BF7697">
      <w:pPr>
        <w:pStyle w:val="FSRlist"/>
      </w:pPr>
      <w:r>
        <w:t xml:space="preserve">Inflation associated with the change in recorded level of function of participants over time is assumed to reduce over time for participants without SIL. Inflation from this source is assumed to remain low and stable for participants with SIL, given the low average level of function and higher level of homogeneity across the cohort. </w:t>
      </w:r>
    </w:p>
    <w:p w14:paraId="17DE82E9" w14:textId="77777777" w:rsidR="00BF7697" w:rsidRPr="008B1B28" w:rsidRDefault="00BF7697" w:rsidP="00BF7697">
      <w:pPr>
        <w:pStyle w:val="FSRlist"/>
      </w:pPr>
      <w:r>
        <w:lastRenderedPageBreak/>
        <w:t xml:space="preserve">Inflation associated with increased volume of supports, or participants receiving new types of supports over time is assumed to be stable at 0.5% </w:t>
      </w:r>
      <w:r w:rsidR="00D067C5">
        <w:t>per annum.</w:t>
      </w:r>
    </w:p>
    <w:p w14:paraId="4E50D98B" w14:textId="77777777" w:rsidR="00BF7697" w:rsidRDefault="00BF7697" w:rsidP="00A55A6D">
      <w:pPr>
        <w:pStyle w:val="FSRlist"/>
      </w:pPr>
      <w:r>
        <w:t xml:space="preserve">Inflation due to increased use of “Other supports”, including capital supports, consumables and transport is volatile and is not expected to be impacted by workforce shortages and COVID-19 related constraints in the same ways as attendant care or therapy supports. The assumptions of 4.0% </w:t>
      </w:r>
      <w:r w:rsidR="00D067C5">
        <w:t>per annum</w:t>
      </w:r>
      <w:r>
        <w:t xml:space="preserve"> adopted for 2022-23 and 2.0% </w:t>
      </w:r>
      <w:r w:rsidR="00D067C5">
        <w:t>per annum</w:t>
      </w:r>
      <w:r>
        <w:t xml:space="preserve"> for 2023-24 are lower than recent experience but higher than other categories of support. </w:t>
      </w:r>
    </w:p>
    <w:p w14:paraId="0EB68C7B" w14:textId="77777777" w:rsidR="00BF7697" w:rsidRPr="001D15ED" w:rsidRDefault="00BF7697" w:rsidP="00A55A6D">
      <w:pPr>
        <w:pStyle w:val="FSRHeading4"/>
      </w:pPr>
      <w:r w:rsidRPr="001D15ED">
        <w:t>Total inflation</w:t>
      </w:r>
      <w:r w:rsidRPr="001D15ED">
        <w:tab/>
      </w:r>
    </w:p>
    <w:p w14:paraId="0C37FC24" w14:textId="77777777" w:rsidR="00BF7697" w:rsidRPr="000368A8" w:rsidRDefault="00BF7697" w:rsidP="00BF7697">
      <w:pPr>
        <w:pStyle w:val="FSRnormal"/>
        <w:rPr>
          <w:highlight w:val="yellow"/>
        </w:rPr>
      </w:pPr>
      <w:r>
        <w:t>Normal inflation has been combined with</w:t>
      </w:r>
      <w:r w:rsidR="00330D42">
        <w:t xml:space="preserve"> additional </w:t>
      </w:r>
      <w:r>
        <w:t>inflation rates to calculate total inflation</w:t>
      </w:r>
      <w:r w:rsidRPr="00E01A6D">
        <w:t>.</w:t>
      </w:r>
      <w:r>
        <w:t xml:space="preserve"> </w:t>
      </w:r>
      <w:r w:rsidR="000F7D23" w:rsidRPr="00164A79">
        <w:t xml:space="preserve">Table </w:t>
      </w:r>
      <w:r w:rsidR="000F7D23">
        <w:rPr>
          <w:noProof/>
        </w:rPr>
        <w:t>5</w:t>
      </w:r>
      <w:r w:rsidR="000F7D23">
        <w:t>.</w:t>
      </w:r>
      <w:r w:rsidR="000F7D23">
        <w:rPr>
          <w:noProof/>
        </w:rPr>
        <w:t>23</w:t>
      </w:r>
      <w:r w:rsidRPr="00E01A6D">
        <w:t xml:space="preserve"> </w:t>
      </w:r>
      <w:r>
        <w:t xml:space="preserve">details the underlying normal and </w:t>
      </w:r>
      <w:r w:rsidR="007C3EDE">
        <w:t>additional</w:t>
      </w:r>
      <w:r>
        <w:t xml:space="preserve"> inflation assumptions adopted for each projection year, with a comparison made to historic inflation experience. The comparison to historic experience is shown both including and excluding changes in population mix. Additionally</w:t>
      </w:r>
      <w:r w:rsidRPr="00D711F6">
        <w:t xml:space="preserve">, </w:t>
      </w:r>
      <w:r w:rsidR="000F7D23">
        <w:t xml:space="preserve">Figure </w:t>
      </w:r>
      <w:r w:rsidR="000F7D23">
        <w:rPr>
          <w:noProof/>
        </w:rPr>
        <w:t>5</w:t>
      </w:r>
      <w:r w:rsidR="000F7D23">
        <w:t>.</w:t>
      </w:r>
      <w:r w:rsidR="000F7D23">
        <w:rPr>
          <w:noProof/>
        </w:rPr>
        <w:t>11</w:t>
      </w:r>
      <w:r>
        <w:t xml:space="preserve"> compares the total adopted inflation with the previous review.</w:t>
      </w:r>
    </w:p>
    <w:p w14:paraId="5AD0A00F" w14:textId="77777777" w:rsidR="00BF7697" w:rsidRPr="00164A79" w:rsidRDefault="00BF7697" w:rsidP="00BF7697">
      <w:pPr>
        <w:pStyle w:val="Tables"/>
        <w:keepLines/>
      </w:pPr>
      <w:bookmarkStart w:id="230" w:name="_Ref111630316"/>
      <w:bookmarkStart w:id="231" w:name="_Ref111901092"/>
      <w:r w:rsidRPr="00164A79">
        <w:t xml:space="preserve">Table </w:t>
      </w:r>
      <w:bookmarkEnd w:id="230"/>
      <w:r w:rsidR="00A87896">
        <w:fldChar w:fldCharType="begin"/>
      </w:r>
      <w:r w:rsidR="00A87896">
        <w:instrText xml:space="preserve"> STYLEREF 2 \s </w:instrText>
      </w:r>
      <w:r w:rsidR="00A87896">
        <w:fldChar w:fldCharType="separate"/>
      </w:r>
      <w:r w:rsidR="00A87896">
        <w:rPr>
          <w:noProof/>
        </w:rPr>
        <w:t>5</w:t>
      </w:r>
      <w:r w:rsidR="00A87896">
        <w:fldChar w:fldCharType="end"/>
      </w:r>
      <w:r w:rsidR="00A87896">
        <w:t>.</w:t>
      </w:r>
      <w:fldSimple w:instr=" SEQ Table \* ARABIC \s 2 ">
        <w:r w:rsidR="00A87896">
          <w:rPr>
            <w:noProof/>
          </w:rPr>
          <w:t>23</w:t>
        </w:r>
      </w:fldSimple>
      <w:bookmarkEnd w:id="231"/>
      <w:r w:rsidRPr="00164A79">
        <w:t>: Comparison of historic inflation experience and adopted total inflation</w:t>
      </w:r>
      <w:r w:rsidRPr="00164A79">
        <w:rPr>
          <w:rStyle w:val="FootnoteReference"/>
        </w:rPr>
        <w:footnoteReference w:id="107"/>
      </w:r>
      <w:r w:rsidRPr="00164A79">
        <w:t xml:space="preserve"> </w:t>
      </w:r>
    </w:p>
    <w:tbl>
      <w:tblPr>
        <w:tblW w:w="5000" w:type="pct"/>
        <w:tblLook w:val="04A0" w:firstRow="1" w:lastRow="0" w:firstColumn="1" w:lastColumn="0" w:noHBand="0" w:noVBand="1"/>
      </w:tblPr>
      <w:tblGrid>
        <w:gridCol w:w="3657"/>
        <w:gridCol w:w="984"/>
        <w:gridCol w:w="877"/>
        <w:gridCol w:w="877"/>
        <w:gridCol w:w="752"/>
        <w:gridCol w:w="125"/>
        <w:gridCol w:w="877"/>
        <w:gridCol w:w="877"/>
      </w:tblGrid>
      <w:tr w:rsidR="00BF7697" w:rsidRPr="003D2FA4" w14:paraId="17E8E615" w14:textId="77777777" w:rsidTr="00D72D94">
        <w:trPr>
          <w:trHeight w:val="300"/>
        </w:trPr>
        <w:tc>
          <w:tcPr>
            <w:tcW w:w="1471" w:type="pct"/>
            <w:vMerge w:val="restart"/>
            <w:shd w:val="clear" w:color="auto" w:fill="6B2F76"/>
            <w:vAlign w:val="center"/>
            <w:hideMark/>
          </w:tcPr>
          <w:p w14:paraId="10993505" w14:textId="77777777" w:rsidR="00BF7697" w:rsidRPr="003D2FA4" w:rsidRDefault="00BF7697">
            <w:pPr>
              <w:keepNext/>
              <w:keepLines/>
              <w:spacing w:after="0" w:line="240" w:lineRule="auto"/>
              <w:rPr>
                <w:rFonts w:eastAsia="Times New Roman" w:cs="Arial"/>
                <w:b/>
                <w:color w:val="FFFFFF"/>
                <w:sz w:val="18"/>
                <w:szCs w:val="18"/>
                <w:lang w:eastAsia="zh-CN" w:bidi="th-TH"/>
              </w:rPr>
            </w:pPr>
            <w:r w:rsidRPr="003D2FA4">
              <w:rPr>
                <w:rFonts w:eastAsia="Times New Roman" w:cs="Arial"/>
                <w:b/>
                <w:color w:val="FFFFFF"/>
                <w:sz w:val="18"/>
                <w:szCs w:val="18"/>
                <w:lang w:eastAsia="zh-CN" w:bidi="th-TH"/>
              </w:rPr>
              <w:t>Inflation on payments</w:t>
            </w:r>
          </w:p>
        </w:tc>
        <w:tc>
          <w:tcPr>
            <w:tcW w:w="727" w:type="pct"/>
            <w:tcBorders>
              <w:right w:val="dotted" w:sz="4" w:space="0" w:color="auto"/>
            </w:tcBorders>
            <w:shd w:val="clear" w:color="auto" w:fill="6B2F76"/>
            <w:vAlign w:val="center"/>
            <w:hideMark/>
          </w:tcPr>
          <w:p w14:paraId="6093C4ED" w14:textId="77777777" w:rsidR="00BF7697" w:rsidRPr="003D2FA4" w:rsidRDefault="003F4F11" w:rsidP="00B17C79">
            <w:pPr>
              <w:keepNext/>
              <w:keepLines/>
              <w:spacing w:after="0" w:line="240" w:lineRule="auto"/>
              <w:jc w:val="center"/>
              <w:rPr>
                <w:rFonts w:eastAsia="Times New Roman" w:cs="Arial"/>
                <w:b/>
                <w:i/>
                <w:color w:val="FFFFFF"/>
                <w:sz w:val="18"/>
                <w:szCs w:val="18"/>
                <w:lang w:eastAsia="zh-CN" w:bidi="th-TH"/>
              </w:rPr>
            </w:pPr>
            <w:r w:rsidRPr="003D2FA4">
              <w:rPr>
                <w:rFonts w:eastAsia="Times New Roman" w:cs="Arial"/>
                <w:b/>
                <w:i/>
                <w:color w:val="FFFFFF"/>
                <w:sz w:val="18"/>
                <w:szCs w:val="18"/>
                <w:lang w:eastAsia="zh-CN" w:bidi="th-TH"/>
              </w:rPr>
              <w:t>Actual</w:t>
            </w:r>
          </w:p>
        </w:tc>
        <w:tc>
          <w:tcPr>
            <w:tcW w:w="2181" w:type="pct"/>
            <w:gridSpan w:val="5"/>
            <w:tcBorders>
              <w:left w:val="dotted" w:sz="4" w:space="0" w:color="auto"/>
              <w:bottom w:val="single" w:sz="4" w:space="0" w:color="D9D9D9" w:themeColor="background1" w:themeShade="D9"/>
            </w:tcBorders>
            <w:shd w:val="clear" w:color="auto" w:fill="6B2F76"/>
            <w:noWrap/>
            <w:vAlign w:val="center"/>
            <w:hideMark/>
          </w:tcPr>
          <w:p w14:paraId="1FF69636" w14:textId="77777777" w:rsidR="00BF7697" w:rsidRPr="003D2FA4" w:rsidRDefault="00BF7697" w:rsidP="00B17C79">
            <w:pPr>
              <w:keepNext/>
              <w:keepLines/>
              <w:spacing w:after="0" w:line="240" w:lineRule="auto"/>
              <w:jc w:val="center"/>
              <w:rPr>
                <w:rFonts w:eastAsia="Times New Roman" w:cs="Arial"/>
                <w:b/>
                <w:color w:val="FFFFFF"/>
                <w:sz w:val="18"/>
                <w:szCs w:val="18"/>
                <w:lang w:eastAsia="zh-CN" w:bidi="th-TH"/>
              </w:rPr>
            </w:pPr>
            <w:r w:rsidRPr="003D2FA4">
              <w:rPr>
                <w:rFonts w:eastAsia="Times New Roman" w:cs="Arial"/>
                <w:b/>
                <w:color w:val="FFFFFF"/>
                <w:sz w:val="18"/>
                <w:szCs w:val="18"/>
                <w:lang w:eastAsia="zh-CN" w:bidi="th-TH"/>
              </w:rPr>
              <w:t>Projection Year</w:t>
            </w:r>
          </w:p>
        </w:tc>
        <w:tc>
          <w:tcPr>
            <w:tcW w:w="622" w:type="pct"/>
            <w:tcBorders>
              <w:bottom w:val="single" w:sz="4" w:space="0" w:color="D9D9D9" w:themeColor="background1" w:themeShade="D9"/>
            </w:tcBorders>
            <w:shd w:val="clear" w:color="auto" w:fill="6B2F76"/>
            <w:noWrap/>
            <w:vAlign w:val="bottom"/>
            <w:hideMark/>
          </w:tcPr>
          <w:p w14:paraId="51ED4E7D" w14:textId="77777777" w:rsidR="00BF7697" w:rsidRPr="003D2FA4" w:rsidRDefault="00BF7697" w:rsidP="00B17C79">
            <w:pPr>
              <w:keepNext/>
              <w:keepLines/>
              <w:spacing w:after="0" w:line="240" w:lineRule="auto"/>
              <w:jc w:val="center"/>
              <w:rPr>
                <w:rFonts w:eastAsia="Times New Roman" w:cs="Arial"/>
                <w:b/>
                <w:color w:val="FFFFFF"/>
                <w:sz w:val="18"/>
                <w:szCs w:val="18"/>
                <w:lang w:eastAsia="zh-CN" w:bidi="th-TH"/>
              </w:rPr>
            </w:pPr>
            <w:r w:rsidRPr="003D2FA4">
              <w:rPr>
                <w:rFonts w:eastAsia="Times New Roman" w:cs="Arial"/>
                <w:b/>
                <w:color w:val="FFFFFF"/>
                <w:sz w:val="18"/>
                <w:szCs w:val="18"/>
                <w:lang w:eastAsia="zh-CN" w:bidi="th-TH"/>
              </w:rPr>
              <w:t> </w:t>
            </w:r>
          </w:p>
        </w:tc>
      </w:tr>
      <w:tr w:rsidR="00BF7697" w:rsidRPr="003D2FA4" w14:paraId="4809161F" w14:textId="77777777" w:rsidTr="00D72D94">
        <w:trPr>
          <w:trHeight w:val="300"/>
        </w:trPr>
        <w:tc>
          <w:tcPr>
            <w:tcW w:w="1471" w:type="pct"/>
            <w:vMerge/>
            <w:vAlign w:val="center"/>
            <w:hideMark/>
          </w:tcPr>
          <w:p w14:paraId="5CCF70D8" w14:textId="77777777" w:rsidR="00BF7697" w:rsidRPr="003D2FA4" w:rsidRDefault="00BF7697">
            <w:pPr>
              <w:keepNext/>
              <w:keepLines/>
              <w:spacing w:after="0" w:line="240" w:lineRule="auto"/>
              <w:rPr>
                <w:rFonts w:eastAsia="Times New Roman" w:cs="Arial"/>
                <w:b/>
                <w:color w:val="FFFFFF"/>
                <w:sz w:val="18"/>
                <w:szCs w:val="18"/>
                <w:lang w:eastAsia="zh-CN" w:bidi="th-TH"/>
              </w:rPr>
            </w:pPr>
          </w:p>
        </w:tc>
        <w:tc>
          <w:tcPr>
            <w:tcW w:w="727" w:type="pct"/>
            <w:tcBorders>
              <w:right w:val="dotted" w:sz="4" w:space="0" w:color="auto"/>
            </w:tcBorders>
            <w:shd w:val="clear" w:color="auto" w:fill="6B2F76"/>
            <w:vAlign w:val="center"/>
            <w:hideMark/>
          </w:tcPr>
          <w:p w14:paraId="1D28F7AC" w14:textId="77777777" w:rsidR="00BF7697" w:rsidRPr="003D2FA4" w:rsidRDefault="003F4F11" w:rsidP="00B17C79">
            <w:pPr>
              <w:keepNext/>
              <w:keepLines/>
              <w:spacing w:after="0" w:line="240" w:lineRule="auto"/>
              <w:jc w:val="center"/>
              <w:rPr>
                <w:rFonts w:eastAsia="Times New Roman" w:cs="Arial"/>
                <w:b/>
                <w:i/>
                <w:color w:val="FFFFFF"/>
                <w:sz w:val="18"/>
                <w:szCs w:val="18"/>
                <w:lang w:eastAsia="zh-CN" w:bidi="th-TH"/>
              </w:rPr>
            </w:pPr>
            <w:r w:rsidRPr="003D2FA4">
              <w:rPr>
                <w:rFonts w:eastAsia="Times New Roman" w:cs="Arial"/>
                <w:b/>
                <w:i/>
                <w:color w:val="FFFFFF"/>
                <w:sz w:val="18"/>
                <w:szCs w:val="18"/>
                <w:lang w:eastAsia="zh-CN" w:bidi="th-TH"/>
              </w:rPr>
              <w:t>Average</w:t>
            </w:r>
          </w:p>
          <w:p w14:paraId="47B235DC" w14:textId="77777777" w:rsidR="003F4F11" w:rsidRPr="003D2FA4" w:rsidRDefault="003F4F11" w:rsidP="00B17C79">
            <w:pPr>
              <w:keepNext/>
              <w:keepLines/>
              <w:spacing w:after="0" w:line="240" w:lineRule="auto"/>
              <w:jc w:val="center"/>
              <w:rPr>
                <w:rFonts w:eastAsia="Times New Roman" w:cs="Arial"/>
                <w:b/>
                <w:i/>
                <w:color w:val="FFFFFF"/>
                <w:sz w:val="18"/>
                <w:szCs w:val="18"/>
                <w:lang w:eastAsia="zh-CN" w:bidi="th-TH"/>
              </w:rPr>
            </w:pPr>
            <w:r w:rsidRPr="003D2FA4">
              <w:rPr>
                <w:rFonts w:eastAsia="Times New Roman" w:cs="Arial"/>
                <w:b/>
                <w:i/>
                <w:color w:val="FFFFFF"/>
                <w:sz w:val="18"/>
                <w:szCs w:val="18"/>
                <w:lang w:eastAsia="zh-CN" w:bidi="th-TH"/>
              </w:rPr>
              <w:t>2019-22</w:t>
            </w:r>
          </w:p>
        </w:tc>
        <w:tc>
          <w:tcPr>
            <w:tcW w:w="609" w:type="pct"/>
            <w:tcBorders>
              <w:top w:val="single" w:sz="4" w:space="0" w:color="D9D9D9" w:themeColor="background1" w:themeShade="D9"/>
              <w:left w:val="dotted" w:sz="4" w:space="0" w:color="auto"/>
            </w:tcBorders>
            <w:shd w:val="clear" w:color="auto" w:fill="6B2F76"/>
            <w:noWrap/>
            <w:vAlign w:val="center"/>
            <w:hideMark/>
          </w:tcPr>
          <w:p w14:paraId="1AC9117D" w14:textId="77777777" w:rsidR="00BF7697" w:rsidRPr="003D2FA4" w:rsidRDefault="00BF7697" w:rsidP="00B17C79">
            <w:pPr>
              <w:keepNext/>
              <w:keepLines/>
              <w:spacing w:after="0" w:line="240" w:lineRule="auto"/>
              <w:jc w:val="right"/>
              <w:rPr>
                <w:rFonts w:eastAsia="Times New Roman" w:cs="Arial"/>
                <w:b/>
                <w:color w:val="FFFFFF"/>
                <w:sz w:val="18"/>
                <w:szCs w:val="18"/>
                <w:lang w:eastAsia="zh-CN" w:bidi="th-TH"/>
              </w:rPr>
            </w:pPr>
            <w:r w:rsidRPr="003D2FA4">
              <w:rPr>
                <w:rFonts w:eastAsia="Times New Roman" w:cs="Arial"/>
                <w:b/>
                <w:color w:val="FFFFFF"/>
                <w:sz w:val="18"/>
                <w:szCs w:val="18"/>
                <w:lang w:eastAsia="zh-CN" w:bidi="th-TH"/>
              </w:rPr>
              <w:t>2022-23</w:t>
            </w:r>
          </w:p>
        </w:tc>
        <w:tc>
          <w:tcPr>
            <w:tcW w:w="509" w:type="pct"/>
            <w:tcBorders>
              <w:top w:val="single" w:sz="4" w:space="0" w:color="D9D9D9" w:themeColor="background1" w:themeShade="D9"/>
            </w:tcBorders>
            <w:shd w:val="clear" w:color="auto" w:fill="6B2F76"/>
            <w:noWrap/>
            <w:vAlign w:val="center"/>
            <w:hideMark/>
          </w:tcPr>
          <w:p w14:paraId="2EB0B6B6" w14:textId="77777777" w:rsidR="00BF7697" w:rsidRPr="003D2FA4" w:rsidRDefault="00BF7697" w:rsidP="00B17C79">
            <w:pPr>
              <w:keepNext/>
              <w:keepLines/>
              <w:spacing w:after="0" w:line="240" w:lineRule="auto"/>
              <w:jc w:val="right"/>
              <w:rPr>
                <w:rFonts w:eastAsia="Times New Roman" w:cs="Arial"/>
                <w:b/>
                <w:color w:val="FFFFFF"/>
                <w:sz w:val="18"/>
                <w:szCs w:val="18"/>
                <w:lang w:eastAsia="zh-CN" w:bidi="th-TH"/>
              </w:rPr>
            </w:pPr>
            <w:r w:rsidRPr="003D2FA4">
              <w:rPr>
                <w:rFonts w:eastAsia="Times New Roman" w:cs="Arial"/>
                <w:b/>
                <w:color w:val="FFFFFF"/>
                <w:sz w:val="18"/>
                <w:szCs w:val="18"/>
                <w:lang w:eastAsia="zh-CN" w:bidi="th-TH"/>
              </w:rPr>
              <w:t>2023-24</w:t>
            </w:r>
          </w:p>
        </w:tc>
        <w:tc>
          <w:tcPr>
            <w:tcW w:w="554" w:type="pct"/>
            <w:gridSpan w:val="2"/>
            <w:tcBorders>
              <w:top w:val="single" w:sz="4" w:space="0" w:color="D9D9D9" w:themeColor="background1" w:themeShade="D9"/>
            </w:tcBorders>
            <w:shd w:val="clear" w:color="auto" w:fill="6B2F76"/>
            <w:noWrap/>
            <w:vAlign w:val="center"/>
            <w:hideMark/>
          </w:tcPr>
          <w:p w14:paraId="4C5E36D6" w14:textId="77777777" w:rsidR="00BF7697" w:rsidRPr="003D2FA4" w:rsidRDefault="00BF7697" w:rsidP="00B17C79">
            <w:pPr>
              <w:keepNext/>
              <w:keepLines/>
              <w:spacing w:after="0" w:line="240" w:lineRule="auto"/>
              <w:jc w:val="right"/>
              <w:rPr>
                <w:rFonts w:eastAsia="Times New Roman" w:cs="Arial"/>
                <w:b/>
                <w:color w:val="FFFFFF"/>
                <w:sz w:val="18"/>
                <w:szCs w:val="18"/>
                <w:lang w:eastAsia="zh-CN" w:bidi="th-TH"/>
              </w:rPr>
            </w:pPr>
            <w:r w:rsidRPr="003D2FA4">
              <w:rPr>
                <w:rFonts w:eastAsia="Times New Roman" w:cs="Arial"/>
                <w:b/>
                <w:color w:val="FFFFFF"/>
                <w:sz w:val="18"/>
                <w:szCs w:val="18"/>
                <w:lang w:eastAsia="zh-CN" w:bidi="th-TH"/>
              </w:rPr>
              <w:t>2024-25</w:t>
            </w:r>
          </w:p>
        </w:tc>
        <w:tc>
          <w:tcPr>
            <w:tcW w:w="509" w:type="pct"/>
            <w:tcBorders>
              <w:top w:val="single" w:sz="4" w:space="0" w:color="D9D9D9" w:themeColor="background1" w:themeShade="D9"/>
              <w:right w:val="dashSmallGap" w:sz="4" w:space="0" w:color="BFBFBF" w:themeColor="background1" w:themeShade="BF"/>
            </w:tcBorders>
            <w:shd w:val="clear" w:color="auto" w:fill="6B2F76"/>
            <w:noWrap/>
            <w:vAlign w:val="center"/>
            <w:hideMark/>
          </w:tcPr>
          <w:p w14:paraId="556A9DF6" w14:textId="77777777" w:rsidR="00BF7697" w:rsidRPr="003D2FA4" w:rsidRDefault="00BF7697" w:rsidP="00B17C79">
            <w:pPr>
              <w:keepNext/>
              <w:keepLines/>
              <w:spacing w:after="0" w:line="240" w:lineRule="auto"/>
              <w:jc w:val="right"/>
              <w:rPr>
                <w:rFonts w:eastAsia="Times New Roman" w:cs="Arial"/>
                <w:b/>
                <w:color w:val="FFFFFF"/>
                <w:sz w:val="18"/>
                <w:szCs w:val="18"/>
                <w:lang w:eastAsia="zh-CN" w:bidi="th-TH"/>
              </w:rPr>
            </w:pPr>
            <w:r w:rsidRPr="003D2FA4">
              <w:rPr>
                <w:rFonts w:eastAsia="Times New Roman" w:cs="Arial"/>
                <w:b/>
                <w:color w:val="FFFFFF"/>
                <w:sz w:val="18"/>
                <w:szCs w:val="18"/>
                <w:lang w:eastAsia="zh-CN" w:bidi="th-TH"/>
              </w:rPr>
              <w:t>2025-26</w:t>
            </w:r>
          </w:p>
        </w:tc>
        <w:tc>
          <w:tcPr>
            <w:tcW w:w="622" w:type="pct"/>
            <w:tcBorders>
              <w:top w:val="single" w:sz="4" w:space="0" w:color="D9D9D9" w:themeColor="background1" w:themeShade="D9"/>
              <w:left w:val="dashSmallGap" w:sz="4" w:space="0" w:color="BFBFBF" w:themeColor="background1" w:themeShade="BF"/>
            </w:tcBorders>
            <w:shd w:val="clear" w:color="auto" w:fill="6B2F76"/>
            <w:noWrap/>
            <w:vAlign w:val="center"/>
            <w:hideMark/>
          </w:tcPr>
          <w:p w14:paraId="763AC79F" w14:textId="77777777" w:rsidR="00BF7697" w:rsidRPr="003D2FA4" w:rsidRDefault="00BF7697" w:rsidP="00B17C79">
            <w:pPr>
              <w:keepNext/>
              <w:keepLines/>
              <w:spacing w:after="0" w:line="240" w:lineRule="auto"/>
              <w:jc w:val="right"/>
              <w:rPr>
                <w:rFonts w:eastAsia="Times New Roman" w:cs="Arial"/>
                <w:b/>
                <w:color w:val="FFFFFF"/>
                <w:sz w:val="18"/>
                <w:szCs w:val="18"/>
                <w:lang w:eastAsia="zh-CN" w:bidi="th-TH"/>
              </w:rPr>
            </w:pPr>
            <w:r w:rsidRPr="003D2FA4">
              <w:rPr>
                <w:rFonts w:eastAsia="Times New Roman" w:cs="Arial"/>
                <w:b/>
                <w:bCs/>
                <w:color w:val="FFFFFF"/>
                <w:sz w:val="18"/>
                <w:szCs w:val="18"/>
                <w:lang w:eastAsia="zh-CN" w:bidi="th-TH"/>
              </w:rPr>
              <w:t>2031-32</w:t>
            </w:r>
          </w:p>
        </w:tc>
      </w:tr>
      <w:tr w:rsidR="00BF7697" w:rsidRPr="003D2FA4" w14:paraId="2B04668C" w14:textId="77777777" w:rsidTr="00D72D94">
        <w:trPr>
          <w:trHeight w:val="300"/>
        </w:trPr>
        <w:tc>
          <w:tcPr>
            <w:tcW w:w="1471" w:type="pct"/>
            <w:shd w:val="clear" w:color="auto" w:fill="D4C5D7"/>
            <w:noWrap/>
            <w:vAlign w:val="center"/>
            <w:hideMark/>
          </w:tcPr>
          <w:p w14:paraId="1FA28ABD" w14:textId="77777777" w:rsidR="00BF7697" w:rsidRPr="003D2FA4" w:rsidRDefault="00BF7697">
            <w:pPr>
              <w:keepNext/>
              <w:keepLines/>
              <w:spacing w:after="0" w:line="240" w:lineRule="auto"/>
              <w:rPr>
                <w:rFonts w:eastAsia="Times New Roman" w:cs="Arial"/>
                <w:b/>
                <w:color w:val="000000"/>
                <w:sz w:val="18"/>
                <w:szCs w:val="18"/>
                <w:lang w:eastAsia="zh-CN" w:bidi="th-TH"/>
              </w:rPr>
            </w:pPr>
            <w:r w:rsidRPr="003D2FA4">
              <w:rPr>
                <w:rFonts w:eastAsia="Times New Roman" w:cs="Arial"/>
                <w:b/>
                <w:color w:val="000000"/>
                <w:sz w:val="18"/>
                <w:szCs w:val="18"/>
                <w:lang w:eastAsia="zh-CN" w:bidi="th-TH"/>
              </w:rPr>
              <w:t xml:space="preserve">June </w:t>
            </w:r>
            <w:r w:rsidRPr="003D2FA4">
              <w:rPr>
                <w:rFonts w:eastAsia="Times New Roman" w:cs="Arial"/>
                <w:b/>
                <w:bCs/>
                <w:color w:val="000000"/>
                <w:sz w:val="18"/>
                <w:szCs w:val="18"/>
                <w:lang w:eastAsia="zh-CN" w:bidi="th-TH"/>
              </w:rPr>
              <w:t>2021-22</w:t>
            </w:r>
            <w:r w:rsidRPr="003D2FA4">
              <w:rPr>
                <w:rFonts w:eastAsia="Times New Roman" w:cs="Arial"/>
                <w:b/>
                <w:color w:val="000000"/>
                <w:sz w:val="18"/>
                <w:szCs w:val="18"/>
                <w:lang w:eastAsia="zh-CN" w:bidi="th-TH"/>
              </w:rPr>
              <w:t xml:space="preserve"> AFSR</w:t>
            </w:r>
          </w:p>
        </w:tc>
        <w:tc>
          <w:tcPr>
            <w:tcW w:w="727" w:type="pct"/>
            <w:tcBorders>
              <w:right w:val="dotted" w:sz="4" w:space="0" w:color="auto"/>
            </w:tcBorders>
            <w:shd w:val="clear" w:color="auto" w:fill="D4C5D7"/>
            <w:noWrap/>
            <w:vAlign w:val="bottom"/>
            <w:hideMark/>
          </w:tcPr>
          <w:p w14:paraId="39B14895" w14:textId="77777777" w:rsidR="00BF7697" w:rsidRPr="003D2FA4" w:rsidRDefault="00BF7697" w:rsidP="00B17C79">
            <w:pPr>
              <w:keepNext/>
              <w:keepLines/>
              <w:spacing w:after="0" w:line="240" w:lineRule="auto"/>
              <w:rPr>
                <w:rFonts w:eastAsia="Times New Roman" w:cs="Arial"/>
                <w:b/>
                <w:i/>
                <w:color w:val="000000"/>
                <w:sz w:val="18"/>
                <w:szCs w:val="18"/>
                <w:lang w:eastAsia="zh-CN" w:bidi="th-TH"/>
              </w:rPr>
            </w:pPr>
            <w:r w:rsidRPr="003D2FA4">
              <w:rPr>
                <w:rFonts w:eastAsia="Times New Roman" w:cs="Arial"/>
                <w:b/>
                <w:i/>
                <w:color w:val="000000"/>
                <w:sz w:val="18"/>
                <w:szCs w:val="18"/>
                <w:lang w:eastAsia="zh-CN" w:bidi="th-TH"/>
              </w:rPr>
              <w:t> </w:t>
            </w:r>
          </w:p>
        </w:tc>
        <w:tc>
          <w:tcPr>
            <w:tcW w:w="609" w:type="pct"/>
            <w:tcBorders>
              <w:left w:val="dotted" w:sz="4" w:space="0" w:color="auto"/>
            </w:tcBorders>
            <w:shd w:val="clear" w:color="auto" w:fill="D4C5D7"/>
            <w:noWrap/>
            <w:vAlign w:val="center"/>
            <w:hideMark/>
          </w:tcPr>
          <w:p w14:paraId="613A4063" w14:textId="77777777" w:rsidR="00BF7697" w:rsidRPr="003D2FA4" w:rsidRDefault="00BF7697" w:rsidP="00B17C79">
            <w:pPr>
              <w:keepNext/>
              <w:keepLines/>
              <w:spacing w:after="0" w:line="240" w:lineRule="auto"/>
              <w:jc w:val="right"/>
              <w:rPr>
                <w:rFonts w:eastAsia="Times New Roman" w:cs="Arial"/>
                <w:b/>
                <w:color w:val="000000"/>
                <w:sz w:val="18"/>
                <w:szCs w:val="18"/>
                <w:lang w:eastAsia="zh-CN" w:bidi="th-TH"/>
              </w:rPr>
            </w:pPr>
            <w:r w:rsidRPr="003D2FA4">
              <w:rPr>
                <w:rFonts w:eastAsia="Times New Roman" w:cs="Arial"/>
                <w:b/>
                <w:color w:val="000000"/>
                <w:sz w:val="18"/>
                <w:szCs w:val="18"/>
                <w:lang w:eastAsia="zh-CN" w:bidi="th-TH"/>
              </w:rPr>
              <w:t> </w:t>
            </w:r>
          </w:p>
        </w:tc>
        <w:tc>
          <w:tcPr>
            <w:tcW w:w="509" w:type="pct"/>
            <w:shd w:val="clear" w:color="auto" w:fill="D4C5D7"/>
            <w:noWrap/>
            <w:vAlign w:val="center"/>
            <w:hideMark/>
          </w:tcPr>
          <w:p w14:paraId="12C50204" w14:textId="77777777" w:rsidR="00BF7697" w:rsidRPr="003D2FA4" w:rsidRDefault="00BF7697" w:rsidP="00B17C79">
            <w:pPr>
              <w:keepNext/>
              <w:keepLines/>
              <w:spacing w:after="0" w:line="240" w:lineRule="auto"/>
              <w:jc w:val="right"/>
              <w:rPr>
                <w:rFonts w:eastAsia="Times New Roman" w:cs="Arial"/>
                <w:b/>
                <w:color w:val="000000"/>
                <w:sz w:val="18"/>
                <w:szCs w:val="18"/>
                <w:lang w:eastAsia="zh-CN" w:bidi="th-TH"/>
              </w:rPr>
            </w:pPr>
            <w:r w:rsidRPr="003D2FA4">
              <w:rPr>
                <w:rFonts w:eastAsia="Times New Roman" w:cs="Arial"/>
                <w:b/>
                <w:color w:val="000000"/>
                <w:sz w:val="18"/>
                <w:szCs w:val="18"/>
                <w:lang w:eastAsia="zh-CN" w:bidi="th-TH"/>
              </w:rPr>
              <w:t> </w:t>
            </w:r>
          </w:p>
        </w:tc>
        <w:tc>
          <w:tcPr>
            <w:tcW w:w="475" w:type="pct"/>
            <w:shd w:val="clear" w:color="auto" w:fill="D4C5D7"/>
            <w:noWrap/>
            <w:vAlign w:val="center"/>
            <w:hideMark/>
          </w:tcPr>
          <w:p w14:paraId="2AEB0415" w14:textId="77777777" w:rsidR="00BF7697" w:rsidRPr="003D2FA4" w:rsidRDefault="00BF7697" w:rsidP="00B17C79">
            <w:pPr>
              <w:keepNext/>
              <w:keepLines/>
              <w:spacing w:after="0" w:line="240" w:lineRule="auto"/>
              <w:jc w:val="right"/>
              <w:rPr>
                <w:rFonts w:eastAsia="Times New Roman" w:cs="Arial"/>
                <w:b/>
                <w:color w:val="000000"/>
                <w:sz w:val="18"/>
                <w:szCs w:val="18"/>
                <w:lang w:eastAsia="zh-CN" w:bidi="th-TH"/>
              </w:rPr>
            </w:pPr>
            <w:r w:rsidRPr="003D2FA4">
              <w:rPr>
                <w:rFonts w:eastAsia="Times New Roman" w:cs="Arial"/>
                <w:b/>
                <w:color w:val="000000"/>
                <w:sz w:val="18"/>
                <w:szCs w:val="18"/>
                <w:lang w:eastAsia="zh-CN" w:bidi="th-TH"/>
              </w:rPr>
              <w:t> </w:t>
            </w:r>
          </w:p>
        </w:tc>
        <w:tc>
          <w:tcPr>
            <w:tcW w:w="588" w:type="pct"/>
            <w:gridSpan w:val="2"/>
            <w:tcBorders>
              <w:right w:val="dashSmallGap" w:sz="4" w:space="0" w:color="BFBFBF" w:themeColor="background1" w:themeShade="BF"/>
            </w:tcBorders>
            <w:shd w:val="clear" w:color="auto" w:fill="D4C5D7"/>
            <w:noWrap/>
            <w:vAlign w:val="center"/>
            <w:hideMark/>
          </w:tcPr>
          <w:p w14:paraId="15086F0D" w14:textId="77777777" w:rsidR="00BF7697" w:rsidRPr="003D2FA4" w:rsidRDefault="00BF7697" w:rsidP="00B17C79">
            <w:pPr>
              <w:keepNext/>
              <w:keepLines/>
              <w:spacing w:after="0" w:line="240" w:lineRule="auto"/>
              <w:jc w:val="right"/>
              <w:rPr>
                <w:rFonts w:eastAsia="Times New Roman" w:cs="Arial"/>
                <w:b/>
                <w:color w:val="000000"/>
                <w:sz w:val="18"/>
                <w:szCs w:val="18"/>
                <w:lang w:eastAsia="zh-CN" w:bidi="th-TH"/>
              </w:rPr>
            </w:pPr>
            <w:r w:rsidRPr="003D2FA4">
              <w:rPr>
                <w:rFonts w:eastAsia="Times New Roman" w:cs="Arial"/>
                <w:b/>
                <w:color w:val="000000"/>
                <w:sz w:val="18"/>
                <w:szCs w:val="18"/>
                <w:lang w:eastAsia="zh-CN" w:bidi="th-TH"/>
              </w:rPr>
              <w:t> </w:t>
            </w:r>
          </w:p>
        </w:tc>
        <w:tc>
          <w:tcPr>
            <w:tcW w:w="622" w:type="pct"/>
            <w:tcBorders>
              <w:left w:val="dashSmallGap" w:sz="4" w:space="0" w:color="BFBFBF" w:themeColor="background1" w:themeShade="BF"/>
            </w:tcBorders>
            <w:shd w:val="clear" w:color="auto" w:fill="D4C5D7"/>
            <w:noWrap/>
            <w:vAlign w:val="center"/>
            <w:hideMark/>
          </w:tcPr>
          <w:p w14:paraId="7F98FBE4" w14:textId="77777777" w:rsidR="00BF7697" w:rsidRPr="003D2FA4" w:rsidRDefault="00BF7697" w:rsidP="00B17C79">
            <w:pPr>
              <w:keepNext/>
              <w:keepLines/>
              <w:spacing w:after="0" w:line="240" w:lineRule="auto"/>
              <w:jc w:val="right"/>
              <w:rPr>
                <w:rFonts w:eastAsia="Times New Roman" w:cs="Arial"/>
                <w:b/>
                <w:color w:val="000000"/>
                <w:sz w:val="18"/>
                <w:szCs w:val="18"/>
                <w:lang w:eastAsia="zh-CN" w:bidi="th-TH"/>
              </w:rPr>
            </w:pPr>
            <w:r w:rsidRPr="003D2FA4">
              <w:rPr>
                <w:rFonts w:eastAsia="Times New Roman" w:cs="Arial"/>
                <w:b/>
                <w:color w:val="000000"/>
                <w:sz w:val="18"/>
                <w:szCs w:val="18"/>
                <w:lang w:eastAsia="zh-CN" w:bidi="th-TH"/>
              </w:rPr>
              <w:t> </w:t>
            </w:r>
          </w:p>
        </w:tc>
      </w:tr>
      <w:tr w:rsidR="003D2FA4" w:rsidRPr="003D2FA4" w14:paraId="673F6589" w14:textId="77777777" w:rsidTr="00D72D94">
        <w:trPr>
          <w:trHeight w:val="300"/>
        </w:trPr>
        <w:tc>
          <w:tcPr>
            <w:tcW w:w="1471" w:type="pct"/>
            <w:shd w:val="clear" w:color="auto" w:fill="D1D3D4"/>
            <w:noWrap/>
            <w:vAlign w:val="center"/>
            <w:hideMark/>
          </w:tcPr>
          <w:p w14:paraId="62DEC121" w14:textId="77777777" w:rsidR="003D2FA4" w:rsidRPr="003D2FA4" w:rsidRDefault="003D2FA4">
            <w:pPr>
              <w:keepNext/>
              <w:keepLines/>
              <w:spacing w:after="0" w:line="240" w:lineRule="auto"/>
              <w:rPr>
                <w:rFonts w:eastAsia="Times New Roman" w:cs="Arial"/>
                <w:color w:val="000000"/>
                <w:sz w:val="18"/>
                <w:szCs w:val="18"/>
                <w:lang w:eastAsia="zh-CN" w:bidi="th-TH"/>
              </w:rPr>
            </w:pPr>
            <w:r w:rsidRPr="003D2FA4">
              <w:rPr>
                <w:rFonts w:eastAsia="Times New Roman" w:cs="Arial"/>
                <w:color w:val="000000"/>
                <w:sz w:val="18"/>
                <w:szCs w:val="18"/>
                <w:lang w:eastAsia="zh-CN" w:bidi="th-TH"/>
              </w:rPr>
              <w:t>Normal inflation (inc</w:t>
            </w:r>
            <w:r w:rsidR="00F229BD">
              <w:rPr>
                <w:rFonts w:eastAsia="Times New Roman" w:cs="Arial"/>
                <w:color w:val="000000"/>
                <w:sz w:val="18"/>
                <w:szCs w:val="18"/>
                <w:lang w:eastAsia="zh-CN" w:bidi="th-TH"/>
              </w:rPr>
              <w:t>luding</w:t>
            </w:r>
            <w:r w:rsidRPr="003D2FA4">
              <w:rPr>
                <w:rFonts w:eastAsia="Times New Roman" w:cs="Arial"/>
                <w:color w:val="000000"/>
                <w:sz w:val="18"/>
                <w:szCs w:val="18"/>
                <w:lang w:eastAsia="zh-CN" w:bidi="th-TH"/>
              </w:rPr>
              <w:t xml:space="preserve"> APR)</w:t>
            </w:r>
          </w:p>
        </w:tc>
        <w:tc>
          <w:tcPr>
            <w:tcW w:w="727" w:type="pct"/>
            <w:tcBorders>
              <w:right w:val="dotted" w:sz="4" w:space="0" w:color="auto"/>
            </w:tcBorders>
            <w:shd w:val="clear" w:color="auto" w:fill="D1D3D4"/>
            <w:noWrap/>
            <w:vAlign w:val="center"/>
            <w:hideMark/>
          </w:tcPr>
          <w:p w14:paraId="16A3F8A4" w14:textId="77777777" w:rsidR="003D2FA4" w:rsidRPr="003D2FA4" w:rsidRDefault="003D2FA4">
            <w:pPr>
              <w:keepNext/>
              <w:keepLines/>
              <w:spacing w:after="0" w:line="240" w:lineRule="auto"/>
              <w:jc w:val="right"/>
              <w:rPr>
                <w:rFonts w:eastAsia="Times New Roman" w:cs="Arial"/>
                <w:i/>
                <w:color w:val="000000"/>
                <w:sz w:val="18"/>
                <w:szCs w:val="18"/>
                <w:lang w:eastAsia="zh-CN" w:bidi="th-TH"/>
              </w:rPr>
            </w:pPr>
            <w:r w:rsidRPr="00D72D94">
              <w:rPr>
                <w:rFonts w:cs="Arial"/>
                <w:sz w:val="18"/>
                <w:szCs w:val="18"/>
              </w:rPr>
              <w:t>3.2%</w:t>
            </w:r>
          </w:p>
        </w:tc>
        <w:tc>
          <w:tcPr>
            <w:tcW w:w="609" w:type="pct"/>
            <w:tcBorders>
              <w:left w:val="dotted" w:sz="4" w:space="0" w:color="auto"/>
            </w:tcBorders>
            <w:shd w:val="clear" w:color="auto" w:fill="D1D3D4"/>
            <w:noWrap/>
            <w:vAlign w:val="center"/>
            <w:hideMark/>
          </w:tcPr>
          <w:p w14:paraId="2B866367"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7.2%</w:t>
            </w:r>
          </w:p>
        </w:tc>
        <w:tc>
          <w:tcPr>
            <w:tcW w:w="509" w:type="pct"/>
            <w:shd w:val="clear" w:color="auto" w:fill="D1D3D4"/>
            <w:noWrap/>
            <w:vAlign w:val="center"/>
            <w:hideMark/>
          </w:tcPr>
          <w:p w14:paraId="5DA02641"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2.6%</w:t>
            </w:r>
          </w:p>
        </w:tc>
        <w:tc>
          <w:tcPr>
            <w:tcW w:w="554" w:type="pct"/>
            <w:gridSpan w:val="2"/>
            <w:shd w:val="clear" w:color="auto" w:fill="D1D3D4"/>
            <w:noWrap/>
            <w:vAlign w:val="center"/>
            <w:hideMark/>
          </w:tcPr>
          <w:p w14:paraId="63E88286"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3.6%</w:t>
            </w:r>
          </w:p>
        </w:tc>
        <w:tc>
          <w:tcPr>
            <w:tcW w:w="509" w:type="pct"/>
            <w:tcBorders>
              <w:right w:val="dashSmallGap" w:sz="4" w:space="0" w:color="BFBFBF" w:themeColor="background1" w:themeShade="BF"/>
            </w:tcBorders>
            <w:shd w:val="clear" w:color="auto" w:fill="D1D3D4"/>
            <w:noWrap/>
            <w:vAlign w:val="center"/>
            <w:hideMark/>
          </w:tcPr>
          <w:p w14:paraId="69E432A2"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3.6%</w:t>
            </w:r>
          </w:p>
        </w:tc>
        <w:tc>
          <w:tcPr>
            <w:tcW w:w="622" w:type="pct"/>
            <w:tcBorders>
              <w:left w:val="dashSmallGap" w:sz="4" w:space="0" w:color="BFBFBF" w:themeColor="background1" w:themeShade="BF"/>
            </w:tcBorders>
            <w:shd w:val="clear" w:color="auto" w:fill="D1D3D4"/>
            <w:noWrap/>
            <w:vAlign w:val="center"/>
            <w:hideMark/>
          </w:tcPr>
          <w:p w14:paraId="72775687"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3.3%</w:t>
            </w:r>
          </w:p>
        </w:tc>
      </w:tr>
      <w:tr w:rsidR="003D2FA4" w:rsidRPr="003D2FA4" w14:paraId="2BBA1838" w14:textId="77777777" w:rsidTr="00D72D94">
        <w:trPr>
          <w:trHeight w:val="300"/>
        </w:trPr>
        <w:tc>
          <w:tcPr>
            <w:tcW w:w="1471" w:type="pct"/>
            <w:shd w:val="clear" w:color="auto" w:fill="FFFFFF" w:themeFill="background1"/>
            <w:noWrap/>
            <w:vAlign w:val="center"/>
            <w:hideMark/>
          </w:tcPr>
          <w:p w14:paraId="06273993" w14:textId="77777777" w:rsidR="003D2FA4" w:rsidRPr="003D2FA4" w:rsidRDefault="00D72DB6">
            <w:pPr>
              <w:keepNext/>
              <w:keepLines/>
              <w:spacing w:after="0" w:line="240" w:lineRule="auto"/>
              <w:rPr>
                <w:rFonts w:eastAsia="Times New Roman" w:cs="Arial"/>
                <w:sz w:val="18"/>
                <w:szCs w:val="18"/>
                <w:lang w:eastAsia="zh-CN" w:bidi="th-TH"/>
              </w:rPr>
            </w:pPr>
            <w:r>
              <w:rPr>
                <w:rFonts w:eastAsia="Times New Roman" w:cs="Arial"/>
                <w:sz w:val="18"/>
                <w:szCs w:val="18"/>
                <w:lang w:eastAsia="zh-CN" w:bidi="th-TH"/>
              </w:rPr>
              <w:t xml:space="preserve">Additional </w:t>
            </w:r>
            <w:r w:rsidR="003D2FA4" w:rsidRPr="003D2FA4">
              <w:rPr>
                <w:rFonts w:eastAsia="Times New Roman" w:cs="Arial"/>
                <w:sz w:val="18"/>
                <w:szCs w:val="18"/>
                <w:lang w:eastAsia="zh-CN" w:bidi="th-TH"/>
              </w:rPr>
              <w:t>inflation</w:t>
            </w:r>
          </w:p>
        </w:tc>
        <w:tc>
          <w:tcPr>
            <w:tcW w:w="727" w:type="pct"/>
            <w:tcBorders>
              <w:right w:val="dotted" w:sz="4" w:space="0" w:color="auto"/>
            </w:tcBorders>
            <w:shd w:val="clear" w:color="auto" w:fill="FFFFFF" w:themeFill="background1"/>
            <w:noWrap/>
            <w:vAlign w:val="center"/>
            <w:hideMark/>
          </w:tcPr>
          <w:p w14:paraId="29D87919" w14:textId="77777777" w:rsidR="003D2FA4" w:rsidRPr="003D2FA4" w:rsidRDefault="00632D15">
            <w:pPr>
              <w:keepNext/>
              <w:keepLines/>
              <w:spacing w:after="0" w:line="240" w:lineRule="auto"/>
              <w:jc w:val="right"/>
              <w:rPr>
                <w:rFonts w:eastAsia="Times New Roman" w:cs="Arial"/>
                <w:i/>
                <w:sz w:val="18"/>
                <w:szCs w:val="18"/>
                <w:lang w:eastAsia="zh-CN" w:bidi="th-TH"/>
              </w:rPr>
            </w:pPr>
            <w:r>
              <w:rPr>
                <w:rFonts w:cs="Arial"/>
                <w:sz w:val="18"/>
                <w:szCs w:val="18"/>
              </w:rPr>
              <w:t>11.2</w:t>
            </w:r>
            <w:r w:rsidR="003D2FA4" w:rsidRPr="00D72D94">
              <w:rPr>
                <w:rFonts w:cs="Arial"/>
                <w:sz w:val="18"/>
                <w:szCs w:val="18"/>
              </w:rPr>
              <w:t>%</w:t>
            </w:r>
          </w:p>
        </w:tc>
        <w:tc>
          <w:tcPr>
            <w:tcW w:w="609" w:type="pct"/>
            <w:tcBorders>
              <w:left w:val="dotted" w:sz="4" w:space="0" w:color="auto"/>
            </w:tcBorders>
            <w:shd w:val="clear" w:color="auto" w:fill="FFFFFF" w:themeFill="background1"/>
            <w:noWrap/>
            <w:vAlign w:val="center"/>
            <w:hideMark/>
          </w:tcPr>
          <w:p w14:paraId="70AA6C80"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3.4%</w:t>
            </w:r>
          </w:p>
        </w:tc>
        <w:tc>
          <w:tcPr>
            <w:tcW w:w="509" w:type="pct"/>
            <w:shd w:val="clear" w:color="auto" w:fill="FFFFFF" w:themeFill="background1"/>
            <w:noWrap/>
            <w:vAlign w:val="center"/>
            <w:hideMark/>
          </w:tcPr>
          <w:p w14:paraId="55116216"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3.0%</w:t>
            </w:r>
          </w:p>
        </w:tc>
        <w:tc>
          <w:tcPr>
            <w:tcW w:w="554" w:type="pct"/>
            <w:gridSpan w:val="2"/>
            <w:shd w:val="clear" w:color="auto" w:fill="FFFFFF" w:themeFill="background1"/>
            <w:noWrap/>
            <w:vAlign w:val="center"/>
            <w:hideMark/>
          </w:tcPr>
          <w:p w14:paraId="16ECBBF0"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6.0%</w:t>
            </w:r>
          </w:p>
        </w:tc>
        <w:tc>
          <w:tcPr>
            <w:tcW w:w="509" w:type="pct"/>
            <w:tcBorders>
              <w:right w:val="dashSmallGap" w:sz="4" w:space="0" w:color="BFBFBF" w:themeColor="background1" w:themeShade="BF"/>
            </w:tcBorders>
            <w:shd w:val="clear" w:color="auto" w:fill="FFFFFF" w:themeFill="background1"/>
            <w:noWrap/>
            <w:vAlign w:val="center"/>
            <w:hideMark/>
          </w:tcPr>
          <w:p w14:paraId="12F2A6C7"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5.0%</w:t>
            </w:r>
          </w:p>
        </w:tc>
        <w:tc>
          <w:tcPr>
            <w:tcW w:w="622" w:type="pct"/>
            <w:tcBorders>
              <w:left w:val="dashSmallGap" w:sz="4" w:space="0" w:color="BFBFBF" w:themeColor="background1" w:themeShade="BF"/>
            </w:tcBorders>
            <w:shd w:val="clear" w:color="auto" w:fill="FFFFFF" w:themeFill="background1"/>
            <w:noWrap/>
            <w:vAlign w:val="center"/>
            <w:hideMark/>
          </w:tcPr>
          <w:p w14:paraId="01F4E9CD"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2.0%</w:t>
            </w:r>
          </w:p>
        </w:tc>
      </w:tr>
      <w:tr w:rsidR="003D2FA4" w:rsidRPr="003D2FA4" w14:paraId="12ECF70F" w14:textId="77777777" w:rsidTr="00F830E6">
        <w:trPr>
          <w:trHeight w:val="300"/>
        </w:trPr>
        <w:tc>
          <w:tcPr>
            <w:tcW w:w="1471" w:type="pct"/>
            <w:shd w:val="clear" w:color="auto" w:fill="D4C5D7"/>
            <w:noWrap/>
            <w:vAlign w:val="center"/>
            <w:hideMark/>
          </w:tcPr>
          <w:p w14:paraId="1D3FDF69" w14:textId="77777777" w:rsidR="003D2FA4" w:rsidRPr="003D2FA4" w:rsidRDefault="003D2FA4" w:rsidP="00F229BD">
            <w:pPr>
              <w:keepNext/>
              <w:keepLines/>
              <w:spacing w:after="0" w:line="240" w:lineRule="auto"/>
              <w:rPr>
                <w:rFonts w:eastAsia="Times New Roman" w:cs="Arial"/>
                <w:b/>
                <w:color w:val="000000"/>
                <w:sz w:val="18"/>
                <w:szCs w:val="18"/>
                <w:lang w:eastAsia="zh-CN" w:bidi="th-TH"/>
              </w:rPr>
            </w:pPr>
            <w:r w:rsidRPr="003D2FA4">
              <w:rPr>
                <w:rFonts w:eastAsia="Times New Roman" w:cs="Arial"/>
                <w:b/>
                <w:color w:val="000000"/>
                <w:sz w:val="18"/>
                <w:szCs w:val="18"/>
                <w:lang w:eastAsia="zh-CN" w:bidi="th-TH"/>
              </w:rPr>
              <w:t>Total inflation (excl</w:t>
            </w:r>
            <w:r w:rsidR="00F229BD">
              <w:rPr>
                <w:rFonts w:eastAsia="Times New Roman" w:cs="Arial"/>
                <w:b/>
                <w:color w:val="000000"/>
                <w:sz w:val="18"/>
                <w:szCs w:val="18"/>
                <w:lang w:eastAsia="zh-CN" w:bidi="th-TH"/>
              </w:rPr>
              <w:t>uding</w:t>
            </w:r>
            <w:r w:rsidRPr="003D2FA4">
              <w:rPr>
                <w:rFonts w:eastAsia="Times New Roman" w:cs="Arial"/>
                <w:b/>
                <w:color w:val="000000"/>
                <w:sz w:val="18"/>
                <w:szCs w:val="18"/>
                <w:lang w:eastAsia="zh-CN" w:bidi="th-TH"/>
              </w:rPr>
              <w:t xml:space="preserve"> change in mix)</w:t>
            </w:r>
          </w:p>
        </w:tc>
        <w:tc>
          <w:tcPr>
            <w:tcW w:w="727" w:type="pct"/>
            <w:tcBorders>
              <w:right w:val="dotted" w:sz="4" w:space="0" w:color="auto"/>
            </w:tcBorders>
            <w:shd w:val="clear" w:color="auto" w:fill="D4C5D7"/>
            <w:noWrap/>
            <w:vAlign w:val="center"/>
            <w:hideMark/>
          </w:tcPr>
          <w:p w14:paraId="366A7911" w14:textId="77777777" w:rsidR="003D2FA4" w:rsidRPr="003D2FA4" w:rsidRDefault="00632D15">
            <w:pPr>
              <w:keepNext/>
              <w:keepLines/>
              <w:spacing w:after="0" w:line="240" w:lineRule="auto"/>
              <w:jc w:val="right"/>
              <w:rPr>
                <w:rFonts w:eastAsia="Times New Roman" w:cs="Arial"/>
                <w:b/>
                <w:bCs/>
                <w:i/>
                <w:color w:val="000000"/>
                <w:sz w:val="18"/>
                <w:szCs w:val="18"/>
                <w:lang w:eastAsia="zh-CN" w:bidi="th-TH"/>
              </w:rPr>
            </w:pPr>
            <w:r>
              <w:rPr>
                <w:rFonts w:cs="Arial"/>
                <w:sz w:val="18"/>
                <w:szCs w:val="18"/>
              </w:rPr>
              <w:t>16.6</w:t>
            </w:r>
            <w:r w:rsidR="003D2FA4" w:rsidRPr="00D72D94">
              <w:rPr>
                <w:rFonts w:cs="Arial"/>
                <w:sz w:val="18"/>
                <w:szCs w:val="18"/>
              </w:rPr>
              <w:t>%</w:t>
            </w:r>
          </w:p>
        </w:tc>
        <w:tc>
          <w:tcPr>
            <w:tcW w:w="609" w:type="pct"/>
            <w:tcBorders>
              <w:left w:val="dotted" w:sz="4" w:space="0" w:color="auto"/>
            </w:tcBorders>
            <w:shd w:val="clear" w:color="auto" w:fill="D4C5D7"/>
            <w:noWrap/>
            <w:vAlign w:val="center"/>
            <w:hideMark/>
          </w:tcPr>
          <w:p w14:paraId="2DB34450" w14:textId="77777777" w:rsidR="003D2FA4" w:rsidRPr="003D2FA4" w:rsidRDefault="003D2FA4">
            <w:pPr>
              <w:keepNext/>
              <w:keepLines/>
              <w:spacing w:after="0" w:line="240" w:lineRule="auto"/>
              <w:jc w:val="right"/>
              <w:rPr>
                <w:rFonts w:eastAsia="Times New Roman" w:cs="Arial"/>
                <w:b/>
                <w:color w:val="000000"/>
                <w:sz w:val="18"/>
                <w:szCs w:val="18"/>
                <w:lang w:eastAsia="zh-CN" w:bidi="th-TH"/>
              </w:rPr>
            </w:pPr>
            <w:r w:rsidRPr="00D72D94">
              <w:rPr>
                <w:rFonts w:cs="Arial"/>
                <w:sz w:val="18"/>
                <w:szCs w:val="18"/>
              </w:rPr>
              <w:t>10.6%</w:t>
            </w:r>
          </w:p>
        </w:tc>
        <w:tc>
          <w:tcPr>
            <w:tcW w:w="509" w:type="pct"/>
            <w:shd w:val="clear" w:color="auto" w:fill="D4C5D7"/>
            <w:noWrap/>
            <w:vAlign w:val="center"/>
            <w:hideMark/>
          </w:tcPr>
          <w:p w14:paraId="5150814F" w14:textId="77777777" w:rsidR="003D2FA4" w:rsidRPr="003D2FA4" w:rsidRDefault="003D2FA4">
            <w:pPr>
              <w:keepNext/>
              <w:keepLines/>
              <w:spacing w:after="0" w:line="240" w:lineRule="auto"/>
              <w:jc w:val="right"/>
              <w:rPr>
                <w:rFonts w:eastAsia="Times New Roman" w:cs="Arial"/>
                <w:b/>
                <w:color w:val="000000"/>
                <w:sz w:val="18"/>
                <w:szCs w:val="18"/>
                <w:lang w:eastAsia="zh-CN" w:bidi="th-TH"/>
              </w:rPr>
            </w:pPr>
            <w:r w:rsidRPr="00D72D94">
              <w:rPr>
                <w:rFonts w:cs="Arial"/>
                <w:sz w:val="18"/>
                <w:szCs w:val="18"/>
              </w:rPr>
              <w:t>5.6%</w:t>
            </w:r>
          </w:p>
        </w:tc>
        <w:tc>
          <w:tcPr>
            <w:tcW w:w="554" w:type="pct"/>
            <w:gridSpan w:val="2"/>
            <w:shd w:val="clear" w:color="auto" w:fill="D4C5D7"/>
            <w:noWrap/>
            <w:vAlign w:val="center"/>
            <w:hideMark/>
          </w:tcPr>
          <w:p w14:paraId="187DA225" w14:textId="77777777" w:rsidR="003D2FA4" w:rsidRPr="003D2FA4" w:rsidRDefault="003D2FA4">
            <w:pPr>
              <w:keepNext/>
              <w:keepLines/>
              <w:spacing w:after="0" w:line="240" w:lineRule="auto"/>
              <w:jc w:val="right"/>
              <w:rPr>
                <w:rFonts w:eastAsia="Times New Roman" w:cs="Arial"/>
                <w:b/>
                <w:color w:val="000000"/>
                <w:sz w:val="18"/>
                <w:szCs w:val="18"/>
                <w:lang w:eastAsia="zh-CN" w:bidi="th-TH"/>
              </w:rPr>
            </w:pPr>
            <w:r w:rsidRPr="00D72D94">
              <w:rPr>
                <w:rFonts w:cs="Arial"/>
                <w:sz w:val="18"/>
                <w:szCs w:val="18"/>
              </w:rPr>
              <w:t>9.6%</w:t>
            </w:r>
          </w:p>
        </w:tc>
        <w:tc>
          <w:tcPr>
            <w:tcW w:w="509" w:type="pct"/>
            <w:tcBorders>
              <w:right w:val="dashSmallGap" w:sz="4" w:space="0" w:color="BFBFBF" w:themeColor="background1" w:themeShade="BF"/>
            </w:tcBorders>
            <w:shd w:val="clear" w:color="auto" w:fill="D4C5D7"/>
            <w:noWrap/>
            <w:vAlign w:val="center"/>
            <w:hideMark/>
          </w:tcPr>
          <w:p w14:paraId="26C2353E" w14:textId="77777777" w:rsidR="003D2FA4" w:rsidRPr="003D2FA4" w:rsidRDefault="003D2FA4">
            <w:pPr>
              <w:keepNext/>
              <w:keepLines/>
              <w:spacing w:after="0" w:line="240" w:lineRule="auto"/>
              <w:jc w:val="right"/>
              <w:rPr>
                <w:rFonts w:eastAsia="Times New Roman" w:cs="Arial"/>
                <w:b/>
                <w:color w:val="000000"/>
                <w:sz w:val="18"/>
                <w:szCs w:val="18"/>
                <w:lang w:eastAsia="zh-CN" w:bidi="th-TH"/>
              </w:rPr>
            </w:pPr>
            <w:r w:rsidRPr="00D72D94">
              <w:rPr>
                <w:rFonts w:cs="Arial"/>
                <w:sz w:val="18"/>
                <w:szCs w:val="18"/>
              </w:rPr>
              <w:t>8.6%</w:t>
            </w:r>
          </w:p>
        </w:tc>
        <w:tc>
          <w:tcPr>
            <w:tcW w:w="622" w:type="pct"/>
            <w:tcBorders>
              <w:left w:val="dashSmallGap" w:sz="4" w:space="0" w:color="BFBFBF" w:themeColor="background1" w:themeShade="BF"/>
            </w:tcBorders>
            <w:shd w:val="clear" w:color="auto" w:fill="D4C5D7"/>
            <w:noWrap/>
            <w:vAlign w:val="center"/>
            <w:hideMark/>
          </w:tcPr>
          <w:p w14:paraId="03815029" w14:textId="77777777" w:rsidR="003D2FA4" w:rsidRPr="003D2FA4" w:rsidRDefault="003D2FA4">
            <w:pPr>
              <w:keepNext/>
              <w:keepLines/>
              <w:spacing w:after="0" w:line="240" w:lineRule="auto"/>
              <w:jc w:val="right"/>
              <w:rPr>
                <w:rFonts w:eastAsia="Times New Roman" w:cs="Arial"/>
                <w:b/>
                <w:color w:val="000000"/>
                <w:sz w:val="18"/>
                <w:szCs w:val="18"/>
                <w:lang w:eastAsia="zh-CN" w:bidi="th-TH"/>
              </w:rPr>
            </w:pPr>
            <w:r w:rsidRPr="00D72D94">
              <w:rPr>
                <w:rFonts w:cs="Arial"/>
                <w:sz w:val="18"/>
                <w:szCs w:val="18"/>
              </w:rPr>
              <w:t>5.3%</w:t>
            </w:r>
          </w:p>
        </w:tc>
      </w:tr>
      <w:tr w:rsidR="003D2FA4" w:rsidRPr="003D2FA4" w14:paraId="2A40008C" w14:textId="77777777" w:rsidTr="00D72D94">
        <w:trPr>
          <w:trHeight w:val="300"/>
        </w:trPr>
        <w:tc>
          <w:tcPr>
            <w:tcW w:w="1471" w:type="pct"/>
            <w:tcBorders>
              <w:bottom w:val="single" w:sz="4" w:space="0" w:color="auto"/>
            </w:tcBorders>
            <w:shd w:val="clear" w:color="auto" w:fill="FFFFFF" w:themeFill="background1"/>
            <w:noWrap/>
            <w:vAlign w:val="center"/>
            <w:hideMark/>
          </w:tcPr>
          <w:p w14:paraId="27CEBCD6" w14:textId="77777777" w:rsidR="003D2FA4" w:rsidRPr="003D2FA4" w:rsidRDefault="003D2FA4" w:rsidP="00ED4E05">
            <w:pPr>
              <w:keepNext/>
              <w:keepLines/>
              <w:spacing w:after="0" w:line="240" w:lineRule="auto"/>
              <w:rPr>
                <w:rFonts w:eastAsia="Times New Roman" w:cs="Arial"/>
                <w:sz w:val="18"/>
                <w:szCs w:val="18"/>
                <w:lang w:eastAsia="zh-CN" w:bidi="th-TH"/>
              </w:rPr>
            </w:pPr>
            <w:r w:rsidRPr="003D2FA4">
              <w:rPr>
                <w:rFonts w:eastAsia="Times New Roman" w:cs="Arial"/>
                <w:sz w:val="18"/>
                <w:szCs w:val="18"/>
                <w:lang w:eastAsia="zh-CN" w:bidi="th-TH"/>
              </w:rPr>
              <w:t xml:space="preserve">Change in </w:t>
            </w:r>
            <w:r w:rsidR="00457995">
              <w:rPr>
                <w:rFonts w:eastAsia="Times New Roman" w:cs="Arial"/>
                <w:sz w:val="18"/>
                <w:szCs w:val="18"/>
                <w:lang w:eastAsia="zh-CN" w:bidi="th-TH"/>
              </w:rPr>
              <w:t>m</w:t>
            </w:r>
            <w:r w:rsidRPr="003D2FA4">
              <w:rPr>
                <w:rFonts w:eastAsia="Times New Roman" w:cs="Arial"/>
                <w:sz w:val="18"/>
                <w:szCs w:val="18"/>
                <w:lang w:eastAsia="zh-CN" w:bidi="th-TH"/>
              </w:rPr>
              <w:t>ix</w:t>
            </w:r>
          </w:p>
        </w:tc>
        <w:tc>
          <w:tcPr>
            <w:tcW w:w="727" w:type="pct"/>
            <w:tcBorders>
              <w:bottom w:val="single" w:sz="4" w:space="0" w:color="auto"/>
              <w:right w:val="dotted" w:sz="4" w:space="0" w:color="auto"/>
            </w:tcBorders>
            <w:shd w:val="clear" w:color="auto" w:fill="FFFFFF" w:themeFill="background1"/>
            <w:noWrap/>
            <w:vAlign w:val="center"/>
            <w:hideMark/>
          </w:tcPr>
          <w:p w14:paraId="412F3509" w14:textId="77777777" w:rsidR="003D2FA4" w:rsidRPr="003D2FA4" w:rsidRDefault="00632D15">
            <w:pPr>
              <w:keepNext/>
              <w:keepLines/>
              <w:spacing w:after="0" w:line="240" w:lineRule="auto"/>
              <w:jc w:val="right"/>
              <w:rPr>
                <w:rFonts w:eastAsia="Times New Roman" w:cs="Arial"/>
                <w:i/>
                <w:color w:val="000000"/>
                <w:sz w:val="18"/>
                <w:szCs w:val="18"/>
                <w:lang w:eastAsia="zh-CN" w:bidi="th-TH"/>
              </w:rPr>
            </w:pPr>
            <w:r>
              <w:rPr>
                <w:rFonts w:cs="Arial"/>
                <w:sz w:val="18"/>
                <w:szCs w:val="18"/>
              </w:rPr>
              <w:t>-7.4</w:t>
            </w:r>
            <w:r w:rsidR="003D2FA4" w:rsidRPr="00D72D94">
              <w:rPr>
                <w:rFonts w:cs="Arial"/>
                <w:sz w:val="18"/>
                <w:szCs w:val="18"/>
              </w:rPr>
              <w:t>%</w:t>
            </w:r>
          </w:p>
        </w:tc>
        <w:tc>
          <w:tcPr>
            <w:tcW w:w="609" w:type="pct"/>
            <w:tcBorders>
              <w:left w:val="dotted" w:sz="4" w:space="0" w:color="auto"/>
              <w:bottom w:val="single" w:sz="4" w:space="0" w:color="auto"/>
            </w:tcBorders>
            <w:shd w:val="clear" w:color="auto" w:fill="FFFFFF" w:themeFill="background1"/>
            <w:noWrap/>
            <w:vAlign w:val="center"/>
            <w:hideMark/>
          </w:tcPr>
          <w:p w14:paraId="4B126533"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-2.7%</w:t>
            </w:r>
          </w:p>
        </w:tc>
        <w:tc>
          <w:tcPr>
            <w:tcW w:w="509" w:type="pct"/>
            <w:tcBorders>
              <w:bottom w:val="single" w:sz="4" w:space="0" w:color="auto"/>
            </w:tcBorders>
            <w:shd w:val="clear" w:color="auto" w:fill="FFFFFF" w:themeFill="background1"/>
            <w:noWrap/>
            <w:vAlign w:val="center"/>
            <w:hideMark/>
          </w:tcPr>
          <w:p w14:paraId="1BC12195"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-3.3%</w:t>
            </w:r>
          </w:p>
        </w:tc>
        <w:tc>
          <w:tcPr>
            <w:tcW w:w="554" w:type="pct"/>
            <w:gridSpan w:val="2"/>
            <w:tcBorders>
              <w:bottom w:val="single" w:sz="4" w:space="0" w:color="auto"/>
            </w:tcBorders>
            <w:shd w:val="clear" w:color="auto" w:fill="FFFFFF" w:themeFill="background1"/>
            <w:noWrap/>
            <w:vAlign w:val="center"/>
            <w:hideMark/>
          </w:tcPr>
          <w:p w14:paraId="5B32129D"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-2.5%</w:t>
            </w:r>
          </w:p>
        </w:tc>
        <w:tc>
          <w:tcPr>
            <w:tcW w:w="509" w:type="pct"/>
            <w:tcBorders>
              <w:bottom w:val="single" w:sz="4" w:space="0" w:color="auto"/>
              <w:right w:val="dashSmallGap" w:sz="4" w:space="0" w:color="BFBFBF" w:themeColor="background1" w:themeShade="BF"/>
            </w:tcBorders>
            <w:shd w:val="clear" w:color="auto" w:fill="FFFFFF" w:themeFill="background1"/>
            <w:noWrap/>
            <w:vAlign w:val="center"/>
            <w:hideMark/>
          </w:tcPr>
          <w:p w14:paraId="2B0107CC"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-1.9%</w:t>
            </w:r>
          </w:p>
        </w:tc>
        <w:tc>
          <w:tcPr>
            <w:tcW w:w="622" w:type="pct"/>
            <w:tcBorders>
              <w:left w:val="dashSmallGap" w:sz="4" w:space="0" w:color="BFBFBF" w:themeColor="background1" w:themeShade="BF"/>
              <w:bottom w:val="single" w:sz="4" w:space="0" w:color="auto"/>
            </w:tcBorders>
            <w:shd w:val="clear" w:color="auto" w:fill="FFFFFF" w:themeFill="background1"/>
            <w:noWrap/>
            <w:vAlign w:val="center"/>
            <w:hideMark/>
          </w:tcPr>
          <w:p w14:paraId="6194F320" w14:textId="77777777" w:rsidR="003D2FA4" w:rsidRPr="003D2FA4" w:rsidRDefault="003D2FA4">
            <w:pPr>
              <w:keepNext/>
              <w:keepLines/>
              <w:spacing w:after="0" w:line="240" w:lineRule="auto"/>
              <w:jc w:val="right"/>
              <w:rPr>
                <w:rFonts w:eastAsia="Times New Roman" w:cs="Arial"/>
                <w:color w:val="000000"/>
                <w:sz w:val="18"/>
                <w:szCs w:val="18"/>
                <w:lang w:eastAsia="zh-CN" w:bidi="th-TH"/>
              </w:rPr>
            </w:pPr>
            <w:r w:rsidRPr="00D72D94">
              <w:rPr>
                <w:rFonts w:cs="Arial"/>
                <w:sz w:val="18"/>
                <w:szCs w:val="18"/>
              </w:rPr>
              <w:t>-0.4%</w:t>
            </w:r>
          </w:p>
        </w:tc>
      </w:tr>
      <w:tr w:rsidR="003D2FA4" w:rsidRPr="003D2FA4" w14:paraId="57C8B7FD" w14:textId="77777777" w:rsidTr="00D72D94">
        <w:trPr>
          <w:trHeight w:val="300"/>
        </w:trPr>
        <w:tc>
          <w:tcPr>
            <w:tcW w:w="1471" w:type="pct"/>
            <w:tcBorders>
              <w:top w:val="single" w:sz="4" w:space="0" w:color="auto"/>
              <w:bottom w:val="single" w:sz="4" w:space="0" w:color="auto"/>
            </w:tcBorders>
            <w:shd w:val="clear" w:color="auto" w:fill="D4C5D7"/>
            <w:noWrap/>
            <w:vAlign w:val="center"/>
            <w:hideMark/>
          </w:tcPr>
          <w:p w14:paraId="7461C03D" w14:textId="77777777" w:rsidR="003D2FA4" w:rsidRPr="003D2FA4" w:rsidRDefault="003D2FA4">
            <w:pPr>
              <w:keepNext/>
              <w:keepLines/>
              <w:spacing w:after="0" w:line="240" w:lineRule="auto"/>
              <w:rPr>
                <w:rFonts w:eastAsia="Times New Roman" w:cs="Arial"/>
                <w:b/>
                <w:color w:val="000000"/>
                <w:sz w:val="18"/>
                <w:szCs w:val="18"/>
                <w:lang w:eastAsia="zh-CN" w:bidi="th-TH"/>
              </w:rPr>
            </w:pPr>
            <w:r w:rsidRPr="003D2FA4">
              <w:rPr>
                <w:rFonts w:eastAsia="Times New Roman" w:cs="Arial"/>
                <w:b/>
                <w:color w:val="000000"/>
                <w:sz w:val="18"/>
                <w:szCs w:val="18"/>
                <w:lang w:eastAsia="zh-CN" w:bidi="th-TH"/>
              </w:rPr>
              <w:t>Total Inflation (incl</w:t>
            </w:r>
            <w:r w:rsidR="00F229BD">
              <w:rPr>
                <w:rFonts w:eastAsia="Times New Roman" w:cs="Arial"/>
                <w:b/>
                <w:color w:val="000000"/>
                <w:sz w:val="18"/>
                <w:szCs w:val="18"/>
                <w:lang w:eastAsia="zh-CN" w:bidi="th-TH"/>
              </w:rPr>
              <w:t>uding</w:t>
            </w:r>
            <w:r w:rsidRPr="003D2FA4">
              <w:rPr>
                <w:rFonts w:eastAsia="Times New Roman" w:cs="Arial"/>
                <w:b/>
                <w:color w:val="000000"/>
                <w:sz w:val="18"/>
                <w:szCs w:val="18"/>
                <w:lang w:eastAsia="zh-CN" w:bidi="th-TH"/>
              </w:rPr>
              <w:t xml:space="preserve"> change in mix)</w:t>
            </w:r>
          </w:p>
        </w:tc>
        <w:tc>
          <w:tcPr>
            <w:tcW w:w="727" w:type="pct"/>
            <w:tcBorders>
              <w:top w:val="single" w:sz="4" w:space="0" w:color="auto"/>
              <w:bottom w:val="single" w:sz="4" w:space="0" w:color="auto"/>
              <w:right w:val="dotted" w:sz="4" w:space="0" w:color="auto"/>
            </w:tcBorders>
            <w:shd w:val="clear" w:color="auto" w:fill="D4C5D7"/>
            <w:noWrap/>
            <w:vAlign w:val="center"/>
            <w:hideMark/>
          </w:tcPr>
          <w:p w14:paraId="6518EC01" w14:textId="77777777" w:rsidR="003D2FA4" w:rsidRPr="003D2FA4" w:rsidRDefault="003D2FA4">
            <w:pPr>
              <w:keepNext/>
              <w:keepLines/>
              <w:spacing w:after="0" w:line="240" w:lineRule="auto"/>
              <w:jc w:val="right"/>
              <w:rPr>
                <w:rFonts w:eastAsia="Times New Roman" w:cs="Arial"/>
                <w:b/>
                <w:bCs/>
                <w:i/>
                <w:color w:val="000000"/>
                <w:sz w:val="18"/>
                <w:szCs w:val="18"/>
                <w:lang w:eastAsia="zh-CN" w:bidi="th-TH"/>
              </w:rPr>
            </w:pPr>
            <w:r w:rsidRPr="00D72D94">
              <w:rPr>
                <w:rFonts w:cs="Arial"/>
                <w:sz w:val="18"/>
                <w:szCs w:val="18"/>
              </w:rPr>
              <w:t>9.2%</w:t>
            </w:r>
          </w:p>
        </w:tc>
        <w:tc>
          <w:tcPr>
            <w:tcW w:w="609" w:type="pct"/>
            <w:tcBorders>
              <w:top w:val="single" w:sz="4" w:space="0" w:color="auto"/>
              <w:left w:val="dotted" w:sz="4" w:space="0" w:color="auto"/>
              <w:bottom w:val="single" w:sz="4" w:space="0" w:color="auto"/>
            </w:tcBorders>
            <w:shd w:val="clear" w:color="auto" w:fill="D4C5D7"/>
            <w:noWrap/>
            <w:vAlign w:val="center"/>
            <w:hideMark/>
          </w:tcPr>
          <w:p w14:paraId="0822C858" w14:textId="77777777" w:rsidR="003D2FA4" w:rsidRPr="003D2FA4" w:rsidRDefault="003D2FA4">
            <w:pPr>
              <w:keepNext/>
              <w:keepLines/>
              <w:spacing w:after="0" w:line="240" w:lineRule="auto"/>
              <w:jc w:val="right"/>
              <w:rPr>
                <w:rFonts w:eastAsia="Times New Roman" w:cs="Arial"/>
                <w:b/>
                <w:color w:val="000000"/>
                <w:sz w:val="18"/>
                <w:szCs w:val="18"/>
                <w:lang w:eastAsia="zh-CN" w:bidi="th-TH"/>
              </w:rPr>
            </w:pPr>
            <w:r w:rsidRPr="00D72D94">
              <w:rPr>
                <w:rFonts w:cs="Arial"/>
                <w:sz w:val="18"/>
                <w:szCs w:val="18"/>
              </w:rPr>
              <w:t>7.7%</w:t>
            </w:r>
          </w:p>
        </w:tc>
        <w:tc>
          <w:tcPr>
            <w:tcW w:w="509" w:type="pct"/>
            <w:tcBorders>
              <w:top w:val="single" w:sz="4" w:space="0" w:color="auto"/>
              <w:bottom w:val="single" w:sz="4" w:space="0" w:color="auto"/>
            </w:tcBorders>
            <w:shd w:val="clear" w:color="auto" w:fill="D4C5D7"/>
            <w:noWrap/>
            <w:vAlign w:val="center"/>
            <w:hideMark/>
          </w:tcPr>
          <w:p w14:paraId="396C939D" w14:textId="77777777" w:rsidR="003D2FA4" w:rsidRPr="003D2FA4" w:rsidRDefault="003D2FA4">
            <w:pPr>
              <w:keepNext/>
              <w:keepLines/>
              <w:spacing w:after="0" w:line="240" w:lineRule="auto"/>
              <w:jc w:val="right"/>
              <w:rPr>
                <w:rFonts w:eastAsia="Times New Roman" w:cs="Arial"/>
                <w:b/>
                <w:color w:val="000000"/>
                <w:sz w:val="18"/>
                <w:szCs w:val="18"/>
                <w:lang w:eastAsia="zh-CN" w:bidi="th-TH"/>
              </w:rPr>
            </w:pPr>
            <w:r w:rsidRPr="00D72D94">
              <w:rPr>
                <w:rFonts w:cs="Arial"/>
                <w:sz w:val="18"/>
                <w:szCs w:val="18"/>
              </w:rPr>
              <w:t>2.1%</w:t>
            </w:r>
          </w:p>
        </w:tc>
        <w:tc>
          <w:tcPr>
            <w:tcW w:w="554" w:type="pct"/>
            <w:gridSpan w:val="2"/>
            <w:tcBorders>
              <w:top w:val="single" w:sz="4" w:space="0" w:color="auto"/>
              <w:bottom w:val="single" w:sz="4" w:space="0" w:color="auto"/>
            </w:tcBorders>
            <w:shd w:val="clear" w:color="auto" w:fill="D4C5D7"/>
            <w:noWrap/>
            <w:vAlign w:val="center"/>
            <w:hideMark/>
          </w:tcPr>
          <w:p w14:paraId="1567B7FE" w14:textId="77777777" w:rsidR="003D2FA4" w:rsidRPr="003D2FA4" w:rsidRDefault="003D2FA4">
            <w:pPr>
              <w:keepNext/>
              <w:keepLines/>
              <w:spacing w:after="0" w:line="240" w:lineRule="auto"/>
              <w:jc w:val="right"/>
              <w:rPr>
                <w:rFonts w:eastAsia="Times New Roman" w:cs="Arial"/>
                <w:b/>
                <w:color w:val="000000"/>
                <w:sz w:val="18"/>
                <w:szCs w:val="18"/>
                <w:lang w:eastAsia="zh-CN" w:bidi="th-TH"/>
              </w:rPr>
            </w:pPr>
            <w:r w:rsidRPr="00D72D94">
              <w:rPr>
                <w:rFonts w:cs="Arial"/>
                <w:sz w:val="18"/>
                <w:szCs w:val="18"/>
              </w:rPr>
              <w:t>6.9%</w:t>
            </w:r>
          </w:p>
        </w:tc>
        <w:tc>
          <w:tcPr>
            <w:tcW w:w="509" w:type="pct"/>
            <w:tcBorders>
              <w:top w:val="single" w:sz="4" w:space="0" w:color="auto"/>
              <w:bottom w:val="single" w:sz="4" w:space="0" w:color="auto"/>
              <w:right w:val="dashSmallGap" w:sz="4" w:space="0" w:color="BFBFBF" w:themeColor="background1" w:themeShade="BF"/>
            </w:tcBorders>
            <w:shd w:val="clear" w:color="auto" w:fill="D4C5D7"/>
            <w:noWrap/>
            <w:vAlign w:val="center"/>
            <w:hideMark/>
          </w:tcPr>
          <w:p w14:paraId="470A4977" w14:textId="77777777" w:rsidR="003D2FA4" w:rsidRPr="003D2FA4" w:rsidRDefault="003D2FA4">
            <w:pPr>
              <w:keepNext/>
              <w:keepLines/>
              <w:spacing w:after="0" w:line="240" w:lineRule="auto"/>
              <w:jc w:val="right"/>
              <w:rPr>
                <w:rFonts w:eastAsia="Times New Roman" w:cs="Arial"/>
                <w:b/>
                <w:color w:val="000000"/>
                <w:sz w:val="18"/>
                <w:szCs w:val="18"/>
                <w:lang w:eastAsia="zh-CN" w:bidi="th-TH"/>
              </w:rPr>
            </w:pPr>
            <w:r w:rsidRPr="00D72D94">
              <w:rPr>
                <w:rFonts w:cs="Arial"/>
                <w:sz w:val="18"/>
                <w:szCs w:val="18"/>
              </w:rPr>
              <w:t>6.6%</w:t>
            </w:r>
          </w:p>
        </w:tc>
        <w:tc>
          <w:tcPr>
            <w:tcW w:w="622" w:type="pct"/>
            <w:tcBorders>
              <w:top w:val="single" w:sz="4" w:space="0" w:color="auto"/>
              <w:left w:val="dashSmallGap" w:sz="4" w:space="0" w:color="BFBFBF" w:themeColor="background1" w:themeShade="BF"/>
              <w:bottom w:val="single" w:sz="4" w:space="0" w:color="auto"/>
            </w:tcBorders>
            <w:shd w:val="clear" w:color="auto" w:fill="D4C5D7"/>
            <w:noWrap/>
            <w:vAlign w:val="center"/>
            <w:hideMark/>
          </w:tcPr>
          <w:p w14:paraId="70B12AED" w14:textId="77777777" w:rsidR="003D2FA4" w:rsidRPr="003D2FA4" w:rsidRDefault="003D2FA4">
            <w:pPr>
              <w:keepNext/>
              <w:keepLines/>
              <w:spacing w:after="0" w:line="240" w:lineRule="auto"/>
              <w:jc w:val="right"/>
              <w:rPr>
                <w:rFonts w:eastAsia="Times New Roman" w:cs="Arial"/>
                <w:b/>
                <w:color w:val="000000"/>
                <w:sz w:val="18"/>
                <w:szCs w:val="18"/>
                <w:lang w:eastAsia="zh-CN" w:bidi="th-TH"/>
              </w:rPr>
            </w:pPr>
            <w:r w:rsidRPr="00D72D94">
              <w:rPr>
                <w:rFonts w:cs="Arial"/>
                <w:sz w:val="18"/>
                <w:szCs w:val="18"/>
              </w:rPr>
              <w:t>4.8%</w:t>
            </w:r>
          </w:p>
        </w:tc>
      </w:tr>
    </w:tbl>
    <w:p w14:paraId="4A474258" w14:textId="77777777" w:rsidR="00BF7697" w:rsidRPr="008221D0" w:rsidRDefault="00BF7697" w:rsidP="00C53CDC">
      <w:pPr>
        <w:pStyle w:val="FSRnormal"/>
      </w:pPr>
      <w:r>
        <w:t>Overall higher inflation is projected for the next four years, compared with the 2020-21 AFSR, apart from in 2023-24</w:t>
      </w:r>
      <w:r w:rsidR="00670801">
        <w:t xml:space="preserve"> as shown in </w:t>
      </w:r>
      <w:r w:rsidR="00670801">
        <w:fldChar w:fldCharType="begin"/>
      </w:r>
      <w:r w:rsidR="00670801">
        <w:instrText xml:space="preserve"> REF _Ref113282493 \h </w:instrText>
      </w:r>
      <w:r w:rsidR="00670801">
        <w:fldChar w:fldCharType="separate"/>
      </w:r>
      <w:r w:rsidR="00670801">
        <w:t xml:space="preserve">Figure </w:t>
      </w:r>
      <w:r w:rsidR="00670801">
        <w:rPr>
          <w:noProof/>
        </w:rPr>
        <w:t>5</w:t>
      </w:r>
      <w:r w:rsidR="00670801">
        <w:t>.</w:t>
      </w:r>
      <w:r w:rsidR="00670801">
        <w:rPr>
          <w:noProof/>
        </w:rPr>
        <w:t>11</w:t>
      </w:r>
      <w:r w:rsidR="00670801">
        <w:fldChar w:fldCharType="end"/>
      </w:r>
      <w:r>
        <w:t>.</w:t>
      </w:r>
      <w:r w:rsidR="00623E6B">
        <w:t xml:space="preserve"> </w:t>
      </w:r>
    </w:p>
    <w:p w14:paraId="2AC91737" w14:textId="77777777" w:rsidR="00325CB1" w:rsidRDefault="00BF7697" w:rsidP="00BF7697">
      <w:pPr>
        <w:pStyle w:val="Figures"/>
        <w:rPr>
          <w:noProof/>
        </w:rPr>
      </w:pPr>
      <w:bookmarkStart w:id="232" w:name="_Ref111629357"/>
      <w:bookmarkStart w:id="233" w:name="_Ref113282493"/>
      <w:bookmarkStart w:id="234" w:name="_Ref111901158"/>
      <w:r>
        <w:lastRenderedPageBreak/>
        <w:t xml:space="preserve">Figure </w:t>
      </w:r>
      <w:bookmarkEnd w:id="232"/>
      <w:r w:rsidR="00447AA1">
        <w:fldChar w:fldCharType="begin"/>
      </w:r>
      <w:r w:rsidR="00447AA1">
        <w:instrText xml:space="preserve"> STYLEREF 2 \s </w:instrText>
      </w:r>
      <w:r w:rsidR="00447AA1">
        <w:fldChar w:fldCharType="separate"/>
      </w:r>
      <w:r w:rsidR="00447AA1">
        <w:rPr>
          <w:noProof/>
        </w:rPr>
        <w:t>5</w:t>
      </w:r>
      <w:r w:rsidR="00447AA1">
        <w:fldChar w:fldCharType="end"/>
      </w:r>
      <w:r w:rsidR="00447AA1">
        <w:t>.</w:t>
      </w:r>
      <w:fldSimple w:instr=" SEQ Figure \* ARABIC \s 2 ">
        <w:r w:rsidR="00447AA1">
          <w:rPr>
            <w:noProof/>
          </w:rPr>
          <w:t>11</w:t>
        </w:r>
      </w:fldSimple>
      <w:bookmarkEnd w:id="233"/>
      <w:bookmarkEnd w:id="234"/>
      <w:r>
        <w:t xml:space="preserve">: </w:t>
      </w:r>
      <w:r w:rsidRPr="00D711F6">
        <w:t>Comparison of adopted total inflation with previous review</w:t>
      </w:r>
      <w:r w:rsidRPr="003C7ADA">
        <w:rPr>
          <w:noProof/>
        </w:rPr>
        <w:t xml:space="preserve"> </w:t>
      </w:r>
    </w:p>
    <w:p w14:paraId="7F8C6C5F" w14:textId="77777777" w:rsidR="00BF7697" w:rsidRPr="004E272F" w:rsidRDefault="00325CB1" w:rsidP="00BF7697">
      <w:pPr>
        <w:pStyle w:val="Figures"/>
        <w:rPr>
          <w:highlight w:val="yellow"/>
        </w:rPr>
      </w:pPr>
      <w:r>
        <w:rPr>
          <w:noProof/>
          <w:highlight w:val="yellow"/>
          <w:lang w:eastAsia="en-AU"/>
        </w:rPr>
        <w:drawing>
          <wp:inline distT="0" distB="0" distL="0" distR="0" wp14:anchorId="51DE0543" wp14:editId="4D7CB062">
            <wp:extent cx="5724000" cy="3761451"/>
            <wp:effectExtent l="0" t="0" r="0" b="0"/>
            <wp:docPr id="261" name="Picture 261" descr="Chart shows the additional inflation assumed for the financial year 2022-23 is 7.7% (10.6% excluding change in mix) in the 2021-22 AFSR projection. This compares to 3.5% (8.1% excluding change in mix) assumed in the 2020-21 AFSR projection. The additional inflation assumed for the financial year 2023-24 is 2.1% (5.6% excluding change in mix) in the 2021-22 AFSR projections. This compares to 2.9% (6.2% excluding change in mix) assumed in the 2020-21 AFSR projection. The additional inflation assumed for the financial year 2024-25 is 6.9% (9.6% excluding change in mix) in the 2021-22 AFSR projection. This compares to 1.9% (4.3% excluding change in mix) assumed in the 2020-21 AFSR projection. The additional inflation assumed for the financial year 2025-26 is 6.6% (8.6% excluding change in mix) in the 2021-22 AFSR projection. This compares to 1.5% (3.4% excluding change in mix) assumed in the 2020-21 AFSR projection. The additional inflation assumed for the financial year 2031-32 is 4.8% (5.3% excluding change in mix) in the 2021-22 AFSR projection. This compares to 1.8% (3.3% excluding change in mix) assumed in the 2020-21 AFSR projection." title="Figure 5.11: Comparison of adopted total inflation with previous revie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24000" cy="3761451"/>
                    </a:xfrm>
                    <a:prstGeom prst="rect">
                      <a:avLst/>
                    </a:prstGeom>
                    <a:noFill/>
                  </pic:spPr>
                </pic:pic>
              </a:graphicData>
            </a:graphic>
          </wp:inline>
        </w:drawing>
      </w:r>
    </w:p>
    <w:p w14:paraId="49267F15" w14:textId="77777777" w:rsidR="00BF7697" w:rsidRPr="004E272F" w:rsidRDefault="00BF7697" w:rsidP="00D4199A">
      <w:pPr>
        <w:pStyle w:val="Heading3"/>
        <w:spacing w:before="360"/>
        <w:ind w:left="794" w:hanging="794"/>
      </w:pPr>
      <w:bookmarkStart w:id="235" w:name="_Toc118460206"/>
      <w:r w:rsidRPr="004E272F">
        <w:t>Average payment per participant assumptions after inflation</w:t>
      </w:r>
      <w:bookmarkEnd w:id="235"/>
    </w:p>
    <w:p w14:paraId="64E62B28" w14:textId="77777777" w:rsidR="00BF7697" w:rsidRDefault="000F7D23" w:rsidP="00BF7697">
      <w:pPr>
        <w:pStyle w:val="FSRnormal"/>
        <w:rPr>
          <w:lang w:eastAsia="en-AU"/>
        </w:rPr>
      </w:pPr>
      <w:r w:rsidRPr="00164A79">
        <w:t xml:space="preserve">Table </w:t>
      </w:r>
      <w:r>
        <w:rPr>
          <w:noProof/>
        </w:rPr>
        <w:t>5</w:t>
      </w:r>
      <w:r>
        <w:t>.</w:t>
      </w:r>
      <w:r>
        <w:rPr>
          <w:noProof/>
        </w:rPr>
        <w:t>24</w:t>
      </w:r>
      <w:r w:rsidR="00D40CE8">
        <w:rPr>
          <w:lang w:eastAsia="en-AU"/>
        </w:rPr>
        <w:t xml:space="preserve"> shows t</w:t>
      </w:r>
      <w:r w:rsidR="00BF7697" w:rsidRPr="00B45AC5">
        <w:rPr>
          <w:lang w:eastAsia="en-AU"/>
        </w:rPr>
        <w:t xml:space="preserve">he projected average payment by SIL status and the growth in average payment by year, as well as the components of this growth, split between </w:t>
      </w:r>
      <w:r w:rsidR="00585AA2">
        <w:rPr>
          <w:lang w:eastAsia="en-AU"/>
        </w:rPr>
        <w:t xml:space="preserve">normal </w:t>
      </w:r>
      <w:r w:rsidR="00BF7697" w:rsidRPr="00B45AC5">
        <w:rPr>
          <w:lang w:eastAsia="en-AU"/>
        </w:rPr>
        <w:t>inflation,</w:t>
      </w:r>
      <w:r w:rsidR="00D40CE8">
        <w:rPr>
          <w:lang w:eastAsia="en-AU"/>
        </w:rPr>
        <w:t xml:space="preserve"> additional</w:t>
      </w:r>
      <w:r w:rsidR="00BF7697" w:rsidRPr="00B45AC5">
        <w:rPr>
          <w:lang w:eastAsia="en-AU"/>
        </w:rPr>
        <w:t xml:space="preserve"> inflation, and change in mix. </w:t>
      </w:r>
    </w:p>
    <w:p w14:paraId="6D129843" w14:textId="77777777" w:rsidR="00BF7697" w:rsidRDefault="00BF7697" w:rsidP="00BF7697">
      <w:pPr>
        <w:pStyle w:val="FSRnormal"/>
        <w:rPr>
          <w:lang w:eastAsia="en-AU"/>
        </w:rPr>
      </w:pPr>
      <w:r w:rsidRPr="1282B838">
        <w:rPr>
          <w:lang w:eastAsia="en-AU"/>
        </w:rPr>
        <w:t xml:space="preserve">The projected growth in average </w:t>
      </w:r>
      <w:r w:rsidR="00D40CE8">
        <w:rPr>
          <w:lang w:eastAsia="en-AU"/>
        </w:rPr>
        <w:t xml:space="preserve">payments </w:t>
      </w:r>
      <w:r w:rsidRPr="1282B838">
        <w:rPr>
          <w:lang w:eastAsia="en-AU"/>
        </w:rPr>
        <w:t xml:space="preserve">per participant is expected to be driven by inflation (both normal and </w:t>
      </w:r>
      <w:r w:rsidR="00D40CE8">
        <w:rPr>
          <w:lang w:eastAsia="en-AU"/>
        </w:rPr>
        <w:t>additional</w:t>
      </w:r>
      <w:r w:rsidRPr="1282B838">
        <w:rPr>
          <w:lang w:eastAsia="en-AU"/>
        </w:rPr>
        <w:t>)</w:t>
      </w:r>
      <w:r w:rsidR="00687259">
        <w:rPr>
          <w:lang w:eastAsia="en-AU"/>
        </w:rPr>
        <w:t>,</w:t>
      </w:r>
      <w:r w:rsidRPr="1282B838">
        <w:rPr>
          <w:lang w:eastAsia="en-AU"/>
        </w:rPr>
        <w:t xml:space="preserve"> offset </w:t>
      </w:r>
      <w:r w:rsidR="00395CCA">
        <w:rPr>
          <w:lang w:eastAsia="en-AU"/>
        </w:rPr>
        <w:t xml:space="preserve">by </w:t>
      </w:r>
      <w:r w:rsidRPr="1282B838">
        <w:rPr>
          <w:lang w:eastAsia="en-AU"/>
        </w:rPr>
        <w:t xml:space="preserve">changes in the participant mix, particularly for participants without SIL. Normal inflation includes the impact of the price increases introduced from July 2022 as announced in the 2022-23 Annual Pricing Review, before dropping to long-term levels in subsequent projection years. Further scenarios </w:t>
      </w:r>
      <w:r w:rsidR="00A45774">
        <w:rPr>
          <w:lang w:eastAsia="en-AU"/>
        </w:rPr>
        <w:t xml:space="preserve">based on alternative inflation assumptions </w:t>
      </w:r>
      <w:r w:rsidRPr="1282B838">
        <w:rPr>
          <w:lang w:eastAsia="en-AU"/>
        </w:rPr>
        <w:t xml:space="preserve">are included in </w:t>
      </w:r>
      <w:r w:rsidR="007C270E">
        <w:rPr>
          <w:lang w:eastAsia="en-AU"/>
        </w:rPr>
        <w:t>S</w:t>
      </w:r>
      <w:r w:rsidRPr="1282B838">
        <w:rPr>
          <w:lang w:eastAsia="en-AU"/>
        </w:rPr>
        <w:t>ection</w:t>
      </w:r>
      <w:r w:rsidR="007C270E">
        <w:rPr>
          <w:lang w:eastAsia="en-AU"/>
        </w:rPr>
        <w:t xml:space="preserve"> 6</w:t>
      </w:r>
      <w:r w:rsidR="00A45774">
        <w:rPr>
          <w:lang w:eastAsia="en-AU"/>
        </w:rPr>
        <w:t>.1</w:t>
      </w:r>
      <w:r w:rsidRPr="1282B838">
        <w:rPr>
          <w:lang w:eastAsia="en-AU"/>
        </w:rPr>
        <w:t>.</w:t>
      </w:r>
    </w:p>
    <w:p w14:paraId="7D683068" w14:textId="77777777" w:rsidR="00833F11" w:rsidRDefault="00833F11">
      <w:pPr>
        <w:spacing w:after="160" w:line="259" w:lineRule="auto"/>
        <w:rPr>
          <w:rFonts w:eastAsiaTheme="minorHAnsi"/>
          <w:b/>
          <w:bCs/>
          <w:szCs w:val="18"/>
          <w:lang w:eastAsia="en-US"/>
        </w:rPr>
      </w:pPr>
      <w:bookmarkStart w:id="236" w:name="_Ref111630339"/>
      <w:bookmarkStart w:id="237" w:name="_Ref111901592"/>
      <w:r>
        <w:br w:type="page"/>
      </w:r>
    </w:p>
    <w:p w14:paraId="2115FF8B" w14:textId="77777777" w:rsidR="00BF7697" w:rsidRDefault="00BF7697" w:rsidP="00BF7697">
      <w:pPr>
        <w:pStyle w:val="Tables"/>
      </w:pPr>
      <w:r w:rsidRPr="00164A79">
        <w:lastRenderedPageBreak/>
        <w:t xml:space="preserve">Table </w:t>
      </w:r>
      <w:bookmarkEnd w:id="236"/>
      <w:r w:rsidR="00A87896">
        <w:fldChar w:fldCharType="begin"/>
      </w:r>
      <w:r w:rsidR="00A87896">
        <w:instrText xml:space="preserve"> STYLEREF 2 \s </w:instrText>
      </w:r>
      <w:r w:rsidR="00A87896">
        <w:fldChar w:fldCharType="separate"/>
      </w:r>
      <w:r w:rsidR="00A87896">
        <w:rPr>
          <w:noProof/>
        </w:rPr>
        <w:t>5</w:t>
      </w:r>
      <w:r w:rsidR="00A87896">
        <w:fldChar w:fldCharType="end"/>
      </w:r>
      <w:r w:rsidR="00A87896">
        <w:t>.</w:t>
      </w:r>
      <w:fldSimple w:instr=" SEQ Table \* ARABIC \s 2 ">
        <w:r w:rsidR="00A87896">
          <w:rPr>
            <w:noProof/>
          </w:rPr>
          <w:t>24</w:t>
        </w:r>
      </w:fldSimple>
      <w:bookmarkEnd w:id="237"/>
      <w:r w:rsidRPr="00164A79">
        <w:t>: Average annual payments ($) by SIL status and inflation components</w:t>
      </w:r>
      <w:r w:rsidRPr="00B45AC5">
        <w:t> </w:t>
      </w:r>
    </w:p>
    <w:tbl>
      <w:tblPr>
        <w:tblStyle w:val="FSRtable"/>
        <w:tblW w:w="4997" w:type="pct"/>
        <w:tblInd w:w="5" w:type="dxa"/>
        <w:tblLayout w:type="fixed"/>
        <w:tblLook w:val="04A0" w:firstRow="1" w:lastRow="0" w:firstColumn="1" w:lastColumn="0" w:noHBand="0" w:noVBand="1"/>
      </w:tblPr>
      <w:tblGrid>
        <w:gridCol w:w="2125"/>
        <w:gridCol w:w="992"/>
        <w:gridCol w:w="1061"/>
        <w:gridCol w:w="1212"/>
        <w:gridCol w:w="1212"/>
        <w:gridCol w:w="1212"/>
        <w:gridCol w:w="1207"/>
      </w:tblGrid>
      <w:tr w:rsidR="00BF7697" w:rsidRPr="008778A8" w14:paraId="267B8BE7" w14:textId="77777777" w:rsidTr="00287865">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1177" w:type="pct"/>
            <w:vMerge w:val="restart"/>
            <w:hideMark/>
          </w:tcPr>
          <w:p w14:paraId="63F9316A" w14:textId="77777777" w:rsidR="00BF7697" w:rsidRPr="00D72D94" w:rsidRDefault="00BF7697" w:rsidP="001102D8">
            <w:pPr>
              <w:keepNext/>
              <w:spacing w:after="0" w:line="240" w:lineRule="auto"/>
              <w:rPr>
                <w:rFonts w:eastAsia="Times New Roman"/>
                <w:bCs/>
                <w:sz w:val="18"/>
                <w:szCs w:val="18"/>
                <w:lang w:eastAsia="zh-CN"/>
              </w:rPr>
            </w:pPr>
            <w:r w:rsidRPr="00D72D94">
              <w:rPr>
                <w:rFonts w:eastAsia="Times New Roman"/>
                <w:bCs/>
                <w:sz w:val="18"/>
                <w:szCs w:val="18"/>
                <w:lang w:eastAsia="zh-CN"/>
              </w:rPr>
              <w:t xml:space="preserve">Average </w:t>
            </w:r>
            <w:r w:rsidR="001102D8">
              <w:rPr>
                <w:rFonts w:eastAsia="Times New Roman"/>
                <w:bCs/>
                <w:sz w:val="18"/>
                <w:szCs w:val="18"/>
                <w:lang w:eastAsia="zh-CN"/>
              </w:rPr>
              <w:t xml:space="preserve">Payments </w:t>
            </w:r>
            <w:r w:rsidRPr="00D72D94">
              <w:rPr>
                <w:rFonts w:eastAsia="Times New Roman"/>
                <w:bCs/>
                <w:sz w:val="18"/>
                <w:szCs w:val="18"/>
                <w:lang w:eastAsia="zh-CN"/>
              </w:rPr>
              <w:t>Per Participant ($)</w:t>
            </w:r>
          </w:p>
        </w:tc>
        <w:tc>
          <w:tcPr>
            <w:tcW w:w="549" w:type="pct"/>
            <w:tcBorders>
              <w:top w:val="single" w:sz="4" w:space="0" w:color="auto"/>
              <w:bottom w:val="single" w:sz="4" w:space="0" w:color="FFFFFF" w:themeColor="background1"/>
            </w:tcBorders>
            <w:hideMark/>
          </w:tcPr>
          <w:p w14:paraId="69E99901" w14:textId="77777777" w:rsidR="00BF7697" w:rsidRPr="00D72D94" w:rsidRDefault="00BF7697" w:rsidP="00B17C7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sz w:val="18"/>
                <w:szCs w:val="18"/>
                <w:lang w:eastAsia="zh-CN"/>
              </w:rPr>
            </w:pPr>
            <w:r w:rsidRPr="00D72D94">
              <w:rPr>
                <w:rFonts w:eastAsia="Times New Roman"/>
                <w:bCs/>
                <w:sz w:val="18"/>
                <w:szCs w:val="18"/>
                <w:lang w:eastAsia="zh-CN"/>
              </w:rPr>
              <w:t> </w:t>
            </w:r>
          </w:p>
        </w:tc>
        <w:tc>
          <w:tcPr>
            <w:tcW w:w="3273" w:type="pct"/>
            <w:gridSpan w:val="5"/>
            <w:tcBorders>
              <w:top w:val="single" w:sz="4" w:space="0" w:color="auto"/>
              <w:bottom w:val="single" w:sz="4" w:space="0" w:color="FFFFFF" w:themeColor="background1"/>
            </w:tcBorders>
            <w:noWrap/>
            <w:hideMark/>
          </w:tcPr>
          <w:p w14:paraId="419FB1FA" w14:textId="77777777" w:rsidR="00BF7697" w:rsidRPr="00D72D94" w:rsidRDefault="00BF7697" w:rsidP="00B17C79">
            <w:pPr>
              <w:keepNext/>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zh-CN"/>
              </w:rPr>
            </w:pPr>
            <w:r w:rsidRPr="00D72D94">
              <w:rPr>
                <w:rFonts w:eastAsia="Times New Roman"/>
                <w:bCs/>
                <w:sz w:val="18"/>
                <w:szCs w:val="18"/>
                <w:lang w:eastAsia="zh-CN"/>
              </w:rPr>
              <w:t>Projection Year</w:t>
            </w:r>
          </w:p>
        </w:tc>
      </w:tr>
      <w:tr w:rsidR="00304672" w:rsidRPr="008778A8" w14:paraId="2E286608" w14:textId="77777777" w:rsidTr="00287865">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1177" w:type="pct"/>
            <w:vMerge/>
            <w:hideMark/>
          </w:tcPr>
          <w:p w14:paraId="6CB2ECB7" w14:textId="77777777" w:rsidR="00BF7697" w:rsidRPr="00D72D94" w:rsidRDefault="00BF7697" w:rsidP="00B17C79">
            <w:pPr>
              <w:keepNext/>
              <w:spacing w:after="0" w:line="240" w:lineRule="auto"/>
              <w:rPr>
                <w:rFonts w:eastAsia="Times New Roman"/>
                <w:b w:val="0"/>
                <w:bCs/>
                <w:sz w:val="18"/>
                <w:szCs w:val="18"/>
                <w:lang w:eastAsia="zh-CN"/>
              </w:rPr>
            </w:pPr>
          </w:p>
        </w:tc>
        <w:tc>
          <w:tcPr>
            <w:tcW w:w="549" w:type="pct"/>
            <w:tcBorders>
              <w:top w:val="single" w:sz="4" w:space="0" w:color="FFFFFF" w:themeColor="background1"/>
            </w:tcBorders>
            <w:hideMark/>
          </w:tcPr>
          <w:p w14:paraId="2730137B" w14:textId="77777777" w:rsidR="00BF7697" w:rsidRPr="00191697"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zh-CN"/>
              </w:rPr>
            </w:pPr>
            <w:r w:rsidRPr="00191697">
              <w:rPr>
                <w:rFonts w:eastAsia="Times New Roman"/>
                <w:bCs/>
                <w:sz w:val="18"/>
                <w:szCs w:val="18"/>
                <w:lang w:eastAsia="zh-CN"/>
              </w:rPr>
              <w:t>2021-22</w:t>
            </w:r>
          </w:p>
        </w:tc>
        <w:tc>
          <w:tcPr>
            <w:tcW w:w="588" w:type="pct"/>
            <w:tcBorders>
              <w:top w:val="single" w:sz="4" w:space="0" w:color="FFFFFF" w:themeColor="background1"/>
            </w:tcBorders>
            <w:noWrap/>
            <w:hideMark/>
          </w:tcPr>
          <w:p w14:paraId="7A6817D8" w14:textId="77777777" w:rsidR="00BF7697" w:rsidRPr="00191697"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zh-CN"/>
              </w:rPr>
            </w:pPr>
            <w:r w:rsidRPr="00191697">
              <w:rPr>
                <w:rFonts w:eastAsia="Times New Roman"/>
                <w:bCs/>
                <w:sz w:val="18"/>
                <w:szCs w:val="18"/>
                <w:lang w:eastAsia="zh-CN"/>
              </w:rPr>
              <w:t>2022-23</w:t>
            </w:r>
          </w:p>
        </w:tc>
        <w:tc>
          <w:tcPr>
            <w:tcW w:w="672" w:type="pct"/>
            <w:tcBorders>
              <w:top w:val="single" w:sz="4" w:space="0" w:color="FFFFFF" w:themeColor="background1"/>
            </w:tcBorders>
            <w:noWrap/>
            <w:hideMark/>
          </w:tcPr>
          <w:p w14:paraId="0667A239" w14:textId="77777777" w:rsidR="00BF7697" w:rsidRPr="00191697"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zh-CN"/>
              </w:rPr>
            </w:pPr>
            <w:r w:rsidRPr="00191697">
              <w:rPr>
                <w:rFonts w:eastAsia="Times New Roman"/>
                <w:bCs/>
                <w:sz w:val="18"/>
                <w:szCs w:val="18"/>
                <w:lang w:eastAsia="zh-CN"/>
              </w:rPr>
              <w:t>2023-24</w:t>
            </w:r>
          </w:p>
        </w:tc>
        <w:tc>
          <w:tcPr>
            <w:tcW w:w="672" w:type="pct"/>
            <w:tcBorders>
              <w:top w:val="single" w:sz="4" w:space="0" w:color="FFFFFF" w:themeColor="background1"/>
            </w:tcBorders>
            <w:noWrap/>
            <w:hideMark/>
          </w:tcPr>
          <w:p w14:paraId="50C715C9" w14:textId="77777777" w:rsidR="00BF7697" w:rsidRPr="00191697"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zh-CN"/>
              </w:rPr>
            </w:pPr>
            <w:r w:rsidRPr="00191697">
              <w:rPr>
                <w:rFonts w:eastAsia="Times New Roman"/>
                <w:bCs/>
                <w:sz w:val="18"/>
                <w:szCs w:val="18"/>
                <w:lang w:eastAsia="zh-CN"/>
              </w:rPr>
              <w:t>2024-25</w:t>
            </w:r>
          </w:p>
        </w:tc>
        <w:tc>
          <w:tcPr>
            <w:tcW w:w="672" w:type="pct"/>
            <w:tcBorders>
              <w:top w:val="single" w:sz="4" w:space="0" w:color="FFFFFF" w:themeColor="background1"/>
              <w:right w:val="dotted" w:sz="4" w:space="0" w:color="auto"/>
            </w:tcBorders>
            <w:noWrap/>
            <w:hideMark/>
          </w:tcPr>
          <w:p w14:paraId="009B98E4" w14:textId="77777777" w:rsidR="00BF7697" w:rsidRPr="00191697"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zh-CN"/>
              </w:rPr>
            </w:pPr>
            <w:r w:rsidRPr="00191697">
              <w:rPr>
                <w:rFonts w:eastAsia="Times New Roman"/>
                <w:bCs/>
                <w:sz w:val="18"/>
                <w:szCs w:val="18"/>
                <w:lang w:eastAsia="zh-CN"/>
              </w:rPr>
              <w:t>2025-26</w:t>
            </w:r>
          </w:p>
        </w:tc>
        <w:tc>
          <w:tcPr>
            <w:tcW w:w="670" w:type="pct"/>
            <w:tcBorders>
              <w:top w:val="single" w:sz="4" w:space="0" w:color="FFFFFF" w:themeColor="background1"/>
              <w:left w:val="dotted" w:sz="4" w:space="0" w:color="auto"/>
              <w:bottom w:val="nil"/>
            </w:tcBorders>
            <w:noWrap/>
            <w:hideMark/>
          </w:tcPr>
          <w:p w14:paraId="6C450046" w14:textId="77777777" w:rsidR="00BF7697" w:rsidRPr="00191697"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zh-CN"/>
              </w:rPr>
            </w:pPr>
            <w:r w:rsidRPr="00191697">
              <w:rPr>
                <w:rFonts w:eastAsia="Times New Roman"/>
                <w:bCs/>
                <w:sz w:val="18"/>
                <w:szCs w:val="18"/>
                <w:lang w:eastAsia="zh-CN"/>
              </w:rPr>
              <w:t>2031-32</w:t>
            </w:r>
          </w:p>
        </w:tc>
      </w:tr>
      <w:tr w:rsidR="00BF7697" w:rsidRPr="008778A8" w14:paraId="13394AB5" w14:textId="77777777" w:rsidTr="00287865">
        <w:trPr>
          <w:trHeight w:hRule="exact" w:val="244"/>
        </w:trPr>
        <w:tc>
          <w:tcPr>
            <w:cnfStyle w:val="001000000000" w:firstRow="0" w:lastRow="0" w:firstColumn="1" w:lastColumn="0" w:oddVBand="0" w:evenVBand="0" w:oddHBand="0" w:evenHBand="0" w:firstRowFirstColumn="0" w:firstRowLastColumn="0" w:lastRowFirstColumn="0" w:lastRowLastColumn="0"/>
            <w:tcW w:w="1727" w:type="pct"/>
            <w:gridSpan w:val="2"/>
            <w:shd w:val="clear" w:color="auto" w:fill="D4C5D7"/>
            <w:noWrap/>
            <w:hideMark/>
          </w:tcPr>
          <w:p w14:paraId="5EDF15CC" w14:textId="77777777" w:rsidR="00BF7697" w:rsidRPr="00D72D94" w:rsidRDefault="00BF7697">
            <w:pPr>
              <w:keepNext/>
              <w:spacing w:after="0" w:line="240" w:lineRule="auto"/>
              <w:rPr>
                <w:rFonts w:eastAsia="Times New Roman" w:cs="Arial"/>
                <w:b/>
                <w:bCs/>
                <w:sz w:val="18"/>
                <w:szCs w:val="18"/>
                <w:lang w:eastAsia="zh-CN"/>
              </w:rPr>
            </w:pPr>
            <w:r w:rsidRPr="00D72D94">
              <w:rPr>
                <w:rFonts w:eastAsia="Times New Roman" w:cs="Arial"/>
                <w:b/>
                <w:bCs/>
                <w:sz w:val="18"/>
                <w:szCs w:val="18"/>
                <w:lang w:eastAsia="zh-CN"/>
              </w:rPr>
              <w:t>2021-22 AFSR Projection</w:t>
            </w:r>
          </w:p>
        </w:tc>
        <w:tc>
          <w:tcPr>
            <w:tcW w:w="588" w:type="pct"/>
            <w:shd w:val="clear" w:color="auto" w:fill="D4C5D7"/>
            <w:noWrap/>
            <w:hideMark/>
          </w:tcPr>
          <w:p w14:paraId="2F542B98" w14:textId="77777777" w:rsidR="00BF7697" w:rsidRPr="00D72D94" w:rsidRDefault="00BF7697">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zh-CN"/>
              </w:rPr>
            </w:pPr>
            <w:r w:rsidRPr="00D72D94">
              <w:rPr>
                <w:rFonts w:eastAsia="Times New Roman" w:cs="Arial"/>
                <w:b/>
                <w:bCs/>
                <w:sz w:val="18"/>
                <w:szCs w:val="18"/>
                <w:lang w:eastAsia="zh-CN"/>
              </w:rPr>
              <w:t> </w:t>
            </w:r>
          </w:p>
        </w:tc>
        <w:tc>
          <w:tcPr>
            <w:tcW w:w="672" w:type="pct"/>
            <w:shd w:val="clear" w:color="auto" w:fill="D4C5D7"/>
            <w:noWrap/>
            <w:hideMark/>
          </w:tcPr>
          <w:p w14:paraId="4B19430E" w14:textId="77777777" w:rsidR="00BF7697" w:rsidRPr="00D72D94" w:rsidRDefault="00BF7697">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zh-CN"/>
              </w:rPr>
            </w:pPr>
            <w:r w:rsidRPr="00D72D94">
              <w:rPr>
                <w:rFonts w:eastAsia="Times New Roman" w:cs="Arial"/>
                <w:b/>
                <w:bCs/>
                <w:sz w:val="18"/>
                <w:szCs w:val="18"/>
                <w:lang w:eastAsia="zh-CN"/>
              </w:rPr>
              <w:t> </w:t>
            </w:r>
          </w:p>
        </w:tc>
        <w:tc>
          <w:tcPr>
            <w:tcW w:w="672" w:type="pct"/>
            <w:shd w:val="clear" w:color="auto" w:fill="D4C5D7"/>
            <w:noWrap/>
            <w:hideMark/>
          </w:tcPr>
          <w:p w14:paraId="232E4BF3" w14:textId="77777777" w:rsidR="00BF7697" w:rsidRPr="00D72D94" w:rsidRDefault="00BF7697">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zh-CN"/>
              </w:rPr>
            </w:pPr>
            <w:r w:rsidRPr="00D72D94">
              <w:rPr>
                <w:rFonts w:eastAsia="Times New Roman" w:cs="Arial"/>
                <w:b/>
                <w:bCs/>
                <w:sz w:val="18"/>
                <w:szCs w:val="18"/>
                <w:lang w:eastAsia="zh-CN"/>
              </w:rPr>
              <w:t> </w:t>
            </w:r>
          </w:p>
        </w:tc>
        <w:tc>
          <w:tcPr>
            <w:tcW w:w="672" w:type="pct"/>
            <w:tcBorders>
              <w:right w:val="dotted" w:sz="4" w:space="0" w:color="auto"/>
            </w:tcBorders>
            <w:shd w:val="clear" w:color="auto" w:fill="D4C5D7"/>
            <w:noWrap/>
            <w:hideMark/>
          </w:tcPr>
          <w:p w14:paraId="42247747" w14:textId="77777777" w:rsidR="00BF7697" w:rsidRPr="00D72D94" w:rsidRDefault="00BF7697">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zh-CN"/>
              </w:rPr>
            </w:pPr>
            <w:r w:rsidRPr="00D72D94">
              <w:rPr>
                <w:rFonts w:eastAsia="Times New Roman" w:cs="Arial"/>
                <w:b/>
                <w:bCs/>
                <w:sz w:val="18"/>
                <w:szCs w:val="18"/>
                <w:lang w:eastAsia="zh-CN"/>
              </w:rPr>
              <w:t> </w:t>
            </w:r>
          </w:p>
        </w:tc>
        <w:tc>
          <w:tcPr>
            <w:tcW w:w="670" w:type="pct"/>
            <w:tcBorders>
              <w:top w:val="nil"/>
              <w:left w:val="dotted" w:sz="4" w:space="0" w:color="auto"/>
              <w:bottom w:val="nil"/>
            </w:tcBorders>
            <w:shd w:val="clear" w:color="auto" w:fill="D4C5D7"/>
            <w:noWrap/>
            <w:hideMark/>
          </w:tcPr>
          <w:p w14:paraId="0C00BC02" w14:textId="77777777" w:rsidR="00BF7697" w:rsidRPr="00D72D94" w:rsidRDefault="00BF7697">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18"/>
                <w:szCs w:val="18"/>
                <w:lang w:eastAsia="zh-CN"/>
              </w:rPr>
            </w:pPr>
            <w:r w:rsidRPr="00D72D94">
              <w:rPr>
                <w:rFonts w:eastAsia="Times New Roman" w:cs="Arial"/>
                <w:b/>
                <w:bCs/>
                <w:sz w:val="18"/>
                <w:szCs w:val="18"/>
                <w:lang w:eastAsia="zh-CN"/>
              </w:rPr>
              <w:t> </w:t>
            </w:r>
          </w:p>
        </w:tc>
      </w:tr>
      <w:tr w:rsidR="008778A8" w:rsidRPr="008778A8" w14:paraId="437DED60" w14:textId="77777777" w:rsidTr="00287865">
        <w:trPr>
          <w:cnfStyle w:val="000000010000" w:firstRow="0" w:lastRow="0" w:firstColumn="0" w:lastColumn="0" w:oddVBand="0" w:evenVBand="0" w:oddHBand="0" w:evenHBand="1" w:firstRowFirstColumn="0" w:firstRowLastColumn="0" w:lastRowFirstColumn="0" w:lastRowLastColumn="0"/>
          <w:trHeight w:hRule="exact" w:val="244"/>
        </w:trPr>
        <w:tc>
          <w:tcPr>
            <w:cnfStyle w:val="001000000000" w:firstRow="0" w:lastRow="0" w:firstColumn="1" w:lastColumn="0" w:oddVBand="0" w:evenVBand="0" w:oddHBand="0" w:evenHBand="0" w:firstRowFirstColumn="0" w:firstRowLastColumn="0" w:lastRowFirstColumn="0" w:lastRowLastColumn="0"/>
            <w:tcW w:w="1177" w:type="pct"/>
            <w:noWrap/>
            <w:hideMark/>
          </w:tcPr>
          <w:p w14:paraId="17F3BB27" w14:textId="77777777" w:rsidR="008778A8" w:rsidRPr="00D72D94" w:rsidRDefault="008778A8" w:rsidP="008778A8">
            <w:pPr>
              <w:keepNext/>
              <w:spacing w:after="0" w:line="240" w:lineRule="auto"/>
              <w:rPr>
                <w:rFonts w:eastAsia="Times New Roman" w:cs="Arial"/>
                <w:sz w:val="18"/>
                <w:szCs w:val="18"/>
                <w:lang w:eastAsia="zh-CN"/>
              </w:rPr>
            </w:pPr>
            <w:r w:rsidRPr="00D72D94">
              <w:rPr>
                <w:rFonts w:eastAsia="Times New Roman" w:cs="Arial"/>
                <w:sz w:val="18"/>
                <w:szCs w:val="18"/>
                <w:lang w:eastAsia="zh-CN"/>
              </w:rPr>
              <w:t>Non-SIL</w:t>
            </w:r>
          </w:p>
        </w:tc>
        <w:tc>
          <w:tcPr>
            <w:tcW w:w="549" w:type="pct"/>
            <w:noWrap/>
            <w:hideMark/>
          </w:tcPr>
          <w:p w14:paraId="7C5F7FE3"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72D94">
              <w:rPr>
                <w:rFonts w:cs="Arial"/>
                <w:sz w:val="18"/>
                <w:szCs w:val="18"/>
              </w:rPr>
              <w:t>39,500</w:t>
            </w:r>
          </w:p>
        </w:tc>
        <w:tc>
          <w:tcPr>
            <w:tcW w:w="588" w:type="pct"/>
            <w:noWrap/>
            <w:hideMark/>
          </w:tcPr>
          <w:p w14:paraId="76BA148F"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43,200</w:t>
            </w:r>
          </w:p>
        </w:tc>
        <w:tc>
          <w:tcPr>
            <w:tcW w:w="672" w:type="pct"/>
            <w:noWrap/>
            <w:hideMark/>
          </w:tcPr>
          <w:p w14:paraId="5BB39DC5"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44,400</w:t>
            </w:r>
          </w:p>
        </w:tc>
        <w:tc>
          <w:tcPr>
            <w:tcW w:w="672" w:type="pct"/>
            <w:noWrap/>
            <w:hideMark/>
          </w:tcPr>
          <w:p w14:paraId="14B87718"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47,700</w:t>
            </w:r>
          </w:p>
        </w:tc>
        <w:tc>
          <w:tcPr>
            <w:tcW w:w="672" w:type="pct"/>
            <w:tcBorders>
              <w:right w:val="dotted" w:sz="4" w:space="0" w:color="auto"/>
            </w:tcBorders>
            <w:noWrap/>
            <w:hideMark/>
          </w:tcPr>
          <w:p w14:paraId="03BD961C"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51,000</w:t>
            </w:r>
          </w:p>
        </w:tc>
        <w:tc>
          <w:tcPr>
            <w:tcW w:w="670" w:type="pct"/>
            <w:tcBorders>
              <w:top w:val="nil"/>
              <w:left w:val="dotted" w:sz="4" w:space="0" w:color="auto"/>
              <w:bottom w:val="nil"/>
            </w:tcBorders>
            <w:noWrap/>
            <w:hideMark/>
          </w:tcPr>
          <w:p w14:paraId="1B34611A"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6</w:t>
            </w:r>
            <w:r w:rsidR="00457995">
              <w:rPr>
                <w:rFonts w:cs="Arial"/>
                <w:sz w:val="18"/>
                <w:szCs w:val="18"/>
              </w:rPr>
              <w:t>5</w:t>
            </w:r>
            <w:r w:rsidRPr="00D72D94">
              <w:rPr>
                <w:rFonts w:cs="Arial"/>
                <w:sz w:val="18"/>
                <w:szCs w:val="18"/>
              </w:rPr>
              <w:t>,800</w:t>
            </w:r>
          </w:p>
        </w:tc>
      </w:tr>
      <w:tr w:rsidR="008778A8" w:rsidRPr="008778A8" w14:paraId="494E6491" w14:textId="77777777" w:rsidTr="00287865">
        <w:trPr>
          <w:trHeight w:hRule="exact" w:val="244"/>
        </w:trPr>
        <w:tc>
          <w:tcPr>
            <w:cnfStyle w:val="001000000000" w:firstRow="0" w:lastRow="0" w:firstColumn="1" w:lastColumn="0" w:oddVBand="0" w:evenVBand="0" w:oddHBand="0" w:evenHBand="0" w:firstRowFirstColumn="0" w:firstRowLastColumn="0" w:lastRowFirstColumn="0" w:lastRowLastColumn="0"/>
            <w:tcW w:w="1177" w:type="pct"/>
            <w:tcBorders>
              <w:bottom w:val="single" w:sz="4" w:space="0" w:color="auto"/>
            </w:tcBorders>
            <w:shd w:val="clear" w:color="auto" w:fill="auto"/>
            <w:noWrap/>
            <w:hideMark/>
          </w:tcPr>
          <w:p w14:paraId="510847ED" w14:textId="77777777" w:rsidR="008778A8" w:rsidRPr="00D72D94" w:rsidRDefault="008778A8" w:rsidP="008778A8">
            <w:pPr>
              <w:keepNext/>
              <w:spacing w:after="0" w:line="240" w:lineRule="auto"/>
              <w:rPr>
                <w:rFonts w:eastAsia="Times New Roman" w:cs="Arial"/>
                <w:sz w:val="18"/>
                <w:szCs w:val="18"/>
                <w:lang w:eastAsia="zh-CN"/>
              </w:rPr>
            </w:pPr>
            <w:r w:rsidRPr="00D72D94">
              <w:rPr>
                <w:rFonts w:eastAsia="Times New Roman" w:cs="Arial"/>
                <w:sz w:val="18"/>
                <w:szCs w:val="18"/>
                <w:lang w:eastAsia="zh-CN"/>
              </w:rPr>
              <w:t>SIL</w:t>
            </w:r>
          </w:p>
        </w:tc>
        <w:tc>
          <w:tcPr>
            <w:tcW w:w="549" w:type="pct"/>
            <w:tcBorders>
              <w:bottom w:val="single" w:sz="4" w:space="0" w:color="auto"/>
            </w:tcBorders>
            <w:shd w:val="clear" w:color="auto" w:fill="auto"/>
            <w:noWrap/>
            <w:hideMark/>
          </w:tcPr>
          <w:p w14:paraId="45BC36F3" w14:textId="77777777" w:rsidR="008778A8" w:rsidRPr="00D72D94" w:rsidRDefault="008778A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72D94">
              <w:rPr>
                <w:rFonts w:cs="Arial"/>
                <w:sz w:val="18"/>
                <w:szCs w:val="18"/>
              </w:rPr>
              <w:t>34</w:t>
            </w:r>
            <w:r w:rsidR="00111CAA">
              <w:rPr>
                <w:rFonts w:cs="Arial"/>
                <w:sz w:val="18"/>
                <w:szCs w:val="18"/>
              </w:rPr>
              <w:t>0</w:t>
            </w:r>
            <w:r w:rsidRPr="00D72D94">
              <w:rPr>
                <w:rFonts w:cs="Arial"/>
                <w:sz w:val="18"/>
                <w:szCs w:val="18"/>
              </w:rPr>
              <w:t>,900</w:t>
            </w:r>
          </w:p>
        </w:tc>
        <w:tc>
          <w:tcPr>
            <w:tcW w:w="588" w:type="pct"/>
            <w:tcBorders>
              <w:bottom w:val="single" w:sz="4" w:space="0" w:color="auto"/>
            </w:tcBorders>
            <w:shd w:val="clear" w:color="auto" w:fill="auto"/>
            <w:noWrap/>
            <w:hideMark/>
          </w:tcPr>
          <w:p w14:paraId="6094D8AC" w14:textId="77777777" w:rsidR="008778A8" w:rsidRPr="00D72D94" w:rsidRDefault="008778A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374,600</w:t>
            </w:r>
          </w:p>
        </w:tc>
        <w:tc>
          <w:tcPr>
            <w:tcW w:w="672" w:type="pct"/>
            <w:tcBorders>
              <w:bottom w:val="single" w:sz="4" w:space="0" w:color="auto"/>
            </w:tcBorders>
            <w:shd w:val="clear" w:color="auto" w:fill="auto"/>
            <w:noWrap/>
            <w:hideMark/>
          </w:tcPr>
          <w:p w14:paraId="49493ADD" w14:textId="77777777" w:rsidR="008778A8" w:rsidRPr="00D72D94" w:rsidRDefault="008778A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391,500</w:t>
            </w:r>
          </w:p>
        </w:tc>
        <w:tc>
          <w:tcPr>
            <w:tcW w:w="672" w:type="pct"/>
            <w:tcBorders>
              <w:bottom w:val="single" w:sz="4" w:space="0" w:color="auto"/>
            </w:tcBorders>
            <w:shd w:val="clear" w:color="auto" w:fill="auto"/>
            <w:noWrap/>
            <w:hideMark/>
          </w:tcPr>
          <w:p w14:paraId="19641E35" w14:textId="77777777" w:rsidR="008778A8" w:rsidRPr="00D72D94" w:rsidRDefault="008778A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426,900</w:t>
            </w:r>
          </w:p>
        </w:tc>
        <w:tc>
          <w:tcPr>
            <w:tcW w:w="672" w:type="pct"/>
            <w:tcBorders>
              <w:bottom w:val="single" w:sz="4" w:space="0" w:color="auto"/>
              <w:right w:val="dotted" w:sz="4" w:space="0" w:color="auto"/>
            </w:tcBorders>
            <w:shd w:val="clear" w:color="auto" w:fill="auto"/>
            <w:noWrap/>
            <w:hideMark/>
          </w:tcPr>
          <w:p w14:paraId="30E79CA4" w14:textId="77777777" w:rsidR="008778A8" w:rsidRPr="00D72D94" w:rsidRDefault="008778A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461,300</w:t>
            </w:r>
          </w:p>
        </w:tc>
        <w:tc>
          <w:tcPr>
            <w:tcW w:w="670" w:type="pct"/>
            <w:tcBorders>
              <w:top w:val="nil"/>
              <w:left w:val="dotted" w:sz="4" w:space="0" w:color="auto"/>
              <w:bottom w:val="single" w:sz="4" w:space="0" w:color="auto"/>
            </w:tcBorders>
            <w:shd w:val="clear" w:color="auto" w:fill="auto"/>
            <w:noWrap/>
            <w:hideMark/>
          </w:tcPr>
          <w:p w14:paraId="4070FAB2" w14:textId="77777777" w:rsidR="008778A8" w:rsidRPr="00D72D94" w:rsidRDefault="00457995" w:rsidP="00ED4E0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Pr>
                <w:rFonts w:cs="Arial"/>
                <w:sz w:val="18"/>
                <w:szCs w:val="18"/>
              </w:rPr>
              <w:t>618</w:t>
            </w:r>
            <w:r w:rsidR="008778A8" w:rsidRPr="00D72D94">
              <w:rPr>
                <w:rFonts w:cs="Arial"/>
                <w:sz w:val="18"/>
                <w:szCs w:val="18"/>
              </w:rPr>
              <w:t>,</w:t>
            </w:r>
            <w:r>
              <w:rPr>
                <w:rFonts w:cs="Arial"/>
                <w:sz w:val="18"/>
                <w:szCs w:val="18"/>
              </w:rPr>
              <w:t>6</w:t>
            </w:r>
            <w:r w:rsidR="008778A8" w:rsidRPr="00D72D94">
              <w:rPr>
                <w:rFonts w:cs="Arial"/>
                <w:sz w:val="18"/>
                <w:szCs w:val="18"/>
              </w:rPr>
              <w:t>00</w:t>
            </w:r>
          </w:p>
        </w:tc>
      </w:tr>
      <w:tr w:rsidR="00304672" w:rsidRPr="008778A8" w14:paraId="5942CB01" w14:textId="77777777" w:rsidTr="00287865">
        <w:trPr>
          <w:cnfStyle w:val="000000010000" w:firstRow="0" w:lastRow="0" w:firstColumn="0" w:lastColumn="0" w:oddVBand="0" w:evenVBand="0" w:oddHBand="0" w:evenHBand="1" w:firstRowFirstColumn="0" w:firstRowLastColumn="0" w:lastRowFirstColumn="0" w:lastRowLastColumn="0"/>
          <w:trHeight w:hRule="exact" w:val="244"/>
        </w:trPr>
        <w:tc>
          <w:tcPr>
            <w:cnfStyle w:val="001000000000" w:firstRow="0" w:lastRow="0" w:firstColumn="1" w:lastColumn="0" w:oddVBand="0" w:evenVBand="0" w:oddHBand="0" w:evenHBand="0" w:firstRowFirstColumn="0" w:firstRowLastColumn="0" w:lastRowFirstColumn="0" w:lastRowLastColumn="0"/>
            <w:tcW w:w="1177" w:type="pct"/>
            <w:tcBorders>
              <w:top w:val="single" w:sz="4" w:space="0" w:color="auto"/>
              <w:bottom w:val="single" w:sz="4" w:space="0" w:color="auto"/>
            </w:tcBorders>
            <w:shd w:val="clear" w:color="auto" w:fill="D4C5D7"/>
            <w:noWrap/>
            <w:hideMark/>
          </w:tcPr>
          <w:p w14:paraId="5F74E9B6" w14:textId="77777777" w:rsidR="008778A8" w:rsidRPr="00D72D94" w:rsidRDefault="008778A8" w:rsidP="008778A8">
            <w:pPr>
              <w:keepNext/>
              <w:spacing w:after="0" w:line="240" w:lineRule="auto"/>
              <w:rPr>
                <w:rFonts w:eastAsia="Times New Roman" w:cs="Arial"/>
                <w:b/>
                <w:bCs/>
                <w:color w:val="000000"/>
                <w:sz w:val="18"/>
                <w:szCs w:val="18"/>
                <w:lang w:eastAsia="zh-CN"/>
              </w:rPr>
            </w:pPr>
            <w:r w:rsidRPr="00D72D94">
              <w:rPr>
                <w:rFonts w:eastAsia="Times New Roman" w:cs="Arial"/>
                <w:b/>
                <w:bCs/>
                <w:color w:val="000000"/>
                <w:sz w:val="18"/>
                <w:szCs w:val="18"/>
                <w:lang w:eastAsia="zh-CN"/>
              </w:rPr>
              <w:t>Total</w:t>
            </w:r>
          </w:p>
        </w:tc>
        <w:tc>
          <w:tcPr>
            <w:tcW w:w="549" w:type="pct"/>
            <w:tcBorders>
              <w:top w:val="single" w:sz="4" w:space="0" w:color="auto"/>
              <w:bottom w:val="single" w:sz="4" w:space="0" w:color="auto"/>
            </w:tcBorders>
            <w:shd w:val="clear" w:color="auto" w:fill="D4C5D7"/>
            <w:noWrap/>
            <w:hideMark/>
          </w:tcPr>
          <w:p w14:paraId="2336DF8F"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72D94">
              <w:rPr>
                <w:rFonts w:cs="Arial"/>
                <w:b/>
                <w:sz w:val="18"/>
                <w:szCs w:val="18"/>
              </w:rPr>
              <w:t>55,200</w:t>
            </w:r>
          </w:p>
        </w:tc>
        <w:tc>
          <w:tcPr>
            <w:tcW w:w="588" w:type="pct"/>
            <w:tcBorders>
              <w:top w:val="single" w:sz="4" w:space="0" w:color="auto"/>
              <w:bottom w:val="single" w:sz="4" w:space="0" w:color="auto"/>
            </w:tcBorders>
            <w:shd w:val="clear" w:color="auto" w:fill="D4C5D7"/>
            <w:noWrap/>
            <w:hideMark/>
          </w:tcPr>
          <w:p w14:paraId="0B2B2EC5"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72D94">
              <w:rPr>
                <w:rFonts w:cs="Arial"/>
                <w:b/>
                <w:sz w:val="18"/>
                <w:szCs w:val="18"/>
              </w:rPr>
              <w:t>59,400</w:t>
            </w:r>
          </w:p>
        </w:tc>
        <w:tc>
          <w:tcPr>
            <w:tcW w:w="672" w:type="pct"/>
            <w:tcBorders>
              <w:top w:val="single" w:sz="4" w:space="0" w:color="auto"/>
              <w:bottom w:val="single" w:sz="4" w:space="0" w:color="auto"/>
            </w:tcBorders>
            <w:shd w:val="clear" w:color="auto" w:fill="D4C5D7"/>
            <w:noWrap/>
            <w:hideMark/>
          </w:tcPr>
          <w:p w14:paraId="12ADE96D"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72D94">
              <w:rPr>
                <w:rFonts w:cs="Arial"/>
                <w:b/>
                <w:sz w:val="18"/>
                <w:szCs w:val="18"/>
              </w:rPr>
              <w:t>60,700</w:t>
            </w:r>
          </w:p>
        </w:tc>
        <w:tc>
          <w:tcPr>
            <w:tcW w:w="672" w:type="pct"/>
            <w:tcBorders>
              <w:top w:val="single" w:sz="4" w:space="0" w:color="auto"/>
              <w:bottom w:val="single" w:sz="4" w:space="0" w:color="auto"/>
            </w:tcBorders>
            <w:shd w:val="clear" w:color="auto" w:fill="D4C5D7"/>
            <w:noWrap/>
            <w:hideMark/>
          </w:tcPr>
          <w:p w14:paraId="34E0B45E"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72D94">
              <w:rPr>
                <w:rFonts w:cs="Arial"/>
                <w:b/>
                <w:sz w:val="18"/>
                <w:szCs w:val="18"/>
              </w:rPr>
              <w:t>64,900</w:t>
            </w:r>
          </w:p>
        </w:tc>
        <w:tc>
          <w:tcPr>
            <w:tcW w:w="672" w:type="pct"/>
            <w:tcBorders>
              <w:top w:val="single" w:sz="4" w:space="0" w:color="auto"/>
              <w:bottom w:val="single" w:sz="4" w:space="0" w:color="auto"/>
              <w:right w:val="dotted" w:sz="4" w:space="0" w:color="auto"/>
            </w:tcBorders>
            <w:shd w:val="clear" w:color="auto" w:fill="D4C5D7"/>
            <w:noWrap/>
            <w:hideMark/>
          </w:tcPr>
          <w:p w14:paraId="2B7455B6"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72D94">
              <w:rPr>
                <w:rFonts w:cs="Arial"/>
                <w:b/>
                <w:sz w:val="18"/>
                <w:szCs w:val="18"/>
              </w:rPr>
              <w:t>69,100</w:t>
            </w:r>
          </w:p>
        </w:tc>
        <w:tc>
          <w:tcPr>
            <w:tcW w:w="670" w:type="pct"/>
            <w:tcBorders>
              <w:top w:val="single" w:sz="4" w:space="0" w:color="auto"/>
              <w:left w:val="dotted" w:sz="4" w:space="0" w:color="auto"/>
              <w:bottom w:val="single" w:sz="4" w:space="0" w:color="auto"/>
            </w:tcBorders>
            <w:shd w:val="clear" w:color="auto" w:fill="D4C5D7"/>
            <w:noWrap/>
            <w:hideMark/>
          </w:tcPr>
          <w:p w14:paraId="2908FF9C"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72D94">
              <w:rPr>
                <w:rFonts w:cs="Arial"/>
                <w:b/>
                <w:sz w:val="18"/>
                <w:szCs w:val="18"/>
              </w:rPr>
              <w:t>8</w:t>
            </w:r>
            <w:r w:rsidR="00457995">
              <w:rPr>
                <w:rFonts w:cs="Arial"/>
                <w:b/>
                <w:sz w:val="18"/>
                <w:szCs w:val="18"/>
              </w:rPr>
              <w:t>8,6</w:t>
            </w:r>
            <w:r w:rsidRPr="00D72D94">
              <w:rPr>
                <w:rFonts w:cs="Arial"/>
                <w:b/>
                <w:sz w:val="18"/>
                <w:szCs w:val="18"/>
              </w:rPr>
              <w:t>00</w:t>
            </w:r>
          </w:p>
        </w:tc>
      </w:tr>
    </w:tbl>
    <w:p w14:paraId="7272BC34" w14:textId="77777777" w:rsidR="00287865" w:rsidRDefault="00287865" w:rsidP="00287865">
      <w:pPr>
        <w:pStyle w:val="FSRnormal"/>
        <w:spacing w:before="0" w:after="0"/>
      </w:pPr>
    </w:p>
    <w:tbl>
      <w:tblPr>
        <w:tblStyle w:val="FSRtable"/>
        <w:tblW w:w="4997" w:type="pct"/>
        <w:tblInd w:w="5" w:type="dxa"/>
        <w:tblLayout w:type="fixed"/>
        <w:tblLook w:val="04A0" w:firstRow="1" w:lastRow="0" w:firstColumn="1" w:lastColumn="0" w:noHBand="0" w:noVBand="1"/>
      </w:tblPr>
      <w:tblGrid>
        <w:gridCol w:w="2126"/>
        <w:gridCol w:w="993"/>
        <w:gridCol w:w="1061"/>
        <w:gridCol w:w="1212"/>
        <w:gridCol w:w="1212"/>
        <w:gridCol w:w="1212"/>
        <w:gridCol w:w="1205"/>
      </w:tblGrid>
      <w:tr w:rsidR="00287865" w:rsidRPr="008778A8" w14:paraId="6EDB812B" w14:textId="77777777" w:rsidTr="00287865">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1178" w:type="pct"/>
            <w:vMerge w:val="restart"/>
            <w:hideMark/>
          </w:tcPr>
          <w:p w14:paraId="36AB04BD" w14:textId="77777777" w:rsidR="00287865" w:rsidRPr="00D72D94" w:rsidRDefault="00287865" w:rsidP="009B4009">
            <w:pPr>
              <w:keepNext/>
              <w:spacing w:after="0" w:line="240" w:lineRule="auto"/>
              <w:rPr>
                <w:rFonts w:eastAsia="Times New Roman"/>
                <w:bCs/>
                <w:sz w:val="18"/>
                <w:szCs w:val="18"/>
                <w:lang w:eastAsia="zh-CN"/>
              </w:rPr>
            </w:pPr>
            <w:r w:rsidRPr="00D72D94">
              <w:rPr>
                <w:rFonts w:eastAsia="Times New Roman"/>
                <w:bCs/>
                <w:sz w:val="18"/>
                <w:szCs w:val="18"/>
                <w:lang w:eastAsia="zh-CN"/>
              </w:rPr>
              <w:t xml:space="preserve">Average </w:t>
            </w:r>
            <w:r>
              <w:rPr>
                <w:rFonts w:eastAsia="Times New Roman"/>
                <w:bCs/>
                <w:sz w:val="18"/>
                <w:szCs w:val="18"/>
                <w:lang w:eastAsia="zh-CN"/>
              </w:rPr>
              <w:t xml:space="preserve">Payments </w:t>
            </w:r>
            <w:r w:rsidRPr="00D72D94">
              <w:rPr>
                <w:rFonts w:eastAsia="Times New Roman"/>
                <w:bCs/>
                <w:sz w:val="18"/>
                <w:szCs w:val="18"/>
                <w:lang w:eastAsia="zh-CN"/>
              </w:rPr>
              <w:t>Per Participant ($)</w:t>
            </w:r>
          </w:p>
        </w:tc>
        <w:tc>
          <w:tcPr>
            <w:tcW w:w="550" w:type="pct"/>
            <w:tcBorders>
              <w:top w:val="single" w:sz="4" w:space="0" w:color="auto"/>
              <w:bottom w:val="single" w:sz="4" w:space="0" w:color="FFFFFF" w:themeColor="background1"/>
            </w:tcBorders>
            <w:hideMark/>
          </w:tcPr>
          <w:p w14:paraId="59E18539" w14:textId="77777777" w:rsidR="00287865" w:rsidRPr="00D72D94" w:rsidRDefault="00287865" w:rsidP="009B400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sz w:val="18"/>
                <w:szCs w:val="18"/>
                <w:lang w:eastAsia="zh-CN"/>
              </w:rPr>
            </w:pPr>
            <w:r w:rsidRPr="00D72D94">
              <w:rPr>
                <w:rFonts w:eastAsia="Times New Roman"/>
                <w:bCs/>
                <w:sz w:val="18"/>
                <w:szCs w:val="18"/>
                <w:lang w:eastAsia="zh-CN"/>
              </w:rPr>
              <w:t> </w:t>
            </w:r>
          </w:p>
        </w:tc>
        <w:tc>
          <w:tcPr>
            <w:tcW w:w="3272" w:type="pct"/>
            <w:gridSpan w:val="5"/>
            <w:tcBorders>
              <w:top w:val="single" w:sz="4" w:space="0" w:color="auto"/>
              <w:bottom w:val="single" w:sz="4" w:space="0" w:color="FFFFFF" w:themeColor="background1"/>
            </w:tcBorders>
            <w:noWrap/>
            <w:hideMark/>
          </w:tcPr>
          <w:p w14:paraId="3BC0CF3F" w14:textId="77777777" w:rsidR="00287865" w:rsidRPr="00D72D94" w:rsidRDefault="00287865" w:rsidP="009B4009">
            <w:pPr>
              <w:keepNext/>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zh-CN"/>
              </w:rPr>
            </w:pPr>
            <w:r w:rsidRPr="00D72D94">
              <w:rPr>
                <w:rFonts w:eastAsia="Times New Roman"/>
                <w:bCs/>
                <w:sz w:val="18"/>
                <w:szCs w:val="18"/>
                <w:lang w:eastAsia="zh-CN"/>
              </w:rPr>
              <w:t>Projection Year</w:t>
            </w:r>
          </w:p>
        </w:tc>
      </w:tr>
      <w:tr w:rsidR="00287865" w:rsidRPr="008778A8" w14:paraId="3CEB5402" w14:textId="77777777" w:rsidTr="00287865">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1178" w:type="pct"/>
            <w:vMerge/>
            <w:hideMark/>
          </w:tcPr>
          <w:p w14:paraId="75F7544A" w14:textId="77777777" w:rsidR="00287865" w:rsidRPr="00D72D94" w:rsidRDefault="00287865" w:rsidP="009B4009">
            <w:pPr>
              <w:keepNext/>
              <w:spacing w:after="0" w:line="240" w:lineRule="auto"/>
              <w:rPr>
                <w:rFonts w:eastAsia="Times New Roman"/>
                <w:b w:val="0"/>
                <w:bCs/>
                <w:sz w:val="18"/>
                <w:szCs w:val="18"/>
                <w:lang w:eastAsia="zh-CN"/>
              </w:rPr>
            </w:pPr>
          </w:p>
        </w:tc>
        <w:tc>
          <w:tcPr>
            <w:tcW w:w="550" w:type="pct"/>
            <w:tcBorders>
              <w:top w:val="single" w:sz="4" w:space="0" w:color="FFFFFF" w:themeColor="background1"/>
            </w:tcBorders>
            <w:hideMark/>
          </w:tcPr>
          <w:p w14:paraId="2C699CE3" w14:textId="77777777" w:rsidR="00287865" w:rsidRPr="00191697" w:rsidRDefault="00287865" w:rsidP="009B400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zh-CN"/>
              </w:rPr>
            </w:pPr>
            <w:r w:rsidRPr="00191697">
              <w:rPr>
                <w:rFonts w:eastAsia="Times New Roman"/>
                <w:bCs/>
                <w:sz w:val="18"/>
                <w:szCs w:val="18"/>
                <w:lang w:eastAsia="zh-CN"/>
              </w:rPr>
              <w:t>2021-22</w:t>
            </w:r>
          </w:p>
        </w:tc>
        <w:tc>
          <w:tcPr>
            <w:tcW w:w="588" w:type="pct"/>
            <w:tcBorders>
              <w:top w:val="single" w:sz="4" w:space="0" w:color="FFFFFF" w:themeColor="background1"/>
            </w:tcBorders>
            <w:noWrap/>
            <w:hideMark/>
          </w:tcPr>
          <w:p w14:paraId="6AB469A2" w14:textId="77777777" w:rsidR="00287865" w:rsidRPr="00191697" w:rsidRDefault="00287865" w:rsidP="009B400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zh-CN"/>
              </w:rPr>
            </w:pPr>
            <w:r w:rsidRPr="00191697">
              <w:rPr>
                <w:rFonts w:eastAsia="Times New Roman"/>
                <w:bCs/>
                <w:sz w:val="18"/>
                <w:szCs w:val="18"/>
                <w:lang w:eastAsia="zh-CN"/>
              </w:rPr>
              <w:t>2022-23</w:t>
            </w:r>
          </w:p>
        </w:tc>
        <w:tc>
          <w:tcPr>
            <w:tcW w:w="672" w:type="pct"/>
            <w:tcBorders>
              <w:top w:val="single" w:sz="4" w:space="0" w:color="FFFFFF" w:themeColor="background1"/>
            </w:tcBorders>
            <w:noWrap/>
            <w:hideMark/>
          </w:tcPr>
          <w:p w14:paraId="26455C65" w14:textId="77777777" w:rsidR="00287865" w:rsidRPr="00191697" w:rsidRDefault="00287865" w:rsidP="009B400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zh-CN"/>
              </w:rPr>
            </w:pPr>
            <w:r w:rsidRPr="00191697">
              <w:rPr>
                <w:rFonts w:eastAsia="Times New Roman"/>
                <w:bCs/>
                <w:sz w:val="18"/>
                <w:szCs w:val="18"/>
                <w:lang w:eastAsia="zh-CN"/>
              </w:rPr>
              <w:t>2023-24</w:t>
            </w:r>
          </w:p>
        </w:tc>
        <w:tc>
          <w:tcPr>
            <w:tcW w:w="672" w:type="pct"/>
            <w:tcBorders>
              <w:top w:val="single" w:sz="4" w:space="0" w:color="FFFFFF" w:themeColor="background1"/>
            </w:tcBorders>
            <w:noWrap/>
            <w:hideMark/>
          </w:tcPr>
          <w:p w14:paraId="4DF661C9" w14:textId="77777777" w:rsidR="00287865" w:rsidRPr="00191697" w:rsidRDefault="00287865" w:rsidP="009B400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zh-CN"/>
              </w:rPr>
            </w:pPr>
            <w:r w:rsidRPr="00191697">
              <w:rPr>
                <w:rFonts w:eastAsia="Times New Roman"/>
                <w:bCs/>
                <w:sz w:val="18"/>
                <w:szCs w:val="18"/>
                <w:lang w:eastAsia="zh-CN"/>
              </w:rPr>
              <w:t>2024-25</w:t>
            </w:r>
          </w:p>
        </w:tc>
        <w:tc>
          <w:tcPr>
            <w:tcW w:w="672" w:type="pct"/>
            <w:tcBorders>
              <w:top w:val="single" w:sz="4" w:space="0" w:color="FFFFFF" w:themeColor="background1"/>
              <w:right w:val="dotted" w:sz="4" w:space="0" w:color="auto"/>
            </w:tcBorders>
            <w:noWrap/>
            <w:hideMark/>
          </w:tcPr>
          <w:p w14:paraId="001246B9" w14:textId="77777777" w:rsidR="00287865" w:rsidRPr="00191697" w:rsidRDefault="00287865" w:rsidP="009B400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zh-CN"/>
              </w:rPr>
            </w:pPr>
            <w:r w:rsidRPr="00191697">
              <w:rPr>
                <w:rFonts w:eastAsia="Times New Roman"/>
                <w:bCs/>
                <w:sz w:val="18"/>
                <w:szCs w:val="18"/>
                <w:lang w:eastAsia="zh-CN"/>
              </w:rPr>
              <w:t>2025-26</w:t>
            </w:r>
          </w:p>
        </w:tc>
        <w:tc>
          <w:tcPr>
            <w:tcW w:w="669" w:type="pct"/>
            <w:tcBorders>
              <w:top w:val="single" w:sz="4" w:space="0" w:color="FFFFFF" w:themeColor="background1"/>
              <w:left w:val="dotted" w:sz="4" w:space="0" w:color="auto"/>
              <w:bottom w:val="nil"/>
            </w:tcBorders>
            <w:noWrap/>
            <w:hideMark/>
          </w:tcPr>
          <w:p w14:paraId="582FCD7F" w14:textId="77777777" w:rsidR="00287865" w:rsidRPr="00191697" w:rsidRDefault="00287865" w:rsidP="009B4009">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zh-CN"/>
              </w:rPr>
            </w:pPr>
            <w:r w:rsidRPr="00191697">
              <w:rPr>
                <w:rFonts w:eastAsia="Times New Roman"/>
                <w:bCs/>
                <w:sz w:val="18"/>
                <w:szCs w:val="18"/>
                <w:lang w:eastAsia="zh-CN"/>
              </w:rPr>
              <w:t>2031-32</w:t>
            </w:r>
          </w:p>
        </w:tc>
      </w:tr>
      <w:tr w:rsidR="00287865" w:rsidRPr="008778A8" w14:paraId="3D216075" w14:textId="77777777" w:rsidTr="00287865">
        <w:trPr>
          <w:trHeight w:hRule="exact" w:val="244"/>
        </w:trPr>
        <w:tc>
          <w:tcPr>
            <w:cnfStyle w:val="001000000000" w:firstRow="0" w:lastRow="0" w:firstColumn="1" w:lastColumn="0" w:oddVBand="0" w:evenVBand="0" w:oddHBand="0" w:evenHBand="0" w:firstRowFirstColumn="0" w:firstRowLastColumn="0" w:lastRowFirstColumn="0" w:lastRowLastColumn="0"/>
            <w:tcW w:w="1177" w:type="pct"/>
            <w:tcBorders>
              <w:top w:val="single" w:sz="4" w:space="0" w:color="auto"/>
            </w:tcBorders>
            <w:shd w:val="clear" w:color="auto" w:fill="auto"/>
            <w:noWrap/>
            <w:hideMark/>
          </w:tcPr>
          <w:p w14:paraId="2B02B428" w14:textId="77777777" w:rsidR="00287865" w:rsidRPr="00D72D94" w:rsidRDefault="00287865" w:rsidP="009B4009">
            <w:pPr>
              <w:keepNext/>
              <w:spacing w:after="0" w:line="240" w:lineRule="auto"/>
              <w:rPr>
                <w:rFonts w:eastAsia="Times New Roman" w:cs="Arial"/>
                <w:b/>
                <w:bCs/>
                <w:color w:val="000000"/>
                <w:sz w:val="18"/>
                <w:szCs w:val="18"/>
                <w:lang w:eastAsia="zh-CN"/>
              </w:rPr>
            </w:pPr>
            <w:r>
              <w:rPr>
                <w:rFonts w:eastAsia="Times New Roman" w:cs="Arial"/>
                <w:b/>
                <w:bCs/>
                <w:color w:val="000000"/>
                <w:sz w:val="18"/>
                <w:szCs w:val="18"/>
                <w:lang w:eastAsia="zh-CN"/>
              </w:rPr>
              <w:t>Total Inflation</w:t>
            </w:r>
          </w:p>
        </w:tc>
        <w:tc>
          <w:tcPr>
            <w:tcW w:w="549" w:type="pct"/>
            <w:tcBorders>
              <w:top w:val="single" w:sz="4" w:space="0" w:color="auto"/>
            </w:tcBorders>
            <w:shd w:val="clear" w:color="auto" w:fill="auto"/>
            <w:noWrap/>
            <w:hideMark/>
          </w:tcPr>
          <w:p w14:paraId="21C63DCC"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p>
        </w:tc>
        <w:tc>
          <w:tcPr>
            <w:tcW w:w="588" w:type="pct"/>
            <w:tcBorders>
              <w:top w:val="single" w:sz="4" w:space="0" w:color="auto"/>
            </w:tcBorders>
            <w:shd w:val="clear" w:color="auto" w:fill="auto"/>
            <w:noWrap/>
            <w:hideMark/>
          </w:tcPr>
          <w:p w14:paraId="4D3D77BA"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p>
        </w:tc>
        <w:tc>
          <w:tcPr>
            <w:tcW w:w="672" w:type="pct"/>
            <w:tcBorders>
              <w:top w:val="single" w:sz="4" w:space="0" w:color="auto"/>
            </w:tcBorders>
            <w:shd w:val="clear" w:color="auto" w:fill="auto"/>
            <w:noWrap/>
            <w:hideMark/>
          </w:tcPr>
          <w:p w14:paraId="4A26F263"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p>
        </w:tc>
        <w:tc>
          <w:tcPr>
            <w:tcW w:w="672" w:type="pct"/>
            <w:tcBorders>
              <w:top w:val="single" w:sz="4" w:space="0" w:color="auto"/>
            </w:tcBorders>
            <w:shd w:val="clear" w:color="auto" w:fill="auto"/>
            <w:noWrap/>
            <w:hideMark/>
          </w:tcPr>
          <w:p w14:paraId="532D954F"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p>
        </w:tc>
        <w:tc>
          <w:tcPr>
            <w:tcW w:w="672" w:type="pct"/>
            <w:tcBorders>
              <w:top w:val="single" w:sz="4" w:space="0" w:color="auto"/>
              <w:right w:val="dotted" w:sz="4" w:space="0" w:color="auto"/>
            </w:tcBorders>
            <w:shd w:val="clear" w:color="auto" w:fill="auto"/>
            <w:noWrap/>
            <w:hideMark/>
          </w:tcPr>
          <w:p w14:paraId="16C5CD45"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p>
        </w:tc>
        <w:tc>
          <w:tcPr>
            <w:tcW w:w="670" w:type="pct"/>
            <w:tcBorders>
              <w:top w:val="single" w:sz="4" w:space="0" w:color="auto"/>
              <w:left w:val="dotted" w:sz="4" w:space="0" w:color="auto"/>
              <w:bottom w:val="nil"/>
            </w:tcBorders>
            <w:shd w:val="clear" w:color="auto" w:fill="auto"/>
            <w:noWrap/>
            <w:hideMark/>
          </w:tcPr>
          <w:p w14:paraId="3D60942D"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p>
        </w:tc>
      </w:tr>
      <w:tr w:rsidR="00287865" w:rsidRPr="008778A8" w14:paraId="4F3328D4" w14:textId="77777777" w:rsidTr="00287865">
        <w:trPr>
          <w:cnfStyle w:val="000000010000" w:firstRow="0" w:lastRow="0" w:firstColumn="0" w:lastColumn="0" w:oddVBand="0" w:evenVBand="0" w:oddHBand="0" w:evenHBand="1" w:firstRowFirstColumn="0" w:firstRowLastColumn="0" w:lastRowFirstColumn="0" w:lastRowLastColumn="0"/>
          <w:trHeight w:hRule="exact" w:val="244"/>
        </w:trPr>
        <w:tc>
          <w:tcPr>
            <w:cnfStyle w:val="001000000000" w:firstRow="0" w:lastRow="0" w:firstColumn="1" w:lastColumn="0" w:oddVBand="0" w:evenVBand="0" w:oddHBand="0" w:evenHBand="0" w:firstRowFirstColumn="0" w:firstRowLastColumn="0" w:lastRowFirstColumn="0" w:lastRowLastColumn="0"/>
            <w:tcW w:w="1177" w:type="pct"/>
            <w:noWrap/>
            <w:hideMark/>
          </w:tcPr>
          <w:p w14:paraId="447E47BD" w14:textId="77777777" w:rsidR="00287865" w:rsidRPr="00D72D94" w:rsidRDefault="00287865" w:rsidP="009B4009">
            <w:pPr>
              <w:keepNext/>
              <w:spacing w:after="0" w:line="240" w:lineRule="auto"/>
              <w:rPr>
                <w:rFonts w:eastAsia="Times New Roman" w:cs="Arial"/>
                <w:sz w:val="18"/>
                <w:szCs w:val="18"/>
                <w:lang w:eastAsia="zh-CN"/>
              </w:rPr>
            </w:pPr>
            <w:r w:rsidRPr="00D72D94">
              <w:rPr>
                <w:rFonts w:eastAsia="Times New Roman" w:cs="Arial"/>
                <w:sz w:val="18"/>
                <w:szCs w:val="18"/>
                <w:lang w:eastAsia="zh-CN"/>
              </w:rPr>
              <w:t>Non-SIL</w:t>
            </w:r>
          </w:p>
        </w:tc>
        <w:tc>
          <w:tcPr>
            <w:tcW w:w="549" w:type="pct"/>
            <w:noWrap/>
            <w:hideMark/>
          </w:tcPr>
          <w:p w14:paraId="3B92F254"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588" w:type="pct"/>
            <w:noWrap/>
            <w:hideMark/>
          </w:tcPr>
          <w:p w14:paraId="0F676419"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9.</w:t>
            </w:r>
            <w:r>
              <w:rPr>
                <w:rFonts w:cs="Arial"/>
                <w:sz w:val="18"/>
                <w:szCs w:val="18"/>
              </w:rPr>
              <w:t>3</w:t>
            </w:r>
            <w:r w:rsidRPr="00D72D94">
              <w:rPr>
                <w:rFonts w:cs="Arial"/>
                <w:sz w:val="18"/>
                <w:szCs w:val="18"/>
              </w:rPr>
              <w:t>%</w:t>
            </w:r>
          </w:p>
        </w:tc>
        <w:tc>
          <w:tcPr>
            <w:tcW w:w="672" w:type="pct"/>
            <w:noWrap/>
            <w:hideMark/>
          </w:tcPr>
          <w:p w14:paraId="0C77D5EC"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2.9%</w:t>
            </w:r>
          </w:p>
        </w:tc>
        <w:tc>
          <w:tcPr>
            <w:tcW w:w="672" w:type="pct"/>
            <w:noWrap/>
            <w:hideMark/>
          </w:tcPr>
          <w:p w14:paraId="6C56731B"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7.4%</w:t>
            </w:r>
          </w:p>
        </w:tc>
        <w:tc>
          <w:tcPr>
            <w:tcW w:w="672" w:type="pct"/>
            <w:tcBorders>
              <w:right w:val="dotted" w:sz="4" w:space="0" w:color="auto"/>
            </w:tcBorders>
            <w:noWrap/>
            <w:hideMark/>
          </w:tcPr>
          <w:p w14:paraId="4B8AD1BD"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7.0%</w:t>
            </w:r>
          </w:p>
        </w:tc>
        <w:tc>
          <w:tcPr>
            <w:tcW w:w="670" w:type="pct"/>
            <w:tcBorders>
              <w:top w:val="nil"/>
              <w:left w:val="dotted" w:sz="4" w:space="0" w:color="auto"/>
              <w:bottom w:val="nil"/>
            </w:tcBorders>
            <w:noWrap/>
            <w:hideMark/>
          </w:tcPr>
          <w:p w14:paraId="279D0E1D" w14:textId="77777777" w:rsidR="00287865" w:rsidRPr="00D72D94" w:rsidRDefault="00287865" w:rsidP="00ED4E0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4.</w:t>
            </w:r>
            <w:r w:rsidR="00457995">
              <w:rPr>
                <w:rFonts w:cs="Arial"/>
                <w:sz w:val="18"/>
                <w:szCs w:val="18"/>
              </w:rPr>
              <w:t>8</w:t>
            </w:r>
            <w:r w:rsidRPr="00D72D94">
              <w:rPr>
                <w:rFonts w:cs="Arial"/>
                <w:sz w:val="18"/>
                <w:szCs w:val="18"/>
              </w:rPr>
              <w:t>%</w:t>
            </w:r>
          </w:p>
        </w:tc>
      </w:tr>
      <w:tr w:rsidR="00287865" w:rsidRPr="008778A8" w14:paraId="3AF65FEA" w14:textId="77777777" w:rsidTr="00287865">
        <w:trPr>
          <w:trHeight w:hRule="exact" w:val="244"/>
        </w:trPr>
        <w:tc>
          <w:tcPr>
            <w:cnfStyle w:val="001000000000" w:firstRow="0" w:lastRow="0" w:firstColumn="1" w:lastColumn="0" w:oddVBand="0" w:evenVBand="0" w:oddHBand="0" w:evenHBand="0" w:firstRowFirstColumn="0" w:firstRowLastColumn="0" w:lastRowFirstColumn="0" w:lastRowLastColumn="0"/>
            <w:tcW w:w="1177" w:type="pct"/>
            <w:tcBorders>
              <w:bottom w:val="single" w:sz="4" w:space="0" w:color="auto"/>
            </w:tcBorders>
            <w:shd w:val="clear" w:color="auto" w:fill="auto"/>
            <w:noWrap/>
            <w:hideMark/>
          </w:tcPr>
          <w:p w14:paraId="78B232FD" w14:textId="77777777" w:rsidR="00287865" w:rsidRPr="00D72D94" w:rsidRDefault="00287865" w:rsidP="009B4009">
            <w:pPr>
              <w:keepNext/>
              <w:spacing w:after="0" w:line="240" w:lineRule="auto"/>
              <w:rPr>
                <w:rFonts w:eastAsia="Times New Roman" w:cs="Arial"/>
                <w:sz w:val="18"/>
                <w:szCs w:val="18"/>
                <w:lang w:eastAsia="zh-CN"/>
              </w:rPr>
            </w:pPr>
            <w:r w:rsidRPr="00D72D94">
              <w:rPr>
                <w:rFonts w:eastAsia="Times New Roman" w:cs="Arial"/>
                <w:sz w:val="18"/>
                <w:szCs w:val="18"/>
                <w:lang w:eastAsia="zh-CN"/>
              </w:rPr>
              <w:t>SIL</w:t>
            </w:r>
          </w:p>
        </w:tc>
        <w:tc>
          <w:tcPr>
            <w:tcW w:w="549" w:type="pct"/>
            <w:tcBorders>
              <w:bottom w:val="single" w:sz="4" w:space="0" w:color="auto"/>
            </w:tcBorders>
            <w:shd w:val="clear" w:color="auto" w:fill="auto"/>
            <w:noWrap/>
            <w:hideMark/>
          </w:tcPr>
          <w:p w14:paraId="675B1C47"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p>
        </w:tc>
        <w:tc>
          <w:tcPr>
            <w:tcW w:w="588" w:type="pct"/>
            <w:tcBorders>
              <w:bottom w:val="single" w:sz="4" w:space="0" w:color="auto"/>
            </w:tcBorders>
            <w:shd w:val="clear" w:color="auto" w:fill="auto"/>
            <w:noWrap/>
            <w:hideMark/>
          </w:tcPr>
          <w:p w14:paraId="2D58C01D"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9.</w:t>
            </w:r>
            <w:r>
              <w:rPr>
                <w:rFonts w:cs="Arial"/>
                <w:sz w:val="18"/>
                <w:szCs w:val="18"/>
              </w:rPr>
              <w:t>9</w:t>
            </w:r>
            <w:r w:rsidRPr="00D72D94">
              <w:rPr>
                <w:rFonts w:cs="Arial"/>
                <w:sz w:val="18"/>
                <w:szCs w:val="18"/>
              </w:rPr>
              <w:t>%</w:t>
            </w:r>
          </w:p>
        </w:tc>
        <w:tc>
          <w:tcPr>
            <w:tcW w:w="672" w:type="pct"/>
            <w:tcBorders>
              <w:bottom w:val="single" w:sz="4" w:space="0" w:color="auto"/>
            </w:tcBorders>
            <w:shd w:val="clear" w:color="auto" w:fill="auto"/>
            <w:noWrap/>
            <w:hideMark/>
          </w:tcPr>
          <w:p w14:paraId="40CED6BA"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4.5%</w:t>
            </w:r>
          </w:p>
        </w:tc>
        <w:tc>
          <w:tcPr>
            <w:tcW w:w="672" w:type="pct"/>
            <w:tcBorders>
              <w:bottom w:val="single" w:sz="4" w:space="0" w:color="auto"/>
            </w:tcBorders>
            <w:shd w:val="clear" w:color="auto" w:fill="auto"/>
            <w:noWrap/>
            <w:hideMark/>
          </w:tcPr>
          <w:p w14:paraId="5A106E44"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9.0%</w:t>
            </w:r>
          </w:p>
        </w:tc>
        <w:tc>
          <w:tcPr>
            <w:tcW w:w="672" w:type="pct"/>
            <w:tcBorders>
              <w:bottom w:val="single" w:sz="4" w:space="0" w:color="auto"/>
              <w:right w:val="dotted" w:sz="4" w:space="0" w:color="auto"/>
            </w:tcBorders>
            <w:shd w:val="clear" w:color="auto" w:fill="auto"/>
            <w:noWrap/>
            <w:hideMark/>
          </w:tcPr>
          <w:p w14:paraId="43631898"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8.1%</w:t>
            </w:r>
          </w:p>
        </w:tc>
        <w:tc>
          <w:tcPr>
            <w:tcW w:w="670" w:type="pct"/>
            <w:tcBorders>
              <w:top w:val="nil"/>
              <w:left w:val="dotted" w:sz="4" w:space="0" w:color="auto"/>
              <w:bottom w:val="single" w:sz="4" w:space="0" w:color="auto"/>
            </w:tcBorders>
            <w:shd w:val="clear" w:color="auto" w:fill="auto"/>
            <w:noWrap/>
            <w:hideMark/>
          </w:tcPr>
          <w:p w14:paraId="4BB35CA7"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5.1%</w:t>
            </w:r>
          </w:p>
        </w:tc>
      </w:tr>
      <w:tr w:rsidR="00287865" w:rsidRPr="008778A8" w14:paraId="50AD0FD2" w14:textId="77777777" w:rsidTr="00287865">
        <w:trPr>
          <w:cnfStyle w:val="000000010000" w:firstRow="0" w:lastRow="0" w:firstColumn="0" w:lastColumn="0" w:oddVBand="0" w:evenVBand="0" w:oddHBand="0" w:evenHBand="1" w:firstRowFirstColumn="0" w:firstRowLastColumn="0" w:lastRowFirstColumn="0" w:lastRowLastColumn="0"/>
          <w:trHeight w:hRule="exact" w:val="244"/>
        </w:trPr>
        <w:tc>
          <w:tcPr>
            <w:cnfStyle w:val="001000000000" w:firstRow="0" w:lastRow="0" w:firstColumn="1" w:lastColumn="0" w:oddVBand="0" w:evenVBand="0" w:oddHBand="0" w:evenHBand="0" w:firstRowFirstColumn="0" w:firstRowLastColumn="0" w:lastRowFirstColumn="0" w:lastRowLastColumn="0"/>
            <w:tcW w:w="1177" w:type="pct"/>
            <w:tcBorders>
              <w:top w:val="single" w:sz="4" w:space="0" w:color="auto"/>
              <w:bottom w:val="single" w:sz="4" w:space="0" w:color="auto"/>
            </w:tcBorders>
            <w:shd w:val="clear" w:color="auto" w:fill="D4C5D7"/>
            <w:noWrap/>
            <w:hideMark/>
          </w:tcPr>
          <w:p w14:paraId="18CA6768" w14:textId="77777777" w:rsidR="00287865" w:rsidRPr="00D72D94" w:rsidRDefault="00287865" w:rsidP="009B4009">
            <w:pPr>
              <w:keepNext/>
              <w:spacing w:after="0" w:line="240" w:lineRule="auto"/>
              <w:rPr>
                <w:rFonts w:eastAsia="Times New Roman" w:cs="Arial"/>
                <w:b/>
                <w:bCs/>
                <w:color w:val="000000"/>
                <w:sz w:val="18"/>
                <w:szCs w:val="18"/>
                <w:lang w:eastAsia="zh-CN"/>
              </w:rPr>
            </w:pPr>
            <w:r w:rsidRPr="00D72D94">
              <w:rPr>
                <w:rFonts w:eastAsia="Times New Roman" w:cs="Arial"/>
                <w:b/>
                <w:bCs/>
                <w:color w:val="000000"/>
                <w:sz w:val="18"/>
                <w:szCs w:val="18"/>
                <w:lang w:eastAsia="zh-CN"/>
              </w:rPr>
              <w:t>Total</w:t>
            </w:r>
          </w:p>
        </w:tc>
        <w:tc>
          <w:tcPr>
            <w:tcW w:w="549" w:type="pct"/>
            <w:tcBorders>
              <w:top w:val="single" w:sz="4" w:space="0" w:color="auto"/>
              <w:bottom w:val="single" w:sz="4" w:space="0" w:color="auto"/>
            </w:tcBorders>
            <w:shd w:val="clear" w:color="auto" w:fill="D4C5D7"/>
            <w:noWrap/>
            <w:hideMark/>
          </w:tcPr>
          <w:p w14:paraId="27EDBAA1"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p>
        </w:tc>
        <w:tc>
          <w:tcPr>
            <w:tcW w:w="588" w:type="pct"/>
            <w:tcBorders>
              <w:top w:val="single" w:sz="4" w:space="0" w:color="auto"/>
              <w:bottom w:val="single" w:sz="4" w:space="0" w:color="auto"/>
            </w:tcBorders>
            <w:shd w:val="clear" w:color="auto" w:fill="D4C5D7"/>
            <w:noWrap/>
            <w:hideMark/>
          </w:tcPr>
          <w:p w14:paraId="661D6EA7"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7.7%</w:t>
            </w:r>
          </w:p>
        </w:tc>
        <w:tc>
          <w:tcPr>
            <w:tcW w:w="672" w:type="pct"/>
            <w:tcBorders>
              <w:top w:val="single" w:sz="4" w:space="0" w:color="auto"/>
              <w:bottom w:val="single" w:sz="4" w:space="0" w:color="auto"/>
            </w:tcBorders>
            <w:shd w:val="clear" w:color="auto" w:fill="D4C5D7"/>
            <w:noWrap/>
            <w:hideMark/>
          </w:tcPr>
          <w:p w14:paraId="122AF767"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2.1%</w:t>
            </w:r>
          </w:p>
        </w:tc>
        <w:tc>
          <w:tcPr>
            <w:tcW w:w="672" w:type="pct"/>
            <w:tcBorders>
              <w:top w:val="single" w:sz="4" w:space="0" w:color="auto"/>
              <w:bottom w:val="single" w:sz="4" w:space="0" w:color="auto"/>
            </w:tcBorders>
            <w:shd w:val="clear" w:color="auto" w:fill="D4C5D7"/>
            <w:noWrap/>
            <w:hideMark/>
          </w:tcPr>
          <w:p w14:paraId="1561F221"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6.9%</w:t>
            </w:r>
          </w:p>
        </w:tc>
        <w:tc>
          <w:tcPr>
            <w:tcW w:w="672" w:type="pct"/>
            <w:tcBorders>
              <w:top w:val="single" w:sz="4" w:space="0" w:color="auto"/>
              <w:bottom w:val="single" w:sz="4" w:space="0" w:color="auto"/>
              <w:right w:val="dotted" w:sz="4" w:space="0" w:color="auto"/>
            </w:tcBorders>
            <w:shd w:val="clear" w:color="auto" w:fill="D4C5D7"/>
            <w:noWrap/>
            <w:hideMark/>
          </w:tcPr>
          <w:p w14:paraId="699288F1"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6.6%</w:t>
            </w:r>
          </w:p>
        </w:tc>
        <w:tc>
          <w:tcPr>
            <w:tcW w:w="670" w:type="pct"/>
            <w:tcBorders>
              <w:top w:val="single" w:sz="4" w:space="0" w:color="auto"/>
              <w:left w:val="dotted" w:sz="4" w:space="0" w:color="auto"/>
              <w:bottom w:val="single" w:sz="4" w:space="0" w:color="auto"/>
            </w:tcBorders>
            <w:shd w:val="clear" w:color="auto" w:fill="D4C5D7"/>
            <w:noWrap/>
            <w:hideMark/>
          </w:tcPr>
          <w:p w14:paraId="359C8528"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4.</w:t>
            </w:r>
            <w:r w:rsidR="00457995">
              <w:rPr>
                <w:rFonts w:cs="Arial"/>
                <w:sz w:val="18"/>
                <w:szCs w:val="18"/>
              </w:rPr>
              <w:t>8</w:t>
            </w:r>
            <w:r w:rsidRPr="00D72D94">
              <w:rPr>
                <w:rFonts w:cs="Arial"/>
                <w:sz w:val="18"/>
                <w:szCs w:val="18"/>
              </w:rPr>
              <w:t>%</w:t>
            </w:r>
          </w:p>
        </w:tc>
      </w:tr>
      <w:tr w:rsidR="00287865" w:rsidRPr="008778A8" w14:paraId="3522D830" w14:textId="77777777" w:rsidTr="00287865">
        <w:trPr>
          <w:trHeight w:hRule="exact" w:val="244"/>
        </w:trPr>
        <w:tc>
          <w:tcPr>
            <w:cnfStyle w:val="001000000000" w:firstRow="0" w:lastRow="0" w:firstColumn="1" w:lastColumn="0" w:oddVBand="0" w:evenVBand="0" w:oddHBand="0" w:evenHBand="0" w:firstRowFirstColumn="0" w:firstRowLastColumn="0" w:lastRowFirstColumn="0" w:lastRowLastColumn="0"/>
            <w:tcW w:w="1177" w:type="pct"/>
            <w:tcBorders>
              <w:top w:val="single" w:sz="4" w:space="0" w:color="auto"/>
            </w:tcBorders>
            <w:shd w:val="clear" w:color="auto" w:fill="auto"/>
            <w:noWrap/>
            <w:hideMark/>
          </w:tcPr>
          <w:p w14:paraId="1A44BF49" w14:textId="77777777" w:rsidR="00287865" w:rsidRPr="00D72D94" w:rsidRDefault="00287865" w:rsidP="009B4009">
            <w:pPr>
              <w:keepNext/>
              <w:spacing w:after="0" w:line="240" w:lineRule="auto"/>
              <w:rPr>
                <w:rFonts w:eastAsia="Times New Roman" w:cs="Arial"/>
                <w:b/>
                <w:bCs/>
                <w:color w:val="000000"/>
                <w:sz w:val="18"/>
                <w:szCs w:val="18"/>
                <w:lang w:eastAsia="zh-CN"/>
              </w:rPr>
            </w:pPr>
            <w:r w:rsidRPr="00D72D94">
              <w:rPr>
                <w:rFonts w:eastAsia="Times New Roman" w:cs="Arial"/>
                <w:b/>
                <w:bCs/>
                <w:color w:val="000000"/>
                <w:sz w:val="18"/>
                <w:szCs w:val="18"/>
                <w:lang w:eastAsia="zh-CN"/>
              </w:rPr>
              <w:t>Change in Mix</w:t>
            </w:r>
          </w:p>
        </w:tc>
        <w:tc>
          <w:tcPr>
            <w:tcW w:w="549" w:type="pct"/>
            <w:tcBorders>
              <w:top w:val="single" w:sz="4" w:space="0" w:color="auto"/>
            </w:tcBorders>
            <w:shd w:val="clear" w:color="auto" w:fill="auto"/>
            <w:noWrap/>
            <w:hideMark/>
          </w:tcPr>
          <w:p w14:paraId="5A6B1EBF"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p>
        </w:tc>
        <w:tc>
          <w:tcPr>
            <w:tcW w:w="588" w:type="pct"/>
            <w:tcBorders>
              <w:top w:val="single" w:sz="4" w:space="0" w:color="auto"/>
            </w:tcBorders>
            <w:shd w:val="clear" w:color="auto" w:fill="auto"/>
            <w:noWrap/>
            <w:hideMark/>
          </w:tcPr>
          <w:p w14:paraId="5A876D50"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p>
        </w:tc>
        <w:tc>
          <w:tcPr>
            <w:tcW w:w="672" w:type="pct"/>
            <w:tcBorders>
              <w:top w:val="single" w:sz="4" w:space="0" w:color="auto"/>
            </w:tcBorders>
            <w:shd w:val="clear" w:color="auto" w:fill="auto"/>
            <w:noWrap/>
            <w:hideMark/>
          </w:tcPr>
          <w:p w14:paraId="18796D6E"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p>
        </w:tc>
        <w:tc>
          <w:tcPr>
            <w:tcW w:w="672" w:type="pct"/>
            <w:tcBorders>
              <w:top w:val="single" w:sz="4" w:space="0" w:color="auto"/>
            </w:tcBorders>
            <w:shd w:val="clear" w:color="auto" w:fill="auto"/>
            <w:noWrap/>
            <w:hideMark/>
          </w:tcPr>
          <w:p w14:paraId="0567E6DD"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p>
        </w:tc>
        <w:tc>
          <w:tcPr>
            <w:tcW w:w="672" w:type="pct"/>
            <w:tcBorders>
              <w:top w:val="single" w:sz="4" w:space="0" w:color="auto"/>
              <w:right w:val="dotted" w:sz="4" w:space="0" w:color="auto"/>
            </w:tcBorders>
            <w:shd w:val="clear" w:color="auto" w:fill="auto"/>
            <w:noWrap/>
            <w:hideMark/>
          </w:tcPr>
          <w:p w14:paraId="7E104DD9"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p>
        </w:tc>
        <w:tc>
          <w:tcPr>
            <w:tcW w:w="670" w:type="pct"/>
            <w:tcBorders>
              <w:top w:val="single" w:sz="4" w:space="0" w:color="auto"/>
              <w:left w:val="dotted" w:sz="4" w:space="0" w:color="auto"/>
              <w:bottom w:val="nil"/>
            </w:tcBorders>
            <w:shd w:val="clear" w:color="auto" w:fill="auto"/>
            <w:noWrap/>
            <w:hideMark/>
          </w:tcPr>
          <w:p w14:paraId="52878C6B"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p>
        </w:tc>
      </w:tr>
      <w:tr w:rsidR="00287865" w:rsidRPr="008778A8" w14:paraId="50F9A665" w14:textId="77777777" w:rsidTr="00287865">
        <w:trPr>
          <w:cnfStyle w:val="000000010000" w:firstRow="0" w:lastRow="0" w:firstColumn="0" w:lastColumn="0" w:oddVBand="0" w:evenVBand="0" w:oddHBand="0" w:evenHBand="1" w:firstRowFirstColumn="0" w:firstRowLastColumn="0" w:lastRowFirstColumn="0" w:lastRowLastColumn="0"/>
          <w:trHeight w:hRule="exact" w:val="244"/>
        </w:trPr>
        <w:tc>
          <w:tcPr>
            <w:cnfStyle w:val="001000000000" w:firstRow="0" w:lastRow="0" w:firstColumn="1" w:lastColumn="0" w:oddVBand="0" w:evenVBand="0" w:oddHBand="0" w:evenHBand="0" w:firstRowFirstColumn="0" w:firstRowLastColumn="0" w:lastRowFirstColumn="0" w:lastRowLastColumn="0"/>
            <w:tcW w:w="1177" w:type="pct"/>
            <w:noWrap/>
            <w:hideMark/>
          </w:tcPr>
          <w:p w14:paraId="14CC71D2" w14:textId="77777777" w:rsidR="00287865" w:rsidRPr="00D72D94" w:rsidRDefault="00287865" w:rsidP="009B4009">
            <w:pPr>
              <w:keepNext/>
              <w:spacing w:after="0" w:line="240" w:lineRule="auto"/>
              <w:rPr>
                <w:rFonts w:eastAsia="Times New Roman" w:cs="Arial"/>
                <w:sz w:val="18"/>
                <w:szCs w:val="18"/>
                <w:lang w:eastAsia="zh-CN"/>
              </w:rPr>
            </w:pPr>
            <w:r w:rsidRPr="00D72D94">
              <w:rPr>
                <w:rFonts w:eastAsia="Times New Roman" w:cs="Arial"/>
                <w:sz w:val="18"/>
                <w:szCs w:val="18"/>
                <w:lang w:eastAsia="zh-CN"/>
              </w:rPr>
              <w:t>Non-SIL</w:t>
            </w:r>
          </w:p>
        </w:tc>
        <w:tc>
          <w:tcPr>
            <w:tcW w:w="549" w:type="pct"/>
            <w:noWrap/>
            <w:hideMark/>
          </w:tcPr>
          <w:p w14:paraId="02374A9A"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588" w:type="pct"/>
            <w:noWrap/>
            <w:hideMark/>
          </w:tcPr>
          <w:p w14:paraId="1E35AA19"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w:t>
            </w:r>
            <w:r>
              <w:rPr>
                <w:rFonts w:cs="Arial"/>
                <w:sz w:val="18"/>
                <w:szCs w:val="18"/>
              </w:rPr>
              <w:t>1</w:t>
            </w:r>
            <w:r w:rsidRPr="00D72D94">
              <w:rPr>
                <w:rFonts w:cs="Arial"/>
                <w:sz w:val="18"/>
                <w:szCs w:val="18"/>
              </w:rPr>
              <w:t>.</w:t>
            </w:r>
            <w:r>
              <w:rPr>
                <w:rFonts w:cs="Arial"/>
                <w:sz w:val="18"/>
                <w:szCs w:val="18"/>
              </w:rPr>
              <w:t>0</w:t>
            </w:r>
            <w:r w:rsidRPr="00D72D94">
              <w:rPr>
                <w:rFonts w:cs="Arial"/>
                <w:sz w:val="18"/>
                <w:szCs w:val="18"/>
              </w:rPr>
              <w:t>%</w:t>
            </w:r>
          </w:p>
        </w:tc>
        <w:tc>
          <w:tcPr>
            <w:tcW w:w="672" w:type="pct"/>
            <w:noWrap/>
            <w:hideMark/>
          </w:tcPr>
          <w:p w14:paraId="0BCB44C0"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-2.9%</w:t>
            </w:r>
          </w:p>
        </w:tc>
        <w:tc>
          <w:tcPr>
            <w:tcW w:w="672" w:type="pct"/>
            <w:noWrap/>
            <w:hideMark/>
          </w:tcPr>
          <w:p w14:paraId="10191EB1"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-2.3%</w:t>
            </w:r>
          </w:p>
        </w:tc>
        <w:tc>
          <w:tcPr>
            <w:tcW w:w="672" w:type="pct"/>
            <w:tcBorders>
              <w:right w:val="dotted" w:sz="4" w:space="0" w:color="auto"/>
            </w:tcBorders>
            <w:noWrap/>
            <w:hideMark/>
          </w:tcPr>
          <w:p w14:paraId="2EBB34D5"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-1.7%</w:t>
            </w:r>
          </w:p>
        </w:tc>
        <w:tc>
          <w:tcPr>
            <w:tcW w:w="670" w:type="pct"/>
            <w:tcBorders>
              <w:top w:val="nil"/>
              <w:left w:val="dotted" w:sz="4" w:space="0" w:color="auto"/>
              <w:bottom w:val="nil"/>
            </w:tcBorders>
            <w:noWrap/>
            <w:hideMark/>
          </w:tcPr>
          <w:p w14:paraId="5EE6A29F"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-0.</w:t>
            </w:r>
            <w:r w:rsidR="00457995">
              <w:rPr>
                <w:rFonts w:cs="Arial"/>
                <w:sz w:val="18"/>
                <w:szCs w:val="18"/>
              </w:rPr>
              <w:t>5</w:t>
            </w:r>
            <w:r w:rsidRPr="00D72D94">
              <w:rPr>
                <w:rFonts w:cs="Arial"/>
                <w:sz w:val="18"/>
                <w:szCs w:val="18"/>
              </w:rPr>
              <w:t>%</w:t>
            </w:r>
          </w:p>
        </w:tc>
      </w:tr>
      <w:tr w:rsidR="00287865" w:rsidRPr="008778A8" w14:paraId="3B585513" w14:textId="77777777" w:rsidTr="00287865">
        <w:trPr>
          <w:trHeight w:hRule="exact" w:val="244"/>
        </w:trPr>
        <w:tc>
          <w:tcPr>
            <w:cnfStyle w:val="001000000000" w:firstRow="0" w:lastRow="0" w:firstColumn="1" w:lastColumn="0" w:oddVBand="0" w:evenVBand="0" w:oddHBand="0" w:evenHBand="0" w:firstRowFirstColumn="0" w:firstRowLastColumn="0" w:lastRowFirstColumn="0" w:lastRowLastColumn="0"/>
            <w:tcW w:w="1177" w:type="pct"/>
            <w:tcBorders>
              <w:bottom w:val="single" w:sz="4" w:space="0" w:color="auto"/>
            </w:tcBorders>
            <w:shd w:val="clear" w:color="auto" w:fill="auto"/>
            <w:noWrap/>
            <w:hideMark/>
          </w:tcPr>
          <w:p w14:paraId="14715B78" w14:textId="77777777" w:rsidR="00287865" w:rsidRPr="00D72D94" w:rsidRDefault="00287865" w:rsidP="009B4009">
            <w:pPr>
              <w:keepNext/>
              <w:spacing w:after="0" w:line="240" w:lineRule="auto"/>
              <w:rPr>
                <w:rFonts w:eastAsia="Times New Roman" w:cs="Arial"/>
                <w:sz w:val="18"/>
                <w:szCs w:val="18"/>
                <w:lang w:eastAsia="zh-CN"/>
              </w:rPr>
            </w:pPr>
            <w:r w:rsidRPr="00D72D94">
              <w:rPr>
                <w:rFonts w:eastAsia="Times New Roman" w:cs="Arial"/>
                <w:sz w:val="18"/>
                <w:szCs w:val="18"/>
                <w:lang w:eastAsia="zh-CN"/>
              </w:rPr>
              <w:t>SIL</w:t>
            </w:r>
          </w:p>
        </w:tc>
        <w:tc>
          <w:tcPr>
            <w:tcW w:w="549" w:type="pct"/>
            <w:tcBorders>
              <w:bottom w:val="single" w:sz="4" w:space="0" w:color="auto"/>
            </w:tcBorders>
            <w:shd w:val="clear" w:color="auto" w:fill="auto"/>
            <w:noWrap/>
            <w:hideMark/>
          </w:tcPr>
          <w:p w14:paraId="5BCEB7D9"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p>
        </w:tc>
        <w:tc>
          <w:tcPr>
            <w:tcW w:w="588" w:type="pct"/>
            <w:tcBorders>
              <w:bottom w:val="single" w:sz="4" w:space="0" w:color="auto"/>
            </w:tcBorders>
            <w:shd w:val="clear" w:color="auto" w:fill="auto"/>
            <w:noWrap/>
            <w:hideMark/>
          </w:tcPr>
          <w:p w14:paraId="246FF4F2"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-1.</w:t>
            </w:r>
            <w:r>
              <w:rPr>
                <w:rFonts w:cs="Arial"/>
                <w:sz w:val="18"/>
                <w:szCs w:val="18"/>
              </w:rPr>
              <w:t>1</w:t>
            </w:r>
            <w:r w:rsidRPr="00D72D94">
              <w:rPr>
                <w:rFonts w:cs="Arial"/>
                <w:sz w:val="18"/>
                <w:szCs w:val="18"/>
              </w:rPr>
              <w:t>%</w:t>
            </w:r>
          </w:p>
        </w:tc>
        <w:tc>
          <w:tcPr>
            <w:tcW w:w="672" w:type="pct"/>
            <w:tcBorders>
              <w:bottom w:val="single" w:sz="4" w:space="0" w:color="auto"/>
            </w:tcBorders>
            <w:shd w:val="clear" w:color="auto" w:fill="auto"/>
            <w:noWrap/>
            <w:hideMark/>
          </w:tcPr>
          <w:p w14:paraId="7614BE14"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-0.3%</w:t>
            </w:r>
          </w:p>
        </w:tc>
        <w:tc>
          <w:tcPr>
            <w:tcW w:w="672" w:type="pct"/>
            <w:tcBorders>
              <w:bottom w:val="single" w:sz="4" w:space="0" w:color="auto"/>
            </w:tcBorders>
            <w:shd w:val="clear" w:color="auto" w:fill="auto"/>
            <w:noWrap/>
            <w:hideMark/>
          </w:tcPr>
          <w:p w14:paraId="14CD0120"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-0.1%</w:t>
            </w:r>
          </w:p>
        </w:tc>
        <w:tc>
          <w:tcPr>
            <w:tcW w:w="672" w:type="pct"/>
            <w:tcBorders>
              <w:bottom w:val="single" w:sz="4" w:space="0" w:color="auto"/>
              <w:right w:val="dotted" w:sz="4" w:space="0" w:color="auto"/>
            </w:tcBorders>
            <w:shd w:val="clear" w:color="auto" w:fill="auto"/>
            <w:noWrap/>
            <w:hideMark/>
          </w:tcPr>
          <w:p w14:paraId="17B0E5D8"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0.0%</w:t>
            </w:r>
          </w:p>
        </w:tc>
        <w:tc>
          <w:tcPr>
            <w:tcW w:w="670" w:type="pct"/>
            <w:tcBorders>
              <w:top w:val="nil"/>
              <w:left w:val="dotted" w:sz="4" w:space="0" w:color="auto"/>
              <w:bottom w:val="single" w:sz="4" w:space="0" w:color="auto"/>
            </w:tcBorders>
            <w:shd w:val="clear" w:color="auto" w:fill="auto"/>
            <w:noWrap/>
            <w:hideMark/>
          </w:tcPr>
          <w:p w14:paraId="786E524D"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0.1%</w:t>
            </w:r>
          </w:p>
        </w:tc>
      </w:tr>
      <w:tr w:rsidR="00287865" w:rsidRPr="008778A8" w14:paraId="744DF697" w14:textId="77777777" w:rsidTr="00287865">
        <w:trPr>
          <w:cnfStyle w:val="000000010000" w:firstRow="0" w:lastRow="0" w:firstColumn="0" w:lastColumn="0" w:oddVBand="0" w:evenVBand="0" w:oddHBand="0" w:evenHBand="1" w:firstRowFirstColumn="0" w:firstRowLastColumn="0" w:lastRowFirstColumn="0" w:lastRowLastColumn="0"/>
          <w:trHeight w:hRule="exact" w:val="244"/>
        </w:trPr>
        <w:tc>
          <w:tcPr>
            <w:cnfStyle w:val="001000000000" w:firstRow="0" w:lastRow="0" w:firstColumn="1" w:lastColumn="0" w:oddVBand="0" w:evenVBand="0" w:oddHBand="0" w:evenHBand="0" w:firstRowFirstColumn="0" w:firstRowLastColumn="0" w:lastRowFirstColumn="0" w:lastRowLastColumn="0"/>
            <w:tcW w:w="1177" w:type="pct"/>
            <w:tcBorders>
              <w:top w:val="single" w:sz="4" w:space="0" w:color="auto"/>
              <w:bottom w:val="single" w:sz="4" w:space="0" w:color="auto"/>
            </w:tcBorders>
            <w:shd w:val="clear" w:color="auto" w:fill="D4C5D7"/>
            <w:noWrap/>
            <w:hideMark/>
          </w:tcPr>
          <w:p w14:paraId="46C4928B" w14:textId="77777777" w:rsidR="00287865" w:rsidRPr="00D72D94" w:rsidRDefault="00287865" w:rsidP="009B4009">
            <w:pPr>
              <w:keepNext/>
              <w:spacing w:after="0" w:line="240" w:lineRule="auto"/>
              <w:rPr>
                <w:rFonts w:eastAsia="Times New Roman" w:cs="Arial"/>
                <w:b/>
                <w:bCs/>
                <w:color w:val="000000"/>
                <w:sz w:val="18"/>
                <w:szCs w:val="18"/>
                <w:lang w:eastAsia="zh-CN"/>
              </w:rPr>
            </w:pPr>
            <w:r w:rsidRPr="00D72D94">
              <w:rPr>
                <w:rFonts w:eastAsia="Times New Roman" w:cs="Arial"/>
                <w:b/>
                <w:bCs/>
                <w:color w:val="000000"/>
                <w:sz w:val="18"/>
                <w:szCs w:val="18"/>
                <w:lang w:eastAsia="zh-CN"/>
              </w:rPr>
              <w:t>Total</w:t>
            </w:r>
          </w:p>
        </w:tc>
        <w:tc>
          <w:tcPr>
            <w:tcW w:w="549" w:type="pct"/>
            <w:tcBorders>
              <w:top w:val="single" w:sz="4" w:space="0" w:color="auto"/>
              <w:bottom w:val="single" w:sz="4" w:space="0" w:color="auto"/>
            </w:tcBorders>
            <w:shd w:val="clear" w:color="auto" w:fill="D4C5D7"/>
            <w:noWrap/>
            <w:hideMark/>
          </w:tcPr>
          <w:p w14:paraId="7E36B3C3"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p>
        </w:tc>
        <w:tc>
          <w:tcPr>
            <w:tcW w:w="588" w:type="pct"/>
            <w:tcBorders>
              <w:top w:val="single" w:sz="4" w:space="0" w:color="auto"/>
              <w:bottom w:val="single" w:sz="4" w:space="0" w:color="auto"/>
            </w:tcBorders>
            <w:shd w:val="clear" w:color="auto" w:fill="D4C5D7"/>
            <w:noWrap/>
            <w:hideMark/>
          </w:tcPr>
          <w:p w14:paraId="139B34CE"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-2.7%</w:t>
            </w:r>
          </w:p>
        </w:tc>
        <w:tc>
          <w:tcPr>
            <w:tcW w:w="672" w:type="pct"/>
            <w:tcBorders>
              <w:top w:val="single" w:sz="4" w:space="0" w:color="auto"/>
              <w:bottom w:val="single" w:sz="4" w:space="0" w:color="auto"/>
            </w:tcBorders>
            <w:shd w:val="clear" w:color="auto" w:fill="D4C5D7"/>
            <w:noWrap/>
            <w:hideMark/>
          </w:tcPr>
          <w:p w14:paraId="44458B24"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-3.3%</w:t>
            </w:r>
          </w:p>
        </w:tc>
        <w:tc>
          <w:tcPr>
            <w:tcW w:w="672" w:type="pct"/>
            <w:tcBorders>
              <w:top w:val="single" w:sz="4" w:space="0" w:color="auto"/>
              <w:bottom w:val="single" w:sz="4" w:space="0" w:color="auto"/>
            </w:tcBorders>
            <w:shd w:val="clear" w:color="auto" w:fill="D4C5D7"/>
            <w:noWrap/>
            <w:hideMark/>
          </w:tcPr>
          <w:p w14:paraId="3AF7C8C8"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-2.5%</w:t>
            </w:r>
          </w:p>
        </w:tc>
        <w:tc>
          <w:tcPr>
            <w:tcW w:w="672" w:type="pct"/>
            <w:tcBorders>
              <w:top w:val="single" w:sz="4" w:space="0" w:color="auto"/>
              <w:bottom w:val="single" w:sz="4" w:space="0" w:color="auto"/>
              <w:right w:val="dotted" w:sz="4" w:space="0" w:color="auto"/>
            </w:tcBorders>
            <w:shd w:val="clear" w:color="auto" w:fill="D4C5D7"/>
            <w:noWrap/>
            <w:hideMark/>
          </w:tcPr>
          <w:p w14:paraId="4EDE7F4A"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-1.9%</w:t>
            </w:r>
          </w:p>
        </w:tc>
        <w:tc>
          <w:tcPr>
            <w:tcW w:w="670" w:type="pct"/>
            <w:tcBorders>
              <w:top w:val="single" w:sz="4" w:space="0" w:color="auto"/>
              <w:left w:val="dotted" w:sz="4" w:space="0" w:color="auto"/>
              <w:bottom w:val="single" w:sz="4" w:space="0" w:color="auto"/>
            </w:tcBorders>
            <w:shd w:val="clear" w:color="auto" w:fill="D4C5D7"/>
            <w:noWrap/>
            <w:hideMark/>
          </w:tcPr>
          <w:p w14:paraId="48C62388"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-0.</w:t>
            </w:r>
            <w:r w:rsidR="00457995">
              <w:rPr>
                <w:rFonts w:cs="Arial"/>
                <w:sz w:val="18"/>
                <w:szCs w:val="18"/>
              </w:rPr>
              <w:t>4</w:t>
            </w:r>
            <w:r w:rsidRPr="00D72D94">
              <w:rPr>
                <w:rFonts w:cs="Arial"/>
                <w:sz w:val="18"/>
                <w:szCs w:val="18"/>
              </w:rPr>
              <w:t>%</w:t>
            </w:r>
          </w:p>
        </w:tc>
      </w:tr>
      <w:tr w:rsidR="00287865" w:rsidRPr="008778A8" w14:paraId="7DCE9939" w14:textId="77777777" w:rsidTr="00287865">
        <w:trPr>
          <w:trHeight w:hRule="exact" w:val="244"/>
        </w:trPr>
        <w:tc>
          <w:tcPr>
            <w:cnfStyle w:val="001000000000" w:firstRow="0" w:lastRow="0" w:firstColumn="1" w:lastColumn="0" w:oddVBand="0" w:evenVBand="0" w:oddHBand="0" w:evenHBand="0" w:firstRowFirstColumn="0" w:firstRowLastColumn="0" w:lastRowFirstColumn="0" w:lastRowLastColumn="0"/>
            <w:tcW w:w="1177" w:type="pct"/>
            <w:tcBorders>
              <w:top w:val="single" w:sz="4" w:space="0" w:color="auto"/>
            </w:tcBorders>
            <w:shd w:val="clear" w:color="auto" w:fill="auto"/>
            <w:noWrap/>
            <w:hideMark/>
          </w:tcPr>
          <w:p w14:paraId="6DF9E50E" w14:textId="77777777" w:rsidR="00287865" w:rsidRPr="00D72D94" w:rsidRDefault="00287865" w:rsidP="009B4009">
            <w:pPr>
              <w:keepNext/>
              <w:spacing w:after="0" w:line="240" w:lineRule="auto"/>
              <w:rPr>
                <w:rFonts w:eastAsia="Times New Roman" w:cs="Arial"/>
                <w:b/>
                <w:bCs/>
                <w:color w:val="000000"/>
                <w:sz w:val="18"/>
                <w:szCs w:val="18"/>
                <w:lang w:eastAsia="zh-CN"/>
              </w:rPr>
            </w:pPr>
            <w:r w:rsidRPr="00D72D94">
              <w:rPr>
                <w:rFonts w:eastAsia="Times New Roman" w:cs="Arial"/>
                <w:b/>
                <w:bCs/>
                <w:color w:val="000000"/>
                <w:sz w:val="18"/>
                <w:szCs w:val="18"/>
                <w:lang w:eastAsia="zh-CN"/>
              </w:rPr>
              <w:t>Normal inflation</w:t>
            </w:r>
          </w:p>
        </w:tc>
        <w:tc>
          <w:tcPr>
            <w:tcW w:w="549" w:type="pct"/>
            <w:tcBorders>
              <w:top w:val="single" w:sz="4" w:space="0" w:color="auto"/>
            </w:tcBorders>
            <w:shd w:val="clear" w:color="auto" w:fill="auto"/>
            <w:noWrap/>
            <w:hideMark/>
          </w:tcPr>
          <w:p w14:paraId="26D54100"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p>
        </w:tc>
        <w:tc>
          <w:tcPr>
            <w:tcW w:w="588" w:type="pct"/>
            <w:tcBorders>
              <w:top w:val="single" w:sz="4" w:space="0" w:color="auto"/>
            </w:tcBorders>
            <w:shd w:val="clear" w:color="auto" w:fill="auto"/>
            <w:noWrap/>
            <w:hideMark/>
          </w:tcPr>
          <w:p w14:paraId="5E2B5AAA"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p>
        </w:tc>
        <w:tc>
          <w:tcPr>
            <w:tcW w:w="672" w:type="pct"/>
            <w:tcBorders>
              <w:top w:val="single" w:sz="4" w:space="0" w:color="auto"/>
            </w:tcBorders>
            <w:shd w:val="clear" w:color="auto" w:fill="auto"/>
            <w:noWrap/>
            <w:hideMark/>
          </w:tcPr>
          <w:p w14:paraId="40421867"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p>
        </w:tc>
        <w:tc>
          <w:tcPr>
            <w:tcW w:w="672" w:type="pct"/>
            <w:tcBorders>
              <w:top w:val="single" w:sz="4" w:space="0" w:color="auto"/>
            </w:tcBorders>
            <w:shd w:val="clear" w:color="auto" w:fill="auto"/>
            <w:noWrap/>
            <w:hideMark/>
          </w:tcPr>
          <w:p w14:paraId="42AF0FCB"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p>
        </w:tc>
        <w:tc>
          <w:tcPr>
            <w:tcW w:w="672" w:type="pct"/>
            <w:tcBorders>
              <w:top w:val="single" w:sz="4" w:space="0" w:color="auto"/>
              <w:right w:val="dotted" w:sz="4" w:space="0" w:color="auto"/>
            </w:tcBorders>
            <w:shd w:val="clear" w:color="auto" w:fill="auto"/>
            <w:noWrap/>
            <w:hideMark/>
          </w:tcPr>
          <w:p w14:paraId="50FDB98F"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p>
        </w:tc>
        <w:tc>
          <w:tcPr>
            <w:tcW w:w="670" w:type="pct"/>
            <w:tcBorders>
              <w:top w:val="single" w:sz="4" w:space="0" w:color="auto"/>
              <w:left w:val="dotted" w:sz="4" w:space="0" w:color="auto"/>
              <w:bottom w:val="nil"/>
            </w:tcBorders>
            <w:shd w:val="clear" w:color="auto" w:fill="auto"/>
            <w:noWrap/>
            <w:hideMark/>
          </w:tcPr>
          <w:p w14:paraId="30C4827C"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p>
        </w:tc>
      </w:tr>
      <w:tr w:rsidR="00287865" w:rsidRPr="008778A8" w14:paraId="7F10EA7F" w14:textId="77777777" w:rsidTr="00287865">
        <w:trPr>
          <w:cnfStyle w:val="000000010000" w:firstRow="0" w:lastRow="0" w:firstColumn="0" w:lastColumn="0" w:oddVBand="0" w:evenVBand="0" w:oddHBand="0" w:evenHBand="1" w:firstRowFirstColumn="0" w:firstRowLastColumn="0" w:lastRowFirstColumn="0" w:lastRowLastColumn="0"/>
          <w:trHeight w:hRule="exact" w:val="244"/>
        </w:trPr>
        <w:tc>
          <w:tcPr>
            <w:cnfStyle w:val="001000000000" w:firstRow="0" w:lastRow="0" w:firstColumn="1" w:lastColumn="0" w:oddVBand="0" w:evenVBand="0" w:oddHBand="0" w:evenHBand="0" w:firstRowFirstColumn="0" w:firstRowLastColumn="0" w:lastRowFirstColumn="0" w:lastRowLastColumn="0"/>
            <w:tcW w:w="1177" w:type="pct"/>
            <w:noWrap/>
            <w:hideMark/>
          </w:tcPr>
          <w:p w14:paraId="79D9192A" w14:textId="77777777" w:rsidR="00287865" w:rsidRPr="00D72D94" w:rsidRDefault="00287865" w:rsidP="009B4009">
            <w:pPr>
              <w:keepNext/>
              <w:spacing w:after="0" w:line="240" w:lineRule="auto"/>
              <w:rPr>
                <w:rFonts w:eastAsia="Times New Roman" w:cs="Arial"/>
                <w:sz w:val="18"/>
                <w:szCs w:val="18"/>
                <w:lang w:eastAsia="zh-CN"/>
              </w:rPr>
            </w:pPr>
            <w:r w:rsidRPr="00D72D94">
              <w:rPr>
                <w:rFonts w:eastAsia="Times New Roman" w:cs="Arial"/>
                <w:sz w:val="18"/>
                <w:szCs w:val="18"/>
                <w:lang w:eastAsia="zh-CN"/>
              </w:rPr>
              <w:t>Non-SIL</w:t>
            </w:r>
          </w:p>
        </w:tc>
        <w:tc>
          <w:tcPr>
            <w:tcW w:w="549" w:type="pct"/>
            <w:noWrap/>
            <w:hideMark/>
          </w:tcPr>
          <w:p w14:paraId="18A74B09"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588" w:type="pct"/>
            <w:noWrap/>
            <w:hideMark/>
          </w:tcPr>
          <w:p w14:paraId="64F64599"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6.6%</w:t>
            </w:r>
          </w:p>
        </w:tc>
        <w:tc>
          <w:tcPr>
            <w:tcW w:w="672" w:type="pct"/>
            <w:noWrap/>
            <w:hideMark/>
          </w:tcPr>
          <w:p w14:paraId="56D8FAAA"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2.7%</w:t>
            </w:r>
          </w:p>
        </w:tc>
        <w:tc>
          <w:tcPr>
            <w:tcW w:w="672" w:type="pct"/>
            <w:noWrap/>
            <w:hideMark/>
          </w:tcPr>
          <w:p w14:paraId="5D151DCE"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3.5%</w:t>
            </w:r>
          </w:p>
        </w:tc>
        <w:tc>
          <w:tcPr>
            <w:tcW w:w="672" w:type="pct"/>
            <w:tcBorders>
              <w:right w:val="dotted" w:sz="4" w:space="0" w:color="auto"/>
            </w:tcBorders>
            <w:noWrap/>
            <w:hideMark/>
          </w:tcPr>
          <w:p w14:paraId="0E253DB5"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3.5%</w:t>
            </w:r>
          </w:p>
        </w:tc>
        <w:tc>
          <w:tcPr>
            <w:tcW w:w="670" w:type="pct"/>
            <w:tcBorders>
              <w:top w:val="nil"/>
              <w:left w:val="dotted" w:sz="4" w:space="0" w:color="auto"/>
              <w:bottom w:val="nil"/>
            </w:tcBorders>
            <w:noWrap/>
            <w:hideMark/>
          </w:tcPr>
          <w:p w14:paraId="45BD0260"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3.2%</w:t>
            </w:r>
          </w:p>
        </w:tc>
      </w:tr>
      <w:tr w:rsidR="00287865" w:rsidRPr="008778A8" w14:paraId="0E6DC4A0" w14:textId="77777777" w:rsidTr="00287865">
        <w:trPr>
          <w:trHeight w:hRule="exact" w:val="244"/>
        </w:trPr>
        <w:tc>
          <w:tcPr>
            <w:cnfStyle w:val="001000000000" w:firstRow="0" w:lastRow="0" w:firstColumn="1" w:lastColumn="0" w:oddVBand="0" w:evenVBand="0" w:oddHBand="0" w:evenHBand="0" w:firstRowFirstColumn="0" w:firstRowLastColumn="0" w:lastRowFirstColumn="0" w:lastRowLastColumn="0"/>
            <w:tcW w:w="1177" w:type="pct"/>
            <w:tcBorders>
              <w:bottom w:val="single" w:sz="4" w:space="0" w:color="auto"/>
            </w:tcBorders>
            <w:shd w:val="clear" w:color="auto" w:fill="auto"/>
            <w:noWrap/>
            <w:hideMark/>
          </w:tcPr>
          <w:p w14:paraId="4701113B" w14:textId="77777777" w:rsidR="00287865" w:rsidRPr="00D72D94" w:rsidRDefault="00287865" w:rsidP="009B4009">
            <w:pPr>
              <w:keepNext/>
              <w:spacing w:after="0" w:line="240" w:lineRule="auto"/>
              <w:rPr>
                <w:rFonts w:eastAsia="Times New Roman" w:cs="Arial"/>
                <w:sz w:val="18"/>
                <w:szCs w:val="18"/>
                <w:lang w:eastAsia="zh-CN"/>
              </w:rPr>
            </w:pPr>
            <w:r w:rsidRPr="00D72D94">
              <w:rPr>
                <w:rFonts w:eastAsia="Times New Roman" w:cs="Arial"/>
                <w:sz w:val="18"/>
                <w:szCs w:val="18"/>
                <w:lang w:eastAsia="zh-CN"/>
              </w:rPr>
              <w:t>SIL</w:t>
            </w:r>
          </w:p>
        </w:tc>
        <w:tc>
          <w:tcPr>
            <w:tcW w:w="549" w:type="pct"/>
            <w:tcBorders>
              <w:bottom w:val="single" w:sz="4" w:space="0" w:color="auto"/>
            </w:tcBorders>
            <w:shd w:val="clear" w:color="auto" w:fill="auto"/>
            <w:noWrap/>
            <w:hideMark/>
          </w:tcPr>
          <w:p w14:paraId="0EFEF175"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p>
        </w:tc>
        <w:tc>
          <w:tcPr>
            <w:tcW w:w="588" w:type="pct"/>
            <w:tcBorders>
              <w:bottom w:val="single" w:sz="4" w:space="0" w:color="auto"/>
            </w:tcBorders>
            <w:shd w:val="clear" w:color="auto" w:fill="auto"/>
            <w:noWrap/>
            <w:hideMark/>
          </w:tcPr>
          <w:p w14:paraId="6581D3FE"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8.5%</w:t>
            </w:r>
          </w:p>
        </w:tc>
        <w:tc>
          <w:tcPr>
            <w:tcW w:w="672" w:type="pct"/>
            <w:tcBorders>
              <w:bottom w:val="single" w:sz="4" w:space="0" w:color="auto"/>
            </w:tcBorders>
            <w:shd w:val="clear" w:color="auto" w:fill="auto"/>
            <w:noWrap/>
            <w:hideMark/>
          </w:tcPr>
          <w:p w14:paraId="40AEA3D8"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2.4%</w:t>
            </w:r>
          </w:p>
        </w:tc>
        <w:tc>
          <w:tcPr>
            <w:tcW w:w="672" w:type="pct"/>
            <w:tcBorders>
              <w:bottom w:val="single" w:sz="4" w:space="0" w:color="auto"/>
            </w:tcBorders>
            <w:shd w:val="clear" w:color="auto" w:fill="auto"/>
            <w:noWrap/>
            <w:hideMark/>
          </w:tcPr>
          <w:p w14:paraId="06D076E1"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3.9%</w:t>
            </w:r>
          </w:p>
        </w:tc>
        <w:tc>
          <w:tcPr>
            <w:tcW w:w="672" w:type="pct"/>
            <w:tcBorders>
              <w:bottom w:val="single" w:sz="4" w:space="0" w:color="auto"/>
              <w:right w:val="dotted" w:sz="4" w:space="0" w:color="auto"/>
            </w:tcBorders>
            <w:shd w:val="clear" w:color="auto" w:fill="auto"/>
            <w:noWrap/>
            <w:hideMark/>
          </w:tcPr>
          <w:p w14:paraId="066D4E50"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3.9%</w:t>
            </w:r>
          </w:p>
        </w:tc>
        <w:tc>
          <w:tcPr>
            <w:tcW w:w="670" w:type="pct"/>
            <w:tcBorders>
              <w:top w:val="nil"/>
              <w:left w:val="dotted" w:sz="4" w:space="0" w:color="auto"/>
              <w:bottom w:val="single" w:sz="4" w:space="0" w:color="auto"/>
            </w:tcBorders>
            <w:shd w:val="clear" w:color="auto" w:fill="auto"/>
            <w:noWrap/>
            <w:hideMark/>
          </w:tcPr>
          <w:p w14:paraId="2A620BDC"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3.4%</w:t>
            </w:r>
          </w:p>
        </w:tc>
      </w:tr>
      <w:tr w:rsidR="00287865" w:rsidRPr="008778A8" w14:paraId="6F440BAE" w14:textId="77777777" w:rsidTr="00287865">
        <w:trPr>
          <w:cnfStyle w:val="000000010000" w:firstRow="0" w:lastRow="0" w:firstColumn="0" w:lastColumn="0" w:oddVBand="0" w:evenVBand="0" w:oddHBand="0" w:evenHBand="1" w:firstRowFirstColumn="0" w:firstRowLastColumn="0" w:lastRowFirstColumn="0" w:lastRowLastColumn="0"/>
          <w:trHeight w:hRule="exact" w:val="244"/>
        </w:trPr>
        <w:tc>
          <w:tcPr>
            <w:cnfStyle w:val="001000000000" w:firstRow="0" w:lastRow="0" w:firstColumn="1" w:lastColumn="0" w:oddVBand="0" w:evenVBand="0" w:oddHBand="0" w:evenHBand="0" w:firstRowFirstColumn="0" w:firstRowLastColumn="0" w:lastRowFirstColumn="0" w:lastRowLastColumn="0"/>
            <w:tcW w:w="1177" w:type="pct"/>
            <w:tcBorders>
              <w:top w:val="single" w:sz="4" w:space="0" w:color="auto"/>
              <w:bottom w:val="single" w:sz="4" w:space="0" w:color="auto"/>
            </w:tcBorders>
            <w:shd w:val="clear" w:color="auto" w:fill="D4C5D7"/>
            <w:noWrap/>
            <w:hideMark/>
          </w:tcPr>
          <w:p w14:paraId="241CEF77" w14:textId="77777777" w:rsidR="00287865" w:rsidRPr="00D72D94" w:rsidRDefault="00287865" w:rsidP="009B4009">
            <w:pPr>
              <w:keepNext/>
              <w:spacing w:after="0" w:line="240" w:lineRule="auto"/>
              <w:rPr>
                <w:rFonts w:eastAsia="Times New Roman" w:cs="Arial"/>
                <w:b/>
                <w:bCs/>
                <w:color w:val="000000"/>
                <w:sz w:val="18"/>
                <w:szCs w:val="18"/>
                <w:lang w:eastAsia="zh-CN"/>
              </w:rPr>
            </w:pPr>
            <w:r w:rsidRPr="00D72D94">
              <w:rPr>
                <w:rFonts w:eastAsia="Times New Roman" w:cs="Arial"/>
                <w:b/>
                <w:bCs/>
                <w:color w:val="000000"/>
                <w:sz w:val="18"/>
                <w:szCs w:val="18"/>
                <w:lang w:eastAsia="zh-CN"/>
              </w:rPr>
              <w:t>Total</w:t>
            </w:r>
          </w:p>
        </w:tc>
        <w:tc>
          <w:tcPr>
            <w:tcW w:w="549" w:type="pct"/>
            <w:tcBorders>
              <w:top w:val="single" w:sz="4" w:space="0" w:color="auto"/>
              <w:bottom w:val="single" w:sz="4" w:space="0" w:color="auto"/>
            </w:tcBorders>
            <w:shd w:val="clear" w:color="auto" w:fill="D4C5D7"/>
            <w:noWrap/>
            <w:hideMark/>
          </w:tcPr>
          <w:p w14:paraId="051B6AB2"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p>
        </w:tc>
        <w:tc>
          <w:tcPr>
            <w:tcW w:w="588" w:type="pct"/>
            <w:tcBorders>
              <w:top w:val="single" w:sz="4" w:space="0" w:color="auto"/>
              <w:bottom w:val="single" w:sz="4" w:space="0" w:color="auto"/>
            </w:tcBorders>
            <w:shd w:val="clear" w:color="auto" w:fill="D4C5D7"/>
            <w:noWrap/>
            <w:hideMark/>
          </w:tcPr>
          <w:p w14:paraId="07D8E690"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7.2%</w:t>
            </w:r>
          </w:p>
        </w:tc>
        <w:tc>
          <w:tcPr>
            <w:tcW w:w="672" w:type="pct"/>
            <w:tcBorders>
              <w:top w:val="single" w:sz="4" w:space="0" w:color="auto"/>
              <w:bottom w:val="single" w:sz="4" w:space="0" w:color="auto"/>
            </w:tcBorders>
            <w:shd w:val="clear" w:color="auto" w:fill="D4C5D7"/>
            <w:noWrap/>
            <w:hideMark/>
          </w:tcPr>
          <w:p w14:paraId="2711E91F"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2.6%</w:t>
            </w:r>
          </w:p>
        </w:tc>
        <w:tc>
          <w:tcPr>
            <w:tcW w:w="672" w:type="pct"/>
            <w:tcBorders>
              <w:top w:val="single" w:sz="4" w:space="0" w:color="auto"/>
              <w:bottom w:val="single" w:sz="4" w:space="0" w:color="auto"/>
            </w:tcBorders>
            <w:shd w:val="clear" w:color="auto" w:fill="D4C5D7"/>
            <w:noWrap/>
            <w:hideMark/>
          </w:tcPr>
          <w:p w14:paraId="752916B0"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3.6%</w:t>
            </w:r>
          </w:p>
        </w:tc>
        <w:tc>
          <w:tcPr>
            <w:tcW w:w="672" w:type="pct"/>
            <w:tcBorders>
              <w:top w:val="single" w:sz="4" w:space="0" w:color="auto"/>
              <w:bottom w:val="single" w:sz="4" w:space="0" w:color="auto"/>
              <w:right w:val="dotted" w:sz="4" w:space="0" w:color="auto"/>
            </w:tcBorders>
            <w:shd w:val="clear" w:color="auto" w:fill="D4C5D7"/>
            <w:noWrap/>
            <w:hideMark/>
          </w:tcPr>
          <w:p w14:paraId="44584244"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3.6%</w:t>
            </w:r>
          </w:p>
        </w:tc>
        <w:tc>
          <w:tcPr>
            <w:tcW w:w="670" w:type="pct"/>
            <w:tcBorders>
              <w:top w:val="single" w:sz="4" w:space="0" w:color="auto"/>
              <w:left w:val="dotted" w:sz="4" w:space="0" w:color="auto"/>
              <w:bottom w:val="single" w:sz="4" w:space="0" w:color="auto"/>
            </w:tcBorders>
            <w:shd w:val="clear" w:color="auto" w:fill="D4C5D7"/>
            <w:noWrap/>
            <w:hideMark/>
          </w:tcPr>
          <w:p w14:paraId="08F30CF0"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3.3%</w:t>
            </w:r>
          </w:p>
        </w:tc>
      </w:tr>
      <w:tr w:rsidR="00287865" w:rsidRPr="008778A8" w14:paraId="134359F8" w14:textId="77777777" w:rsidTr="00287865">
        <w:trPr>
          <w:trHeight w:hRule="exact" w:val="244"/>
        </w:trPr>
        <w:tc>
          <w:tcPr>
            <w:cnfStyle w:val="001000000000" w:firstRow="0" w:lastRow="0" w:firstColumn="1" w:lastColumn="0" w:oddVBand="0" w:evenVBand="0" w:oddHBand="0" w:evenHBand="0" w:firstRowFirstColumn="0" w:firstRowLastColumn="0" w:lastRowFirstColumn="0" w:lastRowLastColumn="0"/>
            <w:tcW w:w="1177" w:type="pct"/>
            <w:tcBorders>
              <w:top w:val="single" w:sz="4" w:space="0" w:color="auto"/>
            </w:tcBorders>
            <w:shd w:val="clear" w:color="auto" w:fill="auto"/>
            <w:noWrap/>
            <w:hideMark/>
          </w:tcPr>
          <w:p w14:paraId="208110C4" w14:textId="77777777" w:rsidR="00287865" w:rsidRPr="00D72D94" w:rsidRDefault="00287865" w:rsidP="009B4009">
            <w:pPr>
              <w:keepNext/>
              <w:spacing w:after="0" w:line="240" w:lineRule="auto"/>
              <w:rPr>
                <w:rFonts w:eastAsia="Times New Roman" w:cs="Arial"/>
                <w:b/>
                <w:bCs/>
                <w:color w:val="000000"/>
                <w:sz w:val="18"/>
                <w:szCs w:val="18"/>
                <w:lang w:eastAsia="zh-CN"/>
              </w:rPr>
            </w:pPr>
            <w:r>
              <w:rPr>
                <w:rFonts w:eastAsia="Times New Roman" w:cs="Arial"/>
                <w:b/>
                <w:bCs/>
                <w:color w:val="000000"/>
                <w:sz w:val="18"/>
                <w:szCs w:val="18"/>
                <w:lang w:eastAsia="zh-CN"/>
              </w:rPr>
              <w:t xml:space="preserve">Additional </w:t>
            </w:r>
            <w:r w:rsidRPr="00D72D94">
              <w:rPr>
                <w:rFonts w:eastAsia="Times New Roman" w:cs="Arial"/>
                <w:b/>
                <w:bCs/>
                <w:color w:val="000000"/>
                <w:sz w:val="18"/>
                <w:szCs w:val="18"/>
                <w:lang w:eastAsia="zh-CN"/>
              </w:rPr>
              <w:t>inflation</w:t>
            </w:r>
          </w:p>
        </w:tc>
        <w:tc>
          <w:tcPr>
            <w:tcW w:w="549" w:type="pct"/>
            <w:tcBorders>
              <w:top w:val="single" w:sz="4" w:space="0" w:color="auto"/>
            </w:tcBorders>
            <w:shd w:val="clear" w:color="auto" w:fill="auto"/>
            <w:noWrap/>
            <w:hideMark/>
          </w:tcPr>
          <w:p w14:paraId="126D011A"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p>
        </w:tc>
        <w:tc>
          <w:tcPr>
            <w:tcW w:w="588" w:type="pct"/>
            <w:tcBorders>
              <w:top w:val="single" w:sz="4" w:space="0" w:color="auto"/>
            </w:tcBorders>
            <w:shd w:val="clear" w:color="auto" w:fill="auto"/>
            <w:noWrap/>
            <w:hideMark/>
          </w:tcPr>
          <w:p w14:paraId="7AD00A60"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p>
        </w:tc>
        <w:tc>
          <w:tcPr>
            <w:tcW w:w="672" w:type="pct"/>
            <w:tcBorders>
              <w:top w:val="single" w:sz="4" w:space="0" w:color="auto"/>
            </w:tcBorders>
            <w:shd w:val="clear" w:color="auto" w:fill="auto"/>
            <w:noWrap/>
            <w:hideMark/>
          </w:tcPr>
          <w:p w14:paraId="1A2AED1A"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p>
        </w:tc>
        <w:tc>
          <w:tcPr>
            <w:tcW w:w="672" w:type="pct"/>
            <w:tcBorders>
              <w:top w:val="single" w:sz="4" w:space="0" w:color="auto"/>
            </w:tcBorders>
            <w:shd w:val="clear" w:color="auto" w:fill="auto"/>
            <w:noWrap/>
            <w:hideMark/>
          </w:tcPr>
          <w:p w14:paraId="7BD6CB65"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p>
        </w:tc>
        <w:tc>
          <w:tcPr>
            <w:tcW w:w="672" w:type="pct"/>
            <w:tcBorders>
              <w:top w:val="single" w:sz="4" w:space="0" w:color="auto"/>
              <w:right w:val="dotted" w:sz="4" w:space="0" w:color="auto"/>
            </w:tcBorders>
            <w:shd w:val="clear" w:color="auto" w:fill="auto"/>
            <w:noWrap/>
            <w:hideMark/>
          </w:tcPr>
          <w:p w14:paraId="7A45D06F"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p>
        </w:tc>
        <w:tc>
          <w:tcPr>
            <w:tcW w:w="670" w:type="pct"/>
            <w:tcBorders>
              <w:top w:val="single" w:sz="4" w:space="0" w:color="auto"/>
              <w:left w:val="dotted" w:sz="4" w:space="0" w:color="auto"/>
              <w:bottom w:val="nil"/>
            </w:tcBorders>
            <w:shd w:val="clear" w:color="auto" w:fill="auto"/>
            <w:noWrap/>
            <w:hideMark/>
          </w:tcPr>
          <w:p w14:paraId="635A1E25"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p>
        </w:tc>
      </w:tr>
      <w:tr w:rsidR="00287865" w:rsidRPr="008778A8" w14:paraId="5E0CAD06" w14:textId="77777777" w:rsidTr="00287865">
        <w:trPr>
          <w:cnfStyle w:val="000000010000" w:firstRow="0" w:lastRow="0" w:firstColumn="0" w:lastColumn="0" w:oddVBand="0" w:evenVBand="0" w:oddHBand="0" w:evenHBand="1" w:firstRowFirstColumn="0" w:firstRowLastColumn="0" w:lastRowFirstColumn="0" w:lastRowLastColumn="0"/>
          <w:trHeight w:hRule="exact" w:val="244"/>
        </w:trPr>
        <w:tc>
          <w:tcPr>
            <w:cnfStyle w:val="001000000000" w:firstRow="0" w:lastRow="0" w:firstColumn="1" w:lastColumn="0" w:oddVBand="0" w:evenVBand="0" w:oddHBand="0" w:evenHBand="0" w:firstRowFirstColumn="0" w:firstRowLastColumn="0" w:lastRowFirstColumn="0" w:lastRowLastColumn="0"/>
            <w:tcW w:w="1177" w:type="pct"/>
            <w:noWrap/>
            <w:hideMark/>
          </w:tcPr>
          <w:p w14:paraId="19DF417C" w14:textId="77777777" w:rsidR="00287865" w:rsidRPr="00D72D94" w:rsidRDefault="00287865" w:rsidP="009B4009">
            <w:pPr>
              <w:keepNext/>
              <w:spacing w:after="0" w:line="240" w:lineRule="auto"/>
              <w:rPr>
                <w:rFonts w:eastAsia="Times New Roman" w:cs="Arial"/>
                <w:sz w:val="18"/>
                <w:szCs w:val="18"/>
                <w:lang w:eastAsia="zh-CN"/>
              </w:rPr>
            </w:pPr>
            <w:r w:rsidRPr="00D72D94">
              <w:rPr>
                <w:rFonts w:eastAsia="Times New Roman" w:cs="Arial"/>
                <w:sz w:val="18"/>
                <w:szCs w:val="18"/>
                <w:lang w:eastAsia="zh-CN"/>
              </w:rPr>
              <w:t>Non-SIL</w:t>
            </w:r>
          </w:p>
        </w:tc>
        <w:tc>
          <w:tcPr>
            <w:tcW w:w="549" w:type="pct"/>
            <w:noWrap/>
            <w:hideMark/>
          </w:tcPr>
          <w:p w14:paraId="24DFE2FA"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588" w:type="pct"/>
            <w:noWrap/>
            <w:hideMark/>
          </w:tcPr>
          <w:p w14:paraId="3C135BC0"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3.8%</w:t>
            </w:r>
          </w:p>
        </w:tc>
        <w:tc>
          <w:tcPr>
            <w:tcW w:w="672" w:type="pct"/>
            <w:noWrap/>
            <w:hideMark/>
          </w:tcPr>
          <w:p w14:paraId="4DB3A0CD"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3.2%</w:t>
            </w:r>
          </w:p>
        </w:tc>
        <w:tc>
          <w:tcPr>
            <w:tcW w:w="672" w:type="pct"/>
            <w:noWrap/>
            <w:hideMark/>
          </w:tcPr>
          <w:p w14:paraId="7F2CC052"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6.3%</w:t>
            </w:r>
          </w:p>
        </w:tc>
        <w:tc>
          <w:tcPr>
            <w:tcW w:w="672" w:type="pct"/>
            <w:tcBorders>
              <w:right w:val="dotted" w:sz="4" w:space="0" w:color="auto"/>
            </w:tcBorders>
            <w:noWrap/>
            <w:hideMark/>
          </w:tcPr>
          <w:p w14:paraId="72DB008C"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5.3%</w:t>
            </w:r>
          </w:p>
        </w:tc>
        <w:tc>
          <w:tcPr>
            <w:tcW w:w="670" w:type="pct"/>
            <w:tcBorders>
              <w:top w:val="nil"/>
              <w:left w:val="dotted" w:sz="4" w:space="0" w:color="auto"/>
              <w:bottom w:val="nil"/>
            </w:tcBorders>
            <w:noWrap/>
            <w:hideMark/>
          </w:tcPr>
          <w:p w14:paraId="56B0F750"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2.2%</w:t>
            </w:r>
          </w:p>
        </w:tc>
      </w:tr>
      <w:tr w:rsidR="00287865" w:rsidRPr="008778A8" w14:paraId="54B961AA" w14:textId="77777777" w:rsidTr="00287865">
        <w:trPr>
          <w:trHeight w:hRule="exact" w:val="244"/>
        </w:trPr>
        <w:tc>
          <w:tcPr>
            <w:cnfStyle w:val="001000000000" w:firstRow="0" w:lastRow="0" w:firstColumn="1" w:lastColumn="0" w:oddVBand="0" w:evenVBand="0" w:oddHBand="0" w:evenHBand="0" w:firstRowFirstColumn="0" w:firstRowLastColumn="0" w:lastRowFirstColumn="0" w:lastRowLastColumn="0"/>
            <w:tcW w:w="1177" w:type="pct"/>
            <w:tcBorders>
              <w:bottom w:val="single" w:sz="4" w:space="0" w:color="auto"/>
            </w:tcBorders>
            <w:shd w:val="clear" w:color="auto" w:fill="auto"/>
            <w:noWrap/>
            <w:hideMark/>
          </w:tcPr>
          <w:p w14:paraId="2756ADC7" w14:textId="77777777" w:rsidR="00287865" w:rsidRPr="00D72D94" w:rsidRDefault="00287865" w:rsidP="009B4009">
            <w:pPr>
              <w:keepNext/>
              <w:spacing w:after="0" w:line="240" w:lineRule="auto"/>
              <w:rPr>
                <w:rFonts w:eastAsia="Times New Roman" w:cs="Arial"/>
                <w:sz w:val="18"/>
                <w:szCs w:val="18"/>
                <w:lang w:eastAsia="zh-CN"/>
              </w:rPr>
            </w:pPr>
            <w:r w:rsidRPr="00D72D94">
              <w:rPr>
                <w:rFonts w:eastAsia="Times New Roman" w:cs="Arial"/>
                <w:sz w:val="18"/>
                <w:szCs w:val="18"/>
                <w:lang w:eastAsia="zh-CN"/>
              </w:rPr>
              <w:t>SIL</w:t>
            </w:r>
          </w:p>
        </w:tc>
        <w:tc>
          <w:tcPr>
            <w:tcW w:w="549" w:type="pct"/>
            <w:tcBorders>
              <w:bottom w:val="single" w:sz="4" w:space="0" w:color="auto"/>
            </w:tcBorders>
            <w:shd w:val="clear" w:color="auto" w:fill="auto"/>
            <w:noWrap/>
            <w:hideMark/>
          </w:tcPr>
          <w:p w14:paraId="435562AA"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p>
        </w:tc>
        <w:tc>
          <w:tcPr>
            <w:tcW w:w="588" w:type="pct"/>
            <w:tcBorders>
              <w:bottom w:val="single" w:sz="4" w:space="0" w:color="auto"/>
            </w:tcBorders>
            <w:shd w:val="clear" w:color="auto" w:fill="auto"/>
            <w:noWrap/>
            <w:hideMark/>
          </w:tcPr>
          <w:p w14:paraId="3DB6F684"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2.6%</w:t>
            </w:r>
          </w:p>
        </w:tc>
        <w:tc>
          <w:tcPr>
            <w:tcW w:w="672" w:type="pct"/>
            <w:tcBorders>
              <w:bottom w:val="single" w:sz="4" w:space="0" w:color="auto"/>
            </w:tcBorders>
            <w:shd w:val="clear" w:color="auto" w:fill="auto"/>
            <w:noWrap/>
            <w:hideMark/>
          </w:tcPr>
          <w:p w14:paraId="2F1BE8DE"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2.4%</w:t>
            </w:r>
          </w:p>
        </w:tc>
        <w:tc>
          <w:tcPr>
            <w:tcW w:w="672" w:type="pct"/>
            <w:tcBorders>
              <w:bottom w:val="single" w:sz="4" w:space="0" w:color="auto"/>
            </w:tcBorders>
            <w:shd w:val="clear" w:color="auto" w:fill="auto"/>
            <w:noWrap/>
            <w:hideMark/>
          </w:tcPr>
          <w:p w14:paraId="5CC147FD"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5.2%</w:t>
            </w:r>
          </w:p>
        </w:tc>
        <w:tc>
          <w:tcPr>
            <w:tcW w:w="672" w:type="pct"/>
            <w:tcBorders>
              <w:bottom w:val="single" w:sz="4" w:space="0" w:color="auto"/>
              <w:right w:val="dotted" w:sz="4" w:space="0" w:color="auto"/>
            </w:tcBorders>
            <w:shd w:val="clear" w:color="auto" w:fill="auto"/>
            <w:noWrap/>
            <w:hideMark/>
          </w:tcPr>
          <w:p w14:paraId="7DF3AFB7"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4.2%</w:t>
            </w:r>
          </w:p>
        </w:tc>
        <w:tc>
          <w:tcPr>
            <w:tcW w:w="670" w:type="pct"/>
            <w:tcBorders>
              <w:top w:val="nil"/>
              <w:left w:val="dotted" w:sz="4" w:space="0" w:color="auto"/>
              <w:bottom w:val="single" w:sz="4" w:space="0" w:color="auto"/>
            </w:tcBorders>
            <w:shd w:val="clear" w:color="auto" w:fill="auto"/>
            <w:noWrap/>
            <w:hideMark/>
          </w:tcPr>
          <w:p w14:paraId="08A8F486" w14:textId="77777777" w:rsidR="00287865" w:rsidRPr="00D72D94" w:rsidRDefault="00287865" w:rsidP="009B4009">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72D94">
              <w:rPr>
                <w:rFonts w:cs="Arial"/>
                <w:sz w:val="18"/>
                <w:szCs w:val="18"/>
              </w:rPr>
              <w:t>1.6%</w:t>
            </w:r>
          </w:p>
        </w:tc>
      </w:tr>
      <w:tr w:rsidR="00287865" w:rsidRPr="008778A8" w14:paraId="4903DDE2" w14:textId="77777777" w:rsidTr="00287865">
        <w:trPr>
          <w:cnfStyle w:val="000000010000" w:firstRow="0" w:lastRow="0" w:firstColumn="0" w:lastColumn="0" w:oddVBand="0" w:evenVBand="0" w:oddHBand="0" w:evenHBand="1" w:firstRowFirstColumn="0" w:firstRowLastColumn="0" w:lastRowFirstColumn="0" w:lastRowLastColumn="0"/>
          <w:trHeight w:hRule="exact" w:val="244"/>
        </w:trPr>
        <w:tc>
          <w:tcPr>
            <w:cnfStyle w:val="001000000000" w:firstRow="0" w:lastRow="0" w:firstColumn="1" w:lastColumn="0" w:oddVBand="0" w:evenVBand="0" w:oddHBand="0" w:evenHBand="0" w:firstRowFirstColumn="0" w:firstRowLastColumn="0" w:lastRowFirstColumn="0" w:lastRowLastColumn="0"/>
            <w:tcW w:w="1177" w:type="pct"/>
            <w:tcBorders>
              <w:top w:val="single" w:sz="4" w:space="0" w:color="auto"/>
              <w:bottom w:val="single" w:sz="4" w:space="0" w:color="auto"/>
            </w:tcBorders>
            <w:shd w:val="clear" w:color="auto" w:fill="D4C5D7"/>
            <w:noWrap/>
            <w:hideMark/>
          </w:tcPr>
          <w:p w14:paraId="66E49E4F" w14:textId="77777777" w:rsidR="00287865" w:rsidRPr="00D72D94" w:rsidRDefault="00287865" w:rsidP="009B4009">
            <w:pPr>
              <w:keepNext/>
              <w:spacing w:after="0" w:line="240" w:lineRule="auto"/>
              <w:rPr>
                <w:rFonts w:eastAsia="Times New Roman" w:cs="Arial"/>
                <w:b/>
                <w:bCs/>
                <w:color w:val="000000"/>
                <w:sz w:val="18"/>
                <w:szCs w:val="18"/>
                <w:lang w:eastAsia="zh-CN"/>
              </w:rPr>
            </w:pPr>
            <w:r w:rsidRPr="00D72D94">
              <w:rPr>
                <w:rFonts w:eastAsia="Times New Roman" w:cs="Arial"/>
                <w:b/>
                <w:bCs/>
                <w:color w:val="000000"/>
                <w:sz w:val="18"/>
                <w:szCs w:val="18"/>
                <w:lang w:eastAsia="zh-CN"/>
              </w:rPr>
              <w:t>Total</w:t>
            </w:r>
          </w:p>
        </w:tc>
        <w:tc>
          <w:tcPr>
            <w:tcW w:w="549" w:type="pct"/>
            <w:tcBorders>
              <w:top w:val="single" w:sz="4" w:space="0" w:color="auto"/>
              <w:bottom w:val="single" w:sz="4" w:space="0" w:color="auto"/>
            </w:tcBorders>
            <w:shd w:val="clear" w:color="auto" w:fill="D4C5D7"/>
            <w:noWrap/>
            <w:hideMark/>
          </w:tcPr>
          <w:p w14:paraId="6B9A1796"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p>
        </w:tc>
        <w:tc>
          <w:tcPr>
            <w:tcW w:w="588" w:type="pct"/>
            <w:tcBorders>
              <w:top w:val="single" w:sz="4" w:space="0" w:color="auto"/>
              <w:bottom w:val="single" w:sz="4" w:space="0" w:color="auto"/>
            </w:tcBorders>
            <w:shd w:val="clear" w:color="auto" w:fill="D4C5D7"/>
            <w:noWrap/>
            <w:hideMark/>
          </w:tcPr>
          <w:p w14:paraId="1187BBFF"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3.4%</w:t>
            </w:r>
          </w:p>
        </w:tc>
        <w:tc>
          <w:tcPr>
            <w:tcW w:w="672" w:type="pct"/>
            <w:tcBorders>
              <w:top w:val="single" w:sz="4" w:space="0" w:color="auto"/>
              <w:bottom w:val="single" w:sz="4" w:space="0" w:color="auto"/>
            </w:tcBorders>
            <w:shd w:val="clear" w:color="auto" w:fill="D4C5D7"/>
            <w:noWrap/>
            <w:hideMark/>
          </w:tcPr>
          <w:p w14:paraId="1F43EBB2"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3.0%</w:t>
            </w:r>
          </w:p>
        </w:tc>
        <w:tc>
          <w:tcPr>
            <w:tcW w:w="672" w:type="pct"/>
            <w:tcBorders>
              <w:top w:val="single" w:sz="4" w:space="0" w:color="auto"/>
              <w:bottom w:val="single" w:sz="4" w:space="0" w:color="auto"/>
            </w:tcBorders>
            <w:shd w:val="clear" w:color="auto" w:fill="D4C5D7"/>
            <w:noWrap/>
            <w:hideMark/>
          </w:tcPr>
          <w:p w14:paraId="0BB5DF23"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6.0%</w:t>
            </w:r>
          </w:p>
        </w:tc>
        <w:tc>
          <w:tcPr>
            <w:tcW w:w="672" w:type="pct"/>
            <w:tcBorders>
              <w:top w:val="single" w:sz="4" w:space="0" w:color="auto"/>
              <w:bottom w:val="single" w:sz="4" w:space="0" w:color="auto"/>
              <w:right w:val="dotted" w:sz="4" w:space="0" w:color="auto"/>
            </w:tcBorders>
            <w:shd w:val="clear" w:color="auto" w:fill="D4C5D7"/>
            <w:noWrap/>
            <w:hideMark/>
          </w:tcPr>
          <w:p w14:paraId="5B3E0287"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5.0%</w:t>
            </w:r>
          </w:p>
        </w:tc>
        <w:tc>
          <w:tcPr>
            <w:tcW w:w="670" w:type="pct"/>
            <w:tcBorders>
              <w:top w:val="single" w:sz="4" w:space="0" w:color="auto"/>
              <w:left w:val="dotted" w:sz="4" w:space="0" w:color="auto"/>
              <w:bottom w:val="single" w:sz="4" w:space="0" w:color="auto"/>
            </w:tcBorders>
            <w:shd w:val="clear" w:color="auto" w:fill="D4C5D7"/>
            <w:noWrap/>
            <w:hideMark/>
          </w:tcPr>
          <w:p w14:paraId="74F3D373" w14:textId="77777777" w:rsidR="00287865" w:rsidRPr="00D72D94" w:rsidRDefault="00287865" w:rsidP="009B4009">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72D94">
              <w:rPr>
                <w:rFonts w:cs="Arial"/>
                <w:sz w:val="18"/>
                <w:szCs w:val="18"/>
              </w:rPr>
              <w:t>2.0%</w:t>
            </w:r>
          </w:p>
        </w:tc>
      </w:tr>
    </w:tbl>
    <w:p w14:paraId="346411BA" w14:textId="77777777" w:rsidR="00BF7697" w:rsidRDefault="000F7D23" w:rsidP="00BF7697">
      <w:pPr>
        <w:pStyle w:val="FSRnormal"/>
        <w:rPr>
          <w:rFonts w:eastAsia="Times New Roman" w:cs="Arial"/>
          <w:lang w:eastAsia="en-AU"/>
        </w:rPr>
      </w:pPr>
      <w:r w:rsidRPr="00164A79">
        <w:t xml:space="preserve">Table </w:t>
      </w:r>
      <w:r>
        <w:rPr>
          <w:noProof/>
        </w:rPr>
        <w:t>5</w:t>
      </w:r>
      <w:r>
        <w:t>.</w:t>
      </w:r>
      <w:r>
        <w:rPr>
          <w:noProof/>
        </w:rPr>
        <w:t>25</w:t>
      </w:r>
      <w:r w:rsidR="00DE157A">
        <w:rPr>
          <w:rFonts w:eastAsia="Times New Roman" w:cs="Arial"/>
          <w:lang w:eastAsia="en-AU"/>
        </w:rPr>
        <w:t xml:space="preserve"> d</w:t>
      </w:r>
      <w:r w:rsidR="00BF7697" w:rsidRPr="00B45AC5">
        <w:rPr>
          <w:rFonts w:eastAsia="Times New Roman" w:cs="Arial"/>
          <w:lang w:eastAsia="en-AU"/>
        </w:rPr>
        <w:t xml:space="preserve">etails the resulting average annual payments by age group in each projection year after total inflation has been applied to the base average </w:t>
      </w:r>
      <w:r w:rsidR="00DE157A">
        <w:rPr>
          <w:rFonts w:eastAsia="Times New Roman" w:cs="Arial"/>
          <w:lang w:eastAsia="en-AU"/>
        </w:rPr>
        <w:t xml:space="preserve">payments </w:t>
      </w:r>
      <w:r w:rsidR="00BF7697" w:rsidRPr="00B45AC5">
        <w:rPr>
          <w:rFonts w:eastAsia="Times New Roman" w:cs="Arial"/>
          <w:lang w:eastAsia="en-AU"/>
        </w:rPr>
        <w:t>assumptions. </w:t>
      </w:r>
    </w:p>
    <w:p w14:paraId="7E08D240" w14:textId="77777777" w:rsidR="00BF7697" w:rsidRPr="00B45AC5" w:rsidRDefault="00BF7697" w:rsidP="00BF7697">
      <w:pPr>
        <w:spacing w:after="0" w:line="240" w:lineRule="auto"/>
        <w:textAlignment w:val="baseline"/>
        <w:rPr>
          <w:rFonts w:ascii="Segoe UI" w:eastAsia="Times New Roman" w:hAnsi="Segoe UI" w:cs="Segoe UI"/>
          <w:sz w:val="18"/>
          <w:szCs w:val="18"/>
          <w:lang w:eastAsia="en-AU"/>
        </w:rPr>
      </w:pPr>
    </w:p>
    <w:p w14:paraId="3376DE9B" w14:textId="77777777" w:rsidR="00BF7697" w:rsidRPr="00B45AC5" w:rsidRDefault="00BF7697" w:rsidP="00BF7697">
      <w:pPr>
        <w:pStyle w:val="Tables"/>
        <w:rPr>
          <w:rFonts w:ascii="Segoe UI" w:hAnsi="Segoe UI" w:cs="Segoe UI"/>
          <w:sz w:val="18"/>
        </w:rPr>
      </w:pPr>
      <w:bookmarkStart w:id="238" w:name="_Ref111630359"/>
      <w:bookmarkStart w:id="239" w:name="_Ref111901698"/>
      <w:r w:rsidRPr="00164A79">
        <w:t xml:space="preserve">Table </w:t>
      </w:r>
      <w:bookmarkEnd w:id="238"/>
      <w:r w:rsidR="00A87896">
        <w:fldChar w:fldCharType="begin"/>
      </w:r>
      <w:r w:rsidR="00A87896">
        <w:instrText xml:space="preserve"> STYLEREF 2 \s </w:instrText>
      </w:r>
      <w:r w:rsidR="00A87896">
        <w:fldChar w:fldCharType="separate"/>
      </w:r>
      <w:r w:rsidR="00A87896">
        <w:rPr>
          <w:noProof/>
        </w:rPr>
        <w:t>5</w:t>
      </w:r>
      <w:r w:rsidR="00A87896">
        <w:fldChar w:fldCharType="end"/>
      </w:r>
      <w:r w:rsidR="00A87896">
        <w:t>.</w:t>
      </w:r>
      <w:fldSimple w:instr=" SEQ Table \* ARABIC \s 2 ">
        <w:r w:rsidR="00A87896">
          <w:rPr>
            <w:noProof/>
          </w:rPr>
          <w:t>25</w:t>
        </w:r>
      </w:fldSimple>
      <w:bookmarkEnd w:id="239"/>
      <w:r w:rsidRPr="00164A79">
        <w:t>: Average annual payments ($) by age group and projection year</w:t>
      </w:r>
      <w:r w:rsidRPr="00B45AC5">
        <w:t> </w:t>
      </w:r>
    </w:p>
    <w:tbl>
      <w:tblPr>
        <w:tblStyle w:val="FSRtable"/>
        <w:tblW w:w="5000" w:type="pct"/>
        <w:tblInd w:w="0" w:type="dxa"/>
        <w:tblLayout w:type="fixed"/>
        <w:tblLook w:val="04A0" w:firstRow="1" w:lastRow="0" w:firstColumn="1" w:lastColumn="0" w:noHBand="0" w:noVBand="1"/>
      </w:tblPr>
      <w:tblGrid>
        <w:gridCol w:w="2127"/>
        <w:gridCol w:w="1231"/>
        <w:gridCol w:w="1417"/>
        <w:gridCol w:w="1417"/>
        <w:gridCol w:w="1417"/>
        <w:gridCol w:w="1417"/>
      </w:tblGrid>
      <w:tr w:rsidR="00BF7697" w:rsidRPr="008778A8" w14:paraId="6B30C50D" w14:textId="77777777" w:rsidTr="007B1EE1">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1178" w:type="pct"/>
            <w:vMerge w:val="restart"/>
            <w:noWrap/>
            <w:hideMark/>
          </w:tcPr>
          <w:p w14:paraId="7246B5CD" w14:textId="77777777" w:rsidR="00BF7697" w:rsidRPr="00D72D94" w:rsidRDefault="00BF7697" w:rsidP="00B17C79">
            <w:pPr>
              <w:keepNext/>
              <w:spacing w:after="0" w:line="240" w:lineRule="auto"/>
              <w:rPr>
                <w:rFonts w:eastAsia="Times New Roman"/>
                <w:bCs/>
                <w:color w:val="FFFFFF"/>
                <w:sz w:val="18"/>
                <w:szCs w:val="18"/>
                <w:lang w:eastAsia="en-AU"/>
              </w:rPr>
            </w:pPr>
            <w:r w:rsidRPr="00D72D94">
              <w:rPr>
                <w:rFonts w:eastAsia="Times New Roman"/>
                <w:bCs/>
                <w:color w:val="FFFFFF"/>
                <w:sz w:val="18"/>
                <w:szCs w:val="18"/>
                <w:lang w:eastAsia="en-AU"/>
              </w:rPr>
              <w:t>Age group</w:t>
            </w:r>
          </w:p>
        </w:tc>
        <w:tc>
          <w:tcPr>
            <w:tcW w:w="3822" w:type="pct"/>
            <w:gridSpan w:val="5"/>
            <w:tcBorders>
              <w:top w:val="single" w:sz="4" w:space="0" w:color="auto"/>
              <w:bottom w:val="single" w:sz="4" w:space="0" w:color="FFFFFF" w:themeColor="background1"/>
            </w:tcBorders>
            <w:noWrap/>
            <w:hideMark/>
          </w:tcPr>
          <w:p w14:paraId="1DB95CFB" w14:textId="77777777" w:rsidR="00BF7697" w:rsidRPr="00D72D94" w:rsidRDefault="00BF7697" w:rsidP="00B17C79">
            <w:pPr>
              <w:keepNext/>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D72D94">
              <w:rPr>
                <w:rFonts w:eastAsia="Times New Roman"/>
                <w:bCs/>
                <w:color w:val="FFFFFF"/>
                <w:sz w:val="18"/>
                <w:szCs w:val="18"/>
                <w:lang w:eastAsia="en-AU"/>
              </w:rPr>
              <w:t>Projection year</w:t>
            </w:r>
          </w:p>
        </w:tc>
      </w:tr>
      <w:tr w:rsidR="00BF7697" w:rsidRPr="008778A8" w14:paraId="7C4FFB77" w14:textId="77777777" w:rsidTr="007B1EE1">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1178" w:type="pct"/>
            <w:vMerge/>
            <w:hideMark/>
          </w:tcPr>
          <w:p w14:paraId="49046295" w14:textId="77777777" w:rsidR="00BF7697" w:rsidRPr="00D72D94" w:rsidRDefault="00BF7697" w:rsidP="00B17C79">
            <w:pPr>
              <w:keepNext/>
              <w:spacing w:after="0" w:line="240" w:lineRule="auto"/>
              <w:rPr>
                <w:rFonts w:eastAsia="Times New Roman"/>
                <w:b w:val="0"/>
                <w:bCs/>
                <w:color w:val="FFFFFF"/>
                <w:sz w:val="18"/>
                <w:szCs w:val="18"/>
                <w:lang w:eastAsia="en-AU"/>
              </w:rPr>
            </w:pPr>
          </w:p>
        </w:tc>
        <w:tc>
          <w:tcPr>
            <w:tcW w:w="682" w:type="pct"/>
            <w:tcBorders>
              <w:top w:val="single" w:sz="4" w:space="0" w:color="FFFFFF" w:themeColor="background1"/>
            </w:tcBorders>
            <w:noWrap/>
            <w:hideMark/>
          </w:tcPr>
          <w:p w14:paraId="4846C678" w14:textId="77777777" w:rsidR="00BF7697" w:rsidRPr="00191697"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191697">
              <w:rPr>
                <w:rFonts w:eastAsia="Times New Roman"/>
                <w:bCs/>
                <w:color w:val="FFFFFF"/>
                <w:sz w:val="18"/>
                <w:szCs w:val="18"/>
                <w:lang w:eastAsia="en-AU"/>
              </w:rPr>
              <w:t>2022-23</w:t>
            </w:r>
          </w:p>
        </w:tc>
        <w:tc>
          <w:tcPr>
            <w:tcW w:w="785" w:type="pct"/>
            <w:tcBorders>
              <w:top w:val="single" w:sz="4" w:space="0" w:color="FFFFFF" w:themeColor="background1"/>
            </w:tcBorders>
            <w:noWrap/>
            <w:hideMark/>
          </w:tcPr>
          <w:p w14:paraId="5E38C95A" w14:textId="77777777" w:rsidR="00BF7697" w:rsidRPr="00191697"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191697">
              <w:rPr>
                <w:rFonts w:eastAsia="Times New Roman"/>
                <w:bCs/>
                <w:color w:val="FFFFFF"/>
                <w:sz w:val="18"/>
                <w:szCs w:val="18"/>
                <w:lang w:eastAsia="en-AU"/>
              </w:rPr>
              <w:t>2023-24</w:t>
            </w:r>
          </w:p>
        </w:tc>
        <w:tc>
          <w:tcPr>
            <w:tcW w:w="785" w:type="pct"/>
            <w:tcBorders>
              <w:top w:val="single" w:sz="4" w:space="0" w:color="FFFFFF" w:themeColor="background1"/>
            </w:tcBorders>
            <w:noWrap/>
            <w:hideMark/>
          </w:tcPr>
          <w:p w14:paraId="439160C8" w14:textId="77777777" w:rsidR="00BF7697" w:rsidRPr="00191697"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191697">
              <w:rPr>
                <w:rFonts w:eastAsia="Times New Roman"/>
                <w:bCs/>
                <w:color w:val="FFFFFF"/>
                <w:sz w:val="18"/>
                <w:szCs w:val="18"/>
                <w:lang w:eastAsia="en-AU"/>
              </w:rPr>
              <w:t>2024-25</w:t>
            </w:r>
          </w:p>
        </w:tc>
        <w:tc>
          <w:tcPr>
            <w:tcW w:w="785" w:type="pct"/>
            <w:tcBorders>
              <w:top w:val="single" w:sz="4" w:space="0" w:color="FFFFFF" w:themeColor="background1"/>
              <w:right w:val="dotted" w:sz="4" w:space="0" w:color="auto"/>
            </w:tcBorders>
            <w:noWrap/>
            <w:hideMark/>
          </w:tcPr>
          <w:p w14:paraId="3B3A9F64" w14:textId="77777777" w:rsidR="00BF7697" w:rsidRPr="00191697"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191697">
              <w:rPr>
                <w:rFonts w:eastAsia="Times New Roman"/>
                <w:bCs/>
                <w:color w:val="FFFFFF"/>
                <w:sz w:val="18"/>
                <w:szCs w:val="18"/>
                <w:lang w:eastAsia="en-AU"/>
              </w:rPr>
              <w:t>2025-26</w:t>
            </w:r>
          </w:p>
        </w:tc>
        <w:tc>
          <w:tcPr>
            <w:tcW w:w="785" w:type="pct"/>
            <w:tcBorders>
              <w:top w:val="single" w:sz="4" w:space="0" w:color="FFFFFF" w:themeColor="background1"/>
              <w:left w:val="dotted" w:sz="4" w:space="0" w:color="auto"/>
            </w:tcBorders>
            <w:noWrap/>
            <w:hideMark/>
          </w:tcPr>
          <w:p w14:paraId="530184C9" w14:textId="77777777" w:rsidR="00BF7697" w:rsidRPr="00191697"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191697">
              <w:rPr>
                <w:rFonts w:eastAsia="Times New Roman"/>
                <w:bCs/>
                <w:color w:val="FFFFFF"/>
                <w:sz w:val="18"/>
                <w:szCs w:val="18"/>
                <w:lang w:eastAsia="en-AU"/>
              </w:rPr>
              <w:t>2031-32</w:t>
            </w:r>
          </w:p>
        </w:tc>
      </w:tr>
      <w:tr w:rsidR="008778A8" w:rsidRPr="008778A8" w14:paraId="55ED7A5D" w14:textId="77777777" w:rsidTr="007B1EE1">
        <w:trPr>
          <w:trHeight w:hRule="exact" w:val="301"/>
        </w:trPr>
        <w:tc>
          <w:tcPr>
            <w:cnfStyle w:val="001000000000" w:firstRow="0" w:lastRow="0" w:firstColumn="1" w:lastColumn="0" w:oddVBand="0" w:evenVBand="0" w:oddHBand="0" w:evenHBand="0" w:firstRowFirstColumn="0" w:firstRowLastColumn="0" w:lastRowFirstColumn="0" w:lastRowLastColumn="0"/>
            <w:tcW w:w="1178" w:type="pct"/>
            <w:shd w:val="clear" w:color="auto" w:fill="auto"/>
            <w:noWrap/>
            <w:hideMark/>
          </w:tcPr>
          <w:p w14:paraId="236F0C61" w14:textId="77777777" w:rsidR="008778A8" w:rsidRPr="00D72D94" w:rsidRDefault="008778A8" w:rsidP="008778A8">
            <w:pPr>
              <w:keepNext/>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Children (0 to 14)</w:t>
            </w:r>
          </w:p>
        </w:tc>
        <w:tc>
          <w:tcPr>
            <w:tcW w:w="682" w:type="pct"/>
            <w:shd w:val="clear" w:color="auto" w:fill="auto"/>
            <w:noWrap/>
            <w:hideMark/>
          </w:tcPr>
          <w:p w14:paraId="763A9A5C" w14:textId="77777777" w:rsidR="008778A8" w:rsidRPr="00D72D94" w:rsidRDefault="008778A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sz w:val="18"/>
                <w:szCs w:val="18"/>
              </w:rPr>
              <w:t>19,890</w:t>
            </w:r>
          </w:p>
        </w:tc>
        <w:tc>
          <w:tcPr>
            <w:tcW w:w="785" w:type="pct"/>
            <w:shd w:val="clear" w:color="auto" w:fill="auto"/>
            <w:noWrap/>
            <w:hideMark/>
          </w:tcPr>
          <w:p w14:paraId="4140B34F" w14:textId="77777777" w:rsidR="008778A8" w:rsidRPr="00D72D94" w:rsidRDefault="008778A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sz w:val="18"/>
                <w:szCs w:val="18"/>
              </w:rPr>
              <w:t>20,600</w:t>
            </w:r>
          </w:p>
        </w:tc>
        <w:tc>
          <w:tcPr>
            <w:tcW w:w="785" w:type="pct"/>
            <w:shd w:val="clear" w:color="auto" w:fill="auto"/>
            <w:noWrap/>
            <w:hideMark/>
          </w:tcPr>
          <w:p w14:paraId="6A2BA926" w14:textId="77777777" w:rsidR="008778A8" w:rsidRPr="00D72D94" w:rsidRDefault="008778A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sz w:val="18"/>
                <w:szCs w:val="18"/>
              </w:rPr>
              <w:t>22,100</w:t>
            </w:r>
          </w:p>
        </w:tc>
        <w:tc>
          <w:tcPr>
            <w:tcW w:w="785" w:type="pct"/>
            <w:tcBorders>
              <w:right w:val="dotted" w:sz="4" w:space="0" w:color="auto"/>
            </w:tcBorders>
            <w:shd w:val="clear" w:color="auto" w:fill="auto"/>
            <w:noWrap/>
            <w:hideMark/>
          </w:tcPr>
          <w:p w14:paraId="280513A3" w14:textId="77777777" w:rsidR="008778A8" w:rsidRPr="00D72D94" w:rsidRDefault="008778A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sz w:val="18"/>
                <w:szCs w:val="18"/>
              </w:rPr>
              <w:t>23,600</w:t>
            </w:r>
          </w:p>
        </w:tc>
        <w:tc>
          <w:tcPr>
            <w:tcW w:w="785" w:type="pct"/>
            <w:tcBorders>
              <w:left w:val="dotted" w:sz="4" w:space="0" w:color="auto"/>
            </w:tcBorders>
            <w:shd w:val="clear" w:color="auto" w:fill="auto"/>
            <w:noWrap/>
            <w:hideMark/>
          </w:tcPr>
          <w:p w14:paraId="65CF1F37" w14:textId="77777777" w:rsidR="008778A8" w:rsidRPr="00D72D94" w:rsidRDefault="008778A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sz w:val="18"/>
                <w:szCs w:val="18"/>
              </w:rPr>
              <w:t>29,100</w:t>
            </w:r>
          </w:p>
        </w:tc>
      </w:tr>
      <w:tr w:rsidR="008778A8" w:rsidRPr="008778A8" w14:paraId="2136CF43" w14:textId="77777777" w:rsidTr="00D72D94">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1178" w:type="pct"/>
            <w:noWrap/>
            <w:hideMark/>
          </w:tcPr>
          <w:p w14:paraId="127C2585" w14:textId="77777777" w:rsidR="008778A8" w:rsidRPr="00D72D94" w:rsidRDefault="008778A8" w:rsidP="008778A8">
            <w:pPr>
              <w:keepNext/>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Young adults (15 to 24)</w:t>
            </w:r>
          </w:p>
        </w:tc>
        <w:tc>
          <w:tcPr>
            <w:tcW w:w="682" w:type="pct"/>
            <w:noWrap/>
            <w:hideMark/>
          </w:tcPr>
          <w:p w14:paraId="3FB809BA"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55,700</w:t>
            </w:r>
          </w:p>
        </w:tc>
        <w:tc>
          <w:tcPr>
            <w:tcW w:w="785" w:type="pct"/>
            <w:noWrap/>
            <w:hideMark/>
          </w:tcPr>
          <w:p w14:paraId="1259F712"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55,400</w:t>
            </w:r>
          </w:p>
        </w:tc>
        <w:tc>
          <w:tcPr>
            <w:tcW w:w="785" w:type="pct"/>
            <w:noWrap/>
            <w:hideMark/>
          </w:tcPr>
          <w:p w14:paraId="2068207E"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57,700</w:t>
            </w:r>
          </w:p>
        </w:tc>
        <w:tc>
          <w:tcPr>
            <w:tcW w:w="785" w:type="pct"/>
            <w:tcBorders>
              <w:right w:val="dotted" w:sz="4" w:space="0" w:color="auto"/>
            </w:tcBorders>
            <w:noWrap/>
            <w:hideMark/>
          </w:tcPr>
          <w:p w14:paraId="55B34907"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60,100</w:t>
            </w:r>
          </w:p>
        </w:tc>
        <w:tc>
          <w:tcPr>
            <w:tcW w:w="785" w:type="pct"/>
            <w:tcBorders>
              <w:left w:val="dotted" w:sz="4" w:space="0" w:color="auto"/>
            </w:tcBorders>
            <w:noWrap/>
            <w:hideMark/>
          </w:tcPr>
          <w:p w14:paraId="5A0587C7"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72,100</w:t>
            </w:r>
          </w:p>
        </w:tc>
      </w:tr>
      <w:tr w:rsidR="008778A8" w:rsidRPr="008778A8" w14:paraId="62A83282" w14:textId="77777777" w:rsidTr="007B1EE1">
        <w:trPr>
          <w:trHeight w:hRule="exact" w:val="301"/>
        </w:trPr>
        <w:tc>
          <w:tcPr>
            <w:cnfStyle w:val="001000000000" w:firstRow="0" w:lastRow="0" w:firstColumn="1" w:lastColumn="0" w:oddVBand="0" w:evenVBand="0" w:oddHBand="0" w:evenHBand="0" w:firstRowFirstColumn="0" w:firstRowLastColumn="0" w:lastRowFirstColumn="0" w:lastRowLastColumn="0"/>
            <w:tcW w:w="1178" w:type="pct"/>
            <w:shd w:val="clear" w:color="auto" w:fill="auto"/>
            <w:noWrap/>
            <w:hideMark/>
          </w:tcPr>
          <w:p w14:paraId="4EB9FB61" w14:textId="77777777" w:rsidR="008778A8" w:rsidRPr="00D72D94" w:rsidRDefault="008778A8" w:rsidP="008778A8">
            <w:pPr>
              <w:keepNext/>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Adults (25 to 64)</w:t>
            </w:r>
          </w:p>
        </w:tc>
        <w:tc>
          <w:tcPr>
            <w:tcW w:w="682" w:type="pct"/>
            <w:shd w:val="clear" w:color="auto" w:fill="auto"/>
            <w:noWrap/>
            <w:hideMark/>
          </w:tcPr>
          <w:p w14:paraId="4FEDA15D" w14:textId="77777777" w:rsidR="008778A8" w:rsidRPr="00D72D94" w:rsidRDefault="008778A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sz w:val="18"/>
                <w:szCs w:val="18"/>
              </w:rPr>
              <w:t>99,300</w:t>
            </w:r>
          </w:p>
        </w:tc>
        <w:tc>
          <w:tcPr>
            <w:tcW w:w="785" w:type="pct"/>
            <w:shd w:val="clear" w:color="auto" w:fill="auto"/>
            <w:noWrap/>
            <w:hideMark/>
          </w:tcPr>
          <w:p w14:paraId="6A54408D" w14:textId="77777777" w:rsidR="008778A8" w:rsidRPr="00D72D94" w:rsidRDefault="008778A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sz w:val="18"/>
                <w:szCs w:val="18"/>
              </w:rPr>
              <w:t>101,000</w:t>
            </w:r>
          </w:p>
        </w:tc>
        <w:tc>
          <w:tcPr>
            <w:tcW w:w="785" w:type="pct"/>
            <w:shd w:val="clear" w:color="auto" w:fill="auto"/>
            <w:noWrap/>
            <w:hideMark/>
          </w:tcPr>
          <w:p w14:paraId="3D3D6446" w14:textId="77777777" w:rsidR="008778A8" w:rsidRPr="00D72D94" w:rsidRDefault="008778A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sz w:val="18"/>
                <w:szCs w:val="18"/>
              </w:rPr>
              <w:t>107,900</w:t>
            </w:r>
          </w:p>
        </w:tc>
        <w:tc>
          <w:tcPr>
            <w:tcW w:w="785" w:type="pct"/>
            <w:tcBorders>
              <w:right w:val="dotted" w:sz="4" w:space="0" w:color="auto"/>
            </w:tcBorders>
            <w:shd w:val="clear" w:color="auto" w:fill="auto"/>
            <w:noWrap/>
            <w:hideMark/>
          </w:tcPr>
          <w:p w14:paraId="773C9F5A" w14:textId="77777777" w:rsidR="008778A8" w:rsidRPr="00D72D94" w:rsidRDefault="008778A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sz w:val="18"/>
                <w:szCs w:val="18"/>
              </w:rPr>
              <w:t>114,900</w:t>
            </w:r>
          </w:p>
        </w:tc>
        <w:tc>
          <w:tcPr>
            <w:tcW w:w="785" w:type="pct"/>
            <w:tcBorders>
              <w:left w:val="dotted" w:sz="4" w:space="0" w:color="auto"/>
            </w:tcBorders>
            <w:shd w:val="clear" w:color="auto" w:fill="auto"/>
            <w:noWrap/>
            <w:hideMark/>
          </w:tcPr>
          <w:p w14:paraId="6BBA3C4C" w14:textId="77777777" w:rsidR="008778A8" w:rsidRPr="00D72D94" w:rsidRDefault="008778A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72D94">
              <w:rPr>
                <w:sz w:val="18"/>
                <w:szCs w:val="18"/>
              </w:rPr>
              <w:t>140,600</w:t>
            </w:r>
          </w:p>
        </w:tc>
      </w:tr>
      <w:tr w:rsidR="008778A8" w:rsidRPr="008778A8" w14:paraId="19C65ADB" w14:textId="77777777" w:rsidTr="00D72D94">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1178" w:type="pct"/>
            <w:tcBorders>
              <w:bottom w:val="single" w:sz="4" w:space="0" w:color="auto"/>
            </w:tcBorders>
            <w:noWrap/>
            <w:hideMark/>
          </w:tcPr>
          <w:p w14:paraId="69A68BA7" w14:textId="77777777" w:rsidR="008778A8" w:rsidRPr="00D72D94" w:rsidRDefault="008778A8" w:rsidP="008778A8">
            <w:pPr>
              <w:keepNext/>
              <w:spacing w:after="0" w:line="240" w:lineRule="auto"/>
              <w:rPr>
                <w:rFonts w:eastAsia="Times New Roman" w:cs="Arial"/>
                <w:color w:val="000000"/>
                <w:sz w:val="18"/>
                <w:szCs w:val="18"/>
                <w:lang w:eastAsia="en-AU"/>
              </w:rPr>
            </w:pPr>
            <w:r w:rsidRPr="00D72D94">
              <w:rPr>
                <w:rFonts w:eastAsia="Times New Roman" w:cs="Arial"/>
                <w:color w:val="000000"/>
                <w:sz w:val="18"/>
                <w:szCs w:val="18"/>
                <w:lang w:eastAsia="en-AU"/>
              </w:rPr>
              <w:t>Older adults (65+)</w:t>
            </w:r>
          </w:p>
        </w:tc>
        <w:tc>
          <w:tcPr>
            <w:tcW w:w="682" w:type="pct"/>
            <w:tcBorders>
              <w:bottom w:val="single" w:sz="4" w:space="0" w:color="auto"/>
            </w:tcBorders>
            <w:noWrap/>
            <w:hideMark/>
          </w:tcPr>
          <w:p w14:paraId="35486B1F"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103,700</w:t>
            </w:r>
          </w:p>
        </w:tc>
        <w:tc>
          <w:tcPr>
            <w:tcW w:w="785" w:type="pct"/>
            <w:tcBorders>
              <w:bottom w:val="single" w:sz="4" w:space="0" w:color="auto"/>
            </w:tcBorders>
            <w:noWrap/>
            <w:hideMark/>
          </w:tcPr>
          <w:p w14:paraId="36425BDB"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107,700</w:t>
            </w:r>
          </w:p>
        </w:tc>
        <w:tc>
          <w:tcPr>
            <w:tcW w:w="785" w:type="pct"/>
            <w:tcBorders>
              <w:bottom w:val="single" w:sz="4" w:space="0" w:color="auto"/>
            </w:tcBorders>
            <w:noWrap/>
            <w:hideMark/>
          </w:tcPr>
          <w:p w14:paraId="2ACAA100"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116,200</w:t>
            </w:r>
          </w:p>
        </w:tc>
        <w:tc>
          <w:tcPr>
            <w:tcW w:w="785" w:type="pct"/>
            <w:tcBorders>
              <w:bottom w:val="single" w:sz="4" w:space="0" w:color="auto"/>
              <w:right w:val="dotted" w:sz="4" w:space="0" w:color="auto"/>
            </w:tcBorders>
            <w:noWrap/>
            <w:hideMark/>
          </w:tcPr>
          <w:p w14:paraId="3A8F3892"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124,500</w:t>
            </w:r>
          </w:p>
        </w:tc>
        <w:tc>
          <w:tcPr>
            <w:tcW w:w="785" w:type="pct"/>
            <w:tcBorders>
              <w:left w:val="dotted" w:sz="4" w:space="0" w:color="auto"/>
              <w:bottom w:val="single" w:sz="4" w:space="0" w:color="auto"/>
            </w:tcBorders>
            <w:noWrap/>
            <w:hideMark/>
          </w:tcPr>
          <w:p w14:paraId="2379FC07" w14:textId="77777777" w:rsidR="008778A8" w:rsidRPr="00D72D94" w:rsidRDefault="008778A8">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72D94">
              <w:rPr>
                <w:sz w:val="18"/>
                <w:szCs w:val="18"/>
              </w:rPr>
              <w:t>156,300</w:t>
            </w:r>
          </w:p>
        </w:tc>
      </w:tr>
      <w:tr w:rsidR="008778A8" w:rsidRPr="008778A8" w14:paraId="0649B398" w14:textId="77777777" w:rsidTr="00D72D94">
        <w:trPr>
          <w:trHeight w:hRule="exact" w:val="301"/>
        </w:trPr>
        <w:tc>
          <w:tcPr>
            <w:cnfStyle w:val="001000000000" w:firstRow="0" w:lastRow="0" w:firstColumn="1" w:lastColumn="0" w:oddVBand="0" w:evenVBand="0" w:oddHBand="0" w:evenHBand="0" w:firstRowFirstColumn="0" w:firstRowLastColumn="0" w:lastRowFirstColumn="0" w:lastRowLastColumn="0"/>
            <w:tcW w:w="1178" w:type="pct"/>
            <w:tcBorders>
              <w:top w:val="single" w:sz="4" w:space="0" w:color="auto"/>
              <w:bottom w:val="single" w:sz="4" w:space="0" w:color="auto"/>
            </w:tcBorders>
            <w:shd w:val="clear" w:color="auto" w:fill="D4C5D7"/>
            <w:noWrap/>
            <w:hideMark/>
          </w:tcPr>
          <w:p w14:paraId="699853E1" w14:textId="77777777" w:rsidR="008778A8" w:rsidRPr="00D72D94" w:rsidRDefault="008778A8" w:rsidP="008778A8">
            <w:pPr>
              <w:keepNext/>
              <w:spacing w:after="0" w:line="240" w:lineRule="auto"/>
              <w:rPr>
                <w:rFonts w:eastAsia="Times New Roman" w:cs="Arial"/>
                <w:b/>
                <w:bCs/>
                <w:color w:val="000000"/>
                <w:sz w:val="18"/>
                <w:szCs w:val="18"/>
                <w:lang w:eastAsia="en-AU"/>
              </w:rPr>
            </w:pPr>
            <w:r w:rsidRPr="00D72D94">
              <w:rPr>
                <w:rFonts w:eastAsia="Times New Roman" w:cs="Arial"/>
                <w:b/>
                <w:bCs/>
                <w:color w:val="000000"/>
                <w:sz w:val="18"/>
                <w:szCs w:val="18"/>
                <w:lang w:eastAsia="en-AU"/>
              </w:rPr>
              <w:t>Total</w:t>
            </w:r>
          </w:p>
        </w:tc>
        <w:tc>
          <w:tcPr>
            <w:tcW w:w="682" w:type="pct"/>
            <w:tcBorders>
              <w:top w:val="single" w:sz="4" w:space="0" w:color="auto"/>
              <w:bottom w:val="single" w:sz="4" w:space="0" w:color="auto"/>
            </w:tcBorders>
            <w:shd w:val="clear" w:color="auto" w:fill="D4C5D7"/>
            <w:noWrap/>
            <w:hideMark/>
          </w:tcPr>
          <w:p w14:paraId="13D6D427" w14:textId="77777777" w:rsidR="008778A8" w:rsidRPr="00DF7014" w:rsidRDefault="008778A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59,400</w:t>
            </w:r>
          </w:p>
        </w:tc>
        <w:tc>
          <w:tcPr>
            <w:tcW w:w="785" w:type="pct"/>
            <w:tcBorders>
              <w:top w:val="single" w:sz="4" w:space="0" w:color="auto"/>
              <w:bottom w:val="single" w:sz="4" w:space="0" w:color="auto"/>
            </w:tcBorders>
            <w:shd w:val="clear" w:color="auto" w:fill="D4C5D7"/>
            <w:noWrap/>
            <w:hideMark/>
          </w:tcPr>
          <w:p w14:paraId="3395A7D9" w14:textId="77777777" w:rsidR="008778A8" w:rsidRPr="00DF7014" w:rsidRDefault="008778A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60,700</w:t>
            </w:r>
          </w:p>
        </w:tc>
        <w:tc>
          <w:tcPr>
            <w:tcW w:w="785" w:type="pct"/>
            <w:tcBorders>
              <w:top w:val="single" w:sz="4" w:space="0" w:color="auto"/>
              <w:bottom w:val="single" w:sz="4" w:space="0" w:color="auto"/>
            </w:tcBorders>
            <w:shd w:val="clear" w:color="auto" w:fill="D4C5D7"/>
            <w:noWrap/>
            <w:hideMark/>
          </w:tcPr>
          <w:p w14:paraId="0F54F4D8" w14:textId="77777777" w:rsidR="008778A8" w:rsidRPr="00DF7014" w:rsidRDefault="008778A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64,900</w:t>
            </w:r>
          </w:p>
        </w:tc>
        <w:tc>
          <w:tcPr>
            <w:tcW w:w="785" w:type="pct"/>
            <w:tcBorders>
              <w:top w:val="single" w:sz="4" w:space="0" w:color="auto"/>
              <w:bottom w:val="single" w:sz="4" w:space="0" w:color="auto"/>
              <w:right w:val="dotted" w:sz="4" w:space="0" w:color="auto"/>
            </w:tcBorders>
            <w:shd w:val="clear" w:color="auto" w:fill="D4C5D7"/>
            <w:noWrap/>
            <w:hideMark/>
          </w:tcPr>
          <w:p w14:paraId="4941C11C" w14:textId="77777777" w:rsidR="008778A8" w:rsidRPr="00DF7014" w:rsidRDefault="008778A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69,100</w:t>
            </w:r>
          </w:p>
        </w:tc>
        <w:tc>
          <w:tcPr>
            <w:tcW w:w="785" w:type="pct"/>
            <w:tcBorders>
              <w:top w:val="single" w:sz="4" w:space="0" w:color="auto"/>
              <w:left w:val="dotted" w:sz="4" w:space="0" w:color="auto"/>
              <w:bottom w:val="single" w:sz="4" w:space="0" w:color="auto"/>
            </w:tcBorders>
            <w:shd w:val="clear" w:color="auto" w:fill="D4C5D7"/>
            <w:noWrap/>
            <w:hideMark/>
          </w:tcPr>
          <w:p w14:paraId="7A9A2350" w14:textId="77777777" w:rsidR="008778A8" w:rsidRPr="00DF7014" w:rsidRDefault="008778A8">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252EAF">
              <w:rPr>
                <w:b/>
                <w:sz w:val="18"/>
                <w:szCs w:val="18"/>
              </w:rPr>
              <w:t>88,600</w:t>
            </w:r>
          </w:p>
        </w:tc>
      </w:tr>
    </w:tbl>
    <w:p w14:paraId="547B87B0" w14:textId="77777777" w:rsidR="00BF7697" w:rsidRDefault="00BF7697" w:rsidP="00BF7697">
      <w:pPr>
        <w:pStyle w:val="FSRnormal"/>
        <w:rPr>
          <w:rFonts w:eastAsia="Times New Roman" w:cs="Arial"/>
          <w:lang w:eastAsia="en-AU"/>
        </w:rPr>
      </w:pPr>
      <w:r w:rsidRPr="00B45AC5">
        <w:rPr>
          <w:rFonts w:eastAsia="Times New Roman" w:cs="Arial"/>
          <w:lang w:eastAsia="en-AU"/>
        </w:rPr>
        <w:t xml:space="preserve">Average annual payments increase each year across all age groups. </w:t>
      </w:r>
      <w:r w:rsidR="000F7D23" w:rsidRPr="00164A79">
        <w:t xml:space="preserve">Table </w:t>
      </w:r>
      <w:r w:rsidR="000F7D23">
        <w:rPr>
          <w:noProof/>
        </w:rPr>
        <w:t>5</w:t>
      </w:r>
      <w:r w:rsidR="000F7D23">
        <w:t>.</w:t>
      </w:r>
      <w:r w:rsidR="000F7D23">
        <w:rPr>
          <w:noProof/>
        </w:rPr>
        <w:t>26</w:t>
      </w:r>
      <w:r w:rsidR="00B73209">
        <w:rPr>
          <w:rFonts w:eastAsia="Times New Roman" w:cs="Arial"/>
          <w:lang w:eastAsia="en-AU"/>
        </w:rPr>
        <w:t xml:space="preserve"> i</w:t>
      </w:r>
      <w:r w:rsidRPr="00B45AC5">
        <w:rPr>
          <w:rFonts w:eastAsia="Times New Roman" w:cs="Arial"/>
          <w:lang w:eastAsia="en-AU"/>
        </w:rPr>
        <w:t>llustrate</w:t>
      </w:r>
      <w:r w:rsidR="00A45774">
        <w:rPr>
          <w:rFonts w:eastAsia="Times New Roman" w:cs="Arial"/>
          <w:lang w:eastAsia="en-AU"/>
        </w:rPr>
        <w:t>s</w:t>
      </w:r>
      <w:r w:rsidRPr="00B45AC5">
        <w:rPr>
          <w:rFonts w:eastAsia="Times New Roman" w:cs="Arial"/>
          <w:lang w:eastAsia="en-AU"/>
        </w:rPr>
        <w:t xml:space="preserve"> the percentage change in average annual payments by age group and projection year. The average annual payments, and therefore </w:t>
      </w:r>
      <w:r>
        <w:rPr>
          <w:rFonts w:eastAsia="Times New Roman" w:cs="Arial"/>
          <w:lang w:eastAsia="en-AU"/>
        </w:rPr>
        <w:t>year-on-year percentage changes,</w:t>
      </w:r>
      <w:r w:rsidRPr="00B45AC5">
        <w:rPr>
          <w:rFonts w:eastAsia="Times New Roman" w:cs="Arial"/>
          <w:lang w:eastAsia="en-AU"/>
        </w:rPr>
        <w:t xml:space="preserve"> </w:t>
      </w:r>
      <w:r>
        <w:rPr>
          <w:rFonts w:eastAsia="Times New Roman" w:cs="Arial"/>
          <w:lang w:eastAsia="en-AU"/>
        </w:rPr>
        <w:t>are</w:t>
      </w:r>
      <w:r w:rsidRPr="00B45AC5">
        <w:rPr>
          <w:rFonts w:eastAsia="Times New Roman" w:cs="Arial"/>
          <w:lang w:eastAsia="en-AU"/>
        </w:rPr>
        <w:t xml:space="preserve"> impacted by change</w:t>
      </w:r>
      <w:r>
        <w:rPr>
          <w:rFonts w:eastAsia="Times New Roman" w:cs="Arial"/>
          <w:lang w:eastAsia="en-AU"/>
        </w:rPr>
        <w:t>s</w:t>
      </w:r>
      <w:r w:rsidRPr="00B45AC5">
        <w:rPr>
          <w:rFonts w:eastAsia="Times New Roman" w:cs="Arial"/>
          <w:lang w:eastAsia="en-AU"/>
        </w:rPr>
        <w:t xml:space="preserve"> in the mix of participants.</w:t>
      </w:r>
    </w:p>
    <w:p w14:paraId="221150FE" w14:textId="77777777" w:rsidR="00BF7697" w:rsidRPr="00B45AC5" w:rsidRDefault="00BF7697" w:rsidP="00BF7697">
      <w:pPr>
        <w:pStyle w:val="Tables"/>
        <w:rPr>
          <w:rFonts w:ascii="Segoe UI" w:hAnsi="Segoe UI" w:cs="Segoe UI"/>
          <w:sz w:val="18"/>
        </w:rPr>
      </w:pPr>
      <w:bookmarkStart w:id="240" w:name="_Ref111630382"/>
      <w:bookmarkStart w:id="241" w:name="_Ref111901732"/>
      <w:r w:rsidRPr="00164A79">
        <w:lastRenderedPageBreak/>
        <w:t xml:space="preserve">Table </w:t>
      </w:r>
      <w:bookmarkEnd w:id="240"/>
      <w:r w:rsidR="00A87896">
        <w:fldChar w:fldCharType="begin"/>
      </w:r>
      <w:r w:rsidR="00A87896">
        <w:instrText xml:space="preserve"> STYLEREF 2 \s </w:instrText>
      </w:r>
      <w:r w:rsidR="00A87896">
        <w:fldChar w:fldCharType="separate"/>
      </w:r>
      <w:r w:rsidR="00A87896">
        <w:rPr>
          <w:noProof/>
        </w:rPr>
        <w:t>5</w:t>
      </w:r>
      <w:r w:rsidR="00A87896">
        <w:fldChar w:fldCharType="end"/>
      </w:r>
      <w:r w:rsidR="00A87896">
        <w:t>.</w:t>
      </w:r>
      <w:fldSimple w:instr=" SEQ Table \* ARABIC \s 2 ">
        <w:r w:rsidR="00A87896">
          <w:rPr>
            <w:noProof/>
          </w:rPr>
          <w:t>26</w:t>
        </w:r>
      </w:fldSimple>
      <w:bookmarkEnd w:id="241"/>
      <w:r w:rsidRPr="00164A79">
        <w:t>: Change in average annual payments ($) by age group and projection year</w:t>
      </w:r>
      <w:r w:rsidRPr="00B45AC5">
        <w:t> </w:t>
      </w:r>
    </w:p>
    <w:tbl>
      <w:tblPr>
        <w:tblStyle w:val="FSRtable"/>
        <w:tblW w:w="4923" w:type="pct"/>
        <w:tblInd w:w="8" w:type="dxa"/>
        <w:tblLook w:val="04A0" w:firstRow="1" w:lastRow="0" w:firstColumn="1" w:lastColumn="0" w:noHBand="0" w:noVBand="1"/>
      </w:tblPr>
      <w:tblGrid>
        <w:gridCol w:w="2071"/>
        <w:gridCol w:w="195"/>
        <w:gridCol w:w="1169"/>
        <w:gridCol w:w="1363"/>
        <w:gridCol w:w="1363"/>
        <w:gridCol w:w="1363"/>
        <w:gridCol w:w="1363"/>
      </w:tblGrid>
      <w:tr w:rsidR="00BF7697" w:rsidRPr="003A17A2" w14:paraId="070F5533" w14:textId="77777777" w:rsidTr="007B1EE1">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071" w:type="dxa"/>
            <w:hideMark/>
          </w:tcPr>
          <w:p w14:paraId="0D5CE2E3" w14:textId="77777777" w:rsidR="00BF7697" w:rsidRPr="00D72D94" w:rsidRDefault="00BF7697" w:rsidP="00B17C79">
            <w:pPr>
              <w:keepNext/>
              <w:spacing w:after="0" w:line="240" w:lineRule="auto"/>
              <w:textAlignment w:val="baseline"/>
              <w:rPr>
                <w:rFonts w:eastAsia="Times New Roman"/>
                <w:sz w:val="18"/>
                <w:szCs w:val="18"/>
                <w:lang w:eastAsia="en-AU"/>
              </w:rPr>
            </w:pPr>
            <w:r w:rsidRPr="00D72D94">
              <w:rPr>
                <w:rFonts w:eastAsia="Times New Roman"/>
                <w:bCs/>
                <w:color w:val="FFFFFF"/>
                <w:sz w:val="18"/>
                <w:szCs w:val="18"/>
                <w:lang w:eastAsia="en-AU"/>
              </w:rPr>
              <w:t>Age group</w:t>
            </w:r>
          </w:p>
        </w:tc>
        <w:tc>
          <w:tcPr>
            <w:tcW w:w="1364" w:type="dxa"/>
            <w:gridSpan w:val="2"/>
            <w:hideMark/>
          </w:tcPr>
          <w:p w14:paraId="3F78E44C" w14:textId="77777777" w:rsidR="00BF7697" w:rsidRPr="00D72D94" w:rsidRDefault="00BF7697" w:rsidP="00B17C79">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AU"/>
              </w:rPr>
            </w:pPr>
            <w:r w:rsidRPr="00D72D94">
              <w:rPr>
                <w:bCs/>
                <w:color w:val="FFFFFF"/>
                <w:sz w:val="18"/>
                <w:szCs w:val="18"/>
              </w:rPr>
              <w:t>2022-23</w:t>
            </w:r>
          </w:p>
        </w:tc>
        <w:tc>
          <w:tcPr>
            <w:tcW w:w="1363" w:type="dxa"/>
          </w:tcPr>
          <w:p w14:paraId="1BDB1C8A" w14:textId="77777777" w:rsidR="00BF7697" w:rsidRPr="00D72D94" w:rsidRDefault="00BF7697" w:rsidP="00B17C79">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bCs/>
                <w:color w:val="FFFFFF"/>
                <w:sz w:val="18"/>
                <w:szCs w:val="18"/>
              </w:rPr>
            </w:pPr>
            <w:r w:rsidRPr="00D72D94">
              <w:rPr>
                <w:bCs/>
                <w:color w:val="FFFFFF"/>
                <w:sz w:val="18"/>
                <w:szCs w:val="18"/>
              </w:rPr>
              <w:t>2023-24</w:t>
            </w:r>
          </w:p>
        </w:tc>
        <w:tc>
          <w:tcPr>
            <w:tcW w:w="1363" w:type="dxa"/>
            <w:hideMark/>
          </w:tcPr>
          <w:p w14:paraId="3FE2A74F" w14:textId="77777777" w:rsidR="00BF7697" w:rsidRPr="00D72D94" w:rsidRDefault="00BF7697" w:rsidP="00B17C79">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AU"/>
              </w:rPr>
            </w:pPr>
            <w:r w:rsidRPr="00D72D94">
              <w:rPr>
                <w:bCs/>
                <w:color w:val="FFFFFF"/>
                <w:sz w:val="18"/>
                <w:szCs w:val="18"/>
              </w:rPr>
              <w:t>2024-25</w:t>
            </w:r>
          </w:p>
        </w:tc>
        <w:tc>
          <w:tcPr>
            <w:tcW w:w="1363" w:type="dxa"/>
            <w:tcBorders>
              <w:right w:val="dotted" w:sz="4" w:space="0" w:color="auto"/>
            </w:tcBorders>
            <w:hideMark/>
          </w:tcPr>
          <w:p w14:paraId="75395EFB" w14:textId="77777777" w:rsidR="00BF7697" w:rsidRPr="00D72D94" w:rsidRDefault="00BF7697" w:rsidP="00B17C79">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AU"/>
              </w:rPr>
            </w:pPr>
            <w:r w:rsidRPr="00D72D94">
              <w:rPr>
                <w:bCs/>
                <w:color w:val="FFFFFF"/>
                <w:sz w:val="18"/>
                <w:szCs w:val="18"/>
              </w:rPr>
              <w:t>2025-26</w:t>
            </w:r>
          </w:p>
        </w:tc>
        <w:tc>
          <w:tcPr>
            <w:tcW w:w="1363" w:type="dxa"/>
            <w:tcBorders>
              <w:top w:val="single" w:sz="4" w:space="0" w:color="auto"/>
              <w:left w:val="dotted" w:sz="4" w:space="0" w:color="auto"/>
              <w:bottom w:val="nil"/>
            </w:tcBorders>
            <w:hideMark/>
          </w:tcPr>
          <w:p w14:paraId="34FDC8DB" w14:textId="77777777" w:rsidR="00BF7697" w:rsidRPr="00D72D94" w:rsidRDefault="00BF7697" w:rsidP="00ED4E05">
            <w:pPr>
              <w:keepNext/>
              <w:spacing w:after="0" w:line="240"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AU"/>
              </w:rPr>
            </w:pPr>
            <w:r w:rsidRPr="00D72D94">
              <w:rPr>
                <w:bCs/>
                <w:color w:val="FFFFFF"/>
                <w:sz w:val="18"/>
                <w:szCs w:val="18"/>
              </w:rPr>
              <w:t>2031-32</w:t>
            </w:r>
          </w:p>
        </w:tc>
      </w:tr>
      <w:tr w:rsidR="003A17A2" w:rsidRPr="003A17A2" w14:paraId="42078C72" w14:textId="77777777" w:rsidTr="00D72D94">
        <w:trPr>
          <w:trHeight w:val="301"/>
        </w:trPr>
        <w:tc>
          <w:tcPr>
            <w:cnfStyle w:val="001000000000" w:firstRow="0" w:lastRow="0" w:firstColumn="1" w:lastColumn="0" w:oddVBand="0" w:evenVBand="0" w:oddHBand="0" w:evenHBand="0" w:firstRowFirstColumn="0" w:firstRowLastColumn="0" w:lastRowFirstColumn="0" w:lastRowLastColumn="0"/>
            <w:tcW w:w="2266" w:type="dxa"/>
            <w:gridSpan w:val="2"/>
            <w:hideMark/>
          </w:tcPr>
          <w:p w14:paraId="72443E9F" w14:textId="77777777" w:rsidR="003A17A2" w:rsidRPr="00D72D94" w:rsidRDefault="003A17A2" w:rsidP="003A17A2">
            <w:pPr>
              <w:keepNext/>
              <w:spacing w:after="0" w:line="240" w:lineRule="auto"/>
              <w:textAlignment w:val="baseline"/>
              <w:rPr>
                <w:rFonts w:eastAsia="Times New Roman" w:cs="Arial"/>
                <w:sz w:val="18"/>
                <w:szCs w:val="18"/>
                <w:lang w:eastAsia="en-AU"/>
              </w:rPr>
            </w:pPr>
            <w:r w:rsidRPr="00D72D94">
              <w:rPr>
                <w:rFonts w:eastAsia="Times New Roman" w:cs="Arial"/>
                <w:color w:val="000000"/>
                <w:sz w:val="18"/>
                <w:szCs w:val="18"/>
                <w:lang w:eastAsia="en-AU"/>
              </w:rPr>
              <w:t>Children (0 to 14) </w:t>
            </w:r>
          </w:p>
        </w:tc>
        <w:tc>
          <w:tcPr>
            <w:tcW w:w="1169" w:type="dxa"/>
          </w:tcPr>
          <w:p w14:paraId="3F234356" w14:textId="77777777" w:rsidR="003A17A2" w:rsidRPr="00D72D94" w:rsidRDefault="003A17A2" w:rsidP="003A17A2">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c>
          <w:tcPr>
            <w:tcW w:w="1363" w:type="dxa"/>
          </w:tcPr>
          <w:p w14:paraId="46DB1189" w14:textId="77777777" w:rsidR="003A17A2" w:rsidRPr="00D72D94" w:rsidRDefault="003A17A2">
            <w:pPr>
              <w:keepNext/>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D72D94">
              <w:rPr>
                <w:rFonts w:cs="Arial"/>
                <w:sz w:val="18"/>
                <w:szCs w:val="18"/>
              </w:rPr>
              <w:t>3.5%</w:t>
            </w:r>
          </w:p>
        </w:tc>
        <w:tc>
          <w:tcPr>
            <w:tcW w:w="1363" w:type="dxa"/>
            <w:hideMark/>
          </w:tcPr>
          <w:p w14:paraId="5D3C7FB2" w14:textId="77777777" w:rsidR="003A17A2" w:rsidRPr="00D72D94" w:rsidRDefault="003A17A2">
            <w:pPr>
              <w:keepNext/>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72D94">
              <w:rPr>
                <w:rFonts w:cs="Arial"/>
                <w:sz w:val="18"/>
                <w:szCs w:val="18"/>
              </w:rPr>
              <w:t>7.4%</w:t>
            </w:r>
          </w:p>
        </w:tc>
        <w:tc>
          <w:tcPr>
            <w:tcW w:w="1363" w:type="dxa"/>
            <w:tcBorders>
              <w:right w:val="dotted" w:sz="4" w:space="0" w:color="auto"/>
            </w:tcBorders>
            <w:hideMark/>
          </w:tcPr>
          <w:p w14:paraId="74FBC214" w14:textId="77777777" w:rsidR="003A17A2" w:rsidRPr="00D72D94" w:rsidRDefault="003A17A2">
            <w:pPr>
              <w:keepNext/>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72D94">
              <w:rPr>
                <w:rFonts w:cs="Arial"/>
                <w:sz w:val="18"/>
                <w:szCs w:val="18"/>
              </w:rPr>
              <w:t>6.7%</w:t>
            </w:r>
          </w:p>
        </w:tc>
        <w:tc>
          <w:tcPr>
            <w:tcW w:w="1363" w:type="dxa"/>
            <w:tcBorders>
              <w:top w:val="nil"/>
              <w:left w:val="dotted" w:sz="4" w:space="0" w:color="auto"/>
              <w:bottom w:val="nil"/>
            </w:tcBorders>
            <w:hideMark/>
          </w:tcPr>
          <w:p w14:paraId="7951611D" w14:textId="77777777" w:rsidR="003A17A2" w:rsidRPr="00D72D94" w:rsidRDefault="003A17A2" w:rsidP="00ED4E05">
            <w:pPr>
              <w:keepNext/>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72D94">
              <w:rPr>
                <w:rFonts w:cs="Arial"/>
                <w:sz w:val="18"/>
                <w:szCs w:val="18"/>
              </w:rPr>
              <w:t>3.</w:t>
            </w:r>
            <w:r w:rsidR="00457995">
              <w:rPr>
                <w:rFonts w:cs="Arial"/>
                <w:sz w:val="18"/>
                <w:szCs w:val="18"/>
              </w:rPr>
              <w:t>7</w:t>
            </w:r>
            <w:r w:rsidRPr="00D72D94">
              <w:rPr>
                <w:rFonts w:cs="Arial"/>
                <w:sz w:val="18"/>
                <w:szCs w:val="18"/>
              </w:rPr>
              <w:t>%</w:t>
            </w:r>
          </w:p>
        </w:tc>
      </w:tr>
      <w:tr w:rsidR="003A17A2" w:rsidRPr="003A17A2" w14:paraId="5EC1C699" w14:textId="77777777" w:rsidTr="00D72D94">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266" w:type="dxa"/>
            <w:gridSpan w:val="2"/>
            <w:hideMark/>
          </w:tcPr>
          <w:p w14:paraId="36A3D572" w14:textId="77777777" w:rsidR="003A17A2" w:rsidRPr="00D72D94" w:rsidRDefault="003A17A2" w:rsidP="003A17A2">
            <w:pPr>
              <w:keepNext/>
              <w:spacing w:after="0" w:line="240" w:lineRule="auto"/>
              <w:textAlignment w:val="baseline"/>
              <w:rPr>
                <w:rFonts w:eastAsia="Times New Roman" w:cs="Arial"/>
                <w:sz w:val="18"/>
                <w:szCs w:val="18"/>
                <w:lang w:eastAsia="en-AU"/>
              </w:rPr>
            </w:pPr>
            <w:r w:rsidRPr="00D72D94">
              <w:rPr>
                <w:rFonts w:eastAsia="Times New Roman" w:cs="Arial"/>
                <w:color w:val="000000"/>
                <w:sz w:val="18"/>
                <w:szCs w:val="18"/>
                <w:lang w:eastAsia="en-AU"/>
              </w:rPr>
              <w:t>Young adults (15 to 24) </w:t>
            </w:r>
          </w:p>
        </w:tc>
        <w:tc>
          <w:tcPr>
            <w:tcW w:w="1169" w:type="dxa"/>
          </w:tcPr>
          <w:p w14:paraId="46403CB2" w14:textId="77777777" w:rsidR="003A17A2" w:rsidRPr="00D72D94" w:rsidRDefault="003A17A2" w:rsidP="003A17A2">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1363" w:type="dxa"/>
          </w:tcPr>
          <w:p w14:paraId="2965610A" w14:textId="77777777" w:rsidR="003A17A2" w:rsidRPr="00D72D94" w:rsidRDefault="003A17A2">
            <w:pPr>
              <w:keepNext/>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D72D94">
              <w:rPr>
                <w:rFonts w:cs="Arial"/>
                <w:sz w:val="18"/>
                <w:szCs w:val="18"/>
              </w:rPr>
              <w:t>-0.5%</w:t>
            </w:r>
          </w:p>
        </w:tc>
        <w:tc>
          <w:tcPr>
            <w:tcW w:w="1363" w:type="dxa"/>
            <w:hideMark/>
          </w:tcPr>
          <w:p w14:paraId="31489772" w14:textId="77777777" w:rsidR="003A17A2" w:rsidRPr="00D72D94" w:rsidRDefault="003A17A2">
            <w:pPr>
              <w:keepNext/>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72D94">
              <w:rPr>
                <w:rFonts w:cs="Arial"/>
                <w:sz w:val="18"/>
                <w:szCs w:val="18"/>
              </w:rPr>
              <w:t>4.2%</w:t>
            </w:r>
          </w:p>
        </w:tc>
        <w:tc>
          <w:tcPr>
            <w:tcW w:w="1363" w:type="dxa"/>
            <w:tcBorders>
              <w:right w:val="dotted" w:sz="4" w:space="0" w:color="auto"/>
            </w:tcBorders>
            <w:hideMark/>
          </w:tcPr>
          <w:p w14:paraId="48E6CFF3" w14:textId="77777777" w:rsidR="003A17A2" w:rsidRPr="00D72D94" w:rsidRDefault="003A17A2">
            <w:pPr>
              <w:keepNext/>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72D94">
              <w:rPr>
                <w:rFonts w:cs="Arial"/>
                <w:sz w:val="18"/>
                <w:szCs w:val="18"/>
              </w:rPr>
              <w:t>4.1%</w:t>
            </w:r>
          </w:p>
        </w:tc>
        <w:tc>
          <w:tcPr>
            <w:tcW w:w="1363" w:type="dxa"/>
            <w:tcBorders>
              <w:top w:val="nil"/>
              <w:left w:val="dotted" w:sz="4" w:space="0" w:color="auto"/>
              <w:bottom w:val="nil"/>
            </w:tcBorders>
            <w:hideMark/>
          </w:tcPr>
          <w:p w14:paraId="59C46775" w14:textId="77777777" w:rsidR="003A17A2" w:rsidRPr="00D72D94" w:rsidRDefault="00457995">
            <w:pPr>
              <w:keepNext/>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Pr>
                <w:rFonts w:cs="Arial"/>
                <w:sz w:val="18"/>
                <w:szCs w:val="18"/>
              </w:rPr>
              <w:t>4.5</w:t>
            </w:r>
            <w:r w:rsidR="003A17A2" w:rsidRPr="00D72D94">
              <w:rPr>
                <w:rFonts w:cs="Arial"/>
                <w:sz w:val="18"/>
                <w:szCs w:val="18"/>
              </w:rPr>
              <w:t>%</w:t>
            </w:r>
          </w:p>
        </w:tc>
      </w:tr>
      <w:tr w:rsidR="003A17A2" w:rsidRPr="003A17A2" w14:paraId="554A02F3" w14:textId="77777777" w:rsidTr="00D72D94">
        <w:trPr>
          <w:trHeight w:val="301"/>
        </w:trPr>
        <w:tc>
          <w:tcPr>
            <w:cnfStyle w:val="001000000000" w:firstRow="0" w:lastRow="0" w:firstColumn="1" w:lastColumn="0" w:oddVBand="0" w:evenVBand="0" w:oddHBand="0" w:evenHBand="0" w:firstRowFirstColumn="0" w:firstRowLastColumn="0" w:lastRowFirstColumn="0" w:lastRowLastColumn="0"/>
            <w:tcW w:w="2266" w:type="dxa"/>
            <w:gridSpan w:val="2"/>
            <w:hideMark/>
          </w:tcPr>
          <w:p w14:paraId="4AECC648" w14:textId="77777777" w:rsidR="003A17A2" w:rsidRPr="00D72D94" w:rsidRDefault="003A17A2" w:rsidP="003A17A2">
            <w:pPr>
              <w:keepNext/>
              <w:spacing w:after="0" w:line="240" w:lineRule="auto"/>
              <w:textAlignment w:val="baseline"/>
              <w:rPr>
                <w:rFonts w:eastAsia="Times New Roman" w:cs="Arial"/>
                <w:sz w:val="18"/>
                <w:szCs w:val="18"/>
                <w:lang w:eastAsia="en-AU"/>
              </w:rPr>
            </w:pPr>
            <w:r w:rsidRPr="00D72D94">
              <w:rPr>
                <w:rFonts w:eastAsia="Times New Roman" w:cs="Arial"/>
                <w:color w:val="000000"/>
                <w:sz w:val="18"/>
                <w:szCs w:val="18"/>
                <w:lang w:eastAsia="en-AU"/>
              </w:rPr>
              <w:t>Adults (25 to 64) </w:t>
            </w:r>
          </w:p>
        </w:tc>
        <w:tc>
          <w:tcPr>
            <w:tcW w:w="1169" w:type="dxa"/>
          </w:tcPr>
          <w:p w14:paraId="787F84CE" w14:textId="77777777" w:rsidR="003A17A2" w:rsidRPr="00D72D94" w:rsidRDefault="003A17A2" w:rsidP="003A17A2">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c>
          <w:tcPr>
            <w:tcW w:w="1363" w:type="dxa"/>
          </w:tcPr>
          <w:p w14:paraId="4F16CC12" w14:textId="77777777" w:rsidR="003A17A2" w:rsidRPr="00D72D94" w:rsidRDefault="003A17A2">
            <w:pPr>
              <w:keepNext/>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D72D94">
              <w:rPr>
                <w:rFonts w:cs="Arial"/>
                <w:sz w:val="18"/>
                <w:szCs w:val="18"/>
              </w:rPr>
              <w:t>1.7%</w:t>
            </w:r>
          </w:p>
        </w:tc>
        <w:tc>
          <w:tcPr>
            <w:tcW w:w="1363" w:type="dxa"/>
            <w:hideMark/>
          </w:tcPr>
          <w:p w14:paraId="389FA47C" w14:textId="77777777" w:rsidR="003A17A2" w:rsidRPr="00D72D94" w:rsidRDefault="003A17A2">
            <w:pPr>
              <w:keepNext/>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72D94">
              <w:rPr>
                <w:rFonts w:cs="Arial"/>
                <w:sz w:val="18"/>
                <w:szCs w:val="18"/>
              </w:rPr>
              <w:t>6.8%</w:t>
            </w:r>
          </w:p>
        </w:tc>
        <w:tc>
          <w:tcPr>
            <w:tcW w:w="1363" w:type="dxa"/>
            <w:tcBorders>
              <w:right w:val="dotted" w:sz="4" w:space="0" w:color="auto"/>
            </w:tcBorders>
            <w:hideMark/>
          </w:tcPr>
          <w:p w14:paraId="5F75E9A2" w14:textId="77777777" w:rsidR="003A17A2" w:rsidRPr="00D72D94" w:rsidRDefault="003A17A2">
            <w:pPr>
              <w:keepNext/>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72D94">
              <w:rPr>
                <w:rFonts w:cs="Arial"/>
                <w:sz w:val="18"/>
                <w:szCs w:val="18"/>
              </w:rPr>
              <w:t>6.5%</w:t>
            </w:r>
          </w:p>
        </w:tc>
        <w:tc>
          <w:tcPr>
            <w:tcW w:w="1363" w:type="dxa"/>
            <w:tcBorders>
              <w:top w:val="nil"/>
              <w:left w:val="dotted" w:sz="4" w:space="0" w:color="auto"/>
              <w:bottom w:val="nil"/>
            </w:tcBorders>
            <w:hideMark/>
          </w:tcPr>
          <w:p w14:paraId="4990DBB8" w14:textId="77777777" w:rsidR="003A17A2" w:rsidRPr="00D72D94" w:rsidRDefault="003A17A2">
            <w:pPr>
              <w:keepNext/>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72D94">
              <w:rPr>
                <w:rFonts w:cs="Arial"/>
                <w:sz w:val="18"/>
                <w:szCs w:val="18"/>
              </w:rPr>
              <w:t>3.</w:t>
            </w:r>
            <w:r w:rsidR="00457995">
              <w:rPr>
                <w:rFonts w:cs="Arial"/>
                <w:sz w:val="18"/>
                <w:szCs w:val="18"/>
              </w:rPr>
              <w:t>5</w:t>
            </w:r>
            <w:r w:rsidRPr="00D72D94">
              <w:rPr>
                <w:rFonts w:cs="Arial"/>
                <w:sz w:val="18"/>
                <w:szCs w:val="18"/>
              </w:rPr>
              <w:t>%</w:t>
            </w:r>
          </w:p>
        </w:tc>
      </w:tr>
      <w:tr w:rsidR="003A17A2" w:rsidRPr="003A17A2" w14:paraId="7D1D594D" w14:textId="77777777" w:rsidTr="00D72D94">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266" w:type="dxa"/>
            <w:gridSpan w:val="2"/>
            <w:hideMark/>
          </w:tcPr>
          <w:p w14:paraId="13600DB4" w14:textId="77777777" w:rsidR="003A17A2" w:rsidRPr="00D72D94" w:rsidRDefault="003A17A2" w:rsidP="003A17A2">
            <w:pPr>
              <w:keepNext/>
              <w:spacing w:after="0" w:line="240" w:lineRule="auto"/>
              <w:textAlignment w:val="baseline"/>
              <w:rPr>
                <w:rFonts w:eastAsia="Times New Roman" w:cs="Arial"/>
                <w:sz w:val="18"/>
                <w:szCs w:val="18"/>
                <w:lang w:eastAsia="en-AU"/>
              </w:rPr>
            </w:pPr>
            <w:r w:rsidRPr="00D72D94">
              <w:rPr>
                <w:rFonts w:eastAsia="Times New Roman" w:cs="Arial"/>
                <w:color w:val="000000"/>
                <w:sz w:val="18"/>
                <w:szCs w:val="18"/>
                <w:lang w:eastAsia="en-AU"/>
              </w:rPr>
              <w:t>Older adults (65+) </w:t>
            </w:r>
          </w:p>
        </w:tc>
        <w:tc>
          <w:tcPr>
            <w:tcW w:w="1169" w:type="dxa"/>
          </w:tcPr>
          <w:p w14:paraId="66FA7BAB" w14:textId="77777777" w:rsidR="003A17A2" w:rsidRPr="00D72D94" w:rsidRDefault="003A17A2" w:rsidP="003A17A2">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c>
          <w:tcPr>
            <w:tcW w:w="1363" w:type="dxa"/>
          </w:tcPr>
          <w:p w14:paraId="326741B0" w14:textId="77777777" w:rsidR="003A17A2" w:rsidRPr="00D72D94" w:rsidRDefault="003A17A2">
            <w:pPr>
              <w:keepNext/>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D72D94">
              <w:rPr>
                <w:rFonts w:cs="Arial"/>
                <w:sz w:val="18"/>
                <w:szCs w:val="18"/>
              </w:rPr>
              <w:t>3.9%</w:t>
            </w:r>
          </w:p>
        </w:tc>
        <w:tc>
          <w:tcPr>
            <w:tcW w:w="1363" w:type="dxa"/>
            <w:hideMark/>
          </w:tcPr>
          <w:p w14:paraId="3E4FCC5D" w14:textId="77777777" w:rsidR="003A17A2" w:rsidRPr="00D72D94" w:rsidRDefault="003A17A2">
            <w:pPr>
              <w:keepNext/>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72D94">
              <w:rPr>
                <w:rFonts w:cs="Arial"/>
                <w:sz w:val="18"/>
                <w:szCs w:val="18"/>
              </w:rPr>
              <w:t>7.9%</w:t>
            </w:r>
          </w:p>
        </w:tc>
        <w:tc>
          <w:tcPr>
            <w:tcW w:w="1363" w:type="dxa"/>
            <w:tcBorders>
              <w:right w:val="dotted" w:sz="4" w:space="0" w:color="auto"/>
            </w:tcBorders>
            <w:hideMark/>
          </w:tcPr>
          <w:p w14:paraId="165FD3F2" w14:textId="77777777" w:rsidR="003A17A2" w:rsidRPr="00D72D94" w:rsidRDefault="003A17A2">
            <w:pPr>
              <w:keepNext/>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72D94">
              <w:rPr>
                <w:rFonts w:cs="Arial"/>
                <w:sz w:val="18"/>
                <w:szCs w:val="18"/>
              </w:rPr>
              <w:t>7.2%</w:t>
            </w:r>
          </w:p>
        </w:tc>
        <w:tc>
          <w:tcPr>
            <w:tcW w:w="1363" w:type="dxa"/>
            <w:tcBorders>
              <w:top w:val="nil"/>
              <w:left w:val="dotted" w:sz="4" w:space="0" w:color="auto"/>
              <w:bottom w:val="nil"/>
            </w:tcBorders>
            <w:hideMark/>
          </w:tcPr>
          <w:p w14:paraId="75529B51" w14:textId="77777777" w:rsidR="003A17A2" w:rsidRPr="00D72D94" w:rsidRDefault="00457995">
            <w:pPr>
              <w:keepNext/>
              <w:spacing w:after="0" w:line="240" w:lineRule="auto"/>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Pr>
                <w:rFonts w:cs="Arial"/>
                <w:sz w:val="18"/>
                <w:szCs w:val="18"/>
              </w:rPr>
              <w:t>4.1</w:t>
            </w:r>
            <w:r w:rsidR="003A17A2" w:rsidRPr="00D72D94">
              <w:rPr>
                <w:rFonts w:cs="Arial"/>
                <w:sz w:val="18"/>
                <w:szCs w:val="18"/>
              </w:rPr>
              <w:t>%</w:t>
            </w:r>
          </w:p>
        </w:tc>
      </w:tr>
      <w:tr w:rsidR="00D72D94" w:rsidRPr="003A17A2" w14:paraId="7602F6A9" w14:textId="77777777" w:rsidTr="00D72D94">
        <w:trPr>
          <w:trHeight w:val="301"/>
        </w:trPr>
        <w:tc>
          <w:tcPr>
            <w:cnfStyle w:val="001000000000" w:firstRow="0" w:lastRow="0" w:firstColumn="1" w:lastColumn="0" w:oddVBand="0" w:evenVBand="0" w:oddHBand="0" w:evenHBand="0" w:firstRowFirstColumn="0" w:firstRowLastColumn="0" w:lastRowFirstColumn="0" w:lastRowLastColumn="0"/>
            <w:tcW w:w="2266" w:type="dxa"/>
            <w:gridSpan w:val="2"/>
            <w:shd w:val="clear" w:color="auto" w:fill="D4C5D7"/>
            <w:hideMark/>
          </w:tcPr>
          <w:p w14:paraId="69F7C7F2" w14:textId="77777777" w:rsidR="003A17A2" w:rsidRPr="00D72D94" w:rsidRDefault="003A17A2" w:rsidP="003A17A2">
            <w:pPr>
              <w:keepNext/>
              <w:spacing w:after="0" w:line="240" w:lineRule="auto"/>
              <w:textAlignment w:val="baseline"/>
              <w:rPr>
                <w:rFonts w:eastAsia="Times New Roman" w:cs="Arial"/>
                <w:b/>
                <w:sz w:val="18"/>
                <w:szCs w:val="18"/>
                <w:lang w:eastAsia="en-AU"/>
              </w:rPr>
            </w:pPr>
            <w:r w:rsidRPr="00D72D94">
              <w:rPr>
                <w:rFonts w:eastAsia="Times New Roman" w:cs="Arial"/>
                <w:b/>
                <w:bCs/>
                <w:color w:val="000000"/>
                <w:sz w:val="18"/>
                <w:szCs w:val="18"/>
                <w:lang w:eastAsia="en-AU"/>
              </w:rPr>
              <w:t>Total</w:t>
            </w:r>
            <w:r w:rsidRPr="00D72D94">
              <w:rPr>
                <w:rFonts w:eastAsia="Times New Roman" w:cs="Arial"/>
                <w:b/>
                <w:color w:val="000000"/>
                <w:sz w:val="18"/>
                <w:szCs w:val="18"/>
                <w:lang w:eastAsia="en-AU"/>
              </w:rPr>
              <w:t> </w:t>
            </w:r>
          </w:p>
        </w:tc>
        <w:tc>
          <w:tcPr>
            <w:tcW w:w="1169" w:type="dxa"/>
            <w:shd w:val="clear" w:color="auto" w:fill="D4C5D7"/>
          </w:tcPr>
          <w:p w14:paraId="61BE7B2F" w14:textId="77777777" w:rsidR="003A17A2" w:rsidRPr="00D72D94" w:rsidRDefault="003A17A2" w:rsidP="003A17A2">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p>
        </w:tc>
        <w:tc>
          <w:tcPr>
            <w:tcW w:w="1363" w:type="dxa"/>
            <w:shd w:val="clear" w:color="auto" w:fill="D4C5D7"/>
          </w:tcPr>
          <w:p w14:paraId="6388A5F8" w14:textId="77777777" w:rsidR="003A17A2" w:rsidRPr="00D72D94" w:rsidRDefault="003A17A2">
            <w:pPr>
              <w:keepNext/>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cs="Arial"/>
                <w:b/>
                <w:bCs/>
                <w:color w:val="000000"/>
                <w:sz w:val="18"/>
                <w:szCs w:val="18"/>
              </w:rPr>
            </w:pPr>
            <w:r w:rsidRPr="00D72D94">
              <w:rPr>
                <w:rFonts w:cs="Arial"/>
                <w:b/>
                <w:sz w:val="18"/>
                <w:szCs w:val="18"/>
              </w:rPr>
              <w:t>2.1%</w:t>
            </w:r>
          </w:p>
        </w:tc>
        <w:tc>
          <w:tcPr>
            <w:tcW w:w="1363" w:type="dxa"/>
            <w:shd w:val="clear" w:color="auto" w:fill="D4C5D7"/>
            <w:hideMark/>
          </w:tcPr>
          <w:p w14:paraId="0C540A84" w14:textId="77777777" w:rsidR="003A17A2" w:rsidRPr="00D72D94" w:rsidRDefault="003A17A2">
            <w:pPr>
              <w:keepNext/>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b/>
                <w:sz w:val="18"/>
                <w:szCs w:val="18"/>
                <w:lang w:eastAsia="en-AU"/>
              </w:rPr>
            </w:pPr>
            <w:r w:rsidRPr="00D72D94">
              <w:rPr>
                <w:rFonts w:cs="Arial"/>
                <w:b/>
                <w:sz w:val="18"/>
                <w:szCs w:val="18"/>
              </w:rPr>
              <w:t>6.9%</w:t>
            </w:r>
          </w:p>
        </w:tc>
        <w:tc>
          <w:tcPr>
            <w:tcW w:w="1363" w:type="dxa"/>
            <w:tcBorders>
              <w:right w:val="dotted" w:sz="4" w:space="0" w:color="auto"/>
            </w:tcBorders>
            <w:shd w:val="clear" w:color="auto" w:fill="D4C5D7"/>
            <w:hideMark/>
          </w:tcPr>
          <w:p w14:paraId="0F242141" w14:textId="77777777" w:rsidR="003A17A2" w:rsidRPr="00D72D94" w:rsidRDefault="003A17A2">
            <w:pPr>
              <w:keepNext/>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b/>
                <w:sz w:val="18"/>
                <w:szCs w:val="18"/>
                <w:lang w:eastAsia="en-AU"/>
              </w:rPr>
            </w:pPr>
            <w:r w:rsidRPr="00D72D94">
              <w:rPr>
                <w:rFonts w:cs="Arial"/>
                <w:b/>
                <w:sz w:val="18"/>
                <w:szCs w:val="18"/>
              </w:rPr>
              <w:t>6.6%</w:t>
            </w:r>
          </w:p>
        </w:tc>
        <w:tc>
          <w:tcPr>
            <w:tcW w:w="1363" w:type="dxa"/>
            <w:tcBorders>
              <w:top w:val="nil"/>
              <w:left w:val="dotted" w:sz="4" w:space="0" w:color="auto"/>
              <w:bottom w:val="single" w:sz="4" w:space="0" w:color="auto"/>
            </w:tcBorders>
            <w:shd w:val="clear" w:color="auto" w:fill="D4C5D7"/>
            <w:hideMark/>
          </w:tcPr>
          <w:p w14:paraId="781C7009" w14:textId="77777777" w:rsidR="003A17A2" w:rsidRPr="00D72D94" w:rsidRDefault="003A17A2">
            <w:pPr>
              <w:keepNext/>
              <w:spacing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b/>
                <w:sz w:val="18"/>
                <w:szCs w:val="18"/>
                <w:lang w:eastAsia="en-AU"/>
              </w:rPr>
            </w:pPr>
            <w:r w:rsidRPr="00D72D94">
              <w:rPr>
                <w:rFonts w:cs="Arial"/>
                <w:b/>
                <w:sz w:val="18"/>
                <w:szCs w:val="18"/>
              </w:rPr>
              <w:t>4.</w:t>
            </w:r>
            <w:r w:rsidR="00457995">
              <w:rPr>
                <w:rFonts w:cs="Arial"/>
                <w:b/>
                <w:sz w:val="18"/>
                <w:szCs w:val="18"/>
              </w:rPr>
              <w:t>8</w:t>
            </w:r>
            <w:r w:rsidRPr="00D72D94">
              <w:rPr>
                <w:rFonts w:cs="Arial"/>
                <w:b/>
                <w:sz w:val="18"/>
                <w:szCs w:val="18"/>
              </w:rPr>
              <w:t>%</w:t>
            </w:r>
          </w:p>
        </w:tc>
      </w:tr>
    </w:tbl>
    <w:p w14:paraId="6ABDB916" w14:textId="77777777" w:rsidR="00BF7697" w:rsidRDefault="00687259">
      <w:pPr>
        <w:pStyle w:val="FSRnormal"/>
        <w:rPr>
          <w:lang w:eastAsia="en-AU"/>
        </w:rPr>
      </w:pPr>
      <w:r>
        <w:rPr>
          <w:lang w:eastAsia="en-AU"/>
        </w:rPr>
        <w:t xml:space="preserve">Projected </w:t>
      </w:r>
      <w:r w:rsidR="00BF7697">
        <w:rPr>
          <w:lang w:eastAsia="en-AU"/>
        </w:rPr>
        <w:t>average</w:t>
      </w:r>
      <w:r w:rsidR="00BF7697" w:rsidRPr="1282B838">
        <w:rPr>
          <w:lang w:eastAsia="en-AU"/>
        </w:rPr>
        <w:t xml:space="preserve"> annual payments </w:t>
      </w:r>
      <w:r w:rsidR="00FB23AE">
        <w:rPr>
          <w:lang w:eastAsia="en-AU"/>
        </w:rPr>
        <w:t>are</w:t>
      </w:r>
      <w:r w:rsidR="00FB23AE" w:rsidRPr="1282B838">
        <w:rPr>
          <w:lang w:eastAsia="en-AU"/>
        </w:rPr>
        <w:t xml:space="preserve"> </w:t>
      </w:r>
      <w:r w:rsidR="00BF7697">
        <w:rPr>
          <w:lang w:eastAsia="en-AU"/>
        </w:rPr>
        <w:t>expected</w:t>
      </w:r>
      <w:r w:rsidR="00BF7697" w:rsidRPr="1282B838">
        <w:rPr>
          <w:lang w:eastAsia="en-AU"/>
        </w:rPr>
        <w:t xml:space="preserve"> to grow </w:t>
      </w:r>
      <w:r w:rsidR="00BF7697">
        <w:rPr>
          <w:lang w:eastAsia="en-AU"/>
        </w:rPr>
        <w:t>by 2.</w:t>
      </w:r>
      <w:r w:rsidR="006A4ADD">
        <w:rPr>
          <w:lang w:eastAsia="en-AU"/>
        </w:rPr>
        <w:t>1</w:t>
      </w:r>
      <w:r w:rsidR="00BF7697">
        <w:rPr>
          <w:lang w:eastAsia="en-AU"/>
        </w:rPr>
        <w:t xml:space="preserve">%, </w:t>
      </w:r>
      <w:r w:rsidR="006A4ADD">
        <w:rPr>
          <w:lang w:eastAsia="en-AU"/>
        </w:rPr>
        <w:t>6.9</w:t>
      </w:r>
      <w:r w:rsidR="00BF7697">
        <w:rPr>
          <w:lang w:eastAsia="en-AU"/>
        </w:rPr>
        <w:t>% and 6.6</w:t>
      </w:r>
      <w:r w:rsidR="00BF7697" w:rsidRPr="1282B838">
        <w:rPr>
          <w:lang w:eastAsia="en-AU"/>
        </w:rPr>
        <w:t xml:space="preserve">% </w:t>
      </w:r>
      <w:r w:rsidR="00BF7697">
        <w:rPr>
          <w:lang w:eastAsia="en-AU"/>
        </w:rPr>
        <w:t xml:space="preserve">for </w:t>
      </w:r>
      <w:r w:rsidR="00BF7697" w:rsidRPr="369A73A2">
        <w:rPr>
          <w:lang w:eastAsia="en-AU"/>
        </w:rPr>
        <w:t>2023-24, 2024-25</w:t>
      </w:r>
      <w:r w:rsidR="00BF7697">
        <w:rPr>
          <w:lang w:eastAsia="en-AU"/>
        </w:rPr>
        <w:t xml:space="preserve"> and </w:t>
      </w:r>
      <w:r w:rsidR="00BF7697" w:rsidRPr="369A73A2">
        <w:rPr>
          <w:lang w:eastAsia="en-AU"/>
        </w:rPr>
        <w:t>2025-26</w:t>
      </w:r>
      <w:r w:rsidR="00BF7697">
        <w:rPr>
          <w:lang w:eastAsia="en-AU"/>
        </w:rPr>
        <w:t xml:space="preserve"> respectively. </w:t>
      </w:r>
      <w:r w:rsidR="003C37F9">
        <w:rPr>
          <w:lang w:eastAsia="en-AU"/>
        </w:rPr>
        <w:t>A c</w:t>
      </w:r>
      <w:r w:rsidR="00BF7697">
        <w:rPr>
          <w:lang w:eastAsia="en-AU"/>
        </w:rPr>
        <w:t xml:space="preserve">ombination of </w:t>
      </w:r>
      <w:r w:rsidR="003C37F9">
        <w:rPr>
          <w:lang w:eastAsia="en-AU"/>
        </w:rPr>
        <w:t xml:space="preserve">a </w:t>
      </w:r>
      <w:r w:rsidR="00BF7697">
        <w:rPr>
          <w:lang w:eastAsia="en-AU"/>
        </w:rPr>
        <w:t xml:space="preserve">shifting mix of participants into lower average </w:t>
      </w:r>
      <w:r w:rsidR="00067FDF">
        <w:rPr>
          <w:lang w:eastAsia="en-AU"/>
        </w:rPr>
        <w:t xml:space="preserve">payments </w:t>
      </w:r>
      <w:r w:rsidR="00BF7697">
        <w:rPr>
          <w:lang w:eastAsia="en-AU"/>
        </w:rPr>
        <w:t>and relatively low inflation assumptions</w:t>
      </w:r>
      <w:r w:rsidR="00A45774">
        <w:rPr>
          <w:lang w:eastAsia="en-AU"/>
        </w:rPr>
        <w:t>,</w:t>
      </w:r>
      <w:r w:rsidR="00BF7697">
        <w:rPr>
          <w:lang w:eastAsia="en-AU"/>
        </w:rPr>
        <w:t xml:space="preserve"> particularly for </w:t>
      </w:r>
      <w:r w:rsidR="00A45774">
        <w:rPr>
          <w:lang w:eastAsia="en-AU"/>
        </w:rPr>
        <w:t>i</w:t>
      </w:r>
      <w:r w:rsidR="00BF7697">
        <w:rPr>
          <w:lang w:eastAsia="en-AU"/>
        </w:rPr>
        <w:t xml:space="preserve">ntellectual </w:t>
      </w:r>
      <w:r w:rsidR="00A45774">
        <w:rPr>
          <w:lang w:eastAsia="en-AU"/>
        </w:rPr>
        <w:t>d</w:t>
      </w:r>
      <w:r w:rsidR="00BF7697">
        <w:rPr>
          <w:lang w:eastAsia="en-AU"/>
        </w:rPr>
        <w:t>isability</w:t>
      </w:r>
      <w:r w:rsidR="00A45774">
        <w:rPr>
          <w:lang w:eastAsia="en-AU"/>
        </w:rPr>
        <w:t>,</w:t>
      </w:r>
      <w:r w:rsidR="00BF7697">
        <w:rPr>
          <w:lang w:eastAsia="en-AU"/>
        </w:rPr>
        <w:t xml:space="preserve"> resulted in low</w:t>
      </w:r>
      <w:r>
        <w:rPr>
          <w:lang w:eastAsia="en-AU"/>
        </w:rPr>
        <w:t xml:space="preserve"> projected</w:t>
      </w:r>
      <w:r w:rsidR="00BF7697">
        <w:rPr>
          <w:lang w:eastAsia="en-AU"/>
        </w:rPr>
        <w:t xml:space="preserve"> growth of 2.</w:t>
      </w:r>
      <w:r w:rsidR="00B4630D">
        <w:rPr>
          <w:lang w:eastAsia="en-AU"/>
        </w:rPr>
        <w:t>1</w:t>
      </w:r>
      <w:r w:rsidR="00BF7697">
        <w:rPr>
          <w:lang w:eastAsia="en-AU"/>
        </w:rPr>
        <w:t>%</w:t>
      </w:r>
      <w:r w:rsidR="00BF7697" w:rsidRPr="009F3F26">
        <w:rPr>
          <w:lang w:eastAsia="en-AU"/>
        </w:rPr>
        <w:t xml:space="preserve"> </w:t>
      </w:r>
      <w:r w:rsidR="00BF7697">
        <w:rPr>
          <w:lang w:eastAsia="en-AU"/>
        </w:rPr>
        <w:t xml:space="preserve">in 2023-24. </w:t>
      </w:r>
      <w:r w:rsidR="00C076D1">
        <w:rPr>
          <w:lang w:eastAsia="en-AU"/>
        </w:rPr>
        <w:t xml:space="preserve">The percentage </w:t>
      </w:r>
      <w:r w:rsidR="00BF7697">
        <w:rPr>
          <w:lang w:eastAsia="en-AU"/>
        </w:rPr>
        <w:t>of participant</w:t>
      </w:r>
      <w:r w:rsidR="00B360A6">
        <w:rPr>
          <w:lang w:eastAsia="en-AU"/>
        </w:rPr>
        <w:t>s</w:t>
      </w:r>
      <w:r w:rsidR="00BF7697">
        <w:rPr>
          <w:lang w:eastAsia="en-AU"/>
        </w:rPr>
        <w:t xml:space="preserve"> </w:t>
      </w:r>
      <w:r w:rsidR="00B360A6">
        <w:rPr>
          <w:lang w:eastAsia="en-AU"/>
        </w:rPr>
        <w:t xml:space="preserve">with a </w:t>
      </w:r>
      <w:r w:rsidR="00BF7697">
        <w:rPr>
          <w:lang w:eastAsia="en-AU"/>
        </w:rPr>
        <w:t xml:space="preserve">primary disability </w:t>
      </w:r>
      <w:r w:rsidR="00B360A6">
        <w:rPr>
          <w:lang w:eastAsia="en-AU"/>
        </w:rPr>
        <w:t>of a</w:t>
      </w:r>
      <w:r w:rsidR="00BF7697">
        <w:rPr>
          <w:lang w:eastAsia="en-AU"/>
        </w:rPr>
        <w:t xml:space="preserve">utism is expected to increase (through new entrants/transitions) by about 1.1% between </w:t>
      </w:r>
      <w:r w:rsidR="00BF7697" w:rsidRPr="369A73A2">
        <w:rPr>
          <w:lang w:eastAsia="en-AU"/>
        </w:rPr>
        <w:t>2022-23</w:t>
      </w:r>
      <w:r w:rsidR="00BF7697">
        <w:rPr>
          <w:lang w:eastAsia="en-AU"/>
        </w:rPr>
        <w:t xml:space="preserve"> and </w:t>
      </w:r>
      <w:r w:rsidR="00BF7697" w:rsidRPr="369A73A2">
        <w:rPr>
          <w:lang w:eastAsia="en-AU"/>
        </w:rPr>
        <w:t>2023-24.</w:t>
      </w:r>
      <w:r w:rsidR="00BF7697">
        <w:rPr>
          <w:lang w:eastAsia="en-AU"/>
        </w:rPr>
        <w:t xml:space="preserve"> Compared to other main disability groups, </w:t>
      </w:r>
      <w:r w:rsidR="00B360A6">
        <w:rPr>
          <w:lang w:eastAsia="en-AU"/>
        </w:rPr>
        <w:t>participants with a</w:t>
      </w:r>
      <w:r w:rsidR="00BF7697">
        <w:rPr>
          <w:lang w:eastAsia="en-AU"/>
        </w:rPr>
        <w:t>utism have lower average</w:t>
      </w:r>
      <w:r w:rsidR="00D812B7">
        <w:rPr>
          <w:lang w:eastAsia="en-AU"/>
        </w:rPr>
        <w:t xml:space="preserve"> payment</w:t>
      </w:r>
      <w:r w:rsidR="00822F2F">
        <w:rPr>
          <w:lang w:eastAsia="en-AU"/>
        </w:rPr>
        <w:t>s</w:t>
      </w:r>
      <w:r w:rsidR="00BF7697">
        <w:rPr>
          <w:lang w:eastAsia="en-AU"/>
        </w:rPr>
        <w:t>.</w:t>
      </w:r>
    </w:p>
    <w:p w14:paraId="0B727F66" w14:textId="77777777" w:rsidR="00BF7697" w:rsidRPr="00B45AC5" w:rsidRDefault="00D4199A" w:rsidP="00BF7697">
      <w:pPr>
        <w:pStyle w:val="FSRnormal"/>
        <w:rPr>
          <w:lang w:eastAsia="en-AU"/>
        </w:rPr>
      </w:pPr>
      <w:r w:rsidRPr="00164A79">
        <w:t xml:space="preserve">Table </w:t>
      </w:r>
      <w:r>
        <w:rPr>
          <w:noProof/>
        </w:rPr>
        <w:t>5</w:t>
      </w:r>
      <w:r>
        <w:t>.</w:t>
      </w:r>
      <w:r>
        <w:rPr>
          <w:noProof/>
        </w:rPr>
        <w:t>26</w:t>
      </w:r>
      <w:r w:rsidR="00D812B7">
        <w:rPr>
          <w:rFonts w:cs="Arial"/>
          <w:lang w:eastAsia="en-AU"/>
        </w:rPr>
        <w:t xml:space="preserve"> </w:t>
      </w:r>
      <w:r w:rsidR="00BF7697" w:rsidRPr="00B45AC5">
        <w:rPr>
          <w:rFonts w:cs="Arial"/>
          <w:lang w:eastAsia="en-AU"/>
        </w:rPr>
        <w:t>displays the projected average annual payments (in 202</w:t>
      </w:r>
      <w:r w:rsidR="00BF7697">
        <w:rPr>
          <w:rFonts w:cs="Arial"/>
          <w:lang w:eastAsia="en-AU"/>
        </w:rPr>
        <w:t>5-26</w:t>
      </w:r>
      <w:r w:rsidR="00BF7697" w:rsidRPr="00B45AC5">
        <w:rPr>
          <w:rFonts w:cs="Arial"/>
          <w:lang w:eastAsia="en-AU"/>
        </w:rPr>
        <w:t xml:space="preserve"> dollars) by grouped disability and age band for the </w:t>
      </w:r>
      <w:r w:rsidR="00BF7697">
        <w:rPr>
          <w:rFonts w:cs="Arial"/>
          <w:lang w:eastAsia="en-AU"/>
        </w:rPr>
        <w:t>2025-26</w:t>
      </w:r>
      <w:r w:rsidR="00BF7697" w:rsidRPr="00B45AC5">
        <w:rPr>
          <w:rFonts w:cs="Arial"/>
          <w:lang w:eastAsia="en-AU"/>
        </w:rPr>
        <w:t xml:space="preserve"> financial year. </w:t>
      </w:r>
      <w:r w:rsidR="00BF7697">
        <w:rPr>
          <w:rFonts w:cs="Arial"/>
          <w:lang w:eastAsia="en-AU"/>
        </w:rPr>
        <w:t xml:space="preserve">Consistent with current average payment, the </w:t>
      </w:r>
      <w:r w:rsidR="00BF7697" w:rsidRPr="00B45AC5">
        <w:rPr>
          <w:rFonts w:cs="Arial"/>
          <w:lang w:eastAsia="en-AU"/>
        </w:rPr>
        <w:t>table shows that: </w:t>
      </w:r>
    </w:p>
    <w:p w14:paraId="428E2FF1" w14:textId="77777777" w:rsidR="00BF7697" w:rsidRDefault="00BF7697" w:rsidP="00BF7697">
      <w:pPr>
        <w:pStyle w:val="FSRlist"/>
        <w:rPr>
          <w:lang w:eastAsia="en-AU"/>
        </w:rPr>
      </w:pPr>
      <w:r w:rsidRPr="1282B838">
        <w:rPr>
          <w:lang w:eastAsia="en-AU"/>
        </w:rPr>
        <w:t>The average annualised payment amount for all Scheme participants in 2025-26 is $6</w:t>
      </w:r>
      <w:r>
        <w:rPr>
          <w:lang w:eastAsia="en-AU"/>
        </w:rPr>
        <w:t>9,</w:t>
      </w:r>
      <w:r w:rsidR="006A4ADD">
        <w:rPr>
          <w:lang w:eastAsia="en-AU"/>
        </w:rPr>
        <w:t>1</w:t>
      </w:r>
      <w:r>
        <w:rPr>
          <w:lang w:eastAsia="en-AU"/>
        </w:rPr>
        <w:t>00</w:t>
      </w:r>
      <w:r w:rsidRPr="1282B838">
        <w:rPr>
          <w:lang w:eastAsia="en-AU"/>
        </w:rPr>
        <w:t>.</w:t>
      </w:r>
    </w:p>
    <w:p w14:paraId="63D1F9C1" w14:textId="77777777" w:rsidR="00BF7697" w:rsidRDefault="00BF7697" w:rsidP="00BF7697">
      <w:pPr>
        <w:pStyle w:val="FSRlist"/>
        <w:rPr>
          <w:lang w:eastAsia="en-AU"/>
        </w:rPr>
      </w:pPr>
      <w:r w:rsidRPr="00AF5328">
        <w:rPr>
          <w:lang w:eastAsia="en-AU"/>
        </w:rPr>
        <w:t>Children have lower average annualised payments than adults, reflecting a higher proportion of early intervention participants, less</w:t>
      </w:r>
      <w:r w:rsidR="00102C0C">
        <w:rPr>
          <w:lang w:eastAsia="en-AU"/>
        </w:rPr>
        <w:t>er</w:t>
      </w:r>
      <w:r w:rsidRPr="00AF5328">
        <w:rPr>
          <w:lang w:eastAsia="en-AU"/>
        </w:rPr>
        <w:t xml:space="preserve"> usage of SIL arrangements and more informal supports, primarily provided by parents. </w:t>
      </w:r>
    </w:p>
    <w:p w14:paraId="09674CB7" w14:textId="77777777" w:rsidR="00BF7697" w:rsidRDefault="00BF7697" w:rsidP="00BF7697">
      <w:pPr>
        <w:pStyle w:val="FSRlist"/>
        <w:rPr>
          <w:lang w:eastAsia="en-AU"/>
        </w:rPr>
      </w:pPr>
      <w:r w:rsidRPr="00AF5328">
        <w:rPr>
          <w:lang w:eastAsia="en-AU"/>
        </w:rPr>
        <w:t>Participants with intellectual d</w:t>
      </w:r>
      <w:r>
        <w:rPr>
          <w:lang w:eastAsia="en-AU"/>
        </w:rPr>
        <w:t>isability and other disabilities</w:t>
      </w:r>
      <w:r>
        <w:rPr>
          <w:rStyle w:val="FootnoteReference"/>
          <w:rFonts w:eastAsia="Times New Roman" w:cs="Arial"/>
          <w:lang w:eastAsia="en-AU"/>
        </w:rPr>
        <w:footnoteReference w:id="108"/>
      </w:r>
      <w:r w:rsidRPr="00AF5328">
        <w:rPr>
          <w:lang w:eastAsia="en-AU"/>
        </w:rPr>
        <w:t xml:space="preserve"> have the largest average payments. </w:t>
      </w:r>
    </w:p>
    <w:p w14:paraId="5AF6B5A9" w14:textId="77777777" w:rsidR="00BF7697" w:rsidRPr="00AF5328" w:rsidRDefault="00BF7697" w:rsidP="00BF7697">
      <w:pPr>
        <w:pStyle w:val="FSRlist"/>
        <w:rPr>
          <w:lang w:eastAsia="en-AU"/>
        </w:rPr>
      </w:pPr>
      <w:r w:rsidRPr="00AF5328">
        <w:rPr>
          <w:lang w:eastAsia="en-AU"/>
        </w:rPr>
        <w:t>Participants with sensory disabilitie</w:t>
      </w:r>
      <w:r>
        <w:rPr>
          <w:lang w:eastAsia="en-AU"/>
        </w:rPr>
        <w:t>s</w:t>
      </w:r>
      <w:r>
        <w:rPr>
          <w:rStyle w:val="FootnoteReference"/>
          <w:rFonts w:eastAsia="Times New Roman" w:cs="Arial"/>
          <w:lang w:eastAsia="en-AU"/>
        </w:rPr>
        <w:footnoteReference w:id="109"/>
      </w:r>
      <w:r>
        <w:rPr>
          <w:lang w:eastAsia="en-AU"/>
        </w:rPr>
        <w:t xml:space="preserve"> </w:t>
      </w:r>
      <w:r w:rsidRPr="00AF5328">
        <w:rPr>
          <w:lang w:eastAsia="en-AU"/>
        </w:rPr>
        <w:t>and developmental delay have the lowest average payments. </w:t>
      </w:r>
    </w:p>
    <w:p w14:paraId="45A4028A" w14:textId="77777777" w:rsidR="00BF7697" w:rsidRDefault="00BF7697" w:rsidP="00BF7697">
      <w:pPr>
        <w:spacing w:after="0" w:line="240" w:lineRule="auto"/>
        <w:textAlignment w:val="baseline"/>
        <w:rPr>
          <w:rFonts w:eastAsia="Times New Roman" w:cs="Arial"/>
          <w:b/>
          <w:bCs/>
          <w:lang w:eastAsia="en-AU"/>
        </w:rPr>
      </w:pPr>
    </w:p>
    <w:p w14:paraId="4002426C" w14:textId="77777777" w:rsidR="00BF7697" w:rsidRPr="00B45AC5" w:rsidRDefault="00BF7697" w:rsidP="00BF7697">
      <w:pPr>
        <w:pStyle w:val="Tables"/>
        <w:keepLines/>
        <w:rPr>
          <w:rFonts w:ascii="Segoe UI" w:hAnsi="Segoe UI" w:cs="Segoe UI"/>
          <w:sz w:val="18"/>
        </w:rPr>
      </w:pPr>
      <w:bookmarkStart w:id="242" w:name="_Ref111630402"/>
      <w:bookmarkStart w:id="243" w:name="_Ref111898502"/>
      <w:r w:rsidRPr="00164A79">
        <w:lastRenderedPageBreak/>
        <w:t xml:space="preserve">Table </w:t>
      </w:r>
      <w:bookmarkEnd w:id="242"/>
      <w:r w:rsidR="00A87896">
        <w:fldChar w:fldCharType="begin"/>
      </w:r>
      <w:r w:rsidR="00A87896">
        <w:instrText xml:space="preserve"> STYLEREF 2 \s </w:instrText>
      </w:r>
      <w:r w:rsidR="00A87896">
        <w:fldChar w:fldCharType="separate"/>
      </w:r>
      <w:r w:rsidR="00A87896">
        <w:rPr>
          <w:noProof/>
        </w:rPr>
        <w:t>5</w:t>
      </w:r>
      <w:r w:rsidR="00A87896">
        <w:fldChar w:fldCharType="end"/>
      </w:r>
      <w:r w:rsidR="00A87896">
        <w:t>.</w:t>
      </w:r>
      <w:fldSimple w:instr=" SEQ Table \* ARABIC \s 2 ">
        <w:r w:rsidR="00A87896">
          <w:rPr>
            <w:noProof/>
          </w:rPr>
          <w:t>27</w:t>
        </w:r>
      </w:fldSimple>
      <w:bookmarkEnd w:id="243"/>
      <w:r w:rsidRPr="00164A79">
        <w:t>: Average annual payments ($) by age band and disability group in 2025-26</w:t>
      </w:r>
      <w:r>
        <w:t xml:space="preserve"> (2025-26</w:t>
      </w:r>
      <w:r w:rsidRPr="00B45AC5">
        <w:t xml:space="preserve"> dollars</w:t>
      </w:r>
      <w:r w:rsidRPr="008600EF">
        <w:t>)</w:t>
      </w:r>
      <w:r w:rsidRPr="008600EF">
        <w:rPr>
          <w:rStyle w:val="FootnoteReference"/>
          <w:rFonts w:ascii="Times New Roman" w:eastAsia="Times New Roman" w:hAnsi="Times New Roman" w:cs="Times New Roman"/>
          <w:sz w:val="16"/>
          <w:szCs w:val="16"/>
          <w:lang w:eastAsia="en-AU"/>
        </w:rPr>
        <w:footnoteReference w:id="110"/>
      </w:r>
    </w:p>
    <w:tbl>
      <w:tblPr>
        <w:tblStyle w:val="FSRtable"/>
        <w:tblW w:w="9021" w:type="dxa"/>
        <w:tblInd w:w="5" w:type="dxa"/>
        <w:tblLayout w:type="fixed"/>
        <w:tblLook w:val="04A0" w:firstRow="1" w:lastRow="0" w:firstColumn="1" w:lastColumn="0" w:noHBand="0" w:noVBand="1"/>
      </w:tblPr>
      <w:tblGrid>
        <w:gridCol w:w="3114"/>
        <w:gridCol w:w="992"/>
        <w:gridCol w:w="1276"/>
        <w:gridCol w:w="1276"/>
        <w:gridCol w:w="1275"/>
        <w:gridCol w:w="1088"/>
      </w:tblGrid>
      <w:tr w:rsidR="009B254B" w:rsidRPr="009B254B" w14:paraId="613885AA" w14:textId="77777777" w:rsidTr="007B1EE1">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3114" w:type="dxa"/>
            <w:hideMark/>
          </w:tcPr>
          <w:p w14:paraId="31BAFE5B" w14:textId="77777777" w:rsidR="00BF7697" w:rsidRPr="009B254B" w:rsidRDefault="00BF7697" w:rsidP="00D4199A">
            <w:pPr>
              <w:keepNext/>
              <w:spacing w:after="0" w:line="240" w:lineRule="auto"/>
              <w:rPr>
                <w:rFonts w:eastAsia="Times New Roman"/>
                <w:bCs/>
                <w:color w:val="FFFFFF"/>
                <w:sz w:val="20"/>
                <w:szCs w:val="20"/>
                <w:lang w:eastAsia="en-AU"/>
              </w:rPr>
            </w:pPr>
            <w:r w:rsidRPr="009B254B">
              <w:rPr>
                <w:rFonts w:eastAsia="Times New Roman"/>
                <w:bCs/>
                <w:color w:val="FFFFFF"/>
                <w:sz w:val="20"/>
                <w:szCs w:val="20"/>
                <w:lang w:eastAsia="en-AU"/>
              </w:rPr>
              <w:t>Disability Group</w:t>
            </w:r>
          </w:p>
        </w:tc>
        <w:tc>
          <w:tcPr>
            <w:tcW w:w="992" w:type="dxa"/>
            <w:hideMark/>
          </w:tcPr>
          <w:p w14:paraId="6DBCA9B8" w14:textId="77777777" w:rsidR="00BF7697" w:rsidRPr="009B254B" w:rsidRDefault="00BF7697" w:rsidP="00D4199A">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B254B">
              <w:rPr>
                <w:rFonts w:eastAsia="Times New Roman"/>
                <w:bCs/>
                <w:color w:val="FFFFFF"/>
                <w:sz w:val="20"/>
                <w:szCs w:val="20"/>
                <w:lang w:eastAsia="en-AU"/>
              </w:rPr>
              <w:t>0 to 6</w:t>
            </w:r>
          </w:p>
        </w:tc>
        <w:tc>
          <w:tcPr>
            <w:tcW w:w="1276" w:type="dxa"/>
            <w:hideMark/>
          </w:tcPr>
          <w:p w14:paraId="79C7EEAD" w14:textId="77777777" w:rsidR="00BF7697" w:rsidRPr="009B254B" w:rsidRDefault="00BF7697" w:rsidP="00D4199A">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B254B">
              <w:rPr>
                <w:rFonts w:eastAsia="Times New Roman"/>
                <w:bCs/>
                <w:color w:val="FFFFFF"/>
                <w:sz w:val="20"/>
                <w:szCs w:val="20"/>
                <w:lang w:eastAsia="en-AU"/>
              </w:rPr>
              <w:t>7 to 14</w:t>
            </w:r>
          </w:p>
        </w:tc>
        <w:tc>
          <w:tcPr>
            <w:tcW w:w="1276" w:type="dxa"/>
            <w:hideMark/>
          </w:tcPr>
          <w:p w14:paraId="061C665A" w14:textId="77777777" w:rsidR="00BF7697" w:rsidRPr="009B254B" w:rsidRDefault="00BF7697" w:rsidP="00D4199A">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B254B">
              <w:rPr>
                <w:rFonts w:eastAsia="Times New Roman"/>
                <w:bCs/>
                <w:color w:val="FFFFFF"/>
                <w:sz w:val="20"/>
                <w:szCs w:val="20"/>
                <w:lang w:eastAsia="en-AU"/>
              </w:rPr>
              <w:t>15 to 18</w:t>
            </w:r>
          </w:p>
        </w:tc>
        <w:tc>
          <w:tcPr>
            <w:tcW w:w="1275" w:type="dxa"/>
            <w:hideMark/>
          </w:tcPr>
          <w:p w14:paraId="0A8F35C8" w14:textId="77777777" w:rsidR="00BF7697" w:rsidRPr="009B254B" w:rsidRDefault="00BF7697" w:rsidP="00D4199A">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B254B">
              <w:rPr>
                <w:rFonts w:eastAsia="Times New Roman"/>
                <w:bCs/>
                <w:color w:val="FFFFFF"/>
                <w:sz w:val="20"/>
                <w:szCs w:val="20"/>
                <w:lang w:eastAsia="en-AU"/>
              </w:rPr>
              <w:t>19 to 24</w:t>
            </w:r>
          </w:p>
        </w:tc>
        <w:tc>
          <w:tcPr>
            <w:tcW w:w="1088" w:type="dxa"/>
            <w:hideMark/>
          </w:tcPr>
          <w:p w14:paraId="330EFE24" w14:textId="77777777" w:rsidR="00BF7697" w:rsidRPr="009B254B" w:rsidRDefault="00BF7697" w:rsidP="00D4199A">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B254B">
              <w:rPr>
                <w:rFonts w:eastAsia="Times New Roman"/>
                <w:bCs/>
                <w:color w:val="FFFFFF"/>
                <w:sz w:val="20"/>
                <w:szCs w:val="20"/>
                <w:lang w:eastAsia="en-AU"/>
              </w:rPr>
              <w:t>25 to 34</w:t>
            </w:r>
          </w:p>
        </w:tc>
      </w:tr>
      <w:tr w:rsidR="009B254B" w:rsidRPr="009B254B" w14:paraId="524CFB52" w14:textId="77777777" w:rsidTr="00D4199A">
        <w:trPr>
          <w:trHeight w:hRule="exact" w:val="301"/>
        </w:trPr>
        <w:tc>
          <w:tcPr>
            <w:cnfStyle w:val="001000000000" w:firstRow="0" w:lastRow="0" w:firstColumn="1" w:lastColumn="0" w:oddVBand="0" w:evenVBand="0" w:oddHBand="0" w:evenHBand="0" w:firstRowFirstColumn="0" w:firstRowLastColumn="0" w:lastRowFirstColumn="0" w:lastRowLastColumn="0"/>
            <w:tcW w:w="3114" w:type="dxa"/>
            <w:hideMark/>
          </w:tcPr>
          <w:p w14:paraId="506CBBC0" w14:textId="77777777" w:rsidR="009B254B" w:rsidRPr="009B254B" w:rsidRDefault="009B254B" w:rsidP="00D4199A">
            <w:pPr>
              <w:keepNext/>
              <w:spacing w:after="0" w:line="240" w:lineRule="auto"/>
              <w:rPr>
                <w:rFonts w:eastAsia="Times New Roman" w:cs="Arial"/>
                <w:color w:val="000000"/>
                <w:sz w:val="20"/>
                <w:szCs w:val="20"/>
                <w:lang w:eastAsia="en-AU"/>
              </w:rPr>
            </w:pPr>
            <w:r w:rsidRPr="009B254B">
              <w:rPr>
                <w:rFonts w:eastAsia="Times New Roman" w:cs="Arial"/>
                <w:color w:val="000000"/>
                <w:sz w:val="20"/>
                <w:szCs w:val="20"/>
                <w:lang w:eastAsia="en-AU"/>
              </w:rPr>
              <w:t>Autism </w:t>
            </w:r>
          </w:p>
        </w:tc>
        <w:tc>
          <w:tcPr>
            <w:tcW w:w="992" w:type="dxa"/>
            <w:hideMark/>
          </w:tcPr>
          <w:p w14:paraId="766B8B4A" w14:textId="77777777" w:rsidR="009B254B" w:rsidRPr="009B254B" w:rsidRDefault="009B254B" w:rsidP="00D4199A">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24,500</w:t>
            </w:r>
          </w:p>
        </w:tc>
        <w:tc>
          <w:tcPr>
            <w:tcW w:w="1276" w:type="dxa"/>
            <w:hideMark/>
          </w:tcPr>
          <w:p w14:paraId="16CB8E38" w14:textId="77777777" w:rsidR="009B254B" w:rsidRPr="009B254B" w:rsidRDefault="009B254B" w:rsidP="00D4199A">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24,600</w:t>
            </w:r>
          </w:p>
        </w:tc>
        <w:tc>
          <w:tcPr>
            <w:tcW w:w="1276" w:type="dxa"/>
            <w:hideMark/>
          </w:tcPr>
          <w:p w14:paraId="1A1BC965" w14:textId="77777777" w:rsidR="009B254B" w:rsidRPr="009B254B" w:rsidRDefault="009B254B" w:rsidP="00D4199A">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36,700</w:t>
            </w:r>
          </w:p>
        </w:tc>
        <w:tc>
          <w:tcPr>
            <w:tcW w:w="1275" w:type="dxa"/>
            <w:hideMark/>
          </w:tcPr>
          <w:p w14:paraId="3709F35F" w14:textId="77777777" w:rsidR="009B254B" w:rsidRPr="009B254B" w:rsidRDefault="009B254B" w:rsidP="00D4199A">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69,400</w:t>
            </w:r>
          </w:p>
        </w:tc>
        <w:tc>
          <w:tcPr>
            <w:tcW w:w="1088" w:type="dxa"/>
            <w:hideMark/>
          </w:tcPr>
          <w:p w14:paraId="13CA4886" w14:textId="77777777" w:rsidR="009B254B" w:rsidRPr="009B254B" w:rsidRDefault="009B254B" w:rsidP="00D4199A">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99,700</w:t>
            </w:r>
          </w:p>
        </w:tc>
      </w:tr>
      <w:tr w:rsidR="009B254B" w:rsidRPr="009B254B" w14:paraId="11C06CEB" w14:textId="77777777" w:rsidTr="00D4199A">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114" w:type="dxa"/>
            <w:hideMark/>
          </w:tcPr>
          <w:p w14:paraId="6E524CEE" w14:textId="77777777" w:rsidR="009B254B" w:rsidRPr="009B254B" w:rsidRDefault="009B254B" w:rsidP="00D4199A">
            <w:pPr>
              <w:keepNext/>
              <w:spacing w:after="0" w:line="240" w:lineRule="auto"/>
              <w:rPr>
                <w:rFonts w:eastAsia="Times New Roman" w:cs="Arial"/>
                <w:color w:val="000000"/>
                <w:sz w:val="20"/>
                <w:szCs w:val="20"/>
                <w:lang w:eastAsia="en-AU"/>
              </w:rPr>
            </w:pPr>
            <w:r w:rsidRPr="009B254B">
              <w:rPr>
                <w:rFonts w:eastAsia="Times New Roman" w:cs="Arial"/>
                <w:color w:val="000000"/>
                <w:sz w:val="20"/>
                <w:szCs w:val="20"/>
                <w:lang w:eastAsia="en-AU"/>
              </w:rPr>
              <w:t>Intellectual Disability </w:t>
            </w:r>
          </w:p>
        </w:tc>
        <w:tc>
          <w:tcPr>
            <w:tcW w:w="992" w:type="dxa"/>
            <w:hideMark/>
          </w:tcPr>
          <w:p w14:paraId="665E45FD"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48,000</w:t>
            </w:r>
          </w:p>
        </w:tc>
        <w:tc>
          <w:tcPr>
            <w:tcW w:w="1276" w:type="dxa"/>
            <w:hideMark/>
          </w:tcPr>
          <w:p w14:paraId="49AFDABE"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35,200</w:t>
            </w:r>
          </w:p>
        </w:tc>
        <w:tc>
          <w:tcPr>
            <w:tcW w:w="1276" w:type="dxa"/>
            <w:hideMark/>
          </w:tcPr>
          <w:p w14:paraId="7A679113"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60,500</w:t>
            </w:r>
          </w:p>
        </w:tc>
        <w:tc>
          <w:tcPr>
            <w:tcW w:w="1275" w:type="dxa"/>
            <w:hideMark/>
          </w:tcPr>
          <w:p w14:paraId="72356EE0"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102,800</w:t>
            </w:r>
          </w:p>
        </w:tc>
        <w:tc>
          <w:tcPr>
            <w:tcW w:w="1088" w:type="dxa"/>
            <w:hideMark/>
          </w:tcPr>
          <w:p w14:paraId="06EB73A6"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128,800</w:t>
            </w:r>
          </w:p>
        </w:tc>
      </w:tr>
      <w:tr w:rsidR="009B254B" w:rsidRPr="009B254B" w14:paraId="0B8CCF48" w14:textId="77777777" w:rsidTr="00D4199A">
        <w:trPr>
          <w:trHeight w:hRule="exact" w:val="301"/>
        </w:trPr>
        <w:tc>
          <w:tcPr>
            <w:cnfStyle w:val="001000000000" w:firstRow="0" w:lastRow="0" w:firstColumn="1" w:lastColumn="0" w:oddVBand="0" w:evenVBand="0" w:oddHBand="0" w:evenHBand="0" w:firstRowFirstColumn="0" w:firstRowLastColumn="0" w:lastRowFirstColumn="0" w:lastRowLastColumn="0"/>
            <w:tcW w:w="3114" w:type="dxa"/>
            <w:hideMark/>
          </w:tcPr>
          <w:p w14:paraId="1E1F1D09" w14:textId="77777777" w:rsidR="009B254B" w:rsidRPr="009B254B" w:rsidRDefault="009B254B" w:rsidP="00D4199A">
            <w:pPr>
              <w:keepNext/>
              <w:spacing w:after="0" w:line="240" w:lineRule="auto"/>
              <w:rPr>
                <w:rFonts w:eastAsia="Times New Roman" w:cs="Arial"/>
                <w:color w:val="000000"/>
                <w:sz w:val="20"/>
                <w:szCs w:val="20"/>
                <w:lang w:eastAsia="en-AU"/>
              </w:rPr>
            </w:pPr>
            <w:r w:rsidRPr="009B254B">
              <w:rPr>
                <w:rFonts w:eastAsia="Times New Roman" w:cs="Arial"/>
                <w:color w:val="000000"/>
                <w:sz w:val="20"/>
                <w:szCs w:val="20"/>
                <w:lang w:eastAsia="en-AU"/>
              </w:rPr>
              <w:t>Psychosocial Disability </w:t>
            </w:r>
          </w:p>
        </w:tc>
        <w:tc>
          <w:tcPr>
            <w:tcW w:w="992" w:type="dxa"/>
            <w:hideMark/>
          </w:tcPr>
          <w:p w14:paraId="2AA99572" w14:textId="77777777" w:rsidR="009B254B" w:rsidRPr="009B254B" w:rsidRDefault="009B254B" w:rsidP="00D4199A">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8,900</w:t>
            </w:r>
          </w:p>
        </w:tc>
        <w:tc>
          <w:tcPr>
            <w:tcW w:w="1276" w:type="dxa"/>
            <w:hideMark/>
          </w:tcPr>
          <w:p w14:paraId="46D71293" w14:textId="77777777" w:rsidR="009B254B" w:rsidRPr="009B254B" w:rsidRDefault="009B254B" w:rsidP="00D4199A">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38,500</w:t>
            </w:r>
          </w:p>
        </w:tc>
        <w:tc>
          <w:tcPr>
            <w:tcW w:w="1276" w:type="dxa"/>
            <w:hideMark/>
          </w:tcPr>
          <w:p w14:paraId="43F07B47" w14:textId="77777777" w:rsidR="009B254B" w:rsidRPr="009B254B" w:rsidRDefault="009B254B" w:rsidP="00D4199A">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51,400</w:t>
            </w:r>
          </w:p>
        </w:tc>
        <w:tc>
          <w:tcPr>
            <w:tcW w:w="1275" w:type="dxa"/>
            <w:hideMark/>
          </w:tcPr>
          <w:p w14:paraId="7BB61F84" w14:textId="77777777" w:rsidR="009B254B" w:rsidRPr="009B254B" w:rsidRDefault="009B254B" w:rsidP="00D4199A">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97,500</w:t>
            </w:r>
          </w:p>
        </w:tc>
        <w:tc>
          <w:tcPr>
            <w:tcW w:w="1088" w:type="dxa"/>
            <w:hideMark/>
          </w:tcPr>
          <w:p w14:paraId="14E40B29" w14:textId="77777777" w:rsidR="009B254B" w:rsidRPr="009B254B" w:rsidRDefault="009B254B" w:rsidP="00D4199A">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78,600</w:t>
            </w:r>
          </w:p>
        </w:tc>
      </w:tr>
      <w:tr w:rsidR="009B254B" w:rsidRPr="009B254B" w14:paraId="7EDCF551" w14:textId="77777777" w:rsidTr="00F830E6">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dxa"/>
            <w:hideMark/>
          </w:tcPr>
          <w:p w14:paraId="33F8B727" w14:textId="77777777" w:rsidR="009B254B" w:rsidRPr="009B254B" w:rsidRDefault="009B254B" w:rsidP="00D4199A">
            <w:pPr>
              <w:keepNext/>
              <w:spacing w:after="0" w:line="240" w:lineRule="auto"/>
              <w:rPr>
                <w:rFonts w:eastAsia="Times New Roman" w:cs="Arial"/>
                <w:color w:val="000000"/>
                <w:sz w:val="20"/>
                <w:szCs w:val="20"/>
                <w:lang w:eastAsia="en-AU"/>
              </w:rPr>
            </w:pPr>
            <w:r w:rsidRPr="009B254B">
              <w:rPr>
                <w:rFonts w:eastAsia="Times New Roman" w:cs="Arial"/>
                <w:color w:val="000000"/>
                <w:sz w:val="20"/>
                <w:szCs w:val="20"/>
                <w:lang w:eastAsia="en-AU"/>
              </w:rPr>
              <w:t>Developmental Delay </w:t>
            </w:r>
          </w:p>
        </w:tc>
        <w:tc>
          <w:tcPr>
            <w:tcW w:w="0" w:type="dxa"/>
            <w:hideMark/>
          </w:tcPr>
          <w:p w14:paraId="67971D45"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14,400</w:t>
            </w:r>
          </w:p>
        </w:tc>
        <w:tc>
          <w:tcPr>
            <w:tcW w:w="0" w:type="dxa"/>
            <w:hideMark/>
          </w:tcPr>
          <w:p w14:paraId="2B4AD28F"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13,100</w:t>
            </w:r>
          </w:p>
        </w:tc>
        <w:tc>
          <w:tcPr>
            <w:tcW w:w="0" w:type="dxa"/>
          </w:tcPr>
          <w:p w14:paraId="707C8067"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p>
        </w:tc>
        <w:tc>
          <w:tcPr>
            <w:tcW w:w="0" w:type="dxa"/>
          </w:tcPr>
          <w:p w14:paraId="7356E20E"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p>
        </w:tc>
        <w:tc>
          <w:tcPr>
            <w:tcW w:w="0" w:type="dxa"/>
          </w:tcPr>
          <w:p w14:paraId="672B2FFD"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p>
        </w:tc>
      </w:tr>
      <w:tr w:rsidR="009B254B" w:rsidRPr="009B254B" w14:paraId="40BC00F7" w14:textId="77777777" w:rsidTr="00D4199A">
        <w:trPr>
          <w:trHeight w:hRule="exact" w:val="301"/>
        </w:trPr>
        <w:tc>
          <w:tcPr>
            <w:cnfStyle w:val="001000000000" w:firstRow="0" w:lastRow="0" w:firstColumn="1" w:lastColumn="0" w:oddVBand="0" w:evenVBand="0" w:oddHBand="0" w:evenHBand="0" w:firstRowFirstColumn="0" w:firstRowLastColumn="0" w:lastRowFirstColumn="0" w:lastRowLastColumn="0"/>
            <w:tcW w:w="3114" w:type="dxa"/>
            <w:hideMark/>
          </w:tcPr>
          <w:p w14:paraId="7DBC20A7" w14:textId="77777777" w:rsidR="009B254B" w:rsidRPr="009B254B" w:rsidRDefault="009B254B" w:rsidP="00D4199A">
            <w:pPr>
              <w:keepNext/>
              <w:spacing w:after="0" w:line="240" w:lineRule="auto"/>
              <w:rPr>
                <w:rFonts w:eastAsia="Times New Roman" w:cs="Arial"/>
                <w:color w:val="000000"/>
                <w:sz w:val="20"/>
                <w:szCs w:val="20"/>
                <w:lang w:eastAsia="en-AU"/>
              </w:rPr>
            </w:pPr>
            <w:r w:rsidRPr="009B254B">
              <w:rPr>
                <w:rFonts w:eastAsia="Times New Roman" w:cs="Arial"/>
                <w:color w:val="000000"/>
                <w:sz w:val="20"/>
                <w:szCs w:val="20"/>
                <w:lang w:eastAsia="en-AU"/>
              </w:rPr>
              <w:t>Sensory </w:t>
            </w:r>
          </w:p>
        </w:tc>
        <w:tc>
          <w:tcPr>
            <w:tcW w:w="992" w:type="dxa"/>
            <w:hideMark/>
          </w:tcPr>
          <w:p w14:paraId="353DAD2A" w14:textId="77777777" w:rsidR="009B254B" w:rsidRPr="009B254B" w:rsidRDefault="009B254B" w:rsidP="00D4199A">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11,600</w:t>
            </w:r>
          </w:p>
        </w:tc>
        <w:tc>
          <w:tcPr>
            <w:tcW w:w="1276" w:type="dxa"/>
            <w:hideMark/>
          </w:tcPr>
          <w:p w14:paraId="1A28FFE6" w14:textId="77777777" w:rsidR="009B254B" w:rsidRPr="009B254B" w:rsidRDefault="009B254B" w:rsidP="00D4199A">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9,300</w:t>
            </w:r>
          </w:p>
        </w:tc>
        <w:tc>
          <w:tcPr>
            <w:tcW w:w="1276" w:type="dxa"/>
            <w:hideMark/>
          </w:tcPr>
          <w:p w14:paraId="31EDD3A7" w14:textId="77777777" w:rsidR="009B254B" w:rsidRPr="009B254B" w:rsidRDefault="009B254B" w:rsidP="00D4199A">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9,700</w:t>
            </w:r>
          </w:p>
        </w:tc>
        <w:tc>
          <w:tcPr>
            <w:tcW w:w="1275" w:type="dxa"/>
            <w:hideMark/>
          </w:tcPr>
          <w:p w14:paraId="0BDD70E2" w14:textId="77777777" w:rsidR="009B254B" w:rsidRPr="009B254B" w:rsidRDefault="009B254B" w:rsidP="00D4199A">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13,700</w:t>
            </w:r>
          </w:p>
        </w:tc>
        <w:tc>
          <w:tcPr>
            <w:tcW w:w="1088" w:type="dxa"/>
            <w:hideMark/>
          </w:tcPr>
          <w:p w14:paraId="49403EF4" w14:textId="77777777" w:rsidR="009B254B" w:rsidRPr="009B254B" w:rsidRDefault="009B254B" w:rsidP="00D4199A">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19,400</w:t>
            </w:r>
          </w:p>
        </w:tc>
      </w:tr>
      <w:tr w:rsidR="009B254B" w:rsidRPr="009B254B" w14:paraId="029EC0DB" w14:textId="77777777" w:rsidTr="00D4199A">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114" w:type="dxa"/>
            <w:tcBorders>
              <w:bottom w:val="single" w:sz="4" w:space="0" w:color="auto"/>
            </w:tcBorders>
            <w:hideMark/>
          </w:tcPr>
          <w:p w14:paraId="077DD3E8" w14:textId="77777777" w:rsidR="009B254B" w:rsidRPr="009B254B" w:rsidRDefault="009B254B" w:rsidP="00D4199A">
            <w:pPr>
              <w:keepNext/>
              <w:spacing w:after="0" w:line="240" w:lineRule="auto"/>
              <w:rPr>
                <w:rFonts w:eastAsia="Times New Roman" w:cs="Arial"/>
                <w:color w:val="000000"/>
                <w:sz w:val="20"/>
                <w:szCs w:val="20"/>
                <w:lang w:eastAsia="en-AU"/>
              </w:rPr>
            </w:pPr>
            <w:r w:rsidRPr="009B254B">
              <w:rPr>
                <w:rFonts w:eastAsia="Times New Roman" w:cs="Arial"/>
                <w:color w:val="000000"/>
                <w:sz w:val="20"/>
                <w:szCs w:val="20"/>
                <w:lang w:eastAsia="en-AU"/>
              </w:rPr>
              <w:t>Other </w:t>
            </w:r>
          </w:p>
        </w:tc>
        <w:tc>
          <w:tcPr>
            <w:tcW w:w="992" w:type="dxa"/>
            <w:tcBorders>
              <w:bottom w:val="single" w:sz="4" w:space="0" w:color="auto"/>
            </w:tcBorders>
            <w:hideMark/>
          </w:tcPr>
          <w:p w14:paraId="01372C66"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51,100</w:t>
            </w:r>
          </w:p>
        </w:tc>
        <w:tc>
          <w:tcPr>
            <w:tcW w:w="1276" w:type="dxa"/>
            <w:tcBorders>
              <w:bottom w:val="single" w:sz="4" w:space="0" w:color="auto"/>
            </w:tcBorders>
            <w:hideMark/>
          </w:tcPr>
          <w:p w14:paraId="3CAEF29D"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53,000</w:t>
            </w:r>
          </w:p>
        </w:tc>
        <w:tc>
          <w:tcPr>
            <w:tcW w:w="1276" w:type="dxa"/>
            <w:tcBorders>
              <w:bottom w:val="single" w:sz="4" w:space="0" w:color="auto"/>
            </w:tcBorders>
            <w:hideMark/>
          </w:tcPr>
          <w:p w14:paraId="1E9E354C"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82,200</w:t>
            </w:r>
          </w:p>
        </w:tc>
        <w:tc>
          <w:tcPr>
            <w:tcW w:w="1275" w:type="dxa"/>
            <w:tcBorders>
              <w:bottom w:val="single" w:sz="4" w:space="0" w:color="auto"/>
            </w:tcBorders>
            <w:hideMark/>
          </w:tcPr>
          <w:p w14:paraId="366F75C2"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130,100</w:t>
            </w:r>
          </w:p>
        </w:tc>
        <w:tc>
          <w:tcPr>
            <w:tcW w:w="1088" w:type="dxa"/>
            <w:tcBorders>
              <w:bottom w:val="single" w:sz="4" w:space="0" w:color="auto"/>
            </w:tcBorders>
            <w:hideMark/>
          </w:tcPr>
          <w:p w14:paraId="6D056273" w14:textId="77777777" w:rsidR="009B254B" w:rsidRPr="009B254B" w:rsidRDefault="009B254B" w:rsidP="00D4199A">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163,000</w:t>
            </w:r>
          </w:p>
        </w:tc>
      </w:tr>
      <w:tr w:rsidR="009B254B" w:rsidRPr="009B254B" w14:paraId="0432BA1F" w14:textId="77777777" w:rsidTr="00D4199A">
        <w:trPr>
          <w:trHeight w:hRule="exact" w:val="301"/>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bottom w:val="single" w:sz="4" w:space="0" w:color="auto"/>
            </w:tcBorders>
            <w:shd w:val="clear" w:color="auto" w:fill="D4C5D7"/>
            <w:hideMark/>
          </w:tcPr>
          <w:p w14:paraId="1F593467" w14:textId="77777777" w:rsidR="009B254B" w:rsidRPr="009B254B" w:rsidRDefault="009B254B" w:rsidP="00D4199A">
            <w:pPr>
              <w:keepNext/>
              <w:spacing w:after="0" w:line="240" w:lineRule="auto"/>
              <w:rPr>
                <w:rFonts w:eastAsia="Times New Roman" w:cs="Arial"/>
                <w:b/>
                <w:bCs/>
                <w:color w:val="000000"/>
                <w:sz w:val="20"/>
                <w:szCs w:val="20"/>
                <w:lang w:eastAsia="en-AU"/>
              </w:rPr>
            </w:pPr>
            <w:r w:rsidRPr="009B254B">
              <w:rPr>
                <w:rFonts w:eastAsia="Times New Roman" w:cs="Arial"/>
                <w:b/>
                <w:bCs/>
                <w:color w:val="000000"/>
                <w:sz w:val="20"/>
                <w:szCs w:val="20"/>
                <w:lang w:eastAsia="en-AU"/>
              </w:rPr>
              <w:t>Total</w:t>
            </w:r>
            <w:r w:rsidRPr="009B254B">
              <w:rPr>
                <w:rFonts w:eastAsia="Times New Roman" w:cs="Arial"/>
                <w:color w:val="000000"/>
                <w:sz w:val="20"/>
                <w:szCs w:val="20"/>
                <w:lang w:eastAsia="en-AU"/>
              </w:rPr>
              <w:t> </w:t>
            </w:r>
          </w:p>
        </w:tc>
        <w:tc>
          <w:tcPr>
            <w:tcW w:w="992" w:type="dxa"/>
            <w:tcBorders>
              <w:top w:val="single" w:sz="4" w:space="0" w:color="auto"/>
              <w:bottom w:val="single" w:sz="4" w:space="0" w:color="auto"/>
            </w:tcBorders>
            <w:shd w:val="clear" w:color="auto" w:fill="D4C5D7"/>
            <w:hideMark/>
          </w:tcPr>
          <w:p w14:paraId="3C3C18A8" w14:textId="77777777" w:rsidR="009B254B" w:rsidRPr="009B254B" w:rsidRDefault="009B254B" w:rsidP="00D4199A">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19,300</w:t>
            </w:r>
          </w:p>
        </w:tc>
        <w:tc>
          <w:tcPr>
            <w:tcW w:w="1276" w:type="dxa"/>
            <w:tcBorders>
              <w:top w:val="single" w:sz="4" w:space="0" w:color="auto"/>
              <w:bottom w:val="single" w:sz="4" w:space="0" w:color="auto"/>
            </w:tcBorders>
            <w:shd w:val="clear" w:color="auto" w:fill="D4C5D7"/>
            <w:hideMark/>
          </w:tcPr>
          <w:p w14:paraId="688AA937" w14:textId="77777777" w:rsidR="009B254B" w:rsidRPr="009B254B" w:rsidRDefault="009B254B" w:rsidP="00D4199A">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25,600</w:t>
            </w:r>
          </w:p>
        </w:tc>
        <w:tc>
          <w:tcPr>
            <w:tcW w:w="1276" w:type="dxa"/>
            <w:tcBorders>
              <w:top w:val="single" w:sz="4" w:space="0" w:color="auto"/>
              <w:bottom w:val="single" w:sz="4" w:space="0" w:color="auto"/>
            </w:tcBorders>
            <w:shd w:val="clear" w:color="auto" w:fill="D4C5D7"/>
            <w:hideMark/>
          </w:tcPr>
          <w:p w14:paraId="2A8A880F" w14:textId="77777777" w:rsidR="009B254B" w:rsidRPr="009B254B" w:rsidRDefault="009B254B" w:rsidP="00D4199A">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42,000</w:t>
            </w:r>
          </w:p>
        </w:tc>
        <w:tc>
          <w:tcPr>
            <w:tcW w:w="1275" w:type="dxa"/>
            <w:tcBorders>
              <w:top w:val="single" w:sz="4" w:space="0" w:color="auto"/>
              <w:bottom w:val="single" w:sz="4" w:space="0" w:color="auto"/>
            </w:tcBorders>
            <w:shd w:val="clear" w:color="auto" w:fill="D4C5D7"/>
            <w:hideMark/>
          </w:tcPr>
          <w:p w14:paraId="1F928290" w14:textId="77777777" w:rsidR="009B254B" w:rsidRPr="009B254B" w:rsidRDefault="009B254B" w:rsidP="00D4199A">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80,200</w:t>
            </w:r>
          </w:p>
        </w:tc>
        <w:tc>
          <w:tcPr>
            <w:tcW w:w="1088" w:type="dxa"/>
            <w:tcBorders>
              <w:top w:val="single" w:sz="4" w:space="0" w:color="auto"/>
              <w:bottom w:val="single" w:sz="4" w:space="0" w:color="auto"/>
            </w:tcBorders>
            <w:shd w:val="clear" w:color="auto" w:fill="D4C5D7"/>
            <w:hideMark/>
          </w:tcPr>
          <w:p w14:paraId="52A7A35B" w14:textId="77777777" w:rsidR="009B254B" w:rsidRPr="009B254B" w:rsidRDefault="009B254B" w:rsidP="00D4199A">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109,800</w:t>
            </w:r>
          </w:p>
        </w:tc>
      </w:tr>
    </w:tbl>
    <w:p w14:paraId="291AE57F" w14:textId="77777777" w:rsidR="007B1EE1" w:rsidRDefault="007B1EE1" w:rsidP="00287865">
      <w:pPr>
        <w:pStyle w:val="FSRnormal"/>
        <w:spacing w:before="0" w:after="0"/>
        <w:rPr>
          <w:lang w:eastAsia="en-AU"/>
        </w:rPr>
      </w:pPr>
    </w:p>
    <w:tbl>
      <w:tblPr>
        <w:tblStyle w:val="FSRtable"/>
        <w:tblW w:w="9021" w:type="dxa"/>
        <w:tblInd w:w="5" w:type="dxa"/>
        <w:tblLayout w:type="fixed"/>
        <w:tblLook w:val="04A0" w:firstRow="1" w:lastRow="0" w:firstColumn="1" w:lastColumn="0" w:noHBand="0" w:noVBand="1"/>
      </w:tblPr>
      <w:tblGrid>
        <w:gridCol w:w="3114"/>
        <w:gridCol w:w="992"/>
        <w:gridCol w:w="1276"/>
        <w:gridCol w:w="1276"/>
        <w:gridCol w:w="1275"/>
        <w:gridCol w:w="1088"/>
      </w:tblGrid>
      <w:tr w:rsidR="007B1EE1" w:rsidRPr="007B1EE1" w14:paraId="24CC795F" w14:textId="77777777" w:rsidTr="007B1EE1">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3114" w:type="dxa"/>
            <w:hideMark/>
          </w:tcPr>
          <w:p w14:paraId="07E2EF63" w14:textId="77777777" w:rsidR="007B1EE1" w:rsidRPr="007B1EE1" w:rsidRDefault="007B1EE1" w:rsidP="007B1EE1">
            <w:pPr>
              <w:keepNext/>
              <w:spacing w:after="0" w:line="240" w:lineRule="auto"/>
              <w:rPr>
                <w:rFonts w:eastAsia="Times New Roman"/>
                <w:color w:val="000000"/>
                <w:sz w:val="20"/>
                <w:szCs w:val="20"/>
                <w:lang w:eastAsia="en-AU"/>
              </w:rPr>
            </w:pPr>
            <w:r w:rsidRPr="007B1EE1">
              <w:rPr>
                <w:rFonts w:eastAsia="Times New Roman"/>
                <w:color w:val="000000"/>
                <w:sz w:val="20"/>
                <w:szCs w:val="20"/>
                <w:lang w:eastAsia="en-AU"/>
              </w:rPr>
              <w:t> </w:t>
            </w:r>
            <w:r w:rsidRPr="007B1EE1">
              <w:rPr>
                <w:rFonts w:eastAsia="Times New Roman"/>
                <w:bCs/>
                <w:color w:val="FFFFFF"/>
                <w:sz w:val="20"/>
                <w:szCs w:val="20"/>
                <w:lang w:eastAsia="en-AU"/>
              </w:rPr>
              <w:t>Disability Group</w:t>
            </w:r>
            <w:r w:rsidRPr="007B1EE1">
              <w:rPr>
                <w:rFonts w:eastAsia="Times New Roman"/>
                <w:color w:val="FFFFFF"/>
                <w:sz w:val="20"/>
                <w:szCs w:val="20"/>
                <w:lang w:eastAsia="en-AU"/>
              </w:rPr>
              <w:t> </w:t>
            </w:r>
          </w:p>
        </w:tc>
        <w:tc>
          <w:tcPr>
            <w:tcW w:w="992" w:type="dxa"/>
            <w:hideMark/>
          </w:tcPr>
          <w:p w14:paraId="28066FEC" w14:textId="77777777" w:rsidR="007B1EE1" w:rsidRPr="007B1EE1" w:rsidRDefault="007B1EE1" w:rsidP="007B1EE1">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7B1EE1">
              <w:rPr>
                <w:rFonts w:eastAsia="Times New Roman"/>
                <w:bCs/>
                <w:color w:val="FFFFFF"/>
                <w:sz w:val="20"/>
                <w:szCs w:val="20"/>
                <w:lang w:eastAsia="en-AU"/>
              </w:rPr>
              <w:t>35 to 44</w:t>
            </w:r>
          </w:p>
        </w:tc>
        <w:tc>
          <w:tcPr>
            <w:tcW w:w="1276" w:type="dxa"/>
            <w:hideMark/>
          </w:tcPr>
          <w:p w14:paraId="1A008B1A" w14:textId="77777777" w:rsidR="007B1EE1" w:rsidRPr="007B1EE1" w:rsidRDefault="007B1EE1" w:rsidP="007B1EE1">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7B1EE1">
              <w:rPr>
                <w:rFonts w:eastAsia="Times New Roman"/>
                <w:bCs/>
                <w:color w:val="FFFFFF"/>
                <w:sz w:val="20"/>
                <w:szCs w:val="20"/>
                <w:lang w:eastAsia="en-AU"/>
              </w:rPr>
              <w:t>45 to 54</w:t>
            </w:r>
          </w:p>
        </w:tc>
        <w:tc>
          <w:tcPr>
            <w:tcW w:w="1276" w:type="dxa"/>
            <w:hideMark/>
          </w:tcPr>
          <w:p w14:paraId="21E51A2C" w14:textId="77777777" w:rsidR="007B1EE1" w:rsidRPr="007B1EE1" w:rsidRDefault="007B1EE1" w:rsidP="007B1EE1">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7B1EE1">
              <w:rPr>
                <w:rFonts w:eastAsia="Times New Roman"/>
                <w:bCs/>
                <w:color w:val="FFFFFF"/>
                <w:sz w:val="20"/>
                <w:szCs w:val="20"/>
                <w:lang w:eastAsia="en-AU"/>
              </w:rPr>
              <w:t>55 to 64</w:t>
            </w:r>
          </w:p>
        </w:tc>
        <w:tc>
          <w:tcPr>
            <w:tcW w:w="1275" w:type="dxa"/>
            <w:hideMark/>
          </w:tcPr>
          <w:p w14:paraId="6D29C686" w14:textId="77777777" w:rsidR="007B1EE1" w:rsidRPr="007B1EE1" w:rsidRDefault="007B1EE1" w:rsidP="007B1EE1">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7B1EE1">
              <w:rPr>
                <w:rFonts w:eastAsia="Times New Roman"/>
                <w:bCs/>
                <w:color w:val="FFFFFF"/>
                <w:sz w:val="20"/>
                <w:szCs w:val="20"/>
                <w:lang w:eastAsia="en-AU"/>
              </w:rPr>
              <w:t>65+</w:t>
            </w:r>
          </w:p>
        </w:tc>
        <w:tc>
          <w:tcPr>
            <w:tcW w:w="1088" w:type="dxa"/>
            <w:hideMark/>
          </w:tcPr>
          <w:p w14:paraId="76B1F9E3" w14:textId="77777777" w:rsidR="007B1EE1" w:rsidRPr="007B1EE1" w:rsidRDefault="007B1EE1" w:rsidP="007B1EE1">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7B1EE1">
              <w:rPr>
                <w:rFonts w:eastAsia="Times New Roman"/>
                <w:bCs/>
                <w:color w:val="FFFFFF"/>
                <w:sz w:val="20"/>
                <w:szCs w:val="20"/>
                <w:lang w:eastAsia="en-AU"/>
              </w:rPr>
              <w:t>Total</w:t>
            </w:r>
          </w:p>
        </w:tc>
      </w:tr>
      <w:tr w:rsidR="007B1EE1" w:rsidRPr="009B254B" w14:paraId="7F9AD9C3" w14:textId="77777777" w:rsidTr="007B1EE1">
        <w:trPr>
          <w:trHeight w:hRule="exact" w:val="301"/>
        </w:trPr>
        <w:tc>
          <w:tcPr>
            <w:cnfStyle w:val="001000000000" w:firstRow="0" w:lastRow="0" w:firstColumn="1" w:lastColumn="0" w:oddVBand="0" w:evenVBand="0" w:oddHBand="0" w:evenHBand="0" w:firstRowFirstColumn="0" w:firstRowLastColumn="0" w:lastRowFirstColumn="0" w:lastRowLastColumn="0"/>
            <w:tcW w:w="3114" w:type="dxa"/>
            <w:hideMark/>
          </w:tcPr>
          <w:p w14:paraId="5358E762" w14:textId="77777777" w:rsidR="007B1EE1" w:rsidRPr="009B254B" w:rsidRDefault="007B1EE1" w:rsidP="007B1EE1">
            <w:pPr>
              <w:keepNext/>
              <w:spacing w:after="0" w:line="240" w:lineRule="auto"/>
              <w:rPr>
                <w:rFonts w:eastAsia="Times New Roman" w:cs="Arial"/>
                <w:color w:val="000000"/>
                <w:sz w:val="20"/>
                <w:szCs w:val="20"/>
                <w:lang w:eastAsia="en-AU"/>
              </w:rPr>
            </w:pPr>
            <w:r w:rsidRPr="009B254B">
              <w:rPr>
                <w:rFonts w:eastAsia="Times New Roman" w:cs="Arial"/>
                <w:color w:val="000000"/>
                <w:sz w:val="20"/>
                <w:szCs w:val="20"/>
                <w:lang w:eastAsia="en-AU"/>
              </w:rPr>
              <w:t>Autism </w:t>
            </w:r>
          </w:p>
        </w:tc>
        <w:tc>
          <w:tcPr>
            <w:tcW w:w="992" w:type="dxa"/>
            <w:hideMark/>
          </w:tcPr>
          <w:p w14:paraId="14B18B72" w14:textId="77777777" w:rsidR="007B1EE1" w:rsidRPr="009B254B" w:rsidRDefault="007B1EE1" w:rsidP="007B1EE1">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121,300</w:t>
            </w:r>
          </w:p>
        </w:tc>
        <w:tc>
          <w:tcPr>
            <w:tcW w:w="1276" w:type="dxa"/>
            <w:hideMark/>
          </w:tcPr>
          <w:p w14:paraId="7A3F5D04" w14:textId="77777777" w:rsidR="007B1EE1" w:rsidRPr="009B254B" w:rsidRDefault="007B1EE1" w:rsidP="007B1EE1">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124,500</w:t>
            </w:r>
          </w:p>
        </w:tc>
        <w:tc>
          <w:tcPr>
            <w:tcW w:w="1276" w:type="dxa"/>
            <w:hideMark/>
          </w:tcPr>
          <w:p w14:paraId="6BE06307" w14:textId="77777777" w:rsidR="007B1EE1" w:rsidRPr="009B254B" w:rsidRDefault="007B1EE1" w:rsidP="007B1EE1">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142,500</w:t>
            </w:r>
          </w:p>
        </w:tc>
        <w:tc>
          <w:tcPr>
            <w:tcW w:w="1275" w:type="dxa"/>
            <w:hideMark/>
          </w:tcPr>
          <w:p w14:paraId="1A43F80F" w14:textId="77777777" w:rsidR="007B1EE1" w:rsidRPr="009B254B" w:rsidRDefault="007B1EE1" w:rsidP="007B1EE1">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187,500</w:t>
            </w:r>
          </w:p>
        </w:tc>
        <w:tc>
          <w:tcPr>
            <w:tcW w:w="1088" w:type="dxa"/>
            <w:hideMark/>
          </w:tcPr>
          <w:p w14:paraId="3C901C4F" w14:textId="77777777" w:rsidR="007B1EE1" w:rsidRPr="009B254B" w:rsidRDefault="007B1EE1" w:rsidP="007B1EE1">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42,900</w:t>
            </w:r>
          </w:p>
        </w:tc>
      </w:tr>
      <w:tr w:rsidR="007B1EE1" w:rsidRPr="009B254B" w14:paraId="7075F6D8" w14:textId="77777777" w:rsidTr="007B1EE1">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114" w:type="dxa"/>
            <w:hideMark/>
          </w:tcPr>
          <w:p w14:paraId="72A11096" w14:textId="77777777" w:rsidR="007B1EE1" w:rsidRPr="009B254B" w:rsidRDefault="007B1EE1" w:rsidP="007B1EE1">
            <w:pPr>
              <w:keepNext/>
              <w:spacing w:after="0" w:line="240" w:lineRule="auto"/>
              <w:rPr>
                <w:rFonts w:eastAsia="Times New Roman" w:cs="Arial"/>
                <w:color w:val="000000"/>
                <w:sz w:val="20"/>
                <w:szCs w:val="20"/>
                <w:lang w:eastAsia="en-AU"/>
              </w:rPr>
            </w:pPr>
            <w:r w:rsidRPr="009B254B">
              <w:rPr>
                <w:rFonts w:eastAsia="Times New Roman" w:cs="Arial"/>
                <w:color w:val="000000"/>
                <w:sz w:val="20"/>
                <w:szCs w:val="20"/>
                <w:lang w:eastAsia="en-AU"/>
              </w:rPr>
              <w:t>Intellectual Disability </w:t>
            </w:r>
          </w:p>
        </w:tc>
        <w:tc>
          <w:tcPr>
            <w:tcW w:w="992" w:type="dxa"/>
            <w:hideMark/>
          </w:tcPr>
          <w:p w14:paraId="28064959" w14:textId="77777777" w:rsidR="007B1EE1" w:rsidRPr="009B254B" w:rsidRDefault="007B1EE1" w:rsidP="007B1EE1">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152,800</w:t>
            </w:r>
          </w:p>
        </w:tc>
        <w:tc>
          <w:tcPr>
            <w:tcW w:w="1276" w:type="dxa"/>
            <w:hideMark/>
          </w:tcPr>
          <w:p w14:paraId="1438A2BE" w14:textId="77777777" w:rsidR="007B1EE1" w:rsidRPr="009B254B" w:rsidRDefault="007B1EE1" w:rsidP="007B1EE1">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179,400</w:t>
            </w:r>
          </w:p>
        </w:tc>
        <w:tc>
          <w:tcPr>
            <w:tcW w:w="1276" w:type="dxa"/>
            <w:hideMark/>
          </w:tcPr>
          <w:p w14:paraId="5BC80A78" w14:textId="77777777" w:rsidR="007B1EE1" w:rsidRPr="009B254B" w:rsidRDefault="007B1EE1" w:rsidP="007B1EE1">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194,100</w:t>
            </w:r>
          </w:p>
        </w:tc>
        <w:tc>
          <w:tcPr>
            <w:tcW w:w="1275" w:type="dxa"/>
            <w:hideMark/>
          </w:tcPr>
          <w:p w14:paraId="24468752" w14:textId="77777777" w:rsidR="007B1EE1" w:rsidRPr="009B254B" w:rsidRDefault="007B1EE1" w:rsidP="007B1EE1">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226,700</w:t>
            </w:r>
          </w:p>
        </w:tc>
        <w:tc>
          <w:tcPr>
            <w:tcW w:w="1088" w:type="dxa"/>
            <w:hideMark/>
          </w:tcPr>
          <w:p w14:paraId="40C21394" w14:textId="77777777" w:rsidR="007B1EE1" w:rsidRPr="009B254B" w:rsidRDefault="007B1EE1" w:rsidP="007B1EE1">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115,900</w:t>
            </w:r>
          </w:p>
        </w:tc>
      </w:tr>
      <w:tr w:rsidR="007B1EE1" w:rsidRPr="009B254B" w14:paraId="601BBA08" w14:textId="77777777" w:rsidTr="007B1EE1">
        <w:trPr>
          <w:trHeight w:hRule="exact" w:val="301"/>
        </w:trPr>
        <w:tc>
          <w:tcPr>
            <w:cnfStyle w:val="001000000000" w:firstRow="0" w:lastRow="0" w:firstColumn="1" w:lastColumn="0" w:oddVBand="0" w:evenVBand="0" w:oddHBand="0" w:evenHBand="0" w:firstRowFirstColumn="0" w:firstRowLastColumn="0" w:lastRowFirstColumn="0" w:lastRowLastColumn="0"/>
            <w:tcW w:w="3114" w:type="dxa"/>
            <w:hideMark/>
          </w:tcPr>
          <w:p w14:paraId="788BB3C0" w14:textId="77777777" w:rsidR="007B1EE1" w:rsidRPr="009B254B" w:rsidRDefault="007B1EE1" w:rsidP="007B1EE1">
            <w:pPr>
              <w:keepNext/>
              <w:spacing w:after="0" w:line="240" w:lineRule="auto"/>
              <w:rPr>
                <w:rFonts w:eastAsia="Times New Roman" w:cs="Arial"/>
                <w:color w:val="000000"/>
                <w:sz w:val="20"/>
                <w:szCs w:val="20"/>
                <w:lang w:eastAsia="en-AU"/>
              </w:rPr>
            </w:pPr>
            <w:r w:rsidRPr="009B254B">
              <w:rPr>
                <w:rFonts w:eastAsia="Times New Roman" w:cs="Arial"/>
                <w:color w:val="000000"/>
                <w:sz w:val="20"/>
                <w:szCs w:val="20"/>
                <w:lang w:eastAsia="en-AU"/>
              </w:rPr>
              <w:t>Psychosocial Disability </w:t>
            </w:r>
          </w:p>
        </w:tc>
        <w:tc>
          <w:tcPr>
            <w:tcW w:w="992" w:type="dxa"/>
            <w:hideMark/>
          </w:tcPr>
          <w:p w14:paraId="227BD38C" w14:textId="77777777" w:rsidR="007B1EE1" w:rsidRPr="009B254B" w:rsidRDefault="007B1EE1" w:rsidP="007B1EE1">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79,700</w:t>
            </w:r>
          </w:p>
        </w:tc>
        <w:tc>
          <w:tcPr>
            <w:tcW w:w="1276" w:type="dxa"/>
            <w:hideMark/>
          </w:tcPr>
          <w:p w14:paraId="036F7303" w14:textId="77777777" w:rsidR="007B1EE1" w:rsidRPr="009B254B" w:rsidRDefault="007B1EE1" w:rsidP="007B1EE1">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75,800</w:t>
            </w:r>
          </w:p>
        </w:tc>
        <w:tc>
          <w:tcPr>
            <w:tcW w:w="1276" w:type="dxa"/>
            <w:hideMark/>
          </w:tcPr>
          <w:p w14:paraId="659BE2B3" w14:textId="77777777" w:rsidR="007B1EE1" w:rsidRPr="009B254B" w:rsidRDefault="007B1EE1" w:rsidP="007B1EE1">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80,800</w:t>
            </w:r>
          </w:p>
        </w:tc>
        <w:tc>
          <w:tcPr>
            <w:tcW w:w="1275" w:type="dxa"/>
            <w:hideMark/>
          </w:tcPr>
          <w:p w14:paraId="2854D81A" w14:textId="77777777" w:rsidR="007B1EE1" w:rsidRPr="009B254B" w:rsidRDefault="007B1EE1" w:rsidP="007B1EE1">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87,700</w:t>
            </w:r>
          </w:p>
        </w:tc>
        <w:tc>
          <w:tcPr>
            <w:tcW w:w="1088" w:type="dxa"/>
            <w:hideMark/>
          </w:tcPr>
          <w:p w14:paraId="59F32693" w14:textId="77777777" w:rsidR="007B1EE1" w:rsidRPr="009B254B" w:rsidRDefault="007B1EE1" w:rsidP="007B1EE1">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79,800</w:t>
            </w:r>
          </w:p>
        </w:tc>
      </w:tr>
      <w:tr w:rsidR="007B1EE1" w:rsidRPr="009B254B" w14:paraId="0D1AF46C" w14:textId="77777777" w:rsidTr="00F830E6">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dxa"/>
            <w:hideMark/>
          </w:tcPr>
          <w:p w14:paraId="22BC9C93" w14:textId="77777777" w:rsidR="007B1EE1" w:rsidRPr="009B254B" w:rsidRDefault="007B1EE1" w:rsidP="007B1EE1">
            <w:pPr>
              <w:keepNext/>
              <w:spacing w:after="0" w:line="240" w:lineRule="auto"/>
              <w:rPr>
                <w:rFonts w:eastAsia="Times New Roman" w:cs="Arial"/>
                <w:color w:val="000000"/>
                <w:sz w:val="20"/>
                <w:szCs w:val="20"/>
                <w:lang w:eastAsia="en-AU"/>
              </w:rPr>
            </w:pPr>
            <w:r w:rsidRPr="009B254B">
              <w:rPr>
                <w:rFonts w:eastAsia="Times New Roman" w:cs="Arial"/>
                <w:color w:val="000000"/>
                <w:sz w:val="20"/>
                <w:szCs w:val="20"/>
                <w:lang w:eastAsia="en-AU"/>
              </w:rPr>
              <w:t>Developmental Delay </w:t>
            </w:r>
          </w:p>
        </w:tc>
        <w:tc>
          <w:tcPr>
            <w:tcW w:w="0" w:type="dxa"/>
          </w:tcPr>
          <w:p w14:paraId="38CF7ACF" w14:textId="77777777" w:rsidR="007B1EE1" w:rsidRPr="009B254B" w:rsidRDefault="007B1EE1" w:rsidP="007B1EE1">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p>
        </w:tc>
        <w:tc>
          <w:tcPr>
            <w:tcW w:w="0" w:type="dxa"/>
          </w:tcPr>
          <w:p w14:paraId="0AA73503" w14:textId="77777777" w:rsidR="007B1EE1" w:rsidRPr="009B254B" w:rsidRDefault="007B1EE1" w:rsidP="007B1EE1">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p>
        </w:tc>
        <w:tc>
          <w:tcPr>
            <w:tcW w:w="0" w:type="dxa"/>
          </w:tcPr>
          <w:p w14:paraId="4BA97773" w14:textId="77777777" w:rsidR="007B1EE1" w:rsidRPr="009B254B" w:rsidRDefault="007B1EE1" w:rsidP="007B1EE1">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p>
        </w:tc>
        <w:tc>
          <w:tcPr>
            <w:tcW w:w="0" w:type="dxa"/>
            <w:hideMark/>
          </w:tcPr>
          <w:p w14:paraId="3F585BEE" w14:textId="77777777" w:rsidR="007B1EE1" w:rsidRPr="00D72D94" w:rsidRDefault="007B1EE1" w:rsidP="007B1EE1">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p>
        </w:tc>
        <w:tc>
          <w:tcPr>
            <w:tcW w:w="0" w:type="dxa"/>
            <w:hideMark/>
          </w:tcPr>
          <w:p w14:paraId="3BCB9B8B" w14:textId="77777777" w:rsidR="007B1EE1" w:rsidRPr="009B254B" w:rsidRDefault="007B1EE1" w:rsidP="007B1EE1">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14,100</w:t>
            </w:r>
          </w:p>
        </w:tc>
      </w:tr>
      <w:tr w:rsidR="007B1EE1" w:rsidRPr="009B254B" w14:paraId="3F9DE617" w14:textId="77777777" w:rsidTr="007B1EE1">
        <w:trPr>
          <w:trHeight w:hRule="exact" w:val="301"/>
        </w:trPr>
        <w:tc>
          <w:tcPr>
            <w:cnfStyle w:val="001000000000" w:firstRow="0" w:lastRow="0" w:firstColumn="1" w:lastColumn="0" w:oddVBand="0" w:evenVBand="0" w:oddHBand="0" w:evenHBand="0" w:firstRowFirstColumn="0" w:firstRowLastColumn="0" w:lastRowFirstColumn="0" w:lastRowLastColumn="0"/>
            <w:tcW w:w="3114" w:type="dxa"/>
            <w:hideMark/>
          </w:tcPr>
          <w:p w14:paraId="5E1F8D4D" w14:textId="77777777" w:rsidR="007B1EE1" w:rsidRPr="009B254B" w:rsidRDefault="007B1EE1" w:rsidP="007B1EE1">
            <w:pPr>
              <w:keepNext/>
              <w:spacing w:after="0" w:line="240" w:lineRule="auto"/>
              <w:rPr>
                <w:rFonts w:eastAsia="Times New Roman" w:cs="Arial"/>
                <w:color w:val="000000"/>
                <w:sz w:val="20"/>
                <w:szCs w:val="20"/>
                <w:lang w:eastAsia="en-AU"/>
              </w:rPr>
            </w:pPr>
            <w:r w:rsidRPr="009B254B">
              <w:rPr>
                <w:rFonts w:eastAsia="Times New Roman" w:cs="Arial"/>
                <w:color w:val="000000"/>
                <w:sz w:val="20"/>
                <w:szCs w:val="20"/>
                <w:lang w:eastAsia="en-AU"/>
              </w:rPr>
              <w:t>Sensory </w:t>
            </w:r>
          </w:p>
        </w:tc>
        <w:tc>
          <w:tcPr>
            <w:tcW w:w="992" w:type="dxa"/>
            <w:hideMark/>
          </w:tcPr>
          <w:p w14:paraId="7B7CBA68" w14:textId="77777777" w:rsidR="007B1EE1" w:rsidRPr="009B254B" w:rsidRDefault="007B1EE1" w:rsidP="007B1EE1">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28,200</w:t>
            </w:r>
          </w:p>
        </w:tc>
        <w:tc>
          <w:tcPr>
            <w:tcW w:w="1276" w:type="dxa"/>
            <w:hideMark/>
          </w:tcPr>
          <w:p w14:paraId="7B081626" w14:textId="77777777" w:rsidR="007B1EE1" w:rsidRPr="009B254B" w:rsidRDefault="007B1EE1" w:rsidP="007B1EE1">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31,200</w:t>
            </w:r>
          </w:p>
        </w:tc>
        <w:tc>
          <w:tcPr>
            <w:tcW w:w="1276" w:type="dxa"/>
            <w:hideMark/>
          </w:tcPr>
          <w:p w14:paraId="00469F14" w14:textId="77777777" w:rsidR="007B1EE1" w:rsidRPr="009B254B" w:rsidRDefault="007B1EE1" w:rsidP="007B1EE1">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29,800</w:t>
            </w:r>
          </w:p>
        </w:tc>
        <w:tc>
          <w:tcPr>
            <w:tcW w:w="1275" w:type="dxa"/>
            <w:hideMark/>
          </w:tcPr>
          <w:p w14:paraId="30516BB4" w14:textId="77777777" w:rsidR="007B1EE1" w:rsidRPr="009B254B" w:rsidRDefault="007B1EE1" w:rsidP="007B1EE1">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31,400</w:t>
            </w:r>
          </w:p>
        </w:tc>
        <w:tc>
          <w:tcPr>
            <w:tcW w:w="1088" w:type="dxa"/>
            <w:hideMark/>
          </w:tcPr>
          <w:p w14:paraId="3E9D9D07" w14:textId="77777777" w:rsidR="007B1EE1" w:rsidRPr="009B254B" w:rsidRDefault="007B1EE1" w:rsidP="007B1EE1">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20,000</w:t>
            </w:r>
          </w:p>
        </w:tc>
      </w:tr>
      <w:tr w:rsidR="007B1EE1" w:rsidRPr="009B254B" w14:paraId="562C4BFB" w14:textId="77777777" w:rsidTr="007B1EE1">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114" w:type="dxa"/>
            <w:tcBorders>
              <w:bottom w:val="single" w:sz="4" w:space="0" w:color="auto"/>
            </w:tcBorders>
            <w:hideMark/>
          </w:tcPr>
          <w:p w14:paraId="2790E450" w14:textId="77777777" w:rsidR="007B1EE1" w:rsidRPr="009B254B" w:rsidRDefault="007B1EE1" w:rsidP="007B1EE1">
            <w:pPr>
              <w:keepNext/>
              <w:spacing w:after="0" w:line="240" w:lineRule="auto"/>
              <w:rPr>
                <w:rFonts w:eastAsia="Times New Roman" w:cs="Arial"/>
                <w:color w:val="000000"/>
                <w:sz w:val="20"/>
                <w:szCs w:val="20"/>
                <w:lang w:eastAsia="en-AU"/>
              </w:rPr>
            </w:pPr>
            <w:r w:rsidRPr="009B254B">
              <w:rPr>
                <w:rFonts w:eastAsia="Times New Roman" w:cs="Arial"/>
                <w:color w:val="000000"/>
                <w:sz w:val="20"/>
                <w:szCs w:val="20"/>
                <w:lang w:eastAsia="en-AU"/>
              </w:rPr>
              <w:t>Other </w:t>
            </w:r>
          </w:p>
        </w:tc>
        <w:tc>
          <w:tcPr>
            <w:tcW w:w="992" w:type="dxa"/>
            <w:tcBorders>
              <w:bottom w:val="single" w:sz="4" w:space="0" w:color="auto"/>
            </w:tcBorders>
            <w:hideMark/>
          </w:tcPr>
          <w:p w14:paraId="7C939060" w14:textId="77777777" w:rsidR="007B1EE1" w:rsidRPr="009B254B" w:rsidRDefault="007B1EE1" w:rsidP="007B1EE1">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150,500</w:t>
            </w:r>
          </w:p>
        </w:tc>
        <w:tc>
          <w:tcPr>
            <w:tcW w:w="1276" w:type="dxa"/>
            <w:tcBorders>
              <w:bottom w:val="single" w:sz="4" w:space="0" w:color="auto"/>
            </w:tcBorders>
            <w:hideMark/>
          </w:tcPr>
          <w:p w14:paraId="44169F5F" w14:textId="77777777" w:rsidR="007B1EE1" w:rsidRPr="009B254B" w:rsidRDefault="007B1EE1" w:rsidP="007B1EE1">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140,400</w:t>
            </w:r>
          </w:p>
        </w:tc>
        <w:tc>
          <w:tcPr>
            <w:tcW w:w="1276" w:type="dxa"/>
            <w:tcBorders>
              <w:bottom w:val="single" w:sz="4" w:space="0" w:color="auto"/>
            </w:tcBorders>
            <w:hideMark/>
          </w:tcPr>
          <w:p w14:paraId="32ECD9F4" w14:textId="77777777" w:rsidR="007B1EE1" w:rsidRPr="009B254B" w:rsidRDefault="007B1EE1" w:rsidP="007B1EE1">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128,600</w:t>
            </w:r>
          </w:p>
        </w:tc>
        <w:tc>
          <w:tcPr>
            <w:tcW w:w="1275" w:type="dxa"/>
            <w:tcBorders>
              <w:bottom w:val="single" w:sz="4" w:space="0" w:color="auto"/>
            </w:tcBorders>
            <w:hideMark/>
          </w:tcPr>
          <w:p w14:paraId="43722255" w14:textId="77777777" w:rsidR="007B1EE1" w:rsidRPr="009B254B" w:rsidRDefault="007B1EE1" w:rsidP="007B1EE1">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131,400</w:t>
            </w:r>
          </w:p>
        </w:tc>
        <w:tc>
          <w:tcPr>
            <w:tcW w:w="1088" w:type="dxa"/>
            <w:tcBorders>
              <w:bottom w:val="single" w:sz="4" w:space="0" w:color="auto"/>
            </w:tcBorders>
            <w:hideMark/>
          </w:tcPr>
          <w:p w14:paraId="0C9BF5AB" w14:textId="77777777" w:rsidR="007B1EE1" w:rsidRPr="009B254B" w:rsidRDefault="007B1EE1" w:rsidP="007B1EE1">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127,400</w:t>
            </w:r>
          </w:p>
        </w:tc>
      </w:tr>
      <w:tr w:rsidR="007B1EE1" w:rsidRPr="009B254B" w14:paraId="3C65558A" w14:textId="77777777" w:rsidTr="007B1EE1">
        <w:trPr>
          <w:trHeight w:hRule="exact" w:val="301"/>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bottom w:val="single" w:sz="4" w:space="0" w:color="auto"/>
            </w:tcBorders>
            <w:shd w:val="clear" w:color="auto" w:fill="D4C5D7"/>
            <w:hideMark/>
          </w:tcPr>
          <w:p w14:paraId="7C6BB21F" w14:textId="77777777" w:rsidR="007B1EE1" w:rsidRPr="009B254B" w:rsidRDefault="007B1EE1" w:rsidP="007B1EE1">
            <w:pPr>
              <w:keepNext/>
              <w:spacing w:after="0" w:line="240" w:lineRule="auto"/>
              <w:rPr>
                <w:rFonts w:eastAsia="Times New Roman" w:cs="Arial"/>
                <w:b/>
                <w:bCs/>
                <w:color w:val="000000"/>
                <w:sz w:val="20"/>
                <w:szCs w:val="20"/>
                <w:lang w:eastAsia="en-AU"/>
              </w:rPr>
            </w:pPr>
            <w:r w:rsidRPr="009B254B">
              <w:rPr>
                <w:rFonts w:eastAsia="Times New Roman" w:cs="Arial"/>
                <w:b/>
                <w:bCs/>
                <w:color w:val="000000"/>
                <w:sz w:val="20"/>
                <w:szCs w:val="20"/>
                <w:lang w:eastAsia="en-AU"/>
              </w:rPr>
              <w:t>Total</w:t>
            </w:r>
            <w:r w:rsidRPr="009B254B">
              <w:rPr>
                <w:rFonts w:eastAsia="Times New Roman" w:cs="Arial"/>
                <w:color w:val="000000"/>
                <w:sz w:val="20"/>
                <w:szCs w:val="20"/>
                <w:lang w:eastAsia="en-AU"/>
              </w:rPr>
              <w:t> </w:t>
            </w:r>
          </w:p>
        </w:tc>
        <w:tc>
          <w:tcPr>
            <w:tcW w:w="992" w:type="dxa"/>
            <w:tcBorders>
              <w:top w:val="single" w:sz="4" w:space="0" w:color="auto"/>
              <w:bottom w:val="single" w:sz="4" w:space="0" w:color="auto"/>
            </w:tcBorders>
            <w:shd w:val="clear" w:color="auto" w:fill="D4C5D7"/>
            <w:hideMark/>
          </w:tcPr>
          <w:p w14:paraId="4A9D5C93" w14:textId="77777777" w:rsidR="007B1EE1" w:rsidRPr="009B254B" w:rsidRDefault="007B1EE1" w:rsidP="007B1EE1">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117,800</w:t>
            </w:r>
          </w:p>
        </w:tc>
        <w:tc>
          <w:tcPr>
            <w:tcW w:w="1276" w:type="dxa"/>
            <w:tcBorders>
              <w:top w:val="single" w:sz="4" w:space="0" w:color="auto"/>
              <w:bottom w:val="single" w:sz="4" w:space="0" w:color="auto"/>
            </w:tcBorders>
            <w:shd w:val="clear" w:color="auto" w:fill="D4C5D7"/>
            <w:hideMark/>
          </w:tcPr>
          <w:p w14:paraId="11F5636C" w14:textId="77777777" w:rsidR="007B1EE1" w:rsidRPr="009B254B" w:rsidRDefault="007B1EE1" w:rsidP="007B1EE1">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116,200</w:t>
            </w:r>
          </w:p>
        </w:tc>
        <w:tc>
          <w:tcPr>
            <w:tcW w:w="1276" w:type="dxa"/>
            <w:tcBorders>
              <w:top w:val="single" w:sz="4" w:space="0" w:color="auto"/>
              <w:bottom w:val="single" w:sz="4" w:space="0" w:color="auto"/>
            </w:tcBorders>
            <w:shd w:val="clear" w:color="auto" w:fill="D4C5D7"/>
            <w:hideMark/>
          </w:tcPr>
          <w:p w14:paraId="0DF3EEEB" w14:textId="77777777" w:rsidR="007B1EE1" w:rsidRPr="009B254B" w:rsidRDefault="007B1EE1" w:rsidP="007B1EE1">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116,000</w:t>
            </w:r>
          </w:p>
        </w:tc>
        <w:tc>
          <w:tcPr>
            <w:tcW w:w="1275" w:type="dxa"/>
            <w:tcBorders>
              <w:top w:val="single" w:sz="4" w:space="0" w:color="auto"/>
              <w:bottom w:val="single" w:sz="4" w:space="0" w:color="auto"/>
            </w:tcBorders>
            <w:shd w:val="clear" w:color="auto" w:fill="D4C5D7"/>
            <w:hideMark/>
          </w:tcPr>
          <w:p w14:paraId="62216830" w14:textId="77777777" w:rsidR="007B1EE1" w:rsidRPr="009B254B" w:rsidRDefault="007B1EE1" w:rsidP="007B1EE1">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124,500</w:t>
            </w:r>
          </w:p>
        </w:tc>
        <w:tc>
          <w:tcPr>
            <w:tcW w:w="1088" w:type="dxa"/>
            <w:tcBorders>
              <w:top w:val="single" w:sz="4" w:space="0" w:color="auto"/>
              <w:bottom w:val="single" w:sz="4" w:space="0" w:color="auto"/>
            </w:tcBorders>
            <w:shd w:val="clear" w:color="auto" w:fill="D4C5D7"/>
            <w:hideMark/>
          </w:tcPr>
          <w:p w14:paraId="36A6E9D5" w14:textId="77777777" w:rsidR="007B1EE1" w:rsidRPr="009B254B" w:rsidRDefault="007B1EE1" w:rsidP="007B1EE1">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69,100</w:t>
            </w:r>
          </w:p>
        </w:tc>
      </w:tr>
    </w:tbl>
    <w:p w14:paraId="168F5BB6" w14:textId="77777777" w:rsidR="00BF7697" w:rsidRPr="00B45AC5" w:rsidRDefault="00BF7697" w:rsidP="00BF7697">
      <w:pPr>
        <w:pStyle w:val="FSRnormal"/>
        <w:rPr>
          <w:rFonts w:ascii="Segoe UI" w:hAnsi="Segoe UI" w:cs="Segoe UI"/>
          <w:sz w:val="18"/>
          <w:szCs w:val="18"/>
          <w:lang w:eastAsia="en-AU"/>
        </w:rPr>
      </w:pPr>
      <w:r w:rsidRPr="00B45AC5">
        <w:rPr>
          <w:lang w:eastAsia="en-AU"/>
        </w:rPr>
        <w:t>Similarly, the projected average annual payments (in 202</w:t>
      </w:r>
      <w:r>
        <w:rPr>
          <w:lang w:eastAsia="en-AU"/>
        </w:rPr>
        <w:t>5-26</w:t>
      </w:r>
      <w:r w:rsidRPr="00B45AC5">
        <w:rPr>
          <w:lang w:eastAsia="en-AU"/>
        </w:rPr>
        <w:t xml:space="preserve"> dollars)</w:t>
      </w:r>
      <w:r>
        <w:rPr>
          <w:lang w:eastAsia="en-AU"/>
        </w:rPr>
        <w:t>,</w:t>
      </w:r>
      <w:r w:rsidRPr="00B45AC5">
        <w:rPr>
          <w:lang w:eastAsia="en-AU"/>
        </w:rPr>
        <w:t xml:space="preserve"> by </w:t>
      </w:r>
      <w:r>
        <w:rPr>
          <w:lang w:eastAsia="en-AU"/>
        </w:rPr>
        <w:t>support category</w:t>
      </w:r>
      <w:r w:rsidRPr="00B45AC5">
        <w:rPr>
          <w:lang w:eastAsia="en-AU"/>
        </w:rPr>
        <w:t xml:space="preserve"> and age band</w:t>
      </w:r>
      <w:r>
        <w:rPr>
          <w:lang w:eastAsia="en-AU"/>
        </w:rPr>
        <w:t>,</w:t>
      </w:r>
      <w:r w:rsidRPr="00B45AC5">
        <w:rPr>
          <w:lang w:eastAsia="en-AU"/>
        </w:rPr>
        <w:t xml:space="preserve"> for the </w:t>
      </w:r>
      <w:r>
        <w:rPr>
          <w:lang w:eastAsia="en-AU"/>
        </w:rPr>
        <w:t>2025-26</w:t>
      </w:r>
      <w:r w:rsidRPr="00B45AC5">
        <w:rPr>
          <w:lang w:eastAsia="en-AU"/>
        </w:rPr>
        <w:t xml:space="preserve"> financial yea</w:t>
      </w:r>
      <w:r>
        <w:rPr>
          <w:lang w:eastAsia="en-AU"/>
        </w:rPr>
        <w:t xml:space="preserve">r </w:t>
      </w:r>
      <w:r w:rsidRPr="00B45AC5">
        <w:rPr>
          <w:lang w:eastAsia="en-AU"/>
        </w:rPr>
        <w:t xml:space="preserve">are shown in </w:t>
      </w:r>
      <w:r w:rsidR="000F7D23" w:rsidRPr="00164A79">
        <w:t xml:space="preserve">Table </w:t>
      </w:r>
      <w:r w:rsidR="000F7D23">
        <w:rPr>
          <w:noProof/>
        </w:rPr>
        <w:t>5.28</w:t>
      </w:r>
      <w:r>
        <w:rPr>
          <w:lang w:eastAsia="en-AU"/>
        </w:rPr>
        <w:t>. T</w:t>
      </w:r>
      <w:r w:rsidRPr="00B45AC5">
        <w:rPr>
          <w:lang w:eastAsia="en-AU"/>
        </w:rPr>
        <w:t>he averages presented in the tables below are a weighted combination of the assumptions by cohort for each support category.</w:t>
      </w:r>
    </w:p>
    <w:p w14:paraId="14BE2106" w14:textId="77777777" w:rsidR="009E7A4B" w:rsidRDefault="009E7A4B">
      <w:pPr>
        <w:spacing w:after="160" w:line="259" w:lineRule="auto"/>
        <w:rPr>
          <w:rFonts w:eastAsiaTheme="minorHAnsi"/>
          <w:b/>
          <w:bCs/>
          <w:szCs w:val="18"/>
          <w:lang w:eastAsia="en-US"/>
        </w:rPr>
      </w:pPr>
      <w:bookmarkStart w:id="244" w:name="_Ref111630431"/>
      <w:bookmarkStart w:id="245" w:name="_Ref111902123"/>
      <w:r>
        <w:br w:type="page"/>
      </w:r>
    </w:p>
    <w:p w14:paraId="5D0596BB" w14:textId="77777777" w:rsidR="00BF7697" w:rsidRDefault="00BF7697" w:rsidP="00BF7697">
      <w:pPr>
        <w:pStyle w:val="Tables"/>
      </w:pPr>
      <w:r w:rsidRPr="00164A79">
        <w:lastRenderedPageBreak/>
        <w:t xml:space="preserve">Table </w:t>
      </w:r>
      <w:bookmarkEnd w:id="244"/>
      <w:r w:rsidR="00A87896">
        <w:fldChar w:fldCharType="begin"/>
      </w:r>
      <w:r w:rsidR="00A87896">
        <w:instrText xml:space="preserve"> STYLEREF 2 \s </w:instrText>
      </w:r>
      <w:r w:rsidR="00A87896">
        <w:fldChar w:fldCharType="separate"/>
      </w:r>
      <w:r w:rsidR="00A87896">
        <w:rPr>
          <w:noProof/>
        </w:rPr>
        <w:t>5</w:t>
      </w:r>
      <w:r w:rsidR="00A87896">
        <w:fldChar w:fldCharType="end"/>
      </w:r>
      <w:r w:rsidR="00A87896">
        <w:t>.</w:t>
      </w:r>
      <w:fldSimple w:instr=" SEQ Table \* ARABIC \s 2 ">
        <w:r w:rsidR="00A87896">
          <w:rPr>
            <w:noProof/>
          </w:rPr>
          <w:t>28</w:t>
        </w:r>
      </w:fldSimple>
      <w:bookmarkEnd w:id="245"/>
      <w:r w:rsidRPr="00164A79">
        <w:t>: Average annual payments ($) by age band and support category in 2025-26 (2025-26 dollars)</w:t>
      </w:r>
      <w:r w:rsidRPr="00164A79">
        <w:rPr>
          <w:rStyle w:val="FootnoteReference"/>
          <w:rFonts w:ascii="Times New Roman" w:eastAsia="Times New Roman" w:hAnsi="Times New Roman" w:cs="Times New Roman"/>
          <w:sz w:val="16"/>
          <w:szCs w:val="16"/>
          <w:lang w:eastAsia="en-AU"/>
        </w:rPr>
        <w:footnoteReference w:id="111"/>
      </w:r>
      <w:r w:rsidRPr="00B45AC5">
        <w:t> </w:t>
      </w:r>
    </w:p>
    <w:tbl>
      <w:tblPr>
        <w:tblStyle w:val="FSRtable"/>
        <w:tblW w:w="0" w:type="auto"/>
        <w:tblInd w:w="5" w:type="dxa"/>
        <w:tblLayout w:type="fixed"/>
        <w:tblLook w:val="04A0" w:firstRow="1" w:lastRow="0" w:firstColumn="1" w:lastColumn="0" w:noHBand="0" w:noVBand="1"/>
      </w:tblPr>
      <w:tblGrid>
        <w:gridCol w:w="3823"/>
        <w:gridCol w:w="992"/>
        <w:gridCol w:w="992"/>
        <w:gridCol w:w="1134"/>
        <w:gridCol w:w="992"/>
        <w:gridCol w:w="1088"/>
      </w:tblGrid>
      <w:tr w:rsidR="009550A5" w:rsidRPr="009550A5" w14:paraId="3BF30E43" w14:textId="77777777" w:rsidTr="007B1EE1">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3823" w:type="dxa"/>
            <w:hideMark/>
          </w:tcPr>
          <w:p w14:paraId="3A745C93" w14:textId="77777777" w:rsidR="00BF7697" w:rsidRPr="009550A5" w:rsidRDefault="00BF7697" w:rsidP="00B17C79">
            <w:pPr>
              <w:keepNext/>
              <w:spacing w:after="0" w:line="240" w:lineRule="auto"/>
              <w:rPr>
                <w:rFonts w:eastAsia="Times New Roman"/>
                <w:bCs/>
                <w:color w:val="FFFFFF"/>
                <w:sz w:val="20"/>
                <w:szCs w:val="20"/>
                <w:lang w:eastAsia="en-AU"/>
              </w:rPr>
            </w:pPr>
            <w:r w:rsidRPr="009550A5">
              <w:rPr>
                <w:rFonts w:eastAsia="Times New Roman"/>
                <w:bCs/>
                <w:color w:val="FFFFFF"/>
                <w:sz w:val="20"/>
                <w:szCs w:val="20"/>
                <w:lang w:eastAsia="en-AU"/>
              </w:rPr>
              <w:t>Support Category</w:t>
            </w:r>
            <w:r w:rsidRPr="009550A5">
              <w:rPr>
                <w:rFonts w:eastAsia="Times New Roman"/>
                <w:color w:val="FFFFFF"/>
                <w:sz w:val="20"/>
                <w:szCs w:val="20"/>
                <w:lang w:eastAsia="en-AU"/>
              </w:rPr>
              <w:t> </w:t>
            </w:r>
          </w:p>
        </w:tc>
        <w:tc>
          <w:tcPr>
            <w:tcW w:w="992" w:type="dxa"/>
            <w:hideMark/>
          </w:tcPr>
          <w:p w14:paraId="1D1048AC" w14:textId="77777777" w:rsidR="00BF7697" w:rsidRPr="009550A5"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550A5">
              <w:rPr>
                <w:rFonts w:eastAsia="Times New Roman"/>
                <w:bCs/>
                <w:color w:val="FFFFFF"/>
                <w:sz w:val="20"/>
                <w:szCs w:val="20"/>
                <w:lang w:eastAsia="en-AU"/>
              </w:rPr>
              <w:t>0 to 6</w:t>
            </w:r>
          </w:p>
        </w:tc>
        <w:tc>
          <w:tcPr>
            <w:tcW w:w="992" w:type="dxa"/>
            <w:hideMark/>
          </w:tcPr>
          <w:p w14:paraId="14C0BD16" w14:textId="77777777" w:rsidR="00BF7697" w:rsidRPr="009550A5"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550A5">
              <w:rPr>
                <w:rFonts w:eastAsia="Times New Roman"/>
                <w:bCs/>
                <w:color w:val="FFFFFF"/>
                <w:sz w:val="20"/>
                <w:szCs w:val="20"/>
                <w:lang w:eastAsia="en-AU"/>
              </w:rPr>
              <w:t>7 to 14</w:t>
            </w:r>
          </w:p>
        </w:tc>
        <w:tc>
          <w:tcPr>
            <w:tcW w:w="1134" w:type="dxa"/>
            <w:hideMark/>
          </w:tcPr>
          <w:p w14:paraId="4122BD39" w14:textId="77777777" w:rsidR="00BF7697" w:rsidRPr="009550A5"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550A5">
              <w:rPr>
                <w:rFonts w:eastAsia="Times New Roman"/>
                <w:bCs/>
                <w:color w:val="FFFFFF"/>
                <w:sz w:val="20"/>
                <w:szCs w:val="20"/>
                <w:lang w:eastAsia="en-AU"/>
              </w:rPr>
              <w:t>15 to 18</w:t>
            </w:r>
          </w:p>
        </w:tc>
        <w:tc>
          <w:tcPr>
            <w:tcW w:w="992" w:type="dxa"/>
            <w:hideMark/>
          </w:tcPr>
          <w:p w14:paraId="6CC21171" w14:textId="77777777" w:rsidR="00BF7697" w:rsidRPr="009550A5"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550A5">
              <w:rPr>
                <w:rFonts w:eastAsia="Times New Roman"/>
                <w:bCs/>
                <w:color w:val="FFFFFF"/>
                <w:sz w:val="20"/>
                <w:szCs w:val="20"/>
                <w:lang w:eastAsia="en-AU"/>
              </w:rPr>
              <w:t>19 to 24</w:t>
            </w:r>
          </w:p>
        </w:tc>
        <w:tc>
          <w:tcPr>
            <w:tcW w:w="1088" w:type="dxa"/>
            <w:hideMark/>
          </w:tcPr>
          <w:p w14:paraId="6C23FECE" w14:textId="77777777" w:rsidR="00BF7697" w:rsidRPr="009550A5" w:rsidRDefault="00BF7697">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550A5">
              <w:rPr>
                <w:rFonts w:eastAsia="Times New Roman"/>
                <w:bCs/>
                <w:color w:val="FFFFFF"/>
                <w:sz w:val="20"/>
                <w:szCs w:val="20"/>
                <w:lang w:eastAsia="en-AU"/>
              </w:rPr>
              <w:t>25 to 34</w:t>
            </w:r>
          </w:p>
        </w:tc>
      </w:tr>
      <w:tr w:rsidR="009550A5" w:rsidRPr="009550A5" w14:paraId="2E963747" w14:textId="77777777" w:rsidTr="00D72D94">
        <w:trPr>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7676E9B1" w14:textId="77777777" w:rsidR="009550A5" w:rsidRPr="009550A5" w:rsidRDefault="009550A5" w:rsidP="009550A5">
            <w:pPr>
              <w:keepNext/>
              <w:spacing w:after="0" w:line="240" w:lineRule="auto"/>
              <w:rPr>
                <w:rFonts w:eastAsia="Times New Roman" w:cs="Arial"/>
                <w:color w:val="000000"/>
                <w:sz w:val="20"/>
                <w:szCs w:val="20"/>
                <w:lang w:eastAsia="en-AU"/>
              </w:rPr>
            </w:pPr>
            <w:r w:rsidRPr="009550A5">
              <w:rPr>
                <w:rFonts w:eastAsia="Times New Roman" w:cs="Arial"/>
                <w:color w:val="000000"/>
                <w:sz w:val="20"/>
                <w:szCs w:val="20"/>
                <w:lang w:eastAsia="en-AU"/>
              </w:rPr>
              <w:t>Consumables </w:t>
            </w:r>
          </w:p>
        </w:tc>
        <w:tc>
          <w:tcPr>
            <w:tcW w:w="992" w:type="dxa"/>
            <w:hideMark/>
          </w:tcPr>
          <w:p w14:paraId="4AF024D6"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800</w:t>
            </w:r>
          </w:p>
        </w:tc>
        <w:tc>
          <w:tcPr>
            <w:tcW w:w="992" w:type="dxa"/>
            <w:hideMark/>
          </w:tcPr>
          <w:p w14:paraId="79C1F131"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800</w:t>
            </w:r>
          </w:p>
        </w:tc>
        <w:tc>
          <w:tcPr>
            <w:tcW w:w="1134" w:type="dxa"/>
            <w:hideMark/>
          </w:tcPr>
          <w:p w14:paraId="204EE1A2"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800</w:t>
            </w:r>
          </w:p>
        </w:tc>
        <w:tc>
          <w:tcPr>
            <w:tcW w:w="992" w:type="dxa"/>
            <w:hideMark/>
          </w:tcPr>
          <w:p w14:paraId="0D32CF02"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900</w:t>
            </w:r>
          </w:p>
        </w:tc>
        <w:tc>
          <w:tcPr>
            <w:tcW w:w="1088" w:type="dxa"/>
            <w:hideMark/>
          </w:tcPr>
          <w:p w14:paraId="713C3A51"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1,300</w:t>
            </w:r>
          </w:p>
        </w:tc>
      </w:tr>
      <w:tr w:rsidR="009550A5" w:rsidRPr="009550A5" w14:paraId="12092F48" w14:textId="77777777" w:rsidTr="00D72D94">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53D37064" w14:textId="77777777" w:rsidR="009550A5" w:rsidRPr="009550A5" w:rsidRDefault="009550A5" w:rsidP="009550A5">
            <w:pPr>
              <w:keepNext/>
              <w:spacing w:after="0" w:line="240" w:lineRule="auto"/>
              <w:rPr>
                <w:rFonts w:eastAsia="Times New Roman" w:cs="Arial"/>
                <w:color w:val="000000"/>
                <w:sz w:val="20"/>
                <w:szCs w:val="20"/>
                <w:lang w:eastAsia="en-AU"/>
              </w:rPr>
            </w:pPr>
            <w:r w:rsidRPr="009550A5">
              <w:rPr>
                <w:rFonts w:eastAsia="Times New Roman" w:cs="Arial"/>
                <w:color w:val="000000"/>
                <w:sz w:val="20"/>
                <w:szCs w:val="20"/>
                <w:lang w:eastAsia="en-AU"/>
              </w:rPr>
              <w:t>Daily Activities </w:t>
            </w:r>
          </w:p>
        </w:tc>
        <w:tc>
          <w:tcPr>
            <w:tcW w:w="992" w:type="dxa"/>
            <w:hideMark/>
          </w:tcPr>
          <w:p w14:paraId="718B7EBF"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2,800</w:t>
            </w:r>
          </w:p>
        </w:tc>
        <w:tc>
          <w:tcPr>
            <w:tcW w:w="992" w:type="dxa"/>
            <w:hideMark/>
          </w:tcPr>
          <w:p w14:paraId="0F8A5E19"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7,600</w:t>
            </w:r>
          </w:p>
        </w:tc>
        <w:tc>
          <w:tcPr>
            <w:tcW w:w="1134" w:type="dxa"/>
            <w:hideMark/>
          </w:tcPr>
          <w:p w14:paraId="4A48B089"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18,000</w:t>
            </w:r>
          </w:p>
        </w:tc>
        <w:tc>
          <w:tcPr>
            <w:tcW w:w="992" w:type="dxa"/>
            <w:hideMark/>
          </w:tcPr>
          <w:p w14:paraId="61A94E3C"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41,500</w:t>
            </w:r>
          </w:p>
        </w:tc>
        <w:tc>
          <w:tcPr>
            <w:tcW w:w="1088" w:type="dxa"/>
            <w:hideMark/>
          </w:tcPr>
          <w:p w14:paraId="372B452A"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63,400</w:t>
            </w:r>
          </w:p>
        </w:tc>
      </w:tr>
      <w:tr w:rsidR="009550A5" w:rsidRPr="009550A5" w14:paraId="7CE3968B" w14:textId="77777777" w:rsidTr="00D72D94">
        <w:trPr>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05679A87" w14:textId="77777777" w:rsidR="009550A5" w:rsidRPr="009550A5" w:rsidRDefault="009550A5" w:rsidP="009550A5">
            <w:pPr>
              <w:keepNext/>
              <w:spacing w:after="0" w:line="240" w:lineRule="auto"/>
              <w:rPr>
                <w:rFonts w:eastAsia="Times New Roman" w:cs="Arial"/>
                <w:color w:val="000000"/>
                <w:sz w:val="20"/>
                <w:szCs w:val="20"/>
                <w:lang w:eastAsia="en-AU"/>
              </w:rPr>
            </w:pPr>
            <w:r w:rsidRPr="009550A5">
              <w:rPr>
                <w:rFonts w:eastAsia="Times New Roman" w:cs="Arial"/>
                <w:color w:val="000000"/>
                <w:sz w:val="20"/>
                <w:szCs w:val="20"/>
                <w:lang w:eastAsia="en-AU"/>
              </w:rPr>
              <w:t>Social Community Civic </w:t>
            </w:r>
          </w:p>
        </w:tc>
        <w:tc>
          <w:tcPr>
            <w:tcW w:w="992" w:type="dxa"/>
            <w:hideMark/>
          </w:tcPr>
          <w:p w14:paraId="729FD773"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300</w:t>
            </w:r>
          </w:p>
        </w:tc>
        <w:tc>
          <w:tcPr>
            <w:tcW w:w="992" w:type="dxa"/>
            <w:hideMark/>
          </w:tcPr>
          <w:p w14:paraId="79194FA2"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2,100</w:t>
            </w:r>
          </w:p>
        </w:tc>
        <w:tc>
          <w:tcPr>
            <w:tcW w:w="1134" w:type="dxa"/>
            <w:hideMark/>
          </w:tcPr>
          <w:p w14:paraId="5B10F99A"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7,200</w:t>
            </w:r>
          </w:p>
        </w:tc>
        <w:tc>
          <w:tcPr>
            <w:tcW w:w="992" w:type="dxa"/>
            <w:hideMark/>
          </w:tcPr>
          <w:p w14:paraId="35447D9C"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21,800</w:t>
            </w:r>
          </w:p>
        </w:tc>
        <w:tc>
          <w:tcPr>
            <w:tcW w:w="1088" w:type="dxa"/>
            <w:hideMark/>
          </w:tcPr>
          <w:p w14:paraId="1F939C65"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29,000</w:t>
            </w:r>
          </w:p>
        </w:tc>
      </w:tr>
      <w:tr w:rsidR="009550A5" w:rsidRPr="009550A5" w14:paraId="1E52013D" w14:textId="77777777" w:rsidTr="00D72D94">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42135A1E" w14:textId="77777777" w:rsidR="009550A5" w:rsidRPr="009550A5" w:rsidRDefault="009550A5" w:rsidP="009550A5">
            <w:pPr>
              <w:keepNext/>
              <w:spacing w:after="0" w:line="240" w:lineRule="auto"/>
              <w:rPr>
                <w:rFonts w:eastAsia="Times New Roman" w:cs="Arial"/>
                <w:color w:val="000000"/>
                <w:sz w:val="20"/>
                <w:szCs w:val="20"/>
                <w:lang w:eastAsia="en-AU"/>
              </w:rPr>
            </w:pPr>
            <w:r w:rsidRPr="009550A5">
              <w:rPr>
                <w:rFonts w:eastAsia="Times New Roman" w:cs="Arial"/>
                <w:color w:val="000000"/>
                <w:sz w:val="20"/>
                <w:szCs w:val="20"/>
                <w:lang w:eastAsia="en-AU"/>
              </w:rPr>
              <w:t>Transport </w:t>
            </w:r>
          </w:p>
        </w:tc>
        <w:tc>
          <w:tcPr>
            <w:tcW w:w="992" w:type="dxa"/>
            <w:hideMark/>
          </w:tcPr>
          <w:p w14:paraId="7B75020B"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600</w:t>
            </w:r>
          </w:p>
        </w:tc>
        <w:tc>
          <w:tcPr>
            <w:tcW w:w="992" w:type="dxa"/>
            <w:hideMark/>
          </w:tcPr>
          <w:p w14:paraId="52DC5555"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2,400</w:t>
            </w:r>
          </w:p>
        </w:tc>
        <w:tc>
          <w:tcPr>
            <w:tcW w:w="1134" w:type="dxa"/>
            <w:hideMark/>
          </w:tcPr>
          <w:p w14:paraId="69C28919"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3,500</w:t>
            </w:r>
          </w:p>
        </w:tc>
        <w:tc>
          <w:tcPr>
            <w:tcW w:w="992" w:type="dxa"/>
            <w:hideMark/>
          </w:tcPr>
          <w:p w14:paraId="67128183"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2,300</w:t>
            </w:r>
          </w:p>
        </w:tc>
        <w:tc>
          <w:tcPr>
            <w:tcW w:w="1088" w:type="dxa"/>
            <w:hideMark/>
          </w:tcPr>
          <w:p w14:paraId="4BFF5AFA"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2,300</w:t>
            </w:r>
          </w:p>
        </w:tc>
      </w:tr>
      <w:tr w:rsidR="009550A5" w:rsidRPr="009550A5" w14:paraId="78D2B6BA" w14:textId="77777777" w:rsidTr="00D72D94">
        <w:trPr>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4B064186" w14:textId="77777777" w:rsidR="009550A5" w:rsidRPr="009550A5" w:rsidRDefault="009550A5" w:rsidP="009550A5">
            <w:pPr>
              <w:keepNext/>
              <w:spacing w:after="0" w:line="240" w:lineRule="auto"/>
              <w:rPr>
                <w:rFonts w:eastAsia="Times New Roman" w:cs="Arial"/>
                <w:color w:val="000000"/>
                <w:sz w:val="20"/>
                <w:szCs w:val="20"/>
                <w:lang w:eastAsia="en-AU"/>
              </w:rPr>
            </w:pPr>
            <w:r w:rsidRPr="009550A5">
              <w:rPr>
                <w:rFonts w:eastAsia="Times New Roman" w:cs="Arial"/>
                <w:color w:val="000000"/>
                <w:sz w:val="20"/>
                <w:szCs w:val="20"/>
                <w:lang w:eastAsia="en-AU"/>
              </w:rPr>
              <w:t>Assistive Technology </w:t>
            </w:r>
          </w:p>
        </w:tc>
        <w:tc>
          <w:tcPr>
            <w:tcW w:w="992" w:type="dxa"/>
            <w:hideMark/>
          </w:tcPr>
          <w:p w14:paraId="4A0C8CA4"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700</w:t>
            </w:r>
          </w:p>
        </w:tc>
        <w:tc>
          <w:tcPr>
            <w:tcW w:w="992" w:type="dxa"/>
            <w:hideMark/>
          </w:tcPr>
          <w:p w14:paraId="5E7C5D0C"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400</w:t>
            </w:r>
          </w:p>
        </w:tc>
        <w:tc>
          <w:tcPr>
            <w:tcW w:w="1134" w:type="dxa"/>
            <w:hideMark/>
          </w:tcPr>
          <w:p w14:paraId="640A7DA8"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600</w:t>
            </w:r>
          </w:p>
        </w:tc>
        <w:tc>
          <w:tcPr>
            <w:tcW w:w="992" w:type="dxa"/>
            <w:hideMark/>
          </w:tcPr>
          <w:p w14:paraId="0183903E"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700</w:t>
            </w:r>
          </w:p>
        </w:tc>
        <w:tc>
          <w:tcPr>
            <w:tcW w:w="1088" w:type="dxa"/>
            <w:hideMark/>
          </w:tcPr>
          <w:p w14:paraId="2F4157D1"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1,300</w:t>
            </w:r>
          </w:p>
        </w:tc>
      </w:tr>
      <w:tr w:rsidR="009550A5" w:rsidRPr="009550A5" w14:paraId="469AC31A" w14:textId="77777777" w:rsidTr="00D72D94">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46B9060D" w14:textId="77777777" w:rsidR="009550A5" w:rsidRPr="009550A5" w:rsidRDefault="009550A5" w:rsidP="009550A5">
            <w:pPr>
              <w:keepNext/>
              <w:spacing w:after="0" w:line="240" w:lineRule="auto"/>
              <w:rPr>
                <w:rFonts w:eastAsia="Times New Roman" w:cs="Arial"/>
                <w:color w:val="000000"/>
                <w:sz w:val="20"/>
                <w:szCs w:val="20"/>
                <w:lang w:eastAsia="en-AU"/>
              </w:rPr>
            </w:pPr>
            <w:r w:rsidRPr="009550A5">
              <w:rPr>
                <w:rFonts w:eastAsia="Times New Roman" w:cs="Arial"/>
                <w:color w:val="000000"/>
                <w:sz w:val="20"/>
                <w:szCs w:val="20"/>
                <w:lang w:eastAsia="en-AU"/>
              </w:rPr>
              <w:t>Home Modifications </w:t>
            </w:r>
          </w:p>
        </w:tc>
        <w:tc>
          <w:tcPr>
            <w:tcW w:w="992" w:type="dxa"/>
            <w:hideMark/>
          </w:tcPr>
          <w:p w14:paraId="432A0859"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0</w:t>
            </w:r>
          </w:p>
        </w:tc>
        <w:tc>
          <w:tcPr>
            <w:tcW w:w="992" w:type="dxa"/>
            <w:hideMark/>
          </w:tcPr>
          <w:p w14:paraId="3E8F2030"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100</w:t>
            </w:r>
          </w:p>
        </w:tc>
        <w:tc>
          <w:tcPr>
            <w:tcW w:w="1134" w:type="dxa"/>
            <w:hideMark/>
          </w:tcPr>
          <w:p w14:paraId="13D2B3D2"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100</w:t>
            </w:r>
          </w:p>
        </w:tc>
        <w:tc>
          <w:tcPr>
            <w:tcW w:w="992" w:type="dxa"/>
            <w:hideMark/>
          </w:tcPr>
          <w:p w14:paraId="154945B9"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300</w:t>
            </w:r>
          </w:p>
        </w:tc>
        <w:tc>
          <w:tcPr>
            <w:tcW w:w="1088" w:type="dxa"/>
            <w:hideMark/>
          </w:tcPr>
          <w:p w14:paraId="37049A28"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900</w:t>
            </w:r>
          </w:p>
        </w:tc>
      </w:tr>
      <w:tr w:rsidR="009550A5" w:rsidRPr="009550A5" w14:paraId="5EA87287" w14:textId="77777777" w:rsidTr="00D72D94">
        <w:trPr>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3A3B9CBB" w14:textId="77777777" w:rsidR="009550A5" w:rsidRPr="009550A5" w:rsidRDefault="009550A5" w:rsidP="009550A5">
            <w:pPr>
              <w:keepNext/>
              <w:spacing w:after="0" w:line="240" w:lineRule="auto"/>
              <w:rPr>
                <w:rFonts w:eastAsia="Times New Roman" w:cs="Arial"/>
                <w:color w:val="000000"/>
                <w:sz w:val="20"/>
                <w:szCs w:val="20"/>
                <w:lang w:eastAsia="en-AU"/>
              </w:rPr>
            </w:pPr>
            <w:r w:rsidRPr="009550A5">
              <w:rPr>
                <w:rFonts w:eastAsia="Times New Roman" w:cs="Arial"/>
                <w:color w:val="000000"/>
                <w:sz w:val="20"/>
                <w:szCs w:val="20"/>
                <w:lang w:eastAsia="en-AU"/>
              </w:rPr>
              <w:t>Capacity Building Daily Activities </w:t>
            </w:r>
          </w:p>
        </w:tc>
        <w:tc>
          <w:tcPr>
            <w:tcW w:w="992" w:type="dxa"/>
            <w:hideMark/>
          </w:tcPr>
          <w:p w14:paraId="1BF87512"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12,800</w:t>
            </w:r>
          </w:p>
        </w:tc>
        <w:tc>
          <w:tcPr>
            <w:tcW w:w="992" w:type="dxa"/>
            <w:hideMark/>
          </w:tcPr>
          <w:p w14:paraId="25B003CA"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9,500</w:t>
            </w:r>
          </w:p>
        </w:tc>
        <w:tc>
          <w:tcPr>
            <w:tcW w:w="1134" w:type="dxa"/>
            <w:hideMark/>
          </w:tcPr>
          <w:p w14:paraId="6C8E2476"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6,800</w:t>
            </w:r>
          </w:p>
        </w:tc>
        <w:tc>
          <w:tcPr>
            <w:tcW w:w="992" w:type="dxa"/>
            <w:hideMark/>
          </w:tcPr>
          <w:p w14:paraId="2419B908"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5,500</w:t>
            </w:r>
          </w:p>
        </w:tc>
        <w:tc>
          <w:tcPr>
            <w:tcW w:w="1088" w:type="dxa"/>
            <w:hideMark/>
          </w:tcPr>
          <w:p w14:paraId="09DC2C9E"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5,600</w:t>
            </w:r>
          </w:p>
        </w:tc>
      </w:tr>
      <w:tr w:rsidR="009550A5" w:rsidRPr="009550A5" w14:paraId="08E9A515" w14:textId="77777777" w:rsidTr="00D72D94">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7F3E89AB" w14:textId="77777777" w:rsidR="009550A5" w:rsidRPr="009550A5" w:rsidRDefault="009550A5" w:rsidP="009550A5">
            <w:pPr>
              <w:keepNext/>
              <w:spacing w:after="0" w:line="240" w:lineRule="auto"/>
              <w:rPr>
                <w:rFonts w:eastAsia="Times New Roman" w:cs="Arial"/>
                <w:color w:val="000000"/>
                <w:sz w:val="20"/>
                <w:szCs w:val="20"/>
                <w:lang w:eastAsia="en-AU"/>
              </w:rPr>
            </w:pPr>
            <w:r w:rsidRPr="009550A5">
              <w:rPr>
                <w:rFonts w:eastAsia="Times New Roman" w:cs="Arial"/>
                <w:color w:val="000000"/>
                <w:sz w:val="20"/>
                <w:szCs w:val="20"/>
                <w:lang w:eastAsia="en-AU"/>
              </w:rPr>
              <w:t>Employment </w:t>
            </w:r>
          </w:p>
        </w:tc>
        <w:tc>
          <w:tcPr>
            <w:tcW w:w="992" w:type="dxa"/>
            <w:hideMark/>
          </w:tcPr>
          <w:p w14:paraId="1D346327"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0</w:t>
            </w:r>
          </w:p>
        </w:tc>
        <w:tc>
          <w:tcPr>
            <w:tcW w:w="992" w:type="dxa"/>
            <w:hideMark/>
          </w:tcPr>
          <w:p w14:paraId="7DCC96B9"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0</w:t>
            </w:r>
          </w:p>
        </w:tc>
        <w:tc>
          <w:tcPr>
            <w:tcW w:w="1134" w:type="dxa"/>
            <w:hideMark/>
          </w:tcPr>
          <w:p w14:paraId="2CBF22F5"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700</w:t>
            </w:r>
          </w:p>
        </w:tc>
        <w:tc>
          <w:tcPr>
            <w:tcW w:w="992" w:type="dxa"/>
            <w:hideMark/>
          </w:tcPr>
          <w:p w14:paraId="3BACCC46"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2,100</w:t>
            </w:r>
          </w:p>
        </w:tc>
        <w:tc>
          <w:tcPr>
            <w:tcW w:w="1088" w:type="dxa"/>
            <w:hideMark/>
          </w:tcPr>
          <w:p w14:paraId="6F2566E7"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200</w:t>
            </w:r>
          </w:p>
        </w:tc>
      </w:tr>
      <w:tr w:rsidR="009550A5" w:rsidRPr="009550A5" w14:paraId="230EFE34" w14:textId="77777777" w:rsidTr="00D72D94">
        <w:trPr>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066EBF2B" w14:textId="77777777" w:rsidR="009550A5" w:rsidRPr="009550A5" w:rsidRDefault="009550A5" w:rsidP="009550A5">
            <w:pPr>
              <w:keepNext/>
              <w:spacing w:after="0" w:line="240" w:lineRule="auto"/>
              <w:rPr>
                <w:rFonts w:eastAsia="Times New Roman" w:cs="Arial"/>
                <w:color w:val="000000"/>
                <w:sz w:val="20"/>
                <w:szCs w:val="20"/>
                <w:lang w:eastAsia="en-AU"/>
              </w:rPr>
            </w:pPr>
            <w:r w:rsidRPr="009550A5">
              <w:rPr>
                <w:rFonts w:eastAsia="Times New Roman" w:cs="Arial"/>
                <w:color w:val="000000"/>
                <w:sz w:val="20"/>
                <w:szCs w:val="20"/>
                <w:lang w:eastAsia="en-AU"/>
              </w:rPr>
              <w:t>Support Coordination </w:t>
            </w:r>
          </w:p>
        </w:tc>
        <w:tc>
          <w:tcPr>
            <w:tcW w:w="992" w:type="dxa"/>
            <w:hideMark/>
          </w:tcPr>
          <w:p w14:paraId="61A8925C"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300</w:t>
            </w:r>
          </w:p>
        </w:tc>
        <w:tc>
          <w:tcPr>
            <w:tcW w:w="992" w:type="dxa"/>
            <w:hideMark/>
          </w:tcPr>
          <w:p w14:paraId="1B03C70A"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600</w:t>
            </w:r>
          </w:p>
        </w:tc>
        <w:tc>
          <w:tcPr>
            <w:tcW w:w="1134" w:type="dxa"/>
            <w:hideMark/>
          </w:tcPr>
          <w:p w14:paraId="7AF78885"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1,400</w:t>
            </w:r>
          </w:p>
        </w:tc>
        <w:tc>
          <w:tcPr>
            <w:tcW w:w="992" w:type="dxa"/>
            <w:hideMark/>
          </w:tcPr>
          <w:p w14:paraId="053D57DF"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1,900</w:t>
            </w:r>
          </w:p>
        </w:tc>
        <w:tc>
          <w:tcPr>
            <w:tcW w:w="1088" w:type="dxa"/>
            <w:hideMark/>
          </w:tcPr>
          <w:p w14:paraId="1D60BBBD"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72D94">
              <w:rPr>
                <w:rFonts w:cs="Arial"/>
                <w:sz w:val="20"/>
                <w:szCs w:val="20"/>
              </w:rPr>
              <w:t>2,500</w:t>
            </w:r>
          </w:p>
        </w:tc>
      </w:tr>
      <w:tr w:rsidR="009550A5" w:rsidRPr="009550A5" w14:paraId="7EB8D1F8" w14:textId="77777777" w:rsidTr="00D72D94">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823" w:type="dxa"/>
            <w:tcBorders>
              <w:bottom w:val="single" w:sz="4" w:space="0" w:color="auto"/>
            </w:tcBorders>
            <w:hideMark/>
          </w:tcPr>
          <w:p w14:paraId="113AE1BE" w14:textId="77777777" w:rsidR="009550A5" w:rsidRPr="009550A5" w:rsidRDefault="009550A5" w:rsidP="009550A5">
            <w:pPr>
              <w:keepNext/>
              <w:spacing w:after="0" w:line="240" w:lineRule="auto"/>
              <w:rPr>
                <w:rFonts w:eastAsia="Times New Roman" w:cs="Arial"/>
                <w:color w:val="000000"/>
                <w:sz w:val="20"/>
                <w:szCs w:val="20"/>
                <w:lang w:eastAsia="en-AU"/>
              </w:rPr>
            </w:pPr>
            <w:r w:rsidRPr="009550A5">
              <w:rPr>
                <w:rFonts w:eastAsia="Times New Roman" w:cs="Arial"/>
                <w:color w:val="000000"/>
                <w:sz w:val="20"/>
                <w:szCs w:val="20"/>
                <w:lang w:eastAsia="en-AU"/>
              </w:rPr>
              <w:t>Remaining Capacity Building </w:t>
            </w:r>
          </w:p>
        </w:tc>
        <w:tc>
          <w:tcPr>
            <w:tcW w:w="992" w:type="dxa"/>
            <w:tcBorders>
              <w:bottom w:val="single" w:sz="4" w:space="0" w:color="auto"/>
            </w:tcBorders>
            <w:hideMark/>
          </w:tcPr>
          <w:p w14:paraId="1AF2E921"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900</w:t>
            </w:r>
          </w:p>
        </w:tc>
        <w:tc>
          <w:tcPr>
            <w:tcW w:w="992" w:type="dxa"/>
            <w:tcBorders>
              <w:bottom w:val="single" w:sz="4" w:space="0" w:color="auto"/>
            </w:tcBorders>
            <w:hideMark/>
          </w:tcPr>
          <w:p w14:paraId="73E645D1"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2,100</w:t>
            </w:r>
          </w:p>
        </w:tc>
        <w:tc>
          <w:tcPr>
            <w:tcW w:w="1134" w:type="dxa"/>
            <w:tcBorders>
              <w:bottom w:val="single" w:sz="4" w:space="0" w:color="auto"/>
            </w:tcBorders>
            <w:hideMark/>
          </w:tcPr>
          <w:p w14:paraId="641150EB"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2,800</w:t>
            </w:r>
          </w:p>
        </w:tc>
        <w:tc>
          <w:tcPr>
            <w:tcW w:w="992" w:type="dxa"/>
            <w:tcBorders>
              <w:bottom w:val="single" w:sz="4" w:space="0" w:color="auto"/>
            </w:tcBorders>
            <w:hideMark/>
          </w:tcPr>
          <w:p w14:paraId="075A3A17"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3,000</w:t>
            </w:r>
          </w:p>
        </w:tc>
        <w:tc>
          <w:tcPr>
            <w:tcW w:w="1088" w:type="dxa"/>
            <w:tcBorders>
              <w:bottom w:val="single" w:sz="4" w:space="0" w:color="auto"/>
            </w:tcBorders>
            <w:hideMark/>
          </w:tcPr>
          <w:p w14:paraId="2B733B5B" w14:textId="77777777" w:rsidR="009550A5" w:rsidRPr="009550A5" w:rsidRDefault="009550A5">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72D94">
              <w:rPr>
                <w:rFonts w:cs="Arial"/>
                <w:sz w:val="20"/>
                <w:szCs w:val="20"/>
              </w:rPr>
              <w:t>3,300</w:t>
            </w:r>
          </w:p>
        </w:tc>
      </w:tr>
      <w:tr w:rsidR="009550A5" w:rsidRPr="009550A5" w14:paraId="25B7C9E2" w14:textId="77777777" w:rsidTr="00D72D94">
        <w:trPr>
          <w:trHeight w:hRule="exact" w:val="301"/>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bottom w:val="single" w:sz="4" w:space="0" w:color="auto"/>
            </w:tcBorders>
            <w:shd w:val="clear" w:color="auto" w:fill="D4C5D7"/>
            <w:hideMark/>
          </w:tcPr>
          <w:p w14:paraId="135C14FA" w14:textId="77777777" w:rsidR="009550A5" w:rsidRPr="009550A5" w:rsidRDefault="009550A5" w:rsidP="009550A5">
            <w:pPr>
              <w:keepNext/>
              <w:spacing w:after="0" w:line="240" w:lineRule="auto"/>
              <w:rPr>
                <w:rFonts w:eastAsia="Times New Roman" w:cs="Arial"/>
                <w:b/>
                <w:bCs/>
                <w:color w:val="000000"/>
                <w:sz w:val="20"/>
                <w:szCs w:val="20"/>
                <w:lang w:eastAsia="en-AU"/>
              </w:rPr>
            </w:pPr>
            <w:r w:rsidRPr="009550A5">
              <w:rPr>
                <w:rFonts w:eastAsia="Times New Roman" w:cs="Arial"/>
                <w:b/>
                <w:bCs/>
                <w:color w:val="000000"/>
                <w:sz w:val="20"/>
                <w:szCs w:val="20"/>
                <w:lang w:eastAsia="en-AU"/>
              </w:rPr>
              <w:t>Total</w:t>
            </w:r>
            <w:r w:rsidRPr="00D72D94">
              <w:rPr>
                <w:rFonts w:eastAsia="Times New Roman" w:cs="Arial"/>
                <w:b/>
                <w:color w:val="000000"/>
                <w:sz w:val="20"/>
                <w:szCs w:val="20"/>
                <w:lang w:eastAsia="en-AU"/>
              </w:rPr>
              <w:t> </w:t>
            </w:r>
          </w:p>
        </w:tc>
        <w:tc>
          <w:tcPr>
            <w:tcW w:w="992" w:type="dxa"/>
            <w:tcBorders>
              <w:top w:val="single" w:sz="4" w:space="0" w:color="auto"/>
              <w:bottom w:val="single" w:sz="4" w:space="0" w:color="auto"/>
            </w:tcBorders>
            <w:shd w:val="clear" w:color="auto" w:fill="D4C5D7"/>
            <w:hideMark/>
          </w:tcPr>
          <w:p w14:paraId="4E9D744A"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19,300</w:t>
            </w:r>
          </w:p>
        </w:tc>
        <w:tc>
          <w:tcPr>
            <w:tcW w:w="992" w:type="dxa"/>
            <w:tcBorders>
              <w:top w:val="single" w:sz="4" w:space="0" w:color="auto"/>
              <w:bottom w:val="single" w:sz="4" w:space="0" w:color="auto"/>
            </w:tcBorders>
            <w:shd w:val="clear" w:color="auto" w:fill="D4C5D7"/>
            <w:hideMark/>
          </w:tcPr>
          <w:p w14:paraId="098320F0"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25,600</w:t>
            </w:r>
          </w:p>
        </w:tc>
        <w:tc>
          <w:tcPr>
            <w:tcW w:w="1134" w:type="dxa"/>
            <w:tcBorders>
              <w:top w:val="single" w:sz="4" w:space="0" w:color="auto"/>
              <w:bottom w:val="single" w:sz="4" w:space="0" w:color="auto"/>
            </w:tcBorders>
            <w:shd w:val="clear" w:color="auto" w:fill="D4C5D7"/>
            <w:hideMark/>
          </w:tcPr>
          <w:p w14:paraId="069359CD"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42,000</w:t>
            </w:r>
          </w:p>
        </w:tc>
        <w:tc>
          <w:tcPr>
            <w:tcW w:w="992" w:type="dxa"/>
            <w:tcBorders>
              <w:top w:val="single" w:sz="4" w:space="0" w:color="auto"/>
              <w:bottom w:val="single" w:sz="4" w:space="0" w:color="auto"/>
            </w:tcBorders>
            <w:shd w:val="clear" w:color="auto" w:fill="D4C5D7"/>
            <w:hideMark/>
          </w:tcPr>
          <w:p w14:paraId="5DE8D34E"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80,200</w:t>
            </w:r>
          </w:p>
        </w:tc>
        <w:tc>
          <w:tcPr>
            <w:tcW w:w="1088" w:type="dxa"/>
            <w:tcBorders>
              <w:top w:val="single" w:sz="4" w:space="0" w:color="auto"/>
              <w:bottom w:val="single" w:sz="4" w:space="0" w:color="auto"/>
            </w:tcBorders>
            <w:shd w:val="clear" w:color="auto" w:fill="D4C5D7"/>
            <w:hideMark/>
          </w:tcPr>
          <w:p w14:paraId="47FF3C44" w14:textId="77777777" w:rsidR="009550A5" w:rsidRPr="009550A5" w:rsidRDefault="009550A5">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D72D94">
              <w:rPr>
                <w:rFonts w:cs="Arial"/>
                <w:b/>
                <w:sz w:val="20"/>
                <w:szCs w:val="20"/>
              </w:rPr>
              <w:t>109,800</w:t>
            </w:r>
          </w:p>
        </w:tc>
      </w:tr>
    </w:tbl>
    <w:p w14:paraId="16C89A07" w14:textId="77777777" w:rsidR="009E7A4B" w:rsidRDefault="009E7A4B" w:rsidP="00287865">
      <w:pPr>
        <w:pStyle w:val="FSRnormal"/>
        <w:spacing w:before="0" w:after="0"/>
      </w:pPr>
    </w:p>
    <w:tbl>
      <w:tblPr>
        <w:tblStyle w:val="FSRtable1"/>
        <w:tblW w:w="0" w:type="auto"/>
        <w:tblInd w:w="5" w:type="dxa"/>
        <w:tblLayout w:type="fixed"/>
        <w:tblLook w:val="04A0" w:firstRow="1" w:lastRow="0" w:firstColumn="1" w:lastColumn="0" w:noHBand="0" w:noVBand="1"/>
      </w:tblPr>
      <w:tblGrid>
        <w:gridCol w:w="3823"/>
        <w:gridCol w:w="992"/>
        <w:gridCol w:w="992"/>
        <w:gridCol w:w="1134"/>
        <w:gridCol w:w="992"/>
        <w:gridCol w:w="1088"/>
      </w:tblGrid>
      <w:tr w:rsidR="009E7A4B" w:rsidRPr="009E7A4B" w14:paraId="19AD4603" w14:textId="77777777" w:rsidTr="009E7A4B">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3823" w:type="dxa"/>
            <w:hideMark/>
          </w:tcPr>
          <w:p w14:paraId="28C9B77D" w14:textId="77777777" w:rsidR="009E7A4B" w:rsidRPr="009E7A4B" w:rsidRDefault="009E7A4B" w:rsidP="009E7A4B">
            <w:pPr>
              <w:keepNext/>
              <w:spacing w:after="0" w:line="240" w:lineRule="auto"/>
              <w:rPr>
                <w:rFonts w:eastAsia="Times New Roman"/>
                <w:bCs/>
                <w:color w:val="FFFFFF"/>
                <w:sz w:val="20"/>
                <w:szCs w:val="20"/>
                <w:lang w:eastAsia="en-AU"/>
              </w:rPr>
            </w:pPr>
            <w:r w:rsidRPr="009E7A4B">
              <w:rPr>
                <w:rFonts w:eastAsia="Times New Roman"/>
                <w:bCs/>
                <w:color w:val="FFFFFF"/>
                <w:sz w:val="20"/>
                <w:szCs w:val="20"/>
                <w:lang w:eastAsia="en-AU"/>
              </w:rPr>
              <w:t>Support Category</w:t>
            </w:r>
            <w:r w:rsidRPr="009E7A4B">
              <w:rPr>
                <w:rFonts w:eastAsia="Times New Roman"/>
                <w:color w:val="FFFFFF"/>
                <w:sz w:val="20"/>
                <w:szCs w:val="20"/>
                <w:lang w:eastAsia="en-AU"/>
              </w:rPr>
              <w:t> </w:t>
            </w:r>
          </w:p>
        </w:tc>
        <w:tc>
          <w:tcPr>
            <w:tcW w:w="992" w:type="dxa"/>
            <w:hideMark/>
          </w:tcPr>
          <w:p w14:paraId="5D91120C" w14:textId="77777777" w:rsidR="009E7A4B" w:rsidRPr="009E7A4B" w:rsidRDefault="009E7A4B" w:rsidP="009E7A4B">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E7A4B">
              <w:rPr>
                <w:rFonts w:eastAsia="Times New Roman"/>
                <w:bCs/>
                <w:color w:val="FFFFFF"/>
                <w:sz w:val="20"/>
                <w:szCs w:val="20"/>
                <w:lang w:eastAsia="en-AU"/>
              </w:rPr>
              <w:t>35 to 44</w:t>
            </w:r>
          </w:p>
        </w:tc>
        <w:tc>
          <w:tcPr>
            <w:tcW w:w="992" w:type="dxa"/>
            <w:hideMark/>
          </w:tcPr>
          <w:p w14:paraId="216E35D2" w14:textId="77777777" w:rsidR="009E7A4B" w:rsidRPr="009E7A4B" w:rsidRDefault="009E7A4B" w:rsidP="009E7A4B">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E7A4B">
              <w:rPr>
                <w:rFonts w:eastAsia="Times New Roman"/>
                <w:bCs/>
                <w:color w:val="FFFFFF"/>
                <w:sz w:val="20"/>
                <w:szCs w:val="20"/>
                <w:lang w:eastAsia="en-AU"/>
              </w:rPr>
              <w:t>45 to 54</w:t>
            </w:r>
          </w:p>
        </w:tc>
        <w:tc>
          <w:tcPr>
            <w:tcW w:w="1134" w:type="dxa"/>
            <w:hideMark/>
          </w:tcPr>
          <w:p w14:paraId="1C137C81" w14:textId="77777777" w:rsidR="009E7A4B" w:rsidRPr="009E7A4B" w:rsidRDefault="009E7A4B" w:rsidP="009E7A4B">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E7A4B">
              <w:rPr>
                <w:rFonts w:eastAsia="Times New Roman"/>
                <w:bCs/>
                <w:color w:val="FFFFFF"/>
                <w:sz w:val="20"/>
                <w:szCs w:val="20"/>
                <w:lang w:eastAsia="en-AU"/>
              </w:rPr>
              <w:t>55 to 64</w:t>
            </w:r>
          </w:p>
        </w:tc>
        <w:tc>
          <w:tcPr>
            <w:tcW w:w="992" w:type="dxa"/>
            <w:hideMark/>
          </w:tcPr>
          <w:p w14:paraId="329C11B8" w14:textId="77777777" w:rsidR="009E7A4B" w:rsidRPr="009E7A4B" w:rsidRDefault="009E7A4B" w:rsidP="009E7A4B">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E7A4B">
              <w:rPr>
                <w:rFonts w:eastAsia="Times New Roman"/>
                <w:bCs/>
                <w:color w:val="FFFFFF"/>
                <w:sz w:val="20"/>
                <w:szCs w:val="20"/>
                <w:lang w:eastAsia="en-AU"/>
              </w:rPr>
              <w:t>65+</w:t>
            </w:r>
          </w:p>
        </w:tc>
        <w:tc>
          <w:tcPr>
            <w:tcW w:w="1088" w:type="dxa"/>
            <w:hideMark/>
          </w:tcPr>
          <w:p w14:paraId="286083CE" w14:textId="77777777" w:rsidR="009E7A4B" w:rsidRPr="009E7A4B" w:rsidRDefault="009E7A4B" w:rsidP="009E7A4B">
            <w:pPr>
              <w:keepNext/>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E7A4B">
              <w:rPr>
                <w:rFonts w:eastAsia="Times New Roman"/>
                <w:bCs/>
                <w:color w:val="FFFFFF"/>
                <w:sz w:val="20"/>
                <w:szCs w:val="20"/>
                <w:lang w:eastAsia="en-AU"/>
              </w:rPr>
              <w:t>Total</w:t>
            </w:r>
          </w:p>
        </w:tc>
      </w:tr>
      <w:tr w:rsidR="009E7A4B" w:rsidRPr="009E7A4B" w14:paraId="295AD664" w14:textId="77777777" w:rsidTr="0004693C">
        <w:trPr>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2763A234" w14:textId="77777777" w:rsidR="009E7A4B" w:rsidRPr="009E7A4B" w:rsidRDefault="009E7A4B" w:rsidP="009E7A4B">
            <w:pPr>
              <w:keepNext/>
              <w:spacing w:after="0" w:line="240" w:lineRule="auto"/>
              <w:rPr>
                <w:rFonts w:eastAsia="Times New Roman" w:cs="Arial"/>
                <w:color w:val="000000"/>
                <w:sz w:val="20"/>
                <w:szCs w:val="20"/>
                <w:lang w:eastAsia="en-AU"/>
              </w:rPr>
            </w:pPr>
            <w:r w:rsidRPr="009E7A4B">
              <w:rPr>
                <w:rFonts w:eastAsia="Times New Roman" w:cs="Arial"/>
                <w:color w:val="000000"/>
                <w:sz w:val="20"/>
                <w:szCs w:val="20"/>
                <w:lang w:eastAsia="en-AU"/>
              </w:rPr>
              <w:t>Consumables </w:t>
            </w:r>
          </w:p>
        </w:tc>
        <w:tc>
          <w:tcPr>
            <w:tcW w:w="992" w:type="dxa"/>
            <w:hideMark/>
          </w:tcPr>
          <w:p w14:paraId="345278D0"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1,700</w:t>
            </w:r>
          </w:p>
        </w:tc>
        <w:tc>
          <w:tcPr>
            <w:tcW w:w="992" w:type="dxa"/>
            <w:hideMark/>
          </w:tcPr>
          <w:p w14:paraId="5AF187D2"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1,900</w:t>
            </w:r>
          </w:p>
        </w:tc>
        <w:tc>
          <w:tcPr>
            <w:tcW w:w="1134" w:type="dxa"/>
            <w:hideMark/>
          </w:tcPr>
          <w:p w14:paraId="7EF46F55"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2,200</w:t>
            </w:r>
          </w:p>
        </w:tc>
        <w:tc>
          <w:tcPr>
            <w:tcW w:w="992" w:type="dxa"/>
            <w:hideMark/>
          </w:tcPr>
          <w:p w14:paraId="02600D3D"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2,600</w:t>
            </w:r>
          </w:p>
        </w:tc>
        <w:tc>
          <w:tcPr>
            <w:tcW w:w="1088" w:type="dxa"/>
            <w:hideMark/>
          </w:tcPr>
          <w:p w14:paraId="39E88C4A"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1,300</w:t>
            </w:r>
          </w:p>
        </w:tc>
      </w:tr>
      <w:tr w:rsidR="009E7A4B" w:rsidRPr="009E7A4B" w14:paraId="2DD8B916" w14:textId="77777777" w:rsidTr="0004693C">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1CDF8D34" w14:textId="77777777" w:rsidR="009E7A4B" w:rsidRPr="009E7A4B" w:rsidRDefault="009E7A4B" w:rsidP="009E7A4B">
            <w:pPr>
              <w:keepNext/>
              <w:spacing w:after="0" w:line="240" w:lineRule="auto"/>
              <w:rPr>
                <w:rFonts w:eastAsia="Times New Roman" w:cs="Arial"/>
                <w:color w:val="000000"/>
                <w:sz w:val="20"/>
                <w:szCs w:val="20"/>
                <w:lang w:eastAsia="en-AU"/>
              </w:rPr>
            </w:pPr>
            <w:r w:rsidRPr="009E7A4B">
              <w:rPr>
                <w:rFonts w:eastAsia="Times New Roman" w:cs="Arial"/>
                <w:color w:val="000000"/>
                <w:sz w:val="20"/>
                <w:szCs w:val="20"/>
                <w:lang w:eastAsia="en-AU"/>
              </w:rPr>
              <w:t>Daily Activities </w:t>
            </w:r>
          </w:p>
        </w:tc>
        <w:tc>
          <w:tcPr>
            <w:tcW w:w="992" w:type="dxa"/>
            <w:hideMark/>
          </w:tcPr>
          <w:p w14:paraId="4738B352"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71,300</w:t>
            </w:r>
          </w:p>
        </w:tc>
        <w:tc>
          <w:tcPr>
            <w:tcW w:w="992" w:type="dxa"/>
            <w:hideMark/>
          </w:tcPr>
          <w:p w14:paraId="654429CD"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72,000</w:t>
            </w:r>
          </w:p>
        </w:tc>
        <w:tc>
          <w:tcPr>
            <w:tcW w:w="1134" w:type="dxa"/>
            <w:hideMark/>
          </w:tcPr>
          <w:p w14:paraId="03049596"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72,600</w:t>
            </w:r>
          </w:p>
        </w:tc>
        <w:tc>
          <w:tcPr>
            <w:tcW w:w="992" w:type="dxa"/>
            <w:hideMark/>
          </w:tcPr>
          <w:p w14:paraId="61EB557C"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77,900</w:t>
            </w:r>
          </w:p>
        </w:tc>
        <w:tc>
          <w:tcPr>
            <w:tcW w:w="1088" w:type="dxa"/>
            <w:hideMark/>
          </w:tcPr>
          <w:p w14:paraId="1C3B6685"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37,500</w:t>
            </w:r>
          </w:p>
        </w:tc>
      </w:tr>
      <w:tr w:rsidR="009E7A4B" w:rsidRPr="009E7A4B" w14:paraId="45AED80B" w14:textId="77777777" w:rsidTr="0004693C">
        <w:trPr>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6E414061" w14:textId="77777777" w:rsidR="009E7A4B" w:rsidRPr="009E7A4B" w:rsidRDefault="009E7A4B" w:rsidP="009E7A4B">
            <w:pPr>
              <w:keepNext/>
              <w:spacing w:after="0" w:line="240" w:lineRule="auto"/>
              <w:rPr>
                <w:rFonts w:eastAsia="Times New Roman" w:cs="Arial"/>
                <w:color w:val="000000"/>
                <w:sz w:val="20"/>
                <w:szCs w:val="20"/>
                <w:lang w:eastAsia="en-AU"/>
              </w:rPr>
            </w:pPr>
            <w:r w:rsidRPr="009E7A4B">
              <w:rPr>
                <w:rFonts w:eastAsia="Times New Roman" w:cs="Arial"/>
                <w:color w:val="000000"/>
                <w:sz w:val="20"/>
                <w:szCs w:val="20"/>
                <w:lang w:eastAsia="en-AU"/>
              </w:rPr>
              <w:t>Social Community Civic </w:t>
            </w:r>
          </w:p>
        </w:tc>
        <w:tc>
          <w:tcPr>
            <w:tcW w:w="992" w:type="dxa"/>
            <w:hideMark/>
          </w:tcPr>
          <w:p w14:paraId="584FBCB4"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27,100</w:t>
            </w:r>
          </w:p>
        </w:tc>
        <w:tc>
          <w:tcPr>
            <w:tcW w:w="992" w:type="dxa"/>
            <w:hideMark/>
          </w:tcPr>
          <w:p w14:paraId="06071BC9"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23,700</w:t>
            </w:r>
          </w:p>
        </w:tc>
        <w:tc>
          <w:tcPr>
            <w:tcW w:w="1134" w:type="dxa"/>
            <w:hideMark/>
          </w:tcPr>
          <w:p w14:paraId="59C1B20E"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21,600</w:t>
            </w:r>
          </w:p>
        </w:tc>
        <w:tc>
          <w:tcPr>
            <w:tcW w:w="992" w:type="dxa"/>
            <w:hideMark/>
          </w:tcPr>
          <w:p w14:paraId="76D89A39"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22,200</w:t>
            </w:r>
          </w:p>
        </w:tc>
        <w:tc>
          <w:tcPr>
            <w:tcW w:w="1088" w:type="dxa"/>
            <w:hideMark/>
          </w:tcPr>
          <w:p w14:paraId="6EA1866C"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13,600</w:t>
            </w:r>
          </w:p>
        </w:tc>
      </w:tr>
      <w:tr w:rsidR="009E7A4B" w:rsidRPr="009E7A4B" w14:paraId="0E4CE529" w14:textId="77777777" w:rsidTr="0004693C">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5FA2ECBE" w14:textId="77777777" w:rsidR="009E7A4B" w:rsidRPr="009E7A4B" w:rsidRDefault="009E7A4B" w:rsidP="009E7A4B">
            <w:pPr>
              <w:keepNext/>
              <w:spacing w:after="0" w:line="240" w:lineRule="auto"/>
              <w:rPr>
                <w:rFonts w:eastAsia="Times New Roman" w:cs="Arial"/>
                <w:color w:val="000000"/>
                <w:sz w:val="20"/>
                <w:szCs w:val="20"/>
                <w:lang w:eastAsia="en-AU"/>
              </w:rPr>
            </w:pPr>
            <w:r w:rsidRPr="009E7A4B">
              <w:rPr>
                <w:rFonts w:eastAsia="Times New Roman" w:cs="Arial"/>
                <w:color w:val="000000"/>
                <w:sz w:val="20"/>
                <w:szCs w:val="20"/>
                <w:lang w:eastAsia="en-AU"/>
              </w:rPr>
              <w:t>Transport </w:t>
            </w:r>
          </w:p>
        </w:tc>
        <w:tc>
          <w:tcPr>
            <w:tcW w:w="992" w:type="dxa"/>
            <w:hideMark/>
          </w:tcPr>
          <w:p w14:paraId="0861318F"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2,200</w:t>
            </w:r>
          </w:p>
        </w:tc>
        <w:tc>
          <w:tcPr>
            <w:tcW w:w="992" w:type="dxa"/>
            <w:hideMark/>
          </w:tcPr>
          <w:p w14:paraId="13B6EA15"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2,100</w:t>
            </w:r>
          </w:p>
        </w:tc>
        <w:tc>
          <w:tcPr>
            <w:tcW w:w="1134" w:type="dxa"/>
            <w:hideMark/>
          </w:tcPr>
          <w:p w14:paraId="6B3EE4C5"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2,000</w:t>
            </w:r>
          </w:p>
        </w:tc>
        <w:tc>
          <w:tcPr>
            <w:tcW w:w="992" w:type="dxa"/>
            <w:hideMark/>
          </w:tcPr>
          <w:p w14:paraId="66DB3BCC"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2,200</w:t>
            </w:r>
          </w:p>
        </w:tc>
        <w:tc>
          <w:tcPr>
            <w:tcW w:w="1088" w:type="dxa"/>
            <w:hideMark/>
          </w:tcPr>
          <w:p w14:paraId="0391E00C"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2,200</w:t>
            </w:r>
          </w:p>
        </w:tc>
      </w:tr>
      <w:tr w:rsidR="009E7A4B" w:rsidRPr="009E7A4B" w14:paraId="41AA8980" w14:textId="77777777" w:rsidTr="0004693C">
        <w:trPr>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36FFFD3C" w14:textId="77777777" w:rsidR="009E7A4B" w:rsidRPr="009E7A4B" w:rsidRDefault="009E7A4B" w:rsidP="009E7A4B">
            <w:pPr>
              <w:keepNext/>
              <w:spacing w:after="0" w:line="240" w:lineRule="auto"/>
              <w:rPr>
                <w:rFonts w:eastAsia="Times New Roman" w:cs="Arial"/>
                <w:color w:val="000000"/>
                <w:sz w:val="20"/>
                <w:szCs w:val="20"/>
                <w:lang w:eastAsia="en-AU"/>
              </w:rPr>
            </w:pPr>
            <w:r w:rsidRPr="009E7A4B">
              <w:rPr>
                <w:rFonts w:eastAsia="Times New Roman" w:cs="Arial"/>
                <w:color w:val="000000"/>
                <w:sz w:val="20"/>
                <w:szCs w:val="20"/>
                <w:lang w:eastAsia="en-AU"/>
              </w:rPr>
              <w:t>Assistive Technology </w:t>
            </w:r>
          </w:p>
        </w:tc>
        <w:tc>
          <w:tcPr>
            <w:tcW w:w="992" w:type="dxa"/>
            <w:hideMark/>
          </w:tcPr>
          <w:p w14:paraId="15A2A823"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1,800</w:t>
            </w:r>
          </w:p>
        </w:tc>
        <w:tc>
          <w:tcPr>
            <w:tcW w:w="992" w:type="dxa"/>
            <w:hideMark/>
          </w:tcPr>
          <w:p w14:paraId="1C19092E"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2,300</w:t>
            </w:r>
          </w:p>
        </w:tc>
        <w:tc>
          <w:tcPr>
            <w:tcW w:w="1134" w:type="dxa"/>
            <w:hideMark/>
          </w:tcPr>
          <w:p w14:paraId="0781E19C"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3,100</w:t>
            </w:r>
          </w:p>
        </w:tc>
        <w:tc>
          <w:tcPr>
            <w:tcW w:w="992" w:type="dxa"/>
            <w:hideMark/>
          </w:tcPr>
          <w:p w14:paraId="1CB8E47B"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4,000</w:t>
            </w:r>
          </w:p>
        </w:tc>
        <w:tc>
          <w:tcPr>
            <w:tcW w:w="1088" w:type="dxa"/>
            <w:hideMark/>
          </w:tcPr>
          <w:p w14:paraId="7C220F1B"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1,300</w:t>
            </w:r>
          </w:p>
        </w:tc>
      </w:tr>
      <w:tr w:rsidR="009E7A4B" w:rsidRPr="009E7A4B" w14:paraId="5E45D70A" w14:textId="77777777" w:rsidTr="0004693C">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4669D5BB" w14:textId="77777777" w:rsidR="009E7A4B" w:rsidRPr="009E7A4B" w:rsidRDefault="009E7A4B" w:rsidP="009E7A4B">
            <w:pPr>
              <w:keepNext/>
              <w:spacing w:after="0" w:line="240" w:lineRule="auto"/>
              <w:rPr>
                <w:rFonts w:eastAsia="Times New Roman" w:cs="Arial"/>
                <w:color w:val="000000"/>
                <w:sz w:val="20"/>
                <w:szCs w:val="20"/>
                <w:lang w:eastAsia="en-AU"/>
              </w:rPr>
            </w:pPr>
            <w:r w:rsidRPr="009E7A4B">
              <w:rPr>
                <w:rFonts w:eastAsia="Times New Roman" w:cs="Arial"/>
                <w:color w:val="000000"/>
                <w:sz w:val="20"/>
                <w:szCs w:val="20"/>
                <w:lang w:eastAsia="en-AU"/>
              </w:rPr>
              <w:t>Home Modifications </w:t>
            </w:r>
          </w:p>
        </w:tc>
        <w:tc>
          <w:tcPr>
            <w:tcW w:w="992" w:type="dxa"/>
            <w:hideMark/>
          </w:tcPr>
          <w:p w14:paraId="653945CA"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1,300</w:t>
            </w:r>
          </w:p>
        </w:tc>
        <w:tc>
          <w:tcPr>
            <w:tcW w:w="992" w:type="dxa"/>
            <w:hideMark/>
          </w:tcPr>
          <w:p w14:paraId="613754EF"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1,500</w:t>
            </w:r>
          </w:p>
        </w:tc>
        <w:tc>
          <w:tcPr>
            <w:tcW w:w="1134" w:type="dxa"/>
            <w:hideMark/>
          </w:tcPr>
          <w:p w14:paraId="22C24D03"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1,800</w:t>
            </w:r>
          </w:p>
        </w:tc>
        <w:tc>
          <w:tcPr>
            <w:tcW w:w="992" w:type="dxa"/>
            <w:hideMark/>
          </w:tcPr>
          <w:p w14:paraId="13112D0E"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2,100</w:t>
            </w:r>
          </w:p>
        </w:tc>
        <w:tc>
          <w:tcPr>
            <w:tcW w:w="1088" w:type="dxa"/>
            <w:hideMark/>
          </w:tcPr>
          <w:p w14:paraId="14FA3812"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700</w:t>
            </w:r>
          </w:p>
        </w:tc>
      </w:tr>
      <w:tr w:rsidR="009E7A4B" w:rsidRPr="009E7A4B" w14:paraId="2FBF9C20" w14:textId="77777777" w:rsidTr="0004693C">
        <w:trPr>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385785EE" w14:textId="77777777" w:rsidR="009E7A4B" w:rsidRPr="009E7A4B" w:rsidRDefault="009E7A4B" w:rsidP="009E7A4B">
            <w:pPr>
              <w:keepNext/>
              <w:spacing w:after="0" w:line="240" w:lineRule="auto"/>
              <w:rPr>
                <w:rFonts w:eastAsia="Times New Roman" w:cs="Arial"/>
                <w:color w:val="000000"/>
                <w:sz w:val="20"/>
                <w:szCs w:val="20"/>
                <w:lang w:eastAsia="en-AU"/>
              </w:rPr>
            </w:pPr>
            <w:r w:rsidRPr="009E7A4B">
              <w:rPr>
                <w:rFonts w:eastAsia="Times New Roman" w:cs="Arial"/>
                <w:color w:val="000000"/>
                <w:sz w:val="20"/>
                <w:szCs w:val="20"/>
                <w:lang w:eastAsia="en-AU"/>
              </w:rPr>
              <w:t>Capacity Building Daily Activities </w:t>
            </w:r>
          </w:p>
        </w:tc>
        <w:tc>
          <w:tcPr>
            <w:tcW w:w="992" w:type="dxa"/>
            <w:hideMark/>
          </w:tcPr>
          <w:p w14:paraId="10B9D980"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5,900</w:t>
            </w:r>
          </w:p>
        </w:tc>
        <w:tc>
          <w:tcPr>
            <w:tcW w:w="992" w:type="dxa"/>
            <w:hideMark/>
          </w:tcPr>
          <w:p w14:paraId="44D9B567"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6,200</w:t>
            </w:r>
          </w:p>
        </w:tc>
        <w:tc>
          <w:tcPr>
            <w:tcW w:w="1134" w:type="dxa"/>
            <w:hideMark/>
          </w:tcPr>
          <w:p w14:paraId="6F110935"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6,400</w:t>
            </w:r>
          </w:p>
        </w:tc>
        <w:tc>
          <w:tcPr>
            <w:tcW w:w="992" w:type="dxa"/>
            <w:hideMark/>
          </w:tcPr>
          <w:p w14:paraId="7B9B1975"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7,200</w:t>
            </w:r>
          </w:p>
        </w:tc>
        <w:tc>
          <w:tcPr>
            <w:tcW w:w="1088" w:type="dxa"/>
            <w:hideMark/>
          </w:tcPr>
          <w:p w14:paraId="082C8A3B"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7,900</w:t>
            </w:r>
          </w:p>
        </w:tc>
      </w:tr>
      <w:tr w:rsidR="009E7A4B" w:rsidRPr="009E7A4B" w14:paraId="02CDF4BF" w14:textId="77777777" w:rsidTr="0004693C">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64D55549" w14:textId="77777777" w:rsidR="009E7A4B" w:rsidRPr="009E7A4B" w:rsidRDefault="009E7A4B" w:rsidP="009E7A4B">
            <w:pPr>
              <w:keepNext/>
              <w:spacing w:after="0" w:line="240" w:lineRule="auto"/>
              <w:rPr>
                <w:rFonts w:eastAsia="Times New Roman" w:cs="Arial"/>
                <w:color w:val="000000"/>
                <w:sz w:val="20"/>
                <w:szCs w:val="20"/>
                <w:lang w:eastAsia="en-AU"/>
              </w:rPr>
            </w:pPr>
            <w:r w:rsidRPr="009E7A4B">
              <w:rPr>
                <w:rFonts w:eastAsia="Times New Roman" w:cs="Arial"/>
                <w:color w:val="000000"/>
                <w:sz w:val="20"/>
                <w:szCs w:val="20"/>
                <w:lang w:eastAsia="en-AU"/>
              </w:rPr>
              <w:t>Employment </w:t>
            </w:r>
          </w:p>
        </w:tc>
        <w:tc>
          <w:tcPr>
            <w:tcW w:w="992" w:type="dxa"/>
            <w:hideMark/>
          </w:tcPr>
          <w:p w14:paraId="6735AD4E"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100</w:t>
            </w:r>
          </w:p>
        </w:tc>
        <w:tc>
          <w:tcPr>
            <w:tcW w:w="992" w:type="dxa"/>
            <w:hideMark/>
          </w:tcPr>
          <w:p w14:paraId="114676BC"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100</w:t>
            </w:r>
          </w:p>
        </w:tc>
        <w:tc>
          <w:tcPr>
            <w:tcW w:w="1134" w:type="dxa"/>
            <w:hideMark/>
          </w:tcPr>
          <w:p w14:paraId="5745C544"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100</w:t>
            </w:r>
          </w:p>
        </w:tc>
        <w:tc>
          <w:tcPr>
            <w:tcW w:w="992" w:type="dxa"/>
            <w:hideMark/>
          </w:tcPr>
          <w:p w14:paraId="2AAD99AC"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0</w:t>
            </w:r>
          </w:p>
        </w:tc>
        <w:tc>
          <w:tcPr>
            <w:tcW w:w="1088" w:type="dxa"/>
            <w:hideMark/>
          </w:tcPr>
          <w:p w14:paraId="60ED1866"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300</w:t>
            </w:r>
          </w:p>
        </w:tc>
      </w:tr>
      <w:tr w:rsidR="009E7A4B" w:rsidRPr="009E7A4B" w14:paraId="55E7DDAF" w14:textId="77777777" w:rsidTr="0004693C">
        <w:trPr>
          <w:trHeight w:hRule="exact" w:val="301"/>
        </w:trPr>
        <w:tc>
          <w:tcPr>
            <w:cnfStyle w:val="001000000000" w:firstRow="0" w:lastRow="0" w:firstColumn="1" w:lastColumn="0" w:oddVBand="0" w:evenVBand="0" w:oddHBand="0" w:evenHBand="0" w:firstRowFirstColumn="0" w:firstRowLastColumn="0" w:lastRowFirstColumn="0" w:lastRowLastColumn="0"/>
            <w:tcW w:w="3823" w:type="dxa"/>
            <w:hideMark/>
          </w:tcPr>
          <w:p w14:paraId="3233083F" w14:textId="77777777" w:rsidR="009E7A4B" w:rsidRPr="009E7A4B" w:rsidRDefault="009E7A4B" w:rsidP="009E7A4B">
            <w:pPr>
              <w:keepNext/>
              <w:spacing w:after="0" w:line="240" w:lineRule="auto"/>
              <w:rPr>
                <w:rFonts w:eastAsia="Times New Roman" w:cs="Arial"/>
                <w:color w:val="000000"/>
                <w:sz w:val="20"/>
                <w:szCs w:val="20"/>
                <w:lang w:eastAsia="en-AU"/>
              </w:rPr>
            </w:pPr>
            <w:r w:rsidRPr="009E7A4B">
              <w:rPr>
                <w:rFonts w:eastAsia="Times New Roman" w:cs="Arial"/>
                <w:color w:val="000000"/>
                <w:sz w:val="20"/>
                <w:szCs w:val="20"/>
                <w:lang w:eastAsia="en-AU"/>
              </w:rPr>
              <w:t>Support Coordination </w:t>
            </w:r>
          </w:p>
        </w:tc>
        <w:tc>
          <w:tcPr>
            <w:tcW w:w="992" w:type="dxa"/>
            <w:hideMark/>
          </w:tcPr>
          <w:p w14:paraId="6AD02FF4"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3,400</w:t>
            </w:r>
          </w:p>
        </w:tc>
        <w:tc>
          <w:tcPr>
            <w:tcW w:w="992" w:type="dxa"/>
            <w:hideMark/>
          </w:tcPr>
          <w:p w14:paraId="4FCC9708"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3,600</w:t>
            </w:r>
          </w:p>
        </w:tc>
        <w:tc>
          <w:tcPr>
            <w:tcW w:w="1134" w:type="dxa"/>
            <w:hideMark/>
          </w:tcPr>
          <w:p w14:paraId="76CADD41"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3,500</w:t>
            </w:r>
          </w:p>
        </w:tc>
        <w:tc>
          <w:tcPr>
            <w:tcW w:w="992" w:type="dxa"/>
            <w:hideMark/>
          </w:tcPr>
          <w:p w14:paraId="5F96EE2A"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3,600</w:t>
            </w:r>
          </w:p>
        </w:tc>
        <w:tc>
          <w:tcPr>
            <w:tcW w:w="1088" w:type="dxa"/>
            <w:hideMark/>
          </w:tcPr>
          <w:p w14:paraId="3C3B9C4C"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1,900</w:t>
            </w:r>
          </w:p>
        </w:tc>
      </w:tr>
      <w:tr w:rsidR="009E7A4B" w:rsidRPr="009E7A4B" w14:paraId="6F7097B1" w14:textId="77777777" w:rsidTr="0004693C">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823" w:type="dxa"/>
            <w:tcBorders>
              <w:bottom w:val="single" w:sz="4" w:space="0" w:color="auto"/>
            </w:tcBorders>
            <w:hideMark/>
          </w:tcPr>
          <w:p w14:paraId="3B3066C1" w14:textId="77777777" w:rsidR="009E7A4B" w:rsidRPr="009E7A4B" w:rsidRDefault="009E7A4B" w:rsidP="009E7A4B">
            <w:pPr>
              <w:keepNext/>
              <w:spacing w:after="0" w:line="240" w:lineRule="auto"/>
              <w:rPr>
                <w:rFonts w:eastAsia="Times New Roman" w:cs="Arial"/>
                <w:color w:val="000000"/>
                <w:sz w:val="20"/>
                <w:szCs w:val="20"/>
                <w:lang w:eastAsia="en-AU"/>
              </w:rPr>
            </w:pPr>
            <w:r w:rsidRPr="009E7A4B">
              <w:rPr>
                <w:rFonts w:eastAsia="Times New Roman" w:cs="Arial"/>
                <w:color w:val="000000"/>
                <w:sz w:val="20"/>
                <w:szCs w:val="20"/>
                <w:lang w:eastAsia="en-AU"/>
              </w:rPr>
              <w:t>Remaining Capacity Building </w:t>
            </w:r>
          </w:p>
        </w:tc>
        <w:tc>
          <w:tcPr>
            <w:tcW w:w="992" w:type="dxa"/>
            <w:tcBorders>
              <w:bottom w:val="single" w:sz="4" w:space="0" w:color="auto"/>
            </w:tcBorders>
            <w:hideMark/>
          </w:tcPr>
          <w:p w14:paraId="4AE2CE55"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3,100</w:t>
            </w:r>
          </w:p>
        </w:tc>
        <w:tc>
          <w:tcPr>
            <w:tcW w:w="992" w:type="dxa"/>
            <w:tcBorders>
              <w:bottom w:val="single" w:sz="4" w:space="0" w:color="auto"/>
            </w:tcBorders>
            <w:hideMark/>
          </w:tcPr>
          <w:p w14:paraId="7A127302"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2,900</w:t>
            </w:r>
          </w:p>
        </w:tc>
        <w:tc>
          <w:tcPr>
            <w:tcW w:w="1134" w:type="dxa"/>
            <w:tcBorders>
              <w:bottom w:val="single" w:sz="4" w:space="0" w:color="auto"/>
            </w:tcBorders>
            <w:hideMark/>
          </w:tcPr>
          <w:p w14:paraId="30D315A7"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2,600</w:t>
            </w:r>
          </w:p>
        </w:tc>
        <w:tc>
          <w:tcPr>
            <w:tcW w:w="992" w:type="dxa"/>
            <w:tcBorders>
              <w:bottom w:val="single" w:sz="4" w:space="0" w:color="auto"/>
            </w:tcBorders>
            <w:hideMark/>
          </w:tcPr>
          <w:p w14:paraId="2CF2804F"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2,700</w:t>
            </w:r>
          </w:p>
        </w:tc>
        <w:tc>
          <w:tcPr>
            <w:tcW w:w="1088" w:type="dxa"/>
            <w:tcBorders>
              <w:bottom w:val="single" w:sz="4" w:space="0" w:color="auto"/>
            </w:tcBorders>
            <w:hideMark/>
          </w:tcPr>
          <w:p w14:paraId="6E312BF7" w14:textId="77777777" w:rsidR="009E7A4B" w:rsidRPr="009E7A4B" w:rsidRDefault="009E7A4B" w:rsidP="009E7A4B">
            <w:pPr>
              <w:keepNext/>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E7A4B">
              <w:rPr>
                <w:rFonts w:cs="Arial"/>
                <w:color w:val="000000"/>
                <w:sz w:val="20"/>
                <w:szCs w:val="20"/>
                <w:lang w:eastAsia="zh-CN"/>
              </w:rPr>
              <w:t>2,500</w:t>
            </w:r>
          </w:p>
        </w:tc>
      </w:tr>
      <w:tr w:rsidR="009E7A4B" w:rsidRPr="009E7A4B" w14:paraId="48F8C8D2" w14:textId="77777777" w:rsidTr="0004693C">
        <w:trPr>
          <w:trHeight w:hRule="exact" w:val="301"/>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auto"/>
              <w:bottom w:val="single" w:sz="4" w:space="0" w:color="auto"/>
            </w:tcBorders>
            <w:shd w:val="clear" w:color="auto" w:fill="D4C5D7"/>
            <w:hideMark/>
          </w:tcPr>
          <w:p w14:paraId="4D784FF8" w14:textId="77777777" w:rsidR="009E7A4B" w:rsidRPr="009E7A4B" w:rsidRDefault="009E7A4B" w:rsidP="009E7A4B">
            <w:pPr>
              <w:keepNext/>
              <w:spacing w:after="0" w:line="240" w:lineRule="auto"/>
              <w:rPr>
                <w:rFonts w:eastAsia="Times New Roman" w:cs="Arial"/>
                <w:b/>
                <w:bCs/>
                <w:color w:val="000000"/>
                <w:sz w:val="20"/>
                <w:szCs w:val="20"/>
                <w:lang w:eastAsia="en-AU"/>
              </w:rPr>
            </w:pPr>
            <w:r w:rsidRPr="009E7A4B">
              <w:rPr>
                <w:rFonts w:eastAsia="Times New Roman" w:cs="Arial"/>
                <w:b/>
                <w:bCs/>
                <w:color w:val="000000"/>
                <w:sz w:val="20"/>
                <w:szCs w:val="20"/>
                <w:lang w:eastAsia="en-AU"/>
              </w:rPr>
              <w:t>Total</w:t>
            </w:r>
            <w:r w:rsidRPr="009E7A4B">
              <w:rPr>
                <w:rFonts w:eastAsia="Times New Roman" w:cs="Arial"/>
                <w:b/>
                <w:color w:val="000000"/>
                <w:sz w:val="20"/>
                <w:szCs w:val="20"/>
                <w:lang w:eastAsia="en-AU"/>
              </w:rPr>
              <w:t> </w:t>
            </w:r>
          </w:p>
        </w:tc>
        <w:tc>
          <w:tcPr>
            <w:tcW w:w="992" w:type="dxa"/>
            <w:tcBorders>
              <w:top w:val="single" w:sz="4" w:space="0" w:color="auto"/>
              <w:bottom w:val="single" w:sz="4" w:space="0" w:color="auto"/>
            </w:tcBorders>
            <w:shd w:val="clear" w:color="auto" w:fill="D4C5D7"/>
            <w:hideMark/>
          </w:tcPr>
          <w:p w14:paraId="1BA0C1E0"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9E7A4B">
              <w:rPr>
                <w:rFonts w:cs="Arial"/>
                <w:b/>
                <w:bCs/>
                <w:color w:val="000000"/>
                <w:sz w:val="20"/>
                <w:szCs w:val="20"/>
                <w:lang w:eastAsia="zh-CN"/>
              </w:rPr>
              <w:t>117,800</w:t>
            </w:r>
          </w:p>
        </w:tc>
        <w:tc>
          <w:tcPr>
            <w:tcW w:w="992" w:type="dxa"/>
            <w:tcBorders>
              <w:top w:val="single" w:sz="4" w:space="0" w:color="auto"/>
              <w:bottom w:val="single" w:sz="4" w:space="0" w:color="auto"/>
            </w:tcBorders>
            <w:shd w:val="clear" w:color="auto" w:fill="D4C5D7"/>
            <w:hideMark/>
          </w:tcPr>
          <w:p w14:paraId="013A6D9E"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9E7A4B">
              <w:rPr>
                <w:rFonts w:cs="Arial"/>
                <w:b/>
                <w:bCs/>
                <w:color w:val="000000"/>
                <w:sz w:val="20"/>
                <w:szCs w:val="20"/>
                <w:lang w:eastAsia="zh-CN"/>
              </w:rPr>
              <w:t>116,200</w:t>
            </w:r>
          </w:p>
        </w:tc>
        <w:tc>
          <w:tcPr>
            <w:tcW w:w="1134" w:type="dxa"/>
            <w:tcBorders>
              <w:top w:val="single" w:sz="4" w:space="0" w:color="auto"/>
              <w:bottom w:val="single" w:sz="4" w:space="0" w:color="auto"/>
            </w:tcBorders>
            <w:shd w:val="clear" w:color="auto" w:fill="D4C5D7"/>
            <w:hideMark/>
          </w:tcPr>
          <w:p w14:paraId="398C0590"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9E7A4B">
              <w:rPr>
                <w:rFonts w:cs="Arial"/>
                <w:b/>
                <w:bCs/>
                <w:color w:val="000000"/>
                <w:sz w:val="20"/>
                <w:szCs w:val="20"/>
                <w:lang w:eastAsia="zh-CN"/>
              </w:rPr>
              <w:t>116,000</w:t>
            </w:r>
          </w:p>
        </w:tc>
        <w:tc>
          <w:tcPr>
            <w:tcW w:w="992" w:type="dxa"/>
            <w:tcBorders>
              <w:top w:val="single" w:sz="4" w:space="0" w:color="auto"/>
              <w:bottom w:val="single" w:sz="4" w:space="0" w:color="auto"/>
            </w:tcBorders>
            <w:shd w:val="clear" w:color="auto" w:fill="D4C5D7"/>
            <w:hideMark/>
          </w:tcPr>
          <w:p w14:paraId="4BBE43DF"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9E7A4B">
              <w:rPr>
                <w:rFonts w:cs="Arial"/>
                <w:b/>
                <w:bCs/>
                <w:color w:val="000000"/>
                <w:sz w:val="20"/>
                <w:szCs w:val="20"/>
                <w:lang w:eastAsia="zh-CN"/>
              </w:rPr>
              <w:t>124,500</w:t>
            </w:r>
          </w:p>
        </w:tc>
        <w:tc>
          <w:tcPr>
            <w:tcW w:w="1088" w:type="dxa"/>
            <w:tcBorders>
              <w:top w:val="single" w:sz="4" w:space="0" w:color="auto"/>
              <w:bottom w:val="single" w:sz="4" w:space="0" w:color="auto"/>
            </w:tcBorders>
            <w:shd w:val="clear" w:color="auto" w:fill="D4C5D7"/>
            <w:hideMark/>
          </w:tcPr>
          <w:p w14:paraId="5D3EB028" w14:textId="77777777" w:rsidR="009E7A4B" w:rsidRPr="009E7A4B" w:rsidRDefault="009E7A4B" w:rsidP="009E7A4B">
            <w:pPr>
              <w:keepNext/>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9E7A4B">
              <w:rPr>
                <w:rFonts w:cs="Arial"/>
                <w:b/>
                <w:bCs/>
                <w:color w:val="000000"/>
                <w:sz w:val="20"/>
                <w:szCs w:val="20"/>
                <w:lang w:eastAsia="zh-CN"/>
              </w:rPr>
              <w:t>69,100</w:t>
            </w:r>
          </w:p>
        </w:tc>
      </w:tr>
    </w:tbl>
    <w:p w14:paraId="0B3CF569" w14:textId="77777777" w:rsidR="00BF7697" w:rsidRDefault="00BF7697" w:rsidP="00BF7697">
      <w:pPr>
        <w:pStyle w:val="FSRnormal"/>
        <w:rPr>
          <w:rFonts w:eastAsia="Times New Roman"/>
          <w:lang w:eastAsia="en-AU"/>
        </w:rPr>
      </w:pPr>
      <w:r>
        <w:t>Consistent with current payment</w:t>
      </w:r>
      <w:r w:rsidR="00245123">
        <w:t xml:space="preserve"> experience,</w:t>
      </w:r>
      <w:r>
        <w:t xml:space="preserve"> </w:t>
      </w:r>
      <w:r w:rsidR="000F7D23" w:rsidRPr="00164A79">
        <w:t xml:space="preserve">Table </w:t>
      </w:r>
      <w:r w:rsidR="000F7D23">
        <w:rPr>
          <w:noProof/>
        </w:rPr>
        <w:t>5</w:t>
      </w:r>
      <w:r w:rsidR="000F7D23">
        <w:t>.</w:t>
      </w:r>
      <w:r w:rsidR="000F7D23">
        <w:rPr>
          <w:noProof/>
        </w:rPr>
        <w:t>28</w:t>
      </w:r>
      <w:r>
        <w:rPr>
          <w:rFonts w:eastAsia="Times New Roman"/>
          <w:lang w:eastAsia="en-AU"/>
        </w:rPr>
        <w:t xml:space="preserve"> shows that:</w:t>
      </w:r>
    </w:p>
    <w:p w14:paraId="3C9F7DCF" w14:textId="77777777" w:rsidR="00BF7697" w:rsidRDefault="00BF7697" w:rsidP="00BF7697">
      <w:pPr>
        <w:pStyle w:val="FSRlist"/>
        <w:rPr>
          <w:lang w:eastAsia="en-AU"/>
        </w:rPr>
      </w:pPr>
      <w:r w:rsidRPr="1282B838">
        <w:rPr>
          <w:lang w:eastAsia="en-AU"/>
        </w:rPr>
        <w:t>At Scheme level, average payments per participant for Core Daily Activities and Social Community &amp; Civic are the largest by support category at about $37,</w:t>
      </w:r>
      <w:r w:rsidR="00064453">
        <w:rPr>
          <w:lang w:eastAsia="en-AU"/>
        </w:rPr>
        <w:t>5</w:t>
      </w:r>
      <w:r w:rsidRPr="1282B838">
        <w:rPr>
          <w:lang w:eastAsia="en-AU"/>
        </w:rPr>
        <w:t>00 and $13,</w:t>
      </w:r>
      <w:r w:rsidR="00064453">
        <w:rPr>
          <w:lang w:eastAsia="en-AU"/>
        </w:rPr>
        <w:t>6</w:t>
      </w:r>
      <w:r w:rsidRPr="1282B838">
        <w:rPr>
          <w:lang w:eastAsia="en-AU"/>
        </w:rPr>
        <w:t xml:space="preserve">00, respectively. </w:t>
      </w:r>
    </w:p>
    <w:p w14:paraId="4DAA3EAC" w14:textId="77777777" w:rsidR="00BF7697" w:rsidRDefault="00BF7697" w:rsidP="00BF7697">
      <w:pPr>
        <w:pStyle w:val="FSRlist"/>
        <w:rPr>
          <w:lang w:eastAsia="en-AU"/>
        </w:rPr>
      </w:pPr>
      <w:r w:rsidRPr="1282B838">
        <w:rPr>
          <w:lang w:eastAsia="en-AU"/>
        </w:rPr>
        <w:t xml:space="preserve">These two support categories have high averages as they are </w:t>
      </w:r>
      <w:r w:rsidR="008A42F9">
        <w:rPr>
          <w:lang w:eastAsia="en-AU"/>
        </w:rPr>
        <w:t xml:space="preserve">expected to comprise </w:t>
      </w:r>
      <w:r w:rsidRPr="1282B838">
        <w:rPr>
          <w:lang w:eastAsia="en-AU"/>
        </w:rPr>
        <w:t>over 70% of total payments by 2025-26</w:t>
      </w:r>
      <w:r w:rsidR="00687259">
        <w:rPr>
          <w:lang w:eastAsia="en-AU"/>
        </w:rPr>
        <w:t xml:space="preserve"> </w:t>
      </w:r>
      <w:r w:rsidRPr="1282B838">
        <w:rPr>
          <w:lang w:eastAsia="en-AU"/>
        </w:rPr>
        <w:t xml:space="preserve">and are </w:t>
      </w:r>
      <w:r w:rsidR="007E760F">
        <w:rPr>
          <w:lang w:eastAsia="en-AU"/>
        </w:rPr>
        <w:t xml:space="preserve">utilised </w:t>
      </w:r>
      <w:r w:rsidRPr="1282B838">
        <w:rPr>
          <w:lang w:eastAsia="en-AU"/>
        </w:rPr>
        <w:t xml:space="preserve">by </w:t>
      </w:r>
      <w:r w:rsidR="007E760F">
        <w:rPr>
          <w:lang w:eastAsia="en-AU"/>
        </w:rPr>
        <w:t xml:space="preserve">participants across </w:t>
      </w:r>
      <w:r w:rsidRPr="1282B838">
        <w:rPr>
          <w:lang w:eastAsia="en-AU"/>
        </w:rPr>
        <w:t>most disabilit</w:t>
      </w:r>
      <w:r w:rsidR="00457995">
        <w:rPr>
          <w:lang w:eastAsia="en-AU"/>
        </w:rPr>
        <w:t>y</w:t>
      </w:r>
      <w:r w:rsidR="007E760F">
        <w:rPr>
          <w:lang w:eastAsia="en-AU"/>
        </w:rPr>
        <w:t xml:space="preserve"> groups</w:t>
      </w:r>
      <w:r w:rsidRPr="1282B838">
        <w:rPr>
          <w:lang w:eastAsia="en-AU"/>
        </w:rPr>
        <w:t>, especially at ages over 18.</w:t>
      </w:r>
    </w:p>
    <w:p w14:paraId="17332979" w14:textId="77777777" w:rsidR="00BF7697" w:rsidRDefault="00BF7697" w:rsidP="00BF7697">
      <w:pPr>
        <w:pStyle w:val="FSRlist"/>
        <w:rPr>
          <w:lang w:eastAsia="en-AU"/>
        </w:rPr>
      </w:pPr>
      <w:r w:rsidRPr="1282B838">
        <w:rPr>
          <w:lang w:eastAsia="en-AU"/>
        </w:rPr>
        <w:t xml:space="preserve">However, for participants aged 0 to 14 years, Capacity Building Daily Activities is the largest support category by average </w:t>
      </w:r>
      <w:r>
        <w:rPr>
          <w:lang w:eastAsia="en-AU"/>
        </w:rPr>
        <w:t>payment</w:t>
      </w:r>
      <w:r w:rsidRPr="1282B838">
        <w:rPr>
          <w:lang w:eastAsia="en-AU"/>
        </w:rPr>
        <w:t>.</w:t>
      </w:r>
    </w:p>
    <w:p w14:paraId="20CACA65" w14:textId="77777777" w:rsidR="00BF7697" w:rsidRDefault="00BF7697" w:rsidP="00BF7697">
      <w:pPr>
        <w:spacing w:after="160" w:line="259" w:lineRule="auto"/>
      </w:pPr>
      <w:r>
        <w:br w:type="page"/>
      </w:r>
    </w:p>
    <w:p w14:paraId="1EC34A74" w14:textId="77777777" w:rsidR="00BF7697" w:rsidRDefault="00BF7697" w:rsidP="00BF7697">
      <w:pPr>
        <w:pStyle w:val="Heading3"/>
        <w:ind w:left="792" w:hanging="792"/>
      </w:pPr>
      <w:bookmarkStart w:id="246" w:name="_Toc75034648"/>
      <w:bookmarkStart w:id="247" w:name="_Toc75035705"/>
      <w:bookmarkStart w:id="248" w:name="_Toc75036694"/>
      <w:bookmarkStart w:id="249" w:name="_Toc118460207"/>
      <w:bookmarkEnd w:id="246"/>
      <w:bookmarkEnd w:id="247"/>
      <w:bookmarkEnd w:id="248"/>
      <w:r>
        <w:lastRenderedPageBreak/>
        <w:t>Operating expenses</w:t>
      </w:r>
      <w:bookmarkEnd w:id="249"/>
      <w:r>
        <w:t xml:space="preserve"> </w:t>
      </w:r>
    </w:p>
    <w:p w14:paraId="450BFBBD" w14:textId="77777777" w:rsidR="00BF7697" w:rsidRDefault="00BF7697" w:rsidP="00BF7697">
      <w:pPr>
        <w:pStyle w:val="FSRnormal"/>
      </w:pPr>
      <w:r>
        <w:t xml:space="preserve">The Agency maintains a detailed activity-based costing </w:t>
      </w:r>
      <w:r w:rsidR="00F31EB8">
        <w:t xml:space="preserve">model representing </w:t>
      </w:r>
      <w:r>
        <w:t xml:space="preserve">its operations. The operating </w:t>
      </w:r>
      <w:r w:rsidRPr="00D124C1">
        <w:t xml:space="preserve">expenses adopted in this AFSR are based on this internal </w:t>
      </w:r>
      <w:r>
        <w:t>model</w:t>
      </w:r>
      <w:r w:rsidRPr="00D124C1">
        <w:t>.</w:t>
      </w:r>
      <w:r>
        <w:t xml:space="preserve"> In 2021-22 actual operating expenses (at $1</w:t>
      </w:r>
      <w:r w:rsidR="00F31EB8">
        <w:t>,590 million</w:t>
      </w:r>
      <w:r>
        <w:t>) were lower than budgeted in the PBS by $</w:t>
      </w:r>
      <w:r w:rsidR="008D3E6E">
        <w:t>83</w:t>
      </w:r>
      <w:r>
        <w:t xml:space="preserve"> million, or 4.</w:t>
      </w:r>
      <w:r w:rsidR="008D3E6E">
        <w:t>9</w:t>
      </w:r>
      <w:r>
        <w:t>% (</w:t>
      </w:r>
      <w:r w:rsidR="008D3E6E">
        <w:t xml:space="preserve">Table </w:t>
      </w:r>
      <w:r w:rsidR="008D3E6E">
        <w:rPr>
          <w:noProof/>
        </w:rPr>
        <w:t>5</w:t>
      </w:r>
      <w:r w:rsidR="008D3E6E">
        <w:t>.</w:t>
      </w:r>
      <w:r w:rsidR="008D3E6E">
        <w:rPr>
          <w:noProof/>
        </w:rPr>
        <w:t>29</w:t>
      </w:r>
      <w:r>
        <w:t xml:space="preserve">). In 2021-22 operating </w:t>
      </w:r>
      <w:r w:rsidR="00632122">
        <w:t>expense</w:t>
      </w:r>
      <w:r>
        <w:t xml:space="preserve">s represented 5.6% of </w:t>
      </w:r>
      <w:r w:rsidR="002B670C">
        <w:t>Scheme expense</w:t>
      </w:r>
      <w:r>
        <w:t xml:space="preserve">, which is lower than the 2020-21 result of 6.3% of </w:t>
      </w:r>
      <w:r w:rsidR="002B670C">
        <w:t>Scheme expense</w:t>
      </w:r>
      <w:r>
        <w:t xml:space="preserve">. </w:t>
      </w:r>
    </w:p>
    <w:p w14:paraId="77C552F4" w14:textId="77777777" w:rsidR="00BF7697" w:rsidRDefault="00BF7697" w:rsidP="00BF7697">
      <w:pPr>
        <w:pStyle w:val="Tables"/>
      </w:pPr>
      <w:bookmarkStart w:id="250" w:name="_Ref111637255"/>
      <w:bookmarkStart w:id="251" w:name="_Ref111902300"/>
      <w:r>
        <w:t xml:space="preserve">Table </w:t>
      </w:r>
      <w:bookmarkEnd w:id="250"/>
      <w:r w:rsidR="00A87896">
        <w:fldChar w:fldCharType="begin"/>
      </w:r>
      <w:r w:rsidR="00A87896">
        <w:instrText xml:space="preserve"> STYLEREF 2 \s </w:instrText>
      </w:r>
      <w:r w:rsidR="00A87896">
        <w:fldChar w:fldCharType="separate"/>
      </w:r>
      <w:r w:rsidR="00A87896">
        <w:rPr>
          <w:noProof/>
        </w:rPr>
        <w:t>5</w:t>
      </w:r>
      <w:r w:rsidR="00A87896">
        <w:fldChar w:fldCharType="end"/>
      </w:r>
      <w:r w:rsidR="00A87896">
        <w:t>.</w:t>
      </w:r>
      <w:fldSimple w:instr=" SEQ Table \* ARABIC \s 2 ">
        <w:r w:rsidR="00A87896">
          <w:rPr>
            <w:noProof/>
          </w:rPr>
          <w:t>29</w:t>
        </w:r>
      </w:fldSimple>
      <w:bookmarkEnd w:id="251"/>
      <w:r>
        <w:t>: Actual operating expenses compared to expectations for 2021-22</w:t>
      </w:r>
    </w:p>
    <w:tbl>
      <w:tblPr>
        <w:tblStyle w:val="FSRtable"/>
        <w:tblW w:w="0" w:type="auto"/>
        <w:tblInd w:w="5" w:type="dxa"/>
        <w:tblLook w:val="04A0" w:firstRow="1" w:lastRow="0" w:firstColumn="1" w:lastColumn="0" w:noHBand="0" w:noVBand="1"/>
      </w:tblPr>
      <w:tblGrid>
        <w:gridCol w:w="4618"/>
        <w:gridCol w:w="1473"/>
      </w:tblGrid>
      <w:tr w:rsidR="00BF7697" w:rsidRPr="00E27C87" w14:paraId="4F084DFC" w14:textId="77777777" w:rsidTr="009E7A4B">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noWrap/>
            <w:hideMark/>
          </w:tcPr>
          <w:p w14:paraId="680C5DEA" w14:textId="77777777" w:rsidR="00BF7697" w:rsidRPr="00E27C87" w:rsidRDefault="00BF7697" w:rsidP="00B17C79">
            <w:pPr>
              <w:spacing w:after="0" w:line="240" w:lineRule="auto"/>
              <w:rPr>
                <w:rFonts w:eastAsia="Times New Roman"/>
                <w:b w:val="0"/>
                <w:bCs/>
                <w:color w:val="FFFFFF"/>
                <w:sz w:val="20"/>
                <w:szCs w:val="20"/>
                <w:lang w:eastAsia="en-AU"/>
              </w:rPr>
            </w:pPr>
            <w:r w:rsidRPr="00E27C87">
              <w:rPr>
                <w:rFonts w:eastAsia="Times New Roman"/>
                <w:bCs/>
                <w:color w:val="FFFFFF"/>
                <w:sz w:val="20"/>
                <w:szCs w:val="20"/>
                <w:lang w:eastAsia="en-AU"/>
              </w:rPr>
              <w:t>Operating expenses - full year to 30 June 2022</w:t>
            </w:r>
          </w:p>
        </w:tc>
        <w:tc>
          <w:tcPr>
            <w:tcW w:w="1473" w:type="dxa"/>
            <w:tcBorders>
              <w:top w:val="nil"/>
              <w:bottom w:val="nil"/>
            </w:tcBorders>
            <w:noWrap/>
            <w:hideMark/>
          </w:tcPr>
          <w:p w14:paraId="3D7BBCD7" w14:textId="77777777" w:rsidR="00BF7697" w:rsidRPr="00E27C87" w:rsidRDefault="00BF7697" w:rsidP="00B17C79">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lang w:eastAsia="en-AU"/>
              </w:rPr>
            </w:pPr>
            <w:r w:rsidRPr="00E27C87">
              <w:rPr>
                <w:rFonts w:eastAsia="Times New Roman"/>
                <w:bCs/>
                <w:color w:val="FFFFFF"/>
                <w:sz w:val="20"/>
                <w:szCs w:val="20"/>
                <w:lang w:eastAsia="en-AU"/>
              </w:rPr>
              <w:t>$m</w:t>
            </w:r>
          </w:p>
        </w:tc>
      </w:tr>
      <w:tr w:rsidR="00BF7697" w:rsidRPr="00E27C87" w14:paraId="72B36622" w14:textId="77777777" w:rsidTr="00B17C79">
        <w:trPr>
          <w:trHeight w:val="285"/>
        </w:trPr>
        <w:tc>
          <w:tcPr>
            <w:cnfStyle w:val="001000000000" w:firstRow="0" w:lastRow="0" w:firstColumn="1" w:lastColumn="0" w:oddVBand="0" w:evenVBand="0" w:oddHBand="0" w:evenHBand="0" w:firstRowFirstColumn="0" w:firstRowLastColumn="0" w:lastRowFirstColumn="0" w:lastRowLastColumn="0"/>
            <w:tcW w:w="0" w:type="auto"/>
            <w:tcBorders>
              <w:top w:val="nil"/>
            </w:tcBorders>
            <w:noWrap/>
            <w:hideMark/>
          </w:tcPr>
          <w:p w14:paraId="0CA49A23" w14:textId="77777777" w:rsidR="00BF7697" w:rsidRPr="00E27C87" w:rsidRDefault="00BF7697" w:rsidP="00B17C79">
            <w:pPr>
              <w:spacing w:after="0" w:line="240" w:lineRule="auto"/>
              <w:rPr>
                <w:rFonts w:eastAsia="Times New Roman" w:cs="Arial"/>
                <w:color w:val="000000"/>
                <w:sz w:val="20"/>
                <w:szCs w:val="20"/>
                <w:lang w:eastAsia="en-AU"/>
              </w:rPr>
            </w:pPr>
            <w:r w:rsidRPr="00E27C87">
              <w:rPr>
                <w:rFonts w:eastAsia="Times New Roman" w:cs="Arial"/>
                <w:color w:val="000000"/>
                <w:sz w:val="20"/>
                <w:szCs w:val="20"/>
                <w:lang w:eastAsia="en-AU"/>
              </w:rPr>
              <w:t>Actual</w:t>
            </w:r>
          </w:p>
        </w:tc>
        <w:tc>
          <w:tcPr>
            <w:tcW w:w="1473" w:type="dxa"/>
            <w:tcBorders>
              <w:top w:val="nil"/>
            </w:tcBorders>
            <w:noWrap/>
            <w:hideMark/>
          </w:tcPr>
          <w:p w14:paraId="21B9DF2C" w14:textId="77777777" w:rsidR="00BF7697" w:rsidRPr="00E27C87" w:rsidRDefault="00BF76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E27C87">
              <w:rPr>
                <w:rFonts w:eastAsia="Times New Roman" w:cs="Arial"/>
                <w:color w:val="000000"/>
                <w:sz w:val="20"/>
                <w:szCs w:val="20"/>
                <w:lang w:eastAsia="en-AU"/>
              </w:rPr>
              <w:t>1,5</w:t>
            </w:r>
            <w:r w:rsidR="008D3E6E">
              <w:rPr>
                <w:rFonts w:eastAsia="Times New Roman" w:cs="Arial"/>
                <w:color w:val="000000"/>
                <w:sz w:val="20"/>
                <w:szCs w:val="20"/>
                <w:lang w:eastAsia="en-AU"/>
              </w:rPr>
              <w:t>90</w:t>
            </w:r>
          </w:p>
        </w:tc>
      </w:tr>
      <w:tr w:rsidR="00BF7697" w:rsidRPr="00E27C87" w14:paraId="6E74B3B8" w14:textId="77777777" w:rsidTr="00DA3F73">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67622DAC" w14:textId="77777777" w:rsidR="00BF7697" w:rsidRPr="00E27C87" w:rsidRDefault="00BF7697" w:rsidP="00B17C79">
            <w:pPr>
              <w:spacing w:after="0" w:line="240" w:lineRule="auto"/>
              <w:rPr>
                <w:rFonts w:eastAsia="Times New Roman" w:cs="Arial"/>
                <w:color w:val="000000"/>
                <w:sz w:val="20"/>
                <w:szCs w:val="20"/>
                <w:lang w:eastAsia="en-AU"/>
              </w:rPr>
            </w:pPr>
            <w:r w:rsidRPr="00E27C87">
              <w:rPr>
                <w:rFonts w:eastAsia="Times New Roman" w:cs="Arial"/>
                <w:color w:val="000000"/>
                <w:sz w:val="20"/>
                <w:szCs w:val="20"/>
                <w:lang w:eastAsia="en-AU"/>
              </w:rPr>
              <w:t>Budget (from 2022-23 PBS)</w:t>
            </w:r>
          </w:p>
        </w:tc>
        <w:tc>
          <w:tcPr>
            <w:tcW w:w="1473" w:type="dxa"/>
            <w:tcBorders>
              <w:bottom w:val="nil"/>
            </w:tcBorders>
            <w:noWrap/>
            <w:hideMark/>
          </w:tcPr>
          <w:p w14:paraId="3C7EFB1F" w14:textId="77777777" w:rsidR="00BF7697" w:rsidRPr="00E27C87" w:rsidRDefault="00BF76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E27C87">
              <w:rPr>
                <w:rFonts w:eastAsia="Times New Roman" w:cs="Arial"/>
                <w:color w:val="000000"/>
                <w:sz w:val="20"/>
                <w:szCs w:val="20"/>
                <w:lang w:eastAsia="en-AU"/>
              </w:rPr>
              <w:t>1,6</w:t>
            </w:r>
            <w:r w:rsidR="008D3E6E">
              <w:rPr>
                <w:rFonts w:eastAsia="Times New Roman" w:cs="Arial"/>
                <w:color w:val="000000"/>
                <w:sz w:val="20"/>
                <w:szCs w:val="20"/>
                <w:lang w:eastAsia="en-AU"/>
              </w:rPr>
              <w:t>72</w:t>
            </w:r>
          </w:p>
        </w:tc>
      </w:tr>
      <w:tr w:rsidR="00BF7697" w:rsidRPr="00E27C87" w14:paraId="5545512F" w14:textId="77777777" w:rsidTr="00DA3F73">
        <w:trPr>
          <w:trHeight w:val="285"/>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noWrap/>
            <w:hideMark/>
          </w:tcPr>
          <w:p w14:paraId="0E1F836C" w14:textId="77777777" w:rsidR="00BF7697" w:rsidRPr="00E27C87" w:rsidRDefault="00BF7697" w:rsidP="00B17C79">
            <w:pPr>
              <w:spacing w:after="0" w:line="240" w:lineRule="auto"/>
              <w:rPr>
                <w:rFonts w:eastAsia="Times New Roman" w:cs="Arial"/>
                <w:color w:val="000000"/>
                <w:sz w:val="20"/>
                <w:szCs w:val="20"/>
                <w:lang w:eastAsia="en-AU"/>
              </w:rPr>
            </w:pPr>
            <w:r w:rsidRPr="00E27C87">
              <w:rPr>
                <w:rFonts w:eastAsia="Times New Roman" w:cs="Arial"/>
                <w:color w:val="000000"/>
                <w:sz w:val="20"/>
                <w:szCs w:val="20"/>
                <w:lang w:eastAsia="en-AU"/>
              </w:rPr>
              <w:t>Difference (Actual - Budget)</w:t>
            </w:r>
          </w:p>
        </w:tc>
        <w:tc>
          <w:tcPr>
            <w:tcW w:w="1473" w:type="dxa"/>
            <w:tcBorders>
              <w:top w:val="nil"/>
              <w:bottom w:val="single" w:sz="4" w:space="0" w:color="auto"/>
            </w:tcBorders>
            <w:noWrap/>
            <w:hideMark/>
          </w:tcPr>
          <w:p w14:paraId="6A017729" w14:textId="77777777" w:rsidR="00BF7697" w:rsidRPr="00E27C87" w:rsidRDefault="00BF76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E27C87">
              <w:rPr>
                <w:rFonts w:eastAsia="Times New Roman" w:cs="Arial"/>
                <w:color w:val="000000"/>
                <w:sz w:val="20"/>
                <w:szCs w:val="20"/>
                <w:lang w:eastAsia="en-AU"/>
              </w:rPr>
              <w:t>-</w:t>
            </w:r>
            <w:r w:rsidR="008D3E6E">
              <w:rPr>
                <w:rFonts w:eastAsia="Times New Roman" w:cs="Arial"/>
                <w:color w:val="000000"/>
                <w:sz w:val="20"/>
                <w:szCs w:val="20"/>
                <w:lang w:eastAsia="en-AU"/>
              </w:rPr>
              <w:t>83</w:t>
            </w:r>
          </w:p>
        </w:tc>
      </w:tr>
    </w:tbl>
    <w:p w14:paraId="5F486A7D" w14:textId="77777777" w:rsidR="00BF7697" w:rsidRPr="00E27C87" w:rsidRDefault="00BF7697" w:rsidP="00BF7697">
      <w:pPr>
        <w:pStyle w:val="FSRnormal"/>
      </w:pPr>
      <w:r w:rsidRPr="00E27C87">
        <w:t xml:space="preserve">Operating expenses, as a percentage of </w:t>
      </w:r>
      <w:r w:rsidR="002B670C">
        <w:t>Scheme expense</w:t>
      </w:r>
      <w:r w:rsidRPr="00E27C87">
        <w:t>, are projected to reduce over time, as the relative</w:t>
      </w:r>
      <w:r w:rsidR="00632122">
        <w:t xml:space="preserve"> expense</w:t>
      </w:r>
      <w:r w:rsidRPr="00E27C87">
        <w:t xml:space="preserve"> of bringing new participants into the Scheme is expected to reduce, and also because the average payment per participant is expected to increase at a faster rate than the inflation rate </w:t>
      </w:r>
      <w:r w:rsidR="004B1D75">
        <w:t xml:space="preserve">which is </w:t>
      </w:r>
      <w:r w:rsidRPr="00E27C87">
        <w:t xml:space="preserve">assumed to underpin the Scheme’s operating </w:t>
      </w:r>
      <w:r w:rsidR="00632122">
        <w:t>expense</w:t>
      </w:r>
      <w:r w:rsidRPr="00E27C87">
        <w:t>s (</w:t>
      </w:r>
      <w:r w:rsidR="000F7D23">
        <w:t xml:space="preserve">Table </w:t>
      </w:r>
      <w:r w:rsidR="000F7D23">
        <w:rPr>
          <w:noProof/>
        </w:rPr>
        <w:t>5</w:t>
      </w:r>
      <w:r w:rsidR="000F7D23">
        <w:t>.</w:t>
      </w:r>
      <w:r w:rsidR="000F7D23">
        <w:rPr>
          <w:noProof/>
        </w:rPr>
        <w:t>30</w:t>
      </w:r>
      <w:r w:rsidRPr="00E27C87">
        <w:t xml:space="preserve">). Operating </w:t>
      </w:r>
      <w:r w:rsidR="00632122">
        <w:t>expenses</w:t>
      </w:r>
      <w:r w:rsidR="00632122" w:rsidRPr="00E27C87">
        <w:t xml:space="preserve"> </w:t>
      </w:r>
      <w:r w:rsidRPr="00E27C87">
        <w:t xml:space="preserve">are </w:t>
      </w:r>
      <w:r w:rsidR="00632122">
        <w:t xml:space="preserve">projected </w:t>
      </w:r>
      <w:r w:rsidRPr="00E27C87">
        <w:t>to be 5</w:t>
      </w:r>
      <w:r>
        <w:t>.</w:t>
      </w:r>
      <w:r w:rsidR="008D3E6E">
        <w:t>2</w:t>
      </w:r>
      <w:r w:rsidRPr="00E27C87">
        <w:t xml:space="preserve">% of participant expenses in 2022-23, reducing to 4.2% in 2025-26, and </w:t>
      </w:r>
      <w:r>
        <w:t>3.4</w:t>
      </w:r>
      <w:r w:rsidRPr="005A4F44">
        <w:t>%</w:t>
      </w:r>
      <w:r w:rsidRPr="00E27C87">
        <w:t xml:space="preserve"> in 20</w:t>
      </w:r>
      <w:r>
        <w:t>29-30</w:t>
      </w:r>
      <w:r w:rsidRPr="00E27C87">
        <w:t>.</w:t>
      </w:r>
    </w:p>
    <w:p w14:paraId="782A2542" w14:textId="77777777" w:rsidR="00BF7697" w:rsidRPr="00F80E83" w:rsidRDefault="00BF7697" w:rsidP="00BF7697">
      <w:pPr>
        <w:pStyle w:val="Tables"/>
      </w:pPr>
      <w:bookmarkStart w:id="252" w:name="_Ref111637371"/>
      <w:bookmarkStart w:id="253" w:name="_Ref111902315"/>
      <w:r>
        <w:t xml:space="preserve">Table </w:t>
      </w:r>
      <w:bookmarkEnd w:id="252"/>
      <w:r w:rsidR="00A87896">
        <w:fldChar w:fldCharType="begin"/>
      </w:r>
      <w:r w:rsidR="00A87896">
        <w:instrText xml:space="preserve"> STYLEREF 2 \s </w:instrText>
      </w:r>
      <w:r w:rsidR="00A87896">
        <w:fldChar w:fldCharType="separate"/>
      </w:r>
      <w:r w:rsidR="00A87896">
        <w:rPr>
          <w:noProof/>
        </w:rPr>
        <w:t>5</w:t>
      </w:r>
      <w:r w:rsidR="00A87896">
        <w:fldChar w:fldCharType="end"/>
      </w:r>
      <w:r w:rsidR="00A87896">
        <w:t>.</w:t>
      </w:r>
      <w:fldSimple w:instr=" SEQ Table \* ARABIC \s 2 ">
        <w:r w:rsidR="00A87896">
          <w:rPr>
            <w:noProof/>
          </w:rPr>
          <w:t>30</w:t>
        </w:r>
      </w:fldSimple>
      <w:bookmarkEnd w:id="253"/>
      <w:r>
        <w:t xml:space="preserve">: Operating expenses as a proportion of </w:t>
      </w:r>
      <w:r w:rsidR="008C2B7B">
        <w:t>S</w:t>
      </w:r>
      <w:r w:rsidR="00D72DB6">
        <w:t xml:space="preserve">cheme </w:t>
      </w:r>
      <w:r w:rsidR="00BE56C0">
        <w:t>expense</w:t>
      </w:r>
      <w:r w:rsidR="00632122">
        <w:t>s</w:t>
      </w:r>
    </w:p>
    <w:tbl>
      <w:tblPr>
        <w:tblStyle w:val="FSRtable"/>
        <w:tblW w:w="9776" w:type="dxa"/>
        <w:tblInd w:w="5" w:type="dxa"/>
        <w:tblLayout w:type="fixed"/>
        <w:tblLook w:val="04A0" w:firstRow="1" w:lastRow="0" w:firstColumn="1" w:lastColumn="0" w:noHBand="0" w:noVBand="1"/>
      </w:tblPr>
      <w:tblGrid>
        <w:gridCol w:w="2122"/>
        <w:gridCol w:w="954"/>
        <w:gridCol w:w="956"/>
        <w:gridCol w:w="956"/>
        <w:gridCol w:w="976"/>
        <w:gridCol w:w="956"/>
        <w:gridCol w:w="976"/>
        <w:gridCol w:w="917"/>
        <w:gridCol w:w="963"/>
      </w:tblGrid>
      <w:tr w:rsidR="00BF7697" w:rsidRPr="00A21D6E" w14:paraId="73657D0C" w14:textId="77777777" w:rsidTr="009E7A4B">
        <w:trPr>
          <w:cnfStyle w:val="100000000000" w:firstRow="1" w:lastRow="0" w:firstColumn="0" w:lastColumn="0" w:oddVBand="0" w:evenVBand="0" w:oddHBand="0" w:evenHBand="0" w:firstRowFirstColumn="0" w:firstRowLastColumn="0" w:lastRowFirstColumn="0" w:lastRowLastColumn="0"/>
          <w:trHeight w:val="570"/>
          <w:tblHeader/>
        </w:trPr>
        <w:tc>
          <w:tcPr>
            <w:cnfStyle w:val="001000000000" w:firstRow="0" w:lastRow="0" w:firstColumn="1" w:lastColumn="0" w:oddVBand="0" w:evenVBand="0" w:oddHBand="0" w:evenHBand="0" w:firstRowFirstColumn="0" w:firstRowLastColumn="0" w:lastRowFirstColumn="0" w:lastRowLastColumn="0"/>
            <w:tcW w:w="2122" w:type="dxa"/>
            <w:hideMark/>
          </w:tcPr>
          <w:p w14:paraId="03E44BBE" w14:textId="77777777" w:rsidR="00BF7697" w:rsidRPr="0088121A" w:rsidRDefault="00BF7697" w:rsidP="001102D8">
            <w:pPr>
              <w:spacing w:after="0" w:line="240" w:lineRule="auto"/>
              <w:rPr>
                <w:rFonts w:eastAsia="Times New Roman"/>
                <w:b w:val="0"/>
                <w:bCs/>
                <w:color w:val="FFFFFF"/>
                <w:sz w:val="18"/>
                <w:szCs w:val="18"/>
                <w:lang w:eastAsia="en-AU"/>
              </w:rPr>
            </w:pPr>
            <w:r w:rsidRPr="0088121A">
              <w:rPr>
                <w:rFonts w:eastAsia="Times New Roman"/>
                <w:bCs/>
                <w:color w:val="FFFFFF"/>
                <w:sz w:val="18"/>
                <w:szCs w:val="18"/>
                <w:lang w:eastAsia="en-AU"/>
              </w:rPr>
              <w:t>Operating and</w:t>
            </w:r>
            <w:r w:rsidR="00D72DB6">
              <w:rPr>
                <w:rFonts w:eastAsia="Times New Roman"/>
                <w:bCs/>
                <w:color w:val="FFFFFF"/>
                <w:sz w:val="18"/>
                <w:szCs w:val="18"/>
                <w:lang w:eastAsia="en-AU"/>
              </w:rPr>
              <w:t xml:space="preserve"> Scheme Expense</w:t>
            </w:r>
            <w:r w:rsidRPr="0088121A">
              <w:rPr>
                <w:rFonts w:eastAsia="Times New Roman"/>
                <w:bCs/>
                <w:color w:val="FFFFFF"/>
                <w:sz w:val="18"/>
                <w:szCs w:val="18"/>
                <w:lang w:eastAsia="en-AU"/>
              </w:rPr>
              <w:t xml:space="preserve"> ($m)</w:t>
            </w:r>
          </w:p>
        </w:tc>
        <w:tc>
          <w:tcPr>
            <w:tcW w:w="954" w:type="dxa"/>
            <w:noWrap/>
            <w:hideMark/>
          </w:tcPr>
          <w:p w14:paraId="683A67C0" w14:textId="77777777" w:rsidR="00BF7697" w:rsidRPr="0088121A" w:rsidRDefault="00BF769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88121A">
              <w:rPr>
                <w:rFonts w:eastAsia="Times New Roman"/>
                <w:bCs/>
                <w:color w:val="FFFFFF"/>
                <w:sz w:val="18"/>
                <w:szCs w:val="18"/>
                <w:lang w:eastAsia="en-AU"/>
              </w:rPr>
              <w:t>202</w:t>
            </w:r>
            <w:r w:rsidR="008D3E6E">
              <w:rPr>
                <w:rFonts w:eastAsia="Times New Roman"/>
                <w:bCs/>
                <w:color w:val="FFFFFF"/>
                <w:sz w:val="18"/>
                <w:szCs w:val="18"/>
                <w:lang w:eastAsia="en-AU"/>
              </w:rPr>
              <w:t>2-23</w:t>
            </w:r>
          </w:p>
        </w:tc>
        <w:tc>
          <w:tcPr>
            <w:tcW w:w="956" w:type="dxa"/>
            <w:noWrap/>
            <w:hideMark/>
          </w:tcPr>
          <w:p w14:paraId="23AB25A4" w14:textId="77777777" w:rsidR="00BF7697" w:rsidRPr="0088121A" w:rsidRDefault="00BF769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88121A">
              <w:rPr>
                <w:rFonts w:eastAsia="Times New Roman"/>
                <w:bCs/>
                <w:color w:val="FFFFFF"/>
                <w:sz w:val="18"/>
                <w:szCs w:val="18"/>
                <w:lang w:eastAsia="en-AU"/>
              </w:rPr>
              <w:t>202</w:t>
            </w:r>
            <w:r w:rsidR="008D3E6E">
              <w:rPr>
                <w:rFonts w:eastAsia="Times New Roman"/>
                <w:bCs/>
                <w:color w:val="FFFFFF"/>
                <w:sz w:val="18"/>
                <w:szCs w:val="18"/>
                <w:lang w:eastAsia="en-AU"/>
              </w:rPr>
              <w:t>3-24</w:t>
            </w:r>
          </w:p>
        </w:tc>
        <w:tc>
          <w:tcPr>
            <w:tcW w:w="956" w:type="dxa"/>
            <w:noWrap/>
            <w:hideMark/>
          </w:tcPr>
          <w:p w14:paraId="77CFC5D6" w14:textId="77777777" w:rsidR="00BF7697" w:rsidRPr="0088121A" w:rsidRDefault="00BF7697" w:rsidP="00D4199A">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88121A">
              <w:rPr>
                <w:rFonts w:eastAsia="Times New Roman"/>
                <w:bCs/>
                <w:color w:val="FFFFFF"/>
                <w:sz w:val="18"/>
                <w:szCs w:val="18"/>
                <w:lang w:eastAsia="en-AU"/>
              </w:rPr>
              <w:t>202</w:t>
            </w:r>
            <w:r w:rsidR="008D3E6E">
              <w:rPr>
                <w:rFonts w:eastAsia="Times New Roman"/>
                <w:bCs/>
                <w:color w:val="FFFFFF"/>
                <w:sz w:val="18"/>
                <w:szCs w:val="18"/>
                <w:lang w:eastAsia="en-AU"/>
              </w:rPr>
              <w:t>4-2</w:t>
            </w:r>
            <w:r w:rsidRPr="0088121A">
              <w:rPr>
                <w:rFonts w:eastAsia="Times New Roman"/>
                <w:bCs/>
                <w:color w:val="FFFFFF"/>
                <w:sz w:val="18"/>
                <w:szCs w:val="18"/>
                <w:lang w:eastAsia="en-AU"/>
              </w:rPr>
              <w:t>5</w:t>
            </w:r>
          </w:p>
        </w:tc>
        <w:tc>
          <w:tcPr>
            <w:tcW w:w="976" w:type="dxa"/>
            <w:noWrap/>
            <w:hideMark/>
          </w:tcPr>
          <w:p w14:paraId="78E5AAF5" w14:textId="77777777" w:rsidR="00BF7697" w:rsidRPr="0088121A" w:rsidRDefault="00BF7697" w:rsidP="00D4199A">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88121A">
              <w:rPr>
                <w:rFonts w:eastAsia="Times New Roman"/>
                <w:bCs/>
                <w:color w:val="FFFFFF"/>
                <w:sz w:val="18"/>
                <w:szCs w:val="18"/>
                <w:lang w:eastAsia="en-AU"/>
              </w:rPr>
              <w:t>202</w:t>
            </w:r>
            <w:r w:rsidR="008D3E6E">
              <w:rPr>
                <w:rFonts w:eastAsia="Times New Roman"/>
                <w:bCs/>
                <w:color w:val="FFFFFF"/>
                <w:sz w:val="18"/>
                <w:szCs w:val="18"/>
                <w:lang w:eastAsia="en-AU"/>
              </w:rPr>
              <w:t>5-2</w:t>
            </w:r>
            <w:r w:rsidRPr="0088121A">
              <w:rPr>
                <w:rFonts w:eastAsia="Times New Roman"/>
                <w:bCs/>
                <w:color w:val="FFFFFF"/>
                <w:sz w:val="18"/>
                <w:szCs w:val="18"/>
                <w:lang w:eastAsia="en-AU"/>
              </w:rPr>
              <w:t>6</w:t>
            </w:r>
          </w:p>
        </w:tc>
        <w:tc>
          <w:tcPr>
            <w:tcW w:w="956" w:type="dxa"/>
            <w:noWrap/>
            <w:hideMark/>
          </w:tcPr>
          <w:p w14:paraId="1DDC81E6" w14:textId="77777777" w:rsidR="00BF7697" w:rsidRPr="0088121A" w:rsidRDefault="00BF7697" w:rsidP="00D4199A">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88121A">
              <w:rPr>
                <w:rFonts w:eastAsia="Times New Roman"/>
                <w:bCs/>
                <w:color w:val="FFFFFF"/>
                <w:sz w:val="18"/>
                <w:szCs w:val="18"/>
                <w:lang w:eastAsia="en-AU"/>
              </w:rPr>
              <w:t>202</w:t>
            </w:r>
            <w:r w:rsidR="008D3E6E">
              <w:rPr>
                <w:rFonts w:eastAsia="Times New Roman"/>
                <w:bCs/>
                <w:color w:val="FFFFFF"/>
                <w:sz w:val="18"/>
                <w:szCs w:val="18"/>
                <w:lang w:eastAsia="en-AU"/>
              </w:rPr>
              <w:t>6-2</w:t>
            </w:r>
            <w:r w:rsidRPr="0088121A">
              <w:rPr>
                <w:rFonts w:eastAsia="Times New Roman"/>
                <w:bCs/>
                <w:color w:val="FFFFFF"/>
                <w:sz w:val="18"/>
                <w:szCs w:val="18"/>
                <w:lang w:eastAsia="en-AU"/>
              </w:rPr>
              <w:t>7</w:t>
            </w:r>
          </w:p>
        </w:tc>
        <w:tc>
          <w:tcPr>
            <w:tcW w:w="976" w:type="dxa"/>
            <w:noWrap/>
            <w:hideMark/>
          </w:tcPr>
          <w:p w14:paraId="2F702900" w14:textId="77777777" w:rsidR="00BF7697" w:rsidRPr="0088121A" w:rsidRDefault="00BF7697" w:rsidP="00D4199A">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88121A">
              <w:rPr>
                <w:rFonts w:eastAsia="Times New Roman"/>
                <w:bCs/>
                <w:color w:val="FFFFFF"/>
                <w:sz w:val="18"/>
                <w:szCs w:val="18"/>
                <w:lang w:eastAsia="en-AU"/>
              </w:rPr>
              <w:t>202</w:t>
            </w:r>
            <w:r w:rsidR="008D3E6E">
              <w:rPr>
                <w:rFonts w:eastAsia="Times New Roman"/>
                <w:bCs/>
                <w:color w:val="FFFFFF"/>
                <w:sz w:val="18"/>
                <w:szCs w:val="18"/>
                <w:lang w:eastAsia="en-AU"/>
              </w:rPr>
              <w:t>7-2</w:t>
            </w:r>
            <w:r w:rsidRPr="0088121A">
              <w:rPr>
                <w:rFonts w:eastAsia="Times New Roman"/>
                <w:bCs/>
                <w:color w:val="FFFFFF"/>
                <w:sz w:val="18"/>
                <w:szCs w:val="18"/>
                <w:lang w:eastAsia="en-AU"/>
              </w:rPr>
              <w:t>8</w:t>
            </w:r>
          </w:p>
        </w:tc>
        <w:tc>
          <w:tcPr>
            <w:tcW w:w="917" w:type="dxa"/>
            <w:noWrap/>
            <w:hideMark/>
          </w:tcPr>
          <w:p w14:paraId="7CE1B3AC" w14:textId="77777777" w:rsidR="00BF7697" w:rsidRPr="0088121A" w:rsidRDefault="00BF7697" w:rsidP="00D4199A">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88121A">
              <w:rPr>
                <w:rFonts w:eastAsia="Times New Roman"/>
                <w:bCs/>
                <w:color w:val="FFFFFF"/>
                <w:sz w:val="18"/>
                <w:szCs w:val="18"/>
                <w:lang w:eastAsia="en-AU"/>
              </w:rPr>
              <w:t>202</w:t>
            </w:r>
            <w:r w:rsidR="008D3E6E">
              <w:rPr>
                <w:rFonts w:eastAsia="Times New Roman"/>
                <w:bCs/>
                <w:color w:val="FFFFFF"/>
                <w:sz w:val="18"/>
                <w:szCs w:val="18"/>
                <w:lang w:eastAsia="en-AU"/>
              </w:rPr>
              <w:t>8-2</w:t>
            </w:r>
            <w:r w:rsidRPr="0088121A">
              <w:rPr>
                <w:rFonts w:eastAsia="Times New Roman"/>
                <w:bCs/>
                <w:color w:val="FFFFFF"/>
                <w:sz w:val="18"/>
                <w:szCs w:val="18"/>
                <w:lang w:eastAsia="en-AU"/>
              </w:rPr>
              <w:t>9</w:t>
            </w:r>
          </w:p>
        </w:tc>
        <w:tc>
          <w:tcPr>
            <w:tcW w:w="963" w:type="dxa"/>
            <w:noWrap/>
            <w:hideMark/>
          </w:tcPr>
          <w:p w14:paraId="79B6C30B" w14:textId="77777777" w:rsidR="00BF7697" w:rsidRPr="0088121A" w:rsidRDefault="00BF7697" w:rsidP="00D4199A">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88121A">
              <w:rPr>
                <w:rFonts w:eastAsia="Times New Roman"/>
                <w:bCs/>
                <w:color w:val="FFFFFF"/>
                <w:sz w:val="18"/>
                <w:szCs w:val="18"/>
                <w:lang w:eastAsia="en-AU"/>
              </w:rPr>
              <w:t>20</w:t>
            </w:r>
            <w:r w:rsidR="008D3E6E">
              <w:rPr>
                <w:rFonts w:eastAsia="Times New Roman"/>
                <w:bCs/>
                <w:color w:val="FFFFFF"/>
                <w:sz w:val="18"/>
                <w:szCs w:val="18"/>
                <w:lang w:eastAsia="en-AU"/>
              </w:rPr>
              <w:t>29-</w:t>
            </w:r>
            <w:r w:rsidRPr="0088121A">
              <w:rPr>
                <w:rFonts w:eastAsia="Times New Roman"/>
                <w:bCs/>
                <w:color w:val="FFFFFF"/>
                <w:sz w:val="18"/>
                <w:szCs w:val="18"/>
                <w:lang w:eastAsia="en-AU"/>
              </w:rPr>
              <w:t>30</w:t>
            </w:r>
          </w:p>
        </w:tc>
      </w:tr>
      <w:tr w:rsidR="00BF7697" w:rsidRPr="00446DD2" w14:paraId="40350E2A" w14:textId="77777777" w:rsidTr="00DA3F73">
        <w:trPr>
          <w:trHeight w:val="285"/>
        </w:trPr>
        <w:tc>
          <w:tcPr>
            <w:cnfStyle w:val="001000000000" w:firstRow="0" w:lastRow="0" w:firstColumn="1" w:lastColumn="0" w:oddVBand="0" w:evenVBand="0" w:oddHBand="0" w:evenHBand="0" w:firstRowFirstColumn="0" w:firstRowLastColumn="0" w:lastRowFirstColumn="0" w:lastRowLastColumn="0"/>
            <w:tcW w:w="2122" w:type="dxa"/>
            <w:shd w:val="clear" w:color="auto" w:fill="FFFFFF" w:themeFill="background1"/>
            <w:noWrap/>
            <w:hideMark/>
          </w:tcPr>
          <w:p w14:paraId="177B1F89" w14:textId="77777777" w:rsidR="00BF7697" w:rsidRPr="00DA3F73" w:rsidRDefault="00BF7697" w:rsidP="00B17C79">
            <w:pPr>
              <w:spacing w:after="0" w:line="240" w:lineRule="auto"/>
              <w:rPr>
                <w:rFonts w:eastAsia="Times New Roman" w:cs="Arial"/>
                <w:b/>
                <w:color w:val="000000"/>
                <w:sz w:val="18"/>
                <w:szCs w:val="18"/>
                <w:lang w:eastAsia="en-AU"/>
              </w:rPr>
            </w:pPr>
            <w:r w:rsidRPr="00DA3F73">
              <w:rPr>
                <w:rFonts w:eastAsia="Times New Roman" w:cs="Arial"/>
                <w:b/>
                <w:color w:val="000000"/>
                <w:sz w:val="18"/>
                <w:szCs w:val="18"/>
                <w:lang w:eastAsia="en-AU"/>
              </w:rPr>
              <w:t>2021-22 AFSR</w:t>
            </w:r>
          </w:p>
        </w:tc>
        <w:tc>
          <w:tcPr>
            <w:tcW w:w="954" w:type="dxa"/>
            <w:shd w:val="clear" w:color="auto" w:fill="FFFFFF" w:themeFill="background1"/>
            <w:noWrap/>
            <w:hideMark/>
          </w:tcPr>
          <w:p w14:paraId="69758D14" w14:textId="77777777" w:rsidR="00BF7697" w:rsidRPr="00DA3F73"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en-AU"/>
              </w:rPr>
            </w:pPr>
            <w:r w:rsidRPr="00DA3F73">
              <w:rPr>
                <w:rFonts w:eastAsia="Times New Roman" w:cs="Arial"/>
                <w:b/>
                <w:color w:val="000000"/>
                <w:sz w:val="18"/>
                <w:szCs w:val="18"/>
                <w:lang w:eastAsia="en-AU"/>
              </w:rPr>
              <w:t> </w:t>
            </w:r>
          </w:p>
        </w:tc>
        <w:tc>
          <w:tcPr>
            <w:tcW w:w="956" w:type="dxa"/>
            <w:shd w:val="clear" w:color="auto" w:fill="FFFFFF" w:themeFill="background1"/>
            <w:noWrap/>
            <w:hideMark/>
          </w:tcPr>
          <w:p w14:paraId="5DB22EF3" w14:textId="77777777" w:rsidR="00BF7697" w:rsidRPr="00DA3F73"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en-AU"/>
              </w:rPr>
            </w:pPr>
            <w:r w:rsidRPr="00DA3F73">
              <w:rPr>
                <w:rFonts w:eastAsia="Times New Roman" w:cs="Arial"/>
                <w:b/>
                <w:color w:val="000000"/>
                <w:sz w:val="18"/>
                <w:szCs w:val="18"/>
                <w:lang w:eastAsia="en-AU"/>
              </w:rPr>
              <w:t> </w:t>
            </w:r>
          </w:p>
        </w:tc>
        <w:tc>
          <w:tcPr>
            <w:tcW w:w="956" w:type="dxa"/>
            <w:shd w:val="clear" w:color="auto" w:fill="FFFFFF" w:themeFill="background1"/>
            <w:noWrap/>
            <w:hideMark/>
          </w:tcPr>
          <w:p w14:paraId="17C015B1" w14:textId="77777777" w:rsidR="00BF7697" w:rsidRPr="00DA3F73"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en-AU"/>
              </w:rPr>
            </w:pPr>
            <w:r w:rsidRPr="00DA3F73">
              <w:rPr>
                <w:rFonts w:eastAsia="Times New Roman" w:cs="Arial"/>
                <w:b/>
                <w:color w:val="000000"/>
                <w:sz w:val="18"/>
                <w:szCs w:val="18"/>
                <w:lang w:eastAsia="en-AU"/>
              </w:rPr>
              <w:t> </w:t>
            </w:r>
          </w:p>
        </w:tc>
        <w:tc>
          <w:tcPr>
            <w:tcW w:w="976" w:type="dxa"/>
            <w:shd w:val="clear" w:color="auto" w:fill="FFFFFF" w:themeFill="background1"/>
            <w:noWrap/>
            <w:hideMark/>
          </w:tcPr>
          <w:p w14:paraId="3F0CF2FB" w14:textId="77777777" w:rsidR="00BF7697" w:rsidRPr="00DA3F73"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en-AU"/>
              </w:rPr>
            </w:pPr>
            <w:r w:rsidRPr="00DA3F73">
              <w:rPr>
                <w:rFonts w:eastAsia="Times New Roman" w:cs="Arial"/>
                <w:b/>
                <w:color w:val="000000"/>
                <w:sz w:val="18"/>
                <w:szCs w:val="18"/>
                <w:lang w:eastAsia="en-AU"/>
              </w:rPr>
              <w:t> </w:t>
            </w:r>
          </w:p>
        </w:tc>
        <w:tc>
          <w:tcPr>
            <w:tcW w:w="956" w:type="dxa"/>
            <w:shd w:val="clear" w:color="auto" w:fill="FFFFFF" w:themeFill="background1"/>
            <w:noWrap/>
            <w:hideMark/>
          </w:tcPr>
          <w:p w14:paraId="6ED24C31" w14:textId="77777777" w:rsidR="00BF7697" w:rsidRPr="00DA3F73"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en-AU"/>
              </w:rPr>
            </w:pPr>
            <w:r w:rsidRPr="00DA3F73">
              <w:rPr>
                <w:rFonts w:eastAsia="Times New Roman" w:cs="Arial"/>
                <w:b/>
                <w:color w:val="000000"/>
                <w:sz w:val="18"/>
                <w:szCs w:val="18"/>
                <w:lang w:eastAsia="en-AU"/>
              </w:rPr>
              <w:t> </w:t>
            </w:r>
          </w:p>
        </w:tc>
        <w:tc>
          <w:tcPr>
            <w:tcW w:w="976" w:type="dxa"/>
            <w:shd w:val="clear" w:color="auto" w:fill="FFFFFF" w:themeFill="background1"/>
            <w:noWrap/>
            <w:hideMark/>
          </w:tcPr>
          <w:p w14:paraId="14C1D8CF" w14:textId="77777777" w:rsidR="00BF7697" w:rsidRPr="00DA3F73"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en-AU"/>
              </w:rPr>
            </w:pPr>
            <w:r w:rsidRPr="00DA3F73">
              <w:rPr>
                <w:rFonts w:eastAsia="Times New Roman" w:cs="Arial"/>
                <w:b/>
                <w:color w:val="000000"/>
                <w:sz w:val="18"/>
                <w:szCs w:val="18"/>
                <w:lang w:eastAsia="en-AU"/>
              </w:rPr>
              <w:t> </w:t>
            </w:r>
          </w:p>
        </w:tc>
        <w:tc>
          <w:tcPr>
            <w:tcW w:w="917" w:type="dxa"/>
            <w:shd w:val="clear" w:color="auto" w:fill="FFFFFF" w:themeFill="background1"/>
            <w:noWrap/>
            <w:hideMark/>
          </w:tcPr>
          <w:p w14:paraId="6BA72AFA" w14:textId="77777777" w:rsidR="00BF7697" w:rsidRPr="00DA3F73"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en-AU"/>
              </w:rPr>
            </w:pPr>
            <w:r w:rsidRPr="00DA3F73">
              <w:rPr>
                <w:rFonts w:eastAsia="Times New Roman" w:cs="Arial"/>
                <w:b/>
                <w:color w:val="000000"/>
                <w:sz w:val="18"/>
                <w:szCs w:val="18"/>
                <w:lang w:eastAsia="en-AU"/>
              </w:rPr>
              <w:t> </w:t>
            </w:r>
          </w:p>
        </w:tc>
        <w:tc>
          <w:tcPr>
            <w:tcW w:w="963" w:type="dxa"/>
            <w:shd w:val="clear" w:color="auto" w:fill="FFFFFF" w:themeFill="background1"/>
            <w:noWrap/>
            <w:hideMark/>
          </w:tcPr>
          <w:p w14:paraId="0728B85A" w14:textId="77777777" w:rsidR="00BF7697" w:rsidRPr="00DA3F73" w:rsidRDefault="00BF7697" w:rsidP="00B17C79">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color w:val="000000"/>
                <w:sz w:val="18"/>
                <w:szCs w:val="18"/>
                <w:lang w:eastAsia="en-AU"/>
              </w:rPr>
            </w:pPr>
            <w:r w:rsidRPr="00DA3F73">
              <w:rPr>
                <w:rFonts w:eastAsia="Times New Roman" w:cs="Arial"/>
                <w:b/>
                <w:color w:val="000000"/>
                <w:sz w:val="18"/>
                <w:szCs w:val="18"/>
                <w:lang w:eastAsia="en-AU"/>
              </w:rPr>
              <w:t> </w:t>
            </w:r>
          </w:p>
        </w:tc>
      </w:tr>
      <w:tr w:rsidR="00BF7697" w:rsidRPr="00A21D6E" w14:paraId="17513961" w14:textId="77777777" w:rsidTr="00D4199A">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122" w:type="dxa"/>
            <w:hideMark/>
          </w:tcPr>
          <w:p w14:paraId="4E6D474F" w14:textId="77777777" w:rsidR="00BF7697" w:rsidRPr="0088121A" w:rsidRDefault="00D72DB6" w:rsidP="001102D8">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Scheme Expense</w:t>
            </w:r>
            <w:r w:rsidR="00BF7697" w:rsidRPr="0088121A">
              <w:rPr>
                <w:rFonts w:eastAsia="Times New Roman" w:cs="Arial"/>
                <w:color w:val="000000"/>
                <w:sz w:val="18"/>
                <w:szCs w:val="18"/>
                <w:lang w:eastAsia="en-AU"/>
              </w:rPr>
              <w:t xml:space="preserve"> (accrual basis)</w:t>
            </w:r>
          </w:p>
        </w:tc>
        <w:tc>
          <w:tcPr>
            <w:tcW w:w="954" w:type="dxa"/>
            <w:hideMark/>
          </w:tcPr>
          <w:p w14:paraId="51558AAC" w14:textId="77777777" w:rsidR="00BF7697" w:rsidRPr="0088121A" w:rsidRDefault="00BF76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33,976</w:t>
            </w:r>
          </w:p>
        </w:tc>
        <w:tc>
          <w:tcPr>
            <w:tcW w:w="956" w:type="dxa"/>
            <w:hideMark/>
          </w:tcPr>
          <w:p w14:paraId="59B5D4AE" w14:textId="77777777" w:rsidR="00BF7697" w:rsidRPr="0088121A" w:rsidRDefault="00BF76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38,</w:t>
            </w:r>
            <w:r w:rsidR="008D3E6E">
              <w:rPr>
                <w:rFonts w:eastAsia="Times New Roman" w:cs="Arial"/>
                <w:color w:val="000000"/>
                <w:sz w:val="18"/>
                <w:szCs w:val="18"/>
                <w:lang w:eastAsia="en-AU"/>
              </w:rPr>
              <w:t>133</w:t>
            </w:r>
          </w:p>
        </w:tc>
        <w:tc>
          <w:tcPr>
            <w:tcW w:w="956" w:type="dxa"/>
            <w:hideMark/>
          </w:tcPr>
          <w:p w14:paraId="2FACFC24" w14:textId="77777777" w:rsidR="00BF7697" w:rsidRPr="0088121A" w:rsidRDefault="00BF76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44,</w:t>
            </w:r>
            <w:r w:rsidR="008D3E6E">
              <w:rPr>
                <w:rFonts w:eastAsia="Times New Roman" w:cs="Arial"/>
                <w:color w:val="000000"/>
                <w:sz w:val="18"/>
                <w:szCs w:val="18"/>
                <w:lang w:eastAsia="en-AU"/>
              </w:rPr>
              <w:t>116</w:t>
            </w:r>
          </w:p>
        </w:tc>
        <w:tc>
          <w:tcPr>
            <w:tcW w:w="976" w:type="dxa"/>
            <w:hideMark/>
          </w:tcPr>
          <w:p w14:paraId="1A51BE42" w14:textId="77777777" w:rsidR="00BF7697" w:rsidRPr="0088121A" w:rsidRDefault="00BF76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50,</w:t>
            </w:r>
            <w:r w:rsidR="008D3E6E">
              <w:rPr>
                <w:rFonts w:eastAsia="Times New Roman" w:cs="Arial"/>
                <w:color w:val="000000"/>
                <w:sz w:val="18"/>
                <w:szCs w:val="18"/>
                <w:lang w:eastAsia="en-AU"/>
              </w:rPr>
              <w:t>344</w:t>
            </w:r>
          </w:p>
        </w:tc>
        <w:tc>
          <w:tcPr>
            <w:tcW w:w="956" w:type="dxa"/>
            <w:hideMark/>
          </w:tcPr>
          <w:p w14:paraId="4CFCA0E6" w14:textId="77777777" w:rsidR="00BF7697" w:rsidRPr="0088121A" w:rsidRDefault="00BF76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55,</w:t>
            </w:r>
            <w:r w:rsidR="008D3E6E">
              <w:rPr>
                <w:rFonts w:eastAsia="Times New Roman" w:cs="Arial"/>
                <w:color w:val="000000"/>
                <w:sz w:val="18"/>
                <w:szCs w:val="18"/>
                <w:lang w:eastAsia="en-AU"/>
              </w:rPr>
              <w:t>510</w:t>
            </w:r>
          </w:p>
        </w:tc>
        <w:tc>
          <w:tcPr>
            <w:tcW w:w="976" w:type="dxa"/>
            <w:hideMark/>
          </w:tcPr>
          <w:p w14:paraId="12B576DE" w14:textId="77777777" w:rsidR="00BF7697" w:rsidRPr="0088121A" w:rsidRDefault="00BF76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61,</w:t>
            </w:r>
            <w:r w:rsidR="008D3E6E">
              <w:rPr>
                <w:rFonts w:eastAsia="Times New Roman" w:cs="Arial"/>
                <w:color w:val="000000"/>
                <w:sz w:val="18"/>
                <w:szCs w:val="18"/>
                <w:lang w:eastAsia="en-AU"/>
              </w:rPr>
              <w:t>160</w:t>
            </w:r>
          </w:p>
        </w:tc>
        <w:tc>
          <w:tcPr>
            <w:tcW w:w="917" w:type="dxa"/>
            <w:hideMark/>
          </w:tcPr>
          <w:p w14:paraId="569DD7EC" w14:textId="77777777" w:rsidR="00BF7697" w:rsidRPr="0088121A" w:rsidRDefault="00BF76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67,</w:t>
            </w:r>
            <w:r w:rsidR="008D3E6E">
              <w:rPr>
                <w:rFonts w:eastAsia="Times New Roman" w:cs="Arial"/>
                <w:color w:val="000000"/>
                <w:sz w:val="18"/>
                <w:szCs w:val="18"/>
                <w:lang w:eastAsia="en-AU"/>
              </w:rPr>
              <w:t>333</w:t>
            </w:r>
          </w:p>
        </w:tc>
        <w:tc>
          <w:tcPr>
            <w:tcW w:w="963" w:type="dxa"/>
            <w:hideMark/>
          </w:tcPr>
          <w:p w14:paraId="00715832" w14:textId="77777777" w:rsidR="00BF7697" w:rsidRPr="0088121A" w:rsidRDefault="00BF76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74,</w:t>
            </w:r>
            <w:r w:rsidR="008D3E6E">
              <w:rPr>
                <w:rFonts w:eastAsia="Times New Roman" w:cs="Arial"/>
                <w:color w:val="000000"/>
                <w:sz w:val="18"/>
                <w:szCs w:val="18"/>
                <w:lang w:eastAsia="en-AU"/>
              </w:rPr>
              <w:t>058</w:t>
            </w:r>
          </w:p>
        </w:tc>
      </w:tr>
      <w:tr w:rsidR="00BF7697" w:rsidRPr="00A21D6E" w14:paraId="723247DA" w14:textId="77777777" w:rsidTr="00D4199A">
        <w:trPr>
          <w:trHeight w:val="285"/>
        </w:trPr>
        <w:tc>
          <w:tcPr>
            <w:cnfStyle w:val="001000000000" w:firstRow="0" w:lastRow="0" w:firstColumn="1" w:lastColumn="0" w:oddVBand="0" w:evenVBand="0" w:oddHBand="0" w:evenHBand="0" w:firstRowFirstColumn="0" w:firstRowLastColumn="0" w:lastRowFirstColumn="0" w:lastRowLastColumn="0"/>
            <w:tcW w:w="2122" w:type="dxa"/>
            <w:tcBorders>
              <w:bottom w:val="nil"/>
            </w:tcBorders>
            <w:noWrap/>
            <w:hideMark/>
          </w:tcPr>
          <w:p w14:paraId="2212EF18" w14:textId="77777777" w:rsidR="00BF7697" w:rsidRPr="0088121A" w:rsidRDefault="00BF7697" w:rsidP="001102D8">
            <w:pPr>
              <w:spacing w:after="0" w:line="240" w:lineRule="auto"/>
              <w:rPr>
                <w:rFonts w:eastAsia="Times New Roman" w:cs="Arial"/>
                <w:b/>
                <w:bCs/>
                <w:color w:val="000000"/>
                <w:sz w:val="18"/>
                <w:szCs w:val="18"/>
                <w:lang w:eastAsia="en-AU"/>
              </w:rPr>
            </w:pPr>
            <w:r w:rsidRPr="0088121A">
              <w:rPr>
                <w:rFonts w:eastAsia="Times New Roman" w:cs="Arial"/>
                <w:b/>
                <w:bCs/>
                <w:color w:val="000000"/>
                <w:sz w:val="18"/>
                <w:szCs w:val="18"/>
                <w:lang w:eastAsia="en-AU"/>
              </w:rPr>
              <w:t xml:space="preserve">Operating </w:t>
            </w:r>
            <w:r w:rsidR="001102D8">
              <w:rPr>
                <w:rFonts w:eastAsia="Times New Roman" w:cs="Arial"/>
                <w:b/>
                <w:bCs/>
                <w:color w:val="000000"/>
                <w:sz w:val="18"/>
                <w:szCs w:val="18"/>
                <w:lang w:eastAsia="en-AU"/>
              </w:rPr>
              <w:t>Expenses</w:t>
            </w:r>
          </w:p>
        </w:tc>
        <w:tc>
          <w:tcPr>
            <w:tcW w:w="954" w:type="dxa"/>
            <w:tcBorders>
              <w:bottom w:val="nil"/>
            </w:tcBorders>
            <w:noWrap/>
            <w:hideMark/>
          </w:tcPr>
          <w:p w14:paraId="4B6B3B2E" w14:textId="77777777" w:rsidR="00BF7697" w:rsidRPr="0088121A" w:rsidRDefault="00BF76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88121A">
              <w:rPr>
                <w:rFonts w:eastAsia="Times New Roman" w:cs="Arial"/>
                <w:b/>
                <w:bCs/>
                <w:color w:val="000000"/>
                <w:sz w:val="18"/>
                <w:szCs w:val="18"/>
                <w:lang w:eastAsia="en-AU"/>
              </w:rPr>
              <w:t>1,7</w:t>
            </w:r>
            <w:r w:rsidR="008D3E6E">
              <w:rPr>
                <w:rFonts w:eastAsia="Times New Roman" w:cs="Arial"/>
                <w:b/>
                <w:bCs/>
                <w:color w:val="000000"/>
                <w:sz w:val="18"/>
                <w:szCs w:val="18"/>
                <w:lang w:eastAsia="en-AU"/>
              </w:rPr>
              <w:t>80</w:t>
            </w:r>
          </w:p>
        </w:tc>
        <w:tc>
          <w:tcPr>
            <w:tcW w:w="956" w:type="dxa"/>
            <w:tcBorders>
              <w:bottom w:val="nil"/>
            </w:tcBorders>
            <w:noWrap/>
            <w:hideMark/>
          </w:tcPr>
          <w:p w14:paraId="6BCA3288" w14:textId="77777777" w:rsidR="00BF7697" w:rsidRPr="0088121A" w:rsidRDefault="00BF76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88121A">
              <w:rPr>
                <w:rFonts w:eastAsia="Times New Roman" w:cs="Arial"/>
                <w:b/>
                <w:bCs/>
                <w:color w:val="000000"/>
                <w:sz w:val="18"/>
                <w:szCs w:val="18"/>
                <w:lang w:eastAsia="en-AU"/>
              </w:rPr>
              <w:t>1,8</w:t>
            </w:r>
            <w:r w:rsidR="008D3E6E">
              <w:rPr>
                <w:rFonts w:eastAsia="Times New Roman" w:cs="Arial"/>
                <w:b/>
                <w:bCs/>
                <w:color w:val="000000"/>
                <w:sz w:val="18"/>
                <w:szCs w:val="18"/>
                <w:lang w:eastAsia="en-AU"/>
              </w:rPr>
              <w:t>25</w:t>
            </w:r>
          </w:p>
        </w:tc>
        <w:tc>
          <w:tcPr>
            <w:tcW w:w="956" w:type="dxa"/>
            <w:tcBorders>
              <w:bottom w:val="nil"/>
            </w:tcBorders>
            <w:noWrap/>
            <w:hideMark/>
          </w:tcPr>
          <w:p w14:paraId="47017342" w14:textId="77777777" w:rsidR="00BF7697" w:rsidRPr="0088121A" w:rsidRDefault="00BF76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88121A">
              <w:rPr>
                <w:rFonts w:eastAsia="Times New Roman" w:cs="Arial"/>
                <w:b/>
                <w:bCs/>
                <w:color w:val="000000"/>
                <w:sz w:val="18"/>
                <w:szCs w:val="18"/>
                <w:lang w:eastAsia="en-AU"/>
              </w:rPr>
              <w:t>1,98</w:t>
            </w:r>
            <w:r w:rsidR="008D3E6E">
              <w:rPr>
                <w:rFonts w:eastAsia="Times New Roman" w:cs="Arial"/>
                <w:b/>
                <w:bCs/>
                <w:color w:val="000000"/>
                <w:sz w:val="18"/>
                <w:szCs w:val="18"/>
                <w:lang w:eastAsia="en-AU"/>
              </w:rPr>
              <w:t>6</w:t>
            </w:r>
          </w:p>
        </w:tc>
        <w:tc>
          <w:tcPr>
            <w:tcW w:w="976" w:type="dxa"/>
            <w:tcBorders>
              <w:bottom w:val="nil"/>
            </w:tcBorders>
            <w:noWrap/>
            <w:hideMark/>
          </w:tcPr>
          <w:p w14:paraId="1DAF7B87" w14:textId="77777777" w:rsidR="00BF7697" w:rsidRPr="0088121A" w:rsidRDefault="00BF76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88121A">
              <w:rPr>
                <w:rFonts w:eastAsia="Times New Roman" w:cs="Arial"/>
                <w:b/>
                <w:bCs/>
                <w:color w:val="000000"/>
                <w:sz w:val="18"/>
                <w:szCs w:val="18"/>
                <w:lang w:eastAsia="en-AU"/>
              </w:rPr>
              <w:t>2,1</w:t>
            </w:r>
            <w:r w:rsidR="008D3E6E">
              <w:rPr>
                <w:rFonts w:eastAsia="Times New Roman" w:cs="Arial"/>
                <w:b/>
                <w:bCs/>
                <w:color w:val="000000"/>
                <w:sz w:val="18"/>
                <w:szCs w:val="18"/>
                <w:lang w:eastAsia="en-AU"/>
              </w:rPr>
              <w:t>20</w:t>
            </w:r>
          </w:p>
        </w:tc>
        <w:tc>
          <w:tcPr>
            <w:tcW w:w="956" w:type="dxa"/>
            <w:tcBorders>
              <w:bottom w:val="nil"/>
            </w:tcBorders>
            <w:noWrap/>
            <w:hideMark/>
          </w:tcPr>
          <w:p w14:paraId="7022A7A2" w14:textId="77777777" w:rsidR="00BF7697" w:rsidRPr="0088121A" w:rsidRDefault="00BF76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88121A">
              <w:rPr>
                <w:rFonts w:eastAsia="Times New Roman" w:cs="Arial"/>
                <w:b/>
                <w:bCs/>
                <w:color w:val="000000"/>
                <w:sz w:val="18"/>
                <w:szCs w:val="18"/>
                <w:lang w:eastAsia="en-AU"/>
              </w:rPr>
              <w:t>2,1</w:t>
            </w:r>
            <w:r w:rsidR="008D3E6E">
              <w:rPr>
                <w:rFonts w:eastAsia="Times New Roman" w:cs="Arial"/>
                <w:b/>
                <w:bCs/>
                <w:color w:val="000000"/>
                <w:sz w:val="18"/>
                <w:szCs w:val="18"/>
                <w:lang w:eastAsia="en-AU"/>
              </w:rPr>
              <w:t>96</w:t>
            </w:r>
          </w:p>
        </w:tc>
        <w:tc>
          <w:tcPr>
            <w:tcW w:w="976" w:type="dxa"/>
            <w:tcBorders>
              <w:bottom w:val="nil"/>
            </w:tcBorders>
            <w:noWrap/>
            <w:hideMark/>
          </w:tcPr>
          <w:p w14:paraId="7C85D787" w14:textId="77777777" w:rsidR="00BF7697" w:rsidRPr="0088121A" w:rsidRDefault="00BF76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88121A">
              <w:rPr>
                <w:rFonts w:eastAsia="Times New Roman" w:cs="Arial"/>
                <w:b/>
                <w:bCs/>
                <w:color w:val="000000"/>
                <w:sz w:val="18"/>
                <w:szCs w:val="18"/>
                <w:lang w:eastAsia="en-AU"/>
              </w:rPr>
              <w:t>2,3</w:t>
            </w:r>
            <w:r w:rsidR="008D3E6E">
              <w:rPr>
                <w:rFonts w:eastAsia="Times New Roman" w:cs="Arial"/>
                <w:b/>
                <w:bCs/>
                <w:color w:val="000000"/>
                <w:sz w:val="18"/>
                <w:szCs w:val="18"/>
                <w:lang w:eastAsia="en-AU"/>
              </w:rPr>
              <w:t>10</w:t>
            </w:r>
          </w:p>
        </w:tc>
        <w:tc>
          <w:tcPr>
            <w:tcW w:w="917" w:type="dxa"/>
            <w:tcBorders>
              <w:bottom w:val="nil"/>
            </w:tcBorders>
            <w:noWrap/>
            <w:hideMark/>
          </w:tcPr>
          <w:p w14:paraId="35AA429D" w14:textId="77777777" w:rsidR="00BF7697" w:rsidRPr="0088121A" w:rsidRDefault="00BF7697" w:rsidP="00ED4E0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88121A">
              <w:rPr>
                <w:rFonts w:eastAsia="Times New Roman" w:cs="Arial"/>
                <w:b/>
                <w:bCs/>
                <w:color w:val="000000"/>
                <w:sz w:val="18"/>
                <w:szCs w:val="18"/>
                <w:lang w:eastAsia="en-AU"/>
              </w:rPr>
              <w:t>2,4</w:t>
            </w:r>
            <w:r w:rsidR="008D3E6E">
              <w:rPr>
                <w:rFonts w:eastAsia="Times New Roman" w:cs="Arial"/>
                <w:b/>
                <w:bCs/>
                <w:color w:val="000000"/>
                <w:sz w:val="18"/>
                <w:szCs w:val="18"/>
                <w:lang w:eastAsia="en-AU"/>
              </w:rPr>
              <w:t>2</w:t>
            </w:r>
            <w:r w:rsidRPr="0088121A">
              <w:rPr>
                <w:rFonts w:eastAsia="Times New Roman" w:cs="Arial"/>
                <w:b/>
                <w:bCs/>
                <w:color w:val="000000"/>
                <w:sz w:val="18"/>
                <w:szCs w:val="18"/>
                <w:lang w:eastAsia="en-AU"/>
              </w:rPr>
              <w:t>4</w:t>
            </w:r>
          </w:p>
        </w:tc>
        <w:tc>
          <w:tcPr>
            <w:tcW w:w="963" w:type="dxa"/>
            <w:tcBorders>
              <w:bottom w:val="nil"/>
            </w:tcBorders>
            <w:noWrap/>
            <w:hideMark/>
          </w:tcPr>
          <w:p w14:paraId="5FCA6284" w14:textId="77777777" w:rsidR="00BF7697" w:rsidRPr="0088121A" w:rsidRDefault="00BF769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88121A">
              <w:rPr>
                <w:rFonts w:eastAsia="Times New Roman" w:cs="Arial"/>
                <w:b/>
                <w:bCs/>
                <w:color w:val="000000"/>
                <w:sz w:val="18"/>
                <w:szCs w:val="18"/>
                <w:lang w:eastAsia="en-AU"/>
              </w:rPr>
              <w:t>2,5</w:t>
            </w:r>
            <w:r w:rsidR="008D3E6E">
              <w:rPr>
                <w:rFonts w:eastAsia="Times New Roman" w:cs="Arial"/>
                <w:b/>
                <w:bCs/>
                <w:color w:val="000000"/>
                <w:sz w:val="18"/>
                <w:szCs w:val="18"/>
                <w:lang w:eastAsia="en-AU"/>
              </w:rPr>
              <w:t>33</w:t>
            </w:r>
          </w:p>
        </w:tc>
      </w:tr>
      <w:tr w:rsidR="00BF7697" w:rsidRPr="00A21D6E" w14:paraId="11D19E2A" w14:textId="77777777" w:rsidTr="00D4199A">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122" w:type="dxa"/>
            <w:tcBorders>
              <w:top w:val="nil"/>
              <w:bottom w:val="single" w:sz="4" w:space="0" w:color="auto"/>
            </w:tcBorders>
            <w:hideMark/>
          </w:tcPr>
          <w:p w14:paraId="0DFB779A" w14:textId="77777777" w:rsidR="00BF7697" w:rsidRPr="0088121A" w:rsidRDefault="00BF7697" w:rsidP="001102D8">
            <w:pPr>
              <w:spacing w:after="0" w:line="240" w:lineRule="auto"/>
              <w:rPr>
                <w:rFonts w:eastAsia="Times New Roman" w:cs="Arial"/>
                <w:color w:val="000000"/>
                <w:sz w:val="18"/>
                <w:szCs w:val="18"/>
                <w:lang w:eastAsia="en-AU"/>
              </w:rPr>
            </w:pPr>
            <w:r w:rsidRPr="0088121A">
              <w:rPr>
                <w:rFonts w:eastAsia="Times New Roman" w:cs="Arial"/>
                <w:color w:val="000000"/>
                <w:sz w:val="18"/>
                <w:szCs w:val="18"/>
                <w:lang w:eastAsia="en-AU"/>
              </w:rPr>
              <w:t xml:space="preserve">As a % of </w:t>
            </w:r>
            <w:r w:rsidR="00D72DB6">
              <w:rPr>
                <w:rFonts w:eastAsia="Times New Roman" w:cs="Arial"/>
                <w:color w:val="000000"/>
                <w:sz w:val="18"/>
                <w:szCs w:val="18"/>
                <w:lang w:eastAsia="en-AU"/>
              </w:rPr>
              <w:t>Scheme Expense</w:t>
            </w:r>
          </w:p>
        </w:tc>
        <w:tc>
          <w:tcPr>
            <w:tcW w:w="954" w:type="dxa"/>
            <w:tcBorders>
              <w:top w:val="nil"/>
              <w:bottom w:val="single" w:sz="4" w:space="0" w:color="auto"/>
            </w:tcBorders>
            <w:noWrap/>
            <w:hideMark/>
          </w:tcPr>
          <w:p w14:paraId="0327F6BC" w14:textId="77777777" w:rsidR="00BF7697" w:rsidRPr="0088121A"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5.</w:t>
            </w:r>
            <w:r w:rsidR="008D3E6E">
              <w:rPr>
                <w:rFonts w:eastAsia="Times New Roman" w:cs="Arial"/>
                <w:color w:val="000000"/>
                <w:sz w:val="18"/>
                <w:szCs w:val="18"/>
                <w:lang w:eastAsia="en-AU"/>
              </w:rPr>
              <w:t>2</w:t>
            </w:r>
            <w:r w:rsidRPr="0088121A">
              <w:rPr>
                <w:rFonts w:eastAsia="Times New Roman" w:cs="Arial"/>
                <w:color w:val="000000"/>
                <w:sz w:val="18"/>
                <w:szCs w:val="18"/>
                <w:lang w:eastAsia="en-AU"/>
              </w:rPr>
              <w:t>%</w:t>
            </w:r>
          </w:p>
        </w:tc>
        <w:tc>
          <w:tcPr>
            <w:tcW w:w="956" w:type="dxa"/>
            <w:tcBorders>
              <w:top w:val="nil"/>
              <w:bottom w:val="single" w:sz="4" w:space="0" w:color="auto"/>
            </w:tcBorders>
            <w:noWrap/>
            <w:hideMark/>
          </w:tcPr>
          <w:p w14:paraId="2F314F15" w14:textId="77777777" w:rsidR="00BF7697" w:rsidRPr="0088121A"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4.</w:t>
            </w:r>
            <w:r w:rsidR="008D3E6E">
              <w:rPr>
                <w:rFonts w:eastAsia="Times New Roman" w:cs="Arial"/>
                <w:color w:val="000000"/>
                <w:sz w:val="18"/>
                <w:szCs w:val="18"/>
                <w:lang w:eastAsia="en-AU"/>
              </w:rPr>
              <w:t>8</w:t>
            </w:r>
            <w:r w:rsidRPr="0088121A">
              <w:rPr>
                <w:rFonts w:eastAsia="Times New Roman" w:cs="Arial"/>
                <w:color w:val="000000"/>
                <w:sz w:val="18"/>
                <w:szCs w:val="18"/>
                <w:lang w:eastAsia="en-AU"/>
              </w:rPr>
              <w:t>%</w:t>
            </w:r>
          </w:p>
        </w:tc>
        <w:tc>
          <w:tcPr>
            <w:tcW w:w="956" w:type="dxa"/>
            <w:tcBorders>
              <w:top w:val="nil"/>
              <w:bottom w:val="single" w:sz="4" w:space="0" w:color="auto"/>
            </w:tcBorders>
            <w:noWrap/>
            <w:hideMark/>
          </w:tcPr>
          <w:p w14:paraId="11B3A8BC" w14:textId="77777777" w:rsidR="00BF7697" w:rsidRPr="0088121A"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4.5%</w:t>
            </w:r>
          </w:p>
        </w:tc>
        <w:tc>
          <w:tcPr>
            <w:tcW w:w="976" w:type="dxa"/>
            <w:tcBorders>
              <w:top w:val="nil"/>
              <w:bottom w:val="single" w:sz="4" w:space="0" w:color="auto"/>
            </w:tcBorders>
            <w:noWrap/>
            <w:hideMark/>
          </w:tcPr>
          <w:p w14:paraId="345CDF15" w14:textId="77777777" w:rsidR="00BF7697" w:rsidRPr="0088121A"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4.2%</w:t>
            </w:r>
          </w:p>
        </w:tc>
        <w:tc>
          <w:tcPr>
            <w:tcW w:w="956" w:type="dxa"/>
            <w:tcBorders>
              <w:top w:val="nil"/>
              <w:bottom w:val="single" w:sz="4" w:space="0" w:color="auto"/>
            </w:tcBorders>
            <w:noWrap/>
            <w:hideMark/>
          </w:tcPr>
          <w:p w14:paraId="69E6F79A" w14:textId="77777777" w:rsidR="00BF7697" w:rsidRPr="0088121A" w:rsidRDefault="008D3E6E"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Pr>
                <w:rFonts w:eastAsia="Times New Roman" w:cs="Arial"/>
                <w:color w:val="000000"/>
                <w:sz w:val="18"/>
                <w:szCs w:val="18"/>
                <w:lang w:eastAsia="en-AU"/>
              </w:rPr>
              <w:t>4.0</w:t>
            </w:r>
            <w:r w:rsidR="00BF7697" w:rsidRPr="0088121A">
              <w:rPr>
                <w:rFonts w:eastAsia="Times New Roman" w:cs="Arial"/>
                <w:color w:val="000000"/>
                <w:sz w:val="18"/>
                <w:szCs w:val="18"/>
                <w:lang w:eastAsia="en-AU"/>
              </w:rPr>
              <w:t>%</w:t>
            </w:r>
          </w:p>
        </w:tc>
        <w:tc>
          <w:tcPr>
            <w:tcW w:w="976" w:type="dxa"/>
            <w:tcBorders>
              <w:top w:val="nil"/>
              <w:bottom w:val="single" w:sz="4" w:space="0" w:color="auto"/>
            </w:tcBorders>
            <w:noWrap/>
            <w:hideMark/>
          </w:tcPr>
          <w:p w14:paraId="5CB5BA04" w14:textId="77777777" w:rsidR="00BF7697" w:rsidRPr="0088121A" w:rsidRDefault="00BF769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3.</w:t>
            </w:r>
            <w:r w:rsidR="008D3E6E">
              <w:rPr>
                <w:rFonts w:eastAsia="Times New Roman" w:cs="Arial"/>
                <w:color w:val="000000"/>
                <w:sz w:val="18"/>
                <w:szCs w:val="18"/>
                <w:lang w:eastAsia="en-AU"/>
              </w:rPr>
              <w:t>8</w:t>
            </w:r>
            <w:r w:rsidRPr="0088121A">
              <w:rPr>
                <w:rFonts w:eastAsia="Times New Roman" w:cs="Arial"/>
                <w:color w:val="000000"/>
                <w:sz w:val="18"/>
                <w:szCs w:val="18"/>
                <w:lang w:eastAsia="en-AU"/>
              </w:rPr>
              <w:t>%</w:t>
            </w:r>
          </w:p>
        </w:tc>
        <w:tc>
          <w:tcPr>
            <w:tcW w:w="917" w:type="dxa"/>
            <w:tcBorders>
              <w:top w:val="nil"/>
              <w:bottom w:val="single" w:sz="4" w:space="0" w:color="auto"/>
            </w:tcBorders>
            <w:noWrap/>
            <w:hideMark/>
          </w:tcPr>
          <w:p w14:paraId="42AE1AF2" w14:textId="77777777" w:rsidR="00BF7697" w:rsidRPr="0088121A"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3.6%</w:t>
            </w:r>
          </w:p>
        </w:tc>
        <w:tc>
          <w:tcPr>
            <w:tcW w:w="963" w:type="dxa"/>
            <w:tcBorders>
              <w:top w:val="nil"/>
              <w:bottom w:val="single" w:sz="4" w:space="0" w:color="auto"/>
            </w:tcBorders>
            <w:noWrap/>
            <w:hideMark/>
          </w:tcPr>
          <w:p w14:paraId="2C4C9A8B" w14:textId="77777777" w:rsidR="00BF7697" w:rsidRPr="0088121A" w:rsidRDefault="00BF7697" w:rsidP="00B17C79">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88121A">
              <w:rPr>
                <w:rFonts w:eastAsia="Times New Roman" w:cs="Arial"/>
                <w:color w:val="000000"/>
                <w:sz w:val="18"/>
                <w:szCs w:val="18"/>
                <w:lang w:eastAsia="en-AU"/>
              </w:rPr>
              <w:t>3.4%</w:t>
            </w:r>
          </w:p>
        </w:tc>
      </w:tr>
    </w:tbl>
    <w:p w14:paraId="31AD78AA" w14:textId="77777777" w:rsidR="00BF7697" w:rsidRPr="00E27C87" w:rsidRDefault="00BF7697" w:rsidP="00BF7697">
      <w:pPr>
        <w:pStyle w:val="FSRnormal"/>
      </w:pPr>
      <w:r w:rsidRPr="00BE28AB">
        <w:t>The</w:t>
      </w:r>
      <w:r w:rsidR="00632122">
        <w:t xml:space="preserve"> projected</w:t>
      </w:r>
      <w:r w:rsidRPr="00BE28AB">
        <w:t xml:space="preserve"> operating </w:t>
      </w:r>
      <w:r w:rsidR="00632122">
        <w:t>expense</w:t>
      </w:r>
      <w:r w:rsidRPr="00BE28AB">
        <w:t>s of $1,7</w:t>
      </w:r>
      <w:r w:rsidR="008D3E6E">
        <w:t>80</w:t>
      </w:r>
      <w:r w:rsidRPr="00BE28AB">
        <w:t xml:space="preserve"> million in 2022-23 are approximately $</w:t>
      </w:r>
      <w:r w:rsidR="008D3E6E">
        <w:t>190</w:t>
      </w:r>
      <w:r w:rsidRPr="00BE28AB">
        <w:t xml:space="preserve"> million (or 1</w:t>
      </w:r>
      <w:r w:rsidR="008D3E6E">
        <w:t>2</w:t>
      </w:r>
      <w:r w:rsidRPr="00BE28AB">
        <w:t xml:space="preserve">%) higher than actual operating </w:t>
      </w:r>
      <w:r w:rsidR="00632122">
        <w:t>expense</w:t>
      </w:r>
      <w:r w:rsidRPr="00BE28AB">
        <w:t>s in 2021-22 (and $1</w:t>
      </w:r>
      <w:r w:rsidR="008D3E6E">
        <w:t xml:space="preserve">07 </w:t>
      </w:r>
      <w:r w:rsidRPr="00BE28AB">
        <w:t xml:space="preserve">million higher than the budgeted amount allowed for in 2021-22 in the 2022-23 PBS). In adopting an estimate which is </w:t>
      </w:r>
      <w:r w:rsidRPr="00E27C87">
        <w:t>considerably higher than both the actual and budgeted expenses in 2021-22, it is noted that:</w:t>
      </w:r>
    </w:p>
    <w:p w14:paraId="66FAEF91" w14:textId="77777777" w:rsidR="00BF7697" w:rsidRPr="00123205" w:rsidRDefault="00BF7697" w:rsidP="004E667E">
      <w:pPr>
        <w:pStyle w:val="FSRlist"/>
        <w:numPr>
          <w:ilvl w:val="0"/>
          <w:numId w:val="20"/>
        </w:numPr>
        <w:ind w:left="709" w:hanging="283"/>
        <w:rPr>
          <w:rStyle w:val="FSRlistChar"/>
        </w:rPr>
      </w:pPr>
      <w:r w:rsidRPr="00E27C87">
        <w:t>Dev</w:t>
      </w:r>
      <w:r w:rsidRPr="00363038">
        <w:t xml:space="preserve">elopment of stronger noncompliance payment controls and fraud mitigation measures, together with continued focus on sustainability initiatives and the continued improvement in participant experience (as prescribed by the Participant Service Guarantee (PSG) which was legislated in 2022), and associated outcomes requires significant investment. This investment needs to take the form of frontline capability and capacity, as well as strategic investments in broader organisation capabilities. For example, in order to meet the PSG targets, the Agency recruited additional planning staff over the second half of the 2021-22 year. Without adequate </w:t>
      </w:r>
      <w:r w:rsidRPr="00363038">
        <w:lastRenderedPageBreak/>
        <w:t>operational funding for the</w:t>
      </w:r>
      <w:r w:rsidRPr="00E27C87">
        <w:rPr>
          <w:rStyle w:val="FSRlistChar"/>
        </w:rPr>
        <w:t xml:space="preserve"> Agency, risks associated with </w:t>
      </w:r>
      <w:r w:rsidR="002B670C">
        <w:rPr>
          <w:rStyle w:val="FSRlistChar"/>
        </w:rPr>
        <w:t>Scheme expense</w:t>
      </w:r>
      <w:r w:rsidRPr="00E27C87">
        <w:rPr>
          <w:rStyle w:val="FSRlistChar"/>
        </w:rPr>
        <w:t xml:space="preserve"> increase. </w:t>
      </w:r>
      <w:r w:rsidRPr="00123205">
        <w:rPr>
          <w:rStyle w:val="FSRlistChar"/>
        </w:rPr>
        <w:t>These are quantified in Section 6.1;</w:t>
      </w:r>
    </w:p>
    <w:p w14:paraId="43C57766" w14:textId="77777777" w:rsidR="00BF7697" w:rsidRDefault="00BF7697" w:rsidP="00BF7697">
      <w:pPr>
        <w:pStyle w:val="FSRlist"/>
      </w:pPr>
      <w:r w:rsidRPr="00B931CC">
        <w:t xml:space="preserve">The adopted level of operating expenses essentially assumes a consistent level of resources per participant supported. Any reduction in operating </w:t>
      </w:r>
      <w:r w:rsidR="00632122">
        <w:t>expense</w:t>
      </w:r>
      <w:r w:rsidRPr="00B931CC">
        <w:t xml:space="preserve">s below this level is consistent with reductions in resources, increased workloads and less capacity to support participants and manage risk, including fraud and </w:t>
      </w:r>
      <w:r w:rsidR="00E5754E" w:rsidRPr="00B931CC">
        <w:t>integrity.</w:t>
      </w:r>
    </w:p>
    <w:p w14:paraId="09826936" w14:textId="77777777" w:rsidR="00BF7697" w:rsidRDefault="00BF7697" w:rsidP="00BF7697">
      <w:pPr>
        <w:pStyle w:val="FSRlist"/>
      </w:pPr>
      <w:r>
        <w:t xml:space="preserve">The budgeted expenses in the 2022-23 PBS did not </w:t>
      </w:r>
      <w:r w:rsidR="00414011">
        <w:t>consider</w:t>
      </w:r>
      <w:r>
        <w:t xml:space="preserve"> growth in participant volumes, instead providing continuation of budget from 2021-22 at the same values (with a minor adjustment for an increase in indexation). The full cost to service participant growth in 2022-23 is not able to be absorbed by the Agency; and</w:t>
      </w:r>
    </w:p>
    <w:p w14:paraId="6B0AF855" w14:textId="77777777" w:rsidR="00BF7697" w:rsidRPr="00E27C87" w:rsidRDefault="00BF7697" w:rsidP="00BF7697">
      <w:pPr>
        <w:pStyle w:val="FSRlist"/>
      </w:pPr>
      <w:r>
        <w:t>In the 2017 PC study report</w:t>
      </w:r>
      <w:r>
        <w:rPr>
          <w:rStyle w:val="FootnoteReference"/>
        </w:rPr>
        <w:footnoteReference w:id="112"/>
      </w:r>
      <w:r>
        <w:t>, a target operating expense range of 7 to 10% was recommended, and the adopted level of expenses is therefore well below the recommended range. The adopted expense rate is also at the lower end of, or below the range of expense rates seen in comparable injury support schemes around Australia, even allowing for the greater scale of the Scheme.</w:t>
      </w:r>
    </w:p>
    <w:p w14:paraId="1EE5CC2B" w14:textId="77777777" w:rsidR="00BF7697" w:rsidRPr="00837E41" w:rsidRDefault="00BF7697" w:rsidP="00BF7697">
      <w:pPr>
        <w:pStyle w:val="Heading3"/>
        <w:spacing w:before="360"/>
        <w:ind w:left="794" w:hanging="794"/>
      </w:pPr>
      <w:bookmarkStart w:id="254" w:name="_Toc83220853"/>
      <w:bookmarkStart w:id="255" w:name="_Toc118460208"/>
      <w:r w:rsidRPr="00837E41">
        <w:t>Lifetime</w:t>
      </w:r>
      <w:r w:rsidR="00632122">
        <w:t xml:space="preserve"> expense for</w:t>
      </w:r>
      <w:bookmarkEnd w:id="254"/>
      <w:r w:rsidR="003A0DAE">
        <w:t xml:space="preserve"> care and support</w:t>
      </w:r>
      <w:bookmarkEnd w:id="255"/>
    </w:p>
    <w:p w14:paraId="70D647B0" w14:textId="77777777" w:rsidR="00BF7697" w:rsidRPr="00C501DB" w:rsidRDefault="003A0DAE" w:rsidP="00BF7697">
      <w:pPr>
        <w:pStyle w:val="FSRnormal"/>
      </w:pPr>
      <w:r>
        <w:t xml:space="preserve">In addition to annual projections, the AFSR is required to include estimates of the lifetime </w:t>
      </w:r>
      <w:r w:rsidR="00632122">
        <w:t xml:space="preserve">expense for </w:t>
      </w:r>
      <w:r>
        <w:t xml:space="preserve">care and support (lifetime </w:t>
      </w:r>
      <w:r w:rsidR="008B69C2">
        <w:t>expense</w:t>
      </w:r>
      <w:r>
        <w:t>)</w:t>
      </w:r>
      <w:r w:rsidR="00BF7697">
        <w:rPr>
          <w:rStyle w:val="FootnoteReference"/>
        </w:rPr>
        <w:footnoteReference w:id="113"/>
      </w:r>
      <w:r w:rsidR="00BF7697">
        <w:t xml:space="preserve"> for participants. </w:t>
      </w:r>
      <w:r>
        <w:t xml:space="preserve">These are estimated </w:t>
      </w:r>
      <w:r w:rsidR="008C2B7B">
        <w:t>S</w:t>
      </w:r>
      <w:r>
        <w:t xml:space="preserve">cheme expenses for care and support provided </w:t>
      </w:r>
      <w:r w:rsidRPr="00C501DB">
        <w:t xml:space="preserve">over </w:t>
      </w:r>
      <w:r>
        <w:t xml:space="preserve">the </w:t>
      </w:r>
      <w:r w:rsidRPr="00C501DB">
        <w:t>participant’s entire lifetime</w:t>
      </w:r>
      <w:r w:rsidR="00BF7697" w:rsidRPr="00C501DB">
        <w:t xml:space="preserve">. They provide a useful benchmark to monitor the financial sustainability of the Scheme, as better outcomes for participants should generally result in lower long-term costs of disability support in the future. Therefore, as more experience emerges, the lifetime </w:t>
      </w:r>
      <w:r w:rsidR="008B69C2">
        <w:t>expense</w:t>
      </w:r>
      <w:r w:rsidR="00BF7697" w:rsidRPr="00C501DB">
        <w:t xml:space="preserve"> estimates for participants may be expected to reduce, on average.</w:t>
      </w:r>
    </w:p>
    <w:p w14:paraId="6789225F" w14:textId="77777777" w:rsidR="00BF7697" w:rsidRPr="00C501DB" w:rsidRDefault="00BF7697" w:rsidP="00BF7697">
      <w:pPr>
        <w:pStyle w:val="FSRnormal"/>
      </w:pPr>
      <w:r w:rsidRPr="00C501DB">
        <w:t>Av</w:t>
      </w:r>
      <w:r>
        <w:t xml:space="preserve">erage participant lifetime </w:t>
      </w:r>
      <w:r w:rsidR="008B69C2">
        <w:t>expenses have</w:t>
      </w:r>
      <w:r w:rsidRPr="00C501DB">
        <w:t xml:space="preserve"> been projected based on the assumptions underlying the baseline projections, excluding operating expenses, and then discounted to a present v</w:t>
      </w:r>
      <w:r>
        <w:t xml:space="preserve">alue </w:t>
      </w:r>
      <w:r w:rsidR="007F2B28">
        <w:t>at</w:t>
      </w:r>
      <w:r>
        <w:t xml:space="preserve"> 30 June 2022</w:t>
      </w:r>
      <w:r w:rsidRPr="00C501DB">
        <w:t xml:space="preserve"> assuming a long</w:t>
      </w:r>
      <w:r w:rsidR="009A7936">
        <w:t>-</w:t>
      </w:r>
      <w:r w:rsidRPr="00C501DB">
        <w:t>term discount rate of 5.0% per annum for all future years.</w:t>
      </w:r>
      <w:r>
        <w:rPr>
          <w:rStyle w:val="FootnoteReference"/>
        </w:rPr>
        <w:footnoteReference w:id="114"/>
      </w:r>
    </w:p>
    <w:p w14:paraId="12F88509" w14:textId="77777777" w:rsidR="00DF7014" w:rsidRDefault="00DF7014">
      <w:pPr>
        <w:spacing w:after="160" w:line="259" w:lineRule="auto"/>
      </w:pPr>
      <w:r>
        <w:br w:type="page"/>
      </w:r>
    </w:p>
    <w:p w14:paraId="63145AAC" w14:textId="77777777" w:rsidR="00BF7697" w:rsidRDefault="00BF7697" w:rsidP="006560F1">
      <w:pPr>
        <w:pStyle w:val="FSRnormal"/>
      </w:pPr>
      <w:r>
        <w:lastRenderedPageBreak/>
        <w:t xml:space="preserve">The lifetime </w:t>
      </w:r>
      <w:r w:rsidR="008B69C2">
        <w:t>expense</w:t>
      </w:r>
      <w:r>
        <w:t xml:space="preserve"> is projected separately for</w:t>
      </w:r>
      <w:r w:rsidR="00270ACD">
        <w:t xml:space="preserve"> both</w:t>
      </w:r>
      <w:r>
        <w:t xml:space="preserve">: </w:t>
      </w:r>
    </w:p>
    <w:p w14:paraId="1EE75F5D" w14:textId="77777777" w:rsidR="00BF7697" w:rsidRDefault="00BF7697" w:rsidP="006560F1">
      <w:pPr>
        <w:pStyle w:val="FSRlist"/>
      </w:pPr>
      <w:r>
        <w:t>the</w:t>
      </w:r>
      <w:r w:rsidRPr="00C501DB">
        <w:t xml:space="preserve"> </w:t>
      </w:r>
      <w:r>
        <w:t xml:space="preserve">expected </w:t>
      </w:r>
      <w:r w:rsidRPr="00C501DB">
        <w:t xml:space="preserve">cohort of new </w:t>
      </w:r>
      <w:r>
        <w:t xml:space="preserve">entrants to the </w:t>
      </w:r>
      <w:r w:rsidR="00813D58">
        <w:t>Scheme during 2022-23; and</w:t>
      </w:r>
      <w:r>
        <w:t xml:space="preserve"> </w:t>
      </w:r>
    </w:p>
    <w:p w14:paraId="2D423553" w14:textId="77777777" w:rsidR="00BF7697" w:rsidRDefault="00BF7697" w:rsidP="006560F1">
      <w:pPr>
        <w:pStyle w:val="FSRlist"/>
      </w:pPr>
      <w:r>
        <w:t xml:space="preserve">existing participants </w:t>
      </w:r>
      <w:r w:rsidR="007F2B28">
        <w:t>at</w:t>
      </w:r>
      <w:r>
        <w:t xml:space="preserve"> 30 June 2022.  </w:t>
      </w:r>
    </w:p>
    <w:p w14:paraId="60047004" w14:textId="77777777" w:rsidR="00BF7697" w:rsidRPr="006560F1" w:rsidRDefault="00BF7697" w:rsidP="006560F1">
      <w:pPr>
        <w:pStyle w:val="FSRnormal"/>
      </w:pPr>
      <w:r w:rsidRPr="006560F1">
        <w:t xml:space="preserve">The lifetime cost projection for new entrants does not include participants who are expected to join the Scheme in 2022-23 due to a Previously Unmet Need (PUN). It is intended to reflect the underlying profile, and associated cost, of new incidence </w:t>
      </w:r>
      <w:r w:rsidR="00C73CA6">
        <w:t xml:space="preserve">to disability </w:t>
      </w:r>
      <w:r w:rsidRPr="006560F1">
        <w:t xml:space="preserve">each year going forward once the Scheme reaches a steady intake state.  </w:t>
      </w:r>
    </w:p>
    <w:p w14:paraId="254A3281" w14:textId="77777777" w:rsidR="00BF7697" w:rsidRPr="006560F1" w:rsidRDefault="00295F2A" w:rsidP="006560F1">
      <w:pPr>
        <w:pStyle w:val="FSRnormal"/>
      </w:pPr>
      <w:r>
        <w:t>Table 5.31</w:t>
      </w:r>
      <w:r w:rsidR="00BF7697" w:rsidRPr="006560F1">
        <w:t xml:space="preserve"> shows the lifetime </w:t>
      </w:r>
      <w:r w:rsidR="008B69C2">
        <w:t>expense</w:t>
      </w:r>
      <w:r w:rsidR="008B69C2" w:rsidRPr="006560F1">
        <w:t xml:space="preserve">s </w:t>
      </w:r>
      <w:r w:rsidR="00BF7697" w:rsidRPr="006560F1">
        <w:t>for the estimated annual population of new entrants in 2022-23.</w:t>
      </w:r>
    </w:p>
    <w:p w14:paraId="2A804BAB" w14:textId="77777777" w:rsidR="00BF7697" w:rsidRPr="00701F81" w:rsidRDefault="00BF7697" w:rsidP="00BF7697">
      <w:pPr>
        <w:pStyle w:val="FSRnormal"/>
      </w:pPr>
      <w:r>
        <w:t xml:space="preserve">The </w:t>
      </w:r>
      <w:r w:rsidRPr="00C501DB">
        <w:t xml:space="preserve">average lifetime </w:t>
      </w:r>
      <w:r w:rsidR="008B69C2">
        <w:t>expense</w:t>
      </w:r>
      <w:r w:rsidRPr="00C501DB">
        <w:t>s</w:t>
      </w:r>
      <w:r>
        <w:t xml:space="preserve"> are calculated by </w:t>
      </w:r>
      <w:r w:rsidR="005424AC">
        <w:t>disability group</w:t>
      </w:r>
      <w:r>
        <w:t>, and</w:t>
      </w:r>
      <w:r w:rsidRPr="00C501DB">
        <w:t xml:space="preserve"> then applied to the estimated annual population of new </w:t>
      </w:r>
      <w:r>
        <w:t>entrants in 2022</w:t>
      </w:r>
      <w:r w:rsidRPr="00C501DB">
        <w:t>-</w:t>
      </w:r>
      <w:r>
        <w:t xml:space="preserve">23 to get the total lifetime </w:t>
      </w:r>
      <w:r w:rsidR="008B69C2">
        <w:t>expense</w:t>
      </w:r>
      <w:r>
        <w:t xml:space="preserve">s.  </w:t>
      </w:r>
    </w:p>
    <w:p w14:paraId="16E39991" w14:textId="77777777" w:rsidR="00BF7697" w:rsidRPr="00BB3A91" w:rsidRDefault="00BF7697" w:rsidP="00BF7697">
      <w:pPr>
        <w:pStyle w:val="Tables"/>
      </w:pPr>
      <w:bookmarkStart w:id="256" w:name="_Ref111734182"/>
      <w:bookmarkStart w:id="257" w:name="_Ref111734177"/>
      <w:r>
        <w:t xml:space="preserve">Table </w:t>
      </w:r>
      <w:fldSimple w:instr=" STYLEREF 2 \s ">
        <w:r w:rsidR="00A87896">
          <w:rPr>
            <w:noProof/>
          </w:rPr>
          <w:t>5</w:t>
        </w:r>
      </w:fldSimple>
      <w:r w:rsidR="00A87896">
        <w:t>.</w:t>
      </w:r>
      <w:fldSimple w:instr=" SEQ Table \* ARABIC \s 2 ">
        <w:r w:rsidR="00A87896">
          <w:rPr>
            <w:noProof/>
          </w:rPr>
          <w:t>31</w:t>
        </w:r>
      </w:fldSimple>
      <w:bookmarkEnd w:id="256"/>
      <w:r>
        <w:t xml:space="preserve">: </w:t>
      </w:r>
      <w:r w:rsidRPr="00AA44C0">
        <w:t xml:space="preserve">Average </w:t>
      </w:r>
      <w:r>
        <w:t xml:space="preserve">Payments </w:t>
      </w:r>
      <w:r w:rsidRPr="00AA44C0">
        <w:t xml:space="preserve">&amp; Total Lifetime </w:t>
      </w:r>
      <w:r w:rsidR="00BB3A91">
        <w:t>Expenses</w:t>
      </w:r>
      <w:r w:rsidR="00BB3A91" w:rsidRPr="00AA44C0">
        <w:t xml:space="preserve"> </w:t>
      </w:r>
      <w:r w:rsidRPr="00AA44C0">
        <w:t xml:space="preserve">for New </w:t>
      </w:r>
      <w:r>
        <w:t xml:space="preserve">Entrants </w:t>
      </w:r>
      <w:r w:rsidRPr="00AA44C0">
        <w:t>in 202</w:t>
      </w:r>
      <w:r>
        <w:t>2</w:t>
      </w:r>
      <w:r w:rsidRPr="00AA44C0">
        <w:t>-2</w:t>
      </w:r>
      <w:r>
        <w:t>3</w:t>
      </w:r>
      <w:bookmarkEnd w:id="257"/>
      <w:r w:rsidRPr="00AA44C0">
        <w:t xml:space="preserve"> </w:t>
      </w:r>
    </w:p>
    <w:tbl>
      <w:tblPr>
        <w:tblStyle w:val="FSRtable"/>
        <w:tblW w:w="0" w:type="auto"/>
        <w:tblInd w:w="5" w:type="dxa"/>
        <w:tblLayout w:type="fixed"/>
        <w:tblLook w:val="04A0" w:firstRow="1" w:lastRow="0" w:firstColumn="1" w:lastColumn="0" w:noHBand="0" w:noVBand="1"/>
      </w:tblPr>
      <w:tblGrid>
        <w:gridCol w:w="2240"/>
        <w:gridCol w:w="1700"/>
        <w:gridCol w:w="1867"/>
        <w:gridCol w:w="1701"/>
        <w:gridCol w:w="1513"/>
      </w:tblGrid>
      <w:tr w:rsidR="00BF7697" w:rsidRPr="00DF7014" w14:paraId="070A3CF5" w14:textId="77777777" w:rsidTr="009E7A4B">
        <w:trPr>
          <w:cnfStyle w:val="100000000000" w:firstRow="1" w:lastRow="0" w:firstColumn="0" w:lastColumn="0" w:oddVBand="0" w:evenVBand="0" w:oddHBand="0" w:evenHBand="0" w:firstRowFirstColumn="0" w:firstRowLastColumn="0" w:lastRowFirstColumn="0" w:lastRowLastColumn="0"/>
          <w:trHeight w:val="400"/>
          <w:tblHeader/>
        </w:trPr>
        <w:tc>
          <w:tcPr>
            <w:cnfStyle w:val="001000000000" w:firstRow="0" w:lastRow="0" w:firstColumn="1" w:lastColumn="0" w:oddVBand="0" w:evenVBand="0" w:oddHBand="0" w:evenHBand="0" w:firstRowFirstColumn="0" w:firstRowLastColumn="0" w:lastRowFirstColumn="0" w:lastRowLastColumn="0"/>
            <w:tcW w:w="2240" w:type="dxa"/>
            <w:noWrap/>
            <w:hideMark/>
          </w:tcPr>
          <w:p w14:paraId="34871D3A" w14:textId="77777777" w:rsidR="00BF7697" w:rsidRPr="00DF7014" w:rsidRDefault="00BF7697" w:rsidP="00B17C79">
            <w:pPr>
              <w:spacing w:after="0" w:line="240" w:lineRule="auto"/>
              <w:rPr>
                <w:rFonts w:eastAsia="Times New Roman"/>
                <w:bCs/>
                <w:color w:val="FFFFFF"/>
                <w:sz w:val="18"/>
                <w:szCs w:val="18"/>
                <w:lang w:eastAsia="en-AU"/>
              </w:rPr>
            </w:pPr>
            <w:r w:rsidRPr="00DF7014">
              <w:rPr>
                <w:sz w:val="18"/>
                <w:szCs w:val="18"/>
              </w:rPr>
              <w:t xml:space="preserve"> </w:t>
            </w:r>
            <w:r w:rsidR="005424AC" w:rsidRPr="00DF7014">
              <w:rPr>
                <w:rFonts w:eastAsia="Times New Roman"/>
                <w:bCs/>
                <w:color w:val="FFFFFF"/>
                <w:sz w:val="18"/>
                <w:szCs w:val="18"/>
                <w:lang w:eastAsia="en-AU"/>
              </w:rPr>
              <w:t>Disability group</w:t>
            </w:r>
          </w:p>
        </w:tc>
        <w:tc>
          <w:tcPr>
            <w:tcW w:w="1700" w:type="dxa"/>
            <w:hideMark/>
          </w:tcPr>
          <w:p w14:paraId="3E7913D6" w14:textId="77777777" w:rsidR="00BF7697" w:rsidRPr="00DF7014" w:rsidRDefault="00BF7697" w:rsidP="002D2AC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DF7014">
              <w:rPr>
                <w:rFonts w:eastAsia="Times New Roman"/>
                <w:bCs/>
                <w:color w:val="FFFFFF"/>
                <w:sz w:val="18"/>
                <w:szCs w:val="18"/>
                <w:lang w:eastAsia="en-AU"/>
              </w:rPr>
              <w:t>New</w:t>
            </w:r>
            <w:r w:rsidR="00C73CA6" w:rsidRPr="00DF7014">
              <w:rPr>
                <w:rFonts w:eastAsia="Times New Roman"/>
                <w:bCs/>
                <w:color w:val="FFFFFF"/>
                <w:sz w:val="18"/>
                <w:szCs w:val="18"/>
                <w:lang w:eastAsia="en-AU"/>
              </w:rPr>
              <w:t xml:space="preserve"> entrant</w:t>
            </w:r>
            <w:r w:rsidRPr="00DF7014">
              <w:rPr>
                <w:rFonts w:eastAsia="Times New Roman"/>
                <w:bCs/>
                <w:color w:val="FFFFFF"/>
                <w:sz w:val="18"/>
                <w:szCs w:val="18"/>
                <w:lang w:eastAsia="en-AU"/>
              </w:rPr>
              <w:t xml:space="preserve"> population (2022-23)</w:t>
            </w:r>
          </w:p>
        </w:tc>
        <w:tc>
          <w:tcPr>
            <w:tcW w:w="1867" w:type="dxa"/>
            <w:hideMark/>
          </w:tcPr>
          <w:p w14:paraId="45FAC372" w14:textId="77777777" w:rsidR="00BB3A91" w:rsidRPr="00DF7014" w:rsidRDefault="00BF7697" w:rsidP="00BB3A9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DF7014">
              <w:rPr>
                <w:rFonts w:eastAsia="Times New Roman"/>
                <w:bCs/>
                <w:color w:val="FFFFFF"/>
                <w:sz w:val="18"/>
                <w:szCs w:val="18"/>
                <w:lang w:eastAsia="en-AU"/>
              </w:rPr>
              <w:t>Average Lifetime</w:t>
            </w:r>
            <w:r w:rsidR="00BB3A91" w:rsidRPr="00DF7014">
              <w:rPr>
                <w:rFonts w:eastAsia="Times New Roman"/>
                <w:bCs/>
                <w:color w:val="FFFFFF"/>
                <w:sz w:val="18"/>
                <w:szCs w:val="18"/>
                <w:lang w:eastAsia="en-AU"/>
              </w:rPr>
              <w:t xml:space="preserve"> </w:t>
            </w:r>
          </w:p>
          <w:p w14:paraId="4028C9ED" w14:textId="77777777" w:rsidR="00BF7697" w:rsidRPr="00DF7014" w:rsidRDefault="008B69C2" w:rsidP="00F1235C">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Pr>
                <w:rFonts w:eastAsia="Times New Roman"/>
                <w:bCs/>
                <w:color w:val="FFFFFF"/>
                <w:sz w:val="18"/>
                <w:szCs w:val="18"/>
                <w:lang w:eastAsia="en-AU"/>
              </w:rPr>
              <w:t>Expense</w:t>
            </w:r>
            <w:r w:rsidR="00BF7697" w:rsidRPr="00DF7014">
              <w:rPr>
                <w:rFonts w:eastAsia="Times New Roman"/>
                <w:bCs/>
                <w:color w:val="FFFFFF"/>
                <w:sz w:val="18"/>
                <w:szCs w:val="18"/>
                <w:lang w:eastAsia="en-AU"/>
              </w:rPr>
              <w:br/>
              <w:t>($m)</w:t>
            </w:r>
          </w:p>
        </w:tc>
        <w:tc>
          <w:tcPr>
            <w:tcW w:w="1701" w:type="dxa"/>
            <w:hideMark/>
          </w:tcPr>
          <w:p w14:paraId="77D756F2" w14:textId="77777777" w:rsidR="00BF7697" w:rsidRPr="00DF7014" w:rsidRDefault="00BF7697" w:rsidP="002D2AC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DF7014">
              <w:rPr>
                <w:rFonts w:eastAsia="Times New Roman"/>
                <w:bCs/>
                <w:color w:val="FFFFFF"/>
                <w:sz w:val="18"/>
                <w:szCs w:val="18"/>
                <w:lang w:eastAsia="en-AU"/>
              </w:rPr>
              <w:t xml:space="preserve">Total Lifetime </w:t>
            </w:r>
            <w:r w:rsidR="001102D8" w:rsidRPr="00DF7014">
              <w:rPr>
                <w:rFonts w:eastAsia="Times New Roman"/>
                <w:bCs/>
                <w:color w:val="FFFFFF"/>
                <w:sz w:val="18"/>
                <w:szCs w:val="18"/>
                <w:lang w:eastAsia="en-AU"/>
              </w:rPr>
              <w:t>Expenses</w:t>
            </w:r>
            <w:r w:rsidRPr="00DF7014">
              <w:rPr>
                <w:rFonts w:eastAsia="Times New Roman"/>
                <w:bCs/>
                <w:color w:val="FFFFFF"/>
                <w:sz w:val="18"/>
                <w:szCs w:val="18"/>
                <w:lang w:eastAsia="en-AU"/>
              </w:rPr>
              <w:br/>
              <w:t>($m)</w:t>
            </w:r>
          </w:p>
        </w:tc>
        <w:tc>
          <w:tcPr>
            <w:tcW w:w="1513" w:type="dxa"/>
            <w:hideMark/>
          </w:tcPr>
          <w:p w14:paraId="1B2F778E" w14:textId="77777777" w:rsidR="00BF7697" w:rsidRPr="00DF7014" w:rsidRDefault="00BF7697" w:rsidP="002D2AC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DF7014">
              <w:rPr>
                <w:rFonts w:eastAsia="Times New Roman"/>
                <w:bCs/>
                <w:color w:val="FFFFFF"/>
                <w:sz w:val="18"/>
                <w:szCs w:val="18"/>
                <w:lang w:eastAsia="en-AU"/>
              </w:rPr>
              <w:t xml:space="preserve">Total Lifetime </w:t>
            </w:r>
            <w:r w:rsidR="00F605C2" w:rsidRPr="00DF7014">
              <w:rPr>
                <w:rFonts w:eastAsia="Times New Roman"/>
                <w:bCs/>
                <w:color w:val="FFFFFF"/>
                <w:sz w:val="18"/>
                <w:szCs w:val="18"/>
                <w:lang w:eastAsia="en-AU"/>
              </w:rPr>
              <w:t xml:space="preserve">Expenses </w:t>
            </w:r>
            <w:r w:rsidRPr="00DF7014">
              <w:rPr>
                <w:rFonts w:eastAsia="Times New Roman"/>
                <w:bCs/>
                <w:color w:val="FFFFFF"/>
                <w:sz w:val="18"/>
                <w:szCs w:val="18"/>
                <w:lang w:eastAsia="en-AU"/>
              </w:rPr>
              <w:br/>
              <w:t>(%)</w:t>
            </w:r>
          </w:p>
        </w:tc>
      </w:tr>
      <w:tr w:rsidR="00BB3A91" w:rsidRPr="00DF7014" w14:paraId="39873DE4" w14:textId="77777777" w:rsidTr="00DA3F73">
        <w:trPr>
          <w:trHeight w:val="303"/>
        </w:trPr>
        <w:tc>
          <w:tcPr>
            <w:cnfStyle w:val="001000000000" w:firstRow="0" w:lastRow="0" w:firstColumn="1" w:lastColumn="0" w:oddVBand="0" w:evenVBand="0" w:oddHBand="0" w:evenHBand="0" w:firstRowFirstColumn="0" w:firstRowLastColumn="0" w:lastRowFirstColumn="0" w:lastRowLastColumn="0"/>
            <w:tcW w:w="2240" w:type="dxa"/>
            <w:noWrap/>
          </w:tcPr>
          <w:p w14:paraId="2ED14996"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ABI</w:t>
            </w:r>
          </w:p>
        </w:tc>
        <w:tc>
          <w:tcPr>
            <w:tcW w:w="1700" w:type="dxa"/>
            <w:noWrap/>
          </w:tcPr>
          <w:p w14:paraId="2E00DD61"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1,121</w:t>
            </w:r>
          </w:p>
        </w:tc>
        <w:tc>
          <w:tcPr>
            <w:tcW w:w="1867" w:type="dxa"/>
            <w:noWrap/>
          </w:tcPr>
          <w:p w14:paraId="72399C90"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2.30</w:t>
            </w:r>
          </w:p>
        </w:tc>
        <w:tc>
          <w:tcPr>
            <w:tcW w:w="1701" w:type="dxa"/>
            <w:noWrap/>
          </w:tcPr>
          <w:p w14:paraId="273847B6"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2,581</w:t>
            </w:r>
          </w:p>
        </w:tc>
        <w:tc>
          <w:tcPr>
            <w:tcW w:w="1513" w:type="dxa"/>
            <w:noWrap/>
          </w:tcPr>
          <w:p w14:paraId="3523CD49"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3%</w:t>
            </w:r>
          </w:p>
        </w:tc>
      </w:tr>
      <w:tr w:rsidR="00BB3A91" w:rsidRPr="00DF7014" w14:paraId="54EAFAD8" w14:textId="77777777" w:rsidTr="00DA3F73">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0" w:type="dxa"/>
            <w:noWrap/>
          </w:tcPr>
          <w:p w14:paraId="145E1B8A"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Autism</w:t>
            </w:r>
          </w:p>
        </w:tc>
        <w:tc>
          <w:tcPr>
            <w:tcW w:w="1700" w:type="dxa"/>
            <w:noWrap/>
          </w:tcPr>
          <w:p w14:paraId="79532A16"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19,702</w:t>
            </w:r>
          </w:p>
        </w:tc>
        <w:tc>
          <w:tcPr>
            <w:tcW w:w="1867" w:type="dxa"/>
            <w:noWrap/>
          </w:tcPr>
          <w:p w14:paraId="06828D99"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1.91</w:t>
            </w:r>
          </w:p>
        </w:tc>
        <w:tc>
          <w:tcPr>
            <w:tcW w:w="1701" w:type="dxa"/>
            <w:noWrap/>
          </w:tcPr>
          <w:p w14:paraId="597EE6F2"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37,725</w:t>
            </w:r>
          </w:p>
        </w:tc>
        <w:tc>
          <w:tcPr>
            <w:tcW w:w="1513" w:type="dxa"/>
            <w:noWrap/>
          </w:tcPr>
          <w:p w14:paraId="746EACE0"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39%</w:t>
            </w:r>
          </w:p>
        </w:tc>
      </w:tr>
      <w:tr w:rsidR="00BB3A91" w:rsidRPr="00DF7014" w14:paraId="05DBF7D0" w14:textId="77777777" w:rsidTr="00DA3F73">
        <w:trPr>
          <w:trHeight w:val="303"/>
        </w:trPr>
        <w:tc>
          <w:tcPr>
            <w:cnfStyle w:val="001000000000" w:firstRow="0" w:lastRow="0" w:firstColumn="1" w:lastColumn="0" w:oddVBand="0" w:evenVBand="0" w:oddHBand="0" w:evenHBand="0" w:firstRowFirstColumn="0" w:firstRowLastColumn="0" w:lastRowFirstColumn="0" w:lastRowLastColumn="0"/>
            <w:tcW w:w="2240" w:type="dxa"/>
            <w:noWrap/>
          </w:tcPr>
          <w:p w14:paraId="55A618D8"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Cerebral Palsy</w:t>
            </w:r>
          </w:p>
        </w:tc>
        <w:tc>
          <w:tcPr>
            <w:tcW w:w="1700" w:type="dxa"/>
            <w:noWrap/>
          </w:tcPr>
          <w:p w14:paraId="6013F148"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467</w:t>
            </w:r>
          </w:p>
        </w:tc>
        <w:tc>
          <w:tcPr>
            <w:tcW w:w="1867" w:type="dxa"/>
            <w:noWrap/>
          </w:tcPr>
          <w:p w14:paraId="781C36B0"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2.18</w:t>
            </w:r>
          </w:p>
        </w:tc>
        <w:tc>
          <w:tcPr>
            <w:tcW w:w="1701" w:type="dxa"/>
            <w:noWrap/>
          </w:tcPr>
          <w:p w14:paraId="6D6AEE7A"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1,020</w:t>
            </w:r>
          </w:p>
        </w:tc>
        <w:tc>
          <w:tcPr>
            <w:tcW w:w="1513" w:type="dxa"/>
            <w:noWrap/>
          </w:tcPr>
          <w:p w14:paraId="3A4BB7EE"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w:t>
            </w:r>
          </w:p>
        </w:tc>
      </w:tr>
      <w:tr w:rsidR="00BB3A91" w:rsidRPr="00DF7014" w14:paraId="68A37751" w14:textId="77777777" w:rsidTr="00DA3F73">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0" w:type="dxa"/>
            <w:noWrap/>
          </w:tcPr>
          <w:p w14:paraId="62BE8B93"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Hearing Impairment</w:t>
            </w:r>
          </w:p>
        </w:tc>
        <w:tc>
          <w:tcPr>
            <w:tcW w:w="1700" w:type="dxa"/>
            <w:noWrap/>
          </w:tcPr>
          <w:p w14:paraId="42FD7C44"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2,357</w:t>
            </w:r>
          </w:p>
        </w:tc>
        <w:tc>
          <w:tcPr>
            <w:tcW w:w="1867" w:type="dxa"/>
            <w:noWrap/>
          </w:tcPr>
          <w:p w14:paraId="11950BD5"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0.22</w:t>
            </w:r>
          </w:p>
        </w:tc>
        <w:tc>
          <w:tcPr>
            <w:tcW w:w="1701" w:type="dxa"/>
            <w:noWrap/>
          </w:tcPr>
          <w:p w14:paraId="1DF396AA"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510</w:t>
            </w:r>
          </w:p>
        </w:tc>
        <w:tc>
          <w:tcPr>
            <w:tcW w:w="1513" w:type="dxa"/>
            <w:noWrap/>
          </w:tcPr>
          <w:p w14:paraId="24E7B8A6"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w:t>
            </w:r>
          </w:p>
        </w:tc>
      </w:tr>
      <w:tr w:rsidR="00BB3A91" w:rsidRPr="00DF7014" w14:paraId="14BEA691" w14:textId="77777777" w:rsidTr="00DA3F73">
        <w:trPr>
          <w:trHeight w:val="303"/>
        </w:trPr>
        <w:tc>
          <w:tcPr>
            <w:cnfStyle w:val="001000000000" w:firstRow="0" w:lastRow="0" w:firstColumn="1" w:lastColumn="0" w:oddVBand="0" w:evenVBand="0" w:oddHBand="0" w:evenHBand="0" w:firstRowFirstColumn="0" w:firstRowLastColumn="0" w:lastRowFirstColumn="0" w:lastRowLastColumn="0"/>
            <w:tcW w:w="2240" w:type="dxa"/>
            <w:noWrap/>
          </w:tcPr>
          <w:p w14:paraId="62255569"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Intellectual Disability</w:t>
            </w:r>
          </w:p>
        </w:tc>
        <w:tc>
          <w:tcPr>
            <w:tcW w:w="1700" w:type="dxa"/>
            <w:noWrap/>
          </w:tcPr>
          <w:p w14:paraId="4D4A8811"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4,503</w:t>
            </w:r>
          </w:p>
        </w:tc>
        <w:tc>
          <w:tcPr>
            <w:tcW w:w="1867" w:type="dxa"/>
            <w:noWrap/>
          </w:tcPr>
          <w:p w14:paraId="3F52D5BC"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2.83</w:t>
            </w:r>
          </w:p>
        </w:tc>
        <w:tc>
          <w:tcPr>
            <w:tcW w:w="1701" w:type="dxa"/>
            <w:noWrap/>
          </w:tcPr>
          <w:p w14:paraId="67DE53CD"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12,727</w:t>
            </w:r>
          </w:p>
        </w:tc>
        <w:tc>
          <w:tcPr>
            <w:tcW w:w="1513" w:type="dxa"/>
            <w:noWrap/>
          </w:tcPr>
          <w:p w14:paraId="5741DCC0"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13%</w:t>
            </w:r>
          </w:p>
        </w:tc>
      </w:tr>
      <w:tr w:rsidR="00BB3A91" w:rsidRPr="00DF7014" w14:paraId="640D4BB0" w14:textId="77777777" w:rsidTr="00DA3F73">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0" w:type="dxa"/>
            <w:noWrap/>
          </w:tcPr>
          <w:p w14:paraId="7108C2F8"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Multiple Sclerosis</w:t>
            </w:r>
          </w:p>
        </w:tc>
        <w:tc>
          <w:tcPr>
            <w:tcW w:w="1700" w:type="dxa"/>
            <w:noWrap/>
          </w:tcPr>
          <w:p w14:paraId="782C8A11"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903</w:t>
            </w:r>
          </w:p>
        </w:tc>
        <w:tc>
          <w:tcPr>
            <w:tcW w:w="1867" w:type="dxa"/>
            <w:noWrap/>
          </w:tcPr>
          <w:p w14:paraId="5FB9B69E"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1.25</w:t>
            </w:r>
          </w:p>
        </w:tc>
        <w:tc>
          <w:tcPr>
            <w:tcW w:w="1701" w:type="dxa"/>
            <w:noWrap/>
          </w:tcPr>
          <w:p w14:paraId="729FC2C2"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1,126</w:t>
            </w:r>
          </w:p>
        </w:tc>
        <w:tc>
          <w:tcPr>
            <w:tcW w:w="1513" w:type="dxa"/>
            <w:noWrap/>
          </w:tcPr>
          <w:p w14:paraId="75FF73E0"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w:t>
            </w:r>
          </w:p>
        </w:tc>
      </w:tr>
      <w:tr w:rsidR="00BB3A91" w:rsidRPr="00DF7014" w14:paraId="5B0AB785" w14:textId="77777777" w:rsidTr="00DA3F73">
        <w:trPr>
          <w:trHeight w:val="303"/>
        </w:trPr>
        <w:tc>
          <w:tcPr>
            <w:cnfStyle w:val="001000000000" w:firstRow="0" w:lastRow="0" w:firstColumn="1" w:lastColumn="0" w:oddVBand="0" w:evenVBand="0" w:oddHBand="0" w:evenHBand="0" w:firstRowFirstColumn="0" w:firstRowLastColumn="0" w:lastRowFirstColumn="0" w:lastRowLastColumn="0"/>
            <w:tcW w:w="2240" w:type="dxa"/>
            <w:noWrap/>
          </w:tcPr>
          <w:p w14:paraId="6D1D8DC1"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Developmental Delay</w:t>
            </w:r>
          </w:p>
        </w:tc>
        <w:tc>
          <w:tcPr>
            <w:tcW w:w="1700" w:type="dxa"/>
            <w:noWrap/>
          </w:tcPr>
          <w:p w14:paraId="21D417C1"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21,530</w:t>
            </w:r>
          </w:p>
        </w:tc>
        <w:tc>
          <w:tcPr>
            <w:tcW w:w="1867" w:type="dxa"/>
            <w:noWrap/>
          </w:tcPr>
          <w:p w14:paraId="60A01DA7"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1.18</w:t>
            </w:r>
          </w:p>
        </w:tc>
        <w:tc>
          <w:tcPr>
            <w:tcW w:w="1701" w:type="dxa"/>
            <w:noWrap/>
          </w:tcPr>
          <w:p w14:paraId="799E8800"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25,363</w:t>
            </w:r>
          </w:p>
        </w:tc>
        <w:tc>
          <w:tcPr>
            <w:tcW w:w="1513" w:type="dxa"/>
            <w:noWrap/>
          </w:tcPr>
          <w:p w14:paraId="51D45D43"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26%</w:t>
            </w:r>
          </w:p>
        </w:tc>
      </w:tr>
      <w:tr w:rsidR="00BB3A91" w:rsidRPr="00DF7014" w14:paraId="36A8E70E" w14:textId="77777777" w:rsidTr="00DA3F73">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0" w:type="dxa"/>
            <w:noWrap/>
          </w:tcPr>
          <w:p w14:paraId="452F3D89"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Other</w:t>
            </w:r>
          </w:p>
        </w:tc>
        <w:tc>
          <w:tcPr>
            <w:tcW w:w="1700" w:type="dxa"/>
            <w:noWrap/>
          </w:tcPr>
          <w:p w14:paraId="405890E7"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1,766</w:t>
            </w:r>
          </w:p>
        </w:tc>
        <w:tc>
          <w:tcPr>
            <w:tcW w:w="1867" w:type="dxa"/>
            <w:noWrap/>
          </w:tcPr>
          <w:p w14:paraId="20BBC97C"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0.96</w:t>
            </w:r>
          </w:p>
        </w:tc>
        <w:tc>
          <w:tcPr>
            <w:tcW w:w="1701" w:type="dxa"/>
            <w:noWrap/>
          </w:tcPr>
          <w:p w14:paraId="5F2D4C2C"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1,697</w:t>
            </w:r>
          </w:p>
        </w:tc>
        <w:tc>
          <w:tcPr>
            <w:tcW w:w="1513" w:type="dxa"/>
            <w:noWrap/>
          </w:tcPr>
          <w:p w14:paraId="67D021AD"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2%</w:t>
            </w:r>
          </w:p>
        </w:tc>
      </w:tr>
      <w:tr w:rsidR="00BB3A91" w:rsidRPr="00DF7014" w14:paraId="79FF6D55" w14:textId="77777777" w:rsidTr="00DA3F73">
        <w:trPr>
          <w:trHeight w:val="303"/>
        </w:trPr>
        <w:tc>
          <w:tcPr>
            <w:cnfStyle w:val="001000000000" w:firstRow="0" w:lastRow="0" w:firstColumn="1" w:lastColumn="0" w:oddVBand="0" w:evenVBand="0" w:oddHBand="0" w:evenHBand="0" w:firstRowFirstColumn="0" w:firstRowLastColumn="0" w:lastRowFirstColumn="0" w:lastRowLastColumn="0"/>
            <w:tcW w:w="2240" w:type="dxa"/>
            <w:noWrap/>
          </w:tcPr>
          <w:p w14:paraId="08B4CB92"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Other Neurological</w:t>
            </w:r>
          </w:p>
        </w:tc>
        <w:tc>
          <w:tcPr>
            <w:tcW w:w="1700" w:type="dxa"/>
            <w:noWrap/>
          </w:tcPr>
          <w:p w14:paraId="1AF25E75"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2,263</w:t>
            </w:r>
          </w:p>
        </w:tc>
        <w:tc>
          <w:tcPr>
            <w:tcW w:w="1867" w:type="dxa"/>
            <w:noWrap/>
          </w:tcPr>
          <w:p w14:paraId="5F1E6DBE"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1.25</w:t>
            </w:r>
          </w:p>
        </w:tc>
        <w:tc>
          <w:tcPr>
            <w:tcW w:w="1701" w:type="dxa"/>
            <w:noWrap/>
          </w:tcPr>
          <w:p w14:paraId="2D64F78D"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2,836</w:t>
            </w:r>
          </w:p>
        </w:tc>
        <w:tc>
          <w:tcPr>
            <w:tcW w:w="1513" w:type="dxa"/>
            <w:noWrap/>
          </w:tcPr>
          <w:p w14:paraId="1579BAC9"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3%</w:t>
            </w:r>
          </w:p>
        </w:tc>
      </w:tr>
      <w:tr w:rsidR="00BB3A91" w:rsidRPr="00DF7014" w14:paraId="19836EA8" w14:textId="77777777" w:rsidTr="00DA3F73">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0" w:type="dxa"/>
            <w:noWrap/>
          </w:tcPr>
          <w:p w14:paraId="57125E8C"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Other Physical</w:t>
            </w:r>
          </w:p>
        </w:tc>
        <w:tc>
          <w:tcPr>
            <w:tcW w:w="1700" w:type="dxa"/>
            <w:noWrap/>
          </w:tcPr>
          <w:p w14:paraId="76C206AF"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1,514</w:t>
            </w:r>
          </w:p>
        </w:tc>
        <w:tc>
          <w:tcPr>
            <w:tcW w:w="1867" w:type="dxa"/>
            <w:noWrap/>
          </w:tcPr>
          <w:p w14:paraId="0C876203"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0.86</w:t>
            </w:r>
          </w:p>
        </w:tc>
        <w:tc>
          <w:tcPr>
            <w:tcW w:w="1701" w:type="dxa"/>
            <w:noWrap/>
          </w:tcPr>
          <w:p w14:paraId="40C7B913"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1,307</w:t>
            </w:r>
          </w:p>
        </w:tc>
        <w:tc>
          <w:tcPr>
            <w:tcW w:w="1513" w:type="dxa"/>
            <w:noWrap/>
          </w:tcPr>
          <w:p w14:paraId="4913D948"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w:t>
            </w:r>
          </w:p>
        </w:tc>
      </w:tr>
      <w:tr w:rsidR="00BB3A91" w:rsidRPr="00DF7014" w14:paraId="334753B4" w14:textId="77777777" w:rsidTr="00DA3F73">
        <w:trPr>
          <w:trHeight w:val="303"/>
        </w:trPr>
        <w:tc>
          <w:tcPr>
            <w:cnfStyle w:val="001000000000" w:firstRow="0" w:lastRow="0" w:firstColumn="1" w:lastColumn="0" w:oddVBand="0" w:evenVBand="0" w:oddHBand="0" w:evenHBand="0" w:firstRowFirstColumn="0" w:firstRowLastColumn="0" w:lastRowFirstColumn="0" w:lastRowLastColumn="0"/>
            <w:tcW w:w="2240" w:type="dxa"/>
            <w:noWrap/>
          </w:tcPr>
          <w:p w14:paraId="6238F227"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Other Sensory Speech</w:t>
            </w:r>
          </w:p>
        </w:tc>
        <w:tc>
          <w:tcPr>
            <w:tcW w:w="1700" w:type="dxa"/>
            <w:noWrap/>
          </w:tcPr>
          <w:p w14:paraId="3DAEBB2D"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83</w:t>
            </w:r>
          </w:p>
        </w:tc>
        <w:tc>
          <w:tcPr>
            <w:tcW w:w="1867" w:type="dxa"/>
            <w:noWrap/>
          </w:tcPr>
          <w:p w14:paraId="734F9499"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0.06</w:t>
            </w:r>
          </w:p>
        </w:tc>
        <w:tc>
          <w:tcPr>
            <w:tcW w:w="1701" w:type="dxa"/>
            <w:noWrap/>
          </w:tcPr>
          <w:p w14:paraId="4F0496F6"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5</w:t>
            </w:r>
          </w:p>
        </w:tc>
        <w:tc>
          <w:tcPr>
            <w:tcW w:w="1513" w:type="dxa"/>
            <w:noWrap/>
          </w:tcPr>
          <w:p w14:paraId="7E202C10"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0%</w:t>
            </w:r>
          </w:p>
        </w:tc>
      </w:tr>
      <w:tr w:rsidR="00BB3A91" w:rsidRPr="00DF7014" w14:paraId="75077D22" w14:textId="77777777" w:rsidTr="00DA3F73">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0" w:type="dxa"/>
            <w:noWrap/>
          </w:tcPr>
          <w:p w14:paraId="5262FDD3"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Psychosocial disability</w:t>
            </w:r>
          </w:p>
        </w:tc>
        <w:tc>
          <w:tcPr>
            <w:tcW w:w="1700" w:type="dxa"/>
            <w:noWrap/>
          </w:tcPr>
          <w:p w14:paraId="3AB074E6"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5,405</w:t>
            </w:r>
          </w:p>
        </w:tc>
        <w:tc>
          <w:tcPr>
            <w:tcW w:w="1867" w:type="dxa"/>
            <w:noWrap/>
          </w:tcPr>
          <w:p w14:paraId="1E816EF4"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1.43</w:t>
            </w:r>
          </w:p>
        </w:tc>
        <w:tc>
          <w:tcPr>
            <w:tcW w:w="1701" w:type="dxa"/>
            <w:noWrap/>
          </w:tcPr>
          <w:p w14:paraId="668A407C"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7,750</w:t>
            </w:r>
          </w:p>
        </w:tc>
        <w:tc>
          <w:tcPr>
            <w:tcW w:w="1513" w:type="dxa"/>
            <w:noWrap/>
          </w:tcPr>
          <w:p w14:paraId="60D8B793"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8%</w:t>
            </w:r>
          </w:p>
        </w:tc>
      </w:tr>
      <w:tr w:rsidR="00BB3A91" w:rsidRPr="00DF7014" w14:paraId="7FECA558" w14:textId="77777777" w:rsidTr="00DA3F73">
        <w:trPr>
          <w:trHeight w:val="303"/>
        </w:trPr>
        <w:tc>
          <w:tcPr>
            <w:cnfStyle w:val="001000000000" w:firstRow="0" w:lastRow="0" w:firstColumn="1" w:lastColumn="0" w:oddVBand="0" w:evenVBand="0" w:oddHBand="0" w:evenHBand="0" w:firstRowFirstColumn="0" w:firstRowLastColumn="0" w:lastRowFirstColumn="0" w:lastRowLastColumn="0"/>
            <w:tcW w:w="2240" w:type="dxa"/>
            <w:noWrap/>
          </w:tcPr>
          <w:p w14:paraId="3B586F6C"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Spinal Cord Injury</w:t>
            </w:r>
          </w:p>
        </w:tc>
        <w:tc>
          <w:tcPr>
            <w:tcW w:w="1700" w:type="dxa"/>
            <w:noWrap/>
          </w:tcPr>
          <w:p w14:paraId="4AB755A1"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264</w:t>
            </w:r>
          </w:p>
        </w:tc>
        <w:tc>
          <w:tcPr>
            <w:tcW w:w="1867" w:type="dxa"/>
            <w:noWrap/>
          </w:tcPr>
          <w:p w14:paraId="765CE1B1"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3.04</w:t>
            </w:r>
          </w:p>
        </w:tc>
        <w:tc>
          <w:tcPr>
            <w:tcW w:w="1701" w:type="dxa"/>
            <w:noWrap/>
          </w:tcPr>
          <w:p w14:paraId="644B4C31"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802</w:t>
            </w:r>
          </w:p>
        </w:tc>
        <w:tc>
          <w:tcPr>
            <w:tcW w:w="1513" w:type="dxa"/>
            <w:noWrap/>
          </w:tcPr>
          <w:p w14:paraId="37B6EE9C"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w:t>
            </w:r>
          </w:p>
        </w:tc>
      </w:tr>
      <w:tr w:rsidR="00BB3A91" w:rsidRPr="00DF7014" w14:paraId="74F99556" w14:textId="77777777" w:rsidTr="00DA3F73">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0" w:type="dxa"/>
            <w:noWrap/>
          </w:tcPr>
          <w:p w14:paraId="34901688"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Stroke</w:t>
            </w:r>
          </w:p>
        </w:tc>
        <w:tc>
          <w:tcPr>
            <w:tcW w:w="1700" w:type="dxa"/>
            <w:noWrap/>
          </w:tcPr>
          <w:p w14:paraId="16BD3919"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1,078</w:t>
            </w:r>
          </w:p>
        </w:tc>
        <w:tc>
          <w:tcPr>
            <w:tcW w:w="1867" w:type="dxa"/>
            <w:noWrap/>
          </w:tcPr>
          <w:p w14:paraId="744437D0"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1.63</w:t>
            </w:r>
          </w:p>
        </w:tc>
        <w:tc>
          <w:tcPr>
            <w:tcW w:w="1701" w:type="dxa"/>
            <w:noWrap/>
          </w:tcPr>
          <w:p w14:paraId="781E2E8E"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1,760</w:t>
            </w:r>
          </w:p>
        </w:tc>
        <w:tc>
          <w:tcPr>
            <w:tcW w:w="1513" w:type="dxa"/>
            <w:noWrap/>
          </w:tcPr>
          <w:p w14:paraId="38ECF180"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2%</w:t>
            </w:r>
          </w:p>
        </w:tc>
      </w:tr>
      <w:tr w:rsidR="00BB3A91" w:rsidRPr="00DF7014" w14:paraId="58FDFC7A" w14:textId="77777777" w:rsidTr="00DA3F73">
        <w:trPr>
          <w:trHeight w:val="303"/>
        </w:trPr>
        <w:tc>
          <w:tcPr>
            <w:cnfStyle w:val="001000000000" w:firstRow="0" w:lastRow="0" w:firstColumn="1" w:lastColumn="0" w:oddVBand="0" w:evenVBand="0" w:oddHBand="0" w:evenHBand="0" w:firstRowFirstColumn="0" w:firstRowLastColumn="0" w:lastRowFirstColumn="0" w:lastRowLastColumn="0"/>
            <w:tcW w:w="2240" w:type="dxa"/>
            <w:tcBorders>
              <w:bottom w:val="single" w:sz="4" w:space="0" w:color="auto"/>
            </w:tcBorders>
            <w:noWrap/>
          </w:tcPr>
          <w:p w14:paraId="25E2FC47" w14:textId="77777777" w:rsidR="00BB3A91" w:rsidRPr="00DF7014" w:rsidRDefault="00BB3A91" w:rsidP="00BB3A91">
            <w:pPr>
              <w:spacing w:after="0" w:line="240" w:lineRule="auto"/>
              <w:rPr>
                <w:rFonts w:eastAsia="Times New Roman" w:cs="Arial"/>
                <w:color w:val="000000"/>
                <w:sz w:val="18"/>
                <w:szCs w:val="18"/>
                <w:lang w:eastAsia="en-AU"/>
              </w:rPr>
            </w:pPr>
            <w:r w:rsidRPr="00252EAF">
              <w:rPr>
                <w:rFonts w:eastAsia="Times New Roman" w:cs="Arial"/>
                <w:sz w:val="18"/>
                <w:szCs w:val="18"/>
                <w:lang w:eastAsia="en-AU"/>
              </w:rPr>
              <w:t>Visual Impairment</w:t>
            </w:r>
          </w:p>
        </w:tc>
        <w:tc>
          <w:tcPr>
            <w:tcW w:w="1700" w:type="dxa"/>
            <w:tcBorders>
              <w:bottom w:val="single" w:sz="4" w:space="0" w:color="auto"/>
            </w:tcBorders>
            <w:noWrap/>
          </w:tcPr>
          <w:p w14:paraId="0FF50956"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585</w:t>
            </w:r>
          </w:p>
        </w:tc>
        <w:tc>
          <w:tcPr>
            <w:tcW w:w="1867" w:type="dxa"/>
            <w:tcBorders>
              <w:bottom w:val="single" w:sz="4" w:space="0" w:color="auto"/>
            </w:tcBorders>
            <w:noWrap/>
          </w:tcPr>
          <w:p w14:paraId="4673DE0A"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0.76</w:t>
            </w:r>
          </w:p>
        </w:tc>
        <w:tc>
          <w:tcPr>
            <w:tcW w:w="1701" w:type="dxa"/>
            <w:tcBorders>
              <w:bottom w:val="single" w:sz="4" w:space="0" w:color="auto"/>
            </w:tcBorders>
            <w:noWrap/>
          </w:tcPr>
          <w:p w14:paraId="661A0F81"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443</w:t>
            </w:r>
          </w:p>
        </w:tc>
        <w:tc>
          <w:tcPr>
            <w:tcW w:w="1513" w:type="dxa"/>
            <w:tcBorders>
              <w:bottom w:val="single" w:sz="4" w:space="0" w:color="auto"/>
            </w:tcBorders>
            <w:noWrap/>
          </w:tcPr>
          <w:p w14:paraId="10D1BAF5"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0%</w:t>
            </w:r>
          </w:p>
        </w:tc>
      </w:tr>
      <w:tr w:rsidR="00BB3A91" w:rsidRPr="00DF7014" w14:paraId="69ABA041" w14:textId="77777777" w:rsidTr="00DA3F73">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0" w:type="dxa"/>
            <w:tcBorders>
              <w:top w:val="single" w:sz="4" w:space="0" w:color="auto"/>
              <w:bottom w:val="single" w:sz="4" w:space="0" w:color="auto"/>
            </w:tcBorders>
            <w:shd w:val="clear" w:color="auto" w:fill="D4C5D7"/>
            <w:noWrap/>
          </w:tcPr>
          <w:p w14:paraId="22CBCC5C" w14:textId="77777777" w:rsidR="00BB3A91" w:rsidRPr="00DF7014" w:rsidRDefault="00BB3A91" w:rsidP="00BB3A91">
            <w:pPr>
              <w:spacing w:after="0" w:line="240" w:lineRule="auto"/>
              <w:rPr>
                <w:rFonts w:eastAsia="Times New Roman" w:cs="Arial"/>
                <w:b/>
                <w:bCs/>
                <w:color w:val="000000"/>
                <w:sz w:val="18"/>
                <w:szCs w:val="18"/>
                <w:lang w:eastAsia="en-AU"/>
              </w:rPr>
            </w:pPr>
            <w:r w:rsidRPr="00252EAF">
              <w:rPr>
                <w:rFonts w:eastAsia="Times New Roman" w:cs="Arial"/>
                <w:b/>
                <w:bCs/>
                <w:sz w:val="18"/>
                <w:szCs w:val="18"/>
                <w:lang w:eastAsia="en-AU"/>
              </w:rPr>
              <w:t>Total</w:t>
            </w:r>
          </w:p>
        </w:tc>
        <w:tc>
          <w:tcPr>
            <w:tcW w:w="1700" w:type="dxa"/>
            <w:tcBorders>
              <w:top w:val="single" w:sz="4" w:space="0" w:color="auto"/>
              <w:bottom w:val="single" w:sz="4" w:space="0" w:color="auto"/>
            </w:tcBorders>
            <w:shd w:val="clear" w:color="auto" w:fill="D4C5D7"/>
            <w:noWrap/>
          </w:tcPr>
          <w:p w14:paraId="7F6B9872"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252EAF">
              <w:rPr>
                <w:rFonts w:eastAsia="Times New Roman" w:cs="Arial"/>
                <w:b/>
                <w:bCs/>
                <w:sz w:val="18"/>
                <w:szCs w:val="18"/>
                <w:lang w:eastAsia="en-AU"/>
              </w:rPr>
              <w:t>63,539</w:t>
            </w:r>
          </w:p>
        </w:tc>
        <w:tc>
          <w:tcPr>
            <w:tcW w:w="1867" w:type="dxa"/>
            <w:tcBorders>
              <w:top w:val="single" w:sz="4" w:space="0" w:color="auto"/>
              <w:bottom w:val="single" w:sz="4" w:space="0" w:color="auto"/>
            </w:tcBorders>
            <w:shd w:val="clear" w:color="auto" w:fill="D4C5D7"/>
            <w:noWrap/>
          </w:tcPr>
          <w:p w14:paraId="5DC44200"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252EAF">
              <w:rPr>
                <w:rFonts w:eastAsia="Times New Roman" w:cs="Arial"/>
                <w:b/>
                <w:bCs/>
                <w:sz w:val="18"/>
                <w:szCs w:val="18"/>
                <w:lang w:eastAsia="en-AU"/>
              </w:rPr>
              <w:t>1.54</w:t>
            </w:r>
          </w:p>
        </w:tc>
        <w:tc>
          <w:tcPr>
            <w:tcW w:w="1701" w:type="dxa"/>
            <w:tcBorders>
              <w:top w:val="single" w:sz="4" w:space="0" w:color="auto"/>
              <w:bottom w:val="single" w:sz="4" w:space="0" w:color="auto"/>
            </w:tcBorders>
            <w:shd w:val="clear" w:color="auto" w:fill="D4C5D7"/>
            <w:noWrap/>
          </w:tcPr>
          <w:p w14:paraId="4D24EC1E"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252EAF">
              <w:rPr>
                <w:rFonts w:eastAsia="Times New Roman" w:cs="Arial"/>
                <w:b/>
                <w:bCs/>
                <w:sz w:val="18"/>
                <w:szCs w:val="18"/>
                <w:lang w:eastAsia="en-AU"/>
              </w:rPr>
              <w:t>97,651</w:t>
            </w:r>
          </w:p>
        </w:tc>
        <w:tc>
          <w:tcPr>
            <w:tcW w:w="1513" w:type="dxa"/>
            <w:tcBorders>
              <w:top w:val="single" w:sz="4" w:space="0" w:color="auto"/>
              <w:bottom w:val="single" w:sz="4" w:space="0" w:color="auto"/>
            </w:tcBorders>
            <w:shd w:val="clear" w:color="auto" w:fill="D4C5D7"/>
            <w:noWrap/>
          </w:tcPr>
          <w:p w14:paraId="1C8306E1"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252EAF">
              <w:rPr>
                <w:rFonts w:eastAsia="Times New Roman" w:cs="Arial"/>
                <w:sz w:val="18"/>
                <w:szCs w:val="18"/>
                <w:lang w:eastAsia="en-AU"/>
              </w:rPr>
              <w:t>100%</w:t>
            </w:r>
          </w:p>
        </w:tc>
      </w:tr>
      <w:tr w:rsidR="00BB3A91" w:rsidRPr="00DF7014" w14:paraId="0C8F8D58" w14:textId="77777777" w:rsidTr="00DA3F73">
        <w:trPr>
          <w:trHeight w:val="95"/>
        </w:trPr>
        <w:tc>
          <w:tcPr>
            <w:cnfStyle w:val="001000000000" w:firstRow="0" w:lastRow="0" w:firstColumn="1" w:lastColumn="0" w:oddVBand="0" w:evenVBand="0" w:oddHBand="0" w:evenHBand="0" w:firstRowFirstColumn="0" w:firstRowLastColumn="0" w:lastRowFirstColumn="0" w:lastRowLastColumn="0"/>
            <w:tcW w:w="2240" w:type="dxa"/>
            <w:tcBorders>
              <w:top w:val="single" w:sz="4" w:space="0" w:color="auto"/>
              <w:bottom w:val="nil"/>
            </w:tcBorders>
            <w:noWrap/>
            <w:hideMark/>
          </w:tcPr>
          <w:p w14:paraId="782FD87E" w14:textId="77777777" w:rsidR="00BB3A91" w:rsidRPr="00DF7014" w:rsidRDefault="00BB3A91" w:rsidP="00BB3A91">
            <w:pPr>
              <w:spacing w:after="0" w:line="240" w:lineRule="auto"/>
              <w:jc w:val="center"/>
              <w:rPr>
                <w:rFonts w:eastAsia="Times New Roman" w:cs="Arial"/>
                <w:color w:val="000000"/>
                <w:sz w:val="18"/>
                <w:szCs w:val="18"/>
                <w:lang w:eastAsia="en-AU"/>
              </w:rPr>
            </w:pPr>
          </w:p>
        </w:tc>
        <w:tc>
          <w:tcPr>
            <w:tcW w:w="1700" w:type="dxa"/>
            <w:tcBorders>
              <w:top w:val="single" w:sz="4" w:space="0" w:color="auto"/>
              <w:bottom w:val="nil"/>
            </w:tcBorders>
            <w:noWrap/>
            <w:hideMark/>
          </w:tcPr>
          <w:p w14:paraId="5E9155C7"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p>
        </w:tc>
        <w:tc>
          <w:tcPr>
            <w:tcW w:w="1867" w:type="dxa"/>
            <w:tcBorders>
              <w:top w:val="single" w:sz="4" w:space="0" w:color="auto"/>
              <w:bottom w:val="single" w:sz="4" w:space="0" w:color="auto"/>
            </w:tcBorders>
            <w:noWrap/>
            <w:hideMark/>
          </w:tcPr>
          <w:p w14:paraId="0894A4D0"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p>
        </w:tc>
        <w:tc>
          <w:tcPr>
            <w:tcW w:w="1701" w:type="dxa"/>
            <w:tcBorders>
              <w:top w:val="single" w:sz="4" w:space="0" w:color="auto"/>
              <w:bottom w:val="single" w:sz="4" w:space="0" w:color="auto"/>
            </w:tcBorders>
            <w:noWrap/>
            <w:hideMark/>
          </w:tcPr>
          <w:p w14:paraId="49837A28"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p>
        </w:tc>
        <w:tc>
          <w:tcPr>
            <w:tcW w:w="1513" w:type="dxa"/>
            <w:tcBorders>
              <w:top w:val="single" w:sz="4" w:space="0" w:color="auto"/>
              <w:bottom w:val="nil"/>
            </w:tcBorders>
            <w:noWrap/>
            <w:hideMark/>
          </w:tcPr>
          <w:p w14:paraId="53F22C05"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p>
        </w:tc>
      </w:tr>
      <w:tr w:rsidR="00994C5F" w:rsidRPr="00DF7014" w14:paraId="585274E9" w14:textId="77777777" w:rsidTr="00446DD2">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240" w:type="dxa"/>
            <w:tcBorders>
              <w:top w:val="nil"/>
              <w:left w:val="nil"/>
              <w:bottom w:val="nil"/>
              <w:right w:val="nil"/>
            </w:tcBorders>
            <w:shd w:val="clear" w:color="auto" w:fill="auto"/>
            <w:noWrap/>
            <w:hideMark/>
          </w:tcPr>
          <w:p w14:paraId="7A2E0E0E" w14:textId="77777777" w:rsidR="00BB3A91" w:rsidRPr="00DF7014" w:rsidRDefault="00BB3A91" w:rsidP="00BB3A91">
            <w:pPr>
              <w:spacing w:after="0" w:line="240" w:lineRule="auto"/>
              <w:rPr>
                <w:rFonts w:eastAsia="Times New Roman" w:cs="Arial"/>
                <w:sz w:val="18"/>
                <w:szCs w:val="18"/>
                <w:lang w:eastAsia="en-AU"/>
              </w:rPr>
            </w:pPr>
          </w:p>
        </w:tc>
        <w:tc>
          <w:tcPr>
            <w:tcW w:w="1700" w:type="dxa"/>
            <w:tcBorders>
              <w:top w:val="nil"/>
              <w:left w:val="nil"/>
              <w:bottom w:val="nil"/>
              <w:right w:val="single" w:sz="4" w:space="0" w:color="auto"/>
            </w:tcBorders>
            <w:shd w:val="clear" w:color="auto" w:fill="auto"/>
            <w:noWrap/>
            <w:hideMark/>
          </w:tcPr>
          <w:p w14:paraId="53DE2BEA"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F7014">
              <w:rPr>
                <w:rFonts w:eastAsia="Times New Roman" w:cs="Arial"/>
                <w:color w:val="000000"/>
                <w:sz w:val="18"/>
                <w:szCs w:val="18"/>
                <w:lang w:eastAsia="en-AU"/>
              </w:rPr>
              <w:t>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0D47A187"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F7014">
              <w:rPr>
                <w:rFonts w:eastAsia="Times New Roman" w:cs="Arial"/>
                <w:color w:val="000000"/>
                <w:sz w:val="18"/>
                <w:szCs w:val="18"/>
                <w:lang w:eastAsia="en-AU"/>
              </w:rPr>
              <w:t>Projected GDP (2022-23)</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100C72A4"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F7014">
              <w:rPr>
                <w:rFonts w:eastAsia="Times New Roman" w:cs="Arial"/>
                <w:color w:val="000000"/>
                <w:sz w:val="18"/>
                <w:szCs w:val="18"/>
                <w:lang w:eastAsia="en-AU"/>
              </w:rPr>
              <w:t>2,302,760</w:t>
            </w:r>
          </w:p>
        </w:tc>
        <w:tc>
          <w:tcPr>
            <w:tcW w:w="1513" w:type="dxa"/>
            <w:tcBorders>
              <w:top w:val="nil"/>
              <w:left w:val="single" w:sz="4" w:space="0" w:color="auto"/>
              <w:bottom w:val="nil"/>
              <w:right w:val="nil"/>
            </w:tcBorders>
            <w:shd w:val="clear" w:color="auto" w:fill="auto"/>
            <w:noWrap/>
            <w:hideMark/>
          </w:tcPr>
          <w:p w14:paraId="4896B2B4" w14:textId="77777777" w:rsidR="00BB3A91" w:rsidRPr="00DF7014" w:rsidRDefault="00BB3A91" w:rsidP="00BB3A9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p>
        </w:tc>
      </w:tr>
      <w:tr w:rsidR="00994C5F" w:rsidRPr="00DF7014" w14:paraId="0DE18245" w14:textId="77777777" w:rsidTr="00446DD2">
        <w:trPr>
          <w:trHeight w:val="303"/>
        </w:trPr>
        <w:tc>
          <w:tcPr>
            <w:cnfStyle w:val="001000000000" w:firstRow="0" w:lastRow="0" w:firstColumn="1" w:lastColumn="0" w:oddVBand="0" w:evenVBand="0" w:oddHBand="0" w:evenHBand="0" w:firstRowFirstColumn="0" w:firstRowLastColumn="0" w:lastRowFirstColumn="0" w:lastRowLastColumn="0"/>
            <w:tcW w:w="2240" w:type="dxa"/>
            <w:tcBorders>
              <w:top w:val="nil"/>
              <w:left w:val="nil"/>
              <w:bottom w:val="nil"/>
              <w:right w:val="nil"/>
            </w:tcBorders>
            <w:shd w:val="clear" w:color="auto" w:fill="auto"/>
            <w:noWrap/>
            <w:hideMark/>
          </w:tcPr>
          <w:p w14:paraId="6E5C0075" w14:textId="77777777" w:rsidR="00BB3A91" w:rsidRPr="00DF7014" w:rsidRDefault="00BB3A91" w:rsidP="00BB3A91">
            <w:pPr>
              <w:spacing w:after="0" w:line="240" w:lineRule="auto"/>
              <w:rPr>
                <w:rFonts w:eastAsia="Times New Roman" w:cs="Arial"/>
                <w:sz w:val="18"/>
                <w:szCs w:val="18"/>
                <w:lang w:eastAsia="en-AU"/>
              </w:rPr>
            </w:pPr>
          </w:p>
        </w:tc>
        <w:tc>
          <w:tcPr>
            <w:tcW w:w="1700" w:type="dxa"/>
            <w:tcBorders>
              <w:top w:val="nil"/>
              <w:left w:val="nil"/>
              <w:bottom w:val="nil"/>
              <w:right w:val="single" w:sz="4" w:space="0" w:color="auto"/>
            </w:tcBorders>
            <w:shd w:val="clear" w:color="auto" w:fill="auto"/>
            <w:noWrap/>
            <w:hideMark/>
          </w:tcPr>
          <w:p w14:paraId="5A8A8555"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F7014">
              <w:rPr>
                <w:rFonts w:eastAsia="Times New Roman" w:cs="Arial"/>
                <w:color w:val="000000"/>
                <w:sz w:val="18"/>
                <w:szCs w:val="18"/>
                <w:lang w:eastAsia="en-AU"/>
              </w:rPr>
              <w:t>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0F29FF66"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DF7014">
              <w:rPr>
                <w:rFonts w:eastAsia="Times New Roman" w:cs="Arial"/>
                <w:b/>
                <w:bCs/>
                <w:color w:val="000000"/>
                <w:sz w:val="18"/>
                <w:szCs w:val="18"/>
                <w:lang w:eastAsia="en-AU"/>
              </w:rPr>
              <w:t>% Of GDP</w:t>
            </w:r>
          </w:p>
        </w:tc>
        <w:tc>
          <w:tcPr>
            <w:tcW w:w="1701" w:type="dxa"/>
            <w:tcBorders>
              <w:top w:val="single" w:sz="4" w:space="0" w:color="auto"/>
              <w:left w:val="single" w:sz="4" w:space="0" w:color="auto"/>
              <w:bottom w:val="single" w:sz="4" w:space="0" w:color="auto"/>
              <w:right w:val="single" w:sz="4" w:space="0" w:color="auto"/>
            </w:tcBorders>
            <w:shd w:val="clear" w:color="auto" w:fill="auto"/>
            <w:noWrap/>
            <w:hideMark/>
          </w:tcPr>
          <w:p w14:paraId="5937A6A6"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r w:rsidRPr="00DF7014">
              <w:rPr>
                <w:rFonts w:eastAsia="Times New Roman" w:cs="Arial"/>
                <w:b/>
                <w:bCs/>
                <w:color w:val="000000"/>
                <w:sz w:val="18"/>
                <w:szCs w:val="18"/>
                <w:lang w:eastAsia="en-AU"/>
              </w:rPr>
              <w:t>4.24%</w:t>
            </w:r>
          </w:p>
        </w:tc>
        <w:tc>
          <w:tcPr>
            <w:tcW w:w="1513" w:type="dxa"/>
            <w:tcBorders>
              <w:top w:val="nil"/>
              <w:left w:val="single" w:sz="4" w:space="0" w:color="auto"/>
              <w:bottom w:val="nil"/>
              <w:right w:val="nil"/>
            </w:tcBorders>
            <w:shd w:val="clear" w:color="auto" w:fill="auto"/>
            <w:noWrap/>
            <w:hideMark/>
          </w:tcPr>
          <w:p w14:paraId="470109CB" w14:textId="77777777" w:rsidR="00BB3A91" w:rsidRPr="00DF7014" w:rsidRDefault="00BB3A91" w:rsidP="00BB3A9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en-AU"/>
              </w:rPr>
            </w:pPr>
          </w:p>
        </w:tc>
      </w:tr>
    </w:tbl>
    <w:p w14:paraId="1F4F5C86" w14:textId="77777777" w:rsidR="00BB3A91" w:rsidRDefault="00BB3A91" w:rsidP="00BB3A91">
      <w:pPr>
        <w:pStyle w:val="FSRnormal"/>
      </w:pPr>
      <w:r>
        <w:t xml:space="preserve">The total lifetime </w:t>
      </w:r>
      <w:r w:rsidR="008B69C2">
        <w:t>expenses</w:t>
      </w:r>
      <w:r>
        <w:t xml:space="preserve"> for the </w:t>
      </w:r>
      <w:r w:rsidRPr="00C501DB">
        <w:t xml:space="preserve">estimated annual population of new </w:t>
      </w:r>
      <w:r>
        <w:t>entrants in 2022</w:t>
      </w:r>
      <w:r w:rsidRPr="00C501DB">
        <w:t>-</w:t>
      </w:r>
      <w:r>
        <w:t>23 is projected to be $97.7</w:t>
      </w:r>
      <w:r w:rsidRPr="00C501DB">
        <w:t xml:space="preserve"> billion based on </w:t>
      </w:r>
      <w:r>
        <w:t xml:space="preserve">the </w:t>
      </w:r>
      <w:r w:rsidRPr="00C501DB">
        <w:t>current long-term</w:t>
      </w:r>
      <w:r>
        <w:t xml:space="preserve"> assumptions, representing 4.24</w:t>
      </w:r>
      <w:r w:rsidRPr="00C501DB">
        <w:t>% of projected GDP</w:t>
      </w:r>
      <w:r>
        <w:t xml:space="preserve"> for 2022-23</w:t>
      </w:r>
      <w:r w:rsidRPr="00C501DB">
        <w:t xml:space="preserve">. </w:t>
      </w:r>
    </w:p>
    <w:p w14:paraId="429D30C9" w14:textId="77777777" w:rsidR="00BB3A91" w:rsidRDefault="00295F2A" w:rsidP="00BB3A91">
      <w:pPr>
        <w:pStyle w:val="FSRnormal"/>
      </w:pPr>
      <w:r>
        <w:t>Table 5.31</w:t>
      </w:r>
      <w:r w:rsidR="00BB3A91">
        <w:t xml:space="preserve"> also shows that about 78% of the total lifetime </w:t>
      </w:r>
      <w:r w:rsidR="008B69C2">
        <w:t>expenses</w:t>
      </w:r>
      <w:r w:rsidR="00BB3A91" w:rsidRPr="00C501DB">
        <w:t xml:space="preserve"> are for participants with </w:t>
      </w:r>
      <w:r w:rsidR="00BB3A91">
        <w:t>a</w:t>
      </w:r>
      <w:r w:rsidR="00BB3A91" w:rsidRPr="00C501DB">
        <w:t>utism</w:t>
      </w:r>
      <w:r w:rsidR="00BB3A91">
        <w:t>, developmental delay and i</w:t>
      </w:r>
      <w:r w:rsidR="00BB3A91" w:rsidRPr="00C501DB">
        <w:t xml:space="preserve">ntellectual disability. </w:t>
      </w:r>
    </w:p>
    <w:p w14:paraId="23655A06" w14:textId="77777777" w:rsidR="00BB3A91" w:rsidRDefault="00BB3A91" w:rsidP="00BF7697">
      <w:pPr>
        <w:pStyle w:val="FSRnormal"/>
      </w:pPr>
    </w:p>
    <w:p w14:paraId="023B6B34" w14:textId="77777777" w:rsidR="00BB3A91" w:rsidRPr="00D71E73" w:rsidRDefault="00BB3A91" w:rsidP="00D71E73">
      <w:pPr>
        <w:pStyle w:val="FSRHeading4"/>
      </w:pPr>
      <w:r w:rsidRPr="00D71E73">
        <w:lastRenderedPageBreak/>
        <w:t>Current Participants</w:t>
      </w:r>
    </w:p>
    <w:p w14:paraId="3C8C6742" w14:textId="77777777" w:rsidR="00BB3A91" w:rsidRDefault="00BB3A91" w:rsidP="00BB3A91">
      <w:pPr>
        <w:pStyle w:val="FSRnormal"/>
      </w:pPr>
      <w:r w:rsidRPr="00C501DB">
        <w:t xml:space="preserve">The total lifetime </w:t>
      </w:r>
      <w:r w:rsidR="008B69C2">
        <w:t>expenses</w:t>
      </w:r>
      <w:r w:rsidRPr="00C501DB">
        <w:t xml:space="preserve"> for the </w:t>
      </w:r>
      <w:r>
        <w:t xml:space="preserve">534,655 current </w:t>
      </w:r>
      <w:r w:rsidRPr="00C501DB">
        <w:t>participants in the Sche</w:t>
      </w:r>
      <w:r>
        <w:t xml:space="preserve">me </w:t>
      </w:r>
      <w:r w:rsidR="008B69C2">
        <w:t>are</w:t>
      </w:r>
      <w:r>
        <w:t xml:space="preserve"> estimated to be $1.43 tr</w:t>
      </w:r>
      <w:r w:rsidRPr="00C501DB">
        <w:t>illion</w:t>
      </w:r>
      <w:r>
        <w:t>, representing 61.92% of the projected GDP for 2022-23</w:t>
      </w:r>
      <w:r w:rsidRPr="00C501DB">
        <w:t xml:space="preserve">. </w:t>
      </w:r>
    </w:p>
    <w:p w14:paraId="71621FC0" w14:textId="77777777" w:rsidR="00BB3A91" w:rsidRDefault="00BB3A91" w:rsidP="00BB3A91">
      <w:pPr>
        <w:pStyle w:val="FSRnormal"/>
      </w:pPr>
      <w:r w:rsidRPr="00C501DB">
        <w:t xml:space="preserve">The </w:t>
      </w:r>
      <w:r w:rsidR="008B69C2">
        <w:t xml:space="preserve">estimated </w:t>
      </w:r>
      <w:r w:rsidRPr="00C501DB">
        <w:t xml:space="preserve">average lifetime </w:t>
      </w:r>
      <w:r w:rsidR="008B69C2">
        <w:t>expense</w:t>
      </w:r>
      <w:r w:rsidRPr="00C501DB">
        <w:t xml:space="preserve"> of these participants</w:t>
      </w:r>
      <w:r>
        <w:t xml:space="preserve"> is $2.7</w:t>
      </w:r>
      <w:r w:rsidRPr="00C501DB">
        <w:t xml:space="preserve"> million</w:t>
      </w:r>
      <w:r w:rsidR="00B15EF2">
        <w:t xml:space="preserve"> which</w:t>
      </w:r>
      <w:r w:rsidRPr="00C501DB">
        <w:t xml:space="preserve"> is significantly</w:t>
      </w:r>
      <w:r>
        <w:t xml:space="preserve"> higher than the average of $1.5</w:t>
      </w:r>
      <w:r w:rsidRPr="00C501DB">
        <w:t xml:space="preserve"> million for new entrants due to the different disability and age distributions of the two populations. In particular</w:t>
      </w:r>
      <w:r w:rsidR="002A60BC">
        <w:t>,</w:t>
      </w:r>
      <w:r w:rsidRPr="00C501DB">
        <w:t xml:space="preserve"> the profile of c</w:t>
      </w:r>
      <w:r>
        <w:t>urrent participants is skewed</w:t>
      </w:r>
      <w:r w:rsidRPr="00C501DB">
        <w:t xml:space="preserve"> towards those with lower functional levels compared with</w:t>
      </w:r>
      <w:r>
        <w:t xml:space="preserve"> new entrants. The new entrants cohort has</w:t>
      </w:r>
      <w:r w:rsidRPr="00C501DB">
        <w:t xml:space="preserve"> a greater number of higher functioning children, many of whom enter the Scheme through the early intervention requirement (Section 25 of the Act)</w:t>
      </w:r>
      <w:r>
        <w:t>,</w:t>
      </w:r>
      <w:r w:rsidRPr="00C501DB">
        <w:t xml:space="preserve"> </w:t>
      </w:r>
      <w:r>
        <w:t xml:space="preserve">and who </w:t>
      </w:r>
      <w:r w:rsidRPr="00C501DB">
        <w:t>are expect</w:t>
      </w:r>
      <w:r>
        <w:t>ed to leave</w:t>
      </w:r>
      <w:r w:rsidRPr="00C501DB">
        <w:t xml:space="preserve"> the Scheme and hence have a lower average </w:t>
      </w:r>
      <w:r>
        <w:t xml:space="preserve">lifetime </w:t>
      </w:r>
      <w:r w:rsidR="008B69C2">
        <w:t>expense</w:t>
      </w:r>
      <w:r w:rsidRPr="00C501DB">
        <w:t>.</w:t>
      </w:r>
    </w:p>
    <w:p w14:paraId="5C68F23F" w14:textId="77777777" w:rsidR="00CF6AA7" w:rsidRPr="00E5394D" w:rsidRDefault="00CF6AA7" w:rsidP="00095C80">
      <w:pPr>
        <w:pStyle w:val="Heading2"/>
        <w:ind w:left="2410" w:hanging="2410"/>
      </w:pPr>
      <w:bookmarkStart w:id="258" w:name="_Toc118460209"/>
      <w:r>
        <w:lastRenderedPageBreak/>
        <w:t>Uncertainty and comparisons to previous projections</w:t>
      </w:r>
      <w:bookmarkEnd w:id="141"/>
      <w:bookmarkEnd w:id="258"/>
      <w:r>
        <w:t xml:space="preserve"> </w:t>
      </w:r>
    </w:p>
    <w:p w14:paraId="41225180" w14:textId="77777777" w:rsidR="00CF6AA7" w:rsidRDefault="00CF6AA7" w:rsidP="00CF6AA7">
      <w:pPr>
        <w:spacing w:before="240"/>
        <w:rPr>
          <w:rStyle w:val="FSRnormalChar"/>
          <w:rFonts w:eastAsia="Yu Mincho" w:cs="Arial"/>
        </w:rPr>
      </w:pPr>
      <w:r w:rsidRPr="5AD0A695">
        <w:rPr>
          <w:rStyle w:val="FSRnormalChar"/>
          <w:rFonts w:eastAsia="Yu Mincho" w:cs="Arial"/>
        </w:rPr>
        <w:t xml:space="preserve">This section includes scenario analysis where individual assumptions are varied compared with the baseline projection to show the sensitivity of results to changes in future expectations. </w:t>
      </w:r>
    </w:p>
    <w:p w14:paraId="5C9D6394" w14:textId="77777777" w:rsidR="00CF6AA7" w:rsidRDefault="00AF1438" w:rsidP="00CF6AA7">
      <w:pPr>
        <w:spacing w:before="240"/>
        <w:rPr>
          <w:rStyle w:val="FSRnormalChar"/>
          <w:rFonts w:eastAsia="Yu Mincho" w:cs="Arial"/>
        </w:rPr>
      </w:pPr>
      <w:r>
        <w:rPr>
          <w:rStyle w:val="FSRnormalChar"/>
          <w:rFonts w:eastAsia="Yu Mincho" w:cs="Arial"/>
        </w:rPr>
        <w:t xml:space="preserve">It also </w:t>
      </w:r>
      <w:r w:rsidR="00CF6AA7" w:rsidRPr="5AD0A695">
        <w:rPr>
          <w:rStyle w:val="FSRnormalChar"/>
          <w:rFonts w:eastAsia="Yu Mincho" w:cs="Arial"/>
        </w:rPr>
        <w:t xml:space="preserve">contains the results of a stochastic </w:t>
      </w:r>
      <w:r w:rsidR="002519FB">
        <w:rPr>
          <w:rStyle w:val="FSRnormalChar"/>
          <w:rFonts w:eastAsia="Yu Mincho" w:cs="Arial"/>
        </w:rPr>
        <w:t>AFSR</w:t>
      </w:r>
      <w:r w:rsidR="002737A0" w:rsidRPr="5AD0A695">
        <w:rPr>
          <w:rStyle w:val="FSRnormalChar"/>
          <w:rFonts w:eastAsia="Yu Mincho" w:cs="Arial"/>
        </w:rPr>
        <w:t xml:space="preserve"> </w:t>
      </w:r>
      <w:r w:rsidR="00CF6AA7" w:rsidRPr="5AD0A695">
        <w:rPr>
          <w:rStyle w:val="FSRnormalChar"/>
          <w:rFonts w:eastAsia="Yu Mincho" w:cs="Arial"/>
        </w:rPr>
        <w:t>projection model</w:t>
      </w:r>
      <w:r w:rsidR="000878B6">
        <w:rPr>
          <w:rStyle w:val="FootnoteReference"/>
          <w:rFonts w:eastAsia="Yu Mincho" w:cs="Arial"/>
          <w:lang w:val="en-US"/>
        </w:rPr>
        <w:footnoteReference w:id="115"/>
      </w:r>
      <w:r w:rsidR="00CF6AA7" w:rsidRPr="5AD0A695">
        <w:rPr>
          <w:rStyle w:val="FSRnormalChar"/>
          <w:rFonts w:eastAsia="Yu Mincho" w:cs="Arial"/>
        </w:rPr>
        <w:t xml:space="preserve">. This model allows for the uncertainty of the most significant key risks to the estimation of Scheme </w:t>
      </w:r>
      <w:r w:rsidR="008B69C2">
        <w:rPr>
          <w:rStyle w:val="FSRnormalChar"/>
          <w:rFonts w:eastAsia="Yu Mincho" w:cs="Arial"/>
        </w:rPr>
        <w:t>expense</w:t>
      </w:r>
      <w:r w:rsidR="00CF6AA7" w:rsidRPr="5AD0A695">
        <w:rPr>
          <w:rStyle w:val="FSRnormalChar"/>
          <w:rFonts w:eastAsia="Yu Mincho" w:cs="Arial"/>
        </w:rPr>
        <w:t>s and the results provide a confidence interval for the range of expected projection outcomes.</w:t>
      </w:r>
    </w:p>
    <w:p w14:paraId="1D021AEE" w14:textId="77777777" w:rsidR="00CF6AA7" w:rsidRDefault="00AF1438" w:rsidP="00CF6AA7">
      <w:pPr>
        <w:spacing w:before="240"/>
        <w:rPr>
          <w:rStyle w:val="FSRnormalChar"/>
          <w:rFonts w:eastAsia="Yu Mincho" w:cs="Arial"/>
        </w:rPr>
      </w:pPr>
      <w:r>
        <w:rPr>
          <w:rStyle w:val="FSRnormalChar"/>
          <w:rFonts w:eastAsia="Yu Mincho" w:cs="Arial"/>
        </w:rPr>
        <w:t xml:space="preserve">Finally, </w:t>
      </w:r>
      <w:r w:rsidR="00CF6AA7" w:rsidRPr="5AD0A695">
        <w:rPr>
          <w:rStyle w:val="FSRnormalChar"/>
          <w:rFonts w:eastAsia="Yu Mincho" w:cs="Arial"/>
        </w:rPr>
        <w:t xml:space="preserve">a comparison of the 2021-22 AFSR projection results with historical AFSR results and Productivity Commission estimates </w:t>
      </w:r>
      <w:r>
        <w:rPr>
          <w:rStyle w:val="FSRnormalChar"/>
          <w:rFonts w:eastAsia="Yu Mincho" w:cs="Arial"/>
        </w:rPr>
        <w:t xml:space="preserve">is shown, </w:t>
      </w:r>
      <w:r w:rsidR="00CF6AA7" w:rsidRPr="5AD0A695">
        <w:rPr>
          <w:rStyle w:val="FSRnormalChar"/>
          <w:rFonts w:eastAsia="Yu Mincho" w:cs="Arial"/>
        </w:rPr>
        <w:t xml:space="preserve">to illustrate how expectations of Scheme </w:t>
      </w:r>
      <w:r w:rsidR="008B69C2">
        <w:rPr>
          <w:rStyle w:val="FSRnormalChar"/>
          <w:rFonts w:eastAsia="Yu Mincho" w:cs="Arial"/>
        </w:rPr>
        <w:t>expense</w:t>
      </w:r>
      <w:r w:rsidR="00CF6AA7" w:rsidRPr="5AD0A695">
        <w:rPr>
          <w:rStyle w:val="FSRnormalChar"/>
          <w:rFonts w:eastAsia="Yu Mincho" w:cs="Arial"/>
        </w:rPr>
        <w:t>s have changed over time.</w:t>
      </w:r>
    </w:p>
    <w:p w14:paraId="74CFE118" w14:textId="77777777" w:rsidR="00CF6AA7" w:rsidRPr="00263BB5" w:rsidRDefault="00CF6AA7" w:rsidP="00095C80">
      <w:pPr>
        <w:pStyle w:val="Heading3"/>
      </w:pPr>
      <w:bookmarkStart w:id="259" w:name="_Toc83220855"/>
      <w:bookmarkStart w:id="260" w:name="_Toc118460210"/>
      <w:r>
        <w:t xml:space="preserve">Scenario </w:t>
      </w:r>
      <w:r w:rsidR="00251501">
        <w:t>a</w:t>
      </w:r>
      <w:r>
        <w:t>nalysis</w:t>
      </w:r>
      <w:bookmarkEnd w:id="259"/>
      <w:bookmarkEnd w:id="260"/>
    </w:p>
    <w:p w14:paraId="65FB3E3E" w14:textId="77777777" w:rsidR="00CF6AA7" w:rsidRPr="00F340CE" w:rsidRDefault="00CF6AA7" w:rsidP="006416C7">
      <w:pPr>
        <w:pStyle w:val="FSRnormal"/>
        <w:rPr>
          <w:rStyle w:val="FSRnormalChar"/>
        </w:rPr>
      </w:pPr>
      <w:r>
        <w:t xml:space="preserve">The </w:t>
      </w:r>
      <w:r>
        <w:rPr>
          <w:rStyle w:val="FSRnormalChar"/>
        </w:rPr>
        <w:t>proj</w:t>
      </w:r>
      <w:r w:rsidRPr="5AD0A695">
        <w:rPr>
          <w:rStyle w:val="FSRnormalChar"/>
        </w:rPr>
        <w:t xml:space="preserve">ections presented in Section 5 of this report represent the baseline estimate of Scheme population and </w:t>
      </w:r>
      <w:r w:rsidR="008B69C2">
        <w:rPr>
          <w:rStyle w:val="FSRnormalChar"/>
        </w:rPr>
        <w:t>expense</w:t>
      </w:r>
      <w:r w:rsidRPr="5AD0A695">
        <w:rPr>
          <w:rStyle w:val="FSRnormalChar"/>
        </w:rPr>
        <w:t xml:space="preserve">s. As highlighted throughout this report, there is considerable uncertainty in relation to these projections, and actual </w:t>
      </w:r>
      <w:r w:rsidR="008B69C2">
        <w:rPr>
          <w:rStyle w:val="FSRnormalChar"/>
        </w:rPr>
        <w:t>Scheme expenses</w:t>
      </w:r>
      <w:r w:rsidRPr="5AD0A695">
        <w:rPr>
          <w:rStyle w:val="FSRnormalChar"/>
        </w:rPr>
        <w:t xml:space="preserve"> may vary from the baseline projections, possibly significantly. </w:t>
      </w:r>
    </w:p>
    <w:p w14:paraId="728FB958" w14:textId="77777777" w:rsidR="00CF6AA7" w:rsidRPr="00E5394D" w:rsidRDefault="00CF6AA7" w:rsidP="00CF6AA7">
      <w:pPr>
        <w:pStyle w:val="FSRnormal"/>
      </w:pPr>
      <w:r>
        <w:t xml:space="preserve">To </w:t>
      </w:r>
      <w:r w:rsidR="00030BEB">
        <w:t xml:space="preserve">quantify </w:t>
      </w:r>
      <w:r>
        <w:t xml:space="preserve">the </w:t>
      </w:r>
      <w:r w:rsidR="00CF580F">
        <w:t xml:space="preserve">inherent </w:t>
      </w:r>
      <w:r>
        <w:t xml:space="preserve">uncertainty within the </w:t>
      </w:r>
      <w:r w:rsidR="00CF580F">
        <w:t xml:space="preserve">baseline </w:t>
      </w:r>
      <w:r>
        <w:t>projection</w:t>
      </w:r>
      <w:r w:rsidR="00CF580F">
        <w:t xml:space="preserve">, an alternative set of </w:t>
      </w:r>
      <w:r>
        <w:t xml:space="preserve">projections have been calculated for </w:t>
      </w:r>
      <w:r w:rsidR="00414011">
        <w:t>several</w:t>
      </w:r>
      <w:r>
        <w:t xml:space="preserve"> scenarios. These consider a range of plausible outcomes in relation to the uncertainties above. </w:t>
      </w:r>
    </w:p>
    <w:p w14:paraId="0EC66998" w14:textId="77777777" w:rsidR="00CF6AA7" w:rsidRPr="00030BEB" w:rsidRDefault="006D3A4D" w:rsidP="00CF6AA7">
      <w:pPr>
        <w:pStyle w:val="FSRnormal"/>
      </w:pPr>
      <w:r w:rsidRPr="6D5F3EEF">
        <w:t xml:space="preserve">As there are differing relative impacts of the scenarios on existing participants </w:t>
      </w:r>
      <w:r>
        <w:t xml:space="preserve">(participants with an approved plan as at 30 June 2022), </w:t>
      </w:r>
      <w:r w:rsidRPr="6D5F3EEF">
        <w:t>and new participants</w:t>
      </w:r>
      <w:r>
        <w:t xml:space="preserve"> (participants who receive an approved plan from 1 July 2022)</w:t>
      </w:r>
      <w:r w:rsidRPr="6D5F3EEF">
        <w:t xml:space="preserve">, scenarios </w:t>
      </w:r>
      <w:r>
        <w:t xml:space="preserve">are </w:t>
      </w:r>
      <w:r w:rsidRPr="6D5F3EEF">
        <w:t xml:space="preserve">shown separately for existing </w:t>
      </w:r>
      <w:r>
        <w:t xml:space="preserve">and new </w:t>
      </w:r>
      <w:r w:rsidRPr="6D5F3EEF">
        <w:t>parti</w:t>
      </w:r>
      <w:r w:rsidRPr="00567D0B">
        <w:t>cipants</w:t>
      </w:r>
      <w:r>
        <w:t>. Scenarios are also presented combining both existing and new participants (“all projected participants”)</w:t>
      </w:r>
      <w:r w:rsidRPr="00567D0B">
        <w:t xml:space="preserve">. The total Scheme projection, split between existing participants and new </w:t>
      </w:r>
      <w:r>
        <w:t>participants</w:t>
      </w:r>
      <w:r w:rsidRPr="00567D0B">
        <w:t xml:space="preserve"> is </w:t>
      </w:r>
      <w:r w:rsidRPr="00030BEB">
        <w:t>shown in</w:t>
      </w:r>
      <w:r w:rsidR="00CF6AA7" w:rsidRPr="00C53CDC">
        <w:t xml:space="preserve"> </w:t>
      </w:r>
      <w:r w:rsidR="00A87896" w:rsidRPr="00FA751D">
        <w:t xml:space="preserve">Table </w:t>
      </w:r>
      <w:r w:rsidR="00A87896">
        <w:t>6.1</w:t>
      </w:r>
      <w:r w:rsidR="00CF6AA7" w:rsidRPr="00030BEB">
        <w:t>.</w:t>
      </w:r>
    </w:p>
    <w:p w14:paraId="6CCDB32C" w14:textId="77777777" w:rsidR="00CF6AA7" w:rsidRPr="00567D0B" w:rsidRDefault="00CF6AA7" w:rsidP="00CF6AA7">
      <w:pPr>
        <w:pStyle w:val="Tables"/>
        <w:keepLines/>
        <w:rPr>
          <w:iCs/>
        </w:rPr>
      </w:pPr>
      <w:bookmarkStart w:id="261" w:name="_Ref80699555"/>
      <w:r w:rsidRPr="00FA751D">
        <w:t xml:space="preserve">Table </w:t>
      </w:r>
      <w:fldSimple w:instr=" STYLEREF 2 \s ">
        <w:r w:rsidR="00A87896">
          <w:rPr>
            <w:noProof/>
          </w:rPr>
          <w:t>6</w:t>
        </w:r>
      </w:fldSimple>
      <w:r w:rsidR="00A87896">
        <w:t>.</w:t>
      </w:r>
      <w:fldSimple w:instr=" SEQ Table \* ARABIC \s 2 ">
        <w:r w:rsidR="00A87896">
          <w:rPr>
            <w:noProof/>
          </w:rPr>
          <w:t>1</w:t>
        </w:r>
      </w:fldSimple>
      <w:bookmarkEnd w:id="261"/>
      <w:r w:rsidRPr="00FA751D">
        <w:t>: Split of</w:t>
      </w:r>
      <w:r w:rsidR="00BE56C0" w:rsidRPr="00FA751D">
        <w:t xml:space="preserve"> </w:t>
      </w:r>
      <w:r w:rsidR="008C2B7B">
        <w:t>S</w:t>
      </w:r>
      <w:r w:rsidR="00BE56C0" w:rsidRPr="00FA751D">
        <w:t>cheme expense</w:t>
      </w:r>
      <w:r w:rsidR="00AD1D78">
        <w:t>s</w:t>
      </w:r>
      <w:r w:rsidRPr="00FA751D">
        <w:t xml:space="preserve"> between existing and new participants</w:t>
      </w:r>
      <w:r w:rsidRPr="00567D0B">
        <w:t xml:space="preserve">  </w:t>
      </w:r>
    </w:p>
    <w:tbl>
      <w:tblPr>
        <w:tblW w:w="5000" w:type="pct"/>
        <w:tblLayout w:type="fixed"/>
        <w:tblLook w:val="04A0" w:firstRow="1" w:lastRow="0" w:firstColumn="1" w:lastColumn="0" w:noHBand="0" w:noVBand="1"/>
      </w:tblPr>
      <w:tblGrid>
        <w:gridCol w:w="3832"/>
        <w:gridCol w:w="989"/>
        <w:gridCol w:w="991"/>
        <w:gridCol w:w="993"/>
        <w:gridCol w:w="993"/>
        <w:gridCol w:w="1228"/>
      </w:tblGrid>
      <w:tr w:rsidR="000328E7" w:rsidRPr="00925D5C" w14:paraId="5114C4B8" w14:textId="77777777" w:rsidTr="00252EAF">
        <w:trPr>
          <w:trHeight w:val="397"/>
          <w:tblHeader/>
        </w:trPr>
        <w:tc>
          <w:tcPr>
            <w:tcW w:w="2123" w:type="pct"/>
            <w:shd w:val="clear" w:color="000000" w:fill="6B2F76"/>
            <w:vAlign w:val="center"/>
            <w:hideMark/>
          </w:tcPr>
          <w:p w14:paraId="2A5F9FB6" w14:textId="77777777" w:rsidR="00CF6AA7" w:rsidRPr="00925D5C" w:rsidRDefault="00BE56C0" w:rsidP="001102D8">
            <w:pPr>
              <w:spacing w:after="0"/>
              <w:rPr>
                <w:rFonts w:cs="Arial"/>
                <w:b/>
                <w:color w:val="FFFFFF"/>
                <w:sz w:val="20"/>
                <w:szCs w:val="20"/>
              </w:rPr>
            </w:pPr>
            <w:r w:rsidRPr="00925D5C">
              <w:rPr>
                <w:rFonts w:cs="Arial"/>
                <w:b/>
                <w:color w:val="FFFFFF"/>
                <w:sz w:val="20"/>
                <w:szCs w:val="20"/>
              </w:rPr>
              <w:t>Scheme Expense</w:t>
            </w:r>
            <w:r w:rsidR="00CF6AA7" w:rsidRPr="00925D5C">
              <w:rPr>
                <w:rFonts w:cs="Arial"/>
                <w:b/>
                <w:color w:val="FFFFFF"/>
                <w:sz w:val="20"/>
                <w:szCs w:val="20"/>
              </w:rPr>
              <w:t xml:space="preserve"> ($m) - accrual basis</w:t>
            </w:r>
          </w:p>
        </w:tc>
        <w:tc>
          <w:tcPr>
            <w:tcW w:w="548" w:type="pct"/>
            <w:shd w:val="clear" w:color="000000" w:fill="6B2F76"/>
            <w:noWrap/>
            <w:vAlign w:val="center"/>
            <w:hideMark/>
          </w:tcPr>
          <w:p w14:paraId="317EE55B" w14:textId="77777777" w:rsidR="00CF6AA7" w:rsidRPr="00925D5C" w:rsidRDefault="00CF6AA7">
            <w:pPr>
              <w:spacing w:after="0"/>
              <w:jc w:val="right"/>
              <w:rPr>
                <w:rFonts w:cs="Arial"/>
                <w:b/>
                <w:color w:val="FFFFFF"/>
                <w:sz w:val="20"/>
                <w:szCs w:val="20"/>
              </w:rPr>
            </w:pPr>
            <w:r w:rsidRPr="00925D5C">
              <w:rPr>
                <w:rFonts w:cs="Arial"/>
                <w:b/>
                <w:color w:val="FFFFFF"/>
                <w:sz w:val="20"/>
                <w:szCs w:val="20"/>
              </w:rPr>
              <w:t>2022-23</w:t>
            </w:r>
          </w:p>
        </w:tc>
        <w:tc>
          <w:tcPr>
            <w:tcW w:w="549" w:type="pct"/>
            <w:shd w:val="clear" w:color="000000" w:fill="6B2F76"/>
            <w:noWrap/>
            <w:vAlign w:val="center"/>
            <w:hideMark/>
          </w:tcPr>
          <w:p w14:paraId="6C319E89" w14:textId="77777777" w:rsidR="00CF6AA7" w:rsidRPr="00925D5C" w:rsidRDefault="00CF6AA7">
            <w:pPr>
              <w:spacing w:after="0"/>
              <w:jc w:val="right"/>
              <w:rPr>
                <w:rFonts w:cs="Arial"/>
                <w:b/>
                <w:color w:val="FFFFFF"/>
                <w:sz w:val="20"/>
                <w:szCs w:val="20"/>
              </w:rPr>
            </w:pPr>
            <w:r w:rsidRPr="00925D5C">
              <w:rPr>
                <w:rFonts w:cs="Arial"/>
                <w:b/>
                <w:color w:val="FFFFFF"/>
                <w:sz w:val="20"/>
                <w:szCs w:val="20"/>
              </w:rPr>
              <w:t>2023-24</w:t>
            </w:r>
          </w:p>
        </w:tc>
        <w:tc>
          <w:tcPr>
            <w:tcW w:w="550" w:type="pct"/>
            <w:shd w:val="clear" w:color="000000" w:fill="6B2F76"/>
            <w:noWrap/>
            <w:vAlign w:val="center"/>
            <w:hideMark/>
          </w:tcPr>
          <w:p w14:paraId="469BDCBD" w14:textId="77777777" w:rsidR="00CF6AA7" w:rsidRPr="00925D5C" w:rsidRDefault="00CF6AA7">
            <w:pPr>
              <w:spacing w:after="0"/>
              <w:jc w:val="right"/>
              <w:rPr>
                <w:rFonts w:cs="Arial"/>
                <w:b/>
                <w:color w:val="FFFFFF"/>
                <w:sz w:val="20"/>
                <w:szCs w:val="20"/>
              </w:rPr>
            </w:pPr>
            <w:r w:rsidRPr="00925D5C">
              <w:rPr>
                <w:rFonts w:cs="Arial"/>
                <w:b/>
                <w:color w:val="FFFFFF"/>
                <w:sz w:val="20"/>
                <w:szCs w:val="20"/>
              </w:rPr>
              <w:t>2024-25</w:t>
            </w:r>
          </w:p>
        </w:tc>
        <w:tc>
          <w:tcPr>
            <w:tcW w:w="550" w:type="pct"/>
            <w:tcBorders>
              <w:right w:val="dotted" w:sz="4" w:space="0" w:color="auto"/>
            </w:tcBorders>
            <w:shd w:val="clear" w:color="000000" w:fill="6B2F76"/>
            <w:noWrap/>
            <w:vAlign w:val="center"/>
            <w:hideMark/>
          </w:tcPr>
          <w:p w14:paraId="647018F2" w14:textId="77777777" w:rsidR="00CF6AA7" w:rsidRPr="00925D5C" w:rsidRDefault="00CF6AA7">
            <w:pPr>
              <w:spacing w:after="0"/>
              <w:jc w:val="right"/>
              <w:rPr>
                <w:rFonts w:cs="Arial"/>
                <w:b/>
                <w:color w:val="FFFFFF"/>
                <w:sz w:val="20"/>
                <w:szCs w:val="20"/>
              </w:rPr>
            </w:pPr>
            <w:r w:rsidRPr="00925D5C">
              <w:rPr>
                <w:rFonts w:cs="Arial"/>
                <w:b/>
                <w:color w:val="FFFFFF"/>
                <w:sz w:val="20"/>
                <w:szCs w:val="20"/>
              </w:rPr>
              <w:t>2025-26</w:t>
            </w:r>
          </w:p>
        </w:tc>
        <w:tc>
          <w:tcPr>
            <w:tcW w:w="681" w:type="pct"/>
            <w:tcBorders>
              <w:left w:val="dotted" w:sz="4" w:space="0" w:color="auto"/>
            </w:tcBorders>
            <w:shd w:val="clear" w:color="000000" w:fill="6B2F76"/>
            <w:noWrap/>
            <w:vAlign w:val="center"/>
            <w:hideMark/>
          </w:tcPr>
          <w:p w14:paraId="3B79F766" w14:textId="77777777" w:rsidR="00CF6AA7" w:rsidRPr="00925D5C" w:rsidRDefault="00CF6AA7">
            <w:pPr>
              <w:spacing w:after="0"/>
              <w:jc w:val="right"/>
              <w:rPr>
                <w:rFonts w:cs="Arial"/>
                <w:b/>
                <w:color w:val="FFFFFF"/>
                <w:sz w:val="20"/>
                <w:szCs w:val="20"/>
              </w:rPr>
            </w:pPr>
            <w:r w:rsidRPr="00925D5C">
              <w:rPr>
                <w:rFonts w:cs="Arial"/>
                <w:b/>
                <w:color w:val="FFFFFF"/>
                <w:sz w:val="20"/>
                <w:szCs w:val="20"/>
              </w:rPr>
              <w:t>2031-32</w:t>
            </w:r>
          </w:p>
        </w:tc>
      </w:tr>
      <w:tr w:rsidR="000328E7" w:rsidRPr="00925D5C" w14:paraId="0C0D1608" w14:textId="77777777" w:rsidTr="00252EAF">
        <w:trPr>
          <w:trHeight w:val="301"/>
        </w:trPr>
        <w:tc>
          <w:tcPr>
            <w:tcW w:w="2123" w:type="pct"/>
            <w:shd w:val="clear" w:color="auto" w:fill="auto"/>
            <w:noWrap/>
            <w:vAlign w:val="bottom"/>
            <w:hideMark/>
          </w:tcPr>
          <w:p w14:paraId="24CB9752" w14:textId="77777777" w:rsidR="000328E7" w:rsidRPr="00925D5C" w:rsidRDefault="000328E7" w:rsidP="00925D5C">
            <w:pPr>
              <w:spacing w:after="0"/>
              <w:rPr>
                <w:rFonts w:cs="Arial"/>
                <w:color w:val="000000"/>
                <w:sz w:val="20"/>
                <w:szCs w:val="20"/>
              </w:rPr>
            </w:pPr>
            <w:r w:rsidRPr="00925D5C">
              <w:rPr>
                <w:rFonts w:cs="Arial"/>
                <w:color w:val="000000"/>
                <w:sz w:val="20"/>
                <w:szCs w:val="20"/>
              </w:rPr>
              <w:t>Existing participants</w:t>
            </w:r>
          </w:p>
        </w:tc>
        <w:tc>
          <w:tcPr>
            <w:tcW w:w="548" w:type="pct"/>
            <w:shd w:val="clear" w:color="auto" w:fill="auto"/>
            <w:noWrap/>
            <w:vAlign w:val="center"/>
            <w:hideMark/>
          </w:tcPr>
          <w:p w14:paraId="3178DB6A" w14:textId="77777777" w:rsidR="000328E7" w:rsidRPr="00925D5C" w:rsidRDefault="000328E7" w:rsidP="00252EAF">
            <w:pPr>
              <w:spacing w:after="0"/>
              <w:jc w:val="right"/>
              <w:rPr>
                <w:rFonts w:cs="Arial"/>
                <w:color w:val="000000"/>
                <w:sz w:val="20"/>
                <w:szCs w:val="20"/>
              </w:rPr>
            </w:pPr>
            <w:r w:rsidRPr="00925D5C">
              <w:rPr>
                <w:rFonts w:cs="Arial"/>
                <w:sz w:val="20"/>
                <w:szCs w:val="20"/>
              </w:rPr>
              <w:t>32,967</w:t>
            </w:r>
          </w:p>
        </w:tc>
        <w:tc>
          <w:tcPr>
            <w:tcW w:w="549" w:type="pct"/>
            <w:shd w:val="clear" w:color="auto" w:fill="auto"/>
            <w:noWrap/>
            <w:vAlign w:val="center"/>
            <w:hideMark/>
          </w:tcPr>
          <w:p w14:paraId="048634F2" w14:textId="77777777" w:rsidR="000328E7" w:rsidRPr="00925D5C" w:rsidRDefault="000328E7" w:rsidP="00252EAF">
            <w:pPr>
              <w:spacing w:after="0"/>
              <w:jc w:val="right"/>
              <w:rPr>
                <w:rFonts w:cs="Arial"/>
                <w:color w:val="000000"/>
                <w:sz w:val="20"/>
                <w:szCs w:val="20"/>
              </w:rPr>
            </w:pPr>
            <w:r w:rsidRPr="00925D5C">
              <w:rPr>
                <w:rFonts w:cs="Arial"/>
                <w:sz w:val="20"/>
                <w:szCs w:val="20"/>
              </w:rPr>
              <w:t>34,700</w:t>
            </w:r>
          </w:p>
        </w:tc>
        <w:tc>
          <w:tcPr>
            <w:tcW w:w="550" w:type="pct"/>
            <w:shd w:val="clear" w:color="auto" w:fill="auto"/>
            <w:noWrap/>
            <w:vAlign w:val="center"/>
            <w:hideMark/>
          </w:tcPr>
          <w:p w14:paraId="2BA9EDAD" w14:textId="77777777" w:rsidR="000328E7" w:rsidRPr="00925D5C" w:rsidRDefault="000328E7" w:rsidP="00252EAF">
            <w:pPr>
              <w:spacing w:after="0"/>
              <w:jc w:val="right"/>
              <w:rPr>
                <w:rFonts w:cs="Arial"/>
                <w:color w:val="000000"/>
                <w:sz w:val="20"/>
                <w:szCs w:val="20"/>
              </w:rPr>
            </w:pPr>
            <w:r w:rsidRPr="00925D5C">
              <w:rPr>
                <w:rFonts w:cs="Arial"/>
                <w:sz w:val="20"/>
                <w:szCs w:val="20"/>
              </w:rPr>
              <w:t>37,662</w:t>
            </w:r>
          </w:p>
        </w:tc>
        <w:tc>
          <w:tcPr>
            <w:tcW w:w="550" w:type="pct"/>
            <w:tcBorders>
              <w:right w:val="dotted" w:sz="4" w:space="0" w:color="auto"/>
            </w:tcBorders>
            <w:shd w:val="clear" w:color="auto" w:fill="auto"/>
            <w:noWrap/>
            <w:vAlign w:val="center"/>
            <w:hideMark/>
          </w:tcPr>
          <w:p w14:paraId="310FBD72" w14:textId="77777777" w:rsidR="000328E7" w:rsidRPr="00925D5C" w:rsidRDefault="000328E7" w:rsidP="00252EAF">
            <w:pPr>
              <w:spacing w:after="0"/>
              <w:jc w:val="right"/>
              <w:rPr>
                <w:rFonts w:cs="Arial"/>
                <w:color w:val="000000"/>
                <w:sz w:val="20"/>
                <w:szCs w:val="20"/>
              </w:rPr>
            </w:pPr>
            <w:r w:rsidRPr="00925D5C">
              <w:rPr>
                <w:rFonts w:cs="Arial"/>
                <w:sz w:val="20"/>
                <w:szCs w:val="20"/>
              </w:rPr>
              <w:t>40,621</w:t>
            </w:r>
          </w:p>
        </w:tc>
        <w:tc>
          <w:tcPr>
            <w:tcW w:w="681" w:type="pct"/>
            <w:tcBorders>
              <w:left w:val="dotted" w:sz="4" w:space="0" w:color="auto"/>
            </w:tcBorders>
            <w:shd w:val="clear" w:color="auto" w:fill="auto"/>
            <w:noWrap/>
            <w:vAlign w:val="center"/>
            <w:hideMark/>
          </w:tcPr>
          <w:p w14:paraId="43E38FB6" w14:textId="77777777" w:rsidR="000328E7" w:rsidRPr="00925D5C" w:rsidRDefault="000328E7" w:rsidP="00252EAF">
            <w:pPr>
              <w:spacing w:after="0"/>
              <w:jc w:val="right"/>
              <w:rPr>
                <w:rFonts w:cs="Arial"/>
                <w:color w:val="000000"/>
                <w:sz w:val="20"/>
                <w:szCs w:val="20"/>
              </w:rPr>
            </w:pPr>
            <w:r w:rsidRPr="00925D5C">
              <w:rPr>
                <w:rFonts w:cs="Arial"/>
                <w:sz w:val="20"/>
                <w:szCs w:val="20"/>
              </w:rPr>
              <w:t>54,370</w:t>
            </w:r>
          </w:p>
        </w:tc>
      </w:tr>
      <w:tr w:rsidR="000328E7" w:rsidRPr="00925D5C" w14:paraId="06AD8AE0" w14:textId="77777777" w:rsidTr="00925D5C">
        <w:trPr>
          <w:trHeight w:val="301"/>
        </w:trPr>
        <w:tc>
          <w:tcPr>
            <w:tcW w:w="2123" w:type="pct"/>
            <w:tcBorders>
              <w:bottom w:val="single" w:sz="4" w:space="0" w:color="auto"/>
            </w:tcBorders>
            <w:shd w:val="clear" w:color="auto" w:fill="BFBFBF" w:themeFill="background1" w:themeFillShade="BF"/>
            <w:noWrap/>
            <w:vAlign w:val="bottom"/>
            <w:hideMark/>
          </w:tcPr>
          <w:p w14:paraId="6D12ED5F" w14:textId="77777777" w:rsidR="000328E7" w:rsidRPr="00925D5C" w:rsidRDefault="00925D5C" w:rsidP="00925D5C">
            <w:pPr>
              <w:spacing w:after="0"/>
              <w:rPr>
                <w:rFonts w:cs="Arial"/>
                <w:color w:val="000000"/>
                <w:sz w:val="20"/>
                <w:szCs w:val="20"/>
              </w:rPr>
            </w:pPr>
            <w:r w:rsidRPr="00925D5C">
              <w:rPr>
                <w:rFonts w:cs="Arial"/>
                <w:color w:val="000000"/>
                <w:sz w:val="20"/>
                <w:szCs w:val="20"/>
              </w:rPr>
              <w:t>New participants</w:t>
            </w:r>
          </w:p>
        </w:tc>
        <w:tc>
          <w:tcPr>
            <w:tcW w:w="548" w:type="pct"/>
            <w:tcBorders>
              <w:bottom w:val="single" w:sz="4" w:space="0" w:color="auto"/>
            </w:tcBorders>
            <w:shd w:val="clear" w:color="auto" w:fill="BFBFBF" w:themeFill="background1" w:themeFillShade="BF"/>
            <w:noWrap/>
            <w:vAlign w:val="center"/>
            <w:hideMark/>
          </w:tcPr>
          <w:p w14:paraId="0A2945C2" w14:textId="77777777" w:rsidR="000328E7" w:rsidRPr="00925D5C" w:rsidRDefault="000328E7" w:rsidP="00925D5C">
            <w:pPr>
              <w:spacing w:after="0"/>
              <w:jc w:val="right"/>
              <w:rPr>
                <w:rFonts w:cs="Arial"/>
                <w:color w:val="000000"/>
                <w:sz w:val="20"/>
                <w:szCs w:val="20"/>
              </w:rPr>
            </w:pPr>
            <w:r w:rsidRPr="00925D5C">
              <w:rPr>
                <w:rFonts w:cs="Arial"/>
                <w:color w:val="000000"/>
                <w:sz w:val="20"/>
                <w:szCs w:val="20"/>
              </w:rPr>
              <w:t>1,009</w:t>
            </w:r>
          </w:p>
        </w:tc>
        <w:tc>
          <w:tcPr>
            <w:tcW w:w="549" w:type="pct"/>
            <w:tcBorders>
              <w:bottom w:val="single" w:sz="4" w:space="0" w:color="auto"/>
            </w:tcBorders>
            <w:shd w:val="clear" w:color="auto" w:fill="BFBFBF" w:themeFill="background1" w:themeFillShade="BF"/>
            <w:noWrap/>
            <w:vAlign w:val="center"/>
            <w:hideMark/>
          </w:tcPr>
          <w:p w14:paraId="6C65DAD9" w14:textId="77777777" w:rsidR="000328E7" w:rsidRPr="00925D5C" w:rsidRDefault="000328E7" w:rsidP="00925D5C">
            <w:pPr>
              <w:spacing w:after="0"/>
              <w:jc w:val="right"/>
              <w:rPr>
                <w:rFonts w:cs="Arial"/>
                <w:color w:val="000000"/>
                <w:sz w:val="20"/>
                <w:szCs w:val="20"/>
              </w:rPr>
            </w:pPr>
            <w:r w:rsidRPr="00925D5C">
              <w:rPr>
                <w:rFonts w:cs="Arial"/>
                <w:color w:val="000000"/>
                <w:sz w:val="20"/>
                <w:szCs w:val="20"/>
              </w:rPr>
              <w:t>3,432</w:t>
            </w:r>
          </w:p>
        </w:tc>
        <w:tc>
          <w:tcPr>
            <w:tcW w:w="550" w:type="pct"/>
            <w:tcBorders>
              <w:bottom w:val="single" w:sz="4" w:space="0" w:color="auto"/>
            </w:tcBorders>
            <w:shd w:val="clear" w:color="auto" w:fill="BFBFBF" w:themeFill="background1" w:themeFillShade="BF"/>
            <w:noWrap/>
            <w:vAlign w:val="center"/>
            <w:hideMark/>
          </w:tcPr>
          <w:p w14:paraId="1A899997" w14:textId="77777777" w:rsidR="000328E7" w:rsidRPr="00925D5C" w:rsidRDefault="000328E7" w:rsidP="00925D5C">
            <w:pPr>
              <w:spacing w:after="0"/>
              <w:jc w:val="right"/>
              <w:rPr>
                <w:rFonts w:cs="Arial"/>
                <w:color w:val="000000"/>
                <w:sz w:val="20"/>
                <w:szCs w:val="20"/>
              </w:rPr>
            </w:pPr>
            <w:r w:rsidRPr="00925D5C">
              <w:rPr>
                <w:rFonts w:cs="Arial"/>
                <w:color w:val="000000"/>
                <w:sz w:val="20"/>
                <w:szCs w:val="20"/>
              </w:rPr>
              <w:t>6,454</w:t>
            </w:r>
          </w:p>
        </w:tc>
        <w:tc>
          <w:tcPr>
            <w:tcW w:w="550" w:type="pct"/>
            <w:tcBorders>
              <w:bottom w:val="single" w:sz="4" w:space="0" w:color="auto"/>
              <w:right w:val="dotted" w:sz="4" w:space="0" w:color="auto"/>
            </w:tcBorders>
            <w:shd w:val="clear" w:color="auto" w:fill="BFBFBF" w:themeFill="background1" w:themeFillShade="BF"/>
            <w:noWrap/>
            <w:vAlign w:val="center"/>
            <w:hideMark/>
          </w:tcPr>
          <w:p w14:paraId="2BD5F8EB" w14:textId="77777777" w:rsidR="000328E7" w:rsidRPr="00925D5C" w:rsidRDefault="000328E7" w:rsidP="00925D5C">
            <w:pPr>
              <w:spacing w:after="0"/>
              <w:jc w:val="right"/>
              <w:rPr>
                <w:rFonts w:cs="Arial"/>
                <w:color w:val="000000"/>
                <w:sz w:val="20"/>
                <w:szCs w:val="20"/>
              </w:rPr>
            </w:pPr>
            <w:r w:rsidRPr="00925D5C">
              <w:rPr>
                <w:rFonts w:cs="Arial"/>
                <w:color w:val="000000"/>
                <w:sz w:val="20"/>
                <w:szCs w:val="20"/>
              </w:rPr>
              <w:t>9,723</w:t>
            </w:r>
          </w:p>
        </w:tc>
        <w:tc>
          <w:tcPr>
            <w:tcW w:w="681" w:type="pct"/>
            <w:tcBorders>
              <w:left w:val="dotted" w:sz="4" w:space="0" w:color="auto"/>
              <w:bottom w:val="single" w:sz="4" w:space="0" w:color="auto"/>
            </w:tcBorders>
            <w:shd w:val="clear" w:color="auto" w:fill="BFBFBF" w:themeFill="background1" w:themeFillShade="BF"/>
            <w:noWrap/>
            <w:vAlign w:val="center"/>
            <w:hideMark/>
          </w:tcPr>
          <w:p w14:paraId="4ABB18A7" w14:textId="77777777" w:rsidR="000328E7" w:rsidRPr="00925D5C" w:rsidRDefault="000328E7" w:rsidP="00925D5C">
            <w:pPr>
              <w:spacing w:after="0"/>
              <w:jc w:val="right"/>
              <w:rPr>
                <w:rFonts w:cs="Arial"/>
                <w:color w:val="000000"/>
                <w:sz w:val="20"/>
                <w:szCs w:val="20"/>
              </w:rPr>
            </w:pPr>
            <w:r w:rsidRPr="00925D5C">
              <w:rPr>
                <w:rFonts w:cs="Arial"/>
                <w:color w:val="000000"/>
                <w:sz w:val="20"/>
                <w:szCs w:val="20"/>
              </w:rPr>
              <w:t>35,033</w:t>
            </w:r>
          </w:p>
        </w:tc>
      </w:tr>
      <w:tr w:rsidR="000328E7" w:rsidRPr="00925D5C" w14:paraId="2E18DE11" w14:textId="77777777" w:rsidTr="00252EAF">
        <w:trPr>
          <w:trHeight w:val="301"/>
        </w:trPr>
        <w:tc>
          <w:tcPr>
            <w:tcW w:w="2123" w:type="pct"/>
            <w:tcBorders>
              <w:top w:val="single" w:sz="4" w:space="0" w:color="auto"/>
              <w:bottom w:val="single" w:sz="4" w:space="0" w:color="auto"/>
            </w:tcBorders>
            <w:shd w:val="clear" w:color="auto" w:fill="D4C5D7"/>
            <w:noWrap/>
            <w:vAlign w:val="bottom"/>
            <w:hideMark/>
          </w:tcPr>
          <w:p w14:paraId="4AB55C6F" w14:textId="77777777" w:rsidR="000328E7" w:rsidRPr="00925D5C" w:rsidRDefault="00925D5C" w:rsidP="00925D5C">
            <w:pPr>
              <w:spacing w:after="0"/>
              <w:rPr>
                <w:rFonts w:cs="Arial"/>
                <w:b/>
                <w:color w:val="000000"/>
                <w:sz w:val="20"/>
                <w:szCs w:val="20"/>
              </w:rPr>
            </w:pPr>
            <w:r w:rsidRPr="00925D5C">
              <w:rPr>
                <w:rFonts w:cs="Arial"/>
                <w:b/>
                <w:color w:val="000000"/>
                <w:sz w:val="20"/>
                <w:szCs w:val="20"/>
              </w:rPr>
              <w:t>All projected participants</w:t>
            </w:r>
          </w:p>
        </w:tc>
        <w:tc>
          <w:tcPr>
            <w:tcW w:w="548" w:type="pct"/>
            <w:tcBorders>
              <w:top w:val="single" w:sz="4" w:space="0" w:color="auto"/>
              <w:bottom w:val="single" w:sz="4" w:space="0" w:color="auto"/>
            </w:tcBorders>
            <w:shd w:val="clear" w:color="auto" w:fill="D4C5D7"/>
            <w:noWrap/>
            <w:vAlign w:val="center"/>
            <w:hideMark/>
          </w:tcPr>
          <w:p w14:paraId="2AA7FCD8" w14:textId="77777777" w:rsidR="000328E7" w:rsidRPr="00925D5C" w:rsidRDefault="000328E7" w:rsidP="00252EAF">
            <w:pPr>
              <w:spacing w:after="0"/>
              <w:jc w:val="right"/>
              <w:rPr>
                <w:rFonts w:cs="Arial"/>
                <w:b/>
                <w:color w:val="000000"/>
                <w:sz w:val="20"/>
                <w:szCs w:val="20"/>
              </w:rPr>
            </w:pPr>
            <w:r w:rsidRPr="00925D5C">
              <w:rPr>
                <w:rFonts w:cs="Arial"/>
                <w:b/>
                <w:sz w:val="20"/>
                <w:szCs w:val="20"/>
              </w:rPr>
              <w:t>33,976</w:t>
            </w:r>
          </w:p>
        </w:tc>
        <w:tc>
          <w:tcPr>
            <w:tcW w:w="549" w:type="pct"/>
            <w:tcBorders>
              <w:top w:val="single" w:sz="4" w:space="0" w:color="auto"/>
              <w:bottom w:val="single" w:sz="4" w:space="0" w:color="auto"/>
            </w:tcBorders>
            <w:shd w:val="clear" w:color="auto" w:fill="D4C5D7"/>
            <w:noWrap/>
            <w:vAlign w:val="center"/>
            <w:hideMark/>
          </w:tcPr>
          <w:p w14:paraId="099BC13D" w14:textId="77777777" w:rsidR="000328E7" w:rsidRPr="00925D5C" w:rsidRDefault="000328E7" w:rsidP="00252EAF">
            <w:pPr>
              <w:spacing w:after="0"/>
              <w:jc w:val="right"/>
              <w:rPr>
                <w:rFonts w:cs="Arial"/>
                <w:b/>
                <w:color w:val="000000"/>
                <w:sz w:val="20"/>
                <w:szCs w:val="20"/>
              </w:rPr>
            </w:pPr>
            <w:r w:rsidRPr="00925D5C">
              <w:rPr>
                <w:rFonts w:cs="Arial"/>
                <w:b/>
                <w:sz w:val="20"/>
                <w:szCs w:val="20"/>
              </w:rPr>
              <w:t>38,133</w:t>
            </w:r>
          </w:p>
        </w:tc>
        <w:tc>
          <w:tcPr>
            <w:tcW w:w="550" w:type="pct"/>
            <w:tcBorders>
              <w:top w:val="single" w:sz="4" w:space="0" w:color="auto"/>
              <w:bottom w:val="single" w:sz="4" w:space="0" w:color="auto"/>
            </w:tcBorders>
            <w:shd w:val="clear" w:color="auto" w:fill="D4C5D7"/>
            <w:noWrap/>
            <w:vAlign w:val="center"/>
            <w:hideMark/>
          </w:tcPr>
          <w:p w14:paraId="375101AD" w14:textId="77777777" w:rsidR="000328E7" w:rsidRPr="00925D5C" w:rsidRDefault="000328E7" w:rsidP="00252EAF">
            <w:pPr>
              <w:spacing w:after="0"/>
              <w:jc w:val="right"/>
              <w:rPr>
                <w:rFonts w:cs="Arial"/>
                <w:b/>
                <w:color w:val="000000"/>
                <w:sz w:val="20"/>
                <w:szCs w:val="20"/>
              </w:rPr>
            </w:pPr>
            <w:r w:rsidRPr="00925D5C">
              <w:rPr>
                <w:rFonts w:cs="Arial"/>
                <w:b/>
                <w:sz w:val="20"/>
                <w:szCs w:val="20"/>
              </w:rPr>
              <w:t>44,116</w:t>
            </w:r>
          </w:p>
        </w:tc>
        <w:tc>
          <w:tcPr>
            <w:tcW w:w="550" w:type="pct"/>
            <w:tcBorders>
              <w:top w:val="single" w:sz="4" w:space="0" w:color="auto"/>
              <w:bottom w:val="single" w:sz="4" w:space="0" w:color="auto"/>
              <w:right w:val="dotted" w:sz="4" w:space="0" w:color="auto"/>
            </w:tcBorders>
            <w:shd w:val="clear" w:color="auto" w:fill="D4C5D7"/>
            <w:noWrap/>
            <w:vAlign w:val="center"/>
            <w:hideMark/>
          </w:tcPr>
          <w:p w14:paraId="39BA0C62" w14:textId="77777777" w:rsidR="000328E7" w:rsidRPr="00925D5C" w:rsidRDefault="000328E7" w:rsidP="00252EAF">
            <w:pPr>
              <w:spacing w:after="0"/>
              <w:jc w:val="right"/>
              <w:rPr>
                <w:rFonts w:cs="Arial"/>
                <w:b/>
                <w:color w:val="000000"/>
                <w:sz w:val="20"/>
                <w:szCs w:val="20"/>
              </w:rPr>
            </w:pPr>
            <w:r w:rsidRPr="00925D5C">
              <w:rPr>
                <w:rFonts w:cs="Arial"/>
                <w:b/>
                <w:sz w:val="20"/>
                <w:szCs w:val="20"/>
              </w:rPr>
              <w:t>50,344</w:t>
            </w:r>
          </w:p>
        </w:tc>
        <w:tc>
          <w:tcPr>
            <w:tcW w:w="681" w:type="pct"/>
            <w:tcBorders>
              <w:top w:val="single" w:sz="4" w:space="0" w:color="auto"/>
              <w:left w:val="dotted" w:sz="4" w:space="0" w:color="auto"/>
              <w:bottom w:val="single" w:sz="4" w:space="0" w:color="auto"/>
            </w:tcBorders>
            <w:shd w:val="clear" w:color="auto" w:fill="D4C5D7"/>
            <w:noWrap/>
            <w:vAlign w:val="center"/>
            <w:hideMark/>
          </w:tcPr>
          <w:p w14:paraId="3179F0D5" w14:textId="77777777" w:rsidR="000328E7" w:rsidRPr="00925D5C" w:rsidRDefault="000328E7" w:rsidP="00252EAF">
            <w:pPr>
              <w:spacing w:after="0"/>
              <w:jc w:val="right"/>
              <w:rPr>
                <w:rFonts w:cs="Arial"/>
                <w:b/>
                <w:color w:val="000000"/>
                <w:sz w:val="20"/>
                <w:szCs w:val="20"/>
              </w:rPr>
            </w:pPr>
            <w:r w:rsidRPr="00925D5C">
              <w:rPr>
                <w:rFonts w:cs="Arial"/>
                <w:b/>
                <w:sz w:val="20"/>
                <w:szCs w:val="20"/>
              </w:rPr>
              <w:t>89,403</w:t>
            </w:r>
          </w:p>
        </w:tc>
      </w:tr>
    </w:tbl>
    <w:p w14:paraId="0B0BFEFB" w14:textId="77777777" w:rsidR="00095C80" w:rsidRDefault="00095C80">
      <w:pPr>
        <w:spacing w:after="160" w:line="259" w:lineRule="auto"/>
        <w:rPr>
          <w:b/>
          <w:color w:val="6B2976"/>
          <w:sz w:val="25"/>
        </w:rPr>
      </w:pPr>
      <w:r>
        <w:br w:type="page"/>
      </w:r>
    </w:p>
    <w:p w14:paraId="66419DA0" w14:textId="77777777" w:rsidR="006D3A4D" w:rsidRDefault="006D3A4D" w:rsidP="006D3A4D">
      <w:pPr>
        <w:pStyle w:val="FSRHeading4"/>
      </w:pPr>
      <w:bookmarkStart w:id="262" w:name="_Ref80431043"/>
      <w:r>
        <w:lastRenderedPageBreak/>
        <w:t>Scenarios relating to number</w:t>
      </w:r>
      <w:r w:rsidRPr="00602D7B">
        <w:t xml:space="preserve"> of participants transitioning into Supported Independent Living (SIL)</w:t>
      </w:r>
    </w:p>
    <w:p w14:paraId="7E48F709" w14:textId="77777777" w:rsidR="006D3A4D" w:rsidRDefault="006D3A4D" w:rsidP="006D3A4D">
      <w:pPr>
        <w:pStyle w:val="FSRnormal"/>
      </w:pPr>
      <w:r>
        <w:t>T</w:t>
      </w:r>
      <w:r w:rsidRPr="00F340CE">
        <w:t>here are only two years of experience of participants transitioning into Supported Independent Living following all geographic regions gaining access to the Scheme. Furthermore, operational processes to assess the suitability of SIL or other alternative living arrangements for participants have changed significantly over that period and continue to be developed. Hence, there is limited experience and continuing uncertainty over the longer</w:t>
      </w:r>
      <w:r w:rsidR="003F6941">
        <w:t>-</w:t>
      </w:r>
      <w:r w:rsidRPr="00F340CE">
        <w:t>term numbers of participant</w:t>
      </w:r>
      <w:r>
        <w:t>s</w:t>
      </w:r>
      <w:r w:rsidRPr="00F340CE">
        <w:t xml:space="preserve"> with SIL in the Scheme.</w:t>
      </w:r>
      <w:r w:rsidRPr="00602D7B">
        <w:t xml:space="preserve"> </w:t>
      </w:r>
      <w:r>
        <w:t xml:space="preserve">To quantify the inherent uncertainty with assumptions relating to participants transitioning into SIL, the following scenarios were considered.  </w:t>
      </w:r>
    </w:p>
    <w:p w14:paraId="503A1465" w14:textId="77777777" w:rsidR="006D3A4D" w:rsidRDefault="006D3A4D" w:rsidP="006D3A4D">
      <w:pPr>
        <w:pStyle w:val="FSRHeading5"/>
      </w:pPr>
      <w:r>
        <w:t>Scenario: Higher numbers of participants with SIL</w:t>
      </w:r>
    </w:p>
    <w:p w14:paraId="5F2D57E8" w14:textId="77777777" w:rsidR="006D3A4D" w:rsidRDefault="006D3A4D" w:rsidP="006D3A4D">
      <w:pPr>
        <w:pStyle w:val="FSRnormal"/>
      </w:pPr>
      <w:r>
        <w:t xml:space="preserve">This scenario considers a higher number of participants with SIL (approximately 500 more per annum compared with the baseline projection). This adds $0.7 billion in 2025-26 and $2.7 billion in 2031-32 to total </w:t>
      </w:r>
      <w:r w:rsidR="00AD1D78">
        <w:t>S</w:t>
      </w:r>
      <w:r>
        <w:t>cheme expenses.</w:t>
      </w:r>
    </w:p>
    <w:p w14:paraId="69924ABA" w14:textId="77777777" w:rsidR="00EB6BFA" w:rsidRDefault="00EB6BFA" w:rsidP="00DA3F73">
      <w:pPr>
        <w:pStyle w:val="Tables"/>
      </w:pPr>
      <w:bookmarkStart w:id="263" w:name="_Ref113283196"/>
      <w:r>
        <w:t xml:space="preserve">Table </w:t>
      </w:r>
      <w:fldSimple w:instr=" STYLEREF 2 \s ">
        <w:r w:rsidR="00A87896">
          <w:rPr>
            <w:noProof/>
          </w:rPr>
          <w:t>6</w:t>
        </w:r>
      </w:fldSimple>
      <w:r w:rsidR="00A87896">
        <w:t>.</w:t>
      </w:r>
      <w:fldSimple w:instr=" SEQ Table \* ARABIC \s 2 ">
        <w:r w:rsidR="00A87896">
          <w:rPr>
            <w:noProof/>
          </w:rPr>
          <w:t>2</w:t>
        </w:r>
      </w:fldSimple>
      <w:r>
        <w:t xml:space="preserve">: </w:t>
      </w:r>
      <w:r w:rsidR="00BC498F" w:rsidRPr="00EA6635">
        <w:t xml:space="preserve">Scenario results - Higher numbers </w:t>
      </w:r>
      <w:r w:rsidR="00BC498F">
        <w:t xml:space="preserve">of participants with SIL </w:t>
      </w:r>
      <w:r w:rsidR="00BC498F" w:rsidRPr="00EA6635">
        <w:t xml:space="preserve">(+500 </w:t>
      </w:r>
      <w:r w:rsidR="00D067C5">
        <w:t>per annum</w:t>
      </w:r>
      <w:r w:rsidR="00BC498F" w:rsidRPr="00EA6635">
        <w:t>)</w:t>
      </w:r>
    </w:p>
    <w:tbl>
      <w:tblPr>
        <w:tblStyle w:val="FSRtable"/>
        <w:tblW w:w="0" w:type="auto"/>
        <w:tblInd w:w="5" w:type="dxa"/>
        <w:tblLayout w:type="fixed"/>
        <w:tblLook w:val="04A0" w:firstRow="1" w:lastRow="0" w:firstColumn="1" w:lastColumn="0" w:noHBand="0" w:noVBand="1"/>
      </w:tblPr>
      <w:tblGrid>
        <w:gridCol w:w="2689"/>
        <w:gridCol w:w="1134"/>
        <w:gridCol w:w="992"/>
        <w:gridCol w:w="992"/>
        <w:gridCol w:w="992"/>
        <w:gridCol w:w="1134"/>
        <w:gridCol w:w="1083"/>
      </w:tblGrid>
      <w:tr w:rsidR="00BC498F" w:rsidRPr="00711C14" w14:paraId="239F05B8" w14:textId="77777777" w:rsidTr="009E7A4B">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689" w:type="dxa"/>
            <w:noWrap/>
            <w:hideMark/>
          </w:tcPr>
          <w:p w14:paraId="2C49AD8B" w14:textId="77777777" w:rsidR="00BC498F" w:rsidRPr="00F830E6" w:rsidRDefault="00BC498F" w:rsidP="00BA7353">
            <w:pPr>
              <w:spacing w:after="0" w:line="240" w:lineRule="auto"/>
              <w:rPr>
                <w:rFonts w:eastAsia="Times New Roman"/>
                <w:color w:val="FFFFFF"/>
                <w:sz w:val="18"/>
                <w:szCs w:val="18"/>
                <w:lang w:eastAsia="en-AU"/>
              </w:rPr>
            </w:pPr>
            <w:r w:rsidRPr="00F830E6">
              <w:rPr>
                <w:rFonts w:eastAsia="Times New Roman"/>
                <w:color w:val="FFFFFF"/>
                <w:sz w:val="18"/>
                <w:szCs w:val="18"/>
                <w:lang w:eastAsia="en-AU"/>
              </w:rPr>
              <w:t> </w:t>
            </w:r>
          </w:p>
        </w:tc>
        <w:tc>
          <w:tcPr>
            <w:tcW w:w="4110" w:type="dxa"/>
            <w:gridSpan w:val="4"/>
            <w:tcBorders>
              <w:top w:val="single" w:sz="4" w:space="0" w:color="auto"/>
              <w:bottom w:val="single" w:sz="4" w:space="0" w:color="FFFFFF" w:themeColor="background1"/>
            </w:tcBorders>
            <w:noWrap/>
            <w:hideMark/>
          </w:tcPr>
          <w:p w14:paraId="21937D86" w14:textId="77777777" w:rsidR="00BC498F" w:rsidRPr="00F830E6"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F830E6">
              <w:rPr>
                <w:rFonts w:eastAsia="Times New Roman"/>
                <w:bCs/>
                <w:color w:val="FFFFFF"/>
                <w:sz w:val="18"/>
                <w:szCs w:val="18"/>
                <w:lang w:eastAsia="en-AU"/>
              </w:rPr>
              <w:t>Projection Year</w:t>
            </w:r>
          </w:p>
        </w:tc>
        <w:tc>
          <w:tcPr>
            <w:tcW w:w="1134" w:type="dxa"/>
            <w:tcBorders>
              <w:top w:val="single" w:sz="4" w:space="0" w:color="auto"/>
              <w:bottom w:val="single" w:sz="4" w:space="0" w:color="FFFFFF" w:themeColor="background1"/>
            </w:tcBorders>
            <w:noWrap/>
            <w:hideMark/>
          </w:tcPr>
          <w:p w14:paraId="324330DB" w14:textId="77777777" w:rsidR="00BC498F" w:rsidRPr="00F830E6"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F830E6">
              <w:rPr>
                <w:rFonts w:eastAsia="Times New Roman"/>
                <w:bCs/>
                <w:color w:val="FFFFFF"/>
                <w:sz w:val="18"/>
                <w:szCs w:val="18"/>
                <w:lang w:eastAsia="en-AU"/>
              </w:rPr>
              <w:t> </w:t>
            </w:r>
          </w:p>
        </w:tc>
        <w:tc>
          <w:tcPr>
            <w:tcW w:w="1083" w:type="dxa"/>
            <w:tcBorders>
              <w:top w:val="single" w:sz="4" w:space="0" w:color="auto"/>
              <w:bottom w:val="single" w:sz="4" w:space="0" w:color="FFFFFF" w:themeColor="background1"/>
            </w:tcBorders>
            <w:noWrap/>
            <w:hideMark/>
          </w:tcPr>
          <w:p w14:paraId="56B61DB8" w14:textId="77777777" w:rsidR="00BC498F" w:rsidRPr="00F830E6"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F830E6">
              <w:rPr>
                <w:rFonts w:eastAsia="Times New Roman"/>
                <w:bCs/>
                <w:color w:val="FFFFFF"/>
                <w:sz w:val="18"/>
                <w:szCs w:val="18"/>
                <w:lang w:eastAsia="en-AU"/>
              </w:rPr>
              <w:t>Total</w:t>
            </w:r>
          </w:p>
        </w:tc>
      </w:tr>
      <w:tr w:rsidR="00BC498F" w:rsidRPr="00711C14" w14:paraId="6CCE0837" w14:textId="77777777" w:rsidTr="009E7A4B">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689" w:type="dxa"/>
            <w:noWrap/>
            <w:hideMark/>
          </w:tcPr>
          <w:p w14:paraId="26AB3092" w14:textId="77777777" w:rsidR="00BC498F" w:rsidRPr="00F830E6" w:rsidRDefault="00BC498F" w:rsidP="00BA7353">
            <w:pPr>
              <w:spacing w:after="0" w:line="240" w:lineRule="auto"/>
              <w:rPr>
                <w:rFonts w:eastAsia="Times New Roman"/>
                <w:color w:val="FFFFFF"/>
                <w:sz w:val="18"/>
                <w:szCs w:val="18"/>
                <w:lang w:eastAsia="en-AU"/>
              </w:rPr>
            </w:pPr>
            <w:r w:rsidRPr="00F830E6">
              <w:rPr>
                <w:rFonts w:eastAsia="Times New Roman"/>
                <w:color w:val="FFFFFF"/>
                <w:sz w:val="18"/>
                <w:szCs w:val="18"/>
                <w:lang w:eastAsia="en-AU"/>
              </w:rPr>
              <w:t> </w:t>
            </w:r>
          </w:p>
        </w:tc>
        <w:tc>
          <w:tcPr>
            <w:tcW w:w="1134" w:type="dxa"/>
            <w:tcBorders>
              <w:top w:val="single" w:sz="4" w:space="0" w:color="FFFFFF" w:themeColor="background1"/>
              <w:bottom w:val="nil"/>
            </w:tcBorders>
            <w:noWrap/>
            <w:hideMark/>
          </w:tcPr>
          <w:p w14:paraId="10732AE2" w14:textId="77777777" w:rsidR="00BC498F" w:rsidRPr="00F830E6" w:rsidRDefault="00BC498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F830E6">
              <w:rPr>
                <w:rFonts w:eastAsia="Times New Roman"/>
                <w:bCs/>
                <w:color w:val="FFFFFF"/>
                <w:sz w:val="18"/>
                <w:szCs w:val="18"/>
                <w:lang w:eastAsia="en-AU"/>
              </w:rPr>
              <w:t>2022-23</w:t>
            </w:r>
          </w:p>
        </w:tc>
        <w:tc>
          <w:tcPr>
            <w:tcW w:w="992" w:type="dxa"/>
            <w:tcBorders>
              <w:top w:val="single" w:sz="4" w:space="0" w:color="FFFFFF" w:themeColor="background1"/>
              <w:bottom w:val="nil"/>
            </w:tcBorders>
            <w:noWrap/>
            <w:hideMark/>
          </w:tcPr>
          <w:p w14:paraId="2D40CB69" w14:textId="77777777" w:rsidR="00BC498F" w:rsidRPr="00F830E6" w:rsidRDefault="00BC498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F830E6">
              <w:rPr>
                <w:rFonts w:eastAsia="Times New Roman"/>
                <w:bCs/>
                <w:color w:val="FFFFFF"/>
                <w:sz w:val="18"/>
                <w:szCs w:val="18"/>
                <w:lang w:eastAsia="en-AU"/>
              </w:rPr>
              <w:t>2023-24</w:t>
            </w:r>
          </w:p>
        </w:tc>
        <w:tc>
          <w:tcPr>
            <w:tcW w:w="992" w:type="dxa"/>
            <w:tcBorders>
              <w:top w:val="single" w:sz="4" w:space="0" w:color="FFFFFF" w:themeColor="background1"/>
              <w:bottom w:val="nil"/>
            </w:tcBorders>
            <w:noWrap/>
            <w:hideMark/>
          </w:tcPr>
          <w:p w14:paraId="29C85489" w14:textId="77777777" w:rsidR="00BC498F" w:rsidRPr="00F830E6" w:rsidRDefault="00BC498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F830E6">
              <w:rPr>
                <w:rFonts w:eastAsia="Times New Roman"/>
                <w:bCs/>
                <w:color w:val="FFFFFF"/>
                <w:sz w:val="18"/>
                <w:szCs w:val="18"/>
                <w:lang w:eastAsia="en-AU"/>
              </w:rPr>
              <w:t>2024-25</w:t>
            </w:r>
          </w:p>
        </w:tc>
        <w:tc>
          <w:tcPr>
            <w:tcW w:w="992" w:type="dxa"/>
            <w:tcBorders>
              <w:top w:val="single" w:sz="4" w:space="0" w:color="FFFFFF" w:themeColor="background1"/>
              <w:bottom w:val="nil"/>
              <w:right w:val="dotted" w:sz="4" w:space="0" w:color="auto"/>
            </w:tcBorders>
            <w:noWrap/>
            <w:hideMark/>
          </w:tcPr>
          <w:p w14:paraId="055FDA00" w14:textId="77777777" w:rsidR="00BC498F" w:rsidRPr="00F830E6" w:rsidRDefault="00BC498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F830E6">
              <w:rPr>
                <w:rFonts w:eastAsia="Times New Roman"/>
                <w:bCs/>
                <w:color w:val="FFFFFF"/>
                <w:sz w:val="18"/>
                <w:szCs w:val="18"/>
                <w:lang w:eastAsia="en-AU"/>
              </w:rPr>
              <w:t>2025-26</w:t>
            </w:r>
          </w:p>
        </w:tc>
        <w:tc>
          <w:tcPr>
            <w:tcW w:w="1134" w:type="dxa"/>
            <w:tcBorders>
              <w:top w:val="single" w:sz="4" w:space="0" w:color="FFFFFF" w:themeColor="background1"/>
              <w:left w:val="dotted" w:sz="4" w:space="0" w:color="auto"/>
              <w:bottom w:val="nil"/>
              <w:right w:val="single" w:sz="4" w:space="0" w:color="auto"/>
            </w:tcBorders>
            <w:noWrap/>
            <w:hideMark/>
          </w:tcPr>
          <w:p w14:paraId="493AD764" w14:textId="77777777" w:rsidR="00BC498F" w:rsidRPr="00F830E6" w:rsidRDefault="00BC498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F830E6">
              <w:rPr>
                <w:rFonts w:eastAsia="Times New Roman"/>
                <w:bCs/>
                <w:color w:val="FFFFFF"/>
                <w:sz w:val="18"/>
                <w:szCs w:val="18"/>
                <w:lang w:eastAsia="en-AU"/>
              </w:rPr>
              <w:t>2031-32</w:t>
            </w:r>
          </w:p>
        </w:tc>
        <w:tc>
          <w:tcPr>
            <w:tcW w:w="1083" w:type="dxa"/>
            <w:tcBorders>
              <w:top w:val="single" w:sz="4" w:space="0" w:color="FFFFFF" w:themeColor="background1"/>
              <w:left w:val="single" w:sz="4" w:space="0" w:color="auto"/>
              <w:bottom w:val="nil"/>
            </w:tcBorders>
            <w:noWrap/>
            <w:hideMark/>
          </w:tcPr>
          <w:p w14:paraId="7165E34D" w14:textId="77777777" w:rsidR="00BC498F" w:rsidRPr="00F830E6" w:rsidRDefault="00BC498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F830E6">
              <w:rPr>
                <w:rFonts w:eastAsia="Times New Roman"/>
                <w:bCs/>
                <w:color w:val="FFFFFF"/>
                <w:sz w:val="18"/>
                <w:szCs w:val="18"/>
                <w:lang w:eastAsia="en-AU"/>
              </w:rPr>
              <w:t>2022-26</w:t>
            </w:r>
          </w:p>
        </w:tc>
      </w:tr>
      <w:tr w:rsidR="00BC498F" w:rsidRPr="00711C14" w14:paraId="407D47CD" w14:textId="77777777" w:rsidTr="009E7A4B">
        <w:trPr>
          <w:trHeight w:val="30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hideMark/>
          </w:tcPr>
          <w:p w14:paraId="371E20F0" w14:textId="77777777" w:rsidR="00BC498F" w:rsidRPr="00F830E6" w:rsidRDefault="00BC498F" w:rsidP="00BA7353">
            <w:pPr>
              <w:spacing w:after="0" w:line="240" w:lineRule="auto"/>
              <w:rPr>
                <w:rFonts w:eastAsia="Times New Roman" w:cs="Arial"/>
                <w:b/>
                <w:bCs/>
                <w:i/>
                <w:iCs/>
                <w:color w:val="000000"/>
                <w:sz w:val="18"/>
                <w:szCs w:val="18"/>
                <w:lang w:eastAsia="en-AU"/>
              </w:rPr>
            </w:pPr>
            <w:r w:rsidRPr="00F830E6">
              <w:rPr>
                <w:rFonts w:eastAsia="Times New Roman" w:cs="Arial"/>
                <w:b/>
                <w:bCs/>
                <w:i/>
                <w:iCs/>
                <w:color w:val="000000"/>
                <w:sz w:val="18"/>
                <w:szCs w:val="18"/>
                <w:lang w:eastAsia="en-AU"/>
              </w:rPr>
              <w:t>Existing participants</w:t>
            </w:r>
          </w:p>
        </w:tc>
        <w:tc>
          <w:tcPr>
            <w:tcW w:w="1134" w:type="dxa"/>
            <w:tcBorders>
              <w:top w:val="nil"/>
            </w:tcBorders>
            <w:shd w:val="clear" w:color="auto" w:fill="auto"/>
            <w:noWrap/>
            <w:hideMark/>
          </w:tcPr>
          <w:p w14:paraId="19E273E0"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992" w:type="dxa"/>
            <w:tcBorders>
              <w:top w:val="nil"/>
            </w:tcBorders>
            <w:shd w:val="clear" w:color="auto" w:fill="auto"/>
            <w:noWrap/>
            <w:hideMark/>
          </w:tcPr>
          <w:p w14:paraId="1F84264D"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992" w:type="dxa"/>
            <w:tcBorders>
              <w:top w:val="nil"/>
            </w:tcBorders>
            <w:shd w:val="clear" w:color="auto" w:fill="auto"/>
            <w:noWrap/>
            <w:hideMark/>
          </w:tcPr>
          <w:p w14:paraId="2BBE2E37"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992" w:type="dxa"/>
            <w:tcBorders>
              <w:top w:val="nil"/>
              <w:right w:val="dotted" w:sz="4" w:space="0" w:color="auto"/>
            </w:tcBorders>
            <w:shd w:val="clear" w:color="auto" w:fill="auto"/>
            <w:noWrap/>
            <w:hideMark/>
          </w:tcPr>
          <w:p w14:paraId="39FFD071"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1134" w:type="dxa"/>
            <w:tcBorders>
              <w:top w:val="nil"/>
              <w:left w:val="dotted" w:sz="4" w:space="0" w:color="auto"/>
              <w:bottom w:val="nil"/>
              <w:right w:val="single" w:sz="4" w:space="0" w:color="auto"/>
            </w:tcBorders>
            <w:shd w:val="clear" w:color="auto" w:fill="auto"/>
            <w:noWrap/>
            <w:hideMark/>
          </w:tcPr>
          <w:p w14:paraId="25EC5E70"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1083" w:type="dxa"/>
            <w:tcBorders>
              <w:top w:val="nil"/>
              <w:left w:val="single" w:sz="4" w:space="0" w:color="auto"/>
            </w:tcBorders>
            <w:shd w:val="clear" w:color="auto" w:fill="auto"/>
            <w:noWrap/>
            <w:hideMark/>
          </w:tcPr>
          <w:p w14:paraId="77EFAAED"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r>
      <w:tr w:rsidR="00BC498F" w:rsidRPr="00711C14" w14:paraId="263B93BB" w14:textId="77777777" w:rsidTr="00DA3F7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noWrap/>
            <w:hideMark/>
          </w:tcPr>
          <w:p w14:paraId="21384723" w14:textId="77777777" w:rsidR="00BC498F" w:rsidRPr="00F830E6" w:rsidRDefault="00BC498F" w:rsidP="00BA7353">
            <w:pPr>
              <w:spacing w:after="0" w:line="240" w:lineRule="auto"/>
              <w:rPr>
                <w:rFonts w:eastAsia="Times New Roman" w:cs="Arial"/>
                <w:color w:val="000000"/>
                <w:sz w:val="18"/>
                <w:szCs w:val="18"/>
                <w:lang w:eastAsia="en-AU"/>
              </w:rPr>
            </w:pPr>
            <w:r w:rsidRPr="00F830E6">
              <w:rPr>
                <w:rFonts w:eastAsia="Times New Roman" w:cs="Arial"/>
                <w:color w:val="000000"/>
                <w:sz w:val="18"/>
                <w:szCs w:val="18"/>
                <w:lang w:eastAsia="en-AU"/>
              </w:rPr>
              <w:t>Scheme Expenses ($m)</w:t>
            </w:r>
          </w:p>
        </w:tc>
        <w:tc>
          <w:tcPr>
            <w:tcW w:w="1134" w:type="dxa"/>
            <w:noWrap/>
            <w:hideMark/>
          </w:tcPr>
          <w:p w14:paraId="070DBE05"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33,130</w:t>
            </w:r>
          </w:p>
        </w:tc>
        <w:tc>
          <w:tcPr>
            <w:tcW w:w="992" w:type="dxa"/>
            <w:noWrap/>
            <w:hideMark/>
          </w:tcPr>
          <w:p w14:paraId="353F710D"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34,940</w:t>
            </w:r>
          </w:p>
        </w:tc>
        <w:tc>
          <w:tcPr>
            <w:tcW w:w="992" w:type="dxa"/>
            <w:noWrap/>
            <w:hideMark/>
          </w:tcPr>
          <w:p w14:paraId="5DE0D224"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38,071</w:t>
            </w:r>
          </w:p>
        </w:tc>
        <w:tc>
          <w:tcPr>
            <w:tcW w:w="992" w:type="dxa"/>
            <w:tcBorders>
              <w:right w:val="dotted" w:sz="4" w:space="0" w:color="auto"/>
            </w:tcBorders>
            <w:noWrap/>
            <w:hideMark/>
          </w:tcPr>
          <w:p w14:paraId="14EAA7CA"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41,206</w:t>
            </w:r>
          </w:p>
        </w:tc>
        <w:tc>
          <w:tcPr>
            <w:tcW w:w="1134" w:type="dxa"/>
            <w:tcBorders>
              <w:top w:val="nil"/>
              <w:left w:val="dotted" w:sz="4" w:space="0" w:color="auto"/>
              <w:bottom w:val="nil"/>
              <w:right w:val="single" w:sz="4" w:space="0" w:color="auto"/>
            </w:tcBorders>
            <w:noWrap/>
            <w:hideMark/>
          </w:tcPr>
          <w:p w14:paraId="0933BBC4"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55,983</w:t>
            </w:r>
          </w:p>
        </w:tc>
        <w:tc>
          <w:tcPr>
            <w:tcW w:w="1083" w:type="dxa"/>
            <w:tcBorders>
              <w:left w:val="single" w:sz="4" w:space="0" w:color="auto"/>
            </w:tcBorders>
            <w:noWrap/>
            <w:hideMark/>
          </w:tcPr>
          <w:p w14:paraId="20B6F757"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147,346</w:t>
            </w:r>
          </w:p>
        </w:tc>
      </w:tr>
      <w:tr w:rsidR="00BC498F" w:rsidRPr="00711C14" w14:paraId="0EF73D09" w14:textId="77777777" w:rsidTr="009E7A4B">
        <w:trPr>
          <w:trHeight w:val="30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hideMark/>
          </w:tcPr>
          <w:p w14:paraId="569F3F94" w14:textId="77777777" w:rsidR="00BC498F" w:rsidRPr="00F830E6" w:rsidRDefault="00BC498F" w:rsidP="00BA7353">
            <w:pPr>
              <w:spacing w:after="0" w:line="240" w:lineRule="auto"/>
              <w:rPr>
                <w:rFonts w:eastAsia="Times New Roman" w:cs="Arial"/>
                <w:color w:val="000000"/>
                <w:sz w:val="18"/>
                <w:szCs w:val="18"/>
                <w:lang w:eastAsia="en-AU"/>
              </w:rPr>
            </w:pPr>
            <w:r w:rsidRPr="00F830E6">
              <w:rPr>
                <w:rFonts w:eastAsia="Times New Roman" w:cs="Arial"/>
                <w:color w:val="000000"/>
                <w:sz w:val="18"/>
                <w:szCs w:val="18"/>
                <w:lang w:eastAsia="en-AU"/>
              </w:rPr>
              <w:t>Variance to baseline ($m)</w:t>
            </w:r>
          </w:p>
        </w:tc>
        <w:tc>
          <w:tcPr>
            <w:tcW w:w="1134" w:type="dxa"/>
            <w:shd w:val="clear" w:color="auto" w:fill="auto"/>
            <w:noWrap/>
            <w:hideMark/>
          </w:tcPr>
          <w:p w14:paraId="3656F805"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162</w:t>
            </w:r>
          </w:p>
        </w:tc>
        <w:tc>
          <w:tcPr>
            <w:tcW w:w="992" w:type="dxa"/>
            <w:shd w:val="clear" w:color="auto" w:fill="auto"/>
            <w:noWrap/>
            <w:hideMark/>
          </w:tcPr>
          <w:p w14:paraId="417596D5"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239</w:t>
            </w:r>
          </w:p>
        </w:tc>
        <w:tc>
          <w:tcPr>
            <w:tcW w:w="992" w:type="dxa"/>
            <w:shd w:val="clear" w:color="auto" w:fill="auto"/>
            <w:noWrap/>
            <w:hideMark/>
          </w:tcPr>
          <w:p w14:paraId="57283A00"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409</w:t>
            </w:r>
          </w:p>
        </w:tc>
        <w:tc>
          <w:tcPr>
            <w:tcW w:w="992" w:type="dxa"/>
            <w:tcBorders>
              <w:right w:val="dotted" w:sz="4" w:space="0" w:color="auto"/>
            </w:tcBorders>
            <w:shd w:val="clear" w:color="auto" w:fill="auto"/>
            <w:noWrap/>
            <w:hideMark/>
          </w:tcPr>
          <w:p w14:paraId="3D45FCEC"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585</w:t>
            </w:r>
          </w:p>
        </w:tc>
        <w:tc>
          <w:tcPr>
            <w:tcW w:w="1134" w:type="dxa"/>
            <w:tcBorders>
              <w:top w:val="nil"/>
              <w:left w:val="dotted" w:sz="4" w:space="0" w:color="auto"/>
              <w:bottom w:val="nil"/>
              <w:right w:val="single" w:sz="4" w:space="0" w:color="auto"/>
            </w:tcBorders>
            <w:shd w:val="clear" w:color="auto" w:fill="auto"/>
            <w:noWrap/>
            <w:hideMark/>
          </w:tcPr>
          <w:p w14:paraId="4104CB4B"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1,613</w:t>
            </w:r>
          </w:p>
        </w:tc>
        <w:tc>
          <w:tcPr>
            <w:tcW w:w="1083" w:type="dxa"/>
            <w:tcBorders>
              <w:left w:val="single" w:sz="4" w:space="0" w:color="auto"/>
            </w:tcBorders>
            <w:shd w:val="clear" w:color="auto" w:fill="auto"/>
            <w:noWrap/>
            <w:hideMark/>
          </w:tcPr>
          <w:p w14:paraId="6FF7C2C0"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1,432</w:t>
            </w:r>
          </w:p>
        </w:tc>
      </w:tr>
      <w:tr w:rsidR="00BC498F" w:rsidRPr="00711C14" w14:paraId="072CDAD7" w14:textId="77777777" w:rsidTr="00DA3F7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noWrap/>
            <w:hideMark/>
          </w:tcPr>
          <w:p w14:paraId="3DED2A5B" w14:textId="77777777" w:rsidR="00BC498F" w:rsidRPr="00F830E6" w:rsidRDefault="00BC498F" w:rsidP="00BA7353">
            <w:pPr>
              <w:spacing w:after="0" w:line="240" w:lineRule="auto"/>
              <w:rPr>
                <w:rFonts w:eastAsia="Times New Roman" w:cs="Arial"/>
                <w:color w:val="000000"/>
                <w:sz w:val="18"/>
                <w:szCs w:val="18"/>
                <w:lang w:eastAsia="en-AU"/>
              </w:rPr>
            </w:pPr>
            <w:r w:rsidRPr="00F830E6">
              <w:rPr>
                <w:rFonts w:eastAsia="Times New Roman" w:cs="Arial"/>
                <w:color w:val="000000"/>
                <w:sz w:val="18"/>
                <w:szCs w:val="18"/>
                <w:lang w:eastAsia="en-AU"/>
              </w:rPr>
              <w:t>% variance to baseline</w:t>
            </w:r>
          </w:p>
        </w:tc>
        <w:tc>
          <w:tcPr>
            <w:tcW w:w="1134" w:type="dxa"/>
            <w:noWrap/>
            <w:hideMark/>
          </w:tcPr>
          <w:p w14:paraId="4E7EC5B7"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0.5%</w:t>
            </w:r>
          </w:p>
        </w:tc>
        <w:tc>
          <w:tcPr>
            <w:tcW w:w="992" w:type="dxa"/>
            <w:noWrap/>
            <w:hideMark/>
          </w:tcPr>
          <w:p w14:paraId="7073E375"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0.7%</w:t>
            </w:r>
          </w:p>
        </w:tc>
        <w:tc>
          <w:tcPr>
            <w:tcW w:w="992" w:type="dxa"/>
            <w:noWrap/>
            <w:hideMark/>
          </w:tcPr>
          <w:p w14:paraId="28E9E183"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1.1%</w:t>
            </w:r>
          </w:p>
        </w:tc>
        <w:tc>
          <w:tcPr>
            <w:tcW w:w="992" w:type="dxa"/>
            <w:tcBorders>
              <w:right w:val="dotted" w:sz="4" w:space="0" w:color="auto"/>
            </w:tcBorders>
            <w:noWrap/>
            <w:hideMark/>
          </w:tcPr>
          <w:p w14:paraId="2F7D288C"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1.4%</w:t>
            </w:r>
          </w:p>
        </w:tc>
        <w:tc>
          <w:tcPr>
            <w:tcW w:w="1134" w:type="dxa"/>
            <w:tcBorders>
              <w:top w:val="nil"/>
              <w:left w:val="dotted" w:sz="4" w:space="0" w:color="auto"/>
              <w:bottom w:val="nil"/>
              <w:right w:val="single" w:sz="4" w:space="0" w:color="auto"/>
            </w:tcBorders>
            <w:noWrap/>
            <w:hideMark/>
          </w:tcPr>
          <w:p w14:paraId="6F89410C"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3.0%</w:t>
            </w:r>
          </w:p>
        </w:tc>
        <w:tc>
          <w:tcPr>
            <w:tcW w:w="1083" w:type="dxa"/>
            <w:tcBorders>
              <w:left w:val="single" w:sz="4" w:space="0" w:color="auto"/>
            </w:tcBorders>
            <w:noWrap/>
            <w:hideMark/>
          </w:tcPr>
          <w:p w14:paraId="7F91606B"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1.0%</w:t>
            </w:r>
          </w:p>
        </w:tc>
      </w:tr>
      <w:tr w:rsidR="00BC498F" w:rsidRPr="00711C14" w14:paraId="60A980B5" w14:textId="77777777" w:rsidTr="009E7A4B">
        <w:trPr>
          <w:trHeight w:val="30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hideMark/>
          </w:tcPr>
          <w:p w14:paraId="5ED42838" w14:textId="77777777" w:rsidR="00BC498F" w:rsidRPr="00F830E6" w:rsidRDefault="00BC498F" w:rsidP="00BA7353">
            <w:pPr>
              <w:spacing w:after="0" w:line="240" w:lineRule="auto"/>
              <w:rPr>
                <w:rFonts w:eastAsia="Times New Roman" w:cs="Arial"/>
                <w:b/>
                <w:bCs/>
                <w:i/>
                <w:iCs/>
                <w:color w:val="000000"/>
                <w:sz w:val="18"/>
                <w:szCs w:val="18"/>
                <w:lang w:eastAsia="en-AU"/>
              </w:rPr>
            </w:pPr>
            <w:r w:rsidRPr="00F830E6">
              <w:rPr>
                <w:rFonts w:eastAsia="Times New Roman" w:cs="Arial"/>
                <w:b/>
                <w:bCs/>
                <w:i/>
                <w:iCs/>
                <w:color w:val="000000"/>
                <w:sz w:val="18"/>
                <w:szCs w:val="18"/>
                <w:lang w:eastAsia="en-AU"/>
              </w:rPr>
              <w:t>New participants</w:t>
            </w:r>
          </w:p>
        </w:tc>
        <w:tc>
          <w:tcPr>
            <w:tcW w:w="1134" w:type="dxa"/>
            <w:shd w:val="clear" w:color="auto" w:fill="auto"/>
            <w:noWrap/>
            <w:hideMark/>
          </w:tcPr>
          <w:p w14:paraId="0C17DC71"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992" w:type="dxa"/>
            <w:shd w:val="clear" w:color="auto" w:fill="auto"/>
            <w:noWrap/>
            <w:hideMark/>
          </w:tcPr>
          <w:p w14:paraId="0A708457"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992" w:type="dxa"/>
            <w:shd w:val="clear" w:color="auto" w:fill="auto"/>
            <w:noWrap/>
            <w:hideMark/>
          </w:tcPr>
          <w:p w14:paraId="1991B44E"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992" w:type="dxa"/>
            <w:tcBorders>
              <w:right w:val="dotted" w:sz="4" w:space="0" w:color="auto"/>
            </w:tcBorders>
            <w:shd w:val="clear" w:color="auto" w:fill="auto"/>
            <w:noWrap/>
            <w:hideMark/>
          </w:tcPr>
          <w:p w14:paraId="05BEDEBE"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1134" w:type="dxa"/>
            <w:tcBorders>
              <w:top w:val="nil"/>
              <w:left w:val="dotted" w:sz="4" w:space="0" w:color="auto"/>
              <w:bottom w:val="nil"/>
              <w:right w:val="single" w:sz="4" w:space="0" w:color="auto"/>
            </w:tcBorders>
            <w:shd w:val="clear" w:color="auto" w:fill="auto"/>
            <w:noWrap/>
            <w:hideMark/>
          </w:tcPr>
          <w:p w14:paraId="0673E0AA"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1083" w:type="dxa"/>
            <w:tcBorders>
              <w:left w:val="single" w:sz="4" w:space="0" w:color="auto"/>
            </w:tcBorders>
            <w:shd w:val="clear" w:color="auto" w:fill="auto"/>
            <w:noWrap/>
            <w:hideMark/>
          </w:tcPr>
          <w:p w14:paraId="267E91BB"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r>
      <w:tr w:rsidR="00BC498F" w:rsidRPr="00711C14" w14:paraId="69C9FF11" w14:textId="77777777" w:rsidTr="00DA3F7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noWrap/>
            <w:hideMark/>
          </w:tcPr>
          <w:p w14:paraId="61BB8E6C" w14:textId="77777777" w:rsidR="00BC498F" w:rsidRPr="00F830E6" w:rsidRDefault="00BC498F" w:rsidP="00BA7353">
            <w:pPr>
              <w:spacing w:after="0" w:line="240" w:lineRule="auto"/>
              <w:rPr>
                <w:rFonts w:eastAsia="Times New Roman" w:cs="Arial"/>
                <w:color w:val="000000"/>
                <w:sz w:val="18"/>
                <w:szCs w:val="18"/>
                <w:lang w:eastAsia="en-AU"/>
              </w:rPr>
            </w:pPr>
            <w:r w:rsidRPr="00F830E6">
              <w:rPr>
                <w:rFonts w:eastAsia="Times New Roman" w:cs="Arial"/>
                <w:color w:val="000000"/>
                <w:sz w:val="18"/>
                <w:szCs w:val="18"/>
                <w:lang w:eastAsia="en-AU"/>
              </w:rPr>
              <w:t>Scheme Expenses ($m)</w:t>
            </w:r>
          </w:p>
        </w:tc>
        <w:tc>
          <w:tcPr>
            <w:tcW w:w="1134" w:type="dxa"/>
            <w:noWrap/>
            <w:hideMark/>
          </w:tcPr>
          <w:p w14:paraId="7353A9EF"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1,014</w:t>
            </w:r>
          </w:p>
        </w:tc>
        <w:tc>
          <w:tcPr>
            <w:tcW w:w="992" w:type="dxa"/>
            <w:noWrap/>
            <w:hideMark/>
          </w:tcPr>
          <w:p w14:paraId="6BAB3AD2"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3,456</w:t>
            </w:r>
          </w:p>
        </w:tc>
        <w:tc>
          <w:tcPr>
            <w:tcW w:w="992" w:type="dxa"/>
            <w:noWrap/>
            <w:hideMark/>
          </w:tcPr>
          <w:p w14:paraId="22FC7404"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6,524</w:t>
            </w:r>
          </w:p>
        </w:tc>
        <w:tc>
          <w:tcPr>
            <w:tcW w:w="992" w:type="dxa"/>
            <w:tcBorders>
              <w:right w:val="dotted" w:sz="4" w:space="0" w:color="auto"/>
            </w:tcBorders>
            <w:noWrap/>
            <w:hideMark/>
          </w:tcPr>
          <w:p w14:paraId="49FB7C51"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9,863</w:t>
            </w:r>
          </w:p>
        </w:tc>
        <w:tc>
          <w:tcPr>
            <w:tcW w:w="1134" w:type="dxa"/>
            <w:tcBorders>
              <w:top w:val="nil"/>
              <w:left w:val="dotted" w:sz="4" w:space="0" w:color="auto"/>
              <w:bottom w:val="nil"/>
              <w:right w:val="single" w:sz="4" w:space="0" w:color="auto"/>
            </w:tcBorders>
            <w:noWrap/>
            <w:hideMark/>
          </w:tcPr>
          <w:p w14:paraId="4FDD1879"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36,072</w:t>
            </w:r>
          </w:p>
        </w:tc>
        <w:tc>
          <w:tcPr>
            <w:tcW w:w="1083" w:type="dxa"/>
            <w:tcBorders>
              <w:left w:val="single" w:sz="4" w:space="0" w:color="auto"/>
            </w:tcBorders>
            <w:noWrap/>
            <w:hideMark/>
          </w:tcPr>
          <w:p w14:paraId="7000CD1F"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20,857</w:t>
            </w:r>
          </w:p>
        </w:tc>
      </w:tr>
      <w:tr w:rsidR="00BC498F" w:rsidRPr="00711C14" w14:paraId="202F380D" w14:textId="77777777" w:rsidTr="009E7A4B">
        <w:trPr>
          <w:trHeight w:val="30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hideMark/>
          </w:tcPr>
          <w:p w14:paraId="054B2318" w14:textId="77777777" w:rsidR="00BC498F" w:rsidRPr="00F830E6" w:rsidRDefault="00BC498F" w:rsidP="00BA7353">
            <w:pPr>
              <w:spacing w:after="0" w:line="240" w:lineRule="auto"/>
              <w:rPr>
                <w:rFonts w:eastAsia="Times New Roman" w:cs="Arial"/>
                <w:color w:val="000000"/>
                <w:sz w:val="18"/>
                <w:szCs w:val="18"/>
                <w:lang w:eastAsia="en-AU"/>
              </w:rPr>
            </w:pPr>
            <w:r w:rsidRPr="00F830E6">
              <w:rPr>
                <w:rFonts w:eastAsia="Times New Roman" w:cs="Arial"/>
                <w:color w:val="000000"/>
                <w:sz w:val="18"/>
                <w:szCs w:val="18"/>
                <w:lang w:eastAsia="en-AU"/>
              </w:rPr>
              <w:t>Variance to baseline ($m)</w:t>
            </w:r>
          </w:p>
        </w:tc>
        <w:tc>
          <w:tcPr>
            <w:tcW w:w="1134" w:type="dxa"/>
            <w:shd w:val="clear" w:color="auto" w:fill="auto"/>
            <w:noWrap/>
            <w:hideMark/>
          </w:tcPr>
          <w:p w14:paraId="2E8E031F"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5</w:t>
            </w:r>
          </w:p>
        </w:tc>
        <w:tc>
          <w:tcPr>
            <w:tcW w:w="992" w:type="dxa"/>
            <w:shd w:val="clear" w:color="auto" w:fill="auto"/>
            <w:noWrap/>
            <w:hideMark/>
          </w:tcPr>
          <w:p w14:paraId="191A86F8"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24</w:t>
            </w:r>
          </w:p>
        </w:tc>
        <w:tc>
          <w:tcPr>
            <w:tcW w:w="992" w:type="dxa"/>
            <w:shd w:val="clear" w:color="auto" w:fill="auto"/>
            <w:noWrap/>
            <w:hideMark/>
          </w:tcPr>
          <w:p w14:paraId="29B88F3E"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70</w:t>
            </w:r>
          </w:p>
        </w:tc>
        <w:tc>
          <w:tcPr>
            <w:tcW w:w="992" w:type="dxa"/>
            <w:tcBorders>
              <w:right w:val="dotted" w:sz="4" w:space="0" w:color="auto"/>
            </w:tcBorders>
            <w:shd w:val="clear" w:color="auto" w:fill="auto"/>
            <w:noWrap/>
            <w:hideMark/>
          </w:tcPr>
          <w:p w14:paraId="285C0B60"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140</w:t>
            </w:r>
          </w:p>
        </w:tc>
        <w:tc>
          <w:tcPr>
            <w:tcW w:w="1134" w:type="dxa"/>
            <w:tcBorders>
              <w:top w:val="nil"/>
              <w:left w:val="dotted" w:sz="4" w:space="0" w:color="auto"/>
              <w:bottom w:val="nil"/>
              <w:right w:val="single" w:sz="4" w:space="0" w:color="auto"/>
            </w:tcBorders>
            <w:shd w:val="clear" w:color="auto" w:fill="auto"/>
            <w:noWrap/>
            <w:hideMark/>
          </w:tcPr>
          <w:p w14:paraId="6E2D3126"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1,039</w:t>
            </w:r>
          </w:p>
        </w:tc>
        <w:tc>
          <w:tcPr>
            <w:tcW w:w="1083" w:type="dxa"/>
            <w:tcBorders>
              <w:left w:val="single" w:sz="4" w:space="0" w:color="auto"/>
            </w:tcBorders>
            <w:shd w:val="clear" w:color="auto" w:fill="auto"/>
            <w:noWrap/>
            <w:hideMark/>
          </w:tcPr>
          <w:p w14:paraId="56C35F63"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202</w:t>
            </w:r>
          </w:p>
        </w:tc>
      </w:tr>
      <w:tr w:rsidR="00BC498F" w:rsidRPr="00711C14" w14:paraId="439F3DB3" w14:textId="77777777" w:rsidTr="00DA3F7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noWrap/>
            <w:hideMark/>
          </w:tcPr>
          <w:p w14:paraId="4E861174" w14:textId="77777777" w:rsidR="00BC498F" w:rsidRPr="00F830E6" w:rsidRDefault="00BC498F" w:rsidP="00BA7353">
            <w:pPr>
              <w:spacing w:after="0" w:line="240" w:lineRule="auto"/>
              <w:rPr>
                <w:rFonts w:eastAsia="Times New Roman" w:cs="Arial"/>
                <w:color w:val="000000"/>
                <w:sz w:val="18"/>
                <w:szCs w:val="18"/>
                <w:lang w:eastAsia="en-AU"/>
              </w:rPr>
            </w:pPr>
            <w:r w:rsidRPr="00F830E6">
              <w:rPr>
                <w:rFonts w:eastAsia="Times New Roman" w:cs="Arial"/>
                <w:color w:val="000000"/>
                <w:sz w:val="18"/>
                <w:szCs w:val="18"/>
                <w:lang w:eastAsia="en-AU"/>
              </w:rPr>
              <w:t>% variance to baseline</w:t>
            </w:r>
          </w:p>
        </w:tc>
        <w:tc>
          <w:tcPr>
            <w:tcW w:w="1134" w:type="dxa"/>
            <w:noWrap/>
            <w:hideMark/>
          </w:tcPr>
          <w:p w14:paraId="08587AF7"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0.5%</w:t>
            </w:r>
          </w:p>
        </w:tc>
        <w:tc>
          <w:tcPr>
            <w:tcW w:w="992" w:type="dxa"/>
            <w:noWrap/>
            <w:hideMark/>
          </w:tcPr>
          <w:p w14:paraId="457217D1"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0.7%</w:t>
            </w:r>
          </w:p>
        </w:tc>
        <w:tc>
          <w:tcPr>
            <w:tcW w:w="992" w:type="dxa"/>
            <w:noWrap/>
            <w:hideMark/>
          </w:tcPr>
          <w:p w14:paraId="45088EB5"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1.1%</w:t>
            </w:r>
          </w:p>
        </w:tc>
        <w:tc>
          <w:tcPr>
            <w:tcW w:w="992" w:type="dxa"/>
            <w:tcBorders>
              <w:right w:val="dotted" w:sz="4" w:space="0" w:color="auto"/>
            </w:tcBorders>
            <w:noWrap/>
            <w:hideMark/>
          </w:tcPr>
          <w:p w14:paraId="7457912A"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1.4%</w:t>
            </w:r>
          </w:p>
        </w:tc>
        <w:tc>
          <w:tcPr>
            <w:tcW w:w="1134" w:type="dxa"/>
            <w:tcBorders>
              <w:top w:val="nil"/>
              <w:left w:val="dotted" w:sz="4" w:space="0" w:color="auto"/>
              <w:bottom w:val="nil"/>
              <w:right w:val="single" w:sz="4" w:space="0" w:color="auto"/>
            </w:tcBorders>
            <w:noWrap/>
            <w:hideMark/>
          </w:tcPr>
          <w:p w14:paraId="5E68E92C"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3.0%</w:t>
            </w:r>
          </w:p>
        </w:tc>
        <w:tc>
          <w:tcPr>
            <w:tcW w:w="1083" w:type="dxa"/>
            <w:tcBorders>
              <w:left w:val="single" w:sz="4" w:space="0" w:color="auto"/>
            </w:tcBorders>
            <w:noWrap/>
            <w:hideMark/>
          </w:tcPr>
          <w:p w14:paraId="79C632FE"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1.0%</w:t>
            </w:r>
          </w:p>
        </w:tc>
      </w:tr>
      <w:tr w:rsidR="00BC498F" w:rsidRPr="00711C14" w14:paraId="16A96E62" w14:textId="77777777" w:rsidTr="009E7A4B">
        <w:trPr>
          <w:trHeight w:val="30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hideMark/>
          </w:tcPr>
          <w:p w14:paraId="4F0EC695" w14:textId="77777777" w:rsidR="00BC498F" w:rsidRPr="00F830E6" w:rsidRDefault="00BC498F" w:rsidP="00BA7353">
            <w:pPr>
              <w:spacing w:after="0" w:line="240" w:lineRule="auto"/>
              <w:rPr>
                <w:rFonts w:eastAsia="Times New Roman" w:cs="Arial"/>
                <w:b/>
                <w:bCs/>
                <w:i/>
                <w:iCs/>
                <w:color w:val="000000"/>
                <w:sz w:val="18"/>
                <w:szCs w:val="18"/>
                <w:lang w:eastAsia="en-AU"/>
              </w:rPr>
            </w:pPr>
            <w:r w:rsidRPr="00F830E6">
              <w:rPr>
                <w:rFonts w:eastAsia="Times New Roman" w:cs="Arial"/>
                <w:b/>
                <w:bCs/>
                <w:i/>
                <w:iCs/>
                <w:color w:val="000000"/>
                <w:sz w:val="18"/>
                <w:szCs w:val="18"/>
                <w:lang w:eastAsia="en-AU"/>
              </w:rPr>
              <w:t>All projected participants</w:t>
            </w:r>
          </w:p>
        </w:tc>
        <w:tc>
          <w:tcPr>
            <w:tcW w:w="1134" w:type="dxa"/>
            <w:shd w:val="clear" w:color="auto" w:fill="auto"/>
            <w:noWrap/>
            <w:hideMark/>
          </w:tcPr>
          <w:p w14:paraId="04E511B5"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992" w:type="dxa"/>
            <w:shd w:val="clear" w:color="auto" w:fill="auto"/>
            <w:noWrap/>
            <w:hideMark/>
          </w:tcPr>
          <w:p w14:paraId="62E4FC7B"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992" w:type="dxa"/>
            <w:shd w:val="clear" w:color="auto" w:fill="auto"/>
            <w:noWrap/>
            <w:hideMark/>
          </w:tcPr>
          <w:p w14:paraId="05B6EF93"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992" w:type="dxa"/>
            <w:tcBorders>
              <w:right w:val="dotted" w:sz="4" w:space="0" w:color="auto"/>
            </w:tcBorders>
            <w:shd w:val="clear" w:color="auto" w:fill="auto"/>
            <w:noWrap/>
            <w:hideMark/>
          </w:tcPr>
          <w:p w14:paraId="56119BAA"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1134" w:type="dxa"/>
            <w:tcBorders>
              <w:top w:val="nil"/>
              <w:left w:val="dotted" w:sz="4" w:space="0" w:color="auto"/>
              <w:bottom w:val="nil"/>
              <w:right w:val="single" w:sz="4" w:space="0" w:color="auto"/>
            </w:tcBorders>
            <w:shd w:val="clear" w:color="auto" w:fill="auto"/>
            <w:noWrap/>
            <w:hideMark/>
          </w:tcPr>
          <w:p w14:paraId="7C8DAA9C"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1083" w:type="dxa"/>
            <w:tcBorders>
              <w:left w:val="single" w:sz="4" w:space="0" w:color="auto"/>
            </w:tcBorders>
            <w:shd w:val="clear" w:color="auto" w:fill="auto"/>
            <w:noWrap/>
            <w:hideMark/>
          </w:tcPr>
          <w:p w14:paraId="61D72B6A"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r>
      <w:tr w:rsidR="00BC498F" w:rsidRPr="00711C14" w14:paraId="17C46A53" w14:textId="77777777" w:rsidTr="00DA3F7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noWrap/>
            <w:hideMark/>
          </w:tcPr>
          <w:p w14:paraId="7CFC5627" w14:textId="77777777" w:rsidR="00BC498F" w:rsidRPr="00F830E6" w:rsidRDefault="00BC498F" w:rsidP="00BA7353">
            <w:pPr>
              <w:spacing w:after="0" w:line="240" w:lineRule="auto"/>
              <w:rPr>
                <w:rFonts w:eastAsia="Times New Roman" w:cs="Arial"/>
                <w:color w:val="000000"/>
                <w:sz w:val="18"/>
                <w:szCs w:val="18"/>
                <w:lang w:eastAsia="en-AU"/>
              </w:rPr>
            </w:pPr>
            <w:r w:rsidRPr="00F830E6">
              <w:rPr>
                <w:rFonts w:eastAsia="Times New Roman" w:cs="Arial"/>
                <w:color w:val="000000"/>
                <w:sz w:val="18"/>
                <w:szCs w:val="18"/>
                <w:lang w:eastAsia="en-AU"/>
              </w:rPr>
              <w:t>Scheme Expenses ($m)</w:t>
            </w:r>
          </w:p>
        </w:tc>
        <w:tc>
          <w:tcPr>
            <w:tcW w:w="1134" w:type="dxa"/>
            <w:noWrap/>
            <w:hideMark/>
          </w:tcPr>
          <w:p w14:paraId="77820AFA"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34,144</w:t>
            </w:r>
          </w:p>
        </w:tc>
        <w:tc>
          <w:tcPr>
            <w:tcW w:w="992" w:type="dxa"/>
            <w:noWrap/>
            <w:hideMark/>
          </w:tcPr>
          <w:p w14:paraId="52EC1FEA"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38,396</w:t>
            </w:r>
          </w:p>
        </w:tc>
        <w:tc>
          <w:tcPr>
            <w:tcW w:w="992" w:type="dxa"/>
            <w:noWrap/>
            <w:hideMark/>
          </w:tcPr>
          <w:p w14:paraId="47914107"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44,595</w:t>
            </w:r>
          </w:p>
        </w:tc>
        <w:tc>
          <w:tcPr>
            <w:tcW w:w="992" w:type="dxa"/>
            <w:tcBorders>
              <w:right w:val="dotted" w:sz="4" w:space="0" w:color="auto"/>
            </w:tcBorders>
            <w:noWrap/>
            <w:hideMark/>
          </w:tcPr>
          <w:p w14:paraId="2A788E66"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51,069</w:t>
            </w:r>
          </w:p>
        </w:tc>
        <w:tc>
          <w:tcPr>
            <w:tcW w:w="1134" w:type="dxa"/>
            <w:tcBorders>
              <w:top w:val="nil"/>
              <w:left w:val="dotted" w:sz="4" w:space="0" w:color="auto"/>
              <w:bottom w:val="nil"/>
              <w:right w:val="single" w:sz="4" w:space="0" w:color="auto"/>
            </w:tcBorders>
            <w:noWrap/>
            <w:hideMark/>
          </w:tcPr>
          <w:p w14:paraId="6DFBA543"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92,054</w:t>
            </w:r>
          </w:p>
        </w:tc>
        <w:tc>
          <w:tcPr>
            <w:tcW w:w="1083" w:type="dxa"/>
            <w:tcBorders>
              <w:left w:val="single" w:sz="4" w:space="0" w:color="auto"/>
            </w:tcBorders>
            <w:noWrap/>
            <w:hideMark/>
          </w:tcPr>
          <w:p w14:paraId="69FFDCBF"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168,203</w:t>
            </w:r>
          </w:p>
        </w:tc>
      </w:tr>
      <w:tr w:rsidR="00BC498F" w:rsidRPr="00711C14" w14:paraId="45CE6827" w14:textId="77777777" w:rsidTr="009E7A4B">
        <w:trPr>
          <w:trHeight w:val="30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hideMark/>
          </w:tcPr>
          <w:p w14:paraId="652FAAF2" w14:textId="77777777" w:rsidR="00BC498F" w:rsidRPr="00F830E6" w:rsidRDefault="00BC498F" w:rsidP="00BA7353">
            <w:pPr>
              <w:spacing w:after="0" w:line="240" w:lineRule="auto"/>
              <w:rPr>
                <w:rFonts w:eastAsia="Times New Roman" w:cs="Arial"/>
                <w:color w:val="000000"/>
                <w:sz w:val="18"/>
                <w:szCs w:val="18"/>
                <w:lang w:eastAsia="en-AU"/>
              </w:rPr>
            </w:pPr>
            <w:r w:rsidRPr="00F830E6">
              <w:rPr>
                <w:rFonts w:eastAsia="Times New Roman" w:cs="Arial"/>
                <w:color w:val="000000"/>
                <w:sz w:val="18"/>
                <w:szCs w:val="18"/>
                <w:lang w:eastAsia="en-AU"/>
              </w:rPr>
              <w:t>Variance to baseline ($m)</w:t>
            </w:r>
          </w:p>
        </w:tc>
        <w:tc>
          <w:tcPr>
            <w:tcW w:w="1134" w:type="dxa"/>
            <w:shd w:val="clear" w:color="auto" w:fill="auto"/>
            <w:noWrap/>
            <w:hideMark/>
          </w:tcPr>
          <w:p w14:paraId="70BDF9FA"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167</w:t>
            </w:r>
          </w:p>
        </w:tc>
        <w:tc>
          <w:tcPr>
            <w:tcW w:w="992" w:type="dxa"/>
            <w:shd w:val="clear" w:color="auto" w:fill="auto"/>
            <w:noWrap/>
            <w:hideMark/>
          </w:tcPr>
          <w:p w14:paraId="432BD385"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263</w:t>
            </w:r>
          </w:p>
        </w:tc>
        <w:tc>
          <w:tcPr>
            <w:tcW w:w="992" w:type="dxa"/>
            <w:shd w:val="clear" w:color="auto" w:fill="auto"/>
            <w:noWrap/>
            <w:hideMark/>
          </w:tcPr>
          <w:p w14:paraId="035E7E25"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479</w:t>
            </w:r>
          </w:p>
        </w:tc>
        <w:tc>
          <w:tcPr>
            <w:tcW w:w="992" w:type="dxa"/>
            <w:tcBorders>
              <w:right w:val="dotted" w:sz="4" w:space="0" w:color="auto"/>
            </w:tcBorders>
            <w:shd w:val="clear" w:color="auto" w:fill="auto"/>
            <w:noWrap/>
            <w:hideMark/>
          </w:tcPr>
          <w:p w14:paraId="5B1A0956"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725</w:t>
            </w:r>
          </w:p>
        </w:tc>
        <w:tc>
          <w:tcPr>
            <w:tcW w:w="1134" w:type="dxa"/>
            <w:tcBorders>
              <w:top w:val="nil"/>
              <w:left w:val="dotted" w:sz="4" w:space="0" w:color="auto"/>
              <w:bottom w:val="nil"/>
              <w:right w:val="single" w:sz="4" w:space="0" w:color="auto"/>
            </w:tcBorders>
            <w:shd w:val="clear" w:color="auto" w:fill="auto"/>
            <w:noWrap/>
            <w:hideMark/>
          </w:tcPr>
          <w:p w14:paraId="10E5156A"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2,652</w:t>
            </w:r>
          </w:p>
        </w:tc>
        <w:tc>
          <w:tcPr>
            <w:tcW w:w="1083" w:type="dxa"/>
            <w:tcBorders>
              <w:left w:val="single" w:sz="4" w:space="0" w:color="auto"/>
            </w:tcBorders>
            <w:shd w:val="clear" w:color="auto" w:fill="auto"/>
            <w:noWrap/>
            <w:hideMark/>
          </w:tcPr>
          <w:p w14:paraId="3F734FEF"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1,634</w:t>
            </w:r>
          </w:p>
        </w:tc>
      </w:tr>
      <w:tr w:rsidR="00BC498F" w:rsidRPr="00711C14" w14:paraId="6146F648" w14:textId="77777777" w:rsidTr="00DA3F7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89" w:type="dxa"/>
            <w:noWrap/>
            <w:hideMark/>
          </w:tcPr>
          <w:p w14:paraId="1A7E8254" w14:textId="77777777" w:rsidR="00BC498F" w:rsidRPr="00F830E6" w:rsidRDefault="00BC498F" w:rsidP="00BA7353">
            <w:pPr>
              <w:spacing w:after="0" w:line="240" w:lineRule="auto"/>
              <w:rPr>
                <w:rFonts w:eastAsia="Times New Roman" w:cs="Arial"/>
                <w:color w:val="000000"/>
                <w:sz w:val="18"/>
                <w:szCs w:val="18"/>
                <w:lang w:eastAsia="en-AU"/>
              </w:rPr>
            </w:pPr>
            <w:r w:rsidRPr="00F830E6">
              <w:rPr>
                <w:rFonts w:eastAsia="Times New Roman" w:cs="Arial"/>
                <w:color w:val="000000"/>
                <w:sz w:val="18"/>
                <w:szCs w:val="18"/>
                <w:lang w:eastAsia="en-AU"/>
              </w:rPr>
              <w:t>% variance to baseline</w:t>
            </w:r>
          </w:p>
        </w:tc>
        <w:tc>
          <w:tcPr>
            <w:tcW w:w="1134" w:type="dxa"/>
            <w:noWrap/>
            <w:hideMark/>
          </w:tcPr>
          <w:p w14:paraId="025A820C"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0.5%</w:t>
            </w:r>
          </w:p>
        </w:tc>
        <w:tc>
          <w:tcPr>
            <w:tcW w:w="992" w:type="dxa"/>
            <w:noWrap/>
            <w:hideMark/>
          </w:tcPr>
          <w:p w14:paraId="653BBC4E"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0.7%</w:t>
            </w:r>
          </w:p>
        </w:tc>
        <w:tc>
          <w:tcPr>
            <w:tcW w:w="992" w:type="dxa"/>
            <w:noWrap/>
            <w:hideMark/>
          </w:tcPr>
          <w:p w14:paraId="3FB3F426"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1.1%</w:t>
            </w:r>
          </w:p>
        </w:tc>
        <w:tc>
          <w:tcPr>
            <w:tcW w:w="992" w:type="dxa"/>
            <w:tcBorders>
              <w:right w:val="dotted" w:sz="4" w:space="0" w:color="auto"/>
            </w:tcBorders>
            <w:noWrap/>
            <w:hideMark/>
          </w:tcPr>
          <w:p w14:paraId="75AA314A"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1.4%</w:t>
            </w:r>
          </w:p>
        </w:tc>
        <w:tc>
          <w:tcPr>
            <w:tcW w:w="1134" w:type="dxa"/>
            <w:tcBorders>
              <w:top w:val="nil"/>
              <w:left w:val="dotted" w:sz="4" w:space="0" w:color="auto"/>
              <w:bottom w:val="single" w:sz="4" w:space="0" w:color="auto"/>
              <w:right w:val="single" w:sz="4" w:space="0" w:color="auto"/>
            </w:tcBorders>
            <w:noWrap/>
            <w:hideMark/>
          </w:tcPr>
          <w:p w14:paraId="1D31DBC5"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3.0%</w:t>
            </w:r>
          </w:p>
        </w:tc>
        <w:tc>
          <w:tcPr>
            <w:tcW w:w="1083" w:type="dxa"/>
            <w:tcBorders>
              <w:left w:val="single" w:sz="4" w:space="0" w:color="auto"/>
            </w:tcBorders>
            <w:noWrap/>
            <w:hideMark/>
          </w:tcPr>
          <w:p w14:paraId="1CC8E006"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1.0%</w:t>
            </w:r>
          </w:p>
        </w:tc>
      </w:tr>
      <w:bookmarkEnd w:id="262"/>
      <w:bookmarkEnd w:id="263"/>
    </w:tbl>
    <w:p w14:paraId="7A631985" w14:textId="77777777" w:rsidR="00BC498F" w:rsidRDefault="00BC498F" w:rsidP="00BC498F">
      <w:pPr>
        <w:pStyle w:val="FSRHeading5"/>
      </w:pPr>
    </w:p>
    <w:p w14:paraId="46D6FCB3" w14:textId="77777777" w:rsidR="00BC498F" w:rsidRDefault="00BC498F">
      <w:pPr>
        <w:spacing w:after="160" w:line="259" w:lineRule="auto"/>
        <w:rPr>
          <w:b/>
          <w:i/>
          <w:color w:val="F26322"/>
          <w:sz w:val="24"/>
        </w:rPr>
      </w:pPr>
      <w:r>
        <w:br w:type="page"/>
      </w:r>
    </w:p>
    <w:p w14:paraId="40A942C2" w14:textId="77777777" w:rsidR="00BC498F" w:rsidRDefault="00BC498F" w:rsidP="00BC498F">
      <w:pPr>
        <w:pStyle w:val="FSRHeading5"/>
      </w:pPr>
      <w:r>
        <w:lastRenderedPageBreak/>
        <w:t xml:space="preserve">Scenario: </w:t>
      </w:r>
      <w:r w:rsidRPr="00EA6635">
        <w:t xml:space="preserve">Lower </w:t>
      </w:r>
      <w:r>
        <w:t>numbers of participants with SIL</w:t>
      </w:r>
    </w:p>
    <w:p w14:paraId="3872DD40" w14:textId="77777777" w:rsidR="00BC498F" w:rsidRDefault="00BC498F" w:rsidP="00DA3F73">
      <w:pPr>
        <w:pStyle w:val="FSRnormal"/>
      </w:pPr>
      <w:r>
        <w:t xml:space="preserve">This scenario considers a lower number of participants with SIL (approximately 200 less per annum compared with the baseline projection). This reduces </w:t>
      </w:r>
      <w:r w:rsidR="00DF0E6A">
        <w:t>total Scheme expenses</w:t>
      </w:r>
      <w:r>
        <w:t xml:space="preserve"> by $0.3 billion in 2025-26 and $1.</w:t>
      </w:r>
      <w:r w:rsidR="00DF0E6A">
        <w:t>1</w:t>
      </w:r>
      <w:r>
        <w:t xml:space="preserve"> billion in 2031-32.</w:t>
      </w:r>
      <w:r w:rsidR="00EB6BFA" w:rsidDel="00EB6BFA">
        <w:t xml:space="preserve"> </w:t>
      </w:r>
    </w:p>
    <w:p w14:paraId="299EB2BF" w14:textId="77777777" w:rsidR="00EB6BFA" w:rsidRDefault="00EB6BFA" w:rsidP="00DA3F73">
      <w:pPr>
        <w:pStyle w:val="Tables"/>
      </w:pPr>
      <w:r>
        <w:t xml:space="preserve">Table </w:t>
      </w:r>
      <w:fldSimple w:instr=" STYLEREF 2 \s ">
        <w:r w:rsidR="00A87896">
          <w:rPr>
            <w:noProof/>
          </w:rPr>
          <w:t>6</w:t>
        </w:r>
      </w:fldSimple>
      <w:r w:rsidR="00A87896">
        <w:t>.</w:t>
      </w:r>
      <w:fldSimple w:instr=" SEQ Table \* ARABIC \s 2 ">
        <w:r w:rsidR="00A87896">
          <w:rPr>
            <w:noProof/>
          </w:rPr>
          <w:t>3</w:t>
        </w:r>
      </w:fldSimple>
      <w:r w:rsidRPr="00EA6635">
        <w:t xml:space="preserve">: Scenario results - Lower numbers </w:t>
      </w:r>
      <w:r>
        <w:t xml:space="preserve">of participants with SIL </w:t>
      </w:r>
      <w:r w:rsidRPr="00EA6635">
        <w:t xml:space="preserve">(-200 </w:t>
      </w:r>
      <w:r w:rsidR="00D067C5">
        <w:t>per annum</w:t>
      </w:r>
      <w:r w:rsidRPr="00EA6635">
        <w:t>)</w:t>
      </w:r>
    </w:p>
    <w:tbl>
      <w:tblPr>
        <w:tblStyle w:val="FSRtable"/>
        <w:tblW w:w="0" w:type="auto"/>
        <w:tblInd w:w="5" w:type="dxa"/>
        <w:tblLayout w:type="fixed"/>
        <w:tblLook w:val="04A0" w:firstRow="1" w:lastRow="0" w:firstColumn="1" w:lastColumn="0" w:noHBand="0" w:noVBand="1"/>
      </w:tblPr>
      <w:tblGrid>
        <w:gridCol w:w="2689"/>
        <w:gridCol w:w="992"/>
        <w:gridCol w:w="1134"/>
        <w:gridCol w:w="1134"/>
        <w:gridCol w:w="992"/>
        <w:gridCol w:w="992"/>
        <w:gridCol w:w="1083"/>
      </w:tblGrid>
      <w:tr w:rsidR="00BC498F" w:rsidRPr="00711C14" w14:paraId="11738378" w14:textId="77777777" w:rsidTr="0028786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689" w:type="dxa"/>
            <w:noWrap/>
            <w:hideMark/>
          </w:tcPr>
          <w:p w14:paraId="483C22B3" w14:textId="77777777" w:rsidR="00BC498F" w:rsidRPr="00F830E6" w:rsidRDefault="00BC498F" w:rsidP="00BA7353">
            <w:pPr>
              <w:spacing w:after="0" w:line="240" w:lineRule="auto"/>
              <w:rPr>
                <w:rFonts w:eastAsia="Times New Roman"/>
                <w:color w:val="FFFFFF"/>
                <w:sz w:val="18"/>
                <w:szCs w:val="18"/>
                <w:lang w:eastAsia="en-AU"/>
              </w:rPr>
            </w:pPr>
            <w:r w:rsidRPr="00F830E6">
              <w:rPr>
                <w:rFonts w:eastAsia="Times New Roman"/>
                <w:color w:val="FFFFFF"/>
                <w:sz w:val="18"/>
                <w:szCs w:val="18"/>
                <w:lang w:eastAsia="en-AU"/>
              </w:rPr>
              <w:t> </w:t>
            </w:r>
          </w:p>
        </w:tc>
        <w:tc>
          <w:tcPr>
            <w:tcW w:w="4252" w:type="dxa"/>
            <w:gridSpan w:val="4"/>
            <w:tcBorders>
              <w:top w:val="single" w:sz="4" w:space="0" w:color="auto"/>
              <w:bottom w:val="single" w:sz="4" w:space="0" w:color="FFFFFF" w:themeColor="background1"/>
            </w:tcBorders>
            <w:noWrap/>
            <w:hideMark/>
          </w:tcPr>
          <w:p w14:paraId="460C1AA6" w14:textId="77777777" w:rsidR="00BC498F" w:rsidRPr="00F830E6"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F830E6">
              <w:rPr>
                <w:rFonts w:eastAsia="Times New Roman"/>
                <w:bCs/>
                <w:color w:val="FFFFFF"/>
                <w:sz w:val="18"/>
                <w:szCs w:val="18"/>
                <w:lang w:eastAsia="en-AU"/>
              </w:rPr>
              <w:t>Projection Year</w:t>
            </w:r>
          </w:p>
        </w:tc>
        <w:tc>
          <w:tcPr>
            <w:tcW w:w="992" w:type="dxa"/>
            <w:tcBorders>
              <w:top w:val="single" w:sz="4" w:space="0" w:color="auto"/>
              <w:bottom w:val="single" w:sz="4" w:space="0" w:color="FFFFFF" w:themeColor="background1"/>
              <w:right w:val="single" w:sz="4" w:space="0" w:color="auto"/>
            </w:tcBorders>
            <w:noWrap/>
            <w:hideMark/>
          </w:tcPr>
          <w:p w14:paraId="5967222D" w14:textId="77777777" w:rsidR="00BC498F" w:rsidRPr="00F830E6"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F830E6">
              <w:rPr>
                <w:rFonts w:eastAsia="Times New Roman"/>
                <w:bCs/>
                <w:color w:val="FFFFFF"/>
                <w:sz w:val="18"/>
                <w:szCs w:val="18"/>
                <w:lang w:eastAsia="en-AU"/>
              </w:rPr>
              <w:t> </w:t>
            </w:r>
          </w:p>
        </w:tc>
        <w:tc>
          <w:tcPr>
            <w:tcW w:w="1083" w:type="dxa"/>
            <w:tcBorders>
              <w:top w:val="single" w:sz="4" w:space="0" w:color="auto"/>
              <w:left w:val="single" w:sz="4" w:space="0" w:color="auto"/>
              <w:bottom w:val="single" w:sz="4" w:space="0" w:color="FFFFFF" w:themeColor="background1"/>
            </w:tcBorders>
            <w:noWrap/>
            <w:hideMark/>
          </w:tcPr>
          <w:p w14:paraId="64970A50" w14:textId="77777777" w:rsidR="00BC498F" w:rsidRPr="00F830E6"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F830E6">
              <w:rPr>
                <w:rFonts w:eastAsia="Times New Roman"/>
                <w:bCs/>
                <w:color w:val="FFFFFF"/>
                <w:sz w:val="18"/>
                <w:szCs w:val="18"/>
                <w:lang w:eastAsia="en-AU"/>
              </w:rPr>
              <w:t>Total</w:t>
            </w:r>
          </w:p>
        </w:tc>
      </w:tr>
      <w:tr w:rsidR="00BC498F" w:rsidRPr="00711C14" w14:paraId="42264732" w14:textId="77777777" w:rsidTr="0028786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689" w:type="dxa"/>
            <w:noWrap/>
            <w:hideMark/>
          </w:tcPr>
          <w:p w14:paraId="1787555C" w14:textId="77777777" w:rsidR="00BC498F" w:rsidRPr="00F830E6" w:rsidRDefault="00BC498F" w:rsidP="00BA7353">
            <w:pPr>
              <w:spacing w:after="0" w:line="240" w:lineRule="auto"/>
              <w:rPr>
                <w:rFonts w:eastAsia="Times New Roman"/>
                <w:color w:val="FFFFFF"/>
                <w:sz w:val="18"/>
                <w:szCs w:val="18"/>
                <w:lang w:eastAsia="en-AU"/>
              </w:rPr>
            </w:pPr>
            <w:r w:rsidRPr="00F830E6">
              <w:rPr>
                <w:rFonts w:eastAsia="Times New Roman"/>
                <w:color w:val="FFFFFF"/>
                <w:sz w:val="18"/>
                <w:szCs w:val="18"/>
                <w:lang w:eastAsia="en-AU"/>
              </w:rPr>
              <w:t> </w:t>
            </w:r>
          </w:p>
        </w:tc>
        <w:tc>
          <w:tcPr>
            <w:tcW w:w="992" w:type="dxa"/>
            <w:tcBorders>
              <w:top w:val="single" w:sz="4" w:space="0" w:color="FFFFFF" w:themeColor="background1"/>
            </w:tcBorders>
            <w:noWrap/>
            <w:hideMark/>
          </w:tcPr>
          <w:p w14:paraId="3DE257D4" w14:textId="77777777" w:rsidR="00BC498F" w:rsidRPr="00F830E6" w:rsidRDefault="00BC498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F830E6">
              <w:rPr>
                <w:rFonts w:eastAsia="Times New Roman"/>
                <w:bCs/>
                <w:color w:val="FFFFFF"/>
                <w:sz w:val="18"/>
                <w:szCs w:val="18"/>
                <w:lang w:eastAsia="en-AU"/>
              </w:rPr>
              <w:t>2022-23</w:t>
            </w:r>
          </w:p>
        </w:tc>
        <w:tc>
          <w:tcPr>
            <w:tcW w:w="1134" w:type="dxa"/>
            <w:tcBorders>
              <w:top w:val="single" w:sz="4" w:space="0" w:color="FFFFFF" w:themeColor="background1"/>
            </w:tcBorders>
            <w:noWrap/>
            <w:hideMark/>
          </w:tcPr>
          <w:p w14:paraId="2F503CB4" w14:textId="77777777" w:rsidR="00BC498F" w:rsidRPr="00F830E6" w:rsidRDefault="00BC498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F830E6">
              <w:rPr>
                <w:rFonts w:eastAsia="Times New Roman"/>
                <w:bCs/>
                <w:color w:val="FFFFFF"/>
                <w:sz w:val="18"/>
                <w:szCs w:val="18"/>
                <w:lang w:eastAsia="en-AU"/>
              </w:rPr>
              <w:t>2023-24</w:t>
            </w:r>
          </w:p>
        </w:tc>
        <w:tc>
          <w:tcPr>
            <w:tcW w:w="1134" w:type="dxa"/>
            <w:tcBorders>
              <w:top w:val="single" w:sz="4" w:space="0" w:color="FFFFFF" w:themeColor="background1"/>
            </w:tcBorders>
            <w:noWrap/>
            <w:hideMark/>
          </w:tcPr>
          <w:p w14:paraId="34359351" w14:textId="77777777" w:rsidR="00BC498F" w:rsidRPr="00F830E6" w:rsidRDefault="00BC498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F830E6">
              <w:rPr>
                <w:rFonts w:eastAsia="Times New Roman"/>
                <w:bCs/>
                <w:color w:val="FFFFFF"/>
                <w:sz w:val="18"/>
                <w:szCs w:val="18"/>
                <w:lang w:eastAsia="en-AU"/>
              </w:rPr>
              <w:t>2024-25</w:t>
            </w:r>
          </w:p>
        </w:tc>
        <w:tc>
          <w:tcPr>
            <w:tcW w:w="992" w:type="dxa"/>
            <w:tcBorders>
              <w:top w:val="single" w:sz="4" w:space="0" w:color="FFFFFF" w:themeColor="background1"/>
              <w:right w:val="dotted" w:sz="4" w:space="0" w:color="auto"/>
            </w:tcBorders>
            <w:noWrap/>
            <w:hideMark/>
          </w:tcPr>
          <w:p w14:paraId="066160AC" w14:textId="77777777" w:rsidR="00BC498F" w:rsidRPr="00F830E6" w:rsidRDefault="00BC498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F830E6">
              <w:rPr>
                <w:rFonts w:eastAsia="Times New Roman"/>
                <w:bCs/>
                <w:color w:val="FFFFFF"/>
                <w:sz w:val="18"/>
                <w:szCs w:val="18"/>
                <w:lang w:eastAsia="en-AU"/>
              </w:rPr>
              <w:t>2025-26</w:t>
            </w:r>
          </w:p>
        </w:tc>
        <w:tc>
          <w:tcPr>
            <w:tcW w:w="992" w:type="dxa"/>
            <w:tcBorders>
              <w:top w:val="single" w:sz="4" w:space="0" w:color="FFFFFF" w:themeColor="background1"/>
              <w:left w:val="dotted" w:sz="4" w:space="0" w:color="auto"/>
              <w:bottom w:val="nil"/>
              <w:right w:val="single" w:sz="4" w:space="0" w:color="auto"/>
            </w:tcBorders>
            <w:noWrap/>
            <w:hideMark/>
          </w:tcPr>
          <w:p w14:paraId="60C65C95" w14:textId="77777777" w:rsidR="00BC498F" w:rsidRPr="00F830E6" w:rsidRDefault="00BC498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F830E6">
              <w:rPr>
                <w:rFonts w:eastAsia="Times New Roman"/>
                <w:bCs/>
                <w:color w:val="FFFFFF"/>
                <w:sz w:val="18"/>
                <w:szCs w:val="18"/>
                <w:lang w:eastAsia="en-AU"/>
              </w:rPr>
              <w:t>2031-32</w:t>
            </w:r>
          </w:p>
        </w:tc>
        <w:tc>
          <w:tcPr>
            <w:tcW w:w="1083" w:type="dxa"/>
            <w:tcBorders>
              <w:top w:val="single" w:sz="4" w:space="0" w:color="FFFFFF" w:themeColor="background1"/>
              <w:left w:val="single" w:sz="4" w:space="0" w:color="auto"/>
            </w:tcBorders>
            <w:noWrap/>
            <w:hideMark/>
          </w:tcPr>
          <w:p w14:paraId="34DA9F83" w14:textId="77777777" w:rsidR="00BC498F" w:rsidRPr="00F830E6" w:rsidRDefault="00BC498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F830E6">
              <w:rPr>
                <w:rFonts w:eastAsia="Times New Roman"/>
                <w:bCs/>
                <w:color w:val="FFFFFF"/>
                <w:sz w:val="18"/>
                <w:szCs w:val="18"/>
                <w:lang w:eastAsia="en-AU"/>
              </w:rPr>
              <w:t>2022-26</w:t>
            </w:r>
          </w:p>
        </w:tc>
      </w:tr>
      <w:tr w:rsidR="00BC498F" w:rsidRPr="00711C14" w14:paraId="7577DDF2" w14:textId="77777777" w:rsidTr="00287865">
        <w:trPr>
          <w:trHeight w:val="301"/>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hideMark/>
          </w:tcPr>
          <w:p w14:paraId="51862480" w14:textId="77777777" w:rsidR="00BC498F" w:rsidRPr="00F830E6" w:rsidRDefault="00BC498F" w:rsidP="00BA7353">
            <w:pPr>
              <w:spacing w:after="0" w:line="240" w:lineRule="auto"/>
              <w:rPr>
                <w:rFonts w:eastAsia="Times New Roman" w:cs="Arial"/>
                <w:b/>
                <w:bCs/>
                <w:i/>
                <w:iCs/>
                <w:color w:val="000000"/>
                <w:sz w:val="18"/>
                <w:szCs w:val="18"/>
                <w:lang w:eastAsia="en-AU"/>
              </w:rPr>
            </w:pPr>
            <w:r w:rsidRPr="00F830E6">
              <w:rPr>
                <w:rFonts w:eastAsia="Times New Roman" w:cs="Arial"/>
                <w:b/>
                <w:bCs/>
                <w:i/>
                <w:iCs/>
                <w:color w:val="000000"/>
                <w:sz w:val="18"/>
                <w:szCs w:val="18"/>
                <w:lang w:eastAsia="en-AU"/>
              </w:rPr>
              <w:t>Existing participants</w:t>
            </w:r>
          </w:p>
        </w:tc>
        <w:tc>
          <w:tcPr>
            <w:tcW w:w="992" w:type="dxa"/>
            <w:shd w:val="clear" w:color="auto" w:fill="auto"/>
            <w:noWrap/>
            <w:hideMark/>
          </w:tcPr>
          <w:p w14:paraId="22332C73"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1134" w:type="dxa"/>
            <w:shd w:val="clear" w:color="auto" w:fill="auto"/>
            <w:noWrap/>
            <w:hideMark/>
          </w:tcPr>
          <w:p w14:paraId="203D0B79"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1134" w:type="dxa"/>
            <w:shd w:val="clear" w:color="auto" w:fill="auto"/>
            <w:noWrap/>
            <w:hideMark/>
          </w:tcPr>
          <w:p w14:paraId="60EDF6AC"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992" w:type="dxa"/>
            <w:tcBorders>
              <w:right w:val="dotted" w:sz="4" w:space="0" w:color="auto"/>
            </w:tcBorders>
            <w:shd w:val="clear" w:color="auto" w:fill="auto"/>
            <w:noWrap/>
            <w:hideMark/>
          </w:tcPr>
          <w:p w14:paraId="241D1CE5"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992" w:type="dxa"/>
            <w:tcBorders>
              <w:top w:val="nil"/>
              <w:left w:val="dotted" w:sz="4" w:space="0" w:color="auto"/>
              <w:bottom w:val="nil"/>
              <w:right w:val="single" w:sz="4" w:space="0" w:color="auto"/>
            </w:tcBorders>
            <w:shd w:val="clear" w:color="auto" w:fill="auto"/>
            <w:noWrap/>
            <w:hideMark/>
          </w:tcPr>
          <w:p w14:paraId="0BEA5310"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1083" w:type="dxa"/>
            <w:tcBorders>
              <w:left w:val="single" w:sz="4" w:space="0" w:color="auto"/>
            </w:tcBorders>
            <w:shd w:val="clear" w:color="auto" w:fill="auto"/>
            <w:noWrap/>
            <w:hideMark/>
          </w:tcPr>
          <w:p w14:paraId="3781466F"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r>
      <w:tr w:rsidR="00BC498F" w:rsidRPr="00711C14" w14:paraId="7290E7F2" w14:textId="77777777" w:rsidTr="0028786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689" w:type="dxa"/>
            <w:noWrap/>
            <w:hideMark/>
          </w:tcPr>
          <w:p w14:paraId="128A9403" w14:textId="77777777" w:rsidR="00BC498F" w:rsidRPr="00F830E6" w:rsidRDefault="00BC498F" w:rsidP="00BA7353">
            <w:pPr>
              <w:spacing w:after="0" w:line="240" w:lineRule="auto"/>
              <w:rPr>
                <w:rFonts w:eastAsia="Times New Roman" w:cs="Arial"/>
                <w:color w:val="000000"/>
                <w:sz w:val="18"/>
                <w:szCs w:val="18"/>
                <w:lang w:eastAsia="en-AU"/>
              </w:rPr>
            </w:pPr>
            <w:r w:rsidRPr="00F830E6">
              <w:rPr>
                <w:rFonts w:eastAsia="Times New Roman" w:cs="Arial"/>
                <w:color w:val="000000"/>
                <w:sz w:val="18"/>
                <w:szCs w:val="18"/>
                <w:lang w:eastAsia="en-AU"/>
              </w:rPr>
              <w:t>Scheme Expenses ($m)</w:t>
            </w:r>
          </w:p>
        </w:tc>
        <w:tc>
          <w:tcPr>
            <w:tcW w:w="992" w:type="dxa"/>
            <w:noWrap/>
            <w:hideMark/>
          </w:tcPr>
          <w:p w14:paraId="695CFDBF"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32,902</w:t>
            </w:r>
          </w:p>
        </w:tc>
        <w:tc>
          <w:tcPr>
            <w:tcW w:w="1134" w:type="dxa"/>
            <w:noWrap/>
            <w:hideMark/>
          </w:tcPr>
          <w:p w14:paraId="2F7F6D3E"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34,605</w:t>
            </w:r>
          </w:p>
        </w:tc>
        <w:tc>
          <w:tcPr>
            <w:tcW w:w="1134" w:type="dxa"/>
            <w:noWrap/>
            <w:hideMark/>
          </w:tcPr>
          <w:p w14:paraId="468EA9BB"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37,498</w:t>
            </w:r>
          </w:p>
        </w:tc>
        <w:tc>
          <w:tcPr>
            <w:tcW w:w="992" w:type="dxa"/>
            <w:tcBorders>
              <w:right w:val="dotted" w:sz="4" w:space="0" w:color="auto"/>
            </w:tcBorders>
            <w:noWrap/>
            <w:hideMark/>
          </w:tcPr>
          <w:p w14:paraId="6A124C57"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40,387</w:t>
            </w:r>
          </w:p>
        </w:tc>
        <w:tc>
          <w:tcPr>
            <w:tcW w:w="992" w:type="dxa"/>
            <w:tcBorders>
              <w:top w:val="nil"/>
              <w:left w:val="dotted" w:sz="4" w:space="0" w:color="auto"/>
              <w:bottom w:val="nil"/>
              <w:right w:val="single" w:sz="4" w:space="0" w:color="auto"/>
            </w:tcBorders>
            <w:noWrap/>
            <w:hideMark/>
          </w:tcPr>
          <w:p w14:paraId="5B07848A"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53,725</w:t>
            </w:r>
          </w:p>
        </w:tc>
        <w:tc>
          <w:tcPr>
            <w:tcW w:w="1083" w:type="dxa"/>
            <w:tcBorders>
              <w:left w:val="single" w:sz="4" w:space="0" w:color="auto"/>
            </w:tcBorders>
            <w:noWrap/>
            <w:hideMark/>
          </w:tcPr>
          <w:p w14:paraId="4A74814B"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145,392</w:t>
            </w:r>
          </w:p>
        </w:tc>
      </w:tr>
      <w:tr w:rsidR="00BC498F" w:rsidRPr="00711C14" w14:paraId="674FBB36" w14:textId="77777777" w:rsidTr="00287865">
        <w:trPr>
          <w:trHeight w:val="301"/>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hideMark/>
          </w:tcPr>
          <w:p w14:paraId="3C1F169E" w14:textId="77777777" w:rsidR="00BC498F" w:rsidRPr="00F830E6" w:rsidRDefault="00BC498F" w:rsidP="00BA7353">
            <w:pPr>
              <w:spacing w:after="0" w:line="240" w:lineRule="auto"/>
              <w:rPr>
                <w:rFonts w:eastAsia="Times New Roman" w:cs="Arial"/>
                <w:color w:val="000000"/>
                <w:sz w:val="18"/>
                <w:szCs w:val="18"/>
                <w:lang w:eastAsia="en-AU"/>
              </w:rPr>
            </w:pPr>
            <w:r w:rsidRPr="00F830E6">
              <w:rPr>
                <w:rFonts w:eastAsia="Times New Roman" w:cs="Arial"/>
                <w:color w:val="000000"/>
                <w:sz w:val="18"/>
                <w:szCs w:val="18"/>
                <w:lang w:eastAsia="en-AU"/>
              </w:rPr>
              <w:t>Variance to baseline ($m)</w:t>
            </w:r>
          </w:p>
        </w:tc>
        <w:tc>
          <w:tcPr>
            <w:tcW w:w="992" w:type="dxa"/>
            <w:shd w:val="clear" w:color="auto" w:fill="auto"/>
            <w:noWrap/>
            <w:hideMark/>
          </w:tcPr>
          <w:p w14:paraId="0FB36DDD"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-65</w:t>
            </w:r>
          </w:p>
        </w:tc>
        <w:tc>
          <w:tcPr>
            <w:tcW w:w="1134" w:type="dxa"/>
            <w:shd w:val="clear" w:color="auto" w:fill="auto"/>
            <w:noWrap/>
            <w:hideMark/>
          </w:tcPr>
          <w:p w14:paraId="718A6F2E"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-96</w:t>
            </w:r>
          </w:p>
        </w:tc>
        <w:tc>
          <w:tcPr>
            <w:tcW w:w="1134" w:type="dxa"/>
            <w:shd w:val="clear" w:color="auto" w:fill="auto"/>
            <w:noWrap/>
            <w:hideMark/>
          </w:tcPr>
          <w:p w14:paraId="66D824E1"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-163</w:t>
            </w:r>
          </w:p>
        </w:tc>
        <w:tc>
          <w:tcPr>
            <w:tcW w:w="992" w:type="dxa"/>
            <w:tcBorders>
              <w:right w:val="dotted" w:sz="4" w:space="0" w:color="auto"/>
            </w:tcBorders>
            <w:shd w:val="clear" w:color="auto" w:fill="auto"/>
            <w:noWrap/>
            <w:hideMark/>
          </w:tcPr>
          <w:p w14:paraId="0D0BBE9B"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-234</w:t>
            </w:r>
          </w:p>
        </w:tc>
        <w:tc>
          <w:tcPr>
            <w:tcW w:w="992" w:type="dxa"/>
            <w:tcBorders>
              <w:top w:val="nil"/>
              <w:left w:val="dotted" w:sz="4" w:space="0" w:color="auto"/>
              <w:bottom w:val="nil"/>
              <w:right w:val="single" w:sz="4" w:space="0" w:color="auto"/>
            </w:tcBorders>
            <w:shd w:val="clear" w:color="auto" w:fill="auto"/>
            <w:noWrap/>
            <w:hideMark/>
          </w:tcPr>
          <w:p w14:paraId="169C053F"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-645</w:t>
            </w:r>
          </w:p>
        </w:tc>
        <w:tc>
          <w:tcPr>
            <w:tcW w:w="1083" w:type="dxa"/>
            <w:tcBorders>
              <w:left w:val="single" w:sz="4" w:space="0" w:color="auto"/>
            </w:tcBorders>
            <w:shd w:val="clear" w:color="auto" w:fill="auto"/>
            <w:noWrap/>
            <w:hideMark/>
          </w:tcPr>
          <w:p w14:paraId="7A81F98E"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-573</w:t>
            </w:r>
          </w:p>
        </w:tc>
      </w:tr>
      <w:tr w:rsidR="00BC498F" w:rsidRPr="00711C14" w14:paraId="5C485F42" w14:textId="77777777" w:rsidTr="0028786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689" w:type="dxa"/>
            <w:noWrap/>
            <w:hideMark/>
          </w:tcPr>
          <w:p w14:paraId="78CE05EB" w14:textId="77777777" w:rsidR="00BC498F" w:rsidRPr="00F830E6" w:rsidRDefault="00BC498F" w:rsidP="00BA7353">
            <w:pPr>
              <w:spacing w:after="0" w:line="240" w:lineRule="auto"/>
              <w:rPr>
                <w:rFonts w:eastAsia="Times New Roman" w:cs="Arial"/>
                <w:color w:val="000000"/>
                <w:sz w:val="18"/>
                <w:szCs w:val="18"/>
                <w:lang w:eastAsia="en-AU"/>
              </w:rPr>
            </w:pPr>
            <w:r w:rsidRPr="00F830E6">
              <w:rPr>
                <w:rFonts w:eastAsia="Times New Roman" w:cs="Arial"/>
                <w:color w:val="000000"/>
                <w:sz w:val="18"/>
                <w:szCs w:val="18"/>
                <w:lang w:eastAsia="en-AU"/>
              </w:rPr>
              <w:t>% variance to baseline</w:t>
            </w:r>
          </w:p>
        </w:tc>
        <w:tc>
          <w:tcPr>
            <w:tcW w:w="992" w:type="dxa"/>
            <w:noWrap/>
            <w:hideMark/>
          </w:tcPr>
          <w:p w14:paraId="12C5F984"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-0.2%</w:t>
            </w:r>
          </w:p>
        </w:tc>
        <w:tc>
          <w:tcPr>
            <w:tcW w:w="1134" w:type="dxa"/>
            <w:noWrap/>
            <w:hideMark/>
          </w:tcPr>
          <w:p w14:paraId="5001FB38"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-0.3%</w:t>
            </w:r>
          </w:p>
        </w:tc>
        <w:tc>
          <w:tcPr>
            <w:tcW w:w="1134" w:type="dxa"/>
            <w:noWrap/>
            <w:hideMark/>
          </w:tcPr>
          <w:p w14:paraId="770F6B02"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-0.4%</w:t>
            </w:r>
          </w:p>
        </w:tc>
        <w:tc>
          <w:tcPr>
            <w:tcW w:w="992" w:type="dxa"/>
            <w:tcBorders>
              <w:right w:val="dotted" w:sz="4" w:space="0" w:color="auto"/>
            </w:tcBorders>
            <w:noWrap/>
            <w:hideMark/>
          </w:tcPr>
          <w:p w14:paraId="25891980"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-0.6%</w:t>
            </w:r>
          </w:p>
        </w:tc>
        <w:tc>
          <w:tcPr>
            <w:tcW w:w="992" w:type="dxa"/>
            <w:tcBorders>
              <w:top w:val="nil"/>
              <w:left w:val="dotted" w:sz="4" w:space="0" w:color="auto"/>
              <w:bottom w:val="nil"/>
              <w:right w:val="single" w:sz="4" w:space="0" w:color="auto"/>
            </w:tcBorders>
            <w:noWrap/>
            <w:hideMark/>
          </w:tcPr>
          <w:p w14:paraId="17A3FB06"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-1.2%</w:t>
            </w:r>
          </w:p>
        </w:tc>
        <w:tc>
          <w:tcPr>
            <w:tcW w:w="1083" w:type="dxa"/>
            <w:tcBorders>
              <w:left w:val="single" w:sz="4" w:space="0" w:color="auto"/>
            </w:tcBorders>
            <w:noWrap/>
            <w:hideMark/>
          </w:tcPr>
          <w:p w14:paraId="08E1DF83"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-0.4%</w:t>
            </w:r>
          </w:p>
        </w:tc>
      </w:tr>
      <w:tr w:rsidR="00BC498F" w:rsidRPr="00711C14" w14:paraId="5197ABB5" w14:textId="77777777" w:rsidTr="00287865">
        <w:trPr>
          <w:trHeight w:val="301"/>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hideMark/>
          </w:tcPr>
          <w:p w14:paraId="5F7B496E" w14:textId="77777777" w:rsidR="00BC498F" w:rsidRPr="00F830E6" w:rsidRDefault="00BC498F" w:rsidP="00BA7353">
            <w:pPr>
              <w:spacing w:after="0" w:line="240" w:lineRule="auto"/>
              <w:rPr>
                <w:rFonts w:eastAsia="Times New Roman" w:cs="Arial"/>
                <w:b/>
                <w:bCs/>
                <w:i/>
                <w:iCs/>
                <w:color w:val="000000"/>
                <w:sz w:val="18"/>
                <w:szCs w:val="18"/>
                <w:lang w:eastAsia="en-AU"/>
              </w:rPr>
            </w:pPr>
            <w:r w:rsidRPr="00F830E6">
              <w:rPr>
                <w:rFonts w:eastAsia="Times New Roman" w:cs="Arial"/>
                <w:b/>
                <w:bCs/>
                <w:i/>
                <w:iCs/>
                <w:color w:val="000000"/>
                <w:sz w:val="18"/>
                <w:szCs w:val="18"/>
                <w:lang w:eastAsia="en-AU"/>
              </w:rPr>
              <w:t>New participants</w:t>
            </w:r>
          </w:p>
        </w:tc>
        <w:tc>
          <w:tcPr>
            <w:tcW w:w="992" w:type="dxa"/>
            <w:shd w:val="clear" w:color="auto" w:fill="auto"/>
            <w:noWrap/>
            <w:hideMark/>
          </w:tcPr>
          <w:p w14:paraId="17BCF4BA"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1134" w:type="dxa"/>
            <w:shd w:val="clear" w:color="auto" w:fill="auto"/>
            <w:noWrap/>
            <w:hideMark/>
          </w:tcPr>
          <w:p w14:paraId="47054F66"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1134" w:type="dxa"/>
            <w:shd w:val="clear" w:color="auto" w:fill="auto"/>
            <w:noWrap/>
            <w:hideMark/>
          </w:tcPr>
          <w:p w14:paraId="31C3CF00"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992" w:type="dxa"/>
            <w:tcBorders>
              <w:right w:val="dotted" w:sz="4" w:space="0" w:color="auto"/>
            </w:tcBorders>
            <w:shd w:val="clear" w:color="auto" w:fill="auto"/>
            <w:noWrap/>
            <w:hideMark/>
          </w:tcPr>
          <w:p w14:paraId="3FE90FC3"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992" w:type="dxa"/>
            <w:tcBorders>
              <w:top w:val="nil"/>
              <w:left w:val="dotted" w:sz="4" w:space="0" w:color="auto"/>
              <w:bottom w:val="nil"/>
              <w:right w:val="single" w:sz="4" w:space="0" w:color="auto"/>
            </w:tcBorders>
            <w:shd w:val="clear" w:color="auto" w:fill="auto"/>
            <w:noWrap/>
            <w:hideMark/>
          </w:tcPr>
          <w:p w14:paraId="6B0E80BB"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1083" w:type="dxa"/>
            <w:tcBorders>
              <w:left w:val="single" w:sz="4" w:space="0" w:color="auto"/>
            </w:tcBorders>
            <w:shd w:val="clear" w:color="auto" w:fill="auto"/>
            <w:noWrap/>
            <w:hideMark/>
          </w:tcPr>
          <w:p w14:paraId="266D7E6C"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r>
      <w:tr w:rsidR="00BC498F" w:rsidRPr="00711C14" w14:paraId="349236AC" w14:textId="77777777" w:rsidTr="0028786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689" w:type="dxa"/>
            <w:noWrap/>
            <w:hideMark/>
          </w:tcPr>
          <w:p w14:paraId="42A31A9E" w14:textId="77777777" w:rsidR="00BC498F" w:rsidRPr="00F830E6" w:rsidRDefault="00BC498F" w:rsidP="00BA7353">
            <w:pPr>
              <w:spacing w:after="0" w:line="240" w:lineRule="auto"/>
              <w:rPr>
                <w:rFonts w:eastAsia="Times New Roman" w:cs="Arial"/>
                <w:color w:val="000000"/>
                <w:sz w:val="18"/>
                <w:szCs w:val="18"/>
                <w:lang w:eastAsia="en-AU"/>
              </w:rPr>
            </w:pPr>
            <w:r w:rsidRPr="00F830E6">
              <w:rPr>
                <w:rFonts w:eastAsia="Times New Roman" w:cs="Arial"/>
                <w:color w:val="000000"/>
                <w:sz w:val="18"/>
                <w:szCs w:val="18"/>
                <w:lang w:eastAsia="en-AU"/>
              </w:rPr>
              <w:t>Scheme Expenses ($m)</w:t>
            </w:r>
          </w:p>
        </w:tc>
        <w:tc>
          <w:tcPr>
            <w:tcW w:w="992" w:type="dxa"/>
            <w:noWrap/>
            <w:hideMark/>
          </w:tcPr>
          <w:p w14:paraId="0640ED67"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1,007</w:t>
            </w:r>
          </w:p>
        </w:tc>
        <w:tc>
          <w:tcPr>
            <w:tcW w:w="1134" w:type="dxa"/>
            <w:noWrap/>
            <w:hideMark/>
          </w:tcPr>
          <w:p w14:paraId="03E03F45"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3,423</w:t>
            </w:r>
          </w:p>
        </w:tc>
        <w:tc>
          <w:tcPr>
            <w:tcW w:w="1134" w:type="dxa"/>
            <w:noWrap/>
            <w:hideMark/>
          </w:tcPr>
          <w:p w14:paraId="4CE7EC0B"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6,426</w:t>
            </w:r>
          </w:p>
        </w:tc>
        <w:tc>
          <w:tcPr>
            <w:tcW w:w="992" w:type="dxa"/>
            <w:tcBorders>
              <w:right w:val="dotted" w:sz="4" w:space="0" w:color="auto"/>
            </w:tcBorders>
            <w:noWrap/>
            <w:hideMark/>
          </w:tcPr>
          <w:p w14:paraId="785741C0"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9,667</w:t>
            </w:r>
          </w:p>
        </w:tc>
        <w:tc>
          <w:tcPr>
            <w:tcW w:w="992" w:type="dxa"/>
            <w:tcBorders>
              <w:top w:val="nil"/>
              <w:left w:val="dotted" w:sz="4" w:space="0" w:color="auto"/>
              <w:bottom w:val="nil"/>
              <w:right w:val="single" w:sz="4" w:space="0" w:color="auto"/>
            </w:tcBorders>
            <w:noWrap/>
            <w:hideMark/>
          </w:tcPr>
          <w:p w14:paraId="46826832"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34,617</w:t>
            </w:r>
          </w:p>
        </w:tc>
        <w:tc>
          <w:tcPr>
            <w:tcW w:w="1083" w:type="dxa"/>
            <w:tcBorders>
              <w:left w:val="single" w:sz="4" w:space="0" w:color="auto"/>
            </w:tcBorders>
            <w:noWrap/>
            <w:hideMark/>
          </w:tcPr>
          <w:p w14:paraId="13E43356"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20,523</w:t>
            </w:r>
          </w:p>
        </w:tc>
      </w:tr>
      <w:tr w:rsidR="00BC498F" w:rsidRPr="00711C14" w14:paraId="14D75F90" w14:textId="77777777" w:rsidTr="00287865">
        <w:trPr>
          <w:trHeight w:val="301"/>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hideMark/>
          </w:tcPr>
          <w:p w14:paraId="68482273" w14:textId="77777777" w:rsidR="00BC498F" w:rsidRPr="00F830E6" w:rsidRDefault="00BC498F" w:rsidP="00BA7353">
            <w:pPr>
              <w:spacing w:after="0" w:line="240" w:lineRule="auto"/>
              <w:rPr>
                <w:rFonts w:eastAsia="Times New Roman" w:cs="Arial"/>
                <w:color w:val="000000"/>
                <w:sz w:val="18"/>
                <w:szCs w:val="18"/>
                <w:lang w:eastAsia="en-AU"/>
              </w:rPr>
            </w:pPr>
            <w:r w:rsidRPr="00F830E6">
              <w:rPr>
                <w:rFonts w:eastAsia="Times New Roman" w:cs="Arial"/>
                <w:color w:val="000000"/>
                <w:sz w:val="18"/>
                <w:szCs w:val="18"/>
                <w:lang w:eastAsia="en-AU"/>
              </w:rPr>
              <w:t>Variance to baseline ($m)</w:t>
            </w:r>
          </w:p>
        </w:tc>
        <w:tc>
          <w:tcPr>
            <w:tcW w:w="992" w:type="dxa"/>
            <w:shd w:val="clear" w:color="auto" w:fill="auto"/>
            <w:noWrap/>
            <w:hideMark/>
          </w:tcPr>
          <w:p w14:paraId="325E77EF"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-2</w:t>
            </w:r>
          </w:p>
        </w:tc>
        <w:tc>
          <w:tcPr>
            <w:tcW w:w="1134" w:type="dxa"/>
            <w:shd w:val="clear" w:color="auto" w:fill="auto"/>
            <w:noWrap/>
            <w:hideMark/>
          </w:tcPr>
          <w:p w14:paraId="6D2BE3B6"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-9</w:t>
            </w:r>
          </w:p>
        </w:tc>
        <w:tc>
          <w:tcPr>
            <w:tcW w:w="1134" w:type="dxa"/>
            <w:shd w:val="clear" w:color="auto" w:fill="auto"/>
            <w:noWrap/>
            <w:hideMark/>
          </w:tcPr>
          <w:p w14:paraId="47CBBFCB"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-28</w:t>
            </w:r>
          </w:p>
        </w:tc>
        <w:tc>
          <w:tcPr>
            <w:tcW w:w="992" w:type="dxa"/>
            <w:tcBorders>
              <w:right w:val="dotted" w:sz="4" w:space="0" w:color="auto"/>
            </w:tcBorders>
            <w:shd w:val="clear" w:color="auto" w:fill="auto"/>
            <w:noWrap/>
            <w:hideMark/>
          </w:tcPr>
          <w:p w14:paraId="6E89A031"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-56</w:t>
            </w:r>
          </w:p>
        </w:tc>
        <w:tc>
          <w:tcPr>
            <w:tcW w:w="992" w:type="dxa"/>
            <w:tcBorders>
              <w:top w:val="nil"/>
              <w:left w:val="dotted" w:sz="4" w:space="0" w:color="auto"/>
              <w:bottom w:val="nil"/>
              <w:right w:val="single" w:sz="4" w:space="0" w:color="auto"/>
            </w:tcBorders>
            <w:shd w:val="clear" w:color="auto" w:fill="auto"/>
            <w:noWrap/>
            <w:hideMark/>
          </w:tcPr>
          <w:p w14:paraId="30D362A6"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-416</w:t>
            </w:r>
          </w:p>
        </w:tc>
        <w:tc>
          <w:tcPr>
            <w:tcW w:w="1083" w:type="dxa"/>
            <w:tcBorders>
              <w:left w:val="single" w:sz="4" w:space="0" w:color="auto"/>
            </w:tcBorders>
            <w:shd w:val="clear" w:color="auto" w:fill="auto"/>
            <w:noWrap/>
            <w:hideMark/>
          </w:tcPr>
          <w:p w14:paraId="387C550B"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-81</w:t>
            </w:r>
          </w:p>
        </w:tc>
      </w:tr>
      <w:tr w:rsidR="00BC498F" w:rsidRPr="00711C14" w14:paraId="27B46257" w14:textId="77777777" w:rsidTr="0028786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689" w:type="dxa"/>
            <w:noWrap/>
            <w:hideMark/>
          </w:tcPr>
          <w:p w14:paraId="2579E59D" w14:textId="77777777" w:rsidR="00BC498F" w:rsidRPr="00F830E6" w:rsidRDefault="00BC498F" w:rsidP="00BA7353">
            <w:pPr>
              <w:spacing w:after="0" w:line="240" w:lineRule="auto"/>
              <w:rPr>
                <w:rFonts w:eastAsia="Times New Roman" w:cs="Arial"/>
                <w:color w:val="000000"/>
                <w:sz w:val="18"/>
                <w:szCs w:val="18"/>
                <w:lang w:eastAsia="en-AU"/>
              </w:rPr>
            </w:pPr>
            <w:r w:rsidRPr="00F830E6">
              <w:rPr>
                <w:rFonts w:eastAsia="Times New Roman" w:cs="Arial"/>
                <w:color w:val="000000"/>
                <w:sz w:val="18"/>
                <w:szCs w:val="18"/>
                <w:lang w:eastAsia="en-AU"/>
              </w:rPr>
              <w:t>% variance to baseline</w:t>
            </w:r>
          </w:p>
        </w:tc>
        <w:tc>
          <w:tcPr>
            <w:tcW w:w="992" w:type="dxa"/>
            <w:noWrap/>
            <w:hideMark/>
          </w:tcPr>
          <w:p w14:paraId="506A8AC1"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-0.2%</w:t>
            </w:r>
          </w:p>
        </w:tc>
        <w:tc>
          <w:tcPr>
            <w:tcW w:w="1134" w:type="dxa"/>
            <w:noWrap/>
            <w:hideMark/>
          </w:tcPr>
          <w:p w14:paraId="2259FC56"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-0.3%</w:t>
            </w:r>
          </w:p>
        </w:tc>
        <w:tc>
          <w:tcPr>
            <w:tcW w:w="1134" w:type="dxa"/>
            <w:noWrap/>
            <w:hideMark/>
          </w:tcPr>
          <w:p w14:paraId="71322A22"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-0.4%</w:t>
            </w:r>
          </w:p>
        </w:tc>
        <w:tc>
          <w:tcPr>
            <w:tcW w:w="992" w:type="dxa"/>
            <w:tcBorders>
              <w:right w:val="dotted" w:sz="4" w:space="0" w:color="auto"/>
            </w:tcBorders>
            <w:noWrap/>
            <w:hideMark/>
          </w:tcPr>
          <w:p w14:paraId="2C8751B7"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-0.6%</w:t>
            </w:r>
          </w:p>
        </w:tc>
        <w:tc>
          <w:tcPr>
            <w:tcW w:w="992" w:type="dxa"/>
            <w:tcBorders>
              <w:top w:val="nil"/>
              <w:left w:val="dotted" w:sz="4" w:space="0" w:color="auto"/>
              <w:bottom w:val="nil"/>
              <w:right w:val="single" w:sz="4" w:space="0" w:color="auto"/>
            </w:tcBorders>
            <w:noWrap/>
            <w:hideMark/>
          </w:tcPr>
          <w:p w14:paraId="5E569A97"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-1.2%</w:t>
            </w:r>
          </w:p>
        </w:tc>
        <w:tc>
          <w:tcPr>
            <w:tcW w:w="1083" w:type="dxa"/>
            <w:tcBorders>
              <w:left w:val="single" w:sz="4" w:space="0" w:color="auto"/>
            </w:tcBorders>
            <w:noWrap/>
            <w:hideMark/>
          </w:tcPr>
          <w:p w14:paraId="3B758D24"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-0.4%</w:t>
            </w:r>
          </w:p>
        </w:tc>
      </w:tr>
      <w:tr w:rsidR="00BC498F" w:rsidRPr="00711C14" w14:paraId="68E8F171" w14:textId="77777777" w:rsidTr="00287865">
        <w:trPr>
          <w:trHeight w:val="301"/>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noWrap/>
            <w:hideMark/>
          </w:tcPr>
          <w:p w14:paraId="4E2D694A" w14:textId="77777777" w:rsidR="00BC498F" w:rsidRPr="00F830E6" w:rsidRDefault="00BC498F" w:rsidP="00BA7353">
            <w:pPr>
              <w:spacing w:after="0" w:line="240" w:lineRule="auto"/>
              <w:rPr>
                <w:rFonts w:eastAsia="Times New Roman" w:cs="Arial"/>
                <w:b/>
                <w:bCs/>
                <w:i/>
                <w:iCs/>
                <w:color w:val="000000"/>
                <w:sz w:val="18"/>
                <w:szCs w:val="18"/>
                <w:lang w:eastAsia="en-AU"/>
              </w:rPr>
            </w:pPr>
            <w:r w:rsidRPr="00F830E6">
              <w:rPr>
                <w:rFonts w:eastAsia="Times New Roman" w:cs="Arial"/>
                <w:b/>
                <w:bCs/>
                <w:i/>
                <w:iCs/>
                <w:color w:val="000000"/>
                <w:sz w:val="18"/>
                <w:szCs w:val="18"/>
                <w:lang w:eastAsia="en-AU"/>
              </w:rPr>
              <w:t>All projected participants</w:t>
            </w:r>
          </w:p>
        </w:tc>
        <w:tc>
          <w:tcPr>
            <w:tcW w:w="992" w:type="dxa"/>
            <w:shd w:val="clear" w:color="auto" w:fill="auto"/>
            <w:noWrap/>
            <w:hideMark/>
          </w:tcPr>
          <w:p w14:paraId="3F2D12E0"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1134" w:type="dxa"/>
            <w:shd w:val="clear" w:color="auto" w:fill="auto"/>
            <w:noWrap/>
            <w:hideMark/>
          </w:tcPr>
          <w:p w14:paraId="3F39F0CB"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1134" w:type="dxa"/>
            <w:shd w:val="clear" w:color="auto" w:fill="auto"/>
            <w:noWrap/>
            <w:hideMark/>
          </w:tcPr>
          <w:p w14:paraId="2CD77849"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992" w:type="dxa"/>
            <w:tcBorders>
              <w:right w:val="dotted" w:sz="4" w:space="0" w:color="auto"/>
            </w:tcBorders>
            <w:shd w:val="clear" w:color="auto" w:fill="auto"/>
            <w:noWrap/>
            <w:hideMark/>
          </w:tcPr>
          <w:p w14:paraId="612E4882"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992" w:type="dxa"/>
            <w:tcBorders>
              <w:top w:val="nil"/>
              <w:left w:val="dotted" w:sz="4" w:space="0" w:color="auto"/>
              <w:bottom w:val="nil"/>
              <w:right w:val="single" w:sz="4" w:space="0" w:color="auto"/>
            </w:tcBorders>
            <w:shd w:val="clear" w:color="auto" w:fill="auto"/>
            <w:noWrap/>
            <w:hideMark/>
          </w:tcPr>
          <w:p w14:paraId="47A081B6"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c>
          <w:tcPr>
            <w:tcW w:w="1083" w:type="dxa"/>
            <w:tcBorders>
              <w:left w:val="single" w:sz="4" w:space="0" w:color="auto"/>
            </w:tcBorders>
            <w:shd w:val="clear" w:color="auto" w:fill="auto"/>
            <w:noWrap/>
            <w:hideMark/>
          </w:tcPr>
          <w:p w14:paraId="739CFED4"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 </w:t>
            </w:r>
          </w:p>
        </w:tc>
      </w:tr>
      <w:tr w:rsidR="00BC498F" w:rsidRPr="00711C14" w14:paraId="46C4F51D" w14:textId="77777777" w:rsidTr="0028786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689" w:type="dxa"/>
            <w:shd w:val="clear" w:color="auto" w:fill="BFBFBF" w:themeFill="background1" w:themeFillShade="BF"/>
            <w:noWrap/>
            <w:hideMark/>
          </w:tcPr>
          <w:p w14:paraId="4B836194" w14:textId="77777777" w:rsidR="00BC498F" w:rsidRPr="00F830E6" w:rsidRDefault="00BC498F" w:rsidP="00BA7353">
            <w:pPr>
              <w:spacing w:after="0" w:line="240" w:lineRule="auto"/>
              <w:rPr>
                <w:rFonts w:eastAsia="Times New Roman" w:cs="Arial"/>
                <w:color w:val="000000"/>
                <w:sz w:val="18"/>
                <w:szCs w:val="18"/>
                <w:lang w:eastAsia="en-AU"/>
              </w:rPr>
            </w:pPr>
            <w:r w:rsidRPr="00F830E6">
              <w:rPr>
                <w:rFonts w:eastAsia="Times New Roman" w:cs="Arial"/>
                <w:color w:val="000000"/>
                <w:sz w:val="18"/>
                <w:szCs w:val="18"/>
                <w:lang w:eastAsia="en-AU"/>
              </w:rPr>
              <w:t>Scheme Expenses ($m)</w:t>
            </w:r>
          </w:p>
        </w:tc>
        <w:tc>
          <w:tcPr>
            <w:tcW w:w="992" w:type="dxa"/>
            <w:shd w:val="clear" w:color="auto" w:fill="BFBFBF" w:themeFill="background1" w:themeFillShade="BF"/>
            <w:noWrap/>
            <w:hideMark/>
          </w:tcPr>
          <w:p w14:paraId="0A434954"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33,909</w:t>
            </w:r>
          </w:p>
        </w:tc>
        <w:tc>
          <w:tcPr>
            <w:tcW w:w="1134" w:type="dxa"/>
            <w:shd w:val="clear" w:color="auto" w:fill="BFBFBF" w:themeFill="background1" w:themeFillShade="BF"/>
            <w:noWrap/>
            <w:hideMark/>
          </w:tcPr>
          <w:p w14:paraId="5260D7D5"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38,028</w:t>
            </w:r>
          </w:p>
        </w:tc>
        <w:tc>
          <w:tcPr>
            <w:tcW w:w="1134" w:type="dxa"/>
            <w:shd w:val="clear" w:color="auto" w:fill="BFBFBF" w:themeFill="background1" w:themeFillShade="BF"/>
            <w:noWrap/>
            <w:hideMark/>
          </w:tcPr>
          <w:p w14:paraId="6844E8AF"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43,924</w:t>
            </w:r>
          </w:p>
        </w:tc>
        <w:tc>
          <w:tcPr>
            <w:tcW w:w="992" w:type="dxa"/>
            <w:tcBorders>
              <w:right w:val="dotted" w:sz="4" w:space="0" w:color="auto"/>
            </w:tcBorders>
            <w:shd w:val="clear" w:color="auto" w:fill="BFBFBF" w:themeFill="background1" w:themeFillShade="BF"/>
            <w:noWrap/>
            <w:hideMark/>
          </w:tcPr>
          <w:p w14:paraId="369F6767"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50,054</w:t>
            </w:r>
          </w:p>
        </w:tc>
        <w:tc>
          <w:tcPr>
            <w:tcW w:w="992" w:type="dxa"/>
            <w:tcBorders>
              <w:top w:val="nil"/>
              <w:left w:val="dotted" w:sz="4" w:space="0" w:color="auto"/>
              <w:bottom w:val="nil"/>
              <w:right w:val="single" w:sz="4" w:space="0" w:color="auto"/>
            </w:tcBorders>
            <w:shd w:val="clear" w:color="auto" w:fill="BFBFBF" w:themeFill="background1" w:themeFillShade="BF"/>
            <w:noWrap/>
            <w:hideMark/>
          </w:tcPr>
          <w:p w14:paraId="1C4EAE7D"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88,342</w:t>
            </w:r>
          </w:p>
        </w:tc>
        <w:tc>
          <w:tcPr>
            <w:tcW w:w="1083" w:type="dxa"/>
            <w:tcBorders>
              <w:left w:val="single" w:sz="4" w:space="0" w:color="auto"/>
            </w:tcBorders>
            <w:shd w:val="clear" w:color="auto" w:fill="BFBFBF" w:themeFill="background1" w:themeFillShade="BF"/>
            <w:noWrap/>
            <w:hideMark/>
          </w:tcPr>
          <w:p w14:paraId="1188C39C"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165,915</w:t>
            </w:r>
          </w:p>
        </w:tc>
      </w:tr>
      <w:tr w:rsidR="00BC498F" w:rsidRPr="00711C14" w14:paraId="18C41A83" w14:textId="77777777" w:rsidTr="00287865">
        <w:trPr>
          <w:trHeight w:val="301"/>
        </w:trPr>
        <w:tc>
          <w:tcPr>
            <w:cnfStyle w:val="001000000000" w:firstRow="0" w:lastRow="0" w:firstColumn="1" w:lastColumn="0" w:oddVBand="0" w:evenVBand="0" w:oddHBand="0" w:evenHBand="0" w:firstRowFirstColumn="0" w:firstRowLastColumn="0" w:lastRowFirstColumn="0" w:lastRowLastColumn="0"/>
            <w:tcW w:w="2689" w:type="dxa"/>
            <w:noWrap/>
            <w:hideMark/>
          </w:tcPr>
          <w:p w14:paraId="0CFC3148" w14:textId="77777777" w:rsidR="00BC498F" w:rsidRPr="00F830E6" w:rsidRDefault="00BC498F" w:rsidP="00BA7353">
            <w:pPr>
              <w:spacing w:after="0" w:line="240" w:lineRule="auto"/>
              <w:rPr>
                <w:rFonts w:eastAsia="Times New Roman" w:cs="Arial"/>
                <w:color w:val="000000"/>
                <w:sz w:val="18"/>
                <w:szCs w:val="18"/>
                <w:lang w:eastAsia="en-AU"/>
              </w:rPr>
            </w:pPr>
            <w:r w:rsidRPr="00F830E6">
              <w:rPr>
                <w:rFonts w:eastAsia="Times New Roman" w:cs="Arial"/>
                <w:color w:val="000000"/>
                <w:sz w:val="18"/>
                <w:szCs w:val="18"/>
                <w:lang w:eastAsia="en-AU"/>
              </w:rPr>
              <w:t>Variance to baseline ($m)</w:t>
            </w:r>
          </w:p>
        </w:tc>
        <w:tc>
          <w:tcPr>
            <w:tcW w:w="992" w:type="dxa"/>
            <w:noWrap/>
            <w:hideMark/>
          </w:tcPr>
          <w:p w14:paraId="41FB3F2B"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-67</w:t>
            </w:r>
          </w:p>
        </w:tc>
        <w:tc>
          <w:tcPr>
            <w:tcW w:w="1134" w:type="dxa"/>
            <w:noWrap/>
            <w:hideMark/>
          </w:tcPr>
          <w:p w14:paraId="5EB32E4F"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-105</w:t>
            </w:r>
          </w:p>
        </w:tc>
        <w:tc>
          <w:tcPr>
            <w:tcW w:w="1134" w:type="dxa"/>
            <w:noWrap/>
            <w:hideMark/>
          </w:tcPr>
          <w:p w14:paraId="1B0476CD"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-192</w:t>
            </w:r>
          </w:p>
        </w:tc>
        <w:tc>
          <w:tcPr>
            <w:tcW w:w="992" w:type="dxa"/>
            <w:tcBorders>
              <w:right w:val="dotted" w:sz="4" w:space="0" w:color="auto"/>
            </w:tcBorders>
            <w:noWrap/>
            <w:hideMark/>
          </w:tcPr>
          <w:p w14:paraId="154E51BE"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-290</w:t>
            </w:r>
          </w:p>
        </w:tc>
        <w:tc>
          <w:tcPr>
            <w:tcW w:w="992" w:type="dxa"/>
            <w:tcBorders>
              <w:top w:val="nil"/>
              <w:left w:val="dotted" w:sz="4" w:space="0" w:color="auto"/>
              <w:bottom w:val="nil"/>
              <w:right w:val="single" w:sz="4" w:space="0" w:color="auto"/>
            </w:tcBorders>
            <w:noWrap/>
            <w:hideMark/>
          </w:tcPr>
          <w:p w14:paraId="78A2B37F"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-1,061</w:t>
            </w:r>
          </w:p>
        </w:tc>
        <w:tc>
          <w:tcPr>
            <w:tcW w:w="1083" w:type="dxa"/>
            <w:tcBorders>
              <w:left w:val="single" w:sz="4" w:space="0" w:color="auto"/>
            </w:tcBorders>
            <w:noWrap/>
            <w:hideMark/>
          </w:tcPr>
          <w:p w14:paraId="14CD084C" w14:textId="77777777" w:rsidR="00BC498F" w:rsidRPr="00F830E6" w:rsidRDefault="00BC498F">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-654</w:t>
            </w:r>
          </w:p>
        </w:tc>
      </w:tr>
      <w:tr w:rsidR="00BC498F" w:rsidRPr="00711C14" w14:paraId="114B9B79" w14:textId="77777777" w:rsidTr="0028786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689" w:type="dxa"/>
            <w:shd w:val="clear" w:color="auto" w:fill="BFBFBF" w:themeFill="background1" w:themeFillShade="BF"/>
            <w:noWrap/>
            <w:hideMark/>
          </w:tcPr>
          <w:p w14:paraId="3639D155" w14:textId="77777777" w:rsidR="00BC498F" w:rsidRPr="00F830E6" w:rsidRDefault="00BC498F" w:rsidP="00BA7353">
            <w:pPr>
              <w:spacing w:after="0" w:line="240" w:lineRule="auto"/>
              <w:rPr>
                <w:rFonts w:eastAsia="Times New Roman" w:cs="Arial"/>
                <w:color w:val="000000"/>
                <w:sz w:val="18"/>
                <w:szCs w:val="18"/>
                <w:lang w:eastAsia="en-AU"/>
              </w:rPr>
            </w:pPr>
            <w:r w:rsidRPr="00F830E6">
              <w:rPr>
                <w:rFonts w:eastAsia="Times New Roman" w:cs="Arial"/>
                <w:color w:val="000000"/>
                <w:sz w:val="18"/>
                <w:szCs w:val="18"/>
                <w:lang w:eastAsia="en-AU"/>
              </w:rPr>
              <w:t>% variance to baseline</w:t>
            </w:r>
          </w:p>
        </w:tc>
        <w:tc>
          <w:tcPr>
            <w:tcW w:w="992" w:type="dxa"/>
            <w:shd w:val="clear" w:color="auto" w:fill="BFBFBF" w:themeFill="background1" w:themeFillShade="BF"/>
            <w:noWrap/>
            <w:hideMark/>
          </w:tcPr>
          <w:p w14:paraId="63207721"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-0.2%</w:t>
            </w:r>
          </w:p>
        </w:tc>
        <w:tc>
          <w:tcPr>
            <w:tcW w:w="1134" w:type="dxa"/>
            <w:shd w:val="clear" w:color="auto" w:fill="BFBFBF" w:themeFill="background1" w:themeFillShade="BF"/>
            <w:noWrap/>
            <w:hideMark/>
          </w:tcPr>
          <w:p w14:paraId="6F87113D"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-0.3%</w:t>
            </w:r>
          </w:p>
        </w:tc>
        <w:tc>
          <w:tcPr>
            <w:tcW w:w="1134" w:type="dxa"/>
            <w:shd w:val="clear" w:color="auto" w:fill="BFBFBF" w:themeFill="background1" w:themeFillShade="BF"/>
            <w:noWrap/>
            <w:hideMark/>
          </w:tcPr>
          <w:p w14:paraId="2BAD52B6"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-0.4%</w:t>
            </w:r>
          </w:p>
        </w:tc>
        <w:tc>
          <w:tcPr>
            <w:tcW w:w="992" w:type="dxa"/>
            <w:tcBorders>
              <w:right w:val="dotted" w:sz="4" w:space="0" w:color="auto"/>
            </w:tcBorders>
            <w:shd w:val="clear" w:color="auto" w:fill="BFBFBF" w:themeFill="background1" w:themeFillShade="BF"/>
            <w:noWrap/>
            <w:hideMark/>
          </w:tcPr>
          <w:p w14:paraId="334AEC35"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-0.6%</w:t>
            </w:r>
          </w:p>
        </w:tc>
        <w:tc>
          <w:tcPr>
            <w:tcW w:w="992" w:type="dxa"/>
            <w:tcBorders>
              <w:top w:val="nil"/>
              <w:left w:val="dotted" w:sz="4" w:space="0" w:color="auto"/>
              <w:bottom w:val="single" w:sz="4" w:space="0" w:color="auto"/>
              <w:right w:val="single" w:sz="4" w:space="0" w:color="auto"/>
            </w:tcBorders>
            <w:shd w:val="clear" w:color="auto" w:fill="BFBFBF" w:themeFill="background1" w:themeFillShade="BF"/>
            <w:noWrap/>
            <w:hideMark/>
          </w:tcPr>
          <w:p w14:paraId="5C5469CB"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-1.2%</w:t>
            </w:r>
          </w:p>
        </w:tc>
        <w:tc>
          <w:tcPr>
            <w:tcW w:w="1083" w:type="dxa"/>
            <w:tcBorders>
              <w:left w:val="single" w:sz="4" w:space="0" w:color="auto"/>
              <w:bottom w:val="single" w:sz="4" w:space="0" w:color="auto"/>
            </w:tcBorders>
            <w:shd w:val="clear" w:color="auto" w:fill="BFBFBF" w:themeFill="background1" w:themeFillShade="BF"/>
            <w:noWrap/>
            <w:hideMark/>
          </w:tcPr>
          <w:p w14:paraId="2D6B87F5" w14:textId="77777777" w:rsidR="00BC498F" w:rsidRPr="00F830E6" w:rsidRDefault="00BC498F">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F830E6">
              <w:rPr>
                <w:rFonts w:eastAsia="Times New Roman" w:cs="Arial"/>
                <w:color w:val="000000"/>
                <w:sz w:val="18"/>
                <w:szCs w:val="18"/>
                <w:lang w:eastAsia="en-AU"/>
              </w:rPr>
              <w:t>-0.4%</w:t>
            </w:r>
          </w:p>
        </w:tc>
      </w:tr>
    </w:tbl>
    <w:p w14:paraId="1C981FCA" w14:textId="77777777" w:rsidR="00BC498F" w:rsidRDefault="00BC498F" w:rsidP="00BC498F">
      <w:pPr>
        <w:pStyle w:val="FSRHeading4"/>
      </w:pPr>
      <w:r>
        <w:t>Scenario relating to the rates of participants leaving the Scheme</w:t>
      </w:r>
    </w:p>
    <w:p w14:paraId="13085004" w14:textId="77777777" w:rsidR="00BC498F" w:rsidRPr="00602D7B" w:rsidRDefault="00BC498F" w:rsidP="00BC498F">
      <w:pPr>
        <w:pStyle w:val="FSRnormal"/>
        <w:rPr>
          <w:rStyle w:val="FSRnormalChar"/>
        </w:rPr>
      </w:pPr>
      <w:r>
        <w:t xml:space="preserve">The </w:t>
      </w:r>
      <w:r w:rsidRPr="00F340CE">
        <w:t xml:space="preserve">observed rates of </w:t>
      </w:r>
      <w:r>
        <w:t>participants leaving the Scheme</w:t>
      </w:r>
      <w:r w:rsidRPr="00F340CE">
        <w:t xml:space="preserve"> are lower than</w:t>
      </w:r>
      <w:r w:rsidR="00632122">
        <w:t xml:space="preserve"> projected</w:t>
      </w:r>
      <w:r w:rsidRPr="00F340CE">
        <w:t xml:space="preserve"> in previous reports, although the level in 2021-22 has increased in line with the higher number of eligibility reassessments being undertaken. Although the backlog in eligibility reassessments has been cleared </w:t>
      </w:r>
      <w:r>
        <w:t>at</w:t>
      </w:r>
      <w:r w:rsidRPr="00F340CE">
        <w:t xml:space="preserve"> 30 June 2022, the level of </w:t>
      </w:r>
      <w:r>
        <w:t>participants leaving the Scheme in the future</w:t>
      </w:r>
      <w:r w:rsidRPr="00F340CE">
        <w:t xml:space="preserve"> remains uncertain.</w:t>
      </w:r>
      <w:r w:rsidRPr="00E35572">
        <w:t xml:space="preserve"> </w:t>
      </w:r>
      <w:r>
        <w:t xml:space="preserve">To quantify the inherent uncertainty with participants leaving the </w:t>
      </w:r>
      <w:r w:rsidR="00AD1D78">
        <w:t>S</w:t>
      </w:r>
      <w:r>
        <w:t>cheme, the following scenario</w:t>
      </w:r>
      <w:r w:rsidR="001C24D4">
        <w:t xml:space="preserve"> was</w:t>
      </w:r>
      <w:r>
        <w:t xml:space="preserve"> considered.  </w:t>
      </w:r>
    </w:p>
    <w:p w14:paraId="40F275CE" w14:textId="77777777" w:rsidR="00BC498F" w:rsidRDefault="00BC498F">
      <w:pPr>
        <w:spacing w:after="160" w:line="259" w:lineRule="auto"/>
        <w:rPr>
          <w:b/>
          <w:i/>
          <w:color w:val="F26322"/>
          <w:sz w:val="24"/>
        </w:rPr>
      </w:pPr>
      <w:r>
        <w:br w:type="page"/>
      </w:r>
    </w:p>
    <w:p w14:paraId="309E3D33" w14:textId="77777777" w:rsidR="00BC498F" w:rsidRDefault="00BC498F" w:rsidP="00BC498F">
      <w:pPr>
        <w:pStyle w:val="FSRHeading5"/>
      </w:pPr>
      <w:r>
        <w:lastRenderedPageBreak/>
        <w:t xml:space="preserve">Scenario: </w:t>
      </w:r>
      <w:r w:rsidRPr="00EA6635">
        <w:t>Lower rate of participants leaving the Scheme</w:t>
      </w:r>
    </w:p>
    <w:p w14:paraId="419E8D71" w14:textId="77777777" w:rsidR="00BC498F" w:rsidRDefault="00BC498F" w:rsidP="00F830E6">
      <w:pPr>
        <w:pStyle w:val="FSRnormal"/>
      </w:pPr>
      <w:r>
        <w:t xml:space="preserve">In this scenario the rate at which participants leave the </w:t>
      </w:r>
      <w:r w:rsidR="00AD1D78">
        <w:t>S</w:t>
      </w:r>
      <w:r>
        <w:t xml:space="preserve">cheme is assumed to be </w:t>
      </w:r>
      <w:r w:rsidRPr="00A457C5">
        <w:t xml:space="preserve">25% lower than </w:t>
      </w:r>
      <w:r>
        <w:t>the assumption</w:t>
      </w:r>
      <w:r w:rsidRPr="00A457C5">
        <w:t xml:space="preserve"> in the baseline projection. This adds $0.3 billion</w:t>
      </w:r>
      <w:r>
        <w:t xml:space="preserve"> </w:t>
      </w:r>
      <w:r w:rsidRPr="00A457C5">
        <w:t>in 2025-26 and $1.3 billion in 2031-32</w:t>
      </w:r>
      <w:r>
        <w:t xml:space="preserve"> to total </w:t>
      </w:r>
      <w:r w:rsidR="007528B4">
        <w:t>S</w:t>
      </w:r>
      <w:r>
        <w:t>cheme expenses</w:t>
      </w:r>
      <w:r w:rsidRPr="00A457C5">
        <w:t xml:space="preserve">. </w:t>
      </w:r>
    </w:p>
    <w:p w14:paraId="7AA4FF90" w14:textId="77777777" w:rsidR="00C70A4C" w:rsidRDefault="00C70A4C" w:rsidP="00DA3F73">
      <w:pPr>
        <w:pStyle w:val="Tables"/>
      </w:pPr>
      <w:r>
        <w:t xml:space="preserve">Table </w:t>
      </w:r>
      <w:fldSimple w:instr=" STYLEREF 2 \s ">
        <w:r w:rsidR="00A87896">
          <w:rPr>
            <w:noProof/>
          </w:rPr>
          <w:t>6</w:t>
        </w:r>
      </w:fldSimple>
      <w:r w:rsidR="00A87896">
        <w:t>.</w:t>
      </w:r>
      <w:fldSimple w:instr=" SEQ Table \* ARABIC \s 2 ">
        <w:r w:rsidR="00A87896">
          <w:rPr>
            <w:noProof/>
          </w:rPr>
          <w:t>4</w:t>
        </w:r>
      </w:fldSimple>
      <w:r w:rsidRPr="00EA6635">
        <w:t xml:space="preserve">: Scenario results - Lower </w:t>
      </w:r>
      <w:r>
        <w:t xml:space="preserve">rate of participants leaving the </w:t>
      </w:r>
      <w:r w:rsidR="00AD1D78">
        <w:t>S</w:t>
      </w:r>
      <w:r>
        <w:t>cheme</w:t>
      </w:r>
    </w:p>
    <w:tbl>
      <w:tblPr>
        <w:tblStyle w:val="FSRtable"/>
        <w:tblW w:w="4853" w:type="pct"/>
        <w:tblInd w:w="5" w:type="dxa"/>
        <w:tblLook w:val="04A0" w:firstRow="1" w:lastRow="0" w:firstColumn="1" w:lastColumn="0" w:noHBand="0" w:noVBand="1"/>
      </w:tblPr>
      <w:tblGrid>
        <w:gridCol w:w="2641"/>
        <w:gridCol w:w="950"/>
        <w:gridCol w:w="973"/>
        <w:gridCol w:w="973"/>
        <w:gridCol w:w="973"/>
        <w:gridCol w:w="1146"/>
        <w:gridCol w:w="1105"/>
      </w:tblGrid>
      <w:tr w:rsidR="005D4D9E" w:rsidRPr="00386CF3" w14:paraId="5419EB70" w14:textId="77777777" w:rsidTr="00386CF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10" w:type="pct"/>
            <w:noWrap/>
            <w:hideMark/>
          </w:tcPr>
          <w:p w14:paraId="26ED3D83" w14:textId="77777777" w:rsidR="007F6120" w:rsidRPr="00386CF3" w:rsidRDefault="007F6120" w:rsidP="00711C14">
            <w:pPr>
              <w:spacing w:after="0" w:line="240" w:lineRule="auto"/>
              <w:rPr>
                <w:rFonts w:eastAsia="Times New Roman"/>
                <w:color w:val="FFFFFF"/>
                <w:sz w:val="20"/>
                <w:szCs w:val="20"/>
                <w:lang w:eastAsia="en-AU"/>
              </w:rPr>
            </w:pPr>
            <w:r w:rsidRPr="00386CF3">
              <w:rPr>
                <w:rFonts w:eastAsia="Times New Roman"/>
                <w:color w:val="FFFFFF"/>
                <w:sz w:val="20"/>
                <w:szCs w:val="20"/>
                <w:lang w:eastAsia="en-AU"/>
              </w:rPr>
              <w:t> </w:t>
            </w:r>
          </w:p>
        </w:tc>
        <w:tc>
          <w:tcPr>
            <w:tcW w:w="2856" w:type="pct"/>
            <w:gridSpan w:val="5"/>
            <w:tcBorders>
              <w:top w:val="single" w:sz="4" w:space="0" w:color="auto"/>
              <w:bottom w:val="single" w:sz="4" w:space="0" w:color="FFFFFF" w:themeColor="background1"/>
              <w:right w:val="single" w:sz="4" w:space="0" w:color="auto"/>
            </w:tcBorders>
            <w:noWrap/>
            <w:hideMark/>
          </w:tcPr>
          <w:p w14:paraId="765D8A5A" w14:textId="77777777" w:rsidR="007F6120" w:rsidRPr="00386CF3" w:rsidRDefault="007F6120" w:rsidP="00711C1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lang w:eastAsia="en-AU"/>
              </w:rPr>
            </w:pPr>
            <w:r w:rsidRPr="00386CF3">
              <w:rPr>
                <w:rFonts w:eastAsia="Times New Roman"/>
                <w:bCs/>
                <w:color w:val="FFFFFF"/>
                <w:sz w:val="20"/>
                <w:szCs w:val="20"/>
                <w:lang w:eastAsia="en-AU"/>
              </w:rPr>
              <w:t>Projection Year</w:t>
            </w:r>
          </w:p>
        </w:tc>
        <w:tc>
          <w:tcPr>
            <w:tcW w:w="634" w:type="pct"/>
            <w:tcBorders>
              <w:top w:val="single" w:sz="4" w:space="0" w:color="auto"/>
              <w:left w:val="single" w:sz="4" w:space="0" w:color="auto"/>
              <w:bottom w:val="single" w:sz="4" w:space="0" w:color="FFFFFF" w:themeColor="background1"/>
            </w:tcBorders>
            <w:noWrap/>
            <w:hideMark/>
          </w:tcPr>
          <w:p w14:paraId="7D918EA2" w14:textId="77777777" w:rsidR="007F6120" w:rsidRPr="00386CF3" w:rsidRDefault="007F612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lang w:eastAsia="en-AU"/>
              </w:rPr>
            </w:pPr>
            <w:r w:rsidRPr="00386CF3">
              <w:rPr>
                <w:rFonts w:eastAsia="Times New Roman"/>
                <w:bCs/>
                <w:color w:val="FFFFFF"/>
                <w:sz w:val="20"/>
                <w:szCs w:val="20"/>
                <w:lang w:eastAsia="en-AU"/>
              </w:rPr>
              <w:t>Total</w:t>
            </w:r>
          </w:p>
        </w:tc>
      </w:tr>
      <w:tr w:rsidR="005D4D9E" w:rsidRPr="00386CF3" w14:paraId="3AD9A7FF" w14:textId="77777777" w:rsidTr="00386CF3">
        <w:trPr>
          <w:trHeight w:val="397"/>
        </w:trPr>
        <w:tc>
          <w:tcPr>
            <w:cnfStyle w:val="001000000000" w:firstRow="0" w:lastRow="0" w:firstColumn="1" w:lastColumn="0" w:oddVBand="0" w:evenVBand="0" w:oddHBand="0" w:evenHBand="0" w:firstRowFirstColumn="0" w:firstRowLastColumn="0" w:lastRowFirstColumn="0" w:lastRowLastColumn="0"/>
            <w:tcW w:w="1510" w:type="pct"/>
            <w:shd w:val="clear" w:color="auto" w:fill="6B2976"/>
            <w:noWrap/>
            <w:hideMark/>
          </w:tcPr>
          <w:p w14:paraId="016A1B02" w14:textId="77777777" w:rsidR="007F6120" w:rsidRPr="00386CF3" w:rsidRDefault="007F6120" w:rsidP="00711C14">
            <w:pPr>
              <w:spacing w:after="0" w:line="240" w:lineRule="auto"/>
              <w:rPr>
                <w:rFonts w:eastAsia="Times New Roman" w:cs="Arial"/>
                <w:color w:val="FFFFFF"/>
                <w:sz w:val="20"/>
                <w:szCs w:val="20"/>
                <w:lang w:eastAsia="en-AU"/>
              </w:rPr>
            </w:pPr>
            <w:r w:rsidRPr="00386CF3">
              <w:rPr>
                <w:rFonts w:eastAsia="Times New Roman" w:cs="Arial"/>
                <w:color w:val="FFFFFF"/>
                <w:sz w:val="20"/>
                <w:szCs w:val="20"/>
                <w:lang w:eastAsia="en-AU"/>
              </w:rPr>
              <w:t> </w:t>
            </w:r>
          </w:p>
        </w:tc>
        <w:tc>
          <w:tcPr>
            <w:tcW w:w="526" w:type="pct"/>
            <w:shd w:val="clear" w:color="auto" w:fill="6B2976"/>
            <w:noWrap/>
            <w:hideMark/>
          </w:tcPr>
          <w:p w14:paraId="5E9ABDBE"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sz w:val="20"/>
                <w:szCs w:val="20"/>
                <w:lang w:eastAsia="en-AU"/>
              </w:rPr>
            </w:pPr>
            <w:r w:rsidRPr="00386CF3">
              <w:rPr>
                <w:rFonts w:eastAsia="Times New Roman" w:cs="Arial"/>
                <w:b/>
                <w:bCs/>
                <w:color w:val="FFFFFF"/>
                <w:sz w:val="20"/>
                <w:szCs w:val="20"/>
                <w:lang w:eastAsia="en-AU"/>
              </w:rPr>
              <w:t>2022-23</w:t>
            </w:r>
          </w:p>
        </w:tc>
        <w:tc>
          <w:tcPr>
            <w:tcW w:w="558" w:type="pct"/>
            <w:shd w:val="clear" w:color="auto" w:fill="6B2976"/>
            <w:noWrap/>
            <w:hideMark/>
          </w:tcPr>
          <w:p w14:paraId="716E0DB2"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sz w:val="20"/>
                <w:szCs w:val="20"/>
                <w:lang w:eastAsia="en-AU"/>
              </w:rPr>
            </w:pPr>
            <w:r w:rsidRPr="00386CF3">
              <w:rPr>
                <w:rFonts w:eastAsia="Times New Roman" w:cs="Arial"/>
                <w:b/>
                <w:bCs/>
                <w:color w:val="FFFFFF"/>
                <w:sz w:val="20"/>
                <w:szCs w:val="20"/>
                <w:lang w:eastAsia="en-AU"/>
              </w:rPr>
              <w:t>2023-24</w:t>
            </w:r>
          </w:p>
        </w:tc>
        <w:tc>
          <w:tcPr>
            <w:tcW w:w="558" w:type="pct"/>
            <w:shd w:val="clear" w:color="auto" w:fill="6B2976"/>
            <w:noWrap/>
            <w:hideMark/>
          </w:tcPr>
          <w:p w14:paraId="26104BA5"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sz w:val="20"/>
                <w:szCs w:val="20"/>
                <w:lang w:eastAsia="en-AU"/>
              </w:rPr>
            </w:pPr>
            <w:r w:rsidRPr="00386CF3">
              <w:rPr>
                <w:rFonts w:eastAsia="Times New Roman" w:cs="Arial"/>
                <w:b/>
                <w:bCs/>
                <w:color w:val="FFFFFF"/>
                <w:sz w:val="20"/>
                <w:szCs w:val="20"/>
                <w:lang w:eastAsia="en-AU"/>
              </w:rPr>
              <w:t>2024-25</w:t>
            </w:r>
          </w:p>
        </w:tc>
        <w:tc>
          <w:tcPr>
            <w:tcW w:w="558" w:type="pct"/>
            <w:tcBorders>
              <w:right w:val="dotted" w:sz="4" w:space="0" w:color="auto"/>
            </w:tcBorders>
            <w:shd w:val="clear" w:color="auto" w:fill="6B2976"/>
            <w:noWrap/>
            <w:hideMark/>
          </w:tcPr>
          <w:p w14:paraId="5A32B4A8"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sz w:val="20"/>
                <w:szCs w:val="20"/>
                <w:lang w:eastAsia="en-AU"/>
              </w:rPr>
            </w:pPr>
            <w:r w:rsidRPr="00386CF3">
              <w:rPr>
                <w:rFonts w:eastAsia="Times New Roman" w:cs="Arial"/>
                <w:b/>
                <w:bCs/>
                <w:color w:val="FFFFFF"/>
                <w:sz w:val="20"/>
                <w:szCs w:val="20"/>
                <w:lang w:eastAsia="en-AU"/>
              </w:rPr>
              <w:t>2025-26</w:t>
            </w:r>
          </w:p>
        </w:tc>
        <w:tc>
          <w:tcPr>
            <w:tcW w:w="657" w:type="pct"/>
            <w:tcBorders>
              <w:top w:val="nil"/>
              <w:left w:val="dotted" w:sz="4" w:space="0" w:color="auto"/>
              <w:bottom w:val="nil"/>
              <w:right w:val="single" w:sz="4" w:space="0" w:color="auto"/>
            </w:tcBorders>
            <w:shd w:val="clear" w:color="auto" w:fill="6B2976"/>
            <w:noWrap/>
            <w:hideMark/>
          </w:tcPr>
          <w:p w14:paraId="66498851"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sz w:val="20"/>
                <w:szCs w:val="20"/>
                <w:lang w:eastAsia="en-AU"/>
              </w:rPr>
            </w:pPr>
            <w:r w:rsidRPr="00386CF3">
              <w:rPr>
                <w:rFonts w:eastAsia="Times New Roman" w:cs="Arial"/>
                <w:b/>
                <w:bCs/>
                <w:color w:val="FFFFFF"/>
                <w:sz w:val="20"/>
                <w:szCs w:val="20"/>
                <w:lang w:eastAsia="en-AU"/>
              </w:rPr>
              <w:t>2031-32</w:t>
            </w:r>
          </w:p>
        </w:tc>
        <w:tc>
          <w:tcPr>
            <w:tcW w:w="634" w:type="pct"/>
            <w:tcBorders>
              <w:left w:val="single" w:sz="4" w:space="0" w:color="auto"/>
            </w:tcBorders>
            <w:shd w:val="clear" w:color="auto" w:fill="6B2976"/>
            <w:noWrap/>
            <w:hideMark/>
          </w:tcPr>
          <w:p w14:paraId="2DFF6BDC" w14:textId="77777777" w:rsidR="007F6120" w:rsidRPr="00386CF3" w:rsidRDefault="007F6120" w:rsidP="00F830E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sz w:val="20"/>
                <w:szCs w:val="20"/>
                <w:lang w:eastAsia="en-AU"/>
              </w:rPr>
            </w:pPr>
            <w:r w:rsidRPr="00386CF3">
              <w:rPr>
                <w:rFonts w:eastAsia="Times New Roman" w:cs="Arial"/>
                <w:b/>
                <w:bCs/>
                <w:color w:val="FFFFFF"/>
                <w:sz w:val="20"/>
                <w:szCs w:val="20"/>
                <w:lang w:eastAsia="en-AU"/>
              </w:rPr>
              <w:t>2022-26</w:t>
            </w:r>
          </w:p>
        </w:tc>
      </w:tr>
      <w:tr w:rsidR="005D4D9E" w:rsidRPr="00386CF3" w14:paraId="7AB3DA9A" w14:textId="77777777" w:rsidTr="00711C14">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0" w:type="pct"/>
            <w:noWrap/>
            <w:hideMark/>
          </w:tcPr>
          <w:p w14:paraId="4B0EA9A4" w14:textId="77777777" w:rsidR="007F6120" w:rsidRPr="00386CF3" w:rsidRDefault="007F6120" w:rsidP="00711C14">
            <w:pPr>
              <w:spacing w:after="0" w:line="240" w:lineRule="auto"/>
              <w:rPr>
                <w:rFonts w:eastAsia="Times New Roman" w:cs="Arial"/>
                <w:b/>
                <w:bCs/>
                <w:i/>
                <w:iCs/>
                <w:color w:val="000000"/>
                <w:sz w:val="20"/>
                <w:szCs w:val="20"/>
                <w:lang w:eastAsia="en-AU"/>
              </w:rPr>
            </w:pPr>
            <w:r w:rsidRPr="00386CF3">
              <w:rPr>
                <w:rFonts w:eastAsia="Times New Roman" w:cs="Arial"/>
                <w:b/>
                <w:bCs/>
                <w:i/>
                <w:iCs/>
                <w:color w:val="000000"/>
                <w:sz w:val="20"/>
                <w:szCs w:val="20"/>
                <w:lang w:eastAsia="en-AU"/>
              </w:rPr>
              <w:t>Existing participants</w:t>
            </w:r>
          </w:p>
        </w:tc>
        <w:tc>
          <w:tcPr>
            <w:tcW w:w="526" w:type="pct"/>
            <w:noWrap/>
            <w:hideMark/>
          </w:tcPr>
          <w:p w14:paraId="0C8EE7C6"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 </w:t>
            </w:r>
          </w:p>
        </w:tc>
        <w:tc>
          <w:tcPr>
            <w:tcW w:w="558" w:type="pct"/>
            <w:noWrap/>
            <w:hideMark/>
          </w:tcPr>
          <w:p w14:paraId="615E5FAF"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 </w:t>
            </w:r>
          </w:p>
        </w:tc>
        <w:tc>
          <w:tcPr>
            <w:tcW w:w="558" w:type="pct"/>
            <w:noWrap/>
            <w:hideMark/>
          </w:tcPr>
          <w:p w14:paraId="7C89A4B9"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 </w:t>
            </w:r>
          </w:p>
        </w:tc>
        <w:tc>
          <w:tcPr>
            <w:tcW w:w="558" w:type="pct"/>
            <w:tcBorders>
              <w:right w:val="dotted" w:sz="4" w:space="0" w:color="auto"/>
            </w:tcBorders>
            <w:noWrap/>
            <w:hideMark/>
          </w:tcPr>
          <w:p w14:paraId="4781397A"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 </w:t>
            </w:r>
          </w:p>
        </w:tc>
        <w:tc>
          <w:tcPr>
            <w:tcW w:w="657" w:type="pct"/>
            <w:tcBorders>
              <w:top w:val="nil"/>
              <w:left w:val="dotted" w:sz="4" w:space="0" w:color="auto"/>
              <w:bottom w:val="nil"/>
              <w:right w:val="single" w:sz="4" w:space="0" w:color="auto"/>
            </w:tcBorders>
            <w:noWrap/>
            <w:hideMark/>
          </w:tcPr>
          <w:p w14:paraId="4386E94B"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 </w:t>
            </w:r>
          </w:p>
        </w:tc>
        <w:tc>
          <w:tcPr>
            <w:tcW w:w="634" w:type="pct"/>
            <w:tcBorders>
              <w:left w:val="single" w:sz="4" w:space="0" w:color="auto"/>
            </w:tcBorders>
            <w:noWrap/>
            <w:hideMark/>
          </w:tcPr>
          <w:p w14:paraId="29B0B245"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 </w:t>
            </w:r>
          </w:p>
        </w:tc>
      </w:tr>
      <w:tr w:rsidR="005D4D9E" w:rsidRPr="00386CF3" w14:paraId="12CBD38B" w14:textId="77777777" w:rsidTr="00711C14">
        <w:trPr>
          <w:trHeight w:val="288"/>
        </w:trPr>
        <w:tc>
          <w:tcPr>
            <w:cnfStyle w:val="001000000000" w:firstRow="0" w:lastRow="0" w:firstColumn="1" w:lastColumn="0" w:oddVBand="0" w:evenVBand="0" w:oddHBand="0" w:evenHBand="0" w:firstRowFirstColumn="0" w:firstRowLastColumn="0" w:lastRowFirstColumn="0" w:lastRowLastColumn="0"/>
            <w:tcW w:w="1510" w:type="pct"/>
            <w:noWrap/>
            <w:hideMark/>
          </w:tcPr>
          <w:p w14:paraId="60D64878" w14:textId="77777777" w:rsidR="007F6120" w:rsidRPr="00386CF3" w:rsidRDefault="007F6120" w:rsidP="00711C14">
            <w:pPr>
              <w:spacing w:after="0" w:line="240" w:lineRule="auto"/>
              <w:rPr>
                <w:rFonts w:eastAsia="Times New Roman" w:cs="Arial"/>
                <w:color w:val="000000"/>
                <w:sz w:val="20"/>
                <w:szCs w:val="20"/>
                <w:lang w:eastAsia="en-AU"/>
              </w:rPr>
            </w:pPr>
            <w:r w:rsidRPr="00386CF3">
              <w:rPr>
                <w:rFonts w:eastAsia="Times New Roman" w:cs="Arial"/>
                <w:color w:val="000000"/>
                <w:sz w:val="20"/>
                <w:szCs w:val="20"/>
                <w:lang w:eastAsia="en-AU"/>
              </w:rPr>
              <w:t>Scheme Expenses ($m)</w:t>
            </w:r>
          </w:p>
        </w:tc>
        <w:tc>
          <w:tcPr>
            <w:tcW w:w="526" w:type="pct"/>
            <w:noWrap/>
            <w:hideMark/>
          </w:tcPr>
          <w:p w14:paraId="17A70D9F"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32,994</w:t>
            </w:r>
          </w:p>
        </w:tc>
        <w:tc>
          <w:tcPr>
            <w:tcW w:w="558" w:type="pct"/>
            <w:noWrap/>
            <w:hideMark/>
          </w:tcPr>
          <w:p w14:paraId="7EC2410F"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34,789</w:t>
            </w:r>
          </w:p>
        </w:tc>
        <w:tc>
          <w:tcPr>
            <w:tcW w:w="558" w:type="pct"/>
            <w:noWrap/>
            <w:hideMark/>
          </w:tcPr>
          <w:p w14:paraId="7D46D468"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37,826</w:t>
            </w:r>
          </w:p>
        </w:tc>
        <w:tc>
          <w:tcPr>
            <w:tcW w:w="558" w:type="pct"/>
            <w:tcBorders>
              <w:right w:val="dotted" w:sz="4" w:space="0" w:color="auto"/>
            </w:tcBorders>
            <w:noWrap/>
            <w:hideMark/>
          </w:tcPr>
          <w:p w14:paraId="214F92A5"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40,867</w:t>
            </w:r>
          </w:p>
        </w:tc>
        <w:tc>
          <w:tcPr>
            <w:tcW w:w="657" w:type="pct"/>
            <w:tcBorders>
              <w:top w:val="nil"/>
              <w:left w:val="dotted" w:sz="4" w:space="0" w:color="auto"/>
              <w:bottom w:val="nil"/>
              <w:right w:val="single" w:sz="4" w:space="0" w:color="auto"/>
            </w:tcBorders>
            <w:noWrap/>
            <w:hideMark/>
          </w:tcPr>
          <w:p w14:paraId="04B976F9"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55,180</w:t>
            </w:r>
          </w:p>
        </w:tc>
        <w:tc>
          <w:tcPr>
            <w:tcW w:w="634" w:type="pct"/>
            <w:tcBorders>
              <w:left w:val="single" w:sz="4" w:space="0" w:color="auto"/>
            </w:tcBorders>
            <w:noWrap/>
            <w:hideMark/>
          </w:tcPr>
          <w:p w14:paraId="5A15D651"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146,476</w:t>
            </w:r>
          </w:p>
        </w:tc>
      </w:tr>
      <w:tr w:rsidR="005D4D9E" w:rsidRPr="00386CF3" w14:paraId="5263C0B0" w14:textId="77777777" w:rsidTr="00711C14">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0" w:type="pct"/>
            <w:noWrap/>
            <w:hideMark/>
          </w:tcPr>
          <w:p w14:paraId="307F477A" w14:textId="77777777" w:rsidR="007F6120" w:rsidRPr="00386CF3" w:rsidRDefault="007F6120" w:rsidP="00711C14">
            <w:pPr>
              <w:spacing w:after="0" w:line="240" w:lineRule="auto"/>
              <w:rPr>
                <w:rFonts w:eastAsia="Times New Roman" w:cs="Arial"/>
                <w:color w:val="000000"/>
                <w:sz w:val="20"/>
                <w:szCs w:val="20"/>
                <w:lang w:eastAsia="en-AU"/>
              </w:rPr>
            </w:pPr>
            <w:r w:rsidRPr="00386CF3">
              <w:rPr>
                <w:rFonts w:eastAsia="Times New Roman" w:cs="Arial"/>
                <w:color w:val="000000"/>
                <w:sz w:val="20"/>
                <w:szCs w:val="20"/>
                <w:lang w:eastAsia="en-AU"/>
              </w:rPr>
              <w:t>Variance to baseline ($m)</w:t>
            </w:r>
          </w:p>
        </w:tc>
        <w:tc>
          <w:tcPr>
            <w:tcW w:w="526" w:type="pct"/>
            <w:noWrap/>
            <w:hideMark/>
          </w:tcPr>
          <w:p w14:paraId="1DE5CDD7"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27</w:t>
            </w:r>
          </w:p>
        </w:tc>
        <w:tc>
          <w:tcPr>
            <w:tcW w:w="558" w:type="pct"/>
            <w:noWrap/>
            <w:hideMark/>
          </w:tcPr>
          <w:p w14:paraId="141685A1"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88</w:t>
            </w:r>
          </w:p>
        </w:tc>
        <w:tc>
          <w:tcPr>
            <w:tcW w:w="558" w:type="pct"/>
            <w:noWrap/>
            <w:hideMark/>
          </w:tcPr>
          <w:p w14:paraId="3F1120C5"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164</w:t>
            </w:r>
          </w:p>
        </w:tc>
        <w:tc>
          <w:tcPr>
            <w:tcW w:w="558" w:type="pct"/>
            <w:tcBorders>
              <w:right w:val="dotted" w:sz="4" w:space="0" w:color="auto"/>
            </w:tcBorders>
            <w:noWrap/>
            <w:hideMark/>
          </w:tcPr>
          <w:p w14:paraId="0F22F0A6"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246</w:t>
            </w:r>
          </w:p>
        </w:tc>
        <w:tc>
          <w:tcPr>
            <w:tcW w:w="657" w:type="pct"/>
            <w:tcBorders>
              <w:top w:val="nil"/>
              <w:left w:val="dotted" w:sz="4" w:space="0" w:color="auto"/>
              <w:bottom w:val="nil"/>
              <w:right w:val="single" w:sz="4" w:space="0" w:color="auto"/>
            </w:tcBorders>
            <w:noWrap/>
            <w:hideMark/>
          </w:tcPr>
          <w:p w14:paraId="4A76C3EE"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810</w:t>
            </w:r>
          </w:p>
        </w:tc>
        <w:tc>
          <w:tcPr>
            <w:tcW w:w="634" w:type="pct"/>
            <w:tcBorders>
              <w:left w:val="single" w:sz="4" w:space="0" w:color="auto"/>
            </w:tcBorders>
            <w:noWrap/>
            <w:hideMark/>
          </w:tcPr>
          <w:p w14:paraId="49476112"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526</w:t>
            </w:r>
          </w:p>
        </w:tc>
      </w:tr>
      <w:tr w:rsidR="005D4D9E" w:rsidRPr="00386CF3" w14:paraId="19E9DC20" w14:textId="77777777" w:rsidTr="00711C14">
        <w:trPr>
          <w:trHeight w:val="288"/>
        </w:trPr>
        <w:tc>
          <w:tcPr>
            <w:cnfStyle w:val="001000000000" w:firstRow="0" w:lastRow="0" w:firstColumn="1" w:lastColumn="0" w:oddVBand="0" w:evenVBand="0" w:oddHBand="0" w:evenHBand="0" w:firstRowFirstColumn="0" w:firstRowLastColumn="0" w:lastRowFirstColumn="0" w:lastRowLastColumn="0"/>
            <w:tcW w:w="1510" w:type="pct"/>
            <w:noWrap/>
            <w:hideMark/>
          </w:tcPr>
          <w:p w14:paraId="57E3EEE9" w14:textId="77777777" w:rsidR="007F6120" w:rsidRPr="00386CF3" w:rsidRDefault="007F6120" w:rsidP="00711C14">
            <w:pPr>
              <w:spacing w:after="0" w:line="240" w:lineRule="auto"/>
              <w:rPr>
                <w:rFonts w:eastAsia="Times New Roman" w:cs="Arial"/>
                <w:color w:val="000000"/>
                <w:sz w:val="20"/>
                <w:szCs w:val="20"/>
                <w:lang w:eastAsia="en-AU"/>
              </w:rPr>
            </w:pPr>
            <w:r w:rsidRPr="00386CF3">
              <w:rPr>
                <w:rFonts w:eastAsia="Times New Roman" w:cs="Arial"/>
                <w:color w:val="000000"/>
                <w:sz w:val="20"/>
                <w:szCs w:val="20"/>
                <w:lang w:eastAsia="en-AU"/>
              </w:rPr>
              <w:t>% variance to baseline</w:t>
            </w:r>
          </w:p>
        </w:tc>
        <w:tc>
          <w:tcPr>
            <w:tcW w:w="526" w:type="pct"/>
            <w:noWrap/>
            <w:hideMark/>
          </w:tcPr>
          <w:p w14:paraId="5E514BB7"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0.1%</w:t>
            </w:r>
          </w:p>
        </w:tc>
        <w:tc>
          <w:tcPr>
            <w:tcW w:w="558" w:type="pct"/>
            <w:noWrap/>
            <w:hideMark/>
          </w:tcPr>
          <w:p w14:paraId="6FD29AF9"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0.3%</w:t>
            </w:r>
          </w:p>
        </w:tc>
        <w:tc>
          <w:tcPr>
            <w:tcW w:w="558" w:type="pct"/>
            <w:noWrap/>
            <w:hideMark/>
          </w:tcPr>
          <w:p w14:paraId="7D902715"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0.4%</w:t>
            </w:r>
          </w:p>
        </w:tc>
        <w:tc>
          <w:tcPr>
            <w:tcW w:w="558" w:type="pct"/>
            <w:tcBorders>
              <w:right w:val="dotted" w:sz="4" w:space="0" w:color="auto"/>
            </w:tcBorders>
            <w:noWrap/>
            <w:hideMark/>
          </w:tcPr>
          <w:p w14:paraId="1E384EBC"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0.6%</w:t>
            </w:r>
          </w:p>
        </w:tc>
        <w:tc>
          <w:tcPr>
            <w:tcW w:w="657" w:type="pct"/>
            <w:tcBorders>
              <w:top w:val="nil"/>
              <w:left w:val="dotted" w:sz="4" w:space="0" w:color="auto"/>
              <w:bottom w:val="nil"/>
              <w:right w:val="single" w:sz="4" w:space="0" w:color="auto"/>
            </w:tcBorders>
            <w:noWrap/>
            <w:hideMark/>
          </w:tcPr>
          <w:p w14:paraId="713150BE"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1.5%</w:t>
            </w:r>
          </w:p>
        </w:tc>
        <w:tc>
          <w:tcPr>
            <w:tcW w:w="634" w:type="pct"/>
            <w:tcBorders>
              <w:left w:val="single" w:sz="4" w:space="0" w:color="auto"/>
            </w:tcBorders>
            <w:noWrap/>
            <w:hideMark/>
          </w:tcPr>
          <w:p w14:paraId="0BF3900C"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0.4%</w:t>
            </w:r>
          </w:p>
        </w:tc>
      </w:tr>
      <w:tr w:rsidR="005D4D9E" w:rsidRPr="00386CF3" w14:paraId="4BA8910E" w14:textId="77777777" w:rsidTr="00711C14">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0" w:type="pct"/>
            <w:noWrap/>
            <w:hideMark/>
          </w:tcPr>
          <w:p w14:paraId="3BAE8135" w14:textId="77777777" w:rsidR="007F6120" w:rsidRPr="00386CF3" w:rsidRDefault="007F6120" w:rsidP="00711C14">
            <w:pPr>
              <w:spacing w:after="0" w:line="240" w:lineRule="auto"/>
              <w:rPr>
                <w:rFonts w:eastAsia="Times New Roman" w:cs="Arial"/>
                <w:b/>
                <w:bCs/>
                <w:i/>
                <w:iCs/>
                <w:color w:val="000000"/>
                <w:sz w:val="20"/>
                <w:szCs w:val="20"/>
                <w:lang w:eastAsia="en-AU"/>
              </w:rPr>
            </w:pPr>
            <w:r w:rsidRPr="00386CF3">
              <w:rPr>
                <w:rFonts w:eastAsia="Times New Roman" w:cs="Arial"/>
                <w:b/>
                <w:bCs/>
                <w:i/>
                <w:iCs/>
                <w:color w:val="000000"/>
                <w:sz w:val="20"/>
                <w:szCs w:val="20"/>
                <w:lang w:eastAsia="en-AU"/>
              </w:rPr>
              <w:t>New participants</w:t>
            </w:r>
          </w:p>
        </w:tc>
        <w:tc>
          <w:tcPr>
            <w:tcW w:w="526" w:type="pct"/>
            <w:noWrap/>
            <w:hideMark/>
          </w:tcPr>
          <w:p w14:paraId="309F8FF8"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 </w:t>
            </w:r>
          </w:p>
        </w:tc>
        <w:tc>
          <w:tcPr>
            <w:tcW w:w="558" w:type="pct"/>
            <w:noWrap/>
            <w:hideMark/>
          </w:tcPr>
          <w:p w14:paraId="7462DC08"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 </w:t>
            </w:r>
          </w:p>
        </w:tc>
        <w:tc>
          <w:tcPr>
            <w:tcW w:w="558" w:type="pct"/>
            <w:noWrap/>
            <w:hideMark/>
          </w:tcPr>
          <w:p w14:paraId="0FA00EED"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 </w:t>
            </w:r>
          </w:p>
        </w:tc>
        <w:tc>
          <w:tcPr>
            <w:tcW w:w="558" w:type="pct"/>
            <w:tcBorders>
              <w:right w:val="dotted" w:sz="4" w:space="0" w:color="auto"/>
            </w:tcBorders>
            <w:noWrap/>
            <w:hideMark/>
          </w:tcPr>
          <w:p w14:paraId="0A6962DB"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 </w:t>
            </w:r>
          </w:p>
        </w:tc>
        <w:tc>
          <w:tcPr>
            <w:tcW w:w="657" w:type="pct"/>
            <w:tcBorders>
              <w:top w:val="nil"/>
              <w:left w:val="dotted" w:sz="4" w:space="0" w:color="auto"/>
              <w:bottom w:val="nil"/>
              <w:right w:val="single" w:sz="4" w:space="0" w:color="auto"/>
            </w:tcBorders>
            <w:noWrap/>
            <w:hideMark/>
          </w:tcPr>
          <w:p w14:paraId="08022D59"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 </w:t>
            </w:r>
          </w:p>
        </w:tc>
        <w:tc>
          <w:tcPr>
            <w:tcW w:w="634" w:type="pct"/>
            <w:tcBorders>
              <w:left w:val="single" w:sz="4" w:space="0" w:color="auto"/>
            </w:tcBorders>
            <w:noWrap/>
            <w:hideMark/>
          </w:tcPr>
          <w:p w14:paraId="5692753D"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 </w:t>
            </w:r>
          </w:p>
        </w:tc>
      </w:tr>
      <w:tr w:rsidR="005D4D9E" w:rsidRPr="00386CF3" w14:paraId="449EF8B3" w14:textId="77777777" w:rsidTr="00711C14">
        <w:trPr>
          <w:trHeight w:val="288"/>
        </w:trPr>
        <w:tc>
          <w:tcPr>
            <w:cnfStyle w:val="001000000000" w:firstRow="0" w:lastRow="0" w:firstColumn="1" w:lastColumn="0" w:oddVBand="0" w:evenVBand="0" w:oddHBand="0" w:evenHBand="0" w:firstRowFirstColumn="0" w:firstRowLastColumn="0" w:lastRowFirstColumn="0" w:lastRowLastColumn="0"/>
            <w:tcW w:w="1510" w:type="pct"/>
            <w:noWrap/>
            <w:hideMark/>
          </w:tcPr>
          <w:p w14:paraId="1CD1B582" w14:textId="77777777" w:rsidR="007F6120" w:rsidRPr="00386CF3" w:rsidRDefault="007F6120" w:rsidP="00711C14">
            <w:pPr>
              <w:spacing w:after="0" w:line="240" w:lineRule="auto"/>
              <w:rPr>
                <w:rFonts w:eastAsia="Times New Roman" w:cs="Arial"/>
                <w:color w:val="000000"/>
                <w:sz w:val="20"/>
                <w:szCs w:val="20"/>
                <w:lang w:eastAsia="en-AU"/>
              </w:rPr>
            </w:pPr>
            <w:r w:rsidRPr="00386CF3">
              <w:rPr>
                <w:rFonts w:eastAsia="Times New Roman" w:cs="Arial"/>
                <w:color w:val="000000"/>
                <w:sz w:val="20"/>
                <w:szCs w:val="20"/>
                <w:lang w:eastAsia="en-AU"/>
              </w:rPr>
              <w:t>Scheme Expenses ($m)</w:t>
            </w:r>
          </w:p>
        </w:tc>
        <w:tc>
          <w:tcPr>
            <w:tcW w:w="526" w:type="pct"/>
            <w:noWrap/>
            <w:hideMark/>
          </w:tcPr>
          <w:p w14:paraId="342CF386"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1,009</w:t>
            </w:r>
          </w:p>
        </w:tc>
        <w:tc>
          <w:tcPr>
            <w:tcW w:w="558" w:type="pct"/>
            <w:noWrap/>
            <w:hideMark/>
          </w:tcPr>
          <w:p w14:paraId="3B873778"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3,433</w:t>
            </w:r>
          </w:p>
        </w:tc>
        <w:tc>
          <w:tcPr>
            <w:tcW w:w="558" w:type="pct"/>
            <w:noWrap/>
            <w:hideMark/>
          </w:tcPr>
          <w:p w14:paraId="4D67BDA0"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6,463</w:t>
            </w:r>
          </w:p>
        </w:tc>
        <w:tc>
          <w:tcPr>
            <w:tcW w:w="558" w:type="pct"/>
            <w:tcBorders>
              <w:right w:val="dotted" w:sz="4" w:space="0" w:color="auto"/>
            </w:tcBorders>
            <w:noWrap/>
            <w:hideMark/>
          </w:tcPr>
          <w:p w14:paraId="1FE28476"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9,754</w:t>
            </w:r>
          </w:p>
        </w:tc>
        <w:tc>
          <w:tcPr>
            <w:tcW w:w="657" w:type="pct"/>
            <w:tcBorders>
              <w:top w:val="nil"/>
              <w:left w:val="dotted" w:sz="4" w:space="0" w:color="auto"/>
              <w:bottom w:val="nil"/>
              <w:right w:val="single" w:sz="4" w:space="0" w:color="auto"/>
            </w:tcBorders>
            <w:noWrap/>
            <w:hideMark/>
          </w:tcPr>
          <w:p w14:paraId="50005478"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35,511</w:t>
            </w:r>
          </w:p>
        </w:tc>
        <w:tc>
          <w:tcPr>
            <w:tcW w:w="634" w:type="pct"/>
            <w:tcBorders>
              <w:left w:val="single" w:sz="4" w:space="0" w:color="auto"/>
            </w:tcBorders>
            <w:noWrap/>
            <w:hideMark/>
          </w:tcPr>
          <w:p w14:paraId="37B562E0"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20,659</w:t>
            </w:r>
          </w:p>
        </w:tc>
      </w:tr>
      <w:tr w:rsidR="005D4D9E" w:rsidRPr="00386CF3" w14:paraId="56FE4B84" w14:textId="77777777" w:rsidTr="00711C14">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0" w:type="pct"/>
            <w:noWrap/>
            <w:hideMark/>
          </w:tcPr>
          <w:p w14:paraId="21B7D640" w14:textId="77777777" w:rsidR="007F6120" w:rsidRPr="00386CF3" w:rsidRDefault="007F6120" w:rsidP="00711C14">
            <w:pPr>
              <w:spacing w:after="0" w:line="240" w:lineRule="auto"/>
              <w:rPr>
                <w:rFonts w:eastAsia="Times New Roman" w:cs="Arial"/>
                <w:color w:val="000000"/>
                <w:sz w:val="20"/>
                <w:szCs w:val="20"/>
                <w:lang w:eastAsia="en-AU"/>
              </w:rPr>
            </w:pPr>
            <w:r w:rsidRPr="00386CF3">
              <w:rPr>
                <w:rFonts w:eastAsia="Times New Roman" w:cs="Arial"/>
                <w:color w:val="000000"/>
                <w:sz w:val="20"/>
                <w:szCs w:val="20"/>
                <w:lang w:eastAsia="en-AU"/>
              </w:rPr>
              <w:t>Variance to baseline ($m)</w:t>
            </w:r>
          </w:p>
        </w:tc>
        <w:tc>
          <w:tcPr>
            <w:tcW w:w="526" w:type="pct"/>
            <w:noWrap/>
            <w:hideMark/>
          </w:tcPr>
          <w:p w14:paraId="24A32C52"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w:t>
            </w:r>
          </w:p>
        </w:tc>
        <w:tc>
          <w:tcPr>
            <w:tcW w:w="558" w:type="pct"/>
            <w:noWrap/>
            <w:hideMark/>
          </w:tcPr>
          <w:p w14:paraId="22E7FBD1"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1</w:t>
            </w:r>
          </w:p>
        </w:tc>
        <w:tc>
          <w:tcPr>
            <w:tcW w:w="558" w:type="pct"/>
            <w:noWrap/>
            <w:hideMark/>
          </w:tcPr>
          <w:p w14:paraId="38B432FB"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9</w:t>
            </w:r>
          </w:p>
        </w:tc>
        <w:tc>
          <w:tcPr>
            <w:tcW w:w="558" w:type="pct"/>
            <w:tcBorders>
              <w:right w:val="dotted" w:sz="4" w:space="0" w:color="auto"/>
            </w:tcBorders>
            <w:noWrap/>
            <w:hideMark/>
          </w:tcPr>
          <w:p w14:paraId="7414878B"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31</w:t>
            </w:r>
          </w:p>
        </w:tc>
        <w:tc>
          <w:tcPr>
            <w:tcW w:w="657" w:type="pct"/>
            <w:tcBorders>
              <w:top w:val="nil"/>
              <w:left w:val="dotted" w:sz="4" w:space="0" w:color="auto"/>
              <w:bottom w:val="nil"/>
              <w:right w:val="single" w:sz="4" w:space="0" w:color="auto"/>
            </w:tcBorders>
            <w:noWrap/>
            <w:hideMark/>
          </w:tcPr>
          <w:p w14:paraId="52A0E0D2"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478</w:t>
            </w:r>
          </w:p>
        </w:tc>
        <w:tc>
          <w:tcPr>
            <w:tcW w:w="634" w:type="pct"/>
            <w:tcBorders>
              <w:left w:val="single" w:sz="4" w:space="0" w:color="auto"/>
            </w:tcBorders>
            <w:noWrap/>
            <w:hideMark/>
          </w:tcPr>
          <w:p w14:paraId="00DDC5EA"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40</w:t>
            </w:r>
          </w:p>
        </w:tc>
      </w:tr>
      <w:tr w:rsidR="005D4D9E" w:rsidRPr="00386CF3" w14:paraId="160B48BB" w14:textId="77777777" w:rsidTr="00711C14">
        <w:trPr>
          <w:trHeight w:val="288"/>
        </w:trPr>
        <w:tc>
          <w:tcPr>
            <w:cnfStyle w:val="001000000000" w:firstRow="0" w:lastRow="0" w:firstColumn="1" w:lastColumn="0" w:oddVBand="0" w:evenVBand="0" w:oddHBand="0" w:evenHBand="0" w:firstRowFirstColumn="0" w:firstRowLastColumn="0" w:lastRowFirstColumn="0" w:lastRowLastColumn="0"/>
            <w:tcW w:w="1510" w:type="pct"/>
            <w:noWrap/>
            <w:hideMark/>
          </w:tcPr>
          <w:p w14:paraId="74A3F8EB" w14:textId="77777777" w:rsidR="007F6120" w:rsidRPr="00386CF3" w:rsidRDefault="007F6120" w:rsidP="00711C14">
            <w:pPr>
              <w:spacing w:after="0" w:line="240" w:lineRule="auto"/>
              <w:rPr>
                <w:rFonts w:eastAsia="Times New Roman" w:cs="Arial"/>
                <w:color w:val="000000"/>
                <w:sz w:val="20"/>
                <w:szCs w:val="20"/>
                <w:lang w:eastAsia="en-AU"/>
              </w:rPr>
            </w:pPr>
            <w:r w:rsidRPr="00386CF3">
              <w:rPr>
                <w:rFonts w:eastAsia="Times New Roman" w:cs="Arial"/>
                <w:color w:val="000000"/>
                <w:sz w:val="20"/>
                <w:szCs w:val="20"/>
                <w:lang w:eastAsia="en-AU"/>
              </w:rPr>
              <w:t>% variance to baseline</w:t>
            </w:r>
          </w:p>
        </w:tc>
        <w:tc>
          <w:tcPr>
            <w:tcW w:w="526" w:type="pct"/>
            <w:noWrap/>
            <w:hideMark/>
          </w:tcPr>
          <w:p w14:paraId="51913F3D"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0.0%</w:t>
            </w:r>
          </w:p>
        </w:tc>
        <w:tc>
          <w:tcPr>
            <w:tcW w:w="558" w:type="pct"/>
            <w:noWrap/>
            <w:hideMark/>
          </w:tcPr>
          <w:p w14:paraId="4C33E857"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0.0%</w:t>
            </w:r>
          </w:p>
        </w:tc>
        <w:tc>
          <w:tcPr>
            <w:tcW w:w="558" w:type="pct"/>
            <w:noWrap/>
            <w:hideMark/>
          </w:tcPr>
          <w:p w14:paraId="7E6541FF"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0.1%</w:t>
            </w:r>
          </w:p>
        </w:tc>
        <w:tc>
          <w:tcPr>
            <w:tcW w:w="558" w:type="pct"/>
            <w:tcBorders>
              <w:right w:val="dotted" w:sz="4" w:space="0" w:color="auto"/>
            </w:tcBorders>
            <w:noWrap/>
            <w:hideMark/>
          </w:tcPr>
          <w:p w14:paraId="0DA1BF2A"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0.3%</w:t>
            </w:r>
          </w:p>
        </w:tc>
        <w:tc>
          <w:tcPr>
            <w:tcW w:w="657" w:type="pct"/>
            <w:tcBorders>
              <w:top w:val="nil"/>
              <w:left w:val="dotted" w:sz="4" w:space="0" w:color="auto"/>
              <w:bottom w:val="nil"/>
              <w:right w:val="single" w:sz="4" w:space="0" w:color="auto"/>
            </w:tcBorders>
            <w:noWrap/>
            <w:hideMark/>
          </w:tcPr>
          <w:p w14:paraId="112F548D"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1.4%</w:t>
            </w:r>
          </w:p>
        </w:tc>
        <w:tc>
          <w:tcPr>
            <w:tcW w:w="634" w:type="pct"/>
            <w:tcBorders>
              <w:left w:val="single" w:sz="4" w:space="0" w:color="auto"/>
            </w:tcBorders>
            <w:noWrap/>
            <w:hideMark/>
          </w:tcPr>
          <w:p w14:paraId="5FCB51BA"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0.2%</w:t>
            </w:r>
          </w:p>
        </w:tc>
      </w:tr>
      <w:tr w:rsidR="005D4D9E" w:rsidRPr="00386CF3" w14:paraId="5E76F411" w14:textId="77777777" w:rsidTr="00711C14">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0" w:type="pct"/>
            <w:noWrap/>
            <w:hideMark/>
          </w:tcPr>
          <w:p w14:paraId="49F1E096" w14:textId="77777777" w:rsidR="007F6120" w:rsidRPr="00386CF3" w:rsidRDefault="007F6120" w:rsidP="00711C14">
            <w:pPr>
              <w:spacing w:after="0" w:line="240" w:lineRule="auto"/>
              <w:rPr>
                <w:rFonts w:eastAsia="Times New Roman" w:cs="Arial"/>
                <w:b/>
                <w:bCs/>
                <w:i/>
                <w:iCs/>
                <w:color w:val="000000"/>
                <w:sz w:val="20"/>
                <w:szCs w:val="20"/>
                <w:lang w:eastAsia="en-AU"/>
              </w:rPr>
            </w:pPr>
            <w:r w:rsidRPr="00386CF3">
              <w:rPr>
                <w:rFonts w:eastAsia="Times New Roman" w:cs="Arial"/>
                <w:b/>
                <w:bCs/>
                <w:i/>
                <w:iCs/>
                <w:color w:val="000000"/>
                <w:sz w:val="20"/>
                <w:szCs w:val="20"/>
                <w:lang w:eastAsia="en-AU"/>
              </w:rPr>
              <w:t>All projected participants</w:t>
            </w:r>
          </w:p>
        </w:tc>
        <w:tc>
          <w:tcPr>
            <w:tcW w:w="526" w:type="pct"/>
            <w:noWrap/>
            <w:hideMark/>
          </w:tcPr>
          <w:p w14:paraId="5F41AC3D"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 </w:t>
            </w:r>
          </w:p>
        </w:tc>
        <w:tc>
          <w:tcPr>
            <w:tcW w:w="558" w:type="pct"/>
            <w:noWrap/>
            <w:hideMark/>
          </w:tcPr>
          <w:p w14:paraId="75798084"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 </w:t>
            </w:r>
          </w:p>
        </w:tc>
        <w:tc>
          <w:tcPr>
            <w:tcW w:w="558" w:type="pct"/>
            <w:noWrap/>
            <w:hideMark/>
          </w:tcPr>
          <w:p w14:paraId="5144386B"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 </w:t>
            </w:r>
          </w:p>
        </w:tc>
        <w:tc>
          <w:tcPr>
            <w:tcW w:w="558" w:type="pct"/>
            <w:tcBorders>
              <w:right w:val="dotted" w:sz="4" w:space="0" w:color="auto"/>
            </w:tcBorders>
            <w:noWrap/>
            <w:hideMark/>
          </w:tcPr>
          <w:p w14:paraId="41355370"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 </w:t>
            </w:r>
          </w:p>
        </w:tc>
        <w:tc>
          <w:tcPr>
            <w:tcW w:w="657" w:type="pct"/>
            <w:tcBorders>
              <w:top w:val="nil"/>
              <w:left w:val="dotted" w:sz="4" w:space="0" w:color="auto"/>
              <w:bottom w:val="nil"/>
              <w:right w:val="single" w:sz="4" w:space="0" w:color="auto"/>
            </w:tcBorders>
            <w:noWrap/>
            <w:hideMark/>
          </w:tcPr>
          <w:p w14:paraId="35CEBF1D"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 </w:t>
            </w:r>
          </w:p>
        </w:tc>
        <w:tc>
          <w:tcPr>
            <w:tcW w:w="634" w:type="pct"/>
            <w:tcBorders>
              <w:left w:val="single" w:sz="4" w:space="0" w:color="auto"/>
            </w:tcBorders>
            <w:noWrap/>
            <w:hideMark/>
          </w:tcPr>
          <w:p w14:paraId="578683B1"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 </w:t>
            </w:r>
          </w:p>
        </w:tc>
      </w:tr>
      <w:tr w:rsidR="005D4D9E" w:rsidRPr="00386CF3" w14:paraId="1E9E64D6" w14:textId="77777777" w:rsidTr="00711C14">
        <w:trPr>
          <w:trHeight w:val="288"/>
        </w:trPr>
        <w:tc>
          <w:tcPr>
            <w:cnfStyle w:val="001000000000" w:firstRow="0" w:lastRow="0" w:firstColumn="1" w:lastColumn="0" w:oddVBand="0" w:evenVBand="0" w:oddHBand="0" w:evenHBand="0" w:firstRowFirstColumn="0" w:firstRowLastColumn="0" w:lastRowFirstColumn="0" w:lastRowLastColumn="0"/>
            <w:tcW w:w="1510" w:type="pct"/>
            <w:noWrap/>
            <w:hideMark/>
          </w:tcPr>
          <w:p w14:paraId="147E170E" w14:textId="77777777" w:rsidR="007F6120" w:rsidRPr="00386CF3" w:rsidRDefault="007F6120" w:rsidP="00711C14">
            <w:pPr>
              <w:spacing w:after="0" w:line="240" w:lineRule="auto"/>
              <w:rPr>
                <w:rFonts w:eastAsia="Times New Roman" w:cs="Arial"/>
                <w:color w:val="000000"/>
                <w:sz w:val="20"/>
                <w:szCs w:val="20"/>
                <w:lang w:eastAsia="en-AU"/>
              </w:rPr>
            </w:pPr>
            <w:r w:rsidRPr="00386CF3">
              <w:rPr>
                <w:rFonts w:eastAsia="Times New Roman" w:cs="Arial"/>
                <w:color w:val="000000"/>
                <w:sz w:val="20"/>
                <w:szCs w:val="20"/>
                <w:lang w:eastAsia="en-AU"/>
              </w:rPr>
              <w:t>Scheme Expenses ($m)</w:t>
            </w:r>
          </w:p>
        </w:tc>
        <w:tc>
          <w:tcPr>
            <w:tcW w:w="526" w:type="pct"/>
            <w:noWrap/>
            <w:hideMark/>
          </w:tcPr>
          <w:p w14:paraId="4447369F"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34,003</w:t>
            </w:r>
          </w:p>
        </w:tc>
        <w:tc>
          <w:tcPr>
            <w:tcW w:w="558" w:type="pct"/>
            <w:noWrap/>
            <w:hideMark/>
          </w:tcPr>
          <w:p w14:paraId="7B0756FD"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38,222</w:t>
            </w:r>
          </w:p>
        </w:tc>
        <w:tc>
          <w:tcPr>
            <w:tcW w:w="558" w:type="pct"/>
            <w:noWrap/>
            <w:hideMark/>
          </w:tcPr>
          <w:p w14:paraId="63A110F5"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44,289</w:t>
            </w:r>
          </w:p>
        </w:tc>
        <w:tc>
          <w:tcPr>
            <w:tcW w:w="558" w:type="pct"/>
            <w:tcBorders>
              <w:right w:val="dotted" w:sz="4" w:space="0" w:color="auto"/>
            </w:tcBorders>
            <w:noWrap/>
            <w:hideMark/>
          </w:tcPr>
          <w:p w14:paraId="35147A52"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50,621</w:t>
            </w:r>
          </w:p>
        </w:tc>
        <w:tc>
          <w:tcPr>
            <w:tcW w:w="657" w:type="pct"/>
            <w:tcBorders>
              <w:top w:val="nil"/>
              <w:left w:val="dotted" w:sz="4" w:space="0" w:color="auto"/>
              <w:bottom w:val="nil"/>
              <w:right w:val="single" w:sz="4" w:space="0" w:color="auto"/>
            </w:tcBorders>
            <w:noWrap/>
            <w:hideMark/>
          </w:tcPr>
          <w:p w14:paraId="6DA5642B"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90,691</w:t>
            </w:r>
          </w:p>
        </w:tc>
        <w:tc>
          <w:tcPr>
            <w:tcW w:w="634" w:type="pct"/>
            <w:tcBorders>
              <w:left w:val="single" w:sz="4" w:space="0" w:color="auto"/>
            </w:tcBorders>
            <w:noWrap/>
            <w:hideMark/>
          </w:tcPr>
          <w:p w14:paraId="7D00B14A"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167,135</w:t>
            </w:r>
          </w:p>
        </w:tc>
      </w:tr>
      <w:tr w:rsidR="005D4D9E" w:rsidRPr="00386CF3" w14:paraId="0870ED3E" w14:textId="77777777" w:rsidTr="00711C14">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10" w:type="pct"/>
            <w:noWrap/>
            <w:hideMark/>
          </w:tcPr>
          <w:p w14:paraId="3D8F3072" w14:textId="77777777" w:rsidR="007F6120" w:rsidRPr="00386CF3" w:rsidRDefault="007F6120" w:rsidP="00711C14">
            <w:pPr>
              <w:spacing w:after="0" w:line="240" w:lineRule="auto"/>
              <w:rPr>
                <w:rFonts w:eastAsia="Times New Roman" w:cs="Arial"/>
                <w:color w:val="000000"/>
                <w:sz w:val="20"/>
                <w:szCs w:val="20"/>
                <w:lang w:eastAsia="en-AU"/>
              </w:rPr>
            </w:pPr>
            <w:r w:rsidRPr="00386CF3">
              <w:rPr>
                <w:rFonts w:eastAsia="Times New Roman" w:cs="Arial"/>
                <w:color w:val="000000"/>
                <w:sz w:val="20"/>
                <w:szCs w:val="20"/>
                <w:lang w:eastAsia="en-AU"/>
              </w:rPr>
              <w:t>Variance to baseline ($m)</w:t>
            </w:r>
          </w:p>
        </w:tc>
        <w:tc>
          <w:tcPr>
            <w:tcW w:w="526" w:type="pct"/>
            <w:noWrap/>
            <w:hideMark/>
          </w:tcPr>
          <w:p w14:paraId="394262ED"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27</w:t>
            </w:r>
          </w:p>
        </w:tc>
        <w:tc>
          <w:tcPr>
            <w:tcW w:w="558" w:type="pct"/>
            <w:noWrap/>
            <w:hideMark/>
          </w:tcPr>
          <w:p w14:paraId="42D9EBF3"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89</w:t>
            </w:r>
          </w:p>
        </w:tc>
        <w:tc>
          <w:tcPr>
            <w:tcW w:w="558" w:type="pct"/>
            <w:noWrap/>
            <w:hideMark/>
          </w:tcPr>
          <w:p w14:paraId="3D3D988D"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173</w:t>
            </w:r>
          </w:p>
        </w:tc>
        <w:tc>
          <w:tcPr>
            <w:tcW w:w="558" w:type="pct"/>
            <w:tcBorders>
              <w:right w:val="dotted" w:sz="4" w:space="0" w:color="auto"/>
            </w:tcBorders>
            <w:noWrap/>
            <w:hideMark/>
          </w:tcPr>
          <w:p w14:paraId="7F1239CD"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277</w:t>
            </w:r>
          </w:p>
        </w:tc>
        <w:tc>
          <w:tcPr>
            <w:tcW w:w="657" w:type="pct"/>
            <w:tcBorders>
              <w:top w:val="nil"/>
              <w:left w:val="dotted" w:sz="4" w:space="0" w:color="auto"/>
              <w:bottom w:val="nil"/>
              <w:right w:val="single" w:sz="4" w:space="0" w:color="auto"/>
            </w:tcBorders>
            <w:noWrap/>
            <w:hideMark/>
          </w:tcPr>
          <w:p w14:paraId="794072D8"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1,288</w:t>
            </w:r>
          </w:p>
        </w:tc>
        <w:tc>
          <w:tcPr>
            <w:tcW w:w="634" w:type="pct"/>
            <w:tcBorders>
              <w:left w:val="single" w:sz="4" w:space="0" w:color="auto"/>
            </w:tcBorders>
            <w:noWrap/>
            <w:hideMark/>
          </w:tcPr>
          <w:p w14:paraId="3882AE99" w14:textId="77777777" w:rsidR="007F6120" w:rsidRPr="00386CF3" w:rsidRDefault="007F6120">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566</w:t>
            </w:r>
          </w:p>
        </w:tc>
      </w:tr>
      <w:tr w:rsidR="005D4D9E" w:rsidRPr="00386CF3" w14:paraId="7B7DA3EB" w14:textId="77777777" w:rsidTr="00711C14">
        <w:trPr>
          <w:trHeight w:val="288"/>
        </w:trPr>
        <w:tc>
          <w:tcPr>
            <w:cnfStyle w:val="001000000000" w:firstRow="0" w:lastRow="0" w:firstColumn="1" w:lastColumn="0" w:oddVBand="0" w:evenVBand="0" w:oddHBand="0" w:evenHBand="0" w:firstRowFirstColumn="0" w:firstRowLastColumn="0" w:lastRowFirstColumn="0" w:lastRowLastColumn="0"/>
            <w:tcW w:w="0" w:type="pct"/>
            <w:noWrap/>
            <w:hideMark/>
          </w:tcPr>
          <w:p w14:paraId="6F4A05D7" w14:textId="77777777" w:rsidR="007F6120" w:rsidRPr="00386CF3" w:rsidRDefault="007F6120" w:rsidP="00711C14">
            <w:pPr>
              <w:spacing w:after="0" w:line="240" w:lineRule="auto"/>
              <w:rPr>
                <w:rFonts w:eastAsia="Times New Roman" w:cs="Arial"/>
                <w:color w:val="000000"/>
                <w:sz w:val="20"/>
                <w:szCs w:val="20"/>
                <w:lang w:eastAsia="en-AU"/>
              </w:rPr>
            </w:pPr>
            <w:r w:rsidRPr="00386CF3">
              <w:rPr>
                <w:rFonts w:eastAsia="Times New Roman" w:cs="Arial"/>
                <w:color w:val="000000"/>
                <w:sz w:val="20"/>
                <w:szCs w:val="20"/>
                <w:lang w:eastAsia="en-AU"/>
              </w:rPr>
              <w:t>% variance to baseline</w:t>
            </w:r>
          </w:p>
        </w:tc>
        <w:tc>
          <w:tcPr>
            <w:tcW w:w="0" w:type="pct"/>
            <w:noWrap/>
            <w:hideMark/>
          </w:tcPr>
          <w:p w14:paraId="05CEEA4B"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0.1%</w:t>
            </w:r>
          </w:p>
        </w:tc>
        <w:tc>
          <w:tcPr>
            <w:tcW w:w="0" w:type="pct"/>
            <w:noWrap/>
            <w:hideMark/>
          </w:tcPr>
          <w:p w14:paraId="6DFEE2FC"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0.2%</w:t>
            </w:r>
          </w:p>
        </w:tc>
        <w:tc>
          <w:tcPr>
            <w:tcW w:w="0" w:type="pct"/>
            <w:noWrap/>
            <w:hideMark/>
          </w:tcPr>
          <w:p w14:paraId="6656D009"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0.4%</w:t>
            </w:r>
          </w:p>
        </w:tc>
        <w:tc>
          <w:tcPr>
            <w:tcW w:w="0" w:type="pct"/>
            <w:tcBorders>
              <w:right w:val="dotted" w:sz="4" w:space="0" w:color="auto"/>
            </w:tcBorders>
            <w:noWrap/>
            <w:hideMark/>
          </w:tcPr>
          <w:p w14:paraId="2B77D817"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0.6%</w:t>
            </w:r>
          </w:p>
        </w:tc>
        <w:tc>
          <w:tcPr>
            <w:tcW w:w="0" w:type="pct"/>
            <w:tcBorders>
              <w:top w:val="nil"/>
              <w:left w:val="dotted" w:sz="4" w:space="0" w:color="auto"/>
              <w:bottom w:val="single" w:sz="4" w:space="0" w:color="auto"/>
              <w:right w:val="single" w:sz="4" w:space="0" w:color="auto"/>
            </w:tcBorders>
            <w:noWrap/>
            <w:hideMark/>
          </w:tcPr>
          <w:p w14:paraId="2FA9B6A2"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1.4%</w:t>
            </w:r>
          </w:p>
        </w:tc>
        <w:tc>
          <w:tcPr>
            <w:tcW w:w="0" w:type="pct"/>
            <w:tcBorders>
              <w:left w:val="single" w:sz="4" w:space="0" w:color="auto"/>
              <w:bottom w:val="single" w:sz="4" w:space="0" w:color="auto"/>
            </w:tcBorders>
            <w:noWrap/>
            <w:hideMark/>
          </w:tcPr>
          <w:p w14:paraId="1CD03B3F" w14:textId="77777777" w:rsidR="007F6120" w:rsidRPr="00386CF3" w:rsidRDefault="007F6120">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386CF3">
              <w:rPr>
                <w:rFonts w:eastAsia="Times New Roman" w:cs="Arial"/>
                <w:color w:val="000000"/>
                <w:sz w:val="20"/>
                <w:szCs w:val="20"/>
                <w:lang w:eastAsia="en-AU"/>
              </w:rPr>
              <w:t>0.3%</w:t>
            </w:r>
          </w:p>
        </w:tc>
      </w:tr>
    </w:tbl>
    <w:p w14:paraId="1E066BE1" w14:textId="77777777" w:rsidR="00BC498F" w:rsidRDefault="00BC498F" w:rsidP="00BC498F">
      <w:pPr>
        <w:pStyle w:val="FSRHeading4"/>
      </w:pPr>
      <w:r>
        <w:t>Scenarios relating to numbers of new entrants to the S</w:t>
      </w:r>
      <w:r w:rsidRPr="00402990">
        <w:t>cheme</w:t>
      </w:r>
    </w:p>
    <w:p w14:paraId="776553CD" w14:textId="77777777" w:rsidR="00BC498F" w:rsidRDefault="00BC498F" w:rsidP="00BC498F">
      <w:pPr>
        <w:pStyle w:val="FSRnormal"/>
      </w:pPr>
      <w:r>
        <w:t xml:space="preserve">The </w:t>
      </w:r>
      <w:r w:rsidRPr="00F340CE">
        <w:t>observed numbers of new participants, whilst slightly lower than the previous review are higher than those</w:t>
      </w:r>
      <w:r w:rsidR="00A252D8">
        <w:t xml:space="preserve"> projected</w:t>
      </w:r>
      <w:r w:rsidRPr="00F340CE">
        <w:t xml:space="preserve"> in earlier reports, including in mature regions which phased into the Scheme several years ago. Whilst the number of new entrants per annum is reducing, it is unclear when they will stabilise and at what level.  </w:t>
      </w:r>
      <w:r>
        <w:t xml:space="preserve">To quantify the inherent uncertainty with assumptions relating to the number of new entrants to the </w:t>
      </w:r>
      <w:r w:rsidR="00AD1D78">
        <w:t>S</w:t>
      </w:r>
      <w:r>
        <w:t xml:space="preserve">cheme, the following scenarios were considered.  </w:t>
      </w:r>
    </w:p>
    <w:p w14:paraId="054CE11A" w14:textId="77777777" w:rsidR="00BC498F" w:rsidRDefault="00BC498F">
      <w:pPr>
        <w:spacing w:after="160" w:line="259" w:lineRule="auto"/>
        <w:rPr>
          <w:b/>
          <w:i/>
          <w:color w:val="F26322"/>
          <w:sz w:val="24"/>
        </w:rPr>
      </w:pPr>
      <w:r>
        <w:br w:type="page"/>
      </w:r>
    </w:p>
    <w:p w14:paraId="71645F36" w14:textId="77777777" w:rsidR="00BC498F" w:rsidRPr="00F71B71" w:rsidRDefault="00BC498F" w:rsidP="00BC498F">
      <w:pPr>
        <w:pStyle w:val="FSRHeading5"/>
      </w:pPr>
      <w:r>
        <w:lastRenderedPageBreak/>
        <w:t>Scenario: Hi</w:t>
      </w:r>
      <w:r w:rsidRPr="00CC3CF6">
        <w:t xml:space="preserve">gher assumptions regarding the number of new </w:t>
      </w:r>
      <w:r>
        <w:t>participants</w:t>
      </w:r>
    </w:p>
    <w:p w14:paraId="32A5805F" w14:textId="77777777" w:rsidR="00BC498F" w:rsidRPr="007C1D42" w:rsidRDefault="00BC498F" w:rsidP="00BC498F">
      <w:pPr>
        <w:pStyle w:val="FSRnormal"/>
      </w:pPr>
      <w:r>
        <w:t xml:space="preserve">The assumption relating to new </w:t>
      </w:r>
      <w:r w:rsidR="0084149B">
        <w:t xml:space="preserve">entrant rates </w:t>
      </w:r>
      <w:r>
        <w:t xml:space="preserve">is </w:t>
      </w:r>
      <w:r w:rsidRPr="00966299">
        <w:t>15% higher than those assumed in the baseline projections</w:t>
      </w:r>
      <w:r w:rsidR="0084149B">
        <w:t>, whilst the projected number of previously unmet need participants remains unchanged from the baseline projections</w:t>
      </w:r>
      <w:r w:rsidRPr="00966299">
        <w:t>. The variation of 15% above and below the baseline assumption represents a 95% confidence interval around the new entrant assumptions adopted in the 2021-22 AFSR. The increase of 15% adds $1.3 billion in 2025-26 and $5.0 billion in 2031-32</w:t>
      </w:r>
      <w:r>
        <w:t xml:space="preserve"> to the total </w:t>
      </w:r>
      <w:r w:rsidR="007E44FA">
        <w:t>S</w:t>
      </w:r>
      <w:r>
        <w:t xml:space="preserve">cheme </w:t>
      </w:r>
      <w:r w:rsidR="007E44FA">
        <w:t>expenses</w:t>
      </w:r>
      <w:r w:rsidRPr="00966299">
        <w:t>.</w:t>
      </w:r>
    </w:p>
    <w:p w14:paraId="123A89C4" w14:textId="77777777" w:rsidR="00C70A4C" w:rsidRPr="00C70A4C" w:rsidRDefault="00C70A4C" w:rsidP="00DA3F73">
      <w:pPr>
        <w:pStyle w:val="Tables"/>
      </w:pPr>
      <w:r w:rsidRPr="00C70A4C">
        <w:t xml:space="preserve">Table </w:t>
      </w:r>
      <w:fldSimple w:instr=" STYLEREF 2 \s ">
        <w:r w:rsidR="00A87896">
          <w:rPr>
            <w:noProof/>
          </w:rPr>
          <w:t>6</w:t>
        </w:r>
      </w:fldSimple>
      <w:r w:rsidR="00A87896">
        <w:t>.</w:t>
      </w:r>
      <w:fldSimple w:instr=" SEQ Table \* ARABIC \s 2 ">
        <w:r w:rsidR="00A87896">
          <w:rPr>
            <w:noProof/>
          </w:rPr>
          <w:t>5</w:t>
        </w:r>
      </w:fldSimple>
      <w:r w:rsidRPr="00C70A4C">
        <w:t>: Scenario results - Higher assumptions regarding the number of new participants</w:t>
      </w:r>
    </w:p>
    <w:tbl>
      <w:tblPr>
        <w:tblStyle w:val="FSRtable"/>
        <w:tblW w:w="4732" w:type="pct"/>
        <w:tblInd w:w="5" w:type="dxa"/>
        <w:tblLook w:val="04A0" w:firstRow="1" w:lastRow="0" w:firstColumn="1" w:lastColumn="0" w:noHBand="0" w:noVBand="1"/>
      </w:tblPr>
      <w:tblGrid>
        <w:gridCol w:w="2617"/>
        <w:gridCol w:w="1133"/>
        <w:gridCol w:w="950"/>
        <w:gridCol w:w="950"/>
        <w:gridCol w:w="950"/>
        <w:gridCol w:w="950"/>
        <w:gridCol w:w="992"/>
      </w:tblGrid>
      <w:tr w:rsidR="00BC498F" w:rsidRPr="00966299" w14:paraId="4C13561E" w14:textId="77777777" w:rsidTr="00F830E6">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0" w:type="pct"/>
            <w:tcBorders>
              <w:bottom w:val="nil"/>
            </w:tcBorders>
            <w:noWrap/>
            <w:hideMark/>
          </w:tcPr>
          <w:p w14:paraId="6AC3E217" w14:textId="77777777" w:rsidR="00BC498F" w:rsidRPr="00966299" w:rsidRDefault="00BC498F" w:rsidP="00BA7353">
            <w:pPr>
              <w:spacing w:after="0" w:line="240" w:lineRule="auto"/>
              <w:rPr>
                <w:rFonts w:eastAsia="Times New Roman"/>
                <w:color w:val="FFFFFF"/>
                <w:sz w:val="20"/>
                <w:szCs w:val="20"/>
                <w:lang w:eastAsia="en-AU"/>
              </w:rPr>
            </w:pPr>
            <w:r w:rsidRPr="00966299">
              <w:rPr>
                <w:rFonts w:eastAsia="Times New Roman"/>
                <w:color w:val="FFFFFF"/>
                <w:sz w:val="20"/>
                <w:szCs w:val="20"/>
                <w:lang w:eastAsia="en-AU"/>
              </w:rPr>
              <w:t> </w:t>
            </w:r>
          </w:p>
        </w:tc>
        <w:tc>
          <w:tcPr>
            <w:tcW w:w="0" w:type="pct"/>
            <w:gridSpan w:val="4"/>
            <w:tcBorders>
              <w:bottom w:val="dotted" w:sz="4" w:space="0" w:color="FFFFFF" w:themeColor="background1"/>
            </w:tcBorders>
            <w:noWrap/>
            <w:hideMark/>
          </w:tcPr>
          <w:p w14:paraId="77C58DE7" w14:textId="77777777" w:rsidR="00BC498F" w:rsidRPr="00DA3F73"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295F2A">
              <w:rPr>
                <w:rFonts w:eastAsia="Times New Roman"/>
                <w:bCs/>
                <w:color w:val="FFFFFF"/>
                <w:sz w:val="20"/>
                <w:szCs w:val="20"/>
                <w:lang w:eastAsia="en-AU"/>
              </w:rPr>
              <w:t>Projection Year</w:t>
            </w:r>
          </w:p>
        </w:tc>
        <w:tc>
          <w:tcPr>
            <w:tcW w:w="507" w:type="pct"/>
            <w:tcBorders>
              <w:bottom w:val="dotted" w:sz="4" w:space="0" w:color="FFFFFF" w:themeColor="background1"/>
              <w:right w:val="single" w:sz="4" w:space="0" w:color="auto"/>
            </w:tcBorders>
            <w:noWrap/>
            <w:hideMark/>
          </w:tcPr>
          <w:p w14:paraId="70E1D94A" w14:textId="77777777" w:rsidR="00BC498F" w:rsidRPr="00DA3F73"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295F2A">
              <w:rPr>
                <w:rFonts w:eastAsia="Times New Roman"/>
                <w:bCs/>
                <w:color w:val="FFFFFF"/>
                <w:sz w:val="20"/>
                <w:szCs w:val="20"/>
                <w:lang w:eastAsia="en-AU"/>
              </w:rPr>
              <w:t> </w:t>
            </w:r>
          </w:p>
        </w:tc>
        <w:tc>
          <w:tcPr>
            <w:tcW w:w="605" w:type="pct"/>
            <w:tcBorders>
              <w:top w:val="single" w:sz="4" w:space="0" w:color="auto"/>
              <w:left w:val="single" w:sz="4" w:space="0" w:color="auto"/>
              <w:bottom w:val="dotted" w:sz="4" w:space="0" w:color="FFFFFF" w:themeColor="background1"/>
            </w:tcBorders>
            <w:noWrap/>
            <w:hideMark/>
          </w:tcPr>
          <w:p w14:paraId="2359EE2F" w14:textId="77777777" w:rsidR="00BC498F" w:rsidRPr="00DA3F73"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295F2A">
              <w:rPr>
                <w:rFonts w:eastAsia="Times New Roman"/>
                <w:bCs/>
                <w:color w:val="FFFFFF"/>
                <w:sz w:val="20"/>
                <w:szCs w:val="20"/>
                <w:lang w:eastAsia="en-AU"/>
              </w:rPr>
              <w:t>Total</w:t>
            </w:r>
          </w:p>
        </w:tc>
      </w:tr>
      <w:tr w:rsidR="00E8709A" w:rsidRPr="00191697" w14:paraId="750CEE86" w14:textId="77777777" w:rsidTr="00711C14">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0" w:type="pct"/>
            <w:tcBorders>
              <w:top w:val="nil"/>
              <w:bottom w:val="nil"/>
            </w:tcBorders>
            <w:noWrap/>
            <w:hideMark/>
          </w:tcPr>
          <w:p w14:paraId="1CDB9CF5" w14:textId="77777777" w:rsidR="00BC498F" w:rsidRPr="00191697" w:rsidRDefault="00BC498F" w:rsidP="00BA7353">
            <w:pPr>
              <w:spacing w:after="0" w:line="240" w:lineRule="auto"/>
              <w:rPr>
                <w:rFonts w:eastAsia="Times New Roman"/>
                <w:color w:val="FFFFFF"/>
                <w:sz w:val="20"/>
                <w:szCs w:val="20"/>
                <w:lang w:eastAsia="en-AU"/>
              </w:rPr>
            </w:pPr>
            <w:r w:rsidRPr="00191697">
              <w:rPr>
                <w:rFonts w:eastAsia="Times New Roman"/>
                <w:color w:val="FFFFFF"/>
                <w:sz w:val="20"/>
                <w:szCs w:val="20"/>
                <w:lang w:eastAsia="en-AU"/>
              </w:rPr>
              <w:t> </w:t>
            </w:r>
          </w:p>
        </w:tc>
        <w:tc>
          <w:tcPr>
            <w:tcW w:w="0" w:type="pct"/>
            <w:tcBorders>
              <w:top w:val="dotted" w:sz="4" w:space="0" w:color="FFFFFF" w:themeColor="background1"/>
              <w:bottom w:val="nil"/>
            </w:tcBorders>
            <w:noWrap/>
            <w:hideMark/>
          </w:tcPr>
          <w:p w14:paraId="30213799" w14:textId="77777777" w:rsidR="00BC498F" w:rsidRPr="00191697" w:rsidRDefault="00BC498F" w:rsidP="00287865">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2022-23</w:t>
            </w:r>
          </w:p>
        </w:tc>
        <w:tc>
          <w:tcPr>
            <w:tcW w:w="0" w:type="pct"/>
            <w:tcBorders>
              <w:top w:val="dotted" w:sz="4" w:space="0" w:color="FFFFFF" w:themeColor="background1"/>
              <w:bottom w:val="nil"/>
            </w:tcBorders>
            <w:noWrap/>
            <w:hideMark/>
          </w:tcPr>
          <w:p w14:paraId="055EC533" w14:textId="77777777" w:rsidR="00BC498F" w:rsidRPr="00191697" w:rsidRDefault="00BC498F" w:rsidP="00287865">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2023-24</w:t>
            </w:r>
          </w:p>
        </w:tc>
        <w:tc>
          <w:tcPr>
            <w:tcW w:w="0" w:type="pct"/>
            <w:tcBorders>
              <w:top w:val="dotted" w:sz="4" w:space="0" w:color="FFFFFF" w:themeColor="background1"/>
              <w:bottom w:val="nil"/>
            </w:tcBorders>
            <w:noWrap/>
            <w:hideMark/>
          </w:tcPr>
          <w:p w14:paraId="1FBFD620" w14:textId="77777777" w:rsidR="00BC498F" w:rsidRPr="00191697" w:rsidRDefault="00BC498F" w:rsidP="00287865">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2024-25</w:t>
            </w:r>
          </w:p>
        </w:tc>
        <w:tc>
          <w:tcPr>
            <w:tcW w:w="0" w:type="pct"/>
            <w:tcBorders>
              <w:top w:val="dotted" w:sz="4" w:space="0" w:color="FFFFFF" w:themeColor="background1"/>
              <w:bottom w:val="nil"/>
              <w:right w:val="dotted" w:sz="4" w:space="0" w:color="auto"/>
            </w:tcBorders>
            <w:noWrap/>
            <w:hideMark/>
          </w:tcPr>
          <w:p w14:paraId="1D863DA1" w14:textId="77777777" w:rsidR="00BC498F" w:rsidRPr="00191697" w:rsidRDefault="00BC498F" w:rsidP="00287865">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2025-26</w:t>
            </w:r>
          </w:p>
        </w:tc>
        <w:tc>
          <w:tcPr>
            <w:tcW w:w="507" w:type="pct"/>
            <w:tcBorders>
              <w:top w:val="dotted" w:sz="4" w:space="0" w:color="FFFFFF" w:themeColor="background1"/>
              <w:left w:val="dotted" w:sz="4" w:space="0" w:color="auto"/>
              <w:bottom w:val="nil"/>
              <w:right w:val="single" w:sz="4" w:space="0" w:color="auto"/>
            </w:tcBorders>
            <w:noWrap/>
            <w:hideMark/>
          </w:tcPr>
          <w:p w14:paraId="41F6FF36" w14:textId="77777777" w:rsidR="00BC498F" w:rsidRPr="00191697" w:rsidRDefault="00BC498F" w:rsidP="00287865">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2031-32</w:t>
            </w:r>
          </w:p>
        </w:tc>
        <w:tc>
          <w:tcPr>
            <w:tcW w:w="605" w:type="pct"/>
            <w:tcBorders>
              <w:top w:val="dotted" w:sz="4" w:space="0" w:color="FFFFFF" w:themeColor="background1"/>
              <w:left w:val="single" w:sz="4" w:space="0" w:color="auto"/>
              <w:bottom w:val="nil"/>
            </w:tcBorders>
            <w:noWrap/>
            <w:hideMark/>
          </w:tcPr>
          <w:p w14:paraId="3BA99D86" w14:textId="77777777" w:rsidR="00BC498F" w:rsidRPr="00191697" w:rsidRDefault="00BC498F" w:rsidP="00287865">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2022-26</w:t>
            </w:r>
          </w:p>
        </w:tc>
      </w:tr>
      <w:tr w:rsidR="0084149B" w:rsidRPr="00966299" w14:paraId="3231BFD8" w14:textId="77777777" w:rsidTr="00711C14">
        <w:trPr>
          <w:trHeight w:val="301"/>
        </w:trPr>
        <w:tc>
          <w:tcPr>
            <w:cnfStyle w:val="001000000000" w:firstRow="0" w:lastRow="0" w:firstColumn="1" w:lastColumn="0" w:oddVBand="0" w:evenVBand="0" w:oddHBand="0" w:evenHBand="0" w:firstRowFirstColumn="0" w:firstRowLastColumn="0" w:lastRowFirstColumn="0" w:lastRowLastColumn="0"/>
            <w:tcW w:w="1532" w:type="pct"/>
            <w:tcBorders>
              <w:top w:val="nil"/>
            </w:tcBorders>
            <w:shd w:val="clear" w:color="auto" w:fill="auto"/>
            <w:noWrap/>
            <w:hideMark/>
          </w:tcPr>
          <w:p w14:paraId="0C278A83" w14:textId="77777777" w:rsidR="00BC498F" w:rsidRPr="00966299" w:rsidRDefault="00BC498F" w:rsidP="00BA7353">
            <w:pPr>
              <w:spacing w:after="0" w:line="240" w:lineRule="auto"/>
              <w:rPr>
                <w:rFonts w:eastAsia="Times New Roman" w:cs="Arial"/>
                <w:b/>
                <w:bCs/>
                <w:i/>
                <w:iCs/>
                <w:color w:val="000000"/>
                <w:sz w:val="20"/>
                <w:szCs w:val="20"/>
                <w:lang w:eastAsia="en-AU"/>
              </w:rPr>
            </w:pPr>
            <w:r w:rsidRPr="00966299">
              <w:rPr>
                <w:rFonts w:eastAsia="Times New Roman" w:cs="Arial"/>
                <w:b/>
                <w:bCs/>
                <w:i/>
                <w:iCs/>
                <w:color w:val="000000"/>
                <w:sz w:val="20"/>
                <w:szCs w:val="20"/>
                <w:lang w:eastAsia="en-AU"/>
              </w:rPr>
              <w:t>Existing participants</w:t>
            </w:r>
          </w:p>
        </w:tc>
        <w:tc>
          <w:tcPr>
            <w:tcW w:w="688" w:type="pct"/>
            <w:tcBorders>
              <w:top w:val="nil"/>
            </w:tcBorders>
            <w:shd w:val="clear" w:color="auto" w:fill="auto"/>
            <w:noWrap/>
            <w:hideMark/>
          </w:tcPr>
          <w:p w14:paraId="63F97291"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 </w:t>
            </w:r>
          </w:p>
        </w:tc>
        <w:tc>
          <w:tcPr>
            <w:tcW w:w="556" w:type="pct"/>
            <w:tcBorders>
              <w:top w:val="nil"/>
            </w:tcBorders>
            <w:shd w:val="clear" w:color="auto" w:fill="auto"/>
            <w:noWrap/>
            <w:hideMark/>
          </w:tcPr>
          <w:p w14:paraId="73AD209B"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 </w:t>
            </w:r>
          </w:p>
        </w:tc>
        <w:tc>
          <w:tcPr>
            <w:tcW w:w="556" w:type="pct"/>
            <w:tcBorders>
              <w:top w:val="nil"/>
            </w:tcBorders>
            <w:shd w:val="clear" w:color="auto" w:fill="auto"/>
            <w:noWrap/>
            <w:hideMark/>
          </w:tcPr>
          <w:p w14:paraId="53C8C4C8"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 </w:t>
            </w:r>
          </w:p>
        </w:tc>
        <w:tc>
          <w:tcPr>
            <w:tcW w:w="556" w:type="pct"/>
            <w:tcBorders>
              <w:top w:val="nil"/>
              <w:right w:val="dotted" w:sz="4" w:space="0" w:color="auto"/>
            </w:tcBorders>
            <w:shd w:val="clear" w:color="auto" w:fill="auto"/>
            <w:noWrap/>
            <w:hideMark/>
          </w:tcPr>
          <w:p w14:paraId="58320AD7"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 </w:t>
            </w:r>
          </w:p>
        </w:tc>
        <w:tc>
          <w:tcPr>
            <w:tcW w:w="507" w:type="pct"/>
            <w:tcBorders>
              <w:top w:val="nil"/>
              <w:left w:val="dotted" w:sz="4" w:space="0" w:color="auto"/>
              <w:bottom w:val="nil"/>
              <w:right w:val="single" w:sz="4" w:space="0" w:color="auto"/>
            </w:tcBorders>
            <w:shd w:val="clear" w:color="auto" w:fill="auto"/>
            <w:noWrap/>
            <w:hideMark/>
          </w:tcPr>
          <w:p w14:paraId="12D6C050"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 </w:t>
            </w:r>
          </w:p>
        </w:tc>
        <w:tc>
          <w:tcPr>
            <w:tcW w:w="605" w:type="pct"/>
            <w:tcBorders>
              <w:top w:val="nil"/>
              <w:left w:val="single" w:sz="4" w:space="0" w:color="auto"/>
            </w:tcBorders>
            <w:shd w:val="clear" w:color="auto" w:fill="auto"/>
            <w:noWrap/>
            <w:hideMark/>
          </w:tcPr>
          <w:p w14:paraId="539C673F"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 </w:t>
            </w:r>
          </w:p>
        </w:tc>
      </w:tr>
      <w:tr w:rsidR="00BC498F" w:rsidRPr="00966299" w14:paraId="7D4A2D2E"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399980C9" w14:textId="77777777" w:rsidR="00BC498F" w:rsidRPr="00966299" w:rsidRDefault="00BC498F" w:rsidP="00BA7353">
            <w:pPr>
              <w:spacing w:after="0" w:line="240" w:lineRule="auto"/>
              <w:rPr>
                <w:rFonts w:eastAsia="Times New Roman" w:cs="Arial"/>
                <w:color w:val="000000"/>
                <w:sz w:val="20"/>
                <w:szCs w:val="20"/>
                <w:lang w:eastAsia="en-AU"/>
              </w:rPr>
            </w:pPr>
            <w:r w:rsidRPr="00966299">
              <w:rPr>
                <w:rFonts w:eastAsia="Times New Roman" w:cs="Arial"/>
                <w:color w:val="000000"/>
                <w:sz w:val="20"/>
                <w:szCs w:val="20"/>
                <w:lang w:eastAsia="en-AU"/>
              </w:rPr>
              <w:t>Scheme Expenses ($m)</w:t>
            </w:r>
          </w:p>
        </w:tc>
        <w:tc>
          <w:tcPr>
            <w:tcW w:w="0" w:type="pct"/>
            <w:noWrap/>
            <w:hideMark/>
          </w:tcPr>
          <w:p w14:paraId="50EE6527"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32,967</w:t>
            </w:r>
          </w:p>
        </w:tc>
        <w:tc>
          <w:tcPr>
            <w:tcW w:w="0" w:type="pct"/>
            <w:noWrap/>
            <w:hideMark/>
          </w:tcPr>
          <w:p w14:paraId="64AB639B"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34,700</w:t>
            </w:r>
          </w:p>
        </w:tc>
        <w:tc>
          <w:tcPr>
            <w:tcW w:w="0" w:type="pct"/>
            <w:noWrap/>
            <w:hideMark/>
          </w:tcPr>
          <w:p w14:paraId="1E19145E"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37,662</w:t>
            </w:r>
          </w:p>
        </w:tc>
        <w:tc>
          <w:tcPr>
            <w:tcW w:w="0" w:type="pct"/>
            <w:tcBorders>
              <w:right w:val="dotted" w:sz="4" w:space="0" w:color="auto"/>
            </w:tcBorders>
            <w:noWrap/>
            <w:hideMark/>
          </w:tcPr>
          <w:p w14:paraId="432F1292"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40,621</w:t>
            </w:r>
          </w:p>
        </w:tc>
        <w:tc>
          <w:tcPr>
            <w:tcW w:w="507" w:type="pct"/>
            <w:tcBorders>
              <w:top w:val="nil"/>
              <w:left w:val="dotted" w:sz="4" w:space="0" w:color="auto"/>
              <w:bottom w:val="nil"/>
              <w:right w:val="single" w:sz="4" w:space="0" w:color="auto"/>
            </w:tcBorders>
            <w:noWrap/>
            <w:hideMark/>
          </w:tcPr>
          <w:p w14:paraId="7FE83C42"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54,370</w:t>
            </w:r>
          </w:p>
        </w:tc>
        <w:tc>
          <w:tcPr>
            <w:tcW w:w="605" w:type="pct"/>
            <w:tcBorders>
              <w:left w:val="single" w:sz="4" w:space="0" w:color="auto"/>
            </w:tcBorders>
            <w:noWrap/>
            <w:hideMark/>
          </w:tcPr>
          <w:p w14:paraId="0B5CAC49"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145,950</w:t>
            </w:r>
          </w:p>
        </w:tc>
      </w:tr>
      <w:tr w:rsidR="00BC498F" w:rsidRPr="00966299" w14:paraId="7B568885"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14:paraId="21B4348D" w14:textId="77777777" w:rsidR="00BC498F" w:rsidRPr="00966299" w:rsidRDefault="00BC498F" w:rsidP="00BA7353">
            <w:pPr>
              <w:spacing w:after="0" w:line="240" w:lineRule="auto"/>
              <w:rPr>
                <w:rFonts w:eastAsia="Times New Roman" w:cs="Arial"/>
                <w:color w:val="000000"/>
                <w:sz w:val="20"/>
                <w:szCs w:val="20"/>
                <w:lang w:eastAsia="en-AU"/>
              </w:rPr>
            </w:pPr>
            <w:r w:rsidRPr="00966299">
              <w:rPr>
                <w:rFonts w:eastAsia="Times New Roman" w:cs="Arial"/>
                <w:color w:val="000000"/>
                <w:sz w:val="20"/>
                <w:szCs w:val="20"/>
                <w:lang w:eastAsia="en-AU"/>
              </w:rPr>
              <w:t>Variance to baseline ($m)</w:t>
            </w:r>
          </w:p>
        </w:tc>
        <w:tc>
          <w:tcPr>
            <w:tcW w:w="0" w:type="pct"/>
            <w:shd w:val="clear" w:color="auto" w:fill="auto"/>
            <w:noWrap/>
            <w:hideMark/>
          </w:tcPr>
          <w:p w14:paraId="1950BBFF"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0</w:t>
            </w:r>
          </w:p>
        </w:tc>
        <w:tc>
          <w:tcPr>
            <w:tcW w:w="0" w:type="pct"/>
            <w:shd w:val="clear" w:color="auto" w:fill="auto"/>
            <w:noWrap/>
            <w:hideMark/>
          </w:tcPr>
          <w:p w14:paraId="4948F702"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0</w:t>
            </w:r>
          </w:p>
        </w:tc>
        <w:tc>
          <w:tcPr>
            <w:tcW w:w="0" w:type="pct"/>
            <w:shd w:val="clear" w:color="auto" w:fill="auto"/>
            <w:noWrap/>
            <w:hideMark/>
          </w:tcPr>
          <w:p w14:paraId="0F38EB9C"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0</w:t>
            </w:r>
          </w:p>
        </w:tc>
        <w:tc>
          <w:tcPr>
            <w:tcW w:w="0" w:type="pct"/>
            <w:tcBorders>
              <w:right w:val="dotted" w:sz="4" w:space="0" w:color="auto"/>
            </w:tcBorders>
            <w:shd w:val="clear" w:color="auto" w:fill="auto"/>
            <w:noWrap/>
            <w:hideMark/>
          </w:tcPr>
          <w:p w14:paraId="15B37805"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0</w:t>
            </w:r>
          </w:p>
        </w:tc>
        <w:tc>
          <w:tcPr>
            <w:tcW w:w="507" w:type="pct"/>
            <w:tcBorders>
              <w:top w:val="nil"/>
              <w:left w:val="dotted" w:sz="4" w:space="0" w:color="auto"/>
              <w:bottom w:val="nil"/>
              <w:right w:val="single" w:sz="4" w:space="0" w:color="auto"/>
            </w:tcBorders>
            <w:shd w:val="clear" w:color="auto" w:fill="auto"/>
            <w:noWrap/>
            <w:hideMark/>
          </w:tcPr>
          <w:p w14:paraId="21102213"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0</w:t>
            </w:r>
          </w:p>
        </w:tc>
        <w:tc>
          <w:tcPr>
            <w:tcW w:w="605" w:type="pct"/>
            <w:tcBorders>
              <w:left w:val="single" w:sz="4" w:space="0" w:color="auto"/>
            </w:tcBorders>
            <w:shd w:val="clear" w:color="auto" w:fill="auto"/>
            <w:noWrap/>
            <w:hideMark/>
          </w:tcPr>
          <w:p w14:paraId="02F7E69B"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0</w:t>
            </w:r>
          </w:p>
        </w:tc>
      </w:tr>
      <w:tr w:rsidR="00BC498F" w:rsidRPr="00966299" w14:paraId="1DB54F3E"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41C049B5" w14:textId="77777777" w:rsidR="00BC498F" w:rsidRPr="00966299" w:rsidRDefault="00BC498F" w:rsidP="00BA7353">
            <w:pPr>
              <w:spacing w:after="0" w:line="240" w:lineRule="auto"/>
              <w:rPr>
                <w:rFonts w:eastAsia="Times New Roman" w:cs="Arial"/>
                <w:color w:val="000000"/>
                <w:sz w:val="20"/>
                <w:szCs w:val="20"/>
                <w:lang w:eastAsia="en-AU"/>
              </w:rPr>
            </w:pPr>
            <w:r w:rsidRPr="00966299">
              <w:rPr>
                <w:rFonts w:eastAsia="Times New Roman" w:cs="Arial"/>
                <w:color w:val="000000"/>
                <w:sz w:val="20"/>
                <w:szCs w:val="20"/>
                <w:lang w:eastAsia="en-AU"/>
              </w:rPr>
              <w:t>% variance to baseline</w:t>
            </w:r>
          </w:p>
        </w:tc>
        <w:tc>
          <w:tcPr>
            <w:tcW w:w="0" w:type="pct"/>
            <w:noWrap/>
            <w:hideMark/>
          </w:tcPr>
          <w:p w14:paraId="08D88B2F"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0.0%</w:t>
            </w:r>
          </w:p>
        </w:tc>
        <w:tc>
          <w:tcPr>
            <w:tcW w:w="0" w:type="pct"/>
            <w:noWrap/>
            <w:hideMark/>
          </w:tcPr>
          <w:p w14:paraId="76604929"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0.0%</w:t>
            </w:r>
          </w:p>
        </w:tc>
        <w:tc>
          <w:tcPr>
            <w:tcW w:w="0" w:type="pct"/>
            <w:noWrap/>
            <w:hideMark/>
          </w:tcPr>
          <w:p w14:paraId="66E3A7D9"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0.0%</w:t>
            </w:r>
          </w:p>
        </w:tc>
        <w:tc>
          <w:tcPr>
            <w:tcW w:w="0" w:type="pct"/>
            <w:tcBorders>
              <w:right w:val="dotted" w:sz="4" w:space="0" w:color="auto"/>
            </w:tcBorders>
            <w:noWrap/>
            <w:hideMark/>
          </w:tcPr>
          <w:p w14:paraId="46AB16B5"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0.0%</w:t>
            </w:r>
          </w:p>
        </w:tc>
        <w:tc>
          <w:tcPr>
            <w:tcW w:w="507" w:type="pct"/>
            <w:tcBorders>
              <w:top w:val="nil"/>
              <w:left w:val="dotted" w:sz="4" w:space="0" w:color="auto"/>
              <w:bottom w:val="nil"/>
              <w:right w:val="single" w:sz="4" w:space="0" w:color="auto"/>
            </w:tcBorders>
            <w:noWrap/>
            <w:hideMark/>
          </w:tcPr>
          <w:p w14:paraId="2C9306A8"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0.0%</w:t>
            </w:r>
          </w:p>
        </w:tc>
        <w:tc>
          <w:tcPr>
            <w:tcW w:w="605" w:type="pct"/>
            <w:tcBorders>
              <w:left w:val="single" w:sz="4" w:space="0" w:color="auto"/>
            </w:tcBorders>
            <w:noWrap/>
            <w:hideMark/>
          </w:tcPr>
          <w:p w14:paraId="1F7319E6"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0.0%</w:t>
            </w:r>
          </w:p>
        </w:tc>
      </w:tr>
      <w:tr w:rsidR="00BC498F" w:rsidRPr="00966299" w14:paraId="1781026B"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14:paraId="4FADCA53" w14:textId="77777777" w:rsidR="00BC498F" w:rsidRPr="00966299" w:rsidRDefault="00BC498F" w:rsidP="00BA7353">
            <w:pPr>
              <w:spacing w:after="0" w:line="240" w:lineRule="auto"/>
              <w:rPr>
                <w:rFonts w:eastAsia="Times New Roman" w:cs="Arial"/>
                <w:b/>
                <w:bCs/>
                <w:i/>
                <w:iCs/>
                <w:color w:val="000000"/>
                <w:sz w:val="20"/>
                <w:szCs w:val="20"/>
                <w:lang w:eastAsia="en-AU"/>
              </w:rPr>
            </w:pPr>
            <w:r w:rsidRPr="00966299">
              <w:rPr>
                <w:rFonts w:eastAsia="Times New Roman" w:cs="Arial"/>
                <w:b/>
                <w:bCs/>
                <w:i/>
                <w:iCs/>
                <w:color w:val="000000"/>
                <w:sz w:val="20"/>
                <w:szCs w:val="20"/>
                <w:lang w:eastAsia="en-AU"/>
              </w:rPr>
              <w:t>New participants</w:t>
            </w:r>
          </w:p>
        </w:tc>
        <w:tc>
          <w:tcPr>
            <w:tcW w:w="0" w:type="pct"/>
            <w:shd w:val="clear" w:color="auto" w:fill="auto"/>
            <w:noWrap/>
            <w:hideMark/>
          </w:tcPr>
          <w:p w14:paraId="5937B2F5"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 </w:t>
            </w:r>
          </w:p>
        </w:tc>
        <w:tc>
          <w:tcPr>
            <w:tcW w:w="0" w:type="pct"/>
            <w:shd w:val="clear" w:color="auto" w:fill="auto"/>
            <w:noWrap/>
            <w:hideMark/>
          </w:tcPr>
          <w:p w14:paraId="48D954EB"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 </w:t>
            </w:r>
          </w:p>
        </w:tc>
        <w:tc>
          <w:tcPr>
            <w:tcW w:w="0" w:type="pct"/>
            <w:shd w:val="clear" w:color="auto" w:fill="auto"/>
            <w:noWrap/>
            <w:hideMark/>
          </w:tcPr>
          <w:p w14:paraId="549B9522"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 </w:t>
            </w:r>
          </w:p>
        </w:tc>
        <w:tc>
          <w:tcPr>
            <w:tcW w:w="0" w:type="pct"/>
            <w:tcBorders>
              <w:right w:val="dotted" w:sz="4" w:space="0" w:color="auto"/>
            </w:tcBorders>
            <w:shd w:val="clear" w:color="auto" w:fill="auto"/>
            <w:noWrap/>
            <w:hideMark/>
          </w:tcPr>
          <w:p w14:paraId="6FB52A6A"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 </w:t>
            </w:r>
          </w:p>
        </w:tc>
        <w:tc>
          <w:tcPr>
            <w:tcW w:w="507" w:type="pct"/>
            <w:tcBorders>
              <w:top w:val="nil"/>
              <w:left w:val="dotted" w:sz="4" w:space="0" w:color="auto"/>
              <w:bottom w:val="nil"/>
              <w:right w:val="single" w:sz="4" w:space="0" w:color="auto"/>
            </w:tcBorders>
            <w:shd w:val="clear" w:color="auto" w:fill="auto"/>
            <w:noWrap/>
            <w:hideMark/>
          </w:tcPr>
          <w:p w14:paraId="14292862"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 </w:t>
            </w:r>
          </w:p>
        </w:tc>
        <w:tc>
          <w:tcPr>
            <w:tcW w:w="605" w:type="pct"/>
            <w:tcBorders>
              <w:left w:val="single" w:sz="4" w:space="0" w:color="auto"/>
            </w:tcBorders>
            <w:shd w:val="clear" w:color="auto" w:fill="auto"/>
            <w:noWrap/>
            <w:hideMark/>
          </w:tcPr>
          <w:p w14:paraId="09FF0575"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 </w:t>
            </w:r>
          </w:p>
        </w:tc>
      </w:tr>
      <w:tr w:rsidR="00BC498F" w:rsidRPr="00966299" w14:paraId="164024CA"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4B467D17" w14:textId="77777777" w:rsidR="00BC498F" w:rsidRPr="00966299" w:rsidRDefault="00BC498F" w:rsidP="00BA7353">
            <w:pPr>
              <w:spacing w:after="0" w:line="240" w:lineRule="auto"/>
              <w:rPr>
                <w:rFonts w:eastAsia="Times New Roman" w:cs="Arial"/>
                <w:color w:val="000000"/>
                <w:sz w:val="20"/>
                <w:szCs w:val="20"/>
                <w:lang w:eastAsia="en-AU"/>
              </w:rPr>
            </w:pPr>
            <w:r w:rsidRPr="00966299">
              <w:rPr>
                <w:rFonts w:eastAsia="Times New Roman" w:cs="Arial"/>
                <w:color w:val="000000"/>
                <w:sz w:val="20"/>
                <w:szCs w:val="20"/>
                <w:lang w:eastAsia="en-AU"/>
              </w:rPr>
              <w:t>Scheme Expenses ($m)</w:t>
            </w:r>
          </w:p>
        </w:tc>
        <w:tc>
          <w:tcPr>
            <w:tcW w:w="0" w:type="pct"/>
            <w:noWrap/>
            <w:hideMark/>
          </w:tcPr>
          <w:p w14:paraId="6A39BA5D"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1,136</w:t>
            </w:r>
          </w:p>
        </w:tc>
        <w:tc>
          <w:tcPr>
            <w:tcW w:w="0" w:type="pct"/>
            <w:noWrap/>
            <w:hideMark/>
          </w:tcPr>
          <w:p w14:paraId="43AF67EA"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3,872</w:t>
            </w:r>
          </w:p>
        </w:tc>
        <w:tc>
          <w:tcPr>
            <w:tcW w:w="0" w:type="pct"/>
            <w:noWrap/>
            <w:hideMark/>
          </w:tcPr>
          <w:p w14:paraId="3B324597"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7,306</w:t>
            </w:r>
          </w:p>
        </w:tc>
        <w:tc>
          <w:tcPr>
            <w:tcW w:w="0" w:type="pct"/>
            <w:tcBorders>
              <w:right w:val="dotted" w:sz="4" w:space="0" w:color="auto"/>
            </w:tcBorders>
            <w:noWrap/>
            <w:hideMark/>
          </w:tcPr>
          <w:p w14:paraId="12A47392"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11,049</w:t>
            </w:r>
          </w:p>
        </w:tc>
        <w:tc>
          <w:tcPr>
            <w:tcW w:w="507" w:type="pct"/>
            <w:tcBorders>
              <w:top w:val="nil"/>
              <w:left w:val="dotted" w:sz="4" w:space="0" w:color="auto"/>
              <w:bottom w:val="nil"/>
              <w:right w:val="single" w:sz="4" w:space="0" w:color="auto"/>
            </w:tcBorders>
            <w:noWrap/>
            <w:hideMark/>
          </w:tcPr>
          <w:p w14:paraId="49F266FB"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40,080</w:t>
            </w:r>
          </w:p>
        </w:tc>
        <w:tc>
          <w:tcPr>
            <w:tcW w:w="605" w:type="pct"/>
            <w:tcBorders>
              <w:left w:val="single" w:sz="4" w:space="0" w:color="auto"/>
            </w:tcBorders>
            <w:noWrap/>
            <w:hideMark/>
          </w:tcPr>
          <w:p w14:paraId="736574D6"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23,363</w:t>
            </w:r>
          </w:p>
        </w:tc>
      </w:tr>
      <w:tr w:rsidR="00BC498F" w:rsidRPr="00966299" w14:paraId="7418ABC3"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14:paraId="35D0145A" w14:textId="77777777" w:rsidR="00BC498F" w:rsidRPr="00966299" w:rsidRDefault="00BC498F" w:rsidP="00BA7353">
            <w:pPr>
              <w:spacing w:after="0" w:line="240" w:lineRule="auto"/>
              <w:rPr>
                <w:rFonts w:eastAsia="Times New Roman" w:cs="Arial"/>
                <w:color w:val="000000"/>
                <w:sz w:val="20"/>
                <w:szCs w:val="20"/>
                <w:lang w:eastAsia="en-AU"/>
              </w:rPr>
            </w:pPr>
            <w:r w:rsidRPr="00966299">
              <w:rPr>
                <w:rFonts w:eastAsia="Times New Roman" w:cs="Arial"/>
                <w:color w:val="000000"/>
                <w:sz w:val="20"/>
                <w:szCs w:val="20"/>
                <w:lang w:eastAsia="en-AU"/>
              </w:rPr>
              <w:t>Variance to baseline ($m)</w:t>
            </w:r>
          </w:p>
        </w:tc>
        <w:tc>
          <w:tcPr>
            <w:tcW w:w="0" w:type="pct"/>
            <w:shd w:val="clear" w:color="auto" w:fill="auto"/>
            <w:noWrap/>
            <w:hideMark/>
          </w:tcPr>
          <w:p w14:paraId="0AA998AA"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128</w:t>
            </w:r>
          </w:p>
        </w:tc>
        <w:tc>
          <w:tcPr>
            <w:tcW w:w="0" w:type="pct"/>
            <w:shd w:val="clear" w:color="auto" w:fill="auto"/>
            <w:noWrap/>
            <w:hideMark/>
          </w:tcPr>
          <w:p w14:paraId="27526EAD"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439</w:t>
            </w:r>
          </w:p>
        </w:tc>
        <w:tc>
          <w:tcPr>
            <w:tcW w:w="0" w:type="pct"/>
            <w:shd w:val="clear" w:color="auto" w:fill="auto"/>
            <w:noWrap/>
            <w:hideMark/>
          </w:tcPr>
          <w:p w14:paraId="206CB02D"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852</w:t>
            </w:r>
          </w:p>
        </w:tc>
        <w:tc>
          <w:tcPr>
            <w:tcW w:w="0" w:type="pct"/>
            <w:tcBorders>
              <w:right w:val="dotted" w:sz="4" w:space="0" w:color="auto"/>
            </w:tcBorders>
            <w:shd w:val="clear" w:color="auto" w:fill="auto"/>
            <w:noWrap/>
            <w:hideMark/>
          </w:tcPr>
          <w:p w14:paraId="04AF7336"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1,326</w:t>
            </w:r>
          </w:p>
        </w:tc>
        <w:tc>
          <w:tcPr>
            <w:tcW w:w="507" w:type="pct"/>
            <w:tcBorders>
              <w:top w:val="nil"/>
              <w:left w:val="dotted" w:sz="4" w:space="0" w:color="auto"/>
              <w:bottom w:val="nil"/>
              <w:right w:val="single" w:sz="4" w:space="0" w:color="auto"/>
            </w:tcBorders>
            <w:shd w:val="clear" w:color="auto" w:fill="auto"/>
            <w:noWrap/>
            <w:hideMark/>
          </w:tcPr>
          <w:p w14:paraId="59E38F52"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5,048</w:t>
            </w:r>
          </w:p>
        </w:tc>
        <w:tc>
          <w:tcPr>
            <w:tcW w:w="605" w:type="pct"/>
            <w:tcBorders>
              <w:left w:val="single" w:sz="4" w:space="0" w:color="auto"/>
            </w:tcBorders>
            <w:shd w:val="clear" w:color="auto" w:fill="auto"/>
            <w:noWrap/>
            <w:hideMark/>
          </w:tcPr>
          <w:p w14:paraId="09FE192E"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2,745</w:t>
            </w:r>
          </w:p>
        </w:tc>
      </w:tr>
      <w:tr w:rsidR="00BC498F" w:rsidRPr="00966299" w14:paraId="3DF62484"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71823E90" w14:textId="77777777" w:rsidR="00BC498F" w:rsidRPr="00966299" w:rsidRDefault="00BC498F" w:rsidP="00BA7353">
            <w:pPr>
              <w:spacing w:after="0" w:line="240" w:lineRule="auto"/>
              <w:rPr>
                <w:rFonts w:eastAsia="Times New Roman" w:cs="Arial"/>
                <w:color w:val="000000"/>
                <w:sz w:val="20"/>
                <w:szCs w:val="20"/>
                <w:lang w:eastAsia="en-AU"/>
              </w:rPr>
            </w:pPr>
            <w:r w:rsidRPr="00966299">
              <w:rPr>
                <w:rFonts w:eastAsia="Times New Roman" w:cs="Arial"/>
                <w:color w:val="000000"/>
                <w:sz w:val="20"/>
                <w:szCs w:val="20"/>
                <w:lang w:eastAsia="en-AU"/>
              </w:rPr>
              <w:t>% variance to baseline</w:t>
            </w:r>
          </w:p>
        </w:tc>
        <w:tc>
          <w:tcPr>
            <w:tcW w:w="0" w:type="pct"/>
            <w:noWrap/>
            <w:hideMark/>
          </w:tcPr>
          <w:p w14:paraId="2CA71BB7"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12.6%</w:t>
            </w:r>
          </w:p>
        </w:tc>
        <w:tc>
          <w:tcPr>
            <w:tcW w:w="0" w:type="pct"/>
            <w:noWrap/>
            <w:hideMark/>
          </w:tcPr>
          <w:p w14:paraId="21DF09A2"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12.8%</w:t>
            </w:r>
          </w:p>
        </w:tc>
        <w:tc>
          <w:tcPr>
            <w:tcW w:w="0" w:type="pct"/>
            <w:noWrap/>
            <w:hideMark/>
          </w:tcPr>
          <w:p w14:paraId="048150A4"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13.2%</w:t>
            </w:r>
          </w:p>
        </w:tc>
        <w:tc>
          <w:tcPr>
            <w:tcW w:w="0" w:type="pct"/>
            <w:tcBorders>
              <w:right w:val="dotted" w:sz="4" w:space="0" w:color="auto"/>
            </w:tcBorders>
            <w:noWrap/>
            <w:hideMark/>
          </w:tcPr>
          <w:p w14:paraId="6FFF4D50"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13.6%</w:t>
            </w:r>
          </w:p>
        </w:tc>
        <w:tc>
          <w:tcPr>
            <w:tcW w:w="507" w:type="pct"/>
            <w:tcBorders>
              <w:top w:val="nil"/>
              <w:left w:val="dotted" w:sz="4" w:space="0" w:color="auto"/>
              <w:bottom w:val="nil"/>
              <w:right w:val="single" w:sz="4" w:space="0" w:color="auto"/>
            </w:tcBorders>
            <w:noWrap/>
            <w:hideMark/>
          </w:tcPr>
          <w:p w14:paraId="3045D692"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14.4%</w:t>
            </w:r>
          </w:p>
        </w:tc>
        <w:tc>
          <w:tcPr>
            <w:tcW w:w="605" w:type="pct"/>
            <w:tcBorders>
              <w:left w:val="single" w:sz="4" w:space="0" w:color="auto"/>
            </w:tcBorders>
            <w:noWrap/>
            <w:hideMark/>
          </w:tcPr>
          <w:p w14:paraId="02457715"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13.3%</w:t>
            </w:r>
          </w:p>
        </w:tc>
      </w:tr>
      <w:tr w:rsidR="00BC498F" w:rsidRPr="00966299" w14:paraId="3DCE86C0"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14:paraId="26E3A52A" w14:textId="77777777" w:rsidR="00BC498F" w:rsidRPr="00966299" w:rsidRDefault="00BC498F" w:rsidP="00BA7353">
            <w:pPr>
              <w:spacing w:after="0" w:line="240" w:lineRule="auto"/>
              <w:rPr>
                <w:rFonts w:eastAsia="Times New Roman" w:cs="Arial"/>
                <w:b/>
                <w:bCs/>
                <w:i/>
                <w:iCs/>
                <w:color w:val="000000"/>
                <w:sz w:val="20"/>
                <w:szCs w:val="20"/>
                <w:lang w:eastAsia="en-AU"/>
              </w:rPr>
            </w:pPr>
            <w:r w:rsidRPr="00966299">
              <w:rPr>
                <w:rFonts w:eastAsia="Times New Roman" w:cs="Arial"/>
                <w:b/>
                <w:bCs/>
                <w:i/>
                <w:iCs/>
                <w:color w:val="000000"/>
                <w:sz w:val="20"/>
                <w:szCs w:val="20"/>
                <w:lang w:eastAsia="en-AU"/>
              </w:rPr>
              <w:t>All projected participants</w:t>
            </w:r>
          </w:p>
        </w:tc>
        <w:tc>
          <w:tcPr>
            <w:tcW w:w="0" w:type="pct"/>
            <w:shd w:val="clear" w:color="auto" w:fill="auto"/>
            <w:noWrap/>
            <w:hideMark/>
          </w:tcPr>
          <w:p w14:paraId="0643F223"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 </w:t>
            </w:r>
          </w:p>
        </w:tc>
        <w:tc>
          <w:tcPr>
            <w:tcW w:w="0" w:type="pct"/>
            <w:shd w:val="clear" w:color="auto" w:fill="auto"/>
            <w:noWrap/>
            <w:hideMark/>
          </w:tcPr>
          <w:p w14:paraId="77ACCCD4"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 </w:t>
            </w:r>
          </w:p>
        </w:tc>
        <w:tc>
          <w:tcPr>
            <w:tcW w:w="0" w:type="pct"/>
            <w:shd w:val="clear" w:color="auto" w:fill="auto"/>
            <w:noWrap/>
            <w:hideMark/>
          </w:tcPr>
          <w:p w14:paraId="3B3ACFFC"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 </w:t>
            </w:r>
          </w:p>
        </w:tc>
        <w:tc>
          <w:tcPr>
            <w:tcW w:w="0" w:type="pct"/>
            <w:tcBorders>
              <w:right w:val="dotted" w:sz="4" w:space="0" w:color="auto"/>
            </w:tcBorders>
            <w:shd w:val="clear" w:color="auto" w:fill="auto"/>
            <w:noWrap/>
            <w:hideMark/>
          </w:tcPr>
          <w:p w14:paraId="5A49D0D6"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 </w:t>
            </w:r>
          </w:p>
        </w:tc>
        <w:tc>
          <w:tcPr>
            <w:tcW w:w="507" w:type="pct"/>
            <w:tcBorders>
              <w:top w:val="nil"/>
              <w:left w:val="dotted" w:sz="4" w:space="0" w:color="auto"/>
              <w:bottom w:val="nil"/>
              <w:right w:val="single" w:sz="4" w:space="0" w:color="auto"/>
            </w:tcBorders>
            <w:shd w:val="clear" w:color="auto" w:fill="auto"/>
            <w:noWrap/>
            <w:hideMark/>
          </w:tcPr>
          <w:p w14:paraId="5CDD76DC"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 </w:t>
            </w:r>
          </w:p>
        </w:tc>
        <w:tc>
          <w:tcPr>
            <w:tcW w:w="605" w:type="pct"/>
            <w:tcBorders>
              <w:left w:val="single" w:sz="4" w:space="0" w:color="auto"/>
            </w:tcBorders>
            <w:shd w:val="clear" w:color="auto" w:fill="auto"/>
            <w:noWrap/>
            <w:hideMark/>
          </w:tcPr>
          <w:p w14:paraId="3725BCF3"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 </w:t>
            </w:r>
          </w:p>
        </w:tc>
      </w:tr>
      <w:tr w:rsidR="00BC498F" w:rsidRPr="00966299" w14:paraId="226DED93"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371450BD" w14:textId="77777777" w:rsidR="00BC498F" w:rsidRPr="00966299" w:rsidRDefault="00BC498F" w:rsidP="00BA7353">
            <w:pPr>
              <w:spacing w:after="0" w:line="240" w:lineRule="auto"/>
              <w:rPr>
                <w:rFonts w:eastAsia="Times New Roman" w:cs="Arial"/>
                <w:color w:val="000000"/>
                <w:sz w:val="20"/>
                <w:szCs w:val="20"/>
                <w:lang w:eastAsia="en-AU"/>
              </w:rPr>
            </w:pPr>
            <w:r w:rsidRPr="00966299">
              <w:rPr>
                <w:rFonts w:eastAsia="Times New Roman" w:cs="Arial"/>
                <w:color w:val="000000"/>
                <w:sz w:val="20"/>
                <w:szCs w:val="20"/>
                <w:lang w:eastAsia="en-AU"/>
              </w:rPr>
              <w:t>Scheme Expenses ($m)</w:t>
            </w:r>
          </w:p>
        </w:tc>
        <w:tc>
          <w:tcPr>
            <w:tcW w:w="0" w:type="pct"/>
            <w:noWrap/>
            <w:hideMark/>
          </w:tcPr>
          <w:p w14:paraId="216A2619"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34,104</w:t>
            </w:r>
          </w:p>
        </w:tc>
        <w:tc>
          <w:tcPr>
            <w:tcW w:w="0" w:type="pct"/>
            <w:noWrap/>
            <w:hideMark/>
          </w:tcPr>
          <w:p w14:paraId="004452D8"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38,572</w:t>
            </w:r>
          </w:p>
        </w:tc>
        <w:tc>
          <w:tcPr>
            <w:tcW w:w="0" w:type="pct"/>
            <w:noWrap/>
            <w:hideMark/>
          </w:tcPr>
          <w:p w14:paraId="582AE010"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44,968</w:t>
            </w:r>
          </w:p>
        </w:tc>
        <w:tc>
          <w:tcPr>
            <w:tcW w:w="0" w:type="pct"/>
            <w:tcBorders>
              <w:right w:val="dotted" w:sz="4" w:space="0" w:color="auto"/>
            </w:tcBorders>
            <w:noWrap/>
            <w:hideMark/>
          </w:tcPr>
          <w:p w14:paraId="7FE2BD79"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51,670</w:t>
            </w:r>
          </w:p>
        </w:tc>
        <w:tc>
          <w:tcPr>
            <w:tcW w:w="507" w:type="pct"/>
            <w:tcBorders>
              <w:top w:val="nil"/>
              <w:left w:val="dotted" w:sz="4" w:space="0" w:color="auto"/>
              <w:bottom w:val="nil"/>
              <w:right w:val="single" w:sz="4" w:space="0" w:color="auto"/>
            </w:tcBorders>
            <w:noWrap/>
            <w:hideMark/>
          </w:tcPr>
          <w:p w14:paraId="388BB641"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94,451</w:t>
            </w:r>
          </w:p>
        </w:tc>
        <w:tc>
          <w:tcPr>
            <w:tcW w:w="605" w:type="pct"/>
            <w:tcBorders>
              <w:left w:val="single" w:sz="4" w:space="0" w:color="auto"/>
            </w:tcBorders>
            <w:noWrap/>
            <w:hideMark/>
          </w:tcPr>
          <w:p w14:paraId="62DBB9A6"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169,314</w:t>
            </w:r>
          </w:p>
        </w:tc>
      </w:tr>
      <w:tr w:rsidR="00BC498F" w:rsidRPr="00966299" w14:paraId="7CD1E928"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0" w:type="pct"/>
            <w:shd w:val="clear" w:color="auto" w:fill="auto"/>
            <w:noWrap/>
            <w:hideMark/>
          </w:tcPr>
          <w:p w14:paraId="6E3FD2D4" w14:textId="77777777" w:rsidR="00BC498F" w:rsidRPr="00966299" w:rsidRDefault="00BC498F" w:rsidP="00BA7353">
            <w:pPr>
              <w:spacing w:after="0" w:line="240" w:lineRule="auto"/>
              <w:rPr>
                <w:rFonts w:eastAsia="Times New Roman" w:cs="Arial"/>
                <w:color w:val="000000"/>
                <w:sz w:val="20"/>
                <w:szCs w:val="20"/>
                <w:lang w:eastAsia="en-AU"/>
              </w:rPr>
            </w:pPr>
            <w:r w:rsidRPr="00966299">
              <w:rPr>
                <w:rFonts w:eastAsia="Times New Roman" w:cs="Arial"/>
                <w:color w:val="000000"/>
                <w:sz w:val="20"/>
                <w:szCs w:val="20"/>
                <w:lang w:eastAsia="en-AU"/>
              </w:rPr>
              <w:t>Variance to baseline ($m)</w:t>
            </w:r>
          </w:p>
        </w:tc>
        <w:tc>
          <w:tcPr>
            <w:tcW w:w="0" w:type="pct"/>
            <w:shd w:val="clear" w:color="auto" w:fill="auto"/>
            <w:noWrap/>
            <w:hideMark/>
          </w:tcPr>
          <w:p w14:paraId="2187F239"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128</w:t>
            </w:r>
          </w:p>
        </w:tc>
        <w:tc>
          <w:tcPr>
            <w:tcW w:w="0" w:type="pct"/>
            <w:shd w:val="clear" w:color="auto" w:fill="auto"/>
            <w:noWrap/>
            <w:hideMark/>
          </w:tcPr>
          <w:p w14:paraId="77643B10"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439</w:t>
            </w:r>
          </w:p>
        </w:tc>
        <w:tc>
          <w:tcPr>
            <w:tcW w:w="0" w:type="pct"/>
            <w:shd w:val="clear" w:color="auto" w:fill="auto"/>
            <w:noWrap/>
            <w:hideMark/>
          </w:tcPr>
          <w:p w14:paraId="5B3AC428"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852</w:t>
            </w:r>
          </w:p>
        </w:tc>
        <w:tc>
          <w:tcPr>
            <w:tcW w:w="0" w:type="pct"/>
            <w:tcBorders>
              <w:right w:val="dotted" w:sz="4" w:space="0" w:color="auto"/>
            </w:tcBorders>
            <w:shd w:val="clear" w:color="auto" w:fill="auto"/>
            <w:noWrap/>
            <w:hideMark/>
          </w:tcPr>
          <w:p w14:paraId="7884095F"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1,326</w:t>
            </w:r>
          </w:p>
        </w:tc>
        <w:tc>
          <w:tcPr>
            <w:tcW w:w="507" w:type="pct"/>
            <w:tcBorders>
              <w:top w:val="nil"/>
              <w:left w:val="dotted" w:sz="4" w:space="0" w:color="auto"/>
              <w:bottom w:val="nil"/>
              <w:right w:val="single" w:sz="4" w:space="0" w:color="auto"/>
            </w:tcBorders>
            <w:shd w:val="clear" w:color="auto" w:fill="auto"/>
            <w:noWrap/>
            <w:hideMark/>
          </w:tcPr>
          <w:p w14:paraId="7C686F5A"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5,048</w:t>
            </w:r>
          </w:p>
        </w:tc>
        <w:tc>
          <w:tcPr>
            <w:tcW w:w="605" w:type="pct"/>
            <w:tcBorders>
              <w:left w:val="single" w:sz="4" w:space="0" w:color="auto"/>
            </w:tcBorders>
            <w:shd w:val="clear" w:color="auto" w:fill="auto"/>
            <w:noWrap/>
            <w:hideMark/>
          </w:tcPr>
          <w:p w14:paraId="4D84DAFD" w14:textId="77777777" w:rsidR="00BC498F" w:rsidRPr="00966299" w:rsidRDefault="00BC498F" w:rsidP="00287865">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2,745</w:t>
            </w:r>
          </w:p>
        </w:tc>
      </w:tr>
      <w:tr w:rsidR="0084149B" w:rsidRPr="009E7A4B" w14:paraId="3E630473" w14:textId="77777777" w:rsidTr="00711C14">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32" w:type="pct"/>
            <w:shd w:val="clear" w:color="auto" w:fill="BFBFBF" w:themeFill="background1" w:themeFillShade="BF"/>
            <w:noWrap/>
            <w:hideMark/>
          </w:tcPr>
          <w:p w14:paraId="1BEAAE27" w14:textId="77777777" w:rsidR="00BC498F" w:rsidRPr="00966299" w:rsidRDefault="00BC498F" w:rsidP="00287865">
            <w:pPr>
              <w:spacing w:after="0" w:line="240" w:lineRule="auto"/>
              <w:rPr>
                <w:rFonts w:eastAsia="Times New Roman" w:cs="Arial"/>
                <w:color w:val="000000"/>
                <w:sz w:val="20"/>
                <w:szCs w:val="20"/>
                <w:lang w:eastAsia="en-AU"/>
              </w:rPr>
            </w:pPr>
            <w:r w:rsidRPr="00966299">
              <w:rPr>
                <w:rFonts w:eastAsia="Times New Roman" w:cs="Arial"/>
                <w:color w:val="000000"/>
                <w:sz w:val="20"/>
                <w:szCs w:val="20"/>
                <w:lang w:eastAsia="en-AU"/>
              </w:rPr>
              <w:t>% variance to baseline</w:t>
            </w:r>
          </w:p>
        </w:tc>
        <w:tc>
          <w:tcPr>
            <w:tcW w:w="688" w:type="pct"/>
            <w:shd w:val="clear" w:color="auto" w:fill="BFBFBF" w:themeFill="background1" w:themeFillShade="BF"/>
            <w:noWrap/>
            <w:hideMark/>
          </w:tcPr>
          <w:p w14:paraId="1527C325"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0.4%</w:t>
            </w:r>
          </w:p>
        </w:tc>
        <w:tc>
          <w:tcPr>
            <w:tcW w:w="556" w:type="pct"/>
            <w:shd w:val="clear" w:color="auto" w:fill="BFBFBF" w:themeFill="background1" w:themeFillShade="BF"/>
            <w:noWrap/>
            <w:hideMark/>
          </w:tcPr>
          <w:p w14:paraId="31762607"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1.2%</w:t>
            </w:r>
          </w:p>
        </w:tc>
        <w:tc>
          <w:tcPr>
            <w:tcW w:w="556" w:type="pct"/>
            <w:shd w:val="clear" w:color="auto" w:fill="BFBFBF" w:themeFill="background1" w:themeFillShade="BF"/>
            <w:noWrap/>
            <w:hideMark/>
          </w:tcPr>
          <w:p w14:paraId="1C9DAE3E"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1.9%</w:t>
            </w:r>
          </w:p>
        </w:tc>
        <w:tc>
          <w:tcPr>
            <w:tcW w:w="556" w:type="pct"/>
            <w:tcBorders>
              <w:right w:val="dotted" w:sz="4" w:space="0" w:color="auto"/>
            </w:tcBorders>
            <w:shd w:val="clear" w:color="auto" w:fill="BFBFBF" w:themeFill="background1" w:themeFillShade="BF"/>
            <w:noWrap/>
            <w:hideMark/>
          </w:tcPr>
          <w:p w14:paraId="68322FE0"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2.6%</w:t>
            </w:r>
          </w:p>
        </w:tc>
        <w:tc>
          <w:tcPr>
            <w:tcW w:w="507" w:type="pct"/>
            <w:tcBorders>
              <w:top w:val="nil"/>
              <w:left w:val="dotted" w:sz="4" w:space="0" w:color="auto"/>
              <w:bottom w:val="single" w:sz="4" w:space="0" w:color="auto"/>
              <w:right w:val="single" w:sz="4" w:space="0" w:color="auto"/>
            </w:tcBorders>
            <w:shd w:val="clear" w:color="auto" w:fill="BFBFBF" w:themeFill="background1" w:themeFillShade="BF"/>
            <w:noWrap/>
            <w:hideMark/>
          </w:tcPr>
          <w:p w14:paraId="68639CC8"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5.6%</w:t>
            </w:r>
          </w:p>
        </w:tc>
        <w:tc>
          <w:tcPr>
            <w:tcW w:w="605" w:type="pct"/>
            <w:tcBorders>
              <w:left w:val="single" w:sz="4" w:space="0" w:color="auto"/>
              <w:bottom w:val="single" w:sz="4" w:space="0" w:color="auto"/>
            </w:tcBorders>
            <w:shd w:val="clear" w:color="auto" w:fill="BFBFBF" w:themeFill="background1" w:themeFillShade="BF"/>
            <w:noWrap/>
            <w:hideMark/>
          </w:tcPr>
          <w:p w14:paraId="5082A0E3" w14:textId="77777777" w:rsidR="00BC498F" w:rsidRPr="00966299" w:rsidRDefault="00BC498F" w:rsidP="002878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966299">
              <w:rPr>
                <w:rFonts w:eastAsia="Times New Roman" w:cs="Arial"/>
                <w:color w:val="000000"/>
                <w:sz w:val="20"/>
                <w:szCs w:val="20"/>
                <w:lang w:eastAsia="en-AU"/>
              </w:rPr>
              <w:t>1.6%</w:t>
            </w:r>
          </w:p>
        </w:tc>
      </w:tr>
    </w:tbl>
    <w:p w14:paraId="77AE7D66" w14:textId="77777777" w:rsidR="00C70A4C" w:rsidRDefault="00C70A4C" w:rsidP="00BC498F">
      <w:pPr>
        <w:pStyle w:val="FSRHeading5"/>
      </w:pPr>
    </w:p>
    <w:p w14:paraId="7C0DB926" w14:textId="77777777" w:rsidR="00C70A4C" w:rsidRDefault="00C70A4C">
      <w:pPr>
        <w:spacing w:after="160" w:line="259" w:lineRule="auto"/>
        <w:rPr>
          <w:b/>
          <w:i/>
          <w:color w:val="F26322"/>
          <w:sz w:val="24"/>
        </w:rPr>
      </w:pPr>
      <w:r>
        <w:br w:type="page"/>
      </w:r>
    </w:p>
    <w:p w14:paraId="3584D3D4" w14:textId="77777777" w:rsidR="00BC498F" w:rsidRPr="004C288B" w:rsidRDefault="00BC498F" w:rsidP="00BC498F">
      <w:pPr>
        <w:pStyle w:val="FSRHeading5"/>
        <w:rPr>
          <w:iCs/>
        </w:rPr>
      </w:pPr>
      <w:r>
        <w:lastRenderedPageBreak/>
        <w:t>Scenario: Lower</w:t>
      </w:r>
      <w:r w:rsidRPr="00CC3CF6">
        <w:t xml:space="preserve"> assumptions regarding the number of new </w:t>
      </w:r>
      <w:r>
        <w:t>participants</w:t>
      </w:r>
    </w:p>
    <w:p w14:paraId="43BF2A95" w14:textId="77777777" w:rsidR="00BC498F" w:rsidRDefault="00BC498F" w:rsidP="00DA3F73">
      <w:pPr>
        <w:pStyle w:val="FSRnormal"/>
      </w:pPr>
      <w:r>
        <w:t xml:space="preserve">In this scenario the assumptions relating to new entrants is </w:t>
      </w:r>
      <w:r w:rsidRPr="00B82419">
        <w:t xml:space="preserve">15% lower than those assumed in the baseline projections. This reduces </w:t>
      </w:r>
      <w:r>
        <w:t xml:space="preserve">the </w:t>
      </w:r>
      <w:r w:rsidR="007528B4">
        <w:t>S</w:t>
      </w:r>
      <w:r>
        <w:t xml:space="preserve">cheme expenses </w:t>
      </w:r>
      <w:r w:rsidRPr="00B82419">
        <w:t>by $1.3 billion in 2025-26 and $5.0 billion in 2031-32.</w:t>
      </w:r>
    </w:p>
    <w:p w14:paraId="17D1634F" w14:textId="77777777" w:rsidR="00C70A4C" w:rsidRDefault="00C70A4C" w:rsidP="00DA3F73">
      <w:pPr>
        <w:pStyle w:val="Tables"/>
      </w:pPr>
      <w:r>
        <w:t xml:space="preserve">Table </w:t>
      </w:r>
      <w:fldSimple w:instr=" STYLEREF 2 \s ">
        <w:r w:rsidR="00A87896">
          <w:rPr>
            <w:noProof/>
          </w:rPr>
          <w:t>6</w:t>
        </w:r>
      </w:fldSimple>
      <w:r w:rsidR="00A87896">
        <w:t>.</w:t>
      </w:r>
      <w:fldSimple w:instr=" SEQ Table \* ARABIC \s 2 ">
        <w:r w:rsidR="00A87896">
          <w:rPr>
            <w:noProof/>
          </w:rPr>
          <w:t>6</w:t>
        </w:r>
      </w:fldSimple>
      <w:r w:rsidRPr="00EA6635">
        <w:t>: Scenario results -</w:t>
      </w:r>
      <w:r w:rsidRPr="00966299">
        <w:t xml:space="preserve"> </w:t>
      </w:r>
      <w:r>
        <w:t>Lower</w:t>
      </w:r>
      <w:r w:rsidRPr="00CC3CF6">
        <w:t xml:space="preserve"> assumptions regarding the number of new </w:t>
      </w:r>
      <w:r>
        <w:t>participants</w:t>
      </w:r>
    </w:p>
    <w:tbl>
      <w:tblPr>
        <w:tblStyle w:val="FSRtable"/>
        <w:tblW w:w="4773" w:type="pct"/>
        <w:tblInd w:w="5" w:type="dxa"/>
        <w:tblLook w:val="04A0" w:firstRow="1" w:lastRow="0" w:firstColumn="1" w:lastColumn="0" w:noHBand="0" w:noVBand="1"/>
      </w:tblPr>
      <w:tblGrid>
        <w:gridCol w:w="2617"/>
        <w:gridCol w:w="1248"/>
        <w:gridCol w:w="950"/>
        <w:gridCol w:w="950"/>
        <w:gridCol w:w="951"/>
        <w:gridCol w:w="950"/>
        <w:gridCol w:w="950"/>
      </w:tblGrid>
      <w:tr w:rsidR="00BC498F" w:rsidRPr="00295F2A" w14:paraId="7F889268"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19" w:type="pct"/>
            <w:noWrap/>
            <w:hideMark/>
          </w:tcPr>
          <w:p w14:paraId="56DB849F" w14:textId="77777777" w:rsidR="00BC498F" w:rsidRPr="00295F2A" w:rsidRDefault="00BC498F" w:rsidP="00BA7353">
            <w:pPr>
              <w:spacing w:after="0" w:line="240" w:lineRule="auto"/>
              <w:rPr>
                <w:rFonts w:eastAsia="Times New Roman"/>
                <w:color w:val="FFFFFF"/>
                <w:sz w:val="20"/>
                <w:szCs w:val="20"/>
                <w:lang w:eastAsia="en-AU"/>
              </w:rPr>
            </w:pPr>
            <w:r w:rsidRPr="00295F2A">
              <w:rPr>
                <w:rFonts w:eastAsia="Times New Roman"/>
                <w:color w:val="FFFFFF"/>
                <w:sz w:val="20"/>
                <w:szCs w:val="20"/>
                <w:lang w:eastAsia="en-AU"/>
              </w:rPr>
              <w:t> </w:t>
            </w:r>
          </w:p>
        </w:tc>
        <w:tc>
          <w:tcPr>
            <w:tcW w:w="2379" w:type="pct"/>
            <w:gridSpan w:val="4"/>
            <w:tcBorders>
              <w:top w:val="single" w:sz="4" w:space="0" w:color="auto"/>
              <w:bottom w:val="dotted" w:sz="4" w:space="0" w:color="FFFFFF" w:themeColor="background1"/>
            </w:tcBorders>
            <w:noWrap/>
            <w:hideMark/>
          </w:tcPr>
          <w:p w14:paraId="3E7BA712" w14:textId="77777777" w:rsidR="00BC498F" w:rsidRPr="00DA3F73"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295F2A">
              <w:rPr>
                <w:rFonts w:eastAsia="Times New Roman"/>
                <w:bCs/>
                <w:color w:val="FFFFFF"/>
                <w:sz w:val="20"/>
                <w:szCs w:val="20"/>
                <w:lang w:eastAsia="en-AU"/>
              </w:rPr>
              <w:t>Projection Year</w:t>
            </w:r>
          </w:p>
        </w:tc>
        <w:tc>
          <w:tcPr>
            <w:tcW w:w="551" w:type="pct"/>
            <w:tcBorders>
              <w:top w:val="single" w:sz="4" w:space="0" w:color="auto"/>
              <w:bottom w:val="dotted" w:sz="4" w:space="0" w:color="FFFFFF" w:themeColor="background1"/>
              <w:right w:val="single" w:sz="4" w:space="0" w:color="auto"/>
            </w:tcBorders>
            <w:noWrap/>
            <w:hideMark/>
          </w:tcPr>
          <w:p w14:paraId="28C5392E" w14:textId="77777777" w:rsidR="00BC498F" w:rsidRPr="00DA3F73"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295F2A">
              <w:rPr>
                <w:rFonts w:eastAsia="Times New Roman"/>
                <w:bCs/>
                <w:color w:val="FFFFFF"/>
                <w:sz w:val="20"/>
                <w:szCs w:val="20"/>
                <w:lang w:eastAsia="en-AU"/>
              </w:rPr>
              <w:t> </w:t>
            </w:r>
          </w:p>
        </w:tc>
        <w:tc>
          <w:tcPr>
            <w:tcW w:w="551" w:type="pct"/>
            <w:tcBorders>
              <w:top w:val="single" w:sz="4" w:space="0" w:color="auto"/>
              <w:left w:val="single" w:sz="4" w:space="0" w:color="auto"/>
              <w:bottom w:val="dotted" w:sz="4" w:space="0" w:color="FFFFFF" w:themeColor="background1"/>
            </w:tcBorders>
            <w:noWrap/>
            <w:hideMark/>
          </w:tcPr>
          <w:p w14:paraId="312F52CF" w14:textId="77777777" w:rsidR="00BC498F" w:rsidRPr="00DA3F73"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295F2A">
              <w:rPr>
                <w:rFonts w:eastAsia="Times New Roman"/>
                <w:bCs/>
                <w:color w:val="FFFFFF"/>
                <w:sz w:val="20"/>
                <w:szCs w:val="20"/>
                <w:lang w:eastAsia="en-AU"/>
              </w:rPr>
              <w:t>Total</w:t>
            </w:r>
          </w:p>
        </w:tc>
      </w:tr>
      <w:tr w:rsidR="00BC498F" w:rsidRPr="00191697" w14:paraId="201326DD"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19" w:type="pct"/>
            <w:noWrap/>
            <w:hideMark/>
          </w:tcPr>
          <w:p w14:paraId="35659D5D" w14:textId="77777777" w:rsidR="00BC498F" w:rsidRPr="00191697" w:rsidRDefault="00BC498F" w:rsidP="00BA7353">
            <w:pPr>
              <w:spacing w:after="0" w:line="240" w:lineRule="auto"/>
              <w:rPr>
                <w:rFonts w:eastAsia="Times New Roman"/>
                <w:color w:val="FFFFFF"/>
                <w:sz w:val="20"/>
                <w:szCs w:val="20"/>
                <w:lang w:eastAsia="en-AU"/>
              </w:rPr>
            </w:pPr>
            <w:r w:rsidRPr="00191697">
              <w:rPr>
                <w:rFonts w:eastAsia="Times New Roman"/>
                <w:color w:val="FFFFFF"/>
                <w:sz w:val="20"/>
                <w:szCs w:val="20"/>
                <w:lang w:eastAsia="en-AU"/>
              </w:rPr>
              <w:t> </w:t>
            </w:r>
          </w:p>
        </w:tc>
        <w:tc>
          <w:tcPr>
            <w:tcW w:w="725" w:type="pct"/>
            <w:tcBorders>
              <w:top w:val="dotted" w:sz="4" w:space="0" w:color="FFFFFF" w:themeColor="background1"/>
            </w:tcBorders>
            <w:noWrap/>
            <w:hideMark/>
          </w:tcPr>
          <w:p w14:paraId="1652BCBF"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2022-23</w:t>
            </w:r>
          </w:p>
        </w:tc>
        <w:tc>
          <w:tcPr>
            <w:tcW w:w="551" w:type="pct"/>
            <w:tcBorders>
              <w:top w:val="dotted" w:sz="4" w:space="0" w:color="FFFFFF" w:themeColor="background1"/>
            </w:tcBorders>
            <w:noWrap/>
            <w:hideMark/>
          </w:tcPr>
          <w:p w14:paraId="7F1FBB8E"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2023-24</w:t>
            </w:r>
          </w:p>
        </w:tc>
        <w:tc>
          <w:tcPr>
            <w:tcW w:w="551" w:type="pct"/>
            <w:tcBorders>
              <w:top w:val="dotted" w:sz="4" w:space="0" w:color="FFFFFF" w:themeColor="background1"/>
            </w:tcBorders>
            <w:noWrap/>
            <w:hideMark/>
          </w:tcPr>
          <w:p w14:paraId="7F6B446C"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2024-25</w:t>
            </w:r>
          </w:p>
        </w:tc>
        <w:tc>
          <w:tcPr>
            <w:tcW w:w="551" w:type="pct"/>
            <w:tcBorders>
              <w:top w:val="dotted" w:sz="4" w:space="0" w:color="FFFFFF" w:themeColor="background1"/>
              <w:right w:val="dotted" w:sz="4" w:space="0" w:color="auto"/>
            </w:tcBorders>
            <w:noWrap/>
            <w:hideMark/>
          </w:tcPr>
          <w:p w14:paraId="512CDD97"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2025-26</w:t>
            </w:r>
          </w:p>
        </w:tc>
        <w:tc>
          <w:tcPr>
            <w:tcW w:w="551" w:type="pct"/>
            <w:tcBorders>
              <w:top w:val="dotted" w:sz="4" w:space="0" w:color="FFFFFF" w:themeColor="background1"/>
              <w:left w:val="dotted" w:sz="4" w:space="0" w:color="auto"/>
              <w:bottom w:val="nil"/>
              <w:right w:val="single" w:sz="4" w:space="0" w:color="auto"/>
            </w:tcBorders>
            <w:noWrap/>
            <w:hideMark/>
          </w:tcPr>
          <w:p w14:paraId="413DDB86"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2031-32</w:t>
            </w:r>
          </w:p>
        </w:tc>
        <w:tc>
          <w:tcPr>
            <w:tcW w:w="551" w:type="pct"/>
            <w:tcBorders>
              <w:top w:val="dotted" w:sz="4" w:space="0" w:color="FFFFFF" w:themeColor="background1"/>
              <w:left w:val="single" w:sz="4" w:space="0" w:color="auto"/>
            </w:tcBorders>
            <w:noWrap/>
            <w:hideMark/>
          </w:tcPr>
          <w:p w14:paraId="7D1B6C35" w14:textId="77777777" w:rsidR="00BC498F" w:rsidRPr="00191697"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2022-26</w:t>
            </w:r>
          </w:p>
        </w:tc>
      </w:tr>
      <w:tr w:rsidR="00BC498F" w:rsidRPr="00295F2A" w14:paraId="32E39917"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19" w:type="pct"/>
            <w:shd w:val="clear" w:color="auto" w:fill="auto"/>
            <w:noWrap/>
            <w:hideMark/>
          </w:tcPr>
          <w:p w14:paraId="19C6BEA2" w14:textId="77777777" w:rsidR="00BC498F" w:rsidRPr="00295F2A" w:rsidRDefault="00BC498F" w:rsidP="00BA7353">
            <w:pPr>
              <w:spacing w:after="0" w:line="240" w:lineRule="auto"/>
              <w:rPr>
                <w:rFonts w:eastAsia="Times New Roman" w:cs="Arial"/>
                <w:b/>
                <w:bCs/>
                <w:i/>
                <w:iCs/>
                <w:color w:val="000000"/>
                <w:sz w:val="20"/>
                <w:szCs w:val="20"/>
                <w:lang w:eastAsia="en-AU"/>
              </w:rPr>
            </w:pPr>
            <w:r w:rsidRPr="00295F2A">
              <w:rPr>
                <w:rFonts w:eastAsia="Times New Roman" w:cs="Arial"/>
                <w:b/>
                <w:bCs/>
                <w:i/>
                <w:iCs/>
                <w:color w:val="000000"/>
                <w:sz w:val="20"/>
                <w:szCs w:val="20"/>
                <w:lang w:eastAsia="en-AU"/>
              </w:rPr>
              <w:t>Existing participants</w:t>
            </w:r>
          </w:p>
        </w:tc>
        <w:tc>
          <w:tcPr>
            <w:tcW w:w="725" w:type="pct"/>
            <w:shd w:val="clear" w:color="auto" w:fill="auto"/>
            <w:noWrap/>
            <w:hideMark/>
          </w:tcPr>
          <w:p w14:paraId="788C183A"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 </w:t>
            </w:r>
          </w:p>
        </w:tc>
        <w:tc>
          <w:tcPr>
            <w:tcW w:w="551" w:type="pct"/>
            <w:shd w:val="clear" w:color="auto" w:fill="auto"/>
            <w:noWrap/>
            <w:hideMark/>
          </w:tcPr>
          <w:p w14:paraId="318A5EEF"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 </w:t>
            </w:r>
          </w:p>
        </w:tc>
        <w:tc>
          <w:tcPr>
            <w:tcW w:w="551" w:type="pct"/>
            <w:shd w:val="clear" w:color="auto" w:fill="auto"/>
            <w:noWrap/>
            <w:hideMark/>
          </w:tcPr>
          <w:p w14:paraId="2468C607"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 </w:t>
            </w:r>
          </w:p>
        </w:tc>
        <w:tc>
          <w:tcPr>
            <w:tcW w:w="551" w:type="pct"/>
            <w:tcBorders>
              <w:right w:val="dotted" w:sz="4" w:space="0" w:color="auto"/>
            </w:tcBorders>
            <w:shd w:val="clear" w:color="auto" w:fill="auto"/>
            <w:noWrap/>
            <w:hideMark/>
          </w:tcPr>
          <w:p w14:paraId="6281ADCB"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 </w:t>
            </w:r>
          </w:p>
        </w:tc>
        <w:tc>
          <w:tcPr>
            <w:tcW w:w="551" w:type="pct"/>
            <w:tcBorders>
              <w:top w:val="nil"/>
              <w:left w:val="dotted" w:sz="4" w:space="0" w:color="auto"/>
              <w:bottom w:val="nil"/>
              <w:right w:val="single" w:sz="4" w:space="0" w:color="auto"/>
            </w:tcBorders>
            <w:shd w:val="clear" w:color="auto" w:fill="auto"/>
            <w:noWrap/>
            <w:hideMark/>
          </w:tcPr>
          <w:p w14:paraId="23F527E1"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 </w:t>
            </w:r>
          </w:p>
        </w:tc>
        <w:tc>
          <w:tcPr>
            <w:tcW w:w="551" w:type="pct"/>
            <w:tcBorders>
              <w:left w:val="single" w:sz="4" w:space="0" w:color="auto"/>
            </w:tcBorders>
            <w:shd w:val="clear" w:color="auto" w:fill="auto"/>
            <w:noWrap/>
            <w:hideMark/>
          </w:tcPr>
          <w:p w14:paraId="0F07A222"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 </w:t>
            </w:r>
          </w:p>
        </w:tc>
      </w:tr>
      <w:tr w:rsidR="00BC498F" w:rsidRPr="00295F2A" w14:paraId="356603DC"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19" w:type="pct"/>
            <w:noWrap/>
            <w:hideMark/>
          </w:tcPr>
          <w:p w14:paraId="6074DDAC" w14:textId="77777777" w:rsidR="00BC498F" w:rsidRPr="00295F2A" w:rsidRDefault="00BC498F" w:rsidP="00BA7353">
            <w:pPr>
              <w:spacing w:after="0" w:line="240" w:lineRule="auto"/>
              <w:rPr>
                <w:rFonts w:eastAsia="Times New Roman" w:cs="Arial"/>
                <w:color w:val="000000"/>
                <w:sz w:val="20"/>
                <w:szCs w:val="20"/>
                <w:lang w:eastAsia="en-AU"/>
              </w:rPr>
            </w:pPr>
            <w:r w:rsidRPr="00295F2A">
              <w:rPr>
                <w:rFonts w:eastAsia="Times New Roman" w:cs="Arial"/>
                <w:color w:val="000000"/>
                <w:sz w:val="20"/>
                <w:szCs w:val="20"/>
                <w:lang w:eastAsia="en-AU"/>
              </w:rPr>
              <w:t>Scheme Expenses ($m)</w:t>
            </w:r>
          </w:p>
        </w:tc>
        <w:tc>
          <w:tcPr>
            <w:tcW w:w="725" w:type="pct"/>
            <w:noWrap/>
            <w:hideMark/>
          </w:tcPr>
          <w:p w14:paraId="7E68F2E9"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32,967</w:t>
            </w:r>
          </w:p>
        </w:tc>
        <w:tc>
          <w:tcPr>
            <w:tcW w:w="551" w:type="pct"/>
            <w:noWrap/>
            <w:hideMark/>
          </w:tcPr>
          <w:p w14:paraId="1B3BD646"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34,700</w:t>
            </w:r>
          </w:p>
        </w:tc>
        <w:tc>
          <w:tcPr>
            <w:tcW w:w="551" w:type="pct"/>
            <w:noWrap/>
            <w:hideMark/>
          </w:tcPr>
          <w:p w14:paraId="6197F832"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37,662</w:t>
            </w:r>
          </w:p>
        </w:tc>
        <w:tc>
          <w:tcPr>
            <w:tcW w:w="551" w:type="pct"/>
            <w:tcBorders>
              <w:right w:val="dotted" w:sz="4" w:space="0" w:color="auto"/>
            </w:tcBorders>
            <w:noWrap/>
            <w:hideMark/>
          </w:tcPr>
          <w:p w14:paraId="1E197BEB"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40,621</w:t>
            </w:r>
          </w:p>
        </w:tc>
        <w:tc>
          <w:tcPr>
            <w:tcW w:w="551" w:type="pct"/>
            <w:tcBorders>
              <w:top w:val="nil"/>
              <w:left w:val="dotted" w:sz="4" w:space="0" w:color="auto"/>
              <w:bottom w:val="nil"/>
              <w:right w:val="single" w:sz="4" w:space="0" w:color="auto"/>
            </w:tcBorders>
            <w:noWrap/>
            <w:hideMark/>
          </w:tcPr>
          <w:p w14:paraId="52B3B379"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54,370</w:t>
            </w:r>
          </w:p>
        </w:tc>
        <w:tc>
          <w:tcPr>
            <w:tcW w:w="551" w:type="pct"/>
            <w:tcBorders>
              <w:left w:val="single" w:sz="4" w:space="0" w:color="auto"/>
            </w:tcBorders>
            <w:noWrap/>
            <w:hideMark/>
          </w:tcPr>
          <w:p w14:paraId="52F8FF46"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145,950</w:t>
            </w:r>
          </w:p>
        </w:tc>
      </w:tr>
      <w:tr w:rsidR="00BC498F" w:rsidRPr="00295F2A" w14:paraId="76541BB8"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19" w:type="pct"/>
            <w:shd w:val="clear" w:color="auto" w:fill="auto"/>
            <w:noWrap/>
            <w:hideMark/>
          </w:tcPr>
          <w:p w14:paraId="25AEEA30" w14:textId="77777777" w:rsidR="00BC498F" w:rsidRPr="00295F2A" w:rsidRDefault="00BC498F" w:rsidP="00BA7353">
            <w:pPr>
              <w:spacing w:after="0" w:line="240" w:lineRule="auto"/>
              <w:rPr>
                <w:rFonts w:eastAsia="Times New Roman" w:cs="Arial"/>
                <w:color w:val="000000"/>
                <w:sz w:val="20"/>
                <w:szCs w:val="20"/>
                <w:lang w:eastAsia="en-AU"/>
              </w:rPr>
            </w:pPr>
            <w:r w:rsidRPr="00295F2A">
              <w:rPr>
                <w:rFonts w:eastAsia="Times New Roman" w:cs="Arial"/>
                <w:color w:val="000000"/>
                <w:sz w:val="20"/>
                <w:szCs w:val="20"/>
                <w:lang w:eastAsia="en-AU"/>
              </w:rPr>
              <w:t>Variance to baseline ($m)</w:t>
            </w:r>
          </w:p>
        </w:tc>
        <w:tc>
          <w:tcPr>
            <w:tcW w:w="725" w:type="pct"/>
            <w:shd w:val="clear" w:color="auto" w:fill="auto"/>
            <w:noWrap/>
            <w:hideMark/>
          </w:tcPr>
          <w:p w14:paraId="425AF00E"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0</w:t>
            </w:r>
          </w:p>
        </w:tc>
        <w:tc>
          <w:tcPr>
            <w:tcW w:w="551" w:type="pct"/>
            <w:shd w:val="clear" w:color="auto" w:fill="auto"/>
            <w:noWrap/>
            <w:hideMark/>
          </w:tcPr>
          <w:p w14:paraId="35B820E7"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0</w:t>
            </w:r>
          </w:p>
        </w:tc>
        <w:tc>
          <w:tcPr>
            <w:tcW w:w="551" w:type="pct"/>
            <w:shd w:val="clear" w:color="auto" w:fill="auto"/>
            <w:noWrap/>
            <w:hideMark/>
          </w:tcPr>
          <w:p w14:paraId="73D31342"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0</w:t>
            </w:r>
          </w:p>
        </w:tc>
        <w:tc>
          <w:tcPr>
            <w:tcW w:w="551" w:type="pct"/>
            <w:tcBorders>
              <w:right w:val="dotted" w:sz="4" w:space="0" w:color="auto"/>
            </w:tcBorders>
            <w:shd w:val="clear" w:color="auto" w:fill="auto"/>
            <w:noWrap/>
            <w:hideMark/>
          </w:tcPr>
          <w:p w14:paraId="0396C6E9"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0</w:t>
            </w:r>
          </w:p>
        </w:tc>
        <w:tc>
          <w:tcPr>
            <w:tcW w:w="551" w:type="pct"/>
            <w:tcBorders>
              <w:top w:val="nil"/>
              <w:left w:val="dotted" w:sz="4" w:space="0" w:color="auto"/>
              <w:bottom w:val="nil"/>
              <w:right w:val="single" w:sz="4" w:space="0" w:color="auto"/>
            </w:tcBorders>
            <w:shd w:val="clear" w:color="auto" w:fill="auto"/>
            <w:noWrap/>
            <w:hideMark/>
          </w:tcPr>
          <w:p w14:paraId="4A599CE7"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0</w:t>
            </w:r>
          </w:p>
        </w:tc>
        <w:tc>
          <w:tcPr>
            <w:tcW w:w="551" w:type="pct"/>
            <w:tcBorders>
              <w:left w:val="single" w:sz="4" w:space="0" w:color="auto"/>
            </w:tcBorders>
            <w:shd w:val="clear" w:color="auto" w:fill="auto"/>
            <w:noWrap/>
            <w:hideMark/>
          </w:tcPr>
          <w:p w14:paraId="6AE535F6"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0</w:t>
            </w:r>
          </w:p>
        </w:tc>
      </w:tr>
      <w:tr w:rsidR="00BC498F" w:rsidRPr="00295F2A" w14:paraId="49D97F01"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19" w:type="pct"/>
            <w:noWrap/>
            <w:hideMark/>
          </w:tcPr>
          <w:p w14:paraId="13B85DB4" w14:textId="77777777" w:rsidR="00BC498F" w:rsidRPr="00295F2A" w:rsidRDefault="00BC498F" w:rsidP="00BA7353">
            <w:pPr>
              <w:spacing w:after="0" w:line="240" w:lineRule="auto"/>
              <w:rPr>
                <w:rFonts w:eastAsia="Times New Roman" w:cs="Arial"/>
                <w:color w:val="000000"/>
                <w:sz w:val="20"/>
                <w:szCs w:val="20"/>
                <w:lang w:eastAsia="en-AU"/>
              </w:rPr>
            </w:pPr>
            <w:r w:rsidRPr="00295F2A">
              <w:rPr>
                <w:rFonts w:eastAsia="Times New Roman" w:cs="Arial"/>
                <w:color w:val="000000"/>
                <w:sz w:val="20"/>
                <w:szCs w:val="20"/>
                <w:lang w:eastAsia="en-AU"/>
              </w:rPr>
              <w:t>% variance to baseline</w:t>
            </w:r>
          </w:p>
        </w:tc>
        <w:tc>
          <w:tcPr>
            <w:tcW w:w="725" w:type="pct"/>
            <w:noWrap/>
            <w:hideMark/>
          </w:tcPr>
          <w:p w14:paraId="22EF7F9C"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0.0%</w:t>
            </w:r>
          </w:p>
        </w:tc>
        <w:tc>
          <w:tcPr>
            <w:tcW w:w="551" w:type="pct"/>
            <w:noWrap/>
            <w:hideMark/>
          </w:tcPr>
          <w:p w14:paraId="58FF4682"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0.0%</w:t>
            </w:r>
          </w:p>
        </w:tc>
        <w:tc>
          <w:tcPr>
            <w:tcW w:w="551" w:type="pct"/>
            <w:noWrap/>
            <w:hideMark/>
          </w:tcPr>
          <w:p w14:paraId="5440C3F7"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0.0%</w:t>
            </w:r>
          </w:p>
        </w:tc>
        <w:tc>
          <w:tcPr>
            <w:tcW w:w="551" w:type="pct"/>
            <w:tcBorders>
              <w:right w:val="dotted" w:sz="4" w:space="0" w:color="auto"/>
            </w:tcBorders>
            <w:noWrap/>
            <w:hideMark/>
          </w:tcPr>
          <w:p w14:paraId="53AAB34B"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0.0%</w:t>
            </w:r>
          </w:p>
        </w:tc>
        <w:tc>
          <w:tcPr>
            <w:tcW w:w="551" w:type="pct"/>
            <w:tcBorders>
              <w:top w:val="nil"/>
              <w:left w:val="dotted" w:sz="4" w:space="0" w:color="auto"/>
              <w:bottom w:val="nil"/>
              <w:right w:val="single" w:sz="4" w:space="0" w:color="auto"/>
            </w:tcBorders>
            <w:noWrap/>
            <w:hideMark/>
          </w:tcPr>
          <w:p w14:paraId="56AD38E9"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0.0%</w:t>
            </w:r>
          </w:p>
        </w:tc>
        <w:tc>
          <w:tcPr>
            <w:tcW w:w="551" w:type="pct"/>
            <w:tcBorders>
              <w:left w:val="single" w:sz="4" w:space="0" w:color="auto"/>
            </w:tcBorders>
            <w:noWrap/>
            <w:hideMark/>
          </w:tcPr>
          <w:p w14:paraId="4E6D155D"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0.0%</w:t>
            </w:r>
          </w:p>
        </w:tc>
      </w:tr>
      <w:tr w:rsidR="00BC498F" w:rsidRPr="00295F2A" w14:paraId="2614DBEE"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19" w:type="pct"/>
            <w:shd w:val="clear" w:color="auto" w:fill="auto"/>
            <w:noWrap/>
            <w:hideMark/>
          </w:tcPr>
          <w:p w14:paraId="37EA2A9F" w14:textId="77777777" w:rsidR="00BC498F" w:rsidRPr="00295F2A" w:rsidRDefault="00BC498F" w:rsidP="00BA7353">
            <w:pPr>
              <w:spacing w:after="0" w:line="240" w:lineRule="auto"/>
              <w:rPr>
                <w:rFonts w:eastAsia="Times New Roman" w:cs="Arial"/>
                <w:b/>
                <w:bCs/>
                <w:i/>
                <w:iCs/>
                <w:color w:val="000000"/>
                <w:sz w:val="20"/>
                <w:szCs w:val="20"/>
                <w:lang w:eastAsia="en-AU"/>
              </w:rPr>
            </w:pPr>
            <w:r w:rsidRPr="00295F2A">
              <w:rPr>
                <w:rFonts w:eastAsia="Times New Roman" w:cs="Arial"/>
                <w:b/>
                <w:bCs/>
                <w:i/>
                <w:iCs/>
                <w:color w:val="000000"/>
                <w:sz w:val="20"/>
                <w:szCs w:val="20"/>
                <w:lang w:eastAsia="en-AU"/>
              </w:rPr>
              <w:t>New participants</w:t>
            </w:r>
          </w:p>
        </w:tc>
        <w:tc>
          <w:tcPr>
            <w:tcW w:w="725" w:type="pct"/>
            <w:shd w:val="clear" w:color="auto" w:fill="auto"/>
            <w:noWrap/>
            <w:hideMark/>
          </w:tcPr>
          <w:p w14:paraId="2D71E6C3"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 </w:t>
            </w:r>
          </w:p>
        </w:tc>
        <w:tc>
          <w:tcPr>
            <w:tcW w:w="551" w:type="pct"/>
            <w:shd w:val="clear" w:color="auto" w:fill="auto"/>
            <w:noWrap/>
            <w:hideMark/>
          </w:tcPr>
          <w:p w14:paraId="05AE87E2"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 </w:t>
            </w:r>
          </w:p>
        </w:tc>
        <w:tc>
          <w:tcPr>
            <w:tcW w:w="551" w:type="pct"/>
            <w:shd w:val="clear" w:color="auto" w:fill="auto"/>
            <w:noWrap/>
            <w:hideMark/>
          </w:tcPr>
          <w:p w14:paraId="139F8FB1"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 </w:t>
            </w:r>
          </w:p>
        </w:tc>
        <w:tc>
          <w:tcPr>
            <w:tcW w:w="551" w:type="pct"/>
            <w:tcBorders>
              <w:right w:val="dotted" w:sz="4" w:space="0" w:color="auto"/>
            </w:tcBorders>
            <w:shd w:val="clear" w:color="auto" w:fill="auto"/>
            <w:noWrap/>
            <w:hideMark/>
          </w:tcPr>
          <w:p w14:paraId="6B5841AE"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 </w:t>
            </w:r>
          </w:p>
        </w:tc>
        <w:tc>
          <w:tcPr>
            <w:tcW w:w="551" w:type="pct"/>
            <w:tcBorders>
              <w:top w:val="nil"/>
              <w:left w:val="dotted" w:sz="4" w:space="0" w:color="auto"/>
              <w:bottom w:val="nil"/>
              <w:right w:val="single" w:sz="4" w:space="0" w:color="auto"/>
            </w:tcBorders>
            <w:shd w:val="clear" w:color="auto" w:fill="auto"/>
            <w:noWrap/>
            <w:hideMark/>
          </w:tcPr>
          <w:p w14:paraId="33DC9BE2"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 </w:t>
            </w:r>
          </w:p>
        </w:tc>
        <w:tc>
          <w:tcPr>
            <w:tcW w:w="551" w:type="pct"/>
            <w:tcBorders>
              <w:left w:val="single" w:sz="4" w:space="0" w:color="auto"/>
            </w:tcBorders>
            <w:shd w:val="clear" w:color="auto" w:fill="auto"/>
            <w:noWrap/>
            <w:hideMark/>
          </w:tcPr>
          <w:p w14:paraId="315507B1"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 </w:t>
            </w:r>
          </w:p>
        </w:tc>
      </w:tr>
      <w:tr w:rsidR="00BC498F" w:rsidRPr="00295F2A" w14:paraId="5172CD1B"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19" w:type="pct"/>
            <w:noWrap/>
            <w:hideMark/>
          </w:tcPr>
          <w:p w14:paraId="09461002" w14:textId="77777777" w:rsidR="00BC498F" w:rsidRPr="00295F2A" w:rsidRDefault="00BC498F" w:rsidP="00BA7353">
            <w:pPr>
              <w:spacing w:after="0" w:line="240" w:lineRule="auto"/>
              <w:rPr>
                <w:rFonts w:eastAsia="Times New Roman" w:cs="Arial"/>
                <w:color w:val="000000"/>
                <w:sz w:val="20"/>
                <w:szCs w:val="20"/>
                <w:lang w:eastAsia="en-AU"/>
              </w:rPr>
            </w:pPr>
            <w:r w:rsidRPr="00295F2A">
              <w:rPr>
                <w:rFonts w:eastAsia="Times New Roman" w:cs="Arial"/>
                <w:color w:val="000000"/>
                <w:sz w:val="20"/>
                <w:szCs w:val="20"/>
                <w:lang w:eastAsia="en-AU"/>
              </w:rPr>
              <w:t>Scheme Expenses ($m)</w:t>
            </w:r>
          </w:p>
        </w:tc>
        <w:tc>
          <w:tcPr>
            <w:tcW w:w="725" w:type="pct"/>
            <w:noWrap/>
            <w:hideMark/>
          </w:tcPr>
          <w:p w14:paraId="5FE0C855"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881</w:t>
            </w:r>
          </w:p>
        </w:tc>
        <w:tc>
          <w:tcPr>
            <w:tcW w:w="551" w:type="pct"/>
            <w:noWrap/>
            <w:hideMark/>
          </w:tcPr>
          <w:p w14:paraId="4D725A24"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2,993</w:t>
            </w:r>
          </w:p>
        </w:tc>
        <w:tc>
          <w:tcPr>
            <w:tcW w:w="551" w:type="pct"/>
            <w:noWrap/>
            <w:hideMark/>
          </w:tcPr>
          <w:p w14:paraId="36F8FB2F"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5,602</w:t>
            </w:r>
          </w:p>
        </w:tc>
        <w:tc>
          <w:tcPr>
            <w:tcW w:w="551" w:type="pct"/>
            <w:tcBorders>
              <w:right w:val="dotted" w:sz="4" w:space="0" w:color="auto"/>
            </w:tcBorders>
            <w:noWrap/>
            <w:hideMark/>
          </w:tcPr>
          <w:p w14:paraId="08C90754"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8,397</w:t>
            </w:r>
          </w:p>
        </w:tc>
        <w:tc>
          <w:tcPr>
            <w:tcW w:w="551" w:type="pct"/>
            <w:tcBorders>
              <w:top w:val="nil"/>
              <w:left w:val="dotted" w:sz="4" w:space="0" w:color="auto"/>
              <w:bottom w:val="nil"/>
              <w:right w:val="single" w:sz="4" w:space="0" w:color="auto"/>
            </w:tcBorders>
            <w:noWrap/>
            <w:hideMark/>
          </w:tcPr>
          <w:p w14:paraId="232ADF69"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29,985</w:t>
            </w:r>
          </w:p>
        </w:tc>
        <w:tc>
          <w:tcPr>
            <w:tcW w:w="551" w:type="pct"/>
            <w:tcBorders>
              <w:left w:val="single" w:sz="4" w:space="0" w:color="auto"/>
            </w:tcBorders>
            <w:noWrap/>
            <w:hideMark/>
          </w:tcPr>
          <w:p w14:paraId="3EC973F8"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17,873</w:t>
            </w:r>
          </w:p>
        </w:tc>
      </w:tr>
      <w:tr w:rsidR="00BC498F" w:rsidRPr="00295F2A" w14:paraId="431314DF"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19" w:type="pct"/>
            <w:shd w:val="clear" w:color="auto" w:fill="auto"/>
            <w:noWrap/>
            <w:hideMark/>
          </w:tcPr>
          <w:p w14:paraId="3C3360BF" w14:textId="77777777" w:rsidR="00BC498F" w:rsidRPr="00295F2A" w:rsidRDefault="00BC498F" w:rsidP="00BA7353">
            <w:pPr>
              <w:spacing w:after="0" w:line="240" w:lineRule="auto"/>
              <w:rPr>
                <w:rFonts w:eastAsia="Times New Roman" w:cs="Arial"/>
                <w:color w:val="000000"/>
                <w:sz w:val="20"/>
                <w:szCs w:val="20"/>
                <w:lang w:eastAsia="en-AU"/>
              </w:rPr>
            </w:pPr>
            <w:r w:rsidRPr="00295F2A">
              <w:rPr>
                <w:rFonts w:eastAsia="Times New Roman" w:cs="Arial"/>
                <w:color w:val="000000"/>
                <w:sz w:val="20"/>
                <w:szCs w:val="20"/>
                <w:lang w:eastAsia="en-AU"/>
              </w:rPr>
              <w:t>Variance to baseline ($m)</w:t>
            </w:r>
          </w:p>
        </w:tc>
        <w:tc>
          <w:tcPr>
            <w:tcW w:w="725" w:type="pct"/>
            <w:shd w:val="clear" w:color="auto" w:fill="auto"/>
            <w:noWrap/>
            <w:hideMark/>
          </w:tcPr>
          <w:p w14:paraId="1A13545C"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-128</w:t>
            </w:r>
          </w:p>
        </w:tc>
        <w:tc>
          <w:tcPr>
            <w:tcW w:w="551" w:type="pct"/>
            <w:shd w:val="clear" w:color="auto" w:fill="auto"/>
            <w:noWrap/>
            <w:hideMark/>
          </w:tcPr>
          <w:p w14:paraId="72980025"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-439</w:t>
            </w:r>
          </w:p>
        </w:tc>
        <w:tc>
          <w:tcPr>
            <w:tcW w:w="551" w:type="pct"/>
            <w:shd w:val="clear" w:color="auto" w:fill="auto"/>
            <w:noWrap/>
            <w:hideMark/>
          </w:tcPr>
          <w:p w14:paraId="4C4A8A85"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-852</w:t>
            </w:r>
          </w:p>
        </w:tc>
        <w:tc>
          <w:tcPr>
            <w:tcW w:w="551" w:type="pct"/>
            <w:tcBorders>
              <w:right w:val="dotted" w:sz="4" w:space="0" w:color="auto"/>
            </w:tcBorders>
            <w:shd w:val="clear" w:color="auto" w:fill="auto"/>
            <w:noWrap/>
            <w:hideMark/>
          </w:tcPr>
          <w:p w14:paraId="62B0EC8D"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-1,326</w:t>
            </w:r>
          </w:p>
        </w:tc>
        <w:tc>
          <w:tcPr>
            <w:tcW w:w="551" w:type="pct"/>
            <w:tcBorders>
              <w:top w:val="nil"/>
              <w:left w:val="dotted" w:sz="4" w:space="0" w:color="auto"/>
              <w:bottom w:val="nil"/>
              <w:right w:val="single" w:sz="4" w:space="0" w:color="auto"/>
            </w:tcBorders>
            <w:shd w:val="clear" w:color="auto" w:fill="auto"/>
            <w:noWrap/>
            <w:hideMark/>
          </w:tcPr>
          <w:p w14:paraId="386FCE11"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-5,048</w:t>
            </w:r>
          </w:p>
        </w:tc>
        <w:tc>
          <w:tcPr>
            <w:tcW w:w="551" w:type="pct"/>
            <w:tcBorders>
              <w:left w:val="single" w:sz="4" w:space="0" w:color="auto"/>
            </w:tcBorders>
            <w:shd w:val="clear" w:color="auto" w:fill="auto"/>
            <w:noWrap/>
            <w:hideMark/>
          </w:tcPr>
          <w:p w14:paraId="34412AC8"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-2,745</w:t>
            </w:r>
          </w:p>
        </w:tc>
      </w:tr>
      <w:tr w:rsidR="00BC498F" w:rsidRPr="00295F2A" w14:paraId="291DCBD0"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19" w:type="pct"/>
            <w:noWrap/>
            <w:hideMark/>
          </w:tcPr>
          <w:p w14:paraId="4E147D29" w14:textId="77777777" w:rsidR="00BC498F" w:rsidRPr="00295F2A" w:rsidRDefault="00BC498F" w:rsidP="00BA7353">
            <w:pPr>
              <w:spacing w:after="0" w:line="240" w:lineRule="auto"/>
              <w:rPr>
                <w:rFonts w:eastAsia="Times New Roman" w:cs="Arial"/>
                <w:color w:val="000000"/>
                <w:sz w:val="20"/>
                <w:szCs w:val="20"/>
                <w:lang w:eastAsia="en-AU"/>
              </w:rPr>
            </w:pPr>
            <w:r w:rsidRPr="00295F2A">
              <w:rPr>
                <w:rFonts w:eastAsia="Times New Roman" w:cs="Arial"/>
                <w:color w:val="000000"/>
                <w:sz w:val="20"/>
                <w:szCs w:val="20"/>
                <w:lang w:eastAsia="en-AU"/>
              </w:rPr>
              <w:t>% variance to baseline</w:t>
            </w:r>
          </w:p>
        </w:tc>
        <w:tc>
          <w:tcPr>
            <w:tcW w:w="725" w:type="pct"/>
            <w:noWrap/>
            <w:hideMark/>
          </w:tcPr>
          <w:p w14:paraId="0312790C"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-12.6%</w:t>
            </w:r>
          </w:p>
        </w:tc>
        <w:tc>
          <w:tcPr>
            <w:tcW w:w="551" w:type="pct"/>
            <w:noWrap/>
            <w:hideMark/>
          </w:tcPr>
          <w:p w14:paraId="76BA6B17"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-12.8%</w:t>
            </w:r>
          </w:p>
        </w:tc>
        <w:tc>
          <w:tcPr>
            <w:tcW w:w="551" w:type="pct"/>
            <w:noWrap/>
            <w:hideMark/>
          </w:tcPr>
          <w:p w14:paraId="68AB583A"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-13.2%</w:t>
            </w:r>
          </w:p>
        </w:tc>
        <w:tc>
          <w:tcPr>
            <w:tcW w:w="551" w:type="pct"/>
            <w:tcBorders>
              <w:right w:val="dotted" w:sz="4" w:space="0" w:color="auto"/>
            </w:tcBorders>
            <w:noWrap/>
            <w:hideMark/>
          </w:tcPr>
          <w:p w14:paraId="10649831"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-13.6%</w:t>
            </w:r>
          </w:p>
        </w:tc>
        <w:tc>
          <w:tcPr>
            <w:tcW w:w="551" w:type="pct"/>
            <w:tcBorders>
              <w:top w:val="nil"/>
              <w:left w:val="dotted" w:sz="4" w:space="0" w:color="auto"/>
              <w:bottom w:val="nil"/>
              <w:right w:val="single" w:sz="4" w:space="0" w:color="auto"/>
            </w:tcBorders>
            <w:noWrap/>
            <w:hideMark/>
          </w:tcPr>
          <w:p w14:paraId="7E2F5196"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-14.4%</w:t>
            </w:r>
          </w:p>
        </w:tc>
        <w:tc>
          <w:tcPr>
            <w:tcW w:w="551" w:type="pct"/>
            <w:tcBorders>
              <w:left w:val="single" w:sz="4" w:space="0" w:color="auto"/>
            </w:tcBorders>
            <w:noWrap/>
            <w:hideMark/>
          </w:tcPr>
          <w:p w14:paraId="7859D3C3"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-13.3%</w:t>
            </w:r>
          </w:p>
        </w:tc>
      </w:tr>
      <w:tr w:rsidR="00BC498F" w:rsidRPr="00295F2A" w14:paraId="50C642DA"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19" w:type="pct"/>
            <w:shd w:val="clear" w:color="auto" w:fill="auto"/>
            <w:noWrap/>
            <w:hideMark/>
          </w:tcPr>
          <w:p w14:paraId="7720BAA8" w14:textId="77777777" w:rsidR="00BC498F" w:rsidRPr="00295F2A" w:rsidRDefault="00BC498F" w:rsidP="00BA7353">
            <w:pPr>
              <w:spacing w:after="0" w:line="240" w:lineRule="auto"/>
              <w:rPr>
                <w:rFonts w:eastAsia="Times New Roman" w:cs="Arial"/>
                <w:b/>
                <w:bCs/>
                <w:i/>
                <w:iCs/>
                <w:color w:val="000000"/>
                <w:sz w:val="20"/>
                <w:szCs w:val="20"/>
                <w:lang w:eastAsia="en-AU"/>
              </w:rPr>
            </w:pPr>
            <w:r w:rsidRPr="00295F2A">
              <w:rPr>
                <w:rFonts w:eastAsia="Times New Roman" w:cs="Arial"/>
                <w:b/>
                <w:bCs/>
                <w:i/>
                <w:iCs/>
                <w:color w:val="000000"/>
                <w:sz w:val="20"/>
                <w:szCs w:val="20"/>
                <w:lang w:eastAsia="en-AU"/>
              </w:rPr>
              <w:t>All projected participants</w:t>
            </w:r>
          </w:p>
        </w:tc>
        <w:tc>
          <w:tcPr>
            <w:tcW w:w="725" w:type="pct"/>
            <w:shd w:val="clear" w:color="auto" w:fill="auto"/>
            <w:noWrap/>
            <w:hideMark/>
          </w:tcPr>
          <w:p w14:paraId="3DA5C5E7"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 </w:t>
            </w:r>
          </w:p>
        </w:tc>
        <w:tc>
          <w:tcPr>
            <w:tcW w:w="551" w:type="pct"/>
            <w:shd w:val="clear" w:color="auto" w:fill="auto"/>
            <w:noWrap/>
            <w:hideMark/>
          </w:tcPr>
          <w:p w14:paraId="1BA606F6"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 </w:t>
            </w:r>
          </w:p>
        </w:tc>
        <w:tc>
          <w:tcPr>
            <w:tcW w:w="551" w:type="pct"/>
            <w:shd w:val="clear" w:color="auto" w:fill="auto"/>
            <w:noWrap/>
            <w:hideMark/>
          </w:tcPr>
          <w:p w14:paraId="4B65CF40"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 </w:t>
            </w:r>
          </w:p>
        </w:tc>
        <w:tc>
          <w:tcPr>
            <w:tcW w:w="551" w:type="pct"/>
            <w:tcBorders>
              <w:right w:val="dotted" w:sz="4" w:space="0" w:color="auto"/>
            </w:tcBorders>
            <w:shd w:val="clear" w:color="auto" w:fill="auto"/>
            <w:noWrap/>
            <w:hideMark/>
          </w:tcPr>
          <w:p w14:paraId="1BCCB9D2"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 </w:t>
            </w:r>
          </w:p>
        </w:tc>
        <w:tc>
          <w:tcPr>
            <w:tcW w:w="551" w:type="pct"/>
            <w:tcBorders>
              <w:top w:val="nil"/>
              <w:left w:val="dotted" w:sz="4" w:space="0" w:color="auto"/>
              <w:bottom w:val="nil"/>
              <w:right w:val="single" w:sz="4" w:space="0" w:color="auto"/>
            </w:tcBorders>
            <w:shd w:val="clear" w:color="auto" w:fill="auto"/>
            <w:noWrap/>
            <w:hideMark/>
          </w:tcPr>
          <w:p w14:paraId="18017287"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 </w:t>
            </w:r>
          </w:p>
        </w:tc>
        <w:tc>
          <w:tcPr>
            <w:tcW w:w="551" w:type="pct"/>
            <w:tcBorders>
              <w:left w:val="single" w:sz="4" w:space="0" w:color="auto"/>
            </w:tcBorders>
            <w:shd w:val="clear" w:color="auto" w:fill="auto"/>
            <w:noWrap/>
            <w:hideMark/>
          </w:tcPr>
          <w:p w14:paraId="0A93523A"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 </w:t>
            </w:r>
          </w:p>
        </w:tc>
      </w:tr>
      <w:tr w:rsidR="00BC498F" w:rsidRPr="00295F2A" w14:paraId="5EF784AF"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19" w:type="pct"/>
            <w:noWrap/>
            <w:hideMark/>
          </w:tcPr>
          <w:p w14:paraId="60FF7F7B" w14:textId="77777777" w:rsidR="00BC498F" w:rsidRPr="00295F2A" w:rsidRDefault="00BC498F" w:rsidP="00BA7353">
            <w:pPr>
              <w:spacing w:after="0" w:line="240" w:lineRule="auto"/>
              <w:rPr>
                <w:rFonts w:eastAsia="Times New Roman" w:cs="Arial"/>
                <w:color w:val="000000"/>
                <w:sz w:val="20"/>
                <w:szCs w:val="20"/>
                <w:lang w:eastAsia="en-AU"/>
              </w:rPr>
            </w:pPr>
            <w:r w:rsidRPr="00295F2A">
              <w:rPr>
                <w:rFonts w:eastAsia="Times New Roman" w:cs="Arial"/>
                <w:color w:val="000000"/>
                <w:sz w:val="20"/>
                <w:szCs w:val="20"/>
                <w:lang w:eastAsia="en-AU"/>
              </w:rPr>
              <w:t>Scheme Expenses ($m)</w:t>
            </w:r>
          </w:p>
        </w:tc>
        <w:tc>
          <w:tcPr>
            <w:tcW w:w="725" w:type="pct"/>
            <w:noWrap/>
            <w:hideMark/>
          </w:tcPr>
          <w:p w14:paraId="44CA8D2A"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33,849</w:t>
            </w:r>
          </w:p>
        </w:tc>
        <w:tc>
          <w:tcPr>
            <w:tcW w:w="551" w:type="pct"/>
            <w:noWrap/>
            <w:hideMark/>
          </w:tcPr>
          <w:p w14:paraId="29966B49"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37,694</w:t>
            </w:r>
          </w:p>
        </w:tc>
        <w:tc>
          <w:tcPr>
            <w:tcW w:w="551" w:type="pct"/>
            <w:noWrap/>
            <w:hideMark/>
          </w:tcPr>
          <w:p w14:paraId="0A9E9FFF"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43,264</w:t>
            </w:r>
          </w:p>
        </w:tc>
        <w:tc>
          <w:tcPr>
            <w:tcW w:w="551" w:type="pct"/>
            <w:tcBorders>
              <w:right w:val="dotted" w:sz="4" w:space="0" w:color="auto"/>
            </w:tcBorders>
            <w:noWrap/>
            <w:hideMark/>
          </w:tcPr>
          <w:p w14:paraId="026CB043"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49,018</w:t>
            </w:r>
          </w:p>
        </w:tc>
        <w:tc>
          <w:tcPr>
            <w:tcW w:w="551" w:type="pct"/>
            <w:tcBorders>
              <w:top w:val="nil"/>
              <w:left w:val="dotted" w:sz="4" w:space="0" w:color="auto"/>
              <w:bottom w:val="nil"/>
              <w:right w:val="single" w:sz="4" w:space="0" w:color="auto"/>
            </w:tcBorders>
            <w:noWrap/>
            <w:hideMark/>
          </w:tcPr>
          <w:p w14:paraId="1EB2BDC7"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84,355</w:t>
            </w:r>
          </w:p>
        </w:tc>
        <w:tc>
          <w:tcPr>
            <w:tcW w:w="551" w:type="pct"/>
            <w:tcBorders>
              <w:left w:val="single" w:sz="4" w:space="0" w:color="auto"/>
            </w:tcBorders>
            <w:noWrap/>
            <w:hideMark/>
          </w:tcPr>
          <w:p w14:paraId="4A27410E"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163,824</w:t>
            </w:r>
          </w:p>
        </w:tc>
      </w:tr>
      <w:tr w:rsidR="00BC498F" w:rsidRPr="00295F2A" w14:paraId="7F229ACC"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19" w:type="pct"/>
            <w:shd w:val="clear" w:color="auto" w:fill="auto"/>
            <w:noWrap/>
            <w:hideMark/>
          </w:tcPr>
          <w:p w14:paraId="58AA1C2B" w14:textId="77777777" w:rsidR="00BC498F" w:rsidRPr="00295F2A" w:rsidRDefault="00BC498F" w:rsidP="00BA7353">
            <w:pPr>
              <w:spacing w:after="0" w:line="240" w:lineRule="auto"/>
              <w:rPr>
                <w:rFonts w:eastAsia="Times New Roman" w:cs="Arial"/>
                <w:color w:val="000000"/>
                <w:sz w:val="20"/>
                <w:szCs w:val="20"/>
                <w:lang w:eastAsia="en-AU"/>
              </w:rPr>
            </w:pPr>
            <w:r w:rsidRPr="00295F2A">
              <w:rPr>
                <w:rFonts w:eastAsia="Times New Roman" w:cs="Arial"/>
                <w:color w:val="000000"/>
                <w:sz w:val="20"/>
                <w:szCs w:val="20"/>
                <w:lang w:eastAsia="en-AU"/>
              </w:rPr>
              <w:t>Variance to baseline ($m)</w:t>
            </w:r>
          </w:p>
        </w:tc>
        <w:tc>
          <w:tcPr>
            <w:tcW w:w="725" w:type="pct"/>
            <w:shd w:val="clear" w:color="auto" w:fill="auto"/>
            <w:noWrap/>
            <w:hideMark/>
          </w:tcPr>
          <w:p w14:paraId="11077B5C"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-128</w:t>
            </w:r>
          </w:p>
        </w:tc>
        <w:tc>
          <w:tcPr>
            <w:tcW w:w="551" w:type="pct"/>
            <w:shd w:val="clear" w:color="auto" w:fill="auto"/>
            <w:noWrap/>
            <w:hideMark/>
          </w:tcPr>
          <w:p w14:paraId="671434D0"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-439</w:t>
            </w:r>
          </w:p>
        </w:tc>
        <w:tc>
          <w:tcPr>
            <w:tcW w:w="551" w:type="pct"/>
            <w:shd w:val="clear" w:color="auto" w:fill="auto"/>
            <w:noWrap/>
            <w:hideMark/>
          </w:tcPr>
          <w:p w14:paraId="0D3AF8D7"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-852</w:t>
            </w:r>
          </w:p>
        </w:tc>
        <w:tc>
          <w:tcPr>
            <w:tcW w:w="551" w:type="pct"/>
            <w:tcBorders>
              <w:right w:val="dotted" w:sz="4" w:space="0" w:color="auto"/>
            </w:tcBorders>
            <w:shd w:val="clear" w:color="auto" w:fill="auto"/>
            <w:noWrap/>
            <w:hideMark/>
          </w:tcPr>
          <w:p w14:paraId="2A690B73"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-1,326</w:t>
            </w:r>
          </w:p>
        </w:tc>
        <w:tc>
          <w:tcPr>
            <w:tcW w:w="551" w:type="pct"/>
            <w:tcBorders>
              <w:top w:val="nil"/>
              <w:left w:val="dotted" w:sz="4" w:space="0" w:color="auto"/>
              <w:bottom w:val="nil"/>
              <w:right w:val="single" w:sz="4" w:space="0" w:color="auto"/>
            </w:tcBorders>
            <w:shd w:val="clear" w:color="auto" w:fill="auto"/>
            <w:noWrap/>
            <w:hideMark/>
          </w:tcPr>
          <w:p w14:paraId="1AE90F39"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-5,048</w:t>
            </w:r>
          </w:p>
        </w:tc>
        <w:tc>
          <w:tcPr>
            <w:tcW w:w="551" w:type="pct"/>
            <w:tcBorders>
              <w:left w:val="single" w:sz="4" w:space="0" w:color="auto"/>
            </w:tcBorders>
            <w:shd w:val="clear" w:color="auto" w:fill="auto"/>
            <w:noWrap/>
            <w:hideMark/>
          </w:tcPr>
          <w:p w14:paraId="79F9CC61" w14:textId="77777777" w:rsidR="00BC498F" w:rsidRPr="00295F2A"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-2,745</w:t>
            </w:r>
          </w:p>
        </w:tc>
      </w:tr>
      <w:tr w:rsidR="00BC498F" w:rsidRPr="00295F2A" w14:paraId="5CBE20EC"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19" w:type="pct"/>
            <w:noWrap/>
            <w:hideMark/>
          </w:tcPr>
          <w:p w14:paraId="6D998429" w14:textId="77777777" w:rsidR="00BC498F" w:rsidRPr="00295F2A" w:rsidRDefault="00BC498F" w:rsidP="00BA7353">
            <w:pPr>
              <w:spacing w:after="0" w:line="240" w:lineRule="auto"/>
              <w:rPr>
                <w:rFonts w:eastAsia="Times New Roman" w:cs="Arial"/>
                <w:color w:val="000000"/>
                <w:sz w:val="20"/>
                <w:szCs w:val="20"/>
                <w:lang w:eastAsia="en-AU"/>
              </w:rPr>
            </w:pPr>
            <w:r w:rsidRPr="00295F2A">
              <w:rPr>
                <w:rFonts w:eastAsia="Times New Roman" w:cs="Arial"/>
                <w:color w:val="000000"/>
                <w:sz w:val="20"/>
                <w:szCs w:val="20"/>
                <w:lang w:eastAsia="en-AU"/>
              </w:rPr>
              <w:t>% variance to baseline</w:t>
            </w:r>
          </w:p>
        </w:tc>
        <w:tc>
          <w:tcPr>
            <w:tcW w:w="725" w:type="pct"/>
            <w:noWrap/>
            <w:hideMark/>
          </w:tcPr>
          <w:p w14:paraId="35700312"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-0.4%</w:t>
            </w:r>
          </w:p>
        </w:tc>
        <w:tc>
          <w:tcPr>
            <w:tcW w:w="551" w:type="pct"/>
            <w:noWrap/>
            <w:hideMark/>
          </w:tcPr>
          <w:p w14:paraId="25328BDA"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-1.2%</w:t>
            </w:r>
          </w:p>
        </w:tc>
        <w:tc>
          <w:tcPr>
            <w:tcW w:w="551" w:type="pct"/>
            <w:noWrap/>
            <w:hideMark/>
          </w:tcPr>
          <w:p w14:paraId="1F2BFA85"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-1.9%</w:t>
            </w:r>
          </w:p>
        </w:tc>
        <w:tc>
          <w:tcPr>
            <w:tcW w:w="551" w:type="pct"/>
            <w:tcBorders>
              <w:right w:val="dotted" w:sz="4" w:space="0" w:color="auto"/>
            </w:tcBorders>
            <w:noWrap/>
            <w:hideMark/>
          </w:tcPr>
          <w:p w14:paraId="75368F5D"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-2.6%</w:t>
            </w:r>
          </w:p>
        </w:tc>
        <w:tc>
          <w:tcPr>
            <w:tcW w:w="551" w:type="pct"/>
            <w:tcBorders>
              <w:top w:val="nil"/>
              <w:left w:val="dotted" w:sz="4" w:space="0" w:color="auto"/>
              <w:bottom w:val="single" w:sz="4" w:space="0" w:color="auto"/>
              <w:right w:val="single" w:sz="4" w:space="0" w:color="auto"/>
            </w:tcBorders>
            <w:noWrap/>
            <w:hideMark/>
          </w:tcPr>
          <w:p w14:paraId="4926D4D3"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-5.6%</w:t>
            </w:r>
          </w:p>
        </w:tc>
        <w:tc>
          <w:tcPr>
            <w:tcW w:w="551" w:type="pct"/>
            <w:tcBorders>
              <w:left w:val="single" w:sz="4" w:space="0" w:color="auto"/>
              <w:bottom w:val="single" w:sz="4" w:space="0" w:color="auto"/>
            </w:tcBorders>
            <w:noWrap/>
            <w:hideMark/>
          </w:tcPr>
          <w:p w14:paraId="71BF8E2C" w14:textId="77777777" w:rsidR="00BC498F" w:rsidRPr="00295F2A"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295F2A">
              <w:rPr>
                <w:rFonts w:eastAsia="Times New Roman" w:cs="Arial"/>
                <w:color w:val="000000"/>
                <w:sz w:val="20"/>
                <w:szCs w:val="20"/>
                <w:lang w:eastAsia="en-AU"/>
              </w:rPr>
              <w:t>-1.6%</w:t>
            </w:r>
          </w:p>
        </w:tc>
      </w:tr>
    </w:tbl>
    <w:p w14:paraId="0501F027" w14:textId="77777777" w:rsidR="00C70A4C" w:rsidRDefault="00C70A4C" w:rsidP="00BC498F">
      <w:pPr>
        <w:pStyle w:val="FSRHeading5"/>
      </w:pPr>
    </w:p>
    <w:p w14:paraId="3666C9A8" w14:textId="77777777" w:rsidR="00C70A4C" w:rsidRDefault="00C70A4C">
      <w:pPr>
        <w:spacing w:after="160" w:line="259" w:lineRule="auto"/>
        <w:rPr>
          <w:b/>
          <w:i/>
          <w:color w:val="F26322"/>
          <w:sz w:val="24"/>
        </w:rPr>
      </w:pPr>
      <w:r>
        <w:br w:type="page"/>
      </w:r>
    </w:p>
    <w:p w14:paraId="2053026E" w14:textId="77777777" w:rsidR="00BC498F" w:rsidRPr="004C288B" w:rsidRDefault="00BC498F" w:rsidP="00BC498F">
      <w:pPr>
        <w:pStyle w:val="FSRHeading5"/>
        <w:rPr>
          <w:iCs/>
        </w:rPr>
      </w:pPr>
      <w:r>
        <w:lastRenderedPageBreak/>
        <w:t xml:space="preserve">Scenario: </w:t>
      </w:r>
      <w:r w:rsidRPr="00B82419">
        <w:t>Higher assumptions regarding the number of new entrants with autism aged between 15 and 54</w:t>
      </w:r>
    </w:p>
    <w:p w14:paraId="2B910BFB" w14:textId="77777777" w:rsidR="00BC498F" w:rsidRPr="007C1D42" w:rsidRDefault="00BC498F" w:rsidP="00BC498F">
      <w:pPr>
        <w:pStyle w:val="FSRnormal"/>
      </w:pPr>
      <w:r>
        <w:t xml:space="preserve">In this scenario the </w:t>
      </w:r>
      <w:r w:rsidRPr="00B82419">
        <w:t>assumptions regarding the number of new entrants with au</w:t>
      </w:r>
      <w:r>
        <w:t>tism aged between 15 and 54 is</w:t>
      </w:r>
      <w:r w:rsidRPr="00B82419">
        <w:t xml:space="preserve"> 15% higher than the assumptions used for baseline projections for this cohort. This adds $0.1 billion in 2025-26 and $0.6 billion in 2031-32</w:t>
      </w:r>
      <w:r>
        <w:t xml:space="preserve"> to the total </w:t>
      </w:r>
      <w:r w:rsidR="00A463B4">
        <w:t>S</w:t>
      </w:r>
      <w:r>
        <w:t>cheme expenses</w:t>
      </w:r>
      <w:r w:rsidRPr="00B82419">
        <w:t>.</w:t>
      </w:r>
    </w:p>
    <w:p w14:paraId="768563BD" w14:textId="77777777" w:rsidR="00C70A4C" w:rsidRPr="00C70A4C" w:rsidRDefault="00C70A4C" w:rsidP="00DA3F73">
      <w:pPr>
        <w:pStyle w:val="Tables"/>
      </w:pPr>
      <w:r w:rsidRPr="00C70A4C">
        <w:t xml:space="preserve">Table </w:t>
      </w:r>
      <w:fldSimple w:instr=" STYLEREF 2 \s ">
        <w:r w:rsidR="00A87896">
          <w:rPr>
            <w:noProof/>
          </w:rPr>
          <w:t>6</w:t>
        </w:r>
      </w:fldSimple>
      <w:r w:rsidR="00A87896">
        <w:t>.</w:t>
      </w:r>
      <w:fldSimple w:instr=" SEQ Table \* ARABIC \s 2 ">
        <w:r w:rsidR="00A87896">
          <w:rPr>
            <w:noProof/>
          </w:rPr>
          <w:t>7</w:t>
        </w:r>
      </w:fldSimple>
      <w:r w:rsidRPr="00C70A4C">
        <w:t>: Scenario results - Higher assumptions regarding the number of new entrants with autism aged between 15 and 54</w:t>
      </w:r>
    </w:p>
    <w:tbl>
      <w:tblPr>
        <w:tblStyle w:val="FSRtable"/>
        <w:tblW w:w="4760" w:type="pct"/>
        <w:tblInd w:w="5" w:type="dxa"/>
        <w:tblLook w:val="04A0" w:firstRow="1" w:lastRow="0" w:firstColumn="1" w:lastColumn="0" w:noHBand="0" w:noVBand="1"/>
      </w:tblPr>
      <w:tblGrid>
        <w:gridCol w:w="2618"/>
        <w:gridCol w:w="1225"/>
        <w:gridCol w:w="950"/>
        <w:gridCol w:w="950"/>
        <w:gridCol w:w="950"/>
        <w:gridCol w:w="950"/>
        <w:gridCol w:w="950"/>
      </w:tblGrid>
      <w:tr w:rsidR="00BC498F" w:rsidRPr="00295F2A" w14:paraId="4B14C58E"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23" w:type="pct"/>
            <w:noWrap/>
            <w:hideMark/>
          </w:tcPr>
          <w:p w14:paraId="76503567" w14:textId="77777777" w:rsidR="00BC498F" w:rsidRPr="00295F2A" w:rsidRDefault="00BC498F" w:rsidP="00BA7353">
            <w:pPr>
              <w:spacing w:after="0" w:line="240" w:lineRule="auto"/>
              <w:rPr>
                <w:rFonts w:eastAsia="Times New Roman"/>
                <w:color w:val="FFFFFF"/>
                <w:sz w:val="20"/>
                <w:szCs w:val="20"/>
                <w:lang w:eastAsia="en-AU"/>
              </w:rPr>
            </w:pPr>
            <w:r w:rsidRPr="00295F2A">
              <w:rPr>
                <w:rFonts w:eastAsia="Times New Roman"/>
                <w:color w:val="FFFFFF"/>
                <w:sz w:val="20"/>
                <w:szCs w:val="20"/>
                <w:lang w:eastAsia="en-AU"/>
              </w:rPr>
              <w:t> </w:t>
            </w:r>
          </w:p>
        </w:tc>
        <w:tc>
          <w:tcPr>
            <w:tcW w:w="2371" w:type="pct"/>
            <w:gridSpan w:val="4"/>
            <w:tcBorders>
              <w:top w:val="single" w:sz="4" w:space="0" w:color="auto"/>
              <w:bottom w:val="dotted" w:sz="4" w:space="0" w:color="FFFFFF" w:themeColor="background1"/>
            </w:tcBorders>
            <w:noWrap/>
            <w:hideMark/>
          </w:tcPr>
          <w:p w14:paraId="7E1DB869" w14:textId="77777777" w:rsidR="00BC498F" w:rsidRPr="00DA3F73"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295F2A">
              <w:rPr>
                <w:rFonts w:eastAsia="Times New Roman"/>
                <w:bCs/>
                <w:color w:val="FFFFFF"/>
                <w:sz w:val="20"/>
                <w:szCs w:val="20"/>
                <w:lang w:eastAsia="en-AU"/>
              </w:rPr>
              <w:t>Projection Year</w:t>
            </w:r>
          </w:p>
        </w:tc>
        <w:tc>
          <w:tcPr>
            <w:tcW w:w="553" w:type="pct"/>
            <w:tcBorders>
              <w:top w:val="single" w:sz="4" w:space="0" w:color="auto"/>
              <w:bottom w:val="dotted" w:sz="4" w:space="0" w:color="FFFFFF" w:themeColor="background1"/>
              <w:right w:val="single" w:sz="4" w:space="0" w:color="auto"/>
            </w:tcBorders>
            <w:noWrap/>
            <w:hideMark/>
          </w:tcPr>
          <w:p w14:paraId="5538880F" w14:textId="77777777" w:rsidR="00BC498F" w:rsidRPr="00DA3F73"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295F2A">
              <w:rPr>
                <w:rFonts w:eastAsia="Times New Roman"/>
                <w:bCs/>
                <w:color w:val="FFFFFF"/>
                <w:sz w:val="20"/>
                <w:szCs w:val="20"/>
                <w:lang w:eastAsia="en-AU"/>
              </w:rPr>
              <w:t> </w:t>
            </w:r>
          </w:p>
        </w:tc>
        <w:tc>
          <w:tcPr>
            <w:tcW w:w="553" w:type="pct"/>
            <w:tcBorders>
              <w:top w:val="single" w:sz="4" w:space="0" w:color="auto"/>
              <w:left w:val="single" w:sz="4" w:space="0" w:color="auto"/>
              <w:bottom w:val="dotted" w:sz="4" w:space="0" w:color="FFFFFF" w:themeColor="background1"/>
            </w:tcBorders>
            <w:noWrap/>
            <w:hideMark/>
          </w:tcPr>
          <w:p w14:paraId="74C88149" w14:textId="77777777" w:rsidR="00BC498F" w:rsidRPr="00DA3F73"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295F2A">
              <w:rPr>
                <w:rFonts w:eastAsia="Times New Roman"/>
                <w:bCs/>
                <w:color w:val="FFFFFF"/>
                <w:sz w:val="20"/>
                <w:szCs w:val="20"/>
                <w:lang w:eastAsia="en-AU"/>
              </w:rPr>
              <w:t>Total</w:t>
            </w:r>
          </w:p>
        </w:tc>
      </w:tr>
      <w:tr w:rsidR="00BC498F" w:rsidRPr="00191697" w14:paraId="55A9AF5B"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23" w:type="pct"/>
            <w:noWrap/>
            <w:hideMark/>
          </w:tcPr>
          <w:p w14:paraId="76EBB21F" w14:textId="77777777" w:rsidR="00BC498F" w:rsidRPr="00191697" w:rsidRDefault="00BC498F" w:rsidP="00BA7353">
            <w:pPr>
              <w:spacing w:after="0" w:line="240" w:lineRule="auto"/>
              <w:rPr>
                <w:rFonts w:eastAsia="Times New Roman"/>
                <w:color w:val="FFFFFF"/>
                <w:sz w:val="20"/>
                <w:szCs w:val="20"/>
                <w:lang w:eastAsia="en-AU"/>
              </w:rPr>
            </w:pPr>
            <w:r w:rsidRPr="00191697">
              <w:rPr>
                <w:rFonts w:eastAsia="Times New Roman"/>
                <w:color w:val="FFFFFF"/>
                <w:sz w:val="20"/>
                <w:szCs w:val="20"/>
                <w:lang w:eastAsia="en-AU"/>
              </w:rPr>
              <w:t> </w:t>
            </w:r>
          </w:p>
        </w:tc>
        <w:tc>
          <w:tcPr>
            <w:tcW w:w="713" w:type="pct"/>
            <w:tcBorders>
              <w:top w:val="dotted" w:sz="4" w:space="0" w:color="FFFFFF" w:themeColor="background1"/>
            </w:tcBorders>
            <w:noWrap/>
            <w:hideMark/>
          </w:tcPr>
          <w:p w14:paraId="4B1D51C9"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2022-23</w:t>
            </w:r>
          </w:p>
        </w:tc>
        <w:tc>
          <w:tcPr>
            <w:tcW w:w="553" w:type="pct"/>
            <w:tcBorders>
              <w:top w:val="dotted" w:sz="4" w:space="0" w:color="FFFFFF" w:themeColor="background1"/>
            </w:tcBorders>
            <w:noWrap/>
            <w:hideMark/>
          </w:tcPr>
          <w:p w14:paraId="3ED7760B"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2023-24</w:t>
            </w:r>
          </w:p>
        </w:tc>
        <w:tc>
          <w:tcPr>
            <w:tcW w:w="553" w:type="pct"/>
            <w:tcBorders>
              <w:top w:val="dotted" w:sz="4" w:space="0" w:color="FFFFFF" w:themeColor="background1"/>
            </w:tcBorders>
            <w:noWrap/>
            <w:hideMark/>
          </w:tcPr>
          <w:p w14:paraId="6AD85EA8"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2024-25</w:t>
            </w:r>
          </w:p>
        </w:tc>
        <w:tc>
          <w:tcPr>
            <w:tcW w:w="553" w:type="pct"/>
            <w:tcBorders>
              <w:top w:val="dotted" w:sz="4" w:space="0" w:color="FFFFFF" w:themeColor="background1"/>
              <w:right w:val="dotted" w:sz="4" w:space="0" w:color="auto"/>
            </w:tcBorders>
            <w:noWrap/>
            <w:hideMark/>
          </w:tcPr>
          <w:p w14:paraId="09B44AFF"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2025-26</w:t>
            </w:r>
          </w:p>
        </w:tc>
        <w:tc>
          <w:tcPr>
            <w:tcW w:w="553" w:type="pct"/>
            <w:tcBorders>
              <w:top w:val="dotted" w:sz="4" w:space="0" w:color="FFFFFF" w:themeColor="background1"/>
              <w:left w:val="dotted" w:sz="4" w:space="0" w:color="auto"/>
              <w:bottom w:val="nil"/>
              <w:right w:val="single" w:sz="4" w:space="0" w:color="auto"/>
            </w:tcBorders>
            <w:noWrap/>
            <w:hideMark/>
          </w:tcPr>
          <w:p w14:paraId="64ADC4C4"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2031-32</w:t>
            </w:r>
          </w:p>
        </w:tc>
        <w:tc>
          <w:tcPr>
            <w:tcW w:w="553" w:type="pct"/>
            <w:tcBorders>
              <w:top w:val="dotted" w:sz="4" w:space="0" w:color="FFFFFF" w:themeColor="background1"/>
              <w:left w:val="single" w:sz="4" w:space="0" w:color="auto"/>
            </w:tcBorders>
            <w:noWrap/>
            <w:hideMark/>
          </w:tcPr>
          <w:p w14:paraId="796292E1" w14:textId="77777777" w:rsidR="00BC498F" w:rsidRPr="00191697"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2022-26</w:t>
            </w:r>
          </w:p>
        </w:tc>
      </w:tr>
      <w:tr w:rsidR="00BC498F" w:rsidRPr="00B82419" w14:paraId="5CEBFB6B"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23" w:type="pct"/>
            <w:shd w:val="clear" w:color="auto" w:fill="auto"/>
            <w:noWrap/>
            <w:hideMark/>
          </w:tcPr>
          <w:p w14:paraId="69B92C5E" w14:textId="77777777" w:rsidR="00BC498F" w:rsidRPr="00B82419" w:rsidRDefault="00BC498F" w:rsidP="00BA7353">
            <w:pPr>
              <w:spacing w:after="0" w:line="240" w:lineRule="auto"/>
              <w:rPr>
                <w:rFonts w:eastAsia="Times New Roman" w:cs="Arial"/>
                <w:b/>
                <w:bCs/>
                <w:i/>
                <w:iCs/>
                <w:color w:val="000000"/>
                <w:sz w:val="20"/>
                <w:szCs w:val="20"/>
                <w:lang w:eastAsia="en-AU"/>
              </w:rPr>
            </w:pPr>
            <w:r w:rsidRPr="00B82419">
              <w:rPr>
                <w:rFonts w:eastAsia="Times New Roman" w:cs="Arial"/>
                <w:b/>
                <w:bCs/>
                <w:i/>
                <w:iCs/>
                <w:color w:val="000000"/>
                <w:sz w:val="20"/>
                <w:szCs w:val="20"/>
                <w:lang w:eastAsia="en-AU"/>
              </w:rPr>
              <w:t>Existing participants</w:t>
            </w:r>
          </w:p>
        </w:tc>
        <w:tc>
          <w:tcPr>
            <w:tcW w:w="713" w:type="pct"/>
            <w:shd w:val="clear" w:color="auto" w:fill="auto"/>
            <w:noWrap/>
            <w:hideMark/>
          </w:tcPr>
          <w:p w14:paraId="7FE80B14"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 </w:t>
            </w:r>
          </w:p>
        </w:tc>
        <w:tc>
          <w:tcPr>
            <w:tcW w:w="553" w:type="pct"/>
            <w:shd w:val="clear" w:color="auto" w:fill="auto"/>
            <w:noWrap/>
            <w:hideMark/>
          </w:tcPr>
          <w:p w14:paraId="03FE04EA"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 </w:t>
            </w:r>
          </w:p>
        </w:tc>
        <w:tc>
          <w:tcPr>
            <w:tcW w:w="553" w:type="pct"/>
            <w:shd w:val="clear" w:color="auto" w:fill="auto"/>
            <w:noWrap/>
            <w:hideMark/>
          </w:tcPr>
          <w:p w14:paraId="430F4838"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 </w:t>
            </w:r>
          </w:p>
        </w:tc>
        <w:tc>
          <w:tcPr>
            <w:tcW w:w="553" w:type="pct"/>
            <w:tcBorders>
              <w:right w:val="dotted" w:sz="4" w:space="0" w:color="auto"/>
            </w:tcBorders>
            <w:shd w:val="clear" w:color="auto" w:fill="auto"/>
            <w:noWrap/>
            <w:hideMark/>
          </w:tcPr>
          <w:p w14:paraId="3C526390"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 </w:t>
            </w:r>
          </w:p>
        </w:tc>
        <w:tc>
          <w:tcPr>
            <w:tcW w:w="553" w:type="pct"/>
            <w:tcBorders>
              <w:top w:val="nil"/>
              <w:left w:val="dotted" w:sz="4" w:space="0" w:color="auto"/>
              <w:bottom w:val="nil"/>
              <w:right w:val="single" w:sz="4" w:space="0" w:color="auto"/>
            </w:tcBorders>
            <w:shd w:val="clear" w:color="auto" w:fill="auto"/>
            <w:noWrap/>
            <w:hideMark/>
          </w:tcPr>
          <w:p w14:paraId="3FC24F46"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 </w:t>
            </w:r>
          </w:p>
        </w:tc>
        <w:tc>
          <w:tcPr>
            <w:tcW w:w="553" w:type="pct"/>
            <w:tcBorders>
              <w:left w:val="single" w:sz="4" w:space="0" w:color="auto"/>
            </w:tcBorders>
            <w:shd w:val="clear" w:color="auto" w:fill="auto"/>
            <w:noWrap/>
            <w:hideMark/>
          </w:tcPr>
          <w:p w14:paraId="1C68009B"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 </w:t>
            </w:r>
          </w:p>
        </w:tc>
      </w:tr>
      <w:tr w:rsidR="00BC498F" w:rsidRPr="00B82419" w14:paraId="42F9470A"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3" w:type="pct"/>
            <w:noWrap/>
            <w:hideMark/>
          </w:tcPr>
          <w:p w14:paraId="64193227" w14:textId="77777777" w:rsidR="00BC498F" w:rsidRPr="00B82419" w:rsidRDefault="00BC498F" w:rsidP="00BA7353">
            <w:pPr>
              <w:spacing w:after="0" w:line="240" w:lineRule="auto"/>
              <w:rPr>
                <w:rFonts w:eastAsia="Times New Roman" w:cs="Arial"/>
                <w:color w:val="000000"/>
                <w:sz w:val="20"/>
                <w:szCs w:val="20"/>
                <w:lang w:eastAsia="en-AU"/>
              </w:rPr>
            </w:pPr>
            <w:r w:rsidRPr="00B82419">
              <w:rPr>
                <w:rFonts w:eastAsia="Times New Roman" w:cs="Arial"/>
                <w:color w:val="000000"/>
                <w:sz w:val="20"/>
                <w:szCs w:val="20"/>
                <w:lang w:eastAsia="en-AU"/>
              </w:rPr>
              <w:t>Scheme Expenses ($m)</w:t>
            </w:r>
          </w:p>
        </w:tc>
        <w:tc>
          <w:tcPr>
            <w:tcW w:w="713" w:type="pct"/>
            <w:noWrap/>
            <w:hideMark/>
          </w:tcPr>
          <w:p w14:paraId="35A5ECCB"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32,967</w:t>
            </w:r>
          </w:p>
        </w:tc>
        <w:tc>
          <w:tcPr>
            <w:tcW w:w="553" w:type="pct"/>
            <w:noWrap/>
            <w:hideMark/>
          </w:tcPr>
          <w:p w14:paraId="3979ED6E"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34,700</w:t>
            </w:r>
          </w:p>
        </w:tc>
        <w:tc>
          <w:tcPr>
            <w:tcW w:w="553" w:type="pct"/>
            <w:noWrap/>
            <w:hideMark/>
          </w:tcPr>
          <w:p w14:paraId="15966BF5"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37,662</w:t>
            </w:r>
          </w:p>
        </w:tc>
        <w:tc>
          <w:tcPr>
            <w:tcW w:w="553" w:type="pct"/>
            <w:tcBorders>
              <w:right w:val="dotted" w:sz="4" w:space="0" w:color="auto"/>
            </w:tcBorders>
            <w:noWrap/>
            <w:hideMark/>
          </w:tcPr>
          <w:p w14:paraId="46B8450F"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40,621</w:t>
            </w:r>
          </w:p>
        </w:tc>
        <w:tc>
          <w:tcPr>
            <w:tcW w:w="553" w:type="pct"/>
            <w:tcBorders>
              <w:top w:val="nil"/>
              <w:left w:val="dotted" w:sz="4" w:space="0" w:color="auto"/>
              <w:bottom w:val="nil"/>
              <w:right w:val="single" w:sz="4" w:space="0" w:color="auto"/>
            </w:tcBorders>
            <w:noWrap/>
            <w:hideMark/>
          </w:tcPr>
          <w:p w14:paraId="263E2CFD"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54,370</w:t>
            </w:r>
          </w:p>
        </w:tc>
        <w:tc>
          <w:tcPr>
            <w:tcW w:w="553" w:type="pct"/>
            <w:tcBorders>
              <w:left w:val="single" w:sz="4" w:space="0" w:color="auto"/>
            </w:tcBorders>
            <w:noWrap/>
            <w:hideMark/>
          </w:tcPr>
          <w:p w14:paraId="3A50A5E6"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145,950</w:t>
            </w:r>
          </w:p>
        </w:tc>
      </w:tr>
      <w:tr w:rsidR="00BC498F" w:rsidRPr="00B82419" w14:paraId="5BD5A850"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23" w:type="pct"/>
            <w:shd w:val="clear" w:color="auto" w:fill="auto"/>
            <w:noWrap/>
            <w:hideMark/>
          </w:tcPr>
          <w:p w14:paraId="70272658" w14:textId="77777777" w:rsidR="00BC498F" w:rsidRPr="00B82419" w:rsidRDefault="00BC498F" w:rsidP="00BA7353">
            <w:pPr>
              <w:spacing w:after="0" w:line="240" w:lineRule="auto"/>
              <w:rPr>
                <w:rFonts w:eastAsia="Times New Roman" w:cs="Arial"/>
                <w:color w:val="000000"/>
                <w:sz w:val="20"/>
                <w:szCs w:val="20"/>
                <w:lang w:eastAsia="en-AU"/>
              </w:rPr>
            </w:pPr>
            <w:r w:rsidRPr="00B82419">
              <w:rPr>
                <w:rFonts w:eastAsia="Times New Roman" w:cs="Arial"/>
                <w:color w:val="000000"/>
                <w:sz w:val="20"/>
                <w:szCs w:val="20"/>
                <w:lang w:eastAsia="en-AU"/>
              </w:rPr>
              <w:t>Variance to baseline ($m)</w:t>
            </w:r>
          </w:p>
        </w:tc>
        <w:tc>
          <w:tcPr>
            <w:tcW w:w="713" w:type="pct"/>
            <w:shd w:val="clear" w:color="auto" w:fill="auto"/>
            <w:noWrap/>
            <w:hideMark/>
          </w:tcPr>
          <w:p w14:paraId="28F6E466"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w:t>
            </w:r>
          </w:p>
        </w:tc>
        <w:tc>
          <w:tcPr>
            <w:tcW w:w="553" w:type="pct"/>
            <w:shd w:val="clear" w:color="auto" w:fill="auto"/>
            <w:noWrap/>
            <w:hideMark/>
          </w:tcPr>
          <w:p w14:paraId="22A4DC39"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w:t>
            </w:r>
          </w:p>
        </w:tc>
        <w:tc>
          <w:tcPr>
            <w:tcW w:w="553" w:type="pct"/>
            <w:shd w:val="clear" w:color="auto" w:fill="auto"/>
            <w:noWrap/>
            <w:hideMark/>
          </w:tcPr>
          <w:p w14:paraId="29A12EE8"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w:t>
            </w:r>
          </w:p>
        </w:tc>
        <w:tc>
          <w:tcPr>
            <w:tcW w:w="553" w:type="pct"/>
            <w:tcBorders>
              <w:right w:val="dotted" w:sz="4" w:space="0" w:color="auto"/>
            </w:tcBorders>
            <w:shd w:val="clear" w:color="auto" w:fill="auto"/>
            <w:noWrap/>
            <w:hideMark/>
          </w:tcPr>
          <w:p w14:paraId="2791369A"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w:t>
            </w:r>
          </w:p>
        </w:tc>
        <w:tc>
          <w:tcPr>
            <w:tcW w:w="553" w:type="pct"/>
            <w:tcBorders>
              <w:top w:val="nil"/>
              <w:left w:val="dotted" w:sz="4" w:space="0" w:color="auto"/>
              <w:bottom w:val="nil"/>
              <w:right w:val="single" w:sz="4" w:space="0" w:color="auto"/>
            </w:tcBorders>
            <w:shd w:val="clear" w:color="auto" w:fill="auto"/>
            <w:noWrap/>
            <w:hideMark/>
          </w:tcPr>
          <w:p w14:paraId="08E86DE4"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w:t>
            </w:r>
          </w:p>
        </w:tc>
        <w:tc>
          <w:tcPr>
            <w:tcW w:w="553" w:type="pct"/>
            <w:tcBorders>
              <w:left w:val="single" w:sz="4" w:space="0" w:color="auto"/>
            </w:tcBorders>
            <w:shd w:val="clear" w:color="auto" w:fill="auto"/>
            <w:noWrap/>
            <w:hideMark/>
          </w:tcPr>
          <w:p w14:paraId="57CC834B"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w:t>
            </w:r>
          </w:p>
        </w:tc>
      </w:tr>
      <w:tr w:rsidR="00BC498F" w:rsidRPr="00B82419" w14:paraId="444DFB97"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3" w:type="pct"/>
            <w:noWrap/>
            <w:hideMark/>
          </w:tcPr>
          <w:p w14:paraId="2EA6FDA0" w14:textId="77777777" w:rsidR="00BC498F" w:rsidRPr="00B82419" w:rsidRDefault="00BC498F" w:rsidP="00BA7353">
            <w:pPr>
              <w:spacing w:after="0" w:line="240" w:lineRule="auto"/>
              <w:rPr>
                <w:rFonts w:eastAsia="Times New Roman" w:cs="Arial"/>
                <w:color w:val="000000"/>
                <w:sz w:val="20"/>
                <w:szCs w:val="20"/>
                <w:lang w:eastAsia="en-AU"/>
              </w:rPr>
            </w:pPr>
            <w:r w:rsidRPr="00B82419">
              <w:rPr>
                <w:rFonts w:eastAsia="Times New Roman" w:cs="Arial"/>
                <w:color w:val="000000"/>
                <w:sz w:val="20"/>
                <w:szCs w:val="20"/>
                <w:lang w:eastAsia="en-AU"/>
              </w:rPr>
              <w:t>% variance to baseline</w:t>
            </w:r>
          </w:p>
        </w:tc>
        <w:tc>
          <w:tcPr>
            <w:tcW w:w="713" w:type="pct"/>
            <w:noWrap/>
            <w:hideMark/>
          </w:tcPr>
          <w:p w14:paraId="575CA091"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0.0%</w:t>
            </w:r>
          </w:p>
        </w:tc>
        <w:tc>
          <w:tcPr>
            <w:tcW w:w="553" w:type="pct"/>
            <w:noWrap/>
            <w:hideMark/>
          </w:tcPr>
          <w:p w14:paraId="1788B26B"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0.0%</w:t>
            </w:r>
          </w:p>
        </w:tc>
        <w:tc>
          <w:tcPr>
            <w:tcW w:w="553" w:type="pct"/>
            <w:noWrap/>
            <w:hideMark/>
          </w:tcPr>
          <w:p w14:paraId="7231813E"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0.0%</w:t>
            </w:r>
          </w:p>
        </w:tc>
        <w:tc>
          <w:tcPr>
            <w:tcW w:w="553" w:type="pct"/>
            <w:tcBorders>
              <w:right w:val="dotted" w:sz="4" w:space="0" w:color="auto"/>
            </w:tcBorders>
            <w:noWrap/>
            <w:hideMark/>
          </w:tcPr>
          <w:p w14:paraId="70382793"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0.0%</w:t>
            </w:r>
          </w:p>
        </w:tc>
        <w:tc>
          <w:tcPr>
            <w:tcW w:w="553" w:type="pct"/>
            <w:tcBorders>
              <w:top w:val="nil"/>
              <w:left w:val="dotted" w:sz="4" w:space="0" w:color="auto"/>
              <w:bottom w:val="nil"/>
              <w:right w:val="single" w:sz="4" w:space="0" w:color="auto"/>
            </w:tcBorders>
            <w:noWrap/>
            <w:hideMark/>
          </w:tcPr>
          <w:p w14:paraId="35531C94"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0.0%</w:t>
            </w:r>
          </w:p>
        </w:tc>
        <w:tc>
          <w:tcPr>
            <w:tcW w:w="553" w:type="pct"/>
            <w:tcBorders>
              <w:left w:val="single" w:sz="4" w:space="0" w:color="auto"/>
            </w:tcBorders>
            <w:noWrap/>
            <w:hideMark/>
          </w:tcPr>
          <w:p w14:paraId="507C1C14"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0.0%</w:t>
            </w:r>
          </w:p>
        </w:tc>
      </w:tr>
      <w:tr w:rsidR="00BC498F" w:rsidRPr="00B82419" w14:paraId="441CE84D"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23" w:type="pct"/>
            <w:shd w:val="clear" w:color="auto" w:fill="auto"/>
            <w:noWrap/>
            <w:hideMark/>
          </w:tcPr>
          <w:p w14:paraId="7EB99EE7" w14:textId="77777777" w:rsidR="00BC498F" w:rsidRPr="00B82419" w:rsidRDefault="00BC498F" w:rsidP="00BA7353">
            <w:pPr>
              <w:spacing w:after="0" w:line="240" w:lineRule="auto"/>
              <w:rPr>
                <w:rFonts w:eastAsia="Times New Roman" w:cs="Arial"/>
                <w:b/>
                <w:bCs/>
                <w:i/>
                <w:iCs/>
                <w:color w:val="000000"/>
                <w:sz w:val="20"/>
                <w:szCs w:val="20"/>
                <w:lang w:eastAsia="en-AU"/>
              </w:rPr>
            </w:pPr>
            <w:r w:rsidRPr="00B82419">
              <w:rPr>
                <w:rFonts w:eastAsia="Times New Roman" w:cs="Arial"/>
                <w:b/>
                <w:bCs/>
                <w:i/>
                <w:iCs/>
                <w:color w:val="000000"/>
                <w:sz w:val="20"/>
                <w:szCs w:val="20"/>
                <w:lang w:eastAsia="en-AU"/>
              </w:rPr>
              <w:t>New participants</w:t>
            </w:r>
          </w:p>
        </w:tc>
        <w:tc>
          <w:tcPr>
            <w:tcW w:w="713" w:type="pct"/>
            <w:shd w:val="clear" w:color="auto" w:fill="auto"/>
            <w:noWrap/>
            <w:hideMark/>
          </w:tcPr>
          <w:p w14:paraId="3211F5F6"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 </w:t>
            </w:r>
          </w:p>
        </w:tc>
        <w:tc>
          <w:tcPr>
            <w:tcW w:w="553" w:type="pct"/>
            <w:shd w:val="clear" w:color="auto" w:fill="auto"/>
            <w:noWrap/>
            <w:hideMark/>
          </w:tcPr>
          <w:p w14:paraId="7615A386"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 </w:t>
            </w:r>
          </w:p>
        </w:tc>
        <w:tc>
          <w:tcPr>
            <w:tcW w:w="553" w:type="pct"/>
            <w:shd w:val="clear" w:color="auto" w:fill="auto"/>
            <w:noWrap/>
            <w:hideMark/>
          </w:tcPr>
          <w:p w14:paraId="372F3E9F"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 </w:t>
            </w:r>
          </w:p>
        </w:tc>
        <w:tc>
          <w:tcPr>
            <w:tcW w:w="553" w:type="pct"/>
            <w:tcBorders>
              <w:right w:val="dotted" w:sz="4" w:space="0" w:color="auto"/>
            </w:tcBorders>
            <w:shd w:val="clear" w:color="auto" w:fill="auto"/>
            <w:noWrap/>
            <w:hideMark/>
          </w:tcPr>
          <w:p w14:paraId="2A8225D1"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 </w:t>
            </w:r>
          </w:p>
        </w:tc>
        <w:tc>
          <w:tcPr>
            <w:tcW w:w="553" w:type="pct"/>
            <w:tcBorders>
              <w:top w:val="nil"/>
              <w:left w:val="dotted" w:sz="4" w:space="0" w:color="auto"/>
              <w:bottom w:val="nil"/>
              <w:right w:val="single" w:sz="4" w:space="0" w:color="auto"/>
            </w:tcBorders>
            <w:shd w:val="clear" w:color="auto" w:fill="auto"/>
            <w:noWrap/>
            <w:hideMark/>
          </w:tcPr>
          <w:p w14:paraId="5DF18469"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 </w:t>
            </w:r>
          </w:p>
        </w:tc>
        <w:tc>
          <w:tcPr>
            <w:tcW w:w="553" w:type="pct"/>
            <w:tcBorders>
              <w:left w:val="single" w:sz="4" w:space="0" w:color="auto"/>
            </w:tcBorders>
            <w:shd w:val="clear" w:color="auto" w:fill="auto"/>
            <w:noWrap/>
            <w:hideMark/>
          </w:tcPr>
          <w:p w14:paraId="1571A6E9"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 </w:t>
            </w:r>
          </w:p>
        </w:tc>
      </w:tr>
      <w:tr w:rsidR="00BC498F" w:rsidRPr="00B82419" w14:paraId="2F5B7B9A"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3" w:type="pct"/>
            <w:noWrap/>
            <w:hideMark/>
          </w:tcPr>
          <w:p w14:paraId="24089988" w14:textId="77777777" w:rsidR="00BC498F" w:rsidRPr="00B82419" w:rsidRDefault="00BC498F" w:rsidP="00BA7353">
            <w:pPr>
              <w:spacing w:after="0" w:line="240" w:lineRule="auto"/>
              <w:rPr>
                <w:rFonts w:eastAsia="Times New Roman" w:cs="Arial"/>
                <w:color w:val="000000"/>
                <w:sz w:val="20"/>
                <w:szCs w:val="20"/>
                <w:lang w:eastAsia="en-AU"/>
              </w:rPr>
            </w:pPr>
            <w:r w:rsidRPr="00B82419">
              <w:rPr>
                <w:rFonts w:eastAsia="Times New Roman" w:cs="Arial"/>
                <w:color w:val="000000"/>
                <w:sz w:val="20"/>
                <w:szCs w:val="20"/>
                <w:lang w:eastAsia="en-AU"/>
              </w:rPr>
              <w:t>Scheme Expenses ($m)</w:t>
            </w:r>
          </w:p>
        </w:tc>
        <w:tc>
          <w:tcPr>
            <w:tcW w:w="713" w:type="pct"/>
            <w:noWrap/>
            <w:hideMark/>
          </w:tcPr>
          <w:p w14:paraId="78F6BBC9"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1,021</w:t>
            </w:r>
          </w:p>
        </w:tc>
        <w:tc>
          <w:tcPr>
            <w:tcW w:w="553" w:type="pct"/>
            <w:noWrap/>
            <w:hideMark/>
          </w:tcPr>
          <w:p w14:paraId="2C8F15DE"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3,475</w:t>
            </w:r>
          </w:p>
        </w:tc>
        <w:tc>
          <w:tcPr>
            <w:tcW w:w="553" w:type="pct"/>
            <w:noWrap/>
            <w:hideMark/>
          </w:tcPr>
          <w:p w14:paraId="0846A544"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6,539</w:t>
            </w:r>
          </w:p>
        </w:tc>
        <w:tc>
          <w:tcPr>
            <w:tcW w:w="553" w:type="pct"/>
            <w:tcBorders>
              <w:right w:val="dotted" w:sz="4" w:space="0" w:color="auto"/>
            </w:tcBorders>
            <w:noWrap/>
            <w:hideMark/>
          </w:tcPr>
          <w:p w14:paraId="193EDD59"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9,860</w:t>
            </w:r>
          </w:p>
        </w:tc>
        <w:tc>
          <w:tcPr>
            <w:tcW w:w="553" w:type="pct"/>
            <w:tcBorders>
              <w:top w:val="nil"/>
              <w:left w:val="dotted" w:sz="4" w:space="0" w:color="auto"/>
              <w:bottom w:val="nil"/>
              <w:right w:val="single" w:sz="4" w:space="0" w:color="auto"/>
            </w:tcBorders>
            <w:noWrap/>
            <w:hideMark/>
          </w:tcPr>
          <w:p w14:paraId="1BBE694A"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35,641</w:t>
            </w:r>
          </w:p>
        </w:tc>
        <w:tc>
          <w:tcPr>
            <w:tcW w:w="553" w:type="pct"/>
            <w:tcBorders>
              <w:left w:val="single" w:sz="4" w:space="0" w:color="auto"/>
            </w:tcBorders>
            <w:noWrap/>
            <w:hideMark/>
          </w:tcPr>
          <w:p w14:paraId="72D9FA12"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20,895</w:t>
            </w:r>
          </w:p>
        </w:tc>
      </w:tr>
      <w:tr w:rsidR="00BC498F" w:rsidRPr="00B82419" w14:paraId="4C0A59E9"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23" w:type="pct"/>
            <w:shd w:val="clear" w:color="auto" w:fill="auto"/>
            <w:noWrap/>
            <w:hideMark/>
          </w:tcPr>
          <w:p w14:paraId="63A18E8C" w14:textId="77777777" w:rsidR="00BC498F" w:rsidRPr="00B82419" w:rsidRDefault="00BC498F" w:rsidP="00BA7353">
            <w:pPr>
              <w:spacing w:after="0" w:line="240" w:lineRule="auto"/>
              <w:rPr>
                <w:rFonts w:eastAsia="Times New Roman" w:cs="Arial"/>
                <w:color w:val="000000"/>
                <w:sz w:val="20"/>
                <w:szCs w:val="20"/>
                <w:lang w:eastAsia="en-AU"/>
              </w:rPr>
            </w:pPr>
            <w:r w:rsidRPr="00B82419">
              <w:rPr>
                <w:rFonts w:eastAsia="Times New Roman" w:cs="Arial"/>
                <w:color w:val="000000"/>
                <w:sz w:val="20"/>
                <w:szCs w:val="20"/>
                <w:lang w:eastAsia="en-AU"/>
              </w:rPr>
              <w:t>Variance to baseline ($m)</w:t>
            </w:r>
          </w:p>
        </w:tc>
        <w:tc>
          <w:tcPr>
            <w:tcW w:w="713" w:type="pct"/>
            <w:shd w:val="clear" w:color="auto" w:fill="auto"/>
            <w:noWrap/>
            <w:hideMark/>
          </w:tcPr>
          <w:p w14:paraId="47E67543"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12</w:t>
            </w:r>
          </w:p>
        </w:tc>
        <w:tc>
          <w:tcPr>
            <w:tcW w:w="553" w:type="pct"/>
            <w:shd w:val="clear" w:color="auto" w:fill="auto"/>
            <w:noWrap/>
            <w:hideMark/>
          </w:tcPr>
          <w:p w14:paraId="6F2D7476"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43</w:t>
            </w:r>
          </w:p>
        </w:tc>
        <w:tc>
          <w:tcPr>
            <w:tcW w:w="553" w:type="pct"/>
            <w:shd w:val="clear" w:color="auto" w:fill="auto"/>
            <w:noWrap/>
            <w:hideMark/>
          </w:tcPr>
          <w:p w14:paraId="3DD9CD00"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85</w:t>
            </w:r>
          </w:p>
        </w:tc>
        <w:tc>
          <w:tcPr>
            <w:tcW w:w="553" w:type="pct"/>
            <w:tcBorders>
              <w:right w:val="dotted" w:sz="4" w:space="0" w:color="auto"/>
            </w:tcBorders>
            <w:shd w:val="clear" w:color="auto" w:fill="auto"/>
            <w:noWrap/>
            <w:hideMark/>
          </w:tcPr>
          <w:p w14:paraId="679A55D6"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137</w:t>
            </w:r>
          </w:p>
        </w:tc>
        <w:tc>
          <w:tcPr>
            <w:tcW w:w="553" w:type="pct"/>
            <w:tcBorders>
              <w:top w:val="nil"/>
              <w:left w:val="dotted" w:sz="4" w:space="0" w:color="auto"/>
              <w:bottom w:val="nil"/>
              <w:right w:val="single" w:sz="4" w:space="0" w:color="auto"/>
            </w:tcBorders>
            <w:shd w:val="clear" w:color="auto" w:fill="auto"/>
            <w:noWrap/>
            <w:hideMark/>
          </w:tcPr>
          <w:p w14:paraId="26DBCE9B"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608</w:t>
            </w:r>
          </w:p>
        </w:tc>
        <w:tc>
          <w:tcPr>
            <w:tcW w:w="553" w:type="pct"/>
            <w:tcBorders>
              <w:left w:val="single" w:sz="4" w:space="0" w:color="auto"/>
            </w:tcBorders>
            <w:shd w:val="clear" w:color="auto" w:fill="auto"/>
            <w:noWrap/>
            <w:hideMark/>
          </w:tcPr>
          <w:p w14:paraId="5991DE4F"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276</w:t>
            </w:r>
          </w:p>
        </w:tc>
      </w:tr>
      <w:tr w:rsidR="00BC498F" w:rsidRPr="00B82419" w14:paraId="0DE3C5DC"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3" w:type="pct"/>
            <w:noWrap/>
            <w:hideMark/>
          </w:tcPr>
          <w:p w14:paraId="442817FC" w14:textId="77777777" w:rsidR="00BC498F" w:rsidRPr="00B82419" w:rsidRDefault="00BC498F" w:rsidP="00BA7353">
            <w:pPr>
              <w:spacing w:after="0" w:line="240" w:lineRule="auto"/>
              <w:rPr>
                <w:rFonts w:eastAsia="Times New Roman" w:cs="Arial"/>
                <w:color w:val="000000"/>
                <w:sz w:val="20"/>
                <w:szCs w:val="20"/>
                <w:lang w:eastAsia="en-AU"/>
              </w:rPr>
            </w:pPr>
            <w:r w:rsidRPr="00B82419">
              <w:rPr>
                <w:rFonts w:eastAsia="Times New Roman" w:cs="Arial"/>
                <w:color w:val="000000"/>
                <w:sz w:val="20"/>
                <w:szCs w:val="20"/>
                <w:lang w:eastAsia="en-AU"/>
              </w:rPr>
              <w:t>% variance to baseline</w:t>
            </w:r>
          </w:p>
        </w:tc>
        <w:tc>
          <w:tcPr>
            <w:tcW w:w="713" w:type="pct"/>
            <w:noWrap/>
            <w:hideMark/>
          </w:tcPr>
          <w:p w14:paraId="512CFE4E"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1.2%</w:t>
            </w:r>
          </w:p>
        </w:tc>
        <w:tc>
          <w:tcPr>
            <w:tcW w:w="553" w:type="pct"/>
            <w:noWrap/>
            <w:hideMark/>
          </w:tcPr>
          <w:p w14:paraId="4624D56B"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1.2%</w:t>
            </w:r>
          </w:p>
        </w:tc>
        <w:tc>
          <w:tcPr>
            <w:tcW w:w="553" w:type="pct"/>
            <w:noWrap/>
            <w:hideMark/>
          </w:tcPr>
          <w:p w14:paraId="0E1C56F8"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1.3%</w:t>
            </w:r>
          </w:p>
        </w:tc>
        <w:tc>
          <w:tcPr>
            <w:tcW w:w="553" w:type="pct"/>
            <w:tcBorders>
              <w:right w:val="dotted" w:sz="4" w:space="0" w:color="auto"/>
            </w:tcBorders>
            <w:noWrap/>
            <w:hideMark/>
          </w:tcPr>
          <w:p w14:paraId="70412D8D"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1.4%</w:t>
            </w:r>
          </w:p>
        </w:tc>
        <w:tc>
          <w:tcPr>
            <w:tcW w:w="553" w:type="pct"/>
            <w:tcBorders>
              <w:top w:val="nil"/>
              <w:left w:val="dotted" w:sz="4" w:space="0" w:color="auto"/>
              <w:bottom w:val="nil"/>
              <w:right w:val="single" w:sz="4" w:space="0" w:color="auto"/>
            </w:tcBorders>
            <w:noWrap/>
            <w:hideMark/>
          </w:tcPr>
          <w:p w14:paraId="0F7D62AD"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1.7%</w:t>
            </w:r>
          </w:p>
        </w:tc>
        <w:tc>
          <w:tcPr>
            <w:tcW w:w="553" w:type="pct"/>
            <w:tcBorders>
              <w:left w:val="single" w:sz="4" w:space="0" w:color="auto"/>
            </w:tcBorders>
            <w:noWrap/>
            <w:hideMark/>
          </w:tcPr>
          <w:p w14:paraId="583F426A"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1.3%</w:t>
            </w:r>
          </w:p>
        </w:tc>
      </w:tr>
      <w:tr w:rsidR="00BC498F" w:rsidRPr="00B82419" w14:paraId="2B2A5A8D"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23" w:type="pct"/>
            <w:shd w:val="clear" w:color="auto" w:fill="auto"/>
            <w:noWrap/>
            <w:hideMark/>
          </w:tcPr>
          <w:p w14:paraId="762A4B3B" w14:textId="77777777" w:rsidR="00BC498F" w:rsidRPr="00B82419" w:rsidRDefault="00BC498F" w:rsidP="00BA7353">
            <w:pPr>
              <w:spacing w:after="0" w:line="240" w:lineRule="auto"/>
              <w:rPr>
                <w:rFonts w:eastAsia="Times New Roman" w:cs="Arial"/>
                <w:b/>
                <w:bCs/>
                <w:i/>
                <w:iCs/>
                <w:color w:val="000000"/>
                <w:sz w:val="20"/>
                <w:szCs w:val="20"/>
                <w:lang w:eastAsia="en-AU"/>
              </w:rPr>
            </w:pPr>
            <w:r w:rsidRPr="00B82419">
              <w:rPr>
                <w:rFonts w:eastAsia="Times New Roman" w:cs="Arial"/>
                <w:b/>
                <w:bCs/>
                <w:i/>
                <w:iCs/>
                <w:color w:val="000000"/>
                <w:sz w:val="20"/>
                <w:szCs w:val="20"/>
                <w:lang w:eastAsia="en-AU"/>
              </w:rPr>
              <w:t>All projected participants</w:t>
            </w:r>
          </w:p>
        </w:tc>
        <w:tc>
          <w:tcPr>
            <w:tcW w:w="713" w:type="pct"/>
            <w:shd w:val="clear" w:color="auto" w:fill="auto"/>
            <w:noWrap/>
            <w:hideMark/>
          </w:tcPr>
          <w:p w14:paraId="4F950D1F"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 </w:t>
            </w:r>
          </w:p>
        </w:tc>
        <w:tc>
          <w:tcPr>
            <w:tcW w:w="553" w:type="pct"/>
            <w:shd w:val="clear" w:color="auto" w:fill="auto"/>
            <w:noWrap/>
            <w:hideMark/>
          </w:tcPr>
          <w:p w14:paraId="24252D50"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 </w:t>
            </w:r>
          </w:p>
        </w:tc>
        <w:tc>
          <w:tcPr>
            <w:tcW w:w="553" w:type="pct"/>
            <w:shd w:val="clear" w:color="auto" w:fill="auto"/>
            <w:noWrap/>
            <w:hideMark/>
          </w:tcPr>
          <w:p w14:paraId="414821BE"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 </w:t>
            </w:r>
          </w:p>
        </w:tc>
        <w:tc>
          <w:tcPr>
            <w:tcW w:w="553" w:type="pct"/>
            <w:tcBorders>
              <w:right w:val="dotted" w:sz="4" w:space="0" w:color="auto"/>
            </w:tcBorders>
            <w:shd w:val="clear" w:color="auto" w:fill="auto"/>
            <w:noWrap/>
            <w:hideMark/>
          </w:tcPr>
          <w:p w14:paraId="07433B09"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 </w:t>
            </w:r>
          </w:p>
        </w:tc>
        <w:tc>
          <w:tcPr>
            <w:tcW w:w="553" w:type="pct"/>
            <w:tcBorders>
              <w:top w:val="nil"/>
              <w:left w:val="dotted" w:sz="4" w:space="0" w:color="auto"/>
              <w:bottom w:val="nil"/>
              <w:right w:val="single" w:sz="4" w:space="0" w:color="auto"/>
            </w:tcBorders>
            <w:shd w:val="clear" w:color="auto" w:fill="auto"/>
            <w:noWrap/>
            <w:hideMark/>
          </w:tcPr>
          <w:p w14:paraId="393C86E9"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 </w:t>
            </w:r>
          </w:p>
        </w:tc>
        <w:tc>
          <w:tcPr>
            <w:tcW w:w="553" w:type="pct"/>
            <w:tcBorders>
              <w:left w:val="single" w:sz="4" w:space="0" w:color="auto"/>
            </w:tcBorders>
            <w:shd w:val="clear" w:color="auto" w:fill="auto"/>
            <w:noWrap/>
            <w:hideMark/>
          </w:tcPr>
          <w:p w14:paraId="62106CCA"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 </w:t>
            </w:r>
          </w:p>
        </w:tc>
      </w:tr>
      <w:tr w:rsidR="00BC498F" w:rsidRPr="00B82419" w14:paraId="13332718"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3" w:type="pct"/>
            <w:noWrap/>
            <w:hideMark/>
          </w:tcPr>
          <w:p w14:paraId="12E08C8C" w14:textId="77777777" w:rsidR="00BC498F" w:rsidRPr="00B82419" w:rsidRDefault="00BC498F" w:rsidP="00BA7353">
            <w:pPr>
              <w:spacing w:after="0" w:line="240" w:lineRule="auto"/>
              <w:rPr>
                <w:rFonts w:eastAsia="Times New Roman" w:cs="Arial"/>
                <w:color w:val="000000"/>
                <w:sz w:val="20"/>
                <w:szCs w:val="20"/>
                <w:lang w:eastAsia="en-AU"/>
              </w:rPr>
            </w:pPr>
            <w:r w:rsidRPr="00B82419">
              <w:rPr>
                <w:rFonts w:eastAsia="Times New Roman" w:cs="Arial"/>
                <w:color w:val="000000"/>
                <w:sz w:val="20"/>
                <w:szCs w:val="20"/>
                <w:lang w:eastAsia="en-AU"/>
              </w:rPr>
              <w:t>Scheme Expenses ($m)</w:t>
            </w:r>
          </w:p>
        </w:tc>
        <w:tc>
          <w:tcPr>
            <w:tcW w:w="713" w:type="pct"/>
            <w:noWrap/>
            <w:hideMark/>
          </w:tcPr>
          <w:p w14:paraId="4B7C889D"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33,988</w:t>
            </w:r>
          </w:p>
        </w:tc>
        <w:tc>
          <w:tcPr>
            <w:tcW w:w="553" w:type="pct"/>
            <w:noWrap/>
            <w:hideMark/>
          </w:tcPr>
          <w:p w14:paraId="0391B9E4"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38,175</w:t>
            </w:r>
          </w:p>
        </w:tc>
        <w:tc>
          <w:tcPr>
            <w:tcW w:w="553" w:type="pct"/>
            <w:noWrap/>
            <w:hideMark/>
          </w:tcPr>
          <w:p w14:paraId="089524EA"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44,201</w:t>
            </w:r>
          </w:p>
        </w:tc>
        <w:tc>
          <w:tcPr>
            <w:tcW w:w="553" w:type="pct"/>
            <w:tcBorders>
              <w:right w:val="dotted" w:sz="4" w:space="0" w:color="auto"/>
            </w:tcBorders>
            <w:noWrap/>
            <w:hideMark/>
          </w:tcPr>
          <w:p w14:paraId="5CB5EA9D"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50,481</w:t>
            </w:r>
          </w:p>
        </w:tc>
        <w:tc>
          <w:tcPr>
            <w:tcW w:w="553" w:type="pct"/>
            <w:tcBorders>
              <w:top w:val="nil"/>
              <w:left w:val="dotted" w:sz="4" w:space="0" w:color="auto"/>
              <w:bottom w:val="nil"/>
              <w:right w:val="single" w:sz="4" w:space="0" w:color="auto"/>
            </w:tcBorders>
            <w:noWrap/>
            <w:hideMark/>
          </w:tcPr>
          <w:p w14:paraId="49F67F6C"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90,011</w:t>
            </w:r>
          </w:p>
        </w:tc>
        <w:tc>
          <w:tcPr>
            <w:tcW w:w="553" w:type="pct"/>
            <w:tcBorders>
              <w:left w:val="single" w:sz="4" w:space="0" w:color="auto"/>
            </w:tcBorders>
            <w:noWrap/>
            <w:hideMark/>
          </w:tcPr>
          <w:p w14:paraId="10832BC7"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166,845</w:t>
            </w:r>
          </w:p>
        </w:tc>
      </w:tr>
      <w:tr w:rsidR="00BC498F" w:rsidRPr="00B82419" w14:paraId="3EF7F00D"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23" w:type="pct"/>
            <w:shd w:val="clear" w:color="auto" w:fill="auto"/>
            <w:noWrap/>
            <w:hideMark/>
          </w:tcPr>
          <w:p w14:paraId="2C6F873B" w14:textId="77777777" w:rsidR="00BC498F" w:rsidRPr="00B82419" w:rsidRDefault="00BC498F" w:rsidP="00BA7353">
            <w:pPr>
              <w:spacing w:after="0" w:line="240" w:lineRule="auto"/>
              <w:rPr>
                <w:rFonts w:eastAsia="Times New Roman" w:cs="Arial"/>
                <w:color w:val="000000"/>
                <w:sz w:val="20"/>
                <w:szCs w:val="20"/>
                <w:lang w:eastAsia="en-AU"/>
              </w:rPr>
            </w:pPr>
            <w:r w:rsidRPr="00B82419">
              <w:rPr>
                <w:rFonts w:eastAsia="Times New Roman" w:cs="Arial"/>
                <w:color w:val="000000"/>
                <w:sz w:val="20"/>
                <w:szCs w:val="20"/>
                <w:lang w:eastAsia="en-AU"/>
              </w:rPr>
              <w:t>Variance to baseline ($m)</w:t>
            </w:r>
          </w:p>
        </w:tc>
        <w:tc>
          <w:tcPr>
            <w:tcW w:w="713" w:type="pct"/>
            <w:shd w:val="clear" w:color="auto" w:fill="auto"/>
            <w:noWrap/>
            <w:hideMark/>
          </w:tcPr>
          <w:p w14:paraId="4DA3AF29"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12</w:t>
            </w:r>
          </w:p>
        </w:tc>
        <w:tc>
          <w:tcPr>
            <w:tcW w:w="553" w:type="pct"/>
            <w:shd w:val="clear" w:color="auto" w:fill="auto"/>
            <w:noWrap/>
            <w:hideMark/>
          </w:tcPr>
          <w:p w14:paraId="1B8391BC"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43</w:t>
            </w:r>
          </w:p>
        </w:tc>
        <w:tc>
          <w:tcPr>
            <w:tcW w:w="553" w:type="pct"/>
            <w:shd w:val="clear" w:color="auto" w:fill="auto"/>
            <w:noWrap/>
            <w:hideMark/>
          </w:tcPr>
          <w:p w14:paraId="217AAAF9"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85</w:t>
            </w:r>
          </w:p>
        </w:tc>
        <w:tc>
          <w:tcPr>
            <w:tcW w:w="553" w:type="pct"/>
            <w:tcBorders>
              <w:right w:val="dotted" w:sz="4" w:space="0" w:color="auto"/>
            </w:tcBorders>
            <w:shd w:val="clear" w:color="auto" w:fill="auto"/>
            <w:noWrap/>
            <w:hideMark/>
          </w:tcPr>
          <w:p w14:paraId="79FDC57B"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137</w:t>
            </w:r>
          </w:p>
        </w:tc>
        <w:tc>
          <w:tcPr>
            <w:tcW w:w="553" w:type="pct"/>
            <w:tcBorders>
              <w:top w:val="nil"/>
              <w:left w:val="dotted" w:sz="4" w:space="0" w:color="auto"/>
              <w:bottom w:val="nil"/>
              <w:right w:val="single" w:sz="4" w:space="0" w:color="auto"/>
            </w:tcBorders>
            <w:shd w:val="clear" w:color="auto" w:fill="auto"/>
            <w:noWrap/>
            <w:hideMark/>
          </w:tcPr>
          <w:p w14:paraId="178DF446"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608</w:t>
            </w:r>
          </w:p>
        </w:tc>
        <w:tc>
          <w:tcPr>
            <w:tcW w:w="553" w:type="pct"/>
            <w:tcBorders>
              <w:left w:val="single" w:sz="4" w:space="0" w:color="auto"/>
            </w:tcBorders>
            <w:shd w:val="clear" w:color="auto" w:fill="auto"/>
            <w:noWrap/>
            <w:hideMark/>
          </w:tcPr>
          <w:p w14:paraId="3BE0ED2F" w14:textId="77777777" w:rsidR="00BC498F" w:rsidRPr="00B82419"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276</w:t>
            </w:r>
          </w:p>
        </w:tc>
      </w:tr>
      <w:tr w:rsidR="00BC498F" w:rsidRPr="00B82419" w14:paraId="4776D3FD"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3" w:type="pct"/>
            <w:noWrap/>
            <w:hideMark/>
          </w:tcPr>
          <w:p w14:paraId="48C1039B" w14:textId="77777777" w:rsidR="00BC498F" w:rsidRPr="00B82419" w:rsidRDefault="00BC498F" w:rsidP="00BA7353">
            <w:pPr>
              <w:spacing w:after="0" w:line="240" w:lineRule="auto"/>
              <w:rPr>
                <w:rFonts w:eastAsia="Times New Roman" w:cs="Arial"/>
                <w:color w:val="000000"/>
                <w:sz w:val="20"/>
                <w:szCs w:val="20"/>
                <w:lang w:eastAsia="en-AU"/>
              </w:rPr>
            </w:pPr>
            <w:r w:rsidRPr="00B82419">
              <w:rPr>
                <w:rFonts w:eastAsia="Times New Roman" w:cs="Arial"/>
                <w:color w:val="000000"/>
                <w:sz w:val="20"/>
                <w:szCs w:val="20"/>
                <w:lang w:eastAsia="en-AU"/>
              </w:rPr>
              <w:t>% variance to baseline</w:t>
            </w:r>
          </w:p>
        </w:tc>
        <w:tc>
          <w:tcPr>
            <w:tcW w:w="713" w:type="pct"/>
            <w:noWrap/>
            <w:hideMark/>
          </w:tcPr>
          <w:p w14:paraId="2FB425D4"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0.0%</w:t>
            </w:r>
          </w:p>
        </w:tc>
        <w:tc>
          <w:tcPr>
            <w:tcW w:w="553" w:type="pct"/>
            <w:noWrap/>
            <w:hideMark/>
          </w:tcPr>
          <w:p w14:paraId="2D1C0BA9" w14:textId="77777777" w:rsidR="00BC498F" w:rsidRPr="00B564B6"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highlight w:val="yellow"/>
                <w:lang w:eastAsia="en-AU"/>
              </w:rPr>
            </w:pPr>
            <w:r w:rsidRPr="00E35572">
              <w:rPr>
                <w:rFonts w:eastAsia="Times New Roman" w:cs="Arial"/>
                <w:color w:val="000000"/>
                <w:sz w:val="20"/>
                <w:szCs w:val="20"/>
                <w:lang w:eastAsia="en-AU"/>
              </w:rPr>
              <w:t>0.1%</w:t>
            </w:r>
          </w:p>
        </w:tc>
        <w:tc>
          <w:tcPr>
            <w:tcW w:w="553" w:type="pct"/>
            <w:noWrap/>
            <w:hideMark/>
          </w:tcPr>
          <w:p w14:paraId="27F81D79"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0.2%</w:t>
            </w:r>
          </w:p>
        </w:tc>
        <w:tc>
          <w:tcPr>
            <w:tcW w:w="553" w:type="pct"/>
            <w:tcBorders>
              <w:right w:val="dotted" w:sz="4" w:space="0" w:color="auto"/>
            </w:tcBorders>
            <w:noWrap/>
            <w:hideMark/>
          </w:tcPr>
          <w:p w14:paraId="748F84F1"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0.3%</w:t>
            </w:r>
          </w:p>
        </w:tc>
        <w:tc>
          <w:tcPr>
            <w:tcW w:w="553" w:type="pct"/>
            <w:tcBorders>
              <w:top w:val="nil"/>
              <w:left w:val="dotted" w:sz="4" w:space="0" w:color="auto"/>
              <w:bottom w:val="single" w:sz="4" w:space="0" w:color="auto"/>
              <w:right w:val="single" w:sz="4" w:space="0" w:color="auto"/>
            </w:tcBorders>
            <w:noWrap/>
            <w:hideMark/>
          </w:tcPr>
          <w:p w14:paraId="40EC1786"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0.7%</w:t>
            </w:r>
          </w:p>
        </w:tc>
        <w:tc>
          <w:tcPr>
            <w:tcW w:w="553" w:type="pct"/>
            <w:tcBorders>
              <w:left w:val="single" w:sz="4" w:space="0" w:color="auto"/>
              <w:bottom w:val="single" w:sz="4" w:space="0" w:color="auto"/>
            </w:tcBorders>
            <w:noWrap/>
            <w:hideMark/>
          </w:tcPr>
          <w:p w14:paraId="3C4F40D4" w14:textId="77777777" w:rsidR="00BC498F" w:rsidRPr="00B82419"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82419">
              <w:rPr>
                <w:rFonts w:eastAsia="Times New Roman" w:cs="Arial"/>
                <w:color w:val="000000"/>
                <w:sz w:val="20"/>
                <w:szCs w:val="20"/>
                <w:lang w:eastAsia="en-AU"/>
              </w:rPr>
              <w:t>0.2%</w:t>
            </w:r>
          </w:p>
        </w:tc>
      </w:tr>
    </w:tbl>
    <w:p w14:paraId="34AF7BFC" w14:textId="77777777" w:rsidR="00EB6BFA" w:rsidRDefault="00EB6BFA" w:rsidP="00BC498F">
      <w:pPr>
        <w:pStyle w:val="FSRHeading5"/>
      </w:pPr>
    </w:p>
    <w:p w14:paraId="4B343BAD" w14:textId="77777777" w:rsidR="00EB6BFA" w:rsidRDefault="00EB6BFA">
      <w:pPr>
        <w:spacing w:after="160" w:line="259" w:lineRule="auto"/>
        <w:rPr>
          <w:b/>
          <w:i/>
          <w:color w:val="F26322"/>
          <w:sz w:val="24"/>
        </w:rPr>
      </w:pPr>
      <w:r>
        <w:br w:type="page"/>
      </w:r>
    </w:p>
    <w:p w14:paraId="2DE2407A" w14:textId="77777777" w:rsidR="00BC498F" w:rsidRPr="004C288B" w:rsidRDefault="00BC498F" w:rsidP="00BC498F">
      <w:pPr>
        <w:pStyle w:val="FSRHeading5"/>
        <w:rPr>
          <w:iCs/>
        </w:rPr>
      </w:pPr>
      <w:r>
        <w:lastRenderedPageBreak/>
        <w:t xml:space="preserve">Scenario: </w:t>
      </w:r>
      <w:r w:rsidRPr="00C41A37">
        <w:t>Three extra years to reach steady state</w:t>
      </w:r>
    </w:p>
    <w:p w14:paraId="5BD05FFC" w14:textId="77777777" w:rsidR="00BC498F" w:rsidRDefault="00BC498F" w:rsidP="00F830E6">
      <w:pPr>
        <w:pStyle w:val="FSRnormal"/>
      </w:pPr>
      <w:r>
        <w:t xml:space="preserve">This scenario assumes the </w:t>
      </w:r>
      <w:r w:rsidR="00F83C3E">
        <w:t>S</w:t>
      </w:r>
      <w:r>
        <w:t xml:space="preserve">cheme </w:t>
      </w:r>
      <w:r w:rsidR="00D115DA">
        <w:t>will</w:t>
      </w:r>
      <w:r>
        <w:t xml:space="preserve"> take three</w:t>
      </w:r>
      <w:r w:rsidRPr="00C41A37">
        <w:t xml:space="preserve"> extra yea</w:t>
      </w:r>
      <w:r>
        <w:t>rs to reach steady state (</w:t>
      </w:r>
      <w:r w:rsidRPr="00C41A37">
        <w:t>a slower transition to the Steady Intake Date</w:t>
      </w:r>
      <w:r>
        <w:t>)</w:t>
      </w:r>
      <w:r w:rsidRPr="00C41A37">
        <w:t>, such that it occurs on 30 June 2027 instead of the current assumption of 30 June 2024. This adds $0.9 billion in 2025-26 and $1.9 billion in 2031-32.</w:t>
      </w:r>
    </w:p>
    <w:p w14:paraId="63FF3451" w14:textId="77777777" w:rsidR="00C70A4C" w:rsidRDefault="00C70A4C" w:rsidP="00C70A4C">
      <w:pPr>
        <w:pStyle w:val="Tables"/>
        <w:keepLines/>
      </w:pPr>
      <w:r>
        <w:t xml:space="preserve">Table </w:t>
      </w:r>
      <w:fldSimple w:instr=" STYLEREF 2 \s ">
        <w:r w:rsidR="00A87896">
          <w:rPr>
            <w:noProof/>
          </w:rPr>
          <w:t>6</w:t>
        </w:r>
      </w:fldSimple>
      <w:r w:rsidR="00A87896">
        <w:t>.</w:t>
      </w:r>
      <w:fldSimple w:instr=" SEQ Table \* ARABIC \s 2 ">
        <w:r w:rsidR="00A87896">
          <w:rPr>
            <w:noProof/>
          </w:rPr>
          <w:t>8</w:t>
        </w:r>
      </w:fldSimple>
      <w:r w:rsidRPr="00EA6635">
        <w:t>: Scenario results -</w:t>
      </w:r>
      <w:r w:rsidRPr="00C41A37">
        <w:t xml:space="preserve"> Three extra years to reach steady state</w:t>
      </w:r>
    </w:p>
    <w:tbl>
      <w:tblPr>
        <w:tblStyle w:val="FSRtable"/>
        <w:tblW w:w="4724" w:type="pct"/>
        <w:tblInd w:w="5" w:type="dxa"/>
        <w:tblLook w:val="04A0" w:firstRow="1" w:lastRow="0" w:firstColumn="1" w:lastColumn="0" w:noHBand="0" w:noVBand="1"/>
      </w:tblPr>
      <w:tblGrid>
        <w:gridCol w:w="2619"/>
        <w:gridCol w:w="1151"/>
        <w:gridCol w:w="952"/>
        <w:gridCol w:w="952"/>
        <w:gridCol w:w="952"/>
        <w:gridCol w:w="952"/>
        <w:gridCol w:w="950"/>
      </w:tblGrid>
      <w:tr w:rsidR="00BC498F" w:rsidRPr="00295F2A" w14:paraId="2CE129C6"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36" w:type="pct"/>
            <w:noWrap/>
            <w:hideMark/>
          </w:tcPr>
          <w:p w14:paraId="5086E53C" w14:textId="77777777" w:rsidR="00BC498F" w:rsidRPr="00295F2A" w:rsidRDefault="00BC498F" w:rsidP="00BA7353">
            <w:pPr>
              <w:spacing w:after="0" w:line="240" w:lineRule="auto"/>
              <w:rPr>
                <w:rFonts w:eastAsia="Times New Roman"/>
                <w:color w:val="FFFFFF"/>
                <w:sz w:val="20"/>
                <w:szCs w:val="20"/>
                <w:lang w:eastAsia="en-AU"/>
              </w:rPr>
            </w:pPr>
            <w:r w:rsidRPr="00295F2A">
              <w:rPr>
                <w:rFonts w:eastAsia="Times New Roman"/>
                <w:color w:val="FFFFFF"/>
                <w:sz w:val="20"/>
                <w:szCs w:val="20"/>
                <w:lang w:eastAsia="en-AU"/>
              </w:rPr>
              <w:t> </w:t>
            </w:r>
          </w:p>
        </w:tc>
        <w:tc>
          <w:tcPr>
            <w:tcW w:w="2349" w:type="pct"/>
            <w:gridSpan w:val="4"/>
            <w:tcBorders>
              <w:top w:val="single" w:sz="4" w:space="0" w:color="auto"/>
              <w:bottom w:val="single" w:sz="4" w:space="0" w:color="FFFFFF" w:themeColor="background1"/>
            </w:tcBorders>
            <w:noWrap/>
            <w:hideMark/>
          </w:tcPr>
          <w:p w14:paraId="62151885" w14:textId="77777777" w:rsidR="00BC498F" w:rsidRPr="00DA3F73"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295F2A">
              <w:rPr>
                <w:rFonts w:eastAsia="Times New Roman"/>
                <w:bCs/>
                <w:color w:val="FFFFFF"/>
                <w:sz w:val="20"/>
                <w:szCs w:val="20"/>
                <w:lang w:eastAsia="en-AU"/>
              </w:rPr>
              <w:t>Projection Year</w:t>
            </w:r>
          </w:p>
        </w:tc>
        <w:tc>
          <w:tcPr>
            <w:tcW w:w="558" w:type="pct"/>
            <w:tcBorders>
              <w:top w:val="single" w:sz="4" w:space="0" w:color="auto"/>
              <w:bottom w:val="single" w:sz="4" w:space="0" w:color="FFFFFF" w:themeColor="background1"/>
              <w:right w:val="single" w:sz="4" w:space="0" w:color="auto"/>
            </w:tcBorders>
            <w:noWrap/>
            <w:hideMark/>
          </w:tcPr>
          <w:p w14:paraId="5E5A8B78" w14:textId="77777777" w:rsidR="00BC498F" w:rsidRPr="00DA3F73"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295F2A">
              <w:rPr>
                <w:rFonts w:eastAsia="Times New Roman"/>
                <w:bCs/>
                <w:color w:val="FFFFFF"/>
                <w:sz w:val="20"/>
                <w:szCs w:val="20"/>
                <w:lang w:eastAsia="en-AU"/>
              </w:rPr>
              <w:t> </w:t>
            </w:r>
          </w:p>
        </w:tc>
        <w:tc>
          <w:tcPr>
            <w:tcW w:w="557" w:type="pct"/>
            <w:tcBorders>
              <w:top w:val="single" w:sz="4" w:space="0" w:color="auto"/>
              <w:left w:val="single" w:sz="4" w:space="0" w:color="auto"/>
              <w:bottom w:val="single" w:sz="4" w:space="0" w:color="FFFFFF" w:themeColor="background1"/>
            </w:tcBorders>
            <w:noWrap/>
            <w:hideMark/>
          </w:tcPr>
          <w:p w14:paraId="52A55CAD" w14:textId="77777777" w:rsidR="00BC498F" w:rsidRPr="00DA3F73"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295F2A">
              <w:rPr>
                <w:rFonts w:eastAsia="Times New Roman"/>
                <w:bCs/>
                <w:color w:val="FFFFFF"/>
                <w:sz w:val="20"/>
                <w:szCs w:val="20"/>
                <w:lang w:eastAsia="en-AU"/>
              </w:rPr>
              <w:t>Total</w:t>
            </w:r>
          </w:p>
        </w:tc>
      </w:tr>
      <w:tr w:rsidR="00BC498F" w:rsidRPr="00191697" w14:paraId="34B7BD10"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36" w:type="pct"/>
            <w:noWrap/>
            <w:hideMark/>
          </w:tcPr>
          <w:p w14:paraId="550C4B00" w14:textId="77777777" w:rsidR="00BC498F" w:rsidRPr="00191697" w:rsidRDefault="00BC498F" w:rsidP="00BA7353">
            <w:pPr>
              <w:spacing w:after="0" w:line="240" w:lineRule="auto"/>
              <w:rPr>
                <w:rFonts w:eastAsia="Times New Roman"/>
                <w:color w:val="FFFFFF"/>
                <w:sz w:val="20"/>
                <w:szCs w:val="20"/>
                <w:lang w:eastAsia="en-AU"/>
              </w:rPr>
            </w:pPr>
            <w:r w:rsidRPr="00191697">
              <w:rPr>
                <w:rFonts w:eastAsia="Times New Roman"/>
                <w:color w:val="FFFFFF"/>
                <w:sz w:val="20"/>
                <w:szCs w:val="20"/>
                <w:lang w:eastAsia="en-AU"/>
              </w:rPr>
              <w:t> </w:t>
            </w:r>
          </w:p>
        </w:tc>
        <w:tc>
          <w:tcPr>
            <w:tcW w:w="675" w:type="pct"/>
            <w:tcBorders>
              <w:top w:val="single" w:sz="4" w:space="0" w:color="FFFFFF" w:themeColor="background1"/>
            </w:tcBorders>
            <w:noWrap/>
            <w:hideMark/>
          </w:tcPr>
          <w:p w14:paraId="53A61012"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2022-23</w:t>
            </w:r>
          </w:p>
        </w:tc>
        <w:tc>
          <w:tcPr>
            <w:tcW w:w="558" w:type="pct"/>
            <w:tcBorders>
              <w:top w:val="single" w:sz="4" w:space="0" w:color="FFFFFF" w:themeColor="background1"/>
            </w:tcBorders>
            <w:noWrap/>
            <w:hideMark/>
          </w:tcPr>
          <w:p w14:paraId="24C370E9"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2023-24</w:t>
            </w:r>
          </w:p>
        </w:tc>
        <w:tc>
          <w:tcPr>
            <w:tcW w:w="558" w:type="pct"/>
            <w:tcBorders>
              <w:top w:val="single" w:sz="4" w:space="0" w:color="FFFFFF" w:themeColor="background1"/>
            </w:tcBorders>
            <w:noWrap/>
            <w:hideMark/>
          </w:tcPr>
          <w:p w14:paraId="78CF6379"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2024-25</w:t>
            </w:r>
          </w:p>
        </w:tc>
        <w:tc>
          <w:tcPr>
            <w:tcW w:w="558" w:type="pct"/>
            <w:tcBorders>
              <w:top w:val="single" w:sz="4" w:space="0" w:color="FFFFFF" w:themeColor="background1"/>
              <w:right w:val="dotted" w:sz="4" w:space="0" w:color="auto"/>
            </w:tcBorders>
            <w:noWrap/>
            <w:hideMark/>
          </w:tcPr>
          <w:p w14:paraId="47280813"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2025-26</w:t>
            </w:r>
          </w:p>
        </w:tc>
        <w:tc>
          <w:tcPr>
            <w:tcW w:w="558" w:type="pct"/>
            <w:tcBorders>
              <w:top w:val="single" w:sz="4" w:space="0" w:color="FFFFFF" w:themeColor="background1"/>
              <w:left w:val="dotted" w:sz="4" w:space="0" w:color="auto"/>
              <w:bottom w:val="nil"/>
              <w:right w:val="single" w:sz="4" w:space="0" w:color="auto"/>
            </w:tcBorders>
            <w:noWrap/>
            <w:hideMark/>
          </w:tcPr>
          <w:p w14:paraId="65CAA920"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2031-32</w:t>
            </w:r>
          </w:p>
        </w:tc>
        <w:tc>
          <w:tcPr>
            <w:tcW w:w="557" w:type="pct"/>
            <w:tcBorders>
              <w:top w:val="single" w:sz="4" w:space="0" w:color="FFFFFF" w:themeColor="background1"/>
              <w:left w:val="single" w:sz="4" w:space="0" w:color="auto"/>
            </w:tcBorders>
            <w:noWrap/>
            <w:hideMark/>
          </w:tcPr>
          <w:p w14:paraId="2AC723DE" w14:textId="77777777" w:rsidR="00BC498F" w:rsidRPr="00191697"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2022-26</w:t>
            </w:r>
          </w:p>
        </w:tc>
      </w:tr>
      <w:tr w:rsidR="00BC498F" w:rsidRPr="00C41A37" w14:paraId="06F1DE19"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36" w:type="pct"/>
            <w:shd w:val="clear" w:color="auto" w:fill="auto"/>
            <w:noWrap/>
            <w:hideMark/>
          </w:tcPr>
          <w:p w14:paraId="07DCD83F" w14:textId="77777777" w:rsidR="00BC498F" w:rsidRPr="00C41A37" w:rsidRDefault="00BC498F" w:rsidP="00BA7353">
            <w:pPr>
              <w:spacing w:after="0" w:line="240" w:lineRule="auto"/>
              <w:rPr>
                <w:rFonts w:eastAsia="Times New Roman" w:cs="Arial"/>
                <w:b/>
                <w:bCs/>
                <w:i/>
                <w:iCs/>
                <w:color w:val="000000"/>
                <w:sz w:val="20"/>
                <w:szCs w:val="20"/>
                <w:lang w:eastAsia="en-AU"/>
              </w:rPr>
            </w:pPr>
            <w:r w:rsidRPr="00C41A37">
              <w:rPr>
                <w:rFonts w:eastAsia="Times New Roman" w:cs="Arial"/>
                <w:b/>
                <w:bCs/>
                <w:i/>
                <w:iCs/>
                <w:color w:val="000000"/>
                <w:sz w:val="20"/>
                <w:szCs w:val="20"/>
                <w:lang w:eastAsia="en-AU"/>
              </w:rPr>
              <w:t>Existing participants</w:t>
            </w:r>
          </w:p>
        </w:tc>
        <w:tc>
          <w:tcPr>
            <w:tcW w:w="675" w:type="pct"/>
            <w:shd w:val="clear" w:color="auto" w:fill="auto"/>
            <w:noWrap/>
            <w:hideMark/>
          </w:tcPr>
          <w:p w14:paraId="3E609CAA"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 </w:t>
            </w:r>
          </w:p>
        </w:tc>
        <w:tc>
          <w:tcPr>
            <w:tcW w:w="558" w:type="pct"/>
            <w:shd w:val="clear" w:color="auto" w:fill="auto"/>
            <w:noWrap/>
            <w:hideMark/>
          </w:tcPr>
          <w:p w14:paraId="1B66ECF1"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 </w:t>
            </w:r>
          </w:p>
        </w:tc>
        <w:tc>
          <w:tcPr>
            <w:tcW w:w="558" w:type="pct"/>
            <w:shd w:val="clear" w:color="auto" w:fill="auto"/>
            <w:noWrap/>
            <w:hideMark/>
          </w:tcPr>
          <w:p w14:paraId="569CA274"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 </w:t>
            </w:r>
          </w:p>
        </w:tc>
        <w:tc>
          <w:tcPr>
            <w:tcW w:w="558" w:type="pct"/>
            <w:tcBorders>
              <w:right w:val="dotted" w:sz="4" w:space="0" w:color="auto"/>
            </w:tcBorders>
            <w:shd w:val="clear" w:color="auto" w:fill="auto"/>
            <w:noWrap/>
            <w:hideMark/>
          </w:tcPr>
          <w:p w14:paraId="5211323A"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 </w:t>
            </w:r>
          </w:p>
        </w:tc>
        <w:tc>
          <w:tcPr>
            <w:tcW w:w="558" w:type="pct"/>
            <w:tcBorders>
              <w:top w:val="nil"/>
              <w:left w:val="dotted" w:sz="4" w:space="0" w:color="auto"/>
              <w:bottom w:val="nil"/>
              <w:right w:val="single" w:sz="4" w:space="0" w:color="auto"/>
            </w:tcBorders>
            <w:shd w:val="clear" w:color="auto" w:fill="auto"/>
            <w:noWrap/>
            <w:hideMark/>
          </w:tcPr>
          <w:p w14:paraId="78C0BF19"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 </w:t>
            </w:r>
          </w:p>
        </w:tc>
        <w:tc>
          <w:tcPr>
            <w:tcW w:w="557" w:type="pct"/>
            <w:tcBorders>
              <w:left w:val="single" w:sz="4" w:space="0" w:color="auto"/>
            </w:tcBorders>
            <w:shd w:val="clear" w:color="auto" w:fill="auto"/>
            <w:noWrap/>
            <w:hideMark/>
          </w:tcPr>
          <w:p w14:paraId="15700EBB"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 </w:t>
            </w:r>
          </w:p>
        </w:tc>
      </w:tr>
      <w:tr w:rsidR="00BC498F" w:rsidRPr="00C41A37" w14:paraId="4CC29DC7"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36" w:type="pct"/>
            <w:noWrap/>
            <w:hideMark/>
          </w:tcPr>
          <w:p w14:paraId="07E22779" w14:textId="77777777" w:rsidR="00BC498F" w:rsidRPr="00C41A37" w:rsidRDefault="00BC498F" w:rsidP="00BA7353">
            <w:pPr>
              <w:spacing w:after="0" w:line="240" w:lineRule="auto"/>
              <w:rPr>
                <w:rFonts w:eastAsia="Times New Roman" w:cs="Arial"/>
                <w:color w:val="000000"/>
                <w:sz w:val="20"/>
                <w:szCs w:val="20"/>
                <w:lang w:eastAsia="en-AU"/>
              </w:rPr>
            </w:pPr>
            <w:r w:rsidRPr="00C41A37">
              <w:rPr>
                <w:rFonts w:eastAsia="Times New Roman" w:cs="Arial"/>
                <w:color w:val="000000"/>
                <w:sz w:val="20"/>
                <w:szCs w:val="20"/>
                <w:lang w:eastAsia="en-AU"/>
              </w:rPr>
              <w:t>Scheme Expenses ($m)</w:t>
            </w:r>
          </w:p>
        </w:tc>
        <w:tc>
          <w:tcPr>
            <w:tcW w:w="675" w:type="pct"/>
            <w:noWrap/>
            <w:hideMark/>
          </w:tcPr>
          <w:p w14:paraId="0A10FDE4"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32,967</w:t>
            </w:r>
          </w:p>
        </w:tc>
        <w:tc>
          <w:tcPr>
            <w:tcW w:w="558" w:type="pct"/>
            <w:noWrap/>
            <w:hideMark/>
          </w:tcPr>
          <w:p w14:paraId="48E8B865"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34,700</w:t>
            </w:r>
          </w:p>
        </w:tc>
        <w:tc>
          <w:tcPr>
            <w:tcW w:w="558" w:type="pct"/>
            <w:noWrap/>
            <w:hideMark/>
          </w:tcPr>
          <w:p w14:paraId="22F6C6BF"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37,662</w:t>
            </w:r>
          </w:p>
        </w:tc>
        <w:tc>
          <w:tcPr>
            <w:tcW w:w="558" w:type="pct"/>
            <w:tcBorders>
              <w:right w:val="dotted" w:sz="4" w:space="0" w:color="auto"/>
            </w:tcBorders>
            <w:noWrap/>
            <w:hideMark/>
          </w:tcPr>
          <w:p w14:paraId="70334EDF"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40,621</w:t>
            </w:r>
          </w:p>
        </w:tc>
        <w:tc>
          <w:tcPr>
            <w:tcW w:w="558" w:type="pct"/>
            <w:tcBorders>
              <w:top w:val="nil"/>
              <w:left w:val="dotted" w:sz="4" w:space="0" w:color="auto"/>
              <w:bottom w:val="nil"/>
              <w:right w:val="single" w:sz="4" w:space="0" w:color="auto"/>
            </w:tcBorders>
            <w:noWrap/>
            <w:hideMark/>
          </w:tcPr>
          <w:p w14:paraId="7B65B7C5"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54,370</w:t>
            </w:r>
          </w:p>
        </w:tc>
        <w:tc>
          <w:tcPr>
            <w:tcW w:w="557" w:type="pct"/>
            <w:tcBorders>
              <w:left w:val="single" w:sz="4" w:space="0" w:color="auto"/>
            </w:tcBorders>
            <w:noWrap/>
            <w:hideMark/>
          </w:tcPr>
          <w:p w14:paraId="0847FD07"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145,950</w:t>
            </w:r>
          </w:p>
        </w:tc>
      </w:tr>
      <w:tr w:rsidR="00BC498F" w:rsidRPr="00C41A37" w14:paraId="0A61A2E6"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36" w:type="pct"/>
            <w:shd w:val="clear" w:color="auto" w:fill="auto"/>
            <w:noWrap/>
            <w:hideMark/>
          </w:tcPr>
          <w:p w14:paraId="612BC9E3" w14:textId="77777777" w:rsidR="00BC498F" w:rsidRPr="00C41A37" w:rsidRDefault="00BC498F" w:rsidP="00BA7353">
            <w:pPr>
              <w:spacing w:after="0" w:line="240" w:lineRule="auto"/>
              <w:rPr>
                <w:rFonts w:eastAsia="Times New Roman" w:cs="Arial"/>
                <w:color w:val="000000"/>
                <w:sz w:val="20"/>
                <w:szCs w:val="20"/>
                <w:lang w:eastAsia="en-AU"/>
              </w:rPr>
            </w:pPr>
            <w:r w:rsidRPr="00C41A37">
              <w:rPr>
                <w:rFonts w:eastAsia="Times New Roman" w:cs="Arial"/>
                <w:color w:val="000000"/>
                <w:sz w:val="20"/>
                <w:szCs w:val="20"/>
                <w:lang w:eastAsia="en-AU"/>
              </w:rPr>
              <w:t>Variance to baseline ($m)</w:t>
            </w:r>
          </w:p>
        </w:tc>
        <w:tc>
          <w:tcPr>
            <w:tcW w:w="675" w:type="pct"/>
            <w:shd w:val="clear" w:color="auto" w:fill="auto"/>
            <w:noWrap/>
            <w:hideMark/>
          </w:tcPr>
          <w:p w14:paraId="67ECE733"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w:t>
            </w:r>
          </w:p>
        </w:tc>
        <w:tc>
          <w:tcPr>
            <w:tcW w:w="558" w:type="pct"/>
            <w:shd w:val="clear" w:color="auto" w:fill="auto"/>
            <w:noWrap/>
            <w:hideMark/>
          </w:tcPr>
          <w:p w14:paraId="066E7249"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w:t>
            </w:r>
          </w:p>
        </w:tc>
        <w:tc>
          <w:tcPr>
            <w:tcW w:w="558" w:type="pct"/>
            <w:shd w:val="clear" w:color="auto" w:fill="auto"/>
            <w:noWrap/>
            <w:hideMark/>
          </w:tcPr>
          <w:p w14:paraId="56231D6E"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w:t>
            </w:r>
          </w:p>
        </w:tc>
        <w:tc>
          <w:tcPr>
            <w:tcW w:w="558" w:type="pct"/>
            <w:tcBorders>
              <w:right w:val="dotted" w:sz="4" w:space="0" w:color="auto"/>
            </w:tcBorders>
            <w:shd w:val="clear" w:color="auto" w:fill="auto"/>
            <w:noWrap/>
            <w:hideMark/>
          </w:tcPr>
          <w:p w14:paraId="1C2CE6AC"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w:t>
            </w:r>
          </w:p>
        </w:tc>
        <w:tc>
          <w:tcPr>
            <w:tcW w:w="558" w:type="pct"/>
            <w:tcBorders>
              <w:top w:val="nil"/>
              <w:left w:val="dotted" w:sz="4" w:space="0" w:color="auto"/>
              <w:bottom w:val="nil"/>
              <w:right w:val="single" w:sz="4" w:space="0" w:color="auto"/>
            </w:tcBorders>
            <w:shd w:val="clear" w:color="auto" w:fill="auto"/>
            <w:noWrap/>
            <w:hideMark/>
          </w:tcPr>
          <w:p w14:paraId="019A0292"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w:t>
            </w:r>
          </w:p>
        </w:tc>
        <w:tc>
          <w:tcPr>
            <w:tcW w:w="557" w:type="pct"/>
            <w:tcBorders>
              <w:left w:val="single" w:sz="4" w:space="0" w:color="auto"/>
            </w:tcBorders>
            <w:shd w:val="clear" w:color="auto" w:fill="auto"/>
            <w:noWrap/>
            <w:hideMark/>
          </w:tcPr>
          <w:p w14:paraId="0C61435B"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w:t>
            </w:r>
          </w:p>
        </w:tc>
      </w:tr>
      <w:tr w:rsidR="00BC498F" w:rsidRPr="00C41A37" w14:paraId="2E1A3950"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36" w:type="pct"/>
            <w:noWrap/>
            <w:hideMark/>
          </w:tcPr>
          <w:p w14:paraId="5EB3104E" w14:textId="77777777" w:rsidR="00BC498F" w:rsidRPr="00C41A37" w:rsidRDefault="00BC498F" w:rsidP="00BA7353">
            <w:pPr>
              <w:spacing w:after="0" w:line="240" w:lineRule="auto"/>
              <w:rPr>
                <w:rFonts w:eastAsia="Times New Roman" w:cs="Arial"/>
                <w:color w:val="000000"/>
                <w:sz w:val="20"/>
                <w:szCs w:val="20"/>
                <w:lang w:eastAsia="en-AU"/>
              </w:rPr>
            </w:pPr>
            <w:r w:rsidRPr="00C41A37">
              <w:rPr>
                <w:rFonts w:eastAsia="Times New Roman" w:cs="Arial"/>
                <w:color w:val="000000"/>
                <w:sz w:val="20"/>
                <w:szCs w:val="20"/>
                <w:lang w:eastAsia="en-AU"/>
              </w:rPr>
              <w:t>% variance to baseline</w:t>
            </w:r>
          </w:p>
        </w:tc>
        <w:tc>
          <w:tcPr>
            <w:tcW w:w="675" w:type="pct"/>
            <w:noWrap/>
            <w:hideMark/>
          </w:tcPr>
          <w:p w14:paraId="1685721E"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0.0%</w:t>
            </w:r>
          </w:p>
        </w:tc>
        <w:tc>
          <w:tcPr>
            <w:tcW w:w="558" w:type="pct"/>
            <w:noWrap/>
            <w:hideMark/>
          </w:tcPr>
          <w:p w14:paraId="1877A8BD"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0.0%</w:t>
            </w:r>
          </w:p>
        </w:tc>
        <w:tc>
          <w:tcPr>
            <w:tcW w:w="558" w:type="pct"/>
            <w:noWrap/>
            <w:hideMark/>
          </w:tcPr>
          <w:p w14:paraId="41912B35"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0.0%</w:t>
            </w:r>
          </w:p>
        </w:tc>
        <w:tc>
          <w:tcPr>
            <w:tcW w:w="558" w:type="pct"/>
            <w:tcBorders>
              <w:right w:val="dotted" w:sz="4" w:space="0" w:color="auto"/>
            </w:tcBorders>
            <w:noWrap/>
            <w:hideMark/>
          </w:tcPr>
          <w:p w14:paraId="79337435"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0.0%</w:t>
            </w:r>
          </w:p>
        </w:tc>
        <w:tc>
          <w:tcPr>
            <w:tcW w:w="558" w:type="pct"/>
            <w:tcBorders>
              <w:top w:val="nil"/>
              <w:left w:val="dotted" w:sz="4" w:space="0" w:color="auto"/>
              <w:bottom w:val="nil"/>
              <w:right w:val="single" w:sz="4" w:space="0" w:color="auto"/>
            </w:tcBorders>
            <w:noWrap/>
            <w:hideMark/>
          </w:tcPr>
          <w:p w14:paraId="45FDFAEE"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0.0%</w:t>
            </w:r>
          </w:p>
        </w:tc>
        <w:tc>
          <w:tcPr>
            <w:tcW w:w="557" w:type="pct"/>
            <w:tcBorders>
              <w:left w:val="single" w:sz="4" w:space="0" w:color="auto"/>
            </w:tcBorders>
            <w:noWrap/>
            <w:hideMark/>
          </w:tcPr>
          <w:p w14:paraId="3B906908"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0.0%</w:t>
            </w:r>
          </w:p>
        </w:tc>
      </w:tr>
      <w:tr w:rsidR="00BC498F" w:rsidRPr="00C41A37" w14:paraId="0F8ADF21"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36" w:type="pct"/>
            <w:shd w:val="clear" w:color="auto" w:fill="auto"/>
            <w:noWrap/>
            <w:hideMark/>
          </w:tcPr>
          <w:p w14:paraId="3F1590FF" w14:textId="77777777" w:rsidR="00BC498F" w:rsidRPr="00C41A37" w:rsidRDefault="00BC498F" w:rsidP="00BA7353">
            <w:pPr>
              <w:spacing w:after="0" w:line="240" w:lineRule="auto"/>
              <w:rPr>
                <w:rFonts w:eastAsia="Times New Roman" w:cs="Arial"/>
                <w:b/>
                <w:bCs/>
                <w:i/>
                <w:iCs/>
                <w:color w:val="000000"/>
                <w:sz w:val="20"/>
                <w:szCs w:val="20"/>
                <w:lang w:eastAsia="en-AU"/>
              </w:rPr>
            </w:pPr>
            <w:r w:rsidRPr="00C41A37">
              <w:rPr>
                <w:rFonts w:eastAsia="Times New Roman" w:cs="Arial"/>
                <w:b/>
                <w:bCs/>
                <w:i/>
                <w:iCs/>
                <w:color w:val="000000"/>
                <w:sz w:val="20"/>
                <w:szCs w:val="20"/>
                <w:lang w:eastAsia="en-AU"/>
              </w:rPr>
              <w:t>New participants</w:t>
            </w:r>
          </w:p>
        </w:tc>
        <w:tc>
          <w:tcPr>
            <w:tcW w:w="675" w:type="pct"/>
            <w:shd w:val="clear" w:color="auto" w:fill="auto"/>
            <w:noWrap/>
            <w:hideMark/>
          </w:tcPr>
          <w:p w14:paraId="396865CC"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 </w:t>
            </w:r>
          </w:p>
        </w:tc>
        <w:tc>
          <w:tcPr>
            <w:tcW w:w="558" w:type="pct"/>
            <w:shd w:val="clear" w:color="auto" w:fill="auto"/>
            <w:noWrap/>
            <w:hideMark/>
          </w:tcPr>
          <w:p w14:paraId="751610CF"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 </w:t>
            </w:r>
          </w:p>
        </w:tc>
        <w:tc>
          <w:tcPr>
            <w:tcW w:w="558" w:type="pct"/>
            <w:shd w:val="clear" w:color="auto" w:fill="auto"/>
            <w:noWrap/>
            <w:hideMark/>
          </w:tcPr>
          <w:p w14:paraId="6A8FBCE6"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 </w:t>
            </w:r>
          </w:p>
        </w:tc>
        <w:tc>
          <w:tcPr>
            <w:tcW w:w="558" w:type="pct"/>
            <w:tcBorders>
              <w:right w:val="dotted" w:sz="4" w:space="0" w:color="auto"/>
            </w:tcBorders>
            <w:shd w:val="clear" w:color="auto" w:fill="auto"/>
            <w:noWrap/>
            <w:hideMark/>
          </w:tcPr>
          <w:p w14:paraId="274EAC62"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 </w:t>
            </w:r>
          </w:p>
        </w:tc>
        <w:tc>
          <w:tcPr>
            <w:tcW w:w="558" w:type="pct"/>
            <w:tcBorders>
              <w:top w:val="nil"/>
              <w:left w:val="dotted" w:sz="4" w:space="0" w:color="auto"/>
              <w:bottom w:val="nil"/>
              <w:right w:val="single" w:sz="4" w:space="0" w:color="auto"/>
            </w:tcBorders>
            <w:shd w:val="clear" w:color="auto" w:fill="auto"/>
            <w:noWrap/>
            <w:hideMark/>
          </w:tcPr>
          <w:p w14:paraId="1037E380"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 </w:t>
            </w:r>
          </w:p>
        </w:tc>
        <w:tc>
          <w:tcPr>
            <w:tcW w:w="557" w:type="pct"/>
            <w:tcBorders>
              <w:left w:val="single" w:sz="4" w:space="0" w:color="auto"/>
            </w:tcBorders>
            <w:shd w:val="clear" w:color="auto" w:fill="auto"/>
            <w:noWrap/>
            <w:hideMark/>
          </w:tcPr>
          <w:p w14:paraId="4B1F6C4F"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 </w:t>
            </w:r>
          </w:p>
        </w:tc>
      </w:tr>
      <w:tr w:rsidR="00BC498F" w:rsidRPr="00C41A37" w14:paraId="55090924"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36" w:type="pct"/>
            <w:noWrap/>
            <w:hideMark/>
          </w:tcPr>
          <w:p w14:paraId="5D9EB2F4" w14:textId="77777777" w:rsidR="00BC498F" w:rsidRPr="00C41A37" w:rsidRDefault="00BC498F" w:rsidP="00BA7353">
            <w:pPr>
              <w:spacing w:after="0" w:line="240" w:lineRule="auto"/>
              <w:rPr>
                <w:rFonts w:eastAsia="Times New Roman" w:cs="Arial"/>
                <w:color w:val="000000"/>
                <w:sz w:val="20"/>
                <w:szCs w:val="20"/>
                <w:lang w:eastAsia="en-AU"/>
              </w:rPr>
            </w:pPr>
            <w:r w:rsidRPr="00C41A37">
              <w:rPr>
                <w:rFonts w:eastAsia="Times New Roman" w:cs="Arial"/>
                <w:color w:val="000000"/>
                <w:sz w:val="20"/>
                <w:szCs w:val="20"/>
                <w:lang w:eastAsia="en-AU"/>
              </w:rPr>
              <w:t>Scheme Expenses ($m)</w:t>
            </w:r>
          </w:p>
        </w:tc>
        <w:tc>
          <w:tcPr>
            <w:tcW w:w="675" w:type="pct"/>
            <w:noWrap/>
            <w:hideMark/>
          </w:tcPr>
          <w:p w14:paraId="2C441CCC"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1,009</w:t>
            </w:r>
          </w:p>
        </w:tc>
        <w:tc>
          <w:tcPr>
            <w:tcW w:w="558" w:type="pct"/>
            <w:noWrap/>
            <w:hideMark/>
          </w:tcPr>
          <w:p w14:paraId="4C119600"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3,492</w:t>
            </w:r>
          </w:p>
        </w:tc>
        <w:tc>
          <w:tcPr>
            <w:tcW w:w="558" w:type="pct"/>
            <w:noWrap/>
            <w:hideMark/>
          </w:tcPr>
          <w:p w14:paraId="59B45A4F"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6,798</w:t>
            </w:r>
          </w:p>
        </w:tc>
        <w:tc>
          <w:tcPr>
            <w:tcW w:w="558" w:type="pct"/>
            <w:tcBorders>
              <w:right w:val="dotted" w:sz="4" w:space="0" w:color="auto"/>
            </w:tcBorders>
            <w:noWrap/>
            <w:hideMark/>
          </w:tcPr>
          <w:p w14:paraId="76F98082"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10,593</w:t>
            </w:r>
          </w:p>
        </w:tc>
        <w:tc>
          <w:tcPr>
            <w:tcW w:w="558" w:type="pct"/>
            <w:tcBorders>
              <w:top w:val="nil"/>
              <w:left w:val="dotted" w:sz="4" w:space="0" w:color="auto"/>
              <w:bottom w:val="nil"/>
              <w:right w:val="single" w:sz="4" w:space="0" w:color="auto"/>
            </w:tcBorders>
            <w:noWrap/>
            <w:hideMark/>
          </w:tcPr>
          <w:p w14:paraId="5CC3E613"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36,935</w:t>
            </w:r>
          </w:p>
        </w:tc>
        <w:tc>
          <w:tcPr>
            <w:tcW w:w="557" w:type="pct"/>
            <w:tcBorders>
              <w:left w:val="single" w:sz="4" w:space="0" w:color="auto"/>
            </w:tcBorders>
            <w:noWrap/>
            <w:hideMark/>
          </w:tcPr>
          <w:p w14:paraId="625E41A4"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21,891</w:t>
            </w:r>
          </w:p>
        </w:tc>
      </w:tr>
      <w:tr w:rsidR="00BC498F" w:rsidRPr="00C41A37" w14:paraId="0624F790"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36" w:type="pct"/>
            <w:shd w:val="clear" w:color="auto" w:fill="auto"/>
            <w:noWrap/>
            <w:hideMark/>
          </w:tcPr>
          <w:p w14:paraId="56B09EBE" w14:textId="77777777" w:rsidR="00BC498F" w:rsidRPr="00C41A37" w:rsidRDefault="00BC498F" w:rsidP="00BA7353">
            <w:pPr>
              <w:spacing w:after="0" w:line="240" w:lineRule="auto"/>
              <w:rPr>
                <w:rFonts w:eastAsia="Times New Roman" w:cs="Arial"/>
                <w:color w:val="000000"/>
                <w:sz w:val="20"/>
                <w:szCs w:val="20"/>
                <w:lang w:eastAsia="en-AU"/>
              </w:rPr>
            </w:pPr>
            <w:r w:rsidRPr="00C41A37">
              <w:rPr>
                <w:rFonts w:eastAsia="Times New Roman" w:cs="Arial"/>
                <w:color w:val="000000"/>
                <w:sz w:val="20"/>
                <w:szCs w:val="20"/>
                <w:lang w:eastAsia="en-AU"/>
              </w:rPr>
              <w:t>Variance to baseline ($m)</w:t>
            </w:r>
          </w:p>
        </w:tc>
        <w:tc>
          <w:tcPr>
            <w:tcW w:w="675" w:type="pct"/>
            <w:shd w:val="clear" w:color="auto" w:fill="auto"/>
            <w:noWrap/>
            <w:hideMark/>
          </w:tcPr>
          <w:p w14:paraId="50C6B1BE"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w:t>
            </w:r>
          </w:p>
        </w:tc>
        <w:tc>
          <w:tcPr>
            <w:tcW w:w="558" w:type="pct"/>
            <w:shd w:val="clear" w:color="auto" w:fill="auto"/>
            <w:noWrap/>
            <w:hideMark/>
          </w:tcPr>
          <w:p w14:paraId="719DB43E"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59</w:t>
            </w:r>
          </w:p>
        </w:tc>
        <w:tc>
          <w:tcPr>
            <w:tcW w:w="558" w:type="pct"/>
            <w:shd w:val="clear" w:color="auto" w:fill="auto"/>
            <w:noWrap/>
            <w:hideMark/>
          </w:tcPr>
          <w:p w14:paraId="4A188FC8"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344</w:t>
            </w:r>
          </w:p>
        </w:tc>
        <w:tc>
          <w:tcPr>
            <w:tcW w:w="558" w:type="pct"/>
            <w:tcBorders>
              <w:right w:val="dotted" w:sz="4" w:space="0" w:color="auto"/>
            </w:tcBorders>
            <w:shd w:val="clear" w:color="auto" w:fill="auto"/>
            <w:noWrap/>
            <w:hideMark/>
          </w:tcPr>
          <w:p w14:paraId="2B50BCCE"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870</w:t>
            </w:r>
          </w:p>
        </w:tc>
        <w:tc>
          <w:tcPr>
            <w:tcW w:w="558" w:type="pct"/>
            <w:tcBorders>
              <w:top w:val="nil"/>
              <w:left w:val="dotted" w:sz="4" w:space="0" w:color="auto"/>
              <w:bottom w:val="nil"/>
              <w:right w:val="single" w:sz="4" w:space="0" w:color="auto"/>
            </w:tcBorders>
            <w:shd w:val="clear" w:color="auto" w:fill="auto"/>
            <w:noWrap/>
            <w:hideMark/>
          </w:tcPr>
          <w:p w14:paraId="5367F9CF"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1,903</w:t>
            </w:r>
          </w:p>
        </w:tc>
        <w:tc>
          <w:tcPr>
            <w:tcW w:w="557" w:type="pct"/>
            <w:tcBorders>
              <w:left w:val="single" w:sz="4" w:space="0" w:color="auto"/>
            </w:tcBorders>
            <w:shd w:val="clear" w:color="auto" w:fill="auto"/>
            <w:noWrap/>
            <w:hideMark/>
          </w:tcPr>
          <w:p w14:paraId="56E76545"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1,273</w:t>
            </w:r>
          </w:p>
        </w:tc>
      </w:tr>
      <w:tr w:rsidR="00BC498F" w:rsidRPr="00C41A37" w14:paraId="1300DA46"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36" w:type="pct"/>
            <w:noWrap/>
            <w:hideMark/>
          </w:tcPr>
          <w:p w14:paraId="533A0D94" w14:textId="77777777" w:rsidR="00BC498F" w:rsidRPr="00C41A37" w:rsidRDefault="00BC498F" w:rsidP="00BA7353">
            <w:pPr>
              <w:spacing w:after="0" w:line="240" w:lineRule="auto"/>
              <w:rPr>
                <w:rFonts w:eastAsia="Times New Roman" w:cs="Arial"/>
                <w:color w:val="000000"/>
                <w:sz w:val="20"/>
                <w:szCs w:val="20"/>
                <w:lang w:eastAsia="en-AU"/>
              </w:rPr>
            </w:pPr>
            <w:r w:rsidRPr="00C41A37">
              <w:rPr>
                <w:rFonts w:eastAsia="Times New Roman" w:cs="Arial"/>
                <w:color w:val="000000"/>
                <w:sz w:val="20"/>
                <w:szCs w:val="20"/>
                <w:lang w:eastAsia="en-AU"/>
              </w:rPr>
              <w:t>% variance to baseline</w:t>
            </w:r>
          </w:p>
        </w:tc>
        <w:tc>
          <w:tcPr>
            <w:tcW w:w="675" w:type="pct"/>
            <w:noWrap/>
            <w:hideMark/>
          </w:tcPr>
          <w:p w14:paraId="7527BE6E"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0.0%</w:t>
            </w:r>
          </w:p>
        </w:tc>
        <w:tc>
          <w:tcPr>
            <w:tcW w:w="558" w:type="pct"/>
            <w:noWrap/>
            <w:hideMark/>
          </w:tcPr>
          <w:p w14:paraId="10C16FBC"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1.7%</w:t>
            </w:r>
          </w:p>
        </w:tc>
        <w:tc>
          <w:tcPr>
            <w:tcW w:w="558" w:type="pct"/>
            <w:noWrap/>
            <w:hideMark/>
          </w:tcPr>
          <w:p w14:paraId="67E836D1"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5.3%</w:t>
            </w:r>
          </w:p>
        </w:tc>
        <w:tc>
          <w:tcPr>
            <w:tcW w:w="558" w:type="pct"/>
            <w:tcBorders>
              <w:right w:val="dotted" w:sz="4" w:space="0" w:color="auto"/>
            </w:tcBorders>
            <w:noWrap/>
            <w:hideMark/>
          </w:tcPr>
          <w:p w14:paraId="528BE09E"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8.9%</w:t>
            </w:r>
          </w:p>
        </w:tc>
        <w:tc>
          <w:tcPr>
            <w:tcW w:w="558" w:type="pct"/>
            <w:tcBorders>
              <w:top w:val="nil"/>
              <w:left w:val="dotted" w:sz="4" w:space="0" w:color="auto"/>
              <w:bottom w:val="nil"/>
              <w:right w:val="single" w:sz="4" w:space="0" w:color="auto"/>
            </w:tcBorders>
            <w:noWrap/>
            <w:hideMark/>
          </w:tcPr>
          <w:p w14:paraId="5B34EE6E"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5.4%</w:t>
            </w:r>
          </w:p>
        </w:tc>
        <w:tc>
          <w:tcPr>
            <w:tcW w:w="557" w:type="pct"/>
            <w:tcBorders>
              <w:left w:val="single" w:sz="4" w:space="0" w:color="auto"/>
            </w:tcBorders>
            <w:noWrap/>
            <w:hideMark/>
          </w:tcPr>
          <w:p w14:paraId="18ABD46B"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6.2%</w:t>
            </w:r>
          </w:p>
        </w:tc>
      </w:tr>
      <w:tr w:rsidR="00BC498F" w:rsidRPr="00C41A37" w14:paraId="08E1248B"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36" w:type="pct"/>
            <w:shd w:val="clear" w:color="auto" w:fill="auto"/>
            <w:noWrap/>
            <w:hideMark/>
          </w:tcPr>
          <w:p w14:paraId="22C27B42" w14:textId="77777777" w:rsidR="00BC498F" w:rsidRPr="00C41A37" w:rsidRDefault="00BC498F" w:rsidP="00BA7353">
            <w:pPr>
              <w:spacing w:after="0" w:line="240" w:lineRule="auto"/>
              <w:rPr>
                <w:rFonts w:eastAsia="Times New Roman" w:cs="Arial"/>
                <w:b/>
                <w:bCs/>
                <w:i/>
                <w:iCs/>
                <w:color w:val="000000"/>
                <w:sz w:val="20"/>
                <w:szCs w:val="20"/>
                <w:lang w:eastAsia="en-AU"/>
              </w:rPr>
            </w:pPr>
            <w:r w:rsidRPr="00C41A37">
              <w:rPr>
                <w:rFonts w:eastAsia="Times New Roman" w:cs="Arial"/>
                <w:b/>
                <w:bCs/>
                <w:i/>
                <w:iCs/>
                <w:color w:val="000000"/>
                <w:sz w:val="20"/>
                <w:szCs w:val="20"/>
                <w:lang w:eastAsia="en-AU"/>
              </w:rPr>
              <w:t>All projected participants</w:t>
            </w:r>
          </w:p>
        </w:tc>
        <w:tc>
          <w:tcPr>
            <w:tcW w:w="675" w:type="pct"/>
            <w:shd w:val="clear" w:color="auto" w:fill="auto"/>
            <w:noWrap/>
            <w:hideMark/>
          </w:tcPr>
          <w:p w14:paraId="19FF65ED"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 </w:t>
            </w:r>
          </w:p>
        </w:tc>
        <w:tc>
          <w:tcPr>
            <w:tcW w:w="558" w:type="pct"/>
            <w:shd w:val="clear" w:color="auto" w:fill="auto"/>
            <w:noWrap/>
            <w:hideMark/>
          </w:tcPr>
          <w:p w14:paraId="75F5EB7E"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 </w:t>
            </w:r>
          </w:p>
        </w:tc>
        <w:tc>
          <w:tcPr>
            <w:tcW w:w="558" w:type="pct"/>
            <w:shd w:val="clear" w:color="auto" w:fill="auto"/>
            <w:noWrap/>
            <w:hideMark/>
          </w:tcPr>
          <w:p w14:paraId="76583C07"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 </w:t>
            </w:r>
          </w:p>
        </w:tc>
        <w:tc>
          <w:tcPr>
            <w:tcW w:w="558" w:type="pct"/>
            <w:tcBorders>
              <w:right w:val="dotted" w:sz="4" w:space="0" w:color="auto"/>
            </w:tcBorders>
            <w:shd w:val="clear" w:color="auto" w:fill="auto"/>
            <w:noWrap/>
            <w:hideMark/>
          </w:tcPr>
          <w:p w14:paraId="3203D11B"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 </w:t>
            </w:r>
          </w:p>
        </w:tc>
        <w:tc>
          <w:tcPr>
            <w:tcW w:w="558" w:type="pct"/>
            <w:tcBorders>
              <w:top w:val="nil"/>
              <w:left w:val="dotted" w:sz="4" w:space="0" w:color="auto"/>
              <w:bottom w:val="nil"/>
              <w:right w:val="single" w:sz="4" w:space="0" w:color="auto"/>
            </w:tcBorders>
            <w:shd w:val="clear" w:color="auto" w:fill="auto"/>
            <w:noWrap/>
            <w:hideMark/>
          </w:tcPr>
          <w:p w14:paraId="5779B653"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 </w:t>
            </w:r>
          </w:p>
        </w:tc>
        <w:tc>
          <w:tcPr>
            <w:tcW w:w="557" w:type="pct"/>
            <w:tcBorders>
              <w:left w:val="single" w:sz="4" w:space="0" w:color="auto"/>
            </w:tcBorders>
            <w:shd w:val="clear" w:color="auto" w:fill="auto"/>
            <w:noWrap/>
            <w:hideMark/>
          </w:tcPr>
          <w:p w14:paraId="73546CDC"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 </w:t>
            </w:r>
          </w:p>
        </w:tc>
      </w:tr>
      <w:tr w:rsidR="00BC498F" w:rsidRPr="00C41A37" w14:paraId="0CFD5AE5"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36" w:type="pct"/>
            <w:noWrap/>
            <w:hideMark/>
          </w:tcPr>
          <w:p w14:paraId="40439C46" w14:textId="77777777" w:rsidR="00BC498F" w:rsidRPr="00C41A37" w:rsidRDefault="00BC498F" w:rsidP="00BA7353">
            <w:pPr>
              <w:spacing w:after="0" w:line="240" w:lineRule="auto"/>
              <w:rPr>
                <w:rFonts w:eastAsia="Times New Roman" w:cs="Arial"/>
                <w:color w:val="000000"/>
                <w:sz w:val="20"/>
                <w:szCs w:val="20"/>
                <w:lang w:eastAsia="en-AU"/>
              </w:rPr>
            </w:pPr>
            <w:r w:rsidRPr="00C41A37">
              <w:rPr>
                <w:rFonts w:eastAsia="Times New Roman" w:cs="Arial"/>
                <w:color w:val="000000"/>
                <w:sz w:val="20"/>
                <w:szCs w:val="20"/>
                <w:lang w:eastAsia="en-AU"/>
              </w:rPr>
              <w:t>Scheme Expenses ($m)</w:t>
            </w:r>
          </w:p>
        </w:tc>
        <w:tc>
          <w:tcPr>
            <w:tcW w:w="675" w:type="pct"/>
            <w:noWrap/>
            <w:hideMark/>
          </w:tcPr>
          <w:p w14:paraId="7CCEF09C"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33,976</w:t>
            </w:r>
          </w:p>
        </w:tc>
        <w:tc>
          <w:tcPr>
            <w:tcW w:w="558" w:type="pct"/>
            <w:noWrap/>
            <w:hideMark/>
          </w:tcPr>
          <w:p w14:paraId="29F17FF1"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38,192</w:t>
            </w:r>
          </w:p>
        </w:tc>
        <w:tc>
          <w:tcPr>
            <w:tcW w:w="558" w:type="pct"/>
            <w:noWrap/>
            <w:hideMark/>
          </w:tcPr>
          <w:p w14:paraId="30C6105A"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44,460</w:t>
            </w:r>
          </w:p>
        </w:tc>
        <w:tc>
          <w:tcPr>
            <w:tcW w:w="558" w:type="pct"/>
            <w:tcBorders>
              <w:right w:val="dotted" w:sz="4" w:space="0" w:color="auto"/>
            </w:tcBorders>
            <w:noWrap/>
            <w:hideMark/>
          </w:tcPr>
          <w:p w14:paraId="396E1155"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51,213</w:t>
            </w:r>
          </w:p>
        </w:tc>
        <w:tc>
          <w:tcPr>
            <w:tcW w:w="558" w:type="pct"/>
            <w:tcBorders>
              <w:top w:val="nil"/>
              <w:left w:val="dotted" w:sz="4" w:space="0" w:color="auto"/>
              <w:bottom w:val="nil"/>
              <w:right w:val="single" w:sz="4" w:space="0" w:color="auto"/>
            </w:tcBorders>
            <w:noWrap/>
            <w:hideMark/>
          </w:tcPr>
          <w:p w14:paraId="4E9BAC0A"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91,305</w:t>
            </w:r>
          </w:p>
        </w:tc>
        <w:tc>
          <w:tcPr>
            <w:tcW w:w="557" w:type="pct"/>
            <w:tcBorders>
              <w:left w:val="single" w:sz="4" w:space="0" w:color="auto"/>
            </w:tcBorders>
            <w:noWrap/>
            <w:hideMark/>
          </w:tcPr>
          <w:p w14:paraId="4523E462"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167,841</w:t>
            </w:r>
          </w:p>
        </w:tc>
      </w:tr>
      <w:tr w:rsidR="00BC498F" w:rsidRPr="00C41A37" w14:paraId="17929E46"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36" w:type="pct"/>
            <w:shd w:val="clear" w:color="auto" w:fill="auto"/>
            <w:noWrap/>
            <w:hideMark/>
          </w:tcPr>
          <w:p w14:paraId="6E94CE1E" w14:textId="77777777" w:rsidR="00BC498F" w:rsidRPr="00C41A37" w:rsidRDefault="00BC498F" w:rsidP="00BA7353">
            <w:pPr>
              <w:spacing w:after="0" w:line="240" w:lineRule="auto"/>
              <w:rPr>
                <w:rFonts w:eastAsia="Times New Roman" w:cs="Arial"/>
                <w:color w:val="000000"/>
                <w:sz w:val="20"/>
                <w:szCs w:val="20"/>
                <w:lang w:eastAsia="en-AU"/>
              </w:rPr>
            </w:pPr>
            <w:r w:rsidRPr="00C41A37">
              <w:rPr>
                <w:rFonts w:eastAsia="Times New Roman" w:cs="Arial"/>
                <w:color w:val="000000"/>
                <w:sz w:val="20"/>
                <w:szCs w:val="20"/>
                <w:lang w:eastAsia="en-AU"/>
              </w:rPr>
              <w:t>Variance to baseline ($m)</w:t>
            </w:r>
          </w:p>
        </w:tc>
        <w:tc>
          <w:tcPr>
            <w:tcW w:w="675" w:type="pct"/>
            <w:shd w:val="clear" w:color="auto" w:fill="auto"/>
            <w:noWrap/>
            <w:hideMark/>
          </w:tcPr>
          <w:p w14:paraId="5DB44750"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w:t>
            </w:r>
          </w:p>
        </w:tc>
        <w:tc>
          <w:tcPr>
            <w:tcW w:w="558" w:type="pct"/>
            <w:shd w:val="clear" w:color="auto" w:fill="auto"/>
            <w:noWrap/>
            <w:hideMark/>
          </w:tcPr>
          <w:p w14:paraId="6820AFFC"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59</w:t>
            </w:r>
          </w:p>
        </w:tc>
        <w:tc>
          <w:tcPr>
            <w:tcW w:w="558" w:type="pct"/>
            <w:shd w:val="clear" w:color="auto" w:fill="auto"/>
            <w:noWrap/>
            <w:hideMark/>
          </w:tcPr>
          <w:p w14:paraId="490C5447"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344</w:t>
            </w:r>
          </w:p>
        </w:tc>
        <w:tc>
          <w:tcPr>
            <w:tcW w:w="558" w:type="pct"/>
            <w:tcBorders>
              <w:right w:val="dotted" w:sz="4" w:space="0" w:color="auto"/>
            </w:tcBorders>
            <w:shd w:val="clear" w:color="auto" w:fill="auto"/>
            <w:noWrap/>
            <w:hideMark/>
          </w:tcPr>
          <w:p w14:paraId="7909F9B0"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870</w:t>
            </w:r>
          </w:p>
        </w:tc>
        <w:tc>
          <w:tcPr>
            <w:tcW w:w="558" w:type="pct"/>
            <w:tcBorders>
              <w:top w:val="nil"/>
              <w:left w:val="dotted" w:sz="4" w:space="0" w:color="auto"/>
              <w:bottom w:val="nil"/>
              <w:right w:val="single" w:sz="4" w:space="0" w:color="auto"/>
            </w:tcBorders>
            <w:shd w:val="clear" w:color="auto" w:fill="auto"/>
            <w:noWrap/>
            <w:hideMark/>
          </w:tcPr>
          <w:p w14:paraId="0EBCC33C"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1,903</w:t>
            </w:r>
          </w:p>
        </w:tc>
        <w:tc>
          <w:tcPr>
            <w:tcW w:w="557" w:type="pct"/>
            <w:tcBorders>
              <w:left w:val="single" w:sz="4" w:space="0" w:color="auto"/>
            </w:tcBorders>
            <w:shd w:val="clear" w:color="auto" w:fill="auto"/>
            <w:noWrap/>
            <w:hideMark/>
          </w:tcPr>
          <w:p w14:paraId="7A9A96A8" w14:textId="77777777" w:rsidR="00BC498F" w:rsidRPr="00C41A37"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1,273</w:t>
            </w:r>
          </w:p>
        </w:tc>
      </w:tr>
      <w:tr w:rsidR="00BC498F" w:rsidRPr="00C41A37" w14:paraId="045C55AB"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36" w:type="pct"/>
            <w:noWrap/>
            <w:hideMark/>
          </w:tcPr>
          <w:p w14:paraId="6ECEA4FD" w14:textId="77777777" w:rsidR="00BC498F" w:rsidRPr="00C41A37" w:rsidRDefault="00BC498F" w:rsidP="00BA7353">
            <w:pPr>
              <w:spacing w:after="0" w:line="240" w:lineRule="auto"/>
              <w:rPr>
                <w:rFonts w:eastAsia="Times New Roman" w:cs="Arial"/>
                <w:color w:val="000000"/>
                <w:sz w:val="20"/>
                <w:szCs w:val="20"/>
                <w:lang w:eastAsia="en-AU"/>
              </w:rPr>
            </w:pPr>
            <w:r w:rsidRPr="00C41A37">
              <w:rPr>
                <w:rFonts w:eastAsia="Times New Roman" w:cs="Arial"/>
                <w:color w:val="000000"/>
                <w:sz w:val="20"/>
                <w:szCs w:val="20"/>
                <w:lang w:eastAsia="en-AU"/>
              </w:rPr>
              <w:t>% variance to baseline</w:t>
            </w:r>
          </w:p>
        </w:tc>
        <w:tc>
          <w:tcPr>
            <w:tcW w:w="675" w:type="pct"/>
            <w:noWrap/>
            <w:hideMark/>
          </w:tcPr>
          <w:p w14:paraId="089C7BA5"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0.0%</w:t>
            </w:r>
          </w:p>
        </w:tc>
        <w:tc>
          <w:tcPr>
            <w:tcW w:w="558" w:type="pct"/>
            <w:noWrap/>
            <w:hideMark/>
          </w:tcPr>
          <w:p w14:paraId="7640149F"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0.2%</w:t>
            </w:r>
          </w:p>
        </w:tc>
        <w:tc>
          <w:tcPr>
            <w:tcW w:w="558" w:type="pct"/>
            <w:noWrap/>
            <w:hideMark/>
          </w:tcPr>
          <w:p w14:paraId="136413FF"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0.8%</w:t>
            </w:r>
          </w:p>
        </w:tc>
        <w:tc>
          <w:tcPr>
            <w:tcW w:w="558" w:type="pct"/>
            <w:tcBorders>
              <w:right w:val="dotted" w:sz="4" w:space="0" w:color="auto"/>
            </w:tcBorders>
            <w:noWrap/>
            <w:hideMark/>
          </w:tcPr>
          <w:p w14:paraId="015FD769"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1.7%</w:t>
            </w:r>
          </w:p>
        </w:tc>
        <w:tc>
          <w:tcPr>
            <w:tcW w:w="558" w:type="pct"/>
            <w:tcBorders>
              <w:top w:val="nil"/>
              <w:left w:val="dotted" w:sz="4" w:space="0" w:color="auto"/>
              <w:bottom w:val="single" w:sz="4" w:space="0" w:color="auto"/>
              <w:right w:val="single" w:sz="4" w:space="0" w:color="auto"/>
            </w:tcBorders>
            <w:noWrap/>
            <w:hideMark/>
          </w:tcPr>
          <w:p w14:paraId="54D78C58"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2.1%</w:t>
            </w:r>
          </w:p>
        </w:tc>
        <w:tc>
          <w:tcPr>
            <w:tcW w:w="557" w:type="pct"/>
            <w:tcBorders>
              <w:left w:val="single" w:sz="4" w:space="0" w:color="auto"/>
              <w:bottom w:val="single" w:sz="4" w:space="0" w:color="auto"/>
            </w:tcBorders>
            <w:noWrap/>
            <w:hideMark/>
          </w:tcPr>
          <w:p w14:paraId="6C2FE475" w14:textId="77777777" w:rsidR="00BC498F" w:rsidRPr="00C41A37"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41A37">
              <w:rPr>
                <w:rFonts w:eastAsia="Times New Roman" w:cs="Arial"/>
                <w:color w:val="000000"/>
                <w:sz w:val="20"/>
                <w:szCs w:val="20"/>
                <w:lang w:eastAsia="en-AU"/>
              </w:rPr>
              <w:t>0.8%</w:t>
            </w:r>
          </w:p>
        </w:tc>
      </w:tr>
    </w:tbl>
    <w:p w14:paraId="654F29A8" w14:textId="77777777" w:rsidR="00BC498F" w:rsidRDefault="00BC498F" w:rsidP="00BC498F">
      <w:pPr>
        <w:pStyle w:val="FSRHeading4"/>
      </w:pPr>
      <w:r>
        <w:t xml:space="preserve">Scenario relating to </w:t>
      </w:r>
      <w:r w:rsidRPr="00075164">
        <w:t>the</w:t>
      </w:r>
      <w:r w:rsidRPr="00B564B6">
        <w:t xml:space="preserve"> average payment for new entrants to the Scheme</w:t>
      </w:r>
    </w:p>
    <w:p w14:paraId="28FDF623" w14:textId="77777777" w:rsidR="00BC498F" w:rsidRDefault="00BC498F" w:rsidP="00BC498F">
      <w:pPr>
        <w:pStyle w:val="FSRnormal"/>
      </w:pPr>
      <w:r>
        <w:t>T</w:t>
      </w:r>
      <w:r w:rsidRPr="00F340CE">
        <w:t>here are still relatively few years of experience from which to determine the average payment for new entrants, compared to existing participants. As more new entrants enter the Scheme the average payments for new entrants may vary substantially from that previously observed.</w:t>
      </w:r>
      <w:r w:rsidRPr="00E35572">
        <w:t xml:space="preserve"> </w:t>
      </w:r>
      <w:r>
        <w:t xml:space="preserve">To quantify the inherent uncertainty with the average payment for new entrants to the Scheme, the following scenarios were considered.  </w:t>
      </w:r>
    </w:p>
    <w:p w14:paraId="31D869F8" w14:textId="77777777" w:rsidR="00EB6BFA" w:rsidRDefault="00EB6BFA">
      <w:pPr>
        <w:spacing w:after="160" w:line="259" w:lineRule="auto"/>
        <w:rPr>
          <w:b/>
          <w:i/>
          <w:color w:val="F26322"/>
          <w:sz w:val="24"/>
        </w:rPr>
      </w:pPr>
      <w:r>
        <w:br w:type="page"/>
      </w:r>
    </w:p>
    <w:p w14:paraId="56660CFC" w14:textId="77777777" w:rsidR="00BC498F" w:rsidRDefault="00BC498F" w:rsidP="00BC498F">
      <w:pPr>
        <w:pStyle w:val="FSRHeading5"/>
      </w:pPr>
      <w:r>
        <w:lastRenderedPageBreak/>
        <w:t xml:space="preserve">Scenario: Lower </w:t>
      </w:r>
      <w:r w:rsidR="008B69C2">
        <w:t>payments for</w:t>
      </w:r>
      <w:r>
        <w:t xml:space="preserve"> new entrants</w:t>
      </w:r>
    </w:p>
    <w:p w14:paraId="240CFABD" w14:textId="77777777" w:rsidR="00BC498F" w:rsidRDefault="00BC498F" w:rsidP="00BC498F">
      <w:pPr>
        <w:pStyle w:val="FSRnormal"/>
      </w:pPr>
      <w:r>
        <w:t>In this scenario the average payments for future new entrants are assumed to be 17% lower than those for existing participants, compared with 8.4% lower in the baseline projections</w:t>
      </w:r>
      <w:r w:rsidRPr="00504BEC">
        <w:rPr>
          <w:rStyle w:val="FootnoteReference"/>
        </w:rPr>
        <w:footnoteReference w:id="116"/>
      </w:r>
      <w:r w:rsidRPr="00504BEC">
        <w:t>.</w:t>
      </w:r>
      <w:r>
        <w:t xml:space="preserve"> This reduces </w:t>
      </w:r>
      <w:r w:rsidR="008D44E0">
        <w:t>S</w:t>
      </w:r>
      <w:r>
        <w:t>cheme expenses by $0.9 billion in 2025-26 and $3.0 billion in 2031-32.</w:t>
      </w:r>
    </w:p>
    <w:p w14:paraId="20FBDA50" w14:textId="77777777" w:rsidR="00C70A4C" w:rsidRPr="00F71B71" w:rsidRDefault="00C70A4C" w:rsidP="00C70A4C">
      <w:pPr>
        <w:pStyle w:val="Tables"/>
        <w:keepLines/>
      </w:pPr>
      <w:r>
        <w:t xml:space="preserve">Table </w:t>
      </w:r>
      <w:fldSimple w:instr=" STYLEREF 2 \s ">
        <w:r w:rsidR="00A87896">
          <w:rPr>
            <w:noProof/>
          </w:rPr>
          <w:t>6</w:t>
        </w:r>
      </w:fldSimple>
      <w:r w:rsidR="00A87896">
        <w:t>.</w:t>
      </w:r>
      <w:fldSimple w:instr=" SEQ Table \* ARABIC \s 2 ">
        <w:r w:rsidR="00A87896">
          <w:rPr>
            <w:noProof/>
          </w:rPr>
          <w:t>9</w:t>
        </w:r>
      </w:fldSimple>
      <w:r w:rsidRPr="00EA6635">
        <w:t>: Scenario results -</w:t>
      </w:r>
      <w:r w:rsidRPr="00C41A37">
        <w:t xml:space="preserve"> </w:t>
      </w:r>
      <w:r>
        <w:t xml:space="preserve">Lower </w:t>
      </w:r>
      <w:r w:rsidR="008B69C2">
        <w:t>payments for</w:t>
      </w:r>
      <w:r>
        <w:t xml:space="preserve"> new entrants </w:t>
      </w:r>
    </w:p>
    <w:tbl>
      <w:tblPr>
        <w:tblStyle w:val="FSRtable"/>
        <w:tblW w:w="4749" w:type="pct"/>
        <w:tblInd w:w="5" w:type="dxa"/>
        <w:tblLook w:val="04A0" w:firstRow="1" w:lastRow="0" w:firstColumn="1" w:lastColumn="0" w:noHBand="0" w:noVBand="1"/>
      </w:tblPr>
      <w:tblGrid>
        <w:gridCol w:w="2617"/>
        <w:gridCol w:w="1203"/>
        <w:gridCol w:w="950"/>
        <w:gridCol w:w="950"/>
        <w:gridCol w:w="953"/>
        <w:gridCol w:w="950"/>
        <w:gridCol w:w="950"/>
      </w:tblGrid>
      <w:tr w:rsidR="00BC498F" w:rsidRPr="00C647B0" w14:paraId="3429297A"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26" w:type="pct"/>
            <w:noWrap/>
            <w:hideMark/>
          </w:tcPr>
          <w:p w14:paraId="78F2E4A2" w14:textId="77777777" w:rsidR="00BC498F" w:rsidRPr="00C647B0" w:rsidRDefault="00BC498F" w:rsidP="00BA7353">
            <w:pPr>
              <w:spacing w:after="0" w:line="240" w:lineRule="auto"/>
              <w:rPr>
                <w:rFonts w:eastAsia="Times New Roman"/>
                <w:color w:val="FFFFFF"/>
                <w:sz w:val="20"/>
                <w:szCs w:val="20"/>
                <w:lang w:eastAsia="en-AU"/>
              </w:rPr>
            </w:pPr>
            <w:r w:rsidRPr="00C647B0">
              <w:rPr>
                <w:rFonts w:eastAsia="Times New Roman"/>
                <w:color w:val="FFFFFF"/>
                <w:sz w:val="20"/>
                <w:szCs w:val="20"/>
                <w:lang w:eastAsia="en-AU"/>
              </w:rPr>
              <w:t> </w:t>
            </w:r>
          </w:p>
        </w:tc>
        <w:tc>
          <w:tcPr>
            <w:tcW w:w="2366" w:type="pct"/>
            <w:gridSpan w:val="4"/>
            <w:tcBorders>
              <w:top w:val="single" w:sz="4" w:space="0" w:color="auto"/>
              <w:bottom w:val="single" w:sz="4" w:space="0" w:color="FFFFFF" w:themeColor="background1"/>
            </w:tcBorders>
            <w:noWrap/>
            <w:hideMark/>
          </w:tcPr>
          <w:p w14:paraId="193A1630" w14:textId="77777777" w:rsidR="00BC498F" w:rsidRPr="00DA3F73"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EB6BFA">
              <w:rPr>
                <w:rFonts w:eastAsia="Times New Roman"/>
                <w:bCs/>
                <w:color w:val="FFFFFF"/>
                <w:sz w:val="20"/>
                <w:szCs w:val="20"/>
                <w:lang w:eastAsia="en-AU"/>
              </w:rPr>
              <w:t>Projection Year</w:t>
            </w:r>
          </w:p>
        </w:tc>
        <w:tc>
          <w:tcPr>
            <w:tcW w:w="554" w:type="pct"/>
            <w:tcBorders>
              <w:top w:val="single" w:sz="4" w:space="0" w:color="auto"/>
              <w:bottom w:val="single" w:sz="4" w:space="0" w:color="FFFFFF" w:themeColor="background1"/>
              <w:right w:val="single" w:sz="4" w:space="0" w:color="auto"/>
            </w:tcBorders>
            <w:noWrap/>
            <w:hideMark/>
          </w:tcPr>
          <w:p w14:paraId="6471E250" w14:textId="77777777" w:rsidR="00BC498F" w:rsidRPr="00DA3F73"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EB6BFA">
              <w:rPr>
                <w:rFonts w:eastAsia="Times New Roman"/>
                <w:bCs/>
                <w:color w:val="FFFFFF"/>
                <w:sz w:val="20"/>
                <w:szCs w:val="20"/>
                <w:lang w:eastAsia="en-AU"/>
              </w:rPr>
              <w:t> </w:t>
            </w:r>
          </w:p>
        </w:tc>
        <w:tc>
          <w:tcPr>
            <w:tcW w:w="554" w:type="pct"/>
            <w:tcBorders>
              <w:top w:val="single" w:sz="4" w:space="0" w:color="auto"/>
              <w:left w:val="single" w:sz="4" w:space="0" w:color="auto"/>
              <w:bottom w:val="single" w:sz="4" w:space="0" w:color="FFFFFF" w:themeColor="background1"/>
            </w:tcBorders>
            <w:noWrap/>
            <w:hideMark/>
          </w:tcPr>
          <w:p w14:paraId="0003FDB8" w14:textId="77777777" w:rsidR="00BC498F" w:rsidRPr="00DA3F73"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EB6BFA">
              <w:rPr>
                <w:rFonts w:eastAsia="Times New Roman"/>
                <w:bCs/>
                <w:color w:val="FFFFFF"/>
                <w:sz w:val="20"/>
                <w:szCs w:val="20"/>
                <w:lang w:eastAsia="en-AU"/>
              </w:rPr>
              <w:t>Total</w:t>
            </w:r>
          </w:p>
        </w:tc>
      </w:tr>
      <w:tr w:rsidR="00BC498F" w:rsidRPr="00191697" w14:paraId="5FCC2654"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26" w:type="pct"/>
            <w:noWrap/>
            <w:hideMark/>
          </w:tcPr>
          <w:p w14:paraId="2A28F88D" w14:textId="77777777" w:rsidR="00BC498F" w:rsidRPr="00191697" w:rsidRDefault="00BC498F" w:rsidP="00BA7353">
            <w:pPr>
              <w:spacing w:after="0" w:line="240" w:lineRule="auto"/>
              <w:rPr>
                <w:rFonts w:eastAsia="Times New Roman"/>
                <w:color w:val="FFFFFF"/>
                <w:sz w:val="20"/>
                <w:szCs w:val="20"/>
                <w:lang w:eastAsia="en-AU"/>
              </w:rPr>
            </w:pPr>
            <w:r w:rsidRPr="00191697">
              <w:rPr>
                <w:rFonts w:eastAsia="Times New Roman"/>
                <w:color w:val="FFFFFF"/>
                <w:sz w:val="20"/>
                <w:szCs w:val="20"/>
                <w:lang w:eastAsia="en-AU"/>
              </w:rPr>
              <w:t> </w:t>
            </w:r>
          </w:p>
        </w:tc>
        <w:tc>
          <w:tcPr>
            <w:tcW w:w="702" w:type="pct"/>
            <w:tcBorders>
              <w:top w:val="single" w:sz="4" w:space="0" w:color="FFFFFF" w:themeColor="background1"/>
            </w:tcBorders>
            <w:noWrap/>
            <w:hideMark/>
          </w:tcPr>
          <w:p w14:paraId="00D4089D"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2022-23</w:t>
            </w:r>
          </w:p>
        </w:tc>
        <w:tc>
          <w:tcPr>
            <w:tcW w:w="554" w:type="pct"/>
            <w:tcBorders>
              <w:top w:val="single" w:sz="4" w:space="0" w:color="FFFFFF" w:themeColor="background1"/>
            </w:tcBorders>
            <w:noWrap/>
            <w:hideMark/>
          </w:tcPr>
          <w:p w14:paraId="615B2086"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2023-24</w:t>
            </w:r>
          </w:p>
        </w:tc>
        <w:tc>
          <w:tcPr>
            <w:tcW w:w="554" w:type="pct"/>
            <w:tcBorders>
              <w:top w:val="single" w:sz="4" w:space="0" w:color="FFFFFF" w:themeColor="background1"/>
            </w:tcBorders>
            <w:noWrap/>
            <w:hideMark/>
          </w:tcPr>
          <w:p w14:paraId="7FFBA0B0"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2024-25</w:t>
            </w:r>
          </w:p>
        </w:tc>
        <w:tc>
          <w:tcPr>
            <w:tcW w:w="555" w:type="pct"/>
            <w:tcBorders>
              <w:top w:val="single" w:sz="4" w:space="0" w:color="FFFFFF" w:themeColor="background1"/>
              <w:right w:val="dotted" w:sz="4" w:space="0" w:color="auto"/>
            </w:tcBorders>
            <w:noWrap/>
            <w:hideMark/>
          </w:tcPr>
          <w:p w14:paraId="73507220"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2025-26</w:t>
            </w:r>
          </w:p>
        </w:tc>
        <w:tc>
          <w:tcPr>
            <w:tcW w:w="554" w:type="pct"/>
            <w:tcBorders>
              <w:top w:val="single" w:sz="4" w:space="0" w:color="FFFFFF" w:themeColor="background1"/>
              <w:left w:val="dotted" w:sz="4" w:space="0" w:color="auto"/>
              <w:bottom w:val="nil"/>
              <w:right w:val="single" w:sz="4" w:space="0" w:color="auto"/>
            </w:tcBorders>
            <w:noWrap/>
            <w:hideMark/>
          </w:tcPr>
          <w:p w14:paraId="70372EEE"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2031-32</w:t>
            </w:r>
          </w:p>
        </w:tc>
        <w:tc>
          <w:tcPr>
            <w:tcW w:w="554" w:type="pct"/>
            <w:tcBorders>
              <w:top w:val="single" w:sz="4" w:space="0" w:color="FFFFFF" w:themeColor="background1"/>
              <w:left w:val="single" w:sz="4" w:space="0" w:color="auto"/>
            </w:tcBorders>
            <w:noWrap/>
            <w:hideMark/>
          </w:tcPr>
          <w:p w14:paraId="101063AA" w14:textId="77777777" w:rsidR="00BC498F" w:rsidRPr="00191697"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2022-26</w:t>
            </w:r>
          </w:p>
        </w:tc>
      </w:tr>
      <w:tr w:rsidR="00BC498F" w:rsidRPr="00C647B0" w14:paraId="4F92246E"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26" w:type="pct"/>
            <w:shd w:val="clear" w:color="auto" w:fill="auto"/>
            <w:noWrap/>
            <w:hideMark/>
          </w:tcPr>
          <w:p w14:paraId="35E75FD9" w14:textId="77777777" w:rsidR="00BC498F" w:rsidRPr="00C647B0" w:rsidRDefault="00BC498F" w:rsidP="00BA7353">
            <w:pPr>
              <w:spacing w:after="0" w:line="240" w:lineRule="auto"/>
              <w:rPr>
                <w:rFonts w:eastAsia="Times New Roman" w:cs="Arial"/>
                <w:b/>
                <w:bCs/>
                <w:i/>
                <w:iCs/>
                <w:color w:val="000000"/>
                <w:sz w:val="20"/>
                <w:szCs w:val="20"/>
                <w:lang w:eastAsia="en-AU"/>
              </w:rPr>
            </w:pPr>
            <w:r w:rsidRPr="00C647B0">
              <w:rPr>
                <w:rFonts w:eastAsia="Times New Roman" w:cs="Arial"/>
                <w:b/>
                <w:bCs/>
                <w:i/>
                <w:iCs/>
                <w:color w:val="000000"/>
                <w:sz w:val="20"/>
                <w:szCs w:val="20"/>
                <w:lang w:eastAsia="en-AU"/>
              </w:rPr>
              <w:t>Existing participants</w:t>
            </w:r>
          </w:p>
        </w:tc>
        <w:tc>
          <w:tcPr>
            <w:tcW w:w="702" w:type="pct"/>
            <w:shd w:val="clear" w:color="auto" w:fill="auto"/>
            <w:noWrap/>
            <w:hideMark/>
          </w:tcPr>
          <w:p w14:paraId="0854E0ED"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 </w:t>
            </w:r>
          </w:p>
        </w:tc>
        <w:tc>
          <w:tcPr>
            <w:tcW w:w="554" w:type="pct"/>
            <w:shd w:val="clear" w:color="auto" w:fill="auto"/>
            <w:noWrap/>
            <w:hideMark/>
          </w:tcPr>
          <w:p w14:paraId="3B459673"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 </w:t>
            </w:r>
          </w:p>
        </w:tc>
        <w:tc>
          <w:tcPr>
            <w:tcW w:w="554" w:type="pct"/>
            <w:shd w:val="clear" w:color="auto" w:fill="auto"/>
            <w:noWrap/>
            <w:hideMark/>
          </w:tcPr>
          <w:p w14:paraId="77A99603"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 </w:t>
            </w:r>
          </w:p>
        </w:tc>
        <w:tc>
          <w:tcPr>
            <w:tcW w:w="555" w:type="pct"/>
            <w:tcBorders>
              <w:right w:val="dotted" w:sz="4" w:space="0" w:color="auto"/>
            </w:tcBorders>
            <w:shd w:val="clear" w:color="auto" w:fill="auto"/>
            <w:noWrap/>
            <w:hideMark/>
          </w:tcPr>
          <w:p w14:paraId="3FECE1EF"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 </w:t>
            </w:r>
          </w:p>
        </w:tc>
        <w:tc>
          <w:tcPr>
            <w:tcW w:w="554" w:type="pct"/>
            <w:tcBorders>
              <w:top w:val="nil"/>
              <w:left w:val="dotted" w:sz="4" w:space="0" w:color="auto"/>
              <w:bottom w:val="nil"/>
              <w:right w:val="single" w:sz="4" w:space="0" w:color="auto"/>
            </w:tcBorders>
            <w:shd w:val="clear" w:color="auto" w:fill="auto"/>
            <w:noWrap/>
            <w:hideMark/>
          </w:tcPr>
          <w:p w14:paraId="7DA45693"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 </w:t>
            </w:r>
          </w:p>
        </w:tc>
        <w:tc>
          <w:tcPr>
            <w:tcW w:w="554" w:type="pct"/>
            <w:tcBorders>
              <w:left w:val="single" w:sz="4" w:space="0" w:color="auto"/>
            </w:tcBorders>
            <w:shd w:val="clear" w:color="auto" w:fill="auto"/>
            <w:noWrap/>
            <w:hideMark/>
          </w:tcPr>
          <w:p w14:paraId="249A53EB"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 </w:t>
            </w:r>
          </w:p>
        </w:tc>
      </w:tr>
      <w:tr w:rsidR="00BC498F" w:rsidRPr="00C647B0" w14:paraId="4D66B3C2"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6" w:type="pct"/>
            <w:noWrap/>
            <w:hideMark/>
          </w:tcPr>
          <w:p w14:paraId="348C636F" w14:textId="77777777" w:rsidR="00BC498F" w:rsidRPr="00C647B0" w:rsidRDefault="00BC498F" w:rsidP="00BA7353">
            <w:pPr>
              <w:spacing w:after="0" w:line="240" w:lineRule="auto"/>
              <w:rPr>
                <w:rFonts w:eastAsia="Times New Roman" w:cs="Arial"/>
                <w:color w:val="000000"/>
                <w:sz w:val="20"/>
                <w:szCs w:val="20"/>
                <w:lang w:eastAsia="en-AU"/>
              </w:rPr>
            </w:pPr>
            <w:r w:rsidRPr="00C647B0">
              <w:rPr>
                <w:rFonts w:eastAsia="Times New Roman" w:cs="Arial"/>
                <w:color w:val="000000"/>
                <w:sz w:val="20"/>
                <w:szCs w:val="20"/>
                <w:lang w:eastAsia="en-AU"/>
              </w:rPr>
              <w:t>Scheme Expenses ($m)</w:t>
            </w:r>
          </w:p>
        </w:tc>
        <w:tc>
          <w:tcPr>
            <w:tcW w:w="702" w:type="pct"/>
            <w:noWrap/>
            <w:hideMark/>
          </w:tcPr>
          <w:p w14:paraId="08CF5A24"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32,967</w:t>
            </w:r>
          </w:p>
        </w:tc>
        <w:tc>
          <w:tcPr>
            <w:tcW w:w="554" w:type="pct"/>
            <w:noWrap/>
            <w:hideMark/>
          </w:tcPr>
          <w:p w14:paraId="15C1CF21"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34,700</w:t>
            </w:r>
          </w:p>
        </w:tc>
        <w:tc>
          <w:tcPr>
            <w:tcW w:w="554" w:type="pct"/>
            <w:noWrap/>
            <w:hideMark/>
          </w:tcPr>
          <w:p w14:paraId="4733D35E"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37,662</w:t>
            </w:r>
          </w:p>
        </w:tc>
        <w:tc>
          <w:tcPr>
            <w:tcW w:w="555" w:type="pct"/>
            <w:tcBorders>
              <w:right w:val="dotted" w:sz="4" w:space="0" w:color="auto"/>
            </w:tcBorders>
            <w:noWrap/>
            <w:hideMark/>
          </w:tcPr>
          <w:p w14:paraId="2A40A7B3"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40,621</w:t>
            </w:r>
          </w:p>
        </w:tc>
        <w:tc>
          <w:tcPr>
            <w:tcW w:w="554" w:type="pct"/>
            <w:tcBorders>
              <w:top w:val="nil"/>
              <w:left w:val="dotted" w:sz="4" w:space="0" w:color="auto"/>
              <w:bottom w:val="nil"/>
              <w:right w:val="single" w:sz="4" w:space="0" w:color="auto"/>
            </w:tcBorders>
            <w:noWrap/>
            <w:hideMark/>
          </w:tcPr>
          <w:p w14:paraId="0D6E3CBF"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54,370</w:t>
            </w:r>
          </w:p>
        </w:tc>
        <w:tc>
          <w:tcPr>
            <w:tcW w:w="554" w:type="pct"/>
            <w:tcBorders>
              <w:left w:val="single" w:sz="4" w:space="0" w:color="auto"/>
            </w:tcBorders>
            <w:noWrap/>
            <w:hideMark/>
          </w:tcPr>
          <w:p w14:paraId="591D2023"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145,950</w:t>
            </w:r>
          </w:p>
        </w:tc>
      </w:tr>
      <w:tr w:rsidR="00BC498F" w:rsidRPr="00C647B0" w14:paraId="53E775A6"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26" w:type="pct"/>
            <w:shd w:val="clear" w:color="auto" w:fill="auto"/>
            <w:noWrap/>
            <w:hideMark/>
          </w:tcPr>
          <w:p w14:paraId="780AF988" w14:textId="77777777" w:rsidR="00BC498F" w:rsidRPr="00C647B0" w:rsidRDefault="00BC498F" w:rsidP="00BA7353">
            <w:pPr>
              <w:spacing w:after="0" w:line="240" w:lineRule="auto"/>
              <w:rPr>
                <w:rFonts w:eastAsia="Times New Roman" w:cs="Arial"/>
                <w:color w:val="000000"/>
                <w:sz w:val="20"/>
                <w:szCs w:val="20"/>
                <w:lang w:eastAsia="en-AU"/>
              </w:rPr>
            </w:pPr>
            <w:r w:rsidRPr="00C647B0">
              <w:rPr>
                <w:rFonts w:eastAsia="Times New Roman" w:cs="Arial"/>
                <w:color w:val="000000"/>
                <w:sz w:val="20"/>
                <w:szCs w:val="20"/>
                <w:lang w:eastAsia="en-AU"/>
              </w:rPr>
              <w:t>Variance to baseline ($m)</w:t>
            </w:r>
          </w:p>
        </w:tc>
        <w:tc>
          <w:tcPr>
            <w:tcW w:w="702" w:type="pct"/>
            <w:shd w:val="clear" w:color="auto" w:fill="auto"/>
            <w:noWrap/>
            <w:hideMark/>
          </w:tcPr>
          <w:p w14:paraId="5813D15D"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0</w:t>
            </w:r>
          </w:p>
        </w:tc>
        <w:tc>
          <w:tcPr>
            <w:tcW w:w="554" w:type="pct"/>
            <w:shd w:val="clear" w:color="auto" w:fill="auto"/>
            <w:noWrap/>
            <w:hideMark/>
          </w:tcPr>
          <w:p w14:paraId="0B53B97A"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0</w:t>
            </w:r>
          </w:p>
        </w:tc>
        <w:tc>
          <w:tcPr>
            <w:tcW w:w="554" w:type="pct"/>
            <w:shd w:val="clear" w:color="auto" w:fill="auto"/>
            <w:noWrap/>
            <w:hideMark/>
          </w:tcPr>
          <w:p w14:paraId="25FF24E2"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0</w:t>
            </w:r>
          </w:p>
        </w:tc>
        <w:tc>
          <w:tcPr>
            <w:tcW w:w="555" w:type="pct"/>
            <w:tcBorders>
              <w:right w:val="dotted" w:sz="4" w:space="0" w:color="auto"/>
            </w:tcBorders>
            <w:shd w:val="clear" w:color="auto" w:fill="auto"/>
            <w:noWrap/>
            <w:hideMark/>
          </w:tcPr>
          <w:p w14:paraId="4836C858"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0</w:t>
            </w:r>
          </w:p>
        </w:tc>
        <w:tc>
          <w:tcPr>
            <w:tcW w:w="554" w:type="pct"/>
            <w:tcBorders>
              <w:top w:val="nil"/>
              <w:left w:val="dotted" w:sz="4" w:space="0" w:color="auto"/>
              <w:bottom w:val="nil"/>
              <w:right w:val="single" w:sz="4" w:space="0" w:color="auto"/>
            </w:tcBorders>
            <w:shd w:val="clear" w:color="auto" w:fill="auto"/>
            <w:noWrap/>
            <w:hideMark/>
          </w:tcPr>
          <w:p w14:paraId="78B0B46D"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0</w:t>
            </w:r>
          </w:p>
        </w:tc>
        <w:tc>
          <w:tcPr>
            <w:tcW w:w="554" w:type="pct"/>
            <w:tcBorders>
              <w:left w:val="single" w:sz="4" w:space="0" w:color="auto"/>
            </w:tcBorders>
            <w:shd w:val="clear" w:color="auto" w:fill="auto"/>
            <w:noWrap/>
            <w:hideMark/>
          </w:tcPr>
          <w:p w14:paraId="2E06BF59"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0</w:t>
            </w:r>
          </w:p>
        </w:tc>
      </w:tr>
      <w:tr w:rsidR="00BC498F" w:rsidRPr="00C647B0" w14:paraId="5E9409A8"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6" w:type="pct"/>
            <w:noWrap/>
            <w:hideMark/>
          </w:tcPr>
          <w:p w14:paraId="7199439C" w14:textId="77777777" w:rsidR="00BC498F" w:rsidRPr="00C647B0" w:rsidRDefault="00BC498F" w:rsidP="00BA7353">
            <w:pPr>
              <w:spacing w:after="0" w:line="240" w:lineRule="auto"/>
              <w:rPr>
                <w:rFonts w:eastAsia="Times New Roman" w:cs="Arial"/>
                <w:color w:val="000000"/>
                <w:sz w:val="20"/>
                <w:szCs w:val="20"/>
                <w:lang w:eastAsia="en-AU"/>
              </w:rPr>
            </w:pPr>
            <w:r w:rsidRPr="00C647B0">
              <w:rPr>
                <w:rFonts w:eastAsia="Times New Roman" w:cs="Arial"/>
                <w:color w:val="000000"/>
                <w:sz w:val="20"/>
                <w:szCs w:val="20"/>
                <w:lang w:eastAsia="en-AU"/>
              </w:rPr>
              <w:t>% variance to baseline</w:t>
            </w:r>
          </w:p>
        </w:tc>
        <w:tc>
          <w:tcPr>
            <w:tcW w:w="702" w:type="pct"/>
            <w:noWrap/>
            <w:hideMark/>
          </w:tcPr>
          <w:p w14:paraId="1FC39D80"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0.0%</w:t>
            </w:r>
          </w:p>
        </w:tc>
        <w:tc>
          <w:tcPr>
            <w:tcW w:w="554" w:type="pct"/>
            <w:noWrap/>
            <w:hideMark/>
          </w:tcPr>
          <w:p w14:paraId="2E7E0BA5"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0.0%</w:t>
            </w:r>
          </w:p>
        </w:tc>
        <w:tc>
          <w:tcPr>
            <w:tcW w:w="554" w:type="pct"/>
            <w:noWrap/>
            <w:hideMark/>
          </w:tcPr>
          <w:p w14:paraId="3491921B"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0.0%</w:t>
            </w:r>
          </w:p>
        </w:tc>
        <w:tc>
          <w:tcPr>
            <w:tcW w:w="555" w:type="pct"/>
            <w:tcBorders>
              <w:right w:val="dotted" w:sz="4" w:space="0" w:color="auto"/>
            </w:tcBorders>
            <w:noWrap/>
            <w:hideMark/>
          </w:tcPr>
          <w:p w14:paraId="4F9EF57E"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0.0%</w:t>
            </w:r>
          </w:p>
        </w:tc>
        <w:tc>
          <w:tcPr>
            <w:tcW w:w="554" w:type="pct"/>
            <w:tcBorders>
              <w:top w:val="nil"/>
              <w:left w:val="dotted" w:sz="4" w:space="0" w:color="auto"/>
              <w:bottom w:val="nil"/>
              <w:right w:val="single" w:sz="4" w:space="0" w:color="auto"/>
            </w:tcBorders>
            <w:noWrap/>
            <w:hideMark/>
          </w:tcPr>
          <w:p w14:paraId="203CBAE4"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0.0%</w:t>
            </w:r>
          </w:p>
        </w:tc>
        <w:tc>
          <w:tcPr>
            <w:tcW w:w="554" w:type="pct"/>
            <w:tcBorders>
              <w:left w:val="single" w:sz="4" w:space="0" w:color="auto"/>
            </w:tcBorders>
            <w:noWrap/>
            <w:hideMark/>
          </w:tcPr>
          <w:p w14:paraId="54DA87AE"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0.0%</w:t>
            </w:r>
          </w:p>
        </w:tc>
      </w:tr>
      <w:tr w:rsidR="00BC498F" w:rsidRPr="00C647B0" w14:paraId="6F30AF16"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26" w:type="pct"/>
            <w:shd w:val="clear" w:color="auto" w:fill="auto"/>
            <w:noWrap/>
            <w:hideMark/>
          </w:tcPr>
          <w:p w14:paraId="70435E00" w14:textId="77777777" w:rsidR="00BC498F" w:rsidRPr="00C647B0" w:rsidRDefault="00BC498F" w:rsidP="00BA7353">
            <w:pPr>
              <w:spacing w:after="0" w:line="240" w:lineRule="auto"/>
              <w:rPr>
                <w:rFonts w:eastAsia="Times New Roman" w:cs="Arial"/>
                <w:b/>
                <w:bCs/>
                <w:i/>
                <w:iCs/>
                <w:color w:val="000000"/>
                <w:sz w:val="20"/>
                <w:szCs w:val="20"/>
                <w:lang w:eastAsia="en-AU"/>
              </w:rPr>
            </w:pPr>
            <w:r w:rsidRPr="00C647B0">
              <w:rPr>
                <w:rFonts w:eastAsia="Times New Roman" w:cs="Arial"/>
                <w:b/>
                <w:bCs/>
                <w:i/>
                <w:iCs/>
                <w:color w:val="000000"/>
                <w:sz w:val="20"/>
                <w:szCs w:val="20"/>
                <w:lang w:eastAsia="en-AU"/>
              </w:rPr>
              <w:t>New participants</w:t>
            </w:r>
          </w:p>
        </w:tc>
        <w:tc>
          <w:tcPr>
            <w:tcW w:w="702" w:type="pct"/>
            <w:shd w:val="clear" w:color="auto" w:fill="auto"/>
            <w:noWrap/>
            <w:hideMark/>
          </w:tcPr>
          <w:p w14:paraId="637A1C63"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 </w:t>
            </w:r>
          </w:p>
        </w:tc>
        <w:tc>
          <w:tcPr>
            <w:tcW w:w="554" w:type="pct"/>
            <w:shd w:val="clear" w:color="auto" w:fill="auto"/>
            <w:noWrap/>
            <w:hideMark/>
          </w:tcPr>
          <w:p w14:paraId="5E9FDB81"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 </w:t>
            </w:r>
          </w:p>
        </w:tc>
        <w:tc>
          <w:tcPr>
            <w:tcW w:w="554" w:type="pct"/>
            <w:shd w:val="clear" w:color="auto" w:fill="auto"/>
            <w:noWrap/>
            <w:hideMark/>
          </w:tcPr>
          <w:p w14:paraId="35B4C007"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 </w:t>
            </w:r>
          </w:p>
        </w:tc>
        <w:tc>
          <w:tcPr>
            <w:tcW w:w="555" w:type="pct"/>
            <w:tcBorders>
              <w:right w:val="dotted" w:sz="4" w:space="0" w:color="auto"/>
            </w:tcBorders>
            <w:shd w:val="clear" w:color="auto" w:fill="auto"/>
            <w:noWrap/>
            <w:hideMark/>
          </w:tcPr>
          <w:p w14:paraId="7237900D"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 </w:t>
            </w:r>
          </w:p>
        </w:tc>
        <w:tc>
          <w:tcPr>
            <w:tcW w:w="554" w:type="pct"/>
            <w:tcBorders>
              <w:top w:val="nil"/>
              <w:left w:val="dotted" w:sz="4" w:space="0" w:color="auto"/>
              <w:bottom w:val="nil"/>
              <w:right w:val="single" w:sz="4" w:space="0" w:color="auto"/>
            </w:tcBorders>
            <w:shd w:val="clear" w:color="auto" w:fill="auto"/>
            <w:noWrap/>
            <w:hideMark/>
          </w:tcPr>
          <w:p w14:paraId="589E35D0"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 </w:t>
            </w:r>
          </w:p>
        </w:tc>
        <w:tc>
          <w:tcPr>
            <w:tcW w:w="554" w:type="pct"/>
            <w:tcBorders>
              <w:left w:val="single" w:sz="4" w:space="0" w:color="auto"/>
            </w:tcBorders>
            <w:shd w:val="clear" w:color="auto" w:fill="auto"/>
            <w:noWrap/>
            <w:hideMark/>
          </w:tcPr>
          <w:p w14:paraId="48834667"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 </w:t>
            </w:r>
          </w:p>
        </w:tc>
      </w:tr>
      <w:tr w:rsidR="00BC498F" w:rsidRPr="00C647B0" w14:paraId="45C69D20"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6" w:type="pct"/>
            <w:noWrap/>
            <w:hideMark/>
          </w:tcPr>
          <w:p w14:paraId="39B9DEBF" w14:textId="77777777" w:rsidR="00BC498F" w:rsidRPr="00C647B0" w:rsidRDefault="00BC498F" w:rsidP="00BA7353">
            <w:pPr>
              <w:spacing w:after="0" w:line="240" w:lineRule="auto"/>
              <w:rPr>
                <w:rFonts w:eastAsia="Times New Roman" w:cs="Arial"/>
                <w:color w:val="000000"/>
                <w:sz w:val="20"/>
                <w:szCs w:val="20"/>
                <w:lang w:eastAsia="en-AU"/>
              </w:rPr>
            </w:pPr>
            <w:r w:rsidRPr="00C647B0">
              <w:rPr>
                <w:rFonts w:eastAsia="Times New Roman" w:cs="Arial"/>
                <w:color w:val="000000"/>
                <w:sz w:val="20"/>
                <w:szCs w:val="20"/>
                <w:lang w:eastAsia="en-AU"/>
              </w:rPr>
              <w:t>Scheme Expenses ($m)</w:t>
            </w:r>
          </w:p>
        </w:tc>
        <w:tc>
          <w:tcPr>
            <w:tcW w:w="702" w:type="pct"/>
            <w:noWrap/>
            <w:hideMark/>
          </w:tcPr>
          <w:p w14:paraId="2AA313B0"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894</w:t>
            </w:r>
          </w:p>
        </w:tc>
        <w:tc>
          <w:tcPr>
            <w:tcW w:w="554" w:type="pct"/>
            <w:noWrap/>
            <w:hideMark/>
          </w:tcPr>
          <w:p w14:paraId="4D3719A8"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3,079</w:t>
            </w:r>
          </w:p>
        </w:tc>
        <w:tc>
          <w:tcPr>
            <w:tcW w:w="554" w:type="pct"/>
            <w:noWrap/>
            <w:hideMark/>
          </w:tcPr>
          <w:p w14:paraId="55E03040"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5,841</w:t>
            </w:r>
          </w:p>
        </w:tc>
        <w:tc>
          <w:tcPr>
            <w:tcW w:w="555" w:type="pct"/>
            <w:tcBorders>
              <w:right w:val="dotted" w:sz="4" w:space="0" w:color="auto"/>
            </w:tcBorders>
            <w:noWrap/>
            <w:hideMark/>
          </w:tcPr>
          <w:p w14:paraId="14A7E883"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8,834</w:t>
            </w:r>
          </w:p>
        </w:tc>
        <w:tc>
          <w:tcPr>
            <w:tcW w:w="554" w:type="pct"/>
            <w:tcBorders>
              <w:top w:val="nil"/>
              <w:left w:val="dotted" w:sz="4" w:space="0" w:color="auto"/>
              <w:bottom w:val="nil"/>
              <w:right w:val="single" w:sz="4" w:space="0" w:color="auto"/>
            </w:tcBorders>
            <w:noWrap/>
            <w:hideMark/>
          </w:tcPr>
          <w:p w14:paraId="088F943A"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32,057</w:t>
            </w:r>
          </w:p>
        </w:tc>
        <w:tc>
          <w:tcPr>
            <w:tcW w:w="554" w:type="pct"/>
            <w:tcBorders>
              <w:left w:val="single" w:sz="4" w:space="0" w:color="auto"/>
            </w:tcBorders>
            <w:noWrap/>
            <w:hideMark/>
          </w:tcPr>
          <w:p w14:paraId="0736361D"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18,649</w:t>
            </w:r>
          </w:p>
        </w:tc>
      </w:tr>
      <w:tr w:rsidR="00BC498F" w:rsidRPr="00C647B0" w14:paraId="517AD5CE"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26" w:type="pct"/>
            <w:shd w:val="clear" w:color="auto" w:fill="auto"/>
            <w:noWrap/>
            <w:hideMark/>
          </w:tcPr>
          <w:p w14:paraId="6F869D01" w14:textId="77777777" w:rsidR="00BC498F" w:rsidRPr="00C647B0" w:rsidRDefault="00BC498F" w:rsidP="00BA7353">
            <w:pPr>
              <w:spacing w:after="0" w:line="240" w:lineRule="auto"/>
              <w:rPr>
                <w:rFonts w:eastAsia="Times New Roman" w:cs="Arial"/>
                <w:color w:val="000000"/>
                <w:sz w:val="20"/>
                <w:szCs w:val="20"/>
                <w:lang w:eastAsia="en-AU"/>
              </w:rPr>
            </w:pPr>
            <w:r w:rsidRPr="00C647B0">
              <w:rPr>
                <w:rFonts w:eastAsia="Times New Roman" w:cs="Arial"/>
                <w:color w:val="000000"/>
                <w:sz w:val="20"/>
                <w:szCs w:val="20"/>
                <w:lang w:eastAsia="en-AU"/>
              </w:rPr>
              <w:t>Variance to baseline ($m)</w:t>
            </w:r>
          </w:p>
        </w:tc>
        <w:tc>
          <w:tcPr>
            <w:tcW w:w="702" w:type="pct"/>
            <w:shd w:val="clear" w:color="auto" w:fill="auto"/>
            <w:noWrap/>
            <w:hideMark/>
          </w:tcPr>
          <w:p w14:paraId="1A421B0A"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-114</w:t>
            </w:r>
          </w:p>
        </w:tc>
        <w:tc>
          <w:tcPr>
            <w:tcW w:w="554" w:type="pct"/>
            <w:shd w:val="clear" w:color="auto" w:fill="auto"/>
            <w:noWrap/>
            <w:hideMark/>
          </w:tcPr>
          <w:p w14:paraId="751402DB"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-353</w:t>
            </w:r>
          </w:p>
        </w:tc>
        <w:tc>
          <w:tcPr>
            <w:tcW w:w="554" w:type="pct"/>
            <w:shd w:val="clear" w:color="auto" w:fill="auto"/>
            <w:noWrap/>
            <w:hideMark/>
          </w:tcPr>
          <w:p w14:paraId="1BBE7C8E"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-613</w:t>
            </w:r>
          </w:p>
        </w:tc>
        <w:tc>
          <w:tcPr>
            <w:tcW w:w="555" w:type="pct"/>
            <w:tcBorders>
              <w:right w:val="dotted" w:sz="4" w:space="0" w:color="auto"/>
            </w:tcBorders>
            <w:shd w:val="clear" w:color="auto" w:fill="auto"/>
            <w:noWrap/>
            <w:hideMark/>
          </w:tcPr>
          <w:p w14:paraId="75BD03C3"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-889</w:t>
            </w:r>
          </w:p>
        </w:tc>
        <w:tc>
          <w:tcPr>
            <w:tcW w:w="554" w:type="pct"/>
            <w:tcBorders>
              <w:top w:val="nil"/>
              <w:left w:val="dotted" w:sz="4" w:space="0" w:color="auto"/>
              <w:bottom w:val="nil"/>
              <w:right w:val="single" w:sz="4" w:space="0" w:color="auto"/>
            </w:tcBorders>
            <w:shd w:val="clear" w:color="auto" w:fill="auto"/>
            <w:noWrap/>
            <w:hideMark/>
          </w:tcPr>
          <w:p w14:paraId="6F46482C"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-2,976</w:t>
            </w:r>
          </w:p>
        </w:tc>
        <w:tc>
          <w:tcPr>
            <w:tcW w:w="554" w:type="pct"/>
            <w:tcBorders>
              <w:left w:val="single" w:sz="4" w:space="0" w:color="auto"/>
            </w:tcBorders>
            <w:shd w:val="clear" w:color="auto" w:fill="auto"/>
            <w:noWrap/>
            <w:hideMark/>
          </w:tcPr>
          <w:p w14:paraId="764BB565"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-1,969</w:t>
            </w:r>
          </w:p>
        </w:tc>
      </w:tr>
      <w:tr w:rsidR="00BC498F" w:rsidRPr="00C647B0" w14:paraId="49DDC030"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6" w:type="pct"/>
            <w:noWrap/>
            <w:hideMark/>
          </w:tcPr>
          <w:p w14:paraId="70693240" w14:textId="77777777" w:rsidR="00BC498F" w:rsidRPr="00C647B0" w:rsidRDefault="00BC498F" w:rsidP="00BA7353">
            <w:pPr>
              <w:spacing w:after="0" w:line="240" w:lineRule="auto"/>
              <w:rPr>
                <w:rFonts w:eastAsia="Times New Roman" w:cs="Arial"/>
                <w:color w:val="000000"/>
                <w:sz w:val="20"/>
                <w:szCs w:val="20"/>
                <w:lang w:eastAsia="en-AU"/>
              </w:rPr>
            </w:pPr>
            <w:r w:rsidRPr="00C647B0">
              <w:rPr>
                <w:rFonts w:eastAsia="Times New Roman" w:cs="Arial"/>
                <w:color w:val="000000"/>
                <w:sz w:val="20"/>
                <w:szCs w:val="20"/>
                <w:lang w:eastAsia="en-AU"/>
              </w:rPr>
              <w:t>% variance to baseline</w:t>
            </w:r>
          </w:p>
        </w:tc>
        <w:tc>
          <w:tcPr>
            <w:tcW w:w="702" w:type="pct"/>
            <w:noWrap/>
            <w:hideMark/>
          </w:tcPr>
          <w:p w14:paraId="0EB9A91B"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-11.3%</w:t>
            </w:r>
          </w:p>
        </w:tc>
        <w:tc>
          <w:tcPr>
            <w:tcW w:w="554" w:type="pct"/>
            <w:noWrap/>
            <w:hideMark/>
          </w:tcPr>
          <w:p w14:paraId="03991AFF"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-10.3%</w:t>
            </w:r>
          </w:p>
        </w:tc>
        <w:tc>
          <w:tcPr>
            <w:tcW w:w="554" w:type="pct"/>
            <w:noWrap/>
            <w:hideMark/>
          </w:tcPr>
          <w:p w14:paraId="23AD663B"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-9.5%</w:t>
            </w:r>
          </w:p>
        </w:tc>
        <w:tc>
          <w:tcPr>
            <w:tcW w:w="555" w:type="pct"/>
            <w:tcBorders>
              <w:right w:val="dotted" w:sz="4" w:space="0" w:color="auto"/>
            </w:tcBorders>
            <w:noWrap/>
            <w:hideMark/>
          </w:tcPr>
          <w:p w14:paraId="4E37A4BF"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-9.1%</w:t>
            </w:r>
          </w:p>
        </w:tc>
        <w:tc>
          <w:tcPr>
            <w:tcW w:w="554" w:type="pct"/>
            <w:tcBorders>
              <w:top w:val="nil"/>
              <w:left w:val="dotted" w:sz="4" w:space="0" w:color="auto"/>
              <w:bottom w:val="nil"/>
              <w:right w:val="single" w:sz="4" w:space="0" w:color="auto"/>
            </w:tcBorders>
            <w:noWrap/>
            <w:hideMark/>
          </w:tcPr>
          <w:p w14:paraId="47B81FE2"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-8.5%</w:t>
            </w:r>
          </w:p>
        </w:tc>
        <w:tc>
          <w:tcPr>
            <w:tcW w:w="554" w:type="pct"/>
            <w:tcBorders>
              <w:left w:val="single" w:sz="4" w:space="0" w:color="auto"/>
            </w:tcBorders>
            <w:noWrap/>
            <w:hideMark/>
          </w:tcPr>
          <w:p w14:paraId="7DABFB89"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-9.6%</w:t>
            </w:r>
          </w:p>
        </w:tc>
      </w:tr>
      <w:tr w:rsidR="00BC498F" w:rsidRPr="00C647B0" w14:paraId="033571BF"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26" w:type="pct"/>
            <w:shd w:val="clear" w:color="auto" w:fill="auto"/>
            <w:noWrap/>
            <w:hideMark/>
          </w:tcPr>
          <w:p w14:paraId="5B22D05F" w14:textId="77777777" w:rsidR="00BC498F" w:rsidRPr="00C647B0" w:rsidRDefault="00BC498F" w:rsidP="00BA7353">
            <w:pPr>
              <w:spacing w:after="0" w:line="240" w:lineRule="auto"/>
              <w:rPr>
                <w:rFonts w:eastAsia="Times New Roman" w:cs="Arial"/>
                <w:b/>
                <w:bCs/>
                <w:i/>
                <w:iCs/>
                <w:color w:val="000000"/>
                <w:sz w:val="20"/>
                <w:szCs w:val="20"/>
                <w:lang w:eastAsia="en-AU"/>
              </w:rPr>
            </w:pPr>
            <w:r w:rsidRPr="00C647B0">
              <w:rPr>
                <w:rFonts w:eastAsia="Times New Roman" w:cs="Arial"/>
                <w:b/>
                <w:bCs/>
                <w:i/>
                <w:iCs/>
                <w:color w:val="000000"/>
                <w:sz w:val="20"/>
                <w:szCs w:val="20"/>
                <w:lang w:eastAsia="en-AU"/>
              </w:rPr>
              <w:t>All projected participants</w:t>
            </w:r>
          </w:p>
        </w:tc>
        <w:tc>
          <w:tcPr>
            <w:tcW w:w="702" w:type="pct"/>
            <w:shd w:val="clear" w:color="auto" w:fill="auto"/>
            <w:noWrap/>
            <w:hideMark/>
          </w:tcPr>
          <w:p w14:paraId="61A0ABAB"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 </w:t>
            </w:r>
          </w:p>
        </w:tc>
        <w:tc>
          <w:tcPr>
            <w:tcW w:w="554" w:type="pct"/>
            <w:shd w:val="clear" w:color="auto" w:fill="auto"/>
            <w:noWrap/>
            <w:hideMark/>
          </w:tcPr>
          <w:p w14:paraId="6BE6B32F"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 </w:t>
            </w:r>
          </w:p>
        </w:tc>
        <w:tc>
          <w:tcPr>
            <w:tcW w:w="554" w:type="pct"/>
            <w:shd w:val="clear" w:color="auto" w:fill="auto"/>
            <w:noWrap/>
            <w:hideMark/>
          </w:tcPr>
          <w:p w14:paraId="0C74F9C7"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 </w:t>
            </w:r>
          </w:p>
        </w:tc>
        <w:tc>
          <w:tcPr>
            <w:tcW w:w="555" w:type="pct"/>
            <w:tcBorders>
              <w:right w:val="dotted" w:sz="4" w:space="0" w:color="auto"/>
            </w:tcBorders>
            <w:shd w:val="clear" w:color="auto" w:fill="auto"/>
            <w:noWrap/>
            <w:hideMark/>
          </w:tcPr>
          <w:p w14:paraId="7E9F09C0"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 </w:t>
            </w:r>
          </w:p>
        </w:tc>
        <w:tc>
          <w:tcPr>
            <w:tcW w:w="554" w:type="pct"/>
            <w:tcBorders>
              <w:top w:val="nil"/>
              <w:left w:val="dotted" w:sz="4" w:space="0" w:color="auto"/>
              <w:bottom w:val="nil"/>
              <w:right w:val="single" w:sz="4" w:space="0" w:color="auto"/>
            </w:tcBorders>
            <w:shd w:val="clear" w:color="auto" w:fill="auto"/>
            <w:noWrap/>
            <w:hideMark/>
          </w:tcPr>
          <w:p w14:paraId="36460F60"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 </w:t>
            </w:r>
          </w:p>
        </w:tc>
        <w:tc>
          <w:tcPr>
            <w:tcW w:w="554" w:type="pct"/>
            <w:tcBorders>
              <w:left w:val="single" w:sz="4" w:space="0" w:color="auto"/>
            </w:tcBorders>
            <w:shd w:val="clear" w:color="auto" w:fill="auto"/>
            <w:noWrap/>
            <w:hideMark/>
          </w:tcPr>
          <w:p w14:paraId="38C89CD5"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 </w:t>
            </w:r>
          </w:p>
        </w:tc>
      </w:tr>
      <w:tr w:rsidR="00BC498F" w:rsidRPr="00C647B0" w14:paraId="2BD59D61"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6" w:type="pct"/>
            <w:noWrap/>
            <w:hideMark/>
          </w:tcPr>
          <w:p w14:paraId="3459621D" w14:textId="77777777" w:rsidR="00BC498F" w:rsidRPr="00C647B0" w:rsidRDefault="00BC498F" w:rsidP="00BA7353">
            <w:pPr>
              <w:spacing w:after="0" w:line="240" w:lineRule="auto"/>
              <w:rPr>
                <w:rFonts w:eastAsia="Times New Roman" w:cs="Arial"/>
                <w:color w:val="000000"/>
                <w:sz w:val="20"/>
                <w:szCs w:val="20"/>
                <w:lang w:eastAsia="en-AU"/>
              </w:rPr>
            </w:pPr>
            <w:r w:rsidRPr="00C647B0">
              <w:rPr>
                <w:rFonts w:eastAsia="Times New Roman" w:cs="Arial"/>
                <w:color w:val="000000"/>
                <w:sz w:val="20"/>
                <w:szCs w:val="20"/>
                <w:lang w:eastAsia="en-AU"/>
              </w:rPr>
              <w:t>Scheme Expenses ($m)</w:t>
            </w:r>
          </w:p>
        </w:tc>
        <w:tc>
          <w:tcPr>
            <w:tcW w:w="702" w:type="pct"/>
            <w:noWrap/>
            <w:hideMark/>
          </w:tcPr>
          <w:p w14:paraId="6415AF14"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33,862</w:t>
            </w:r>
          </w:p>
        </w:tc>
        <w:tc>
          <w:tcPr>
            <w:tcW w:w="554" w:type="pct"/>
            <w:noWrap/>
            <w:hideMark/>
          </w:tcPr>
          <w:p w14:paraId="2EEA7A1E"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37,780</w:t>
            </w:r>
          </w:p>
        </w:tc>
        <w:tc>
          <w:tcPr>
            <w:tcW w:w="554" w:type="pct"/>
            <w:noWrap/>
            <w:hideMark/>
          </w:tcPr>
          <w:p w14:paraId="745BA14B"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43,503</w:t>
            </w:r>
          </w:p>
        </w:tc>
        <w:tc>
          <w:tcPr>
            <w:tcW w:w="555" w:type="pct"/>
            <w:tcBorders>
              <w:right w:val="dotted" w:sz="4" w:space="0" w:color="auto"/>
            </w:tcBorders>
            <w:noWrap/>
            <w:hideMark/>
          </w:tcPr>
          <w:p w14:paraId="7A47B6A0"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49,455</w:t>
            </w:r>
          </w:p>
        </w:tc>
        <w:tc>
          <w:tcPr>
            <w:tcW w:w="554" w:type="pct"/>
            <w:tcBorders>
              <w:top w:val="nil"/>
              <w:left w:val="dotted" w:sz="4" w:space="0" w:color="auto"/>
              <w:bottom w:val="nil"/>
              <w:right w:val="single" w:sz="4" w:space="0" w:color="auto"/>
            </w:tcBorders>
            <w:noWrap/>
            <w:hideMark/>
          </w:tcPr>
          <w:p w14:paraId="2C36060C"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86,427</w:t>
            </w:r>
          </w:p>
        </w:tc>
        <w:tc>
          <w:tcPr>
            <w:tcW w:w="554" w:type="pct"/>
            <w:tcBorders>
              <w:left w:val="single" w:sz="4" w:space="0" w:color="auto"/>
            </w:tcBorders>
            <w:noWrap/>
            <w:hideMark/>
          </w:tcPr>
          <w:p w14:paraId="2F92BFD2"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164,599</w:t>
            </w:r>
          </w:p>
        </w:tc>
      </w:tr>
      <w:tr w:rsidR="00BC498F" w:rsidRPr="00C647B0" w14:paraId="0AFC6229"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26" w:type="pct"/>
            <w:shd w:val="clear" w:color="auto" w:fill="auto"/>
            <w:noWrap/>
            <w:hideMark/>
          </w:tcPr>
          <w:p w14:paraId="3D034DA8" w14:textId="77777777" w:rsidR="00BC498F" w:rsidRPr="00C647B0" w:rsidRDefault="00BC498F" w:rsidP="00BA7353">
            <w:pPr>
              <w:spacing w:after="0" w:line="240" w:lineRule="auto"/>
              <w:rPr>
                <w:rFonts w:eastAsia="Times New Roman" w:cs="Arial"/>
                <w:color w:val="000000"/>
                <w:sz w:val="20"/>
                <w:szCs w:val="20"/>
                <w:lang w:eastAsia="en-AU"/>
              </w:rPr>
            </w:pPr>
            <w:r w:rsidRPr="00C647B0">
              <w:rPr>
                <w:rFonts w:eastAsia="Times New Roman" w:cs="Arial"/>
                <w:color w:val="000000"/>
                <w:sz w:val="20"/>
                <w:szCs w:val="20"/>
                <w:lang w:eastAsia="en-AU"/>
              </w:rPr>
              <w:t>Variance to baseline ($m)</w:t>
            </w:r>
          </w:p>
        </w:tc>
        <w:tc>
          <w:tcPr>
            <w:tcW w:w="702" w:type="pct"/>
            <w:shd w:val="clear" w:color="auto" w:fill="auto"/>
            <w:noWrap/>
            <w:hideMark/>
          </w:tcPr>
          <w:p w14:paraId="42C70172"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-114</w:t>
            </w:r>
          </w:p>
        </w:tc>
        <w:tc>
          <w:tcPr>
            <w:tcW w:w="554" w:type="pct"/>
            <w:shd w:val="clear" w:color="auto" w:fill="auto"/>
            <w:noWrap/>
            <w:hideMark/>
          </w:tcPr>
          <w:p w14:paraId="678F3CF7"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-353</w:t>
            </w:r>
          </w:p>
        </w:tc>
        <w:tc>
          <w:tcPr>
            <w:tcW w:w="554" w:type="pct"/>
            <w:shd w:val="clear" w:color="auto" w:fill="auto"/>
            <w:noWrap/>
            <w:hideMark/>
          </w:tcPr>
          <w:p w14:paraId="7D22C5AA"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-613</w:t>
            </w:r>
          </w:p>
        </w:tc>
        <w:tc>
          <w:tcPr>
            <w:tcW w:w="555" w:type="pct"/>
            <w:tcBorders>
              <w:right w:val="dotted" w:sz="4" w:space="0" w:color="auto"/>
            </w:tcBorders>
            <w:shd w:val="clear" w:color="auto" w:fill="auto"/>
            <w:noWrap/>
            <w:hideMark/>
          </w:tcPr>
          <w:p w14:paraId="3A060737"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-889</w:t>
            </w:r>
          </w:p>
        </w:tc>
        <w:tc>
          <w:tcPr>
            <w:tcW w:w="554" w:type="pct"/>
            <w:tcBorders>
              <w:top w:val="nil"/>
              <w:left w:val="dotted" w:sz="4" w:space="0" w:color="auto"/>
              <w:bottom w:val="nil"/>
              <w:right w:val="single" w:sz="4" w:space="0" w:color="auto"/>
            </w:tcBorders>
            <w:shd w:val="clear" w:color="auto" w:fill="auto"/>
            <w:noWrap/>
            <w:hideMark/>
          </w:tcPr>
          <w:p w14:paraId="144F9795"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-2,976</w:t>
            </w:r>
          </w:p>
        </w:tc>
        <w:tc>
          <w:tcPr>
            <w:tcW w:w="554" w:type="pct"/>
            <w:tcBorders>
              <w:left w:val="single" w:sz="4" w:space="0" w:color="auto"/>
            </w:tcBorders>
            <w:shd w:val="clear" w:color="auto" w:fill="auto"/>
            <w:noWrap/>
            <w:hideMark/>
          </w:tcPr>
          <w:p w14:paraId="4C76F75C" w14:textId="77777777" w:rsidR="00BC498F" w:rsidRPr="00C647B0"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-1,969</w:t>
            </w:r>
          </w:p>
        </w:tc>
      </w:tr>
      <w:tr w:rsidR="00BC498F" w:rsidRPr="00C647B0" w14:paraId="1B74420D"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6" w:type="pct"/>
            <w:noWrap/>
            <w:hideMark/>
          </w:tcPr>
          <w:p w14:paraId="0F4E7B4A" w14:textId="77777777" w:rsidR="00BC498F" w:rsidRPr="00C647B0" w:rsidRDefault="00BC498F" w:rsidP="00BA7353">
            <w:pPr>
              <w:spacing w:after="0" w:line="240" w:lineRule="auto"/>
              <w:rPr>
                <w:rFonts w:eastAsia="Times New Roman" w:cs="Arial"/>
                <w:color w:val="000000"/>
                <w:sz w:val="20"/>
                <w:szCs w:val="20"/>
                <w:lang w:eastAsia="en-AU"/>
              </w:rPr>
            </w:pPr>
            <w:r w:rsidRPr="00C647B0">
              <w:rPr>
                <w:rFonts w:eastAsia="Times New Roman" w:cs="Arial"/>
                <w:color w:val="000000"/>
                <w:sz w:val="20"/>
                <w:szCs w:val="20"/>
                <w:lang w:eastAsia="en-AU"/>
              </w:rPr>
              <w:t>% variance to baseline</w:t>
            </w:r>
          </w:p>
        </w:tc>
        <w:tc>
          <w:tcPr>
            <w:tcW w:w="702" w:type="pct"/>
            <w:noWrap/>
            <w:hideMark/>
          </w:tcPr>
          <w:p w14:paraId="50DC88CB"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-0.3%</w:t>
            </w:r>
          </w:p>
        </w:tc>
        <w:tc>
          <w:tcPr>
            <w:tcW w:w="554" w:type="pct"/>
            <w:noWrap/>
            <w:hideMark/>
          </w:tcPr>
          <w:p w14:paraId="3778B574"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-0.9%</w:t>
            </w:r>
          </w:p>
        </w:tc>
        <w:tc>
          <w:tcPr>
            <w:tcW w:w="554" w:type="pct"/>
            <w:noWrap/>
            <w:hideMark/>
          </w:tcPr>
          <w:p w14:paraId="2CD5F796"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-1.4%</w:t>
            </w:r>
          </w:p>
        </w:tc>
        <w:tc>
          <w:tcPr>
            <w:tcW w:w="555" w:type="pct"/>
            <w:tcBorders>
              <w:right w:val="dotted" w:sz="4" w:space="0" w:color="auto"/>
            </w:tcBorders>
            <w:noWrap/>
            <w:hideMark/>
          </w:tcPr>
          <w:p w14:paraId="2788042B"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-1.8%</w:t>
            </w:r>
          </w:p>
        </w:tc>
        <w:tc>
          <w:tcPr>
            <w:tcW w:w="554" w:type="pct"/>
            <w:tcBorders>
              <w:top w:val="nil"/>
              <w:left w:val="dotted" w:sz="4" w:space="0" w:color="auto"/>
              <w:bottom w:val="single" w:sz="4" w:space="0" w:color="auto"/>
              <w:right w:val="single" w:sz="4" w:space="0" w:color="auto"/>
            </w:tcBorders>
            <w:noWrap/>
            <w:hideMark/>
          </w:tcPr>
          <w:p w14:paraId="2814B4D2"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-3.3%</w:t>
            </w:r>
          </w:p>
        </w:tc>
        <w:tc>
          <w:tcPr>
            <w:tcW w:w="554" w:type="pct"/>
            <w:tcBorders>
              <w:left w:val="single" w:sz="4" w:space="0" w:color="auto"/>
              <w:bottom w:val="single" w:sz="4" w:space="0" w:color="auto"/>
            </w:tcBorders>
            <w:noWrap/>
            <w:hideMark/>
          </w:tcPr>
          <w:p w14:paraId="3D69B5E7" w14:textId="77777777" w:rsidR="00BC498F" w:rsidRPr="00C647B0"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647B0">
              <w:rPr>
                <w:rFonts w:eastAsia="Times New Roman" w:cs="Arial"/>
                <w:color w:val="000000"/>
                <w:sz w:val="20"/>
                <w:szCs w:val="20"/>
                <w:lang w:eastAsia="en-AU"/>
              </w:rPr>
              <w:t>-1.2%</w:t>
            </w:r>
          </w:p>
        </w:tc>
      </w:tr>
    </w:tbl>
    <w:p w14:paraId="5616AC1C" w14:textId="77777777" w:rsidR="00EB6BFA" w:rsidRDefault="00EB6BFA" w:rsidP="00BC498F">
      <w:pPr>
        <w:pStyle w:val="FSRHeading5"/>
      </w:pPr>
    </w:p>
    <w:p w14:paraId="3ED5A1A3" w14:textId="77777777" w:rsidR="00EB6BFA" w:rsidRDefault="00EB6BFA">
      <w:pPr>
        <w:spacing w:after="160" w:line="259" w:lineRule="auto"/>
        <w:rPr>
          <w:b/>
          <w:i/>
          <w:color w:val="F26322"/>
          <w:sz w:val="24"/>
        </w:rPr>
      </w:pPr>
      <w:r>
        <w:br w:type="page"/>
      </w:r>
    </w:p>
    <w:p w14:paraId="24A6C089" w14:textId="77777777" w:rsidR="00BC498F" w:rsidRDefault="00BC498F" w:rsidP="00BC498F">
      <w:pPr>
        <w:pStyle w:val="FSRHeading5"/>
      </w:pPr>
      <w:r>
        <w:lastRenderedPageBreak/>
        <w:t xml:space="preserve">Scenario: Higher </w:t>
      </w:r>
      <w:r w:rsidR="008B69C2">
        <w:t>payments for</w:t>
      </w:r>
      <w:r>
        <w:t xml:space="preserve"> new entrants</w:t>
      </w:r>
    </w:p>
    <w:p w14:paraId="2C3504D6" w14:textId="77777777" w:rsidR="00BC498F" w:rsidRDefault="00BC498F" w:rsidP="00BC498F">
      <w:pPr>
        <w:pStyle w:val="FSRnormal"/>
      </w:pPr>
      <w:r>
        <w:t xml:space="preserve">The average payments for future new entrants are assumed to be the same as those for the corresponding cohorts of existing participants. This adds $0.9 billion in 2025-26 and $3.0 billion in 2031-32 to the total </w:t>
      </w:r>
      <w:r w:rsidR="008D44E0">
        <w:t>S</w:t>
      </w:r>
      <w:r>
        <w:t>cheme expenses.</w:t>
      </w:r>
    </w:p>
    <w:p w14:paraId="09076102" w14:textId="77777777" w:rsidR="00C70A4C" w:rsidRDefault="00C70A4C" w:rsidP="00DA3F73">
      <w:pPr>
        <w:pStyle w:val="Tables"/>
      </w:pPr>
      <w:r>
        <w:t xml:space="preserve">Table </w:t>
      </w:r>
      <w:fldSimple w:instr=" STYLEREF 2 \s ">
        <w:r w:rsidR="00A87896">
          <w:rPr>
            <w:noProof/>
          </w:rPr>
          <w:t>6</w:t>
        </w:r>
      </w:fldSimple>
      <w:r w:rsidR="00A87896">
        <w:t>.</w:t>
      </w:r>
      <w:fldSimple w:instr=" SEQ Table \* ARABIC \s 2 ">
        <w:r w:rsidR="00A87896">
          <w:rPr>
            <w:noProof/>
          </w:rPr>
          <w:t>10</w:t>
        </w:r>
      </w:fldSimple>
      <w:r w:rsidRPr="00B564B6">
        <w:t xml:space="preserve">: Scenario results - </w:t>
      </w:r>
      <w:r>
        <w:t>Higher</w:t>
      </w:r>
      <w:r w:rsidRPr="00B564B6">
        <w:t xml:space="preserve"> </w:t>
      </w:r>
      <w:r w:rsidR="008B69C2">
        <w:t>payments for</w:t>
      </w:r>
      <w:r w:rsidRPr="00B564B6">
        <w:t xml:space="preserve"> new entrants</w:t>
      </w:r>
    </w:p>
    <w:tbl>
      <w:tblPr>
        <w:tblStyle w:val="FSRtable"/>
        <w:tblW w:w="4749" w:type="pct"/>
        <w:tblInd w:w="5" w:type="dxa"/>
        <w:tblLook w:val="04A0" w:firstRow="1" w:lastRow="0" w:firstColumn="1" w:lastColumn="0" w:noHBand="0" w:noVBand="1"/>
      </w:tblPr>
      <w:tblGrid>
        <w:gridCol w:w="2617"/>
        <w:gridCol w:w="1204"/>
        <w:gridCol w:w="950"/>
        <w:gridCol w:w="950"/>
        <w:gridCol w:w="952"/>
        <w:gridCol w:w="950"/>
        <w:gridCol w:w="950"/>
      </w:tblGrid>
      <w:tr w:rsidR="00BC498F" w:rsidRPr="00DA212E" w14:paraId="4F3DD52B"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26" w:type="pct"/>
            <w:noWrap/>
            <w:hideMark/>
          </w:tcPr>
          <w:p w14:paraId="7B214657" w14:textId="77777777" w:rsidR="00BC498F" w:rsidRPr="00DA212E" w:rsidRDefault="00BC498F" w:rsidP="00BA7353">
            <w:pPr>
              <w:spacing w:after="0" w:line="240" w:lineRule="auto"/>
              <w:rPr>
                <w:rFonts w:eastAsia="Times New Roman"/>
                <w:color w:val="FFFFFF"/>
                <w:sz w:val="20"/>
                <w:szCs w:val="20"/>
                <w:lang w:eastAsia="en-AU"/>
              </w:rPr>
            </w:pPr>
            <w:r w:rsidRPr="00DA212E">
              <w:rPr>
                <w:rFonts w:eastAsia="Times New Roman"/>
                <w:color w:val="FFFFFF"/>
                <w:sz w:val="20"/>
                <w:szCs w:val="20"/>
                <w:lang w:eastAsia="en-AU"/>
              </w:rPr>
              <w:t> </w:t>
            </w:r>
          </w:p>
        </w:tc>
        <w:tc>
          <w:tcPr>
            <w:tcW w:w="2366" w:type="pct"/>
            <w:gridSpan w:val="4"/>
            <w:tcBorders>
              <w:top w:val="single" w:sz="4" w:space="0" w:color="auto"/>
              <w:bottom w:val="single" w:sz="4" w:space="0" w:color="FFFFFF" w:themeColor="background1"/>
            </w:tcBorders>
            <w:noWrap/>
            <w:hideMark/>
          </w:tcPr>
          <w:p w14:paraId="469475C9" w14:textId="77777777" w:rsidR="00BC498F" w:rsidRPr="00DA3F73"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EB6BFA">
              <w:rPr>
                <w:rFonts w:eastAsia="Times New Roman"/>
                <w:bCs/>
                <w:color w:val="FFFFFF"/>
                <w:sz w:val="20"/>
                <w:szCs w:val="20"/>
                <w:lang w:eastAsia="en-AU"/>
              </w:rPr>
              <w:t>Projection Year</w:t>
            </w:r>
          </w:p>
        </w:tc>
        <w:tc>
          <w:tcPr>
            <w:tcW w:w="554" w:type="pct"/>
            <w:tcBorders>
              <w:top w:val="single" w:sz="4" w:space="0" w:color="auto"/>
              <w:bottom w:val="single" w:sz="4" w:space="0" w:color="FFFFFF" w:themeColor="background1"/>
              <w:right w:val="single" w:sz="4" w:space="0" w:color="auto"/>
            </w:tcBorders>
            <w:noWrap/>
            <w:hideMark/>
          </w:tcPr>
          <w:p w14:paraId="4877755D" w14:textId="77777777" w:rsidR="00BC498F" w:rsidRPr="00DA3F73"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EB6BFA">
              <w:rPr>
                <w:rFonts w:eastAsia="Times New Roman"/>
                <w:bCs/>
                <w:color w:val="FFFFFF"/>
                <w:sz w:val="20"/>
                <w:szCs w:val="20"/>
                <w:lang w:eastAsia="en-AU"/>
              </w:rPr>
              <w:t> </w:t>
            </w:r>
          </w:p>
        </w:tc>
        <w:tc>
          <w:tcPr>
            <w:tcW w:w="554" w:type="pct"/>
            <w:tcBorders>
              <w:top w:val="single" w:sz="4" w:space="0" w:color="auto"/>
              <w:left w:val="single" w:sz="4" w:space="0" w:color="auto"/>
              <w:bottom w:val="single" w:sz="4" w:space="0" w:color="FFFFFF" w:themeColor="background1"/>
            </w:tcBorders>
            <w:noWrap/>
            <w:hideMark/>
          </w:tcPr>
          <w:p w14:paraId="29DE465B" w14:textId="77777777" w:rsidR="00BC498F" w:rsidRPr="00DA3F73"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EB6BFA">
              <w:rPr>
                <w:rFonts w:eastAsia="Times New Roman"/>
                <w:bCs/>
                <w:color w:val="FFFFFF"/>
                <w:sz w:val="20"/>
                <w:szCs w:val="20"/>
                <w:lang w:eastAsia="en-AU"/>
              </w:rPr>
              <w:t>Total</w:t>
            </w:r>
          </w:p>
        </w:tc>
      </w:tr>
      <w:tr w:rsidR="00BC498F" w:rsidRPr="00191697" w14:paraId="6CE73DB3"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26" w:type="pct"/>
            <w:noWrap/>
            <w:hideMark/>
          </w:tcPr>
          <w:p w14:paraId="1227B0BC" w14:textId="77777777" w:rsidR="00BC498F" w:rsidRPr="00191697" w:rsidRDefault="00BC498F" w:rsidP="00BA7353">
            <w:pPr>
              <w:spacing w:after="0" w:line="240" w:lineRule="auto"/>
              <w:rPr>
                <w:rFonts w:eastAsia="Times New Roman"/>
                <w:color w:val="FFFFFF"/>
                <w:sz w:val="20"/>
                <w:szCs w:val="20"/>
                <w:lang w:eastAsia="en-AU"/>
              </w:rPr>
            </w:pPr>
            <w:r w:rsidRPr="00191697">
              <w:rPr>
                <w:rFonts w:eastAsia="Times New Roman"/>
                <w:color w:val="FFFFFF"/>
                <w:sz w:val="20"/>
                <w:szCs w:val="20"/>
                <w:lang w:eastAsia="en-AU"/>
              </w:rPr>
              <w:t> </w:t>
            </w:r>
          </w:p>
        </w:tc>
        <w:tc>
          <w:tcPr>
            <w:tcW w:w="703" w:type="pct"/>
            <w:tcBorders>
              <w:top w:val="single" w:sz="4" w:space="0" w:color="FFFFFF" w:themeColor="background1"/>
            </w:tcBorders>
            <w:noWrap/>
            <w:hideMark/>
          </w:tcPr>
          <w:p w14:paraId="17B3D52C"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2022-23</w:t>
            </w:r>
          </w:p>
        </w:tc>
        <w:tc>
          <w:tcPr>
            <w:tcW w:w="554" w:type="pct"/>
            <w:tcBorders>
              <w:top w:val="single" w:sz="4" w:space="0" w:color="FFFFFF" w:themeColor="background1"/>
            </w:tcBorders>
            <w:noWrap/>
            <w:hideMark/>
          </w:tcPr>
          <w:p w14:paraId="6905A74A"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2023-24</w:t>
            </w:r>
          </w:p>
        </w:tc>
        <w:tc>
          <w:tcPr>
            <w:tcW w:w="554" w:type="pct"/>
            <w:tcBorders>
              <w:top w:val="single" w:sz="4" w:space="0" w:color="FFFFFF" w:themeColor="background1"/>
            </w:tcBorders>
            <w:noWrap/>
            <w:hideMark/>
          </w:tcPr>
          <w:p w14:paraId="18EFA577"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2024-25</w:t>
            </w:r>
          </w:p>
        </w:tc>
        <w:tc>
          <w:tcPr>
            <w:tcW w:w="554" w:type="pct"/>
            <w:tcBorders>
              <w:top w:val="single" w:sz="4" w:space="0" w:color="FFFFFF" w:themeColor="background1"/>
              <w:right w:val="dotted" w:sz="4" w:space="0" w:color="auto"/>
            </w:tcBorders>
            <w:noWrap/>
            <w:hideMark/>
          </w:tcPr>
          <w:p w14:paraId="3CAB8911"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2025-26</w:t>
            </w:r>
          </w:p>
        </w:tc>
        <w:tc>
          <w:tcPr>
            <w:tcW w:w="554" w:type="pct"/>
            <w:tcBorders>
              <w:top w:val="single" w:sz="4" w:space="0" w:color="FFFFFF" w:themeColor="background1"/>
              <w:left w:val="dotted" w:sz="4" w:space="0" w:color="auto"/>
              <w:bottom w:val="nil"/>
              <w:right w:val="single" w:sz="4" w:space="0" w:color="auto"/>
            </w:tcBorders>
            <w:noWrap/>
            <w:hideMark/>
          </w:tcPr>
          <w:p w14:paraId="1BB62BEB"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2031-32</w:t>
            </w:r>
          </w:p>
        </w:tc>
        <w:tc>
          <w:tcPr>
            <w:tcW w:w="554" w:type="pct"/>
            <w:tcBorders>
              <w:top w:val="single" w:sz="4" w:space="0" w:color="FFFFFF" w:themeColor="background1"/>
              <w:left w:val="single" w:sz="4" w:space="0" w:color="auto"/>
            </w:tcBorders>
            <w:noWrap/>
            <w:hideMark/>
          </w:tcPr>
          <w:p w14:paraId="36BF8893" w14:textId="77777777" w:rsidR="00BC498F" w:rsidRPr="00191697"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2022-26</w:t>
            </w:r>
          </w:p>
        </w:tc>
      </w:tr>
      <w:tr w:rsidR="00BC498F" w:rsidRPr="00DA212E" w14:paraId="30FC8A9B"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26" w:type="pct"/>
            <w:shd w:val="clear" w:color="auto" w:fill="auto"/>
            <w:noWrap/>
            <w:hideMark/>
          </w:tcPr>
          <w:p w14:paraId="7E36F51C" w14:textId="77777777" w:rsidR="00BC498F" w:rsidRPr="00DA212E" w:rsidRDefault="00BC498F" w:rsidP="00BA7353">
            <w:pPr>
              <w:spacing w:after="0" w:line="240" w:lineRule="auto"/>
              <w:rPr>
                <w:rFonts w:eastAsia="Times New Roman" w:cs="Arial"/>
                <w:b/>
                <w:bCs/>
                <w:i/>
                <w:iCs/>
                <w:color w:val="000000"/>
                <w:sz w:val="20"/>
                <w:szCs w:val="20"/>
                <w:lang w:eastAsia="en-AU"/>
              </w:rPr>
            </w:pPr>
            <w:r w:rsidRPr="00DA212E">
              <w:rPr>
                <w:rFonts w:eastAsia="Times New Roman" w:cs="Arial"/>
                <w:b/>
                <w:bCs/>
                <w:i/>
                <w:iCs/>
                <w:color w:val="000000"/>
                <w:sz w:val="20"/>
                <w:szCs w:val="20"/>
                <w:lang w:eastAsia="en-AU"/>
              </w:rPr>
              <w:t>Existing participants</w:t>
            </w:r>
          </w:p>
        </w:tc>
        <w:tc>
          <w:tcPr>
            <w:tcW w:w="703" w:type="pct"/>
            <w:shd w:val="clear" w:color="auto" w:fill="auto"/>
            <w:noWrap/>
            <w:hideMark/>
          </w:tcPr>
          <w:p w14:paraId="1D662165"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554" w:type="pct"/>
            <w:shd w:val="clear" w:color="auto" w:fill="auto"/>
            <w:noWrap/>
            <w:hideMark/>
          </w:tcPr>
          <w:p w14:paraId="721BDAA8"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554" w:type="pct"/>
            <w:shd w:val="clear" w:color="auto" w:fill="auto"/>
            <w:noWrap/>
            <w:hideMark/>
          </w:tcPr>
          <w:p w14:paraId="31A05D5D"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554" w:type="pct"/>
            <w:tcBorders>
              <w:right w:val="dotted" w:sz="4" w:space="0" w:color="auto"/>
            </w:tcBorders>
            <w:shd w:val="clear" w:color="auto" w:fill="auto"/>
            <w:noWrap/>
            <w:hideMark/>
          </w:tcPr>
          <w:p w14:paraId="702A75D9"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554" w:type="pct"/>
            <w:tcBorders>
              <w:top w:val="nil"/>
              <w:left w:val="dotted" w:sz="4" w:space="0" w:color="auto"/>
              <w:bottom w:val="nil"/>
              <w:right w:val="single" w:sz="4" w:space="0" w:color="auto"/>
            </w:tcBorders>
            <w:shd w:val="clear" w:color="auto" w:fill="auto"/>
            <w:noWrap/>
            <w:hideMark/>
          </w:tcPr>
          <w:p w14:paraId="27F80776"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554" w:type="pct"/>
            <w:tcBorders>
              <w:left w:val="single" w:sz="4" w:space="0" w:color="auto"/>
            </w:tcBorders>
            <w:shd w:val="clear" w:color="auto" w:fill="auto"/>
            <w:noWrap/>
            <w:hideMark/>
          </w:tcPr>
          <w:p w14:paraId="7142F6A2"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r>
      <w:tr w:rsidR="00BC498F" w:rsidRPr="00DA212E" w14:paraId="7A16DD83"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6" w:type="pct"/>
            <w:noWrap/>
            <w:hideMark/>
          </w:tcPr>
          <w:p w14:paraId="635E298F" w14:textId="77777777" w:rsidR="00BC498F" w:rsidRPr="00DA212E" w:rsidRDefault="00BC498F" w:rsidP="00BA7353">
            <w:pPr>
              <w:spacing w:after="0" w:line="240" w:lineRule="auto"/>
              <w:rPr>
                <w:rFonts w:eastAsia="Times New Roman" w:cs="Arial"/>
                <w:color w:val="000000"/>
                <w:sz w:val="20"/>
                <w:szCs w:val="20"/>
                <w:lang w:eastAsia="en-AU"/>
              </w:rPr>
            </w:pPr>
            <w:r w:rsidRPr="00DA212E">
              <w:rPr>
                <w:rFonts w:eastAsia="Times New Roman" w:cs="Arial"/>
                <w:color w:val="000000"/>
                <w:sz w:val="20"/>
                <w:szCs w:val="20"/>
                <w:lang w:eastAsia="en-AU"/>
              </w:rPr>
              <w:t>Scheme Expenses ($m)</w:t>
            </w:r>
          </w:p>
        </w:tc>
        <w:tc>
          <w:tcPr>
            <w:tcW w:w="703" w:type="pct"/>
            <w:noWrap/>
            <w:hideMark/>
          </w:tcPr>
          <w:p w14:paraId="2E6D3734"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32,967</w:t>
            </w:r>
          </w:p>
        </w:tc>
        <w:tc>
          <w:tcPr>
            <w:tcW w:w="554" w:type="pct"/>
            <w:noWrap/>
            <w:hideMark/>
          </w:tcPr>
          <w:p w14:paraId="2EEBA114"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34,700</w:t>
            </w:r>
          </w:p>
        </w:tc>
        <w:tc>
          <w:tcPr>
            <w:tcW w:w="554" w:type="pct"/>
            <w:noWrap/>
            <w:hideMark/>
          </w:tcPr>
          <w:p w14:paraId="208F5848"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37,662</w:t>
            </w:r>
          </w:p>
        </w:tc>
        <w:tc>
          <w:tcPr>
            <w:tcW w:w="554" w:type="pct"/>
            <w:tcBorders>
              <w:right w:val="dotted" w:sz="4" w:space="0" w:color="auto"/>
            </w:tcBorders>
            <w:noWrap/>
            <w:hideMark/>
          </w:tcPr>
          <w:p w14:paraId="363A77BB"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40,621</w:t>
            </w:r>
          </w:p>
        </w:tc>
        <w:tc>
          <w:tcPr>
            <w:tcW w:w="554" w:type="pct"/>
            <w:tcBorders>
              <w:top w:val="nil"/>
              <w:left w:val="dotted" w:sz="4" w:space="0" w:color="auto"/>
              <w:bottom w:val="nil"/>
              <w:right w:val="single" w:sz="4" w:space="0" w:color="auto"/>
            </w:tcBorders>
            <w:noWrap/>
            <w:hideMark/>
          </w:tcPr>
          <w:p w14:paraId="7C1015E6"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54,370</w:t>
            </w:r>
          </w:p>
        </w:tc>
        <w:tc>
          <w:tcPr>
            <w:tcW w:w="554" w:type="pct"/>
            <w:tcBorders>
              <w:left w:val="single" w:sz="4" w:space="0" w:color="auto"/>
            </w:tcBorders>
            <w:noWrap/>
            <w:hideMark/>
          </w:tcPr>
          <w:p w14:paraId="10251803"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145,950</w:t>
            </w:r>
          </w:p>
        </w:tc>
      </w:tr>
      <w:tr w:rsidR="00BC498F" w:rsidRPr="00DA212E" w14:paraId="29CD3330"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26" w:type="pct"/>
            <w:shd w:val="clear" w:color="auto" w:fill="auto"/>
            <w:noWrap/>
            <w:hideMark/>
          </w:tcPr>
          <w:p w14:paraId="5A3CF428" w14:textId="77777777" w:rsidR="00BC498F" w:rsidRPr="00DA212E" w:rsidRDefault="00BC498F" w:rsidP="00BA7353">
            <w:pPr>
              <w:spacing w:after="0" w:line="240" w:lineRule="auto"/>
              <w:rPr>
                <w:rFonts w:eastAsia="Times New Roman" w:cs="Arial"/>
                <w:color w:val="000000"/>
                <w:sz w:val="20"/>
                <w:szCs w:val="20"/>
                <w:lang w:eastAsia="en-AU"/>
              </w:rPr>
            </w:pPr>
            <w:r w:rsidRPr="00DA212E">
              <w:rPr>
                <w:rFonts w:eastAsia="Times New Roman" w:cs="Arial"/>
                <w:color w:val="000000"/>
                <w:sz w:val="20"/>
                <w:szCs w:val="20"/>
                <w:lang w:eastAsia="en-AU"/>
              </w:rPr>
              <w:t>Variance to baseline ($m)</w:t>
            </w:r>
          </w:p>
        </w:tc>
        <w:tc>
          <w:tcPr>
            <w:tcW w:w="703" w:type="pct"/>
            <w:shd w:val="clear" w:color="auto" w:fill="auto"/>
            <w:noWrap/>
            <w:hideMark/>
          </w:tcPr>
          <w:p w14:paraId="6F6F8F40"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0</w:t>
            </w:r>
          </w:p>
        </w:tc>
        <w:tc>
          <w:tcPr>
            <w:tcW w:w="554" w:type="pct"/>
            <w:shd w:val="clear" w:color="auto" w:fill="auto"/>
            <w:noWrap/>
            <w:hideMark/>
          </w:tcPr>
          <w:p w14:paraId="25D77998"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0</w:t>
            </w:r>
          </w:p>
        </w:tc>
        <w:tc>
          <w:tcPr>
            <w:tcW w:w="554" w:type="pct"/>
            <w:shd w:val="clear" w:color="auto" w:fill="auto"/>
            <w:noWrap/>
            <w:hideMark/>
          </w:tcPr>
          <w:p w14:paraId="5660930F"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0</w:t>
            </w:r>
          </w:p>
        </w:tc>
        <w:tc>
          <w:tcPr>
            <w:tcW w:w="554" w:type="pct"/>
            <w:tcBorders>
              <w:right w:val="dotted" w:sz="4" w:space="0" w:color="auto"/>
            </w:tcBorders>
            <w:shd w:val="clear" w:color="auto" w:fill="auto"/>
            <w:noWrap/>
            <w:hideMark/>
          </w:tcPr>
          <w:p w14:paraId="51F6944B"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0</w:t>
            </w:r>
          </w:p>
        </w:tc>
        <w:tc>
          <w:tcPr>
            <w:tcW w:w="554" w:type="pct"/>
            <w:tcBorders>
              <w:top w:val="nil"/>
              <w:left w:val="dotted" w:sz="4" w:space="0" w:color="auto"/>
              <w:bottom w:val="nil"/>
              <w:right w:val="single" w:sz="4" w:space="0" w:color="auto"/>
            </w:tcBorders>
            <w:shd w:val="clear" w:color="auto" w:fill="auto"/>
            <w:noWrap/>
            <w:hideMark/>
          </w:tcPr>
          <w:p w14:paraId="7BA3E605"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0</w:t>
            </w:r>
          </w:p>
        </w:tc>
        <w:tc>
          <w:tcPr>
            <w:tcW w:w="554" w:type="pct"/>
            <w:tcBorders>
              <w:left w:val="single" w:sz="4" w:space="0" w:color="auto"/>
            </w:tcBorders>
            <w:shd w:val="clear" w:color="auto" w:fill="auto"/>
            <w:noWrap/>
            <w:hideMark/>
          </w:tcPr>
          <w:p w14:paraId="59BC59C8"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0</w:t>
            </w:r>
          </w:p>
        </w:tc>
      </w:tr>
      <w:tr w:rsidR="00BC498F" w:rsidRPr="00DA212E" w14:paraId="37BC65B9"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6" w:type="pct"/>
            <w:noWrap/>
            <w:hideMark/>
          </w:tcPr>
          <w:p w14:paraId="403170A2" w14:textId="77777777" w:rsidR="00BC498F" w:rsidRPr="00DA212E" w:rsidRDefault="00BC498F" w:rsidP="00BA7353">
            <w:pPr>
              <w:spacing w:after="0" w:line="240" w:lineRule="auto"/>
              <w:rPr>
                <w:rFonts w:eastAsia="Times New Roman" w:cs="Arial"/>
                <w:color w:val="000000"/>
                <w:sz w:val="20"/>
                <w:szCs w:val="20"/>
                <w:lang w:eastAsia="en-AU"/>
              </w:rPr>
            </w:pPr>
            <w:r w:rsidRPr="00DA212E">
              <w:rPr>
                <w:rFonts w:eastAsia="Times New Roman" w:cs="Arial"/>
                <w:color w:val="000000"/>
                <w:sz w:val="20"/>
                <w:szCs w:val="20"/>
                <w:lang w:eastAsia="en-AU"/>
              </w:rPr>
              <w:t>% variance to baseline</w:t>
            </w:r>
          </w:p>
        </w:tc>
        <w:tc>
          <w:tcPr>
            <w:tcW w:w="703" w:type="pct"/>
            <w:noWrap/>
            <w:hideMark/>
          </w:tcPr>
          <w:p w14:paraId="43BAD988"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0.0%</w:t>
            </w:r>
          </w:p>
        </w:tc>
        <w:tc>
          <w:tcPr>
            <w:tcW w:w="554" w:type="pct"/>
            <w:noWrap/>
            <w:hideMark/>
          </w:tcPr>
          <w:p w14:paraId="723818B6"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0.0%</w:t>
            </w:r>
          </w:p>
        </w:tc>
        <w:tc>
          <w:tcPr>
            <w:tcW w:w="554" w:type="pct"/>
            <w:noWrap/>
            <w:hideMark/>
          </w:tcPr>
          <w:p w14:paraId="6D18E3F1"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0.0%</w:t>
            </w:r>
          </w:p>
        </w:tc>
        <w:tc>
          <w:tcPr>
            <w:tcW w:w="554" w:type="pct"/>
            <w:tcBorders>
              <w:right w:val="dotted" w:sz="4" w:space="0" w:color="auto"/>
            </w:tcBorders>
            <w:noWrap/>
            <w:hideMark/>
          </w:tcPr>
          <w:p w14:paraId="6EED8F0E"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0.0%</w:t>
            </w:r>
          </w:p>
        </w:tc>
        <w:tc>
          <w:tcPr>
            <w:tcW w:w="554" w:type="pct"/>
            <w:tcBorders>
              <w:top w:val="nil"/>
              <w:left w:val="dotted" w:sz="4" w:space="0" w:color="auto"/>
              <w:bottom w:val="nil"/>
              <w:right w:val="single" w:sz="4" w:space="0" w:color="auto"/>
            </w:tcBorders>
            <w:noWrap/>
            <w:hideMark/>
          </w:tcPr>
          <w:p w14:paraId="2A960BB1"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0.0%</w:t>
            </w:r>
          </w:p>
        </w:tc>
        <w:tc>
          <w:tcPr>
            <w:tcW w:w="554" w:type="pct"/>
            <w:tcBorders>
              <w:left w:val="single" w:sz="4" w:space="0" w:color="auto"/>
            </w:tcBorders>
            <w:noWrap/>
            <w:hideMark/>
          </w:tcPr>
          <w:p w14:paraId="594B45AA"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0.0%</w:t>
            </w:r>
          </w:p>
        </w:tc>
      </w:tr>
      <w:tr w:rsidR="00BC498F" w:rsidRPr="00DA212E" w14:paraId="5E09979D"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26" w:type="pct"/>
            <w:shd w:val="clear" w:color="auto" w:fill="auto"/>
            <w:noWrap/>
            <w:hideMark/>
          </w:tcPr>
          <w:p w14:paraId="51973150" w14:textId="77777777" w:rsidR="00BC498F" w:rsidRPr="00DA212E" w:rsidRDefault="00BC498F" w:rsidP="00BA7353">
            <w:pPr>
              <w:spacing w:after="0" w:line="240" w:lineRule="auto"/>
              <w:rPr>
                <w:rFonts w:eastAsia="Times New Roman" w:cs="Arial"/>
                <w:b/>
                <w:bCs/>
                <w:i/>
                <w:iCs/>
                <w:color w:val="000000"/>
                <w:sz w:val="20"/>
                <w:szCs w:val="20"/>
                <w:lang w:eastAsia="en-AU"/>
              </w:rPr>
            </w:pPr>
            <w:r w:rsidRPr="00DA212E">
              <w:rPr>
                <w:rFonts w:eastAsia="Times New Roman" w:cs="Arial"/>
                <w:b/>
                <w:bCs/>
                <w:i/>
                <w:iCs/>
                <w:color w:val="000000"/>
                <w:sz w:val="20"/>
                <w:szCs w:val="20"/>
                <w:lang w:eastAsia="en-AU"/>
              </w:rPr>
              <w:t>New participants</w:t>
            </w:r>
          </w:p>
        </w:tc>
        <w:tc>
          <w:tcPr>
            <w:tcW w:w="703" w:type="pct"/>
            <w:shd w:val="clear" w:color="auto" w:fill="auto"/>
            <w:noWrap/>
            <w:hideMark/>
          </w:tcPr>
          <w:p w14:paraId="304BB25D"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554" w:type="pct"/>
            <w:shd w:val="clear" w:color="auto" w:fill="auto"/>
            <w:noWrap/>
            <w:hideMark/>
          </w:tcPr>
          <w:p w14:paraId="63066DA1"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554" w:type="pct"/>
            <w:shd w:val="clear" w:color="auto" w:fill="auto"/>
            <w:noWrap/>
            <w:hideMark/>
          </w:tcPr>
          <w:p w14:paraId="08A89D26"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554" w:type="pct"/>
            <w:tcBorders>
              <w:right w:val="dotted" w:sz="4" w:space="0" w:color="auto"/>
            </w:tcBorders>
            <w:shd w:val="clear" w:color="auto" w:fill="auto"/>
            <w:noWrap/>
            <w:hideMark/>
          </w:tcPr>
          <w:p w14:paraId="47A15E3F"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554" w:type="pct"/>
            <w:tcBorders>
              <w:top w:val="nil"/>
              <w:left w:val="dotted" w:sz="4" w:space="0" w:color="auto"/>
              <w:bottom w:val="nil"/>
              <w:right w:val="single" w:sz="4" w:space="0" w:color="auto"/>
            </w:tcBorders>
            <w:shd w:val="clear" w:color="auto" w:fill="auto"/>
            <w:noWrap/>
            <w:hideMark/>
          </w:tcPr>
          <w:p w14:paraId="14A96D82"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554" w:type="pct"/>
            <w:tcBorders>
              <w:left w:val="single" w:sz="4" w:space="0" w:color="auto"/>
            </w:tcBorders>
            <w:shd w:val="clear" w:color="auto" w:fill="auto"/>
            <w:noWrap/>
            <w:hideMark/>
          </w:tcPr>
          <w:p w14:paraId="42DAC6CE"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r>
      <w:tr w:rsidR="00BC498F" w:rsidRPr="00DA212E" w14:paraId="5E20CD29"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6" w:type="pct"/>
            <w:noWrap/>
            <w:hideMark/>
          </w:tcPr>
          <w:p w14:paraId="310A4684" w14:textId="77777777" w:rsidR="00BC498F" w:rsidRPr="00DA212E" w:rsidRDefault="00BC498F" w:rsidP="00BA7353">
            <w:pPr>
              <w:spacing w:after="0" w:line="240" w:lineRule="auto"/>
              <w:rPr>
                <w:rFonts w:eastAsia="Times New Roman" w:cs="Arial"/>
                <w:color w:val="000000"/>
                <w:sz w:val="20"/>
                <w:szCs w:val="20"/>
                <w:lang w:eastAsia="en-AU"/>
              </w:rPr>
            </w:pPr>
            <w:r w:rsidRPr="00DA212E">
              <w:rPr>
                <w:rFonts w:eastAsia="Times New Roman" w:cs="Arial"/>
                <w:color w:val="000000"/>
                <w:sz w:val="20"/>
                <w:szCs w:val="20"/>
                <w:lang w:eastAsia="en-AU"/>
              </w:rPr>
              <w:t>Scheme Expenses ($m)</w:t>
            </w:r>
          </w:p>
        </w:tc>
        <w:tc>
          <w:tcPr>
            <w:tcW w:w="703" w:type="pct"/>
            <w:noWrap/>
            <w:hideMark/>
          </w:tcPr>
          <w:p w14:paraId="723FFFAE"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1,123</w:t>
            </w:r>
          </w:p>
        </w:tc>
        <w:tc>
          <w:tcPr>
            <w:tcW w:w="554" w:type="pct"/>
            <w:noWrap/>
            <w:hideMark/>
          </w:tcPr>
          <w:p w14:paraId="1C40AC3A"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3,785</w:t>
            </w:r>
          </w:p>
        </w:tc>
        <w:tc>
          <w:tcPr>
            <w:tcW w:w="554" w:type="pct"/>
            <w:noWrap/>
            <w:hideMark/>
          </w:tcPr>
          <w:p w14:paraId="781BE3D7"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7,067</w:t>
            </w:r>
          </w:p>
        </w:tc>
        <w:tc>
          <w:tcPr>
            <w:tcW w:w="554" w:type="pct"/>
            <w:tcBorders>
              <w:right w:val="dotted" w:sz="4" w:space="0" w:color="auto"/>
            </w:tcBorders>
            <w:noWrap/>
            <w:hideMark/>
          </w:tcPr>
          <w:p w14:paraId="6100A6D7"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10,612</w:t>
            </w:r>
          </w:p>
        </w:tc>
        <w:tc>
          <w:tcPr>
            <w:tcW w:w="554" w:type="pct"/>
            <w:tcBorders>
              <w:top w:val="nil"/>
              <w:left w:val="dotted" w:sz="4" w:space="0" w:color="auto"/>
              <w:bottom w:val="nil"/>
              <w:right w:val="single" w:sz="4" w:space="0" w:color="auto"/>
            </w:tcBorders>
            <w:noWrap/>
            <w:hideMark/>
          </w:tcPr>
          <w:p w14:paraId="710D6A22"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38,008</w:t>
            </w:r>
          </w:p>
        </w:tc>
        <w:tc>
          <w:tcPr>
            <w:tcW w:w="554" w:type="pct"/>
            <w:tcBorders>
              <w:left w:val="single" w:sz="4" w:space="0" w:color="auto"/>
            </w:tcBorders>
            <w:noWrap/>
            <w:hideMark/>
          </w:tcPr>
          <w:p w14:paraId="2AAD8700"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22,588</w:t>
            </w:r>
          </w:p>
        </w:tc>
      </w:tr>
      <w:tr w:rsidR="00BC498F" w:rsidRPr="00DA212E" w14:paraId="6A357F78"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26" w:type="pct"/>
            <w:shd w:val="clear" w:color="auto" w:fill="auto"/>
            <w:noWrap/>
            <w:hideMark/>
          </w:tcPr>
          <w:p w14:paraId="2B6B86A5" w14:textId="77777777" w:rsidR="00BC498F" w:rsidRPr="00DA212E" w:rsidRDefault="00BC498F" w:rsidP="00BA7353">
            <w:pPr>
              <w:spacing w:after="0" w:line="240" w:lineRule="auto"/>
              <w:rPr>
                <w:rFonts w:eastAsia="Times New Roman" w:cs="Arial"/>
                <w:color w:val="000000"/>
                <w:sz w:val="20"/>
                <w:szCs w:val="20"/>
                <w:lang w:eastAsia="en-AU"/>
              </w:rPr>
            </w:pPr>
            <w:r w:rsidRPr="00DA212E">
              <w:rPr>
                <w:rFonts w:eastAsia="Times New Roman" w:cs="Arial"/>
                <w:color w:val="000000"/>
                <w:sz w:val="20"/>
                <w:szCs w:val="20"/>
                <w:lang w:eastAsia="en-AU"/>
              </w:rPr>
              <w:t>Variance to baseline ($m)</w:t>
            </w:r>
          </w:p>
        </w:tc>
        <w:tc>
          <w:tcPr>
            <w:tcW w:w="703" w:type="pct"/>
            <w:shd w:val="clear" w:color="auto" w:fill="auto"/>
            <w:noWrap/>
            <w:hideMark/>
          </w:tcPr>
          <w:p w14:paraId="57193F3B"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114</w:t>
            </w:r>
          </w:p>
        </w:tc>
        <w:tc>
          <w:tcPr>
            <w:tcW w:w="554" w:type="pct"/>
            <w:shd w:val="clear" w:color="auto" w:fill="auto"/>
            <w:noWrap/>
            <w:hideMark/>
          </w:tcPr>
          <w:p w14:paraId="7E9BABB9"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353</w:t>
            </w:r>
          </w:p>
        </w:tc>
        <w:tc>
          <w:tcPr>
            <w:tcW w:w="554" w:type="pct"/>
            <w:shd w:val="clear" w:color="auto" w:fill="auto"/>
            <w:noWrap/>
            <w:hideMark/>
          </w:tcPr>
          <w:p w14:paraId="3517CAA0"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613</w:t>
            </w:r>
          </w:p>
        </w:tc>
        <w:tc>
          <w:tcPr>
            <w:tcW w:w="554" w:type="pct"/>
            <w:tcBorders>
              <w:right w:val="dotted" w:sz="4" w:space="0" w:color="auto"/>
            </w:tcBorders>
            <w:shd w:val="clear" w:color="auto" w:fill="auto"/>
            <w:noWrap/>
            <w:hideMark/>
          </w:tcPr>
          <w:p w14:paraId="6CC51DAF"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889</w:t>
            </w:r>
          </w:p>
        </w:tc>
        <w:tc>
          <w:tcPr>
            <w:tcW w:w="554" w:type="pct"/>
            <w:tcBorders>
              <w:top w:val="nil"/>
              <w:left w:val="dotted" w:sz="4" w:space="0" w:color="auto"/>
              <w:bottom w:val="nil"/>
              <w:right w:val="single" w:sz="4" w:space="0" w:color="auto"/>
            </w:tcBorders>
            <w:shd w:val="clear" w:color="auto" w:fill="auto"/>
            <w:noWrap/>
            <w:hideMark/>
          </w:tcPr>
          <w:p w14:paraId="6110C04D"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2,976</w:t>
            </w:r>
          </w:p>
        </w:tc>
        <w:tc>
          <w:tcPr>
            <w:tcW w:w="554" w:type="pct"/>
            <w:tcBorders>
              <w:left w:val="single" w:sz="4" w:space="0" w:color="auto"/>
            </w:tcBorders>
            <w:shd w:val="clear" w:color="auto" w:fill="auto"/>
            <w:noWrap/>
            <w:hideMark/>
          </w:tcPr>
          <w:p w14:paraId="5AAE4262"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1,969</w:t>
            </w:r>
          </w:p>
        </w:tc>
      </w:tr>
      <w:tr w:rsidR="00BC498F" w:rsidRPr="00DA212E" w14:paraId="36A73335"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6" w:type="pct"/>
            <w:noWrap/>
            <w:hideMark/>
          </w:tcPr>
          <w:p w14:paraId="2167FE94" w14:textId="77777777" w:rsidR="00BC498F" w:rsidRPr="00DA212E" w:rsidRDefault="00BC498F" w:rsidP="00BA7353">
            <w:pPr>
              <w:spacing w:after="0" w:line="240" w:lineRule="auto"/>
              <w:rPr>
                <w:rFonts w:eastAsia="Times New Roman" w:cs="Arial"/>
                <w:color w:val="000000"/>
                <w:sz w:val="20"/>
                <w:szCs w:val="20"/>
                <w:lang w:eastAsia="en-AU"/>
              </w:rPr>
            </w:pPr>
            <w:r w:rsidRPr="00DA212E">
              <w:rPr>
                <w:rFonts w:eastAsia="Times New Roman" w:cs="Arial"/>
                <w:color w:val="000000"/>
                <w:sz w:val="20"/>
                <w:szCs w:val="20"/>
                <w:lang w:eastAsia="en-AU"/>
              </w:rPr>
              <w:t>% variance to baseline</w:t>
            </w:r>
          </w:p>
        </w:tc>
        <w:tc>
          <w:tcPr>
            <w:tcW w:w="703" w:type="pct"/>
            <w:noWrap/>
            <w:hideMark/>
          </w:tcPr>
          <w:p w14:paraId="2D9E4165"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11.3%</w:t>
            </w:r>
          </w:p>
        </w:tc>
        <w:tc>
          <w:tcPr>
            <w:tcW w:w="554" w:type="pct"/>
            <w:noWrap/>
            <w:hideMark/>
          </w:tcPr>
          <w:p w14:paraId="2B3F7A10"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10.3%</w:t>
            </w:r>
          </w:p>
        </w:tc>
        <w:tc>
          <w:tcPr>
            <w:tcW w:w="554" w:type="pct"/>
            <w:noWrap/>
            <w:hideMark/>
          </w:tcPr>
          <w:p w14:paraId="3D3A7E65"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9.5%</w:t>
            </w:r>
          </w:p>
        </w:tc>
        <w:tc>
          <w:tcPr>
            <w:tcW w:w="554" w:type="pct"/>
            <w:tcBorders>
              <w:right w:val="dotted" w:sz="4" w:space="0" w:color="auto"/>
            </w:tcBorders>
            <w:noWrap/>
            <w:hideMark/>
          </w:tcPr>
          <w:p w14:paraId="080FC695"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9.1%</w:t>
            </w:r>
          </w:p>
        </w:tc>
        <w:tc>
          <w:tcPr>
            <w:tcW w:w="554" w:type="pct"/>
            <w:tcBorders>
              <w:top w:val="nil"/>
              <w:left w:val="dotted" w:sz="4" w:space="0" w:color="auto"/>
              <w:bottom w:val="nil"/>
              <w:right w:val="single" w:sz="4" w:space="0" w:color="auto"/>
            </w:tcBorders>
            <w:noWrap/>
            <w:hideMark/>
          </w:tcPr>
          <w:p w14:paraId="6041E618"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8.5%</w:t>
            </w:r>
          </w:p>
        </w:tc>
        <w:tc>
          <w:tcPr>
            <w:tcW w:w="554" w:type="pct"/>
            <w:tcBorders>
              <w:left w:val="single" w:sz="4" w:space="0" w:color="auto"/>
            </w:tcBorders>
            <w:noWrap/>
            <w:hideMark/>
          </w:tcPr>
          <w:p w14:paraId="5B2507C0"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9.6%</w:t>
            </w:r>
          </w:p>
        </w:tc>
      </w:tr>
      <w:tr w:rsidR="00BC498F" w:rsidRPr="00DA212E" w14:paraId="68F70782"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26" w:type="pct"/>
            <w:shd w:val="clear" w:color="auto" w:fill="auto"/>
            <w:noWrap/>
            <w:hideMark/>
          </w:tcPr>
          <w:p w14:paraId="476445A8" w14:textId="77777777" w:rsidR="00BC498F" w:rsidRPr="00DA212E" w:rsidRDefault="00BC498F" w:rsidP="00BA7353">
            <w:pPr>
              <w:spacing w:after="0" w:line="240" w:lineRule="auto"/>
              <w:rPr>
                <w:rFonts w:eastAsia="Times New Roman" w:cs="Arial"/>
                <w:b/>
                <w:bCs/>
                <w:i/>
                <w:iCs/>
                <w:color w:val="000000"/>
                <w:sz w:val="20"/>
                <w:szCs w:val="20"/>
                <w:lang w:eastAsia="en-AU"/>
              </w:rPr>
            </w:pPr>
            <w:r w:rsidRPr="00DA212E">
              <w:rPr>
                <w:rFonts w:eastAsia="Times New Roman" w:cs="Arial"/>
                <w:b/>
                <w:bCs/>
                <w:i/>
                <w:iCs/>
                <w:color w:val="000000"/>
                <w:sz w:val="20"/>
                <w:szCs w:val="20"/>
                <w:lang w:eastAsia="en-AU"/>
              </w:rPr>
              <w:t>All projected participants</w:t>
            </w:r>
          </w:p>
        </w:tc>
        <w:tc>
          <w:tcPr>
            <w:tcW w:w="703" w:type="pct"/>
            <w:shd w:val="clear" w:color="auto" w:fill="auto"/>
            <w:noWrap/>
            <w:hideMark/>
          </w:tcPr>
          <w:p w14:paraId="6CD109DB"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554" w:type="pct"/>
            <w:shd w:val="clear" w:color="auto" w:fill="auto"/>
            <w:noWrap/>
            <w:hideMark/>
          </w:tcPr>
          <w:p w14:paraId="2A740FDF"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554" w:type="pct"/>
            <w:shd w:val="clear" w:color="auto" w:fill="auto"/>
            <w:noWrap/>
            <w:hideMark/>
          </w:tcPr>
          <w:p w14:paraId="4191947C"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554" w:type="pct"/>
            <w:tcBorders>
              <w:right w:val="dotted" w:sz="4" w:space="0" w:color="auto"/>
            </w:tcBorders>
            <w:shd w:val="clear" w:color="auto" w:fill="auto"/>
            <w:noWrap/>
            <w:hideMark/>
          </w:tcPr>
          <w:p w14:paraId="08FA34EA"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554" w:type="pct"/>
            <w:tcBorders>
              <w:top w:val="nil"/>
              <w:left w:val="dotted" w:sz="4" w:space="0" w:color="auto"/>
              <w:bottom w:val="nil"/>
              <w:right w:val="single" w:sz="4" w:space="0" w:color="auto"/>
            </w:tcBorders>
            <w:shd w:val="clear" w:color="auto" w:fill="auto"/>
            <w:noWrap/>
            <w:hideMark/>
          </w:tcPr>
          <w:p w14:paraId="01CC9CA6"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c>
          <w:tcPr>
            <w:tcW w:w="554" w:type="pct"/>
            <w:tcBorders>
              <w:left w:val="single" w:sz="4" w:space="0" w:color="auto"/>
            </w:tcBorders>
            <w:shd w:val="clear" w:color="auto" w:fill="auto"/>
            <w:noWrap/>
            <w:hideMark/>
          </w:tcPr>
          <w:p w14:paraId="21A24328"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 </w:t>
            </w:r>
          </w:p>
        </w:tc>
      </w:tr>
      <w:tr w:rsidR="00BC498F" w:rsidRPr="00DA212E" w14:paraId="4B83F402"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6" w:type="pct"/>
            <w:noWrap/>
            <w:hideMark/>
          </w:tcPr>
          <w:p w14:paraId="67E7FCFC" w14:textId="77777777" w:rsidR="00BC498F" w:rsidRPr="00DA212E" w:rsidRDefault="00BC498F" w:rsidP="00BA7353">
            <w:pPr>
              <w:spacing w:after="0" w:line="240" w:lineRule="auto"/>
              <w:rPr>
                <w:rFonts w:eastAsia="Times New Roman" w:cs="Arial"/>
                <w:color w:val="000000"/>
                <w:sz w:val="20"/>
                <w:szCs w:val="20"/>
                <w:lang w:eastAsia="en-AU"/>
              </w:rPr>
            </w:pPr>
            <w:r w:rsidRPr="00DA212E">
              <w:rPr>
                <w:rFonts w:eastAsia="Times New Roman" w:cs="Arial"/>
                <w:color w:val="000000"/>
                <w:sz w:val="20"/>
                <w:szCs w:val="20"/>
                <w:lang w:eastAsia="en-AU"/>
              </w:rPr>
              <w:t>Scheme Expenses ($m)</w:t>
            </w:r>
          </w:p>
        </w:tc>
        <w:tc>
          <w:tcPr>
            <w:tcW w:w="703" w:type="pct"/>
            <w:noWrap/>
            <w:hideMark/>
          </w:tcPr>
          <w:p w14:paraId="49E14BED"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34,091</w:t>
            </w:r>
          </w:p>
        </w:tc>
        <w:tc>
          <w:tcPr>
            <w:tcW w:w="554" w:type="pct"/>
            <w:noWrap/>
            <w:hideMark/>
          </w:tcPr>
          <w:p w14:paraId="632AB104"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38,486</w:t>
            </w:r>
          </w:p>
        </w:tc>
        <w:tc>
          <w:tcPr>
            <w:tcW w:w="554" w:type="pct"/>
            <w:noWrap/>
            <w:hideMark/>
          </w:tcPr>
          <w:p w14:paraId="77D5D232"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44,728</w:t>
            </w:r>
          </w:p>
        </w:tc>
        <w:tc>
          <w:tcPr>
            <w:tcW w:w="554" w:type="pct"/>
            <w:tcBorders>
              <w:right w:val="dotted" w:sz="4" w:space="0" w:color="auto"/>
            </w:tcBorders>
            <w:noWrap/>
            <w:hideMark/>
          </w:tcPr>
          <w:p w14:paraId="60EDD002"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51,233</w:t>
            </w:r>
          </w:p>
        </w:tc>
        <w:tc>
          <w:tcPr>
            <w:tcW w:w="554" w:type="pct"/>
            <w:tcBorders>
              <w:top w:val="nil"/>
              <w:left w:val="dotted" w:sz="4" w:space="0" w:color="auto"/>
              <w:bottom w:val="nil"/>
              <w:right w:val="single" w:sz="4" w:space="0" w:color="auto"/>
            </w:tcBorders>
            <w:noWrap/>
            <w:hideMark/>
          </w:tcPr>
          <w:p w14:paraId="1E51C2B5"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92,378</w:t>
            </w:r>
          </w:p>
        </w:tc>
        <w:tc>
          <w:tcPr>
            <w:tcW w:w="554" w:type="pct"/>
            <w:tcBorders>
              <w:left w:val="single" w:sz="4" w:space="0" w:color="auto"/>
            </w:tcBorders>
            <w:noWrap/>
            <w:hideMark/>
          </w:tcPr>
          <w:p w14:paraId="41A75566"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168,538</w:t>
            </w:r>
          </w:p>
        </w:tc>
      </w:tr>
      <w:tr w:rsidR="00BC498F" w:rsidRPr="00DA212E" w14:paraId="3809224E"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26" w:type="pct"/>
            <w:shd w:val="clear" w:color="auto" w:fill="auto"/>
            <w:noWrap/>
            <w:hideMark/>
          </w:tcPr>
          <w:p w14:paraId="2034D548" w14:textId="77777777" w:rsidR="00BC498F" w:rsidRPr="00DA212E" w:rsidRDefault="00BC498F" w:rsidP="00BA7353">
            <w:pPr>
              <w:spacing w:after="0" w:line="240" w:lineRule="auto"/>
              <w:rPr>
                <w:rFonts w:eastAsia="Times New Roman" w:cs="Arial"/>
                <w:color w:val="000000"/>
                <w:sz w:val="20"/>
                <w:szCs w:val="20"/>
                <w:lang w:eastAsia="en-AU"/>
              </w:rPr>
            </w:pPr>
            <w:r w:rsidRPr="00DA212E">
              <w:rPr>
                <w:rFonts w:eastAsia="Times New Roman" w:cs="Arial"/>
                <w:color w:val="000000"/>
                <w:sz w:val="20"/>
                <w:szCs w:val="20"/>
                <w:lang w:eastAsia="en-AU"/>
              </w:rPr>
              <w:t>Variance to baseline ($m)</w:t>
            </w:r>
          </w:p>
        </w:tc>
        <w:tc>
          <w:tcPr>
            <w:tcW w:w="703" w:type="pct"/>
            <w:shd w:val="clear" w:color="auto" w:fill="auto"/>
            <w:noWrap/>
            <w:hideMark/>
          </w:tcPr>
          <w:p w14:paraId="25E6FBDB"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114</w:t>
            </w:r>
          </w:p>
        </w:tc>
        <w:tc>
          <w:tcPr>
            <w:tcW w:w="554" w:type="pct"/>
            <w:shd w:val="clear" w:color="auto" w:fill="auto"/>
            <w:noWrap/>
            <w:hideMark/>
          </w:tcPr>
          <w:p w14:paraId="2958CC17"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353</w:t>
            </w:r>
          </w:p>
        </w:tc>
        <w:tc>
          <w:tcPr>
            <w:tcW w:w="554" w:type="pct"/>
            <w:shd w:val="clear" w:color="auto" w:fill="auto"/>
            <w:noWrap/>
            <w:hideMark/>
          </w:tcPr>
          <w:p w14:paraId="4E9A456D"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613</w:t>
            </w:r>
          </w:p>
        </w:tc>
        <w:tc>
          <w:tcPr>
            <w:tcW w:w="554" w:type="pct"/>
            <w:tcBorders>
              <w:right w:val="dotted" w:sz="4" w:space="0" w:color="auto"/>
            </w:tcBorders>
            <w:shd w:val="clear" w:color="auto" w:fill="auto"/>
            <w:noWrap/>
            <w:hideMark/>
          </w:tcPr>
          <w:p w14:paraId="0F6653D9"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889</w:t>
            </w:r>
          </w:p>
        </w:tc>
        <w:tc>
          <w:tcPr>
            <w:tcW w:w="554" w:type="pct"/>
            <w:tcBorders>
              <w:top w:val="nil"/>
              <w:left w:val="dotted" w:sz="4" w:space="0" w:color="auto"/>
              <w:bottom w:val="nil"/>
              <w:right w:val="single" w:sz="4" w:space="0" w:color="auto"/>
            </w:tcBorders>
            <w:shd w:val="clear" w:color="auto" w:fill="auto"/>
            <w:noWrap/>
            <w:hideMark/>
          </w:tcPr>
          <w:p w14:paraId="63AB58DD"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2,976</w:t>
            </w:r>
          </w:p>
        </w:tc>
        <w:tc>
          <w:tcPr>
            <w:tcW w:w="554" w:type="pct"/>
            <w:tcBorders>
              <w:left w:val="single" w:sz="4" w:space="0" w:color="auto"/>
            </w:tcBorders>
            <w:shd w:val="clear" w:color="auto" w:fill="auto"/>
            <w:noWrap/>
            <w:hideMark/>
          </w:tcPr>
          <w:p w14:paraId="3F7CF67E" w14:textId="77777777" w:rsidR="00BC498F" w:rsidRPr="00DA212E"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1,969</w:t>
            </w:r>
          </w:p>
        </w:tc>
      </w:tr>
      <w:tr w:rsidR="00BC498F" w:rsidRPr="00DA212E" w14:paraId="3622CD72"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26" w:type="pct"/>
            <w:noWrap/>
            <w:hideMark/>
          </w:tcPr>
          <w:p w14:paraId="5175DEB4" w14:textId="77777777" w:rsidR="00BC498F" w:rsidRPr="00DA212E" w:rsidRDefault="00BC498F" w:rsidP="00BA7353">
            <w:pPr>
              <w:spacing w:after="0" w:line="240" w:lineRule="auto"/>
              <w:rPr>
                <w:rFonts w:eastAsia="Times New Roman" w:cs="Arial"/>
                <w:color w:val="000000"/>
                <w:sz w:val="20"/>
                <w:szCs w:val="20"/>
                <w:lang w:eastAsia="en-AU"/>
              </w:rPr>
            </w:pPr>
            <w:r w:rsidRPr="00DA212E">
              <w:rPr>
                <w:rFonts w:eastAsia="Times New Roman" w:cs="Arial"/>
                <w:color w:val="000000"/>
                <w:sz w:val="20"/>
                <w:szCs w:val="20"/>
                <w:lang w:eastAsia="en-AU"/>
              </w:rPr>
              <w:t>% variance to baseline</w:t>
            </w:r>
          </w:p>
        </w:tc>
        <w:tc>
          <w:tcPr>
            <w:tcW w:w="703" w:type="pct"/>
            <w:noWrap/>
            <w:hideMark/>
          </w:tcPr>
          <w:p w14:paraId="31ED8D76"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0.3%</w:t>
            </w:r>
          </w:p>
        </w:tc>
        <w:tc>
          <w:tcPr>
            <w:tcW w:w="554" w:type="pct"/>
            <w:noWrap/>
            <w:hideMark/>
          </w:tcPr>
          <w:p w14:paraId="0158BB31"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0.9%</w:t>
            </w:r>
          </w:p>
        </w:tc>
        <w:tc>
          <w:tcPr>
            <w:tcW w:w="554" w:type="pct"/>
            <w:noWrap/>
            <w:hideMark/>
          </w:tcPr>
          <w:p w14:paraId="4411F9AD"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1.4%</w:t>
            </w:r>
          </w:p>
        </w:tc>
        <w:tc>
          <w:tcPr>
            <w:tcW w:w="554" w:type="pct"/>
            <w:tcBorders>
              <w:right w:val="dotted" w:sz="4" w:space="0" w:color="auto"/>
            </w:tcBorders>
            <w:noWrap/>
            <w:hideMark/>
          </w:tcPr>
          <w:p w14:paraId="00A44881"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1.8%</w:t>
            </w:r>
          </w:p>
        </w:tc>
        <w:tc>
          <w:tcPr>
            <w:tcW w:w="554" w:type="pct"/>
            <w:tcBorders>
              <w:top w:val="nil"/>
              <w:left w:val="dotted" w:sz="4" w:space="0" w:color="auto"/>
              <w:bottom w:val="single" w:sz="4" w:space="0" w:color="auto"/>
              <w:right w:val="single" w:sz="4" w:space="0" w:color="auto"/>
            </w:tcBorders>
            <w:noWrap/>
            <w:hideMark/>
          </w:tcPr>
          <w:p w14:paraId="397E35F6"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3.3%</w:t>
            </w:r>
          </w:p>
        </w:tc>
        <w:tc>
          <w:tcPr>
            <w:tcW w:w="554" w:type="pct"/>
            <w:tcBorders>
              <w:left w:val="single" w:sz="4" w:space="0" w:color="auto"/>
              <w:bottom w:val="single" w:sz="4" w:space="0" w:color="auto"/>
            </w:tcBorders>
            <w:noWrap/>
            <w:hideMark/>
          </w:tcPr>
          <w:p w14:paraId="39E8E194" w14:textId="77777777" w:rsidR="00BC498F" w:rsidRPr="00DA212E"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DA212E">
              <w:rPr>
                <w:rFonts w:eastAsia="Times New Roman" w:cs="Arial"/>
                <w:color w:val="000000"/>
                <w:sz w:val="20"/>
                <w:szCs w:val="20"/>
                <w:lang w:eastAsia="en-AU"/>
              </w:rPr>
              <w:t>1.2%</w:t>
            </w:r>
          </w:p>
        </w:tc>
      </w:tr>
    </w:tbl>
    <w:p w14:paraId="703070B8" w14:textId="77777777" w:rsidR="00BC498F" w:rsidRDefault="00BC498F" w:rsidP="00BC498F">
      <w:pPr>
        <w:pStyle w:val="FSRHeading4"/>
      </w:pPr>
      <w:r>
        <w:t>Scenarios relating to inflation</w:t>
      </w:r>
    </w:p>
    <w:p w14:paraId="0D6128AD" w14:textId="77777777" w:rsidR="00BC498F" w:rsidRDefault="00BC498F" w:rsidP="00BC498F">
      <w:pPr>
        <w:pStyle w:val="FSRnormal"/>
      </w:pPr>
      <w:r>
        <w:t xml:space="preserve">The </w:t>
      </w:r>
      <w:r w:rsidRPr="00F340CE">
        <w:t xml:space="preserve">average payments per participant have grown at rates substantially exceeding normal inflation for several years, and there is uncertainty as to whether the drivers of lower inflation in 2021-22 will continue in 2022-23 and beyond. </w:t>
      </w:r>
      <w:r>
        <w:t xml:space="preserve">Additional </w:t>
      </w:r>
      <w:r w:rsidRPr="00F340CE">
        <w:t xml:space="preserve">inflation of </w:t>
      </w:r>
      <w:r>
        <w:t xml:space="preserve">average </w:t>
      </w:r>
      <w:r w:rsidRPr="00F340CE">
        <w:t xml:space="preserve">participant </w:t>
      </w:r>
      <w:r>
        <w:t xml:space="preserve">payments </w:t>
      </w:r>
      <w:r w:rsidRPr="00F340CE">
        <w:t xml:space="preserve">can be attributed to plan budget inflation or increased utilisation. Plan budget inflation remains above normal inflation, although there has been a shift from ‘interplan’ (plan to plan) inflation to ‘intraplan’ inflation in recent periods. Utilisation of participant plans has increased in 2021-22 compared with previous years, but any further increases are likely to be constrained to the extent that workforce shortages continue beyond 2021-22. The factors impacting </w:t>
      </w:r>
      <w:r>
        <w:t>additional</w:t>
      </w:r>
      <w:r w:rsidRPr="00F340CE">
        <w:t xml:space="preserve"> inflation are varied and whilst some of the pressures giving rise to past increases would not be expected to continue indefinitely, others have become more prominent recently. Hence past rates of inflation do not provide definitive guidance regarding likely future rates of inflation.</w:t>
      </w:r>
    </w:p>
    <w:p w14:paraId="636222A1" w14:textId="77777777" w:rsidR="00BC498F" w:rsidRDefault="00BC498F" w:rsidP="00BC498F">
      <w:pPr>
        <w:pStyle w:val="FSRnormal"/>
      </w:pPr>
      <w:r>
        <w:t xml:space="preserve">In relation to normal inflation, </w:t>
      </w:r>
      <w:r w:rsidRPr="00F340CE">
        <w:t>during 2021-22 a higher inflationary environment has emerged in Australia and globally. Economic forecasts of CPI and wage inflation have been revised upwards for the short to medium term. However, the degree to which inflationary pressures will remain is uncertain, as is the extent to which policy initiatives by the Australian government and the Reserve Bank of Australia will be effective at controlling future inflation.</w:t>
      </w:r>
    </w:p>
    <w:p w14:paraId="46D753A7" w14:textId="77777777" w:rsidR="00BC498F" w:rsidRPr="004C288B" w:rsidRDefault="00BC498F" w:rsidP="00BC498F">
      <w:pPr>
        <w:pStyle w:val="FSRnormal"/>
        <w:rPr>
          <w:iCs/>
        </w:rPr>
      </w:pPr>
      <w:r>
        <w:t xml:space="preserve">To quantify the inherent uncertainty with future inflation the following scenarios were considered.  </w:t>
      </w:r>
    </w:p>
    <w:p w14:paraId="4DB10D5A" w14:textId="77777777" w:rsidR="00BC498F" w:rsidRDefault="00BC498F" w:rsidP="00BC498F">
      <w:pPr>
        <w:pStyle w:val="FSRHeading5"/>
      </w:pPr>
      <w:r>
        <w:lastRenderedPageBreak/>
        <w:t>Scenario: Lower additional inflation</w:t>
      </w:r>
    </w:p>
    <w:p w14:paraId="1C5A0DD0" w14:textId="77777777" w:rsidR="00BC498F" w:rsidRDefault="00BC498F" w:rsidP="00BC498F">
      <w:pPr>
        <w:pStyle w:val="FSRnormal"/>
      </w:pPr>
      <w:r>
        <w:t xml:space="preserve">The following scenario assumes a reduction of assumed additional inflation of 2-3% per annum in 2024-25 and 2025-26, and a reduction of the long-term rate from 2% to 1% per annum. This reduces </w:t>
      </w:r>
      <w:r w:rsidR="008B69C2">
        <w:t>Scheme expenses</w:t>
      </w:r>
      <w:r>
        <w:t xml:space="preserve"> by $2.4 billion in 2025-26 and $6.9 billion in 2031-32.</w:t>
      </w:r>
    </w:p>
    <w:p w14:paraId="45D0AF6A" w14:textId="77777777" w:rsidR="00C70A4C" w:rsidRPr="00B564B6" w:rsidRDefault="00C70A4C" w:rsidP="00C70A4C">
      <w:pPr>
        <w:pStyle w:val="Tables"/>
        <w:rPr>
          <w:rStyle w:val="FSRnormalChar"/>
          <w:b w:val="0"/>
        </w:rPr>
      </w:pPr>
      <w:r>
        <w:t xml:space="preserve">Table </w:t>
      </w:r>
      <w:fldSimple w:instr=" STYLEREF 2 \s ">
        <w:r w:rsidR="00A87896">
          <w:rPr>
            <w:noProof/>
          </w:rPr>
          <w:t>6</w:t>
        </w:r>
      </w:fldSimple>
      <w:r w:rsidR="00A87896">
        <w:t>.</w:t>
      </w:r>
      <w:fldSimple w:instr=" SEQ Table \* ARABIC \s 2 ">
        <w:r w:rsidR="00A87896">
          <w:rPr>
            <w:noProof/>
          </w:rPr>
          <w:t>11</w:t>
        </w:r>
      </w:fldSimple>
      <w:r w:rsidRPr="004C288B">
        <w:t xml:space="preserve">: Scenario results </w:t>
      </w:r>
      <w:r>
        <w:t>–</w:t>
      </w:r>
      <w:r w:rsidRPr="004C288B">
        <w:t xml:space="preserve"> </w:t>
      </w:r>
      <w:r>
        <w:t>Lower additional inflation</w:t>
      </w:r>
    </w:p>
    <w:tbl>
      <w:tblPr>
        <w:tblStyle w:val="FSRtable"/>
        <w:tblW w:w="4671" w:type="pct"/>
        <w:tblInd w:w="5" w:type="dxa"/>
        <w:tblLook w:val="04A0" w:firstRow="1" w:lastRow="0" w:firstColumn="1" w:lastColumn="0" w:noHBand="0" w:noVBand="1"/>
      </w:tblPr>
      <w:tblGrid>
        <w:gridCol w:w="2620"/>
        <w:gridCol w:w="1057"/>
        <w:gridCol w:w="951"/>
        <w:gridCol w:w="951"/>
        <w:gridCol w:w="951"/>
        <w:gridCol w:w="951"/>
        <w:gridCol w:w="951"/>
      </w:tblGrid>
      <w:tr w:rsidR="00BC498F" w:rsidRPr="00C70A4C" w14:paraId="3AD402F7"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53" w:type="pct"/>
            <w:noWrap/>
            <w:hideMark/>
          </w:tcPr>
          <w:p w14:paraId="71E660F4" w14:textId="77777777" w:rsidR="00BC498F" w:rsidRPr="00C70A4C" w:rsidRDefault="00BC498F" w:rsidP="00BA7353">
            <w:pPr>
              <w:spacing w:after="0" w:line="240" w:lineRule="auto"/>
              <w:rPr>
                <w:rFonts w:eastAsia="Times New Roman"/>
                <w:color w:val="FFFFFF"/>
                <w:sz w:val="20"/>
                <w:szCs w:val="20"/>
                <w:lang w:eastAsia="en-AU"/>
              </w:rPr>
            </w:pPr>
            <w:r w:rsidRPr="00C70A4C">
              <w:rPr>
                <w:rFonts w:eastAsia="Times New Roman"/>
                <w:color w:val="FFFFFF"/>
                <w:sz w:val="20"/>
                <w:szCs w:val="20"/>
                <w:lang w:eastAsia="en-AU"/>
              </w:rPr>
              <w:t> </w:t>
            </w:r>
          </w:p>
        </w:tc>
        <w:tc>
          <w:tcPr>
            <w:tcW w:w="2319" w:type="pct"/>
            <w:gridSpan w:val="4"/>
            <w:tcBorders>
              <w:top w:val="single" w:sz="4" w:space="0" w:color="auto"/>
              <w:bottom w:val="single" w:sz="4" w:space="0" w:color="FFFFFF" w:themeColor="background1"/>
            </w:tcBorders>
            <w:noWrap/>
            <w:hideMark/>
          </w:tcPr>
          <w:p w14:paraId="2E225C9D" w14:textId="77777777" w:rsidR="00BC498F" w:rsidRPr="00DA3F73"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C70A4C">
              <w:rPr>
                <w:rFonts w:eastAsia="Times New Roman"/>
                <w:bCs/>
                <w:color w:val="FFFFFF"/>
                <w:sz w:val="20"/>
                <w:szCs w:val="20"/>
                <w:lang w:eastAsia="en-AU"/>
              </w:rPr>
              <w:t>Projection Year</w:t>
            </w:r>
          </w:p>
        </w:tc>
        <w:tc>
          <w:tcPr>
            <w:tcW w:w="564" w:type="pct"/>
            <w:tcBorders>
              <w:top w:val="single" w:sz="4" w:space="0" w:color="auto"/>
              <w:bottom w:val="single" w:sz="4" w:space="0" w:color="FFFFFF" w:themeColor="background1"/>
              <w:right w:val="single" w:sz="4" w:space="0" w:color="auto"/>
            </w:tcBorders>
            <w:noWrap/>
            <w:hideMark/>
          </w:tcPr>
          <w:p w14:paraId="7747C321" w14:textId="77777777" w:rsidR="00BC498F" w:rsidRPr="00DA3F73"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C70A4C">
              <w:rPr>
                <w:rFonts w:eastAsia="Times New Roman"/>
                <w:bCs/>
                <w:color w:val="FFFFFF"/>
                <w:sz w:val="20"/>
                <w:szCs w:val="20"/>
                <w:lang w:eastAsia="en-AU"/>
              </w:rPr>
              <w:t> </w:t>
            </w:r>
          </w:p>
        </w:tc>
        <w:tc>
          <w:tcPr>
            <w:tcW w:w="564" w:type="pct"/>
            <w:tcBorders>
              <w:top w:val="single" w:sz="4" w:space="0" w:color="auto"/>
              <w:left w:val="single" w:sz="4" w:space="0" w:color="auto"/>
              <w:bottom w:val="single" w:sz="4" w:space="0" w:color="FFFFFF" w:themeColor="background1"/>
            </w:tcBorders>
            <w:noWrap/>
            <w:hideMark/>
          </w:tcPr>
          <w:p w14:paraId="1715CFDD" w14:textId="77777777" w:rsidR="00BC498F" w:rsidRPr="00DA3F73"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C70A4C">
              <w:rPr>
                <w:rFonts w:eastAsia="Times New Roman"/>
                <w:bCs/>
                <w:color w:val="FFFFFF"/>
                <w:sz w:val="20"/>
                <w:szCs w:val="20"/>
                <w:lang w:eastAsia="en-AU"/>
              </w:rPr>
              <w:t>Total</w:t>
            </w:r>
          </w:p>
        </w:tc>
      </w:tr>
      <w:tr w:rsidR="00BC498F" w:rsidRPr="00191697" w14:paraId="15E7C290"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53" w:type="pct"/>
            <w:noWrap/>
            <w:hideMark/>
          </w:tcPr>
          <w:p w14:paraId="7282819D" w14:textId="77777777" w:rsidR="00BC498F" w:rsidRPr="00191697" w:rsidRDefault="00BC498F" w:rsidP="00BA7353">
            <w:pPr>
              <w:spacing w:after="0" w:line="240" w:lineRule="auto"/>
              <w:rPr>
                <w:rFonts w:eastAsia="Times New Roman"/>
                <w:color w:val="FFFFFF"/>
                <w:sz w:val="20"/>
                <w:szCs w:val="20"/>
                <w:lang w:eastAsia="en-AU"/>
              </w:rPr>
            </w:pPr>
            <w:r w:rsidRPr="00191697">
              <w:rPr>
                <w:rFonts w:eastAsia="Times New Roman"/>
                <w:color w:val="FFFFFF"/>
                <w:sz w:val="20"/>
                <w:szCs w:val="20"/>
                <w:lang w:eastAsia="en-AU"/>
              </w:rPr>
              <w:t> </w:t>
            </w:r>
          </w:p>
        </w:tc>
        <w:tc>
          <w:tcPr>
            <w:tcW w:w="627" w:type="pct"/>
            <w:tcBorders>
              <w:top w:val="single" w:sz="4" w:space="0" w:color="FFFFFF" w:themeColor="background1"/>
            </w:tcBorders>
            <w:noWrap/>
            <w:hideMark/>
          </w:tcPr>
          <w:p w14:paraId="13B3539B"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2022-23</w:t>
            </w:r>
          </w:p>
        </w:tc>
        <w:tc>
          <w:tcPr>
            <w:tcW w:w="564" w:type="pct"/>
            <w:tcBorders>
              <w:top w:val="single" w:sz="4" w:space="0" w:color="FFFFFF" w:themeColor="background1"/>
            </w:tcBorders>
            <w:noWrap/>
            <w:hideMark/>
          </w:tcPr>
          <w:p w14:paraId="619B269E"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2023-24</w:t>
            </w:r>
          </w:p>
        </w:tc>
        <w:tc>
          <w:tcPr>
            <w:tcW w:w="564" w:type="pct"/>
            <w:tcBorders>
              <w:top w:val="single" w:sz="4" w:space="0" w:color="FFFFFF" w:themeColor="background1"/>
            </w:tcBorders>
            <w:noWrap/>
            <w:hideMark/>
          </w:tcPr>
          <w:p w14:paraId="182555EA"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2024-25</w:t>
            </w:r>
          </w:p>
        </w:tc>
        <w:tc>
          <w:tcPr>
            <w:tcW w:w="564" w:type="pct"/>
            <w:tcBorders>
              <w:top w:val="single" w:sz="4" w:space="0" w:color="FFFFFF" w:themeColor="background1"/>
              <w:right w:val="dotted" w:sz="4" w:space="0" w:color="auto"/>
            </w:tcBorders>
            <w:noWrap/>
            <w:hideMark/>
          </w:tcPr>
          <w:p w14:paraId="6B5DB5AA"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2025-26</w:t>
            </w:r>
          </w:p>
        </w:tc>
        <w:tc>
          <w:tcPr>
            <w:tcW w:w="564" w:type="pct"/>
            <w:tcBorders>
              <w:top w:val="single" w:sz="4" w:space="0" w:color="FFFFFF" w:themeColor="background1"/>
              <w:left w:val="dotted" w:sz="4" w:space="0" w:color="auto"/>
              <w:bottom w:val="nil"/>
              <w:right w:val="single" w:sz="4" w:space="0" w:color="auto"/>
            </w:tcBorders>
            <w:noWrap/>
            <w:hideMark/>
          </w:tcPr>
          <w:p w14:paraId="050F3BCA"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2031-32</w:t>
            </w:r>
          </w:p>
        </w:tc>
        <w:tc>
          <w:tcPr>
            <w:tcW w:w="564" w:type="pct"/>
            <w:tcBorders>
              <w:top w:val="single" w:sz="4" w:space="0" w:color="FFFFFF" w:themeColor="background1"/>
              <w:left w:val="single" w:sz="4" w:space="0" w:color="auto"/>
              <w:bottom w:val="nil"/>
            </w:tcBorders>
            <w:noWrap/>
            <w:hideMark/>
          </w:tcPr>
          <w:p w14:paraId="34755FC4" w14:textId="77777777" w:rsidR="00BC498F" w:rsidRPr="00191697"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2022-26</w:t>
            </w:r>
          </w:p>
        </w:tc>
      </w:tr>
      <w:tr w:rsidR="00BC498F" w:rsidRPr="00C70A4C" w14:paraId="3E6F0829"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53" w:type="pct"/>
            <w:shd w:val="clear" w:color="auto" w:fill="auto"/>
            <w:noWrap/>
            <w:hideMark/>
          </w:tcPr>
          <w:p w14:paraId="771FD86A" w14:textId="77777777" w:rsidR="00BC498F" w:rsidRPr="00C70A4C" w:rsidRDefault="00BC498F" w:rsidP="00BA7353">
            <w:pPr>
              <w:spacing w:after="0" w:line="240" w:lineRule="auto"/>
              <w:rPr>
                <w:rFonts w:eastAsia="Times New Roman" w:cs="Arial"/>
                <w:b/>
                <w:bCs/>
                <w:i/>
                <w:iCs/>
                <w:color w:val="000000"/>
                <w:sz w:val="20"/>
                <w:szCs w:val="20"/>
                <w:lang w:eastAsia="en-AU"/>
              </w:rPr>
            </w:pPr>
            <w:r w:rsidRPr="00C70A4C">
              <w:rPr>
                <w:rFonts w:eastAsia="Times New Roman" w:cs="Arial"/>
                <w:b/>
                <w:bCs/>
                <w:i/>
                <w:iCs/>
                <w:color w:val="000000"/>
                <w:sz w:val="20"/>
                <w:szCs w:val="20"/>
                <w:lang w:eastAsia="en-AU"/>
              </w:rPr>
              <w:t>Existing participants</w:t>
            </w:r>
          </w:p>
        </w:tc>
        <w:tc>
          <w:tcPr>
            <w:tcW w:w="627" w:type="pct"/>
            <w:shd w:val="clear" w:color="auto" w:fill="auto"/>
            <w:noWrap/>
            <w:hideMark/>
          </w:tcPr>
          <w:p w14:paraId="1BBE4D00"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564" w:type="pct"/>
            <w:shd w:val="clear" w:color="auto" w:fill="auto"/>
            <w:noWrap/>
            <w:hideMark/>
          </w:tcPr>
          <w:p w14:paraId="6E9CC174"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564" w:type="pct"/>
            <w:shd w:val="clear" w:color="auto" w:fill="auto"/>
            <w:noWrap/>
            <w:hideMark/>
          </w:tcPr>
          <w:p w14:paraId="0EB671C9"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564" w:type="pct"/>
            <w:tcBorders>
              <w:right w:val="dotted" w:sz="4" w:space="0" w:color="auto"/>
            </w:tcBorders>
            <w:shd w:val="clear" w:color="auto" w:fill="auto"/>
            <w:noWrap/>
            <w:hideMark/>
          </w:tcPr>
          <w:p w14:paraId="0837DC34"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564" w:type="pct"/>
            <w:tcBorders>
              <w:top w:val="nil"/>
              <w:left w:val="dotted" w:sz="4" w:space="0" w:color="auto"/>
              <w:bottom w:val="nil"/>
              <w:right w:val="single" w:sz="4" w:space="0" w:color="auto"/>
            </w:tcBorders>
            <w:shd w:val="clear" w:color="auto" w:fill="auto"/>
            <w:noWrap/>
            <w:hideMark/>
          </w:tcPr>
          <w:p w14:paraId="6207627F"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564" w:type="pct"/>
            <w:tcBorders>
              <w:top w:val="nil"/>
              <w:left w:val="single" w:sz="4" w:space="0" w:color="auto"/>
              <w:bottom w:val="nil"/>
            </w:tcBorders>
            <w:shd w:val="clear" w:color="auto" w:fill="auto"/>
            <w:noWrap/>
            <w:hideMark/>
          </w:tcPr>
          <w:p w14:paraId="505A9766"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r>
      <w:tr w:rsidR="00BC498F" w:rsidRPr="00C70A4C" w14:paraId="4FAC0DA3"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3" w:type="pct"/>
            <w:noWrap/>
            <w:hideMark/>
          </w:tcPr>
          <w:p w14:paraId="4498DA25" w14:textId="77777777" w:rsidR="00BC498F" w:rsidRPr="00C70A4C" w:rsidRDefault="00BC498F" w:rsidP="00BA7353">
            <w:pPr>
              <w:spacing w:after="0" w:line="240" w:lineRule="auto"/>
              <w:rPr>
                <w:rFonts w:eastAsia="Times New Roman" w:cs="Arial"/>
                <w:color w:val="000000"/>
                <w:sz w:val="20"/>
                <w:szCs w:val="20"/>
                <w:lang w:eastAsia="en-AU"/>
              </w:rPr>
            </w:pPr>
            <w:r w:rsidRPr="00C70A4C">
              <w:rPr>
                <w:rFonts w:eastAsia="Times New Roman" w:cs="Arial"/>
                <w:color w:val="000000"/>
                <w:sz w:val="20"/>
                <w:szCs w:val="20"/>
                <w:lang w:eastAsia="en-AU"/>
              </w:rPr>
              <w:t>Scheme Expenses ($m)</w:t>
            </w:r>
          </w:p>
        </w:tc>
        <w:tc>
          <w:tcPr>
            <w:tcW w:w="627" w:type="pct"/>
            <w:noWrap/>
            <w:hideMark/>
          </w:tcPr>
          <w:p w14:paraId="36F5A1B2"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32,967</w:t>
            </w:r>
          </w:p>
        </w:tc>
        <w:tc>
          <w:tcPr>
            <w:tcW w:w="564" w:type="pct"/>
            <w:noWrap/>
            <w:hideMark/>
          </w:tcPr>
          <w:p w14:paraId="084904DB"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34,700</w:t>
            </w:r>
          </w:p>
        </w:tc>
        <w:tc>
          <w:tcPr>
            <w:tcW w:w="564" w:type="pct"/>
            <w:noWrap/>
            <w:hideMark/>
          </w:tcPr>
          <w:p w14:paraId="744BFB34"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36,677</w:t>
            </w:r>
          </w:p>
        </w:tc>
        <w:tc>
          <w:tcPr>
            <w:tcW w:w="564" w:type="pct"/>
            <w:tcBorders>
              <w:right w:val="dotted" w:sz="4" w:space="0" w:color="auto"/>
            </w:tcBorders>
            <w:noWrap/>
            <w:hideMark/>
          </w:tcPr>
          <w:p w14:paraId="21F0FC31"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38,687</w:t>
            </w:r>
          </w:p>
        </w:tc>
        <w:tc>
          <w:tcPr>
            <w:tcW w:w="564" w:type="pct"/>
            <w:tcBorders>
              <w:top w:val="nil"/>
              <w:left w:val="dotted" w:sz="4" w:space="0" w:color="auto"/>
              <w:bottom w:val="nil"/>
              <w:right w:val="single" w:sz="4" w:space="0" w:color="auto"/>
            </w:tcBorders>
            <w:noWrap/>
            <w:hideMark/>
          </w:tcPr>
          <w:p w14:paraId="3507B8D8"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50,164</w:t>
            </w:r>
          </w:p>
        </w:tc>
        <w:tc>
          <w:tcPr>
            <w:tcW w:w="564" w:type="pct"/>
            <w:tcBorders>
              <w:top w:val="nil"/>
              <w:left w:val="single" w:sz="4" w:space="0" w:color="auto"/>
              <w:bottom w:val="nil"/>
            </w:tcBorders>
            <w:noWrap/>
            <w:hideMark/>
          </w:tcPr>
          <w:p w14:paraId="044B1688"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143,031</w:t>
            </w:r>
          </w:p>
        </w:tc>
      </w:tr>
      <w:tr w:rsidR="00BC498F" w:rsidRPr="00C70A4C" w14:paraId="7E5C7EB5"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53" w:type="pct"/>
            <w:shd w:val="clear" w:color="auto" w:fill="auto"/>
            <w:noWrap/>
            <w:hideMark/>
          </w:tcPr>
          <w:p w14:paraId="169402D4" w14:textId="77777777" w:rsidR="00BC498F" w:rsidRPr="00C70A4C" w:rsidRDefault="00BC498F" w:rsidP="00BA7353">
            <w:pPr>
              <w:spacing w:after="0" w:line="240" w:lineRule="auto"/>
              <w:rPr>
                <w:rFonts w:eastAsia="Times New Roman" w:cs="Arial"/>
                <w:color w:val="000000"/>
                <w:sz w:val="20"/>
                <w:szCs w:val="20"/>
                <w:lang w:eastAsia="en-AU"/>
              </w:rPr>
            </w:pPr>
            <w:r w:rsidRPr="00C70A4C">
              <w:rPr>
                <w:rFonts w:eastAsia="Times New Roman" w:cs="Arial"/>
                <w:color w:val="000000"/>
                <w:sz w:val="20"/>
                <w:szCs w:val="20"/>
                <w:lang w:eastAsia="en-AU"/>
              </w:rPr>
              <w:t>Variance to baseline ($m)</w:t>
            </w:r>
          </w:p>
        </w:tc>
        <w:tc>
          <w:tcPr>
            <w:tcW w:w="627" w:type="pct"/>
            <w:shd w:val="clear" w:color="auto" w:fill="auto"/>
            <w:noWrap/>
            <w:hideMark/>
          </w:tcPr>
          <w:p w14:paraId="473D45F9"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0</w:t>
            </w:r>
          </w:p>
        </w:tc>
        <w:tc>
          <w:tcPr>
            <w:tcW w:w="564" w:type="pct"/>
            <w:shd w:val="clear" w:color="auto" w:fill="auto"/>
            <w:noWrap/>
            <w:hideMark/>
          </w:tcPr>
          <w:p w14:paraId="14B23BD3"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0</w:t>
            </w:r>
          </w:p>
        </w:tc>
        <w:tc>
          <w:tcPr>
            <w:tcW w:w="564" w:type="pct"/>
            <w:shd w:val="clear" w:color="auto" w:fill="auto"/>
            <w:noWrap/>
            <w:hideMark/>
          </w:tcPr>
          <w:p w14:paraId="14ADC361"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-985</w:t>
            </w:r>
          </w:p>
        </w:tc>
        <w:tc>
          <w:tcPr>
            <w:tcW w:w="564" w:type="pct"/>
            <w:tcBorders>
              <w:right w:val="dotted" w:sz="4" w:space="0" w:color="auto"/>
            </w:tcBorders>
            <w:shd w:val="clear" w:color="auto" w:fill="auto"/>
            <w:noWrap/>
            <w:hideMark/>
          </w:tcPr>
          <w:p w14:paraId="692D1CC7"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-1,934</w:t>
            </w:r>
          </w:p>
        </w:tc>
        <w:tc>
          <w:tcPr>
            <w:tcW w:w="564" w:type="pct"/>
            <w:tcBorders>
              <w:top w:val="nil"/>
              <w:left w:val="dotted" w:sz="4" w:space="0" w:color="auto"/>
              <w:bottom w:val="nil"/>
              <w:right w:val="single" w:sz="4" w:space="0" w:color="auto"/>
            </w:tcBorders>
            <w:shd w:val="clear" w:color="auto" w:fill="auto"/>
            <w:noWrap/>
            <w:hideMark/>
          </w:tcPr>
          <w:p w14:paraId="02B5F582"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-4,206</w:t>
            </w:r>
          </w:p>
        </w:tc>
        <w:tc>
          <w:tcPr>
            <w:tcW w:w="564" w:type="pct"/>
            <w:tcBorders>
              <w:top w:val="nil"/>
              <w:left w:val="single" w:sz="4" w:space="0" w:color="auto"/>
              <w:bottom w:val="nil"/>
            </w:tcBorders>
            <w:shd w:val="clear" w:color="auto" w:fill="auto"/>
            <w:noWrap/>
            <w:hideMark/>
          </w:tcPr>
          <w:p w14:paraId="19982F55"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-2,919</w:t>
            </w:r>
          </w:p>
        </w:tc>
      </w:tr>
      <w:tr w:rsidR="00BC498F" w:rsidRPr="00C70A4C" w14:paraId="26E12342"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3" w:type="pct"/>
            <w:noWrap/>
            <w:hideMark/>
          </w:tcPr>
          <w:p w14:paraId="3D75EAC1" w14:textId="77777777" w:rsidR="00BC498F" w:rsidRPr="00C70A4C" w:rsidRDefault="00BC498F" w:rsidP="00BA7353">
            <w:pPr>
              <w:spacing w:after="0" w:line="240" w:lineRule="auto"/>
              <w:rPr>
                <w:rFonts w:eastAsia="Times New Roman" w:cs="Arial"/>
                <w:color w:val="000000"/>
                <w:sz w:val="20"/>
                <w:szCs w:val="20"/>
                <w:lang w:eastAsia="en-AU"/>
              </w:rPr>
            </w:pPr>
            <w:r w:rsidRPr="00C70A4C">
              <w:rPr>
                <w:rFonts w:eastAsia="Times New Roman" w:cs="Arial"/>
                <w:color w:val="000000"/>
                <w:sz w:val="20"/>
                <w:szCs w:val="20"/>
                <w:lang w:eastAsia="en-AU"/>
              </w:rPr>
              <w:t>% variance to baseline</w:t>
            </w:r>
          </w:p>
        </w:tc>
        <w:tc>
          <w:tcPr>
            <w:tcW w:w="627" w:type="pct"/>
            <w:noWrap/>
            <w:hideMark/>
          </w:tcPr>
          <w:p w14:paraId="6FBBB179"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0.0%</w:t>
            </w:r>
          </w:p>
        </w:tc>
        <w:tc>
          <w:tcPr>
            <w:tcW w:w="564" w:type="pct"/>
            <w:noWrap/>
            <w:hideMark/>
          </w:tcPr>
          <w:p w14:paraId="0E94541D"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0.0%</w:t>
            </w:r>
          </w:p>
        </w:tc>
        <w:tc>
          <w:tcPr>
            <w:tcW w:w="564" w:type="pct"/>
            <w:noWrap/>
            <w:hideMark/>
          </w:tcPr>
          <w:p w14:paraId="6B6B9867"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-2.6%</w:t>
            </w:r>
          </w:p>
        </w:tc>
        <w:tc>
          <w:tcPr>
            <w:tcW w:w="564" w:type="pct"/>
            <w:tcBorders>
              <w:right w:val="dotted" w:sz="4" w:space="0" w:color="auto"/>
            </w:tcBorders>
            <w:noWrap/>
            <w:hideMark/>
          </w:tcPr>
          <w:p w14:paraId="19C28648"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-4.8%</w:t>
            </w:r>
          </w:p>
        </w:tc>
        <w:tc>
          <w:tcPr>
            <w:tcW w:w="564" w:type="pct"/>
            <w:tcBorders>
              <w:top w:val="nil"/>
              <w:left w:val="dotted" w:sz="4" w:space="0" w:color="auto"/>
              <w:bottom w:val="nil"/>
              <w:right w:val="single" w:sz="4" w:space="0" w:color="auto"/>
            </w:tcBorders>
            <w:noWrap/>
            <w:hideMark/>
          </w:tcPr>
          <w:p w14:paraId="56A62A22"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-7.7%</w:t>
            </w:r>
          </w:p>
        </w:tc>
        <w:tc>
          <w:tcPr>
            <w:tcW w:w="564" w:type="pct"/>
            <w:tcBorders>
              <w:top w:val="nil"/>
              <w:left w:val="single" w:sz="4" w:space="0" w:color="auto"/>
              <w:bottom w:val="nil"/>
            </w:tcBorders>
            <w:noWrap/>
            <w:hideMark/>
          </w:tcPr>
          <w:p w14:paraId="3FAB3A1C"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-2.0%</w:t>
            </w:r>
          </w:p>
        </w:tc>
      </w:tr>
      <w:tr w:rsidR="00BC498F" w:rsidRPr="00C70A4C" w14:paraId="48630229"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53" w:type="pct"/>
            <w:shd w:val="clear" w:color="auto" w:fill="auto"/>
            <w:noWrap/>
            <w:hideMark/>
          </w:tcPr>
          <w:p w14:paraId="261261B6" w14:textId="77777777" w:rsidR="00BC498F" w:rsidRPr="00C70A4C" w:rsidRDefault="00BC498F" w:rsidP="00BA7353">
            <w:pPr>
              <w:spacing w:after="0" w:line="240" w:lineRule="auto"/>
              <w:rPr>
                <w:rFonts w:eastAsia="Times New Roman" w:cs="Arial"/>
                <w:b/>
                <w:bCs/>
                <w:i/>
                <w:iCs/>
                <w:color w:val="000000"/>
                <w:sz w:val="20"/>
                <w:szCs w:val="20"/>
                <w:lang w:eastAsia="en-AU"/>
              </w:rPr>
            </w:pPr>
            <w:r w:rsidRPr="00C70A4C">
              <w:rPr>
                <w:rFonts w:eastAsia="Times New Roman" w:cs="Arial"/>
                <w:b/>
                <w:bCs/>
                <w:i/>
                <w:iCs/>
                <w:color w:val="000000"/>
                <w:sz w:val="20"/>
                <w:szCs w:val="20"/>
                <w:lang w:eastAsia="en-AU"/>
              </w:rPr>
              <w:t>New participants</w:t>
            </w:r>
          </w:p>
        </w:tc>
        <w:tc>
          <w:tcPr>
            <w:tcW w:w="627" w:type="pct"/>
            <w:shd w:val="clear" w:color="auto" w:fill="auto"/>
            <w:noWrap/>
            <w:hideMark/>
          </w:tcPr>
          <w:p w14:paraId="2A3B4894"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564" w:type="pct"/>
            <w:shd w:val="clear" w:color="auto" w:fill="auto"/>
            <w:noWrap/>
            <w:hideMark/>
          </w:tcPr>
          <w:p w14:paraId="3F5C17DA"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564" w:type="pct"/>
            <w:shd w:val="clear" w:color="auto" w:fill="auto"/>
            <w:noWrap/>
            <w:hideMark/>
          </w:tcPr>
          <w:p w14:paraId="4B0BE7FA"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564" w:type="pct"/>
            <w:tcBorders>
              <w:right w:val="dotted" w:sz="4" w:space="0" w:color="auto"/>
            </w:tcBorders>
            <w:shd w:val="clear" w:color="auto" w:fill="auto"/>
            <w:noWrap/>
            <w:hideMark/>
          </w:tcPr>
          <w:p w14:paraId="22CF3D3C"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564" w:type="pct"/>
            <w:tcBorders>
              <w:top w:val="nil"/>
              <w:left w:val="dotted" w:sz="4" w:space="0" w:color="auto"/>
              <w:bottom w:val="nil"/>
              <w:right w:val="single" w:sz="4" w:space="0" w:color="auto"/>
            </w:tcBorders>
            <w:shd w:val="clear" w:color="auto" w:fill="auto"/>
            <w:noWrap/>
            <w:hideMark/>
          </w:tcPr>
          <w:p w14:paraId="036CF15B"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564" w:type="pct"/>
            <w:tcBorders>
              <w:top w:val="nil"/>
              <w:left w:val="single" w:sz="4" w:space="0" w:color="auto"/>
              <w:bottom w:val="nil"/>
            </w:tcBorders>
            <w:shd w:val="clear" w:color="auto" w:fill="auto"/>
            <w:noWrap/>
            <w:hideMark/>
          </w:tcPr>
          <w:p w14:paraId="0573D946"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r>
      <w:tr w:rsidR="00BC498F" w:rsidRPr="00C70A4C" w14:paraId="64D05970"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3" w:type="pct"/>
            <w:noWrap/>
            <w:hideMark/>
          </w:tcPr>
          <w:p w14:paraId="1956AD6C" w14:textId="77777777" w:rsidR="00BC498F" w:rsidRPr="00C70A4C" w:rsidRDefault="00BC498F" w:rsidP="00BA7353">
            <w:pPr>
              <w:spacing w:after="0" w:line="240" w:lineRule="auto"/>
              <w:rPr>
                <w:rFonts w:eastAsia="Times New Roman" w:cs="Arial"/>
                <w:color w:val="000000"/>
                <w:sz w:val="20"/>
                <w:szCs w:val="20"/>
                <w:lang w:eastAsia="en-AU"/>
              </w:rPr>
            </w:pPr>
            <w:r w:rsidRPr="00C70A4C">
              <w:rPr>
                <w:rFonts w:eastAsia="Times New Roman" w:cs="Arial"/>
                <w:color w:val="000000"/>
                <w:sz w:val="20"/>
                <w:szCs w:val="20"/>
                <w:lang w:eastAsia="en-AU"/>
              </w:rPr>
              <w:t>Scheme Expenses ($m)</w:t>
            </w:r>
          </w:p>
        </w:tc>
        <w:tc>
          <w:tcPr>
            <w:tcW w:w="627" w:type="pct"/>
            <w:noWrap/>
            <w:hideMark/>
          </w:tcPr>
          <w:p w14:paraId="2D47C980"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1,009</w:t>
            </w:r>
          </w:p>
        </w:tc>
        <w:tc>
          <w:tcPr>
            <w:tcW w:w="564" w:type="pct"/>
            <w:noWrap/>
            <w:hideMark/>
          </w:tcPr>
          <w:p w14:paraId="3609EEFE"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3,432</w:t>
            </w:r>
          </w:p>
        </w:tc>
        <w:tc>
          <w:tcPr>
            <w:tcW w:w="564" w:type="pct"/>
            <w:noWrap/>
            <w:hideMark/>
          </w:tcPr>
          <w:p w14:paraId="362268A8"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6,285</w:t>
            </w:r>
          </w:p>
        </w:tc>
        <w:tc>
          <w:tcPr>
            <w:tcW w:w="564" w:type="pct"/>
            <w:tcBorders>
              <w:right w:val="dotted" w:sz="4" w:space="0" w:color="auto"/>
            </w:tcBorders>
            <w:noWrap/>
            <w:hideMark/>
          </w:tcPr>
          <w:p w14:paraId="6115BB76"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9,260</w:t>
            </w:r>
          </w:p>
        </w:tc>
        <w:tc>
          <w:tcPr>
            <w:tcW w:w="564" w:type="pct"/>
            <w:tcBorders>
              <w:top w:val="nil"/>
              <w:left w:val="dotted" w:sz="4" w:space="0" w:color="auto"/>
              <w:bottom w:val="nil"/>
              <w:right w:val="single" w:sz="4" w:space="0" w:color="auto"/>
            </w:tcBorders>
            <w:noWrap/>
            <w:hideMark/>
          </w:tcPr>
          <w:p w14:paraId="19C5942E"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32,323</w:t>
            </w:r>
          </w:p>
        </w:tc>
        <w:tc>
          <w:tcPr>
            <w:tcW w:w="564" w:type="pct"/>
            <w:tcBorders>
              <w:top w:val="nil"/>
              <w:left w:val="single" w:sz="4" w:space="0" w:color="auto"/>
              <w:bottom w:val="nil"/>
            </w:tcBorders>
            <w:noWrap/>
            <w:hideMark/>
          </w:tcPr>
          <w:p w14:paraId="4BD27B48"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19,987</w:t>
            </w:r>
          </w:p>
        </w:tc>
      </w:tr>
      <w:tr w:rsidR="00BC498F" w:rsidRPr="00C70A4C" w14:paraId="05F25190"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53" w:type="pct"/>
            <w:shd w:val="clear" w:color="auto" w:fill="auto"/>
            <w:noWrap/>
            <w:hideMark/>
          </w:tcPr>
          <w:p w14:paraId="28040730" w14:textId="77777777" w:rsidR="00BC498F" w:rsidRPr="00C70A4C" w:rsidRDefault="00BC498F" w:rsidP="00BA7353">
            <w:pPr>
              <w:spacing w:after="0" w:line="240" w:lineRule="auto"/>
              <w:rPr>
                <w:rFonts w:eastAsia="Times New Roman" w:cs="Arial"/>
                <w:color w:val="000000"/>
                <w:sz w:val="20"/>
                <w:szCs w:val="20"/>
                <w:lang w:eastAsia="en-AU"/>
              </w:rPr>
            </w:pPr>
            <w:r w:rsidRPr="00C70A4C">
              <w:rPr>
                <w:rFonts w:eastAsia="Times New Roman" w:cs="Arial"/>
                <w:color w:val="000000"/>
                <w:sz w:val="20"/>
                <w:szCs w:val="20"/>
                <w:lang w:eastAsia="en-AU"/>
              </w:rPr>
              <w:t>Variance to baseline ($m)</w:t>
            </w:r>
          </w:p>
        </w:tc>
        <w:tc>
          <w:tcPr>
            <w:tcW w:w="627" w:type="pct"/>
            <w:shd w:val="clear" w:color="auto" w:fill="auto"/>
            <w:noWrap/>
            <w:hideMark/>
          </w:tcPr>
          <w:p w14:paraId="3D948CB0"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0</w:t>
            </w:r>
          </w:p>
        </w:tc>
        <w:tc>
          <w:tcPr>
            <w:tcW w:w="564" w:type="pct"/>
            <w:shd w:val="clear" w:color="auto" w:fill="auto"/>
            <w:noWrap/>
            <w:hideMark/>
          </w:tcPr>
          <w:p w14:paraId="06E60406"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0</w:t>
            </w:r>
          </w:p>
        </w:tc>
        <w:tc>
          <w:tcPr>
            <w:tcW w:w="564" w:type="pct"/>
            <w:shd w:val="clear" w:color="auto" w:fill="auto"/>
            <w:noWrap/>
            <w:hideMark/>
          </w:tcPr>
          <w:p w14:paraId="4135039E"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-169</w:t>
            </w:r>
          </w:p>
        </w:tc>
        <w:tc>
          <w:tcPr>
            <w:tcW w:w="564" w:type="pct"/>
            <w:tcBorders>
              <w:right w:val="dotted" w:sz="4" w:space="0" w:color="auto"/>
            </w:tcBorders>
            <w:shd w:val="clear" w:color="auto" w:fill="auto"/>
            <w:noWrap/>
            <w:hideMark/>
          </w:tcPr>
          <w:p w14:paraId="29D88909"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-463</w:t>
            </w:r>
          </w:p>
        </w:tc>
        <w:tc>
          <w:tcPr>
            <w:tcW w:w="564" w:type="pct"/>
            <w:tcBorders>
              <w:top w:val="nil"/>
              <w:left w:val="dotted" w:sz="4" w:space="0" w:color="auto"/>
              <w:bottom w:val="nil"/>
              <w:right w:val="single" w:sz="4" w:space="0" w:color="auto"/>
            </w:tcBorders>
            <w:shd w:val="clear" w:color="auto" w:fill="auto"/>
            <w:noWrap/>
            <w:hideMark/>
          </w:tcPr>
          <w:p w14:paraId="730DE06E"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-2,710</w:t>
            </w:r>
          </w:p>
        </w:tc>
        <w:tc>
          <w:tcPr>
            <w:tcW w:w="564" w:type="pct"/>
            <w:tcBorders>
              <w:top w:val="nil"/>
              <w:left w:val="single" w:sz="4" w:space="0" w:color="auto"/>
              <w:bottom w:val="nil"/>
            </w:tcBorders>
            <w:shd w:val="clear" w:color="auto" w:fill="auto"/>
            <w:noWrap/>
            <w:hideMark/>
          </w:tcPr>
          <w:p w14:paraId="7667C4B5"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-632</w:t>
            </w:r>
          </w:p>
        </w:tc>
      </w:tr>
      <w:tr w:rsidR="00BC498F" w:rsidRPr="00C70A4C" w14:paraId="3CE83CE6"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3" w:type="pct"/>
            <w:noWrap/>
            <w:hideMark/>
          </w:tcPr>
          <w:p w14:paraId="3C2FB3E4" w14:textId="77777777" w:rsidR="00BC498F" w:rsidRPr="00C70A4C" w:rsidRDefault="00BC498F" w:rsidP="00BA7353">
            <w:pPr>
              <w:spacing w:after="0" w:line="240" w:lineRule="auto"/>
              <w:rPr>
                <w:rFonts w:eastAsia="Times New Roman" w:cs="Arial"/>
                <w:color w:val="000000"/>
                <w:sz w:val="20"/>
                <w:szCs w:val="20"/>
                <w:lang w:eastAsia="en-AU"/>
              </w:rPr>
            </w:pPr>
            <w:r w:rsidRPr="00C70A4C">
              <w:rPr>
                <w:rFonts w:eastAsia="Times New Roman" w:cs="Arial"/>
                <w:color w:val="000000"/>
                <w:sz w:val="20"/>
                <w:szCs w:val="20"/>
                <w:lang w:eastAsia="en-AU"/>
              </w:rPr>
              <w:t>% variance to baseline</w:t>
            </w:r>
          </w:p>
        </w:tc>
        <w:tc>
          <w:tcPr>
            <w:tcW w:w="627" w:type="pct"/>
            <w:noWrap/>
            <w:hideMark/>
          </w:tcPr>
          <w:p w14:paraId="0D14FC9C"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0.0%</w:t>
            </w:r>
          </w:p>
        </w:tc>
        <w:tc>
          <w:tcPr>
            <w:tcW w:w="564" w:type="pct"/>
            <w:noWrap/>
            <w:hideMark/>
          </w:tcPr>
          <w:p w14:paraId="792BAAC9"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0.0%</w:t>
            </w:r>
          </w:p>
        </w:tc>
        <w:tc>
          <w:tcPr>
            <w:tcW w:w="564" w:type="pct"/>
            <w:noWrap/>
            <w:hideMark/>
          </w:tcPr>
          <w:p w14:paraId="1B43D11D"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-2.6%</w:t>
            </w:r>
          </w:p>
        </w:tc>
        <w:tc>
          <w:tcPr>
            <w:tcW w:w="564" w:type="pct"/>
            <w:tcBorders>
              <w:right w:val="dotted" w:sz="4" w:space="0" w:color="auto"/>
            </w:tcBorders>
            <w:noWrap/>
            <w:hideMark/>
          </w:tcPr>
          <w:p w14:paraId="13BA1530"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-4.8%</w:t>
            </w:r>
          </w:p>
        </w:tc>
        <w:tc>
          <w:tcPr>
            <w:tcW w:w="564" w:type="pct"/>
            <w:tcBorders>
              <w:top w:val="nil"/>
              <w:left w:val="dotted" w:sz="4" w:space="0" w:color="auto"/>
              <w:bottom w:val="nil"/>
              <w:right w:val="single" w:sz="4" w:space="0" w:color="auto"/>
            </w:tcBorders>
            <w:noWrap/>
            <w:hideMark/>
          </w:tcPr>
          <w:p w14:paraId="64CB8922"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-7.7%</w:t>
            </w:r>
          </w:p>
        </w:tc>
        <w:tc>
          <w:tcPr>
            <w:tcW w:w="564" w:type="pct"/>
            <w:tcBorders>
              <w:top w:val="nil"/>
              <w:left w:val="single" w:sz="4" w:space="0" w:color="auto"/>
              <w:bottom w:val="nil"/>
            </w:tcBorders>
            <w:noWrap/>
            <w:hideMark/>
          </w:tcPr>
          <w:p w14:paraId="6F58CE1E"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-3.1%</w:t>
            </w:r>
          </w:p>
        </w:tc>
      </w:tr>
      <w:tr w:rsidR="00BC498F" w:rsidRPr="00C70A4C" w14:paraId="42D008D2"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53" w:type="pct"/>
            <w:shd w:val="clear" w:color="auto" w:fill="auto"/>
            <w:noWrap/>
            <w:hideMark/>
          </w:tcPr>
          <w:p w14:paraId="347521E4" w14:textId="77777777" w:rsidR="00BC498F" w:rsidRPr="00C70A4C" w:rsidRDefault="00BC498F" w:rsidP="00BA7353">
            <w:pPr>
              <w:spacing w:after="0" w:line="240" w:lineRule="auto"/>
              <w:rPr>
                <w:rFonts w:eastAsia="Times New Roman" w:cs="Arial"/>
                <w:b/>
                <w:bCs/>
                <w:i/>
                <w:iCs/>
                <w:color w:val="000000"/>
                <w:sz w:val="20"/>
                <w:szCs w:val="20"/>
                <w:lang w:eastAsia="en-AU"/>
              </w:rPr>
            </w:pPr>
            <w:r w:rsidRPr="00C70A4C">
              <w:rPr>
                <w:rFonts w:eastAsia="Times New Roman" w:cs="Arial"/>
                <w:b/>
                <w:bCs/>
                <w:i/>
                <w:iCs/>
                <w:color w:val="000000"/>
                <w:sz w:val="20"/>
                <w:szCs w:val="20"/>
                <w:lang w:eastAsia="en-AU"/>
              </w:rPr>
              <w:t>All projected participants</w:t>
            </w:r>
          </w:p>
        </w:tc>
        <w:tc>
          <w:tcPr>
            <w:tcW w:w="627" w:type="pct"/>
            <w:shd w:val="clear" w:color="auto" w:fill="auto"/>
            <w:noWrap/>
            <w:hideMark/>
          </w:tcPr>
          <w:p w14:paraId="0CA1F59B"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564" w:type="pct"/>
            <w:shd w:val="clear" w:color="auto" w:fill="auto"/>
            <w:noWrap/>
            <w:hideMark/>
          </w:tcPr>
          <w:p w14:paraId="3C58039D"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564" w:type="pct"/>
            <w:shd w:val="clear" w:color="auto" w:fill="auto"/>
            <w:noWrap/>
            <w:hideMark/>
          </w:tcPr>
          <w:p w14:paraId="178F82BE"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564" w:type="pct"/>
            <w:tcBorders>
              <w:right w:val="dotted" w:sz="4" w:space="0" w:color="auto"/>
            </w:tcBorders>
            <w:shd w:val="clear" w:color="auto" w:fill="auto"/>
            <w:noWrap/>
            <w:hideMark/>
          </w:tcPr>
          <w:p w14:paraId="77976B4B"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564" w:type="pct"/>
            <w:tcBorders>
              <w:top w:val="nil"/>
              <w:left w:val="dotted" w:sz="4" w:space="0" w:color="auto"/>
              <w:bottom w:val="nil"/>
              <w:right w:val="single" w:sz="4" w:space="0" w:color="auto"/>
            </w:tcBorders>
            <w:shd w:val="clear" w:color="auto" w:fill="auto"/>
            <w:noWrap/>
            <w:hideMark/>
          </w:tcPr>
          <w:p w14:paraId="06FC05E6"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c>
          <w:tcPr>
            <w:tcW w:w="564" w:type="pct"/>
            <w:tcBorders>
              <w:top w:val="nil"/>
              <w:left w:val="single" w:sz="4" w:space="0" w:color="auto"/>
              <w:bottom w:val="nil"/>
            </w:tcBorders>
            <w:shd w:val="clear" w:color="auto" w:fill="auto"/>
            <w:noWrap/>
            <w:hideMark/>
          </w:tcPr>
          <w:p w14:paraId="0D7B0088"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 </w:t>
            </w:r>
          </w:p>
        </w:tc>
      </w:tr>
      <w:tr w:rsidR="00BC498F" w:rsidRPr="00C70A4C" w14:paraId="478B1B67"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3" w:type="pct"/>
            <w:noWrap/>
            <w:hideMark/>
          </w:tcPr>
          <w:p w14:paraId="41EF2898" w14:textId="77777777" w:rsidR="00BC498F" w:rsidRPr="00C70A4C" w:rsidRDefault="00BC498F" w:rsidP="00BA7353">
            <w:pPr>
              <w:spacing w:after="0" w:line="240" w:lineRule="auto"/>
              <w:rPr>
                <w:rFonts w:eastAsia="Times New Roman" w:cs="Arial"/>
                <w:color w:val="000000"/>
                <w:sz w:val="20"/>
                <w:szCs w:val="20"/>
                <w:lang w:eastAsia="en-AU"/>
              </w:rPr>
            </w:pPr>
            <w:r w:rsidRPr="00C70A4C">
              <w:rPr>
                <w:rFonts w:eastAsia="Times New Roman" w:cs="Arial"/>
                <w:color w:val="000000"/>
                <w:sz w:val="20"/>
                <w:szCs w:val="20"/>
                <w:lang w:eastAsia="en-AU"/>
              </w:rPr>
              <w:t>Scheme Expenses ($m)</w:t>
            </w:r>
          </w:p>
        </w:tc>
        <w:tc>
          <w:tcPr>
            <w:tcW w:w="627" w:type="pct"/>
            <w:noWrap/>
            <w:hideMark/>
          </w:tcPr>
          <w:p w14:paraId="0EF533ED"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33,976</w:t>
            </w:r>
          </w:p>
        </w:tc>
        <w:tc>
          <w:tcPr>
            <w:tcW w:w="564" w:type="pct"/>
            <w:noWrap/>
            <w:hideMark/>
          </w:tcPr>
          <w:p w14:paraId="6FD5C35E"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38,133</w:t>
            </w:r>
          </w:p>
        </w:tc>
        <w:tc>
          <w:tcPr>
            <w:tcW w:w="564" w:type="pct"/>
            <w:noWrap/>
            <w:hideMark/>
          </w:tcPr>
          <w:p w14:paraId="76B4D6CB"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42,962</w:t>
            </w:r>
          </w:p>
        </w:tc>
        <w:tc>
          <w:tcPr>
            <w:tcW w:w="564" w:type="pct"/>
            <w:tcBorders>
              <w:right w:val="dotted" w:sz="4" w:space="0" w:color="auto"/>
            </w:tcBorders>
            <w:noWrap/>
            <w:hideMark/>
          </w:tcPr>
          <w:p w14:paraId="12A12E72"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47,947</w:t>
            </w:r>
          </w:p>
        </w:tc>
        <w:tc>
          <w:tcPr>
            <w:tcW w:w="564" w:type="pct"/>
            <w:tcBorders>
              <w:top w:val="nil"/>
              <w:left w:val="dotted" w:sz="4" w:space="0" w:color="auto"/>
              <w:bottom w:val="nil"/>
              <w:right w:val="single" w:sz="4" w:space="0" w:color="auto"/>
            </w:tcBorders>
            <w:noWrap/>
            <w:hideMark/>
          </w:tcPr>
          <w:p w14:paraId="4C7F9944"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82,487</w:t>
            </w:r>
          </w:p>
        </w:tc>
        <w:tc>
          <w:tcPr>
            <w:tcW w:w="564" w:type="pct"/>
            <w:tcBorders>
              <w:top w:val="nil"/>
              <w:left w:val="single" w:sz="4" w:space="0" w:color="auto"/>
              <w:bottom w:val="nil"/>
            </w:tcBorders>
            <w:noWrap/>
            <w:hideMark/>
          </w:tcPr>
          <w:p w14:paraId="562794FA"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163,018</w:t>
            </w:r>
          </w:p>
        </w:tc>
      </w:tr>
      <w:tr w:rsidR="00BC498F" w:rsidRPr="00C70A4C" w14:paraId="1599AD05"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53" w:type="pct"/>
            <w:shd w:val="clear" w:color="auto" w:fill="auto"/>
            <w:noWrap/>
            <w:hideMark/>
          </w:tcPr>
          <w:p w14:paraId="3EA71D6D" w14:textId="77777777" w:rsidR="00BC498F" w:rsidRPr="00C70A4C" w:rsidRDefault="00BC498F" w:rsidP="00BA7353">
            <w:pPr>
              <w:spacing w:after="0" w:line="240" w:lineRule="auto"/>
              <w:rPr>
                <w:rFonts w:eastAsia="Times New Roman" w:cs="Arial"/>
                <w:color w:val="000000"/>
                <w:sz w:val="20"/>
                <w:szCs w:val="20"/>
                <w:lang w:eastAsia="en-AU"/>
              </w:rPr>
            </w:pPr>
            <w:r w:rsidRPr="00C70A4C">
              <w:rPr>
                <w:rFonts w:eastAsia="Times New Roman" w:cs="Arial"/>
                <w:color w:val="000000"/>
                <w:sz w:val="20"/>
                <w:szCs w:val="20"/>
                <w:lang w:eastAsia="en-AU"/>
              </w:rPr>
              <w:t>Variance to baseline ($m)</w:t>
            </w:r>
          </w:p>
        </w:tc>
        <w:tc>
          <w:tcPr>
            <w:tcW w:w="627" w:type="pct"/>
            <w:shd w:val="clear" w:color="auto" w:fill="auto"/>
            <w:noWrap/>
            <w:hideMark/>
          </w:tcPr>
          <w:p w14:paraId="2C20C4BA"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0</w:t>
            </w:r>
          </w:p>
        </w:tc>
        <w:tc>
          <w:tcPr>
            <w:tcW w:w="564" w:type="pct"/>
            <w:shd w:val="clear" w:color="auto" w:fill="auto"/>
            <w:noWrap/>
            <w:hideMark/>
          </w:tcPr>
          <w:p w14:paraId="0027DD27"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0</w:t>
            </w:r>
          </w:p>
        </w:tc>
        <w:tc>
          <w:tcPr>
            <w:tcW w:w="564" w:type="pct"/>
            <w:shd w:val="clear" w:color="auto" w:fill="auto"/>
            <w:noWrap/>
            <w:hideMark/>
          </w:tcPr>
          <w:p w14:paraId="145BE2E2"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-1,154</w:t>
            </w:r>
          </w:p>
        </w:tc>
        <w:tc>
          <w:tcPr>
            <w:tcW w:w="564" w:type="pct"/>
            <w:tcBorders>
              <w:right w:val="dotted" w:sz="4" w:space="0" w:color="auto"/>
            </w:tcBorders>
            <w:shd w:val="clear" w:color="auto" w:fill="auto"/>
            <w:noWrap/>
            <w:hideMark/>
          </w:tcPr>
          <w:p w14:paraId="241BB70B"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-2,397</w:t>
            </w:r>
          </w:p>
        </w:tc>
        <w:tc>
          <w:tcPr>
            <w:tcW w:w="564" w:type="pct"/>
            <w:tcBorders>
              <w:top w:val="nil"/>
              <w:left w:val="dotted" w:sz="4" w:space="0" w:color="auto"/>
              <w:bottom w:val="nil"/>
              <w:right w:val="single" w:sz="4" w:space="0" w:color="auto"/>
            </w:tcBorders>
            <w:shd w:val="clear" w:color="auto" w:fill="auto"/>
            <w:noWrap/>
            <w:hideMark/>
          </w:tcPr>
          <w:p w14:paraId="5649F904"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-6,916</w:t>
            </w:r>
          </w:p>
        </w:tc>
        <w:tc>
          <w:tcPr>
            <w:tcW w:w="564" w:type="pct"/>
            <w:tcBorders>
              <w:top w:val="nil"/>
              <w:left w:val="single" w:sz="4" w:space="0" w:color="auto"/>
              <w:bottom w:val="nil"/>
            </w:tcBorders>
            <w:shd w:val="clear" w:color="auto" w:fill="auto"/>
            <w:noWrap/>
            <w:hideMark/>
          </w:tcPr>
          <w:p w14:paraId="6EE30091" w14:textId="77777777" w:rsidR="00BC498F" w:rsidRPr="00C70A4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-3,551</w:t>
            </w:r>
          </w:p>
        </w:tc>
      </w:tr>
      <w:tr w:rsidR="00BC498F" w:rsidRPr="00C70A4C" w14:paraId="723E448B"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53" w:type="pct"/>
            <w:noWrap/>
            <w:hideMark/>
          </w:tcPr>
          <w:p w14:paraId="438F537C" w14:textId="77777777" w:rsidR="00BC498F" w:rsidRPr="00C70A4C" w:rsidRDefault="00BC498F" w:rsidP="00BA7353">
            <w:pPr>
              <w:spacing w:after="0" w:line="240" w:lineRule="auto"/>
              <w:rPr>
                <w:rFonts w:eastAsia="Times New Roman" w:cs="Arial"/>
                <w:color w:val="000000"/>
                <w:sz w:val="20"/>
                <w:szCs w:val="20"/>
                <w:lang w:eastAsia="en-AU"/>
              </w:rPr>
            </w:pPr>
            <w:r w:rsidRPr="00C70A4C">
              <w:rPr>
                <w:rFonts w:eastAsia="Times New Roman" w:cs="Arial"/>
                <w:color w:val="000000"/>
                <w:sz w:val="20"/>
                <w:szCs w:val="20"/>
                <w:lang w:eastAsia="en-AU"/>
              </w:rPr>
              <w:t>% variance to baseline</w:t>
            </w:r>
          </w:p>
        </w:tc>
        <w:tc>
          <w:tcPr>
            <w:tcW w:w="627" w:type="pct"/>
            <w:noWrap/>
            <w:hideMark/>
          </w:tcPr>
          <w:p w14:paraId="6C829E80"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0.0%</w:t>
            </w:r>
          </w:p>
        </w:tc>
        <w:tc>
          <w:tcPr>
            <w:tcW w:w="564" w:type="pct"/>
            <w:noWrap/>
            <w:hideMark/>
          </w:tcPr>
          <w:p w14:paraId="6A078843"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0.0%</w:t>
            </w:r>
          </w:p>
        </w:tc>
        <w:tc>
          <w:tcPr>
            <w:tcW w:w="564" w:type="pct"/>
            <w:noWrap/>
            <w:hideMark/>
          </w:tcPr>
          <w:p w14:paraId="3E03649B"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-2.6%</w:t>
            </w:r>
          </w:p>
        </w:tc>
        <w:tc>
          <w:tcPr>
            <w:tcW w:w="564" w:type="pct"/>
            <w:tcBorders>
              <w:right w:val="dotted" w:sz="4" w:space="0" w:color="auto"/>
            </w:tcBorders>
            <w:noWrap/>
            <w:hideMark/>
          </w:tcPr>
          <w:p w14:paraId="2337683A"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-4.8%</w:t>
            </w:r>
          </w:p>
        </w:tc>
        <w:tc>
          <w:tcPr>
            <w:tcW w:w="564" w:type="pct"/>
            <w:tcBorders>
              <w:top w:val="nil"/>
              <w:left w:val="dotted" w:sz="4" w:space="0" w:color="auto"/>
              <w:bottom w:val="single" w:sz="4" w:space="0" w:color="auto"/>
              <w:right w:val="single" w:sz="4" w:space="0" w:color="auto"/>
            </w:tcBorders>
            <w:noWrap/>
            <w:hideMark/>
          </w:tcPr>
          <w:p w14:paraId="1FA62B59"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-7.7%</w:t>
            </w:r>
          </w:p>
        </w:tc>
        <w:tc>
          <w:tcPr>
            <w:tcW w:w="564" w:type="pct"/>
            <w:tcBorders>
              <w:top w:val="nil"/>
              <w:left w:val="single" w:sz="4" w:space="0" w:color="auto"/>
              <w:bottom w:val="single" w:sz="4" w:space="0" w:color="auto"/>
            </w:tcBorders>
            <w:noWrap/>
            <w:hideMark/>
          </w:tcPr>
          <w:p w14:paraId="44D9CA9A" w14:textId="77777777" w:rsidR="00BC498F" w:rsidRPr="00C70A4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C70A4C">
              <w:rPr>
                <w:rFonts w:eastAsia="Times New Roman" w:cs="Arial"/>
                <w:color w:val="000000"/>
                <w:sz w:val="20"/>
                <w:szCs w:val="20"/>
                <w:lang w:eastAsia="en-AU"/>
              </w:rPr>
              <w:t>-2.1%</w:t>
            </w:r>
          </w:p>
        </w:tc>
      </w:tr>
    </w:tbl>
    <w:p w14:paraId="59D87717" w14:textId="77777777" w:rsidR="00F41C56" w:rsidRDefault="00F41C56">
      <w:pPr>
        <w:spacing w:after="160" w:line="259" w:lineRule="auto"/>
        <w:rPr>
          <w:b/>
          <w:i/>
          <w:color w:val="F26322"/>
          <w:sz w:val="24"/>
        </w:rPr>
      </w:pPr>
    </w:p>
    <w:p w14:paraId="605D8B17" w14:textId="77777777" w:rsidR="00BC498F" w:rsidRDefault="00BC498F" w:rsidP="00BC498F">
      <w:pPr>
        <w:pStyle w:val="FSRHeading5"/>
        <w:rPr>
          <w:rStyle w:val="FSRnormalChar"/>
        </w:rPr>
      </w:pPr>
      <w:r>
        <w:t>Scenario: Higher additional inflation</w:t>
      </w:r>
    </w:p>
    <w:p w14:paraId="7FADD41B" w14:textId="77777777" w:rsidR="00BC498F" w:rsidRDefault="00BC498F" w:rsidP="00BC498F">
      <w:pPr>
        <w:pStyle w:val="FSRnormal"/>
      </w:pPr>
      <w:r>
        <w:t xml:space="preserve">The following scenario assumes an increase in assumed additional inflation from 2023-24 to be more in line with observed experience in the past 3 years (approximately 3% per annum higher then assumed in the baseline projection for 2023-26), and an increase in the long-term rate from 2% to 3% per annum. This adds $4.4 billion in 2025-26 and $13.8 billion in 2031-32. This scenario can also be used to gauge the impact of higher normal inflation assumptions compared with the baseline projection, </w:t>
      </w:r>
      <w:r w:rsidR="00645477">
        <w:t xml:space="preserve">whilst </w:t>
      </w:r>
      <w:r>
        <w:t xml:space="preserve">noting that the inflation assumption for 2022-23 has not been changed. </w:t>
      </w:r>
    </w:p>
    <w:p w14:paraId="4AAF1F72" w14:textId="77777777" w:rsidR="007264B8" w:rsidRDefault="007264B8">
      <w:pPr>
        <w:spacing w:after="160" w:line="259" w:lineRule="auto"/>
        <w:rPr>
          <w:b/>
          <w:iCs/>
          <w:color w:val="000000" w:themeColor="text1"/>
          <w:szCs w:val="18"/>
        </w:rPr>
      </w:pPr>
      <w:r>
        <w:br w:type="page"/>
      </w:r>
    </w:p>
    <w:p w14:paraId="3B563A32" w14:textId="77777777" w:rsidR="00F41C56" w:rsidRPr="00F71B71" w:rsidRDefault="00F41C56" w:rsidP="00F41C56">
      <w:pPr>
        <w:pStyle w:val="Caption"/>
      </w:pPr>
      <w:r>
        <w:lastRenderedPageBreak/>
        <w:t xml:space="preserve">Table </w:t>
      </w:r>
      <w:fldSimple w:instr=" STYLEREF 2 \s ">
        <w:r w:rsidR="00A87896">
          <w:rPr>
            <w:noProof/>
          </w:rPr>
          <w:t>6</w:t>
        </w:r>
      </w:fldSimple>
      <w:r w:rsidR="00A87896">
        <w:t>.</w:t>
      </w:r>
      <w:fldSimple w:instr=" SEQ Table \* ARABIC \s 2 ">
        <w:r w:rsidR="00A87896">
          <w:rPr>
            <w:noProof/>
          </w:rPr>
          <w:t>12</w:t>
        </w:r>
      </w:fldSimple>
      <w:r w:rsidRPr="004C288B">
        <w:t xml:space="preserve">: Scenario results </w:t>
      </w:r>
      <w:r>
        <w:t>–</w:t>
      </w:r>
      <w:r w:rsidRPr="004C288B">
        <w:t xml:space="preserve"> </w:t>
      </w:r>
      <w:r w:rsidR="00645477">
        <w:t>Highe</w:t>
      </w:r>
      <w:r>
        <w:t>r additional inflation</w:t>
      </w:r>
    </w:p>
    <w:tbl>
      <w:tblPr>
        <w:tblStyle w:val="FSRtable"/>
        <w:tblW w:w="5000" w:type="pct"/>
        <w:tblInd w:w="0" w:type="dxa"/>
        <w:tblLook w:val="04A0" w:firstRow="1" w:lastRow="0" w:firstColumn="1" w:lastColumn="0" w:noHBand="0" w:noVBand="1"/>
      </w:tblPr>
      <w:tblGrid>
        <w:gridCol w:w="2834"/>
        <w:gridCol w:w="1049"/>
        <w:gridCol w:w="1029"/>
        <w:gridCol w:w="1029"/>
        <w:gridCol w:w="1029"/>
        <w:gridCol w:w="1029"/>
        <w:gridCol w:w="1027"/>
      </w:tblGrid>
      <w:tr w:rsidR="00BC498F" w:rsidRPr="001A21FC" w14:paraId="2ADF3507"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70" w:type="pct"/>
            <w:tcBorders>
              <w:right w:val="nil"/>
            </w:tcBorders>
            <w:noWrap/>
            <w:hideMark/>
          </w:tcPr>
          <w:p w14:paraId="76036B93" w14:textId="77777777" w:rsidR="00BC498F" w:rsidRPr="001A21FC" w:rsidRDefault="00BC498F" w:rsidP="00BA7353">
            <w:pPr>
              <w:spacing w:after="0" w:line="240" w:lineRule="auto"/>
              <w:rPr>
                <w:rFonts w:eastAsia="Times New Roman"/>
                <w:color w:val="FFFFFF"/>
                <w:sz w:val="20"/>
                <w:szCs w:val="20"/>
                <w:lang w:eastAsia="en-AU"/>
              </w:rPr>
            </w:pPr>
            <w:r w:rsidRPr="001A21FC">
              <w:rPr>
                <w:rFonts w:eastAsia="Times New Roman"/>
                <w:color w:val="FFFFFF"/>
                <w:sz w:val="20"/>
                <w:szCs w:val="20"/>
                <w:lang w:eastAsia="en-AU"/>
              </w:rPr>
              <w:t> </w:t>
            </w:r>
          </w:p>
        </w:tc>
        <w:tc>
          <w:tcPr>
            <w:tcW w:w="2291" w:type="pct"/>
            <w:gridSpan w:val="4"/>
            <w:tcBorders>
              <w:top w:val="single" w:sz="4" w:space="0" w:color="auto"/>
              <w:left w:val="nil"/>
              <w:bottom w:val="single" w:sz="4" w:space="0" w:color="FFFFFF" w:themeColor="background1"/>
            </w:tcBorders>
            <w:noWrap/>
            <w:hideMark/>
          </w:tcPr>
          <w:p w14:paraId="7C42D751" w14:textId="77777777" w:rsidR="00BC498F" w:rsidRPr="00DA3F73"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A21FC">
              <w:rPr>
                <w:rFonts w:eastAsia="Times New Roman"/>
                <w:bCs/>
                <w:color w:val="FFFFFF"/>
                <w:sz w:val="20"/>
                <w:szCs w:val="20"/>
                <w:lang w:eastAsia="en-AU"/>
              </w:rPr>
              <w:t>Projection Year</w:t>
            </w:r>
          </w:p>
        </w:tc>
        <w:tc>
          <w:tcPr>
            <w:tcW w:w="570" w:type="pct"/>
            <w:tcBorders>
              <w:top w:val="single" w:sz="4" w:space="0" w:color="auto"/>
              <w:bottom w:val="single" w:sz="4" w:space="0" w:color="FFFFFF" w:themeColor="background1"/>
              <w:right w:val="single" w:sz="4" w:space="0" w:color="auto"/>
            </w:tcBorders>
            <w:noWrap/>
            <w:hideMark/>
          </w:tcPr>
          <w:p w14:paraId="2B4B3470" w14:textId="77777777" w:rsidR="00BC498F" w:rsidRPr="00DA3F73"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A21FC">
              <w:rPr>
                <w:rFonts w:eastAsia="Times New Roman"/>
                <w:bCs/>
                <w:color w:val="FFFFFF"/>
                <w:sz w:val="20"/>
                <w:szCs w:val="20"/>
                <w:lang w:eastAsia="en-AU"/>
              </w:rPr>
              <w:t> </w:t>
            </w:r>
          </w:p>
        </w:tc>
        <w:tc>
          <w:tcPr>
            <w:tcW w:w="569" w:type="pct"/>
            <w:tcBorders>
              <w:top w:val="single" w:sz="4" w:space="0" w:color="auto"/>
              <w:left w:val="single" w:sz="4" w:space="0" w:color="auto"/>
              <w:bottom w:val="single" w:sz="4" w:space="0" w:color="FFFFFF" w:themeColor="background1"/>
            </w:tcBorders>
            <w:noWrap/>
            <w:hideMark/>
          </w:tcPr>
          <w:p w14:paraId="7F2789D2" w14:textId="77777777" w:rsidR="00BC498F" w:rsidRPr="00DA3F73"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A21FC">
              <w:rPr>
                <w:rFonts w:eastAsia="Times New Roman"/>
                <w:bCs/>
                <w:color w:val="FFFFFF"/>
                <w:sz w:val="20"/>
                <w:szCs w:val="20"/>
                <w:lang w:eastAsia="en-AU"/>
              </w:rPr>
              <w:t>Total</w:t>
            </w:r>
          </w:p>
        </w:tc>
      </w:tr>
      <w:tr w:rsidR="00BC498F" w:rsidRPr="00191697" w14:paraId="3EDF82BA"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570" w:type="pct"/>
            <w:noWrap/>
            <w:hideMark/>
          </w:tcPr>
          <w:p w14:paraId="50020B35" w14:textId="77777777" w:rsidR="00BC498F" w:rsidRPr="00191697" w:rsidRDefault="00BC498F" w:rsidP="00BA7353">
            <w:pPr>
              <w:spacing w:after="0" w:line="240" w:lineRule="auto"/>
              <w:rPr>
                <w:rFonts w:eastAsia="Times New Roman"/>
                <w:color w:val="FFFFFF"/>
                <w:sz w:val="20"/>
                <w:szCs w:val="20"/>
                <w:lang w:eastAsia="en-AU"/>
              </w:rPr>
            </w:pPr>
            <w:r w:rsidRPr="00191697">
              <w:rPr>
                <w:rFonts w:eastAsia="Times New Roman"/>
                <w:color w:val="FFFFFF"/>
                <w:sz w:val="20"/>
                <w:szCs w:val="20"/>
                <w:lang w:eastAsia="en-AU"/>
              </w:rPr>
              <w:t> </w:t>
            </w:r>
          </w:p>
        </w:tc>
        <w:tc>
          <w:tcPr>
            <w:tcW w:w="581" w:type="pct"/>
            <w:tcBorders>
              <w:top w:val="single" w:sz="4" w:space="0" w:color="FFFFFF" w:themeColor="background1"/>
            </w:tcBorders>
            <w:noWrap/>
            <w:hideMark/>
          </w:tcPr>
          <w:p w14:paraId="7974DCE6"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2022-23</w:t>
            </w:r>
          </w:p>
        </w:tc>
        <w:tc>
          <w:tcPr>
            <w:tcW w:w="570" w:type="pct"/>
            <w:tcBorders>
              <w:top w:val="single" w:sz="4" w:space="0" w:color="FFFFFF" w:themeColor="background1"/>
            </w:tcBorders>
            <w:noWrap/>
            <w:hideMark/>
          </w:tcPr>
          <w:p w14:paraId="134B4BEF"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2023-24</w:t>
            </w:r>
          </w:p>
        </w:tc>
        <w:tc>
          <w:tcPr>
            <w:tcW w:w="570" w:type="pct"/>
            <w:tcBorders>
              <w:top w:val="single" w:sz="4" w:space="0" w:color="FFFFFF" w:themeColor="background1"/>
            </w:tcBorders>
            <w:noWrap/>
            <w:hideMark/>
          </w:tcPr>
          <w:p w14:paraId="4AACC459"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2024-25</w:t>
            </w:r>
          </w:p>
        </w:tc>
        <w:tc>
          <w:tcPr>
            <w:tcW w:w="570" w:type="pct"/>
            <w:tcBorders>
              <w:top w:val="single" w:sz="4" w:space="0" w:color="FFFFFF" w:themeColor="background1"/>
              <w:right w:val="dotted" w:sz="4" w:space="0" w:color="auto"/>
            </w:tcBorders>
            <w:noWrap/>
            <w:hideMark/>
          </w:tcPr>
          <w:p w14:paraId="60F570D5" w14:textId="77777777" w:rsidR="00BC498F" w:rsidRPr="00191697" w:rsidRDefault="00BC498F" w:rsidP="00BA7353">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2025-26</w:t>
            </w:r>
          </w:p>
        </w:tc>
        <w:tc>
          <w:tcPr>
            <w:tcW w:w="570" w:type="pct"/>
            <w:tcBorders>
              <w:top w:val="single" w:sz="4" w:space="0" w:color="FFFFFF" w:themeColor="background1"/>
              <w:left w:val="dotted" w:sz="4" w:space="0" w:color="auto"/>
              <w:bottom w:val="nil"/>
              <w:right w:val="single" w:sz="4" w:space="0" w:color="auto"/>
            </w:tcBorders>
            <w:noWrap/>
            <w:hideMark/>
          </w:tcPr>
          <w:p w14:paraId="42F687CD" w14:textId="77777777" w:rsidR="00BC498F" w:rsidRPr="00191697" w:rsidRDefault="00BC498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2031-32</w:t>
            </w:r>
          </w:p>
        </w:tc>
        <w:tc>
          <w:tcPr>
            <w:tcW w:w="569" w:type="pct"/>
            <w:tcBorders>
              <w:top w:val="single" w:sz="4" w:space="0" w:color="FFFFFF" w:themeColor="background1"/>
              <w:left w:val="single" w:sz="4" w:space="0" w:color="auto"/>
            </w:tcBorders>
            <w:noWrap/>
            <w:hideMark/>
          </w:tcPr>
          <w:p w14:paraId="06C496F2" w14:textId="77777777" w:rsidR="00BC498F" w:rsidRPr="00191697" w:rsidRDefault="00BC498F" w:rsidP="00BA735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191697">
              <w:rPr>
                <w:rFonts w:eastAsia="Times New Roman"/>
                <w:bCs/>
                <w:color w:val="FFFFFF"/>
                <w:sz w:val="20"/>
                <w:szCs w:val="20"/>
                <w:lang w:eastAsia="en-AU"/>
              </w:rPr>
              <w:t>2022-26</w:t>
            </w:r>
          </w:p>
        </w:tc>
      </w:tr>
      <w:tr w:rsidR="00BC498F" w:rsidRPr="001A21FC" w14:paraId="5FFBC054"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70" w:type="pct"/>
            <w:shd w:val="clear" w:color="auto" w:fill="auto"/>
            <w:noWrap/>
            <w:hideMark/>
          </w:tcPr>
          <w:p w14:paraId="1FA6F7FB" w14:textId="77777777" w:rsidR="00BC498F" w:rsidRPr="001A21FC" w:rsidRDefault="00BC498F" w:rsidP="00BA7353">
            <w:pPr>
              <w:spacing w:after="0" w:line="240" w:lineRule="auto"/>
              <w:rPr>
                <w:rFonts w:eastAsia="Times New Roman" w:cs="Arial"/>
                <w:b/>
                <w:bCs/>
                <w:i/>
                <w:iCs/>
                <w:color w:val="000000"/>
                <w:sz w:val="20"/>
                <w:szCs w:val="20"/>
                <w:lang w:eastAsia="en-AU"/>
              </w:rPr>
            </w:pPr>
            <w:r w:rsidRPr="001A21FC">
              <w:rPr>
                <w:rFonts w:eastAsia="Times New Roman" w:cs="Arial"/>
                <w:b/>
                <w:bCs/>
                <w:i/>
                <w:iCs/>
                <w:color w:val="000000"/>
                <w:sz w:val="20"/>
                <w:szCs w:val="20"/>
                <w:lang w:eastAsia="en-AU"/>
              </w:rPr>
              <w:t>Existing participants</w:t>
            </w:r>
          </w:p>
        </w:tc>
        <w:tc>
          <w:tcPr>
            <w:tcW w:w="581" w:type="pct"/>
            <w:shd w:val="clear" w:color="auto" w:fill="auto"/>
            <w:noWrap/>
            <w:hideMark/>
          </w:tcPr>
          <w:p w14:paraId="63842CED"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 </w:t>
            </w:r>
          </w:p>
        </w:tc>
        <w:tc>
          <w:tcPr>
            <w:tcW w:w="570" w:type="pct"/>
            <w:shd w:val="clear" w:color="auto" w:fill="auto"/>
            <w:noWrap/>
            <w:hideMark/>
          </w:tcPr>
          <w:p w14:paraId="60BC6AA5"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 </w:t>
            </w:r>
          </w:p>
        </w:tc>
        <w:tc>
          <w:tcPr>
            <w:tcW w:w="570" w:type="pct"/>
            <w:shd w:val="clear" w:color="auto" w:fill="auto"/>
            <w:noWrap/>
            <w:hideMark/>
          </w:tcPr>
          <w:p w14:paraId="37542105"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 </w:t>
            </w:r>
          </w:p>
        </w:tc>
        <w:tc>
          <w:tcPr>
            <w:tcW w:w="570" w:type="pct"/>
            <w:tcBorders>
              <w:right w:val="dotted" w:sz="4" w:space="0" w:color="auto"/>
            </w:tcBorders>
            <w:shd w:val="clear" w:color="auto" w:fill="auto"/>
            <w:noWrap/>
            <w:hideMark/>
          </w:tcPr>
          <w:p w14:paraId="318397EE"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 </w:t>
            </w:r>
          </w:p>
        </w:tc>
        <w:tc>
          <w:tcPr>
            <w:tcW w:w="570" w:type="pct"/>
            <w:tcBorders>
              <w:top w:val="nil"/>
              <w:left w:val="dotted" w:sz="4" w:space="0" w:color="auto"/>
              <w:bottom w:val="nil"/>
              <w:right w:val="single" w:sz="4" w:space="0" w:color="auto"/>
            </w:tcBorders>
            <w:shd w:val="clear" w:color="auto" w:fill="auto"/>
            <w:noWrap/>
            <w:hideMark/>
          </w:tcPr>
          <w:p w14:paraId="20685A82"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 </w:t>
            </w:r>
          </w:p>
        </w:tc>
        <w:tc>
          <w:tcPr>
            <w:tcW w:w="569" w:type="pct"/>
            <w:tcBorders>
              <w:left w:val="single" w:sz="4" w:space="0" w:color="auto"/>
            </w:tcBorders>
            <w:shd w:val="clear" w:color="auto" w:fill="auto"/>
            <w:noWrap/>
            <w:hideMark/>
          </w:tcPr>
          <w:p w14:paraId="5E64E6EB"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 </w:t>
            </w:r>
          </w:p>
        </w:tc>
      </w:tr>
      <w:tr w:rsidR="00BC498F" w:rsidRPr="001A21FC" w14:paraId="0DCD17E6"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70" w:type="pct"/>
            <w:noWrap/>
            <w:hideMark/>
          </w:tcPr>
          <w:p w14:paraId="580E3320" w14:textId="77777777" w:rsidR="00BC498F" w:rsidRPr="001A21FC" w:rsidRDefault="00BC498F" w:rsidP="00BA7353">
            <w:pPr>
              <w:spacing w:after="0" w:line="240" w:lineRule="auto"/>
              <w:rPr>
                <w:rFonts w:eastAsia="Times New Roman" w:cs="Arial"/>
                <w:color w:val="000000"/>
                <w:sz w:val="20"/>
                <w:szCs w:val="20"/>
                <w:lang w:eastAsia="en-AU"/>
              </w:rPr>
            </w:pPr>
            <w:r w:rsidRPr="001A21FC">
              <w:rPr>
                <w:rFonts w:eastAsia="Times New Roman" w:cs="Arial"/>
                <w:color w:val="000000"/>
                <w:sz w:val="20"/>
                <w:szCs w:val="20"/>
                <w:lang w:eastAsia="en-AU"/>
              </w:rPr>
              <w:t>Scheme Expenses ($m)</w:t>
            </w:r>
          </w:p>
        </w:tc>
        <w:tc>
          <w:tcPr>
            <w:tcW w:w="581" w:type="pct"/>
            <w:noWrap/>
            <w:hideMark/>
          </w:tcPr>
          <w:p w14:paraId="33CC3FF2"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32,967</w:t>
            </w:r>
          </w:p>
        </w:tc>
        <w:tc>
          <w:tcPr>
            <w:tcW w:w="570" w:type="pct"/>
            <w:noWrap/>
            <w:hideMark/>
          </w:tcPr>
          <w:p w14:paraId="3DBE0147"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35,714</w:t>
            </w:r>
          </w:p>
        </w:tc>
        <w:tc>
          <w:tcPr>
            <w:tcW w:w="570" w:type="pct"/>
            <w:noWrap/>
            <w:hideMark/>
          </w:tcPr>
          <w:p w14:paraId="3D43DCE1"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39,859</w:t>
            </w:r>
          </w:p>
        </w:tc>
        <w:tc>
          <w:tcPr>
            <w:tcW w:w="570" w:type="pct"/>
            <w:tcBorders>
              <w:right w:val="dotted" w:sz="4" w:space="0" w:color="auto"/>
            </w:tcBorders>
            <w:noWrap/>
            <w:hideMark/>
          </w:tcPr>
          <w:p w14:paraId="6F7D86A4"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44,204</w:t>
            </w:r>
          </w:p>
        </w:tc>
        <w:tc>
          <w:tcPr>
            <w:tcW w:w="570" w:type="pct"/>
            <w:tcBorders>
              <w:top w:val="nil"/>
              <w:left w:val="dotted" w:sz="4" w:space="0" w:color="auto"/>
              <w:bottom w:val="nil"/>
              <w:right w:val="single" w:sz="4" w:space="0" w:color="auto"/>
            </w:tcBorders>
            <w:noWrap/>
            <w:hideMark/>
          </w:tcPr>
          <w:p w14:paraId="3DA338CA"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62,775</w:t>
            </w:r>
          </w:p>
        </w:tc>
        <w:tc>
          <w:tcPr>
            <w:tcW w:w="569" w:type="pct"/>
            <w:tcBorders>
              <w:left w:val="single" w:sz="4" w:space="0" w:color="auto"/>
            </w:tcBorders>
            <w:noWrap/>
            <w:hideMark/>
          </w:tcPr>
          <w:p w14:paraId="39C676EC"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152,743</w:t>
            </w:r>
          </w:p>
        </w:tc>
      </w:tr>
      <w:tr w:rsidR="00BC498F" w:rsidRPr="001A21FC" w14:paraId="54DAA6F6"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70" w:type="pct"/>
            <w:shd w:val="clear" w:color="auto" w:fill="auto"/>
            <w:noWrap/>
            <w:hideMark/>
          </w:tcPr>
          <w:p w14:paraId="101A9611" w14:textId="77777777" w:rsidR="00BC498F" w:rsidRPr="001A21FC" w:rsidRDefault="00BC498F" w:rsidP="00BA7353">
            <w:pPr>
              <w:spacing w:after="0" w:line="240" w:lineRule="auto"/>
              <w:rPr>
                <w:rFonts w:eastAsia="Times New Roman" w:cs="Arial"/>
                <w:color w:val="000000"/>
                <w:sz w:val="20"/>
                <w:szCs w:val="20"/>
                <w:lang w:eastAsia="en-AU"/>
              </w:rPr>
            </w:pPr>
            <w:r w:rsidRPr="001A21FC">
              <w:rPr>
                <w:rFonts w:eastAsia="Times New Roman" w:cs="Arial"/>
                <w:color w:val="000000"/>
                <w:sz w:val="20"/>
                <w:szCs w:val="20"/>
                <w:lang w:eastAsia="en-AU"/>
              </w:rPr>
              <w:t>Variance to baseline ($m)</w:t>
            </w:r>
          </w:p>
        </w:tc>
        <w:tc>
          <w:tcPr>
            <w:tcW w:w="581" w:type="pct"/>
            <w:shd w:val="clear" w:color="auto" w:fill="auto"/>
            <w:noWrap/>
            <w:hideMark/>
          </w:tcPr>
          <w:p w14:paraId="66FBD6E6"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0</w:t>
            </w:r>
          </w:p>
        </w:tc>
        <w:tc>
          <w:tcPr>
            <w:tcW w:w="570" w:type="pct"/>
            <w:shd w:val="clear" w:color="auto" w:fill="auto"/>
            <w:noWrap/>
            <w:hideMark/>
          </w:tcPr>
          <w:p w14:paraId="667035C1"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1,013</w:t>
            </w:r>
          </w:p>
        </w:tc>
        <w:tc>
          <w:tcPr>
            <w:tcW w:w="570" w:type="pct"/>
            <w:shd w:val="clear" w:color="auto" w:fill="auto"/>
            <w:noWrap/>
            <w:hideMark/>
          </w:tcPr>
          <w:p w14:paraId="79CB2525"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2,197</w:t>
            </w:r>
          </w:p>
        </w:tc>
        <w:tc>
          <w:tcPr>
            <w:tcW w:w="570" w:type="pct"/>
            <w:tcBorders>
              <w:right w:val="dotted" w:sz="4" w:space="0" w:color="auto"/>
            </w:tcBorders>
            <w:shd w:val="clear" w:color="auto" w:fill="auto"/>
            <w:noWrap/>
            <w:hideMark/>
          </w:tcPr>
          <w:p w14:paraId="015CFC33"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3,583</w:t>
            </w:r>
          </w:p>
        </w:tc>
        <w:tc>
          <w:tcPr>
            <w:tcW w:w="570" w:type="pct"/>
            <w:tcBorders>
              <w:top w:val="nil"/>
              <w:left w:val="dotted" w:sz="4" w:space="0" w:color="auto"/>
              <w:bottom w:val="nil"/>
              <w:right w:val="single" w:sz="4" w:space="0" w:color="auto"/>
            </w:tcBorders>
            <w:shd w:val="clear" w:color="auto" w:fill="auto"/>
            <w:noWrap/>
            <w:hideMark/>
          </w:tcPr>
          <w:p w14:paraId="6743D876"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8,405</w:t>
            </w:r>
          </w:p>
        </w:tc>
        <w:tc>
          <w:tcPr>
            <w:tcW w:w="569" w:type="pct"/>
            <w:tcBorders>
              <w:left w:val="single" w:sz="4" w:space="0" w:color="auto"/>
            </w:tcBorders>
            <w:shd w:val="clear" w:color="auto" w:fill="auto"/>
            <w:noWrap/>
            <w:hideMark/>
          </w:tcPr>
          <w:p w14:paraId="30D41FF4"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6,793</w:t>
            </w:r>
          </w:p>
        </w:tc>
      </w:tr>
      <w:tr w:rsidR="00BC498F" w:rsidRPr="001A21FC" w14:paraId="3B228E72"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70" w:type="pct"/>
            <w:noWrap/>
            <w:hideMark/>
          </w:tcPr>
          <w:p w14:paraId="6344049B" w14:textId="77777777" w:rsidR="00BC498F" w:rsidRPr="001A21FC" w:rsidRDefault="00BC498F" w:rsidP="00BA7353">
            <w:pPr>
              <w:spacing w:after="0" w:line="240" w:lineRule="auto"/>
              <w:rPr>
                <w:rFonts w:eastAsia="Times New Roman" w:cs="Arial"/>
                <w:color w:val="000000"/>
                <w:sz w:val="20"/>
                <w:szCs w:val="20"/>
                <w:lang w:eastAsia="en-AU"/>
              </w:rPr>
            </w:pPr>
            <w:r w:rsidRPr="001A21FC">
              <w:rPr>
                <w:rFonts w:eastAsia="Times New Roman" w:cs="Arial"/>
                <w:color w:val="000000"/>
                <w:sz w:val="20"/>
                <w:szCs w:val="20"/>
                <w:lang w:eastAsia="en-AU"/>
              </w:rPr>
              <w:t>% variance to baseline</w:t>
            </w:r>
          </w:p>
        </w:tc>
        <w:tc>
          <w:tcPr>
            <w:tcW w:w="581" w:type="pct"/>
            <w:noWrap/>
            <w:hideMark/>
          </w:tcPr>
          <w:p w14:paraId="437194F6"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0.0%</w:t>
            </w:r>
          </w:p>
        </w:tc>
        <w:tc>
          <w:tcPr>
            <w:tcW w:w="570" w:type="pct"/>
            <w:noWrap/>
            <w:hideMark/>
          </w:tcPr>
          <w:p w14:paraId="776C755C"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2.9%</w:t>
            </w:r>
          </w:p>
        </w:tc>
        <w:tc>
          <w:tcPr>
            <w:tcW w:w="570" w:type="pct"/>
            <w:noWrap/>
            <w:hideMark/>
          </w:tcPr>
          <w:p w14:paraId="16DF3C04"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5.8%</w:t>
            </w:r>
          </w:p>
        </w:tc>
        <w:tc>
          <w:tcPr>
            <w:tcW w:w="570" w:type="pct"/>
            <w:tcBorders>
              <w:right w:val="dotted" w:sz="4" w:space="0" w:color="auto"/>
            </w:tcBorders>
            <w:noWrap/>
            <w:hideMark/>
          </w:tcPr>
          <w:p w14:paraId="0D0E2705"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8.8%</w:t>
            </w:r>
          </w:p>
        </w:tc>
        <w:tc>
          <w:tcPr>
            <w:tcW w:w="570" w:type="pct"/>
            <w:tcBorders>
              <w:top w:val="nil"/>
              <w:left w:val="dotted" w:sz="4" w:space="0" w:color="auto"/>
              <w:bottom w:val="nil"/>
              <w:right w:val="single" w:sz="4" w:space="0" w:color="auto"/>
            </w:tcBorders>
            <w:noWrap/>
            <w:hideMark/>
          </w:tcPr>
          <w:p w14:paraId="72FB9BD1"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15.5%</w:t>
            </w:r>
          </w:p>
        </w:tc>
        <w:tc>
          <w:tcPr>
            <w:tcW w:w="569" w:type="pct"/>
            <w:tcBorders>
              <w:left w:val="single" w:sz="4" w:space="0" w:color="auto"/>
            </w:tcBorders>
            <w:noWrap/>
            <w:hideMark/>
          </w:tcPr>
          <w:p w14:paraId="39959930"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4.7%</w:t>
            </w:r>
          </w:p>
        </w:tc>
      </w:tr>
      <w:tr w:rsidR="00BC498F" w:rsidRPr="001A21FC" w14:paraId="03181159"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70" w:type="pct"/>
            <w:shd w:val="clear" w:color="auto" w:fill="auto"/>
            <w:noWrap/>
            <w:hideMark/>
          </w:tcPr>
          <w:p w14:paraId="37BF743F" w14:textId="77777777" w:rsidR="00BC498F" w:rsidRPr="001A21FC" w:rsidRDefault="00BC498F" w:rsidP="00BA7353">
            <w:pPr>
              <w:spacing w:after="0" w:line="240" w:lineRule="auto"/>
              <w:rPr>
                <w:rFonts w:eastAsia="Times New Roman" w:cs="Arial"/>
                <w:b/>
                <w:bCs/>
                <w:i/>
                <w:iCs/>
                <w:color w:val="000000"/>
                <w:sz w:val="20"/>
                <w:szCs w:val="20"/>
                <w:lang w:eastAsia="en-AU"/>
              </w:rPr>
            </w:pPr>
            <w:r w:rsidRPr="001A21FC">
              <w:rPr>
                <w:rFonts w:eastAsia="Times New Roman" w:cs="Arial"/>
                <w:b/>
                <w:bCs/>
                <w:i/>
                <w:iCs/>
                <w:color w:val="000000"/>
                <w:sz w:val="20"/>
                <w:szCs w:val="20"/>
                <w:lang w:eastAsia="en-AU"/>
              </w:rPr>
              <w:t>New participants</w:t>
            </w:r>
          </w:p>
        </w:tc>
        <w:tc>
          <w:tcPr>
            <w:tcW w:w="581" w:type="pct"/>
            <w:shd w:val="clear" w:color="auto" w:fill="auto"/>
            <w:noWrap/>
            <w:hideMark/>
          </w:tcPr>
          <w:p w14:paraId="46DB5DA4"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 </w:t>
            </w:r>
          </w:p>
        </w:tc>
        <w:tc>
          <w:tcPr>
            <w:tcW w:w="570" w:type="pct"/>
            <w:shd w:val="clear" w:color="auto" w:fill="auto"/>
            <w:noWrap/>
            <w:hideMark/>
          </w:tcPr>
          <w:p w14:paraId="68A444BA"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 </w:t>
            </w:r>
          </w:p>
        </w:tc>
        <w:tc>
          <w:tcPr>
            <w:tcW w:w="570" w:type="pct"/>
            <w:shd w:val="clear" w:color="auto" w:fill="auto"/>
            <w:noWrap/>
            <w:hideMark/>
          </w:tcPr>
          <w:p w14:paraId="00ED7FD9"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 </w:t>
            </w:r>
          </w:p>
        </w:tc>
        <w:tc>
          <w:tcPr>
            <w:tcW w:w="570" w:type="pct"/>
            <w:tcBorders>
              <w:right w:val="dotted" w:sz="4" w:space="0" w:color="auto"/>
            </w:tcBorders>
            <w:shd w:val="clear" w:color="auto" w:fill="auto"/>
            <w:noWrap/>
            <w:hideMark/>
          </w:tcPr>
          <w:p w14:paraId="324E4701"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 </w:t>
            </w:r>
          </w:p>
        </w:tc>
        <w:tc>
          <w:tcPr>
            <w:tcW w:w="570" w:type="pct"/>
            <w:tcBorders>
              <w:top w:val="nil"/>
              <w:left w:val="dotted" w:sz="4" w:space="0" w:color="auto"/>
              <w:bottom w:val="nil"/>
              <w:right w:val="single" w:sz="4" w:space="0" w:color="auto"/>
            </w:tcBorders>
            <w:shd w:val="clear" w:color="auto" w:fill="auto"/>
            <w:noWrap/>
            <w:hideMark/>
          </w:tcPr>
          <w:p w14:paraId="0006BA6C"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 </w:t>
            </w:r>
          </w:p>
        </w:tc>
        <w:tc>
          <w:tcPr>
            <w:tcW w:w="569" w:type="pct"/>
            <w:tcBorders>
              <w:left w:val="single" w:sz="4" w:space="0" w:color="auto"/>
            </w:tcBorders>
            <w:shd w:val="clear" w:color="auto" w:fill="auto"/>
            <w:noWrap/>
            <w:hideMark/>
          </w:tcPr>
          <w:p w14:paraId="1D2A8409"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 </w:t>
            </w:r>
          </w:p>
        </w:tc>
      </w:tr>
      <w:tr w:rsidR="00BC498F" w:rsidRPr="001A21FC" w14:paraId="24204398"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70" w:type="pct"/>
            <w:noWrap/>
            <w:hideMark/>
          </w:tcPr>
          <w:p w14:paraId="4D5E320D" w14:textId="77777777" w:rsidR="00BC498F" w:rsidRPr="001A21FC" w:rsidRDefault="00BC498F" w:rsidP="00BA7353">
            <w:pPr>
              <w:spacing w:after="0" w:line="240" w:lineRule="auto"/>
              <w:rPr>
                <w:rFonts w:eastAsia="Times New Roman" w:cs="Arial"/>
                <w:color w:val="000000"/>
                <w:sz w:val="20"/>
                <w:szCs w:val="20"/>
                <w:lang w:eastAsia="en-AU"/>
              </w:rPr>
            </w:pPr>
            <w:r w:rsidRPr="001A21FC">
              <w:rPr>
                <w:rFonts w:eastAsia="Times New Roman" w:cs="Arial"/>
                <w:color w:val="000000"/>
                <w:sz w:val="20"/>
                <w:szCs w:val="20"/>
                <w:lang w:eastAsia="en-AU"/>
              </w:rPr>
              <w:t>Scheme Expenses ($m)</w:t>
            </w:r>
          </w:p>
        </w:tc>
        <w:tc>
          <w:tcPr>
            <w:tcW w:w="581" w:type="pct"/>
            <w:noWrap/>
            <w:hideMark/>
          </w:tcPr>
          <w:p w14:paraId="31B2ED16"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1,009</w:t>
            </w:r>
          </w:p>
        </w:tc>
        <w:tc>
          <w:tcPr>
            <w:tcW w:w="570" w:type="pct"/>
            <w:noWrap/>
            <w:hideMark/>
          </w:tcPr>
          <w:p w14:paraId="383E3B4F"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3,533</w:t>
            </w:r>
          </w:p>
        </w:tc>
        <w:tc>
          <w:tcPr>
            <w:tcW w:w="570" w:type="pct"/>
            <w:noWrap/>
            <w:hideMark/>
          </w:tcPr>
          <w:p w14:paraId="46762921"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6,830</w:t>
            </w:r>
          </w:p>
        </w:tc>
        <w:tc>
          <w:tcPr>
            <w:tcW w:w="570" w:type="pct"/>
            <w:tcBorders>
              <w:right w:val="dotted" w:sz="4" w:space="0" w:color="auto"/>
            </w:tcBorders>
            <w:noWrap/>
            <w:hideMark/>
          </w:tcPr>
          <w:p w14:paraId="3E14B240"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10,581</w:t>
            </w:r>
          </w:p>
        </w:tc>
        <w:tc>
          <w:tcPr>
            <w:tcW w:w="570" w:type="pct"/>
            <w:tcBorders>
              <w:top w:val="nil"/>
              <w:left w:val="dotted" w:sz="4" w:space="0" w:color="auto"/>
              <w:bottom w:val="nil"/>
              <w:right w:val="single" w:sz="4" w:space="0" w:color="auto"/>
            </w:tcBorders>
            <w:noWrap/>
            <w:hideMark/>
          </w:tcPr>
          <w:p w14:paraId="3B07243B"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40,449</w:t>
            </w:r>
          </w:p>
        </w:tc>
        <w:tc>
          <w:tcPr>
            <w:tcW w:w="569" w:type="pct"/>
            <w:tcBorders>
              <w:left w:val="single" w:sz="4" w:space="0" w:color="auto"/>
            </w:tcBorders>
            <w:noWrap/>
            <w:hideMark/>
          </w:tcPr>
          <w:p w14:paraId="1C05C341"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21,953</w:t>
            </w:r>
          </w:p>
        </w:tc>
      </w:tr>
      <w:tr w:rsidR="00BC498F" w:rsidRPr="001A21FC" w14:paraId="09B0F73A"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70" w:type="pct"/>
            <w:shd w:val="clear" w:color="auto" w:fill="auto"/>
            <w:noWrap/>
            <w:hideMark/>
          </w:tcPr>
          <w:p w14:paraId="04CDF3CA" w14:textId="77777777" w:rsidR="00BC498F" w:rsidRPr="001A21FC" w:rsidRDefault="00BC498F" w:rsidP="00BA7353">
            <w:pPr>
              <w:spacing w:after="0" w:line="240" w:lineRule="auto"/>
              <w:rPr>
                <w:rFonts w:eastAsia="Times New Roman" w:cs="Arial"/>
                <w:color w:val="000000"/>
                <w:sz w:val="20"/>
                <w:szCs w:val="20"/>
                <w:lang w:eastAsia="en-AU"/>
              </w:rPr>
            </w:pPr>
            <w:r w:rsidRPr="001A21FC">
              <w:rPr>
                <w:rFonts w:eastAsia="Times New Roman" w:cs="Arial"/>
                <w:color w:val="000000"/>
                <w:sz w:val="20"/>
                <w:szCs w:val="20"/>
                <w:lang w:eastAsia="en-AU"/>
              </w:rPr>
              <w:t>Variance to baseline ($m)</w:t>
            </w:r>
          </w:p>
        </w:tc>
        <w:tc>
          <w:tcPr>
            <w:tcW w:w="581" w:type="pct"/>
            <w:shd w:val="clear" w:color="auto" w:fill="auto"/>
            <w:noWrap/>
            <w:hideMark/>
          </w:tcPr>
          <w:p w14:paraId="6C0E507E"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0</w:t>
            </w:r>
          </w:p>
        </w:tc>
        <w:tc>
          <w:tcPr>
            <w:tcW w:w="570" w:type="pct"/>
            <w:shd w:val="clear" w:color="auto" w:fill="auto"/>
            <w:noWrap/>
            <w:hideMark/>
          </w:tcPr>
          <w:p w14:paraId="7C32CFE1"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100</w:t>
            </w:r>
          </w:p>
        </w:tc>
        <w:tc>
          <w:tcPr>
            <w:tcW w:w="570" w:type="pct"/>
            <w:shd w:val="clear" w:color="auto" w:fill="auto"/>
            <w:noWrap/>
            <w:hideMark/>
          </w:tcPr>
          <w:p w14:paraId="445DF056"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376</w:t>
            </w:r>
          </w:p>
        </w:tc>
        <w:tc>
          <w:tcPr>
            <w:tcW w:w="570" w:type="pct"/>
            <w:tcBorders>
              <w:right w:val="dotted" w:sz="4" w:space="0" w:color="auto"/>
            </w:tcBorders>
            <w:shd w:val="clear" w:color="auto" w:fill="auto"/>
            <w:noWrap/>
            <w:hideMark/>
          </w:tcPr>
          <w:p w14:paraId="62D9E7FC"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858</w:t>
            </w:r>
          </w:p>
        </w:tc>
        <w:tc>
          <w:tcPr>
            <w:tcW w:w="570" w:type="pct"/>
            <w:tcBorders>
              <w:top w:val="nil"/>
              <w:left w:val="dotted" w:sz="4" w:space="0" w:color="auto"/>
              <w:bottom w:val="nil"/>
              <w:right w:val="single" w:sz="4" w:space="0" w:color="auto"/>
            </w:tcBorders>
            <w:shd w:val="clear" w:color="auto" w:fill="auto"/>
            <w:noWrap/>
            <w:hideMark/>
          </w:tcPr>
          <w:p w14:paraId="5CA59918"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5,416</w:t>
            </w:r>
          </w:p>
        </w:tc>
        <w:tc>
          <w:tcPr>
            <w:tcW w:w="569" w:type="pct"/>
            <w:tcBorders>
              <w:left w:val="single" w:sz="4" w:space="0" w:color="auto"/>
            </w:tcBorders>
            <w:shd w:val="clear" w:color="auto" w:fill="auto"/>
            <w:noWrap/>
            <w:hideMark/>
          </w:tcPr>
          <w:p w14:paraId="57EF12CC"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1,334</w:t>
            </w:r>
          </w:p>
        </w:tc>
      </w:tr>
      <w:tr w:rsidR="00BC498F" w:rsidRPr="001A21FC" w14:paraId="62867CA0"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70" w:type="pct"/>
            <w:noWrap/>
            <w:hideMark/>
          </w:tcPr>
          <w:p w14:paraId="65091AC0" w14:textId="77777777" w:rsidR="00BC498F" w:rsidRPr="001A21FC" w:rsidRDefault="00BC498F" w:rsidP="00BA7353">
            <w:pPr>
              <w:spacing w:after="0" w:line="240" w:lineRule="auto"/>
              <w:rPr>
                <w:rFonts w:eastAsia="Times New Roman" w:cs="Arial"/>
                <w:color w:val="000000"/>
                <w:sz w:val="20"/>
                <w:szCs w:val="20"/>
                <w:lang w:eastAsia="en-AU"/>
              </w:rPr>
            </w:pPr>
            <w:r w:rsidRPr="001A21FC">
              <w:rPr>
                <w:rFonts w:eastAsia="Times New Roman" w:cs="Arial"/>
                <w:color w:val="000000"/>
                <w:sz w:val="20"/>
                <w:szCs w:val="20"/>
                <w:lang w:eastAsia="en-AU"/>
              </w:rPr>
              <w:t>% variance to baseline</w:t>
            </w:r>
          </w:p>
        </w:tc>
        <w:tc>
          <w:tcPr>
            <w:tcW w:w="581" w:type="pct"/>
            <w:noWrap/>
            <w:hideMark/>
          </w:tcPr>
          <w:p w14:paraId="295417CF"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0.0%</w:t>
            </w:r>
          </w:p>
        </w:tc>
        <w:tc>
          <w:tcPr>
            <w:tcW w:w="570" w:type="pct"/>
            <w:noWrap/>
            <w:hideMark/>
          </w:tcPr>
          <w:p w14:paraId="1A2234CC"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2.9%</w:t>
            </w:r>
          </w:p>
        </w:tc>
        <w:tc>
          <w:tcPr>
            <w:tcW w:w="570" w:type="pct"/>
            <w:noWrap/>
            <w:hideMark/>
          </w:tcPr>
          <w:p w14:paraId="2D502C5C"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5.8%</w:t>
            </w:r>
          </w:p>
        </w:tc>
        <w:tc>
          <w:tcPr>
            <w:tcW w:w="570" w:type="pct"/>
            <w:tcBorders>
              <w:right w:val="dotted" w:sz="4" w:space="0" w:color="auto"/>
            </w:tcBorders>
            <w:noWrap/>
            <w:hideMark/>
          </w:tcPr>
          <w:p w14:paraId="77C28C60"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8.8%</w:t>
            </w:r>
          </w:p>
        </w:tc>
        <w:tc>
          <w:tcPr>
            <w:tcW w:w="570" w:type="pct"/>
            <w:tcBorders>
              <w:top w:val="nil"/>
              <w:left w:val="dotted" w:sz="4" w:space="0" w:color="auto"/>
              <w:bottom w:val="nil"/>
              <w:right w:val="single" w:sz="4" w:space="0" w:color="auto"/>
            </w:tcBorders>
            <w:noWrap/>
            <w:hideMark/>
          </w:tcPr>
          <w:p w14:paraId="7D903F99"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15.5%</w:t>
            </w:r>
          </w:p>
        </w:tc>
        <w:tc>
          <w:tcPr>
            <w:tcW w:w="569" w:type="pct"/>
            <w:tcBorders>
              <w:left w:val="single" w:sz="4" w:space="0" w:color="auto"/>
            </w:tcBorders>
            <w:noWrap/>
            <w:hideMark/>
          </w:tcPr>
          <w:p w14:paraId="21E4D32F"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6.5%</w:t>
            </w:r>
          </w:p>
        </w:tc>
      </w:tr>
      <w:tr w:rsidR="00BC498F" w:rsidRPr="001A21FC" w14:paraId="7B0913D4"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70" w:type="pct"/>
            <w:shd w:val="clear" w:color="auto" w:fill="auto"/>
            <w:noWrap/>
            <w:hideMark/>
          </w:tcPr>
          <w:p w14:paraId="5C67FC10" w14:textId="77777777" w:rsidR="00BC498F" w:rsidRPr="001A21FC" w:rsidRDefault="00BC498F" w:rsidP="00BA7353">
            <w:pPr>
              <w:spacing w:after="0" w:line="240" w:lineRule="auto"/>
              <w:rPr>
                <w:rFonts w:eastAsia="Times New Roman" w:cs="Arial"/>
                <w:b/>
                <w:bCs/>
                <w:i/>
                <w:iCs/>
                <w:color w:val="000000"/>
                <w:sz w:val="20"/>
                <w:szCs w:val="20"/>
                <w:lang w:eastAsia="en-AU"/>
              </w:rPr>
            </w:pPr>
            <w:r w:rsidRPr="001A21FC">
              <w:rPr>
                <w:rFonts w:eastAsia="Times New Roman" w:cs="Arial"/>
                <w:b/>
                <w:bCs/>
                <w:i/>
                <w:iCs/>
                <w:color w:val="000000"/>
                <w:sz w:val="20"/>
                <w:szCs w:val="20"/>
                <w:lang w:eastAsia="en-AU"/>
              </w:rPr>
              <w:t>All projected participants</w:t>
            </w:r>
          </w:p>
        </w:tc>
        <w:tc>
          <w:tcPr>
            <w:tcW w:w="581" w:type="pct"/>
            <w:shd w:val="clear" w:color="auto" w:fill="auto"/>
            <w:noWrap/>
            <w:hideMark/>
          </w:tcPr>
          <w:p w14:paraId="1C3DC7E8"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 </w:t>
            </w:r>
          </w:p>
        </w:tc>
        <w:tc>
          <w:tcPr>
            <w:tcW w:w="570" w:type="pct"/>
            <w:shd w:val="clear" w:color="auto" w:fill="auto"/>
            <w:noWrap/>
            <w:hideMark/>
          </w:tcPr>
          <w:p w14:paraId="092ADDCF"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 </w:t>
            </w:r>
          </w:p>
        </w:tc>
        <w:tc>
          <w:tcPr>
            <w:tcW w:w="570" w:type="pct"/>
            <w:shd w:val="clear" w:color="auto" w:fill="auto"/>
            <w:noWrap/>
            <w:hideMark/>
          </w:tcPr>
          <w:p w14:paraId="4C8C0F76"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 </w:t>
            </w:r>
          </w:p>
        </w:tc>
        <w:tc>
          <w:tcPr>
            <w:tcW w:w="570" w:type="pct"/>
            <w:tcBorders>
              <w:right w:val="dotted" w:sz="4" w:space="0" w:color="auto"/>
            </w:tcBorders>
            <w:shd w:val="clear" w:color="auto" w:fill="auto"/>
            <w:noWrap/>
            <w:hideMark/>
          </w:tcPr>
          <w:p w14:paraId="343A03B9"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 </w:t>
            </w:r>
          </w:p>
        </w:tc>
        <w:tc>
          <w:tcPr>
            <w:tcW w:w="570" w:type="pct"/>
            <w:tcBorders>
              <w:top w:val="nil"/>
              <w:left w:val="dotted" w:sz="4" w:space="0" w:color="auto"/>
              <w:bottom w:val="nil"/>
              <w:right w:val="single" w:sz="4" w:space="0" w:color="auto"/>
            </w:tcBorders>
            <w:shd w:val="clear" w:color="auto" w:fill="auto"/>
            <w:noWrap/>
            <w:hideMark/>
          </w:tcPr>
          <w:p w14:paraId="30ADB297"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 </w:t>
            </w:r>
          </w:p>
        </w:tc>
        <w:tc>
          <w:tcPr>
            <w:tcW w:w="569" w:type="pct"/>
            <w:tcBorders>
              <w:left w:val="single" w:sz="4" w:space="0" w:color="auto"/>
            </w:tcBorders>
            <w:shd w:val="clear" w:color="auto" w:fill="auto"/>
            <w:noWrap/>
            <w:hideMark/>
          </w:tcPr>
          <w:p w14:paraId="12A9114B"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 </w:t>
            </w:r>
          </w:p>
        </w:tc>
      </w:tr>
      <w:tr w:rsidR="00BC498F" w:rsidRPr="001A21FC" w14:paraId="226E90C5"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70" w:type="pct"/>
            <w:noWrap/>
            <w:hideMark/>
          </w:tcPr>
          <w:p w14:paraId="264AA4F4" w14:textId="77777777" w:rsidR="00BC498F" w:rsidRPr="001A21FC" w:rsidRDefault="00BC498F" w:rsidP="00BA7353">
            <w:pPr>
              <w:spacing w:after="0" w:line="240" w:lineRule="auto"/>
              <w:rPr>
                <w:rFonts w:eastAsia="Times New Roman" w:cs="Arial"/>
                <w:color w:val="000000"/>
                <w:sz w:val="20"/>
                <w:szCs w:val="20"/>
                <w:lang w:eastAsia="en-AU"/>
              </w:rPr>
            </w:pPr>
            <w:r w:rsidRPr="001A21FC">
              <w:rPr>
                <w:rFonts w:eastAsia="Times New Roman" w:cs="Arial"/>
                <w:color w:val="000000"/>
                <w:sz w:val="20"/>
                <w:szCs w:val="20"/>
                <w:lang w:eastAsia="en-AU"/>
              </w:rPr>
              <w:t>Scheme Expenses ($m)</w:t>
            </w:r>
          </w:p>
        </w:tc>
        <w:tc>
          <w:tcPr>
            <w:tcW w:w="581" w:type="pct"/>
            <w:noWrap/>
            <w:hideMark/>
          </w:tcPr>
          <w:p w14:paraId="18A6DEB6"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33,976</w:t>
            </w:r>
          </w:p>
        </w:tc>
        <w:tc>
          <w:tcPr>
            <w:tcW w:w="570" w:type="pct"/>
            <w:noWrap/>
            <w:hideMark/>
          </w:tcPr>
          <w:p w14:paraId="54BABD30"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39,246</w:t>
            </w:r>
          </w:p>
        </w:tc>
        <w:tc>
          <w:tcPr>
            <w:tcW w:w="570" w:type="pct"/>
            <w:noWrap/>
            <w:hideMark/>
          </w:tcPr>
          <w:p w14:paraId="1AF8C8CF"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46,689</w:t>
            </w:r>
          </w:p>
        </w:tc>
        <w:tc>
          <w:tcPr>
            <w:tcW w:w="570" w:type="pct"/>
            <w:tcBorders>
              <w:right w:val="dotted" w:sz="4" w:space="0" w:color="auto"/>
            </w:tcBorders>
            <w:noWrap/>
            <w:hideMark/>
          </w:tcPr>
          <w:p w14:paraId="553C7607"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54,784</w:t>
            </w:r>
          </w:p>
        </w:tc>
        <w:tc>
          <w:tcPr>
            <w:tcW w:w="570" w:type="pct"/>
            <w:tcBorders>
              <w:top w:val="nil"/>
              <w:left w:val="dotted" w:sz="4" w:space="0" w:color="auto"/>
              <w:bottom w:val="nil"/>
              <w:right w:val="single" w:sz="4" w:space="0" w:color="auto"/>
            </w:tcBorders>
            <w:noWrap/>
            <w:hideMark/>
          </w:tcPr>
          <w:p w14:paraId="0B88D9AA"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103,224</w:t>
            </w:r>
          </w:p>
        </w:tc>
        <w:tc>
          <w:tcPr>
            <w:tcW w:w="569" w:type="pct"/>
            <w:tcBorders>
              <w:left w:val="single" w:sz="4" w:space="0" w:color="auto"/>
            </w:tcBorders>
            <w:noWrap/>
            <w:hideMark/>
          </w:tcPr>
          <w:p w14:paraId="1C13108C"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174,696</w:t>
            </w:r>
          </w:p>
        </w:tc>
      </w:tr>
      <w:tr w:rsidR="00BC498F" w:rsidRPr="001A21FC" w14:paraId="0F4B9AC8"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570" w:type="pct"/>
            <w:shd w:val="clear" w:color="auto" w:fill="auto"/>
            <w:noWrap/>
            <w:hideMark/>
          </w:tcPr>
          <w:p w14:paraId="06B49B1B" w14:textId="77777777" w:rsidR="00BC498F" w:rsidRPr="001A21FC" w:rsidRDefault="00BC498F" w:rsidP="00BA7353">
            <w:pPr>
              <w:spacing w:after="0" w:line="240" w:lineRule="auto"/>
              <w:rPr>
                <w:rFonts w:eastAsia="Times New Roman" w:cs="Arial"/>
                <w:color w:val="000000"/>
                <w:sz w:val="20"/>
                <w:szCs w:val="20"/>
                <w:lang w:eastAsia="en-AU"/>
              </w:rPr>
            </w:pPr>
            <w:r w:rsidRPr="001A21FC">
              <w:rPr>
                <w:rFonts w:eastAsia="Times New Roman" w:cs="Arial"/>
                <w:color w:val="000000"/>
                <w:sz w:val="20"/>
                <w:szCs w:val="20"/>
                <w:lang w:eastAsia="en-AU"/>
              </w:rPr>
              <w:t>Variance to baseline ($m)</w:t>
            </w:r>
          </w:p>
        </w:tc>
        <w:tc>
          <w:tcPr>
            <w:tcW w:w="581" w:type="pct"/>
            <w:shd w:val="clear" w:color="auto" w:fill="auto"/>
            <w:noWrap/>
            <w:hideMark/>
          </w:tcPr>
          <w:p w14:paraId="59AEFD80"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0</w:t>
            </w:r>
          </w:p>
        </w:tc>
        <w:tc>
          <w:tcPr>
            <w:tcW w:w="570" w:type="pct"/>
            <w:shd w:val="clear" w:color="auto" w:fill="auto"/>
            <w:noWrap/>
            <w:hideMark/>
          </w:tcPr>
          <w:p w14:paraId="293FF529"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1,114</w:t>
            </w:r>
          </w:p>
        </w:tc>
        <w:tc>
          <w:tcPr>
            <w:tcW w:w="570" w:type="pct"/>
            <w:shd w:val="clear" w:color="auto" w:fill="auto"/>
            <w:noWrap/>
            <w:hideMark/>
          </w:tcPr>
          <w:p w14:paraId="15AD01AF"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2,573</w:t>
            </w:r>
          </w:p>
        </w:tc>
        <w:tc>
          <w:tcPr>
            <w:tcW w:w="570" w:type="pct"/>
            <w:tcBorders>
              <w:right w:val="dotted" w:sz="4" w:space="0" w:color="auto"/>
            </w:tcBorders>
            <w:shd w:val="clear" w:color="auto" w:fill="auto"/>
            <w:noWrap/>
            <w:hideMark/>
          </w:tcPr>
          <w:p w14:paraId="29265D9C"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4,441</w:t>
            </w:r>
          </w:p>
        </w:tc>
        <w:tc>
          <w:tcPr>
            <w:tcW w:w="570" w:type="pct"/>
            <w:tcBorders>
              <w:top w:val="nil"/>
              <w:left w:val="dotted" w:sz="4" w:space="0" w:color="auto"/>
              <w:bottom w:val="nil"/>
              <w:right w:val="single" w:sz="4" w:space="0" w:color="auto"/>
            </w:tcBorders>
            <w:shd w:val="clear" w:color="auto" w:fill="auto"/>
            <w:noWrap/>
            <w:hideMark/>
          </w:tcPr>
          <w:p w14:paraId="3FE1E4A4"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13,821</w:t>
            </w:r>
          </w:p>
        </w:tc>
        <w:tc>
          <w:tcPr>
            <w:tcW w:w="569" w:type="pct"/>
            <w:tcBorders>
              <w:left w:val="single" w:sz="4" w:space="0" w:color="auto"/>
            </w:tcBorders>
            <w:shd w:val="clear" w:color="auto" w:fill="auto"/>
            <w:noWrap/>
            <w:hideMark/>
          </w:tcPr>
          <w:p w14:paraId="580D3F8B" w14:textId="77777777" w:rsidR="00BC498F" w:rsidRPr="001A21FC" w:rsidRDefault="00BC498F" w:rsidP="00BA7353">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8,127</w:t>
            </w:r>
          </w:p>
        </w:tc>
      </w:tr>
      <w:tr w:rsidR="00BC498F" w:rsidRPr="001A21FC" w14:paraId="3DD0D609"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627D919E" w14:textId="77777777" w:rsidR="00BC498F" w:rsidRPr="001A21FC" w:rsidRDefault="00BC498F" w:rsidP="00BA7353">
            <w:pPr>
              <w:spacing w:after="0" w:line="240" w:lineRule="auto"/>
              <w:rPr>
                <w:rFonts w:eastAsia="Times New Roman" w:cs="Arial"/>
                <w:color w:val="000000"/>
                <w:sz w:val="20"/>
                <w:szCs w:val="20"/>
                <w:lang w:eastAsia="en-AU"/>
              </w:rPr>
            </w:pPr>
            <w:r w:rsidRPr="001A21FC">
              <w:rPr>
                <w:rFonts w:eastAsia="Times New Roman" w:cs="Arial"/>
                <w:color w:val="000000"/>
                <w:sz w:val="20"/>
                <w:szCs w:val="20"/>
                <w:lang w:eastAsia="en-AU"/>
              </w:rPr>
              <w:t>% variance to baseline</w:t>
            </w:r>
          </w:p>
        </w:tc>
        <w:tc>
          <w:tcPr>
            <w:tcW w:w="0" w:type="pct"/>
            <w:noWrap/>
            <w:hideMark/>
          </w:tcPr>
          <w:p w14:paraId="064845A0"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0.0%</w:t>
            </w:r>
          </w:p>
        </w:tc>
        <w:tc>
          <w:tcPr>
            <w:tcW w:w="0" w:type="pct"/>
            <w:noWrap/>
            <w:hideMark/>
          </w:tcPr>
          <w:p w14:paraId="1DA3BBD5"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2.9%</w:t>
            </w:r>
          </w:p>
        </w:tc>
        <w:tc>
          <w:tcPr>
            <w:tcW w:w="0" w:type="pct"/>
            <w:noWrap/>
            <w:hideMark/>
          </w:tcPr>
          <w:p w14:paraId="2D699067"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5.8%</w:t>
            </w:r>
          </w:p>
        </w:tc>
        <w:tc>
          <w:tcPr>
            <w:tcW w:w="0" w:type="pct"/>
            <w:tcBorders>
              <w:right w:val="dotted" w:sz="4" w:space="0" w:color="auto"/>
            </w:tcBorders>
            <w:noWrap/>
            <w:hideMark/>
          </w:tcPr>
          <w:p w14:paraId="45D597D5"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8.8%</w:t>
            </w:r>
          </w:p>
        </w:tc>
        <w:tc>
          <w:tcPr>
            <w:tcW w:w="0" w:type="pct"/>
            <w:tcBorders>
              <w:top w:val="nil"/>
              <w:left w:val="dotted" w:sz="4" w:space="0" w:color="auto"/>
              <w:bottom w:val="single" w:sz="4" w:space="0" w:color="auto"/>
              <w:right w:val="single" w:sz="4" w:space="0" w:color="auto"/>
            </w:tcBorders>
            <w:noWrap/>
            <w:hideMark/>
          </w:tcPr>
          <w:p w14:paraId="2E2EAD1B"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15.5%</w:t>
            </w:r>
          </w:p>
        </w:tc>
        <w:tc>
          <w:tcPr>
            <w:tcW w:w="0" w:type="pct"/>
            <w:tcBorders>
              <w:left w:val="single" w:sz="4" w:space="0" w:color="auto"/>
              <w:bottom w:val="single" w:sz="4" w:space="0" w:color="auto"/>
            </w:tcBorders>
            <w:noWrap/>
            <w:hideMark/>
          </w:tcPr>
          <w:p w14:paraId="4FB3BFC5" w14:textId="77777777" w:rsidR="00BC498F" w:rsidRPr="001A21FC" w:rsidRDefault="00BC498F" w:rsidP="00BA7353">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A21FC">
              <w:rPr>
                <w:rFonts w:eastAsia="Times New Roman" w:cs="Arial"/>
                <w:color w:val="000000"/>
                <w:sz w:val="20"/>
                <w:szCs w:val="20"/>
                <w:lang w:eastAsia="en-AU"/>
              </w:rPr>
              <w:t>4.9%</w:t>
            </w:r>
          </w:p>
        </w:tc>
      </w:tr>
    </w:tbl>
    <w:p w14:paraId="0FAFFF93" w14:textId="77777777" w:rsidR="00BC498F" w:rsidRDefault="00BC498F" w:rsidP="00BC498F">
      <w:pPr>
        <w:pStyle w:val="FSRnormal"/>
      </w:pPr>
      <w:r w:rsidRPr="00632BD3">
        <w:rPr>
          <w:rStyle w:val="FSRnormalChar"/>
        </w:rPr>
        <w:t xml:space="preserve">It is important to note that the assumptions used for the ‘higher </w:t>
      </w:r>
      <w:r>
        <w:rPr>
          <w:rStyle w:val="FSRnormalChar"/>
        </w:rPr>
        <w:t xml:space="preserve">additional </w:t>
      </w:r>
      <w:r w:rsidRPr="00632BD3">
        <w:rPr>
          <w:rStyle w:val="FSRnormalChar"/>
        </w:rPr>
        <w:t xml:space="preserve">inflation’ scenario are an alternative view of future expectations based on actual experience and hence the results should not be regarded as an upper bound or extreme. Further discussion on the range of </w:t>
      </w:r>
      <w:r w:rsidRPr="00013EB3">
        <w:rPr>
          <w:rStyle w:val="FSRnormalChar"/>
        </w:rPr>
        <w:t xml:space="preserve">projection results based on a quantitative view of key risks and </w:t>
      </w:r>
      <w:r w:rsidR="000219C6" w:rsidRPr="00013EB3">
        <w:rPr>
          <w:rStyle w:val="FSRnormalChar"/>
        </w:rPr>
        <w:t>uncertainty</w:t>
      </w:r>
      <w:r w:rsidRPr="00013EB3">
        <w:t xml:space="preserve"> is included in </w:t>
      </w:r>
      <w:r w:rsidRPr="00C53CDC">
        <w:t>Section 6.2</w:t>
      </w:r>
      <w:r w:rsidRPr="00013EB3">
        <w:t>.</w:t>
      </w:r>
    </w:p>
    <w:p w14:paraId="6DEC57E2" w14:textId="77777777" w:rsidR="00BC7588" w:rsidRDefault="002963EC" w:rsidP="00F830E6">
      <w:pPr>
        <w:pStyle w:val="FSRHeading4"/>
      </w:pPr>
      <w:r>
        <w:t>Overall comments on scenarios</w:t>
      </w:r>
    </w:p>
    <w:p w14:paraId="1EF45CC2" w14:textId="77777777" w:rsidR="00BC498F" w:rsidRDefault="00303757" w:rsidP="00BC498F">
      <w:pPr>
        <w:pStyle w:val="FSRnormal"/>
      </w:pPr>
      <w:r w:rsidRPr="00DA3F73">
        <w:t xml:space="preserve">These results indicate that the projected Scheme expenses are most sensitive to the assumptions for additional inflation. In the longer term, the results are also sensitive to the assumptions regarding numbers of new entrants to the Scheme. </w:t>
      </w:r>
    </w:p>
    <w:p w14:paraId="1F97486F" w14:textId="77777777" w:rsidR="00BC498F" w:rsidRDefault="00BC498F" w:rsidP="00BC498F">
      <w:pPr>
        <w:pStyle w:val="FSRnormal"/>
      </w:pPr>
      <w:r w:rsidRPr="00632BD3">
        <w:t xml:space="preserve">In the 2020-21 AFSR, a set of combined scenarios relating to both existing and new participants were included. These scenarios were used to illustrate a plausible range of projected </w:t>
      </w:r>
      <w:r>
        <w:t>Scheme expenses</w:t>
      </w:r>
      <w:r w:rsidRPr="00632BD3">
        <w:t xml:space="preserve">. At that time, it was noted that the range adopted included considerably more </w:t>
      </w:r>
      <w:r>
        <w:t xml:space="preserve">risk that the estimates were an under-estimate rather than an over-estimate. </w:t>
      </w:r>
      <w:r w:rsidRPr="00632BD3">
        <w:t xml:space="preserve">This resulted from considerably greater upside risk relating to </w:t>
      </w:r>
      <w:r>
        <w:t xml:space="preserve">additional </w:t>
      </w:r>
      <w:r w:rsidRPr="00632BD3">
        <w:t xml:space="preserve">inflation, new </w:t>
      </w:r>
      <w:r>
        <w:t xml:space="preserve">entrants </w:t>
      </w:r>
      <w:r w:rsidRPr="00632BD3">
        <w:t xml:space="preserve">and </w:t>
      </w:r>
      <w:r>
        <w:t xml:space="preserve">the </w:t>
      </w:r>
      <w:r w:rsidRPr="00632BD3">
        <w:t>rate</w:t>
      </w:r>
      <w:r>
        <w:t xml:space="preserve"> of participants leaving the Scheme.</w:t>
      </w:r>
    </w:p>
    <w:p w14:paraId="09C28885" w14:textId="77777777" w:rsidR="00BC498F" w:rsidRDefault="00BC498F" w:rsidP="00BC498F">
      <w:pPr>
        <w:pStyle w:val="FSRnormal"/>
      </w:pPr>
      <w:r w:rsidRPr="6D5F3EEF">
        <w:t xml:space="preserve">Since the previous review, a stochastic model of the AFSR projections has been developed and this provides a more rigorous approach to measuring the level of uncertainty in projected </w:t>
      </w:r>
      <w:r>
        <w:t>Scheme expenses</w:t>
      </w:r>
      <w:r w:rsidRPr="00263BB5">
        <w:t>. This model is describe</w:t>
      </w:r>
      <w:r>
        <w:t xml:space="preserve">d in Section 6.2 </w:t>
      </w:r>
      <w:r w:rsidRPr="00263BB5">
        <w:t>along with the results produced by the model in respect of the 2021-22 AFSR projections.</w:t>
      </w:r>
    </w:p>
    <w:p w14:paraId="06FC00A8" w14:textId="77777777" w:rsidR="007D705A" w:rsidRDefault="007D705A">
      <w:pPr>
        <w:spacing w:after="160" w:line="259" w:lineRule="auto"/>
        <w:rPr>
          <w:rFonts w:eastAsiaTheme="minorHAnsi"/>
          <w:b/>
          <w:bCs/>
          <w:szCs w:val="18"/>
          <w:highlight w:val="magenta"/>
          <w:lang w:eastAsia="en-US"/>
        </w:rPr>
      </w:pPr>
      <w:bookmarkStart w:id="264" w:name="_Ref80431110"/>
      <w:bookmarkStart w:id="265" w:name="_Ref111712365"/>
    </w:p>
    <w:p w14:paraId="0CB1D233" w14:textId="77777777" w:rsidR="007264B8" w:rsidRDefault="007264B8">
      <w:pPr>
        <w:spacing w:after="160" w:line="259" w:lineRule="auto"/>
        <w:rPr>
          <w:rFonts w:eastAsiaTheme="minorHAnsi"/>
          <w:b/>
          <w:color w:val="6A2875"/>
          <w:sz w:val="36"/>
          <w:szCs w:val="44"/>
        </w:rPr>
      </w:pPr>
      <w:bookmarkStart w:id="266" w:name="_Toc114844918"/>
      <w:bookmarkEnd w:id="264"/>
      <w:bookmarkEnd w:id="265"/>
      <w:bookmarkEnd w:id="266"/>
      <w:r>
        <w:br w:type="page"/>
      </w:r>
    </w:p>
    <w:p w14:paraId="1CD9A59A" w14:textId="77777777" w:rsidR="00CF6AA7" w:rsidRPr="003D17B3" w:rsidRDefault="00CF6AA7" w:rsidP="005D06CE">
      <w:pPr>
        <w:pStyle w:val="Heading3"/>
      </w:pPr>
      <w:bookmarkStart w:id="267" w:name="_Toc118460211"/>
      <w:r>
        <w:lastRenderedPageBreak/>
        <w:t>Stochastic modelling</w:t>
      </w:r>
      <w:bookmarkEnd w:id="267"/>
    </w:p>
    <w:p w14:paraId="64B2CBD3" w14:textId="77777777" w:rsidR="00CF6AA7" w:rsidRPr="0056627C" w:rsidRDefault="00CF6AA7" w:rsidP="006416C7">
      <w:pPr>
        <w:pStyle w:val="FSRHeading4"/>
        <w:rPr>
          <w:rFonts w:eastAsia="Times New Roman" w:cs="Arial"/>
          <w:sz w:val="21"/>
          <w:szCs w:val="21"/>
          <w:lang w:eastAsia="en-AU"/>
        </w:rPr>
      </w:pPr>
      <w:r w:rsidRPr="000D2530">
        <w:t>Approach</w:t>
      </w:r>
    </w:p>
    <w:p w14:paraId="3A425769" w14:textId="77777777" w:rsidR="00CF6AA7" w:rsidRPr="00632BD3" w:rsidRDefault="00CF6AA7" w:rsidP="00632BD3">
      <w:pPr>
        <w:pStyle w:val="FSRnormal"/>
      </w:pPr>
      <w:r w:rsidRPr="00632BD3">
        <w:t xml:space="preserve">In addition to the deterministic analysis </w:t>
      </w:r>
      <w:r w:rsidR="00CF4652">
        <w:t>in this report</w:t>
      </w:r>
      <w:r w:rsidRPr="00632BD3">
        <w:t>, a stochastic projection model</w:t>
      </w:r>
      <w:r w:rsidR="00F12B2F">
        <w:t xml:space="preserve"> </w:t>
      </w:r>
      <w:r w:rsidRPr="00632BD3">
        <w:t>was</w:t>
      </w:r>
      <w:r w:rsidR="00645477">
        <w:t xml:space="preserve"> developed</w:t>
      </w:r>
      <w:r w:rsidRPr="00632BD3">
        <w:t xml:space="preserve"> to analyse the uncertainty of future Scheme </w:t>
      </w:r>
      <w:r w:rsidR="00F12B2F">
        <w:t xml:space="preserve">expense </w:t>
      </w:r>
      <w:r w:rsidRPr="00632BD3">
        <w:t>outcomes</w:t>
      </w:r>
      <w:r w:rsidR="00CF4652">
        <w:t xml:space="preserve"> </w:t>
      </w:r>
      <w:r w:rsidR="00CF4652" w:rsidRPr="00632BD3">
        <w:t>(</w:t>
      </w:r>
      <w:r w:rsidR="00645477">
        <w:t>“</w:t>
      </w:r>
      <w:r w:rsidR="00CF4652" w:rsidRPr="00632BD3">
        <w:t>S</w:t>
      </w:r>
      <w:r w:rsidR="00CF4652">
        <w:t xml:space="preserve">tochastic </w:t>
      </w:r>
      <w:r w:rsidR="00CF4652" w:rsidRPr="00632BD3">
        <w:t>Model</w:t>
      </w:r>
      <w:r w:rsidR="00645477">
        <w:t>”</w:t>
      </w:r>
      <w:r w:rsidR="00CF4652" w:rsidRPr="00632BD3">
        <w:t>)</w:t>
      </w:r>
      <w:r w:rsidRPr="00632BD3">
        <w:t>.</w:t>
      </w:r>
      <w:r w:rsidR="00CF4652">
        <w:t xml:space="preserve"> </w:t>
      </w:r>
      <w:r w:rsidR="0026795F">
        <w:t>T</w:t>
      </w:r>
      <w:r w:rsidRPr="00632BD3">
        <w:t xml:space="preserve">he assumptions in the model have been selected to align with the key risks of the Scheme. </w:t>
      </w:r>
    </w:p>
    <w:p w14:paraId="1E20375B" w14:textId="77777777" w:rsidR="00CF6AA7" w:rsidRPr="00632BD3" w:rsidRDefault="00CF6AA7" w:rsidP="00632BD3">
      <w:pPr>
        <w:pStyle w:val="FSRnormal"/>
      </w:pPr>
      <w:r w:rsidRPr="00632BD3">
        <w:t xml:space="preserve">Risk variability, and associated correlations, were determined using analysis of historic data, external benchmarks, scenario analysis and actuarial judgement. Assumptions of the </w:t>
      </w:r>
      <w:r w:rsidR="00CF4652">
        <w:t xml:space="preserve">Stochastic </w:t>
      </w:r>
      <w:r w:rsidRPr="00632BD3">
        <w:t xml:space="preserve">Model were randomly varied, based on the risk analysis, to determine a distribution of expected future </w:t>
      </w:r>
      <w:r w:rsidR="00CF4652">
        <w:t xml:space="preserve">Scheme expense </w:t>
      </w:r>
      <w:r w:rsidRPr="00632BD3">
        <w:t>outcomes, using 5,000 simulations.</w:t>
      </w:r>
    </w:p>
    <w:p w14:paraId="54F85A3A" w14:textId="77777777" w:rsidR="00CF6AA7" w:rsidRPr="000D2530" w:rsidRDefault="00CF6AA7" w:rsidP="00CF6AA7">
      <w:pPr>
        <w:pStyle w:val="FSRHeading4"/>
        <w:rPr>
          <w:b w:val="0"/>
          <w:i/>
        </w:rPr>
      </w:pPr>
      <w:r w:rsidRPr="000D2530">
        <w:t>Identification of key risks</w:t>
      </w:r>
      <w:r w:rsidR="00CF4652">
        <w:t xml:space="preserve"> for stochastic modelling</w:t>
      </w:r>
    </w:p>
    <w:p w14:paraId="56AA3770" w14:textId="77777777" w:rsidR="00CF6AA7" w:rsidRPr="009A5ABC" w:rsidRDefault="00CF6AA7" w:rsidP="00CF6AA7">
      <w:pPr>
        <w:pStyle w:val="FSRnormal"/>
      </w:pPr>
      <w:r w:rsidRPr="009A5ABC">
        <w:t xml:space="preserve">The review of NDIA documents identified a wide number of risks related to the AFSR </w:t>
      </w:r>
      <w:r w:rsidR="00B479B6">
        <w:t xml:space="preserve">Scheme expense </w:t>
      </w:r>
      <w:r w:rsidRPr="009A5ABC">
        <w:t xml:space="preserve">projections. These risks were grouped into broader categories, reflective of the key assumptions within the </w:t>
      </w:r>
      <w:r w:rsidR="000412D1">
        <w:t xml:space="preserve">Stochastic </w:t>
      </w:r>
      <w:r w:rsidRPr="009A5ABC">
        <w:t>Model.</w:t>
      </w:r>
    </w:p>
    <w:p w14:paraId="5B1DB1C1" w14:textId="77777777" w:rsidR="00CF6AA7" w:rsidRPr="00632BD3" w:rsidRDefault="00CF6AA7" w:rsidP="00632BD3">
      <w:pPr>
        <w:pStyle w:val="FSRnormal"/>
      </w:pPr>
      <w:r w:rsidRPr="00632BD3">
        <w:t>The key risks determined as part of the risk analysis were:</w:t>
      </w:r>
    </w:p>
    <w:p w14:paraId="1D3932CD" w14:textId="77777777" w:rsidR="00CF6AA7" w:rsidRPr="009A5ABC" w:rsidRDefault="00B479B6" w:rsidP="00CF6AA7">
      <w:pPr>
        <w:pStyle w:val="FSRlist"/>
      </w:pPr>
      <w:r>
        <w:rPr>
          <w:b/>
        </w:rPr>
        <w:t xml:space="preserve">Additional </w:t>
      </w:r>
      <w:r w:rsidR="00CF6AA7" w:rsidRPr="009A5ABC">
        <w:rPr>
          <w:b/>
        </w:rPr>
        <w:t>inflation:</w:t>
      </w:r>
      <w:r w:rsidR="00CF6AA7" w:rsidRPr="009A5ABC">
        <w:t xml:space="preserve"> An analysis of the latest four years of escalation </w:t>
      </w:r>
      <w:r>
        <w:t xml:space="preserve">in average payments </w:t>
      </w:r>
      <w:r w:rsidR="00CF6AA7" w:rsidRPr="009A5ABC">
        <w:t xml:space="preserve">identified high variation in </w:t>
      </w:r>
      <w:r>
        <w:t xml:space="preserve">payments </w:t>
      </w:r>
      <w:r w:rsidR="00CF6AA7" w:rsidRPr="009A5ABC">
        <w:t>above normal inflation. The key components included internal pricing reviews (which often recommended above</w:t>
      </w:r>
      <w:r w:rsidR="00CF6AA7" w:rsidRPr="009A5ABC">
        <w:noBreakHyphen/>
        <w:t>normal inflation price limit increases), increasing volumes and types of supports being provided to participants, and deteriorating participant functiona</w:t>
      </w:r>
      <w:r w:rsidR="006B22C2">
        <w:t>l</w:t>
      </w:r>
      <w:r w:rsidR="00CF6AA7" w:rsidRPr="009A5ABC">
        <w:t xml:space="preserve"> assessments (leading to higher average plan budgets).</w:t>
      </w:r>
    </w:p>
    <w:p w14:paraId="365E955A" w14:textId="77777777" w:rsidR="00CF6AA7" w:rsidRPr="009A5ABC" w:rsidRDefault="00CF6AA7" w:rsidP="00CF6AA7">
      <w:pPr>
        <w:pStyle w:val="FSRlist"/>
      </w:pPr>
      <w:r w:rsidRPr="009A5ABC">
        <w:rPr>
          <w:b/>
        </w:rPr>
        <w:t>Model specification risk:</w:t>
      </w:r>
      <w:r w:rsidRPr="009A5ABC">
        <w:t xml:space="preserve"> The dynamically changing nature of the NDIS means that the </w:t>
      </w:r>
      <w:r w:rsidR="000412D1">
        <w:t xml:space="preserve">deterministic </w:t>
      </w:r>
      <w:r w:rsidRPr="009A5ABC">
        <w:t xml:space="preserve">projection model is an imperfect representation of the future payment process, leading to potential bias in the projections. This risk is high at this review, given the NDIS </w:t>
      </w:r>
      <w:r w:rsidR="000412D1">
        <w:t xml:space="preserve">payment </w:t>
      </w:r>
      <w:r w:rsidRPr="009A5ABC">
        <w:t>processes are still evolving, meaning a limited history for assumption setting, as well as some limitations in the data available for analysis. </w:t>
      </w:r>
    </w:p>
    <w:p w14:paraId="65945DFB" w14:textId="77777777" w:rsidR="00CF6AA7" w:rsidRDefault="00CF6AA7" w:rsidP="00CF6AA7">
      <w:pPr>
        <w:pStyle w:val="FSRlist"/>
      </w:pPr>
      <w:r w:rsidRPr="009A5ABC">
        <w:rPr>
          <w:b/>
        </w:rPr>
        <w:t>Normal inflation:</w:t>
      </w:r>
      <w:r w:rsidRPr="009A5ABC">
        <w:t xml:space="preserve"> The S</w:t>
      </w:r>
      <w:r w:rsidR="000412D1">
        <w:t xml:space="preserve">tochastic </w:t>
      </w:r>
      <w:r w:rsidRPr="009A5ABC">
        <w:t xml:space="preserve">Model has allowed for heightened uncertainty above recent historic levels. The higher uncertainty reflects escalating Australian inflation </w:t>
      </w:r>
      <w:r w:rsidR="00645477">
        <w:t>rates</w:t>
      </w:r>
      <w:r w:rsidRPr="009A5ABC">
        <w:t>, similar experience overseas, increased geopolitical uncertainties, significant supply chain issues and the residual impacts of previous monetary policy initiatives.</w:t>
      </w:r>
    </w:p>
    <w:p w14:paraId="07E6608C" w14:textId="77777777" w:rsidR="00B2285B" w:rsidRPr="009A5ABC" w:rsidRDefault="00CF6AA7" w:rsidP="00F830E6">
      <w:pPr>
        <w:pStyle w:val="FSRlist"/>
        <w:numPr>
          <w:ilvl w:val="0"/>
          <w:numId w:val="0"/>
        </w:numPr>
        <w:ind w:left="360"/>
      </w:pPr>
      <w:r w:rsidRPr="00B2285B">
        <w:rPr>
          <w:b/>
        </w:rPr>
        <w:t>New entrants:</w:t>
      </w:r>
      <w:r w:rsidRPr="009A5ABC">
        <w:t xml:space="preserve"> The Scheme continues to experience higher new entrants than anticipated, particularly for people with autism</w:t>
      </w:r>
      <w:r w:rsidR="004A4D3D">
        <w:t>. S</w:t>
      </w:r>
      <w:r w:rsidRPr="009A5ABC">
        <w:t xml:space="preserve">ome </w:t>
      </w:r>
      <w:r w:rsidR="004A4D3D">
        <w:t xml:space="preserve">also </w:t>
      </w:r>
      <w:r w:rsidRPr="009A5ABC">
        <w:t>relates to previously unmet need from former disability systems. The steady state level of new entrants is unknown and will partly depend on how future eligibility assessments are processed.</w:t>
      </w:r>
    </w:p>
    <w:p w14:paraId="2C127FBA" w14:textId="77777777" w:rsidR="00B2285B" w:rsidRDefault="00B2285B">
      <w:pPr>
        <w:spacing w:after="160" w:line="259" w:lineRule="auto"/>
        <w:rPr>
          <w:b/>
        </w:rPr>
      </w:pPr>
      <w:r>
        <w:rPr>
          <w:b/>
        </w:rPr>
        <w:br w:type="page"/>
      </w:r>
    </w:p>
    <w:p w14:paraId="5CBAC422" w14:textId="77777777" w:rsidR="00CF6AA7" w:rsidRPr="009A5ABC" w:rsidRDefault="00CF6AA7" w:rsidP="00CF6AA7">
      <w:pPr>
        <w:pStyle w:val="FSRlist"/>
      </w:pPr>
      <w:r w:rsidRPr="009A5ABC">
        <w:rPr>
          <w:b/>
        </w:rPr>
        <w:lastRenderedPageBreak/>
        <w:t>Plan utilisation:</w:t>
      </w:r>
      <w:r w:rsidRPr="009A5ABC">
        <w:t xml:space="preserve"> The projected utilisation of plan budgets is uncertain, although likely to rise as participants better navigate the NDIS system, provider markets continue to develop and as the plan assessment process better reflects a participants reasonable and necessary needs.</w:t>
      </w:r>
    </w:p>
    <w:p w14:paraId="040323B9" w14:textId="77777777" w:rsidR="00CF6AA7" w:rsidRPr="009A5ABC" w:rsidRDefault="00CF6AA7" w:rsidP="00CF6AA7">
      <w:pPr>
        <w:pStyle w:val="FSRnormal"/>
      </w:pPr>
      <w:r w:rsidRPr="009A5ABC">
        <w:t xml:space="preserve">An analysis of correlations between model assumptions identified two main relationships. The first was a link between </w:t>
      </w:r>
      <w:r w:rsidR="00B479B6">
        <w:t xml:space="preserve">additional </w:t>
      </w:r>
      <w:r w:rsidRPr="009A5ABC">
        <w:t>inflation in participants</w:t>
      </w:r>
      <w:r w:rsidR="008F7FEC">
        <w:t xml:space="preserve"> with and without SIL</w:t>
      </w:r>
      <w:r w:rsidRPr="009A5ABC">
        <w:t>. The second was a negative correlation between the rate of change of average plan budgets and plan budget utilisation. The Scheme experience is insufficiently developed to allow identification and quantification of other correlations.</w:t>
      </w:r>
    </w:p>
    <w:p w14:paraId="077E1BBF" w14:textId="77777777" w:rsidR="00CF6AA7" w:rsidRPr="000D2530" w:rsidRDefault="00CF6AA7" w:rsidP="00CF6AA7">
      <w:pPr>
        <w:pStyle w:val="FSRHeading4"/>
        <w:rPr>
          <w:b w:val="0"/>
          <w:i/>
        </w:rPr>
      </w:pPr>
      <w:r w:rsidRPr="000D2530">
        <w:t>Key uncertainty results</w:t>
      </w:r>
    </w:p>
    <w:p w14:paraId="0BFB0FF5" w14:textId="77777777" w:rsidR="00CF6AA7" w:rsidRPr="0056627C" w:rsidRDefault="000219C6" w:rsidP="00CF6AA7">
      <w:pPr>
        <w:pStyle w:val="FSRnormal"/>
        <w:rPr>
          <w:lang w:eastAsia="en-AU"/>
        </w:rPr>
      </w:pPr>
      <w:r w:rsidRPr="000878B6">
        <w:t xml:space="preserve">Table </w:t>
      </w:r>
      <w:r w:rsidRPr="000878B6">
        <w:rPr>
          <w:noProof/>
        </w:rPr>
        <w:t>6.</w:t>
      </w:r>
      <w:r>
        <w:rPr>
          <w:noProof/>
        </w:rPr>
        <w:t>13</w:t>
      </w:r>
      <w:r w:rsidR="00CF6AA7" w:rsidRPr="006D4384">
        <w:rPr>
          <w:lang w:eastAsia="en-AU"/>
        </w:rPr>
        <w:t xml:space="preserve"> shows the results of the </w:t>
      </w:r>
      <w:r w:rsidR="000412D1">
        <w:rPr>
          <w:lang w:eastAsia="en-AU"/>
        </w:rPr>
        <w:t>S</w:t>
      </w:r>
      <w:r w:rsidR="00CF6AA7" w:rsidRPr="006D4384">
        <w:rPr>
          <w:lang w:eastAsia="en-AU"/>
        </w:rPr>
        <w:t xml:space="preserve">tochastic </w:t>
      </w:r>
      <w:r w:rsidR="000412D1">
        <w:rPr>
          <w:lang w:eastAsia="en-AU"/>
        </w:rPr>
        <w:t xml:space="preserve">Model </w:t>
      </w:r>
      <w:r w:rsidR="00CF6AA7" w:rsidRPr="006D4384">
        <w:rPr>
          <w:lang w:eastAsia="en-AU"/>
        </w:rPr>
        <w:t xml:space="preserve">by projection year, </w:t>
      </w:r>
      <w:r w:rsidR="0076365A">
        <w:rPr>
          <w:lang w:eastAsia="en-AU"/>
        </w:rPr>
        <w:t>expressed as the difference between the projected Scheme expense at key percentiles and the b</w:t>
      </w:r>
      <w:r w:rsidR="000C5627">
        <w:rPr>
          <w:lang w:eastAsia="en-AU"/>
        </w:rPr>
        <w:t>ase</w:t>
      </w:r>
      <w:r w:rsidR="0076365A">
        <w:rPr>
          <w:lang w:eastAsia="en-AU"/>
        </w:rPr>
        <w:t xml:space="preserve"> projection. The </w:t>
      </w:r>
      <w:r w:rsidR="00CF6AA7" w:rsidRPr="0056627C">
        <w:rPr>
          <w:lang w:eastAsia="en-AU"/>
        </w:rPr>
        <w:t>standard deviation and coefficient of variation</w:t>
      </w:r>
      <w:r w:rsidR="00043001">
        <w:rPr>
          <w:rStyle w:val="FootnoteReference"/>
          <w:lang w:eastAsia="en-AU"/>
        </w:rPr>
        <w:footnoteReference w:id="117"/>
      </w:r>
      <w:r w:rsidR="00CF6AA7">
        <w:rPr>
          <w:lang w:eastAsia="en-AU"/>
        </w:rPr>
        <w:t xml:space="preserve"> (“CoV”)</w:t>
      </w:r>
      <w:r w:rsidR="0076365A">
        <w:rPr>
          <w:lang w:eastAsia="en-AU"/>
        </w:rPr>
        <w:t xml:space="preserve"> from the Stochastic Model for each projection year are also shown</w:t>
      </w:r>
      <w:r w:rsidR="00CF6AA7">
        <w:rPr>
          <w:lang w:eastAsia="en-AU"/>
        </w:rPr>
        <w:t>.</w:t>
      </w:r>
    </w:p>
    <w:p w14:paraId="399FEBDE" w14:textId="77777777" w:rsidR="00CF6AA7" w:rsidRPr="009A5ABC" w:rsidRDefault="00CF6AA7" w:rsidP="00CF6AA7">
      <w:pPr>
        <w:pStyle w:val="Tables"/>
        <w:keepLines/>
      </w:pPr>
      <w:bookmarkStart w:id="268" w:name="_Ref111712456"/>
      <w:r w:rsidRPr="000878B6">
        <w:t xml:space="preserve">Table </w:t>
      </w:r>
      <w:fldSimple w:instr=" STYLEREF 2 \s ">
        <w:r w:rsidR="00A87896">
          <w:rPr>
            <w:noProof/>
          </w:rPr>
          <w:t>6</w:t>
        </w:r>
      </w:fldSimple>
      <w:r w:rsidR="00A87896">
        <w:t>.</w:t>
      </w:r>
      <w:fldSimple w:instr=" SEQ Table \* ARABIC \s 2 ">
        <w:r w:rsidR="00A87896">
          <w:rPr>
            <w:noProof/>
          </w:rPr>
          <w:t>13</w:t>
        </w:r>
      </w:fldSimple>
      <w:bookmarkEnd w:id="268"/>
      <w:r w:rsidRPr="000878B6">
        <w:t>:</w:t>
      </w:r>
      <w:r w:rsidR="0061785D" w:rsidRPr="000878B6">
        <w:t xml:space="preserve"> </w:t>
      </w:r>
      <w:r w:rsidR="00B479B6" w:rsidRPr="000878B6">
        <w:t xml:space="preserve">Scheme </w:t>
      </w:r>
      <w:r w:rsidR="00D03D78" w:rsidRPr="000878B6">
        <w:t>e</w:t>
      </w:r>
      <w:r w:rsidR="0061785D" w:rsidRPr="000878B6">
        <w:t>xpense</w:t>
      </w:r>
      <w:r w:rsidRPr="000878B6">
        <w:t xml:space="preserve"> percentiles ($m) and CoV by projection year</w:t>
      </w:r>
    </w:p>
    <w:tbl>
      <w:tblPr>
        <w:tblStyle w:val="FSRtable"/>
        <w:tblW w:w="0" w:type="auto"/>
        <w:tblInd w:w="0" w:type="dxa"/>
        <w:tblLayout w:type="fixed"/>
        <w:tblLook w:val="04A0" w:firstRow="1" w:lastRow="0" w:firstColumn="1" w:lastColumn="0" w:noHBand="0" w:noVBand="1"/>
      </w:tblPr>
      <w:tblGrid>
        <w:gridCol w:w="2077"/>
        <w:gridCol w:w="1078"/>
        <w:gridCol w:w="1078"/>
        <w:gridCol w:w="1078"/>
        <w:gridCol w:w="1078"/>
        <w:gridCol w:w="1078"/>
        <w:gridCol w:w="927"/>
      </w:tblGrid>
      <w:tr w:rsidR="00CF6AA7" w:rsidRPr="00F41C56" w14:paraId="6B7623F6" w14:textId="77777777" w:rsidTr="00F830E6">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000" w:firstRow="0" w:lastRow="0" w:firstColumn="1" w:lastColumn="0" w:oddVBand="0" w:evenVBand="0" w:oddHBand="0" w:evenHBand="0" w:firstRowFirstColumn="0" w:firstRowLastColumn="0" w:lastRowFirstColumn="0" w:lastRowLastColumn="0"/>
            <w:tcW w:w="2077" w:type="dxa"/>
            <w:vMerge w:val="restart"/>
            <w:hideMark/>
          </w:tcPr>
          <w:p w14:paraId="47287086" w14:textId="77777777" w:rsidR="00CF6AA7" w:rsidRPr="00DA3F73" w:rsidRDefault="00CF6AA7">
            <w:pPr>
              <w:spacing w:after="0"/>
              <w:textAlignment w:val="baseline"/>
              <w:rPr>
                <w:rFonts w:eastAsia="Times New Roman"/>
                <w:bCs/>
                <w:i/>
                <w:iCs/>
                <w:color w:val="800000"/>
                <w:sz w:val="18"/>
                <w:szCs w:val="18"/>
                <w:lang w:eastAsia="en-AU"/>
              </w:rPr>
            </w:pPr>
            <w:r w:rsidRPr="00DA3F73">
              <w:rPr>
                <w:rFonts w:eastAsia="Times New Roman"/>
                <w:bCs/>
                <w:color w:val="FFFFFF"/>
                <w:sz w:val="18"/>
                <w:szCs w:val="18"/>
                <w:lang w:eastAsia="en-AU"/>
              </w:rPr>
              <w:t>Percentiles</w:t>
            </w:r>
            <w:r w:rsidRPr="00DA3F73">
              <w:rPr>
                <w:rFonts w:eastAsia="Times New Roman"/>
                <w:color w:val="FFFFFF"/>
                <w:sz w:val="18"/>
                <w:szCs w:val="18"/>
                <w:lang w:eastAsia="en-AU"/>
              </w:rPr>
              <w:t> </w:t>
            </w:r>
          </w:p>
        </w:tc>
        <w:tc>
          <w:tcPr>
            <w:tcW w:w="5390" w:type="dxa"/>
            <w:gridSpan w:val="5"/>
            <w:tcBorders>
              <w:top w:val="single" w:sz="4" w:space="0" w:color="auto"/>
              <w:bottom w:val="dotted" w:sz="4" w:space="0" w:color="FFFFFF" w:themeColor="background1"/>
            </w:tcBorders>
            <w:hideMark/>
          </w:tcPr>
          <w:p w14:paraId="7571AC74" w14:textId="77777777" w:rsidR="00CF6AA7" w:rsidRPr="00DA3F73" w:rsidRDefault="000C5627">
            <w:pPr>
              <w:spacing w:after="0"/>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Cs/>
                <w:i/>
                <w:iCs/>
                <w:color w:val="800000"/>
                <w:sz w:val="18"/>
                <w:szCs w:val="18"/>
                <w:lang w:eastAsia="en-AU"/>
              </w:rPr>
            </w:pPr>
            <w:r>
              <w:rPr>
                <w:rFonts w:eastAsia="Times New Roman"/>
                <w:bCs/>
                <w:sz w:val="18"/>
                <w:szCs w:val="18"/>
                <w:lang w:eastAsia="en-AU"/>
              </w:rPr>
              <w:t>Scheme e</w:t>
            </w:r>
            <w:r w:rsidR="00381F7D" w:rsidRPr="00DA3F73">
              <w:rPr>
                <w:rFonts w:eastAsia="Times New Roman"/>
                <w:bCs/>
                <w:sz w:val="18"/>
                <w:szCs w:val="18"/>
                <w:lang w:eastAsia="en-AU"/>
              </w:rPr>
              <w:t>xpense</w:t>
            </w:r>
            <w:r>
              <w:rPr>
                <w:rFonts w:eastAsia="Times New Roman"/>
                <w:bCs/>
                <w:sz w:val="18"/>
                <w:szCs w:val="18"/>
                <w:lang w:eastAsia="en-AU"/>
              </w:rPr>
              <w:t xml:space="preserve"> for percentile less base</w:t>
            </w:r>
            <w:r w:rsidR="002A6CCF">
              <w:rPr>
                <w:rFonts w:eastAsia="Times New Roman"/>
                <w:bCs/>
                <w:sz w:val="18"/>
                <w:szCs w:val="18"/>
                <w:lang w:eastAsia="en-AU"/>
              </w:rPr>
              <w:t>line</w:t>
            </w:r>
            <w:r>
              <w:rPr>
                <w:rFonts w:eastAsia="Times New Roman"/>
                <w:bCs/>
                <w:sz w:val="18"/>
                <w:szCs w:val="18"/>
                <w:lang w:eastAsia="en-AU"/>
              </w:rPr>
              <w:t xml:space="preserve"> projection</w:t>
            </w:r>
            <w:r w:rsidR="00381F7D" w:rsidRPr="00DA3F73">
              <w:rPr>
                <w:rFonts w:eastAsia="Times New Roman"/>
                <w:bCs/>
                <w:sz w:val="18"/>
                <w:szCs w:val="18"/>
                <w:lang w:eastAsia="en-AU"/>
              </w:rPr>
              <w:t xml:space="preserve"> </w:t>
            </w:r>
            <w:r w:rsidR="00CF6AA7" w:rsidRPr="00DA3F73">
              <w:rPr>
                <w:rFonts w:eastAsia="Times New Roman"/>
                <w:bCs/>
                <w:sz w:val="18"/>
                <w:szCs w:val="18"/>
                <w:lang w:eastAsia="en-AU"/>
              </w:rPr>
              <w:t>($m)</w:t>
            </w:r>
          </w:p>
        </w:tc>
        <w:tc>
          <w:tcPr>
            <w:tcW w:w="927" w:type="dxa"/>
            <w:tcBorders>
              <w:top w:val="single" w:sz="4" w:space="0" w:color="auto"/>
              <w:bottom w:val="dotted" w:sz="4" w:space="0" w:color="FFFFFF" w:themeColor="background1"/>
            </w:tcBorders>
            <w:hideMark/>
          </w:tcPr>
          <w:p w14:paraId="24F1CDF0" w14:textId="77777777" w:rsidR="00CF6AA7" w:rsidRPr="00DA3F73" w:rsidRDefault="00CF6AA7" w:rsidP="00DA3F73">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i/>
                <w:iCs/>
                <w:sz w:val="18"/>
                <w:szCs w:val="18"/>
                <w:lang w:eastAsia="en-AU"/>
              </w:rPr>
            </w:pPr>
          </w:p>
        </w:tc>
      </w:tr>
      <w:tr w:rsidR="000219C6" w:rsidRPr="00F41C56" w14:paraId="0525B9D8" w14:textId="77777777" w:rsidTr="00F830E6">
        <w:trPr>
          <w:cnfStyle w:val="100000000000" w:firstRow="1" w:lastRow="0" w:firstColumn="0" w:lastColumn="0" w:oddVBand="0" w:evenVBand="0" w:oddHBand="0" w:evenHBand="0" w:firstRowFirstColumn="0" w:firstRowLastColumn="0" w:lastRowFirstColumn="0" w:lastRowLastColumn="0"/>
          <w:trHeight w:hRule="exact" w:val="341"/>
          <w:tblHeader/>
        </w:trPr>
        <w:tc>
          <w:tcPr>
            <w:cnfStyle w:val="001000000000" w:firstRow="0" w:lastRow="0" w:firstColumn="1" w:lastColumn="0" w:oddVBand="0" w:evenVBand="0" w:oddHBand="0" w:evenHBand="0" w:firstRowFirstColumn="0" w:firstRowLastColumn="0" w:lastRowFirstColumn="0" w:lastRowLastColumn="0"/>
            <w:tcW w:w="2077" w:type="dxa"/>
            <w:vMerge/>
            <w:hideMark/>
          </w:tcPr>
          <w:p w14:paraId="2E4E81EA" w14:textId="77777777" w:rsidR="00CF6AA7" w:rsidRPr="00DA3F73" w:rsidRDefault="00CF6AA7" w:rsidP="00DA3F73">
            <w:pPr>
              <w:spacing w:after="0"/>
              <w:textAlignment w:val="baseline"/>
              <w:rPr>
                <w:rFonts w:eastAsia="Times New Roman"/>
                <w:sz w:val="18"/>
                <w:szCs w:val="18"/>
                <w:lang w:eastAsia="en-AU"/>
              </w:rPr>
            </w:pPr>
          </w:p>
        </w:tc>
        <w:tc>
          <w:tcPr>
            <w:tcW w:w="1078" w:type="dxa"/>
            <w:tcBorders>
              <w:top w:val="dotted" w:sz="4" w:space="0" w:color="FFFFFF" w:themeColor="background1"/>
              <w:bottom w:val="nil"/>
            </w:tcBorders>
            <w:vAlign w:val="bottom"/>
            <w:hideMark/>
          </w:tcPr>
          <w:p w14:paraId="14DAB711" w14:textId="77777777" w:rsidR="00CF6AA7" w:rsidRPr="00191697" w:rsidRDefault="00CF6AA7">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AU"/>
              </w:rPr>
            </w:pPr>
            <w:r w:rsidRPr="00191697">
              <w:rPr>
                <w:rFonts w:eastAsia="Times New Roman"/>
                <w:bCs/>
                <w:color w:val="FFFFFF"/>
                <w:sz w:val="18"/>
                <w:szCs w:val="18"/>
                <w:lang w:eastAsia="en-AU"/>
              </w:rPr>
              <w:t>2022-23</w:t>
            </w:r>
            <w:r w:rsidRPr="00191697">
              <w:rPr>
                <w:rFonts w:eastAsia="Times New Roman"/>
                <w:color w:val="FFFFFF"/>
                <w:sz w:val="18"/>
                <w:szCs w:val="18"/>
                <w:lang w:eastAsia="en-AU"/>
              </w:rPr>
              <w:t> </w:t>
            </w:r>
          </w:p>
        </w:tc>
        <w:tc>
          <w:tcPr>
            <w:tcW w:w="1078" w:type="dxa"/>
            <w:tcBorders>
              <w:top w:val="dotted" w:sz="4" w:space="0" w:color="FFFFFF" w:themeColor="background1"/>
              <w:bottom w:val="nil"/>
            </w:tcBorders>
            <w:vAlign w:val="bottom"/>
            <w:hideMark/>
          </w:tcPr>
          <w:p w14:paraId="25ADBE7A" w14:textId="77777777" w:rsidR="00CF6AA7" w:rsidRPr="00191697" w:rsidRDefault="00CF6AA7">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AU"/>
              </w:rPr>
            </w:pPr>
            <w:r w:rsidRPr="00191697">
              <w:rPr>
                <w:rFonts w:eastAsia="Times New Roman"/>
                <w:bCs/>
                <w:color w:val="FFFFFF"/>
                <w:sz w:val="18"/>
                <w:szCs w:val="18"/>
                <w:lang w:eastAsia="en-AU"/>
              </w:rPr>
              <w:t>2023-24</w:t>
            </w:r>
            <w:r w:rsidRPr="00191697">
              <w:rPr>
                <w:rFonts w:eastAsia="Times New Roman"/>
                <w:color w:val="FFFFFF"/>
                <w:sz w:val="18"/>
                <w:szCs w:val="18"/>
                <w:lang w:eastAsia="en-AU"/>
              </w:rPr>
              <w:t> </w:t>
            </w:r>
          </w:p>
        </w:tc>
        <w:tc>
          <w:tcPr>
            <w:tcW w:w="1078" w:type="dxa"/>
            <w:tcBorders>
              <w:top w:val="dotted" w:sz="4" w:space="0" w:color="FFFFFF" w:themeColor="background1"/>
              <w:bottom w:val="nil"/>
            </w:tcBorders>
            <w:vAlign w:val="bottom"/>
            <w:hideMark/>
          </w:tcPr>
          <w:p w14:paraId="157103BF" w14:textId="77777777" w:rsidR="00CF6AA7" w:rsidRPr="00191697" w:rsidRDefault="00CF6AA7">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AU"/>
              </w:rPr>
            </w:pPr>
            <w:r w:rsidRPr="00191697">
              <w:rPr>
                <w:rFonts w:eastAsia="Times New Roman"/>
                <w:bCs/>
                <w:color w:val="FFFFFF"/>
                <w:sz w:val="18"/>
                <w:szCs w:val="18"/>
                <w:lang w:eastAsia="en-AU"/>
              </w:rPr>
              <w:t>2024-25</w:t>
            </w:r>
            <w:r w:rsidRPr="00191697">
              <w:rPr>
                <w:rFonts w:eastAsia="Times New Roman"/>
                <w:color w:val="FFFFFF"/>
                <w:sz w:val="18"/>
                <w:szCs w:val="18"/>
                <w:lang w:eastAsia="en-AU"/>
              </w:rPr>
              <w:t> </w:t>
            </w:r>
          </w:p>
        </w:tc>
        <w:tc>
          <w:tcPr>
            <w:tcW w:w="1078" w:type="dxa"/>
            <w:tcBorders>
              <w:top w:val="dotted" w:sz="4" w:space="0" w:color="FFFFFF" w:themeColor="background1"/>
              <w:bottom w:val="nil"/>
              <w:right w:val="dotted" w:sz="4" w:space="0" w:color="auto"/>
            </w:tcBorders>
            <w:vAlign w:val="bottom"/>
            <w:hideMark/>
          </w:tcPr>
          <w:p w14:paraId="2BA97D6C" w14:textId="77777777" w:rsidR="00CF6AA7" w:rsidRPr="00191697" w:rsidRDefault="00CF6AA7">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AU"/>
              </w:rPr>
            </w:pPr>
            <w:r w:rsidRPr="00191697">
              <w:rPr>
                <w:rFonts w:eastAsia="Times New Roman"/>
                <w:bCs/>
                <w:color w:val="FFFFFF"/>
                <w:sz w:val="18"/>
                <w:szCs w:val="18"/>
                <w:lang w:eastAsia="en-AU"/>
              </w:rPr>
              <w:t>2025-26</w:t>
            </w:r>
            <w:r w:rsidRPr="00191697">
              <w:rPr>
                <w:rFonts w:eastAsia="Times New Roman"/>
                <w:color w:val="FFFFFF"/>
                <w:sz w:val="18"/>
                <w:szCs w:val="18"/>
                <w:lang w:eastAsia="en-AU"/>
              </w:rPr>
              <w:t> </w:t>
            </w:r>
          </w:p>
        </w:tc>
        <w:tc>
          <w:tcPr>
            <w:tcW w:w="1078" w:type="dxa"/>
            <w:tcBorders>
              <w:top w:val="dotted" w:sz="4" w:space="0" w:color="FFFFFF" w:themeColor="background1"/>
              <w:left w:val="dotted" w:sz="4" w:space="0" w:color="auto"/>
              <w:bottom w:val="nil"/>
              <w:right w:val="single" w:sz="4" w:space="0" w:color="auto"/>
            </w:tcBorders>
            <w:vAlign w:val="bottom"/>
            <w:hideMark/>
          </w:tcPr>
          <w:p w14:paraId="203D5335" w14:textId="77777777" w:rsidR="00CF6AA7" w:rsidRPr="00191697" w:rsidRDefault="00CF6AA7">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AU"/>
              </w:rPr>
            </w:pPr>
            <w:r w:rsidRPr="00191697">
              <w:rPr>
                <w:rFonts w:eastAsia="Times New Roman"/>
                <w:bCs/>
                <w:color w:val="FFFFFF"/>
                <w:sz w:val="18"/>
                <w:szCs w:val="18"/>
                <w:lang w:eastAsia="en-AU"/>
              </w:rPr>
              <w:t>2031-32</w:t>
            </w:r>
            <w:r w:rsidRPr="00191697">
              <w:rPr>
                <w:rFonts w:eastAsia="Times New Roman"/>
                <w:color w:val="FFFFFF"/>
                <w:sz w:val="18"/>
                <w:szCs w:val="18"/>
                <w:lang w:eastAsia="en-AU"/>
              </w:rPr>
              <w:t> </w:t>
            </w:r>
          </w:p>
        </w:tc>
        <w:tc>
          <w:tcPr>
            <w:tcW w:w="927" w:type="dxa"/>
            <w:tcBorders>
              <w:top w:val="dotted" w:sz="4" w:space="0" w:color="FFFFFF" w:themeColor="background1"/>
              <w:left w:val="single" w:sz="4" w:space="0" w:color="auto"/>
              <w:bottom w:val="nil"/>
            </w:tcBorders>
            <w:vAlign w:val="bottom"/>
            <w:hideMark/>
          </w:tcPr>
          <w:p w14:paraId="6BADC9DB" w14:textId="77777777" w:rsidR="00CF6AA7" w:rsidRPr="00191697" w:rsidRDefault="00CF6AA7">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bCs/>
                <w:sz w:val="18"/>
                <w:szCs w:val="18"/>
                <w:lang w:eastAsia="en-AU"/>
              </w:rPr>
            </w:pPr>
            <w:r w:rsidRPr="00191697">
              <w:rPr>
                <w:rFonts w:eastAsia="Times New Roman"/>
                <w:bCs/>
                <w:sz w:val="18"/>
                <w:szCs w:val="18"/>
                <w:lang w:eastAsia="en-AU"/>
              </w:rPr>
              <w:t>2022-26 </w:t>
            </w:r>
          </w:p>
        </w:tc>
      </w:tr>
      <w:tr w:rsidR="000219C6" w:rsidRPr="00F41C56" w14:paraId="6DD38C05"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2077" w:type="dxa"/>
            <w:shd w:val="clear" w:color="auto" w:fill="auto"/>
            <w:hideMark/>
          </w:tcPr>
          <w:p w14:paraId="13573A82" w14:textId="77777777" w:rsidR="000C5627" w:rsidRPr="00DA3F73" w:rsidRDefault="000C5627" w:rsidP="00DA3F73">
            <w:pPr>
              <w:spacing w:after="0"/>
              <w:textAlignment w:val="baseline"/>
              <w:rPr>
                <w:rFonts w:eastAsia="Times New Roman" w:cs="Arial"/>
                <w:sz w:val="18"/>
                <w:szCs w:val="18"/>
                <w:lang w:eastAsia="en-AU"/>
              </w:rPr>
            </w:pPr>
            <w:r w:rsidRPr="00DA3F73">
              <w:rPr>
                <w:rFonts w:eastAsia="Times New Roman" w:cs="Arial"/>
                <w:color w:val="000000"/>
                <w:sz w:val="18"/>
                <w:szCs w:val="18"/>
                <w:lang w:eastAsia="en-AU"/>
              </w:rPr>
              <w:t>5.0% </w:t>
            </w:r>
          </w:p>
        </w:tc>
        <w:tc>
          <w:tcPr>
            <w:tcW w:w="1078" w:type="dxa"/>
            <w:tcBorders>
              <w:top w:val="nil"/>
              <w:bottom w:val="nil"/>
            </w:tcBorders>
            <w:shd w:val="clear" w:color="auto" w:fill="auto"/>
            <w:hideMark/>
          </w:tcPr>
          <w:p w14:paraId="146C590F" w14:textId="77777777" w:rsidR="000C5627" w:rsidRPr="00DA3F73" w:rsidRDefault="000C562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-2,132</w:t>
            </w:r>
          </w:p>
        </w:tc>
        <w:tc>
          <w:tcPr>
            <w:tcW w:w="1078" w:type="dxa"/>
            <w:tcBorders>
              <w:top w:val="nil"/>
              <w:bottom w:val="nil"/>
            </w:tcBorders>
            <w:shd w:val="clear" w:color="auto" w:fill="auto"/>
            <w:hideMark/>
          </w:tcPr>
          <w:p w14:paraId="1BA14109" w14:textId="77777777" w:rsidR="000C5627" w:rsidRPr="00DA3F73" w:rsidRDefault="000C562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-2,908</w:t>
            </w:r>
          </w:p>
        </w:tc>
        <w:tc>
          <w:tcPr>
            <w:tcW w:w="1078" w:type="dxa"/>
            <w:tcBorders>
              <w:top w:val="nil"/>
              <w:bottom w:val="nil"/>
            </w:tcBorders>
            <w:shd w:val="clear" w:color="auto" w:fill="auto"/>
            <w:hideMark/>
          </w:tcPr>
          <w:p w14:paraId="1448ACAC" w14:textId="77777777" w:rsidR="000C5627" w:rsidRPr="00DA3F73" w:rsidRDefault="000C562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-4,048</w:t>
            </w:r>
          </w:p>
        </w:tc>
        <w:tc>
          <w:tcPr>
            <w:tcW w:w="1078" w:type="dxa"/>
            <w:tcBorders>
              <w:top w:val="nil"/>
              <w:bottom w:val="nil"/>
              <w:right w:val="dotted" w:sz="4" w:space="0" w:color="auto"/>
            </w:tcBorders>
            <w:shd w:val="clear" w:color="auto" w:fill="auto"/>
            <w:hideMark/>
          </w:tcPr>
          <w:p w14:paraId="4314F104" w14:textId="77777777" w:rsidR="000C5627" w:rsidRPr="00DA3F73" w:rsidRDefault="000C562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-5,233</w:t>
            </w:r>
          </w:p>
        </w:tc>
        <w:tc>
          <w:tcPr>
            <w:tcW w:w="1078" w:type="dxa"/>
            <w:tcBorders>
              <w:top w:val="nil"/>
              <w:left w:val="dotted" w:sz="4" w:space="0" w:color="auto"/>
              <w:bottom w:val="nil"/>
              <w:right w:val="single" w:sz="4" w:space="0" w:color="auto"/>
            </w:tcBorders>
            <w:shd w:val="clear" w:color="auto" w:fill="auto"/>
            <w:hideMark/>
          </w:tcPr>
          <w:p w14:paraId="156EF894" w14:textId="77777777" w:rsidR="000C5627" w:rsidRPr="00DA3F73" w:rsidRDefault="000C562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-16,701</w:t>
            </w:r>
          </w:p>
        </w:tc>
        <w:tc>
          <w:tcPr>
            <w:tcW w:w="927" w:type="dxa"/>
            <w:tcBorders>
              <w:top w:val="nil"/>
              <w:left w:val="single" w:sz="4" w:space="0" w:color="auto"/>
              <w:bottom w:val="nil"/>
            </w:tcBorders>
            <w:shd w:val="clear" w:color="auto" w:fill="auto"/>
            <w:hideMark/>
          </w:tcPr>
          <w:p w14:paraId="5D42FC3D" w14:textId="77777777" w:rsidR="000C5627" w:rsidRPr="00DA3F73" w:rsidRDefault="000C562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-13,185</w:t>
            </w:r>
          </w:p>
        </w:tc>
      </w:tr>
      <w:tr w:rsidR="000C5627" w:rsidRPr="00F41C56" w14:paraId="03658B20"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77" w:type="dxa"/>
            <w:hideMark/>
          </w:tcPr>
          <w:p w14:paraId="67AF902E" w14:textId="77777777" w:rsidR="000C5627" w:rsidRPr="00DA3F73" w:rsidRDefault="000C5627" w:rsidP="00DA3F73">
            <w:pPr>
              <w:spacing w:after="0"/>
              <w:textAlignment w:val="baseline"/>
              <w:rPr>
                <w:rFonts w:eastAsia="Times New Roman" w:cs="Arial"/>
                <w:sz w:val="18"/>
                <w:szCs w:val="18"/>
                <w:lang w:eastAsia="en-AU"/>
              </w:rPr>
            </w:pPr>
            <w:r w:rsidRPr="00DA3F73">
              <w:rPr>
                <w:rFonts w:eastAsia="Times New Roman" w:cs="Arial"/>
                <w:color w:val="000000"/>
                <w:sz w:val="18"/>
                <w:szCs w:val="18"/>
                <w:lang w:eastAsia="en-AU"/>
              </w:rPr>
              <w:t>25.0% </w:t>
            </w:r>
          </w:p>
        </w:tc>
        <w:tc>
          <w:tcPr>
            <w:tcW w:w="1078" w:type="dxa"/>
            <w:tcBorders>
              <w:top w:val="nil"/>
            </w:tcBorders>
            <w:hideMark/>
          </w:tcPr>
          <w:p w14:paraId="553B11FF" w14:textId="77777777" w:rsidR="000C5627" w:rsidRPr="00DA3F73"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-731</w:t>
            </w:r>
          </w:p>
        </w:tc>
        <w:tc>
          <w:tcPr>
            <w:tcW w:w="1078" w:type="dxa"/>
            <w:tcBorders>
              <w:top w:val="nil"/>
            </w:tcBorders>
            <w:hideMark/>
          </w:tcPr>
          <w:p w14:paraId="562E42F2" w14:textId="77777777" w:rsidR="000C5627" w:rsidRPr="00DA3F73"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-692</w:t>
            </w:r>
          </w:p>
        </w:tc>
        <w:tc>
          <w:tcPr>
            <w:tcW w:w="1078" w:type="dxa"/>
            <w:tcBorders>
              <w:top w:val="nil"/>
            </w:tcBorders>
            <w:hideMark/>
          </w:tcPr>
          <w:p w14:paraId="47CB198D" w14:textId="77777777" w:rsidR="000C5627" w:rsidRPr="00DA3F73"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-944</w:t>
            </w:r>
          </w:p>
        </w:tc>
        <w:tc>
          <w:tcPr>
            <w:tcW w:w="1078" w:type="dxa"/>
            <w:tcBorders>
              <w:top w:val="nil"/>
              <w:right w:val="dotted" w:sz="4" w:space="0" w:color="auto"/>
            </w:tcBorders>
            <w:hideMark/>
          </w:tcPr>
          <w:p w14:paraId="55A015AE" w14:textId="77777777" w:rsidR="000C5627" w:rsidRPr="00DA3F73"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-1,334</w:t>
            </w:r>
          </w:p>
        </w:tc>
        <w:tc>
          <w:tcPr>
            <w:tcW w:w="1078" w:type="dxa"/>
            <w:tcBorders>
              <w:top w:val="nil"/>
              <w:left w:val="dotted" w:sz="4" w:space="0" w:color="auto"/>
              <w:bottom w:val="nil"/>
              <w:right w:val="single" w:sz="4" w:space="0" w:color="auto"/>
            </w:tcBorders>
            <w:hideMark/>
          </w:tcPr>
          <w:p w14:paraId="796C9DC8" w14:textId="77777777" w:rsidR="000C5627" w:rsidRPr="00DA3F73"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-6,218</w:t>
            </w:r>
          </w:p>
        </w:tc>
        <w:tc>
          <w:tcPr>
            <w:tcW w:w="927" w:type="dxa"/>
            <w:tcBorders>
              <w:top w:val="nil"/>
              <w:left w:val="single" w:sz="4" w:space="0" w:color="auto"/>
              <w:bottom w:val="nil"/>
            </w:tcBorders>
            <w:hideMark/>
          </w:tcPr>
          <w:p w14:paraId="56EDFF3C" w14:textId="77777777" w:rsidR="000C5627" w:rsidRPr="00DA3F73"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-3,041</w:t>
            </w:r>
          </w:p>
        </w:tc>
      </w:tr>
      <w:tr w:rsidR="000C5627" w:rsidRPr="00F41C56" w14:paraId="7FD9C853"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2077" w:type="dxa"/>
            <w:shd w:val="clear" w:color="auto" w:fill="auto"/>
            <w:hideMark/>
          </w:tcPr>
          <w:p w14:paraId="6996F46F" w14:textId="77777777" w:rsidR="000C5627" w:rsidRPr="00DA3F73" w:rsidRDefault="000C5627" w:rsidP="00F830E6">
            <w:pPr>
              <w:spacing w:after="0"/>
              <w:textAlignment w:val="baseline"/>
              <w:rPr>
                <w:rFonts w:eastAsia="Times New Roman" w:cs="Arial"/>
                <w:sz w:val="18"/>
                <w:szCs w:val="18"/>
                <w:lang w:eastAsia="en-AU"/>
              </w:rPr>
            </w:pPr>
            <w:r w:rsidRPr="00DA3F73">
              <w:rPr>
                <w:rFonts w:eastAsia="Times New Roman" w:cs="Arial"/>
                <w:color w:val="000000"/>
                <w:sz w:val="18"/>
                <w:szCs w:val="18"/>
                <w:lang w:eastAsia="en-AU"/>
              </w:rPr>
              <w:t>75.0% </w:t>
            </w:r>
          </w:p>
        </w:tc>
        <w:tc>
          <w:tcPr>
            <w:tcW w:w="1078" w:type="dxa"/>
            <w:shd w:val="clear" w:color="auto" w:fill="auto"/>
            <w:hideMark/>
          </w:tcPr>
          <w:p w14:paraId="5F2C2DCC" w14:textId="77777777" w:rsidR="000C5627" w:rsidRPr="00DA3F73" w:rsidRDefault="000C562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1,714</w:t>
            </w:r>
          </w:p>
        </w:tc>
        <w:tc>
          <w:tcPr>
            <w:tcW w:w="1078" w:type="dxa"/>
            <w:shd w:val="clear" w:color="auto" w:fill="auto"/>
            <w:hideMark/>
          </w:tcPr>
          <w:p w14:paraId="3CE5E565" w14:textId="77777777" w:rsidR="000C5627" w:rsidRPr="00DA3F73" w:rsidRDefault="000C562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2,905</w:t>
            </w:r>
          </w:p>
        </w:tc>
        <w:tc>
          <w:tcPr>
            <w:tcW w:w="1078" w:type="dxa"/>
            <w:shd w:val="clear" w:color="auto" w:fill="auto"/>
            <w:hideMark/>
          </w:tcPr>
          <w:p w14:paraId="5A9E17F3" w14:textId="77777777" w:rsidR="000C5627" w:rsidRPr="00DA3F73" w:rsidRDefault="000C562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3,938</w:t>
            </w:r>
          </w:p>
        </w:tc>
        <w:tc>
          <w:tcPr>
            <w:tcW w:w="1078" w:type="dxa"/>
            <w:tcBorders>
              <w:right w:val="dotted" w:sz="4" w:space="0" w:color="auto"/>
            </w:tcBorders>
            <w:shd w:val="clear" w:color="auto" w:fill="auto"/>
            <w:hideMark/>
          </w:tcPr>
          <w:p w14:paraId="7E09B152" w14:textId="77777777" w:rsidR="000C5627" w:rsidRPr="00DA3F73" w:rsidRDefault="000C562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4,838</w:t>
            </w:r>
          </w:p>
        </w:tc>
        <w:tc>
          <w:tcPr>
            <w:tcW w:w="1078" w:type="dxa"/>
            <w:tcBorders>
              <w:top w:val="nil"/>
              <w:left w:val="dotted" w:sz="4" w:space="0" w:color="auto"/>
              <w:bottom w:val="nil"/>
              <w:right w:val="single" w:sz="4" w:space="0" w:color="auto"/>
            </w:tcBorders>
            <w:shd w:val="clear" w:color="auto" w:fill="auto"/>
            <w:hideMark/>
          </w:tcPr>
          <w:p w14:paraId="54E49425" w14:textId="77777777" w:rsidR="000C5627" w:rsidRPr="00DA3F73" w:rsidRDefault="000C562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11,404</w:t>
            </w:r>
          </w:p>
        </w:tc>
        <w:tc>
          <w:tcPr>
            <w:tcW w:w="927" w:type="dxa"/>
            <w:tcBorders>
              <w:top w:val="nil"/>
              <w:left w:val="single" w:sz="4" w:space="0" w:color="auto"/>
              <w:bottom w:val="nil"/>
            </w:tcBorders>
            <w:shd w:val="clear" w:color="auto" w:fill="auto"/>
            <w:hideMark/>
          </w:tcPr>
          <w:p w14:paraId="601424EF" w14:textId="77777777" w:rsidR="000C5627" w:rsidRPr="00DA3F73" w:rsidRDefault="000C562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12,597</w:t>
            </w:r>
          </w:p>
        </w:tc>
      </w:tr>
      <w:tr w:rsidR="00574203" w:rsidRPr="00F41C56" w14:paraId="2FD9A96A" w14:textId="77777777" w:rsidTr="00645477">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77" w:type="dxa"/>
            <w:shd w:val="clear" w:color="auto" w:fill="BFBFBF" w:themeFill="background1" w:themeFillShade="BF"/>
            <w:hideMark/>
          </w:tcPr>
          <w:p w14:paraId="60E720BF" w14:textId="77777777" w:rsidR="000C5627" w:rsidRPr="00DA3F73" w:rsidRDefault="000C5627" w:rsidP="00DA3F73">
            <w:pPr>
              <w:spacing w:after="0"/>
              <w:textAlignment w:val="baseline"/>
              <w:rPr>
                <w:rFonts w:eastAsia="Times New Roman" w:cs="Arial"/>
                <w:sz w:val="18"/>
                <w:szCs w:val="18"/>
                <w:lang w:eastAsia="en-AU"/>
              </w:rPr>
            </w:pPr>
            <w:r w:rsidRPr="00DA3F73">
              <w:rPr>
                <w:rFonts w:eastAsia="Times New Roman" w:cs="Arial"/>
                <w:color w:val="000000"/>
                <w:sz w:val="18"/>
                <w:szCs w:val="18"/>
                <w:lang w:eastAsia="en-AU"/>
              </w:rPr>
              <w:t>95.0% </w:t>
            </w:r>
          </w:p>
        </w:tc>
        <w:tc>
          <w:tcPr>
            <w:tcW w:w="1078" w:type="dxa"/>
            <w:shd w:val="clear" w:color="auto" w:fill="BFBFBF" w:themeFill="background1" w:themeFillShade="BF"/>
            <w:hideMark/>
          </w:tcPr>
          <w:p w14:paraId="1DE01E53" w14:textId="77777777" w:rsidR="000C5627" w:rsidRPr="00DA3F73"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3,462</w:t>
            </w:r>
          </w:p>
        </w:tc>
        <w:tc>
          <w:tcPr>
            <w:tcW w:w="1078" w:type="dxa"/>
            <w:shd w:val="clear" w:color="auto" w:fill="BFBFBF" w:themeFill="background1" w:themeFillShade="BF"/>
            <w:hideMark/>
          </w:tcPr>
          <w:p w14:paraId="39F80EF3" w14:textId="77777777" w:rsidR="000C5627" w:rsidRPr="00DA3F73"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5,712</w:t>
            </w:r>
          </w:p>
        </w:tc>
        <w:tc>
          <w:tcPr>
            <w:tcW w:w="1078" w:type="dxa"/>
            <w:shd w:val="clear" w:color="auto" w:fill="BFBFBF" w:themeFill="background1" w:themeFillShade="BF"/>
            <w:hideMark/>
          </w:tcPr>
          <w:p w14:paraId="7C624DFA" w14:textId="77777777" w:rsidR="000C5627" w:rsidRPr="00DA3F73"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7,736</w:t>
            </w:r>
          </w:p>
        </w:tc>
        <w:tc>
          <w:tcPr>
            <w:tcW w:w="1078" w:type="dxa"/>
            <w:tcBorders>
              <w:right w:val="dotted" w:sz="4" w:space="0" w:color="auto"/>
            </w:tcBorders>
            <w:shd w:val="clear" w:color="auto" w:fill="BFBFBF" w:themeFill="background1" w:themeFillShade="BF"/>
            <w:hideMark/>
          </w:tcPr>
          <w:p w14:paraId="62565785" w14:textId="77777777" w:rsidR="000C5627" w:rsidRPr="00DA3F73"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9,584</w:t>
            </w:r>
          </w:p>
        </w:tc>
        <w:tc>
          <w:tcPr>
            <w:tcW w:w="1078" w:type="dxa"/>
            <w:tcBorders>
              <w:top w:val="nil"/>
              <w:left w:val="dotted" w:sz="4" w:space="0" w:color="auto"/>
              <w:bottom w:val="nil"/>
              <w:right w:val="single" w:sz="4" w:space="0" w:color="auto"/>
            </w:tcBorders>
            <w:shd w:val="clear" w:color="auto" w:fill="BFBFBF" w:themeFill="background1" w:themeFillShade="BF"/>
            <w:hideMark/>
          </w:tcPr>
          <w:p w14:paraId="25687225" w14:textId="77777777" w:rsidR="000C5627" w:rsidRPr="00DA3F73"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25,571</w:t>
            </w:r>
          </w:p>
        </w:tc>
        <w:tc>
          <w:tcPr>
            <w:tcW w:w="927" w:type="dxa"/>
            <w:tcBorders>
              <w:top w:val="nil"/>
              <w:left w:val="single" w:sz="4" w:space="0" w:color="auto"/>
              <w:bottom w:val="nil"/>
            </w:tcBorders>
            <w:shd w:val="clear" w:color="auto" w:fill="BFBFBF" w:themeFill="background1" w:themeFillShade="BF"/>
            <w:hideMark/>
          </w:tcPr>
          <w:p w14:paraId="32EFAD57" w14:textId="77777777" w:rsidR="000C5627" w:rsidRPr="00DA3F73"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25,052</w:t>
            </w:r>
          </w:p>
        </w:tc>
      </w:tr>
      <w:tr w:rsidR="00252EAF" w:rsidRPr="00F41C56" w14:paraId="62707778"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2077" w:type="dxa"/>
            <w:shd w:val="clear" w:color="auto" w:fill="auto"/>
            <w:hideMark/>
          </w:tcPr>
          <w:p w14:paraId="4C4513EF" w14:textId="77777777" w:rsidR="00CF6AA7" w:rsidRPr="00DA3F73" w:rsidRDefault="00CF6AA7" w:rsidP="00DA3F73">
            <w:pPr>
              <w:spacing w:after="0"/>
              <w:textAlignment w:val="baseline"/>
              <w:rPr>
                <w:rFonts w:eastAsia="Times New Roman" w:cs="Arial"/>
                <w:sz w:val="18"/>
                <w:szCs w:val="18"/>
                <w:lang w:eastAsia="en-AU"/>
              </w:rPr>
            </w:pPr>
            <w:r w:rsidRPr="00DA3F73">
              <w:rPr>
                <w:rFonts w:eastAsia="Times New Roman" w:cs="Arial"/>
                <w:color w:val="000000"/>
                <w:sz w:val="18"/>
                <w:szCs w:val="18"/>
                <w:lang w:eastAsia="en-AU"/>
              </w:rPr>
              <w:t>Standard deviation </w:t>
            </w:r>
          </w:p>
        </w:tc>
        <w:tc>
          <w:tcPr>
            <w:tcW w:w="1078" w:type="dxa"/>
            <w:shd w:val="clear" w:color="auto" w:fill="auto"/>
            <w:hideMark/>
          </w:tcPr>
          <w:p w14:paraId="111A9C28" w14:textId="77777777" w:rsidR="00CF6AA7" w:rsidRPr="00DA3F73" w:rsidRDefault="00CF6AA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sz w:val="18"/>
                <w:szCs w:val="18"/>
              </w:rPr>
              <w:t>1,</w:t>
            </w:r>
            <w:r w:rsidR="005B0B8A" w:rsidRPr="00DA3F73">
              <w:rPr>
                <w:rFonts w:cs="Arial"/>
                <w:sz w:val="18"/>
                <w:szCs w:val="18"/>
              </w:rPr>
              <w:t>696</w:t>
            </w:r>
          </w:p>
        </w:tc>
        <w:tc>
          <w:tcPr>
            <w:tcW w:w="1078" w:type="dxa"/>
            <w:shd w:val="clear" w:color="auto" w:fill="auto"/>
            <w:hideMark/>
          </w:tcPr>
          <w:p w14:paraId="44E56653" w14:textId="77777777" w:rsidR="00CF6AA7" w:rsidRPr="00DA3F73" w:rsidRDefault="00CF6AA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sz w:val="18"/>
                <w:szCs w:val="18"/>
              </w:rPr>
              <w:t>2,6</w:t>
            </w:r>
            <w:r w:rsidR="00265F36" w:rsidRPr="00DA3F73">
              <w:rPr>
                <w:rFonts w:cs="Arial"/>
                <w:sz w:val="18"/>
                <w:szCs w:val="18"/>
              </w:rPr>
              <w:t>16</w:t>
            </w:r>
          </w:p>
        </w:tc>
        <w:tc>
          <w:tcPr>
            <w:tcW w:w="1078" w:type="dxa"/>
            <w:shd w:val="clear" w:color="auto" w:fill="auto"/>
            <w:hideMark/>
          </w:tcPr>
          <w:p w14:paraId="2F93560B" w14:textId="77777777" w:rsidR="00CF6AA7" w:rsidRPr="00DA3F73" w:rsidRDefault="00CF6AA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sz w:val="18"/>
                <w:szCs w:val="18"/>
              </w:rPr>
              <w:t>3,5</w:t>
            </w:r>
            <w:r w:rsidR="00265F36" w:rsidRPr="00DA3F73">
              <w:rPr>
                <w:rFonts w:cs="Arial"/>
                <w:sz w:val="18"/>
                <w:szCs w:val="18"/>
              </w:rPr>
              <w:t>58</w:t>
            </w:r>
          </w:p>
        </w:tc>
        <w:tc>
          <w:tcPr>
            <w:tcW w:w="1078" w:type="dxa"/>
            <w:tcBorders>
              <w:right w:val="dotted" w:sz="4" w:space="0" w:color="auto"/>
            </w:tcBorders>
            <w:shd w:val="clear" w:color="auto" w:fill="auto"/>
            <w:hideMark/>
          </w:tcPr>
          <w:p w14:paraId="4258C04F" w14:textId="77777777" w:rsidR="00CF6AA7" w:rsidRPr="00DA3F73" w:rsidRDefault="00CF6AA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sz w:val="18"/>
                <w:szCs w:val="18"/>
              </w:rPr>
              <w:t>4,5</w:t>
            </w:r>
            <w:r w:rsidR="00265F36" w:rsidRPr="00DA3F73">
              <w:rPr>
                <w:rFonts w:cs="Arial"/>
                <w:sz w:val="18"/>
                <w:szCs w:val="18"/>
              </w:rPr>
              <w:t>29</w:t>
            </w:r>
          </w:p>
        </w:tc>
        <w:tc>
          <w:tcPr>
            <w:tcW w:w="1078" w:type="dxa"/>
            <w:tcBorders>
              <w:top w:val="nil"/>
              <w:left w:val="dotted" w:sz="4" w:space="0" w:color="auto"/>
              <w:bottom w:val="nil"/>
              <w:right w:val="single" w:sz="4" w:space="0" w:color="auto"/>
            </w:tcBorders>
            <w:shd w:val="clear" w:color="auto" w:fill="auto"/>
            <w:hideMark/>
          </w:tcPr>
          <w:p w14:paraId="61D66825" w14:textId="77777777" w:rsidR="00CF6AA7" w:rsidRPr="00DA3F73" w:rsidRDefault="00CF6AA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sz w:val="18"/>
                <w:szCs w:val="18"/>
              </w:rPr>
              <w:t>13,</w:t>
            </w:r>
            <w:r w:rsidR="00265F36" w:rsidRPr="00DA3F73">
              <w:rPr>
                <w:rFonts w:cs="Arial"/>
                <w:sz w:val="18"/>
                <w:szCs w:val="18"/>
              </w:rPr>
              <w:t>029</w:t>
            </w:r>
          </w:p>
        </w:tc>
        <w:tc>
          <w:tcPr>
            <w:tcW w:w="927" w:type="dxa"/>
            <w:tcBorders>
              <w:top w:val="nil"/>
              <w:left w:val="single" w:sz="4" w:space="0" w:color="auto"/>
              <w:bottom w:val="nil"/>
            </w:tcBorders>
            <w:shd w:val="clear" w:color="auto" w:fill="auto"/>
            <w:hideMark/>
          </w:tcPr>
          <w:p w14:paraId="79663E49" w14:textId="77777777" w:rsidR="00CF6AA7" w:rsidRPr="00DA3F73" w:rsidRDefault="00CF6AA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sz w:val="18"/>
                <w:szCs w:val="18"/>
              </w:rPr>
              <w:t>11,</w:t>
            </w:r>
            <w:r w:rsidR="00265F36" w:rsidRPr="00DA3F73">
              <w:rPr>
                <w:rFonts w:cs="Arial"/>
                <w:sz w:val="18"/>
                <w:szCs w:val="18"/>
              </w:rPr>
              <w:t>413</w:t>
            </w:r>
          </w:p>
        </w:tc>
      </w:tr>
      <w:tr w:rsidR="00574203" w:rsidRPr="00F41C56" w14:paraId="26F32DAD" w14:textId="77777777" w:rsidTr="00645477">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77" w:type="dxa"/>
            <w:shd w:val="clear" w:color="auto" w:fill="BFBFBF" w:themeFill="background1" w:themeFillShade="BF"/>
            <w:hideMark/>
          </w:tcPr>
          <w:p w14:paraId="0FA427AA" w14:textId="77777777" w:rsidR="00CF6AA7" w:rsidRPr="00390C88" w:rsidRDefault="00CF6AA7" w:rsidP="00DA3F73">
            <w:pPr>
              <w:spacing w:after="0"/>
              <w:textAlignment w:val="baseline"/>
              <w:rPr>
                <w:rFonts w:eastAsia="Times New Roman" w:cs="Arial"/>
                <w:sz w:val="18"/>
                <w:szCs w:val="18"/>
                <w:lang w:eastAsia="en-AU"/>
              </w:rPr>
            </w:pPr>
            <w:r w:rsidRPr="00252EAF">
              <w:rPr>
                <w:rFonts w:eastAsia="Times New Roman" w:cs="Arial"/>
                <w:bCs/>
                <w:color w:val="000000"/>
                <w:sz w:val="18"/>
                <w:szCs w:val="18"/>
                <w:lang w:eastAsia="en-AU"/>
              </w:rPr>
              <w:t>Coefficient of Variation</w:t>
            </w:r>
            <w:r w:rsidRPr="00390C88">
              <w:rPr>
                <w:rFonts w:eastAsia="Times New Roman" w:cs="Arial"/>
                <w:color w:val="000000"/>
                <w:sz w:val="18"/>
                <w:szCs w:val="18"/>
                <w:lang w:eastAsia="en-AU"/>
              </w:rPr>
              <w:t> </w:t>
            </w:r>
          </w:p>
        </w:tc>
        <w:tc>
          <w:tcPr>
            <w:tcW w:w="1078" w:type="dxa"/>
            <w:shd w:val="clear" w:color="auto" w:fill="BFBFBF" w:themeFill="background1" w:themeFillShade="BF"/>
            <w:hideMark/>
          </w:tcPr>
          <w:p w14:paraId="27925BE8" w14:textId="77777777" w:rsidR="00CF6AA7" w:rsidRPr="00DA3F73" w:rsidRDefault="005B0B8A">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sz w:val="18"/>
                <w:szCs w:val="18"/>
              </w:rPr>
              <w:t>4</w:t>
            </w:r>
            <w:r w:rsidR="00CF6AA7" w:rsidRPr="00DA3F73">
              <w:rPr>
                <w:rFonts w:cs="Arial"/>
                <w:sz w:val="18"/>
                <w:szCs w:val="18"/>
              </w:rPr>
              <w:t>.</w:t>
            </w:r>
            <w:r w:rsidRPr="00DA3F73">
              <w:rPr>
                <w:rFonts w:cs="Arial"/>
                <w:sz w:val="18"/>
                <w:szCs w:val="18"/>
              </w:rPr>
              <w:t>9</w:t>
            </w:r>
            <w:r w:rsidR="00CF6AA7" w:rsidRPr="00DA3F73">
              <w:rPr>
                <w:rFonts w:cs="Arial"/>
                <w:sz w:val="18"/>
                <w:szCs w:val="18"/>
              </w:rPr>
              <w:t>%</w:t>
            </w:r>
          </w:p>
        </w:tc>
        <w:tc>
          <w:tcPr>
            <w:tcW w:w="1078" w:type="dxa"/>
            <w:shd w:val="clear" w:color="auto" w:fill="BFBFBF" w:themeFill="background1" w:themeFillShade="BF"/>
            <w:hideMark/>
          </w:tcPr>
          <w:p w14:paraId="34DCA122" w14:textId="77777777" w:rsidR="00CF6AA7" w:rsidRPr="00DA3F73" w:rsidRDefault="00CF6AA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sz w:val="18"/>
                <w:szCs w:val="18"/>
              </w:rPr>
              <w:t>6.</w:t>
            </w:r>
            <w:r w:rsidR="005B0B8A" w:rsidRPr="00DA3F73">
              <w:rPr>
                <w:rFonts w:cs="Arial"/>
                <w:sz w:val="18"/>
                <w:szCs w:val="18"/>
              </w:rPr>
              <w:t>7</w:t>
            </w:r>
            <w:r w:rsidRPr="00DA3F73">
              <w:rPr>
                <w:rFonts w:cs="Arial"/>
                <w:sz w:val="18"/>
                <w:szCs w:val="18"/>
              </w:rPr>
              <w:t>%</w:t>
            </w:r>
          </w:p>
        </w:tc>
        <w:tc>
          <w:tcPr>
            <w:tcW w:w="1078" w:type="dxa"/>
            <w:shd w:val="clear" w:color="auto" w:fill="BFBFBF" w:themeFill="background1" w:themeFillShade="BF"/>
            <w:hideMark/>
          </w:tcPr>
          <w:p w14:paraId="0F1E64A1" w14:textId="77777777" w:rsidR="00CF6AA7" w:rsidRPr="00DA3F73" w:rsidRDefault="00CF6AA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sz w:val="18"/>
                <w:szCs w:val="18"/>
              </w:rPr>
              <w:t>7.8%</w:t>
            </w:r>
          </w:p>
        </w:tc>
        <w:tc>
          <w:tcPr>
            <w:tcW w:w="1078" w:type="dxa"/>
            <w:tcBorders>
              <w:right w:val="dotted" w:sz="4" w:space="0" w:color="auto"/>
            </w:tcBorders>
            <w:shd w:val="clear" w:color="auto" w:fill="BFBFBF" w:themeFill="background1" w:themeFillShade="BF"/>
            <w:hideMark/>
          </w:tcPr>
          <w:p w14:paraId="1C072EB6" w14:textId="77777777" w:rsidR="00CF6AA7" w:rsidRPr="00DA3F73" w:rsidRDefault="00CF6AA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sz w:val="18"/>
                <w:szCs w:val="18"/>
              </w:rPr>
              <w:t>8.7%</w:t>
            </w:r>
          </w:p>
        </w:tc>
        <w:tc>
          <w:tcPr>
            <w:tcW w:w="1078" w:type="dxa"/>
            <w:tcBorders>
              <w:top w:val="nil"/>
              <w:left w:val="dotted" w:sz="4" w:space="0" w:color="auto"/>
              <w:bottom w:val="single" w:sz="4" w:space="0" w:color="auto"/>
              <w:right w:val="single" w:sz="4" w:space="0" w:color="auto"/>
            </w:tcBorders>
            <w:shd w:val="clear" w:color="auto" w:fill="BFBFBF" w:themeFill="background1" w:themeFillShade="BF"/>
            <w:hideMark/>
          </w:tcPr>
          <w:p w14:paraId="5A97B4C3" w14:textId="77777777" w:rsidR="00CF6AA7" w:rsidRPr="00DA3F73" w:rsidRDefault="00CF6AA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sz w:val="18"/>
                <w:szCs w:val="18"/>
              </w:rPr>
              <w:t>14.</w:t>
            </w:r>
            <w:r w:rsidR="005B0B8A" w:rsidRPr="00DA3F73">
              <w:rPr>
                <w:rFonts w:cs="Arial"/>
                <w:sz w:val="18"/>
                <w:szCs w:val="18"/>
              </w:rPr>
              <w:t>1</w:t>
            </w:r>
            <w:r w:rsidRPr="00DA3F73">
              <w:rPr>
                <w:rFonts w:cs="Arial"/>
                <w:sz w:val="18"/>
                <w:szCs w:val="18"/>
              </w:rPr>
              <w:t>%</w:t>
            </w:r>
          </w:p>
        </w:tc>
        <w:tc>
          <w:tcPr>
            <w:tcW w:w="927" w:type="dxa"/>
            <w:tcBorders>
              <w:top w:val="nil"/>
              <w:left w:val="single" w:sz="4" w:space="0" w:color="auto"/>
              <w:bottom w:val="single" w:sz="4" w:space="0" w:color="auto"/>
            </w:tcBorders>
            <w:shd w:val="clear" w:color="auto" w:fill="BFBFBF" w:themeFill="background1" w:themeFillShade="BF"/>
            <w:hideMark/>
          </w:tcPr>
          <w:p w14:paraId="08FE82F9" w14:textId="77777777" w:rsidR="00CF6AA7" w:rsidRPr="00DA3F73" w:rsidRDefault="00CF6AA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sz w:val="18"/>
                <w:szCs w:val="18"/>
              </w:rPr>
              <w:t>6.</w:t>
            </w:r>
            <w:r w:rsidR="005B0B8A" w:rsidRPr="00DA3F73">
              <w:rPr>
                <w:rFonts w:cs="Arial"/>
                <w:sz w:val="18"/>
                <w:szCs w:val="18"/>
              </w:rPr>
              <w:t>6</w:t>
            </w:r>
            <w:r w:rsidRPr="00DA3F73">
              <w:rPr>
                <w:rFonts w:cs="Arial"/>
                <w:sz w:val="18"/>
                <w:szCs w:val="18"/>
              </w:rPr>
              <w:t>%</w:t>
            </w:r>
          </w:p>
        </w:tc>
      </w:tr>
    </w:tbl>
    <w:p w14:paraId="5A2C078F" w14:textId="77777777" w:rsidR="000219C6" w:rsidRDefault="000C5627" w:rsidP="00F830E6">
      <w:pPr>
        <w:pStyle w:val="FSRnormal"/>
        <w:rPr>
          <w:rFonts w:eastAsiaTheme="minorHAnsi"/>
          <w:b/>
          <w:bCs/>
          <w:szCs w:val="18"/>
          <w:lang w:eastAsia="en-US"/>
        </w:rPr>
      </w:pPr>
      <w:r>
        <w:t xml:space="preserve">The percentile results above are shown </w:t>
      </w:r>
      <w:r w:rsidR="002A6CCF">
        <w:t xml:space="preserve">in </w:t>
      </w:r>
      <w:r w:rsidR="000219C6" w:rsidRPr="00DA3F73">
        <w:t xml:space="preserve">Table </w:t>
      </w:r>
      <w:r w:rsidR="000219C6" w:rsidRPr="00DA3F73">
        <w:rPr>
          <w:noProof/>
        </w:rPr>
        <w:t>6</w:t>
      </w:r>
      <w:r w:rsidR="000219C6" w:rsidRPr="00DA3F73">
        <w:t>.</w:t>
      </w:r>
      <w:r w:rsidR="000219C6">
        <w:rPr>
          <w:noProof/>
        </w:rPr>
        <w:t>14</w:t>
      </w:r>
      <w:r>
        <w:t xml:space="preserve"> expressed as </w:t>
      </w:r>
      <w:r w:rsidR="002A6CCF">
        <w:t>a percentage of</w:t>
      </w:r>
      <w:r>
        <w:t xml:space="preserve"> the baseline projection of Scheme expenses.</w:t>
      </w:r>
    </w:p>
    <w:p w14:paraId="662ADE40" w14:textId="77777777" w:rsidR="000C5627" w:rsidRPr="009A5ABC" w:rsidRDefault="000C5627" w:rsidP="000C5627">
      <w:pPr>
        <w:pStyle w:val="Tables"/>
        <w:keepLines/>
      </w:pPr>
      <w:bookmarkStart w:id="269" w:name="_Ref114822944"/>
      <w:r w:rsidRPr="00DA3F73">
        <w:t xml:space="preserve">Table </w:t>
      </w:r>
      <w:fldSimple w:instr=" STYLEREF 2 \s ">
        <w:r w:rsidR="00A87896">
          <w:rPr>
            <w:noProof/>
          </w:rPr>
          <w:t>6</w:t>
        </w:r>
      </w:fldSimple>
      <w:r w:rsidR="00A87896">
        <w:t>.</w:t>
      </w:r>
      <w:fldSimple w:instr=" SEQ Table \* ARABIC \s 2 ">
        <w:r w:rsidR="00A87896">
          <w:rPr>
            <w:noProof/>
          </w:rPr>
          <w:t>14</w:t>
        </w:r>
      </w:fldSimple>
      <w:bookmarkEnd w:id="269"/>
      <w:r w:rsidRPr="00DA3F73">
        <w:t xml:space="preserve">: </w:t>
      </w:r>
      <w:r w:rsidR="002A6CCF" w:rsidRPr="00DA3F73">
        <w:t xml:space="preserve">Difference in </w:t>
      </w:r>
      <w:r w:rsidRPr="00DA3F73">
        <w:t xml:space="preserve">Scheme expense percentiles </w:t>
      </w:r>
      <w:r w:rsidR="002A6CCF" w:rsidRPr="000878B6">
        <w:t>as a proportion of baseline</w:t>
      </w:r>
      <w:r w:rsidR="002A6CCF">
        <w:t xml:space="preserve"> projection</w:t>
      </w:r>
    </w:p>
    <w:tbl>
      <w:tblPr>
        <w:tblStyle w:val="FSRtable"/>
        <w:tblW w:w="9168" w:type="dxa"/>
        <w:tblInd w:w="0" w:type="dxa"/>
        <w:tblLook w:val="04A0" w:firstRow="1" w:lastRow="0" w:firstColumn="1" w:lastColumn="0" w:noHBand="0" w:noVBand="1"/>
      </w:tblPr>
      <w:tblGrid>
        <w:gridCol w:w="1923"/>
        <w:gridCol w:w="1740"/>
        <w:gridCol w:w="1317"/>
        <w:gridCol w:w="989"/>
        <w:gridCol w:w="1123"/>
        <w:gridCol w:w="1129"/>
        <w:gridCol w:w="947"/>
      </w:tblGrid>
      <w:tr w:rsidR="000C5627" w:rsidRPr="00F41C56" w14:paraId="687A6311" w14:textId="77777777" w:rsidTr="00F830E6">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923" w:type="dxa"/>
            <w:vMerge w:val="restart"/>
            <w:hideMark/>
          </w:tcPr>
          <w:p w14:paraId="159D2D45" w14:textId="77777777" w:rsidR="000C5627" w:rsidRPr="00C3137E" w:rsidRDefault="000C5627">
            <w:pPr>
              <w:spacing w:after="0"/>
              <w:textAlignment w:val="baseline"/>
              <w:rPr>
                <w:rFonts w:eastAsia="Times New Roman"/>
                <w:bCs/>
                <w:i/>
                <w:iCs/>
                <w:color w:val="800000"/>
                <w:sz w:val="18"/>
                <w:szCs w:val="18"/>
                <w:lang w:eastAsia="en-AU"/>
              </w:rPr>
            </w:pPr>
            <w:r w:rsidRPr="00C3137E">
              <w:rPr>
                <w:rFonts w:eastAsia="Times New Roman"/>
                <w:bCs/>
                <w:i/>
                <w:iCs/>
                <w:color w:val="FFFFFF"/>
                <w:sz w:val="18"/>
                <w:szCs w:val="18"/>
                <w:lang w:eastAsia="en-AU"/>
              </w:rPr>
              <w:t> </w:t>
            </w:r>
            <w:r w:rsidRPr="00C3137E">
              <w:rPr>
                <w:rFonts w:eastAsia="Times New Roman"/>
                <w:bCs/>
                <w:color w:val="FFFFFF"/>
                <w:sz w:val="18"/>
                <w:szCs w:val="18"/>
                <w:lang w:eastAsia="en-AU"/>
              </w:rPr>
              <w:t> Percentiles</w:t>
            </w:r>
            <w:r w:rsidRPr="00C3137E">
              <w:rPr>
                <w:rFonts w:eastAsia="Times New Roman"/>
                <w:color w:val="FFFFFF"/>
                <w:sz w:val="18"/>
                <w:szCs w:val="18"/>
                <w:lang w:eastAsia="en-AU"/>
              </w:rPr>
              <w:t> </w:t>
            </w:r>
          </w:p>
        </w:tc>
        <w:tc>
          <w:tcPr>
            <w:tcW w:w="6298" w:type="dxa"/>
            <w:gridSpan w:val="5"/>
            <w:tcBorders>
              <w:top w:val="single" w:sz="4" w:space="0" w:color="auto"/>
              <w:bottom w:val="dotted" w:sz="4" w:space="0" w:color="FFFFFF" w:themeColor="background1"/>
            </w:tcBorders>
            <w:hideMark/>
          </w:tcPr>
          <w:p w14:paraId="49DE78BF" w14:textId="77777777" w:rsidR="000C5627" w:rsidRPr="00C3137E" w:rsidRDefault="002A6CCF">
            <w:pPr>
              <w:spacing w:after="0"/>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Cs/>
                <w:i/>
                <w:iCs/>
                <w:color w:val="800000"/>
                <w:sz w:val="18"/>
                <w:szCs w:val="18"/>
                <w:lang w:eastAsia="en-AU"/>
              </w:rPr>
            </w:pPr>
            <w:r>
              <w:rPr>
                <w:rFonts w:eastAsia="Times New Roman"/>
                <w:bCs/>
                <w:sz w:val="18"/>
                <w:szCs w:val="18"/>
                <w:lang w:eastAsia="en-AU"/>
              </w:rPr>
              <w:t>Difference in Scheme expense result to</w:t>
            </w:r>
            <w:r w:rsidR="000C5627">
              <w:rPr>
                <w:rFonts w:eastAsia="Times New Roman"/>
                <w:bCs/>
                <w:sz w:val="18"/>
                <w:szCs w:val="18"/>
                <w:lang w:eastAsia="en-AU"/>
              </w:rPr>
              <w:t xml:space="preserve"> baseline projection</w:t>
            </w:r>
            <w:r w:rsidR="000C5627" w:rsidRPr="00C3137E">
              <w:rPr>
                <w:rFonts w:eastAsia="Times New Roman"/>
                <w:bCs/>
                <w:sz w:val="18"/>
                <w:szCs w:val="18"/>
                <w:lang w:eastAsia="en-AU"/>
              </w:rPr>
              <w:t xml:space="preserve"> </w:t>
            </w:r>
            <w:r>
              <w:rPr>
                <w:rFonts w:eastAsia="Times New Roman"/>
                <w:bCs/>
                <w:sz w:val="18"/>
                <w:szCs w:val="18"/>
                <w:lang w:eastAsia="en-AU"/>
              </w:rPr>
              <w:t>(%)</w:t>
            </w:r>
          </w:p>
        </w:tc>
        <w:tc>
          <w:tcPr>
            <w:tcW w:w="947" w:type="dxa"/>
            <w:tcBorders>
              <w:top w:val="single" w:sz="4" w:space="0" w:color="auto"/>
              <w:bottom w:val="dotted" w:sz="4" w:space="0" w:color="FFFFFF" w:themeColor="background1"/>
            </w:tcBorders>
            <w:hideMark/>
          </w:tcPr>
          <w:p w14:paraId="76CB1891" w14:textId="77777777" w:rsidR="000C5627" w:rsidRPr="00C3137E" w:rsidRDefault="000C5627" w:rsidP="00F830E6">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i/>
                <w:iCs/>
                <w:sz w:val="18"/>
                <w:szCs w:val="18"/>
                <w:lang w:eastAsia="en-AU"/>
              </w:rPr>
            </w:pPr>
          </w:p>
        </w:tc>
      </w:tr>
      <w:tr w:rsidR="00574203" w:rsidRPr="00F41C56" w14:paraId="15434BF5" w14:textId="77777777" w:rsidTr="006416C5">
        <w:trPr>
          <w:cnfStyle w:val="100000000000" w:firstRow="1" w:lastRow="0" w:firstColumn="0" w:lastColumn="0" w:oddVBand="0" w:evenVBand="0" w:oddHBand="0" w:evenHBand="0" w:firstRowFirstColumn="0" w:firstRowLastColumn="0" w:lastRowFirstColumn="0" w:lastRowLastColumn="0"/>
          <w:trHeight w:val="394"/>
          <w:tblHeader/>
        </w:trPr>
        <w:tc>
          <w:tcPr>
            <w:cnfStyle w:val="001000000000" w:firstRow="0" w:lastRow="0" w:firstColumn="1" w:lastColumn="0" w:oddVBand="0" w:evenVBand="0" w:oddHBand="0" w:evenHBand="0" w:firstRowFirstColumn="0" w:firstRowLastColumn="0" w:lastRowFirstColumn="0" w:lastRowLastColumn="0"/>
            <w:tcW w:w="1923" w:type="dxa"/>
            <w:vMerge/>
            <w:hideMark/>
          </w:tcPr>
          <w:p w14:paraId="3A376EB3" w14:textId="77777777" w:rsidR="000C5627" w:rsidRPr="00C3137E" w:rsidRDefault="000C5627">
            <w:pPr>
              <w:spacing w:after="0"/>
              <w:textAlignment w:val="baseline"/>
              <w:rPr>
                <w:rFonts w:eastAsia="Times New Roman"/>
                <w:sz w:val="18"/>
                <w:szCs w:val="18"/>
                <w:lang w:eastAsia="en-AU"/>
              </w:rPr>
            </w:pPr>
          </w:p>
        </w:tc>
        <w:tc>
          <w:tcPr>
            <w:tcW w:w="1740" w:type="dxa"/>
            <w:tcBorders>
              <w:top w:val="dotted" w:sz="4" w:space="0" w:color="FFFFFF" w:themeColor="background1"/>
              <w:bottom w:val="nil"/>
            </w:tcBorders>
            <w:hideMark/>
          </w:tcPr>
          <w:p w14:paraId="7B9E959A" w14:textId="77777777" w:rsidR="000C5627" w:rsidRPr="00C3137E" w:rsidRDefault="000C5627" w:rsidP="0004693C">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AU"/>
              </w:rPr>
            </w:pPr>
            <w:r w:rsidRPr="00C3137E">
              <w:rPr>
                <w:rFonts w:eastAsia="Times New Roman"/>
                <w:bCs/>
                <w:color w:val="FFFFFF"/>
                <w:sz w:val="18"/>
                <w:szCs w:val="18"/>
                <w:lang w:eastAsia="en-AU"/>
              </w:rPr>
              <w:t>2022-23</w:t>
            </w:r>
            <w:r w:rsidRPr="00C3137E">
              <w:rPr>
                <w:rFonts w:eastAsia="Times New Roman"/>
                <w:color w:val="FFFFFF"/>
                <w:sz w:val="18"/>
                <w:szCs w:val="18"/>
                <w:lang w:eastAsia="en-AU"/>
              </w:rPr>
              <w:t> </w:t>
            </w:r>
          </w:p>
        </w:tc>
        <w:tc>
          <w:tcPr>
            <w:tcW w:w="1317" w:type="dxa"/>
            <w:tcBorders>
              <w:top w:val="dotted" w:sz="4" w:space="0" w:color="FFFFFF" w:themeColor="background1"/>
              <w:bottom w:val="nil"/>
            </w:tcBorders>
            <w:hideMark/>
          </w:tcPr>
          <w:p w14:paraId="0DDE2737" w14:textId="77777777" w:rsidR="000C5627" w:rsidRPr="00C3137E" w:rsidRDefault="000C5627" w:rsidP="0004693C">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AU"/>
              </w:rPr>
            </w:pPr>
            <w:r w:rsidRPr="00C3137E">
              <w:rPr>
                <w:rFonts w:eastAsia="Times New Roman"/>
                <w:bCs/>
                <w:color w:val="FFFFFF"/>
                <w:sz w:val="18"/>
                <w:szCs w:val="18"/>
                <w:lang w:eastAsia="en-AU"/>
              </w:rPr>
              <w:t>2023-24</w:t>
            </w:r>
            <w:r w:rsidRPr="00C3137E">
              <w:rPr>
                <w:rFonts w:eastAsia="Times New Roman"/>
                <w:color w:val="FFFFFF"/>
                <w:sz w:val="18"/>
                <w:szCs w:val="18"/>
                <w:lang w:eastAsia="en-AU"/>
              </w:rPr>
              <w:t> </w:t>
            </w:r>
          </w:p>
        </w:tc>
        <w:tc>
          <w:tcPr>
            <w:tcW w:w="989" w:type="dxa"/>
            <w:tcBorders>
              <w:top w:val="dotted" w:sz="4" w:space="0" w:color="FFFFFF" w:themeColor="background1"/>
              <w:bottom w:val="nil"/>
            </w:tcBorders>
            <w:hideMark/>
          </w:tcPr>
          <w:p w14:paraId="1E931C9C" w14:textId="77777777" w:rsidR="000C5627" w:rsidRPr="00C3137E" w:rsidRDefault="000C5627" w:rsidP="0004693C">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AU"/>
              </w:rPr>
            </w:pPr>
            <w:r w:rsidRPr="00C3137E">
              <w:rPr>
                <w:rFonts w:eastAsia="Times New Roman"/>
                <w:bCs/>
                <w:color w:val="FFFFFF"/>
                <w:sz w:val="18"/>
                <w:szCs w:val="18"/>
                <w:lang w:eastAsia="en-AU"/>
              </w:rPr>
              <w:t>2024-25</w:t>
            </w:r>
            <w:r w:rsidRPr="00C3137E">
              <w:rPr>
                <w:rFonts w:eastAsia="Times New Roman"/>
                <w:color w:val="FFFFFF"/>
                <w:sz w:val="18"/>
                <w:szCs w:val="18"/>
                <w:lang w:eastAsia="en-AU"/>
              </w:rPr>
              <w:t> </w:t>
            </w:r>
          </w:p>
        </w:tc>
        <w:tc>
          <w:tcPr>
            <w:tcW w:w="1123" w:type="dxa"/>
            <w:tcBorders>
              <w:top w:val="dotted" w:sz="4" w:space="0" w:color="FFFFFF" w:themeColor="background1"/>
              <w:bottom w:val="nil"/>
              <w:right w:val="dotted" w:sz="4" w:space="0" w:color="auto"/>
            </w:tcBorders>
            <w:hideMark/>
          </w:tcPr>
          <w:p w14:paraId="0CBD45EC" w14:textId="77777777" w:rsidR="000C5627" w:rsidRPr="00C3137E" w:rsidRDefault="000C5627" w:rsidP="0004693C">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AU"/>
              </w:rPr>
            </w:pPr>
            <w:r w:rsidRPr="00C3137E">
              <w:rPr>
                <w:rFonts w:eastAsia="Times New Roman"/>
                <w:bCs/>
                <w:color w:val="FFFFFF"/>
                <w:sz w:val="18"/>
                <w:szCs w:val="18"/>
                <w:lang w:eastAsia="en-AU"/>
              </w:rPr>
              <w:t>2025-26</w:t>
            </w:r>
            <w:r w:rsidRPr="00C3137E">
              <w:rPr>
                <w:rFonts w:eastAsia="Times New Roman"/>
                <w:color w:val="FFFFFF"/>
                <w:sz w:val="18"/>
                <w:szCs w:val="18"/>
                <w:lang w:eastAsia="en-AU"/>
              </w:rPr>
              <w:t> </w:t>
            </w:r>
          </w:p>
        </w:tc>
        <w:tc>
          <w:tcPr>
            <w:tcW w:w="1129" w:type="dxa"/>
            <w:tcBorders>
              <w:top w:val="dotted" w:sz="4" w:space="0" w:color="FFFFFF" w:themeColor="background1"/>
              <w:left w:val="dotted" w:sz="4" w:space="0" w:color="auto"/>
              <w:bottom w:val="nil"/>
              <w:right w:val="single" w:sz="4" w:space="0" w:color="auto"/>
            </w:tcBorders>
            <w:hideMark/>
          </w:tcPr>
          <w:p w14:paraId="54301984" w14:textId="77777777" w:rsidR="000C5627" w:rsidRPr="00C3137E" w:rsidRDefault="000C5627" w:rsidP="0004693C">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sz w:val="18"/>
                <w:szCs w:val="18"/>
                <w:lang w:eastAsia="en-AU"/>
              </w:rPr>
            </w:pPr>
            <w:r w:rsidRPr="00C3137E">
              <w:rPr>
                <w:rFonts w:eastAsia="Times New Roman"/>
                <w:bCs/>
                <w:color w:val="FFFFFF"/>
                <w:sz w:val="18"/>
                <w:szCs w:val="18"/>
                <w:lang w:eastAsia="en-AU"/>
              </w:rPr>
              <w:t>2031-32</w:t>
            </w:r>
            <w:r w:rsidRPr="00C3137E">
              <w:rPr>
                <w:rFonts w:eastAsia="Times New Roman"/>
                <w:color w:val="FFFFFF"/>
                <w:sz w:val="18"/>
                <w:szCs w:val="18"/>
                <w:lang w:eastAsia="en-AU"/>
              </w:rPr>
              <w:t> </w:t>
            </w:r>
          </w:p>
        </w:tc>
        <w:tc>
          <w:tcPr>
            <w:tcW w:w="947" w:type="dxa"/>
            <w:tcBorders>
              <w:top w:val="dotted" w:sz="4" w:space="0" w:color="FFFFFF" w:themeColor="background1"/>
              <w:left w:val="single" w:sz="4" w:space="0" w:color="auto"/>
              <w:bottom w:val="nil"/>
            </w:tcBorders>
            <w:hideMark/>
          </w:tcPr>
          <w:p w14:paraId="544FD24A" w14:textId="77777777" w:rsidR="000C5627" w:rsidRPr="00C3137E" w:rsidRDefault="000C5627" w:rsidP="000C5627">
            <w:pPr>
              <w:spacing w:after="0"/>
              <w:textAlignment w:val="baseline"/>
              <w:cnfStyle w:val="100000000000" w:firstRow="1" w:lastRow="0" w:firstColumn="0" w:lastColumn="0" w:oddVBand="0" w:evenVBand="0" w:oddHBand="0" w:evenHBand="0" w:firstRowFirstColumn="0" w:firstRowLastColumn="0" w:lastRowFirstColumn="0" w:lastRowLastColumn="0"/>
              <w:rPr>
                <w:rFonts w:eastAsia="Times New Roman"/>
                <w:b w:val="0"/>
                <w:bCs/>
                <w:sz w:val="18"/>
                <w:szCs w:val="18"/>
                <w:lang w:eastAsia="en-AU"/>
              </w:rPr>
            </w:pPr>
            <w:r w:rsidRPr="00C3137E">
              <w:rPr>
                <w:rFonts w:eastAsia="Times New Roman"/>
                <w:bCs/>
                <w:sz w:val="18"/>
                <w:szCs w:val="18"/>
                <w:lang w:eastAsia="en-AU"/>
              </w:rPr>
              <w:t>2022-26 </w:t>
            </w:r>
          </w:p>
        </w:tc>
      </w:tr>
      <w:tr w:rsidR="00574203" w:rsidRPr="00F41C56" w14:paraId="3BA64046" w14:textId="77777777" w:rsidTr="006416C5">
        <w:trPr>
          <w:trHeight w:val="301"/>
        </w:trPr>
        <w:tc>
          <w:tcPr>
            <w:cnfStyle w:val="001000000000" w:firstRow="0" w:lastRow="0" w:firstColumn="1" w:lastColumn="0" w:oddVBand="0" w:evenVBand="0" w:oddHBand="0" w:evenHBand="0" w:firstRowFirstColumn="0" w:firstRowLastColumn="0" w:lastRowFirstColumn="0" w:lastRowLastColumn="0"/>
            <w:tcW w:w="1923" w:type="dxa"/>
            <w:shd w:val="clear" w:color="auto" w:fill="auto"/>
            <w:hideMark/>
          </w:tcPr>
          <w:p w14:paraId="51C5BF22" w14:textId="77777777" w:rsidR="000C5627" w:rsidRPr="00C3137E" w:rsidRDefault="000C5627">
            <w:pPr>
              <w:spacing w:after="0"/>
              <w:textAlignment w:val="baseline"/>
              <w:rPr>
                <w:rFonts w:eastAsia="Times New Roman" w:cs="Arial"/>
                <w:sz w:val="18"/>
                <w:szCs w:val="18"/>
                <w:lang w:eastAsia="en-AU"/>
              </w:rPr>
            </w:pPr>
            <w:r w:rsidRPr="00C3137E">
              <w:rPr>
                <w:rFonts w:eastAsia="Times New Roman" w:cs="Arial"/>
                <w:color w:val="000000"/>
                <w:sz w:val="18"/>
                <w:szCs w:val="18"/>
                <w:lang w:eastAsia="en-AU"/>
              </w:rPr>
              <w:t>5.0% </w:t>
            </w:r>
          </w:p>
        </w:tc>
        <w:tc>
          <w:tcPr>
            <w:tcW w:w="1740" w:type="dxa"/>
            <w:tcBorders>
              <w:top w:val="nil"/>
              <w:bottom w:val="nil"/>
            </w:tcBorders>
            <w:shd w:val="clear" w:color="auto" w:fill="auto"/>
            <w:hideMark/>
          </w:tcPr>
          <w:p w14:paraId="2A425FFB" w14:textId="77777777" w:rsidR="000C5627" w:rsidRPr="000878B6" w:rsidRDefault="000C562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-6.3%</w:t>
            </w:r>
          </w:p>
        </w:tc>
        <w:tc>
          <w:tcPr>
            <w:tcW w:w="1317" w:type="dxa"/>
            <w:tcBorders>
              <w:top w:val="nil"/>
              <w:bottom w:val="nil"/>
            </w:tcBorders>
            <w:shd w:val="clear" w:color="auto" w:fill="auto"/>
            <w:hideMark/>
          </w:tcPr>
          <w:p w14:paraId="4F68F7D9" w14:textId="77777777" w:rsidR="000C5627" w:rsidRPr="000878B6" w:rsidRDefault="000C562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-7.6%</w:t>
            </w:r>
          </w:p>
        </w:tc>
        <w:tc>
          <w:tcPr>
            <w:tcW w:w="989" w:type="dxa"/>
            <w:tcBorders>
              <w:top w:val="nil"/>
              <w:bottom w:val="nil"/>
            </w:tcBorders>
            <w:shd w:val="clear" w:color="auto" w:fill="auto"/>
            <w:hideMark/>
          </w:tcPr>
          <w:p w14:paraId="08F92D9B" w14:textId="77777777" w:rsidR="000C5627" w:rsidRPr="000878B6" w:rsidRDefault="000C562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-9.2%</w:t>
            </w:r>
          </w:p>
        </w:tc>
        <w:tc>
          <w:tcPr>
            <w:tcW w:w="1123" w:type="dxa"/>
            <w:tcBorders>
              <w:top w:val="nil"/>
              <w:bottom w:val="nil"/>
              <w:right w:val="dotted" w:sz="4" w:space="0" w:color="auto"/>
            </w:tcBorders>
            <w:shd w:val="clear" w:color="auto" w:fill="auto"/>
            <w:hideMark/>
          </w:tcPr>
          <w:p w14:paraId="5A574AC1" w14:textId="77777777" w:rsidR="000C5627" w:rsidRPr="000878B6" w:rsidRDefault="000C562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-10.4%</w:t>
            </w:r>
          </w:p>
        </w:tc>
        <w:tc>
          <w:tcPr>
            <w:tcW w:w="1129" w:type="dxa"/>
            <w:tcBorders>
              <w:top w:val="nil"/>
              <w:left w:val="dotted" w:sz="4" w:space="0" w:color="auto"/>
              <w:bottom w:val="nil"/>
              <w:right w:val="single" w:sz="4" w:space="0" w:color="auto"/>
            </w:tcBorders>
            <w:shd w:val="clear" w:color="auto" w:fill="auto"/>
            <w:hideMark/>
          </w:tcPr>
          <w:p w14:paraId="61DBB7D6" w14:textId="77777777" w:rsidR="000C5627" w:rsidRPr="000878B6" w:rsidRDefault="000C562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-18.7%</w:t>
            </w:r>
          </w:p>
        </w:tc>
        <w:tc>
          <w:tcPr>
            <w:tcW w:w="947" w:type="dxa"/>
            <w:tcBorders>
              <w:top w:val="nil"/>
              <w:left w:val="single" w:sz="4" w:space="0" w:color="auto"/>
              <w:bottom w:val="nil"/>
            </w:tcBorders>
            <w:shd w:val="clear" w:color="auto" w:fill="auto"/>
            <w:hideMark/>
          </w:tcPr>
          <w:p w14:paraId="452871E5" w14:textId="77777777" w:rsidR="000C5627" w:rsidRPr="000878B6" w:rsidRDefault="000C562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-7.9%</w:t>
            </w:r>
          </w:p>
        </w:tc>
      </w:tr>
      <w:tr w:rsidR="00574203" w:rsidRPr="00F41C56" w14:paraId="63F3C232" w14:textId="77777777" w:rsidTr="006416C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923" w:type="dxa"/>
            <w:hideMark/>
          </w:tcPr>
          <w:p w14:paraId="73FC8E59" w14:textId="77777777" w:rsidR="000C5627" w:rsidRPr="00C3137E" w:rsidRDefault="000C5627">
            <w:pPr>
              <w:spacing w:after="0"/>
              <w:textAlignment w:val="baseline"/>
              <w:rPr>
                <w:rFonts w:eastAsia="Times New Roman" w:cs="Arial"/>
                <w:sz w:val="18"/>
                <w:szCs w:val="18"/>
                <w:lang w:eastAsia="en-AU"/>
              </w:rPr>
            </w:pPr>
            <w:r w:rsidRPr="00C3137E">
              <w:rPr>
                <w:rFonts w:eastAsia="Times New Roman" w:cs="Arial"/>
                <w:color w:val="000000"/>
                <w:sz w:val="18"/>
                <w:szCs w:val="18"/>
                <w:lang w:eastAsia="en-AU"/>
              </w:rPr>
              <w:t>25.0% </w:t>
            </w:r>
          </w:p>
        </w:tc>
        <w:tc>
          <w:tcPr>
            <w:tcW w:w="1740" w:type="dxa"/>
            <w:tcBorders>
              <w:top w:val="nil"/>
            </w:tcBorders>
            <w:hideMark/>
          </w:tcPr>
          <w:p w14:paraId="3AEDF321" w14:textId="77777777" w:rsidR="000C5627" w:rsidRPr="000878B6"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-2.2%</w:t>
            </w:r>
          </w:p>
        </w:tc>
        <w:tc>
          <w:tcPr>
            <w:tcW w:w="1317" w:type="dxa"/>
            <w:tcBorders>
              <w:top w:val="nil"/>
            </w:tcBorders>
            <w:hideMark/>
          </w:tcPr>
          <w:p w14:paraId="55950A22" w14:textId="77777777" w:rsidR="000C5627" w:rsidRPr="000878B6"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-1.8%</w:t>
            </w:r>
          </w:p>
        </w:tc>
        <w:tc>
          <w:tcPr>
            <w:tcW w:w="989" w:type="dxa"/>
            <w:tcBorders>
              <w:top w:val="nil"/>
            </w:tcBorders>
            <w:hideMark/>
          </w:tcPr>
          <w:p w14:paraId="51B2AFB0" w14:textId="77777777" w:rsidR="000C5627" w:rsidRPr="000878B6"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-2.1%</w:t>
            </w:r>
          </w:p>
        </w:tc>
        <w:tc>
          <w:tcPr>
            <w:tcW w:w="1123" w:type="dxa"/>
            <w:tcBorders>
              <w:top w:val="nil"/>
              <w:right w:val="dotted" w:sz="4" w:space="0" w:color="auto"/>
            </w:tcBorders>
            <w:hideMark/>
          </w:tcPr>
          <w:p w14:paraId="4F0ADE02" w14:textId="77777777" w:rsidR="000C5627" w:rsidRPr="000878B6"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-2.7%</w:t>
            </w:r>
          </w:p>
        </w:tc>
        <w:tc>
          <w:tcPr>
            <w:tcW w:w="1129" w:type="dxa"/>
            <w:tcBorders>
              <w:top w:val="nil"/>
              <w:left w:val="dotted" w:sz="4" w:space="0" w:color="auto"/>
              <w:bottom w:val="nil"/>
              <w:right w:val="single" w:sz="4" w:space="0" w:color="auto"/>
            </w:tcBorders>
            <w:hideMark/>
          </w:tcPr>
          <w:p w14:paraId="6EF3E238" w14:textId="77777777" w:rsidR="000C5627" w:rsidRPr="000878B6"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-7.0%</w:t>
            </w:r>
          </w:p>
        </w:tc>
        <w:tc>
          <w:tcPr>
            <w:tcW w:w="947" w:type="dxa"/>
            <w:tcBorders>
              <w:top w:val="nil"/>
              <w:left w:val="single" w:sz="4" w:space="0" w:color="auto"/>
              <w:bottom w:val="nil"/>
            </w:tcBorders>
            <w:hideMark/>
          </w:tcPr>
          <w:p w14:paraId="1D3A62FA" w14:textId="77777777" w:rsidR="000C5627" w:rsidRPr="000878B6"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-1.8%</w:t>
            </w:r>
          </w:p>
        </w:tc>
      </w:tr>
      <w:tr w:rsidR="00574203" w:rsidRPr="00F41C56" w14:paraId="403C35E2" w14:textId="77777777" w:rsidTr="006416C5">
        <w:trPr>
          <w:trHeight w:val="301"/>
        </w:trPr>
        <w:tc>
          <w:tcPr>
            <w:cnfStyle w:val="001000000000" w:firstRow="0" w:lastRow="0" w:firstColumn="1" w:lastColumn="0" w:oddVBand="0" w:evenVBand="0" w:oddHBand="0" w:evenHBand="0" w:firstRowFirstColumn="0" w:firstRowLastColumn="0" w:lastRowFirstColumn="0" w:lastRowLastColumn="0"/>
            <w:tcW w:w="1923" w:type="dxa"/>
            <w:shd w:val="clear" w:color="auto" w:fill="auto"/>
            <w:hideMark/>
          </w:tcPr>
          <w:p w14:paraId="196DECE8" w14:textId="77777777" w:rsidR="000C5627" w:rsidRPr="00C3137E" w:rsidRDefault="000C5627">
            <w:pPr>
              <w:spacing w:after="0"/>
              <w:textAlignment w:val="baseline"/>
              <w:rPr>
                <w:rFonts w:eastAsia="Times New Roman" w:cs="Arial"/>
                <w:sz w:val="18"/>
                <w:szCs w:val="18"/>
                <w:lang w:eastAsia="en-AU"/>
              </w:rPr>
            </w:pPr>
            <w:r w:rsidRPr="00C3137E">
              <w:rPr>
                <w:rFonts w:eastAsia="Times New Roman" w:cs="Arial"/>
                <w:color w:val="000000"/>
                <w:sz w:val="18"/>
                <w:szCs w:val="18"/>
                <w:lang w:eastAsia="en-AU"/>
              </w:rPr>
              <w:t>75.0% </w:t>
            </w:r>
          </w:p>
        </w:tc>
        <w:tc>
          <w:tcPr>
            <w:tcW w:w="1740" w:type="dxa"/>
            <w:shd w:val="clear" w:color="auto" w:fill="auto"/>
            <w:hideMark/>
          </w:tcPr>
          <w:p w14:paraId="2926339C" w14:textId="77777777" w:rsidR="000C5627" w:rsidRPr="000878B6" w:rsidRDefault="000C562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5.0%</w:t>
            </w:r>
          </w:p>
        </w:tc>
        <w:tc>
          <w:tcPr>
            <w:tcW w:w="1317" w:type="dxa"/>
            <w:shd w:val="clear" w:color="auto" w:fill="auto"/>
            <w:hideMark/>
          </w:tcPr>
          <w:p w14:paraId="3996AB68" w14:textId="77777777" w:rsidR="000C5627" w:rsidRPr="000878B6" w:rsidRDefault="000C562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7.6%</w:t>
            </w:r>
          </w:p>
        </w:tc>
        <w:tc>
          <w:tcPr>
            <w:tcW w:w="989" w:type="dxa"/>
            <w:shd w:val="clear" w:color="auto" w:fill="auto"/>
            <w:hideMark/>
          </w:tcPr>
          <w:p w14:paraId="643A9669" w14:textId="77777777" w:rsidR="000C5627" w:rsidRPr="000878B6" w:rsidRDefault="000C562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8.9%</w:t>
            </w:r>
          </w:p>
        </w:tc>
        <w:tc>
          <w:tcPr>
            <w:tcW w:w="1123" w:type="dxa"/>
            <w:tcBorders>
              <w:right w:val="dotted" w:sz="4" w:space="0" w:color="auto"/>
            </w:tcBorders>
            <w:shd w:val="clear" w:color="auto" w:fill="auto"/>
            <w:hideMark/>
          </w:tcPr>
          <w:p w14:paraId="36A92DFC" w14:textId="77777777" w:rsidR="000C5627" w:rsidRPr="000878B6" w:rsidRDefault="000C562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9.6%</w:t>
            </w:r>
          </w:p>
        </w:tc>
        <w:tc>
          <w:tcPr>
            <w:tcW w:w="1129" w:type="dxa"/>
            <w:tcBorders>
              <w:top w:val="nil"/>
              <w:left w:val="dotted" w:sz="4" w:space="0" w:color="auto"/>
              <w:bottom w:val="nil"/>
              <w:right w:val="single" w:sz="4" w:space="0" w:color="auto"/>
            </w:tcBorders>
            <w:shd w:val="clear" w:color="auto" w:fill="auto"/>
            <w:hideMark/>
          </w:tcPr>
          <w:p w14:paraId="1355EF58" w14:textId="77777777" w:rsidR="000C5627" w:rsidRPr="000878B6" w:rsidRDefault="000C562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12.8%</w:t>
            </w:r>
          </w:p>
        </w:tc>
        <w:tc>
          <w:tcPr>
            <w:tcW w:w="947" w:type="dxa"/>
            <w:tcBorders>
              <w:top w:val="nil"/>
              <w:left w:val="single" w:sz="4" w:space="0" w:color="auto"/>
              <w:bottom w:val="nil"/>
            </w:tcBorders>
            <w:shd w:val="clear" w:color="auto" w:fill="auto"/>
            <w:hideMark/>
          </w:tcPr>
          <w:p w14:paraId="62CBD1CB" w14:textId="77777777" w:rsidR="000C5627" w:rsidRPr="000878B6" w:rsidRDefault="000C5627">
            <w:pPr>
              <w:spacing w:after="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AU"/>
              </w:rPr>
            </w:pPr>
            <w:r w:rsidRPr="00DA3F73">
              <w:rPr>
                <w:rFonts w:cs="Arial"/>
                <w:color w:val="000000"/>
                <w:sz w:val="18"/>
                <w:szCs w:val="18"/>
              </w:rPr>
              <w:t>7.6%</w:t>
            </w:r>
          </w:p>
        </w:tc>
      </w:tr>
      <w:tr w:rsidR="00574203" w:rsidRPr="00F41C56" w14:paraId="0EB583BD" w14:textId="77777777" w:rsidTr="006416C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923" w:type="dxa"/>
            <w:shd w:val="clear" w:color="auto" w:fill="BFBFBF" w:themeFill="background1" w:themeFillShade="BF"/>
            <w:hideMark/>
          </w:tcPr>
          <w:p w14:paraId="60EBF079" w14:textId="77777777" w:rsidR="000C5627" w:rsidRPr="00C3137E" w:rsidRDefault="000C5627">
            <w:pPr>
              <w:spacing w:after="0"/>
              <w:textAlignment w:val="baseline"/>
              <w:rPr>
                <w:rFonts w:eastAsia="Times New Roman" w:cs="Arial"/>
                <w:sz w:val="18"/>
                <w:szCs w:val="18"/>
                <w:lang w:eastAsia="en-AU"/>
              </w:rPr>
            </w:pPr>
            <w:r w:rsidRPr="00C3137E">
              <w:rPr>
                <w:rFonts w:eastAsia="Times New Roman" w:cs="Arial"/>
                <w:color w:val="000000"/>
                <w:sz w:val="18"/>
                <w:szCs w:val="18"/>
                <w:lang w:eastAsia="en-AU"/>
              </w:rPr>
              <w:t>95.0% </w:t>
            </w:r>
          </w:p>
        </w:tc>
        <w:tc>
          <w:tcPr>
            <w:tcW w:w="1740" w:type="dxa"/>
            <w:shd w:val="clear" w:color="auto" w:fill="BFBFBF" w:themeFill="background1" w:themeFillShade="BF"/>
            <w:hideMark/>
          </w:tcPr>
          <w:p w14:paraId="567535D6" w14:textId="77777777" w:rsidR="000C5627" w:rsidRPr="000878B6"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10.2%</w:t>
            </w:r>
          </w:p>
        </w:tc>
        <w:tc>
          <w:tcPr>
            <w:tcW w:w="1317" w:type="dxa"/>
            <w:shd w:val="clear" w:color="auto" w:fill="BFBFBF" w:themeFill="background1" w:themeFillShade="BF"/>
            <w:hideMark/>
          </w:tcPr>
          <w:p w14:paraId="699F3173" w14:textId="77777777" w:rsidR="000C5627" w:rsidRPr="000878B6"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15.0%</w:t>
            </w:r>
          </w:p>
        </w:tc>
        <w:tc>
          <w:tcPr>
            <w:tcW w:w="989" w:type="dxa"/>
            <w:shd w:val="clear" w:color="auto" w:fill="BFBFBF" w:themeFill="background1" w:themeFillShade="BF"/>
            <w:hideMark/>
          </w:tcPr>
          <w:p w14:paraId="1B38F966" w14:textId="77777777" w:rsidR="000C5627" w:rsidRPr="000878B6"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17.5%</w:t>
            </w:r>
          </w:p>
        </w:tc>
        <w:tc>
          <w:tcPr>
            <w:tcW w:w="1123" w:type="dxa"/>
            <w:tcBorders>
              <w:right w:val="dotted" w:sz="4" w:space="0" w:color="auto"/>
            </w:tcBorders>
            <w:shd w:val="clear" w:color="auto" w:fill="BFBFBF" w:themeFill="background1" w:themeFillShade="BF"/>
            <w:hideMark/>
          </w:tcPr>
          <w:p w14:paraId="73C471C1" w14:textId="77777777" w:rsidR="000C5627" w:rsidRPr="000878B6"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19.0%</w:t>
            </w:r>
          </w:p>
        </w:tc>
        <w:tc>
          <w:tcPr>
            <w:tcW w:w="1129" w:type="dxa"/>
            <w:tcBorders>
              <w:top w:val="nil"/>
              <w:left w:val="dotted" w:sz="4" w:space="0" w:color="auto"/>
              <w:bottom w:val="single" w:sz="4" w:space="0" w:color="auto"/>
              <w:right w:val="single" w:sz="4" w:space="0" w:color="auto"/>
            </w:tcBorders>
            <w:shd w:val="clear" w:color="auto" w:fill="BFBFBF" w:themeFill="background1" w:themeFillShade="BF"/>
            <w:hideMark/>
          </w:tcPr>
          <w:p w14:paraId="524CDFB0" w14:textId="77777777" w:rsidR="000C5627" w:rsidRPr="000878B6"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28.6%</w:t>
            </w:r>
          </w:p>
        </w:tc>
        <w:tc>
          <w:tcPr>
            <w:tcW w:w="947" w:type="dxa"/>
            <w:tcBorders>
              <w:top w:val="nil"/>
              <w:left w:val="single" w:sz="4" w:space="0" w:color="auto"/>
              <w:bottom w:val="single" w:sz="4" w:space="0" w:color="auto"/>
            </w:tcBorders>
            <w:shd w:val="clear" w:color="auto" w:fill="BFBFBF" w:themeFill="background1" w:themeFillShade="BF"/>
            <w:hideMark/>
          </w:tcPr>
          <w:p w14:paraId="6A2E5666" w14:textId="77777777" w:rsidR="000C5627" w:rsidRPr="000878B6" w:rsidRDefault="000C5627">
            <w:pPr>
              <w:spacing w:after="0"/>
              <w:textAlignment w:val="baseline"/>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en-AU"/>
              </w:rPr>
            </w:pPr>
            <w:r w:rsidRPr="00DA3F73">
              <w:rPr>
                <w:rFonts w:cs="Arial"/>
                <w:color w:val="000000"/>
                <w:sz w:val="18"/>
                <w:szCs w:val="18"/>
              </w:rPr>
              <w:t>15.0%</w:t>
            </w:r>
          </w:p>
        </w:tc>
      </w:tr>
    </w:tbl>
    <w:p w14:paraId="648BA6BA" w14:textId="77777777" w:rsidR="00CF6AA7" w:rsidRPr="00562467" w:rsidRDefault="00CF6AA7" w:rsidP="00835575">
      <w:pPr>
        <w:pStyle w:val="FSRnormal"/>
      </w:pPr>
      <w:r w:rsidRPr="00835575">
        <w:t xml:space="preserve">The 90% confidence interval </w:t>
      </w:r>
      <w:r w:rsidR="005A5DE3" w:rsidRPr="00562467">
        <w:t>(defined as the range</w:t>
      </w:r>
      <w:r w:rsidR="006416C5">
        <w:t xml:space="preserve"> between</w:t>
      </w:r>
      <w:r w:rsidR="005A5DE3" w:rsidRPr="00562467">
        <w:t xml:space="preserve"> the 5</w:t>
      </w:r>
      <w:r w:rsidR="005A5DE3" w:rsidRPr="00252EAF">
        <w:t>th</w:t>
      </w:r>
      <w:r w:rsidR="005A5DE3" w:rsidRPr="00835575">
        <w:t xml:space="preserve"> and 95</w:t>
      </w:r>
      <w:r w:rsidR="005A5DE3" w:rsidRPr="00252EAF">
        <w:t>th</w:t>
      </w:r>
      <w:r w:rsidR="005A5DE3" w:rsidRPr="00835575">
        <w:t xml:space="preserve"> percentile) </w:t>
      </w:r>
      <w:r w:rsidRPr="00562467">
        <w:t>for the range of expected outcomes for the year ending 30 June 2023 is from $</w:t>
      </w:r>
      <w:r w:rsidR="002A6CCF" w:rsidRPr="00562467">
        <w:t>2.1</w:t>
      </w:r>
      <w:r w:rsidRPr="00562467">
        <w:t xml:space="preserve"> billion</w:t>
      </w:r>
      <w:r w:rsidR="002A6CCF" w:rsidRPr="00562467">
        <w:t xml:space="preserve"> below</w:t>
      </w:r>
      <w:r w:rsidRPr="00562467">
        <w:t xml:space="preserve"> to $3</w:t>
      </w:r>
      <w:r w:rsidR="002A6CCF" w:rsidRPr="00562467">
        <w:t>.5</w:t>
      </w:r>
      <w:r w:rsidRPr="00562467">
        <w:t xml:space="preserve"> billion</w:t>
      </w:r>
      <w:r w:rsidR="002A6CCF" w:rsidRPr="00562467">
        <w:t xml:space="preserve"> above the baseline projection</w:t>
      </w:r>
      <w:r w:rsidRPr="00562467">
        <w:t>, a range of $5.6 billion, or 1</w:t>
      </w:r>
      <w:r w:rsidR="00265F36" w:rsidRPr="00562467">
        <w:t>6</w:t>
      </w:r>
      <w:r w:rsidRPr="00562467">
        <w:t>%.</w:t>
      </w:r>
    </w:p>
    <w:p w14:paraId="5C8808D5" w14:textId="77777777" w:rsidR="00CF6AA7" w:rsidRPr="00562467" w:rsidRDefault="00CF6AA7" w:rsidP="00562467">
      <w:pPr>
        <w:pStyle w:val="FSRnormal"/>
      </w:pPr>
      <w:r w:rsidRPr="00562467">
        <w:lastRenderedPageBreak/>
        <w:t xml:space="preserve">The 90% confidence interval for the range of expected outcomes for the </w:t>
      </w:r>
      <w:r w:rsidR="00043001" w:rsidRPr="00562467">
        <w:t>four years to 30 June 2026</w:t>
      </w:r>
      <w:r w:rsidRPr="00562467">
        <w:t xml:space="preserve"> is from $1</w:t>
      </w:r>
      <w:r w:rsidR="002A6CCF" w:rsidRPr="00562467">
        <w:t>3.1</w:t>
      </w:r>
      <w:r w:rsidRPr="00562467">
        <w:t xml:space="preserve"> billion</w:t>
      </w:r>
      <w:r w:rsidR="002A6CCF" w:rsidRPr="00562467">
        <w:t xml:space="preserve"> below</w:t>
      </w:r>
      <w:r w:rsidRPr="00562467">
        <w:t xml:space="preserve"> to $</w:t>
      </w:r>
      <w:r w:rsidR="002A6CCF" w:rsidRPr="00562467">
        <w:t>25.1</w:t>
      </w:r>
      <w:r w:rsidRPr="00562467">
        <w:t xml:space="preserve"> billion</w:t>
      </w:r>
      <w:r w:rsidR="002A6CCF" w:rsidRPr="00562467">
        <w:t xml:space="preserve"> above the baseline projection</w:t>
      </w:r>
      <w:r w:rsidRPr="00562467">
        <w:t>, a range of $3</w:t>
      </w:r>
      <w:r w:rsidR="00265F36" w:rsidRPr="00562467">
        <w:t>8</w:t>
      </w:r>
      <w:r w:rsidRPr="00562467">
        <w:t>.</w:t>
      </w:r>
      <w:r w:rsidR="00265F36" w:rsidRPr="00562467">
        <w:t>2</w:t>
      </w:r>
      <w:r w:rsidRPr="00562467">
        <w:t xml:space="preserve"> billion, or 23%.</w:t>
      </w:r>
    </w:p>
    <w:p w14:paraId="69C7B65B" w14:textId="77777777" w:rsidR="00CF6AA7" w:rsidRPr="00562467" w:rsidRDefault="00CF6AA7" w:rsidP="00562467">
      <w:pPr>
        <w:pStyle w:val="FSRnormal"/>
      </w:pPr>
      <w:r w:rsidRPr="00562467">
        <w:t>The 90% confidence interval for the range of expected outcomes for the year ending 30 June 2032 is from $</w:t>
      </w:r>
      <w:r w:rsidR="002A6CCF" w:rsidRPr="00562467">
        <w:t>16</w:t>
      </w:r>
      <w:r w:rsidRPr="00562467">
        <w:t>.</w:t>
      </w:r>
      <w:r w:rsidR="00265F36" w:rsidRPr="00562467">
        <w:t>7</w:t>
      </w:r>
      <w:r w:rsidRPr="00562467">
        <w:t xml:space="preserve"> billion</w:t>
      </w:r>
      <w:r w:rsidR="002A6CCF" w:rsidRPr="00562467">
        <w:t xml:space="preserve"> below</w:t>
      </w:r>
      <w:r w:rsidRPr="00562467">
        <w:t xml:space="preserve"> to $</w:t>
      </w:r>
      <w:r w:rsidR="002A6CCF" w:rsidRPr="00562467">
        <w:t>25.6</w:t>
      </w:r>
      <w:r w:rsidRPr="00562467">
        <w:t xml:space="preserve"> billion</w:t>
      </w:r>
      <w:r w:rsidR="002A6CCF" w:rsidRPr="00562467">
        <w:t xml:space="preserve"> above the baseline projection</w:t>
      </w:r>
      <w:r w:rsidRPr="00562467">
        <w:t>, a range of $4</w:t>
      </w:r>
      <w:r w:rsidR="00265F36" w:rsidRPr="00562467">
        <w:t>2</w:t>
      </w:r>
      <w:r w:rsidRPr="00562467">
        <w:t>.</w:t>
      </w:r>
      <w:r w:rsidR="00265F36" w:rsidRPr="00562467">
        <w:t>3</w:t>
      </w:r>
      <w:r w:rsidRPr="00562467">
        <w:t xml:space="preserve"> billion, or 4</w:t>
      </w:r>
      <w:r w:rsidR="00265F36" w:rsidRPr="00562467">
        <w:t>7</w:t>
      </w:r>
      <w:r w:rsidRPr="00562467">
        <w:t>%.</w:t>
      </w:r>
    </w:p>
    <w:p w14:paraId="2DABBF3D" w14:textId="77777777" w:rsidR="002D5E51" w:rsidRPr="00562467" w:rsidRDefault="00676CB8" w:rsidP="00562467">
      <w:pPr>
        <w:pStyle w:val="FSRnormal"/>
      </w:pPr>
      <w:r w:rsidRPr="00DA3F73">
        <w:t xml:space="preserve">Table </w:t>
      </w:r>
      <w:r>
        <w:t>6.14</w:t>
      </w:r>
      <w:r w:rsidR="002D5E51" w:rsidRPr="00562467">
        <w:t xml:space="preserve"> also illustrates that level of uncertainty associated with the Scheme projections increases over the longer term. In particular, there is a wide range of plausible outcomes for the </w:t>
      </w:r>
      <w:r w:rsidR="00374175" w:rsidRPr="00562467">
        <w:t>2031-32 year as shown in Table 6.15</w:t>
      </w:r>
      <w:r w:rsidR="002D5E51" w:rsidRPr="00562467">
        <w:t xml:space="preserve">. </w:t>
      </w:r>
      <w:r w:rsidR="002D5E51" w:rsidRPr="00562467">
        <w:rPr>
          <w:rStyle w:val="normaltextrun"/>
        </w:rPr>
        <w:t>The 90</w:t>
      </w:r>
      <w:r w:rsidR="00ED651A">
        <w:rPr>
          <w:rStyle w:val="normaltextrun"/>
        </w:rPr>
        <w:t>%</w:t>
      </w:r>
      <w:r w:rsidR="002D5E51" w:rsidRPr="00562467">
        <w:rPr>
          <w:rStyle w:val="normaltextrun"/>
        </w:rPr>
        <w:t xml:space="preserve"> confidence interval </w:t>
      </w:r>
      <w:r w:rsidR="00ED651A">
        <w:rPr>
          <w:rStyle w:val="normaltextrun"/>
        </w:rPr>
        <w:t xml:space="preserve">for the range of outcomes for Scheme expenses </w:t>
      </w:r>
      <w:r w:rsidR="002D5E51" w:rsidRPr="00562467">
        <w:rPr>
          <w:rStyle w:val="normaltextrun"/>
        </w:rPr>
        <w:t>is $31.8 billion to $37.4 billion or 1.38% to 1.63% of GDP for 2022-23. This increases to $72.7 billion to $115.0 billion or 2.07% to 3.28% of GDP for 2031-32.</w:t>
      </w:r>
    </w:p>
    <w:p w14:paraId="30D45C81" w14:textId="77777777" w:rsidR="00A87896" w:rsidRDefault="00A87896" w:rsidP="00252EAF">
      <w:pPr>
        <w:pStyle w:val="Caption"/>
        <w:keepNext/>
      </w:pPr>
      <w:r>
        <w:t xml:space="preserve">Table </w:t>
      </w:r>
      <w:fldSimple w:instr=" STYLEREF 2 \s ">
        <w:r>
          <w:rPr>
            <w:noProof/>
          </w:rPr>
          <w:t>6</w:t>
        </w:r>
      </w:fldSimple>
      <w:r>
        <w:t>.</w:t>
      </w:r>
      <w:fldSimple w:instr=" SEQ Table \* ARABIC \s 2 ">
        <w:r>
          <w:rPr>
            <w:noProof/>
          </w:rPr>
          <w:t>15</w:t>
        </w:r>
      </w:fldSimple>
      <w:r>
        <w:t xml:space="preserve">: </w:t>
      </w:r>
      <w:r w:rsidRPr="005A45D5">
        <w:t>Range of plausible outcomes of Scheme expenses</w:t>
      </w:r>
    </w:p>
    <w:tbl>
      <w:tblPr>
        <w:tblStyle w:val="FSRtable"/>
        <w:tblW w:w="5000" w:type="pct"/>
        <w:tblInd w:w="0" w:type="dxa"/>
        <w:tblLayout w:type="fixed"/>
        <w:tblLook w:val="04A0" w:firstRow="1" w:lastRow="0" w:firstColumn="1" w:lastColumn="0" w:noHBand="0" w:noVBand="1"/>
      </w:tblPr>
      <w:tblGrid>
        <w:gridCol w:w="3371"/>
        <w:gridCol w:w="943"/>
        <w:gridCol w:w="944"/>
        <w:gridCol w:w="942"/>
        <w:gridCol w:w="942"/>
        <w:gridCol w:w="942"/>
        <w:gridCol w:w="942"/>
      </w:tblGrid>
      <w:tr w:rsidR="003405E5" w:rsidRPr="00562467" w14:paraId="5C2061DA" w14:textId="77777777" w:rsidTr="00DC7FE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67" w:type="pct"/>
            <w:tcBorders>
              <w:top w:val="nil"/>
              <w:bottom w:val="nil"/>
            </w:tcBorders>
            <w:noWrap/>
            <w:hideMark/>
          </w:tcPr>
          <w:p w14:paraId="5DED966E" w14:textId="77777777" w:rsidR="00DC7FE3" w:rsidRPr="00835575" w:rsidRDefault="00DC7FE3" w:rsidP="00E82B5C">
            <w:pPr>
              <w:spacing w:after="0" w:line="240" w:lineRule="auto"/>
              <w:rPr>
                <w:rFonts w:eastAsia="Times New Roman"/>
                <w:b w:val="0"/>
                <w:bCs/>
                <w:color w:val="FFFFFF"/>
                <w:sz w:val="18"/>
                <w:szCs w:val="18"/>
                <w:lang w:eastAsia="en-AU"/>
              </w:rPr>
            </w:pPr>
            <w:r w:rsidRPr="00252EAF">
              <w:rPr>
                <w:rFonts w:eastAsia="Times New Roman"/>
                <w:bCs/>
                <w:color w:val="FFFFFF"/>
                <w:sz w:val="18"/>
                <w:szCs w:val="18"/>
                <w:lang w:eastAsia="en-AU"/>
              </w:rPr>
              <w:t>2021-22 AFSR </w:t>
            </w:r>
          </w:p>
        </w:tc>
        <w:tc>
          <w:tcPr>
            <w:tcW w:w="522" w:type="pct"/>
            <w:tcBorders>
              <w:top w:val="nil"/>
              <w:bottom w:val="nil"/>
            </w:tcBorders>
            <w:noWrap/>
            <w:hideMark/>
          </w:tcPr>
          <w:p w14:paraId="7EB0E46E" w14:textId="77777777" w:rsidR="00DC7FE3" w:rsidRPr="00835575" w:rsidRDefault="00DC7FE3" w:rsidP="00E82B5C">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52EAF">
              <w:rPr>
                <w:rFonts w:eastAsia="Times New Roman"/>
                <w:bCs/>
                <w:color w:val="FFFFFF"/>
                <w:sz w:val="18"/>
                <w:szCs w:val="18"/>
                <w:lang w:eastAsia="en-AU"/>
              </w:rPr>
              <w:t>2022-23</w:t>
            </w:r>
          </w:p>
        </w:tc>
        <w:tc>
          <w:tcPr>
            <w:tcW w:w="523" w:type="pct"/>
            <w:tcBorders>
              <w:top w:val="nil"/>
              <w:bottom w:val="nil"/>
            </w:tcBorders>
            <w:noWrap/>
            <w:hideMark/>
          </w:tcPr>
          <w:p w14:paraId="6338546F" w14:textId="77777777" w:rsidR="00DC7FE3" w:rsidRPr="00835575" w:rsidRDefault="00DC7FE3" w:rsidP="00E82B5C">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52EAF">
              <w:rPr>
                <w:rFonts w:eastAsia="Times New Roman"/>
                <w:bCs/>
                <w:color w:val="FFFFFF"/>
                <w:sz w:val="18"/>
                <w:szCs w:val="18"/>
                <w:lang w:eastAsia="en-AU"/>
              </w:rPr>
              <w:t>2023-24</w:t>
            </w:r>
          </w:p>
        </w:tc>
        <w:tc>
          <w:tcPr>
            <w:tcW w:w="522" w:type="pct"/>
            <w:tcBorders>
              <w:top w:val="nil"/>
              <w:bottom w:val="nil"/>
            </w:tcBorders>
            <w:noWrap/>
            <w:hideMark/>
          </w:tcPr>
          <w:p w14:paraId="030C0590" w14:textId="77777777" w:rsidR="00DC7FE3" w:rsidRPr="00835575" w:rsidRDefault="00DC7FE3" w:rsidP="00E82B5C">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52EAF">
              <w:rPr>
                <w:rFonts w:eastAsia="Times New Roman"/>
                <w:bCs/>
                <w:color w:val="FFFFFF"/>
                <w:sz w:val="18"/>
                <w:szCs w:val="18"/>
                <w:lang w:eastAsia="en-AU"/>
              </w:rPr>
              <w:t>2024-25</w:t>
            </w:r>
          </w:p>
        </w:tc>
        <w:tc>
          <w:tcPr>
            <w:tcW w:w="522" w:type="pct"/>
            <w:tcBorders>
              <w:top w:val="nil"/>
              <w:bottom w:val="nil"/>
              <w:right w:val="dotted" w:sz="4" w:space="0" w:color="auto"/>
            </w:tcBorders>
            <w:noWrap/>
            <w:hideMark/>
          </w:tcPr>
          <w:p w14:paraId="7F3E139D" w14:textId="77777777" w:rsidR="00DC7FE3" w:rsidRPr="00835575" w:rsidRDefault="00DC7FE3" w:rsidP="00E82B5C">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52EAF">
              <w:rPr>
                <w:rFonts w:eastAsia="Times New Roman"/>
                <w:bCs/>
                <w:color w:val="FFFFFF"/>
                <w:sz w:val="18"/>
                <w:szCs w:val="18"/>
                <w:lang w:eastAsia="en-AU"/>
              </w:rPr>
              <w:t>2025-26</w:t>
            </w:r>
          </w:p>
        </w:tc>
        <w:tc>
          <w:tcPr>
            <w:tcW w:w="522" w:type="pct"/>
            <w:tcBorders>
              <w:top w:val="nil"/>
              <w:left w:val="dotted" w:sz="4" w:space="0" w:color="auto"/>
              <w:bottom w:val="nil"/>
              <w:right w:val="single" w:sz="4" w:space="0" w:color="auto"/>
            </w:tcBorders>
            <w:noWrap/>
            <w:hideMark/>
          </w:tcPr>
          <w:p w14:paraId="0B8377FC" w14:textId="77777777" w:rsidR="00DC7FE3" w:rsidRPr="00835575" w:rsidRDefault="00DC7FE3" w:rsidP="00E82B5C">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252EAF">
              <w:rPr>
                <w:rFonts w:eastAsia="Times New Roman"/>
                <w:bCs/>
                <w:color w:val="FFFFFF"/>
                <w:sz w:val="18"/>
                <w:szCs w:val="18"/>
                <w:lang w:eastAsia="en-AU"/>
              </w:rPr>
              <w:t>2031-32</w:t>
            </w:r>
          </w:p>
        </w:tc>
        <w:tc>
          <w:tcPr>
            <w:tcW w:w="522" w:type="pct"/>
            <w:tcBorders>
              <w:top w:val="nil"/>
              <w:left w:val="single" w:sz="4" w:space="0" w:color="auto"/>
              <w:bottom w:val="nil"/>
            </w:tcBorders>
          </w:tcPr>
          <w:p w14:paraId="4D9EB206" w14:textId="77777777" w:rsidR="00DC7FE3" w:rsidRPr="00252EAF" w:rsidRDefault="00DC7FE3" w:rsidP="00E82B5C">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en-AU"/>
              </w:rPr>
            </w:pPr>
            <w:r w:rsidRPr="00252EAF">
              <w:rPr>
                <w:rFonts w:eastAsia="Times New Roman"/>
                <w:bCs/>
                <w:color w:val="FFFFFF"/>
                <w:sz w:val="18"/>
                <w:szCs w:val="18"/>
                <w:lang w:eastAsia="en-AU"/>
              </w:rPr>
              <w:t>2022-26</w:t>
            </w:r>
          </w:p>
        </w:tc>
      </w:tr>
      <w:tr w:rsidR="00DC7FE3" w:rsidRPr="00F55162" w14:paraId="4F10D19B"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0" w:type="pct"/>
            <w:tcBorders>
              <w:top w:val="nil"/>
            </w:tcBorders>
            <w:noWrap/>
            <w:hideMark/>
          </w:tcPr>
          <w:p w14:paraId="6156C195" w14:textId="77777777" w:rsidR="00DC7FE3" w:rsidRPr="0065210D" w:rsidRDefault="00DC7FE3" w:rsidP="00E82B5C">
            <w:pPr>
              <w:spacing w:after="0" w:line="240" w:lineRule="auto"/>
              <w:rPr>
                <w:rFonts w:eastAsia="Times New Roman" w:cs="Arial"/>
                <w:b/>
                <w:bCs/>
                <w:color w:val="000000"/>
                <w:sz w:val="18"/>
                <w:szCs w:val="18"/>
                <w:lang w:eastAsia="en-AU"/>
              </w:rPr>
            </w:pPr>
            <w:r>
              <w:rPr>
                <w:rFonts w:eastAsia="Times New Roman" w:cs="Arial"/>
                <w:b/>
                <w:bCs/>
                <w:color w:val="000000"/>
                <w:sz w:val="18"/>
                <w:szCs w:val="18"/>
                <w:lang w:eastAsia="en-AU"/>
              </w:rPr>
              <w:t>Scheme Expenses ($m)</w:t>
            </w:r>
          </w:p>
        </w:tc>
        <w:tc>
          <w:tcPr>
            <w:tcW w:w="0" w:type="pct"/>
            <w:tcBorders>
              <w:top w:val="nil"/>
            </w:tcBorders>
            <w:noWrap/>
            <w:hideMark/>
          </w:tcPr>
          <w:p w14:paraId="584D65B7" w14:textId="77777777" w:rsidR="00DC7FE3" w:rsidRPr="0065210D" w:rsidRDefault="00DC7FE3" w:rsidP="00E82B5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r w:rsidRPr="0065210D">
              <w:rPr>
                <w:rFonts w:eastAsia="Times New Roman" w:cs="Arial"/>
                <w:b/>
                <w:bCs/>
                <w:i/>
                <w:iCs/>
                <w:color w:val="000000"/>
                <w:sz w:val="18"/>
                <w:szCs w:val="18"/>
                <w:lang w:eastAsia="en-AU"/>
              </w:rPr>
              <w:t> </w:t>
            </w:r>
          </w:p>
        </w:tc>
        <w:tc>
          <w:tcPr>
            <w:tcW w:w="0" w:type="pct"/>
            <w:tcBorders>
              <w:top w:val="nil"/>
            </w:tcBorders>
            <w:noWrap/>
            <w:hideMark/>
          </w:tcPr>
          <w:p w14:paraId="2C440F99" w14:textId="77777777" w:rsidR="00DC7FE3" w:rsidRPr="0065210D" w:rsidRDefault="00DC7FE3" w:rsidP="00E82B5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r w:rsidRPr="0065210D">
              <w:rPr>
                <w:rFonts w:eastAsia="Times New Roman" w:cs="Arial"/>
                <w:b/>
                <w:bCs/>
                <w:i/>
                <w:iCs/>
                <w:color w:val="000000"/>
                <w:sz w:val="18"/>
                <w:szCs w:val="18"/>
                <w:lang w:eastAsia="en-AU"/>
              </w:rPr>
              <w:t> </w:t>
            </w:r>
          </w:p>
        </w:tc>
        <w:tc>
          <w:tcPr>
            <w:tcW w:w="0" w:type="pct"/>
            <w:tcBorders>
              <w:top w:val="nil"/>
            </w:tcBorders>
            <w:noWrap/>
            <w:hideMark/>
          </w:tcPr>
          <w:p w14:paraId="4A172C8F" w14:textId="77777777" w:rsidR="00DC7FE3" w:rsidRPr="0065210D" w:rsidRDefault="00DC7FE3" w:rsidP="00E82B5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r w:rsidRPr="0065210D">
              <w:rPr>
                <w:rFonts w:eastAsia="Times New Roman" w:cs="Arial"/>
                <w:b/>
                <w:bCs/>
                <w:i/>
                <w:iCs/>
                <w:color w:val="000000"/>
                <w:sz w:val="18"/>
                <w:szCs w:val="18"/>
                <w:lang w:eastAsia="en-AU"/>
              </w:rPr>
              <w:t> </w:t>
            </w:r>
          </w:p>
        </w:tc>
        <w:tc>
          <w:tcPr>
            <w:tcW w:w="0" w:type="pct"/>
            <w:tcBorders>
              <w:top w:val="nil"/>
              <w:right w:val="dotted" w:sz="4" w:space="0" w:color="auto"/>
            </w:tcBorders>
            <w:noWrap/>
            <w:hideMark/>
          </w:tcPr>
          <w:p w14:paraId="76154AD4" w14:textId="77777777" w:rsidR="00DC7FE3" w:rsidRPr="0065210D" w:rsidRDefault="00DC7FE3" w:rsidP="00E82B5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r w:rsidRPr="0065210D">
              <w:rPr>
                <w:rFonts w:eastAsia="Times New Roman" w:cs="Arial"/>
                <w:b/>
                <w:bCs/>
                <w:i/>
                <w:iCs/>
                <w:color w:val="000000"/>
                <w:sz w:val="18"/>
                <w:szCs w:val="18"/>
                <w:lang w:eastAsia="en-AU"/>
              </w:rPr>
              <w:t> </w:t>
            </w:r>
          </w:p>
        </w:tc>
        <w:tc>
          <w:tcPr>
            <w:tcW w:w="0" w:type="pct"/>
            <w:tcBorders>
              <w:top w:val="nil"/>
              <w:left w:val="dotted" w:sz="4" w:space="0" w:color="auto"/>
              <w:bottom w:val="nil"/>
              <w:right w:val="single" w:sz="4" w:space="0" w:color="auto"/>
            </w:tcBorders>
            <w:noWrap/>
            <w:hideMark/>
          </w:tcPr>
          <w:p w14:paraId="29E4A1E6" w14:textId="77777777" w:rsidR="00DC7FE3" w:rsidRPr="0065210D" w:rsidRDefault="00DC7FE3" w:rsidP="00E82B5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r w:rsidRPr="0065210D">
              <w:rPr>
                <w:rFonts w:eastAsia="Times New Roman" w:cs="Arial"/>
                <w:b/>
                <w:bCs/>
                <w:i/>
                <w:iCs/>
                <w:color w:val="000000"/>
                <w:sz w:val="18"/>
                <w:szCs w:val="18"/>
                <w:lang w:eastAsia="en-AU"/>
              </w:rPr>
              <w:t> </w:t>
            </w:r>
          </w:p>
        </w:tc>
        <w:tc>
          <w:tcPr>
            <w:tcW w:w="0" w:type="pct"/>
            <w:tcBorders>
              <w:top w:val="nil"/>
              <w:left w:val="single" w:sz="4" w:space="0" w:color="auto"/>
              <w:bottom w:val="nil"/>
            </w:tcBorders>
          </w:tcPr>
          <w:p w14:paraId="4323CA33" w14:textId="77777777" w:rsidR="00DC7FE3" w:rsidRPr="0065210D" w:rsidRDefault="00DC7FE3" w:rsidP="00E82B5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p>
        </w:tc>
      </w:tr>
      <w:tr w:rsidR="00252EAF" w:rsidRPr="00F55162" w14:paraId="0828595F"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5346014C" w14:textId="77777777" w:rsidR="00DC7FE3" w:rsidRPr="00707048" w:rsidRDefault="00DC7FE3" w:rsidP="00E82B5C">
            <w:pPr>
              <w:spacing w:after="0" w:line="240" w:lineRule="auto"/>
              <w:rPr>
                <w:rFonts w:eastAsia="Times New Roman" w:cs="Arial"/>
                <w:color w:val="000000"/>
                <w:sz w:val="18"/>
                <w:szCs w:val="18"/>
                <w:lang w:eastAsia="en-AU"/>
              </w:rPr>
            </w:pPr>
            <w:r>
              <w:rPr>
                <w:rFonts w:eastAsia="Times New Roman" w:cs="Arial"/>
                <w:bCs/>
                <w:color w:val="000000"/>
                <w:sz w:val="18"/>
                <w:szCs w:val="18"/>
                <w:lang w:eastAsia="en-AU"/>
              </w:rPr>
              <w:t>Baseline Projection</w:t>
            </w:r>
          </w:p>
        </w:tc>
        <w:tc>
          <w:tcPr>
            <w:tcW w:w="0" w:type="pct"/>
            <w:noWrap/>
            <w:hideMark/>
          </w:tcPr>
          <w:p w14:paraId="3FACA038" w14:textId="77777777" w:rsidR="00DC7FE3" w:rsidRPr="00707048"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50304">
              <w:rPr>
                <w:sz w:val="18"/>
                <w:szCs w:val="18"/>
              </w:rPr>
              <w:t>33,976</w:t>
            </w:r>
          </w:p>
        </w:tc>
        <w:tc>
          <w:tcPr>
            <w:tcW w:w="0" w:type="pct"/>
            <w:noWrap/>
            <w:hideMark/>
          </w:tcPr>
          <w:p w14:paraId="5C8B557D" w14:textId="77777777" w:rsidR="00DC7FE3" w:rsidRPr="00707048"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50304">
              <w:rPr>
                <w:sz w:val="18"/>
                <w:szCs w:val="18"/>
              </w:rPr>
              <w:t>38,133</w:t>
            </w:r>
          </w:p>
        </w:tc>
        <w:tc>
          <w:tcPr>
            <w:tcW w:w="0" w:type="pct"/>
            <w:noWrap/>
            <w:hideMark/>
          </w:tcPr>
          <w:p w14:paraId="685B91BF" w14:textId="77777777" w:rsidR="00DC7FE3" w:rsidRPr="00707048"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50304">
              <w:rPr>
                <w:sz w:val="18"/>
                <w:szCs w:val="18"/>
              </w:rPr>
              <w:t>44,116</w:t>
            </w:r>
          </w:p>
        </w:tc>
        <w:tc>
          <w:tcPr>
            <w:tcW w:w="0" w:type="pct"/>
            <w:tcBorders>
              <w:right w:val="dotted" w:sz="4" w:space="0" w:color="auto"/>
            </w:tcBorders>
            <w:noWrap/>
            <w:hideMark/>
          </w:tcPr>
          <w:p w14:paraId="1BF33776" w14:textId="77777777" w:rsidR="00DC7FE3" w:rsidRPr="00707048"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50304">
              <w:rPr>
                <w:sz w:val="18"/>
                <w:szCs w:val="18"/>
              </w:rPr>
              <w:t>50,344</w:t>
            </w:r>
          </w:p>
        </w:tc>
        <w:tc>
          <w:tcPr>
            <w:tcW w:w="0" w:type="pct"/>
            <w:tcBorders>
              <w:top w:val="nil"/>
              <w:left w:val="dotted" w:sz="4" w:space="0" w:color="auto"/>
              <w:bottom w:val="nil"/>
              <w:right w:val="single" w:sz="4" w:space="0" w:color="auto"/>
            </w:tcBorders>
            <w:noWrap/>
            <w:hideMark/>
          </w:tcPr>
          <w:p w14:paraId="5CA372FF" w14:textId="77777777" w:rsidR="00DC7FE3" w:rsidRPr="00707048"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50304">
              <w:rPr>
                <w:sz w:val="18"/>
                <w:szCs w:val="18"/>
              </w:rPr>
              <w:t>89,403</w:t>
            </w:r>
          </w:p>
        </w:tc>
        <w:tc>
          <w:tcPr>
            <w:tcW w:w="0" w:type="pct"/>
            <w:tcBorders>
              <w:top w:val="nil"/>
              <w:left w:val="single" w:sz="4" w:space="0" w:color="auto"/>
              <w:bottom w:val="nil"/>
            </w:tcBorders>
          </w:tcPr>
          <w:p w14:paraId="057F8545" w14:textId="77777777" w:rsidR="00DC7FE3" w:rsidRPr="00707048"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450304">
              <w:rPr>
                <w:sz w:val="18"/>
                <w:szCs w:val="18"/>
              </w:rPr>
              <w:t>166,569</w:t>
            </w:r>
          </w:p>
        </w:tc>
      </w:tr>
      <w:tr w:rsidR="00DC7FE3" w:rsidRPr="00F55162" w14:paraId="027696B6"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0EF958EC" w14:textId="77777777" w:rsidR="00DC7FE3" w:rsidRPr="0065210D" w:rsidRDefault="00DC7FE3" w:rsidP="00E82B5C">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5</w:t>
            </w:r>
            <w:r w:rsidRPr="00450304">
              <w:rPr>
                <w:rFonts w:eastAsia="Times New Roman" w:cs="Arial"/>
                <w:color w:val="000000"/>
                <w:sz w:val="18"/>
                <w:szCs w:val="18"/>
                <w:vertAlign w:val="superscript"/>
                <w:lang w:eastAsia="en-AU"/>
              </w:rPr>
              <w:t>th</w:t>
            </w:r>
            <w:r>
              <w:rPr>
                <w:rFonts w:eastAsia="Times New Roman" w:cs="Arial"/>
                <w:color w:val="000000"/>
                <w:sz w:val="18"/>
                <w:szCs w:val="18"/>
                <w:lang w:eastAsia="en-AU"/>
              </w:rPr>
              <w:t xml:space="preserve"> Percentile Projection </w:t>
            </w:r>
          </w:p>
        </w:tc>
        <w:tc>
          <w:tcPr>
            <w:tcW w:w="0" w:type="pct"/>
            <w:noWrap/>
            <w:hideMark/>
          </w:tcPr>
          <w:p w14:paraId="0ED50D2F" w14:textId="77777777" w:rsidR="00DC7FE3" w:rsidRPr="00707048" w:rsidRDefault="00DC7FE3" w:rsidP="00E82B5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50304">
              <w:rPr>
                <w:sz w:val="18"/>
                <w:szCs w:val="18"/>
              </w:rPr>
              <w:t>31,844</w:t>
            </w:r>
          </w:p>
        </w:tc>
        <w:tc>
          <w:tcPr>
            <w:tcW w:w="0" w:type="pct"/>
            <w:noWrap/>
            <w:hideMark/>
          </w:tcPr>
          <w:p w14:paraId="1E678770" w14:textId="77777777" w:rsidR="00DC7FE3" w:rsidRPr="00707048" w:rsidRDefault="00DC7FE3" w:rsidP="00E82B5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50304">
              <w:rPr>
                <w:sz w:val="18"/>
                <w:szCs w:val="18"/>
              </w:rPr>
              <w:t>35,224</w:t>
            </w:r>
          </w:p>
        </w:tc>
        <w:tc>
          <w:tcPr>
            <w:tcW w:w="0" w:type="pct"/>
            <w:noWrap/>
            <w:hideMark/>
          </w:tcPr>
          <w:p w14:paraId="04C3927B" w14:textId="77777777" w:rsidR="00DC7FE3" w:rsidRPr="00707048" w:rsidRDefault="00DC7FE3" w:rsidP="00E82B5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50304">
              <w:rPr>
                <w:sz w:val="18"/>
                <w:szCs w:val="18"/>
              </w:rPr>
              <w:t>40,069</w:t>
            </w:r>
          </w:p>
        </w:tc>
        <w:tc>
          <w:tcPr>
            <w:tcW w:w="0" w:type="pct"/>
            <w:tcBorders>
              <w:right w:val="dotted" w:sz="4" w:space="0" w:color="auto"/>
            </w:tcBorders>
            <w:noWrap/>
            <w:hideMark/>
          </w:tcPr>
          <w:p w14:paraId="5DD73466" w14:textId="77777777" w:rsidR="00DC7FE3" w:rsidRPr="00707048" w:rsidRDefault="00DC7FE3" w:rsidP="00E82B5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50304">
              <w:rPr>
                <w:sz w:val="18"/>
                <w:szCs w:val="18"/>
              </w:rPr>
              <w:t>45,108</w:t>
            </w:r>
          </w:p>
        </w:tc>
        <w:tc>
          <w:tcPr>
            <w:tcW w:w="0" w:type="pct"/>
            <w:tcBorders>
              <w:top w:val="nil"/>
              <w:left w:val="dotted" w:sz="4" w:space="0" w:color="auto"/>
              <w:bottom w:val="nil"/>
              <w:right w:val="single" w:sz="4" w:space="0" w:color="auto"/>
            </w:tcBorders>
            <w:noWrap/>
            <w:hideMark/>
          </w:tcPr>
          <w:p w14:paraId="24022458" w14:textId="77777777" w:rsidR="00DC7FE3" w:rsidRPr="00707048" w:rsidRDefault="00DC7FE3" w:rsidP="00E82B5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50304">
              <w:rPr>
                <w:sz w:val="18"/>
                <w:szCs w:val="18"/>
              </w:rPr>
              <w:t>72,700</w:t>
            </w:r>
          </w:p>
        </w:tc>
        <w:tc>
          <w:tcPr>
            <w:tcW w:w="0" w:type="pct"/>
            <w:tcBorders>
              <w:top w:val="nil"/>
              <w:left w:val="single" w:sz="4" w:space="0" w:color="auto"/>
              <w:bottom w:val="nil"/>
            </w:tcBorders>
          </w:tcPr>
          <w:p w14:paraId="0138FE0B" w14:textId="77777777" w:rsidR="00DC7FE3" w:rsidRPr="00707048" w:rsidRDefault="00DC7FE3" w:rsidP="00E82B5C">
            <w:pPr>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450304">
              <w:rPr>
                <w:sz w:val="18"/>
                <w:szCs w:val="18"/>
              </w:rPr>
              <w:t>152,246</w:t>
            </w:r>
          </w:p>
        </w:tc>
      </w:tr>
      <w:tr w:rsidR="00252EAF" w:rsidRPr="009F0F41" w14:paraId="6C141AD0"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1A8065C4" w14:textId="77777777" w:rsidR="00DC7FE3" w:rsidRPr="00450304" w:rsidRDefault="00DC7FE3" w:rsidP="00E82B5C">
            <w:pPr>
              <w:spacing w:after="0" w:line="240" w:lineRule="auto"/>
              <w:rPr>
                <w:rFonts w:eastAsia="Times New Roman" w:cs="Arial"/>
                <w:bCs/>
                <w:color w:val="000000"/>
                <w:sz w:val="18"/>
                <w:szCs w:val="18"/>
                <w:lang w:eastAsia="en-AU"/>
              </w:rPr>
            </w:pPr>
            <w:r w:rsidRPr="009F0F41">
              <w:rPr>
                <w:sz w:val="18"/>
                <w:szCs w:val="18"/>
              </w:rPr>
              <w:t>95</w:t>
            </w:r>
            <w:r w:rsidRPr="00450304">
              <w:rPr>
                <w:sz w:val="18"/>
                <w:szCs w:val="18"/>
                <w:vertAlign w:val="superscript"/>
              </w:rPr>
              <w:t>th</w:t>
            </w:r>
            <w:r w:rsidRPr="009F0F41">
              <w:rPr>
                <w:sz w:val="18"/>
                <w:szCs w:val="18"/>
              </w:rPr>
              <w:t xml:space="preserve"> Percentile Projection </w:t>
            </w:r>
          </w:p>
        </w:tc>
        <w:tc>
          <w:tcPr>
            <w:tcW w:w="0" w:type="pct"/>
            <w:noWrap/>
            <w:hideMark/>
          </w:tcPr>
          <w:p w14:paraId="4ACCBE2B" w14:textId="77777777" w:rsidR="00DC7FE3" w:rsidRPr="00450304"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18"/>
                <w:szCs w:val="18"/>
                <w:lang w:eastAsia="en-AU"/>
              </w:rPr>
            </w:pPr>
            <w:r w:rsidRPr="00450304">
              <w:rPr>
                <w:sz w:val="18"/>
                <w:szCs w:val="18"/>
              </w:rPr>
              <w:t>37,439</w:t>
            </w:r>
          </w:p>
        </w:tc>
        <w:tc>
          <w:tcPr>
            <w:tcW w:w="0" w:type="pct"/>
            <w:noWrap/>
            <w:hideMark/>
          </w:tcPr>
          <w:p w14:paraId="2BA85E63" w14:textId="77777777" w:rsidR="00DC7FE3" w:rsidRPr="00450304"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18"/>
                <w:szCs w:val="18"/>
                <w:lang w:eastAsia="en-AU"/>
              </w:rPr>
            </w:pPr>
            <w:r w:rsidRPr="00450304">
              <w:rPr>
                <w:sz w:val="18"/>
                <w:szCs w:val="18"/>
              </w:rPr>
              <w:t>43,844</w:t>
            </w:r>
          </w:p>
        </w:tc>
        <w:tc>
          <w:tcPr>
            <w:tcW w:w="0" w:type="pct"/>
            <w:noWrap/>
            <w:hideMark/>
          </w:tcPr>
          <w:p w14:paraId="7539C731" w14:textId="77777777" w:rsidR="00DC7FE3" w:rsidRPr="00450304"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18"/>
                <w:szCs w:val="18"/>
                <w:lang w:eastAsia="en-AU"/>
              </w:rPr>
            </w:pPr>
            <w:r w:rsidRPr="00450304">
              <w:rPr>
                <w:sz w:val="18"/>
                <w:szCs w:val="18"/>
              </w:rPr>
              <w:t>51,853</w:t>
            </w:r>
          </w:p>
        </w:tc>
        <w:tc>
          <w:tcPr>
            <w:tcW w:w="0" w:type="pct"/>
            <w:tcBorders>
              <w:right w:val="dotted" w:sz="4" w:space="0" w:color="auto"/>
            </w:tcBorders>
            <w:noWrap/>
            <w:hideMark/>
          </w:tcPr>
          <w:p w14:paraId="449B8ABA" w14:textId="77777777" w:rsidR="00DC7FE3" w:rsidRPr="00450304"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18"/>
                <w:szCs w:val="18"/>
                <w:lang w:eastAsia="en-AU"/>
              </w:rPr>
            </w:pPr>
            <w:r w:rsidRPr="00450304">
              <w:rPr>
                <w:sz w:val="18"/>
                <w:szCs w:val="18"/>
              </w:rPr>
              <w:t>59,926</w:t>
            </w:r>
          </w:p>
        </w:tc>
        <w:tc>
          <w:tcPr>
            <w:tcW w:w="0" w:type="pct"/>
            <w:tcBorders>
              <w:top w:val="nil"/>
              <w:left w:val="dotted" w:sz="4" w:space="0" w:color="auto"/>
              <w:bottom w:val="nil"/>
              <w:right w:val="single" w:sz="4" w:space="0" w:color="auto"/>
            </w:tcBorders>
            <w:noWrap/>
            <w:hideMark/>
          </w:tcPr>
          <w:p w14:paraId="1E25D904" w14:textId="77777777" w:rsidR="00DC7FE3" w:rsidRPr="00450304"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18"/>
                <w:szCs w:val="18"/>
                <w:lang w:eastAsia="en-AU"/>
              </w:rPr>
            </w:pPr>
            <w:r w:rsidRPr="00450304">
              <w:rPr>
                <w:sz w:val="18"/>
                <w:szCs w:val="18"/>
              </w:rPr>
              <w:t>114,973</w:t>
            </w:r>
          </w:p>
        </w:tc>
        <w:tc>
          <w:tcPr>
            <w:tcW w:w="0" w:type="pct"/>
            <w:tcBorders>
              <w:top w:val="nil"/>
              <w:left w:val="single" w:sz="4" w:space="0" w:color="auto"/>
              <w:bottom w:val="nil"/>
            </w:tcBorders>
          </w:tcPr>
          <w:p w14:paraId="2D0320F5" w14:textId="77777777" w:rsidR="00DC7FE3" w:rsidRPr="00450304"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50304">
              <w:rPr>
                <w:sz w:val="18"/>
                <w:szCs w:val="18"/>
              </w:rPr>
              <w:t>193,061</w:t>
            </w:r>
          </w:p>
        </w:tc>
      </w:tr>
      <w:tr w:rsidR="00DC7FE3" w:rsidRPr="00F55162" w14:paraId="185BD3B6"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5A558629" w14:textId="77777777" w:rsidR="00DC7FE3" w:rsidRPr="0065210D" w:rsidRDefault="00DC7FE3" w:rsidP="00E82B5C">
            <w:pPr>
              <w:spacing w:after="0" w:line="240" w:lineRule="auto"/>
              <w:rPr>
                <w:rFonts w:eastAsia="Times New Roman" w:cs="Arial"/>
                <w:b/>
                <w:bCs/>
                <w:color w:val="000000"/>
                <w:sz w:val="18"/>
                <w:szCs w:val="18"/>
                <w:lang w:eastAsia="en-AU"/>
              </w:rPr>
            </w:pPr>
            <w:r>
              <w:rPr>
                <w:rFonts w:eastAsia="Times New Roman" w:cs="Arial"/>
                <w:b/>
                <w:bCs/>
                <w:color w:val="000000"/>
                <w:sz w:val="18"/>
                <w:szCs w:val="18"/>
                <w:lang w:eastAsia="en-AU"/>
              </w:rPr>
              <w:t>% of GDP</w:t>
            </w:r>
          </w:p>
        </w:tc>
        <w:tc>
          <w:tcPr>
            <w:tcW w:w="0" w:type="pct"/>
            <w:noWrap/>
            <w:hideMark/>
          </w:tcPr>
          <w:p w14:paraId="1E08C29D" w14:textId="77777777" w:rsidR="00DC7FE3" w:rsidRPr="0065210D" w:rsidRDefault="00DC7FE3" w:rsidP="00E82B5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p>
        </w:tc>
        <w:tc>
          <w:tcPr>
            <w:tcW w:w="0" w:type="pct"/>
            <w:noWrap/>
            <w:hideMark/>
          </w:tcPr>
          <w:p w14:paraId="511ED434" w14:textId="77777777" w:rsidR="00DC7FE3" w:rsidRPr="0065210D" w:rsidRDefault="00DC7FE3" w:rsidP="00E82B5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p>
        </w:tc>
        <w:tc>
          <w:tcPr>
            <w:tcW w:w="0" w:type="pct"/>
            <w:noWrap/>
            <w:hideMark/>
          </w:tcPr>
          <w:p w14:paraId="26BFC08F" w14:textId="77777777" w:rsidR="00DC7FE3" w:rsidRPr="0065210D" w:rsidRDefault="00DC7FE3" w:rsidP="00E82B5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p>
        </w:tc>
        <w:tc>
          <w:tcPr>
            <w:tcW w:w="0" w:type="pct"/>
            <w:tcBorders>
              <w:right w:val="dotted" w:sz="4" w:space="0" w:color="auto"/>
            </w:tcBorders>
            <w:noWrap/>
            <w:hideMark/>
          </w:tcPr>
          <w:p w14:paraId="254AF67B" w14:textId="77777777" w:rsidR="00DC7FE3" w:rsidRPr="0065210D" w:rsidRDefault="00DC7FE3" w:rsidP="00E82B5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p>
        </w:tc>
        <w:tc>
          <w:tcPr>
            <w:tcW w:w="0" w:type="pct"/>
            <w:tcBorders>
              <w:top w:val="nil"/>
              <w:left w:val="dotted" w:sz="4" w:space="0" w:color="auto"/>
              <w:bottom w:val="nil"/>
              <w:right w:val="single" w:sz="4" w:space="0" w:color="auto"/>
            </w:tcBorders>
            <w:noWrap/>
            <w:hideMark/>
          </w:tcPr>
          <w:p w14:paraId="47DE9FEE" w14:textId="77777777" w:rsidR="00DC7FE3" w:rsidRPr="0065210D" w:rsidRDefault="00DC7FE3" w:rsidP="00E82B5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p>
        </w:tc>
        <w:tc>
          <w:tcPr>
            <w:tcW w:w="0" w:type="pct"/>
            <w:tcBorders>
              <w:top w:val="nil"/>
              <w:left w:val="single" w:sz="4" w:space="0" w:color="auto"/>
              <w:bottom w:val="nil"/>
            </w:tcBorders>
          </w:tcPr>
          <w:p w14:paraId="42AA3FBB" w14:textId="77777777" w:rsidR="00DC7FE3" w:rsidRPr="0065210D" w:rsidRDefault="00DC7FE3" w:rsidP="00E82B5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en-AU"/>
              </w:rPr>
            </w:pPr>
          </w:p>
        </w:tc>
      </w:tr>
      <w:tr w:rsidR="00252EAF" w:rsidRPr="00F55162" w14:paraId="5EF03141"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15D59A60" w14:textId="77777777" w:rsidR="00DC7FE3" w:rsidRPr="0065210D" w:rsidRDefault="00DC7FE3" w:rsidP="00E82B5C">
            <w:pPr>
              <w:spacing w:after="0" w:line="240" w:lineRule="auto"/>
              <w:rPr>
                <w:rFonts w:eastAsia="Times New Roman" w:cs="Arial"/>
                <w:color w:val="000000"/>
                <w:sz w:val="18"/>
                <w:szCs w:val="18"/>
                <w:lang w:eastAsia="en-AU"/>
              </w:rPr>
            </w:pPr>
            <w:r>
              <w:rPr>
                <w:rFonts w:eastAsia="Times New Roman" w:cs="Arial"/>
                <w:bCs/>
                <w:color w:val="000000"/>
                <w:sz w:val="18"/>
                <w:szCs w:val="18"/>
                <w:lang w:eastAsia="en-AU"/>
              </w:rPr>
              <w:t>Baseline Projection</w:t>
            </w:r>
          </w:p>
        </w:tc>
        <w:tc>
          <w:tcPr>
            <w:tcW w:w="0" w:type="pct"/>
            <w:noWrap/>
            <w:hideMark/>
          </w:tcPr>
          <w:p w14:paraId="3E9023A0" w14:textId="77777777" w:rsidR="00DC7FE3" w:rsidRPr="002A0E16"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50304">
              <w:rPr>
                <w:sz w:val="18"/>
                <w:szCs w:val="18"/>
              </w:rPr>
              <w:t>1.48%</w:t>
            </w:r>
          </w:p>
        </w:tc>
        <w:tc>
          <w:tcPr>
            <w:tcW w:w="0" w:type="pct"/>
            <w:noWrap/>
            <w:hideMark/>
          </w:tcPr>
          <w:p w14:paraId="3AB3874B" w14:textId="77777777" w:rsidR="00DC7FE3" w:rsidRPr="002A0E16"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50304">
              <w:rPr>
                <w:sz w:val="18"/>
                <w:szCs w:val="18"/>
              </w:rPr>
              <w:t>1.61%</w:t>
            </w:r>
          </w:p>
        </w:tc>
        <w:tc>
          <w:tcPr>
            <w:tcW w:w="0" w:type="pct"/>
            <w:noWrap/>
            <w:hideMark/>
          </w:tcPr>
          <w:p w14:paraId="145A1DBE" w14:textId="77777777" w:rsidR="00DC7FE3" w:rsidRPr="002A0E16"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50304">
              <w:rPr>
                <w:sz w:val="18"/>
                <w:szCs w:val="18"/>
              </w:rPr>
              <w:t>1.77%</w:t>
            </w:r>
          </w:p>
        </w:tc>
        <w:tc>
          <w:tcPr>
            <w:tcW w:w="0" w:type="pct"/>
            <w:tcBorders>
              <w:right w:val="dotted" w:sz="4" w:space="0" w:color="auto"/>
            </w:tcBorders>
            <w:noWrap/>
            <w:hideMark/>
          </w:tcPr>
          <w:p w14:paraId="6033BF2A" w14:textId="77777777" w:rsidR="00DC7FE3" w:rsidRPr="002A0E16"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50304">
              <w:rPr>
                <w:sz w:val="18"/>
                <w:szCs w:val="18"/>
              </w:rPr>
              <w:t>1.93%</w:t>
            </w:r>
          </w:p>
        </w:tc>
        <w:tc>
          <w:tcPr>
            <w:tcW w:w="0" w:type="pct"/>
            <w:tcBorders>
              <w:top w:val="nil"/>
              <w:left w:val="dotted" w:sz="4" w:space="0" w:color="auto"/>
              <w:bottom w:val="nil"/>
              <w:right w:val="single" w:sz="4" w:space="0" w:color="auto"/>
            </w:tcBorders>
            <w:noWrap/>
            <w:hideMark/>
          </w:tcPr>
          <w:p w14:paraId="3C39907D" w14:textId="77777777" w:rsidR="00DC7FE3" w:rsidRPr="002A0E16"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450304">
              <w:rPr>
                <w:sz w:val="18"/>
                <w:szCs w:val="18"/>
              </w:rPr>
              <w:t>2.55%</w:t>
            </w:r>
          </w:p>
        </w:tc>
        <w:tc>
          <w:tcPr>
            <w:tcW w:w="0" w:type="pct"/>
            <w:tcBorders>
              <w:top w:val="nil"/>
              <w:left w:val="single" w:sz="4" w:space="0" w:color="auto"/>
              <w:bottom w:val="nil"/>
            </w:tcBorders>
          </w:tcPr>
          <w:p w14:paraId="0768EA46" w14:textId="77777777" w:rsidR="00DC7FE3" w:rsidRPr="002A0E16"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450304">
              <w:rPr>
                <w:sz w:val="18"/>
                <w:szCs w:val="18"/>
              </w:rPr>
              <w:t>1.70%</w:t>
            </w:r>
          </w:p>
        </w:tc>
      </w:tr>
      <w:tr w:rsidR="00DC7FE3" w:rsidRPr="00F55162" w14:paraId="00BDA8A7"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3F9E82CC" w14:textId="77777777" w:rsidR="00DC7FE3" w:rsidRPr="0065210D" w:rsidRDefault="00DC7FE3" w:rsidP="00E82B5C">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5</w:t>
            </w:r>
            <w:r w:rsidRPr="00450304">
              <w:rPr>
                <w:rFonts w:eastAsia="Times New Roman" w:cs="Arial"/>
                <w:color w:val="000000"/>
                <w:sz w:val="18"/>
                <w:szCs w:val="18"/>
                <w:vertAlign w:val="superscript"/>
                <w:lang w:eastAsia="en-AU"/>
              </w:rPr>
              <w:t>th</w:t>
            </w:r>
            <w:r>
              <w:rPr>
                <w:rFonts w:eastAsia="Times New Roman" w:cs="Arial"/>
                <w:color w:val="000000"/>
                <w:sz w:val="18"/>
                <w:szCs w:val="18"/>
                <w:lang w:eastAsia="en-AU"/>
              </w:rPr>
              <w:t xml:space="preserve"> Percentile Projection </w:t>
            </w:r>
          </w:p>
        </w:tc>
        <w:tc>
          <w:tcPr>
            <w:tcW w:w="0" w:type="pct"/>
            <w:noWrap/>
            <w:hideMark/>
          </w:tcPr>
          <w:p w14:paraId="3F0CB370" w14:textId="77777777" w:rsidR="00DC7FE3" w:rsidRPr="002A0E16" w:rsidRDefault="00DC7FE3" w:rsidP="00E82B5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50304">
              <w:rPr>
                <w:sz w:val="18"/>
                <w:szCs w:val="18"/>
              </w:rPr>
              <w:t>1.38%</w:t>
            </w:r>
          </w:p>
        </w:tc>
        <w:tc>
          <w:tcPr>
            <w:tcW w:w="0" w:type="pct"/>
            <w:noWrap/>
            <w:hideMark/>
          </w:tcPr>
          <w:p w14:paraId="654C95AB" w14:textId="77777777" w:rsidR="00DC7FE3" w:rsidRPr="002A0E16" w:rsidRDefault="00DC7FE3" w:rsidP="00E82B5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50304">
              <w:rPr>
                <w:sz w:val="18"/>
                <w:szCs w:val="18"/>
              </w:rPr>
              <w:t>1.49%</w:t>
            </w:r>
          </w:p>
        </w:tc>
        <w:tc>
          <w:tcPr>
            <w:tcW w:w="0" w:type="pct"/>
            <w:noWrap/>
            <w:hideMark/>
          </w:tcPr>
          <w:p w14:paraId="4616B3FC" w14:textId="77777777" w:rsidR="00DC7FE3" w:rsidRPr="002A0E16" w:rsidRDefault="00DC7FE3" w:rsidP="00E82B5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50304">
              <w:rPr>
                <w:sz w:val="18"/>
                <w:szCs w:val="18"/>
              </w:rPr>
              <w:t>1.61%</w:t>
            </w:r>
          </w:p>
        </w:tc>
        <w:tc>
          <w:tcPr>
            <w:tcW w:w="0" w:type="pct"/>
            <w:tcBorders>
              <w:right w:val="dotted" w:sz="4" w:space="0" w:color="auto"/>
            </w:tcBorders>
            <w:noWrap/>
            <w:hideMark/>
          </w:tcPr>
          <w:p w14:paraId="7003B5D7" w14:textId="77777777" w:rsidR="00DC7FE3" w:rsidRPr="002A0E16" w:rsidRDefault="00DC7FE3" w:rsidP="00E82B5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50304">
              <w:rPr>
                <w:sz w:val="18"/>
                <w:szCs w:val="18"/>
              </w:rPr>
              <w:t>1.73%</w:t>
            </w:r>
          </w:p>
        </w:tc>
        <w:tc>
          <w:tcPr>
            <w:tcW w:w="0" w:type="pct"/>
            <w:tcBorders>
              <w:top w:val="nil"/>
              <w:left w:val="dotted" w:sz="4" w:space="0" w:color="auto"/>
              <w:bottom w:val="nil"/>
              <w:right w:val="single" w:sz="4" w:space="0" w:color="auto"/>
            </w:tcBorders>
            <w:noWrap/>
            <w:hideMark/>
          </w:tcPr>
          <w:p w14:paraId="5963FD81" w14:textId="77777777" w:rsidR="00DC7FE3" w:rsidRPr="002A0E16" w:rsidRDefault="00DC7FE3" w:rsidP="00E82B5C">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450304">
              <w:rPr>
                <w:sz w:val="18"/>
                <w:szCs w:val="18"/>
              </w:rPr>
              <w:t>2.07%</w:t>
            </w:r>
          </w:p>
        </w:tc>
        <w:tc>
          <w:tcPr>
            <w:tcW w:w="0" w:type="pct"/>
            <w:tcBorders>
              <w:top w:val="nil"/>
              <w:left w:val="single" w:sz="4" w:space="0" w:color="auto"/>
              <w:bottom w:val="nil"/>
            </w:tcBorders>
          </w:tcPr>
          <w:p w14:paraId="6C011634" w14:textId="77777777" w:rsidR="00DC7FE3" w:rsidRPr="002A0E16" w:rsidRDefault="00DC7FE3" w:rsidP="00E82B5C">
            <w:pPr>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450304">
              <w:rPr>
                <w:sz w:val="18"/>
                <w:szCs w:val="18"/>
              </w:rPr>
              <w:t>1.56%</w:t>
            </w:r>
          </w:p>
        </w:tc>
      </w:tr>
      <w:tr w:rsidR="00252EAF" w:rsidRPr="00F55162" w14:paraId="61141DF1"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noWrap/>
            <w:hideMark/>
          </w:tcPr>
          <w:p w14:paraId="06FBC78B" w14:textId="77777777" w:rsidR="00DC7FE3" w:rsidRPr="0065210D" w:rsidRDefault="00DC7FE3" w:rsidP="00E82B5C">
            <w:pPr>
              <w:spacing w:after="0" w:line="240" w:lineRule="auto"/>
              <w:rPr>
                <w:rFonts w:eastAsia="Times New Roman" w:cs="Arial"/>
                <w:b/>
                <w:bCs/>
                <w:color w:val="000000"/>
                <w:sz w:val="18"/>
                <w:szCs w:val="18"/>
                <w:lang w:eastAsia="en-AU"/>
              </w:rPr>
            </w:pPr>
            <w:r w:rsidRPr="000716ED">
              <w:rPr>
                <w:sz w:val="18"/>
                <w:szCs w:val="18"/>
              </w:rPr>
              <w:t>95</w:t>
            </w:r>
            <w:r w:rsidRPr="00450304">
              <w:rPr>
                <w:sz w:val="18"/>
                <w:szCs w:val="18"/>
                <w:vertAlign w:val="superscript"/>
              </w:rPr>
              <w:t>th</w:t>
            </w:r>
            <w:r>
              <w:rPr>
                <w:sz w:val="18"/>
                <w:szCs w:val="18"/>
              </w:rPr>
              <w:t xml:space="preserve"> Percentile</w:t>
            </w:r>
            <w:r w:rsidRPr="000716ED">
              <w:rPr>
                <w:sz w:val="18"/>
                <w:szCs w:val="18"/>
              </w:rPr>
              <w:t xml:space="preserve"> Projection </w:t>
            </w:r>
          </w:p>
        </w:tc>
        <w:tc>
          <w:tcPr>
            <w:tcW w:w="0" w:type="pct"/>
            <w:noWrap/>
            <w:hideMark/>
          </w:tcPr>
          <w:p w14:paraId="0422CDCF" w14:textId="77777777" w:rsidR="00DC7FE3" w:rsidRPr="002A0E16"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450304">
              <w:rPr>
                <w:sz w:val="18"/>
                <w:szCs w:val="18"/>
              </w:rPr>
              <w:t>1.63%</w:t>
            </w:r>
          </w:p>
        </w:tc>
        <w:tc>
          <w:tcPr>
            <w:tcW w:w="0" w:type="pct"/>
            <w:noWrap/>
            <w:hideMark/>
          </w:tcPr>
          <w:p w14:paraId="463E208E" w14:textId="77777777" w:rsidR="00DC7FE3" w:rsidRPr="002A0E16"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450304">
              <w:rPr>
                <w:sz w:val="18"/>
                <w:szCs w:val="18"/>
              </w:rPr>
              <w:t>1.85%</w:t>
            </w:r>
          </w:p>
        </w:tc>
        <w:tc>
          <w:tcPr>
            <w:tcW w:w="0" w:type="pct"/>
            <w:noWrap/>
            <w:hideMark/>
          </w:tcPr>
          <w:p w14:paraId="5873B912" w14:textId="77777777" w:rsidR="00DC7FE3" w:rsidRPr="002A0E16"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450304">
              <w:rPr>
                <w:sz w:val="18"/>
                <w:szCs w:val="18"/>
              </w:rPr>
              <w:t>2.08%</w:t>
            </w:r>
          </w:p>
        </w:tc>
        <w:tc>
          <w:tcPr>
            <w:tcW w:w="0" w:type="pct"/>
            <w:tcBorders>
              <w:right w:val="dotted" w:sz="4" w:space="0" w:color="auto"/>
            </w:tcBorders>
            <w:noWrap/>
            <w:hideMark/>
          </w:tcPr>
          <w:p w14:paraId="6A8FC2A6" w14:textId="77777777" w:rsidR="00DC7FE3" w:rsidRPr="002A0E16"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450304">
              <w:rPr>
                <w:sz w:val="18"/>
                <w:szCs w:val="18"/>
              </w:rPr>
              <w:t>2.29%</w:t>
            </w:r>
          </w:p>
        </w:tc>
        <w:tc>
          <w:tcPr>
            <w:tcW w:w="0" w:type="pct"/>
            <w:tcBorders>
              <w:top w:val="nil"/>
              <w:left w:val="dotted" w:sz="4" w:space="0" w:color="auto"/>
              <w:bottom w:val="single" w:sz="4" w:space="0" w:color="auto"/>
              <w:right w:val="single" w:sz="4" w:space="0" w:color="auto"/>
            </w:tcBorders>
            <w:noWrap/>
            <w:hideMark/>
          </w:tcPr>
          <w:p w14:paraId="282B55B7" w14:textId="77777777" w:rsidR="00DC7FE3" w:rsidRPr="002A0E16"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en-AU"/>
              </w:rPr>
            </w:pPr>
            <w:r w:rsidRPr="00450304">
              <w:rPr>
                <w:sz w:val="18"/>
                <w:szCs w:val="18"/>
              </w:rPr>
              <w:t>3.28%</w:t>
            </w:r>
          </w:p>
        </w:tc>
        <w:tc>
          <w:tcPr>
            <w:tcW w:w="0" w:type="pct"/>
            <w:tcBorders>
              <w:top w:val="nil"/>
              <w:left w:val="single" w:sz="4" w:space="0" w:color="auto"/>
              <w:bottom w:val="single" w:sz="4" w:space="0" w:color="auto"/>
            </w:tcBorders>
          </w:tcPr>
          <w:p w14:paraId="2184072D" w14:textId="77777777" w:rsidR="00DC7FE3" w:rsidRPr="002A0E16" w:rsidRDefault="00DC7FE3" w:rsidP="00E82B5C">
            <w:pPr>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18"/>
                <w:szCs w:val="18"/>
              </w:rPr>
            </w:pPr>
            <w:r w:rsidRPr="00450304">
              <w:rPr>
                <w:sz w:val="18"/>
                <w:szCs w:val="18"/>
              </w:rPr>
              <w:t>1.97%</w:t>
            </w:r>
          </w:p>
        </w:tc>
      </w:tr>
    </w:tbl>
    <w:p w14:paraId="5BCD8329" w14:textId="77777777" w:rsidR="00CF6AA7" w:rsidRPr="000D2530" w:rsidRDefault="00CF6AA7" w:rsidP="00F830E6">
      <w:pPr>
        <w:pStyle w:val="FSRHeading4"/>
        <w:spacing w:before="360"/>
        <w:rPr>
          <w:b w:val="0"/>
        </w:rPr>
      </w:pPr>
      <w:r w:rsidRPr="000D2530">
        <w:t>Q</w:t>
      </w:r>
      <w:r>
        <w:t>uantification of key risks</w:t>
      </w:r>
    </w:p>
    <w:p w14:paraId="762DA936" w14:textId="77777777" w:rsidR="00CF6AA7" w:rsidRPr="009A5ABC" w:rsidRDefault="00676CB8" w:rsidP="00CF6AA7">
      <w:pPr>
        <w:pStyle w:val="FSRnormal"/>
      </w:pPr>
      <w:r w:rsidRPr="00BD7823">
        <w:t xml:space="preserve">Table </w:t>
      </w:r>
      <w:r>
        <w:rPr>
          <w:noProof/>
        </w:rPr>
        <w:t>6.16</w:t>
      </w:r>
      <w:r w:rsidR="00CF6AA7" w:rsidRPr="00976196">
        <w:t xml:space="preserve"> shows the C</w:t>
      </w:r>
      <w:r w:rsidR="00CF6AA7" w:rsidRPr="009A5ABC">
        <w:t>oV uncertainty associated with each risk if it were modelled separately and independently of the other key risks.</w:t>
      </w:r>
    </w:p>
    <w:p w14:paraId="50C17D58" w14:textId="77777777" w:rsidR="00CF6AA7" w:rsidRPr="009A5ABC" w:rsidRDefault="00CF6AA7" w:rsidP="00260852">
      <w:pPr>
        <w:pStyle w:val="Tables"/>
        <w:keepLines/>
      </w:pPr>
      <w:bookmarkStart w:id="270" w:name="_Ref111712498"/>
      <w:r w:rsidRPr="00BD7823">
        <w:t xml:space="preserve">Table </w:t>
      </w:r>
      <w:fldSimple w:instr=" STYLEREF 2 \s ">
        <w:r w:rsidR="00A87896">
          <w:rPr>
            <w:noProof/>
          </w:rPr>
          <w:t>6</w:t>
        </w:r>
      </w:fldSimple>
      <w:r w:rsidR="00A87896">
        <w:t>.</w:t>
      </w:r>
      <w:fldSimple w:instr=" SEQ Table \* ARABIC \s 2 ">
        <w:r w:rsidR="00A87896">
          <w:rPr>
            <w:noProof/>
          </w:rPr>
          <w:t>16</w:t>
        </w:r>
      </w:fldSimple>
      <w:bookmarkEnd w:id="270"/>
      <w:r>
        <w:t>:</w:t>
      </w:r>
      <w:r w:rsidRPr="009A5ABC">
        <w:t xml:space="preserve"> CoV assessment of each individual component of </w:t>
      </w:r>
      <w:r w:rsidRPr="0056627C">
        <w:t>risk</w:t>
      </w:r>
    </w:p>
    <w:tbl>
      <w:tblPr>
        <w:tblW w:w="89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0"/>
        <w:gridCol w:w="1080"/>
        <w:gridCol w:w="1080"/>
        <w:gridCol w:w="1080"/>
        <w:gridCol w:w="1080"/>
        <w:gridCol w:w="1110"/>
        <w:gridCol w:w="1080"/>
      </w:tblGrid>
      <w:tr w:rsidR="00CF6AA7" w:rsidRPr="0056627C" w14:paraId="4FC23822" w14:textId="77777777" w:rsidTr="004C434C">
        <w:trPr>
          <w:trHeight w:hRule="exact" w:val="397"/>
        </w:trPr>
        <w:tc>
          <w:tcPr>
            <w:tcW w:w="2400" w:type="dxa"/>
            <w:vMerge w:val="restart"/>
            <w:tcBorders>
              <w:top w:val="nil"/>
              <w:left w:val="nil"/>
              <w:bottom w:val="nil"/>
              <w:right w:val="nil"/>
            </w:tcBorders>
            <w:shd w:val="clear" w:color="auto" w:fill="6B2976"/>
            <w:vAlign w:val="center"/>
            <w:hideMark/>
          </w:tcPr>
          <w:p w14:paraId="29F27535" w14:textId="77777777" w:rsidR="00CF6AA7" w:rsidRPr="0056627C" w:rsidRDefault="00CF6AA7">
            <w:pPr>
              <w:keepNext/>
              <w:keepLines/>
              <w:spacing w:after="0"/>
              <w:textAlignment w:val="baseline"/>
              <w:rPr>
                <w:rFonts w:ascii="Times New Roman" w:eastAsia="Times New Roman" w:hAnsi="Times New Roman" w:cs="Times New Roman"/>
                <w:b/>
                <w:bCs/>
                <w:i/>
                <w:iCs/>
                <w:color w:val="800000"/>
                <w:lang w:eastAsia="en-AU"/>
              </w:rPr>
            </w:pPr>
            <w:r w:rsidRPr="0056627C">
              <w:rPr>
                <w:rFonts w:eastAsia="Times New Roman" w:cs="Arial"/>
                <w:b/>
                <w:bCs/>
                <w:color w:val="FFFFFF"/>
                <w:sz w:val="20"/>
                <w:szCs w:val="20"/>
                <w:lang w:eastAsia="en-AU"/>
              </w:rPr>
              <w:t> </w:t>
            </w:r>
            <w:r w:rsidR="008F7FEC">
              <w:rPr>
                <w:rFonts w:eastAsia="Times New Roman" w:cs="Arial"/>
                <w:b/>
                <w:bCs/>
                <w:color w:val="FFFFFF"/>
                <w:sz w:val="20"/>
                <w:szCs w:val="20"/>
                <w:lang w:eastAsia="en-AU"/>
              </w:rPr>
              <w:t>Risk Type</w:t>
            </w:r>
            <w:r w:rsidR="008F7FEC" w:rsidRPr="0056627C">
              <w:rPr>
                <w:rFonts w:eastAsia="Times New Roman" w:cs="Arial"/>
                <w:b/>
                <w:bCs/>
                <w:i/>
                <w:iCs/>
                <w:color w:val="FFFFFF"/>
                <w:sz w:val="20"/>
                <w:szCs w:val="20"/>
                <w:lang w:eastAsia="en-AU"/>
              </w:rPr>
              <w:t> </w:t>
            </w:r>
          </w:p>
        </w:tc>
        <w:tc>
          <w:tcPr>
            <w:tcW w:w="5430" w:type="dxa"/>
            <w:gridSpan w:val="5"/>
            <w:tcBorders>
              <w:top w:val="nil"/>
              <w:left w:val="nil"/>
              <w:bottom w:val="single" w:sz="4" w:space="0" w:color="FFFFFF" w:themeColor="background1"/>
              <w:right w:val="nil"/>
            </w:tcBorders>
            <w:shd w:val="clear" w:color="auto" w:fill="6B2976"/>
            <w:vAlign w:val="center"/>
            <w:hideMark/>
          </w:tcPr>
          <w:p w14:paraId="55873CBB" w14:textId="77777777" w:rsidR="00CF6AA7" w:rsidRPr="0056627C" w:rsidRDefault="00CF6AA7" w:rsidP="00C53CDC">
            <w:pPr>
              <w:keepNext/>
              <w:keepLines/>
              <w:spacing w:after="0"/>
              <w:jc w:val="center"/>
              <w:textAlignment w:val="baseline"/>
              <w:rPr>
                <w:rFonts w:ascii="Times New Roman" w:eastAsia="Times New Roman" w:hAnsi="Times New Roman" w:cs="Times New Roman"/>
                <w:b/>
                <w:bCs/>
                <w:i/>
                <w:iCs/>
                <w:color w:val="800000"/>
                <w:lang w:eastAsia="en-AU"/>
              </w:rPr>
            </w:pPr>
            <w:r w:rsidRPr="0056627C">
              <w:rPr>
                <w:rFonts w:eastAsia="Times New Roman" w:cs="Arial"/>
                <w:b/>
                <w:bCs/>
                <w:color w:val="FFFFFF"/>
                <w:sz w:val="20"/>
                <w:szCs w:val="20"/>
                <w:lang w:eastAsia="en-AU"/>
              </w:rPr>
              <w:t>Payments Coefficient of Variation for financial year</w:t>
            </w:r>
          </w:p>
        </w:tc>
        <w:tc>
          <w:tcPr>
            <w:tcW w:w="1080" w:type="dxa"/>
            <w:tcBorders>
              <w:top w:val="nil"/>
              <w:left w:val="nil"/>
              <w:bottom w:val="single" w:sz="4" w:space="0" w:color="FFFFFF" w:themeColor="background1"/>
              <w:right w:val="nil"/>
            </w:tcBorders>
            <w:shd w:val="clear" w:color="auto" w:fill="6B2976"/>
            <w:vAlign w:val="center"/>
            <w:hideMark/>
          </w:tcPr>
          <w:p w14:paraId="4031C0E7" w14:textId="77777777" w:rsidR="00CF6AA7" w:rsidRPr="0056627C" w:rsidRDefault="00CF6AA7" w:rsidP="00C53CDC">
            <w:pPr>
              <w:keepNext/>
              <w:keepLines/>
              <w:jc w:val="right"/>
              <w:textAlignment w:val="baseline"/>
              <w:rPr>
                <w:rFonts w:eastAsia="Times New Roman" w:cs="Arial"/>
                <w:b/>
                <w:bCs/>
                <w:color w:val="FFFFFF" w:themeColor="background1"/>
                <w:sz w:val="20"/>
                <w:szCs w:val="20"/>
                <w:lang w:eastAsia="en-AU"/>
              </w:rPr>
            </w:pPr>
          </w:p>
        </w:tc>
      </w:tr>
      <w:tr w:rsidR="00CF6AA7" w:rsidRPr="0056627C" w14:paraId="507E026C" w14:textId="77777777" w:rsidTr="004C434C">
        <w:trPr>
          <w:trHeight w:hRule="exact" w:val="397"/>
        </w:trPr>
        <w:tc>
          <w:tcPr>
            <w:tcW w:w="0" w:type="auto"/>
            <w:vMerge/>
            <w:vAlign w:val="center"/>
            <w:hideMark/>
          </w:tcPr>
          <w:p w14:paraId="68F03E80" w14:textId="77777777" w:rsidR="00CF6AA7" w:rsidRPr="0056627C" w:rsidRDefault="00CF6AA7" w:rsidP="00C53CDC">
            <w:pPr>
              <w:keepNext/>
              <w:keepLines/>
              <w:rPr>
                <w:rFonts w:ascii="Times New Roman" w:eastAsia="Times New Roman" w:hAnsi="Times New Roman" w:cs="Times New Roman"/>
                <w:b/>
                <w:bCs/>
                <w:i/>
                <w:iCs/>
                <w:color w:val="800000"/>
                <w:lang w:eastAsia="en-AU"/>
              </w:rPr>
            </w:pPr>
          </w:p>
        </w:tc>
        <w:tc>
          <w:tcPr>
            <w:tcW w:w="1080" w:type="dxa"/>
            <w:tcBorders>
              <w:top w:val="single" w:sz="4" w:space="0" w:color="FFFFFF" w:themeColor="background1"/>
              <w:left w:val="nil"/>
              <w:bottom w:val="nil"/>
              <w:right w:val="nil"/>
            </w:tcBorders>
            <w:shd w:val="clear" w:color="auto" w:fill="6B2976"/>
            <w:vAlign w:val="center"/>
            <w:hideMark/>
          </w:tcPr>
          <w:p w14:paraId="639A9FA5" w14:textId="77777777" w:rsidR="00CF6AA7" w:rsidRPr="0056627C" w:rsidRDefault="00CF6AA7" w:rsidP="00C53CDC">
            <w:pPr>
              <w:keepNext/>
              <w:keepLines/>
              <w:spacing w:after="0"/>
              <w:jc w:val="right"/>
              <w:textAlignment w:val="baseline"/>
              <w:rPr>
                <w:rFonts w:ascii="Times New Roman" w:eastAsia="Times New Roman" w:hAnsi="Times New Roman" w:cs="Times New Roman"/>
                <w:lang w:eastAsia="en-AU"/>
              </w:rPr>
            </w:pPr>
            <w:r w:rsidRPr="0056627C">
              <w:rPr>
                <w:rFonts w:eastAsia="Times New Roman" w:cs="Arial"/>
                <w:b/>
                <w:bCs/>
                <w:color w:val="FFFFFF"/>
                <w:sz w:val="20"/>
                <w:szCs w:val="20"/>
                <w:lang w:eastAsia="en-AU"/>
              </w:rPr>
              <w:t>2022-23</w:t>
            </w:r>
            <w:r w:rsidRPr="0056627C">
              <w:rPr>
                <w:rFonts w:eastAsia="Times New Roman" w:cs="Arial"/>
                <w:color w:val="FFFFFF"/>
                <w:sz w:val="20"/>
                <w:szCs w:val="20"/>
                <w:lang w:eastAsia="en-AU"/>
              </w:rPr>
              <w:t> </w:t>
            </w:r>
          </w:p>
        </w:tc>
        <w:tc>
          <w:tcPr>
            <w:tcW w:w="1080" w:type="dxa"/>
            <w:tcBorders>
              <w:top w:val="single" w:sz="4" w:space="0" w:color="FFFFFF" w:themeColor="background1"/>
              <w:left w:val="nil"/>
              <w:bottom w:val="nil"/>
              <w:right w:val="nil"/>
            </w:tcBorders>
            <w:shd w:val="clear" w:color="auto" w:fill="6B2976"/>
            <w:vAlign w:val="center"/>
            <w:hideMark/>
          </w:tcPr>
          <w:p w14:paraId="3DEB7367" w14:textId="77777777" w:rsidR="00CF6AA7" w:rsidRPr="0056627C" w:rsidRDefault="00CF6AA7" w:rsidP="00C53CDC">
            <w:pPr>
              <w:keepNext/>
              <w:keepLines/>
              <w:spacing w:after="0"/>
              <w:jc w:val="right"/>
              <w:textAlignment w:val="baseline"/>
              <w:rPr>
                <w:rFonts w:ascii="Times New Roman" w:eastAsia="Times New Roman" w:hAnsi="Times New Roman" w:cs="Times New Roman"/>
                <w:lang w:eastAsia="en-AU"/>
              </w:rPr>
            </w:pPr>
            <w:r w:rsidRPr="0056627C">
              <w:rPr>
                <w:rFonts w:eastAsia="Times New Roman" w:cs="Arial"/>
                <w:b/>
                <w:bCs/>
                <w:color w:val="FFFFFF"/>
                <w:sz w:val="20"/>
                <w:szCs w:val="20"/>
                <w:lang w:eastAsia="en-AU"/>
              </w:rPr>
              <w:t>2023-24</w:t>
            </w:r>
            <w:r w:rsidRPr="0056627C">
              <w:rPr>
                <w:rFonts w:eastAsia="Times New Roman" w:cs="Arial"/>
                <w:color w:val="FFFFFF"/>
                <w:sz w:val="20"/>
                <w:szCs w:val="20"/>
                <w:lang w:eastAsia="en-AU"/>
              </w:rPr>
              <w:t> </w:t>
            </w:r>
          </w:p>
        </w:tc>
        <w:tc>
          <w:tcPr>
            <w:tcW w:w="1080" w:type="dxa"/>
            <w:tcBorders>
              <w:top w:val="single" w:sz="4" w:space="0" w:color="FFFFFF" w:themeColor="background1"/>
              <w:left w:val="nil"/>
              <w:bottom w:val="nil"/>
              <w:right w:val="nil"/>
            </w:tcBorders>
            <w:shd w:val="clear" w:color="auto" w:fill="6B2976"/>
            <w:vAlign w:val="center"/>
            <w:hideMark/>
          </w:tcPr>
          <w:p w14:paraId="0CB716EE" w14:textId="77777777" w:rsidR="00CF6AA7" w:rsidRPr="0056627C" w:rsidRDefault="00CF6AA7" w:rsidP="00C53CDC">
            <w:pPr>
              <w:keepNext/>
              <w:keepLines/>
              <w:spacing w:after="0"/>
              <w:jc w:val="right"/>
              <w:textAlignment w:val="baseline"/>
              <w:rPr>
                <w:rFonts w:ascii="Times New Roman" w:eastAsia="Times New Roman" w:hAnsi="Times New Roman" w:cs="Times New Roman"/>
                <w:lang w:eastAsia="en-AU"/>
              </w:rPr>
            </w:pPr>
            <w:r w:rsidRPr="0056627C">
              <w:rPr>
                <w:rFonts w:eastAsia="Times New Roman" w:cs="Arial"/>
                <w:b/>
                <w:bCs/>
                <w:color w:val="FFFFFF"/>
                <w:sz w:val="20"/>
                <w:szCs w:val="20"/>
                <w:lang w:eastAsia="en-AU"/>
              </w:rPr>
              <w:t>2024-25</w:t>
            </w:r>
            <w:r w:rsidRPr="0056627C">
              <w:rPr>
                <w:rFonts w:eastAsia="Times New Roman" w:cs="Arial"/>
                <w:color w:val="FFFFFF"/>
                <w:sz w:val="20"/>
                <w:szCs w:val="20"/>
                <w:lang w:eastAsia="en-AU"/>
              </w:rPr>
              <w:t> </w:t>
            </w:r>
          </w:p>
        </w:tc>
        <w:tc>
          <w:tcPr>
            <w:tcW w:w="1080" w:type="dxa"/>
            <w:tcBorders>
              <w:top w:val="single" w:sz="4" w:space="0" w:color="FFFFFF" w:themeColor="background1"/>
              <w:left w:val="nil"/>
              <w:bottom w:val="nil"/>
              <w:right w:val="dotted" w:sz="4" w:space="0" w:color="000000" w:themeColor="text1"/>
            </w:tcBorders>
            <w:shd w:val="clear" w:color="auto" w:fill="6B2976"/>
            <w:vAlign w:val="center"/>
            <w:hideMark/>
          </w:tcPr>
          <w:p w14:paraId="66F75A23" w14:textId="77777777" w:rsidR="00CF6AA7" w:rsidRPr="0056627C" w:rsidRDefault="00CF6AA7" w:rsidP="00C53CDC">
            <w:pPr>
              <w:keepNext/>
              <w:keepLines/>
              <w:spacing w:after="0"/>
              <w:jc w:val="right"/>
              <w:textAlignment w:val="baseline"/>
              <w:rPr>
                <w:rFonts w:ascii="Times New Roman" w:eastAsia="Times New Roman" w:hAnsi="Times New Roman" w:cs="Times New Roman"/>
                <w:lang w:eastAsia="en-AU"/>
              </w:rPr>
            </w:pPr>
            <w:r w:rsidRPr="0056627C">
              <w:rPr>
                <w:rFonts w:eastAsia="Times New Roman" w:cs="Arial"/>
                <w:b/>
                <w:bCs/>
                <w:color w:val="FFFFFF"/>
                <w:sz w:val="20"/>
                <w:szCs w:val="20"/>
                <w:lang w:eastAsia="en-AU"/>
              </w:rPr>
              <w:t>2025-26</w:t>
            </w:r>
            <w:r w:rsidRPr="0056627C">
              <w:rPr>
                <w:rFonts w:eastAsia="Times New Roman" w:cs="Arial"/>
                <w:color w:val="FFFFFF"/>
                <w:sz w:val="20"/>
                <w:szCs w:val="20"/>
                <w:lang w:eastAsia="en-AU"/>
              </w:rPr>
              <w:t> </w:t>
            </w:r>
          </w:p>
        </w:tc>
        <w:tc>
          <w:tcPr>
            <w:tcW w:w="1110" w:type="dxa"/>
            <w:tcBorders>
              <w:top w:val="single" w:sz="4" w:space="0" w:color="FFFFFF" w:themeColor="background1"/>
              <w:left w:val="dotted" w:sz="4" w:space="0" w:color="000000" w:themeColor="text1"/>
              <w:bottom w:val="nil"/>
              <w:right w:val="dotted" w:sz="4" w:space="0" w:color="000000" w:themeColor="text1"/>
            </w:tcBorders>
            <w:shd w:val="clear" w:color="auto" w:fill="6B2976"/>
            <w:vAlign w:val="center"/>
            <w:hideMark/>
          </w:tcPr>
          <w:p w14:paraId="3A49DAF7" w14:textId="77777777" w:rsidR="00CF6AA7" w:rsidRPr="0056627C" w:rsidRDefault="00CF6AA7" w:rsidP="00C53CDC">
            <w:pPr>
              <w:keepNext/>
              <w:keepLines/>
              <w:spacing w:after="0"/>
              <w:jc w:val="right"/>
              <w:textAlignment w:val="baseline"/>
              <w:rPr>
                <w:rFonts w:ascii="Times New Roman" w:eastAsia="Times New Roman" w:hAnsi="Times New Roman" w:cs="Times New Roman"/>
                <w:lang w:eastAsia="en-AU"/>
              </w:rPr>
            </w:pPr>
            <w:r w:rsidRPr="0056627C">
              <w:rPr>
                <w:rFonts w:eastAsia="Times New Roman" w:cs="Arial"/>
                <w:b/>
                <w:bCs/>
                <w:color w:val="FFFFFF"/>
                <w:sz w:val="20"/>
                <w:szCs w:val="20"/>
                <w:lang w:eastAsia="en-AU"/>
              </w:rPr>
              <w:t>20</w:t>
            </w:r>
            <w:r>
              <w:rPr>
                <w:rFonts w:eastAsia="Times New Roman" w:cs="Arial"/>
                <w:b/>
                <w:bCs/>
                <w:color w:val="FFFFFF"/>
                <w:sz w:val="20"/>
                <w:szCs w:val="20"/>
                <w:lang w:eastAsia="en-AU"/>
              </w:rPr>
              <w:t>31</w:t>
            </w:r>
            <w:r w:rsidRPr="0056627C">
              <w:rPr>
                <w:rFonts w:eastAsia="Times New Roman" w:cs="Arial"/>
                <w:b/>
                <w:bCs/>
                <w:color w:val="FFFFFF"/>
                <w:sz w:val="20"/>
                <w:szCs w:val="20"/>
                <w:lang w:eastAsia="en-AU"/>
              </w:rPr>
              <w:t>-3</w:t>
            </w:r>
            <w:r>
              <w:rPr>
                <w:rFonts w:eastAsia="Times New Roman" w:cs="Arial"/>
                <w:b/>
                <w:bCs/>
                <w:color w:val="FFFFFF"/>
                <w:sz w:val="20"/>
                <w:szCs w:val="20"/>
                <w:lang w:eastAsia="en-AU"/>
              </w:rPr>
              <w:t>2</w:t>
            </w:r>
            <w:r w:rsidRPr="0056627C">
              <w:rPr>
                <w:rFonts w:eastAsia="Times New Roman" w:cs="Arial"/>
                <w:color w:val="FFFFFF"/>
                <w:sz w:val="20"/>
                <w:szCs w:val="20"/>
                <w:lang w:eastAsia="en-AU"/>
              </w:rPr>
              <w:t> </w:t>
            </w:r>
          </w:p>
        </w:tc>
        <w:tc>
          <w:tcPr>
            <w:tcW w:w="1080" w:type="dxa"/>
            <w:tcBorders>
              <w:top w:val="single" w:sz="4" w:space="0" w:color="FFFFFF" w:themeColor="background1"/>
              <w:left w:val="dotted" w:sz="4" w:space="0" w:color="000000" w:themeColor="text1"/>
              <w:bottom w:val="nil"/>
              <w:right w:val="nil"/>
            </w:tcBorders>
            <w:shd w:val="clear" w:color="auto" w:fill="6B2976"/>
            <w:vAlign w:val="center"/>
            <w:hideMark/>
          </w:tcPr>
          <w:p w14:paraId="3E61FEF0" w14:textId="77777777" w:rsidR="00CF6AA7" w:rsidRPr="005D06CE" w:rsidRDefault="00CF6AA7" w:rsidP="00C53CDC">
            <w:pPr>
              <w:keepNext/>
              <w:keepLines/>
              <w:spacing w:after="0"/>
              <w:jc w:val="right"/>
              <w:textAlignment w:val="baseline"/>
              <w:rPr>
                <w:rFonts w:eastAsia="Times New Roman" w:cs="Arial"/>
                <w:b/>
                <w:color w:val="FFFFFF" w:themeColor="background1"/>
                <w:sz w:val="20"/>
                <w:szCs w:val="20"/>
                <w:lang w:eastAsia="en-AU"/>
              </w:rPr>
            </w:pPr>
            <w:r w:rsidRPr="005D06CE">
              <w:rPr>
                <w:rFonts w:eastAsia="Times New Roman" w:cs="Arial"/>
                <w:b/>
                <w:color w:val="FFFFFF" w:themeColor="background1"/>
                <w:sz w:val="20"/>
                <w:szCs w:val="20"/>
                <w:lang w:eastAsia="en-AU"/>
              </w:rPr>
              <w:t>2022-26 </w:t>
            </w:r>
          </w:p>
        </w:tc>
      </w:tr>
      <w:tr w:rsidR="00CF6AA7" w:rsidRPr="0056627C" w14:paraId="28320BF7" w14:textId="77777777" w:rsidTr="00252EAF">
        <w:trPr>
          <w:trHeight w:hRule="exact" w:val="301"/>
        </w:trPr>
        <w:tc>
          <w:tcPr>
            <w:tcW w:w="2400" w:type="dxa"/>
            <w:tcBorders>
              <w:top w:val="nil"/>
              <w:left w:val="nil"/>
              <w:bottom w:val="nil"/>
              <w:right w:val="nil"/>
            </w:tcBorders>
            <w:shd w:val="clear" w:color="auto" w:fill="auto"/>
            <w:hideMark/>
          </w:tcPr>
          <w:p w14:paraId="0D2FBCC8" w14:textId="77777777" w:rsidR="00CF6AA7" w:rsidRPr="0056627C" w:rsidRDefault="00381F7D" w:rsidP="00C53CDC">
            <w:pPr>
              <w:keepNext/>
              <w:keepLines/>
              <w:spacing w:after="0"/>
              <w:textAlignment w:val="baseline"/>
              <w:rPr>
                <w:rFonts w:ascii="Times New Roman" w:eastAsia="Times New Roman" w:hAnsi="Times New Roman" w:cs="Times New Roman"/>
                <w:lang w:eastAsia="en-AU"/>
              </w:rPr>
            </w:pPr>
            <w:r>
              <w:rPr>
                <w:rFonts w:eastAsia="Times New Roman" w:cs="Arial"/>
                <w:color w:val="000000"/>
                <w:sz w:val="20"/>
                <w:szCs w:val="20"/>
                <w:lang w:eastAsia="en-AU"/>
              </w:rPr>
              <w:t xml:space="preserve">Additional </w:t>
            </w:r>
            <w:r w:rsidR="00CF6AA7" w:rsidRPr="0056627C">
              <w:rPr>
                <w:rFonts w:eastAsia="Times New Roman" w:cs="Arial"/>
                <w:color w:val="000000"/>
                <w:sz w:val="20"/>
                <w:szCs w:val="20"/>
                <w:lang w:eastAsia="en-AU"/>
              </w:rPr>
              <w:t>inflation </w:t>
            </w:r>
          </w:p>
        </w:tc>
        <w:tc>
          <w:tcPr>
            <w:tcW w:w="1080" w:type="dxa"/>
            <w:tcBorders>
              <w:top w:val="nil"/>
              <w:left w:val="nil"/>
              <w:bottom w:val="nil"/>
              <w:right w:val="nil"/>
            </w:tcBorders>
            <w:shd w:val="clear" w:color="auto" w:fill="auto"/>
            <w:vAlign w:val="center"/>
            <w:hideMark/>
          </w:tcPr>
          <w:p w14:paraId="7B6A0C6F" w14:textId="77777777" w:rsidR="00CF6AA7" w:rsidRPr="00FE6C11" w:rsidRDefault="00CF6AA7" w:rsidP="00835575">
            <w:pPr>
              <w:keepNext/>
              <w:keepLines/>
              <w:spacing w:after="0"/>
              <w:jc w:val="right"/>
              <w:textAlignment w:val="baseline"/>
              <w:rPr>
                <w:rFonts w:ascii="Times New Roman" w:eastAsia="Times New Roman" w:hAnsi="Times New Roman" w:cs="Times New Roman"/>
                <w:sz w:val="20"/>
                <w:szCs w:val="20"/>
                <w:lang w:eastAsia="en-AU"/>
              </w:rPr>
            </w:pPr>
            <w:r w:rsidRPr="00FE6C11">
              <w:rPr>
                <w:sz w:val="20"/>
                <w:szCs w:val="20"/>
              </w:rPr>
              <w:t>3.8%</w:t>
            </w:r>
          </w:p>
        </w:tc>
        <w:tc>
          <w:tcPr>
            <w:tcW w:w="1080" w:type="dxa"/>
            <w:tcBorders>
              <w:top w:val="nil"/>
              <w:left w:val="nil"/>
              <w:bottom w:val="nil"/>
              <w:right w:val="nil"/>
            </w:tcBorders>
            <w:shd w:val="clear" w:color="auto" w:fill="auto"/>
            <w:vAlign w:val="center"/>
            <w:hideMark/>
          </w:tcPr>
          <w:p w14:paraId="2E6BFEFA" w14:textId="77777777" w:rsidR="00CF6AA7" w:rsidRPr="00FE6C11" w:rsidRDefault="00CF6AA7" w:rsidP="00562467">
            <w:pPr>
              <w:keepNext/>
              <w:keepLines/>
              <w:spacing w:after="0"/>
              <w:jc w:val="right"/>
              <w:textAlignment w:val="baseline"/>
              <w:rPr>
                <w:rFonts w:ascii="Times New Roman" w:eastAsia="Times New Roman" w:hAnsi="Times New Roman" w:cs="Times New Roman"/>
                <w:sz w:val="20"/>
                <w:szCs w:val="20"/>
                <w:lang w:eastAsia="en-AU"/>
              </w:rPr>
            </w:pPr>
            <w:r w:rsidRPr="00FE6C11">
              <w:rPr>
                <w:sz w:val="20"/>
                <w:szCs w:val="20"/>
              </w:rPr>
              <w:t>5.</w:t>
            </w:r>
            <w:r w:rsidR="00265F36">
              <w:rPr>
                <w:sz w:val="20"/>
                <w:szCs w:val="20"/>
              </w:rPr>
              <w:t>0</w:t>
            </w:r>
            <w:r w:rsidRPr="00FE6C11">
              <w:rPr>
                <w:sz w:val="20"/>
                <w:szCs w:val="20"/>
              </w:rPr>
              <w:t>%</w:t>
            </w:r>
          </w:p>
        </w:tc>
        <w:tc>
          <w:tcPr>
            <w:tcW w:w="1080" w:type="dxa"/>
            <w:tcBorders>
              <w:top w:val="nil"/>
              <w:left w:val="nil"/>
              <w:bottom w:val="nil"/>
              <w:right w:val="nil"/>
            </w:tcBorders>
            <w:shd w:val="clear" w:color="auto" w:fill="auto"/>
            <w:vAlign w:val="center"/>
            <w:hideMark/>
          </w:tcPr>
          <w:p w14:paraId="00219205" w14:textId="77777777" w:rsidR="00CF6AA7" w:rsidRPr="00FE6C11" w:rsidRDefault="00CF6AA7" w:rsidP="00562467">
            <w:pPr>
              <w:keepNext/>
              <w:keepLines/>
              <w:spacing w:after="0"/>
              <w:jc w:val="right"/>
              <w:textAlignment w:val="baseline"/>
              <w:rPr>
                <w:rFonts w:ascii="Times New Roman" w:eastAsia="Times New Roman" w:hAnsi="Times New Roman" w:cs="Times New Roman"/>
                <w:sz w:val="20"/>
                <w:szCs w:val="20"/>
                <w:lang w:eastAsia="en-AU"/>
              </w:rPr>
            </w:pPr>
            <w:r w:rsidRPr="00FE6C11">
              <w:rPr>
                <w:sz w:val="20"/>
                <w:szCs w:val="20"/>
              </w:rPr>
              <w:t>5.</w:t>
            </w:r>
            <w:r w:rsidR="00265F36">
              <w:rPr>
                <w:sz w:val="20"/>
                <w:szCs w:val="20"/>
              </w:rPr>
              <w:t>7</w:t>
            </w:r>
            <w:r w:rsidRPr="00FE6C11">
              <w:rPr>
                <w:sz w:val="20"/>
                <w:szCs w:val="20"/>
              </w:rPr>
              <w:t>%</w:t>
            </w:r>
          </w:p>
        </w:tc>
        <w:tc>
          <w:tcPr>
            <w:tcW w:w="1080" w:type="dxa"/>
            <w:tcBorders>
              <w:top w:val="nil"/>
              <w:left w:val="nil"/>
              <w:bottom w:val="nil"/>
              <w:right w:val="dotted" w:sz="4" w:space="0" w:color="000000" w:themeColor="text1"/>
            </w:tcBorders>
            <w:shd w:val="clear" w:color="auto" w:fill="auto"/>
            <w:vAlign w:val="center"/>
            <w:hideMark/>
          </w:tcPr>
          <w:p w14:paraId="22EB6B16" w14:textId="77777777" w:rsidR="00CF6AA7" w:rsidRPr="00FE6C11" w:rsidRDefault="00CF6AA7" w:rsidP="00562467">
            <w:pPr>
              <w:keepNext/>
              <w:keepLines/>
              <w:spacing w:after="0"/>
              <w:jc w:val="right"/>
              <w:textAlignment w:val="baseline"/>
              <w:rPr>
                <w:rFonts w:ascii="Times New Roman" w:eastAsia="Times New Roman" w:hAnsi="Times New Roman" w:cs="Times New Roman"/>
                <w:sz w:val="20"/>
                <w:szCs w:val="20"/>
                <w:lang w:eastAsia="en-AU"/>
              </w:rPr>
            </w:pPr>
            <w:r w:rsidRPr="00FE6C11">
              <w:rPr>
                <w:sz w:val="20"/>
                <w:szCs w:val="20"/>
              </w:rPr>
              <w:t>6.</w:t>
            </w:r>
            <w:r w:rsidR="00265F36">
              <w:rPr>
                <w:sz w:val="20"/>
                <w:szCs w:val="20"/>
              </w:rPr>
              <w:t>1</w:t>
            </w:r>
            <w:r w:rsidRPr="00FE6C11">
              <w:rPr>
                <w:sz w:val="20"/>
                <w:szCs w:val="20"/>
              </w:rPr>
              <w:t>%</w:t>
            </w:r>
          </w:p>
        </w:tc>
        <w:tc>
          <w:tcPr>
            <w:tcW w:w="1110" w:type="dxa"/>
            <w:tcBorders>
              <w:top w:val="nil"/>
              <w:left w:val="dotted" w:sz="4" w:space="0" w:color="000000" w:themeColor="text1"/>
              <w:bottom w:val="nil"/>
              <w:right w:val="dotted" w:sz="4" w:space="0" w:color="000000" w:themeColor="text1"/>
            </w:tcBorders>
            <w:shd w:val="clear" w:color="auto" w:fill="auto"/>
            <w:vAlign w:val="center"/>
            <w:hideMark/>
          </w:tcPr>
          <w:p w14:paraId="3C77F759" w14:textId="77777777" w:rsidR="00CF6AA7" w:rsidRPr="00FE6C11" w:rsidRDefault="00CF6AA7" w:rsidP="00562467">
            <w:pPr>
              <w:keepNext/>
              <w:keepLines/>
              <w:spacing w:after="0"/>
              <w:jc w:val="right"/>
              <w:textAlignment w:val="baseline"/>
              <w:rPr>
                <w:rFonts w:ascii="Times New Roman" w:eastAsia="Times New Roman" w:hAnsi="Times New Roman" w:cs="Times New Roman"/>
                <w:sz w:val="20"/>
                <w:szCs w:val="20"/>
                <w:lang w:eastAsia="en-AU"/>
              </w:rPr>
            </w:pPr>
            <w:r>
              <w:rPr>
                <w:sz w:val="20"/>
                <w:szCs w:val="20"/>
              </w:rPr>
              <w:t>8</w:t>
            </w:r>
            <w:r w:rsidRPr="00FE6C11">
              <w:rPr>
                <w:sz w:val="20"/>
                <w:szCs w:val="20"/>
              </w:rPr>
              <w:t>.</w:t>
            </w:r>
            <w:r>
              <w:rPr>
                <w:sz w:val="20"/>
                <w:szCs w:val="20"/>
              </w:rPr>
              <w:t>3</w:t>
            </w:r>
            <w:r w:rsidRPr="00FE6C11">
              <w:rPr>
                <w:sz w:val="20"/>
                <w:szCs w:val="20"/>
              </w:rPr>
              <w:t>%</w:t>
            </w:r>
          </w:p>
        </w:tc>
        <w:tc>
          <w:tcPr>
            <w:tcW w:w="1080" w:type="dxa"/>
            <w:tcBorders>
              <w:top w:val="nil"/>
              <w:left w:val="dotted" w:sz="4" w:space="0" w:color="000000" w:themeColor="text1"/>
              <w:bottom w:val="nil"/>
              <w:right w:val="nil"/>
            </w:tcBorders>
            <w:shd w:val="clear" w:color="auto" w:fill="auto"/>
            <w:vAlign w:val="center"/>
            <w:hideMark/>
          </w:tcPr>
          <w:p w14:paraId="6158D6B7" w14:textId="77777777" w:rsidR="00CF6AA7" w:rsidRPr="00FE6C11" w:rsidRDefault="00265F36" w:rsidP="00562467">
            <w:pPr>
              <w:keepNext/>
              <w:keepLines/>
              <w:spacing w:after="0"/>
              <w:jc w:val="right"/>
              <w:textAlignment w:val="baseline"/>
              <w:rPr>
                <w:rFonts w:ascii="Times New Roman" w:eastAsia="Times New Roman" w:hAnsi="Times New Roman" w:cs="Times New Roman"/>
                <w:sz w:val="20"/>
                <w:szCs w:val="20"/>
                <w:lang w:eastAsia="en-AU"/>
              </w:rPr>
            </w:pPr>
            <w:r>
              <w:rPr>
                <w:sz w:val="20"/>
                <w:szCs w:val="20"/>
              </w:rPr>
              <w:t>4</w:t>
            </w:r>
            <w:r w:rsidR="00CF6AA7" w:rsidRPr="00FE6C11">
              <w:rPr>
                <w:sz w:val="20"/>
                <w:szCs w:val="20"/>
              </w:rPr>
              <w:t>.</w:t>
            </w:r>
            <w:r>
              <w:rPr>
                <w:sz w:val="20"/>
                <w:szCs w:val="20"/>
              </w:rPr>
              <w:t>9</w:t>
            </w:r>
            <w:r w:rsidR="00CF6AA7" w:rsidRPr="00FE6C11">
              <w:rPr>
                <w:sz w:val="20"/>
                <w:szCs w:val="20"/>
              </w:rPr>
              <w:t>%</w:t>
            </w:r>
          </w:p>
        </w:tc>
      </w:tr>
      <w:tr w:rsidR="00252EAF" w:rsidRPr="0056627C" w14:paraId="0CAA3B60" w14:textId="77777777" w:rsidTr="00252EAF">
        <w:trPr>
          <w:trHeight w:hRule="exact" w:val="301"/>
        </w:trPr>
        <w:tc>
          <w:tcPr>
            <w:tcW w:w="2400" w:type="dxa"/>
            <w:tcBorders>
              <w:top w:val="nil"/>
              <w:left w:val="nil"/>
              <w:bottom w:val="nil"/>
              <w:right w:val="nil"/>
            </w:tcBorders>
            <w:shd w:val="clear" w:color="auto" w:fill="C0C0C0"/>
            <w:hideMark/>
          </w:tcPr>
          <w:p w14:paraId="2301C246" w14:textId="77777777" w:rsidR="00CF6AA7" w:rsidRPr="0056627C" w:rsidRDefault="00CF6AA7" w:rsidP="00C53CDC">
            <w:pPr>
              <w:keepNext/>
              <w:keepLines/>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Model specification risk </w:t>
            </w:r>
          </w:p>
        </w:tc>
        <w:tc>
          <w:tcPr>
            <w:tcW w:w="1080" w:type="dxa"/>
            <w:tcBorders>
              <w:top w:val="nil"/>
              <w:left w:val="nil"/>
              <w:bottom w:val="nil"/>
              <w:right w:val="nil"/>
            </w:tcBorders>
            <w:shd w:val="clear" w:color="auto" w:fill="C0C0C0"/>
            <w:vAlign w:val="center"/>
            <w:hideMark/>
          </w:tcPr>
          <w:p w14:paraId="1586AC1B" w14:textId="77777777" w:rsidR="00CF6AA7" w:rsidRPr="00FE6C11" w:rsidRDefault="00CF6AA7" w:rsidP="00835575">
            <w:pPr>
              <w:keepNext/>
              <w:keepLines/>
              <w:jc w:val="right"/>
              <w:textAlignment w:val="baseline"/>
              <w:rPr>
                <w:rFonts w:ascii="Times New Roman" w:eastAsia="Times New Roman" w:hAnsi="Times New Roman" w:cs="Times New Roman"/>
                <w:sz w:val="20"/>
                <w:szCs w:val="20"/>
                <w:lang w:eastAsia="en-AU"/>
              </w:rPr>
            </w:pPr>
            <w:r w:rsidRPr="00FE6C11">
              <w:rPr>
                <w:sz w:val="20"/>
                <w:szCs w:val="20"/>
              </w:rPr>
              <w:t>2.0%</w:t>
            </w:r>
          </w:p>
        </w:tc>
        <w:tc>
          <w:tcPr>
            <w:tcW w:w="1080" w:type="dxa"/>
            <w:tcBorders>
              <w:top w:val="nil"/>
              <w:left w:val="nil"/>
              <w:bottom w:val="nil"/>
              <w:right w:val="nil"/>
            </w:tcBorders>
            <w:shd w:val="clear" w:color="auto" w:fill="C0C0C0"/>
            <w:vAlign w:val="center"/>
            <w:hideMark/>
          </w:tcPr>
          <w:p w14:paraId="6A8555E2" w14:textId="77777777" w:rsidR="00CF6AA7" w:rsidRPr="00FE6C11" w:rsidRDefault="00CF6AA7" w:rsidP="00562467">
            <w:pPr>
              <w:keepNext/>
              <w:keepLines/>
              <w:jc w:val="right"/>
              <w:textAlignment w:val="baseline"/>
              <w:rPr>
                <w:rFonts w:ascii="Times New Roman" w:eastAsia="Times New Roman" w:hAnsi="Times New Roman" w:cs="Times New Roman"/>
                <w:sz w:val="20"/>
                <w:szCs w:val="20"/>
                <w:lang w:eastAsia="en-AU"/>
              </w:rPr>
            </w:pPr>
            <w:r w:rsidRPr="00FE6C11">
              <w:rPr>
                <w:sz w:val="20"/>
                <w:szCs w:val="20"/>
              </w:rPr>
              <w:t>2.9%</w:t>
            </w:r>
          </w:p>
        </w:tc>
        <w:tc>
          <w:tcPr>
            <w:tcW w:w="1080" w:type="dxa"/>
            <w:tcBorders>
              <w:top w:val="nil"/>
              <w:left w:val="nil"/>
              <w:bottom w:val="nil"/>
              <w:right w:val="nil"/>
            </w:tcBorders>
            <w:shd w:val="clear" w:color="auto" w:fill="C0C0C0"/>
            <w:vAlign w:val="center"/>
            <w:hideMark/>
          </w:tcPr>
          <w:p w14:paraId="183CA349" w14:textId="77777777" w:rsidR="00CF6AA7" w:rsidRPr="00FE6C11" w:rsidRDefault="00CF6AA7" w:rsidP="00562467">
            <w:pPr>
              <w:keepNext/>
              <w:keepLines/>
              <w:jc w:val="right"/>
              <w:textAlignment w:val="baseline"/>
              <w:rPr>
                <w:rFonts w:ascii="Times New Roman" w:eastAsia="Times New Roman" w:hAnsi="Times New Roman" w:cs="Times New Roman"/>
                <w:sz w:val="20"/>
                <w:szCs w:val="20"/>
                <w:lang w:eastAsia="en-AU"/>
              </w:rPr>
            </w:pPr>
            <w:r w:rsidRPr="00FE6C11">
              <w:rPr>
                <w:sz w:val="20"/>
                <w:szCs w:val="20"/>
              </w:rPr>
              <w:t>3.</w:t>
            </w:r>
            <w:r w:rsidR="00265F36">
              <w:rPr>
                <w:sz w:val="20"/>
                <w:szCs w:val="20"/>
              </w:rPr>
              <w:t>7</w:t>
            </w:r>
            <w:r w:rsidRPr="00FE6C11">
              <w:rPr>
                <w:sz w:val="20"/>
                <w:szCs w:val="20"/>
              </w:rPr>
              <w:t>%</w:t>
            </w:r>
          </w:p>
        </w:tc>
        <w:tc>
          <w:tcPr>
            <w:tcW w:w="1080" w:type="dxa"/>
            <w:tcBorders>
              <w:top w:val="nil"/>
              <w:left w:val="nil"/>
              <w:bottom w:val="nil"/>
              <w:right w:val="dotted" w:sz="4" w:space="0" w:color="000000" w:themeColor="text1"/>
            </w:tcBorders>
            <w:shd w:val="clear" w:color="auto" w:fill="C0C0C0"/>
            <w:vAlign w:val="center"/>
            <w:hideMark/>
          </w:tcPr>
          <w:p w14:paraId="6950D560" w14:textId="77777777" w:rsidR="00CF6AA7" w:rsidRPr="00FE6C11" w:rsidRDefault="00CF6AA7" w:rsidP="00562467">
            <w:pPr>
              <w:keepNext/>
              <w:keepLines/>
              <w:jc w:val="right"/>
              <w:textAlignment w:val="baseline"/>
              <w:rPr>
                <w:rFonts w:ascii="Times New Roman" w:eastAsia="Times New Roman" w:hAnsi="Times New Roman" w:cs="Times New Roman"/>
                <w:sz w:val="20"/>
                <w:szCs w:val="20"/>
                <w:lang w:eastAsia="en-AU"/>
              </w:rPr>
            </w:pPr>
            <w:r w:rsidRPr="00FE6C11">
              <w:rPr>
                <w:sz w:val="20"/>
                <w:szCs w:val="20"/>
              </w:rPr>
              <w:t>4.3%</w:t>
            </w:r>
          </w:p>
        </w:tc>
        <w:tc>
          <w:tcPr>
            <w:tcW w:w="1110" w:type="dxa"/>
            <w:tcBorders>
              <w:top w:val="nil"/>
              <w:left w:val="dotted" w:sz="4" w:space="0" w:color="000000" w:themeColor="text1"/>
              <w:bottom w:val="nil"/>
              <w:right w:val="dotted" w:sz="4" w:space="0" w:color="000000" w:themeColor="text1"/>
            </w:tcBorders>
            <w:shd w:val="clear" w:color="auto" w:fill="C0C0C0"/>
            <w:vAlign w:val="center"/>
            <w:hideMark/>
          </w:tcPr>
          <w:p w14:paraId="5D16A402" w14:textId="77777777" w:rsidR="00CF6AA7" w:rsidRPr="00FE6C11" w:rsidRDefault="00CF6AA7" w:rsidP="00562467">
            <w:pPr>
              <w:keepNext/>
              <w:keepLines/>
              <w:jc w:val="right"/>
              <w:textAlignment w:val="baseline"/>
              <w:rPr>
                <w:rFonts w:ascii="Times New Roman" w:eastAsia="Times New Roman" w:hAnsi="Times New Roman" w:cs="Times New Roman"/>
                <w:sz w:val="20"/>
                <w:szCs w:val="20"/>
                <w:lang w:eastAsia="en-AU"/>
              </w:rPr>
            </w:pPr>
            <w:r>
              <w:rPr>
                <w:sz w:val="20"/>
                <w:szCs w:val="20"/>
              </w:rPr>
              <w:t>7.7</w:t>
            </w:r>
            <w:r w:rsidRPr="00FE6C11">
              <w:rPr>
                <w:sz w:val="20"/>
                <w:szCs w:val="20"/>
              </w:rPr>
              <w:t>%</w:t>
            </w:r>
          </w:p>
        </w:tc>
        <w:tc>
          <w:tcPr>
            <w:tcW w:w="1080" w:type="dxa"/>
            <w:tcBorders>
              <w:top w:val="nil"/>
              <w:left w:val="dotted" w:sz="4" w:space="0" w:color="000000" w:themeColor="text1"/>
              <w:bottom w:val="nil"/>
              <w:right w:val="nil"/>
            </w:tcBorders>
            <w:shd w:val="clear" w:color="auto" w:fill="C0C0C0"/>
            <w:vAlign w:val="center"/>
            <w:hideMark/>
          </w:tcPr>
          <w:p w14:paraId="489EBC4A" w14:textId="77777777" w:rsidR="00CF6AA7" w:rsidRPr="00FE6C11" w:rsidRDefault="00265F36" w:rsidP="00562467">
            <w:pPr>
              <w:keepNext/>
              <w:keepLines/>
              <w:jc w:val="right"/>
              <w:textAlignment w:val="baseline"/>
              <w:rPr>
                <w:rFonts w:ascii="Times New Roman" w:eastAsia="Times New Roman" w:hAnsi="Times New Roman" w:cs="Times New Roman"/>
                <w:sz w:val="20"/>
                <w:szCs w:val="20"/>
                <w:lang w:eastAsia="en-AU"/>
              </w:rPr>
            </w:pPr>
            <w:r>
              <w:rPr>
                <w:sz w:val="20"/>
                <w:szCs w:val="20"/>
              </w:rPr>
              <w:t>3</w:t>
            </w:r>
            <w:r w:rsidR="00CF6AA7" w:rsidRPr="00FE6C11">
              <w:rPr>
                <w:sz w:val="20"/>
                <w:szCs w:val="20"/>
              </w:rPr>
              <w:t>.</w:t>
            </w:r>
            <w:r>
              <w:rPr>
                <w:sz w:val="20"/>
                <w:szCs w:val="20"/>
              </w:rPr>
              <w:t>0</w:t>
            </w:r>
            <w:r w:rsidR="00CF6AA7" w:rsidRPr="00FE6C11">
              <w:rPr>
                <w:sz w:val="20"/>
                <w:szCs w:val="20"/>
              </w:rPr>
              <w:t>%</w:t>
            </w:r>
          </w:p>
        </w:tc>
      </w:tr>
      <w:tr w:rsidR="00CF6AA7" w:rsidRPr="0056627C" w14:paraId="1D862752" w14:textId="77777777" w:rsidTr="00252EAF">
        <w:trPr>
          <w:trHeight w:hRule="exact" w:val="301"/>
        </w:trPr>
        <w:tc>
          <w:tcPr>
            <w:tcW w:w="2400" w:type="dxa"/>
            <w:tcBorders>
              <w:top w:val="nil"/>
              <w:left w:val="nil"/>
              <w:bottom w:val="nil"/>
              <w:right w:val="nil"/>
            </w:tcBorders>
            <w:shd w:val="clear" w:color="auto" w:fill="auto"/>
            <w:hideMark/>
          </w:tcPr>
          <w:p w14:paraId="79B49934" w14:textId="77777777" w:rsidR="00CF6AA7" w:rsidRPr="0056627C" w:rsidRDefault="00CF6AA7" w:rsidP="00C53CDC">
            <w:pPr>
              <w:keepNext/>
              <w:keepLines/>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Normal Inflation </w:t>
            </w:r>
          </w:p>
        </w:tc>
        <w:tc>
          <w:tcPr>
            <w:tcW w:w="1080" w:type="dxa"/>
            <w:tcBorders>
              <w:top w:val="nil"/>
              <w:left w:val="nil"/>
              <w:bottom w:val="nil"/>
              <w:right w:val="nil"/>
            </w:tcBorders>
            <w:shd w:val="clear" w:color="auto" w:fill="auto"/>
            <w:vAlign w:val="center"/>
            <w:hideMark/>
          </w:tcPr>
          <w:p w14:paraId="20665D19" w14:textId="77777777" w:rsidR="00CF6AA7" w:rsidRPr="00FE6C11" w:rsidRDefault="00CF6AA7" w:rsidP="00835575">
            <w:pPr>
              <w:keepNext/>
              <w:keepLines/>
              <w:jc w:val="right"/>
              <w:textAlignment w:val="baseline"/>
              <w:rPr>
                <w:rFonts w:ascii="Times New Roman" w:eastAsia="Times New Roman" w:hAnsi="Times New Roman" w:cs="Times New Roman"/>
                <w:sz w:val="20"/>
                <w:szCs w:val="20"/>
                <w:lang w:eastAsia="en-AU"/>
              </w:rPr>
            </w:pPr>
            <w:r w:rsidRPr="00FE6C11">
              <w:rPr>
                <w:sz w:val="20"/>
                <w:szCs w:val="20"/>
              </w:rPr>
              <w:t>1.4%</w:t>
            </w:r>
          </w:p>
        </w:tc>
        <w:tc>
          <w:tcPr>
            <w:tcW w:w="1080" w:type="dxa"/>
            <w:tcBorders>
              <w:top w:val="nil"/>
              <w:left w:val="nil"/>
              <w:bottom w:val="nil"/>
              <w:right w:val="nil"/>
            </w:tcBorders>
            <w:shd w:val="clear" w:color="auto" w:fill="auto"/>
            <w:vAlign w:val="center"/>
            <w:hideMark/>
          </w:tcPr>
          <w:p w14:paraId="120E4FA4" w14:textId="77777777" w:rsidR="00CF6AA7" w:rsidRPr="00FE6C11" w:rsidRDefault="00265F36" w:rsidP="00562467">
            <w:pPr>
              <w:keepNext/>
              <w:keepLines/>
              <w:jc w:val="right"/>
              <w:textAlignment w:val="baseline"/>
              <w:rPr>
                <w:rFonts w:ascii="Times New Roman" w:eastAsia="Times New Roman" w:hAnsi="Times New Roman" w:cs="Times New Roman"/>
                <w:sz w:val="20"/>
                <w:szCs w:val="20"/>
                <w:lang w:eastAsia="en-AU"/>
              </w:rPr>
            </w:pPr>
            <w:r>
              <w:rPr>
                <w:sz w:val="20"/>
                <w:szCs w:val="20"/>
              </w:rPr>
              <w:t>1</w:t>
            </w:r>
            <w:r w:rsidR="00CF6AA7" w:rsidRPr="00FE6C11">
              <w:rPr>
                <w:sz w:val="20"/>
                <w:szCs w:val="20"/>
              </w:rPr>
              <w:t>.</w:t>
            </w:r>
            <w:r>
              <w:rPr>
                <w:sz w:val="20"/>
                <w:szCs w:val="20"/>
              </w:rPr>
              <w:t>9</w:t>
            </w:r>
            <w:r w:rsidR="00CF6AA7" w:rsidRPr="00FE6C11">
              <w:rPr>
                <w:sz w:val="20"/>
                <w:szCs w:val="20"/>
              </w:rPr>
              <w:t>%</w:t>
            </w:r>
          </w:p>
        </w:tc>
        <w:tc>
          <w:tcPr>
            <w:tcW w:w="1080" w:type="dxa"/>
            <w:tcBorders>
              <w:top w:val="nil"/>
              <w:left w:val="nil"/>
              <w:bottom w:val="nil"/>
              <w:right w:val="nil"/>
            </w:tcBorders>
            <w:shd w:val="clear" w:color="auto" w:fill="auto"/>
            <w:vAlign w:val="center"/>
            <w:hideMark/>
          </w:tcPr>
          <w:p w14:paraId="4A120BF6" w14:textId="77777777" w:rsidR="00CF6AA7" w:rsidRPr="00FE6C11" w:rsidRDefault="00CF6AA7" w:rsidP="00562467">
            <w:pPr>
              <w:keepNext/>
              <w:keepLines/>
              <w:jc w:val="right"/>
              <w:textAlignment w:val="baseline"/>
              <w:rPr>
                <w:rFonts w:ascii="Times New Roman" w:eastAsia="Times New Roman" w:hAnsi="Times New Roman" w:cs="Times New Roman"/>
                <w:sz w:val="20"/>
                <w:szCs w:val="20"/>
                <w:lang w:eastAsia="en-AU"/>
              </w:rPr>
            </w:pPr>
            <w:r w:rsidRPr="00FE6C11">
              <w:rPr>
                <w:sz w:val="20"/>
                <w:szCs w:val="20"/>
              </w:rPr>
              <w:t>2.1%</w:t>
            </w:r>
          </w:p>
        </w:tc>
        <w:tc>
          <w:tcPr>
            <w:tcW w:w="1080" w:type="dxa"/>
            <w:tcBorders>
              <w:top w:val="nil"/>
              <w:left w:val="nil"/>
              <w:bottom w:val="nil"/>
              <w:right w:val="dotted" w:sz="4" w:space="0" w:color="000000" w:themeColor="text1"/>
            </w:tcBorders>
            <w:shd w:val="clear" w:color="auto" w:fill="auto"/>
            <w:vAlign w:val="center"/>
            <w:hideMark/>
          </w:tcPr>
          <w:p w14:paraId="3161BDDA" w14:textId="77777777" w:rsidR="00CF6AA7" w:rsidRPr="00FE6C11" w:rsidRDefault="00CF6AA7" w:rsidP="00562467">
            <w:pPr>
              <w:keepNext/>
              <w:keepLines/>
              <w:jc w:val="right"/>
              <w:textAlignment w:val="baseline"/>
              <w:rPr>
                <w:rFonts w:ascii="Times New Roman" w:eastAsia="Times New Roman" w:hAnsi="Times New Roman" w:cs="Times New Roman"/>
                <w:sz w:val="20"/>
                <w:szCs w:val="20"/>
                <w:lang w:eastAsia="en-AU"/>
              </w:rPr>
            </w:pPr>
            <w:r w:rsidRPr="00FE6C11">
              <w:rPr>
                <w:sz w:val="20"/>
                <w:szCs w:val="20"/>
              </w:rPr>
              <w:t>2.2%</w:t>
            </w:r>
          </w:p>
        </w:tc>
        <w:tc>
          <w:tcPr>
            <w:tcW w:w="1110" w:type="dxa"/>
            <w:tcBorders>
              <w:top w:val="nil"/>
              <w:left w:val="dotted" w:sz="4" w:space="0" w:color="000000" w:themeColor="text1"/>
              <w:bottom w:val="nil"/>
              <w:right w:val="dotted" w:sz="4" w:space="0" w:color="000000" w:themeColor="text1"/>
            </w:tcBorders>
            <w:shd w:val="clear" w:color="auto" w:fill="auto"/>
            <w:vAlign w:val="center"/>
            <w:hideMark/>
          </w:tcPr>
          <w:p w14:paraId="0DBD13BD" w14:textId="77777777" w:rsidR="00CF6AA7" w:rsidRPr="00FE6C11" w:rsidRDefault="00CF6AA7" w:rsidP="00562467">
            <w:pPr>
              <w:keepNext/>
              <w:keepLines/>
              <w:jc w:val="right"/>
              <w:textAlignment w:val="baseline"/>
              <w:rPr>
                <w:rFonts w:ascii="Times New Roman" w:eastAsia="Times New Roman" w:hAnsi="Times New Roman" w:cs="Times New Roman"/>
                <w:sz w:val="20"/>
                <w:szCs w:val="20"/>
                <w:lang w:eastAsia="en-AU"/>
              </w:rPr>
            </w:pPr>
            <w:r w:rsidRPr="00FE6C11">
              <w:rPr>
                <w:sz w:val="20"/>
                <w:szCs w:val="20"/>
              </w:rPr>
              <w:t>2.</w:t>
            </w:r>
            <w:r w:rsidR="00265F36">
              <w:rPr>
                <w:sz w:val="20"/>
                <w:szCs w:val="20"/>
              </w:rPr>
              <w:t>8</w:t>
            </w:r>
            <w:r w:rsidRPr="00FE6C11">
              <w:rPr>
                <w:sz w:val="20"/>
                <w:szCs w:val="20"/>
              </w:rPr>
              <w:t>%</w:t>
            </w:r>
          </w:p>
        </w:tc>
        <w:tc>
          <w:tcPr>
            <w:tcW w:w="1080" w:type="dxa"/>
            <w:tcBorders>
              <w:top w:val="nil"/>
              <w:left w:val="dotted" w:sz="4" w:space="0" w:color="000000" w:themeColor="text1"/>
              <w:bottom w:val="nil"/>
              <w:right w:val="nil"/>
            </w:tcBorders>
            <w:shd w:val="clear" w:color="auto" w:fill="auto"/>
            <w:vAlign w:val="center"/>
            <w:hideMark/>
          </w:tcPr>
          <w:p w14:paraId="29AAEE56" w14:textId="77777777" w:rsidR="00CF6AA7" w:rsidRPr="00FE6C11" w:rsidRDefault="00CF6AA7" w:rsidP="00562467">
            <w:pPr>
              <w:keepNext/>
              <w:keepLines/>
              <w:jc w:val="right"/>
              <w:textAlignment w:val="baseline"/>
              <w:rPr>
                <w:rFonts w:ascii="Times New Roman" w:eastAsia="Times New Roman" w:hAnsi="Times New Roman" w:cs="Times New Roman"/>
                <w:sz w:val="20"/>
                <w:szCs w:val="20"/>
                <w:lang w:eastAsia="en-AU"/>
              </w:rPr>
            </w:pPr>
            <w:r w:rsidRPr="00FE6C11">
              <w:rPr>
                <w:sz w:val="20"/>
                <w:szCs w:val="20"/>
              </w:rPr>
              <w:t>1.8%</w:t>
            </w:r>
          </w:p>
        </w:tc>
      </w:tr>
      <w:tr w:rsidR="00252EAF" w:rsidRPr="0056627C" w14:paraId="1D7F85BE" w14:textId="77777777" w:rsidTr="00252EAF">
        <w:trPr>
          <w:trHeight w:hRule="exact" w:val="301"/>
        </w:trPr>
        <w:tc>
          <w:tcPr>
            <w:tcW w:w="2400" w:type="dxa"/>
            <w:tcBorders>
              <w:top w:val="nil"/>
              <w:left w:val="nil"/>
              <w:bottom w:val="nil"/>
              <w:right w:val="nil"/>
            </w:tcBorders>
            <w:shd w:val="clear" w:color="auto" w:fill="C0C0C0"/>
            <w:hideMark/>
          </w:tcPr>
          <w:p w14:paraId="3E9F329B" w14:textId="77777777" w:rsidR="00CF6AA7" w:rsidRPr="0056627C" w:rsidRDefault="00CF6AA7" w:rsidP="00C53CDC">
            <w:pPr>
              <w:keepNext/>
              <w:keepLines/>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New entrants </w:t>
            </w:r>
          </w:p>
        </w:tc>
        <w:tc>
          <w:tcPr>
            <w:tcW w:w="1080" w:type="dxa"/>
            <w:tcBorders>
              <w:top w:val="nil"/>
              <w:left w:val="nil"/>
              <w:bottom w:val="nil"/>
              <w:right w:val="nil"/>
            </w:tcBorders>
            <w:shd w:val="clear" w:color="auto" w:fill="C0C0C0"/>
            <w:vAlign w:val="center"/>
            <w:hideMark/>
          </w:tcPr>
          <w:p w14:paraId="7C653886" w14:textId="77777777" w:rsidR="00CF6AA7" w:rsidRPr="00FE6C11" w:rsidRDefault="00CF6AA7" w:rsidP="00835575">
            <w:pPr>
              <w:keepNext/>
              <w:keepLines/>
              <w:jc w:val="right"/>
              <w:textAlignment w:val="baseline"/>
              <w:rPr>
                <w:rFonts w:ascii="Times New Roman" w:eastAsia="Times New Roman" w:hAnsi="Times New Roman" w:cs="Times New Roman"/>
                <w:sz w:val="20"/>
                <w:szCs w:val="20"/>
                <w:lang w:eastAsia="en-AU"/>
              </w:rPr>
            </w:pPr>
            <w:r w:rsidRPr="00FE6C11">
              <w:rPr>
                <w:sz w:val="20"/>
                <w:szCs w:val="20"/>
              </w:rPr>
              <w:t>0.4%</w:t>
            </w:r>
          </w:p>
        </w:tc>
        <w:tc>
          <w:tcPr>
            <w:tcW w:w="1080" w:type="dxa"/>
            <w:tcBorders>
              <w:top w:val="nil"/>
              <w:left w:val="nil"/>
              <w:bottom w:val="nil"/>
              <w:right w:val="nil"/>
            </w:tcBorders>
            <w:shd w:val="clear" w:color="auto" w:fill="C0C0C0"/>
            <w:vAlign w:val="center"/>
            <w:hideMark/>
          </w:tcPr>
          <w:p w14:paraId="5236732D" w14:textId="77777777" w:rsidR="00CF6AA7" w:rsidRPr="00FE6C11" w:rsidRDefault="00CF6AA7" w:rsidP="00562467">
            <w:pPr>
              <w:keepNext/>
              <w:keepLines/>
              <w:jc w:val="right"/>
              <w:textAlignment w:val="baseline"/>
              <w:rPr>
                <w:rFonts w:ascii="Times New Roman" w:eastAsia="Times New Roman" w:hAnsi="Times New Roman" w:cs="Times New Roman"/>
                <w:sz w:val="20"/>
                <w:szCs w:val="20"/>
                <w:lang w:eastAsia="en-AU"/>
              </w:rPr>
            </w:pPr>
            <w:r w:rsidRPr="00FE6C11">
              <w:rPr>
                <w:sz w:val="20"/>
                <w:szCs w:val="20"/>
              </w:rPr>
              <w:t>1.0%</w:t>
            </w:r>
          </w:p>
        </w:tc>
        <w:tc>
          <w:tcPr>
            <w:tcW w:w="1080" w:type="dxa"/>
            <w:tcBorders>
              <w:top w:val="nil"/>
              <w:left w:val="nil"/>
              <w:bottom w:val="nil"/>
              <w:right w:val="nil"/>
            </w:tcBorders>
            <w:shd w:val="clear" w:color="auto" w:fill="C0C0C0"/>
            <w:vAlign w:val="center"/>
            <w:hideMark/>
          </w:tcPr>
          <w:p w14:paraId="0DED60FD" w14:textId="77777777" w:rsidR="00CF6AA7" w:rsidRPr="00FE6C11" w:rsidRDefault="00CF6AA7" w:rsidP="00562467">
            <w:pPr>
              <w:keepNext/>
              <w:keepLines/>
              <w:jc w:val="right"/>
              <w:textAlignment w:val="baseline"/>
              <w:rPr>
                <w:rFonts w:ascii="Times New Roman" w:eastAsia="Times New Roman" w:hAnsi="Times New Roman" w:cs="Times New Roman"/>
                <w:sz w:val="20"/>
                <w:szCs w:val="20"/>
                <w:lang w:eastAsia="en-AU"/>
              </w:rPr>
            </w:pPr>
            <w:r w:rsidRPr="00FE6C11">
              <w:rPr>
                <w:sz w:val="20"/>
                <w:szCs w:val="20"/>
              </w:rPr>
              <w:t>1.6%</w:t>
            </w:r>
          </w:p>
        </w:tc>
        <w:tc>
          <w:tcPr>
            <w:tcW w:w="1080" w:type="dxa"/>
            <w:tcBorders>
              <w:top w:val="nil"/>
              <w:left w:val="nil"/>
              <w:bottom w:val="nil"/>
              <w:right w:val="dotted" w:sz="4" w:space="0" w:color="000000" w:themeColor="text1"/>
            </w:tcBorders>
            <w:shd w:val="clear" w:color="auto" w:fill="C0C0C0"/>
            <w:vAlign w:val="center"/>
            <w:hideMark/>
          </w:tcPr>
          <w:p w14:paraId="66AE8301" w14:textId="77777777" w:rsidR="00CF6AA7" w:rsidRPr="00FE6C11" w:rsidRDefault="00CF6AA7" w:rsidP="00562467">
            <w:pPr>
              <w:keepNext/>
              <w:keepLines/>
              <w:jc w:val="right"/>
              <w:textAlignment w:val="baseline"/>
              <w:rPr>
                <w:rFonts w:ascii="Times New Roman" w:eastAsia="Times New Roman" w:hAnsi="Times New Roman" w:cs="Times New Roman"/>
                <w:sz w:val="20"/>
                <w:szCs w:val="20"/>
                <w:lang w:eastAsia="en-AU"/>
              </w:rPr>
            </w:pPr>
            <w:r w:rsidRPr="00FE6C11">
              <w:rPr>
                <w:sz w:val="20"/>
                <w:szCs w:val="20"/>
              </w:rPr>
              <w:t>2.2%</w:t>
            </w:r>
          </w:p>
        </w:tc>
        <w:tc>
          <w:tcPr>
            <w:tcW w:w="1110" w:type="dxa"/>
            <w:tcBorders>
              <w:top w:val="nil"/>
              <w:left w:val="dotted" w:sz="4" w:space="0" w:color="000000" w:themeColor="text1"/>
              <w:bottom w:val="nil"/>
              <w:right w:val="dotted" w:sz="4" w:space="0" w:color="000000" w:themeColor="text1"/>
            </w:tcBorders>
            <w:shd w:val="clear" w:color="auto" w:fill="C0C0C0"/>
            <w:vAlign w:val="center"/>
            <w:hideMark/>
          </w:tcPr>
          <w:p w14:paraId="4FE4A6F0" w14:textId="77777777" w:rsidR="00CF6AA7" w:rsidRPr="00FE6C11" w:rsidRDefault="00CF6AA7" w:rsidP="00562467">
            <w:pPr>
              <w:keepNext/>
              <w:keepLines/>
              <w:jc w:val="right"/>
              <w:textAlignment w:val="baseline"/>
              <w:rPr>
                <w:rFonts w:ascii="Times New Roman" w:eastAsia="Times New Roman" w:hAnsi="Times New Roman" w:cs="Times New Roman"/>
                <w:sz w:val="20"/>
                <w:szCs w:val="20"/>
                <w:lang w:eastAsia="en-AU"/>
              </w:rPr>
            </w:pPr>
            <w:r>
              <w:rPr>
                <w:sz w:val="20"/>
                <w:szCs w:val="20"/>
              </w:rPr>
              <w:t>6</w:t>
            </w:r>
            <w:r w:rsidRPr="00FE6C11">
              <w:rPr>
                <w:sz w:val="20"/>
                <w:szCs w:val="20"/>
              </w:rPr>
              <w:t>.</w:t>
            </w:r>
            <w:r w:rsidR="00265F36">
              <w:rPr>
                <w:sz w:val="20"/>
                <w:szCs w:val="20"/>
              </w:rPr>
              <w:t>6</w:t>
            </w:r>
            <w:r w:rsidRPr="00FE6C11">
              <w:rPr>
                <w:sz w:val="20"/>
                <w:szCs w:val="20"/>
              </w:rPr>
              <w:t>%</w:t>
            </w:r>
          </w:p>
        </w:tc>
        <w:tc>
          <w:tcPr>
            <w:tcW w:w="1080" w:type="dxa"/>
            <w:tcBorders>
              <w:top w:val="nil"/>
              <w:left w:val="dotted" w:sz="4" w:space="0" w:color="000000" w:themeColor="text1"/>
              <w:bottom w:val="nil"/>
              <w:right w:val="nil"/>
            </w:tcBorders>
            <w:shd w:val="clear" w:color="auto" w:fill="C0C0C0"/>
            <w:vAlign w:val="center"/>
            <w:hideMark/>
          </w:tcPr>
          <w:p w14:paraId="11E51C68" w14:textId="77777777" w:rsidR="00CF6AA7" w:rsidRPr="00FE6C11" w:rsidRDefault="00CF6AA7" w:rsidP="00562467">
            <w:pPr>
              <w:keepNext/>
              <w:keepLines/>
              <w:jc w:val="right"/>
              <w:textAlignment w:val="baseline"/>
              <w:rPr>
                <w:rFonts w:ascii="Times New Roman" w:eastAsia="Times New Roman" w:hAnsi="Times New Roman" w:cs="Times New Roman"/>
                <w:sz w:val="20"/>
                <w:szCs w:val="20"/>
                <w:lang w:eastAsia="en-AU"/>
              </w:rPr>
            </w:pPr>
            <w:r w:rsidRPr="00FE6C11">
              <w:rPr>
                <w:sz w:val="20"/>
                <w:szCs w:val="20"/>
              </w:rPr>
              <w:t>1.</w:t>
            </w:r>
            <w:r w:rsidR="00265F36">
              <w:rPr>
                <w:sz w:val="20"/>
                <w:szCs w:val="20"/>
              </w:rPr>
              <w:t>4</w:t>
            </w:r>
            <w:r w:rsidRPr="00FE6C11">
              <w:rPr>
                <w:sz w:val="20"/>
                <w:szCs w:val="20"/>
              </w:rPr>
              <w:t>%</w:t>
            </w:r>
          </w:p>
        </w:tc>
      </w:tr>
      <w:tr w:rsidR="00CF6AA7" w:rsidRPr="0056627C" w14:paraId="37ED8E53" w14:textId="77777777" w:rsidTr="00252EAF">
        <w:trPr>
          <w:trHeight w:hRule="exact" w:val="301"/>
        </w:trPr>
        <w:tc>
          <w:tcPr>
            <w:tcW w:w="2400" w:type="dxa"/>
            <w:tcBorders>
              <w:top w:val="nil"/>
              <w:left w:val="nil"/>
              <w:bottom w:val="single" w:sz="4" w:space="0" w:color="auto"/>
              <w:right w:val="nil"/>
            </w:tcBorders>
            <w:shd w:val="clear" w:color="auto" w:fill="auto"/>
            <w:hideMark/>
          </w:tcPr>
          <w:p w14:paraId="403A9A32" w14:textId="77777777" w:rsidR="00CF6AA7" w:rsidRPr="0056627C" w:rsidRDefault="00CF6AA7" w:rsidP="00C53CDC">
            <w:pPr>
              <w:keepNext/>
              <w:keepLines/>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Utilisation </w:t>
            </w:r>
          </w:p>
        </w:tc>
        <w:tc>
          <w:tcPr>
            <w:tcW w:w="1080" w:type="dxa"/>
            <w:tcBorders>
              <w:top w:val="nil"/>
              <w:left w:val="nil"/>
              <w:bottom w:val="single" w:sz="4" w:space="0" w:color="auto"/>
              <w:right w:val="nil"/>
            </w:tcBorders>
            <w:shd w:val="clear" w:color="auto" w:fill="auto"/>
            <w:vAlign w:val="center"/>
            <w:hideMark/>
          </w:tcPr>
          <w:p w14:paraId="233A57A4" w14:textId="77777777" w:rsidR="00CF6AA7" w:rsidRPr="00FE6C11" w:rsidRDefault="00CF6AA7" w:rsidP="00835575">
            <w:pPr>
              <w:keepNext/>
              <w:keepLines/>
              <w:jc w:val="right"/>
              <w:textAlignment w:val="baseline"/>
              <w:rPr>
                <w:rFonts w:ascii="Times New Roman" w:eastAsia="Times New Roman" w:hAnsi="Times New Roman" w:cs="Times New Roman"/>
                <w:sz w:val="20"/>
                <w:szCs w:val="20"/>
                <w:lang w:eastAsia="en-AU"/>
              </w:rPr>
            </w:pPr>
            <w:r w:rsidRPr="00FE6C11">
              <w:rPr>
                <w:sz w:val="20"/>
                <w:szCs w:val="20"/>
              </w:rPr>
              <w:t>0.6%</w:t>
            </w:r>
          </w:p>
        </w:tc>
        <w:tc>
          <w:tcPr>
            <w:tcW w:w="1080" w:type="dxa"/>
            <w:tcBorders>
              <w:top w:val="nil"/>
              <w:left w:val="nil"/>
              <w:bottom w:val="single" w:sz="4" w:space="0" w:color="auto"/>
              <w:right w:val="nil"/>
            </w:tcBorders>
            <w:shd w:val="clear" w:color="auto" w:fill="auto"/>
            <w:vAlign w:val="center"/>
            <w:hideMark/>
          </w:tcPr>
          <w:p w14:paraId="10410280" w14:textId="77777777" w:rsidR="00CF6AA7" w:rsidRPr="00FE6C11" w:rsidRDefault="00CF6AA7" w:rsidP="00562467">
            <w:pPr>
              <w:keepNext/>
              <w:keepLines/>
              <w:jc w:val="right"/>
              <w:textAlignment w:val="baseline"/>
              <w:rPr>
                <w:rFonts w:ascii="Times New Roman" w:eastAsia="Times New Roman" w:hAnsi="Times New Roman" w:cs="Times New Roman"/>
                <w:sz w:val="20"/>
                <w:szCs w:val="20"/>
                <w:lang w:eastAsia="en-AU"/>
              </w:rPr>
            </w:pPr>
            <w:r w:rsidRPr="00FE6C11">
              <w:rPr>
                <w:sz w:val="20"/>
                <w:szCs w:val="20"/>
              </w:rPr>
              <w:t>0.8%</w:t>
            </w:r>
          </w:p>
        </w:tc>
        <w:tc>
          <w:tcPr>
            <w:tcW w:w="1080" w:type="dxa"/>
            <w:tcBorders>
              <w:top w:val="nil"/>
              <w:left w:val="nil"/>
              <w:bottom w:val="single" w:sz="4" w:space="0" w:color="auto"/>
              <w:right w:val="nil"/>
            </w:tcBorders>
            <w:shd w:val="clear" w:color="auto" w:fill="auto"/>
            <w:vAlign w:val="center"/>
            <w:hideMark/>
          </w:tcPr>
          <w:p w14:paraId="2909ACC3" w14:textId="77777777" w:rsidR="00CF6AA7" w:rsidRPr="00FE6C11" w:rsidRDefault="00CF6AA7" w:rsidP="00562467">
            <w:pPr>
              <w:keepNext/>
              <w:keepLines/>
              <w:jc w:val="right"/>
              <w:textAlignment w:val="baseline"/>
              <w:rPr>
                <w:rFonts w:ascii="Times New Roman" w:eastAsia="Times New Roman" w:hAnsi="Times New Roman" w:cs="Times New Roman"/>
                <w:sz w:val="20"/>
                <w:szCs w:val="20"/>
                <w:lang w:eastAsia="en-AU"/>
              </w:rPr>
            </w:pPr>
            <w:r w:rsidRPr="00FE6C11">
              <w:rPr>
                <w:sz w:val="20"/>
                <w:szCs w:val="20"/>
              </w:rPr>
              <w:t>1.0%</w:t>
            </w:r>
          </w:p>
        </w:tc>
        <w:tc>
          <w:tcPr>
            <w:tcW w:w="1080" w:type="dxa"/>
            <w:tcBorders>
              <w:top w:val="nil"/>
              <w:left w:val="nil"/>
              <w:bottom w:val="single" w:sz="4" w:space="0" w:color="auto"/>
              <w:right w:val="dotted" w:sz="4" w:space="0" w:color="000000" w:themeColor="text1"/>
            </w:tcBorders>
            <w:shd w:val="clear" w:color="auto" w:fill="auto"/>
            <w:vAlign w:val="center"/>
            <w:hideMark/>
          </w:tcPr>
          <w:p w14:paraId="73357A85" w14:textId="77777777" w:rsidR="00CF6AA7" w:rsidRPr="00FE6C11" w:rsidRDefault="00CF6AA7" w:rsidP="00562467">
            <w:pPr>
              <w:keepNext/>
              <w:keepLines/>
              <w:jc w:val="right"/>
              <w:textAlignment w:val="baseline"/>
              <w:rPr>
                <w:rFonts w:ascii="Times New Roman" w:eastAsia="Times New Roman" w:hAnsi="Times New Roman" w:cs="Times New Roman"/>
                <w:sz w:val="20"/>
                <w:szCs w:val="20"/>
                <w:lang w:eastAsia="en-AU"/>
              </w:rPr>
            </w:pPr>
            <w:r w:rsidRPr="00FE6C11">
              <w:rPr>
                <w:sz w:val="20"/>
                <w:szCs w:val="20"/>
              </w:rPr>
              <w:t>1.1%</w:t>
            </w:r>
          </w:p>
        </w:tc>
        <w:tc>
          <w:tcPr>
            <w:tcW w:w="1110" w:type="dxa"/>
            <w:tcBorders>
              <w:top w:val="nil"/>
              <w:left w:val="dotted" w:sz="4" w:space="0" w:color="000000" w:themeColor="text1"/>
              <w:bottom w:val="single" w:sz="4" w:space="0" w:color="auto"/>
              <w:right w:val="dotted" w:sz="4" w:space="0" w:color="000000" w:themeColor="text1"/>
            </w:tcBorders>
            <w:shd w:val="clear" w:color="auto" w:fill="auto"/>
            <w:vAlign w:val="center"/>
            <w:hideMark/>
          </w:tcPr>
          <w:p w14:paraId="65AA3DAB" w14:textId="77777777" w:rsidR="00CF6AA7" w:rsidRPr="00FE6C11" w:rsidRDefault="00CF6AA7" w:rsidP="00562467">
            <w:pPr>
              <w:keepNext/>
              <w:keepLines/>
              <w:jc w:val="right"/>
              <w:textAlignment w:val="baseline"/>
              <w:rPr>
                <w:rFonts w:ascii="Times New Roman" w:eastAsia="Times New Roman" w:hAnsi="Times New Roman" w:cs="Times New Roman"/>
                <w:sz w:val="20"/>
                <w:szCs w:val="20"/>
                <w:lang w:eastAsia="en-AU"/>
              </w:rPr>
            </w:pPr>
            <w:r w:rsidRPr="00FE6C11">
              <w:rPr>
                <w:sz w:val="20"/>
                <w:szCs w:val="20"/>
              </w:rPr>
              <w:t>1.</w:t>
            </w:r>
            <w:r>
              <w:rPr>
                <w:sz w:val="20"/>
                <w:szCs w:val="20"/>
              </w:rPr>
              <w:t>4</w:t>
            </w:r>
            <w:r w:rsidRPr="00FE6C11">
              <w:rPr>
                <w:sz w:val="20"/>
                <w:szCs w:val="20"/>
              </w:rPr>
              <w:t>%</w:t>
            </w:r>
          </w:p>
        </w:tc>
        <w:tc>
          <w:tcPr>
            <w:tcW w:w="1080" w:type="dxa"/>
            <w:tcBorders>
              <w:top w:val="nil"/>
              <w:left w:val="dotted" w:sz="4" w:space="0" w:color="000000" w:themeColor="text1"/>
              <w:bottom w:val="single" w:sz="4" w:space="0" w:color="auto"/>
              <w:right w:val="nil"/>
            </w:tcBorders>
            <w:shd w:val="clear" w:color="auto" w:fill="auto"/>
            <w:vAlign w:val="center"/>
            <w:hideMark/>
          </w:tcPr>
          <w:p w14:paraId="4F0CC4FA" w14:textId="77777777" w:rsidR="00CF6AA7" w:rsidRPr="00FE6C11" w:rsidRDefault="00CF6AA7" w:rsidP="00562467">
            <w:pPr>
              <w:keepNext/>
              <w:keepLines/>
              <w:jc w:val="right"/>
              <w:textAlignment w:val="baseline"/>
              <w:rPr>
                <w:rFonts w:ascii="Times New Roman" w:eastAsia="Times New Roman" w:hAnsi="Times New Roman" w:cs="Times New Roman"/>
                <w:sz w:val="20"/>
                <w:szCs w:val="20"/>
                <w:lang w:eastAsia="en-AU"/>
              </w:rPr>
            </w:pPr>
            <w:r w:rsidRPr="00FE6C11">
              <w:rPr>
                <w:sz w:val="20"/>
                <w:szCs w:val="20"/>
              </w:rPr>
              <w:t>0.8%</w:t>
            </w:r>
          </w:p>
        </w:tc>
      </w:tr>
    </w:tbl>
    <w:p w14:paraId="2F79E862" w14:textId="77777777" w:rsidR="00CF6AA7" w:rsidRPr="00976196" w:rsidRDefault="00CF6AA7" w:rsidP="00CF6AA7">
      <w:pPr>
        <w:pStyle w:val="FSRnormal"/>
      </w:pPr>
      <w:r w:rsidRPr="003E1AAD">
        <w:t xml:space="preserve">The largest contributors to risk in the shorter term are </w:t>
      </w:r>
      <w:r w:rsidR="0020727D">
        <w:t xml:space="preserve">additional </w:t>
      </w:r>
      <w:r w:rsidRPr="003E1AAD">
        <w:t xml:space="preserve">inflation risk, model </w:t>
      </w:r>
      <w:r w:rsidRPr="00976196">
        <w:t>specification risk, and normal inflation risk. In the longer term</w:t>
      </w:r>
      <w:r w:rsidR="003D18CE">
        <w:t>,</w:t>
      </w:r>
      <w:r w:rsidRPr="00976196">
        <w:t xml:space="preserve"> new entrants risk becomes increasingly more </w:t>
      </w:r>
      <w:r w:rsidR="00C12E0C">
        <w:t>significant</w:t>
      </w:r>
      <w:r w:rsidRPr="00976196">
        <w:t>.</w:t>
      </w:r>
    </w:p>
    <w:p w14:paraId="72D4D675" w14:textId="77777777" w:rsidR="00CF6AA7" w:rsidRPr="003E1AAD" w:rsidRDefault="00676CB8" w:rsidP="00CF6AA7">
      <w:pPr>
        <w:pStyle w:val="FSRnormal"/>
      </w:pPr>
      <w:r>
        <w:lastRenderedPageBreak/>
        <w:t xml:space="preserve">Table </w:t>
      </w:r>
      <w:r>
        <w:rPr>
          <w:noProof/>
        </w:rPr>
        <w:t>6.17</w:t>
      </w:r>
      <w:r w:rsidR="00CF6AA7" w:rsidRPr="00976196">
        <w:t xml:space="preserve"> shows the build</w:t>
      </w:r>
      <w:r w:rsidR="00CF6AA7" w:rsidRPr="00976196">
        <w:noBreakHyphen/>
        <w:t xml:space="preserve">up of CoV by key risk type, beginning with </w:t>
      </w:r>
      <w:r w:rsidR="0020727D">
        <w:t xml:space="preserve">additional </w:t>
      </w:r>
      <w:r w:rsidR="00CF6AA7" w:rsidRPr="00976196">
        <w:t>inflation and then</w:t>
      </w:r>
      <w:r w:rsidR="00CF6AA7" w:rsidRPr="003E1AAD">
        <w:t xml:space="preserve"> adding, piece wise, each additional key risk after the benefits of diversification have been considered. The order of the build</w:t>
      </w:r>
      <w:r w:rsidR="00CF6AA7" w:rsidRPr="003E1AAD">
        <w:noBreakHyphen/>
        <w:t>up of risks is important in this context, and the largest contributors to risk have been included first.</w:t>
      </w:r>
    </w:p>
    <w:p w14:paraId="6A34450E" w14:textId="77777777" w:rsidR="00CF6AA7" w:rsidRPr="0056627C" w:rsidRDefault="00CF6AA7" w:rsidP="00CF6AA7">
      <w:pPr>
        <w:pStyle w:val="Tables"/>
        <w:rPr>
          <w:rFonts w:ascii="Segoe UI" w:hAnsi="Segoe UI" w:cs="Segoe UI"/>
          <w:sz w:val="18"/>
        </w:rPr>
      </w:pPr>
      <w:bookmarkStart w:id="271" w:name="_Ref111712542"/>
      <w:r>
        <w:t xml:space="preserve">Table </w:t>
      </w:r>
      <w:fldSimple w:instr=" STYLEREF 2 \s ">
        <w:r w:rsidR="00A87896">
          <w:rPr>
            <w:noProof/>
          </w:rPr>
          <w:t>6</w:t>
        </w:r>
      </w:fldSimple>
      <w:r w:rsidR="00A87896">
        <w:t>.</w:t>
      </w:r>
      <w:fldSimple w:instr=" SEQ Table \* ARABIC \s 2 ">
        <w:r w:rsidR="00A87896">
          <w:rPr>
            <w:noProof/>
          </w:rPr>
          <w:t>17</w:t>
        </w:r>
      </w:fldSimple>
      <w:bookmarkEnd w:id="271"/>
      <w:r>
        <w:t>: Build-up of CoV risk after allowing for diversification between key risks </w:t>
      </w:r>
    </w:p>
    <w:tbl>
      <w:tblPr>
        <w:tblW w:w="89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0"/>
        <w:gridCol w:w="1080"/>
        <w:gridCol w:w="1080"/>
        <w:gridCol w:w="1080"/>
        <w:gridCol w:w="1080"/>
        <w:gridCol w:w="1110"/>
        <w:gridCol w:w="1080"/>
      </w:tblGrid>
      <w:tr w:rsidR="00CF6AA7" w:rsidRPr="0056627C" w14:paraId="780EA98D" w14:textId="77777777" w:rsidTr="00DA3F73">
        <w:trPr>
          <w:trHeight w:val="397"/>
        </w:trPr>
        <w:tc>
          <w:tcPr>
            <w:tcW w:w="2400" w:type="dxa"/>
            <w:vMerge w:val="restart"/>
            <w:tcBorders>
              <w:top w:val="nil"/>
              <w:left w:val="nil"/>
              <w:bottom w:val="single" w:sz="6" w:space="0" w:color="000000" w:themeColor="text1"/>
              <w:right w:val="nil"/>
            </w:tcBorders>
            <w:shd w:val="clear" w:color="auto" w:fill="6B2976"/>
            <w:vAlign w:val="center"/>
            <w:hideMark/>
          </w:tcPr>
          <w:p w14:paraId="724A2258" w14:textId="77777777" w:rsidR="00CF6AA7" w:rsidRPr="0056627C" w:rsidRDefault="00CF6AA7">
            <w:pPr>
              <w:spacing w:after="0"/>
              <w:textAlignment w:val="baseline"/>
              <w:rPr>
                <w:rFonts w:ascii="Times New Roman" w:eastAsia="Times New Roman" w:hAnsi="Times New Roman" w:cs="Times New Roman"/>
                <w:b/>
                <w:bCs/>
                <w:i/>
                <w:iCs/>
                <w:color w:val="800000"/>
                <w:lang w:eastAsia="en-AU"/>
              </w:rPr>
            </w:pPr>
            <w:r w:rsidRPr="0056627C">
              <w:rPr>
                <w:rFonts w:eastAsia="Times New Roman" w:cs="Arial"/>
                <w:b/>
                <w:bCs/>
                <w:color w:val="FFFFFF"/>
                <w:sz w:val="20"/>
                <w:szCs w:val="20"/>
                <w:lang w:eastAsia="en-AU"/>
              </w:rPr>
              <w:t> </w:t>
            </w:r>
            <w:r w:rsidR="008F7FEC">
              <w:rPr>
                <w:rFonts w:eastAsia="Times New Roman" w:cs="Arial"/>
                <w:b/>
                <w:bCs/>
                <w:color w:val="FFFFFF"/>
                <w:sz w:val="20"/>
                <w:szCs w:val="20"/>
                <w:lang w:eastAsia="en-AU"/>
              </w:rPr>
              <w:t>Risk Type</w:t>
            </w:r>
            <w:r w:rsidR="008F7FEC" w:rsidRPr="0056627C">
              <w:rPr>
                <w:rFonts w:eastAsia="Times New Roman" w:cs="Arial"/>
                <w:b/>
                <w:bCs/>
                <w:i/>
                <w:iCs/>
                <w:color w:val="FFFFFF"/>
                <w:sz w:val="20"/>
                <w:szCs w:val="20"/>
                <w:lang w:eastAsia="en-AU"/>
              </w:rPr>
              <w:t> </w:t>
            </w:r>
          </w:p>
        </w:tc>
        <w:tc>
          <w:tcPr>
            <w:tcW w:w="5430" w:type="dxa"/>
            <w:gridSpan w:val="5"/>
            <w:tcBorders>
              <w:top w:val="nil"/>
              <w:left w:val="nil"/>
              <w:bottom w:val="single" w:sz="4" w:space="0" w:color="FFFFFF" w:themeColor="background1"/>
              <w:right w:val="nil"/>
            </w:tcBorders>
            <w:shd w:val="clear" w:color="auto" w:fill="6B2976"/>
            <w:vAlign w:val="center"/>
            <w:hideMark/>
          </w:tcPr>
          <w:p w14:paraId="21147844" w14:textId="77777777" w:rsidR="00CF6AA7" w:rsidRPr="0056627C" w:rsidRDefault="00CF6AA7" w:rsidP="004C434C">
            <w:pPr>
              <w:spacing w:after="0"/>
              <w:jc w:val="center"/>
              <w:textAlignment w:val="baseline"/>
              <w:rPr>
                <w:rFonts w:ascii="Times New Roman" w:eastAsia="Times New Roman" w:hAnsi="Times New Roman" w:cs="Times New Roman"/>
                <w:b/>
                <w:bCs/>
                <w:i/>
                <w:iCs/>
                <w:color w:val="800000"/>
                <w:lang w:eastAsia="en-AU"/>
              </w:rPr>
            </w:pPr>
            <w:r w:rsidRPr="0056627C">
              <w:rPr>
                <w:rFonts w:eastAsia="Times New Roman" w:cs="Arial"/>
                <w:b/>
                <w:bCs/>
                <w:color w:val="FFFFFF"/>
                <w:sz w:val="20"/>
                <w:szCs w:val="20"/>
                <w:lang w:eastAsia="en-AU"/>
              </w:rPr>
              <w:t>Payments Coefficient of Variation for financial year</w:t>
            </w:r>
          </w:p>
        </w:tc>
        <w:tc>
          <w:tcPr>
            <w:tcW w:w="1080" w:type="dxa"/>
            <w:tcBorders>
              <w:top w:val="nil"/>
              <w:left w:val="nil"/>
              <w:bottom w:val="single" w:sz="4" w:space="0" w:color="FFFFFF" w:themeColor="background1"/>
              <w:right w:val="nil"/>
            </w:tcBorders>
            <w:shd w:val="clear" w:color="auto" w:fill="6B2976"/>
            <w:vAlign w:val="center"/>
            <w:hideMark/>
          </w:tcPr>
          <w:p w14:paraId="29568A91" w14:textId="77777777" w:rsidR="00CF6AA7" w:rsidRPr="0056627C" w:rsidRDefault="00CF6AA7" w:rsidP="004C434C">
            <w:pPr>
              <w:spacing w:after="0"/>
              <w:jc w:val="right"/>
              <w:textAlignment w:val="baseline"/>
              <w:rPr>
                <w:rFonts w:ascii="Times New Roman" w:eastAsia="Times New Roman" w:hAnsi="Times New Roman" w:cs="Times New Roman"/>
                <w:b/>
                <w:bCs/>
                <w:i/>
                <w:iCs/>
                <w:color w:val="800000"/>
                <w:lang w:eastAsia="en-AU"/>
              </w:rPr>
            </w:pPr>
            <w:r w:rsidRPr="5AD0A695">
              <w:rPr>
                <w:rFonts w:eastAsia="Times New Roman" w:cs="Arial"/>
                <w:b/>
                <w:bCs/>
                <w:i/>
                <w:iCs/>
                <w:color w:val="FFFFFF" w:themeColor="background1"/>
                <w:sz w:val="20"/>
                <w:szCs w:val="20"/>
                <w:lang w:eastAsia="en-AU"/>
              </w:rPr>
              <w:t> </w:t>
            </w:r>
          </w:p>
        </w:tc>
      </w:tr>
      <w:tr w:rsidR="00CF6AA7" w:rsidRPr="0056627C" w14:paraId="2A0C1639" w14:textId="77777777" w:rsidTr="00DA3F73">
        <w:trPr>
          <w:trHeight w:val="397"/>
        </w:trPr>
        <w:tc>
          <w:tcPr>
            <w:tcW w:w="0" w:type="auto"/>
            <w:vMerge/>
            <w:vAlign w:val="center"/>
            <w:hideMark/>
          </w:tcPr>
          <w:p w14:paraId="658B6DFF" w14:textId="77777777" w:rsidR="00CF6AA7" w:rsidRPr="0056627C" w:rsidRDefault="00CF6AA7" w:rsidP="004C434C">
            <w:pPr>
              <w:rPr>
                <w:rFonts w:ascii="Times New Roman" w:eastAsia="Times New Roman" w:hAnsi="Times New Roman" w:cs="Times New Roman"/>
                <w:b/>
                <w:bCs/>
                <w:i/>
                <w:iCs/>
                <w:color w:val="800000"/>
                <w:lang w:eastAsia="en-AU"/>
              </w:rPr>
            </w:pPr>
          </w:p>
        </w:tc>
        <w:tc>
          <w:tcPr>
            <w:tcW w:w="1080" w:type="dxa"/>
            <w:tcBorders>
              <w:top w:val="single" w:sz="4" w:space="0" w:color="FFFFFF" w:themeColor="background1"/>
              <w:left w:val="nil"/>
              <w:bottom w:val="nil"/>
              <w:right w:val="nil"/>
            </w:tcBorders>
            <w:shd w:val="clear" w:color="auto" w:fill="6B2976"/>
            <w:vAlign w:val="center"/>
            <w:hideMark/>
          </w:tcPr>
          <w:p w14:paraId="3107BF82" w14:textId="77777777" w:rsidR="00CF6AA7" w:rsidRPr="0056627C" w:rsidRDefault="00CF6AA7" w:rsidP="004C434C">
            <w:pPr>
              <w:spacing w:after="0"/>
              <w:jc w:val="right"/>
              <w:textAlignment w:val="baseline"/>
              <w:rPr>
                <w:rFonts w:ascii="Times New Roman" w:eastAsia="Times New Roman" w:hAnsi="Times New Roman" w:cs="Times New Roman"/>
                <w:lang w:eastAsia="en-AU"/>
              </w:rPr>
            </w:pPr>
            <w:r w:rsidRPr="0056627C">
              <w:rPr>
                <w:rFonts w:eastAsia="Times New Roman" w:cs="Arial"/>
                <w:b/>
                <w:bCs/>
                <w:color w:val="FFFFFF"/>
                <w:sz w:val="20"/>
                <w:szCs w:val="20"/>
                <w:lang w:eastAsia="en-AU"/>
              </w:rPr>
              <w:t>2022-23</w:t>
            </w:r>
            <w:r w:rsidRPr="0056627C">
              <w:rPr>
                <w:rFonts w:eastAsia="Times New Roman" w:cs="Arial"/>
                <w:color w:val="FFFFFF"/>
                <w:sz w:val="20"/>
                <w:szCs w:val="20"/>
                <w:lang w:eastAsia="en-AU"/>
              </w:rPr>
              <w:t> </w:t>
            </w:r>
          </w:p>
        </w:tc>
        <w:tc>
          <w:tcPr>
            <w:tcW w:w="1080" w:type="dxa"/>
            <w:tcBorders>
              <w:top w:val="single" w:sz="4" w:space="0" w:color="FFFFFF" w:themeColor="background1"/>
              <w:left w:val="nil"/>
              <w:bottom w:val="nil"/>
              <w:right w:val="nil"/>
            </w:tcBorders>
            <w:shd w:val="clear" w:color="auto" w:fill="6B2976"/>
            <w:vAlign w:val="center"/>
            <w:hideMark/>
          </w:tcPr>
          <w:p w14:paraId="114A98F9" w14:textId="77777777" w:rsidR="00CF6AA7" w:rsidRPr="0056627C" w:rsidRDefault="00CF6AA7" w:rsidP="004C434C">
            <w:pPr>
              <w:spacing w:after="0"/>
              <w:jc w:val="right"/>
              <w:textAlignment w:val="baseline"/>
              <w:rPr>
                <w:rFonts w:ascii="Times New Roman" w:eastAsia="Times New Roman" w:hAnsi="Times New Roman" w:cs="Times New Roman"/>
                <w:lang w:eastAsia="en-AU"/>
              </w:rPr>
            </w:pPr>
            <w:r w:rsidRPr="0056627C">
              <w:rPr>
                <w:rFonts w:eastAsia="Times New Roman" w:cs="Arial"/>
                <w:b/>
                <w:bCs/>
                <w:color w:val="FFFFFF"/>
                <w:sz w:val="20"/>
                <w:szCs w:val="20"/>
                <w:lang w:eastAsia="en-AU"/>
              </w:rPr>
              <w:t>2023-24</w:t>
            </w:r>
            <w:r w:rsidRPr="0056627C">
              <w:rPr>
                <w:rFonts w:eastAsia="Times New Roman" w:cs="Arial"/>
                <w:color w:val="FFFFFF"/>
                <w:sz w:val="20"/>
                <w:szCs w:val="20"/>
                <w:lang w:eastAsia="en-AU"/>
              </w:rPr>
              <w:t> </w:t>
            </w:r>
          </w:p>
        </w:tc>
        <w:tc>
          <w:tcPr>
            <w:tcW w:w="1080" w:type="dxa"/>
            <w:tcBorders>
              <w:top w:val="single" w:sz="4" w:space="0" w:color="FFFFFF" w:themeColor="background1"/>
              <w:left w:val="nil"/>
              <w:bottom w:val="nil"/>
              <w:right w:val="nil"/>
            </w:tcBorders>
            <w:shd w:val="clear" w:color="auto" w:fill="6B2976"/>
            <w:vAlign w:val="center"/>
            <w:hideMark/>
          </w:tcPr>
          <w:p w14:paraId="75DB4B84" w14:textId="77777777" w:rsidR="00CF6AA7" w:rsidRPr="0056627C" w:rsidRDefault="00CF6AA7" w:rsidP="004C434C">
            <w:pPr>
              <w:spacing w:after="0"/>
              <w:jc w:val="right"/>
              <w:textAlignment w:val="baseline"/>
              <w:rPr>
                <w:rFonts w:ascii="Times New Roman" w:eastAsia="Times New Roman" w:hAnsi="Times New Roman" w:cs="Times New Roman"/>
                <w:lang w:eastAsia="en-AU"/>
              </w:rPr>
            </w:pPr>
            <w:r w:rsidRPr="0056627C">
              <w:rPr>
                <w:rFonts w:eastAsia="Times New Roman" w:cs="Arial"/>
                <w:b/>
                <w:bCs/>
                <w:color w:val="FFFFFF"/>
                <w:sz w:val="20"/>
                <w:szCs w:val="20"/>
                <w:lang w:eastAsia="en-AU"/>
              </w:rPr>
              <w:t>2024-25</w:t>
            </w:r>
            <w:r w:rsidRPr="0056627C">
              <w:rPr>
                <w:rFonts w:eastAsia="Times New Roman" w:cs="Arial"/>
                <w:color w:val="FFFFFF"/>
                <w:sz w:val="20"/>
                <w:szCs w:val="20"/>
                <w:lang w:eastAsia="en-AU"/>
              </w:rPr>
              <w:t> </w:t>
            </w:r>
          </w:p>
        </w:tc>
        <w:tc>
          <w:tcPr>
            <w:tcW w:w="1080" w:type="dxa"/>
            <w:tcBorders>
              <w:top w:val="single" w:sz="4" w:space="0" w:color="FFFFFF" w:themeColor="background1"/>
              <w:left w:val="nil"/>
              <w:bottom w:val="nil"/>
              <w:right w:val="nil"/>
            </w:tcBorders>
            <w:shd w:val="clear" w:color="auto" w:fill="6B2976"/>
            <w:vAlign w:val="center"/>
            <w:hideMark/>
          </w:tcPr>
          <w:p w14:paraId="78ECF698" w14:textId="77777777" w:rsidR="00CF6AA7" w:rsidRPr="0056627C" w:rsidRDefault="00CF6AA7" w:rsidP="004C434C">
            <w:pPr>
              <w:spacing w:after="0"/>
              <w:jc w:val="right"/>
              <w:textAlignment w:val="baseline"/>
              <w:rPr>
                <w:rFonts w:ascii="Times New Roman" w:eastAsia="Times New Roman" w:hAnsi="Times New Roman" w:cs="Times New Roman"/>
                <w:lang w:eastAsia="en-AU"/>
              </w:rPr>
            </w:pPr>
            <w:r w:rsidRPr="0056627C">
              <w:rPr>
                <w:rFonts w:eastAsia="Times New Roman" w:cs="Arial"/>
                <w:b/>
                <w:bCs/>
                <w:color w:val="FFFFFF"/>
                <w:sz w:val="20"/>
                <w:szCs w:val="20"/>
                <w:lang w:eastAsia="en-AU"/>
              </w:rPr>
              <w:t>2025-26</w:t>
            </w:r>
            <w:r w:rsidRPr="0056627C">
              <w:rPr>
                <w:rFonts w:eastAsia="Times New Roman" w:cs="Arial"/>
                <w:color w:val="FFFFFF"/>
                <w:sz w:val="20"/>
                <w:szCs w:val="20"/>
                <w:lang w:eastAsia="en-AU"/>
              </w:rPr>
              <w:t> </w:t>
            </w:r>
          </w:p>
        </w:tc>
        <w:tc>
          <w:tcPr>
            <w:tcW w:w="1110" w:type="dxa"/>
            <w:tcBorders>
              <w:top w:val="single" w:sz="4" w:space="0" w:color="FFFFFF" w:themeColor="background1"/>
              <w:left w:val="nil"/>
              <w:bottom w:val="nil"/>
              <w:right w:val="nil"/>
            </w:tcBorders>
            <w:shd w:val="clear" w:color="auto" w:fill="6B2976"/>
            <w:vAlign w:val="center"/>
            <w:hideMark/>
          </w:tcPr>
          <w:p w14:paraId="35BD17EF" w14:textId="77777777" w:rsidR="00CF6AA7" w:rsidRPr="0056627C" w:rsidRDefault="00CF6AA7" w:rsidP="004C434C">
            <w:pPr>
              <w:spacing w:after="0"/>
              <w:jc w:val="right"/>
              <w:textAlignment w:val="baseline"/>
              <w:rPr>
                <w:rFonts w:ascii="Times New Roman" w:eastAsia="Times New Roman" w:hAnsi="Times New Roman" w:cs="Times New Roman"/>
                <w:lang w:eastAsia="en-AU"/>
              </w:rPr>
            </w:pPr>
            <w:r w:rsidRPr="0056627C">
              <w:rPr>
                <w:rFonts w:eastAsia="Times New Roman" w:cs="Arial"/>
                <w:b/>
                <w:bCs/>
                <w:color w:val="FFFFFF"/>
                <w:sz w:val="20"/>
                <w:szCs w:val="20"/>
                <w:lang w:eastAsia="en-AU"/>
              </w:rPr>
              <w:t>20</w:t>
            </w:r>
            <w:r>
              <w:rPr>
                <w:rFonts w:eastAsia="Times New Roman" w:cs="Arial"/>
                <w:b/>
                <w:bCs/>
                <w:color w:val="FFFFFF"/>
                <w:sz w:val="20"/>
                <w:szCs w:val="20"/>
                <w:lang w:eastAsia="en-AU"/>
              </w:rPr>
              <w:t>31</w:t>
            </w:r>
            <w:r w:rsidRPr="0056627C">
              <w:rPr>
                <w:rFonts w:eastAsia="Times New Roman" w:cs="Arial"/>
                <w:b/>
                <w:bCs/>
                <w:color w:val="FFFFFF"/>
                <w:sz w:val="20"/>
                <w:szCs w:val="20"/>
                <w:lang w:eastAsia="en-AU"/>
              </w:rPr>
              <w:t>-3</w:t>
            </w:r>
            <w:r>
              <w:rPr>
                <w:rFonts w:eastAsia="Times New Roman" w:cs="Arial"/>
                <w:b/>
                <w:bCs/>
                <w:color w:val="FFFFFF"/>
                <w:sz w:val="20"/>
                <w:szCs w:val="20"/>
                <w:lang w:eastAsia="en-AU"/>
              </w:rPr>
              <w:t>2</w:t>
            </w:r>
            <w:r w:rsidRPr="0056627C">
              <w:rPr>
                <w:rFonts w:eastAsia="Times New Roman" w:cs="Arial"/>
                <w:color w:val="FFFFFF"/>
                <w:sz w:val="20"/>
                <w:szCs w:val="20"/>
                <w:lang w:eastAsia="en-AU"/>
              </w:rPr>
              <w:t> </w:t>
            </w:r>
          </w:p>
        </w:tc>
        <w:tc>
          <w:tcPr>
            <w:tcW w:w="1080" w:type="dxa"/>
            <w:tcBorders>
              <w:top w:val="single" w:sz="4" w:space="0" w:color="FFFFFF" w:themeColor="background1"/>
              <w:left w:val="nil"/>
              <w:bottom w:val="nil"/>
              <w:right w:val="nil"/>
            </w:tcBorders>
            <w:shd w:val="clear" w:color="auto" w:fill="6B2976"/>
            <w:vAlign w:val="center"/>
            <w:hideMark/>
          </w:tcPr>
          <w:p w14:paraId="324C0943" w14:textId="77777777" w:rsidR="00CF6AA7" w:rsidRPr="00C53CDC" w:rsidRDefault="00CF6AA7" w:rsidP="004C434C">
            <w:pPr>
              <w:spacing w:after="0"/>
              <w:jc w:val="right"/>
              <w:textAlignment w:val="baseline"/>
              <w:rPr>
                <w:rFonts w:eastAsia="Times New Roman" w:cs="Arial"/>
                <w:b/>
                <w:bCs/>
                <w:color w:val="FFFFFF" w:themeColor="background1"/>
                <w:sz w:val="20"/>
                <w:szCs w:val="20"/>
                <w:lang w:eastAsia="en-AU"/>
              </w:rPr>
            </w:pPr>
            <w:r w:rsidRPr="00C53CDC">
              <w:rPr>
                <w:rFonts w:eastAsia="Times New Roman" w:cs="Arial"/>
                <w:b/>
                <w:bCs/>
                <w:color w:val="FFFFFF" w:themeColor="background1"/>
                <w:sz w:val="20"/>
                <w:szCs w:val="20"/>
                <w:lang w:eastAsia="en-AU"/>
              </w:rPr>
              <w:t>2022-26 </w:t>
            </w:r>
          </w:p>
        </w:tc>
      </w:tr>
      <w:tr w:rsidR="00CF6AA7" w:rsidRPr="0056627C" w14:paraId="7B8B8713" w14:textId="77777777" w:rsidTr="00252EAF">
        <w:trPr>
          <w:trHeight w:val="301"/>
        </w:trPr>
        <w:tc>
          <w:tcPr>
            <w:tcW w:w="2400" w:type="dxa"/>
            <w:tcBorders>
              <w:top w:val="nil"/>
              <w:left w:val="nil"/>
              <w:bottom w:val="nil"/>
              <w:right w:val="nil"/>
            </w:tcBorders>
            <w:shd w:val="clear" w:color="auto" w:fill="F5E5F7"/>
            <w:vAlign w:val="center"/>
            <w:hideMark/>
          </w:tcPr>
          <w:p w14:paraId="2CBD5C1B" w14:textId="77777777" w:rsidR="00CF6AA7" w:rsidRPr="0056627C" w:rsidRDefault="00CF6AA7" w:rsidP="00252EAF">
            <w:pPr>
              <w:spacing w:after="0"/>
              <w:textAlignment w:val="baseline"/>
              <w:rPr>
                <w:rFonts w:ascii="Times New Roman" w:eastAsia="Times New Roman" w:hAnsi="Times New Roman" w:cs="Times New Roman"/>
                <w:lang w:eastAsia="en-AU"/>
              </w:rPr>
            </w:pPr>
            <w:r w:rsidRPr="0056627C">
              <w:rPr>
                <w:rFonts w:eastAsia="Times New Roman" w:cs="Arial"/>
                <w:b/>
                <w:bCs/>
                <w:color w:val="000000"/>
                <w:sz w:val="20"/>
                <w:szCs w:val="20"/>
                <w:lang w:eastAsia="en-AU"/>
              </w:rPr>
              <w:t>Cumulative Effect</w:t>
            </w:r>
            <w:r w:rsidRPr="0056627C">
              <w:rPr>
                <w:rFonts w:eastAsia="Times New Roman" w:cs="Arial"/>
                <w:color w:val="000000"/>
                <w:sz w:val="20"/>
                <w:szCs w:val="20"/>
                <w:lang w:eastAsia="en-AU"/>
              </w:rPr>
              <w:t> </w:t>
            </w:r>
          </w:p>
        </w:tc>
        <w:tc>
          <w:tcPr>
            <w:tcW w:w="1080" w:type="dxa"/>
            <w:tcBorders>
              <w:top w:val="nil"/>
              <w:left w:val="nil"/>
              <w:bottom w:val="nil"/>
              <w:right w:val="nil"/>
            </w:tcBorders>
            <w:shd w:val="clear" w:color="auto" w:fill="F5E5F7"/>
            <w:vAlign w:val="center"/>
            <w:hideMark/>
          </w:tcPr>
          <w:p w14:paraId="778331A6" w14:textId="77777777" w:rsidR="00CF6AA7" w:rsidRPr="0056627C" w:rsidRDefault="00CF6AA7" w:rsidP="00252EAF">
            <w:pPr>
              <w:spacing w:after="0"/>
              <w:jc w:val="right"/>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 </w:t>
            </w:r>
          </w:p>
        </w:tc>
        <w:tc>
          <w:tcPr>
            <w:tcW w:w="1080" w:type="dxa"/>
            <w:tcBorders>
              <w:top w:val="nil"/>
              <w:left w:val="nil"/>
              <w:bottom w:val="nil"/>
              <w:right w:val="nil"/>
            </w:tcBorders>
            <w:shd w:val="clear" w:color="auto" w:fill="F5E5F7"/>
            <w:vAlign w:val="center"/>
            <w:hideMark/>
          </w:tcPr>
          <w:p w14:paraId="7F14B632" w14:textId="77777777" w:rsidR="00CF6AA7" w:rsidRPr="0056627C" w:rsidRDefault="00CF6AA7" w:rsidP="00252EAF">
            <w:pPr>
              <w:spacing w:after="0"/>
              <w:jc w:val="right"/>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 </w:t>
            </w:r>
          </w:p>
        </w:tc>
        <w:tc>
          <w:tcPr>
            <w:tcW w:w="1080" w:type="dxa"/>
            <w:tcBorders>
              <w:top w:val="nil"/>
              <w:left w:val="nil"/>
              <w:bottom w:val="nil"/>
              <w:right w:val="nil"/>
            </w:tcBorders>
            <w:shd w:val="clear" w:color="auto" w:fill="F5E5F7"/>
            <w:vAlign w:val="center"/>
            <w:hideMark/>
          </w:tcPr>
          <w:p w14:paraId="589E96F8" w14:textId="77777777" w:rsidR="00CF6AA7" w:rsidRPr="0056627C" w:rsidRDefault="00CF6AA7" w:rsidP="00252EAF">
            <w:pPr>
              <w:spacing w:after="0"/>
              <w:jc w:val="right"/>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 </w:t>
            </w:r>
          </w:p>
        </w:tc>
        <w:tc>
          <w:tcPr>
            <w:tcW w:w="1080" w:type="dxa"/>
            <w:tcBorders>
              <w:top w:val="nil"/>
              <w:left w:val="nil"/>
              <w:bottom w:val="nil"/>
              <w:right w:val="nil"/>
            </w:tcBorders>
            <w:shd w:val="clear" w:color="auto" w:fill="F5E5F7"/>
            <w:vAlign w:val="center"/>
            <w:hideMark/>
          </w:tcPr>
          <w:p w14:paraId="57129D35" w14:textId="77777777" w:rsidR="00CF6AA7" w:rsidRPr="0056627C" w:rsidRDefault="00CF6AA7" w:rsidP="00252EAF">
            <w:pPr>
              <w:spacing w:after="0"/>
              <w:jc w:val="right"/>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 </w:t>
            </w:r>
          </w:p>
        </w:tc>
        <w:tc>
          <w:tcPr>
            <w:tcW w:w="1110" w:type="dxa"/>
            <w:tcBorders>
              <w:top w:val="nil"/>
              <w:left w:val="nil"/>
              <w:bottom w:val="nil"/>
              <w:right w:val="nil"/>
            </w:tcBorders>
            <w:shd w:val="clear" w:color="auto" w:fill="F5E5F7"/>
            <w:vAlign w:val="center"/>
            <w:hideMark/>
          </w:tcPr>
          <w:p w14:paraId="0025D06D" w14:textId="77777777" w:rsidR="00CF6AA7" w:rsidRPr="0056627C" w:rsidRDefault="00CF6AA7" w:rsidP="00252EAF">
            <w:pPr>
              <w:spacing w:after="0"/>
              <w:jc w:val="right"/>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 </w:t>
            </w:r>
          </w:p>
        </w:tc>
        <w:tc>
          <w:tcPr>
            <w:tcW w:w="1080" w:type="dxa"/>
            <w:tcBorders>
              <w:top w:val="nil"/>
              <w:left w:val="nil"/>
              <w:bottom w:val="nil"/>
              <w:right w:val="nil"/>
            </w:tcBorders>
            <w:shd w:val="clear" w:color="auto" w:fill="F5E5F7"/>
            <w:vAlign w:val="center"/>
            <w:hideMark/>
          </w:tcPr>
          <w:p w14:paraId="45B994BA" w14:textId="77777777" w:rsidR="00CF6AA7" w:rsidRPr="0056627C" w:rsidRDefault="00CF6AA7" w:rsidP="00252EAF">
            <w:pPr>
              <w:spacing w:after="0"/>
              <w:jc w:val="right"/>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 </w:t>
            </w:r>
          </w:p>
        </w:tc>
      </w:tr>
      <w:tr w:rsidR="00CF6AA7" w:rsidRPr="0056627C" w14:paraId="30BC78C5" w14:textId="77777777" w:rsidTr="00252EAF">
        <w:trPr>
          <w:trHeight w:val="301"/>
        </w:trPr>
        <w:tc>
          <w:tcPr>
            <w:tcW w:w="2400" w:type="dxa"/>
            <w:tcBorders>
              <w:top w:val="nil"/>
              <w:left w:val="nil"/>
              <w:bottom w:val="nil"/>
              <w:right w:val="nil"/>
            </w:tcBorders>
            <w:shd w:val="clear" w:color="auto" w:fill="C0C0C0"/>
            <w:vAlign w:val="center"/>
            <w:hideMark/>
          </w:tcPr>
          <w:p w14:paraId="32C9D485" w14:textId="77777777" w:rsidR="00CF6AA7" w:rsidRPr="0056627C" w:rsidRDefault="00381F7D" w:rsidP="00252EAF">
            <w:pPr>
              <w:spacing w:after="0"/>
              <w:textAlignment w:val="baseline"/>
              <w:rPr>
                <w:rFonts w:ascii="Times New Roman" w:eastAsia="Times New Roman" w:hAnsi="Times New Roman" w:cs="Times New Roman"/>
                <w:lang w:eastAsia="en-AU"/>
              </w:rPr>
            </w:pPr>
            <w:r>
              <w:rPr>
                <w:rFonts w:eastAsia="Times New Roman" w:cs="Arial"/>
                <w:color w:val="000000"/>
                <w:sz w:val="20"/>
                <w:szCs w:val="20"/>
                <w:lang w:eastAsia="en-AU"/>
              </w:rPr>
              <w:t xml:space="preserve">Additional </w:t>
            </w:r>
            <w:r w:rsidR="00CF6AA7" w:rsidRPr="0056627C">
              <w:rPr>
                <w:rFonts w:eastAsia="Times New Roman" w:cs="Arial"/>
                <w:color w:val="000000"/>
                <w:sz w:val="20"/>
                <w:szCs w:val="20"/>
                <w:lang w:eastAsia="en-AU"/>
              </w:rPr>
              <w:t>inflation </w:t>
            </w:r>
          </w:p>
        </w:tc>
        <w:tc>
          <w:tcPr>
            <w:tcW w:w="1080" w:type="dxa"/>
            <w:tcBorders>
              <w:top w:val="nil"/>
              <w:left w:val="nil"/>
              <w:bottom w:val="nil"/>
              <w:right w:val="nil"/>
            </w:tcBorders>
            <w:shd w:val="clear" w:color="auto" w:fill="C0C0C0"/>
            <w:vAlign w:val="center"/>
            <w:hideMark/>
          </w:tcPr>
          <w:p w14:paraId="03EACC76"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3.8%</w:t>
            </w:r>
          </w:p>
        </w:tc>
        <w:tc>
          <w:tcPr>
            <w:tcW w:w="1080" w:type="dxa"/>
            <w:tcBorders>
              <w:top w:val="nil"/>
              <w:left w:val="nil"/>
              <w:bottom w:val="nil"/>
              <w:right w:val="nil"/>
            </w:tcBorders>
            <w:shd w:val="clear" w:color="auto" w:fill="C0C0C0"/>
            <w:vAlign w:val="center"/>
            <w:hideMark/>
          </w:tcPr>
          <w:p w14:paraId="61B26BAF"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5.</w:t>
            </w:r>
            <w:r w:rsidR="00265F36">
              <w:rPr>
                <w:sz w:val="20"/>
                <w:szCs w:val="20"/>
              </w:rPr>
              <w:t>0</w:t>
            </w:r>
            <w:r w:rsidRPr="00FE6C11">
              <w:rPr>
                <w:sz w:val="20"/>
                <w:szCs w:val="20"/>
              </w:rPr>
              <w:t>%</w:t>
            </w:r>
          </w:p>
        </w:tc>
        <w:tc>
          <w:tcPr>
            <w:tcW w:w="1080" w:type="dxa"/>
            <w:tcBorders>
              <w:top w:val="nil"/>
              <w:left w:val="nil"/>
              <w:bottom w:val="nil"/>
              <w:right w:val="nil"/>
            </w:tcBorders>
            <w:shd w:val="clear" w:color="auto" w:fill="C0C0C0"/>
            <w:vAlign w:val="center"/>
            <w:hideMark/>
          </w:tcPr>
          <w:p w14:paraId="14DA07D8"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5.</w:t>
            </w:r>
            <w:r w:rsidR="00265F36">
              <w:rPr>
                <w:sz w:val="20"/>
                <w:szCs w:val="20"/>
              </w:rPr>
              <w:t>7</w:t>
            </w:r>
            <w:r w:rsidRPr="00FE6C11">
              <w:rPr>
                <w:sz w:val="20"/>
                <w:szCs w:val="20"/>
              </w:rPr>
              <w:t>%</w:t>
            </w:r>
          </w:p>
        </w:tc>
        <w:tc>
          <w:tcPr>
            <w:tcW w:w="1080" w:type="dxa"/>
            <w:tcBorders>
              <w:top w:val="nil"/>
              <w:left w:val="nil"/>
              <w:bottom w:val="nil"/>
              <w:right w:val="nil"/>
            </w:tcBorders>
            <w:shd w:val="clear" w:color="auto" w:fill="C0C0C0"/>
            <w:vAlign w:val="center"/>
            <w:hideMark/>
          </w:tcPr>
          <w:p w14:paraId="0B6BB932"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6.</w:t>
            </w:r>
            <w:r w:rsidR="00265F36">
              <w:rPr>
                <w:sz w:val="20"/>
                <w:szCs w:val="20"/>
              </w:rPr>
              <w:t>1</w:t>
            </w:r>
            <w:r w:rsidRPr="00FE6C11">
              <w:rPr>
                <w:sz w:val="20"/>
                <w:szCs w:val="20"/>
              </w:rPr>
              <w:t>%</w:t>
            </w:r>
          </w:p>
        </w:tc>
        <w:tc>
          <w:tcPr>
            <w:tcW w:w="1110" w:type="dxa"/>
            <w:tcBorders>
              <w:top w:val="nil"/>
              <w:left w:val="nil"/>
              <w:bottom w:val="nil"/>
              <w:right w:val="nil"/>
            </w:tcBorders>
            <w:shd w:val="clear" w:color="auto" w:fill="C0C0C0"/>
            <w:vAlign w:val="center"/>
            <w:hideMark/>
          </w:tcPr>
          <w:p w14:paraId="3EAC70D5"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5C766D">
              <w:rPr>
                <w:sz w:val="20"/>
                <w:szCs w:val="20"/>
              </w:rPr>
              <w:t>8.3</w:t>
            </w:r>
            <w:r w:rsidRPr="00FE6C11">
              <w:rPr>
                <w:sz w:val="20"/>
                <w:szCs w:val="20"/>
              </w:rPr>
              <w:t>%</w:t>
            </w:r>
          </w:p>
        </w:tc>
        <w:tc>
          <w:tcPr>
            <w:tcW w:w="1080" w:type="dxa"/>
            <w:tcBorders>
              <w:top w:val="nil"/>
              <w:left w:val="nil"/>
              <w:bottom w:val="nil"/>
              <w:right w:val="nil"/>
            </w:tcBorders>
            <w:shd w:val="clear" w:color="auto" w:fill="C0C0C0"/>
            <w:vAlign w:val="center"/>
            <w:hideMark/>
          </w:tcPr>
          <w:p w14:paraId="787161A9" w14:textId="77777777" w:rsidR="00CF6AA7" w:rsidRPr="00FE6C11" w:rsidRDefault="00265F36" w:rsidP="00252EAF">
            <w:pPr>
              <w:spacing w:after="0"/>
              <w:jc w:val="right"/>
              <w:textAlignment w:val="baseline"/>
              <w:rPr>
                <w:rFonts w:ascii="Times New Roman" w:eastAsia="Times New Roman" w:hAnsi="Times New Roman" w:cs="Times New Roman"/>
                <w:sz w:val="20"/>
                <w:szCs w:val="20"/>
                <w:lang w:eastAsia="en-AU"/>
              </w:rPr>
            </w:pPr>
            <w:r>
              <w:rPr>
                <w:sz w:val="20"/>
                <w:szCs w:val="20"/>
              </w:rPr>
              <w:t>4</w:t>
            </w:r>
            <w:r w:rsidR="00CF6AA7" w:rsidRPr="00FE6C11">
              <w:rPr>
                <w:sz w:val="20"/>
                <w:szCs w:val="20"/>
              </w:rPr>
              <w:t>.</w:t>
            </w:r>
            <w:r>
              <w:rPr>
                <w:sz w:val="20"/>
                <w:szCs w:val="20"/>
              </w:rPr>
              <w:t>9</w:t>
            </w:r>
            <w:r w:rsidR="00CF6AA7" w:rsidRPr="00FE6C11">
              <w:rPr>
                <w:sz w:val="20"/>
                <w:szCs w:val="20"/>
              </w:rPr>
              <w:t>%</w:t>
            </w:r>
          </w:p>
        </w:tc>
      </w:tr>
      <w:tr w:rsidR="00CF6AA7" w:rsidRPr="0056627C" w14:paraId="027E05DD" w14:textId="77777777" w:rsidTr="00252EAF">
        <w:trPr>
          <w:trHeight w:val="301"/>
        </w:trPr>
        <w:tc>
          <w:tcPr>
            <w:tcW w:w="2400" w:type="dxa"/>
            <w:tcBorders>
              <w:top w:val="nil"/>
              <w:left w:val="nil"/>
              <w:bottom w:val="nil"/>
              <w:right w:val="nil"/>
            </w:tcBorders>
            <w:shd w:val="clear" w:color="auto" w:fill="auto"/>
            <w:vAlign w:val="center"/>
            <w:hideMark/>
          </w:tcPr>
          <w:p w14:paraId="4971F874" w14:textId="77777777" w:rsidR="00CF6AA7" w:rsidRPr="0056627C" w:rsidRDefault="00CF6AA7" w:rsidP="00252EAF">
            <w:pPr>
              <w:spacing w:after="0"/>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Model specification risk </w:t>
            </w:r>
          </w:p>
        </w:tc>
        <w:tc>
          <w:tcPr>
            <w:tcW w:w="1080" w:type="dxa"/>
            <w:tcBorders>
              <w:top w:val="nil"/>
              <w:left w:val="nil"/>
              <w:bottom w:val="nil"/>
              <w:right w:val="nil"/>
            </w:tcBorders>
            <w:shd w:val="clear" w:color="auto" w:fill="auto"/>
            <w:vAlign w:val="center"/>
            <w:hideMark/>
          </w:tcPr>
          <w:p w14:paraId="345560A5"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5.0%</w:t>
            </w:r>
          </w:p>
        </w:tc>
        <w:tc>
          <w:tcPr>
            <w:tcW w:w="1080" w:type="dxa"/>
            <w:tcBorders>
              <w:top w:val="nil"/>
              <w:left w:val="nil"/>
              <w:bottom w:val="nil"/>
              <w:right w:val="nil"/>
            </w:tcBorders>
            <w:shd w:val="clear" w:color="auto" w:fill="auto"/>
            <w:vAlign w:val="center"/>
            <w:hideMark/>
          </w:tcPr>
          <w:p w14:paraId="4A696000"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6.7%</w:t>
            </w:r>
          </w:p>
        </w:tc>
        <w:tc>
          <w:tcPr>
            <w:tcW w:w="1080" w:type="dxa"/>
            <w:tcBorders>
              <w:top w:val="nil"/>
              <w:left w:val="nil"/>
              <w:bottom w:val="nil"/>
              <w:right w:val="nil"/>
            </w:tcBorders>
            <w:shd w:val="clear" w:color="auto" w:fill="auto"/>
            <w:vAlign w:val="center"/>
            <w:hideMark/>
          </w:tcPr>
          <w:p w14:paraId="4794B378"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7.8%</w:t>
            </w:r>
          </w:p>
        </w:tc>
        <w:tc>
          <w:tcPr>
            <w:tcW w:w="1080" w:type="dxa"/>
            <w:tcBorders>
              <w:top w:val="nil"/>
              <w:left w:val="nil"/>
              <w:bottom w:val="nil"/>
              <w:right w:val="nil"/>
            </w:tcBorders>
            <w:shd w:val="clear" w:color="auto" w:fill="auto"/>
            <w:vAlign w:val="center"/>
            <w:hideMark/>
          </w:tcPr>
          <w:p w14:paraId="2EB5E9C5"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8.</w:t>
            </w:r>
            <w:r w:rsidR="00265F36">
              <w:rPr>
                <w:sz w:val="20"/>
                <w:szCs w:val="20"/>
              </w:rPr>
              <w:t>6</w:t>
            </w:r>
            <w:r w:rsidRPr="00FE6C11">
              <w:rPr>
                <w:sz w:val="20"/>
                <w:szCs w:val="20"/>
              </w:rPr>
              <w:t>%</w:t>
            </w:r>
          </w:p>
        </w:tc>
        <w:tc>
          <w:tcPr>
            <w:tcW w:w="1110" w:type="dxa"/>
            <w:tcBorders>
              <w:top w:val="nil"/>
              <w:left w:val="nil"/>
              <w:bottom w:val="nil"/>
              <w:right w:val="nil"/>
            </w:tcBorders>
            <w:shd w:val="clear" w:color="auto" w:fill="auto"/>
            <w:vAlign w:val="center"/>
            <w:hideMark/>
          </w:tcPr>
          <w:p w14:paraId="13D608FB"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5C766D">
              <w:rPr>
                <w:sz w:val="20"/>
                <w:szCs w:val="20"/>
              </w:rPr>
              <w:t>12.6%</w:t>
            </w:r>
          </w:p>
        </w:tc>
        <w:tc>
          <w:tcPr>
            <w:tcW w:w="1080" w:type="dxa"/>
            <w:tcBorders>
              <w:top w:val="nil"/>
              <w:left w:val="nil"/>
              <w:bottom w:val="nil"/>
              <w:right w:val="nil"/>
            </w:tcBorders>
            <w:shd w:val="clear" w:color="auto" w:fill="auto"/>
            <w:vAlign w:val="center"/>
            <w:hideMark/>
          </w:tcPr>
          <w:p w14:paraId="15233391"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6.6%</w:t>
            </w:r>
          </w:p>
        </w:tc>
      </w:tr>
      <w:tr w:rsidR="00CF6AA7" w:rsidRPr="0056627C" w14:paraId="6B0C0C85" w14:textId="77777777" w:rsidTr="00252EAF">
        <w:trPr>
          <w:trHeight w:val="301"/>
        </w:trPr>
        <w:tc>
          <w:tcPr>
            <w:tcW w:w="2400" w:type="dxa"/>
            <w:tcBorders>
              <w:top w:val="nil"/>
              <w:left w:val="nil"/>
              <w:bottom w:val="nil"/>
              <w:right w:val="nil"/>
            </w:tcBorders>
            <w:shd w:val="clear" w:color="auto" w:fill="C0C0C0"/>
            <w:vAlign w:val="center"/>
            <w:hideMark/>
          </w:tcPr>
          <w:p w14:paraId="37B3AE00" w14:textId="77777777" w:rsidR="00CF6AA7" w:rsidRPr="0056627C" w:rsidRDefault="00CF6AA7" w:rsidP="00252EAF">
            <w:pPr>
              <w:spacing w:after="0"/>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Normal Inflation </w:t>
            </w:r>
          </w:p>
        </w:tc>
        <w:tc>
          <w:tcPr>
            <w:tcW w:w="1080" w:type="dxa"/>
            <w:tcBorders>
              <w:top w:val="nil"/>
              <w:left w:val="nil"/>
              <w:bottom w:val="nil"/>
              <w:right w:val="nil"/>
            </w:tcBorders>
            <w:shd w:val="clear" w:color="auto" w:fill="C0C0C0"/>
            <w:vAlign w:val="center"/>
            <w:hideMark/>
          </w:tcPr>
          <w:p w14:paraId="0327111F"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5.</w:t>
            </w:r>
            <w:r w:rsidR="00265F36">
              <w:rPr>
                <w:sz w:val="20"/>
                <w:szCs w:val="20"/>
              </w:rPr>
              <w:t>1</w:t>
            </w:r>
            <w:r w:rsidRPr="00FE6C11">
              <w:rPr>
                <w:sz w:val="20"/>
                <w:szCs w:val="20"/>
              </w:rPr>
              <w:t>%</w:t>
            </w:r>
          </w:p>
        </w:tc>
        <w:tc>
          <w:tcPr>
            <w:tcW w:w="1080" w:type="dxa"/>
            <w:tcBorders>
              <w:top w:val="nil"/>
              <w:left w:val="nil"/>
              <w:bottom w:val="nil"/>
              <w:right w:val="nil"/>
            </w:tcBorders>
            <w:shd w:val="clear" w:color="auto" w:fill="C0C0C0"/>
            <w:vAlign w:val="center"/>
            <w:hideMark/>
          </w:tcPr>
          <w:p w14:paraId="0CC87196"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7.0%</w:t>
            </w:r>
          </w:p>
        </w:tc>
        <w:tc>
          <w:tcPr>
            <w:tcW w:w="1080" w:type="dxa"/>
            <w:tcBorders>
              <w:top w:val="nil"/>
              <w:left w:val="nil"/>
              <w:bottom w:val="nil"/>
              <w:right w:val="nil"/>
            </w:tcBorders>
            <w:shd w:val="clear" w:color="auto" w:fill="C0C0C0"/>
            <w:vAlign w:val="center"/>
            <w:hideMark/>
          </w:tcPr>
          <w:p w14:paraId="00BA3821"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8.</w:t>
            </w:r>
            <w:r w:rsidR="00265F36">
              <w:rPr>
                <w:sz w:val="20"/>
                <w:szCs w:val="20"/>
              </w:rPr>
              <w:t>2</w:t>
            </w:r>
            <w:r w:rsidRPr="00FE6C11">
              <w:rPr>
                <w:sz w:val="20"/>
                <w:szCs w:val="20"/>
              </w:rPr>
              <w:t>%</w:t>
            </w:r>
          </w:p>
        </w:tc>
        <w:tc>
          <w:tcPr>
            <w:tcW w:w="1080" w:type="dxa"/>
            <w:tcBorders>
              <w:top w:val="nil"/>
              <w:left w:val="nil"/>
              <w:bottom w:val="nil"/>
              <w:right w:val="nil"/>
            </w:tcBorders>
            <w:shd w:val="clear" w:color="auto" w:fill="C0C0C0"/>
            <w:vAlign w:val="center"/>
            <w:hideMark/>
          </w:tcPr>
          <w:p w14:paraId="0307E9AD"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8.9%</w:t>
            </w:r>
          </w:p>
        </w:tc>
        <w:tc>
          <w:tcPr>
            <w:tcW w:w="1110" w:type="dxa"/>
            <w:tcBorders>
              <w:top w:val="nil"/>
              <w:left w:val="nil"/>
              <w:bottom w:val="nil"/>
              <w:right w:val="nil"/>
            </w:tcBorders>
            <w:shd w:val="clear" w:color="auto" w:fill="C0C0C0"/>
            <w:vAlign w:val="center"/>
            <w:hideMark/>
          </w:tcPr>
          <w:p w14:paraId="619C560F"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5C766D">
              <w:rPr>
                <w:sz w:val="20"/>
                <w:szCs w:val="20"/>
              </w:rPr>
              <w:t>1</w:t>
            </w:r>
            <w:r w:rsidR="00265F36">
              <w:rPr>
                <w:sz w:val="20"/>
                <w:szCs w:val="20"/>
              </w:rPr>
              <w:t>3</w:t>
            </w:r>
            <w:r w:rsidRPr="005C766D">
              <w:rPr>
                <w:sz w:val="20"/>
                <w:szCs w:val="20"/>
              </w:rPr>
              <w:t>.</w:t>
            </w:r>
            <w:r w:rsidR="00265F36">
              <w:rPr>
                <w:sz w:val="20"/>
                <w:szCs w:val="20"/>
              </w:rPr>
              <w:t>1</w:t>
            </w:r>
            <w:r w:rsidRPr="005C766D">
              <w:rPr>
                <w:sz w:val="20"/>
                <w:szCs w:val="20"/>
              </w:rPr>
              <w:t>%</w:t>
            </w:r>
          </w:p>
        </w:tc>
        <w:tc>
          <w:tcPr>
            <w:tcW w:w="1080" w:type="dxa"/>
            <w:tcBorders>
              <w:top w:val="nil"/>
              <w:left w:val="nil"/>
              <w:bottom w:val="nil"/>
              <w:right w:val="nil"/>
            </w:tcBorders>
            <w:shd w:val="clear" w:color="auto" w:fill="C0C0C0"/>
            <w:vAlign w:val="center"/>
            <w:hideMark/>
          </w:tcPr>
          <w:p w14:paraId="459E756F"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6.9%</w:t>
            </w:r>
          </w:p>
        </w:tc>
      </w:tr>
      <w:tr w:rsidR="00CF6AA7" w:rsidRPr="0056627C" w14:paraId="7546107E" w14:textId="77777777" w:rsidTr="00252EAF">
        <w:trPr>
          <w:trHeight w:val="301"/>
        </w:trPr>
        <w:tc>
          <w:tcPr>
            <w:tcW w:w="2400" w:type="dxa"/>
            <w:tcBorders>
              <w:top w:val="nil"/>
              <w:left w:val="nil"/>
              <w:bottom w:val="nil"/>
              <w:right w:val="nil"/>
            </w:tcBorders>
            <w:shd w:val="clear" w:color="auto" w:fill="auto"/>
            <w:vAlign w:val="center"/>
            <w:hideMark/>
          </w:tcPr>
          <w:p w14:paraId="48494B6B" w14:textId="77777777" w:rsidR="00CF6AA7" w:rsidRPr="0056627C" w:rsidRDefault="00CF6AA7" w:rsidP="00252EAF">
            <w:pPr>
              <w:spacing w:after="0"/>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New entrants </w:t>
            </w:r>
          </w:p>
        </w:tc>
        <w:tc>
          <w:tcPr>
            <w:tcW w:w="1080" w:type="dxa"/>
            <w:tcBorders>
              <w:top w:val="nil"/>
              <w:left w:val="nil"/>
              <w:bottom w:val="nil"/>
              <w:right w:val="nil"/>
            </w:tcBorders>
            <w:shd w:val="clear" w:color="auto" w:fill="auto"/>
            <w:vAlign w:val="center"/>
            <w:hideMark/>
          </w:tcPr>
          <w:p w14:paraId="3EDF2083"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5.2%</w:t>
            </w:r>
          </w:p>
        </w:tc>
        <w:tc>
          <w:tcPr>
            <w:tcW w:w="1080" w:type="dxa"/>
            <w:tcBorders>
              <w:top w:val="nil"/>
              <w:left w:val="nil"/>
              <w:bottom w:val="nil"/>
              <w:right w:val="nil"/>
            </w:tcBorders>
            <w:shd w:val="clear" w:color="auto" w:fill="auto"/>
            <w:vAlign w:val="center"/>
            <w:hideMark/>
          </w:tcPr>
          <w:p w14:paraId="10EF16DD"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7.</w:t>
            </w:r>
            <w:r w:rsidR="00265F36">
              <w:rPr>
                <w:sz w:val="20"/>
                <w:szCs w:val="20"/>
              </w:rPr>
              <w:t>1</w:t>
            </w:r>
            <w:r w:rsidRPr="00FE6C11">
              <w:rPr>
                <w:sz w:val="20"/>
                <w:szCs w:val="20"/>
              </w:rPr>
              <w:t>%</w:t>
            </w:r>
          </w:p>
        </w:tc>
        <w:tc>
          <w:tcPr>
            <w:tcW w:w="1080" w:type="dxa"/>
            <w:tcBorders>
              <w:top w:val="nil"/>
              <w:left w:val="nil"/>
              <w:bottom w:val="nil"/>
              <w:right w:val="nil"/>
            </w:tcBorders>
            <w:shd w:val="clear" w:color="auto" w:fill="auto"/>
            <w:vAlign w:val="center"/>
            <w:hideMark/>
          </w:tcPr>
          <w:p w14:paraId="3F4CC486"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8.</w:t>
            </w:r>
            <w:r w:rsidR="00265F36">
              <w:rPr>
                <w:sz w:val="20"/>
                <w:szCs w:val="20"/>
              </w:rPr>
              <w:t>3</w:t>
            </w:r>
            <w:r w:rsidRPr="00FE6C11">
              <w:rPr>
                <w:sz w:val="20"/>
                <w:szCs w:val="20"/>
              </w:rPr>
              <w:t>%</w:t>
            </w:r>
          </w:p>
        </w:tc>
        <w:tc>
          <w:tcPr>
            <w:tcW w:w="1080" w:type="dxa"/>
            <w:tcBorders>
              <w:top w:val="nil"/>
              <w:left w:val="nil"/>
              <w:bottom w:val="nil"/>
              <w:right w:val="nil"/>
            </w:tcBorders>
            <w:shd w:val="clear" w:color="auto" w:fill="auto"/>
            <w:vAlign w:val="center"/>
            <w:hideMark/>
          </w:tcPr>
          <w:p w14:paraId="7F1C10E8"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9.</w:t>
            </w:r>
            <w:r w:rsidR="00265F36">
              <w:rPr>
                <w:sz w:val="20"/>
                <w:szCs w:val="20"/>
              </w:rPr>
              <w:t>2</w:t>
            </w:r>
            <w:r w:rsidRPr="00FE6C11">
              <w:rPr>
                <w:sz w:val="20"/>
                <w:szCs w:val="20"/>
              </w:rPr>
              <w:t>%</w:t>
            </w:r>
          </w:p>
        </w:tc>
        <w:tc>
          <w:tcPr>
            <w:tcW w:w="1110" w:type="dxa"/>
            <w:tcBorders>
              <w:top w:val="nil"/>
              <w:left w:val="nil"/>
              <w:bottom w:val="nil"/>
              <w:right w:val="nil"/>
            </w:tcBorders>
            <w:shd w:val="clear" w:color="auto" w:fill="auto"/>
            <w:vAlign w:val="center"/>
            <w:hideMark/>
          </w:tcPr>
          <w:p w14:paraId="72C19861"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5C766D">
              <w:rPr>
                <w:sz w:val="20"/>
                <w:szCs w:val="20"/>
              </w:rPr>
              <w:t>14.</w:t>
            </w:r>
            <w:r w:rsidR="00265F36">
              <w:rPr>
                <w:sz w:val="20"/>
                <w:szCs w:val="20"/>
              </w:rPr>
              <w:t>6</w:t>
            </w:r>
            <w:r w:rsidRPr="005C766D">
              <w:rPr>
                <w:sz w:val="20"/>
                <w:szCs w:val="20"/>
              </w:rPr>
              <w:t>%</w:t>
            </w:r>
          </w:p>
        </w:tc>
        <w:tc>
          <w:tcPr>
            <w:tcW w:w="1080" w:type="dxa"/>
            <w:tcBorders>
              <w:top w:val="nil"/>
              <w:left w:val="nil"/>
              <w:bottom w:val="nil"/>
              <w:right w:val="nil"/>
            </w:tcBorders>
            <w:shd w:val="clear" w:color="auto" w:fill="auto"/>
            <w:vAlign w:val="center"/>
            <w:hideMark/>
          </w:tcPr>
          <w:p w14:paraId="07FFA413"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7.</w:t>
            </w:r>
            <w:r w:rsidR="00265F36">
              <w:rPr>
                <w:sz w:val="20"/>
                <w:szCs w:val="20"/>
              </w:rPr>
              <w:t>1</w:t>
            </w:r>
            <w:r w:rsidRPr="00FE6C11">
              <w:rPr>
                <w:sz w:val="20"/>
                <w:szCs w:val="20"/>
              </w:rPr>
              <w:t>%</w:t>
            </w:r>
          </w:p>
        </w:tc>
      </w:tr>
      <w:tr w:rsidR="00CF6AA7" w:rsidRPr="0056627C" w14:paraId="31ACDB56" w14:textId="77777777" w:rsidTr="00252EAF">
        <w:trPr>
          <w:trHeight w:val="301"/>
        </w:trPr>
        <w:tc>
          <w:tcPr>
            <w:tcW w:w="2400" w:type="dxa"/>
            <w:tcBorders>
              <w:top w:val="nil"/>
              <w:left w:val="nil"/>
              <w:bottom w:val="nil"/>
              <w:right w:val="nil"/>
            </w:tcBorders>
            <w:shd w:val="clear" w:color="auto" w:fill="C0C0C0"/>
            <w:vAlign w:val="center"/>
            <w:hideMark/>
          </w:tcPr>
          <w:p w14:paraId="1BF39654" w14:textId="77777777" w:rsidR="00CF6AA7" w:rsidRPr="0056627C" w:rsidRDefault="00CF6AA7" w:rsidP="00252EAF">
            <w:pPr>
              <w:spacing w:after="0"/>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Utilisation </w:t>
            </w:r>
          </w:p>
        </w:tc>
        <w:tc>
          <w:tcPr>
            <w:tcW w:w="1080" w:type="dxa"/>
            <w:tcBorders>
              <w:top w:val="nil"/>
              <w:left w:val="nil"/>
              <w:bottom w:val="nil"/>
              <w:right w:val="nil"/>
            </w:tcBorders>
            <w:shd w:val="clear" w:color="auto" w:fill="C0C0C0"/>
            <w:vAlign w:val="center"/>
            <w:hideMark/>
          </w:tcPr>
          <w:p w14:paraId="6ADAE55C" w14:textId="77777777" w:rsidR="00CF6AA7" w:rsidRPr="00FE6C11" w:rsidRDefault="00265F36" w:rsidP="00252EAF">
            <w:pPr>
              <w:spacing w:after="0"/>
              <w:jc w:val="right"/>
              <w:textAlignment w:val="baseline"/>
              <w:rPr>
                <w:rFonts w:ascii="Times New Roman" w:eastAsia="Times New Roman" w:hAnsi="Times New Roman" w:cs="Times New Roman"/>
                <w:sz w:val="20"/>
                <w:szCs w:val="20"/>
                <w:lang w:eastAsia="en-AU"/>
              </w:rPr>
            </w:pPr>
            <w:r>
              <w:rPr>
                <w:sz w:val="20"/>
                <w:szCs w:val="20"/>
              </w:rPr>
              <w:t>4</w:t>
            </w:r>
            <w:r w:rsidR="00CF6AA7" w:rsidRPr="00FE6C11">
              <w:rPr>
                <w:sz w:val="20"/>
                <w:szCs w:val="20"/>
              </w:rPr>
              <w:t>.</w:t>
            </w:r>
            <w:r>
              <w:rPr>
                <w:sz w:val="20"/>
                <w:szCs w:val="20"/>
              </w:rPr>
              <w:t>9</w:t>
            </w:r>
            <w:r w:rsidR="00CF6AA7" w:rsidRPr="00FE6C11">
              <w:rPr>
                <w:sz w:val="20"/>
                <w:szCs w:val="20"/>
              </w:rPr>
              <w:t>%</w:t>
            </w:r>
          </w:p>
        </w:tc>
        <w:tc>
          <w:tcPr>
            <w:tcW w:w="1080" w:type="dxa"/>
            <w:tcBorders>
              <w:top w:val="nil"/>
              <w:left w:val="nil"/>
              <w:bottom w:val="nil"/>
              <w:right w:val="nil"/>
            </w:tcBorders>
            <w:shd w:val="clear" w:color="auto" w:fill="C0C0C0"/>
            <w:vAlign w:val="center"/>
            <w:hideMark/>
          </w:tcPr>
          <w:p w14:paraId="6A9DFA3F"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6.</w:t>
            </w:r>
            <w:r w:rsidR="00265F36">
              <w:rPr>
                <w:sz w:val="20"/>
                <w:szCs w:val="20"/>
              </w:rPr>
              <w:t>7</w:t>
            </w:r>
            <w:r w:rsidRPr="00FE6C11">
              <w:rPr>
                <w:sz w:val="20"/>
                <w:szCs w:val="20"/>
              </w:rPr>
              <w:t>%</w:t>
            </w:r>
          </w:p>
        </w:tc>
        <w:tc>
          <w:tcPr>
            <w:tcW w:w="1080" w:type="dxa"/>
            <w:tcBorders>
              <w:top w:val="nil"/>
              <w:left w:val="nil"/>
              <w:bottom w:val="nil"/>
              <w:right w:val="nil"/>
            </w:tcBorders>
            <w:shd w:val="clear" w:color="auto" w:fill="C0C0C0"/>
            <w:vAlign w:val="center"/>
            <w:hideMark/>
          </w:tcPr>
          <w:p w14:paraId="49963E98"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7.8%</w:t>
            </w:r>
          </w:p>
        </w:tc>
        <w:tc>
          <w:tcPr>
            <w:tcW w:w="1080" w:type="dxa"/>
            <w:tcBorders>
              <w:top w:val="nil"/>
              <w:left w:val="nil"/>
              <w:bottom w:val="nil"/>
              <w:right w:val="nil"/>
            </w:tcBorders>
            <w:shd w:val="clear" w:color="auto" w:fill="C0C0C0"/>
            <w:vAlign w:val="center"/>
            <w:hideMark/>
          </w:tcPr>
          <w:p w14:paraId="23EC22CA"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8.7%</w:t>
            </w:r>
          </w:p>
        </w:tc>
        <w:tc>
          <w:tcPr>
            <w:tcW w:w="1110" w:type="dxa"/>
            <w:tcBorders>
              <w:top w:val="nil"/>
              <w:left w:val="nil"/>
              <w:bottom w:val="nil"/>
              <w:right w:val="nil"/>
            </w:tcBorders>
            <w:shd w:val="clear" w:color="auto" w:fill="C0C0C0"/>
            <w:vAlign w:val="center"/>
            <w:hideMark/>
          </w:tcPr>
          <w:p w14:paraId="34FF637E"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5C766D">
              <w:rPr>
                <w:sz w:val="20"/>
                <w:szCs w:val="20"/>
              </w:rPr>
              <w:t>14</w:t>
            </w:r>
            <w:r w:rsidRPr="00FE6C11">
              <w:rPr>
                <w:sz w:val="20"/>
                <w:szCs w:val="20"/>
              </w:rPr>
              <w:t>.</w:t>
            </w:r>
            <w:r w:rsidR="00265F36">
              <w:rPr>
                <w:sz w:val="20"/>
                <w:szCs w:val="20"/>
              </w:rPr>
              <w:t>1</w:t>
            </w:r>
            <w:r w:rsidRPr="00FE6C11">
              <w:rPr>
                <w:sz w:val="20"/>
                <w:szCs w:val="20"/>
              </w:rPr>
              <w:t>%</w:t>
            </w:r>
          </w:p>
        </w:tc>
        <w:tc>
          <w:tcPr>
            <w:tcW w:w="1080" w:type="dxa"/>
            <w:tcBorders>
              <w:top w:val="nil"/>
              <w:left w:val="nil"/>
              <w:bottom w:val="nil"/>
              <w:right w:val="nil"/>
            </w:tcBorders>
            <w:shd w:val="clear" w:color="auto" w:fill="C0C0C0"/>
            <w:vAlign w:val="center"/>
            <w:hideMark/>
          </w:tcPr>
          <w:p w14:paraId="4498B6E2"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6.</w:t>
            </w:r>
            <w:r w:rsidR="00265F36">
              <w:rPr>
                <w:sz w:val="20"/>
                <w:szCs w:val="20"/>
              </w:rPr>
              <w:t>6</w:t>
            </w:r>
            <w:r w:rsidRPr="00FE6C11">
              <w:rPr>
                <w:sz w:val="20"/>
                <w:szCs w:val="20"/>
              </w:rPr>
              <w:t>%</w:t>
            </w:r>
          </w:p>
        </w:tc>
      </w:tr>
      <w:tr w:rsidR="00CF6AA7" w:rsidRPr="0056627C" w14:paraId="6A2A4A6F" w14:textId="77777777" w:rsidTr="00252EAF">
        <w:trPr>
          <w:trHeight w:val="301"/>
        </w:trPr>
        <w:tc>
          <w:tcPr>
            <w:tcW w:w="2400" w:type="dxa"/>
            <w:tcBorders>
              <w:top w:val="nil"/>
              <w:left w:val="nil"/>
              <w:bottom w:val="nil"/>
              <w:right w:val="nil"/>
            </w:tcBorders>
            <w:shd w:val="clear" w:color="auto" w:fill="F5E5F7"/>
            <w:vAlign w:val="center"/>
            <w:hideMark/>
          </w:tcPr>
          <w:p w14:paraId="4F6746E9" w14:textId="77777777" w:rsidR="00CF6AA7" w:rsidRPr="0056627C" w:rsidRDefault="00CF6AA7" w:rsidP="00252EAF">
            <w:pPr>
              <w:spacing w:after="0"/>
              <w:textAlignment w:val="baseline"/>
              <w:rPr>
                <w:rFonts w:ascii="Times New Roman" w:eastAsia="Times New Roman" w:hAnsi="Times New Roman" w:cs="Times New Roman"/>
                <w:lang w:eastAsia="en-AU"/>
              </w:rPr>
            </w:pPr>
            <w:r w:rsidRPr="0056627C">
              <w:rPr>
                <w:rFonts w:eastAsia="Times New Roman" w:cs="Arial"/>
                <w:b/>
                <w:bCs/>
                <w:color w:val="000000"/>
                <w:sz w:val="20"/>
                <w:szCs w:val="20"/>
                <w:lang w:eastAsia="en-AU"/>
              </w:rPr>
              <w:t>Incremental Effect</w:t>
            </w:r>
            <w:r w:rsidRPr="0056627C">
              <w:rPr>
                <w:rFonts w:eastAsia="Times New Roman" w:cs="Arial"/>
                <w:color w:val="000000"/>
                <w:sz w:val="20"/>
                <w:szCs w:val="20"/>
                <w:lang w:eastAsia="en-AU"/>
              </w:rPr>
              <w:t> </w:t>
            </w:r>
          </w:p>
        </w:tc>
        <w:tc>
          <w:tcPr>
            <w:tcW w:w="1080" w:type="dxa"/>
            <w:tcBorders>
              <w:top w:val="nil"/>
              <w:left w:val="nil"/>
              <w:bottom w:val="nil"/>
              <w:right w:val="nil"/>
            </w:tcBorders>
            <w:shd w:val="clear" w:color="auto" w:fill="F5E5F7"/>
            <w:vAlign w:val="center"/>
            <w:hideMark/>
          </w:tcPr>
          <w:p w14:paraId="48183C39"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p>
        </w:tc>
        <w:tc>
          <w:tcPr>
            <w:tcW w:w="1080" w:type="dxa"/>
            <w:tcBorders>
              <w:top w:val="nil"/>
              <w:left w:val="nil"/>
              <w:bottom w:val="nil"/>
              <w:right w:val="nil"/>
            </w:tcBorders>
            <w:shd w:val="clear" w:color="auto" w:fill="F5E5F7"/>
            <w:vAlign w:val="center"/>
            <w:hideMark/>
          </w:tcPr>
          <w:p w14:paraId="64CB3FE8"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p>
        </w:tc>
        <w:tc>
          <w:tcPr>
            <w:tcW w:w="1080" w:type="dxa"/>
            <w:tcBorders>
              <w:top w:val="nil"/>
              <w:left w:val="nil"/>
              <w:bottom w:val="nil"/>
              <w:right w:val="nil"/>
            </w:tcBorders>
            <w:shd w:val="clear" w:color="auto" w:fill="F5E5F7"/>
            <w:vAlign w:val="center"/>
            <w:hideMark/>
          </w:tcPr>
          <w:p w14:paraId="645F8204"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p>
        </w:tc>
        <w:tc>
          <w:tcPr>
            <w:tcW w:w="1080" w:type="dxa"/>
            <w:tcBorders>
              <w:top w:val="nil"/>
              <w:left w:val="nil"/>
              <w:bottom w:val="nil"/>
              <w:right w:val="nil"/>
            </w:tcBorders>
            <w:shd w:val="clear" w:color="auto" w:fill="F5E5F7"/>
            <w:vAlign w:val="center"/>
            <w:hideMark/>
          </w:tcPr>
          <w:p w14:paraId="3F0BD262"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p>
        </w:tc>
        <w:tc>
          <w:tcPr>
            <w:tcW w:w="1110" w:type="dxa"/>
            <w:tcBorders>
              <w:top w:val="nil"/>
              <w:left w:val="nil"/>
              <w:bottom w:val="nil"/>
              <w:right w:val="nil"/>
            </w:tcBorders>
            <w:shd w:val="clear" w:color="auto" w:fill="F5E5F7"/>
            <w:vAlign w:val="center"/>
            <w:hideMark/>
          </w:tcPr>
          <w:p w14:paraId="4392C7E7"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p>
        </w:tc>
        <w:tc>
          <w:tcPr>
            <w:tcW w:w="1080" w:type="dxa"/>
            <w:tcBorders>
              <w:top w:val="nil"/>
              <w:left w:val="nil"/>
              <w:bottom w:val="nil"/>
              <w:right w:val="nil"/>
            </w:tcBorders>
            <w:shd w:val="clear" w:color="auto" w:fill="F5E5F7"/>
            <w:vAlign w:val="center"/>
            <w:hideMark/>
          </w:tcPr>
          <w:p w14:paraId="710BBBA3"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p>
        </w:tc>
      </w:tr>
      <w:tr w:rsidR="00CF6AA7" w:rsidRPr="0056627C" w14:paraId="79E758DD" w14:textId="77777777" w:rsidTr="00252EAF">
        <w:trPr>
          <w:trHeight w:val="301"/>
        </w:trPr>
        <w:tc>
          <w:tcPr>
            <w:tcW w:w="2400" w:type="dxa"/>
            <w:tcBorders>
              <w:top w:val="nil"/>
              <w:left w:val="nil"/>
              <w:bottom w:val="nil"/>
              <w:right w:val="nil"/>
            </w:tcBorders>
            <w:shd w:val="clear" w:color="auto" w:fill="C0C0C0"/>
            <w:vAlign w:val="center"/>
            <w:hideMark/>
          </w:tcPr>
          <w:p w14:paraId="737665A7" w14:textId="77777777" w:rsidR="00CF6AA7" w:rsidRPr="0056627C" w:rsidRDefault="00381F7D" w:rsidP="00252EAF">
            <w:pPr>
              <w:spacing w:after="0"/>
              <w:textAlignment w:val="baseline"/>
              <w:rPr>
                <w:rFonts w:ascii="Times New Roman" w:eastAsia="Times New Roman" w:hAnsi="Times New Roman" w:cs="Times New Roman"/>
                <w:lang w:eastAsia="en-AU"/>
              </w:rPr>
            </w:pPr>
            <w:r>
              <w:rPr>
                <w:rFonts w:eastAsia="Times New Roman" w:cs="Arial"/>
                <w:color w:val="000000"/>
                <w:sz w:val="20"/>
                <w:szCs w:val="20"/>
                <w:lang w:eastAsia="en-AU"/>
              </w:rPr>
              <w:t xml:space="preserve">Additional </w:t>
            </w:r>
            <w:r w:rsidR="00CF6AA7" w:rsidRPr="0056627C">
              <w:rPr>
                <w:rFonts w:eastAsia="Times New Roman" w:cs="Arial"/>
                <w:color w:val="000000"/>
                <w:sz w:val="20"/>
                <w:szCs w:val="20"/>
                <w:lang w:eastAsia="en-AU"/>
              </w:rPr>
              <w:t>inflation </w:t>
            </w:r>
          </w:p>
        </w:tc>
        <w:tc>
          <w:tcPr>
            <w:tcW w:w="1080" w:type="dxa"/>
            <w:tcBorders>
              <w:top w:val="nil"/>
              <w:left w:val="nil"/>
              <w:bottom w:val="nil"/>
              <w:right w:val="nil"/>
            </w:tcBorders>
            <w:shd w:val="clear" w:color="auto" w:fill="C0C0C0"/>
            <w:vAlign w:val="center"/>
            <w:hideMark/>
          </w:tcPr>
          <w:p w14:paraId="2026B600"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3.8%</w:t>
            </w:r>
          </w:p>
        </w:tc>
        <w:tc>
          <w:tcPr>
            <w:tcW w:w="1080" w:type="dxa"/>
            <w:tcBorders>
              <w:top w:val="nil"/>
              <w:left w:val="nil"/>
              <w:bottom w:val="nil"/>
              <w:right w:val="nil"/>
            </w:tcBorders>
            <w:shd w:val="clear" w:color="auto" w:fill="C0C0C0"/>
            <w:vAlign w:val="center"/>
            <w:hideMark/>
          </w:tcPr>
          <w:p w14:paraId="0820DB12"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5.</w:t>
            </w:r>
            <w:r w:rsidR="00265F36">
              <w:rPr>
                <w:sz w:val="20"/>
                <w:szCs w:val="20"/>
              </w:rPr>
              <w:t>0</w:t>
            </w:r>
            <w:r w:rsidRPr="00FE6C11">
              <w:rPr>
                <w:sz w:val="20"/>
                <w:szCs w:val="20"/>
              </w:rPr>
              <w:t>%</w:t>
            </w:r>
          </w:p>
        </w:tc>
        <w:tc>
          <w:tcPr>
            <w:tcW w:w="1080" w:type="dxa"/>
            <w:tcBorders>
              <w:top w:val="nil"/>
              <w:left w:val="nil"/>
              <w:bottom w:val="nil"/>
              <w:right w:val="nil"/>
            </w:tcBorders>
            <w:shd w:val="clear" w:color="auto" w:fill="C0C0C0"/>
            <w:vAlign w:val="center"/>
            <w:hideMark/>
          </w:tcPr>
          <w:p w14:paraId="6F80F670"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5.</w:t>
            </w:r>
            <w:r w:rsidR="00265F36">
              <w:rPr>
                <w:sz w:val="20"/>
                <w:szCs w:val="20"/>
              </w:rPr>
              <w:t>7</w:t>
            </w:r>
            <w:r w:rsidRPr="00FE6C11">
              <w:rPr>
                <w:sz w:val="20"/>
                <w:szCs w:val="20"/>
              </w:rPr>
              <w:t>%</w:t>
            </w:r>
          </w:p>
        </w:tc>
        <w:tc>
          <w:tcPr>
            <w:tcW w:w="1080" w:type="dxa"/>
            <w:tcBorders>
              <w:top w:val="nil"/>
              <w:left w:val="nil"/>
              <w:bottom w:val="nil"/>
              <w:right w:val="nil"/>
            </w:tcBorders>
            <w:shd w:val="clear" w:color="auto" w:fill="C0C0C0"/>
            <w:vAlign w:val="center"/>
            <w:hideMark/>
          </w:tcPr>
          <w:p w14:paraId="417B09AB"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6.</w:t>
            </w:r>
            <w:r w:rsidR="00265F36">
              <w:rPr>
                <w:sz w:val="20"/>
                <w:szCs w:val="20"/>
              </w:rPr>
              <w:t>1</w:t>
            </w:r>
            <w:r w:rsidRPr="00FE6C11">
              <w:rPr>
                <w:sz w:val="20"/>
                <w:szCs w:val="20"/>
              </w:rPr>
              <w:t>%</w:t>
            </w:r>
          </w:p>
        </w:tc>
        <w:tc>
          <w:tcPr>
            <w:tcW w:w="1110" w:type="dxa"/>
            <w:tcBorders>
              <w:top w:val="nil"/>
              <w:left w:val="nil"/>
              <w:bottom w:val="nil"/>
              <w:right w:val="nil"/>
            </w:tcBorders>
            <w:shd w:val="clear" w:color="auto" w:fill="C0C0C0"/>
            <w:vAlign w:val="center"/>
            <w:hideMark/>
          </w:tcPr>
          <w:p w14:paraId="282EBD04"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5C766D">
              <w:rPr>
                <w:sz w:val="20"/>
                <w:szCs w:val="20"/>
              </w:rPr>
              <w:t>8.3</w:t>
            </w:r>
            <w:r w:rsidRPr="00FE6C11">
              <w:rPr>
                <w:sz w:val="20"/>
                <w:szCs w:val="20"/>
              </w:rPr>
              <w:t>%</w:t>
            </w:r>
          </w:p>
        </w:tc>
        <w:tc>
          <w:tcPr>
            <w:tcW w:w="1080" w:type="dxa"/>
            <w:tcBorders>
              <w:top w:val="nil"/>
              <w:left w:val="nil"/>
              <w:bottom w:val="nil"/>
              <w:right w:val="nil"/>
            </w:tcBorders>
            <w:shd w:val="clear" w:color="auto" w:fill="C0C0C0"/>
            <w:vAlign w:val="center"/>
            <w:hideMark/>
          </w:tcPr>
          <w:p w14:paraId="2415F867" w14:textId="77777777" w:rsidR="00CF6AA7" w:rsidRPr="00FE6C11" w:rsidRDefault="00265F36" w:rsidP="00252EAF">
            <w:pPr>
              <w:spacing w:after="0"/>
              <w:jc w:val="right"/>
              <w:textAlignment w:val="baseline"/>
              <w:rPr>
                <w:rFonts w:ascii="Times New Roman" w:eastAsia="Times New Roman" w:hAnsi="Times New Roman" w:cs="Times New Roman"/>
                <w:sz w:val="20"/>
                <w:szCs w:val="20"/>
                <w:lang w:eastAsia="en-AU"/>
              </w:rPr>
            </w:pPr>
            <w:r>
              <w:rPr>
                <w:sz w:val="20"/>
                <w:szCs w:val="20"/>
              </w:rPr>
              <w:t>4</w:t>
            </w:r>
            <w:r w:rsidR="00CF6AA7" w:rsidRPr="00FE6C11">
              <w:rPr>
                <w:sz w:val="20"/>
                <w:szCs w:val="20"/>
              </w:rPr>
              <w:t>.</w:t>
            </w:r>
            <w:r>
              <w:rPr>
                <w:sz w:val="20"/>
                <w:szCs w:val="20"/>
              </w:rPr>
              <w:t>9</w:t>
            </w:r>
            <w:r w:rsidR="00CF6AA7" w:rsidRPr="00FE6C11">
              <w:rPr>
                <w:sz w:val="20"/>
                <w:szCs w:val="20"/>
              </w:rPr>
              <w:t>%</w:t>
            </w:r>
          </w:p>
        </w:tc>
      </w:tr>
      <w:tr w:rsidR="00CF6AA7" w:rsidRPr="0056627C" w14:paraId="7B57449E" w14:textId="77777777" w:rsidTr="00252EAF">
        <w:trPr>
          <w:trHeight w:val="301"/>
        </w:trPr>
        <w:tc>
          <w:tcPr>
            <w:tcW w:w="2400" w:type="dxa"/>
            <w:tcBorders>
              <w:top w:val="nil"/>
              <w:left w:val="nil"/>
              <w:bottom w:val="nil"/>
              <w:right w:val="nil"/>
            </w:tcBorders>
            <w:shd w:val="clear" w:color="auto" w:fill="auto"/>
            <w:vAlign w:val="center"/>
            <w:hideMark/>
          </w:tcPr>
          <w:p w14:paraId="3B490122" w14:textId="77777777" w:rsidR="00CF6AA7" w:rsidRPr="0056627C" w:rsidRDefault="00CF6AA7" w:rsidP="00252EAF">
            <w:pPr>
              <w:spacing w:after="0"/>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Model specification risk </w:t>
            </w:r>
          </w:p>
        </w:tc>
        <w:tc>
          <w:tcPr>
            <w:tcW w:w="1080" w:type="dxa"/>
            <w:tcBorders>
              <w:top w:val="nil"/>
              <w:left w:val="nil"/>
              <w:bottom w:val="nil"/>
              <w:right w:val="nil"/>
            </w:tcBorders>
            <w:shd w:val="clear" w:color="auto" w:fill="auto"/>
            <w:vAlign w:val="center"/>
            <w:hideMark/>
          </w:tcPr>
          <w:p w14:paraId="7ABD5016"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1.2%</w:t>
            </w:r>
          </w:p>
        </w:tc>
        <w:tc>
          <w:tcPr>
            <w:tcW w:w="1080" w:type="dxa"/>
            <w:tcBorders>
              <w:top w:val="nil"/>
              <w:left w:val="nil"/>
              <w:bottom w:val="nil"/>
              <w:right w:val="nil"/>
            </w:tcBorders>
            <w:shd w:val="clear" w:color="auto" w:fill="auto"/>
            <w:vAlign w:val="center"/>
            <w:hideMark/>
          </w:tcPr>
          <w:p w14:paraId="4BB65AEC"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1.</w:t>
            </w:r>
            <w:r w:rsidR="00265F36">
              <w:rPr>
                <w:sz w:val="20"/>
                <w:szCs w:val="20"/>
              </w:rPr>
              <w:t>7</w:t>
            </w:r>
            <w:r w:rsidRPr="00FE6C11">
              <w:rPr>
                <w:sz w:val="20"/>
                <w:szCs w:val="20"/>
              </w:rPr>
              <w:t>%</w:t>
            </w:r>
          </w:p>
        </w:tc>
        <w:tc>
          <w:tcPr>
            <w:tcW w:w="1080" w:type="dxa"/>
            <w:tcBorders>
              <w:top w:val="nil"/>
              <w:left w:val="nil"/>
              <w:bottom w:val="nil"/>
              <w:right w:val="nil"/>
            </w:tcBorders>
            <w:shd w:val="clear" w:color="auto" w:fill="auto"/>
            <w:vAlign w:val="center"/>
            <w:hideMark/>
          </w:tcPr>
          <w:p w14:paraId="2DCADE30"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2.</w:t>
            </w:r>
            <w:r w:rsidR="00265F36">
              <w:rPr>
                <w:sz w:val="20"/>
                <w:szCs w:val="20"/>
              </w:rPr>
              <w:t>1</w:t>
            </w:r>
            <w:r w:rsidRPr="00FE6C11">
              <w:rPr>
                <w:sz w:val="20"/>
                <w:szCs w:val="20"/>
              </w:rPr>
              <w:t>%</w:t>
            </w:r>
          </w:p>
        </w:tc>
        <w:tc>
          <w:tcPr>
            <w:tcW w:w="1080" w:type="dxa"/>
            <w:tcBorders>
              <w:top w:val="nil"/>
              <w:left w:val="nil"/>
              <w:bottom w:val="nil"/>
              <w:right w:val="nil"/>
            </w:tcBorders>
            <w:shd w:val="clear" w:color="auto" w:fill="auto"/>
            <w:vAlign w:val="center"/>
            <w:hideMark/>
          </w:tcPr>
          <w:p w14:paraId="5ABA91BB"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2.</w:t>
            </w:r>
            <w:r w:rsidR="00265F36">
              <w:rPr>
                <w:sz w:val="20"/>
                <w:szCs w:val="20"/>
              </w:rPr>
              <w:t>4</w:t>
            </w:r>
            <w:r w:rsidRPr="00FE6C11">
              <w:rPr>
                <w:sz w:val="20"/>
                <w:szCs w:val="20"/>
              </w:rPr>
              <w:t>%</w:t>
            </w:r>
          </w:p>
        </w:tc>
        <w:tc>
          <w:tcPr>
            <w:tcW w:w="1110" w:type="dxa"/>
            <w:tcBorders>
              <w:top w:val="nil"/>
              <w:left w:val="nil"/>
              <w:bottom w:val="nil"/>
              <w:right w:val="nil"/>
            </w:tcBorders>
            <w:shd w:val="clear" w:color="auto" w:fill="auto"/>
            <w:vAlign w:val="center"/>
            <w:hideMark/>
          </w:tcPr>
          <w:p w14:paraId="427598E9"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5C766D">
              <w:rPr>
                <w:sz w:val="20"/>
                <w:szCs w:val="20"/>
              </w:rPr>
              <w:t>4.</w:t>
            </w:r>
            <w:r w:rsidR="00265F36">
              <w:rPr>
                <w:sz w:val="20"/>
                <w:szCs w:val="20"/>
              </w:rPr>
              <w:t>3</w:t>
            </w:r>
            <w:r w:rsidRPr="00FE6C11">
              <w:rPr>
                <w:sz w:val="20"/>
                <w:szCs w:val="20"/>
              </w:rPr>
              <w:t>%</w:t>
            </w:r>
          </w:p>
        </w:tc>
        <w:tc>
          <w:tcPr>
            <w:tcW w:w="1080" w:type="dxa"/>
            <w:tcBorders>
              <w:top w:val="nil"/>
              <w:left w:val="nil"/>
              <w:bottom w:val="nil"/>
              <w:right w:val="nil"/>
            </w:tcBorders>
            <w:shd w:val="clear" w:color="auto" w:fill="auto"/>
            <w:vAlign w:val="center"/>
            <w:hideMark/>
          </w:tcPr>
          <w:p w14:paraId="347804A7"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1.</w:t>
            </w:r>
            <w:r w:rsidR="00265F36">
              <w:rPr>
                <w:sz w:val="20"/>
                <w:szCs w:val="20"/>
              </w:rPr>
              <w:t>7</w:t>
            </w:r>
            <w:r w:rsidRPr="00FE6C11">
              <w:rPr>
                <w:sz w:val="20"/>
                <w:szCs w:val="20"/>
              </w:rPr>
              <w:t>%</w:t>
            </w:r>
          </w:p>
        </w:tc>
      </w:tr>
      <w:tr w:rsidR="00CF6AA7" w:rsidRPr="0056627C" w14:paraId="283FCC4B" w14:textId="77777777" w:rsidTr="00252EAF">
        <w:trPr>
          <w:trHeight w:val="301"/>
        </w:trPr>
        <w:tc>
          <w:tcPr>
            <w:tcW w:w="2400" w:type="dxa"/>
            <w:tcBorders>
              <w:top w:val="nil"/>
              <w:left w:val="nil"/>
              <w:bottom w:val="nil"/>
              <w:right w:val="nil"/>
            </w:tcBorders>
            <w:shd w:val="clear" w:color="auto" w:fill="C0C0C0"/>
            <w:vAlign w:val="center"/>
            <w:hideMark/>
          </w:tcPr>
          <w:p w14:paraId="5DF06C50" w14:textId="77777777" w:rsidR="00CF6AA7" w:rsidRPr="0056627C" w:rsidRDefault="00CF6AA7" w:rsidP="00252EAF">
            <w:pPr>
              <w:spacing w:after="0"/>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Normal Inflation </w:t>
            </w:r>
          </w:p>
        </w:tc>
        <w:tc>
          <w:tcPr>
            <w:tcW w:w="1080" w:type="dxa"/>
            <w:tcBorders>
              <w:top w:val="nil"/>
              <w:left w:val="nil"/>
              <w:bottom w:val="nil"/>
              <w:right w:val="nil"/>
            </w:tcBorders>
            <w:shd w:val="clear" w:color="auto" w:fill="C0C0C0"/>
            <w:vAlign w:val="center"/>
            <w:hideMark/>
          </w:tcPr>
          <w:p w14:paraId="6B783045"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w:t>
            </w:r>
            <w:r w:rsidR="00265F36">
              <w:rPr>
                <w:sz w:val="20"/>
                <w:szCs w:val="20"/>
              </w:rPr>
              <w:t>1</w:t>
            </w:r>
            <w:r w:rsidRPr="00FE6C11">
              <w:rPr>
                <w:sz w:val="20"/>
                <w:szCs w:val="20"/>
              </w:rPr>
              <w:t>%</w:t>
            </w:r>
          </w:p>
        </w:tc>
        <w:tc>
          <w:tcPr>
            <w:tcW w:w="1080" w:type="dxa"/>
            <w:tcBorders>
              <w:top w:val="nil"/>
              <w:left w:val="nil"/>
              <w:bottom w:val="nil"/>
              <w:right w:val="nil"/>
            </w:tcBorders>
            <w:shd w:val="clear" w:color="auto" w:fill="C0C0C0"/>
            <w:vAlign w:val="center"/>
            <w:hideMark/>
          </w:tcPr>
          <w:p w14:paraId="7CE0C6E4"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0.3%</w:t>
            </w:r>
          </w:p>
        </w:tc>
        <w:tc>
          <w:tcPr>
            <w:tcW w:w="1080" w:type="dxa"/>
            <w:tcBorders>
              <w:top w:val="nil"/>
              <w:left w:val="nil"/>
              <w:bottom w:val="nil"/>
              <w:right w:val="nil"/>
            </w:tcBorders>
            <w:shd w:val="clear" w:color="auto" w:fill="C0C0C0"/>
            <w:vAlign w:val="center"/>
            <w:hideMark/>
          </w:tcPr>
          <w:p w14:paraId="563B1489"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w:t>
            </w:r>
            <w:r w:rsidR="00265F36">
              <w:rPr>
                <w:sz w:val="20"/>
                <w:szCs w:val="20"/>
              </w:rPr>
              <w:t>4</w:t>
            </w:r>
            <w:r w:rsidRPr="00FE6C11">
              <w:rPr>
                <w:sz w:val="20"/>
                <w:szCs w:val="20"/>
              </w:rPr>
              <w:t>%</w:t>
            </w:r>
          </w:p>
        </w:tc>
        <w:tc>
          <w:tcPr>
            <w:tcW w:w="1080" w:type="dxa"/>
            <w:tcBorders>
              <w:top w:val="nil"/>
              <w:left w:val="nil"/>
              <w:bottom w:val="nil"/>
              <w:right w:val="nil"/>
            </w:tcBorders>
            <w:shd w:val="clear" w:color="auto" w:fill="C0C0C0"/>
            <w:vAlign w:val="center"/>
            <w:hideMark/>
          </w:tcPr>
          <w:p w14:paraId="338FA16A"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0.4%</w:t>
            </w:r>
          </w:p>
        </w:tc>
        <w:tc>
          <w:tcPr>
            <w:tcW w:w="1110" w:type="dxa"/>
            <w:tcBorders>
              <w:top w:val="nil"/>
              <w:left w:val="nil"/>
              <w:bottom w:val="nil"/>
              <w:right w:val="nil"/>
            </w:tcBorders>
            <w:shd w:val="clear" w:color="auto" w:fill="C0C0C0"/>
            <w:vAlign w:val="center"/>
            <w:hideMark/>
          </w:tcPr>
          <w:p w14:paraId="28302A96"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w:t>
            </w:r>
            <w:r w:rsidR="00265F36">
              <w:rPr>
                <w:sz w:val="20"/>
                <w:szCs w:val="20"/>
              </w:rPr>
              <w:t>5</w:t>
            </w:r>
            <w:r w:rsidRPr="00FE6C11">
              <w:rPr>
                <w:sz w:val="20"/>
                <w:szCs w:val="20"/>
              </w:rPr>
              <w:t>%</w:t>
            </w:r>
          </w:p>
        </w:tc>
        <w:tc>
          <w:tcPr>
            <w:tcW w:w="1080" w:type="dxa"/>
            <w:tcBorders>
              <w:top w:val="nil"/>
              <w:left w:val="nil"/>
              <w:bottom w:val="nil"/>
              <w:right w:val="nil"/>
            </w:tcBorders>
            <w:shd w:val="clear" w:color="auto" w:fill="C0C0C0"/>
            <w:vAlign w:val="center"/>
            <w:hideMark/>
          </w:tcPr>
          <w:p w14:paraId="5ADE967B"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0.3%</w:t>
            </w:r>
          </w:p>
        </w:tc>
      </w:tr>
      <w:tr w:rsidR="00CF6AA7" w:rsidRPr="0056627C" w14:paraId="26CFA480" w14:textId="77777777" w:rsidTr="00252EAF">
        <w:trPr>
          <w:trHeight w:val="301"/>
        </w:trPr>
        <w:tc>
          <w:tcPr>
            <w:tcW w:w="2400" w:type="dxa"/>
            <w:tcBorders>
              <w:top w:val="nil"/>
              <w:left w:val="nil"/>
              <w:bottom w:val="nil"/>
              <w:right w:val="nil"/>
            </w:tcBorders>
            <w:shd w:val="clear" w:color="auto" w:fill="auto"/>
            <w:vAlign w:val="center"/>
            <w:hideMark/>
          </w:tcPr>
          <w:p w14:paraId="328D2A65" w14:textId="77777777" w:rsidR="00CF6AA7" w:rsidRPr="0056627C" w:rsidRDefault="00CF6AA7" w:rsidP="00252EAF">
            <w:pPr>
              <w:spacing w:after="0"/>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New entrants </w:t>
            </w:r>
          </w:p>
        </w:tc>
        <w:tc>
          <w:tcPr>
            <w:tcW w:w="1080" w:type="dxa"/>
            <w:tcBorders>
              <w:top w:val="nil"/>
              <w:left w:val="nil"/>
              <w:bottom w:val="nil"/>
              <w:right w:val="nil"/>
            </w:tcBorders>
            <w:shd w:val="clear" w:color="auto" w:fill="auto"/>
            <w:vAlign w:val="center"/>
            <w:hideMark/>
          </w:tcPr>
          <w:p w14:paraId="6CA033AA"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w:t>
            </w:r>
            <w:r w:rsidR="00265F36">
              <w:rPr>
                <w:sz w:val="20"/>
                <w:szCs w:val="20"/>
              </w:rPr>
              <w:t>1</w:t>
            </w:r>
            <w:r w:rsidRPr="00FE6C11">
              <w:rPr>
                <w:sz w:val="20"/>
                <w:szCs w:val="20"/>
              </w:rPr>
              <w:t>%</w:t>
            </w:r>
          </w:p>
        </w:tc>
        <w:tc>
          <w:tcPr>
            <w:tcW w:w="1080" w:type="dxa"/>
            <w:tcBorders>
              <w:top w:val="nil"/>
              <w:left w:val="nil"/>
              <w:bottom w:val="nil"/>
              <w:right w:val="nil"/>
            </w:tcBorders>
            <w:shd w:val="clear" w:color="auto" w:fill="auto"/>
            <w:vAlign w:val="center"/>
            <w:hideMark/>
          </w:tcPr>
          <w:p w14:paraId="58EAEBD4"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w:t>
            </w:r>
            <w:r w:rsidR="00265F36">
              <w:rPr>
                <w:sz w:val="20"/>
                <w:szCs w:val="20"/>
              </w:rPr>
              <w:t>1</w:t>
            </w:r>
            <w:r w:rsidRPr="00FE6C11">
              <w:rPr>
                <w:sz w:val="20"/>
                <w:szCs w:val="20"/>
              </w:rPr>
              <w:t>%</w:t>
            </w:r>
          </w:p>
        </w:tc>
        <w:tc>
          <w:tcPr>
            <w:tcW w:w="1080" w:type="dxa"/>
            <w:tcBorders>
              <w:top w:val="nil"/>
              <w:left w:val="nil"/>
              <w:bottom w:val="nil"/>
              <w:right w:val="nil"/>
            </w:tcBorders>
            <w:shd w:val="clear" w:color="auto" w:fill="auto"/>
            <w:vAlign w:val="center"/>
            <w:hideMark/>
          </w:tcPr>
          <w:p w14:paraId="47661395"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0.1%</w:t>
            </w:r>
          </w:p>
        </w:tc>
        <w:tc>
          <w:tcPr>
            <w:tcW w:w="1080" w:type="dxa"/>
            <w:tcBorders>
              <w:top w:val="nil"/>
              <w:left w:val="nil"/>
              <w:bottom w:val="nil"/>
              <w:right w:val="nil"/>
            </w:tcBorders>
            <w:shd w:val="clear" w:color="auto" w:fill="auto"/>
            <w:vAlign w:val="center"/>
            <w:hideMark/>
          </w:tcPr>
          <w:p w14:paraId="320A26BA"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0.2%</w:t>
            </w:r>
          </w:p>
        </w:tc>
        <w:tc>
          <w:tcPr>
            <w:tcW w:w="1110" w:type="dxa"/>
            <w:tcBorders>
              <w:top w:val="nil"/>
              <w:left w:val="nil"/>
              <w:bottom w:val="nil"/>
              <w:right w:val="nil"/>
            </w:tcBorders>
            <w:shd w:val="clear" w:color="auto" w:fill="auto"/>
            <w:vAlign w:val="center"/>
            <w:hideMark/>
          </w:tcPr>
          <w:p w14:paraId="4A7C811D"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1.</w:t>
            </w:r>
            <w:r w:rsidR="00265F36">
              <w:rPr>
                <w:sz w:val="20"/>
                <w:szCs w:val="20"/>
              </w:rPr>
              <w:t>5</w:t>
            </w:r>
            <w:r w:rsidRPr="00FE6C11">
              <w:rPr>
                <w:sz w:val="20"/>
                <w:szCs w:val="20"/>
              </w:rPr>
              <w:t>%</w:t>
            </w:r>
          </w:p>
        </w:tc>
        <w:tc>
          <w:tcPr>
            <w:tcW w:w="1080" w:type="dxa"/>
            <w:tcBorders>
              <w:top w:val="nil"/>
              <w:left w:val="nil"/>
              <w:bottom w:val="nil"/>
              <w:right w:val="nil"/>
            </w:tcBorders>
            <w:shd w:val="clear" w:color="auto" w:fill="auto"/>
            <w:vAlign w:val="center"/>
            <w:hideMark/>
          </w:tcPr>
          <w:p w14:paraId="257223AF"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0.1%</w:t>
            </w:r>
          </w:p>
        </w:tc>
      </w:tr>
      <w:tr w:rsidR="00CF6AA7" w:rsidRPr="0056627C" w14:paraId="36BE4B63" w14:textId="77777777" w:rsidTr="00252EAF">
        <w:trPr>
          <w:trHeight w:val="301"/>
        </w:trPr>
        <w:tc>
          <w:tcPr>
            <w:tcW w:w="2400" w:type="dxa"/>
            <w:tcBorders>
              <w:top w:val="nil"/>
              <w:left w:val="nil"/>
              <w:bottom w:val="single" w:sz="4" w:space="0" w:color="auto"/>
              <w:right w:val="nil"/>
            </w:tcBorders>
            <w:shd w:val="clear" w:color="auto" w:fill="C0C0C0"/>
            <w:vAlign w:val="center"/>
            <w:hideMark/>
          </w:tcPr>
          <w:p w14:paraId="06E6979F" w14:textId="77777777" w:rsidR="00CF6AA7" w:rsidRPr="0056627C" w:rsidRDefault="00CF6AA7" w:rsidP="00252EAF">
            <w:pPr>
              <w:spacing w:after="0"/>
              <w:textAlignment w:val="baseline"/>
              <w:rPr>
                <w:rFonts w:ascii="Times New Roman" w:eastAsia="Times New Roman" w:hAnsi="Times New Roman" w:cs="Times New Roman"/>
                <w:lang w:eastAsia="en-AU"/>
              </w:rPr>
            </w:pPr>
            <w:r w:rsidRPr="0056627C">
              <w:rPr>
                <w:rFonts w:eastAsia="Times New Roman" w:cs="Arial"/>
                <w:color w:val="000000"/>
                <w:sz w:val="20"/>
                <w:szCs w:val="20"/>
                <w:lang w:eastAsia="en-AU"/>
              </w:rPr>
              <w:t>Utilisation </w:t>
            </w:r>
          </w:p>
        </w:tc>
        <w:tc>
          <w:tcPr>
            <w:tcW w:w="1080" w:type="dxa"/>
            <w:tcBorders>
              <w:top w:val="nil"/>
              <w:left w:val="nil"/>
              <w:bottom w:val="single" w:sz="4" w:space="0" w:color="auto"/>
              <w:right w:val="nil"/>
            </w:tcBorders>
            <w:shd w:val="clear" w:color="auto" w:fill="C0C0C0"/>
            <w:vAlign w:val="center"/>
            <w:hideMark/>
          </w:tcPr>
          <w:p w14:paraId="57536F6C"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w:t>
            </w:r>
            <w:r w:rsidR="00265F36">
              <w:rPr>
                <w:sz w:val="20"/>
                <w:szCs w:val="20"/>
              </w:rPr>
              <w:t>3</w:t>
            </w:r>
            <w:r w:rsidRPr="00FE6C11">
              <w:rPr>
                <w:sz w:val="20"/>
                <w:szCs w:val="20"/>
              </w:rPr>
              <w:t>%</w:t>
            </w:r>
          </w:p>
        </w:tc>
        <w:tc>
          <w:tcPr>
            <w:tcW w:w="1080" w:type="dxa"/>
            <w:tcBorders>
              <w:top w:val="nil"/>
              <w:left w:val="nil"/>
              <w:bottom w:val="single" w:sz="4" w:space="0" w:color="auto"/>
              <w:right w:val="nil"/>
            </w:tcBorders>
            <w:shd w:val="clear" w:color="auto" w:fill="C0C0C0"/>
            <w:vAlign w:val="center"/>
            <w:hideMark/>
          </w:tcPr>
          <w:p w14:paraId="36E67912"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-0.4%</w:t>
            </w:r>
          </w:p>
        </w:tc>
        <w:tc>
          <w:tcPr>
            <w:tcW w:w="1080" w:type="dxa"/>
            <w:tcBorders>
              <w:top w:val="nil"/>
              <w:left w:val="nil"/>
              <w:bottom w:val="single" w:sz="4" w:space="0" w:color="auto"/>
              <w:right w:val="nil"/>
            </w:tcBorders>
            <w:shd w:val="clear" w:color="auto" w:fill="C0C0C0"/>
            <w:vAlign w:val="center"/>
            <w:hideMark/>
          </w:tcPr>
          <w:p w14:paraId="42BF8486"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w:t>
            </w:r>
            <w:r w:rsidR="00265F36">
              <w:rPr>
                <w:sz w:val="20"/>
                <w:szCs w:val="20"/>
              </w:rPr>
              <w:t>5</w:t>
            </w:r>
            <w:r w:rsidRPr="00FE6C11">
              <w:rPr>
                <w:sz w:val="20"/>
                <w:szCs w:val="20"/>
              </w:rPr>
              <w:t>%</w:t>
            </w:r>
          </w:p>
        </w:tc>
        <w:tc>
          <w:tcPr>
            <w:tcW w:w="1080" w:type="dxa"/>
            <w:tcBorders>
              <w:top w:val="nil"/>
              <w:left w:val="nil"/>
              <w:bottom w:val="single" w:sz="4" w:space="0" w:color="auto"/>
              <w:right w:val="nil"/>
            </w:tcBorders>
            <w:shd w:val="clear" w:color="auto" w:fill="C0C0C0"/>
            <w:vAlign w:val="center"/>
            <w:hideMark/>
          </w:tcPr>
          <w:p w14:paraId="484BF27A"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w:t>
            </w:r>
            <w:r w:rsidR="00265F36">
              <w:rPr>
                <w:sz w:val="20"/>
                <w:szCs w:val="20"/>
              </w:rPr>
              <w:t>5</w:t>
            </w:r>
            <w:r w:rsidRPr="00FE6C11">
              <w:rPr>
                <w:sz w:val="20"/>
                <w:szCs w:val="20"/>
              </w:rPr>
              <w:t>%</w:t>
            </w:r>
          </w:p>
        </w:tc>
        <w:tc>
          <w:tcPr>
            <w:tcW w:w="1110" w:type="dxa"/>
            <w:tcBorders>
              <w:top w:val="nil"/>
              <w:left w:val="nil"/>
              <w:bottom w:val="single" w:sz="4" w:space="0" w:color="auto"/>
              <w:right w:val="nil"/>
            </w:tcBorders>
            <w:shd w:val="clear" w:color="auto" w:fill="C0C0C0"/>
            <w:vAlign w:val="center"/>
            <w:hideMark/>
          </w:tcPr>
          <w:p w14:paraId="24A21E72"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w:t>
            </w:r>
            <w:r w:rsidR="00265F36">
              <w:rPr>
                <w:sz w:val="20"/>
                <w:szCs w:val="20"/>
              </w:rPr>
              <w:t>5</w:t>
            </w:r>
            <w:r w:rsidRPr="00FE6C11">
              <w:rPr>
                <w:sz w:val="20"/>
                <w:szCs w:val="20"/>
              </w:rPr>
              <w:t>%</w:t>
            </w:r>
          </w:p>
        </w:tc>
        <w:tc>
          <w:tcPr>
            <w:tcW w:w="1080" w:type="dxa"/>
            <w:tcBorders>
              <w:top w:val="nil"/>
              <w:left w:val="nil"/>
              <w:bottom w:val="single" w:sz="4" w:space="0" w:color="auto"/>
              <w:right w:val="nil"/>
            </w:tcBorders>
            <w:shd w:val="clear" w:color="auto" w:fill="C0C0C0"/>
            <w:vAlign w:val="center"/>
            <w:hideMark/>
          </w:tcPr>
          <w:p w14:paraId="7A76B302" w14:textId="77777777" w:rsidR="00CF6AA7" w:rsidRPr="00FE6C11" w:rsidRDefault="00CF6AA7" w:rsidP="00252EAF">
            <w:pPr>
              <w:spacing w:after="0"/>
              <w:jc w:val="right"/>
              <w:textAlignment w:val="baseline"/>
              <w:rPr>
                <w:rFonts w:ascii="Times New Roman" w:eastAsia="Times New Roman" w:hAnsi="Times New Roman" w:cs="Times New Roman"/>
                <w:sz w:val="20"/>
                <w:szCs w:val="20"/>
                <w:lang w:eastAsia="en-AU"/>
              </w:rPr>
            </w:pPr>
            <w:r w:rsidRPr="00FE6C11">
              <w:rPr>
                <w:sz w:val="20"/>
                <w:szCs w:val="20"/>
              </w:rPr>
              <w:t>-0.</w:t>
            </w:r>
            <w:r w:rsidR="00265F36">
              <w:rPr>
                <w:sz w:val="20"/>
                <w:szCs w:val="20"/>
              </w:rPr>
              <w:t>4</w:t>
            </w:r>
            <w:r w:rsidRPr="00FE6C11">
              <w:rPr>
                <w:sz w:val="20"/>
                <w:szCs w:val="20"/>
              </w:rPr>
              <w:t>%</w:t>
            </w:r>
          </w:p>
        </w:tc>
      </w:tr>
    </w:tbl>
    <w:p w14:paraId="3D5EF1F4" w14:textId="77777777" w:rsidR="006A4ADD" w:rsidRDefault="000412D1" w:rsidP="00F830E6">
      <w:pPr>
        <w:pStyle w:val="FSRnormal"/>
        <w:rPr>
          <w:rFonts w:eastAsiaTheme="minorHAnsi"/>
          <w:b/>
          <w:color w:val="6A2875"/>
          <w:sz w:val="36"/>
          <w:szCs w:val="44"/>
        </w:rPr>
      </w:pPr>
      <w:r w:rsidRPr="00D71E73">
        <w:rPr>
          <w:rFonts w:eastAsia="Times New Roman" w:cs="Arial"/>
          <w:szCs w:val="22"/>
          <w:lang w:eastAsia="en-AU"/>
        </w:rPr>
        <w:t>The total risk is not the sum of the individual risks, because most of the key risks are assumed to be independent of each other. The analysis in this report suggests some negative correlation between additional inflation and utilisation risk, explaining the negative incremental effect of the addition of utilisation to the above table.</w:t>
      </w:r>
      <w:r w:rsidR="00CF6AA7" w:rsidRPr="00D71E73">
        <w:rPr>
          <w:rFonts w:eastAsia="Times New Roman" w:cs="Arial"/>
          <w:szCs w:val="22"/>
          <w:lang w:eastAsia="en-AU"/>
        </w:rPr>
        <w:t> </w:t>
      </w:r>
      <w:r w:rsidR="00CF6AA7" w:rsidRPr="00D71E73">
        <w:rPr>
          <w:szCs w:val="22"/>
        </w:rPr>
        <w:t>The</w:t>
      </w:r>
      <w:r w:rsidRPr="00D71E73">
        <w:rPr>
          <w:szCs w:val="22"/>
        </w:rPr>
        <w:t>se</w:t>
      </w:r>
      <w:r w:rsidR="00CF6AA7" w:rsidRPr="00D71E73">
        <w:rPr>
          <w:szCs w:val="22"/>
        </w:rPr>
        <w:t xml:space="preserve"> results highlight that over 90% of the </w:t>
      </w:r>
      <w:r w:rsidR="004A7D76" w:rsidRPr="00D71E73">
        <w:rPr>
          <w:szCs w:val="22"/>
        </w:rPr>
        <w:t xml:space="preserve">aggregate </w:t>
      </w:r>
      <w:r w:rsidR="00CF6AA7" w:rsidRPr="00D71E73">
        <w:rPr>
          <w:szCs w:val="22"/>
        </w:rPr>
        <w:t xml:space="preserve">risk can be captured by the largest three risks </w:t>
      </w:r>
      <w:r w:rsidR="006416C5">
        <w:rPr>
          <w:szCs w:val="22"/>
        </w:rPr>
        <w:t xml:space="preserve">in each </w:t>
      </w:r>
      <w:r w:rsidR="00CF6AA7" w:rsidRPr="00D71E73">
        <w:rPr>
          <w:szCs w:val="22"/>
        </w:rPr>
        <w:t>projection year.</w:t>
      </w:r>
    </w:p>
    <w:p w14:paraId="7E74E113" w14:textId="77777777" w:rsidR="00CF6AA7" w:rsidRPr="00263BB5" w:rsidRDefault="00CF6AA7" w:rsidP="005D06CE">
      <w:pPr>
        <w:pStyle w:val="Heading3"/>
      </w:pPr>
      <w:bookmarkStart w:id="272" w:name="_Toc118460212"/>
      <w:r>
        <w:t xml:space="preserve">Historic AFSR </w:t>
      </w:r>
      <w:r w:rsidR="00251501">
        <w:t>p</w:t>
      </w:r>
      <w:r>
        <w:t>rojections</w:t>
      </w:r>
      <w:bookmarkEnd w:id="272"/>
    </w:p>
    <w:p w14:paraId="64EB8206" w14:textId="77777777" w:rsidR="0020727D" w:rsidRPr="004C10A2" w:rsidRDefault="006416C5" w:rsidP="00D72D94">
      <w:pPr>
        <w:pStyle w:val="FSRnormal"/>
      </w:pPr>
      <w:r>
        <w:t>Uncertainty will always be a feature of</w:t>
      </w:r>
      <w:r w:rsidR="0020727D" w:rsidRPr="004C10A2">
        <w:t xml:space="preserve"> the AFSR </w:t>
      </w:r>
      <w:r>
        <w:t>projections</w:t>
      </w:r>
      <w:r w:rsidR="0020727D" w:rsidRPr="004C10A2">
        <w:t>. With each update of the AFSR, projection assumptions balance both the emerging experience (considering the significance and duration of the trends), and future expectations which continue to change over time. As a result, future projections can look quite different to historic experience. Updates to assumptions consider both the significant growth in the Scheme over the past six years and the relative immaturity of the Scheme. As more and more data become</w:t>
      </w:r>
      <w:r w:rsidR="00B1512B">
        <w:t>s</w:t>
      </w:r>
      <w:r w:rsidR="0020727D" w:rsidRPr="004C10A2">
        <w:t xml:space="preserve"> available and as the Scheme continues to evolve,</w:t>
      </w:r>
      <w:r>
        <w:t xml:space="preserve"> so too does</w:t>
      </w:r>
      <w:r w:rsidR="0020727D" w:rsidRPr="004C10A2">
        <w:t xml:space="preserve"> the projection of Scheme </w:t>
      </w:r>
      <w:r w:rsidR="0020727D">
        <w:t>expenses</w:t>
      </w:r>
      <w:r w:rsidR="0020727D" w:rsidRPr="004C10A2">
        <w:t>.</w:t>
      </w:r>
    </w:p>
    <w:p w14:paraId="39E7FE37" w14:textId="77777777" w:rsidR="0020727D" w:rsidRPr="004C10A2" w:rsidRDefault="0020727D" w:rsidP="00D72D94">
      <w:pPr>
        <w:pStyle w:val="FSRnormal"/>
      </w:pPr>
      <w:r w:rsidRPr="004C10A2">
        <w:t xml:space="preserve">Consequently, the projection has changed over time reflecting the emerging Scheme experience. The changes in estimates of </w:t>
      </w:r>
      <w:r>
        <w:t>Scheme expenses</w:t>
      </w:r>
      <w:r w:rsidRPr="004C10A2">
        <w:t xml:space="preserve"> as well as participant numbers and average payments per participants are set out below. The </w:t>
      </w:r>
      <w:r>
        <w:t>Scheme expense</w:t>
      </w:r>
      <w:r w:rsidRPr="004C10A2">
        <w:t xml:space="preserve"> estimates </w:t>
      </w:r>
      <w:r w:rsidRPr="00FA751D">
        <w:t>by the Productivity Commission in 2017 (PC estimates) are also included for comparison.</w:t>
      </w:r>
    </w:p>
    <w:p w14:paraId="14105C40" w14:textId="77777777" w:rsidR="001A21FC" w:rsidRDefault="001A21FC">
      <w:pPr>
        <w:spacing w:after="160" w:line="259" w:lineRule="auto"/>
        <w:rPr>
          <w:rFonts w:eastAsiaTheme="minorHAnsi"/>
          <w:b/>
          <w:bCs/>
          <w:szCs w:val="18"/>
          <w:lang w:eastAsia="en-US"/>
        </w:rPr>
      </w:pPr>
      <w:r>
        <w:br w:type="page"/>
      </w:r>
    </w:p>
    <w:p w14:paraId="52AFB5AD" w14:textId="77777777" w:rsidR="00CF6AA7" w:rsidRPr="003E1AAD" w:rsidRDefault="00F11E61" w:rsidP="00CF6AA7">
      <w:pPr>
        <w:pStyle w:val="Tables"/>
      </w:pPr>
      <w:r w:rsidRPr="00FA751D">
        <w:lastRenderedPageBreak/>
        <w:t>T</w:t>
      </w:r>
      <w:r w:rsidR="00CF6AA7" w:rsidRPr="00FA751D">
        <w:t xml:space="preserve">able </w:t>
      </w:r>
      <w:fldSimple w:instr=" STYLEREF 2 \s ">
        <w:r w:rsidR="00A87896">
          <w:rPr>
            <w:noProof/>
          </w:rPr>
          <w:t>6</w:t>
        </w:r>
      </w:fldSimple>
      <w:r w:rsidR="00A87896">
        <w:t>.</w:t>
      </w:r>
      <w:fldSimple w:instr=" SEQ Table \* ARABIC \s 2 ">
        <w:r w:rsidR="00A87896">
          <w:rPr>
            <w:noProof/>
          </w:rPr>
          <w:t>18</w:t>
        </w:r>
      </w:fldSimple>
      <w:r w:rsidR="00CF6AA7" w:rsidRPr="00FA751D">
        <w:t xml:space="preserve">: </w:t>
      </w:r>
      <w:r w:rsidR="00381F7D" w:rsidRPr="00FA751D">
        <w:t>Scheme Expense</w:t>
      </w:r>
      <w:r w:rsidR="00CF6AA7" w:rsidRPr="00FA751D">
        <w:t xml:space="preserve"> – AFSR projections and 2017 PC estimates</w:t>
      </w:r>
    </w:p>
    <w:tbl>
      <w:tblPr>
        <w:tblW w:w="10086" w:type="dxa"/>
        <w:tblInd w:w="-538" w:type="dxa"/>
        <w:tblLayout w:type="fixed"/>
        <w:tblLook w:val="04A0" w:firstRow="1" w:lastRow="0" w:firstColumn="1" w:lastColumn="0" w:noHBand="0" w:noVBand="1"/>
      </w:tblPr>
      <w:tblGrid>
        <w:gridCol w:w="2943"/>
        <w:gridCol w:w="799"/>
        <w:gridCol w:w="793"/>
        <w:gridCol w:w="793"/>
        <w:gridCol w:w="793"/>
        <w:gridCol w:w="793"/>
        <w:gridCol w:w="793"/>
        <w:gridCol w:w="793"/>
        <w:gridCol w:w="793"/>
        <w:gridCol w:w="793"/>
      </w:tblGrid>
      <w:tr w:rsidR="00CF6AA7" w:rsidRPr="00282975" w14:paraId="21279F5E" w14:textId="77777777" w:rsidTr="00D72D94">
        <w:trPr>
          <w:trHeight w:val="397"/>
          <w:tblHeader/>
        </w:trPr>
        <w:tc>
          <w:tcPr>
            <w:tcW w:w="2943" w:type="dxa"/>
            <w:tcBorders>
              <w:top w:val="single" w:sz="4" w:space="0" w:color="auto"/>
              <w:left w:val="single" w:sz="4" w:space="0" w:color="auto"/>
              <w:bottom w:val="single" w:sz="4" w:space="0" w:color="auto"/>
              <w:right w:val="single" w:sz="4" w:space="0" w:color="auto"/>
            </w:tcBorders>
            <w:shd w:val="clear" w:color="auto" w:fill="6B2976"/>
            <w:noWrap/>
            <w:vAlign w:val="center"/>
            <w:hideMark/>
          </w:tcPr>
          <w:p w14:paraId="39D9910E" w14:textId="77777777" w:rsidR="00CF6AA7" w:rsidRPr="00282975" w:rsidRDefault="00381F7D" w:rsidP="001102D8">
            <w:pPr>
              <w:spacing w:after="0"/>
              <w:rPr>
                <w:rFonts w:cs="Arial"/>
                <w:b/>
                <w:bCs/>
                <w:color w:val="FFFFFF"/>
                <w:sz w:val="15"/>
                <w:szCs w:val="15"/>
              </w:rPr>
            </w:pPr>
            <w:r>
              <w:rPr>
                <w:rFonts w:cs="Arial"/>
                <w:b/>
                <w:bCs/>
                <w:color w:val="FFFFFF"/>
                <w:sz w:val="15"/>
                <w:szCs w:val="15"/>
              </w:rPr>
              <w:t xml:space="preserve">Scheme Expense </w:t>
            </w:r>
            <w:r w:rsidR="00CF6AA7" w:rsidRPr="00282975">
              <w:rPr>
                <w:rFonts w:cs="Arial"/>
                <w:b/>
                <w:bCs/>
                <w:color w:val="FFFFFF"/>
                <w:sz w:val="15"/>
                <w:szCs w:val="15"/>
              </w:rPr>
              <w:t>($b)</w:t>
            </w:r>
          </w:p>
        </w:tc>
        <w:tc>
          <w:tcPr>
            <w:tcW w:w="799" w:type="dxa"/>
            <w:tcBorders>
              <w:top w:val="single" w:sz="4" w:space="0" w:color="auto"/>
              <w:left w:val="nil"/>
              <w:bottom w:val="single" w:sz="4" w:space="0" w:color="auto"/>
              <w:right w:val="nil"/>
            </w:tcBorders>
            <w:shd w:val="clear" w:color="auto" w:fill="6B2976"/>
            <w:noWrap/>
            <w:vAlign w:val="center"/>
            <w:hideMark/>
          </w:tcPr>
          <w:p w14:paraId="6A9E8C71" w14:textId="77777777" w:rsidR="00CF6AA7" w:rsidRPr="00282975" w:rsidRDefault="00CF6AA7">
            <w:pPr>
              <w:spacing w:after="0"/>
              <w:jc w:val="right"/>
              <w:rPr>
                <w:rFonts w:cs="Arial"/>
                <w:b/>
                <w:bCs/>
                <w:color w:val="FFFFFF"/>
                <w:sz w:val="15"/>
                <w:szCs w:val="15"/>
              </w:rPr>
            </w:pPr>
            <w:r w:rsidRPr="00282975">
              <w:rPr>
                <w:rFonts w:cs="Arial"/>
                <w:b/>
                <w:bCs/>
                <w:color w:val="FFFFFF"/>
                <w:sz w:val="15"/>
                <w:szCs w:val="15"/>
              </w:rPr>
              <w:t>2017-18</w:t>
            </w:r>
          </w:p>
        </w:tc>
        <w:tc>
          <w:tcPr>
            <w:tcW w:w="793" w:type="dxa"/>
            <w:tcBorders>
              <w:top w:val="single" w:sz="4" w:space="0" w:color="auto"/>
              <w:left w:val="nil"/>
              <w:bottom w:val="single" w:sz="4" w:space="0" w:color="auto"/>
              <w:right w:val="nil"/>
            </w:tcBorders>
            <w:shd w:val="clear" w:color="auto" w:fill="6B2976"/>
            <w:vAlign w:val="center"/>
          </w:tcPr>
          <w:p w14:paraId="5F7EBA65" w14:textId="77777777" w:rsidR="00CF6AA7" w:rsidRPr="00282975" w:rsidRDefault="00CF6AA7">
            <w:pPr>
              <w:spacing w:after="0"/>
              <w:jc w:val="right"/>
              <w:rPr>
                <w:rFonts w:cs="Arial"/>
                <w:b/>
                <w:bCs/>
                <w:color w:val="FFFFFF"/>
                <w:sz w:val="15"/>
                <w:szCs w:val="15"/>
              </w:rPr>
            </w:pPr>
            <w:r w:rsidRPr="00282975">
              <w:rPr>
                <w:rFonts w:cs="Arial"/>
                <w:b/>
                <w:bCs/>
                <w:color w:val="FFFFFF"/>
                <w:sz w:val="15"/>
                <w:szCs w:val="15"/>
              </w:rPr>
              <w:t>2018-19</w:t>
            </w:r>
          </w:p>
        </w:tc>
        <w:tc>
          <w:tcPr>
            <w:tcW w:w="793" w:type="dxa"/>
            <w:tcBorders>
              <w:top w:val="single" w:sz="4" w:space="0" w:color="auto"/>
              <w:left w:val="nil"/>
              <w:bottom w:val="single" w:sz="4" w:space="0" w:color="auto"/>
              <w:right w:val="nil"/>
            </w:tcBorders>
            <w:shd w:val="clear" w:color="auto" w:fill="6B2976"/>
            <w:noWrap/>
            <w:vAlign w:val="center"/>
            <w:hideMark/>
          </w:tcPr>
          <w:p w14:paraId="1BC18B63" w14:textId="77777777" w:rsidR="00CF6AA7" w:rsidRPr="00282975" w:rsidRDefault="00CF6AA7">
            <w:pPr>
              <w:spacing w:after="0"/>
              <w:jc w:val="right"/>
              <w:rPr>
                <w:rFonts w:cs="Arial"/>
                <w:b/>
                <w:bCs/>
                <w:color w:val="FFFFFF"/>
                <w:sz w:val="15"/>
                <w:szCs w:val="15"/>
              </w:rPr>
            </w:pPr>
            <w:r w:rsidRPr="00282975">
              <w:rPr>
                <w:rFonts w:cs="Arial"/>
                <w:b/>
                <w:bCs/>
                <w:color w:val="FFFFFF"/>
                <w:sz w:val="15"/>
                <w:szCs w:val="15"/>
              </w:rPr>
              <w:t>2019-20</w:t>
            </w:r>
          </w:p>
        </w:tc>
        <w:tc>
          <w:tcPr>
            <w:tcW w:w="793" w:type="dxa"/>
            <w:tcBorders>
              <w:top w:val="single" w:sz="4" w:space="0" w:color="auto"/>
              <w:left w:val="nil"/>
              <w:bottom w:val="single" w:sz="4" w:space="0" w:color="auto"/>
              <w:right w:val="nil"/>
            </w:tcBorders>
            <w:shd w:val="clear" w:color="auto" w:fill="6B2976"/>
            <w:noWrap/>
            <w:vAlign w:val="center"/>
            <w:hideMark/>
          </w:tcPr>
          <w:p w14:paraId="6B0D0E82" w14:textId="77777777" w:rsidR="00CF6AA7" w:rsidRPr="00282975" w:rsidRDefault="00CF6AA7">
            <w:pPr>
              <w:spacing w:after="0"/>
              <w:jc w:val="right"/>
              <w:rPr>
                <w:rFonts w:cs="Arial"/>
                <w:b/>
                <w:bCs/>
                <w:color w:val="FFFFFF"/>
                <w:sz w:val="15"/>
                <w:szCs w:val="15"/>
              </w:rPr>
            </w:pPr>
            <w:r w:rsidRPr="00282975">
              <w:rPr>
                <w:rFonts w:cs="Arial"/>
                <w:b/>
                <w:bCs/>
                <w:color w:val="FFFFFF"/>
                <w:sz w:val="15"/>
                <w:szCs w:val="15"/>
              </w:rPr>
              <w:t>2020-21</w:t>
            </w:r>
          </w:p>
        </w:tc>
        <w:tc>
          <w:tcPr>
            <w:tcW w:w="793" w:type="dxa"/>
            <w:tcBorders>
              <w:top w:val="single" w:sz="4" w:space="0" w:color="auto"/>
              <w:left w:val="single" w:sz="4" w:space="0" w:color="auto"/>
              <w:bottom w:val="single" w:sz="4" w:space="0" w:color="auto"/>
              <w:right w:val="single" w:sz="4" w:space="0" w:color="auto"/>
            </w:tcBorders>
            <w:shd w:val="clear" w:color="auto" w:fill="6B2976"/>
            <w:noWrap/>
            <w:vAlign w:val="center"/>
            <w:hideMark/>
          </w:tcPr>
          <w:p w14:paraId="6EF27E3F" w14:textId="77777777" w:rsidR="00CF6AA7" w:rsidRPr="00282975" w:rsidRDefault="00CF6AA7">
            <w:pPr>
              <w:spacing w:after="0"/>
              <w:jc w:val="right"/>
              <w:rPr>
                <w:rFonts w:cs="Arial"/>
                <w:b/>
                <w:bCs/>
                <w:color w:val="FFFFFF"/>
                <w:sz w:val="15"/>
                <w:szCs w:val="15"/>
              </w:rPr>
            </w:pPr>
            <w:r w:rsidRPr="00282975">
              <w:rPr>
                <w:rFonts w:cs="Arial"/>
                <w:b/>
                <w:bCs/>
                <w:color w:val="FFFFFF"/>
                <w:sz w:val="15"/>
                <w:szCs w:val="15"/>
              </w:rPr>
              <w:t>2021-22</w:t>
            </w:r>
          </w:p>
        </w:tc>
        <w:tc>
          <w:tcPr>
            <w:tcW w:w="793" w:type="dxa"/>
            <w:tcBorders>
              <w:top w:val="single" w:sz="4" w:space="0" w:color="auto"/>
              <w:left w:val="nil"/>
              <w:bottom w:val="single" w:sz="4" w:space="0" w:color="auto"/>
              <w:right w:val="nil"/>
            </w:tcBorders>
            <w:shd w:val="clear" w:color="auto" w:fill="6B2976"/>
            <w:noWrap/>
            <w:vAlign w:val="center"/>
            <w:hideMark/>
          </w:tcPr>
          <w:p w14:paraId="67E21BD0" w14:textId="77777777" w:rsidR="00CF6AA7" w:rsidRPr="00282975" w:rsidRDefault="00CF6AA7">
            <w:pPr>
              <w:spacing w:after="0"/>
              <w:jc w:val="right"/>
              <w:rPr>
                <w:rFonts w:cs="Arial"/>
                <w:b/>
                <w:bCs/>
                <w:color w:val="FFFFFF"/>
                <w:sz w:val="15"/>
                <w:szCs w:val="15"/>
              </w:rPr>
            </w:pPr>
            <w:r w:rsidRPr="00282975">
              <w:rPr>
                <w:rFonts w:cs="Arial"/>
                <w:b/>
                <w:bCs/>
                <w:color w:val="FFFFFF"/>
                <w:sz w:val="15"/>
                <w:szCs w:val="15"/>
              </w:rPr>
              <w:t>2022-23</w:t>
            </w:r>
          </w:p>
        </w:tc>
        <w:tc>
          <w:tcPr>
            <w:tcW w:w="793" w:type="dxa"/>
            <w:tcBorders>
              <w:top w:val="single" w:sz="4" w:space="0" w:color="auto"/>
              <w:left w:val="nil"/>
              <w:bottom w:val="single" w:sz="4" w:space="0" w:color="auto"/>
              <w:right w:val="nil"/>
            </w:tcBorders>
            <w:shd w:val="clear" w:color="auto" w:fill="6B2976"/>
            <w:noWrap/>
            <w:vAlign w:val="center"/>
            <w:hideMark/>
          </w:tcPr>
          <w:p w14:paraId="6851EE2D" w14:textId="77777777" w:rsidR="00CF6AA7" w:rsidRPr="00282975" w:rsidRDefault="00CF6AA7">
            <w:pPr>
              <w:spacing w:after="0"/>
              <w:jc w:val="right"/>
              <w:rPr>
                <w:rFonts w:cs="Arial"/>
                <w:b/>
                <w:bCs/>
                <w:color w:val="FFFFFF"/>
                <w:sz w:val="15"/>
                <w:szCs w:val="15"/>
              </w:rPr>
            </w:pPr>
            <w:r w:rsidRPr="00282975">
              <w:rPr>
                <w:rFonts w:cs="Arial"/>
                <w:b/>
                <w:bCs/>
                <w:color w:val="FFFFFF"/>
                <w:sz w:val="15"/>
                <w:szCs w:val="15"/>
              </w:rPr>
              <w:t>2023-24</w:t>
            </w:r>
          </w:p>
        </w:tc>
        <w:tc>
          <w:tcPr>
            <w:tcW w:w="793" w:type="dxa"/>
            <w:tcBorders>
              <w:top w:val="single" w:sz="4" w:space="0" w:color="auto"/>
              <w:left w:val="nil"/>
              <w:bottom w:val="single" w:sz="4" w:space="0" w:color="auto"/>
              <w:right w:val="nil"/>
            </w:tcBorders>
            <w:shd w:val="clear" w:color="auto" w:fill="6B2976"/>
            <w:noWrap/>
            <w:vAlign w:val="center"/>
            <w:hideMark/>
          </w:tcPr>
          <w:p w14:paraId="2A2B189A" w14:textId="77777777" w:rsidR="00CF6AA7" w:rsidRPr="00282975" w:rsidRDefault="00CF6AA7">
            <w:pPr>
              <w:spacing w:after="0"/>
              <w:jc w:val="right"/>
              <w:rPr>
                <w:rFonts w:cs="Arial"/>
                <w:b/>
                <w:bCs/>
                <w:color w:val="FFFFFF"/>
                <w:sz w:val="15"/>
                <w:szCs w:val="15"/>
              </w:rPr>
            </w:pPr>
            <w:r w:rsidRPr="00282975">
              <w:rPr>
                <w:rFonts w:cs="Arial"/>
                <w:b/>
                <w:bCs/>
                <w:color w:val="FFFFFF"/>
                <w:sz w:val="15"/>
                <w:szCs w:val="15"/>
              </w:rPr>
              <w:t>2024-25</w:t>
            </w:r>
          </w:p>
        </w:tc>
        <w:tc>
          <w:tcPr>
            <w:tcW w:w="793" w:type="dxa"/>
            <w:tcBorders>
              <w:top w:val="single" w:sz="4" w:space="0" w:color="auto"/>
              <w:left w:val="nil"/>
              <w:bottom w:val="single" w:sz="4" w:space="0" w:color="auto"/>
              <w:right w:val="single" w:sz="4" w:space="0" w:color="auto"/>
            </w:tcBorders>
            <w:shd w:val="clear" w:color="auto" w:fill="6B2976"/>
            <w:noWrap/>
            <w:vAlign w:val="center"/>
            <w:hideMark/>
          </w:tcPr>
          <w:p w14:paraId="525BA722" w14:textId="77777777" w:rsidR="00CF6AA7" w:rsidRPr="00282975" w:rsidRDefault="00CF6AA7">
            <w:pPr>
              <w:spacing w:after="0"/>
              <w:jc w:val="right"/>
              <w:rPr>
                <w:rFonts w:cs="Arial"/>
                <w:b/>
                <w:bCs/>
                <w:color w:val="FFFFFF"/>
                <w:sz w:val="15"/>
                <w:szCs w:val="15"/>
              </w:rPr>
            </w:pPr>
            <w:r w:rsidRPr="00282975">
              <w:rPr>
                <w:rFonts w:cs="Arial"/>
                <w:b/>
                <w:bCs/>
                <w:color w:val="FFFFFF"/>
                <w:sz w:val="15"/>
                <w:szCs w:val="15"/>
              </w:rPr>
              <w:t>2025-26</w:t>
            </w:r>
          </w:p>
        </w:tc>
      </w:tr>
      <w:tr w:rsidR="00CF6AA7" w:rsidRPr="00282975" w14:paraId="183794A3" w14:textId="77777777" w:rsidTr="00D72D94">
        <w:trPr>
          <w:trHeight w:val="301"/>
        </w:trPr>
        <w:tc>
          <w:tcPr>
            <w:tcW w:w="2943" w:type="dxa"/>
            <w:tcBorders>
              <w:top w:val="nil"/>
              <w:left w:val="single" w:sz="4" w:space="0" w:color="auto"/>
              <w:bottom w:val="single" w:sz="4" w:space="0" w:color="auto"/>
              <w:right w:val="nil"/>
            </w:tcBorders>
            <w:shd w:val="clear" w:color="auto" w:fill="D3C5D7"/>
            <w:noWrap/>
            <w:vAlign w:val="center"/>
            <w:hideMark/>
          </w:tcPr>
          <w:p w14:paraId="08198EBA" w14:textId="77777777" w:rsidR="00CF6AA7" w:rsidRPr="00282975" w:rsidRDefault="00CF6AA7" w:rsidP="004C434C">
            <w:pPr>
              <w:spacing w:after="0"/>
              <w:rPr>
                <w:rFonts w:cs="Arial"/>
                <w:b/>
                <w:bCs/>
                <w:color w:val="000000"/>
                <w:sz w:val="15"/>
                <w:szCs w:val="15"/>
              </w:rPr>
            </w:pPr>
            <w:r w:rsidRPr="00282975">
              <w:rPr>
                <w:rFonts w:cs="Arial"/>
                <w:b/>
                <w:bCs/>
                <w:color w:val="000000"/>
                <w:sz w:val="15"/>
                <w:szCs w:val="15"/>
              </w:rPr>
              <w:t>PC estimates</w:t>
            </w:r>
          </w:p>
        </w:tc>
        <w:tc>
          <w:tcPr>
            <w:tcW w:w="799" w:type="dxa"/>
            <w:tcBorders>
              <w:top w:val="nil"/>
              <w:left w:val="nil"/>
              <w:bottom w:val="single" w:sz="4" w:space="0" w:color="auto"/>
              <w:right w:val="nil"/>
            </w:tcBorders>
            <w:shd w:val="clear" w:color="auto" w:fill="D3C5D7"/>
            <w:noWrap/>
            <w:vAlign w:val="center"/>
            <w:hideMark/>
          </w:tcPr>
          <w:p w14:paraId="5785242D" w14:textId="77777777" w:rsidR="00CF6AA7" w:rsidRPr="00282975" w:rsidRDefault="00CF6AA7">
            <w:pPr>
              <w:spacing w:after="0"/>
              <w:jc w:val="right"/>
              <w:rPr>
                <w:rFonts w:cs="Arial"/>
                <w:b/>
                <w:bCs/>
                <w:color w:val="000000"/>
                <w:sz w:val="15"/>
                <w:szCs w:val="15"/>
              </w:rPr>
            </w:pPr>
            <w:r w:rsidRPr="00282975">
              <w:rPr>
                <w:rFonts w:cs="Arial"/>
                <w:b/>
                <w:bCs/>
                <w:color w:val="000000"/>
                <w:sz w:val="15"/>
                <w:szCs w:val="15"/>
              </w:rPr>
              <w:t> </w:t>
            </w:r>
          </w:p>
        </w:tc>
        <w:tc>
          <w:tcPr>
            <w:tcW w:w="793" w:type="dxa"/>
            <w:tcBorders>
              <w:top w:val="nil"/>
              <w:left w:val="nil"/>
              <w:bottom w:val="single" w:sz="4" w:space="0" w:color="auto"/>
              <w:right w:val="nil"/>
            </w:tcBorders>
            <w:shd w:val="clear" w:color="auto" w:fill="D3C5D7"/>
            <w:vAlign w:val="center"/>
          </w:tcPr>
          <w:p w14:paraId="29C9AB70" w14:textId="77777777" w:rsidR="00CF6AA7" w:rsidRPr="00282975" w:rsidRDefault="00CF6AA7">
            <w:pPr>
              <w:spacing w:after="0"/>
              <w:jc w:val="right"/>
              <w:rPr>
                <w:rFonts w:cs="Arial"/>
                <w:b/>
                <w:bCs/>
                <w:color w:val="000000"/>
                <w:sz w:val="15"/>
                <w:szCs w:val="15"/>
              </w:rPr>
            </w:pPr>
          </w:p>
        </w:tc>
        <w:tc>
          <w:tcPr>
            <w:tcW w:w="793" w:type="dxa"/>
            <w:tcBorders>
              <w:top w:val="nil"/>
              <w:left w:val="nil"/>
              <w:bottom w:val="single" w:sz="4" w:space="0" w:color="auto"/>
              <w:right w:val="nil"/>
            </w:tcBorders>
            <w:shd w:val="clear" w:color="auto" w:fill="D3C5D7"/>
            <w:noWrap/>
            <w:vAlign w:val="center"/>
            <w:hideMark/>
          </w:tcPr>
          <w:p w14:paraId="38C2C067" w14:textId="77777777" w:rsidR="00CF6AA7" w:rsidRPr="00282975" w:rsidRDefault="00CF6AA7">
            <w:pPr>
              <w:spacing w:after="0"/>
              <w:jc w:val="right"/>
              <w:rPr>
                <w:rFonts w:cs="Arial"/>
                <w:b/>
                <w:bCs/>
                <w:color w:val="000000"/>
                <w:sz w:val="15"/>
                <w:szCs w:val="15"/>
              </w:rPr>
            </w:pPr>
            <w:r w:rsidRPr="00282975">
              <w:rPr>
                <w:rFonts w:cs="Arial"/>
                <w:b/>
                <w:bCs/>
                <w:color w:val="000000"/>
                <w:sz w:val="15"/>
                <w:szCs w:val="15"/>
              </w:rPr>
              <w:t> </w:t>
            </w:r>
          </w:p>
        </w:tc>
        <w:tc>
          <w:tcPr>
            <w:tcW w:w="793" w:type="dxa"/>
            <w:tcBorders>
              <w:top w:val="nil"/>
              <w:left w:val="nil"/>
              <w:bottom w:val="single" w:sz="4" w:space="0" w:color="auto"/>
              <w:right w:val="nil"/>
            </w:tcBorders>
            <w:shd w:val="clear" w:color="auto" w:fill="D3C5D7"/>
            <w:noWrap/>
            <w:vAlign w:val="center"/>
            <w:hideMark/>
          </w:tcPr>
          <w:p w14:paraId="225C0BA8" w14:textId="77777777" w:rsidR="00CF6AA7" w:rsidRPr="00282975" w:rsidRDefault="00CF6AA7">
            <w:pPr>
              <w:spacing w:after="0"/>
              <w:jc w:val="right"/>
              <w:rPr>
                <w:rFonts w:cs="Arial"/>
                <w:b/>
                <w:bCs/>
                <w:color w:val="000000"/>
                <w:sz w:val="15"/>
                <w:szCs w:val="15"/>
              </w:rPr>
            </w:pPr>
            <w:r w:rsidRPr="00282975">
              <w:rPr>
                <w:rFonts w:cs="Arial"/>
                <w:b/>
                <w:bCs/>
                <w:color w:val="000000"/>
                <w:sz w:val="15"/>
                <w:szCs w:val="15"/>
              </w:rPr>
              <w:t> </w:t>
            </w:r>
          </w:p>
        </w:tc>
        <w:tc>
          <w:tcPr>
            <w:tcW w:w="793" w:type="dxa"/>
            <w:tcBorders>
              <w:top w:val="nil"/>
              <w:left w:val="nil"/>
              <w:bottom w:val="single" w:sz="4" w:space="0" w:color="auto"/>
              <w:right w:val="nil"/>
            </w:tcBorders>
            <w:shd w:val="clear" w:color="auto" w:fill="D3C5D7"/>
            <w:noWrap/>
            <w:vAlign w:val="center"/>
            <w:hideMark/>
          </w:tcPr>
          <w:p w14:paraId="4037F683" w14:textId="77777777" w:rsidR="00CF6AA7" w:rsidRPr="00282975" w:rsidRDefault="00CF6AA7">
            <w:pPr>
              <w:spacing w:after="0"/>
              <w:jc w:val="right"/>
              <w:rPr>
                <w:rFonts w:cs="Arial"/>
                <w:b/>
                <w:bCs/>
                <w:color w:val="000000"/>
                <w:sz w:val="15"/>
                <w:szCs w:val="15"/>
              </w:rPr>
            </w:pPr>
            <w:r w:rsidRPr="00282975">
              <w:rPr>
                <w:rFonts w:cs="Arial"/>
                <w:b/>
                <w:bCs/>
                <w:color w:val="000000"/>
                <w:sz w:val="15"/>
                <w:szCs w:val="15"/>
              </w:rPr>
              <w:t> </w:t>
            </w:r>
          </w:p>
        </w:tc>
        <w:tc>
          <w:tcPr>
            <w:tcW w:w="793" w:type="dxa"/>
            <w:tcBorders>
              <w:top w:val="nil"/>
              <w:left w:val="nil"/>
              <w:bottom w:val="single" w:sz="4" w:space="0" w:color="auto"/>
              <w:right w:val="nil"/>
            </w:tcBorders>
            <w:shd w:val="clear" w:color="auto" w:fill="D3C5D7"/>
            <w:noWrap/>
            <w:vAlign w:val="center"/>
            <w:hideMark/>
          </w:tcPr>
          <w:p w14:paraId="3DF8C832" w14:textId="77777777" w:rsidR="00CF6AA7" w:rsidRPr="00282975" w:rsidRDefault="00CF6AA7">
            <w:pPr>
              <w:spacing w:after="0"/>
              <w:jc w:val="right"/>
              <w:rPr>
                <w:rFonts w:cs="Arial"/>
                <w:b/>
                <w:bCs/>
                <w:color w:val="000000"/>
                <w:sz w:val="15"/>
                <w:szCs w:val="15"/>
              </w:rPr>
            </w:pPr>
            <w:r w:rsidRPr="00282975">
              <w:rPr>
                <w:rFonts w:cs="Arial"/>
                <w:b/>
                <w:bCs/>
                <w:color w:val="000000"/>
                <w:sz w:val="15"/>
                <w:szCs w:val="15"/>
              </w:rPr>
              <w:t> </w:t>
            </w:r>
          </w:p>
        </w:tc>
        <w:tc>
          <w:tcPr>
            <w:tcW w:w="793" w:type="dxa"/>
            <w:tcBorders>
              <w:top w:val="nil"/>
              <w:left w:val="nil"/>
              <w:bottom w:val="single" w:sz="4" w:space="0" w:color="auto"/>
              <w:right w:val="nil"/>
            </w:tcBorders>
            <w:shd w:val="clear" w:color="auto" w:fill="D3C5D7"/>
            <w:noWrap/>
            <w:vAlign w:val="center"/>
            <w:hideMark/>
          </w:tcPr>
          <w:p w14:paraId="0C250062" w14:textId="77777777" w:rsidR="00CF6AA7" w:rsidRPr="00282975" w:rsidRDefault="00CF6AA7">
            <w:pPr>
              <w:spacing w:after="0"/>
              <w:jc w:val="right"/>
              <w:rPr>
                <w:rFonts w:cs="Arial"/>
                <w:b/>
                <w:bCs/>
                <w:color w:val="000000"/>
                <w:sz w:val="15"/>
                <w:szCs w:val="15"/>
              </w:rPr>
            </w:pPr>
            <w:r w:rsidRPr="00282975">
              <w:rPr>
                <w:rFonts w:cs="Arial"/>
                <w:b/>
                <w:bCs/>
                <w:color w:val="000000"/>
                <w:sz w:val="15"/>
                <w:szCs w:val="15"/>
              </w:rPr>
              <w:t> </w:t>
            </w:r>
          </w:p>
        </w:tc>
        <w:tc>
          <w:tcPr>
            <w:tcW w:w="793" w:type="dxa"/>
            <w:tcBorders>
              <w:top w:val="nil"/>
              <w:left w:val="nil"/>
              <w:bottom w:val="single" w:sz="4" w:space="0" w:color="auto"/>
              <w:right w:val="nil"/>
            </w:tcBorders>
            <w:shd w:val="clear" w:color="auto" w:fill="D3C5D7"/>
            <w:noWrap/>
            <w:vAlign w:val="center"/>
            <w:hideMark/>
          </w:tcPr>
          <w:p w14:paraId="028C5764" w14:textId="77777777" w:rsidR="00CF6AA7" w:rsidRPr="00282975" w:rsidRDefault="00CF6AA7">
            <w:pPr>
              <w:spacing w:after="0"/>
              <w:jc w:val="right"/>
              <w:rPr>
                <w:rFonts w:cs="Arial"/>
                <w:b/>
                <w:bCs/>
                <w:color w:val="000000"/>
                <w:sz w:val="15"/>
                <w:szCs w:val="15"/>
              </w:rPr>
            </w:pPr>
            <w:r w:rsidRPr="00282975">
              <w:rPr>
                <w:rFonts w:cs="Arial"/>
                <w:b/>
                <w:bCs/>
                <w:color w:val="000000"/>
                <w:sz w:val="15"/>
                <w:szCs w:val="15"/>
              </w:rPr>
              <w:t> </w:t>
            </w:r>
          </w:p>
        </w:tc>
        <w:tc>
          <w:tcPr>
            <w:tcW w:w="793" w:type="dxa"/>
            <w:tcBorders>
              <w:top w:val="nil"/>
              <w:left w:val="nil"/>
              <w:bottom w:val="single" w:sz="4" w:space="0" w:color="auto"/>
              <w:right w:val="single" w:sz="4" w:space="0" w:color="auto"/>
            </w:tcBorders>
            <w:shd w:val="clear" w:color="auto" w:fill="D3C5D7"/>
            <w:noWrap/>
            <w:vAlign w:val="center"/>
            <w:hideMark/>
          </w:tcPr>
          <w:p w14:paraId="5D015C1C" w14:textId="77777777" w:rsidR="00CF6AA7" w:rsidRPr="00282975" w:rsidRDefault="00CF6AA7">
            <w:pPr>
              <w:spacing w:after="0"/>
              <w:jc w:val="right"/>
              <w:rPr>
                <w:rFonts w:cs="Arial"/>
                <w:b/>
                <w:bCs/>
                <w:color w:val="000000"/>
                <w:sz w:val="15"/>
                <w:szCs w:val="15"/>
              </w:rPr>
            </w:pPr>
            <w:r w:rsidRPr="00282975">
              <w:rPr>
                <w:rFonts w:cs="Arial"/>
                <w:b/>
                <w:bCs/>
                <w:color w:val="000000"/>
                <w:sz w:val="15"/>
                <w:szCs w:val="15"/>
              </w:rPr>
              <w:t> </w:t>
            </w:r>
          </w:p>
        </w:tc>
      </w:tr>
      <w:tr w:rsidR="00282975" w:rsidRPr="00282975" w14:paraId="2A3F75CB" w14:textId="77777777" w:rsidTr="00D72D94">
        <w:trPr>
          <w:trHeight w:val="301"/>
        </w:trPr>
        <w:tc>
          <w:tcPr>
            <w:tcW w:w="2943" w:type="dxa"/>
            <w:tcBorders>
              <w:top w:val="nil"/>
              <w:left w:val="single" w:sz="4" w:space="0" w:color="auto"/>
              <w:bottom w:val="single" w:sz="4" w:space="0" w:color="auto"/>
              <w:right w:val="single" w:sz="4" w:space="0" w:color="auto"/>
            </w:tcBorders>
            <w:shd w:val="clear" w:color="auto" w:fill="auto"/>
            <w:noWrap/>
            <w:vAlign w:val="center"/>
            <w:hideMark/>
          </w:tcPr>
          <w:p w14:paraId="274E025D" w14:textId="77777777" w:rsidR="00282975" w:rsidRPr="00282975" w:rsidRDefault="00282975" w:rsidP="00282975">
            <w:pPr>
              <w:spacing w:after="0"/>
              <w:rPr>
                <w:rFonts w:cs="Arial"/>
                <w:color w:val="000000"/>
                <w:sz w:val="15"/>
                <w:szCs w:val="15"/>
              </w:rPr>
            </w:pPr>
            <w:r w:rsidRPr="00282975">
              <w:rPr>
                <w:rFonts w:cs="Arial"/>
                <w:color w:val="000000"/>
                <w:sz w:val="15"/>
                <w:szCs w:val="15"/>
              </w:rPr>
              <w:t>2017 Productivity Commission Estimates</w:t>
            </w:r>
          </w:p>
        </w:tc>
        <w:tc>
          <w:tcPr>
            <w:tcW w:w="799" w:type="dxa"/>
            <w:tcBorders>
              <w:top w:val="nil"/>
              <w:left w:val="nil"/>
              <w:bottom w:val="single" w:sz="4" w:space="0" w:color="auto"/>
              <w:right w:val="nil"/>
            </w:tcBorders>
            <w:shd w:val="clear" w:color="auto" w:fill="auto"/>
            <w:noWrap/>
            <w:vAlign w:val="center"/>
            <w:hideMark/>
          </w:tcPr>
          <w:p w14:paraId="76BD78C2" w14:textId="77777777" w:rsidR="00282975" w:rsidRPr="00282975" w:rsidRDefault="00282975">
            <w:pPr>
              <w:spacing w:after="0"/>
              <w:jc w:val="right"/>
              <w:rPr>
                <w:rFonts w:cs="Arial"/>
                <w:color w:val="000000"/>
                <w:sz w:val="15"/>
                <w:szCs w:val="15"/>
              </w:rPr>
            </w:pPr>
            <w:r w:rsidRPr="00D72D94">
              <w:rPr>
                <w:rFonts w:cs="Arial"/>
                <w:sz w:val="15"/>
                <w:szCs w:val="15"/>
              </w:rPr>
              <w:t>7.7</w:t>
            </w:r>
          </w:p>
        </w:tc>
        <w:tc>
          <w:tcPr>
            <w:tcW w:w="793" w:type="dxa"/>
            <w:tcBorders>
              <w:top w:val="nil"/>
              <w:left w:val="nil"/>
              <w:bottom w:val="single" w:sz="4" w:space="0" w:color="auto"/>
              <w:right w:val="nil"/>
            </w:tcBorders>
            <w:vAlign w:val="center"/>
          </w:tcPr>
          <w:p w14:paraId="5DCE958C" w14:textId="77777777" w:rsidR="00282975" w:rsidRPr="00282975" w:rsidRDefault="00282975">
            <w:pPr>
              <w:spacing w:after="0"/>
              <w:jc w:val="right"/>
              <w:rPr>
                <w:rFonts w:cs="Arial"/>
                <w:color w:val="000000"/>
                <w:sz w:val="15"/>
                <w:szCs w:val="15"/>
              </w:rPr>
            </w:pPr>
            <w:r w:rsidRPr="00D72D94">
              <w:rPr>
                <w:rFonts w:cs="Arial"/>
                <w:sz w:val="15"/>
                <w:szCs w:val="15"/>
              </w:rPr>
              <w:t>14.7</w:t>
            </w:r>
          </w:p>
        </w:tc>
        <w:tc>
          <w:tcPr>
            <w:tcW w:w="793" w:type="dxa"/>
            <w:tcBorders>
              <w:top w:val="nil"/>
              <w:left w:val="nil"/>
              <w:bottom w:val="single" w:sz="4" w:space="0" w:color="auto"/>
              <w:right w:val="nil"/>
            </w:tcBorders>
            <w:shd w:val="clear" w:color="auto" w:fill="auto"/>
            <w:noWrap/>
            <w:vAlign w:val="center"/>
            <w:hideMark/>
          </w:tcPr>
          <w:p w14:paraId="594C0B6D" w14:textId="77777777" w:rsidR="00282975" w:rsidRPr="00282975" w:rsidRDefault="00282975">
            <w:pPr>
              <w:spacing w:after="0"/>
              <w:jc w:val="right"/>
              <w:rPr>
                <w:rFonts w:cs="Arial"/>
                <w:color w:val="000000"/>
                <w:sz w:val="15"/>
                <w:szCs w:val="15"/>
              </w:rPr>
            </w:pPr>
            <w:r w:rsidRPr="00D72D94">
              <w:rPr>
                <w:rFonts w:cs="Arial"/>
                <w:sz w:val="15"/>
                <w:szCs w:val="15"/>
              </w:rPr>
              <w:t>20.8</w:t>
            </w:r>
          </w:p>
        </w:tc>
        <w:tc>
          <w:tcPr>
            <w:tcW w:w="793" w:type="dxa"/>
            <w:tcBorders>
              <w:top w:val="nil"/>
              <w:left w:val="nil"/>
              <w:bottom w:val="single" w:sz="4" w:space="0" w:color="auto"/>
              <w:right w:val="nil"/>
            </w:tcBorders>
            <w:shd w:val="clear" w:color="auto" w:fill="auto"/>
            <w:noWrap/>
            <w:vAlign w:val="center"/>
            <w:hideMark/>
          </w:tcPr>
          <w:p w14:paraId="555F4032" w14:textId="77777777" w:rsidR="00282975" w:rsidRPr="00282975" w:rsidRDefault="00282975">
            <w:pPr>
              <w:spacing w:after="0"/>
              <w:jc w:val="right"/>
              <w:rPr>
                <w:rFonts w:cs="Arial"/>
                <w:color w:val="000000"/>
                <w:sz w:val="15"/>
                <w:szCs w:val="15"/>
              </w:rPr>
            </w:pPr>
            <w:r w:rsidRPr="00D72D94">
              <w:rPr>
                <w:rFonts w:cs="Arial"/>
                <w:sz w:val="15"/>
                <w:szCs w:val="15"/>
              </w:rPr>
              <w:t>22.2</w:t>
            </w:r>
          </w:p>
        </w:tc>
        <w:tc>
          <w:tcPr>
            <w:tcW w:w="793" w:type="dxa"/>
            <w:tcBorders>
              <w:top w:val="nil"/>
              <w:left w:val="single" w:sz="4" w:space="0" w:color="auto"/>
              <w:bottom w:val="single" w:sz="4" w:space="0" w:color="auto"/>
              <w:right w:val="single" w:sz="4" w:space="0" w:color="auto"/>
            </w:tcBorders>
            <w:shd w:val="clear" w:color="auto" w:fill="auto"/>
            <w:noWrap/>
            <w:vAlign w:val="center"/>
            <w:hideMark/>
          </w:tcPr>
          <w:p w14:paraId="422E91B6" w14:textId="77777777" w:rsidR="00282975" w:rsidRPr="00282975" w:rsidRDefault="00282975">
            <w:pPr>
              <w:spacing w:after="0"/>
              <w:jc w:val="right"/>
              <w:rPr>
                <w:rFonts w:cs="Arial"/>
                <w:color w:val="000000"/>
                <w:sz w:val="15"/>
                <w:szCs w:val="15"/>
              </w:rPr>
            </w:pPr>
            <w:r w:rsidRPr="00D72D94">
              <w:rPr>
                <w:rFonts w:cs="Arial"/>
                <w:sz w:val="15"/>
                <w:szCs w:val="15"/>
              </w:rPr>
              <w:t>23.7</w:t>
            </w:r>
          </w:p>
        </w:tc>
        <w:tc>
          <w:tcPr>
            <w:tcW w:w="793" w:type="dxa"/>
            <w:tcBorders>
              <w:top w:val="nil"/>
              <w:left w:val="nil"/>
              <w:bottom w:val="single" w:sz="4" w:space="0" w:color="auto"/>
              <w:right w:val="nil"/>
            </w:tcBorders>
            <w:shd w:val="clear" w:color="auto" w:fill="auto"/>
            <w:noWrap/>
            <w:vAlign w:val="center"/>
            <w:hideMark/>
          </w:tcPr>
          <w:p w14:paraId="0F98BAE7" w14:textId="77777777" w:rsidR="00282975" w:rsidRPr="00282975" w:rsidRDefault="00282975">
            <w:pPr>
              <w:spacing w:after="0"/>
              <w:jc w:val="right"/>
              <w:rPr>
                <w:rFonts w:cs="Arial"/>
                <w:color w:val="000000"/>
                <w:sz w:val="15"/>
                <w:szCs w:val="15"/>
              </w:rPr>
            </w:pPr>
            <w:r w:rsidRPr="00D72D94">
              <w:rPr>
                <w:rFonts w:cs="Arial"/>
                <w:sz w:val="15"/>
                <w:szCs w:val="15"/>
              </w:rPr>
              <w:t>25.2</w:t>
            </w:r>
          </w:p>
        </w:tc>
        <w:tc>
          <w:tcPr>
            <w:tcW w:w="793" w:type="dxa"/>
            <w:tcBorders>
              <w:top w:val="nil"/>
              <w:left w:val="nil"/>
              <w:bottom w:val="single" w:sz="4" w:space="0" w:color="auto"/>
              <w:right w:val="nil"/>
            </w:tcBorders>
            <w:shd w:val="clear" w:color="auto" w:fill="auto"/>
            <w:noWrap/>
            <w:vAlign w:val="center"/>
            <w:hideMark/>
          </w:tcPr>
          <w:p w14:paraId="7146E3D7" w14:textId="77777777" w:rsidR="00282975" w:rsidRPr="00282975" w:rsidRDefault="00282975">
            <w:pPr>
              <w:spacing w:after="0"/>
              <w:jc w:val="right"/>
              <w:rPr>
                <w:rFonts w:cs="Arial"/>
                <w:color w:val="000000"/>
                <w:sz w:val="15"/>
                <w:szCs w:val="15"/>
              </w:rPr>
            </w:pPr>
            <w:r w:rsidRPr="00D72D94">
              <w:rPr>
                <w:rFonts w:cs="Arial"/>
                <w:sz w:val="15"/>
                <w:szCs w:val="15"/>
              </w:rPr>
              <w:t>26.8</w:t>
            </w:r>
          </w:p>
        </w:tc>
        <w:tc>
          <w:tcPr>
            <w:tcW w:w="793" w:type="dxa"/>
            <w:tcBorders>
              <w:top w:val="nil"/>
              <w:left w:val="nil"/>
              <w:bottom w:val="single" w:sz="4" w:space="0" w:color="auto"/>
              <w:right w:val="nil"/>
            </w:tcBorders>
            <w:shd w:val="clear" w:color="auto" w:fill="auto"/>
            <w:noWrap/>
            <w:vAlign w:val="center"/>
            <w:hideMark/>
          </w:tcPr>
          <w:p w14:paraId="479FAA96" w14:textId="77777777" w:rsidR="00282975" w:rsidRPr="00282975" w:rsidRDefault="00282975">
            <w:pPr>
              <w:spacing w:after="0"/>
              <w:jc w:val="right"/>
              <w:rPr>
                <w:rFonts w:cs="Arial"/>
                <w:color w:val="000000"/>
                <w:sz w:val="15"/>
                <w:szCs w:val="15"/>
              </w:rPr>
            </w:pPr>
            <w:r w:rsidRPr="00D72D94">
              <w:rPr>
                <w:rFonts w:cs="Arial"/>
                <w:sz w:val="15"/>
                <w:szCs w:val="15"/>
              </w:rPr>
              <w:t>28.5</w:t>
            </w:r>
          </w:p>
        </w:tc>
        <w:tc>
          <w:tcPr>
            <w:tcW w:w="793" w:type="dxa"/>
            <w:tcBorders>
              <w:top w:val="nil"/>
              <w:left w:val="nil"/>
              <w:bottom w:val="single" w:sz="4" w:space="0" w:color="auto"/>
              <w:right w:val="single" w:sz="4" w:space="0" w:color="auto"/>
            </w:tcBorders>
            <w:shd w:val="clear" w:color="auto" w:fill="auto"/>
            <w:noWrap/>
            <w:vAlign w:val="center"/>
            <w:hideMark/>
          </w:tcPr>
          <w:p w14:paraId="53602385" w14:textId="77777777" w:rsidR="00282975" w:rsidRPr="00282975" w:rsidRDefault="00282975">
            <w:pPr>
              <w:spacing w:after="0"/>
              <w:jc w:val="right"/>
              <w:rPr>
                <w:rFonts w:cs="Arial"/>
                <w:color w:val="000000"/>
                <w:sz w:val="15"/>
                <w:szCs w:val="15"/>
              </w:rPr>
            </w:pPr>
            <w:r w:rsidRPr="00D72D94">
              <w:rPr>
                <w:rFonts w:cs="Arial"/>
                <w:sz w:val="15"/>
                <w:szCs w:val="15"/>
              </w:rPr>
              <w:t>30.3</w:t>
            </w:r>
          </w:p>
        </w:tc>
      </w:tr>
      <w:tr w:rsidR="00282975" w:rsidRPr="00282975" w14:paraId="5AC5B779" w14:textId="77777777" w:rsidTr="00D72D94">
        <w:trPr>
          <w:trHeight w:val="301"/>
        </w:trPr>
        <w:tc>
          <w:tcPr>
            <w:tcW w:w="2943" w:type="dxa"/>
            <w:tcBorders>
              <w:top w:val="nil"/>
              <w:left w:val="single" w:sz="4" w:space="0" w:color="auto"/>
              <w:bottom w:val="single" w:sz="4" w:space="0" w:color="auto"/>
              <w:right w:val="single" w:sz="4" w:space="0" w:color="auto"/>
            </w:tcBorders>
            <w:shd w:val="clear" w:color="auto" w:fill="auto"/>
            <w:vAlign w:val="center"/>
            <w:hideMark/>
          </w:tcPr>
          <w:p w14:paraId="5F96A35E" w14:textId="77777777" w:rsidR="00282975" w:rsidRPr="00282975" w:rsidRDefault="00282975" w:rsidP="00282975">
            <w:pPr>
              <w:spacing w:after="0"/>
              <w:rPr>
                <w:rFonts w:cs="Arial"/>
                <w:color w:val="000000"/>
                <w:sz w:val="15"/>
                <w:szCs w:val="15"/>
              </w:rPr>
            </w:pPr>
            <w:r w:rsidRPr="00282975">
              <w:rPr>
                <w:rFonts w:cs="Arial"/>
                <w:color w:val="000000"/>
                <w:sz w:val="15"/>
                <w:szCs w:val="15"/>
              </w:rPr>
              <w:t xml:space="preserve">2017 Productivity Commission Estimates (including unanticipated </w:t>
            </w:r>
            <w:r w:rsidR="0061785D">
              <w:rPr>
                <w:rFonts w:cs="Arial"/>
                <w:color w:val="000000"/>
                <w:sz w:val="15"/>
                <w:szCs w:val="15"/>
              </w:rPr>
              <w:t>expense</w:t>
            </w:r>
            <w:r w:rsidRPr="00282975">
              <w:rPr>
                <w:rFonts w:cs="Arial"/>
                <w:color w:val="000000"/>
                <w:sz w:val="15"/>
                <w:szCs w:val="15"/>
              </w:rPr>
              <w:t>s)</w:t>
            </w:r>
          </w:p>
        </w:tc>
        <w:tc>
          <w:tcPr>
            <w:tcW w:w="799" w:type="dxa"/>
            <w:tcBorders>
              <w:top w:val="nil"/>
              <w:left w:val="nil"/>
              <w:bottom w:val="single" w:sz="4" w:space="0" w:color="auto"/>
              <w:right w:val="nil"/>
            </w:tcBorders>
            <w:shd w:val="clear" w:color="auto" w:fill="BFBFBF" w:themeFill="background1" w:themeFillShade="BF"/>
            <w:noWrap/>
            <w:vAlign w:val="center"/>
            <w:hideMark/>
          </w:tcPr>
          <w:p w14:paraId="310636F3"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vAlign w:val="center"/>
          </w:tcPr>
          <w:p w14:paraId="5676CE09"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auto"/>
            <w:noWrap/>
            <w:vAlign w:val="center"/>
            <w:hideMark/>
          </w:tcPr>
          <w:p w14:paraId="26CB0D3B" w14:textId="77777777" w:rsidR="00282975" w:rsidRPr="00282975" w:rsidRDefault="00282975">
            <w:pPr>
              <w:spacing w:after="0"/>
              <w:jc w:val="right"/>
              <w:rPr>
                <w:rFonts w:cs="Arial"/>
                <w:color w:val="000000"/>
                <w:sz w:val="15"/>
                <w:szCs w:val="15"/>
              </w:rPr>
            </w:pPr>
            <w:r w:rsidRPr="00D72D94">
              <w:rPr>
                <w:rFonts w:cs="Arial"/>
                <w:sz w:val="15"/>
                <w:szCs w:val="15"/>
              </w:rPr>
              <w:t>21.9</w:t>
            </w:r>
          </w:p>
        </w:tc>
        <w:tc>
          <w:tcPr>
            <w:tcW w:w="793" w:type="dxa"/>
            <w:tcBorders>
              <w:top w:val="nil"/>
              <w:left w:val="nil"/>
              <w:bottom w:val="single" w:sz="4" w:space="0" w:color="auto"/>
              <w:right w:val="nil"/>
            </w:tcBorders>
            <w:shd w:val="clear" w:color="auto" w:fill="auto"/>
            <w:noWrap/>
            <w:vAlign w:val="center"/>
            <w:hideMark/>
          </w:tcPr>
          <w:p w14:paraId="56C761BB" w14:textId="77777777" w:rsidR="00282975" w:rsidRPr="00282975" w:rsidRDefault="00282975">
            <w:pPr>
              <w:spacing w:after="0"/>
              <w:jc w:val="right"/>
              <w:rPr>
                <w:rFonts w:cs="Arial"/>
                <w:color w:val="000000"/>
                <w:sz w:val="15"/>
                <w:szCs w:val="15"/>
              </w:rPr>
            </w:pPr>
            <w:r w:rsidRPr="00D72D94">
              <w:rPr>
                <w:rFonts w:cs="Arial"/>
                <w:sz w:val="15"/>
                <w:szCs w:val="15"/>
              </w:rPr>
              <w:t>23.8</w:t>
            </w:r>
          </w:p>
        </w:tc>
        <w:tc>
          <w:tcPr>
            <w:tcW w:w="793" w:type="dxa"/>
            <w:tcBorders>
              <w:top w:val="nil"/>
              <w:left w:val="single" w:sz="4" w:space="0" w:color="auto"/>
              <w:bottom w:val="single" w:sz="4" w:space="0" w:color="auto"/>
              <w:right w:val="single" w:sz="4" w:space="0" w:color="auto"/>
            </w:tcBorders>
            <w:shd w:val="clear" w:color="auto" w:fill="auto"/>
            <w:noWrap/>
            <w:vAlign w:val="center"/>
            <w:hideMark/>
          </w:tcPr>
          <w:p w14:paraId="39FD1FD8" w14:textId="77777777" w:rsidR="00282975" w:rsidRPr="00282975" w:rsidRDefault="00282975">
            <w:pPr>
              <w:spacing w:after="0"/>
              <w:jc w:val="right"/>
              <w:rPr>
                <w:rFonts w:cs="Arial"/>
                <w:color w:val="000000"/>
                <w:sz w:val="15"/>
                <w:szCs w:val="15"/>
              </w:rPr>
            </w:pPr>
            <w:r w:rsidRPr="00D72D94">
              <w:rPr>
                <w:rFonts w:cs="Arial"/>
                <w:sz w:val="15"/>
                <w:szCs w:val="15"/>
              </w:rPr>
              <w:t>25.5</w:t>
            </w:r>
          </w:p>
        </w:tc>
        <w:tc>
          <w:tcPr>
            <w:tcW w:w="793" w:type="dxa"/>
            <w:tcBorders>
              <w:top w:val="nil"/>
              <w:left w:val="nil"/>
              <w:bottom w:val="single" w:sz="4" w:space="0" w:color="auto"/>
              <w:right w:val="nil"/>
            </w:tcBorders>
            <w:shd w:val="clear" w:color="auto" w:fill="auto"/>
            <w:noWrap/>
            <w:vAlign w:val="center"/>
            <w:hideMark/>
          </w:tcPr>
          <w:p w14:paraId="3EBB844D" w14:textId="77777777" w:rsidR="00282975" w:rsidRPr="00282975" w:rsidRDefault="00282975">
            <w:pPr>
              <w:spacing w:after="0"/>
              <w:jc w:val="right"/>
              <w:rPr>
                <w:rFonts w:cs="Arial"/>
                <w:color w:val="000000"/>
                <w:sz w:val="15"/>
                <w:szCs w:val="15"/>
              </w:rPr>
            </w:pPr>
            <w:r w:rsidRPr="00D72D94">
              <w:rPr>
                <w:rFonts w:cs="Arial"/>
                <w:sz w:val="15"/>
                <w:szCs w:val="15"/>
              </w:rPr>
              <w:t>27.2</w:t>
            </w:r>
          </w:p>
        </w:tc>
        <w:tc>
          <w:tcPr>
            <w:tcW w:w="793" w:type="dxa"/>
            <w:tcBorders>
              <w:top w:val="nil"/>
              <w:left w:val="nil"/>
              <w:bottom w:val="single" w:sz="4" w:space="0" w:color="auto"/>
              <w:right w:val="nil"/>
            </w:tcBorders>
            <w:shd w:val="clear" w:color="auto" w:fill="auto"/>
            <w:noWrap/>
            <w:vAlign w:val="center"/>
            <w:hideMark/>
          </w:tcPr>
          <w:p w14:paraId="3ACF47DA" w14:textId="77777777" w:rsidR="00282975" w:rsidRPr="00282975" w:rsidRDefault="00282975">
            <w:pPr>
              <w:spacing w:after="0"/>
              <w:jc w:val="right"/>
              <w:rPr>
                <w:rFonts w:cs="Arial"/>
                <w:color w:val="000000"/>
                <w:sz w:val="15"/>
                <w:szCs w:val="15"/>
              </w:rPr>
            </w:pPr>
            <w:r w:rsidRPr="00D72D94">
              <w:rPr>
                <w:rFonts w:cs="Arial"/>
                <w:sz w:val="15"/>
                <w:szCs w:val="15"/>
              </w:rPr>
              <w:t>29.0</w:t>
            </w:r>
          </w:p>
        </w:tc>
        <w:tc>
          <w:tcPr>
            <w:tcW w:w="793" w:type="dxa"/>
            <w:tcBorders>
              <w:top w:val="nil"/>
              <w:left w:val="nil"/>
              <w:bottom w:val="single" w:sz="4" w:space="0" w:color="auto"/>
              <w:right w:val="nil"/>
            </w:tcBorders>
            <w:shd w:val="clear" w:color="auto" w:fill="auto"/>
            <w:noWrap/>
            <w:vAlign w:val="center"/>
            <w:hideMark/>
          </w:tcPr>
          <w:p w14:paraId="3D0453C8" w14:textId="77777777" w:rsidR="00282975" w:rsidRPr="00282975" w:rsidRDefault="00282975">
            <w:pPr>
              <w:spacing w:after="0"/>
              <w:jc w:val="right"/>
              <w:rPr>
                <w:rFonts w:cs="Arial"/>
                <w:color w:val="000000"/>
                <w:sz w:val="15"/>
                <w:szCs w:val="15"/>
              </w:rPr>
            </w:pPr>
            <w:r w:rsidRPr="00D72D94">
              <w:rPr>
                <w:rFonts w:cs="Arial"/>
                <w:sz w:val="15"/>
                <w:szCs w:val="15"/>
              </w:rPr>
              <w:t>30.8</w:t>
            </w:r>
          </w:p>
        </w:tc>
        <w:tc>
          <w:tcPr>
            <w:tcW w:w="793" w:type="dxa"/>
            <w:tcBorders>
              <w:top w:val="nil"/>
              <w:left w:val="nil"/>
              <w:bottom w:val="single" w:sz="4" w:space="0" w:color="auto"/>
              <w:right w:val="single" w:sz="4" w:space="0" w:color="auto"/>
            </w:tcBorders>
            <w:shd w:val="clear" w:color="auto" w:fill="auto"/>
            <w:noWrap/>
            <w:vAlign w:val="center"/>
            <w:hideMark/>
          </w:tcPr>
          <w:p w14:paraId="6A0EF479" w14:textId="77777777" w:rsidR="00282975" w:rsidRPr="00282975" w:rsidRDefault="00282975">
            <w:pPr>
              <w:spacing w:after="0"/>
              <w:jc w:val="right"/>
              <w:rPr>
                <w:rFonts w:cs="Arial"/>
                <w:color w:val="000000"/>
                <w:sz w:val="15"/>
                <w:szCs w:val="15"/>
              </w:rPr>
            </w:pPr>
            <w:r w:rsidRPr="00D72D94">
              <w:rPr>
                <w:rFonts w:cs="Arial"/>
                <w:sz w:val="15"/>
                <w:szCs w:val="15"/>
              </w:rPr>
              <w:t>32.7</w:t>
            </w:r>
          </w:p>
        </w:tc>
      </w:tr>
      <w:tr w:rsidR="00282975" w:rsidRPr="00282975" w14:paraId="5504D8CC" w14:textId="77777777" w:rsidTr="00D72D94">
        <w:trPr>
          <w:trHeight w:val="301"/>
        </w:trPr>
        <w:tc>
          <w:tcPr>
            <w:tcW w:w="2943" w:type="dxa"/>
            <w:tcBorders>
              <w:top w:val="single" w:sz="4" w:space="0" w:color="auto"/>
              <w:left w:val="single" w:sz="4" w:space="0" w:color="auto"/>
              <w:bottom w:val="single" w:sz="4" w:space="0" w:color="auto"/>
              <w:right w:val="nil"/>
            </w:tcBorders>
            <w:shd w:val="clear" w:color="auto" w:fill="D3C5D7"/>
            <w:noWrap/>
            <w:vAlign w:val="center"/>
            <w:hideMark/>
          </w:tcPr>
          <w:p w14:paraId="6E1C7DE9" w14:textId="77777777" w:rsidR="00282975" w:rsidRPr="00282975" w:rsidRDefault="00282975" w:rsidP="00282975">
            <w:pPr>
              <w:spacing w:after="0"/>
              <w:rPr>
                <w:rFonts w:cs="Arial"/>
                <w:b/>
                <w:bCs/>
                <w:color w:val="000000"/>
                <w:sz w:val="15"/>
                <w:szCs w:val="15"/>
              </w:rPr>
            </w:pPr>
            <w:r w:rsidRPr="00282975">
              <w:rPr>
                <w:rFonts w:cs="Arial"/>
                <w:b/>
                <w:bCs/>
                <w:color w:val="000000"/>
                <w:sz w:val="15"/>
                <w:szCs w:val="15"/>
              </w:rPr>
              <w:t>AFSR</w:t>
            </w:r>
          </w:p>
        </w:tc>
        <w:tc>
          <w:tcPr>
            <w:tcW w:w="799" w:type="dxa"/>
            <w:tcBorders>
              <w:top w:val="single" w:sz="4" w:space="0" w:color="auto"/>
              <w:left w:val="nil"/>
              <w:bottom w:val="single" w:sz="4" w:space="0" w:color="auto"/>
              <w:right w:val="nil"/>
            </w:tcBorders>
            <w:shd w:val="clear" w:color="auto" w:fill="D3C5D7"/>
            <w:noWrap/>
            <w:vAlign w:val="center"/>
            <w:hideMark/>
          </w:tcPr>
          <w:p w14:paraId="5617557F" w14:textId="77777777" w:rsidR="00282975" w:rsidRPr="00282975" w:rsidRDefault="00282975">
            <w:pPr>
              <w:spacing w:after="0"/>
              <w:jc w:val="right"/>
              <w:rPr>
                <w:rFonts w:cs="Arial"/>
                <w:b/>
                <w:bCs/>
                <w:color w:val="000000"/>
                <w:sz w:val="15"/>
                <w:szCs w:val="15"/>
              </w:rPr>
            </w:pPr>
          </w:p>
        </w:tc>
        <w:tc>
          <w:tcPr>
            <w:tcW w:w="793" w:type="dxa"/>
            <w:tcBorders>
              <w:top w:val="single" w:sz="4" w:space="0" w:color="auto"/>
              <w:left w:val="nil"/>
              <w:bottom w:val="single" w:sz="4" w:space="0" w:color="auto"/>
              <w:right w:val="nil"/>
            </w:tcBorders>
            <w:shd w:val="clear" w:color="auto" w:fill="D3C5D7"/>
            <w:vAlign w:val="center"/>
          </w:tcPr>
          <w:p w14:paraId="5837BABC" w14:textId="77777777" w:rsidR="00282975" w:rsidRPr="00282975" w:rsidRDefault="00282975">
            <w:pPr>
              <w:spacing w:after="0"/>
              <w:jc w:val="right"/>
              <w:rPr>
                <w:rFonts w:cs="Arial"/>
                <w:b/>
                <w:bCs/>
                <w:color w:val="000000"/>
                <w:sz w:val="15"/>
                <w:szCs w:val="15"/>
              </w:rPr>
            </w:pPr>
          </w:p>
        </w:tc>
        <w:tc>
          <w:tcPr>
            <w:tcW w:w="793" w:type="dxa"/>
            <w:tcBorders>
              <w:top w:val="single" w:sz="4" w:space="0" w:color="auto"/>
              <w:left w:val="nil"/>
              <w:bottom w:val="single" w:sz="4" w:space="0" w:color="auto"/>
              <w:right w:val="nil"/>
            </w:tcBorders>
            <w:shd w:val="clear" w:color="auto" w:fill="D3C5D7"/>
            <w:noWrap/>
            <w:vAlign w:val="center"/>
            <w:hideMark/>
          </w:tcPr>
          <w:p w14:paraId="6D0390B7" w14:textId="77777777" w:rsidR="00282975" w:rsidRPr="00282975" w:rsidRDefault="00282975">
            <w:pPr>
              <w:spacing w:after="0"/>
              <w:jc w:val="right"/>
              <w:rPr>
                <w:rFonts w:cs="Arial"/>
                <w:b/>
                <w:bCs/>
                <w:color w:val="000000"/>
                <w:sz w:val="15"/>
                <w:szCs w:val="15"/>
              </w:rPr>
            </w:pPr>
          </w:p>
        </w:tc>
        <w:tc>
          <w:tcPr>
            <w:tcW w:w="793" w:type="dxa"/>
            <w:tcBorders>
              <w:top w:val="single" w:sz="4" w:space="0" w:color="auto"/>
              <w:left w:val="nil"/>
              <w:bottom w:val="single" w:sz="4" w:space="0" w:color="auto"/>
              <w:right w:val="nil"/>
            </w:tcBorders>
            <w:shd w:val="clear" w:color="auto" w:fill="D3C5D7"/>
            <w:noWrap/>
            <w:vAlign w:val="center"/>
            <w:hideMark/>
          </w:tcPr>
          <w:p w14:paraId="3CD3B531" w14:textId="77777777" w:rsidR="00282975" w:rsidRPr="00282975" w:rsidRDefault="00282975">
            <w:pPr>
              <w:spacing w:after="0"/>
              <w:jc w:val="right"/>
              <w:rPr>
                <w:rFonts w:cs="Arial"/>
                <w:b/>
                <w:bCs/>
                <w:color w:val="000000"/>
                <w:sz w:val="15"/>
                <w:szCs w:val="15"/>
              </w:rPr>
            </w:pPr>
          </w:p>
        </w:tc>
        <w:tc>
          <w:tcPr>
            <w:tcW w:w="793" w:type="dxa"/>
            <w:tcBorders>
              <w:top w:val="single" w:sz="4" w:space="0" w:color="auto"/>
              <w:left w:val="nil"/>
              <w:bottom w:val="single" w:sz="4" w:space="0" w:color="auto"/>
              <w:right w:val="nil"/>
            </w:tcBorders>
            <w:shd w:val="clear" w:color="auto" w:fill="D3C5D7"/>
            <w:noWrap/>
            <w:vAlign w:val="center"/>
            <w:hideMark/>
          </w:tcPr>
          <w:p w14:paraId="20DAE441" w14:textId="77777777" w:rsidR="00282975" w:rsidRPr="00282975" w:rsidRDefault="00282975">
            <w:pPr>
              <w:spacing w:after="0"/>
              <w:jc w:val="right"/>
              <w:rPr>
                <w:rFonts w:cs="Arial"/>
                <w:b/>
                <w:bCs/>
                <w:color w:val="000000"/>
                <w:sz w:val="15"/>
                <w:szCs w:val="15"/>
              </w:rPr>
            </w:pPr>
          </w:p>
        </w:tc>
        <w:tc>
          <w:tcPr>
            <w:tcW w:w="793" w:type="dxa"/>
            <w:tcBorders>
              <w:top w:val="single" w:sz="4" w:space="0" w:color="auto"/>
              <w:left w:val="nil"/>
              <w:bottom w:val="single" w:sz="4" w:space="0" w:color="auto"/>
              <w:right w:val="nil"/>
            </w:tcBorders>
            <w:shd w:val="clear" w:color="auto" w:fill="D3C5D7"/>
            <w:noWrap/>
            <w:vAlign w:val="center"/>
            <w:hideMark/>
          </w:tcPr>
          <w:p w14:paraId="08736816" w14:textId="77777777" w:rsidR="00282975" w:rsidRPr="00282975" w:rsidRDefault="00282975">
            <w:pPr>
              <w:spacing w:after="0"/>
              <w:jc w:val="right"/>
              <w:rPr>
                <w:rFonts w:cs="Arial"/>
                <w:b/>
                <w:bCs/>
                <w:color w:val="000000"/>
                <w:sz w:val="15"/>
                <w:szCs w:val="15"/>
              </w:rPr>
            </w:pPr>
          </w:p>
        </w:tc>
        <w:tc>
          <w:tcPr>
            <w:tcW w:w="793" w:type="dxa"/>
            <w:tcBorders>
              <w:top w:val="single" w:sz="4" w:space="0" w:color="auto"/>
              <w:left w:val="nil"/>
              <w:bottom w:val="single" w:sz="4" w:space="0" w:color="auto"/>
              <w:right w:val="nil"/>
            </w:tcBorders>
            <w:shd w:val="clear" w:color="auto" w:fill="D3C5D7"/>
            <w:noWrap/>
            <w:vAlign w:val="center"/>
            <w:hideMark/>
          </w:tcPr>
          <w:p w14:paraId="4E6CB8A2" w14:textId="77777777" w:rsidR="00282975" w:rsidRPr="00282975" w:rsidRDefault="00282975">
            <w:pPr>
              <w:spacing w:after="0"/>
              <w:jc w:val="right"/>
              <w:rPr>
                <w:rFonts w:cs="Arial"/>
                <w:b/>
                <w:bCs/>
                <w:color w:val="000000"/>
                <w:sz w:val="15"/>
                <w:szCs w:val="15"/>
              </w:rPr>
            </w:pPr>
          </w:p>
        </w:tc>
        <w:tc>
          <w:tcPr>
            <w:tcW w:w="793" w:type="dxa"/>
            <w:tcBorders>
              <w:top w:val="single" w:sz="4" w:space="0" w:color="auto"/>
              <w:left w:val="nil"/>
              <w:bottom w:val="single" w:sz="4" w:space="0" w:color="auto"/>
              <w:right w:val="nil"/>
            </w:tcBorders>
            <w:shd w:val="clear" w:color="auto" w:fill="D3C5D7"/>
            <w:noWrap/>
            <w:vAlign w:val="center"/>
            <w:hideMark/>
          </w:tcPr>
          <w:p w14:paraId="3BF3F1DF" w14:textId="77777777" w:rsidR="00282975" w:rsidRPr="00282975" w:rsidRDefault="00282975">
            <w:pPr>
              <w:spacing w:after="0"/>
              <w:jc w:val="right"/>
              <w:rPr>
                <w:rFonts w:cs="Arial"/>
                <w:b/>
                <w:bCs/>
                <w:color w:val="000000"/>
                <w:sz w:val="15"/>
                <w:szCs w:val="15"/>
              </w:rPr>
            </w:pPr>
          </w:p>
        </w:tc>
        <w:tc>
          <w:tcPr>
            <w:tcW w:w="793" w:type="dxa"/>
            <w:tcBorders>
              <w:top w:val="single" w:sz="4" w:space="0" w:color="auto"/>
              <w:left w:val="nil"/>
              <w:bottom w:val="single" w:sz="4" w:space="0" w:color="auto"/>
              <w:right w:val="single" w:sz="4" w:space="0" w:color="auto"/>
            </w:tcBorders>
            <w:shd w:val="clear" w:color="auto" w:fill="D3C5D7"/>
            <w:noWrap/>
            <w:vAlign w:val="center"/>
            <w:hideMark/>
          </w:tcPr>
          <w:p w14:paraId="1892DBBE" w14:textId="77777777" w:rsidR="00282975" w:rsidRPr="00282975" w:rsidRDefault="00282975">
            <w:pPr>
              <w:spacing w:after="0"/>
              <w:jc w:val="right"/>
              <w:rPr>
                <w:rFonts w:cs="Arial"/>
                <w:b/>
                <w:bCs/>
                <w:color w:val="000000"/>
                <w:sz w:val="15"/>
                <w:szCs w:val="15"/>
              </w:rPr>
            </w:pPr>
          </w:p>
        </w:tc>
      </w:tr>
      <w:tr w:rsidR="00282975" w:rsidRPr="00282975" w14:paraId="0CC55FE8" w14:textId="77777777" w:rsidTr="00D72D94">
        <w:trPr>
          <w:trHeight w:val="301"/>
        </w:trPr>
        <w:tc>
          <w:tcPr>
            <w:tcW w:w="2943" w:type="dxa"/>
            <w:tcBorders>
              <w:top w:val="nil"/>
              <w:left w:val="single" w:sz="4" w:space="0" w:color="auto"/>
              <w:bottom w:val="single" w:sz="4" w:space="0" w:color="auto"/>
              <w:right w:val="single" w:sz="4" w:space="0" w:color="auto"/>
            </w:tcBorders>
            <w:shd w:val="clear" w:color="auto" w:fill="auto"/>
            <w:noWrap/>
            <w:vAlign w:val="center"/>
          </w:tcPr>
          <w:p w14:paraId="35FDDC9B" w14:textId="77777777" w:rsidR="00282975" w:rsidRPr="00282975" w:rsidRDefault="00282975" w:rsidP="00282975">
            <w:pPr>
              <w:spacing w:after="0"/>
              <w:rPr>
                <w:rFonts w:cs="Arial"/>
                <w:color w:val="000000"/>
                <w:sz w:val="15"/>
                <w:szCs w:val="15"/>
              </w:rPr>
            </w:pPr>
            <w:r w:rsidRPr="00282975">
              <w:rPr>
                <w:rFonts w:cs="Arial"/>
                <w:color w:val="000000"/>
                <w:sz w:val="15"/>
                <w:szCs w:val="15"/>
              </w:rPr>
              <w:t>30 June 2022 AFSR projection</w:t>
            </w:r>
          </w:p>
        </w:tc>
        <w:tc>
          <w:tcPr>
            <w:tcW w:w="799" w:type="dxa"/>
            <w:tcBorders>
              <w:top w:val="nil"/>
              <w:left w:val="nil"/>
              <w:bottom w:val="single" w:sz="4" w:space="0" w:color="auto"/>
              <w:right w:val="nil"/>
            </w:tcBorders>
            <w:shd w:val="clear" w:color="auto" w:fill="BFBFBF" w:themeFill="background1" w:themeFillShade="BF"/>
            <w:noWrap/>
            <w:vAlign w:val="center"/>
          </w:tcPr>
          <w:p w14:paraId="6704FF9F"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vAlign w:val="center"/>
          </w:tcPr>
          <w:p w14:paraId="45CF6462" w14:textId="77777777" w:rsidR="00282975" w:rsidRPr="00282975" w:rsidRDefault="00282975">
            <w:pPr>
              <w:spacing w:after="0"/>
              <w:jc w:val="right"/>
              <w:rPr>
                <w:rFonts w:cs="Arial"/>
                <w:color w:val="000000"/>
                <w:sz w:val="15"/>
                <w:szCs w:val="15"/>
              </w:rPr>
            </w:pPr>
          </w:p>
        </w:tc>
        <w:tc>
          <w:tcPr>
            <w:tcW w:w="793" w:type="dxa"/>
            <w:tcBorders>
              <w:top w:val="single" w:sz="4" w:space="0" w:color="auto"/>
              <w:left w:val="nil"/>
              <w:bottom w:val="single" w:sz="4" w:space="0" w:color="auto"/>
              <w:right w:val="nil"/>
            </w:tcBorders>
            <w:shd w:val="clear" w:color="auto" w:fill="BFBFBF" w:themeFill="background1" w:themeFillShade="BF"/>
            <w:noWrap/>
            <w:vAlign w:val="center"/>
          </w:tcPr>
          <w:p w14:paraId="404AD37A" w14:textId="77777777" w:rsidR="00282975" w:rsidRPr="00282975" w:rsidRDefault="00282975">
            <w:pPr>
              <w:spacing w:after="0"/>
              <w:jc w:val="right"/>
              <w:rPr>
                <w:rFonts w:cs="Arial"/>
                <w:color w:val="000000"/>
                <w:sz w:val="15"/>
                <w:szCs w:val="15"/>
              </w:rPr>
            </w:pPr>
          </w:p>
        </w:tc>
        <w:tc>
          <w:tcPr>
            <w:tcW w:w="793" w:type="dxa"/>
            <w:tcBorders>
              <w:top w:val="single" w:sz="4" w:space="0" w:color="auto"/>
              <w:left w:val="nil"/>
              <w:bottom w:val="single" w:sz="4" w:space="0" w:color="auto"/>
            </w:tcBorders>
            <w:shd w:val="clear" w:color="auto" w:fill="BFBFBF" w:themeFill="background1" w:themeFillShade="BF"/>
            <w:noWrap/>
            <w:vAlign w:val="center"/>
          </w:tcPr>
          <w:p w14:paraId="119FBAED"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single" w:sz="4" w:space="0" w:color="auto"/>
            </w:tcBorders>
            <w:shd w:val="clear" w:color="auto" w:fill="BFBFBF" w:themeFill="background1" w:themeFillShade="BF"/>
            <w:noWrap/>
            <w:vAlign w:val="center"/>
          </w:tcPr>
          <w:p w14:paraId="37D2D424" w14:textId="77777777" w:rsidR="00282975" w:rsidRPr="00282975" w:rsidRDefault="00282975">
            <w:pPr>
              <w:spacing w:after="0"/>
              <w:jc w:val="right"/>
              <w:rPr>
                <w:rFonts w:cs="Arial"/>
                <w:color w:val="000000"/>
                <w:sz w:val="15"/>
                <w:szCs w:val="15"/>
              </w:rPr>
            </w:pPr>
          </w:p>
        </w:tc>
        <w:tc>
          <w:tcPr>
            <w:tcW w:w="793" w:type="dxa"/>
            <w:tcBorders>
              <w:top w:val="single" w:sz="4" w:space="0" w:color="auto"/>
              <w:left w:val="nil"/>
              <w:bottom w:val="single" w:sz="4" w:space="0" w:color="auto"/>
            </w:tcBorders>
            <w:shd w:val="clear" w:color="auto" w:fill="auto"/>
            <w:noWrap/>
            <w:vAlign w:val="center"/>
          </w:tcPr>
          <w:p w14:paraId="2E212BD7" w14:textId="77777777" w:rsidR="00282975" w:rsidRPr="00282975" w:rsidRDefault="00282975">
            <w:pPr>
              <w:spacing w:after="0"/>
              <w:jc w:val="right"/>
              <w:rPr>
                <w:rFonts w:cs="Arial"/>
                <w:color w:val="000000"/>
                <w:sz w:val="15"/>
                <w:szCs w:val="15"/>
              </w:rPr>
            </w:pPr>
            <w:r w:rsidRPr="00D72D94">
              <w:rPr>
                <w:rFonts w:cs="Arial"/>
                <w:sz w:val="15"/>
                <w:szCs w:val="15"/>
              </w:rPr>
              <w:t>34.0</w:t>
            </w:r>
          </w:p>
        </w:tc>
        <w:tc>
          <w:tcPr>
            <w:tcW w:w="793" w:type="dxa"/>
            <w:tcBorders>
              <w:top w:val="nil"/>
              <w:left w:val="nil"/>
              <w:bottom w:val="single" w:sz="4" w:space="0" w:color="auto"/>
              <w:right w:val="nil"/>
            </w:tcBorders>
            <w:shd w:val="clear" w:color="auto" w:fill="auto"/>
            <w:noWrap/>
            <w:vAlign w:val="center"/>
          </w:tcPr>
          <w:p w14:paraId="499BAAE0" w14:textId="77777777" w:rsidR="00282975" w:rsidRPr="00282975" w:rsidRDefault="00282975">
            <w:pPr>
              <w:spacing w:after="0"/>
              <w:jc w:val="right"/>
              <w:rPr>
                <w:rFonts w:cs="Arial"/>
                <w:color w:val="000000"/>
                <w:sz w:val="15"/>
                <w:szCs w:val="15"/>
              </w:rPr>
            </w:pPr>
            <w:r w:rsidRPr="00D72D94">
              <w:rPr>
                <w:rFonts w:cs="Arial"/>
                <w:sz w:val="15"/>
                <w:szCs w:val="15"/>
              </w:rPr>
              <w:t>38.1</w:t>
            </w:r>
          </w:p>
        </w:tc>
        <w:tc>
          <w:tcPr>
            <w:tcW w:w="793" w:type="dxa"/>
            <w:tcBorders>
              <w:top w:val="nil"/>
              <w:left w:val="nil"/>
              <w:bottom w:val="single" w:sz="4" w:space="0" w:color="auto"/>
              <w:right w:val="nil"/>
            </w:tcBorders>
            <w:shd w:val="clear" w:color="auto" w:fill="auto"/>
            <w:noWrap/>
            <w:vAlign w:val="center"/>
          </w:tcPr>
          <w:p w14:paraId="73F7300F" w14:textId="77777777" w:rsidR="00282975" w:rsidRPr="00282975" w:rsidRDefault="00282975">
            <w:pPr>
              <w:spacing w:after="0"/>
              <w:jc w:val="right"/>
              <w:rPr>
                <w:rFonts w:cs="Arial"/>
                <w:color w:val="000000"/>
                <w:sz w:val="15"/>
                <w:szCs w:val="15"/>
              </w:rPr>
            </w:pPr>
            <w:r w:rsidRPr="00D72D94">
              <w:rPr>
                <w:rFonts w:cs="Arial"/>
                <w:sz w:val="15"/>
                <w:szCs w:val="15"/>
              </w:rPr>
              <w:t>44.1</w:t>
            </w:r>
          </w:p>
        </w:tc>
        <w:tc>
          <w:tcPr>
            <w:tcW w:w="793" w:type="dxa"/>
            <w:tcBorders>
              <w:top w:val="single" w:sz="4" w:space="0" w:color="auto"/>
              <w:left w:val="nil"/>
              <w:bottom w:val="single" w:sz="4" w:space="0" w:color="auto"/>
              <w:right w:val="single" w:sz="4" w:space="0" w:color="auto"/>
            </w:tcBorders>
            <w:vAlign w:val="center"/>
          </w:tcPr>
          <w:p w14:paraId="6CFBA3BC" w14:textId="77777777" w:rsidR="00282975" w:rsidRPr="00282975" w:rsidRDefault="00282975">
            <w:pPr>
              <w:spacing w:after="0"/>
              <w:jc w:val="right"/>
              <w:rPr>
                <w:rFonts w:cs="Arial"/>
                <w:color w:val="000000"/>
                <w:sz w:val="15"/>
                <w:szCs w:val="15"/>
              </w:rPr>
            </w:pPr>
            <w:r w:rsidRPr="00D72D94">
              <w:rPr>
                <w:rFonts w:cs="Arial"/>
                <w:sz w:val="15"/>
                <w:szCs w:val="15"/>
              </w:rPr>
              <w:t>50.3</w:t>
            </w:r>
          </w:p>
        </w:tc>
      </w:tr>
      <w:tr w:rsidR="00282975" w:rsidRPr="00282975" w14:paraId="4B817B6D" w14:textId="77777777" w:rsidTr="00D72D94">
        <w:trPr>
          <w:trHeight w:val="301"/>
        </w:trPr>
        <w:tc>
          <w:tcPr>
            <w:tcW w:w="2943" w:type="dxa"/>
            <w:tcBorders>
              <w:top w:val="nil"/>
              <w:left w:val="single" w:sz="4" w:space="0" w:color="auto"/>
              <w:bottom w:val="single" w:sz="4" w:space="0" w:color="auto"/>
              <w:right w:val="single" w:sz="4" w:space="0" w:color="auto"/>
            </w:tcBorders>
            <w:shd w:val="clear" w:color="auto" w:fill="auto"/>
            <w:noWrap/>
            <w:vAlign w:val="center"/>
            <w:hideMark/>
          </w:tcPr>
          <w:p w14:paraId="0AFCFD75" w14:textId="77777777" w:rsidR="00282975" w:rsidRPr="00282975" w:rsidRDefault="00282975" w:rsidP="00282975">
            <w:pPr>
              <w:spacing w:after="0"/>
              <w:rPr>
                <w:rFonts w:cs="Arial"/>
                <w:color w:val="000000"/>
                <w:sz w:val="15"/>
                <w:szCs w:val="15"/>
              </w:rPr>
            </w:pPr>
            <w:r w:rsidRPr="00282975">
              <w:rPr>
                <w:rFonts w:cs="Arial"/>
                <w:color w:val="000000"/>
                <w:sz w:val="15"/>
                <w:szCs w:val="15"/>
              </w:rPr>
              <w:t>30 June 2021 AFSR projection</w:t>
            </w:r>
            <w:r w:rsidRPr="00282975">
              <w:rPr>
                <w:rStyle w:val="FootnoteReference"/>
                <w:rFonts w:cs="Arial"/>
                <w:color w:val="000000"/>
                <w:sz w:val="15"/>
                <w:szCs w:val="15"/>
              </w:rPr>
              <w:footnoteReference w:id="118"/>
            </w:r>
          </w:p>
        </w:tc>
        <w:tc>
          <w:tcPr>
            <w:tcW w:w="799" w:type="dxa"/>
            <w:tcBorders>
              <w:top w:val="nil"/>
              <w:left w:val="nil"/>
              <w:bottom w:val="single" w:sz="4" w:space="0" w:color="auto"/>
              <w:right w:val="nil"/>
            </w:tcBorders>
            <w:shd w:val="clear" w:color="auto" w:fill="BFBFBF" w:themeFill="background1" w:themeFillShade="BF"/>
            <w:noWrap/>
            <w:vAlign w:val="center"/>
            <w:hideMark/>
          </w:tcPr>
          <w:p w14:paraId="2694317F"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vAlign w:val="center"/>
          </w:tcPr>
          <w:p w14:paraId="1E3B8D43"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noWrap/>
            <w:vAlign w:val="center"/>
            <w:hideMark/>
          </w:tcPr>
          <w:p w14:paraId="6DA6F8B0"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noWrap/>
            <w:vAlign w:val="center"/>
            <w:hideMark/>
          </w:tcPr>
          <w:p w14:paraId="399F5E5D" w14:textId="77777777" w:rsidR="00282975" w:rsidRPr="00282975" w:rsidRDefault="00282975">
            <w:pPr>
              <w:spacing w:after="0"/>
              <w:jc w:val="right"/>
              <w:rPr>
                <w:rFonts w:cs="Arial"/>
                <w:color w:val="000000"/>
                <w:sz w:val="15"/>
                <w:szCs w:val="15"/>
              </w:rPr>
            </w:pPr>
          </w:p>
        </w:tc>
        <w:tc>
          <w:tcPr>
            <w:tcW w:w="793" w:type="dxa"/>
            <w:tcBorders>
              <w:top w:val="nil"/>
              <w:left w:val="single" w:sz="4" w:space="0" w:color="auto"/>
              <w:bottom w:val="single" w:sz="4" w:space="0" w:color="auto"/>
              <w:right w:val="single" w:sz="4" w:space="0" w:color="auto"/>
            </w:tcBorders>
            <w:shd w:val="clear" w:color="auto" w:fill="FFE699"/>
            <w:noWrap/>
            <w:vAlign w:val="center"/>
            <w:hideMark/>
          </w:tcPr>
          <w:p w14:paraId="31F3FB50" w14:textId="77777777" w:rsidR="00282975" w:rsidRPr="00282975" w:rsidRDefault="00282975">
            <w:pPr>
              <w:spacing w:after="0"/>
              <w:jc w:val="right"/>
              <w:rPr>
                <w:rFonts w:cs="Arial"/>
                <w:color w:val="000000"/>
                <w:sz w:val="15"/>
                <w:szCs w:val="15"/>
              </w:rPr>
            </w:pPr>
            <w:r w:rsidRPr="00D72D94">
              <w:rPr>
                <w:rFonts w:cs="Arial"/>
                <w:sz w:val="15"/>
                <w:szCs w:val="15"/>
              </w:rPr>
              <w:t>29.2</w:t>
            </w:r>
          </w:p>
        </w:tc>
        <w:tc>
          <w:tcPr>
            <w:tcW w:w="793" w:type="dxa"/>
            <w:tcBorders>
              <w:top w:val="nil"/>
              <w:left w:val="nil"/>
              <w:bottom w:val="single" w:sz="4" w:space="0" w:color="auto"/>
              <w:right w:val="nil"/>
            </w:tcBorders>
            <w:shd w:val="clear" w:color="auto" w:fill="auto"/>
            <w:noWrap/>
            <w:vAlign w:val="center"/>
            <w:hideMark/>
          </w:tcPr>
          <w:p w14:paraId="77FD0A9E" w14:textId="77777777" w:rsidR="00282975" w:rsidRPr="00282975" w:rsidRDefault="00282975">
            <w:pPr>
              <w:spacing w:after="0"/>
              <w:jc w:val="right"/>
              <w:rPr>
                <w:rFonts w:cs="Arial"/>
                <w:color w:val="000000"/>
                <w:sz w:val="15"/>
                <w:szCs w:val="15"/>
              </w:rPr>
            </w:pPr>
            <w:r w:rsidRPr="00D72D94">
              <w:rPr>
                <w:rFonts w:cs="Arial"/>
                <w:sz w:val="15"/>
                <w:szCs w:val="15"/>
              </w:rPr>
              <w:t>33.9</w:t>
            </w:r>
          </w:p>
        </w:tc>
        <w:tc>
          <w:tcPr>
            <w:tcW w:w="793" w:type="dxa"/>
            <w:tcBorders>
              <w:top w:val="nil"/>
              <w:left w:val="nil"/>
              <w:bottom w:val="single" w:sz="4" w:space="0" w:color="auto"/>
              <w:right w:val="nil"/>
            </w:tcBorders>
            <w:shd w:val="clear" w:color="auto" w:fill="auto"/>
            <w:noWrap/>
            <w:vAlign w:val="center"/>
            <w:hideMark/>
          </w:tcPr>
          <w:p w14:paraId="418D5871" w14:textId="77777777" w:rsidR="00282975" w:rsidRPr="00282975" w:rsidRDefault="00282975">
            <w:pPr>
              <w:spacing w:after="0"/>
              <w:jc w:val="right"/>
              <w:rPr>
                <w:rFonts w:cs="Arial"/>
                <w:color w:val="000000"/>
                <w:sz w:val="15"/>
                <w:szCs w:val="15"/>
              </w:rPr>
            </w:pPr>
            <w:r w:rsidRPr="00D72D94">
              <w:rPr>
                <w:rFonts w:cs="Arial"/>
                <w:sz w:val="15"/>
                <w:szCs w:val="15"/>
              </w:rPr>
              <w:t>38.0</w:t>
            </w:r>
          </w:p>
        </w:tc>
        <w:tc>
          <w:tcPr>
            <w:tcW w:w="793" w:type="dxa"/>
            <w:tcBorders>
              <w:top w:val="nil"/>
              <w:left w:val="nil"/>
              <w:bottom w:val="single" w:sz="4" w:space="0" w:color="auto"/>
              <w:right w:val="nil"/>
            </w:tcBorders>
            <w:shd w:val="clear" w:color="auto" w:fill="auto"/>
            <w:noWrap/>
            <w:vAlign w:val="center"/>
            <w:hideMark/>
          </w:tcPr>
          <w:p w14:paraId="6686C96E" w14:textId="77777777" w:rsidR="00282975" w:rsidRPr="00282975" w:rsidRDefault="00282975">
            <w:pPr>
              <w:spacing w:after="0"/>
              <w:jc w:val="right"/>
              <w:rPr>
                <w:rFonts w:cs="Arial"/>
                <w:color w:val="000000"/>
                <w:sz w:val="15"/>
                <w:szCs w:val="15"/>
              </w:rPr>
            </w:pPr>
            <w:r w:rsidRPr="00D72D94">
              <w:rPr>
                <w:rFonts w:cs="Arial"/>
                <w:sz w:val="15"/>
                <w:szCs w:val="15"/>
              </w:rPr>
              <w:t>41.4</w:t>
            </w:r>
          </w:p>
        </w:tc>
        <w:tc>
          <w:tcPr>
            <w:tcW w:w="793" w:type="dxa"/>
            <w:tcBorders>
              <w:top w:val="nil"/>
              <w:left w:val="nil"/>
              <w:bottom w:val="single" w:sz="4" w:space="0" w:color="auto"/>
              <w:right w:val="single" w:sz="4" w:space="0" w:color="auto"/>
            </w:tcBorders>
            <w:shd w:val="clear" w:color="auto" w:fill="auto"/>
            <w:noWrap/>
            <w:vAlign w:val="center"/>
            <w:hideMark/>
          </w:tcPr>
          <w:p w14:paraId="5BEA6DC1" w14:textId="77777777" w:rsidR="00282975" w:rsidRPr="00282975" w:rsidRDefault="00282975">
            <w:pPr>
              <w:spacing w:after="0"/>
              <w:jc w:val="right"/>
              <w:rPr>
                <w:rFonts w:cs="Arial"/>
                <w:color w:val="000000"/>
                <w:sz w:val="15"/>
                <w:szCs w:val="15"/>
              </w:rPr>
            </w:pPr>
            <w:r w:rsidRPr="00D72D94">
              <w:rPr>
                <w:rFonts w:cs="Arial"/>
                <w:sz w:val="15"/>
                <w:szCs w:val="15"/>
              </w:rPr>
              <w:t>44.6</w:t>
            </w:r>
          </w:p>
        </w:tc>
      </w:tr>
      <w:tr w:rsidR="00282975" w:rsidRPr="00282975" w14:paraId="7EEADD54" w14:textId="77777777" w:rsidTr="00D72D94">
        <w:trPr>
          <w:trHeight w:val="301"/>
        </w:trPr>
        <w:tc>
          <w:tcPr>
            <w:tcW w:w="2943" w:type="dxa"/>
            <w:tcBorders>
              <w:top w:val="nil"/>
              <w:left w:val="single" w:sz="4" w:space="0" w:color="auto"/>
              <w:bottom w:val="single" w:sz="4" w:space="0" w:color="auto"/>
              <w:right w:val="single" w:sz="4" w:space="0" w:color="auto"/>
            </w:tcBorders>
            <w:shd w:val="clear" w:color="auto" w:fill="auto"/>
            <w:noWrap/>
            <w:vAlign w:val="center"/>
            <w:hideMark/>
          </w:tcPr>
          <w:p w14:paraId="4168D72B" w14:textId="77777777" w:rsidR="00282975" w:rsidRPr="00282975" w:rsidRDefault="00282975" w:rsidP="00282975">
            <w:pPr>
              <w:spacing w:after="0"/>
              <w:rPr>
                <w:rFonts w:cs="Arial"/>
                <w:color w:val="000000"/>
                <w:sz w:val="15"/>
                <w:szCs w:val="15"/>
              </w:rPr>
            </w:pPr>
            <w:r w:rsidRPr="00282975">
              <w:rPr>
                <w:rFonts w:cs="Arial"/>
                <w:color w:val="000000"/>
                <w:sz w:val="15"/>
                <w:szCs w:val="15"/>
              </w:rPr>
              <w:t>31 December 2020 AFSR projection</w:t>
            </w:r>
            <w:r w:rsidRPr="00282975">
              <w:rPr>
                <w:rStyle w:val="FootnoteReference"/>
                <w:rFonts w:cs="Arial"/>
                <w:color w:val="000000"/>
                <w:sz w:val="15"/>
                <w:szCs w:val="15"/>
              </w:rPr>
              <w:footnoteReference w:id="119"/>
            </w:r>
          </w:p>
        </w:tc>
        <w:tc>
          <w:tcPr>
            <w:tcW w:w="799" w:type="dxa"/>
            <w:tcBorders>
              <w:top w:val="nil"/>
              <w:left w:val="nil"/>
              <w:bottom w:val="single" w:sz="4" w:space="0" w:color="auto"/>
              <w:right w:val="nil"/>
            </w:tcBorders>
            <w:shd w:val="clear" w:color="auto" w:fill="BFBFBF" w:themeFill="background1" w:themeFillShade="BF"/>
            <w:noWrap/>
            <w:vAlign w:val="center"/>
            <w:hideMark/>
          </w:tcPr>
          <w:p w14:paraId="6E136CE7"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vAlign w:val="center"/>
          </w:tcPr>
          <w:p w14:paraId="7A45C36A"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noWrap/>
            <w:vAlign w:val="center"/>
            <w:hideMark/>
          </w:tcPr>
          <w:p w14:paraId="6166B01E"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noWrap/>
            <w:vAlign w:val="center"/>
            <w:hideMark/>
          </w:tcPr>
          <w:p w14:paraId="3B7F5D6B" w14:textId="77777777" w:rsidR="00282975" w:rsidRPr="00282975" w:rsidRDefault="00282975">
            <w:pPr>
              <w:spacing w:after="0"/>
              <w:jc w:val="right"/>
              <w:rPr>
                <w:rFonts w:cs="Arial"/>
                <w:color w:val="000000"/>
                <w:sz w:val="15"/>
                <w:szCs w:val="15"/>
              </w:rPr>
            </w:pPr>
          </w:p>
        </w:tc>
        <w:tc>
          <w:tcPr>
            <w:tcW w:w="793" w:type="dxa"/>
            <w:tcBorders>
              <w:top w:val="nil"/>
              <w:left w:val="single" w:sz="4" w:space="0" w:color="auto"/>
              <w:bottom w:val="single" w:sz="4" w:space="0" w:color="auto"/>
              <w:right w:val="single" w:sz="4" w:space="0" w:color="auto"/>
            </w:tcBorders>
            <w:shd w:val="clear" w:color="auto" w:fill="auto"/>
            <w:noWrap/>
            <w:vAlign w:val="center"/>
            <w:hideMark/>
          </w:tcPr>
          <w:p w14:paraId="202FA8A4" w14:textId="77777777" w:rsidR="00282975" w:rsidRPr="00282975" w:rsidRDefault="00282975">
            <w:pPr>
              <w:spacing w:after="0"/>
              <w:jc w:val="right"/>
              <w:rPr>
                <w:rFonts w:cs="Arial"/>
                <w:color w:val="000000"/>
                <w:sz w:val="15"/>
                <w:szCs w:val="15"/>
              </w:rPr>
            </w:pPr>
            <w:r w:rsidRPr="00D72D94">
              <w:rPr>
                <w:rFonts w:cs="Arial"/>
                <w:sz w:val="15"/>
                <w:szCs w:val="15"/>
              </w:rPr>
              <w:t>28.1</w:t>
            </w:r>
          </w:p>
        </w:tc>
        <w:tc>
          <w:tcPr>
            <w:tcW w:w="793" w:type="dxa"/>
            <w:tcBorders>
              <w:top w:val="nil"/>
              <w:left w:val="nil"/>
              <w:bottom w:val="single" w:sz="4" w:space="0" w:color="auto"/>
              <w:right w:val="nil"/>
            </w:tcBorders>
            <w:shd w:val="clear" w:color="auto" w:fill="auto"/>
            <w:noWrap/>
            <w:vAlign w:val="center"/>
            <w:hideMark/>
          </w:tcPr>
          <w:p w14:paraId="5F655C17" w14:textId="77777777" w:rsidR="00282975" w:rsidRPr="00282975" w:rsidRDefault="00282975">
            <w:pPr>
              <w:spacing w:after="0"/>
              <w:jc w:val="right"/>
              <w:rPr>
                <w:rFonts w:cs="Arial"/>
                <w:color w:val="000000"/>
                <w:sz w:val="15"/>
                <w:szCs w:val="15"/>
              </w:rPr>
            </w:pPr>
            <w:r w:rsidRPr="00D72D94">
              <w:rPr>
                <w:rFonts w:cs="Arial"/>
                <w:sz w:val="15"/>
                <w:szCs w:val="15"/>
              </w:rPr>
              <w:t>32.9</w:t>
            </w:r>
          </w:p>
        </w:tc>
        <w:tc>
          <w:tcPr>
            <w:tcW w:w="793" w:type="dxa"/>
            <w:tcBorders>
              <w:top w:val="nil"/>
              <w:left w:val="nil"/>
              <w:bottom w:val="single" w:sz="4" w:space="0" w:color="auto"/>
              <w:right w:val="nil"/>
            </w:tcBorders>
            <w:shd w:val="clear" w:color="auto" w:fill="auto"/>
            <w:noWrap/>
            <w:vAlign w:val="center"/>
            <w:hideMark/>
          </w:tcPr>
          <w:p w14:paraId="4E8AC741" w14:textId="77777777" w:rsidR="00282975" w:rsidRPr="00282975" w:rsidRDefault="00282975">
            <w:pPr>
              <w:spacing w:after="0"/>
              <w:jc w:val="right"/>
              <w:rPr>
                <w:rFonts w:cs="Arial"/>
                <w:color w:val="000000"/>
                <w:sz w:val="15"/>
                <w:szCs w:val="15"/>
              </w:rPr>
            </w:pPr>
            <w:r w:rsidRPr="00D72D94">
              <w:rPr>
                <w:rFonts w:cs="Arial"/>
                <w:sz w:val="15"/>
                <w:szCs w:val="15"/>
              </w:rPr>
              <w:t>36.9</w:t>
            </w:r>
          </w:p>
        </w:tc>
        <w:tc>
          <w:tcPr>
            <w:tcW w:w="793" w:type="dxa"/>
            <w:tcBorders>
              <w:top w:val="nil"/>
              <w:left w:val="nil"/>
              <w:bottom w:val="single" w:sz="4" w:space="0" w:color="auto"/>
              <w:right w:val="nil"/>
            </w:tcBorders>
            <w:shd w:val="clear" w:color="auto" w:fill="auto"/>
            <w:noWrap/>
            <w:vAlign w:val="center"/>
            <w:hideMark/>
          </w:tcPr>
          <w:p w14:paraId="3D0AEDD8" w14:textId="77777777" w:rsidR="00282975" w:rsidRPr="00282975" w:rsidRDefault="00282975">
            <w:pPr>
              <w:spacing w:after="0"/>
              <w:jc w:val="right"/>
              <w:rPr>
                <w:rFonts w:cs="Arial"/>
                <w:color w:val="000000"/>
                <w:sz w:val="15"/>
                <w:szCs w:val="15"/>
              </w:rPr>
            </w:pPr>
            <w:r w:rsidRPr="00D72D94">
              <w:rPr>
                <w:rFonts w:cs="Arial"/>
                <w:sz w:val="15"/>
                <w:szCs w:val="15"/>
              </w:rPr>
              <w:t>40.7</w:t>
            </w:r>
          </w:p>
        </w:tc>
        <w:tc>
          <w:tcPr>
            <w:tcW w:w="793" w:type="dxa"/>
            <w:tcBorders>
              <w:top w:val="nil"/>
              <w:left w:val="nil"/>
              <w:bottom w:val="single" w:sz="4" w:space="0" w:color="auto"/>
              <w:right w:val="single" w:sz="4" w:space="0" w:color="auto"/>
            </w:tcBorders>
            <w:shd w:val="clear" w:color="auto" w:fill="auto"/>
            <w:noWrap/>
            <w:vAlign w:val="center"/>
            <w:hideMark/>
          </w:tcPr>
          <w:p w14:paraId="67533A27" w14:textId="77777777" w:rsidR="00282975" w:rsidRPr="00282975" w:rsidRDefault="00282975">
            <w:pPr>
              <w:spacing w:after="0"/>
              <w:jc w:val="right"/>
              <w:rPr>
                <w:rFonts w:cs="Arial"/>
                <w:color w:val="000000"/>
                <w:sz w:val="15"/>
                <w:szCs w:val="15"/>
              </w:rPr>
            </w:pPr>
            <w:r w:rsidRPr="00D72D94">
              <w:rPr>
                <w:rFonts w:cs="Arial"/>
                <w:sz w:val="15"/>
                <w:szCs w:val="15"/>
              </w:rPr>
              <w:t>44.1</w:t>
            </w:r>
          </w:p>
        </w:tc>
      </w:tr>
      <w:tr w:rsidR="00282975" w:rsidRPr="00282975" w14:paraId="49A30AE0" w14:textId="77777777" w:rsidTr="00D72D94">
        <w:trPr>
          <w:trHeight w:val="301"/>
        </w:trPr>
        <w:tc>
          <w:tcPr>
            <w:tcW w:w="2943" w:type="dxa"/>
            <w:tcBorders>
              <w:top w:val="nil"/>
              <w:left w:val="single" w:sz="4" w:space="0" w:color="auto"/>
              <w:bottom w:val="single" w:sz="4" w:space="0" w:color="auto"/>
              <w:right w:val="single" w:sz="4" w:space="0" w:color="auto"/>
            </w:tcBorders>
            <w:shd w:val="clear" w:color="auto" w:fill="auto"/>
            <w:noWrap/>
            <w:vAlign w:val="center"/>
            <w:hideMark/>
          </w:tcPr>
          <w:p w14:paraId="1339E6B0" w14:textId="77777777" w:rsidR="00282975" w:rsidRPr="00282975" w:rsidRDefault="00282975" w:rsidP="00282975">
            <w:pPr>
              <w:spacing w:after="0"/>
              <w:rPr>
                <w:rFonts w:cs="Arial"/>
                <w:color w:val="000000"/>
                <w:sz w:val="15"/>
                <w:szCs w:val="15"/>
              </w:rPr>
            </w:pPr>
            <w:r w:rsidRPr="00282975">
              <w:rPr>
                <w:rFonts w:cs="Arial"/>
                <w:color w:val="000000"/>
                <w:sz w:val="15"/>
                <w:szCs w:val="15"/>
              </w:rPr>
              <w:t>30 June 2020 AFSR projection</w:t>
            </w:r>
          </w:p>
        </w:tc>
        <w:tc>
          <w:tcPr>
            <w:tcW w:w="799" w:type="dxa"/>
            <w:tcBorders>
              <w:top w:val="nil"/>
              <w:left w:val="nil"/>
              <w:bottom w:val="single" w:sz="4" w:space="0" w:color="auto"/>
              <w:right w:val="nil"/>
            </w:tcBorders>
            <w:shd w:val="clear" w:color="auto" w:fill="BFBFBF" w:themeFill="background1" w:themeFillShade="BF"/>
            <w:noWrap/>
            <w:vAlign w:val="center"/>
            <w:hideMark/>
          </w:tcPr>
          <w:p w14:paraId="2F53BB7D"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vAlign w:val="center"/>
          </w:tcPr>
          <w:p w14:paraId="3A4C842D"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noWrap/>
            <w:vAlign w:val="center"/>
            <w:hideMark/>
          </w:tcPr>
          <w:p w14:paraId="24777D0E"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FFE699"/>
            <w:noWrap/>
            <w:vAlign w:val="center"/>
            <w:hideMark/>
          </w:tcPr>
          <w:p w14:paraId="1705393C" w14:textId="77777777" w:rsidR="00282975" w:rsidRPr="00282975" w:rsidRDefault="00282975">
            <w:pPr>
              <w:spacing w:after="0"/>
              <w:jc w:val="right"/>
              <w:rPr>
                <w:rFonts w:cs="Arial"/>
                <w:color w:val="000000"/>
                <w:sz w:val="15"/>
                <w:szCs w:val="15"/>
              </w:rPr>
            </w:pPr>
            <w:r w:rsidRPr="00D72D94">
              <w:rPr>
                <w:rFonts w:cs="Arial"/>
                <w:sz w:val="15"/>
                <w:szCs w:val="15"/>
              </w:rPr>
              <w:t>22.3</w:t>
            </w:r>
          </w:p>
        </w:tc>
        <w:tc>
          <w:tcPr>
            <w:tcW w:w="793" w:type="dxa"/>
            <w:tcBorders>
              <w:top w:val="nil"/>
              <w:left w:val="single" w:sz="4" w:space="0" w:color="auto"/>
              <w:bottom w:val="single" w:sz="4" w:space="0" w:color="auto"/>
              <w:right w:val="single" w:sz="4" w:space="0" w:color="auto"/>
            </w:tcBorders>
            <w:shd w:val="clear" w:color="auto" w:fill="auto"/>
            <w:noWrap/>
            <w:vAlign w:val="center"/>
            <w:hideMark/>
          </w:tcPr>
          <w:p w14:paraId="3E7180A6" w14:textId="77777777" w:rsidR="00282975" w:rsidRPr="00282975" w:rsidRDefault="00282975">
            <w:pPr>
              <w:spacing w:after="0"/>
              <w:jc w:val="right"/>
              <w:rPr>
                <w:rFonts w:cs="Arial"/>
                <w:color w:val="000000"/>
                <w:sz w:val="15"/>
                <w:szCs w:val="15"/>
              </w:rPr>
            </w:pPr>
            <w:r w:rsidRPr="00D72D94">
              <w:rPr>
                <w:rFonts w:cs="Arial"/>
                <w:sz w:val="15"/>
                <w:szCs w:val="15"/>
              </w:rPr>
              <w:t>26.1</w:t>
            </w:r>
          </w:p>
        </w:tc>
        <w:tc>
          <w:tcPr>
            <w:tcW w:w="793" w:type="dxa"/>
            <w:tcBorders>
              <w:top w:val="nil"/>
              <w:left w:val="nil"/>
              <w:bottom w:val="single" w:sz="4" w:space="0" w:color="auto"/>
              <w:right w:val="nil"/>
            </w:tcBorders>
            <w:shd w:val="clear" w:color="auto" w:fill="auto"/>
            <w:noWrap/>
            <w:vAlign w:val="center"/>
            <w:hideMark/>
          </w:tcPr>
          <w:p w14:paraId="23612F95" w14:textId="77777777" w:rsidR="00282975" w:rsidRPr="00282975" w:rsidRDefault="00282975">
            <w:pPr>
              <w:spacing w:after="0"/>
              <w:jc w:val="right"/>
              <w:rPr>
                <w:rFonts w:cs="Arial"/>
                <w:color w:val="000000"/>
                <w:sz w:val="15"/>
                <w:szCs w:val="15"/>
              </w:rPr>
            </w:pPr>
            <w:r w:rsidRPr="00D72D94">
              <w:rPr>
                <w:rFonts w:cs="Arial"/>
                <w:sz w:val="15"/>
                <w:szCs w:val="15"/>
              </w:rPr>
              <w:t>28.9</w:t>
            </w:r>
          </w:p>
        </w:tc>
        <w:tc>
          <w:tcPr>
            <w:tcW w:w="793" w:type="dxa"/>
            <w:tcBorders>
              <w:top w:val="nil"/>
              <w:left w:val="nil"/>
              <w:bottom w:val="single" w:sz="4" w:space="0" w:color="auto"/>
              <w:right w:val="nil"/>
            </w:tcBorders>
            <w:shd w:val="clear" w:color="auto" w:fill="auto"/>
            <w:noWrap/>
            <w:vAlign w:val="center"/>
            <w:hideMark/>
          </w:tcPr>
          <w:p w14:paraId="626B2159" w14:textId="77777777" w:rsidR="00282975" w:rsidRPr="00282975" w:rsidRDefault="00282975">
            <w:pPr>
              <w:spacing w:after="0"/>
              <w:jc w:val="right"/>
              <w:rPr>
                <w:rFonts w:cs="Arial"/>
                <w:color w:val="000000"/>
                <w:sz w:val="15"/>
                <w:szCs w:val="15"/>
              </w:rPr>
            </w:pPr>
            <w:r w:rsidRPr="00D72D94">
              <w:rPr>
                <w:rFonts w:cs="Arial"/>
                <w:sz w:val="15"/>
                <w:szCs w:val="15"/>
              </w:rPr>
              <w:t>31.4</w:t>
            </w:r>
          </w:p>
        </w:tc>
        <w:tc>
          <w:tcPr>
            <w:tcW w:w="793" w:type="dxa"/>
            <w:tcBorders>
              <w:top w:val="nil"/>
              <w:left w:val="nil"/>
              <w:bottom w:val="single" w:sz="4" w:space="0" w:color="auto"/>
              <w:right w:val="nil"/>
            </w:tcBorders>
            <w:shd w:val="clear" w:color="auto" w:fill="auto"/>
            <w:noWrap/>
            <w:vAlign w:val="center"/>
            <w:hideMark/>
          </w:tcPr>
          <w:p w14:paraId="42EB3257" w14:textId="77777777" w:rsidR="00282975" w:rsidRPr="00282975" w:rsidRDefault="00282975">
            <w:pPr>
              <w:spacing w:after="0"/>
              <w:jc w:val="right"/>
              <w:rPr>
                <w:rFonts w:cs="Arial"/>
                <w:color w:val="000000"/>
                <w:sz w:val="15"/>
                <w:szCs w:val="15"/>
              </w:rPr>
            </w:pPr>
            <w:r w:rsidRPr="00D72D94">
              <w:rPr>
                <w:rFonts w:cs="Arial"/>
                <w:sz w:val="15"/>
                <w:szCs w:val="15"/>
              </w:rPr>
              <w:t>34.3</w:t>
            </w:r>
          </w:p>
        </w:tc>
        <w:tc>
          <w:tcPr>
            <w:tcW w:w="793" w:type="dxa"/>
            <w:tcBorders>
              <w:top w:val="nil"/>
              <w:left w:val="nil"/>
              <w:bottom w:val="single" w:sz="4" w:space="0" w:color="auto"/>
              <w:right w:val="single" w:sz="4" w:space="0" w:color="auto"/>
            </w:tcBorders>
            <w:shd w:val="clear" w:color="auto" w:fill="auto"/>
            <w:noWrap/>
            <w:vAlign w:val="center"/>
            <w:hideMark/>
          </w:tcPr>
          <w:p w14:paraId="53F719BB" w14:textId="77777777" w:rsidR="00282975" w:rsidRPr="00282975" w:rsidRDefault="00282975">
            <w:pPr>
              <w:spacing w:after="0"/>
              <w:jc w:val="right"/>
              <w:rPr>
                <w:rFonts w:cs="Arial"/>
                <w:color w:val="000000"/>
                <w:sz w:val="15"/>
                <w:szCs w:val="15"/>
              </w:rPr>
            </w:pPr>
            <w:r w:rsidRPr="00D72D94">
              <w:rPr>
                <w:rFonts w:cs="Arial"/>
                <w:sz w:val="15"/>
                <w:szCs w:val="15"/>
              </w:rPr>
              <w:t>37.4</w:t>
            </w:r>
          </w:p>
        </w:tc>
      </w:tr>
      <w:tr w:rsidR="00282975" w:rsidRPr="00282975" w14:paraId="6E4B3D77" w14:textId="77777777" w:rsidTr="00D72D94">
        <w:trPr>
          <w:trHeight w:val="301"/>
        </w:trPr>
        <w:tc>
          <w:tcPr>
            <w:tcW w:w="2943" w:type="dxa"/>
            <w:tcBorders>
              <w:top w:val="nil"/>
              <w:left w:val="single" w:sz="4" w:space="0" w:color="auto"/>
              <w:bottom w:val="single" w:sz="4" w:space="0" w:color="auto"/>
              <w:right w:val="single" w:sz="4" w:space="0" w:color="auto"/>
            </w:tcBorders>
            <w:shd w:val="clear" w:color="auto" w:fill="auto"/>
            <w:noWrap/>
            <w:vAlign w:val="center"/>
            <w:hideMark/>
          </w:tcPr>
          <w:p w14:paraId="0EE51B74" w14:textId="77777777" w:rsidR="00282975" w:rsidRPr="00282975" w:rsidRDefault="00282975" w:rsidP="00282975">
            <w:pPr>
              <w:spacing w:after="0"/>
              <w:rPr>
                <w:rFonts w:cs="Arial"/>
                <w:color w:val="000000"/>
                <w:sz w:val="15"/>
                <w:szCs w:val="15"/>
              </w:rPr>
            </w:pPr>
            <w:r w:rsidRPr="00282975">
              <w:rPr>
                <w:rFonts w:cs="Arial"/>
                <w:color w:val="000000"/>
                <w:sz w:val="15"/>
                <w:szCs w:val="15"/>
              </w:rPr>
              <w:t>31 December 2019 AFSR projection</w:t>
            </w:r>
          </w:p>
        </w:tc>
        <w:tc>
          <w:tcPr>
            <w:tcW w:w="799" w:type="dxa"/>
            <w:tcBorders>
              <w:top w:val="nil"/>
              <w:left w:val="nil"/>
              <w:bottom w:val="single" w:sz="4" w:space="0" w:color="auto"/>
              <w:right w:val="nil"/>
            </w:tcBorders>
            <w:shd w:val="clear" w:color="auto" w:fill="BFBFBF" w:themeFill="background1" w:themeFillShade="BF"/>
            <w:noWrap/>
            <w:vAlign w:val="center"/>
            <w:hideMark/>
          </w:tcPr>
          <w:p w14:paraId="065AF016"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vAlign w:val="center"/>
          </w:tcPr>
          <w:p w14:paraId="69B91F48"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noWrap/>
            <w:vAlign w:val="center"/>
            <w:hideMark/>
          </w:tcPr>
          <w:p w14:paraId="7DF1FC32"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auto"/>
            <w:noWrap/>
            <w:vAlign w:val="center"/>
            <w:hideMark/>
          </w:tcPr>
          <w:p w14:paraId="476511B6" w14:textId="77777777" w:rsidR="00282975" w:rsidRPr="00282975" w:rsidRDefault="00282975">
            <w:pPr>
              <w:spacing w:after="0"/>
              <w:jc w:val="right"/>
              <w:rPr>
                <w:rFonts w:cs="Arial"/>
                <w:color w:val="000000"/>
                <w:sz w:val="15"/>
                <w:szCs w:val="15"/>
              </w:rPr>
            </w:pPr>
            <w:r w:rsidRPr="00D72D94">
              <w:rPr>
                <w:rFonts w:cs="Arial"/>
                <w:sz w:val="15"/>
                <w:szCs w:val="15"/>
              </w:rPr>
              <w:t>21.8</w:t>
            </w:r>
          </w:p>
        </w:tc>
        <w:tc>
          <w:tcPr>
            <w:tcW w:w="793" w:type="dxa"/>
            <w:tcBorders>
              <w:top w:val="nil"/>
              <w:left w:val="single" w:sz="4" w:space="0" w:color="auto"/>
              <w:bottom w:val="single" w:sz="4" w:space="0" w:color="auto"/>
              <w:right w:val="single" w:sz="4" w:space="0" w:color="auto"/>
            </w:tcBorders>
            <w:shd w:val="clear" w:color="auto" w:fill="auto"/>
            <w:noWrap/>
            <w:vAlign w:val="center"/>
            <w:hideMark/>
          </w:tcPr>
          <w:p w14:paraId="0B653D3A" w14:textId="77777777" w:rsidR="00282975" w:rsidRPr="00282975" w:rsidRDefault="00282975">
            <w:pPr>
              <w:spacing w:after="0"/>
              <w:jc w:val="right"/>
              <w:rPr>
                <w:rFonts w:cs="Arial"/>
                <w:color w:val="000000"/>
                <w:sz w:val="15"/>
                <w:szCs w:val="15"/>
              </w:rPr>
            </w:pPr>
            <w:r w:rsidRPr="00D72D94">
              <w:rPr>
                <w:rFonts w:cs="Arial"/>
                <w:sz w:val="15"/>
                <w:szCs w:val="15"/>
              </w:rPr>
              <w:t>25.4</w:t>
            </w:r>
          </w:p>
        </w:tc>
        <w:tc>
          <w:tcPr>
            <w:tcW w:w="793" w:type="dxa"/>
            <w:tcBorders>
              <w:top w:val="nil"/>
              <w:left w:val="nil"/>
              <w:bottom w:val="single" w:sz="4" w:space="0" w:color="auto"/>
              <w:right w:val="nil"/>
            </w:tcBorders>
            <w:shd w:val="clear" w:color="auto" w:fill="auto"/>
            <w:noWrap/>
            <w:vAlign w:val="center"/>
            <w:hideMark/>
          </w:tcPr>
          <w:p w14:paraId="45EA7FD6" w14:textId="77777777" w:rsidR="00282975" w:rsidRPr="00282975" w:rsidRDefault="00282975">
            <w:pPr>
              <w:spacing w:after="0"/>
              <w:jc w:val="right"/>
              <w:rPr>
                <w:rFonts w:cs="Arial"/>
                <w:color w:val="000000"/>
                <w:sz w:val="15"/>
                <w:szCs w:val="15"/>
              </w:rPr>
            </w:pPr>
            <w:r w:rsidRPr="00D72D94">
              <w:rPr>
                <w:rFonts w:cs="Arial"/>
                <w:sz w:val="15"/>
                <w:szCs w:val="15"/>
              </w:rPr>
              <w:t>28.5</w:t>
            </w:r>
          </w:p>
        </w:tc>
        <w:tc>
          <w:tcPr>
            <w:tcW w:w="793" w:type="dxa"/>
            <w:tcBorders>
              <w:top w:val="nil"/>
              <w:left w:val="nil"/>
              <w:bottom w:val="single" w:sz="4" w:space="0" w:color="auto"/>
              <w:right w:val="nil"/>
            </w:tcBorders>
            <w:shd w:val="clear" w:color="auto" w:fill="auto"/>
            <w:noWrap/>
            <w:vAlign w:val="center"/>
            <w:hideMark/>
          </w:tcPr>
          <w:p w14:paraId="5036FD32" w14:textId="77777777" w:rsidR="00282975" w:rsidRPr="00282975" w:rsidRDefault="00282975">
            <w:pPr>
              <w:spacing w:after="0"/>
              <w:jc w:val="right"/>
              <w:rPr>
                <w:rFonts w:cs="Arial"/>
                <w:color w:val="000000"/>
                <w:sz w:val="15"/>
                <w:szCs w:val="15"/>
              </w:rPr>
            </w:pPr>
            <w:r w:rsidRPr="00D72D94">
              <w:rPr>
                <w:rFonts w:cs="Arial"/>
                <w:sz w:val="15"/>
                <w:szCs w:val="15"/>
              </w:rPr>
              <w:t>31.4</w:t>
            </w:r>
          </w:p>
        </w:tc>
        <w:tc>
          <w:tcPr>
            <w:tcW w:w="793" w:type="dxa"/>
            <w:tcBorders>
              <w:top w:val="nil"/>
              <w:left w:val="nil"/>
              <w:bottom w:val="single" w:sz="4" w:space="0" w:color="auto"/>
              <w:right w:val="nil"/>
            </w:tcBorders>
            <w:shd w:val="clear" w:color="auto" w:fill="auto"/>
            <w:noWrap/>
            <w:vAlign w:val="center"/>
            <w:hideMark/>
          </w:tcPr>
          <w:p w14:paraId="689C59CD" w14:textId="77777777" w:rsidR="00282975" w:rsidRPr="00282975" w:rsidRDefault="00282975">
            <w:pPr>
              <w:spacing w:after="0"/>
              <w:jc w:val="right"/>
              <w:rPr>
                <w:rFonts w:cs="Arial"/>
                <w:color w:val="000000"/>
                <w:sz w:val="15"/>
                <w:szCs w:val="15"/>
              </w:rPr>
            </w:pPr>
            <w:r w:rsidRPr="00D72D94">
              <w:rPr>
                <w:rFonts w:cs="Arial"/>
                <w:sz w:val="15"/>
                <w:szCs w:val="15"/>
              </w:rPr>
              <w:t>34.2</w:t>
            </w:r>
          </w:p>
        </w:tc>
        <w:tc>
          <w:tcPr>
            <w:tcW w:w="793" w:type="dxa"/>
            <w:tcBorders>
              <w:top w:val="nil"/>
              <w:left w:val="nil"/>
              <w:bottom w:val="single" w:sz="4" w:space="0" w:color="auto"/>
              <w:right w:val="single" w:sz="4" w:space="0" w:color="auto"/>
            </w:tcBorders>
            <w:shd w:val="clear" w:color="auto" w:fill="auto"/>
            <w:noWrap/>
            <w:vAlign w:val="center"/>
            <w:hideMark/>
          </w:tcPr>
          <w:p w14:paraId="512E0A3A" w14:textId="77777777" w:rsidR="00282975" w:rsidRPr="00282975" w:rsidRDefault="00282975">
            <w:pPr>
              <w:spacing w:after="0"/>
              <w:jc w:val="right"/>
              <w:rPr>
                <w:rFonts w:cs="Arial"/>
                <w:color w:val="000000"/>
                <w:sz w:val="15"/>
                <w:szCs w:val="15"/>
              </w:rPr>
            </w:pPr>
            <w:r w:rsidRPr="00D72D94">
              <w:rPr>
                <w:rFonts w:cs="Arial"/>
                <w:sz w:val="15"/>
                <w:szCs w:val="15"/>
              </w:rPr>
              <w:t>37.1</w:t>
            </w:r>
          </w:p>
        </w:tc>
      </w:tr>
      <w:tr w:rsidR="00282975" w:rsidRPr="00282975" w14:paraId="2CCDF51A" w14:textId="77777777" w:rsidTr="00D72D94">
        <w:trPr>
          <w:trHeight w:val="301"/>
        </w:trPr>
        <w:tc>
          <w:tcPr>
            <w:tcW w:w="2943" w:type="dxa"/>
            <w:tcBorders>
              <w:top w:val="nil"/>
              <w:left w:val="single" w:sz="4" w:space="0" w:color="auto"/>
              <w:bottom w:val="single" w:sz="4" w:space="0" w:color="auto"/>
              <w:right w:val="single" w:sz="4" w:space="0" w:color="auto"/>
            </w:tcBorders>
            <w:shd w:val="clear" w:color="auto" w:fill="auto"/>
            <w:noWrap/>
            <w:vAlign w:val="center"/>
            <w:hideMark/>
          </w:tcPr>
          <w:p w14:paraId="5781FBBC" w14:textId="77777777" w:rsidR="00282975" w:rsidRPr="00282975" w:rsidRDefault="00282975" w:rsidP="00282975">
            <w:pPr>
              <w:spacing w:after="0"/>
              <w:rPr>
                <w:rFonts w:cs="Arial"/>
                <w:color w:val="000000"/>
                <w:sz w:val="15"/>
                <w:szCs w:val="15"/>
              </w:rPr>
            </w:pPr>
            <w:r w:rsidRPr="00282975">
              <w:rPr>
                <w:rFonts w:cs="Arial"/>
                <w:color w:val="000000"/>
                <w:sz w:val="15"/>
                <w:szCs w:val="15"/>
              </w:rPr>
              <w:t>30 June 2019 AFSR projection</w:t>
            </w:r>
          </w:p>
        </w:tc>
        <w:tc>
          <w:tcPr>
            <w:tcW w:w="799" w:type="dxa"/>
            <w:tcBorders>
              <w:top w:val="nil"/>
              <w:left w:val="nil"/>
              <w:bottom w:val="single" w:sz="4" w:space="0" w:color="auto"/>
              <w:right w:val="nil"/>
            </w:tcBorders>
            <w:shd w:val="clear" w:color="auto" w:fill="BFBFBF" w:themeFill="background1" w:themeFillShade="BF"/>
            <w:noWrap/>
            <w:vAlign w:val="center"/>
            <w:hideMark/>
          </w:tcPr>
          <w:p w14:paraId="30A33EBA"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vAlign w:val="center"/>
          </w:tcPr>
          <w:p w14:paraId="01AA40D6"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FFE699"/>
            <w:noWrap/>
            <w:vAlign w:val="center"/>
            <w:hideMark/>
          </w:tcPr>
          <w:p w14:paraId="7B860E5B" w14:textId="77777777" w:rsidR="00282975" w:rsidRPr="00282975" w:rsidRDefault="00282975">
            <w:pPr>
              <w:spacing w:after="0"/>
              <w:jc w:val="right"/>
              <w:rPr>
                <w:rFonts w:cs="Arial"/>
                <w:color w:val="000000"/>
                <w:sz w:val="15"/>
                <w:szCs w:val="15"/>
              </w:rPr>
            </w:pPr>
            <w:r w:rsidRPr="00D72D94">
              <w:rPr>
                <w:rFonts w:cs="Arial"/>
                <w:sz w:val="15"/>
                <w:szCs w:val="15"/>
              </w:rPr>
              <w:t>16.7</w:t>
            </w:r>
          </w:p>
        </w:tc>
        <w:tc>
          <w:tcPr>
            <w:tcW w:w="793" w:type="dxa"/>
            <w:tcBorders>
              <w:top w:val="nil"/>
              <w:left w:val="nil"/>
              <w:bottom w:val="single" w:sz="4" w:space="0" w:color="auto"/>
              <w:right w:val="nil"/>
            </w:tcBorders>
            <w:shd w:val="clear" w:color="auto" w:fill="auto"/>
            <w:noWrap/>
            <w:vAlign w:val="center"/>
            <w:hideMark/>
          </w:tcPr>
          <w:p w14:paraId="60E1B73D" w14:textId="77777777" w:rsidR="00282975" w:rsidRPr="00282975" w:rsidRDefault="00282975">
            <w:pPr>
              <w:spacing w:after="0"/>
              <w:jc w:val="right"/>
              <w:rPr>
                <w:rFonts w:cs="Arial"/>
                <w:color w:val="000000"/>
                <w:sz w:val="15"/>
                <w:szCs w:val="15"/>
              </w:rPr>
            </w:pPr>
            <w:r w:rsidRPr="00D72D94">
              <w:rPr>
                <w:rFonts w:cs="Arial"/>
                <w:sz w:val="15"/>
                <w:szCs w:val="15"/>
              </w:rPr>
              <w:t>21.1</w:t>
            </w:r>
          </w:p>
        </w:tc>
        <w:tc>
          <w:tcPr>
            <w:tcW w:w="793" w:type="dxa"/>
            <w:tcBorders>
              <w:top w:val="nil"/>
              <w:left w:val="single" w:sz="4" w:space="0" w:color="auto"/>
              <w:bottom w:val="single" w:sz="4" w:space="0" w:color="auto"/>
              <w:right w:val="single" w:sz="4" w:space="0" w:color="auto"/>
            </w:tcBorders>
            <w:shd w:val="clear" w:color="auto" w:fill="auto"/>
            <w:noWrap/>
            <w:vAlign w:val="center"/>
            <w:hideMark/>
          </w:tcPr>
          <w:p w14:paraId="4E3F800B" w14:textId="77777777" w:rsidR="00282975" w:rsidRPr="00282975" w:rsidRDefault="00282975">
            <w:pPr>
              <w:spacing w:after="0"/>
              <w:jc w:val="right"/>
              <w:rPr>
                <w:rFonts w:cs="Arial"/>
                <w:color w:val="000000"/>
                <w:sz w:val="15"/>
                <w:szCs w:val="15"/>
              </w:rPr>
            </w:pPr>
            <w:r w:rsidRPr="00D72D94">
              <w:rPr>
                <w:rFonts w:cs="Arial"/>
                <w:sz w:val="15"/>
                <w:szCs w:val="15"/>
              </w:rPr>
              <w:t>24.2</w:t>
            </w:r>
          </w:p>
        </w:tc>
        <w:tc>
          <w:tcPr>
            <w:tcW w:w="793" w:type="dxa"/>
            <w:tcBorders>
              <w:top w:val="nil"/>
              <w:left w:val="nil"/>
              <w:bottom w:val="single" w:sz="4" w:space="0" w:color="auto"/>
              <w:right w:val="nil"/>
            </w:tcBorders>
            <w:shd w:val="clear" w:color="auto" w:fill="auto"/>
            <w:noWrap/>
            <w:vAlign w:val="center"/>
            <w:hideMark/>
          </w:tcPr>
          <w:p w14:paraId="751FFA83" w14:textId="77777777" w:rsidR="00282975" w:rsidRPr="00282975" w:rsidRDefault="00282975">
            <w:pPr>
              <w:spacing w:after="0"/>
              <w:jc w:val="right"/>
              <w:rPr>
                <w:rFonts w:cs="Arial"/>
                <w:color w:val="000000"/>
                <w:sz w:val="15"/>
                <w:szCs w:val="15"/>
              </w:rPr>
            </w:pPr>
            <w:r w:rsidRPr="00D72D94">
              <w:rPr>
                <w:rFonts w:cs="Arial"/>
                <w:sz w:val="15"/>
                <w:szCs w:val="15"/>
              </w:rPr>
              <w:t>26.9</w:t>
            </w:r>
          </w:p>
        </w:tc>
        <w:tc>
          <w:tcPr>
            <w:tcW w:w="793" w:type="dxa"/>
            <w:tcBorders>
              <w:top w:val="nil"/>
              <w:left w:val="nil"/>
              <w:bottom w:val="single" w:sz="4" w:space="0" w:color="auto"/>
              <w:right w:val="nil"/>
            </w:tcBorders>
            <w:shd w:val="clear" w:color="auto" w:fill="auto"/>
            <w:noWrap/>
            <w:vAlign w:val="center"/>
            <w:hideMark/>
          </w:tcPr>
          <w:p w14:paraId="66DA6F98" w14:textId="77777777" w:rsidR="00282975" w:rsidRPr="00282975" w:rsidRDefault="00282975">
            <w:pPr>
              <w:spacing w:after="0"/>
              <w:jc w:val="right"/>
              <w:rPr>
                <w:rFonts w:cs="Arial"/>
                <w:color w:val="000000"/>
                <w:sz w:val="15"/>
                <w:szCs w:val="15"/>
              </w:rPr>
            </w:pPr>
            <w:r w:rsidRPr="00D72D94">
              <w:rPr>
                <w:rFonts w:cs="Arial"/>
                <w:sz w:val="15"/>
                <w:szCs w:val="15"/>
              </w:rPr>
              <w:t>28.9</w:t>
            </w:r>
          </w:p>
        </w:tc>
        <w:tc>
          <w:tcPr>
            <w:tcW w:w="793" w:type="dxa"/>
            <w:tcBorders>
              <w:top w:val="nil"/>
              <w:left w:val="nil"/>
              <w:bottom w:val="single" w:sz="4" w:space="0" w:color="auto"/>
              <w:right w:val="nil"/>
            </w:tcBorders>
            <w:shd w:val="clear" w:color="auto" w:fill="auto"/>
            <w:noWrap/>
            <w:vAlign w:val="center"/>
            <w:hideMark/>
          </w:tcPr>
          <w:p w14:paraId="64F80BBC" w14:textId="77777777" w:rsidR="00282975" w:rsidRPr="00282975" w:rsidRDefault="00282975">
            <w:pPr>
              <w:spacing w:after="0"/>
              <w:jc w:val="right"/>
              <w:rPr>
                <w:rFonts w:cs="Arial"/>
                <w:color w:val="000000"/>
                <w:sz w:val="15"/>
                <w:szCs w:val="15"/>
              </w:rPr>
            </w:pPr>
            <w:r w:rsidRPr="00D72D94">
              <w:rPr>
                <w:rFonts w:cs="Arial"/>
                <w:sz w:val="15"/>
                <w:szCs w:val="15"/>
              </w:rPr>
              <w:t>30.8</w:t>
            </w:r>
          </w:p>
        </w:tc>
        <w:tc>
          <w:tcPr>
            <w:tcW w:w="793" w:type="dxa"/>
            <w:tcBorders>
              <w:top w:val="nil"/>
              <w:left w:val="nil"/>
              <w:bottom w:val="single" w:sz="4" w:space="0" w:color="auto"/>
              <w:right w:val="single" w:sz="4" w:space="0" w:color="auto"/>
            </w:tcBorders>
            <w:shd w:val="clear" w:color="auto" w:fill="auto"/>
            <w:noWrap/>
            <w:vAlign w:val="center"/>
            <w:hideMark/>
          </w:tcPr>
          <w:p w14:paraId="1AE70C42" w14:textId="77777777" w:rsidR="00282975" w:rsidRPr="00282975" w:rsidRDefault="00282975">
            <w:pPr>
              <w:spacing w:after="0"/>
              <w:jc w:val="right"/>
              <w:rPr>
                <w:rFonts w:cs="Arial"/>
                <w:color w:val="000000"/>
                <w:sz w:val="15"/>
                <w:szCs w:val="15"/>
              </w:rPr>
            </w:pPr>
            <w:r w:rsidRPr="00D72D94">
              <w:rPr>
                <w:rFonts w:cs="Arial"/>
                <w:sz w:val="15"/>
                <w:szCs w:val="15"/>
              </w:rPr>
              <w:t>33.3</w:t>
            </w:r>
          </w:p>
        </w:tc>
      </w:tr>
      <w:tr w:rsidR="00282975" w:rsidRPr="00282975" w14:paraId="3B500ED8" w14:textId="77777777" w:rsidTr="00D72D94">
        <w:trPr>
          <w:trHeight w:val="301"/>
        </w:trPr>
        <w:tc>
          <w:tcPr>
            <w:tcW w:w="2943" w:type="dxa"/>
            <w:tcBorders>
              <w:top w:val="nil"/>
              <w:left w:val="single" w:sz="4" w:space="0" w:color="auto"/>
              <w:bottom w:val="single" w:sz="4" w:space="0" w:color="auto"/>
              <w:right w:val="single" w:sz="4" w:space="0" w:color="auto"/>
            </w:tcBorders>
            <w:shd w:val="clear" w:color="auto" w:fill="auto"/>
            <w:noWrap/>
            <w:vAlign w:val="center"/>
            <w:hideMark/>
          </w:tcPr>
          <w:p w14:paraId="7440B7F7" w14:textId="77777777" w:rsidR="00282975" w:rsidRPr="00282975" w:rsidRDefault="00282975" w:rsidP="00282975">
            <w:pPr>
              <w:spacing w:after="0"/>
              <w:rPr>
                <w:rFonts w:cs="Arial"/>
                <w:color w:val="000000"/>
                <w:sz w:val="15"/>
                <w:szCs w:val="15"/>
              </w:rPr>
            </w:pPr>
            <w:r w:rsidRPr="00282975">
              <w:rPr>
                <w:rFonts w:cs="Arial"/>
                <w:color w:val="000000"/>
                <w:sz w:val="15"/>
                <w:szCs w:val="15"/>
              </w:rPr>
              <w:t>30 June 2018 AFSR projection</w:t>
            </w:r>
            <w:r w:rsidRPr="00282975">
              <w:rPr>
                <w:rStyle w:val="FootnoteReference"/>
                <w:rFonts w:cs="Arial"/>
                <w:color w:val="000000"/>
                <w:sz w:val="15"/>
                <w:szCs w:val="15"/>
              </w:rPr>
              <w:footnoteReference w:id="120"/>
            </w:r>
          </w:p>
        </w:tc>
        <w:tc>
          <w:tcPr>
            <w:tcW w:w="799" w:type="dxa"/>
            <w:tcBorders>
              <w:top w:val="nil"/>
              <w:left w:val="nil"/>
              <w:bottom w:val="single" w:sz="4" w:space="0" w:color="auto"/>
              <w:right w:val="nil"/>
            </w:tcBorders>
            <w:shd w:val="clear" w:color="auto" w:fill="BFBFBF" w:themeFill="background1" w:themeFillShade="BF"/>
            <w:noWrap/>
            <w:vAlign w:val="center"/>
            <w:hideMark/>
          </w:tcPr>
          <w:p w14:paraId="71DE708B"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FFE699"/>
            <w:vAlign w:val="center"/>
          </w:tcPr>
          <w:p w14:paraId="7D908166" w14:textId="77777777" w:rsidR="00282975" w:rsidRPr="00282975" w:rsidRDefault="00282975">
            <w:pPr>
              <w:spacing w:after="0"/>
              <w:jc w:val="right"/>
              <w:rPr>
                <w:rFonts w:cs="Arial"/>
                <w:color w:val="000000"/>
                <w:sz w:val="15"/>
                <w:szCs w:val="15"/>
              </w:rPr>
            </w:pPr>
            <w:r w:rsidRPr="00D72D94">
              <w:rPr>
                <w:rFonts w:cs="Arial"/>
                <w:sz w:val="15"/>
                <w:szCs w:val="15"/>
              </w:rPr>
              <w:t>9.5</w:t>
            </w:r>
          </w:p>
        </w:tc>
        <w:tc>
          <w:tcPr>
            <w:tcW w:w="793" w:type="dxa"/>
            <w:tcBorders>
              <w:top w:val="nil"/>
              <w:left w:val="nil"/>
              <w:bottom w:val="single" w:sz="4" w:space="0" w:color="auto"/>
              <w:right w:val="nil"/>
            </w:tcBorders>
            <w:shd w:val="clear" w:color="auto" w:fill="auto"/>
            <w:noWrap/>
            <w:vAlign w:val="center"/>
            <w:hideMark/>
          </w:tcPr>
          <w:p w14:paraId="2BC11E77" w14:textId="77777777" w:rsidR="00282975" w:rsidRPr="00282975" w:rsidRDefault="00282975">
            <w:pPr>
              <w:spacing w:after="0"/>
              <w:jc w:val="right"/>
              <w:rPr>
                <w:rFonts w:cs="Arial"/>
                <w:color w:val="000000"/>
                <w:sz w:val="15"/>
                <w:szCs w:val="15"/>
              </w:rPr>
            </w:pPr>
            <w:r w:rsidRPr="00D72D94">
              <w:rPr>
                <w:rFonts w:cs="Arial"/>
                <w:sz w:val="15"/>
                <w:szCs w:val="15"/>
              </w:rPr>
              <w:t>16.0</w:t>
            </w:r>
          </w:p>
        </w:tc>
        <w:tc>
          <w:tcPr>
            <w:tcW w:w="793" w:type="dxa"/>
            <w:tcBorders>
              <w:top w:val="nil"/>
              <w:left w:val="nil"/>
              <w:bottom w:val="single" w:sz="4" w:space="0" w:color="auto"/>
              <w:right w:val="nil"/>
            </w:tcBorders>
            <w:shd w:val="clear" w:color="auto" w:fill="auto"/>
            <w:noWrap/>
            <w:vAlign w:val="center"/>
            <w:hideMark/>
          </w:tcPr>
          <w:p w14:paraId="2ABA912D" w14:textId="77777777" w:rsidR="00282975" w:rsidRPr="00282975" w:rsidRDefault="00282975">
            <w:pPr>
              <w:spacing w:after="0"/>
              <w:jc w:val="right"/>
              <w:rPr>
                <w:rFonts w:cs="Arial"/>
                <w:color w:val="000000"/>
                <w:sz w:val="15"/>
                <w:szCs w:val="15"/>
              </w:rPr>
            </w:pPr>
            <w:r w:rsidRPr="00D72D94">
              <w:rPr>
                <w:rFonts w:cs="Arial"/>
                <w:sz w:val="15"/>
                <w:szCs w:val="15"/>
              </w:rPr>
              <w:t>20.3</w:t>
            </w:r>
          </w:p>
        </w:tc>
        <w:tc>
          <w:tcPr>
            <w:tcW w:w="793" w:type="dxa"/>
            <w:tcBorders>
              <w:top w:val="nil"/>
              <w:left w:val="single" w:sz="4" w:space="0" w:color="auto"/>
              <w:bottom w:val="single" w:sz="4" w:space="0" w:color="auto"/>
              <w:right w:val="single" w:sz="4" w:space="0" w:color="auto"/>
            </w:tcBorders>
            <w:shd w:val="clear" w:color="auto" w:fill="auto"/>
            <w:noWrap/>
            <w:vAlign w:val="center"/>
            <w:hideMark/>
          </w:tcPr>
          <w:p w14:paraId="52602BEF" w14:textId="77777777" w:rsidR="00282975" w:rsidRPr="00282975" w:rsidRDefault="00282975">
            <w:pPr>
              <w:spacing w:after="0"/>
              <w:jc w:val="right"/>
              <w:rPr>
                <w:rFonts w:cs="Arial"/>
                <w:color w:val="000000"/>
                <w:sz w:val="15"/>
                <w:szCs w:val="15"/>
              </w:rPr>
            </w:pPr>
            <w:r w:rsidRPr="00D72D94">
              <w:rPr>
                <w:rFonts w:cs="Arial"/>
                <w:sz w:val="15"/>
                <w:szCs w:val="15"/>
              </w:rPr>
              <w:t>23.6</w:t>
            </w:r>
          </w:p>
        </w:tc>
        <w:tc>
          <w:tcPr>
            <w:tcW w:w="793" w:type="dxa"/>
            <w:tcBorders>
              <w:top w:val="nil"/>
              <w:left w:val="nil"/>
              <w:bottom w:val="single" w:sz="4" w:space="0" w:color="auto"/>
              <w:right w:val="nil"/>
            </w:tcBorders>
            <w:shd w:val="clear" w:color="auto" w:fill="auto"/>
            <w:noWrap/>
            <w:vAlign w:val="center"/>
            <w:hideMark/>
          </w:tcPr>
          <w:p w14:paraId="4E825FB1" w14:textId="77777777" w:rsidR="00282975" w:rsidRPr="00282975" w:rsidRDefault="00282975">
            <w:pPr>
              <w:spacing w:after="0"/>
              <w:jc w:val="right"/>
              <w:rPr>
                <w:rFonts w:cs="Arial"/>
                <w:color w:val="000000"/>
                <w:sz w:val="15"/>
                <w:szCs w:val="15"/>
              </w:rPr>
            </w:pPr>
            <w:r w:rsidRPr="00D72D94">
              <w:rPr>
                <w:rFonts w:cs="Arial"/>
                <w:sz w:val="15"/>
                <w:szCs w:val="15"/>
              </w:rPr>
              <w:t>26.6</w:t>
            </w:r>
          </w:p>
        </w:tc>
        <w:tc>
          <w:tcPr>
            <w:tcW w:w="793" w:type="dxa"/>
            <w:tcBorders>
              <w:top w:val="nil"/>
              <w:left w:val="nil"/>
              <w:bottom w:val="single" w:sz="4" w:space="0" w:color="auto"/>
              <w:right w:val="nil"/>
            </w:tcBorders>
            <w:shd w:val="clear" w:color="auto" w:fill="auto"/>
            <w:noWrap/>
            <w:vAlign w:val="center"/>
            <w:hideMark/>
          </w:tcPr>
          <w:p w14:paraId="7A9DEA68" w14:textId="77777777" w:rsidR="00282975" w:rsidRPr="00282975" w:rsidRDefault="00282975">
            <w:pPr>
              <w:spacing w:after="0"/>
              <w:jc w:val="right"/>
              <w:rPr>
                <w:rFonts w:cs="Arial"/>
                <w:color w:val="000000"/>
                <w:sz w:val="15"/>
                <w:szCs w:val="15"/>
              </w:rPr>
            </w:pPr>
            <w:r w:rsidRPr="00D72D94">
              <w:rPr>
                <w:rFonts w:cs="Arial"/>
                <w:sz w:val="15"/>
                <w:szCs w:val="15"/>
              </w:rPr>
              <w:t>29.5</w:t>
            </w:r>
          </w:p>
        </w:tc>
        <w:tc>
          <w:tcPr>
            <w:tcW w:w="793" w:type="dxa"/>
            <w:tcBorders>
              <w:top w:val="nil"/>
              <w:left w:val="nil"/>
              <w:bottom w:val="single" w:sz="4" w:space="0" w:color="auto"/>
              <w:right w:val="nil"/>
            </w:tcBorders>
            <w:shd w:val="clear" w:color="auto" w:fill="auto"/>
            <w:noWrap/>
            <w:vAlign w:val="center"/>
            <w:hideMark/>
          </w:tcPr>
          <w:p w14:paraId="17368135" w14:textId="77777777" w:rsidR="00282975" w:rsidRPr="00282975" w:rsidRDefault="00282975">
            <w:pPr>
              <w:spacing w:after="0"/>
              <w:jc w:val="right"/>
              <w:rPr>
                <w:rFonts w:cs="Arial"/>
                <w:color w:val="000000"/>
                <w:sz w:val="15"/>
                <w:szCs w:val="15"/>
              </w:rPr>
            </w:pPr>
            <w:r w:rsidRPr="00D72D94">
              <w:rPr>
                <w:rFonts w:cs="Arial"/>
                <w:sz w:val="15"/>
                <w:szCs w:val="15"/>
              </w:rPr>
              <w:t>31.7</w:t>
            </w:r>
          </w:p>
        </w:tc>
        <w:tc>
          <w:tcPr>
            <w:tcW w:w="793" w:type="dxa"/>
            <w:tcBorders>
              <w:top w:val="nil"/>
              <w:left w:val="nil"/>
              <w:bottom w:val="single" w:sz="4" w:space="0" w:color="auto"/>
              <w:right w:val="single" w:sz="4" w:space="0" w:color="auto"/>
            </w:tcBorders>
            <w:shd w:val="clear" w:color="auto" w:fill="auto"/>
            <w:noWrap/>
            <w:vAlign w:val="center"/>
            <w:hideMark/>
          </w:tcPr>
          <w:p w14:paraId="2107979C" w14:textId="77777777" w:rsidR="00282975" w:rsidRPr="00282975" w:rsidRDefault="00282975">
            <w:pPr>
              <w:spacing w:after="0"/>
              <w:jc w:val="right"/>
              <w:rPr>
                <w:rFonts w:cs="Arial"/>
                <w:color w:val="000000"/>
                <w:sz w:val="15"/>
                <w:szCs w:val="15"/>
              </w:rPr>
            </w:pPr>
            <w:r w:rsidRPr="00D72D94">
              <w:rPr>
                <w:rFonts w:cs="Arial"/>
                <w:sz w:val="15"/>
                <w:szCs w:val="15"/>
              </w:rPr>
              <w:t>34.0</w:t>
            </w:r>
          </w:p>
        </w:tc>
      </w:tr>
      <w:tr w:rsidR="00282975" w:rsidRPr="00282975" w14:paraId="605CF30C" w14:textId="77777777" w:rsidTr="00D72D94">
        <w:trPr>
          <w:trHeight w:val="301"/>
        </w:trPr>
        <w:tc>
          <w:tcPr>
            <w:tcW w:w="2943" w:type="dxa"/>
            <w:tcBorders>
              <w:top w:val="nil"/>
              <w:left w:val="single" w:sz="4" w:space="0" w:color="auto"/>
              <w:bottom w:val="single" w:sz="4" w:space="0" w:color="auto"/>
              <w:right w:val="nil"/>
            </w:tcBorders>
            <w:shd w:val="clear" w:color="auto" w:fill="D3C5D7"/>
            <w:noWrap/>
            <w:vAlign w:val="center"/>
            <w:hideMark/>
          </w:tcPr>
          <w:p w14:paraId="09563FC6" w14:textId="77777777" w:rsidR="00282975" w:rsidRPr="00282975" w:rsidRDefault="00282975" w:rsidP="00282975">
            <w:pPr>
              <w:spacing w:after="0"/>
              <w:rPr>
                <w:rFonts w:cs="Arial"/>
                <w:b/>
                <w:bCs/>
                <w:color w:val="000000"/>
                <w:sz w:val="15"/>
                <w:szCs w:val="15"/>
              </w:rPr>
            </w:pPr>
            <w:r w:rsidRPr="00282975">
              <w:rPr>
                <w:rFonts w:cs="Arial"/>
                <w:b/>
                <w:bCs/>
                <w:color w:val="000000"/>
                <w:sz w:val="15"/>
                <w:szCs w:val="15"/>
              </w:rPr>
              <w:t>Comparison with actuals</w:t>
            </w:r>
          </w:p>
        </w:tc>
        <w:tc>
          <w:tcPr>
            <w:tcW w:w="799" w:type="dxa"/>
            <w:tcBorders>
              <w:top w:val="nil"/>
              <w:left w:val="nil"/>
              <w:bottom w:val="single" w:sz="4" w:space="0" w:color="auto"/>
              <w:right w:val="nil"/>
            </w:tcBorders>
            <w:shd w:val="clear" w:color="auto" w:fill="D3C5D7"/>
            <w:noWrap/>
            <w:vAlign w:val="center"/>
            <w:hideMark/>
          </w:tcPr>
          <w:p w14:paraId="4CD95776" w14:textId="77777777" w:rsidR="00282975" w:rsidRPr="00282975" w:rsidRDefault="00282975">
            <w:pPr>
              <w:spacing w:after="0"/>
              <w:jc w:val="right"/>
              <w:rPr>
                <w:rFonts w:cs="Arial"/>
                <w:b/>
                <w:bCs/>
                <w:color w:val="000000"/>
                <w:sz w:val="15"/>
                <w:szCs w:val="15"/>
              </w:rPr>
            </w:pPr>
          </w:p>
        </w:tc>
        <w:tc>
          <w:tcPr>
            <w:tcW w:w="793" w:type="dxa"/>
            <w:tcBorders>
              <w:top w:val="nil"/>
              <w:left w:val="nil"/>
              <w:bottom w:val="single" w:sz="4" w:space="0" w:color="auto"/>
              <w:right w:val="nil"/>
            </w:tcBorders>
            <w:shd w:val="clear" w:color="auto" w:fill="D3C5D7"/>
            <w:vAlign w:val="center"/>
          </w:tcPr>
          <w:p w14:paraId="48FD1D1D" w14:textId="77777777" w:rsidR="00282975" w:rsidRPr="00282975" w:rsidRDefault="00282975">
            <w:pPr>
              <w:spacing w:after="0"/>
              <w:jc w:val="right"/>
              <w:rPr>
                <w:rFonts w:cs="Arial"/>
                <w:b/>
                <w:bCs/>
                <w:color w:val="000000"/>
                <w:sz w:val="15"/>
                <w:szCs w:val="15"/>
              </w:rPr>
            </w:pPr>
          </w:p>
        </w:tc>
        <w:tc>
          <w:tcPr>
            <w:tcW w:w="793" w:type="dxa"/>
            <w:tcBorders>
              <w:top w:val="nil"/>
              <w:left w:val="nil"/>
              <w:bottom w:val="single" w:sz="4" w:space="0" w:color="auto"/>
              <w:right w:val="nil"/>
            </w:tcBorders>
            <w:shd w:val="clear" w:color="auto" w:fill="D3C5D7"/>
            <w:noWrap/>
            <w:vAlign w:val="center"/>
            <w:hideMark/>
          </w:tcPr>
          <w:p w14:paraId="3152B3CF" w14:textId="77777777" w:rsidR="00282975" w:rsidRPr="00282975" w:rsidRDefault="00282975">
            <w:pPr>
              <w:spacing w:after="0"/>
              <w:jc w:val="right"/>
              <w:rPr>
                <w:rFonts w:cs="Arial"/>
                <w:b/>
                <w:bCs/>
                <w:color w:val="000000"/>
                <w:sz w:val="15"/>
                <w:szCs w:val="15"/>
              </w:rPr>
            </w:pPr>
          </w:p>
        </w:tc>
        <w:tc>
          <w:tcPr>
            <w:tcW w:w="793" w:type="dxa"/>
            <w:tcBorders>
              <w:top w:val="nil"/>
              <w:left w:val="nil"/>
              <w:bottom w:val="single" w:sz="4" w:space="0" w:color="auto"/>
              <w:right w:val="nil"/>
            </w:tcBorders>
            <w:shd w:val="clear" w:color="auto" w:fill="D3C5D7"/>
            <w:noWrap/>
            <w:vAlign w:val="center"/>
            <w:hideMark/>
          </w:tcPr>
          <w:p w14:paraId="4CC8D09C" w14:textId="77777777" w:rsidR="00282975" w:rsidRPr="00282975" w:rsidRDefault="00282975">
            <w:pPr>
              <w:spacing w:after="0"/>
              <w:jc w:val="right"/>
              <w:rPr>
                <w:rFonts w:cs="Arial"/>
                <w:b/>
                <w:bCs/>
                <w:color w:val="000000"/>
                <w:sz w:val="15"/>
                <w:szCs w:val="15"/>
              </w:rPr>
            </w:pPr>
          </w:p>
        </w:tc>
        <w:tc>
          <w:tcPr>
            <w:tcW w:w="793" w:type="dxa"/>
            <w:tcBorders>
              <w:top w:val="nil"/>
              <w:left w:val="nil"/>
              <w:bottom w:val="single" w:sz="4" w:space="0" w:color="auto"/>
              <w:right w:val="nil"/>
            </w:tcBorders>
            <w:shd w:val="clear" w:color="auto" w:fill="D3C5D7"/>
            <w:noWrap/>
            <w:vAlign w:val="center"/>
            <w:hideMark/>
          </w:tcPr>
          <w:p w14:paraId="4EF7C44B" w14:textId="77777777" w:rsidR="00282975" w:rsidRPr="00282975" w:rsidRDefault="00282975">
            <w:pPr>
              <w:spacing w:after="0"/>
              <w:jc w:val="right"/>
              <w:rPr>
                <w:rFonts w:cs="Arial"/>
                <w:b/>
                <w:bCs/>
                <w:color w:val="000000"/>
                <w:sz w:val="15"/>
                <w:szCs w:val="15"/>
              </w:rPr>
            </w:pPr>
          </w:p>
        </w:tc>
        <w:tc>
          <w:tcPr>
            <w:tcW w:w="793" w:type="dxa"/>
            <w:tcBorders>
              <w:top w:val="nil"/>
              <w:left w:val="nil"/>
              <w:bottom w:val="single" w:sz="4" w:space="0" w:color="auto"/>
              <w:right w:val="nil"/>
            </w:tcBorders>
            <w:shd w:val="clear" w:color="auto" w:fill="D3C5D7"/>
            <w:noWrap/>
            <w:vAlign w:val="center"/>
            <w:hideMark/>
          </w:tcPr>
          <w:p w14:paraId="12324000" w14:textId="77777777" w:rsidR="00282975" w:rsidRPr="00282975" w:rsidRDefault="00282975">
            <w:pPr>
              <w:spacing w:after="0"/>
              <w:jc w:val="right"/>
              <w:rPr>
                <w:rFonts w:cs="Arial"/>
                <w:b/>
                <w:bCs/>
                <w:color w:val="000000"/>
                <w:sz w:val="15"/>
                <w:szCs w:val="15"/>
              </w:rPr>
            </w:pPr>
          </w:p>
        </w:tc>
        <w:tc>
          <w:tcPr>
            <w:tcW w:w="793" w:type="dxa"/>
            <w:tcBorders>
              <w:top w:val="nil"/>
              <w:left w:val="nil"/>
              <w:bottom w:val="single" w:sz="4" w:space="0" w:color="auto"/>
              <w:right w:val="nil"/>
            </w:tcBorders>
            <w:shd w:val="clear" w:color="auto" w:fill="D3C5D7"/>
            <w:noWrap/>
            <w:vAlign w:val="center"/>
            <w:hideMark/>
          </w:tcPr>
          <w:p w14:paraId="2CCDEFCE" w14:textId="77777777" w:rsidR="00282975" w:rsidRPr="00282975" w:rsidRDefault="00282975">
            <w:pPr>
              <w:spacing w:after="0"/>
              <w:jc w:val="right"/>
              <w:rPr>
                <w:rFonts w:cs="Arial"/>
                <w:b/>
                <w:bCs/>
                <w:color w:val="000000"/>
                <w:sz w:val="15"/>
                <w:szCs w:val="15"/>
              </w:rPr>
            </w:pPr>
          </w:p>
        </w:tc>
        <w:tc>
          <w:tcPr>
            <w:tcW w:w="793" w:type="dxa"/>
            <w:tcBorders>
              <w:top w:val="nil"/>
              <w:left w:val="nil"/>
              <w:bottom w:val="single" w:sz="4" w:space="0" w:color="auto"/>
              <w:right w:val="nil"/>
            </w:tcBorders>
            <w:shd w:val="clear" w:color="auto" w:fill="D3C5D7"/>
            <w:noWrap/>
            <w:vAlign w:val="center"/>
            <w:hideMark/>
          </w:tcPr>
          <w:p w14:paraId="73758754" w14:textId="77777777" w:rsidR="00282975" w:rsidRPr="00282975" w:rsidRDefault="00282975">
            <w:pPr>
              <w:spacing w:after="0"/>
              <w:jc w:val="right"/>
              <w:rPr>
                <w:rFonts w:cs="Arial"/>
                <w:b/>
                <w:bCs/>
                <w:color w:val="000000"/>
                <w:sz w:val="15"/>
                <w:szCs w:val="15"/>
              </w:rPr>
            </w:pPr>
          </w:p>
        </w:tc>
        <w:tc>
          <w:tcPr>
            <w:tcW w:w="793" w:type="dxa"/>
            <w:tcBorders>
              <w:top w:val="nil"/>
              <w:left w:val="nil"/>
              <w:bottom w:val="single" w:sz="4" w:space="0" w:color="auto"/>
              <w:right w:val="single" w:sz="4" w:space="0" w:color="auto"/>
            </w:tcBorders>
            <w:shd w:val="clear" w:color="auto" w:fill="D3C5D7"/>
            <w:noWrap/>
            <w:vAlign w:val="center"/>
            <w:hideMark/>
          </w:tcPr>
          <w:p w14:paraId="7ED58504" w14:textId="77777777" w:rsidR="00282975" w:rsidRPr="00282975" w:rsidRDefault="00282975">
            <w:pPr>
              <w:spacing w:after="0"/>
              <w:jc w:val="right"/>
              <w:rPr>
                <w:rFonts w:cs="Arial"/>
                <w:b/>
                <w:bCs/>
                <w:color w:val="000000"/>
                <w:sz w:val="15"/>
                <w:szCs w:val="15"/>
              </w:rPr>
            </w:pPr>
          </w:p>
        </w:tc>
      </w:tr>
      <w:tr w:rsidR="00282975" w:rsidRPr="00282975" w14:paraId="1145A783" w14:textId="77777777" w:rsidTr="00F830E6">
        <w:trPr>
          <w:trHeight w:val="301"/>
        </w:trPr>
        <w:tc>
          <w:tcPr>
            <w:tcW w:w="2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4F24B" w14:textId="77777777" w:rsidR="00282975" w:rsidRPr="00282975" w:rsidRDefault="00282975" w:rsidP="001102D8">
            <w:pPr>
              <w:spacing w:after="0"/>
              <w:rPr>
                <w:rFonts w:cs="Arial"/>
                <w:color w:val="000000"/>
                <w:sz w:val="15"/>
                <w:szCs w:val="15"/>
              </w:rPr>
            </w:pPr>
            <w:r w:rsidRPr="00282975">
              <w:rPr>
                <w:rFonts w:cs="Arial"/>
                <w:color w:val="000000"/>
                <w:sz w:val="15"/>
                <w:szCs w:val="15"/>
              </w:rPr>
              <w:t>Actual</w:t>
            </w:r>
            <w:r w:rsidR="00381F7D">
              <w:rPr>
                <w:rFonts w:cs="Arial"/>
                <w:color w:val="000000"/>
                <w:sz w:val="15"/>
                <w:szCs w:val="15"/>
              </w:rPr>
              <w:t xml:space="preserve"> </w:t>
            </w:r>
            <w:r w:rsidR="008D44E0">
              <w:rPr>
                <w:rFonts w:cs="Arial"/>
                <w:color w:val="000000"/>
                <w:sz w:val="15"/>
                <w:szCs w:val="15"/>
              </w:rPr>
              <w:t>S</w:t>
            </w:r>
            <w:r w:rsidR="00381F7D">
              <w:rPr>
                <w:rFonts w:cs="Arial"/>
                <w:color w:val="000000"/>
                <w:sz w:val="15"/>
                <w:szCs w:val="15"/>
              </w:rPr>
              <w:t>cheme expense</w:t>
            </w:r>
            <w:r w:rsidRPr="00282975">
              <w:rPr>
                <w:rFonts w:cs="Arial"/>
                <w:color w:val="000000"/>
                <w:sz w:val="15"/>
                <w:szCs w:val="15"/>
              </w:rPr>
              <w:t xml:space="preserve"> (accrual)</w:t>
            </w:r>
          </w:p>
        </w:tc>
        <w:tc>
          <w:tcPr>
            <w:tcW w:w="799" w:type="dxa"/>
            <w:tcBorders>
              <w:top w:val="nil"/>
              <w:left w:val="nil"/>
              <w:bottom w:val="single" w:sz="4" w:space="0" w:color="auto"/>
              <w:right w:val="nil"/>
            </w:tcBorders>
            <w:shd w:val="clear" w:color="auto" w:fill="auto"/>
            <w:noWrap/>
            <w:vAlign w:val="center"/>
            <w:hideMark/>
          </w:tcPr>
          <w:p w14:paraId="32300668" w14:textId="77777777" w:rsidR="00282975" w:rsidRPr="00282975" w:rsidRDefault="00282975">
            <w:pPr>
              <w:spacing w:after="0"/>
              <w:jc w:val="right"/>
              <w:rPr>
                <w:rFonts w:cs="Arial"/>
                <w:color w:val="000000"/>
                <w:sz w:val="15"/>
                <w:szCs w:val="15"/>
              </w:rPr>
            </w:pPr>
            <w:r w:rsidRPr="00D72D94">
              <w:rPr>
                <w:rFonts w:cs="Arial"/>
                <w:sz w:val="15"/>
                <w:szCs w:val="15"/>
              </w:rPr>
              <w:t>5.4</w:t>
            </w:r>
          </w:p>
        </w:tc>
        <w:tc>
          <w:tcPr>
            <w:tcW w:w="793" w:type="dxa"/>
            <w:tcBorders>
              <w:top w:val="nil"/>
              <w:left w:val="nil"/>
              <w:bottom w:val="single" w:sz="4" w:space="0" w:color="auto"/>
              <w:right w:val="nil"/>
            </w:tcBorders>
            <w:shd w:val="clear" w:color="auto" w:fill="FFE699"/>
            <w:vAlign w:val="center"/>
          </w:tcPr>
          <w:p w14:paraId="7772917B" w14:textId="77777777" w:rsidR="00282975" w:rsidRPr="00282975" w:rsidRDefault="00282975">
            <w:pPr>
              <w:spacing w:after="0"/>
              <w:jc w:val="right"/>
              <w:rPr>
                <w:rFonts w:cs="Arial"/>
                <w:color w:val="000000"/>
                <w:sz w:val="15"/>
                <w:szCs w:val="15"/>
              </w:rPr>
            </w:pPr>
            <w:r w:rsidRPr="00D72D94">
              <w:rPr>
                <w:rFonts w:cs="Arial"/>
                <w:sz w:val="15"/>
                <w:szCs w:val="15"/>
              </w:rPr>
              <w:t>10.5</w:t>
            </w:r>
          </w:p>
        </w:tc>
        <w:tc>
          <w:tcPr>
            <w:tcW w:w="793" w:type="dxa"/>
            <w:tcBorders>
              <w:top w:val="nil"/>
              <w:left w:val="nil"/>
              <w:bottom w:val="single" w:sz="4" w:space="0" w:color="auto"/>
              <w:right w:val="nil"/>
            </w:tcBorders>
            <w:shd w:val="clear" w:color="auto" w:fill="FFE699"/>
            <w:noWrap/>
            <w:vAlign w:val="center"/>
            <w:hideMark/>
          </w:tcPr>
          <w:p w14:paraId="01440363" w14:textId="77777777" w:rsidR="00282975" w:rsidRPr="00282975" w:rsidRDefault="00282975">
            <w:pPr>
              <w:spacing w:after="0"/>
              <w:jc w:val="right"/>
              <w:rPr>
                <w:rFonts w:cs="Arial"/>
                <w:color w:val="000000"/>
                <w:sz w:val="15"/>
                <w:szCs w:val="15"/>
              </w:rPr>
            </w:pPr>
            <w:r w:rsidRPr="00D72D94">
              <w:rPr>
                <w:rFonts w:cs="Arial"/>
                <w:sz w:val="15"/>
                <w:szCs w:val="15"/>
              </w:rPr>
              <w:t>17.6</w:t>
            </w:r>
          </w:p>
        </w:tc>
        <w:tc>
          <w:tcPr>
            <w:tcW w:w="793" w:type="dxa"/>
            <w:tcBorders>
              <w:top w:val="nil"/>
              <w:left w:val="nil"/>
              <w:bottom w:val="single" w:sz="4" w:space="0" w:color="auto"/>
              <w:right w:val="nil"/>
            </w:tcBorders>
            <w:shd w:val="clear" w:color="auto" w:fill="FFE699"/>
            <w:noWrap/>
            <w:vAlign w:val="center"/>
            <w:hideMark/>
          </w:tcPr>
          <w:p w14:paraId="2942AF6E" w14:textId="77777777" w:rsidR="00282975" w:rsidRPr="00282975" w:rsidRDefault="00282975">
            <w:pPr>
              <w:spacing w:after="0"/>
              <w:jc w:val="right"/>
              <w:rPr>
                <w:rFonts w:cs="Arial"/>
                <w:color w:val="000000"/>
                <w:sz w:val="15"/>
                <w:szCs w:val="15"/>
              </w:rPr>
            </w:pPr>
            <w:r w:rsidRPr="00D72D94">
              <w:rPr>
                <w:rFonts w:cs="Arial"/>
                <w:sz w:val="15"/>
                <w:szCs w:val="15"/>
              </w:rPr>
              <w:t>23.3</w:t>
            </w:r>
          </w:p>
        </w:tc>
        <w:tc>
          <w:tcPr>
            <w:tcW w:w="793" w:type="dxa"/>
            <w:tcBorders>
              <w:top w:val="nil"/>
              <w:left w:val="single" w:sz="4" w:space="0" w:color="auto"/>
              <w:bottom w:val="single" w:sz="4" w:space="0" w:color="auto"/>
              <w:right w:val="single" w:sz="4" w:space="0" w:color="auto"/>
            </w:tcBorders>
            <w:shd w:val="clear" w:color="auto" w:fill="FFE699"/>
            <w:noWrap/>
            <w:vAlign w:val="center"/>
            <w:hideMark/>
          </w:tcPr>
          <w:p w14:paraId="7E50C6DB" w14:textId="77777777" w:rsidR="00282975" w:rsidRPr="00282975" w:rsidRDefault="00282975">
            <w:pPr>
              <w:spacing w:after="0"/>
              <w:jc w:val="right"/>
              <w:rPr>
                <w:rFonts w:cs="Arial"/>
                <w:color w:val="000000"/>
                <w:sz w:val="15"/>
                <w:szCs w:val="15"/>
              </w:rPr>
            </w:pPr>
            <w:r w:rsidRPr="00D72D94">
              <w:rPr>
                <w:rFonts w:cs="Arial"/>
                <w:sz w:val="15"/>
                <w:szCs w:val="15"/>
              </w:rPr>
              <w:t>28.6</w:t>
            </w:r>
          </w:p>
        </w:tc>
        <w:tc>
          <w:tcPr>
            <w:tcW w:w="793" w:type="dxa"/>
            <w:tcBorders>
              <w:top w:val="nil"/>
              <w:left w:val="nil"/>
              <w:bottom w:val="single" w:sz="4" w:space="0" w:color="auto"/>
              <w:right w:val="nil"/>
            </w:tcBorders>
            <w:shd w:val="clear" w:color="auto" w:fill="BFBFBF" w:themeFill="background1" w:themeFillShade="BF"/>
            <w:noWrap/>
            <w:vAlign w:val="center"/>
            <w:hideMark/>
          </w:tcPr>
          <w:p w14:paraId="7BE9B83A"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noWrap/>
            <w:vAlign w:val="center"/>
            <w:hideMark/>
          </w:tcPr>
          <w:p w14:paraId="504D8A9F" w14:textId="77777777" w:rsidR="00282975" w:rsidRPr="00282975" w:rsidRDefault="00282975">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noWrap/>
            <w:vAlign w:val="center"/>
            <w:hideMark/>
          </w:tcPr>
          <w:p w14:paraId="49CBD1D9" w14:textId="77777777" w:rsidR="00282975" w:rsidRPr="00282975" w:rsidRDefault="00282975">
            <w:pPr>
              <w:spacing w:after="0"/>
              <w:jc w:val="right"/>
              <w:rPr>
                <w:rFonts w:cs="Arial"/>
                <w:i/>
                <w:iCs/>
                <w:color w:val="000000"/>
                <w:sz w:val="15"/>
                <w:szCs w:val="15"/>
              </w:rPr>
            </w:pPr>
          </w:p>
        </w:tc>
        <w:tc>
          <w:tcPr>
            <w:tcW w:w="793" w:type="dxa"/>
            <w:tcBorders>
              <w:top w:val="nil"/>
              <w:left w:val="nil"/>
              <w:bottom w:val="single" w:sz="4" w:space="0" w:color="auto"/>
              <w:right w:val="single" w:sz="4" w:space="0" w:color="auto"/>
            </w:tcBorders>
            <w:shd w:val="clear" w:color="auto" w:fill="BFBFBF" w:themeFill="background1" w:themeFillShade="BF"/>
            <w:noWrap/>
            <w:vAlign w:val="center"/>
            <w:hideMark/>
          </w:tcPr>
          <w:p w14:paraId="2B3E54BD" w14:textId="77777777" w:rsidR="00282975" w:rsidRPr="00282975" w:rsidRDefault="00282975">
            <w:pPr>
              <w:spacing w:after="0"/>
              <w:jc w:val="right"/>
              <w:rPr>
                <w:rFonts w:cs="Arial"/>
                <w:i/>
                <w:iCs/>
                <w:color w:val="000000"/>
                <w:sz w:val="15"/>
                <w:szCs w:val="15"/>
              </w:rPr>
            </w:pPr>
          </w:p>
        </w:tc>
      </w:tr>
      <w:tr w:rsidR="007716D7" w:rsidRPr="00282975" w14:paraId="1827DE00" w14:textId="77777777" w:rsidTr="00F830E6">
        <w:trPr>
          <w:trHeight w:val="301"/>
        </w:trPr>
        <w:tc>
          <w:tcPr>
            <w:tcW w:w="2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7FFB1" w14:textId="77777777" w:rsidR="007716D7" w:rsidRPr="00282975" w:rsidRDefault="007716D7" w:rsidP="007716D7">
            <w:pPr>
              <w:spacing w:after="0"/>
              <w:rPr>
                <w:rFonts w:cs="Arial"/>
                <w:color w:val="000000"/>
                <w:sz w:val="15"/>
                <w:szCs w:val="15"/>
              </w:rPr>
            </w:pPr>
            <w:r w:rsidRPr="00282975">
              <w:rPr>
                <w:rFonts w:cs="Arial"/>
                <w:color w:val="000000"/>
                <w:sz w:val="15"/>
                <w:szCs w:val="15"/>
              </w:rPr>
              <w:t>Actual</w:t>
            </w:r>
            <w:r>
              <w:rPr>
                <w:rFonts w:cs="Arial"/>
                <w:color w:val="000000"/>
                <w:sz w:val="15"/>
                <w:szCs w:val="15"/>
              </w:rPr>
              <w:t xml:space="preserve"> </w:t>
            </w:r>
            <w:r w:rsidR="008D44E0">
              <w:rPr>
                <w:rFonts w:cs="Arial"/>
                <w:color w:val="000000"/>
                <w:sz w:val="15"/>
                <w:szCs w:val="15"/>
              </w:rPr>
              <w:t>S</w:t>
            </w:r>
            <w:r>
              <w:rPr>
                <w:rFonts w:cs="Arial"/>
                <w:color w:val="000000"/>
                <w:sz w:val="15"/>
                <w:szCs w:val="15"/>
              </w:rPr>
              <w:t>cheme expense</w:t>
            </w:r>
            <w:r w:rsidRPr="00282975">
              <w:rPr>
                <w:rFonts w:cs="Arial"/>
                <w:color w:val="000000"/>
                <w:sz w:val="15"/>
                <w:szCs w:val="15"/>
              </w:rPr>
              <w:t xml:space="preserve"> compared with June AFSR</w:t>
            </w:r>
            <w:r w:rsidR="00570240">
              <w:rPr>
                <w:rFonts w:cs="Arial"/>
                <w:color w:val="000000"/>
                <w:sz w:val="15"/>
                <w:szCs w:val="15"/>
              </w:rPr>
              <w:t xml:space="preserve"> ($)</w:t>
            </w:r>
          </w:p>
        </w:tc>
        <w:tc>
          <w:tcPr>
            <w:tcW w:w="799" w:type="dxa"/>
            <w:tcBorders>
              <w:top w:val="single" w:sz="4" w:space="0" w:color="auto"/>
              <w:left w:val="single" w:sz="4" w:space="0" w:color="auto"/>
              <w:bottom w:val="single" w:sz="4" w:space="0" w:color="auto"/>
              <w:right w:val="nil"/>
            </w:tcBorders>
            <w:shd w:val="clear" w:color="auto" w:fill="BFBFBF" w:themeFill="background1" w:themeFillShade="BF"/>
            <w:noWrap/>
            <w:hideMark/>
          </w:tcPr>
          <w:p w14:paraId="5758FE7E" w14:textId="77777777" w:rsidR="007716D7" w:rsidRPr="00282975" w:rsidRDefault="007716D7" w:rsidP="007716D7">
            <w:pPr>
              <w:spacing w:after="0"/>
              <w:jc w:val="right"/>
              <w:rPr>
                <w:rFonts w:cs="Arial"/>
                <w:color w:val="000000"/>
                <w:sz w:val="15"/>
                <w:szCs w:val="15"/>
              </w:rPr>
            </w:pPr>
          </w:p>
        </w:tc>
        <w:tc>
          <w:tcPr>
            <w:tcW w:w="793" w:type="dxa"/>
            <w:tcBorders>
              <w:top w:val="single" w:sz="4" w:space="0" w:color="auto"/>
              <w:left w:val="nil"/>
              <w:bottom w:val="single" w:sz="4" w:space="0" w:color="auto"/>
              <w:right w:val="nil"/>
            </w:tcBorders>
            <w:shd w:val="clear" w:color="auto" w:fill="FFE699"/>
            <w:vAlign w:val="center"/>
          </w:tcPr>
          <w:p w14:paraId="0C2815C6" w14:textId="77777777" w:rsidR="007716D7" w:rsidRPr="007716D7" w:rsidRDefault="007716D7" w:rsidP="00E23228">
            <w:pPr>
              <w:spacing w:after="0"/>
              <w:jc w:val="right"/>
              <w:rPr>
                <w:rFonts w:cs="Arial"/>
                <w:color w:val="000000"/>
                <w:sz w:val="15"/>
                <w:szCs w:val="15"/>
              </w:rPr>
            </w:pPr>
            <w:r w:rsidRPr="00E23228">
              <w:rPr>
                <w:sz w:val="15"/>
                <w:szCs w:val="15"/>
              </w:rPr>
              <w:t>0.9</w:t>
            </w:r>
          </w:p>
        </w:tc>
        <w:tc>
          <w:tcPr>
            <w:tcW w:w="793" w:type="dxa"/>
            <w:tcBorders>
              <w:top w:val="single" w:sz="4" w:space="0" w:color="auto"/>
              <w:left w:val="nil"/>
              <w:bottom w:val="single" w:sz="4" w:space="0" w:color="auto"/>
              <w:right w:val="nil"/>
            </w:tcBorders>
            <w:shd w:val="clear" w:color="auto" w:fill="FFE699"/>
            <w:noWrap/>
            <w:vAlign w:val="center"/>
            <w:hideMark/>
          </w:tcPr>
          <w:p w14:paraId="78D7F2EA" w14:textId="77777777" w:rsidR="007716D7" w:rsidRPr="007716D7" w:rsidRDefault="007716D7">
            <w:pPr>
              <w:spacing w:after="0"/>
              <w:jc w:val="right"/>
              <w:rPr>
                <w:rFonts w:cs="Arial"/>
                <w:color w:val="000000"/>
                <w:sz w:val="15"/>
                <w:szCs w:val="15"/>
              </w:rPr>
            </w:pPr>
            <w:r w:rsidRPr="00D72D94">
              <w:rPr>
                <w:sz w:val="15"/>
                <w:szCs w:val="15"/>
              </w:rPr>
              <w:t>0.8</w:t>
            </w:r>
          </w:p>
        </w:tc>
        <w:tc>
          <w:tcPr>
            <w:tcW w:w="793" w:type="dxa"/>
            <w:tcBorders>
              <w:top w:val="single" w:sz="4" w:space="0" w:color="auto"/>
              <w:left w:val="nil"/>
              <w:bottom w:val="single" w:sz="4" w:space="0" w:color="auto"/>
              <w:right w:val="nil"/>
            </w:tcBorders>
            <w:shd w:val="clear" w:color="auto" w:fill="FFE699"/>
            <w:noWrap/>
            <w:vAlign w:val="center"/>
            <w:hideMark/>
          </w:tcPr>
          <w:p w14:paraId="0F8EFEBC" w14:textId="77777777" w:rsidR="007716D7" w:rsidRPr="007716D7" w:rsidRDefault="007716D7">
            <w:pPr>
              <w:spacing w:after="0"/>
              <w:jc w:val="right"/>
              <w:rPr>
                <w:rFonts w:cs="Arial"/>
                <w:color w:val="000000"/>
                <w:sz w:val="15"/>
                <w:szCs w:val="15"/>
              </w:rPr>
            </w:pPr>
            <w:r w:rsidRPr="00D72D94">
              <w:rPr>
                <w:sz w:val="15"/>
                <w:szCs w:val="15"/>
              </w:rPr>
              <w:t>1.0</w:t>
            </w:r>
          </w:p>
        </w:tc>
        <w:tc>
          <w:tcPr>
            <w:tcW w:w="793" w:type="dxa"/>
            <w:tcBorders>
              <w:top w:val="single" w:sz="4" w:space="0" w:color="auto"/>
              <w:left w:val="single" w:sz="4" w:space="0" w:color="auto"/>
              <w:bottom w:val="single" w:sz="4" w:space="0" w:color="auto"/>
              <w:right w:val="single" w:sz="4" w:space="0" w:color="auto"/>
            </w:tcBorders>
            <w:shd w:val="clear" w:color="auto" w:fill="FFE699"/>
            <w:noWrap/>
            <w:vAlign w:val="center"/>
            <w:hideMark/>
          </w:tcPr>
          <w:p w14:paraId="7BCF325B" w14:textId="77777777" w:rsidR="007716D7" w:rsidRPr="007716D7" w:rsidRDefault="007716D7">
            <w:pPr>
              <w:spacing w:after="0"/>
              <w:jc w:val="right"/>
              <w:rPr>
                <w:rFonts w:cs="Arial"/>
                <w:color w:val="000000"/>
                <w:sz w:val="15"/>
                <w:szCs w:val="15"/>
              </w:rPr>
            </w:pPr>
            <w:r w:rsidRPr="00D72D94">
              <w:rPr>
                <w:sz w:val="15"/>
                <w:szCs w:val="15"/>
              </w:rPr>
              <w:t>-0.6</w:t>
            </w:r>
          </w:p>
        </w:tc>
        <w:tc>
          <w:tcPr>
            <w:tcW w:w="793" w:type="dxa"/>
            <w:tcBorders>
              <w:top w:val="nil"/>
              <w:left w:val="nil"/>
              <w:bottom w:val="single" w:sz="4" w:space="0" w:color="auto"/>
              <w:right w:val="nil"/>
            </w:tcBorders>
            <w:shd w:val="clear" w:color="auto" w:fill="BFBFBF" w:themeFill="background1" w:themeFillShade="BF"/>
            <w:noWrap/>
            <w:hideMark/>
          </w:tcPr>
          <w:p w14:paraId="56CBD8E0" w14:textId="77777777" w:rsidR="007716D7" w:rsidRPr="00282975" w:rsidRDefault="007716D7" w:rsidP="007716D7">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noWrap/>
            <w:hideMark/>
          </w:tcPr>
          <w:p w14:paraId="654BE11D" w14:textId="77777777" w:rsidR="007716D7" w:rsidRPr="00282975" w:rsidRDefault="007716D7" w:rsidP="007716D7">
            <w:pPr>
              <w:spacing w:after="0"/>
              <w:jc w:val="right"/>
              <w:rPr>
                <w:rFonts w:cs="Arial"/>
                <w:color w:val="000000"/>
                <w:sz w:val="15"/>
                <w:szCs w:val="15"/>
              </w:rPr>
            </w:pPr>
          </w:p>
        </w:tc>
        <w:tc>
          <w:tcPr>
            <w:tcW w:w="793" w:type="dxa"/>
            <w:tcBorders>
              <w:top w:val="nil"/>
              <w:left w:val="nil"/>
              <w:bottom w:val="single" w:sz="4" w:space="0" w:color="auto"/>
              <w:right w:val="nil"/>
            </w:tcBorders>
            <w:shd w:val="clear" w:color="auto" w:fill="BFBFBF" w:themeFill="background1" w:themeFillShade="BF"/>
            <w:noWrap/>
            <w:hideMark/>
          </w:tcPr>
          <w:p w14:paraId="2B080A46" w14:textId="77777777" w:rsidR="007716D7" w:rsidRPr="00282975" w:rsidRDefault="007716D7" w:rsidP="007716D7">
            <w:pPr>
              <w:spacing w:after="0"/>
              <w:jc w:val="right"/>
              <w:rPr>
                <w:rFonts w:cs="Arial"/>
                <w:color w:val="000000"/>
                <w:sz w:val="15"/>
                <w:szCs w:val="15"/>
              </w:rPr>
            </w:pPr>
          </w:p>
        </w:tc>
        <w:tc>
          <w:tcPr>
            <w:tcW w:w="793" w:type="dxa"/>
            <w:tcBorders>
              <w:top w:val="nil"/>
              <w:left w:val="nil"/>
              <w:bottom w:val="single" w:sz="4" w:space="0" w:color="auto"/>
              <w:right w:val="single" w:sz="4" w:space="0" w:color="auto"/>
            </w:tcBorders>
            <w:shd w:val="clear" w:color="auto" w:fill="BFBFBF" w:themeFill="background1" w:themeFillShade="BF"/>
            <w:noWrap/>
            <w:vAlign w:val="center"/>
            <w:hideMark/>
          </w:tcPr>
          <w:p w14:paraId="6E7EF91E" w14:textId="77777777" w:rsidR="007716D7" w:rsidRPr="00282975" w:rsidRDefault="007716D7" w:rsidP="007716D7">
            <w:pPr>
              <w:spacing w:after="0"/>
              <w:jc w:val="right"/>
              <w:rPr>
                <w:rFonts w:cs="Arial"/>
                <w:color w:val="000000"/>
                <w:sz w:val="15"/>
                <w:szCs w:val="15"/>
              </w:rPr>
            </w:pPr>
          </w:p>
        </w:tc>
      </w:tr>
      <w:tr w:rsidR="00CC02CC" w:rsidRPr="00282975" w14:paraId="0F5738FC" w14:textId="77777777" w:rsidTr="00F830E6">
        <w:trPr>
          <w:trHeight w:val="301"/>
        </w:trPr>
        <w:tc>
          <w:tcPr>
            <w:tcW w:w="29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7C6145" w14:textId="77777777" w:rsidR="00CC02CC" w:rsidRDefault="00CC02CC" w:rsidP="00CC02CC">
            <w:pPr>
              <w:spacing w:after="0"/>
              <w:rPr>
                <w:rFonts w:cs="Arial"/>
                <w:color w:val="000000"/>
                <w:sz w:val="15"/>
                <w:szCs w:val="15"/>
              </w:rPr>
            </w:pPr>
            <w:r w:rsidRPr="00282975">
              <w:rPr>
                <w:rFonts w:cs="Arial"/>
                <w:color w:val="000000"/>
                <w:sz w:val="15"/>
                <w:szCs w:val="15"/>
              </w:rPr>
              <w:t>Actual</w:t>
            </w:r>
            <w:r>
              <w:rPr>
                <w:rFonts w:cs="Arial"/>
                <w:color w:val="000000"/>
                <w:sz w:val="15"/>
                <w:szCs w:val="15"/>
              </w:rPr>
              <w:t xml:space="preserve"> Scheme expense</w:t>
            </w:r>
            <w:r w:rsidRPr="00282975">
              <w:rPr>
                <w:rFonts w:cs="Arial"/>
                <w:color w:val="000000"/>
                <w:sz w:val="15"/>
                <w:szCs w:val="15"/>
              </w:rPr>
              <w:t xml:space="preserve"> compared with June AFSR</w:t>
            </w:r>
            <w:r>
              <w:rPr>
                <w:rFonts w:cs="Arial"/>
                <w:color w:val="000000"/>
                <w:sz w:val="15"/>
                <w:szCs w:val="15"/>
              </w:rPr>
              <w:t xml:space="preserve"> (%)</w:t>
            </w:r>
          </w:p>
          <w:p w14:paraId="5AAC618A" w14:textId="77777777" w:rsidR="00CC02CC" w:rsidRPr="00F830E6" w:rsidRDefault="00CC02CC" w:rsidP="00CC02CC">
            <w:pPr>
              <w:spacing w:after="0"/>
              <w:rPr>
                <w:rFonts w:cs="Arial"/>
                <w:i/>
                <w:color w:val="000000"/>
                <w:sz w:val="15"/>
                <w:szCs w:val="15"/>
              </w:rPr>
            </w:pPr>
            <w:r w:rsidRPr="00F830E6">
              <w:rPr>
                <w:rFonts w:cs="Arial"/>
                <w:i/>
                <w:color w:val="000000"/>
                <w:sz w:val="15"/>
                <w:szCs w:val="15"/>
              </w:rPr>
              <w:t>(Actual – AFSR projection) / Actual</w:t>
            </w:r>
          </w:p>
        </w:tc>
        <w:tc>
          <w:tcPr>
            <w:tcW w:w="799" w:type="dxa"/>
            <w:tcBorders>
              <w:top w:val="single" w:sz="4" w:space="0" w:color="auto"/>
              <w:left w:val="single" w:sz="4" w:space="0" w:color="auto"/>
              <w:bottom w:val="single" w:sz="4" w:space="0" w:color="auto"/>
              <w:right w:val="nil"/>
            </w:tcBorders>
            <w:shd w:val="clear" w:color="auto" w:fill="BFBFBF" w:themeFill="background1" w:themeFillShade="BF"/>
            <w:noWrap/>
          </w:tcPr>
          <w:p w14:paraId="2226E44B" w14:textId="77777777" w:rsidR="00CC02CC" w:rsidRPr="00282975" w:rsidRDefault="00CC02CC" w:rsidP="00CC02CC">
            <w:pPr>
              <w:spacing w:after="0"/>
              <w:jc w:val="right"/>
              <w:rPr>
                <w:rFonts w:cs="Arial"/>
                <w:color w:val="000000"/>
                <w:sz w:val="15"/>
                <w:szCs w:val="15"/>
              </w:rPr>
            </w:pPr>
          </w:p>
        </w:tc>
        <w:tc>
          <w:tcPr>
            <w:tcW w:w="793" w:type="dxa"/>
            <w:tcBorders>
              <w:top w:val="single" w:sz="4" w:space="0" w:color="auto"/>
              <w:left w:val="nil"/>
              <w:bottom w:val="single" w:sz="4" w:space="0" w:color="auto"/>
              <w:right w:val="nil"/>
            </w:tcBorders>
            <w:shd w:val="clear" w:color="auto" w:fill="FFE699"/>
            <w:vAlign w:val="center"/>
          </w:tcPr>
          <w:p w14:paraId="4910E012" w14:textId="77777777" w:rsidR="00CC02CC" w:rsidRPr="00CC02CC" w:rsidRDefault="00CC02CC" w:rsidP="00CC02CC">
            <w:pPr>
              <w:spacing w:after="0"/>
              <w:jc w:val="right"/>
              <w:rPr>
                <w:sz w:val="15"/>
                <w:szCs w:val="15"/>
              </w:rPr>
            </w:pPr>
            <w:r w:rsidRPr="00F830E6">
              <w:rPr>
                <w:rFonts w:cs="Arial"/>
                <w:color w:val="000000"/>
                <w:sz w:val="15"/>
                <w:szCs w:val="15"/>
              </w:rPr>
              <w:t>8.9%</w:t>
            </w:r>
          </w:p>
        </w:tc>
        <w:tc>
          <w:tcPr>
            <w:tcW w:w="793" w:type="dxa"/>
            <w:tcBorders>
              <w:top w:val="single" w:sz="4" w:space="0" w:color="auto"/>
              <w:left w:val="nil"/>
              <w:bottom w:val="single" w:sz="4" w:space="0" w:color="auto"/>
              <w:right w:val="nil"/>
            </w:tcBorders>
            <w:shd w:val="clear" w:color="auto" w:fill="FFE699"/>
            <w:noWrap/>
            <w:vAlign w:val="center"/>
          </w:tcPr>
          <w:p w14:paraId="2770EFAD" w14:textId="77777777" w:rsidR="00CC02CC" w:rsidRPr="00CC02CC" w:rsidRDefault="00CC02CC" w:rsidP="00CC02CC">
            <w:pPr>
              <w:spacing w:after="0"/>
              <w:jc w:val="right"/>
              <w:rPr>
                <w:sz w:val="15"/>
                <w:szCs w:val="15"/>
              </w:rPr>
            </w:pPr>
            <w:r w:rsidRPr="00F830E6">
              <w:rPr>
                <w:rFonts w:cs="Arial"/>
                <w:color w:val="000000"/>
                <w:sz w:val="15"/>
                <w:szCs w:val="15"/>
              </w:rPr>
              <w:t>4.8%</w:t>
            </w:r>
          </w:p>
        </w:tc>
        <w:tc>
          <w:tcPr>
            <w:tcW w:w="793" w:type="dxa"/>
            <w:tcBorders>
              <w:top w:val="single" w:sz="4" w:space="0" w:color="auto"/>
              <w:left w:val="nil"/>
              <w:bottom w:val="single" w:sz="4" w:space="0" w:color="auto"/>
              <w:right w:val="nil"/>
            </w:tcBorders>
            <w:shd w:val="clear" w:color="auto" w:fill="FFE699"/>
            <w:noWrap/>
            <w:vAlign w:val="center"/>
          </w:tcPr>
          <w:p w14:paraId="32A79139" w14:textId="77777777" w:rsidR="00CC02CC" w:rsidRPr="00CC02CC" w:rsidRDefault="00CC02CC" w:rsidP="00CC02CC">
            <w:pPr>
              <w:spacing w:after="0"/>
              <w:jc w:val="right"/>
              <w:rPr>
                <w:sz w:val="15"/>
                <w:szCs w:val="15"/>
              </w:rPr>
            </w:pPr>
            <w:r w:rsidRPr="00F830E6">
              <w:rPr>
                <w:rFonts w:cs="Arial"/>
                <w:color w:val="000000"/>
                <w:sz w:val="15"/>
                <w:szCs w:val="15"/>
              </w:rPr>
              <w:t>4.5%</w:t>
            </w:r>
          </w:p>
        </w:tc>
        <w:tc>
          <w:tcPr>
            <w:tcW w:w="793" w:type="dxa"/>
            <w:tcBorders>
              <w:top w:val="single" w:sz="4" w:space="0" w:color="auto"/>
              <w:left w:val="single" w:sz="4" w:space="0" w:color="auto"/>
              <w:bottom w:val="single" w:sz="4" w:space="0" w:color="auto"/>
              <w:right w:val="single" w:sz="4" w:space="0" w:color="auto"/>
            </w:tcBorders>
            <w:shd w:val="clear" w:color="auto" w:fill="FFE699"/>
            <w:noWrap/>
            <w:vAlign w:val="center"/>
          </w:tcPr>
          <w:p w14:paraId="617AF539" w14:textId="77777777" w:rsidR="00CC02CC" w:rsidRPr="00CC02CC" w:rsidRDefault="00CC02CC" w:rsidP="00CC02CC">
            <w:pPr>
              <w:spacing w:after="0"/>
              <w:jc w:val="right"/>
              <w:rPr>
                <w:sz w:val="15"/>
                <w:szCs w:val="15"/>
              </w:rPr>
            </w:pPr>
            <w:r w:rsidRPr="00F830E6">
              <w:rPr>
                <w:rFonts w:cs="Arial"/>
                <w:color w:val="000000"/>
                <w:sz w:val="15"/>
                <w:szCs w:val="15"/>
              </w:rPr>
              <w:t>-2.1%</w:t>
            </w:r>
          </w:p>
        </w:tc>
        <w:tc>
          <w:tcPr>
            <w:tcW w:w="793" w:type="dxa"/>
            <w:tcBorders>
              <w:top w:val="single" w:sz="4" w:space="0" w:color="auto"/>
              <w:left w:val="nil"/>
              <w:bottom w:val="single" w:sz="4" w:space="0" w:color="auto"/>
              <w:right w:val="nil"/>
            </w:tcBorders>
            <w:shd w:val="clear" w:color="auto" w:fill="BFBFBF" w:themeFill="background1" w:themeFillShade="BF"/>
            <w:noWrap/>
          </w:tcPr>
          <w:p w14:paraId="451E6A6B" w14:textId="77777777" w:rsidR="00CC02CC" w:rsidRPr="00282975" w:rsidRDefault="00CC02CC" w:rsidP="00CC02CC">
            <w:pPr>
              <w:spacing w:after="0"/>
              <w:jc w:val="right"/>
              <w:rPr>
                <w:rFonts w:cs="Arial"/>
                <w:color w:val="000000"/>
                <w:sz w:val="15"/>
                <w:szCs w:val="15"/>
              </w:rPr>
            </w:pPr>
          </w:p>
        </w:tc>
        <w:tc>
          <w:tcPr>
            <w:tcW w:w="793" w:type="dxa"/>
            <w:tcBorders>
              <w:top w:val="single" w:sz="4" w:space="0" w:color="auto"/>
              <w:left w:val="nil"/>
              <w:bottom w:val="single" w:sz="4" w:space="0" w:color="auto"/>
              <w:right w:val="nil"/>
            </w:tcBorders>
            <w:shd w:val="clear" w:color="auto" w:fill="BFBFBF" w:themeFill="background1" w:themeFillShade="BF"/>
            <w:noWrap/>
          </w:tcPr>
          <w:p w14:paraId="3AE55520" w14:textId="77777777" w:rsidR="00CC02CC" w:rsidRPr="00282975" w:rsidRDefault="00CC02CC" w:rsidP="00CC02CC">
            <w:pPr>
              <w:spacing w:after="0"/>
              <w:jc w:val="right"/>
              <w:rPr>
                <w:rFonts w:cs="Arial"/>
                <w:color w:val="000000"/>
                <w:sz w:val="15"/>
                <w:szCs w:val="15"/>
              </w:rPr>
            </w:pPr>
          </w:p>
        </w:tc>
        <w:tc>
          <w:tcPr>
            <w:tcW w:w="793" w:type="dxa"/>
            <w:tcBorders>
              <w:top w:val="single" w:sz="4" w:space="0" w:color="auto"/>
              <w:left w:val="nil"/>
              <w:bottom w:val="single" w:sz="4" w:space="0" w:color="auto"/>
              <w:right w:val="nil"/>
            </w:tcBorders>
            <w:shd w:val="clear" w:color="auto" w:fill="BFBFBF" w:themeFill="background1" w:themeFillShade="BF"/>
            <w:noWrap/>
          </w:tcPr>
          <w:p w14:paraId="0AFF86B1" w14:textId="77777777" w:rsidR="00CC02CC" w:rsidRPr="00282975" w:rsidRDefault="00CC02CC" w:rsidP="00CC02CC">
            <w:pPr>
              <w:spacing w:after="0"/>
              <w:jc w:val="right"/>
              <w:rPr>
                <w:rFonts w:cs="Arial"/>
                <w:color w:val="000000"/>
                <w:sz w:val="15"/>
                <w:szCs w:val="15"/>
              </w:rPr>
            </w:pPr>
          </w:p>
        </w:tc>
        <w:tc>
          <w:tcPr>
            <w:tcW w:w="793"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07DEF485" w14:textId="77777777" w:rsidR="00CC02CC" w:rsidRPr="00282975" w:rsidRDefault="00CC02CC" w:rsidP="00CC02CC">
            <w:pPr>
              <w:spacing w:after="0"/>
              <w:jc w:val="right"/>
              <w:rPr>
                <w:rFonts w:cs="Arial"/>
                <w:color w:val="000000"/>
                <w:sz w:val="15"/>
                <w:szCs w:val="15"/>
              </w:rPr>
            </w:pPr>
          </w:p>
        </w:tc>
      </w:tr>
    </w:tbl>
    <w:p w14:paraId="2031C489" w14:textId="77777777" w:rsidR="00CF6AA7" w:rsidRPr="00A95BA8" w:rsidRDefault="00CF6AA7" w:rsidP="00CF6AA7">
      <w:pPr>
        <w:pStyle w:val="FSRnormal"/>
      </w:pPr>
      <w:r>
        <w:t xml:space="preserve">Total participant </w:t>
      </w:r>
      <w:r w:rsidR="001950C5">
        <w:t xml:space="preserve">Scheme expense </w:t>
      </w:r>
      <w:r>
        <w:t xml:space="preserve">projections have been revised upwards for each successive AFSR projection. Actual </w:t>
      </w:r>
      <w:r w:rsidR="001950C5">
        <w:t xml:space="preserve">Scheme expenses </w:t>
      </w:r>
      <w:r>
        <w:t xml:space="preserve">(on an accrual basis) for the three financial years 2018-19, 2019-20 and 2020-21 have exceeded the estimate from the most recent AFSR by amounts between $0.8 billion and $1.0 billion. However, actual </w:t>
      </w:r>
      <w:r w:rsidR="001950C5">
        <w:t xml:space="preserve">Scheme expenses </w:t>
      </w:r>
      <w:r>
        <w:t xml:space="preserve">for the most recent financial year were $0.6 billion lower than the 30 June 2021 AFSR projection. These deviations highlight the challenge of achieving accurate projections of Scheme </w:t>
      </w:r>
      <w:r w:rsidR="001950C5">
        <w:t xml:space="preserve">expenses </w:t>
      </w:r>
      <w:r>
        <w:t>even in the short term.</w:t>
      </w:r>
    </w:p>
    <w:p w14:paraId="304D7CF5" w14:textId="77777777" w:rsidR="006514A2" w:rsidRDefault="00CF6AA7" w:rsidP="00F11E61">
      <w:pPr>
        <w:pStyle w:val="FSRnormal"/>
      </w:pPr>
      <w:r>
        <w:t>While a component of the increases in the AFSR projection over time is from a greater intake of participants than previously expected, the main driver is the average payment per participant which has continued to significantly increase. This is discussed in further detail below.</w:t>
      </w:r>
    </w:p>
    <w:p w14:paraId="27BF9DE5" w14:textId="77777777" w:rsidR="001A21FC" w:rsidRDefault="001A21FC">
      <w:pPr>
        <w:spacing w:after="160" w:line="259" w:lineRule="auto"/>
        <w:rPr>
          <w:rFonts w:eastAsiaTheme="minorHAnsi"/>
          <w:b/>
          <w:bCs/>
          <w:szCs w:val="18"/>
          <w:lang w:eastAsia="en-US"/>
        </w:rPr>
      </w:pPr>
      <w:r>
        <w:br w:type="page"/>
      </w:r>
    </w:p>
    <w:p w14:paraId="7D191A54" w14:textId="77777777" w:rsidR="00CF6AA7" w:rsidRPr="00F37130" w:rsidRDefault="00CF6AA7" w:rsidP="00260852">
      <w:pPr>
        <w:pStyle w:val="Tables"/>
      </w:pPr>
      <w:r w:rsidRPr="00FA751D">
        <w:lastRenderedPageBreak/>
        <w:t xml:space="preserve">Table </w:t>
      </w:r>
      <w:fldSimple w:instr=" STYLEREF 2 \s ">
        <w:r w:rsidR="00A87896">
          <w:rPr>
            <w:noProof/>
          </w:rPr>
          <w:t>6</w:t>
        </w:r>
      </w:fldSimple>
      <w:r w:rsidR="00A87896">
        <w:t>.</w:t>
      </w:r>
      <w:fldSimple w:instr=" SEQ Table \* ARABIC \s 2 ">
        <w:r w:rsidR="00A87896">
          <w:rPr>
            <w:noProof/>
          </w:rPr>
          <w:t>19</w:t>
        </w:r>
      </w:fldSimple>
      <w:r w:rsidRPr="00FA751D">
        <w:t>: Participant numbers - AFSR projections and 2017 PC estimates</w:t>
      </w:r>
    </w:p>
    <w:tbl>
      <w:tblPr>
        <w:tblW w:w="10094" w:type="dxa"/>
        <w:tblInd w:w="-289" w:type="dxa"/>
        <w:tblLook w:val="04A0" w:firstRow="1" w:lastRow="0" w:firstColumn="1" w:lastColumn="0" w:noHBand="0" w:noVBand="1"/>
      </w:tblPr>
      <w:tblGrid>
        <w:gridCol w:w="2948"/>
        <w:gridCol w:w="794"/>
        <w:gridCol w:w="794"/>
        <w:gridCol w:w="794"/>
        <w:gridCol w:w="794"/>
        <w:gridCol w:w="794"/>
        <w:gridCol w:w="794"/>
        <w:gridCol w:w="794"/>
        <w:gridCol w:w="794"/>
        <w:gridCol w:w="794"/>
      </w:tblGrid>
      <w:tr w:rsidR="00252EAF" w:rsidRPr="00E5394D" w14:paraId="74498928" w14:textId="77777777" w:rsidTr="00252EAF">
        <w:trPr>
          <w:trHeight w:val="397"/>
        </w:trPr>
        <w:tc>
          <w:tcPr>
            <w:tcW w:w="2948" w:type="dxa"/>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4713F4F0" w14:textId="77777777" w:rsidR="00CF6AA7" w:rsidRPr="00172CBB" w:rsidRDefault="00CF6AA7" w:rsidP="004C434C">
            <w:pPr>
              <w:spacing w:after="0"/>
              <w:rPr>
                <w:rFonts w:cs="Arial"/>
                <w:b/>
                <w:bCs/>
                <w:color w:val="FFFFFF"/>
                <w:sz w:val="15"/>
                <w:szCs w:val="15"/>
              </w:rPr>
            </w:pPr>
            <w:r w:rsidRPr="00172CBB">
              <w:rPr>
                <w:rFonts w:cs="Arial"/>
                <w:b/>
                <w:bCs/>
                <w:color w:val="FFFFFF"/>
                <w:sz w:val="15"/>
                <w:szCs w:val="15"/>
              </w:rPr>
              <w:t>Total participant numbers</w:t>
            </w:r>
          </w:p>
        </w:tc>
        <w:tc>
          <w:tcPr>
            <w:tcW w:w="794" w:type="dxa"/>
            <w:tcBorders>
              <w:top w:val="single" w:sz="4" w:space="0" w:color="auto"/>
              <w:left w:val="nil"/>
              <w:bottom w:val="single" w:sz="4" w:space="0" w:color="auto"/>
              <w:right w:val="nil"/>
            </w:tcBorders>
            <w:shd w:val="clear" w:color="000000" w:fill="6B2976"/>
            <w:noWrap/>
            <w:vAlign w:val="center"/>
            <w:hideMark/>
          </w:tcPr>
          <w:p w14:paraId="63A86EBB" w14:textId="77777777" w:rsidR="00CF6AA7" w:rsidRPr="00172CBB" w:rsidRDefault="00CF6AA7">
            <w:pPr>
              <w:spacing w:after="0"/>
              <w:jc w:val="right"/>
              <w:rPr>
                <w:rFonts w:cs="Arial"/>
                <w:b/>
                <w:bCs/>
                <w:color w:val="FFFFFF"/>
                <w:sz w:val="15"/>
                <w:szCs w:val="15"/>
              </w:rPr>
            </w:pPr>
            <w:r w:rsidRPr="00172CBB">
              <w:rPr>
                <w:rFonts w:cs="Arial"/>
                <w:b/>
                <w:bCs/>
                <w:color w:val="FFFFFF"/>
                <w:sz w:val="15"/>
                <w:szCs w:val="15"/>
              </w:rPr>
              <w:t>2017-18</w:t>
            </w:r>
          </w:p>
        </w:tc>
        <w:tc>
          <w:tcPr>
            <w:tcW w:w="794" w:type="dxa"/>
            <w:tcBorders>
              <w:top w:val="single" w:sz="4" w:space="0" w:color="auto"/>
              <w:left w:val="nil"/>
              <w:bottom w:val="single" w:sz="4" w:space="0" w:color="auto"/>
              <w:right w:val="nil"/>
            </w:tcBorders>
            <w:shd w:val="clear" w:color="000000" w:fill="6B2976"/>
            <w:vAlign w:val="center"/>
          </w:tcPr>
          <w:p w14:paraId="4FACEA14" w14:textId="77777777" w:rsidR="00CF6AA7" w:rsidRPr="00172CBB" w:rsidRDefault="00CF6AA7">
            <w:pPr>
              <w:spacing w:after="0"/>
              <w:jc w:val="right"/>
              <w:rPr>
                <w:rFonts w:cs="Arial"/>
                <w:b/>
                <w:bCs/>
                <w:color w:val="FFFFFF"/>
                <w:sz w:val="15"/>
                <w:szCs w:val="15"/>
              </w:rPr>
            </w:pPr>
            <w:r w:rsidRPr="00172CBB">
              <w:rPr>
                <w:rFonts w:cs="Arial"/>
                <w:b/>
                <w:bCs/>
                <w:color w:val="FFFFFF"/>
                <w:sz w:val="15"/>
                <w:szCs w:val="15"/>
              </w:rPr>
              <w:t>2018-19</w:t>
            </w:r>
          </w:p>
        </w:tc>
        <w:tc>
          <w:tcPr>
            <w:tcW w:w="794" w:type="dxa"/>
            <w:tcBorders>
              <w:top w:val="single" w:sz="4" w:space="0" w:color="auto"/>
              <w:left w:val="nil"/>
              <w:bottom w:val="single" w:sz="4" w:space="0" w:color="auto"/>
              <w:right w:val="nil"/>
            </w:tcBorders>
            <w:shd w:val="clear" w:color="000000" w:fill="6B2976"/>
            <w:noWrap/>
            <w:vAlign w:val="center"/>
            <w:hideMark/>
          </w:tcPr>
          <w:p w14:paraId="379CDB8E" w14:textId="77777777" w:rsidR="00CF6AA7" w:rsidRPr="00172CBB" w:rsidRDefault="00CF6AA7">
            <w:pPr>
              <w:spacing w:after="0"/>
              <w:jc w:val="right"/>
              <w:rPr>
                <w:rFonts w:cs="Arial"/>
                <w:b/>
                <w:bCs/>
                <w:color w:val="FFFFFF"/>
                <w:sz w:val="15"/>
                <w:szCs w:val="15"/>
              </w:rPr>
            </w:pPr>
            <w:r w:rsidRPr="00172CBB">
              <w:rPr>
                <w:rFonts w:cs="Arial"/>
                <w:b/>
                <w:bCs/>
                <w:color w:val="FFFFFF"/>
                <w:sz w:val="15"/>
                <w:szCs w:val="15"/>
              </w:rPr>
              <w:t>2019-20</w:t>
            </w:r>
          </w:p>
        </w:tc>
        <w:tc>
          <w:tcPr>
            <w:tcW w:w="794" w:type="dxa"/>
            <w:tcBorders>
              <w:top w:val="single" w:sz="4" w:space="0" w:color="auto"/>
              <w:left w:val="nil"/>
              <w:bottom w:val="single" w:sz="4" w:space="0" w:color="auto"/>
              <w:right w:val="nil"/>
            </w:tcBorders>
            <w:shd w:val="clear" w:color="000000" w:fill="6B2976"/>
            <w:noWrap/>
            <w:vAlign w:val="center"/>
            <w:hideMark/>
          </w:tcPr>
          <w:p w14:paraId="179FABB5" w14:textId="77777777" w:rsidR="00CF6AA7" w:rsidRPr="00172CBB" w:rsidRDefault="00CF6AA7">
            <w:pPr>
              <w:spacing w:after="0"/>
              <w:jc w:val="right"/>
              <w:rPr>
                <w:rFonts w:cs="Arial"/>
                <w:b/>
                <w:bCs/>
                <w:color w:val="FFFFFF"/>
                <w:sz w:val="15"/>
                <w:szCs w:val="15"/>
              </w:rPr>
            </w:pPr>
            <w:r w:rsidRPr="00172CBB">
              <w:rPr>
                <w:rFonts w:cs="Arial"/>
                <w:b/>
                <w:bCs/>
                <w:color w:val="FFFFFF"/>
                <w:sz w:val="15"/>
                <w:szCs w:val="15"/>
              </w:rPr>
              <w:t>2020-21</w:t>
            </w:r>
          </w:p>
        </w:tc>
        <w:tc>
          <w:tcPr>
            <w:tcW w:w="794" w:type="dxa"/>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638AFF6A" w14:textId="77777777" w:rsidR="00CF6AA7" w:rsidRPr="00172CBB" w:rsidRDefault="00CF6AA7">
            <w:pPr>
              <w:spacing w:after="0"/>
              <w:jc w:val="right"/>
              <w:rPr>
                <w:rFonts w:cs="Arial"/>
                <w:b/>
                <w:bCs/>
                <w:color w:val="FFFFFF"/>
                <w:sz w:val="15"/>
                <w:szCs w:val="15"/>
              </w:rPr>
            </w:pPr>
            <w:r w:rsidRPr="00172CBB">
              <w:rPr>
                <w:rFonts w:cs="Arial"/>
                <w:b/>
                <w:bCs/>
                <w:color w:val="FFFFFF"/>
                <w:sz w:val="15"/>
                <w:szCs w:val="15"/>
              </w:rPr>
              <w:t>2021-22</w:t>
            </w:r>
          </w:p>
        </w:tc>
        <w:tc>
          <w:tcPr>
            <w:tcW w:w="794" w:type="dxa"/>
            <w:tcBorders>
              <w:top w:val="single" w:sz="4" w:space="0" w:color="auto"/>
              <w:left w:val="nil"/>
              <w:bottom w:val="single" w:sz="4" w:space="0" w:color="auto"/>
              <w:right w:val="nil"/>
            </w:tcBorders>
            <w:shd w:val="clear" w:color="000000" w:fill="6B2976"/>
            <w:noWrap/>
            <w:vAlign w:val="center"/>
            <w:hideMark/>
          </w:tcPr>
          <w:p w14:paraId="66757C58" w14:textId="77777777" w:rsidR="00CF6AA7" w:rsidRPr="00172CBB" w:rsidRDefault="00CF6AA7">
            <w:pPr>
              <w:spacing w:after="0"/>
              <w:jc w:val="right"/>
              <w:rPr>
                <w:rFonts w:cs="Arial"/>
                <w:b/>
                <w:bCs/>
                <w:color w:val="FFFFFF"/>
                <w:sz w:val="15"/>
                <w:szCs w:val="15"/>
              </w:rPr>
            </w:pPr>
            <w:r w:rsidRPr="00172CBB">
              <w:rPr>
                <w:rFonts w:cs="Arial"/>
                <w:b/>
                <w:bCs/>
                <w:color w:val="FFFFFF"/>
                <w:sz w:val="15"/>
                <w:szCs w:val="15"/>
              </w:rPr>
              <w:t>2022-23</w:t>
            </w:r>
          </w:p>
        </w:tc>
        <w:tc>
          <w:tcPr>
            <w:tcW w:w="794" w:type="dxa"/>
            <w:tcBorders>
              <w:top w:val="single" w:sz="4" w:space="0" w:color="auto"/>
              <w:left w:val="nil"/>
              <w:bottom w:val="single" w:sz="4" w:space="0" w:color="auto"/>
              <w:right w:val="nil"/>
            </w:tcBorders>
            <w:shd w:val="clear" w:color="000000" w:fill="6B2976"/>
            <w:noWrap/>
            <w:vAlign w:val="center"/>
            <w:hideMark/>
          </w:tcPr>
          <w:p w14:paraId="443018F4" w14:textId="77777777" w:rsidR="00CF6AA7" w:rsidRPr="00172CBB" w:rsidRDefault="00CF6AA7">
            <w:pPr>
              <w:spacing w:after="0"/>
              <w:jc w:val="right"/>
              <w:rPr>
                <w:rFonts w:cs="Arial"/>
                <w:b/>
                <w:bCs/>
                <w:color w:val="FFFFFF"/>
                <w:sz w:val="15"/>
                <w:szCs w:val="15"/>
              </w:rPr>
            </w:pPr>
            <w:r w:rsidRPr="00172CBB">
              <w:rPr>
                <w:rFonts w:cs="Arial"/>
                <w:b/>
                <w:bCs/>
                <w:color w:val="FFFFFF"/>
                <w:sz w:val="15"/>
                <w:szCs w:val="15"/>
              </w:rPr>
              <w:t>2023-24</w:t>
            </w:r>
          </w:p>
        </w:tc>
        <w:tc>
          <w:tcPr>
            <w:tcW w:w="794" w:type="dxa"/>
            <w:tcBorders>
              <w:top w:val="single" w:sz="4" w:space="0" w:color="auto"/>
              <w:left w:val="nil"/>
              <w:bottom w:val="single" w:sz="4" w:space="0" w:color="auto"/>
              <w:right w:val="nil"/>
            </w:tcBorders>
            <w:shd w:val="clear" w:color="000000" w:fill="6B2976"/>
            <w:noWrap/>
            <w:vAlign w:val="center"/>
            <w:hideMark/>
          </w:tcPr>
          <w:p w14:paraId="043A3271" w14:textId="77777777" w:rsidR="00CF6AA7" w:rsidRPr="00172CBB" w:rsidRDefault="00CF6AA7">
            <w:pPr>
              <w:spacing w:after="0"/>
              <w:jc w:val="right"/>
              <w:rPr>
                <w:rFonts w:cs="Arial"/>
                <w:b/>
                <w:bCs/>
                <w:color w:val="FFFFFF"/>
                <w:sz w:val="15"/>
                <w:szCs w:val="15"/>
              </w:rPr>
            </w:pPr>
            <w:r w:rsidRPr="00172CBB">
              <w:rPr>
                <w:rFonts w:cs="Arial"/>
                <w:b/>
                <w:bCs/>
                <w:color w:val="FFFFFF"/>
                <w:sz w:val="15"/>
                <w:szCs w:val="15"/>
              </w:rPr>
              <w:t>2024-25</w:t>
            </w:r>
          </w:p>
        </w:tc>
        <w:tc>
          <w:tcPr>
            <w:tcW w:w="794" w:type="dxa"/>
            <w:tcBorders>
              <w:top w:val="single" w:sz="4" w:space="0" w:color="auto"/>
              <w:left w:val="nil"/>
              <w:bottom w:val="single" w:sz="4" w:space="0" w:color="auto"/>
              <w:right w:val="single" w:sz="4" w:space="0" w:color="auto"/>
            </w:tcBorders>
            <w:shd w:val="clear" w:color="000000" w:fill="6B2976"/>
            <w:noWrap/>
            <w:vAlign w:val="center"/>
            <w:hideMark/>
          </w:tcPr>
          <w:p w14:paraId="47ADDECF" w14:textId="77777777" w:rsidR="00CF6AA7" w:rsidRPr="00172CBB" w:rsidRDefault="00CF6AA7">
            <w:pPr>
              <w:spacing w:after="0"/>
              <w:jc w:val="right"/>
              <w:rPr>
                <w:rFonts w:cs="Arial"/>
                <w:b/>
                <w:bCs/>
                <w:color w:val="FFFFFF"/>
                <w:sz w:val="15"/>
                <w:szCs w:val="15"/>
              </w:rPr>
            </w:pPr>
            <w:r w:rsidRPr="00172CBB">
              <w:rPr>
                <w:rFonts w:cs="Arial"/>
                <w:b/>
                <w:bCs/>
                <w:color w:val="FFFFFF"/>
                <w:sz w:val="15"/>
                <w:szCs w:val="15"/>
              </w:rPr>
              <w:t>2025-26</w:t>
            </w:r>
          </w:p>
        </w:tc>
      </w:tr>
      <w:tr w:rsidR="00252EAF" w:rsidRPr="00E5394D" w14:paraId="3F1430B9" w14:textId="77777777" w:rsidTr="00252EAF">
        <w:trPr>
          <w:trHeight w:val="301"/>
        </w:trPr>
        <w:tc>
          <w:tcPr>
            <w:tcW w:w="2948" w:type="dxa"/>
            <w:tcBorders>
              <w:top w:val="nil"/>
              <w:left w:val="single" w:sz="4" w:space="0" w:color="auto"/>
              <w:bottom w:val="single" w:sz="4" w:space="0" w:color="auto"/>
              <w:right w:val="nil"/>
            </w:tcBorders>
            <w:shd w:val="clear" w:color="000000" w:fill="D3C5D7"/>
            <w:noWrap/>
            <w:vAlign w:val="center"/>
            <w:hideMark/>
          </w:tcPr>
          <w:p w14:paraId="441FBB31" w14:textId="77777777" w:rsidR="00CF6AA7" w:rsidRPr="00172CBB" w:rsidRDefault="00CF6AA7" w:rsidP="004C434C">
            <w:pPr>
              <w:spacing w:after="0"/>
              <w:rPr>
                <w:rFonts w:cs="Arial"/>
                <w:b/>
                <w:bCs/>
                <w:color w:val="000000"/>
                <w:sz w:val="15"/>
                <w:szCs w:val="15"/>
              </w:rPr>
            </w:pPr>
            <w:r w:rsidRPr="00172CBB">
              <w:rPr>
                <w:rFonts w:cs="Arial"/>
                <w:b/>
                <w:bCs/>
                <w:color w:val="000000"/>
                <w:sz w:val="15"/>
                <w:szCs w:val="15"/>
              </w:rPr>
              <w:t>PC estimates</w:t>
            </w:r>
          </w:p>
        </w:tc>
        <w:tc>
          <w:tcPr>
            <w:tcW w:w="794" w:type="dxa"/>
            <w:tcBorders>
              <w:top w:val="nil"/>
              <w:left w:val="nil"/>
              <w:bottom w:val="single" w:sz="4" w:space="0" w:color="auto"/>
              <w:right w:val="nil"/>
            </w:tcBorders>
            <w:shd w:val="clear" w:color="000000" w:fill="D3C5D7"/>
            <w:noWrap/>
            <w:vAlign w:val="center"/>
            <w:hideMark/>
          </w:tcPr>
          <w:p w14:paraId="105D23CA" w14:textId="77777777" w:rsidR="00CF6AA7" w:rsidRPr="00172CBB" w:rsidRDefault="00CF6AA7">
            <w:pPr>
              <w:spacing w:after="0"/>
              <w:jc w:val="right"/>
              <w:rPr>
                <w:rFonts w:cs="Arial"/>
                <w:b/>
                <w:bCs/>
                <w:color w:val="000000"/>
                <w:sz w:val="15"/>
                <w:szCs w:val="15"/>
              </w:rPr>
            </w:pPr>
            <w:r w:rsidRPr="00172CBB">
              <w:rPr>
                <w:rFonts w:cs="Arial"/>
                <w:b/>
                <w:bCs/>
                <w:color w:val="000000"/>
                <w:sz w:val="15"/>
                <w:szCs w:val="15"/>
              </w:rPr>
              <w:t> </w:t>
            </w:r>
          </w:p>
        </w:tc>
        <w:tc>
          <w:tcPr>
            <w:tcW w:w="794" w:type="dxa"/>
            <w:tcBorders>
              <w:top w:val="nil"/>
              <w:left w:val="nil"/>
              <w:bottom w:val="single" w:sz="4" w:space="0" w:color="auto"/>
              <w:right w:val="nil"/>
            </w:tcBorders>
            <w:shd w:val="clear" w:color="000000" w:fill="D3C5D7"/>
            <w:vAlign w:val="center"/>
          </w:tcPr>
          <w:p w14:paraId="6032BFD1" w14:textId="77777777" w:rsidR="00CF6AA7" w:rsidRPr="00172CBB" w:rsidRDefault="00CF6AA7">
            <w:pPr>
              <w:spacing w:after="0"/>
              <w:jc w:val="right"/>
              <w:rPr>
                <w:rFonts w:cs="Arial"/>
                <w:b/>
                <w:bCs/>
                <w:color w:val="000000"/>
                <w:sz w:val="15"/>
                <w:szCs w:val="15"/>
              </w:rPr>
            </w:pPr>
          </w:p>
        </w:tc>
        <w:tc>
          <w:tcPr>
            <w:tcW w:w="794" w:type="dxa"/>
            <w:tcBorders>
              <w:top w:val="nil"/>
              <w:left w:val="nil"/>
              <w:bottom w:val="single" w:sz="4" w:space="0" w:color="auto"/>
              <w:right w:val="nil"/>
            </w:tcBorders>
            <w:shd w:val="clear" w:color="000000" w:fill="D3C5D7"/>
            <w:noWrap/>
            <w:vAlign w:val="center"/>
            <w:hideMark/>
          </w:tcPr>
          <w:p w14:paraId="15F5A10D" w14:textId="77777777" w:rsidR="00CF6AA7" w:rsidRPr="00172CBB" w:rsidRDefault="00CF6AA7">
            <w:pPr>
              <w:spacing w:after="0"/>
              <w:jc w:val="right"/>
              <w:rPr>
                <w:rFonts w:cs="Arial"/>
                <w:b/>
                <w:bCs/>
                <w:color w:val="000000"/>
                <w:sz w:val="15"/>
                <w:szCs w:val="15"/>
              </w:rPr>
            </w:pPr>
            <w:r w:rsidRPr="00172CBB">
              <w:rPr>
                <w:rFonts w:cs="Arial"/>
                <w:b/>
                <w:bCs/>
                <w:color w:val="000000"/>
                <w:sz w:val="15"/>
                <w:szCs w:val="15"/>
              </w:rPr>
              <w:t> </w:t>
            </w:r>
          </w:p>
        </w:tc>
        <w:tc>
          <w:tcPr>
            <w:tcW w:w="794" w:type="dxa"/>
            <w:tcBorders>
              <w:top w:val="nil"/>
              <w:left w:val="nil"/>
              <w:bottom w:val="single" w:sz="4" w:space="0" w:color="auto"/>
              <w:right w:val="nil"/>
            </w:tcBorders>
            <w:shd w:val="clear" w:color="000000" w:fill="D3C5D7"/>
            <w:noWrap/>
            <w:vAlign w:val="center"/>
            <w:hideMark/>
          </w:tcPr>
          <w:p w14:paraId="0B302753" w14:textId="77777777" w:rsidR="00CF6AA7" w:rsidRPr="00172CBB" w:rsidRDefault="00CF6AA7">
            <w:pPr>
              <w:spacing w:after="0"/>
              <w:jc w:val="right"/>
              <w:rPr>
                <w:rFonts w:cs="Arial"/>
                <w:b/>
                <w:bCs/>
                <w:color w:val="000000"/>
                <w:sz w:val="15"/>
                <w:szCs w:val="15"/>
              </w:rPr>
            </w:pPr>
            <w:r w:rsidRPr="00172CBB">
              <w:rPr>
                <w:rFonts w:cs="Arial"/>
                <w:b/>
                <w:bCs/>
                <w:color w:val="000000"/>
                <w:sz w:val="15"/>
                <w:szCs w:val="15"/>
              </w:rPr>
              <w:t> </w:t>
            </w:r>
          </w:p>
        </w:tc>
        <w:tc>
          <w:tcPr>
            <w:tcW w:w="794" w:type="dxa"/>
            <w:tcBorders>
              <w:top w:val="nil"/>
              <w:left w:val="nil"/>
              <w:bottom w:val="single" w:sz="4" w:space="0" w:color="auto"/>
              <w:right w:val="nil"/>
            </w:tcBorders>
            <w:shd w:val="clear" w:color="000000" w:fill="D3C5D7"/>
            <w:noWrap/>
            <w:vAlign w:val="center"/>
            <w:hideMark/>
          </w:tcPr>
          <w:p w14:paraId="51614616" w14:textId="77777777" w:rsidR="00CF6AA7" w:rsidRPr="00172CBB" w:rsidRDefault="00CF6AA7">
            <w:pPr>
              <w:spacing w:after="0"/>
              <w:jc w:val="right"/>
              <w:rPr>
                <w:rFonts w:cs="Arial"/>
                <w:b/>
                <w:bCs/>
                <w:color w:val="000000"/>
                <w:sz w:val="15"/>
                <w:szCs w:val="15"/>
              </w:rPr>
            </w:pPr>
            <w:r w:rsidRPr="00172CBB">
              <w:rPr>
                <w:rFonts w:cs="Arial"/>
                <w:b/>
                <w:bCs/>
                <w:color w:val="000000"/>
                <w:sz w:val="15"/>
                <w:szCs w:val="15"/>
              </w:rPr>
              <w:t> </w:t>
            </w:r>
          </w:p>
        </w:tc>
        <w:tc>
          <w:tcPr>
            <w:tcW w:w="794" w:type="dxa"/>
            <w:tcBorders>
              <w:top w:val="nil"/>
              <w:left w:val="nil"/>
              <w:bottom w:val="single" w:sz="4" w:space="0" w:color="auto"/>
              <w:right w:val="nil"/>
            </w:tcBorders>
            <w:shd w:val="clear" w:color="000000" w:fill="D3C5D7"/>
            <w:noWrap/>
            <w:vAlign w:val="center"/>
            <w:hideMark/>
          </w:tcPr>
          <w:p w14:paraId="1BCA96E8" w14:textId="77777777" w:rsidR="00CF6AA7" w:rsidRPr="00172CBB" w:rsidRDefault="00CF6AA7">
            <w:pPr>
              <w:spacing w:after="0"/>
              <w:jc w:val="right"/>
              <w:rPr>
                <w:rFonts w:cs="Arial"/>
                <w:b/>
                <w:bCs/>
                <w:color w:val="000000"/>
                <w:sz w:val="15"/>
                <w:szCs w:val="15"/>
              </w:rPr>
            </w:pPr>
            <w:r w:rsidRPr="00172CBB">
              <w:rPr>
                <w:rFonts w:cs="Arial"/>
                <w:b/>
                <w:bCs/>
                <w:color w:val="000000"/>
                <w:sz w:val="15"/>
                <w:szCs w:val="15"/>
              </w:rPr>
              <w:t> </w:t>
            </w:r>
          </w:p>
        </w:tc>
        <w:tc>
          <w:tcPr>
            <w:tcW w:w="794" w:type="dxa"/>
            <w:tcBorders>
              <w:top w:val="nil"/>
              <w:left w:val="nil"/>
              <w:bottom w:val="single" w:sz="4" w:space="0" w:color="auto"/>
              <w:right w:val="nil"/>
            </w:tcBorders>
            <w:shd w:val="clear" w:color="000000" w:fill="D3C5D7"/>
            <w:noWrap/>
            <w:vAlign w:val="center"/>
            <w:hideMark/>
          </w:tcPr>
          <w:p w14:paraId="460BFEC0" w14:textId="77777777" w:rsidR="00CF6AA7" w:rsidRPr="00172CBB" w:rsidRDefault="00CF6AA7">
            <w:pPr>
              <w:spacing w:after="0"/>
              <w:jc w:val="right"/>
              <w:rPr>
                <w:rFonts w:cs="Arial"/>
                <w:b/>
                <w:bCs/>
                <w:color w:val="000000"/>
                <w:sz w:val="15"/>
                <w:szCs w:val="15"/>
              </w:rPr>
            </w:pPr>
            <w:r w:rsidRPr="00172CBB">
              <w:rPr>
                <w:rFonts w:cs="Arial"/>
                <w:b/>
                <w:bCs/>
                <w:color w:val="000000"/>
                <w:sz w:val="15"/>
                <w:szCs w:val="15"/>
              </w:rPr>
              <w:t> </w:t>
            </w:r>
          </w:p>
        </w:tc>
        <w:tc>
          <w:tcPr>
            <w:tcW w:w="794" w:type="dxa"/>
            <w:tcBorders>
              <w:top w:val="nil"/>
              <w:left w:val="nil"/>
              <w:bottom w:val="single" w:sz="4" w:space="0" w:color="auto"/>
              <w:right w:val="nil"/>
            </w:tcBorders>
            <w:shd w:val="clear" w:color="000000" w:fill="D3C5D7"/>
            <w:noWrap/>
            <w:vAlign w:val="center"/>
            <w:hideMark/>
          </w:tcPr>
          <w:p w14:paraId="5538D5A1" w14:textId="77777777" w:rsidR="00CF6AA7" w:rsidRPr="00172CBB" w:rsidRDefault="00CF6AA7">
            <w:pPr>
              <w:spacing w:after="0"/>
              <w:jc w:val="right"/>
              <w:rPr>
                <w:rFonts w:cs="Arial"/>
                <w:b/>
                <w:bCs/>
                <w:color w:val="000000"/>
                <w:sz w:val="15"/>
                <w:szCs w:val="15"/>
              </w:rPr>
            </w:pPr>
            <w:r w:rsidRPr="00172CBB">
              <w:rPr>
                <w:rFonts w:cs="Arial"/>
                <w:b/>
                <w:bCs/>
                <w:color w:val="000000"/>
                <w:sz w:val="15"/>
                <w:szCs w:val="15"/>
              </w:rPr>
              <w:t> </w:t>
            </w:r>
          </w:p>
        </w:tc>
        <w:tc>
          <w:tcPr>
            <w:tcW w:w="794" w:type="dxa"/>
            <w:tcBorders>
              <w:top w:val="nil"/>
              <w:left w:val="nil"/>
              <w:bottom w:val="single" w:sz="4" w:space="0" w:color="auto"/>
              <w:right w:val="single" w:sz="4" w:space="0" w:color="auto"/>
            </w:tcBorders>
            <w:shd w:val="clear" w:color="000000" w:fill="D3C5D7"/>
            <w:noWrap/>
            <w:vAlign w:val="center"/>
            <w:hideMark/>
          </w:tcPr>
          <w:p w14:paraId="00685F14" w14:textId="77777777" w:rsidR="00CF6AA7" w:rsidRPr="00172CBB" w:rsidRDefault="00CF6AA7">
            <w:pPr>
              <w:spacing w:after="0"/>
              <w:jc w:val="right"/>
              <w:rPr>
                <w:rFonts w:cs="Arial"/>
                <w:b/>
                <w:bCs/>
                <w:color w:val="000000"/>
                <w:sz w:val="15"/>
                <w:szCs w:val="15"/>
              </w:rPr>
            </w:pPr>
            <w:r w:rsidRPr="00172CBB">
              <w:rPr>
                <w:rFonts w:cs="Arial"/>
                <w:b/>
                <w:bCs/>
                <w:color w:val="000000"/>
                <w:sz w:val="15"/>
                <w:szCs w:val="15"/>
              </w:rPr>
              <w:t> </w:t>
            </w:r>
          </w:p>
        </w:tc>
      </w:tr>
      <w:tr w:rsidR="00CF6AA7" w:rsidRPr="00E5394D" w14:paraId="030024D6" w14:textId="77777777" w:rsidTr="00252EAF">
        <w:trPr>
          <w:trHeight w:val="301"/>
        </w:trPr>
        <w:tc>
          <w:tcPr>
            <w:tcW w:w="2948" w:type="dxa"/>
            <w:tcBorders>
              <w:top w:val="nil"/>
              <w:left w:val="single" w:sz="4" w:space="0" w:color="auto"/>
              <w:bottom w:val="single" w:sz="4" w:space="0" w:color="auto"/>
              <w:right w:val="single" w:sz="4" w:space="0" w:color="auto"/>
            </w:tcBorders>
            <w:shd w:val="clear" w:color="auto" w:fill="auto"/>
            <w:noWrap/>
            <w:vAlign w:val="center"/>
            <w:hideMark/>
          </w:tcPr>
          <w:p w14:paraId="049DF45E" w14:textId="77777777" w:rsidR="00CF6AA7" w:rsidRPr="00172CBB" w:rsidRDefault="00CF6AA7" w:rsidP="004C434C">
            <w:pPr>
              <w:spacing w:after="0"/>
              <w:rPr>
                <w:rFonts w:cs="Arial"/>
                <w:color w:val="000000"/>
                <w:sz w:val="15"/>
                <w:szCs w:val="15"/>
              </w:rPr>
            </w:pPr>
            <w:r w:rsidRPr="00172CBB">
              <w:rPr>
                <w:rFonts w:cs="Arial"/>
                <w:color w:val="000000"/>
                <w:sz w:val="15"/>
                <w:szCs w:val="15"/>
              </w:rPr>
              <w:t>2017 Productivity Commission Estimates</w:t>
            </w:r>
          </w:p>
        </w:tc>
        <w:tc>
          <w:tcPr>
            <w:tcW w:w="794" w:type="dxa"/>
            <w:tcBorders>
              <w:top w:val="nil"/>
              <w:left w:val="nil"/>
              <w:bottom w:val="single" w:sz="4" w:space="0" w:color="auto"/>
              <w:right w:val="nil"/>
            </w:tcBorders>
            <w:shd w:val="clear" w:color="auto" w:fill="auto"/>
            <w:noWrap/>
            <w:vAlign w:val="center"/>
            <w:hideMark/>
          </w:tcPr>
          <w:p w14:paraId="3AB45CC4" w14:textId="77777777" w:rsidR="00CF6AA7" w:rsidRPr="00172CBB" w:rsidRDefault="00CF6AA7">
            <w:pPr>
              <w:spacing w:after="0"/>
              <w:jc w:val="right"/>
              <w:rPr>
                <w:rFonts w:cs="Arial"/>
                <w:color w:val="000000"/>
                <w:sz w:val="15"/>
                <w:szCs w:val="15"/>
              </w:rPr>
            </w:pPr>
            <w:r w:rsidRPr="00172CBB">
              <w:rPr>
                <w:rFonts w:cs="Arial"/>
                <w:color w:val="000000"/>
                <w:sz w:val="15"/>
                <w:szCs w:val="15"/>
              </w:rPr>
              <w:t>264,100</w:t>
            </w:r>
          </w:p>
        </w:tc>
        <w:tc>
          <w:tcPr>
            <w:tcW w:w="794" w:type="dxa"/>
            <w:tcBorders>
              <w:top w:val="nil"/>
              <w:left w:val="nil"/>
              <w:bottom w:val="single" w:sz="4" w:space="0" w:color="auto"/>
              <w:right w:val="nil"/>
            </w:tcBorders>
            <w:vAlign w:val="center"/>
          </w:tcPr>
          <w:p w14:paraId="3457A1E5" w14:textId="77777777" w:rsidR="00CF6AA7" w:rsidRPr="00172CBB" w:rsidRDefault="00CF6AA7">
            <w:pPr>
              <w:spacing w:after="0"/>
              <w:jc w:val="right"/>
              <w:rPr>
                <w:rFonts w:cs="Arial"/>
                <w:color w:val="000000"/>
                <w:sz w:val="15"/>
                <w:szCs w:val="15"/>
              </w:rPr>
            </w:pPr>
            <w:r w:rsidRPr="00172CBB">
              <w:rPr>
                <w:rFonts w:cs="Arial"/>
                <w:color w:val="000000"/>
                <w:sz w:val="15"/>
                <w:szCs w:val="15"/>
              </w:rPr>
              <w:t>447,300</w:t>
            </w:r>
          </w:p>
        </w:tc>
        <w:tc>
          <w:tcPr>
            <w:tcW w:w="794" w:type="dxa"/>
            <w:tcBorders>
              <w:top w:val="nil"/>
              <w:left w:val="nil"/>
              <w:bottom w:val="single" w:sz="4" w:space="0" w:color="auto"/>
              <w:right w:val="nil"/>
            </w:tcBorders>
            <w:shd w:val="clear" w:color="auto" w:fill="auto"/>
            <w:noWrap/>
            <w:vAlign w:val="center"/>
            <w:hideMark/>
          </w:tcPr>
          <w:p w14:paraId="20EAAE1A" w14:textId="77777777" w:rsidR="00CF6AA7" w:rsidRPr="00172CBB" w:rsidRDefault="00CF6AA7">
            <w:pPr>
              <w:spacing w:after="0"/>
              <w:jc w:val="right"/>
              <w:rPr>
                <w:rFonts w:cs="Arial"/>
                <w:color w:val="000000"/>
                <w:sz w:val="15"/>
                <w:szCs w:val="15"/>
              </w:rPr>
            </w:pPr>
            <w:r w:rsidRPr="00172CBB">
              <w:rPr>
                <w:rFonts w:cs="Arial"/>
                <w:color w:val="000000"/>
                <w:sz w:val="15"/>
                <w:szCs w:val="15"/>
              </w:rPr>
              <w:t>473,700</w:t>
            </w:r>
          </w:p>
        </w:tc>
        <w:tc>
          <w:tcPr>
            <w:tcW w:w="794" w:type="dxa"/>
            <w:tcBorders>
              <w:top w:val="nil"/>
              <w:left w:val="nil"/>
              <w:bottom w:val="single" w:sz="4" w:space="0" w:color="auto"/>
              <w:right w:val="nil"/>
            </w:tcBorders>
            <w:shd w:val="clear" w:color="auto" w:fill="auto"/>
            <w:noWrap/>
            <w:vAlign w:val="center"/>
            <w:hideMark/>
          </w:tcPr>
          <w:p w14:paraId="6625E21A" w14:textId="77777777" w:rsidR="00CF6AA7" w:rsidRPr="00172CBB" w:rsidRDefault="00CF6AA7">
            <w:pPr>
              <w:spacing w:after="0"/>
              <w:jc w:val="right"/>
              <w:rPr>
                <w:rFonts w:cs="Arial"/>
                <w:color w:val="000000"/>
                <w:sz w:val="15"/>
                <w:szCs w:val="15"/>
              </w:rPr>
            </w:pPr>
            <w:r w:rsidRPr="00172CBB">
              <w:rPr>
                <w:rFonts w:cs="Arial"/>
                <w:color w:val="000000"/>
                <w:sz w:val="15"/>
                <w:szCs w:val="15"/>
              </w:rPr>
              <w:t>485,900</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14:paraId="565FE44C" w14:textId="77777777" w:rsidR="00CF6AA7" w:rsidRPr="00172CBB" w:rsidRDefault="00CF6AA7">
            <w:pPr>
              <w:spacing w:after="0"/>
              <w:jc w:val="right"/>
              <w:rPr>
                <w:rFonts w:cs="Arial"/>
                <w:color w:val="000000"/>
                <w:sz w:val="15"/>
                <w:szCs w:val="15"/>
              </w:rPr>
            </w:pPr>
            <w:r w:rsidRPr="00172CBB">
              <w:rPr>
                <w:rFonts w:cs="Arial"/>
                <w:color w:val="000000"/>
                <w:sz w:val="15"/>
                <w:szCs w:val="15"/>
              </w:rPr>
              <w:t>497,700</w:t>
            </w:r>
          </w:p>
        </w:tc>
        <w:tc>
          <w:tcPr>
            <w:tcW w:w="794" w:type="dxa"/>
            <w:tcBorders>
              <w:top w:val="nil"/>
              <w:left w:val="nil"/>
              <w:bottom w:val="single" w:sz="4" w:space="0" w:color="auto"/>
              <w:right w:val="nil"/>
            </w:tcBorders>
            <w:shd w:val="clear" w:color="auto" w:fill="auto"/>
            <w:noWrap/>
            <w:vAlign w:val="center"/>
            <w:hideMark/>
          </w:tcPr>
          <w:p w14:paraId="37C6242E" w14:textId="77777777" w:rsidR="00CF6AA7" w:rsidRPr="00172CBB" w:rsidRDefault="00CF6AA7">
            <w:pPr>
              <w:spacing w:after="0"/>
              <w:jc w:val="right"/>
              <w:rPr>
                <w:rFonts w:cs="Arial"/>
                <w:color w:val="000000"/>
                <w:sz w:val="15"/>
                <w:szCs w:val="15"/>
              </w:rPr>
            </w:pPr>
            <w:r w:rsidRPr="00172CBB">
              <w:rPr>
                <w:rFonts w:cs="Arial"/>
                <w:color w:val="000000"/>
                <w:sz w:val="15"/>
                <w:szCs w:val="15"/>
              </w:rPr>
              <w:t>509,300</w:t>
            </w:r>
          </w:p>
        </w:tc>
        <w:tc>
          <w:tcPr>
            <w:tcW w:w="794" w:type="dxa"/>
            <w:tcBorders>
              <w:top w:val="nil"/>
              <w:left w:val="nil"/>
              <w:bottom w:val="single" w:sz="4" w:space="0" w:color="auto"/>
              <w:right w:val="nil"/>
            </w:tcBorders>
            <w:shd w:val="clear" w:color="auto" w:fill="auto"/>
            <w:noWrap/>
            <w:vAlign w:val="center"/>
            <w:hideMark/>
          </w:tcPr>
          <w:p w14:paraId="4766DA1E" w14:textId="77777777" w:rsidR="00CF6AA7" w:rsidRPr="00172CBB" w:rsidRDefault="00CF6AA7">
            <w:pPr>
              <w:spacing w:after="0"/>
              <w:jc w:val="right"/>
              <w:rPr>
                <w:rFonts w:cs="Arial"/>
                <w:color w:val="000000"/>
                <w:sz w:val="15"/>
                <w:szCs w:val="15"/>
              </w:rPr>
            </w:pPr>
            <w:r w:rsidRPr="00172CBB">
              <w:rPr>
                <w:rFonts w:cs="Arial"/>
                <w:color w:val="000000"/>
                <w:sz w:val="15"/>
                <w:szCs w:val="15"/>
              </w:rPr>
              <w:t>520,800</w:t>
            </w:r>
          </w:p>
        </w:tc>
        <w:tc>
          <w:tcPr>
            <w:tcW w:w="794" w:type="dxa"/>
            <w:tcBorders>
              <w:top w:val="nil"/>
              <w:left w:val="nil"/>
              <w:bottom w:val="single" w:sz="4" w:space="0" w:color="auto"/>
              <w:right w:val="nil"/>
            </w:tcBorders>
            <w:shd w:val="clear" w:color="auto" w:fill="auto"/>
            <w:noWrap/>
            <w:vAlign w:val="center"/>
            <w:hideMark/>
          </w:tcPr>
          <w:p w14:paraId="4FCA8FD5" w14:textId="77777777" w:rsidR="00CF6AA7" w:rsidRPr="00172CBB" w:rsidRDefault="00CF6AA7">
            <w:pPr>
              <w:spacing w:after="0"/>
              <w:jc w:val="right"/>
              <w:rPr>
                <w:rFonts w:cs="Arial"/>
                <w:color w:val="000000"/>
                <w:sz w:val="15"/>
                <w:szCs w:val="15"/>
              </w:rPr>
            </w:pPr>
            <w:r w:rsidRPr="00172CBB">
              <w:rPr>
                <w:rFonts w:cs="Arial"/>
                <w:color w:val="000000"/>
                <w:sz w:val="15"/>
                <w:szCs w:val="15"/>
              </w:rPr>
              <w:t>532,000</w:t>
            </w:r>
          </w:p>
        </w:tc>
        <w:tc>
          <w:tcPr>
            <w:tcW w:w="794" w:type="dxa"/>
            <w:tcBorders>
              <w:top w:val="nil"/>
              <w:left w:val="nil"/>
              <w:bottom w:val="single" w:sz="4" w:space="0" w:color="auto"/>
              <w:right w:val="single" w:sz="4" w:space="0" w:color="auto"/>
            </w:tcBorders>
            <w:shd w:val="clear" w:color="auto" w:fill="auto"/>
            <w:noWrap/>
            <w:vAlign w:val="center"/>
          </w:tcPr>
          <w:p w14:paraId="28FCBD8A" w14:textId="77777777" w:rsidR="00CF6AA7" w:rsidRPr="00172CBB" w:rsidRDefault="00CF6AA7">
            <w:pPr>
              <w:spacing w:after="0"/>
              <w:jc w:val="right"/>
              <w:rPr>
                <w:rFonts w:cs="Arial"/>
                <w:color w:val="000000"/>
                <w:sz w:val="15"/>
                <w:szCs w:val="15"/>
              </w:rPr>
            </w:pPr>
            <w:r w:rsidRPr="00172CBB">
              <w:rPr>
                <w:rFonts w:cs="Arial"/>
                <w:color w:val="000000"/>
                <w:sz w:val="15"/>
                <w:szCs w:val="15"/>
              </w:rPr>
              <w:t>542,900</w:t>
            </w:r>
          </w:p>
        </w:tc>
      </w:tr>
      <w:tr w:rsidR="00252EAF" w:rsidRPr="00E5394D" w14:paraId="33F320DC" w14:textId="77777777" w:rsidTr="00252EAF">
        <w:trPr>
          <w:trHeight w:val="301"/>
        </w:trPr>
        <w:tc>
          <w:tcPr>
            <w:tcW w:w="2948" w:type="dxa"/>
            <w:tcBorders>
              <w:top w:val="nil"/>
              <w:left w:val="single" w:sz="4" w:space="0" w:color="auto"/>
              <w:bottom w:val="single" w:sz="4" w:space="0" w:color="auto"/>
              <w:right w:val="nil"/>
            </w:tcBorders>
            <w:shd w:val="clear" w:color="000000" w:fill="D3C5D7"/>
            <w:noWrap/>
            <w:vAlign w:val="center"/>
            <w:hideMark/>
          </w:tcPr>
          <w:p w14:paraId="3791E715" w14:textId="77777777" w:rsidR="00CF6AA7" w:rsidRPr="00172CBB" w:rsidRDefault="00CF6AA7" w:rsidP="004C434C">
            <w:pPr>
              <w:spacing w:after="0"/>
              <w:rPr>
                <w:rFonts w:cs="Arial"/>
                <w:b/>
                <w:bCs/>
                <w:color w:val="000000"/>
                <w:sz w:val="15"/>
                <w:szCs w:val="15"/>
              </w:rPr>
            </w:pPr>
            <w:r w:rsidRPr="00172CBB">
              <w:rPr>
                <w:rFonts w:cs="Arial"/>
                <w:b/>
                <w:bCs/>
                <w:color w:val="000000"/>
                <w:sz w:val="15"/>
                <w:szCs w:val="15"/>
              </w:rPr>
              <w:t>AFSR</w:t>
            </w:r>
          </w:p>
        </w:tc>
        <w:tc>
          <w:tcPr>
            <w:tcW w:w="794" w:type="dxa"/>
            <w:tcBorders>
              <w:top w:val="nil"/>
              <w:left w:val="nil"/>
              <w:bottom w:val="single" w:sz="4" w:space="0" w:color="auto"/>
              <w:right w:val="nil"/>
            </w:tcBorders>
            <w:shd w:val="clear" w:color="000000" w:fill="D3C5D7"/>
            <w:noWrap/>
            <w:vAlign w:val="center"/>
            <w:hideMark/>
          </w:tcPr>
          <w:p w14:paraId="735AD317" w14:textId="77777777" w:rsidR="00CF6AA7" w:rsidRPr="00172CBB" w:rsidRDefault="00CF6AA7">
            <w:pPr>
              <w:spacing w:after="0"/>
              <w:jc w:val="right"/>
              <w:rPr>
                <w:rFonts w:cs="Arial"/>
                <w:b/>
                <w:bCs/>
                <w:color w:val="000000"/>
                <w:sz w:val="15"/>
                <w:szCs w:val="15"/>
              </w:rPr>
            </w:pPr>
            <w:r w:rsidRPr="00172CBB">
              <w:rPr>
                <w:rFonts w:cs="Arial"/>
                <w:b/>
                <w:bCs/>
                <w:color w:val="000000"/>
                <w:sz w:val="15"/>
                <w:szCs w:val="15"/>
              </w:rPr>
              <w:t> </w:t>
            </w:r>
          </w:p>
        </w:tc>
        <w:tc>
          <w:tcPr>
            <w:tcW w:w="794" w:type="dxa"/>
            <w:tcBorders>
              <w:top w:val="nil"/>
              <w:left w:val="nil"/>
              <w:bottom w:val="single" w:sz="4" w:space="0" w:color="auto"/>
              <w:right w:val="nil"/>
            </w:tcBorders>
            <w:shd w:val="clear" w:color="000000" w:fill="D3C5D7"/>
            <w:vAlign w:val="center"/>
          </w:tcPr>
          <w:p w14:paraId="7E610E9D" w14:textId="77777777" w:rsidR="00CF6AA7" w:rsidRPr="00172CBB" w:rsidRDefault="00CF6AA7">
            <w:pPr>
              <w:spacing w:after="0"/>
              <w:jc w:val="right"/>
              <w:rPr>
                <w:rFonts w:cs="Arial"/>
                <w:b/>
                <w:bCs/>
                <w:color w:val="000000"/>
                <w:sz w:val="15"/>
                <w:szCs w:val="15"/>
              </w:rPr>
            </w:pPr>
          </w:p>
        </w:tc>
        <w:tc>
          <w:tcPr>
            <w:tcW w:w="794" w:type="dxa"/>
            <w:tcBorders>
              <w:top w:val="nil"/>
              <w:left w:val="nil"/>
              <w:bottom w:val="single" w:sz="4" w:space="0" w:color="auto"/>
              <w:right w:val="nil"/>
            </w:tcBorders>
            <w:shd w:val="clear" w:color="000000" w:fill="D3C5D7"/>
            <w:noWrap/>
            <w:vAlign w:val="center"/>
            <w:hideMark/>
          </w:tcPr>
          <w:p w14:paraId="6C7AA793" w14:textId="77777777" w:rsidR="00CF6AA7" w:rsidRPr="00172CBB" w:rsidRDefault="00CF6AA7">
            <w:pPr>
              <w:spacing w:after="0"/>
              <w:jc w:val="right"/>
              <w:rPr>
                <w:rFonts w:cs="Arial"/>
                <w:b/>
                <w:bCs/>
                <w:color w:val="000000"/>
                <w:sz w:val="15"/>
                <w:szCs w:val="15"/>
              </w:rPr>
            </w:pPr>
            <w:r w:rsidRPr="00172CBB">
              <w:rPr>
                <w:rFonts w:cs="Arial"/>
                <w:b/>
                <w:bCs/>
                <w:color w:val="000000"/>
                <w:sz w:val="15"/>
                <w:szCs w:val="15"/>
              </w:rPr>
              <w:t> </w:t>
            </w:r>
          </w:p>
        </w:tc>
        <w:tc>
          <w:tcPr>
            <w:tcW w:w="794" w:type="dxa"/>
            <w:tcBorders>
              <w:top w:val="nil"/>
              <w:left w:val="nil"/>
              <w:bottom w:val="single" w:sz="4" w:space="0" w:color="auto"/>
              <w:right w:val="nil"/>
            </w:tcBorders>
            <w:shd w:val="clear" w:color="000000" w:fill="D3C5D7"/>
            <w:noWrap/>
            <w:vAlign w:val="center"/>
            <w:hideMark/>
          </w:tcPr>
          <w:p w14:paraId="387BAD10" w14:textId="77777777" w:rsidR="00CF6AA7" w:rsidRPr="00172CBB" w:rsidRDefault="00CF6AA7">
            <w:pPr>
              <w:spacing w:after="0"/>
              <w:jc w:val="right"/>
              <w:rPr>
                <w:rFonts w:cs="Arial"/>
                <w:b/>
                <w:bCs/>
                <w:color w:val="000000"/>
                <w:sz w:val="15"/>
                <w:szCs w:val="15"/>
              </w:rPr>
            </w:pPr>
            <w:r w:rsidRPr="00172CBB">
              <w:rPr>
                <w:rFonts w:cs="Arial"/>
                <w:b/>
                <w:bCs/>
                <w:color w:val="000000"/>
                <w:sz w:val="15"/>
                <w:szCs w:val="15"/>
              </w:rPr>
              <w:t> </w:t>
            </w:r>
          </w:p>
        </w:tc>
        <w:tc>
          <w:tcPr>
            <w:tcW w:w="794" w:type="dxa"/>
            <w:tcBorders>
              <w:top w:val="nil"/>
              <w:left w:val="nil"/>
              <w:bottom w:val="single" w:sz="4" w:space="0" w:color="auto"/>
              <w:right w:val="nil"/>
            </w:tcBorders>
            <w:shd w:val="clear" w:color="000000" w:fill="D3C5D7"/>
            <w:noWrap/>
            <w:vAlign w:val="center"/>
            <w:hideMark/>
          </w:tcPr>
          <w:p w14:paraId="7BAAFF9F" w14:textId="77777777" w:rsidR="00CF6AA7" w:rsidRPr="00172CBB" w:rsidRDefault="00CF6AA7">
            <w:pPr>
              <w:spacing w:after="0"/>
              <w:jc w:val="right"/>
              <w:rPr>
                <w:rFonts w:cs="Arial"/>
                <w:b/>
                <w:bCs/>
                <w:color w:val="000000"/>
                <w:sz w:val="15"/>
                <w:szCs w:val="15"/>
              </w:rPr>
            </w:pPr>
            <w:r w:rsidRPr="00172CBB">
              <w:rPr>
                <w:rFonts w:cs="Arial"/>
                <w:b/>
                <w:bCs/>
                <w:color w:val="000000"/>
                <w:sz w:val="15"/>
                <w:szCs w:val="15"/>
              </w:rPr>
              <w:t> </w:t>
            </w:r>
          </w:p>
        </w:tc>
        <w:tc>
          <w:tcPr>
            <w:tcW w:w="794" w:type="dxa"/>
            <w:tcBorders>
              <w:top w:val="nil"/>
              <w:left w:val="nil"/>
              <w:bottom w:val="single" w:sz="4" w:space="0" w:color="auto"/>
              <w:right w:val="nil"/>
            </w:tcBorders>
            <w:shd w:val="clear" w:color="000000" w:fill="D3C5D7"/>
            <w:noWrap/>
            <w:vAlign w:val="center"/>
            <w:hideMark/>
          </w:tcPr>
          <w:p w14:paraId="6A1D7B88" w14:textId="77777777" w:rsidR="00CF6AA7" w:rsidRPr="00172CBB" w:rsidRDefault="00CF6AA7">
            <w:pPr>
              <w:spacing w:after="0"/>
              <w:jc w:val="right"/>
              <w:rPr>
                <w:rFonts w:cs="Arial"/>
                <w:b/>
                <w:bCs/>
                <w:color w:val="000000"/>
                <w:sz w:val="15"/>
                <w:szCs w:val="15"/>
              </w:rPr>
            </w:pPr>
            <w:r w:rsidRPr="00172CBB">
              <w:rPr>
                <w:rFonts w:cs="Arial"/>
                <w:b/>
                <w:bCs/>
                <w:color w:val="000000"/>
                <w:sz w:val="15"/>
                <w:szCs w:val="15"/>
              </w:rPr>
              <w:t> </w:t>
            </w:r>
          </w:p>
        </w:tc>
        <w:tc>
          <w:tcPr>
            <w:tcW w:w="794" w:type="dxa"/>
            <w:tcBorders>
              <w:top w:val="nil"/>
              <w:left w:val="nil"/>
              <w:bottom w:val="single" w:sz="4" w:space="0" w:color="auto"/>
              <w:right w:val="nil"/>
            </w:tcBorders>
            <w:shd w:val="clear" w:color="000000" w:fill="D3C5D7"/>
            <w:noWrap/>
            <w:vAlign w:val="center"/>
            <w:hideMark/>
          </w:tcPr>
          <w:p w14:paraId="08190B84" w14:textId="77777777" w:rsidR="00CF6AA7" w:rsidRPr="00172CBB" w:rsidRDefault="00CF6AA7">
            <w:pPr>
              <w:spacing w:after="0"/>
              <w:jc w:val="right"/>
              <w:rPr>
                <w:rFonts w:cs="Arial"/>
                <w:b/>
                <w:bCs/>
                <w:color w:val="000000"/>
                <w:sz w:val="15"/>
                <w:szCs w:val="15"/>
              </w:rPr>
            </w:pPr>
            <w:r w:rsidRPr="00172CBB">
              <w:rPr>
                <w:rFonts w:cs="Arial"/>
                <w:b/>
                <w:bCs/>
                <w:color w:val="000000"/>
                <w:sz w:val="15"/>
                <w:szCs w:val="15"/>
              </w:rPr>
              <w:t> </w:t>
            </w:r>
          </w:p>
        </w:tc>
        <w:tc>
          <w:tcPr>
            <w:tcW w:w="794" w:type="dxa"/>
            <w:tcBorders>
              <w:top w:val="nil"/>
              <w:left w:val="nil"/>
              <w:bottom w:val="single" w:sz="4" w:space="0" w:color="auto"/>
              <w:right w:val="nil"/>
            </w:tcBorders>
            <w:shd w:val="clear" w:color="000000" w:fill="D3C5D7"/>
            <w:noWrap/>
            <w:vAlign w:val="center"/>
            <w:hideMark/>
          </w:tcPr>
          <w:p w14:paraId="43DB8B23" w14:textId="77777777" w:rsidR="00CF6AA7" w:rsidRPr="00172CBB" w:rsidRDefault="00CF6AA7">
            <w:pPr>
              <w:spacing w:after="0"/>
              <w:jc w:val="right"/>
              <w:rPr>
                <w:rFonts w:cs="Arial"/>
                <w:b/>
                <w:bCs/>
                <w:color w:val="000000"/>
                <w:sz w:val="15"/>
                <w:szCs w:val="15"/>
              </w:rPr>
            </w:pPr>
            <w:r w:rsidRPr="00172CBB">
              <w:rPr>
                <w:rFonts w:cs="Arial"/>
                <w:b/>
                <w:bCs/>
                <w:color w:val="000000"/>
                <w:sz w:val="15"/>
                <w:szCs w:val="15"/>
              </w:rPr>
              <w:t> </w:t>
            </w:r>
          </w:p>
        </w:tc>
        <w:tc>
          <w:tcPr>
            <w:tcW w:w="794" w:type="dxa"/>
            <w:tcBorders>
              <w:top w:val="nil"/>
              <w:left w:val="nil"/>
              <w:bottom w:val="single" w:sz="4" w:space="0" w:color="auto"/>
              <w:right w:val="single" w:sz="4" w:space="0" w:color="auto"/>
            </w:tcBorders>
            <w:shd w:val="clear" w:color="000000" w:fill="D3C5D7"/>
            <w:noWrap/>
            <w:vAlign w:val="center"/>
            <w:hideMark/>
          </w:tcPr>
          <w:p w14:paraId="5875A2CB" w14:textId="77777777" w:rsidR="00CF6AA7" w:rsidRPr="00172CBB" w:rsidRDefault="00CF6AA7">
            <w:pPr>
              <w:spacing w:after="0"/>
              <w:jc w:val="right"/>
              <w:rPr>
                <w:rFonts w:cs="Arial"/>
                <w:b/>
                <w:bCs/>
                <w:color w:val="000000"/>
                <w:sz w:val="15"/>
                <w:szCs w:val="15"/>
              </w:rPr>
            </w:pPr>
            <w:r w:rsidRPr="00172CBB">
              <w:rPr>
                <w:rFonts w:cs="Arial"/>
                <w:b/>
                <w:bCs/>
                <w:color w:val="000000"/>
                <w:sz w:val="15"/>
                <w:szCs w:val="15"/>
              </w:rPr>
              <w:t> </w:t>
            </w:r>
          </w:p>
        </w:tc>
      </w:tr>
      <w:tr w:rsidR="00CF6AA7" w:rsidRPr="00E5394D" w14:paraId="7955E33D" w14:textId="77777777" w:rsidTr="00252EAF">
        <w:trPr>
          <w:trHeight w:val="301"/>
        </w:trPr>
        <w:tc>
          <w:tcPr>
            <w:tcW w:w="2948" w:type="dxa"/>
            <w:tcBorders>
              <w:top w:val="nil"/>
              <w:left w:val="single" w:sz="4" w:space="0" w:color="auto"/>
              <w:bottom w:val="single" w:sz="4" w:space="0" w:color="auto"/>
              <w:right w:val="single" w:sz="4" w:space="0" w:color="auto"/>
            </w:tcBorders>
            <w:shd w:val="clear" w:color="auto" w:fill="auto"/>
            <w:noWrap/>
            <w:vAlign w:val="center"/>
          </w:tcPr>
          <w:p w14:paraId="11406CF8" w14:textId="77777777" w:rsidR="00CF6AA7" w:rsidRPr="00172CBB" w:rsidRDefault="00CF6AA7" w:rsidP="004C434C">
            <w:pPr>
              <w:spacing w:after="0"/>
              <w:rPr>
                <w:rFonts w:cs="Arial"/>
                <w:color w:val="000000"/>
                <w:sz w:val="15"/>
                <w:szCs w:val="15"/>
              </w:rPr>
            </w:pPr>
            <w:r w:rsidRPr="00172CBB">
              <w:rPr>
                <w:rFonts w:cs="Arial"/>
                <w:color w:val="000000"/>
                <w:sz w:val="15"/>
                <w:szCs w:val="15"/>
              </w:rPr>
              <w:t>30 June 2022 AFSR projection</w:t>
            </w:r>
          </w:p>
        </w:tc>
        <w:tc>
          <w:tcPr>
            <w:tcW w:w="794" w:type="dxa"/>
            <w:tcBorders>
              <w:top w:val="nil"/>
              <w:left w:val="nil"/>
              <w:bottom w:val="single" w:sz="4" w:space="0" w:color="auto"/>
              <w:right w:val="nil"/>
            </w:tcBorders>
            <w:shd w:val="clear" w:color="000000" w:fill="BFBFBF"/>
            <w:noWrap/>
            <w:vAlign w:val="center"/>
          </w:tcPr>
          <w:p w14:paraId="6FA11FC9"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vAlign w:val="center"/>
          </w:tcPr>
          <w:p w14:paraId="134D5CFB" w14:textId="77777777" w:rsidR="00CF6AA7" w:rsidRPr="00172CBB" w:rsidRDefault="00CF6AA7">
            <w:pPr>
              <w:spacing w:after="0"/>
              <w:jc w:val="right"/>
              <w:rPr>
                <w:rFonts w:cs="Arial"/>
                <w:color w:val="000000"/>
                <w:sz w:val="15"/>
                <w:szCs w:val="15"/>
              </w:rPr>
            </w:pPr>
          </w:p>
        </w:tc>
        <w:tc>
          <w:tcPr>
            <w:tcW w:w="794" w:type="dxa"/>
            <w:tcBorders>
              <w:top w:val="nil"/>
              <w:left w:val="nil"/>
              <w:bottom w:val="single" w:sz="4" w:space="0" w:color="auto"/>
              <w:right w:val="nil"/>
            </w:tcBorders>
            <w:shd w:val="clear" w:color="000000" w:fill="BFBFBF"/>
            <w:noWrap/>
            <w:vAlign w:val="center"/>
          </w:tcPr>
          <w:p w14:paraId="19F4BF82"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noWrap/>
            <w:vAlign w:val="center"/>
          </w:tcPr>
          <w:p w14:paraId="5D63AC27"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single" w:sz="4" w:space="0" w:color="auto"/>
              <w:bottom w:val="single" w:sz="4" w:space="0" w:color="auto"/>
              <w:right w:val="single" w:sz="4" w:space="0" w:color="auto"/>
            </w:tcBorders>
            <w:shd w:val="clear" w:color="000000" w:fill="BFBFBF"/>
            <w:noWrap/>
            <w:vAlign w:val="center"/>
          </w:tcPr>
          <w:p w14:paraId="53D02A69"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auto" w:fill="auto"/>
            <w:noWrap/>
            <w:vAlign w:val="center"/>
          </w:tcPr>
          <w:p w14:paraId="73F7DA9A" w14:textId="77777777" w:rsidR="00CF6AA7" w:rsidRPr="00172CBB" w:rsidRDefault="00CF6AA7">
            <w:pPr>
              <w:spacing w:after="0"/>
              <w:jc w:val="right"/>
              <w:rPr>
                <w:rFonts w:cs="Arial"/>
                <w:color w:val="000000"/>
                <w:sz w:val="15"/>
                <w:szCs w:val="15"/>
              </w:rPr>
            </w:pPr>
            <w:r w:rsidRPr="00172CBB">
              <w:rPr>
                <w:rFonts w:cs="Arial"/>
                <w:color w:val="000000"/>
                <w:sz w:val="15"/>
                <w:szCs w:val="15"/>
              </w:rPr>
              <w:t>592,300</w:t>
            </w:r>
          </w:p>
        </w:tc>
        <w:tc>
          <w:tcPr>
            <w:tcW w:w="794" w:type="dxa"/>
            <w:tcBorders>
              <w:top w:val="nil"/>
              <w:left w:val="nil"/>
              <w:bottom w:val="single" w:sz="4" w:space="0" w:color="auto"/>
              <w:right w:val="nil"/>
            </w:tcBorders>
            <w:shd w:val="clear" w:color="auto" w:fill="auto"/>
            <w:noWrap/>
            <w:vAlign w:val="center"/>
          </w:tcPr>
          <w:p w14:paraId="068A4BB2" w14:textId="77777777" w:rsidR="00CF6AA7" w:rsidRPr="00172CBB" w:rsidRDefault="00CF6AA7">
            <w:pPr>
              <w:spacing w:after="0"/>
              <w:jc w:val="right"/>
              <w:rPr>
                <w:rFonts w:cs="Arial"/>
                <w:color w:val="000000"/>
                <w:sz w:val="15"/>
                <w:szCs w:val="15"/>
              </w:rPr>
            </w:pPr>
            <w:r w:rsidRPr="00172CBB">
              <w:rPr>
                <w:rFonts w:cs="Arial"/>
                <w:color w:val="000000"/>
                <w:sz w:val="15"/>
                <w:szCs w:val="15"/>
              </w:rPr>
              <w:t>646,000</w:t>
            </w:r>
          </w:p>
        </w:tc>
        <w:tc>
          <w:tcPr>
            <w:tcW w:w="794" w:type="dxa"/>
            <w:tcBorders>
              <w:top w:val="nil"/>
              <w:left w:val="nil"/>
              <w:bottom w:val="single" w:sz="4" w:space="0" w:color="auto"/>
              <w:right w:val="nil"/>
            </w:tcBorders>
            <w:shd w:val="clear" w:color="auto" w:fill="auto"/>
            <w:noWrap/>
            <w:vAlign w:val="center"/>
          </w:tcPr>
          <w:p w14:paraId="0286A7FC" w14:textId="77777777" w:rsidR="00CF6AA7" w:rsidRPr="00172CBB" w:rsidRDefault="00CF6AA7">
            <w:pPr>
              <w:spacing w:after="0"/>
              <w:jc w:val="right"/>
              <w:rPr>
                <w:rFonts w:cs="Arial"/>
                <w:color w:val="000000"/>
                <w:sz w:val="15"/>
                <w:szCs w:val="15"/>
              </w:rPr>
            </w:pPr>
            <w:r w:rsidRPr="00172CBB">
              <w:rPr>
                <w:rFonts w:cs="Arial"/>
                <w:color w:val="000000"/>
                <w:sz w:val="15"/>
                <w:szCs w:val="15"/>
              </w:rPr>
              <w:t>693,900</w:t>
            </w:r>
          </w:p>
        </w:tc>
        <w:tc>
          <w:tcPr>
            <w:tcW w:w="794" w:type="dxa"/>
            <w:tcBorders>
              <w:top w:val="nil"/>
              <w:left w:val="nil"/>
              <w:bottom w:val="single" w:sz="4" w:space="0" w:color="auto"/>
              <w:right w:val="single" w:sz="4" w:space="0" w:color="auto"/>
            </w:tcBorders>
            <w:shd w:val="clear" w:color="auto" w:fill="auto"/>
            <w:noWrap/>
            <w:vAlign w:val="center"/>
          </w:tcPr>
          <w:p w14:paraId="02E72A7E" w14:textId="77777777" w:rsidR="00CF6AA7" w:rsidRPr="00172CBB" w:rsidRDefault="00CF6AA7">
            <w:pPr>
              <w:spacing w:after="0"/>
              <w:jc w:val="right"/>
              <w:rPr>
                <w:rFonts w:cs="Arial"/>
                <w:color w:val="000000"/>
                <w:sz w:val="15"/>
                <w:szCs w:val="15"/>
              </w:rPr>
            </w:pPr>
            <w:r w:rsidRPr="00172CBB">
              <w:rPr>
                <w:rFonts w:cs="Arial"/>
                <w:color w:val="000000"/>
                <w:sz w:val="15"/>
                <w:szCs w:val="15"/>
              </w:rPr>
              <w:t>741,100</w:t>
            </w:r>
          </w:p>
        </w:tc>
      </w:tr>
      <w:tr w:rsidR="00252EAF" w:rsidRPr="00E5394D" w14:paraId="76795621" w14:textId="77777777" w:rsidTr="00252EAF">
        <w:trPr>
          <w:trHeight w:val="301"/>
        </w:trPr>
        <w:tc>
          <w:tcPr>
            <w:tcW w:w="2948" w:type="dxa"/>
            <w:tcBorders>
              <w:top w:val="nil"/>
              <w:left w:val="single" w:sz="4" w:space="0" w:color="auto"/>
              <w:bottom w:val="single" w:sz="4" w:space="0" w:color="auto"/>
              <w:right w:val="single" w:sz="4" w:space="0" w:color="auto"/>
            </w:tcBorders>
            <w:shd w:val="clear" w:color="auto" w:fill="auto"/>
            <w:noWrap/>
            <w:vAlign w:val="center"/>
            <w:hideMark/>
          </w:tcPr>
          <w:p w14:paraId="6EFB863A" w14:textId="77777777" w:rsidR="00CF6AA7" w:rsidRPr="00172CBB" w:rsidRDefault="00CF6AA7" w:rsidP="004C434C">
            <w:pPr>
              <w:spacing w:after="0"/>
              <w:rPr>
                <w:rFonts w:cs="Arial"/>
                <w:color w:val="000000"/>
                <w:sz w:val="15"/>
                <w:szCs w:val="15"/>
              </w:rPr>
            </w:pPr>
            <w:r w:rsidRPr="00172CBB">
              <w:rPr>
                <w:rFonts w:cs="Arial"/>
                <w:color w:val="000000"/>
                <w:sz w:val="15"/>
                <w:szCs w:val="15"/>
              </w:rPr>
              <w:t>30 June 2021 AFSR projection</w:t>
            </w:r>
          </w:p>
        </w:tc>
        <w:tc>
          <w:tcPr>
            <w:tcW w:w="794" w:type="dxa"/>
            <w:tcBorders>
              <w:top w:val="nil"/>
              <w:left w:val="nil"/>
              <w:bottom w:val="single" w:sz="4" w:space="0" w:color="auto"/>
              <w:right w:val="nil"/>
            </w:tcBorders>
            <w:shd w:val="clear" w:color="000000" w:fill="BFBFBF"/>
            <w:noWrap/>
            <w:vAlign w:val="center"/>
            <w:hideMark/>
          </w:tcPr>
          <w:p w14:paraId="425946FF"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vAlign w:val="center"/>
          </w:tcPr>
          <w:p w14:paraId="76057C13"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noWrap/>
            <w:vAlign w:val="center"/>
            <w:hideMark/>
          </w:tcPr>
          <w:p w14:paraId="4B75E421"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noWrap/>
            <w:vAlign w:val="center"/>
            <w:hideMark/>
          </w:tcPr>
          <w:p w14:paraId="04BDB051"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single" w:sz="4" w:space="0" w:color="auto"/>
              <w:bottom w:val="single" w:sz="4" w:space="0" w:color="auto"/>
              <w:right w:val="single" w:sz="4" w:space="0" w:color="auto"/>
            </w:tcBorders>
            <w:shd w:val="clear" w:color="auto" w:fill="FFE699"/>
            <w:noWrap/>
            <w:vAlign w:val="center"/>
            <w:hideMark/>
          </w:tcPr>
          <w:p w14:paraId="7C21BD3C" w14:textId="77777777" w:rsidR="00CF6AA7" w:rsidRPr="00172CBB" w:rsidRDefault="00CF6AA7">
            <w:pPr>
              <w:spacing w:after="0"/>
              <w:jc w:val="right"/>
              <w:rPr>
                <w:rFonts w:cs="Arial"/>
                <w:color w:val="000000"/>
                <w:sz w:val="15"/>
                <w:szCs w:val="15"/>
              </w:rPr>
            </w:pPr>
            <w:r w:rsidRPr="00172CBB">
              <w:rPr>
                <w:rFonts w:cs="Arial"/>
                <w:color w:val="000000"/>
                <w:sz w:val="15"/>
                <w:szCs w:val="15"/>
              </w:rPr>
              <w:t>530,500</w:t>
            </w:r>
          </w:p>
        </w:tc>
        <w:tc>
          <w:tcPr>
            <w:tcW w:w="794" w:type="dxa"/>
            <w:tcBorders>
              <w:top w:val="nil"/>
              <w:left w:val="nil"/>
              <w:bottom w:val="single" w:sz="4" w:space="0" w:color="auto"/>
              <w:right w:val="nil"/>
            </w:tcBorders>
            <w:shd w:val="clear" w:color="auto" w:fill="auto"/>
            <w:noWrap/>
            <w:vAlign w:val="center"/>
            <w:hideMark/>
          </w:tcPr>
          <w:p w14:paraId="35658E46" w14:textId="77777777" w:rsidR="00CF6AA7" w:rsidRPr="00172CBB" w:rsidRDefault="00CF6AA7">
            <w:pPr>
              <w:spacing w:after="0"/>
              <w:jc w:val="right"/>
              <w:rPr>
                <w:rFonts w:cs="Arial"/>
                <w:color w:val="000000"/>
                <w:sz w:val="15"/>
                <w:szCs w:val="15"/>
              </w:rPr>
            </w:pPr>
            <w:r w:rsidRPr="00172CBB">
              <w:rPr>
                <w:rFonts w:cs="Arial"/>
                <w:color w:val="000000"/>
                <w:sz w:val="15"/>
                <w:szCs w:val="15"/>
              </w:rPr>
              <w:t>586,400</w:t>
            </w:r>
          </w:p>
        </w:tc>
        <w:tc>
          <w:tcPr>
            <w:tcW w:w="794" w:type="dxa"/>
            <w:tcBorders>
              <w:top w:val="nil"/>
              <w:left w:val="nil"/>
              <w:bottom w:val="single" w:sz="4" w:space="0" w:color="auto"/>
              <w:right w:val="nil"/>
            </w:tcBorders>
            <w:shd w:val="clear" w:color="auto" w:fill="auto"/>
            <w:noWrap/>
            <w:vAlign w:val="center"/>
            <w:hideMark/>
          </w:tcPr>
          <w:p w14:paraId="140FE76D" w14:textId="77777777" w:rsidR="00CF6AA7" w:rsidRPr="00172CBB" w:rsidRDefault="00CF6AA7">
            <w:pPr>
              <w:spacing w:after="0"/>
              <w:jc w:val="right"/>
              <w:rPr>
                <w:rFonts w:cs="Arial"/>
                <w:color w:val="000000"/>
                <w:sz w:val="15"/>
                <w:szCs w:val="15"/>
              </w:rPr>
            </w:pPr>
            <w:r w:rsidRPr="00172CBB">
              <w:rPr>
                <w:rFonts w:cs="Arial"/>
                <w:color w:val="000000"/>
                <w:sz w:val="15"/>
                <w:szCs w:val="15"/>
              </w:rPr>
              <w:t>630,300</w:t>
            </w:r>
          </w:p>
        </w:tc>
        <w:tc>
          <w:tcPr>
            <w:tcW w:w="794" w:type="dxa"/>
            <w:tcBorders>
              <w:top w:val="nil"/>
              <w:left w:val="nil"/>
              <w:bottom w:val="single" w:sz="4" w:space="0" w:color="auto"/>
              <w:right w:val="nil"/>
            </w:tcBorders>
            <w:shd w:val="clear" w:color="auto" w:fill="auto"/>
            <w:noWrap/>
            <w:vAlign w:val="center"/>
            <w:hideMark/>
          </w:tcPr>
          <w:p w14:paraId="412E0BD3" w14:textId="77777777" w:rsidR="00CF6AA7" w:rsidRPr="00172CBB" w:rsidRDefault="00CF6AA7">
            <w:pPr>
              <w:spacing w:after="0"/>
              <w:jc w:val="right"/>
              <w:rPr>
                <w:rFonts w:cs="Arial"/>
                <w:color w:val="000000"/>
                <w:sz w:val="15"/>
                <w:szCs w:val="15"/>
              </w:rPr>
            </w:pPr>
            <w:r w:rsidRPr="00172CBB">
              <w:rPr>
                <w:rFonts w:cs="Arial"/>
                <w:color w:val="000000"/>
                <w:sz w:val="15"/>
                <w:szCs w:val="15"/>
              </w:rPr>
              <w:t>670,400</w:t>
            </w:r>
          </w:p>
        </w:tc>
        <w:tc>
          <w:tcPr>
            <w:tcW w:w="794" w:type="dxa"/>
            <w:tcBorders>
              <w:top w:val="nil"/>
              <w:left w:val="nil"/>
              <w:bottom w:val="single" w:sz="4" w:space="0" w:color="auto"/>
              <w:right w:val="single" w:sz="4" w:space="0" w:color="auto"/>
            </w:tcBorders>
            <w:shd w:val="clear" w:color="auto" w:fill="auto"/>
            <w:noWrap/>
            <w:vAlign w:val="center"/>
          </w:tcPr>
          <w:p w14:paraId="1E888595" w14:textId="77777777" w:rsidR="00CF6AA7" w:rsidRPr="00172CBB" w:rsidRDefault="00CF6AA7">
            <w:pPr>
              <w:spacing w:after="0"/>
              <w:jc w:val="right"/>
              <w:rPr>
                <w:rFonts w:cs="Arial"/>
                <w:color w:val="000000"/>
                <w:sz w:val="15"/>
                <w:szCs w:val="15"/>
              </w:rPr>
            </w:pPr>
            <w:r w:rsidRPr="00172CBB">
              <w:rPr>
                <w:rFonts w:cs="Arial"/>
                <w:color w:val="000000"/>
                <w:sz w:val="15"/>
                <w:szCs w:val="15"/>
              </w:rPr>
              <w:t>709,600</w:t>
            </w:r>
          </w:p>
        </w:tc>
      </w:tr>
      <w:tr w:rsidR="00CF6AA7" w:rsidRPr="00E5394D" w14:paraId="1AC15B48" w14:textId="77777777" w:rsidTr="00252EAF">
        <w:trPr>
          <w:trHeight w:val="301"/>
        </w:trPr>
        <w:tc>
          <w:tcPr>
            <w:tcW w:w="2948" w:type="dxa"/>
            <w:tcBorders>
              <w:top w:val="nil"/>
              <w:left w:val="single" w:sz="4" w:space="0" w:color="auto"/>
              <w:bottom w:val="single" w:sz="4" w:space="0" w:color="auto"/>
              <w:right w:val="single" w:sz="4" w:space="0" w:color="auto"/>
            </w:tcBorders>
            <w:shd w:val="clear" w:color="auto" w:fill="auto"/>
            <w:noWrap/>
            <w:vAlign w:val="center"/>
            <w:hideMark/>
          </w:tcPr>
          <w:p w14:paraId="27EA2840" w14:textId="77777777" w:rsidR="00CF6AA7" w:rsidRPr="00172CBB" w:rsidRDefault="00CF6AA7" w:rsidP="004C434C">
            <w:pPr>
              <w:spacing w:after="0"/>
              <w:rPr>
                <w:rFonts w:cs="Arial"/>
                <w:color w:val="000000"/>
                <w:sz w:val="15"/>
                <w:szCs w:val="15"/>
              </w:rPr>
            </w:pPr>
            <w:r w:rsidRPr="00172CBB">
              <w:rPr>
                <w:rFonts w:cs="Arial"/>
                <w:color w:val="000000"/>
                <w:sz w:val="15"/>
                <w:szCs w:val="15"/>
              </w:rPr>
              <w:t>31 December 2020 AFSR projection</w:t>
            </w:r>
          </w:p>
        </w:tc>
        <w:tc>
          <w:tcPr>
            <w:tcW w:w="794" w:type="dxa"/>
            <w:tcBorders>
              <w:top w:val="nil"/>
              <w:left w:val="nil"/>
              <w:bottom w:val="single" w:sz="4" w:space="0" w:color="auto"/>
              <w:right w:val="nil"/>
            </w:tcBorders>
            <w:shd w:val="clear" w:color="000000" w:fill="BFBFBF"/>
            <w:noWrap/>
            <w:vAlign w:val="center"/>
            <w:hideMark/>
          </w:tcPr>
          <w:p w14:paraId="5D16E741"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vAlign w:val="center"/>
          </w:tcPr>
          <w:p w14:paraId="52B297CE"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noWrap/>
            <w:vAlign w:val="center"/>
            <w:hideMark/>
          </w:tcPr>
          <w:p w14:paraId="2876A8F5"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noWrap/>
            <w:vAlign w:val="center"/>
            <w:hideMark/>
          </w:tcPr>
          <w:p w14:paraId="6B3C80CA"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14:paraId="0B25B1A8" w14:textId="77777777" w:rsidR="00CF6AA7" w:rsidRPr="00172CBB" w:rsidRDefault="00CF6AA7">
            <w:pPr>
              <w:spacing w:after="0"/>
              <w:jc w:val="right"/>
              <w:rPr>
                <w:rFonts w:cs="Arial"/>
                <w:color w:val="000000"/>
                <w:sz w:val="15"/>
                <w:szCs w:val="15"/>
              </w:rPr>
            </w:pPr>
            <w:r w:rsidRPr="00172CBB">
              <w:rPr>
                <w:rFonts w:cs="Arial"/>
                <w:color w:val="000000"/>
                <w:sz w:val="15"/>
                <w:szCs w:val="15"/>
              </w:rPr>
              <w:t>537,900</w:t>
            </w:r>
          </w:p>
        </w:tc>
        <w:tc>
          <w:tcPr>
            <w:tcW w:w="794" w:type="dxa"/>
            <w:tcBorders>
              <w:top w:val="nil"/>
              <w:left w:val="nil"/>
              <w:bottom w:val="single" w:sz="4" w:space="0" w:color="auto"/>
              <w:right w:val="nil"/>
            </w:tcBorders>
            <w:shd w:val="clear" w:color="auto" w:fill="auto"/>
            <w:noWrap/>
            <w:vAlign w:val="center"/>
            <w:hideMark/>
          </w:tcPr>
          <w:p w14:paraId="401D3FA4" w14:textId="77777777" w:rsidR="00CF6AA7" w:rsidRPr="00172CBB" w:rsidRDefault="00CF6AA7">
            <w:pPr>
              <w:spacing w:after="0"/>
              <w:jc w:val="right"/>
              <w:rPr>
                <w:rFonts w:cs="Arial"/>
                <w:color w:val="000000"/>
                <w:sz w:val="15"/>
                <w:szCs w:val="15"/>
              </w:rPr>
            </w:pPr>
            <w:r w:rsidRPr="00172CBB">
              <w:rPr>
                <w:rFonts w:cs="Arial"/>
                <w:color w:val="000000"/>
                <w:sz w:val="15"/>
                <w:szCs w:val="15"/>
              </w:rPr>
              <w:t>596,600</w:t>
            </w:r>
          </w:p>
        </w:tc>
        <w:tc>
          <w:tcPr>
            <w:tcW w:w="794" w:type="dxa"/>
            <w:tcBorders>
              <w:top w:val="nil"/>
              <w:left w:val="nil"/>
              <w:bottom w:val="single" w:sz="4" w:space="0" w:color="auto"/>
              <w:right w:val="nil"/>
            </w:tcBorders>
            <w:shd w:val="clear" w:color="auto" w:fill="auto"/>
            <w:noWrap/>
            <w:vAlign w:val="center"/>
            <w:hideMark/>
          </w:tcPr>
          <w:p w14:paraId="3D1F469A" w14:textId="77777777" w:rsidR="00CF6AA7" w:rsidRPr="00172CBB" w:rsidRDefault="00CF6AA7">
            <w:pPr>
              <w:spacing w:after="0"/>
              <w:jc w:val="right"/>
              <w:rPr>
                <w:rFonts w:cs="Arial"/>
                <w:color w:val="000000"/>
                <w:sz w:val="15"/>
                <w:szCs w:val="15"/>
              </w:rPr>
            </w:pPr>
            <w:r w:rsidRPr="00172CBB">
              <w:rPr>
                <w:rFonts w:cs="Arial"/>
                <w:color w:val="000000"/>
                <w:sz w:val="15"/>
                <w:szCs w:val="15"/>
              </w:rPr>
              <w:t>643,200</w:t>
            </w:r>
          </w:p>
        </w:tc>
        <w:tc>
          <w:tcPr>
            <w:tcW w:w="794" w:type="dxa"/>
            <w:tcBorders>
              <w:top w:val="nil"/>
              <w:left w:val="nil"/>
              <w:bottom w:val="single" w:sz="4" w:space="0" w:color="auto"/>
              <w:right w:val="nil"/>
            </w:tcBorders>
            <w:shd w:val="clear" w:color="auto" w:fill="auto"/>
            <w:noWrap/>
            <w:vAlign w:val="center"/>
            <w:hideMark/>
          </w:tcPr>
          <w:p w14:paraId="73E45B7B" w14:textId="77777777" w:rsidR="00CF6AA7" w:rsidRPr="00172CBB" w:rsidRDefault="00CF6AA7">
            <w:pPr>
              <w:spacing w:after="0"/>
              <w:jc w:val="right"/>
              <w:rPr>
                <w:rFonts w:cs="Arial"/>
                <w:color w:val="000000"/>
                <w:sz w:val="15"/>
                <w:szCs w:val="15"/>
              </w:rPr>
            </w:pPr>
            <w:r w:rsidRPr="00172CBB">
              <w:rPr>
                <w:rFonts w:cs="Arial"/>
                <w:color w:val="000000"/>
                <w:sz w:val="15"/>
                <w:szCs w:val="15"/>
              </w:rPr>
              <w:t>682,800</w:t>
            </w:r>
          </w:p>
        </w:tc>
        <w:tc>
          <w:tcPr>
            <w:tcW w:w="794" w:type="dxa"/>
            <w:tcBorders>
              <w:top w:val="nil"/>
              <w:left w:val="nil"/>
              <w:bottom w:val="single" w:sz="4" w:space="0" w:color="auto"/>
              <w:right w:val="single" w:sz="4" w:space="0" w:color="auto"/>
            </w:tcBorders>
            <w:shd w:val="clear" w:color="auto" w:fill="auto"/>
            <w:noWrap/>
            <w:vAlign w:val="center"/>
          </w:tcPr>
          <w:p w14:paraId="1A968036" w14:textId="77777777" w:rsidR="00CF6AA7" w:rsidRPr="00172CBB" w:rsidRDefault="00CF6AA7">
            <w:pPr>
              <w:spacing w:after="0"/>
              <w:jc w:val="right"/>
              <w:rPr>
                <w:rFonts w:cs="Arial"/>
                <w:color w:val="000000"/>
                <w:sz w:val="15"/>
                <w:szCs w:val="15"/>
              </w:rPr>
            </w:pPr>
            <w:r w:rsidRPr="00172CBB">
              <w:rPr>
                <w:rFonts w:cs="Arial"/>
                <w:color w:val="000000"/>
                <w:sz w:val="15"/>
                <w:szCs w:val="15"/>
              </w:rPr>
              <w:t>721,600</w:t>
            </w:r>
          </w:p>
        </w:tc>
      </w:tr>
      <w:tr w:rsidR="00252EAF" w:rsidRPr="00E5394D" w14:paraId="3134FC3E" w14:textId="77777777" w:rsidTr="00252EAF">
        <w:trPr>
          <w:trHeight w:val="301"/>
        </w:trPr>
        <w:tc>
          <w:tcPr>
            <w:tcW w:w="29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78D76" w14:textId="77777777" w:rsidR="00CF6AA7" w:rsidRPr="006339E6" w:rsidRDefault="00CF6AA7" w:rsidP="004C434C">
            <w:pPr>
              <w:spacing w:after="0"/>
              <w:rPr>
                <w:rFonts w:cs="Arial"/>
                <w:color w:val="000000"/>
                <w:sz w:val="15"/>
                <w:szCs w:val="15"/>
              </w:rPr>
            </w:pPr>
            <w:r w:rsidRPr="00172CBB">
              <w:rPr>
                <w:rFonts w:cs="Arial"/>
                <w:color w:val="000000"/>
                <w:sz w:val="15"/>
                <w:szCs w:val="15"/>
              </w:rPr>
              <w:t>30 June 2020 AFSR projection</w:t>
            </w:r>
          </w:p>
        </w:tc>
        <w:tc>
          <w:tcPr>
            <w:tcW w:w="794" w:type="dxa"/>
            <w:tcBorders>
              <w:top w:val="nil"/>
              <w:left w:val="single" w:sz="4" w:space="0" w:color="auto"/>
              <w:bottom w:val="single" w:sz="4" w:space="0" w:color="auto"/>
              <w:right w:val="nil"/>
            </w:tcBorders>
            <w:shd w:val="clear" w:color="000000" w:fill="BFBFBF"/>
            <w:noWrap/>
            <w:vAlign w:val="center"/>
            <w:hideMark/>
          </w:tcPr>
          <w:p w14:paraId="165A931B"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vAlign w:val="center"/>
          </w:tcPr>
          <w:p w14:paraId="2BCA1EDE"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noWrap/>
            <w:vAlign w:val="center"/>
            <w:hideMark/>
          </w:tcPr>
          <w:p w14:paraId="040EFD00"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auto" w:fill="FFE699"/>
            <w:noWrap/>
            <w:vAlign w:val="center"/>
            <w:hideMark/>
          </w:tcPr>
          <w:p w14:paraId="4E0C8E04" w14:textId="77777777" w:rsidR="00CF6AA7" w:rsidRPr="00172CBB" w:rsidRDefault="00CF6AA7">
            <w:pPr>
              <w:spacing w:after="0"/>
              <w:jc w:val="right"/>
              <w:rPr>
                <w:rFonts w:cs="Arial"/>
                <w:color w:val="000000"/>
                <w:sz w:val="15"/>
                <w:szCs w:val="15"/>
              </w:rPr>
            </w:pPr>
            <w:r w:rsidRPr="00172CBB">
              <w:rPr>
                <w:rFonts w:cs="Arial"/>
                <w:color w:val="000000"/>
                <w:sz w:val="15"/>
                <w:szCs w:val="15"/>
              </w:rPr>
              <w:t>456,300</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14:paraId="52B0FEF4" w14:textId="77777777" w:rsidR="00CF6AA7" w:rsidRPr="00172CBB" w:rsidRDefault="00CF6AA7">
            <w:pPr>
              <w:spacing w:after="0"/>
              <w:jc w:val="right"/>
              <w:rPr>
                <w:rFonts w:cs="Arial"/>
                <w:color w:val="000000"/>
                <w:sz w:val="15"/>
                <w:szCs w:val="15"/>
              </w:rPr>
            </w:pPr>
            <w:r w:rsidRPr="00172CBB">
              <w:rPr>
                <w:rFonts w:cs="Arial"/>
                <w:color w:val="000000"/>
                <w:sz w:val="15"/>
                <w:szCs w:val="15"/>
              </w:rPr>
              <w:t>500,200</w:t>
            </w:r>
          </w:p>
        </w:tc>
        <w:tc>
          <w:tcPr>
            <w:tcW w:w="794" w:type="dxa"/>
            <w:tcBorders>
              <w:top w:val="nil"/>
              <w:left w:val="nil"/>
              <w:bottom w:val="single" w:sz="4" w:space="0" w:color="auto"/>
              <w:right w:val="nil"/>
            </w:tcBorders>
            <w:shd w:val="clear" w:color="auto" w:fill="auto"/>
            <w:noWrap/>
            <w:vAlign w:val="center"/>
            <w:hideMark/>
          </w:tcPr>
          <w:p w14:paraId="6B31A5C3" w14:textId="77777777" w:rsidR="00CF6AA7" w:rsidRPr="00172CBB" w:rsidRDefault="00CF6AA7">
            <w:pPr>
              <w:spacing w:after="0"/>
              <w:jc w:val="right"/>
              <w:rPr>
                <w:rFonts w:cs="Arial"/>
                <w:color w:val="000000"/>
                <w:sz w:val="15"/>
                <w:szCs w:val="15"/>
              </w:rPr>
            </w:pPr>
            <w:r w:rsidRPr="00172CBB">
              <w:rPr>
                <w:rFonts w:cs="Arial"/>
                <w:color w:val="000000"/>
                <w:sz w:val="15"/>
                <w:szCs w:val="15"/>
              </w:rPr>
              <w:t>532,300</w:t>
            </w:r>
          </w:p>
        </w:tc>
        <w:tc>
          <w:tcPr>
            <w:tcW w:w="794" w:type="dxa"/>
            <w:tcBorders>
              <w:top w:val="nil"/>
              <w:left w:val="nil"/>
              <w:bottom w:val="single" w:sz="4" w:space="0" w:color="auto"/>
              <w:right w:val="nil"/>
            </w:tcBorders>
            <w:shd w:val="clear" w:color="auto" w:fill="auto"/>
            <w:noWrap/>
            <w:vAlign w:val="center"/>
            <w:hideMark/>
          </w:tcPr>
          <w:p w14:paraId="6AB122D9" w14:textId="77777777" w:rsidR="00CF6AA7" w:rsidRPr="00172CBB" w:rsidRDefault="00CF6AA7">
            <w:pPr>
              <w:spacing w:after="0"/>
              <w:jc w:val="right"/>
              <w:rPr>
                <w:rFonts w:cs="Arial"/>
                <w:color w:val="000000"/>
                <w:sz w:val="15"/>
                <w:szCs w:val="15"/>
              </w:rPr>
            </w:pPr>
            <w:r w:rsidRPr="00172CBB">
              <w:rPr>
                <w:rFonts w:cs="Arial"/>
                <w:color w:val="000000"/>
                <w:sz w:val="15"/>
                <w:szCs w:val="15"/>
              </w:rPr>
              <w:t>558,100</w:t>
            </w:r>
          </w:p>
        </w:tc>
        <w:tc>
          <w:tcPr>
            <w:tcW w:w="794" w:type="dxa"/>
            <w:tcBorders>
              <w:top w:val="nil"/>
              <w:left w:val="nil"/>
              <w:bottom w:val="single" w:sz="4" w:space="0" w:color="auto"/>
              <w:right w:val="nil"/>
            </w:tcBorders>
            <w:shd w:val="clear" w:color="auto" w:fill="auto"/>
            <w:noWrap/>
            <w:vAlign w:val="center"/>
            <w:hideMark/>
          </w:tcPr>
          <w:p w14:paraId="2892C629" w14:textId="77777777" w:rsidR="00CF6AA7" w:rsidRPr="00172CBB" w:rsidRDefault="00CF6AA7">
            <w:pPr>
              <w:spacing w:after="0"/>
              <w:jc w:val="right"/>
              <w:rPr>
                <w:rFonts w:cs="Arial"/>
                <w:color w:val="000000"/>
                <w:sz w:val="15"/>
                <w:szCs w:val="15"/>
              </w:rPr>
            </w:pPr>
            <w:r w:rsidRPr="00172CBB">
              <w:rPr>
                <w:rFonts w:cs="Arial"/>
                <w:color w:val="000000"/>
                <w:sz w:val="15"/>
                <w:szCs w:val="15"/>
              </w:rPr>
              <w:t>583,500</w:t>
            </w:r>
          </w:p>
        </w:tc>
        <w:tc>
          <w:tcPr>
            <w:tcW w:w="794" w:type="dxa"/>
            <w:tcBorders>
              <w:top w:val="nil"/>
              <w:left w:val="nil"/>
              <w:bottom w:val="single" w:sz="4" w:space="0" w:color="auto"/>
              <w:right w:val="single" w:sz="4" w:space="0" w:color="auto"/>
            </w:tcBorders>
            <w:shd w:val="clear" w:color="auto" w:fill="auto"/>
            <w:noWrap/>
            <w:vAlign w:val="center"/>
          </w:tcPr>
          <w:p w14:paraId="21C8D8E1" w14:textId="77777777" w:rsidR="00CF6AA7" w:rsidRPr="00172CBB" w:rsidRDefault="00CF6AA7">
            <w:pPr>
              <w:spacing w:after="0"/>
              <w:jc w:val="right"/>
              <w:rPr>
                <w:rFonts w:cs="Arial"/>
                <w:color w:val="000000"/>
                <w:sz w:val="15"/>
                <w:szCs w:val="15"/>
              </w:rPr>
            </w:pPr>
            <w:r w:rsidRPr="00172CBB">
              <w:rPr>
                <w:rFonts w:cs="Arial"/>
                <w:color w:val="000000"/>
                <w:sz w:val="15"/>
                <w:szCs w:val="15"/>
              </w:rPr>
              <w:t>608,500</w:t>
            </w:r>
          </w:p>
        </w:tc>
      </w:tr>
      <w:tr w:rsidR="00CF6AA7" w:rsidRPr="00E5394D" w14:paraId="604000DA" w14:textId="77777777" w:rsidTr="00252EAF">
        <w:trPr>
          <w:trHeight w:val="301"/>
        </w:trPr>
        <w:tc>
          <w:tcPr>
            <w:tcW w:w="2948" w:type="dxa"/>
            <w:tcBorders>
              <w:top w:val="nil"/>
              <w:left w:val="single" w:sz="4" w:space="0" w:color="auto"/>
              <w:bottom w:val="single" w:sz="4" w:space="0" w:color="auto"/>
              <w:right w:val="single" w:sz="4" w:space="0" w:color="auto"/>
            </w:tcBorders>
            <w:shd w:val="clear" w:color="auto" w:fill="auto"/>
            <w:noWrap/>
            <w:vAlign w:val="center"/>
            <w:hideMark/>
          </w:tcPr>
          <w:p w14:paraId="58BD9B75" w14:textId="77777777" w:rsidR="00CF6AA7" w:rsidRPr="00172CBB" w:rsidRDefault="00CF6AA7" w:rsidP="004C434C">
            <w:pPr>
              <w:spacing w:after="0"/>
              <w:rPr>
                <w:rFonts w:cs="Arial"/>
                <w:color w:val="000000"/>
                <w:sz w:val="15"/>
                <w:szCs w:val="15"/>
              </w:rPr>
            </w:pPr>
            <w:r w:rsidRPr="00172CBB">
              <w:rPr>
                <w:rFonts w:cs="Arial"/>
                <w:color w:val="000000"/>
                <w:sz w:val="15"/>
                <w:szCs w:val="15"/>
              </w:rPr>
              <w:t>31 December 2019 AFSR projection</w:t>
            </w:r>
          </w:p>
        </w:tc>
        <w:tc>
          <w:tcPr>
            <w:tcW w:w="794" w:type="dxa"/>
            <w:tcBorders>
              <w:top w:val="nil"/>
              <w:left w:val="nil"/>
              <w:bottom w:val="single" w:sz="4" w:space="0" w:color="auto"/>
              <w:right w:val="nil"/>
            </w:tcBorders>
            <w:shd w:val="clear" w:color="000000" w:fill="BFBFBF"/>
            <w:noWrap/>
            <w:vAlign w:val="center"/>
            <w:hideMark/>
          </w:tcPr>
          <w:p w14:paraId="7D01B589"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vAlign w:val="center"/>
          </w:tcPr>
          <w:p w14:paraId="459E4766"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noWrap/>
            <w:vAlign w:val="center"/>
            <w:hideMark/>
          </w:tcPr>
          <w:p w14:paraId="6425ECFE"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auto" w:fill="auto"/>
            <w:noWrap/>
            <w:vAlign w:val="center"/>
            <w:hideMark/>
          </w:tcPr>
          <w:p w14:paraId="1E01BD6B" w14:textId="77777777" w:rsidR="00CF6AA7" w:rsidRPr="00172CBB" w:rsidRDefault="00CF6AA7">
            <w:pPr>
              <w:spacing w:after="0"/>
              <w:jc w:val="right"/>
              <w:rPr>
                <w:rFonts w:cs="Arial"/>
                <w:color w:val="000000"/>
                <w:sz w:val="15"/>
                <w:szCs w:val="15"/>
              </w:rPr>
            </w:pPr>
            <w:r w:rsidRPr="00172CBB">
              <w:rPr>
                <w:rFonts w:cs="Arial"/>
                <w:color w:val="000000"/>
                <w:sz w:val="15"/>
                <w:szCs w:val="15"/>
              </w:rPr>
              <w:t>443,200</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14:paraId="43CC6FFD" w14:textId="77777777" w:rsidR="00CF6AA7" w:rsidRPr="00172CBB" w:rsidRDefault="00CF6AA7">
            <w:pPr>
              <w:spacing w:after="0"/>
              <w:jc w:val="right"/>
              <w:rPr>
                <w:rFonts w:cs="Arial"/>
                <w:color w:val="000000"/>
                <w:sz w:val="15"/>
                <w:szCs w:val="15"/>
              </w:rPr>
            </w:pPr>
            <w:r w:rsidRPr="00172CBB">
              <w:rPr>
                <w:rFonts w:cs="Arial"/>
                <w:color w:val="000000"/>
                <w:sz w:val="15"/>
                <w:szCs w:val="15"/>
              </w:rPr>
              <w:t>485,200</w:t>
            </w:r>
          </w:p>
        </w:tc>
        <w:tc>
          <w:tcPr>
            <w:tcW w:w="794" w:type="dxa"/>
            <w:tcBorders>
              <w:top w:val="nil"/>
              <w:left w:val="nil"/>
              <w:bottom w:val="single" w:sz="4" w:space="0" w:color="auto"/>
              <w:right w:val="nil"/>
            </w:tcBorders>
            <w:shd w:val="clear" w:color="auto" w:fill="auto"/>
            <w:noWrap/>
            <w:vAlign w:val="center"/>
            <w:hideMark/>
          </w:tcPr>
          <w:p w14:paraId="14F106A4" w14:textId="77777777" w:rsidR="00CF6AA7" w:rsidRPr="00172CBB" w:rsidRDefault="00CF6AA7">
            <w:pPr>
              <w:spacing w:after="0"/>
              <w:jc w:val="right"/>
              <w:rPr>
                <w:rFonts w:cs="Arial"/>
                <w:color w:val="000000"/>
                <w:sz w:val="15"/>
                <w:szCs w:val="15"/>
              </w:rPr>
            </w:pPr>
            <w:r w:rsidRPr="00172CBB">
              <w:rPr>
                <w:rFonts w:cs="Arial"/>
                <w:color w:val="000000"/>
                <w:sz w:val="15"/>
                <w:szCs w:val="15"/>
              </w:rPr>
              <w:t>518,400</w:t>
            </w:r>
          </w:p>
        </w:tc>
        <w:tc>
          <w:tcPr>
            <w:tcW w:w="794" w:type="dxa"/>
            <w:tcBorders>
              <w:top w:val="nil"/>
              <w:left w:val="nil"/>
              <w:bottom w:val="single" w:sz="4" w:space="0" w:color="auto"/>
              <w:right w:val="nil"/>
            </w:tcBorders>
            <w:shd w:val="clear" w:color="auto" w:fill="auto"/>
            <w:noWrap/>
            <w:vAlign w:val="center"/>
            <w:hideMark/>
          </w:tcPr>
          <w:p w14:paraId="7D989139" w14:textId="77777777" w:rsidR="00CF6AA7" w:rsidRPr="00172CBB" w:rsidRDefault="00CF6AA7">
            <w:pPr>
              <w:spacing w:after="0"/>
              <w:jc w:val="right"/>
              <w:rPr>
                <w:rFonts w:cs="Arial"/>
                <w:color w:val="000000"/>
                <w:sz w:val="15"/>
                <w:szCs w:val="15"/>
              </w:rPr>
            </w:pPr>
            <w:r w:rsidRPr="00172CBB">
              <w:rPr>
                <w:rFonts w:cs="Arial"/>
                <w:color w:val="000000"/>
                <w:sz w:val="15"/>
                <w:szCs w:val="15"/>
              </w:rPr>
              <w:t>544,000</w:t>
            </w:r>
          </w:p>
        </w:tc>
        <w:tc>
          <w:tcPr>
            <w:tcW w:w="794" w:type="dxa"/>
            <w:tcBorders>
              <w:top w:val="nil"/>
              <w:left w:val="nil"/>
              <w:bottom w:val="single" w:sz="4" w:space="0" w:color="auto"/>
              <w:right w:val="nil"/>
            </w:tcBorders>
            <w:shd w:val="clear" w:color="auto" w:fill="auto"/>
            <w:noWrap/>
            <w:vAlign w:val="center"/>
            <w:hideMark/>
          </w:tcPr>
          <w:p w14:paraId="61083B21" w14:textId="77777777" w:rsidR="00CF6AA7" w:rsidRPr="00172CBB" w:rsidRDefault="00CF6AA7">
            <w:pPr>
              <w:spacing w:after="0"/>
              <w:jc w:val="right"/>
              <w:rPr>
                <w:rFonts w:cs="Arial"/>
                <w:color w:val="000000"/>
                <w:sz w:val="15"/>
                <w:szCs w:val="15"/>
              </w:rPr>
            </w:pPr>
            <w:r w:rsidRPr="00172CBB">
              <w:rPr>
                <w:rFonts w:cs="Arial"/>
                <w:color w:val="000000"/>
                <w:sz w:val="15"/>
                <w:szCs w:val="15"/>
              </w:rPr>
              <w:t>568,500</w:t>
            </w:r>
          </w:p>
        </w:tc>
        <w:tc>
          <w:tcPr>
            <w:tcW w:w="794" w:type="dxa"/>
            <w:tcBorders>
              <w:top w:val="nil"/>
              <w:left w:val="nil"/>
              <w:bottom w:val="single" w:sz="4" w:space="0" w:color="auto"/>
              <w:right w:val="single" w:sz="4" w:space="0" w:color="auto"/>
            </w:tcBorders>
            <w:shd w:val="clear" w:color="auto" w:fill="auto"/>
            <w:noWrap/>
            <w:vAlign w:val="center"/>
          </w:tcPr>
          <w:p w14:paraId="13D151E9" w14:textId="77777777" w:rsidR="00CF6AA7" w:rsidRPr="00172CBB" w:rsidRDefault="00CF6AA7">
            <w:pPr>
              <w:spacing w:after="0"/>
              <w:jc w:val="right"/>
              <w:rPr>
                <w:rFonts w:cs="Arial"/>
                <w:color w:val="000000"/>
                <w:sz w:val="15"/>
                <w:szCs w:val="15"/>
              </w:rPr>
            </w:pPr>
            <w:r w:rsidRPr="00172CBB">
              <w:rPr>
                <w:rFonts w:cs="Arial"/>
                <w:color w:val="000000"/>
                <w:sz w:val="15"/>
                <w:szCs w:val="15"/>
              </w:rPr>
              <w:t>592,500</w:t>
            </w:r>
          </w:p>
        </w:tc>
      </w:tr>
      <w:tr w:rsidR="00CF6AA7" w:rsidRPr="00E5394D" w14:paraId="0BD9075E" w14:textId="77777777" w:rsidTr="00252EAF">
        <w:trPr>
          <w:trHeight w:val="301"/>
        </w:trPr>
        <w:tc>
          <w:tcPr>
            <w:tcW w:w="2948" w:type="dxa"/>
            <w:tcBorders>
              <w:top w:val="nil"/>
              <w:left w:val="single" w:sz="4" w:space="0" w:color="auto"/>
              <w:bottom w:val="single" w:sz="4" w:space="0" w:color="auto"/>
              <w:right w:val="single" w:sz="4" w:space="0" w:color="auto"/>
            </w:tcBorders>
            <w:shd w:val="clear" w:color="auto" w:fill="auto"/>
            <w:noWrap/>
            <w:vAlign w:val="center"/>
            <w:hideMark/>
          </w:tcPr>
          <w:p w14:paraId="126DA7A8" w14:textId="77777777" w:rsidR="00CF6AA7" w:rsidRPr="00172CBB" w:rsidRDefault="00CF6AA7" w:rsidP="004C434C">
            <w:pPr>
              <w:spacing w:after="0"/>
              <w:rPr>
                <w:rFonts w:cs="Arial"/>
                <w:color w:val="000000"/>
                <w:sz w:val="15"/>
                <w:szCs w:val="15"/>
              </w:rPr>
            </w:pPr>
            <w:r w:rsidRPr="00172CBB">
              <w:rPr>
                <w:rFonts w:cs="Arial"/>
                <w:color w:val="000000"/>
                <w:sz w:val="15"/>
                <w:szCs w:val="15"/>
              </w:rPr>
              <w:t>30 June 2019 AFSR projection</w:t>
            </w:r>
          </w:p>
        </w:tc>
        <w:tc>
          <w:tcPr>
            <w:tcW w:w="794" w:type="dxa"/>
            <w:tcBorders>
              <w:top w:val="nil"/>
              <w:left w:val="nil"/>
              <w:bottom w:val="single" w:sz="4" w:space="0" w:color="auto"/>
              <w:right w:val="nil"/>
            </w:tcBorders>
            <w:shd w:val="clear" w:color="000000" w:fill="BFBFBF"/>
            <w:noWrap/>
            <w:vAlign w:val="center"/>
            <w:hideMark/>
          </w:tcPr>
          <w:p w14:paraId="13C58032"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vAlign w:val="center"/>
          </w:tcPr>
          <w:p w14:paraId="1AD3BF6E"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auto" w:fill="FFE699"/>
            <w:noWrap/>
            <w:vAlign w:val="center"/>
            <w:hideMark/>
          </w:tcPr>
          <w:p w14:paraId="48639A74" w14:textId="77777777" w:rsidR="00CF6AA7" w:rsidRPr="00172CBB" w:rsidRDefault="00CF6AA7">
            <w:pPr>
              <w:spacing w:after="0"/>
              <w:jc w:val="right"/>
              <w:rPr>
                <w:rFonts w:cs="Arial"/>
                <w:color w:val="000000"/>
                <w:sz w:val="15"/>
                <w:szCs w:val="15"/>
              </w:rPr>
            </w:pPr>
            <w:r w:rsidRPr="00172CBB">
              <w:rPr>
                <w:rFonts w:cs="Arial"/>
                <w:color w:val="000000"/>
                <w:sz w:val="15"/>
                <w:szCs w:val="15"/>
              </w:rPr>
              <w:t>369,100</w:t>
            </w:r>
          </w:p>
        </w:tc>
        <w:tc>
          <w:tcPr>
            <w:tcW w:w="794" w:type="dxa"/>
            <w:tcBorders>
              <w:top w:val="nil"/>
              <w:left w:val="nil"/>
              <w:bottom w:val="single" w:sz="4" w:space="0" w:color="auto"/>
              <w:right w:val="nil"/>
            </w:tcBorders>
            <w:shd w:val="clear" w:color="auto" w:fill="auto"/>
            <w:noWrap/>
            <w:vAlign w:val="center"/>
            <w:hideMark/>
          </w:tcPr>
          <w:p w14:paraId="30293686" w14:textId="77777777" w:rsidR="00CF6AA7" w:rsidRPr="00172CBB" w:rsidRDefault="00CF6AA7">
            <w:pPr>
              <w:spacing w:after="0"/>
              <w:jc w:val="right"/>
              <w:rPr>
                <w:rFonts w:cs="Arial"/>
                <w:color w:val="000000"/>
                <w:sz w:val="15"/>
                <w:szCs w:val="15"/>
              </w:rPr>
            </w:pPr>
            <w:r w:rsidRPr="00172CBB">
              <w:rPr>
                <w:rFonts w:cs="Arial"/>
                <w:color w:val="000000"/>
                <w:sz w:val="15"/>
                <w:szCs w:val="15"/>
              </w:rPr>
              <w:t>423,900</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14:paraId="381D791D" w14:textId="77777777" w:rsidR="00CF6AA7" w:rsidRPr="00172CBB" w:rsidRDefault="00CF6AA7">
            <w:pPr>
              <w:spacing w:after="0"/>
              <w:jc w:val="right"/>
              <w:rPr>
                <w:rFonts w:cs="Arial"/>
                <w:color w:val="000000"/>
                <w:sz w:val="15"/>
                <w:szCs w:val="15"/>
              </w:rPr>
            </w:pPr>
            <w:r w:rsidRPr="00172CBB">
              <w:rPr>
                <w:rFonts w:cs="Arial"/>
                <w:color w:val="000000"/>
                <w:sz w:val="15"/>
                <w:szCs w:val="15"/>
              </w:rPr>
              <w:t>470,600</w:t>
            </w:r>
          </w:p>
        </w:tc>
        <w:tc>
          <w:tcPr>
            <w:tcW w:w="794" w:type="dxa"/>
            <w:tcBorders>
              <w:top w:val="nil"/>
              <w:left w:val="nil"/>
              <w:bottom w:val="single" w:sz="4" w:space="0" w:color="auto"/>
              <w:right w:val="nil"/>
            </w:tcBorders>
            <w:shd w:val="clear" w:color="auto" w:fill="auto"/>
            <w:noWrap/>
            <w:vAlign w:val="center"/>
            <w:hideMark/>
          </w:tcPr>
          <w:p w14:paraId="5DBC1D7B" w14:textId="77777777" w:rsidR="00CF6AA7" w:rsidRPr="00172CBB" w:rsidRDefault="00CF6AA7">
            <w:pPr>
              <w:spacing w:after="0"/>
              <w:jc w:val="right"/>
              <w:rPr>
                <w:rFonts w:cs="Arial"/>
                <w:color w:val="000000"/>
                <w:sz w:val="15"/>
                <w:szCs w:val="15"/>
              </w:rPr>
            </w:pPr>
            <w:r w:rsidRPr="00172CBB">
              <w:rPr>
                <w:rFonts w:cs="Arial"/>
                <w:color w:val="000000"/>
                <w:sz w:val="15"/>
                <w:szCs w:val="15"/>
              </w:rPr>
              <w:t>501,500</w:t>
            </w:r>
          </w:p>
        </w:tc>
        <w:tc>
          <w:tcPr>
            <w:tcW w:w="794" w:type="dxa"/>
            <w:tcBorders>
              <w:top w:val="nil"/>
              <w:left w:val="nil"/>
              <w:bottom w:val="single" w:sz="4" w:space="0" w:color="auto"/>
              <w:right w:val="nil"/>
            </w:tcBorders>
            <w:shd w:val="clear" w:color="auto" w:fill="auto"/>
            <w:noWrap/>
            <w:vAlign w:val="center"/>
            <w:hideMark/>
          </w:tcPr>
          <w:p w14:paraId="14C3F09F" w14:textId="77777777" w:rsidR="00CF6AA7" w:rsidRPr="00172CBB" w:rsidRDefault="00CF6AA7">
            <w:pPr>
              <w:spacing w:after="0"/>
              <w:jc w:val="right"/>
              <w:rPr>
                <w:rFonts w:cs="Arial"/>
                <w:color w:val="000000"/>
                <w:sz w:val="15"/>
                <w:szCs w:val="15"/>
              </w:rPr>
            </w:pPr>
            <w:r w:rsidRPr="00172CBB">
              <w:rPr>
                <w:rFonts w:cs="Arial"/>
                <w:color w:val="000000"/>
                <w:sz w:val="15"/>
                <w:szCs w:val="15"/>
              </w:rPr>
              <w:t>523,700</w:t>
            </w:r>
          </w:p>
        </w:tc>
        <w:tc>
          <w:tcPr>
            <w:tcW w:w="794" w:type="dxa"/>
            <w:tcBorders>
              <w:top w:val="nil"/>
              <w:left w:val="nil"/>
              <w:bottom w:val="single" w:sz="4" w:space="0" w:color="auto"/>
              <w:right w:val="nil"/>
            </w:tcBorders>
            <w:shd w:val="clear" w:color="auto" w:fill="auto"/>
            <w:noWrap/>
            <w:vAlign w:val="center"/>
            <w:hideMark/>
          </w:tcPr>
          <w:p w14:paraId="3BF2BDAF" w14:textId="77777777" w:rsidR="00CF6AA7" w:rsidRPr="00172CBB" w:rsidRDefault="00CF6AA7">
            <w:pPr>
              <w:spacing w:after="0"/>
              <w:jc w:val="right"/>
              <w:rPr>
                <w:rFonts w:cs="Arial"/>
                <w:color w:val="000000"/>
                <w:sz w:val="15"/>
                <w:szCs w:val="15"/>
              </w:rPr>
            </w:pPr>
            <w:r w:rsidRPr="00172CBB">
              <w:rPr>
                <w:rFonts w:cs="Arial"/>
                <w:color w:val="000000"/>
                <w:sz w:val="15"/>
                <w:szCs w:val="15"/>
              </w:rPr>
              <w:t>544,600</w:t>
            </w:r>
          </w:p>
        </w:tc>
        <w:tc>
          <w:tcPr>
            <w:tcW w:w="794" w:type="dxa"/>
            <w:tcBorders>
              <w:top w:val="nil"/>
              <w:left w:val="nil"/>
              <w:bottom w:val="single" w:sz="4" w:space="0" w:color="auto"/>
              <w:right w:val="single" w:sz="4" w:space="0" w:color="auto"/>
            </w:tcBorders>
            <w:shd w:val="clear" w:color="auto" w:fill="auto"/>
            <w:noWrap/>
            <w:vAlign w:val="center"/>
          </w:tcPr>
          <w:p w14:paraId="6A63A5B5" w14:textId="77777777" w:rsidR="00CF6AA7" w:rsidRPr="00172CBB" w:rsidRDefault="00CF6AA7">
            <w:pPr>
              <w:spacing w:after="0"/>
              <w:jc w:val="right"/>
              <w:rPr>
                <w:rFonts w:cs="Arial"/>
                <w:color w:val="000000"/>
                <w:sz w:val="15"/>
                <w:szCs w:val="15"/>
              </w:rPr>
            </w:pPr>
            <w:r w:rsidRPr="00172CBB">
              <w:rPr>
                <w:rFonts w:cs="Arial"/>
                <w:color w:val="000000"/>
                <w:sz w:val="15"/>
                <w:szCs w:val="15"/>
              </w:rPr>
              <w:t>564,300</w:t>
            </w:r>
          </w:p>
        </w:tc>
      </w:tr>
      <w:tr w:rsidR="00CF6AA7" w:rsidRPr="00E5394D" w14:paraId="35B61D40" w14:textId="77777777" w:rsidTr="00252EAF">
        <w:trPr>
          <w:trHeight w:val="301"/>
        </w:trPr>
        <w:tc>
          <w:tcPr>
            <w:tcW w:w="2948" w:type="dxa"/>
            <w:tcBorders>
              <w:top w:val="nil"/>
              <w:left w:val="single" w:sz="4" w:space="0" w:color="auto"/>
              <w:bottom w:val="single" w:sz="4" w:space="0" w:color="auto"/>
              <w:right w:val="single" w:sz="4" w:space="0" w:color="auto"/>
            </w:tcBorders>
            <w:shd w:val="clear" w:color="auto" w:fill="auto"/>
            <w:noWrap/>
            <w:vAlign w:val="center"/>
            <w:hideMark/>
          </w:tcPr>
          <w:p w14:paraId="1FFC693B" w14:textId="77777777" w:rsidR="00CF6AA7" w:rsidRPr="00172CBB" w:rsidRDefault="00CF6AA7" w:rsidP="004C434C">
            <w:pPr>
              <w:spacing w:after="0"/>
              <w:rPr>
                <w:rFonts w:cs="Arial"/>
                <w:color w:val="000000"/>
                <w:sz w:val="15"/>
                <w:szCs w:val="15"/>
              </w:rPr>
            </w:pPr>
            <w:r w:rsidRPr="00172CBB">
              <w:rPr>
                <w:rFonts w:cs="Arial"/>
                <w:color w:val="000000"/>
                <w:sz w:val="15"/>
                <w:szCs w:val="15"/>
              </w:rPr>
              <w:t>30 June 2018 AFSR projection</w:t>
            </w:r>
          </w:p>
        </w:tc>
        <w:tc>
          <w:tcPr>
            <w:tcW w:w="794" w:type="dxa"/>
            <w:tcBorders>
              <w:top w:val="nil"/>
              <w:left w:val="nil"/>
              <w:bottom w:val="single" w:sz="4" w:space="0" w:color="auto"/>
              <w:right w:val="nil"/>
            </w:tcBorders>
            <w:shd w:val="clear" w:color="000000" w:fill="BFBFBF"/>
            <w:noWrap/>
            <w:vAlign w:val="center"/>
            <w:hideMark/>
          </w:tcPr>
          <w:p w14:paraId="315DCC3C"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FFE699"/>
            <w:vAlign w:val="center"/>
          </w:tcPr>
          <w:p w14:paraId="7670DE6E" w14:textId="77777777" w:rsidR="00CF6AA7" w:rsidRPr="00172CBB" w:rsidRDefault="00CF6AA7">
            <w:pPr>
              <w:spacing w:after="0"/>
              <w:jc w:val="right"/>
              <w:rPr>
                <w:rFonts w:cs="Arial"/>
                <w:color w:val="000000"/>
                <w:sz w:val="15"/>
                <w:szCs w:val="15"/>
              </w:rPr>
            </w:pPr>
            <w:r w:rsidRPr="00172CBB">
              <w:rPr>
                <w:rFonts w:cs="Arial"/>
                <w:color w:val="000000"/>
                <w:sz w:val="15"/>
                <w:szCs w:val="15"/>
              </w:rPr>
              <w:t>306,200</w:t>
            </w:r>
          </w:p>
        </w:tc>
        <w:tc>
          <w:tcPr>
            <w:tcW w:w="794" w:type="dxa"/>
            <w:tcBorders>
              <w:top w:val="nil"/>
              <w:left w:val="nil"/>
              <w:bottom w:val="single" w:sz="4" w:space="0" w:color="auto"/>
              <w:right w:val="nil"/>
            </w:tcBorders>
            <w:shd w:val="clear" w:color="auto" w:fill="auto"/>
            <w:noWrap/>
            <w:vAlign w:val="center"/>
            <w:hideMark/>
          </w:tcPr>
          <w:p w14:paraId="63120A7C" w14:textId="77777777" w:rsidR="00CF6AA7" w:rsidRPr="00172CBB" w:rsidRDefault="00CF6AA7">
            <w:pPr>
              <w:spacing w:after="0"/>
              <w:jc w:val="right"/>
              <w:rPr>
                <w:rFonts w:cs="Arial"/>
                <w:color w:val="000000"/>
                <w:sz w:val="15"/>
                <w:szCs w:val="15"/>
              </w:rPr>
            </w:pPr>
            <w:r w:rsidRPr="00172CBB">
              <w:rPr>
                <w:rFonts w:cs="Arial"/>
                <w:color w:val="000000"/>
                <w:sz w:val="15"/>
                <w:szCs w:val="15"/>
              </w:rPr>
              <w:t>380,500</w:t>
            </w:r>
          </w:p>
        </w:tc>
        <w:tc>
          <w:tcPr>
            <w:tcW w:w="794" w:type="dxa"/>
            <w:tcBorders>
              <w:top w:val="nil"/>
              <w:left w:val="nil"/>
              <w:bottom w:val="single" w:sz="4" w:space="0" w:color="auto"/>
              <w:right w:val="nil"/>
            </w:tcBorders>
            <w:shd w:val="clear" w:color="auto" w:fill="auto"/>
            <w:noWrap/>
            <w:vAlign w:val="center"/>
            <w:hideMark/>
          </w:tcPr>
          <w:p w14:paraId="46291FDF" w14:textId="77777777" w:rsidR="00CF6AA7" w:rsidRPr="00172CBB" w:rsidRDefault="00CF6AA7">
            <w:pPr>
              <w:spacing w:after="0"/>
              <w:jc w:val="right"/>
              <w:rPr>
                <w:rFonts w:cs="Arial"/>
                <w:color w:val="000000"/>
                <w:sz w:val="15"/>
                <w:szCs w:val="15"/>
              </w:rPr>
            </w:pPr>
            <w:r w:rsidRPr="00172CBB">
              <w:rPr>
                <w:rFonts w:cs="Arial"/>
                <w:color w:val="000000"/>
                <w:sz w:val="15"/>
                <w:szCs w:val="15"/>
              </w:rPr>
              <w:t>426,600</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14:paraId="32B88C46" w14:textId="77777777" w:rsidR="00CF6AA7" w:rsidRPr="00172CBB" w:rsidRDefault="00CF6AA7">
            <w:pPr>
              <w:spacing w:after="0"/>
              <w:jc w:val="right"/>
              <w:rPr>
                <w:rFonts w:cs="Arial"/>
                <w:color w:val="000000"/>
                <w:sz w:val="15"/>
                <w:szCs w:val="15"/>
              </w:rPr>
            </w:pPr>
            <w:r w:rsidRPr="00172CBB">
              <w:rPr>
                <w:rFonts w:cs="Arial"/>
                <w:color w:val="000000"/>
                <w:sz w:val="15"/>
                <w:szCs w:val="15"/>
              </w:rPr>
              <w:t>465,100</w:t>
            </w:r>
          </w:p>
        </w:tc>
        <w:tc>
          <w:tcPr>
            <w:tcW w:w="794" w:type="dxa"/>
            <w:tcBorders>
              <w:top w:val="nil"/>
              <w:left w:val="nil"/>
              <w:bottom w:val="single" w:sz="4" w:space="0" w:color="auto"/>
              <w:right w:val="nil"/>
            </w:tcBorders>
            <w:shd w:val="clear" w:color="auto" w:fill="auto"/>
            <w:noWrap/>
            <w:vAlign w:val="center"/>
            <w:hideMark/>
          </w:tcPr>
          <w:p w14:paraId="6CEA203C" w14:textId="77777777" w:rsidR="00CF6AA7" w:rsidRPr="00172CBB" w:rsidRDefault="00CF6AA7">
            <w:pPr>
              <w:spacing w:after="0"/>
              <w:jc w:val="right"/>
              <w:rPr>
                <w:rFonts w:cs="Arial"/>
                <w:color w:val="000000"/>
                <w:sz w:val="15"/>
                <w:szCs w:val="15"/>
              </w:rPr>
            </w:pPr>
            <w:r w:rsidRPr="00172CBB">
              <w:rPr>
                <w:rFonts w:cs="Arial"/>
                <w:color w:val="000000"/>
                <w:sz w:val="15"/>
                <w:szCs w:val="15"/>
              </w:rPr>
              <w:t>499,300</w:t>
            </w:r>
          </w:p>
        </w:tc>
        <w:tc>
          <w:tcPr>
            <w:tcW w:w="794" w:type="dxa"/>
            <w:tcBorders>
              <w:top w:val="nil"/>
              <w:left w:val="nil"/>
              <w:bottom w:val="single" w:sz="4" w:space="0" w:color="auto"/>
              <w:right w:val="nil"/>
            </w:tcBorders>
            <w:shd w:val="clear" w:color="auto" w:fill="auto"/>
            <w:noWrap/>
            <w:vAlign w:val="center"/>
            <w:hideMark/>
          </w:tcPr>
          <w:p w14:paraId="6CE39096" w14:textId="77777777" w:rsidR="00CF6AA7" w:rsidRPr="00172CBB" w:rsidRDefault="00CF6AA7">
            <w:pPr>
              <w:spacing w:after="0"/>
              <w:jc w:val="right"/>
              <w:rPr>
                <w:rFonts w:cs="Arial"/>
                <w:color w:val="000000"/>
                <w:sz w:val="15"/>
                <w:szCs w:val="15"/>
              </w:rPr>
            </w:pPr>
            <w:r w:rsidRPr="00172CBB">
              <w:rPr>
                <w:rFonts w:cs="Arial"/>
                <w:color w:val="000000"/>
                <w:sz w:val="15"/>
                <w:szCs w:val="15"/>
              </w:rPr>
              <w:t>521,000</w:t>
            </w:r>
          </w:p>
        </w:tc>
        <w:tc>
          <w:tcPr>
            <w:tcW w:w="794" w:type="dxa"/>
            <w:tcBorders>
              <w:top w:val="nil"/>
              <w:left w:val="nil"/>
              <w:bottom w:val="single" w:sz="4" w:space="0" w:color="auto"/>
              <w:right w:val="nil"/>
            </w:tcBorders>
            <w:shd w:val="clear" w:color="auto" w:fill="auto"/>
            <w:noWrap/>
            <w:vAlign w:val="center"/>
            <w:hideMark/>
          </w:tcPr>
          <w:p w14:paraId="712EAED2" w14:textId="77777777" w:rsidR="00CF6AA7" w:rsidRPr="00172CBB" w:rsidRDefault="00CF6AA7">
            <w:pPr>
              <w:spacing w:after="0"/>
              <w:jc w:val="right"/>
              <w:rPr>
                <w:rFonts w:cs="Arial"/>
                <w:color w:val="000000"/>
                <w:sz w:val="15"/>
                <w:szCs w:val="15"/>
              </w:rPr>
            </w:pPr>
            <w:r w:rsidRPr="00172CBB">
              <w:rPr>
                <w:rFonts w:cs="Arial"/>
                <w:color w:val="000000"/>
                <w:sz w:val="15"/>
                <w:szCs w:val="15"/>
              </w:rPr>
              <w:t>541,700</w:t>
            </w:r>
          </w:p>
        </w:tc>
        <w:tc>
          <w:tcPr>
            <w:tcW w:w="794" w:type="dxa"/>
            <w:tcBorders>
              <w:top w:val="nil"/>
              <w:left w:val="nil"/>
              <w:bottom w:val="single" w:sz="4" w:space="0" w:color="auto"/>
              <w:right w:val="single" w:sz="4" w:space="0" w:color="auto"/>
            </w:tcBorders>
            <w:shd w:val="clear" w:color="auto" w:fill="auto"/>
            <w:noWrap/>
            <w:vAlign w:val="center"/>
          </w:tcPr>
          <w:p w14:paraId="26F59086" w14:textId="77777777" w:rsidR="00CF6AA7" w:rsidRPr="00172CBB" w:rsidRDefault="00CF6AA7">
            <w:pPr>
              <w:spacing w:after="0"/>
              <w:jc w:val="right"/>
              <w:rPr>
                <w:rFonts w:cs="Arial"/>
                <w:color w:val="000000"/>
                <w:sz w:val="15"/>
                <w:szCs w:val="15"/>
              </w:rPr>
            </w:pPr>
            <w:r w:rsidRPr="00172CBB">
              <w:rPr>
                <w:rFonts w:cs="Arial"/>
                <w:color w:val="000000"/>
                <w:sz w:val="15"/>
                <w:szCs w:val="15"/>
              </w:rPr>
              <w:t>561,700</w:t>
            </w:r>
          </w:p>
        </w:tc>
      </w:tr>
      <w:tr w:rsidR="00252EAF" w:rsidRPr="00E5394D" w14:paraId="4BBF62B5" w14:textId="77777777" w:rsidTr="00252EAF">
        <w:trPr>
          <w:trHeight w:val="301"/>
        </w:trPr>
        <w:tc>
          <w:tcPr>
            <w:tcW w:w="2948" w:type="dxa"/>
            <w:tcBorders>
              <w:top w:val="nil"/>
              <w:left w:val="single" w:sz="4" w:space="0" w:color="auto"/>
              <w:bottom w:val="single" w:sz="4" w:space="0" w:color="auto"/>
              <w:right w:val="nil"/>
            </w:tcBorders>
            <w:shd w:val="clear" w:color="000000" w:fill="D3C5D7"/>
            <w:noWrap/>
            <w:vAlign w:val="center"/>
            <w:hideMark/>
          </w:tcPr>
          <w:p w14:paraId="268CFF69" w14:textId="77777777" w:rsidR="00CF6AA7" w:rsidRPr="00172CBB" w:rsidRDefault="00CF6AA7" w:rsidP="004C434C">
            <w:pPr>
              <w:spacing w:after="0"/>
              <w:rPr>
                <w:rFonts w:cs="Arial"/>
                <w:b/>
                <w:bCs/>
                <w:color w:val="000000"/>
                <w:sz w:val="15"/>
                <w:szCs w:val="15"/>
              </w:rPr>
            </w:pPr>
            <w:r w:rsidRPr="00172CBB">
              <w:rPr>
                <w:rFonts w:cs="Arial"/>
                <w:b/>
                <w:bCs/>
                <w:color w:val="000000"/>
                <w:sz w:val="15"/>
                <w:szCs w:val="15"/>
              </w:rPr>
              <w:t>Comparison with actuals</w:t>
            </w:r>
          </w:p>
        </w:tc>
        <w:tc>
          <w:tcPr>
            <w:tcW w:w="794" w:type="dxa"/>
            <w:tcBorders>
              <w:top w:val="nil"/>
              <w:left w:val="nil"/>
              <w:bottom w:val="single" w:sz="4" w:space="0" w:color="auto"/>
              <w:right w:val="nil"/>
            </w:tcBorders>
            <w:shd w:val="clear" w:color="000000" w:fill="D3C5D7"/>
            <w:noWrap/>
            <w:vAlign w:val="center"/>
            <w:hideMark/>
          </w:tcPr>
          <w:p w14:paraId="0A2F2CD9" w14:textId="77777777" w:rsidR="00CF6AA7" w:rsidRPr="00172CBB" w:rsidRDefault="00CF6AA7">
            <w:pPr>
              <w:spacing w:after="0"/>
              <w:jc w:val="right"/>
              <w:rPr>
                <w:rFonts w:cs="Arial"/>
                <w:b/>
                <w:bCs/>
                <w:color w:val="000000"/>
                <w:sz w:val="15"/>
                <w:szCs w:val="15"/>
              </w:rPr>
            </w:pPr>
            <w:r w:rsidRPr="00172CBB">
              <w:rPr>
                <w:rFonts w:cs="Arial"/>
                <w:b/>
                <w:bCs/>
                <w:color w:val="000000"/>
                <w:sz w:val="15"/>
                <w:szCs w:val="15"/>
              </w:rPr>
              <w:t> </w:t>
            </w:r>
          </w:p>
        </w:tc>
        <w:tc>
          <w:tcPr>
            <w:tcW w:w="794" w:type="dxa"/>
            <w:tcBorders>
              <w:top w:val="nil"/>
              <w:left w:val="nil"/>
              <w:bottom w:val="single" w:sz="4" w:space="0" w:color="auto"/>
              <w:right w:val="nil"/>
            </w:tcBorders>
            <w:shd w:val="clear" w:color="000000" w:fill="D3C5D7"/>
            <w:vAlign w:val="center"/>
          </w:tcPr>
          <w:p w14:paraId="4ED8422B" w14:textId="77777777" w:rsidR="00CF6AA7" w:rsidRPr="00172CBB" w:rsidRDefault="00CF6AA7">
            <w:pPr>
              <w:spacing w:after="0"/>
              <w:jc w:val="right"/>
              <w:rPr>
                <w:rFonts w:cs="Arial"/>
                <w:b/>
                <w:bCs/>
                <w:color w:val="000000"/>
                <w:sz w:val="15"/>
                <w:szCs w:val="15"/>
              </w:rPr>
            </w:pPr>
          </w:p>
        </w:tc>
        <w:tc>
          <w:tcPr>
            <w:tcW w:w="794" w:type="dxa"/>
            <w:tcBorders>
              <w:top w:val="nil"/>
              <w:left w:val="nil"/>
              <w:bottom w:val="single" w:sz="4" w:space="0" w:color="auto"/>
              <w:right w:val="nil"/>
            </w:tcBorders>
            <w:shd w:val="clear" w:color="000000" w:fill="D3C5D7"/>
            <w:noWrap/>
            <w:vAlign w:val="center"/>
            <w:hideMark/>
          </w:tcPr>
          <w:p w14:paraId="596F5472" w14:textId="77777777" w:rsidR="00CF6AA7" w:rsidRPr="00172CBB" w:rsidRDefault="00CF6AA7">
            <w:pPr>
              <w:spacing w:after="0"/>
              <w:jc w:val="right"/>
              <w:rPr>
                <w:rFonts w:cs="Arial"/>
                <w:b/>
                <w:bCs/>
                <w:color w:val="000000"/>
                <w:sz w:val="15"/>
                <w:szCs w:val="15"/>
              </w:rPr>
            </w:pPr>
            <w:r w:rsidRPr="00172CBB">
              <w:rPr>
                <w:rFonts w:cs="Arial"/>
                <w:b/>
                <w:bCs/>
                <w:color w:val="000000"/>
                <w:sz w:val="15"/>
                <w:szCs w:val="15"/>
              </w:rPr>
              <w:t> </w:t>
            </w:r>
          </w:p>
        </w:tc>
        <w:tc>
          <w:tcPr>
            <w:tcW w:w="794" w:type="dxa"/>
            <w:tcBorders>
              <w:top w:val="nil"/>
              <w:left w:val="nil"/>
              <w:bottom w:val="single" w:sz="4" w:space="0" w:color="auto"/>
              <w:right w:val="nil"/>
            </w:tcBorders>
            <w:shd w:val="clear" w:color="000000" w:fill="D3C5D7"/>
            <w:noWrap/>
            <w:vAlign w:val="center"/>
            <w:hideMark/>
          </w:tcPr>
          <w:p w14:paraId="1F0777AD" w14:textId="77777777" w:rsidR="00CF6AA7" w:rsidRPr="00172CBB" w:rsidRDefault="00CF6AA7">
            <w:pPr>
              <w:spacing w:after="0"/>
              <w:jc w:val="right"/>
              <w:rPr>
                <w:rFonts w:cs="Arial"/>
                <w:b/>
                <w:bCs/>
                <w:color w:val="000000"/>
                <w:sz w:val="15"/>
                <w:szCs w:val="15"/>
              </w:rPr>
            </w:pPr>
            <w:r w:rsidRPr="00172CBB">
              <w:rPr>
                <w:rFonts w:cs="Arial"/>
                <w:b/>
                <w:bCs/>
                <w:color w:val="000000"/>
                <w:sz w:val="15"/>
                <w:szCs w:val="15"/>
              </w:rPr>
              <w:t> </w:t>
            </w:r>
          </w:p>
        </w:tc>
        <w:tc>
          <w:tcPr>
            <w:tcW w:w="794" w:type="dxa"/>
            <w:tcBorders>
              <w:top w:val="nil"/>
              <w:left w:val="nil"/>
              <w:bottom w:val="single" w:sz="4" w:space="0" w:color="auto"/>
              <w:right w:val="nil"/>
            </w:tcBorders>
            <w:shd w:val="clear" w:color="000000" w:fill="D3C5D7"/>
            <w:noWrap/>
            <w:vAlign w:val="center"/>
            <w:hideMark/>
          </w:tcPr>
          <w:p w14:paraId="7C86EEA7" w14:textId="77777777" w:rsidR="00CF6AA7" w:rsidRPr="00172CBB" w:rsidRDefault="00CF6AA7">
            <w:pPr>
              <w:spacing w:after="0"/>
              <w:jc w:val="right"/>
              <w:rPr>
                <w:rFonts w:cs="Arial"/>
                <w:b/>
                <w:bCs/>
                <w:color w:val="000000"/>
                <w:sz w:val="15"/>
                <w:szCs w:val="15"/>
              </w:rPr>
            </w:pPr>
            <w:r w:rsidRPr="00172CBB">
              <w:rPr>
                <w:rFonts w:cs="Arial"/>
                <w:b/>
                <w:bCs/>
                <w:color w:val="000000"/>
                <w:sz w:val="15"/>
                <w:szCs w:val="15"/>
              </w:rPr>
              <w:t> </w:t>
            </w:r>
          </w:p>
        </w:tc>
        <w:tc>
          <w:tcPr>
            <w:tcW w:w="794" w:type="dxa"/>
            <w:tcBorders>
              <w:top w:val="nil"/>
              <w:left w:val="nil"/>
              <w:bottom w:val="single" w:sz="4" w:space="0" w:color="auto"/>
              <w:right w:val="nil"/>
            </w:tcBorders>
            <w:shd w:val="clear" w:color="000000" w:fill="D3C5D7"/>
            <w:noWrap/>
            <w:vAlign w:val="center"/>
            <w:hideMark/>
          </w:tcPr>
          <w:p w14:paraId="5F7E6F75" w14:textId="77777777" w:rsidR="00CF6AA7" w:rsidRPr="00172CBB" w:rsidRDefault="00CF6AA7">
            <w:pPr>
              <w:spacing w:after="0"/>
              <w:jc w:val="right"/>
              <w:rPr>
                <w:rFonts w:cs="Arial"/>
                <w:b/>
                <w:bCs/>
                <w:color w:val="000000"/>
                <w:sz w:val="15"/>
                <w:szCs w:val="15"/>
              </w:rPr>
            </w:pPr>
            <w:r w:rsidRPr="00172CBB">
              <w:rPr>
                <w:rFonts w:cs="Arial"/>
                <w:b/>
                <w:bCs/>
                <w:color w:val="000000"/>
                <w:sz w:val="15"/>
                <w:szCs w:val="15"/>
              </w:rPr>
              <w:t> </w:t>
            </w:r>
          </w:p>
        </w:tc>
        <w:tc>
          <w:tcPr>
            <w:tcW w:w="794" w:type="dxa"/>
            <w:tcBorders>
              <w:top w:val="nil"/>
              <w:left w:val="nil"/>
              <w:bottom w:val="single" w:sz="4" w:space="0" w:color="auto"/>
              <w:right w:val="nil"/>
            </w:tcBorders>
            <w:shd w:val="clear" w:color="000000" w:fill="D3C5D7"/>
            <w:noWrap/>
            <w:vAlign w:val="center"/>
            <w:hideMark/>
          </w:tcPr>
          <w:p w14:paraId="1086BFD6" w14:textId="77777777" w:rsidR="00CF6AA7" w:rsidRPr="00172CBB" w:rsidRDefault="00CF6AA7">
            <w:pPr>
              <w:spacing w:after="0"/>
              <w:jc w:val="right"/>
              <w:rPr>
                <w:rFonts w:cs="Arial"/>
                <w:b/>
                <w:bCs/>
                <w:color w:val="000000"/>
                <w:sz w:val="15"/>
                <w:szCs w:val="15"/>
              </w:rPr>
            </w:pPr>
            <w:r w:rsidRPr="00172CBB">
              <w:rPr>
                <w:rFonts w:cs="Arial"/>
                <w:b/>
                <w:bCs/>
                <w:color w:val="000000"/>
                <w:sz w:val="15"/>
                <w:szCs w:val="15"/>
              </w:rPr>
              <w:t> </w:t>
            </w:r>
          </w:p>
        </w:tc>
        <w:tc>
          <w:tcPr>
            <w:tcW w:w="794" w:type="dxa"/>
            <w:tcBorders>
              <w:top w:val="nil"/>
              <w:left w:val="nil"/>
              <w:bottom w:val="single" w:sz="4" w:space="0" w:color="auto"/>
              <w:right w:val="nil"/>
            </w:tcBorders>
            <w:shd w:val="clear" w:color="000000" w:fill="D3C5D7"/>
            <w:noWrap/>
            <w:vAlign w:val="center"/>
            <w:hideMark/>
          </w:tcPr>
          <w:p w14:paraId="1C7A308A" w14:textId="77777777" w:rsidR="00CF6AA7" w:rsidRPr="00172CBB" w:rsidRDefault="00CF6AA7">
            <w:pPr>
              <w:spacing w:after="0"/>
              <w:jc w:val="right"/>
              <w:rPr>
                <w:rFonts w:cs="Arial"/>
                <w:b/>
                <w:bCs/>
                <w:color w:val="000000"/>
                <w:sz w:val="15"/>
                <w:szCs w:val="15"/>
              </w:rPr>
            </w:pPr>
            <w:r w:rsidRPr="00172CBB">
              <w:rPr>
                <w:rFonts w:cs="Arial"/>
                <w:b/>
                <w:bCs/>
                <w:color w:val="000000"/>
                <w:sz w:val="15"/>
                <w:szCs w:val="15"/>
              </w:rPr>
              <w:t> </w:t>
            </w:r>
          </w:p>
        </w:tc>
        <w:tc>
          <w:tcPr>
            <w:tcW w:w="794" w:type="dxa"/>
            <w:tcBorders>
              <w:top w:val="nil"/>
              <w:left w:val="nil"/>
              <w:bottom w:val="single" w:sz="4" w:space="0" w:color="auto"/>
              <w:right w:val="single" w:sz="4" w:space="0" w:color="auto"/>
            </w:tcBorders>
            <w:shd w:val="clear" w:color="000000" w:fill="D3C5D7"/>
            <w:noWrap/>
            <w:vAlign w:val="center"/>
            <w:hideMark/>
          </w:tcPr>
          <w:p w14:paraId="16A4CFAA" w14:textId="77777777" w:rsidR="00CF6AA7" w:rsidRPr="00172CBB" w:rsidRDefault="00CF6AA7">
            <w:pPr>
              <w:spacing w:after="0"/>
              <w:jc w:val="right"/>
              <w:rPr>
                <w:rFonts w:cs="Arial"/>
                <w:b/>
                <w:bCs/>
                <w:color w:val="000000"/>
                <w:sz w:val="15"/>
                <w:szCs w:val="15"/>
              </w:rPr>
            </w:pPr>
            <w:r w:rsidRPr="00172CBB">
              <w:rPr>
                <w:rFonts w:cs="Arial"/>
                <w:b/>
                <w:bCs/>
                <w:color w:val="000000"/>
                <w:sz w:val="15"/>
                <w:szCs w:val="15"/>
              </w:rPr>
              <w:t> </w:t>
            </w:r>
          </w:p>
        </w:tc>
      </w:tr>
      <w:tr w:rsidR="00252EAF" w:rsidRPr="00E5394D" w14:paraId="6F1059BD" w14:textId="77777777" w:rsidTr="00252EAF">
        <w:trPr>
          <w:trHeight w:val="301"/>
        </w:trPr>
        <w:tc>
          <w:tcPr>
            <w:tcW w:w="2948" w:type="dxa"/>
            <w:tcBorders>
              <w:top w:val="nil"/>
              <w:left w:val="single" w:sz="4" w:space="0" w:color="auto"/>
              <w:bottom w:val="single" w:sz="4" w:space="0" w:color="auto"/>
              <w:right w:val="single" w:sz="4" w:space="0" w:color="auto"/>
            </w:tcBorders>
            <w:shd w:val="clear" w:color="auto" w:fill="auto"/>
            <w:noWrap/>
            <w:vAlign w:val="center"/>
            <w:hideMark/>
          </w:tcPr>
          <w:p w14:paraId="083A8B34" w14:textId="77777777" w:rsidR="00CF6AA7" w:rsidRPr="00172CBB" w:rsidRDefault="00CF6AA7" w:rsidP="004C434C">
            <w:pPr>
              <w:spacing w:after="0"/>
              <w:rPr>
                <w:rFonts w:cs="Arial"/>
                <w:color w:val="000000"/>
                <w:sz w:val="15"/>
                <w:szCs w:val="15"/>
              </w:rPr>
            </w:pPr>
            <w:r w:rsidRPr="00172CBB">
              <w:rPr>
                <w:rFonts w:cs="Arial"/>
                <w:color w:val="000000"/>
                <w:sz w:val="15"/>
                <w:szCs w:val="15"/>
              </w:rPr>
              <w:t>Actual participant numbers</w:t>
            </w:r>
          </w:p>
        </w:tc>
        <w:tc>
          <w:tcPr>
            <w:tcW w:w="794" w:type="dxa"/>
            <w:tcBorders>
              <w:top w:val="nil"/>
              <w:left w:val="nil"/>
              <w:bottom w:val="single" w:sz="4" w:space="0" w:color="auto"/>
              <w:right w:val="nil"/>
            </w:tcBorders>
            <w:shd w:val="clear" w:color="auto" w:fill="auto"/>
            <w:noWrap/>
            <w:vAlign w:val="center"/>
            <w:hideMark/>
          </w:tcPr>
          <w:p w14:paraId="48FB0E60" w14:textId="77777777" w:rsidR="00CF6AA7" w:rsidRPr="00172CBB" w:rsidRDefault="00CF6AA7">
            <w:pPr>
              <w:spacing w:after="0"/>
              <w:jc w:val="right"/>
              <w:rPr>
                <w:rFonts w:cs="Arial"/>
                <w:color w:val="000000"/>
                <w:sz w:val="15"/>
                <w:szCs w:val="15"/>
              </w:rPr>
            </w:pPr>
            <w:r w:rsidRPr="00172CBB">
              <w:rPr>
                <w:rFonts w:cs="Arial"/>
                <w:color w:val="000000"/>
                <w:sz w:val="15"/>
                <w:szCs w:val="15"/>
              </w:rPr>
              <w:t>172,300</w:t>
            </w:r>
          </w:p>
        </w:tc>
        <w:tc>
          <w:tcPr>
            <w:tcW w:w="794" w:type="dxa"/>
            <w:tcBorders>
              <w:top w:val="nil"/>
              <w:left w:val="nil"/>
              <w:bottom w:val="single" w:sz="4" w:space="0" w:color="auto"/>
              <w:right w:val="nil"/>
            </w:tcBorders>
            <w:shd w:val="clear" w:color="auto" w:fill="FFE699"/>
            <w:vAlign w:val="center"/>
          </w:tcPr>
          <w:p w14:paraId="62635376" w14:textId="77777777" w:rsidR="00CF6AA7" w:rsidRPr="00172CBB" w:rsidRDefault="00CF6AA7">
            <w:pPr>
              <w:spacing w:after="0"/>
              <w:jc w:val="right"/>
              <w:rPr>
                <w:rFonts w:cs="Arial"/>
                <w:color w:val="000000"/>
                <w:sz w:val="15"/>
                <w:szCs w:val="15"/>
              </w:rPr>
            </w:pPr>
            <w:r w:rsidRPr="00172CBB">
              <w:rPr>
                <w:rFonts w:cs="Arial"/>
                <w:color w:val="000000"/>
                <w:sz w:val="15"/>
                <w:szCs w:val="15"/>
              </w:rPr>
              <w:t>286,000</w:t>
            </w:r>
          </w:p>
        </w:tc>
        <w:tc>
          <w:tcPr>
            <w:tcW w:w="794" w:type="dxa"/>
            <w:tcBorders>
              <w:top w:val="nil"/>
              <w:left w:val="nil"/>
              <w:bottom w:val="single" w:sz="4" w:space="0" w:color="auto"/>
              <w:right w:val="nil"/>
            </w:tcBorders>
            <w:shd w:val="clear" w:color="auto" w:fill="FFE699"/>
            <w:noWrap/>
            <w:vAlign w:val="center"/>
            <w:hideMark/>
          </w:tcPr>
          <w:p w14:paraId="1785C6DD" w14:textId="77777777" w:rsidR="00CF6AA7" w:rsidRPr="00172CBB" w:rsidRDefault="00CF6AA7">
            <w:pPr>
              <w:spacing w:after="0"/>
              <w:jc w:val="right"/>
              <w:rPr>
                <w:rFonts w:cs="Arial"/>
                <w:color w:val="000000"/>
                <w:sz w:val="15"/>
                <w:szCs w:val="15"/>
              </w:rPr>
            </w:pPr>
            <w:r w:rsidRPr="00172CBB">
              <w:rPr>
                <w:rFonts w:cs="Arial"/>
                <w:color w:val="000000"/>
                <w:sz w:val="15"/>
                <w:szCs w:val="15"/>
              </w:rPr>
              <w:t>392,000</w:t>
            </w:r>
          </w:p>
        </w:tc>
        <w:tc>
          <w:tcPr>
            <w:tcW w:w="794" w:type="dxa"/>
            <w:tcBorders>
              <w:top w:val="nil"/>
              <w:left w:val="nil"/>
              <w:bottom w:val="single" w:sz="4" w:space="0" w:color="auto"/>
              <w:right w:val="nil"/>
            </w:tcBorders>
            <w:shd w:val="clear" w:color="000000" w:fill="FFE699"/>
            <w:noWrap/>
            <w:vAlign w:val="center"/>
            <w:hideMark/>
          </w:tcPr>
          <w:p w14:paraId="022ABC78" w14:textId="77777777" w:rsidR="00CF6AA7" w:rsidRPr="00172CBB" w:rsidRDefault="00CF6AA7">
            <w:pPr>
              <w:spacing w:after="0"/>
              <w:jc w:val="right"/>
              <w:rPr>
                <w:rFonts w:cs="Arial"/>
                <w:color w:val="000000"/>
                <w:sz w:val="15"/>
                <w:szCs w:val="15"/>
              </w:rPr>
            </w:pPr>
            <w:r w:rsidRPr="00172CBB">
              <w:rPr>
                <w:rFonts w:cs="Arial"/>
                <w:color w:val="000000"/>
                <w:sz w:val="15"/>
                <w:szCs w:val="15"/>
              </w:rPr>
              <w:t>466,600</w:t>
            </w:r>
          </w:p>
        </w:tc>
        <w:tc>
          <w:tcPr>
            <w:tcW w:w="794" w:type="dxa"/>
            <w:tcBorders>
              <w:top w:val="nil"/>
              <w:left w:val="single" w:sz="4" w:space="0" w:color="auto"/>
              <w:bottom w:val="single" w:sz="4" w:space="0" w:color="auto"/>
              <w:right w:val="single" w:sz="4" w:space="0" w:color="auto"/>
            </w:tcBorders>
            <w:shd w:val="clear" w:color="000000" w:fill="FFE699"/>
            <w:noWrap/>
            <w:vAlign w:val="center"/>
          </w:tcPr>
          <w:p w14:paraId="3C8CF334" w14:textId="77777777" w:rsidR="00CF6AA7" w:rsidRPr="00172CBB" w:rsidRDefault="00CF6AA7">
            <w:pPr>
              <w:spacing w:after="0"/>
              <w:jc w:val="right"/>
              <w:rPr>
                <w:rFonts w:cs="Arial"/>
                <w:color w:val="000000"/>
                <w:sz w:val="15"/>
                <w:szCs w:val="15"/>
              </w:rPr>
            </w:pPr>
            <w:r w:rsidRPr="00172CBB">
              <w:rPr>
                <w:rFonts w:cs="Arial"/>
                <w:color w:val="000000"/>
                <w:sz w:val="15"/>
                <w:szCs w:val="15"/>
              </w:rPr>
              <w:t>534,700</w:t>
            </w:r>
          </w:p>
        </w:tc>
        <w:tc>
          <w:tcPr>
            <w:tcW w:w="794" w:type="dxa"/>
            <w:tcBorders>
              <w:top w:val="nil"/>
              <w:left w:val="nil"/>
              <w:bottom w:val="single" w:sz="4" w:space="0" w:color="auto"/>
              <w:right w:val="nil"/>
            </w:tcBorders>
            <w:shd w:val="clear" w:color="000000" w:fill="BFBFBF"/>
            <w:noWrap/>
            <w:vAlign w:val="center"/>
            <w:hideMark/>
          </w:tcPr>
          <w:p w14:paraId="065AE0CC"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noWrap/>
            <w:vAlign w:val="center"/>
            <w:hideMark/>
          </w:tcPr>
          <w:p w14:paraId="676EA07D"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noWrap/>
            <w:vAlign w:val="center"/>
            <w:hideMark/>
          </w:tcPr>
          <w:p w14:paraId="1A0FC5F6" w14:textId="77777777" w:rsidR="00CF6AA7" w:rsidRPr="00172CBB" w:rsidRDefault="00CF6AA7">
            <w:pPr>
              <w:spacing w:after="0"/>
              <w:jc w:val="right"/>
              <w:rPr>
                <w:rFonts w:cs="Arial"/>
                <w:i/>
                <w:iCs/>
                <w:color w:val="000000"/>
                <w:sz w:val="15"/>
                <w:szCs w:val="15"/>
              </w:rPr>
            </w:pPr>
            <w:r w:rsidRPr="00172CBB">
              <w:rPr>
                <w:rFonts w:cs="Arial"/>
                <w:i/>
                <w:iCs/>
                <w:color w:val="000000"/>
                <w:sz w:val="15"/>
                <w:szCs w:val="15"/>
              </w:rPr>
              <w:t> </w:t>
            </w:r>
          </w:p>
        </w:tc>
        <w:tc>
          <w:tcPr>
            <w:tcW w:w="794" w:type="dxa"/>
            <w:tcBorders>
              <w:top w:val="nil"/>
              <w:left w:val="nil"/>
              <w:bottom w:val="single" w:sz="4" w:space="0" w:color="auto"/>
              <w:right w:val="single" w:sz="4" w:space="0" w:color="auto"/>
            </w:tcBorders>
            <w:shd w:val="clear" w:color="000000" w:fill="BFBFBF"/>
            <w:noWrap/>
            <w:vAlign w:val="center"/>
            <w:hideMark/>
          </w:tcPr>
          <w:p w14:paraId="6A2A2D14" w14:textId="77777777" w:rsidR="00CF6AA7" w:rsidRPr="00172CBB" w:rsidRDefault="00CF6AA7">
            <w:pPr>
              <w:spacing w:after="0"/>
              <w:jc w:val="right"/>
              <w:rPr>
                <w:rFonts w:cs="Arial"/>
                <w:i/>
                <w:iCs/>
                <w:color w:val="000000"/>
                <w:sz w:val="15"/>
                <w:szCs w:val="15"/>
              </w:rPr>
            </w:pPr>
            <w:r w:rsidRPr="00172CBB">
              <w:rPr>
                <w:rFonts w:cs="Arial"/>
                <w:i/>
                <w:iCs/>
                <w:color w:val="000000"/>
                <w:sz w:val="15"/>
                <w:szCs w:val="15"/>
              </w:rPr>
              <w:t> </w:t>
            </w:r>
          </w:p>
        </w:tc>
      </w:tr>
      <w:tr w:rsidR="00252EAF" w:rsidRPr="00E5394D" w14:paraId="5FE37790" w14:textId="77777777" w:rsidTr="00F830E6">
        <w:trPr>
          <w:trHeight w:val="301"/>
        </w:trPr>
        <w:tc>
          <w:tcPr>
            <w:tcW w:w="2948" w:type="dxa"/>
            <w:tcBorders>
              <w:top w:val="nil"/>
              <w:left w:val="single" w:sz="4" w:space="0" w:color="auto"/>
              <w:bottom w:val="single" w:sz="4" w:space="0" w:color="auto"/>
              <w:right w:val="single" w:sz="4" w:space="0" w:color="auto"/>
            </w:tcBorders>
            <w:shd w:val="clear" w:color="auto" w:fill="auto"/>
            <w:vAlign w:val="center"/>
            <w:hideMark/>
          </w:tcPr>
          <w:p w14:paraId="614FA311" w14:textId="77777777" w:rsidR="00CF6AA7" w:rsidRPr="00420267" w:rsidRDefault="00CF6AA7" w:rsidP="004C434C">
            <w:pPr>
              <w:spacing w:after="0"/>
              <w:rPr>
                <w:rFonts w:cs="Arial"/>
                <w:color w:val="000000"/>
                <w:sz w:val="15"/>
                <w:szCs w:val="15"/>
              </w:rPr>
            </w:pPr>
            <w:r w:rsidRPr="00420267">
              <w:rPr>
                <w:rFonts w:cs="Arial"/>
                <w:color w:val="000000"/>
                <w:sz w:val="15"/>
                <w:szCs w:val="15"/>
              </w:rPr>
              <w:t>Actual participant numbers compared with June AFSR</w:t>
            </w:r>
            <w:r w:rsidR="00420267">
              <w:rPr>
                <w:rFonts w:cs="Arial"/>
                <w:color w:val="000000"/>
                <w:sz w:val="15"/>
                <w:szCs w:val="15"/>
              </w:rPr>
              <w:t xml:space="preserve"> (#)</w:t>
            </w:r>
          </w:p>
        </w:tc>
        <w:tc>
          <w:tcPr>
            <w:tcW w:w="794" w:type="dxa"/>
            <w:tcBorders>
              <w:top w:val="nil"/>
              <w:left w:val="nil"/>
              <w:bottom w:val="single" w:sz="4" w:space="0" w:color="auto"/>
              <w:right w:val="nil"/>
            </w:tcBorders>
            <w:shd w:val="clear" w:color="000000" w:fill="BFBFBF"/>
            <w:noWrap/>
            <w:vAlign w:val="center"/>
            <w:hideMark/>
          </w:tcPr>
          <w:p w14:paraId="472FA34F"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FFE699"/>
            <w:vAlign w:val="center"/>
          </w:tcPr>
          <w:p w14:paraId="0998E944" w14:textId="77777777" w:rsidR="00CF6AA7" w:rsidRPr="00172CBB" w:rsidRDefault="00CF6AA7">
            <w:pPr>
              <w:spacing w:after="0"/>
              <w:jc w:val="right"/>
              <w:rPr>
                <w:rFonts w:cs="Arial"/>
                <w:color w:val="000000"/>
                <w:sz w:val="15"/>
                <w:szCs w:val="15"/>
              </w:rPr>
            </w:pPr>
            <w:r w:rsidRPr="00172CBB">
              <w:rPr>
                <w:rFonts w:cs="Arial"/>
                <w:color w:val="000000"/>
                <w:sz w:val="15"/>
                <w:szCs w:val="15"/>
              </w:rPr>
              <w:t>-20,200</w:t>
            </w:r>
          </w:p>
        </w:tc>
        <w:tc>
          <w:tcPr>
            <w:tcW w:w="794" w:type="dxa"/>
            <w:tcBorders>
              <w:top w:val="nil"/>
              <w:left w:val="nil"/>
              <w:bottom w:val="single" w:sz="4" w:space="0" w:color="auto"/>
              <w:right w:val="nil"/>
            </w:tcBorders>
            <w:shd w:val="clear" w:color="000000" w:fill="FFE699"/>
            <w:noWrap/>
            <w:vAlign w:val="center"/>
            <w:hideMark/>
          </w:tcPr>
          <w:p w14:paraId="4A3987D4" w14:textId="77777777" w:rsidR="00CF6AA7" w:rsidRPr="00172CBB" w:rsidRDefault="00CF6AA7">
            <w:pPr>
              <w:spacing w:after="0"/>
              <w:jc w:val="right"/>
              <w:rPr>
                <w:rFonts w:cs="Arial"/>
                <w:color w:val="000000"/>
                <w:sz w:val="15"/>
                <w:szCs w:val="15"/>
              </w:rPr>
            </w:pPr>
            <w:r w:rsidRPr="00172CBB">
              <w:rPr>
                <w:rFonts w:cs="Arial"/>
                <w:color w:val="000000"/>
                <w:sz w:val="15"/>
                <w:szCs w:val="15"/>
              </w:rPr>
              <w:t>22,900</w:t>
            </w:r>
          </w:p>
        </w:tc>
        <w:tc>
          <w:tcPr>
            <w:tcW w:w="794" w:type="dxa"/>
            <w:tcBorders>
              <w:top w:val="nil"/>
              <w:left w:val="nil"/>
              <w:bottom w:val="single" w:sz="4" w:space="0" w:color="auto"/>
              <w:right w:val="nil"/>
            </w:tcBorders>
            <w:shd w:val="clear" w:color="000000" w:fill="FFE699"/>
            <w:noWrap/>
            <w:vAlign w:val="center"/>
            <w:hideMark/>
          </w:tcPr>
          <w:p w14:paraId="1C1CBDB7" w14:textId="77777777" w:rsidR="00CF6AA7" w:rsidRPr="00172CBB" w:rsidRDefault="00CF6AA7">
            <w:pPr>
              <w:spacing w:after="0"/>
              <w:jc w:val="right"/>
              <w:rPr>
                <w:rFonts w:cs="Arial"/>
                <w:color w:val="000000"/>
                <w:sz w:val="15"/>
                <w:szCs w:val="15"/>
              </w:rPr>
            </w:pPr>
            <w:r w:rsidRPr="00172CBB">
              <w:rPr>
                <w:rFonts w:cs="Arial"/>
                <w:color w:val="000000"/>
                <w:sz w:val="15"/>
                <w:szCs w:val="15"/>
              </w:rPr>
              <w:t>10,300</w:t>
            </w:r>
          </w:p>
        </w:tc>
        <w:tc>
          <w:tcPr>
            <w:tcW w:w="794" w:type="dxa"/>
            <w:tcBorders>
              <w:top w:val="nil"/>
              <w:left w:val="single" w:sz="4" w:space="0" w:color="auto"/>
              <w:bottom w:val="single" w:sz="4" w:space="0" w:color="auto"/>
              <w:right w:val="single" w:sz="4" w:space="0" w:color="auto"/>
            </w:tcBorders>
            <w:shd w:val="clear" w:color="000000" w:fill="FFE699"/>
            <w:noWrap/>
            <w:vAlign w:val="center"/>
          </w:tcPr>
          <w:p w14:paraId="15A6C5F6" w14:textId="77777777" w:rsidR="00CF6AA7" w:rsidRPr="00172CBB" w:rsidRDefault="00CF6AA7">
            <w:pPr>
              <w:spacing w:after="0"/>
              <w:jc w:val="right"/>
              <w:rPr>
                <w:rFonts w:cs="Arial"/>
                <w:color w:val="000000"/>
                <w:sz w:val="15"/>
                <w:szCs w:val="15"/>
              </w:rPr>
            </w:pPr>
            <w:r w:rsidRPr="00172CBB">
              <w:rPr>
                <w:rFonts w:cs="Arial"/>
                <w:color w:val="000000"/>
                <w:sz w:val="15"/>
                <w:szCs w:val="15"/>
              </w:rPr>
              <w:t>4,200</w:t>
            </w:r>
          </w:p>
        </w:tc>
        <w:tc>
          <w:tcPr>
            <w:tcW w:w="794" w:type="dxa"/>
            <w:tcBorders>
              <w:top w:val="nil"/>
              <w:left w:val="nil"/>
              <w:bottom w:val="single" w:sz="4" w:space="0" w:color="auto"/>
              <w:right w:val="nil"/>
            </w:tcBorders>
            <w:shd w:val="clear" w:color="000000" w:fill="BFBFBF"/>
            <w:noWrap/>
            <w:vAlign w:val="center"/>
            <w:hideMark/>
          </w:tcPr>
          <w:p w14:paraId="3A0535D9"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noWrap/>
            <w:vAlign w:val="center"/>
            <w:hideMark/>
          </w:tcPr>
          <w:p w14:paraId="74EFAA9C"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nil"/>
            </w:tcBorders>
            <w:shd w:val="clear" w:color="000000" w:fill="BFBFBF"/>
            <w:noWrap/>
            <w:vAlign w:val="center"/>
            <w:hideMark/>
          </w:tcPr>
          <w:p w14:paraId="29710847"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c>
          <w:tcPr>
            <w:tcW w:w="794" w:type="dxa"/>
            <w:tcBorders>
              <w:top w:val="nil"/>
              <w:left w:val="nil"/>
              <w:bottom w:val="single" w:sz="4" w:space="0" w:color="auto"/>
              <w:right w:val="single" w:sz="4" w:space="0" w:color="auto"/>
            </w:tcBorders>
            <w:shd w:val="clear" w:color="000000" w:fill="BFBFBF"/>
            <w:noWrap/>
            <w:vAlign w:val="center"/>
            <w:hideMark/>
          </w:tcPr>
          <w:p w14:paraId="70574AF4" w14:textId="77777777" w:rsidR="00CF6AA7" w:rsidRPr="00172CBB" w:rsidRDefault="00CF6AA7">
            <w:pPr>
              <w:spacing w:after="0"/>
              <w:jc w:val="right"/>
              <w:rPr>
                <w:rFonts w:cs="Arial"/>
                <w:color w:val="000000"/>
                <w:sz w:val="15"/>
                <w:szCs w:val="15"/>
              </w:rPr>
            </w:pPr>
            <w:r w:rsidRPr="00172CBB">
              <w:rPr>
                <w:rFonts w:cs="Arial"/>
                <w:color w:val="000000"/>
                <w:sz w:val="15"/>
                <w:szCs w:val="15"/>
              </w:rPr>
              <w:t> </w:t>
            </w:r>
          </w:p>
        </w:tc>
      </w:tr>
      <w:tr w:rsidR="00420267" w:rsidRPr="00E5394D" w14:paraId="295E6883" w14:textId="77777777" w:rsidTr="00420267">
        <w:trPr>
          <w:trHeight w:val="301"/>
        </w:trPr>
        <w:tc>
          <w:tcPr>
            <w:tcW w:w="2948" w:type="dxa"/>
            <w:tcBorders>
              <w:top w:val="single" w:sz="4" w:space="0" w:color="auto"/>
              <w:left w:val="single" w:sz="4" w:space="0" w:color="auto"/>
              <w:bottom w:val="single" w:sz="4" w:space="0" w:color="auto"/>
              <w:right w:val="single" w:sz="4" w:space="0" w:color="auto"/>
            </w:tcBorders>
            <w:shd w:val="clear" w:color="auto" w:fill="auto"/>
            <w:vAlign w:val="center"/>
          </w:tcPr>
          <w:p w14:paraId="346EB225" w14:textId="77777777" w:rsidR="00420267" w:rsidRPr="00420267" w:rsidRDefault="00420267" w:rsidP="00F830E6">
            <w:pPr>
              <w:spacing w:after="0" w:line="240" w:lineRule="auto"/>
              <w:rPr>
                <w:rFonts w:cs="Arial"/>
                <w:color w:val="000000"/>
                <w:sz w:val="15"/>
                <w:szCs w:val="15"/>
              </w:rPr>
            </w:pPr>
            <w:r w:rsidRPr="00F830E6">
              <w:rPr>
                <w:rFonts w:cs="Arial"/>
                <w:color w:val="000000"/>
                <w:sz w:val="15"/>
                <w:szCs w:val="15"/>
              </w:rPr>
              <w:t>Actual participant numbers compared with June AFSR (%)</w:t>
            </w:r>
            <w:r w:rsidRPr="00F830E6">
              <w:rPr>
                <w:rFonts w:cs="Arial"/>
                <w:color w:val="000000"/>
                <w:sz w:val="15"/>
                <w:szCs w:val="15"/>
              </w:rPr>
              <w:br/>
            </w:r>
            <w:r w:rsidRPr="00F830E6">
              <w:rPr>
                <w:rFonts w:cs="Arial"/>
                <w:i/>
                <w:iCs/>
                <w:color w:val="000000"/>
                <w:sz w:val="15"/>
                <w:szCs w:val="15"/>
              </w:rPr>
              <w:t>(</w:t>
            </w:r>
            <w:r w:rsidR="00B51235">
              <w:rPr>
                <w:rFonts w:cs="Arial"/>
                <w:i/>
                <w:iCs/>
                <w:color w:val="000000"/>
                <w:sz w:val="15"/>
                <w:szCs w:val="15"/>
              </w:rPr>
              <w:t>A</w:t>
            </w:r>
            <w:r w:rsidRPr="00F830E6">
              <w:rPr>
                <w:rFonts w:cs="Arial"/>
                <w:i/>
                <w:iCs/>
                <w:color w:val="000000"/>
                <w:sz w:val="15"/>
                <w:szCs w:val="15"/>
              </w:rPr>
              <w:t xml:space="preserve">ctual </w:t>
            </w:r>
            <w:r>
              <w:rPr>
                <w:rFonts w:cs="Arial"/>
                <w:i/>
                <w:iCs/>
                <w:color w:val="000000"/>
                <w:sz w:val="15"/>
                <w:szCs w:val="15"/>
              </w:rPr>
              <w:t>–</w:t>
            </w:r>
            <w:r w:rsidRPr="00F830E6">
              <w:rPr>
                <w:rFonts w:cs="Arial"/>
                <w:i/>
                <w:iCs/>
                <w:color w:val="000000"/>
                <w:sz w:val="15"/>
                <w:szCs w:val="15"/>
              </w:rPr>
              <w:t xml:space="preserve"> AFSR projection) / Actual </w:t>
            </w:r>
          </w:p>
        </w:tc>
        <w:tc>
          <w:tcPr>
            <w:tcW w:w="794" w:type="dxa"/>
            <w:tcBorders>
              <w:top w:val="single" w:sz="4" w:space="0" w:color="auto"/>
              <w:left w:val="nil"/>
              <w:bottom w:val="single" w:sz="4" w:space="0" w:color="auto"/>
              <w:right w:val="nil"/>
            </w:tcBorders>
            <w:shd w:val="clear" w:color="000000" w:fill="BFBFBF"/>
            <w:noWrap/>
            <w:vAlign w:val="center"/>
          </w:tcPr>
          <w:p w14:paraId="15B4FF53" w14:textId="77777777" w:rsidR="00420267" w:rsidRPr="00172CBB" w:rsidRDefault="00420267" w:rsidP="00420267">
            <w:pPr>
              <w:spacing w:after="0"/>
              <w:jc w:val="right"/>
              <w:rPr>
                <w:rFonts w:cs="Arial"/>
                <w:color w:val="000000"/>
                <w:sz w:val="15"/>
                <w:szCs w:val="15"/>
              </w:rPr>
            </w:pPr>
          </w:p>
        </w:tc>
        <w:tc>
          <w:tcPr>
            <w:tcW w:w="794" w:type="dxa"/>
            <w:tcBorders>
              <w:top w:val="single" w:sz="4" w:space="0" w:color="auto"/>
              <w:left w:val="nil"/>
              <w:bottom w:val="single" w:sz="4" w:space="0" w:color="auto"/>
              <w:right w:val="nil"/>
            </w:tcBorders>
            <w:shd w:val="clear" w:color="000000" w:fill="FFE699"/>
            <w:vAlign w:val="center"/>
          </w:tcPr>
          <w:p w14:paraId="5BB3CA60" w14:textId="77777777" w:rsidR="00420267" w:rsidRPr="00420267" w:rsidRDefault="00420267" w:rsidP="00420267">
            <w:pPr>
              <w:spacing w:after="0"/>
              <w:jc w:val="right"/>
              <w:rPr>
                <w:rFonts w:cs="Arial"/>
                <w:color w:val="000000"/>
                <w:sz w:val="15"/>
                <w:szCs w:val="15"/>
              </w:rPr>
            </w:pPr>
            <w:r w:rsidRPr="00F830E6">
              <w:rPr>
                <w:rFonts w:cs="Arial"/>
                <w:color w:val="000000"/>
                <w:sz w:val="15"/>
                <w:szCs w:val="15"/>
              </w:rPr>
              <w:t>-7.1%</w:t>
            </w:r>
          </w:p>
        </w:tc>
        <w:tc>
          <w:tcPr>
            <w:tcW w:w="794" w:type="dxa"/>
            <w:tcBorders>
              <w:top w:val="single" w:sz="4" w:space="0" w:color="auto"/>
              <w:left w:val="nil"/>
              <w:bottom w:val="single" w:sz="4" w:space="0" w:color="auto"/>
              <w:right w:val="nil"/>
            </w:tcBorders>
            <w:shd w:val="clear" w:color="000000" w:fill="FFE699"/>
            <w:noWrap/>
            <w:vAlign w:val="center"/>
          </w:tcPr>
          <w:p w14:paraId="1B6799B2" w14:textId="77777777" w:rsidR="00420267" w:rsidRPr="00420267" w:rsidRDefault="00420267" w:rsidP="00420267">
            <w:pPr>
              <w:spacing w:after="0"/>
              <w:jc w:val="right"/>
              <w:rPr>
                <w:rFonts w:cs="Arial"/>
                <w:color w:val="000000"/>
                <w:sz w:val="15"/>
                <w:szCs w:val="15"/>
              </w:rPr>
            </w:pPr>
            <w:r w:rsidRPr="00F830E6">
              <w:rPr>
                <w:rFonts w:cs="Arial"/>
                <w:color w:val="000000"/>
                <w:sz w:val="15"/>
                <w:szCs w:val="15"/>
              </w:rPr>
              <w:t>5.8%</w:t>
            </w:r>
          </w:p>
        </w:tc>
        <w:tc>
          <w:tcPr>
            <w:tcW w:w="794" w:type="dxa"/>
            <w:tcBorders>
              <w:top w:val="single" w:sz="4" w:space="0" w:color="auto"/>
              <w:left w:val="nil"/>
              <w:bottom w:val="single" w:sz="4" w:space="0" w:color="auto"/>
              <w:right w:val="nil"/>
            </w:tcBorders>
            <w:shd w:val="clear" w:color="000000" w:fill="FFE699"/>
            <w:noWrap/>
            <w:vAlign w:val="center"/>
          </w:tcPr>
          <w:p w14:paraId="70800CD1" w14:textId="77777777" w:rsidR="00420267" w:rsidRPr="00420267" w:rsidRDefault="00420267" w:rsidP="00420267">
            <w:pPr>
              <w:spacing w:after="0"/>
              <w:jc w:val="right"/>
              <w:rPr>
                <w:rFonts w:cs="Arial"/>
                <w:color w:val="000000"/>
                <w:sz w:val="15"/>
                <w:szCs w:val="15"/>
              </w:rPr>
            </w:pPr>
            <w:r w:rsidRPr="00F830E6">
              <w:rPr>
                <w:rFonts w:cs="Arial"/>
                <w:color w:val="000000"/>
                <w:sz w:val="15"/>
                <w:szCs w:val="15"/>
              </w:rPr>
              <w:t>2.2%</w:t>
            </w:r>
          </w:p>
        </w:tc>
        <w:tc>
          <w:tcPr>
            <w:tcW w:w="794" w:type="dxa"/>
            <w:tcBorders>
              <w:top w:val="single" w:sz="4" w:space="0" w:color="auto"/>
              <w:left w:val="single" w:sz="4" w:space="0" w:color="auto"/>
              <w:bottom w:val="single" w:sz="4" w:space="0" w:color="auto"/>
              <w:right w:val="single" w:sz="4" w:space="0" w:color="auto"/>
            </w:tcBorders>
            <w:shd w:val="clear" w:color="000000" w:fill="FFE699"/>
            <w:noWrap/>
            <w:vAlign w:val="center"/>
          </w:tcPr>
          <w:p w14:paraId="7B788EE1" w14:textId="77777777" w:rsidR="00420267" w:rsidRPr="00420267" w:rsidRDefault="00420267" w:rsidP="00420267">
            <w:pPr>
              <w:spacing w:after="0"/>
              <w:jc w:val="right"/>
              <w:rPr>
                <w:rFonts w:cs="Arial"/>
                <w:color w:val="000000"/>
                <w:sz w:val="15"/>
                <w:szCs w:val="15"/>
              </w:rPr>
            </w:pPr>
            <w:r w:rsidRPr="00F830E6">
              <w:rPr>
                <w:rFonts w:cs="Arial"/>
                <w:color w:val="000000"/>
                <w:sz w:val="15"/>
                <w:szCs w:val="15"/>
              </w:rPr>
              <w:t>0.8%</w:t>
            </w:r>
          </w:p>
        </w:tc>
        <w:tc>
          <w:tcPr>
            <w:tcW w:w="794" w:type="dxa"/>
            <w:tcBorders>
              <w:top w:val="single" w:sz="4" w:space="0" w:color="auto"/>
              <w:left w:val="nil"/>
              <w:bottom w:val="single" w:sz="4" w:space="0" w:color="auto"/>
              <w:right w:val="nil"/>
            </w:tcBorders>
            <w:shd w:val="clear" w:color="000000" w:fill="BFBFBF"/>
            <w:noWrap/>
            <w:vAlign w:val="center"/>
          </w:tcPr>
          <w:p w14:paraId="5B0E4FBD" w14:textId="77777777" w:rsidR="00420267" w:rsidRPr="00172CBB" w:rsidRDefault="00420267" w:rsidP="00420267">
            <w:pPr>
              <w:spacing w:after="0"/>
              <w:jc w:val="right"/>
              <w:rPr>
                <w:rFonts w:cs="Arial"/>
                <w:color w:val="000000"/>
                <w:sz w:val="15"/>
                <w:szCs w:val="15"/>
              </w:rPr>
            </w:pPr>
          </w:p>
        </w:tc>
        <w:tc>
          <w:tcPr>
            <w:tcW w:w="794" w:type="dxa"/>
            <w:tcBorders>
              <w:top w:val="single" w:sz="4" w:space="0" w:color="auto"/>
              <w:left w:val="nil"/>
              <w:bottom w:val="single" w:sz="4" w:space="0" w:color="auto"/>
              <w:right w:val="nil"/>
            </w:tcBorders>
            <w:shd w:val="clear" w:color="000000" w:fill="BFBFBF"/>
            <w:noWrap/>
            <w:vAlign w:val="center"/>
          </w:tcPr>
          <w:p w14:paraId="4F15E531" w14:textId="77777777" w:rsidR="00420267" w:rsidRPr="00172CBB" w:rsidRDefault="00420267" w:rsidP="00420267">
            <w:pPr>
              <w:spacing w:after="0"/>
              <w:jc w:val="right"/>
              <w:rPr>
                <w:rFonts w:cs="Arial"/>
                <w:color w:val="000000"/>
                <w:sz w:val="15"/>
                <w:szCs w:val="15"/>
              </w:rPr>
            </w:pPr>
          </w:p>
        </w:tc>
        <w:tc>
          <w:tcPr>
            <w:tcW w:w="794" w:type="dxa"/>
            <w:tcBorders>
              <w:top w:val="single" w:sz="4" w:space="0" w:color="auto"/>
              <w:left w:val="nil"/>
              <w:bottom w:val="single" w:sz="4" w:space="0" w:color="auto"/>
              <w:right w:val="nil"/>
            </w:tcBorders>
            <w:shd w:val="clear" w:color="000000" w:fill="BFBFBF"/>
            <w:noWrap/>
            <w:vAlign w:val="center"/>
          </w:tcPr>
          <w:p w14:paraId="16067959" w14:textId="77777777" w:rsidR="00420267" w:rsidRPr="00172CBB" w:rsidRDefault="00420267" w:rsidP="00420267">
            <w:pPr>
              <w:spacing w:after="0"/>
              <w:jc w:val="right"/>
              <w:rPr>
                <w:rFonts w:cs="Arial"/>
                <w:color w:val="000000"/>
                <w:sz w:val="15"/>
                <w:szCs w:val="15"/>
              </w:rPr>
            </w:pPr>
          </w:p>
        </w:tc>
        <w:tc>
          <w:tcPr>
            <w:tcW w:w="794" w:type="dxa"/>
            <w:tcBorders>
              <w:top w:val="single" w:sz="4" w:space="0" w:color="auto"/>
              <w:left w:val="nil"/>
              <w:bottom w:val="single" w:sz="4" w:space="0" w:color="auto"/>
              <w:right w:val="single" w:sz="4" w:space="0" w:color="auto"/>
            </w:tcBorders>
            <w:shd w:val="clear" w:color="000000" w:fill="BFBFBF"/>
            <w:noWrap/>
            <w:vAlign w:val="center"/>
          </w:tcPr>
          <w:p w14:paraId="1169F811" w14:textId="77777777" w:rsidR="00420267" w:rsidRPr="00172CBB" w:rsidRDefault="00420267" w:rsidP="00420267">
            <w:pPr>
              <w:spacing w:after="0"/>
              <w:jc w:val="right"/>
              <w:rPr>
                <w:rFonts w:cs="Arial"/>
                <w:color w:val="000000"/>
                <w:sz w:val="15"/>
                <w:szCs w:val="15"/>
              </w:rPr>
            </w:pPr>
          </w:p>
        </w:tc>
      </w:tr>
    </w:tbl>
    <w:p w14:paraId="25DC363E" w14:textId="77777777" w:rsidR="00CF6AA7" w:rsidRDefault="00CF6AA7" w:rsidP="00CF6AA7">
      <w:pPr>
        <w:pStyle w:val="FSRnormal"/>
      </w:pPr>
      <w:r w:rsidRPr="00F57906">
        <w:t>Participants entered the Scheme more slowly than initially anticipated in the bilateral agreements between the Commonwealth and State/Territory governments. The PC estimates also assumed that participants would initially enter the Scheme more rapidly. Participant projections f</w:t>
      </w:r>
      <w:r w:rsidRPr="00390B56">
        <w:t xml:space="preserve">or each successive AFSR projection have been revised to reflect the pace at which participants have entered the Scheme, with increases in assumptions at each </w:t>
      </w:r>
      <w:r>
        <w:t>AFSR except the 30 June 2021 AFSR.</w:t>
      </w:r>
      <w:r w:rsidRPr="00390B56">
        <w:t xml:space="preserve"> </w:t>
      </w:r>
    </w:p>
    <w:p w14:paraId="0C19BB66" w14:textId="77777777" w:rsidR="00CF6AA7" w:rsidRPr="00F57906" w:rsidRDefault="00CF6AA7" w:rsidP="00CF6AA7">
      <w:pPr>
        <w:pStyle w:val="FSRnormal"/>
      </w:pPr>
      <w:r>
        <w:t>For the 30 June 2022</w:t>
      </w:r>
      <w:r w:rsidRPr="00390B56">
        <w:t xml:space="preserve"> AFSR</w:t>
      </w:r>
      <w:r>
        <w:t xml:space="preserve"> projection</w:t>
      </w:r>
      <w:r w:rsidRPr="00390B56">
        <w:t xml:space="preserve">, participant intake assumptions have been revised upwards slightly to reflect the emerging experience of higher than expected participant intake into the Scheme relative to expectations at the </w:t>
      </w:r>
      <w:r>
        <w:t>preceding</w:t>
      </w:r>
      <w:r w:rsidRPr="00390B56">
        <w:t xml:space="preserve"> AFSR. </w:t>
      </w:r>
      <w:r>
        <w:t>This has meant that f</w:t>
      </w:r>
      <w:r w:rsidRPr="00390B56">
        <w:t>uture</w:t>
      </w:r>
      <w:r w:rsidRPr="00F57906">
        <w:t xml:space="preserve"> projections remain well above all earlier estimates as well as the PC estimates.</w:t>
      </w:r>
    </w:p>
    <w:p w14:paraId="5236E77C" w14:textId="77777777" w:rsidR="00CF6AA7" w:rsidRDefault="00CF6AA7" w:rsidP="00CF6AA7">
      <w:pPr>
        <w:spacing w:after="160" w:line="259" w:lineRule="auto"/>
        <w:rPr>
          <w:rFonts w:eastAsiaTheme="minorHAnsi"/>
          <w:b/>
          <w:bCs/>
          <w:szCs w:val="18"/>
          <w:lang w:eastAsia="en-US"/>
        </w:rPr>
      </w:pPr>
      <w:r>
        <w:br w:type="page"/>
      </w:r>
    </w:p>
    <w:p w14:paraId="1F5B5910" w14:textId="77777777" w:rsidR="00CF6AA7" w:rsidRPr="00F37130" w:rsidRDefault="00CF6AA7" w:rsidP="00CF6AA7">
      <w:pPr>
        <w:pStyle w:val="Tables"/>
      </w:pPr>
      <w:r w:rsidRPr="00FA751D">
        <w:lastRenderedPageBreak/>
        <w:t xml:space="preserve">Table </w:t>
      </w:r>
      <w:fldSimple w:instr=" STYLEREF 2 \s ">
        <w:r w:rsidR="00A87896">
          <w:rPr>
            <w:noProof/>
          </w:rPr>
          <w:t>6</w:t>
        </w:r>
      </w:fldSimple>
      <w:r w:rsidR="00A87896">
        <w:t>.</w:t>
      </w:r>
      <w:fldSimple w:instr=" SEQ Table \* ARABIC \s 2 ">
        <w:r w:rsidR="00A87896">
          <w:rPr>
            <w:noProof/>
          </w:rPr>
          <w:t>20</w:t>
        </w:r>
      </w:fldSimple>
      <w:r w:rsidRPr="00FA751D">
        <w:t>: Average participant payments - AFSR projections and 2017 PC estimates</w:t>
      </w:r>
    </w:p>
    <w:tbl>
      <w:tblPr>
        <w:tblW w:w="10774" w:type="dxa"/>
        <w:tblInd w:w="-714" w:type="dxa"/>
        <w:tblLayout w:type="fixed"/>
        <w:tblLook w:val="04A0" w:firstRow="1" w:lastRow="0" w:firstColumn="1" w:lastColumn="0" w:noHBand="0" w:noVBand="1"/>
      </w:tblPr>
      <w:tblGrid>
        <w:gridCol w:w="2978"/>
        <w:gridCol w:w="991"/>
        <w:gridCol w:w="851"/>
        <w:gridCol w:w="850"/>
        <w:gridCol w:w="851"/>
        <w:gridCol w:w="850"/>
        <w:gridCol w:w="851"/>
        <w:gridCol w:w="850"/>
        <w:gridCol w:w="851"/>
        <w:gridCol w:w="851"/>
      </w:tblGrid>
      <w:tr w:rsidR="00252EAF" w:rsidRPr="00304672" w14:paraId="0E101B8C" w14:textId="77777777" w:rsidTr="00252EAF">
        <w:trPr>
          <w:trHeight w:val="397"/>
        </w:trPr>
        <w:tc>
          <w:tcPr>
            <w:tcW w:w="2978" w:type="dxa"/>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0E748C90" w14:textId="77777777" w:rsidR="00CF6AA7" w:rsidRPr="00304672" w:rsidRDefault="00CF6AA7" w:rsidP="004C434C">
            <w:pPr>
              <w:spacing w:after="0" w:line="240" w:lineRule="auto"/>
              <w:rPr>
                <w:rFonts w:eastAsia="Times New Roman" w:cs="Arial"/>
                <w:b/>
                <w:color w:val="FFFFFF"/>
                <w:sz w:val="16"/>
                <w:szCs w:val="16"/>
                <w:lang w:eastAsia="en-AU"/>
              </w:rPr>
            </w:pPr>
            <w:r w:rsidRPr="00304672">
              <w:rPr>
                <w:rFonts w:eastAsia="Times New Roman" w:cs="Arial"/>
                <w:b/>
                <w:color w:val="FFFFFF"/>
                <w:sz w:val="16"/>
                <w:szCs w:val="16"/>
                <w:lang w:eastAsia="en-AU"/>
              </w:rPr>
              <w:t>Average participant payments ($ Cash basis)</w:t>
            </w:r>
          </w:p>
        </w:tc>
        <w:tc>
          <w:tcPr>
            <w:tcW w:w="991" w:type="dxa"/>
            <w:tcBorders>
              <w:top w:val="single" w:sz="4" w:space="0" w:color="auto"/>
              <w:left w:val="nil"/>
              <w:bottom w:val="single" w:sz="4" w:space="0" w:color="auto"/>
              <w:right w:val="nil"/>
            </w:tcBorders>
            <w:shd w:val="clear" w:color="000000" w:fill="6B2976"/>
            <w:noWrap/>
            <w:vAlign w:val="center"/>
            <w:hideMark/>
          </w:tcPr>
          <w:p w14:paraId="28412A4F" w14:textId="77777777" w:rsidR="00CF6AA7" w:rsidRPr="00304672" w:rsidRDefault="00CF6AA7" w:rsidP="00252EAF">
            <w:pPr>
              <w:spacing w:after="0" w:line="240" w:lineRule="auto"/>
              <w:jc w:val="right"/>
              <w:rPr>
                <w:rFonts w:eastAsia="Times New Roman" w:cs="Arial"/>
                <w:b/>
                <w:color w:val="FFFFFF"/>
                <w:sz w:val="16"/>
                <w:szCs w:val="16"/>
                <w:lang w:eastAsia="en-AU"/>
              </w:rPr>
            </w:pPr>
            <w:r w:rsidRPr="00304672">
              <w:rPr>
                <w:rFonts w:eastAsia="Times New Roman" w:cs="Arial"/>
                <w:b/>
                <w:color w:val="FFFFFF"/>
                <w:sz w:val="16"/>
                <w:szCs w:val="16"/>
                <w:lang w:eastAsia="en-AU"/>
              </w:rPr>
              <w:t>2017-18</w:t>
            </w:r>
          </w:p>
        </w:tc>
        <w:tc>
          <w:tcPr>
            <w:tcW w:w="851" w:type="dxa"/>
            <w:tcBorders>
              <w:top w:val="single" w:sz="4" w:space="0" w:color="auto"/>
              <w:left w:val="nil"/>
              <w:bottom w:val="single" w:sz="4" w:space="0" w:color="auto"/>
              <w:right w:val="nil"/>
            </w:tcBorders>
            <w:shd w:val="clear" w:color="000000" w:fill="6B2976"/>
            <w:noWrap/>
            <w:vAlign w:val="center"/>
            <w:hideMark/>
          </w:tcPr>
          <w:p w14:paraId="6700E2CD" w14:textId="77777777" w:rsidR="00CF6AA7" w:rsidRPr="00304672" w:rsidRDefault="00CF6AA7" w:rsidP="00252EAF">
            <w:pPr>
              <w:spacing w:after="0" w:line="240" w:lineRule="auto"/>
              <w:jc w:val="right"/>
              <w:rPr>
                <w:rFonts w:eastAsia="Times New Roman" w:cs="Arial"/>
                <w:b/>
                <w:color w:val="FFFFFF"/>
                <w:sz w:val="16"/>
                <w:szCs w:val="16"/>
                <w:lang w:eastAsia="en-AU"/>
              </w:rPr>
            </w:pPr>
            <w:r w:rsidRPr="00304672">
              <w:rPr>
                <w:rFonts w:eastAsia="Times New Roman" w:cs="Arial"/>
                <w:b/>
                <w:color w:val="FFFFFF"/>
                <w:sz w:val="16"/>
                <w:szCs w:val="16"/>
                <w:lang w:eastAsia="en-AU"/>
              </w:rPr>
              <w:t>2018-19</w:t>
            </w:r>
          </w:p>
        </w:tc>
        <w:tc>
          <w:tcPr>
            <w:tcW w:w="850" w:type="dxa"/>
            <w:tcBorders>
              <w:top w:val="single" w:sz="4" w:space="0" w:color="auto"/>
              <w:left w:val="nil"/>
              <w:bottom w:val="single" w:sz="4" w:space="0" w:color="auto"/>
              <w:right w:val="nil"/>
            </w:tcBorders>
            <w:shd w:val="clear" w:color="000000" w:fill="6B2976"/>
            <w:noWrap/>
            <w:vAlign w:val="center"/>
            <w:hideMark/>
          </w:tcPr>
          <w:p w14:paraId="2809C4F7" w14:textId="77777777" w:rsidR="00CF6AA7" w:rsidRPr="00304672" w:rsidRDefault="00CF6AA7" w:rsidP="00252EAF">
            <w:pPr>
              <w:spacing w:after="0" w:line="240" w:lineRule="auto"/>
              <w:jc w:val="right"/>
              <w:rPr>
                <w:rFonts w:eastAsia="Times New Roman" w:cs="Arial"/>
                <w:b/>
                <w:color w:val="FFFFFF"/>
                <w:sz w:val="16"/>
                <w:szCs w:val="16"/>
                <w:lang w:eastAsia="en-AU"/>
              </w:rPr>
            </w:pPr>
            <w:r w:rsidRPr="00304672">
              <w:rPr>
                <w:rFonts w:eastAsia="Times New Roman" w:cs="Arial"/>
                <w:b/>
                <w:color w:val="FFFFFF"/>
                <w:sz w:val="16"/>
                <w:szCs w:val="16"/>
                <w:lang w:eastAsia="en-AU"/>
              </w:rPr>
              <w:t>2019-20</w:t>
            </w:r>
          </w:p>
        </w:tc>
        <w:tc>
          <w:tcPr>
            <w:tcW w:w="851" w:type="dxa"/>
            <w:tcBorders>
              <w:top w:val="single" w:sz="4" w:space="0" w:color="auto"/>
              <w:left w:val="nil"/>
              <w:bottom w:val="single" w:sz="4" w:space="0" w:color="auto"/>
              <w:right w:val="single" w:sz="4" w:space="0" w:color="auto"/>
            </w:tcBorders>
            <w:shd w:val="clear" w:color="000000" w:fill="6B2976"/>
            <w:noWrap/>
            <w:vAlign w:val="center"/>
            <w:hideMark/>
          </w:tcPr>
          <w:p w14:paraId="19D60030" w14:textId="77777777" w:rsidR="00CF6AA7" w:rsidRPr="00304672" w:rsidRDefault="00CF6AA7" w:rsidP="00252EAF">
            <w:pPr>
              <w:spacing w:after="0" w:line="240" w:lineRule="auto"/>
              <w:jc w:val="right"/>
              <w:rPr>
                <w:rFonts w:eastAsia="Times New Roman" w:cs="Arial"/>
                <w:b/>
                <w:color w:val="FFFFFF"/>
                <w:sz w:val="16"/>
                <w:szCs w:val="16"/>
                <w:lang w:eastAsia="en-AU"/>
              </w:rPr>
            </w:pPr>
            <w:r w:rsidRPr="00304672">
              <w:rPr>
                <w:rFonts w:eastAsia="Times New Roman" w:cs="Arial"/>
                <w:b/>
                <w:color w:val="FFFFFF"/>
                <w:sz w:val="16"/>
                <w:szCs w:val="16"/>
                <w:lang w:eastAsia="en-AU"/>
              </w:rPr>
              <w:t>2020-21</w:t>
            </w:r>
          </w:p>
        </w:tc>
        <w:tc>
          <w:tcPr>
            <w:tcW w:w="850" w:type="dxa"/>
            <w:tcBorders>
              <w:top w:val="single" w:sz="4" w:space="0" w:color="auto"/>
              <w:left w:val="nil"/>
              <w:bottom w:val="single" w:sz="4" w:space="0" w:color="auto"/>
              <w:right w:val="single" w:sz="4" w:space="0" w:color="auto"/>
            </w:tcBorders>
            <w:shd w:val="clear" w:color="000000" w:fill="6B2976"/>
            <w:noWrap/>
            <w:vAlign w:val="center"/>
            <w:hideMark/>
          </w:tcPr>
          <w:p w14:paraId="41D1FDB7" w14:textId="77777777" w:rsidR="00CF6AA7" w:rsidRPr="00304672" w:rsidRDefault="00CF6AA7" w:rsidP="00252EAF">
            <w:pPr>
              <w:spacing w:after="0" w:line="240" w:lineRule="auto"/>
              <w:jc w:val="right"/>
              <w:rPr>
                <w:rFonts w:eastAsia="Times New Roman" w:cs="Arial"/>
                <w:b/>
                <w:color w:val="FFFFFF"/>
                <w:sz w:val="16"/>
                <w:szCs w:val="16"/>
                <w:lang w:eastAsia="en-AU"/>
              </w:rPr>
            </w:pPr>
            <w:r w:rsidRPr="00304672">
              <w:rPr>
                <w:rFonts w:eastAsia="Times New Roman" w:cs="Arial"/>
                <w:b/>
                <w:color w:val="FFFFFF"/>
                <w:sz w:val="16"/>
                <w:szCs w:val="16"/>
                <w:lang w:eastAsia="en-AU"/>
              </w:rPr>
              <w:t>2021-22</w:t>
            </w:r>
          </w:p>
        </w:tc>
        <w:tc>
          <w:tcPr>
            <w:tcW w:w="851" w:type="dxa"/>
            <w:tcBorders>
              <w:top w:val="single" w:sz="4" w:space="0" w:color="auto"/>
              <w:left w:val="nil"/>
              <w:bottom w:val="single" w:sz="4" w:space="0" w:color="auto"/>
              <w:right w:val="nil"/>
            </w:tcBorders>
            <w:shd w:val="clear" w:color="000000" w:fill="6B2976"/>
            <w:noWrap/>
            <w:vAlign w:val="center"/>
            <w:hideMark/>
          </w:tcPr>
          <w:p w14:paraId="2FFF2BE0" w14:textId="77777777" w:rsidR="00CF6AA7" w:rsidRPr="00304672" w:rsidRDefault="00CF6AA7" w:rsidP="00252EAF">
            <w:pPr>
              <w:spacing w:after="0" w:line="240" w:lineRule="auto"/>
              <w:jc w:val="right"/>
              <w:rPr>
                <w:rFonts w:eastAsia="Times New Roman" w:cs="Arial"/>
                <w:b/>
                <w:color w:val="FFFFFF"/>
                <w:sz w:val="16"/>
                <w:szCs w:val="16"/>
                <w:lang w:eastAsia="en-AU"/>
              </w:rPr>
            </w:pPr>
            <w:r w:rsidRPr="00304672">
              <w:rPr>
                <w:rFonts w:eastAsia="Times New Roman" w:cs="Arial"/>
                <w:b/>
                <w:color w:val="FFFFFF"/>
                <w:sz w:val="16"/>
                <w:szCs w:val="16"/>
                <w:lang w:eastAsia="en-AU"/>
              </w:rPr>
              <w:t>2022-23</w:t>
            </w:r>
          </w:p>
        </w:tc>
        <w:tc>
          <w:tcPr>
            <w:tcW w:w="850" w:type="dxa"/>
            <w:tcBorders>
              <w:top w:val="single" w:sz="4" w:space="0" w:color="auto"/>
              <w:left w:val="nil"/>
              <w:bottom w:val="single" w:sz="4" w:space="0" w:color="auto"/>
              <w:right w:val="nil"/>
            </w:tcBorders>
            <w:shd w:val="clear" w:color="000000" w:fill="6B2976"/>
            <w:noWrap/>
            <w:vAlign w:val="center"/>
            <w:hideMark/>
          </w:tcPr>
          <w:p w14:paraId="6B42F468" w14:textId="77777777" w:rsidR="00CF6AA7" w:rsidRPr="00304672" w:rsidRDefault="00CF6AA7" w:rsidP="00252EAF">
            <w:pPr>
              <w:spacing w:after="0" w:line="240" w:lineRule="auto"/>
              <w:jc w:val="right"/>
              <w:rPr>
                <w:rFonts w:eastAsia="Times New Roman" w:cs="Arial"/>
                <w:b/>
                <w:color w:val="FFFFFF"/>
                <w:sz w:val="16"/>
                <w:szCs w:val="16"/>
                <w:lang w:eastAsia="en-AU"/>
              </w:rPr>
            </w:pPr>
            <w:r w:rsidRPr="00304672">
              <w:rPr>
                <w:rFonts w:eastAsia="Times New Roman" w:cs="Arial"/>
                <w:b/>
                <w:color w:val="FFFFFF"/>
                <w:sz w:val="16"/>
                <w:szCs w:val="16"/>
                <w:lang w:eastAsia="en-AU"/>
              </w:rPr>
              <w:t>2023-24</w:t>
            </w:r>
          </w:p>
        </w:tc>
        <w:tc>
          <w:tcPr>
            <w:tcW w:w="851" w:type="dxa"/>
            <w:tcBorders>
              <w:top w:val="single" w:sz="4" w:space="0" w:color="auto"/>
              <w:left w:val="nil"/>
              <w:bottom w:val="single" w:sz="4" w:space="0" w:color="auto"/>
              <w:right w:val="nil"/>
            </w:tcBorders>
            <w:shd w:val="clear" w:color="000000" w:fill="6B2976"/>
            <w:noWrap/>
            <w:vAlign w:val="center"/>
            <w:hideMark/>
          </w:tcPr>
          <w:p w14:paraId="02A7374A" w14:textId="77777777" w:rsidR="00CF6AA7" w:rsidRPr="00304672" w:rsidRDefault="00CF6AA7" w:rsidP="00252EAF">
            <w:pPr>
              <w:spacing w:after="0" w:line="240" w:lineRule="auto"/>
              <w:jc w:val="right"/>
              <w:rPr>
                <w:rFonts w:eastAsia="Times New Roman" w:cs="Arial"/>
                <w:b/>
                <w:color w:val="FFFFFF"/>
                <w:sz w:val="16"/>
                <w:szCs w:val="16"/>
                <w:lang w:eastAsia="en-AU"/>
              </w:rPr>
            </w:pPr>
            <w:r w:rsidRPr="00304672">
              <w:rPr>
                <w:rFonts w:eastAsia="Times New Roman" w:cs="Arial"/>
                <w:b/>
                <w:color w:val="FFFFFF"/>
                <w:sz w:val="16"/>
                <w:szCs w:val="16"/>
                <w:lang w:eastAsia="en-AU"/>
              </w:rPr>
              <w:t>2024-25</w:t>
            </w:r>
          </w:p>
        </w:tc>
        <w:tc>
          <w:tcPr>
            <w:tcW w:w="851" w:type="dxa"/>
            <w:tcBorders>
              <w:top w:val="single" w:sz="4" w:space="0" w:color="auto"/>
              <w:left w:val="nil"/>
              <w:bottom w:val="single" w:sz="4" w:space="0" w:color="auto"/>
              <w:right w:val="single" w:sz="4" w:space="0" w:color="auto"/>
            </w:tcBorders>
            <w:shd w:val="clear" w:color="000000" w:fill="6B2976"/>
            <w:noWrap/>
            <w:vAlign w:val="center"/>
            <w:hideMark/>
          </w:tcPr>
          <w:p w14:paraId="6400CEF3" w14:textId="77777777" w:rsidR="00CF6AA7" w:rsidRPr="00304672" w:rsidRDefault="00CF6AA7" w:rsidP="00252EAF">
            <w:pPr>
              <w:spacing w:after="0" w:line="240" w:lineRule="auto"/>
              <w:jc w:val="right"/>
              <w:rPr>
                <w:rFonts w:eastAsia="Times New Roman" w:cs="Arial"/>
                <w:b/>
                <w:color w:val="FFFFFF"/>
                <w:sz w:val="16"/>
                <w:szCs w:val="16"/>
                <w:lang w:eastAsia="en-AU"/>
              </w:rPr>
            </w:pPr>
            <w:r w:rsidRPr="00304672">
              <w:rPr>
                <w:rFonts w:eastAsia="Times New Roman" w:cs="Arial"/>
                <w:b/>
                <w:color w:val="FFFFFF"/>
                <w:sz w:val="16"/>
                <w:szCs w:val="16"/>
                <w:lang w:eastAsia="en-AU"/>
              </w:rPr>
              <w:t>2025-26</w:t>
            </w:r>
          </w:p>
        </w:tc>
      </w:tr>
      <w:tr w:rsidR="00252EAF" w:rsidRPr="00304672" w14:paraId="3F70F1E6" w14:textId="77777777" w:rsidTr="00252EAF">
        <w:trPr>
          <w:trHeight w:val="301"/>
        </w:trPr>
        <w:tc>
          <w:tcPr>
            <w:tcW w:w="2978" w:type="dxa"/>
            <w:tcBorders>
              <w:top w:val="nil"/>
              <w:left w:val="single" w:sz="4" w:space="0" w:color="auto"/>
              <w:bottom w:val="single" w:sz="4" w:space="0" w:color="auto"/>
              <w:right w:val="nil"/>
            </w:tcBorders>
            <w:shd w:val="clear" w:color="000000" w:fill="D3C5D7"/>
            <w:noWrap/>
            <w:vAlign w:val="center"/>
            <w:hideMark/>
          </w:tcPr>
          <w:p w14:paraId="1AFD771E" w14:textId="77777777" w:rsidR="00CF6AA7" w:rsidRPr="00304672" w:rsidRDefault="00CF6AA7" w:rsidP="004C434C">
            <w:pPr>
              <w:spacing w:after="0" w:line="240" w:lineRule="auto"/>
              <w:rPr>
                <w:rFonts w:eastAsia="Times New Roman" w:cs="Arial"/>
                <w:b/>
                <w:color w:val="000000"/>
                <w:sz w:val="16"/>
                <w:szCs w:val="16"/>
                <w:lang w:eastAsia="en-AU"/>
              </w:rPr>
            </w:pPr>
            <w:r w:rsidRPr="00304672">
              <w:rPr>
                <w:rFonts w:eastAsia="Times New Roman" w:cs="Arial"/>
                <w:b/>
                <w:color w:val="000000"/>
                <w:sz w:val="16"/>
                <w:szCs w:val="16"/>
                <w:lang w:eastAsia="en-AU"/>
              </w:rPr>
              <w:t>PC estimates</w:t>
            </w:r>
          </w:p>
        </w:tc>
        <w:tc>
          <w:tcPr>
            <w:tcW w:w="991" w:type="dxa"/>
            <w:tcBorders>
              <w:top w:val="nil"/>
              <w:left w:val="nil"/>
              <w:bottom w:val="single" w:sz="4" w:space="0" w:color="auto"/>
              <w:right w:val="nil"/>
            </w:tcBorders>
            <w:shd w:val="clear" w:color="000000" w:fill="D3C5D7"/>
            <w:noWrap/>
            <w:vAlign w:val="center"/>
            <w:hideMark/>
          </w:tcPr>
          <w:p w14:paraId="08CF88A7" w14:textId="77777777" w:rsidR="00CF6AA7" w:rsidRPr="00304672" w:rsidRDefault="00CF6AA7" w:rsidP="00252EAF">
            <w:pPr>
              <w:spacing w:after="0" w:line="240" w:lineRule="auto"/>
              <w:jc w:val="right"/>
              <w:rPr>
                <w:rFonts w:eastAsia="Times New Roman" w:cs="Arial"/>
                <w:b/>
                <w:color w:val="000000"/>
                <w:sz w:val="16"/>
                <w:szCs w:val="16"/>
                <w:lang w:eastAsia="en-AU"/>
              </w:rPr>
            </w:pPr>
            <w:r w:rsidRPr="00304672">
              <w:rPr>
                <w:rFonts w:eastAsia="Times New Roman" w:cs="Arial"/>
                <w:b/>
                <w:color w:val="000000"/>
                <w:sz w:val="16"/>
                <w:szCs w:val="16"/>
                <w:lang w:eastAsia="en-AU"/>
              </w:rPr>
              <w:t> </w:t>
            </w:r>
          </w:p>
        </w:tc>
        <w:tc>
          <w:tcPr>
            <w:tcW w:w="851" w:type="dxa"/>
            <w:tcBorders>
              <w:top w:val="nil"/>
              <w:left w:val="nil"/>
              <w:bottom w:val="single" w:sz="4" w:space="0" w:color="auto"/>
              <w:right w:val="nil"/>
            </w:tcBorders>
            <w:shd w:val="clear" w:color="000000" w:fill="D3C5D7"/>
            <w:noWrap/>
            <w:vAlign w:val="center"/>
            <w:hideMark/>
          </w:tcPr>
          <w:p w14:paraId="1CBA1E7A" w14:textId="77777777" w:rsidR="00CF6AA7" w:rsidRPr="00304672" w:rsidRDefault="00CF6AA7" w:rsidP="00252EAF">
            <w:pPr>
              <w:spacing w:after="0" w:line="240" w:lineRule="auto"/>
              <w:jc w:val="right"/>
              <w:rPr>
                <w:rFonts w:eastAsia="Times New Roman" w:cs="Arial"/>
                <w:b/>
                <w:color w:val="000000"/>
                <w:sz w:val="16"/>
                <w:szCs w:val="16"/>
                <w:lang w:eastAsia="en-AU"/>
              </w:rPr>
            </w:pPr>
            <w:r w:rsidRPr="00304672">
              <w:rPr>
                <w:rFonts w:eastAsia="Times New Roman" w:cs="Arial"/>
                <w:b/>
                <w:color w:val="000000"/>
                <w:sz w:val="16"/>
                <w:szCs w:val="16"/>
                <w:lang w:eastAsia="en-AU"/>
              </w:rPr>
              <w:t> </w:t>
            </w:r>
          </w:p>
        </w:tc>
        <w:tc>
          <w:tcPr>
            <w:tcW w:w="850" w:type="dxa"/>
            <w:tcBorders>
              <w:top w:val="nil"/>
              <w:left w:val="nil"/>
              <w:bottom w:val="single" w:sz="4" w:space="0" w:color="auto"/>
              <w:right w:val="nil"/>
            </w:tcBorders>
            <w:shd w:val="clear" w:color="000000" w:fill="D3C5D7"/>
            <w:noWrap/>
            <w:vAlign w:val="center"/>
            <w:hideMark/>
          </w:tcPr>
          <w:p w14:paraId="2B2FDD74" w14:textId="77777777" w:rsidR="00CF6AA7" w:rsidRPr="00304672" w:rsidRDefault="00CF6AA7" w:rsidP="00252EAF">
            <w:pPr>
              <w:spacing w:after="0" w:line="240" w:lineRule="auto"/>
              <w:jc w:val="right"/>
              <w:rPr>
                <w:rFonts w:eastAsia="Times New Roman" w:cs="Arial"/>
                <w:b/>
                <w:color w:val="000000"/>
                <w:sz w:val="16"/>
                <w:szCs w:val="16"/>
                <w:lang w:eastAsia="en-AU"/>
              </w:rPr>
            </w:pPr>
            <w:r w:rsidRPr="00304672">
              <w:rPr>
                <w:rFonts w:eastAsia="Times New Roman" w:cs="Arial"/>
                <w:b/>
                <w:color w:val="000000"/>
                <w:sz w:val="16"/>
                <w:szCs w:val="16"/>
                <w:lang w:eastAsia="en-AU"/>
              </w:rPr>
              <w:t> </w:t>
            </w:r>
          </w:p>
        </w:tc>
        <w:tc>
          <w:tcPr>
            <w:tcW w:w="851" w:type="dxa"/>
            <w:tcBorders>
              <w:top w:val="nil"/>
              <w:left w:val="nil"/>
              <w:bottom w:val="single" w:sz="4" w:space="0" w:color="auto"/>
              <w:right w:val="single" w:sz="4" w:space="0" w:color="auto"/>
            </w:tcBorders>
            <w:shd w:val="clear" w:color="000000" w:fill="D3C5D7"/>
            <w:noWrap/>
            <w:vAlign w:val="center"/>
            <w:hideMark/>
          </w:tcPr>
          <w:p w14:paraId="664F6848" w14:textId="77777777" w:rsidR="00CF6AA7" w:rsidRPr="00304672" w:rsidRDefault="00CF6AA7" w:rsidP="00252EAF">
            <w:pPr>
              <w:spacing w:after="0" w:line="240" w:lineRule="auto"/>
              <w:jc w:val="right"/>
              <w:rPr>
                <w:rFonts w:eastAsia="Times New Roman" w:cs="Arial"/>
                <w:b/>
                <w:color w:val="000000"/>
                <w:sz w:val="16"/>
                <w:szCs w:val="16"/>
                <w:lang w:eastAsia="en-AU"/>
              </w:rPr>
            </w:pPr>
            <w:r w:rsidRPr="00304672">
              <w:rPr>
                <w:rFonts w:eastAsia="Times New Roman" w:cs="Arial"/>
                <w:b/>
                <w:color w:val="000000"/>
                <w:sz w:val="16"/>
                <w:szCs w:val="16"/>
                <w:lang w:eastAsia="en-AU"/>
              </w:rPr>
              <w:t> </w:t>
            </w:r>
          </w:p>
        </w:tc>
        <w:tc>
          <w:tcPr>
            <w:tcW w:w="850" w:type="dxa"/>
            <w:tcBorders>
              <w:top w:val="nil"/>
              <w:left w:val="nil"/>
              <w:bottom w:val="single" w:sz="4" w:space="0" w:color="auto"/>
              <w:right w:val="single" w:sz="4" w:space="0" w:color="auto"/>
            </w:tcBorders>
            <w:shd w:val="clear" w:color="000000" w:fill="D3C5D7"/>
            <w:noWrap/>
            <w:vAlign w:val="center"/>
            <w:hideMark/>
          </w:tcPr>
          <w:p w14:paraId="0F607464" w14:textId="77777777" w:rsidR="00CF6AA7" w:rsidRPr="00304672" w:rsidRDefault="00CF6AA7" w:rsidP="00252EAF">
            <w:pPr>
              <w:spacing w:after="0" w:line="240" w:lineRule="auto"/>
              <w:jc w:val="right"/>
              <w:rPr>
                <w:rFonts w:eastAsia="Times New Roman" w:cs="Arial"/>
                <w:b/>
                <w:color w:val="000000"/>
                <w:sz w:val="16"/>
                <w:szCs w:val="16"/>
                <w:lang w:eastAsia="en-AU"/>
              </w:rPr>
            </w:pPr>
            <w:r w:rsidRPr="00304672">
              <w:rPr>
                <w:rFonts w:eastAsia="Times New Roman" w:cs="Arial"/>
                <w:b/>
                <w:color w:val="000000"/>
                <w:sz w:val="16"/>
                <w:szCs w:val="16"/>
                <w:lang w:eastAsia="en-AU"/>
              </w:rPr>
              <w:t> </w:t>
            </w:r>
          </w:p>
        </w:tc>
        <w:tc>
          <w:tcPr>
            <w:tcW w:w="851" w:type="dxa"/>
            <w:tcBorders>
              <w:top w:val="nil"/>
              <w:left w:val="nil"/>
              <w:bottom w:val="single" w:sz="4" w:space="0" w:color="auto"/>
              <w:right w:val="nil"/>
            </w:tcBorders>
            <w:shd w:val="clear" w:color="000000" w:fill="D3C5D7"/>
            <w:noWrap/>
            <w:vAlign w:val="center"/>
            <w:hideMark/>
          </w:tcPr>
          <w:p w14:paraId="025DD8D4" w14:textId="77777777" w:rsidR="00CF6AA7" w:rsidRPr="00304672" w:rsidRDefault="00CF6AA7" w:rsidP="00252EAF">
            <w:pPr>
              <w:spacing w:after="0" w:line="240" w:lineRule="auto"/>
              <w:jc w:val="right"/>
              <w:rPr>
                <w:rFonts w:eastAsia="Times New Roman" w:cs="Arial"/>
                <w:b/>
                <w:color w:val="000000"/>
                <w:sz w:val="16"/>
                <w:szCs w:val="16"/>
                <w:lang w:eastAsia="en-AU"/>
              </w:rPr>
            </w:pPr>
            <w:r w:rsidRPr="00304672">
              <w:rPr>
                <w:rFonts w:eastAsia="Times New Roman" w:cs="Arial"/>
                <w:b/>
                <w:color w:val="000000"/>
                <w:sz w:val="16"/>
                <w:szCs w:val="16"/>
                <w:lang w:eastAsia="en-AU"/>
              </w:rPr>
              <w:t> </w:t>
            </w:r>
          </w:p>
        </w:tc>
        <w:tc>
          <w:tcPr>
            <w:tcW w:w="850" w:type="dxa"/>
            <w:tcBorders>
              <w:top w:val="nil"/>
              <w:left w:val="nil"/>
              <w:bottom w:val="single" w:sz="4" w:space="0" w:color="auto"/>
              <w:right w:val="nil"/>
            </w:tcBorders>
            <w:shd w:val="clear" w:color="000000" w:fill="D3C5D7"/>
            <w:noWrap/>
            <w:vAlign w:val="center"/>
            <w:hideMark/>
          </w:tcPr>
          <w:p w14:paraId="6553EED7" w14:textId="77777777" w:rsidR="00CF6AA7" w:rsidRPr="00304672" w:rsidRDefault="00CF6AA7" w:rsidP="00252EAF">
            <w:pPr>
              <w:spacing w:after="0" w:line="240" w:lineRule="auto"/>
              <w:jc w:val="right"/>
              <w:rPr>
                <w:rFonts w:eastAsia="Times New Roman" w:cs="Arial"/>
                <w:b/>
                <w:color w:val="000000"/>
                <w:sz w:val="16"/>
                <w:szCs w:val="16"/>
                <w:lang w:eastAsia="en-AU"/>
              </w:rPr>
            </w:pPr>
            <w:r w:rsidRPr="00304672">
              <w:rPr>
                <w:rFonts w:eastAsia="Times New Roman" w:cs="Arial"/>
                <w:b/>
                <w:color w:val="000000"/>
                <w:sz w:val="16"/>
                <w:szCs w:val="16"/>
                <w:lang w:eastAsia="en-AU"/>
              </w:rPr>
              <w:t> </w:t>
            </w:r>
          </w:p>
        </w:tc>
        <w:tc>
          <w:tcPr>
            <w:tcW w:w="851" w:type="dxa"/>
            <w:tcBorders>
              <w:top w:val="nil"/>
              <w:left w:val="nil"/>
              <w:bottom w:val="single" w:sz="4" w:space="0" w:color="auto"/>
              <w:right w:val="nil"/>
            </w:tcBorders>
            <w:shd w:val="clear" w:color="000000" w:fill="D3C5D7"/>
            <w:noWrap/>
            <w:vAlign w:val="center"/>
            <w:hideMark/>
          </w:tcPr>
          <w:p w14:paraId="5FFEA64B" w14:textId="77777777" w:rsidR="00CF6AA7" w:rsidRPr="00304672" w:rsidRDefault="00CF6AA7" w:rsidP="00252EAF">
            <w:pPr>
              <w:spacing w:after="0" w:line="240" w:lineRule="auto"/>
              <w:jc w:val="right"/>
              <w:rPr>
                <w:rFonts w:eastAsia="Times New Roman" w:cs="Arial"/>
                <w:b/>
                <w:color w:val="000000"/>
                <w:sz w:val="16"/>
                <w:szCs w:val="16"/>
                <w:lang w:eastAsia="en-AU"/>
              </w:rPr>
            </w:pPr>
            <w:r w:rsidRPr="00304672">
              <w:rPr>
                <w:rFonts w:eastAsia="Times New Roman" w:cs="Arial"/>
                <w:b/>
                <w:color w:val="000000"/>
                <w:sz w:val="16"/>
                <w:szCs w:val="16"/>
                <w:lang w:eastAsia="en-AU"/>
              </w:rPr>
              <w:t> </w:t>
            </w:r>
          </w:p>
        </w:tc>
        <w:tc>
          <w:tcPr>
            <w:tcW w:w="851" w:type="dxa"/>
            <w:tcBorders>
              <w:top w:val="nil"/>
              <w:left w:val="nil"/>
              <w:bottom w:val="single" w:sz="4" w:space="0" w:color="auto"/>
              <w:right w:val="single" w:sz="4" w:space="0" w:color="auto"/>
            </w:tcBorders>
            <w:shd w:val="clear" w:color="000000" w:fill="D3C5D7"/>
            <w:noWrap/>
            <w:vAlign w:val="center"/>
            <w:hideMark/>
          </w:tcPr>
          <w:p w14:paraId="473E6336" w14:textId="77777777" w:rsidR="00CF6AA7" w:rsidRPr="00304672" w:rsidRDefault="00CF6AA7" w:rsidP="00252EAF">
            <w:pPr>
              <w:spacing w:after="0" w:line="240" w:lineRule="auto"/>
              <w:jc w:val="right"/>
              <w:rPr>
                <w:rFonts w:eastAsia="Times New Roman" w:cs="Arial"/>
                <w:b/>
                <w:color w:val="000000"/>
                <w:sz w:val="16"/>
                <w:szCs w:val="16"/>
                <w:lang w:eastAsia="en-AU"/>
              </w:rPr>
            </w:pPr>
            <w:r w:rsidRPr="00304672">
              <w:rPr>
                <w:rFonts w:eastAsia="Times New Roman" w:cs="Arial"/>
                <w:b/>
                <w:color w:val="000000"/>
                <w:sz w:val="16"/>
                <w:szCs w:val="16"/>
                <w:lang w:eastAsia="en-AU"/>
              </w:rPr>
              <w:t> </w:t>
            </w:r>
          </w:p>
        </w:tc>
      </w:tr>
      <w:tr w:rsidR="00304672" w:rsidRPr="00304672" w14:paraId="01345375" w14:textId="77777777" w:rsidTr="00252EAF">
        <w:trPr>
          <w:trHeight w:val="301"/>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14:paraId="6AFCD1E1" w14:textId="77777777" w:rsidR="00304672" w:rsidRPr="00304672" w:rsidRDefault="00304672" w:rsidP="00304672">
            <w:pPr>
              <w:spacing w:after="0" w:line="240" w:lineRule="auto"/>
              <w:rPr>
                <w:rFonts w:eastAsia="Times New Roman" w:cs="Arial"/>
                <w:color w:val="000000"/>
                <w:sz w:val="16"/>
                <w:szCs w:val="16"/>
                <w:lang w:eastAsia="en-AU"/>
              </w:rPr>
            </w:pPr>
            <w:r w:rsidRPr="00304672">
              <w:rPr>
                <w:rFonts w:eastAsia="Times New Roman" w:cs="Arial"/>
                <w:color w:val="000000"/>
                <w:sz w:val="16"/>
                <w:szCs w:val="16"/>
                <w:lang w:eastAsia="en-AU"/>
              </w:rPr>
              <w:t>2017 Productivity Commission Estimates</w:t>
            </w:r>
          </w:p>
        </w:tc>
        <w:tc>
          <w:tcPr>
            <w:tcW w:w="991" w:type="dxa"/>
            <w:tcBorders>
              <w:top w:val="nil"/>
              <w:left w:val="nil"/>
              <w:bottom w:val="single" w:sz="4" w:space="0" w:color="auto"/>
              <w:right w:val="nil"/>
            </w:tcBorders>
            <w:shd w:val="clear" w:color="auto" w:fill="auto"/>
            <w:noWrap/>
            <w:vAlign w:val="center"/>
            <w:hideMark/>
          </w:tcPr>
          <w:p w14:paraId="000C8FF7"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39,900</w:t>
            </w:r>
          </w:p>
        </w:tc>
        <w:tc>
          <w:tcPr>
            <w:tcW w:w="851" w:type="dxa"/>
            <w:tcBorders>
              <w:top w:val="nil"/>
              <w:left w:val="nil"/>
              <w:bottom w:val="single" w:sz="4" w:space="0" w:color="auto"/>
              <w:right w:val="nil"/>
            </w:tcBorders>
            <w:shd w:val="clear" w:color="auto" w:fill="auto"/>
            <w:noWrap/>
            <w:vAlign w:val="center"/>
            <w:hideMark/>
          </w:tcPr>
          <w:p w14:paraId="7CFBA781"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41,300</w:t>
            </w:r>
          </w:p>
        </w:tc>
        <w:tc>
          <w:tcPr>
            <w:tcW w:w="850" w:type="dxa"/>
            <w:tcBorders>
              <w:top w:val="nil"/>
              <w:left w:val="nil"/>
              <w:bottom w:val="single" w:sz="4" w:space="0" w:color="auto"/>
              <w:right w:val="nil"/>
            </w:tcBorders>
            <w:shd w:val="clear" w:color="auto" w:fill="auto"/>
            <w:noWrap/>
            <w:vAlign w:val="center"/>
            <w:hideMark/>
          </w:tcPr>
          <w:p w14:paraId="5D560995"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45,100</w:t>
            </w:r>
          </w:p>
        </w:tc>
        <w:tc>
          <w:tcPr>
            <w:tcW w:w="851" w:type="dxa"/>
            <w:tcBorders>
              <w:top w:val="nil"/>
              <w:left w:val="nil"/>
              <w:bottom w:val="single" w:sz="4" w:space="0" w:color="auto"/>
              <w:right w:val="single" w:sz="4" w:space="0" w:color="auto"/>
            </w:tcBorders>
            <w:shd w:val="clear" w:color="auto" w:fill="auto"/>
            <w:noWrap/>
            <w:vAlign w:val="center"/>
            <w:hideMark/>
          </w:tcPr>
          <w:p w14:paraId="48BA7B36"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46,400</w:t>
            </w:r>
          </w:p>
        </w:tc>
        <w:tc>
          <w:tcPr>
            <w:tcW w:w="850" w:type="dxa"/>
            <w:tcBorders>
              <w:top w:val="nil"/>
              <w:left w:val="nil"/>
              <w:bottom w:val="single" w:sz="4" w:space="0" w:color="auto"/>
              <w:right w:val="single" w:sz="4" w:space="0" w:color="auto"/>
            </w:tcBorders>
            <w:shd w:val="clear" w:color="auto" w:fill="auto"/>
            <w:noWrap/>
            <w:vAlign w:val="center"/>
            <w:hideMark/>
          </w:tcPr>
          <w:p w14:paraId="3515978A"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48,200</w:t>
            </w:r>
          </w:p>
        </w:tc>
        <w:tc>
          <w:tcPr>
            <w:tcW w:w="851" w:type="dxa"/>
            <w:tcBorders>
              <w:top w:val="nil"/>
              <w:left w:val="nil"/>
              <w:bottom w:val="single" w:sz="4" w:space="0" w:color="auto"/>
              <w:right w:val="nil"/>
            </w:tcBorders>
            <w:shd w:val="clear" w:color="auto" w:fill="auto"/>
            <w:noWrap/>
            <w:vAlign w:val="center"/>
            <w:hideMark/>
          </w:tcPr>
          <w:p w14:paraId="18636991"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50,100</w:t>
            </w:r>
          </w:p>
        </w:tc>
        <w:tc>
          <w:tcPr>
            <w:tcW w:w="850" w:type="dxa"/>
            <w:tcBorders>
              <w:top w:val="nil"/>
              <w:left w:val="nil"/>
              <w:bottom w:val="single" w:sz="4" w:space="0" w:color="auto"/>
              <w:right w:val="nil"/>
            </w:tcBorders>
            <w:shd w:val="clear" w:color="auto" w:fill="auto"/>
            <w:noWrap/>
            <w:vAlign w:val="center"/>
            <w:hideMark/>
          </w:tcPr>
          <w:p w14:paraId="38D5B0C0"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52,100</w:t>
            </w:r>
          </w:p>
        </w:tc>
        <w:tc>
          <w:tcPr>
            <w:tcW w:w="851" w:type="dxa"/>
            <w:tcBorders>
              <w:top w:val="nil"/>
              <w:left w:val="nil"/>
              <w:bottom w:val="single" w:sz="4" w:space="0" w:color="auto"/>
              <w:right w:val="nil"/>
            </w:tcBorders>
            <w:shd w:val="clear" w:color="auto" w:fill="auto"/>
            <w:noWrap/>
            <w:vAlign w:val="center"/>
            <w:hideMark/>
          </w:tcPr>
          <w:p w14:paraId="78EA7DC1"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54,100</w:t>
            </w:r>
          </w:p>
        </w:tc>
        <w:tc>
          <w:tcPr>
            <w:tcW w:w="851" w:type="dxa"/>
            <w:tcBorders>
              <w:top w:val="nil"/>
              <w:left w:val="nil"/>
              <w:bottom w:val="single" w:sz="4" w:space="0" w:color="auto"/>
              <w:right w:val="single" w:sz="4" w:space="0" w:color="auto"/>
            </w:tcBorders>
            <w:shd w:val="clear" w:color="auto" w:fill="auto"/>
            <w:noWrap/>
            <w:vAlign w:val="center"/>
            <w:hideMark/>
          </w:tcPr>
          <w:p w14:paraId="56E7444E"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56,400</w:t>
            </w:r>
          </w:p>
        </w:tc>
      </w:tr>
      <w:tr w:rsidR="00304672" w:rsidRPr="00304672" w14:paraId="526E90F3" w14:textId="77777777" w:rsidTr="00252EAF">
        <w:trPr>
          <w:trHeight w:val="301"/>
        </w:trPr>
        <w:tc>
          <w:tcPr>
            <w:tcW w:w="2978" w:type="dxa"/>
            <w:tcBorders>
              <w:top w:val="nil"/>
              <w:left w:val="single" w:sz="4" w:space="0" w:color="auto"/>
              <w:bottom w:val="single" w:sz="4" w:space="0" w:color="auto"/>
              <w:right w:val="single" w:sz="4" w:space="0" w:color="auto"/>
            </w:tcBorders>
            <w:shd w:val="clear" w:color="auto" w:fill="auto"/>
            <w:vAlign w:val="center"/>
            <w:hideMark/>
          </w:tcPr>
          <w:p w14:paraId="4F72714A" w14:textId="77777777" w:rsidR="00304672" w:rsidRPr="00304672" w:rsidRDefault="00304672" w:rsidP="00304672">
            <w:pPr>
              <w:spacing w:after="0" w:line="240" w:lineRule="auto"/>
              <w:rPr>
                <w:rFonts w:eastAsia="Times New Roman" w:cs="Arial"/>
                <w:color w:val="000000"/>
                <w:sz w:val="16"/>
                <w:szCs w:val="16"/>
                <w:lang w:eastAsia="en-AU"/>
              </w:rPr>
            </w:pPr>
            <w:r w:rsidRPr="00304672">
              <w:rPr>
                <w:rFonts w:eastAsia="Times New Roman" w:cs="Arial"/>
                <w:color w:val="000000"/>
                <w:sz w:val="16"/>
                <w:szCs w:val="16"/>
                <w:lang w:eastAsia="en-AU"/>
              </w:rPr>
              <w:t xml:space="preserve">2017 Productivity Commission Estimates (including unanticipated </w:t>
            </w:r>
            <w:r w:rsidR="0061785D">
              <w:rPr>
                <w:rFonts w:eastAsia="Times New Roman" w:cs="Arial"/>
                <w:color w:val="000000"/>
                <w:sz w:val="16"/>
                <w:szCs w:val="16"/>
                <w:lang w:eastAsia="en-AU"/>
              </w:rPr>
              <w:t>expense</w:t>
            </w:r>
            <w:r w:rsidRPr="00304672">
              <w:rPr>
                <w:rFonts w:eastAsia="Times New Roman" w:cs="Arial"/>
                <w:color w:val="000000"/>
                <w:sz w:val="16"/>
                <w:szCs w:val="16"/>
                <w:lang w:eastAsia="en-AU"/>
              </w:rPr>
              <w:t>s)</w:t>
            </w:r>
          </w:p>
        </w:tc>
        <w:tc>
          <w:tcPr>
            <w:tcW w:w="991" w:type="dxa"/>
            <w:tcBorders>
              <w:top w:val="nil"/>
              <w:left w:val="nil"/>
              <w:bottom w:val="single" w:sz="4" w:space="0" w:color="auto"/>
              <w:right w:val="nil"/>
            </w:tcBorders>
            <w:shd w:val="clear" w:color="000000" w:fill="BFBFBF"/>
            <w:noWrap/>
            <w:vAlign w:val="center"/>
            <w:hideMark/>
          </w:tcPr>
          <w:p w14:paraId="74711027"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nil"/>
            </w:tcBorders>
            <w:shd w:val="clear" w:color="000000" w:fill="BFBFBF"/>
            <w:noWrap/>
            <w:vAlign w:val="center"/>
            <w:hideMark/>
          </w:tcPr>
          <w:p w14:paraId="30859F88"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0" w:type="dxa"/>
            <w:tcBorders>
              <w:top w:val="nil"/>
              <w:left w:val="nil"/>
              <w:bottom w:val="single" w:sz="4" w:space="0" w:color="auto"/>
              <w:right w:val="nil"/>
            </w:tcBorders>
            <w:shd w:val="clear" w:color="auto" w:fill="auto"/>
            <w:noWrap/>
            <w:vAlign w:val="center"/>
            <w:hideMark/>
          </w:tcPr>
          <w:p w14:paraId="1145E586"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47,500</w:t>
            </w:r>
          </w:p>
        </w:tc>
        <w:tc>
          <w:tcPr>
            <w:tcW w:w="851" w:type="dxa"/>
            <w:tcBorders>
              <w:top w:val="nil"/>
              <w:left w:val="nil"/>
              <w:bottom w:val="single" w:sz="4" w:space="0" w:color="auto"/>
              <w:right w:val="single" w:sz="4" w:space="0" w:color="auto"/>
            </w:tcBorders>
            <w:shd w:val="clear" w:color="auto" w:fill="auto"/>
            <w:noWrap/>
            <w:vAlign w:val="center"/>
            <w:hideMark/>
          </w:tcPr>
          <w:p w14:paraId="4182F33C"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49,500</w:t>
            </w:r>
          </w:p>
        </w:tc>
        <w:tc>
          <w:tcPr>
            <w:tcW w:w="850" w:type="dxa"/>
            <w:tcBorders>
              <w:top w:val="nil"/>
              <w:left w:val="nil"/>
              <w:bottom w:val="single" w:sz="4" w:space="0" w:color="auto"/>
              <w:right w:val="single" w:sz="4" w:space="0" w:color="auto"/>
            </w:tcBorders>
            <w:shd w:val="clear" w:color="auto" w:fill="auto"/>
            <w:noWrap/>
            <w:vAlign w:val="center"/>
            <w:hideMark/>
          </w:tcPr>
          <w:p w14:paraId="57BA2F6B"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51,900</w:t>
            </w:r>
          </w:p>
        </w:tc>
        <w:tc>
          <w:tcPr>
            <w:tcW w:w="851" w:type="dxa"/>
            <w:tcBorders>
              <w:top w:val="nil"/>
              <w:left w:val="nil"/>
              <w:bottom w:val="single" w:sz="4" w:space="0" w:color="auto"/>
              <w:right w:val="nil"/>
            </w:tcBorders>
            <w:shd w:val="clear" w:color="auto" w:fill="auto"/>
            <w:noWrap/>
            <w:vAlign w:val="center"/>
            <w:hideMark/>
          </w:tcPr>
          <w:p w14:paraId="1CBA07EC"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54,100</w:t>
            </w:r>
          </w:p>
        </w:tc>
        <w:tc>
          <w:tcPr>
            <w:tcW w:w="850" w:type="dxa"/>
            <w:tcBorders>
              <w:top w:val="nil"/>
              <w:left w:val="nil"/>
              <w:bottom w:val="single" w:sz="4" w:space="0" w:color="auto"/>
              <w:right w:val="nil"/>
            </w:tcBorders>
            <w:shd w:val="clear" w:color="auto" w:fill="auto"/>
            <w:noWrap/>
            <w:vAlign w:val="center"/>
            <w:hideMark/>
          </w:tcPr>
          <w:p w14:paraId="27CE995D"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56,300</w:t>
            </w:r>
          </w:p>
        </w:tc>
        <w:tc>
          <w:tcPr>
            <w:tcW w:w="851" w:type="dxa"/>
            <w:tcBorders>
              <w:top w:val="nil"/>
              <w:left w:val="nil"/>
              <w:bottom w:val="single" w:sz="4" w:space="0" w:color="auto"/>
              <w:right w:val="nil"/>
            </w:tcBorders>
            <w:shd w:val="clear" w:color="auto" w:fill="auto"/>
            <w:noWrap/>
            <w:vAlign w:val="center"/>
            <w:hideMark/>
          </w:tcPr>
          <w:p w14:paraId="3BDE5A34"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58,500</w:t>
            </w:r>
          </w:p>
        </w:tc>
        <w:tc>
          <w:tcPr>
            <w:tcW w:w="851" w:type="dxa"/>
            <w:tcBorders>
              <w:top w:val="nil"/>
              <w:left w:val="nil"/>
              <w:bottom w:val="single" w:sz="4" w:space="0" w:color="auto"/>
              <w:right w:val="single" w:sz="4" w:space="0" w:color="auto"/>
            </w:tcBorders>
            <w:shd w:val="clear" w:color="auto" w:fill="auto"/>
            <w:noWrap/>
            <w:vAlign w:val="center"/>
            <w:hideMark/>
          </w:tcPr>
          <w:p w14:paraId="5C37596D"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60,900</w:t>
            </w:r>
          </w:p>
        </w:tc>
      </w:tr>
      <w:tr w:rsidR="00252EAF" w:rsidRPr="00304672" w14:paraId="47D7162B" w14:textId="77777777" w:rsidTr="00252EAF">
        <w:trPr>
          <w:trHeight w:val="301"/>
        </w:trPr>
        <w:tc>
          <w:tcPr>
            <w:tcW w:w="2978" w:type="dxa"/>
            <w:tcBorders>
              <w:top w:val="nil"/>
              <w:left w:val="single" w:sz="4" w:space="0" w:color="auto"/>
              <w:bottom w:val="single" w:sz="4" w:space="0" w:color="auto"/>
              <w:right w:val="nil"/>
            </w:tcBorders>
            <w:shd w:val="clear" w:color="000000" w:fill="D3C5D7"/>
            <w:noWrap/>
            <w:vAlign w:val="center"/>
            <w:hideMark/>
          </w:tcPr>
          <w:p w14:paraId="76BB98C2" w14:textId="77777777" w:rsidR="00304672" w:rsidRPr="00304672" w:rsidRDefault="00304672" w:rsidP="00304672">
            <w:pPr>
              <w:spacing w:after="0" w:line="240" w:lineRule="auto"/>
              <w:rPr>
                <w:rFonts w:eastAsia="Times New Roman" w:cs="Arial"/>
                <w:b/>
                <w:color w:val="000000"/>
                <w:sz w:val="16"/>
                <w:szCs w:val="16"/>
                <w:lang w:eastAsia="en-AU"/>
              </w:rPr>
            </w:pPr>
            <w:r w:rsidRPr="00304672">
              <w:rPr>
                <w:rFonts w:eastAsia="Times New Roman" w:cs="Arial"/>
                <w:b/>
                <w:color w:val="000000"/>
                <w:sz w:val="16"/>
                <w:szCs w:val="16"/>
                <w:lang w:eastAsia="en-AU"/>
              </w:rPr>
              <w:t>AFSR</w:t>
            </w:r>
          </w:p>
        </w:tc>
        <w:tc>
          <w:tcPr>
            <w:tcW w:w="991" w:type="dxa"/>
            <w:tcBorders>
              <w:top w:val="nil"/>
              <w:left w:val="nil"/>
              <w:bottom w:val="single" w:sz="4" w:space="0" w:color="auto"/>
              <w:right w:val="nil"/>
            </w:tcBorders>
            <w:shd w:val="clear" w:color="000000" w:fill="D3C5D7"/>
            <w:noWrap/>
            <w:vAlign w:val="center"/>
            <w:hideMark/>
          </w:tcPr>
          <w:p w14:paraId="15E04C8E" w14:textId="77777777" w:rsidR="00304672" w:rsidRPr="00304672" w:rsidRDefault="00304672" w:rsidP="00252EAF">
            <w:pPr>
              <w:spacing w:after="0" w:line="240" w:lineRule="auto"/>
              <w:jc w:val="right"/>
              <w:rPr>
                <w:rFonts w:eastAsia="Times New Roman" w:cs="Arial"/>
                <w:b/>
                <w:color w:val="000000"/>
                <w:sz w:val="16"/>
                <w:szCs w:val="16"/>
                <w:lang w:eastAsia="en-AU"/>
              </w:rPr>
            </w:pPr>
          </w:p>
        </w:tc>
        <w:tc>
          <w:tcPr>
            <w:tcW w:w="851" w:type="dxa"/>
            <w:tcBorders>
              <w:top w:val="nil"/>
              <w:left w:val="nil"/>
              <w:bottom w:val="single" w:sz="4" w:space="0" w:color="auto"/>
              <w:right w:val="nil"/>
            </w:tcBorders>
            <w:shd w:val="clear" w:color="000000" w:fill="D3C5D7"/>
            <w:noWrap/>
            <w:vAlign w:val="center"/>
            <w:hideMark/>
          </w:tcPr>
          <w:p w14:paraId="58E5A3A6" w14:textId="77777777" w:rsidR="00304672" w:rsidRPr="00304672" w:rsidRDefault="00304672" w:rsidP="00252EAF">
            <w:pPr>
              <w:spacing w:after="0" w:line="240" w:lineRule="auto"/>
              <w:jc w:val="right"/>
              <w:rPr>
                <w:rFonts w:eastAsia="Times New Roman" w:cs="Arial"/>
                <w:b/>
                <w:color w:val="000000"/>
                <w:sz w:val="16"/>
                <w:szCs w:val="16"/>
                <w:lang w:eastAsia="en-AU"/>
              </w:rPr>
            </w:pPr>
          </w:p>
        </w:tc>
        <w:tc>
          <w:tcPr>
            <w:tcW w:w="850" w:type="dxa"/>
            <w:tcBorders>
              <w:top w:val="nil"/>
              <w:left w:val="nil"/>
              <w:bottom w:val="single" w:sz="4" w:space="0" w:color="auto"/>
              <w:right w:val="nil"/>
            </w:tcBorders>
            <w:shd w:val="clear" w:color="000000" w:fill="D3C5D7"/>
            <w:noWrap/>
            <w:vAlign w:val="center"/>
            <w:hideMark/>
          </w:tcPr>
          <w:p w14:paraId="7CC3FCC1" w14:textId="77777777" w:rsidR="00304672" w:rsidRPr="00304672" w:rsidRDefault="00304672" w:rsidP="00252EAF">
            <w:pPr>
              <w:spacing w:after="0" w:line="240" w:lineRule="auto"/>
              <w:jc w:val="right"/>
              <w:rPr>
                <w:rFonts w:eastAsia="Times New Roman" w:cs="Arial"/>
                <w:b/>
                <w:color w:val="000000"/>
                <w:sz w:val="16"/>
                <w:szCs w:val="16"/>
                <w:lang w:eastAsia="en-AU"/>
              </w:rPr>
            </w:pPr>
          </w:p>
        </w:tc>
        <w:tc>
          <w:tcPr>
            <w:tcW w:w="851" w:type="dxa"/>
            <w:tcBorders>
              <w:top w:val="nil"/>
              <w:left w:val="nil"/>
              <w:bottom w:val="single" w:sz="4" w:space="0" w:color="auto"/>
              <w:right w:val="single" w:sz="4" w:space="0" w:color="auto"/>
            </w:tcBorders>
            <w:shd w:val="clear" w:color="000000" w:fill="D3C5D7"/>
            <w:noWrap/>
            <w:vAlign w:val="center"/>
            <w:hideMark/>
          </w:tcPr>
          <w:p w14:paraId="05C47612" w14:textId="77777777" w:rsidR="00304672" w:rsidRPr="00304672" w:rsidRDefault="00304672" w:rsidP="00252EAF">
            <w:pPr>
              <w:spacing w:after="0" w:line="240" w:lineRule="auto"/>
              <w:jc w:val="right"/>
              <w:rPr>
                <w:rFonts w:eastAsia="Times New Roman" w:cs="Arial"/>
                <w:b/>
                <w:color w:val="000000"/>
                <w:sz w:val="16"/>
                <w:szCs w:val="16"/>
                <w:lang w:eastAsia="en-AU"/>
              </w:rPr>
            </w:pPr>
          </w:p>
        </w:tc>
        <w:tc>
          <w:tcPr>
            <w:tcW w:w="850" w:type="dxa"/>
            <w:tcBorders>
              <w:top w:val="nil"/>
              <w:left w:val="nil"/>
              <w:bottom w:val="single" w:sz="4" w:space="0" w:color="auto"/>
              <w:right w:val="single" w:sz="4" w:space="0" w:color="auto"/>
            </w:tcBorders>
            <w:shd w:val="clear" w:color="000000" w:fill="D3C5D7"/>
            <w:noWrap/>
            <w:vAlign w:val="center"/>
            <w:hideMark/>
          </w:tcPr>
          <w:p w14:paraId="5CF2510D" w14:textId="77777777" w:rsidR="00304672" w:rsidRPr="00304672" w:rsidRDefault="00304672" w:rsidP="00252EAF">
            <w:pPr>
              <w:spacing w:after="0" w:line="240" w:lineRule="auto"/>
              <w:jc w:val="right"/>
              <w:rPr>
                <w:rFonts w:eastAsia="Times New Roman" w:cs="Arial"/>
                <w:b/>
                <w:color w:val="000000"/>
                <w:sz w:val="16"/>
                <w:szCs w:val="16"/>
                <w:lang w:eastAsia="en-AU"/>
              </w:rPr>
            </w:pPr>
          </w:p>
        </w:tc>
        <w:tc>
          <w:tcPr>
            <w:tcW w:w="851" w:type="dxa"/>
            <w:tcBorders>
              <w:top w:val="nil"/>
              <w:left w:val="nil"/>
              <w:bottom w:val="single" w:sz="4" w:space="0" w:color="auto"/>
              <w:right w:val="nil"/>
            </w:tcBorders>
            <w:shd w:val="clear" w:color="000000" w:fill="D3C5D7"/>
            <w:noWrap/>
            <w:vAlign w:val="center"/>
            <w:hideMark/>
          </w:tcPr>
          <w:p w14:paraId="571C489F" w14:textId="77777777" w:rsidR="00304672" w:rsidRPr="00304672" w:rsidRDefault="00304672" w:rsidP="00252EAF">
            <w:pPr>
              <w:spacing w:after="0" w:line="240" w:lineRule="auto"/>
              <w:jc w:val="right"/>
              <w:rPr>
                <w:rFonts w:eastAsia="Times New Roman" w:cs="Arial"/>
                <w:b/>
                <w:color w:val="000000"/>
                <w:sz w:val="16"/>
                <w:szCs w:val="16"/>
                <w:lang w:eastAsia="en-AU"/>
              </w:rPr>
            </w:pPr>
          </w:p>
        </w:tc>
        <w:tc>
          <w:tcPr>
            <w:tcW w:w="850" w:type="dxa"/>
            <w:tcBorders>
              <w:top w:val="nil"/>
              <w:left w:val="nil"/>
              <w:bottom w:val="single" w:sz="4" w:space="0" w:color="auto"/>
              <w:right w:val="nil"/>
            </w:tcBorders>
            <w:shd w:val="clear" w:color="000000" w:fill="D3C5D7"/>
            <w:noWrap/>
            <w:vAlign w:val="center"/>
            <w:hideMark/>
          </w:tcPr>
          <w:p w14:paraId="731AE0FD" w14:textId="77777777" w:rsidR="00304672" w:rsidRPr="00304672" w:rsidRDefault="00304672" w:rsidP="00252EAF">
            <w:pPr>
              <w:spacing w:after="0" w:line="240" w:lineRule="auto"/>
              <w:jc w:val="right"/>
              <w:rPr>
                <w:rFonts w:eastAsia="Times New Roman" w:cs="Arial"/>
                <w:b/>
                <w:color w:val="000000"/>
                <w:sz w:val="16"/>
                <w:szCs w:val="16"/>
                <w:lang w:eastAsia="en-AU"/>
              </w:rPr>
            </w:pPr>
          </w:p>
        </w:tc>
        <w:tc>
          <w:tcPr>
            <w:tcW w:w="851" w:type="dxa"/>
            <w:tcBorders>
              <w:top w:val="nil"/>
              <w:left w:val="nil"/>
              <w:bottom w:val="single" w:sz="4" w:space="0" w:color="auto"/>
              <w:right w:val="nil"/>
            </w:tcBorders>
            <w:shd w:val="clear" w:color="000000" w:fill="D3C5D7"/>
            <w:noWrap/>
            <w:vAlign w:val="center"/>
            <w:hideMark/>
          </w:tcPr>
          <w:p w14:paraId="693632F5" w14:textId="77777777" w:rsidR="00304672" w:rsidRPr="00304672" w:rsidRDefault="00304672" w:rsidP="00252EAF">
            <w:pPr>
              <w:spacing w:after="0" w:line="240" w:lineRule="auto"/>
              <w:jc w:val="right"/>
              <w:rPr>
                <w:rFonts w:eastAsia="Times New Roman" w:cs="Arial"/>
                <w:b/>
                <w:color w:val="000000"/>
                <w:sz w:val="16"/>
                <w:szCs w:val="16"/>
                <w:lang w:eastAsia="en-AU"/>
              </w:rPr>
            </w:pPr>
          </w:p>
        </w:tc>
        <w:tc>
          <w:tcPr>
            <w:tcW w:w="851" w:type="dxa"/>
            <w:tcBorders>
              <w:top w:val="nil"/>
              <w:left w:val="nil"/>
              <w:bottom w:val="single" w:sz="4" w:space="0" w:color="auto"/>
              <w:right w:val="single" w:sz="4" w:space="0" w:color="auto"/>
            </w:tcBorders>
            <w:shd w:val="clear" w:color="000000" w:fill="D3C5D7"/>
            <w:noWrap/>
            <w:vAlign w:val="center"/>
            <w:hideMark/>
          </w:tcPr>
          <w:p w14:paraId="5F4DD451" w14:textId="77777777" w:rsidR="00304672" w:rsidRPr="00304672" w:rsidRDefault="00304672" w:rsidP="00252EAF">
            <w:pPr>
              <w:spacing w:after="0" w:line="240" w:lineRule="auto"/>
              <w:jc w:val="right"/>
              <w:rPr>
                <w:rFonts w:eastAsia="Times New Roman" w:cs="Arial"/>
                <w:b/>
                <w:color w:val="000000"/>
                <w:sz w:val="16"/>
                <w:szCs w:val="16"/>
                <w:lang w:eastAsia="en-AU"/>
              </w:rPr>
            </w:pPr>
          </w:p>
        </w:tc>
      </w:tr>
      <w:tr w:rsidR="00252EAF" w:rsidRPr="00304672" w14:paraId="4EA944A9" w14:textId="77777777" w:rsidTr="00252EAF">
        <w:trPr>
          <w:trHeight w:val="301"/>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14:paraId="217A5B4C" w14:textId="77777777" w:rsidR="00304672" w:rsidRPr="00304672" w:rsidRDefault="00304672" w:rsidP="00304672">
            <w:pPr>
              <w:spacing w:after="0" w:line="240" w:lineRule="auto"/>
              <w:rPr>
                <w:rFonts w:eastAsia="Times New Roman" w:cs="Arial"/>
                <w:color w:val="000000"/>
                <w:sz w:val="16"/>
                <w:szCs w:val="16"/>
                <w:lang w:eastAsia="en-AU"/>
              </w:rPr>
            </w:pPr>
            <w:r w:rsidRPr="00304672">
              <w:rPr>
                <w:rFonts w:eastAsia="Times New Roman" w:cs="Arial"/>
                <w:color w:val="000000"/>
                <w:sz w:val="16"/>
                <w:szCs w:val="16"/>
                <w:lang w:eastAsia="en-AU"/>
              </w:rPr>
              <w:t>30 June 2022 AFSR projection</w:t>
            </w:r>
          </w:p>
        </w:tc>
        <w:tc>
          <w:tcPr>
            <w:tcW w:w="991" w:type="dxa"/>
            <w:tcBorders>
              <w:top w:val="nil"/>
              <w:left w:val="nil"/>
              <w:bottom w:val="single" w:sz="4" w:space="0" w:color="auto"/>
              <w:right w:val="nil"/>
            </w:tcBorders>
            <w:shd w:val="clear" w:color="000000" w:fill="BFBFBF"/>
            <w:noWrap/>
            <w:vAlign w:val="center"/>
            <w:hideMark/>
          </w:tcPr>
          <w:p w14:paraId="6E0D26C2"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nil"/>
            </w:tcBorders>
            <w:shd w:val="clear" w:color="000000" w:fill="BFBFBF"/>
            <w:noWrap/>
            <w:vAlign w:val="center"/>
            <w:hideMark/>
          </w:tcPr>
          <w:p w14:paraId="0994CA81"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0" w:type="dxa"/>
            <w:tcBorders>
              <w:top w:val="nil"/>
              <w:left w:val="nil"/>
              <w:bottom w:val="single" w:sz="4" w:space="0" w:color="auto"/>
              <w:right w:val="nil"/>
            </w:tcBorders>
            <w:shd w:val="clear" w:color="000000" w:fill="BFBFBF"/>
            <w:noWrap/>
            <w:vAlign w:val="center"/>
            <w:hideMark/>
          </w:tcPr>
          <w:p w14:paraId="2C296B3D"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single" w:sz="4" w:space="0" w:color="auto"/>
            </w:tcBorders>
            <w:shd w:val="clear" w:color="000000" w:fill="BFBFBF"/>
            <w:noWrap/>
            <w:vAlign w:val="center"/>
            <w:hideMark/>
          </w:tcPr>
          <w:p w14:paraId="4C03DBBA"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0" w:type="dxa"/>
            <w:tcBorders>
              <w:top w:val="nil"/>
              <w:left w:val="nil"/>
              <w:bottom w:val="single" w:sz="4" w:space="0" w:color="auto"/>
              <w:right w:val="single" w:sz="4" w:space="0" w:color="auto"/>
            </w:tcBorders>
            <w:shd w:val="clear" w:color="000000" w:fill="BFBFBF"/>
            <w:noWrap/>
            <w:vAlign w:val="center"/>
            <w:hideMark/>
          </w:tcPr>
          <w:p w14:paraId="4B113CDF"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nil"/>
            </w:tcBorders>
            <w:shd w:val="clear" w:color="auto" w:fill="auto"/>
            <w:noWrap/>
            <w:vAlign w:val="center"/>
            <w:hideMark/>
          </w:tcPr>
          <w:p w14:paraId="6F5909BB"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59,400</w:t>
            </w:r>
          </w:p>
        </w:tc>
        <w:tc>
          <w:tcPr>
            <w:tcW w:w="850" w:type="dxa"/>
            <w:tcBorders>
              <w:top w:val="nil"/>
              <w:left w:val="nil"/>
              <w:bottom w:val="single" w:sz="4" w:space="0" w:color="auto"/>
              <w:right w:val="nil"/>
            </w:tcBorders>
            <w:shd w:val="clear" w:color="auto" w:fill="auto"/>
            <w:noWrap/>
            <w:vAlign w:val="center"/>
            <w:hideMark/>
          </w:tcPr>
          <w:p w14:paraId="45D73927"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60,700</w:t>
            </w:r>
          </w:p>
        </w:tc>
        <w:tc>
          <w:tcPr>
            <w:tcW w:w="851" w:type="dxa"/>
            <w:tcBorders>
              <w:top w:val="nil"/>
              <w:left w:val="nil"/>
              <w:bottom w:val="single" w:sz="4" w:space="0" w:color="auto"/>
              <w:right w:val="nil"/>
            </w:tcBorders>
            <w:shd w:val="clear" w:color="auto" w:fill="auto"/>
            <w:noWrap/>
            <w:vAlign w:val="center"/>
            <w:hideMark/>
          </w:tcPr>
          <w:p w14:paraId="6CB86E7F"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64,900</w:t>
            </w:r>
          </w:p>
        </w:tc>
        <w:tc>
          <w:tcPr>
            <w:tcW w:w="851" w:type="dxa"/>
            <w:tcBorders>
              <w:top w:val="nil"/>
              <w:left w:val="nil"/>
              <w:bottom w:val="single" w:sz="4" w:space="0" w:color="auto"/>
              <w:right w:val="single" w:sz="4" w:space="0" w:color="auto"/>
            </w:tcBorders>
            <w:shd w:val="clear" w:color="auto" w:fill="auto"/>
            <w:noWrap/>
            <w:vAlign w:val="center"/>
            <w:hideMark/>
          </w:tcPr>
          <w:p w14:paraId="7A73FC76"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69,100</w:t>
            </w:r>
          </w:p>
        </w:tc>
      </w:tr>
      <w:tr w:rsidR="00252EAF" w:rsidRPr="00304672" w14:paraId="2E2194B8" w14:textId="77777777" w:rsidTr="00252EAF">
        <w:trPr>
          <w:trHeight w:val="301"/>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14:paraId="4EBBE2BB" w14:textId="77777777" w:rsidR="00304672" w:rsidRPr="00304672" w:rsidRDefault="00304672" w:rsidP="00304672">
            <w:pPr>
              <w:spacing w:after="0" w:line="240" w:lineRule="auto"/>
              <w:rPr>
                <w:rFonts w:eastAsia="Times New Roman" w:cs="Arial"/>
                <w:color w:val="000000"/>
                <w:sz w:val="16"/>
                <w:szCs w:val="16"/>
                <w:lang w:eastAsia="en-AU"/>
              </w:rPr>
            </w:pPr>
            <w:r w:rsidRPr="00304672">
              <w:rPr>
                <w:rFonts w:eastAsia="Times New Roman" w:cs="Arial"/>
                <w:color w:val="000000"/>
                <w:sz w:val="16"/>
                <w:szCs w:val="16"/>
                <w:lang w:eastAsia="en-AU"/>
              </w:rPr>
              <w:t>30 June 2021 AFSR projection</w:t>
            </w:r>
          </w:p>
        </w:tc>
        <w:tc>
          <w:tcPr>
            <w:tcW w:w="991" w:type="dxa"/>
            <w:tcBorders>
              <w:top w:val="nil"/>
              <w:left w:val="nil"/>
              <w:bottom w:val="single" w:sz="4" w:space="0" w:color="auto"/>
              <w:right w:val="nil"/>
            </w:tcBorders>
            <w:shd w:val="clear" w:color="000000" w:fill="BFBFBF"/>
            <w:noWrap/>
            <w:vAlign w:val="center"/>
            <w:hideMark/>
          </w:tcPr>
          <w:p w14:paraId="18F609E3"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nil"/>
            </w:tcBorders>
            <w:shd w:val="clear" w:color="000000" w:fill="BFBFBF"/>
            <w:noWrap/>
            <w:vAlign w:val="center"/>
            <w:hideMark/>
          </w:tcPr>
          <w:p w14:paraId="31E5F6CC"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0" w:type="dxa"/>
            <w:tcBorders>
              <w:top w:val="nil"/>
              <w:left w:val="nil"/>
              <w:bottom w:val="single" w:sz="4" w:space="0" w:color="auto"/>
              <w:right w:val="nil"/>
            </w:tcBorders>
            <w:shd w:val="clear" w:color="000000" w:fill="BFBFBF"/>
            <w:noWrap/>
            <w:vAlign w:val="center"/>
            <w:hideMark/>
          </w:tcPr>
          <w:p w14:paraId="5E39C5D3"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single" w:sz="4" w:space="0" w:color="auto"/>
            </w:tcBorders>
            <w:shd w:val="clear" w:color="000000" w:fill="BFBFBF"/>
            <w:noWrap/>
            <w:vAlign w:val="center"/>
            <w:hideMark/>
          </w:tcPr>
          <w:p w14:paraId="6967280F"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0" w:type="dxa"/>
            <w:tcBorders>
              <w:top w:val="nil"/>
              <w:left w:val="nil"/>
              <w:bottom w:val="single" w:sz="4" w:space="0" w:color="auto"/>
              <w:right w:val="single" w:sz="4" w:space="0" w:color="auto"/>
            </w:tcBorders>
            <w:shd w:val="clear" w:color="000000" w:fill="FFE699"/>
            <w:noWrap/>
            <w:vAlign w:val="center"/>
            <w:hideMark/>
          </w:tcPr>
          <w:p w14:paraId="3578C3AE"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57,800</w:t>
            </w:r>
          </w:p>
        </w:tc>
        <w:tc>
          <w:tcPr>
            <w:tcW w:w="851" w:type="dxa"/>
            <w:tcBorders>
              <w:top w:val="nil"/>
              <w:left w:val="nil"/>
              <w:bottom w:val="single" w:sz="4" w:space="0" w:color="auto"/>
              <w:right w:val="nil"/>
            </w:tcBorders>
            <w:shd w:val="clear" w:color="auto" w:fill="auto"/>
            <w:noWrap/>
            <w:vAlign w:val="center"/>
            <w:hideMark/>
          </w:tcPr>
          <w:p w14:paraId="74F7CA31"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59,900</w:t>
            </w:r>
          </w:p>
        </w:tc>
        <w:tc>
          <w:tcPr>
            <w:tcW w:w="850" w:type="dxa"/>
            <w:tcBorders>
              <w:top w:val="nil"/>
              <w:left w:val="nil"/>
              <w:bottom w:val="single" w:sz="4" w:space="0" w:color="auto"/>
              <w:right w:val="nil"/>
            </w:tcBorders>
            <w:shd w:val="clear" w:color="auto" w:fill="auto"/>
            <w:noWrap/>
            <w:vAlign w:val="center"/>
            <w:hideMark/>
          </w:tcPr>
          <w:p w14:paraId="6114ADCA"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61,600</w:t>
            </w:r>
          </w:p>
        </w:tc>
        <w:tc>
          <w:tcPr>
            <w:tcW w:w="851" w:type="dxa"/>
            <w:tcBorders>
              <w:top w:val="nil"/>
              <w:left w:val="nil"/>
              <w:bottom w:val="single" w:sz="4" w:space="0" w:color="auto"/>
              <w:right w:val="nil"/>
            </w:tcBorders>
            <w:shd w:val="clear" w:color="auto" w:fill="auto"/>
            <w:noWrap/>
            <w:vAlign w:val="center"/>
            <w:hideMark/>
          </w:tcPr>
          <w:p w14:paraId="715BFF1D"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62,800</w:t>
            </w:r>
          </w:p>
        </w:tc>
        <w:tc>
          <w:tcPr>
            <w:tcW w:w="851" w:type="dxa"/>
            <w:tcBorders>
              <w:top w:val="nil"/>
              <w:left w:val="nil"/>
              <w:bottom w:val="single" w:sz="4" w:space="0" w:color="auto"/>
              <w:right w:val="single" w:sz="4" w:space="0" w:color="auto"/>
            </w:tcBorders>
            <w:shd w:val="clear" w:color="auto" w:fill="auto"/>
            <w:noWrap/>
            <w:vAlign w:val="center"/>
            <w:hideMark/>
          </w:tcPr>
          <w:p w14:paraId="7156E87A"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63,700</w:t>
            </w:r>
          </w:p>
        </w:tc>
      </w:tr>
      <w:tr w:rsidR="00252EAF" w:rsidRPr="00304672" w14:paraId="3A7FA7D8" w14:textId="77777777" w:rsidTr="00252EAF">
        <w:trPr>
          <w:trHeight w:val="301"/>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14:paraId="59532F2F" w14:textId="77777777" w:rsidR="00304672" w:rsidRPr="00304672" w:rsidRDefault="00304672" w:rsidP="00304672">
            <w:pPr>
              <w:spacing w:after="0" w:line="240" w:lineRule="auto"/>
              <w:rPr>
                <w:rFonts w:eastAsia="Times New Roman" w:cs="Arial"/>
                <w:color w:val="000000"/>
                <w:sz w:val="16"/>
                <w:szCs w:val="16"/>
                <w:lang w:eastAsia="en-AU"/>
              </w:rPr>
            </w:pPr>
            <w:r w:rsidRPr="00304672">
              <w:rPr>
                <w:rFonts w:eastAsia="Times New Roman" w:cs="Arial"/>
                <w:color w:val="000000"/>
                <w:sz w:val="16"/>
                <w:szCs w:val="16"/>
                <w:lang w:eastAsia="en-AU"/>
              </w:rPr>
              <w:t>31 December 2020 AFSR projection</w:t>
            </w:r>
          </w:p>
        </w:tc>
        <w:tc>
          <w:tcPr>
            <w:tcW w:w="991" w:type="dxa"/>
            <w:tcBorders>
              <w:top w:val="nil"/>
              <w:left w:val="nil"/>
              <w:bottom w:val="single" w:sz="4" w:space="0" w:color="auto"/>
              <w:right w:val="nil"/>
            </w:tcBorders>
            <w:shd w:val="clear" w:color="000000" w:fill="BFBFBF"/>
            <w:noWrap/>
            <w:vAlign w:val="center"/>
            <w:hideMark/>
          </w:tcPr>
          <w:p w14:paraId="6745FDD5"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nil"/>
            </w:tcBorders>
            <w:shd w:val="clear" w:color="000000" w:fill="BFBFBF"/>
            <w:noWrap/>
            <w:vAlign w:val="center"/>
            <w:hideMark/>
          </w:tcPr>
          <w:p w14:paraId="0327B378"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0" w:type="dxa"/>
            <w:tcBorders>
              <w:top w:val="nil"/>
              <w:left w:val="nil"/>
              <w:bottom w:val="single" w:sz="4" w:space="0" w:color="auto"/>
              <w:right w:val="nil"/>
            </w:tcBorders>
            <w:shd w:val="clear" w:color="000000" w:fill="BFBFBF"/>
            <w:noWrap/>
            <w:vAlign w:val="center"/>
            <w:hideMark/>
          </w:tcPr>
          <w:p w14:paraId="251CA2F7"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single" w:sz="4" w:space="0" w:color="auto"/>
            </w:tcBorders>
            <w:shd w:val="clear" w:color="000000" w:fill="BFBFBF"/>
            <w:noWrap/>
            <w:vAlign w:val="center"/>
            <w:hideMark/>
          </w:tcPr>
          <w:p w14:paraId="56A4A331"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0" w:type="dxa"/>
            <w:tcBorders>
              <w:top w:val="nil"/>
              <w:left w:val="nil"/>
              <w:bottom w:val="single" w:sz="4" w:space="0" w:color="auto"/>
              <w:right w:val="single" w:sz="4" w:space="0" w:color="auto"/>
            </w:tcBorders>
            <w:shd w:val="clear" w:color="auto" w:fill="auto"/>
            <w:noWrap/>
            <w:vAlign w:val="center"/>
            <w:hideMark/>
          </w:tcPr>
          <w:p w14:paraId="051567E5"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55,000</w:t>
            </w:r>
          </w:p>
        </w:tc>
        <w:tc>
          <w:tcPr>
            <w:tcW w:w="851" w:type="dxa"/>
            <w:tcBorders>
              <w:top w:val="nil"/>
              <w:left w:val="nil"/>
              <w:bottom w:val="single" w:sz="4" w:space="0" w:color="auto"/>
              <w:right w:val="nil"/>
            </w:tcBorders>
            <w:shd w:val="clear" w:color="auto" w:fill="auto"/>
            <w:noWrap/>
            <w:vAlign w:val="center"/>
            <w:hideMark/>
          </w:tcPr>
          <w:p w14:paraId="213F6E8C"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57,200</w:t>
            </w:r>
          </w:p>
        </w:tc>
        <w:tc>
          <w:tcPr>
            <w:tcW w:w="850" w:type="dxa"/>
            <w:tcBorders>
              <w:top w:val="nil"/>
              <w:left w:val="nil"/>
              <w:bottom w:val="single" w:sz="4" w:space="0" w:color="auto"/>
              <w:right w:val="nil"/>
            </w:tcBorders>
            <w:shd w:val="clear" w:color="auto" w:fill="auto"/>
            <w:noWrap/>
            <w:vAlign w:val="center"/>
            <w:hideMark/>
          </w:tcPr>
          <w:p w14:paraId="1980A6BC"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59,100</w:t>
            </w:r>
          </w:p>
        </w:tc>
        <w:tc>
          <w:tcPr>
            <w:tcW w:w="851" w:type="dxa"/>
            <w:tcBorders>
              <w:top w:val="nil"/>
              <w:left w:val="nil"/>
              <w:bottom w:val="single" w:sz="4" w:space="0" w:color="auto"/>
              <w:right w:val="nil"/>
            </w:tcBorders>
            <w:shd w:val="clear" w:color="auto" w:fill="auto"/>
            <w:noWrap/>
            <w:vAlign w:val="center"/>
            <w:hideMark/>
          </w:tcPr>
          <w:p w14:paraId="778944C6"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60,900</w:t>
            </w:r>
          </w:p>
        </w:tc>
        <w:tc>
          <w:tcPr>
            <w:tcW w:w="851" w:type="dxa"/>
            <w:tcBorders>
              <w:top w:val="nil"/>
              <w:left w:val="nil"/>
              <w:bottom w:val="single" w:sz="4" w:space="0" w:color="auto"/>
              <w:right w:val="single" w:sz="4" w:space="0" w:color="auto"/>
            </w:tcBorders>
            <w:shd w:val="clear" w:color="auto" w:fill="auto"/>
            <w:noWrap/>
            <w:vAlign w:val="center"/>
            <w:hideMark/>
          </w:tcPr>
          <w:p w14:paraId="68204EE5"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62,400</w:t>
            </w:r>
          </w:p>
        </w:tc>
      </w:tr>
      <w:tr w:rsidR="00252EAF" w:rsidRPr="00304672" w14:paraId="1BE9F8C3" w14:textId="77777777" w:rsidTr="00252EAF">
        <w:trPr>
          <w:trHeight w:val="301"/>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14:paraId="4E56DE96" w14:textId="77777777" w:rsidR="00304672" w:rsidRPr="00304672" w:rsidRDefault="00304672" w:rsidP="00304672">
            <w:pPr>
              <w:spacing w:after="0" w:line="240" w:lineRule="auto"/>
              <w:rPr>
                <w:rFonts w:eastAsia="Times New Roman" w:cs="Arial"/>
                <w:color w:val="000000"/>
                <w:sz w:val="16"/>
                <w:szCs w:val="16"/>
                <w:lang w:eastAsia="en-AU"/>
              </w:rPr>
            </w:pPr>
            <w:r w:rsidRPr="00304672">
              <w:rPr>
                <w:rFonts w:eastAsia="Times New Roman" w:cs="Arial"/>
                <w:color w:val="000000"/>
                <w:sz w:val="16"/>
                <w:szCs w:val="16"/>
                <w:lang w:eastAsia="en-AU"/>
              </w:rPr>
              <w:t>30 June 2020 AFSR projection</w:t>
            </w:r>
          </w:p>
        </w:tc>
        <w:tc>
          <w:tcPr>
            <w:tcW w:w="991" w:type="dxa"/>
            <w:tcBorders>
              <w:top w:val="nil"/>
              <w:left w:val="nil"/>
              <w:bottom w:val="single" w:sz="4" w:space="0" w:color="auto"/>
              <w:right w:val="nil"/>
            </w:tcBorders>
            <w:shd w:val="clear" w:color="000000" w:fill="BFBFBF"/>
            <w:noWrap/>
            <w:vAlign w:val="center"/>
            <w:hideMark/>
          </w:tcPr>
          <w:p w14:paraId="75A60784"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nil"/>
            </w:tcBorders>
            <w:shd w:val="clear" w:color="000000" w:fill="BFBFBF"/>
            <w:noWrap/>
            <w:vAlign w:val="center"/>
            <w:hideMark/>
          </w:tcPr>
          <w:p w14:paraId="7D7B49C9"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0" w:type="dxa"/>
            <w:tcBorders>
              <w:top w:val="nil"/>
              <w:left w:val="nil"/>
              <w:bottom w:val="single" w:sz="4" w:space="0" w:color="auto"/>
              <w:right w:val="nil"/>
            </w:tcBorders>
            <w:shd w:val="clear" w:color="000000" w:fill="BFBFBF"/>
            <w:noWrap/>
            <w:vAlign w:val="center"/>
            <w:hideMark/>
          </w:tcPr>
          <w:p w14:paraId="7DCAA784"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single" w:sz="4" w:space="0" w:color="auto"/>
            </w:tcBorders>
            <w:shd w:val="clear" w:color="000000" w:fill="FFE699"/>
            <w:noWrap/>
            <w:vAlign w:val="center"/>
            <w:hideMark/>
          </w:tcPr>
          <w:p w14:paraId="62896AC3"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51,800</w:t>
            </w:r>
          </w:p>
        </w:tc>
        <w:tc>
          <w:tcPr>
            <w:tcW w:w="850" w:type="dxa"/>
            <w:tcBorders>
              <w:top w:val="nil"/>
              <w:left w:val="nil"/>
              <w:bottom w:val="single" w:sz="4" w:space="0" w:color="auto"/>
              <w:right w:val="single" w:sz="4" w:space="0" w:color="auto"/>
            </w:tcBorders>
            <w:shd w:val="clear" w:color="auto" w:fill="auto"/>
            <w:noWrap/>
            <w:vAlign w:val="center"/>
            <w:hideMark/>
          </w:tcPr>
          <w:p w14:paraId="4CD1A5C3"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53,800</w:t>
            </w:r>
          </w:p>
        </w:tc>
        <w:tc>
          <w:tcPr>
            <w:tcW w:w="851" w:type="dxa"/>
            <w:tcBorders>
              <w:top w:val="nil"/>
              <w:left w:val="nil"/>
              <w:bottom w:val="single" w:sz="4" w:space="0" w:color="auto"/>
              <w:right w:val="nil"/>
            </w:tcBorders>
            <w:shd w:val="clear" w:color="auto" w:fill="auto"/>
            <w:noWrap/>
            <w:vAlign w:val="center"/>
            <w:hideMark/>
          </w:tcPr>
          <w:p w14:paraId="21D10B66"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55,300</w:t>
            </w:r>
          </w:p>
        </w:tc>
        <w:tc>
          <w:tcPr>
            <w:tcW w:w="850" w:type="dxa"/>
            <w:tcBorders>
              <w:top w:val="nil"/>
              <w:left w:val="nil"/>
              <w:bottom w:val="single" w:sz="4" w:space="0" w:color="auto"/>
              <w:right w:val="nil"/>
            </w:tcBorders>
            <w:shd w:val="clear" w:color="auto" w:fill="auto"/>
            <w:noWrap/>
            <w:vAlign w:val="center"/>
            <w:hideMark/>
          </w:tcPr>
          <w:p w14:paraId="6BAF0E8F"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57,200</w:t>
            </w:r>
          </w:p>
        </w:tc>
        <w:tc>
          <w:tcPr>
            <w:tcW w:w="851" w:type="dxa"/>
            <w:tcBorders>
              <w:top w:val="nil"/>
              <w:left w:val="nil"/>
              <w:bottom w:val="single" w:sz="4" w:space="0" w:color="auto"/>
              <w:right w:val="nil"/>
            </w:tcBorders>
            <w:shd w:val="clear" w:color="auto" w:fill="auto"/>
            <w:noWrap/>
            <w:vAlign w:val="center"/>
            <w:hideMark/>
          </w:tcPr>
          <w:p w14:paraId="35CE813B"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59,800</w:t>
            </w:r>
          </w:p>
        </w:tc>
        <w:tc>
          <w:tcPr>
            <w:tcW w:w="851" w:type="dxa"/>
            <w:tcBorders>
              <w:top w:val="nil"/>
              <w:left w:val="nil"/>
              <w:bottom w:val="single" w:sz="4" w:space="0" w:color="auto"/>
              <w:right w:val="single" w:sz="4" w:space="0" w:color="auto"/>
            </w:tcBorders>
            <w:shd w:val="clear" w:color="auto" w:fill="auto"/>
            <w:noWrap/>
            <w:vAlign w:val="center"/>
            <w:hideMark/>
          </w:tcPr>
          <w:p w14:paraId="4E4082E2"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62,400</w:t>
            </w:r>
          </w:p>
        </w:tc>
      </w:tr>
      <w:tr w:rsidR="00304672" w:rsidRPr="00304672" w14:paraId="0BC19656" w14:textId="77777777" w:rsidTr="00252EAF">
        <w:trPr>
          <w:trHeight w:val="301"/>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14:paraId="79F91073" w14:textId="77777777" w:rsidR="00304672" w:rsidRPr="00304672" w:rsidRDefault="00304672" w:rsidP="00304672">
            <w:pPr>
              <w:spacing w:after="0" w:line="240" w:lineRule="auto"/>
              <w:rPr>
                <w:rFonts w:eastAsia="Times New Roman" w:cs="Arial"/>
                <w:color w:val="000000"/>
                <w:sz w:val="16"/>
                <w:szCs w:val="16"/>
                <w:lang w:eastAsia="en-AU"/>
              </w:rPr>
            </w:pPr>
            <w:r w:rsidRPr="00304672">
              <w:rPr>
                <w:rFonts w:eastAsia="Times New Roman" w:cs="Arial"/>
                <w:color w:val="000000"/>
                <w:sz w:val="16"/>
                <w:szCs w:val="16"/>
                <w:lang w:eastAsia="en-AU"/>
              </w:rPr>
              <w:t>31 December 2019 AFSR projection</w:t>
            </w:r>
          </w:p>
        </w:tc>
        <w:tc>
          <w:tcPr>
            <w:tcW w:w="991" w:type="dxa"/>
            <w:tcBorders>
              <w:top w:val="nil"/>
              <w:left w:val="nil"/>
              <w:bottom w:val="single" w:sz="4" w:space="0" w:color="auto"/>
              <w:right w:val="nil"/>
            </w:tcBorders>
            <w:shd w:val="clear" w:color="000000" w:fill="BFBFBF"/>
            <w:noWrap/>
            <w:vAlign w:val="center"/>
            <w:hideMark/>
          </w:tcPr>
          <w:p w14:paraId="62F91425"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nil"/>
            </w:tcBorders>
            <w:shd w:val="clear" w:color="000000" w:fill="BFBFBF"/>
            <w:noWrap/>
            <w:vAlign w:val="center"/>
            <w:hideMark/>
          </w:tcPr>
          <w:p w14:paraId="0886BFC3"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0" w:type="dxa"/>
            <w:tcBorders>
              <w:top w:val="nil"/>
              <w:left w:val="nil"/>
              <w:bottom w:val="single" w:sz="4" w:space="0" w:color="auto"/>
              <w:right w:val="nil"/>
            </w:tcBorders>
            <w:shd w:val="clear" w:color="000000" w:fill="BFBFBF"/>
            <w:noWrap/>
            <w:vAlign w:val="center"/>
            <w:hideMark/>
          </w:tcPr>
          <w:p w14:paraId="34775A08"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single" w:sz="4" w:space="0" w:color="auto"/>
            </w:tcBorders>
            <w:shd w:val="clear" w:color="auto" w:fill="auto"/>
            <w:noWrap/>
            <w:vAlign w:val="center"/>
            <w:hideMark/>
          </w:tcPr>
          <w:p w14:paraId="61C5B59A"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51,800</w:t>
            </w:r>
          </w:p>
        </w:tc>
        <w:tc>
          <w:tcPr>
            <w:tcW w:w="850" w:type="dxa"/>
            <w:tcBorders>
              <w:top w:val="nil"/>
              <w:left w:val="nil"/>
              <w:bottom w:val="single" w:sz="4" w:space="0" w:color="auto"/>
              <w:right w:val="single" w:sz="4" w:space="0" w:color="auto"/>
            </w:tcBorders>
            <w:shd w:val="clear" w:color="auto" w:fill="auto"/>
            <w:noWrap/>
            <w:vAlign w:val="center"/>
            <w:hideMark/>
          </w:tcPr>
          <w:p w14:paraId="78D4C6D5"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53,900</w:t>
            </w:r>
          </w:p>
        </w:tc>
        <w:tc>
          <w:tcPr>
            <w:tcW w:w="851" w:type="dxa"/>
            <w:tcBorders>
              <w:top w:val="nil"/>
              <w:left w:val="nil"/>
              <w:bottom w:val="single" w:sz="4" w:space="0" w:color="auto"/>
              <w:right w:val="nil"/>
            </w:tcBorders>
            <w:shd w:val="clear" w:color="auto" w:fill="auto"/>
            <w:noWrap/>
            <w:vAlign w:val="center"/>
            <w:hideMark/>
          </w:tcPr>
          <w:p w14:paraId="15DCDD2E"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56,200</w:t>
            </w:r>
          </w:p>
        </w:tc>
        <w:tc>
          <w:tcPr>
            <w:tcW w:w="850" w:type="dxa"/>
            <w:tcBorders>
              <w:top w:val="nil"/>
              <w:left w:val="nil"/>
              <w:bottom w:val="single" w:sz="4" w:space="0" w:color="auto"/>
              <w:right w:val="nil"/>
            </w:tcBorders>
            <w:shd w:val="clear" w:color="auto" w:fill="auto"/>
            <w:noWrap/>
            <w:vAlign w:val="center"/>
            <w:hideMark/>
          </w:tcPr>
          <w:p w14:paraId="551DF4AB"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58,700</w:t>
            </w:r>
          </w:p>
        </w:tc>
        <w:tc>
          <w:tcPr>
            <w:tcW w:w="851" w:type="dxa"/>
            <w:tcBorders>
              <w:top w:val="nil"/>
              <w:left w:val="nil"/>
              <w:bottom w:val="single" w:sz="4" w:space="0" w:color="auto"/>
              <w:right w:val="nil"/>
            </w:tcBorders>
            <w:shd w:val="clear" w:color="auto" w:fill="auto"/>
            <w:noWrap/>
            <w:vAlign w:val="center"/>
            <w:hideMark/>
          </w:tcPr>
          <w:p w14:paraId="79401E7B"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61,100</w:t>
            </w:r>
          </w:p>
        </w:tc>
        <w:tc>
          <w:tcPr>
            <w:tcW w:w="851" w:type="dxa"/>
            <w:tcBorders>
              <w:top w:val="nil"/>
              <w:left w:val="nil"/>
              <w:bottom w:val="single" w:sz="4" w:space="0" w:color="auto"/>
              <w:right w:val="single" w:sz="4" w:space="0" w:color="auto"/>
            </w:tcBorders>
            <w:shd w:val="clear" w:color="auto" w:fill="auto"/>
            <w:noWrap/>
            <w:vAlign w:val="center"/>
            <w:hideMark/>
          </w:tcPr>
          <w:p w14:paraId="2BDE5723"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63,500</w:t>
            </w:r>
          </w:p>
        </w:tc>
      </w:tr>
      <w:tr w:rsidR="00304672" w:rsidRPr="00304672" w14:paraId="6AC50F23" w14:textId="77777777" w:rsidTr="00252EAF">
        <w:trPr>
          <w:trHeight w:val="301"/>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14:paraId="1CB112B3" w14:textId="77777777" w:rsidR="00304672" w:rsidRPr="00304672" w:rsidRDefault="00304672" w:rsidP="00304672">
            <w:pPr>
              <w:spacing w:after="0" w:line="240" w:lineRule="auto"/>
              <w:rPr>
                <w:rFonts w:eastAsia="Times New Roman" w:cs="Arial"/>
                <w:color w:val="000000"/>
                <w:sz w:val="16"/>
                <w:szCs w:val="16"/>
                <w:lang w:eastAsia="en-AU"/>
              </w:rPr>
            </w:pPr>
            <w:r w:rsidRPr="00304672">
              <w:rPr>
                <w:rFonts w:eastAsia="Times New Roman" w:cs="Arial"/>
                <w:color w:val="000000"/>
                <w:sz w:val="16"/>
                <w:szCs w:val="16"/>
                <w:lang w:eastAsia="en-AU"/>
              </w:rPr>
              <w:t>30 June 2019 AFSR projection</w:t>
            </w:r>
          </w:p>
        </w:tc>
        <w:tc>
          <w:tcPr>
            <w:tcW w:w="991" w:type="dxa"/>
            <w:tcBorders>
              <w:top w:val="nil"/>
              <w:left w:val="nil"/>
              <w:bottom w:val="single" w:sz="4" w:space="0" w:color="auto"/>
              <w:right w:val="nil"/>
            </w:tcBorders>
            <w:shd w:val="clear" w:color="000000" w:fill="BFBFBF"/>
            <w:noWrap/>
            <w:vAlign w:val="center"/>
            <w:hideMark/>
          </w:tcPr>
          <w:p w14:paraId="50270C02"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nil"/>
            </w:tcBorders>
            <w:shd w:val="clear" w:color="000000" w:fill="BFBFBF"/>
            <w:noWrap/>
            <w:vAlign w:val="center"/>
            <w:hideMark/>
          </w:tcPr>
          <w:p w14:paraId="05047E4C"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0" w:type="dxa"/>
            <w:tcBorders>
              <w:top w:val="nil"/>
              <w:left w:val="nil"/>
              <w:bottom w:val="single" w:sz="4" w:space="0" w:color="auto"/>
              <w:right w:val="nil"/>
            </w:tcBorders>
            <w:shd w:val="clear" w:color="000000" w:fill="FFE699"/>
            <w:noWrap/>
            <w:vAlign w:val="center"/>
            <w:hideMark/>
          </w:tcPr>
          <w:p w14:paraId="186DEDB9"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49,800</w:t>
            </w:r>
          </w:p>
        </w:tc>
        <w:tc>
          <w:tcPr>
            <w:tcW w:w="851" w:type="dxa"/>
            <w:tcBorders>
              <w:top w:val="nil"/>
              <w:left w:val="nil"/>
              <w:bottom w:val="single" w:sz="4" w:space="0" w:color="auto"/>
              <w:right w:val="single" w:sz="4" w:space="0" w:color="auto"/>
            </w:tcBorders>
            <w:shd w:val="clear" w:color="auto" w:fill="auto"/>
            <w:noWrap/>
            <w:vAlign w:val="center"/>
            <w:hideMark/>
          </w:tcPr>
          <w:p w14:paraId="4C4589F4"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52,000</w:t>
            </w:r>
          </w:p>
        </w:tc>
        <w:tc>
          <w:tcPr>
            <w:tcW w:w="850" w:type="dxa"/>
            <w:tcBorders>
              <w:top w:val="nil"/>
              <w:left w:val="nil"/>
              <w:bottom w:val="single" w:sz="4" w:space="0" w:color="auto"/>
              <w:right w:val="single" w:sz="4" w:space="0" w:color="auto"/>
            </w:tcBorders>
            <w:shd w:val="clear" w:color="auto" w:fill="auto"/>
            <w:noWrap/>
            <w:vAlign w:val="center"/>
            <w:hideMark/>
          </w:tcPr>
          <w:p w14:paraId="22CA34E0"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53,400</w:t>
            </w:r>
          </w:p>
        </w:tc>
        <w:tc>
          <w:tcPr>
            <w:tcW w:w="851" w:type="dxa"/>
            <w:tcBorders>
              <w:top w:val="nil"/>
              <w:left w:val="nil"/>
              <w:bottom w:val="single" w:sz="4" w:space="0" w:color="auto"/>
              <w:right w:val="nil"/>
            </w:tcBorders>
            <w:shd w:val="clear" w:color="auto" w:fill="auto"/>
            <w:noWrap/>
            <w:vAlign w:val="center"/>
            <w:hideMark/>
          </w:tcPr>
          <w:p w14:paraId="425B4A0B"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54,800</w:t>
            </w:r>
          </w:p>
        </w:tc>
        <w:tc>
          <w:tcPr>
            <w:tcW w:w="850" w:type="dxa"/>
            <w:tcBorders>
              <w:top w:val="nil"/>
              <w:left w:val="nil"/>
              <w:bottom w:val="single" w:sz="4" w:space="0" w:color="auto"/>
              <w:right w:val="nil"/>
            </w:tcBorders>
            <w:shd w:val="clear" w:color="auto" w:fill="auto"/>
            <w:noWrap/>
            <w:vAlign w:val="center"/>
            <w:hideMark/>
          </w:tcPr>
          <w:p w14:paraId="43346B93"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56,200</w:t>
            </w:r>
          </w:p>
        </w:tc>
        <w:tc>
          <w:tcPr>
            <w:tcW w:w="851" w:type="dxa"/>
            <w:tcBorders>
              <w:top w:val="nil"/>
              <w:left w:val="nil"/>
              <w:bottom w:val="single" w:sz="4" w:space="0" w:color="auto"/>
              <w:right w:val="nil"/>
            </w:tcBorders>
            <w:shd w:val="clear" w:color="auto" w:fill="auto"/>
            <w:noWrap/>
            <w:vAlign w:val="center"/>
            <w:hideMark/>
          </w:tcPr>
          <w:p w14:paraId="4D0FCF9A"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57,700</w:t>
            </w:r>
          </w:p>
        </w:tc>
        <w:tc>
          <w:tcPr>
            <w:tcW w:w="851" w:type="dxa"/>
            <w:tcBorders>
              <w:top w:val="nil"/>
              <w:left w:val="nil"/>
              <w:bottom w:val="single" w:sz="4" w:space="0" w:color="auto"/>
              <w:right w:val="single" w:sz="4" w:space="0" w:color="auto"/>
            </w:tcBorders>
            <w:shd w:val="clear" w:color="auto" w:fill="auto"/>
            <w:noWrap/>
            <w:vAlign w:val="center"/>
            <w:hideMark/>
          </w:tcPr>
          <w:p w14:paraId="729C21AE"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59,700</w:t>
            </w:r>
          </w:p>
        </w:tc>
      </w:tr>
      <w:tr w:rsidR="00304672" w:rsidRPr="00304672" w14:paraId="2A6748C4" w14:textId="77777777" w:rsidTr="00252EAF">
        <w:trPr>
          <w:trHeight w:val="301"/>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14:paraId="24E2A688" w14:textId="77777777" w:rsidR="00304672" w:rsidRPr="00304672" w:rsidRDefault="00304672" w:rsidP="00304672">
            <w:pPr>
              <w:spacing w:after="0" w:line="240" w:lineRule="auto"/>
              <w:rPr>
                <w:rFonts w:eastAsia="Times New Roman" w:cs="Arial"/>
                <w:color w:val="000000"/>
                <w:sz w:val="16"/>
                <w:szCs w:val="16"/>
                <w:lang w:eastAsia="en-AU"/>
              </w:rPr>
            </w:pPr>
            <w:r w:rsidRPr="00304672">
              <w:rPr>
                <w:rFonts w:eastAsia="Times New Roman" w:cs="Arial"/>
                <w:color w:val="000000"/>
                <w:sz w:val="16"/>
                <w:szCs w:val="16"/>
                <w:lang w:eastAsia="en-AU"/>
              </w:rPr>
              <w:t>30 June 2018 AFSR projection</w:t>
            </w:r>
          </w:p>
        </w:tc>
        <w:tc>
          <w:tcPr>
            <w:tcW w:w="991" w:type="dxa"/>
            <w:tcBorders>
              <w:top w:val="nil"/>
              <w:left w:val="nil"/>
              <w:bottom w:val="single" w:sz="4" w:space="0" w:color="auto"/>
              <w:right w:val="nil"/>
            </w:tcBorders>
            <w:shd w:val="clear" w:color="000000" w:fill="BFBFBF"/>
            <w:noWrap/>
            <w:vAlign w:val="center"/>
            <w:hideMark/>
          </w:tcPr>
          <w:p w14:paraId="261B69C7"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nil"/>
            </w:tcBorders>
            <w:shd w:val="clear" w:color="000000" w:fill="FFE699"/>
            <w:noWrap/>
            <w:vAlign w:val="center"/>
            <w:hideMark/>
          </w:tcPr>
          <w:p w14:paraId="04B5BDE1"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38,800</w:t>
            </w:r>
          </w:p>
        </w:tc>
        <w:tc>
          <w:tcPr>
            <w:tcW w:w="850" w:type="dxa"/>
            <w:tcBorders>
              <w:top w:val="nil"/>
              <w:left w:val="nil"/>
              <w:bottom w:val="single" w:sz="4" w:space="0" w:color="auto"/>
              <w:right w:val="nil"/>
            </w:tcBorders>
            <w:shd w:val="clear" w:color="auto" w:fill="auto"/>
            <w:noWrap/>
            <w:vAlign w:val="center"/>
            <w:hideMark/>
          </w:tcPr>
          <w:p w14:paraId="4B421843"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45,500</w:t>
            </w:r>
          </w:p>
        </w:tc>
        <w:tc>
          <w:tcPr>
            <w:tcW w:w="851" w:type="dxa"/>
            <w:tcBorders>
              <w:top w:val="nil"/>
              <w:left w:val="nil"/>
              <w:bottom w:val="single" w:sz="4" w:space="0" w:color="auto"/>
              <w:right w:val="single" w:sz="4" w:space="0" w:color="auto"/>
            </w:tcBorders>
            <w:shd w:val="clear" w:color="auto" w:fill="auto"/>
            <w:noWrap/>
            <w:vAlign w:val="center"/>
            <w:hideMark/>
          </w:tcPr>
          <w:p w14:paraId="41A98CAB"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49,500</w:t>
            </w:r>
          </w:p>
        </w:tc>
        <w:tc>
          <w:tcPr>
            <w:tcW w:w="850" w:type="dxa"/>
            <w:tcBorders>
              <w:top w:val="nil"/>
              <w:left w:val="nil"/>
              <w:bottom w:val="single" w:sz="4" w:space="0" w:color="auto"/>
              <w:right w:val="single" w:sz="4" w:space="0" w:color="auto"/>
            </w:tcBorders>
            <w:shd w:val="clear" w:color="auto" w:fill="auto"/>
            <w:noWrap/>
            <w:vAlign w:val="center"/>
            <w:hideMark/>
          </w:tcPr>
          <w:p w14:paraId="20865D28"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52,400</w:t>
            </w:r>
          </w:p>
        </w:tc>
        <w:tc>
          <w:tcPr>
            <w:tcW w:w="851" w:type="dxa"/>
            <w:tcBorders>
              <w:top w:val="nil"/>
              <w:left w:val="nil"/>
              <w:bottom w:val="single" w:sz="4" w:space="0" w:color="auto"/>
              <w:right w:val="nil"/>
            </w:tcBorders>
            <w:shd w:val="clear" w:color="auto" w:fill="auto"/>
            <w:noWrap/>
            <w:vAlign w:val="center"/>
            <w:hideMark/>
          </w:tcPr>
          <w:p w14:paraId="5DB0839F"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55,100</w:t>
            </w:r>
          </w:p>
        </w:tc>
        <w:tc>
          <w:tcPr>
            <w:tcW w:w="850" w:type="dxa"/>
            <w:tcBorders>
              <w:top w:val="nil"/>
              <w:left w:val="nil"/>
              <w:bottom w:val="single" w:sz="4" w:space="0" w:color="auto"/>
              <w:right w:val="nil"/>
            </w:tcBorders>
            <w:shd w:val="clear" w:color="auto" w:fill="auto"/>
            <w:noWrap/>
            <w:vAlign w:val="center"/>
            <w:hideMark/>
          </w:tcPr>
          <w:p w14:paraId="57B65E86"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57,900</w:t>
            </w:r>
          </w:p>
        </w:tc>
        <w:tc>
          <w:tcPr>
            <w:tcW w:w="851" w:type="dxa"/>
            <w:tcBorders>
              <w:top w:val="nil"/>
              <w:left w:val="nil"/>
              <w:bottom w:val="single" w:sz="4" w:space="0" w:color="auto"/>
              <w:right w:val="nil"/>
            </w:tcBorders>
            <w:shd w:val="clear" w:color="auto" w:fill="auto"/>
            <w:noWrap/>
            <w:vAlign w:val="center"/>
            <w:hideMark/>
          </w:tcPr>
          <w:p w14:paraId="0A552CE0"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59,700</w:t>
            </w:r>
          </w:p>
        </w:tc>
        <w:tc>
          <w:tcPr>
            <w:tcW w:w="851" w:type="dxa"/>
            <w:tcBorders>
              <w:top w:val="nil"/>
              <w:left w:val="nil"/>
              <w:bottom w:val="single" w:sz="4" w:space="0" w:color="auto"/>
              <w:right w:val="single" w:sz="4" w:space="0" w:color="auto"/>
            </w:tcBorders>
            <w:shd w:val="clear" w:color="auto" w:fill="auto"/>
            <w:noWrap/>
            <w:vAlign w:val="center"/>
            <w:hideMark/>
          </w:tcPr>
          <w:p w14:paraId="00A739F6"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61,600</w:t>
            </w:r>
          </w:p>
        </w:tc>
      </w:tr>
      <w:tr w:rsidR="00252EAF" w:rsidRPr="00304672" w14:paraId="554E6B91" w14:textId="77777777" w:rsidTr="00252EAF">
        <w:trPr>
          <w:trHeight w:val="301"/>
        </w:trPr>
        <w:tc>
          <w:tcPr>
            <w:tcW w:w="2978" w:type="dxa"/>
            <w:tcBorders>
              <w:top w:val="nil"/>
              <w:left w:val="single" w:sz="4" w:space="0" w:color="auto"/>
              <w:bottom w:val="single" w:sz="4" w:space="0" w:color="auto"/>
              <w:right w:val="nil"/>
            </w:tcBorders>
            <w:shd w:val="clear" w:color="000000" w:fill="D3C5D7"/>
            <w:noWrap/>
            <w:vAlign w:val="center"/>
            <w:hideMark/>
          </w:tcPr>
          <w:p w14:paraId="575F5C19" w14:textId="77777777" w:rsidR="00304672" w:rsidRPr="00304672" w:rsidRDefault="00304672" w:rsidP="00304672">
            <w:pPr>
              <w:spacing w:after="0" w:line="240" w:lineRule="auto"/>
              <w:rPr>
                <w:rFonts w:eastAsia="Times New Roman" w:cs="Arial"/>
                <w:b/>
                <w:color w:val="000000"/>
                <w:sz w:val="16"/>
                <w:szCs w:val="16"/>
                <w:lang w:eastAsia="en-AU"/>
              </w:rPr>
            </w:pPr>
            <w:r w:rsidRPr="00304672">
              <w:rPr>
                <w:rFonts w:eastAsia="Times New Roman" w:cs="Arial"/>
                <w:b/>
                <w:color w:val="000000"/>
                <w:sz w:val="16"/>
                <w:szCs w:val="16"/>
                <w:lang w:eastAsia="en-AU"/>
              </w:rPr>
              <w:t>Comparison with actuals</w:t>
            </w:r>
          </w:p>
        </w:tc>
        <w:tc>
          <w:tcPr>
            <w:tcW w:w="991" w:type="dxa"/>
            <w:tcBorders>
              <w:top w:val="nil"/>
              <w:left w:val="nil"/>
              <w:bottom w:val="single" w:sz="4" w:space="0" w:color="auto"/>
              <w:right w:val="nil"/>
            </w:tcBorders>
            <w:shd w:val="clear" w:color="000000" w:fill="D3C5D7"/>
            <w:noWrap/>
            <w:vAlign w:val="center"/>
            <w:hideMark/>
          </w:tcPr>
          <w:p w14:paraId="005D08B6" w14:textId="77777777" w:rsidR="00304672" w:rsidRPr="00304672" w:rsidRDefault="00304672" w:rsidP="00252EAF">
            <w:pPr>
              <w:spacing w:after="0" w:line="240" w:lineRule="auto"/>
              <w:jc w:val="right"/>
              <w:rPr>
                <w:rFonts w:eastAsia="Times New Roman" w:cs="Arial"/>
                <w:b/>
                <w:color w:val="000000"/>
                <w:sz w:val="16"/>
                <w:szCs w:val="16"/>
                <w:lang w:eastAsia="en-AU"/>
              </w:rPr>
            </w:pPr>
          </w:p>
        </w:tc>
        <w:tc>
          <w:tcPr>
            <w:tcW w:w="851" w:type="dxa"/>
            <w:tcBorders>
              <w:top w:val="nil"/>
              <w:left w:val="nil"/>
              <w:bottom w:val="single" w:sz="4" w:space="0" w:color="auto"/>
              <w:right w:val="nil"/>
            </w:tcBorders>
            <w:shd w:val="clear" w:color="000000" w:fill="D3C5D7"/>
            <w:noWrap/>
            <w:vAlign w:val="center"/>
            <w:hideMark/>
          </w:tcPr>
          <w:p w14:paraId="0C23CCD7" w14:textId="77777777" w:rsidR="00304672" w:rsidRPr="00304672" w:rsidRDefault="00304672" w:rsidP="00252EAF">
            <w:pPr>
              <w:spacing w:after="0" w:line="240" w:lineRule="auto"/>
              <w:jc w:val="right"/>
              <w:rPr>
                <w:rFonts w:eastAsia="Times New Roman" w:cs="Arial"/>
                <w:b/>
                <w:color w:val="000000"/>
                <w:sz w:val="16"/>
                <w:szCs w:val="16"/>
                <w:lang w:eastAsia="en-AU"/>
              </w:rPr>
            </w:pPr>
          </w:p>
        </w:tc>
        <w:tc>
          <w:tcPr>
            <w:tcW w:w="850" w:type="dxa"/>
            <w:tcBorders>
              <w:top w:val="nil"/>
              <w:left w:val="nil"/>
              <w:bottom w:val="single" w:sz="4" w:space="0" w:color="auto"/>
              <w:right w:val="nil"/>
            </w:tcBorders>
            <w:shd w:val="clear" w:color="000000" w:fill="D3C5D7"/>
            <w:noWrap/>
            <w:vAlign w:val="center"/>
            <w:hideMark/>
          </w:tcPr>
          <w:p w14:paraId="547619B7" w14:textId="77777777" w:rsidR="00304672" w:rsidRPr="00304672" w:rsidRDefault="00304672" w:rsidP="00252EAF">
            <w:pPr>
              <w:spacing w:after="0" w:line="240" w:lineRule="auto"/>
              <w:jc w:val="right"/>
              <w:rPr>
                <w:rFonts w:eastAsia="Times New Roman" w:cs="Arial"/>
                <w:b/>
                <w:color w:val="000000"/>
                <w:sz w:val="16"/>
                <w:szCs w:val="16"/>
                <w:lang w:eastAsia="en-AU"/>
              </w:rPr>
            </w:pPr>
          </w:p>
        </w:tc>
        <w:tc>
          <w:tcPr>
            <w:tcW w:w="851" w:type="dxa"/>
            <w:tcBorders>
              <w:top w:val="nil"/>
              <w:left w:val="nil"/>
              <w:bottom w:val="single" w:sz="4" w:space="0" w:color="auto"/>
              <w:right w:val="single" w:sz="4" w:space="0" w:color="auto"/>
            </w:tcBorders>
            <w:shd w:val="clear" w:color="000000" w:fill="D3C5D7"/>
            <w:noWrap/>
            <w:vAlign w:val="center"/>
            <w:hideMark/>
          </w:tcPr>
          <w:p w14:paraId="51C55FE1" w14:textId="77777777" w:rsidR="00304672" w:rsidRPr="00304672" w:rsidRDefault="00304672" w:rsidP="00252EAF">
            <w:pPr>
              <w:spacing w:after="0" w:line="240" w:lineRule="auto"/>
              <w:jc w:val="right"/>
              <w:rPr>
                <w:rFonts w:eastAsia="Times New Roman" w:cs="Arial"/>
                <w:b/>
                <w:color w:val="000000"/>
                <w:sz w:val="16"/>
                <w:szCs w:val="16"/>
                <w:lang w:eastAsia="en-AU"/>
              </w:rPr>
            </w:pPr>
          </w:p>
        </w:tc>
        <w:tc>
          <w:tcPr>
            <w:tcW w:w="850" w:type="dxa"/>
            <w:tcBorders>
              <w:top w:val="nil"/>
              <w:left w:val="nil"/>
              <w:bottom w:val="single" w:sz="4" w:space="0" w:color="auto"/>
              <w:right w:val="single" w:sz="4" w:space="0" w:color="auto"/>
            </w:tcBorders>
            <w:shd w:val="clear" w:color="000000" w:fill="D3C5D7"/>
            <w:noWrap/>
            <w:vAlign w:val="center"/>
            <w:hideMark/>
          </w:tcPr>
          <w:p w14:paraId="1BFC2690" w14:textId="77777777" w:rsidR="00304672" w:rsidRPr="00304672" w:rsidRDefault="00304672" w:rsidP="00252EAF">
            <w:pPr>
              <w:spacing w:after="0" w:line="240" w:lineRule="auto"/>
              <w:jc w:val="right"/>
              <w:rPr>
                <w:rFonts w:eastAsia="Times New Roman" w:cs="Arial"/>
                <w:b/>
                <w:color w:val="000000"/>
                <w:sz w:val="16"/>
                <w:szCs w:val="16"/>
                <w:lang w:eastAsia="en-AU"/>
              </w:rPr>
            </w:pPr>
          </w:p>
        </w:tc>
        <w:tc>
          <w:tcPr>
            <w:tcW w:w="851" w:type="dxa"/>
            <w:tcBorders>
              <w:top w:val="nil"/>
              <w:left w:val="nil"/>
              <w:bottom w:val="single" w:sz="4" w:space="0" w:color="auto"/>
              <w:right w:val="nil"/>
            </w:tcBorders>
            <w:shd w:val="clear" w:color="000000" w:fill="D3C5D7"/>
            <w:noWrap/>
            <w:vAlign w:val="center"/>
            <w:hideMark/>
          </w:tcPr>
          <w:p w14:paraId="33602466" w14:textId="77777777" w:rsidR="00304672" w:rsidRPr="00304672" w:rsidRDefault="00304672" w:rsidP="00252EAF">
            <w:pPr>
              <w:spacing w:after="0" w:line="240" w:lineRule="auto"/>
              <w:jc w:val="right"/>
              <w:rPr>
                <w:rFonts w:eastAsia="Times New Roman" w:cs="Arial"/>
                <w:b/>
                <w:color w:val="000000"/>
                <w:sz w:val="16"/>
                <w:szCs w:val="16"/>
                <w:lang w:eastAsia="en-AU"/>
              </w:rPr>
            </w:pPr>
          </w:p>
        </w:tc>
        <w:tc>
          <w:tcPr>
            <w:tcW w:w="850" w:type="dxa"/>
            <w:tcBorders>
              <w:top w:val="nil"/>
              <w:left w:val="nil"/>
              <w:bottom w:val="single" w:sz="4" w:space="0" w:color="auto"/>
              <w:right w:val="nil"/>
            </w:tcBorders>
            <w:shd w:val="clear" w:color="000000" w:fill="D3C5D7"/>
            <w:noWrap/>
            <w:vAlign w:val="center"/>
            <w:hideMark/>
          </w:tcPr>
          <w:p w14:paraId="0A613ED7" w14:textId="77777777" w:rsidR="00304672" w:rsidRPr="00304672" w:rsidRDefault="00304672" w:rsidP="00252EAF">
            <w:pPr>
              <w:spacing w:after="0" w:line="240" w:lineRule="auto"/>
              <w:jc w:val="right"/>
              <w:rPr>
                <w:rFonts w:eastAsia="Times New Roman" w:cs="Arial"/>
                <w:b/>
                <w:color w:val="000000"/>
                <w:sz w:val="16"/>
                <w:szCs w:val="16"/>
                <w:lang w:eastAsia="en-AU"/>
              </w:rPr>
            </w:pPr>
          </w:p>
        </w:tc>
        <w:tc>
          <w:tcPr>
            <w:tcW w:w="851" w:type="dxa"/>
            <w:tcBorders>
              <w:top w:val="nil"/>
              <w:left w:val="nil"/>
              <w:bottom w:val="single" w:sz="4" w:space="0" w:color="auto"/>
              <w:right w:val="nil"/>
            </w:tcBorders>
            <w:shd w:val="clear" w:color="000000" w:fill="D3C5D7"/>
            <w:noWrap/>
            <w:vAlign w:val="center"/>
            <w:hideMark/>
          </w:tcPr>
          <w:p w14:paraId="4FB47327" w14:textId="77777777" w:rsidR="00304672" w:rsidRPr="00304672" w:rsidRDefault="00304672" w:rsidP="00252EAF">
            <w:pPr>
              <w:spacing w:after="0" w:line="240" w:lineRule="auto"/>
              <w:jc w:val="right"/>
              <w:rPr>
                <w:rFonts w:eastAsia="Times New Roman" w:cs="Arial"/>
                <w:b/>
                <w:color w:val="000000"/>
                <w:sz w:val="16"/>
                <w:szCs w:val="16"/>
                <w:lang w:eastAsia="en-AU"/>
              </w:rPr>
            </w:pPr>
          </w:p>
        </w:tc>
        <w:tc>
          <w:tcPr>
            <w:tcW w:w="851" w:type="dxa"/>
            <w:tcBorders>
              <w:top w:val="nil"/>
              <w:left w:val="nil"/>
              <w:bottom w:val="single" w:sz="4" w:space="0" w:color="auto"/>
              <w:right w:val="single" w:sz="4" w:space="0" w:color="auto"/>
            </w:tcBorders>
            <w:shd w:val="clear" w:color="000000" w:fill="D3C5D7"/>
            <w:noWrap/>
            <w:vAlign w:val="center"/>
            <w:hideMark/>
          </w:tcPr>
          <w:p w14:paraId="58B29015" w14:textId="77777777" w:rsidR="00304672" w:rsidRPr="00304672" w:rsidRDefault="00304672" w:rsidP="00252EAF">
            <w:pPr>
              <w:spacing w:after="0" w:line="240" w:lineRule="auto"/>
              <w:jc w:val="right"/>
              <w:rPr>
                <w:rFonts w:eastAsia="Times New Roman" w:cs="Arial"/>
                <w:b/>
                <w:color w:val="000000"/>
                <w:sz w:val="16"/>
                <w:szCs w:val="16"/>
                <w:lang w:eastAsia="en-AU"/>
              </w:rPr>
            </w:pPr>
          </w:p>
        </w:tc>
      </w:tr>
      <w:tr w:rsidR="00252EAF" w:rsidRPr="00304672" w14:paraId="354777D2" w14:textId="77777777" w:rsidTr="00252EAF">
        <w:trPr>
          <w:trHeight w:val="301"/>
        </w:trPr>
        <w:tc>
          <w:tcPr>
            <w:tcW w:w="2978" w:type="dxa"/>
            <w:tcBorders>
              <w:top w:val="nil"/>
              <w:left w:val="single" w:sz="4" w:space="0" w:color="auto"/>
              <w:bottom w:val="single" w:sz="4" w:space="0" w:color="auto"/>
              <w:right w:val="single" w:sz="4" w:space="0" w:color="auto"/>
            </w:tcBorders>
            <w:shd w:val="clear" w:color="auto" w:fill="auto"/>
            <w:noWrap/>
            <w:vAlign w:val="center"/>
            <w:hideMark/>
          </w:tcPr>
          <w:p w14:paraId="3C816FC5" w14:textId="77777777" w:rsidR="00304672" w:rsidRPr="00304672" w:rsidRDefault="00304672" w:rsidP="00304672">
            <w:pPr>
              <w:spacing w:after="0" w:line="240" w:lineRule="auto"/>
              <w:rPr>
                <w:rFonts w:eastAsia="Times New Roman" w:cs="Arial"/>
                <w:color w:val="000000"/>
                <w:sz w:val="16"/>
                <w:szCs w:val="16"/>
                <w:lang w:eastAsia="en-AU"/>
              </w:rPr>
            </w:pPr>
            <w:r w:rsidRPr="00304672">
              <w:rPr>
                <w:rFonts w:eastAsia="Times New Roman" w:cs="Arial"/>
                <w:color w:val="000000"/>
                <w:sz w:val="16"/>
                <w:szCs w:val="16"/>
                <w:lang w:eastAsia="en-AU"/>
              </w:rPr>
              <w:t>Actual average participant payments</w:t>
            </w:r>
          </w:p>
        </w:tc>
        <w:tc>
          <w:tcPr>
            <w:tcW w:w="991" w:type="dxa"/>
            <w:tcBorders>
              <w:top w:val="nil"/>
              <w:left w:val="nil"/>
              <w:bottom w:val="single" w:sz="4" w:space="0" w:color="auto"/>
              <w:right w:val="nil"/>
            </w:tcBorders>
            <w:shd w:val="clear" w:color="auto" w:fill="auto"/>
            <w:noWrap/>
            <w:vAlign w:val="center"/>
            <w:hideMark/>
          </w:tcPr>
          <w:p w14:paraId="4CA9A717"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38,900</w:t>
            </w:r>
          </w:p>
        </w:tc>
        <w:tc>
          <w:tcPr>
            <w:tcW w:w="851" w:type="dxa"/>
            <w:tcBorders>
              <w:top w:val="nil"/>
              <w:left w:val="nil"/>
              <w:bottom w:val="single" w:sz="4" w:space="0" w:color="auto"/>
              <w:right w:val="nil"/>
            </w:tcBorders>
            <w:shd w:val="clear" w:color="000000" w:fill="FFE699"/>
            <w:noWrap/>
            <w:vAlign w:val="center"/>
            <w:hideMark/>
          </w:tcPr>
          <w:p w14:paraId="237C04FC"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42,500</w:t>
            </w:r>
          </w:p>
        </w:tc>
        <w:tc>
          <w:tcPr>
            <w:tcW w:w="850" w:type="dxa"/>
            <w:tcBorders>
              <w:top w:val="nil"/>
              <w:left w:val="nil"/>
              <w:bottom w:val="single" w:sz="4" w:space="0" w:color="auto"/>
              <w:right w:val="nil"/>
            </w:tcBorders>
            <w:shd w:val="clear" w:color="000000" w:fill="FFE699"/>
            <w:noWrap/>
            <w:vAlign w:val="center"/>
            <w:hideMark/>
          </w:tcPr>
          <w:p w14:paraId="67D7F30A"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50,800</w:t>
            </w:r>
          </w:p>
        </w:tc>
        <w:tc>
          <w:tcPr>
            <w:tcW w:w="851" w:type="dxa"/>
            <w:tcBorders>
              <w:top w:val="nil"/>
              <w:left w:val="nil"/>
              <w:bottom w:val="single" w:sz="4" w:space="0" w:color="auto"/>
              <w:right w:val="single" w:sz="4" w:space="0" w:color="auto"/>
            </w:tcBorders>
            <w:shd w:val="clear" w:color="000000" w:fill="FFE699"/>
            <w:noWrap/>
            <w:vAlign w:val="center"/>
            <w:hideMark/>
          </w:tcPr>
          <w:p w14:paraId="6293A903"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54,300</w:t>
            </w:r>
          </w:p>
        </w:tc>
        <w:tc>
          <w:tcPr>
            <w:tcW w:w="850" w:type="dxa"/>
            <w:tcBorders>
              <w:top w:val="nil"/>
              <w:left w:val="nil"/>
              <w:bottom w:val="single" w:sz="4" w:space="0" w:color="auto"/>
              <w:right w:val="single" w:sz="4" w:space="0" w:color="auto"/>
            </w:tcBorders>
            <w:shd w:val="clear" w:color="000000" w:fill="FFE699"/>
            <w:noWrap/>
            <w:vAlign w:val="center"/>
            <w:hideMark/>
          </w:tcPr>
          <w:p w14:paraId="55C7C4E2"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55,200</w:t>
            </w:r>
          </w:p>
        </w:tc>
        <w:tc>
          <w:tcPr>
            <w:tcW w:w="851" w:type="dxa"/>
            <w:tcBorders>
              <w:top w:val="nil"/>
              <w:left w:val="nil"/>
              <w:bottom w:val="single" w:sz="4" w:space="0" w:color="auto"/>
              <w:right w:val="nil"/>
            </w:tcBorders>
            <w:shd w:val="clear" w:color="000000" w:fill="BFBFBF"/>
            <w:noWrap/>
            <w:vAlign w:val="center"/>
            <w:hideMark/>
          </w:tcPr>
          <w:p w14:paraId="6BD90869"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0" w:type="dxa"/>
            <w:tcBorders>
              <w:top w:val="nil"/>
              <w:left w:val="nil"/>
              <w:bottom w:val="single" w:sz="4" w:space="0" w:color="auto"/>
              <w:right w:val="nil"/>
            </w:tcBorders>
            <w:shd w:val="clear" w:color="000000" w:fill="BFBFBF"/>
            <w:noWrap/>
            <w:vAlign w:val="center"/>
            <w:hideMark/>
          </w:tcPr>
          <w:p w14:paraId="00249D15" w14:textId="77777777" w:rsidR="00304672" w:rsidRPr="00304672" w:rsidRDefault="00304672" w:rsidP="00252EAF">
            <w:pPr>
              <w:spacing w:after="0" w:line="240" w:lineRule="auto"/>
              <w:jc w:val="right"/>
              <w:rPr>
                <w:rFonts w:eastAsia="Times New Roman" w:cs="Arial"/>
                <w:i/>
                <w:color w:val="000000"/>
                <w:sz w:val="16"/>
                <w:szCs w:val="16"/>
                <w:lang w:eastAsia="en-AU"/>
              </w:rPr>
            </w:pPr>
          </w:p>
        </w:tc>
        <w:tc>
          <w:tcPr>
            <w:tcW w:w="851" w:type="dxa"/>
            <w:tcBorders>
              <w:top w:val="nil"/>
              <w:left w:val="nil"/>
              <w:bottom w:val="single" w:sz="4" w:space="0" w:color="auto"/>
              <w:right w:val="nil"/>
            </w:tcBorders>
            <w:shd w:val="clear" w:color="000000" w:fill="BFBFBF"/>
            <w:noWrap/>
            <w:vAlign w:val="center"/>
            <w:hideMark/>
          </w:tcPr>
          <w:p w14:paraId="17AAE8B3" w14:textId="77777777" w:rsidR="00304672" w:rsidRPr="00304672" w:rsidRDefault="00304672" w:rsidP="00252EAF">
            <w:pPr>
              <w:spacing w:after="0" w:line="240" w:lineRule="auto"/>
              <w:jc w:val="right"/>
              <w:rPr>
                <w:rFonts w:eastAsia="Times New Roman" w:cs="Arial"/>
                <w:i/>
                <w:color w:val="000000"/>
                <w:sz w:val="16"/>
                <w:szCs w:val="16"/>
                <w:lang w:eastAsia="en-AU"/>
              </w:rPr>
            </w:pPr>
          </w:p>
        </w:tc>
        <w:tc>
          <w:tcPr>
            <w:tcW w:w="851" w:type="dxa"/>
            <w:tcBorders>
              <w:top w:val="nil"/>
              <w:left w:val="nil"/>
              <w:bottom w:val="single" w:sz="4" w:space="0" w:color="auto"/>
              <w:right w:val="single" w:sz="4" w:space="0" w:color="auto"/>
            </w:tcBorders>
            <w:shd w:val="clear" w:color="000000" w:fill="BFBFBF"/>
            <w:noWrap/>
            <w:vAlign w:val="center"/>
            <w:hideMark/>
          </w:tcPr>
          <w:p w14:paraId="12ADEC1B" w14:textId="77777777" w:rsidR="00304672" w:rsidRPr="00304672" w:rsidRDefault="00304672" w:rsidP="00252EAF">
            <w:pPr>
              <w:spacing w:after="0" w:line="240" w:lineRule="auto"/>
              <w:jc w:val="right"/>
              <w:rPr>
                <w:rFonts w:eastAsia="Times New Roman" w:cs="Arial"/>
                <w:i/>
                <w:color w:val="000000"/>
                <w:sz w:val="16"/>
                <w:szCs w:val="16"/>
                <w:lang w:eastAsia="en-AU"/>
              </w:rPr>
            </w:pPr>
          </w:p>
        </w:tc>
      </w:tr>
      <w:tr w:rsidR="00252EAF" w:rsidRPr="00304672" w14:paraId="5905E1CD" w14:textId="77777777" w:rsidTr="00F830E6">
        <w:trPr>
          <w:trHeight w:val="301"/>
        </w:trPr>
        <w:tc>
          <w:tcPr>
            <w:tcW w:w="2978" w:type="dxa"/>
            <w:tcBorders>
              <w:top w:val="nil"/>
              <w:left w:val="single" w:sz="4" w:space="0" w:color="auto"/>
              <w:bottom w:val="single" w:sz="4" w:space="0" w:color="auto"/>
              <w:right w:val="single" w:sz="4" w:space="0" w:color="auto"/>
            </w:tcBorders>
            <w:shd w:val="clear" w:color="auto" w:fill="auto"/>
            <w:vAlign w:val="center"/>
            <w:hideMark/>
          </w:tcPr>
          <w:p w14:paraId="11CC7F2D" w14:textId="77777777" w:rsidR="00304672" w:rsidRPr="00304672" w:rsidRDefault="00304672" w:rsidP="00304672">
            <w:pPr>
              <w:spacing w:after="0" w:line="240" w:lineRule="auto"/>
              <w:rPr>
                <w:rFonts w:eastAsia="Times New Roman" w:cs="Arial"/>
                <w:color w:val="000000"/>
                <w:sz w:val="16"/>
                <w:szCs w:val="16"/>
                <w:lang w:eastAsia="en-AU"/>
              </w:rPr>
            </w:pPr>
            <w:r w:rsidRPr="00304672">
              <w:rPr>
                <w:rFonts w:eastAsia="Times New Roman" w:cs="Arial"/>
                <w:color w:val="000000"/>
                <w:sz w:val="16"/>
                <w:szCs w:val="16"/>
                <w:lang w:eastAsia="en-AU"/>
              </w:rPr>
              <w:t>Actual average participant payments compared with AFSR</w:t>
            </w:r>
            <w:r w:rsidR="00CC02CC">
              <w:rPr>
                <w:rFonts w:eastAsia="Times New Roman" w:cs="Arial"/>
                <w:color w:val="000000"/>
                <w:sz w:val="16"/>
                <w:szCs w:val="16"/>
                <w:lang w:eastAsia="en-AU"/>
              </w:rPr>
              <w:t xml:space="preserve"> ($)</w:t>
            </w:r>
          </w:p>
        </w:tc>
        <w:tc>
          <w:tcPr>
            <w:tcW w:w="991" w:type="dxa"/>
            <w:tcBorders>
              <w:top w:val="nil"/>
              <w:left w:val="nil"/>
              <w:bottom w:val="single" w:sz="4" w:space="0" w:color="auto"/>
              <w:right w:val="nil"/>
            </w:tcBorders>
            <w:shd w:val="clear" w:color="000000" w:fill="BFBFBF"/>
            <w:noWrap/>
            <w:vAlign w:val="center"/>
            <w:hideMark/>
          </w:tcPr>
          <w:p w14:paraId="6D379CC3"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nil"/>
            </w:tcBorders>
            <w:shd w:val="clear" w:color="000000" w:fill="FFE699"/>
            <w:noWrap/>
            <w:vAlign w:val="center"/>
            <w:hideMark/>
          </w:tcPr>
          <w:p w14:paraId="0985E69F"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3,700</w:t>
            </w:r>
          </w:p>
        </w:tc>
        <w:tc>
          <w:tcPr>
            <w:tcW w:w="850" w:type="dxa"/>
            <w:tcBorders>
              <w:top w:val="nil"/>
              <w:left w:val="nil"/>
              <w:bottom w:val="single" w:sz="4" w:space="0" w:color="auto"/>
              <w:right w:val="nil"/>
            </w:tcBorders>
            <w:shd w:val="clear" w:color="000000" w:fill="FFE699"/>
            <w:noWrap/>
            <w:vAlign w:val="center"/>
            <w:hideMark/>
          </w:tcPr>
          <w:p w14:paraId="70ED05F3"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1,000</w:t>
            </w:r>
          </w:p>
        </w:tc>
        <w:tc>
          <w:tcPr>
            <w:tcW w:w="851" w:type="dxa"/>
            <w:tcBorders>
              <w:top w:val="nil"/>
              <w:left w:val="nil"/>
              <w:bottom w:val="single" w:sz="4" w:space="0" w:color="auto"/>
              <w:right w:val="single" w:sz="4" w:space="0" w:color="auto"/>
            </w:tcBorders>
            <w:shd w:val="clear" w:color="000000" w:fill="FFE699"/>
            <w:noWrap/>
            <w:vAlign w:val="center"/>
            <w:hideMark/>
          </w:tcPr>
          <w:p w14:paraId="500A3137"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2,500</w:t>
            </w:r>
          </w:p>
        </w:tc>
        <w:tc>
          <w:tcPr>
            <w:tcW w:w="850" w:type="dxa"/>
            <w:tcBorders>
              <w:top w:val="nil"/>
              <w:left w:val="nil"/>
              <w:bottom w:val="single" w:sz="4" w:space="0" w:color="auto"/>
              <w:right w:val="single" w:sz="4" w:space="0" w:color="auto"/>
            </w:tcBorders>
            <w:shd w:val="clear" w:color="000000" w:fill="FFE699"/>
            <w:noWrap/>
            <w:vAlign w:val="center"/>
            <w:hideMark/>
          </w:tcPr>
          <w:p w14:paraId="320EE139" w14:textId="77777777" w:rsidR="00304672" w:rsidRPr="00304672" w:rsidRDefault="00304672" w:rsidP="00252EAF">
            <w:pPr>
              <w:spacing w:after="0" w:line="240" w:lineRule="auto"/>
              <w:jc w:val="right"/>
              <w:rPr>
                <w:rFonts w:eastAsia="Times New Roman" w:cs="Arial"/>
                <w:color w:val="000000"/>
                <w:sz w:val="16"/>
                <w:szCs w:val="16"/>
                <w:lang w:eastAsia="en-AU"/>
              </w:rPr>
            </w:pPr>
            <w:r w:rsidRPr="00D72D94">
              <w:rPr>
                <w:rFonts w:cs="Arial"/>
                <w:sz w:val="16"/>
                <w:szCs w:val="16"/>
              </w:rPr>
              <w:t>-2,600</w:t>
            </w:r>
          </w:p>
        </w:tc>
        <w:tc>
          <w:tcPr>
            <w:tcW w:w="851" w:type="dxa"/>
            <w:tcBorders>
              <w:top w:val="nil"/>
              <w:left w:val="nil"/>
              <w:bottom w:val="single" w:sz="4" w:space="0" w:color="auto"/>
              <w:right w:val="nil"/>
            </w:tcBorders>
            <w:shd w:val="clear" w:color="000000" w:fill="BFBFBF"/>
            <w:noWrap/>
            <w:vAlign w:val="center"/>
            <w:hideMark/>
          </w:tcPr>
          <w:p w14:paraId="7FE3242A"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0" w:type="dxa"/>
            <w:tcBorders>
              <w:top w:val="nil"/>
              <w:left w:val="nil"/>
              <w:bottom w:val="single" w:sz="4" w:space="0" w:color="auto"/>
              <w:right w:val="nil"/>
            </w:tcBorders>
            <w:shd w:val="clear" w:color="000000" w:fill="BFBFBF"/>
            <w:noWrap/>
            <w:vAlign w:val="center"/>
            <w:hideMark/>
          </w:tcPr>
          <w:p w14:paraId="47EF6501"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nil"/>
            </w:tcBorders>
            <w:shd w:val="clear" w:color="000000" w:fill="BFBFBF"/>
            <w:noWrap/>
            <w:vAlign w:val="center"/>
            <w:hideMark/>
          </w:tcPr>
          <w:p w14:paraId="4602BA0B" w14:textId="77777777" w:rsidR="00304672" w:rsidRPr="00304672" w:rsidRDefault="00304672" w:rsidP="00252EAF">
            <w:pPr>
              <w:spacing w:after="0" w:line="240" w:lineRule="auto"/>
              <w:jc w:val="right"/>
              <w:rPr>
                <w:rFonts w:eastAsia="Times New Roman" w:cs="Arial"/>
                <w:color w:val="000000"/>
                <w:sz w:val="16"/>
                <w:szCs w:val="16"/>
                <w:lang w:eastAsia="en-AU"/>
              </w:rPr>
            </w:pPr>
          </w:p>
        </w:tc>
        <w:tc>
          <w:tcPr>
            <w:tcW w:w="851" w:type="dxa"/>
            <w:tcBorders>
              <w:top w:val="nil"/>
              <w:left w:val="nil"/>
              <w:bottom w:val="single" w:sz="4" w:space="0" w:color="auto"/>
              <w:right w:val="single" w:sz="4" w:space="0" w:color="auto"/>
            </w:tcBorders>
            <w:shd w:val="clear" w:color="000000" w:fill="BFBFBF"/>
            <w:noWrap/>
            <w:vAlign w:val="center"/>
            <w:hideMark/>
          </w:tcPr>
          <w:p w14:paraId="71A81A4D" w14:textId="77777777" w:rsidR="00304672" w:rsidRPr="00304672" w:rsidRDefault="00304672" w:rsidP="00252EAF">
            <w:pPr>
              <w:spacing w:after="0" w:line="240" w:lineRule="auto"/>
              <w:jc w:val="right"/>
              <w:rPr>
                <w:rFonts w:eastAsia="Times New Roman" w:cs="Arial"/>
                <w:color w:val="000000"/>
                <w:sz w:val="16"/>
                <w:szCs w:val="16"/>
                <w:lang w:eastAsia="en-AU"/>
              </w:rPr>
            </w:pPr>
          </w:p>
        </w:tc>
      </w:tr>
      <w:tr w:rsidR="00CC02CC" w:rsidRPr="00304672" w14:paraId="22CC18DD" w14:textId="77777777" w:rsidTr="00CC02CC">
        <w:trPr>
          <w:trHeight w:val="301"/>
        </w:trPr>
        <w:tc>
          <w:tcPr>
            <w:tcW w:w="2978" w:type="dxa"/>
            <w:tcBorders>
              <w:top w:val="single" w:sz="4" w:space="0" w:color="auto"/>
              <w:left w:val="single" w:sz="4" w:space="0" w:color="auto"/>
              <w:bottom w:val="single" w:sz="4" w:space="0" w:color="auto"/>
              <w:right w:val="single" w:sz="4" w:space="0" w:color="auto"/>
            </w:tcBorders>
            <w:shd w:val="clear" w:color="auto" w:fill="auto"/>
            <w:vAlign w:val="center"/>
          </w:tcPr>
          <w:p w14:paraId="51B4499E" w14:textId="77777777" w:rsidR="00CC02CC" w:rsidRDefault="00CC02CC" w:rsidP="00CC02CC">
            <w:pPr>
              <w:spacing w:after="0" w:line="240" w:lineRule="auto"/>
              <w:rPr>
                <w:rFonts w:eastAsia="Times New Roman" w:cs="Arial"/>
                <w:color w:val="000000"/>
                <w:sz w:val="16"/>
                <w:szCs w:val="16"/>
                <w:lang w:eastAsia="en-AU"/>
              </w:rPr>
            </w:pPr>
            <w:r w:rsidRPr="00304672">
              <w:rPr>
                <w:rFonts w:eastAsia="Times New Roman" w:cs="Arial"/>
                <w:color w:val="000000"/>
                <w:sz w:val="16"/>
                <w:szCs w:val="16"/>
                <w:lang w:eastAsia="en-AU"/>
              </w:rPr>
              <w:t>Actual average participant payments compared with AFSR</w:t>
            </w:r>
            <w:r>
              <w:rPr>
                <w:rFonts w:eastAsia="Times New Roman" w:cs="Arial"/>
                <w:color w:val="000000"/>
                <w:sz w:val="16"/>
                <w:szCs w:val="16"/>
                <w:lang w:eastAsia="en-AU"/>
              </w:rPr>
              <w:t xml:space="preserve"> (%)</w:t>
            </w:r>
          </w:p>
          <w:p w14:paraId="0C790B91" w14:textId="77777777" w:rsidR="00CC02CC" w:rsidRPr="00F830E6" w:rsidRDefault="00CC02CC">
            <w:pPr>
              <w:spacing w:after="0" w:line="240" w:lineRule="auto"/>
              <w:rPr>
                <w:rFonts w:eastAsia="Times New Roman" w:cs="Arial"/>
                <w:i/>
                <w:color w:val="000000"/>
                <w:sz w:val="16"/>
                <w:szCs w:val="16"/>
                <w:lang w:eastAsia="en-AU"/>
              </w:rPr>
            </w:pPr>
            <w:r w:rsidRPr="00F830E6">
              <w:rPr>
                <w:rFonts w:eastAsia="Times New Roman" w:cs="Arial"/>
                <w:i/>
                <w:color w:val="000000"/>
                <w:sz w:val="16"/>
                <w:szCs w:val="16"/>
                <w:lang w:eastAsia="en-AU"/>
              </w:rPr>
              <w:t>(Actual – AFSR projection) / Actual</w:t>
            </w:r>
          </w:p>
        </w:tc>
        <w:tc>
          <w:tcPr>
            <w:tcW w:w="991" w:type="dxa"/>
            <w:tcBorders>
              <w:top w:val="single" w:sz="4" w:space="0" w:color="auto"/>
              <w:left w:val="nil"/>
              <w:bottom w:val="single" w:sz="4" w:space="0" w:color="auto"/>
              <w:right w:val="nil"/>
            </w:tcBorders>
            <w:shd w:val="clear" w:color="000000" w:fill="BFBFBF"/>
            <w:noWrap/>
            <w:vAlign w:val="center"/>
          </w:tcPr>
          <w:p w14:paraId="1ABD7300" w14:textId="77777777" w:rsidR="00CC02CC" w:rsidRPr="00304672" w:rsidRDefault="00CC02CC" w:rsidP="00CC02CC">
            <w:pPr>
              <w:spacing w:after="0" w:line="240" w:lineRule="auto"/>
              <w:jc w:val="right"/>
              <w:rPr>
                <w:rFonts w:eastAsia="Times New Roman" w:cs="Arial"/>
                <w:color w:val="000000"/>
                <w:sz w:val="16"/>
                <w:szCs w:val="16"/>
                <w:lang w:eastAsia="en-AU"/>
              </w:rPr>
            </w:pPr>
          </w:p>
        </w:tc>
        <w:tc>
          <w:tcPr>
            <w:tcW w:w="851" w:type="dxa"/>
            <w:tcBorders>
              <w:top w:val="single" w:sz="4" w:space="0" w:color="auto"/>
              <w:left w:val="nil"/>
              <w:bottom w:val="single" w:sz="4" w:space="0" w:color="auto"/>
              <w:right w:val="nil"/>
            </w:tcBorders>
            <w:shd w:val="clear" w:color="000000" w:fill="FFE699"/>
            <w:noWrap/>
            <w:vAlign w:val="center"/>
          </w:tcPr>
          <w:p w14:paraId="70F178C0" w14:textId="77777777" w:rsidR="00CC02CC" w:rsidRPr="00CC02CC" w:rsidRDefault="00CC02CC" w:rsidP="00CC02CC">
            <w:pPr>
              <w:spacing w:after="0" w:line="240" w:lineRule="auto"/>
              <w:jc w:val="right"/>
              <w:rPr>
                <w:rFonts w:cs="Arial"/>
                <w:sz w:val="16"/>
                <w:szCs w:val="16"/>
              </w:rPr>
            </w:pPr>
            <w:r w:rsidRPr="00F830E6">
              <w:rPr>
                <w:rFonts w:cs="Arial"/>
                <w:color w:val="000000"/>
                <w:sz w:val="16"/>
                <w:szCs w:val="16"/>
              </w:rPr>
              <w:t>8.5%</w:t>
            </w:r>
          </w:p>
        </w:tc>
        <w:tc>
          <w:tcPr>
            <w:tcW w:w="850" w:type="dxa"/>
            <w:tcBorders>
              <w:top w:val="single" w:sz="4" w:space="0" w:color="auto"/>
              <w:left w:val="nil"/>
              <w:bottom w:val="single" w:sz="4" w:space="0" w:color="auto"/>
              <w:right w:val="nil"/>
            </w:tcBorders>
            <w:shd w:val="clear" w:color="000000" w:fill="FFE699"/>
            <w:noWrap/>
            <w:vAlign w:val="center"/>
          </w:tcPr>
          <w:p w14:paraId="7AB24EF7" w14:textId="77777777" w:rsidR="00CC02CC" w:rsidRPr="00CC02CC" w:rsidRDefault="00CC02CC" w:rsidP="00CC02CC">
            <w:pPr>
              <w:spacing w:after="0" w:line="240" w:lineRule="auto"/>
              <w:jc w:val="right"/>
              <w:rPr>
                <w:rFonts w:cs="Arial"/>
                <w:sz w:val="16"/>
                <w:szCs w:val="16"/>
              </w:rPr>
            </w:pPr>
            <w:r w:rsidRPr="00F830E6">
              <w:rPr>
                <w:rFonts w:cs="Arial"/>
                <w:color w:val="000000"/>
                <w:sz w:val="16"/>
                <w:szCs w:val="16"/>
              </w:rPr>
              <w:t>1.9%</w:t>
            </w:r>
          </w:p>
        </w:tc>
        <w:tc>
          <w:tcPr>
            <w:tcW w:w="851" w:type="dxa"/>
            <w:tcBorders>
              <w:top w:val="single" w:sz="4" w:space="0" w:color="auto"/>
              <w:left w:val="nil"/>
              <w:bottom w:val="single" w:sz="4" w:space="0" w:color="auto"/>
              <w:right w:val="single" w:sz="4" w:space="0" w:color="auto"/>
            </w:tcBorders>
            <w:shd w:val="clear" w:color="000000" w:fill="FFE699"/>
            <w:noWrap/>
            <w:vAlign w:val="center"/>
          </w:tcPr>
          <w:p w14:paraId="258C4541" w14:textId="77777777" w:rsidR="00CC02CC" w:rsidRPr="00CC02CC" w:rsidRDefault="00CC02CC" w:rsidP="00CC02CC">
            <w:pPr>
              <w:spacing w:after="0" w:line="240" w:lineRule="auto"/>
              <w:jc w:val="right"/>
              <w:rPr>
                <w:rFonts w:cs="Arial"/>
                <w:sz w:val="16"/>
                <w:szCs w:val="16"/>
              </w:rPr>
            </w:pPr>
            <w:r w:rsidRPr="00F830E6">
              <w:rPr>
                <w:rFonts w:cs="Arial"/>
                <w:color w:val="000000"/>
                <w:sz w:val="16"/>
                <w:szCs w:val="16"/>
              </w:rPr>
              <w:t>4.7%</w:t>
            </w:r>
          </w:p>
        </w:tc>
        <w:tc>
          <w:tcPr>
            <w:tcW w:w="850" w:type="dxa"/>
            <w:tcBorders>
              <w:top w:val="single" w:sz="4" w:space="0" w:color="auto"/>
              <w:left w:val="nil"/>
              <w:bottom w:val="single" w:sz="4" w:space="0" w:color="auto"/>
              <w:right w:val="single" w:sz="4" w:space="0" w:color="auto"/>
            </w:tcBorders>
            <w:shd w:val="clear" w:color="000000" w:fill="FFE699"/>
            <w:noWrap/>
            <w:vAlign w:val="center"/>
          </w:tcPr>
          <w:p w14:paraId="11499B45" w14:textId="77777777" w:rsidR="00CC02CC" w:rsidRPr="00CC02CC" w:rsidRDefault="00CC02CC" w:rsidP="00CC02CC">
            <w:pPr>
              <w:spacing w:after="0" w:line="240" w:lineRule="auto"/>
              <w:jc w:val="right"/>
              <w:rPr>
                <w:rFonts w:cs="Arial"/>
                <w:sz w:val="16"/>
                <w:szCs w:val="16"/>
              </w:rPr>
            </w:pPr>
            <w:r w:rsidRPr="00F830E6">
              <w:rPr>
                <w:rFonts w:cs="Arial"/>
                <w:color w:val="000000"/>
                <w:sz w:val="16"/>
                <w:szCs w:val="16"/>
              </w:rPr>
              <w:t>-4.8%</w:t>
            </w:r>
          </w:p>
        </w:tc>
        <w:tc>
          <w:tcPr>
            <w:tcW w:w="851" w:type="dxa"/>
            <w:tcBorders>
              <w:top w:val="single" w:sz="4" w:space="0" w:color="auto"/>
              <w:left w:val="nil"/>
              <w:bottom w:val="single" w:sz="4" w:space="0" w:color="auto"/>
              <w:right w:val="nil"/>
            </w:tcBorders>
            <w:shd w:val="clear" w:color="000000" w:fill="BFBFBF"/>
            <w:noWrap/>
            <w:vAlign w:val="center"/>
          </w:tcPr>
          <w:p w14:paraId="4FD65293" w14:textId="77777777" w:rsidR="00CC02CC" w:rsidRPr="00304672" w:rsidRDefault="00CC02CC" w:rsidP="00CC02CC">
            <w:pPr>
              <w:spacing w:after="0" w:line="240" w:lineRule="auto"/>
              <w:jc w:val="right"/>
              <w:rPr>
                <w:rFonts w:eastAsia="Times New Roman" w:cs="Arial"/>
                <w:color w:val="000000"/>
                <w:sz w:val="16"/>
                <w:szCs w:val="16"/>
                <w:lang w:eastAsia="en-AU"/>
              </w:rPr>
            </w:pPr>
          </w:p>
        </w:tc>
        <w:tc>
          <w:tcPr>
            <w:tcW w:w="850" w:type="dxa"/>
            <w:tcBorders>
              <w:top w:val="single" w:sz="4" w:space="0" w:color="auto"/>
              <w:left w:val="nil"/>
              <w:bottom w:val="single" w:sz="4" w:space="0" w:color="auto"/>
              <w:right w:val="nil"/>
            </w:tcBorders>
            <w:shd w:val="clear" w:color="000000" w:fill="BFBFBF"/>
            <w:noWrap/>
            <w:vAlign w:val="center"/>
          </w:tcPr>
          <w:p w14:paraId="6C2AA731" w14:textId="77777777" w:rsidR="00CC02CC" w:rsidRPr="00304672" w:rsidRDefault="00CC02CC" w:rsidP="00CC02CC">
            <w:pPr>
              <w:spacing w:after="0" w:line="240" w:lineRule="auto"/>
              <w:jc w:val="right"/>
              <w:rPr>
                <w:rFonts w:eastAsia="Times New Roman" w:cs="Arial"/>
                <w:color w:val="000000"/>
                <w:sz w:val="16"/>
                <w:szCs w:val="16"/>
                <w:lang w:eastAsia="en-AU"/>
              </w:rPr>
            </w:pPr>
          </w:p>
        </w:tc>
        <w:tc>
          <w:tcPr>
            <w:tcW w:w="851" w:type="dxa"/>
            <w:tcBorders>
              <w:top w:val="single" w:sz="4" w:space="0" w:color="auto"/>
              <w:left w:val="nil"/>
              <w:bottom w:val="single" w:sz="4" w:space="0" w:color="auto"/>
              <w:right w:val="nil"/>
            </w:tcBorders>
            <w:shd w:val="clear" w:color="000000" w:fill="BFBFBF"/>
            <w:noWrap/>
            <w:vAlign w:val="center"/>
          </w:tcPr>
          <w:p w14:paraId="3B5D022E" w14:textId="77777777" w:rsidR="00CC02CC" w:rsidRPr="00304672" w:rsidRDefault="00CC02CC" w:rsidP="00CC02CC">
            <w:pPr>
              <w:spacing w:after="0" w:line="240" w:lineRule="auto"/>
              <w:jc w:val="right"/>
              <w:rPr>
                <w:rFonts w:eastAsia="Times New Roman" w:cs="Arial"/>
                <w:color w:val="000000"/>
                <w:sz w:val="16"/>
                <w:szCs w:val="16"/>
                <w:lang w:eastAsia="en-AU"/>
              </w:rPr>
            </w:pPr>
          </w:p>
        </w:tc>
        <w:tc>
          <w:tcPr>
            <w:tcW w:w="851" w:type="dxa"/>
            <w:tcBorders>
              <w:top w:val="single" w:sz="4" w:space="0" w:color="auto"/>
              <w:left w:val="nil"/>
              <w:bottom w:val="single" w:sz="4" w:space="0" w:color="auto"/>
              <w:right w:val="single" w:sz="4" w:space="0" w:color="auto"/>
            </w:tcBorders>
            <w:shd w:val="clear" w:color="000000" w:fill="BFBFBF"/>
            <w:noWrap/>
            <w:vAlign w:val="center"/>
          </w:tcPr>
          <w:p w14:paraId="7A297074" w14:textId="77777777" w:rsidR="00CC02CC" w:rsidRPr="00304672" w:rsidRDefault="00CC02CC" w:rsidP="00CC02CC">
            <w:pPr>
              <w:spacing w:after="0" w:line="240" w:lineRule="auto"/>
              <w:jc w:val="right"/>
              <w:rPr>
                <w:rFonts w:eastAsia="Times New Roman" w:cs="Arial"/>
                <w:color w:val="000000"/>
                <w:sz w:val="16"/>
                <w:szCs w:val="16"/>
                <w:lang w:eastAsia="en-AU"/>
              </w:rPr>
            </w:pPr>
          </w:p>
        </w:tc>
      </w:tr>
    </w:tbl>
    <w:p w14:paraId="0AE2A08B" w14:textId="77777777" w:rsidR="00CF6AA7" w:rsidRDefault="00CF6AA7" w:rsidP="00632BD3">
      <w:pPr>
        <w:pStyle w:val="FSRnormal"/>
      </w:pPr>
      <w:r>
        <w:t xml:space="preserve">Assumptions for average participant payments have generally been revised upwards at successive AFSR projections. This reflects the emerging experience of sustained significant growth in actual average participant payments over an extended </w:t>
      </w:r>
      <w:r w:rsidR="00414011">
        <w:t>period</w:t>
      </w:r>
      <w:r>
        <w:t xml:space="preserve">. Despite these substantial increases, the AFSR projections have typically under-projected average payments in each following year. Projections have assumed operational initiatives would lead to reduced inflation in average payments over time. </w:t>
      </w:r>
    </w:p>
    <w:p w14:paraId="3335A833" w14:textId="77777777" w:rsidR="00CF6AA7" w:rsidRDefault="00CF6AA7" w:rsidP="00632BD3">
      <w:pPr>
        <w:pStyle w:val="FSRnormal"/>
      </w:pPr>
      <w:r>
        <w:t xml:space="preserve">Average payments per participant in 2021-22 </w:t>
      </w:r>
      <w:r w:rsidR="006416C5">
        <w:t>were</w:t>
      </w:r>
      <w:r>
        <w:t xml:space="preserve"> lower than </w:t>
      </w:r>
      <w:r w:rsidR="006416C5">
        <w:t xml:space="preserve">projected </w:t>
      </w:r>
      <w:r>
        <w:t>from the 30 June 2021 AFSR</w:t>
      </w:r>
      <w:r w:rsidR="00954E29">
        <w:t xml:space="preserve"> as explained in</w:t>
      </w:r>
      <w:r>
        <w:t xml:space="preserve"> Section 4.3. This experience has been considered in the reductions made during this </w:t>
      </w:r>
      <w:r w:rsidR="005606FD">
        <w:t xml:space="preserve">review </w:t>
      </w:r>
      <w:r>
        <w:t xml:space="preserve">to </w:t>
      </w:r>
      <w:r w:rsidR="00174860">
        <w:t xml:space="preserve">starting </w:t>
      </w:r>
      <w:r>
        <w:t>average payment assumptions</w:t>
      </w:r>
      <w:r w:rsidR="00174860">
        <w:t xml:space="preserve"> as discussed in </w:t>
      </w:r>
      <w:r>
        <w:t xml:space="preserve">Section 5.5. </w:t>
      </w:r>
    </w:p>
    <w:p w14:paraId="2C826CBE" w14:textId="77777777" w:rsidR="00CF6AA7" w:rsidRPr="0063027F" w:rsidRDefault="00CF6AA7" w:rsidP="006646D0">
      <w:pPr>
        <w:pStyle w:val="FSRnormal"/>
        <w:rPr>
          <w:b/>
          <w:bCs/>
          <w:lang w:eastAsia="en-US"/>
        </w:rPr>
      </w:pPr>
      <w:r w:rsidRPr="0063027F">
        <w:t>Actual inflation and assume</w:t>
      </w:r>
      <w:r w:rsidRPr="00910C7F">
        <w:t>d inflation assumptions are included i</w:t>
      </w:r>
      <w:r w:rsidRPr="00E23228">
        <w:t>n</w:t>
      </w:r>
      <w:r w:rsidR="006646D0" w:rsidRPr="00D72D94">
        <w:t xml:space="preserve"> </w:t>
      </w:r>
      <w:r w:rsidR="001A21FC" w:rsidRPr="00FA751D">
        <w:t xml:space="preserve">Table </w:t>
      </w:r>
      <w:r w:rsidR="001A21FC">
        <w:rPr>
          <w:noProof/>
        </w:rPr>
        <w:t>6</w:t>
      </w:r>
      <w:r w:rsidR="001A21FC">
        <w:t>.</w:t>
      </w:r>
      <w:r w:rsidR="00B1512B">
        <w:rPr>
          <w:noProof/>
        </w:rPr>
        <w:t>21</w:t>
      </w:r>
      <w:r w:rsidRPr="00910C7F">
        <w:t>. Higher inflation is assumed at this review</w:t>
      </w:r>
      <w:r w:rsidRPr="0063027F">
        <w:t>,</w:t>
      </w:r>
      <w:r>
        <w:t xml:space="preserve"> </w:t>
      </w:r>
      <w:r w:rsidR="00414011">
        <w:t>higher</w:t>
      </w:r>
      <w:r>
        <w:t xml:space="preserve"> normal inflation in the next 12 months and higher </w:t>
      </w:r>
      <w:r w:rsidR="0044060A">
        <w:t xml:space="preserve">additional </w:t>
      </w:r>
      <w:r>
        <w:t xml:space="preserve">inflation from 2024-25 onwards. Refer to Section 5.6 for further information regarding the inflation assumptions that have been adopted </w:t>
      </w:r>
      <w:r w:rsidR="007F2B28">
        <w:t>at this review</w:t>
      </w:r>
      <w:r>
        <w:t xml:space="preserve">. </w:t>
      </w:r>
    </w:p>
    <w:p w14:paraId="2292820D" w14:textId="77777777" w:rsidR="00CF6AA7" w:rsidRDefault="00CF6AA7" w:rsidP="00CF6AA7">
      <w:pPr>
        <w:spacing w:after="160" w:line="259" w:lineRule="auto"/>
        <w:rPr>
          <w:rFonts w:eastAsiaTheme="minorHAnsi"/>
          <w:b/>
          <w:bCs/>
          <w:szCs w:val="18"/>
          <w:lang w:eastAsia="en-US"/>
        </w:rPr>
      </w:pPr>
      <w:bookmarkStart w:id="273" w:name="_Ref80736173"/>
      <w:r>
        <w:br w:type="page"/>
      </w:r>
    </w:p>
    <w:p w14:paraId="6993FC12" w14:textId="77777777" w:rsidR="00CF6AA7" w:rsidRPr="00A845A8" w:rsidRDefault="00CF6AA7" w:rsidP="00CF6AA7">
      <w:pPr>
        <w:pStyle w:val="Tables"/>
      </w:pPr>
      <w:bookmarkStart w:id="274" w:name="_Ref111903727"/>
      <w:r w:rsidRPr="00FA751D">
        <w:lastRenderedPageBreak/>
        <w:t xml:space="preserve">Table </w:t>
      </w:r>
      <w:fldSimple w:instr=" STYLEREF 2 \s ">
        <w:r w:rsidR="00A87896">
          <w:rPr>
            <w:noProof/>
          </w:rPr>
          <w:t>6</w:t>
        </w:r>
      </w:fldSimple>
      <w:r w:rsidR="00A87896">
        <w:t>.</w:t>
      </w:r>
      <w:fldSimple w:instr=" SEQ Table \* ARABIC \s 2 ">
        <w:r w:rsidR="00A87896">
          <w:rPr>
            <w:noProof/>
          </w:rPr>
          <w:t>21</w:t>
        </w:r>
      </w:fldSimple>
      <w:bookmarkEnd w:id="273"/>
      <w:bookmarkEnd w:id="274"/>
      <w:r w:rsidR="0027590C" w:rsidRPr="00FA751D">
        <w:t>:</w:t>
      </w:r>
      <w:r w:rsidRPr="00FA751D">
        <w:t xml:space="preserve"> Actual and assumed rates of growth in average payments per participant</w:t>
      </w:r>
    </w:p>
    <w:tbl>
      <w:tblPr>
        <w:tblW w:w="9776" w:type="dxa"/>
        <w:tblLayout w:type="fixed"/>
        <w:tblLook w:val="04A0" w:firstRow="1" w:lastRow="0" w:firstColumn="1" w:lastColumn="0" w:noHBand="0" w:noVBand="1"/>
      </w:tblPr>
      <w:tblGrid>
        <w:gridCol w:w="2972"/>
        <w:gridCol w:w="851"/>
        <w:gridCol w:w="850"/>
        <w:gridCol w:w="851"/>
        <w:gridCol w:w="850"/>
        <w:gridCol w:w="851"/>
        <w:gridCol w:w="850"/>
        <w:gridCol w:w="851"/>
        <w:gridCol w:w="850"/>
      </w:tblGrid>
      <w:tr w:rsidR="007F46F7" w:rsidRPr="007F46F7" w14:paraId="58246C1E" w14:textId="77777777" w:rsidTr="00D72D94">
        <w:trPr>
          <w:trHeight w:val="397"/>
        </w:trPr>
        <w:tc>
          <w:tcPr>
            <w:tcW w:w="2972" w:type="dxa"/>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6D3A2616" w14:textId="77777777" w:rsidR="00CF6AA7" w:rsidRPr="00D72D94" w:rsidRDefault="00CF6AA7" w:rsidP="004C434C">
            <w:pPr>
              <w:spacing w:after="0" w:line="240" w:lineRule="auto"/>
              <w:rPr>
                <w:rFonts w:eastAsia="Times New Roman" w:cs="Arial"/>
                <w:b/>
                <w:color w:val="FFFFFF"/>
                <w:sz w:val="17"/>
                <w:szCs w:val="17"/>
                <w:lang w:eastAsia="en-AU"/>
              </w:rPr>
            </w:pPr>
            <w:r w:rsidRPr="00D72D94">
              <w:rPr>
                <w:rFonts w:eastAsia="Times New Roman" w:cs="Arial"/>
                <w:b/>
                <w:color w:val="FFFFFF"/>
                <w:sz w:val="17"/>
                <w:szCs w:val="17"/>
                <w:lang w:eastAsia="en-AU"/>
              </w:rPr>
              <w:t>Total growth rate</w:t>
            </w:r>
          </w:p>
        </w:tc>
        <w:tc>
          <w:tcPr>
            <w:tcW w:w="851" w:type="dxa"/>
            <w:tcBorders>
              <w:top w:val="single" w:sz="4" w:space="0" w:color="auto"/>
              <w:left w:val="nil"/>
              <w:bottom w:val="single" w:sz="4" w:space="0" w:color="auto"/>
              <w:right w:val="nil"/>
            </w:tcBorders>
            <w:shd w:val="clear" w:color="000000" w:fill="6B2976"/>
            <w:noWrap/>
            <w:vAlign w:val="center"/>
            <w:hideMark/>
          </w:tcPr>
          <w:p w14:paraId="6AD41B3E" w14:textId="77777777" w:rsidR="00CF6AA7" w:rsidRPr="00D72D94" w:rsidRDefault="00CF6AA7" w:rsidP="004C434C">
            <w:pPr>
              <w:spacing w:after="0" w:line="240" w:lineRule="auto"/>
              <w:jc w:val="right"/>
              <w:rPr>
                <w:rFonts w:eastAsia="Times New Roman" w:cs="Arial"/>
                <w:b/>
                <w:color w:val="FFFFFF"/>
                <w:sz w:val="17"/>
                <w:szCs w:val="17"/>
                <w:lang w:eastAsia="en-AU"/>
              </w:rPr>
            </w:pPr>
            <w:r w:rsidRPr="00D72D94">
              <w:rPr>
                <w:rFonts w:eastAsia="Times New Roman" w:cs="Arial"/>
                <w:b/>
                <w:color w:val="FFFFFF"/>
                <w:sz w:val="17"/>
                <w:szCs w:val="17"/>
                <w:lang w:eastAsia="en-AU"/>
              </w:rPr>
              <w:t>2018-19</w:t>
            </w:r>
          </w:p>
        </w:tc>
        <w:tc>
          <w:tcPr>
            <w:tcW w:w="850" w:type="dxa"/>
            <w:tcBorders>
              <w:top w:val="single" w:sz="4" w:space="0" w:color="auto"/>
              <w:left w:val="nil"/>
              <w:bottom w:val="single" w:sz="4" w:space="0" w:color="auto"/>
              <w:right w:val="nil"/>
            </w:tcBorders>
            <w:shd w:val="clear" w:color="000000" w:fill="6B2976"/>
            <w:noWrap/>
            <w:vAlign w:val="center"/>
            <w:hideMark/>
          </w:tcPr>
          <w:p w14:paraId="66260019" w14:textId="77777777" w:rsidR="00CF6AA7" w:rsidRPr="00D72D94" w:rsidRDefault="00CF6AA7" w:rsidP="004C434C">
            <w:pPr>
              <w:spacing w:after="0" w:line="240" w:lineRule="auto"/>
              <w:jc w:val="right"/>
              <w:rPr>
                <w:rFonts w:eastAsia="Times New Roman" w:cs="Arial"/>
                <w:b/>
                <w:color w:val="FFFFFF"/>
                <w:sz w:val="17"/>
                <w:szCs w:val="17"/>
                <w:lang w:eastAsia="en-AU"/>
              </w:rPr>
            </w:pPr>
            <w:r w:rsidRPr="00D72D94">
              <w:rPr>
                <w:rFonts w:eastAsia="Times New Roman" w:cs="Arial"/>
                <w:b/>
                <w:color w:val="FFFFFF"/>
                <w:sz w:val="17"/>
                <w:szCs w:val="17"/>
                <w:lang w:eastAsia="en-AU"/>
              </w:rPr>
              <w:t>2019-20</w:t>
            </w:r>
          </w:p>
        </w:tc>
        <w:tc>
          <w:tcPr>
            <w:tcW w:w="851" w:type="dxa"/>
            <w:tcBorders>
              <w:top w:val="single" w:sz="4" w:space="0" w:color="auto"/>
              <w:left w:val="nil"/>
              <w:bottom w:val="single" w:sz="4" w:space="0" w:color="auto"/>
              <w:right w:val="single" w:sz="4" w:space="0" w:color="auto"/>
            </w:tcBorders>
            <w:shd w:val="clear" w:color="000000" w:fill="6B2976"/>
            <w:noWrap/>
            <w:vAlign w:val="center"/>
            <w:hideMark/>
          </w:tcPr>
          <w:p w14:paraId="5ADEB28C" w14:textId="77777777" w:rsidR="00CF6AA7" w:rsidRPr="00D72D94" w:rsidRDefault="00CF6AA7" w:rsidP="004C434C">
            <w:pPr>
              <w:spacing w:after="0" w:line="240" w:lineRule="auto"/>
              <w:jc w:val="right"/>
              <w:rPr>
                <w:rFonts w:eastAsia="Times New Roman" w:cs="Arial"/>
                <w:b/>
                <w:color w:val="FFFFFF"/>
                <w:sz w:val="17"/>
                <w:szCs w:val="17"/>
                <w:lang w:eastAsia="en-AU"/>
              </w:rPr>
            </w:pPr>
            <w:r w:rsidRPr="00D72D94">
              <w:rPr>
                <w:rFonts w:eastAsia="Times New Roman" w:cs="Arial"/>
                <w:b/>
                <w:color w:val="FFFFFF"/>
                <w:sz w:val="17"/>
                <w:szCs w:val="17"/>
                <w:lang w:eastAsia="en-AU"/>
              </w:rPr>
              <w:t>2020-21</w:t>
            </w:r>
          </w:p>
        </w:tc>
        <w:tc>
          <w:tcPr>
            <w:tcW w:w="850" w:type="dxa"/>
            <w:tcBorders>
              <w:top w:val="single" w:sz="4" w:space="0" w:color="auto"/>
              <w:left w:val="nil"/>
              <w:bottom w:val="single" w:sz="4" w:space="0" w:color="auto"/>
              <w:right w:val="single" w:sz="4" w:space="0" w:color="auto"/>
            </w:tcBorders>
            <w:shd w:val="clear" w:color="000000" w:fill="6B2976"/>
            <w:noWrap/>
            <w:vAlign w:val="center"/>
            <w:hideMark/>
          </w:tcPr>
          <w:p w14:paraId="2C747B2E" w14:textId="77777777" w:rsidR="00CF6AA7" w:rsidRPr="00D72D94" w:rsidRDefault="00CF6AA7" w:rsidP="004C434C">
            <w:pPr>
              <w:spacing w:after="0" w:line="240" w:lineRule="auto"/>
              <w:jc w:val="right"/>
              <w:rPr>
                <w:rFonts w:eastAsia="Times New Roman" w:cs="Arial"/>
                <w:b/>
                <w:color w:val="FFFFFF"/>
                <w:sz w:val="17"/>
                <w:szCs w:val="17"/>
                <w:lang w:eastAsia="en-AU"/>
              </w:rPr>
            </w:pPr>
            <w:r w:rsidRPr="00D72D94">
              <w:rPr>
                <w:rFonts w:eastAsia="Times New Roman" w:cs="Arial"/>
                <w:b/>
                <w:color w:val="FFFFFF"/>
                <w:sz w:val="17"/>
                <w:szCs w:val="17"/>
                <w:lang w:eastAsia="en-AU"/>
              </w:rPr>
              <w:t>2021-22</w:t>
            </w:r>
          </w:p>
        </w:tc>
        <w:tc>
          <w:tcPr>
            <w:tcW w:w="851" w:type="dxa"/>
            <w:tcBorders>
              <w:top w:val="single" w:sz="4" w:space="0" w:color="auto"/>
              <w:left w:val="nil"/>
              <w:bottom w:val="single" w:sz="4" w:space="0" w:color="auto"/>
              <w:right w:val="nil"/>
            </w:tcBorders>
            <w:shd w:val="clear" w:color="000000" w:fill="6B2976"/>
            <w:noWrap/>
            <w:vAlign w:val="center"/>
            <w:hideMark/>
          </w:tcPr>
          <w:p w14:paraId="0BA650C8" w14:textId="77777777" w:rsidR="00CF6AA7" w:rsidRPr="00D72D94" w:rsidRDefault="00CF6AA7" w:rsidP="004C434C">
            <w:pPr>
              <w:spacing w:after="0" w:line="240" w:lineRule="auto"/>
              <w:jc w:val="right"/>
              <w:rPr>
                <w:rFonts w:eastAsia="Times New Roman" w:cs="Arial"/>
                <w:b/>
                <w:color w:val="FFFFFF"/>
                <w:sz w:val="17"/>
                <w:szCs w:val="17"/>
                <w:lang w:eastAsia="en-AU"/>
              </w:rPr>
            </w:pPr>
            <w:r w:rsidRPr="00D72D94">
              <w:rPr>
                <w:rFonts w:eastAsia="Times New Roman" w:cs="Arial"/>
                <w:b/>
                <w:color w:val="FFFFFF"/>
                <w:sz w:val="17"/>
                <w:szCs w:val="17"/>
                <w:lang w:eastAsia="en-AU"/>
              </w:rPr>
              <w:t>2022-23</w:t>
            </w:r>
          </w:p>
        </w:tc>
        <w:tc>
          <w:tcPr>
            <w:tcW w:w="850" w:type="dxa"/>
            <w:tcBorders>
              <w:top w:val="single" w:sz="4" w:space="0" w:color="auto"/>
              <w:left w:val="nil"/>
              <w:bottom w:val="single" w:sz="4" w:space="0" w:color="auto"/>
              <w:right w:val="nil"/>
            </w:tcBorders>
            <w:shd w:val="clear" w:color="000000" w:fill="6B2976"/>
            <w:noWrap/>
            <w:vAlign w:val="center"/>
            <w:hideMark/>
          </w:tcPr>
          <w:p w14:paraId="0675BD8F" w14:textId="77777777" w:rsidR="00CF6AA7" w:rsidRPr="00D72D94" w:rsidRDefault="00CF6AA7" w:rsidP="004C434C">
            <w:pPr>
              <w:spacing w:after="0" w:line="240" w:lineRule="auto"/>
              <w:jc w:val="right"/>
              <w:rPr>
                <w:rFonts w:eastAsia="Times New Roman" w:cs="Arial"/>
                <w:b/>
                <w:color w:val="FFFFFF"/>
                <w:sz w:val="17"/>
                <w:szCs w:val="17"/>
                <w:lang w:eastAsia="en-AU"/>
              </w:rPr>
            </w:pPr>
            <w:r w:rsidRPr="00D72D94">
              <w:rPr>
                <w:rFonts w:eastAsia="Times New Roman" w:cs="Arial"/>
                <w:b/>
                <w:color w:val="FFFFFF"/>
                <w:sz w:val="17"/>
                <w:szCs w:val="17"/>
                <w:lang w:eastAsia="en-AU"/>
              </w:rPr>
              <w:t>2023-24</w:t>
            </w:r>
          </w:p>
        </w:tc>
        <w:tc>
          <w:tcPr>
            <w:tcW w:w="851" w:type="dxa"/>
            <w:tcBorders>
              <w:top w:val="single" w:sz="4" w:space="0" w:color="auto"/>
              <w:left w:val="nil"/>
              <w:bottom w:val="single" w:sz="4" w:space="0" w:color="auto"/>
              <w:right w:val="nil"/>
            </w:tcBorders>
            <w:shd w:val="clear" w:color="000000" w:fill="6B2976"/>
            <w:noWrap/>
            <w:vAlign w:val="center"/>
            <w:hideMark/>
          </w:tcPr>
          <w:p w14:paraId="6DF5D390" w14:textId="77777777" w:rsidR="00CF6AA7" w:rsidRPr="00D72D94" w:rsidRDefault="00CF6AA7" w:rsidP="004C434C">
            <w:pPr>
              <w:spacing w:after="0" w:line="240" w:lineRule="auto"/>
              <w:jc w:val="right"/>
              <w:rPr>
                <w:rFonts w:eastAsia="Times New Roman" w:cs="Arial"/>
                <w:b/>
                <w:color w:val="FFFFFF"/>
                <w:sz w:val="17"/>
                <w:szCs w:val="17"/>
                <w:lang w:eastAsia="en-AU"/>
              </w:rPr>
            </w:pPr>
            <w:r w:rsidRPr="00D72D94">
              <w:rPr>
                <w:rFonts w:eastAsia="Times New Roman" w:cs="Arial"/>
                <w:b/>
                <w:color w:val="FFFFFF"/>
                <w:sz w:val="17"/>
                <w:szCs w:val="17"/>
                <w:lang w:eastAsia="en-AU"/>
              </w:rPr>
              <w:t>2024-25</w:t>
            </w:r>
          </w:p>
        </w:tc>
        <w:tc>
          <w:tcPr>
            <w:tcW w:w="850" w:type="dxa"/>
            <w:tcBorders>
              <w:top w:val="single" w:sz="4" w:space="0" w:color="auto"/>
              <w:left w:val="nil"/>
              <w:bottom w:val="single" w:sz="4" w:space="0" w:color="auto"/>
              <w:right w:val="single" w:sz="4" w:space="0" w:color="auto"/>
            </w:tcBorders>
            <w:shd w:val="clear" w:color="000000" w:fill="6B2976"/>
            <w:noWrap/>
            <w:vAlign w:val="center"/>
            <w:hideMark/>
          </w:tcPr>
          <w:p w14:paraId="0AC2397F" w14:textId="77777777" w:rsidR="00CF6AA7" w:rsidRPr="00D72D94" w:rsidRDefault="00CF6AA7" w:rsidP="004C434C">
            <w:pPr>
              <w:spacing w:after="0" w:line="240" w:lineRule="auto"/>
              <w:jc w:val="right"/>
              <w:rPr>
                <w:rFonts w:eastAsia="Times New Roman" w:cs="Arial"/>
                <w:b/>
                <w:color w:val="FFFFFF"/>
                <w:sz w:val="17"/>
                <w:szCs w:val="17"/>
                <w:lang w:eastAsia="en-AU"/>
              </w:rPr>
            </w:pPr>
            <w:r w:rsidRPr="00D72D94">
              <w:rPr>
                <w:rFonts w:eastAsia="Times New Roman" w:cs="Arial"/>
                <w:b/>
                <w:color w:val="FFFFFF"/>
                <w:sz w:val="17"/>
                <w:szCs w:val="17"/>
                <w:lang w:eastAsia="en-AU"/>
              </w:rPr>
              <w:t>2025-26</w:t>
            </w:r>
          </w:p>
        </w:tc>
      </w:tr>
      <w:tr w:rsidR="007F46F7" w:rsidRPr="007F46F7" w14:paraId="4B0FE8C5" w14:textId="77777777" w:rsidTr="00D72D94">
        <w:trPr>
          <w:trHeight w:val="301"/>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08549078" w14:textId="77777777" w:rsidR="007F46F7" w:rsidRPr="00D72D94" w:rsidRDefault="007F46F7" w:rsidP="007F46F7">
            <w:pPr>
              <w:spacing w:after="0" w:line="240" w:lineRule="auto"/>
              <w:rPr>
                <w:rFonts w:eastAsia="Times New Roman" w:cs="Arial"/>
                <w:color w:val="000000"/>
                <w:sz w:val="17"/>
                <w:szCs w:val="17"/>
                <w:lang w:eastAsia="en-AU"/>
              </w:rPr>
            </w:pPr>
            <w:r w:rsidRPr="00D72D94">
              <w:rPr>
                <w:rFonts w:eastAsia="Times New Roman" w:cs="Arial"/>
                <w:color w:val="000000"/>
                <w:sz w:val="17"/>
                <w:szCs w:val="17"/>
                <w:lang w:eastAsia="en-AU"/>
              </w:rPr>
              <w:t>30 June 2022 AFSR projection</w:t>
            </w:r>
          </w:p>
        </w:tc>
        <w:tc>
          <w:tcPr>
            <w:tcW w:w="851" w:type="dxa"/>
            <w:tcBorders>
              <w:top w:val="nil"/>
              <w:left w:val="nil"/>
              <w:bottom w:val="single" w:sz="4" w:space="0" w:color="auto"/>
              <w:right w:val="nil"/>
            </w:tcBorders>
            <w:shd w:val="clear" w:color="000000" w:fill="BFBFBF"/>
            <w:noWrap/>
            <w:vAlign w:val="center"/>
            <w:hideMark/>
          </w:tcPr>
          <w:p w14:paraId="2F370FB4" w14:textId="77777777" w:rsidR="007F46F7" w:rsidRPr="00D72D94" w:rsidRDefault="007F46F7">
            <w:pPr>
              <w:spacing w:after="0" w:line="240" w:lineRule="auto"/>
              <w:jc w:val="right"/>
              <w:rPr>
                <w:rFonts w:eastAsia="Times New Roman" w:cs="Arial"/>
                <w:color w:val="000000"/>
                <w:sz w:val="17"/>
                <w:szCs w:val="17"/>
                <w:lang w:eastAsia="en-AU"/>
              </w:rPr>
            </w:pPr>
          </w:p>
        </w:tc>
        <w:tc>
          <w:tcPr>
            <w:tcW w:w="850" w:type="dxa"/>
            <w:tcBorders>
              <w:top w:val="nil"/>
              <w:left w:val="nil"/>
              <w:bottom w:val="single" w:sz="4" w:space="0" w:color="auto"/>
              <w:right w:val="nil"/>
            </w:tcBorders>
            <w:shd w:val="clear" w:color="000000" w:fill="BFBFBF"/>
            <w:noWrap/>
            <w:vAlign w:val="center"/>
            <w:hideMark/>
          </w:tcPr>
          <w:p w14:paraId="6E624A80" w14:textId="77777777" w:rsidR="007F46F7" w:rsidRPr="00D72D94" w:rsidRDefault="007F46F7">
            <w:pPr>
              <w:spacing w:after="0" w:line="240" w:lineRule="auto"/>
              <w:jc w:val="right"/>
              <w:rPr>
                <w:rFonts w:eastAsia="Times New Roman" w:cs="Arial"/>
                <w:color w:val="000000"/>
                <w:sz w:val="17"/>
                <w:szCs w:val="17"/>
                <w:lang w:eastAsia="en-AU"/>
              </w:rPr>
            </w:pPr>
          </w:p>
        </w:tc>
        <w:tc>
          <w:tcPr>
            <w:tcW w:w="851" w:type="dxa"/>
            <w:tcBorders>
              <w:top w:val="nil"/>
              <w:left w:val="nil"/>
              <w:bottom w:val="single" w:sz="4" w:space="0" w:color="auto"/>
              <w:right w:val="single" w:sz="4" w:space="0" w:color="auto"/>
            </w:tcBorders>
            <w:shd w:val="clear" w:color="000000" w:fill="BFBFBF"/>
            <w:noWrap/>
            <w:vAlign w:val="center"/>
            <w:hideMark/>
          </w:tcPr>
          <w:p w14:paraId="4BD0EFBC" w14:textId="77777777" w:rsidR="007F46F7" w:rsidRPr="00D72D94" w:rsidRDefault="007F46F7">
            <w:pPr>
              <w:spacing w:after="0" w:line="240" w:lineRule="auto"/>
              <w:jc w:val="right"/>
              <w:rPr>
                <w:rFonts w:eastAsia="Times New Roman" w:cs="Arial"/>
                <w:color w:val="000000"/>
                <w:sz w:val="17"/>
                <w:szCs w:val="17"/>
                <w:lang w:eastAsia="en-AU"/>
              </w:rPr>
            </w:pPr>
          </w:p>
        </w:tc>
        <w:tc>
          <w:tcPr>
            <w:tcW w:w="850" w:type="dxa"/>
            <w:tcBorders>
              <w:top w:val="nil"/>
              <w:left w:val="nil"/>
              <w:bottom w:val="single" w:sz="4" w:space="0" w:color="auto"/>
              <w:right w:val="single" w:sz="4" w:space="0" w:color="auto"/>
            </w:tcBorders>
            <w:shd w:val="clear" w:color="000000" w:fill="BFBFBF"/>
            <w:noWrap/>
            <w:vAlign w:val="center"/>
            <w:hideMark/>
          </w:tcPr>
          <w:p w14:paraId="2989D40B" w14:textId="77777777" w:rsidR="007F46F7" w:rsidRPr="00D72D94" w:rsidRDefault="007F46F7">
            <w:pPr>
              <w:spacing w:after="0" w:line="240" w:lineRule="auto"/>
              <w:jc w:val="right"/>
              <w:rPr>
                <w:rFonts w:eastAsia="Times New Roman" w:cs="Arial"/>
                <w:color w:val="000000"/>
                <w:sz w:val="17"/>
                <w:szCs w:val="17"/>
                <w:lang w:eastAsia="en-AU"/>
              </w:rPr>
            </w:pPr>
          </w:p>
        </w:tc>
        <w:tc>
          <w:tcPr>
            <w:tcW w:w="851" w:type="dxa"/>
            <w:tcBorders>
              <w:top w:val="nil"/>
              <w:left w:val="nil"/>
              <w:bottom w:val="single" w:sz="4" w:space="0" w:color="auto"/>
              <w:right w:val="nil"/>
            </w:tcBorders>
            <w:shd w:val="clear" w:color="auto" w:fill="auto"/>
            <w:noWrap/>
            <w:vAlign w:val="center"/>
            <w:hideMark/>
          </w:tcPr>
          <w:p w14:paraId="27986E2F"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7.7%</w:t>
            </w:r>
          </w:p>
        </w:tc>
        <w:tc>
          <w:tcPr>
            <w:tcW w:w="850" w:type="dxa"/>
            <w:tcBorders>
              <w:top w:val="nil"/>
              <w:left w:val="nil"/>
              <w:bottom w:val="single" w:sz="4" w:space="0" w:color="auto"/>
              <w:right w:val="nil"/>
            </w:tcBorders>
            <w:shd w:val="clear" w:color="auto" w:fill="auto"/>
            <w:noWrap/>
            <w:vAlign w:val="center"/>
            <w:hideMark/>
          </w:tcPr>
          <w:p w14:paraId="1DC7BFCB"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2.1%</w:t>
            </w:r>
          </w:p>
        </w:tc>
        <w:tc>
          <w:tcPr>
            <w:tcW w:w="851" w:type="dxa"/>
            <w:tcBorders>
              <w:top w:val="nil"/>
              <w:left w:val="nil"/>
              <w:bottom w:val="single" w:sz="4" w:space="0" w:color="auto"/>
              <w:right w:val="nil"/>
            </w:tcBorders>
            <w:shd w:val="clear" w:color="auto" w:fill="auto"/>
            <w:noWrap/>
            <w:vAlign w:val="center"/>
            <w:hideMark/>
          </w:tcPr>
          <w:p w14:paraId="13158380"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6.9%</w:t>
            </w:r>
          </w:p>
        </w:tc>
        <w:tc>
          <w:tcPr>
            <w:tcW w:w="850" w:type="dxa"/>
            <w:tcBorders>
              <w:top w:val="nil"/>
              <w:left w:val="nil"/>
              <w:bottom w:val="single" w:sz="4" w:space="0" w:color="auto"/>
              <w:right w:val="single" w:sz="4" w:space="0" w:color="auto"/>
            </w:tcBorders>
            <w:shd w:val="clear" w:color="auto" w:fill="auto"/>
            <w:noWrap/>
            <w:vAlign w:val="center"/>
            <w:hideMark/>
          </w:tcPr>
          <w:p w14:paraId="3B62742E"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6.6%</w:t>
            </w:r>
          </w:p>
        </w:tc>
      </w:tr>
      <w:tr w:rsidR="007F46F7" w:rsidRPr="007F46F7" w14:paraId="3E90E92E" w14:textId="77777777" w:rsidTr="00D72D94">
        <w:trPr>
          <w:trHeight w:val="301"/>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3C61A229" w14:textId="77777777" w:rsidR="007F46F7" w:rsidRPr="00D72D94" w:rsidRDefault="007F46F7" w:rsidP="007F46F7">
            <w:pPr>
              <w:spacing w:after="0" w:line="240" w:lineRule="auto"/>
              <w:rPr>
                <w:rFonts w:eastAsia="Times New Roman" w:cs="Arial"/>
                <w:color w:val="000000"/>
                <w:sz w:val="17"/>
                <w:szCs w:val="17"/>
                <w:lang w:eastAsia="en-AU"/>
              </w:rPr>
            </w:pPr>
            <w:r w:rsidRPr="00D72D94">
              <w:rPr>
                <w:rFonts w:eastAsia="Times New Roman" w:cs="Arial"/>
                <w:color w:val="000000"/>
                <w:sz w:val="17"/>
                <w:szCs w:val="17"/>
                <w:lang w:eastAsia="en-AU"/>
              </w:rPr>
              <w:t>30 June 2021 AFSR projection</w:t>
            </w:r>
          </w:p>
        </w:tc>
        <w:tc>
          <w:tcPr>
            <w:tcW w:w="851" w:type="dxa"/>
            <w:tcBorders>
              <w:top w:val="nil"/>
              <w:left w:val="nil"/>
              <w:bottom w:val="single" w:sz="4" w:space="0" w:color="auto"/>
              <w:right w:val="nil"/>
            </w:tcBorders>
            <w:shd w:val="clear" w:color="000000" w:fill="BFBFBF"/>
            <w:noWrap/>
            <w:vAlign w:val="center"/>
            <w:hideMark/>
          </w:tcPr>
          <w:p w14:paraId="0896DB82" w14:textId="77777777" w:rsidR="007F46F7" w:rsidRPr="00D72D94" w:rsidRDefault="007F46F7">
            <w:pPr>
              <w:spacing w:after="0" w:line="240" w:lineRule="auto"/>
              <w:jc w:val="right"/>
              <w:rPr>
                <w:rFonts w:eastAsia="Times New Roman" w:cs="Arial"/>
                <w:color w:val="000000"/>
                <w:sz w:val="17"/>
                <w:szCs w:val="17"/>
                <w:lang w:eastAsia="en-AU"/>
              </w:rPr>
            </w:pPr>
          </w:p>
        </w:tc>
        <w:tc>
          <w:tcPr>
            <w:tcW w:w="850" w:type="dxa"/>
            <w:tcBorders>
              <w:top w:val="nil"/>
              <w:left w:val="nil"/>
              <w:bottom w:val="single" w:sz="4" w:space="0" w:color="auto"/>
              <w:right w:val="nil"/>
            </w:tcBorders>
            <w:shd w:val="clear" w:color="000000" w:fill="BFBFBF"/>
            <w:noWrap/>
            <w:vAlign w:val="center"/>
            <w:hideMark/>
          </w:tcPr>
          <w:p w14:paraId="1E6FD130" w14:textId="77777777" w:rsidR="007F46F7" w:rsidRPr="00D72D94" w:rsidRDefault="007F46F7">
            <w:pPr>
              <w:spacing w:after="0" w:line="240" w:lineRule="auto"/>
              <w:jc w:val="right"/>
              <w:rPr>
                <w:rFonts w:eastAsia="Times New Roman" w:cs="Arial"/>
                <w:color w:val="000000"/>
                <w:sz w:val="17"/>
                <w:szCs w:val="17"/>
                <w:lang w:eastAsia="en-AU"/>
              </w:rPr>
            </w:pPr>
          </w:p>
        </w:tc>
        <w:tc>
          <w:tcPr>
            <w:tcW w:w="851" w:type="dxa"/>
            <w:tcBorders>
              <w:top w:val="nil"/>
              <w:left w:val="nil"/>
              <w:bottom w:val="single" w:sz="4" w:space="0" w:color="auto"/>
              <w:right w:val="single" w:sz="4" w:space="0" w:color="auto"/>
            </w:tcBorders>
            <w:shd w:val="clear" w:color="000000" w:fill="BFBFBF"/>
            <w:noWrap/>
            <w:vAlign w:val="center"/>
            <w:hideMark/>
          </w:tcPr>
          <w:p w14:paraId="42B8D270" w14:textId="77777777" w:rsidR="007F46F7" w:rsidRPr="00D72D94" w:rsidRDefault="007F46F7">
            <w:pPr>
              <w:spacing w:after="0" w:line="240" w:lineRule="auto"/>
              <w:jc w:val="right"/>
              <w:rPr>
                <w:rFonts w:eastAsia="Times New Roman" w:cs="Arial"/>
                <w:color w:val="000000"/>
                <w:sz w:val="17"/>
                <w:szCs w:val="17"/>
                <w:lang w:eastAsia="en-AU"/>
              </w:rPr>
            </w:pPr>
          </w:p>
        </w:tc>
        <w:tc>
          <w:tcPr>
            <w:tcW w:w="850" w:type="dxa"/>
            <w:tcBorders>
              <w:top w:val="nil"/>
              <w:left w:val="nil"/>
              <w:bottom w:val="single" w:sz="4" w:space="0" w:color="auto"/>
              <w:right w:val="single" w:sz="4" w:space="0" w:color="auto"/>
            </w:tcBorders>
            <w:shd w:val="clear" w:color="000000" w:fill="FFE699"/>
            <w:noWrap/>
            <w:vAlign w:val="center"/>
            <w:hideMark/>
          </w:tcPr>
          <w:p w14:paraId="476DEEC6"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6.5%</w:t>
            </w:r>
          </w:p>
        </w:tc>
        <w:tc>
          <w:tcPr>
            <w:tcW w:w="851" w:type="dxa"/>
            <w:tcBorders>
              <w:top w:val="nil"/>
              <w:left w:val="nil"/>
              <w:bottom w:val="single" w:sz="4" w:space="0" w:color="auto"/>
              <w:right w:val="nil"/>
            </w:tcBorders>
            <w:shd w:val="clear" w:color="auto" w:fill="auto"/>
            <w:noWrap/>
            <w:vAlign w:val="center"/>
            <w:hideMark/>
          </w:tcPr>
          <w:p w14:paraId="5F6E04D5"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3.5%</w:t>
            </w:r>
          </w:p>
        </w:tc>
        <w:tc>
          <w:tcPr>
            <w:tcW w:w="850" w:type="dxa"/>
            <w:tcBorders>
              <w:top w:val="nil"/>
              <w:left w:val="nil"/>
              <w:bottom w:val="single" w:sz="4" w:space="0" w:color="auto"/>
              <w:right w:val="nil"/>
            </w:tcBorders>
            <w:shd w:val="clear" w:color="auto" w:fill="auto"/>
            <w:noWrap/>
            <w:vAlign w:val="center"/>
            <w:hideMark/>
          </w:tcPr>
          <w:p w14:paraId="1ABC5698"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2.9%</w:t>
            </w:r>
          </w:p>
        </w:tc>
        <w:tc>
          <w:tcPr>
            <w:tcW w:w="851" w:type="dxa"/>
            <w:tcBorders>
              <w:top w:val="nil"/>
              <w:left w:val="nil"/>
              <w:bottom w:val="single" w:sz="4" w:space="0" w:color="auto"/>
              <w:right w:val="nil"/>
            </w:tcBorders>
            <w:shd w:val="clear" w:color="auto" w:fill="auto"/>
            <w:noWrap/>
            <w:vAlign w:val="center"/>
            <w:hideMark/>
          </w:tcPr>
          <w:p w14:paraId="4652B852"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1.9%</w:t>
            </w:r>
          </w:p>
        </w:tc>
        <w:tc>
          <w:tcPr>
            <w:tcW w:w="850" w:type="dxa"/>
            <w:tcBorders>
              <w:top w:val="nil"/>
              <w:left w:val="nil"/>
              <w:bottom w:val="single" w:sz="4" w:space="0" w:color="auto"/>
              <w:right w:val="single" w:sz="4" w:space="0" w:color="auto"/>
            </w:tcBorders>
            <w:shd w:val="clear" w:color="auto" w:fill="auto"/>
            <w:noWrap/>
            <w:vAlign w:val="center"/>
            <w:hideMark/>
          </w:tcPr>
          <w:p w14:paraId="6E75F6FB"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1.5%</w:t>
            </w:r>
          </w:p>
        </w:tc>
      </w:tr>
      <w:tr w:rsidR="007F46F7" w:rsidRPr="007F46F7" w14:paraId="76C3E2F2" w14:textId="77777777" w:rsidTr="00D72D94">
        <w:trPr>
          <w:trHeight w:val="301"/>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584E5610" w14:textId="77777777" w:rsidR="007F46F7" w:rsidRPr="00D72D94" w:rsidRDefault="007F46F7" w:rsidP="007F46F7">
            <w:pPr>
              <w:spacing w:after="0" w:line="240" w:lineRule="auto"/>
              <w:rPr>
                <w:rFonts w:eastAsia="Times New Roman" w:cs="Arial"/>
                <w:color w:val="000000"/>
                <w:sz w:val="17"/>
                <w:szCs w:val="17"/>
                <w:lang w:eastAsia="en-AU"/>
              </w:rPr>
            </w:pPr>
            <w:r w:rsidRPr="00D72D94">
              <w:rPr>
                <w:rFonts w:eastAsia="Times New Roman" w:cs="Arial"/>
                <w:color w:val="000000"/>
                <w:sz w:val="17"/>
                <w:szCs w:val="17"/>
                <w:lang w:eastAsia="en-AU"/>
              </w:rPr>
              <w:t>31 December 2020 AFSR projection</w:t>
            </w:r>
          </w:p>
        </w:tc>
        <w:tc>
          <w:tcPr>
            <w:tcW w:w="851" w:type="dxa"/>
            <w:tcBorders>
              <w:top w:val="nil"/>
              <w:left w:val="nil"/>
              <w:bottom w:val="single" w:sz="4" w:space="0" w:color="auto"/>
              <w:right w:val="nil"/>
            </w:tcBorders>
            <w:shd w:val="clear" w:color="000000" w:fill="BFBFBF"/>
            <w:noWrap/>
            <w:vAlign w:val="center"/>
            <w:hideMark/>
          </w:tcPr>
          <w:p w14:paraId="5048812C" w14:textId="77777777" w:rsidR="007F46F7" w:rsidRPr="00D72D94" w:rsidRDefault="007F46F7">
            <w:pPr>
              <w:spacing w:after="0" w:line="240" w:lineRule="auto"/>
              <w:jc w:val="right"/>
              <w:rPr>
                <w:rFonts w:eastAsia="Times New Roman" w:cs="Arial"/>
                <w:color w:val="000000"/>
                <w:sz w:val="17"/>
                <w:szCs w:val="17"/>
                <w:lang w:eastAsia="en-AU"/>
              </w:rPr>
            </w:pPr>
          </w:p>
        </w:tc>
        <w:tc>
          <w:tcPr>
            <w:tcW w:w="850" w:type="dxa"/>
            <w:tcBorders>
              <w:top w:val="nil"/>
              <w:left w:val="nil"/>
              <w:bottom w:val="single" w:sz="4" w:space="0" w:color="auto"/>
              <w:right w:val="nil"/>
            </w:tcBorders>
            <w:shd w:val="clear" w:color="000000" w:fill="BFBFBF"/>
            <w:noWrap/>
            <w:vAlign w:val="center"/>
            <w:hideMark/>
          </w:tcPr>
          <w:p w14:paraId="08905B44" w14:textId="77777777" w:rsidR="007F46F7" w:rsidRPr="00D72D94" w:rsidRDefault="007F46F7">
            <w:pPr>
              <w:spacing w:after="0" w:line="240" w:lineRule="auto"/>
              <w:jc w:val="right"/>
              <w:rPr>
                <w:rFonts w:eastAsia="Times New Roman" w:cs="Arial"/>
                <w:color w:val="000000"/>
                <w:sz w:val="17"/>
                <w:szCs w:val="17"/>
                <w:lang w:eastAsia="en-AU"/>
              </w:rPr>
            </w:pPr>
          </w:p>
        </w:tc>
        <w:tc>
          <w:tcPr>
            <w:tcW w:w="851" w:type="dxa"/>
            <w:tcBorders>
              <w:top w:val="nil"/>
              <w:left w:val="nil"/>
              <w:bottom w:val="single" w:sz="4" w:space="0" w:color="auto"/>
              <w:right w:val="single" w:sz="4" w:space="0" w:color="auto"/>
            </w:tcBorders>
            <w:shd w:val="clear" w:color="000000" w:fill="BFBFBF"/>
            <w:noWrap/>
            <w:vAlign w:val="center"/>
            <w:hideMark/>
          </w:tcPr>
          <w:p w14:paraId="2509F0DC" w14:textId="77777777" w:rsidR="007F46F7" w:rsidRPr="00D72D94" w:rsidRDefault="007F46F7">
            <w:pPr>
              <w:spacing w:after="0" w:line="240" w:lineRule="auto"/>
              <w:jc w:val="right"/>
              <w:rPr>
                <w:rFonts w:eastAsia="Times New Roman" w:cs="Arial"/>
                <w:color w:val="000000"/>
                <w:sz w:val="17"/>
                <w:szCs w:val="17"/>
                <w:lang w:eastAsia="en-AU"/>
              </w:rPr>
            </w:pPr>
          </w:p>
        </w:tc>
        <w:tc>
          <w:tcPr>
            <w:tcW w:w="850" w:type="dxa"/>
            <w:tcBorders>
              <w:top w:val="nil"/>
              <w:left w:val="nil"/>
              <w:bottom w:val="single" w:sz="4" w:space="0" w:color="auto"/>
              <w:right w:val="single" w:sz="4" w:space="0" w:color="auto"/>
            </w:tcBorders>
            <w:shd w:val="clear" w:color="auto" w:fill="auto"/>
            <w:noWrap/>
            <w:vAlign w:val="center"/>
            <w:hideMark/>
          </w:tcPr>
          <w:p w14:paraId="0969E165"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1.3%</w:t>
            </w:r>
          </w:p>
        </w:tc>
        <w:tc>
          <w:tcPr>
            <w:tcW w:w="851" w:type="dxa"/>
            <w:tcBorders>
              <w:top w:val="nil"/>
              <w:left w:val="nil"/>
              <w:bottom w:val="single" w:sz="4" w:space="0" w:color="auto"/>
              <w:right w:val="nil"/>
            </w:tcBorders>
            <w:shd w:val="clear" w:color="auto" w:fill="auto"/>
            <w:noWrap/>
            <w:vAlign w:val="center"/>
            <w:hideMark/>
          </w:tcPr>
          <w:p w14:paraId="3DF89F62"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3.9%</w:t>
            </w:r>
          </w:p>
        </w:tc>
        <w:tc>
          <w:tcPr>
            <w:tcW w:w="850" w:type="dxa"/>
            <w:tcBorders>
              <w:top w:val="nil"/>
              <w:left w:val="nil"/>
              <w:bottom w:val="single" w:sz="4" w:space="0" w:color="auto"/>
              <w:right w:val="nil"/>
            </w:tcBorders>
            <w:shd w:val="clear" w:color="auto" w:fill="auto"/>
            <w:noWrap/>
            <w:vAlign w:val="center"/>
            <w:hideMark/>
          </w:tcPr>
          <w:p w14:paraId="06073537"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3.3%</w:t>
            </w:r>
          </w:p>
        </w:tc>
        <w:tc>
          <w:tcPr>
            <w:tcW w:w="851" w:type="dxa"/>
            <w:tcBorders>
              <w:top w:val="nil"/>
              <w:left w:val="nil"/>
              <w:bottom w:val="single" w:sz="4" w:space="0" w:color="auto"/>
              <w:right w:val="nil"/>
            </w:tcBorders>
            <w:shd w:val="clear" w:color="auto" w:fill="auto"/>
            <w:noWrap/>
            <w:vAlign w:val="center"/>
            <w:hideMark/>
          </w:tcPr>
          <w:p w14:paraId="5D9144D0"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3.1%</w:t>
            </w:r>
          </w:p>
        </w:tc>
        <w:tc>
          <w:tcPr>
            <w:tcW w:w="850" w:type="dxa"/>
            <w:tcBorders>
              <w:top w:val="nil"/>
              <w:left w:val="nil"/>
              <w:bottom w:val="single" w:sz="4" w:space="0" w:color="auto"/>
              <w:right w:val="single" w:sz="4" w:space="0" w:color="auto"/>
            </w:tcBorders>
            <w:shd w:val="clear" w:color="auto" w:fill="auto"/>
            <w:noWrap/>
            <w:vAlign w:val="center"/>
            <w:hideMark/>
          </w:tcPr>
          <w:p w14:paraId="2909C47E"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2.5%</w:t>
            </w:r>
          </w:p>
        </w:tc>
      </w:tr>
      <w:tr w:rsidR="007F46F7" w:rsidRPr="007F46F7" w14:paraId="54636BBA" w14:textId="77777777" w:rsidTr="00D72D94">
        <w:trPr>
          <w:trHeight w:val="301"/>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53E66190" w14:textId="77777777" w:rsidR="007F46F7" w:rsidRPr="00D72D94" w:rsidRDefault="007F46F7" w:rsidP="007F46F7">
            <w:pPr>
              <w:spacing w:after="0" w:line="240" w:lineRule="auto"/>
              <w:rPr>
                <w:rFonts w:eastAsia="Times New Roman" w:cs="Arial"/>
                <w:color w:val="000000"/>
                <w:sz w:val="17"/>
                <w:szCs w:val="17"/>
                <w:lang w:eastAsia="en-AU"/>
              </w:rPr>
            </w:pPr>
            <w:r w:rsidRPr="00D72D94">
              <w:rPr>
                <w:rFonts w:eastAsia="Times New Roman" w:cs="Arial"/>
                <w:color w:val="000000"/>
                <w:sz w:val="17"/>
                <w:szCs w:val="17"/>
                <w:lang w:eastAsia="en-AU"/>
              </w:rPr>
              <w:t>30 June 2020 AFSR projection</w:t>
            </w:r>
          </w:p>
        </w:tc>
        <w:tc>
          <w:tcPr>
            <w:tcW w:w="851" w:type="dxa"/>
            <w:tcBorders>
              <w:top w:val="nil"/>
              <w:left w:val="nil"/>
              <w:bottom w:val="single" w:sz="4" w:space="0" w:color="auto"/>
              <w:right w:val="nil"/>
            </w:tcBorders>
            <w:shd w:val="clear" w:color="000000" w:fill="BFBFBF"/>
            <w:noWrap/>
            <w:vAlign w:val="center"/>
            <w:hideMark/>
          </w:tcPr>
          <w:p w14:paraId="4839B0B2" w14:textId="77777777" w:rsidR="007F46F7" w:rsidRPr="00D72D94" w:rsidRDefault="007F46F7">
            <w:pPr>
              <w:spacing w:after="0" w:line="240" w:lineRule="auto"/>
              <w:jc w:val="right"/>
              <w:rPr>
                <w:rFonts w:eastAsia="Times New Roman" w:cs="Arial"/>
                <w:color w:val="000000"/>
                <w:sz w:val="17"/>
                <w:szCs w:val="17"/>
                <w:lang w:eastAsia="en-AU"/>
              </w:rPr>
            </w:pPr>
          </w:p>
        </w:tc>
        <w:tc>
          <w:tcPr>
            <w:tcW w:w="850" w:type="dxa"/>
            <w:tcBorders>
              <w:top w:val="nil"/>
              <w:left w:val="nil"/>
              <w:bottom w:val="single" w:sz="4" w:space="0" w:color="auto"/>
              <w:right w:val="nil"/>
            </w:tcBorders>
            <w:shd w:val="clear" w:color="000000" w:fill="BFBFBF"/>
            <w:noWrap/>
            <w:vAlign w:val="center"/>
            <w:hideMark/>
          </w:tcPr>
          <w:p w14:paraId="683C7F44" w14:textId="77777777" w:rsidR="007F46F7" w:rsidRPr="00D72D94" w:rsidRDefault="007F46F7">
            <w:pPr>
              <w:spacing w:after="0" w:line="240" w:lineRule="auto"/>
              <w:jc w:val="right"/>
              <w:rPr>
                <w:rFonts w:eastAsia="Times New Roman" w:cs="Arial"/>
                <w:color w:val="000000"/>
                <w:sz w:val="17"/>
                <w:szCs w:val="17"/>
                <w:lang w:eastAsia="en-AU"/>
              </w:rPr>
            </w:pPr>
          </w:p>
        </w:tc>
        <w:tc>
          <w:tcPr>
            <w:tcW w:w="851" w:type="dxa"/>
            <w:tcBorders>
              <w:top w:val="nil"/>
              <w:left w:val="nil"/>
              <w:bottom w:val="single" w:sz="4" w:space="0" w:color="auto"/>
              <w:right w:val="single" w:sz="4" w:space="0" w:color="auto"/>
            </w:tcBorders>
            <w:shd w:val="clear" w:color="000000" w:fill="FFE699"/>
            <w:noWrap/>
            <w:vAlign w:val="center"/>
            <w:hideMark/>
          </w:tcPr>
          <w:p w14:paraId="73EB5567"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1.9%</w:t>
            </w:r>
          </w:p>
        </w:tc>
        <w:tc>
          <w:tcPr>
            <w:tcW w:w="850" w:type="dxa"/>
            <w:tcBorders>
              <w:top w:val="nil"/>
              <w:left w:val="nil"/>
              <w:bottom w:val="single" w:sz="4" w:space="0" w:color="auto"/>
              <w:right w:val="single" w:sz="4" w:space="0" w:color="auto"/>
            </w:tcBorders>
            <w:shd w:val="clear" w:color="auto" w:fill="auto"/>
            <w:noWrap/>
            <w:vAlign w:val="center"/>
            <w:hideMark/>
          </w:tcPr>
          <w:p w14:paraId="26383A5E"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3.8%</w:t>
            </w:r>
          </w:p>
        </w:tc>
        <w:tc>
          <w:tcPr>
            <w:tcW w:w="851" w:type="dxa"/>
            <w:tcBorders>
              <w:top w:val="nil"/>
              <w:left w:val="nil"/>
              <w:bottom w:val="single" w:sz="4" w:space="0" w:color="auto"/>
              <w:right w:val="nil"/>
            </w:tcBorders>
            <w:shd w:val="clear" w:color="auto" w:fill="auto"/>
            <w:noWrap/>
            <w:vAlign w:val="center"/>
            <w:hideMark/>
          </w:tcPr>
          <w:p w14:paraId="5623FBFE"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2.9%</w:t>
            </w:r>
          </w:p>
        </w:tc>
        <w:tc>
          <w:tcPr>
            <w:tcW w:w="850" w:type="dxa"/>
            <w:tcBorders>
              <w:top w:val="nil"/>
              <w:left w:val="nil"/>
              <w:bottom w:val="single" w:sz="4" w:space="0" w:color="auto"/>
              <w:right w:val="nil"/>
            </w:tcBorders>
            <w:shd w:val="clear" w:color="auto" w:fill="auto"/>
            <w:noWrap/>
            <w:vAlign w:val="center"/>
            <w:hideMark/>
          </w:tcPr>
          <w:p w14:paraId="3D8722EE"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3.6%</w:t>
            </w:r>
          </w:p>
        </w:tc>
        <w:tc>
          <w:tcPr>
            <w:tcW w:w="851" w:type="dxa"/>
            <w:tcBorders>
              <w:top w:val="nil"/>
              <w:left w:val="nil"/>
              <w:bottom w:val="single" w:sz="4" w:space="0" w:color="auto"/>
              <w:right w:val="nil"/>
            </w:tcBorders>
            <w:shd w:val="clear" w:color="auto" w:fill="auto"/>
            <w:noWrap/>
            <w:vAlign w:val="center"/>
            <w:hideMark/>
          </w:tcPr>
          <w:p w14:paraId="0453CE45"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4.4%</w:t>
            </w:r>
          </w:p>
        </w:tc>
        <w:tc>
          <w:tcPr>
            <w:tcW w:w="850" w:type="dxa"/>
            <w:tcBorders>
              <w:top w:val="nil"/>
              <w:left w:val="nil"/>
              <w:bottom w:val="single" w:sz="4" w:space="0" w:color="auto"/>
              <w:right w:val="single" w:sz="4" w:space="0" w:color="auto"/>
            </w:tcBorders>
            <w:shd w:val="clear" w:color="auto" w:fill="auto"/>
            <w:noWrap/>
            <w:vAlign w:val="center"/>
            <w:hideMark/>
          </w:tcPr>
          <w:p w14:paraId="1E1CDD53"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4.4%</w:t>
            </w:r>
          </w:p>
        </w:tc>
      </w:tr>
      <w:tr w:rsidR="007F46F7" w:rsidRPr="007F46F7" w14:paraId="19B77FCE" w14:textId="77777777" w:rsidTr="00D72D94">
        <w:trPr>
          <w:trHeight w:val="301"/>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0528AFB7" w14:textId="77777777" w:rsidR="007F46F7" w:rsidRPr="00D72D94" w:rsidRDefault="007F46F7" w:rsidP="007F46F7">
            <w:pPr>
              <w:spacing w:after="0" w:line="240" w:lineRule="auto"/>
              <w:rPr>
                <w:rFonts w:eastAsia="Times New Roman" w:cs="Arial"/>
                <w:color w:val="000000"/>
                <w:sz w:val="17"/>
                <w:szCs w:val="17"/>
                <w:lang w:eastAsia="en-AU"/>
              </w:rPr>
            </w:pPr>
            <w:r w:rsidRPr="00D72D94">
              <w:rPr>
                <w:rFonts w:eastAsia="Times New Roman" w:cs="Arial"/>
                <w:color w:val="000000"/>
                <w:sz w:val="17"/>
                <w:szCs w:val="17"/>
                <w:lang w:eastAsia="en-AU"/>
              </w:rPr>
              <w:t>31 December 2019 AFSR projection</w:t>
            </w:r>
          </w:p>
        </w:tc>
        <w:tc>
          <w:tcPr>
            <w:tcW w:w="851" w:type="dxa"/>
            <w:tcBorders>
              <w:top w:val="nil"/>
              <w:left w:val="nil"/>
              <w:bottom w:val="single" w:sz="4" w:space="0" w:color="auto"/>
              <w:right w:val="nil"/>
            </w:tcBorders>
            <w:shd w:val="clear" w:color="000000" w:fill="BFBFBF"/>
            <w:noWrap/>
            <w:vAlign w:val="center"/>
            <w:hideMark/>
          </w:tcPr>
          <w:p w14:paraId="04E9BD9A" w14:textId="77777777" w:rsidR="007F46F7" w:rsidRPr="00D72D94" w:rsidRDefault="007F46F7">
            <w:pPr>
              <w:spacing w:after="0" w:line="240" w:lineRule="auto"/>
              <w:jc w:val="right"/>
              <w:rPr>
                <w:rFonts w:eastAsia="Times New Roman" w:cs="Arial"/>
                <w:color w:val="000000"/>
                <w:sz w:val="17"/>
                <w:szCs w:val="17"/>
                <w:lang w:eastAsia="en-AU"/>
              </w:rPr>
            </w:pPr>
          </w:p>
        </w:tc>
        <w:tc>
          <w:tcPr>
            <w:tcW w:w="850" w:type="dxa"/>
            <w:tcBorders>
              <w:top w:val="nil"/>
              <w:left w:val="nil"/>
              <w:bottom w:val="single" w:sz="4" w:space="0" w:color="auto"/>
              <w:right w:val="nil"/>
            </w:tcBorders>
            <w:shd w:val="clear" w:color="000000" w:fill="BFBFBF"/>
            <w:noWrap/>
            <w:vAlign w:val="center"/>
            <w:hideMark/>
          </w:tcPr>
          <w:p w14:paraId="161B6050" w14:textId="77777777" w:rsidR="007F46F7" w:rsidRPr="00D72D94" w:rsidRDefault="007F46F7">
            <w:pPr>
              <w:spacing w:after="0" w:line="240" w:lineRule="auto"/>
              <w:jc w:val="right"/>
              <w:rPr>
                <w:rFonts w:eastAsia="Times New Roman" w:cs="Arial"/>
                <w:color w:val="000000"/>
                <w:sz w:val="17"/>
                <w:szCs w:val="17"/>
                <w:lang w:eastAsia="en-AU"/>
              </w:rPr>
            </w:pPr>
          </w:p>
        </w:tc>
        <w:tc>
          <w:tcPr>
            <w:tcW w:w="851" w:type="dxa"/>
            <w:tcBorders>
              <w:top w:val="nil"/>
              <w:left w:val="nil"/>
              <w:bottom w:val="single" w:sz="4" w:space="0" w:color="auto"/>
              <w:right w:val="single" w:sz="4" w:space="0" w:color="auto"/>
            </w:tcBorders>
            <w:shd w:val="clear" w:color="auto" w:fill="auto"/>
            <w:noWrap/>
            <w:vAlign w:val="center"/>
            <w:hideMark/>
          </w:tcPr>
          <w:p w14:paraId="334AACB6"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2.0%</w:t>
            </w:r>
          </w:p>
        </w:tc>
        <w:tc>
          <w:tcPr>
            <w:tcW w:w="850" w:type="dxa"/>
            <w:tcBorders>
              <w:top w:val="nil"/>
              <w:left w:val="nil"/>
              <w:bottom w:val="single" w:sz="4" w:space="0" w:color="auto"/>
              <w:right w:val="single" w:sz="4" w:space="0" w:color="auto"/>
            </w:tcBorders>
            <w:shd w:val="clear" w:color="auto" w:fill="auto"/>
            <w:noWrap/>
            <w:vAlign w:val="center"/>
            <w:hideMark/>
          </w:tcPr>
          <w:p w14:paraId="52D09F2D"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3.9%</w:t>
            </w:r>
          </w:p>
        </w:tc>
        <w:tc>
          <w:tcPr>
            <w:tcW w:w="851" w:type="dxa"/>
            <w:tcBorders>
              <w:top w:val="nil"/>
              <w:left w:val="nil"/>
              <w:bottom w:val="single" w:sz="4" w:space="0" w:color="auto"/>
              <w:right w:val="nil"/>
            </w:tcBorders>
            <w:shd w:val="clear" w:color="auto" w:fill="auto"/>
            <w:noWrap/>
            <w:vAlign w:val="center"/>
            <w:hideMark/>
          </w:tcPr>
          <w:p w14:paraId="2877721E"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4.4%</w:t>
            </w:r>
          </w:p>
        </w:tc>
        <w:tc>
          <w:tcPr>
            <w:tcW w:w="850" w:type="dxa"/>
            <w:tcBorders>
              <w:top w:val="nil"/>
              <w:left w:val="nil"/>
              <w:bottom w:val="single" w:sz="4" w:space="0" w:color="auto"/>
              <w:right w:val="nil"/>
            </w:tcBorders>
            <w:shd w:val="clear" w:color="auto" w:fill="auto"/>
            <w:noWrap/>
            <w:vAlign w:val="center"/>
            <w:hideMark/>
          </w:tcPr>
          <w:p w14:paraId="0961AA8A"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4.5%</w:t>
            </w:r>
          </w:p>
        </w:tc>
        <w:tc>
          <w:tcPr>
            <w:tcW w:w="851" w:type="dxa"/>
            <w:tcBorders>
              <w:top w:val="nil"/>
              <w:left w:val="nil"/>
              <w:bottom w:val="single" w:sz="4" w:space="0" w:color="auto"/>
              <w:right w:val="nil"/>
            </w:tcBorders>
            <w:shd w:val="clear" w:color="auto" w:fill="auto"/>
            <w:noWrap/>
            <w:vAlign w:val="center"/>
            <w:hideMark/>
          </w:tcPr>
          <w:p w14:paraId="02D8281C"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4.0%</w:t>
            </w:r>
          </w:p>
        </w:tc>
        <w:tc>
          <w:tcPr>
            <w:tcW w:w="850" w:type="dxa"/>
            <w:tcBorders>
              <w:top w:val="nil"/>
              <w:left w:val="nil"/>
              <w:bottom w:val="single" w:sz="4" w:space="0" w:color="auto"/>
              <w:right w:val="single" w:sz="4" w:space="0" w:color="auto"/>
            </w:tcBorders>
            <w:shd w:val="clear" w:color="auto" w:fill="auto"/>
            <w:noWrap/>
            <w:vAlign w:val="center"/>
            <w:hideMark/>
          </w:tcPr>
          <w:p w14:paraId="39876196"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3.8%</w:t>
            </w:r>
          </w:p>
        </w:tc>
      </w:tr>
      <w:tr w:rsidR="007F46F7" w:rsidRPr="007F46F7" w14:paraId="61007036" w14:textId="77777777" w:rsidTr="00D72D94">
        <w:trPr>
          <w:trHeight w:val="301"/>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2FAEB0D1" w14:textId="77777777" w:rsidR="007F46F7" w:rsidRPr="00D72D94" w:rsidRDefault="007F46F7" w:rsidP="007F46F7">
            <w:pPr>
              <w:spacing w:after="0" w:line="240" w:lineRule="auto"/>
              <w:rPr>
                <w:rFonts w:eastAsia="Times New Roman" w:cs="Arial"/>
                <w:color w:val="000000"/>
                <w:sz w:val="17"/>
                <w:szCs w:val="17"/>
                <w:lang w:eastAsia="en-AU"/>
              </w:rPr>
            </w:pPr>
            <w:r w:rsidRPr="00D72D94">
              <w:rPr>
                <w:rFonts w:eastAsia="Times New Roman" w:cs="Arial"/>
                <w:color w:val="000000"/>
                <w:sz w:val="17"/>
                <w:szCs w:val="17"/>
                <w:lang w:eastAsia="en-AU"/>
              </w:rPr>
              <w:t>30 June 2019 AFSR projection</w:t>
            </w:r>
          </w:p>
        </w:tc>
        <w:tc>
          <w:tcPr>
            <w:tcW w:w="851" w:type="dxa"/>
            <w:tcBorders>
              <w:top w:val="nil"/>
              <w:left w:val="nil"/>
              <w:bottom w:val="single" w:sz="4" w:space="0" w:color="auto"/>
              <w:right w:val="nil"/>
            </w:tcBorders>
            <w:shd w:val="clear" w:color="000000" w:fill="BFBFBF"/>
            <w:noWrap/>
            <w:vAlign w:val="center"/>
            <w:hideMark/>
          </w:tcPr>
          <w:p w14:paraId="5BC2177E" w14:textId="77777777" w:rsidR="007F46F7" w:rsidRPr="00D72D94" w:rsidRDefault="007F46F7">
            <w:pPr>
              <w:spacing w:after="0" w:line="240" w:lineRule="auto"/>
              <w:jc w:val="right"/>
              <w:rPr>
                <w:rFonts w:eastAsia="Times New Roman" w:cs="Arial"/>
                <w:color w:val="000000"/>
                <w:sz w:val="17"/>
                <w:szCs w:val="17"/>
                <w:lang w:eastAsia="en-AU"/>
              </w:rPr>
            </w:pPr>
          </w:p>
        </w:tc>
        <w:tc>
          <w:tcPr>
            <w:tcW w:w="850" w:type="dxa"/>
            <w:tcBorders>
              <w:top w:val="nil"/>
              <w:left w:val="nil"/>
              <w:bottom w:val="single" w:sz="4" w:space="0" w:color="auto"/>
              <w:right w:val="nil"/>
            </w:tcBorders>
            <w:shd w:val="clear" w:color="000000" w:fill="FFE699"/>
            <w:noWrap/>
            <w:vAlign w:val="center"/>
            <w:hideMark/>
          </w:tcPr>
          <w:p w14:paraId="400C273F"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17.4%</w:t>
            </w:r>
          </w:p>
        </w:tc>
        <w:tc>
          <w:tcPr>
            <w:tcW w:w="851" w:type="dxa"/>
            <w:tcBorders>
              <w:top w:val="nil"/>
              <w:left w:val="nil"/>
              <w:bottom w:val="single" w:sz="4" w:space="0" w:color="auto"/>
              <w:right w:val="single" w:sz="4" w:space="0" w:color="auto"/>
            </w:tcBorders>
            <w:shd w:val="clear" w:color="auto" w:fill="auto"/>
            <w:noWrap/>
            <w:vAlign w:val="center"/>
            <w:hideMark/>
          </w:tcPr>
          <w:p w14:paraId="2D4A7A00"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4.2%</w:t>
            </w:r>
          </w:p>
        </w:tc>
        <w:tc>
          <w:tcPr>
            <w:tcW w:w="850" w:type="dxa"/>
            <w:tcBorders>
              <w:top w:val="nil"/>
              <w:left w:val="nil"/>
              <w:bottom w:val="single" w:sz="4" w:space="0" w:color="auto"/>
              <w:right w:val="single" w:sz="4" w:space="0" w:color="auto"/>
            </w:tcBorders>
            <w:shd w:val="clear" w:color="auto" w:fill="auto"/>
            <w:noWrap/>
            <w:vAlign w:val="center"/>
            <w:hideMark/>
          </w:tcPr>
          <w:p w14:paraId="1D370ADF"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2.8%</w:t>
            </w:r>
          </w:p>
        </w:tc>
        <w:tc>
          <w:tcPr>
            <w:tcW w:w="851" w:type="dxa"/>
            <w:tcBorders>
              <w:top w:val="nil"/>
              <w:left w:val="nil"/>
              <w:bottom w:val="single" w:sz="4" w:space="0" w:color="auto"/>
              <w:right w:val="nil"/>
            </w:tcBorders>
            <w:shd w:val="clear" w:color="auto" w:fill="auto"/>
            <w:noWrap/>
            <w:vAlign w:val="center"/>
            <w:hideMark/>
          </w:tcPr>
          <w:p w14:paraId="63A8E1AE"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2.5%</w:t>
            </w:r>
          </w:p>
        </w:tc>
        <w:tc>
          <w:tcPr>
            <w:tcW w:w="850" w:type="dxa"/>
            <w:tcBorders>
              <w:top w:val="nil"/>
              <w:left w:val="nil"/>
              <w:bottom w:val="single" w:sz="4" w:space="0" w:color="auto"/>
              <w:right w:val="nil"/>
            </w:tcBorders>
            <w:shd w:val="clear" w:color="auto" w:fill="auto"/>
            <w:noWrap/>
            <w:vAlign w:val="center"/>
            <w:hideMark/>
          </w:tcPr>
          <w:p w14:paraId="60E6B3CA"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2.7%</w:t>
            </w:r>
          </w:p>
        </w:tc>
        <w:tc>
          <w:tcPr>
            <w:tcW w:w="851" w:type="dxa"/>
            <w:tcBorders>
              <w:top w:val="nil"/>
              <w:left w:val="nil"/>
              <w:bottom w:val="single" w:sz="4" w:space="0" w:color="auto"/>
              <w:right w:val="nil"/>
            </w:tcBorders>
            <w:shd w:val="clear" w:color="auto" w:fill="auto"/>
            <w:noWrap/>
            <w:vAlign w:val="center"/>
            <w:hideMark/>
          </w:tcPr>
          <w:p w14:paraId="0D8C3596"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2.6%</w:t>
            </w:r>
          </w:p>
        </w:tc>
        <w:tc>
          <w:tcPr>
            <w:tcW w:w="850" w:type="dxa"/>
            <w:tcBorders>
              <w:top w:val="nil"/>
              <w:left w:val="nil"/>
              <w:bottom w:val="single" w:sz="4" w:space="0" w:color="auto"/>
              <w:right w:val="single" w:sz="4" w:space="0" w:color="auto"/>
            </w:tcBorders>
            <w:shd w:val="clear" w:color="auto" w:fill="auto"/>
            <w:noWrap/>
            <w:vAlign w:val="center"/>
            <w:hideMark/>
          </w:tcPr>
          <w:p w14:paraId="56F06FDE"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3.5%</w:t>
            </w:r>
          </w:p>
        </w:tc>
      </w:tr>
      <w:tr w:rsidR="007F46F7" w:rsidRPr="007F46F7" w14:paraId="345A9501" w14:textId="77777777" w:rsidTr="00D72D94">
        <w:trPr>
          <w:trHeight w:val="301"/>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68DDBC47" w14:textId="77777777" w:rsidR="007F46F7" w:rsidRPr="00D72D94" w:rsidRDefault="007F46F7" w:rsidP="007F46F7">
            <w:pPr>
              <w:spacing w:after="0" w:line="240" w:lineRule="auto"/>
              <w:rPr>
                <w:rFonts w:eastAsia="Times New Roman" w:cs="Arial"/>
                <w:color w:val="000000"/>
                <w:sz w:val="17"/>
                <w:szCs w:val="17"/>
                <w:lang w:eastAsia="en-AU"/>
              </w:rPr>
            </w:pPr>
            <w:r w:rsidRPr="00D72D94">
              <w:rPr>
                <w:rFonts w:eastAsia="Times New Roman" w:cs="Arial"/>
                <w:color w:val="000000"/>
                <w:sz w:val="17"/>
                <w:szCs w:val="17"/>
                <w:lang w:eastAsia="en-AU"/>
              </w:rPr>
              <w:t>30 June 2018 AFSR projection</w:t>
            </w:r>
          </w:p>
        </w:tc>
        <w:tc>
          <w:tcPr>
            <w:tcW w:w="851" w:type="dxa"/>
            <w:tcBorders>
              <w:top w:val="nil"/>
              <w:left w:val="nil"/>
              <w:bottom w:val="single" w:sz="4" w:space="0" w:color="auto"/>
              <w:right w:val="nil"/>
            </w:tcBorders>
            <w:shd w:val="clear" w:color="000000" w:fill="FFE699"/>
            <w:noWrap/>
            <w:vAlign w:val="center"/>
            <w:hideMark/>
          </w:tcPr>
          <w:p w14:paraId="1D8CE8E1"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-0.1%</w:t>
            </w:r>
          </w:p>
        </w:tc>
        <w:tc>
          <w:tcPr>
            <w:tcW w:w="850" w:type="dxa"/>
            <w:tcBorders>
              <w:top w:val="nil"/>
              <w:left w:val="nil"/>
              <w:bottom w:val="single" w:sz="4" w:space="0" w:color="auto"/>
              <w:right w:val="nil"/>
            </w:tcBorders>
            <w:shd w:val="clear" w:color="auto" w:fill="auto"/>
            <w:noWrap/>
            <w:vAlign w:val="center"/>
            <w:hideMark/>
          </w:tcPr>
          <w:p w14:paraId="41CEC798"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17.3%</w:t>
            </w:r>
          </w:p>
        </w:tc>
        <w:tc>
          <w:tcPr>
            <w:tcW w:w="851" w:type="dxa"/>
            <w:tcBorders>
              <w:top w:val="nil"/>
              <w:left w:val="nil"/>
              <w:bottom w:val="single" w:sz="4" w:space="0" w:color="auto"/>
              <w:right w:val="single" w:sz="4" w:space="0" w:color="auto"/>
            </w:tcBorders>
            <w:shd w:val="clear" w:color="auto" w:fill="auto"/>
            <w:noWrap/>
            <w:vAlign w:val="center"/>
            <w:hideMark/>
          </w:tcPr>
          <w:p w14:paraId="34CBF37A"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8.8%</w:t>
            </w:r>
          </w:p>
        </w:tc>
        <w:tc>
          <w:tcPr>
            <w:tcW w:w="850" w:type="dxa"/>
            <w:tcBorders>
              <w:top w:val="nil"/>
              <w:left w:val="nil"/>
              <w:bottom w:val="single" w:sz="4" w:space="0" w:color="auto"/>
              <w:right w:val="single" w:sz="4" w:space="0" w:color="auto"/>
            </w:tcBorders>
            <w:shd w:val="clear" w:color="auto" w:fill="auto"/>
            <w:noWrap/>
            <w:vAlign w:val="center"/>
            <w:hideMark/>
          </w:tcPr>
          <w:p w14:paraId="0F486052"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5.8%</w:t>
            </w:r>
          </w:p>
        </w:tc>
        <w:tc>
          <w:tcPr>
            <w:tcW w:w="851" w:type="dxa"/>
            <w:tcBorders>
              <w:top w:val="nil"/>
              <w:left w:val="nil"/>
              <w:bottom w:val="single" w:sz="4" w:space="0" w:color="auto"/>
              <w:right w:val="nil"/>
            </w:tcBorders>
            <w:shd w:val="clear" w:color="auto" w:fill="auto"/>
            <w:noWrap/>
            <w:vAlign w:val="center"/>
            <w:hideMark/>
          </w:tcPr>
          <w:p w14:paraId="66A3EAD3"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5.2%</w:t>
            </w:r>
          </w:p>
        </w:tc>
        <w:tc>
          <w:tcPr>
            <w:tcW w:w="850" w:type="dxa"/>
            <w:tcBorders>
              <w:top w:val="nil"/>
              <w:left w:val="nil"/>
              <w:bottom w:val="single" w:sz="4" w:space="0" w:color="auto"/>
              <w:right w:val="nil"/>
            </w:tcBorders>
            <w:shd w:val="clear" w:color="auto" w:fill="auto"/>
            <w:noWrap/>
            <w:vAlign w:val="center"/>
            <w:hideMark/>
          </w:tcPr>
          <w:p w14:paraId="397493F8"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5.0%</w:t>
            </w:r>
          </w:p>
        </w:tc>
        <w:tc>
          <w:tcPr>
            <w:tcW w:w="851" w:type="dxa"/>
            <w:tcBorders>
              <w:top w:val="nil"/>
              <w:left w:val="nil"/>
              <w:bottom w:val="single" w:sz="4" w:space="0" w:color="auto"/>
              <w:right w:val="nil"/>
            </w:tcBorders>
            <w:shd w:val="clear" w:color="auto" w:fill="auto"/>
            <w:noWrap/>
            <w:vAlign w:val="center"/>
            <w:hideMark/>
          </w:tcPr>
          <w:p w14:paraId="485D5979"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3.1%</w:t>
            </w:r>
          </w:p>
        </w:tc>
        <w:tc>
          <w:tcPr>
            <w:tcW w:w="850" w:type="dxa"/>
            <w:tcBorders>
              <w:top w:val="nil"/>
              <w:left w:val="nil"/>
              <w:bottom w:val="single" w:sz="4" w:space="0" w:color="auto"/>
              <w:right w:val="single" w:sz="4" w:space="0" w:color="auto"/>
            </w:tcBorders>
            <w:shd w:val="clear" w:color="auto" w:fill="auto"/>
            <w:noWrap/>
            <w:vAlign w:val="center"/>
            <w:hideMark/>
          </w:tcPr>
          <w:p w14:paraId="403E62A1"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3.2%</w:t>
            </w:r>
          </w:p>
        </w:tc>
      </w:tr>
      <w:tr w:rsidR="007F46F7" w:rsidRPr="007F46F7" w14:paraId="12BF0169" w14:textId="77777777" w:rsidTr="00D72D94">
        <w:trPr>
          <w:trHeight w:val="301"/>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14:paraId="12130B07" w14:textId="77777777" w:rsidR="007F46F7" w:rsidRPr="00D72D94" w:rsidRDefault="007F46F7" w:rsidP="007F46F7">
            <w:pPr>
              <w:spacing w:after="0" w:line="240" w:lineRule="auto"/>
              <w:rPr>
                <w:rFonts w:eastAsia="Times New Roman" w:cs="Arial"/>
                <w:color w:val="000000"/>
                <w:sz w:val="17"/>
                <w:szCs w:val="17"/>
                <w:lang w:eastAsia="en-AU"/>
              </w:rPr>
            </w:pPr>
            <w:r w:rsidRPr="00D72D94">
              <w:rPr>
                <w:rFonts w:eastAsia="Times New Roman" w:cs="Arial"/>
                <w:color w:val="000000"/>
                <w:sz w:val="17"/>
                <w:szCs w:val="17"/>
                <w:lang w:eastAsia="en-AU"/>
              </w:rPr>
              <w:t>Actual experience at 30 June</w:t>
            </w:r>
          </w:p>
        </w:tc>
        <w:tc>
          <w:tcPr>
            <w:tcW w:w="851" w:type="dxa"/>
            <w:tcBorders>
              <w:top w:val="nil"/>
              <w:left w:val="nil"/>
              <w:bottom w:val="single" w:sz="4" w:space="0" w:color="auto"/>
              <w:right w:val="nil"/>
            </w:tcBorders>
            <w:shd w:val="clear" w:color="000000" w:fill="FFE699"/>
            <w:noWrap/>
            <w:vAlign w:val="center"/>
            <w:hideMark/>
          </w:tcPr>
          <w:p w14:paraId="7F9ABFD7"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9.2%</w:t>
            </w:r>
          </w:p>
        </w:tc>
        <w:tc>
          <w:tcPr>
            <w:tcW w:w="850" w:type="dxa"/>
            <w:tcBorders>
              <w:top w:val="nil"/>
              <w:left w:val="nil"/>
              <w:bottom w:val="single" w:sz="4" w:space="0" w:color="auto"/>
              <w:right w:val="nil"/>
            </w:tcBorders>
            <w:shd w:val="clear" w:color="000000" w:fill="FFE699"/>
            <w:noWrap/>
            <w:vAlign w:val="center"/>
            <w:hideMark/>
          </w:tcPr>
          <w:p w14:paraId="6EBE9310"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19.7%</w:t>
            </w:r>
          </w:p>
        </w:tc>
        <w:tc>
          <w:tcPr>
            <w:tcW w:w="851" w:type="dxa"/>
            <w:tcBorders>
              <w:top w:val="nil"/>
              <w:left w:val="nil"/>
              <w:bottom w:val="single" w:sz="4" w:space="0" w:color="auto"/>
              <w:right w:val="single" w:sz="4" w:space="0" w:color="auto"/>
            </w:tcBorders>
            <w:shd w:val="clear" w:color="000000" w:fill="FFE699"/>
            <w:noWrap/>
            <w:vAlign w:val="center"/>
            <w:hideMark/>
          </w:tcPr>
          <w:p w14:paraId="201CC5AD"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6.9%</w:t>
            </w:r>
          </w:p>
        </w:tc>
        <w:tc>
          <w:tcPr>
            <w:tcW w:w="850" w:type="dxa"/>
            <w:tcBorders>
              <w:top w:val="nil"/>
              <w:left w:val="nil"/>
              <w:bottom w:val="single" w:sz="4" w:space="0" w:color="auto"/>
              <w:right w:val="single" w:sz="4" w:space="0" w:color="auto"/>
            </w:tcBorders>
            <w:shd w:val="clear" w:color="000000" w:fill="FFE699"/>
            <w:noWrap/>
            <w:vAlign w:val="center"/>
            <w:hideMark/>
          </w:tcPr>
          <w:p w14:paraId="0AD830E1" w14:textId="77777777" w:rsidR="007F46F7" w:rsidRPr="00D72D94" w:rsidRDefault="007F46F7">
            <w:pPr>
              <w:spacing w:after="0" w:line="240" w:lineRule="auto"/>
              <w:jc w:val="right"/>
              <w:rPr>
                <w:rFonts w:eastAsia="Times New Roman" w:cs="Arial"/>
                <w:color w:val="000000"/>
                <w:sz w:val="17"/>
                <w:szCs w:val="17"/>
                <w:lang w:eastAsia="en-AU"/>
              </w:rPr>
            </w:pPr>
            <w:r w:rsidRPr="00D72D94">
              <w:rPr>
                <w:rFonts w:cs="Arial"/>
                <w:sz w:val="17"/>
                <w:szCs w:val="17"/>
              </w:rPr>
              <w:t>1.6%</w:t>
            </w:r>
          </w:p>
        </w:tc>
        <w:tc>
          <w:tcPr>
            <w:tcW w:w="851" w:type="dxa"/>
            <w:tcBorders>
              <w:top w:val="nil"/>
              <w:left w:val="nil"/>
              <w:bottom w:val="single" w:sz="4" w:space="0" w:color="auto"/>
              <w:right w:val="nil"/>
            </w:tcBorders>
            <w:shd w:val="clear" w:color="000000" w:fill="BFBFBF"/>
            <w:noWrap/>
            <w:vAlign w:val="center"/>
            <w:hideMark/>
          </w:tcPr>
          <w:p w14:paraId="22D7CF9A" w14:textId="77777777" w:rsidR="007F46F7" w:rsidRPr="00D72D94" w:rsidRDefault="007F46F7">
            <w:pPr>
              <w:spacing w:after="0" w:line="240" w:lineRule="auto"/>
              <w:jc w:val="right"/>
              <w:rPr>
                <w:rFonts w:eastAsia="Times New Roman" w:cs="Arial"/>
                <w:color w:val="000000"/>
                <w:sz w:val="17"/>
                <w:szCs w:val="17"/>
                <w:lang w:eastAsia="en-AU"/>
              </w:rPr>
            </w:pPr>
          </w:p>
        </w:tc>
        <w:tc>
          <w:tcPr>
            <w:tcW w:w="850" w:type="dxa"/>
            <w:tcBorders>
              <w:top w:val="nil"/>
              <w:left w:val="nil"/>
              <w:bottom w:val="single" w:sz="4" w:space="0" w:color="auto"/>
              <w:right w:val="nil"/>
            </w:tcBorders>
            <w:shd w:val="clear" w:color="000000" w:fill="BFBFBF"/>
            <w:noWrap/>
            <w:vAlign w:val="center"/>
            <w:hideMark/>
          </w:tcPr>
          <w:p w14:paraId="4C4412B3" w14:textId="77777777" w:rsidR="007F46F7" w:rsidRPr="00D72D94" w:rsidRDefault="007F46F7">
            <w:pPr>
              <w:spacing w:after="0" w:line="240" w:lineRule="auto"/>
              <w:jc w:val="right"/>
              <w:rPr>
                <w:rFonts w:eastAsia="Times New Roman" w:cs="Arial"/>
                <w:i/>
                <w:color w:val="000000"/>
                <w:sz w:val="17"/>
                <w:szCs w:val="17"/>
                <w:lang w:eastAsia="en-AU"/>
              </w:rPr>
            </w:pPr>
          </w:p>
        </w:tc>
        <w:tc>
          <w:tcPr>
            <w:tcW w:w="851" w:type="dxa"/>
            <w:tcBorders>
              <w:top w:val="nil"/>
              <w:left w:val="nil"/>
              <w:bottom w:val="single" w:sz="4" w:space="0" w:color="auto"/>
              <w:right w:val="nil"/>
            </w:tcBorders>
            <w:shd w:val="clear" w:color="000000" w:fill="BFBFBF"/>
            <w:noWrap/>
            <w:vAlign w:val="center"/>
            <w:hideMark/>
          </w:tcPr>
          <w:p w14:paraId="6A8E2901" w14:textId="77777777" w:rsidR="007F46F7" w:rsidRPr="00D72D94" w:rsidRDefault="007F46F7">
            <w:pPr>
              <w:spacing w:after="0" w:line="240" w:lineRule="auto"/>
              <w:jc w:val="right"/>
              <w:rPr>
                <w:rFonts w:eastAsia="Times New Roman" w:cs="Arial"/>
                <w:i/>
                <w:color w:val="000000"/>
                <w:sz w:val="17"/>
                <w:szCs w:val="17"/>
                <w:lang w:eastAsia="en-AU"/>
              </w:rPr>
            </w:pPr>
          </w:p>
        </w:tc>
        <w:tc>
          <w:tcPr>
            <w:tcW w:w="850" w:type="dxa"/>
            <w:tcBorders>
              <w:top w:val="nil"/>
              <w:left w:val="nil"/>
              <w:bottom w:val="single" w:sz="4" w:space="0" w:color="auto"/>
              <w:right w:val="single" w:sz="4" w:space="0" w:color="auto"/>
            </w:tcBorders>
            <w:shd w:val="clear" w:color="000000" w:fill="BFBFBF"/>
            <w:noWrap/>
            <w:vAlign w:val="center"/>
            <w:hideMark/>
          </w:tcPr>
          <w:p w14:paraId="6AC7EC3E" w14:textId="77777777" w:rsidR="007F46F7" w:rsidRPr="00D72D94" w:rsidRDefault="007F46F7">
            <w:pPr>
              <w:spacing w:after="0" w:line="240" w:lineRule="auto"/>
              <w:jc w:val="right"/>
              <w:rPr>
                <w:rFonts w:eastAsia="Times New Roman" w:cs="Arial"/>
                <w:i/>
                <w:color w:val="000000"/>
                <w:sz w:val="17"/>
                <w:szCs w:val="17"/>
                <w:lang w:eastAsia="en-AU"/>
              </w:rPr>
            </w:pPr>
          </w:p>
        </w:tc>
      </w:tr>
    </w:tbl>
    <w:p w14:paraId="44A5C86D" w14:textId="77777777" w:rsidR="00CF6AA7" w:rsidRPr="0063027F" w:rsidRDefault="00CF6AA7" w:rsidP="00CF6AA7">
      <w:pPr>
        <w:pStyle w:val="FSRnormal"/>
      </w:pPr>
      <w:r w:rsidRPr="00EC6811">
        <w:t>As noted above</w:t>
      </w:r>
      <w:r w:rsidRPr="0063027F">
        <w:t xml:space="preserve">, the AFSR projection is not an extrapolation of past trends. Instead, assumptions have been set using a forward-looking approach. Hence, there is significant upside risk in the projection. </w:t>
      </w:r>
    </w:p>
    <w:p w14:paraId="2706C8AD" w14:textId="77777777" w:rsidR="00CF6AA7" w:rsidRDefault="00CF6AA7" w:rsidP="00CF6AA7"/>
    <w:p w14:paraId="4A4D6ED6" w14:textId="77777777" w:rsidR="00E97506" w:rsidRDefault="00E97506" w:rsidP="00E97506"/>
    <w:p w14:paraId="17A1E75A" w14:textId="77777777" w:rsidR="00550594" w:rsidRDefault="00550594" w:rsidP="00550594"/>
    <w:p w14:paraId="393538D8" w14:textId="77777777" w:rsidR="00AB0120" w:rsidRPr="00903969" w:rsidRDefault="00AB0120" w:rsidP="00141B0B">
      <w:pPr>
        <w:rPr>
          <w:highlight w:val="yellow"/>
        </w:rPr>
      </w:pPr>
    </w:p>
    <w:p w14:paraId="49D28571" w14:textId="77777777" w:rsidR="00532B54" w:rsidRDefault="00532B54">
      <w:pPr>
        <w:pStyle w:val="Heading2"/>
      </w:pPr>
      <w:bookmarkStart w:id="275" w:name="_Toc83220858"/>
      <w:bookmarkStart w:id="276" w:name="_Toc118460213"/>
      <w:bookmarkStart w:id="277" w:name="_Toc83220861"/>
      <w:r>
        <w:lastRenderedPageBreak/>
        <w:t>Outcomes</w:t>
      </w:r>
      <w:bookmarkEnd w:id="275"/>
      <w:bookmarkEnd w:id="276"/>
    </w:p>
    <w:p w14:paraId="2C562B20" w14:textId="77777777" w:rsidR="00532B54" w:rsidRDefault="00532B54" w:rsidP="00532B54">
      <w:pPr>
        <w:pStyle w:val="Heading3"/>
      </w:pPr>
      <w:bookmarkStart w:id="278" w:name="_Toc118460214"/>
      <w:r>
        <w:t>Outcomes and financial sustainability</w:t>
      </w:r>
      <w:bookmarkEnd w:id="278"/>
    </w:p>
    <w:p w14:paraId="00C133C2" w14:textId="77777777" w:rsidR="00532B54" w:rsidRDefault="00532B54" w:rsidP="00532B54">
      <w:pPr>
        <w:pStyle w:val="FSRnormal"/>
      </w:pPr>
      <w:r>
        <w:t>Any assessment of Scheme financial sustainability needs to consider not only the costs of participant funding but also the extent to which this funding enables participants to achieve their goals and outcomes.</w:t>
      </w:r>
    </w:p>
    <w:p w14:paraId="0EEB57BF" w14:textId="77777777" w:rsidR="00532B54" w:rsidRPr="00356B76" w:rsidRDefault="00532B54" w:rsidP="00532B54">
      <w:pPr>
        <w:pStyle w:val="FSRnormal"/>
        <w:rPr>
          <w:rFonts w:cs="Arial"/>
        </w:rPr>
      </w:pPr>
      <w:r>
        <w:t xml:space="preserve">Underscoring the insurance-based principles upon which the Scheme rests, the </w:t>
      </w:r>
      <w:r w:rsidRPr="00616C21">
        <w:rPr>
          <w:rFonts w:cs="Arial"/>
        </w:rPr>
        <w:t>National Disability Insurance Scheme Act 2013</w:t>
      </w:r>
      <w:r w:rsidRPr="00616C21">
        <w:rPr>
          <w:rStyle w:val="FootnoteReference"/>
          <w:rFonts w:cs="Arial"/>
        </w:rPr>
        <w:footnoteReference w:id="121"/>
      </w:r>
      <w:r w:rsidRPr="00616C21">
        <w:rPr>
          <w:rFonts w:cs="Arial"/>
        </w:rPr>
        <w:t xml:space="preserve"> (the NDIS Act)</w:t>
      </w:r>
      <w:r>
        <w:rPr>
          <w:rFonts w:cs="Arial"/>
        </w:rPr>
        <w:t xml:space="preserve"> specifies that r</w:t>
      </w:r>
      <w:r w:rsidRPr="00356B76">
        <w:rPr>
          <w:rFonts w:cs="Arial"/>
        </w:rPr>
        <w:t>easonable and necessary supports for people with disability should:</w:t>
      </w:r>
    </w:p>
    <w:p w14:paraId="7591EBB0" w14:textId="77777777" w:rsidR="00532B54" w:rsidRPr="009B3963" w:rsidRDefault="00532B54" w:rsidP="00F830E6">
      <w:pPr>
        <w:pStyle w:val="FSRlist"/>
      </w:pPr>
      <w:r w:rsidRPr="009B3963">
        <w:t xml:space="preserve">support people with disability to pursue their goals and maximise their independence; </w:t>
      </w:r>
    </w:p>
    <w:p w14:paraId="7A0BB835" w14:textId="77777777" w:rsidR="00532B54" w:rsidRPr="009B3963" w:rsidRDefault="00532B54" w:rsidP="00F830E6">
      <w:pPr>
        <w:pStyle w:val="FSRlist"/>
      </w:pPr>
      <w:r w:rsidRPr="009B3963">
        <w:t>support people with disability to live independently and to be included in the community as fully participating citizens; and</w:t>
      </w:r>
    </w:p>
    <w:p w14:paraId="2EA6B5D4" w14:textId="77777777" w:rsidR="00532B54" w:rsidRPr="009B3963" w:rsidRDefault="00532B54" w:rsidP="00F830E6">
      <w:pPr>
        <w:pStyle w:val="FSRlist"/>
      </w:pPr>
      <w:r w:rsidRPr="009B3963">
        <w:t>develop and support the capacity of people with disability to undertake activities that enable them to participate in the community and in employment.</w:t>
      </w:r>
      <w:r>
        <w:rPr>
          <w:rStyle w:val="FootnoteReference"/>
          <w:rFonts w:cs="Arial"/>
        </w:rPr>
        <w:footnoteReference w:id="122"/>
      </w:r>
    </w:p>
    <w:p w14:paraId="4C9A4122" w14:textId="77777777" w:rsidR="00532B54" w:rsidRDefault="00532B54" w:rsidP="00532B54">
      <w:pPr>
        <w:pStyle w:val="FSRnormal"/>
      </w:pPr>
      <w:r>
        <w:t>Hence, the NDIA has a responsibility to measure how participant funding impacts the achievement of outcomes related to maximising independence and inclusion in the community, including employment. This includes consideration of both amount and type of funding, for example, the types of supports that lead to good outcomes for participants.</w:t>
      </w:r>
    </w:p>
    <w:p w14:paraId="54C19B41" w14:textId="77777777" w:rsidR="00532B54" w:rsidRDefault="00532B54" w:rsidP="00532B54">
      <w:pPr>
        <w:pStyle w:val="FSRnormal"/>
        <w:rPr>
          <w:rFonts w:cs="Arial"/>
        </w:rPr>
      </w:pPr>
      <w:r>
        <w:rPr>
          <w:rFonts w:cs="Arial"/>
        </w:rPr>
        <w:t>In turn, a</w:t>
      </w:r>
      <w:r w:rsidRPr="00A74044">
        <w:rPr>
          <w:rFonts w:cs="Arial"/>
        </w:rPr>
        <w:t xml:space="preserve">nalysis of how funded supports change in response to outcomes contributes to effective monitoring of Scheme financial sustainability. </w:t>
      </w:r>
    </w:p>
    <w:p w14:paraId="226DE7A7" w14:textId="77777777" w:rsidR="00532B54" w:rsidRDefault="00532B54" w:rsidP="00532B54">
      <w:pPr>
        <w:pStyle w:val="FSRnormal"/>
      </w:pPr>
      <w:r>
        <w:t xml:space="preserve">As Scheme </w:t>
      </w:r>
      <w:r w:rsidR="00197BF7">
        <w:t xml:space="preserve">expenses </w:t>
      </w:r>
      <w:r>
        <w:t xml:space="preserve">increase, </w:t>
      </w:r>
      <w:r w:rsidRPr="000D6ECE">
        <w:t>it become</w:t>
      </w:r>
      <w:r>
        <w:t>s</w:t>
      </w:r>
      <w:r w:rsidRPr="000D6ECE">
        <w:t xml:space="preserve"> increasingly important for the Agency to demonstrate how the Scheme is successfully building the capacity of participants to increase their independence and economic and social participation. </w:t>
      </w:r>
      <w:r w:rsidR="001C24D4">
        <w:t>Further, the Australian public, who contribute through taxation, will expect value for money from the investment.</w:t>
      </w:r>
      <w:r w:rsidRPr="000D6ECE">
        <w:t xml:space="preserve"> A positive </w:t>
      </w:r>
      <w:r>
        <w:t>benefit-cost</w:t>
      </w:r>
      <w:r w:rsidRPr="000D6ECE">
        <w:t xml:space="preserve"> analysis, where there is evidence of marginal gains being achieved with the funding, will help to demonstrate the success of</w:t>
      </w:r>
      <w:r>
        <w:t>,</w:t>
      </w:r>
      <w:r w:rsidRPr="000D6ECE">
        <w:t xml:space="preserve"> and engender trust in</w:t>
      </w:r>
      <w:r>
        <w:t>,</w:t>
      </w:r>
      <w:r w:rsidRPr="000D6ECE">
        <w:t xml:space="preserve"> the Scheme.</w:t>
      </w:r>
    </w:p>
    <w:p w14:paraId="6D5CBFBE" w14:textId="77777777" w:rsidR="00532B54" w:rsidRDefault="00532B54" w:rsidP="00532B54">
      <w:pPr>
        <w:pStyle w:val="FSRnormal"/>
        <w:rPr>
          <w:rFonts w:cs="Arial"/>
        </w:rPr>
      </w:pPr>
      <w:r>
        <w:rPr>
          <w:rFonts w:cs="Arial"/>
        </w:rPr>
        <w:t>Ideally, this benefit-cost analysis should have wider scope than just the NDIS. T</w:t>
      </w:r>
      <w:r w:rsidRPr="00A74044">
        <w:rPr>
          <w:rFonts w:cs="Arial"/>
        </w:rPr>
        <w:t>he NDIS is expected to benefit the broader Australian economy, for example through increased participation in work for people with disability and their families and carers</w:t>
      </w:r>
      <w:r>
        <w:rPr>
          <w:rFonts w:cs="Arial"/>
        </w:rPr>
        <w:t xml:space="preserve"> (with consequent reduction in government income support)</w:t>
      </w:r>
      <w:r w:rsidRPr="00A74044">
        <w:rPr>
          <w:rFonts w:cs="Arial"/>
        </w:rPr>
        <w:t xml:space="preserve">, reduced hospitalisations through improved support in the community, and reduced involvement with the justice system through improved </w:t>
      </w:r>
      <w:r>
        <w:rPr>
          <w:rFonts w:cs="Arial"/>
        </w:rPr>
        <w:t xml:space="preserve">community connections and health and wellbeing </w:t>
      </w:r>
      <w:r w:rsidRPr="00A74044">
        <w:rPr>
          <w:rFonts w:cs="Arial"/>
        </w:rPr>
        <w:t>outcomes.</w:t>
      </w:r>
    </w:p>
    <w:p w14:paraId="1A34C035" w14:textId="77777777" w:rsidR="00532B54" w:rsidRDefault="00532B54" w:rsidP="00532B54">
      <w:pPr>
        <w:pStyle w:val="FSRnormal"/>
      </w:pPr>
      <w:r>
        <w:lastRenderedPageBreak/>
        <w:t>Hence, m</w:t>
      </w:r>
      <w:r w:rsidRPr="002C495B">
        <w:t>easurement of outcomes and costs</w:t>
      </w:r>
      <w:r>
        <w:t>,</w:t>
      </w:r>
      <w:r w:rsidRPr="002C495B">
        <w:t xml:space="preserve"> both to the NDIS and other mainstream service systems</w:t>
      </w:r>
      <w:r>
        <w:t>,</w:t>
      </w:r>
      <w:r w:rsidRPr="002C495B">
        <w:t xml:space="preserve"> is critical in understanding the success of the NDIS and is a legislative requirement.</w:t>
      </w:r>
      <w:r w:rsidRPr="002C495B">
        <w:rPr>
          <w:vertAlign w:val="superscript"/>
        </w:rPr>
        <w:footnoteReference w:id="123"/>
      </w:r>
      <w:r w:rsidRPr="002C495B">
        <w:t xml:space="preserve"> </w:t>
      </w:r>
    </w:p>
    <w:p w14:paraId="74BE5F2F" w14:textId="77777777" w:rsidR="00BA7353" w:rsidRPr="00DA3F73" w:rsidRDefault="00BA7353" w:rsidP="00DA3F73">
      <w:pPr>
        <w:pStyle w:val="FSRHeading4"/>
        <w:rPr>
          <w:b w:val="0"/>
        </w:rPr>
      </w:pPr>
      <w:r w:rsidRPr="00DA3F73">
        <w:t>Outcomes and the I</w:t>
      </w:r>
      <w:r w:rsidR="007475CB">
        <w:t xml:space="preserve">nvestment </w:t>
      </w:r>
      <w:r w:rsidRPr="00DA3F73">
        <w:t>E</w:t>
      </w:r>
      <w:r w:rsidR="007475CB">
        <w:t xml:space="preserve">ffectiveness </w:t>
      </w:r>
      <w:r w:rsidRPr="00DA3F73">
        <w:t>P</w:t>
      </w:r>
      <w:r w:rsidR="007475CB">
        <w:t>rogram</w:t>
      </w:r>
      <w:r w:rsidRPr="00DA3F73">
        <w:t> </w:t>
      </w:r>
    </w:p>
    <w:p w14:paraId="4656752D" w14:textId="77777777" w:rsidR="00BA7353" w:rsidRPr="00DA3F73" w:rsidRDefault="00BA7353" w:rsidP="00DA3F73">
      <w:pPr>
        <w:pStyle w:val="FSRnormal"/>
      </w:pPr>
      <w:r w:rsidRPr="00DA3F73">
        <w:t xml:space="preserve">As discussed in </w:t>
      </w:r>
      <w:r>
        <w:t>Section 9.2 and Appendix K</w:t>
      </w:r>
      <w:r w:rsidRPr="00DA3F73">
        <w:t xml:space="preserve"> of this report, the Investment Effectiveness Program (IEP) will formally examine the </w:t>
      </w:r>
      <w:r w:rsidR="003F2B48">
        <w:t xml:space="preserve">relationship </w:t>
      </w:r>
      <w:r w:rsidRPr="00DA3F73">
        <w:t>between expenditure and outcomes. It will build on previous work undertaken to link outcomes and funding, and provide a framework for examining the benefit</w:t>
      </w:r>
      <w:r w:rsidR="00197BF7">
        <w:t>-cost</w:t>
      </w:r>
      <w:r w:rsidRPr="00DA3F73">
        <w:t xml:space="preserve"> questions outlined above. The longitudinal data collected on outcomes will be a key input to the IEP. </w:t>
      </w:r>
    </w:p>
    <w:p w14:paraId="7DDA16C9" w14:textId="77777777" w:rsidR="00532B54" w:rsidRDefault="00532B54" w:rsidP="00532B54">
      <w:pPr>
        <w:pStyle w:val="FSRHeading4"/>
      </w:pPr>
      <w:r>
        <w:t>Families and carers</w:t>
      </w:r>
    </w:p>
    <w:p w14:paraId="32A91C40" w14:textId="77777777" w:rsidR="00532B54" w:rsidRDefault="00532B54" w:rsidP="00532B54">
      <w:pPr>
        <w:pStyle w:val="FSRnormal"/>
      </w:pPr>
      <w:r>
        <w:t>Families and carers play an important role in supporting NDIS participants. Improved outcomes for participants under the NDIS can be expected to facilitate this role, leading to improved outcomes for families and carers also, such as increased employment.</w:t>
      </w:r>
    </w:p>
    <w:p w14:paraId="1CAD8736" w14:textId="77777777" w:rsidR="00532B54" w:rsidRDefault="00532B54" w:rsidP="00532B54">
      <w:pPr>
        <w:pStyle w:val="FSRnormal"/>
      </w:pPr>
      <w:r>
        <w:t>The NDIS Act also acknowledges the role of families and carers in participants’ lives:</w:t>
      </w:r>
    </w:p>
    <w:p w14:paraId="4828F2CA" w14:textId="77777777" w:rsidR="00532B54" w:rsidRPr="0076057F" w:rsidRDefault="00532B54" w:rsidP="00532B54">
      <w:pPr>
        <w:pStyle w:val="FSRlist"/>
      </w:pPr>
      <w:r>
        <w:t>The role of families, carers and other significant persons in the lives of people with disability is to be acknowledged and respected.</w:t>
      </w:r>
    </w:p>
    <w:p w14:paraId="65F716DB" w14:textId="77777777" w:rsidR="00532B54" w:rsidRPr="0076057F" w:rsidRDefault="00532B54" w:rsidP="005D06CE">
      <w:pPr>
        <w:pStyle w:val="FSRlist"/>
        <w:spacing w:after="200"/>
        <w:ind w:left="714" w:hanging="357"/>
      </w:pPr>
      <w:r>
        <w:t>The relationship between people with disability and their families and carers is to be recognised and respected.</w:t>
      </w:r>
      <w:r>
        <w:rPr>
          <w:rStyle w:val="FootnoteReference"/>
          <w:color w:val="000000"/>
          <w:szCs w:val="22"/>
        </w:rPr>
        <w:footnoteReference w:id="124"/>
      </w:r>
    </w:p>
    <w:p w14:paraId="5334C9D7" w14:textId="77777777" w:rsidR="00532B54" w:rsidRDefault="00532B54" w:rsidP="005D06CE">
      <w:pPr>
        <w:pStyle w:val="Heading3"/>
        <w:spacing w:before="360"/>
      </w:pPr>
      <w:bookmarkStart w:id="279" w:name="_Toc118460215"/>
      <w:r>
        <w:t>The outcomes framework questionnaires</w:t>
      </w:r>
      <w:bookmarkEnd w:id="279"/>
    </w:p>
    <w:p w14:paraId="2B3027BB" w14:textId="77777777" w:rsidR="00532B54" w:rsidRDefault="00532B54" w:rsidP="00532B54">
      <w:pPr>
        <w:pStyle w:val="FSRnormal"/>
      </w:pPr>
      <w:r w:rsidRPr="00A74044">
        <w:t xml:space="preserve">The </w:t>
      </w:r>
      <w:r>
        <w:t>o</w:t>
      </w:r>
      <w:r w:rsidRPr="00A74044">
        <w:t xml:space="preserve">utcomes </w:t>
      </w:r>
      <w:r>
        <w:t>f</w:t>
      </w:r>
      <w:r w:rsidRPr="00A74044">
        <w:t xml:space="preserve">ramework </w:t>
      </w:r>
      <w:r>
        <w:t xml:space="preserve">questionnaires </w:t>
      </w:r>
      <w:r w:rsidRPr="00A74044">
        <w:t xml:space="preserve">collect information on how participants and their families and carers are progressing in different areas (domains) of their lives. </w:t>
      </w:r>
    </w:p>
    <w:p w14:paraId="7170F69D" w14:textId="77777777" w:rsidR="00532B54" w:rsidRPr="00DB018F" w:rsidRDefault="00532B54" w:rsidP="00532B54">
      <w:pPr>
        <w:pStyle w:val="FSRnormal"/>
      </w:pPr>
      <w:r>
        <w:rPr>
          <w:rFonts w:eastAsia="Calibri" w:cs="Times New Roman"/>
        </w:rPr>
        <w:t xml:space="preserve">The questionnaires were developed to monitor individual and Scheme progress over time, and to benchmark (for example, to Australians without disability, and to other OECD countries). Longitudinal modelling of the data collected has also been used to investigate the link between outcomes and </w:t>
      </w:r>
      <w:r>
        <w:t>risk factors, including socio-demographic factors, as well as the supports received by participants.</w:t>
      </w:r>
      <w:r w:rsidR="00BA7353" w:rsidRPr="00BA7353">
        <w:rPr>
          <w:rStyle w:val="Heading2Char"/>
          <w:rFonts w:cs="Arial"/>
          <w:color w:val="000000"/>
          <w:sz w:val="22"/>
          <w:szCs w:val="22"/>
          <w:shd w:val="clear" w:color="auto" w:fill="FFFFFF"/>
        </w:rPr>
        <w:t xml:space="preserve"> </w:t>
      </w:r>
      <w:r w:rsidR="00BA7353">
        <w:rPr>
          <w:rStyle w:val="normaltextrun"/>
          <w:rFonts w:cs="Arial"/>
          <w:color w:val="000000"/>
          <w:szCs w:val="22"/>
          <w:shd w:val="clear" w:color="auto" w:fill="FFFFFF"/>
        </w:rPr>
        <w:t xml:space="preserve">As described </w:t>
      </w:r>
      <w:r w:rsidR="00BA7353">
        <w:rPr>
          <w:rStyle w:val="normaltextrun"/>
          <w:rFonts w:cs="Arial"/>
          <w:szCs w:val="22"/>
          <w:shd w:val="clear" w:color="auto" w:fill="FFFFFF"/>
        </w:rPr>
        <w:t xml:space="preserve">in </w:t>
      </w:r>
      <w:r w:rsidR="00BA7353" w:rsidRPr="0047087C">
        <w:rPr>
          <w:rStyle w:val="normaltextrun"/>
          <w:rFonts w:cs="Arial"/>
          <w:szCs w:val="22"/>
          <w:shd w:val="clear" w:color="auto" w:fill="FFFFFF"/>
        </w:rPr>
        <w:t>Section 9.2</w:t>
      </w:r>
      <w:r w:rsidR="00BA7353" w:rsidRPr="00DA3F73">
        <w:rPr>
          <w:rStyle w:val="normaltextrun"/>
          <w:rFonts w:cs="Arial"/>
          <w:szCs w:val="22"/>
          <w:shd w:val="clear" w:color="auto" w:fill="FFFFFF"/>
        </w:rPr>
        <w:t xml:space="preserve"> and in Appendix K, </w:t>
      </w:r>
      <w:r w:rsidR="00BA7353">
        <w:rPr>
          <w:rStyle w:val="normaltextrun"/>
          <w:rFonts w:cs="Arial"/>
          <w:color w:val="000000"/>
          <w:szCs w:val="22"/>
          <w:shd w:val="clear" w:color="auto" w:fill="FFFFFF"/>
        </w:rPr>
        <w:t xml:space="preserve">the </w:t>
      </w:r>
      <w:r w:rsidR="00BA7353">
        <w:rPr>
          <w:rStyle w:val="findhit"/>
          <w:rFonts w:cs="Arial"/>
          <w:color w:val="000000"/>
          <w:szCs w:val="22"/>
          <w:shd w:val="clear" w:color="auto" w:fill="FFFFFF"/>
        </w:rPr>
        <w:t>IEP</w:t>
      </w:r>
      <w:r w:rsidR="00BA7353">
        <w:rPr>
          <w:rStyle w:val="normaltextrun"/>
          <w:rFonts w:cs="Arial"/>
          <w:color w:val="000000"/>
          <w:szCs w:val="22"/>
          <w:shd w:val="clear" w:color="auto" w:fill="FFFFFF"/>
        </w:rPr>
        <w:t xml:space="preserve"> will build on this modelling work in an attempt to explain the causal link between supports (including individual, community and mainstream) and the achievement of outcomes.</w:t>
      </w:r>
    </w:p>
    <w:p w14:paraId="15B1E265" w14:textId="77777777" w:rsidR="00532B54" w:rsidRDefault="00532B54" w:rsidP="00532B54">
      <w:pPr>
        <w:pStyle w:val="FSRHeading4"/>
      </w:pPr>
      <w:r>
        <w:lastRenderedPageBreak/>
        <w:t>Development</w:t>
      </w:r>
    </w:p>
    <w:p w14:paraId="6446EBD2" w14:textId="77777777" w:rsidR="00532B54" w:rsidRDefault="00532B54" w:rsidP="00532B54">
      <w:pPr>
        <w:pStyle w:val="FSRnormal"/>
      </w:pPr>
      <w:r w:rsidRPr="00A74044">
        <w:t xml:space="preserve">Development of the </w:t>
      </w:r>
      <w:r>
        <w:t>questionnaires</w:t>
      </w:r>
      <w:r w:rsidRPr="00A74044">
        <w:t xml:space="preserve"> involved</w:t>
      </w:r>
      <w:r>
        <w:t>:</w:t>
      </w:r>
    </w:p>
    <w:p w14:paraId="0FD1BACC" w14:textId="77777777" w:rsidR="00532B54" w:rsidRDefault="00532B54" w:rsidP="00532B54">
      <w:pPr>
        <w:pStyle w:val="FSRlist"/>
      </w:pPr>
      <w:r>
        <w:t>A</w:t>
      </w:r>
      <w:r w:rsidRPr="00643836">
        <w:t xml:space="preserve"> review of existing nation</w:t>
      </w:r>
      <w:r>
        <w:t>al and international frameworks</w:t>
      </w:r>
      <w:r w:rsidRPr="00643836">
        <w:t xml:space="preserve"> </w:t>
      </w:r>
    </w:p>
    <w:p w14:paraId="7BF7DFF9" w14:textId="77777777" w:rsidR="00532B54" w:rsidRDefault="00532B54" w:rsidP="00532B54">
      <w:pPr>
        <w:pStyle w:val="FSRlist"/>
      </w:pPr>
      <w:r>
        <w:t>A</w:t>
      </w:r>
      <w:r w:rsidRPr="00643836">
        <w:t xml:space="preserve"> review of available population data against</w:t>
      </w:r>
      <w:r>
        <w:t xml:space="preserve"> which to benchmark performance, including Australian Bureau of Statistics (ABS) surveys as well as other sources</w:t>
      </w:r>
    </w:p>
    <w:p w14:paraId="6F5858AD" w14:textId="77777777" w:rsidR="00532B54" w:rsidRDefault="00532B54" w:rsidP="00532B54">
      <w:pPr>
        <w:pStyle w:val="FSRlist"/>
      </w:pPr>
      <w:r>
        <w:t>C</w:t>
      </w:r>
      <w:r w:rsidRPr="00643836">
        <w:t xml:space="preserve">onsultation with a wide range of stakeholders, including the NDIA Independent Advisory </w:t>
      </w:r>
      <w:r>
        <w:t>Council (IAC), key stakeholder groups, disability researchers, participants and families/carers</w:t>
      </w:r>
    </w:p>
    <w:p w14:paraId="2B4EE38E" w14:textId="77777777" w:rsidR="00532B54" w:rsidRDefault="00532B54" w:rsidP="00532B54">
      <w:pPr>
        <w:pStyle w:val="FSRlist"/>
      </w:pPr>
      <w:r>
        <w:t>A</w:t>
      </w:r>
      <w:r w:rsidRPr="00643836">
        <w:t xml:space="preserve"> pilot of the questionnaires.</w:t>
      </w:r>
      <w:r>
        <w:rPr>
          <w:rStyle w:val="FootnoteReference"/>
          <w:rFonts w:cs="Arial"/>
        </w:rPr>
        <w:footnoteReference w:id="125"/>
      </w:r>
      <w:r w:rsidRPr="00643836">
        <w:t xml:space="preserve"> </w:t>
      </w:r>
    </w:p>
    <w:p w14:paraId="0C7C780F" w14:textId="77777777" w:rsidR="00532B54" w:rsidRDefault="00532B54" w:rsidP="00532B54">
      <w:pPr>
        <w:pStyle w:val="FSRHeading4"/>
      </w:pPr>
      <w:r>
        <w:t>Questionnaires by life stage</w:t>
      </w:r>
    </w:p>
    <w:p w14:paraId="1E169724" w14:textId="77777777" w:rsidR="00532B54" w:rsidRDefault="00532B54" w:rsidP="00532B54">
      <w:pPr>
        <w:pStyle w:val="FSRnormal"/>
      </w:pPr>
      <w:r w:rsidRPr="00A74044">
        <w:t>Leveraging research conducted by the IAC, the outcomes framework takes a lifespan approach to the measurement of outcomes, recognising that different milestones are important for different age groups. Hence different versions of the questionnaires are used, for both participants and families/carers, depending on the age of the participant.</w:t>
      </w:r>
    </w:p>
    <w:p w14:paraId="63B102B0" w14:textId="77777777" w:rsidR="00532B54" w:rsidRDefault="00532B54" w:rsidP="00532B54">
      <w:pPr>
        <w:pStyle w:val="FSRnormal"/>
      </w:pPr>
      <w:r>
        <w:t>The four versions of the participant questionnaires are for participants aged:</w:t>
      </w:r>
    </w:p>
    <w:p w14:paraId="18C10623" w14:textId="77777777" w:rsidR="00532B54" w:rsidRDefault="00532B54" w:rsidP="00532B54">
      <w:pPr>
        <w:pStyle w:val="FSRlist"/>
      </w:pPr>
      <w:r>
        <w:t>From birth to before starting school</w:t>
      </w:r>
    </w:p>
    <w:p w14:paraId="40152B48" w14:textId="77777777" w:rsidR="00532B54" w:rsidRDefault="00532B54" w:rsidP="00532B54">
      <w:pPr>
        <w:pStyle w:val="FSRlist"/>
      </w:pPr>
      <w:r>
        <w:t>From starting school to 14</w:t>
      </w:r>
    </w:p>
    <w:p w14:paraId="072A3656" w14:textId="77777777" w:rsidR="00532B54" w:rsidRDefault="00532B54" w:rsidP="00532B54">
      <w:pPr>
        <w:pStyle w:val="FSRlist"/>
      </w:pPr>
      <w:r>
        <w:t>15 to 24</w:t>
      </w:r>
    </w:p>
    <w:p w14:paraId="79733829" w14:textId="77777777" w:rsidR="00532B54" w:rsidRDefault="00532B54" w:rsidP="00532B54">
      <w:pPr>
        <w:pStyle w:val="FSRlist"/>
      </w:pPr>
      <w:r>
        <w:t>25 and over</w:t>
      </w:r>
    </w:p>
    <w:p w14:paraId="543E8291" w14:textId="77777777" w:rsidR="00532B54" w:rsidRDefault="00532B54" w:rsidP="00532B54">
      <w:pPr>
        <w:pStyle w:val="FSRnormal"/>
      </w:pPr>
      <w:r>
        <w:t>The three versions of the family/carer questionnaires are for families and carers of participants aged:</w:t>
      </w:r>
    </w:p>
    <w:p w14:paraId="7D23D04F" w14:textId="77777777" w:rsidR="00532B54" w:rsidRPr="00930208" w:rsidRDefault="00532B54" w:rsidP="00532B54">
      <w:pPr>
        <w:pStyle w:val="FSRlist"/>
      </w:pPr>
      <w:r w:rsidRPr="00930208">
        <w:t>From birth to 14</w:t>
      </w:r>
    </w:p>
    <w:p w14:paraId="61FB6C85" w14:textId="77777777" w:rsidR="00532B54" w:rsidRDefault="00532B54" w:rsidP="00532B54">
      <w:pPr>
        <w:pStyle w:val="FSRlist"/>
      </w:pPr>
      <w:r>
        <w:t>15 to 24</w:t>
      </w:r>
    </w:p>
    <w:p w14:paraId="057F140B" w14:textId="77777777" w:rsidR="00532B54" w:rsidRDefault="00532B54" w:rsidP="00532B54">
      <w:pPr>
        <w:pStyle w:val="FSRlist"/>
      </w:pPr>
      <w:r>
        <w:t>25 an</w:t>
      </w:r>
      <w:r w:rsidR="005D06CE">
        <w:t>d over</w:t>
      </w:r>
    </w:p>
    <w:p w14:paraId="7730A8C8" w14:textId="77777777" w:rsidR="00532B54" w:rsidRDefault="00532B54" w:rsidP="00532B54">
      <w:pPr>
        <w:pStyle w:val="FSRHeading4"/>
      </w:pPr>
      <w:r>
        <w:t>Participant domains</w:t>
      </w:r>
    </w:p>
    <w:p w14:paraId="20C8091A" w14:textId="77777777" w:rsidR="00532B54" w:rsidRDefault="00532B54" w:rsidP="00532B54">
      <w:pPr>
        <w:pStyle w:val="FSRnormal"/>
      </w:pPr>
      <w:r w:rsidRPr="003C77AA">
        <w:t>Participant domains vary for children and adults.</w:t>
      </w:r>
      <w:r>
        <w:t xml:space="preserve"> </w:t>
      </w:r>
      <w:r w:rsidRPr="003C77AA">
        <w:t>While most domains overlap, goals and outcomes may differ depending on the age group.</w:t>
      </w:r>
    </w:p>
    <w:p w14:paraId="3511FB72" w14:textId="77777777" w:rsidR="00532B54" w:rsidRPr="00455B75" w:rsidRDefault="00532B54" w:rsidP="00532B54">
      <w:pPr>
        <w:pStyle w:val="Figures"/>
      </w:pPr>
      <w:bookmarkStart w:id="280" w:name="_Ref111104827"/>
      <w:r w:rsidRPr="00455B75">
        <w:lastRenderedPageBreak/>
        <w:t xml:space="preserve">Figure </w:t>
      </w:r>
      <w:fldSimple w:instr=" STYLEREF 2 \s ">
        <w:r w:rsidR="00447AA1">
          <w:rPr>
            <w:noProof/>
          </w:rPr>
          <w:t>7</w:t>
        </w:r>
      </w:fldSimple>
      <w:r w:rsidR="00447AA1">
        <w:t>.</w:t>
      </w:r>
      <w:fldSimple w:instr=" SEQ Figure \* ARABIC \s 2 ">
        <w:r w:rsidR="00447AA1">
          <w:rPr>
            <w:noProof/>
          </w:rPr>
          <w:t>1</w:t>
        </w:r>
      </w:fldSimple>
      <w:bookmarkEnd w:id="280"/>
      <w:r>
        <w:t>:</w:t>
      </w:r>
      <w:r w:rsidRPr="00455B75">
        <w:t xml:space="preserve"> </w:t>
      </w:r>
      <w:r>
        <w:t>Participant domains by age group</w:t>
      </w:r>
    </w:p>
    <w:p w14:paraId="0DE80575" w14:textId="77777777" w:rsidR="00532B54" w:rsidRDefault="00532B54" w:rsidP="00532B54">
      <w:pPr>
        <w:rPr>
          <w:rFonts w:cs="Arial"/>
        </w:rPr>
      </w:pPr>
      <w:r>
        <w:rPr>
          <w:noProof/>
          <w:lang w:eastAsia="en-AU"/>
        </w:rPr>
        <w:drawing>
          <wp:inline distT="0" distB="0" distL="0" distR="0" wp14:anchorId="43877FA9" wp14:editId="40394AFD">
            <wp:extent cx="5731510" cy="2009140"/>
            <wp:effectExtent l="0" t="0" r="2540" b="0"/>
            <wp:docPr id="238" name="Picture 238" descr="There is one diagram with a long arrow denoting life stages of participants by age groups as well as relevant outcomes domains:&#10;• Birth to starting school:&#10;o Domain 1: Daily living&#10;o Domain 2: Choice and control&#10;o Domain 3: Relationships&#10;o Domain 4: Social, community and civic participation&#10;o Domain 5: Specialist services&#10;• School to 14 years old:&#10;o Domain 1: Daily living &#10;o Domain 2: Lifelong learning&#10;o Domain 3: Relationships&#10;o Domain 4: Social, community and civic participation&#10;• 15 to 24 years old:&#10;o Domain 1: Choice and control &#10;o Domain 2: Daily living&#10;o Domain 3: Relationships&#10;o Domain 4: Home&#10;o Domain 5: Health and wellbeing&#10;o Domain 6: Lifelong learning&#10;o Domain 7: Work&#10;o Domain 8: Social, community and civic participation&#10;• 25 years old and over:&#10;o (with the same domains as for 15 to 24 years old).&#10;" title="Figure 7.1: Participant domains by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31510" cy="2009140"/>
                    </a:xfrm>
                    <a:prstGeom prst="rect">
                      <a:avLst/>
                    </a:prstGeom>
                  </pic:spPr>
                </pic:pic>
              </a:graphicData>
            </a:graphic>
          </wp:inline>
        </w:drawing>
      </w:r>
    </w:p>
    <w:p w14:paraId="19260018" w14:textId="77777777" w:rsidR="00532B54" w:rsidRDefault="00532B54" w:rsidP="00F830E6">
      <w:pPr>
        <w:pStyle w:val="FSRHeading4"/>
        <w:spacing w:before="360"/>
      </w:pPr>
      <w:r>
        <w:t>Family/carer domains</w:t>
      </w:r>
    </w:p>
    <w:p w14:paraId="61DE6119" w14:textId="77777777" w:rsidR="00532B54" w:rsidRDefault="00532B54" w:rsidP="00532B54">
      <w:pPr>
        <w:pStyle w:val="FSRnormal"/>
      </w:pPr>
      <w:r w:rsidRPr="00B707EF">
        <w:t xml:space="preserve">Overall, families and carers share many similar goals and challenges, regardless of participant age. As such, </w:t>
      </w:r>
      <w:r w:rsidR="004D5F44" w:rsidRPr="00B707EF">
        <w:t>several</w:t>
      </w:r>
      <w:r w:rsidRPr="00B707EF">
        <w:t xml:space="preserve"> the domains do indeed overlap.</w:t>
      </w:r>
    </w:p>
    <w:p w14:paraId="2B3FE7C1" w14:textId="77777777" w:rsidR="00532B54" w:rsidRPr="00455B75" w:rsidRDefault="00532B54" w:rsidP="00532B54">
      <w:pPr>
        <w:pStyle w:val="Figures"/>
      </w:pPr>
      <w:r w:rsidRPr="00455B75">
        <w:t xml:space="preserve">Figure </w:t>
      </w:r>
      <w:fldSimple w:instr=" STYLEREF 2 \s ">
        <w:r w:rsidR="00447AA1">
          <w:rPr>
            <w:noProof/>
          </w:rPr>
          <w:t>7</w:t>
        </w:r>
      </w:fldSimple>
      <w:r w:rsidR="00447AA1">
        <w:t>.</w:t>
      </w:r>
      <w:fldSimple w:instr=" SEQ Figure \* ARABIC \s 2 ">
        <w:r w:rsidR="00447AA1">
          <w:rPr>
            <w:noProof/>
          </w:rPr>
          <w:t>2</w:t>
        </w:r>
      </w:fldSimple>
      <w:r>
        <w:t>:</w:t>
      </w:r>
      <w:r w:rsidRPr="00455B75">
        <w:t xml:space="preserve"> </w:t>
      </w:r>
      <w:r>
        <w:t>Family/carer domains by participant age group</w:t>
      </w:r>
    </w:p>
    <w:p w14:paraId="4DAAB1A0" w14:textId="77777777" w:rsidR="00532B54" w:rsidRDefault="008F0A89" w:rsidP="00532B54">
      <w:pPr>
        <w:rPr>
          <w:rFonts w:cs="Arial"/>
        </w:rPr>
      </w:pPr>
      <w:r>
        <w:rPr>
          <w:rFonts w:cs="Arial"/>
          <w:noProof/>
          <w:lang w:eastAsia="en-AU"/>
        </w:rPr>
        <w:drawing>
          <wp:inline distT="0" distB="0" distL="0" distR="0" wp14:anchorId="70FEA885" wp14:editId="7493E3A2">
            <wp:extent cx="5365750" cy="3209948"/>
            <wp:effectExtent l="0" t="0" r="6350" b="9525"/>
            <wp:docPr id="243" name="Picture 243" descr="There is one diagram with a long arrow denoting life stages of participants by age as well as relevant family/carer outcome domains.&#10;The overlapping domains 1 to 4 are shown below the arrow:&#10;• Domain 1: Families/carers know their rights and advocate effectively for their family member with disability&#10;• Domain 2: Families/carers feel supported&#10;• Domain 3: Families/carers are able to gain access to desired services, programs and activities in their community&#10;• Domain 4: Families/carers enjoy health and wellbeing&#10;Underneath domains 1-4, domain 5 is shown, which is different for different age groups:&#10;• 0 to 14: Families/carers help their child develop and learn&#10;• 15 to 24: Families/carers help their young person become independent&#10;• 25 and over: Families/carers have succession plans.&#10;Below this there is an extra domain for participants aged 0 to 24, domain 6: Families/carers understand their child’s strengths, abilities and needs (LF only)." title="Figure 7.2: Family/carer domains by participant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94009" cy="3226853"/>
                    </a:xfrm>
                    <a:prstGeom prst="rect">
                      <a:avLst/>
                    </a:prstGeom>
                    <a:noFill/>
                  </pic:spPr>
                </pic:pic>
              </a:graphicData>
            </a:graphic>
          </wp:inline>
        </w:drawing>
      </w:r>
    </w:p>
    <w:p w14:paraId="286D3126" w14:textId="77777777" w:rsidR="00532B54" w:rsidRDefault="00532B54" w:rsidP="00532B54">
      <w:pPr>
        <w:pStyle w:val="FSRHeading4"/>
      </w:pPr>
      <w:r>
        <w:t>Short Form (SF) versus Long Form (LF)</w:t>
      </w:r>
    </w:p>
    <w:p w14:paraId="00035979" w14:textId="77777777" w:rsidR="00532B54" w:rsidRDefault="00532B54" w:rsidP="00532B54">
      <w:pPr>
        <w:pStyle w:val="FSRnormal"/>
      </w:pPr>
      <w:r w:rsidRPr="00A74044">
        <w:t xml:space="preserve">The pilot was used to refine the questionnaires, including removing redundant questions and revising wording for clarity. It also led to the development of two versions of the questionnaires, a long form (LF), similar to the versions piloted, and a short form (SF). </w:t>
      </w:r>
    </w:p>
    <w:p w14:paraId="1B8C2231" w14:textId="77777777" w:rsidR="00532B54" w:rsidRDefault="00532B54" w:rsidP="00532B54">
      <w:pPr>
        <w:pStyle w:val="FSRnormal"/>
      </w:pPr>
      <w:r w:rsidRPr="00A74044">
        <w:t xml:space="preserve">The SF is completed by all participants and a family member or carer where </w:t>
      </w:r>
      <w:r w:rsidR="00A00E31" w:rsidRPr="00A74044">
        <w:t>possible and</w:t>
      </w:r>
      <w:r w:rsidRPr="00A74044">
        <w:t xml:space="preserve"> contains questions useful for planning as well as key indicators to monitor and benchmark over time. </w:t>
      </w:r>
    </w:p>
    <w:p w14:paraId="6A088439" w14:textId="77777777" w:rsidR="00532B54" w:rsidRPr="001506BF" w:rsidRDefault="00532B54" w:rsidP="00532B54">
      <w:pPr>
        <w:pStyle w:val="FSRnormal"/>
      </w:pPr>
      <w:r w:rsidRPr="00A74044">
        <w:rPr>
          <w:rFonts w:cs="Arial"/>
        </w:rPr>
        <w:lastRenderedPageBreak/>
        <w:t xml:space="preserve">The LF is completed for a subset of </w:t>
      </w:r>
      <w:r w:rsidR="00A00E31" w:rsidRPr="00A74044">
        <w:rPr>
          <w:rFonts w:cs="Arial"/>
        </w:rPr>
        <w:t>participants and</w:t>
      </w:r>
      <w:r w:rsidRPr="00A74044">
        <w:rPr>
          <w:rFonts w:cs="Arial"/>
        </w:rPr>
        <w:t xml:space="preserve"> includes </w:t>
      </w:r>
      <w:r w:rsidR="004D5F44" w:rsidRPr="00A74044">
        <w:rPr>
          <w:rFonts w:cs="Arial"/>
        </w:rPr>
        <w:t>all</w:t>
      </w:r>
      <w:r w:rsidRPr="00A74044">
        <w:rPr>
          <w:rFonts w:cs="Arial"/>
        </w:rPr>
        <w:t xml:space="preserve"> the SF questions plus some additional questions allowing more detailed investigation of participant and family/carer experience, and additional benchmarking.</w:t>
      </w:r>
    </w:p>
    <w:p w14:paraId="63C55EE0" w14:textId="77777777" w:rsidR="00532B54" w:rsidRDefault="00532B54" w:rsidP="00532B54">
      <w:pPr>
        <w:pStyle w:val="FSRHeading4"/>
      </w:pPr>
      <w:r>
        <w:t>Baseline versus longitudinal</w:t>
      </w:r>
    </w:p>
    <w:p w14:paraId="25D5A991" w14:textId="77777777" w:rsidR="00532B54" w:rsidRDefault="00532B54" w:rsidP="00532B54">
      <w:pPr>
        <w:pStyle w:val="FSRnormal"/>
      </w:pPr>
      <w:r>
        <w:t>P</w:t>
      </w:r>
      <w:r w:rsidRPr="00297B4D">
        <w:t xml:space="preserve">articipants </w:t>
      </w:r>
      <w:r>
        <w:t xml:space="preserve">and their families and carers </w:t>
      </w:r>
      <w:r w:rsidRPr="00297B4D">
        <w:t>are interviewed at baseline (Scheme entry), and approximately annually</w:t>
      </w:r>
      <w:r>
        <w:t xml:space="preserve"> thereafter</w:t>
      </w:r>
      <w:r w:rsidRPr="00297B4D">
        <w:t xml:space="preserve">. </w:t>
      </w:r>
    </w:p>
    <w:p w14:paraId="10D6F2A0" w14:textId="77777777" w:rsidR="00532B54" w:rsidRDefault="00532B54" w:rsidP="00532B54">
      <w:pPr>
        <w:pStyle w:val="FSRnormal"/>
      </w:pPr>
      <w:r w:rsidRPr="00616C21">
        <w:rPr>
          <w:rFonts w:eastAsia="Calibri" w:cs="Times New Roman"/>
        </w:rPr>
        <w:t xml:space="preserve">It is important to recognise that, with respect to how they are going in different areas of their lives, participants do not enter the Scheme on an equal footing. A range of individual and external factors will impact on the experiences of participants at baseline, including the </w:t>
      </w:r>
      <w:r>
        <w:rPr>
          <w:rFonts w:eastAsia="Calibri" w:cs="Times New Roman"/>
        </w:rPr>
        <w:t xml:space="preserve">extent to which </w:t>
      </w:r>
      <w:r w:rsidRPr="00616C21">
        <w:rPr>
          <w:rFonts w:eastAsia="Calibri" w:cs="Times New Roman"/>
        </w:rPr>
        <w:t>their disability</w:t>
      </w:r>
      <w:r>
        <w:rPr>
          <w:rFonts w:eastAsia="Calibri" w:cs="Times New Roman"/>
        </w:rPr>
        <w:t xml:space="preserve"> affects their life</w:t>
      </w:r>
      <w:r w:rsidRPr="00616C21">
        <w:rPr>
          <w:rFonts w:eastAsia="Calibri" w:cs="Times New Roman"/>
        </w:rPr>
        <w:t xml:space="preserve">, </w:t>
      </w:r>
      <w:r>
        <w:rPr>
          <w:rFonts w:eastAsia="Calibri" w:cs="Times New Roman"/>
        </w:rPr>
        <w:t xml:space="preserve">where they live, and </w:t>
      </w:r>
      <w:r w:rsidRPr="00616C21">
        <w:rPr>
          <w:rFonts w:eastAsia="Calibri" w:cs="Times New Roman"/>
        </w:rPr>
        <w:t>the extent of support they receive from family and friends.</w:t>
      </w:r>
    </w:p>
    <w:p w14:paraId="21269A86" w14:textId="77777777" w:rsidR="00532B54" w:rsidRDefault="00532B54" w:rsidP="00532B54">
      <w:pPr>
        <w:pStyle w:val="FSRnormal"/>
      </w:pPr>
      <w:r w:rsidRPr="00616C21">
        <w:rPr>
          <w:rFonts w:eastAsia="Calibri" w:cs="Times New Roman"/>
        </w:rPr>
        <w:t>Consequently, the success of the Scheme should be judged not on baseline outcomes, but on how far participants have come since they entered the Scheme, acknowledging their different starting points.</w:t>
      </w:r>
    </w:p>
    <w:p w14:paraId="6102DB92" w14:textId="77777777" w:rsidR="00532B54" w:rsidRDefault="00532B54" w:rsidP="00532B54">
      <w:pPr>
        <w:pStyle w:val="FSRnormal"/>
        <w:rPr>
          <w:rStyle w:val="A8"/>
        </w:rPr>
      </w:pPr>
      <w:r>
        <w:t xml:space="preserve">The longitudinal history built up from responses to the outcomes framework questionnaires is used to analyse progress at an individual and Scheme level, to </w:t>
      </w:r>
      <w:r>
        <w:rPr>
          <w:rStyle w:val="A8"/>
        </w:rPr>
        <w:t>provide insight into how the Scheme is making a difference and point to areas where improvements may be required.</w:t>
      </w:r>
    </w:p>
    <w:p w14:paraId="45AE6886" w14:textId="77777777" w:rsidR="00532B54" w:rsidRDefault="00532B54" w:rsidP="00532B54">
      <w:pPr>
        <w:pStyle w:val="FSRHeading4"/>
      </w:pPr>
      <w:r>
        <w:t>Reporting on outcomes</w:t>
      </w:r>
    </w:p>
    <w:p w14:paraId="4EECB984" w14:textId="77777777" w:rsidR="00532B54" w:rsidRDefault="00532B54" w:rsidP="00532B54">
      <w:pPr>
        <w:pStyle w:val="FSRnormal"/>
      </w:pPr>
      <w:r>
        <w:t>Information collected from the questionnaires is used to contribute to a range of publicly available reports, including:</w:t>
      </w:r>
    </w:p>
    <w:p w14:paraId="6A95D8D0" w14:textId="77777777" w:rsidR="00532B54" w:rsidRPr="00784E41" w:rsidRDefault="00532B54" w:rsidP="00532B54">
      <w:pPr>
        <w:pStyle w:val="FSRlist"/>
        <w:rPr>
          <w:rFonts w:cs="Arial"/>
        </w:rPr>
      </w:pPr>
      <w:r w:rsidRPr="00784E41">
        <w:rPr>
          <w:rFonts w:cs="Arial"/>
        </w:rPr>
        <w:t>Quarterly</w:t>
      </w:r>
      <w:r>
        <w:rPr>
          <w:rFonts w:cs="Arial"/>
        </w:rPr>
        <w:t xml:space="preserve"> reports to disability ministers (</w:t>
      </w:r>
      <w:hyperlink r:id="rId59" w:history="1">
        <w:r>
          <w:rPr>
            <w:rStyle w:val="Hyperlink"/>
          </w:rPr>
          <w:t>Quarterly Reports | NDIS</w:t>
        </w:r>
      </w:hyperlink>
      <w:r>
        <w:t>)</w:t>
      </w:r>
    </w:p>
    <w:p w14:paraId="11AB97EE" w14:textId="77777777" w:rsidR="00532B54" w:rsidRPr="00784E41" w:rsidRDefault="00532B54" w:rsidP="00532B54">
      <w:pPr>
        <w:pStyle w:val="FSRlist"/>
        <w:rPr>
          <w:rFonts w:cs="Arial"/>
        </w:rPr>
      </w:pPr>
      <w:r w:rsidRPr="00784E41">
        <w:rPr>
          <w:rFonts w:cs="Arial"/>
        </w:rPr>
        <w:t>Annual</w:t>
      </w:r>
      <w:r>
        <w:rPr>
          <w:rFonts w:cs="Arial"/>
        </w:rPr>
        <w:t xml:space="preserve"> outcomes reports (</w:t>
      </w:r>
      <w:hyperlink r:id="rId60" w:history="1">
        <w:r>
          <w:rPr>
            <w:rStyle w:val="Hyperlink"/>
          </w:rPr>
          <w:t>Participant outcomes report | NDIS</w:t>
        </w:r>
      </w:hyperlink>
      <w:r>
        <w:t xml:space="preserve">, </w:t>
      </w:r>
      <w:hyperlink r:id="rId61" w:history="1">
        <w:r>
          <w:rPr>
            <w:rStyle w:val="Hyperlink"/>
          </w:rPr>
          <w:t>Family and carer outcomes report | NDIS</w:t>
        </w:r>
      </w:hyperlink>
      <w:r>
        <w:t>)</w:t>
      </w:r>
    </w:p>
    <w:p w14:paraId="7EF03C4E" w14:textId="77777777" w:rsidR="00532B54" w:rsidRPr="00733EF9" w:rsidRDefault="00532B54" w:rsidP="00532B54">
      <w:pPr>
        <w:pStyle w:val="FSRlist"/>
        <w:rPr>
          <w:rFonts w:cs="Arial"/>
        </w:rPr>
      </w:pPr>
      <w:r w:rsidRPr="00784E41">
        <w:rPr>
          <w:rFonts w:cs="Arial"/>
        </w:rPr>
        <w:t xml:space="preserve">Deep dives </w:t>
      </w:r>
      <w:r>
        <w:rPr>
          <w:rFonts w:cs="Arial"/>
        </w:rPr>
        <w:t>focussing on specific outcome areas, such as employment (</w:t>
      </w:r>
      <w:hyperlink r:id="rId62" w:history="1">
        <w:r>
          <w:rPr>
            <w:rStyle w:val="Hyperlink"/>
          </w:rPr>
          <w:t>Employment outcomes - participants, their families and carers | NDIS</w:t>
        </w:r>
      </w:hyperlink>
      <w:r>
        <w:t>) and the impact of the COVID-19 pandemic on participant and family/carer outcomes (</w:t>
      </w:r>
      <w:hyperlink r:id="rId63" w:history="1">
        <w:r>
          <w:rPr>
            <w:rStyle w:val="Hyperlink"/>
          </w:rPr>
          <w:t>COVID-19 impact on participant and family/carer outcomes 30 June 2020 | NDIS</w:t>
        </w:r>
      </w:hyperlink>
      <w:r>
        <w:t>)</w:t>
      </w:r>
      <w:r>
        <w:rPr>
          <w:rFonts w:cs="Arial"/>
        </w:rPr>
        <w:t>.</w:t>
      </w:r>
    </w:p>
    <w:p w14:paraId="61467B0A" w14:textId="77777777" w:rsidR="00BA7353" w:rsidRDefault="00BA7353">
      <w:pPr>
        <w:spacing w:after="160" w:line="259" w:lineRule="auto"/>
        <w:rPr>
          <w:rFonts w:eastAsiaTheme="minorHAnsi"/>
          <w:b/>
          <w:color w:val="6A2875"/>
          <w:sz w:val="36"/>
          <w:szCs w:val="44"/>
        </w:rPr>
      </w:pPr>
      <w:bookmarkStart w:id="281" w:name="_Toc79751004"/>
      <w:bookmarkStart w:id="282" w:name="_Toc83220859"/>
      <w:r>
        <w:br w:type="page"/>
      </w:r>
    </w:p>
    <w:p w14:paraId="67EB0E77" w14:textId="77777777" w:rsidR="00532B54" w:rsidRPr="000D6ECE" w:rsidRDefault="00532B54" w:rsidP="005D06CE">
      <w:pPr>
        <w:pStyle w:val="Heading3"/>
        <w:spacing w:before="360"/>
      </w:pPr>
      <w:bookmarkStart w:id="283" w:name="_Toc118460216"/>
      <w:r w:rsidRPr="000D6ECE">
        <w:lastRenderedPageBreak/>
        <w:t>Participant outcomes</w:t>
      </w:r>
      <w:bookmarkEnd w:id="281"/>
      <w:bookmarkEnd w:id="282"/>
      <w:r>
        <w:t xml:space="preserve"> – results</w:t>
      </w:r>
      <w:bookmarkEnd w:id="283"/>
    </w:p>
    <w:p w14:paraId="3F96D148" w14:textId="77777777" w:rsidR="00532B54" w:rsidRPr="00945BA1" w:rsidRDefault="00532B54" w:rsidP="00532B54">
      <w:pPr>
        <w:pStyle w:val="FSRHeading4"/>
        <w:rPr>
          <w:sz w:val="32"/>
          <w:szCs w:val="32"/>
        </w:rPr>
      </w:pPr>
      <w:bookmarkStart w:id="284" w:name="_Ref47448028"/>
      <w:r w:rsidRPr="00945BA1">
        <w:rPr>
          <w:sz w:val="32"/>
          <w:szCs w:val="32"/>
        </w:rPr>
        <w:t>Economic and social participation</w:t>
      </w:r>
      <w:bookmarkEnd w:id="284"/>
    </w:p>
    <w:p w14:paraId="17E7A022" w14:textId="77777777" w:rsidR="00532B54" w:rsidRPr="00DB018F" w:rsidRDefault="00532B54" w:rsidP="00532B54">
      <w:pPr>
        <w:pStyle w:val="FSRnormal"/>
      </w:pPr>
      <w:r w:rsidRPr="009512ED">
        <w:t xml:space="preserve">This section “Economic and social participation” and the next section “Has the NDIS helped?” </w:t>
      </w:r>
      <w:r w:rsidRPr="00DB018F">
        <w:t xml:space="preserve">show analyses of participant outcomes </w:t>
      </w:r>
      <w:r w:rsidR="007F2B28">
        <w:t>at</w:t>
      </w:r>
      <w:r w:rsidRPr="00DB018F">
        <w:t xml:space="preserve"> 30 June 2022, for participants entering the Scheme from 1 July 2016. It is worth bearing in mind that the global COVID-19 pandemic that took hold from early 2020 has had an impact on at least some participant and family/carer outcomes, such as employment and community participation. The initial impact (to 30 June 2020) on outcomes was considered in a publicly available report.</w:t>
      </w:r>
      <w:r w:rsidRPr="00945BA1">
        <w:rPr>
          <w:rStyle w:val="FootnoteReference"/>
        </w:rPr>
        <w:footnoteReference w:id="126"/>
      </w:r>
      <w:r w:rsidRPr="00DB018F">
        <w:t xml:space="preserve">  The impact on employment outcomes to 31 December 2020 was further considered in the latest report on employment outcomes.</w:t>
      </w:r>
      <w:r w:rsidRPr="00945BA1">
        <w:rPr>
          <w:rStyle w:val="FootnoteReference"/>
        </w:rPr>
        <w:footnoteReference w:id="127"/>
      </w:r>
    </w:p>
    <w:p w14:paraId="2BF6FE30" w14:textId="77777777" w:rsidR="00532B54" w:rsidRPr="00DB018F" w:rsidRDefault="00532B54" w:rsidP="00532B54">
      <w:pPr>
        <w:pStyle w:val="FSRnormal"/>
      </w:pPr>
      <w:r w:rsidRPr="00DB018F">
        <w:t>Analysing changes in participants’ economic and social participation is important for understanding whether the reasonable and necessary supports funded by the Scheme are resulting in better participant outcomes. In the NDIS Corporate Plan 202</w:t>
      </w:r>
      <w:r w:rsidR="00163CB4">
        <w:t>2</w:t>
      </w:r>
      <w:r w:rsidRPr="00DB018F">
        <w:t>-2</w:t>
      </w:r>
      <w:r w:rsidR="00163CB4">
        <w:t>6</w:t>
      </w:r>
      <w:r w:rsidRPr="00945BA1">
        <w:rPr>
          <w:rStyle w:val="FootnoteReference"/>
        </w:rPr>
        <w:footnoteReference w:id="128"/>
      </w:r>
      <w:r w:rsidRPr="00DB018F">
        <w:t>, Aspiration 1 is “a quality experience and improved outcomes for participants”, and there are specific performance metrics and targets outlined, such as the proportion of participants in work and the proportion of participants involved in community and social activities. Changes in outcomes have been measured for participants who have been in the Scheme for at least two years, to allow sufficient time for the reasonable and necessary supports provided by the Scheme to have an influence on participant outcomes.</w:t>
      </w:r>
    </w:p>
    <w:p w14:paraId="3D823601" w14:textId="77777777" w:rsidR="00532B54" w:rsidRPr="000D6ECE" w:rsidRDefault="00532B54" w:rsidP="00532B54">
      <w:pPr>
        <w:pStyle w:val="FSRHeading4"/>
      </w:pPr>
      <w:r w:rsidRPr="000D6ECE">
        <w:t>Employment</w:t>
      </w:r>
    </w:p>
    <w:p w14:paraId="475E918A" w14:textId="77777777" w:rsidR="00532B54" w:rsidRDefault="00532B54" w:rsidP="00532B54">
      <w:pPr>
        <w:pStyle w:val="FSRnormal"/>
      </w:pPr>
      <w:r w:rsidRPr="000D6ECE">
        <w:t>The NDIA recognises the critical role of employment in boosting the well-being, economic security and social inclusion of people with disability.</w:t>
      </w:r>
      <w:r>
        <w:t xml:space="preserve"> From a sustainability perspective, when an NDIS participant works they contribute to the economy, use less support for other activities to fill their days, and family members and carers can also return to work and contribute to the economy. The NDIA had a target of 24 per cent of working-age participants in paid employment by June 2022, with the achieved result of 23 per cent slightly below this target. </w:t>
      </w:r>
    </w:p>
    <w:p w14:paraId="1202386C" w14:textId="77777777" w:rsidR="00532B54" w:rsidRPr="00233327" w:rsidRDefault="00532B54" w:rsidP="00532B54">
      <w:pPr>
        <w:pStyle w:val="FSRnormal"/>
        <w:rPr>
          <w:color w:val="000000" w:themeColor="text1"/>
        </w:rPr>
      </w:pPr>
      <w:r>
        <w:t xml:space="preserve">The NDIS Participant Employment </w:t>
      </w:r>
      <w:r w:rsidRPr="000D6ECE">
        <w:t>Strategy 2019-22</w:t>
      </w:r>
      <w:r w:rsidRPr="000D6ECE">
        <w:rPr>
          <w:rStyle w:val="FootnoteReference"/>
        </w:rPr>
        <w:footnoteReference w:id="129"/>
      </w:r>
      <w:r w:rsidRPr="000D6ECE">
        <w:t xml:space="preserve"> </w:t>
      </w:r>
      <w:r>
        <w:t xml:space="preserve">(the Strategy) </w:t>
      </w:r>
      <w:r w:rsidRPr="000D6ECE">
        <w:t>which was re</w:t>
      </w:r>
      <w:r>
        <w:t>leased on 30 September 2019</w:t>
      </w:r>
      <w:r w:rsidRPr="00233327">
        <w:rPr>
          <w:color w:val="000000" w:themeColor="text1"/>
        </w:rPr>
        <w:t xml:space="preserve"> </w:t>
      </w:r>
      <w:r w:rsidR="00414046">
        <w:rPr>
          <w:color w:val="000000" w:themeColor="text1"/>
        </w:rPr>
        <w:t xml:space="preserve">and </w:t>
      </w:r>
      <w:r w:rsidRPr="00233327">
        <w:rPr>
          <w:color w:val="000000" w:themeColor="text1"/>
        </w:rPr>
        <w:t xml:space="preserve">sets out </w:t>
      </w:r>
      <w:r w:rsidRPr="00233327">
        <w:rPr>
          <w:rFonts w:cs="Arial"/>
          <w:color w:val="000000" w:themeColor="text1"/>
          <w:shd w:val="clear" w:color="auto" w:fill="FFFFFF"/>
        </w:rPr>
        <w:t>the NDIA’s vision, commitment and plan for supporting participants to find and keep meaningful employment.</w:t>
      </w:r>
      <w:r w:rsidRPr="00233327">
        <w:rPr>
          <w:color w:val="000000" w:themeColor="text1"/>
        </w:rPr>
        <w:t xml:space="preserve"> </w:t>
      </w:r>
    </w:p>
    <w:p w14:paraId="7A3B402D" w14:textId="77777777" w:rsidR="00532B54" w:rsidRPr="00233327" w:rsidRDefault="00532B54" w:rsidP="00532B54">
      <w:pPr>
        <w:pStyle w:val="FSRnormal"/>
      </w:pPr>
      <w:r>
        <w:rPr>
          <w:rFonts w:cs="FS Me Light"/>
          <w:color w:val="000000"/>
          <w:szCs w:val="22"/>
        </w:rPr>
        <w:t xml:space="preserve">The current low unemployment rate in Australia offers increased opportunities for employment of people with disability, including NDIS participants, although the interruptions to employment preparation caused by COVID lockdowns are yet to be fully overcome in </w:t>
      </w:r>
      <w:r>
        <w:rPr>
          <w:rFonts w:cs="FS Me Light"/>
          <w:color w:val="000000"/>
          <w:szCs w:val="22"/>
        </w:rPr>
        <w:lastRenderedPageBreak/>
        <w:t xml:space="preserve">some areas. </w:t>
      </w:r>
      <w:r>
        <w:t>The Employment Action Plan 2021-22</w:t>
      </w:r>
      <w:r>
        <w:rPr>
          <w:rStyle w:val="FootnoteReference"/>
        </w:rPr>
        <w:footnoteReference w:id="130"/>
      </w:r>
      <w:r>
        <w:t xml:space="preserve"> adapted the</w:t>
      </w:r>
      <w:r w:rsidRPr="00233327">
        <w:t xml:space="preserve"> </w:t>
      </w:r>
      <w:r w:rsidRPr="00233327">
        <w:rPr>
          <w:shd w:val="clear" w:color="auto" w:fill="FFFFFF"/>
        </w:rPr>
        <w:t xml:space="preserve">Strategy action plans to the current </w:t>
      </w:r>
      <w:r w:rsidR="00D96A67" w:rsidRPr="00233327">
        <w:rPr>
          <w:shd w:val="clear" w:color="auto" w:fill="FFFFFF"/>
        </w:rPr>
        <w:t>environment and</w:t>
      </w:r>
      <w:r w:rsidRPr="00233327">
        <w:rPr>
          <w:shd w:val="clear" w:color="auto" w:fill="FFFFFF"/>
        </w:rPr>
        <w:t xml:space="preserve"> contains 12 targeted actions that sit under six priority areas.</w:t>
      </w:r>
    </w:p>
    <w:p w14:paraId="4E1A0059" w14:textId="77777777" w:rsidR="00532B54" w:rsidRDefault="00532B54" w:rsidP="00532B54">
      <w:pPr>
        <w:pStyle w:val="FSRnormal"/>
      </w:pPr>
      <w:r>
        <w:t xml:space="preserve">Overall, the strategy aims to improve employment outcomes for participants and people with disability more broadly, and to guide the Agency in becoming a leader and advocate of disability </w:t>
      </w:r>
      <w:r w:rsidRPr="000D6ECE">
        <w:t>employment.</w:t>
      </w:r>
    </w:p>
    <w:p w14:paraId="568C35DD" w14:textId="77777777" w:rsidR="00532B54" w:rsidRDefault="00532B54" w:rsidP="00532B54">
      <w:pPr>
        <w:pStyle w:val="FSRHeading4"/>
      </w:pPr>
      <w:r>
        <w:t>Results – percentage in a paid job</w:t>
      </w:r>
    </w:p>
    <w:p w14:paraId="5BFB4FD3" w14:textId="77777777" w:rsidR="00532B54" w:rsidRDefault="00532B54" w:rsidP="00532B54">
      <w:pPr>
        <w:pStyle w:val="FSRnormal"/>
      </w:pPr>
      <w:r>
        <w:t>The corporate plan employment metric for participants aged 15 and over is based on the SF question “Are you currently working in a paid job?” with response options “Yes”, “No, but I would like one” and “No and I don’t want one”. The indicator “percentage in a paid job” is the number answering “Yes” as a percentage of the total number answering the question, and hence the denominator includes people who are not interested in employment. From a benchmarking perspective, this is similar to the “employment to population ratio” reported in the ABS Labour Force statistics.</w:t>
      </w:r>
    </w:p>
    <w:p w14:paraId="53324B1C" w14:textId="77777777" w:rsidR="00532B54" w:rsidRDefault="00532B54" w:rsidP="00532B54">
      <w:pPr>
        <w:pStyle w:val="FSRnormal"/>
      </w:pPr>
      <w:r>
        <w:t>The percentage in a paid job for those in the Scheme for at least two years continues to be relatively stable overall. However, results differ by age group. While employment has increased for those in the 15-24 year age group, it has remained stable or declined for all other age bands. Specifically, comparing responses at the most recent plan review</w:t>
      </w:r>
      <w:r w:rsidRPr="3BF97D5B">
        <w:rPr>
          <w:rStyle w:val="FootnoteReference"/>
        </w:rPr>
        <w:footnoteReference w:id="131"/>
      </w:r>
      <w:r>
        <w:t xml:space="preserve"> (between two and five years after entry) with responses at Scheme entry, there has been a: </w:t>
      </w:r>
    </w:p>
    <w:p w14:paraId="4B785BDF" w14:textId="77777777" w:rsidR="00532B54" w:rsidRDefault="00532B54" w:rsidP="00532B54">
      <w:pPr>
        <w:pStyle w:val="FSRlist"/>
      </w:pPr>
      <w:r w:rsidRPr="004B7B97">
        <w:rPr>
          <w:b/>
          <w:bCs/>
        </w:rPr>
        <w:t xml:space="preserve">ten </w:t>
      </w:r>
      <w:r w:rsidRPr="004B7B97">
        <w:t xml:space="preserve">percentage point increase from </w:t>
      </w:r>
      <w:r w:rsidRPr="004B7B97">
        <w:rPr>
          <w:b/>
          <w:bCs/>
        </w:rPr>
        <w:t xml:space="preserve">11% </w:t>
      </w:r>
      <w:r w:rsidRPr="004B7B97">
        <w:t xml:space="preserve">to </w:t>
      </w:r>
      <w:r w:rsidRPr="004B7B97">
        <w:rPr>
          <w:b/>
          <w:bCs/>
        </w:rPr>
        <w:t xml:space="preserve">21% </w:t>
      </w:r>
      <w:r w:rsidRPr="004B7B97">
        <w:t>for p</w:t>
      </w:r>
      <w:r>
        <w:t>articipants aged 15-24 years</w:t>
      </w:r>
    </w:p>
    <w:p w14:paraId="636946A9" w14:textId="77777777" w:rsidR="00532B54" w:rsidRDefault="00532B54" w:rsidP="00532B54">
      <w:pPr>
        <w:pStyle w:val="FSRlist"/>
      </w:pPr>
      <w:r w:rsidRPr="004B7B97">
        <w:rPr>
          <w:b/>
          <w:bCs/>
        </w:rPr>
        <w:t xml:space="preserve">less than 0.5 </w:t>
      </w:r>
      <w:r w:rsidRPr="004B7B97">
        <w:t xml:space="preserve">percentage point increase from </w:t>
      </w:r>
      <w:r w:rsidRPr="004B7B97">
        <w:rPr>
          <w:b/>
          <w:bCs/>
        </w:rPr>
        <w:t xml:space="preserve">28% </w:t>
      </w:r>
      <w:r w:rsidRPr="004B7B97">
        <w:t xml:space="preserve">to </w:t>
      </w:r>
      <w:r w:rsidRPr="004B7B97">
        <w:rPr>
          <w:b/>
          <w:bCs/>
        </w:rPr>
        <w:t xml:space="preserve">29% </w:t>
      </w:r>
      <w:r w:rsidRPr="004B7B97">
        <w:t>fo</w:t>
      </w:r>
      <w:r>
        <w:t>r participants aged 25-34 years</w:t>
      </w:r>
    </w:p>
    <w:p w14:paraId="58C8BAA1" w14:textId="77777777" w:rsidR="00532B54" w:rsidRDefault="00532B54" w:rsidP="00532B54">
      <w:pPr>
        <w:pStyle w:val="FSRlist"/>
      </w:pPr>
      <w:r w:rsidRPr="004B7B97">
        <w:rPr>
          <w:b/>
          <w:bCs/>
        </w:rPr>
        <w:t xml:space="preserve">one </w:t>
      </w:r>
      <w:r w:rsidRPr="004B7B97">
        <w:t xml:space="preserve">percentage point decrease from </w:t>
      </w:r>
      <w:r w:rsidRPr="004B7B97">
        <w:rPr>
          <w:b/>
          <w:bCs/>
        </w:rPr>
        <w:t xml:space="preserve">29% </w:t>
      </w:r>
      <w:r w:rsidRPr="004B7B97">
        <w:t xml:space="preserve">to </w:t>
      </w:r>
      <w:r w:rsidRPr="004B7B97">
        <w:rPr>
          <w:b/>
          <w:bCs/>
        </w:rPr>
        <w:t xml:space="preserve">28% </w:t>
      </w:r>
      <w:r w:rsidRPr="004B7B97">
        <w:t>for participants aged 35-44 years</w:t>
      </w:r>
    </w:p>
    <w:p w14:paraId="27AC8848" w14:textId="77777777" w:rsidR="00532B54" w:rsidRDefault="00532B54" w:rsidP="00532B54">
      <w:pPr>
        <w:pStyle w:val="FSRlist"/>
      </w:pPr>
      <w:r w:rsidRPr="004B7B97">
        <w:rPr>
          <w:b/>
          <w:bCs/>
        </w:rPr>
        <w:t xml:space="preserve">two </w:t>
      </w:r>
      <w:r w:rsidRPr="004B7B97">
        <w:t xml:space="preserve">percentage point decrease from </w:t>
      </w:r>
      <w:r w:rsidRPr="004B7B97">
        <w:rPr>
          <w:b/>
          <w:bCs/>
        </w:rPr>
        <w:t xml:space="preserve">25% </w:t>
      </w:r>
      <w:r w:rsidRPr="004B7B97">
        <w:t xml:space="preserve">to </w:t>
      </w:r>
      <w:r w:rsidRPr="004B7B97">
        <w:rPr>
          <w:b/>
          <w:bCs/>
        </w:rPr>
        <w:t xml:space="preserve">23% </w:t>
      </w:r>
      <w:r w:rsidRPr="004B7B97">
        <w:t>for participants aged 45-54 years</w:t>
      </w:r>
    </w:p>
    <w:p w14:paraId="20F50B2C" w14:textId="77777777" w:rsidR="00532B54" w:rsidRDefault="00532B54" w:rsidP="00532B54">
      <w:pPr>
        <w:pStyle w:val="FSRlist"/>
      </w:pPr>
      <w:r w:rsidRPr="004B7B97">
        <w:rPr>
          <w:b/>
          <w:bCs/>
        </w:rPr>
        <w:t xml:space="preserve">three </w:t>
      </w:r>
      <w:r w:rsidRPr="004B7B97">
        <w:t xml:space="preserve">percentage point decrease from </w:t>
      </w:r>
      <w:r w:rsidRPr="004B7B97">
        <w:rPr>
          <w:b/>
          <w:bCs/>
        </w:rPr>
        <w:t xml:space="preserve">19% </w:t>
      </w:r>
      <w:r w:rsidRPr="004B7B97">
        <w:t xml:space="preserve">to </w:t>
      </w:r>
      <w:r w:rsidRPr="004B7B97">
        <w:rPr>
          <w:b/>
          <w:bCs/>
        </w:rPr>
        <w:t xml:space="preserve">16% </w:t>
      </w:r>
      <w:r w:rsidRPr="004B7B97">
        <w:t>for pa</w:t>
      </w:r>
      <w:r>
        <w:t>rticipants aged 55-64 years</w:t>
      </w:r>
    </w:p>
    <w:p w14:paraId="73BA68BA" w14:textId="77777777" w:rsidR="00532B54" w:rsidRDefault="00532B54" w:rsidP="00532B54">
      <w:pPr>
        <w:pStyle w:val="FSRlist"/>
      </w:pPr>
      <w:r w:rsidRPr="004B7B97">
        <w:rPr>
          <w:b/>
          <w:bCs/>
        </w:rPr>
        <w:t xml:space="preserve">four </w:t>
      </w:r>
      <w:r w:rsidRPr="004B7B97">
        <w:t xml:space="preserve">percentage point decrease from </w:t>
      </w:r>
      <w:r w:rsidRPr="004B7B97">
        <w:rPr>
          <w:b/>
          <w:bCs/>
        </w:rPr>
        <w:t xml:space="preserve">13% </w:t>
      </w:r>
      <w:r w:rsidRPr="004B7B97">
        <w:t xml:space="preserve">to </w:t>
      </w:r>
      <w:r w:rsidRPr="004B7B97">
        <w:rPr>
          <w:b/>
          <w:bCs/>
        </w:rPr>
        <w:t xml:space="preserve">9% </w:t>
      </w:r>
      <w:r w:rsidRPr="004B7B97">
        <w:t>for participa</w:t>
      </w:r>
      <w:r>
        <w:t>nts aged 65 years and older.</w:t>
      </w:r>
    </w:p>
    <w:p w14:paraId="5150AE4A" w14:textId="77777777" w:rsidR="00532B54" w:rsidRPr="007C441E" w:rsidRDefault="00532B54" w:rsidP="00532B54">
      <w:pPr>
        <w:pStyle w:val="FSRnormal"/>
      </w:pPr>
      <w:r>
        <w:t xml:space="preserve">Overall, </w:t>
      </w:r>
      <w:r w:rsidRPr="007C441E">
        <w:t xml:space="preserve">for participants of working age (15-64 years) there has been a </w:t>
      </w:r>
      <w:r w:rsidRPr="007C441E">
        <w:rPr>
          <w:b/>
        </w:rPr>
        <w:t>one percentage point increase, from 22% to 23%.</w:t>
      </w:r>
      <w:r w:rsidRPr="007C441E">
        <w:t xml:space="preserve"> This compares to a 2021-22 target of 24%.</w:t>
      </w:r>
    </w:p>
    <w:p w14:paraId="1F3B3D81" w14:textId="77777777" w:rsidR="00532B54" w:rsidRDefault="00EE0279" w:rsidP="00532B54">
      <w:pPr>
        <w:pStyle w:val="FSRnormal"/>
      </w:pPr>
      <w:r w:rsidRPr="00455B75">
        <w:t xml:space="preserve">Figure </w:t>
      </w:r>
      <w:r>
        <w:rPr>
          <w:noProof/>
        </w:rPr>
        <w:t>7</w:t>
      </w:r>
      <w:r>
        <w:t>.</w:t>
      </w:r>
      <w:r>
        <w:rPr>
          <w:noProof/>
        </w:rPr>
        <w:t>3</w:t>
      </w:r>
      <w:r w:rsidR="00532B54" w:rsidRPr="007C441E">
        <w:t xml:space="preserve"> provides</w:t>
      </w:r>
      <w:r w:rsidR="00532B54">
        <w:t xml:space="preserve"> more detail on these results, showing trends over time in the Scheme by age band for different duration cohorts (participants who have been in the Scheme for approximately five, four, three or two years at 30 June 2022).</w:t>
      </w:r>
    </w:p>
    <w:p w14:paraId="3EB33190" w14:textId="77777777" w:rsidR="00532B54" w:rsidRPr="0088770F" w:rsidRDefault="00532B54" w:rsidP="00532B54">
      <w:pPr>
        <w:pStyle w:val="Figures"/>
        <w:rPr>
          <w:b w:val="0"/>
        </w:rPr>
      </w:pPr>
      <w:bookmarkStart w:id="285" w:name="_Ref113284759"/>
      <w:bookmarkStart w:id="286" w:name="_Ref111719327"/>
      <w:r w:rsidRPr="00455B75">
        <w:lastRenderedPageBreak/>
        <w:t xml:space="preserve">Figure </w:t>
      </w:r>
      <w:fldSimple w:instr=" STYLEREF 2 \s ">
        <w:r w:rsidR="00447AA1">
          <w:rPr>
            <w:noProof/>
          </w:rPr>
          <w:t>7</w:t>
        </w:r>
      </w:fldSimple>
      <w:r w:rsidR="00447AA1">
        <w:t>.</w:t>
      </w:r>
      <w:fldSimple w:instr=" SEQ Figure \* ARABIC \s 2 ">
        <w:r w:rsidR="00447AA1">
          <w:rPr>
            <w:noProof/>
          </w:rPr>
          <w:t>3</w:t>
        </w:r>
      </w:fldSimple>
      <w:bookmarkEnd w:id="285"/>
      <w:bookmarkEnd w:id="286"/>
      <w:r>
        <w:t>:</w:t>
      </w:r>
      <w:r w:rsidRPr="00455B75">
        <w:t xml:space="preserve"> </w:t>
      </w:r>
      <w:r w:rsidRPr="0088770F">
        <w:t xml:space="preserve"> Percentage of participants in a paid job – longitudinal trends for participants in the Scheme for two to five years</w:t>
      </w:r>
    </w:p>
    <w:p w14:paraId="7B8147E3" w14:textId="77777777" w:rsidR="00532B54" w:rsidRDefault="00532B54" w:rsidP="00532B54">
      <w:r w:rsidRPr="00EF6897">
        <w:rPr>
          <w:noProof/>
          <w:lang w:eastAsia="en-AU"/>
        </w:rPr>
        <w:drawing>
          <wp:inline distT="0" distB="0" distL="0" distR="0" wp14:anchorId="6890BEA7" wp14:editId="13EEEFCD">
            <wp:extent cx="5103628" cy="5321005"/>
            <wp:effectExtent l="0" t="0" r="1905" b="0"/>
            <wp:docPr id="13" name="Picture 13" descr="Four line charts are shown, for participants who have been in the Scheme for 5 years, 4 years, 3 years, and 2 years. The horizontal (x) axis shows baseline (B) and each review time point (for example, R1 to R5 for participants in the Scheme for 5 years; R1 and R2 for participants in the Scheme for 2 years). The vertical (y) axis shows the percentage of participants in a paid job.&#10;Each chart shows 6 lines, for participants aged 15 to 24, 25 to 34, 35 to 44, 45 to 54, 55 to 64 and 65 and over. These lines plot the percentage of participants in a paid job at baseline and each review time point.&#10;The line for participants aged 15 to 24 shows an increasing trend, whereas the lines for other age groups are either flat or decreasing.&#10;" title="Figure 7.3:  Percentage of participants in a paid job – longitudinal trends for participants in the Scheme for two to five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118437" cy="5336445"/>
                    </a:xfrm>
                    <a:prstGeom prst="rect">
                      <a:avLst/>
                    </a:prstGeom>
                    <a:noFill/>
                    <a:ln>
                      <a:noFill/>
                    </a:ln>
                  </pic:spPr>
                </pic:pic>
              </a:graphicData>
            </a:graphic>
          </wp:inline>
        </w:drawing>
      </w:r>
    </w:p>
    <w:p w14:paraId="29AFC2DB" w14:textId="77777777" w:rsidR="00532B54" w:rsidRDefault="005D06CE" w:rsidP="00532B54">
      <w:r w:rsidRPr="00455B75">
        <w:t xml:space="preserve">Figure </w:t>
      </w:r>
      <w:r>
        <w:rPr>
          <w:noProof/>
        </w:rPr>
        <w:t>7</w:t>
      </w:r>
      <w:r>
        <w:t>.</w:t>
      </w:r>
      <w:r>
        <w:rPr>
          <w:noProof/>
        </w:rPr>
        <w:t>3</w:t>
      </w:r>
      <w:r w:rsidR="00532B54" w:rsidRPr="00E74E58">
        <w:t xml:space="preserve"> shows a strong increasing trend in the percentage with a paid job for the 15 to 24 age group for all duration cohorts, in part reflecting the transition from school to work. For participants in t</w:t>
      </w:r>
      <w:r w:rsidR="00532B54">
        <w:t xml:space="preserve">he Scheme for four or five years, those aged 25 to 54 are the most likely to have a paid job, and the level of employment and trend over time is similar for the three age groups within this range. For participants in the Scheme for two or three years, those aged 25 to 44 are more likely than those aged 45 to 54 to have a paid job. For all duration cohorts, the level of employment is lower for participants aged 55 to 64, and lowest for those aged 65 and over, and </w:t>
      </w:r>
      <w:r w:rsidR="004D5F44">
        <w:t>both</w:t>
      </w:r>
      <w:r w:rsidR="00532B54">
        <w:t xml:space="preserve"> age groups show a decreasing trend. Part of this decreasing trend is likely to be due to participants retiring from the workforce.</w:t>
      </w:r>
    </w:p>
    <w:p w14:paraId="56D31AE8" w14:textId="77777777" w:rsidR="00532B54" w:rsidRPr="00DA5B75" w:rsidRDefault="00532B54" w:rsidP="00532B54">
      <w:r>
        <w:t xml:space="preserve">Further details about the employment outcomes for NDIS participants can be found in the publicly available report titled “Employment outcomes for NDIS participants </w:t>
      </w:r>
      <w:r w:rsidR="007F2B28">
        <w:t>at</w:t>
      </w:r>
      <w:r>
        <w:t xml:space="preserve"> 31 December 2020”.</w:t>
      </w:r>
      <w:r>
        <w:rPr>
          <w:rStyle w:val="FootnoteReference"/>
        </w:rPr>
        <w:footnoteReference w:id="132"/>
      </w:r>
    </w:p>
    <w:p w14:paraId="7BBC1DD4" w14:textId="77777777" w:rsidR="00532B54" w:rsidRPr="000D6ECE" w:rsidRDefault="00532B54" w:rsidP="00532B54">
      <w:pPr>
        <w:pStyle w:val="FSRHeading4"/>
      </w:pPr>
      <w:r w:rsidRPr="000D6ECE">
        <w:lastRenderedPageBreak/>
        <w:t>Social and community participation</w:t>
      </w:r>
    </w:p>
    <w:p w14:paraId="7AD14F43" w14:textId="77777777" w:rsidR="00532B54" w:rsidRDefault="00532B54" w:rsidP="005D06CE">
      <w:pPr>
        <w:pStyle w:val="FSRnormal"/>
        <w:rPr>
          <w:rFonts w:cs="Arial"/>
          <w:color w:val="222222"/>
          <w:shd w:val="clear" w:color="auto" w:fill="FFFFFF"/>
        </w:rPr>
      </w:pPr>
      <w:r>
        <w:t>Participation in the community has many benefits for participants, including fostering a sense of belonging and connection, developing social networks and reducing isolation, and increasing confidence and feelings of safety. It can also be a</w:t>
      </w:r>
      <w:r>
        <w:rPr>
          <w:rFonts w:cs="Arial"/>
          <w:color w:val="222222"/>
          <w:shd w:val="clear" w:color="auto" w:fill="FFFFFF"/>
        </w:rPr>
        <w:t xml:space="preserve"> way to increase opportunities for employment or study.</w:t>
      </w:r>
      <w:r>
        <w:rPr>
          <w:rStyle w:val="FootnoteReference"/>
        </w:rPr>
        <w:footnoteReference w:id="133"/>
      </w:r>
      <w:r>
        <w:rPr>
          <w:rFonts w:cs="Arial"/>
          <w:color w:val="222222"/>
          <w:shd w:val="clear" w:color="auto" w:fill="FFFFFF"/>
        </w:rPr>
        <w:t xml:space="preserve"> Participation in the community can lead to increased independence and reduced reliance on Scheme supports.</w:t>
      </w:r>
    </w:p>
    <w:p w14:paraId="4ADACA48" w14:textId="77777777" w:rsidR="00532B54" w:rsidRDefault="00532B54" w:rsidP="00532B54">
      <w:pPr>
        <w:pStyle w:val="FSRHeading4"/>
      </w:pPr>
      <w:r>
        <w:t>Results – percentage actively involved in the community</w:t>
      </w:r>
    </w:p>
    <w:p w14:paraId="468EF942" w14:textId="77777777" w:rsidR="00532B54" w:rsidRDefault="00532B54" w:rsidP="005D06CE">
      <w:pPr>
        <w:pStyle w:val="FSRnormal"/>
      </w:pPr>
      <w:r>
        <w:t>The corporate plan social and community engagement metric for participants aged 15 and over is based on the SF question “Have you been</w:t>
      </w:r>
      <w:r w:rsidRPr="00177527">
        <w:rPr>
          <w:rFonts w:eastAsia="Calibri" w:cs="Times New Roman"/>
          <w:color w:val="000000"/>
          <w:spacing w:val="5"/>
        </w:rPr>
        <w:t xml:space="preserve"> </w:t>
      </w:r>
      <w:r>
        <w:rPr>
          <w:rFonts w:cs="Arial"/>
          <w:color w:val="222222"/>
          <w:shd w:val="clear" w:color="auto" w:fill="FFFFFF"/>
        </w:rPr>
        <w:t>actively involved in a community, cultural or religious group in the last 12 months</w:t>
      </w:r>
      <w:r w:rsidRPr="00177527">
        <w:rPr>
          <w:rFonts w:eastAsia="Calibri" w:cs="Times New Roman"/>
          <w:color w:val="000000"/>
          <w:spacing w:val="5"/>
        </w:rPr>
        <w:t>?</w:t>
      </w:r>
      <w:r>
        <w:t>” with response options “Yes, a general community group”, “Yes, a group for people with disability”, “No, but I would like to be” and “No and I don’t want to be”. The indicator for social and community engagement is the number answering “Yes” (regardless of setting) as a percentage of the total number answering the question.</w:t>
      </w:r>
    </w:p>
    <w:p w14:paraId="75FD2F4A" w14:textId="77777777" w:rsidR="00532B54" w:rsidRPr="00252EAF" w:rsidRDefault="00532B54" w:rsidP="00B845DD">
      <w:pPr>
        <w:pStyle w:val="FSRnormal"/>
      </w:pPr>
      <w:r w:rsidRPr="00252EAF">
        <w:t>Despite COVID-19, participation in community and social activities has continued to increase. Results tend to be more similar by age group than for employment. Specifically, the percentage actively involved in a community, cultural or religious group in the last 12 months showed a:</w:t>
      </w:r>
    </w:p>
    <w:p w14:paraId="0D0C33AE" w14:textId="77777777" w:rsidR="00532B54" w:rsidRDefault="00532B54" w:rsidP="00532B54">
      <w:pPr>
        <w:pStyle w:val="FSRlist"/>
        <w:rPr>
          <w:shd w:val="clear" w:color="auto" w:fill="FFFFFF"/>
        </w:rPr>
      </w:pPr>
      <w:r w:rsidRPr="009270FE">
        <w:rPr>
          <w:b/>
          <w:shd w:val="clear" w:color="auto" w:fill="FFFFFF"/>
        </w:rPr>
        <w:t>seven</w:t>
      </w:r>
      <w:r w:rsidRPr="009270FE">
        <w:rPr>
          <w:shd w:val="clear" w:color="auto" w:fill="FFFFFF"/>
        </w:rPr>
        <w:t xml:space="preserve"> percentage point increase from 34% to 41% for participants aged 15–24 years</w:t>
      </w:r>
    </w:p>
    <w:p w14:paraId="28274F30" w14:textId="77777777" w:rsidR="00532B54" w:rsidRDefault="00532B54" w:rsidP="00532B54">
      <w:pPr>
        <w:pStyle w:val="FSRlist"/>
        <w:rPr>
          <w:shd w:val="clear" w:color="auto" w:fill="FFFFFF"/>
        </w:rPr>
      </w:pPr>
      <w:r w:rsidRPr="009270FE">
        <w:rPr>
          <w:b/>
          <w:shd w:val="clear" w:color="auto" w:fill="FFFFFF"/>
        </w:rPr>
        <w:t>ten</w:t>
      </w:r>
      <w:r w:rsidRPr="009270FE">
        <w:rPr>
          <w:shd w:val="clear" w:color="auto" w:fill="FFFFFF"/>
        </w:rPr>
        <w:t xml:space="preserve"> percentage point increase from 36% to 47% for participants aged 25-34 years</w:t>
      </w:r>
    </w:p>
    <w:p w14:paraId="0715A807" w14:textId="77777777" w:rsidR="00532B54" w:rsidRDefault="00532B54" w:rsidP="00532B54">
      <w:pPr>
        <w:pStyle w:val="FSRlist"/>
        <w:rPr>
          <w:shd w:val="clear" w:color="auto" w:fill="FFFFFF"/>
        </w:rPr>
      </w:pPr>
      <w:r w:rsidRPr="009270FE">
        <w:rPr>
          <w:b/>
          <w:shd w:val="clear" w:color="auto" w:fill="FFFFFF"/>
        </w:rPr>
        <w:t>eight</w:t>
      </w:r>
      <w:r w:rsidRPr="009270FE">
        <w:rPr>
          <w:shd w:val="clear" w:color="auto" w:fill="FFFFFF"/>
        </w:rPr>
        <w:t xml:space="preserve"> percentage point increase from 37% to 45% for participants aged 35-44 years</w:t>
      </w:r>
    </w:p>
    <w:p w14:paraId="64DBC1DF" w14:textId="77777777" w:rsidR="00532B54" w:rsidRDefault="00532B54" w:rsidP="00532B54">
      <w:pPr>
        <w:pStyle w:val="FSRlist"/>
        <w:rPr>
          <w:shd w:val="clear" w:color="auto" w:fill="FFFFFF"/>
        </w:rPr>
      </w:pPr>
      <w:r w:rsidRPr="00FE6CE2">
        <w:rPr>
          <w:b/>
          <w:shd w:val="clear" w:color="auto" w:fill="FFFFFF"/>
        </w:rPr>
        <w:t>seven</w:t>
      </w:r>
      <w:r w:rsidRPr="00FE6CE2">
        <w:rPr>
          <w:shd w:val="clear" w:color="auto" w:fill="FFFFFF"/>
        </w:rPr>
        <w:t xml:space="preserve"> percentage point increase from 36% to 43% for participants aged 45-54 years</w:t>
      </w:r>
    </w:p>
    <w:p w14:paraId="5DA98417" w14:textId="77777777" w:rsidR="00532B54" w:rsidRDefault="00532B54" w:rsidP="00532B54">
      <w:pPr>
        <w:pStyle w:val="FSRlist"/>
        <w:rPr>
          <w:shd w:val="clear" w:color="auto" w:fill="FFFFFF"/>
        </w:rPr>
      </w:pPr>
      <w:r w:rsidRPr="00FE6CE2">
        <w:rPr>
          <w:b/>
          <w:shd w:val="clear" w:color="auto" w:fill="FFFFFF"/>
        </w:rPr>
        <w:t>six</w:t>
      </w:r>
      <w:r w:rsidRPr="00FE6CE2">
        <w:rPr>
          <w:shd w:val="clear" w:color="auto" w:fill="FFFFFF"/>
        </w:rPr>
        <w:t xml:space="preserve"> percentage point increase from 36% to 41% for participants aged 55-64 years</w:t>
      </w:r>
    </w:p>
    <w:p w14:paraId="4B3D5EC4" w14:textId="77777777" w:rsidR="00532B54" w:rsidRPr="009270FE" w:rsidRDefault="00532B54" w:rsidP="00532B54">
      <w:pPr>
        <w:pStyle w:val="FSRlist"/>
        <w:rPr>
          <w:shd w:val="clear" w:color="auto" w:fill="FFFFFF"/>
        </w:rPr>
      </w:pPr>
      <w:r w:rsidRPr="00FE6CE2">
        <w:rPr>
          <w:b/>
          <w:shd w:val="clear" w:color="auto" w:fill="FFFFFF"/>
        </w:rPr>
        <w:t>six</w:t>
      </w:r>
      <w:r w:rsidRPr="00FE6CE2">
        <w:rPr>
          <w:shd w:val="clear" w:color="auto" w:fill="FFFFFF"/>
        </w:rPr>
        <w:t xml:space="preserve"> percentage point increase from 36% to 42% for participants aged 65 years and older</w:t>
      </w:r>
      <w:r>
        <w:rPr>
          <w:shd w:val="clear" w:color="auto" w:fill="FFFFFF"/>
        </w:rPr>
        <w:t>.</w:t>
      </w:r>
    </w:p>
    <w:p w14:paraId="0C695B13" w14:textId="77777777" w:rsidR="00532B54" w:rsidRDefault="00532B54" w:rsidP="005D06CE">
      <w:pPr>
        <w:pStyle w:val="FSRnormal"/>
      </w:pPr>
      <w:r>
        <w:t xml:space="preserve">Overall, for participants aged 15 and over, there has been a </w:t>
      </w:r>
      <w:r w:rsidRPr="00FF4C3D">
        <w:rPr>
          <w:b/>
        </w:rPr>
        <w:t>seven percentage point increase</w:t>
      </w:r>
      <w:r>
        <w:rPr>
          <w:b/>
        </w:rPr>
        <w:t>,</w:t>
      </w:r>
      <w:r w:rsidRPr="00FF4C3D">
        <w:rPr>
          <w:b/>
        </w:rPr>
        <w:t xml:space="preserve"> from 36% to 43%</w:t>
      </w:r>
      <w:r>
        <w:rPr>
          <w:b/>
        </w:rPr>
        <w:t>.</w:t>
      </w:r>
      <w:r w:rsidRPr="007142CE">
        <w:t xml:space="preserve"> </w:t>
      </w:r>
      <w:r>
        <w:t>This compares to a 2021-22 target of 48%.</w:t>
      </w:r>
    </w:p>
    <w:p w14:paraId="40D7A186" w14:textId="77777777" w:rsidR="00532B54" w:rsidRDefault="005D06CE" w:rsidP="005D06CE">
      <w:pPr>
        <w:pStyle w:val="FSRnormal"/>
        <w:rPr>
          <w:rFonts w:cs="Arial"/>
          <w:color w:val="222222"/>
          <w:shd w:val="clear" w:color="auto" w:fill="FFFFFF"/>
        </w:rPr>
      </w:pPr>
      <w:r w:rsidRPr="005D06CE">
        <w:t xml:space="preserve">Figure </w:t>
      </w:r>
      <w:r w:rsidRPr="005D06CE">
        <w:rPr>
          <w:noProof/>
        </w:rPr>
        <w:t>7</w:t>
      </w:r>
      <w:r w:rsidRPr="005D06CE">
        <w:t>.</w:t>
      </w:r>
      <w:r w:rsidRPr="005D06CE">
        <w:rPr>
          <w:noProof/>
        </w:rPr>
        <w:t>4</w:t>
      </w:r>
      <w:r w:rsidR="00532B54" w:rsidRPr="00090AC5">
        <w:t xml:space="preserve"> provides more detail on these results, showing trends over time in the Scheme by age band for different duration cohorts (participants who have been in the Scheme for ap</w:t>
      </w:r>
      <w:r w:rsidR="00532B54">
        <w:t xml:space="preserve">proximately five, four, three or two years at 30 June 2022). </w:t>
      </w:r>
      <w:r w:rsidR="00532B54">
        <w:rPr>
          <w:rFonts w:cs="Arial"/>
          <w:color w:val="222222"/>
          <w:shd w:val="clear" w:color="auto" w:fill="FFFFFF"/>
        </w:rPr>
        <w:t>Due to improvements persisting over time, the change from baseline is greater the longer participants have been in the Scheme, for all age groups.</w:t>
      </w:r>
    </w:p>
    <w:p w14:paraId="2B5C5F4F" w14:textId="77777777" w:rsidR="00D95A39" w:rsidRDefault="00D95A39">
      <w:pPr>
        <w:spacing w:after="160" w:line="259" w:lineRule="auto"/>
        <w:rPr>
          <w:b/>
        </w:rPr>
      </w:pPr>
      <w:bookmarkStart w:id="287" w:name="_Ref111719372"/>
      <w:r>
        <w:rPr>
          <w:b/>
        </w:rPr>
        <w:br w:type="page"/>
      </w:r>
    </w:p>
    <w:p w14:paraId="11C11412" w14:textId="77777777" w:rsidR="00532B54" w:rsidRPr="0088770F" w:rsidRDefault="00532B54" w:rsidP="00DE6BFC">
      <w:pPr>
        <w:pStyle w:val="Figures"/>
      </w:pPr>
      <w:bookmarkStart w:id="288" w:name="_Ref113284841"/>
      <w:r w:rsidRPr="004C4037">
        <w:lastRenderedPageBreak/>
        <w:t xml:space="preserve">Figure </w:t>
      </w:r>
      <w:fldSimple w:instr=" STYLEREF 2 \s ">
        <w:r w:rsidR="00447AA1">
          <w:rPr>
            <w:noProof/>
          </w:rPr>
          <w:t>7</w:t>
        </w:r>
      </w:fldSimple>
      <w:r w:rsidR="00447AA1">
        <w:t>.</w:t>
      </w:r>
      <w:fldSimple w:instr=" SEQ Figure \* ARABIC \s 2 ">
        <w:r w:rsidR="00447AA1">
          <w:rPr>
            <w:noProof/>
          </w:rPr>
          <w:t>4</w:t>
        </w:r>
      </w:fldSimple>
      <w:bookmarkEnd w:id="287"/>
      <w:bookmarkEnd w:id="288"/>
      <w:r w:rsidRPr="004C4037">
        <w:t>:</w:t>
      </w:r>
      <w:r>
        <w:t xml:space="preserve"> </w:t>
      </w:r>
      <w:r w:rsidRPr="0088770F">
        <w:t xml:space="preserve">Percentage of participants </w:t>
      </w:r>
      <w:r>
        <w:t>actively involved in the community</w:t>
      </w:r>
      <w:r w:rsidRPr="0088770F">
        <w:t xml:space="preserve"> – longitudinal trends for participants in the Scheme for two to five years</w:t>
      </w:r>
    </w:p>
    <w:p w14:paraId="372BBD1F" w14:textId="77777777" w:rsidR="00532B54" w:rsidRDefault="00532B54" w:rsidP="00532B54">
      <w:pPr>
        <w:rPr>
          <w:rFonts w:cs="Arial"/>
          <w:color w:val="222222"/>
          <w:shd w:val="clear" w:color="auto" w:fill="FFFFFF"/>
        </w:rPr>
      </w:pPr>
      <w:r w:rsidRPr="00780E0B">
        <w:rPr>
          <w:noProof/>
          <w:lang w:eastAsia="en-AU"/>
        </w:rPr>
        <w:drawing>
          <wp:inline distT="0" distB="0" distL="0" distR="0" wp14:anchorId="50724ADC" wp14:editId="4BAECD63">
            <wp:extent cx="5445444" cy="5072063"/>
            <wp:effectExtent l="0" t="0" r="3175" b="0"/>
            <wp:docPr id="5" name="Picture 5" descr="Four line charts are shown, for participants who have been in the Scheme for 5 years, 4 years, 3 years, and 2 years. The horizontal (x) axis shows baseline (B) and each review time point (for example, R1 to R5 for participants in the Scheme for 5 years; R1 and R2 for participants in the Scheme for 2 years). The vertical (y) axis shows the percentage of participants actively involved in a community, cultural or religious group in the last 12 months.&#10;Each chart shows 6 lines, for participants aged 15 to 24, 25 to 34, 35 to 44, 45 to 54, 55 to 64 and 65 and over. These lines plot the percentage of participants actively involved in a community, cultural or religious group in the last 12 months at baseline and each review time point.&#10;All of the lines show a generally increasing trend, although the increase is smaller after 3 years in the Scheme." title="Figure 7.4: Percentage of participants actively involved in the community – longitudinal trends for participants in the Scheme for two to five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50274" cy="5076562"/>
                    </a:xfrm>
                    <a:prstGeom prst="rect">
                      <a:avLst/>
                    </a:prstGeom>
                    <a:noFill/>
                    <a:ln>
                      <a:noFill/>
                    </a:ln>
                  </pic:spPr>
                </pic:pic>
              </a:graphicData>
            </a:graphic>
          </wp:inline>
        </w:drawing>
      </w:r>
    </w:p>
    <w:p w14:paraId="24032C26" w14:textId="77777777" w:rsidR="00532B54" w:rsidRDefault="005D06CE" w:rsidP="00DE6BFC">
      <w:pPr>
        <w:pStyle w:val="FSRnormal"/>
      </w:pPr>
      <w:r w:rsidRPr="005D06CE">
        <w:t xml:space="preserve">Figure </w:t>
      </w:r>
      <w:r w:rsidRPr="005D06CE">
        <w:rPr>
          <w:noProof/>
        </w:rPr>
        <w:t>7</w:t>
      </w:r>
      <w:r w:rsidRPr="005D06CE">
        <w:t>.</w:t>
      </w:r>
      <w:r w:rsidRPr="005D06CE">
        <w:rPr>
          <w:noProof/>
        </w:rPr>
        <w:t>4</w:t>
      </w:r>
      <w:r w:rsidR="00532B54" w:rsidRPr="00090AC5">
        <w:t xml:space="preserve"> shows that increases in social and community participation generally tend to level of</w:t>
      </w:r>
      <w:r w:rsidR="00532B54">
        <w:t>f slightly after approximately three years in the Scheme. Whilst differences by age are smaller than for employment, participants aged 25 to 34 tend to be slightly above other age groups whereas participants aged 15 to 24 tend to be slightly below. The extent of improvement is slightly lower for the oldest two age groups.</w:t>
      </w:r>
    </w:p>
    <w:p w14:paraId="28C17823" w14:textId="77777777" w:rsidR="00532B54" w:rsidRPr="00945BA1" w:rsidRDefault="00532B54" w:rsidP="00532B54">
      <w:pPr>
        <w:pStyle w:val="FSRHeading4"/>
        <w:rPr>
          <w:sz w:val="32"/>
          <w:szCs w:val="32"/>
        </w:rPr>
      </w:pPr>
      <w:bookmarkStart w:id="289" w:name="_Ref47448035"/>
      <w:r w:rsidRPr="00945BA1">
        <w:rPr>
          <w:sz w:val="32"/>
          <w:szCs w:val="32"/>
        </w:rPr>
        <w:t>“Has the NDIS helped?”</w:t>
      </w:r>
      <w:bookmarkEnd w:id="289"/>
    </w:p>
    <w:p w14:paraId="212A9163" w14:textId="77777777" w:rsidR="00532B54" w:rsidRDefault="00532B54" w:rsidP="00DE6BFC">
      <w:pPr>
        <w:pStyle w:val="FSRnormal"/>
      </w:pPr>
      <w:r w:rsidRPr="00445023">
        <w:t xml:space="preserve">Participants who </w:t>
      </w:r>
      <w:r>
        <w:t xml:space="preserve">have </w:t>
      </w:r>
      <w:r w:rsidRPr="00445023">
        <w:t xml:space="preserve">entered the Scheme since 1 July 2016 </w:t>
      </w:r>
      <w:r>
        <w:t xml:space="preserve">have been </w:t>
      </w:r>
      <w:r w:rsidRPr="00445023">
        <w:t>asked</w:t>
      </w:r>
      <w:r>
        <w:t xml:space="preserve"> whether the</w:t>
      </w:r>
      <w:r w:rsidRPr="00445023">
        <w:t xml:space="preserve"> NDIS </w:t>
      </w:r>
      <w:r>
        <w:t xml:space="preserve">has </w:t>
      </w:r>
      <w:r w:rsidRPr="00445023">
        <w:t>helped</w:t>
      </w:r>
      <w:r>
        <w:t xml:space="preserve"> with areas related to each domain. Participants are asked</w:t>
      </w:r>
      <w:r w:rsidRPr="00445023">
        <w:t xml:space="preserve"> at each plan review, allowing the Agency to gain valuable longitudinal insights.</w:t>
      </w:r>
      <w:r>
        <w:t xml:space="preserve"> Results for selected domains are shown in this section, and compare responses provided at the first plan review with those from later reviews, for participants who have been in the Scheme for at least two years.</w:t>
      </w:r>
    </w:p>
    <w:p w14:paraId="79183F0E" w14:textId="77777777" w:rsidR="00532B54" w:rsidRDefault="00532B54" w:rsidP="00DE6BFC">
      <w:pPr>
        <w:pStyle w:val="FSRnormal"/>
      </w:pPr>
      <w:r w:rsidRPr="00445023">
        <w:lastRenderedPageBreak/>
        <w:t>On the whole, perceptions of the Scheme have been positive, with participants and their families</w:t>
      </w:r>
      <w:r>
        <w:t>/</w:t>
      </w:r>
      <w:r w:rsidRPr="00445023">
        <w:t>carers more likely to report that the Scheme had helped them in various areas of their lives the longer the participant was in the Scheme. These results suggest a growing level of support for the Scheme by its participants and the family members and carers of participants. Th</w:t>
      </w:r>
      <w:r>
        <w:t>ese positive perceptions are another indication of Scheme effectiveness</w:t>
      </w:r>
      <w:r w:rsidRPr="00445023">
        <w:t xml:space="preserve"> and </w:t>
      </w:r>
      <w:r>
        <w:t xml:space="preserve">in the </w:t>
      </w:r>
      <w:r w:rsidR="003F6941">
        <w:t xml:space="preserve">long </w:t>
      </w:r>
      <w:r w:rsidR="00090AC5">
        <w:t>term</w:t>
      </w:r>
      <w:r>
        <w:t xml:space="preserve"> assist in </w:t>
      </w:r>
      <w:r w:rsidRPr="00445023">
        <w:t>strengthen</w:t>
      </w:r>
      <w:r>
        <w:t>ing</w:t>
      </w:r>
      <w:r w:rsidRPr="00445023">
        <w:t xml:space="preserve"> the ongoing financial sustainability of the Scheme.</w:t>
      </w:r>
    </w:p>
    <w:p w14:paraId="3237EFDA" w14:textId="77777777" w:rsidR="00532B54" w:rsidRDefault="00532B54" w:rsidP="00532B54">
      <w:pPr>
        <w:pStyle w:val="FSRHeading4"/>
      </w:pPr>
      <w:r>
        <w:t>Results –choice and control metric</w:t>
      </w:r>
    </w:p>
    <w:p w14:paraId="26F94A19" w14:textId="77777777" w:rsidR="00532B54" w:rsidRDefault="00532B54" w:rsidP="00DE6BFC">
      <w:pPr>
        <w:pStyle w:val="FSRnormal"/>
      </w:pPr>
      <w:r>
        <w:t>The choice and control metric for participants aged 15 and over is based on the SF question “Has the NDIS helped you have more choices and more control over your life?”</w:t>
      </w:r>
    </w:p>
    <w:p w14:paraId="449C7AFF" w14:textId="77777777" w:rsidR="00532B54" w:rsidRPr="00252EAF" w:rsidRDefault="00532B54" w:rsidP="00B845DD">
      <w:pPr>
        <w:pStyle w:val="FSRnormal"/>
      </w:pPr>
      <w:r w:rsidRPr="00252EAF">
        <w:t>Positive perceptions of whether the NDIS has helped with choice and control have increased for the latest review compared to the first review across all age bands. Older participants tend to have higher levels of satisfaction. Specifically, the percentage who think that the NDIS has helped them have more choices and more control over their life showed a:</w:t>
      </w:r>
    </w:p>
    <w:p w14:paraId="42276147" w14:textId="77777777" w:rsidR="00532B54" w:rsidRDefault="00532B54" w:rsidP="00DE6BFC">
      <w:pPr>
        <w:pStyle w:val="FSRlist"/>
        <w:rPr>
          <w:shd w:val="clear" w:color="auto" w:fill="FFFFFF"/>
        </w:rPr>
      </w:pPr>
      <w:r>
        <w:rPr>
          <w:b/>
          <w:shd w:val="clear" w:color="auto" w:fill="FFFFFF"/>
        </w:rPr>
        <w:t>nine</w:t>
      </w:r>
      <w:r w:rsidRPr="009270FE">
        <w:rPr>
          <w:shd w:val="clear" w:color="auto" w:fill="FFFFFF"/>
        </w:rPr>
        <w:t xml:space="preserve"> percentage point increase from </w:t>
      </w:r>
      <w:r>
        <w:rPr>
          <w:shd w:val="clear" w:color="auto" w:fill="FFFFFF"/>
        </w:rPr>
        <w:t>61</w:t>
      </w:r>
      <w:r w:rsidRPr="009270FE">
        <w:rPr>
          <w:shd w:val="clear" w:color="auto" w:fill="FFFFFF"/>
        </w:rPr>
        <w:t xml:space="preserve">% to </w:t>
      </w:r>
      <w:r>
        <w:rPr>
          <w:shd w:val="clear" w:color="auto" w:fill="FFFFFF"/>
        </w:rPr>
        <w:t>70</w:t>
      </w:r>
      <w:r w:rsidRPr="009270FE">
        <w:rPr>
          <w:shd w:val="clear" w:color="auto" w:fill="FFFFFF"/>
        </w:rPr>
        <w:t>% for participants aged 15</w:t>
      </w:r>
      <w:r>
        <w:rPr>
          <w:shd w:val="clear" w:color="auto" w:fill="FFFFFF"/>
        </w:rPr>
        <w:t>-</w:t>
      </w:r>
      <w:r w:rsidRPr="009270FE">
        <w:rPr>
          <w:shd w:val="clear" w:color="auto" w:fill="FFFFFF"/>
        </w:rPr>
        <w:t>24 years</w:t>
      </w:r>
    </w:p>
    <w:p w14:paraId="7BCBB60F" w14:textId="77777777" w:rsidR="00532B54" w:rsidRDefault="00532B54" w:rsidP="00DE6BFC">
      <w:pPr>
        <w:pStyle w:val="FSRlist"/>
        <w:rPr>
          <w:shd w:val="clear" w:color="auto" w:fill="FFFFFF"/>
        </w:rPr>
      </w:pPr>
      <w:r>
        <w:rPr>
          <w:b/>
          <w:shd w:val="clear" w:color="auto" w:fill="FFFFFF"/>
        </w:rPr>
        <w:t>eleve</w:t>
      </w:r>
      <w:r w:rsidRPr="009270FE">
        <w:rPr>
          <w:b/>
          <w:shd w:val="clear" w:color="auto" w:fill="FFFFFF"/>
        </w:rPr>
        <w:t>n</w:t>
      </w:r>
      <w:r w:rsidRPr="009270FE">
        <w:rPr>
          <w:shd w:val="clear" w:color="auto" w:fill="FFFFFF"/>
        </w:rPr>
        <w:t xml:space="preserve"> percentage point increase from </w:t>
      </w:r>
      <w:r>
        <w:rPr>
          <w:shd w:val="clear" w:color="auto" w:fill="FFFFFF"/>
        </w:rPr>
        <w:t>66</w:t>
      </w:r>
      <w:r w:rsidRPr="009270FE">
        <w:rPr>
          <w:shd w:val="clear" w:color="auto" w:fill="FFFFFF"/>
        </w:rPr>
        <w:t>% to 7</w:t>
      </w:r>
      <w:r>
        <w:rPr>
          <w:shd w:val="clear" w:color="auto" w:fill="FFFFFF"/>
        </w:rPr>
        <w:t>7</w:t>
      </w:r>
      <w:r w:rsidRPr="009270FE">
        <w:rPr>
          <w:shd w:val="clear" w:color="auto" w:fill="FFFFFF"/>
        </w:rPr>
        <w:t>% for participants aged 25-34 years</w:t>
      </w:r>
    </w:p>
    <w:p w14:paraId="51145269" w14:textId="77777777" w:rsidR="00532B54" w:rsidRDefault="00532B54" w:rsidP="00DE6BFC">
      <w:pPr>
        <w:pStyle w:val="FSRlist"/>
        <w:rPr>
          <w:shd w:val="clear" w:color="auto" w:fill="FFFFFF"/>
        </w:rPr>
      </w:pPr>
      <w:r>
        <w:rPr>
          <w:b/>
          <w:shd w:val="clear" w:color="auto" w:fill="FFFFFF"/>
        </w:rPr>
        <w:t>ten</w:t>
      </w:r>
      <w:r w:rsidRPr="009270FE">
        <w:rPr>
          <w:shd w:val="clear" w:color="auto" w:fill="FFFFFF"/>
        </w:rPr>
        <w:t xml:space="preserve"> percentage point increase from </w:t>
      </w:r>
      <w:r>
        <w:rPr>
          <w:shd w:val="clear" w:color="auto" w:fill="FFFFFF"/>
        </w:rPr>
        <w:t>68</w:t>
      </w:r>
      <w:r w:rsidRPr="009270FE">
        <w:rPr>
          <w:shd w:val="clear" w:color="auto" w:fill="FFFFFF"/>
        </w:rPr>
        <w:t xml:space="preserve">% to </w:t>
      </w:r>
      <w:r>
        <w:rPr>
          <w:shd w:val="clear" w:color="auto" w:fill="FFFFFF"/>
        </w:rPr>
        <w:t>78</w:t>
      </w:r>
      <w:r w:rsidRPr="009270FE">
        <w:rPr>
          <w:shd w:val="clear" w:color="auto" w:fill="FFFFFF"/>
        </w:rPr>
        <w:t>% for participants aged 35-44 years</w:t>
      </w:r>
    </w:p>
    <w:p w14:paraId="13AA74D1" w14:textId="77777777" w:rsidR="00532B54" w:rsidRDefault="00532B54" w:rsidP="00DE6BFC">
      <w:pPr>
        <w:pStyle w:val="FSRlist"/>
        <w:rPr>
          <w:shd w:val="clear" w:color="auto" w:fill="FFFFFF"/>
        </w:rPr>
      </w:pPr>
      <w:r>
        <w:rPr>
          <w:b/>
          <w:shd w:val="clear" w:color="auto" w:fill="FFFFFF"/>
        </w:rPr>
        <w:t>te</w:t>
      </w:r>
      <w:r w:rsidRPr="00FE6CE2">
        <w:rPr>
          <w:b/>
          <w:shd w:val="clear" w:color="auto" w:fill="FFFFFF"/>
        </w:rPr>
        <w:t>n</w:t>
      </w:r>
      <w:r w:rsidRPr="00FE6CE2">
        <w:rPr>
          <w:shd w:val="clear" w:color="auto" w:fill="FFFFFF"/>
        </w:rPr>
        <w:t xml:space="preserve"> percentage point increase from 6</w:t>
      </w:r>
      <w:r>
        <w:rPr>
          <w:shd w:val="clear" w:color="auto" w:fill="FFFFFF"/>
        </w:rPr>
        <w:t>8</w:t>
      </w:r>
      <w:r w:rsidRPr="00FE6CE2">
        <w:rPr>
          <w:shd w:val="clear" w:color="auto" w:fill="FFFFFF"/>
        </w:rPr>
        <w:t xml:space="preserve">% to </w:t>
      </w:r>
      <w:r>
        <w:rPr>
          <w:shd w:val="clear" w:color="auto" w:fill="FFFFFF"/>
        </w:rPr>
        <w:t>79</w:t>
      </w:r>
      <w:r w:rsidRPr="00FE6CE2">
        <w:rPr>
          <w:shd w:val="clear" w:color="auto" w:fill="FFFFFF"/>
        </w:rPr>
        <w:t>% for participants aged 45-54 years</w:t>
      </w:r>
    </w:p>
    <w:p w14:paraId="0D503445" w14:textId="77777777" w:rsidR="00532B54" w:rsidRDefault="00532B54" w:rsidP="00DE6BFC">
      <w:pPr>
        <w:pStyle w:val="FSRlist"/>
        <w:rPr>
          <w:shd w:val="clear" w:color="auto" w:fill="FFFFFF"/>
        </w:rPr>
      </w:pPr>
      <w:r>
        <w:rPr>
          <w:b/>
          <w:shd w:val="clear" w:color="auto" w:fill="FFFFFF"/>
        </w:rPr>
        <w:t>ten</w:t>
      </w:r>
      <w:r w:rsidRPr="00FE6CE2">
        <w:rPr>
          <w:shd w:val="clear" w:color="auto" w:fill="FFFFFF"/>
        </w:rPr>
        <w:t xml:space="preserve"> percentage point increase from </w:t>
      </w:r>
      <w:r>
        <w:rPr>
          <w:shd w:val="clear" w:color="auto" w:fill="FFFFFF"/>
        </w:rPr>
        <w:t>70</w:t>
      </w:r>
      <w:r w:rsidRPr="00FE6CE2">
        <w:rPr>
          <w:shd w:val="clear" w:color="auto" w:fill="FFFFFF"/>
        </w:rPr>
        <w:t xml:space="preserve">% to </w:t>
      </w:r>
      <w:r>
        <w:rPr>
          <w:shd w:val="clear" w:color="auto" w:fill="FFFFFF"/>
        </w:rPr>
        <w:t>8</w:t>
      </w:r>
      <w:r w:rsidRPr="00FE6CE2">
        <w:rPr>
          <w:shd w:val="clear" w:color="auto" w:fill="FFFFFF"/>
        </w:rPr>
        <w:t>1% for participants aged 55-64 years</w:t>
      </w:r>
    </w:p>
    <w:p w14:paraId="58F1F356" w14:textId="77777777" w:rsidR="00532B54" w:rsidRPr="009270FE" w:rsidRDefault="00532B54" w:rsidP="00DE6BFC">
      <w:pPr>
        <w:pStyle w:val="FSRlist"/>
        <w:rPr>
          <w:shd w:val="clear" w:color="auto" w:fill="FFFFFF"/>
        </w:rPr>
      </w:pPr>
      <w:r>
        <w:rPr>
          <w:b/>
          <w:shd w:val="clear" w:color="auto" w:fill="FFFFFF"/>
        </w:rPr>
        <w:t>twelve</w:t>
      </w:r>
      <w:r w:rsidRPr="00FE6CE2">
        <w:rPr>
          <w:shd w:val="clear" w:color="auto" w:fill="FFFFFF"/>
        </w:rPr>
        <w:t xml:space="preserve"> percentage point increase from </w:t>
      </w:r>
      <w:r>
        <w:rPr>
          <w:shd w:val="clear" w:color="auto" w:fill="FFFFFF"/>
        </w:rPr>
        <w:t>70</w:t>
      </w:r>
      <w:r w:rsidRPr="00FE6CE2">
        <w:rPr>
          <w:shd w:val="clear" w:color="auto" w:fill="FFFFFF"/>
        </w:rPr>
        <w:t xml:space="preserve">% to </w:t>
      </w:r>
      <w:r>
        <w:rPr>
          <w:shd w:val="clear" w:color="auto" w:fill="FFFFFF"/>
        </w:rPr>
        <w:t>81</w:t>
      </w:r>
      <w:r w:rsidRPr="00FE6CE2">
        <w:rPr>
          <w:shd w:val="clear" w:color="auto" w:fill="FFFFFF"/>
        </w:rPr>
        <w:t>% for participants aged 65 years and older</w:t>
      </w:r>
      <w:r>
        <w:rPr>
          <w:shd w:val="clear" w:color="auto" w:fill="FFFFFF"/>
        </w:rPr>
        <w:t>.</w:t>
      </w:r>
    </w:p>
    <w:p w14:paraId="551113E4" w14:textId="77777777" w:rsidR="00532B54" w:rsidRDefault="00532B54" w:rsidP="00DE6BFC">
      <w:pPr>
        <w:pStyle w:val="FSRnormal"/>
      </w:pPr>
      <w:r>
        <w:t xml:space="preserve">Overall, for participants aged 15 and over, there has been a </w:t>
      </w:r>
      <w:r>
        <w:rPr>
          <w:b/>
        </w:rPr>
        <w:t>t</w:t>
      </w:r>
      <w:r w:rsidRPr="00FF4C3D">
        <w:rPr>
          <w:b/>
        </w:rPr>
        <w:t>en percentage point increase</w:t>
      </w:r>
      <w:r>
        <w:rPr>
          <w:b/>
        </w:rPr>
        <w:t>,</w:t>
      </w:r>
      <w:r w:rsidRPr="00FF4C3D">
        <w:rPr>
          <w:b/>
        </w:rPr>
        <w:t xml:space="preserve"> from </w:t>
      </w:r>
      <w:r>
        <w:rPr>
          <w:b/>
        </w:rPr>
        <w:t>6</w:t>
      </w:r>
      <w:r w:rsidRPr="00FF4C3D">
        <w:rPr>
          <w:b/>
        </w:rPr>
        <w:t xml:space="preserve">6% to </w:t>
      </w:r>
      <w:r>
        <w:rPr>
          <w:b/>
        </w:rPr>
        <w:t>76</w:t>
      </w:r>
      <w:r w:rsidRPr="00FF4C3D">
        <w:rPr>
          <w:b/>
        </w:rPr>
        <w:t>%</w:t>
      </w:r>
      <w:r>
        <w:rPr>
          <w:b/>
        </w:rPr>
        <w:t>.</w:t>
      </w:r>
      <w:r w:rsidRPr="007142CE">
        <w:t xml:space="preserve"> </w:t>
      </w:r>
      <w:r>
        <w:t>This compares to a 2021-22 target of 75%.</w:t>
      </w:r>
    </w:p>
    <w:p w14:paraId="0B34F004" w14:textId="77777777" w:rsidR="00532B54" w:rsidRDefault="00DE6BFC" w:rsidP="00DE6BFC">
      <w:pPr>
        <w:pStyle w:val="FSRnormal"/>
      </w:pPr>
      <w:r w:rsidRPr="00DE6BFC">
        <w:t xml:space="preserve">Figure </w:t>
      </w:r>
      <w:r w:rsidRPr="00DE6BFC">
        <w:rPr>
          <w:noProof/>
        </w:rPr>
        <w:t>7</w:t>
      </w:r>
      <w:r w:rsidRPr="00DE6BFC">
        <w:t>.</w:t>
      </w:r>
      <w:r w:rsidRPr="00DE6BFC">
        <w:rPr>
          <w:noProof/>
        </w:rPr>
        <w:t>5</w:t>
      </w:r>
      <w:r w:rsidR="00532B54" w:rsidRPr="00090AC5">
        <w:t xml:space="preserve"> provides more detail on these results, showing trends over time in the Scheme by ag</w:t>
      </w:r>
      <w:r w:rsidR="00532B54">
        <w:t>e band for different duration cohorts (participants who have been in the Scheme for approximately five, four, three or two years at 30 June 2022).</w:t>
      </w:r>
    </w:p>
    <w:p w14:paraId="08E8894C" w14:textId="77777777" w:rsidR="00532B54" w:rsidRDefault="00532B54" w:rsidP="00532B54">
      <w:pPr>
        <w:spacing w:after="160" w:line="259" w:lineRule="auto"/>
      </w:pPr>
      <w:r>
        <w:br w:type="page"/>
      </w:r>
    </w:p>
    <w:p w14:paraId="5BE7D2CB" w14:textId="77777777" w:rsidR="00532B54" w:rsidRPr="0088770F" w:rsidRDefault="00532B54" w:rsidP="00DE6BFC">
      <w:pPr>
        <w:pStyle w:val="Figures"/>
      </w:pPr>
      <w:bookmarkStart w:id="290" w:name="_Ref113284995"/>
      <w:bookmarkStart w:id="291" w:name="_Ref111720223"/>
      <w:r w:rsidRPr="004C4037">
        <w:lastRenderedPageBreak/>
        <w:t xml:space="preserve">Figure </w:t>
      </w:r>
      <w:fldSimple w:instr=" STYLEREF 2 \s ">
        <w:r w:rsidR="00447AA1">
          <w:rPr>
            <w:noProof/>
          </w:rPr>
          <w:t>7</w:t>
        </w:r>
      </w:fldSimple>
      <w:r w:rsidR="00447AA1">
        <w:t>.</w:t>
      </w:r>
      <w:fldSimple w:instr=" SEQ Figure \* ARABIC \s 2 ">
        <w:r w:rsidR="00447AA1">
          <w:rPr>
            <w:noProof/>
          </w:rPr>
          <w:t>5</w:t>
        </w:r>
      </w:fldSimple>
      <w:bookmarkEnd w:id="290"/>
      <w:bookmarkEnd w:id="291"/>
      <w:r w:rsidRPr="004C4037">
        <w:t>:</w:t>
      </w:r>
      <w:r w:rsidRPr="0088770F">
        <w:t xml:space="preserve"> Percentage </w:t>
      </w:r>
      <w:r>
        <w:t>who think the NDIS has helped them have more choices and more control over their life</w:t>
      </w:r>
      <w:r w:rsidRPr="0088770F">
        <w:t xml:space="preserve"> – longitudinal trends for participants in the Scheme for two to five years</w:t>
      </w:r>
      <w:r>
        <w:t>, participants aged 15 and over</w:t>
      </w:r>
    </w:p>
    <w:p w14:paraId="678E99B3" w14:textId="77777777" w:rsidR="00532B54" w:rsidRDefault="00532B54" w:rsidP="00532B54">
      <w:r w:rsidRPr="00D83A3C">
        <w:rPr>
          <w:noProof/>
          <w:lang w:eastAsia="en-AU"/>
        </w:rPr>
        <w:drawing>
          <wp:inline distT="0" distB="0" distL="0" distR="0" wp14:anchorId="0C0A2549" wp14:editId="7C451E95">
            <wp:extent cx="5372100" cy="5003748"/>
            <wp:effectExtent l="0" t="0" r="0" b="6985"/>
            <wp:docPr id="11" name="Picture 11" descr="Four line charts are shown, for participants who have been in the Scheme for 5 years, 4 years, 3 years, and 2 years. The horizontal (x) axis shows each review time point (for example, R1 to R5 for participants in the Scheme for 5 years; R1 and R2 for participants in the Scheme for 2 years). The vertical (y) axis shows the percentage of participants who think the NDIS has helped them have more choices and more control over their life.&#10;Each chart shows 6 lines, for participants aged 15 to 24, 25 to 34, 35 to 44, 45 to 54, 55 to 64 and 65 and over. These lines plot the percentage of participants who think the NDIS has helped them have more choices and more control over their life at each review time point.&#10;All of the lines show a generally increasing trend. The line for participants aged 15 to 24 is below the lines for other age groups.&#10;" title="Figure 7.5: Percentage who think the NDIS has helped them have more choices and more control over their life – longitudinal trends for participants in the Scheme for two to five years, participants aged 15 and 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75062" cy="5006507"/>
                    </a:xfrm>
                    <a:prstGeom prst="rect">
                      <a:avLst/>
                    </a:prstGeom>
                    <a:noFill/>
                    <a:ln>
                      <a:noFill/>
                    </a:ln>
                  </pic:spPr>
                </pic:pic>
              </a:graphicData>
            </a:graphic>
          </wp:inline>
        </w:drawing>
      </w:r>
    </w:p>
    <w:p w14:paraId="64AB4DB4" w14:textId="77777777" w:rsidR="00532B54" w:rsidRPr="00090AC5" w:rsidRDefault="00DE6BFC" w:rsidP="00532B54">
      <w:r w:rsidRPr="00DE6BFC">
        <w:t xml:space="preserve">Figure </w:t>
      </w:r>
      <w:r w:rsidRPr="00DE6BFC">
        <w:rPr>
          <w:noProof/>
        </w:rPr>
        <w:t>7</w:t>
      </w:r>
      <w:r w:rsidRPr="00DE6BFC">
        <w:t>.</w:t>
      </w:r>
      <w:r w:rsidR="0049550D">
        <w:rPr>
          <w:noProof/>
        </w:rPr>
        <w:t>5</w:t>
      </w:r>
      <w:r w:rsidR="00532B54" w:rsidRPr="00C53CDC">
        <w:t xml:space="preserve"> </w:t>
      </w:r>
      <w:r w:rsidR="00532B54" w:rsidRPr="00090AC5">
        <w:t>shows the generally lower levels of satisfaction for participants aged 15 to 24 compared to the older age groups.</w:t>
      </w:r>
    </w:p>
    <w:p w14:paraId="1AD0DEE4" w14:textId="77777777" w:rsidR="00532B54" w:rsidRPr="00090AC5" w:rsidRDefault="00532B54" w:rsidP="00532B54">
      <w:pPr>
        <w:pStyle w:val="FSRHeading4"/>
      </w:pPr>
      <w:r w:rsidRPr="00090AC5">
        <w:t>Other results – “Has the NDIS helped?”</w:t>
      </w:r>
    </w:p>
    <w:p w14:paraId="5A0384E7" w14:textId="77777777" w:rsidR="00532B54" w:rsidRPr="00090AC5" w:rsidRDefault="00532B54" w:rsidP="00532B54">
      <w:r w:rsidRPr="00090AC5">
        <w:t>For children aged from birth to before starting school, results have improved across all domains.</w:t>
      </w:r>
    </w:p>
    <w:p w14:paraId="540E74F9" w14:textId="77777777" w:rsidR="00532B54" w:rsidRDefault="00260852" w:rsidP="00532B54">
      <w:r w:rsidRPr="00C53CDC">
        <w:t xml:space="preserve">Table </w:t>
      </w:r>
      <w:r w:rsidRPr="00C53CDC">
        <w:rPr>
          <w:noProof/>
        </w:rPr>
        <w:t>7.1</w:t>
      </w:r>
      <w:r w:rsidR="00532B54" w:rsidRPr="00090AC5">
        <w:t xml:space="preserve"> s</w:t>
      </w:r>
      <w:r w:rsidR="00532B54">
        <w:t>hows the percentages responding positively at first review and at latest review, as well as the change between the two time points.</w:t>
      </w:r>
    </w:p>
    <w:p w14:paraId="49AA533E" w14:textId="77777777" w:rsidR="00532B54" w:rsidRDefault="00532B54" w:rsidP="00532B54">
      <w:pPr>
        <w:spacing w:after="160" w:line="259" w:lineRule="auto"/>
      </w:pPr>
      <w:r>
        <w:br w:type="page"/>
      </w:r>
    </w:p>
    <w:p w14:paraId="264842BF" w14:textId="77777777" w:rsidR="00532B54" w:rsidRPr="000404C5" w:rsidRDefault="00532B54" w:rsidP="00DE6BFC">
      <w:pPr>
        <w:pStyle w:val="Tables"/>
      </w:pPr>
      <w:bookmarkStart w:id="292" w:name="_Ref111720613"/>
      <w:r w:rsidRPr="000404C5">
        <w:lastRenderedPageBreak/>
        <w:t xml:space="preserve">Table </w:t>
      </w:r>
      <w:fldSimple w:instr=" STYLEREF 2 \s ">
        <w:r w:rsidR="00A87896">
          <w:rPr>
            <w:noProof/>
          </w:rPr>
          <w:t>7</w:t>
        </w:r>
      </w:fldSimple>
      <w:r w:rsidR="00A87896">
        <w:t>.</w:t>
      </w:r>
      <w:fldSimple w:instr=" SEQ Table \* ARABIC \s 2 ">
        <w:r w:rsidR="00A87896">
          <w:rPr>
            <w:noProof/>
          </w:rPr>
          <w:t>1</w:t>
        </w:r>
      </w:fldSimple>
      <w:bookmarkEnd w:id="292"/>
      <w:r w:rsidRPr="000404C5">
        <w:t>: “Has the NDIS helped?” – participants aged from birth to before starting school</w:t>
      </w:r>
      <w:r w:rsidR="0049550D">
        <w:rPr>
          <w:rStyle w:val="FootnoteReference"/>
        </w:rPr>
        <w:footnoteReference w:id="134"/>
      </w:r>
    </w:p>
    <w:tbl>
      <w:tblPr>
        <w:tblStyle w:val="GridTable2"/>
        <w:tblW w:w="0" w:type="auto"/>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4111"/>
        <w:gridCol w:w="425"/>
        <w:gridCol w:w="1276"/>
        <w:gridCol w:w="1559"/>
        <w:gridCol w:w="1645"/>
      </w:tblGrid>
      <w:tr w:rsidR="00532B54" w:rsidRPr="009A4BF1" w14:paraId="35E7F7DD" w14:textId="77777777" w:rsidTr="0004693C">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4111" w:type="dxa"/>
            <w:tcBorders>
              <w:top w:val="none" w:sz="0" w:space="0" w:color="auto"/>
              <w:bottom w:val="none" w:sz="0" w:space="0" w:color="auto"/>
              <w:right w:val="none" w:sz="0" w:space="0" w:color="auto"/>
            </w:tcBorders>
            <w:shd w:val="clear" w:color="auto" w:fill="6B2976"/>
            <w:vAlign w:val="center"/>
          </w:tcPr>
          <w:p w14:paraId="3D356F54" w14:textId="77777777" w:rsidR="00532B54" w:rsidRPr="009A4BF1" w:rsidRDefault="00532B54" w:rsidP="00DE6BFC">
            <w:pPr>
              <w:spacing w:after="0"/>
              <w:rPr>
                <w:color w:val="FFFFFF"/>
                <w:sz w:val="20"/>
                <w:szCs w:val="20"/>
              </w:rPr>
            </w:pPr>
            <w:r w:rsidRPr="009A4BF1">
              <w:rPr>
                <w:color w:val="FFFFFF"/>
                <w:sz w:val="20"/>
                <w:szCs w:val="20"/>
              </w:rPr>
              <w:t>Domain</w:t>
            </w:r>
          </w:p>
        </w:tc>
        <w:tc>
          <w:tcPr>
            <w:tcW w:w="1701" w:type="dxa"/>
            <w:gridSpan w:val="2"/>
            <w:tcBorders>
              <w:top w:val="none" w:sz="0" w:space="0" w:color="auto"/>
              <w:left w:val="none" w:sz="0" w:space="0" w:color="auto"/>
              <w:bottom w:val="none" w:sz="0" w:space="0" w:color="auto"/>
              <w:right w:val="none" w:sz="0" w:space="0" w:color="auto"/>
            </w:tcBorders>
            <w:shd w:val="clear" w:color="auto" w:fill="6B2976"/>
            <w:vAlign w:val="center"/>
          </w:tcPr>
          <w:p w14:paraId="45FCD078" w14:textId="77777777" w:rsidR="00532B54" w:rsidRPr="009A4BF1" w:rsidRDefault="00532B54" w:rsidP="00DE6BFC">
            <w:pPr>
              <w:spacing w:after="0"/>
              <w:jc w:val="right"/>
              <w:cnfStyle w:val="100000000000" w:firstRow="1" w:lastRow="0" w:firstColumn="0" w:lastColumn="0" w:oddVBand="0" w:evenVBand="0" w:oddHBand="0" w:evenHBand="0" w:firstRowFirstColumn="0" w:firstRowLastColumn="0" w:lastRowFirstColumn="0" w:lastRowLastColumn="0"/>
              <w:rPr>
                <w:color w:val="FFFFFF"/>
                <w:sz w:val="20"/>
                <w:szCs w:val="20"/>
              </w:rPr>
            </w:pPr>
            <w:r w:rsidRPr="009A4BF1">
              <w:rPr>
                <w:color w:val="FFFFFF"/>
                <w:sz w:val="20"/>
                <w:szCs w:val="20"/>
              </w:rPr>
              <w:t>First review %</w:t>
            </w:r>
          </w:p>
        </w:tc>
        <w:tc>
          <w:tcPr>
            <w:tcW w:w="1559" w:type="dxa"/>
            <w:tcBorders>
              <w:top w:val="none" w:sz="0" w:space="0" w:color="auto"/>
              <w:left w:val="none" w:sz="0" w:space="0" w:color="auto"/>
              <w:bottom w:val="none" w:sz="0" w:space="0" w:color="auto"/>
              <w:right w:val="none" w:sz="0" w:space="0" w:color="auto"/>
            </w:tcBorders>
            <w:shd w:val="clear" w:color="auto" w:fill="6B2976"/>
            <w:vAlign w:val="center"/>
          </w:tcPr>
          <w:p w14:paraId="0ED6551A" w14:textId="77777777" w:rsidR="00532B54" w:rsidRPr="009A4BF1" w:rsidRDefault="00532B54" w:rsidP="00DE6BFC">
            <w:pPr>
              <w:spacing w:after="0"/>
              <w:jc w:val="right"/>
              <w:cnfStyle w:val="100000000000" w:firstRow="1" w:lastRow="0" w:firstColumn="0" w:lastColumn="0" w:oddVBand="0" w:evenVBand="0" w:oddHBand="0" w:evenHBand="0" w:firstRowFirstColumn="0" w:firstRowLastColumn="0" w:lastRowFirstColumn="0" w:lastRowLastColumn="0"/>
              <w:rPr>
                <w:color w:val="FFFFFF"/>
                <w:sz w:val="20"/>
                <w:szCs w:val="20"/>
              </w:rPr>
            </w:pPr>
            <w:r w:rsidRPr="009A4BF1">
              <w:rPr>
                <w:color w:val="FFFFFF"/>
                <w:sz w:val="20"/>
                <w:szCs w:val="20"/>
              </w:rPr>
              <w:t>Latest Review %</w:t>
            </w:r>
          </w:p>
        </w:tc>
        <w:tc>
          <w:tcPr>
            <w:tcW w:w="1645" w:type="dxa"/>
            <w:tcBorders>
              <w:top w:val="none" w:sz="0" w:space="0" w:color="auto"/>
              <w:left w:val="none" w:sz="0" w:space="0" w:color="auto"/>
              <w:bottom w:val="none" w:sz="0" w:space="0" w:color="auto"/>
            </w:tcBorders>
            <w:shd w:val="clear" w:color="auto" w:fill="6B2976"/>
            <w:vAlign w:val="center"/>
          </w:tcPr>
          <w:p w14:paraId="4F8B8130" w14:textId="77777777" w:rsidR="00532B54" w:rsidRPr="009A4BF1" w:rsidRDefault="00532B54" w:rsidP="00DE6BFC">
            <w:pPr>
              <w:spacing w:after="0"/>
              <w:jc w:val="right"/>
              <w:cnfStyle w:val="100000000000" w:firstRow="1" w:lastRow="0" w:firstColumn="0" w:lastColumn="0" w:oddVBand="0" w:evenVBand="0" w:oddHBand="0" w:evenHBand="0" w:firstRowFirstColumn="0" w:firstRowLastColumn="0" w:lastRowFirstColumn="0" w:lastRowLastColumn="0"/>
              <w:rPr>
                <w:color w:val="FFFFFF"/>
                <w:sz w:val="20"/>
                <w:szCs w:val="20"/>
              </w:rPr>
            </w:pPr>
            <w:r w:rsidRPr="009A4BF1">
              <w:rPr>
                <w:color w:val="FFFFFF"/>
                <w:sz w:val="20"/>
                <w:szCs w:val="20"/>
              </w:rPr>
              <w:t>Percentage point change</w:t>
            </w:r>
          </w:p>
        </w:tc>
      </w:tr>
      <w:tr w:rsidR="00532B54" w:rsidRPr="009A4BF1" w14:paraId="4DFA7F46" w14:textId="77777777" w:rsidTr="00DA3F73">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536" w:type="dxa"/>
            <w:gridSpan w:val="2"/>
            <w:vAlign w:val="center"/>
          </w:tcPr>
          <w:p w14:paraId="1F1CA291" w14:textId="77777777" w:rsidR="00532B54" w:rsidRPr="00C90195" w:rsidRDefault="00532B54" w:rsidP="00DE6BFC">
            <w:pPr>
              <w:spacing w:after="0"/>
              <w:rPr>
                <w:b w:val="0"/>
                <w:sz w:val="20"/>
                <w:szCs w:val="20"/>
              </w:rPr>
            </w:pPr>
            <w:r w:rsidRPr="00C90195">
              <w:rPr>
                <w:b w:val="0"/>
                <w:sz w:val="20"/>
                <w:szCs w:val="20"/>
              </w:rPr>
              <w:t>Daily living: child’s development</w:t>
            </w:r>
          </w:p>
        </w:tc>
        <w:tc>
          <w:tcPr>
            <w:tcW w:w="1276" w:type="dxa"/>
            <w:vAlign w:val="center"/>
          </w:tcPr>
          <w:p w14:paraId="289560E1" w14:textId="77777777" w:rsidR="00532B54" w:rsidRPr="009A4BF1" w:rsidRDefault="00532B54" w:rsidP="00DE6BFC">
            <w:pPr>
              <w:spacing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9A4BF1">
              <w:rPr>
                <w:sz w:val="20"/>
                <w:szCs w:val="20"/>
              </w:rPr>
              <w:t>91</w:t>
            </w:r>
          </w:p>
        </w:tc>
        <w:tc>
          <w:tcPr>
            <w:tcW w:w="1559" w:type="dxa"/>
            <w:vAlign w:val="center"/>
          </w:tcPr>
          <w:p w14:paraId="05B2672B" w14:textId="77777777" w:rsidR="00532B54" w:rsidRPr="009A4BF1" w:rsidRDefault="00532B54" w:rsidP="00DE6BFC">
            <w:pPr>
              <w:spacing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9A4BF1">
              <w:rPr>
                <w:sz w:val="20"/>
                <w:szCs w:val="20"/>
              </w:rPr>
              <w:t>95</w:t>
            </w:r>
          </w:p>
        </w:tc>
        <w:tc>
          <w:tcPr>
            <w:tcW w:w="1645" w:type="dxa"/>
            <w:vAlign w:val="center"/>
          </w:tcPr>
          <w:p w14:paraId="282C7E6A" w14:textId="77777777" w:rsidR="00532B54" w:rsidRPr="009A4BF1" w:rsidRDefault="00532B54" w:rsidP="00DE6BFC">
            <w:pPr>
              <w:spacing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9A4BF1">
              <w:rPr>
                <w:sz w:val="20"/>
                <w:szCs w:val="20"/>
              </w:rPr>
              <w:t>+3</w:t>
            </w:r>
          </w:p>
        </w:tc>
      </w:tr>
      <w:tr w:rsidR="00532B54" w:rsidRPr="009A4BF1" w14:paraId="1F1D463D" w14:textId="77777777" w:rsidTr="00DA3F73">
        <w:trPr>
          <w:trHeight w:val="301"/>
        </w:trPr>
        <w:tc>
          <w:tcPr>
            <w:cnfStyle w:val="001000000000" w:firstRow="0" w:lastRow="0" w:firstColumn="1" w:lastColumn="0" w:oddVBand="0" w:evenVBand="0" w:oddHBand="0" w:evenHBand="0" w:firstRowFirstColumn="0" w:firstRowLastColumn="0" w:lastRowFirstColumn="0" w:lastRowLastColumn="0"/>
            <w:tcW w:w="4536" w:type="dxa"/>
            <w:gridSpan w:val="2"/>
            <w:vAlign w:val="center"/>
          </w:tcPr>
          <w:p w14:paraId="1DF1874F" w14:textId="77777777" w:rsidR="00532B54" w:rsidRPr="00C90195" w:rsidRDefault="00532B54" w:rsidP="00DE6BFC">
            <w:pPr>
              <w:spacing w:after="0"/>
              <w:rPr>
                <w:b w:val="0"/>
                <w:sz w:val="20"/>
                <w:szCs w:val="20"/>
              </w:rPr>
            </w:pPr>
            <w:r w:rsidRPr="00C90195">
              <w:rPr>
                <w:b w:val="0"/>
                <w:sz w:val="20"/>
                <w:szCs w:val="20"/>
              </w:rPr>
              <w:t>Daily living: access to specialist services</w:t>
            </w:r>
          </w:p>
        </w:tc>
        <w:tc>
          <w:tcPr>
            <w:tcW w:w="1276" w:type="dxa"/>
            <w:vAlign w:val="center"/>
          </w:tcPr>
          <w:p w14:paraId="55E0A43C" w14:textId="77777777" w:rsidR="00532B54" w:rsidRPr="009A4BF1" w:rsidRDefault="00532B54" w:rsidP="00DE6BFC">
            <w:pPr>
              <w:spacing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9A4BF1">
              <w:rPr>
                <w:sz w:val="20"/>
                <w:szCs w:val="20"/>
              </w:rPr>
              <w:t>91</w:t>
            </w:r>
          </w:p>
        </w:tc>
        <w:tc>
          <w:tcPr>
            <w:tcW w:w="1559" w:type="dxa"/>
            <w:vAlign w:val="center"/>
          </w:tcPr>
          <w:p w14:paraId="26097707" w14:textId="77777777" w:rsidR="00532B54" w:rsidRPr="009A4BF1" w:rsidRDefault="00532B54" w:rsidP="00DE6BFC">
            <w:pPr>
              <w:spacing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9A4BF1">
              <w:rPr>
                <w:sz w:val="20"/>
                <w:szCs w:val="20"/>
              </w:rPr>
              <w:t>95</w:t>
            </w:r>
          </w:p>
        </w:tc>
        <w:tc>
          <w:tcPr>
            <w:tcW w:w="1645" w:type="dxa"/>
            <w:vAlign w:val="center"/>
          </w:tcPr>
          <w:p w14:paraId="54280A3A" w14:textId="77777777" w:rsidR="00532B54" w:rsidRPr="009A4BF1" w:rsidRDefault="00532B54" w:rsidP="00DE6BFC">
            <w:pPr>
              <w:spacing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9A4BF1">
              <w:rPr>
                <w:sz w:val="20"/>
                <w:szCs w:val="20"/>
              </w:rPr>
              <w:t>+4</w:t>
            </w:r>
          </w:p>
        </w:tc>
      </w:tr>
      <w:tr w:rsidR="00532B54" w:rsidRPr="009A4BF1" w14:paraId="5EC1BAD4" w14:textId="77777777" w:rsidTr="00DA3F73">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536" w:type="dxa"/>
            <w:gridSpan w:val="2"/>
            <w:vAlign w:val="center"/>
          </w:tcPr>
          <w:p w14:paraId="411C4C9B" w14:textId="77777777" w:rsidR="00532B54" w:rsidRPr="00C90195" w:rsidRDefault="00532B54" w:rsidP="00DE6BFC">
            <w:pPr>
              <w:spacing w:after="0"/>
              <w:rPr>
                <w:b w:val="0"/>
                <w:sz w:val="20"/>
                <w:szCs w:val="20"/>
              </w:rPr>
            </w:pPr>
            <w:r w:rsidRPr="00C90195">
              <w:rPr>
                <w:b w:val="0"/>
                <w:sz w:val="20"/>
                <w:szCs w:val="20"/>
              </w:rPr>
              <w:t>Choice and control (child’s ability to communicate what they want)</w:t>
            </w:r>
          </w:p>
        </w:tc>
        <w:tc>
          <w:tcPr>
            <w:tcW w:w="1276" w:type="dxa"/>
            <w:vAlign w:val="center"/>
          </w:tcPr>
          <w:p w14:paraId="75B3A3DB" w14:textId="77777777" w:rsidR="00532B54" w:rsidRPr="009A4BF1" w:rsidRDefault="00532B54" w:rsidP="00DE6BFC">
            <w:pPr>
              <w:spacing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9A4BF1">
              <w:rPr>
                <w:sz w:val="20"/>
                <w:szCs w:val="20"/>
              </w:rPr>
              <w:t>83</w:t>
            </w:r>
          </w:p>
        </w:tc>
        <w:tc>
          <w:tcPr>
            <w:tcW w:w="1559" w:type="dxa"/>
            <w:vAlign w:val="center"/>
          </w:tcPr>
          <w:p w14:paraId="07A208B1" w14:textId="77777777" w:rsidR="00532B54" w:rsidRPr="009A4BF1" w:rsidRDefault="00532B54" w:rsidP="00DE6BFC">
            <w:pPr>
              <w:spacing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9A4BF1">
              <w:rPr>
                <w:sz w:val="20"/>
                <w:szCs w:val="20"/>
              </w:rPr>
              <w:t>87</w:t>
            </w:r>
          </w:p>
        </w:tc>
        <w:tc>
          <w:tcPr>
            <w:tcW w:w="1645" w:type="dxa"/>
            <w:vAlign w:val="center"/>
          </w:tcPr>
          <w:p w14:paraId="6E3412CA" w14:textId="77777777" w:rsidR="00532B54" w:rsidRPr="009A4BF1" w:rsidRDefault="00532B54" w:rsidP="00DE6BFC">
            <w:pPr>
              <w:spacing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9A4BF1">
              <w:rPr>
                <w:sz w:val="20"/>
                <w:szCs w:val="20"/>
              </w:rPr>
              <w:t>+4</w:t>
            </w:r>
          </w:p>
        </w:tc>
      </w:tr>
      <w:tr w:rsidR="00532B54" w:rsidRPr="009A4BF1" w14:paraId="4FCA9486" w14:textId="77777777" w:rsidTr="00DA3F73">
        <w:trPr>
          <w:trHeight w:val="301"/>
        </w:trPr>
        <w:tc>
          <w:tcPr>
            <w:cnfStyle w:val="001000000000" w:firstRow="0" w:lastRow="0" w:firstColumn="1" w:lastColumn="0" w:oddVBand="0" w:evenVBand="0" w:oddHBand="0" w:evenHBand="0" w:firstRowFirstColumn="0" w:firstRowLastColumn="0" w:lastRowFirstColumn="0" w:lastRowLastColumn="0"/>
            <w:tcW w:w="4536" w:type="dxa"/>
            <w:gridSpan w:val="2"/>
            <w:vAlign w:val="center"/>
          </w:tcPr>
          <w:p w14:paraId="49294323" w14:textId="77777777" w:rsidR="00532B54" w:rsidRPr="00C90195" w:rsidRDefault="00532B54" w:rsidP="00DE6BFC">
            <w:pPr>
              <w:spacing w:after="0"/>
              <w:rPr>
                <w:b w:val="0"/>
                <w:sz w:val="20"/>
                <w:szCs w:val="20"/>
              </w:rPr>
            </w:pPr>
            <w:r w:rsidRPr="00C90195">
              <w:rPr>
                <w:b w:val="0"/>
                <w:sz w:val="20"/>
                <w:szCs w:val="20"/>
              </w:rPr>
              <w:t>Relationships (fitting into family life)</w:t>
            </w:r>
          </w:p>
        </w:tc>
        <w:tc>
          <w:tcPr>
            <w:tcW w:w="1276" w:type="dxa"/>
            <w:vAlign w:val="center"/>
          </w:tcPr>
          <w:p w14:paraId="4F0173AD" w14:textId="77777777" w:rsidR="00532B54" w:rsidRPr="009A4BF1" w:rsidRDefault="00532B54" w:rsidP="00DE6BFC">
            <w:pPr>
              <w:spacing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9A4BF1">
              <w:rPr>
                <w:sz w:val="20"/>
                <w:szCs w:val="20"/>
              </w:rPr>
              <w:t>77</w:t>
            </w:r>
          </w:p>
        </w:tc>
        <w:tc>
          <w:tcPr>
            <w:tcW w:w="1559" w:type="dxa"/>
            <w:vAlign w:val="center"/>
          </w:tcPr>
          <w:p w14:paraId="05BF8526" w14:textId="77777777" w:rsidR="00532B54" w:rsidRPr="009A4BF1" w:rsidRDefault="00532B54" w:rsidP="00DE6BFC">
            <w:pPr>
              <w:spacing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9A4BF1">
              <w:rPr>
                <w:sz w:val="20"/>
                <w:szCs w:val="20"/>
              </w:rPr>
              <w:t>83</w:t>
            </w:r>
          </w:p>
        </w:tc>
        <w:tc>
          <w:tcPr>
            <w:tcW w:w="1645" w:type="dxa"/>
            <w:vAlign w:val="center"/>
          </w:tcPr>
          <w:p w14:paraId="1F63B95B" w14:textId="77777777" w:rsidR="00532B54" w:rsidRPr="009A4BF1" w:rsidRDefault="00532B54" w:rsidP="00DE6BFC">
            <w:pPr>
              <w:spacing w:after="0"/>
              <w:jc w:val="right"/>
              <w:cnfStyle w:val="000000000000" w:firstRow="0" w:lastRow="0" w:firstColumn="0" w:lastColumn="0" w:oddVBand="0" w:evenVBand="0" w:oddHBand="0" w:evenHBand="0" w:firstRowFirstColumn="0" w:firstRowLastColumn="0" w:lastRowFirstColumn="0" w:lastRowLastColumn="0"/>
              <w:rPr>
                <w:sz w:val="20"/>
                <w:szCs w:val="20"/>
              </w:rPr>
            </w:pPr>
            <w:r w:rsidRPr="009A4BF1">
              <w:rPr>
                <w:sz w:val="20"/>
                <w:szCs w:val="20"/>
              </w:rPr>
              <w:t>+6</w:t>
            </w:r>
          </w:p>
        </w:tc>
      </w:tr>
      <w:tr w:rsidR="00532B54" w:rsidRPr="009A4BF1" w14:paraId="0A651B9D" w14:textId="77777777" w:rsidTr="00DA3F73">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536" w:type="dxa"/>
            <w:gridSpan w:val="2"/>
            <w:tcBorders>
              <w:bottom w:val="single" w:sz="4" w:space="0" w:color="auto"/>
            </w:tcBorders>
            <w:vAlign w:val="center"/>
          </w:tcPr>
          <w:p w14:paraId="29B0C8ED" w14:textId="77777777" w:rsidR="00532B54" w:rsidRPr="00C90195" w:rsidRDefault="00532B54" w:rsidP="00DE6BFC">
            <w:pPr>
              <w:spacing w:after="0"/>
              <w:rPr>
                <w:b w:val="0"/>
                <w:sz w:val="20"/>
                <w:szCs w:val="20"/>
              </w:rPr>
            </w:pPr>
            <w:r w:rsidRPr="00C90195">
              <w:rPr>
                <w:b w:val="0"/>
                <w:sz w:val="20"/>
                <w:szCs w:val="20"/>
              </w:rPr>
              <w:t>Social, community and civic participation (fitting into community life)</w:t>
            </w:r>
          </w:p>
        </w:tc>
        <w:tc>
          <w:tcPr>
            <w:tcW w:w="1276" w:type="dxa"/>
            <w:tcBorders>
              <w:bottom w:val="single" w:sz="4" w:space="0" w:color="auto"/>
            </w:tcBorders>
            <w:vAlign w:val="center"/>
          </w:tcPr>
          <w:p w14:paraId="7E18E351" w14:textId="77777777" w:rsidR="00532B54" w:rsidRPr="009A4BF1" w:rsidRDefault="00532B54" w:rsidP="00DE6BFC">
            <w:pPr>
              <w:spacing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9A4BF1">
              <w:rPr>
                <w:sz w:val="20"/>
                <w:szCs w:val="20"/>
              </w:rPr>
              <w:t>64</w:t>
            </w:r>
          </w:p>
        </w:tc>
        <w:tc>
          <w:tcPr>
            <w:tcW w:w="1559" w:type="dxa"/>
            <w:tcBorders>
              <w:bottom w:val="single" w:sz="4" w:space="0" w:color="auto"/>
            </w:tcBorders>
            <w:vAlign w:val="center"/>
          </w:tcPr>
          <w:p w14:paraId="1BD5959C" w14:textId="77777777" w:rsidR="00532B54" w:rsidRPr="009A4BF1" w:rsidRDefault="00532B54" w:rsidP="00DE6BFC">
            <w:pPr>
              <w:spacing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9A4BF1">
              <w:rPr>
                <w:sz w:val="20"/>
                <w:szCs w:val="20"/>
              </w:rPr>
              <w:t>70</w:t>
            </w:r>
          </w:p>
        </w:tc>
        <w:tc>
          <w:tcPr>
            <w:tcW w:w="1645" w:type="dxa"/>
            <w:tcBorders>
              <w:bottom w:val="single" w:sz="4" w:space="0" w:color="auto"/>
            </w:tcBorders>
            <w:vAlign w:val="center"/>
          </w:tcPr>
          <w:p w14:paraId="6BD94CD3" w14:textId="77777777" w:rsidR="00532B54" w:rsidRPr="009A4BF1" w:rsidRDefault="00532B54" w:rsidP="00DE6BFC">
            <w:pPr>
              <w:spacing w:after="0"/>
              <w:jc w:val="right"/>
              <w:cnfStyle w:val="000000100000" w:firstRow="0" w:lastRow="0" w:firstColumn="0" w:lastColumn="0" w:oddVBand="0" w:evenVBand="0" w:oddHBand="1" w:evenHBand="0" w:firstRowFirstColumn="0" w:firstRowLastColumn="0" w:lastRowFirstColumn="0" w:lastRowLastColumn="0"/>
              <w:rPr>
                <w:sz w:val="20"/>
                <w:szCs w:val="20"/>
              </w:rPr>
            </w:pPr>
            <w:r w:rsidRPr="009A4BF1">
              <w:rPr>
                <w:sz w:val="20"/>
                <w:szCs w:val="20"/>
              </w:rPr>
              <w:t>+6</w:t>
            </w:r>
          </w:p>
        </w:tc>
      </w:tr>
    </w:tbl>
    <w:p w14:paraId="63E10B4F" w14:textId="77777777" w:rsidR="00532B54" w:rsidRDefault="00532B54" w:rsidP="00F830E6">
      <w:pPr>
        <w:spacing w:before="240"/>
      </w:pPr>
      <w:r>
        <w:t>Improvements were slightly stronger for fitting into family and community life (although results for these domains started off at a lower level and hence had more scope to improve).</w:t>
      </w:r>
    </w:p>
    <w:p w14:paraId="4B7BB528" w14:textId="77777777" w:rsidR="00532B54" w:rsidRDefault="00DE6BFC" w:rsidP="00532B54">
      <w:r w:rsidRPr="00DE6BFC">
        <w:t xml:space="preserve">Figure </w:t>
      </w:r>
      <w:r w:rsidRPr="00DE6BFC">
        <w:rPr>
          <w:noProof/>
        </w:rPr>
        <w:t>7</w:t>
      </w:r>
      <w:r w:rsidRPr="00DE6BFC">
        <w:t>.</w:t>
      </w:r>
      <w:r w:rsidRPr="00DE6BFC">
        <w:rPr>
          <w:noProof/>
        </w:rPr>
        <w:t>6</w:t>
      </w:r>
      <w:r w:rsidR="00532B54" w:rsidRPr="00090AC5">
        <w:t xml:space="preserve"> provides more detail for two areas (development and access to specialist services), showing tre</w:t>
      </w:r>
      <w:r w:rsidR="00532B54">
        <w:t>nds over time in the Scheme for different duration cohorts (participants who have been in the Scheme for approximately five, four, three or two years at 30 June 2022).</w:t>
      </w:r>
    </w:p>
    <w:p w14:paraId="63E1A91A" w14:textId="77777777" w:rsidR="00532B54" w:rsidRPr="0088770F" w:rsidRDefault="00532B54" w:rsidP="00DE6BFC">
      <w:pPr>
        <w:pStyle w:val="Figures"/>
      </w:pPr>
      <w:bookmarkStart w:id="293" w:name="_Ref113285283"/>
      <w:bookmarkStart w:id="294" w:name="_Ref111720278"/>
      <w:r w:rsidRPr="004C4037">
        <w:t xml:space="preserve">Figure </w:t>
      </w:r>
      <w:fldSimple w:instr=" STYLEREF 2 \s ">
        <w:r w:rsidR="00447AA1">
          <w:rPr>
            <w:noProof/>
          </w:rPr>
          <w:t>7</w:t>
        </w:r>
      </w:fldSimple>
      <w:r w:rsidR="00447AA1">
        <w:t>.</w:t>
      </w:r>
      <w:fldSimple w:instr=" SEQ Figure \* ARABIC \s 2 ">
        <w:r w:rsidR="00447AA1">
          <w:rPr>
            <w:noProof/>
          </w:rPr>
          <w:t>6</w:t>
        </w:r>
      </w:fldSimple>
      <w:bookmarkEnd w:id="293"/>
      <w:bookmarkEnd w:id="294"/>
      <w:r w:rsidRPr="004C4037">
        <w:t>:</w:t>
      </w:r>
      <w:r w:rsidRPr="0088770F">
        <w:t xml:space="preserve"> Percentage </w:t>
      </w:r>
      <w:r>
        <w:t>who think the NDIS has helped</w:t>
      </w:r>
      <w:r w:rsidRPr="0088770F">
        <w:t xml:space="preserve"> – longitudinal trends for participants in the Scheme for two to five years</w:t>
      </w:r>
      <w:r>
        <w:t>, age 0 to before starting school</w:t>
      </w:r>
    </w:p>
    <w:p w14:paraId="63214806" w14:textId="77777777" w:rsidR="00532B54" w:rsidRDefault="00532B54" w:rsidP="00532B54">
      <w:pPr>
        <w:ind w:right="-330"/>
      </w:pPr>
      <w:r w:rsidRPr="00AE1742">
        <w:rPr>
          <w:noProof/>
          <w:lang w:eastAsia="en-AU"/>
        </w:rPr>
        <w:drawing>
          <wp:inline distT="0" distB="0" distL="0" distR="0" wp14:anchorId="02B33BC2" wp14:editId="31083E3F">
            <wp:extent cx="5876925" cy="2390969"/>
            <wp:effectExtent l="0" t="0" r="0" b="9525"/>
            <wp:docPr id="7" name="Picture 7" descr="Two line charts are shown. The horizontal (x) axis shows each review time point (for example, R1 to R5 for participants in the Scheme for 5 years; R1 and R2 for participants in the Scheme for 2 years). The vertical (y) axis shows the percentage who think the NDIS has helped improve their child’s development, and the percentage who think the NDIS has helped improve access to specialist services on each chart respectively.&#10;Each chart shows 4 lines, representing the amount of time the participant has spent in scheme from five to two years. These lines plot the percentage of participants who think the NDIS has helped improve their child’s development and access to specialist services across their time in the scheme.&#10;All of the lines show a generally increasing or stable trend. They are all above 90%." title="Figure 7.6: Percentage who think the NDIS has helped – longitudinal trends for participants in the Scheme for two to five years, age 0 to before starting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884607" cy="2394094"/>
                    </a:xfrm>
                    <a:prstGeom prst="rect">
                      <a:avLst/>
                    </a:prstGeom>
                    <a:noFill/>
                    <a:ln>
                      <a:noFill/>
                    </a:ln>
                  </pic:spPr>
                </pic:pic>
              </a:graphicData>
            </a:graphic>
          </wp:inline>
        </w:drawing>
      </w:r>
    </w:p>
    <w:p w14:paraId="0ED4F882" w14:textId="77777777" w:rsidR="00532B54" w:rsidRPr="00090AC5" w:rsidRDefault="00DE6BFC" w:rsidP="00532B54">
      <w:r w:rsidRPr="00DE6BFC">
        <w:t xml:space="preserve">Figure </w:t>
      </w:r>
      <w:r w:rsidRPr="00DE6BFC">
        <w:rPr>
          <w:noProof/>
        </w:rPr>
        <w:t>7</w:t>
      </w:r>
      <w:r w:rsidRPr="00DE6BFC">
        <w:t>.</w:t>
      </w:r>
      <w:r w:rsidRPr="00DE6BFC">
        <w:rPr>
          <w:noProof/>
        </w:rPr>
        <w:t>6</w:t>
      </w:r>
      <w:r w:rsidR="00532B54" w:rsidRPr="00090AC5">
        <w:t xml:space="preserve"> shows very high initial levels of satisfaction for these two areas. Nevertheless, an improving trend over time in the Scheme has been observed. Results for the different duration cohorts are generally similar.</w:t>
      </w:r>
    </w:p>
    <w:p w14:paraId="1B4E3D0A" w14:textId="77777777" w:rsidR="00532B54" w:rsidRDefault="00532B54" w:rsidP="00532B54">
      <w:r w:rsidRPr="00090AC5">
        <w:t xml:space="preserve">For children aged from starting school to age 14, results are generally less positive than for the younger age </w:t>
      </w:r>
      <w:r w:rsidR="00D96A67" w:rsidRPr="00090AC5">
        <w:t>group but</w:t>
      </w:r>
      <w:r w:rsidRPr="00090AC5">
        <w:t xml:space="preserve"> show stronger improvement over time.</w:t>
      </w:r>
    </w:p>
    <w:p w14:paraId="238869BF" w14:textId="77777777" w:rsidR="00532B54" w:rsidRDefault="00260852" w:rsidP="00532B54">
      <w:r w:rsidRPr="00C53CDC">
        <w:t xml:space="preserve">Table </w:t>
      </w:r>
      <w:r w:rsidRPr="00C53CDC">
        <w:rPr>
          <w:noProof/>
        </w:rPr>
        <w:t>7.2</w:t>
      </w:r>
      <w:r w:rsidR="00532B54" w:rsidRPr="00090AC5">
        <w:t xml:space="preserve"> s</w:t>
      </w:r>
      <w:r w:rsidR="00532B54">
        <w:t>hows the percentages responding positively at first review and at latest review, as well as the change between the two time points.</w:t>
      </w:r>
    </w:p>
    <w:p w14:paraId="434D984E" w14:textId="77777777" w:rsidR="00532B54" w:rsidRPr="003E3DAF" w:rsidRDefault="00532B54" w:rsidP="00DE6BFC">
      <w:pPr>
        <w:pStyle w:val="Tables"/>
      </w:pPr>
      <w:bookmarkStart w:id="295" w:name="_Ref111720654"/>
      <w:r w:rsidRPr="003E3DAF">
        <w:lastRenderedPageBreak/>
        <w:t xml:space="preserve">Table </w:t>
      </w:r>
      <w:fldSimple w:instr=" STYLEREF 2 \s ">
        <w:r w:rsidR="00A87896">
          <w:rPr>
            <w:noProof/>
          </w:rPr>
          <w:t>7</w:t>
        </w:r>
      </w:fldSimple>
      <w:r w:rsidR="00A87896">
        <w:t>.</w:t>
      </w:r>
      <w:fldSimple w:instr=" SEQ Table \* ARABIC \s 2 ">
        <w:r w:rsidR="00A87896">
          <w:rPr>
            <w:noProof/>
          </w:rPr>
          <w:t>2</w:t>
        </w:r>
      </w:fldSimple>
      <w:bookmarkEnd w:id="295"/>
      <w:r w:rsidR="00D96A67" w:rsidRPr="003E3DAF">
        <w:t>: “</w:t>
      </w:r>
      <w:r w:rsidRPr="003E3DAF">
        <w:t>Has the NDIS helped?” – participants from starting school to age 14</w:t>
      </w:r>
    </w:p>
    <w:tbl>
      <w:tblPr>
        <w:tblStyle w:val="ListTable2"/>
        <w:tblW w:w="9447" w:type="dxa"/>
        <w:tblBorders>
          <w:top w:val="none" w:sz="0" w:space="0" w:color="auto"/>
          <w:bottom w:val="none" w:sz="0" w:space="0" w:color="auto"/>
          <w:insideH w:val="none" w:sz="0" w:space="0" w:color="auto"/>
        </w:tblBorders>
        <w:tblLook w:val="04A0" w:firstRow="1" w:lastRow="0" w:firstColumn="1" w:lastColumn="0" w:noHBand="0" w:noVBand="1"/>
      </w:tblPr>
      <w:tblGrid>
        <w:gridCol w:w="3544"/>
        <w:gridCol w:w="712"/>
        <w:gridCol w:w="1420"/>
        <w:gridCol w:w="1843"/>
        <w:gridCol w:w="1928"/>
      </w:tblGrid>
      <w:tr w:rsidR="00532B54" w:rsidRPr="00690614" w14:paraId="1A476318" w14:textId="77777777" w:rsidTr="006C297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544" w:type="dxa"/>
            <w:shd w:val="clear" w:color="auto" w:fill="6B2976"/>
            <w:vAlign w:val="center"/>
          </w:tcPr>
          <w:p w14:paraId="12D8D2F6" w14:textId="77777777" w:rsidR="00532B54" w:rsidRPr="00DA3F73" w:rsidRDefault="00532B54" w:rsidP="004C434C">
            <w:pPr>
              <w:spacing w:after="0"/>
              <w:rPr>
                <w:color w:val="FFFFFF"/>
                <w:sz w:val="18"/>
                <w:szCs w:val="18"/>
              </w:rPr>
            </w:pPr>
            <w:r w:rsidRPr="00DA3F73">
              <w:rPr>
                <w:color w:val="FFFFFF"/>
                <w:sz w:val="18"/>
                <w:szCs w:val="18"/>
              </w:rPr>
              <w:t>Domain</w:t>
            </w:r>
          </w:p>
        </w:tc>
        <w:tc>
          <w:tcPr>
            <w:tcW w:w="2132" w:type="dxa"/>
            <w:gridSpan w:val="2"/>
            <w:shd w:val="clear" w:color="auto" w:fill="6B2976"/>
            <w:vAlign w:val="center"/>
          </w:tcPr>
          <w:p w14:paraId="2321ED0D" w14:textId="77777777" w:rsidR="00532B54" w:rsidRPr="00DA3F73" w:rsidRDefault="00532B54" w:rsidP="004C434C">
            <w:pPr>
              <w:spacing w:after="0"/>
              <w:jc w:val="right"/>
              <w:cnfStyle w:val="100000000000" w:firstRow="1" w:lastRow="0" w:firstColumn="0" w:lastColumn="0" w:oddVBand="0" w:evenVBand="0" w:oddHBand="0" w:evenHBand="0" w:firstRowFirstColumn="0" w:firstRowLastColumn="0" w:lastRowFirstColumn="0" w:lastRowLastColumn="0"/>
              <w:rPr>
                <w:color w:val="FFFFFF"/>
                <w:sz w:val="18"/>
                <w:szCs w:val="18"/>
              </w:rPr>
            </w:pPr>
            <w:r w:rsidRPr="00DA3F73">
              <w:rPr>
                <w:color w:val="FFFFFF"/>
                <w:sz w:val="18"/>
                <w:szCs w:val="18"/>
              </w:rPr>
              <w:t>First review %</w:t>
            </w:r>
          </w:p>
        </w:tc>
        <w:tc>
          <w:tcPr>
            <w:tcW w:w="1843" w:type="dxa"/>
            <w:shd w:val="clear" w:color="auto" w:fill="6B2976"/>
            <w:vAlign w:val="center"/>
          </w:tcPr>
          <w:p w14:paraId="678FE2B6" w14:textId="77777777" w:rsidR="00532B54" w:rsidRPr="00DA3F73" w:rsidRDefault="00532B54" w:rsidP="004C434C">
            <w:pPr>
              <w:spacing w:after="0"/>
              <w:jc w:val="right"/>
              <w:cnfStyle w:val="100000000000" w:firstRow="1" w:lastRow="0" w:firstColumn="0" w:lastColumn="0" w:oddVBand="0" w:evenVBand="0" w:oddHBand="0" w:evenHBand="0" w:firstRowFirstColumn="0" w:firstRowLastColumn="0" w:lastRowFirstColumn="0" w:lastRowLastColumn="0"/>
              <w:rPr>
                <w:color w:val="FFFFFF"/>
                <w:sz w:val="18"/>
                <w:szCs w:val="18"/>
              </w:rPr>
            </w:pPr>
            <w:r w:rsidRPr="00DA3F73">
              <w:rPr>
                <w:color w:val="FFFFFF"/>
                <w:sz w:val="18"/>
                <w:szCs w:val="18"/>
              </w:rPr>
              <w:t>Latest Review %</w:t>
            </w:r>
          </w:p>
        </w:tc>
        <w:tc>
          <w:tcPr>
            <w:tcW w:w="1928" w:type="dxa"/>
            <w:shd w:val="clear" w:color="auto" w:fill="6B2976"/>
            <w:vAlign w:val="center"/>
          </w:tcPr>
          <w:p w14:paraId="15F95BE7" w14:textId="77777777" w:rsidR="00532B54" w:rsidRPr="00DA3F73" w:rsidRDefault="00532B54" w:rsidP="004C434C">
            <w:pPr>
              <w:spacing w:after="0"/>
              <w:jc w:val="right"/>
              <w:cnfStyle w:val="100000000000" w:firstRow="1" w:lastRow="0" w:firstColumn="0" w:lastColumn="0" w:oddVBand="0" w:evenVBand="0" w:oddHBand="0" w:evenHBand="0" w:firstRowFirstColumn="0" w:firstRowLastColumn="0" w:lastRowFirstColumn="0" w:lastRowLastColumn="0"/>
              <w:rPr>
                <w:color w:val="FFFFFF"/>
                <w:sz w:val="18"/>
                <w:szCs w:val="18"/>
              </w:rPr>
            </w:pPr>
            <w:r w:rsidRPr="00DA3F73">
              <w:rPr>
                <w:color w:val="FFFFFF"/>
                <w:sz w:val="18"/>
                <w:szCs w:val="18"/>
              </w:rPr>
              <w:t xml:space="preserve">Percentage point change </w:t>
            </w:r>
          </w:p>
        </w:tc>
      </w:tr>
      <w:tr w:rsidR="00532B54" w:rsidRPr="00690614" w14:paraId="7441C723" w14:textId="77777777" w:rsidTr="006C297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256" w:type="dxa"/>
            <w:gridSpan w:val="2"/>
            <w:vAlign w:val="center"/>
          </w:tcPr>
          <w:p w14:paraId="3FB14FB5" w14:textId="77777777" w:rsidR="00532B54" w:rsidRPr="00C90195" w:rsidRDefault="00532B54" w:rsidP="004C434C">
            <w:pPr>
              <w:spacing w:after="0"/>
              <w:rPr>
                <w:b w:val="0"/>
                <w:sz w:val="18"/>
                <w:szCs w:val="18"/>
              </w:rPr>
            </w:pPr>
            <w:r w:rsidRPr="00C90195">
              <w:rPr>
                <w:b w:val="0"/>
                <w:sz w:val="18"/>
                <w:szCs w:val="18"/>
              </w:rPr>
              <w:t>Daily living (independence)</w:t>
            </w:r>
          </w:p>
        </w:tc>
        <w:tc>
          <w:tcPr>
            <w:tcW w:w="1417" w:type="dxa"/>
            <w:vAlign w:val="center"/>
          </w:tcPr>
          <w:p w14:paraId="104BB13E"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61</w:t>
            </w:r>
          </w:p>
        </w:tc>
        <w:tc>
          <w:tcPr>
            <w:tcW w:w="1843" w:type="dxa"/>
            <w:vAlign w:val="center"/>
          </w:tcPr>
          <w:p w14:paraId="42DB4CDF"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73</w:t>
            </w:r>
          </w:p>
        </w:tc>
        <w:tc>
          <w:tcPr>
            <w:tcW w:w="1928" w:type="dxa"/>
            <w:vAlign w:val="center"/>
          </w:tcPr>
          <w:p w14:paraId="7220ED70"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+12</w:t>
            </w:r>
          </w:p>
        </w:tc>
      </w:tr>
      <w:tr w:rsidR="00532B54" w:rsidRPr="00690614" w14:paraId="672DF62A" w14:textId="77777777" w:rsidTr="006C2975">
        <w:trPr>
          <w:trHeight w:val="301"/>
        </w:trPr>
        <w:tc>
          <w:tcPr>
            <w:cnfStyle w:val="001000000000" w:firstRow="0" w:lastRow="0" w:firstColumn="1" w:lastColumn="0" w:oddVBand="0" w:evenVBand="0" w:oddHBand="0" w:evenHBand="0" w:firstRowFirstColumn="0" w:firstRowLastColumn="0" w:lastRowFirstColumn="0" w:lastRowLastColumn="0"/>
            <w:tcW w:w="4256" w:type="dxa"/>
            <w:gridSpan w:val="2"/>
            <w:vAlign w:val="center"/>
          </w:tcPr>
          <w:p w14:paraId="1A8187D2" w14:textId="77777777" w:rsidR="00532B54" w:rsidRPr="00C90195" w:rsidRDefault="00532B54" w:rsidP="004C434C">
            <w:pPr>
              <w:spacing w:after="0"/>
              <w:rPr>
                <w:b w:val="0"/>
                <w:sz w:val="18"/>
                <w:szCs w:val="18"/>
              </w:rPr>
            </w:pPr>
            <w:r w:rsidRPr="00C90195">
              <w:rPr>
                <w:b w:val="0"/>
                <w:sz w:val="18"/>
                <w:szCs w:val="18"/>
              </w:rPr>
              <w:t>Lifelong learning (access to education)</w:t>
            </w:r>
          </w:p>
        </w:tc>
        <w:tc>
          <w:tcPr>
            <w:tcW w:w="1417" w:type="dxa"/>
            <w:vAlign w:val="center"/>
          </w:tcPr>
          <w:p w14:paraId="764451BC"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41</w:t>
            </w:r>
          </w:p>
        </w:tc>
        <w:tc>
          <w:tcPr>
            <w:tcW w:w="1843" w:type="dxa"/>
            <w:vAlign w:val="center"/>
          </w:tcPr>
          <w:p w14:paraId="3600A052"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50</w:t>
            </w:r>
          </w:p>
        </w:tc>
        <w:tc>
          <w:tcPr>
            <w:tcW w:w="1928" w:type="dxa"/>
            <w:vAlign w:val="center"/>
          </w:tcPr>
          <w:p w14:paraId="5113298D"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+9</w:t>
            </w:r>
          </w:p>
        </w:tc>
      </w:tr>
      <w:tr w:rsidR="00532B54" w:rsidRPr="00690614" w14:paraId="5C173D5E" w14:textId="77777777" w:rsidTr="006C297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4256" w:type="dxa"/>
            <w:gridSpan w:val="2"/>
            <w:vAlign w:val="center"/>
          </w:tcPr>
          <w:p w14:paraId="69499155" w14:textId="77777777" w:rsidR="00532B54" w:rsidRPr="00C90195" w:rsidRDefault="00532B54" w:rsidP="004C434C">
            <w:pPr>
              <w:spacing w:after="0"/>
              <w:rPr>
                <w:b w:val="0"/>
                <w:sz w:val="18"/>
                <w:szCs w:val="18"/>
              </w:rPr>
            </w:pPr>
            <w:r w:rsidRPr="00C90195">
              <w:rPr>
                <w:b w:val="0"/>
                <w:sz w:val="18"/>
                <w:szCs w:val="18"/>
              </w:rPr>
              <w:t>Relationships (with family and friends)</w:t>
            </w:r>
          </w:p>
        </w:tc>
        <w:tc>
          <w:tcPr>
            <w:tcW w:w="1417" w:type="dxa"/>
            <w:vAlign w:val="center"/>
          </w:tcPr>
          <w:p w14:paraId="46594F2F"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50</w:t>
            </w:r>
          </w:p>
        </w:tc>
        <w:tc>
          <w:tcPr>
            <w:tcW w:w="1843" w:type="dxa"/>
            <w:vAlign w:val="center"/>
          </w:tcPr>
          <w:p w14:paraId="6B3F87BA"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60</w:t>
            </w:r>
          </w:p>
        </w:tc>
        <w:tc>
          <w:tcPr>
            <w:tcW w:w="1928" w:type="dxa"/>
            <w:vAlign w:val="center"/>
          </w:tcPr>
          <w:p w14:paraId="7F46D99C"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+10</w:t>
            </w:r>
          </w:p>
        </w:tc>
      </w:tr>
      <w:tr w:rsidR="00532B54" w:rsidRPr="00690614" w14:paraId="7AAEC7B0" w14:textId="77777777" w:rsidTr="006C2975">
        <w:trPr>
          <w:trHeight w:val="301"/>
        </w:trPr>
        <w:tc>
          <w:tcPr>
            <w:cnfStyle w:val="001000000000" w:firstRow="0" w:lastRow="0" w:firstColumn="1" w:lastColumn="0" w:oddVBand="0" w:evenVBand="0" w:oddHBand="0" w:evenHBand="0" w:firstRowFirstColumn="0" w:firstRowLastColumn="0" w:lastRowFirstColumn="0" w:lastRowLastColumn="0"/>
            <w:tcW w:w="4256" w:type="dxa"/>
            <w:gridSpan w:val="2"/>
            <w:tcBorders>
              <w:bottom w:val="single" w:sz="4" w:space="0" w:color="auto"/>
            </w:tcBorders>
            <w:vAlign w:val="center"/>
          </w:tcPr>
          <w:p w14:paraId="029A1731" w14:textId="77777777" w:rsidR="00532B54" w:rsidRPr="00C90195" w:rsidRDefault="00532B54" w:rsidP="004C434C">
            <w:pPr>
              <w:spacing w:after="0"/>
              <w:rPr>
                <w:b w:val="0"/>
                <w:sz w:val="18"/>
                <w:szCs w:val="18"/>
              </w:rPr>
            </w:pPr>
            <w:r w:rsidRPr="00C90195">
              <w:rPr>
                <w:b w:val="0"/>
                <w:sz w:val="18"/>
                <w:szCs w:val="18"/>
              </w:rPr>
              <w:t>Social, community and civic participation (social and recreational life)</w:t>
            </w:r>
          </w:p>
        </w:tc>
        <w:tc>
          <w:tcPr>
            <w:tcW w:w="1417" w:type="dxa"/>
            <w:tcBorders>
              <w:bottom w:val="single" w:sz="4" w:space="0" w:color="auto"/>
            </w:tcBorders>
            <w:vAlign w:val="center"/>
          </w:tcPr>
          <w:p w14:paraId="6C7876AF"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45</w:t>
            </w:r>
          </w:p>
        </w:tc>
        <w:tc>
          <w:tcPr>
            <w:tcW w:w="1843" w:type="dxa"/>
            <w:tcBorders>
              <w:bottom w:val="single" w:sz="4" w:space="0" w:color="auto"/>
            </w:tcBorders>
            <w:vAlign w:val="center"/>
          </w:tcPr>
          <w:p w14:paraId="646E0725"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53</w:t>
            </w:r>
          </w:p>
        </w:tc>
        <w:tc>
          <w:tcPr>
            <w:tcW w:w="1928" w:type="dxa"/>
            <w:tcBorders>
              <w:bottom w:val="single" w:sz="4" w:space="0" w:color="auto"/>
            </w:tcBorders>
            <w:vAlign w:val="center"/>
          </w:tcPr>
          <w:p w14:paraId="6C14F2AD"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+7</w:t>
            </w:r>
          </w:p>
        </w:tc>
      </w:tr>
    </w:tbl>
    <w:p w14:paraId="1E2F9A0F" w14:textId="77777777" w:rsidR="00532B54" w:rsidRDefault="00DE6BFC" w:rsidP="00F830E6">
      <w:pPr>
        <w:spacing w:before="240"/>
      </w:pPr>
      <w:r w:rsidRPr="00DE6BFC">
        <w:t xml:space="preserve">Figure </w:t>
      </w:r>
      <w:r w:rsidRPr="00DE6BFC">
        <w:rPr>
          <w:noProof/>
        </w:rPr>
        <w:t>7</w:t>
      </w:r>
      <w:r w:rsidRPr="00DE6BFC">
        <w:t>.</w:t>
      </w:r>
      <w:r w:rsidRPr="00DE6BFC">
        <w:rPr>
          <w:noProof/>
        </w:rPr>
        <w:t>7</w:t>
      </w:r>
      <w:r w:rsidR="00532B54" w:rsidRPr="00090AC5">
        <w:t xml:space="preserve"> provides more detail for tw</w:t>
      </w:r>
      <w:r w:rsidR="00532B54">
        <w:t>o domains (gaining independence and relationships with family and friends), showing trends over time in the Scheme for different duration cohorts (participants who have been in the Scheme for approximately five, four, three or two years at 30 June 2022).</w:t>
      </w:r>
    </w:p>
    <w:p w14:paraId="2335F350" w14:textId="77777777" w:rsidR="00532B54" w:rsidRPr="0088770F" w:rsidRDefault="00532B54" w:rsidP="00DE6BFC">
      <w:pPr>
        <w:pStyle w:val="Figures"/>
      </w:pPr>
      <w:bookmarkStart w:id="296" w:name="_Ref113285412"/>
      <w:bookmarkStart w:id="297" w:name="_Ref111720311"/>
      <w:r w:rsidRPr="004C4037">
        <w:t xml:space="preserve">Figure </w:t>
      </w:r>
      <w:fldSimple w:instr=" STYLEREF 2 \s ">
        <w:r w:rsidR="00447AA1">
          <w:rPr>
            <w:noProof/>
          </w:rPr>
          <w:t>7</w:t>
        </w:r>
      </w:fldSimple>
      <w:r w:rsidR="00447AA1">
        <w:t>.</w:t>
      </w:r>
      <w:fldSimple w:instr=" SEQ Figure \* ARABIC \s 2 ">
        <w:r w:rsidR="00447AA1">
          <w:rPr>
            <w:noProof/>
          </w:rPr>
          <w:t>7</w:t>
        </w:r>
      </w:fldSimple>
      <w:bookmarkEnd w:id="296"/>
      <w:bookmarkEnd w:id="297"/>
      <w:r w:rsidRPr="004C4037">
        <w:t>:</w:t>
      </w:r>
      <w:r w:rsidRPr="0088770F">
        <w:t xml:space="preserve"> Percentage </w:t>
      </w:r>
      <w:r>
        <w:t>who think the NDIS has helped</w:t>
      </w:r>
      <w:r w:rsidRPr="0088770F">
        <w:t xml:space="preserve"> – longitudinal trends for participants in the Scheme for two to five years</w:t>
      </w:r>
      <w:r>
        <w:t>, age starting school to 14</w:t>
      </w:r>
    </w:p>
    <w:p w14:paraId="67C410F0" w14:textId="77777777" w:rsidR="00532B54" w:rsidRDefault="00532B54" w:rsidP="00532B54">
      <w:pPr>
        <w:ind w:right="-472"/>
      </w:pPr>
      <w:r w:rsidRPr="00AA759C">
        <w:rPr>
          <w:noProof/>
          <w:lang w:eastAsia="en-AU"/>
        </w:rPr>
        <w:drawing>
          <wp:inline distT="0" distB="0" distL="0" distR="0" wp14:anchorId="2448B648" wp14:editId="1485A5E6">
            <wp:extent cx="6018503" cy="2605088"/>
            <wp:effectExtent l="0" t="0" r="1905" b="0"/>
            <wp:docPr id="239" name="Picture 239" descr="Two line charts are shown. The horizontal (x) axis shows each review time point (for example, R1 to R5 for participants in the Scheme for 5 years; R1 and R2 for participants in the Scheme for 2 years). The vertical (y) axis shows the percentage who think the NDIS has helped improve their child’s independence and the percentage who think the NDIS has helped improve relationship with friends and family on each chart respectively.&#10;Each chart shows 4 lines, representing the amount of time the participant has spent in scheme from five to two years. These lines plot the percentage of participants who think the NDIS has helped improve their child’s independence and relationship with friends and family across their time in the scheme.&#10;All of the lines show a generally increasing trend." title="Figure 7.7: Percentage who think the NDIS has helped – longitudinal trends for participants in the Scheme for two to five years, age starting school to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020844" cy="2606101"/>
                    </a:xfrm>
                    <a:prstGeom prst="rect">
                      <a:avLst/>
                    </a:prstGeom>
                    <a:noFill/>
                    <a:ln>
                      <a:noFill/>
                    </a:ln>
                  </pic:spPr>
                </pic:pic>
              </a:graphicData>
            </a:graphic>
          </wp:inline>
        </w:drawing>
      </w:r>
    </w:p>
    <w:p w14:paraId="67CAAEF6" w14:textId="77777777" w:rsidR="00532B54" w:rsidRPr="00090AC5" w:rsidRDefault="00DE6BFC" w:rsidP="00532B54">
      <w:r w:rsidRPr="00DE6BFC">
        <w:t xml:space="preserve">Figure </w:t>
      </w:r>
      <w:r w:rsidRPr="00DE6BFC">
        <w:rPr>
          <w:noProof/>
        </w:rPr>
        <w:t>7</w:t>
      </w:r>
      <w:r w:rsidRPr="00DE6BFC">
        <w:t>.</w:t>
      </w:r>
      <w:r w:rsidRPr="00DE6BFC">
        <w:rPr>
          <w:noProof/>
        </w:rPr>
        <w:t>7</w:t>
      </w:r>
      <w:r w:rsidR="00532B54" w:rsidRPr="00090AC5">
        <w:t xml:space="preserve"> shows a consistent increasing trend for these two indicators over time in the Scheme. Participants entering more recently show higher levels of satisfaction than those entering earlier.</w:t>
      </w:r>
    </w:p>
    <w:p w14:paraId="65A70329" w14:textId="77777777" w:rsidR="00532B54" w:rsidRDefault="00532B54" w:rsidP="00532B54">
      <w:r w:rsidRPr="00090AC5">
        <w:t>For young</w:t>
      </w:r>
      <w:r>
        <w:t xml:space="preserve"> adults aged 15 </w:t>
      </w:r>
      <w:r w:rsidRPr="006514A2">
        <w:t xml:space="preserve">to 24 years, </w:t>
      </w:r>
      <w:r w:rsidR="00260852" w:rsidRPr="00C53CDC">
        <w:t xml:space="preserve">Table </w:t>
      </w:r>
      <w:r w:rsidR="00260852" w:rsidRPr="00C53CDC">
        <w:rPr>
          <w:noProof/>
        </w:rPr>
        <w:t>7.3</w:t>
      </w:r>
      <w:r w:rsidRPr="006514A2">
        <w:t xml:space="preserve"> shows the percentages responding positively at first review and</w:t>
      </w:r>
      <w:r>
        <w:t xml:space="preserve"> at latest review, as well as the change between the two time points.</w:t>
      </w:r>
    </w:p>
    <w:p w14:paraId="53311608" w14:textId="77777777" w:rsidR="00532B54" w:rsidRDefault="00532B54" w:rsidP="00532B54"/>
    <w:p w14:paraId="1D271E74" w14:textId="77777777" w:rsidR="00532B54" w:rsidRDefault="00532B54" w:rsidP="00532B54">
      <w:pPr>
        <w:spacing w:after="160" w:line="259" w:lineRule="auto"/>
        <w:rPr>
          <w:b/>
        </w:rPr>
      </w:pPr>
      <w:r>
        <w:rPr>
          <w:b/>
        </w:rPr>
        <w:br w:type="page"/>
      </w:r>
    </w:p>
    <w:p w14:paraId="00C8110D" w14:textId="77777777" w:rsidR="00532B54" w:rsidRDefault="00532B54" w:rsidP="00DE6BFC">
      <w:pPr>
        <w:pStyle w:val="Tables"/>
      </w:pPr>
      <w:bookmarkStart w:id="298" w:name="_Ref111720840"/>
      <w:r w:rsidRPr="00E42CDE">
        <w:lastRenderedPageBreak/>
        <w:t xml:space="preserve">Table </w:t>
      </w:r>
      <w:fldSimple w:instr=" STYLEREF 2 \s ">
        <w:r w:rsidR="00A87896">
          <w:rPr>
            <w:noProof/>
          </w:rPr>
          <w:t>7</w:t>
        </w:r>
      </w:fldSimple>
      <w:r w:rsidR="00A87896">
        <w:t>.</w:t>
      </w:r>
      <w:fldSimple w:instr=" SEQ Table \* ARABIC \s 2 ">
        <w:r w:rsidR="00A87896">
          <w:rPr>
            <w:noProof/>
          </w:rPr>
          <w:t>3</w:t>
        </w:r>
      </w:fldSimple>
      <w:bookmarkEnd w:id="298"/>
      <w:r w:rsidRPr="00E42CDE">
        <w:t xml:space="preserve">: </w:t>
      </w:r>
      <w:r>
        <w:t>“Has the NDIS helped?” – participants aged 15 to 24</w:t>
      </w:r>
    </w:p>
    <w:tbl>
      <w:tblPr>
        <w:tblStyle w:val="GridTable2"/>
        <w:tblW w:w="8931"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3828"/>
        <w:gridCol w:w="1559"/>
        <w:gridCol w:w="1701"/>
        <w:gridCol w:w="1843"/>
      </w:tblGrid>
      <w:tr w:rsidR="00532B54" w:rsidRPr="00295FBC" w14:paraId="18232BBD" w14:textId="77777777" w:rsidTr="006C297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828" w:type="dxa"/>
            <w:tcBorders>
              <w:top w:val="none" w:sz="0" w:space="0" w:color="auto"/>
              <w:bottom w:val="none" w:sz="0" w:space="0" w:color="auto"/>
              <w:right w:val="none" w:sz="0" w:space="0" w:color="auto"/>
            </w:tcBorders>
            <w:shd w:val="clear" w:color="auto" w:fill="6B2976"/>
            <w:vAlign w:val="center"/>
          </w:tcPr>
          <w:p w14:paraId="1642C916" w14:textId="77777777" w:rsidR="00532B54" w:rsidRPr="00DA3F73" w:rsidRDefault="00532B54" w:rsidP="004C434C">
            <w:pPr>
              <w:spacing w:after="0"/>
              <w:rPr>
                <w:color w:val="FFFFFF"/>
                <w:sz w:val="18"/>
                <w:szCs w:val="18"/>
              </w:rPr>
            </w:pPr>
            <w:r w:rsidRPr="00DA3F73">
              <w:rPr>
                <w:color w:val="FFFFFF"/>
                <w:sz w:val="18"/>
                <w:szCs w:val="18"/>
              </w:rPr>
              <w:t>Domain</w:t>
            </w:r>
          </w:p>
        </w:tc>
        <w:tc>
          <w:tcPr>
            <w:tcW w:w="1559" w:type="dxa"/>
            <w:tcBorders>
              <w:top w:val="none" w:sz="0" w:space="0" w:color="auto"/>
              <w:left w:val="none" w:sz="0" w:space="0" w:color="auto"/>
              <w:bottom w:val="none" w:sz="0" w:space="0" w:color="auto"/>
              <w:right w:val="none" w:sz="0" w:space="0" w:color="auto"/>
            </w:tcBorders>
            <w:shd w:val="clear" w:color="auto" w:fill="6B2976"/>
            <w:vAlign w:val="center"/>
          </w:tcPr>
          <w:p w14:paraId="1B290EA9" w14:textId="77777777" w:rsidR="00532B54" w:rsidRPr="00DA3F73" w:rsidRDefault="00532B54" w:rsidP="004C434C">
            <w:pPr>
              <w:spacing w:after="0"/>
              <w:jc w:val="right"/>
              <w:cnfStyle w:val="100000000000" w:firstRow="1" w:lastRow="0" w:firstColumn="0" w:lastColumn="0" w:oddVBand="0" w:evenVBand="0" w:oddHBand="0" w:evenHBand="0" w:firstRowFirstColumn="0" w:firstRowLastColumn="0" w:lastRowFirstColumn="0" w:lastRowLastColumn="0"/>
              <w:rPr>
                <w:color w:val="FFFFFF"/>
                <w:sz w:val="18"/>
                <w:szCs w:val="18"/>
              </w:rPr>
            </w:pPr>
            <w:r w:rsidRPr="00DA3F73">
              <w:rPr>
                <w:color w:val="FFFFFF"/>
                <w:sz w:val="18"/>
                <w:szCs w:val="18"/>
              </w:rPr>
              <w:t>First review %</w:t>
            </w:r>
          </w:p>
        </w:tc>
        <w:tc>
          <w:tcPr>
            <w:tcW w:w="1701" w:type="dxa"/>
            <w:tcBorders>
              <w:top w:val="none" w:sz="0" w:space="0" w:color="auto"/>
              <w:left w:val="none" w:sz="0" w:space="0" w:color="auto"/>
              <w:bottom w:val="none" w:sz="0" w:space="0" w:color="auto"/>
              <w:right w:val="none" w:sz="0" w:space="0" w:color="auto"/>
            </w:tcBorders>
            <w:shd w:val="clear" w:color="auto" w:fill="6B2976"/>
            <w:vAlign w:val="center"/>
          </w:tcPr>
          <w:p w14:paraId="11243B2F" w14:textId="77777777" w:rsidR="00532B54" w:rsidRPr="00DA3F73" w:rsidRDefault="00532B54" w:rsidP="004C434C">
            <w:pPr>
              <w:spacing w:after="0"/>
              <w:jc w:val="right"/>
              <w:cnfStyle w:val="100000000000" w:firstRow="1" w:lastRow="0" w:firstColumn="0" w:lastColumn="0" w:oddVBand="0" w:evenVBand="0" w:oddHBand="0" w:evenHBand="0" w:firstRowFirstColumn="0" w:firstRowLastColumn="0" w:lastRowFirstColumn="0" w:lastRowLastColumn="0"/>
              <w:rPr>
                <w:color w:val="FFFFFF"/>
                <w:sz w:val="18"/>
                <w:szCs w:val="18"/>
              </w:rPr>
            </w:pPr>
            <w:r w:rsidRPr="00DA3F73">
              <w:rPr>
                <w:color w:val="FFFFFF"/>
                <w:sz w:val="18"/>
                <w:szCs w:val="18"/>
              </w:rPr>
              <w:t>Latest Review %</w:t>
            </w:r>
          </w:p>
        </w:tc>
        <w:tc>
          <w:tcPr>
            <w:tcW w:w="1843" w:type="dxa"/>
            <w:tcBorders>
              <w:top w:val="none" w:sz="0" w:space="0" w:color="auto"/>
              <w:left w:val="none" w:sz="0" w:space="0" w:color="auto"/>
              <w:bottom w:val="none" w:sz="0" w:space="0" w:color="auto"/>
            </w:tcBorders>
            <w:shd w:val="clear" w:color="auto" w:fill="6B2976"/>
            <w:vAlign w:val="center"/>
          </w:tcPr>
          <w:p w14:paraId="35FF245F" w14:textId="77777777" w:rsidR="00532B54" w:rsidRPr="00DA3F73" w:rsidRDefault="00532B54" w:rsidP="004C434C">
            <w:pPr>
              <w:spacing w:after="0"/>
              <w:jc w:val="right"/>
              <w:cnfStyle w:val="100000000000" w:firstRow="1" w:lastRow="0" w:firstColumn="0" w:lastColumn="0" w:oddVBand="0" w:evenVBand="0" w:oddHBand="0" w:evenHBand="0" w:firstRowFirstColumn="0" w:firstRowLastColumn="0" w:lastRowFirstColumn="0" w:lastRowLastColumn="0"/>
              <w:rPr>
                <w:color w:val="FFFFFF"/>
                <w:sz w:val="18"/>
                <w:szCs w:val="18"/>
              </w:rPr>
            </w:pPr>
            <w:r w:rsidRPr="00DA3F73">
              <w:rPr>
                <w:color w:val="FFFFFF"/>
                <w:sz w:val="18"/>
                <w:szCs w:val="18"/>
              </w:rPr>
              <w:t xml:space="preserve">Percentage point change </w:t>
            </w:r>
          </w:p>
        </w:tc>
      </w:tr>
      <w:tr w:rsidR="00532B54" w:rsidRPr="00295FBC" w14:paraId="6443AC68" w14:textId="77777777" w:rsidTr="006C297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1851BDF1" w14:textId="77777777" w:rsidR="00532B54" w:rsidRPr="00C90195" w:rsidRDefault="00532B54" w:rsidP="004C434C">
            <w:pPr>
              <w:spacing w:after="0"/>
              <w:rPr>
                <w:b w:val="0"/>
                <w:sz w:val="18"/>
                <w:szCs w:val="18"/>
              </w:rPr>
            </w:pPr>
            <w:r w:rsidRPr="00C90195">
              <w:rPr>
                <w:b w:val="0"/>
                <w:sz w:val="18"/>
                <w:szCs w:val="18"/>
              </w:rPr>
              <w:t>Choice and control</w:t>
            </w:r>
          </w:p>
        </w:tc>
        <w:tc>
          <w:tcPr>
            <w:tcW w:w="1559" w:type="dxa"/>
            <w:vAlign w:val="center"/>
          </w:tcPr>
          <w:p w14:paraId="12F07695"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61</w:t>
            </w:r>
          </w:p>
        </w:tc>
        <w:tc>
          <w:tcPr>
            <w:tcW w:w="1701" w:type="dxa"/>
            <w:vAlign w:val="center"/>
          </w:tcPr>
          <w:p w14:paraId="2E01F62A"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70</w:t>
            </w:r>
          </w:p>
        </w:tc>
        <w:tc>
          <w:tcPr>
            <w:tcW w:w="1843" w:type="dxa"/>
            <w:vAlign w:val="center"/>
          </w:tcPr>
          <w:p w14:paraId="1C4D8067"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+9</w:t>
            </w:r>
          </w:p>
        </w:tc>
      </w:tr>
      <w:tr w:rsidR="00532B54" w:rsidRPr="00295FBC" w14:paraId="22FB2021" w14:textId="77777777" w:rsidTr="006C2975">
        <w:trPr>
          <w:trHeight w:val="301"/>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133A0C71" w14:textId="77777777" w:rsidR="00532B54" w:rsidRPr="00C90195" w:rsidRDefault="00532B54" w:rsidP="004C434C">
            <w:pPr>
              <w:spacing w:after="0"/>
              <w:rPr>
                <w:b w:val="0"/>
                <w:sz w:val="18"/>
                <w:szCs w:val="18"/>
              </w:rPr>
            </w:pPr>
            <w:r w:rsidRPr="00C90195">
              <w:rPr>
                <w:b w:val="0"/>
                <w:sz w:val="18"/>
                <w:szCs w:val="18"/>
              </w:rPr>
              <w:t>Daily living</w:t>
            </w:r>
          </w:p>
        </w:tc>
        <w:tc>
          <w:tcPr>
            <w:tcW w:w="1559" w:type="dxa"/>
            <w:vAlign w:val="center"/>
          </w:tcPr>
          <w:p w14:paraId="34FC0BCA"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60</w:t>
            </w:r>
          </w:p>
        </w:tc>
        <w:tc>
          <w:tcPr>
            <w:tcW w:w="1701" w:type="dxa"/>
            <w:vAlign w:val="center"/>
          </w:tcPr>
          <w:p w14:paraId="445D1BD3"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72</w:t>
            </w:r>
          </w:p>
        </w:tc>
        <w:tc>
          <w:tcPr>
            <w:tcW w:w="1843" w:type="dxa"/>
            <w:vAlign w:val="center"/>
          </w:tcPr>
          <w:p w14:paraId="43014684"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+12</w:t>
            </w:r>
          </w:p>
        </w:tc>
      </w:tr>
      <w:tr w:rsidR="00532B54" w:rsidRPr="00295FBC" w14:paraId="0D71A18C" w14:textId="77777777" w:rsidTr="006C297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170C543A" w14:textId="77777777" w:rsidR="00532B54" w:rsidRPr="00C90195" w:rsidRDefault="00532B54" w:rsidP="004C434C">
            <w:pPr>
              <w:spacing w:after="0"/>
              <w:rPr>
                <w:b w:val="0"/>
                <w:sz w:val="18"/>
                <w:szCs w:val="18"/>
              </w:rPr>
            </w:pPr>
            <w:r w:rsidRPr="00C90195">
              <w:rPr>
                <w:b w:val="0"/>
                <w:sz w:val="18"/>
                <w:szCs w:val="18"/>
              </w:rPr>
              <w:t>Relationships</w:t>
            </w:r>
          </w:p>
        </w:tc>
        <w:tc>
          <w:tcPr>
            <w:tcW w:w="1559" w:type="dxa"/>
            <w:vAlign w:val="center"/>
          </w:tcPr>
          <w:p w14:paraId="4F07FE6D"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50</w:t>
            </w:r>
          </w:p>
        </w:tc>
        <w:tc>
          <w:tcPr>
            <w:tcW w:w="1701" w:type="dxa"/>
            <w:vAlign w:val="center"/>
          </w:tcPr>
          <w:p w14:paraId="00B86EC6"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55</w:t>
            </w:r>
          </w:p>
        </w:tc>
        <w:tc>
          <w:tcPr>
            <w:tcW w:w="1843" w:type="dxa"/>
            <w:vAlign w:val="center"/>
          </w:tcPr>
          <w:p w14:paraId="3E7E46DF"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+5</w:t>
            </w:r>
          </w:p>
        </w:tc>
      </w:tr>
      <w:tr w:rsidR="00532B54" w:rsidRPr="00295FBC" w14:paraId="5AFCF8F8" w14:textId="77777777" w:rsidTr="006C2975">
        <w:trPr>
          <w:trHeight w:val="301"/>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5B4F3034" w14:textId="77777777" w:rsidR="00532B54" w:rsidRPr="00C90195" w:rsidRDefault="00532B54" w:rsidP="004C434C">
            <w:pPr>
              <w:spacing w:after="0"/>
              <w:rPr>
                <w:b w:val="0"/>
                <w:sz w:val="18"/>
                <w:szCs w:val="18"/>
              </w:rPr>
            </w:pPr>
            <w:r w:rsidRPr="00C90195">
              <w:rPr>
                <w:b w:val="0"/>
                <w:sz w:val="18"/>
                <w:szCs w:val="18"/>
              </w:rPr>
              <w:t>Home</w:t>
            </w:r>
          </w:p>
        </w:tc>
        <w:tc>
          <w:tcPr>
            <w:tcW w:w="1559" w:type="dxa"/>
            <w:vAlign w:val="center"/>
          </w:tcPr>
          <w:p w14:paraId="07F92B83"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22</w:t>
            </w:r>
          </w:p>
        </w:tc>
        <w:tc>
          <w:tcPr>
            <w:tcW w:w="1701" w:type="dxa"/>
            <w:vAlign w:val="center"/>
          </w:tcPr>
          <w:p w14:paraId="7D06F449"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20</w:t>
            </w:r>
          </w:p>
        </w:tc>
        <w:tc>
          <w:tcPr>
            <w:tcW w:w="1843" w:type="dxa"/>
            <w:vAlign w:val="center"/>
          </w:tcPr>
          <w:p w14:paraId="0ED6A177"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-2</w:t>
            </w:r>
          </w:p>
        </w:tc>
      </w:tr>
      <w:tr w:rsidR="00532B54" w:rsidRPr="00295FBC" w14:paraId="2BE8BB7A" w14:textId="77777777" w:rsidTr="006C297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35E81869" w14:textId="77777777" w:rsidR="00532B54" w:rsidRPr="00C90195" w:rsidRDefault="00532B54" w:rsidP="004C434C">
            <w:pPr>
              <w:spacing w:after="0"/>
              <w:rPr>
                <w:b w:val="0"/>
                <w:sz w:val="18"/>
                <w:szCs w:val="18"/>
              </w:rPr>
            </w:pPr>
            <w:r w:rsidRPr="00C90195">
              <w:rPr>
                <w:b w:val="0"/>
                <w:sz w:val="18"/>
                <w:szCs w:val="18"/>
              </w:rPr>
              <w:t>Health and wellbeing</w:t>
            </w:r>
          </w:p>
        </w:tc>
        <w:tc>
          <w:tcPr>
            <w:tcW w:w="1559" w:type="dxa"/>
            <w:vAlign w:val="center"/>
          </w:tcPr>
          <w:p w14:paraId="23FD5794"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43</w:t>
            </w:r>
          </w:p>
        </w:tc>
        <w:tc>
          <w:tcPr>
            <w:tcW w:w="1701" w:type="dxa"/>
            <w:vAlign w:val="center"/>
          </w:tcPr>
          <w:p w14:paraId="49157DAA"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50</w:t>
            </w:r>
          </w:p>
        </w:tc>
        <w:tc>
          <w:tcPr>
            <w:tcW w:w="1843" w:type="dxa"/>
            <w:vAlign w:val="center"/>
          </w:tcPr>
          <w:p w14:paraId="5882C5BD"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+7</w:t>
            </w:r>
          </w:p>
        </w:tc>
      </w:tr>
      <w:tr w:rsidR="00532B54" w:rsidRPr="00295FBC" w14:paraId="19345609" w14:textId="77777777" w:rsidTr="006C2975">
        <w:trPr>
          <w:trHeight w:val="301"/>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1A6D0CAB" w14:textId="77777777" w:rsidR="00532B54" w:rsidRPr="00C90195" w:rsidRDefault="00532B54" w:rsidP="004C434C">
            <w:pPr>
              <w:spacing w:after="0"/>
              <w:rPr>
                <w:b w:val="0"/>
                <w:sz w:val="18"/>
                <w:szCs w:val="18"/>
              </w:rPr>
            </w:pPr>
            <w:r w:rsidRPr="00C90195">
              <w:rPr>
                <w:b w:val="0"/>
                <w:sz w:val="18"/>
                <w:szCs w:val="18"/>
              </w:rPr>
              <w:t>Lifelong learning</w:t>
            </w:r>
          </w:p>
        </w:tc>
        <w:tc>
          <w:tcPr>
            <w:tcW w:w="1559" w:type="dxa"/>
            <w:vAlign w:val="center"/>
          </w:tcPr>
          <w:p w14:paraId="648BAB53"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36</w:t>
            </w:r>
          </w:p>
        </w:tc>
        <w:tc>
          <w:tcPr>
            <w:tcW w:w="1701" w:type="dxa"/>
            <w:vAlign w:val="center"/>
          </w:tcPr>
          <w:p w14:paraId="5D3879A0"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37</w:t>
            </w:r>
          </w:p>
        </w:tc>
        <w:tc>
          <w:tcPr>
            <w:tcW w:w="1843" w:type="dxa"/>
            <w:vAlign w:val="center"/>
          </w:tcPr>
          <w:p w14:paraId="5A9ECD3C"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+1</w:t>
            </w:r>
          </w:p>
        </w:tc>
      </w:tr>
      <w:tr w:rsidR="00532B54" w:rsidRPr="00295FBC" w14:paraId="2C8F212C" w14:textId="77777777" w:rsidTr="006C297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07D54594" w14:textId="77777777" w:rsidR="00532B54" w:rsidRPr="00C90195" w:rsidRDefault="00532B54" w:rsidP="004C434C">
            <w:pPr>
              <w:spacing w:after="0"/>
              <w:rPr>
                <w:b w:val="0"/>
                <w:sz w:val="18"/>
                <w:szCs w:val="18"/>
              </w:rPr>
            </w:pPr>
            <w:r w:rsidRPr="00C90195">
              <w:rPr>
                <w:b w:val="0"/>
                <w:sz w:val="18"/>
                <w:szCs w:val="18"/>
              </w:rPr>
              <w:t>Work</w:t>
            </w:r>
          </w:p>
        </w:tc>
        <w:tc>
          <w:tcPr>
            <w:tcW w:w="1559" w:type="dxa"/>
            <w:vAlign w:val="center"/>
          </w:tcPr>
          <w:p w14:paraId="1BDAFBFC"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18</w:t>
            </w:r>
          </w:p>
        </w:tc>
        <w:tc>
          <w:tcPr>
            <w:tcW w:w="1701" w:type="dxa"/>
            <w:vAlign w:val="center"/>
          </w:tcPr>
          <w:p w14:paraId="3B01B562"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17</w:t>
            </w:r>
          </w:p>
        </w:tc>
        <w:tc>
          <w:tcPr>
            <w:tcW w:w="1843" w:type="dxa"/>
            <w:vAlign w:val="center"/>
          </w:tcPr>
          <w:p w14:paraId="4B984B57"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-1</w:t>
            </w:r>
          </w:p>
        </w:tc>
      </w:tr>
      <w:tr w:rsidR="00532B54" w:rsidRPr="00295FBC" w14:paraId="47DC1F22" w14:textId="77777777" w:rsidTr="006C2975">
        <w:trPr>
          <w:trHeight w:val="301"/>
        </w:trPr>
        <w:tc>
          <w:tcPr>
            <w:cnfStyle w:val="001000000000" w:firstRow="0" w:lastRow="0" w:firstColumn="1" w:lastColumn="0" w:oddVBand="0" w:evenVBand="0" w:oddHBand="0" w:evenHBand="0" w:firstRowFirstColumn="0" w:firstRowLastColumn="0" w:lastRowFirstColumn="0" w:lastRowLastColumn="0"/>
            <w:tcW w:w="3828" w:type="dxa"/>
            <w:tcBorders>
              <w:bottom w:val="single" w:sz="4" w:space="0" w:color="auto"/>
            </w:tcBorders>
            <w:vAlign w:val="center"/>
          </w:tcPr>
          <w:p w14:paraId="09F8634A" w14:textId="77777777" w:rsidR="00532B54" w:rsidRPr="00C90195" w:rsidRDefault="00532B54" w:rsidP="004C434C">
            <w:pPr>
              <w:spacing w:after="0"/>
              <w:rPr>
                <w:b w:val="0"/>
                <w:sz w:val="18"/>
                <w:szCs w:val="18"/>
              </w:rPr>
            </w:pPr>
            <w:r w:rsidRPr="00C90195">
              <w:rPr>
                <w:b w:val="0"/>
                <w:sz w:val="18"/>
                <w:szCs w:val="18"/>
              </w:rPr>
              <w:t>Social, community and civic participation</w:t>
            </w:r>
          </w:p>
        </w:tc>
        <w:tc>
          <w:tcPr>
            <w:tcW w:w="1559" w:type="dxa"/>
            <w:tcBorders>
              <w:bottom w:val="single" w:sz="4" w:space="0" w:color="auto"/>
            </w:tcBorders>
            <w:vAlign w:val="center"/>
          </w:tcPr>
          <w:p w14:paraId="1905BA3E"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55</w:t>
            </w:r>
          </w:p>
        </w:tc>
        <w:tc>
          <w:tcPr>
            <w:tcW w:w="1701" w:type="dxa"/>
            <w:tcBorders>
              <w:bottom w:val="single" w:sz="4" w:space="0" w:color="auto"/>
            </w:tcBorders>
            <w:vAlign w:val="center"/>
          </w:tcPr>
          <w:p w14:paraId="0BC6A462"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62</w:t>
            </w:r>
          </w:p>
        </w:tc>
        <w:tc>
          <w:tcPr>
            <w:tcW w:w="1843" w:type="dxa"/>
            <w:tcBorders>
              <w:bottom w:val="single" w:sz="4" w:space="0" w:color="auto"/>
            </w:tcBorders>
            <w:vAlign w:val="center"/>
          </w:tcPr>
          <w:p w14:paraId="5E9CFE7E"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+7</w:t>
            </w:r>
          </w:p>
        </w:tc>
      </w:tr>
    </w:tbl>
    <w:p w14:paraId="62A342C0" w14:textId="77777777" w:rsidR="00532B54" w:rsidRPr="006514A2" w:rsidRDefault="00532B54" w:rsidP="00DE6BFC">
      <w:pPr>
        <w:pStyle w:val="FSRnormal"/>
      </w:pPr>
      <w:r w:rsidRPr="006514A2">
        <w:t xml:space="preserve">From </w:t>
      </w:r>
      <w:r w:rsidR="00260852" w:rsidRPr="00C53CDC">
        <w:t xml:space="preserve">Table </w:t>
      </w:r>
      <w:r w:rsidR="00260852" w:rsidRPr="00C53CDC">
        <w:rPr>
          <w:noProof/>
        </w:rPr>
        <w:t>7.3</w:t>
      </w:r>
      <w:r w:rsidRPr="006514A2">
        <w:t>, the largest improvement over time in the Scheme has been observed for the daily living domain (+12 percentage points). Strong improvements have also been observed for choice and control (+9 percentage points), relationships (+5), health and wellbeing (+7) and social, community and civic participation (+7). Lifelong learning showed a marginal increase (+1), and there were slight declines for home and work.</w:t>
      </w:r>
      <w:r w:rsidRPr="006514A2">
        <w:rPr>
          <w:rStyle w:val="FootnoteReference"/>
        </w:rPr>
        <w:footnoteReference w:id="135"/>
      </w:r>
      <w:r w:rsidRPr="006514A2">
        <w:t xml:space="preserve"> </w:t>
      </w:r>
    </w:p>
    <w:p w14:paraId="2C44B311" w14:textId="77777777" w:rsidR="00532B54" w:rsidRDefault="00DE6BFC" w:rsidP="00DE6BFC">
      <w:pPr>
        <w:pStyle w:val="FSRnormal"/>
      </w:pPr>
      <w:r w:rsidRPr="00DE6BFC">
        <w:t xml:space="preserve">Figure </w:t>
      </w:r>
      <w:r w:rsidRPr="00DE6BFC">
        <w:rPr>
          <w:noProof/>
        </w:rPr>
        <w:t>7</w:t>
      </w:r>
      <w:r w:rsidRPr="00DE6BFC">
        <w:t>.</w:t>
      </w:r>
      <w:r w:rsidRPr="00DE6BFC">
        <w:rPr>
          <w:noProof/>
        </w:rPr>
        <w:t>8</w:t>
      </w:r>
      <w:r w:rsidR="00532B54" w:rsidRPr="006514A2">
        <w:t xml:space="preserve"> provides more detail for two domains (daily living and health and wellbeing), showing tre</w:t>
      </w:r>
      <w:r w:rsidR="00532B54">
        <w:t>nds over time in the Scheme for different duration cohorts (participants who have been in the Scheme for approximately five, four, three or two years at 30 June 2022).</w:t>
      </w:r>
    </w:p>
    <w:p w14:paraId="62965B8E" w14:textId="77777777" w:rsidR="00532B54" w:rsidRPr="0088770F" w:rsidRDefault="00532B54" w:rsidP="00FF084B">
      <w:pPr>
        <w:pStyle w:val="Figures"/>
      </w:pPr>
      <w:bookmarkStart w:id="299" w:name="_Ref113285157"/>
      <w:bookmarkStart w:id="300" w:name="_Ref111720349"/>
      <w:r w:rsidRPr="004C4037">
        <w:t xml:space="preserve">Figure </w:t>
      </w:r>
      <w:fldSimple w:instr=" STYLEREF 2 \s ">
        <w:r w:rsidR="00447AA1">
          <w:rPr>
            <w:noProof/>
          </w:rPr>
          <w:t>7</w:t>
        </w:r>
      </w:fldSimple>
      <w:r w:rsidR="00447AA1">
        <w:t>.</w:t>
      </w:r>
      <w:fldSimple w:instr=" SEQ Figure \* ARABIC \s 2 ">
        <w:r w:rsidR="00447AA1">
          <w:rPr>
            <w:noProof/>
          </w:rPr>
          <w:t>8</w:t>
        </w:r>
      </w:fldSimple>
      <w:bookmarkEnd w:id="299"/>
      <w:bookmarkEnd w:id="300"/>
      <w:r w:rsidRPr="004C4037">
        <w:t>:</w:t>
      </w:r>
      <w:r w:rsidRPr="0088770F">
        <w:t xml:space="preserve"> Percentage </w:t>
      </w:r>
      <w:r>
        <w:t>who think the NDIS has helped</w:t>
      </w:r>
      <w:r w:rsidRPr="0088770F">
        <w:t xml:space="preserve"> – longitudinal trends for participants in the Scheme for two to five years</w:t>
      </w:r>
      <w:r>
        <w:t>, age 15 to 24</w:t>
      </w:r>
    </w:p>
    <w:p w14:paraId="3D434242" w14:textId="77777777" w:rsidR="00532B54" w:rsidRDefault="00532B54" w:rsidP="00532B54">
      <w:pPr>
        <w:ind w:right="-613"/>
      </w:pPr>
      <w:r w:rsidRPr="002612B9">
        <w:rPr>
          <w:noProof/>
          <w:lang w:eastAsia="en-AU"/>
        </w:rPr>
        <w:drawing>
          <wp:inline distT="0" distB="0" distL="0" distR="0" wp14:anchorId="663A35CE" wp14:editId="622F0417">
            <wp:extent cx="6060558" cy="2374949"/>
            <wp:effectExtent l="0" t="0" r="0" b="6350"/>
            <wp:docPr id="241" name="Picture 241" descr="Two line charts are shown. The horizontal (x) axis shows each review time point (for example, R1 to R5 for participants in the Scheme for 5 years; R1 and R2 for participants in the Scheme for 2 years). The vertical (y) axis shows the percentage of participants who think the NDIS has helped improve their daily living activities and the percentage of participants who think the NDIS has helped improve health and wellbeing on each chart respectively.&#10;Each chart shows 4 lines, representing the amount of time the participant has spent in scheme from five to two years. These lines plot the percentage of participants who think the NDIS has helped improve their daily living activities and health and wellbeing across their time in the scheme.&#10;All of the lines show an increasing trend and are clustered close together." title="Figure 7.8: Percentage who think the NDIS has helped – longitudinal trends for participants in the Scheme for two to five years, age 15 to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074303" cy="2380335"/>
                    </a:xfrm>
                    <a:prstGeom prst="rect">
                      <a:avLst/>
                    </a:prstGeom>
                    <a:noFill/>
                    <a:ln>
                      <a:noFill/>
                    </a:ln>
                  </pic:spPr>
                </pic:pic>
              </a:graphicData>
            </a:graphic>
          </wp:inline>
        </w:drawing>
      </w:r>
    </w:p>
    <w:p w14:paraId="5851B87D" w14:textId="77777777" w:rsidR="00532B54" w:rsidRPr="00090AC5" w:rsidRDefault="00FF084B" w:rsidP="00FF084B">
      <w:pPr>
        <w:pStyle w:val="FSRnormal"/>
      </w:pPr>
      <w:r w:rsidRPr="00FF084B">
        <w:t xml:space="preserve">Figure </w:t>
      </w:r>
      <w:r w:rsidRPr="00FF084B">
        <w:rPr>
          <w:noProof/>
        </w:rPr>
        <w:t>7</w:t>
      </w:r>
      <w:r w:rsidRPr="00FF084B">
        <w:t>.</w:t>
      </w:r>
      <w:r w:rsidRPr="00FF084B">
        <w:rPr>
          <w:noProof/>
        </w:rPr>
        <w:t>8</w:t>
      </w:r>
      <w:r w:rsidR="00532B54" w:rsidRPr="00090AC5">
        <w:t xml:space="preserve"> shows that improvements continue to occur for these two domains, even after five years in the Scheme.</w:t>
      </w:r>
    </w:p>
    <w:p w14:paraId="521F7D6F" w14:textId="77777777" w:rsidR="00532B54" w:rsidRDefault="00532B54" w:rsidP="00FF084B">
      <w:pPr>
        <w:pStyle w:val="FSRnormal"/>
      </w:pPr>
      <w:r w:rsidRPr="00090AC5">
        <w:t xml:space="preserve">For participants aged 25 years and over, perceptions tend to be more positive than for those aged 15 to 24, and the older adult group also shows a stronger improvement over time. </w:t>
      </w:r>
      <w:r w:rsidR="00260852" w:rsidRPr="00C53CDC">
        <w:lastRenderedPageBreak/>
        <w:t xml:space="preserve">Table </w:t>
      </w:r>
      <w:r w:rsidR="00260852" w:rsidRPr="00C53CDC">
        <w:rPr>
          <w:noProof/>
        </w:rPr>
        <w:t>7.4</w:t>
      </w:r>
      <w:r w:rsidRPr="00090AC5">
        <w:t xml:space="preserve"> sho</w:t>
      </w:r>
      <w:r>
        <w:t>ws the percentages responding positively at first review and at latest review, as well as the change between the two time points.</w:t>
      </w:r>
    </w:p>
    <w:p w14:paraId="1D1BE5FD" w14:textId="77777777" w:rsidR="00532B54" w:rsidRDefault="00532B54" w:rsidP="00FF084B">
      <w:pPr>
        <w:pStyle w:val="Tables"/>
      </w:pPr>
      <w:bookmarkStart w:id="301" w:name="_Ref111720859"/>
      <w:r w:rsidRPr="00E42CDE">
        <w:t xml:space="preserve">Table </w:t>
      </w:r>
      <w:fldSimple w:instr=" STYLEREF 2 \s ">
        <w:r w:rsidR="00A87896">
          <w:rPr>
            <w:noProof/>
          </w:rPr>
          <w:t>7</w:t>
        </w:r>
      </w:fldSimple>
      <w:r w:rsidR="00A87896">
        <w:t>.</w:t>
      </w:r>
      <w:fldSimple w:instr=" SEQ Table \* ARABIC \s 2 ">
        <w:r w:rsidR="00A87896">
          <w:rPr>
            <w:noProof/>
          </w:rPr>
          <w:t>4</w:t>
        </w:r>
      </w:fldSimple>
      <w:bookmarkEnd w:id="301"/>
      <w:r w:rsidRPr="00E42CDE">
        <w:t xml:space="preserve">: </w:t>
      </w:r>
      <w:r>
        <w:t>“Has the NDIS helped?” – participants aged 25 and over</w:t>
      </w:r>
    </w:p>
    <w:tbl>
      <w:tblPr>
        <w:tblStyle w:val="GridTable2"/>
        <w:tblW w:w="0" w:type="auto"/>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3828"/>
        <w:gridCol w:w="1559"/>
        <w:gridCol w:w="1843"/>
        <w:gridCol w:w="1786"/>
      </w:tblGrid>
      <w:tr w:rsidR="00532B54" w:rsidRPr="00295FBC" w14:paraId="556AD4DB" w14:textId="77777777" w:rsidTr="006C297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828" w:type="dxa"/>
            <w:tcBorders>
              <w:top w:val="none" w:sz="0" w:space="0" w:color="auto"/>
              <w:bottom w:val="none" w:sz="0" w:space="0" w:color="auto"/>
              <w:right w:val="none" w:sz="0" w:space="0" w:color="auto"/>
            </w:tcBorders>
            <w:shd w:val="clear" w:color="auto" w:fill="6B2976"/>
            <w:vAlign w:val="center"/>
          </w:tcPr>
          <w:p w14:paraId="5252EC82" w14:textId="77777777" w:rsidR="00532B54" w:rsidRPr="00DA3F73" w:rsidRDefault="00532B54" w:rsidP="004C434C">
            <w:pPr>
              <w:spacing w:after="0"/>
              <w:rPr>
                <w:color w:val="FFFFFF"/>
                <w:sz w:val="18"/>
                <w:szCs w:val="18"/>
              </w:rPr>
            </w:pPr>
            <w:r w:rsidRPr="00DA3F73">
              <w:rPr>
                <w:color w:val="FFFFFF"/>
                <w:sz w:val="18"/>
                <w:szCs w:val="18"/>
              </w:rPr>
              <w:t>Domain</w:t>
            </w:r>
          </w:p>
        </w:tc>
        <w:tc>
          <w:tcPr>
            <w:tcW w:w="1559" w:type="dxa"/>
            <w:tcBorders>
              <w:top w:val="none" w:sz="0" w:space="0" w:color="auto"/>
              <w:left w:val="none" w:sz="0" w:space="0" w:color="auto"/>
              <w:bottom w:val="none" w:sz="0" w:space="0" w:color="auto"/>
              <w:right w:val="none" w:sz="0" w:space="0" w:color="auto"/>
            </w:tcBorders>
            <w:shd w:val="clear" w:color="auto" w:fill="6B2976"/>
            <w:vAlign w:val="center"/>
          </w:tcPr>
          <w:p w14:paraId="524809A6" w14:textId="77777777" w:rsidR="00532B54" w:rsidRPr="00DA3F73" w:rsidRDefault="00532B54" w:rsidP="004C434C">
            <w:pPr>
              <w:spacing w:after="0"/>
              <w:jc w:val="right"/>
              <w:cnfStyle w:val="100000000000" w:firstRow="1" w:lastRow="0" w:firstColumn="0" w:lastColumn="0" w:oddVBand="0" w:evenVBand="0" w:oddHBand="0" w:evenHBand="0" w:firstRowFirstColumn="0" w:firstRowLastColumn="0" w:lastRowFirstColumn="0" w:lastRowLastColumn="0"/>
              <w:rPr>
                <w:color w:val="FFFFFF"/>
                <w:sz w:val="18"/>
                <w:szCs w:val="18"/>
              </w:rPr>
            </w:pPr>
            <w:r w:rsidRPr="00DA3F73">
              <w:rPr>
                <w:color w:val="FFFFFF"/>
                <w:sz w:val="18"/>
                <w:szCs w:val="18"/>
              </w:rPr>
              <w:t>First review %</w:t>
            </w:r>
          </w:p>
        </w:tc>
        <w:tc>
          <w:tcPr>
            <w:tcW w:w="1843" w:type="dxa"/>
            <w:tcBorders>
              <w:top w:val="none" w:sz="0" w:space="0" w:color="auto"/>
              <w:left w:val="none" w:sz="0" w:space="0" w:color="auto"/>
              <w:bottom w:val="none" w:sz="0" w:space="0" w:color="auto"/>
              <w:right w:val="none" w:sz="0" w:space="0" w:color="auto"/>
            </w:tcBorders>
            <w:shd w:val="clear" w:color="auto" w:fill="6B2976"/>
            <w:vAlign w:val="center"/>
          </w:tcPr>
          <w:p w14:paraId="30A6F7A7" w14:textId="77777777" w:rsidR="00532B54" w:rsidRPr="00DA3F73" w:rsidRDefault="00532B54" w:rsidP="004C434C">
            <w:pPr>
              <w:spacing w:after="0"/>
              <w:jc w:val="right"/>
              <w:cnfStyle w:val="100000000000" w:firstRow="1" w:lastRow="0" w:firstColumn="0" w:lastColumn="0" w:oddVBand="0" w:evenVBand="0" w:oddHBand="0" w:evenHBand="0" w:firstRowFirstColumn="0" w:firstRowLastColumn="0" w:lastRowFirstColumn="0" w:lastRowLastColumn="0"/>
              <w:rPr>
                <w:color w:val="FFFFFF"/>
                <w:sz w:val="18"/>
                <w:szCs w:val="18"/>
              </w:rPr>
            </w:pPr>
            <w:r w:rsidRPr="00DA3F73">
              <w:rPr>
                <w:color w:val="FFFFFF"/>
                <w:sz w:val="18"/>
                <w:szCs w:val="18"/>
              </w:rPr>
              <w:t>Latest Review %</w:t>
            </w:r>
          </w:p>
        </w:tc>
        <w:tc>
          <w:tcPr>
            <w:tcW w:w="1786" w:type="dxa"/>
            <w:tcBorders>
              <w:top w:val="none" w:sz="0" w:space="0" w:color="auto"/>
              <w:left w:val="none" w:sz="0" w:space="0" w:color="auto"/>
              <w:bottom w:val="none" w:sz="0" w:space="0" w:color="auto"/>
            </w:tcBorders>
            <w:shd w:val="clear" w:color="auto" w:fill="6B2976"/>
            <w:vAlign w:val="center"/>
          </w:tcPr>
          <w:p w14:paraId="10778D0D" w14:textId="77777777" w:rsidR="00532B54" w:rsidRPr="00DA3F73" w:rsidRDefault="00532B54" w:rsidP="004C434C">
            <w:pPr>
              <w:spacing w:after="0"/>
              <w:jc w:val="right"/>
              <w:cnfStyle w:val="100000000000" w:firstRow="1" w:lastRow="0" w:firstColumn="0" w:lastColumn="0" w:oddVBand="0" w:evenVBand="0" w:oddHBand="0" w:evenHBand="0" w:firstRowFirstColumn="0" w:firstRowLastColumn="0" w:lastRowFirstColumn="0" w:lastRowLastColumn="0"/>
              <w:rPr>
                <w:color w:val="FFFFFF"/>
                <w:sz w:val="18"/>
                <w:szCs w:val="18"/>
              </w:rPr>
            </w:pPr>
            <w:r w:rsidRPr="00DA3F73">
              <w:rPr>
                <w:color w:val="FFFFFF"/>
                <w:sz w:val="18"/>
                <w:szCs w:val="18"/>
              </w:rPr>
              <w:t xml:space="preserve">Percentage point change </w:t>
            </w:r>
          </w:p>
        </w:tc>
      </w:tr>
      <w:tr w:rsidR="00532B54" w:rsidRPr="00295FBC" w14:paraId="7C066405" w14:textId="77777777" w:rsidTr="006C297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7E74CB0B" w14:textId="77777777" w:rsidR="00532B54" w:rsidRPr="00C90195" w:rsidRDefault="00532B54" w:rsidP="004C434C">
            <w:pPr>
              <w:spacing w:after="0"/>
              <w:rPr>
                <w:b w:val="0"/>
                <w:sz w:val="18"/>
                <w:szCs w:val="18"/>
              </w:rPr>
            </w:pPr>
            <w:r w:rsidRPr="00C90195">
              <w:rPr>
                <w:b w:val="0"/>
                <w:sz w:val="18"/>
                <w:szCs w:val="18"/>
              </w:rPr>
              <w:t>Choice and control</w:t>
            </w:r>
          </w:p>
        </w:tc>
        <w:tc>
          <w:tcPr>
            <w:tcW w:w="1559" w:type="dxa"/>
            <w:vAlign w:val="center"/>
          </w:tcPr>
          <w:p w14:paraId="619E5E01"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68</w:t>
            </w:r>
          </w:p>
        </w:tc>
        <w:tc>
          <w:tcPr>
            <w:tcW w:w="1843" w:type="dxa"/>
            <w:vAlign w:val="center"/>
          </w:tcPr>
          <w:p w14:paraId="138933B1"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79</w:t>
            </w:r>
          </w:p>
        </w:tc>
        <w:tc>
          <w:tcPr>
            <w:tcW w:w="1786" w:type="dxa"/>
            <w:vAlign w:val="center"/>
          </w:tcPr>
          <w:p w14:paraId="1190D349"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+11</w:t>
            </w:r>
          </w:p>
        </w:tc>
      </w:tr>
      <w:tr w:rsidR="00532B54" w:rsidRPr="00295FBC" w14:paraId="7BFFF1D4" w14:textId="77777777" w:rsidTr="006C2975">
        <w:trPr>
          <w:trHeight w:val="301"/>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1C37FF1E" w14:textId="77777777" w:rsidR="00532B54" w:rsidRPr="00C90195" w:rsidRDefault="00532B54" w:rsidP="004C434C">
            <w:pPr>
              <w:spacing w:after="0"/>
              <w:rPr>
                <w:b w:val="0"/>
                <w:sz w:val="18"/>
                <w:szCs w:val="18"/>
              </w:rPr>
            </w:pPr>
            <w:r w:rsidRPr="00C90195">
              <w:rPr>
                <w:b w:val="0"/>
                <w:sz w:val="18"/>
                <w:szCs w:val="18"/>
              </w:rPr>
              <w:t>Daily living</w:t>
            </w:r>
          </w:p>
        </w:tc>
        <w:tc>
          <w:tcPr>
            <w:tcW w:w="1559" w:type="dxa"/>
            <w:vAlign w:val="center"/>
          </w:tcPr>
          <w:p w14:paraId="2B42D992"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72</w:t>
            </w:r>
          </w:p>
        </w:tc>
        <w:tc>
          <w:tcPr>
            <w:tcW w:w="1843" w:type="dxa"/>
            <w:vAlign w:val="center"/>
          </w:tcPr>
          <w:p w14:paraId="3EA18E4E"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83</w:t>
            </w:r>
          </w:p>
        </w:tc>
        <w:tc>
          <w:tcPr>
            <w:tcW w:w="1786" w:type="dxa"/>
            <w:vAlign w:val="center"/>
          </w:tcPr>
          <w:p w14:paraId="56DD1F20"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+11</w:t>
            </w:r>
          </w:p>
        </w:tc>
      </w:tr>
      <w:tr w:rsidR="00532B54" w:rsidRPr="00295FBC" w14:paraId="2D1A8AC2" w14:textId="77777777" w:rsidTr="006C297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24ED3EBD" w14:textId="77777777" w:rsidR="00532B54" w:rsidRPr="00C90195" w:rsidRDefault="00532B54" w:rsidP="004C434C">
            <w:pPr>
              <w:spacing w:after="0"/>
              <w:rPr>
                <w:b w:val="0"/>
                <w:sz w:val="18"/>
                <w:szCs w:val="18"/>
              </w:rPr>
            </w:pPr>
            <w:r w:rsidRPr="00C90195">
              <w:rPr>
                <w:b w:val="0"/>
                <w:sz w:val="18"/>
                <w:szCs w:val="18"/>
              </w:rPr>
              <w:t>Relationships</w:t>
            </w:r>
          </w:p>
        </w:tc>
        <w:tc>
          <w:tcPr>
            <w:tcW w:w="1559" w:type="dxa"/>
            <w:vAlign w:val="center"/>
          </w:tcPr>
          <w:p w14:paraId="3C8CA1B7"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52</w:t>
            </w:r>
          </w:p>
        </w:tc>
        <w:tc>
          <w:tcPr>
            <w:tcW w:w="1843" w:type="dxa"/>
            <w:vAlign w:val="center"/>
          </w:tcPr>
          <w:p w14:paraId="7A24C723"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61</w:t>
            </w:r>
          </w:p>
        </w:tc>
        <w:tc>
          <w:tcPr>
            <w:tcW w:w="1786" w:type="dxa"/>
            <w:vAlign w:val="center"/>
          </w:tcPr>
          <w:p w14:paraId="6FF88BDD"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+9</w:t>
            </w:r>
          </w:p>
        </w:tc>
      </w:tr>
      <w:tr w:rsidR="00532B54" w:rsidRPr="00295FBC" w14:paraId="45610E7C" w14:textId="77777777" w:rsidTr="006C2975">
        <w:trPr>
          <w:trHeight w:val="301"/>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6E49F67C" w14:textId="77777777" w:rsidR="00532B54" w:rsidRPr="00C90195" w:rsidRDefault="00532B54" w:rsidP="004C434C">
            <w:pPr>
              <w:spacing w:after="0"/>
              <w:rPr>
                <w:b w:val="0"/>
                <w:sz w:val="18"/>
                <w:szCs w:val="18"/>
              </w:rPr>
            </w:pPr>
            <w:r w:rsidRPr="00C90195">
              <w:rPr>
                <w:b w:val="0"/>
                <w:sz w:val="18"/>
                <w:szCs w:val="18"/>
              </w:rPr>
              <w:t>Home</w:t>
            </w:r>
          </w:p>
        </w:tc>
        <w:tc>
          <w:tcPr>
            <w:tcW w:w="1559" w:type="dxa"/>
            <w:vAlign w:val="center"/>
          </w:tcPr>
          <w:p w14:paraId="2681F43A"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30</w:t>
            </w:r>
          </w:p>
        </w:tc>
        <w:tc>
          <w:tcPr>
            <w:tcW w:w="1843" w:type="dxa"/>
            <w:vAlign w:val="center"/>
          </w:tcPr>
          <w:p w14:paraId="62830E3D"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34</w:t>
            </w:r>
          </w:p>
        </w:tc>
        <w:tc>
          <w:tcPr>
            <w:tcW w:w="1786" w:type="dxa"/>
            <w:vAlign w:val="center"/>
          </w:tcPr>
          <w:p w14:paraId="58C62AB4"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+4</w:t>
            </w:r>
          </w:p>
        </w:tc>
      </w:tr>
      <w:tr w:rsidR="00532B54" w:rsidRPr="00295FBC" w14:paraId="58FA6B0B" w14:textId="77777777" w:rsidTr="006C297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377595BF" w14:textId="77777777" w:rsidR="00532B54" w:rsidRPr="00C90195" w:rsidRDefault="00532B54" w:rsidP="004C434C">
            <w:pPr>
              <w:spacing w:after="0"/>
              <w:rPr>
                <w:b w:val="0"/>
                <w:sz w:val="18"/>
                <w:szCs w:val="18"/>
              </w:rPr>
            </w:pPr>
            <w:r w:rsidRPr="00C90195">
              <w:rPr>
                <w:b w:val="0"/>
                <w:sz w:val="18"/>
                <w:szCs w:val="18"/>
              </w:rPr>
              <w:t>Health and wellbeing</w:t>
            </w:r>
          </w:p>
        </w:tc>
        <w:tc>
          <w:tcPr>
            <w:tcW w:w="1559" w:type="dxa"/>
            <w:vAlign w:val="center"/>
          </w:tcPr>
          <w:p w14:paraId="34FE8D0A"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51</w:t>
            </w:r>
          </w:p>
        </w:tc>
        <w:tc>
          <w:tcPr>
            <w:tcW w:w="1843" w:type="dxa"/>
            <w:vAlign w:val="center"/>
          </w:tcPr>
          <w:p w14:paraId="24758B81"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60</w:t>
            </w:r>
          </w:p>
        </w:tc>
        <w:tc>
          <w:tcPr>
            <w:tcW w:w="1786" w:type="dxa"/>
            <w:vAlign w:val="center"/>
          </w:tcPr>
          <w:p w14:paraId="4C75A9A8"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+9</w:t>
            </w:r>
          </w:p>
        </w:tc>
      </w:tr>
      <w:tr w:rsidR="00532B54" w:rsidRPr="00295FBC" w14:paraId="7896B67B" w14:textId="77777777" w:rsidTr="006C2975">
        <w:trPr>
          <w:trHeight w:val="301"/>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19E97D1C" w14:textId="77777777" w:rsidR="00532B54" w:rsidRPr="00C90195" w:rsidRDefault="00532B54" w:rsidP="004C434C">
            <w:pPr>
              <w:spacing w:after="0"/>
              <w:rPr>
                <w:b w:val="0"/>
                <w:sz w:val="18"/>
                <w:szCs w:val="18"/>
              </w:rPr>
            </w:pPr>
            <w:r w:rsidRPr="00C90195">
              <w:rPr>
                <w:b w:val="0"/>
                <w:sz w:val="18"/>
                <w:szCs w:val="18"/>
              </w:rPr>
              <w:t>Lifelong learning</w:t>
            </w:r>
          </w:p>
        </w:tc>
        <w:tc>
          <w:tcPr>
            <w:tcW w:w="1559" w:type="dxa"/>
            <w:vAlign w:val="center"/>
          </w:tcPr>
          <w:p w14:paraId="2D71552B"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30</w:t>
            </w:r>
          </w:p>
        </w:tc>
        <w:tc>
          <w:tcPr>
            <w:tcW w:w="1843" w:type="dxa"/>
            <w:vAlign w:val="center"/>
          </w:tcPr>
          <w:p w14:paraId="6FDD1CB9"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32</w:t>
            </w:r>
          </w:p>
        </w:tc>
        <w:tc>
          <w:tcPr>
            <w:tcW w:w="1786" w:type="dxa"/>
            <w:vAlign w:val="center"/>
          </w:tcPr>
          <w:p w14:paraId="10A3D7B3"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+2</w:t>
            </w:r>
          </w:p>
        </w:tc>
      </w:tr>
      <w:tr w:rsidR="00532B54" w:rsidRPr="00295FBC" w14:paraId="5C8A03A3" w14:textId="77777777" w:rsidTr="006C297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828" w:type="dxa"/>
            <w:vAlign w:val="center"/>
          </w:tcPr>
          <w:p w14:paraId="48E37F53" w14:textId="77777777" w:rsidR="00532B54" w:rsidRPr="00C90195" w:rsidRDefault="00532B54" w:rsidP="004C434C">
            <w:pPr>
              <w:spacing w:after="0"/>
              <w:rPr>
                <w:b w:val="0"/>
                <w:sz w:val="18"/>
                <w:szCs w:val="18"/>
              </w:rPr>
            </w:pPr>
            <w:r w:rsidRPr="00C90195">
              <w:rPr>
                <w:b w:val="0"/>
                <w:sz w:val="18"/>
                <w:szCs w:val="18"/>
              </w:rPr>
              <w:t>Work</w:t>
            </w:r>
          </w:p>
        </w:tc>
        <w:tc>
          <w:tcPr>
            <w:tcW w:w="1559" w:type="dxa"/>
            <w:vAlign w:val="center"/>
          </w:tcPr>
          <w:p w14:paraId="5A9869B1"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19</w:t>
            </w:r>
          </w:p>
        </w:tc>
        <w:tc>
          <w:tcPr>
            <w:tcW w:w="1843" w:type="dxa"/>
            <w:vAlign w:val="center"/>
          </w:tcPr>
          <w:p w14:paraId="241BA3A3"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19</w:t>
            </w:r>
          </w:p>
        </w:tc>
        <w:tc>
          <w:tcPr>
            <w:tcW w:w="1786" w:type="dxa"/>
            <w:vAlign w:val="center"/>
          </w:tcPr>
          <w:p w14:paraId="5361731D" w14:textId="77777777" w:rsidR="00532B54" w:rsidRPr="00DA3F73"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sz w:val="18"/>
                <w:szCs w:val="18"/>
              </w:rPr>
            </w:pPr>
            <w:r w:rsidRPr="00DA3F73">
              <w:rPr>
                <w:sz w:val="18"/>
                <w:szCs w:val="18"/>
              </w:rPr>
              <w:t>0</w:t>
            </w:r>
          </w:p>
        </w:tc>
      </w:tr>
      <w:tr w:rsidR="00532B54" w:rsidRPr="00295FBC" w14:paraId="7A34210F" w14:textId="77777777" w:rsidTr="006C2975">
        <w:trPr>
          <w:trHeight w:val="301"/>
        </w:trPr>
        <w:tc>
          <w:tcPr>
            <w:cnfStyle w:val="001000000000" w:firstRow="0" w:lastRow="0" w:firstColumn="1" w:lastColumn="0" w:oddVBand="0" w:evenVBand="0" w:oddHBand="0" w:evenHBand="0" w:firstRowFirstColumn="0" w:firstRowLastColumn="0" w:lastRowFirstColumn="0" w:lastRowLastColumn="0"/>
            <w:tcW w:w="3828" w:type="dxa"/>
            <w:tcBorders>
              <w:bottom w:val="single" w:sz="4" w:space="0" w:color="auto"/>
            </w:tcBorders>
            <w:vAlign w:val="center"/>
          </w:tcPr>
          <w:p w14:paraId="35BA77D5" w14:textId="77777777" w:rsidR="00532B54" w:rsidRPr="00C90195" w:rsidRDefault="00532B54" w:rsidP="004C434C">
            <w:pPr>
              <w:spacing w:after="0"/>
              <w:rPr>
                <w:b w:val="0"/>
                <w:sz w:val="18"/>
                <w:szCs w:val="18"/>
              </w:rPr>
            </w:pPr>
            <w:r w:rsidRPr="00C90195">
              <w:rPr>
                <w:b w:val="0"/>
                <w:sz w:val="18"/>
                <w:szCs w:val="18"/>
              </w:rPr>
              <w:t>Social, community and civic participation</w:t>
            </w:r>
          </w:p>
        </w:tc>
        <w:tc>
          <w:tcPr>
            <w:tcW w:w="1559" w:type="dxa"/>
            <w:tcBorders>
              <w:bottom w:val="single" w:sz="4" w:space="0" w:color="auto"/>
            </w:tcBorders>
            <w:vAlign w:val="center"/>
          </w:tcPr>
          <w:p w14:paraId="4D93E445"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59</w:t>
            </w:r>
          </w:p>
        </w:tc>
        <w:tc>
          <w:tcPr>
            <w:tcW w:w="1843" w:type="dxa"/>
            <w:tcBorders>
              <w:bottom w:val="single" w:sz="4" w:space="0" w:color="auto"/>
            </w:tcBorders>
            <w:vAlign w:val="center"/>
          </w:tcPr>
          <w:p w14:paraId="3DA90641"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69</w:t>
            </w:r>
          </w:p>
        </w:tc>
        <w:tc>
          <w:tcPr>
            <w:tcW w:w="1786" w:type="dxa"/>
            <w:tcBorders>
              <w:bottom w:val="single" w:sz="4" w:space="0" w:color="auto"/>
            </w:tcBorders>
            <w:vAlign w:val="center"/>
          </w:tcPr>
          <w:p w14:paraId="1861C7A1" w14:textId="77777777" w:rsidR="00532B54" w:rsidRPr="00DA3F73"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sz w:val="18"/>
                <w:szCs w:val="18"/>
              </w:rPr>
            </w:pPr>
            <w:r w:rsidRPr="00DA3F73">
              <w:rPr>
                <w:sz w:val="18"/>
                <w:szCs w:val="18"/>
              </w:rPr>
              <w:t>+10</w:t>
            </w:r>
          </w:p>
        </w:tc>
      </w:tr>
    </w:tbl>
    <w:p w14:paraId="3CE537C8" w14:textId="77777777" w:rsidR="00532B54" w:rsidRPr="006514A2" w:rsidRDefault="00532B54" w:rsidP="00FF084B">
      <w:pPr>
        <w:pStyle w:val="FSRnormal"/>
      </w:pPr>
      <w:r w:rsidRPr="006514A2">
        <w:t xml:space="preserve">From </w:t>
      </w:r>
      <w:r w:rsidR="00260852" w:rsidRPr="00C53CDC">
        <w:t xml:space="preserve">Table </w:t>
      </w:r>
      <w:r w:rsidR="00260852" w:rsidRPr="00C53CDC">
        <w:rPr>
          <w:noProof/>
        </w:rPr>
        <w:t>7.4</w:t>
      </w:r>
      <w:r w:rsidRPr="006514A2">
        <w:t>, the largest improvements over time in the Scheme have been observed for daily living and choice and control (+11 percentage points). Strong improvements have also been observed for relationships (+9), health and wellbeing (+9) and social, community and civic participation (+10). By contrast with the younger adult group, there was an improvement for the home domain (+4 percentage points). Similar to the younger adult group, lifelong learning showed a marginal increase (+2), and there was no material change for work.</w:t>
      </w:r>
      <w:r w:rsidRPr="006514A2">
        <w:rPr>
          <w:rStyle w:val="FootnoteReference"/>
        </w:rPr>
        <w:footnoteReference w:id="136"/>
      </w:r>
      <w:r w:rsidRPr="006514A2">
        <w:t xml:space="preserve"> </w:t>
      </w:r>
    </w:p>
    <w:p w14:paraId="4099CCE5" w14:textId="77777777" w:rsidR="00532B54" w:rsidRDefault="00FF084B" w:rsidP="00FF084B">
      <w:pPr>
        <w:pStyle w:val="FSRnormal"/>
      </w:pPr>
      <w:r w:rsidRPr="00FF084B">
        <w:t xml:space="preserve">Figure </w:t>
      </w:r>
      <w:r w:rsidRPr="00FF084B">
        <w:rPr>
          <w:noProof/>
        </w:rPr>
        <w:t>7</w:t>
      </w:r>
      <w:r w:rsidRPr="00FF084B">
        <w:t>.</w:t>
      </w:r>
      <w:r w:rsidRPr="00FF084B">
        <w:rPr>
          <w:noProof/>
        </w:rPr>
        <w:t>9</w:t>
      </w:r>
      <w:r w:rsidR="00532B54" w:rsidRPr="006514A2">
        <w:t xml:space="preserve"> provides more</w:t>
      </w:r>
      <w:r w:rsidR="00532B54">
        <w:t xml:space="preserve"> detail for two domains (daily living and health and wellbeing), showing trends over time in the Scheme for different duration cohorts (participants who have been in the Scheme for approximately five, four, three or two years at 30 June 2022).</w:t>
      </w:r>
    </w:p>
    <w:p w14:paraId="675653D7" w14:textId="77777777" w:rsidR="00532B54" w:rsidRDefault="00532B54" w:rsidP="00532B54">
      <w:pPr>
        <w:spacing w:after="160" w:line="259" w:lineRule="auto"/>
      </w:pPr>
      <w:r>
        <w:br w:type="page"/>
      </w:r>
    </w:p>
    <w:p w14:paraId="75DB5976" w14:textId="77777777" w:rsidR="00532B54" w:rsidRPr="0088770F" w:rsidRDefault="00532B54" w:rsidP="00FF084B">
      <w:pPr>
        <w:pStyle w:val="Figures"/>
      </w:pPr>
      <w:bookmarkStart w:id="302" w:name="_Ref113285632"/>
      <w:bookmarkStart w:id="303" w:name="_Ref111720388"/>
      <w:r w:rsidRPr="004C4037">
        <w:lastRenderedPageBreak/>
        <w:t xml:space="preserve">Figure </w:t>
      </w:r>
      <w:fldSimple w:instr=" STYLEREF 2 \s ">
        <w:r w:rsidR="00447AA1">
          <w:rPr>
            <w:noProof/>
          </w:rPr>
          <w:t>7</w:t>
        </w:r>
      </w:fldSimple>
      <w:r w:rsidR="00447AA1">
        <w:t>.</w:t>
      </w:r>
      <w:fldSimple w:instr=" SEQ Figure \* ARABIC \s 2 ">
        <w:r w:rsidR="00447AA1">
          <w:rPr>
            <w:noProof/>
          </w:rPr>
          <w:t>9</w:t>
        </w:r>
      </w:fldSimple>
      <w:bookmarkEnd w:id="302"/>
      <w:bookmarkEnd w:id="303"/>
      <w:r w:rsidRPr="004C4037">
        <w:t>:</w:t>
      </w:r>
      <w:r w:rsidRPr="0088770F">
        <w:t xml:space="preserve"> Percentage </w:t>
      </w:r>
      <w:r>
        <w:t>who think the NDIS has helped</w:t>
      </w:r>
      <w:r w:rsidRPr="0088770F">
        <w:t xml:space="preserve"> – longitudinal trends for participants in the Scheme for two to five years</w:t>
      </w:r>
      <w:r>
        <w:t>, age 25 and over</w:t>
      </w:r>
    </w:p>
    <w:p w14:paraId="7B03F575" w14:textId="77777777" w:rsidR="00532B54" w:rsidRDefault="00532B54" w:rsidP="00532B54">
      <w:pPr>
        <w:ind w:right="-613"/>
      </w:pPr>
      <w:r w:rsidRPr="00615E21">
        <w:rPr>
          <w:noProof/>
          <w:lang w:eastAsia="en-AU"/>
        </w:rPr>
        <w:drawing>
          <wp:inline distT="0" distB="0" distL="0" distR="0" wp14:anchorId="40BCC18B" wp14:editId="2459CD83">
            <wp:extent cx="6104901" cy="2392326"/>
            <wp:effectExtent l="0" t="0" r="0" b="8255"/>
            <wp:docPr id="6" name="Picture 6" descr="Two line charts are shown. The horizontal (x) axis shows each review time point (for example, R1 to R5 for participants in the Scheme for 5 years; R1 and R2 for participants in the Scheme for 2 years). The vertical (y) axis shows the percentage of participants who think the NDIS has helped improve their daily living activities and the percentage of participants who think the NDIS has helped improve health and wellbeing on each chart respectively.&#10;Each chart shows 4 lines, representing the amount of time the participant has spent in scheme from five to two years. These lines plot the percentage of participants who think the NDIS has helped improve their daily living activities and health and wellbeing across their time in the scheme.&#10;All of the lines show an increasing trend and are clustered close together.&#10;" title="Figure 7.9: Percentage who think the NDIS has helped – longitudinal trends for participants in the Scheme for two to five years, age 25 and 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13476" cy="2395686"/>
                    </a:xfrm>
                    <a:prstGeom prst="rect">
                      <a:avLst/>
                    </a:prstGeom>
                    <a:noFill/>
                    <a:ln>
                      <a:noFill/>
                    </a:ln>
                  </pic:spPr>
                </pic:pic>
              </a:graphicData>
            </a:graphic>
          </wp:inline>
        </w:drawing>
      </w:r>
    </w:p>
    <w:p w14:paraId="61EC716D" w14:textId="77777777" w:rsidR="00532B54" w:rsidRDefault="00FF084B" w:rsidP="00FF084B">
      <w:pPr>
        <w:pStyle w:val="FSRnormal"/>
      </w:pPr>
      <w:r w:rsidRPr="00FF084B">
        <w:t xml:space="preserve">Figure </w:t>
      </w:r>
      <w:r w:rsidRPr="00FF084B">
        <w:rPr>
          <w:noProof/>
        </w:rPr>
        <w:t>7</w:t>
      </w:r>
      <w:r w:rsidRPr="00FF084B">
        <w:t>.</w:t>
      </w:r>
      <w:r w:rsidRPr="00FF084B">
        <w:rPr>
          <w:noProof/>
        </w:rPr>
        <w:t>9</w:t>
      </w:r>
      <w:r w:rsidR="00532B54">
        <w:t xml:space="preserve"> shows that as for young adults, improvements continue to occur for these two domains, even after five years in the Scheme.</w:t>
      </w:r>
    </w:p>
    <w:p w14:paraId="46C86067" w14:textId="77777777" w:rsidR="00532B54" w:rsidRPr="000D6ECE" w:rsidRDefault="00532B54" w:rsidP="00FF084B">
      <w:pPr>
        <w:pStyle w:val="Heading3"/>
        <w:spacing w:before="360"/>
      </w:pPr>
      <w:bookmarkStart w:id="304" w:name="_Toc47775176"/>
      <w:bookmarkStart w:id="305" w:name="_Toc47777484"/>
      <w:bookmarkStart w:id="306" w:name="_Toc47792646"/>
      <w:bookmarkStart w:id="307" w:name="_Toc47813452"/>
      <w:bookmarkStart w:id="308" w:name="_Toc47813542"/>
      <w:bookmarkStart w:id="309" w:name="_Toc47853172"/>
      <w:bookmarkStart w:id="310" w:name="_Toc47864638"/>
      <w:bookmarkStart w:id="311" w:name="_Toc47864827"/>
      <w:bookmarkStart w:id="312" w:name="_Toc47866472"/>
      <w:bookmarkStart w:id="313" w:name="_Toc47879417"/>
      <w:bookmarkStart w:id="314" w:name="_Toc47962847"/>
      <w:bookmarkStart w:id="315" w:name="_Toc47965220"/>
      <w:bookmarkStart w:id="316" w:name="_Toc47965810"/>
      <w:bookmarkStart w:id="317" w:name="_Toc47967193"/>
      <w:bookmarkStart w:id="318" w:name="_Toc48055140"/>
      <w:bookmarkStart w:id="319" w:name="_Toc48137341"/>
      <w:bookmarkStart w:id="320" w:name="_Toc48201009"/>
      <w:bookmarkStart w:id="321" w:name="_Toc48201103"/>
      <w:bookmarkStart w:id="322" w:name="_Toc48201869"/>
      <w:bookmarkStart w:id="323" w:name="_Toc48216238"/>
      <w:bookmarkStart w:id="324" w:name="_Toc48219061"/>
      <w:bookmarkStart w:id="325" w:name="_Toc48220179"/>
      <w:bookmarkStart w:id="326" w:name="_Toc48220289"/>
      <w:bookmarkStart w:id="327" w:name="_Toc79751005"/>
      <w:bookmarkStart w:id="328" w:name="_Toc83220860"/>
      <w:bookmarkStart w:id="329" w:name="_Toc118460217"/>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0D6ECE">
        <w:t>Family and carer outcomes</w:t>
      </w:r>
      <w:bookmarkEnd w:id="327"/>
      <w:bookmarkEnd w:id="328"/>
      <w:r>
        <w:t xml:space="preserve"> – results</w:t>
      </w:r>
      <w:bookmarkEnd w:id="329"/>
    </w:p>
    <w:p w14:paraId="10272849" w14:textId="77777777" w:rsidR="00532B54" w:rsidRDefault="00532B54" w:rsidP="00532B54">
      <w:pPr>
        <w:pStyle w:val="FSRnormal"/>
      </w:pPr>
      <w:r w:rsidRPr="000D6ECE">
        <w:t>The NDIS Outcomes Framework measures outcomes for the families and carers of participants as well</w:t>
      </w:r>
      <w:r>
        <w:t xml:space="preserve"> as participants</w:t>
      </w:r>
      <w:r w:rsidRPr="000D6ECE">
        <w:t xml:space="preserve">, recognising that the outcomes for people with a disability and the people who </w:t>
      </w:r>
      <w:r>
        <w:t>support</w:t>
      </w:r>
      <w:r w:rsidRPr="000D6ECE">
        <w:t xml:space="preserve"> them are likely to be closely linked. Families and carers of participants who are well supported under the Scheme and who are achieving greater independence and social and economic participation, are likely to find the caring role easier and to experience increased wellbeing and greater opportunities for social and economic participation themselves. This improved situation </w:t>
      </w:r>
      <w:r>
        <w:t xml:space="preserve">for families and carers </w:t>
      </w:r>
      <w:r w:rsidRPr="000D6ECE">
        <w:t>should in turn translate into further improved outcomes for participants</w:t>
      </w:r>
      <w:r>
        <w:rPr>
          <w:rStyle w:val="FootnoteReference"/>
        </w:rPr>
        <w:footnoteReference w:id="137"/>
      </w:r>
      <w:r w:rsidRPr="005D3398">
        <w:rPr>
          <w:vertAlign w:val="superscript"/>
        </w:rPr>
        <w:t>,</w:t>
      </w:r>
      <w:r w:rsidRPr="000D6ECE">
        <w:rPr>
          <w:rStyle w:val="FootnoteReference"/>
        </w:rPr>
        <w:footnoteReference w:id="138"/>
      </w:r>
      <w:r w:rsidRPr="000D6ECE">
        <w:t>.</w:t>
      </w:r>
    </w:p>
    <w:p w14:paraId="49413C54" w14:textId="77777777" w:rsidR="00532B54" w:rsidRDefault="00532B54" w:rsidP="00532B54">
      <w:pPr>
        <w:pStyle w:val="FSRHeading4"/>
      </w:pPr>
      <w:r>
        <w:t>Results – percentage of parents/carers in a paid job</w:t>
      </w:r>
    </w:p>
    <w:p w14:paraId="66B44B1D" w14:textId="77777777" w:rsidR="00532B54" w:rsidRDefault="00532B54" w:rsidP="00FF084B">
      <w:pPr>
        <w:pStyle w:val="FSRnormal"/>
      </w:pPr>
      <w:r>
        <w:t>The NDIA’s corporate plan metric for parent and carer employment is based on the SF question “Are you currently working in a paid job?” with response options “Yes” and “No”.</w:t>
      </w:r>
    </w:p>
    <w:p w14:paraId="2DB28741" w14:textId="77777777" w:rsidR="00532B54" w:rsidRDefault="00532B54" w:rsidP="00FF084B">
      <w:pPr>
        <w:pStyle w:val="FSRnormal"/>
      </w:pPr>
      <w:r>
        <w:t>As for participants, it should be noted that the global COVID-19 pandemic that took hold from early 2020 has had an impact on family/carer employment (and other indicators).</w:t>
      </w:r>
    </w:p>
    <w:p w14:paraId="34FB9BC9" w14:textId="77777777" w:rsidR="00532B54" w:rsidRDefault="00532B54" w:rsidP="00FF084B">
      <w:pPr>
        <w:pStyle w:val="FSRnormal"/>
      </w:pPr>
      <w:r w:rsidRPr="004B7B97">
        <w:t xml:space="preserve">The percentage </w:t>
      </w:r>
      <w:r>
        <w:t xml:space="preserve">of parents/carers </w:t>
      </w:r>
      <w:r w:rsidRPr="004B7B97">
        <w:t xml:space="preserve">in a paid job for </w:t>
      </w:r>
      <w:r>
        <w:t>participants who have been</w:t>
      </w:r>
      <w:r w:rsidRPr="004B7B97">
        <w:t xml:space="preserve"> in the Scheme for at least two years </w:t>
      </w:r>
      <w:r>
        <w:t>has improved over time</w:t>
      </w:r>
      <w:r w:rsidRPr="004B7B97">
        <w:t xml:space="preserve">. Specifically, comparing responses at the most recent plan review (between two </w:t>
      </w:r>
      <w:r>
        <w:t>and</w:t>
      </w:r>
      <w:r w:rsidRPr="004B7B97">
        <w:t xml:space="preserve"> five years after entry) with responses at Scheme entry</w:t>
      </w:r>
      <w:r>
        <w:t>, there has been a</w:t>
      </w:r>
      <w:r w:rsidRPr="004B7B97">
        <w:t xml:space="preserve">: </w:t>
      </w:r>
    </w:p>
    <w:p w14:paraId="33943953" w14:textId="77777777" w:rsidR="00532B54" w:rsidRDefault="00532B54" w:rsidP="00FF084B">
      <w:pPr>
        <w:pStyle w:val="FSRlist"/>
      </w:pPr>
      <w:r>
        <w:rPr>
          <w:b/>
          <w:bCs/>
        </w:rPr>
        <w:lastRenderedPageBreak/>
        <w:t>five</w:t>
      </w:r>
      <w:r w:rsidRPr="004B7B97">
        <w:rPr>
          <w:b/>
          <w:bCs/>
        </w:rPr>
        <w:t xml:space="preserve"> </w:t>
      </w:r>
      <w:r w:rsidRPr="004B7B97">
        <w:t xml:space="preserve">percentage point increase from </w:t>
      </w:r>
      <w:r>
        <w:rPr>
          <w:b/>
          <w:bCs/>
        </w:rPr>
        <w:t>46</w:t>
      </w:r>
      <w:r w:rsidRPr="004B7B97">
        <w:rPr>
          <w:b/>
          <w:bCs/>
        </w:rPr>
        <w:t xml:space="preserve">% </w:t>
      </w:r>
      <w:r w:rsidRPr="004B7B97">
        <w:t xml:space="preserve">to </w:t>
      </w:r>
      <w:r>
        <w:rPr>
          <w:b/>
          <w:bCs/>
        </w:rPr>
        <w:t>51</w:t>
      </w:r>
      <w:r w:rsidRPr="004B7B97">
        <w:rPr>
          <w:b/>
          <w:bCs/>
        </w:rPr>
        <w:t xml:space="preserve">% </w:t>
      </w:r>
      <w:r w:rsidRPr="004B7B97">
        <w:t xml:space="preserve">for </w:t>
      </w:r>
      <w:r>
        <w:t xml:space="preserve">parents/carers of </w:t>
      </w:r>
      <w:r w:rsidRPr="004B7B97">
        <w:t>p</w:t>
      </w:r>
      <w:r>
        <w:t>articipants aged 0-14 years</w:t>
      </w:r>
    </w:p>
    <w:p w14:paraId="5867EDAF" w14:textId="77777777" w:rsidR="00532B54" w:rsidRDefault="00532B54" w:rsidP="00FF084B">
      <w:pPr>
        <w:pStyle w:val="FSRlist"/>
      </w:pPr>
      <w:r>
        <w:rPr>
          <w:b/>
          <w:bCs/>
        </w:rPr>
        <w:t>one</w:t>
      </w:r>
      <w:r w:rsidRPr="004B7B97">
        <w:rPr>
          <w:b/>
          <w:bCs/>
        </w:rPr>
        <w:t xml:space="preserve"> </w:t>
      </w:r>
      <w:r w:rsidRPr="004B7B97">
        <w:t xml:space="preserve">percentage point increase from </w:t>
      </w:r>
      <w:r>
        <w:rPr>
          <w:b/>
          <w:bCs/>
        </w:rPr>
        <w:t>46</w:t>
      </w:r>
      <w:r w:rsidRPr="004B7B97">
        <w:rPr>
          <w:b/>
          <w:bCs/>
        </w:rPr>
        <w:t xml:space="preserve">% </w:t>
      </w:r>
      <w:r w:rsidRPr="004B7B97">
        <w:t xml:space="preserve">to </w:t>
      </w:r>
      <w:r>
        <w:rPr>
          <w:b/>
          <w:bCs/>
        </w:rPr>
        <w:t>48</w:t>
      </w:r>
      <w:r w:rsidRPr="004B7B97">
        <w:rPr>
          <w:b/>
          <w:bCs/>
        </w:rPr>
        <w:t xml:space="preserve">% </w:t>
      </w:r>
      <w:r w:rsidRPr="004B7B97">
        <w:t>fo</w:t>
      </w:r>
      <w:r>
        <w:t>r participants aged 15 years and over.</w:t>
      </w:r>
    </w:p>
    <w:p w14:paraId="261625D2" w14:textId="77777777" w:rsidR="00532B54" w:rsidRPr="006514A2" w:rsidRDefault="00532B54" w:rsidP="00FF084B">
      <w:pPr>
        <w:pStyle w:val="FSRnormal"/>
      </w:pPr>
      <w:r>
        <w:t xml:space="preserve">Overall, for </w:t>
      </w:r>
      <w:r w:rsidRPr="006514A2">
        <w:t xml:space="preserve">parents/carers of participants across all ages combined, there has been a </w:t>
      </w:r>
      <w:r w:rsidRPr="006514A2">
        <w:rPr>
          <w:b/>
        </w:rPr>
        <w:t>four percentage point increase, from 46% to 50%.</w:t>
      </w:r>
      <w:r w:rsidRPr="006514A2">
        <w:t xml:space="preserve"> This compares to a 2021-22 target of 49%.</w:t>
      </w:r>
    </w:p>
    <w:p w14:paraId="3AB5BB90" w14:textId="77777777" w:rsidR="00532B54" w:rsidRDefault="00FF084B" w:rsidP="00FF084B">
      <w:pPr>
        <w:pStyle w:val="FSRnormal"/>
      </w:pPr>
      <w:r w:rsidRPr="00FF084B">
        <w:t xml:space="preserve">Figure </w:t>
      </w:r>
      <w:r w:rsidRPr="00FF084B">
        <w:rPr>
          <w:noProof/>
        </w:rPr>
        <w:t>7</w:t>
      </w:r>
      <w:r w:rsidRPr="00FF084B">
        <w:t>.</w:t>
      </w:r>
      <w:r w:rsidRPr="00FF084B">
        <w:rPr>
          <w:noProof/>
        </w:rPr>
        <w:t>10</w:t>
      </w:r>
      <w:r w:rsidR="00532B54" w:rsidRPr="006514A2">
        <w:t xml:space="preserve"> provides more detail on these results, showing trends over time in the Scheme for different duration cohorts (families/carers of participants who have been in the Scheme for approximately five</w:t>
      </w:r>
      <w:r w:rsidR="00532B54">
        <w:t>, four, three or two years at 30 June 2022).</w:t>
      </w:r>
    </w:p>
    <w:p w14:paraId="68E947B8" w14:textId="77777777" w:rsidR="00532B54" w:rsidRPr="0088770F" w:rsidRDefault="00532B54" w:rsidP="00FF084B">
      <w:pPr>
        <w:pStyle w:val="Figures"/>
      </w:pPr>
      <w:bookmarkStart w:id="330" w:name="_Ref113285750"/>
      <w:bookmarkStart w:id="331" w:name="_Ref111720406"/>
      <w:r w:rsidRPr="004C4037">
        <w:t xml:space="preserve">Figure </w:t>
      </w:r>
      <w:fldSimple w:instr=" STYLEREF 2 \s ">
        <w:r w:rsidR="00447AA1">
          <w:rPr>
            <w:noProof/>
          </w:rPr>
          <w:t>7</w:t>
        </w:r>
      </w:fldSimple>
      <w:r w:rsidR="00447AA1">
        <w:t>.</w:t>
      </w:r>
      <w:fldSimple w:instr=" SEQ Figure \* ARABIC \s 2 ">
        <w:r w:rsidR="00447AA1">
          <w:rPr>
            <w:noProof/>
          </w:rPr>
          <w:t>10</w:t>
        </w:r>
      </w:fldSimple>
      <w:bookmarkEnd w:id="330"/>
      <w:bookmarkEnd w:id="331"/>
      <w:r w:rsidRPr="004C4037">
        <w:t>:</w:t>
      </w:r>
      <w:r w:rsidRPr="0088770F">
        <w:t xml:space="preserve"> Percentage of </w:t>
      </w:r>
      <w:r>
        <w:t xml:space="preserve">parents/carers of </w:t>
      </w:r>
      <w:r w:rsidRPr="0088770F">
        <w:t>participants in a paid job – longitudinal trends for participants in the Scheme for two to five years</w:t>
      </w:r>
    </w:p>
    <w:p w14:paraId="587157D3" w14:textId="77777777" w:rsidR="00532B54" w:rsidRDefault="00532B54" w:rsidP="00532B54">
      <w:pPr>
        <w:pStyle w:val="FSRnormal"/>
      </w:pPr>
      <w:r w:rsidRPr="004C191E">
        <w:rPr>
          <w:noProof/>
          <w:lang w:eastAsia="en-AU"/>
        </w:rPr>
        <w:drawing>
          <wp:inline distT="0" distB="0" distL="0" distR="0" wp14:anchorId="242DD02A" wp14:editId="0C97B03B">
            <wp:extent cx="5178056" cy="4869903"/>
            <wp:effectExtent l="0" t="0" r="3810" b="6985"/>
            <wp:docPr id="242" name="Picture 242" descr="Four line charts are shown, for participants who have been in the Scheme for 5 years, 4 years, 3 years, and 2 years. The horizontal (x) axis shows baseline (B) and each review time point (for example, R1 to R5 for participants in the Scheme for 5 years; R1 and R2 for participants in the Scheme for 2 years). The vertical (y) axis shows the percentage of parents/carers in a paid job.&#10;Each chart shows 3 lines, for parents/carers of participants aged 0 to 14, 15 and over and all family/careers. These lines plot the percentage of parents/carers in a paid job at baseline and each review time point.&#10;All lines show a minor increase or stable trend with the exception of a minor downward trend in the latest year for participants aged 15 and over who have been in the NDIS less than 5 years.&#10;" title="Figure 7.10: Percentage of parents/carers of participants in a paid job – longitudinal trends for participants in the Scheme for two to five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185229" cy="4876649"/>
                    </a:xfrm>
                    <a:prstGeom prst="rect">
                      <a:avLst/>
                    </a:prstGeom>
                    <a:noFill/>
                    <a:ln>
                      <a:noFill/>
                    </a:ln>
                  </pic:spPr>
                </pic:pic>
              </a:graphicData>
            </a:graphic>
          </wp:inline>
        </w:drawing>
      </w:r>
    </w:p>
    <w:p w14:paraId="0F432EC5" w14:textId="77777777" w:rsidR="00532B54" w:rsidRDefault="00FF084B" w:rsidP="00532B54">
      <w:pPr>
        <w:pStyle w:val="FSRnormal"/>
      </w:pPr>
      <w:r w:rsidRPr="00FF084B">
        <w:t xml:space="preserve">Figure </w:t>
      </w:r>
      <w:r w:rsidRPr="00FF084B">
        <w:rPr>
          <w:noProof/>
        </w:rPr>
        <w:t>7</w:t>
      </w:r>
      <w:r w:rsidRPr="00FF084B">
        <w:t>.</w:t>
      </w:r>
      <w:r w:rsidRPr="00FF084B">
        <w:rPr>
          <w:noProof/>
        </w:rPr>
        <w:t>10</w:t>
      </w:r>
      <w:r w:rsidR="00532B54" w:rsidRPr="006514A2">
        <w:t xml:space="preserve"> shows that for participants in the Scheme five years (and to a lesser extent, four years), families and carers of those aged 0 to 14 tend to have lower employment outcomes than families and carers of older participants. However, this difference is not apparent for families and carers of partici</w:t>
      </w:r>
      <w:r w:rsidR="00532B54">
        <w:t xml:space="preserve">pants in the Scheme for shorter durations. For families and </w:t>
      </w:r>
      <w:r w:rsidR="00532B54">
        <w:lastRenderedPageBreak/>
        <w:t>carers of participants aged 15 and over, improvements seem to have levelled off over the latest year.</w:t>
      </w:r>
    </w:p>
    <w:p w14:paraId="1F65EB5F" w14:textId="77777777" w:rsidR="00532B54" w:rsidRDefault="00532B54" w:rsidP="00532B54">
      <w:pPr>
        <w:pStyle w:val="FSRHeading4"/>
      </w:pPr>
      <w:r>
        <w:t>Results – “Has the NDIS helped?”</w:t>
      </w:r>
    </w:p>
    <w:p w14:paraId="24037102" w14:textId="77777777" w:rsidR="00532B54" w:rsidRDefault="00260852" w:rsidP="00FF084B">
      <w:pPr>
        <w:pStyle w:val="FSRnormal"/>
      </w:pPr>
      <w:r w:rsidRPr="00C53CDC">
        <w:t xml:space="preserve">Table </w:t>
      </w:r>
      <w:r w:rsidRPr="00C53CDC">
        <w:rPr>
          <w:noProof/>
        </w:rPr>
        <w:t>7.5</w:t>
      </w:r>
      <w:r w:rsidR="00532B54" w:rsidRPr="006514A2">
        <w:t xml:space="preserve"> shows the percentages </w:t>
      </w:r>
      <w:r w:rsidR="00532B54">
        <w:t>of families and carers responding positively at first review and at latest review, as well as the change between the two time points. Results are shown separately for participants aged 0 to 14 and those aged 15 and over.</w:t>
      </w:r>
    </w:p>
    <w:p w14:paraId="331316DF" w14:textId="77777777" w:rsidR="00532B54" w:rsidRDefault="00532B54" w:rsidP="00FF084B">
      <w:pPr>
        <w:pStyle w:val="Tables"/>
      </w:pPr>
      <w:bookmarkStart w:id="332" w:name="_Ref111721004"/>
      <w:r w:rsidRPr="00E42CDE">
        <w:t xml:space="preserve">Table </w:t>
      </w:r>
      <w:fldSimple w:instr=" STYLEREF 2 \s ">
        <w:r w:rsidR="00A87896">
          <w:rPr>
            <w:noProof/>
          </w:rPr>
          <w:t>7</w:t>
        </w:r>
      </w:fldSimple>
      <w:r w:rsidR="00A87896">
        <w:t>.</w:t>
      </w:r>
      <w:fldSimple w:instr=" SEQ Table \* ARABIC \s 2 ">
        <w:r w:rsidR="00A87896">
          <w:rPr>
            <w:noProof/>
          </w:rPr>
          <w:t>5</w:t>
        </w:r>
      </w:fldSimple>
      <w:bookmarkEnd w:id="332"/>
      <w:r w:rsidR="00AF4405" w:rsidRPr="00E42CDE">
        <w:t xml:space="preserve">: </w:t>
      </w:r>
      <w:r w:rsidR="00AF4405">
        <w:t>“</w:t>
      </w:r>
      <w:r>
        <w:t>Has the NDIS helped?” – families and carers</w:t>
      </w:r>
    </w:p>
    <w:tbl>
      <w:tblPr>
        <w:tblStyle w:val="GridTable2"/>
        <w:tblW w:w="9498"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41"/>
        <w:gridCol w:w="993"/>
        <w:gridCol w:w="1190"/>
        <w:gridCol w:w="1503"/>
        <w:gridCol w:w="1134"/>
        <w:gridCol w:w="1134"/>
        <w:gridCol w:w="1276"/>
      </w:tblGrid>
      <w:tr w:rsidR="00532B54" w:rsidRPr="00FF084B" w14:paraId="74C44891"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127" w:type="dxa"/>
            <w:tcBorders>
              <w:top w:val="none" w:sz="0" w:space="0" w:color="auto"/>
              <w:bottom w:val="none" w:sz="0" w:space="0" w:color="auto"/>
              <w:right w:val="none" w:sz="0" w:space="0" w:color="auto"/>
            </w:tcBorders>
            <w:shd w:val="clear" w:color="auto" w:fill="6B2976"/>
            <w:vAlign w:val="center"/>
          </w:tcPr>
          <w:p w14:paraId="7E6124E0" w14:textId="77777777" w:rsidR="00532B54" w:rsidRPr="00FF084B" w:rsidRDefault="00532B54" w:rsidP="00FF084B">
            <w:pPr>
              <w:spacing w:after="0"/>
              <w:rPr>
                <w:rFonts w:cs="Arial"/>
                <w:color w:val="FFFFFF"/>
                <w:sz w:val="18"/>
                <w:szCs w:val="18"/>
              </w:rPr>
            </w:pPr>
          </w:p>
        </w:tc>
        <w:tc>
          <w:tcPr>
            <w:tcW w:w="3827" w:type="dxa"/>
            <w:gridSpan w:val="4"/>
            <w:tcBorders>
              <w:top w:val="none" w:sz="0" w:space="0" w:color="auto"/>
              <w:left w:val="none" w:sz="0" w:space="0" w:color="auto"/>
              <w:bottom w:val="single" w:sz="4" w:space="0" w:color="FFFFFF" w:themeColor="background1"/>
              <w:right w:val="none" w:sz="0" w:space="0" w:color="auto"/>
            </w:tcBorders>
            <w:shd w:val="clear" w:color="auto" w:fill="6B2976"/>
            <w:vAlign w:val="center"/>
          </w:tcPr>
          <w:p w14:paraId="6FD0AA98" w14:textId="77777777" w:rsidR="00532B54" w:rsidRPr="00FF084B" w:rsidRDefault="00532B54" w:rsidP="004C434C">
            <w:pPr>
              <w:spacing w:after="0"/>
              <w:jc w:val="center"/>
              <w:cnfStyle w:val="100000000000" w:firstRow="1" w:lastRow="0" w:firstColumn="0" w:lastColumn="0" w:oddVBand="0" w:evenVBand="0" w:oddHBand="0" w:evenHBand="0" w:firstRowFirstColumn="0" w:firstRowLastColumn="0" w:lastRowFirstColumn="0" w:lastRowLastColumn="0"/>
              <w:rPr>
                <w:rFonts w:cs="Arial"/>
                <w:color w:val="FFFFFF"/>
                <w:sz w:val="18"/>
                <w:szCs w:val="18"/>
              </w:rPr>
            </w:pPr>
            <w:r w:rsidRPr="00FF084B">
              <w:rPr>
                <w:rFonts w:cs="Arial"/>
                <w:color w:val="FFFFFF"/>
                <w:sz w:val="18"/>
                <w:szCs w:val="18"/>
              </w:rPr>
              <w:t>Participant aged 0 to 14</w:t>
            </w:r>
          </w:p>
        </w:tc>
        <w:tc>
          <w:tcPr>
            <w:tcW w:w="3544" w:type="dxa"/>
            <w:gridSpan w:val="3"/>
            <w:tcBorders>
              <w:top w:val="none" w:sz="0" w:space="0" w:color="auto"/>
              <w:left w:val="none" w:sz="0" w:space="0" w:color="auto"/>
              <w:bottom w:val="single" w:sz="4" w:space="0" w:color="FFFFFF" w:themeColor="background1"/>
            </w:tcBorders>
            <w:shd w:val="clear" w:color="auto" w:fill="6B2976"/>
            <w:vAlign w:val="center"/>
          </w:tcPr>
          <w:p w14:paraId="332D87EC" w14:textId="77777777" w:rsidR="00532B54" w:rsidRPr="00FF084B" w:rsidRDefault="00532B54" w:rsidP="004C434C">
            <w:pPr>
              <w:spacing w:after="0"/>
              <w:jc w:val="center"/>
              <w:cnfStyle w:val="100000000000" w:firstRow="1" w:lastRow="0" w:firstColumn="0" w:lastColumn="0" w:oddVBand="0" w:evenVBand="0" w:oddHBand="0" w:evenHBand="0" w:firstRowFirstColumn="0" w:firstRowLastColumn="0" w:lastRowFirstColumn="0" w:lastRowLastColumn="0"/>
              <w:rPr>
                <w:rFonts w:cs="Arial"/>
                <w:color w:val="FFFFFF"/>
                <w:sz w:val="18"/>
                <w:szCs w:val="18"/>
              </w:rPr>
            </w:pPr>
            <w:r w:rsidRPr="00FF084B">
              <w:rPr>
                <w:rFonts w:cs="Arial"/>
                <w:color w:val="FFFFFF"/>
                <w:sz w:val="18"/>
                <w:szCs w:val="18"/>
              </w:rPr>
              <w:t>Participant aged 15 and over</w:t>
            </w:r>
          </w:p>
        </w:tc>
      </w:tr>
      <w:tr w:rsidR="00532B54" w:rsidRPr="00FF084B" w14:paraId="7AF0FB01"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127" w:type="dxa"/>
            <w:shd w:val="clear" w:color="auto" w:fill="6B2976"/>
            <w:vAlign w:val="center"/>
          </w:tcPr>
          <w:p w14:paraId="2920C8BB" w14:textId="77777777" w:rsidR="00532B54" w:rsidRPr="00FF084B" w:rsidRDefault="00532B54" w:rsidP="00FF084B">
            <w:pPr>
              <w:spacing w:after="0"/>
              <w:rPr>
                <w:rFonts w:cs="Arial"/>
                <w:color w:val="FFFFFF"/>
                <w:sz w:val="18"/>
                <w:szCs w:val="18"/>
              </w:rPr>
            </w:pPr>
            <w:r w:rsidRPr="00FF084B">
              <w:rPr>
                <w:rFonts w:cs="Arial"/>
                <w:color w:val="FFFFFF"/>
                <w:sz w:val="18"/>
                <w:szCs w:val="18"/>
              </w:rPr>
              <w:t>Domain</w:t>
            </w:r>
          </w:p>
        </w:tc>
        <w:tc>
          <w:tcPr>
            <w:tcW w:w="1134" w:type="dxa"/>
            <w:gridSpan w:val="2"/>
            <w:tcBorders>
              <w:top w:val="single" w:sz="4" w:space="0" w:color="FFFFFF" w:themeColor="background1"/>
            </w:tcBorders>
            <w:shd w:val="clear" w:color="auto" w:fill="6B2976"/>
            <w:vAlign w:val="center"/>
          </w:tcPr>
          <w:p w14:paraId="69C170B1" w14:textId="77777777" w:rsidR="00532B54" w:rsidRPr="00FF084B" w:rsidRDefault="00532B54" w:rsidP="004C434C">
            <w:pPr>
              <w:spacing w:after="0"/>
              <w:jc w:val="right"/>
              <w:cnfStyle w:val="100000000000" w:firstRow="1" w:lastRow="0" w:firstColumn="0" w:lastColumn="0" w:oddVBand="0" w:evenVBand="0" w:oddHBand="0" w:evenHBand="0" w:firstRowFirstColumn="0" w:firstRowLastColumn="0" w:lastRowFirstColumn="0" w:lastRowLastColumn="0"/>
              <w:rPr>
                <w:rFonts w:cs="Arial"/>
                <w:b w:val="0"/>
                <w:color w:val="FFFFFF"/>
                <w:sz w:val="18"/>
                <w:szCs w:val="18"/>
              </w:rPr>
            </w:pPr>
            <w:r w:rsidRPr="00FF084B">
              <w:rPr>
                <w:rFonts w:cs="Arial"/>
                <w:color w:val="FFFFFF"/>
                <w:sz w:val="18"/>
                <w:szCs w:val="18"/>
              </w:rPr>
              <w:t>First review %</w:t>
            </w:r>
          </w:p>
        </w:tc>
        <w:tc>
          <w:tcPr>
            <w:tcW w:w="1190" w:type="dxa"/>
            <w:tcBorders>
              <w:top w:val="single" w:sz="4" w:space="0" w:color="FFFFFF" w:themeColor="background1"/>
            </w:tcBorders>
            <w:shd w:val="clear" w:color="auto" w:fill="6B2976"/>
            <w:vAlign w:val="center"/>
          </w:tcPr>
          <w:p w14:paraId="3D0D306F" w14:textId="77777777" w:rsidR="00532B54" w:rsidRPr="00FF084B" w:rsidRDefault="00532B54" w:rsidP="004C434C">
            <w:pPr>
              <w:spacing w:after="0"/>
              <w:jc w:val="right"/>
              <w:cnfStyle w:val="100000000000" w:firstRow="1" w:lastRow="0" w:firstColumn="0" w:lastColumn="0" w:oddVBand="0" w:evenVBand="0" w:oddHBand="0" w:evenHBand="0" w:firstRowFirstColumn="0" w:firstRowLastColumn="0" w:lastRowFirstColumn="0" w:lastRowLastColumn="0"/>
              <w:rPr>
                <w:rFonts w:cs="Arial"/>
                <w:b w:val="0"/>
                <w:color w:val="FFFFFF"/>
                <w:sz w:val="18"/>
                <w:szCs w:val="18"/>
              </w:rPr>
            </w:pPr>
            <w:r w:rsidRPr="00FF084B">
              <w:rPr>
                <w:rFonts w:cs="Arial"/>
                <w:color w:val="FFFFFF"/>
                <w:sz w:val="18"/>
                <w:szCs w:val="18"/>
              </w:rPr>
              <w:t>Latest review %</w:t>
            </w:r>
          </w:p>
        </w:tc>
        <w:tc>
          <w:tcPr>
            <w:tcW w:w="1503" w:type="dxa"/>
            <w:tcBorders>
              <w:top w:val="single" w:sz="4" w:space="0" w:color="FFFFFF" w:themeColor="background1"/>
            </w:tcBorders>
            <w:shd w:val="clear" w:color="auto" w:fill="6B2976"/>
            <w:vAlign w:val="center"/>
          </w:tcPr>
          <w:p w14:paraId="3E07EF03" w14:textId="77777777" w:rsidR="00532B54" w:rsidRPr="00FF084B" w:rsidRDefault="00532B54" w:rsidP="004C434C">
            <w:pPr>
              <w:spacing w:after="0"/>
              <w:jc w:val="right"/>
              <w:cnfStyle w:val="100000000000" w:firstRow="1" w:lastRow="0" w:firstColumn="0" w:lastColumn="0" w:oddVBand="0" w:evenVBand="0" w:oddHBand="0" w:evenHBand="0" w:firstRowFirstColumn="0" w:firstRowLastColumn="0" w:lastRowFirstColumn="0" w:lastRowLastColumn="0"/>
              <w:rPr>
                <w:rFonts w:cs="Arial"/>
                <w:b w:val="0"/>
                <w:color w:val="FFFFFF"/>
                <w:sz w:val="18"/>
                <w:szCs w:val="18"/>
              </w:rPr>
            </w:pPr>
            <w:r w:rsidRPr="00FF084B">
              <w:rPr>
                <w:rFonts w:cs="Arial"/>
                <w:color w:val="FFFFFF"/>
                <w:sz w:val="18"/>
                <w:szCs w:val="18"/>
              </w:rPr>
              <w:t xml:space="preserve">Percentage point change </w:t>
            </w:r>
          </w:p>
        </w:tc>
        <w:tc>
          <w:tcPr>
            <w:tcW w:w="1134" w:type="dxa"/>
            <w:tcBorders>
              <w:top w:val="single" w:sz="4" w:space="0" w:color="FFFFFF" w:themeColor="background1"/>
            </w:tcBorders>
            <w:shd w:val="clear" w:color="auto" w:fill="6B2976"/>
            <w:vAlign w:val="center"/>
          </w:tcPr>
          <w:p w14:paraId="51691404" w14:textId="77777777" w:rsidR="00532B54" w:rsidRPr="00FF084B" w:rsidRDefault="00532B54" w:rsidP="004C434C">
            <w:pPr>
              <w:spacing w:after="0"/>
              <w:jc w:val="right"/>
              <w:cnfStyle w:val="100000000000" w:firstRow="1" w:lastRow="0" w:firstColumn="0" w:lastColumn="0" w:oddVBand="0" w:evenVBand="0" w:oddHBand="0" w:evenHBand="0" w:firstRowFirstColumn="0" w:firstRowLastColumn="0" w:lastRowFirstColumn="0" w:lastRowLastColumn="0"/>
              <w:rPr>
                <w:rFonts w:cs="Arial"/>
                <w:b w:val="0"/>
                <w:color w:val="FFFFFF"/>
                <w:sz w:val="18"/>
                <w:szCs w:val="18"/>
              </w:rPr>
            </w:pPr>
            <w:r w:rsidRPr="00FF084B">
              <w:rPr>
                <w:rFonts w:cs="Arial"/>
                <w:color w:val="FFFFFF"/>
                <w:sz w:val="18"/>
                <w:szCs w:val="18"/>
              </w:rPr>
              <w:t>First review %</w:t>
            </w:r>
          </w:p>
        </w:tc>
        <w:tc>
          <w:tcPr>
            <w:tcW w:w="1134" w:type="dxa"/>
            <w:tcBorders>
              <w:top w:val="single" w:sz="4" w:space="0" w:color="FFFFFF" w:themeColor="background1"/>
            </w:tcBorders>
            <w:shd w:val="clear" w:color="auto" w:fill="6B2976"/>
            <w:vAlign w:val="center"/>
          </w:tcPr>
          <w:p w14:paraId="4731B3B2" w14:textId="77777777" w:rsidR="00532B54" w:rsidRPr="00FF084B" w:rsidRDefault="00532B54" w:rsidP="004C434C">
            <w:pPr>
              <w:spacing w:after="0"/>
              <w:jc w:val="right"/>
              <w:cnfStyle w:val="100000000000" w:firstRow="1" w:lastRow="0" w:firstColumn="0" w:lastColumn="0" w:oddVBand="0" w:evenVBand="0" w:oddHBand="0" w:evenHBand="0" w:firstRowFirstColumn="0" w:firstRowLastColumn="0" w:lastRowFirstColumn="0" w:lastRowLastColumn="0"/>
              <w:rPr>
                <w:rFonts w:cs="Arial"/>
                <w:b w:val="0"/>
                <w:color w:val="FFFFFF"/>
                <w:sz w:val="18"/>
                <w:szCs w:val="18"/>
              </w:rPr>
            </w:pPr>
            <w:r w:rsidRPr="00FF084B">
              <w:rPr>
                <w:rFonts w:cs="Arial"/>
                <w:color w:val="FFFFFF"/>
                <w:sz w:val="18"/>
                <w:szCs w:val="18"/>
              </w:rPr>
              <w:t>Latest review %</w:t>
            </w:r>
          </w:p>
        </w:tc>
        <w:tc>
          <w:tcPr>
            <w:tcW w:w="1276" w:type="dxa"/>
            <w:tcBorders>
              <w:top w:val="single" w:sz="4" w:space="0" w:color="FFFFFF" w:themeColor="background1"/>
            </w:tcBorders>
            <w:shd w:val="clear" w:color="auto" w:fill="6B2976"/>
            <w:vAlign w:val="center"/>
          </w:tcPr>
          <w:p w14:paraId="58C79020" w14:textId="77777777" w:rsidR="00532B54" w:rsidRPr="00FF084B" w:rsidRDefault="00532B54" w:rsidP="004C434C">
            <w:pPr>
              <w:spacing w:after="0"/>
              <w:jc w:val="right"/>
              <w:cnfStyle w:val="100000000000" w:firstRow="1" w:lastRow="0" w:firstColumn="0" w:lastColumn="0" w:oddVBand="0" w:evenVBand="0" w:oddHBand="0" w:evenHBand="0" w:firstRowFirstColumn="0" w:firstRowLastColumn="0" w:lastRowFirstColumn="0" w:lastRowLastColumn="0"/>
              <w:rPr>
                <w:rFonts w:cs="Arial"/>
                <w:b w:val="0"/>
                <w:color w:val="FFFFFF"/>
                <w:sz w:val="18"/>
                <w:szCs w:val="18"/>
              </w:rPr>
            </w:pPr>
            <w:r w:rsidRPr="00FF084B">
              <w:rPr>
                <w:rFonts w:cs="Arial"/>
                <w:color w:val="FFFFFF"/>
                <w:sz w:val="18"/>
                <w:szCs w:val="18"/>
              </w:rPr>
              <w:t xml:space="preserve">Percentage point change </w:t>
            </w:r>
          </w:p>
        </w:tc>
      </w:tr>
      <w:tr w:rsidR="00252EAF" w:rsidRPr="00FF084B" w14:paraId="58EAF94D" w14:textId="77777777" w:rsidTr="00252EA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268" w:type="dxa"/>
            <w:gridSpan w:val="2"/>
            <w:vAlign w:val="center"/>
          </w:tcPr>
          <w:p w14:paraId="09DA5E56" w14:textId="77777777" w:rsidR="00532B54" w:rsidRPr="00FF084B" w:rsidRDefault="00532B54" w:rsidP="00FF084B">
            <w:pPr>
              <w:spacing w:after="0"/>
              <w:rPr>
                <w:rFonts w:cs="Arial"/>
                <w:b w:val="0"/>
                <w:sz w:val="18"/>
                <w:szCs w:val="18"/>
              </w:rPr>
            </w:pPr>
            <w:r w:rsidRPr="00FF084B">
              <w:rPr>
                <w:rFonts w:cs="Arial"/>
                <w:b w:val="0"/>
                <w:sz w:val="18"/>
                <w:szCs w:val="18"/>
              </w:rPr>
              <w:t>Rights and advocacy</w:t>
            </w:r>
          </w:p>
        </w:tc>
        <w:tc>
          <w:tcPr>
            <w:tcW w:w="993" w:type="dxa"/>
            <w:vAlign w:val="center"/>
          </w:tcPr>
          <w:p w14:paraId="1961BE38"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62</w:t>
            </w:r>
          </w:p>
        </w:tc>
        <w:tc>
          <w:tcPr>
            <w:tcW w:w="1190" w:type="dxa"/>
            <w:vAlign w:val="center"/>
          </w:tcPr>
          <w:p w14:paraId="55CB2DEE"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70</w:t>
            </w:r>
          </w:p>
        </w:tc>
        <w:tc>
          <w:tcPr>
            <w:tcW w:w="1503" w:type="dxa"/>
            <w:vAlign w:val="center"/>
          </w:tcPr>
          <w:p w14:paraId="6EADD727"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+8</w:t>
            </w:r>
          </w:p>
        </w:tc>
        <w:tc>
          <w:tcPr>
            <w:tcW w:w="1134" w:type="dxa"/>
            <w:vAlign w:val="center"/>
          </w:tcPr>
          <w:p w14:paraId="1E23EF40"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50</w:t>
            </w:r>
          </w:p>
        </w:tc>
        <w:tc>
          <w:tcPr>
            <w:tcW w:w="1134" w:type="dxa"/>
            <w:vAlign w:val="center"/>
          </w:tcPr>
          <w:p w14:paraId="639E3C4B"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62</w:t>
            </w:r>
          </w:p>
        </w:tc>
        <w:tc>
          <w:tcPr>
            <w:tcW w:w="1276" w:type="dxa"/>
            <w:vAlign w:val="center"/>
          </w:tcPr>
          <w:p w14:paraId="487C057A"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+12</w:t>
            </w:r>
          </w:p>
        </w:tc>
      </w:tr>
      <w:tr w:rsidR="00532B54" w:rsidRPr="00FF084B" w14:paraId="64FAE4A1"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2268" w:type="dxa"/>
            <w:gridSpan w:val="2"/>
            <w:vAlign w:val="center"/>
          </w:tcPr>
          <w:p w14:paraId="496AF2F6" w14:textId="77777777" w:rsidR="00532B54" w:rsidRPr="00FF084B" w:rsidRDefault="00532B54" w:rsidP="00FF084B">
            <w:pPr>
              <w:spacing w:after="0"/>
              <w:rPr>
                <w:rFonts w:cs="Arial"/>
                <w:b w:val="0"/>
                <w:sz w:val="18"/>
                <w:szCs w:val="18"/>
              </w:rPr>
            </w:pPr>
            <w:r w:rsidRPr="00FF084B">
              <w:rPr>
                <w:rFonts w:cs="Arial"/>
                <w:b w:val="0"/>
                <w:sz w:val="18"/>
                <w:szCs w:val="18"/>
              </w:rPr>
              <w:t>Families feel supported</w:t>
            </w:r>
          </w:p>
        </w:tc>
        <w:tc>
          <w:tcPr>
            <w:tcW w:w="993" w:type="dxa"/>
            <w:vAlign w:val="center"/>
          </w:tcPr>
          <w:p w14:paraId="26F7A81A" w14:textId="77777777" w:rsidR="00532B54" w:rsidRPr="00FF084B"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F084B">
              <w:rPr>
                <w:rFonts w:cs="Arial"/>
                <w:sz w:val="18"/>
                <w:szCs w:val="18"/>
              </w:rPr>
              <w:t>68</w:t>
            </w:r>
          </w:p>
        </w:tc>
        <w:tc>
          <w:tcPr>
            <w:tcW w:w="1190" w:type="dxa"/>
            <w:vAlign w:val="center"/>
          </w:tcPr>
          <w:p w14:paraId="05F8B408" w14:textId="77777777" w:rsidR="00532B54" w:rsidRPr="00FF084B"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F084B">
              <w:rPr>
                <w:rFonts w:cs="Arial"/>
                <w:sz w:val="18"/>
                <w:szCs w:val="18"/>
              </w:rPr>
              <w:t>76</w:t>
            </w:r>
          </w:p>
        </w:tc>
        <w:tc>
          <w:tcPr>
            <w:tcW w:w="1503" w:type="dxa"/>
            <w:vAlign w:val="center"/>
          </w:tcPr>
          <w:p w14:paraId="311F4E6E" w14:textId="77777777" w:rsidR="00532B54" w:rsidRPr="00FF084B"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F084B">
              <w:rPr>
                <w:rFonts w:cs="Arial"/>
                <w:sz w:val="18"/>
                <w:szCs w:val="18"/>
              </w:rPr>
              <w:t>+8</w:t>
            </w:r>
          </w:p>
        </w:tc>
        <w:tc>
          <w:tcPr>
            <w:tcW w:w="1134" w:type="dxa"/>
            <w:vAlign w:val="center"/>
          </w:tcPr>
          <w:p w14:paraId="19109C4B" w14:textId="77777777" w:rsidR="00532B54" w:rsidRPr="00FF084B"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F084B">
              <w:rPr>
                <w:rFonts w:cs="Arial"/>
                <w:sz w:val="18"/>
                <w:szCs w:val="18"/>
              </w:rPr>
              <w:t>62</w:t>
            </w:r>
          </w:p>
        </w:tc>
        <w:tc>
          <w:tcPr>
            <w:tcW w:w="1134" w:type="dxa"/>
            <w:vAlign w:val="center"/>
          </w:tcPr>
          <w:p w14:paraId="2D48A3EB" w14:textId="77777777" w:rsidR="00532B54" w:rsidRPr="00FF084B"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F084B">
              <w:rPr>
                <w:rFonts w:cs="Arial"/>
                <w:sz w:val="18"/>
                <w:szCs w:val="18"/>
              </w:rPr>
              <w:t>74</w:t>
            </w:r>
          </w:p>
        </w:tc>
        <w:tc>
          <w:tcPr>
            <w:tcW w:w="1276" w:type="dxa"/>
            <w:vAlign w:val="center"/>
          </w:tcPr>
          <w:p w14:paraId="56C52A76" w14:textId="77777777" w:rsidR="00532B54" w:rsidRPr="00FF084B"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F084B">
              <w:rPr>
                <w:rFonts w:cs="Arial"/>
                <w:sz w:val="18"/>
                <w:szCs w:val="18"/>
              </w:rPr>
              <w:t>+12</w:t>
            </w:r>
          </w:p>
        </w:tc>
      </w:tr>
      <w:tr w:rsidR="00252EAF" w:rsidRPr="00FF084B" w14:paraId="5C488E4E" w14:textId="77777777" w:rsidTr="00252EA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268" w:type="dxa"/>
            <w:gridSpan w:val="2"/>
            <w:vAlign w:val="center"/>
          </w:tcPr>
          <w:p w14:paraId="0821E6AF" w14:textId="77777777" w:rsidR="00532B54" w:rsidRPr="00FF084B" w:rsidRDefault="00532B54" w:rsidP="00FF084B">
            <w:pPr>
              <w:spacing w:after="0"/>
              <w:rPr>
                <w:rFonts w:cs="Arial"/>
                <w:b w:val="0"/>
                <w:sz w:val="18"/>
                <w:szCs w:val="18"/>
              </w:rPr>
            </w:pPr>
            <w:r w:rsidRPr="00FF084B">
              <w:rPr>
                <w:rFonts w:cs="Arial"/>
                <w:b w:val="0"/>
                <w:sz w:val="18"/>
                <w:szCs w:val="18"/>
              </w:rPr>
              <w:t>Access to services, programs and activities</w:t>
            </w:r>
          </w:p>
        </w:tc>
        <w:tc>
          <w:tcPr>
            <w:tcW w:w="993" w:type="dxa"/>
            <w:vAlign w:val="center"/>
          </w:tcPr>
          <w:p w14:paraId="179B7429"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70</w:t>
            </w:r>
          </w:p>
        </w:tc>
        <w:tc>
          <w:tcPr>
            <w:tcW w:w="1190" w:type="dxa"/>
            <w:vAlign w:val="center"/>
          </w:tcPr>
          <w:p w14:paraId="41C3FF4B"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77</w:t>
            </w:r>
          </w:p>
        </w:tc>
        <w:tc>
          <w:tcPr>
            <w:tcW w:w="1503" w:type="dxa"/>
            <w:vAlign w:val="center"/>
          </w:tcPr>
          <w:p w14:paraId="1725B525"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+7</w:t>
            </w:r>
          </w:p>
        </w:tc>
        <w:tc>
          <w:tcPr>
            <w:tcW w:w="1134" w:type="dxa"/>
            <w:vAlign w:val="center"/>
          </w:tcPr>
          <w:p w14:paraId="1CA2F834"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59</w:t>
            </w:r>
          </w:p>
        </w:tc>
        <w:tc>
          <w:tcPr>
            <w:tcW w:w="1134" w:type="dxa"/>
            <w:vAlign w:val="center"/>
          </w:tcPr>
          <w:p w14:paraId="3318995D"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70</w:t>
            </w:r>
          </w:p>
        </w:tc>
        <w:tc>
          <w:tcPr>
            <w:tcW w:w="1276" w:type="dxa"/>
            <w:vAlign w:val="center"/>
          </w:tcPr>
          <w:p w14:paraId="51C060A5"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+10</w:t>
            </w:r>
          </w:p>
        </w:tc>
      </w:tr>
      <w:tr w:rsidR="00532B54" w:rsidRPr="00FF084B" w14:paraId="424A19A3"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2268" w:type="dxa"/>
            <w:gridSpan w:val="2"/>
            <w:vAlign w:val="center"/>
          </w:tcPr>
          <w:p w14:paraId="6688238B" w14:textId="77777777" w:rsidR="00532B54" w:rsidRPr="00FF084B" w:rsidRDefault="00532B54" w:rsidP="00FF084B">
            <w:pPr>
              <w:spacing w:after="0"/>
              <w:rPr>
                <w:rFonts w:cs="Arial"/>
                <w:b w:val="0"/>
                <w:sz w:val="18"/>
                <w:szCs w:val="18"/>
              </w:rPr>
            </w:pPr>
            <w:r w:rsidRPr="00FF084B">
              <w:rPr>
                <w:rFonts w:cs="Arial"/>
                <w:b w:val="0"/>
                <w:sz w:val="18"/>
                <w:szCs w:val="18"/>
              </w:rPr>
              <w:t>Health and wellbeing</w:t>
            </w:r>
          </w:p>
        </w:tc>
        <w:tc>
          <w:tcPr>
            <w:tcW w:w="993" w:type="dxa"/>
            <w:vAlign w:val="center"/>
          </w:tcPr>
          <w:p w14:paraId="0FC88A34" w14:textId="77777777" w:rsidR="00532B54" w:rsidRPr="00FF084B"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F084B">
              <w:rPr>
                <w:rFonts w:cs="Arial"/>
                <w:sz w:val="18"/>
                <w:szCs w:val="18"/>
              </w:rPr>
              <w:t>43</w:t>
            </w:r>
          </w:p>
        </w:tc>
        <w:tc>
          <w:tcPr>
            <w:tcW w:w="1190" w:type="dxa"/>
            <w:vAlign w:val="center"/>
          </w:tcPr>
          <w:p w14:paraId="1B6AA64A" w14:textId="77777777" w:rsidR="00532B54" w:rsidRPr="00FF084B"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F084B">
              <w:rPr>
                <w:rFonts w:cs="Arial"/>
                <w:sz w:val="18"/>
                <w:szCs w:val="18"/>
              </w:rPr>
              <w:t>48</w:t>
            </w:r>
          </w:p>
        </w:tc>
        <w:tc>
          <w:tcPr>
            <w:tcW w:w="1503" w:type="dxa"/>
            <w:vAlign w:val="center"/>
          </w:tcPr>
          <w:p w14:paraId="657A1D9A" w14:textId="77777777" w:rsidR="00532B54" w:rsidRPr="00FF084B"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F084B">
              <w:rPr>
                <w:rFonts w:cs="Arial"/>
                <w:sz w:val="18"/>
                <w:szCs w:val="18"/>
              </w:rPr>
              <w:t>+4</w:t>
            </w:r>
          </w:p>
        </w:tc>
        <w:tc>
          <w:tcPr>
            <w:tcW w:w="1134" w:type="dxa"/>
            <w:vAlign w:val="center"/>
          </w:tcPr>
          <w:p w14:paraId="18CE8A0B" w14:textId="77777777" w:rsidR="00532B54" w:rsidRPr="00FF084B"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F084B">
              <w:rPr>
                <w:rFonts w:cs="Arial"/>
                <w:sz w:val="18"/>
                <w:szCs w:val="18"/>
              </w:rPr>
              <w:t>35</w:t>
            </w:r>
          </w:p>
        </w:tc>
        <w:tc>
          <w:tcPr>
            <w:tcW w:w="1134" w:type="dxa"/>
            <w:vAlign w:val="center"/>
          </w:tcPr>
          <w:p w14:paraId="46928D74" w14:textId="77777777" w:rsidR="00532B54" w:rsidRPr="00FF084B"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F084B">
              <w:rPr>
                <w:rFonts w:cs="Arial"/>
                <w:sz w:val="18"/>
                <w:szCs w:val="18"/>
              </w:rPr>
              <w:t>40</w:t>
            </w:r>
          </w:p>
        </w:tc>
        <w:tc>
          <w:tcPr>
            <w:tcW w:w="1276" w:type="dxa"/>
            <w:vAlign w:val="center"/>
          </w:tcPr>
          <w:p w14:paraId="7F498396" w14:textId="77777777" w:rsidR="00532B54" w:rsidRPr="00FF084B" w:rsidRDefault="00532B54" w:rsidP="004C434C">
            <w:pPr>
              <w:spacing w:after="0"/>
              <w:jc w:val="right"/>
              <w:cnfStyle w:val="000000000000" w:firstRow="0" w:lastRow="0" w:firstColumn="0" w:lastColumn="0" w:oddVBand="0" w:evenVBand="0" w:oddHBand="0" w:evenHBand="0" w:firstRowFirstColumn="0" w:firstRowLastColumn="0" w:lastRowFirstColumn="0" w:lastRowLastColumn="0"/>
              <w:rPr>
                <w:rFonts w:cs="Arial"/>
                <w:sz w:val="18"/>
                <w:szCs w:val="18"/>
              </w:rPr>
            </w:pPr>
            <w:r w:rsidRPr="00FF084B">
              <w:rPr>
                <w:rFonts w:cs="Arial"/>
                <w:sz w:val="18"/>
                <w:szCs w:val="18"/>
              </w:rPr>
              <w:t>+5</w:t>
            </w:r>
          </w:p>
        </w:tc>
      </w:tr>
      <w:tr w:rsidR="00252EAF" w:rsidRPr="00FF084B" w14:paraId="33F6E8DD" w14:textId="77777777" w:rsidTr="00252EAF">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268" w:type="dxa"/>
            <w:gridSpan w:val="2"/>
            <w:tcBorders>
              <w:bottom w:val="single" w:sz="4" w:space="0" w:color="auto"/>
            </w:tcBorders>
            <w:vAlign w:val="center"/>
          </w:tcPr>
          <w:p w14:paraId="2FC65DB4" w14:textId="77777777" w:rsidR="00532B54" w:rsidRPr="00FF084B" w:rsidRDefault="00532B54" w:rsidP="00FF084B">
            <w:pPr>
              <w:spacing w:after="0"/>
              <w:rPr>
                <w:rFonts w:cs="Arial"/>
                <w:b w:val="0"/>
                <w:sz w:val="18"/>
                <w:szCs w:val="18"/>
              </w:rPr>
            </w:pPr>
            <w:r w:rsidRPr="00FF084B">
              <w:rPr>
                <w:rFonts w:cs="Arial"/>
                <w:b w:val="0"/>
                <w:sz w:val="18"/>
                <w:szCs w:val="18"/>
              </w:rPr>
              <w:t>Child’s development</w:t>
            </w:r>
          </w:p>
        </w:tc>
        <w:tc>
          <w:tcPr>
            <w:tcW w:w="993" w:type="dxa"/>
            <w:tcBorders>
              <w:bottom w:val="single" w:sz="4" w:space="0" w:color="auto"/>
            </w:tcBorders>
            <w:vAlign w:val="center"/>
          </w:tcPr>
          <w:p w14:paraId="680593E9"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75</w:t>
            </w:r>
          </w:p>
        </w:tc>
        <w:tc>
          <w:tcPr>
            <w:tcW w:w="1190" w:type="dxa"/>
            <w:tcBorders>
              <w:bottom w:val="single" w:sz="4" w:space="0" w:color="auto"/>
            </w:tcBorders>
            <w:vAlign w:val="center"/>
          </w:tcPr>
          <w:p w14:paraId="39084376"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81</w:t>
            </w:r>
          </w:p>
        </w:tc>
        <w:tc>
          <w:tcPr>
            <w:tcW w:w="1503" w:type="dxa"/>
            <w:tcBorders>
              <w:bottom w:val="single" w:sz="4" w:space="0" w:color="auto"/>
            </w:tcBorders>
            <w:vAlign w:val="center"/>
          </w:tcPr>
          <w:p w14:paraId="0D10DC56"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+6</w:t>
            </w:r>
          </w:p>
        </w:tc>
        <w:tc>
          <w:tcPr>
            <w:tcW w:w="1134" w:type="dxa"/>
            <w:tcBorders>
              <w:bottom w:val="single" w:sz="4" w:space="0" w:color="auto"/>
            </w:tcBorders>
            <w:vAlign w:val="center"/>
          </w:tcPr>
          <w:p w14:paraId="5AE19A3E"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w:t>
            </w:r>
          </w:p>
        </w:tc>
        <w:tc>
          <w:tcPr>
            <w:tcW w:w="1134" w:type="dxa"/>
            <w:tcBorders>
              <w:bottom w:val="single" w:sz="4" w:space="0" w:color="auto"/>
            </w:tcBorders>
            <w:vAlign w:val="center"/>
          </w:tcPr>
          <w:p w14:paraId="1BE735E9"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w:t>
            </w:r>
          </w:p>
        </w:tc>
        <w:tc>
          <w:tcPr>
            <w:tcW w:w="1276" w:type="dxa"/>
            <w:tcBorders>
              <w:bottom w:val="single" w:sz="4" w:space="0" w:color="auto"/>
            </w:tcBorders>
            <w:vAlign w:val="center"/>
          </w:tcPr>
          <w:p w14:paraId="100BE904" w14:textId="77777777" w:rsidR="00532B54" w:rsidRPr="00FF084B" w:rsidRDefault="00532B54" w:rsidP="004C434C">
            <w:pPr>
              <w:spacing w:after="0"/>
              <w:jc w:val="right"/>
              <w:cnfStyle w:val="000000100000" w:firstRow="0" w:lastRow="0" w:firstColumn="0" w:lastColumn="0" w:oddVBand="0" w:evenVBand="0" w:oddHBand="1" w:evenHBand="0" w:firstRowFirstColumn="0" w:firstRowLastColumn="0" w:lastRowFirstColumn="0" w:lastRowLastColumn="0"/>
              <w:rPr>
                <w:rFonts w:cs="Arial"/>
                <w:sz w:val="18"/>
                <w:szCs w:val="18"/>
              </w:rPr>
            </w:pPr>
            <w:r w:rsidRPr="00FF084B">
              <w:rPr>
                <w:rFonts w:cs="Arial"/>
                <w:sz w:val="18"/>
                <w:szCs w:val="18"/>
              </w:rPr>
              <w:t>-</w:t>
            </w:r>
          </w:p>
        </w:tc>
      </w:tr>
    </w:tbl>
    <w:p w14:paraId="225038C9" w14:textId="77777777" w:rsidR="00532B54" w:rsidRDefault="00532B54">
      <w:pPr>
        <w:pStyle w:val="FSRnormal"/>
      </w:pPr>
      <w:r w:rsidRPr="006514A2">
        <w:t xml:space="preserve">From </w:t>
      </w:r>
      <w:r w:rsidR="00260852" w:rsidRPr="00C53CDC">
        <w:t xml:space="preserve">Table </w:t>
      </w:r>
      <w:r w:rsidR="00260852" w:rsidRPr="00C53CDC">
        <w:rPr>
          <w:noProof/>
        </w:rPr>
        <w:t>7.5</w:t>
      </w:r>
      <w:r w:rsidRPr="006514A2">
        <w:t>, perceptions tend to be more positive for families/carers of participants aged 0 to 14 than for those of older participants. The largest improvements over time in the Scheme have been observed for “rights and advocacy” and “families feel supported” (+8 percentage points for families/carers of participants aged 0 to 14, and +12 percentage points for families/carers of participants aged 15 and over). Strong improvements have also been observed for access</w:t>
      </w:r>
      <w:r>
        <w:t xml:space="preserve"> to services (+7 and +10 for families/carers of participants aged 0 to14 and those aged 15 and over, respectively), and to a lesser extent health and wellbeing (+4 and +5, respectively). </w:t>
      </w:r>
    </w:p>
    <w:p w14:paraId="7A9F29F8" w14:textId="77777777" w:rsidR="00532B54" w:rsidRDefault="00FF084B" w:rsidP="00FF084B">
      <w:pPr>
        <w:pStyle w:val="FSRnormal"/>
      </w:pPr>
      <w:r w:rsidRPr="00FF084B">
        <w:t xml:space="preserve">Figure </w:t>
      </w:r>
      <w:r w:rsidRPr="00FF084B">
        <w:rPr>
          <w:noProof/>
        </w:rPr>
        <w:t>7</w:t>
      </w:r>
      <w:r w:rsidRPr="00FF084B">
        <w:t>.</w:t>
      </w:r>
      <w:r w:rsidRPr="00FF084B">
        <w:rPr>
          <w:noProof/>
        </w:rPr>
        <w:t>11</w:t>
      </w:r>
      <w:r w:rsidR="00532B54">
        <w:t xml:space="preserve"> provides more detail for the question “Has the NDIS improved the level of support for your family?”, showing trends over time in the Scheme for different duration cohorts (participants who have been in the Scheme for approximately five, four, three or two years at 30 June 2022).</w:t>
      </w:r>
    </w:p>
    <w:p w14:paraId="4719FCB7" w14:textId="77777777" w:rsidR="00532B54" w:rsidRDefault="00532B54" w:rsidP="00532B54">
      <w:pPr>
        <w:spacing w:after="160" w:line="259" w:lineRule="auto"/>
      </w:pPr>
      <w:r>
        <w:br w:type="page"/>
      </w:r>
    </w:p>
    <w:p w14:paraId="4B00C86E" w14:textId="77777777" w:rsidR="00532B54" w:rsidRPr="0088770F" w:rsidRDefault="00532B54" w:rsidP="00FF084B">
      <w:pPr>
        <w:pStyle w:val="Figures"/>
      </w:pPr>
      <w:bookmarkStart w:id="333" w:name="_Ref113285936"/>
      <w:bookmarkStart w:id="334" w:name="_Ref111720441"/>
      <w:r w:rsidRPr="004C4037">
        <w:lastRenderedPageBreak/>
        <w:t xml:space="preserve">Figure </w:t>
      </w:r>
      <w:fldSimple w:instr=" STYLEREF 2 \s ">
        <w:r w:rsidR="00447AA1">
          <w:rPr>
            <w:noProof/>
          </w:rPr>
          <w:t>7</w:t>
        </w:r>
      </w:fldSimple>
      <w:r w:rsidR="00447AA1">
        <w:t>.</w:t>
      </w:r>
      <w:fldSimple w:instr=" SEQ Figure \* ARABIC \s 2 ">
        <w:r w:rsidR="00447AA1">
          <w:rPr>
            <w:noProof/>
          </w:rPr>
          <w:t>11</w:t>
        </w:r>
      </w:fldSimple>
      <w:bookmarkEnd w:id="333"/>
      <w:bookmarkEnd w:id="334"/>
      <w:r w:rsidRPr="004C4037">
        <w:t>:</w:t>
      </w:r>
      <w:r w:rsidRPr="0088770F">
        <w:t xml:space="preserve"> Percentage </w:t>
      </w:r>
      <w:r>
        <w:t>of families/carers who think that the NDIS has improved the level of support for their family</w:t>
      </w:r>
      <w:r w:rsidRPr="0088770F">
        <w:t xml:space="preserve"> – longitudinal trends for participants in the Scheme for two to five years</w:t>
      </w:r>
      <w:r>
        <w:t>, age 0 to 14 and 15 and over</w:t>
      </w:r>
    </w:p>
    <w:p w14:paraId="7815F687" w14:textId="77777777" w:rsidR="00532B54" w:rsidRDefault="00532B54" w:rsidP="00532B54">
      <w:pPr>
        <w:pStyle w:val="FSRnormal"/>
        <w:spacing w:before="0"/>
        <w:ind w:right="-613"/>
      </w:pPr>
      <w:r w:rsidRPr="002326D1">
        <w:rPr>
          <w:noProof/>
          <w:lang w:eastAsia="en-AU"/>
        </w:rPr>
        <w:drawing>
          <wp:inline distT="0" distB="0" distL="0" distR="0" wp14:anchorId="32507A29" wp14:editId="546B4F9C">
            <wp:extent cx="6077767" cy="2381693"/>
            <wp:effectExtent l="0" t="0" r="0" b="0"/>
            <wp:docPr id="12" name="Picture 12" descr="Two line charts are shown, for family/carers of participants aged 0 to 14 and family/carers of participants aged 15+.  The horizontal (x) axis shows each review time point (for example, R1 to R5 for participants in the Scheme for 5 years; R1 and R2 for participants in the Scheme for 2 years). The vertical (y) axis shows the percentage of families/carers who think the NDIS has improved the level of support for their family.&#10;Each chart shows 4 lines, representing the amount of time the participant has spent in scheme from five to two years. These lines plot the percentage of families/carers who think the NDIS has improved the level of support for their family across their time in the scheme.&#10;All of the lines show a generally increasing trend. The lines tend to shift downwards as time in Scheme increases.&#10;" title="Figure 7.11: Percentage of families/carers who think that the NDIS has improved the level of support for their family – longitudinal trends for participants in the Scheme for two to five years, age 0 to 14 and 15 and 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00445" cy="2390580"/>
                    </a:xfrm>
                    <a:prstGeom prst="rect">
                      <a:avLst/>
                    </a:prstGeom>
                    <a:noFill/>
                    <a:ln>
                      <a:noFill/>
                    </a:ln>
                  </pic:spPr>
                </pic:pic>
              </a:graphicData>
            </a:graphic>
          </wp:inline>
        </w:drawing>
      </w:r>
    </w:p>
    <w:p w14:paraId="7D9F9FB0" w14:textId="77777777" w:rsidR="003120C8" w:rsidRDefault="00FF084B" w:rsidP="00C53CDC">
      <w:pPr>
        <w:pStyle w:val="FSRnormal"/>
      </w:pPr>
      <w:r w:rsidRPr="00FF084B">
        <w:t xml:space="preserve">Figure </w:t>
      </w:r>
      <w:r w:rsidRPr="00FF084B">
        <w:rPr>
          <w:noProof/>
        </w:rPr>
        <w:t>7</w:t>
      </w:r>
      <w:r w:rsidRPr="00FF084B">
        <w:t>.</w:t>
      </w:r>
      <w:r w:rsidRPr="00FF084B">
        <w:rPr>
          <w:noProof/>
        </w:rPr>
        <w:t>11</w:t>
      </w:r>
      <w:r w:rsidR="00532B54" w:rsidRPr="006514A2">
        <w:t xml:space="preserve"> shows that families and carers increasingly feel that the NDIS has improved the level of support for their fa</w:t>
      </w:r>
      <w:r w:rsidR="00532B54">
        <w:t>mily, the longer the participant has been in the Scheme. Families and carers of participants entering more recently tend to have higher levels of satisfaction.</w:t>
      </w:r>
      <w:bookmarkEnd w:id="33"/>
      <w:bookmarkEnd w:id="277"/>
    </w:p>
    <w:p w14:paraId="6FBE0C82" w14:textId="77777777" w:rsidR="007E7707" w:rsidRDefault="007E7707">
      <w:pPr>
        <w:spacing w:after="160" w:line="259" w:lineRule="auto"/>
      </w:pPr>
      <w:r>
        <w:br w:type="page"/>
      </w:r>
    </w:p>
    <w:p w14:paraId="68F2D4E1" w14:textId="77777777" w:rsidR="007E7707" w:rsidRPr="007A7686" w:rsidRDefault="007E7707" w:rsidP="00DA3F73">
      <w:pPr>
        <w:pStyle w:val="Heading2"/>
        <w:ind w:left="2352" w:hanging="2352"/>
      </w:pPr>
      <w:bookmarkStart w:id="335" w:name="_Toc85031272"/>
      <w:bookmarkStart w:id="336" w:name="_Toc118460218"/>
      <w:r w:rsidRPr="007A7686">
        <w:lastRenderedPageBreak/>
        <w:t>Information systems and risk management approach</w:t>
      </w:r>
      <w:bookmarkEnd w:id="335"/>
      <w:bookmarkEnd w:id="336"/>
    </w:p>
    <w:p w14:paraId="46DDAD1B" w14:textId="77777777" w:rsidR="007E7707" w:rsidRPr="007A7686" w:rsidRDefault="007E7707" w:rsidP="007E7707">
      <w:pPr>
        <w:pStyle w:val="FSRnormal"/>
      </w:pPr>
      <w:bookmarkStart w:id="337" w:name="_Ref17453057"/>
      <w:bookmarkStart w:id="338" w:name="_Toc79766610"/>
      <w:r w:rsidRPr="007A7686">
        <w:t xml:space="preserve">The agency’s Information systems (comprising case management, finance and data warehouse) and risk management approach are important infrastructure in ongoing financial sustainability.  </w:t>
      </w:r>
    </w:p>
    <w:p w14:paraId="4146B7D4" w14:textId="77777777" w:rsidR="007E7707" w:rsidRPr="007A7686" w:rsidRDefault="007E7707" w:rsidP="00DA3F73">
      <w:pPr>
        <w:pStyle w:val="Heading3"/>
      </w:pPr>
      <w:bookmarkStart w:id="339" w:name="_Toc83220862"/>
      <w:bookmarkStart w:id="340" w:name="_Toc85031273"/>
      <w:bookmarkStart w:id="341" w:name="_Toc118460219"/>
      <w:r w:rsidRPr="007A7686">
        <w:t>Information systems</w:t>
      </w:r>
      <w:bookmarkEnd w:id="337"/>
      <w:bookmarkEnd w:id="338"/>
      <w:bookmarkEnd w:id="339"/>
      <w:bookmarkEnd w:id="340"/>
      <w:bookmarkEnd w:id="341"/>
    </w:p>
    <w:p w14:paraId="510723BF" w14:textId="77777777" w:rsidR="007E7707" w:rsidRPr="007A7686" w:rsidRDefault="007E7707">
      <w:pPr>
        <w:pStyle w:val="FSRHeading4"/>
      </w:pPr>
      <w:bookmarkStart w:id="342" w:name="_Ref48882434"/>
      <w:r w:rsidRPr="007A7686">
        <w:t>Case management systems</w:t>
      </w:r>
      <w:bookmarkEnd w:id="342"/>
    </w:p>
    <w:p w14:paraId="19F32729" w14:textId="77777777" w:rsidR="007E7707" w:rsidRPr="007A7686" w:rsidRDefault="007E7707" w:rsidP="007E7707">
      <w:pPr>
        <w:pStyle w:val="FSRnormal"/>
      </w:pPr>
      <w:r w:rsidRPr="007A7686">
        <w:t xml:space="preserve">The Agency currently uses SAP </w:t>
      </w:r>
      <w:r w:rsidRPr="007A7686">
        <w:rPr>
          <w:lang w:val="en-GB"/>
        </w:rPr>
        <w:t xml:space="preserve">Customer Relationship Management (CRM) </w:t>
      </w:r>
      <w:r w:rsidRPr="007A7686">
        <w:t xml:space="preserve">as its case management system. </w:t>
      </w:r>
      <w:r w:rsidRPr="007A7686">
        <w:rPr>
          <w:lang w:val="en-GB"/>
        </w:rPr>
        <w:t xml:space="preserve">The CRM system was deployed as a Minimum Viable Product on 1 July 2016 and is hosted and maintained by Services Australia. The primary objective of this delivery was to enable critical operational activities, such as plan approvals and payments. This approach did not meet the needs of the Agency, and as a consequence, has meant the implementation of necessary enhancements to the CRM has not been straightforward. The existing system has </w:t>
      </w:r>
      <w:r w:rsidRPr="007A7686">
        <w:t xml:space="preserve">a number of limitations, in particular an over-reliance on manual and off-system business processes, and limited capability to prioritise and direct work to the appropriate staff member to complete a task. This is mitigated somewhat by PANDA reporting which provides a single view of work for planning staff (work in progress) and leadership through individual and team dashboards. Business Intelligence (BI) tools consolidate and prioritise CRM work according to Service Level Agreements. Business Data Owners approve definitions with the oversight of the Data Management Committee. </w:t>
      </w:r>
    </w:p>
    <w:p w14:paraId="20322265" w14:textId="77777777" w:rsidR="007E7707" w:rsidRDefault="007E7707" w:rsidP="007E7707">
      <w:pPr>
        <w:pStyle w:val="FSRnormal"/>
      </w:pPr>
      <w:r w:rsidRPr="007A7686">
        <w:t xml:space="preserve">The Agency is building PACE, a business system based on Salesforce CRM that will replace the existing SAP CRM over time. </w:t>
      </w:r>
      <w:r>
        <w:t xml:space="preserve">PACE will save time, reduce workarounds and off system processes and give </w:t>
      </w:r>
      <w:r w:rsidR="00656F03">
        <w:t xml:space="preserve">staff </w:t>
      </w:r>
      <w:r>
        <w:t>more time for quality interactions with participants. It will deliver:</w:t>
      </w:r>
    </w:p>
    <w:p w14:paraId="3E5E2FA5" w14:textId="77777777" w:rsidR="007E7707" w:rsidRPr="007A7686" w:rsidRDefault="007E7707" w:rsidP="00DA3F73">
      <w:pPr>
        <w:pStyle w:val="FSRlist"/>
      </w:pPr>
      <w:r w:rsidRPr="007A7686">
        <w:t>A high-quality business system.</w:t>
      </w:r>
    </w:p>
    <w:p w14:paraId="3E569433" w14:textId="77777777" w:rsidR="007E7707" w:rsidRPr="007A7686" w:rsidRDefault="007E7707" w:rsidP="00DA3F73">
      <w:pPr>
        <w:pStyle w:val="FSRlist"/>
      </w:pPr>
      <w:r w:rsidRPr="007A7686">
        <w:t>Built-in quality and integrity controls.</w:t>
      </w:r>
    </w:p>
    <w:p w14:paraId="1A803867" w14:textId="77777777" w:rsidR="007E7707" w:rsidRPr="007A7686" w:rsidRDefault="007E7707" w:rsidP="00DA3F73">
      <w:pPr>
        <w:pStyle w:val="FSRlist"/>
      </w:pPr>
      <w:r w:rsidRPr="007A7686">
        <w:t>More flexibility and capability to put co-design and consultation outcomes in place.</w:t>
      </w:r>
    </w:p>
    <w:p w14:paraId="44009305" w14:textId="77777777" w:rsidR="007E7707" w:rsidRPr="007A7686" w:rsidRDefault="007E7707" w:rsidP="00DA3F73">
      <w:pPr>
        <w:pStyle w:val="FSRlist"/>
      </w:pPr>
      <w:r w:rsidRPr="007A7686">
        <w:t xml:space="preserve">Simpler internal processes to help </w:t>
      </w:r>
      <w:r>
        <w:t>the NDIA</w:t>
      </w:r>
      <w:r w:rsidRPr="007A7686">
        <w:t xml:space="preserve"> support participants and meet timeframes in our Participant Service Guarantee.</w:t>
      </w:r>
    </w:p>
    <w:p w14:paraId="65150B38" w14:textId="77777777" w:rsidR="007E7707" w:rsidRPr="007A7686" w:rsidRDefault="007E7707" w:rsidP="00DA3F73">
      <w:pPr>
        <w:pStyle w:val="FSRlist"/>
      </w:pPr>
      <w:r w:rsidRPr="007A7686">
        <w:t>Platforms and systems that help our planner and partner work.</w:t>
      </w:r>
    </w:p>
    <w:p w14:paraId="735C4C77" w14:textId="77777777" w:rsidR="007E7707" w:rsidRPr="007A7686" w:rsidRDefault="001E0EF1" w:rsidP="00DA3F73">
      <w:pPr>
        <w:pStyle w:val="FSRlist"/>
      </w:pPr>
      <w:r>
        <w:t>F</w:t>
      </w:r>
      <w:r w:rsidR="007E7707" w:rsidRPr="007A7686">
        <w:t>ull implement</w:t>
      </w:r>
      <w:r>
        <w:t>ation of</w:t>
      </w:r>
      <w:r w:rsidR="007E7707" w:rsidRPr="007A7686">
        <w:t xml:space="preserve"> the 2022 amendments to the NDIS Act.</w:t>
      </w:r>
    </w:p>
    <w:p w14:paraId="36EE6B5D" w14:textId="77777777" w:rsidR="007E7707" w:rsidRDefault="007E7707" w:rsidP="007E7707">
      <w:pPr>
        <w:pStyle w:val="FSRnormal"/>
      </w:pPr>
      <w:r>
        <w:t xml:space="preserve">PACE will manage workflow for key activities </w:t>
      </w:r>
      <w:r w:rsidR="009D236E">
        <w:t xml:space="preserve">similar to the </w:t>
      </w:r>
      <w:r>
        <w:t xml:space="preserve">current Work Load Manager (WLM). It will </w:t>
      </w:r>
      <w:r w:rsidR="009D236E">
        <w:t xml:space="preserve">support </w:t>
      </w:r>
      <w:r>
        <w:t>effective manage</w:t>
      </w:r>
      <w:r w:rsidR="009D236E">
        <w:t>ment of</w:t>
      </w:r>
      <w:r>
        <w:t xml:space="preserve"> check-ins, variations, reassessments, technical advice, enquiries, complaints, referrals, information requests and quality control checks.</w:t>
      </w:r>
    </w:p>
    <w:p w14:paraId="7399AB9E" w14:textId="77777777" w:rsidR="007E7707" w:rsidRPr="007A7686" w:rsidRDefault="007E7707" w:rsidP="00DA3F73">
      <w:pPr>
        <w:pStyle w:val="FSRnormal"/>
      </w:pPr>
      <w:r w:rsidRPr="007A7686">
        <w:lastRenderedPageBreak/>
        <w:t xml:space="preserve">User Acceptance Testing (UAT) of PACE started in June 2022 and key processes and PACE features will be tested in Tasmania before the end of the year. Testing in real time is part of </w:t>
      </w:r>
      <w:r>
        <w:t>the</w:t>
      </w:r>
      <w:r w:rsidRPr="007A7686">
        <w:t xml:space="preserve"> continuous improvement process.</w:t>
      </w:r>
      <w:r w:rsidR="00DA547A">
        <w:t xml:space="preserve"> </w:t>
      </w:r>
      <w:r>
        <w:t>The NDIA is</w:t>
      </w:r>
      <w:r w:rsidRPr="007A7686">
        <w:t xml:space="preserve"> also building an evaluation model </w:t>
      </w:r>
      <w:r>
        <w:t>to</w:t>
      </w:r>
      <w:r w:rsidRPr="007A7686">
        <w:t xml:space="preserve"> capture, assess and report back on the feedback from real time testing. </w:t>
      </w:r>
      <w:r>
        <w:t>I</w:t>
      </w:r>
      <w:r w:rsidRPr="007A7686">
        <w:t xml:space="preserve">mprovements </w:t>
      </w:r>
      <w:r>
        <w:t xml:space="preserve">will be made </w:t>
      </w:r>
      <w:r w:rsidRPr="007A7686">
        <w:t>to PACE based on the experience of Tasmanian participants, their families and carers, providers, NDIA and P</w:t>
      </w:r>
      <w:r w:rsidR="00FA3E21">
        <w:t xml:space="preserve">artners </w:t>
      </w:r>
      <w:r w:rsidRPr="007A7686">
        <w:t>i</w:t>
      </w:r>
      <w:r w:rsidR="00FA3E21">
        <w:t xml:space="preserve">n </w:t>
      </w:r>
      <w:r w:rsidRPr="007A7686">
        <w:t>T</w:t>
      </w:r>
      <w:r w:rsidR="00FA3E21">
        <w:t xml:space="preserve">he </w:t>
      </w:r>
      <w:r w:rsidRPr="007A7686">
        <w:t>C</w:t>
      </w:r>
      <w:r w:rsidR="00FA3E21">
        <w:t>ommunity</w:t>
      </w:r>
      <w:r w:rsidRPr="007A7686">
        <w:t xml:space="preserve"> staff before </w:t>
      </w:r>
      <w:r>
        <w:t>a</w:t>
      </w:r>
      <w:r w:rsidRPr="007A7686">
        <w:t xml:space="preserve"> national roll</w:t>
      </w:r>
      <w:r w:rsidR="001C24D4">
        <w:t>-</w:t>
      </w:r>
      <w:r w:rsidRPr="007A7686">
        <w:t>out</w:t>
      </w:r>
      <w:r>
        <w:t xml:space="preserve"> is considered</w:t>
      </w:r>
      <w:r w:rsidRPr="007A7686">
        <w:t>.</w:t>
      </w:r>
    </w:p>
    <w:p w14:paraId="6959CE9F" w14:textId="77777777" w:rsidR="007E7707" w:rsidRPr="007A7686" w:rsidRDefault="007E7707" w:rsidP="00DA3F73">
      <w:pPr>
        <w:pStyle w:val="FSRnormal"/>
      </w:pPr>
      <w:r w:rsidRPr="007A7686">
        <w:t>As of 30 June 2022</w:t>
      </w:r>
      <w:r>
        <w:t>,</w:t>
      </w:r>
      <w:r w:rsidRPr="007A7686">
        <w:t xml:space="preserve"> more than 12,100 people in Tasmania are benefiting from the NDIS, with 7,696 people receiving support for the first time and 343 first plans recently approved.</w:t>
      </w:r>
      <w:r>
        <w:t xml:space="preserve"> </w:t>
      </w:r>
      <w:r w:rsidRPr="007A7686">
        <w:t xml:space="preserve">Tasmania was chosen for its diversity in participants and geography. It also contains a smaller number of cross border service providers. </w:t>
      </w:r>
    </w:p>
    <w:p w14:paraId="35589E47" w14:textId="77777777" w:rsidR="007E7707" w:rsidRPr="007E7707" w:rsidRDefault="007E7707">
      <w:pPr>
        <w:pStyle w:val="FSRHeading4"/>
      </w:pPr>
      <w:r w:rsidRPr="007E7707">
        <w:t>Finance systems</w:t>
      </w:r>
    </w:p>
    <w:p w14:paraId="23BCCE94" w14:textId="77777777" w:rsidR="007E7707" w:rsidRPr="007E7707" w:rsidRDefault="007E7707">
      <w:pPr>
        <w:pStyle w:val="FSRnormal"/>
      </w:pPr>
      <w:r w:rsidRPr="007E7707">
        <w:t>SAP Finance is the Agency’s finance system and was introduced on 1 July 2016. All payments to and from the Agency are made using SAP Finance. In line with Services Australia’s practice, the Agency uses the SAP Public Sector Collection and Disbursement (SAP PSCD) system as an intermediary between the SAP CRM and SAP Finance (operated by Services Australia as a shared service). Work is being undertaken to design and implement additions to the Agency’s claims and payment functionalities to include e-invoicing and real-time payments capabilities.</w:t>
      </w:r>
    </w:p>
    <w:p w14:paraId="1D4DD3DE" w14:textId="77777777" w:rsidR="007E7707" w:rsidRPr="007A7686" w:rsidRDefault="007E7707" w:rsidP="007E7707">
      <w:pPr>
        <w:pStyle w:val="FSRHeading4"/>
      </w:pPr>
      <w:bookmarkStart w:id="343" w:name="_Ref17453334"/>
      <w:r w:rsidRPr="007A7686">
        <w:t>Data warehouse</w:t>
      </w:r>
      <w:bookmarkEnd w:id="343"/>
    </w:p>
    <w:p w14:paraId="4DC5A5CB" w14:textId="77777777" w:rsidR="007E7707" w:rsidRPr="00DA3F73" w:rsidRDefault="007E7707">
      <w:pPr>
        <w:pStyle w:val="FSRnormal"/>
      </w:pPr>
      <w:r w:rsidRPr="00DA3F73">
        <w:t xml:space="preserve">The strategic Enterprise Data Warehouse (EDW) has matured and stabilised over the past year with the Integrated Data Store 2.0 (IDS2) Data Architecture now fully deployed.  The collection of disparate data sources and assembly into a single integrated data model, ensures integrity and consistency across legislated, business and operational reporting, as well </w:t>
      </w:r>
      <w:r w:rsidR="009A4022">
        <w:t xml:space="preserve">as </w:t>
      </w:r>
      <w:r w:rsidRPr="00DA3F73">
        <w:t>bespoke analytic deep dives and ad hoc reporting requests.</w:t>
      </w:r>
    </w:p>
    <w:p w14:paraId="327634CA" w14:textId="77777777" w:rsidR="007E7707" w:rsidRPr="00DA3F73" w:rsidRDefault="007E7707">
      <w:pPr>
        <w:pStyle w:val="FSRnormal"/>
      </w:pPr>
      <w:r w:rsidRPr="00DA3F73">
        <w:t xml:space="preserve">The main areas of focus for the EDW team over 2022-23 </w:t>
      </w:r>
      <w:r w:rsidR="009956BE">
        <w:t>are</w:t>
      </w:r>
      <w:r w:rsidRPr="00DA3F73">
        <w:t>:</w:t>
      </w:r>
    </w:p>
    <w:p w14:paraId="7BD3ED44" w14:textId="77777777" w:rsidR="007E7707" w:rsidRDefault="007E7707" w:rsidP="00DA3F73">
      <w:pPr>
        <w:pStyle w:val="FSRlist"/>
      </w:pPr>
      <w:r w:rsidRPr="007A7686">
        <w:rPr>
          <w:lang w:eastAsia="en-US"/>
        </w:rPr>
        <w:t>Maintain consistent, comprehensive and integrated data and reporting through the 3P transition of Scheme participants and plans to the new PACE platform.</w:t>
      </w:r>
    </w:p>
    <w:p w14:paraId="0C423946" w14:textId="77777777" w:rsidR="007E7707" w:rsidRPr="007C08B8" w:rsidRDefault="007E7707" w:rsidP="00DA3F73">
      <w:pPr>
        <w:pStyle w:val="FSRlist"/>
      </w:pPr>
      <w:r w:rsidRPr="007C08B8">
        <w:t xml:space="preserve">Uplift the IDS2 core data modelling standards, and deliver more customised, user-friendly data assets which will help analyst communities work more efficiently and to consistent standards. </w:t>
      </w:r>
    </w:p>
    <w:p w14:paraId="639BF7BD" w14:textId="77777777" w:rsidR="007E7707" w:rsidRPr="00EB7C79" w:rsidRDefault="007E7707" w:rsidP="00DA3F73">
      <w:pPr>
        <w:pStyle w:val="FSRlist"/>
      </w:pPr>
      <w:r w:rsidRPr="00EB7C79">
        <w:t>Improve data governance systems and processes by promoting standardised data definition across all platform users. Assist Business Data Owners to maintain the business glossary to improve context of data.</w:t>
      </w:r>
    </w:p>
    <w:p w14:paraId="717BE82C" w14:textId="77777777" w:rsidR="007E7707" w:rsidRPr="00EB7C79" w:rsidRDefault="007E7707" w:rsidP="00DA3F73">
      <w:pPr>
        <w:pStyle w:val="FSRlist"/>
      </w:pPr>
      <w:r w:rsidRPr="00EB7C79">
        <w:t>Add new tools and services to EDW that provider greater choice to users, simplify data ingestion and transformation processes and allow better user access and data security management.</w:t>
      </w:r>
    </w:p>
    <w:p w14:paraId="3986CA02" w14:textId="77777777" w:rsidR="007E7707" w:rsidRPr="00EB7C79" w:rsidRDefault="007E7707" w:rsidP="00DA3F73">
      <w:pPr>
        <w:pStyle w:val="FSRlist"/>
      </w:pPr>
      <w:r w:rsidRPr="00EB7C79">
        <w:lastRenderedPageBreak/>
        <w:t>Embed a new quality assurance framework into all development and enhancement projects, ensuring the highest quality service is maintained.</w:t>
      </w:r>
    </w:p>
    <w:p w14:paraId="03008978" w14:textId="77777777" w:rsidR="007E7707" w:rsidRPr="00EB7C79" w:rsidRDefault="007E7707" w:rsidP="00DA3F73">
      <w:pPr>
        <w:pStyle w:val="FSRlist"/>
      </w:pPr>
      <w:r w:rsidRPr="00EB7C79">
        <w:t>Support the uplift of business data quality management, with continuous monitoring and alerts for source data exceptions and anomalies and data quality threshold breaches</w:t>
      </w:r>
    </w:p>
    <w:p w14:paraId="46A672CC" w14:textId="77777777" w:rsidR="007E7707" w:rsidRPr="00DA3F73" w:rsidRDefault="007E7707" w:rsidP="00F830E6">
      <w:pPr>
        <w:pStyle w:val="Heading3"/>
        <w:spacing w:before="480"/>
      </w:pPr>
      <w:bookmarkStart w:id="344" w:name="_Toc80732674"/>
      <w:bookmarkStart w:id="345" w:name="_Toc80732836"/>
      <w:bookmarkStart w:id="346" w:name="_Toc80732889"/>
      <w:bookmarkStart w:id="347" w:name="_Toc80732942"/>
      <w:bookmarkStart w:id="348" w:name="_Toc80734620"/>
      <w:bookmarkStart w:id="349" w:name="_Toc80736543"/>
      <w:bookmarkStart w:id="350" w:name="_Toc80732675"/>
      <w:bookmarkStart w:id="351" w:name="_Toc80732837"/>
      <w:bookmarkStart w:id="352" w:name="_Toc80732890"/>
      <w:bookmarkStart w:id="353" w:name="_Toc80732943"/>
      <w:bookmarkStart w:id="354" w:name="_Toc80734621"/>
      <w:bookmarkStart w:id="355" w:name="_Toc80736544"/>
      <w:bookmarkStart w:id="356" w:name="_Toc80732676"/>
      <w:bookmarkStart w:id="357" w:name="_Toc80732838"/>
      <w:bookmarkStart w:id="358" w:name="_Toc80732891"/>
      <w:bookmarkStart w:id="359" w:name="_Toc80732944"/>
      <w:bookmarkStart w:id="360" w:name="_Toc80734622"/>
      <w:bookmarkStart w:id="361" w:name="_Toc80736545"/>
      <w:bookmarkStart w:id="362" w:name="_Toc80732678"/>
      <w:bookmarkStart w:id="363" w:name="_Toc80732840"/>
      <w:bookmarkStart w:id="364" w:name="_Toc80732893"/>
      <w:bookmarkStart w:id="365" w:name="_Toc80732946"/>
      <w:bookmarkStart w:id="366" w:name="_Toc80734624"/>
      <w:bookmarkStart w:id="367" w:name="_Toc80736547"/>
      <w:bookmarkStart w:id="368" w:name="_Toc80732679"/>
      <w:bookmarkStart w:id="369" w:name="_Toc80732841"/>
      <w:bookmarkStart w:id="370" w:name="_Toc80732894"/>
      <w:bookmarkStart w:id="371" w:name="_Toc80732947"/>
      <w:bookmarkStart w:id="372" w:name="_Toc80734625"/>
      <w:bookmarkStart w:id="373" w:name="_Toc80736548"/>
      <w:bookmarkStart w:id="374" w:name="_Toc80732680"/>
      <w:bookmarkStart w:id="375" w:name="_Toc80732842"/>
      <w:bookmarkStart w:id="376" w:name="_Toc80732895"/>
      <w:bookmarkStart w:id="377" w:name="_Toc80732948"/>
      <w:bookmarkStart w:id="378" w:name="_Toc80734626"/>
      <w:bookmarkStart w:id="379" w:name="_Toc80736549"/>
      <w:bookmarkStart w:id="380" w:name="_Toc80732681"/>
      <w:bookmarkStart w:id="381" w:name="_Toc80732843"/>
      <w:bookmarkStart w:id="382" w:name="_Toc80732896"/>
      <w:bookmarkStart w:id="383" w:name="_Toc80732949"/>
      <w:bookmarkStart w:id="384" w:name="_Toc80734627"/>
      <w:bookmarkStart w:id="385" w:name="_Toc80736550"/>
      <w:bookmarkStart w:id="386" w:name="_Toc80732682"/>
      <w:bookmarkStart w:id="387" w:name="_Toc80732844"/>
      <w:bookmarkStart w:id="388" w:name="_Toc80732897"/>
      <w:bookmarkStart w:id="389" w:name="_Toc80732950"/>
      <w:bookmarkStart w:id="390" w:name="_Toc80734628"/>
      <w:bookmarkStart w:id="391" w:name="_Toc80736551"/>
      <w:bookmarkStart w:id="392" w:name="_Toc80732683"/>
      <w:bookmarkStart w:id="393" w:name="_Toc80732845"/>
      <w:bookmarkStart w:id="394" w:name="_Toc80732898"/>
      <w:bookmarkStart w:id="395" w:name="_Toc80732951"/>
      <w:bookmarkStart w:id="396" w:name="_Toc80734629"/>
      <w:bookmarkStart w:id="397" w:name="_Toc80736552"/>
      <w:bookmarkStart w:id="398" w:name="_Toc80732684"/>
      <w:bookmarkStart w:id="399" w:name="_Toc80732846"/>
      <w:bookmarkStart w:id="400" w:name="_Toc80732899"/>
      <w:bookmarkStart w:id="401" w:name="_Toc80732952"/>
      <w:bookmarkStart w:id="402" w:name="_Toc80734630"/>
      <w:bookmarkStart w:id="403" w:name="_Toc80736553"/>
      <w:bookmarkStart w:id="404" w:name="_Toc79766617"/>
      <w:bookmarkStart w:id="405" w:name="_Toc83220863"/>
      <w:bookmarkStart w:id="406" w:name="_Toc85031274"/>
      <w:bookmarkStart w:id="407" w:name="_Toc118460220"/>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r w:rsidRPr="00DA3F73">
        <w:t xml:space="preserve">Risk </w:t>
      </w:r>
      <w:r w:rsidR="000F09B6">
        <w:t>M</w:t>
      </w:r>
      <w:r w:rsidRPr="00DA3F73">
        <w:t>anagement</w:t>
      </w:r>
      <w:bookmarkEnd w:id="404"/>
      <w:bookmarkEnd w:id="405"/>
      <w:bookmarkEnd w:id="406"/>
      <w:bookmarkEnd w:id="407"/>
    </w:p>
    <w:p w14:paraId="7A8ECA69" w14:textId="77777777" w:rsidR="00641088" w:rsidRPr="00641088" w:rsidRDefault="00641088" w:rsidP="00DA3F73">
      <w:pPr>
        <w:pStyle w:val="FSRHeading4"/>
      </w:pPr>
      <w:r w:rsidRPr="00641088">
        <w:t>Risk Management Arrangements</w:t>
      </w:r>
    </w:p>
    <w:p w14:paraId="52F807DE" w14:textId="77777777" w:rsidR="00641088" w:rsidRPr="00641088" w:rsidRDefault="00641088" w:rsidP="00DA3F73">
      <w:pPr>
        <w:pStyle w:val="FSRnormal"/>
      </w:pPr>
      <w:r w:rsidRPr="00641088">
        <w:t xml:space="preserve">The Agency’s approach to risk management is to embed an understanding of risks, controls, and mitigations in every aspect of the organisation, including business planning, reporting, decision making, operations, and strategic initiatives. The proactive use of risk management enables the Agency to effectively manage its operational and strategic risks within the bounds of appetite set by the Board. </w:t>
      </w:r>
    </w:p>
    <w:p w14:paraId="1052B4E1" w14:textId="77777777" w:rsidR="00641088" w:rsidRPr="00641088" w:rsidRDefault="00641088" w:rsidP="00DA3F73">
      <w:pPr>
        <w:pStyle w:val="FSRnormal"/>
      </w:pPr>
      <w:r w:rsidRPr="00641088">
        <w:t>The Risk Management Strategy describes the Agency’s strategic approach to managing risks and is underpinned by risk management processes and procedural materials that guide all levels of the organisation to identify and manage risks and implement applicable strategies to minimise negative impacts and maximise opportunities. Implementation of a positive risk culture within the Agency is supported through executive advocacy, risk training, and awareness activities.</w:t>
      </w:r>
    </w:p>
    <w:p w14:paraId="4FF1DE6C" w14:textId="77777777" w:rsidR="00641088" w:rsidRPr="00641088" w:rsidRDefault="00641088" w:rsidP="00DA3F73">
      <w:pPr>
        <w:pStyle w:val="FSRnormal"/>
      </w:pPr>
      <w:r w:rsidRPr="00641088">
        <w:t>The Agency has a structured approach to identifying, managing, escalating, and communicating key risks. Together the Board, Chief Risk Officer, and Executive Leadership Team oversee the efficacy of risk management performance of the NDIA. The responsibilities of the Board to ensure effective implementation of a contemporary risk management framework is enabled through the Risk Committee and Audit Committee.</w:t>
      </w:r>
    </w:p>
    <w:p w14:paraId="0CEEC867" w14:textId="77777777" w:rsidR="00641088" w:rsidRPr="00641088" w:rsidRDefault="00641088" w:rsidP="00DA3F73">
      <w:pPr>
        <w:pStyle w:val="FSRnormal"/>
      </w:pPr>
      <w:r w:rsidRPr="00641088">
        <w:t>The Chief Risk Officer has responsibility to ensure:</w:t>
      </w:r>
    </w:p>
    <w:p w14:paraId="3F8AD1DD" w14:textId="77777777" w:rsidR="00641088" w:rsidRPr="00641088" w:rsidRDefault="00641088" w:rsidP="00DA3F73">
      <w:pPr>
        <w:pStyle w:val="FSRlist"/>
      </w:pPr>
      <w:r w:rsidRPr="00641088">
        <w:t>NDIA systems, reporting and processes have risk management embedded.</w:t>
      </w:r>
    </w:p>
    <w:p w14:paraId="4BA1D8D6" w14:textId="77777777" w:rsidR="00641088" w:rsidRPr="00641088" w:rsidRDefault="00641088" w:rsidP="00DA3F73">
      <w:pPr>
        <w:pStyle w:val="FSRlist"/>
      </w:pPr>
      <w:r w:rsidRPr="00641088">
        <w:t>Risk owners are supported by dedicated risk officers.</w:t>
      </w:r>
    </w:p>
    <w:p w14:paraId="1B086382" w14:textId="77777777" w:rsidR="00641088" w:rsidRPr="00641088" w:rsidRDefault="00641088" w:rsidP="00DA3F73">
      <w:pPr>
        <w:pStyle w:val="FSRlist"/>
      </w:pPr>
      <w:r w:rsidRPr="00641088">
        <w:t>Appropriate controls are in place to mitigate fraud and promote compliance, and manage risk associated with safeguarding public funds while concurrently supporting participant choice and control.</w:t>
      </w:r>
    </w:p>
    <w:p w14:paraId="2BDE3CEE" w14:textId="77777777" w:rsidR="00641088" w:rsidRDefault="00641088">
      <w:pPr>
        <w:spacing w:after="160" w:line="259" w:lineRule="auto"/>
        <w:rPr>
          <w:b/>
          <w:color w:val="6B2976"/>
          <w:sz w:val="25"/>
        </w:rPr>
      </w:pPr>
      <w:r>
        <w:br w:type="page"/>
      </w:r>
    </w:p>
    <w:p w14:paraId="07D453FA" w14:textId="77777777" w:rsidR="00641088" w:rsidRPr="00641088" w:rsidRDefault="00641088" w:rsidP="00DA3F73">
      <w:pPr>
        <w:pStyle w:val="FSRHeading4"/>
      </w:pPr>
      <w:r w:rsidRPr="00641088">
        <w:lastRenderedPageBreak/>
        <w:t>Strategic risks</w:t>
      </w:r>
    </w:p>
    <w:p w14:paraId="77A6454E" w14:textId="77777777" w:rsidR="00641088" w:rsidRPr="00641088" w:rsidRDefault="00641088" w:rsidP="00DA3F73">
      <w:pPr>
        <w:pStyle w:val="FSRnormal"/>
      </w:pPr>
      <w:r w:rsidRPr="00641088">
        <w:t xml:space="preserve">On an annual basis, the Board determines the strategic risks for the Agency, which are directly aligned to the Corporate Plan. The Board determined </w:t>
      </w:r>
      <w:r w:rsidR="000F09B6">
        <w:t>nine</w:t>
      </w:r>
      <w:r w:rsidRPr="00641088">
        <w:t xml:space="preserve"> strategic risks for 202</w:t>
      </w:r>
      <w:r w:rsidR="000F09B6">
        <w:t>2</w:t>
      </w:r>
      <w:r w:rsidRPr="00641088">
        <w:t>-2</w:t>
      </w:r>
      <w:r w:rsidR="000F09B6">
        <w:t>3</w:t>
      </w:r>
      <w:r w:rsidRPr="00641088">
        <w:t xml:space="preserve"> in the areas of: </w:t>
      </w:r>
    </w:p>
    <w:p w14:paraId="40BDB6F9" w14:textId="77777777" w:rsidR="00641088" w:rsidRPr="00641088" w:rsidRDefault="00641088" w:rsidP="00DA3F73">
      <w:pPr>
        <w:pStyle w:val="FSRlist"/>
      </w:pPr>
      <w:r w:rsidRPr="00641088">
        <w:t>Participant Experience</w:t>
      </w:r>
    </w:p>
    <w:p w14:paraId="49214F30" w14:textId="77777777" w:rsidR="00641088" w:rsidRPr="00641088" w:rsidRDefault="00641088" w:rsidP="00DA3F73">
      <w:pPr>
        <w:pStyle w:val="FSRlist"/>
      </w:pPr>
      <w:r w:rsidRPr="00641088">
        <w:t>Participant Outcomes</w:t>
      </w:r>
    </w:p>
    <w:p w14:paraId="1DE7D163" w14:textId="77777777" w:rsidR="00641088" w:rsidRPr="00641088" w:rsidRDefault="00641088" w:rsidP="00DA3F73">
      <w:pPr>
        <w:pStyle w:val="FSRlist"/>
      </w:pPr>
      <w:r w:rsidRPr="00641088">
        <w:t xml:space="preserve">Partner Performance </w:t>
      </w:r>
    </w:p>
    <w:p w14:paraId="61587A7C" w14:textId="77777777" w:rsidR="00641088" w:rsidRPr="00641088" w:rsidRDefault="00641088" w:rsidP="00DA3F73">
      <w:pPr>
        <w:pStyle w:val="FSRlist"/>
      </w:pPr>
      <w:r w:rsidRPr="00641088">
        <w:t xml:space="preserve">Provider Market Quality </w:t>
      </w:r>
    </w:p>
    <w:p w14:paraId="1A5FD7BE" w14:textId="77777777" w:rsidR="00641088" w:rsidRPr="00641088" w:rsidRDefault="00641088" w:rsidP="00DA3F73">
      <w:pPr>
        <w:pStyle w:val="FSRlist"/>
      </w:pPr>
      <w:r w:rsidRPr="00641088">
        <w:t xml:space="preserve">Financial Sustainability </w:t>
      </w:r>
    </w:p>
    <w:p w14:paraId="69E44EB1" w14:textId="77777777" w:rsidR="00641088" w:rsidRPr="00641088" w:rsidRDefault="00641088" w:rsidP="00DA3F73">
      <w:pPr>
        <w:pStyle w:val="FSRlist"/>
      </w:pPr>
      <w:r w:rsidRPr="00641088">
        <w:t xml:space="preserve">Scheme Integrity </w:t>
      </w:r>
    </w:p>
    <w:p w14:paraId="76ABBEC1" w14:textId="77777777" w:rsidR="00641088" w:rsidRPr="00641088" w:rsidRDefault="00641088" w:rsidP="00DA3F73">
      <w:pPr>
        <w:pStyle w:val="FSRlist"/>
      </w:pPr>
      <w:r w:rsidRPr="00641088">
        <w:t xml:space="preserve">People Capability and Capacity </w:t>
      </w:r>
    </w:p>
    <w:p w14:paraId="35C1E5E1" w14:textId="77777777" w:rsidR="00641088" w:rsidRPr="00641088" w:rsidRDefault="00641088" w:rsidP="00DA3F73">
      <w:pPr>
        <w:pStyle w:val="FSRlist"/>
      </w:pPr>
      <w:r w:rsidRPr="00641088">
        <w:t xml:space="preserve">ICT Delivery and Support </w:t>
      </w:r>
    </w:p>
    <w:p w14:paraId="6A9CB4A3" w14:textId="77777777" w:rsidR="00641088" w:rsidRPr="00641088" w:rsidRDefault="00641088" w:rsidP="00DA3F73">
      <w:pPr>
        <w:pStyle w:val="FSRlist"/>
      </w:pPr>
      <w:r w:rsidRPr="00641088">
        <w:t>Stakeholder Relationship and Trust</w:t>
      </w:r>
      <w:r w:rsidR="00D51324">
        <w:t>.</w:t>
      </w:r>
    </w:p>
    <w:p w14:paraId="18CAD17F" w14:textId="77777777" w:rsidR="00641088" w:rsidRPr="008048AF" w:rsidRDefault="00641088" w:rsidP="00DA3F73">
      <w:pPr>
        <w:pStyle w:val="FSRnormal"/>
      </w:pPr>
      <w:r w:rsidRPr="0047087C">
        <w:t>The Agency’s strategic risks are monitored against key performance indicators and reported to the Executive Lea</w:t>
      </w:r>
      <w:r w:rsidRPr="008048AF">
        <w:t xml:space="preserve">dership Team and Risk Committee on a quarterly basis. The strategic risks are complemented by operational risks and controls which are owned and managed at group or initiative level. </w:t>
      </w:r>
    </w:p>
    <w:p w14:paraId="37D3A76A" w14:textId="77777777" w:rsidR="00641088" w:rsidRPr="00641088" w:rsidRDefault="00641088" w:rsidP="00DA3F73">
      <w:pPr>
        <w:pStyle w:val="FSRHeading4"/>
      </w:pPr>
      <w:r w:rsidRPr="00641088">
        <w:t>Business continuity and Ri</w:t>
      </w:r>
      <w:r w:rsidR="00D51324">
        <w:t>s</w:t>
      </w:r>
      <w:r w:rsidRPr="00641088">
        <w:t>k management system</w:t>
      </w:r>
    </w:p>
    <w:p w14:paraId="4DCA62C7" w14:textId="77777777" w:rsidR="00641088" w:rsidRPr="00641088" w:rsidRDefault="00641088" w:rsidP="00DA3F73">
      <w:pPr>
        <w:pStyle w:val="FSRnormal"/>
      </w:pPr>
      <w:r w:rsidRPr="00641088">
        <w:t>The Agency is committed to ensuring that participant supports, provider services, and other critical business functions are maintained or quickly restored in the event of a significant outage, incident or crisis event. The Agency has established business continuity management plans, maintained through regular review and scenario analysis, to ensure the rapid resumption of participant and provider services and critical business activities in emergency situations.</w:t>
      </w:r>
    </w:p>
    <w:p w14:paraId="683C3AE4" w14:textId="77777777" w:rsidR="00641088" w:rsidRPr="00641088" w:rsidRDefault="00641088" w:rsidP="00DA3F73">
      <w:pPr>
        <w:pStyle w:val="FSRnormal"/>
      </w:pPr>
      <w:r w:rsidRPr="00641088">
        <w:t>The Agency’s integrated risk management system provides a single platform for managing operational, strategic, fraud, project and regulatory risks, audit recommendations, incidents, and business continuity plans. The system gives accountable executives extended visibility to the risks and controls within their business and the broader Agency and provides for a connected risk environment through which inter-dependencies can be identified and managed.</w:t>
      </w:r>
    </w:p>
    <w:p w14:paraId="69AC2B6C" w14:textId="77777777" w:rsidR="00641088" w:rsidRDefault="00641088">
      <w:pPr>
        <w:spacing w:after="160" w:line="259" w:lineRule="auto"/>
        <w:rPr>
          <w:b/>
          <w:color w:val="6B2976"/>
          <w:sz w:val="25"/>
        </w:rPr>
      </w:pPr>
      <w:r>
        <w:br w:type="page"/>
      </w:r>
    </w:p>
    <w:p w14:paraId="0D0AABF9" w14:textId="77777777" w:rsidR="00641088" w:rsidRPr="00641088" w:rsidRDefault="000F09B6" w:rsidP="00DA3F73">
      <w:pPr>
        <w:pStyle w:val="FSRHeading4"/>
      </w:pPr>
      <w:r>
        <w:lastRenderedPageBreak/>
        <w:t xml:space="preserve">Ongoing </w:t>
      </w:r>
      <w:r w:rsidR="00641088" w:rsidRPr="00641088">
        <w:t>Risk Management</w:t>
      </w:r>
    </w:p>
    <w:p w14:paraId="6D742BD9" w14:textId="77777777" w:rsidR="00641088" w:rsidRPr="00641088" w:rsidRDefault="00641088" w:rsidP="00DA3F73">
      <w:pPr>
        <w:pStyle w:val="FSRnormal"/>
      </w:pPr>
      <w:r w:rsidRPr="00641088">
        <w:t>While the Agency’s tools, processes and procedures are commensurate with an entity of this size and level of maturity, they will continue to evolve with the Scheme. Future advancement in risk maturity will focus on further embedding positive risk behaviours and culture within the Agency, continuing to improve the integration and digitisation of its risk ecosystem to enhance risk-based decision making and consistency (particularly around access and plan budgets), better governance and implementation of policy changes, and proactive management of financial sustainability risks.</w:t>
      </w:r>
    </w:p>
    <w:p w14:paraId="1CC30D1C" w14:textId="77777777" w:rsidR="00641088" w:rsidRPr="00641088" w:rsidRDefault="00641088" w:rsidP="00DA3F73">
      <w:pPr>
        <w:pStyle w:val="FSRnormal"/>
      </w:pPr>
      <w:r w:rsidRPr="00641088">
        <w:t>Managing strategic and operational risks to remain at an acceptable level is fundamental to the success and longevity of the Scheme. While strategies to mitigate these risks are articulated in current risk reporting, it will be important to monitor the effectiveness of these strategies in real time to ensure that they are having the desired impact and to make the necessary adjustments to ensure they remain within acceptable tolerances.</w:t>
      </w:r>
    </w:p>
    <w:p w14:paraId="01DAA698" w14:textId="77777777" w:rsidR="001A21FC" w:rsidRDefault="001A21FC">
      <w:pPr>
        <w:spacing w:after="160" w:line="259" w:lineRule="auto"/>
      </w:pPr>
      <w:r>
        <w:br w:type="page"/>
      </w:r>
    </w:p>
    <w:p w14:paraId="3C35CA45" w14:textId="77777777" w:rsidR="001A21FC" w:rsidRDefault="001A21FC" w:rsidP="00DA3F73">
      <w:pPr>
        <w:pStyle w:val="Heading2"/>
      </w:pPr>
      <w:bookmarkStart w:id="408" w:name="_Toc118460221"/>
      <w:r>
        <w:lastRenderedPageBreak/>
        <w:t>Recommendations</w:t>
      </w:r>
      <w:bookmarkEnd w:id="408"/>
    </w:p>
    <w:p w14:paraId="769D839F" w14:textId="77777777" w:rsidR="001A21FC" w:rsidRDefault="001A21FC" w:rsidP="00DA3F73">
      <w:pPr>
        <w:pStyle w:val="FSRnormal"/>
      </w:pPr>
      <w:r>
        <w:t>The AFSR is required to include “a discussion of the key risks and issues identified and, where these have an adverse impact on financial sustainability, recommendations designed to manage the risks or address the issues”</w:t>
      </w:r>
      <w:r w:rsidR="00066CE1">
        <w:rPr>
          <w:rStyle w:val="FootnoteReference"/>
        </w:rPr>
        <w:footnoteReference w:id="139"/>
      </w:r>
      <w:r>
        <w:t xml:space="preserve">. </w:t>
      </w:r>
    </w:p>
    <w:p w14:paraId="13CF5157" w14:textId="77777777" w:rsidR="001A21FC" w:rsidRDefault="001A21FC" w:rsidP="00DA3F73">
      <w:pPr>
        <w:pStyle w:val="FSRnormal"/>
      </w:pPr>
      <w:r>
        <w:t xml:space="preserve">It is important to recognise that measures to address financial sustainability risks </w:t>
      </w:r>
      <w:r w:rsidR="00D51324">
        <w:t xml:space="preserve">do not just consider current and estimated future amounts of </w:t>
      </w:r>
      <w:r>
        <w:t>Scheme expenses or participant plan budgets. Many of the recommendations presented in this section are instead focused on reducing the level of uncertainty associated with future support needs and therefore payments made for supports, or on improving participant outcomes through the provision of supports funded by the Scheme. Reducing uncertainty and achieving positive outcomes from funded supports are both core components of financial sustainability.</w:t>
      </w:r>
    </w:p>
    <w:p w14:paraId="137043B6" w14:textId="77777777" w:rsidR="001A21FC" w:rsidRDefault="001A21FC" w:rsidP="00DA3F73">
      <w:pPr>
        <w:pStyle w:val="FSRnormal"/>
      </w:pPr>
      <w:r>
        <w:t xml:space="preserve">Section 9.1 sets out the recommendations included in the 2020-21 AFSR and the progress which has been made in these areas during 2021-22. Section 9.2 includes new recommendations arising from the analysis undertaken in the development of this report, that are intended to manage identified risks and achieve greater certainty in relation to the </w:t>
      </w:r>
      <w:r w:rsidR="00232E47">
        <w:t>long-term</w:t>
      </w:r>
      <w:r>
        <w:t xml:space="preserve"> financial sustainability of the Scheme.</w:t>
      </w:r>
    </w:p>
    <w:p w14:paraId="54E24D12" w14:textId="77777777" w:rsidR="00140A44" w:rsidRPr="00140A44" w:rsidRDefault="00140A44" w:rsidP="0006587D">
      <w:pPr>
        <w:pStyle w:val="FSRnormal"/>
      </w:pPr>
      <w:r w:rsidRPr="00140A44">
        <w:t>On 18 October 2022, the Minister for the National Disability Insurance Scheme (NDIS) announced the Independent Review into the NDIS to improve the wellbeing of Australians with disability and ensure the Scheme’s sustainability so that future generations receive the benefit of the NDIS.</w:t>
      </w:r>
    </w:p>
    <w:p w14:paraId="6B809B5B" w14:textId="498C27A6" w:rsidR="00140A44" w:rsidRPr="00140A44" w:rsidRDefault="00140A44" w:rsidP="0006587D">
      <w:pPr>
        <w:pStyle w:val="FSRnormal"/>
      </w:pPr>
      <w:r w:rsidRPr="00140A44">
        <w:t xml:space="preserve">It is expected that the Review will lead to changes in the NDIA’s work plan. Initiatives and activities described in this section, which </w:t>
      </w:r>
      <w:bookmarkStart w:id="409" w:name="_GoBack"/>
      <w:bookmarkEnd w:id="409"/>
      <w:r w:rsidRPr="00140A44">
        <w:t>commenced prior to the announcement of the Review, should be viewed in that context.</w:t>
      </w:r>
    </w:p>
    <w:p w14:paraId="62FDB886" w14:textId="77777777" w:rsidR="001A21FC" w:rsidRDefault="001A21FC" w:rsidP="00DA3F73">
      <w:pPr>
        <w:pStyle w:val="Heading3"/>
      </w:pPr>
      <w:bookmarkStart w:id="410" w:name="_Toc118460222"/>
      <w:r>
        <w:t>Progress on previous recommendations</w:t>
      </w:r>
      <w:bookmarkEnd w:id="410"/>
    </w:p>
    <w:p w14:paraId="3A9CC8FE" w14:textId="77777777" w:rsidR="00A56EF6" w:rsidRDefault="001A21FC" w:rsidP="00DA3F73">
      <w:pPr>
        <w:pStyle w:val="FSRnormal"/>
      </w:pPr>
      <w:r>
        <w:t xml:space="preserve">During 2021-22, the </w:t>
      </w:r>
      <w:r w:rsidR="002C5DDF">
        <w:t xml:space="preserve">Agency </w:t>
      </w:r>
      <w:r>
        <w:t xml:space="preserve">has progressed various pieces of work, and has commenced or continued many activities relating to recommendations from the 2020-21 AFSR. </w:t>
      </w:r>
    </w:p>
    <w:p w14:paraId="2BD789B9" w14:textId="77777777" w:rsidR="00D40247" w:rsidRDefault="00A56EF6" w:rsidP="00DA3F73">
      <w:pPr>
        <w:pStyle w:val="FSRnormal"/>
      </w:pPr>
      <w:r>
        <w:t xml:space="preserve">The previous recommendations covered a number of </w:t>
      </w:r>
      <w:r w:rsidR="00D40247">
        <w:t>key themes relating to the Scheme’s purpose and the Agency’s operations:</w:t>
      </w:r>
    </w:p>
    <w:p w14:paraId="06CB42B2" w14:textId="77777777" w:rsidR="00D40247" w:rsidRDefault="00D40247" w:rsidP="00F830E6">
      <w:pPr>
        <w:pStyle w:val="FSRlist"/>
      </w:pPr>
      <w:r>
        <w:t>Embedding insurance principles in NDIS culture and communications</w:t>
      </w:r>
      <w:r w:rsidR="002C5DDF">
        <w:t>.</w:t>
      </w:r>
    </w:p>
    <w:p w14:paraId="3ECA5AE4" w14:textId="77777777" w:rsidR="00D40247" w:rsidRDefault="00D40247" w:rsidP="00F830E6">
      <w:pPr>
        <w:pStyle w:val="FSRlist"/>
      </w:pPr>
      <w:r>
        <w:t xml:space="preserve">Focussing on participant outcomes, including monitoring of initiatives to improve outcomes, supporting participants to make informed decisions, reviewing the evidence base for early intervention supports and </w:t>
      </w:r>
      <w:r w:rsidR="00ED6370">
        <w:t>innovations in the market</w:t>
      </w:r>
      <w:r w:rsidR="002C5DDF">
        <w:t>.</w:t>
      </w:r>
    </w:p>
    <w:p w14:paraId="740DA774" w14:textId="77777777" w:rsidR="00D40247" w:rsidRDefault="00D40247" w:rsidP="00F830E6">
      <w:pPr>
        <w:pStyle w:val="FSRlist"/>
      </w:pPr>
      <w:r>
        <w:t xml:space="preserve">Consistent and equitable </w:t>
      </w:r>
      <w:r w:rsidR="002C5DDF">
        <w:t>A</w:t>
      </w:r>
      <w:r w:rsidR="00A2153B">
        <w:t>gency decision-</w:t>
      </w:r>
      <w:r>
        <w:t>making, including establishing a co-design approach to measuring functional capacity and to guidance materials</w:t>
      </w:r>
      <w:r w:rsidR="00A2153B">
        <w:t xml:space="preserve"> for decision-</w:t>
      </w:r>
      <w:r>
        <w:lastRenderedPageBreak/>
        <w:t>making, stronger contro</w:t>
      </w:r>
      <w:r w:rsidR="00A2153B">
        <w:t>ls on evidence used in decision-</w:t>
      </w:r>
      <w:r>
        <w:t>making, and understanding the drivers of higher than expe</w:t>
      </w:r>
      <w:r w:rsidR="00ED6370">
        <w:t>cted new entrants to the Scheme</w:t>
      </w:r>
      <w:r w:rsidR="002C5DDF">
        <w:t>.</w:t>
      </w:r>
    </w:p>
    <w:p w14:paraId="4ADE0A0C" w14:textId="77777777" w:rsidR="00B2285B" w:rsidRDefault="00D40247" w:rsidP="00140A44">
      <w:pPr>
        <w:pStyle w:val="FSRlist"/>
      </w:pPr>
      <w:r>
        <w:t xml:space="preserve">Scheme and scope coverage, including facilitating access for participants to supports from other service systems and learning </w:t>
      </w:r>
      <w:r w:rsidR="00ED6370">
        <w:t xml:space="preserve">from themes emerging in the </w:t>
      </w:r>
      <w:r w:rsidR="007264B8">
        <w:t>Administrative Appeals Tribu</w:t>
      </w:r>
      <w:r w:rsidR="002C5DDF">
        <w:t>n</w:t>
      </w:r>
      <w:r w:rsidR="007264B8">
        <w:t>a</w:t>
      </w:r>
      <w:r w:rsidR="002C5DDF">
        <w:t>l (</w:t>
      </w:r>
      <w:r w:rsidR="00ED6370">
        <w:t>AAT</w:t>
      </w:r>
      <w:r w:rsidR="002C5DDF">
        <w:t>).</w:t>
      </w:r>
    </w:p>
    <w:p w14:paraId="43344068" w14:textId="77777777" w:rsidR="00D40247" w:rsidRDefault="00B2285B" w:rsidP="00F830E6">
      <w:pPr>
        <w:pStyle w:val="FSRlist"/>
      </w:pPr>
      <w:r>
        <w:t>Improving</w:t>
      </w:r>
      <w:r w:rsidR="00D40247" w:rsidRPr="00F830E6">
        <w:rPr>
          <w:rStyle w:val="FSRlistChar"/>
        </w:rPr>
        <w:t xml:space="preserve"> operational processes, including utilising the findings of quality assurance reviews, embedding improvements made to the future CRM system and strengthening the Agency’s requirements for information recorded on payments to non-registered providers.</w:t>
      </w:r>
    </w:p>
    <w:p w14:paraId="4697ABA6" w14:textId="77777777" w:rsidR="00D40247" w:rsidRDefault="00D40247" w:rsidP="00DA3F73">
      <w:pPr>
        <w:pStyle w:val="FSRnormal"/>
      </w:pPr>
      <w:r>
        <w:t>The progress made in these areas is summarised below.</w:t>
      </w:r>
    </w:p>
    <w:p w14:paraId="43A0DF4A" w14:textId="77777777" w:rsidR="001A21FC" w:rsidRDefault="001A21FC" w:rsidP="00DA3F73">
      <w:pPr>
        <w:pStyle w:val="FSRHeading4"/>
      </w:pPr>
      <w:r>
        <w:t>Embed insurance principles in NDIS culture and communications</w:t>
      </w:r>
    </w:p>
    <w:p w14:paraId="0DA2E783" w14:textId="77777777" w:rsidR="001A21FC" w:rsidRDefault="001A21FC" w:rsidP="00DA3F73">
      <w:pPr>
        <w:pStyle w:val="FSRnormal"/>
      </w:pPr>
      <w:r>
        <w:t>The NDIS insurance principles are documented in the ‘Insurance Principles and Financial Sustainability Manual’</w:t>
      </w:r>
      <w:r w:rsidR="00C32AA8">
        <w:rPr>
          <w:rStyle w:val="FootnoteReference"/>
        </w:rPr>
        <w:footnoteReference w:id="140"/>
      </w:r>
      <w:r>
        <w:t xml:space="preserve"> which is available on the NDIS public website. </w:t>
      </w:r>
      <w:r w:rsidR="002C5DDF">
        <w:t>It outlines the</w:t>
      </w:r>
      <w:r>
        <w:t xml:space="preserve"> principles which cover actuarial estimation of the Scheme funding requirement, a</w:t>
      </w:r>
      <w:r w:rsidR="002C5DDF">
        <w:t>s well as the</w:t>
      </w:r>
      <w:r>
        <w:t xml:space="preserve"> focus on lifetime value for Scheme participants, investment in research and innovation to support long</w:t>
      </w:r>
      <w:r w:rsidR="00741928">
        <w:t>-</w:t>
      </w:r>
      <w:r>
        <w:t>term objectives of the Scheme, and the development of community capability to support participants’ social and economic participation and independence.</w:t>
      </w:r>
    </w:p>
    <w:p w14:paraId="3D9846F6" w14:textId="77777777" w:rsidR="001A21FC" w:rsidRDefault="001A21FC" w:rsidP="00DA3F73">
      <w:pPr>
        <w:pStyle w:val="FSRnormal"/>
      </w:pPr>
      <w:r>
        <w:t xml:space="preserve">The publication of this AFSR and associated discussions with key stakeholders in the disability sector form an important communication of the actuarial estimates of projected funding requirements as conducted by the Scheme Actuary, as well as the reviews of the experience of NDIS participants in the setting </w:t>
      </w:r>
      <w:r w:rsidR="002C5DDF">
        <w:t>of</w:t>
      </w:r>
      <w:r>
        <w:t xml:space="preserve"> assumptions as required.</w:t>
      </w:r>
    </w:p>
    <w:p w14:paraId="15E711F4" w14:textId="77777777" w:rsidR="001A21FC" w:rsidRDefault="002C5DDF" w:rsidP="00DA3F73">
      <w:pPr>
        <w:pStyle w:val="FSRnormal"/>
      </w:pPr>
      <w:r>
        <w:t>T</w:t>
      </w:r>
      <w:r w:rsidR="001A21FC">
        <w:t xml:space="preserve">he NDIA has </w:t>
      </w:r>
      <w:r>
        <w:t xml:space="preserve">also </w:t>
      </w:r>
      <w:r w:rsidR="001A21FC">
        <w:t xml:space="preserve">developed an Engagement Framework with disability sector representatives to guide engagement including strategic communications going forward. This has enabled the commencement of a co-design approach to key projects, as discussed under ‘Consistent and equitable decision-making’ below. A co-design approach will help to ensure that the NDIA can most effectively focus on the </w:t>
      </w:r>
      <w:r w:rsidR="00232E47">
        <w:t>long-term</w:t>
      </w:r>
      <w:r w:rsidR="001A21FC">
        <w:t xml:space="preserve"> value of participant supports where the measures of value are agreed across the sector. Co-design includes communication of and discussion to better understand the research and innovation being undertaken for new supports, and the development of community capability to support NDIS participants and other Australians with disability.</w:t>
      </w:r>
    </w:p>
    <w:p w14:paraId="5CA87529" w14:textId="77777777" w:rsidR="001A21FC" w:rsidRDefault="001A21FC" w:rsidP="00DA3F73">
      <w:pPr>
        <w:pStyle w:val="FSRHeading4"/>
      </w:pPr>
      <w:r>
        <w:t xml:space="preserve">Focussing on </w:t>
      </w:r>
      <w:r w:rsidR="002C5DDF">
        <w:t>p</w:t>
      </w:r>
      <w:r>
        <w:t>articipant outcomes</w:t>
      </w:r>
    </w:p>
    <w:p w14:paraId="45A39696" w14:textId="77777777" w:rsidR="001A21FC" w:rsidRDefault="001A21FC" w:rsidP="00DA3F73">
      <w:pPr>
        <w:pStyle w:val="FSRnormal"/>
      </w:pPr>
      <w:r>
        <w:t xml:space="preserve">The NDIA continues to monitor and report on participant outcomes to understand how the Scheme is making a difference while </w:t>
      </w:r>
      <w:r w:rsidR="002C5DDF">
        <w:t>highlighting</w:t>
      </w:r>
      <w:r>
        <w:t xml:space="preserve"> areas where improvements may be needed. The NDIA is also undertaking the Investment Effectiveness Program (IEP) to measure the impact of different types of support more comprehensively on a broader range of outcomes. This is included as a new recommendation in Section 9.2.</w:t>
      </w:r>
    </w:p>
    <w:p w14:paraId="2FD4D987" w14:textId="77777777" w:rsidR="001A21FC" w:rsidRDefault="001A21FC" w:rsidP="00DA3F73">
      <w:pPr>
        <w:pStyle w:val="FSRnormal"/>
      </w:pPr>
      <w:r>
        <w:lastRenderedPageBreak/>
        <w:t>A policy and implementation plan is being developed to guide how the Agency supports NDIS participants to make decisions, enable</w:t>
      </w:r>
      <w:r w:rsidR="002C5DDF">
        <w:t>s</w:t>
      </w:r>
      <w:r>
        <w:t xml:space="preserve"> opportunities to make decisions and build</w:t>
      </w:r>
      <w:r w:rsidR="002C5DDF">
        <w:t>s</w:t>
      </w:r>
      <w:r>
        <w:t xml:space="preserve"> the knowledge and skills of people with disability (and people who support them) to make decisions. </w:t>
      </w:r>
    </w:p>
    <w:p w14:paraId="13A9CC23" w14:textId="77777777" w:rsidR="001A21FC" w:rsidRDefault="001A21FC" w:rsidP="00DA3F73">
      <w:pPr>
        <w:pStyle w:val="FSRnormal"/>
      </w:pPr>
      <w:r>
        <w:t xml:space="preserve">This work builds on an extensive public consultation undertaken in 2021 to develop a new Support for Decision Making policy.  To help create this policy, since March 2022 the NDIA has: </w:t>
      </w:r>
    </w:p>
    <w:p w14:paraId="7409281D" w14:textId="77777777" w:rsidR="001A21FC" w:rsidRPr="003D4D4F" w:rsidRDefault="001A21FC" w:rsidP="00DA3F73">
      <w:pPr>
        <w:pStyle w:val="FSRlist"/>
      </w:pPr>
      <w:r w:rsidRPr="003D4D4F">
        <w:t>developed an engagement approach with support from the Steering Committee to co-design the policy with people with disability and other key stakeholders</w:t>
      </w:r>
      <w:r w:rsidR="00B8575E">
        <w:t>; and</w:t>
      </w:r>
      <w:r w:rsidRPr="003D4D4F">
        <w:t xml:space="preserve"> </w:t>
      </w:r>
    </w:p>
    <w:p w14:paraId="1E54D2BA" w14:textId="77777777" w:rsidR="001A21FC" w:rsidRPr="003D4D4F" w:rsidRDefault="001A21FC" w:rsidP="00DA3F73">
      <w:pPr>
        <w:pStyle w:val="FSRlist"/>
      </w:pPr>
      <w:r w:rsidRPr="003D4D4F">
        <w:t>commenced a partnership with Inclusion Australia to work with people with disability who most benefit from supported decision making to co-design the policy and make sure the voices of people with an intellectual disability are central to how the work is progressed.</w:t>
      </w:r>
    </w:p>
    <w:p w14:paraId="3724FC84" w14:textId="77777777" w:rsidR="001A21FC" w:rsidRDefault="001A21FC" w:rsidP="00DA3F73">
      <w:pPr>
        <w:pStyle w:val="FSRnormal"/>
      </w:pPr>
      <w:r>
        <w:t xml:space="preserve">The NDIA continues to build on the existing national early childhood approach to ensure the delivery of a model that provides evidence-based, high quality and timely supports to young children and families that are embedded in an integrated and collaborative early childhood ecosystem. </w:t>
      </w:r>
    </w:p>
    <w:p w14:paraId="20F830B7" w14:textId="77777777" w:rsidR="001A21FC" w:rsidRDefault="001A21FC" w:rsidP="00DA3F73">
      <w:pPr>
        <w:pStyle w:val="FSRnormal"/>
      </w:pPr>
      <w:r>
        <w:t>Progress has been made on implementing the Early Childhood Early Intervention (ECEI) reset recommendations.  Achievements to date include publishing new guidance and an updated early childhood provider report form that helps providers write reports about a child’s progress and outcomes in a consistent way.</w:t>
      </w:r>
    </w:p>
    <w:p w14:paraId="6C71B15F" w14:textId="77777777" w:rsidR="001A21FC" w:rsidRDefault="001A21FC" w:rsidP="00DA3F73">
      <w:pPr>
        <w:pStyle w:val="FSRnormal"/>
      </w:pPr>
      <w:r>
        <w:t xml:space="preserve">The NDIA also continues to support the developing NDIS market such as developing </w:t>
      </w:r>
      <w:r w:rsidR="0072001E">
        <w:t xml:space="preserve">Home </w:t>
      </w:r>
      <w:r>
        <w:t xml:space="preserve">and </w:t>
      </w:r>
      <w:r w:rsidR="0072001E">
        <w:t xml:space="preserve">Living </w:t>
      </w:r>
      <w:r>
        <w:t>options and partnering with the sector to improve quality and outcomes of support coordination.  An example is the Home and Living demonstration projects initiative to trial and evaluate alternative models of contemporary home and living supports. The demonstration projects are one mechanism to strengthen the capacity of the market to generate the future state of home and living supports and further demonstration project rounds are anticipated.</w:t>
      </w:r>
    </w:p>
    <w:p w14:paraId="60AE81FF" w14:textId="77777777" w:rsidR="001A21FC" w:rsidRDefault="001A21FC" w:rsidP="00DA3F73">
      <w:pPr>
        <w:pStyle w:val="FSRHeading4"/>
      </w:pPr>
      <w:r>
        <w:t>Consistent and equitable agency decision-making</w:t>
      </w:r>
    </w:p>
    <w:p w14:paraId="21BDF07A" w14:textId="77777777" w:rsidR="001A21FC" w:rsidRDefault="001A21FC" w:rsidP="00DA3F73">
      <w:pPr>
        <w:pStyle w:val="FSRnormal"/>
      </w:pPr>
      <w:r>
        <w:t xml:space="preserve">The NDIA Engagement Framework has been developed with disability sector representatives to guide, support and strengthen our engagement with the disability community now and into the future. </w:t>
      </w:r>
      <w:r w:rsidR="005D526F">
        <w:t xml:space="preserve">A number of co-design projects are now underway. In many cases, these are supported by </w:t>
      </w:r>
      <w:r>
        <w:t xml:space="preserve">Steering Committees </w:t>
      </w:r>
      <w:r w:rsidR="005D526F">
        <w:t>who are advising the NDIA on the co-design approach</w:t>
      </w:r>
      <w:r>
        <w:t>:</w:t>
      </w:r>
    </w:p>
    <w:p w14:paraId="0EBF2DD3" w14:textId="77777777" w:rsidR="001A21FC" w:rsidRDefault="001A21FC" w:rsidP="00DA3F73">
      <w:pPr>
        <w:pStyle w:val="FSRlist"/>
      </w:pPr>
      <w:r>
        <w:t>Information Gathering for Access and Planning</w:t>
      </w:r>
      <w:r w:rsidR="009A4022">
        <w:t xml:space="preserve"> (IGAP)</w:t>
      </w:r>
    </w:p>
    <w:p w14:paraId="574D9F4A" w14:textId="77777777" w:rsidR="001A21FC" w:rsidRDefault="001A21FC" w:rsidP="00DA3F73">
      <w:pPr>
        <w:pStyle w:val="FSRlist"/>
      </w:pPr>
      <w:r>
        <w:t>Home and Living</w:t>
      </w:r>
    </w:p>
    <w:p w14:paraId="57E4B718" w14:textId="77777777" w:rsidR="001A21FC" w:rsidRDefault="001A21FC" w:rsidP="00DA3F73">
      <w:pPr>
        <w:pStyle w:val="FSRlist"/>
      </w:pPr>
      <w:r>
        <w:t>Support for Decision Making</w:t>
      </w:r>
    </w:p>
    <w:p w14:paraId="7C50EC0E" w14:textId="77777777" w:rsidR="005D526F" w:rsidRDefault="001A21FC" w:rsidP="00DA3F73">
      <w:pPr>
        <w:pStyle w:val="FSRlist"/>
      </w:pPr>
      <w:r>
        <w:t>Participant Safety</w:t>
      </w:r>
    </w:p>
    <w:p w14:paraId="477CDB35" w14:textId="77777777" w:rsidR="009E5C07" w:rsidRDefault="009E5C07" w:rsidP="00DA3F73">
      <w:pPr>
        <w:pStyle w:val="FSRlist"/>
      </w:pPr>
      <w:r>
        <w:lastRenderedPageBreak/>
        <w:t>Cultural and Linguistic Diversity (CALD) Strategy, and</w:t>
      </w:r>
    </w:p>
    <w:p w14:paraId="1BF25F7E" w14:textId="77777777" w:rsidR="001A21FC" w:rsidRDefault="009E5C07" w:rsidP="00DA3F73">
      <w:pPr>
        <w:pStyle w:val="FSRlist"/>
      </w:pPr>
      <w:r>
        <w:t>First Nations Strategy</w:t>
      </w:r>
      <w:r w:rsidR="001A21FC">
        <w:t>.</w:t>
      </w:r>
    </w:p>
    <w:p w14:paraId="3C461314" w14:textId="77777777" w:rsidR="00ED6370" w:rsidRDefault="00ED6370" w:rsidP="00DA3F73">
      <w:pPr>
        <w:pStyle w:val="FSRnormal"/>
      </w:pPr>
      <w:r>
        <w:t xml:space="preserve">In particular, </w:t>
      </w:r>
      <w:r w:rsidR="00437098">
        <w:t xml:space="preserve">the </w:t>
      </w:r>
      <w:r>
        <w:t>IGAP project is responsible for delivering a new person-centred model of information gathering that delivers consistency and equity in access and planning outcomes. In the first half of 2022, the NDIA has commenced engaging with the disability community to understand people’s access and planning experiences through focus groups, and an online survey.</w:t>
      </w:r>
    </w:p>
    <w:p w14:paraId="6756C9D8" w14:textId="77777777" w:rsidR="001A21FC" w:rsidRDefault="001A21FC" w:rsidP="00DA3F73">
      <w:pPr>
        <w:pStyle w:val="FSRnormal"/>
      </w:pPr>
      <w:r>
        <w:t>The NDIA is committed to making the NDIS more transparent and easier to understand. As part of this, the NDIA continues to update and review guidelines to make the language clearer and easier to understand. The new guidelines include more information about how decisions are made</w:t>
      </w:r>
      <w:r w:rsidR="00ED6370">
        <w:t>.</w:t>
      </w:r>
    </w:p>
    <w:p w14:paraId="078A4CAC" w14:textId="77777777" w:rsidR="001A21FC" w:rsidRDefault="00ED6370" w:rsidP="00DA3F73">
      <w:pPr>
        <w:pStyle w:val="FSRnormal"/>
      </w:pPr>
      <w:r>
        <w:t xml:space="preserve">For example, </w:t>
      </w:r>
      <w:r w:rsidR="001A21FC">
        <w:t>'Would we fund it'</w:t>
      </w:r>
      <w:r>
        <w:rPr>
          <w:rStyle w:val="FootnoteReference"/>
        </w:rPr>
        <w:footnoteReference w:id="141"/>
      </w:r>
      <w:r w:rsidR="001A21FC">
        <w:t xml:space="preserve"> includes examples of commonly requested items that </w:t>
      </w:r>
      <w:r w:rsidR="0009324A">
        <w:t xml:space="preserve">are </w:t>
      </w:r>
      <w:r w:rsidR="001A21FC">
        <w:t>f</w:t>
      </w:r>
      <w:r w:rsidR="0009324A">
        <w:t>ound to</w:t>
      </w:r>
      <w:r w:rsidR="001A21FC">
        <w:t xml:space="preserve"> cause most confusion. For each item, reasonable and necessary decisions </w:t>
      </w:r>
      <w:r w:rsidR="0009324A">
        <w:t xml:space="preserve">are explained </w:t>
      </w:r>
      <w:r w:rsidR="001A21FC">
        <w:t xml:space="preserve">and </w:t>
      </w:r>
      <w:r w:rsidR="0009324A">
        <w:t xml:space="preserve">an overview </w:t>
      </w:r>
      <w:r w:rsidR="001A21FC">
        <w:t>provide</w:t>
      </w:r>
      <w:r w:rsidR="0009324A">
        <w:t>d</w:t>
      </w:r>
      <w:r w:rsidR="001A21FC">
        <w:t xml:space="preserve"> of whether or not </w:t>
      </w:r>
      <w:r w:rsidR="0009324A">
        <w:t xml:space="preserve">it is </w:t>
      </w:r>
      <w:r w:rsidR="001A21FC">
        <w:t>typically fund</w:t>
      </w:r>
      <w:r w:rsidR="0009324A">
        <w:t>ed</w:t>
      </w:r>
      <w:r w:rsidR="001A21FC">
        <w:t>. This guide is intended to be read alongside the ‘Our Guideline - Reasonable and necessary supports’</w:t>
      </w:r>
      <w:r>
        <w:rPr>
          <w:rStyle w:val="FootnoteReference"/>
        </w:rPr>
        <w:footnoteReference w:id="142"/>
      </w:r>
      <w:r w:rsidR="001A21FC">
        <w:t>, and new items will be added to this resource as they are developed.</w:t>
      </w:r>
    </w:p>
    <w:p w14:paraId="5FAC16DC" w14:textId="77777777" w:rsidR="001A21FC" w:rsidRDefault="001A21FC" w:rsidP="00DA3F73">
      <w:pPr>
        <w:pStyle w:val="FSRnormal"/>
      </w:pPr>
      <w:r>
        <w:t xml:space="preserve">To improve consistency in access and planning decisions, the NDIA is providing further guidance on the type and quality of evidence required. These process changes aim to ensure eligible participants receive timely support aligned with the Participant Service Guarantee (PSG) commitments. </w:t>
      </w:r>
    </w:p>
    <w:p w14:paraId="67F5CE7C" w14:textId="77777777" w:rsidR="001A21FC" w:rsidRDefault="001A21FC" w:rsidP="00DA3F73">
      <w:pPr>
        <w:pStyle w:val="FSRnormal"/>
      </w:pPr>
      <w:r>
        <w:t>Specifically, the NDIA has recently implemented the ‘Supporting Evidence Form – Home and Living’</w:t>
      </w:r>
      <w:r w:rsidR="00A2153B">
        <w:rPr>
          <w:rStyle w:val="FootnoteReference"/>
        </w:rPr>
        <w:footnoteReference w:id="143"/>
      </w:r>
      <w:r>
        <w:t>, which replaces the ‘Home and Living Support Request’ form. These changes aim to simplify and speed up the process to deliver home and living supports more efficiently and accurately. The NDIA is looking to produce similar evidence template</w:t>
      </w:r>
      <w:r w:rsidR="009A4022">
        <w:t>s</w:t>
      </w:r>
      <w:r>
        <w:t xml:space="preserve"> across other areas in response to participant and provider feedback for greater clarity.</w:t>
      </w:r>
    </w:p>
    <w:p w14:paraId="5BFF5FB5" w14:textId="77777777" w:rsidR="001A21FC" w:rsidRDefault="001A21FC" w:rsidP="00DA3F73">
      <w:pPr>
        <w:pStyle w:val="FSRnormal"/>
      </w:pPr>
      <w:r>
        <w:t xml:space="preserve">The NDIA has taken steps to improve communications with participants who entered the Scheme through early intervention regarding reassessment of eligibility. For instance, the NDIA has published clear guidelines to explain that participants entering the Scheme for developmental delay are usually no longer eligible after they turn </w:t>
      </w:r>
      <w:r w:rsidR="009E5C07">
        <w:t xml:space="preserve">seven </w:t>
      </w:r>
      <w:r>
        <w:t>and will need to have an impairment that</w:t>
      </w:r>
      <w:r w:rsidR="009E5C07">
        <w:t xml:space="preserve"> i</w:t>
      </w:r>
      <w:r>
        <w:t xml:space="preserve">s likely to be permanent and meet either the disability requirements or the early intervention requirements. Early childhood partners are guided to talk to families or carers before a child turns 6, and explain what information is needed to decide if the child is still eligible. </w:t>
      </w:r>
    </w:p>
    <w:p w14:paraId="6F079BD6" w14:textId="77777777" w:rsidR="001A21FC" w:rsidRDefault="001A21FC" w:rsidP="00DA3F73">
      <w:pPr>
        <w:pStyle w:val="FSRnormal"/>
      </w:pPr>
      <w:r>
        <w:t xml:space="preserve">In terms of better understanding the Scheme’s higher than expected new entrants, the NDIA’s Performance Management and Quality (PMQ) Branch carried out a deep dive investigation into new entrants in the last quarter of 2021. This investigation focussed on </w:t>
      </w:r>
      <w:r>
        <w:lastRenderedPageBreak/>
        <w:t xml:space="preserve">understanding of the observed experience of recent new entrants from the geographic areas that phased into the Scheme the earliest, the proportional split between new entrants that are new incidence </w:t>
      </w:r>
      <w:r w:rsidR="002C5DDF">
        <w:t>of</w:t>
      </w:r>
      <w:r>
        <w:t xml:space="preserve"> disability versus those that are previously unmet need. Detailed analysis has shown that although the new entrant rates for many disability types appears to be reducing and stabilising in-line with the assumption of a 30 June 2024 Steady Intake Date, there remains considerable uncertainty around the long</w:t>
      </w:r>
      <w:r w:rsidR="009E5C07">
        <w:t>-</w:t>
      </w:r>
      <w:r>
        <w:t>term assumed new entrant rate for participants with a primary disability of autism aged between 15 and 54 years. This is discussed further in Section 9.2.</w:t>
      </w:r>
    </w:p>
    <w:p w14:paraId="11F24EF7" w14:textId="77777777" w:rsidR="001A21FC" w:rsidRDefault="001A21FC" w:rsidP="00DA3F73">
      <w:pPr>
        <w:pStyle w:val="FSRHeading4"/>
      </w:pPr>
      <w:r>
        <w:t xml:space="preserve">Scheme </w:t>
      </w:r>
      <w:r w:rsidR="00D405B8">
        <w:t xml:space="preserve">scope and </w:t>
      </w:r>
      <w:r>
        <w:t>coverage</w:t>
      </w:r>
    </w:p>
    <w:p w14:paraId="17CC14B4" w14:textId="77777777" w:rsidR="001A21FC" w:rsidRDefault="001A21FC" w:rsidP="00DA3F73">
      <w:pPr>
        <w:pStyle w:val="FSRnormal"/>
      </w:pPr>
      <w:r>
        <w:t xml:space="preserve">While taking into consideration that each decision made in the AAT is merit-based (i.e. specific to the individual facts and circumstances of the particular case leading to a decision before the Tribunal), and thus not a legal precedent, the NDIA is constantly monitoring the issues emerging from its AAT decisions to further develop its policies in supporting a consistent and equitable approach to its funding packages, under s34 of the Act </w:t>
      </w:r>
      <w:r w:rsidR="00C32AA8">
        <w:t>‘R</w:t>
      </w:r>
      <w:r>
        <w:t>easonable and necessary supports</w:t>
      </w:r>
      <w:r w:rsidR="00C32AA8">
        <w:t>’</w:t>
      </w:r>
      <w:r>
        <w:t>.</w:t>
      </w:r>
    </w:p>
    <w:p w14:paraId="0B42EEFF" w14:textId="77777777" w:rsidR="001A21FC" w:rsidRDefault="001A21FC" w:rsidP="00DA3F73">
      <w:pPr>
        <w:pStyle w:val="FSRHeading4"/>
      </w:pPr>
      <w:r>
        <w:t>Improving operational processes</w:t>
      </w:r>
    </w:p>
    <w:p w14:paraId="21D7698E" w14:textId="77777777" w:rsidR="001A21FC" w:rsidRDefault="001A21FC" w:rsidP="00DA3F73">
      <w:pPr>
        <w:pStyle w:val="FSRnormal"/>
      </w:pPr>
      <w:r>
        <w:t>The NDIA has implemented a continuous improvement process that identifies areas of improvement in reasonable and necessary decision-making through quality assurance reviews</w:t>
      </w:r>
      <w:r w:rsidR="00C32AA8">
        <w:t>. This information is used in</w:t>
      </w:r>
      <w:r>
        <w:t xml:space="preserve"> the development of on-system coaching modules for delegates and subsequent monitoring to track the changes in these areas.</w:t>
      </w:r>
    </w:p>
    <w:p w14:paraId="5FF939E9" w14:textId="77777777" w:rsidR="001A21FC" w:rsidRDefault="001A21FC" w:rsidP="00DA3F73">
      <w:pPr>
        <w:pStyle w:val="FSRnormal"/>
      </w:pPr>
      <w:r>
        <w:t>As set out in Section 8.1, the Agency is building PACE, a business system based on Salesforce CRM that will replace the existing SAP CRM over time. PACE will save time, reduce workarounds and off system processes and give more time for quality interactions with participants. It will deliver:</w:t>
      </w:r>
    </w:p>
    <w:p w14:paraId="772F8ADD" w14:textId="77777777" w:rsidR="001A21FC" w:rsidRDefault="001A21FC" w:rsidP="00DA3F73">
      <w:pPr>
        <w:pStyle w:val="FSRlist"/>
      </w:pPr>
      <w:r>
        <w:t>a high-quality business system.</w:t>
      </w:r>
    </w:p>
    <w:p w14:paraId="75EF3DB6" w14:textId="77777777" w:rsidR="001A21FC" w:rsidRDefault="001A21FC" w:rsidP="00DA3F73">
      <w:pPr>
        <w:pStyle w:val="FSRlist"/>
      </w:pPr>
      <w:r>
        <w:t>built-in quality and integrity controls.</w:t>
      </w:r>
    </w:p>
    <w:p w14:paraId="761F7204" w14:textId="77777777" w:rsidR="001A21FC" w:rsidRDefault="001A21FC" w:rsidP="00DA3F73">
      <w:pPr>
        <w:pStyle w:val="FSRlist"/>
      </w:pPr>
      <w:r>
        <w:t>more flexibility and capability to put co-design and consultation outcomes in place.</w:t>
      </w:r>
    </w:p>
    <w:p w14:paraId="2F65E9E2" w14:textId="77777777" w:rsidR="001A21FC" w:rsidRDefault="001A21FC" w:rsidP="00DA3F73">
      <w:pPr>
        <w:pStyle w:val="FSRlist"/>
      </w:pPr>
      <w:r>
        <w:t>simpler internal processes to help the NDIA support participants and meet timeframes in our Participant Service Guarantee.</w:t>
      </w:r>
    </w:p>
    <w:p w14:paraId="73CA4243" w14:textId="77777777" w:rsidR="001A21FC" w:rsidRDefault="001A21FC" w:rsidP="00DA3F73">
      <w:pPr>
        <w:pStyle w:val="FSRlist"/>
      </w:pPr>
      <w:r>
        <w:t>platforms and systems that help planner and partner work.</w:t>
      </w:r>
    </w:p>
    <w:p w14:paraId="315D0944" w14:textId="77777777" w:rsidR="001A21FC" w:rsidRDefault="001A21FC" w:rsidP="00DA3F73">
      <w:pPr>
        <w:pStyle w:val="FSRlist"/>
      </w:pPr>
      <w:r>
        <w:t xml:space="preserve">better capability for the NDIA </w:t>
      </w:r>
      <w:r w:rsidR="00774C59">
        <w:t xml:space="preserve">to </w:t>
      </w:r>
      <w:r>
        <w:t>fully implement the 2022 amendments to the NDIS Act.</w:t>
      </w:r>
    </w:p>
    <w:p w14:paraId="5939322B" w14:textId="77777777" w:rsidR="001A21FC" w:rsidRDefault="001A21FC" w:rsidP="00DA3F73">
      <w:pPr>
        <w:pStyle w:val="FSRnormal"/>
      </w:pPr>
      <w:r>
        <w:t>The NDIA continues undertake a range of strategies to detect fraud as well as other types of noncompliance. However, activities including data analytics and monitoring of behaviours is reliant on the quality and the scope of data collected and managed by the Agency.</w:t>
      </w:r>
    </w:p>
    <w:p w14:paraId="02468BDE" w14:textId="77777777" w:rsidR="00B8575E" w:rsidRDefault="001A21FC" w:rsidP="00140A44">
      <w:pPr>
        <w:pStyle w:val="FSRnormal"/>
      </w:pPr>
      <w:r>
        <w:lastRenderedPageBreak/>
        <w:t>In mid</w:t>
      </w:r>
      <w:r w:rsidR="00774C59">
        <w:t>-</w:t>
      </w:r>
      <w:r>
        <w:t>2022, a requirement for all plan managers to capture the provider ABN for all plan-managed payment requests, including participant reimbursements, was put in place. This has led to the continuation of improvement in the data captured on non-registered providers.</w:t>
      </w:r>
    </w:p>
    <w:p w14:paraId="67707ADE" w14:textId="77777777" w:rsidR="001A21FC" w:rsidRDefault="001A21FC" w:rsidP="00DA3F73">
      <w:pPr>
        <w:pStyle w:val="FSRnormal"/>
      </w:pPr>
      <w:r>
        <w:t>The data captured on non-registered providers of self-managed supports is still very limited. The pilot of a new ‘my NDIS participant portal’ has been conducted in 2022 and further development of a new portal provides opportunity to improve the scope and quality of the data collected.</w:t>
      </w:r>
    </w:p>
    <w:p w14:paraId="612691D5" w14:textId="77777777" w:rsidR="0016696D" w:rsidRDefault="0016696D" w:rsidP="0016696D">
      <w:pPr>
        <w:pStyle w:val="FSRnormal"/>
      </w:pPr>
      <w:r>
        <w:t>In September 2022, the Agency implemented a new operational plan to reduce the time taken for participants to be discharged from hospital. The plan includes increasing the staff dedicated to supporting participants who are awaiting discharge and streamlining processes to facilitate quicker decision-making.</w:t>
      </w:r>
    </w:p>
    <w:p w14:paraId="1FB57A8A" w14:textId="77777777" w:rsidR="001A21FC" w:rsidRDefault="001A21FC" w:rsidP="00DA3F73">
      <w:pPr>
        <w:pStyle w:val="FSRlist"/>
        <w:numPr>
          <w:ilvl w:val="0"/>
          <w:numId w:val="0"/>
        </w:numPr>
        <w:ind w:left="360"/>
      </w:pPr>
    </w:p>
    <w:p w14:paraId="102AB1AA" w14:textId="77777777" w:rsidR="001A21FC" w:rsidRDefault="001A21FC" w:rsidP="00DA3F73">
      <w:pPr>
        <w:pStyle w:val="Heading3"/>
      </w:pPr>
      <w:bookmarkStart w:id="411" w:name="_Toc118460223"/>
      <w:r>
        <w:t>New recommendations</w:t>
      </w:r>
      <w:bookmarkEnd w:id="411"/>
    </w:p>
    <w:p w14:paraId="50EE7CB5" w14:textId="77777777" w:rsidR="001A21FC" w:rsidRDefault="001A21FC" w:rsidP="00DA3F73">
      <w:pPr>
        <w:pStyle w:val="FSRHeading4"/>
      </w:pPr>
      <w:r>
        <w:t>Continue to develop understanding of causal links between NDIS funding and participant outcomes through the Investment Effectiveness Program</w:t>
      </w:r>
    </w:p>
    <w:p w14:paraId="6832FD33" w14:textId="77777777" w:rsidR="00962EB4" w:rsidRPr="00D841F8" w:rsidRDefault="00962EB4" w:rsidP="00962EB4">
      <w:pPr>
        <w:pStyle w:val="FSRnormal"/>
      </w:pPr>
      <w:r w:rsidRPr="00D841F8">
        <w:t xml:space="preserve">The NDIA </w:t>
      </w:r>
      <w:r>
        <w:t>should continue to pursue a</w:t>
      </w:r>
      <w:r w:rsidRPr="00D841F8">
        <w:t xml:space="preserve"> better understanding </w:t>
      </w:r>
      <w:r>
        <w:t>of the</w:t>
      </w:r>
      <w:r w:rsidRPr="00D841F8">
        <w:t xml:space="preserve"> impact that Scheme funding has on participant</w:t>
      </w:r>
      <w:r>
        <w:t>s’</w:t>
      </w:r>
      <w:r w:rsidRPr="00D841F8">
        <w:t xml:space="preserve"> attainment of outcomes. In the long run, the lack of such understanding has the potential to result in suboptimal funding allocations and impact the overall effectiveness of the Scheme. Understanding these links </w:t>
      </w:r>
      <w:r>
        <w:t>can better</w:t>
      </w:r>
      <w:r w:rsidRPr="00D841F8">
        <w:t xml:space="preserve"> inform participants on how their decisions regarding potential supports impact their individual needs and help their ongoing choices under the Scheme.</w:t>
      </w:r>
    </w:p>
    <w:p w14:paraId="07287861" w14:textId="77777777" w:rsidR="00962EB4" w:rsidRPr="00D841F8" w:rsidRDefault="00962EB4" w:rsidP="00962EB4">
      <w:pPr>
        <w:pStyle w:val="FSRnormal"/>
      </w:pPr>
      <w:r w:rsidRPr="00D841F8">
        <w:t>The Investment Effectiveness Program (IEP) commenced in early 2022 to</w:t>
      </w:r>
      <w:r>
        <w:t xml:space="preserve"> better understand and</w:t>
      </w:r>
      <w:r w:rsidRPr="00D841F8">
        <w:t xml:space="preserve"> establish links between funding and participant outcomes. This is a </w:t>
      </w:r>
      <w:r>
        <w:t>multi-</w:t>
      </w:r>
      <w:r w:rsidRPr="00D841F8">
        <w:t xml:space="preserve">year project and is being undertaken in consultation with participants, academics and stakeholders from the disability sector, as well as the Department of Social Services. </w:t>
      </w:r>
    </w:p>
    <w:p w14:paraId="369ED577" w14:textId="77777777" w:rsidR="00962EB4" w:rsidRPr="00D841F8" w:rsidRDefault="00962EB4" w:rsidP="00962EB4">
      <w:pPr>
        <w:pStyle w:val="FSRnormal"/>
      </w:pPr>
      <w:r w:rsidRPr="00D841F8">
        <w:t>Further detail about the IEP is set out in Appendix K.</w:t>
      </w:r>
    </w:p>
    <w:p w14:paraId="067000DD" w14:textId="77777777" w:rsidR="001A21FC" w:rsidRPr="00DA3F73" w:rsidRDefault="001A21FC" w:rsidP="00DA3F73">
      <w:pPr>
        <w:pStyle w:val="FSRnormal"/>
        <w:rPr>
          <w:i/>
        </w:rPr>
      </w:pPr>
      <w:r w:rsidRPr="00DA3F73">
        <w:rPr>
          <w:b/>
          <w:i/>
        </w:rPr>
        <w:t>Recommendation 1:</w:t>
      </w:r>
      <w:r w:rsidRPr="00DA3F73">
        <w:rPr>
          <w:i/>
        </w:rPr>
        <w:t xml:space="preserve"> The NDIA should continue work on measuring the impact of funding on participant outcomes through the IEP, to better support the Agency’s </w:t>
      </w:r>
      <w:r w:rsidR="00B11200">
        <w:rPr>
          <w:i/>
        </w:rPr>
        <w:t xml:space="preserve">and other stakeholders’ </w:t>
      </w:r>
      <w:r w:rsidRPr="00DA3F73">
        <w:rPr>
          <w:i/>
        </w:rPr>
        <w:t>understanding of the link between funding and participant outcomes, and its impact on the long-term effectiveness of the Scheme.</w:t>
      </w:r>
    </w:p>
    <w:p w14:paraId="11DDCE78" w14:textId="77777777" w:rsidR="001A21FC" w:rsidRPr="00F830E6" w:rsidRDefault="001A21FC" w:rsidP="00DA3F73">
      <w:pPr>
        <w:pStyle w:val="FSRnormal"/>
        <w:rPr>
          <w:b/>
          <w:color w:val="6B2976"/>
          <w:sz w:val="25"/>
        </w:rPr>
      </w:pPr>
      <w:r w:rsidRPr="00F830E6">
        <w:rPr>
          <w:b/>
          <w:color w:val="6B2976"/>
          <w:sz w:val="25"/>
        </w:rPr>
        <w:t>Improve understanding of the increased use of supports by participants over time</w:t>
      </w:r>
    </w:p>
    <w:p w14:paraId="05467D35" w14:textId="77777777" w:rsidR="001A21FC" w:rsidRDefault="001A21FC" w:rsidP="00DA3F73">
      <w:pPr>
        <w:pStyle w:val="FSRnormal"/>
      </w:pPr>
      <w:r>
        <w:t xml:space="preserve">Analysis of payments inflation has shown that a significant proportion of the increase in payments per participant can be attributed to the increased use of supports over time. In particular, participants are using more hours of attendant care and/ or more high intensity care as their duration in the Scheme increases. The 2021-22 AFSR projections include an </w:t>
      </w:r>
      <w:r>
        <w:lastRenderedPageBreak/>
        <w:t>assumption that this increased use of supports over time will continue in the medium to long</w:t>
      </w:r>
      <w:r w:rsidR="00D925FC">
        <w:t xml:space="preserve"> </w:t>
      </w:r>
      <w:r>
        <w:t>term, although the extent to which this drives future inflation is uncertain.</w:t>
      </w:r>
    </w:p>
    <w:p w14:paraId="7C3E02C9" w14:textId="77777777" w:rsidR="001A21FC" w:rsidRDefault="001A21FC" w:rsidP="00DA3F73">
      <w:pPr>
        <w:pStyle w:val="FSRnormal"/>
      </w:pPr>
      <w:r>
        <w:t xml:space="preserve">Also, plan inflation remains high and investigations in the last 12 months have shown that significant levels of inflation are occurring within a plan between reviews (intraplan inflation).  Intraplan inflation tends to occur when a participant’s needs and situation change before a plan is due to be reassessed. The most common categories of support where plan inflation occurs are </w:t>
      </w:r>
      <w:r w:rsidR="00B11200">
        <w:t>c</w:t>
      </w:r>
      <w:r>
        <w:t>ore daily activities as well as social and community participation, which mainly reflect the costs of attendant care.</w:t>
      </w:r>
    </w:p>
    <w:p w14:paraId="71FDE37C" w14:textId="77777777" w:rsidR="001A21FC" w:rsidRDefault="001A21FC" w:rsidP="00F830E6">
      <w:pPr>
        <w:spacing w:after="160" w:line="259" w:lineRule="auto"/>
      </w:pPr>
      <w:r w:rsidRPr="00DA3F73">
        <w:rPr>
          <w:rStyle w:val="FSRnormalChar"/>
          <w:b/>
          <w:i/>
        </w:rPr>
        <w:t>Recommendation 2:</w:t>
      </w:r>
      <w:r w:rsidRPr="00DA3F73">
        <w:rPr>
          <w:rStyle w:val="FSRnormalChar"/>
          <w:i/>
        </w:rPr>
        <w:t xml:space="preserve"> Further work should be done to understand the change in support needs of participants over time, in particular the need for more attendant care. This in turn will help to determine whether this is likely to continue to be a driver of inflation, </w:t>
      </w:r>
      <w:r w:rsidR="00C32AA8">
        <w:rPr>
          <w:rStyle w:val="FSRnormalChar"/>
          <w:i/>
        </w:rPr>
        <w:t xml:space="preserve">and </w:t>
      </w:r>
      <w:r w:rsidRPr="00DA3F73">
        <w:rPr>
          <w:rStyle w:val="FSRnormalChar"/>
          <w:i/>
        </w:rPr>
        <w:t>whether changes to the Scheme design may have an impact on the use of supports and</w:t>
      </w:r>
      <w:r w:rsidRPr="00DA3F73">
        <w:rPr>
          <w:i/>
        </w:rPr>
        <w:t xml:space="preserve"> may help to reduce the level of uncertainty regarding growth in longer</w:t>
      </w:r>
      <w:r w:rsidR="00796DB5">
        <w:rPr>
          <w:i/>
        </w:rPr>
        <w:t>-</w:t>
      </w:r>
      <w:r w:rsidRPr="00DA3F73">
        <w:rPr>
          <w:i/>
        </w:rPr>
        <w:t>term participant expenses.</w:t>
      </w:r>
      <w:r>
        <w:t xml:space="preserve">  </w:t>
      </w:r>
    </w:p>
    <w:p w14:paraId="340CFFAA" w14:textId="77777777" w:rsidR="001A21FC" w:rsidRDefault="001A21FC" w:rsidP="00DA3F73">
      <w:pPr>
        <w:pStyle w:val="FSRHeading4"/>
      </w:pPr>
      <w:r>
        <w:t>Deepen understanding of participants entering the Scheme with autism or transitioning from developmental delay to autism</w:t>
      </w:r>
    </w:p>
    <w:p w14:paraId="71B8DAB9" w14:textId="77777777" w:rsidR="001A21FC" w:rsidRDefault="001A21FC" w:rsidP="00DA3F73">
      <w:pPr>
        <w:pStyle w:val="FSRnormal"/>
      </w:pPr>
      <w:r>
        <w:t xml:space="preserve">The numbers of NDIS participants with autism is significantly higher than estimated in the original Scheme design, and recent experience continues to show high numbers of new entrants to the Scheme with a primary disability of autism. This reflects increased prevalence rates of autism that have been observed in recent times both in Australia and internationally. </w:t>
      </w:r>
    </w:p>
    <w:p w14:paraId="5BABCD5D" w14:textId="77777777" w:rsidR="001A21FC" w:rsidRDefault="001A21FC" w:rsidP="00DA3F73">
      <w:pPr>
        <w:pStyle w:val="FSRnormal"/>
      </w:pPr>
      <w:r>
        <w:t xml:space="preserve">In particular, the rate of new entrants with autism at young adult ages continues to increase steadily and there is a high level of uncertainty as to whether further increases will occur. In addition, many young children who enter the Scheme due to developmental delay go on to receive an autism diagnosis. </w:t>
      </w:r>
    </w:p>
    <w:p w14:paraId="68F240D3" w14:textId="77777777" w:rsidR="001A21FC" w:rsidRDefault="001A21FC" w:rsidP="00DA3F73">
      <w:pPr>
        <w:pStyle w:val="FSRnormal"/>
      </w:pPr>
      <w:r>
        <w:t xml:space="preserve">The higher than anticipated numbers of participants with autism entering the Scheme has contributed to upward revisions of projected Scheme expenses over time. The continued uncertainty about future experience means that it is difficult to make improvements to the Scheme design and processes to better support individuals with autism. Such improvements may enable more consistent decision making about </w:t>
      </w:r>
      <w:r w:rsidR="00387556">
        <w:t xml:space="preserve">Scheme </w:t>
      </w:r>
      <w:r>
        <w:t>eligib</w:t>
      </w:r>
      <w:r w:rsidR="00387556">
        <w:t>ility</w:t>
      </w:r>
      <w:r>
        <w:t xml:space="preserve">, better support </w:t>
      </w:r>
      <w:r w:rsidR="007069B8">
        <w:t xml:space="preserve">for </w:t>
      </w:r>
      <w:r>
        <w:t xml:space="preserve">participants with autism and also better focus on evidence based early interventions for children with developmental delay who can then transition to mainstream supports where appropriate. </w:t>
      </w:r>
    </w:p>
    <w:p w14:paraId="30ADC8E7" w14:textId="77777777" w:rsidR="001A21FC" w:rsidRPr="00DA3F73" w:rsidRDefault="001A21FC" w:rsidP="00DA3F73">
      <w:pPr>
        <w:pStyle w:val="FSRnormal"/>
        <w:rPr>
          <w:i/>
        </w:rPr>
      </w:pPr>
      <w:r w:rsidRPr="00DA3F73">
        <w:rPr>
          <w:b/>
          <w:i/>
        </w:rPr>
        <w:t>Recommendation 3:</w:t>
      </w:r>
      <w:r w:rsidRPr="00DA3F73">
        <w:rPr>
          <w:i/>
        </w:rPr>
        <w:t xml:space="preserve"> The Agency should seek to better understand the drivers of the increasing prevalence of autism, and specifically the higher than expected numbers of participants entering the Scheme with autism or with developmental delay who are then diagnosed with autism. This work would also help clarify to what extent the high rates of new entrants with autism may persist going forward.</w:t>
      </w:r>
    </w:p>
    <w:p w14:paraId="16010F20" w14:textId="77777777" w:rsidR="001A21FC" w:rsidRDefault="001A21FC" w:rsidP="00DA3F73">
      <w:pPr>
        <w:pStyle w:val="FSRHeading4"/>
      </w:pPr>
      <w:r>
        <w:lastRenderedPageBreak/>
        <w:t>Improve understanding of participants and potential participants with psychosocial disability</w:t>
      </w:r>
    </w:p>
    <w:p w14:paraId="41AE03DC" w14:textId="77777777" w:rsidR="001A21FC" w:rsidRDefault="001A21FC" w:rsidP="00DA3F73">
      <w:pPr>
        <w:pStyle w:val="FSRnormal"/>
      </w:pPr>
      <w:r>
        <w:t xml:space="preserve">As at 30 June 2022, there were 56,559 active participants with a primary psychosocial disability, representing 10.6% of all Scheme participants. However, the participation rate of participants with psychosocial disability is lower than original expectations when the Scheme was designed. For example, the participation rate of participants with a psychosocial disability aged 25-44 is 2.8 per 1,000 in the general population compared with 4.7 per 1,000 in the original Productivity Commission estimates. </w:t>
      </w:r>
    </w:p>
    <w:p w14:paraId="4BD6E277" w14:textId="77777777" w:rsidR="001A21FC" w:rsidRDefault="001A21FC" w:rsidP="00DA3F73">
      <w:pPr>
        <w:pStyle w:val="FSRnormal"/>
      </w:pPr>
      <w:r>
        <w:t xml:space="preserve">Investigation into new entrants has shown that a higher proportion of participants entering the Scheme with a psychosocial disability have a previously unmet need (PUN) compared with other disability types, indicating that it </w:t>
      </w:r>
      <w:r w:rsidR="00C32AA8">
        <w:t xml:space="preserve">is </w:t>
      </w:r>
      <w:r>
        <w:t xml:space="preserve">more likely that participants with a psychosocial disability may have required reasonable and necessary supports </w:t>
      </w:r>
      <w:r w:rsidR="00C32AA8">
        <w:t>but had not approached the Scheme</w:t>
      </w:r>
      <w:r>
        <w:t>.</w:t>
      </w:r>
    </w:p>
    <w:p w14:paraId="0DBADD61" w14:textId="77777777" w:rsidR="001A21FC" w:rsidRDefault="001A21FC" w:rsidP="00DA3F73">
      <w:pPr>
        <w:pStyle w:val="FSRnormal"/>
      </w:pPr>
      <w:r>
        <w:t>There is a high level of uncertainty about the future experience of participants with a psychosocial disability including the numbers of new entrants going forward as well as the extent to which delayed entry to the Scheme may lead to higher levels of reasonable and necessary supports in cases where a condition has deteriorated.</w:t>
      </w:r>
    </w:p>
    <w:p w14:paraId="54CB862A" w14:textId="77777777" w:rsidR="001A21FC" w:rsidRPr="00DA3F73" w:rsidRDefault="001A21FC" w:rsidP="00DA3F73">
      <w:pPr>
        <w:pStyle w:val="FSRnormal"/>
        <w:rPr>
          <w:i/>
        </w:rPr>
      </w:pPr>
      <w:r w:rsidRPr="00DA3F73">
        <w:rPr>
          <w:b/>
          <w:i/>
        </w:rPr>
        <w:t>Recommendation 4:</w:t>
      </w:r>
      <w:r w:rsidRPr="00DA3F73">
        <w:rPr>
          <w:i/>
        </w:rPr>
        <w:t xml:space="preserve"> The Agency should seek to better understand the reasons why individuals with a psychosocial disability may not approach the Scheme, or may not meet the eligibility criteria when applying for access to the Scheme. </w:t>
      </w:r>
      <w:r w:rsidR="00B11200">
        <w:rPr>
          <w:i/>
        </w:rPr>
        <w:t>This will also inform estimates of longer</w:t>
      </w:r>
      <w:r w:rsidR="00D925FC">
        <w:rPr>
          <w:i/>
        </w:rPr>
        <w:t>-</w:t>
      </w:r>
      <w:r w:rsidR="00B11200">
        <w:rPr>
          <w:i/>
        </w:rPr>
        <w:t>term rates of new entrants with a psychosocial disability to the Scheme.</w:t>
      </w:r>
    </w:p>
    <w:p w14:paraId="1EE6CE61" w14:textId="77777777" w:rsidR="001A21FC" w:rsidRDefault="001A21FC" w:rsidP="00DA3F73">
      <w:pPr>
        <w:pStyle w:val="FSRHeading4"/>
      </w:pPr>
      <w:r>
        <w:t>Investigate potential long</w:t>
      </w:r>
      <w:r w:rsidR="00232E47">
        <w:t>-</w:t>
      </w:r>
      <w:r>
        <w:t>term Scheme participation rates and Scheme expenses beyond the 10 year term of the results reported in this AFSR</w:t>
      </w:r>
    </w:p>
    <w:p w14:paraId="17881FE7" w14:textId="77777777" w:rsidR="0034256E" w:rsidRDefault="001A21FC" w:rsidP="0034256E">
      <w:pPr>
        <w:pStyle w:val="FSRnormal"/>
      </w:pPr>
      <w:r>
        <w:t xml:space="preserve">This AFSR sets out the results of Scheme projections for a period of 10 years from 30 June 2022 to 30 June 2032. During that period the number of participants in the Scheme will grow from 534,655 to an estimated 1,017,522, and Scheme expenses </w:t>
      </w:r>
      <w:r w:rsidR="0025518E">
        <w:t xml:space="preserve">as a proportion of GDP </w:t>
      </w:r>
      <w:r>
        <w:t>are</w:t>
      </w:r>
      <w:r w:rsidR="00B8575E">
        <w:t xml:space="preserve"> projected</w:t>
      </w:r>
      <w:r>
        <w:t xml:space="preserve"> to increase from 1.</w:t>
      </w:r>
      <w:r w:rsidR="00C818D5">
        <w:t>48</w:t>
      </w:r>
      <w:r>
        <w:t xml:space="preserve">% </w:t>
      </w:r>
      <w:r w:rsidR="0025518E">
        <w:t xml:space="preserve">in 2022-23 </w:t>
      </w:r>
      <w:r>
        <w:t>to 2.</w:t>
      </w:r>
      <w:r w:rsidR="00C818D5">
        <w:t>55</w:t>
      </w:r>
      <w:r>
        <w:t xml:space="preserve">% </w:t>
      </w:r>
      <w:r w:rsidR="0025518E">
        <w:t>in 2031-32</w:t>
      </w:r>
      <w:r>
        <w:t xml:space="preserve">. By applying the assumptions underlying the AFSR projection beyond 10 years, the rate of growth in participant numbers and expenses slows but does not stabilise in the foreseeable future. </w:t>
      </w:r>
      <w:r w:rsidR="0034256E">
        <w:t>Several factors contribute to this, including the longer</w:t>
      </w:r>
      <w:r w:rsidR="00796DB5">
        <w:t>-</w:t>
      </w:r>
      <w:r w:rsidR="0034256E">
        <w:t>term impacts</w:t>
      </w:r>
      <w:r w:rsidR="00F933BF">
        <w:t xml:space="preserve"> of higher than expected number</w:t>
      </w:r>
      <w:r w:rsidR="0034256E">
        <w:t xml:space="preserve"> of children entering the Scheme with autism or developmental delay, as well as the ageing impacts of the population and that the proportion of participants in the Scheme aged over 65 will continue to grow for many years.</w:t>
      </w:r>
    </w:p>
    <w:p w14:paraId="5C3CB164" w14:textId="77777777" w:rsidR="001A21FC" w:rsidRDefault="0034256E" w:rsidP="0034256E">
      <w:pPr>
        <w:pStyle w:val="FSRnormal"/>
      </w:pPr>
      <w:r>
        <w:t>Given the relative immaturity of the NDIS, it is important to develop more robust longer</w:t>
      </w:r>
      <w:r w:rsidR="00D925FC">
        <w:t>-</w:t>
      </w:r>
      <w:r>
        <w:t xml:space="preserve">term projections and to explore the implications of potential future Scheme participation and expenses in the context of Australia’s social policy. For example, </w:t>
      </w:r>
      <w:r w:rsidR="00F933BF">
        <w:t>Treasury’s</w:t>
      </w:r>
      <w:r>
        <w:t xml:space="preserve"> Intergenerational Report is based on projections over a 40 year period.</w:t>
      </w:r>
    </w:p>
    <w:p w14:paraId="1F6E2651" w14:textId="77777777" w:rsidR="001A21FC" w:rsidRDefault="0034256E" w:rsidP="00DA3F73">
      <w:pPr>
        <w:pStyle w:val="FSRnormal"/>
      </w:pPr>
      <w:r>
        <w:t xml:space="preserve">The lifetime </w:t>
      </w:r>
      <w:r w:rsidR="00197BF7">
        <w:t>expense</w:t>
      </w:r>
      <w:r>
        <w:t xml:space="preserve"> estimates for participants already in the Scheme, and for an annual cohort of new entrants to the Scheme are included</w:t>
      </w:r>
      <w:r w:rsidRPr="00D841F8">
        <w:t xml:space="preserve"> </w:t>
      </w:r>
      <w:r>
        <w:t>in Section 5.</w:t>
      </w:r>
      <w:r w:rsidR="00833532">
        <w:t xml:space="preserve">9 </w:t>
      </w:r>
      <w:r>
        <w:t xml:space="preserve">of this report. However, </w:t>
      </w:r>
      <w:r>
        <w:lastRenderedPageBreak/>
        <w:t>further work is needed to produce a robust long</w:t>
      </w:r>
      <w:r w:rsidR="00232E47">
        <w:t>-</w:t>
      </w:r>
      <w:r>
        <w:t xml:space="preserve">term projection of the Scheme, and </w:t>
      </w:r>
      <w:r w:rsidRPr="00D841F8">
        <w:t xml:space="preserve">to </w:t>
      </w:r>
      <w:r>
        <w:t xml:space="preserve">address </w:t>
      </w:r>
      <w:r w:rsidR="001A21FC">
        <w:t>issues such as:</w:t>
      </w:r>
    </w:p>
    <w:p w14:paraId="5FC0B4DC" w14:textId="77777777" w:rsidR="001A21FC" w:rsidRDefault="00833532" w:rsidP="00DA3F73">
      <w:pPr>
        <w:pStyle w:val="FSRlist"/>
      </w:pPr>
      <w:r>
        <w:t xml:space="preserve">the </w:t>
      </w:r>
      <w:r w:rsidR="001A21FC">
        <w:t xml:space="preserve">point </w:t>
      </w:r>
      <w:r>
        <w:t xml:space="preserve">at which </w:t>
      </w:r>
      <w:r w:rsidR="001A21FC">
        <w:t>the number of Scheme participants stabilise</w:t>
      </w:r>
      <w:r>
        <w:t>s</w:t>
      </w:r>
      <w:r w:rsidR="001A21FC">
        <w:t xml:space="preserve"> as a proportion of the Australian population</w:t>
      </w:r>
    </w:p>
    <w:p w14:paraId="7EE7480A" w14:textId="77777777" w:rsidR="001A21FC" w:rsidRDefault="00833532" w:rsidP="00DA3F73">
      <w:pPr>
        <w:pStyle w:val="FSRlist"/>
      </w:pPr>
      <w:r>
        <w:t xml:space="preserve">the </w:t>
      </w:r>
      <w:r w:rsidR="001A21FC">
        <w:t xml:space="preserve">proportion of the general population the Scheme </w:t>
      </w:r>
      <w:r>
        <w:t xml:space="preserve">is ultimately </w:t>
      </w:r>
      <w:r w:rsidR="001A21FC">
        <w:t>expected to support</w:t>
      </w:r>
    </w:p>
    <w:p w14:paraId="09C3ABF6" w14:textId="77777777" w:rsidR="001A21FC" w:rsidRDefault="00833532" w:rsidP="00DA3F73">
      <w:pPr>
        <w:pStyle w:val="FSRlist"/>
      </w:pPr>
      <w:r>
        <w:t xml:space="preserve">the </w:t>
      </w:r>
      <w:r w:rsidR="001A21FC">
        <w:t xml:space="preserve">point </w:t>
      </w:r>
      <w:r>
        <w:t xml:space="preserve">at which </w:t>
      </w:r>
      <w:r w:rsidR="001A21FC">
        <w:t xml:space="preserve">Scheme expenses </w:t>
      </w:r>
      <w:r>
        <w:t xml:space="preserve">will </w:t>
      </w:r>
      <w:r w:rsidR="001A21FC">
        <w:t xml:space="preserve">stabilise as a proportion of GDP, and </w:t>
      </w:r>
    </w:p>
    <w:p w14:paraId="32A8A774" w14:textId="77777777" w:rsidR="001A21FC" w:rsidRDefault="00833532" w:rsidP="00DA3F73">
      <w:pPr>
        <w:pStyle w:val="FSRlist"/>
      </w:pPr>
      <w:r>
        <w:t xml:space="preserve">the </w:t>
      </w:r>
      <w:r w:rsidR="001A21FC">
        <w:t xml:space="preserve">level of Scheme expense as proportion of GDP </w:t>
      </w:r>
      <w:r>
        <w:t xml:space="preserve">which </w:t>
      </w:r>
      <w:r w:rsidR="001A21FC">
        <w:t>is financially sustainable.</w:t>
      </w:r>
    </w:p>
    <w:p w14:paraId="0B2CD1A1" w14:textId="77777777" w:rsidR="0034256E" w:rsidRPr="00D841F8" w:rsidRDefault="0034256E" w:rsidP="00252EAF">
      <w:pPr>
        <w:pStyle w:val="FSRnormal"/>
      </w:pPr>
      <w:r>
        <w:t>This is in line with observations made by the Australian Government Actuary in their review of the AFSR and Scheme projections.</w:t>
      </w:r>
    </w:p>
    <w:p w14:paraId="5172C1B6" w14:textId="77777777" w:rsidR="001A21FC" w:rsidRPr="00DA3F73" w:rsidRDefault="001A21FC" w:rsidP="00DA3F73">
      <w:pPr>
        <w:pStyle w:val="FSRnormal"/>
        <w:rPr>
          <w:i/>
        </w:rPr>
      </w:pPr>
      <w:r w:rsidRPr="00DA3F73">
        <w:rPr>
          <w:b/>
          <w:i/>
        </w:rPr>
        <w:t>Recommendation 5:</w:t>
      </w:r>
      <w:r w:rsidRPr="00DA3F73">
        <w:rPr>
          <w:i/>
        </w:rPr>
        <w:t xml:space="preserve"> The Agency should undertake investigations into the Scheme participation rates implied by the AFSR model and develop a better understanding of the </w:t>
      </w:r>
      <w:r w:rsidR="00232E47" w:rsidRPr="00DA3F73">
        <w:rPr>
          <w:i/>
        </w:rPr>
        <w:t>long-term</w:t>
      </w:r>
      <w:r w:rsidRPr="00DA3F73">
        <w:rPr>
          <w:i/>
        </w:rPr>
        <w:t xml:space="preserve"> trajectory of the proportions of the Australian population who are supported by the NDIS. The scope of the investigation should also include Scheme expenses as a proportion of national GDP, the level at which the proportion stabilises and also the point in time when it stabilises, depending on th</w:t>
      </w:r>
      <w:r w:rsidR="00D925FC">
        <w:rPr>
          <w:i/>
        </w:rPr>
        <w:t>e assumptions underlying longer-</w:t>
      </w:r>
      <w:r w:rsidRPr="00DA3F73">
        <w:rPr>
          <w:i/>
        </w:rPr>
        <w:t>term projections of the Scheme.</w:t>
      </w:r>
    </w:p>
    <w:p w14:paraId="3A7E541C" w14:textId="77777777" w:rsidR="001A21FC" w:rsidRDefault="001A21FC">
      <w:pPr>
        <w:pStyle w:val="FSRHeading4"/>
      </w:pPr>
      <w:r>
        <w:t>Home and living policy development</w:t>
      </w:r>
    </w:p>
    <w:p w14:paraId="1B6D8CB7" w14:textId="77777777" w:rsidR="001A21FC" w:rsidRDefault="001A21FC" w:rsidP="00DA3F73">
      <w:pPr>
        <w:pStyle w:val="FSRnormal"/>
      </w:pPr>
      <w:r>
        <w:t xml:space="preserve">The Agency is committed to developing a policy to inform the way the Scheme supports participants to pursue their home and living goals. The aim is to </w:t>
      </w:r>
      <w:r w:rsidR="005D526F">
        <w:t>give participants</w:t>
      </w:r>
      <w:r>
        <w:t xml:space="preserve"> more choice and control over where they live, who they live with and how they are supported. </w:t>
      </w:r>
      <w:r w:rsidR="005D526F" w:rsidRPr="00252EAF">
        <w:rPr>
          <w:iCs/>
        </w:rPr>
        <w:t xml:space="preserve">This will enable the NDIS </w:t>
      </w:r>
      <w:r w:rsidR="00F605C2" w:rsidRPr="00252EAF">
        <w:rPr>
          <w:iCs/>
        </w:rPr>
        <w:t>too</w:t>
      </w:r>
      <w:r w:rsidR="005D526F" w:rsidRPr="00252EAF">
        <w:rPr>
          <w:iCs/>
        </w:rPr>
        <w:t xml:space="preserve"> systematically and over time reduce reliance on outdated, legacy models of group home support in favour of contemporary best practice models of support that better enable participant outcomes of independence and social and economic participation.</w:t>
      </w:r>
      <w:r w:rsidR="005D526F" w:rsidRPr="00252EAF">
        <w:rPr>
          <w:i/>
          <w:iCs/>
        </w:rPr>
        <w:t xml:space="preserve"> </w:t>
      </w:r>
      <w:r>
        <w:t xml:space="preserve">In early 2022, an engagement approach was developed to co-design the policy with people with disability and key stakeholders. </w:t>
      </w:r>
      <w:r w:rsidR="005D526F">
        <w:t>During the first quarter of 2022-23, c</w:t>
      </w:r>
      <w:r>
        <w:t>o-design activities with a ‘Design Group’ of participants, providers and Disability and Carer Representative Organisations</w:t>
      </w:r>
      <w:r w:rsidR="005D526F">
        <w:t xml:space="preserve"> (DCROs) have been completed, and the design outputs have been tested with a larger number of participant, provider and DCRO representatives</w:t>
      </w:r>
      <w:r>
        <w:t xml:space="preserve">. </w:t>
      </w:r>
    </w:p>
    <w:p w14:paraId="54BC1A73" w14:textId="77777777" w:rsidR="001A21FC" w:rsidRPr="00DA3F73" w:rsidRDefault="001A21FC" w:rsidP="00DA3F73">
      <w:pPr>
        <w:pStyle w:val="FSRnormal"/>
        <w:rPr>
          <w:i/>
        </w:rPr>
      </w:pPr>
      <w:r w:rsidRPr="00DA3F73">
        <w:rPr>
          <w:b/>
          <w:i/>
        </w:rPr>
        <w:t>Recommendation 6:</w:t>
      </w:r>
      <w:r w:rsidRPr="00DA3F73">
        <w:rPr>
          <w:i/>
        </w:rPr>
        <w:t xml:space="preserve"> The Agency should continue to engage in co-design activities to develop a Home and Living policy which supports participants with their living arrangements.</w:t>
      </w:r>
    </w:p>
    <w:p w14:paraId="4F4FA30A" w14:textId="77777777" w:rsidR="001A21FC" w:rsidRDefault="001A21FC" w:rsidP="00DA3F73">
      <w:pPr>
        <w:pStyle w:val="FSRHeading4"/>
      </w:pPr>
      <w:r>
        <w:t>Increased focus on compliance</w:t>
      </w:r>
    </w:p>
    <w:p w14:paraId="3D2E9ABD" w14:textId="77777777" w:rsidR="001A21FC" w:rsidRDefault="001A21FC" w:rsidP="00DA3F73">
      <w:pPr>
        <w:pStyle w:val="FSRnormal"/>
      </w:pPr>
      <w:r>
        <w:t>Initiatives in identifying and assessing compliance matters impacting the Scheme have increased since the establishment of the Agency’s Compliance Response Team in July 2021. The NDIA continues to proactively monitor and respond to incorrect or unusual claims made by registered providers. A key element of the NDIA’s compliance approach is to work with providers to raise awareness of their responsibilities and educate on how to be compliant when claiming. Data modelling has shown that this activity has had a positive impact on claiming behaviour.</w:t>
      </w:r>
    </w:p>
    <w:p w14:paraId="3FF311E9" w14:textId="77777777" w:rsidR="00B2285B" w:rsidRDefault="001A21FC" w:rsidP="00140A44">
      <w:pPr>
        <w:pStyle w:val="FSRnormal"/>
        <w:rPr>
          <w:b/>
          <w:i/>
        </w:rPr>
      </w:pPr>
      <w:r>
        <w:lastRenderedPageBreak/>
        <w:t xml:space="preserve">However, due to these initiatives being in their preliminary stages of implementation, their impact on inflation levels was unclear at the time of assumption selections at this review. </w:t>
      </w:r>
    </w:p>
    <w:p w14:paraId="6B02FBE5" w14:textId="77777777" w:rsidR="001A21FC" w:rsidRPr="00DA3F73" w:rsidRDefault="001A21FC" w:rsidP="00DA3F73">
      <w:pPr>
        <w:pStyle w:val="FSRnormal"/>
        <w:rPr>
          <w:i/>
        </w:rPr>
      </w:pPr>
      <w:r w:rsidRPr="00DA3F73">
        <w:rPr>
          <w:b/>
          <w:i/>
        </w:rPr>
        <w:t>Recommendation 7:</w:t>
      </w:r>
      <w:r w:rsidRPr="00DA3F73">
        <w:rPr>
          <w:i/>
        </w:rPr>
        <w:t xml:space="preserve"> The initiatives of the Compliance Response Team should continue to be closely monitored including the extent to which changes in the behaviour of providers after an intervention are ongoing rather than temporary. This will enable better targeting of effective compliance measures and further reduction in the cost of noncompliant behaviour over time. Robust monitoring will also lead to a better understanding of the estimated impact of such measures on Scheme expenses.</w:t>
      </w:r>
    </w:p>
    <w:p w14:paraId="6C8681BD" w14:textId="77777777" w:rsidR="001A21FC" w:rsidRDefault="001A21FC" w:rsidP="00DA3F73">
      <w:pPr>
        <w:pStyle w:val="FSRHeading4"/>
      </w:pPr>
      <w:r>
        <w:t>Further investment in data improvements</w:t>
      </w:r>
    </w:p>
    <w:p w14:paraId="7F2C321B" w14:textId="77777777" w:rsidR="001A21FC" w:rsidRDefault="001A21FC" w:rsidP="00DA3F73">
      <w:pPr>
        <w:pStyle w:val="FSRnormal"/>
      </w:pPr>
      <w:r>
        <w:t xml:space="preserve">The strategic Enterprise Data Warehouse (EDW) has matured and stabilised over the past year with the IDS2 Data Architecture now fully deployed.  This has improved the integrity and consistency across legislated, business and operational reporting, as well </w:t>
      </w:r>
      <w:r w:rsidR="002C5DDF">
        <w:t xml:space="preserve">as </w:t>
      </w:r>
      <w:r>
        <w:t>bespoke analytic deep dives and ad hoc reporting requests. Also, specific improvements have been made to better identify and monitor key indicators across the Scheme such as participants with SIL and the end-to-end process duration for Home and Living applications.</w:t>
      </w:r>
    </w:p>
    <w:p w14:paraId="5D8B3F27" w14:textId="77777777" w:rsidR="001A21FC" w:rsidRDefault="001A21FC" w:rsidP="00DA3F73">
      <w:pPr>
        <w:pStyle w:val="FSRnormal"/>
      </w:pPr>
      <w:r>
        <w:t>The introduction of the PACE platform over the next year is expected to lead to more consistent and integrated data as</w:t>
      </w:r>
      <w:r w:rsidR="008C2D7F">
        <w:t xml:space="preserve"> </w:t>
      </w:r>
      <w:r>
        <w:t xml:space="preserve">well as better data quality for reporting, although a period of significant change in systems and processes must be navigated and managed. </w:t>
      </w:r>
    </w:p>
    <w:p w14:paraId="4202930F" w14:textId="77777777" w:rsidR="001A21FC" w:rsidRPr="00DA3F73" w:rsidRDefault="001A21FC" w:rsidP="00DA3F73">
      <w:pPr>
        <w:pStyle w:val="FSRnormal"/>
        <w:rPr>
          <w:i/>
        </w:rPr>
      </w:pPr>
      <w:r w:rsidRPr="00DA3F73">
        <w:rPr>
          <w:b/>
          <w:i/>
        </w:rPr>
        <w:t>Recommendation 8:</w:t>
      </w:r>
      <w:r w:rsidRPr="00DA3F73">
        <w:rPr>
          <w:i/>
        </w:rPr>
        <w:t xml:space="preserve"> Further investments should be made in the Agency’s data assets and the quality of data collected including longer</w:t>
      </w:r>
      <w:r w:rsidR="00796DB5">
        <w:rPr>
          <w:i/>
        </w:rPr>
        <w:t>-</w:t>
      </w:r>
      <w:r w:rsidRPr="00DA3F73">
        <w:rPr>
          <w:i/>
        </w:rPr>
        <w:t>term development of the EDW post implementation of the new PACE platform. This will enable more effective tracking of operational processes, monitoring of Scheme experience and consistency of decision making about participants and their plans.</w:t>
      </w:r>
    </w:p>
    <w:p w14:paraId="77D082C2" w14:textId="77777777" w:rsidR="002C11DC" w:rsidRPr="00532F29" w:rsidRDefault="002C11DC" w:rsidP="00FC1199">
      <w:pPr>
        <w:pStyle w:val="Heading2"/>
        <w:numPr>
          <w:ilvl w:val="0"/>
          <w:numId w:val="0"/>
        </w:numPr>
      </w:pPr>
      <w:bookmarkStart w:id="412" w:name="_Toc83220866"/>
      <w:bookmarkStart w:id="413" w:name="_Toc85031277"/>
      <w:bookmarkStart w:id="414" w:name="_Toc118460224"/>
      <w:r w:rsidRPr="006F6962">
        <w:lastRenderedPageBreak/>
        <w:t>Appendix A</w:t>
      </w:r>
      <w:r w:rsidRPr="00532F29">
        <w:t>:</w:t>
      </w:r>
      <w:r w:rsidR="001137BC">
        <w:tab/>
      </w:r>
      <w:r w:rsidRPr="00532F29">
        <w:t>Average payment assumption setting details</w:t>
      </w:r>
      <w:bookmarkEnd w:id="412"/>
      <w:bookmarkEnd w:id="413"/>
      <w:bookmarkEnd w:id="414"/>
    </w:p>
    <w:p w14:paraId="1535444A" w14:textId="77777777" w:rsidR="002C11DC" w:rsidRPr="0093106C" w:rsidRDefault="002C11DC" w:rsidP="002C11DC">
      <w:pPr>
        <w:pStyle w:val="FSRnormal"/>
      </w:pPr>
      <w:r>
        <w:t>Average payment assumptions have been calculated separately for each of the 15 different support categories, with different types of Scheme expenses treated as follows:</w:t>
      </w:r>
    </w:p>
    <w:p w14:paraId="37898F71" w14:textId="77777777" w:rsidR="002C11DC" w:rsidRPr="00422110" w:rsidRDefault="002C11DC" w:rsidP="002C11DC">
      <w:pPr>
        <w:pStyle w:val="FSRlist"/>
      </w:pPr>
      <w:r w:rsidRPr="00422110">
        <w:t xml:space="preserve">Payments to participants and providers are treated on a cash basis (when the cash is paid out by the Agency, regardless of when the support was provided). </w:t>
      </w:r>
    </w:p>
    <w:p w14:paraId="3350C39C" w14:textId="77777777" w:rsidR="002C11DC" w:rsidRPr="00422110" w:rsidRDefault="002C11DC" w:rsidP="002C11DC">
      <w:pPr>
        <w:pStyle w:val="FSRlist"/>
      </w:pPr>
      <w:r w:rsidRPr="00422110">
        <w:t>Payments relating to in-kind supports are treated on an accrual basis (when the service was actually provided to the participant).</w:t>
      </w:r>
      <w:r w:rsidRPr="00F22FAB">
        <w:rPr>
          <w:rStyle w:val="FootnoteReference"/>
        </w:rPr>
        <w:footnoteReference w:id="144"/>
      </w:r>
      <w:r w:rsidRPr="00F22FAB">
        <w:rPr>
          <w:vertAlign w:val="superscript"/>
        </w:rPr>
        <w:t xml:space="preserve"> </w:t>
      </w:r>
    </w:p>
    <w:p w14:paraId="3C6CFE2E" w14:textId="77777777" w:rsidR="002C11DC" w:rsidRPr="00422110" w:rsidRDefault="002C11DC" w:rsidP="002C11DC">
      <w:pPr>
        <w:pStyle w:val="FSRlist"/>
      </w:pPr>
      <w:r>
        <w:t>Payments relating to Residential Aged Care (RAC) supports have been removed due to the infrequent occurrence of cross-billing payments which distort the payment experience in a given period. Payments relating to RAC are separately allowed for in the projection.</w:t>
      </w:r>
    </w:p>
    <w:p w14:paraId="3C6001A1" w14:textId="77777777" w:rsidR="002C11DC" w:rsidRPr="0093106C" w:rsidRDefault="002C11DC" w:rsidP="002C11DC">
      <w:pPr>
        <w:pStyle w:val="FSRnormal"/>
      </w:pPr>
      <w:r w:rsidRPr="0093106C">
        <w:t>The key components considered in setting payment assumptions are discussed below.</w:t>
      </w:r>
    </w:p>
    <w:p w14:paraId="4A2B4BF0" w14:textId="77777777" w:rsidR="002C11DC" w:rsidRDefault="002C11DC" w:rsidP="002C11DC">
      <w:pPr>
        <w:pStyle w:val="FSRHeading4"/>
      </w:pPr>
      <w:r>
        <w:t>The most appropriate averaging period for payment experience</w:t>
      </w:r>
    </w:p>
    <w:p w14:paraId="7A0D16D7" w14:textId="77777777" w:rsidR="002C11DC" w:rsidRPr="00226AF5" w:rsidRDefault="002C11DC" w:rsidP="002C11DC">
      <w:pPr>
        <w:pStyle w:val="FSRnormal"/>
        <w:rPr>
          <w:highlight w:val="yellow"/>
        </w:rPr>
      </w:pPr>
      <w:r w:rsidRPr="00422110">
        <w:t xml:space="preserve">The selection of an averaging period must balance the need to reflect recent experience with minimising volatility of </w:t>
      </w:r>
      <w:r>
        <w:t>payment</w:t>
      </w:r>
      <w:r w:rsidRPr="00422110">
        <w:t xml:space="preserve"> patterns by </w:t>
      </w:r>
      <w:r>
        <w:t>cohort</w:t>
      </w:r>
      <w:r w:rsidRPr="00422110">
        <w:t xml:space="preserve"> and support category. The adopted averaging period is the three months to 31 May 202</w:t>
      </w:r>
      <w:r>
        <w:t>2</w:t>
      </w:r>
      <w:r w:rsidRPr="00422110">
        <w:t xml:space="preserve">. </w:t>
      </w:r>
      <w:r>
        <w:t xml:space="preserve">By </w:t>
      </w:r>
      <w:r w:rsidRPr="00422110">
        <w:t xml:space="preserve">modelling the payments based on the three-month period, the </w:t>
      </w:r>
      <w:r>
        <w:t xml:space="preserve">projections </w:t>
      </w:r>
      <w:r w:rsidRPr="00422110">
        <w:t xml:space="preserve">align more closely to recent payment experience, which continues to increase over time, while still ensuring there is sufficient stability in </w:t>
      </w:r>
      <w:r>
        <w:t>payment</w:t>
      </w:r>
      <w:r w:rsidRPr="00422110">
        <w:t xml:space="preserve"> patterns.</w:t>
      </w:r>
      <w:r w:rsidRPr="00034558">
        <w:rPr>
          <w:highlight w:val="yellow"/>
        </w:rPr>
        <w:t xml:space="preserve"> </w:t>
      </w:r>
    </w:p>
    <w:p w14:paraId="63324272" w14:textId="77777777" w:rsidR="002C11DC" w:rsidRDefault="002C11DC" w:rsidP="00DA3F73">
      <w:pPr>
        <w:pStyle w:val="FSRnormal"/>
        <w:keepLines/>
      </w:pPr>
      <w:r w:rsidRPr="00226AF5">
        <w:t xml:space="preserve">Annual </w:t>
      </w:r>
      <w:r>
        <w:t xml:space="preserve">average payment </w:t>
      </w:r>
      <w:r w:rsidRPr="00226AF5">
        <w:t>assumptions have been calculated for</w:t>
      </w:r>
      <w:r>
        <w:t xml:space="preserve"> mature participants</w:t>
      </w:r>
      <w:r w:rsidRPr="00E172BB">
        <w:rPr>
          <w:rStyle w:val="FootnoteReference"/>
        </w:rPr>
        <w:footnoteReference w:id="145"/>
      </w:r>
      <w:r>
        <w:t xml:space="preserve"> in</w:t>
      </w:r>
      <w:r w:rsidRPr="00034558">
        <w:t xml:space="preserve"> each </w:t>
      </w:r>
      <w:r>
        <w:t>cohort</w:t>
      </w:r>
      <w:r w:rsidRPr="00034558">
        <w:rPr>
          <w:rStyle w:val="FootnoteReference"/>
        </w:rPr>
        <w:footnoteReference w:id="146"/>
      </w:r>
      <w:r w:rsidRPr="00034558">
        <w:t xml:space="preserve"> b</w:t>
      </w:r>
      <w:r w:rsidRPr="00422110">
        <w:t>ased on the average annualised payments experi</w:t>
      </w:r>
      <w:r>
        <w:t xml:space="preserve">ence of this three-month period. </w:t>
      </w:r>
    </w:p>
    <w:p w14:paraId="1A2BF17F" w14:textId="77777777" w:rsidR="002C11DC" w:rsidRPr="00532A5D" w:rsidRDefault="002C11DC" w:rsidP="002C11DC">
      <w:pPr>
        <w:pStyle w:val="FSRHeading4"/>
      </w:pPr>
      <w:r w:rsidRPr="00532A5D">
        <w:t>Impact of seasonality on the payment experience</w:t>
      </w:r>
    </w:p>
    <w:p w14:paraId="22DC6610" w14:textId="77777777" w:rsidR="002C11DC" w:rsidRPr="00422110" w:rsidRDefault="002C11DC" w:rsidP="002C11DC">
      <w:pPr>
        <w:pStyle w:val="FSRnormal"/>
      </w:pPr>
      <w:r w:rsidRPr="00422110">
        <w:t xml:space="preserve">Seasonality refers to fluctuations in payment levels over a period of time due to factors such as the number of business days, </w:t>
      </w:r>
      <w:r>
        <w:t xml:space="preserve">public </w:t>
      </w:r>
      <w:r w:rsidRPr="00422110">
        <w:t>holiday</w:t>
      </w:r>
      <w:r>
        <w:t xml:space="preserve">s and </w:t>
      </w:r>
      <w:r w:rsidRPr="00422110">
        <w:t xml:space="preserve">provider claiming behaviour. By utilising a shorter period to inform </w:t>
      </w:r>
      <w:r>
        <w:t xml:space="preserve">average payment </w:t>
      </w:r>
      <w:r w:rsidRPr="00422110">
        <w:t xml:space="preserve">assumptions, the seasonality impact can result in understatement or overstatement of </w:t>
      </w:r>
      <w:r>
        <w:t>expenses.</w:t>
      </w:r>
      <w:r w:rsidRPr="00422110">
        <w:t xml:space="preserve"> Hence, the average annualised payments assumptions need to be modified to allow for the seasonality impacts resulting from the use </w:t>
      </w:r>
      <w:r w:rsidRPr="00422110">
        <w:lastRenderedPageBreak/>
        <w:t>of the three months to 31 May 202</w:t>
      </w:r>
      <w:r>
        <w:t>2</w:t>
      </w:r>
      <w:r w:rsidRPr="00422110">
        <w:t xml:space="preserve"> as the averaging period. The two key drivers of seasonality appear to be the number of business days </w:t>
      </w:r>
      <w:r>
        <w:t xml:space="preserve">in </w:t>
      </w:r>
      <w:r w:rsidRPr="00422110">
        <w:t>the period, and participant and provider behaviour.</w:t>
      </w:r>
      <w:r w:rsidRPr="00422110">
        <w:rPr>
          <w:rStyle w:val="FootnoteReference"/>
        </w:rPr>
        <w:footnoteReference w:id="147"/>
      </w:r>
      <w:r w:rsidRPr="00422110">
        <w:t xml:space="preserve"> The </w:t>
      </w:r>
      <w:r w:rsidR="00426FDB">
        <w:t xml:space="preserve">impact of </w:t>
      </w:r>
      <w:r w:rsidRPr="00422110">
        <w:t>seasonality differ</w:t>
      </w:r>
      <w:r w:rsidR="00426FDB">
        <w:t>s</w:t>
      </w:r>
      <w:r w:rsidRPr="00422110">
        <w:t xml:space="preserve"> at support category level.</w:t>
      </w:r>
    </w:p>
    <w:p w14:paraId="7C442DE1" w14:textId="77777777" w:rsidR="002C11DC" w:rsidRPr="00422110" w:rsidRDefault="002C11DC" w:rsidP="002C11DC">
      <w:pPr>
        <w:pStyle w:val="FSRnormal"/>
      </w:pPr>
      <w:r>
        <w:t>Analysis of previous payments experience between 2018 and 2022 indicated that the overall payments average for the year after removing inflationary impacts was 3% lower than the three-month payment period to 31 May 2022.</w:t>
      </w:r>
    </w:p>
    <w:p w14:paraId="5EA1082C" w14:textId="77777777" w:rsidR="002C11DC" w:rsidRDefault="00FF084B" w:rsidP="002C11DC">
      <w:pPr>
        <w:pStyle w:val="FSRnormal"/>
      </w:pPr>
      <w:r w:rsidRPr="00FF084B">
        <w:t>Table A.</w:t>
      </w:r>
      <w:r w:rsidRPr="00FF084B">
        <w:rPr>
          <w:noProof/>
        </w:rPr>
        <w:t>1</w:t>
      </w:r>
      <w:r w:rsidRPr="00FF084B">
        <w:t xml:space="preserve"> </w:t>
      </w:r>
      <w:r w:rsidR="002C11DC" w:rsidRPr="00422110">
        <w:t>shows that seasonality factors have been adopted at the support category level, mostly driven by observed payment relativity</w:t>
      </w:r>
      <w:r w:rsidR="002C11DC" w:rsidRPr="00422110">
        <w:rPr>
          <w:rStyle w:val="FootnoteReference"/>
        </w:rPr>
        <w:footnoteReference w:id="148"/>
      </w:r>
      <w:r w:rsidR="002C11DC" w:rsidRPr="00422110">
        <w:t xml:space="preserve"> and to a lesser extent, the number of business days relative to the rest of the year. Overall, payment assumptions have been decreased by </w:t>
      </w:r>
      <w:r w:rsidR="002C11DC">
        <w:t xml:space="preserve">about </w:t>
      </w:r>
      <w:r w:rsidR="002C11DC" w:rsidRPr="00A50700">
        <w:t>3%</w:t>
      </w:r>
      <w:r w:rsidR="002C11DC" w:rsidRPr="00422110">
        <w:t xml:space="preserve"> to allow for the seasonality impact. </w:t>
      </w:r>
    </w:p>
    <w:p w14:paraId="62C36E80" w14:textId="77777777" w:rsidR="002C11DC" w:rsidRPr="00532A5D" w:rsidRDefault="002C11DC" w:rsidP="002C11DC">
      <w:pPr>
        <w:pStyle w:val="Tables"/>
      </w:pPr>
      <w:bookmarkStart w:id="415" w:name="_Ref113286115"/>
      <w:r w:rsidRPr="00532A5D">
        <w:t xml:space="preserve">Table </w:t>
      </w:r>
      <w:r w:rsidR="00B5473A">
        <w:t>A</w:t>
      </w:r>
      <w:r w:rsidR="00A87896">
        <w:t>.</w:t>
      </w:r>
      <w:fldSimple w:instr=" SEQ Table \* ARABIC \s 2 ">
        <w:r w:rsidR="00A87896">
          <w:rPr>
            <w:noProof/>
          </w:rPr>
          <w:t>1</w:t>
        </w:r>
      </w:fldSimple>
      <w:bookmarkEnd w:id="415"/>
      <w:r>
        <w:t>:</w:t>
      </w:r>
      <w:r w:rsidRPr="00532A5D">
        <w:t xml:space="preserve"> Adopted seasonality factors by support category</w:t>
      </w:r>
    </w:p>
    <w:tbl>
      <w:tblPr>
        <w:tblStyle w:val="FSRtable"/>
        <w:tblW w:w="3772" w:type="pct"/>
        <w:tblInd w:w="-5" w:type="dxa"/>
        <w:tblLook w:val="04A0" w:firstRow="1" w:lastRow="0" w:firstColumn="1" w:lastColumn="0" w:noHBand="0" w:noVBand="1"/>
      </w:tblPr>
      <w:tblGrid>
        <w:gridCol w:w="3381"/>
        <w:gridCol w:w="480"/>
        <w:gridCol w:w="2948"/>
      </w:tblGrid>
      <w:tr w:rsidR="002C11DC" w:rsidRPr="00532A5D" w14:paraId="6C3F9AAC"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381" w:type="dxa"/>
            <w:noWrap/>
          </w:tcPr>
          <w:p w14:paraId="7E7321A0" w14:textId="77777777" w:rsidR="002C11DC" w:rsidRPr="00532A5D" w:rsidRDefault="002C11DC" w:rsidP="00446247">
            <w:pPr>
              <w:spacing w:after="0" w:line="240" w:lineRule="auto"/>
              <w:rPr>
                <w:rFonts w:eastAsia="Times New Roman"/>
                <w:bCs/>
                <w:color w:val="000000"/>
                <w:sz w:val="20"/>
                <w:szCs w:val="20"/>
                <w:lang w:eastAsia="en-AU"/>
              </w:rPr>
            </w:pPr>
            <w:r w:rsidRPr="00532A5D">
              <w:rPr>
                <w:rFonts w:eastAsia="Times New Roman"/>
                <w:bCs/>
                <w:color w:val="FFFFFF"/>
                <w:sz w:val="20"/>
                <w:szCs w:val="20"/>
                <w:lang w:eastAsia="en-AU"/>
              </w:rPr>
              <w:t>Support Category</w:t>
            </w:r>
          </w:p>
        </w:tc>
        <w:tc>
          <w:tcPr>
            <w:tcW w:w="480" w:type="dxa"/>
            <w:noWrap/>
          </w:tcPr>
          <w:p w14:paraId="21DE045E" w14:textId="77777777" w:rsidR="002C11DC" w:rsidRPr="00532A5D"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000000"/>
                <w:sz w:val="20"/>
                <w:szCs w:val="20"/>
                <w:lang w:eastAsia="en-AU"/>
              </w:rPr>
            </w:pPr>
          </w:p>
        </w:tc>
        <w:tc>
          <w:tcPr>
            <w:tcW w:w="2948" w:type="dxa"/>
            <w:noWrap/>
          </w:tcPr>
          <w:p w14:paraId="5D5A4CC2" w14:textId="77777777" w:rsidR="002C11DC" w:rsidRPr="00532A5D" w:rsidRDefault="002C11DC" w:rsidP="006F6962">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000000"/>
                <w:sz w:val="20"/>
                <w:szCs w:val="20"/>
                <w:lang w:eastAsia="en-AU"/>
              </w:rPr>
            </w:pPr>
            <w:r w:rsidRPr="00532A5D">
              <w:rPr>
                <w:rFonts w:eastAsia="Times New Roman"/>
                <w:bCs/>
                <w:color w:val="FFFFFF"/>
                <w:sz w:val="20"/>
                <w:szCs w:val="20"/>
                <w:lang w:eastAsia="en-AU"/>
              </w:rPr>
              <w:t>Adopted Seasonality Factor</w:t>
            </w:r>
          </w:p>
        </w:tc>
      </w:tr>
      <w:tr w:rsidR="002C11DC" w:rsidRPr="00532A5D" w14:paraId="20DFB720" w14:textId="77777777" w:rsidTr="00DA3F73">
        <w:trPr>
          <w:trHeight w:val="300"/>
        </w:trPr>
        <w:tc>
          <w:tcPr>
            <w:cnfStyle w:val="001000000000" w:firstRow="0" w:lastRow="0" w:firstColumn="1" w:lastColumn="0" w:oddVBand="0" w:evenVBand="0" w:oddHBand="0" w:evenHBand="0" w:firstRowFirstColumn="0" w:firstRowLastColumn="0" w:lastRowFirstColumn="0" w:lastRowLastColumn="0"/>
            <w:tcW w:w="3381" w:type="dxa"/>
            <w:noWrap/>
            <w:hideMark/>
          </w:tcPr>
          <w:p w14:paraId="5F1D9D69" w14:textId="77777777" w:rsidR="002C11DC" w:rsidRPr="00532A5D" w:rsidRDefault="002C11DC" w:rsidP="00446247">
            <w:pPr>
              <w:spacing w:after="0" w:line="240" w:lineRule="auto"/>
              <w:rPr>
                <w:rFonts w:eastAsia="Times New Roman" w:cs="Arial"/>
                <w:b/>
                <w:bCs/>
                <w:color w:val="000000"/>
                <w:sz w:val="20"/>
                <w:szCs w:val="20"/>
                <w:lang w:eastAsia="en-AU"/>
              </w:rPr>
            </w:pPr>
            <w:r w:rsidRPr="00532A5D">
              <w:rPr>
                <w:rFonts w:eastAsia="Times New Roman" w:cs="Arial"/>
                <w:b/>
                <w:bCs/>
                <w:color w:val="000000"/>
                <w:sz w:val="20"/>
                <w:szCs w:val="20"/>
                <w:lang w:eastAsia="en-AU"/>
              </w:rPr>
              <w:t>Core</w:t>
            </w:r>
          </w:p>
        </w:tc>
        <w:tc>
          <w:tcPr>
            <w:tcW w:w="480" w:type="dxa"/>
            <w:noWrap/>
            <w:hideMark/>
          </w:tcPr>
          <w:p w14:paraId="0E2CB8C3" w14:textId="77777777" w:rsidR="002C11DC" w:rsidRPr="00532A5D"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532A5D">
              <w:rPr>
                <w:rFonts w:eastAsia="Times New Roman" w:cs="Arial"/>
                <w:b/>
                <w:bCs/>
                <w:color w:val="000000"/>
                <w:sz w:val="20"/>
                <w:szCs w:val="20"/>
                <w:lang w:eastAsia="en-AU"/>
              </w:rPr>
              <w:t> </w:t>
            </w:r>
          </w:p>
        </w:tc>
        <w:tc>
          <w:tcPr>
            <w:tcW w:w="2948" w:type="dxa"/>
            <w:noWrap/>
            <w:hideMark/>
          </w:tcPr>
          <w:p w14:paraId="64B8CEBB" w14:textId="77777777" w:rsidR="002C11DC" w:rsidRPr="00532A5D" w:rsidRDefault="002C11DC" w:rsidP="006F6962">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532A5D">
              <w:rPr>
                <w:rFonts w:eastAsia="Times New Roman" w:cs="Arial"/>
                <w:b/>
                <w:bCs/>
                <w:color w:val="000000"/>
                <w:sz w:val="20"/>
                <w:szCs w:val="20"/>
                <w:lang w:eastAsia="en-AU"/>
              </w:rPr>
              <w:t> </w:t>
            </w:r>
          </w:p>
        </w:tc>
      </w:tr>
      <w:tr w:rsidR="002C11DC" w:rsidRPr="00532A5D" w14:paraId="1C2983FE" w14:textId="77777777" w:rsidTr="00DA3F73">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81" w:type="dxa"/>
            <w:noWrap/>
            <w:hideMark/>
          </w:tcPr>
          <w:p w14:paraId="4180FC46" w14:textId="77777777" w:rsidR="002C11DC" w:rsidRPr="00532A5D" w:rsidRDefault="002C11DC" w:rsidP="00446247">
            <w:pPr>
              <w:spacing w:after="0" w:line="240" w:lineRule="auto"/>
              <w:ind w:firstLineChars="100" w:firstLine="200"/>
              <w:rPr>
                <w:rFonts w:eastAsia="Times New Roman" w:cs="Arial"/>
                <w:color w:val="000000"/>
                <w:sz w:val="20"/>
                <w:szCs w:val="20"/>
                <w:lang w:eastAsia="en-AU"/>
              </w:rPr>
            </w:pPr>
            <w:r w:rsidRPr="00532A5D">
              <w:rPr>
                <w:rFonts w:eastAsia="Times New Roman" w:cs="Arial"/>
                <w:color w:val="000000"/>
                <w:sz w:val="20"/>
                <w:szCs w:val="20"/>
                <w:lang w:eastAsia="en-AU"/>
              </w:rPr>
              <w:t>Daily Activities</w:t>
            </w:r>
          </w:p>
        </w:tc>
        <w:tc>
          <w:tcPr>
            <w:tcW w:w="480" w:type="dxa"/>
            <w:noWrap/>
            <w:hideMark/>
          </w:tcPr>
          <w:p w14:paraId="0C5AE55F" w14:textId="77777777" w:rsidR="002C11DC" w:rsidRPr="00532A5D" w:rsidRDefault="002C11DC" w:rsidP="00446247">
            <w:pPr>
              <w:spacing w:after="0" w:line="240" w:lineRule="auto"/>
              <w:ind w:firstLineChars="100" w:firstLine="20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p>
        </w:tc>
        <w:tc>
          <w:tcPr>
            <w:tcW w:w="2948" w:type="dxa"/>
            <w:noWrap/>
            <w:hideMark/>
          </w:tcPr>
          <w:p w14:paraId="161E1C1F" w14:textId="77777777" w:rsidR="002C11DC" w:rsidRPr="00532A5D" w:rsidRDefault="002C11DC" w:rsidP="006F6962">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532A5D">
              <w:rPr>
                <w:rFonts w:eastAsia="Times New Roman" w:cs="Arial"/>
                <w:color w:val="000000"/>
                <w:sz w:val="20"/>
                <w:szCs w:val="20"/>
                <w:lang w:eastAsia="en-AU"/>
              </w:rPr>
              <w:t> </w:t>
            </w:r>
          </w:p>
        </w:tc>
      </w:tr>
      <w:tr w:rsidR="002C11DC" w:rsidRPr="00532A5D" w14:paraId="3E7C2E2E" w14:textId="77777777" w:rsidTr="00DA3F73">
        <w:trPr>
          <w:trHeight w:val="285"/>
        </w:trPr>
        <w:tc>
          <w:tcPr>
            <w:cnfStyle w:val="001000000000" w:firstRow="0" w:lastRow="0" w:firstColumn="1" w:lastColumn="0" w:oddVBand="0" w:evenVBand="0" w:oddHBand="0" w:evenHBand="0" w:firstRowFirstColumn="0" w:firstRowLastColumn="0" w:lastRowFirstColumn="0" w:lastRowLastColumn="0"/>
            <w:tcW w:w="3381" w:type="dxa"/>
            <w:noWrap/>
            <w:hideMark/>
          </w:tcPr>
          <w:p w14:paraId="7FB9599F" w14:textId="77777777" w:rsidR="002C11DC" w:rsidRPr="00532A5D" w:rsidRDefault="002C11DC" w:rsidP="00446247">
            <w:pPr>
              <w:spacing w:after="0" w:line="240" w:lineRule="auto"/>
              <w:ind w:firstLineChars="200" w:firstLine="400"/>
              <w:rPr>
                <w:rFonts w:eastAsia="Times New Roman" w:cs="Arial"/>
                <w:i/>
                <w:iCs/>
                <w:color w:val="000000"/>
                <w:sz w:val="20"/>
                <w:szCs w:val="20"/>
                <w:lang w:eastAsia="en-AU"/>
              </w:rPr>
            </w:pPr>
            <w:r w:rsidRPr="00532A5D">
              <w:rPr>
                <w:rFonts w:eastAsia="Times New Roman" w:cs="Arial"/>
                <w:i/>
                <w:iCs/>
                <w:color w:val="000000"/>
                <w:sz w:val="20"/>
                <w:szCs w:val="20"/>
                <w:lang w:eastAsia="en-AU"/>
              </w:rPr>
              <w:t>SIL supports</w:t>
            </w:r>
          </w:p>
        </w:tc>
        <w:tc>
          <w:tcPr>
            <w:tcW w:w="480" w:type="dxa"/>
            <w:noWrap/>
            <w:hideMark/>
          </w:tcPr>
          <w:p w14:paraId="04B02B5E" w14:textId="77777777" w:rsidR="002C11DC" w:rsidRPr="00532A5D" w:rsidRDefault="002C11DC" w:rsidP="00446247">
            <w:pPr>
              <w:spacing w:after="0" w:line="240" w:lineRule="auto"/>
              <w:ind w:firstLineChars="200" w:firstLine="400"/>
              <w:cnfStyle w:val="000000000000" w:firstRow="0" w:lastRow="0" w:firstColumn="0" w:lastColumn="0" w:oddVBand="0" w:evenVBand="0" w:oddHBand="0" w:evenHBand="0" w:firstRowFirstColumn="0" w:firstRowLastColumn="0" w:lastRowFirstColumn="0" w:lastRowLastColumn="0"/>
              <w:rPr>
                <w:rFonts w:eastAsia="Times New Roman" w:cs="Arial"/>
                <w:i/>
                <w:iCs/>
                <w:color w:val="000000"/>
                <w:sz w:val="20"/>
                <w:szCs w:val="20"/>
                <w:lang w:eastAsia="en-AU"/>
              </w:rPr>
            </w:pPr>
          </w:p>
        </w:tc>
        <w:tc>
          <w:tcPr>
            <w:tcW w:w="2948" w:type="dxa"/>
            <w:noWrap/>
            <w:hideMark/>
          </w:tcPr>
          <w:p w14:paraId="757C5956" w14:textId="77777777" w:rsidR="002C11DC" w:rsidRPr="00532A5D" w:rsidRDefault="002C11DC" w:rsidP="006F6962">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532A5D">
              <w:rPr>
                <w:rFonts w:eastAsia="Times New Roman" w:cs="Arial"/>
                <w:color w:val="000000"/>
                <w:sz w:val="20"/>
                <w:szCs w:val="20"/>
                <w:lang w:eastAsia="en-AU"/>
              </w:rPr>
              <w:t>-2%</w:t>
            </w:r>
          </w:p>
        </w:tc>
      </w:tr>
      <w:tr w:rsidR="002C11DC" w:rsidRPr="00532A5D" w14:paraId="1039A0B3" w14:textId="77777777" w:rsidTr="00DA3F73">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81" w:type="dxa"/>
            <w:noWrap/>
            <w:hideMark/>
          </w:tcPr>
          <w:p w14:paraId="3D0470F4" w14:textId="77777777" w:rsidR="002C11DC" w:rsidRPr="00532A5D" w:rsidRDefault="002C11DC" w:rsidP="00446247">
            <w:pPr>
              <w:spacing w:after="0" w:line="240" w:lineRule="auto"/>
              <w:ind w:firstLineChars="200" w:firstLine="400"/>
              <w:rPr>
                <w:rFonts w:eastAsia="Times New Roman" w:cs="Arial"/>
                <w:i/>
                <w:iCs/>
                <w:color w:val="000000"/>
                <w:sz w:val="20"/>
                <w:szCs w:val="20"/>
                <w:lang w:eastAsia="en-AU"/>
              </w:rPr>
            </w:pPr>
            <w:r w:rsidRPr="00532A5D">
              <w:rPr>
                <w:rFonts w:eastAsia="Times New Roman" w:cs="Arial"/>
                <w:i/>
                <w:iCs/>
                <w:color w:val="000000"/>
                <w:sz w:val="20"/>
                <w:szCs w:val="20"/>
                <w:lang w:eastAsia="en-AU"/>
              </w:rPr>
              <w:t>Non-SIL supports</w:t>
            </w:r>
          </w:p>
        </w:tc>
        <w:tc>
          <w:tcPr>
            <w:tcW w:w="480" w:type="dxa"/>
            <w:noWrap/>
            <w:hideMark/>
          </w:tcPr>
          <w:p w14:paraId="6E6E1D1A" w14:textId="77777777" w:rsidR="002C11DC" w:rsidRPr="00532A5D" w:rsidRDefault="002C11DC" w:rsidP="00446247">
            <w:pPr>
              <w:spacing w:after="0" w:line="240" w:lineRule="auto"/>
              <w:ind w:firstLineChars="200" w:firstLine="400"/>
              <w:cnfStyle w:val="000000010000" w:firstRow="0" w:lastRow="0" w:firstColumn="0" w:lastColumn="0" w:oddVBand="0" w:evenVBand="0" w:oddHBand="0" w:evenHBand="1" w:firstRowFirstColumn="0" w:firstRowLastColumn="0" w:lastRowFirstColumn="0" w:lastRowLastColumn="0"/>
              <w:rPr>
                <w:rFonts w:eastAsia="Times New Roman" w:cs="Arial"/>
                <w:i/>
                <w:iCs/>
                <w:color w:val="000000"/>
                <w:sz w:val="20"/>
                <w:szCs w:val="20"/>
                <w:lang w:eastAsia="en-AU"/>
              </w:rPr>
            </w:pPr>
          </w:p>
        </w:tc>
        <w:tc>
          <w:tcPr>
            <w:tcW w:w="2948" w:type="dxa"/>
            <w:noWrap/>
            <w:hideMark/>
          </w:tcPr>
          <w:p w14:paraId="115F4DD5" w14:textId="77777777" w:rsidR="002C11DC" w:rsidRPr="00532A5D" w:rsidRDefault="002C11DC" w:rsidP="006F6962">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532A5D">
              <w:rPr>
                <w:rFonts w:eastAsia="Times New Roman" w:cs="Arial"/>
                <w:color w:val="000000"/>
                <w:sz w:val="20"/>
                <w:szCs w:val="20"/>
                <w:lang w:eastAsia="en-AU"/>
              </w:rPr>
              <w:t>-2%</w:t>
            </w:r>
          </w:p>
        </w:tc>
      </w:tr>
      <w:tr w:rsidR="002C11DC" w:rsidRPr="00532A5D" w14:paraId="0A75AB0A" w14:textId="77777777" w:rsidTr="00DA3F73">
        <w:trPr>
          <w:trHeight w:val="285"/>
        </w:trPr>
        <w:tc>
          <w:tcPr>
            <w:cnfStyle w:val="001000000000" w:firstRow="0" w:lastRow="0" w:firstColumn="1" w:lastColumn="0" w:oddVBand="0" w:evenVBand="0" w:oddHBand="0" w:evenHBand="0" w:firstRowFirstColumn="0" w:firstRowLastColumn="0" w:lastRowFirstColumn="0" w:lastRowLastColumn="0"/>
            <w:tcW w:w="3381" w:type="dxa"/>
            <w:noWrap/>
            <w:hideMark/>
          </w:tcPr>
          <w:p w14:paraId="0DD6AEF9" w14:textId="77777777" w:rsidR="002C11DC" w:rsidRPr="00532A5D" w:rsidRDefault="002C11DC" w:rsidP="00446247">
            <w:pPr>
              <w:spacing w:after="0" w:line="240" w:lineRule="auto"/>
              <w:ind w:firstLineChars="100" w:firstLine="200"/>
              <w:rPr>
                <w:rFonts w:eastAsia="Times New Roman" w:cs="Arial"/>
                <w:color w:val="000000"/>
                <w:sz w:val="20"/>
                <w:szCs w:val="20"/>
                <w:lang w:eastAsia="en-AU"/>
              </w:rPr>
            </w:pPr>
            <w:r w:rsidRPr="00532A5D">
              <w:rPr>
                <w:rFonts w:eastAsia="Times New Roman" w:cs="Arial"/>
                <w:color w:val="000000"/>
                <w:sz w:val="20"/>
                <w:szCs w:val="20"/>
                <w:lang w:eastAsia="en-AU"/>
              </w:rPr>
              <w:t>Social Community Civic</w:t>
            </w:r>
          </w:p>
        </w:tc>
        <w:tc>
          <w:tcPr>
            <w:tcW w:w="480" w:type="dxa"/>
            <w:noWrap/>
            <w:hideMark/>
          </w:tcPr>
          <w:p w14:paraId="000345ED" w14:textId="77777777" w:rsidR="002C11DC" w:rsidRPr="00532A5D" w:rsidRDefault="002C11DC" w:rsidP="00446247">
            <w:pPr>
              <w:spacing w:after="0" w:line="240" w:lineRule="auto"/>
              <w:ind w:firstLineChars="100" w:firstLine="20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2948" w:type="dxa"/>
            <w:noWrap/>
            <w:hideMark/>
          </w:tcPr>
          <w:p w14:paraId="189E42CF" w14:textId="77777777" w:rsidR="002C11DC" w:rsidRPr="00532A5D" w:rsidRDefault="002C11DC" w:rsidP="006F6962">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532A5D">
              <w:rPr>
                <w:rFonts w:eastAsia="Times New Roman" w:cs="Arial"/>
                <w:color w:val="000000"/>
                <w:sz w:val="20"/>
                <w:szCs w:val="20"/>
                <w:lang w:eastAsia="en-AU"/>
              </w:rPr>
              <w:t>-9%</w:t>
            </w:r>
          </w:p>
        </w:tc>
      </w:tr>
      <w:tr w:rsidR="002C11DC" w:rsidRPr="00532A5D" w14:paraId="65D756C6" w14:textId="77777777" w:rsidTr="00DA3F73">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81" w:type="dxa"/>
            <w:noWrap/>
            <w:hideMark/>
          </w:tcPr>
          <w:p w14:paraId="5F2F4389" w14:textId="77777777" w:rsidR="002C11DC" w:rsidRPr="00532A5D" w:rsidRDefault="002C11DC" w:rsidP="00446247">
            <w:pPr>
              <w:spacing w:after="0" w:line="240" w:lineRule="auto"/>
              <w:ind w:firstLineChars="100" w:firstLine="200"/>
              <w:rPr>
                <w:rFonts w:eastAsia="Times New Roman" w:cs="Arial"/>
                <w:color w:val="000000"/>
                <w:sz w:val="20"/>
                <w:szCs w:val="20"/>
                <w:lang w:eastAsia="en-AU"/>
              </w:rPr>
            </w:pPr>
            <w:r w:rsidRPr="00532A5D">
              <w:rPr>
                <w:rFonts w:eastAsia="Times New Roman" w:cs="Arial"/>
                <w:color w:val="000000"/>
                <w:sz w:val="20"/>
                <w:szCs w:val="20"/>
                <w:lang w:eastAsia="en-AU"/>
              </w:rPr>
              <w:t>Consumables</w:t>
            </w:r>
          </w:p>
        </w:tc>
        <w:tc>
          <w:tcPr>
            <w:tcW w:w="480" w:type="dxa"/>
            <w:noWrap/>
            <w:hideMark/>
          </w:tcPr>
          <w:p w14:paraId="333EB700" w14:textId="77777777" w:rsidR="002C11DC" w:rsidRPr="00532A5D" w:rsidRDefault="002C11DC" w:rsidP="00446247">
            <w:pPr>
              <w:spacing w:after="0" w:line="240" w:lineRule="auto"/>
              <w:ind w:firstLineChars="100" w:firstLine="20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p>
        </w:tc>
        <w:tc>
          <w:tcPr>
            <w:tcW w:w="2948" w:type="dxa"/>
            <w:noWrap/>
            <w:hideMark/>
          </w:tcPr>
          <w:p w14:paraId="07FF3D17" w14:textId="77777777" w:rsidR="002C11DC" w:rsidRPr="00532A5D" w:rsidRDefault="002C11DC" w:rsidP="006F6962">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532A5D">
              <w:rPr>
                <w:rFonts w:eastAsia="Times New Roman" w:cs="Arial"/>
                <w:color w:val="000000"/>
                <w:sz w:val="20"/>
                <w:szCs w:val="20"/>
                <w:lang w:eastAsia="en-AU"/>
              </w:rPr>
              <w:t>0%</w:t>
            </w:r>
          </w:p>
        </w:tc>
      </w:tr>
      <w:tr w:rsidR="002C11DC" w:rsidRPr="00532A5D" w14:paraId="618C8AB4" w14:textId="77777777" w:rsidTr="00DA3F73">
        <w:trPr>
          <w:trHeight w:val="285"/>
        </w:trPr>
        <w:tc>
          <w:tcPr>
            <w:cnfStyle w:val="001000000000" w:firstRow="0" w:lastRow="0" w:firstColumn="1" w:lastColumn="0" w:oddVBand="0" w:evenVBand="0" w:oddHBand="0" w:evenHBand="0" w:firstRowFirstColumn="0" w:firstRowLastColumn="0" w:lastRowFirstColumn="0" w:lastRowLastColumn="0"/>
            <w:tcW w:w="3381" w:type="dxa"/>
            <w:noWrap/>
            <w:hideMark/>
          </w:tcPr>
          <w:p w14:paraId="1128C558" w14:textId="77777777" w:rsidR="002C11DC" w:rsidRPr="00532A5D" w:rsidRDefault="002C11DC" w:rsidP="00446247">
            <w:pPr>
              <w:spacing w:after="0" w:line="240" w:lineRule="auto"/>
              <w:ind w:firstLineChars="100" w:firstLine="200"/>
              <w:rPr>
                <w:rFonts w:eastAsia="Times New Roman" w:cs="Arial"/>
                <w:color w:val="000000"/>
                <w:sz w:val="20"/>
                <w:szCs w:val="20"/>
                <w:lang w:eastAsia="en-AU"/>
              </w:rPr>
            </w:pPr>
            <w:r w:rsidRPr="00532A5D">
              <w:rPr>
                <w:rFonts w:eastAsia="Times New Roman" w:cs="Arial"/>
                <w:color w:val="000000"/>
                <w:sz w:val="20"/>
                <w:szCs w:val="20"/>
                <w:lang w:eastAsia="en-AU"/>
              </w:rPr>
              <w:t>Transport</w:t>
            </w:r>
          </w:p>
        </w:tc>
        <w:tc>
          <w:tcPr>
            <w:tcW w:w="480" w:type="dxa"/>
            <w:noWrap/>
            <w:hideMark/>
          </w:tcPr>
          <w:p w14:paraId="64278B85" w14:textId="77777777" w:rsidR="002C11DC" w:rsidRPr="00532A5D"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532A5D">
              <w:rPr>
                <w:rFonts w:eastAsia="Times New Roman" w:cs="Arial"/>
                <w:color w:val="000000"/>
                <w:sz w:val="20"/>
                <w:szCs w:val="20"/>
                <w:lang w:eastAsia="en-AU"/>
              </w:rPr>
              <w:t> </w:t>
            </w:r>
          </w:p>
        </w:tc>
        <w:tc>
          <w:tcPr>
            <w:tcW w:w="2948" w:type="dxa"/>
            <w:noWrap/>
            <w:hideMark/>
          </w:tcPr>
          <w:p w14:paraId="5C206341" w14:textId="77777777" w:rsidR="002C11DC" w:rsidRPr="00532A5D" w:rsidRDefault="002C11DC" w:rsidP="006F6962">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532A5D">
              <w:rPr>
                <w:rFonts w:eastAsia="Times New Roman" w:cs="Arial"/>
                <w:color w:val="000000"/>
                <w:sz w:val="20"/>
                <w:szCs w:val="20"/>
                <w:lang w:eastAsia="en-AU"/>
              </w:rPr>
              <w:t>9%</w:t>
            </w:r>
          </w:p>
        </w:tc>
      </w:tr>
      <w:tr w:rsidR="002C11DC" w:rsidRPr="00532A5D" w14:paraId="6E7B36F3" w14:textId="77777777" w:rsidTr="00DA3F7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81" w:type="dxa"/>
            <w:noWrap/>
            <w:hideMark/>
          </w:tcPr>
          <w:p w14:paraId="67B21047" w14:textId="77777777" w:rsidR="002C11DC" w:rsidRPr="00532A5D" w:rsidRDefault="002C11DC" w:rsidP="00446247">
            <w:pPr>
              <w:spacing w:after="0" w:line="240" w:lineRule="auto"/>
              <w:rPr>
                <w:rFonts w:eastAsia="Times New Roman" w:cs="Arial"/>
                <w:b/>
                <w:bCs/>
                <w:color w:val="000000"/>
                <w:sz w:val="20"/>
                <w:szCs w:val="20"/>
                <w:lang w:eastAsia="en-AU"/>
              </w:rPr>
            </w:pPr>
            <w:r w:rsidRPr="00532A5D">
              <w:rPr>
                <w:rFonts w:eastAsia="Times New Roman" w:cs="Arial"/>
                <w:b/>
                <w:bCs/>
                <w:color w:val="000000"/>
                <w:sz w:val="20"/>
                <w:szCs w:val="20"/>
                <w:lang w:eastAsia="en-AU"/>
              </w:rPr>
              <w:t>Capital</w:t>
            </w:r>
          </w:p>
        </w:tc>
        <w:tc>
          <w:tcPr>
            <w:tcW w:w="480" w:type="dxa"/>
            <w:noWrap/>
            <w:hideMark/>
          </w:tcPr>
          <w:p w14:paraId="35275B6B" w14:textId="77777777" w:rsidR="002C11DC" w:rsidRPr="00532A5D"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20"/>
                <w:szCs w:val="20"/>
                <w:lang w:eastAsia="en-AU"/>
              </w:rPr>
            </w:pPr>
            <w:r w:rsidRPr="00532A5D">
              <w:rPr>
                <w:rFonts w:eastAsia="Times New Roman" w:cs="Arial"/>
                <w:b/>
                <w:bCs/>
                <w:color w:val="000000"/>
                <w:sz w:val="20"/>
                <w:szCs w:val="20"/>
                <w:lang w:eastAsia="en-AU"/>
              </w:rPr>
              <w:t> </w:t>
            </w:r>
          </w:p>
        </w:tc>
        <w:tc>
          <w:tcPr>
            <w:tcW w:w="2948" w:type="dxa"/>
            <w:noWrap/>
            <w:hideMark/>
          </w:tcPr>
          <w:p w14:paraId="41EAF9BA" w14:textId="77777777" w:rsidR="002C11DC" w:rsidRPr="00532A5D" w:rsidRDefault="002C11DC" w:rsidP="006F6962">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20"/>
                <w:szCs w:val="20"/>
                <w:lang w:eastAsia="en-AU"/>
              </w:rPr>
            </w:pPr>
            <w:r w:rsidRPr="00532A5D">
              <w:rPr>
                <w:rFonts w:eastAsia="Times New Roman" w:cs="Arial"/>
                <w:b/>
                <w:bCs/>
                <w:color w:val="000000"/>
                <w:sz w:val="20"/>
                <w:szCs w:val="20"/>
                <w:lang w:eastAsia="en-AU"/>
              </w:rPr>
              <w:t> </w:t>
            </w:r>
          </w:p>
        </w:tc>
      </w:tr>
      <w:tr w:rsidR="002C11DC" w:rsidRPr="00532A5D" w14:paraId="2FD1597D" w14:textId="77777777" w:rsidTr="00DA3F73">
        <w:trPr>
          <w:trHeight w:val="285"/>
        </w:trPr>
        <w:tc>
          <w:tcPr>
            <w:cnfStyle w:val="001000000000" w:firstRow="0" w:lastRow="0" w:firstColumn="1" w:lastColumn="0" w:oddVBand="0" w:evenVBand="0" w:oddHBand="0" w:evenHBand="0" w:firstRowFirstColumn="0" w:firstRowLastColumn="0" w:lastRowFirstColumn="0" w:lastRowLastColumn="0"/>
            <w:tcW w:w="3381" w:type="dxa"/>
            <w:noWrap/>
            <w:hideMark/>
          </w:tcPr>
          <w:p w14:paraId="07F7F514" w14:textId="77777777" w:rsidR="002C11DC" w:rsidRPr="00532A5D" w:rsidRDefault="002C11DC" w:rsidP="00446247">
            <w:pPr>
              <w:spacing w:after="0" w:line="240" w:lineRule="auto"/>
              <w:ind w:firstLineChars="100" w:firstLine="200"/>
              <w:rPr>
                <w:rFonts w:eastAsia="Times New Roman" w:cs="Arial"/>
                <w:color w:val="000000"/>
                <w:sz w:val="20"/>
                <w:szCs w:val="20"/>
                <w:lang w:eastAsia="en-AU"/>
              </w:rPr>
            </w:pPr>
            <w:r w:rsidRPr="00532A5D">
              <w:rPr>
                <w:rFonts w:eastAsia="Times New Roman" w:cs="Arial"/>
                <w:color w:val="000000"/>
                <w:sz w:val="20"/>
                <w:szCs w:val="20"/>
                <w:lang w:eastAsia="en-AU"/>
              </w:rPr>
              <w:t>Assistive Technology</w:t>
            </w:r>
          </w:p>
        </w:tc>
        <w:tc>
          <w:tcPr>
            <w:tcW w:w="480" w:type="dxa"/>
            <w:noWrap/>
            <w:hideMark/>
          </w:tcPr>
          <w:p w14:paraId="4E81A9DA" w14:textId="77777777" w:rsidR="002C11DC" w:rsidRPr="00532A5D" w:rsidRDefault="002C11DC" w:rsidP="00446247">
            <w:pPr>
              <w:spacing w:after="0" w:line="240" w:lineRule="auto"/>
              <w:ind w:firstLineChars="100" w:firstLine="20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2948" w:type="dxa"/>
            <w:noWrap/>
            <w:hideMark/>
          </w:tcPr>
          <w:p w14:paraId="5F5DE2C4" w14:textId="77777777" w:rsidR="002C11DC" w:rsidRPr="00532A5D" w:rsidRDefault="002C11DC" w:rsidP="006F6962">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532A5D">
              <w:rPr>
                <w:rFonts w:eastAsia="Times New Roman" w:cs="Arial"/>
                <w:color w:val="000000"/>
                <w:sz w:val="20"/>
                <w:szCs w:val="20"/>
                <w:lang w:eastAsia="en-AU"/>
              </w:rPr>
              <w:t>0%</w:t>
            </w:r>
          </w:p>
        </w:tc>
      </w:tr>
      <w:tr w:rsidR="002C11DC" w:rsidRPr="00532A5D" w14:paraId="0B8AE16A" w14:textId="77777777" w:rsidTr="00DA3F73">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81" w:type="dxa"/>
            <w:noWrap/>
            <w:hideMark/>
          </w:tcPr>
          <w:p w14:paraId="0D62D38D" w14:textId="77777777" w:rsidR="002C11DC" w:rsidRPr="00532A5D" w:rsidRDefault="002C11DC" w:rsidP="00446247">
            <w:pPr>
              <w:spacing w:after="0" w:line="240" w:lineRule="auto"/>
              <w:ind w:firstLineChars="100" w:firstLine="200"/>
              <w:rPr>
                <w:rFonts w:eastAsia="Times New Roman" w:cs="Arial"/>
                <w:color w:val="000000"/>
                <w:sz w:val="20"/>
                <w:szCs w:val="20"/>
                <w:lang w:eastAsia="en-AU"/>
              </w:rPr>
            </w:pPr>
            <w:r w:rsidRPr="00532A5D">
              <w:rPr>
                <w:rFonts w:eastAsia="Times New Roman" w:cs="Arial"/>
                <w:color w:val="000000"/>
                <w:sz w:val="20"/>
                <w:szCs w:val="20"/>
                <w:lang w:eastAsia="en-AU"/>
              </w:rPr>
              <w:t>Home Modifications</w:t>
            </w:r>
          </w:p>
        </w:tc>
        <w:tc>
          <w:tcPr>
            <w:tcW w:w="480" w:type="dxa"/>
            <w:noWrap/>
            <w:hideMark/>
          </w:tcPr>
          <w:p w14:paraId="235A721C" w14:textId="77777777" w:rsidR="002C11DC" w:rsidRPr="00532A5D"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532A5D">
              <w:rPr>
                <w:rFonts w:eastAsia="Times New Roman" w:cs="Arial"/>
                <w:color w:val="000000"/>
                <w:sz w:val="20"/>
                <w:szCs w:val="20"/>
                <w:lang w:eastAsia="en-AU"/>
              </w:rPr>
              <w:t> </w:t>
            </w:r>
          </w:p>
        </w:tc>
        <w:tc>
          <w:tcPr>
            <w:tcW w:w="2948" w:type="dxa"/>
            <w:noWrap/>
            <w:hideMark/>
          </w:tcPr>
          <w:p w14:paraId="5FD86440" w14:textId="77777777" w:rsidR="002C11DC" w:rsidRPr="00532A5D" w:rsidRDefault="002C11DC" w:rsidP="006F6962">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532A5D">
              <w:rPr>
                <w:rFonts w:eastAsia="Times New Roman" w:cs="Arial"/>
                <w:color w:val="000000"/>
                <w:sz w:val="20"/>
                <w:szCs w:val="20"/>
                <w:lang w:eastAsia="en-AU"/>
              </w:rPr>
              <w:t>0%</w:t>
            </w:r>
          </w:p>
        </w:tc>
      </w:tr>
      <w:tr w:rsidR="002C11DC" w:rsidRPr="00532A5D" w14:paraId="01C978F6" w14:textId="77777777" w:rsidTr="00DA3F73">
        <w:trPr>
          <w:trHeight w:val="300"/>
        </w:trPr>
        <w:tc>
          <w:tcPr>
            <w:cnfStyle w:val="001000000000" w:firstRow="0" w:lastRow="0" w:firstColumn="1" w:lastColumn="0" w:oddVBand="0" w:evenVBand="0" w:oddHBand="0" w:evenHBand="0" w:firstRowFirstColumn="0" w:firstRowLastColumn="0" w:lastRowFirstColumn="0" w:lastRowLastColumn="0"/>
            <w:tcW w:w="3381" w:type="dxa"/>
            <w:noWrap/>
            <w:hideMark/>
          </w:tcPr>
          <w:p w14:paraId="69F66424" w14:textId="77777777" w:rsidR="002C11DC" w:rsidRPr="00532A5D" w:rsidRDefault="002C11DC" w:rsidP="00446247">
            <w:pPr>
              <w:spacing w:after="0" w:line="240" w:lineRule="auto"/>
              <w:rPr>
                <w:rFonts w:eastAsia="Times New Roman" w:cs="Arial"/>
                <w:b/>
                <w:bCs/>
                <w:color w:val="000000"/>
                <w:sz w:val="20"/>
                <w:szCs w:val="20"/>
                <w:lang w:eastAsia="en-AU"/>
              </w:rPr>
            </w:pPr>
            <w:r w:rsidRPr="00532A5D">
              <w:rPr>
                <w:rFonts w:eastAsia="Times New Roman" w:cs="Arial"/>
                <w:b/>
                <w:bCs/>
                <w:color w:val="000000"/>
                <w:sz w:val="20"/>
                <w:szCs w:val="20"/>
                <w:lang w:eastAsia="en-AU"/>
              </w:rPr>
              <w:t>Capacity Building</w:t>
            </w:r>
          </w:p>
        </w:tc>
        <w:tc>
          <w:tcPr>
            <w:tcW w:w="480" w:type="dxa"/>
            <w:noWrap/>
            <w:hideMark/>
          </w:tcPr>
          <w:p w14:paraId="2C6CA19B" w14:textId="77777777" w:rsidR="002C11DC" w:rsidRPr="00532A5D"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532A5D">
              <w:rPr>
                <w:rFonts w:eastAsia="Times New Roman" w:cs="Arial"/>
                <w:b/>
                <w:bCs/>
                <w:color w:val="000000"/>
                <w:sz w:val="20"/>
                <w:szCs w:val="20"/>
                <w:lang w:eastAsia="en-AU"/>
              </w:rPr>
              <w:t> </w:t>
            </w:r>
          </w:p>
        </w:tc>
        <w:tc>
          <w:tcPr>
            <w:tcW w:w="2948" w:type="dxa"/>
            <w:noWrap/>
            <w:hideMark/>
          </w:tcPr>
          <w:p w14:paraId="5E8079B2" w14:textId="77777777" w:rsidR="002C11DC" w:rsidRPr="00532A5D" w:rsidRDefault="002C11DC" w:rsidP="006F6962">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532A5D">
              <w:rPr>
                <w:rFonts w:eastAsia="Times New Roman" w:cs="Arial"/>
                <w:b/>
                <w:bCs/>
                <w:color w:val="000000"/>
                <w:sz w:val="20"/>
                <w:szCs w:val="20"/>
                <w:lang w:eastAsia="en-AU"/>
              </w:rPr>
              <w:t> </w:t>
            </w:r>
          </w:p>
        </w:tc>
      </w:tr>
      <w:tr w:rsidR="002C11DC" w:rsidRPr="00532A5D" w14:paraId="1138E7C5" w14:textId="77777777" w:rsidTr="00DA3F73">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81" w:type="dxa"/>
            <w:noWrap/>
            <w:hideMark/>
          </w:tcPr>
          <w:p w14:paraId="293219EF" w14:textId="77777777" w:rsidR="002C11DC" w:rsidRPr="00532A5D" w:rsidRDefault="002C11DC" w:rsidP="00446247">
            <w:pPr>
              <w:spacing w:after="0" w:line="240" w:lineRule="auto"/>
              <w:ind w:firstLineChars="100" w:firstLine="200"/>
              <w:rPr>
                <w:rFonts w:eastAsia="Times New Roman" w:cs="Arial"/>
                <w:color w:val="000000"/>
                <w:sz w:val="20"/>
                <w:szCs w:val="20"/>
                <w:lang w:eastAsia="en-AU"/>
              </w:rPr>
            </w:pPr>
            <w:r w:rsidRPr="00532A5D">
              <w:rPr>
                <w:rFonts w:eastAsia="Times New Roman" w:cs="Arial"/>
                <w:color w:val="000000"/>
                <w:sz w:val="20"/>
                <w:szCs w:val="20"/>
                <w:lang w:eastAsia="en-AU"/>
              </w:rPr>
              <w:t>CB Daily Activities</w:t>
            </w:r>
          </w:p>
        </w:tc>
        <w:tc>
          <w:tcPr>
            <w:tcW w:w="480" w:type="dxa"/>
            <w:noWrap/>
            <w:hideMark/>
          </w:tcPr>
          <w:p w14:paraId="0219B1E2" w14:textId="77777777" w:rsidR="002C11DC" w:rsidRPr="00532A5D" w:rsidRDefault="002C11DC" w:rsidP="00446247">
            <w:pPr>
              <w:spacing w:after="0" w:line="240" w:lineRule="auto"/>
              <w:ind w:firstLineChars="100" w:firstLine="20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p>
        </w:tc>
        <w:tc>
          <w:tcPr>
            <w:tcW w:w="2948" w:type="dxa"/>
            <w:noWrap/>
            <w:hideMark/>
          </w:tcPr>
          <w:p w14:paraId="2EC9DD3B" w14:textId="77777777" w:rsidR="002C11DC" w:rsidRPr="00532A5D" w:rsidRDefault="002C11DC" w:rsidP="006F6962">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532A5D">
              <w:rPr>
                <w:rFonts w:eastAsia="Times New Roman" w:cs="Arial"/>
                <w:color w:val="000000"/>
                <w:sz w:val="20"/>
                <w:szCs w:val="20"/>
                <w:lang w:eastAsia="en-AU"/>
              </w:rPr>
              <w:t>-8%</w:t>
            </w:r>
          </w:p>
        </w:tc>
      </w:tr>
      <w:tr w:rsidR="002C11DC" w:rsidRPr="00532A5D" w14:paraId="279F2DF5" w14:textId="77777777" w:rsidTr="00DA3F73">
        <w:trPr>
          <w:trHeight w:val="285"/>
        </w:trPr>
        <w:tc>
          <w:tcPr>
            <w:cnfStyle w:val="001000000000" w:firstRow="0" w:lastRow="0" w:firstColumn="1" w:lastColumn="0" w:oddVBand="0" w:evenVBand="0" w:oddHBand="0" w:evenHBand="0" w:firstRowFirstColumn="0" w:firstRowLastColumn="0" w:lastRowFirstColumn="0" w:lastRowLastColumn="0"/>
            <w:tcW w:w="3381" w:type="dxa"/>
            <w:noWrap/>
            <w:hideMark/>
          </w:tcPr>
          <w:p w14:paraId="4F20380C" w14:textId="77777777" w:rsidR="002C11DC" w:rsidRPr="00532A5D" w:rsidRDefault="002C11DC" w:rsidP="00446247">
            <w:pPr>
              <w:spacing w:after="0" w:line="240" w:lineRule="auto"/>
              <w:ind w:firstLineChars="100" w:firstLine="200"/>
              <w:rPr>
                <w:rFonts w:eastAsia="Times New Roman" w:cs="Arial"/>
                <w:color w:val="000000"/>
                <w:sz w:val="20"/>
                <w:szCs w:val="20"/>
                <w:lang w:eastAsia="en-AU"/>
              </w:rPr>
            </w:pPr>
            <w:r w:rsidRPr="00532A5D">
              <w:rPr>
                <w:rFonts w:eastAsia="Times New Roman" w:cs="Arial"/>
                <w:color w:val="000000"/>
                <w:sz w:val="20"/>
                <w:szCs w:val="20"/>
                <w:lang w:eastAsia="en-AU"/>
              </w:rPr>
              <w:t>Support Coordination</w:t>
            </w:r>
          </w:p>
        </w:tc>
        <w:tc>
          <w:tcPr>
            <w:tcW w:w="480" w:type="dxa"/>
            <w:noWrap/>
            <w:hideMark/>
          </w:tcPr>
          <w:p w14:paraId="22130924" w14:textId="77777777" w:rsidR="002C11DC" w:rsidRPr="00532A5D" w:rsidRDefault="002C11DC" w:rsidP="00446247">
            <w:pPr>
              <w:spacing w:after="0" w:line="240" w:lineRule="auto"/>
              <w:ind w:firstLineChars="100" w:firstLine="20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2948" w:type="dxa"/>
            <w:noWrap/>
            <w:hideMark/>
          </w:tcPr>
          <w:p w14:paraId="4F526951" w14:textId="77777777" w:rsidR="002C11DC" w:rsidRPr="00532A5D" w:rsidRDefault="002C11DC" w:rsidP="006F6962">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532A5D">
              <w:rPr>
                <w:rFonts w:eastAsia="Times New Roman" w:cs="Arial"/>
                <w:color w:val="000000"/>
                <w:sz w:val="20"/>
                <w:szCs w:val="20"/>
                <w:lang w:eastAsia="en-AU"/>
              </w:rPr>
              <w:t>-4%</w:t>
            </w:r>
          </w:p>
        </w:tc>
      </w:tr>
      <w:tr w:rsidR="002C11DC" w:rsidRPr="00532A5D" w14:paraId="548BE1C7" w14:textId="77777777" w:rsidTr="00DA3F73">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81" w:type="dxa"/>
            <w:noWrap/>
            <w:hideMark/>
          </w:tcPr>
          <w:p w14:paraId="20B2C834" w14:textId="77777777" w:rsidR="002C11DC" w:rsidRPr="00532A5D" w:rsidRDefault="002C11DC" w:rsidP="00446247">
            <w:pPr>
              <w:spacing w:after="0" w:line="240" w:lineRule="auto"/>
              <w:ind w:firstLineChars="100" w:firstLine="200"/>
              <w:rPr>
                <w:rFonts w:eastAsia="Times New Roman" w:cs="Arial"/>
                <w:color w:val="000000"/>
                <w:sz w:val="20"/>
                <w:szCs w:val="20"/>
                <w:lang w:eastAsia="en-AU"/>
              </w:rPr>
            </w:pPr>
            <w:r w:rsidRPr="00532A5D">
              <w:rPr>
                <w:rFonts w:eastAsia="Times New Roman" w:cs="Arial"/>
                <w:color w:val="000000"/>
                <w:sz w:val="20"/>
                <w:szCs w:val="20"/>
                <w:lang w:eastAsia="en-AU"/>
              </w:rPr>
              <w:t>CB Employment</w:t>
            </w:r>
          </w:p>
        </w:tc>
        <w:tc>
          <w:tcPr>
            <w:tcW w:w="480" w:type="dxa"/>
            <w:noWrap/>
            <w:hideMark/>
          </w:tcPr>
          <w:p w14:paraId="05B72F36" w14:textId="77777777" w:rsidR="002C11DC" w:rsidRPr="00532A5D" w:rsidRDefault="002C11DC" w:rsidP="00446247">
            <w:pPr>
              <w:spacing w:after="0" w:line="240" w:lineRule="auto"/>
              <w:ind w:firstLineChars="100" w:firstLine="20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p>
        </w:tc>
        <w:tc>
          <w:tcPr>
            <w:tcW w:w="2948" w:type="dxa"/>
            <w:noWrap/>
            <w:hideMark/>
          </w:tcPr>
          <w:p w14:paraId="5F9AE68F" w14:textId="77777777" w:rsidR="002C11DC" w:rsidRPr="00532A5D" w:rsidRDefault="002C11DC" w:rsidP="006F6962">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532A5D">
              <w:rPr>
                <w:rFonts w:eastAsia="Times New Roman" w:cs="Arial"/>
                <w:color w:val="000000"/>
                <w:sz w:val="20"/>
                <w:szCs w:val="20"/>
                <w:lang w:eastAsia="en-AU"/>
              </w:rPr>
              <w:t>0%</w:t>
            </w:r>
          </w:p>
        </w:tc>
      </w:tr>
      <w:tr w:rsidR="002C11DC" w:rsidRPr="00532A5D" w14:paraId="1C48B9A7" w14:textId="77777777" w:rsidTr="00DA3F73">
        <w:trPr>
          <w:trHeight w:val="285"/>
        </w:trPr>
        <w:tc>
          <w:tcPr>
            <w:cnfStyle w:val="001000000000" w:firstRow="0" w:lastRow="0" w:firstColumn="1" w:lastColumn="0" w:oddVBand="0" w:evenVBand="0" w:oddHBand="0" w:evenHBand="0" w:firstRowFirstColumn="0" w:firstRowLastColumn="0" w:lastRowFirstColumn="0" w:lastRowLastColumn="0"/>
            <w:tcW w:w="3381" w:type="dxa"/>
            <w:tcBorders>
              <w:bottom w:val="single" w:sz="4" w:space="0" w:color="auto"/>
            </w:tcBorders>
            <w:noWrap/>
            <w:hideMark/>
          </w:tcPr>
          <w:p w14:paraId="1561635E" w14:textId="77777777" w:rsidR="002C11DC" w:rsidRPr="00532A5D" w:rsidRDefault="002C11DC" w:rsidP="00446247">
            <w:pPr>
              <w:spacing w:after="0" w:line="240" w:lineRule="auto"/>
              <w:ind w:firstLineChars="100" w:firstLine="200"/>
              <w:rPr>
                <w:rFonts w:eastAsia="Times New Roman" w:cs="Arial"/>
                <w:color w:val="000000"/>
                <w:sz w:val="20"/>
                <w:szCs w:val="20"/>
                <w:lang w:eastAsia="en-AU"/>
              </w:rPr>
            </w:pPr>
            <w:r w:rsidRPr="00532A5D">
              <w:rPr>
                <w:rFonts w:eastAsia="Times New Roman" w:cs="Arial"/>
                <w:color w:val="000000"/>
                <w:sz w:val="20"/>
                <w:szCs w:val="20"/>
                <w:lang w:eastAsia="en-AU"/>
              </w:rPr>
              <w:t>Other CB supports</w:t>
            </w:r>
          </w:p>
        </w:tc>
        <w:tc>
          <w:tcPr>
            <w:tcW w:w="480" w:type="dxa"/>
            <w:tcBorders>
              <w:bottom w:val="single" w:sz="4" w:space="0" w:color="auto"/>
            </w:tcBorders>
            <w:noWrap/>
            <w:hideMark/>
          </w:tcPr>
          <w:p w14:paraId="542DB8FB" w14:textId="77777777" w:rsidR="002C11DC" w:rsidRPr="00532A5D"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532A5D">
              <w:rPr>
                <w:rFonts w:eastAsia="Times New Roman" w:cs="Arial"/>
                <w:color w:val="000000"/>
                <w:sz w:val="20"/>
                <w:szCs w:val="20"/>
                <w:lang w:eastAsia="en-AU"/>
              </w:rPr>
              <w:t> </w:t>
            </w:r>
          </w:p>
        </w:tc>
        <w:tc>
          <w:tcPr>
            <w:tcW w:w="2948" w:type="dxa"/>
            <w:tcBorders>
              <w:bottom w:val="single" w:sz="4" w:space="0" w:color="auto"/>
            </w:tcBorders>
            <w:noWrap/>
            <w:hideMark/>
          </w:tcPr>
          <w:p w14:paraId="791E58FC" w14:textId="77777777" w:rsidR="002C11DC" w:rsidRPr="00532A5D" w:rsidRDefault="002C11DC" w:rsidP="006F6962">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532A5D">
              <w:rPr>
                <w:rFonts w:eastAsia="Times New Roman" w:cs="Arial"/>
                <w:color w:val="000000"/>
                <w:sz w:val="20"/>
                <w:szCs w:val="20"/>
                <w:lang w:eastAsia="en-AU"/>
              </w:rPr>
              <w:t>-6%</w:t>
            </w:r>
          </w:p>
        </w:tc>
      </w:tr>
      <w:tr w:rsidR="002C11DC" w:rsidRPr="00532A5D" w14:paraId="1CF49853" w14:textId="77777777" w:rsidTr="00DA3F7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81" w:type="dxa"/>
            <w:tcBorders>
              <w:top w:val="single" w:sz="4" w:space="0" w:color="auto"/>
              <w:bottom w:val="single" w:sz="4" w:space="0" w:color="auto"/>
            </w:tcBorders>
            <w:shd w:val="clear" w:color="auto" w:fill="D4C5D7"/>
            <w:noWrap/>
            <w:hideMark/>
          </w:tcPr>
          <w:p w14:paraId="2D070A1F" w14:textId="77777777" w:rsidR="002C11DC" w:rsidRPr="00532A5D" w:rsidRDefault="002C11DC" w:rsidP="00446247">
            <w:pPr>
              <w:spacing w:after="0" w:line="240" w:lineRule="auto"/>
              <w:rPr>
                <w:rFonts w:eastAsia="Times New Roman" w:cs="Arial"/>
                <w:b/>
                <w:bCs/>
                <w:color w:val="000000"/>
                <w:sz w:val="20"/>
                <w:szCs w:val="20"/>
                <w:lang w:eastAsia="en-AU"/>
              </w:rPr>
            </w:pPr>
            <w:r w:rsidRPr="00532A5D">
              <w:rPr>
                <w:rFonts w:eastAsia="Times New Roman" w:cs="Arial"/>
                <w:b/>
                <w:bCs/>
                <w:color w:val="000000"/>
                <w:sz w:val="20"/>
                <w:szCs w:val="20"/>
                <w:lang w:eastAsia="en-AU"/>
              </w:rPr>
              <w:t>Total</w:t>
            </w:r>
          </w:p>
        </w:tc>
        <w:tc>
          <w:tcPr>
            <w:tcW w:w="480" w:type="dxa"/>
            <w:tcBorders>
              <w:top w:val="single" w:sz="4" w:space="0" w:color="auto"/>
              <w:bottom w:val="single" w:sz="4" w:space="0" w:color="auto"/>
            </w:tcBorders>
            <w:shd w:val="clear" w:color="auto" w:fill="D4C5D7"/>
            <w:noWrap/>
            <w:hideMark/>
          </w:tcPr>
          <w:p w14:paraId="021C018F" w14:textId="77777777" w:rsidR="002C11DC" w:rsidRPr="00532A5D"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20"/>
                <w:szCs w:val="20"/>
                <w:lang w:eastAsia="en-AU"/>
              </w:rPr>
            </w:pPr>
            <w:r w:rsidRPr="00532A5D">
              <w:rPr>
                <w:rFonts w:eastAsia="Times New Roman" w:cs="Arial"/>
                <w:b/>
                <w:bCs/>
                <w:color w:val="000000"/>
                <w:sz w:val="20"/>
                <w:szCs w:val="20"/>
                <w:lang w:eastAsia="en-AU"/>
              </w:rPr>
              <w:t> </w:t>
            </w:r>
          </w:p>
        </w:tc>
        <w:tc>
          <w:tcPr>
            <w:tcW w:w="2948" w:type="dxa"/>
            <w:tcBorders>
              <w:top w:val="single" w:sz="4" w:space="0" w:color="auto"/>
              <w:bottom w:val="single" w:sz="4" w:space="0" w:color="auto"/>
            </w:tcBorders>
            <w:shd w:val="clear" w:color="auto" w:fill="D4C5D7"/>
            <w:noWrap/>
            <w:hideMark/>
          </w:tcPr>
          <w:p w14:paraId="07748A91" w14:textId="77777777" w:rsidR="002C11DC" w:rsidRPr="00532A5D" w:rsidRDefault="002C11DC" w:rsidP="006F6962">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20"/>
                <w:szCs w:val="20"/>
                <w:lang w:eastAsia="en-AU"/>
              </w:rPr>
            </w:pPr>
            <w:r w:rsidRPr="00532A5D">
              <w:rPr>
                <w:rFonts w:eastAsia="Times New Roman" w:cs="Arial"/>
                <w:b/>
                <w:bCs/>
                <w:color w:val="000000"/>
                <w:sz w:val="20"/>
                <w:szCs w:val="20"/>
                <w:lang w:eastAsia="en-AU"/>
              </w:rPr>
              <w:t>-3%</w:t>
            </w:r>
          </w:p>
        </w:tc>
      </w:tr>
    </w:tbl>
    <w:p w14:paraId="6E8462BC" w14:textId="77777777" w:rsidR="002C11DC" w:rsidRDefault="002C11DC" w:rsidP="002C11DC">
      <w:pPr>
        <w:pStyle w:val="FSRnormal"/>
        <w:rPr>
          <w:szCs w:val="21"/>
        </w:rPr>
      </w:pPr>
      <w:r w:rsidRPr="002735DF">
        <w:rPr>
          <w:szCs w:val="21"/>
        </w:rPr>
        <w:t xml:space="preserve">Average monthly payments for Transport are mainly driven by the number of fortnightly payments made in a given month. This is due to the fortnightly periodic cash payments made directly to the majority of participants, </w:t>
      </w:r>
      <w:r w:rsidR="009C2DB0">
        <w:rPr>
          <w:szCs w:val="21"/>
        </w:rPr>
        <w:t xml:space="preserve">specific </w:t>
      </w:r>
      <w:r w:rsidRPr="002735DF">
        <w:rPr>
          <w:szCs w:val="21"/>
        </w:rPr>
        <w:t>to Transport, which comprise 46% of payments within this support category.</w:t>
      </w:r>
      <w:r>
        <w:rPr>
          <w:szCs w:val="21"/>
        </w:rPr>
        <w:t xml:space="preserve"> </w:t>
      </w:r>
    </w:p>
    <w:p w14:paraId="67CCB8E6" w14:textId="77777777" w:rsidR="002C11DC" w:rsidRPr="00E3150D" w:rsidRDefault="002C11DC" w:rsidP="002C11DC">
      <w:pPr>
        <w:pStyle w:val="FSRHeading4"/>
      </w:pPr>
      <w:r w:rsidRPr="00E3150D">
        <w:t>Allowance for time in Scheme</w:t>
      </w:r>
    </w:p>
    <w:p w14:paraId="33DE35AF" w14:textId="77777777" w:rsidR="002C11DC" w:rsidRPr="00363C5C" w:rsidRDefault="002C11DC" w:rsidP="002C11DC">
      <w:pPr>
        <w:pStyle w:val="FSRnormal"/>
      </w:pPr>
      <w:r w:rsidRPr="00363C5C">
        <w:t xml:space="preserve">Participants in their first year in the Scheme are observed to have lower </w:t>
      </w:r>
      <w:r>
        <w:t xml:space="preserve">average </w:t>
      </w:r>
      <w:r w:rsidRPr="00363C5C">
        <w:t xml:space="preserve">payments, which is likely to arise from time taken to familiarise themselves with the Scheme and the process of accessing supports. </w:t>
      </w:r>
      <w:r>
        <w:t>Average p</w:t>
      </w:r>
      <w:r w:rsidRPr="00363C5C">
        <w:t>ayment assumptions are therefore set based on “mature participants”, defined as those who were active at both 28 February 202</w:t>
      </w:r>
      <w:r>
        <w:t>2</w:t>
      </w:r>
      <w:r w:rsidRPr="00363C5C">
        <w:t xml:space="preserve"> and </w:t>
      </w:r>
      <w:r w:rsidRPr="00363C5C">
        <w:lastRenderedPageBreak/>
        <w:t>31</w:t>
      </w:r>
      <w:r>
        <w:t> </w:t>
      </w:r>
      <w:r w:rsidRPr="00363C5C">
        <w:t>May 202</w:t>
      </w:r>
      <w:r>
        <w:t>2</w:t>
      </w:r>
      <w:r w:rsidRPr="00363C5C">
        <w:t>, and had their first plan approved on or prior to 28 February 202</w:t>
      </w:r>
      <w:r>
        <w:t>1</w:t>
      </w:r>
      <w:r w:rsidRPr="00363C5C">
        <w:t xml:space="preserve"> (i.e. those who had been active for at least </w:t>
      </w:r>
      <w:r>
        <w:t>12 months as at 28 February 2021</w:t>
      </w:r>
      <w:r w:rsidRPr="00363C5C">
        <w:t xml:space="preserve">). </w:t>
      </w:r>
    </w:p>
    <w:p w14:paraId="6EBE4427" w14:textId="77777777" w:rsidR="002C11DC" w:rsidRPr="00363C5C" w:rsidRDefault="002C11DC" w:rsidP="002C11DC">
      <w:pPr>
        <w:pStyle w:val="FSRnormal"/>
      </w:pPr>
      <w:r>
        <w:t xml:space="preserve">A reduction in average payments is adopted for participants in their first year to account for the lower rate of payment. The adopted assumption is 80% (of the average payment for mature participants) for participants without SIL and 90% for participants with SIL. </w:t>
      </w:r>
    </w:p>
    <w:p w14:paraId="1449743F" w14:textId="77777777" w:rsidR="002C11DC" w:rsidRPr="00422110" w:rsidRDefault="002C11DC" w:rsidP="002C11DC">
      <w:pPr>
        <w:pStyle w:val="FSRHeading4"/>
      </w:pPr>
      <w:r w:rsidRPr="00422110">
        <w:t>Residential Aged Care</w:t>
      </w:r>
    </w:p>
    <w:p w14:paraId="60FD53E6" w14:textId="77777777" w:rsidR="002C11DC" w:rsidDel="00EF62E0" w:rsidRDefault="002C11DC" w:rsidP="002C11DC">
      <w:pPr>
        <w:pStyle w:val="FSRnormal"/>
        <w:rPr>
          <w:rStyle w:val="FootnoteReference"/>
        </w:rPr>
      </w:pPr>
      <w:r w:rsidRPr="002735DF">
        <w:t xml:space="preserve">Supports for </w:t>
      </w:r>
      <w:r>
        <w:t xml:space="preserve">young </w:t>
      </w:r>
      <w:r w:rsidRPr="002735DF">
        <w:t>participants in Residential Aged Care (RAC) are currently being met through the aged care system. Th</w:t>
      </w:r>
      <w:r>
        <w:t>ese</w:t>
      </w:r>
      <w:r w:rsidRPr="002735DF">
        <w:t xml:space="preserve"> </w:t>
      </w:r>
      <w:r>
        <w:t>payments</w:t>
      </w:r>
      <w:r w:rsidRPr="002735DF">
        <w:t xml:space="preserve"> </w:t>
      </w:r>
      <w:r>
        <w:t>are</w:t>
      </w:r>
      <w:r w:rsidRPr="002735DF">
        <w:t xml:space="preserve"> </w:t>
      </w:r>
      <w:r>
        <w:t>recorded in the CRM</w:t>
      </w:r>
      <w:r w:rsidRPr="002735DF">
        <w:t xml:space="preserve">, but </w:t>
      </w:r>
      <w:r>
        <w:t xml:space="preserve">are irregular, </w:t>
      </w:r>
      <w:r w:rsidRPr="002735DF">
        <w:t>distort</w:t>
      </w:r>
      <w:r>
        <w:t>ing</w:t>
      </w:r>
      <w:r w:rsidRPr="002735DF">
        <w:t xml:space="preserve"> the payment experience in a given period. As a result, these payments have been excluded from the payment experience and the resulting base </w:t>
      </w:r>
      <w:r>
        <w:t xml:space="preserve">average payment </w:t>
      </w:r>
      <w:r w:rsidRPr="002735DF">
        <w:t xml:space="preserve">assumptions, and instead allowed for separately in the model. The impact of this adjustment is an increase </w:t>
      </w:r>
      <w:r w:rsidRPr="001D76C9">
        <w:t>of 1.1</w:t>
      </w:r>
      <w:r w:rsidRPr="002735DF">
        <w:t xml:space="preserve">% to the </w:t>
      </w:r>
      <w:r>
        <w:t>Scheme expenses</w:t>
      </w:r>
      <w:r w:rsidRPr="002735DF">
        <w:t xml:space="preserve"> projections spread over the next five years. The allowance is expected to decrease over time as younger participants in RAC move into alternative SIL or</w:t>
      </w:r>
      <w:r>
        <w:t xml:space="preserve"> Independent Living Option (</w:t>
      </w:r>
      <w:r w:rsidRPr="002735DF">
        <w:t>ILO</w:t>
      </w:r>
      <w:r>
        <w:t>)</w:t>
      </w:r>
      <w:r w:rsidRPr="002735DF">
        <w:t xml:space="preserve"> arrangements, and as a result payments to these participants are captured on-system and become more regular in nature. </w:t>
      </w:r>
    </w:p>
    <w:p w14:paraId="7188958A" w14:textId="77777777" w:rsidR="002C11DC" w:rsidRPr="00422110" w:rsidRDefault="002C11DC" w:rsidP="002C11DC">
      <w:pPr>
        <w:pStyle w:val="FSRHeading4"/>
      </w:pPr>
      <w:r w:rsidRPr="00422110">
        <w:t xml:space="preserve">Adjustment for </w:t>
      </w:r>
      <w:r>
        <w:t>“</w:t>
      </w:r>
      <w:r w:rsidRPr="00422110">
        <w:t>SIL indicator</w:t>
      </w:r>
      <w:r>
        <w:t>”</w:t>
      </w:r>
      <w:r w:rsidRPr="00422110">
        <w:t xml:space="preserve"> issue</w:t>
      </w:r>
    </w:p>
    <w:p w14:paraId="1FDDBA0F" w14:textId="77777777" w:rsidR="002C11DC" w:rsidRPr="00422110" w:rsidRDefault="002C11DC" w:rsidP="002C11DC">
      <w:pPr>
        <w:pStyle w:val="FSRnormal"/>
      </w:pPr>
      <w:r>
        <w:t xml:space="preserve">Prior to this </w:t>
      </w:r>
      <w:r w:rsidR="006B414D">
        <w:t>review</w:t>
      </w:r>
      <w:r>
        <w:t xml:space="preserve">, there were operational limitations in the way SIL supports </w:t>
      </w:r>
      <w:r w:rsidR="006B414D">
        <w:t xml:space="preserve">were </w:t>
      </w:r>
      <w:r>
        <w:t>entered into the plan in the CRM (support category level, rather than at the support line-item level)</w:t>
      </w:r>
      <w:r w:rsidR="006B414D">
        <w:t xml:space="preserve">. Since </w:t>
      </w:r>
      <w:r>
        <w:t>1 July 2020 the ability to accurately identify participants</w:t>
      </w:r>
      <w:r w:rsidR="0002088C">
        <w:t xml:space="preserve"> with SIL</w:t>
      </w:r>
      <w:r w:rsidR="00242FEB">
        <w:t xml:space="preserve"> has been limited</w:t>
      </w:r>
      <w:r>
        <w:t xml:space="preserve">, as the support category is not detailed enough to distinguish between SIL supports and other activities of daily living. Since participants with SIL have higher average payments than participants without SIL, not adjusting for this misclassification would overstate the average payment assumptions for participants without SIL. </w:t>
      </w:r>
    </w:p>
    <w:p w14:paraId="18378CB8" w14:textId="77777777" w:rsidR="002C11DC" w:rsidRDefault="00242FEB" w:rsidP="002C11DC">
      <w:pPr>
        <w:pStyle w:val="FSRnormal"/>
      </w:pPr>
      <w:r>
        <w:t xml:space="preserve">For this review, </w:t>
      </w:r>
      <w:r w:rsidR="002C11DC">
        <w:t>the Agency has developed and adopted a more robust business rule which is now codified into the Agency’s data warehouses. As of April 2022, an additional 517 participants have now been categorised as participants with SIL.</w:t>
      </w:r>
    </w:p>
    <w:p w14:paraId="261E3C52" w14:textId="77777777" w:rsidR="002C11DC" w:rsidRPr="00422110" w:rsidRDefault="002C11DC" w:rsidP="002C11DC">
      <w:pPr>
        <w:pStyle w:val="FSRHeading4"/>
      </w:pPr>
      <w:r w:rsidRPr="00422110">
        <w:t>Payments for participants aged 65 years and over</w:t>
      </w:r>
    </w:p>
    <w:p w14:paraId="70FCE895" w14:textId="77777777" w:rsidR="002C11DC" w:rsidRPr="002735DF" w:rsidRDefault="002C11DC" w:rsidP="002C11DC">
      <w:pPr>
        <w:pStyle w:val="FSRnormal"/>
      </w:pPr>
      <w:r>
        <w:t xml:space="preserve">Payments for participants aged over 65 years are assumed to increase at the rate of 1.0% per annum above the normal wage inflation rate for participants whose primary disability is acquired brain injury, spinal cord injury, autism, intellectual disability or cerebral palsy, up to a maximum loading of 25.0%. These primary disabilities are expected to have average payment assumptions that increase with age, although there is limited experience to support this to date. The average age for the 65 years and over age group will increase gradually over time as the Scheme matures. Hence, average payments for this cohort should increase above normal inflation until a more mature state is reached. The estimated impact is </w:t>
      </w:r>
      <w:r w:rsidR="002827A3">
        <w:t xml:space="preserve">a </w:t>
      </w:r>
      <w:r>
        <w:t>$13.6 million (or 0.04%) increase in projected Scheme expenses over 2023-24, increasing to around $395.3 million (or 0.44% higher) by 2031-32.</w:t>
      </w:r>
    </w:p>
    <w:p w14:paraId="31739151" w14:textId="77777777" w:rsidR="002C11DC" w:rsidRPr="005E6F85" w:rsidRDefault="002C11DC" w:rsidP="002C11DC">
      <w:pPr>
        <w:pStyle w:val="FSRHeading4"/>
      </w:pPr>
      <w:r>
        <w:lastRenderedPageBreak/>
        <w:t>The distribution of Scheme expenses is highly skewed</w:t>
      </w:r>
    </w:p>
    <w:p w14:paraId="399AAD90" w14:textId="77777777" w:rsidR="002C11DC" w:rsidRPr="0047255C" w:rsidRDefault="002C11DC" w:rsidP="002C11DC">
      <w:pPr>
        <w:pStyle w:val="FSRnormal"/>
      </w:pPr>
      <w:r w:rsidRPr="000E6D8A">
        <w:t>The Scheme supports participants with a diverse range of needs. Of the payments over the 12 months to 30 June 202</w:t>
      </w:r>
      <w:r>
        <w:t>2</w:t>
      </w:r>
      <w:r w:rsidRPr="000E6D8A">
        <w:t xml:space="preserve"> to </w:t>
      </w:r>
      <w:r>
        <w:t xml:space="preserve">mature </w:t>
      </w:r>
      <w:r w:rsidRPr="000E6D8A">
        <w:t>participants</w:t>
      </w:r>
      <w:r>
        <w:rPr>
          <w:rStyle w:val="FootnoteReference"/>
        </w:rPr>
        <w:footnoteReference w:id="149"/>
      </w:r>
      <w:r w:rsidR="0054000D">
        <w:t>, 52</w:t>
      </w:r>
      <w:r w:rsidRPr="000E6D8A">
        <w:t xml:space="preserve">% </w:t>
      </w:r>
      <w:r>
        <w:t xml:space="preserve">related to </w:t>
      </w:r>
      <w:r w:rsidRPr="000E6D8A">
        <w:t>the top 10%</w:t>
      </w:r>
      <w:r>
        <w:rPr>
          <w:rStyle w:val="FootnoteReference"/>
        </w:rPr>
        <w:footnoteReference w:id="150"/>
      </w:r>
      <w:r w:rsidRPr="000E6D8A">
        <w:t xml:space="preserve"> of participants when ranked by </w:t>
      </w:r>
      <w:r>
        <w:t>payment</w:t>
      </w:r>
      <w:r w:rsidRPr="000E6D8A">
        <w:t xml:space="preserve"> over the period. Conversely, the bottom 40%</w:t>
      </w:r>
      <w:r>
        <w:rPr>
          <w:rStyle w:val="FootnoteReference"/>
        </w:rPr>
        <w:footnoteReference w:id="151"/>
      </w:r>
      <w:r w:rsidRPr="000E6D8A">
        <w:t xml:space="preserve"> of participants represent 5% of payments made</w:t>
      </w:r>
      <w:r>
        <w:t xml:space="preserve"> (</w:t>
      </w:r>
      <w:r w:rsidR="00940F87">
        <w:t>Figure A.</w:t>
      </w:r>
      <w:r w:rsidR="00940F87">
        <w:rPr>
          <w:noProof/>
        </w:rPr>
        <w:t>1</w:t>
      </w:r>
      <w:r>
        <w:t>)</w:t>
      </w:r>
      <w:r w:rsidRPr="000E6D8A">
        <w:t>.</w:t>
      </w:r>
    </w:p>
    <w:p w14:paraId="7E013EAE" w14:textId="77777777" w:rsidR="002C11DC" w:rsidRDefault="002C11DC" w:rsidP="00F5765E">
      <w:pPr>
        <w:pStyle w:val="Figures"/>
        <w:spacing w:after="240"/>
      </w:pPr>
      <w:bookmarkStart w:id="416" w:name="_Ref111629084"/>
      <w:r w:rsidRPr="00940F87">
        <w:t xml:space="preserve">Figure </w:t>
      </w:r>
      <w:r w:rsidR="006F6962" w:rsidRPr="00940F87">
        <w:t>A</w:t>
      </w:r>
      <w:r w:rsidR="00911A3E">
        <w:t>.</w:t>
      </w:r>
      <w:fldSimple w:instr=" SEQ Figure \* ARABIC \s 2 ">
        <w:r w:rsidR="00447AA1">
          <w:rPr>
            <w:noProof/>
          </w:rPr>
          <w:t>1</w:t>
        </w:r>
      </w:fldSimple>
      <w:bookmarkEnd w:id="416"/>
      <w:r w:rsidRPr="00940F87">
        <w:t>: Average payment and cumulative percentage of Scheme expenses by ventile (5% band)</w:t>
      </w:r>
    </w:p>
    <w:p w14:paraId="10CEA375" w14:textId="77777777" w:rsidR="002C11DC" w:rsidRPr="0054000D" w:rsidRDefault="0054000D" w:rsidP="0054000D">
      <w:pPr>
        <w:pStyle w:val="Figures"/>
      </w:pPr>
      <w:r w:rsidRPr="0054000D">
        <w:rPr>
          <w:noProof/>
          <w:lang w:eastAsia="en-AU"/>
        </w:rPr>
        <w:drawing>
          <wp:inline distT="0" distB="0" distL="0" distR="0" wp14:anchorId="33D9EFE9" wp14:editId="4AD5881F">
            <wp:extent cx="5731510" cy="2803719"/>
            <wp:effectExtent l="0" t="0" r="2540" b="0"/>
            <wp:docPr id="465" name="Picture 465" descr="This graph presents mature participants ordered into ventiles based on their total payments over the 12 months to 30 June 2022. Average payments and cumulative payment percentages for each ventile are as follows.&#10;Ventile 1: Average payments &lt;100,000. Cumulative payment percentage 0%.&#10;Ventile 2: Average payments &lt;100,000. Cumulative payment percentage 0%.&#10;Ventile 3: Average payments &lt;100,000. Cumulative payment percentage 1%.&#10;Ventile 4: Average payments &lt;100,000. Cumulative payment percentage 1%.&#10;Ventile 5: Average payments &lt;100,000. Cumulative payment percentage 2%.&#10;Ventile 6: Average payments &lt;100,000. Cumulative payment percentage 3%.&#10;Ventile 7: Average payments &lt;100,000. Cumulative payment percentage 4%.&#10;Ventile 8: Average payments &lt;100,000. Cumulative payment percentage 5%.&#10;Ventile 9: Average payments &lt;100,000. Cumulative payment percentage 7%.&#10;Ventile 10: Average payments &lt;100,000. Cumulative payment percentage 8%.&#10;Ventile 11: Average payments &lt;100,000. Cumulative payment percentage 11%.&#10;Ventile 12: Average payments &lt;100,000. Cumulative payment percentage 13%. &#10;Ventile 13: Average payments &lt;100,000. Cumulative payment percentage 16%. &#10;Ventile 14: Average payments &lt;100,000. Cumulative payment percentage 19%. &#10;Ventile 15: Average payments &lt;100,000. Cumulative payment percentage 24%. &#10;Ventile 16: Average payments &lt;100,000. Cumulative payment percentage 29%. &#10;Ventile 17: Average payments &lt;100,000. Cumulative payment percentage 37%. &#10;Ventile 18: Average payments between 100,000 and 200,000. Cumulative payment percentage 48%. &#10;Ventile 19: Average payments between 200,000 and 300,000.  Cumulative payment percentage 66%. &#10;Ventile 20: Average payments between 400,000 and 500,000. Cumulative payment percentage 100%. " title="Figure A1: Average payment and cumulative percentage of Scheme expenses by ventile (5%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31510" cy="2803719"/>
                    </a:xfrm>
                    <a:prstGeom prst="rect">
                      <a:avLst/>
                    </a:prstGeom>
                    <a:noFill/>
                    <a:ln>
                      <a:noFill/>
                    </a:ln>
                  </pic:spPr>
                </pic:pic>
              </a:graphicData>
            </a:graphic>
          </wp:inline>
        </w:drawing>
      </w:r>
    </w:p>
    <w:p w14:paraId="626177EC" w14:textId="77777777" w:rsidR="003F067F" w:rsidRDefault="003F067F">
      <w:pPr>
        <w:spacing w:after="160" w:line="259" w:lineRule="auto"/>
      </w:pPr>
      <w:r>
        <w:br w:type="page"/>
      </w:r>
    </w:p>
    <w:p w14:paraId="50429052" w14:textId="77777777" w:rsidR="002C11DC" w:rsidRPr="0047255C" w:rsidRDefault="002C11DC" w:rsidP="002C11DC">
      <w:pPr>
        <w:pStyle w:val="FSRnormal"/>
      </w:pPr>
      <w:r w:rsidRPr="0047255C">
        <w:lastRenderedPageBreak/>
        <w:t xml:space="preserve">This distribution does not vary greatly even when </w:t>
      </w:r>
      <w:r>
        <w:t xml:space="preserve">removing the impact of </w:t>
      </w:r>
      <w:r w:rsidRPr="0047255C">
        <w:t>participants</w:t>
      </w:r>
      <w:r>
        <w:t xml:space="preserve"> with SIL (who have far higher payments on average)</w:t>
      </w:r>
      <w:r w:rsidRPr="0047255C">
        <w:t xml:space="preserve">. </w:t>
      </w:r>
      <w:r w:rsidR="00D7062C">
        <w:t>46</w:t>
      </w:r>
      <w:r>
        <w:t xml:space="preserve">% of payments are made in respect of </w:t>
      </w:r>
      <w:r w:rsidRPr="0047255C">
        <w:t xml:space="preserve">the </w:t>
      </w:r>
      <w:r>
        <w:t>top 10% of partici</w:t>
      </w:r>
      <w:r w:rsidR="00D7062C">
        <w:t>pants without SIL, whilst only 7</w:t>
      </w:r>
      <w:r>
        <w:t>% are made in respect of the bottom 40% of participants without SIL (</w:t>
      </w:r>
      <w:r w:rsidR="00940F87">
        <w:t>Figure A.</w:t>
      </w:r>
      <w:r w:rsidR="00940F87">
        <w:rPr>
          <w:noProof/>
        </w:rPr>
        <w:t>2</w:t>
      </w:r>
      <w:r>
        <w:t xml:space="preserve">). </w:t>
      </w:r>
    </w:p>
    <w:p w14:paraId="24A76FBC" w14:textId="77777777" w:rsidR="002C11DC" w:rsidRDefault="002C11DC" w:rsidP="003A1FF9">
      <w:pPr>
        <w:pStyle w:val="Figures"/>
        <w:spacing w:after="240"/>
      </w:pPr>
      <w:bookmarkStart w:id="417" w:name="_Ref111629105"/>
      <w:r>
        <w:t xml:space="preserve">Figure </w:t>
      </w:r>
      <w:r w:rsidR="006F6962">
        <w:t>A</w:t>
      </w:r>
      <w:r w:rsidR="00911A3E">
        <w:t>.</w:t>
      </w:r>
      <w:fldSimple w:instr=" SEQ Figure \* ARABIC \s 2 ">
        <w:r w:rsidR="00447AA1">
          <w:rPr>
            <w:noProof/>
          </w:rPr>
          <w:t>2</w:t>
        </w:r>
      </w:fldSimple>
      <w:bookmarkEnd w:id="417"/>
      <w:r>
        <w:t>: Average payment and cumulative percentage of Scheme expenses by ventile (5% band) – participants without SIL only</w:t>
      </w:r>
    </w:p>
    <w:p w14:paraId="46763FE3" w14:textId="77777777" w:rsidR="002C11DC" w:rsidRPr="00D7062C" w:rsidRDefault="0054000D" w:rsidP="00D7062C">
      <w:pPr>
        <w:pStyle w:val="Figures"/>
      </w:pPr>
      <w:r w:rsidRPr="0054000D">
        <w:rPr>
          <w:noProof/>
          <w:lang w:eastAsia="en-AU"/>
        </w:rPr>
        <w:drawing>
          <wp:inline distT="0" distB="0" distL="0" distR="0" wp14:anchorId="7CD3FC3A" wp14:editId="6B803DA5">
            <wp:extent cx="5731510" cy="2904015"/>
            <wp:effectExtent l="0" t="0" r="2540" b="0"/>
            <wp:docPr id="472" name="Picture 472" descr="This graph presents mature Non SIL participants ordered into ventiles based on their total payments over the 12 months to 30 June 2022.&#10;Average payments and cumulative payment percentages for each ventile are as follows.&#10;Ventile 1: Average payments &lt;50,000. Cumulative payment percentage 0%.&#10;Ventile 2: Average payments &lt;50,000. Cumulative payment percentage 0%.&#10;Ventile 3: Average payments &lt;50,000. Cumulative payment percentage 1%.&#10;Ventile 4: Average payments &lt;50,000. Cumulative payment percentage 2%.&#10;Ventile 5: Average payments &lt;50,000. Cumulative payment percentage 3%.&#10;Ventile 6: Average payments &lt;50,000. Cumulative payment percentage 4%.&#10;Ventile 7: Average payments &lt;50,000. Cumulative payment percentage 5%.&#10;Ventile 8: Average payments &lt;50,000. Cumulative payment percentage 7%.&#10;Ventile 9: Average payments &lt;50,000. Cumulative payment percentage 9%.&#10;Ventile 10: Average payments &lt;50,000. Cumulative payment percentage 11%.&#10;Ventile 11: Average payments &lt;50,000. Cumulative payment percentage 14%.&#10;Ventile 12: Average payments &lt;50,000. Cumulative payment percentage 17%. &#10;Ventile 13: Average payments &lt;50,000. Cumulative payment percentage 21%. &#10;Ventile 14: Average payments &lt;50,000. Cumulative payment percentage 25%. &#10;Ventile 15: Average payments &lt;50,000. Cumulative payment percentage 30%. &#10;Ventile 16: Average payments between 50,000 and 100,000. Cumulative payment percentage 36%. &#10;Ventile 17: Average payments between 50,000 and 100,000. Cumulative payment percentage 44%. &#10;Ventile 18: Average payments between 50,000 and 100,000. Cumulative payment percentage 54%. &#10;Ventile 19: Average payments between 100,000 and 150,000.  Cumulative payment percentage 68%. &#10;Ventile 20: Average payments between 250,000 and 300,000. Cumulative payment percentage 100%. " title="Figure A.2: Average payment and cumulative percentage of Scheme expenses by ventile (5% band) – participants without SIL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31510" cy="2904015"/>
                    </a:xfrm>
                    <a:prstGeom prst="rect">
                      <a:avLst/>
                    </a:prstGeom>
                    <a:noFill/>
                    <a:ln>
                      <a:noFill/>
                    </a:ln>
                  </pic:spPr>
                </pic:pic>
              </a:graphicData>
            </a:graphic>
          </wp:inline>
        </w:drawing>
      </w:r>
    </w:p>
    <w:p w14:paraId="417DB0F8" w14:textId="77777777" w:rsidR="002C11DC" w:rsidRDefault="002C11DC" w:rsidP="002C11DC">
      <w:pPr>
        <w:pStyle w:val="FSRnormal"/>
      </w:pPr>
      <w:r w:rsidRPr="000E6D8A">
        <w:t xml:space="preserve">These observations are common in long-tail insurance </w:t>
      </w:r>
      <w:r>
        <w:t>scheme</w:t>
      </w:r>
      <w:r w:rsidRPr="000E6D8A">
        <w:t xml:space="preserve">s, and understanding these trends assist with monitoring </w:t>
      </w:r>
      <w:r>
        <w:t>Scheme</w:t>
      </w:r>
      <w:r w:rsidRPr="000E6D8A">
        <w:t xml:space="preserve"> sustainability.</w:t>
      </w:r>
    </w:p>
    <w:p w14:paraId="0DFAFB34" w14:textId="77777777" w:rsidR="002C11DC" w:rsidRPr="008E176A" w:rsidRDefault="002C11DC" w:rsidP="001137BC">
      <w:pPr>
        <w:pStyle w:val="Heading2"/>
        <w:numPr>
          <w:ilvl w:val="0"/>
          <w:numId w:val="0"/>
        </w:numPr>
        <w:ind w:left="2835" w:hanging="2835"/>
      </w:pPr>
      <w:bookmarkStart w:id="418" w:name="_Toc83220867"/>
      <w:bookmarkStart w:id="419" w:name="_Toc85031278"/>
      <w:bookmarkStart w:id="420" w:name="_Toc118460225"/>
      <w:r w:rsidRPr="008E176A">
        <w:lastRenderedPageBreak/>
        <w:t>Appendix B:</w:t>
      </w:r>
      <w:r w:rsidR="001137BC">
        <w:tab/>
      </w:r>
      <w:r w:rsidRPr="008E176A">
        <w:t>Comparison to previous review – detailed tables</w:t>
      </w:r>
      <w:bookmarkEnd w:id="418"/>
      <w:bookmarkEnd w:id="419"/>
      <w:bookmarkEnd w:id="420"/>
    </w:p>
    <w:p w14:paraId="7083BCF3" w14:textId="77777777" w:rsidR="002C11DC" w:rsidRPr="008E176A" w:rsidRDefault="002C11DC" w:rsidP="002C11DC">
      <w:pPr>
        <w:pStyle w:val="FSRHeading4"/>
        <w:rPr>
          <w:i/>
        </w:rPr>
      </w:pPr>
      <w:r>
        <w:t>Scheme expenses</w:t>
      </w:r>
    </w:p>
    <w:p w14:paraId="08F4A5ED" w14:textId="77777777" w:rsidR="002C11DC" w:rsidRPr="008E176A" w:rsidRDefault="002C11DC" w:rsidP="002C11DC">
      <w:pPr>
        <w:pStyle w:val="Tables"/>
      </w:pPr>
      <w:r w:rsidRPr="008E176A">
        <w:t xml:space="preserve">Table </w:t>
      </w:r>
      <w:r w:rsidR="00B5473A">
        <w:t>B</w:t>
      </w:r>
      <w:r w:rsidR="00A87896">
        <w:t>.</w:t>
      </w:r>
      <w:fldSimple w:instr=" SEQ Table \* ARABIC \s 2 ">
        <w:r w:rsidR="00A87896">
          <w:rPr>
            <w:noProof/>
          </w:rPr>
          <w:t>1</w:t>
        </w:r>
      </w:fldSimple>
      <w:r>
        <w:t>:</w:t>
      </w:r>
      <w:r w:rsidRPr="008E176A">
        <w:t xml:space="preserve"> Baseline projection of </w:t>
      </w:r>
      <w:r>
        <w:t>Scheme expenses</w:t>
      </w:r>
      <w:r w:rsidRPr="008E176A">
        <w:t xml:space="preserve"> (cash basis) – compared to the previous review </w:t>
      </w:r>
    </w:p>
    <w:tbl>
      <w:tblPr>
        <w:tblStyle w:val="FSRtable"/>
        <w:tblW w:w="5000" w:type="pct"/>
        <w:tblInd w:w="0" w:type="dxa"/>
        <w:tblLayout w:type="fixed"/>
        <w:tblLook w:val="04A0" w:firstRow="1" w:lastRow="0" w:firstColumn="1" w:lastColumn="0" w:noHBand="0" w:noVBand="1"/>
      </w:tblPr>
      <w:tblGrid>
        <w:gridCol w:w="3685"/>
        <w:gridCol w:w="1069"/>
        <w:gridCol w:w="1069"/>
        <w:gridCol w:w="1069"/>
        <w:gridCol w:w="1069"/>
        <w:gridCol w:w="1065"/>
      </w:tblGrid>
      <w:tr w:rsidR="002C11DC" w:rsidRPr="00947100" w14:paraId="347452CD"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041" w:type="pct"/>
            <w:hideMark/>
          </w:tcPr>
          <w:p w14:paraId="2C8E1B16" w14:textId="77777777" w:rsidR="002C11DC" w:rsidRPr="007E1DCF" w:rsidRDefault="002C11DC" w:rsidP="00446247">
            <w:pPr>
              <w:spacing w:after="0"/>
              <w:rPr>
                <w:color w:val="FFFFFF"/>
                <w:sz w:val="18"/>
                <w:szCs w:val="18"/>
              </w:rPr>
            </w:pPr>
            <w:r w:rsidRPr="007E1DCF">
              <w:rPr>
                <w:color w:val="FFFFFF"/>
                <w:sz w:val="18"/>
                <w:szCs w:val="18"/>
              </w:rPr>
              <w:t xml:space="preserve">Projected </w:t>
            </w:r>
            <w:r>
              <w:rPr>
                <w:bCs/>
                <w:color w:val="FFFFFF"/>
                <w:sz w:val="18"/>
                <w:szCs w:val="18"/>
              </w:rPr>
              <w:t>Scheme expenses</w:t>
            </w:r>
            <w:r w:rsidRPr="007E1DCF">
              <w:rPr>
                <w:color w:val="FFFFFF"/>
                <w:sz w:val="18"/>
                <w:szCs w:val="18"/>
              </w:rPr>
              <w:t xml:space="preserve"> ($m)</w:t>
            </w:r>
          </w:p>
        </w:tc>
        <w:tc>
          <w:tcPr>
            <w:tcW w:w="592" w:type="pct"/>
            <w:noWrap/>
            <w:hideMark/>
          </w:tcPr>
          <w:p w14:paraId="62B1F85A" w14:textId="77777777" w:rsidR="002C11DC" w:rsidRPr="007E1DCF" w:rsidRDefault="002C11DC" w:rsidP="00446247">
            <w:pPr>
              <w:spacing w:after="0"/>
              <w:cnfStyle w:val="100000000000" w:firstRow="1" w:lastRow="0" w:firstColumn="0" w:lastColumn="0" w:oddVBand="0" w:evenVBand="0" w:oddHBand="0" w:evenHBand="0" w:firstRowFirstColumn="0" w:firstRowLastColumn="0" w:lastRowFirstColumn="0" w:lastRowLastColumn="0"/>
              <w:rPr>
                <w:color w:val="FFFFFF"/>
                <w:sz w:val="18"/>
                <w:szCs w:val="18"/>
              </w:rPr>
            </w:pPr>
            <w:r w:rsidRPr="00E04427">
              <w:rPr>
                <w:bCs/>
                <w:color w:val="FFFFFF"/>
                <w:sz w:val="18"/>
                <w:szCs w:val="18"/>
              </w:rPr>
              <w:t>2022-23</w:t>
            </w:r>
          </w:p>
        </w:tc>
        <w:tc>
          <w:tcPr>
            <w:tcW w:w="592" w:type="pct"/>
            <w:noWrap/>
            <w:hideMark/>
          </w:tcPr>
          <w:p w14:paraId="60917AF9" w14:textId="77777777" w:rsidR="002C11DC" w:rsidRPr="007E1DCF" w:rsidRDefault="002C11DC" w:rsidP="00446247">
            <w:pPr>
              <w:spacing w:after="0"/>
              <w:cnfStyle w:val="100000000000" w:firstRow="1" w:lastRow="0" w:firstColumn="0" w:lastColumn="0" w:oddVBand="0" w:evenVBand="0" w:oddHBand="0" w:evenHBand="0" w:firstRowFirstColumn="0" w:firstRowLastColumn="0" w:lastRowFirstColumn="0" w:lastRowLastColumn="0"/>
              <w:rPr>
                <w:color w:val="FFFFFF"/>
                <w:sz w:val="18"/>
                <w:szCs w:val="18"/>
              </w:rPr>
            </w:pPr>
            <w:r w:rsidRPr="00E04427">
              <w:rPr>
                <w:bCs/>
                <w:color w:val="FFFFFF"/>
                <w:sz w:val="18"/>
                <w:szCs w:val="18"/>
              </w:rPr>
              <w:t>2023-24</w:t>
            </w:r>
          </w:p>
        </w:tc>
        <w:tc>
          <w:tcPr>
            <w:tcW w:w="592" w:type="pct"/>
            <w:noWrap/>
            <w:hideMark/>
          </w:tcPr>
          <w:p w14:paraId="482779F9" w14:textId="77777777" w:rsidR="002C11DC" w:rsidRPr="007E1DCF" w:rsidRDefault="002C11DC" w:rsidP="00446247">
            <w:pPr>
              <w:spacing w:after="0"/>
              <w:cnfStyle w:val="100000000000" w:firstRow="1" w:lastRow="0" w:firstColumn="0" w:lastColumn="0" w:oddVBand="0" w:evenVBand="0" w:oddHBand="0" w:evenHBand="0" w:firstRowFirstColumn="0" w:firstRowLastColumn="0" w:lastRowFirstColumn="0" w:lastRowLastColumn="0"/>
              <w:rPr>
                <w:color w:val="FFFFFF"/>
                <w:sz w:val="18"/>
                <w:szCs w:val="18"/>
              </w:rPr>
            </w:pPr>
            <w:r w:rsidRPr="00E04427">
              <w:rPr>
                <w:bCs/>
                <w:color w:val="FFFFFF"/>
                <w:sz w:val="18"/>
                <w:szCs w:val="18"/>
              </w:rPr>
              <w:t>2024-25</w:t>
            </w:r>
          </w:p>
        </w:tc>
        <w:tc>
          <w:tcPr>
            <w:tcW w:w="592" w:type="pct"/>
            <w:tcBorders>
              <w:right w:val="dotted" w:sz="4" w:space="0" w:color="auto"/>
            </w:tcBorders>
            <w:noWrap/>
            <w:hideMark/>
          </w:tcPr>
          <w:p w14:paraId="2D7F254B" w14:textId="77777777" w:rsidR="002C11DC" w:rsidRPr="007E1DCF" w:rsidRDefault="002C11DC" w:rsidP="00446247">
            <w:pPr>
              <w:spacing w:after="0"/>
              <w:cnfStyle w:val="100000000000" w:firstRow="1" w:lastRow="0" w:firstColumn="0" w:lastColumn="0" w:oddVBand="0" w:evenVBand="0" w:oddHBand="0" w:evenHBand="0" w:firstRowFirstColumn="0" w:firstRowLastColumn="0" w:lastRowFirstColumn="0" w:lastRowLastColumn="0"/>
              <w:rPr>
                <w:color w:val="FFFFFF"/>
                <w:sz w:val="18"/>
                <w:szCs w:val="18"/>
              </w:rPr>
            </w:pPr>
            <w:r w:rsidRPr="007E1DCF">
              <w:rPr>
                <w:color w:val="FFFFFF"/>
                <w:sz w:val="18"/>
                <w:szCs w:val="18"/>
              </w:rPr>
              <w:t>202</w:t>
            </w:r>
            <w:r w:rsidRPr="00E04427">
              <w:rPr>
                <w:bCs/>
                <w:color w:val="FFFFFF"/>
                <w:sz w:val="18"/>
                <w:szCs w:val="18"/>
              </w:rPr>
              <w:t>5</w:t>
            </w:r>
            <w:r w:rsidRPr="007E1DCF">
              <w:rPr>
                <w:color w:val="FFFFFF"/>
                <w:sz w:val="18"/>
                <w:szCs w:val="18"/>
              </w:rPr>
              <w:t>-2</w:t>
            </w:r>
            <w:r w:rsidRPr="00E04427">
              <w:rPr>
                <w:bCs/>
                <w:color w:val="FFFFFF"/>
                <w:sz w:val="18"/>
                <w:szCs w:val="18"/>
              </w:rPr>
              <w:t>6</w:t>
            </w:r>
          </w:p>
        </w:tc>
        <w:tc>
          <w:tcPr>
            <w:tcW w:w="590" w:type="pct"/>
            <w:tcBorders>
              <w:top w:val="single" w:sz="4" w:space="0" w:color="auto"/>
              <w:left w:val="dotted" w:sz="4" w:space="0" w:color="auto"/>
            </w:tcBorders>
            <w:noWrap/>
            <w:hideMark/>
          </w:tcPr>
          <w:p w14:paraId="01C66DF0" w14:textId="77777777" w:rsidR="002C11DC" w:rsidRPr="007E1DCF" w:rsidRDefault="002C11DC" w:rsidP="00446247">
            <w:pPr>
              <w:spacing w:after="0"/>
              <w:cnfStyle w:val="100000000000" w:firstRow="1" w:lastRow="0" w:firstColumn="0" w:lastColumn="0" w:oddVBand="0" w:evenVBand="0" w:oddHBand="0" w:evenHBand="0" w:firstRowFirstColumn="0" w:firstRowLastColumn="0" w:lastRowFirstColumn="0" w:lastRowLastColumn="0"/>
              <w:rPr>
                <w:color w:val="FFFFFF"/>
                <w:sz w:val="18"/>
                <w:szCs w:val="18"/>
              </w:rPr>
            </w:pPr>
            <w:r w:rsidRPr="007E1DCF">
              <w:rPr>
                <w:color w:val="FFFFFF"/>
                <w:sz w:val="18"/>
                <w:szCs w:val="18"/>
              </w:rPr>
              <w:t>20</w:t>
            </w:r>
            <w:r w:rsidRPr="00E04427">
              <w:rPr>
                <w:bCs/>
                <w:color w:val="FFFFFF"/>
                <w:sz w:val="18"/>
                <w:szCs w:val="18"/>
              </w:rPr>
              <w:t>31</w:t>
            </w:r>
            <w:r w:rsidRPr="007E1DCF">
              <w:rPr>
                <w:color w:val="FFFFFF"/>
                <w:sz w:val="18"/>
                <w:szCs w:val="18"/>
              </w:rPr>
              <w:t>-3</w:t>
            </w:r>
            <w:r w:rsidRPr="00E04427">
              <w:rPr>
                <w:bCs/>
                <w:color w:val="FFFFFF"/>
                <w:sz w:val="18"/>
                <w:szCs w:val="18"/>
              </w:rPr>
              <w:t>2</w:t>
            </w:r>
          </w:p>
        </w:tc>
      </w:tr>
      <w:tr w:rsidR="002C11DC" w:rsidRPr="00947100" w14:paraId="31A06DB5" w14:textId="77777777" w:rsidTr="00DA3F73">
        <w:trPr>
          <w:trHeight w:val="301"/>
        </w:trPr>
        <w:tc>
          <w:tcPr>
            <w:cnfStyle w:val="001000000000" w:firstRow="0" w:lastRow="0" w:firstColumn="1" w:lastColumn="0" w:oddVBand="0" w:evenVBand="0" w:oddHBand="0" w:evenHBand="0" w:firstRowFirstColumn="0" w:firstRowLastColumn="0" w:lastRowFirstColumn="0" w:lastRowLastColumn="0"/>
            <w:tcW w:w="2041" w:type="pct"/>
            <w:noWrap/>
            <w:hideMark/>
          </w:tcPr>
          <w:p w14:paraId="6D99484E" w14:textId="77777777" w:rsidR="002C11DC" w:rsidRPr="007E1DCF" w:rsidRDefault="002C11DC" w:rsidP="00446247">
            <w:pPr>
              <w:spacing w:after="0"/>
              <w:rPr>
                <w:rFonts w:cs="Arial"/>
                <w:b/>
                <w:i/>
                <w:color w:val="000000"/>
                <w:sz w:val="18"/>
                <w:szCs w:val="18"/>
              </w:rPr>
            </w:pPr>
            <w:r w:rsidRPr="007E1DCF">
              <w:rPr>
                <w:rFonts w:cs="Arial"/>
                <w:b/>
                <w:color w:val="000000"/>
                <w:sz w:val="18"/>
                <w:szCs w:val="18"/>
              </w:rPr>
              <w:t>202</w:t>
            </w:r>
            <w:r w:rsidRPr="00E04427">
              <w:rPr>
                <w:rFonts w:cs="Arial"/>
                <w:b/>
                <w:bCs/>
                <w:color w:val="000000"/>
                <w:sz w:val="18"/>
                <w:szCs w:val="18"/>
              </w:rPr>
              <w:t>1</w:t>
            </w:r>
            <w:r w:rsidRPr="007E1DCF">
              <w:rPr>
                <w:rFonts w:cs="Arial"/>
                <w:b/>
                <w:color w:val="000000"/>
                <w:sz w:val="18"/>
                <w:szCs w:val="18"/>
              </w:rPr>
              <w:t>-2</w:t>
            </w:r>
            <w:r w:rsidRPr="00E04427">
              <w:rPr>
                <w:rFonts w:cs="Arial"/>
                <w:b/>
                <w:bCs/>
                <w:color w:val="000000"/>
                <w:sz w:val="18"/>
                <w:szCs w:val="18"/>
              </w:rPr>
              <w:t>2</w:t>
            </w:r>
            <w:r w:rsidRPr="007E1DCF">
              <w:rPr>
                <w:rFonts w:cs="Arial"/>
                <w:b/>
                <w:color w:val="000000"/>
                <w:sz w:val="18"/>
                <w:szCs w:val="18"/>
              </w:rPr>
              <w:t xml:space="preserve"> AFSR</w:t>
            </w:r>
          </w:p>
        </w:tc>
        <w:tc>
          <w:tcPr>
            <w:tcW w:w="592" w:type="pct"/>
            <w:noWrap/>
            <w:hideMark/>
          </w:tcPr>
          <w:p w14:paraId="2C77D445" w14:textId="77777777" w:rsidR="002C11DC" w:rsidRPr="007E1DCF"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b/>
                <w:i/>
                <w:color w:val="000000"/>
                <w:sz w:val="18"/>
                <w:szCs w:val="18"/>
              </w:rPr>
            </w:pPr>
            <w:r w:rsidRPr="007E1DCF">
              <w:rPr>
                <w:rFonts w:cs="Arial"/>
                <w:b/>
                <w:i/>
                <w:color w:val="000000"/>
                <w:sz w:val="18"/>
                <w:szCs w:val="18"/>
              </w:rPr>
              <w:t> </w:t>
            </w:r>
          </w:p>
        </w:tc>
        <w:tc>
          <w:tcPr>
            <w:tcW w:w="592" w:type="pct"/>
            <w:noWrap/>
            <w:hideMark/>
          </w:tcPr>
          <w:p w14:paraId="0C171F54" w14:textId="77777777" w:rsidR="002C11DC" w:rsidRPr="007E1DCF"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b/>
                <w:i/>
                <w:color w:val="000000"/>
                <w:sz w:val="18"/>
                <w:szCs w:val="18"/>
              </w:rPr>
            </w:pPr>
            <w:r w:rsidRPr="007E1DCF">
              <w:rPr>
                <w:rFonts w:cs="Arial"/>
                <w:b/>
                <w:i/>
                <w:color w:val="000000"/>
                <w:sz w:val="18"/>
                <w:szCs w:val="18"/>
              </w:rPr>
              <w:t> </w:t>
            </w:r>
          </w:p>
        </w:tc>
        <w:tc>
          <w:tcPr>
            <w:tcW w:w="592" w:type="pct"/>
            <w:noWrap/>
            <w:hideMark/>
          </w:tcPr>
          <w:p w14:paraId="6E199F32" w14:textId="77777777" w:rsidR="002C11DC" w:rsidRPr="007E1DCF"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b/>
                <w:i/>
                <w:color w:val="000000"/>
                <w:sz w:val="18"/>
                <w:szCs w:val="18"/>
              </w:rPr>
            </w:pPr>
            <w:r w:rsidRPr="007E1DCF">
              <w:rPr>
                <w:rFonts w:cs="Arial"/>
                <w:b/>
                <w:i/>
                <w:color w:val="000000"/>
                <w:sz w:val="18"/>
                <w:szCs w:val="18"/>
              </w:rPr>
              <w:t> </w:t>
            </w:r>
          </w:p>
        </w:tc>
        <w:tc>
          <w:tcPr>
            <w:tcW w:w="592" w:type="pct"/>
            <w:tcBorders>
              <w:right w:val="dotted" w:sz="4" w:space="0" w:color="auto"/>
            </w:tcBorders>
            <w:noWrap/>
            <w:hideMark/>
          </w:tcPr>
          <w:p w14:paraId="67FD3E84" w14:textId="77777777" w:rsidR="002C11DC" w:rsidRPr="007E1DCF"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b/>
                <w:i/>
                <w:color w:val="000000"/>
                <w:sz w:val="18"/>
                <w:szCs w:val="18"/>
              </w:rPr>
            </w:pPr>
            <w:r w:rsidRPr="007E1DCF">
              <w:rPr>
                <w:rFonts w:cs="Arial"/>
                <w:b/>
                <w:i/>
                <w:color w:val="000000"/>
                <w:sz w:val="18"/>
                <w:szCs w:val="18"/>
              </w:rPr>
              <w:t> </w:t>
            </w:r>
          </w:p>
        </w:tc>
        <w:tc>
          <w:tcPr>
            <w:tcW w:w="590" w:type="pct"/>
            <w:tcBorders>
              <w:left w:val="dotted" w:sz="4" w:space="0" w:color="auto"/>
            </w:tcBorders>
            <w:noWrap/>
            <w:hideMark/>
          </w:tcPr>
          <w:p w14:paraId="795449CE" w14:textId="77777777" w:rsidR="002C11DC" w:rsidRPr="007E1DCF"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b/>
                <w:i/>
                <w:color w:val="000000"/>
                <w:sz w:val="18"/>
                <w:szCs w:val="18"/>
              </w:rPr>
            </w:pPr>
            <w:r w:rsidRPr="007E1DCF">
              <w:rPr>
                <w:rFonts w:cs="Arial"/>
                <w:b/>
                <w:i/>
                <w:color w:val="000000"/>
                <w:sz w:val="18"/>
                <w:szCs w:val="18"/>
              </w:rPr>
              <w:t> </w:t>
            </w:r>
          </w:p>
        </w:tc>
      </w:tr>
      <w:tr w:rsidR="002C11DC" w:rsidRPr="00947100" w14:paraId="6A2229FD"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41" w:type="pct"/>
            <w:noWrap/>
            <w:hideMark/>
          </w:tcPr>
          <w:p w14:paraId="729D749E" w14:textId="77777777" w:rsidR="002C11DC" w:rsidRPr="00E04427" w:rsidRDefault="002C11DC" w:rsidP="00446247">
            <w:pPr>
              <w:spacing w:after="0"/>
              <w:rPr>
                <w:rFonts w:cs="Arial"/>
                <w:color w:val="000000"/>
                <w:sz w:val="18"/>
                <w:szCs w:val="18"/>
              </w:rPr>
            </w:pPr>
            <w:r>
              <w:rPr>
                <w:rFonts w:cs="Arial"/>
                <w:color w:val="000000"/>
                <w:sz w:val="18"/>
                <w:szCs w:val="18"/>
              </w:rPr>
              <w:t>Scheme expenses</w:t>
            </w:r>
            <w:r w:rsidRPr="00E04427">
              <w:rPr>
                <w:rFonts w:cs="Arial"/>
                <w:color w:val="000000"/>
                <w:sz w:val="18"/>
                <w:szCs w:val="18"/>
              </w:rPr>
              <w:t xml:space="preserve"> (cash basis)</w:t>
            </w:r>
          </w:p>
        </w:tc>
        <w:tc>
          <w:tcPr>
            <w:tcW w:w="592" w:type="pct"/>
            <w:noWrap/>
            <w:hideMark/>
          </w:tcPr>
          <w:p w14:paraId="1D8FD6A0" w14:textId="77777777" w:rsidR="002C11DC" w:rsidRPr="007E1DCF"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7E1DCF">
              <w:rPr>
                <w:rFonts w:cs="Arial"/>
                <w:i/>
                <w:color w:val="000000"/>
                <w:sz w:val="18"/>
                <w:szCs w:val="18"/>
              </w:rPr>
              <w:t> </w:t>
            </w:r>
          </w:p>
        </w:tc>
        <w:tc>
          <w:tcPr>
            <w:tcW w:w="592" w:type="pct"/>
            <w:noWrap/>
            <w:hideMark/>
          </w:tcPr>
          <w:p w14:paraId="32296A1A" w14:textId="77777777" w:rsidR="002C11DC" w:rsidRPr="007E1DCF"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7E1DCF">
              <w:rPr>
                <w:rFonts w:cs="Arial"/>
                <w:i/>
                <w:color w:val="000000"/>
                <w:sz w:val="18"/>
                <w:szCs w:val="18"/>
              </w:rPr>
              <w:t> </w:t>
            </w:r>
          </w:p>
        </w:tc>
        <w:tc>
          <w:tcPr>
            <w:tcW w:w="592" w:type="pct"/>
            <w:noWrap/>
            <w:hideMark/>
          </w:tcPr>
          <w:p w14:paraId="79D84733" w14:textId="77777777" w:rsidR="002C11DC" w:rsidRPr="007E1DCF"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7E1DCF">
              <w:rPr>
                <w:rFonts w:cs="Arial"/>
                <w:i/>
                <w:color w:val="000000"/>
                <w:sz w:val="18"/>
                <w:szCs w:val="18"/>
              </w:rPr>
              <w:t> </w:t>
            </w:r>
          </w:p>
        </w:tc>
        <w:tc>
          <w:tcPr>
            <w:tcW w:w="592" w:type="pct"/>
            <w:tcBorders>
              <w:right w:val="dotted" w:sz="4" w:space="0" w:color="auto"/>
            </w:tcBorders>
            <w:noWrap/>
            <w:hideMark/>
          </w:tcPr>
          <w:p w14:paraId="793074F9" w14:textId="77777777" w:rsidR="002C11DC" w:rsidRPr="007E1DCF"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7E1DCF">
              <w:rPr>
                <w:rFonts w:cs="Arial"/>
                <w:i/>
                <w:color w:val="000000"/>
                <w:sz w:val="18"/>
                <w:szCs w:val="18"/>
              </w:rPr>
              <w:t> </w:t>
            </w:r>
          </w:p>
        </w:tc>
        <w:tc>
          <w:tcPr>
            <w:tcW w:w="590" w:type="pct"/>
            <w:tcBorders>
              <w:left w:val="dotted" w:sz="4" w:space="0" w:color="auto"/>
            </w:tcBorders>
            <w:noWrap/>
            <w:hideMark/>
          </w:tcPr>
          <w:p w14:paraId="530461A0" w14:textId="77777777" w:rsidR="002C11DC" w:rsidRPr="007E1DCF"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7E1DCF">
              <w:rPr>
                <w:rFonts w:cs="Arial"/>
                <w:i/>
                <w:color w:val="000000"/>
                <w:sz w:val="18"/>
                <w:szCs w:val="18"/>
              </w:rPr>
              <w:t> </w:t>
            </w:r>
          </w:p>
        </w:tc>
      </w:tr>
      <w:tr w:rsidR="002C11DC" w:rsidRPr="00947100" w14:paraId="0AEB66FD" w14:textId="77777777" w:rsidTr="00DA3F73">
        <w:trPr>
          <w:trHeight w:val="301"/>
        </w:trPr>
        <w:tc>
          <w:tcPr>
            <w:cnfStyle w:val="001000000000" w:firstRow="0" w:lastRow="0" w:firstColumn="1" w:lastColumn="0" w:oddVBand="0" w:evenVBand="0" w:oddHBand="0" w:evenHBand="0" w:firstRowFirstColumn="0" w:firstRowLastColumn="0" w:lastRowFirstColumn="0" w:lastRowLastColumn="0"/>
            <w:tcW w:w="2041" w:type="pct"/>
            <w:noWrap/>
            <w:hideMark/>
          </w:tcPr>
          <w:p w14:paraId="3BB1BA35" w14:textId="77777777" w:rsidR="002C11DC" w:rsidRPr="00E04427" w:rsidRDefault="002C11DC" w:rsidP="00446247">
            <w:pPr>
              <w:spacing w:after="0"/>
              <w:rPr>
                <w:rFonts w:cs="Arial"/>
                <w:color w:val="000000"/>
                <w:sz w:val="18"/>
                <w:szCs w:val="18"/>
              </w:rPr>
            </w:pPr>
            <w:r w:rsidRPr="00E04427">
              <w:rPr>
                <w:rFonts w:cs="Arial"/>
                <w:color w:val="000000"/>
                <w:sz w:val="18"/>
                <w:szCs w:val="18"/>
              </w:rPr>
              <w:t>0-64 years</w:t>
            </w:r>
          </w:p>
        </w:tc>
        <w:tc>
          <w:tcPr>
            <w:tcW w:w="592" w:type="pct"/>
            <w:noWrap/>
            <w:hideMark/>
          </w:tcPr>
          <w:p w14:paraId="2C41614A" w14:textId="77777777" w:rsidR="002C11DC" w:rsidRPr="00E04427"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E04427">
              <w:rPr>
                <w:rFonts w:cs="Arial"/>
                <w:color w:val="000000"/>
                <w:sz w:val="18"/>
                <w:szCs w:val="18"/>
              </w:rPr>
              <w:t>30,931</w:t>
            </w:r>
          </w:p>
        </w:tc>
        <w:tc>
          <w:tcPr>
            <w:tcW w:w="592" w:type="pct"/>
            <w:noWrap/>
            <w:hideMark/>
          </w:tcPr>
          <w:p w14:paraId="633E2C26" w14:textId="77777777" w:rsidR="002C11DC" w:rsidRPr="00E04427"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492167">
              <w:rPr>
                <w:rFonts w:cs="Arial"/>
                <w:color w:val="000000"/>
                <w:sz w:val="18"/>
                <w:szCs w:val="18"/>
              </w:rPr>
              <w:t>34,357</w:t>
            </w:r>
          </w:p>
        </w:tc>
        <w:tc>
          <w:tcPr>
            <w:tcW w:w="592" w:type="pct"/>
            <w:noWrap/>
            <w:hideMark/>
          </w:tcPr>
          <w:p w14:paraId="63308698" w14:textId="77777777" w:rsidR="002C11DC" w:rsidRPr="00E04427"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492167">
              <w:rPr>
                <w:rFonts w:cs="Arial"/>
                <w:color w:val="000000"/>
                <w:sz w:val="18"/>
                <w:szCs w:val="18"/>
              </w:rPr>
              <w:t>39,364</w:t>
            </w:r>
          </w:p>
        </w:tc>
        <w:tc>
          <w:tcPr>
            <w:tcW w:w="592" w:type="pct"/>
            <w:tcBorders>
              <w:right w:val="dotted" w:sz="4" w:space="0" w:color="auto"/>
            </w:tcBorders>
            <w:noWrap/>
            <w:hideMark/>
          </w:tcPr>
          <w:p w14:paraId="57A8586C" w14:textId="77777777" w:rsidR="002C11DC" w:rsidRPr="00E04427"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492167">
              <w:rPr>
                <w:rFonts w:cs="Arial"/>
                <w:color w:val="000000"/>
                <w:sz w:val="18"/>
                <w:szCs w:val="18"/>
              </w:rPr>
              <w:t>44,519</w:t>
            </w:r>
          </w:p>
        </w:tc>
        <w:tc>
          <w:tcPr>
            <w:tcW w:w="590" w:type="pct"/>
            <w:tcBorders>
              <w:left w:val="dotted" w:sz="4" w:space="0" w:color="auto"/>
            </w:tcBorders>
            <w:noWrap/>
            <w:hideMark/>
          </w:tcPr>
          <w:p w14:paraId="705513F4" w14:textId="77777777" w:rsidR="002C11DC" w:rsidRPr="00E04427"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76,700</w:t>
            </w:r>
          </w:p>
        </w:tc>
      </w:tr>
      <w:tr w:rsidR="002C11DC" w:rsidRPr="00947100" w14:paraId="6DEB7EEF"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41" w:type="pct"/>
            <w:tcBorders>
              <w:bottom w:val="single" w:sz="4" w:space="0" w:color="auto"/>
            </w:tcBorders>
            <w:noWrap/>
            <w:hideMark/>
          </w:tcPr>
          <w:p w14:paraId="03DAA865" w14:textId="77777777" w:rsidR="002C11DC" w:rsidRPr="00E04427" w:rsidRDefault="002C11DC" w:rsidP="00446247">
            <w:pPr>
              <w:spacing w:after="0"/>
              <w:rPr>
                <w:rFonts w:cs="Arial"/>
                <w:color w:val="000000"/>
                <w:sz w:val="18"/>
                <w:szCs w:val="18"/>
              </w:rPr>
            </w:pPr>
            <w:r w:rsidRPr="00E04427">
              <w:rPr>
                <w:rFonts w:cs="Arial"/>
                <w:color w:val="000000"/>
                <w:sz w:val="18"/>
                <w:szCs w:val="18"/>
              </w:rPr>
              <w:t>65+ years</w:t>
            </w:r>
          </w:p>
        </w:tc>
        <w:tc>
          <w:tcPr>
            <w:tcW w:w="592" w:type="pct"/>
            <w:tcBorders>
              <w:bottom w:val="single" w:sz="4" w:space="0" w:color="auto"/>
            </w:tcBorders>
            <w:noWrap/>
            <w:hideMark/>
          </w:tcPr>
          <w:p w14:paraId="767ACBCF" w14:textId="77777777" w:rsidR="002C11DC" w:rsidRPr="00E04427"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04427">
              <w:rPr>
                <w:rFonts w:cs="Arial"/>
                <w:color w:val="000000"/>
                <w:sz w:val="18"/>
                <w:szCs w:val="18"/>
              </w:rPr>
              <w:t>2,544</w:t>
            </w:r>
          </w:p>
        </w:tc>
        <w:tc>
          <w:tcPr>
            <w:tcW w:w="592" w:type="pct"/>
            <w:tcBorders>
              <w:bottom w:val="single" w:sz="4" w:space="0" w:color="auto"/>
            </w:tcBorders>
            <w:noWrap/>
            <w:hideMark/>
          </w:tcPr>
          <w:p w14:paraId="5FE9A8FA" w14:textId="77777777" w:rsidR="002C11DC" w:rsidRPr="00E04427"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492167">
              <w:rPr>
                <w:rFonts w:cs="Arial"/>
                <w:color w:val="000000"/>
                <w:sz w:val="18"/>
                <w:szCs w:val="18"/>
              </w:rPr>
              <w:t>3,211</w:t>
            </w:r>
          </w:p>
        </w:tc>
        <w:tc>
          <w:tcPr>
            <w:tcW w:w="592" w:type="pct"/>
            <w:tcBorders>
              <w:bottom w:val="single" w:sz="4" w:space="0" w:color="auto"/>
            </w:tcBorders>
            <w:noWrap/>
            <w:hideMark/>
          </w:tcPr>
          <w:p w14:paraId="22046480" w14:textId="77777777" w:rsidR="002C11DC" w:rsidRPr="00E04427"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492167">
              <w:rPr>
                <w:rFonts w:cs="Arial"/>
                <w:color w:val="000000"/>
                <w:sz w:val="18"/>
                <w:szCs w:val="18"/>
              </w:rPr>
              <w:t>4,099</w:t>
            </w:r>
          </w:p>
        </w:tc>
        <w:tc>
          <w:tcPr>
            <w:tcW w:w="592" w:type="pct"/>
            <w:tcBorders>
              <w:bottom w:val="single" w:sz="4" w:space="0" w:color="auto"/>
              <w:right w:val="dotted" w:sz="4" w:space="0" w:color="auto"/>
            </w:tcBorders>
            <w:noWrap/>
            <w:hideMark/>
          </w:tcPr>
          <w:p w14:paraId="1D9048A3" w14:textId="77777777" w:rsidR="002C11DC" w:rsidRPr="00E04427"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492167">
              <w:rPr>
                <w:rFonts w:cs="Arial"/>
                <w:color w:val="000000"/>
                <w:sz w:val="18"/>
                <w:szCs w:val="18"/>
              </w:rPr>
              <w:t>5,081</w:t>
            </w:r>
          </w:p>
        </w:tc>
        <w:tc>
          <w:tcPr>
            <w:tcW w:w="590" w:type="pct"/>
            <w:tcBorders>
              <w:left w:val="dotted" w:sz="4" w:space="0" w:color="auto"/>
              <w:bottom w:val="single" w:sz="4" w:space="0" w:color="auto"/>
            </w:tcBorders>
            <w:noWrap/>
            <w:hideMark/>
          </w:tcPr>
          <w:p w14:paraId="433F494A" w14:textId="77777777" w:rsidR="002C11DC" w:rsidRPr="00E04427"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04427">
              <w:rPr>
                <w:rFonts w:cs="Arial"/>
                <w:color w:val="000000"/>
                <w:sz w:val="18"/>
                <w:szCs w:val="18"/>
              </w:rPr>
              <w:t>11,</w:t>
            </w:r>
            <w:r>
              <w:rPr>
                <w:rFonts w:cs="Arial"/>
                <w:color w:val="000000"/>
                <w:sz w:val="18"/>
                <w:szCs w:val="18"/>
              </w:rPr>
              <w:t>389</w:t>
            </w:r>
          </w:p>
        </w:tc>
      </w:tr>
      <w:tr w:rsidR="002C11DC" w:rsidRPr="00947100" w14:paraId="64A41C66" w14:textId="77777777" w:rsidTr="00DA3F73">
        <w:trPr>
          <w:trHeight w:val="301"/>
        </w:trPr>
        <w:tc>
          <w:tcPr>
            <w:cnfStyle w:val="001000000000" w:firstRow="0" w:lastRow="0" w:firstColumn="1" w:lastColumn="0" w:oddVBand="0" w:evenVBand="0" w:oddHBand="0" w:evenHBand="0" w:firstRowFirstColumn="0" w:firstRowLastColumn="0" w:lastRowFirstColumn="0" w:lastRowLastColumn="0"/>
            <w:tcW w:w="2041" w:type="pct"/>
            <w:tcBorders>
              <w:top w:val="single" w:sz="4" w:space="0" w:color="auto"/>
              <w:bottom w:val="single" w:sz="4" w:space="0" w:color="auto"/>
            </w:tcBorders>
            <w:shd w:val="clear" w:color="auto" w:fill="D4C5D7"/>
            <w:noWrap/>
            <w:hideMark/>
          </w:tcPr>
          <w:p w14:paraId="7E719BF8" w14:textId="77777777" w:rsidR="002C11DC" w:rsidRPr="007E1DCF" w:rsidRDefault="002C11DC" w:rsidP="00446247">
            <w:pPr>
              <w:spacing w:after="0"/>
              <w:rPr>
                <w:rFonts w:cs="Arial"/>
                <w:b/>
                <w:color w:val="000000"/>
                <w:sz w:val="18"/>
                <w:szCs w:val="18"/>
              </w:rPr>
            </w:pPr>
            <w:r w:rsidRPr="007E1DCF">
              <w:rPr>
                <w:rFonts w:cs="Arial"/>
                <w:b/>
                <w:color w:val="000000"/>
                <w:sz w:val="18"/>
                <w:szCs w:val="18"/>
              </w:rPr>
              <w:t xml:space="preserve">Total </w:t>
            </w:r>
            <w:r>
              <w:rPr>
                <w:rFonts w:cs="Arial"/>
                <w:b/>
                <w:bCs/>
                <w:color w:val="000000"/>
                <w:sz w:val="18"/>
                <w:szCs w:val="18"/>
              </w:rPr>
              <w:t>Scheme expenses</w:t>
            </w:r>
            <w:r w:rsidRPr="007E1DCF">
              <w:rPr>
                <w:rFonts w:cs="Arial"/>
                <w:b/>
                <w:color w:val="000000"/>
                <w:sz w:val="18"/>
                <w:szCs w:val="18"/>
              </w:rPr>
              <w:t xml:space="preserve"> (cash basis)</w:t>
            </w:r>
          </w:p>
        </w:tc>
        <w:tc>
          <w:tcPr>
            <w:tcW w:w="592" w:type="pct"/>
            <w:tcBorders>
              <w:top w:val="single" w:sz="4" w:space="0" w:color="auto"/>
              <w:bottom w:val="single" w:sz="4" w:space="0" w:color="auto"/>
            </w:tcBorders>
            <w:shd w:val="clear" w:color="auto" w:fill="D4C5D7"/>
            <w:noWrap/>
            <w:hideMark/>
          </w:tcPr>
          <w:p w14:paraId="677970C1" w14:textId="77777777" w:rsidR="002C11DC" w:rsidRPr="007E1DCF"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E04427">
              <w:rPr>
                <w:rFonts w:cs="Arial"/>
                <w:b/>
                <w:bCs/>
                <w:color w:val="000000"/>
                <w:sz w:val="18"/>
                <w:szCs w:val="18"/>
              </w:rPr>
              <w:t>33,475</w:t>
            </w:r>
          </w:p>
        </w:tc>
        <w:tc>
          <w:tcPr>
            <w:tcW w:w="592" w:type="pct"/>
            <w:tcBorders>
              <w:top w:val="single" w:sz="4" w:space="0" w:color="auto"/>
              <w:bottom w:val="single" w:sz="4" w:space="0" w:color="auto"/>
            </w:tcBorders>
            <w:shd w:val="clear" w:color="auto" w:fill="D4C5D7"/>
            <w:noWrap/>
            <w:hideMark/>
          </w:tcPr>
          <w:p w14:paraId="38E7791A" w14:textId="77777777" w:rsidR="002C11DC" w:rsidRPr="007E1DCF"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7E1DCF">
              <w:rPr>
                <w:rFonts w:cs="Arial"/>
                <w:b/>
                <w:color w:val="000000"/>
                <w:sz w:val="18"/>
                <w:szCs w:val="18"/>
              </w:rPr>
              <w:t>37,568</w:t>
            </w:r>
          </w:p>
        </w:tc>
        <w:tc>
          <w:tcPr>
            <w:tcW w:w="592" w:type="pct"/>
            <w:tcBorders>
              <w:top w:val="single" w:sz="4" w:space="0" w:color="auto"/>
              <w:bottom w:val="single" w:sz="4" w:space="0" w:color="auto"/>
            </w:tcBorders>
            <w:shd w:val="clear" w:color="auto" w:fill="D4C5D7"/>
            <w:noWrap/>
            <w:hideMark/>
          </w:tcPr>
          <w:p w14:paraId="231D9DE2" w14:textId="77777777" w:rsidR="002C11DC" w:rsidRPr="007E1DCF"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7E1DCF">
              <w:rPr>
                <w:rFonts w:cs="Arial"/>
                <w:b/>
                <w:color w:val="000000"/>
                <w:sz w:val="18"/>
                <w:szCs w:val="18"/>
              </w:rPr>
              <w:t>43,463</w:t>
            </w:r>
          </w:p>
        </w:tc>
        <w:tc>
          <w:tcPr>
            <w:tcW w:w="592" w:type="pct"/>
            <w:tcBorders>
              <w:top w:val="single" w:sz="4" w:space="0" w:color="auto"/>
              <w:bottom w:val="single" w:sz="4" w:space="0" w:color="auto"/>
              <w:right w:val="dotted" w:sz="4" w:space="0" w:color="auto"/>
            </w:tcBorders>
            <w:shd w:val="clear" w:color="auto" w:fill="D4C5D7"/>
            <w:noWrap/>
            <w:hideMark/>
          </w:tcPr>
          <w:p w14:paraId="423EACDC" w14:textId="77777777" w:rsidR="002C11DC" w:rsidRPr="007E1DCF"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7E1DCF">
              <w:rPr>
                <w:rFonts w:cs="Arial"/>
                <w:b/>
                <w:color w:val="000000"/>
                <w:sz w:val="18"/>
                <w:szCs w:val="18"/>
              </w:rPr>
              <w:t>49,599</w:t>
            </w:r>
          </w:p>
        </w:tc>
        <w:tc>
          <w:tcPr>
            <w:tcW w:w="590" w:type="pct"/>
            <w:tcBorders>
              <w:top w:val="single" w:sz="4" w:space="0" w:color="auto"/>
              <w:left w:val="dotted" w:sz="4" w:space="0" w:color="auto"/>
              <w:bottom w:val="single" w:sz="4" w:space="0" w:color="auto"/>
            </w:tcBorders>
            <w:shd w:val="clear" w:color="auto" w:fill="D4C5D7"/>
            <w:noWrap/>
            <w:hideMark/>
          </w:tcPr>
          <w:p w14:paraId="797A51E1" w14:textId="77777777" w:rsidR="002C11DC" w:rsidRPr="007E1DCF"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E04427">
              <w:rPr>
                <w:rFonts w:cs="Arial"/>
                <w:b/>
                <w:bCs/>
                <w:color w:val="000000"/>
                <w:sz w:val="18"/>
                <w:szCs w:val="18"/>
              </w:rPr>
              <w:t>88,</w:t>
            </w:r>
            <w:r>
              <w:rPr>
                <w:rFonts w:cs="Arial"/>
                <w:b/>
                <w:bCs/>
                <w:color w:val="000000"/>
                <w:sz w:val="18"/>
                <w:szCs w:val="18"/>
              </w:rPr>
              <w:t>089</w:t>
            </w:r>
          </w:p>
        </w:tc>
      </w:tr>
      <w:tr w:rsidR="002C11DC" w:rsidRPr="00947100" w14:paraId="62675318"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41" w:type="pct"/>
            <w:tcBorders>
              <w:top w:val="single" w:sz="4" w:space="0" w:color="auto"/>
            </w:tcBorders>
            <w:noWrap/>
            <w:hideMark/>
          </w:tcPr>
          <w:p w14:paraId="06E2520B" w14:textId="77777777" w:rsidR="002C11DC" w:rsidRPr="007E1DCF" w:rsidRDefault="002C11DC" w:rsidP="00446247">
            <w:pPr>
              <w:spacing w:after="0"/>
              <w:rPr>
                <w:rFonts w:cs="Arial"/>
                <w:b/>
                <w:color w:val="000000"/>
                <w:sz w:val="18"/>
                <w:szCs w:val="18"/>
              </w:rPr>
            </w:pPr>
            <w:r w:rsidRPr="00E04427">
              <w:rPr>
                <w:rFonts w:cs="Arial"/>
                <w:b/>
                <w:bCs/>
                <w:color w:val="000000"/>
                <w:sz w:val="18"/>
                <w:szCs w:val="18"/>
              </w:rPr>
              <w:t>2020-21</w:t>
            </w:r>
            <w:r w:rsidRPr="007E1DCF">
              <w:rPr>
                <w:rFonts w:cs="Arial"/>
                <w:b/>
                <w:color w:val="000000"/>
                <w:sz w:val="18"/>
                <w:szCs w:val="18"/>
              </w:rPr>
              <w:t xml:space="preserve"> AFSR</w:t>
            </w:r>
          </w:p>
        </w:tc>
        <w:tc>
          <w:tcPr>
            <w:tcW w:w="592" w:type="pct"/>
            <w:tcBorders>
              <w:top w:val="single" w:sz="4" w:space="0" w:color="auto"/>
            </w:tcBorders>
            <w:noWrap/>
            <w:hideMark/>
          </w:tcPr>
          <w:p w14:paraId="3372336F" w14:textId="77777777" w:rsidR="002C11DC" w:rsidRPr="007E1DCF"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b/>
                <w:i/>
                <w:color w:val="000000"/>
                <w:sz w:val="18"/>
                <w:szCs w:val="18"/>
              </w:rPr>
            </w:pPr>
            <w:r w:rsidRPr="007E1DCF">
              <w:rPr>
                <w:rFonts w:cs="Arial"/>
                <w:b/>
                <w:i/>
                <w:color w:val="000000"/>
                <w:sz w:val="18"/>
                <w:szCs w:val="18"/>
              </w:rPr>
              <w:t> </w:t>
            </w:r>
          </w:p>
        </w:tc>
        <w:tc>
          <w:tcPr>
            <w:tcW w:w="592" w:type="pct"/>
            <w:tcBorders>
              <w:top w:val="single" w:sz="4" w:space="0" w:color="auto"/>
            </w:tcBorders>
            <w:noWrap/>
            <w:hideMark/>
          </w:tcPr>
          <w:p w14:paraId="3F2BEF15" w14:textId="77777777" w:rsidR="002C11DC" w:rsidRPr="007E1DCF"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b/>
                <w:i/>
                <w:color w:val="000000"/>
                <w:sz w:val="18"/>
                <w:szCs w:val="18"/>
              </w:rPr>
            </w:pPr>
            <w:r w:rsidRPr="007E1DCF">
              <w:rPr>
                <w:rFonts w:cs="Arial"/>
                <w:b/>
                <w:i/>
                <w:color w:val="000000"/>
                <w:sz w:val="18"/>
                <w:szCs w:val="18"/>
              </w:rPr>
              <w:t> </w:t>
            </w:r>
          </w:p>
        </w:tc>
        <w:tc>
          <w:tcPr>
            <w:tcW w:w="592" w:type="pct"/>
            <w:tcBorders>
              <w:top w:val="single" w:sz="4" w:space="0" w:color="auto"/>
            </w:tcBorders>
            <w:noWrap/>
            <w:hideMark/>
          </w:tcPr>
          <w:p w14:paraId="137FD698" w14:textId="77777777" w:rsidR="002C11DC" w:rsidRPr="007E1DCF"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b/>
                <w:i/>
                <w:color w:val="000000"/>
                <w:sz w:val="18"/>
                <w:szCs w:val="18"/>
              </w:rPr>
            </w:pPr>
            <w:r w:rsidRPr="007E1DCF">
              <w:rPr>
                <w:rFonts w:cs="Arial"/>
                <w:b/>
                <w:i/>
                <w:color w:val="000000"/>
                <w:sz w:val="18"/>
                <w:szCs w:val="18"/>
              </w:rPr>
              <w:t> </w:t>
            </w:r>
          </w:p>
        </w:tc>
        <w:tc>
          <w:tcPr>
            <w:tcW w:w="592" w:type="pct"/>
            <w:tcBorders>
              <w:top w:val="single" w:sz="4" w:space="0" w:color="auto"/>
              <w:right w:val="dotted" w:sz="4" w:space="0" w:color="auto"/>
            </w:tcBorders>
            <w:noWrap/>
            <w:hideMark/>
          </w:tcPr>
          <w:p w14:paraId="2A583028" w14:textId="77777777" w:rsidR="002C11DC" w:rsidRPr="007E1DCF"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b/>
                <w:i/>
                <w:color w:val="000000"/>
                <w:sz w:val="18"/>
                <w:szCs w:val="18"/>
              </w:rPr>
            </w:pPr>
            <w:r w:rsidRPr="007E1DCF">
              <w:rPr>
                <w:rFonts w:cs="Arial"/>
                <w:b/>
                <w:i/>
                <w:color w:val="000000"/>
                <w:sz w:val="18"/>
                <w:szCs w:val="18"/>
              </w:rPr>
              <w:t> </w:t>
            </w:r>
          </w:p>
        </w:tc>
        <w:tc>
          <w:tcPr>
            <w:tcW w:w="590" w:type="pct"/>
            <w:tcBorders>
              <w:top w:val="single" w:sz="4" w:space="0" w:color="auto"/>
              <w:left w:val="dotted" w:sz="4" w:space="0" w:color="auto"/>
            </w:tcBorders>
            <w:noWrap/>
            <w:hideMark/>
          </w:tcPr>
          <w:p w14:paraId="143C2515" w14:textId="77777777" w:rsidR="002C11DC" w:rsidRPr="007E1DCF"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b/>
                <w:i/>
                <w:color w:val="000000"/>
                <w:sz w:val="18"/>
                <w:szCs w:val="18"/>
              </w:rPr>
            </w:pPr>
            <w:r w:rsidRPr="007E1DCF">
              <w:rPr>
                <w:rFonts w:cs="Arial"/>
                <w:b/>
                <w:i/>
                <w:color w:val="000000"/>
                <w:sz w:val="18"/>
                <w:szCs w:val="18"/>
              </w:rPr>
              <w:t> </w:t>
            </w:r>
          </w:p>
        </w:tc>
      </w:tr>
      <w:tr w:rsidR="002C11DC" w:rsidRPr="00947100" w14:paraId="5C266535" w14:textId="77777777" w:rsidTr="00DA3F73">
        <w:trPr>
          <w:trHeight w:val="301"/>
        </w:trPr>
        <w:tc>
          <w:tcPr>
            <w:cnfStyle w:val="001000000000" w:firstRow="0" w:lastRow="0" w:firstColumn="1" w:lastColumn="0" w:oddVBand="0" w:evenVBand="0" w:oddHBand="0" w:evenHBand="0" w:firstRowFirstColumn="0" w:firstRowLastColumn="0" w:lastRowFirstColumn="0" w:lastRowLastColumn="0"/>
            <w:tcW w:w="2041" w:type="pct"/>
            <w:noWrap/>
            <w:hideMark/>
          </w:tcPr>
          <w:p w14:paraId="30EBAFF6" w14:textId="77777777" w:rsidR="002C11DC" w:rsidRPr="00E04427" w:rsidRDefault="002C11DC" w:rsidP="00446247">
            <w:pPr>
              <w:spacing w:after="0"/>
              <w:rPr>
                <w:rFonts w:cs="Arial"/>
                <w:color w:val="000000"/>
                <w:sz w:val="18"/>
                <w:szCs w:val="18"/>
              </w:rPr>
            </w:pPr>
            <w:r>
              <w:rPr>
                <w:rFonts w:cs="Arial"/>
                <w:color w:val="000000"/>
                <w:sz w:val="18"/>
                <w:szCs w:val="18"/>
              </w:rPr>
              <w:t>Scheme expenses</w:t>
            </w:r>
            <w:r w:rsidRPr="00E04427">
              <w:rPr>
                <w:rFonts w:cs="Arial"/>
                <w:color w:val="000000"/>
                <w:sz w:val="18"/>
                <w:szCs w:val="18"/>
              </w:rPr>
              <w:t xml:space="preserve"> (cash basis)</w:t>
            </w:r>
          </w:p>
        </w:tc>
        <w:tc>
          <w:tcPr>
            <w:tcW w:w="592" w:type="pct"/>
            <w:noWrap/>
            <w:hideMark/>
          </w:tcPr>
          <w:p w14:paraId="5CCA4DF4" w14:textId="77777777" w:rsidR="002C11DC" w:rsidRPr="007E1DCF"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i/>
                <w:color w:val="000000"/>
                <w:sz w:val="18"/>
                <w:szCs w:val="18"/>
              </w:rPr>
            </w:pPr>
            <w:r w:rsidRPr="007E1DCF">
              <w:rPr>
                <w:rFonts w:cs="Arial"/>
                <w:i/>
                <w:color w:val="000000"/>
                <w:sz w:val="18"/>
                <w:szCs w:val="18"/>
              </w:rPr>
              <w:t> </w:t>
            </w:r>
          </w:p>
        </w:tc>
        <w:tc>
          <w:tcPr>
            <w:tcW w:w="592" w:type="pct"/>
            <w:noWrap/>
            <w:hideMark/>
          </w:tcPr>
          <w:p w14:paraId="581D5E75" w14:textId="77777777" w:rsidR="002C11DC" w:rsidRPr="007E1DCF"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i/>
                <w:color w:val="000000"/>
                <w:sz w:val="18"/>
                <w:szCs w:val="18"/>
              </w:rPr>
            </w:pPr>
            <w:r w:rsidRPr="007E1DCF">
              <w:rPr>
                <w:rFonts w:cs="Arial"/>
                <w:i/>
                <w:color w:val="000000"/>
                <w:sz w:val="18"/>
                <w:szCs w:val="18"/>
              </w:rPr>
              <w:t> </w:t>
            </w:r>
          </w:p>
        </w:tc>
        <w:tc>
          <w:tcPr>
            <w:tcW w:w="592" w:type="pct"/>
            <w:noWrap/>
            <w:hideMark/>
          </w:tcPr>
          <w:p w14:paraId="79BDA004" w14:textId="77777777" w:rsidR="002C11DC" w:rsidRPr="007E1DCF"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i/>
                <w:color w:val="000000"/>
                <w:sz w:val="18"/>
                <w:szCs w:val="18"/>
              </w:rPr>
            </w:pPr>
            <w:r w:rsidRPr="007E1DCF">
              <w:rPr>
                <w:rFonts w:cs="Arial"/>
                <w:i/>
                <w:color w:val="000000"/>
                <w:sz w:val="18"/>
                <w:szCs w:val="18"/>
              </w:rPr>
              <w:t> </w:t>
            </w:r>
          </w:p>
        </w:tc>
        <w:tc>
          <w:tcPr>
            <w:tcW w:w="592" w:type="pct"/>
            <w:tcBorders>
              <w:right w:val="dotted" w:sz="4" w:space="0" w:color="auto"/>
            </w:tcBorders>
            <w:noWrap/>
            <w:hideMark/>
          </w:tcPr>
          <w:p w14:paraId="7AB0C0C5" w14:textId="77777777" w:rsidR="002C11DC" w:rsidRPr="007E1DCF"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i/>
                <w:color w:val="000000"/>
                <w:sz w:val="18"/>
                <w:szCs w:val="18"/>
              </w:rPr>
            </w:pPr>
            <w:r w:rsidRPr="007E1DCF">
              <w:rPr>
                <w:rFonts w:cs="Arial"/>
                <w:i/>
                <w:color w:val="000000"/>
                <w:sz w:val="18"/>
                <w:szCs w:val="18"/>
              </w:rPr>
              <w:t> </w:t>
            </w:r>
          </w:p>
        </w:tc>
        <w:tc>
          <w:tcPr>
            <w:tcW w:w="590" w:type="pct"/>
            <w:tcBorders>
              <w:left w:val="dotted" w:sz="4" w:space="0" w:color="auto"/>
            </w:tcBorders>
            <w:noWrap/>
            <w:hideMark/>
          </w:tcPr>
          <w:p w14:paraId="69E04791" w14:textId="77777777" w:rsidR="002C11DC" w:rsidRPr="007E1DCF"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i/>
                <w:color w:val="000000"/>
                <w:sz w:val="18"/>
                <w:szCs w:val="18"/>
              </w:rPr>
            </w:pPr>
            <w:r w:rsidRPr="007E1DCF">
              <w:rPr>
                <w:rFonts w:cs="Arial"/>
                <w:i/>
                <w:color w:val="000000"/>
                <w:sz w:val="18"/>
                <w:szCs w:val="18"/>
              </w:rPr>
              <w:t> </w:t>
            </w:r>
          </w:p>
        </w:tc>
      </w:tr>
      <w:tr w:rsidR="002C11DC" w:rsidRPr="00947100" w14:paraId="72A98DAF"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41" w:type="pct"/>
            <w:noWrap/>
            <w:hideMark/>
          </w:tcPr>
          <w:p w14:paraId="480592CC" w14:textId="77777777" w:rsidR="002C11DC" w:rsidRPr="00E04427" w:rsidRDefault="002C11DC" w:rsidP="00446247">
            <w:pPr>
              <w:spacing w:after="0"/>
              <w:rPr>
                <w:rFonts w:cs="Arial"/>
                <w:color w:val="000000"/>
                <w:sz w:val="18"/>
                <w:szCs w:val="18"/>
              </w:rPr>
            </w:pPr>
            <w:r w:rsidRPr="00E04427">
              <w:rPr>
                <w:rFonts w:cs="Arial"/>
                <w:color w:val="000000"/>
                <w:sz w:val="18"/>
                <w:szCs w:val="18"/>
              </w:rPr>
              <w:t>0-64 years</w:t>
            </w:r>
          </w:p>
        </w:tc>
        <w:tc>
          <w:tcPr>
            <w:tcW w:w="592" w:type="pct"/>
            <w:noWrap/>
            <w:hideMark/>
          </w:tcPr>
          <w:p w14:paraId="18DD6F35" w14:textId="77777777" w:rsidR="002C11DC" w:rsidRPr="00E04427"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04427">
              <w:rPr>
                <w:rFonts w:cs="Arial"/>
                <w:color w:val="000000"/>
                <w:sz w:val="18"/>
                <w:szCs w:val="18"/>
              </w:rPr>
              <w:t>30,965</w:t>
            </w:r>
          </w:p>
        </w:tc>
        <w:tc>
          <w:tcPr>
            <w:tcW w:w="592" w:type="pct"/>
            <w:noWrap/>
            <w:hideMark/>
          </w:tcPr>
          <w:p w14:paraId="02000898" w14:textId="77777777" w:rsidR="002C11DC" w:rsidRPr="00E04427"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04427">
              <w:rPr>
                <w:rFonts w:cs="Arial"/>
                <w:color w:val="000000"/>
                <w:sz w:val="18"/>
                <w:szCs w:val="18"/>
              </w:rPr>
              <w:t>34,345</w:t>
            </w:r>
          </w:p>
        </w:tc>
        <w:tc>
          <w:tcPr>
            <w:tcW w:w="592" w:type="pct"/>
            <w:noWrap/>
            <w:hideMark/>
          </w:tcPr>
          <w:p w14:paraId="56565582" w14:textId="77777777" w:rsidR="002C11DC" w:rsidRPr="00E04427"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04427">
              <w:rPr>
                <w:rFonts w:cs="Arial"/>
                <w:color w:val="000000"/>
                <w:sz w:val="18"/>
                <w:szCs w:val="18"/>
              </w:rPr>
              <w:t>37,067</w:t>
            </w:r>
          </w:p>
        </w:tc>
        <w:tc>
          <w:tcPr>
            <w:tcW w:w="592" w:type="pct"/>
            <w:tcBorders>
              <w:right w:val="dotted" w:sz="4" w:space="0" w:color="auto"/>
            </w:tcBorders>
            <w:noWrap/>
            <w:hideMark/>
          </w:tcPr>
          <w:p w14:paraId="491B2F19" w14:textId="77777777" w:rsidR="002C11DC" w:rsidRPr="00E04427"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04427">
              <w:rPr>
                <w:rFonts w:cs="Arial"/>
                <w:color w:val="000000"/>
                <w:sz w:val="18"/>
                <w:szCs w:val="18"/>
              </w:rPr>
              <w:t>39,583</w:t>
            </w:r>
          </w:p>
        </w:tc>
        <w:tc>
          <w:tcPr>
            <w:tcW w:w="590" w:type="pct"/>
            <w:tcBorders>
              <w:left w:val="dotted" w:sz="4" w:space="0" w:color="auto"/>
            </w:tcBorders>
            <w:noWrap/>
            <w:hideMark/>
          </w:tcPr>
          <w:p w14:paraId="32EABEE1" w14:textId="77777777" w:rsidR="002C11DC" w:rsidRPr="00E04427"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04427">
              <w:rPr>
                <w:rFonts w:cs="Arial"/>
                <w:color w:val="000000"/>
                <w:sz w:val="18"/>
                <w:szCs w:val="18"/>
              </w:rPr>
              <w:t>58,751</w:t>
            </w:r>
          </w:p>
        </w:tc>
      </w:tr>
      <w:tr w:rsidR="002C11DC" w:rsidRPr="00947100" w14:paraId="78F87BE0" w14:textId="77777777" w:rsidTr="00DA3F73">
        <w:trPr>
          <w:trHeight w:val="301"/>
        </w:trPr>
        <w:tc>
          <w:tcPr>
            <w:cnfStyle w:val="001000000000" w:firstRow="0" w:lastRow="0" w:firstColumn="1" w:lastColumn="0" w:oddVBand="0" w:evenVBand="0" w:oddHBand="0" w:evenHBand="0" w:firstRowFirstColumn="0" w:firstRowLastColumn="0" w:lastRowFirstColumn="0" w:lastRowLastColumn="0"/>
            <w:tcW w:w="2041" w:type="pct"/>
            <w:tcBorders>
              <w:bottom w:val="single" w:sz="4" w:space="0" w:color="auto"/>
            </w:tcBorders>
            <w:noWrap/>
            <w:hideMark/>
          </w:tcPr>
          <w:p w14:paraId="6DAD6B82" w14:textId="77777777" w:rsidR="002C11DC" w:rsidRPr="00E04427" w:rsidRDefault="002C11DC" w:rsidP="00446247">
            <w:pPr>
              <w:spacing w:after="0"/>
              <w:rPr>
                <w:rFonts w:cs="Arial"/>
                <w:color w:val="000000"/>
                <w:sz w:val="18"/>
                <w:szCs w:val="18"/>
              </w:rPr>
            </w:pPr>
            <w:r w:rsidRPr="00E04427">
              <w:rPr>
                <w:rFonts w:cs="Arial"/>
                <w:color w:val="000000"/>
                <w:sz w:val="18"/>
                <w:szCs w:val="18"/>
              </w:rPr>
              <w:t>65+ years</w:t>
            </w:r>
          </w:p>
        </w:tc>
        <w:tc>
          <w:tcPr>
            <w:tcW w:w="592" w:type="pct"/>
            <w:tcBorders>
              <w:bottom w:val="single" w:sz="4" w:space="0" w:color="auto"/>
            </w:tcBorders>
            <w:noWrap/>
            <w:hideMark/>
          </w:tcPr>
          <w:p w14:paraId="31023AA9" w14:textId="77777777" w:rsidR="002C11DC" w:rsidRPr="00E04427"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E04427">
              <w:rPr>
                <w:rFonts w:cs="Arial"/>
                <w:color w:val="000000"/>
                <w:sz w:val="18"/>
                <w:szCs w:val="18"/>
              </w:rPr>
              <w:t>2,464</w:t>
            </w:r>
          </w:p>
        </w:tc>
        <w:tc>
          <w:tcPr>
            <w:tcW w:w="592" w:type="pct"/>
            <w:tcBorders>
              <w:bottom w:val="single" w:sz="4" w:space="0" w:color="auto"/>
            </w:tcBorders>
            <w:noWrap/>
            <w:hideMark/>
          </w:tcPr>
          <w:p w14:paraId="3D91368B" w14:textId="77777777" w:rsidR="002C11DC" w:rsidRPr="00E04427"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E04427">
              <w:rPr>
                <w:rFonts w:cs="Arial"/>
                <w:color w:val="000000"/>
                <w:sz w:val="18"/>
                <w:szCs w:val="18"/>
              </w:rPr>
              <w:t>3,114</w:t>
            </w:r>
          </w:p>
        </w:tc>
        <w:tc>
          <w:tcPr>
            <w:tcW w:w="592" w:type="pct"/>
            <w:tcBorders>
              <w:bottom w:val="single" w:sz="4" w:space="0" w:color="auto"/>
            </w:tcBorders>
            <w:noWrap/>
            <w:hideMark/>
          </w:tcPr>
          <w:p w14:paraId="06E64179" w14:textId="77777777" w:rsidR="002C11DC" w:rsidRPr="00E04427"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E04427">
              <w:rPr>
                <w:rFonts w:cs="Arial"/>
                <w:color w:val="000000"/>
                <w:sz w:val="18"/>
                <w:szCs w:val="18"/>
              </w:rPr>
              <w:t>3,748</w:t>
            </w:r>
          </w:p>
        </w:tc>
        <w:tc>
          <w:tcPr>
            <w:tcW w:w="592" w:type="pct"/>
            <w:tcBorders>
              <w:bottom w:val="single" w:sz="4" w:space="0" w:color="auto"/>
              <w:right w:val="dotted" w:sz="4" w:space="0" w:color="auto"/>
            </w:tcBorders>
            <w:noWrap/>
            <w:hideMark/>
          </w:tcPr>
          <w:p w14:paraId="4A6A83AA" w14:textId="77777777" w:rsidR="002C11DC" w:rsidRPr="00E04427"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E04427">
              <w:rPr>
                <w:rFonts w:cs="Arial"/>
                <w:color w:val="000000"/>
                <w:sz w:val="18"/>
                <w:szCs w:val="18"/>
              </w:rPr>
              <w:t>4,367</w:t>
            </w:r>
          </w:p>
        </w:tc>
        <w:tc>
          <w:tcPr>
            <w:tcW w:w="590" w:type="pct"/>
            <w:tcBorders>
              <w:left w:val="dotted" w:sz="4" w:space="0" w:color="auto"/>
              <w:bottom w:val="single" w:sz="4" w:space="0" w:color="auto"/>
            </w:tcBorders>
            <w:noWrap/>
            <w:hideMark/>
          </w:tcPr>
          <w:p w14:paraId="734A0040" w14:textId="77777777" w:rsidR="002C11DC" w:rsidRPr="00E04427"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E04427">
              <w:rPr>
                <w:rFonts w:cs="Arial"/>
                <w:color w:val="000000"/>
                <w:sz w:val="18"/>
                <w:szCs w:val="18"/>
              </w:rPr>
              <w:t>8,378</w:t>
            </w:r>
          </w:p>
        </w:tc>
      </w:tr>
      <w:tr w:rsidR="002C11DC" w:rsidRPr="00947100" w14:paraId="2EA4ACA7"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41" w:type="pct"/>
            <w:tcBorders>
              <w:top w:val="single" w:sz="4" w:space="0" w:color="auto"/>
              <w:bottom w:val="single" w:sz="4" w:space="0" w:color="auto"/>
            </w:tcBorders>
            <w:shd w:val="clear" w:color="auto" w:fill="D4C5D7"/>
            <w:noWrap/>
            <w:hideMark/>
          </w:tcPr>
          <w:p w14:paraId="6FB53E7A" w14:textId="77777777" w:rsidR="002C11DC" w:rsidRPr="007E1DCF" w:rsidRDefault="002C11DC" w:rsidP="00446247">
            <w:pPr>
              <w:spacing w:after="0"/>
              <w:rPr>
                <w:rFonts w:cs="Arial"/>
                <w:b/>
                <w:color w:val="000000"/>
                <w:sz w:val="18"/>
                <w:szCs w:val="18"/>
              </w:rPr>
            </w:pPr>
            <w:r w:rsidRPr="007E1DCF">
              <w:rPr>
                <w:rFonts w:cs="Arial"/>
                <w:b/>
                <w:color w:val="000000"/>
                <w:sz w:val="18"/>
                <w:szCs w:val="18"/>
              </w:rPr>
              <w:t xml:space="preserve">Total </w:t>
            </w:r>
            <w:r>
              <w:rPr>
                <w:rFonts w:cs="Arial"/>
                <w:b/>
                <w:bCs/>
                <w:color w:val="000000"/>
                <w:sz w:val="18"/>
                <w:szCs w:val="18"/>
              </w:rPr>
              <w:t>Scheme expenses</w:t>
            </w:r>
            <w:r w:rsidRPr="007E1DCF">
              <w:rPr>
                <w:rFonts w:cs="Arial"/>
                <w:b/>
                <w:color w:val="000000"/>
                <w:sz w:val="18"/>
                <w:szCs w:val="18"/>
              </w:rPr>
              <w:t xml:space="preserve"> (cash basis)</w:t>
            </w:r>
          </w:p>
        </w:tc>
        <w:tc>
          <w:tcPr>
            <w:tcW w:w="592" w:type="pct"/>
            <w:tcBorders>
              <w:top w:val="single" w:sz="4" w:space="0" w:color="auto"/>
              <w:bottom w:val="single" w:sz="4" w:space="0" w:color="auto"/>
            </w:tcBorders>
            <w:shd w:val="clear" w:color="auto" w:fill="D4C5D7"/>
            <w:noWrap/>
            <w:hideMark/>
          </w:tcPr>
          <w:p w14:paraId="172AC323" w14:textId="77777777" w:rsidR="002C11DC" w:rsidRPr="007E1DCF"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E04427">
              <w:rPr>
                <w:rFonts w:cs="Arial"/>
                <w:b/>
                <w:bCs/>
                <w:color w:val="000000"/>
                <w:sz w:val="18"/>
                <w:szCs w:val="18"/>
              </w:rPr>
              <w:t>33,429</w:t>
            </w:r>
          </w:p>
        </w:tc>
        <w:tc>
          <w:tcPr>
            <w:tcW w:w="592" w:type="pct"/>
            <w:tcBorders>
              <w:top w:val="single" w:sz="4" w:space="0" w:color="auto"/>
              <w:bottom w:val="single" w:sz="4" w:space="0" w:color="auto"/>
            </w:tcBorders>
            <w:shd w:val="clear" w:color="auto" w:fill="D4C5D7"/>
            <w:noWrap/>
            <w:hideMark/>
          </w:tcPr>
          <w:p w14:paraId="5E8CD015" w14:textId="77777777" w:rsidR="002C11DC" w:rsidRPr="007E1DCF"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E04427">
              <w:rPr>
                <w:rFonts w:cs="Arial"/>
                <w:b/>
                <w:bCs/>
                <w:color w:val="000000"/>
                <w:sz w:val="18"/>
                <w:szCs w:val="18"/>
              </w:rPr>
              <w:t>37,459</w:t>
            </w:r>
          </w:p>
        </w:tc>
        <w:tc>
          <w:tcPr>
            <w:tcW w:w="592" w:type="pct"/>
            <w:tcBorders>
              <w:top w:val="single" w:sz="4" w:space="0" w:color="auto"/>
              <w:bottom w:val="single" w:sz="4" w:space="0" w:color="auto"/>
            </w:tcBorders>
            <w:shd w:val="clear" w:color="auto" w:fill="D4C5D7"/>
            <w:noWrap/>
            <w:hideMark/>
          </w:tcPr>
          <w:p w14:paraId="5B17A293" w14:textId="77777777" w:rsidR="002C11DC" w:rsidRPr="007E1DCF"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E04427">
              <w:rPr>
                <w:rFonts w:cs="Arial"/>
                <w:b/>
                <w:bCs/>
                <w:color w:val="000000"/>
                <w:sz w:val="18"/>
                <w:szCs w:val="18"/>
              </w:rPr>
              <w:t>40,814</w:t>
            </w:r>
          </w:p>
        </w:tc>
        <w:tc>
          <w:tcPr>
            <w:tcW w:w="592" w:type="pct"/>
            <w:tcBorders>
              <w:top w:val="single" w:sz="4" w:space="0" w:color="auto"/>
              <w:bottom w:val="single" w:sz="4" w:space="0" w:color="auto"/>
              <w:right w:val="dotted" w:sz="4" w:space="0" w:color="auto"/>
            </w:tcBorders>
            <w:shd w:val="clear" w:color="auto" w:fill="D4C5D7"/>
            <w:noWrap/>
            <w:hideMark/>
          </w:tcPr>
          <w:p w14:paraId="34C4BF4A" w14:textId="77777777" w:rsidR="002C11DC" w:rsidRPr="007E1DCF"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E04427">
              <w:rPr>
                <w:rFonts w:cs="Arial"/>
                <w:b/>
                <w:bCs/>
                <w:color w:val="000000"/>
                <w:sz w:val="18"/>
                <w:szCs w:val="18"/>
              </w:rPr>
              <w:t>43,950</w:t>
            </w:r>
          </w:p>
        </w:tc>
        <w:tc>
          <w:tcPr>
            <w:tcW w:w="590" w:type="pct"/>
            <w:tcBorders>
              <w:top w:val="single" w:sz="4" w:space="0" w:color="auto"/>
              <w:left w:val="dotted" w:sz="4" w:space="0" w:color="auto"/>
              <w:bottom w:val="single" w:sz="4" w:space="0" w:color="auto"/>
            </w:tcBorders>
            <w:shd w:val="clear" w:color="auto" w:fill="D4C5D7"/>
            <w:noWrap/>
            <w:hideMark/>
          </w:tcPr>
          <w:p w14:paraId="7AEB4435" w14:textId="77777777" w:rsidR="002C11DC" w:rsidRPr="007E1DCF"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E04427">
              <w:rPr>
                <w:rFonts w:cs="Arial"/>
                <w:b/>
                <w:bCs/>
                <w:color w:val="000000"/>
                <w:sz w:val="18"/>
                <w:szCs w:val="18"/>
              </w:rPr>
              <w:t>67,129</w:t>
            </w:r>
          </w:p>
        </w:tc>
      </w:tr>
      <w:tr w:rsidR="002C11DC" w:rsidRPr="00947100" w14:paraId="22382284" w14:textId="77777777" w:rsidTr="00DA3F73">
        <w:trPr>
          <w:trHeight w:val="301"/>
        </w:trPr>
        <w:tc>
          <w:tcPr>
            <w:cnfStyle w:val="001000000000" w:firstRow="0" w:lastRow="0" w:firstColumn="1" w:lastColumn="0" w:oddVBand="0" w:evenVBand="0" w:oddHBand="0" w:evenHBand="0" w:firstRowFirstColumn="0" w:firstRowLastColumn="0" w:lastRowFirstColumn="0" w:lastRowLastColumn="0"/>
            <w:tcW w:w="2041" w:type="pct"/>
            <w:tcBorders>
              <w:top w:val="single" w:sz="4" w:space="0" w:color="auto"/>
            </w:tcBorders>
            <w:noWrap/>
            <w:hideMark/>
          </w:tcPr>
          <w:p w14:paraId="7E803ED5" w14:textId="77777777" w:rsidR="002C11DC" w:rsidRPr="007E1DCF" w:rsidRDefault="002C11DC" w:rsidP="00446247">
            <w:pPr>
              <w:spacing w:after="0"/>
              <w:rPr>
                <w:rFonts w:cs="Arial"/>
                <w:b/>
                <w:i/>
                <w:color w:val="000000"/>
                <w:sz w:val="18"/>
                <w:szCs w:val="18"/>
              </w:rPr>
            </w:pPr>
            <w:r w:rsidRPr="007E1DCF">
              <w:rPr>
                <w:rFonts w:cs="Arial"/>
                <w:b/>
                <w:color w:val="000000"/>
                <w:sz w:val="18"/>
                <w:szCs w:val="18"/>
              </w:rPr>
              <w:t>Difference</w:t>
            </w:r>
            <w:r w:rsidRPr="007E1DCF">
              <w:rPr>
                <w:rFonts w:cs="Arial"/>
                <w:b/>
                <w:i/>
                <w:color w:val="000000"/>
                <w:sz w:val="18"/>
                <w:szCs w:val="18"/>
              </w:rPr>
              <w:t> </w:t>
            </w:r>
          </w:p>
        </w:tc>
        <w:tc>
          <w:tcPr>
            <w:tcW w:w="592" w:type="pct"/>
            <w:tcBorders>
              <w:top w:val="single" w:sz="4" w:space="0" w:color="auto"/>
            </w:tcBorders>
            <w:noWrap/>
            <w:hideMark/>
          </w:tcPr>
          <w:p w14:paraId="18F76C1D" w14:textId="77777777" w:rsidR="002C11DC" w:rsidRPr="007E1DCF"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b/>
                <w:i/>
                <w:color w:val="000000"/>
                <w:sz w:val="18"/>
                <w:szCs w:val="18"/>
              </w:rPr>
            </w:pPr>
            <w:r w:rsidRPr="007E1DCF">
              <w:rPr>
                <w:rFonts w:cs="Arial"/>
                <w:b/>
                <w:i/>
                <w:color w:val="000000"/>
                <w:sz w:val="18"/>
                <w:szCs w:val="18"/>
              </w:rPr>
              <w:t> </w:t>
            </w:r>
          </w:p>
        </w:tc>
        <w:tc>
          <w:tcPr>
            <w:tcW w:w="592" w:type="pct"/>
            <w:tcBorders>
              <w:top w:val="single" w:sz="4" w:space="0" w:color="auto"/>
            </w:tcBorders>
            <w:noWrap/>
            <w:hideMark/>
          </w:tcPr>
          <w:p w14:paraId="66FB5C64" w14:textId="77777777" w:rsidR="002C11DC" w:rsidRPr="007E1DCF"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b/>
                <w:i/>
                <w:color w:val="000000"/>
                <w:sz w:val="18"/>
                <w:szCs w:val="18"/>
              </w:rPr>
            </w:pPr>
            <w:r w:rsidRPr="007E1DCF">
              <w:rPr>
                <w:rFonts w:cs="Arial"/>
                <w:b/>
                <w:i/>
                <w:color w:val="000000"/>
                <w:sz w:val="18"/>
                <w:szCs w:val="18"/>
              </w:rPr>
              <w:t> </w:t>
            </w:r>
          </w:p>
        </w:tc>
        <w:tc>
          <w:tcPr>
            <w:tcW w:w="592" w:type="pct"/>
            <w:tcBorders>
              <w:top w:val="single" w:sz="4" w:space="0" w:color="auto"/>
            </w:tcBorders>
            <w:noWrap/>
            <w:hideMark/>
          </w:tcPr>
          <w:p w14:paraId="54144996" w14:textId="77777777" w:rsidR="002C11DC" w:rsidRPr="007E1DCF"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b/>
                <w:i/>
                <w:color w:val="000000"/>
                <w:sz w:val="18"/>
                <w:szCs w:val="18"/>
              </w:rPr>
            </w:pPr>
            <w:r w:rsidRPr="007E1DCF">
              <w:rPr>
                <w:rFonts w:cs="Arial"/>
                <w:b/>
                <w:i/>
                <w:color w:val="000000"/>
                <w:sz w:val="18"/>
                <w:szCs w:val="18"/>
              </w:rPr>
              <w:t> </w:t>
            </w:r>
          </w:p>
        </w:tc>
        <w:tc>
          <w:tcPr>
            <w:tcW w:w="592" w:type="pct"/>
            <w:tcBorders>
              <w:top w:val="single" w:sz="4" w:space="0" w:color="auto"/>
              <w:right w:val="dotted" w:sz="4" w:space="0" w:color="auto"/>
            </w:tcBorders>
            <w:noWrap/>
            <w:hideMark/>
          </w:tcPr>
          <w:p w14:paraId="2957D07E" w14:textId="77777777" w:rsidR="002C11DC" w:rsidRPr="007E1DCF"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b/>
                <w:i/>
                <w:color w:val="000000"/>
                <w:sz w:val="18"/>
                <w:szCs w:val="18"/>
              </w:rPr>
            </w:pPr>
            <w:r w:rsidRPr="007E1DCF">
              <w:rPr>
                <w:rFonts w:cs="Arial"/>
                <w:b/>
                <w:i/>
                <w:color w:val="000000"/>
                <w:sz w:val="18"/>
                <w:szCs w:val="18"/>
              </w:rPr>
              <w:t> </w:t>
            </w:r>
          </w:p>
        </w:tc>
        <w:tc>
          <w:tcPr>
            <w:tcW w:w="590" w:type="pct"/>
            <w:tcBorders>
              <w:top w:val="single" w:sz="4" w:space="0" w:color="auto"/>
              <w:left w:val="dotted" w:sz="4" w:space="0" w:color="auto"/>
            </w:tcBorders>
            <w:noWrap/>
            <w:hideMark/>
          </w:tcPr>
          <w:p w14:paraId="28E632D0" w14:textId="77777777" w:rsidR="002C11DC" w:rsidRPr="007E1DCF"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b/>
                <w:i/>
                <w:color w:val="000000"/>
                <w:sz w:val="18"/>
                <w:szCs w:val="18"/>
              </w:rPr>
            </w:pPr>
            <w:r w:rsidRPr="007E1DCF">
              <w:rPr>
                <w:rFonts w:cs="Arial"/>
                <w:b/>
                <w:i/>
                <w:color w:val="000000"/>
                <w:sz w:val="18"/>
                <w:szCs w:val="18"/>
              </w:rPr>
              <w:t> </w:t>
            </w:r>
          </w:p>
        </w:tc>
      </w:tr>
      <w:tr w:rsidR="002C11DC" w:rsidRPr="00947100" w14:paraId="432A6AD3"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41" w:type="pct"/>
            <w:noWrap/>
            <w:hideMark/>
          </w:tcPr>
          <w:p w14:paraId="5E90EA55" w14:textId="77777777" w:rsidR="002C11DC" w:rsidRPr="00E04427" w:rsidRDefault="002C11DC" w:rsidP="00446247">
            <w:pPr>
              <w:spacing w:after="0"/>
              <w:rPr>
                <w:rFonts w:cs="Arial"/>
                <w:color w:val="000000"/>
                <w:sz w:val="18"/>
                <w:szCs w:val="18"/>
              </w:rPr>
            </w:pPr>
            <w:r>
              <w:rPr>
                <w:rFonts w:cs="Arial"/>
                <w:color w:val="000000"/>
                <w:sz w:val="18"/>
                <w:szCs w:val="18"/>
              </w:rPr>
              <w:t>Scheme expenses</w:t>
            </w:r>
            <w:r w:rsidRPr="00E04427">
              <w:rPr>
                <w:rFonts w:cs="Arial"/>
                <w:color w:val="000000"/>
                <w:sz w:val="18"/>
                <w:szCs w:val="18"/>
              </w:rPr>
              <w:t xml:space="preserve"> (cash basis)</w:t>
            </w:r>
          </w:p>
        </w:tc>
        <w:tc>
          <w:tcPr>
            <w:tcW w:w="592" w:type="pct"/>
            <w:noWrap/>
            <w:hideMark/>
          </w:tcPr>
          <w:p w14:paraId="787AAA8C" w14:textId="77777777" w:rsidR="002C11DC" w:rsidRPr="007E1DCF"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7E1DCF">
              <w:rPr>
                <w:rFonts w:cs="Arial"/>
                <w:i/>
                <w:color w:val="000000"/>
                <w:sz w:val="18"/>
                <w:szCs w:val="18"/>
              </w:rPr>
              <w:t> </w:t>
            </w:r>
          </w:p>
        </w:tc>
        <w:tc>
          <w:tcPr>
            <w:tcW w:w="592" w:type="pct"/>
            <w:noWrap/>
            <w:hideMark/>
          </w:tcPr>
          <w:p w14:paraId="14EDBDBD" w14:textId="77777777" w:rsidR="002C11DC" w:rsidRPr="007E1DCF"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7E1DCF">
              <w:rPr>
                <w:rFonts w:cs="Arial"/>
                <w:i/>
                <w:color w:val="000000"/>
                <w:sz w:val="18"/>
                <w:szCs w:val="18"/>
              </w:rPr>
              <w:t> </w:t>
            </w:r>
          </w:p>
        </w:tc>
        <w:tc>
          <w:tcPr>
            <w:tcW w:w="592" w:type="pct"/>
            <w:noWrap/>
            <w:hideMark/>
          </w:tcPr>
          <w:p w14:paraId="7F94BF51" w14:textId="77777777" w:rsidR="002C11DC" w:rsidRPr="007E1DCF"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7E1DCF">
              <w:rPr>
                <w:rFonts w:cs="Arial"/>
                <w:i/>
                <w:color w:val="000000"/>
                <w:sz w:val="18"/>
                <w:szCs w:val="18"/>
              </w:rPr>
              <w:t> </w:t>
            </w:r>
          </w:p>
        </w:tc>
        <w:tc>
          <w:tcPr>
            <w:tcW w:w="592" w:type="pct"/>
            <w:tcBorders>
              <w:right w:val="dotted" w:sz="4" w:space="0" w:color="auto"/>
            </w:tcBorders>
            <w:noWrap/>
            <w:hideMark/>
          </w:tcPr>
          <w:p w14:paraId="087C8775" w14:textId="77777777" w:rsidR="002C11DC" w:rsidRPr="007E1DCF"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7E1DCF">
              <w:rPr>
                <w:rFonts w:cs="Arial"/>
                <w:i/>
                <w:color w:val="000000"/>
                <w:sz w:val="18"/>
                <w:szCs w:val="18"/>
              </w:rPr>
              <w:t> </w:t>
            </w:r>
          </w:p>
        </w:tc>
        <w:tc>
          <w:tcPr>
            <w:tcW w:w="590" w:type="pct"/>
            <w:tcBorders>
              <w:left w:val="dotted" w:sz="4" w:space="0" w:color="auto"/>
            </w:tcBorders>
            <w:noWrap/>
            <w:hideMark/>
          </w:tcPr>
          <w:p w14:paraId="2C653EE4" w14:textId="77777777" w:rsidR="002C11DC" w:rsidRPr="007E1DCF"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7E1DCF">
              <w:rPr>
                <w:rFonts w:cs="Arial"/>
                <w:i/>
                <w:color w:val="000000"/>
                <w:sz w:val="18"/>
                <w:szCs w:val="18"/>
              </w:rPr>
              <w:t> </w:t>
            </w:r>
          </w:p>
        </w:tc>
      </w:tr>
      <w:tr w:rsidR="002C11DC" w:rsidRPr="00947100" w14:paraId="18B23E1E" w14:textId="77777777" w:rsidTr="00DA3F73">
        <w:trPr>
          <w:trHeight w:val="301"/>
        </w:trPr>
        <w:tc>
          <w:tcPr>
            <w:cnfStyle w:val="001000000000" w:firstRow="0" w:lastRow="0" w:firstColumn="1" w:lastColumn="0" w:oddVBand="0" w:evenVBand="0" w:oddHBand="0" w:evenHBand="0" w:firstRowFirstColumn="0" w:firstRowLastColumn="0" w:lastRowFirstColumn="0" w:lastRowLastColumn="0"/>
            <w:tcW w:w="2041" w:type="pct"/>
            <w:noWrap/>
            <w:hideMark/>
          </w:tcPr>
          <w:p w14:paraId="4D50EAC2" w14:textId="77777777" w:rsidR="002C11DC" w:rsidRPr="00E04427" w:rsidRDefault="002C11DC" w:rsidP="00446247">
            <w:pPr>
              <w:spacing w:after="0"/>
              <w:rPr>
                <w:rFonts w:cs="Arial"/>
                <w:color w:val="000000"/>
                <w:sz w:val="18"/>
                <w:szCs w:val="18"/>
              </w:rPr>
            </w:pPr>
            <w:r w:rsidRPr="00E04427">
              <w:rPr>
                <w:rFonts w:cs="Arial"/>
                <w:color w:val="000000"/>
                <w:sz w:val="18"/>
                <w:szCs w:val="18"/>
              </w:rPr>
              <w:t>0-64 years</w:t>
            </w:r>
          </w:p>
        </w:tc>
        <w:tc>
          <w:tcPr>
            <w:tcW w:w="592" w:type="pct"/>
            <w:noWrap/>
            <w:hideMark/>
          </w:tcPr>
          <w:p w14:paraId="344AE09B" w14:textId="77777777" w:rsidR="002C11DC" w:rsidRPr="00E04427"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E04427">
              <w:rPr>
                <w:rFonts w:cs="Arial"/>
                <w:color w:val="000000"/>
                <w:sz w:val="18"/>
                <w:szCs w:val="18"/>
              </w:rPr>
              <w:t>-34</w:t>
            </w:r>
          </w:p>
        </w:tc>
        <w:tc>
          <w:tcPr>
            <w:tcW w:w="592" w:type="pct"/>
            <w:noWrap/>
            <w:hideMark/>
          </w:tcPr>
          <w:p w14:paraId="379762C4" w14:textId="77777777" w:rsidR="002C11DC" w:rsidRPr="00E04427"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E9214D">
              <w:rPr>
                <w:rFonts w:cs="Arial"/>
                <w:color w:val="000000"/>
                <w:sz w:val="18"/>
                <w:szCs w:val="18"/>
              </w:rPr>
              <w:t>12</w:t>
            </w:r>
          </w:p>
        </w:tc>
        <w:tc>
          <w:tcPr>
            <w:tcW w:w="592" w:type="pct"/>
            <w:noWrap/>
            <w:hideMark/>
          </w:tcPr>
          <w:p w14:paraId="45B4C57B" w14:textId="77777777" w:rsidR="002C11DC" w:rsidRPr="00E04427"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E9214D">
              <w:rPr>
                <w:rFonts w:cs="Arial"/>
                <w:color w:val="000000"/>
                <w:sz w:val="18"/>
                <w:szCs w:val="18"/>
              </w:rPr>
              <w:t>2,297</w:t>
            </w:r>
          </w:p>
        </w:tc>
        <w:tc>
          <w:tcPr>
            <w:tcW w:w="592" w:type="pct"/>
            <w:tcBorders>
              <w:right w:val="dotted" w:sz="4" w:space="0" w:color="auto"/>
            </w:tcBorders>
            <w:noWrap/>
            <w:hideMark/>
          </w:tcPr>
          <w:p w14:paraId="4308D613" w14:textId="77777777" w:rsidR="002C11DC" w:rsidRPr="00E04427"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E9214D">
              <w:rPr>
                <w:rFonts w:cs="Arial"/>
                <w:color w:val="000000"/>
                <w:sz w:val="18"/>
                <w:szCs w:val="18"/>
              </w:rPr>
              <w:t>4,936</w:t>
            </w:r>
          </w:p>
        </w:tc>
        <w:tc>
          <w:tcPr>
            <w:tcW w:w="590" w:type="pct"/>
            <w:tcBorders>
              <w:left w:val="dotted" w:sz="4" w:space="0" w:color="auto"/>
            </w:tcBorders>
            <w:noWrap/>
            <w:hideMark/>
          </w:tcPr>
          <w:p w14:paraId="4509814D" w14:textId="77777777" w:rsidR="002C11DC" w:rsidRPr="00E04427"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24890">
              <w:rPr>
                <w:rFonts w:cs="Arial"/>
                <w:color w:val="000000"/>
                <w:sz w:val="18"/>
                <w:szCs w:val="18"/>
              </w:rPr>
              <w:t>17,950</w:t>
            </w:r>
          </w:p>
        </w:tc>
      </w:tr>
      <w:tr w:rsidR="002C11DC" w:rsidRPr="00947100" w14:paraId="0C5B5D3D"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41" w:type="pct"/>
            <w:tcBorders>
              <w:bottom w:val="single" w:sz="4" w:space="0" w:color="auto"/>
            </w:tcBorders>
            <w:noWrap/>
            <w:hideMark/>
          </w:tcPr>
          <w:p w14:paraId="0905C1E5" w14:textId="77777777" w:rsidR="002C11DC" w:rsidRPr="00E04427" w:rsidRDefault="002C11DC" w:rsidP="00446247">
            <w:pPr>
              <w:spacing w:after="0"/>
              <w:rPr>
                <w:rFonts w:cs="Arial"/>
                <w:color w:val="000000"/>
                <w:sz w:val="18"/>
                <w:szCs w:val="18"/>
              </w:rPr>
            </w:pPr>
            <w:r w:rsidRPr="00E04427">
              <w:rPr>
                <w:rFonts w:cs="Arial"/>
                <w:color w:val="000000"/>
                <w:sz w:val="18"/>
                <w:szCs w:val="18"/>
              </w:rPr>
              <w:t>65+ years</w:t>
            </w:r>
          </w:p>
        </w:tc>
        <w:tc>
          <w:tcPr>
            <w:tcW w:w="592" w:type="pct"/>
            <w:tcBorders>
              <w:bottom w:val="single" w:sz="4" w:space="0" w:color="auto"/>
            </w:tcBorders>
            <w:noWrap/>
            <w:hideMark/>
          </w:tcPr>
          <w:p w14:paraId="3CEC1C1F" w14:textId="77777777" w:rsidR="002C11DC" w:rsidRPr="00E04427"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04427">
              <w:rPr>
                <w:rFonts w:cs="Arial"/>
                <w:color w:val="000000"/>
                <w:sz w:val="18"/>
                <w:szCs w:val="18"/>
              </w:rPr>
              <w:t>80</w:t>
            </w:r>
          </w:p>
        </w:tc>
        <w:tc>
          <w:tcPr>
            <w:tcW w:w="592" w:type="pct"/>
            <w:tcBorders>
              <w:bottom w:val="single" w:sz="4" w:space="0" w:color="auto"/>
            </w:tcBorders>
            <w:noWrap/>
            <w:hideMark/>
          </w:tcPr>
          <w:p w14:paraId="48FFB85D" w14:textId="77777777" w:rsidR="002C11DC" w:rsidRPr="00E04427"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9214D">
              <w:rPr>
                <w:rFonts w:cs="Arial"/>
                <w:color w:val="000000"/>
                <w:sz w:val="18"/>
                <w:szCs w:val="18"/>
              </w:rPr>
              <w:t>96</w:t>
            </w:r>
          </w:p>
        </w:tc>
        <w:tc>
          <w:tcPr>
            <w:tcW w:w="592" w:type="pct"/>
            <w:tcBorders>
              <w:bottom w:val="single" w:sz="4" w:space="0" w:color="auto"/>
            </w:tcBorders>
            <w:noWrap/>
            <w:hideMark/>
          </w:tcPr>
          <w:p w14:paraId="15509F3B" w14:textId="77777777" w:rsidR="002C11DC" w:rsidRPr="00E04427"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9214D">
              <w:rPr>
                <w:rFonts w:cs="Arial"/>
                <w:color w:val="000000"/>
                <w:sz w:val="18"/>
                <w:szCs w:val="18"/>
              </w:rPr>
              <w:t>351</w:t>
            </w:r>
          </w:p>
        </w:tc>
        <w:tc>
          <w:tcPr>
            <w:tcW w:w="592" w:type="pct"/>
            <w:tcBorders>
              <w:bottom w:val="single" w:sz="4" w:space="0" w:color="auto"/>
              <w:right w:val="dotted" w:sz="4" w:space="0" w:color="auto"/>
            </w:tcBorders>
            <w:noWrap/>
            <w:hideMark/>
          </w:tcPr>
          <w:p w14:paraId="50F94CEF" w14:textId="77777777" w:rsidR="002C11DC" w:rsidRPr="00E04427"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9214D">
              <w:rPr>
                <w:rFonts w:cs="Arial"/>
                <w:color w:val="000000"/>
                <w:sz w:val="18"/>
                <w:szCs w:val="18"/>
              </w:rPr>
              <w:t>713</w:t>
            </w:r>
          </w:p>
        </w:tc>
        <w:tc>
          <w:tcPr>
            <w:tcW w:w="590" w:type="pct"/>
            <w:tcBorders>
              <w:left w:val="dotted" w:sz="4" w:space="0" w:color="auto"/>
              <w:bottom w:val="single" w:sz="4" w:space="0" w:color="auto"/>
            </w:tcBorders>
            <w:noWrap/>
            <w:hideMark/>
          </w:tcPr>
          <w:p w14:paraId="07095700" w14:textId="77777777" w:rsidR="002C11DC" w:rsidRPr="00E04427"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F24890">
              <w:rPr>
                <w:rFonts w:cs="Arial"/>
                <w:color w:val="000000"/>
                <w:sz w:val="18"/>
                <w:szCs w:val="18"/>
              </w:rPr>
              <w:t>3,011</w:t>
            </w:r>
          </w:p>
        </w:tc>
      </w:tr>
      <w:tr w:rsidR="002C11DC" w:rsidRPr="00947100" w14:paraId="14B55545" w14:textId="77777777" w:rsidTr="00DA3F73">
        <w:trPr>
          <w:trHeight w:val="301"/>
        </w:trPr>
        <w:tc>
          <w:tcPr>
            <w:cnfStyle w:val="001000000000" w:firstRow="0" w:lastRow="0" w:firstColumn="1" w:lastColumn="0" w:oddVBand="0" w:evenVBand="0" w:oddHBand="0" w:evenHBand="0" w:firstRowFirstColumn="0" w:firstRowLastColumn="0" w:lastRowFirstColumn="0" w:lastRowLastColumn="0"/>
            <w:tcW w:w="2041" w:type="pct"/>
            <w:tcBorders>
              <w:top w:val="single" w:sz="4" w:space="0" w:color="auto"/>
              <w:bottom w:val="single" w:sz="4" w:space="0" w:color="auto"/>
            </w:tcBorders>
            <w:shd w:val="clear" w:color="auto" w:fill="D4C5D7"/>
            <w:noWrap/>
            <w:hideMark/>
          </w:tcPr>
          <w:p w14:paraId="2814B684" w14:textId="77777777" w:rsidR="002C11DC" w:rsidRPr="007E1DCF" w:rsidRDefault="002C11DC" w:rsidP="00446247">
            <w:pPr>
              <w:spacing w:after="0"/>
              <w:rPr>
                <w:rFonts w:cs="Arial"/>
                <w:b/>
                <w:color w:val="000000"/>
                <w:sz w:val="18"/>
                <w:szCs w:val="18"/>
              </w:rPr>
            </w:pPr>
            <w:r w:rsidRPr="007E1DCF">
              <w:rPr>
                <w:rFonts w:cs="Arial"/>
                <w:b/>
                <w:color w:val="000000"/>
                <w:sz w:val="18"/>
                <w:szCs w:val="18"/>
              </w:rPr>
              <w:t xml:space="preserve">Total </w:t>
            </w:r>
            <w:r>
              <w:rPr>
                <w:rFonts w:cs="Arial"/>
                <w:b/>
                <w:bCs/>
                <w:color w:val="000000"/>
                <w:sz w:val="18"/>
                <w:szCs w:val="18"/>
              </w:rPr>
              <w:t>Scheme expenses</w:t>
            </w:r>
            <w:r w:rsidRPr="007E1DCF">
              <w:rPr>
                <w:rFonts w:cs="Arial"/>
                <w:b/>
                <w:color w:val="000000"/>
                <w:sz w:val="18"/>
                <w:szCs w:val="18"/>
              </w:rPr>
              <w:t xml:space="preserve"> (cash basis)</w:t>
            </w:r>
          </w:p>
        </w:tc>
        <w:tc>
          <w:tcPr>
            <w:tcW w:w="592" w:type="pct"/>
            <w:tcBorders>
              <w:top w:val="single" w:sz="4" w:space="0" w:color="auto"/>
              <w:bottom w:val="single" w:sz="4" w:space="0" w:color="auto"/>
            </w:tcBorders>
            <w:shd w:val="clear" w:color="auto" w:fill="D4C5D7"/>
            <w:noWrap/>
            <w:hideMark/>
          </w:tcPr>
          <w:p w14:paraId="3DAAB920" w14:textId="77777777" w:rsidR="002C11DC" w:rsidRPr="007E1DCF"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E04427">
              <w:rPr>
                <w:rFonts w:cs="Arial"/>
                <w:b/>
                <w:bCs/>
                <w:color w:val="000000"/>
                <w:sz w:val="18"/>
                <w:szCs w:val="18"/>
              </w:rPr>
              <w:t>46</w:t>
            </w:r>
          </w:p>
        </w:tc>
        <w:tc>
          <w:tcPr>
            <w:tcW w:w="592" w:type="pct"/>
            <w:tcBorders>
              <w:top w:val="single" w:sz="4" w:space="0" w:color="auto"/>
              <w:bottom w:val="single" w:sz="4" w:space="0" w:color="auto"/>
            </w:tcBorders>
            <w:shd w:val="clear" w:color="auto" w:fill="D4C5D7"/>
            <w:noWrap/>
            <w:hideMark/>
          </w:tcPr>
          <w:p w14:paraId="598CCBED" w14:textId="77777777" w:rsidR="002C11DC" w:rsidRPr="007E1DCF"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7E1DCF">
              <w:rPr>
                <w:rFonts w:cs="Arial"/>
                <w:b/>
                <w:color w:val="000000"/>
                <w:sz w:val="18"/>
                <w:szCs w:val="18"/>
              </w:rPr>
              <w:t>109</w:t>
            </w:r>
          </w:p>
        </w:tc>
        <w:tc>
          <w:tcPr>
            <w:tcW w:w="592" w:type="pct"/>
            <w:tcBorders>
              <w:top w:val="single" w:sz="4" w:space="0" w:color="auto"/>
              <w:bottom w:val="single" w:sz="4" w:space="0" w:color="auto"/>
            </w:tcBorders>
            <w:shd w:val="clear" w:color="auto" w:fill="D4C5D7"/>
            <w:noWrap/>
            <w:hideMark/>
          </w:tcPr>
          <w:p w14:paraId="097831FF" w14:textId="77777777" w:rsidR="002C11DC" w:rsidRPr="007E1DCF"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7E1DCF">
              <w:rPr>
                <w:rFonts w:cs="Arial"/>
                <w:b/>
                <w:color w:val="000000"/>
                <w:sz w:val="18"/>
                <w:szCs w:val="18"/>
              </w:rPr>
              <w:t>2,648</w:t>
            </w:r>
          </w:p>
        </w:tc>
        <w:tc>
          <w:tcPr>
            <w:tcW w:w="592" w:type="pct"/>
            <w:tcBorders>
              <w:top w:val="single" w:sz="4" w:space="0" w:color="auto"/>
              <w:bottom w:val="single" w:sz="4" w:space="0" w:color="auto"/>
              <w:right w:val="dotted" w:sz="4" w:space="0" w:color="auto"/>
            </w:tcBorders>
            <w:shd w:val="clear" w:color="auto" w:fill="D4C5D7"/>
            <w:noWrap/>
            <w:hideMark/>
          </w:tcPr>
          <w:p w14:paraId="6322B084" w14:textId="77777777" w:rsidR="002C11DC" w:rsidRPr="007E1DCF"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7E1DCF">
              <w:rPr>
                <w:rFonts w:cs="Arial"/>
                <w:b/>
                <w:color w:val="000000"/>
                <w:sz w:val="18"/>
                <w:szCs w:val="18"/>
              </w:rPr>
              <w:t>5,649</w:t>
            </w:r>
          </w:p>
        </w:tc>
        <w:tc>
          <w:tcPr>
            <w:tcW w:w="590" w:type="pct"/>
            <w:tcBorders>
              <w:top w:val="single" w:sz="4" w:space="0" w:color="auto"/>
              <w:left w:val="dotted" w:sz="4" w:space="0" w:color="auto"/>
              <w:bottom w:val="single" w:sz="4" w:space="0" w:color="auto"/>
            </w:tcBorders>
            <w:shd w:val="clear" w:color="auto" w:fill="D4C5D7"/>
            <w:noWrap/>
            <w:hideMark/>
          </w:tcPr>
          <w:p w14:paraId="44DAB096" w14:textId="77777777" w:rsidR="002C11DC" w:rsidRPr="007E1DCF"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7E1DCF">
              <w:rPr>
                <w:rFonts w:cs="Arial"/>
                <w:b/>
                <w:color w:val="000000"/>
                <w:sz w:val="18"/>
                <w:szCs w:val="18"/>
              </w:rPr>
              <w:t>20,960</w:t>
            </w:r>
          </w:p>
        </w:tc>
      </w:tr>
      <w:tr w:rsidR="002C11DC" w:rsidRPr="00947100" w14:paraId="083BAC01"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41" w:type="pct"/>
            <w:tcBorders>
              <w:top w:val="single" w:sz="4" w:space="0" w:color="auto"/>
            </w:tcBorders>
            <w:noWrap/>
            <w:hideMark/>
          </w:tcPr>
          <w:p w14:paraId="0B94E554" w14:textId="77777777" w:rsidR="002C11DC" w:rsidRPr="007E1DCF" w:rsidRDefault="002C11DC" w:rsidP="00446247">
            <w:pPr>
              <w:spacing w:after="0"/>
              <w:rPr>
                <w:rFonts w:cs="Arial"/>
                <w:b/>
                <w:color w:val="000000"/>
                <w:sz w:val="18"/>
                <w:szCs w:val="18"/>
              </w:rPr>
            </w:pPr>
            <w:r w:rsidRPr="007E1DCF">
              <w:rPr>
                <w:rFonts w:cs="Arial"/>
                <w:b/>
                <w:color w:val="000000"/>
                <w:sz w:val="18"/>
                <w:szCs w:val="18"/>
              </w:rPr>
              <w:t>% Difference</w:t>
            </w:r>
          </w:p>
        </w:tc>
        <w:tc>
          <w:tcPr>
            <w:tcW w:w="592" w:type="pct"/>
            <w:tcBorders>
              <w:top w:val="single" w:sz="4" w:space="0" w:color="auto"/>
            </w:tcBorders>
            <w:noWrap/>
            <w:hideMark/>
          </w:tcPr>
          <w:p w14:paraId="6A2E6FE6" w14:textId="77777777" w:rsidR="002C11DC" w:rsidRPr="007E1DCF"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b/>
                <w:i/>
                <w:color w:val="000000"/>
                <w:sz w:val="18"/>
                <w:szCs w:val="18"/>
              </w:rPr>
            </w:pPr>
            <w:r w:rsidRPr="007E1DCF">
              <w:rPr>
                <w:rFonts w:cs="Arial"/>
                <w:b/>
                <w:i/>
                <w:color w:val="000000"/>
                <w:sz w:val="18"/>
                <w:szCs w:val="18"/>
              </w:rPr>
              <w:t> </w:t>
            </w:r>
          </w:p>
        </w:tc>
        <w:tc>
          <w:tcPr>
            <w:tcW w:w="592" w:type="pct"/>
            <w:tcBorders>
              <w:top w:val="single" w:sz="4" w:space="0" w:color="auto"/>
            </w:tcBorders>
            <w:noWrap/>
            <w:hideMark/>
          </w:tcPr>
          <w:p w14:paraId="1287C717" w14:textId="77777777" w:rsidR="002C11DC" w:rsidRPr="00E9214D"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p>
        </w:tc>
        <w:tc>
          <w:tcPr>
            <w:tcW w:w="592" w:type="pct"/>
            <w:tcBorders>
              <w:top w:val="single" w:sz="4" w:space="0" w:color="auto"/>
            </w:tcBorders>
            <w:noWrap/>
            <w:hideMark/>
          </w:tcPr>
          <w:p w14:paraId="7DED6C7B" w14:textId="77777777" w:rsidR="002C11DC" w:rsidRPr="00E9214D"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p>
        </w:tc>
        <w:tc>
          <w:tcPr>
            <w:tcW w:w="592" w:type="pct"/>
            <w:tcBorders>
              <w:top w:val="single" w:sz="4" w:space="0" w:color="auto"/>
              <w:right w:val="dotted" w:sz="4" w:space="0" w:color="auto"/>
            </w:tcBorders>
            <w:noWrap/>
            <w:hideMark/>
          </w:tcPr>
          <w:p w14:paraId="1867B48E" w14:textId="77777777" w:rsidR="002C11DC" w:rsidRPr="00E9214D"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p>
        </w:tc>
        <w:tc>
          <w:tcPr>
            <w:tcW w:w="590" w:type="pct"/>
            <w:tcBorders>
              <w:top w:val="single" w:sz="4" w:space="0" w:color="auto"/>
              <w:left w:val="dotted" w:sz="4" w:space="0" w:color="auto"/>
            </w:tcBorders>
            <w:noWrap/>
            <w:hideMark/>
          </w:tcPr>
          <w:p w14:paraId="5D866774" w14:textId="77777777" w:rsidR="002C11DC" w:rsidRPr="00F24890"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p>
        </w:tc>
      </w:tr>
      <w:tr w:rsidR="002C11DC" w:rsidRPr="00947100" w14:paraId="44F976CA" w14:textId="77777777" w:rsidTr="00DA3F73">
        <w:trPr>
          <w:trHeight w:val="301"/>
        </w:trPr>
        <w:tc>
          <w:tcPr>
            <w:cnfStyle w:val="001000000000" w:firstRow="0" w:lastRow="0" w:firstColumn="1" w:lastColumn="0" w:oddVBand="0" w:evenVBand="0" w:oddHBand="0" w:evenHBand="0" w:firstRowFirstColumn="0" w:firstRowLastColumn="0" w:lastRowFirstColumn="0" w:lastRowLastColumn="0"/>
            <w:tcW w:w="2041" w:type="pct"/>
            <w:noWrap/>
            <w:hideMark/>
          </w:tcPr>
          <w:p w14:paraId="74425430" w14:textId="77777777" w:rsidR="002C11DC" w:rsidRPr="00E04427" w:rsidRDefault="002C11DC" w:rsidP="00446247">
            <w:pPr>
              <w:spacing w:after="0"/>
              <w:rPr>
                <w:rFonts w:cs="Arial"/>
                <w:color w:val="000000"/>
                <w:sz w:val="18"/>
                <w:szCs w:val="18"/>
              </w:rPr>
            </w:pPr>
            <w:r>
              <w:rPr>
                <w:rFonts w:cs="Arial"/>
                <w:color w:val="000000"/>
                <w:sz w:val="18"/>
                <w:szCs w:val="18"/>
              </w:rPr>
              <w:t>Scheme expenses</w:t>
            </w:r>
            <w:r w:rsidRPr="00E04427">
              <w:rPr>
                <w:rFonts w:cs="Arial"/>
                <w:color w:val="000000"/>
                <w:sz w:val="18"/>
                <w:szCs w:val="18"/>
              </w:rPr>
              <w:t xml:space="preserve"> (cash basis)</w:t>
            </w:r>
          </w:p>
        </w:tc>
        <w:tc>
          <w:tcPr>
            <w:tcW w:w="592" w:type="pct"/>
            <w:noWrap/>
            <w:hideMark/>
          </w:tcPr>
          <w:p w14:paraId="2FA4ADA0" w14:textId="77777777" w:rsidR="002C11DC" w:rsidRPr="007E1DCF"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i/>
                <w:color w:val="000000"/>
                <w:sz w:val="18"/>
                <w:szCs w:val="18"/>
              </w:rPr>
            </w:pPr>
            <w:r w:rsidRPr="007E1DCF">
              <w:rPr>
                <w:rFonts w:cs="Arial"/>
                <w:i/>
                <w:color w:val="000000"/>
                <w:sz w:val="18"/>
                <w:szCs w:val="18"/>
              </w:rPr>
              <w:t> </w:t>
            </w:r>
          </w:p>
        </w:tc>
        <w:tc>
          <w:tcPr>
            <w:tcW w:w="592" w:type="pct"/>
            <w:noWrap/>
            <w:hideMark/>
          </w:tcPr>
          <w:p w14:paraId="5BA59416" w14:textId="77777777" w:rsidR="002C11DC" w:rsidRPr="00E9214D"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592" w:type="pct"/>
            <w:noWrap/>
            <w:hideMark/>
          </w:tcPr>
          <w:p w14:paraId="7A2EFC56" w14:textId="77777777" w:rsidR="002C11DC" w:rsidRPr="00E9214D"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592" w:type="pct"/>
            <w:tcBorders>
              <w:right w:val="dotted" w:sz="4" w:space="0" w:color="auto"/>
            </w:tcBorders>
            <w:noWrap/>
            <w:hideMark/>
          </w:tcPr>
          <w:p w14:paraId="7793621B" w14:textId="77777777" w:rsidR="002C11DC" w:rsidRPr="00E9214D"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c>
          <w:tcPr>
            <w:tcW w:w="590" w:type="pct"/>
            <w:tcBorders>
              <w:left w:val="dotted" w:sz="4" w:space="0" w:color="auto"/>
            </w:tcBorders>
            <w:noWrap/>
            <w:hideMark/>
          </w:tcPr>
          <w:p w14:paraId="6C27912E" w14:textId="77777777" w:rsidR="002C11DC" w:rsidRPr="00F24890"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p>
        </w:tc>
      </w:tr>
      <w:tr w:rsidR="002C11DC" w:rsidRPr="00947100" w14:paraId="4C5A9597"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41" w:type="pct"/>
            <w:noWrap/>
            <w:hideMark/>
          </w:tcPr>
          <w:p w14:paraId="314EFE92" w14:textId="77777777" w:rsidR="002C11DC" w:rsidRPr="00E04427" w:rsidRDefault="002C11DC" w:rsidP="00446247">
            <w:pPr>
              <w:spacing w:after="0"/>
              <w:rPr>
                <w:rFonts w:cs="Arial"/>
                <w:color w:val="000000"/>
                <w:sz w:val="18"/>
                <w:szCs w:val="18"/>
              </w:rPr>
            </w:pPr>
            <w:r w:rsidRPr="00E04427">
              <w:rPr>
                <w:rFonts w:cs="Arial"/>
                <w:color w:val="000000"/>
                <w:sz w:val="18"/>
                <w:szCs w:val="18"/>
              </w:rPr>
              <w:t>0-64 years</w:t>
            </w:r>
          </w:p>
        </w:tc>
        <w:tc>
          <w:tcPr>
            <w:tcW w:w="592" w:type="pct"/>
            <w:noWrap/>
            <w:hideMark/>
          </w:tcPr>
          <w:p w14:paraId="3E89030D" w14:textId="77777777" w:rsidR="002C11DC" w:rsidRPr="00E04427"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04427">
              <w:rPr>
                <w:rFonts w:cs="Arial"/>
                <w:color w:val="000000"/>
                <w:sz w:val="18"/>
                <w:szCs w:val="18"/>
              </w:rPr>
              <w:t>0%</w:t>
            </w:r>
          </w:p>
        </w:tc>
        <w:tc>
          <w:tcPr>
            <w:tcW w:w="592" w:type="pct"/>
            <w:noWrap/>
            <w:hideMark/>
          </w:tcPr>
          <w:p w14:paraId="2946E5A9" w14:textId="77777777" w:rsidR="002C11DC" w:rsidRPr="00E04427"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9214D">
              <w:rPr>
                <w:rFonts w:cs="Arial"/>
                <w:color w:val="000000"/>
                <w:sz w:val="18"/>
                <w:szCs w:val="18"/>
              </w:rPr>
              <w:t>0%</w:t>
            </w:r>
          </w:p>
        </w:tc>
        <w:tc>
          <w:tcPr>
            <w:tcW w:w="592" w:type="pct"/>
            <w:noWrap/>
            <w:hideMark/>
          </w:tcPr>
          <w:p w14:paraId="1FE5595E" w14:textId="77777777" w:rsidR="002C11DC" w:rsidRPr="00E04427"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9214D">
              <w:rPr>
                <w:rFonts w:cs="Arial"/>
                <w:color w:val="000000"/>
                <w:sz w:val="18"/>
                <w:szCs w:val="18"/>
              </w:rPr>
              <w:t>6%</w:t>
            </w:r>
          </w:p>
        </w:tc>
        <w:tc>
          <w:tcPr>
            <w:tcW w:w="592" w:type="pct"/>
            <w:tcBorders>
              <w:right w:val="dotted" w:sz="4" w:space="0" w:color="auto"/>
            </w:tcBorders>
            <w:noWrap/>
            <w:hideMark/>
          </w:tcPr>
          <w:p w14:paraId="3CA21DE0" w14:textId="77777777" w:rsidR="002C11DC" w:rsidRPr="00E04427"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E9214D">
              <w:rPr>
                <w:rFonts w:cs="Arial"/>
                <w:color w:val="000000"/>
                <w:sz w:val="18"/>
                <w:szCs w:val="18"/>
              </w:rPr>
              <w:t>12%</w:t>
            </w:r>
          </w:p>
        </w:tc>
        <w:tc>
          <w:tcPr>
            <w:tcW w:w="590" w:type="pct"/>
            <w:tcBorders>
              <w:left w:val="dotted" w:sz="4" w:space="0" w:color="auto"/>
            </w:tcBorders>
            <w:noWrap/>
            <w:hideMark/>
          </w:tcPr>
          <w:p w14:paraId="3260F317" w14:textId="77777777" w:rsidR="002C11DC" w:rsidRPr="00E04427"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F24890">
              <w:rPr>
                <w:rFonts w:cs="Arial"/>
                <w:color w:val="000000"/>
                <w:sz w:val="18"/>
                <w:szCs w:val="18"/>
              </w:rPr>
              <w:t>31%</w:t>
            </w:r>
          </w:p>
        </w:tc>
      </w:tr>
      <w:tr w:rsidR="002C11DC" w:rsidRPr="00947100" w14:paraId="0DC60BCB" w14:textId="77777777" w:rsidTr="00DA3F73">
        <w:trPr>
          <w:trHeight w:val="301"/>
        </w:trPr>
        <w:tc>
          <w:tcPr>
            <w:cnfStyle w:val="001000000000" w:firstRow="0" w:lastRow="0" w:firstColumn="1" w:lastColumn="0" w:oddVBand="0" w:evenVBand="0" w:oddHBand="0" w:evenHBand="0" w:firstRowFirstColumn="0" w:firstRowLastColumn="0" w:lastRowFirstColumn="0" w:lastRowLastColumn="0"/>
            <w:tcW w:w="2041" w:type="pct"/>
            <w:tcBorders>
              <w:bottom w:val="single" w:sz="4" w:space="0" w:color="auto"/>
            </w:tcBorders>
            <w:noWrap/>
            <w:hideMark/>
          </w:tcPr>
          <w:p w14:paraId="4A29B2B2" w14:textId="77777777" w:rsidR="002C11DC" w:rsidRPr="00E04427" w:rsidRDefault="002C11DC" w:rsidP="00446247">
            <w:pPr>
              <w:spacing w:after="0"/>
              <w:rPr>
                <w:rFonts w:cs="Arial"/>
                <w:color w:val="000000"/>
                <w:sz w:val="18"/>
                <w:szCs w:val="18"/>
              </w:rPr>
            </w:pPr>
            <w:r w:rsidRPr="00E04427">
              <w:rPr>
                <w:rFonts w:cs="Arial"/>
                <w:color w:val="000000"/>
                <w:sz w:val="18"/>
                <w:szCs w:val="18"/>
              </w:rPr>
              <w:t>65+ years</w:t>
            </w:r>
          </w:p>
        </w:tc>
        <w:tc>
          <w:tcPr>
            <w:tcW w:w="592" w:type="pct"/>
            <w:tcBorders>
              <w:bottom w:val="single" w:sz="4" w:space="0" w:color="auto"/>
            </w:tcBorders>
            <w:noWrap/>
            <w:hideMark/>
          </w:tcPr>
          <w:p w14:paraId="3CB945A2" w14:textId="77777777" w:rsidR="002C11DC" w:rsidRPr="00E04427"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E04427">
              <w:rPr>
                <w:rFonts w:cs="Arial"/>
                <w:color w:val="000000"/>
                <w:sz w:val="18"/>
                <w:szCs w:val="18"/>
              </w:rPr>
              <w:t>3%</w:t>
            </w:r>
          </w:p>
        </w:tc>
        <w:tc>
          <w:tcPr>
            <w:tcW w:w="592" w:type="pct"/>
            <w:tcBorders>
              <w:bottom w:val="single" w:sz="4" w:space="0" w:color="auto"/>
            </w:tcBorders>
            <w:noWrap/>
            <w:hideMark/>
          </w:tcPr>
          <w:p w14:paraId="2AB13211" w14:textId="77777777" w:rsidR="002C11DC" w:rsidRPr="00E04427"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E9214D">
              <w:rPr>
                <w:rFonts w:cs="Arial"/>
                <w:color w:val="000000"/>
                <w:sz w:val="18"/>
                <w:szCs w:val="18"/>
              </w:rPr>
              <w:t>3%</w:t>
            </w:r>
          </w:p>
        </w:tc>
        <w:tc>
          <w:tcPr>
            <w:tcW w:w="592" w:type="pct"/>
            <w:tcBorders>
              <w:bottom w:val="single" w:sz="4" w:space="0" w:color="auto"/>
            </w:tcBorders>
            <w:noWrap/>
            <w:hideMark/>
          </w:tcPr>
          <w:p w14:paraId="6ADA8453" w14:textId="77777777" w:rsidR="002C11DC" w:rsidRPr="00E04427"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E9214D">
              <w:rPr>
                <w:rFonts w:cs="Arial"/>
                <w:color w:val="000000"/>
                <w:sz w:val="18"/>
                <w:szCs w:val="18"/>
              </w:rPr>
              <w:t>9%</w:t>
            </w:r>
          </w:p>
        </w:tc>
        <w:tc>
          <w:tcPr>
            <w:tcW w:w="592" w:type="pct"/>
            <w:tcBorders>
              <w:bottom w:val="single" w:sz="4" w:space="0" w:color="auto"/>
              <w:right w:val="dotted" w:sz="4" w:space="0" w:color="auto"/>
            </w:tcBorders>
            <w:noWrap/>
            <w:hideMark/>
          </w:tcPr>
          <w:p w14:paraId="5C134F4C" w14:textId="77777777" w:rsidR="002C11DC" w:rsidRPr="00E04427"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E9214D">
              <w:rPr>
                <w:rFonts w:cs="Arial"/>
                <w:color w:val="000000"/>
                <w:sz w:val="18"/>
                <w:szCs w:val="18"/>
              </w:rPr>
              <w:t>16%</w:t>
            </w:r>
          </w:p>
        </w:tc>
        <w:tc>
          <w:tcPr>
            <w:tcW w:w="590" w:type="pct"/>
            <w:tcBorders>
              <w:left w:val="dotted" w:sz="4" w:space="0" w:color="auto"/>
              <w:bottom w:val="single" w:sz="4" w:space="0" w:color="auto"/>
            </w:tcBorders>
            <w:noWrap/>
            <w:hideMark/>
          </w:tcPr>
          <w:p w14:paraId="6BD60D38" w14:textId="77777777" w:rsidR="002C11DC" w:rsidRPr="00E04427" w:rsidRDefault="002C11DC" w:rsidP="00446247">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F24890">
              <w:rPr>
                <w:rFonts w:cs="Arial"/>
                <w:color w:val="000000"/>
                <w:sz w:val="18"/>
                <w:szCs w:val="18"/>
              </w:rPr>
              <w:t>36%</w:t>
            </w:r>
          </w:p>
        </w:tc>
      </w:tr>
      <w:tr w:rsidR="002C11DC" w:rsidRPr="00947100" w14:paraId="3D7965AC"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041" w:type="pct"/>
            <w:tcBorders>
              <w:top w:val="single" w:sz="4" w:space="0" w:color="auto"/>
              <w:bottom w:val="single" w:sz="4" w:space="0" w:color="auto"/>
            </w:tcBorders>
            <w:shd w:val="clear" w:color="auto" w:fill="D4C5D7"/>
            <w:noWrap/>
            <w:hideMark/>
          </w:tcPr>
          <w:p w14:paraId="01BF1456" w14:textId="77777777" w:rsidR="002C11DC" w:rsidRPr="007E1DCF" w:rsidRDefault="002C11DC" w:rsidP="00446247">
            <w:pPr>
              <w:spacing w:after="0"/>
              <w:rPr>
                <w:rFonts w:cs="Arial"/>
                <w:b/>
                <w:color w:val="000000"/>
                <w:sz w:val="18"/>
                <w:szCs w:val="18"/>
              </w:rPr>
            </w:pPr>
            <w:r w:rsidRPr="00644668">
              <w:rPr>
                <w:rFonts w:cs="Arial"/>
                <w:b/>
                <w:bCs/>
                <w:color w:val="000000"/>
                <w:sz w:val="18"/>
                <w:szCs w:val="18"/>
              </w:rPr>
              <w:t xml:space="preserve">Total </w:t>
            </w:r>
            <w:r>
              <w:rPr>
                <w:rFonts w:cs="Arial"/>
                <w:b/>
                <w:bCs/>
                <w:color w:val="000000"/>
                <w:sz w:val="18"/>
                <w:szCs w:val="18"/>
              </w:rPr>
              <w:t>Scheme expenses</w:t>
            </w:r>
            <w:r w:rsidRPr="00644668">
              <w:rPr>
                <w:rFonts w:cs="Arial"/>
                <w:b/>
                <w:bCs/>
                <w:color w:val="000000"/>
                <w:sz w:val="18"/>
                <w:szCs w:val="18"/>
              </w:rPr>
              <w:t xml:space="preserve"> (cash basis)</w:t>
            </w:r>
          </w:p>
        </w:tc>
        <w:tc>
          <w:tcPr>
            <w:tcW w:w="592" w:type="pct"/>
            <w:tcBorders>
              <w:top w:val="single" w:sz="4" w:space="0" w:color="auto"/>
              <w:bottom w:val="single" w:sz="4" w:space="0" w:color="auto"/>
            </w:tcBorders>
            <w:shd w:val="clear" w:color="auto" w:fill="D4C5D7"/>
            <w:noWrap/>
            <w:hideMark/>
          </w:tcPr>
          <w:p w14:paraId="1A7BD374" w14:textId="77777777" w:rsidR="002C11DC" w:rsidRPr="007E1DCF"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E04427">
              <w:rPr>
                <w:rFonts w:cs="Arial"/>
                <w:b/>
                <w:bCs/>
                <w:color w:val="000000"/>
                <w:sz w:val="18"/>
                <w:szCs w:val="18"/>
              </w:rPr>
              <w:t>0%</w:t>
            </w:r>
          </w:p>
        </w:tc>
        <w:tc>
          <w:tcPr>
            <w:tcW w:w="592" w:type="pct"/>
            <w:tcBorders>
              <w:top w:val="single" w:sz="4" w:space="0" w:color="auto"/>
              <w:bottom w:val="single" w:sz="4" w:space="0" w:color="auto"/>
            </w:tcBorders>
            <w:shd w:val="clear" w:color="auto" w:fill="D4C5D7"/>
            <w:noWrap/>
            <w:hideMark/>
          </w:tcPr>
          <w:p w14:paraId="1B6BC311" w14:textId="77777777" w:rsidR="002C11DC" w:rsidRPr="007E1DCF"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7E1DCF">
              <w:rPr>
                <w:rFonts w:cs="Arial"/>
                <w:b/>
                <w:color w:val="000000"/>
                <w:sz w:val="18"/>
                <w:szCs w:val="18"/>
              </w:rPr>
              <w:t>0%</w:t>
            </w:r>
          </w:p>
        </w:tc>
        <w:tc>
          <w:tcPr>
            <w:tcW w:w="592" w:type="pct"/>
            <w:tcBorders>
              <w:top w:val="single" w:sz="4" w:space="0" w:color="auto"/>
              <w:bottom w:val="single" w:sz="4" w:space="0" w:color="auto"/>
            </w:tcBorders>
            <w:shd w:val="clear" w:color="auto" w:fill="D4C5D7"/>
            <w:noWrap/>
            <w:hideMark/>
          </w:tcPr>
          <w:p w14:paraId="102716F4" w14:textId="77777777" w:rsidR="002C11DC" w:rsidRPr="007E1DCF"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7E1DCF">
              <w:rPr>
                <w:rFonts w:cs="Arial"/>
                <w:b/>
                <w:color w:val="000000"/>
                <w:sz w:val="18"/>
                <w:szCs w:val="18"/>
              </w:rPr>
              <w:t>6%</w:t>
            </w:r>
          </w:p>
        </w:tc>
        <w:tc>
          <w:tcPr>
            <w:tcW w:w="592" w:type="pct"/>
            <w:tcBorders>
              <w:top w:val="single" w:sz="4" w:space="0" w:color="auto"/>
              <w:bottom w:val="single" w:sz="4" w:space="0" w:color="auto"/>
              <w:right w:val="dotted" w:sz="4" w:space="0" w:color="auto"/>
            </w:tcBorders>
            <w:shd w:val="clear" w:color="auto" w:fill="D4C5D7"/>
            <w:noWrap/>
            <w:hideMark/>
          </w:tcPr>
          <w:p w14:paraId="46A855D3" w14:textId="77777777" w:rsidR="002C11DC" w:rsidRPr="007E1DCF"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7E1DCF">
              <w:rPr>
                <w:rFonts w:cs="Arial"/>
                <w:b/>
                <w:color w:val="000000"/>
                <w:sz w:val="18"/>
                <w:szCs w:val="18"/>
              </w:rPr>
              <w:t>13%</w:t>
            </w:r>
          </w:p>
        </w:tc>
        <w:tc>
          <w:tcPr>
            <w:tcW w:w="590" w:type="pct"/>
            <w:tcBorders>
              <w:top w:val="single" w:sz="4" w:space="0" w:color="auto"/>
              <w:left w:val="dotted" w:sz="4" w:space="0" w:color="auto"/>
              <w:bottom w:val="single" w:sz="4" w:space="0" w:color="auto"/>
            </w:tcBorders>
            <w:shd w:val="clear" w:color="auto" w:fill="D4C5D7"/>
            <w:noWrap/>
            <w:hideMark/>
          </w:tcPr>
          <w:p w14:paraId="42F1488F" w14:textId="77777777" w:rsidR="002C11DC" w:rsidRPr="007E1DCF" w:rsidRDefault="002C11DC" w:rsidP="00446247">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7E1DCF">
              <w:rPr>
                <w:rFonts w:cs="Arial"/>
                <w:b/>
                <w:color w:val="000000"/>
                <w:sz w:val="18"/>
                <w:szCs w:val="18"/>
              </w:rPr>
              <w:t>31%</w:t>
            </w:r>
          </w:p>
        </w:tc>
      </w:tr>
    </w:tbl>
    <w:p w14:paraId="753E5B83" w14:textId="77777777" w:rsidR="002C11DC" w:rsidRPr="00947100" w:rsidRDefault="002C11DC" w:rsidP="002C11DC">
      <w:pPr>
        <w:rPr>
          <w:highlight w:val="yellow"/>
        </w:rPr>
      </w:pPr>
    </w:p>
    <w:p w14:paraId="74499D3C" w14:textId="77777777" w:rsidR="00940F87" w:rsidRDefault="00940F87">
      <w:pPr>
        <w:spacing w:after="160" w:line="259" w:lineRule="auto"/>
        <w:rPr>
          <w:rFonts w:eastAsiaTheme="minorHAnsi"/>
          <w:b/>
          <w:bCs/>
          <w:szCs w:val="18"/>
          <w:lang w:eastAsia="en-US"/>
        </w:rPr>
      </w:pPr>
      <w:r>
        <w:br w:type="page"/>
      </w:r>
    </w:p>
    <w:p w14:paraId="4721EF52" w14:textId="77777777" w:rsidR="002C11DC" w:rsidRPr="007E1DCF" w:rsidRDefault="002C11DC" w:rsidP="002C11DC">
      <w:pPr>
        <w:pStyle w:val="Tables"/>
      </w:pPr>
      <w:r w:rsidRPr="003E69FE">
        <w:lastRenderedPageBreak/>
        <w:t xml:space="preserve">Table </w:t>
      </w:r>
      <w:r w:rsidR="00B5473A">
        <w:t>B</w:t>
      </w:r>
      <w:r w:rsidR="00A87896">
        <w:t>.</w:t>
      </w:r>
      <w:fldSimple w:instr=" SEQ Table \* ARABIC \s 2 ">
        <w:r w:rsidR="00A87896">
          <w:rPr>
            <w:noProof/>
          </w:rPr>
          <w:t>2</w:t>
        </w:r>
      </w:fldSimple>
      <w:r>
        <w:t>:</w:t>
      </w:r>
      <w:r w:rsidRPr="003E69FE">
        <w:t xml:space="preserve"> Baseline projection of </w:t>
      </w:r>
      <w:r>
        <w:t>Scheme expenses</w:t>
      </w:r>
      <w:r w:rsidRPr="003E69FE">
        <w:t xml:space="preserve"> (accrual basis) – compared to the previous review</w:t>
      </w:r>
      <w:r w:rsidRPr="007E1DCF">
        <w:t xml:space="preserve"> </w:t>
      </w:r>
    </w:p>
    <w:tbl>
      <w:tblPr>
        <w:tblStyle w:val="FSRtable"/>
        <w:tblW w:w="9072" w:type="dxa"/>
        <w:tblInd w:w="0" w:type="dxa"/>
        <w:tblLayout w:type="fixed"/>
        <w:tblLook w:val="04A0" w:firstRow="1" w:lastRow="0" w:firstColumn="1" w:lastColumn="0" w:noHBand="0" w:noVBand="1"/>
      </w:tblPr>
      <w:tblGrid>
        <w:gridCol w:w="3686"/>
        <w:gridCol w:w="992"/>
        <w:gridCol w:w="1134"/>
        <w:gridCol w:w="992"/>
        <w:gridCol w:w="1134"/>
        <w:gridCol w:w="1134"/>
      </w:tblGrid>
      <w:tr w:rsidR="002C11DC" w:rsidRPr="003F067F" w14:paraId="6D6D8F87" w14:textId="77777777" w:rsidTr="00252EAF">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686" w:type="dxa"/>
            <w:hideMark/>
          </w:tcPr>
          <w:p w14:paraId="7BE7059C" w14:textId="77777777" w:rsidR="002C11DC" w:rsidRPr="003F067F" w:rsidRDefault="002C11DC">
            <w:pPr>
              <w:spacing w:after="0"/>
              <w:rPr>
                <w:color w:val="FFFFFF"/>
                <w:sz w:val="18"/>
                <w:szCs w:val="18"/>
              </w:rPr>
            </w:pPr>
            <w:r w:rsidRPr="003F067F">
              <w:rPr>
                <w:color w:val="FFFFFF"/>
                <w:sz w:val="18"/>
                <w:szCs w:val="18"/>
              </w:rPr>
              <w:t xml:space="preserve">Projected </w:t>
            </w:r>
            <w:r w:rsidRPr="003F067F">
              <w:rPr>
                <w:bCs/>
                <w:color w:val="FFFFFF"/>
                <w:sz w:val="18"/>
                <w:szCs w:val="18"/>
              </w:rPr>
              <w:t>Scheme expenses</w:t>
            </w:r>
            <w:r w:rsidRPr="003F067F">
              <w:rPr>
                <w:color w:val="FFFFFF"/>
                <w:sz w:val="18"/>
                <w:szCs w:val="18"/>
              </w:rPr>
              <w:t xml:space="preserve"> ($m)</w:t>
            </w:r>
          </w:p>
        </w:tc>
        <w:tc>
          <w:tcPr>
            <w:tcW w:w="992" w:type="dxa"/>
            <w:noWrap/>
            <w:hideMark/>
          </w:tcPr>
          <w:p w14:paraId="68CF364B" w14:textId="77777777" w:rsidR="002C11DC" w:rsidRPr="003F067F" w:rsidRDefault="002C11DC">
            <w:pPr>
              <w:spacing w:after="0"/>
              <w:cnfStyle w:val="100000000000" w:firstRow="1" w:lastRow="0" w:firstColumn="0" w:lastColumn="0" w:oddVBand="0" w:evenVBand="0" w:oddHBand="0" w:evenHBand="0" w:firstRowFirstColumn="0" w:firstRowLastColumn="0" w:lastRowFirstColumn="0" w:lastRowLastColumn="0"/>
              <w:rPr>
                <w:color w:val="FFFFFF"/>
                <w:sz w:val="18"/>
                <w:szCs w:val="18"/>
              </w:rPr>
            </w:pPr>
            <w:r w:rsidRPr="003F067F">
              <w:rPr>
                <w:bCs/>
                <w:color w:val="FFFFFF"/>
                <w:sz w:val="18"/>
                <w:szCs w:val="18"/>
              </w:rPr>
              <w:t>2022-23</w:t>
            </w:r>
          </w:p>
        </w:tc>
        <w:tc>
          <w:tcPr>
            <w:tcW w:w="1134" w:type="dxa"/>
            <w:noWrap/>
            <w:hideMark/>
          </w:tcPr>
          <w:p w14:paraId="7062C890" w14:textId="77777777" w:rsidR="002C11DC" w:rsidRPr="003F067F" w:rsidRDefault="002C11DC">
            <w:pPr>
              <w:spacing w:after="0"/>
              <w:cnfStyle w:val="100000000000" w:firstRow="1" w:lastRow="0" w:firstColumn="0" w:lastColumn="0" w:oddVBand="0" w:evenVBand="0" w:oddHBand="0" w:evenHBand="0" w:firstRowFirstColumn="0" w:firstRowLastColumn="0" w:lastRowFirstColumn="0" w:lastRowLastColumn="0"/>
              <w:rPr>
                <w:color w:val="FFFFFF"/>
                <w:sz w:val="18"/>
                <w:szCs w:val="18"/>
              </w:rPr>
            </w:pPr>
            <w:r w:rsidRPr="003F067F">
              <w:rPr>
                <w:bCs/>
                <w:color w:val="FFFFFF"/>
                <w:sz w:val="18"/>
                <w:szCs w:val="18"/>
              </w:rPr>
              <w:t>2023-24</w:t>
            </w:r>
          </w:p>
        </w:tc>
        <w:tc>
          <w:tcPr>
            <w:tcW w:w="992" w:type="dxa"/>
            <w:noWrap/>
            <w:hideMark/>
          </w:tcPr>
          <w:p w14:paraId="18B53D0B" w14:textId="77777777" w:rsidR="002C11DC" w:rsidRPr="003F067F" w:rsidRDefault="002C11DC">
            <w:pPr>
              <w:spacing w:after="0"/>
              <w:cnfStyle w:val="100000000000" w:firstRow="1" w:lastRow="0" w:firstColumn="0" w:lastColumn="0" w:oddVBand="0" w:evenVBand="0" w:oddHBand="0" w:evenHBand="0" w:firstRowFirstColumn="0" w:firstRowLastColumn="0" w:lastRowFirstColumn="0" w:lastRowLastColumn="0"/>
              <w:rPr>
                <w:color w:val="FFFFFF"/>
                <w:sz w:val="18"/>
                <w:szCs w:val="18"/>
              </w:rPr>
            </w:pPr>
            <w:r w:rsidRPr="003F067F">
              <w:rPr>
                <w:bCs/>
                <w:color w:val="FFFFFF"/>
                <w:sz w:val="18"/>
                <w:szCs w:val="18"/>
              </w:rPr>
              <w:t>2024-25</w:t>
            </w:r>
          </w:p>
        </w:tc>
        <w:tc>
          <w:tcPr>
            <w:tcW w:w="1134" w:type="dxa"/>
            <w:tcBorders>
              <w:right w:val="dotted" w:sz="4" w:space="0" w:color="auto"/>
            </w:tcBorders>
            <w:noWrap/>
            <w:hideMark/>
          </w:tcPr>
          <w:p w14:paraId="7BF384DE" w14:textId="77777777" w:rsidR="002C11DC" w:rsidRPr="003F067F" w:rsidRDefault="002C11DC">
            <w:pPr>
              <w:spacing w:after="0"/>
              <w:cnfStyle w:val="100000000000" w:firstRow="1" w:lastRow="0" w:firstColumn="0" w:lastColumn="0" w:oddVBand="0" w:evenVBand="0" w:oddHBand="0" w:evenHBand="0" w:firstRowFirstColumn="0" w:firstRowLastColumn="0" w:lastRowFirstColumn="0" w:lastRowLastColumn="0"/>
              <w:rPr>
                <w:color w:val="FFFFFF"/>
                <w:sz w:val="18"/>
                <w:szCs w:val="18"/>
              </w:rPr>
            </w:pPr>
            <w:r w:rsidRPr="003F067F">
              <w:rPr>
                <w:bCs/>
                <w:color w:val="FFFFFF"/>
                <w:sz w:val="18"/>
                <w:szCs w:val="18"/>
              </w:rPr>
              <w:t>2025-26</w:t>
            </w:r>
          </w:p>
        </w:tc>
        <w:tc>
          <w:tcPr>
            <w:tcW w:w="1134" w:type="dxa"/>
            <w:tcBorders>
              <w:left w:val="dotted" w:sz="4" w:space="0" w:color="auto"/>
            </w:tcBorders>
            <w:noWrap/>
            <w:hideMark/>
          </w:tcPr>
          <w:p w14:paraId="483D297E" w14:textId="77777777" w:rsidR="002C11DC" w:rsidRPr="003F067F" w:rsidRDefault="002C11DC">
            <w:pPr>
              <w:spacing w:after="0"/>
              <w:cnfStyle w:val="100000000000" w:firstRow="1" w:lastRow="0" w:firstColumn="0" w:lastColumn="0" w:oddVBand="0" w:evenVBand="0" w:oddHBand="0" w:evenHBand="0" w:firstRowFirstColumn="0" w:firstRowLastColumn="0" w:lastRowFirstColumn="0" w:lastRowLastColumn="0"/>
              <w:rPr>
                <w:color w:val="FFFFFF"/>
                <w:sz w:val="18"/>
                <w:szCs w:val="18"/>
              </w:rPr>
            </w:pPr>
            <w:r w:rsidRPr="003F067F">
              <w:rPr>
                <w:bCs/>
                <w:color w:val="FFFFFF"/>
                <w:sz w:val="18"/>
                <w:szCs w:val="18"/>
              </w:rPr>
              <w:t>2031-32</w:t>
            </w:r>
          </w:p>
        </w:tc>
      </w:tr>
      <w:tr w:rsidR="002C11DC" w:rsidRPr="003F067F" w14:paraId="411BBA85" w14:textId="77777777" w:rsidTr="00252EAF">
        <w:trPr>
          <w:trHeight w:hRule="exact" w:val="301"/>
        </w:trPr>
        <w:tc>
          <w:tcPr>
            <w:cnfStyle w:val="001000000000" w:firstRow="0" w:lastRow="0" w:firstColumn="1" w:lastColumn="0" w:oddVBand="0" w:evenVBand="0" w:oddHBand="0" w:evenHBand="0" w:firstRowFirstColumn="0" w:firstRowLastColumn="0" w:lastRowFirstColumn="0" w:lastRowLastColumn="0"/>
            <w:tcW w:w="3686" w:type="dxa"/>
            <w:noWrap/>
            <w:hideMark/>
          </w:tcPr>
          <w:p w14:paraId="1F281632" w14:textId="77777777" w:rsidR="002C11DC" w:rsidRPr="003F067F" w:rsidRDefault="002C11DC">
            <w:pPr>
              <w:spacing w:after="0"/>
              <w:rPr>
                <w:rFonts w:cs="Arial"/>
                <w:b/>
                <w:i/>
                <w:color w:val="000000"/>
                <w:sz w:val="18"/>
                <w:szCs w:val="18"/>
              </w:rPr>
            </w:pPr>
            <w:r w:rsidRPr="003F067F">
              <w:rPr>
                <w:rFonts w:cs="Arial"/>
                <w:b/>
                <w:color w:val="000000"/>
                <w:sz w:val="18"/>
                <w:szCs w:val="18"/>
              </w:rPr>
              <w:t>202</w:t>
            </w:r>
            <w:r w:rsidRPr="003F067F">
              <w:rPr>
                <w:rFonts w:cs="Arial"/>
                <w:b/>
                <w:bCs/>
                <w:color w:val="000000"/>
                <w:sz w:val="18"/>
                <w:szCs w:val="18"/>
              </w:rPr>
              <w:t>1</w:t>
            </w:r>
            <w:r w:rsidRPr="003F067F">
              <w:rPr>
                <w:rFonts w:cs="Arial"/>
                <w:b/>
                <w:color w:val="000000"/>
                <w:sz w:val="18"/>
                <w:szCs w:val="18"/>
              </w:rPr>
              <w:t>-2</w:t>
            </w:r>
            <w:r w:rsidRPr="003F067F">
              <w:rPr>
                <w:rFonts w:cs="Arial"/>
                <w:b/>
                <w:bCs/>
                <w:color w:val="000000"/>
                <w:sz w:val="18"/>
                <w:szCs w:val="18"/>
              </w:rPr>
              <w:t>2</w:t>
            </w:r>
            <w:r w:rsidRPr="003F067F">
              <w:rPr>
                <w:rFonts w:cs="Arial"/>
                <w:b/>
                <w:color w:val="000000"/>
                <w:sz w:val="18"/>
                <w:szCs w:val="18"/>
              </w:rPr>
              <w:t xml:space="preserve"> AFSR</w:t>
            </w:r>
            <w:r w:rsidRPr="003F067F">
              <w:rPr>
                <w:rFonts w:cs="Arial"/>
                <w:b/>
                <w:i/>
                <w:color w:val="000000"/>
                <w:sz w:val="18"/>
                <w:szCs w:val="18"/>
              </w:rPr>
              <w:t> </w:t>
            </w:r>
          </w:p>
        </w:tc>
        <w:tc>
          <w:tcPr>
            <w:tcW w:w="992" w:type="dxa"/>
            <w:noWrap/>
            <w:hideMark/>
          </w:tcPr>
          <w:p w14:paraId="5FE84238"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b/>
                <w:i/>
                <w:color w:val="000000"/>
                <w:sz w:val="18"/>
                <w:szCs w:val="18"/>
              </w:rPr>
            </w:pPr>
            <w:r w:rsidRPr="003F067F">
              <w:rPr>
                <w:rFonts w:cs="Arial"/>
                <w:b/>
                <w:i/>
                <w:color w:val="000000"/>
                <w:sz w:val="18"/>
                <w:szCs w:val="18"/>
              </w:rPr>
              <w:t> </w:t>
            </w:r>
          </w:p>
        </w:tc>
        <w:tc>
          <w:tcPr>
            <w:tcW w:w="1134" w:type="dxa"/>
            <w:noWrap/>
            <w:hideMark/>
          </w:tcPr>
          <w:p w14:paraId="6C41582D"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b/>
                <w:i/>
                <w:color w:val="000000"/>
                <w:sz w:val="18"/>
                <w:szCs w:val="18"/>
              </w:rPr>
            </w:pPr>
            <w:r w:rsidRPr="003F067F">
              <w:rPr>
                <w:rFonts w:cs="Arial"/>
                <w:b/>
                <w:i/>
                <w:color w:val="000000"/>
                <w:sz w:val="18"/>
                <w:szCs w:val="18"/>
              </w:rPr>
              <w:t> </w:t>
            </w:r>
          </w:p>
        </w:tc>
        <w:tc>
          <w:tcPr>
            <w:tcW w:w="992" w:type="dxa"/>
            <w:noWrap/>
            <w:hideMark/>
          </w:tcPr>
          <w:p w14:paraId="21E09D87"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b/>
                <w:i/>
                <w:color w:val="000000"/>
                <w:sz w:val="18"/>
                <w:szCs w:val="18"/>
              </w:rPr>
            </w:pPr>
            <w:r w:rsidRPr="003F067F">
              <w:rPr>
                <w:rFonts w:cs="Arial"/>
                <w:b/>
                <w:i/>
                <w:color w:val="000000"/>
                <w:sz w:val="18"/>
                <w:szCs w:val="18"/>
              </w:rPr>
              <w:t> </w:t>
            </w:r>
          </w:p>
        </w:tc>
        <w:tc>
          <w:tcPr>
            <w:tcW w:w="1134" w:type="dxa"/>
            <w:tcBorders>
              <w:right w:val="dotted" w:sz="4" w:space="0" w:color="auto"/>
            </w:tcBorders>
            <w:noWrap/>
            <w:hideMark/>
          </w:tcPr>
          <w:p w14:paraId="4107FC2A"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b/>
                <w:i/>
                <w:color w:val="000000"/>
                <w:sz w:val="18"/>
                <w:szCs w:val="18"/>
              </w:rPr>
            </w:pPr>
            <w:r w:rsidRPr="003F067F">
              <w:rPr>
                <w:rFonts w:cs="Arial"/>
                <w:b/>
                <w:i/>
                <w:color w:val="000000"/>
                <w:sz w:val="18"/>
                <w:szCs w:val="18"/>
              </w:rPr>
              <w:t> </w:t>
            </w:r>
          </w:p>
        </w:tc>
        <w:tc>
          <w:tcPr>
            <w:tcW w:w="1134" w:type="dxa"/>
            <w:tcBorders>
              <w:left w:val="dotted" w:sz="4" w:space="0" w:color="auto"/>
            </w:tcBorders>
            <w:noWrap/>
            <w:hideMark/>
          </w:tcPr>
          <w:p w14:paraId="6A61B2F8"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b/>
                <w:i/>
                <w:color w:val="000000"/>
                <w:sz w:val="18"/>
                <w:szCs w:val="18"/>
              </w:rPr>
            </w:pPr>
            <w:r w:rsidRPr="003F067F">
              <w:rPr>
                <w:rFonts w:cs="Arial"/>
                <w:b/>
                <w:i/>
                <w:color w:val="000000"/>
                <w:sz w:val="18"/>
                <w:szCs w:val="18"/>
              </w:rPr>
              <w:t> </w:t>
            </w:r>
          </w:p>
        </w:tc>
      </w:tr>
      <w:tr w:rsidR="002C11DC" w:rsidRPr="003F067F" w14:paraId="2AF217FC"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686" w:type="dxa"/>
            <w:noWrap/>
            <w:hideMark/>
          </w:tcPr>
          <w:p w14:paraId="5FCF65C5" w14:textId="77777777" w:rsidR="002C11DC" w:rsidRPr="003F067F" w:rsidRDefault="002C11DC">
            <w:pPr>
              <w:spacing w:after="0"/>
              <w:rPr>
                <w:rFonts w:cs="Arial"/>
                <w:i/>
                <w:color w:val="000000"/>
                <w:sz w:val="18"/>
                <w:szCs w:val="18"/>
              </w:rPr>
            </w:pPr>
            <w:r w:rsidRPr="003F067F">
              <w:rPr>
                <w:rFonts w:cs="Arial"/>
                <w:color w:val="000000"/>
                <w:sz w:val="18"/>
                <w:szCs w:val="18"/>
              </w:rPr>
              <w:t>Scheme expenses (accrual basis)</w:t>
            </w:r>
            <w:r w:rsidRPr="003F067F">
              <w:rPr>
                <w:rFonts w:cs="Arial"/>
                <w:i/>
                <w:color w:val="000000"/>
                <w:sz w:val="18"/>
                <w:szCs w:val="18"/>
              </w:rPr>
              <w:t> </w:t>
            </w:r>
          </w:p>
        </w:tc>
        <w:tc>
          <w:tcPr>
            <w:tcW w:w="992" w:type="dxa"/>
            <w:noWrap/>
            <w:hideMark/>
          </w:tcPr>
          <w:p w14:paraId="32800E29"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3F067F">
              <w:rPr>
                <w:rFonts w:cs="Arial"/>
                <w:i/>
                <w:color w:val="000000"/>
                <w:sz w:val="18"/>
                <w:szCs w:val="18"/>
              </w:rPr>
              <w:t> </w:t>
            </w:r>
          </w:p>
        </w:tc>
        <w:tc>
          <w:tcPr>
            <w:tcW w:w="1134" w:type="dxa"/>
            <w:noWrap/>
            <w:hideMark/>
          </w:tcPr>
          <w:p w14:paraId="75ABFB54"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3F067F">
              <w:rPr>
                <w:rFonts w:cs="Arial"/>
                <w:i/>
                <w:color w:val="000000"/>
                <w:sz w:val="18"/>
                <w:szCs w:val="18"/>
              </w:rPr>
              <w:t> </w:t>
            </w:r>
          </w:p>
        </w:tc>
        <w:tc>
          <w:tcPr>
            <w:tcW w:w="992" w:type="dxa"/>
            <w:noWrap/>
            <w:hideMark/>
          </w:tcPr>
          <w:p w14:paraId="61D5CDCF"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3F067F">
              <w:rPr>
                <w:rFonts w:cs="Arial"/>
                <w:i/>
                <w:color w:val="000000"/>
                <w:sz w:val="18"/>
                <w:szCs w:val="18"/>
              </w:rPr>
              <w:t> </w:t>
            </w:r>
          </w:p>
        </w:tc>
        <w:tc>
          <w:tcPr>
            <w:tcW w:w="1134" w:type="dxa"/>
            <w:tcBorders>
              <w:right w:val="dotted" w:sz="4" w:space="0" w:color="auto"/>
            </w:tcBorders>
            <w:noWrap/>
            <w:hideMark/>
          </w:tcPr>
          <w:p w14:paraId="6245679F"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3F067F">
              <w:rPr>
                <w:rFonts w:cs="Arial"/>
                <w:i/>
                <w:color w:val="000000"/>
                <w:sz w:val="18"/>
                <w:szCs w:val="18"/>
              </w:rPr>
              <w:t> </w:t>
            </w:r>
          </w:p>
        </w:tc>
        <w:tc>
          <w:tcPr>
            <w:tcW w:w="1134" w:type="dxa"/>
            <w:tcBorders>
              <w:left w:val="dotted" w:sz="4" w:space="0" w:color="auto"/>
            </w:tcBorders>
            <w:noWrap/>
            <w:hideMark/>
          </w:tcPr>
          <w:p w14:paraId="1BA52E68"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3F067F">
              <w:rPr>
                <w:rFonts w:cs="Arial"/>
                <w:i/>
                <w:color w:val="000000"/>
                <w:sz w:val="18"/>
                <w:szCs w:val="18"/>
              </w:rPr>
              <w:t> </w:t>
            </w:r>
          </w:p>
        </w:tc>
      </w:tr>
      <w:tr w:rsidR="002C11DC" w:rsidRPr="003F067F" w14:paraId="710ACE55" w14:textId="77777777" w:rsidTr="00252EAF">
        <w:trPr>
          <w:trHeight w:hRule="exact" w:val="301"/>
        </w:trPr>
        <w:tc>
          <w:tcPr>
            <w:cnfStyle w:val="001000000000" w:firstRow="0" w:lastRow="0" w:firstColumn="1" w:lastColumn="0" w:oddVBand="0" w:evenVBand="0" w:oddHBand="0" w:evenHBand="0" w:firstRowFirstColumn="0" w:firstRowLastColumn="0" w:lastRowFirstColumn="0" w:lastRowLastColumn="0"/>
            <w:tcW w:w="3686" w:type="dxa"/>
            <w:noWrap/>
            <w:hideMark/>
          </w:tcPr>
          <w:p w14:paraId="248EEDF9" w14:textId="77777777" w:rsidR="002C11DC" w:rsidRPr="003F067F" w:rsidRDefault="002C11DC">
            <w:pPr>
              <w:spacing w:after="0"/>
              <w:rPr>
                <w:rFonts w:cs="Arial"/>
                <w:color w:val="000000"/>
                <w:sz w:val="18"/>
                <w:szCs w:val="18"/>
              </w:rPr>
            </w:pPr>
            <w:r w:rsidRPr="003F067F">
              <w:rPr>
                <w:rFonts w:cs="Arial"/>
                <w:color w:val="000000"/>
                <w:sz w:val="18"/>
                <w:szCs w:val="18"/>
              </w:rPr>
              <w:t>0-64 years</w:t>
            </w:r>
          </w:p>
        </w:tc>
        <w:tc>
          <w:tcPr>
            <w:tcW w:w="992" w:type="dxa"/>
            <w:noWrap/>
            <w:hideMark/>
          </w:tcPr>
          <w:p w14:paraId="1A4C319E"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31,394</w:t>
            </w:r>
          </w:p>
        </w:tc>
        <w:tc>
          <w:tcPr>
            <w:tcW w:w="1134" w:type="dxa"/>
            <w:noWrap/>
            <w:hideMark/>
          </w:tcPr>
          <w:p w14:paraId="78182ACD"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34,874</w:t>
            </w:r>
          </w:p>
        </w:tc>
        <w:tc>
          <w:tcPr>
            <w:tcW w:w="992" w:type="dxa"/>
            <w:noWrap/>
            <w:hideMark/>
          </w:tcPr>
          <w:p w14:paraId="522EE159"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39,955</w:t>
            </w:r>
          </w:p>
        </w:tc>
        <w:tc>
          <w:tcPr>
            <w:tcW w:w="1134" w:type="dxa"/>
            <w:tcBorders>
              <w:right w:val="dotted" w:sz="4" w:space="0" w:color="auto"/>
            </w:tcBorders>
            <w:noWrap/>
            <w:hideMark/>
          </w:tcPr>
          <w:p w14:paraId="6B87FC4E"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45,187</w:t>
            </w:r>
          </w:p>
        </w:tc>
        <w:tc>
          <w:tcPr>
            <w:tcW w:w="1134" w:type="dxa"/>
            <w:tcBorders>
              <w:left w:val="dotted" w:sz="4" w:space="0" w:color="auto"/>
            </w:tcBorders>
            <w:noWrap/>
            <w:hideMark/>
          </w:tcPr>
          <w:p w14:paraId="5AE72888"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77,843</w:t>
            </w:r>
          </w:p>
        </w:tc>
      </w:tr>
      <w:tr w:rsidR="002C11DC" w:rsidRPr="003F067F" w14:paraId="1E6F2102"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686" w:type="dxa"/>
            <w:tcBorders>
              <w:bottom w:val="single" w:sz="4" w:space="0" w:color="auto"/>
            </w:tcBorders>
            <w:noWrap/>
            <w:hideMark/>
          </w:tcPr>
          <w:p w14:paraId="469A866B" w14:textId="77777777" w:rsidR="002C11DC" w:rsidRPr="003F067F" w:rsidRDefault="002C11DC">
            <w:pPr>
              <w:spacing w:after="0"/>
              <w:rPr>
                <w:rFonts w:cs="Arial"/>
                <w:color w:val="000000"/>
                <w:sz w:val="18"/>
                <w:szCs w:val="18"/>
              </w:rPr>
            </w:pPr>
            <w:r w:rsidRPr="003F067F">
              <w:rPr>
                <w:rFonts w:cs="Arial"/>
                <w:color w:val="000000"/>
                <w:sz w:val="18"/>
                <w:szCs w:val="18"/>
              </w:rPr>
              <w:t>65+ years</w:t>
            </w:r>
          </w:p>
        </w:tc>
        <w:tc>
          <w:tcPr>
            <w:tcW w:w="992" w:type="dxa"/>
            <w:tcBorders>
              <w:bottom w:val="single" w:sz="4" w:space="0" w:color="auto"/>
            </w:tcBorders>
            <w:noWrap/>
            <w:hideMark/>
          </w:tcPr>
          <w:p w14:paraId="3123944F"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2,582</w:t>
            </w:r>
          </w:p>
        </w:tc>
        <w:tc>
          <w:tcPr>
            <w:tcW w:w="1134" w:type="dxa"/>
            <w:tcBorders>
              <w:bottom w:val="single" w:sz="4" w:space="0" w:color="auto"/>
            </w:tcBorders>
            <w:noWrap/>
            <w:hideMark/>
          </w:tcPr>
          <w:p w14:paraId="3CFD6195"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3,259</w:t>
            </w:r>
          </w:p>
        </w:tc>
        <w:tc>
          <w:tcPr>
            <w:tcW w:w="992" w:type="dxa"/>
            <w:tcBorders>
              <w:bottom w:val="single" w:sz="4" w:space="0" w:color="auto"/>
            </w:tcBorders>
            <w:noWrap/>
            <w:hideMark/>
          </w:tcPr>
          <w:p w14:paraId="5F956486"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4,160</w:t>
            </w:r>
          </w:p>
        </w:tc>
        <w:tc>
          <w:tcPr>
            <w:tcW w:w="1134" w:type="dxa"/>
            <w:tcBorders>
              <w:bottom w:val="single" w:sz="4" w:space="0" w:color="auto"/>
              <w:right w:val="dotted" w:sz="4" w:space="0" w:color="auto"/>
            </w:tcBorders>
            <w:noWrap/>
            <w:hideMark/>
          </w:tcPr>
          <w:p w14:paraId="013E48E4"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5,157</w:t>
            </w:r>
          </w:p>
        </w:tc>
        <w:tc>
          <w:tcPr>
            <w:tcW w:w="1134" w:type="dxa"/>
            <w:tcBorders>
              <w:left w:val="dotted" w:sz="4" w:space="0" w:color="auto"/>
              <w:bottom w:val="single" w:sz="4" w:space="0" w:color="auto"/>
            </w:tcBorders>
            <w:noWrap/>
            <w:hideMark/>
          </w:tcPr>
          <w:p w14:paraId="4D7F0EFF"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11,559</w:t>
            </w:r>
          </w:p>
        </w:tc>
      </w:tr>
      <w:tr w:rsidR="00252EAF" w:rsidRPr="003F067F" w14:paraId="14DC83A9" w14:textId="77777777" w:rsidTr="00252EAF">
        <w:trPr>
          <w:trHeight w:hRule="exact" w:val="301"/>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bottom w:val="single" w:sz="4" w:space="0" w:color="auto"/>
            </w:tcBorders>
            <w:shd w:val="clear" w:color="auto" w:fill="D4C5D7"/>
            <w:noWrap/>
            <w:hideMark/>
          </w:tcPr>
          <w:p w14:paraId="28521CE6" w14:textId="77777777" w:rsidR="002C11DC" w:rsidRPr="003F067F" w:rsidRDefault="002C11DC">
            <w:pPr>
              <w:spacing w:after="0"/>
              <w:rPr>
                <w:rFonts w:cs="Arial"/>
                <w:b/>
                <w:color w:val="000000"/>
                <w:sz w:val="18"/>
                <w:szCs w:val="18"/>
              </w:rPr>
            </w:pPr>
            <w:r w:rsidRPr="003F067F">
              <w:rPr>
                <w:rFonts w:cs="Arial"/>
                <w:b/>
                <w:color w:val="000000"/>
                <w:sz w:val="18"/>
                <w:szCs w:val="18"/>
              </w:rPr>
              <w:t xml:space="preserve">Total </w:t>
            </w:r>
            <w:r w:rsidRPr="003F067F">
              <w:rPr>
                <w:rFonts w:cs="Arial"/>
                <w:b/>
                <w:bCs/>
                <w:color w:val="000000"/>
                <w:sz w:val="18"/>
                <w:szCs w:val="18"/>
              </w:rPr>
              <w:t>scheme expenses</w:t>
            </w:r>
            <w:r w:rsidRPr="003F067F">
              <w:rPr>
                <w:rFonts w:cs="Arial"/>
                <w:b/>
                <w:color w:val="000000"/>
                <w:sz w:val="18"/>
                <w:szCs w:val="18"/>
              </w:rPr>
              <w:t xml:space="preserve"> (accrual basis)</w:t>
            </w:r>
          </w:p>
        </w:tc>
        <w:tc>
          <w:tcPr>
            <w:tcW w:w="992" w:type="dxa"/>
            <w:tcBorders>
              <w:top w:val="single" w:sz="4" w:space="0" w:color="auto"/>
              <w:bottom w:val="single" w:sz="4" w:space="0" w:color="auto"/>
            </w:tcBorders>
            <w:shd w:val="clear" w:color="auto" w:fill="D4C5D7"/>
            <w:noWrap/>
            <w:hideMark/>
          </w:tcPr>
          <w:p w14:paraId="712B6EDB"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3F067F">
              <w:rPr>
                <w:rFonts w:cs="Arial"/>
                <w:b/>
                <w:bCs/>
                <w:color w:val="000000"/>
                <w:sz w:val="18"/>
                <w:szCs w:val="18"/>
              </w:rPr>
              <w:t>33,976</w:t>
            </w:r>
          </w:p>
        </w:tc>
        <w:tc>
          <w:tcPr>
            <w:tcW w:w="1134" w:type="dxa"/>
            <w:tcBorders>
              <w:top w:val="single" w:sz="4" w:space="0" w:color="auto"/>
              <w:bottom w:val="single" w:sz="4" w:space="0" w:color="auto"/>
            </w:tcBorders>
            <w:shd w:val="clear" w:color="auto" w:fill="D4C5D7"/>
            <w:noWrap/>
            <w:hideMark/>
          </w:tcPr>
          <w:p w14:paraId="2A48B674"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3F067F">
              <w:rPr>
                <w:rFonts w:cs="Arial"/>
                <w:b/>
                <w:color w:val="000000"/>
                <w:sz w:val="18"/>
                <w:szCs w:val="18"/>
              </w:rPr>
              <w:t>38,133</w:t>
            </w:r>
          </w:p>
        </w:tc>
        <w:tc>
          <w:tcPr>
            <w:tcW w:w="992" w:type="dxa"/>
            <w:tcBorders>
              <w:top w:val="single" w:sz="4" w:space="0" w:color="auto"/>
              <w:bottom w:val="single" w:sz="4" w:space="0" w:color="auto"/>
            </w:tcBorders>
            <w:shd w:val="clear" w:color="auto" w:fill="D4C5D7"/>
            <w:noWrap/>
            <w:hideMark/>
          </w:tcPr>
          <w:p w14:paraId="428C5363"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3F067F">
              <w:rPr>
                <w:rFonts w:cs="Arial"/>
                <w:b/>
                <w:color w:val="000000"/>
                <w:sz w:val="18"/>
                <w:szCs w:val="18"/>
              </w:rPr>
              <w:t>44,116</w:t>
            </w:r>
          </w:p>
        </w:tc>
        <w:tc>
          <w:tcPr>
            <w:tcW w:w="1134" w:type="dxa"/>
            <w:tcBorders>
              <w:top w:val="single" w:sz="4" w:space="0" w:color="auto"/>
              <w:bottom w:val="single" w:sz="4" w:space="0" w:color="auto"/>
              <w:right w:val="dotted" w:sz="4" w:space="0" w:color="auto"/>
            </w:tcBorders>
            <w:shd w:val="clear" w:color="auto" w:fill="D4C5D7"/>
            <w:noWrap/>
            <w:hideMark/>
          </w:tcPr>
          <w:p w14:paraId="1C67CF3D"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3F067F">
              <w:rPr>
                <w:rFonts w:cs="Arial"/>
                <w:b/>
                <w:color w:val="000000"/>
                <w:sz w:val="18"/>
                <w:szCs w:val="18"/>
              </w:rPr>
              <w:t>50,344</w:t>
            </w:r>
          </w:p>
        </w:tc>
        <w:tc>
          <w:tcPr>
            <w:tcW w:w="1134" w:type="dxa"/>
            <w:tcBorders>
              <w:top w:val="single" w:sz="4" w:space="0" w:color="auto"/>
              <w:left w:val="dotted" w:sz="4" w:space="0" w:color="auto"/>
              <w:bottom w:val="single" w:sz="4" w:space="0" w:color="auto"/>
            </w:tcBorders>
            <w:shd w:val="clear" w:color="auto" w:fill="D4C5D7"/>
            <w:noWrap/>
            <w:hideMark/>
          </w:tcPr>
          <w:p w14:paraId="55861B92"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3F067F">
              <w:rPr>
                <w:rFonts w:cs="Arial"/>
                <w:b/>
                <w:color w:val="000000"/>
                <w:sz w:val="18"/>
                <w:szCs w:val="18"/>
              </w:rPr>
              <w:t>89,403</w:t>
            </w:r>
          </w:p>
        </w:tc>
      </w:tr>
      <w:tr w:rsidR="002C11DC" w:rsidRPr="003F067F" w14:paraId="41FEF23E"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tcBorders>
            <w:noWrap/>
            <w:hideMark/>
          </w:tcPr>
          <w:p w14:paraId="6AB3B924" w14:textId="77777777" w:rsidR="002C11DC" w:rsidRPr="003F067F" w:rsidRDefault="002C11DC">
            <w:pPr>
              <w:spacing w:after="0"/>
              <w:rPr>
                <w:rFonts w:cs="Arial"/>
                <w:b/>
                <w:i/>
                <w:color w:val="000000"/>
                <w:sz w:val="18"/>
                <w:szCs w:val="18"/>
              </w:rPr>
            </w:pPr>
            <w:r w:rsidRPr="003F067F">
              <w:rPr>
                <w:rFonts w:cs="Arial"/>
                <w:b/>
                <w:bCs/>
                <w:color w:val="000000"/>
                <w:sz w:val="18"/>
                <w:szCs w:val="18"/>
              </w:rPr>
              <w:t xml:space="preserve">2020-21 </w:t>
            </w:r>
            <w:r w:rsidRPr="003F067F">
              <w:rPr>
                <w:rFonts w:cs="Arial"/>
                <w:b/>
                <w:color w:val="000000"/>
                <w:sz w:val="18"/>
                <w:szCs w:val="18"/>
              </w:rPr>
              <w:t>AFSR</w:t>
            </w:r>
            <w:r w:rsidRPr="003F067F">
              <w:rPr>
                <w:rFonts w:cs="Arial"/>
                <w:b/>
                <w:i/>
                <w:color w:val="000000"/>
                <w:sz w:val="18"/>
                <w:szCs w:val="18"/>
              </w:rPr>
              <w:t> </w:t>
            </w:r>
          </w:p>
        </w:tc>
        <w:tc>
          <w:tcPr>
            <w:tcW w:w="992" w:type="dxa"/>
            <w:tcBorders>
              <w:top w:val="single" w:sz="4" w:space="0" w:color="auto"/>
            </w:tcBorders>
            <w:noWrap/>
            <w:hideMark/>
          </w:tcPr>
          <w:p w14:paraId="0BD2969D"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b/>
                <w:i/>
                <w:color w:val="000000"/>
                <w:sz w:val="18"/>
                <w:szCs w:val="18"/>
              </w:rPr>
            </w:pPr>
            <w:r w:rsidRPr="003F067F">
              <w:rPr>
                <w:rFonts w:cs="Arial"/>
                <w:b/>
                <w:i/>
                <w:color w:val="000000"/>
                <w:sz w:val="18"/>
                <w:szCs w:val="18"/>
              </w:rPr>
              <w:t> </w:t>
            </w:r>
          </w:p>
        </w:tc>
        <w:tc>
          <w:tcPr>
            <w:tcW w:w="1134" w:type="dxa"/>
            <w:tcBorders>
              <w:top w:val="single" w:sz="4" w:space="0" w:color="auto"/>
            </w:tcBorders>
            <w:noWrap/>
            <w:hideMark/>
          </w:tcPr>
          <w:p w14:paraId="28E8B42B"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992" w:type="dxa"/>
            <w:tcBorders>
              <w:top w:val="single" w:sz="4" w:space="0" w:color="auto"/>
            </w:tcBorders>
            <w:noWrap/>
            <w:hideMark/>
          </w:tcPr>
          <w:p w14:paraId="025492C4"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1134" w:type="dxa"/>
            <w:tcBorders>
              <w:top w:val="single" w:sz="4" w:space="0" w:color="auto"/>
              <w:right w:val="dotted" w:sz="4" w:space="0" w:color="auto"/>
            </w:tcBorders>
            <w:noWrap/>
            <w:hideMark/>
          </w:tcPr>
          <w:p w14:paraId="018F2513"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1134" w:type="dxa"/>
            <w:tcBorders>
              <w:top w:val="single" w:sz="4" w:space="0" w:color="auto"/>
              <w:left w:val="dotted" w:sz="4" w:space="0" w:color="auto"/>
            </w:tcBorders>
            <w:noWrap/>
            <w:hideMark/>
          </w:tcPr>
          <w:p w14:paraId="6B8E0266"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 </w:t>
            </w:r>
          </w:p>
        </w:tc>
      </w:tr>
      <w:tr w:rsidR="002C11DC" w:rsidRPr="003F067F" w14:paraId="06D651BB" w14:textId="77777777" w:rsidTr="00252EAF">
        <w:trPr>
          <w:trHeight w:hRule="exact" w:val="301"/>
        </w:trPr>
        <w:tc>
          <w:tcPr>
            <w:cnfStyle w:val="001000000000" w:firstRow="0" w:lastRow="0" w:firstColumn="1" w:lastColumn="0" w:oddVBand="0" w:evenVBand="0" w:oddHBand="0" w:evenHBand="0" w:firstRowFirstColumn="0" w:firstRowLastColumn="0" w:lastRowFirstColumn="0" w:lastRowLastColumn="0"/>
            <w:tcW w:w="3686" w:type="dxa"/>
            <w:noWrap/>
            <w:hideMark/>
          </w:tcPr>
          <w:p w14:paraId="6CA0109C" w14:textId="77777777" w:rsidR="002C11DC" w:rsidRPr="003F067F" w:rsidRDefault="002C11DC">
            <w:pPr>
              <w:spacing w:after="0"/>
              <w:rPr>
                <w:rFonts w:cs="Arial"/>
                <w:color w:val="000000"/>
                <w:sz w:val="18"/>
                <w:szCs w:val="18"/>
              </w:rPr>
            </w:pPr>
            <w:r w:rsidRPr="003F067F">
              <w:rPr>
                <w:rFonts w:cs="Arial"/>
                <w:color w:val="000000"/>
                <w:sz w:val="18"/>
                <w:szCs w:val="18"/>
              </w:rPr>
              <w:t>Scheme expenses (accrual basis)</w:t>
            </w:r>
          </w:p>
          <w:p w14:paraId="53AA1394" w14:textId="77777777" w:rsidR="002C11DC" w:rsidRPr="003F067F" w:rsidRDefault="002C11DC">
            <w:pPr>
              <w:spacing w:after="0"/>
              <w:rPr>
                <w:rFonts w:cs="Arial"/>
                <w:i/>
                <w:color w:val="000000"/>
                <w:sz w:val="18"/>
                <w:szCs w:val="18"/>
              </w:rPr>
            </w:pPr>
            <w:r w:rsidRPr="003F067F">
              <w:rPr>
                <w:rFonts w:cs="Arial"/>
                <w:i/>
                <w:color w:val="000000"/>
                <w:sz w:val="18"/>
                <w:szCs w:val="18"/>
              </w:rPr>
              <w:t> </w:t>
            </w:r>
          </w:p>
        </w:tc>
        <w:tc>
          <w:tcPr>
            <w:tcW w:w="992" w:type="dxa"/>
            <w:noWrap/>
            <w:hideMark/>
          </w:tcPr>
          <w:p w14:paraId="3EBDE59D"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i/>
                <w:color w:val="000000"/>
                <w:sz w:val="18"/>
                <w:szCs w:val="18"/>
              </w:rPr>
            </w:pPr>
            <w:r w:rsidRPr="003F067F">
              <w:rPr>
                <w:rFonts w:cs="Arial"/>
                <w:i/>
                <w:color w:val="000000"/>
                <w:sz w:val="18"/>
                <w:szCs w:val="18"/>
              </w:rPr>
              <w:t> </w:t>
            </w:r>
          </w:p>
        </w:tc>
        <w:tc>
          <w:tcPr>
            <w:tcW w:w="1134" w:type="dxa"/>
            <w:noWrap/>
            <w:hideMark/>
          </w:tcPr>
          <w:p w14:paraId="161E9181"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992" w:type="dxa"/>
            <w:noWrap/>
            <w:hideMark/>
          </w:tcPr>
          <w:p w14:paraId="2DC0B0B2"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1134" w:type="dxa"/>
            <w:tcBorders>
              <w:right w:val="dotted" w:sz="4" w:space="0" w:color="auto"/>
            </w:tcBorders>
            <w:noWrap/>
            <w:hideMark/>
          </w:tcPr>
          <w:p w14:paraId="5447644B"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1134" w:type="dxa"/>
            <w:tcBorders>
              <w:left w:val="dotted" w:sz="4" w:space="0" w:color="auto"/>
            </w:tcBorders>
            <w:noWrap/>
            <w:hideMark/>
          </w:tcPr>
          <w:p w14:paraId="51DF83F6"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 </w:t>
            </w:r>
          </w:p>
        </w:tc>
      </w:tr>
      <w:tr w:rsidR="002C11DC" w:rsidRPr="003F067F" w14:paraId="479765DE" w14:textId="77777777" w:rsidTr="00F830E6">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noWrap/>
            <w:hideMark/>
          </w:tcPr>
          <w:p w14:paraId="670A32D8" w14:textId="77777777" w:rsidR="002C11DC" w:rsidRPr="003F067F" w:rsidRDefault="002C11DC">
            <w:pPr>
              <w:spacing w:after="0"/>
              <w:rPr>
                <w:rFonts w:cs="Arial"/>
                <w:color w:val="000000"/>
                <w:sz w:val="18"/>
                <w:szCs w:val="18"/>
              </w:rPr>
            </w:pPr>
            <w:r w:rsidRPr="003F067F">
              <w:rPr>
                <w:rFonts w:cs="Arial"/>
                <w:color w:val="000000"/>
                <w:sz w:val="18"/>
                <w:szCs w:val="18"/>
              </w:rPr>
              <w:t>0-64 years</w:t>
            </w:r>
          </w:p>
        </w:tc>
        <w:tc>
          <w:tcPr>
            <w:tcW w:w="0" w:type="dxa"/>
            <w:noWrap/>
            <w:hideMark/>
          </w:tcPr>
          <w:p w14:paraId="0D4D865A"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31,386</w:t>
            </w:r>
          </w:p>
        </w:tc>
        <w:tc>
          <w:tcPr>
            <w:tcW w:w="0" w:type="dxa"/>
            <w:noWrap/>
            <w:hideMark/>
          </w:tcPr>
          <w:p w14:paraId="7227E42A"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34,812</w:t>
            </w:r>
          </w:p>
        </w:tc>
        <w:tc>
          <w:tcPr>
            <w:tcW w:w="0" w:type="dxa"/>
            <w:noWrap/>
            <w:hideMark/>
          </w:tcPr>
          <w:p w14:paraId="7F69054E"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37,569</w:t>
            </w:r>
          </w:p>
        </w:tc>
        <w:tc>
          <w:tcPr>
            <w:tcW w:w="0" w:type="dxa"/>
            <w:tcBorders>
              <w:right w:val="dotted" w:sz="4" w:space="0" w:color="auto"/>
            </w:tcBorders>
            <w:noWrap/>
            <w:hideMark/>
          </w:tcPr>
          <w:p w14:paraId="7AFD90D2"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40,119</w:t>
            </w:r>
          </w:p>
        </w:tc>
        <w:tc>
          <w:tcPr>
            <w:tcW w:w="0" w:type="dxa"/>
            <w:tcBorders>
              <w:left w:val="dotted" w:sz="4" w:space="0" w:color="auto"/>
            </w:tcBorders>
            <w:noWrap/>
            <w:hideMark/>
          </w:tcPr>
          <w:p w14:paraId="6CA9C27F"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59,548</w:t>
            </w:r>
          </w:p>
        </w:tc>
      </w:tr>
      <w:tr w:rsidR="002C11DC" w:rsidRPr="003F067F" w14:paraId="24E6C8EB" w14:textId="77777777" w:rsidTr="00252EAF">
        <w:trPr>
          <w:trHeight w:hRule="exact" w:val="301"/>
        </w:trPr>
        <w:tc>
          <w:tcPr>
            <w:cnfStyle w:val="001000000000" w:firstRow="0" w:lastRow="0" w:firstColumn="1" w:lastColumn="0" w:oddVBand="0" w:evenVBand="0" w:oddHBand="0" w:evenHBand="0" w:firstRowFirstColumn="0" w:firstRowLastColumn="0" w:lastRowFirstColumn="0" w:lastRowLastColumn="0"/>
            <w:tcW w:w="3686" w:type="dxa"/>
            <w:tcBorders>
              <w:bottom w:val="single" w:sz="4" w:space="0" w:color="auto"/>
            </w:tcBorders>
            <w:noWrap/>
            <w:hideMark/>
          </w:tcPr>
          <w:p w14:paraId="162BC680" w14:textId="77777777" w:rsidR="002C11DC" w:rsidRPr="003F067F" w:rsidRDefault="002C11DC">
            <w:pPr>
              <w:spacing w:after="0"/>
              <w:rPr>
                <w:rFonts w:cs="Arial"/>
                <w:color w:val="000000"/>
                <w:sz w:val="18"/>
                <w:szCs w:val="18"/>
              </w:rPr>
            </w:pPr>
            <w:r w:rsidRPr="003F067F">
              <w:rPr>
                <w:rFonts w:cs="Arial"/>
                <w:color w:val="000000"/>
                <w:sz w:val="18"/>
                <w:szCs w:val="18"/>
              </w:rPr>
              <w:t>65+ years</w:t>
            </w:r>
          </w:p>
        </w:tc>
        <w:tc>
          <w:tcPr>
            <w:tcW w:w="992" w:type="dxa"/>
            <w:tcBorders>
              <w:bottom w:val="single" w:sz="4" w:space="0" w:color="auto"/>
            </w:tcBorders>
            <w:noWrap/>
            <w:hideMark/>
          </w:tcPr>
          <w:p w14:paraId="286ACF9A"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2,501</w:t>
            </w:r>
          </w:p>
        </w:tc>
        <w:tc>
          <w:tcPr>
            <w:tcW w:w="1134" w:type="dxa"/>
            <w:tcBorders>
              <w:bottom w:val="single" w:sz="4" w:space="0" w:color="auto"/>
            </w:tcBorders>
            <w:noWrap/>
            <w:hideMark/>
          </w:tcPr>
          <w:p w14:paraId="24AB1C24"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3,161</w:t>
            </w:r>
          </w:p>
        </w:tc>
        <w:tc>
          <w:tcPr>
            <w:tcW w:w="992" w:type="dxa"/>
            <w:tcBorders>
              <w:bottom w:val="single" w:sz="4" w:space="0" w:color="auto"/>
            </w:tcBorders>
            <w:noWrap/>
            <w:hideMark/>
          </w:tcPr>
          <w:p w14:paraId="536358B5"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3,803</w:t>
            </w:r>
          </w:p>
        </w:tc>
        <w:tc>
          <w:tcPr>
            <w:tcW w:w="1134" w:type="dxa"/>
            <w:tcBorders>
              <w:bottom w:val="single" w:sz="4" w:space="0" w:color="auto"/>
              <w:right w:val="dotted" w:sz="4" w:space="0" w:color="auto"/>
            </w:tcBorders>
            <w:noWrap/>
            <w:hideMark/>
          </w:tcPr>
          <w:p w14:paraId="254F0A79"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4,432</w:t>
            </w:r>
          </w:p>
        </w:tc>
        <w:tc>
          <w:tcPr>
            <w:tcW w:w="1134" w:type="dxa"/>
            <w:tcBorders>
              <w:left w:val="dotted" w:sz="4" w:space="0" w:color="auto"/>
              <w:bottom w:val="single" w:sz="4" w:space="0" w:color="auto"/>
            </w:tcBorders>
            <w:noWrap/>
            <w:hideMark/>
          </w:tcPr>
          <w:p w14:paraId="64517AF4"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8,501</w:t>
            </w:r>
          </w:p>
        </w:tc>
      </w:tr>
      <w:tr w:rsidR="00252EAF" w:rsidRPr="003F067F" w14:paraId="31B1B9BB"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bottom w:val="single" w:sz="4" w:space="0" w:color="auto"/>
            </w:tcBorders>
            <w:shd w:val="clear" w:color="auto" w:fill="D4C5D7"/>
            <w:noWrap/>
            <w:hideMark/>
          </w:tcPr>
          <w:p w14:paraId="44B6B6E3" w14:textId="77777777" w:rsidR="002C11DC" w:rsidRPr="003F067F" w:rsidRDefault="002C11DC">
            <w:pPr>
              <w:spacing w:after="0"/>
              <w:rPr>
                <w:rFonts w:cs="Arial"/>
                <w:b/>
                <w:color w:val="000000"/>
                <w:sz w:val="18"/>
                <w:szCs w:val="18"/>
              </w:rPr>
            </w:pPr>
            <w:r w:rsidRPr="003F067F">
              <w:rPr>
                <w:rFonts w:cs="Arial"/>
                <w:b/>
                <w:color w:val="000000"/>
                <w:sz w:val="18"/>
                <w:szCs w:val="18"/>
              </w:rPr>
              <w:t xml:space="preserve">Total </w:t>
            </w:r>
            <w:r w:rsidRPr="003F067F">
              <w:rPr>
                <w:rFonts w:cs="Arial"/>
                <w:b/>
                <w:bCs/>
                <w:color w:val="000000"/>
                <w:sz w:val="18"/>
                <w:szCs w:val="18"/>
              </w:rPr>
              <w:t>scheme expenses</w:t>
            </w:r>
            <w:r w:rsidRPr="003F067F">
              <w:rPr>
                <w:rFonts w:cs="Arial"/>
                <w:b/>
                <w:color w:val="000000"/>
                <w:sz w:val="18"/>
                <w:szCs w:val="18"/>
              </w:rPr>
              <w:t xml:space="preserve"> (accrual basis)</w:t>
            </w:r>
          </w:p>
        </w:tc>
        <w:tc>
          <w:tcPr>
            <w:tcW w:w="992" w:type="dxa"/>
            <w:tcBorders>
              <w:top w:val="single" w:sz="4" w:space="0" w:color="auto"/>
              <w:bottom w:val="single" w:sz="4" w:space="0" w:color="auto"/>
            </w:tcBorders>
            <w:shd w:val="clear" w:color="auto" w:fill="D4C5D7"/>
            <w:noWrap/>
            <w:hideMark/>
          </w:tcPr>
          <w:p w14:paraId="3093024D"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3F067F">
              <w:rPr>
                <w:rFonts w:cs="Arial"/>
                <w:b/>
                <w:bCs/>
                <w:color w:val="000000"/>
                <w:sz w:val="18"/>
                <w:szCs w:val="18"/>
              </w:rPr>
              <w:t>33,886</w:t>
            </w:r>
          </w:p>
        </w:tc>
        <w:tc>
          <w:tcPr>
            <w:tcW w:w="1134" w:type="dxa"/>
            <w:tcBorders>
              <w:top w:val="single" w:sz="4" w:space="0" w:color="auto"/>
              <w:bottom w:val="single" w:sz="4" w:space="0" w:color="auto"/>
            </w:tcBorders>
            <w:shd w:val="clear" w:color="auto" w:fill="D4C5D7"/>
            <w:noWrap/>
            <w:hideMark/>
          </w:tcPr>
          <w:p w14:paraId="12CC03AA"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3F067F">
              <w:rPr>
                <w:rFonts w:cs="Arial"/>
                <w:b/>
                <w:bCs/>
                <w:color w:val="000000"/>
                <w:sz w:val="18"/>
                <w:szCs w:val="18"/>
              </w:rPr>
              <w:t>37,973</w:t>
            </w:r>
          </w:p>
        </w:tc>
        <w:tc>
          <w:tcPr>
            <w:tcW w:w="992" w:type="dxa"/>
            <w:tcBorders>
              <w:top w:val="single" w:sz="4" w:space="0" w:color="auto"/>
              <w:bottom w:val="single" w:sz="4" w:space="0" w:color="auto"/>
            </w:tcBorders>
            <w:shd w:val="clear" w:color="auto" w:fill="D4C5D7"/>
            <w:noWrap/>
            <w:hideMark/>
          </w:tcPr>
          <w:p w14:paraId="37B5535F"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3F067F">
              <w:rPr>
                <w:rFonts w:cs="Arial"/>
                <w:b/>
                <w:bCs/>
                <w:color w:val="000000"/>
                <w:sz w:val="18"/>
                <w:szCs w:val="18"/>
              </w:rPr>
              <w:t>41,373</w:t>
            </w:r>
          </w:p>
        </w:tc>
        <w:tc>
          <w:tcPr>
            <w:tcW w:w="1134" w:type="dxa"/>
            <w:tcBorders>
              <w:top w:val="single" w:sz="4" w:space="0" w:color="auto"/>
              <w:bottom w:val="single" w:sz="4" w:space="0" w:color="auto"/>
              <w:right w:val="dotted" w:sz="4" w:space="0" w:color="auto"/>
            </w:tcBorders>
            <w:shd w:val="clear" w:color="auto" w:fill="D4C5D7"/>
            <w:noWrap/>
            <w:hideMark/>
          </w:tcPr>
          <w:p w14:paraId="424C2958"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3F067F">
              <w:rPr>
                <w:rFonts w:cs="Arial"/>
                <w:b/>
                <w:bCs/>
                <w:color w:val="000000"/>
                <w:sz w:val="18"/>
                <w:szCs w:val="18"/>
              </w:rPr>
              <w:t>44,551</w:t>
            </w:r>
          </w:p>
        </w:tc>
        <w:tc>
          <w:tcPr>
            <w:tcW w:w="1134" w:type="dxa"/>
            <w:tcBorders>
              <w:top w:val="single" w:sz="4" w:space="0" w:color="auto"/>
              <w:left w:val="dotted" w:sz="4" w:space="0" w:color="auto"/>
              <w:bottom w:val="single" w:sz="4" w:space="0" w:color="auto"/>
            </w:tcBorders>
            <w:shd w:val="clear" w:color="auto" w:fill="D4C5D7"/>
            <w:noWrap/>
            <w:hideMark/>
          </w:tcPr>
          <w:p w14:paraId="7EDAF9E5"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3F067F">
              <w:rPr>
                <w:rFonts w:cs="Arial"/>
                <w:b/>
                <w:bCs/>
                <w:color w:val="000000"/>
                <w:sz w:val="18"/>
                <w:szCs w:val="18"/>
              </w:rPr>
              <w:t>68,049</w:t>
            </w:r>
          </w:p>
        </w:tc>
      </w:tr>
      <w:tr w:rsidR="002C11DC" w:rsidRPr="003F067F" w14:paraId="120EF700" w14:textId="77777777" w:rsidTr="00252EAF">
        <w:trPr>
          <w:trHeight w:hRule="exact" w:val="301"/>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tcBorders>
            <w:noWrap/>
            <w:hideMark/>
          </w:tcPr>
          <w:p w14:paraId="0A2F185F" w14:textId="77777777" w:rsidR="002C11DC" w:rsidRPr="003F067F" w:rsidRDefault="002C11DC">
            <w:pPr>
              <w:spacing w:after="0"/>
              <w:rPr>
                <w:rFonts w:cs="Arial"/>
                <w:b/>
                <w:i/>
                <w:color w:val="000000"/>
                <w:sz w:val="18"/>
                <w:szCs w:val="18"/>
              </w:rPr>
            </w:pPr>
            <w:r w:rsidRPr="003F067F">
              <w:rPr>
                <w:rFonts w:cs="Arial"/>
                <w:b/>
                <w:color w:val="000000"/>
                <w:sz w:val="18"/>
                <w:szCs w:val="18"/>
              </w:rPr>
              <w:t>Difference</w:t>
            </w:r>
            <w:r w:rsidRPr="003F067F">
              <w:rPr>
                <w:rFonts w:cs="Arial"/>
                <w:b/>
                <w:i/>
                <w:color w:val="000000"/>
                <w:sz w:val="18"/>
                <w:szCs w:val="18"/>
              </w:rPr>
              <w:t> </w:t>
            </w:r>
          </w:p>
        </w:tc>
        <w:tc>
          <w:tcPr>
            <w:tcW w:w="992" w:type="dxa"/>
            <w:tcBorders>
              <w:top w:val="single" w:sz="4" w:space="0" w:color="auto"/>
            </w:tcBorders>
            <w:noWrap/>
            <w:hideMark/>
          </w:tcPr>
          <w:p w14:paraId="4BC6BB65"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b/>
                <w:i/>
                <w:color w:val="000000"/>
                <w:sz w:val="18"/>
                <w:szCs w:val="18"/>
              </w:rPr>
            </w:pPr>
            <w:r w:rsidRPr="003F067F">
              <w:rPr>
                <w:rFonts w:cs="Arial"/>
                <w:b/>
                <w:i/>
                <w:color w:val="000000"/>
                <w:sz w:val="18"/>
                <w:szCs w:val="18"/>
              </w:rPr>
              <w:t> </w:t>
            </w:r>
          </w:p>
        </w:tc>
        <w:tc>
          <w:tcPr>
            <w:tcW w:w="1134" w:type="dxa"/>
            <w:tcBorders>
              <w:top w:val="single" w:sz="4" w:space="0" w:color="auto"/>
            </w:tcBorders>
            <w:noWrap/>
            <w:hideMark/>
          </w:tcPr>
          <w:p w14:paraId="220FE517"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992" w:type="dxa"/>
            <w:tcBorders>
              <w:top w:val="single" w:sz="4" w:space="0" w:color="auto"/>
            </w:tcBorders>
            <w:noWrap/>
            <w:hideMark/>
          </w:tcPr>
          <w:p w14:paraId="56D45D33"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1134" w:type="dxa"/>
            <w:tcBorders>
              <w:top w:val="single" w:sz="4" w:space="0" w:color="auto"/>
              <w:right w:val="dotted" w:sz="4" w:space="0" w:color="auto"/>
            </w:tcBorders>
            <w:noWrap/>
            <w:hideMark/>
          </w:tcPr>
          <w:p w14:paraId="2C08500F"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1134" w:type="dxa"/>
            <w:tcBorders>
              <w:top w:val="single" w:sz="4" w:space="0" w:color="auto"/>
              <w:left w:val="dotted" w:sz="4" w:space="0" w:color="auto"/>
            </w:tcBorders>
            <w:noWrap/>
            <w:hideMark/>
          </w:tcPr>
          <w:p w14:paraId="55F423D1"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 </w:t>
            </w:r>
          </w:p>
        </w:tc>
      </w:tr>
      <w:tr w:rsidR="002C11DC" w:rsidRPr="003F067F" w14:paraId="5DABA4B8"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686" w:type="dxa"/>
            <w:noWrap/>
            <w:hideMark/>
          </w:tcPr>
          <w:p w14:paraId="632667F5" w14:textId="77777777" w:rsidR="002C11DC" w:rsidRPr="003F067F" w:rsidRDefault="002C11DC">
            <w:pPr>
              <w:spacing w:after="0"/>
              <w:rPr>
                <w:rFonts w:cs="Arial"/>
                <w:color w:val="000000"/>
                <w:sz w:val="18"/>
                <w:szCs w:val="18"/>
              </w:rPr>
            </w:pPr>
            <w:r w:rsidRPr="003F067F">
              <w:rPr>
                <w:rFonts w:cs="Arial"/>
                <w:color w:val="000000"/>
                <w:sz w:val="18"/>
                <w:szCs w:val="18"/>
              </w:rPr>
              <w:t>Scheme expenses (accrual basis)</w:t>
            </w:r>
          </w:p>
        </w:tc>
        <w:tc>
          <w:tcPr>
            <w:tcW w:w="992" w:type="dxa"/>
            <w:noWrap/>
            <w:hideMark/>
          </w:tcPr>
          <w:p w14:paraId="536EFB3E" w14:textId="77777777" w:rsidR="002C11DC" w:rsidRPr="003F067F" w:rsidRDefault="002C11DC" w:rsidP="00DA3F73">
            <w:pPr>
              <w:spacing w:after="0"/>
              <w:cnfStyle w:val="000000010000" w:firstRow="0" w:lastRow="0" w:firstColumn="0" w:lastColumn="0" w:oddVBand="0" w:evenVBand="0" w:oddHBand="0" w:evenHBand="1" w:firstRowFirstColumn="0" w:firstRowLastColumn="0" w:lastRowFirstColumn="0" w:lastRowLastColumn="0"/>
              <w:rPr>
                <w:rFonts w:cs="Arial"/>
                <w:i/>
                <w:color w:val="000000"/>
                <w:sz w:val="18"/>
                <w:szCs w:val="18"/>
              </w:rPr>
            </w:pPr>
            <w:r w:rsidRPr="003F067F">
              <w:rPr>
                <w:rFonts w:cs="Arial"/>
                <w:i/>
                <w:color w:val="000000"/>
                <w:sz w:val="18"/>
                <w:szCs w:val="18"/>
              </w:rPr>
              <w:t> </w:t>
            </w:r>
          </w:p>
        </w:tc>
        <w:tc>
          <w:tcPr>
            <w:tcW w:w="1134" w:type="dxa"/>
            <w:noWrap/>
            <w:hideMark/>
          </w:tcPr>
          <w:p w14:paraId="63A9602C"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992" w:type="dxa"/>
            <w:noWrap/>
            <w:hideMark/>
          </w:tcPr>
          <w:p w14:paraId="73DB7257"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1134" w:type="dxa"/>
            <w:tcBorders>
              <w:right w:val="dotted" w:sz="4" w:space="0" w:color="auto"/>
            </w:tcBorders>
            <w:noWrap/>
            <w:hideMark/>
          </w:tcPr>
          <w:p w14:paraId="44BE6532"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1134" w:type="dxa"/>
            <w:tcBorders>
              <w:left w:val="dotted" w:sz="4" w:space="0" w:color="auto"/>
            </w:tcBorders>
            <w:noWrap/>
            <w:hideMark/>
          </w:tcPr>
          <w:p w14:paraId="573D1717"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 </w:t>
            </w:r>
          </w:p>
        </w:tc>
      </w:tr>
      <w:tr w:rsidR="002C11DC" w:rsidRPr="003F067F" w14:paraId="4C27BBB2" w14:textId="77777777" w:rsidTr="00252EAF">
        <w:trPr>
          <w:trHeight w:hRule="exact" w:val="301"/>
        </w:trPr>
        <w:tc>
          <w:tcPr>
            <w:cnfStyle w:val="001000000000" w:firstRow="0" w:lastRow="0" w:firstColumn="1" w:lastColumn="0" w:oddVBand="0" w:evenVBand="0" w:oddHBand="0" w:evenHBand="0" w:firstRowFirstColumn="0" w:firstRowLastColumn="0" w:lastRowFirstColumn="0" w:lastRowLastColumn="0"/>
            <w:tcW w:w="3686" w:type="dxa"/>
            <w:noWrap/>
            <w:hideMark/>
          </w:tcPr>
          <w:p w14:paraId="1CDB1F1B" w14:textId="77777777" w:rsidR="002C11DC" w:rsidRPr="003F067F" w:rsidRDefault="002C11DC">
            <w:pPr>
              <w:spacing w:after="0"/>
              <w:rPr>
                <w:rFonts w:cs="Arial"/>
                <w:color w:val="000000"/>
                <w:sz w:val="18"/>
                <w:szCs w:val="18"/>
              </w:rPr>
            </w:pPr>
            <w:r w:rsidRPr="003F067F">
              <w:rPr>
                <w:rFonts w:cs="Arial"/>
                <w:color w:val="000000"/>
                <w:sz w:val="18"/>
                <w:szCs w:val="18"/>
              </w:rPr>
              <w:t>0-64 years</w:t>
            </w:r>
          </w:p>
        </w:tc>
        <w:tc>
          <w:tcPr>
            <w:tcW w:w="992" w:type="dxa"/>
            <w:noWrap/>
            <w:hideMark/>
          </w:tcPr>
          <w:p w14:paraId="1D4516BE"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9</w:t>
            </w:r>
          </w:p>
        </w:tc>
        <w:tc>
          <w:tcPr>
            <w:tcW w:w="1134" w:type="dxa"/>
            <w:noWrap/>
            <w:hideMark/>
          </w:tcPr>
          <w:p w14:paraId="7E8638E2"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62</w:t>
            </w:r>
          </w:p>
        </w:tc>
        <w:tc>
          <w:tcPr>
            <w:tcW w:w="992" w:type="dxa"/>
            <w:noWrap/>
            <w:hideMark/>
          </w:tcPr>
          <w:p w14:paraId="7E412956"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2,386</w:t>
            </w:r>
          </w:p>
        </w:tc>
        <w:tc>
          <w:tcPr>
            <w:tcW w:w="1134" w:type="dxa"/>
            <w:tcBorders>
              <w:right w:val="dotted" w:sz="4" w:space="0" w:color="auto"/>
            </w:tcBorders>
            <w:noWrap/>
            <w:hideMark/>
          </w:tcPr>
          <w:p w14:paraId="24DBD688"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5,068</w:t>
            </w:r>
          </w:p>
        </w:tc>
        <w:tc>
          <w:tcPr>
            <w:tcW w:w="1134" w:type="dxa"/>
            <w:tcBorders>
              <w:left w:val="dotted" w:sz="4" w:space="0" w:color="auto"/>
            </w:tcBorders>
            <w:noWrap/>
            <w:hideMark/>
          </w:tcPr>
          <w:p w14:paraId="20C1F6DA"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18,295</w:t>
            </w:r>
          </w:p>
        </w:tc>
      </w:tr>
      <w:tr w:rsidR="002C11DC" w:rsidRPr="003F067F" w14:paraId="71F20375"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686" w:type="dxa"/>
            <w:tcBorders>
              <w:bottom w:val="single" w:sz="4" w:space="0" w:color="auto"/>
            </w:tcBorders>
            <w:noWrap/>
            <w:hideMark/>
          </w:tcPr>
          <w:p w14:paraId="2B5885D7" w14:textId="77777777" w:rsidR="002C11DC" w:rsidRPr="003F067F" w:rsidRDefault="002C11DC">
            <w:pPr>
              <w:spacing w:after="0"/>
              <w:rPr>
                <w:rFonts w:cs="Arial"/>
                <w:color w:val="000000"/>
                <w:sz w:val="18"/>
                <w:szCs w:val="18"/>
              </w:rPr>
            </w:pPr>
            <w:r w:rsidRPr="003F067F">
              <w:rPr>
                <w:rFonts w:cs="Arial"/>
                <w:color w:val="000000"/>
                <w:sz w:val="18"/>
                <w:szCs w:val="18"/>
              </w:rPr>
              <w:t>65+ years</w:t>
            </w:r>
          </w:p>
        </w:tc>
        <w:tc>
          <w:tcPr>
            <w:tcW w:w="992" w:type="dxa"/>
            <w:tcBorders>
              <w:bottom w:val="single" w:sz="4" w:space="0" w:color="auto"/>
            </w:tcBorders>
            <w:noWrap/>
            <w:hideMark/>
          </w:tcPr>
          <w:p w14:paraId="7E134B57"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81</w:t>
            </w:r>
          </w:p>
        </w:tc>
        <w:tc>
          <w:tcPr>
            <w:tcW w:w="1134" w:type="dxa"/>
            <w:tcBorders>
              <w:bottom w:val="single" w:sz="4" w:space="0" w:color="auto"/>
            </w:tcBorders>
            <w:noWrap/>
            <w:hideMark/>
          </w:tcPr>
          <w:p w14:paraId="453E3853"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98</w:t>
            </w:r>
          </w:p>
        </w:tc>
        <w:tc>
          <w:tcPr>
            <w:tcW w:w="992" w:type="dxa"/>
            <w:tcBorders>
              <w:bottom w:val="single" w:sz="4" w:space="0" w:color="auto"/>
            </w:tcBorders>
            <w:noWrap/>
            <w:hideMark/>
          </w:tcPr>
          <w:p w14:paraId="7F039B65"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357</w:t>
            </w:r>
          </w:p>
        </w:tc>
        <w:tc>
          <w:tcPr>
            <w:tcW w:w="1134" w:type="dxa"/>
            <w:tcBorders>
              <w:bottom w:val="single" w:sz="4" w:space="0" w:color="auto"/>
              <w:right w:val="dotted" w:sz="4" w:space="0" w:color="auto"/>
            </w:tcBorders>
            <w:noWrap/>
            <w:hideMark/>
          </w:tcPr>
          <w:p w14:paraId="486D6A53"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725</w:t>
            </w:r>
          </w:p>
        </w:tc>
        <w:tc>
          <w:tcPr>
            <w:tcW w:w="1134" w:type="dxa"/>
            <w:tcBorders>
              <w:left w:val="dotted" w:sz="4" w:space="0" w:color="auto"/>
              <w:bottom w:val="single" w:sz="4" w:space="0" w:color="auto"/>
            </w:tcBorders>
            <w:noWrap/>
            <w:hideMark/>
          </w:tcPr>
          <w:p w14:paraId="2894DD14"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3,058</w:t>
            </w:r>
          </w:p>
        </w:tc>
      </w:tr>
      <w:tr w:rsidR="00252EAF" w:rsidRPr="003F067F" w14:paraId="2ECF2380" w14:textId="77777777" w:rsidTr="00252EAF">
        <w:trPr>
          <w:trHeight w:hRule="exact" w:val="301"/>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bottom w:val="single" w:sz="4" w:space="0" w:color="auto"/>
            </w:tcBorders>
            <w:shd w:val="clear" w:color="auto" w:fill="D4C5D7"/>
            <w:noWrap/>
            <w:hideMark/>
          </w:tcPr>
          <w:p w14:paraId="6C7B8C5F" w14:textId="77777777" w:rsidR="002C11DC" w:rsidRPr="003F067F" w:rsidRDefault="002C11DC">
            <w:pPr>
              <w:spacing w:after="0"/>
              <w:rPr>
                <w:rFonts w:cs="Arial"/>
                <w:b/>
                <w:color w:val="000000"/>
                <w:sz w:val="18"/>
                <w:szCs w:val="18"/>
              </w:rPr>
            </w:pPr>
            <w:r w:rsidRPr="003F067F">
              <w:rPr>
                <w:rFonts w:cs="Arial"/>
                <w:b/>
                <w:color w:val="000000"/>
                <w:sz w:val="18"/>
                <w:szCs w:val="18"/>
              </w:rPr>
              <w:t xml:space="preserve">Total </w:t>
            </w:r>
            <w:r w:rsidRPr="003F067F">
              <w:rPr>
                <w:rFonts w:cs="Arial"/>
                <w:b/>
                <w:bCs/>
                <w:color w:val="000000"/>
                <w:sz w:val="18"/>
                <w:szCs w:val="18"/>
              </w:rPr>
              <w:t>scheme expenses</w:t>
            </w:r>
            <w:r w:rsidRPr="003F067F">
              <w:rPr>
                <w:rFonts w:cs="Arial"/>
                <w:b/>
                <w:color w:val="000000"/>
                <w:sz w:val="18"/>
                <w:szCs w:val="18"/>
              </w:rPr>
              <w:t xml:space="preserve"> (accrual basis)</w:t>
            </w:r>
          </w:p>
        </w:tc>
        <w:tc>
          <w:tcPr>
            <w:tcW w:w="992" w:type="dxa"/>
            <w:tcBorders>
              <w:top w:val="single" w:sz="4" w:space="0" w:color="auto"/>
              <w:bottom w:val="single" w:sz="4" w:space="0" w:color="auto"/>
            </w:tcBorders>
            <w:shd w:val="clear" w:color="auto" w:fill="D4C5D7"/>
            <w:noWrap/>
            <w:hideMark/>
          </w:tcPr>
          <w:p w14:paraId="5AC515DE"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3F067F">
              <w:rPr>
                <w:rFonts w:cs="Arial"/>
                <w:b/>
                <w:bCs/>
                <w:color w:val="000000"/>
                <w:sz w:val="18"/>
                <w:szCs w:val="18"/>
              </w:rPr>
              <w:t>90</w:t>
            </w:r>
          </w:p>
        </w:tc>
        <w:tc>
          <w:tcPr>
            <w:tcW w:w="1134" w:type="dxa"/>
            <w:tcBorders>
              <w:top w:val="single" w:sz="4" w:space="0" w:color="auto"/>
              <w:bottom w:val="single" w:sz="4" w:space="0" w:color="auto"/>
            </w:tcBorders>
            <w:shd w:val="clear" w:color="auto" w:fill="D4C5D7"/>
            <w:noWrap/>
            <w:hideMark/>
          </w:tcPr>
          <w:p w14:paraId="55E4BB24"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3F067F">
              <w:rPr>
                <w:rFonts w:cs="Arial"/>
                <w:b/>
                <w:color w:val="000000"/>
                <w:sz w:val="18"/>
                <w:szCs w:val="18"/>
              </w:rPr>
              <w:t>160</w:t>
            </w:r>
          </w:p>
        </w:tc>
        <w:tc>
          <w:tcPr>
            <w:tcW w:w="992" w:type="dxa"/>
            <w:tcBorders>
              <w:top w:val="single" w:sz="4" w:space="0" w:color="auto"/>
              <w:bottom w:val="single" w:sz="4" w:space="0" w:color="auto"/>
            </w:tcBorders>
            <w:shd w:val="clear" w:color="auto" w:fill="D4C5D7"/>
            <w:noWrap/>
            <w:hideMark/>
          </w:tcPr>
          <w:p w14:paraId="42EC3795"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3F067F">
              <w:rPr>
                <w:rFonts w:cs="Arial"/>
                <w:b/>
                <w:color w:val="000000"/>
                <w:sz w:val="18"/>
                <w:szCs w:val="18"/>
              </w:rPr>
              <w:t>2,743</w:t>
            </w:r>
          </w:p>
        </w:tc>
        <w:tc>
          <w:tcPr>
            <w:tcW w:w="1134" w:type="dxa"/>
            <w:tcBorders>
              <w:top w:val="single" w:sz="4" w:space="0" w:color="auto"/>
              <w:bottom w:val="single" w:sz="4" w:space="0" w:color="auto"/>
              <w:right w:val="dotted" w:sz="4" w:space="0" w:color="auto"/>
            </w:tcBorders>
            <w:shd w:val="clear" w:color="auto" w:fill="D4C5D7"/>
            <w:noWrap/>
            <w:hideMark/>
          </w:tcPr>
          <w:p w14:paraId="7B1D315B"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3F067F">
              <w:rPr>
                <w:rFonts w:cs="Arial"/>
                <w:b/>
                <w:color w:val="000000"/>
                <w:sz w:val="18"/>
                <w:szCs w:val="18"/>
              </w:rPr>
              <w:t>5,793</w:t>
            </w:r>
          </w:p>
        </w:tc>
        <w:tc>
          <w:tcPr>
            <w:tcW w:w="1134" w:type="dxa"/>
            <w:tcBorders>
              <w:top w:val="single" w:sz="4" w:space="0" w:color="auto"/>
              <w:left w:val="dotted" w:sz="4" w:space="0" w:color="auto"/>
              <w:bottom w:val="single" w:sz="4" w:space="0" w:color="auto"/>
            </w:tcBorders>
            <w:shd w:val="clear" w:color="auto" w:fill="D4C5D7"/>
            <w:noWrap/>
            <w:hideMark/>
          </w:tcPr>
          <w:p w14:paraId="29FB7548"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3F067F">
              <w:rPr>
                <w:rFonts w:cs="Arial"/>
                <w:b/>
                <w:color w:val="000000"/>
                <w:sz w:val="18"/>
                <w:szCs w:val="18"/>
              </w:rPr>
              <w:t>21,354</w:t>
            </w:r>
          </w:p>
        </w:tc>
      </w:tr>
      <w:tr w:rsidR="002C11DC" w:rsidRPr="003F067F" w14:paraId="169F64DD"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tcBorders>
            <w:noWrap/>
            <w:hideMark/>
          </w:tcPr>
          <w:p w14:paraId="5B919EE5" w14:textId="77777777" w:rsidR="002C11DC" w:rsidRPr="003F067F" w:rsidRDefault="002C11DC">
            <w:pPr>
              <w:spacing w:after="0"/>
              <w:rPr>
                <w:rFonts w:cs="Arial"/>
                <w:b/>
                <w:i/>
                <w:color w:val="000000"/>
                <w:sz w:val="18"/>
                <w:szCs w:val="18"/>
              </w:rPr>
            </w:pPr>
            <w:r w:rsidRPr="003F067F">
              <w:rPr>
                <w:rFonts w:cs="Arial"/>
                <w:b/>
                <w:color w:val="000000"/>
                <w:sz w:val="18"/>
                <w:szCs w:val="18"/>
              </w:rPr>
              <w:t>% Difference</w:t>
            </w:r>
            <w:r w:rsidRPr="003F067F">
              <w:rPr>
                <w:rFonts w:cs="Arial"/>
                <w:b/>
                <w:i/>
                <w:color w:val="000000"/>
                <w:sz w:val="18"/>
                <w:szCs w:val="18"/>
              </w:rPr>
              <w:t> </w:t>
            </w:r>
          </w:p>
        </w:tc>
        <w:tc>
          <w:tcPr>
            <w:tcW w:w="992" w:type="dxa"/>
            <w:tcBorders>
              <w:top w:val="single" w:sz="4" w:space="0" w:color="auto"/>
            </w:tcBorders>
            <w:noWrap/>
            <w:hideMark/>
          </w:tcPr>
          <w:p w14:paraId="7C899646"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b/>
                <w:i/>
                <w:color w:val="000000"/>
                <w:sz w:val="18"/>
                <w:szCs w:val="18"/>
              </w:rPr>
            </w:pPr>
            <w:r w:rsidRPr="003F067F">
              <w:rPr>
                <w:rFonts w:cs="Arial"/>
                <w:b/>
                <w:i/>
                <w:color w:val="000000"/>
                <w:sz w:val="18"/>
                <w:szCs w:val="18"/>
              </w:rPr>
              <w:t> </w:t>
            </w:r>
          </w:p>
        </w:tc>
        <w:tc>
          <w:tcPr>
            <w:tcW w:w="1134" w:type="dxa"/>
            <w:tcBorders>
              <w:top w:val="single" w:sz="4" w:space="0" w:color="auto"/>
            </w:tcBorders>
            <w:noWrap/>
            <w:hideMark/>
          </w:tcPr>
          <w:p w14:paraId="4556E886"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992" w:type="dxa"/>
            <w:tcBorders>
              <w:top w:val="single" w:sz="4" w:space="0" w:color="auto"/>
            </w:tcBorders>
            <w:noWrap/>
            <w:hideMark/>
          </w:tcPr>
          <w:p w14:paraId="32234881"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1134" w:type="dxa"/>
            <w:tcBorders>
              <w:top w:val="single" w:sz="4" w:space="0" w:color="auto"/>
              <w:right w:val="dotted" w:sz="4" w:space="0" w:color="auto"/>
            </w:tcBorders>
            <w:noWrap/>
            <w:hideMark/>
          </w:tcPr>
          <w:p w14:paraId="0EA13EF4"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1134" w:type="dxa"/>
            <w:tcBorders>
              <w:top w:val="single" w:sz="4" w:space="0" w:color="auto"/>
              <w:left w:val="dotted" w:sz="4" w:space="0" w:color="auto"/>
            </w:tcBorders>
            <w:noWrap/>
            <w:hideMark/>
          </w:tcPr>
          <w:p w14:paraId="5AF8D20F"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 </w:t>
            </w:r>
          </w:p>
        </w:tc>
      </w:tr>
      <w:tr w:rsidR="002C11DC" w:rsidRPr="003F067F" w14:paraId="1932069A" w14:textId="77777777" w:rsidTr="00252EAF">
        <w:trPr>
          <w:trHeight w:hRule="exact" w:val="301"/>
        </w:trPr>
        <w:tc>
          <w:tcPr>
            <w:cnfStyle w:val="001000000000" w:firstRow="0" w:lastRow="0" w:firstColumn="1" w:lastColumn="0" w:oddVBand="0" w:evenVBand="0" w:oddHBand="0" w:evenHBand="0" w:firstRowFirstColumn="0" w:firstRowLastColumn="0" w:lastRowFirstColumn="0" w:lastRowLastColumn="0"/>
            <w:tcW w:w="3686" w:type="dxa"/>
            <w:noWrap/>
            <w:hideMark/>
          </w:tcPr>
          <w:p w14:paraId="7BED3CD6" w14:textId="77777777" w:rsidR="002C11DC" w:rsidRPr="003F067F" w:rsidRDefault="002C11DC">
            <w:pPr>
              <w:spacing w:after="0"/>
              <w:rPr>
                <w:rFonts w:cs="Arial"/>
                <w:i/>
                <w:color w:val="000000"/>
                <w:sz w:val="18"/>
                <w:szCs w:val="18"/>
              </w:rPr>
            </w:pPr>
            <w:r w:rsidRPr="003F067F">
              <w:rPr>
                <w:rFonts w:cs="Arial"/>
                <w:color w:val="000000"/>
                <w:sz w:val="18"/>
                <w:szCs w:val="18"/>
              </w:rPr>
              <w:t>Scheme expenses (accrual basis)</w:t>
            </w:r>
            <w:r w:rsidRPr="003F067F">
              <w:rPr>
                <w:rFonts w:cs="Arial"/>
                <w:i/>
                <w:color w:val="000000"/>
                <w:sz w:val="18"/>
                <w:szCs w:val="18"/>
              </w:rPr>
              <w:t> </w:t>
            </w:r>
          </w:p>
        </w:tc>
        <w:tc>
          <w:tcPr>
            <w:tcW w:w="992" w:type="dxa"/>
            <w:noWrap/>
            <w:hideMark/>
          </w:tcPr>
          <w:p w14:paraId="5743D3AE"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i/>
                <w:color w:val="000000"/>
                <w:sz w:val="18"/>
                <w:szCs w:val="18"/>
              </w:rPr>
            </w:pPr>
            <w:r w:rsidRPr="003F067F">
              <w:rPr>
                <w:rFonts w:cs="Arial"/>
                <w:i/>
                <w:color w:val="000000"/>
                <w:sz w:val="18"/>
                <w:szCs w:val="18"/>
              </w:rPr>
              <w:t> </w:t>
            </w:r>
          </w:p>
        </w:tc>
        <w:tc>
          <w:tcPr>
            <w:tcW w:w="1134" w:type="dxa"/>
            <w:noWrap/>
            <w:hideMark/>
          </w:tcPr>
          <w:p w14:paraId="601C9074"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992" w:type="dxa"/>
            <w:noWrap/>
            <w:hideMark/>
          </w:tcPr>
          <w:p w14:paraId="42DE8E9A"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1134" w:type="dxa"/>
            <w:tcBorders>
              <w:right w:val="dotted" w:sz="4" w:space="0" w:color="auto"/>
            </w:tcBorders>
            <w:noWrap/>
            <w:hideMark/>
          </w:tcPr>
          <w:p w14:paraId="6F118954"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 </w:t>
            </w:r>
          </w:p>
        </w:tc>
        <w:tc>
          <w:tcPr>
            <w:tcW w:w="1134" w:type="dxa"/>
            <w:tcBorders>
              <w:left w:val="dotted" w:sz="4" w:space="0" w:color="auto"/>
            </w:tcBorders>
            <w:noWrap/>
            <w:hideMark/>
          </w:tcPr>
          <w:p w14:paraId="0ECE3E20"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 </w:t>
            </w:r>
          </w:p>
        </w:tc>
      </w:tr>
      <w:tr w:rsidR="002C11DC" w:rsidRPr="003F067F" w14:paraId="6EDCE0BD"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686" w:type="dxa"/>
            <w:noWrap/>
            <w:hideMark/>
          </w:tcPr>
          <w:p w14:paraId="2F340588" w14:textId="77777777" w:rsidR="002C11DC" w:rsidRPr="003F067F" w:rsidRDefault="002C11DC">
            <w:pPr>
              <w:spacing w:after="0"/>
              <w:rPr>
                <w:rFonts w:cs="Arial"/>
                <w:color w:val="000000"/>
                <w:sz w:val="18"/>
                <w:szCs w:val="18"/>
              </w:rPr>
            </w:pPr>
            <w:r w:rsidRPr="003F067F">
              <w:rPr>
                <w:rFonts w:cs="Arial"/>
                <w:color w:val="000000"/>
                <w:sz w:val="18"/>
                <w:szCs w:val="18"/>
              </w:rPr>
              <w:t>0-64 years</w:t>
            </w:r>
          </w:p>
        </w:tc>
        <w:tc>
          <w:tcPr>
            <w:tcW w:w="992" w:type="dxa"/>
            <w:noWrap/>
            <w:hideMark/>
          </w:tcPr>
          <w:p w14:paraId="79C50619"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0%</w:t>
            </w:r>
          </w:p>
        </w:tc>
        <w:tc>
          <w:tcPr>
            <w:tcW w:w="1134" w:type="dxa"/>
            <w:noWrap/>
            <w:hideMark/>
          </w:tcPr>
          <w:p w14:paraId="1687E92B"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0%</w:t>
            </w:r>
          </w:p>
        </w:tc>
        <w:tc>
          <w:tcPr>
            <w:tcW w:w="992" w:type="dxa"/>
            <w:noWrap/>
            <w:hideMark/>
          </w:tcPr>
          <w:p w14:paraId="7708C24D"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6%</w:t>
            </w:r>
          </w:p>
        </w:tc>
        <w:tc>
          <w:tcPr>
            <w:tcW w:w="1134" w:type="dxa"/>
            <w:tcBorders>
              <w:right w:val="dotted" w:sz="4" w:space="0" w:color="auto"/>
            </w:tcBorders>
            <w:noWrap/>
            <w:hideMark/>
          </w:tcPr>
          <w:p w14:paraId="26130035"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13%</w:t>
            </w:r>
          </w:p>
        </w:tc>
        <w:tc>
          <w:tcPr>
            <w:tcW w:w="1134" w:type="dxa"/>
            <w:tcBorders>
              <w:left w:val="dotted" w:sz="4" w:space="0" w:color="auto"/>
            </w:tcBorders>
            <w:noWrap/>
            <w:hideMark/>
          </w:tcPr>
          <w:p w14:paraId="41FBAB06"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3F067F">
              <w:rPr>
                <w:rFonts w:cs="Arial"/>
                <w:color w:val="000000"/>
                <w:sz w:val="18"/>
                <w:szCs w:val="18"/>
              </w:rPr>
              <w:t>31%</w:t>
            </w:r>
          </w:p>
        </w:tc>
      </w:tr>
      <w:tr w:rsidR="002C11DC" w:rsidRPr="003F067F" w14:paraId="712FCFF3" w14:textId="77777777" w:rsidTr="00252EAF">
        <w:trPr>
          <w:trHeight w:hRule="exact" w:val="301"/>
        </w:trPr>
        <w:tc>
          <w:tcPr>
            <w:cnfStyle w:val="001000000000" w:firstRow="0" w:lastRow="0" w:firstColumn="1" w:lastColumn="0" w:oddVBand="0" w:evenVBand="0" w:oddHBand="0" w:evenHBand="0" w:firstRowFirstColumn="0" w:firstRowLastColumn="0" w:lastRowFirstColumn="0" w:lastRowLastColumn="0"/>
            <w:tcW w:w="3686" w:type="dxa"/>
            <w:tcBorders>
              <w:bottom w:val="single" w:sz="4" w:space="0" w:color="auto"/>
            </w:tcBorders>
            <w:noWrap/>
            <w:hideMark/>
          </w:tcPr>
          <w:p w14:paraId="2AA6B184" w14:textId="77777777" w:rsidR="002C11DC" w:rsidRPr="003F067F" w:rsidRDefault="002C11DC">
            <w:pPr>
              <w:spacing w:after="0"/>
              <w:rPr>
                <w:rFonts w:cs="Arial"/>
                <w:color w:val="000000"/>
                <w:sz w:val="18"/>
                <w:szCs w:val="18"/>
              </w:rPr>
            </w:pPr>
            <w:r w:rsidRPr="003F067F">
              <w:rPr>
                <w:rFonts w:cs="Arial"/>
                <w:color w:val="000000"/>
                <w:sz w:val="18"/>
                <w:szCs w:val="18"/>
              </w:rPr>
              <w:t>65+ years</w:t>
            </w:r>
          </w:p>
        </w:tc>
        <w:tc>
          <w:tcPr>
            <w:tcW w:w="992" w:type="dxa"/>
            <w:tcBorders>
              <w:bottom w:val="single" w:sz="4" w:space="0" w:color="auto"/>
            </w:tcBorders>
            <w:noWrap/>
            <w:hideMark/>
          </w:tcPr>
          <w:p w14:paraId="57F4DC5C"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3%</w:t>
            </w:r>
          </w:p>
        </w:tc>
        <w:tc>
          <w:tcPr>
            <w:tcW w:w="1134" w:type="dxa"/>
            <w:tcBorders>
              <w:bottom w:val="single" w:sz="4" w:space="0" w:color="auto"/>
            </w:tcBorders>
            <w:noWrap/>
            <w:hideMark/>
          </w:tcPr>
          <w:p w14:paraId="67B6933B"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3%</w:t>
            </w:r>
          </w:p>
        </w:tc>
        <w:tc>
          <w:tcPr>
            <w:tcW w:w="992" w:type="dxa"/>
            <w:tcBorders>
              <w:bottom w:val="single" w:sz="4" w:space="0" w:color="auto"/>
            </w:tcBorders>
            <w:noWrap/>
            <w:hideMark/>
          </w:tcPr>
          <w:p w14:paraId="623B2828"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9%</w:t>
            </w:r>
          </w:p>
        </w:tc>
        <w:tc>
          <w:tcPr>
            <w:tcW w:w="1134" w:type="dxa"/>
            <w:tcBorders>
              <w:bottom w:val="single" w:sz="4" w:space="0" w:color="auto"/>
              <w:right w:val="dotted" w:sz="4" w:space="0" w:color="auto"/>
            </w:tcBorders>
            <w:noWrap/>
            <w:hideMark/>
          </w:tcPr>
          <w:p w14:paraId="12806BB0"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16%</w:t>
            </w:r>
          </w:p>
        </w:tc>
        <w:tc>
          <w:tcPr>
            <w:tcW w:w="1134" w:type="dxa"/>
            <w:tcBorders>
              <w:left w:val="dotted" w:sz="4" w:space="0" w:color="auto"/>
              <w:bottom w:val="single" w:sz="4" w:space="0" w:color="auto"/>
            </w:tcBorders>
            <w:noWrap/>
            <w:hideMark/>
          </w:tcPr>
          <w:p w14:paraId="63AFFAA7" w14:textId="77777777" w:rsidR="002C11DC" w:rsidRPr="003F067F" w:rsidRDefault="002C11DC">
            <w:pPr>
              <w:spacing w:after="0"/>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3F067F">
              <w:rPr>
                <w:rFonts w:cs="Arial"/>
                <w:color w:val="000000"/>
                <w:sz w:val="18"/>
                <w:szCs w:val="18"/>
              </w:rPr>
              <w:t>36%</w:t>
            </w:r>
          </w:p>
        </w:tc>
      </w:tr>
      <w:tr w:rsidR="00252EAF" w:rsidRPr="003F067F" w14:paraId="77FF4A29" w14:textId="77777777" w:rsidTr="00252EAF">
        <w:trPr>
          <w:cnfStyle w:val="000000010000" w:firstRow="0" w:lastRow="0" w:firstColumn="0" w:lastColumn="0" w:oddVBand="0" w:evenVBand="0" w:oddHBand="0" w:evenHBand="1" w:firstRowFirstColumn="0" w:firstRowLastColumn="0" w:lastRowFirstColumn="0" w:lastRowLastColumn="0"/>
          <w:trHeight w:hRule="exact" w:val="301"/>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bottom w:val="single" w:sz="4" w:space="0" w:color="auto"/>
            </w:tcBorders>
            <w:shd w:val="clear" w:color="auto" w:fill="D4C5D7"/>
            <w:noWrap/>
            <w:hideMark/>
          </w:tcPr>
          <w:p w14:paraId="5249A413" w14:textId="77777777" w:rsidR="002C11DC" w:rsidRPr="003F067F" w:rsidRDefault="002C11DC">
            <w:pPr>
              <w:spacing w:after="0"/>
              <w:rPr>
                <w:rFonts w:cs="Arial"/>
                <w:b/>
                <w:color w:val="000000"/>
                <w:sz w:val="18"/>
                <w:szCs w:val="18"/>
              </w:rPr>
            </w:pPr>
            <w:r w:rsidRPr="003F067F">
              <w:rPr>
                <w:rFonts w:cs="Arial"/>
                <w:b/>
                <w:color w:val="000000"/>
                <w:sz w:val="18"/>
                <w:szCs w:val="18"/>
              </w:rPr>
              <w:t xml:space="preserve">Total </w:t>
            </w:r>
            <w:r w:rsidRPr="003F067F">
              <w:rPr>
                <w:rFonts w:cs="Arial"/>
                <w:b/>
                <w:bCs/>
                <w:color w:val="000000"/>
                <w:sz w:val="18"/>
                <w:szCs w:val="18"/>
              </w:rPr>
              <w:t>scheme expenses</w:t>
            </w:r>
            <w:r w:rsidRPr="003F067F">
              <w:rPr>
                <w:rFonts w:cs="Arial"/>
                <w:b/>
                <w:color w:val="000000"/>
                <w:sz w:val="18"/>
                <w:szCs w:val="18"/>
              </w:rPr>
              <w:t xml:space="preserve"> (accrual basis)</w:t>
            </w:r>
          </w:p>
        </w:tc>
        <w:tc>
          <w:tcPr>
            <w:tcW w:w="992" w:type="dxa"/>
            <w:tcBorders>
              <w:top w:val="single" w:sz="4" w:space="0" w:color="auto"/>
              <w:bottom w:val="single" w:sz="4" w:space="0" w:color="auto"/>
            </w:tcBorders>
            <w:shd w:val="clear" w:color="auto" w:fill="D4C5D7"/>
            <w:noWrap/>
            <w:hideMark/>
          </w:tcPr>
          <w:p w14:paraId="6E283E0C"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3F067F">
              <w:rPr>
                <w:rFonts w:cs="Arial"/>
                <w:b/>
                <w:bCs/>
                <w:color w:val="000000"/>
                <w:sz w:val="18"/>
                <w:szCs w:val="18"/>
              </w:rPr>
              <w:t>0%</w:t>
            </w:r>
          </w:p>
        </w:tc>
        <w:tc>
          <w:tcPr>
            <w:tcW w:w="1134" w:type="dxa"/>
            <w:tcBorders>
              <w:top w:val="single" w:sz="4" w:space="0" w:color="auto"/>
              <w:bottom w:val="single" w:sz="4" w:space="0" w:color="auto"/>
            </w:tcBorders>
            <w:shd w:val="clear" w:color="auto" w:fill="D4C5D7"/>
            <w:noWrap/>
            <w:hideMark/>
          </w:tcPr>
          <w:p w14:paraId="18E147B3"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3F067F">
              <w:rPr>
                <w:rFonts w:cs="Arial"/>
                <w:b/>
                <w:color w:val="000000"/>
                <w:sz w:val="18"/>
                <w:szCs w:val="18"/>
              </w:rPr>
              <w:t>0%</w:t>
            </w:r>
          </w:p>
        </w:tc>
        <w:tc>
          <w:tcPr>
            <w:tcW w:w="992" w:type="dxa"/>
            <w:tcBorders>
              <w:top w:val="single" w:sz="4" w:space="0" w:color="auto"/>
              <w:bottom w:val="single" w:sz="4" w:space="0" w:color="auto"/>
            </w:tcBorders>
            <w:shd w:val="clear" w:color="auto" w:fill="D4C5D7"/>
            <w:noWrap/>
            <w:hideMark/>
          </w:tcPr>
          <w:p w14:paraId="158862E4"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3F067F">
              <w:rPr>
                <w:rFonts w:cs="Arial"/>
                <w:b/>
                <w:color w:val="000000"/>
                <w:sz w:val="18"/>
                <w:szCs w:val="18"/>
              </w:rPr>
              <w:t>7%</w:t>
            </w:r>
          </w:p>
        </w:tc>
        <w:tc>
          <w:tcPr>
            <w:tcW w:w="1134" w:type="dxa"/>
            <w:tcBorders>
              <w:top w:val="single" w:sz="4" w:space="0" w:color="auto"/>
              <w:bottom w:val="single" w:sz="4" w:space="0" w:color="auto"/>
              <w:right w:val="dotted" w:sz="4" w:space="0" w:color="auto"/>
            </w:tcBorders>
            <w:shd w:val="clear" w:color="auto" w:fill="D4C5D7"/>
            <w:noWrap/>
            <w:hideMark/>
          </w:tcPr>
          <w:p w14:paraId="2C467588"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3F067F">
              <w:rPr>
                <w:rFonts w:cs="Arial"/>
                <w:b/>
                <w:color w:val="000000"/>
                <w:sz w:val="18"/>
                <w:szCs w:val="18"/>
              </w:rPr>
              <w:t>13%</w:t>
            </w:r>
          </w:p>
        </w:tc>
        <w:tc>
          <w:tcPr>
            <w:tcW w:w="1134" w:type="dxa"/>
            <w:tcBorders>
              <w:top w:val="single" w:sz="4" w:space="0" w:color="auto"/>
              <w:left w:val="dotted" w:sz="4" w:space="0" w:color="auto"/>
              <w:bottom w:val="single" w:sz="4" w:space="0" w:color="auto"/>
            </w:tcBorders>
            <w:shd w:val="clear" w:color="auto" w:fill="D4C5D7"/>
            <w:noWrap/>
            <w:hideMark/>
          </w:tcPr>
          <w:p w14:paraId="2617BECB" w14:textId="77777777" w:rsidR="002C11DC" w:rsidRPr="003F067F" w:rsidRDefault="002C11DC">
            <w:pPr>
              <w:spacing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rPr>
            </w:pPr>
            <w:r w:rsidRPr="003F067F">
              <w:rPr>
                <w:rFonts w:cs="Arial"/>
                <w:b/>
                <w:color w:val="000000"/>
                <w:sz w:val="18"/>
                <w:szCs w:val="18"/>
              </w:rPr>
              <w:t>31%</w:t>
            </w:r>
          </w:p>
        </w:tc>
      </w:tr>
    </w:tbl>
    <w:p w14:paraId="17CCEDA0" w14:textId="77777777" w:rsidR="002C11DC" w:rsidRPr="008F5BE4" w:rsidRDefault="002C11DC" w:rsidP="002C11DC">
      <w:pPr>
        <w:pStyle w:val="FSRHeading4"/>
      </w:pPr>
      <w:r w:rsidRPr="008F5BE4">
        <w:t>Scheme expenses by participants with SIL and without SIL</w:t>
      </w:r>
    </w:p>
    <w:p w14:paraId="2BC4C7CD" w14:textId="77777777" w:rsidR="002C11DC" w:rsidRPr="000312F3" w:rsidRDefault="00940F87" w:rsidP="002C11DC">
      <w:pPr>
        <w:pStyle w:val="FSRnormal"/>
      </w:pPr>
      <w:r w:rsidRPr="00940F87">
        <w:t>Table B.</w:t>
      </w:r>
      <w:r w:rsidRPr="00940F87">
        <w:rPr>
          <w:noProof/>
        </w:rPr>
        <w:t>3</w:t>
      </w:r>
      <w:r w:rsidR="002C11DC" w:rsidRPr="00CC75E7">
        <w:t xml:space="preserve"> shows </w:t>
      </w:r>
      <w:r w:rsidR="002C11DC" w:rsidRPr="000312F3">
        <w:t xml:space="preserve">the impact of the changes in emerging experience and assumptions compared with the previous review on projected </w:t>
      </w:r>
      <w:r w:rsidR="002C11DC">
        <w:t>Scheme</w:t>
      </w:r>
      <w:r w:rsidR="002C11DC" w:rsidRPr="000312F3">
        <w:t xml:space="preserve"> expenses, split between participants with SIL and those without SIL. </w:t>
      </w:r>
      <w:r w:rsidR="002C11DC">
        <w:t>Projected Scheme</w:t>
      </w:r>
      <w:r w:rsidR="002C11DC" w:rsidRPr="000312F3">
        <w:t xml:space="preserve"> expenses for participants with SIL have significantly increased (8% in 2022-23 and 24% in 2025-26). For participants without SIL, </w:t>
      </w:r>
      <w:r w:rsidR="002C11DC">
        <w:t>projected Scheme expenses</w:t>
      </w:r>
      <w:r w:rsidR="002C11DC" w:rsidRPr="000312F3">
        <w:t xml:space="preserve"> have decreased by 3% in 2022-23, and </w:t>
      </w:r>
      <w:r w:rsidR="00B8575E">
        <w:t>have</w:t>
      </w:r>
      <w:r w:rsidR="002C11DC" w:rsidRPr="000312F3">
        <w:t xml:space="preserve"> increas</w:t>
      </w:r>
      <w:r w:rsidR="00B8575E">
        <w:t>ed</w:t>
      </w:r>
      <w:r w:rsidR="002C11DC" w:rsidRPr="000312F3">
        <w:t xml:space="preserve"> </w:t>
      </w:r>
      <w:r w:rsidR="00B8575E">
        <w:t xml:space="preserve">by </w:t>
      </w:r>
      <w:r w:rsidR="002C11DC" w:rsidRPr="000312F3">
        <w:t xml:space="preserve">9% in 2025-26 </w:t>
      </w:r>
      <w:r w:rsidR="00B8575E">
        <w:t xml:space="preserve">and </w:t>
      </w:r>
      <w:r w:rsidR="002C11DC" w:rsidRPr="000312F3">
        <w:t xml:space="preserve">28% by 2031-32. </w:t>
      </w:r>
    </w:p>
    <w:p w14:paraId="3731D18C" w14:textId="77777777" w:rsidR="002C11DC" w:rsidRDefault="002C11DC" w:rsidP="002C11DC">
      <w:pPr>
        <w:pStyle w:val="Tables"/>
      </w:pPr>
      <w:bookmarkStart w:id="421" w:name="_Ref80434732"/>
    </w:p>
    <w:p w14:paraId="0D40CC0B" w14:textId="77777777" w:rsidR="002C11DC" w:rsidRDefault="002C11DC" w:rsidP="002C11DC">
      <w:pPr>
        <w:spacing w:after="160" w:line="259" w:lineRule="auto"/>
        <w:rPr>
          <w:b/>
        </w:rPr>
      </w:pPr>
      <w:r>
        <w:rPr>
          <w:b/>
        </w:rPr>
        <w:br w:type="page"/>
      </w:r>
    </w:p>
    <w:p w14:paraId="09E06FDB" w14:textId="77777777" w:rsidR="002C11DC" w:rsidRPr="00811FAC" w:rsidRDefault="002C11DC" w:rsidP="00940F87">
      <w:pPr>
        <w:pStyle w:val="Tables"/>
      </w:pPr>
      <w:bookmarkStart w:id="422" w:name="_Ref113286396"/>
      <w:r w:rsidRPr="00811FAC">
        <w:lastRenderedPageBreak/>
        <w:t>Table</w:t>
      </w:r>
      <w:r w:rsidR="00B5473A">
        <w:t xml:space="preserve"> B</w:t>
      </w:r>
      <w:r w:rsidR="00A87896">
        <w:t>.</w:t>
      </w:r>
      <w:fldSimple w:instr=" SEQ Table \* ARABIC \s 2 ">
        <w:r w:rsidR="00A87896">
          <w:rPr>
            <w:noProof/>
          </w:rPr>
          <w:t>3</w:t>
        </w:r>
      </w:fldSimple>
      <w:bookmarkEnd w:id="421"/>
      <w:bookmarkEnd w:id="422"/>
      <w:r w:rsidRPr="00811FAC">
        <w:t xml:space="preserve">: Change in projected </w:t>
      </w:r>
      <w:r>
        <w:t>Scheme expenses</w:t>
      </w:r>
      <w:r w:rsidRPr="00811FAC">
        <w:t xml:space="preserve"> by SIL </w:t>
      </w:r>
      <w:r>
        <w:t>status</w:t>
      </w:r>
      <w:r w:rsidRPr="00811FAC">
        <w:t xml:space="preserve"> (cash basis) </w:t>
      </w:r>
    </w:p>
    <w:tbl>
      <w:tblPr>
        <w:tblStyle w:val="FSRtable"/>
        <w:tblW w:w="5000" w:type="pct"/>
        <w:tblInd w:w="0" w:type="dxa"/>
        <w:tblLook w:val="04A0" w:firstRow="1" w:lastRow="0" w:firstColumn="1" w:lastColumn="0" w:noHBand="0" w:noVBand="1"/>
      </w:tblPr>
      <w:tblGrid>
        <w:gridCol w:w="3115"/>
        <w:gridCol w:w="877"/>
        <w:gridCol w:w="1317"/>
        <w:gridCol w:w="1318"/>
        <w:gridCol w:w="1259"/>
        <w:gridCol w:w="1140"/>
      </w:tblGrid>
      <w:tr w:rsidR="002C11DC" w:rsidRPr="00C42D19" w14:paraId="6AB58FC2"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728" w:type="pct"/>
            <w:noWrap/>
            <w:vAlign w:val="bottom"/>
            <w:hideMark/>
          </w:tcPr>
          <w:p w14:paraId="022FDE55" w14:textId="77777777" w:rsidR="002C11DC" w:rsidRPr="00191697" w:rsidRDefault="002C11DC" w:rsidP="00017D78">
            <w:pPr>
              <w:pStyle w:val="Tables"/>
              <w:spacing w:after="0"/>
              <w:rPr>
                <w:rFonts w:eastAsia="Times New Roman"/>
                <w:b/>
                <w:color w:val="FFFFFF"/>
                <w:sz w:val="18"/>
                <w:lang w:eastAsia="zh-CN"/>
              </w:rPr>
            </w:pPr>
            <w:r w:rsidRPr="00191697">
              <w:rPr>
                <w:rFonts w:eastAsia="Times New Roman"/>
                <w:b/>
                <w:color w:val="FFFFFF"/>
                <w:sz w:val="18"/>
                <w:lang w:eastAsia="zh-CN"/>
              </w:rPr>
              <w:t>Scheme expenses</w:t>
            </w:r>
          </w:p>
        </w:tc>
        <w:tc>
          <w:tcPr>
            <w:tcW w:w="3272" w:type="pct"/>
            <w:gridSpan w:val="5"/>
            <w:tcBorders>
              <w:top w:val="single" w:sz="4" w:space="0" w:color="auto"/>
              <w:bottom w:val="single" w:sz="4" w:space="0" w:color="FFFFFF" w:themeColor="background1"/>
            </w:tcBorders>
            <w:noWrap/>
            <w:hideMark/>
          </w:tcPr>
          <w:p w14:paraId="01711815" w14:textId="77777777" w:rsidR="002C11DC" w:rsidRPr="00C42D19" w:rsidRDefault="002C11DC" w:rsidP="004462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color w:val="FFFFFF"/>
                <w:sz w:val="18"/>
                <w:szCs w:val="18"/>
                <w:lang w:eastAsia="zh-CN"/>
              </w:rPr>
            </w:pPr>
            <w:r w:rsidRPr="00C42D19">
              <w:rPr>
                <w:rFonts w:eastAsia="Times New Roman"/>
                <w:color w:val="FFFFFF"/>
                <w:sz w:val="18"/>
                <w:szCs w:val="18"/>
                <w:lang w:eastAsia="zh-CN"/>
              </w:rPr>
              <w:t>Projection Year</w:t>
            </w:r>
          </w:p>
        </w:tc>
      </w:tr>
      <w:tr w:rsidR="002C11DC" w:rsidRPr="00C42D19" w14:paraId="6B823B41"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728" w:type="pct"/>
            <w:noWrap/>
            <w:vAlign w:val="top"/>
            <w:hideMark/>
          </w:tcPr>
          <w:p w14:paraId="5258E3CE" w14:textId="77777777" w:rsidR="002C11DC" w:rsidRPr="00C42D19" w:rsidRDefault="002C11DC" w:rsidP="00017D78">
            <w:pPr>
              <w:spacing w:after="0" w:line="240" w:lineRule="auto"/>
              <w:rPr>
                <w:rFonts w:eastAsia="Times New Roman"/>
                <w:b w:val="0"/>
                <w:color w:val="FFFFFF"/>
                <w:sz w:val="18"/>
                <w:szCs w:val="18"/>
                <w:lang w:eastAsia="zh-CN"/>
              </w:rPr>
            </w:pPr>
            <w:r w:rsidRPr="00C42D19">
              <w:rPr>
                <w:rFonts w:eastAsia="Times New Roman"/>
                <w:color w:val="FFFFFF"/>
                <w:sz w:val="18"/>
                <w:szCs w:val="18"/>
                <w:lang w:eastAsia="zh-CN"/>
              </w:rPr>
              <w:t>($m, cash basis)</w:t>
            </w:r>
          </w:p>
        </w:tc>
        <w:tc>
          <w:tcPr>
            <w:tcW w:w="476" w:type="pct"/>
            <w:noWrap/>
            <w:hideMark/>
          </w:tcPr>
          <w:p w14:paraId="372836DE" w14:textId="77777777" w:rsidR="002C11DC" w:rsidRPr="00C42D19" w:rsidRDefault="002C11DC" w:rsidP="00940F8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FFFFFF"/>
                <w:sz w:val="18"/>
                <w:szCs w:val="18"/>
                <w:lang w:eastAsia="zh-CN"/>
              </w:rPr>
            </w:pPr>
            <w:r w:rsidRPr="00C42D19">
              <w:rPr>
                <w:rFonts w:eastAsia="Times New Roman"/>
                <w:color w:val="FFFFFF"/>
                <w:sz w:val="18"/>
                <w:szCs w:val="18"/>
                <w:lang w:eastAsia="zh-CN"/>
              </w:rPr>
              <w:t>2022-23</w:t>
            </w:r>
          </w:p>
        </w:tc>
        <w:tc>
          <w:tcPr>
            <w:tcW w:w="732" w:type="pct"/>
            <w:noWrap/>
            <w:hideMark/>
          </w:tcPr>
          <w:p w14:paraId="1CCDC51B" w14:textId="77777777" w:rsidR="002C11DC" w:rsidRPr="00C42D19" w:rsidRDefault="002C11DC" w:rsidP="00940F8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FFFFFF"/>
                <w:sz w:val="18"/>
                <w:szCs w:val="18"/>
                <w:lang w:eastAsia="zh-CN"/>
              </w:rPr>
            </w:pPr>
            <w:r w:rsidRPr="00C42D19">
              <w:rPr>
                <w:rFonts w:eastAsia="Times New Roman"/>
                <w:color w:val="FFFFFF"/>
                <w:sz w:val="18"/>
                <w:szCs w:val="18"/>
                <w:lang w:eastAsia="zh-CN"/>
              </w:rPr>
              <w:t>2023-24</w:t>
            </w:r>
          </w:p>
        </w:tc>
        <w:tc>
          <w:tcPr>
            <w:tcW w:w="732" w:type="pct"/>
            <w:noWrap/>
            <w:hideMark/>
          </w:tcPr>
          <w:p w14:paraId="1D0F6A36" w14:textId="77777777" w:rsidR="002C11DC" w:rsidRPr="00C42D19" w:rsidRDefault="002C11DC" w:rsidP="00940F8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FFFFFF"/>
                <w:sz w:val="18"/>
                <w:szCs w:val="18"/>
                <w:lang w:eastAsia="zh-CN"/>
              </w:rPr>
            </w:pPr>
            <w:r w:rsidRPr="00C42D19">
              <w:rPr>
                <w:rFonts w:eastAsia="Times New Roman"/>
                <w:color w:val="FFFFFF"/>
                <w:sz w:val="18"/>
                <w:szCs w:val="18"/>
                <w:lang w:eastAsia="zh-CN"/>
              </w:rPr>
              <w:t>2024-25</w:t>
            </w:r>
          </w:p>
        </w:tc>
        <w:tc>
          <w:tcPr>
            <w:tcW w:w="699" w:type="pct"/>
            <w:tcBorders>
              <w:right w:val="dotted" w:sz="4" w:space="0" w:color="auto"/>
            </w:tcBorders>
            <w:noWrap/>
            <w:hideMark/>
          </w:tcPr>
          <w:p w14:paraId="736A6571" w14:textId="77777777" w:rsidR="002C11DC" w:rsidRPr="00C42D19" w:rsidRDefault="002C11DC" w:rsidP="00940F8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FFFFFF"/>
                <w:sz w:val="18"/>
                <w:szCs w:val="18"/>
                <w:lang w:eastAsia="zh-CN"/>
              </w:rPr>
            </w:pPr>
            <w:r w:rsidRPr="00C42D19">
              <w:rPr>
                <w:rFonts w:eastAsia="Times New Roman"/>
                <w:color w:val="FFFFFF"/>
                <w:sz w:val="18"/>
                <w:szCs w:val="18"/>
                <w:lang w:eastAsia="zh-CN"/>
              </w:rPr>
              <w:t>2025-26</w:t>
            </w:r>
          </w:p>
        </w:tc>
        <w:tc>
          <w:tcPr>
            <w:tcW w:w="634" w:type="pct"/>
            <w:tcBorders>
              <w:top w:val="nil"/>
              <w:left w:val="dotted" w:sz="4" w:space="0" w:color="auto"/>
              <w:bottom w:val="nil"/>
            </w:tcBorders>
            <w:noWrap/>
            <w:hideMark/>
          </w:tcPr>
          <w:p w14:paraId="53C2995C" w14:textId="77777777" w:rsidR="002C11DC" w:rsidRPr="00C42D19" w:rsidRDefault="002C11DC" w:rsidP="00940F8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FFFFFF"/>
                <w:sz w:val="18"/>
                <w:szCs w:val="18"/>
                <w:lang w:eastAsia="zh-CN"/>
              </w:rPr>
            </w:pPr>
            <w:r w:rsidRPr="00C42D19">
              <w:rPr>
                <w:rFonts w:eastAsia="Times New Roman"/>
                <w:color w:val="FFFFFF"/>
                <w:sz w:val="18"/>
                <w:szCs w:val="18"/>
                <w:lang w:eastAsia="zh-CN"/>
              </w:rPr>
              <w:t>2031-32</w:t>
            </w:r>
          </w:p>
        </w:tc>
      </w:tr>
      <w:tr w:rsidR="002C11DC" w:rsidRPr="00C42D19" w14:paraId="095BDA03"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728" w:type="pct"/>
            <w:shd w:val="clear" w:color="auto" w:fill="auto"/>
            <w:noWrap/>
            <w:hideMark/>
          </w:tcPr>
          <w:p w14:paraId="7E282ED6" w14:textId="77777777" w:rsidR="002C11DC" w:rsidRPr="00C42D19" w:rsidRDefault="002C11DC" w:rsidP="00940F87">
            <w:pPr>
              <w:spacing w:after="0" w:line="240" w:lineRule="auto"/>
              <w:rPr>
                <w:rFonts w:eastAsia="Times New Roman" w:cs="Arial"/>
                <w:b/>
                <w:color w:val="000000"/>
                <w:sz w:val="18"/>
                <w:szCs w:val="18"/>
                <w:lang w:eastAsia="zh-CN"/>
              </w:rPr>
            </w:pPr>
            <w:r w:rsidRPr="00C42D19">
              <w:rPr>
                <w:rFonts w:eastAsia="Times New Roman" w:cs="Arial"/>
                <w:b/>
                <w:color w:val="000000"/>
                <w:sz w:val="18"/>
                <w:szCs w:val="18"/>
                <w:lang w:eastAsia="zh-CN"/>
              </w:rPr>
              <w:t>2021-22 AFSR</w:t>
            </w:r>
          </w:p>
        </w:tc>
        <w:tc>
          <w:tcPr>
            <w:tcW w:w="476" w:type="pct"/>
            <w:shd w:val="clear" w:color="auto" w:fill="auto"/>
            <w:noWrap/>
            <w:hideMark/>
          </w:tcPr>
          <w:p w14:paraId="6699BC41"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i/>
                <w:color w:val="000000"/>
                <w:sz w:val="18"/>
                <w:szCs w:val="18"/>
                <w:lang w:eastAsia="zh-CN"/>
              </w:rPr>
            </w:pPr>
            <w:r w:rsidRPr="00C42D19">
              <w:rPr>
                <w:rFonts w:eastAsia="Times New Roman" w:cs="Arial"/>
                <w:b/>
                <w:i/>
                <w:color w:val="000000"/>
                <w:sz w:val="18"/>
                <w:szCs w:val="18"/>
                <w:lang w:eastAsia="zh-CN"/>
              </w:rPr>
              <w:t> </w:t>
            </w:r>
          </w:p>
        </w:tc>
        <w:tc>
          <w:tcPr>
            <w:tcW w:w="732" w:type="pct"/>
            <w:shd w:val="clear" w:color="auto" w:fill="auto"/>
            <w:noWrap/>
            <w:hideMark/>
          </w:tcPr>
          <w:p w14:paraId="32D7F4D6"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i/>
                <w:color w:val="000000"/>
                <w:sz w:val="18"/>
                <w:szCs w:val="18"/>
                <w:lang w:eastAsia="zh-CN"/>
              </w:rPr>
            </w:pPr>
            <w:r w:rsidRPr="00C42D19">
              <w:rPr>
                <w:rFonts w:eastAsia="Times New Roman" w:cs="Arial"/>
                <w:b/>
                <w:i/>
                <w:color w:val="000000"/>
                <w:sz w:val="18"/>
                <w:szCs w:val="18"/>
                <w:lang w:eastAsia="zh-CN"/>
              </w:rPr>
              <w:t> </w:t>
            </w:r>
          </w:p>
        </w:tc>
        <w:tc>
          <w:tcPr>
            <w:tcW w:w="732" w:type="pct"/>
            <w:shd w:val="clear" w:color="auto" w:fill="auto"/>
            <w:noWrap/>
            <w:hideMark/>
          </w:tcPr>
          <w:p w14:paraId="21D88CD0"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i/>
                <w:color w:val="000000"/>
                <w:sz w:val="18"/>
                <w:szCs w:val="18"/>
                <w:lang w:eastAsia="zh-CN"/>
              </w:rPr>
            </w:pPr>
            <w:r w:rsidRPr="00C42D19">
              <w:rPr>
                <w:rFonts w:eastAsia="Times New Roman" w:cs="Arial"/>
                <w:b/>
                <w:i/>
                <w:color w:val="000000"/>
                <w:sz w:val="18"/>
                <w:szCs w:val="18"/>
                <w:lang w:eastAsia="zh-CN"/>
              </w:rPr>
              <w:t> </w:t>
            </w:r>
          </w:p>
        </w:tc>
        <w:tc>
          <w:tcPr>
            <w:tcW w:w="699" w:type="pct"/>
            <w:tcBorders>
              <w:right w:val="dotted" w:sz="4" w:space="0" w:color="auto"/>
            </w:tcBorders>
            <w:shd w:val="clear" w:color="auto" w:fill="auto"/>
            <w:noWrap/>
            <w:hideMark/>
          </w:tcPr>
          <w:p w14:paraId="0B9EBD97"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i/>
                <w:color w:val="000000"/>
                <w:sz w:val="18"/>
                <w:szCs w:val="18"/>
                <w:lang w:eastAsia="zh-CN"/>
              </w:rPr>
            </w:pPr>
            <w:r w:rsidRPr="00C42D19">
              <w:rPr>
                <w:rFonts w:eastAsia="Times New Roman" w:cs="Arial"/>
                <w:b/>
                <w:i/>
                <w:color w:val="000000"/>
                <w:sz w:val="18"/>
                <w:szCs w:val="18"/>
                <w:lang w:eastAsia="zh-CN"/>
              </w:rPr>
              <w:t> </w:t>
            </w:r>
          </w:p>
        </w:tc>
        <w:tc>
          <w:tcPr>
            <w:tcW w:w="634" w:type="pct"/>
            <w:tcBorders>
              <w:top w:val="nil"/>
              <w:left w:val="dotted" w:sz="4" w:space="0" w:color="auto"/>
              <w:bottom w:val="nil"/>
            </w:tcBorders>
            <w:shd w:val="clear" w:color="auto" w:fill="auto"/>
            <w:noWrap/>
            <w:hideMark/>
          </w:tcPr>
          <w:p w14:paraId="63DBFBE8"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i/>
                <w:color w:val="000000"/>
                <w:sz w:val="18"/>
                <w:szCs w:val="18"/>
                <w:lang w:eastAsia="zh-CN"/>
              </w:rPr>
            </w:pPr>
            <w:r w:rsidRPr="00C42D19">
              <w:rPr>
                <w:rFonts w:eastAsia="Times New Roman" w:cs="Arial"/>
                <w:b/>
                <w:i/>
                <w:color w:val="000000"/>
                <w:sz w:val="18"/>
                <w:szCs w:val="18"/>
                <w:lang w:eastAsia="zh-CN"/>
              </w:rPr>
              <w:t> </w:t>
            </w:r>
          </w:p>
        </w:tc>
      </w:tr>
      <w:tr w:rsidR="00EE0279" w:rsidRPr="00C42D19" w14:paraId="56132A9D" w14:textId="77777777" w:rsidTr="001137B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28" w:type="pct"/>
            <w:noWrap/>
            <w:hideMark/>
          </w:tcPr>
          <w:p w14:paraId="23C759B1" w14:textId="77777777" w:rsidR="002C11DC" w:rsidRPr="00C42D19" w:rsidRDefault="002C11DC" w:rsidP="00940F87">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SIL</w:t>
            </w:r>
          </w:p>
        </w:tc>
        <w:tc>
          <w:tcPr>
            <w:tcW w:w="476" w:type="pct"/>
            <w:noWrap/>
            <w:hideMark/>
          </w:tcPr>
          <w:p w14:paraId="31C8A269"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10,352</w:t>
            </w:r>
          </w:p>
        </w:tc>
        <w:tc>
          <w:tcPr>
            <w:tcW w:w="732" w:type="pct"/>
            <w:noWrap/>
            <w:hideMark/>
          </w:tcPr>
          <w:p w14:paraId="790B5814"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11,363</w:t>
            </w:r>
          </w:p>
        </w:tc>
        <w:tc>
          <w:tcPr>
            <w:tcW w:w="732" w:type="pct"/>
            <w:noWrap/>
            <w:hideMark/>
          </w:tcPr>
          <w:p w14:paraId="433EF179"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12,972</w:t>
            </w:r>
          </w:p>
        </w:tc>
        <w:tc>
          <w:tcPr>
            <w:tcW w:w="699" w:type="pct"/>
            <w:tcBorders>
              <w:right w:val="dotted" w:sz="4" w:space="0" w:color="auto"/>
            </w:tcBorders>
            <w:noWrap/>
            <w:hideMark/>
          </w:tcPr>
          <w:p w14:paraId="60C292AF"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14,627</w:t>
            </w:r>
          </w:p>
        </w:tc>
        <w:tc>
          <w:tcPr>
            <w:tcW w:w="634" w:type="pct"/>
            <w:tcBorders>
              <w:top w:val="nil"/>
              <w:left w:val="dotted" w:sz="4" w:space="0" w:color="auto"/>
              <w:bottom w:val="nil"/>
            </w:tcBorders>
            <w:noWrap/>
            <w:hideMark/>
          </w:tcPr>
          <w:p w14:paraId="23823AB6"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25,312</w:t>
            </w:r>
          </w:p>
        </w:tc>
      </w:tr>
      <w:tr w:rsidR="00EE0279" w:rsidRPr="00C42D19" w14:paraId="58064F72"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728" w:type="pct"/>
            <w:tcBorders>
              <w:bottom w:val="single" w:sz="4" w:space="0" w:color="auto"/>
            </w:tcBorders>
            <w:shd w:val="clear" w:color="auto" w:fill="auto"/>
            <w:noWrap/>
            <w:hideMark/>
          </w:tcPr>
          <w:p w14:paraId="3856A25A" w14:textId="77777777" w:rsidR="002C11DC" w:rsidRPr="00C42D19" w:rsidRDefault="002C11DC" w:rsidP="00940F87">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Non-SIL</w:t>
            </w:r>
          </w:p>
        </w:tc>
        <w:tc>
          <w:tcPr>
            <w:tcW w:w="476" w:type="pct"/>
            <w:tcBorders>
              <w:bottom w:val="single" w:sz="4" w:space="0" w:color="auto"/>
            </w:tcBorders>
            <w:shd w:val="clear" w:color="auto" w:fill="auto"/>
            <w:noWrap/>
            <w:hideMark/>
          </w:tcPr>
          <w:p w14:paraId="6E9F1DF3"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23,124</w:t>
            </w:r>
          </w:p>
        </w:tc>
        <w:tc>
          <w:tcPr>
            <w:tcW w:w="732" w:type="pct"/>
            <w:tcBorders>
              <w:bottom w:val="single" w:sz="4" w:space="0" w:color="auto"/>
            </w:tcBorders>
            <w:shd w:val="clear" w:color="auto" w:fill="auto"/>
            <w:noWrap/>
            <w:hideMark/>
          </w:tcPr>
          <w:p w14:paraId="694CE983"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26,205</w:t>
            </w:r>
          </w:p>
        </w:tc>
        <w:tc>
          <w:tcPr>
            <w:tcW w:w="732" w:type="pct"/>
            <w:tcBorders>
              <w:bottom w:val="single" w:sz="4" w:space="0" w:color="auto"/>
            </w:tcBorders>
            <w:shd w:val="clear" w:color="auto" w:fill="auto"/>
            <w:noWrap/>
            <w:hideMark/>
          </w:tcPr>
          <w:p w14:paraId="46A738B5"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30,491</w:t>
            </w:r>
          </w:p>
        </w:tc>
        <w:tc>
          <w:tcPr>
            <w:tcW w:w="699" w:type="pct"/>
            <w:tcBorders>
              <w:bottom w:val="single" w:sz="4" w:space="0" w:color="auto"/>
              <w:right w:val="dotted" w:sz="4" w:space="0" w:color="auto"/>
            </w:tcBorders>
            <w:shd w:val="clear" w:color="auto" w:fill="auto"/>
            <w:noWrap/>
            <w:hideMark/>
          </w:tcPr>
          <w:p w14:paraId="183743BC"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34,972</w:t>
            </w:r>
          </w:p>
        </w:tc>
        <w:tc>
          <w:tcPr>
            <w:tcW w:w="634" w:type="pct"/>
            <w:tcBorders>
              <w:top w:val="nil"/>
              <w:left w:val="dotted" w:sz="4" w:space="0" w:color="auto"/>
              <w:bottom w:val="single" w:sz="4" w:space="0" w:color="auto"/>
            </w:tcBorders>
            <w:shd w:val="clear" w:color="auto" w:fill="auto"/>
            <w:noWrap/>
            <w:hideMark/>
          </w:tcPr>
          <w:p w14:paraId="1B2E3DD2"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62,777</w:t>
            </w:r>
          </w:p>
        </w:tc>
      </w:tr>
      <w:tr w:rsidR="00EE0279" w:rsidRPr="00C42D19" w14:paraId="7B44A7F1" w14:textId="77777777" w:rsidTr="001137B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28" w:type="pct"/>
            <w:tcBorders>
              <w:top w:val="single" w:sz="4" w:space="0" w:color="auto"/>
              <w:bottom w:val="single" w:sz="4" w:space="0" w:color="auto"/>
            </w:tcBorders>
            <w:shd w:val="clear" w:color="auto" w:fill="D4C5D7"/>
            <w:noWrap/>
            <w:hideMark/>
          </w:tcPr>
          <w:p w14:paraId="05229E10" w14:textId="77777777" w:rsidR="002C11DC" w:rsidRPr="00C42D19" w:rsidRDefault="002C11DC" w:rsidP="00940F87">
            <w:pPr>
              <w:spacing w:after="0" w:line="240" w:lineRule="auto"/>
              <w:rPr>
                <w:rFonts w:eastAsia="Times New Roman" w:cs="Arial"/>
                <w:b/>
                <w:color w:val="000000"/>
                <w:sz w:val="18"/>
                <w:szCs w:val="18"/>
                <w:lang w:eastAsia="zh-CN"/>
              </w:rPr>
            </w:pPr>
            <w:r w:rsidRPr="00C42D19">
              <w:rPr>
                <w:rFonts w:eastAsia="Times New Roman" w:cs="Arial"/>
                <w:b/>
                <w:color w:val="000000"/>
                <w:sz w:val="18"/>
                <w:szCs w:val="18"/>
                <w:lang w:eastAsia="zh-CN"/>
              </w:rPr>
              <w:t>Total</w:t>
            </w:r>
          </w:p>
        </w:tc>
        <w:tc>
          <w:tcPr>
            <w:tcW w:w="476" w:type="pct"/>
            <w:tcBorders>
              <w:top w:val="single" w:sz="4" w:space="0" w:color="auto"/>
              <w:bottom w:val="single" w:sz="4" w:space="0" w:color="auto"/>
            </w:tcBorders>
            <w:shd w:val="clear" w:color="auto" w:fill="D4C5D7"/>
            <w:noWrap/>
            <w:hideMark/>
          </w:tcPr>
          <w:p w14:paraId="1C167088"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33,475</w:t>
            </w:r>
          </w:p>
        </w:tc>
        <w:tc>
          <w:tcPr>
            <w:tcW w:w="732" w:type="pct"/>
            <w:tcBorders>
              <w:top w:val="single" w:sz="4" w:space="0" w:color="auto"/>
              <w:bottom w:val="single" w:sz="4" w:space="0" w:color="auto"/>
            </w:tcBorders>
            <w:shd w:val="clear" w:color="auto" w:fill="D4C5D7"/>
            <w:noWrap/>
            <w:hideMark/>
          </w:tcPr>
          <w:p w14:paraId="23E7C509"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37,568</w:t>
            </w:r>
          </w:p>
        </w:tc>
        <w:tc>
          <w:tcPr>
            <w:tcW w:w="732" w:type="pct"/>
            <w:tcBorders>
              <w:top w:val="single" w:sz="4" w:space="0" w:color="auto"/>
              <w:bottom w:val="single" w:sz="4" w:space="0" w:color="auto"/>
            </w:tcBorders>
            <w:shd w:val="clear" w:color="auto" w:fill="D4C5D7"/>
            <w:noWrap/>
            <w:hideMark/>
          </w:tcPr>
          <w:p w14:paraId="0D7EA385"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43,463</w:t>
            </w:r>
          </w:p>
        </w:tc>
        <w:tc>
          <w:tcPr>
            <w:tcW w:w="699" w:type="pct"/>
            <w:tcBorders>
              <w:top w:val="single" w:sz="4" w:space="0" w:color="auto"/>
              <w:bottom w:val="single" w:sz="4" w:space="0" w:color="auto"/>
              <w:right w:val="dotted" w:sz="4" w:space="0" w:color="auto"/>
            </w:tcBorders>
            <w:shd w:val="clear" w:color="auto" w:fill="D4C5D7"/>
            <w:noWrap/>
            <w:hideMark/>
          </w:tcPr>
          <w:p w14:paraId="4E53D01A"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49,599</w:t>
            </w:r>
          </w:p>
        </w:tc>
        <w:tc>
          <w:tcPr>
            <w:tcW w:w="634" w:type="pct"/>
            <w:tcBorders>
              <w:top w:val="single" w:sz="4" w:space="0" w:color="auto"/>
              <w:left w:val="dotted" w:sz="4" w:space="0" w:color="auto"/>
              <w:bottom w:val="single" w:sz="4" w:space="0" w:color="auto"/>
            </w:tcBorders>
            <w:shd w:val="clear" w:color="auto" w:fill="D4C5D7"/>
            <w:noWrap/>
            <w:hideMark/>
          </w:tcPr>
          <w:p w14:paraId="0063446D"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88,089</w:t>
            </w:r>
          </w:p>
        </w:tc>
      </w:tr>
      <w:tr w:rsidR="002C11DC" w:rsidRPr="00C42D19" w14:paraId="5EDA3EAF"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728" w:type="pct"/>
            <w:tcBorders>
              <w:top w:val="single" w:sz="4" w:space="0" w:color="auto"/>
            </w:tcBorders>
            <w:shd w:val="clear" w:color="auto" w:fill="auto"/>
            <w:noWrap/>
            <w:hideMark/>
          </w:tcPr>
          <w:p w14:paraId="13EBB80C" w14:textId="77777777" w:rsidR="002C11DC" w:rsidRPr="00C42D19" w:rsidRDefault="002C11DC" w:rsidP="00940F87">
            <w:pPr>
              <w:spacing w:after="0" w:line="240" w:lineRule="auto"/>
              <w:rPr>
                <w:rFonts w:eastAsia="Times New Roman" w:cs="Arial"/>
                <w:b/>
                <w:color w:val="000000"/>
                <w:sz w:val="18"/>
                <w:szCs w:val="18"/>
                <w:lang w:eastAsia="zh-CN"/>
              </w:rPr>
            </w:pPr>
            <w:r w:rsidRPr="00C42D19">
              <w:rPr>
                <w:rFonts w:eastAsia="Times New Roman" w:cs="Arial"/>
                <w:b/>
                <w:color w:val="000000"/>
                <w:sz w:val="18"/>
                <w:szCs w:val="18"/>
                <w:lang w:eastAsia="zh-CN"/>
              </w:rPr>
              <w:t>2020-21 AFSR</w:t>
            </w:r>
          </w:p>
        </w:tc>
        <w:tc>
          <w:tcPr>
            <w:tcW w:w="476" w:type="pct"/>
            <w:tcBorders>
              <w:top w:val="single" w:sz="4" w:space="0" w:color="auto"/>
            </w:tcBorders>
            <w:shd w:val="clear" w:color="auto" w:fill="auto"/>
            <w:noWrap/>
            <w:hideMark/>
          </w:tcPr>
          <w:p w14:paraId="55007103"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i/>
                <w:color w:val="000000"/>
                <w:sz w:val="18"/>
                <w:szCs w:val="18"/>
                <w:lang w:eastAsia="zh-CN"/>
              </w:rPr>
            </w:pPr>
            <w:r w:rsidRPr="00C42D19">
              <w:rPr>
                <w:rFonts w:eastAsia="Times New Roman" w:cs="Arial"/>
                <w:b/>
                <w:i/>
                <w:color w:val="000000"/>
                <w:sz w:val="18"/>
                <w:szCs w:val="18"/>
                <w:lang w:eastAsia="zh-CN"/>
              </w:rPr>
              <w:t> </w:t>
            </w:r>
          </w:p>
        </w:tc>
        <w:tc>
          <w:tcPr>
            <w:tcW w:w="732" w:type="pct"/>
            <w:tcBorders>
              <w:top w:val="single" w:sz="4" w:space="0" w:color="auto"/>
            </w:tcBorders>
            <w:shd w:val="clear" w:color="auto" w:fill="auto"/>
            <w:noWrap/>
            <w:hideMark/>
          </w:tcPr>
          <w:p w14:paraId="0CFC52F7"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 </w:t>
            </w:r>
          </w:p>
        </w:tc>
        <w:tc>
          <w:tcPr>
            <w:tcW w:w="732" w:type="pct"/>
            <w:tcBorders>
              <w:top w:val="single" w:sz="4" w:space="0" w:color="auto"/>
            </w:tcBorders>
            <w:shd w:val="clear" w:color="auto" w:fill="auto"/>
            <w:noWrap/>
            <w:hideMark/>
          </w:tcPr>
          <w:p w14:paraId="47077D29"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 </w:t>
            </w:r>
          </w:p>
        </w:tc>
        <w:tc>
          <w:tcPr>
            <w:tcW w:w="699" w:type="pct"/>
            <w:tcBorders>
              <w:top w:val="single" w:sz="4" w:space="0" w:color="auto"/>
              <w:right w:val="dotted" w:sz="4" w:space="0" w:color="auto"/>
            </w:tcBorders>
            <w:shd w:val="clear" w:color="auto" w:fill="auto"/>
            <w:noWrap/>
            <w:hideMark/>
          </w:tcPr>
          <w:p w14:paraId="055966EA"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 </w:t>
            </w:r>
          </w:p>
        </w:tc>
        <w:tc>
          <w:tcPr>
            <w:tcW w:w="634" w:type="pct"/>
            <w:tcBorders>
              <w:top w:val="single" w:sz="4" w:space="0" w:color="auto"/>
              <w:left w:val="dotted" w:sz="4" w:space="0" w:color="auto"/>
              <w:bottom w:val="nil"/>
            </w:tcBorders>
            <w:shd w:val="clear" w:color="auto" w:fill="auto"/>
            <w:noWrap/>
            <w:hideMark/>
          </w:tcPr>
          <w:p w14:paraId="51CDCA64"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 </w:t>
            </w:r>
          </w:p>
        </w:tc>
      </w:tr>
      <w:tr w:rsidR="00EE0279" w:rsidRPr="00C42D19" w14:paraId="73FFD23E"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shd w:val="clear" w:color="auto" w:fill="BFBFBF" w:themeFill="background1" w:themeFillShade="BF"/>
            <w:noWrap/>
            <w:hideMark/>
          </w:tcPr>
          <w:p w14:paraId="75A3B00A" w14:textId="77777777" w:rsidR="002C11DC" w:rsidRPr="00C42D19" w:rsidRDefault="002C11DC" w:rsidP="00940F87">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SIL</w:t>
            </w:r>
          </w:p>
        </w:tc>
        <w:tc>
          <w:tcPr>
            <w:tcW w:w="0" w:type="pct"/>
            <w:noWrap/>
            <w:hideMark/>
          </w:tcPr>
          <w:p w14:paraId="23A56220"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9,570</w:t>
            </w:r>
          </w:p>
        </w:tc>
        <w:tc>
          <w:tcPr>
            <w:tcW w:w="0" w:type="pct"/>
            <w:noWrap/>
            <w:hideMark/>
          </w:tcPr>
          <w:p w14:paraId="1AB22E15"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10,268</w:t>
            </w:r>
          </w:p>
        </w:tc>
        <w:tc>
          <w:tcPr>
            <w:tcW w:w="0" w:type="pct"/>
            <w:noWrap/>
            <w:hideMark/>
          </w:tcPr>
          <w:p w14:paraId="409EA7E8"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11,007</w:t>
            </w:r>
          </w:p>
        </w:tc>
        <w:tc>
          <w:tcPr>
            <w:tcW w:w="0" w:type="pct"/>
            <w:tcBorders>
              <w:right w:val="dotted" w:sz="4" w:space="0" w:color="auto"/>
            </w:tcBorders>
            <w:noWrap/>
            <w:hideMark/>
          </w:tcPr>
          <w:p w14:paraId="219C45AD"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11,799</w:t>
            </w:r>
          </w:p>
        </w:tc>
        <w:tc>
          <w:tcPr>
            <w:tcW w:w="0" w:type="pct"/>
            <w:tcBorders>
              <w:top w:val="nil"/>
              <w:left w:val="dotted" w:sz="4" w:space="0" w:color="auto"/>
              <w:bottom w:val="nil"/>
            </w:tcBorders>
            <w:noWrap/>
            <w:hideMark/>
          </w:tcPr>
          <w:p w14:paraId="0329C1E3"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18,074</w:t>
            </w:r>
          </w:p>
        </w:tc>
      </w:tr>
      <w:tr w:rsidR="00EE0279" w:rsidRPr="00C42D19" w14:paraId="6EF73220"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728" w:type="pct"/>
            <w:tcBorders>
              <w:bottom w:val="single" w:sz="4" w:space="0" w:color="auto"/>
            </w:tcBorders>
            <w:shd w:val="clear" w:color="auto" w:fill="auto"/>
            <w:noWrap/>
            <w:hideMark/>
          </w:tcPr>
          <w:p w14:paraId="383177E2" w14:textId="77777777" w:rsidR="002C11DC" w:rsidRPr="00C42D19" w:rsidRDefault="002C11DC" w:rsidP="00940F87">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Non-SIL</w:t>
            </w:r>
          </w:p>
        </w:tc>
        <w:tc>
          <w:tcPr>
            <w:tcW w:w="476" w:type="pct"/>
            <w:tcBorders>
              <w:bottom w:val="single" w:sz="4" w:space="0" w:color="auto"/>
            </w:tcBorders>
            <w:shd w:val="clear" w:color="auto" w:fill="auto"/>
            <w:noWrap/>
            <w:hideMark/>
          </w:tcPr>
          <w:p w14:paraId="5CD0DE1C"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23,860</w:t>
            </w:r>
          </w:p>
        </w:tc>
        <w:tc>
          <w:tcPr>
            <w:tcW w:w="732" w:type="pct"/>
            <w:tcBorders>
              <w:bottom w:val="single" w:sz="4" w:space="0" w:color="auto"/>
            </w:tcBorders>
            <w:shd w:val="clear" w:color="auto" w:fill="auto"/>
            <w:noWrap/>
            <w:hideMark/>
          </w:tcPr>
          <w:p w14:paraId="53E5BD2D"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27,192</w:t>
            </w:r>
          </w:p>
        </w:tc>
        <w:tc>
          <w:tcPr>
            <w:tcW w:w="732" w:type="pct"/>
            <w:tcBorders>
              <w:bottom w:val="single" w:sz="4" w:space="0" w:color="auto"/>
            </w:tcBorders>
            <w:shd w:val="clear" w:color="auto" w:fill="auto"/>
            <w:noWrap/>
            <w:hideMark/>
          </w:tcPr>
          <w:p w14:paraId="2F973B7E"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29,807</w:t>
            </w:r>
          </w:p>
        </w:tc>
        <w:tc>
          <w:tcPr>
            <w:tcW w:w="699" w:type="pct"/>
            <w:tcBorders>
              <w:bottom w:val="single" w:sz="4" w:space="0" w:color="auto"/>
              <w:right w:val="dotted" w:sz="4" w:space="0" w:color="auto"/>
            </w:tcBorders>
            <w:shd w:val="clear" w:color="auto" w:fill="auto"/>
            <w:noWrap/>
            <w:hideMark/>
          </w:tcPr>
          <w:p w14:paraId="57D229F0"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32,151</w:t>
            </w:r>
          </w:p>
        </w:tc>
        <w:tc>
          <w:tcPr>
            <w:tcW w:w="634" w:type="pct"/>
            <w:tcBorders>
              <w:top w:val="nil"/>
              <w:left w:val="dotted" w:sz="4" w:space="0" w:color="auto"/>
              <w:bottom w:val="single" w:sz="4" w:space="0" w:color="auto"/>
            </w:tcBorders>
            <w:shd w:val="clear" w:color="auto" w:fill="auto"/>
            <w:noWrap/>
            <w:hideMark/>
          </w:tcPr>
          <w:p w14:paraId="349FBBDF"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49,055</w:t>
            </w:r>
          </w:p>
        </w:tc>
      </w:tr>
      <w:tr w:rsidR="00EE0279" w:rsidRPr="00C42D19" w14:paraId="064AB73D" w14:textId="77777777" w:rsidTr="001137B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28" w:type="pct"/>
            <w:tcBorders>
              <w:top w:val="single" w:sz="4" w:space="0" w:color="auto"/>
              <w:bottom w:val="single" w:sz="4" w:space="0" w:color="auto"/>
            </w:tcBorders>
            <w:shd w:val="clear" w:color="auto" w:fill="D4C5D7"/>
            <w:noWrap/>
            <w:hideMark/>
          </w:tcPr>
          <w:p w14:paraId="1C4AE6D8" w14:textId="77777777" w:rsidR="002C11DC" w:rsidRPr="00C42D19" w:rsidRDefault="002C11DC" w:rsidP="00940F87">
            <w:pPr>
              <w:spacing w:after="0" w:line="240" w:lineRule="auto"/>
              <w:rPr>
                <w:rFonts w:eastAsia="Times New Roman" w:cs="Arial"/>
                <w:b/>
                <w:color w:val="000000"/>
                <w:sz w:val="18"/>
                <w:szCs w:val="18"/>
                <w:lang w:eastAsia="zh-CN"/>
              </w:rPr>
            </w:pPr>
            <w:r w:rsidRPr="00C42D19">
              <w:rPr>
                <w:rFonts w:eastAsia="Times New Roman" w:cs="Arial"/>
                <w:b/>
                <w:color w:val="000000"/>
                <w:sz w:val="18"/>
                <w:szCs w:val="18"/>
                <w:lang w:eastAsia="zh-CN"/>
              </w:rPr>
              <w:t>Total</w:t>
            </w:r>
          </w:p>
        </w:tc>
        <w:tc>
          <w:tcPr>
            <w:tcW w:w="476" w:type="pct"/>
            <w:tcBorders>
              <w:top w:val="single" w:sz="4" w:space="0" w:color="auto"/>
              <w:bottom w:val="single" w:sz="4" w:space="0" w:color="auto"/>
            </w:tcBorders>
            <w:shd w:val="clear" w:color="auto" w:fill="D4C5D7"/>
            <w:noWrap/>
            <w:hideMark/>
          </w:tcPr>
          <w:p w14:paraId="0086B1A2"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33,429</w:t>
            </w:r>
          </w:p>
        </w:tc>
        <w:tc>
          <w:tcPr>
            <w:tcW w:w="732" w:type="pct"/>
            <w:tcBorders>
              <w:top w:val="single" w:sz="4" w:space="0" w:color="auto"/>
              <w:bottom w:val="single" w:sz="4" w:space="0" w:color="auto"/>
            </w:tcBorders>
            <w:shd w:val="clear" w:color="auto" w:fill="D4C5D7"/>
            <w:noWrap/>
            <w:hideMark/>
          </w:tcPr>
          <w:p w14:paraId="4A593A11"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37,459</w:t>
            </w:r>
          </w:p>
        </w:tc>
        <w:tc>
          <w:tcPr>
            <w:tcW w:w="732" w:type="pct"/>
            <w:tcBorders>
              <w:top w:val="single" w:sz="4" w:space="0" w:color="auto"/>
              <w:bottom w:val="single" w:sz="4" w:space="0" w:color="auto"/>
            </w:tcBorders>
            <w:shd w:val="clear" w:color="auto" w:fill="D4C5D7"/>
            <w:noWrap/>
            <w:hideMark/>
          </w:tcPr>
          <w:p w14:paraId="5C156A14"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40,814</w:t>
            </w:r>
          </w:p>
        </w:tc>
        <w:tc>
          <w:tcPr>
            <w:tcW w:w="699" w:type="pct"/>
            <w:tcBorders>
              <w:top w:val="single" w:sz="4" w:space="0" w:color="auto"/>
              <w:bottom w:val="single" w:sz="4" w:space="0" w:color="auto"/>
              <w:right w:val="dotted" w:sz="4" w:space="0" w:color="auto"/>
            </w:tcBorders>
            <w:shd w:val="clear" w:color="auto" w:fill="D4C5D7"/>
            <w:noWrap/>
            <w:hideMark/>
          </w:tcPr>
          <w:p w14:paraId="3C9366A5"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43,950</w:t>
            </w:r>
          </w:p>
        </w:tc>
        <w:tc>
          <w:tcPr>
            <w:tcW w:w="634" w:type="pct"/>
            <w:tcBorders>
              <w:top w:val="single" w:sz="4" w:space="0" w:color="auto"/>
              <w:left w:val="dotted" w:sz="4" w:space="0" w:color="auto"/>
              <w:bottom w:val="single" w:sz="4" w:space="0" w:color="auto"/>
            </w:tcBorders>
            <w:shd w:val="clear" w:color="auto" w:fill="D4C5D7"/>
            <w:noWrap/>
            <w:hideMark/>
          </w:tcPr>
          <w:p w14:paraId="7DD59890"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67,129</w:t>
            </w:r>
          </w:p>
        </w:tc>
      </w:tr>
      <w:tr w:rsidR="002C11DC" w:rsidRPr="00C42D19" w14:paraId="78AF1CBE"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728" w:type="pct"/>
            <w:tcBorders>
              <w:top w:val="single" w:sz="4" w:space="0" w:color="auto"/>
            </w:tcBorders>
            <w:shd w:val="clear" w:color="auto" w:fill="auto"/>
            <w:noWrap/>
            <w:hideMark/>
          </w:tcPr>
          <w:p w14:paraId="7B645A6D" w14:textId="77777777" w:rsidR="002C11DC" w:rsidRPr="00C42D19" w:rsidRDefault="002C11DC" w:rsidP="00940F87">
            <w:pPr>
              <w:spacing w:after="0" w:line="240" w:lineRule="auto"/>
              <w:rPr>
                <w:rFonts w:eastAsia="Times New Roman" w:cs="Arial"/>
                <w:b/>
                <w:color w:val="000000"/>
                <w:sz w:val="18"/>
                <w:szCs w:val="18"/>
                <w:lang w:eastAsia="zh-CN"/>
              </w:rPr>
            </w:pPr>
            <w:r w:rsidRPr="00C42D19">
              <w:rPr>
                <w:rFonts w:eastAsia="Times New Roman" w:cs="Arial"/>
                <w:b/>
                <w:color w:val="000000"/>
                <w:sz w:val="18"/>
                <w:szCs w:val="18"/>
                <w:lang w:eastAsia="zh-CN"/>
              </w:rPr>
              <w:t>Difference</w:t>
            </w:r>
          </w:p>
        </w:tc>
        <w:tc>
          <w:tcPr>
            <w:tcW w:w="476" w:type="pct"/>
            <w:tcBorders>
              <w:top w:val="single" w:sz="4" w:space="0" w:color="auto"/>
            </w:tcBorders>
            <w:shd w:val="clear" w:color="auto" w:fill="auto"/>
            <w:noWrap/>
            <w:hideMark/>
          </w:tcPr>
          <w:p w14:paraId="53EDFB70"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i/>
                <w:color w:val="000000"/>
                <w:sz w:val="18"/>
                <w:szCs w:val="18"/>
                <w:lang w:eastAsia="zh-CN"/>
              </w:rPr>
            </w:pPr>
            <w:r w:rsidRPr="00C42D19">
              <w:rPr>
                <w:rFonts w:eastAsia="Times New Roman" w:cs="Arial"/>
                <w:b/>
                <w:i/>
                <w:color w:val="000000"/>
                <w:sz w:val="18"/>
                <w:szCs w:val="18"/>
                <w:lang w:eastAsia="zh-CN"/>
              </w:rPr>
              <w:t> </w:t>
            </w:r>
          </w:p>
        </w:tc>
        <w:tc>
          <w:tcPr>
            <w:tcW w:w="732" w:type="pct"/>
            <w:tcBorders>
              <w:top w:val="single" w:sz="4" w:space="0" w:color="auto"/>
            </w:tcBorders>
            <w:shd w:val="clear" w:color="auto" w:fill="auto"/>
            <w:noWrap/>
            <w:hideMark/>
          </w:tcPr>
          <w:p w14:paraId="6BD3CAA1"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 </w:t>
            </w:r>
          </w:p>
        </w:tc>
        <w:tc>
          <w:tcPr>
            <w:tcW w:w="732" w:type="pct"/>
            <w:tcBorders>
              <w:top w:val="single" w:sz="4" w:space="0" w:color="auto"/>
            </w:tcBorders>
            <w:shd w:val="clear" w:color="auto" w:fill="auto"/>
            <w:noWrap/>
            <w:hideMark/>
          </w:tcPr>
          <w:p w14:paraId="3711859D"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 </w:t>
            </w:r>
          </w:p>
        </w:tc>
        <w:tc>
          <w:tcPr>
            <w:tcW w:w="699" w:type="pct"/>
            <w:tcBorders>
              <w:top w:val="single" w:sz="4" w:space="0" w:color="auto"/>
              <w:right w:val="dotted" w:sz="4" w:space="0" w:color="auto"/>
            </w:tcBorders>
            <w:shd w:val="clear" w:color="auto" w:fill="auto"/>
            <w:noWrap/>
            <w:hideMark/>
          </w:tcPr>
          <w:p w14:paraId="363FAD14"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 </w:t>
            </w:r>
          </w:p>
        </w:tc>
        <w:tc>
          <w:tcPr>
            <w:tcW w:w="634" w:type="pct"/>
            <w:tcBorders>
              <w:top w:val="single" w:sz="4" w:space="0" w:color="auto"/>
              <w:left w:val="dotted" w:sz="4" w:space="0" w:color="auto"/>
              <w:bottom w:val="nil"/>
            </w:tcBorders>
            <w:shd w:val="clear" w:color="auto" w:fill="auto"/>
            <w:noWrap/>
            <w:hideMark/>
          </w:tcPr>
          <w:p w14:paraId="43DFB853"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 </w:t>
            </w:r>
          </w:p>
        </w:tc>
      </w:tr>
      <w:tr w:rsidR="00EE0279" w:rsidRPr="00C42D19" w14:paraId="7922E7FE" w14:textId="77777777" w:rsidTr="001137B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28" w:type="pct"/>
            <w:noWrap/>
            <w:hideMark/>
          </w:tcPr>
          <w:p w14:paraId="70EEA7FF" w14:textId="77777777" w:rsidR="002C11DC" w:rsidRPr="00C42D19" w:rsidRDefault="002C11DC" w:rsidP="00940F87">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SIL</w:t>
            </w:r>
          </w:p>
        </w:tc>
        <w:tc>
          <w:tcPr>
            <w:tcW w:w="476" w:type="pct"/>
            <w:noWrap/>
            <w:hideMark/>
          </w:tcPr>
          <w:p w14:paraId="0EAFCEF6"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782</w:t>
            </w:r>
          </w:p>
        </w:tc>
        <w:tc>
          <w:tcPr>
            <w:tcW w:w="732" w:type="pct"/>
            <w:noWrap/>
            <w:hideMark/>
          </w:tcPr>
          <w:p w14:paraId="09A36772"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1,096</w:t>
            </w:r>
          </w:p>
        </w:tc>
        <w:tc>
          <w:tcPr>
            <w:tcW w:w="732" w:type="pct"/>
            <w:noWrap/>
            <w:hideMark/>
          </w:tcPr>
          <w:p w14:paraId="5CC43D1B"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1,965</w:t>
            </w:r>
          </w:p>
        </w:tc>
        <w:tc>
          <w:tcPr>
            <w:tcW w:w="699" w:type="pct"/>
            <w:tcBorders>
              <w:right w:val="dotted" w:sz="4" w:space="0" w:color="auto"/>
            </w:tcBorders>
            <w:noWrap/>
            <w:hideMark/>
          </w:tcPr>
          <w:p w14:paraId="6F691397"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2,828</w:t>
            </w:r>
          </w:p>
        </w:tc>
        <w:tc>
          <w:tcPr>
            <w:tcW w:w="634" w:type="pct"/>
            <w:tcBorders>
              <w:top w:val="nil"/>
              <w:left w:val="dotted" w:sz="4" w:space="0" w:color="auto"/>
              <w:bottom w:val="nil"/>
            </w:tcBorders>
            <w:noWrap/>
            <w:hideMark/>
          </w:tcPr>
          <w:p w14:paraId="2D217F71"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7,239</w:t>
            </w:r>
          </w:p>
        </w:tc>
      </w:tr>
      <w:tr w:rsidR="00EE0279" w:rsidRPr="00C42D19" w14:paraId="467CB2D0"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728" w:type="pct"/>
            <w:tcBorders>
              <w:bottom w:val="single" w:sz="4" w:space="0" w:color="auto"/>
            </w:tcBorders>
            <w:shd w:val="clear" w:color="auto" w:fill="auto"/>
            <w:noWrap/>
            <w:hideMark/>
          </w:tcPr>
          <w:p w14:paraId="4B2AE239" w14:textId="77777777" w:rsidR="002C11DC" w:rsidRPr="00C42D19" w:rsidRDefault="002C11DC" w:rsidP="00940F87">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Non-SIL</w:t>
            </w:r>
          </w:p>
        </w:tc>
        <w:tc>
          <w:tcPr>
            <w:tcW w:w="476" w:type="pct"/>
            <w:tcBorders>
              <w:bottom w:val="single" w:sz="4" w:space="0" w:color="auto"/>
            </w:tcBorders>
            <w:shd w:val="clear" w:color="auto" w:fill="auto"/>
            <w:noWrap/>
            <w:hideMark/>
          </w:tcPr>
          <w:p w14:paraId="473594BA"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-736</w:t>
            </w:r>
          </w:p>
        </w:tc>
        <w:tc>
          <w:tcPr>
            <w:tcW w:w="732" w:type="pct"/>
            <w:tcBorders>
              <w:bottom w:val="single" w:sz="4" w:space="0" w:color="auto"/>
            </w:tcBorders>
            <w:shd w:val="clear" w:color="auto" w:fill="auto"/>
            <w:noWrap/>
            <w:hideMark/>
          </w:tcPr>
          <w:p w14:paraId="6D976C40"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-987</w:t>
            </w:r>
          </w:p>
        </w:tc>
        <w:tc>
          <w:tcPr>
            <w:tcW w:w="732" w:type="pct"/>
            <w:tcBorders>
              <w:bottom w:val="single" w:sz="4" w:space="0" w:color="auto"/>
            </w:tcBorders>
            <w:shd w:val="clear" w:color="auto" w:fill="auto"/>
            <w:noWrap/>
            <w:hideMark/>
          </w:tcPr>
          <w:p w14:paraId="6520B46E"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684</w:t>
            </w:r>
          </w:p>
        </w:tc>
        <w:tc>
          <w:tcPr>
            <w:tcW w:w="699" w:type="pct"/>
            <w:tcBorders>
              <w:bottom w:val="single" w:sz="4" w:space="0" w:color="auto"/>
              <w:right w:val="dotted" w:sz="4" w:space="0" w:color="auto"/>
            </w:tcBorders>
            <w:shd w:val="clear" w:color="auto" w:fill="auto"/>
            <w:noWrap/>
            <w:hideMark/>
          </w:tcPr>
          <w:p w14:paraId="32B6D06E"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2,821</w:t>
            </w:r>
          </w:p>
        </w:tc>
        <w:tc>
          <w:tcPr>
            <w:tcW w:w="634" w:type="pct"/>
            <w:tcBorders>
              <w:top w:val="nil"/>
              <w:left w:val="dotted" w:sz="4" w:space="0" w:color="auto"/>
              <w:bottom w:val="single" w:sz="4" w:space="0" w:color="auto"/>
            </w:tcBorders>
            <w:shd w:val="clear" w:color="auto" w:fill="auto"/>
            <w:noWrap/>
            <w:hideMark/>
          </w:tcPr>
          <w:p w14:paraId="2A66D817"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13,722</w:t>
            </w:r>
          </w:p>
        </w:tc>
      </w:tr>
      <w:tr w:rsidR="00EE0279" w:rsidRPr="00C42D19" w14:paraId="3782FD59" w14:textId="77777777" w:rsidTr="001137B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28" w:type="pct"/>
            <w:tcBorders>
              <w:top w:val="single" w:sz="4" w:space="0" w:color="auto"/>
              <w:bottom w:val="single" w:sz="4" w:space="0" w:color="auto"/>
            </w:tcBorders>
            <w:shd w:val="clear" w:color="auto" w:fill="D4C5D7"/>
            <w:noWrap/>
            <w:hideMark/>
          </w:tcPr>
          <w:p w14:paraId="38E4A1D7" w14:textId="77777777" w:rsidR="002C11DC" w:rsidRPr="00C42D19" w:rsidRDefault="002C11DC" w:rsidP="00940F87">
            <w:pPr>
              <w:spacing w:after="0" w:line="240" w:lineRule="auto"/>
              <w:rPr>
                <w:rFonts w:eastAsia="Times New Roman" w:cs="Arial"/>
                <w:b/>
                <w:color w:val="000000"/>
                <w:sz w:val="18"/>
                <w:szCs w:val="18"/>
                <w:lang w:eastAsia="zh-CN"/>
              </w:rPr>
            </w:pPr>
            <w:r w:rsidRPr="00C42D19">
              <w:rPr>
                <w:rFonts w:eastAsia="Times New Roman" w:cs="Arial"/>
                <w:b/>
                <w:color w:val="000000"/>
                <w:sz w:val="18"/>
                <w:szCs w:val="18"/>
                <w:lang w:eastAsia="zh-CN"/>
              </w:rPr>
              <w:t>Total</w:t>
            </w:r>
          </w:p>
        </w:tc>
        <w:tc>
          <w:tcPr>
            <w:tcW w:w="476" w:type="pct"/>
            <w:tcBorders>
              <w:top w:val="single" w:sz="4" w:space="0" w:color="auto"/>
              <w:bottom w:val="single" w:sz="4" w:space="0" w:color="auto"/>
            </w:tcBorders>
            <w:shd w:val="clear" w:color="auto" w:fill="D4C5D7"/>
            <w:noWrap/>
            <w:hideMark/>
          </w:tcPr>
          <w:p w14:paraId="36218B80"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46</w:t>
            </w:r>
          </w:p>
        </w:tc>
        <w:tc>
          <w:tcPr>
            <w:tcW w:w="732" w:type="pct"/>
            <w:tcBorders>
              <w:top w:val="single" w:sz="4" w:space="0" w:color="auto"/>
              <w:bottom w:val="single" w:sz="4" w:space="0" w:color="auto"/>
            </w:tcBorders>
            <w:shd w:val="clear" w:color="auto" w:fill="D4C5D7"/>
            <w:noWrap/>
            <w:hideMark/>
          </w:tcPr>
          <w:p w14:paraId="3FF17189"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109</w:t>
            </w:r>
          </w:p>
        </w:tc>
        <w:tc>
          <w:tcPr>
            <w:tcW w:w="732" w:type="pct"/>
            <w:tcBorders>
              <w:top w:val="single" w:sz="4" w:space="0" w:color="auto"/>
              <w:bottom w:val="single" w:sz="4" w:space="0" w:color="auto"/>
            </w:tcBorders>
            <w:shd w:val="clear" w:color="auto" w:fill="D4C5D7"/>
            <w:noWrap/>
            <w:hideMark/>
          </w:tcPr>
          <w:p w14:paraId="2C9D6BEA"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2,648</w:t>
            </w:r>
          </w:p>
        </w:tc>
        <w:tc>
          <w:tcPr>
            <w:tcW w:w="699" w:type="pct"/>
            <w:tcBorders>
              <w:top w:val="single" w:sz="4" w:space="0" w:color="auto"/>
              <w:bottom w:val="single" w:sz="4" w:space="0" w:color="auto"/>
              <w:right w:val="dotted" w:sz="4" w:space="0" w:color="auto"/>
            </w:tcBorders>
            <w:shd w:val="clear" w:color="auto" w:fill="D4C5D7"/>
            <w:noWrap/>
            <w:hideMark/>
          </w:tcPr>
          <w:p w14:paraId="2E41AD00"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5,649</w:t>
            </w:r>
          </w:p>
        </w:tc>
        <w:tc>
          <w:tcPr>
            <w:tcW w:w="634" w:type="pct"/>
            <w:tcBorders>
              <w:top w:val="single" w:sz="4" w:space="0" w:color="auto"/>
              <w:left w:val="dotted" w:sz="4" w:space="0" w:color="auto"/>
              <w:bottom w:val="single" w:sz="4" w:space="0" w:color="auto"/>
            </w:tcBorders>
            <w:shd w:val="clear" w:color="auto" w:fill="D4C5D7"/>
            <w:noWrap/>
            <w:hideMark/>
          </w:tcPr>
          <w:p w14:paraId="2896AD4C"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20,960</w:t>
            </w:r>
          </w:p>
        </w:tc>
      </w:tr>
      <w:tr w:rsidR="002C11DC" w:rsidRPr="00C42D19" w14:paraId="469B389A"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728" w:type="pct"/>
            <w:tcBorders>
              <w:top w:val="single" w:sz="4" w:space="0" w:color="auto"/>
            </w:tcBorders>
            <w:shd w:val="clear" w:color="auto" w:fill="auto"/>
            <w:noWrap/>
            <w:hideMark/>
          </w:tcPr>
          <w:p w14:paraId="373E16C6" w14:textId="77777777" w:rsidR="002C11DC" w:rsidRPr="00C42D19" w:rsidRDefault="002C11DC" w:rsidP="00940F87">
            <w:pPr>
              <w:spacing w:after="0" w:line="240" w:lineRule="auto"/>
              <w:rPr>
                <w:rFonts w:eastAsia="Times New Roman" w:cs="Arial"/>
                <w:b/>
                <w:color w:val="000000"/>
                <w:sz w:val="18"/>
                <w:szCs w:val="18"/>
                <w:lang w:eastAsia="zh-CN"/>
              </w:rPr>
            </w:pPr>
            <w:r w:rsidRPr="00C42D19">
              <w:rPr>
                <w:rFonts w:eastAsia="Times New Roman" w:cs="Arial"/>
                <w:b/>
                <w:color w:val="000000"/>
                <w:sz w:val="18"/>
                <w:szCs w:val="18"/>
                <w:lang w:eastAsia="zh-CN"/>
              </w:rPr>
              <w:t>% Difference</w:t>
            </w:r>
          </w:p>
        </w:tc>
        <w:tc>
          <w:tcPr>
            <w:tcW w:w="476" w:type="pct"/>
            <w:tcBorders>
              <w:top w:val="single" w:sz="4" w:space="0" w:color="auto"/>
            </w:tcBorders>
            <w:shd w:val="clear" w:color="auto" w:fill="auto"/>
            <w:noWrap/>
            <w:hideMark/>
          </w:tcPr>
          <w:p w14:paraId="63FC82CB"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i/>
                <w:color w:val="000000"/>
                <w:sz w:val="18"/>
                <w:szCs w:val="18"/>
                <w:lang w:eastAsia="zh-CN"/>
              </w:rPr>
            </w:pPr>
            <w:r w:rsidRPr="00C42D19">
              <w:rPr>
                <w:rFonts w:eastAsia="Times New Roman" w:cs="Arial"/>
                <w:b/>
                <w:i/>
                <w:color w:val="000000"/>
                <w:sz w:val="18"/>
                <w:szCs w:val="18"/>
                <w:lang w:eastAsia="zh-CN"/>
              </w:rPr>
              <w:t> </w:t>
            </w:r>
          </w:p>
        </w:tc>
        <w:tc>
          <w:tcPr>
            <w:tcW w:w="732" w:type="pct"/>
            <w:tcBorders>
              <w:top w:val="single" w:sz="4" w:space="0" w:color="auto"/>
            </w:tcBorders>
            <w:shd w:val="clear" w:color="auto" w:fill="auto"/>
            <w:noWrap/>
            <w:hideMark/>
          </w:tcPr>
          <w:p w14:paraId="69328FEB"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 </w:t>
            </w:r>
          </w:p>
        </w:tc>
        <w:tc>
          <w:tcPr>
            <w:tcW w:w="732" w:type="pct"/>
            <w:tcBorders>
              <w:top w:val="single" w:sz="4" w:space="0" w:color="auto"/>
            </w:tcBorders>
            <w:shd w:val="clear" w:color="auto" w:fill="auto"/>
            <w:noWrap/>
            <w:hideMark/>
          </w:tcPr>
          <w:p w14:paraId="53C812F8"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 </w:t>
            </w:r>
          </w:p>
        </w:tc>
        <w:tc>
          <w:tcPr>
            <w:tcW w:w="699" w:type="pct"/>
            <w:tcBorders>
              <w:top w:val="single" w:sz="4" w:space="0" w:color="auto"/>
              <w:right w:val="dotted" w:sz="4" w:space="0" w:color="auto"/>
            </w:tcBorders>
            <w:shd w:val="clear" w:color="auto" w:fill="auto"/>
            <w:noWrap/>
            <w:hideMark/>
          </w:tcPr>
          <w:p w14:paraId="3D8CA3D0"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 </w:t>
            </w:r>
          </w:p>
        </w:tc>
        <w:tc>
          <w:tcPr>
            <w:tcW w:w="634" w:type="pct"/>
            <w:tcBorders>
              <w:top w:val="single" w:sz="4" w:space="0" w:color="auto"/>
              <w:left w:val="dotted" w:sz="4" w:space="0" w:color="auto"/>
              <w:bottom w:val="nil"/>
            </w:tcBorders>
            <w:shd w:val="clear" w:color="auto" w:fill="auto"/>
            <w:noWrap/>
            <w:hideMark/>
          </w:tcPr>
          <w:p w14:paraId="577535BB"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 </w:t>
            </w:r>
          </w:p>
        </w:tc>
      </w:tr>
      <w:tr w:rsidR="00EE0279" w:rsidRPr="00C42D19" w14:paraId="5A3FC532" w14:textId="77777777" w:rsidTr="001137B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28" w:type="pct"/>
            <w:noWrap/>
            <w:hideMark/>
          </w:tcPr>
          <w:p w14:paraId="4BD7347A" w14:textId="77777777" w:rsidR="002C11DC" w:rsidRPr="00C42D19" w:rsidRDefault="002C11DC" w:rsidP="00940F87">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SIL</w:t>
            </w:r>
          </w:p>
        </w:tc>
        <w:tc>
          <w:tcPr>
            <w:tcW w:w="476" w:type="pct"/>
            <w:noWrap/>
            <w:hideMark/>
          </w:tcPr>
          <w:p w14:paraId="1A04FF91"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8%</w:t>
            </w:r>
          </w:p>
        </w:tc>
        <w:tc>
          <w:tcPr>
            <w:tcW w:w="732" w:type="pct"/>
            <w:noWrap/>
            <w:hideMark/>
          </w:tcPr>
          <w:p w14:paraId="4CCD2FF2"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11%</w:t>
            </w:r>
          </w:p>
        </w:tc>
        <w:tc>
          <w:tcPr>
            <w:tcW w:w="732" w:type="pct"/>
            <w:noWrap/>
            <w:hideMark/>
          </w:tcPr>
          <w:p w14:paraId="76B541AF"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18%</w:t>
            </w:r>
          </w:p>
        </w:tc>
        <w:tc>
          <w:tcPr>
            <w:tcW w:w="699" w:type="pct"/>
            <w:tcBorders>
              <w:right w:val="dotted" w:sz="4" w:space="0" w:color="auto"/>
            </w:tcBorders>
            <w:noWrap/>
            <w:hideMark/>
          </w:tcPr>
          <w:p w14:paraId="22A5D08F"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24%</w:t>
            </w:r>
          </w:p>
        </w:tc>
        <w:tc>
          <w:tcPr>
            <w:tcW w:w="634" w:type="pct"/>
            <w:tcBorders>
              <w:top w:val="nil"/>
              <w:left w:val="dotted" w:sz="4" w:space="0" w:color="auto"/>
              <w:bottom w:val="nil"/>
            </w:tcBorders>
            <w:noWrap/>
            <w:hideMark/>
          </w:tcPr>
          <w:p w14:paraId="4E3ECCB3"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40%</w:t>
            </w:r>
          </w:p>
        </w:tc>
      </w:tr>
      <w:tr w:rsidR="00EE0279" w:rsidRPr="00C42D19" w14:paraId="0F281063"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1728" w:type="pct"/>
            <w:tcBorders>
              <w:bottom w:val="single" w:sz="4" w:space="0" w:color="auto"/>
            </w:tcBorders>
            <w:shd w:val="clear" w:color="auto" w:fill="auto"/>
            <w:noWrap/>
            <w:hideMark/>
          </w:tcPr>
          <w:p w14:paraId="5B7CE4A8" w14:textId="77777777" w:rsidR="002C11DC" w:rsidRPr="00C42D19" w:rsidRDefault="002C11DC" w:rsidP="00940F87">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Non-SIL</w:t>
            </w:r>
          </w:p>
        </w:tc>
        <w:tc>
          <w:tcPr>
            <w:tcW w:w="476" w:type="pct"/>
            <w:tcBorders>
              <w:bottom w:val="single" w:sz="4" w:space="0" w:color="auto"/>
            </w:tcBorders>
            <w:shd w:val="clear" w:color="auto" w:fill="auto"/>
            <w:noWrap/>
            <w:hideMark/>
          </w:tcPr>
          <w:p w14:paraId="615CE489"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w:t>
            </w:r>
          </w:p>
        </w:tc>
        <w:tc>
          <w:tcPr>
            <w:tcW w:w="732" w:type="pct"/>
            <w:tcBorders>
              <w:bottom w:val="single" w:sz="4" w:space="0" w:color="auto"/>
            </w:tcBorders>
            <w:shd w:val="clear" w:color="auto" w:fill="auto"/>
            <w:noWrap/>
            <w:hideMark/>
          </w:tcPr>
          <w:p w14:paraId="43B83E00"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-4%</w:t>
            </w:r>
          </w:p>
        </w:tc>
        <w:tc>
          <w:tcPr>
            <w:tcW w:w="732" w:type="pct"/>
            <w:tcBorders>
              <w:bottom w:val="single" w:sz="4" w:space="0" w:color="auto"/>
            </w:tcBorders>
            <w:shd w:val="clear" w:color="auto" w:fill="auto"/>
            <w:noWrap/>
            <w:hideMark/>
          </w:tcPr>
          <w:p w14:paraId="0E2F64DD"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2%</w:t>
            </w:r>
          </w:p>
        </w:tc>
        <w:tc>
          <w:tcPr>
            <w:tcW w:w="699" w:type="pct"/>
            <w:tcBorders>
              <w:bottom w:val="single" w:sz="4" w:space="0" w:color="auto"/>
              <w:right w:val="dotted" w:sz="4" w:space="0" w:color="auto"/>
            </w:tcBorders>
            <w:shd w:val="clear" w:color="auto" w:fill="auto"/>
            <w:noWrap/>
            <w:hideMark/>
          </w:tcPr>
          <w:p w14:paraId="4B3D241D"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9%</w:t>
            </w:r>
          </w:p>
        </w:tc>
        <w:tc>
          <w:tcPr>
            <w:tcW w:w="634" w:type="pct"/>
            <w:tcBorders>
              <w:top w:val="nil"/>
              <w:left w:val="dotted" w:sz="4" w:space="0" w:color="auto"/>
              <w:bottom w:val="single" w:sz="4" w:space="0" w:color="auto"/>
            </w:tcBorders>
            <w:shd w:val="clear" w:color="auto" w:fill="auto"/>
            <w:noWrap/>
            <w:hideMark/>
          </w:tcPr>
          <w:p w14:paraId="039F3E5C" w14:textId="77777777" w:rsidR="002C11DC" w:rsidRPr="00C42D19" w:rsidRDefault="002C11DC" w:rsidP="00940F8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C42D19">
              <w:rPr>
                <w:rFonts w:eastAsia="Times New Roman" w:cs="Arial"/>
                <w:sz w:val="18"/>
                <w:szCs w:val="18"/>
                <w:lang w:eastAsia="zh-CN"/>
              </w:rPr>
              <w:t>28%</w:t>
            </w:r>
          </w:p>
        </w:tc>
      </w:tr>
      <w:tr w:rsidR="00EE0279" w:rsidRPr="00C42D19" w14:paraId="0122FA70" w14:textId="77777777" w:rsidTr="001137B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728" w:type="pct"/>
            <w:tcBorders>
              <w:top w:val="single" w:sz="4" w:space="0" w:color="auto"/>
              <w:bottom w:val="single" w:sz="4" w:space="0" w:color="auto"/>
            </w:tcBorders>
            <w:shd w:val="clear" w:color="auto" w:fill="D4C5D7"/>
            <w:noWrap/>
            <w:hideMark/>
          </w:tcPr>
          <w:p w14:paraId="0F096BF4" w14:textId="77777777" w:rsidR="002C11DC" w:rsidRPr="00C42D19" w:rsidRDefault="002C11DC" w:rsidP="00940F87">
            <w:pPr>
              <w:spacing w:after="0" w:line="240" w:lineRule="auto"/>
              <w:rPr>
                <w:rFonts w:eastAsia="Times New Roman" w:cs="Arial"/>
                <w:b/>
                <w:color w:val="000000"/>
                <w:sz w:val="18"/>
                <w:szCs w:val="18"/>
                <w:lang w:eastAsia="zh-CN"/>
              </w:rPr>
            </w:pPr>
            <w:r w:rsidRPr="00C42D19">
              <w:rPr>
                <w:rFonts w:eastAsia="Times New Roman" w:cs="Arial"/>
                <w:b/>
                <w:color w:val="000000"/>
                <w:sz w:val="18"/>
                <w:szCs w:val="18"/>
                <w:lang w:eastAsia="zh-CN"/>
              </w:rPr>
              <w:t>Total</w:t>
            </w:r>
          </w:p>
        </w:tc>
        <w:tc>
          <w:tcPr>
            <w:tcW w:w="476" w:type="pct"/>
            <w:tcBorders>
              <w:top w:val="single" w:sz="4" w:space="0" w:color="auto"/>
              <w:bottom w:val="single" w:sz="4" w:space="0" w:color="auto"/>
            </w:tcBorders>
            <w:shd w:val="clear" w:color="auto" w:fill="D4C5D7"/>
            <w:noWrap/>
            <w:hideMark/>
          </w:tcPr>
          <w:p w14:paraId="777F15C7"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0%</w:t>
            </w:r>
          </w:p>
        </w:tc>
        <w:tc>
          <w:tcPr>
            <w:tcW w:w="732" w:type="pct"/>
            <w:tcBorders>
              <w:top w:val="single" w:sz="4" w:space="0" w:color="auto"/>
              <w:bottom w:val="single" w:sz="4" w:space="0" w:color="auto"/>
            </w:tcBorders>
            <w:shd w:val="clear" w:color="auto" w:fill="D4C5D7"/>
            <w:noWrap/>
            <w:hideMark/>
          </w:tcPr>
          <w:p w14:paraId="61735E97"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0%</w:t>
            </w:r>
          </w:p>
        </w:tc>
        <w:tc>
          <w:tcPr>
            <w:tcW w:w="732" w:type="pct"/>
            <w:tcBorders>
              <w:top w:val="single" w:sz="4" w:space="0" w:color="auto"/>
              <w:bottom w:val="single" w:sz="4" w:space="0" w:color="auto"/>
            </w:tcBorders>
            <w:shd w:val="clear" w:color="auto" w:fill="D4C5D7"/>
            <w:noWrap/>
            <w:hideMark/>
          </w:tcPr>
          <w:p w14:paraId="2200A4E5"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6%</w:t>
            </w:r>
          </w:p>
        </w:tc>
        <w:tc>
          <w:tcPr>
            <w:tcW w:w="699" w:type="pct"/>
            <w:tcBorders>
              <w:top w:val="single" w:sz="4" w:space="0" w:color="auto"/>
              <w:bottom w:val="single" w:sz="4" w:space="0" w:color="auto"/>
              <w:right w:val="dotted" w:sz="4" w:space="0" w:color="auto"/>
            </w:tcBorders>
            <w:shd w:val="clear" w:color="auto" w:fill="D4C5D7"/>
            <w:noWrap/>
            <w:hideMark/>
          </w:tcPr>
          <w:p w14:paraId="0DC29719"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13%</w:t>
            </w:r>
          </w:p>
        </w:tc>
        <w:tc>
          <w:tcPr>
            <w:tcW w:w="634" w:type="pct"/>
            <w:tcBorders>
              <w:top w:val="single" w:sz="4" w:space="0" w:color="auto"/>
              <w:left w:val="dotted" w:sz="4" w:space="0" w:color="auto"/>
              <w:bottom w:val="single" w:sz="4" w:space="0" w:color="auto"/>
            </w:tcBorders>
            <w:shd w:val="clear" w:color="auto" w:fill="D4C5D7"/>
            <w:noWrap/>
            <w:hideMark/>
          </w:tcPr>
          <w:p w14:paraId="7D2B4C81" w14:textId="77777777" w:rsidR="002C11DC" w:rsidRPr="00C42D19" w:rsidRDefault="002C11DC" w:rsidP="00940F8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C42D19">
              <w:rPr>
                <w:rFonts w:eastAsia="Times New Roman" w:cs="Arial"/>
                <w:b/>
                <w:sz w:val="18"/>
                <w:szCs w:val="18"/>
                <w:lang w:eastAsia="zh-CN"/>
              </w:rPr>
              <w:t>31%</w:t>
            </w:r>
          </w:p>
        </w:tc>
      </w:tr>
    </w:tbl>
    <w:p w14:paraId="35EE3AAF" w14:textId="77777777" w:rsidR="002C11DC" w:rsidRDefault="002C11DC" w:rsidP="002C11DC">
      <w:pPr>
        <w:spacing w:after="160" w:line="259" w:lineRule="auto"/>
        <w:rPr>
          <w:b/>
          <w:color w:val="6B2976"/>
          <w:sz w:val="25"/>
        </w:rPr>
      </w:pPr>
      <w:r>
        <w:br w:type="page"/>
      </w:r>
    </w:p>
    <w:p w14:paraId="0F4E148F" w14:textId="77777777" w:rsidR="002C11DC" w:rsidRPr="009F74B6" w:rsidRDefault="002C11DC" w:rsidP="002C11DC">
      <w:pPr>
        <w:pStyle w:val="FSRHeading4"/>
      </w:pPr>
      <w:r w:rsidRPr="009F74B6">
        <w:lastRenderedPageBreak/>
        <w:t>Scheme expenses by Age Band</w:t>
      </w:r>
    </w:p>
    <w:p w14:paraId="41776DBE" w14:textId="77777777" w:rsidR="002C11DC" w:rsidRDefault="002C11DC" w:rsidP="002C11DC">
      <w:pPr>
        <w:pStyle w:val="Tables"/>
        <w:rPr>
          <w:highlight w:val="yellow"/>
        </w:rPr>
      </w:pPr>
      <w:r w:rsidRPr="00F22F88">
        <w:t xml:space="preserve">Table </w:t>
      </w:r>
      <w:r w:rsidR="005E06BA">
        <w:t>B</w:t>
      </w:r>
      <w:r w:rsidR="00A87896">
        <w:t>.</w:t>
      </w:r>
      <w:fldSimple w:instr=" SEQ Table \* ARABIC \s 2 ">
        <w:r w:rsidR="00A87896">
          <w:rPr>
            <w:noProof/>
          </w:rPr>
          <w:t>4</w:t>
        </w:r>
      </w:fldSimple>
      <w:r>
        <w:rPr>
          <w:noProof/>
        </w:rPr>
        <w:t>:</w:t>
      </w:r>
      <w:r w:rsidRPr="00F22F88">
        <w:t xml:space="preserve"> Change in projected </w:t>
      </w:r>
      <w:r>
        <w:t>Scheme expenses</w:t>
      </w:r>
      <w:r w:rsidRPr="00F22F88">
        <w:t xml:space="preserve"> by age band (cash basis)</w:t>
      </w:r>
    </w:p>
    <w:tbl>
      <w:tblPr>
        <w:tblStyle w:val="FSRtable"/>
        <w:tblW w:w="9067" w:type="dxa"/>
        <w:tblInd w:w="5" w:type="dxa"/>
        <w:tblLayout w:type="fixed"/>
        <w:tblLook w:val="04A0" w:firstRow="1" w:lastRow="0" w:firstColumn="1" w:lastColumn="0" w:noHBand="0" w:noVBand="1"/>
      </w:tblPr>
      <w:tblGrid>
        <w:gridCol w:w="3114"/>
        <w:gridCol w:w="1134"/>
        <w:gridCol w:w="1134"/>
        <w:gridCol w:w="1276"/>
        <w:gridCol w:w="1275"/>
        <w:gridCol w:w="1134"/>
      </w:tblGrid>
      <w:tr w:rsidR="002C11DC" w:rsidRPr="00C42D19" w14:paraId="07AD253D"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114" w:type="dxa"/>
            <w:noWrap/>
            <w:vAlign w:val="bottom"/>
            <w:hideMark/>
          </w:tcPr>
          <w:p w14:paraId="1DB9E9EB" w14:textId="77777777" w:rsidR="002C11DC" w:rsidRPr="00C42D19" w:rsidRDefault="002C11DC" w:rsidP="00017D78">
            <w:pPr>
              <w:spacing w:after="0" w:line="240" w:lineRule="auto"/>
              <w:rPr>
                <w:rFonts w:eastAsia="Times New Roman"/>
                <w:b w:val="0"/>
                <w:color w:val="FFFFFF"/>
                <w:sz w:val="18"/>
                <w:szCs w:val="18"/>
                <w:lang w:eastAsia="zh-CN"/>
              </w:rPr>
            </w:pPr>
            <w:r w:rsidRPr="00C42D19">
              <w:rPr>
                <w:rFonts w:eastAsia="Times New Roman"/>
                <w:color w:val="FFFFFF"/>
                <w:sz w:val="18"/>
                <w:szCs w:val="18"/>
                <w:lang w:eastAsia="zh-CN"/>
              </w:rPr>
              <w:t>Scheme expenses</w:t>
            </w:r>
          </w:p>
        </w:tc>
        <w:tc>
          <w:tcPr>
            <w:tcW w:w="5953" w:type="dxa"/>
            <w:gridSpan w:val="5"/>
            <w:tcBorders>
              <w:top w:val="single" w:sz="4" w:space="0" w:color="auto"/>
              <w:bottom w:val="single" w:sz="4" w:space="0" w:color="FFFFFF" w:themeColor="background1"/>
            </w:tcBorders>
            <w:noWrap/>
            <w:hideMark/>
          </w:tcPr>
          <w:p w14:paraId="004F9253" w14:textId="77777777" w:rsidR="002C11DC" w:rsidRPr="00C42D19" w:rsidRDefault="002C11DC" w:rsidP="004462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color w:val="FFFFFF"/>
                <w:sz w:val="18"/>
                <w:szCs w:val="18"/>
                <w:lang w:eastAsia="zh-CN"/>
              </w:rPr>
            </w:pPr>
            <w:r w:rsidRPr="00C42D19">
              <w:rPr>
                <w:rFonts w:eastAsia="Times New Roman"/>
                <w:color w:val="FFFFFF"/>
                <w:sz w:val="18"/>
                <w:szCs w:val="18"/>
                <w:lang w:eastAsia="zh-CN"/>
              </w:rPr>
              <w:t>Projection Year</w:t>
            </w:r>
          </w:p>
        </w:tc>
      </w:tr>
      <w:tr w:rsidR="002C11DC" w:rsidRPr="00C42D19" w14:paraId="3510AFF8"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114" w:type="dxa"/>
            <w:noWrap/>
            <w:vAlign w:val="top"/>
            <w:hideMark/>
          </w:tcPr>
          <w:p w14:paraId="187A59A6" w14:textId="77777777" w:rsidR="002C11DC" w:rsidRPr="00C42D19" w:rsidRDefault="002C11DC" w:rsidP="00017D78">
            <w:pPr>
              <w:spacing w:after="0" w:line="240" w:lineRule="auto"/>
              <w:rPr>
                <w:rFonts w:eastAsia="Times New Roman"/>
                <w:b w:val="0"/>
                <w:color w:val="FFFFFF"/>
                <w:sz w:val="18"/>
                <w:szCs w:val="18"/>
                <w:lang w:eastAsia="zh-CN"/>
              </w:rPr>
            </w:pPr>
            <w:r w:rsidRPr="00C42D19">
              <w:rPr>
                <w:rFonts w:eastAsia="Times New Roman"/>
                <w:color w:val="FFFFFF"/>
                <w:sz w:val="18"/>
                <w:szCs w:val="18"/>
                <w:lang w:eastAsia="zh-CN"/>
              </w:rPr>
              <w:t>($m, cash basis)</w:t>
            </w:r>
          </w:p>
        </w:tc>
        <w:tc>
          <w:tcPr>
            <w:tcW w:w="1134" w:type="dxa"/>
            <w:tcBorders>
              <w:top w:val="single" w:sz="4" w:space="0" w:color="FFFFFF" w:themeColor="background1"/>
            </w:tcBorders>
            <w:noWrap/>
            <w:hideMark/>
          </w:tcPr>
          <w:p w14:paraId="28CDF7E9" w14:textId="77777777" w:rsidR="002C11DC" w:rsidRPr="00C42D19"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FFFFFF"/>
                <w:sz w:val="18"/>
                <w:szCs w:val="18"/>
                <w:lang w:eastAsia="zh-CN"/>
              </w:rPr>
            </w:pPr>
            <w:r w:rsidRPr="00C42D19">
              <w:rPr>
                <w:rFonts w:eastAsia="Times New Roman"/>
                <w:color w:val="FFFFFF"/>
                <w:sz w:val="18"/>
                <w:szCs w:val="18"/>
                <w:lang w:eastAsia="zh-CN"/>
              </w:rPr>
              <w:t>2022-23</w:t>
            </w:r>
          </w:p>
        </w:tc>
        <w:tc>
          <w:tcPr>
            <w:tcW w:w="1134" w:type="dxa"/>
            <w:tcBorders>
              <w:top w:val="single" w:sz="4" w:space="0" w:color="FFFFFF" w:themeColor="background1"/>
            </w:tcBorders>
            <w:noWrap/>
            <w:hideMark/>
          </w:tcPr>
          <w:p w14:paraId="00AC5C3C" w14:textId="77777777" w:rsidR="002C11DC" w:rsidRPr="00C42D19"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FFFFFF"/>
                <w:sz w:val="18"/>
                <w:szCs w:val="18"/>
                <w:lang w:eastAsia="zh-CN"/>
              </w:rPr>
            </w:pPr>
            <w:r w:rsidRPr="00C42D19">
              <w:rPr>
                <w:rFonts w:eastAsia="Times New Roman"/>
                <w:color w:val="FFFFFF"/>
                <w:sz w:val="18"/>
                <w:szCs w:val="18"/>
                <w:lang w:eastAsia="zh-CN"/>
              </w:rPr>
              <w:t>2023-24</w:t>
            </w:r>
          </w:p>
        </w:tc>
        <w:tc>
          <w:tcPr>
            <w:tcW w:w="1276" w:type="dxa"/>
            <w:tcBorders>
              <w:top w:val="single" w:sz="4" w:space="0" w:color="FFFFFF" w:themeColor="background1"/>
            </w:tcBorders>
            <w:noWrap/>
            <w:hideMark/>
          </w:tcPr>
          <w:p w14:paraId="6F5B1690" w14:textId="77777777" w:rsidR="002C11DC" w:rsidRPr="00C42D19"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FFFFFF"/>
                <w:sz w:val="18"/>
                <w:szCs w:val="18"/>
                <w:lang w:eastAsia="zh-CN"/>
              </w:rPr>
            </w:pPr>
            <w:r w:rsidRPr="00C42D19">
              <w:rPr>
                <w:rFonts w:eastAsia="Times New Roman"/>
                <w:color w:val="FFFFFF"/>
                <w:sz w:val="18"/>
                <w:szCs w:val="18"/>
                <w:lang w:eastAsia="zh-CN"/>
              </w:rPr>
              <w:t>2024-25</w:t>
            </w:r>
          </w:p>
        </w:tc>
        <w:tc>
          <w:tcPr>
            <w:tcW w:w="1275" w:type="dxa"/>
            <w:tcBorders>
              <w:top w:val="single" w:sz="4" w:space="0" w:color="FFFFFF" w:themeColor="background1"/>
              <w:right w:val="dotted" w:sz="4" w:space="0" w:color="auto"/>
            </w:tcBorders>
            <w:noWrap/>
            <w:hideMark/>
          </w:tcPr>
          <w:p w14:paraId="147D93AE" w14:textId="77777777" w:rsidR="002C11DC" w:rsidRPr="00C42D19"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FFFFFF"/>
                <w:sz w:val="18"/>
                <w:szCs w:val="18"/>
                <w:lang w:eastAsia="zh-CN"/>
              </w:rPr>
            </w:pPr>
            <w:r w:rsidRPr="00C42D19">
              <w:rPr>
                <w:rFonts w:eastAsia="Times New Roman"/>
                <w:color w:val="FFFFFF"/>
                <w:sz w:val="18"/>
                <w:szCs w:val="18"/>
                <w:lang w:eastAsia="zh-CN"/>
              </w:rPr>
              <w:t>2025-26</w:t>
            </w:r>
          </w:p>
        </w:tc>
        <w:tc>
          <w:tcPr>
            <w:tcW w:w="1134" w:type="dxa"/>
            <w:tcBorders>
              <w:top w:val="single" w:sz="4" w:space="0" w:color="FFFFFF" w:themeColor="background1"/>
              <w:left w:val="dotted" w:sz="4" w:space="0" w:color="auto"/>
              <w:bottom w:val="nil"/>
            </w:tcBorders>
            <w:noWrap/>
            <w:hideMark/>
          </w:tcPr>
          <w:p w14:paraId="30973D20" w14:textId="77777777" w:rsidR="002C11DC" w:rsidRPr="00C42D19"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color w:val="FFFFFF"/>
                <w:sz w:val="18"/>
                <w:szCs w:val="18"/>
                <w:lang w:eastAsia="zh-CN"/>
              </w:rPr>
            </w:pPr>
            <w:r w:rsidRPr="00C42D19">
              <w:rPr>
                <w:rFonts w:eastAsia="Times New Roman"/>
                <w:color w:val="FFFFFF"/>
                <w:sz w:val="18"/>
                <w:szCs w:val="18"/>
                <w:lang w:eastAsia="zh-CN"/>
              </w:rPr>
              <w:t>2031-32</w:t>
            </w:r>
          </w:p>
        </w:tc>
      </w:tr>
      <w:tr w:rsidR="002C11DC" w:rsidRPr="00C42D19" w14:paraId="5F5AB2F6"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noWrap/>
            <w:hideMark/>
          </w:tcPr>
          <w:p w14:paraId="5C3B9189" w14:textId="77777777" w:rsidR="002C11DC" w:rsidRPr="00C42D19" w:rsidRDefault="002C11DC" w:rsidP="00446247">
            <w:pPr>
              <w:spacing w:after="0" w:line="240" w:lineRule="auto"/>
              <w:rPr>
                <w:rFonts w:eastAsia="Times New Roman" w:cs="Arial"/>
                <w:b/>
                <w:color w:val="000000"/>
                <w:sz w:val="18"/>
                <w:szCs w:val="18"/>
                <w:lang w:eastAsia="zh-CN"/>
              </w:rPr>
            </w:pPr>
            <w:r w:rsidRPr="00C42D19">
              <w:rPr>
                <w:rFonts w:eastAsia="Times New Roman" w:cs="Arial"/>
                <w:b/>
                <w:color w:val="000000"/>
                <w:sz w:val="18"/>
                <w:szCs w:val="18"/>
                <w:lang w:eastAsia="zh-CN"/>
              </w:rPr>
              <w:t>2021-22 AFSR</w:t>
            </w:r>
          </w:p>
        </w:tc>
        <w:tc>
          <w:tcPr>
            <w:tcW w:w="1134" w:type="dxa"/>
            <w:shd w:val="clear" w:color="auto" w:fill="auto"/>
            <w:noWrap/>
            <w:hideMark/>
          </w:tcPr>
          <w:p w14:paraId="744B29CE"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i/>
                <w:color w:val="000000"/>
                <w:sz w:val="18"/>
                <w:szCs w:val="18"/>
                <w:lang w:eastAsia="zh-CN"/>
              </w:rPr>
            </w:pPr>
            <w:r w:rsidRPr="00C42D19">
              <w:rPr>
                <w:rFonts w:eastAsia="Times New Roman" w:cs="Arial"/>
                <w:b/>
                <w:i/>
                <w:color w:val="000000"/>
                <w:sz w:val="18"/>
                <w:szCs w:val="18"/>
                <w:lang w:eastAsia="zh-CN"/>
              </w:rPr>
              <w:t> </w:t>
            </w:r>
          </w:p>
        </w:tc>
        <w:tc>
          <w:tcPr>
            <w:tcW w:w="1134" w:type="dxa"/>
            <w:shd w:val="clear" w:color="auto" w:fill="auto"/>
            <w:noWrap/>
            <w:hideMark/>
          </w:tcPr>
          <w:p w14:paraId="028FB967"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i/>
                <w:color w:val="000000"/>
                <w:sz w:val="18"/>
                <w:szCs w:val="18"/>
                <w:lang w:eastAsia="zh-CN"/>
              </w:rPr>
            </w:pPr>
            <w:r w:rsidRPr="00C42D19">
              <w:rPr>
                <w:rFonts w:eastAsia="Times New Roman" w:cs="Arial"/>
                <w:b/>
                <w:i/>
                <w:color w:val="000000"/>
                <w:sz w:val="18"/>
                <w:szCs w:val="18"/>
                <w:lang w:eastAsia="zh-CN"/>
              </w:rPr>
              <w:t> </w:t>
            </w:r>
          </w:p>
        </w:tc>
        <w:tc>
          <w:tcPr>
            <w:tcW w:w="1276" w:type="dxa"/>
            <w:shd w:val="clear" w:color="auto" w:fill="auto"/>
            <w:noWrap/>
            <w:hideMark/>
          </w:tcPr>
          <w:p w14:paraId="5EC857BE"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i/>
                <w:color w:val="000000"/>
                <w:sz w:val="18"/>
                <w:szCs w:val="18"/>
                <w:lang w:eastAsia="zh-CN"/>
              </w:rPr>
            </w:pPr>
            <w:r w:rsidRPr="00C42D19">
              <w:rPr>
                <w:rFonts w:eastAsia="Times New Roman" w:cs="Arial"/>
                <w:b/>
                <w:i/>
                <w:color w:val="000000"/>
                <w:sz w:val="18"/>
                <w:szCs w:val="18"/>
                <w:lang w:eastAsia="zh-CN"/>
              </w:rPr>
              <w:t> </w:t>
            </w:r>
          </w:p>
        </w:tc>
        <w:tc>
          <w:tcPr>
            <w:tcW w:w="1275" w:type="dxa"/>
            <w:tcBorders>
              <w:right w:val="dotted" w:sz="4" w:space="0" w:color="auto"/>
            </w:tcBorders>
            <w:shd w:val="clear" w:color="auto" w:fill="auto"/>
            <w:noWrap/>
            <w:hideMark/>
          </w:tcPr>
          <w:p w14:paraId="46DAFE20"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i/>
                <w:color w:val="000000"/>
                <w:sz w:val="18"/>
                <w:szCs w:val="18"/>
                <w:lang w:eastAsia="zh-CN"/>
              </w:rPr>
            </w:pPr>
            <w:r w:rsidRPr="00C42D19">
              <w:rPr>
                <w:rFonts w:eastAsia="Times New Roman" w:cs="Arial"/>
                <w:b/>
                <w:i/>
                <w:color w:val="000000"/>
                <w:sz w:val="18"/>
                <w:szCs w:val="18"/>
                <w:lang w:eastAsia="zh-CN"/>
              </w:rPr>
              <w:t> </w:t>
            </w:r>
          </w:p>
        </w:tc>
        <w:tc>
          <w:tcPr>
            <w:tcW w:w="1134" w:type="dxa"/>
            <w:tcBorders>
              <w:top w:val="nil"/>
              <w:left w:val="dotted" w:sz="4" w:space="0" w:color="auto"/>
              <w:bottom w:val="nil"/>
            </w:tcBorders>
            <w:shd w:val="clear" w:color="auto" w:fill="auto"/>
            <w:noWrap/>
            <w:hideMark/>
          </w:tcPr>
          <w:p w14:paraId="5A53E3E5"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i/>
                <w:color w:val="000000"/>
                <w:sz w:val="18"/>
                <w:szCs w:val="18"/>
                <w:lang w:eastAsia="zh-CN"/>
              </w:rPr>
            </w:pPr>
            <w:r w:rsidRPr="00C42D19">
              <w:rPr>
                <w:rFonts w:eastAsia="Times New Roman" w:cs="Arial"/>
                <w:b/>
                <w:i/>
                <w:color w:val="000000"/>
                <w:sz w:val="18"/>
                <w:szCs w:val="18"/>
                <w:lang w:eastAsia="zh-CN"/>
              </w:rPr>
              <w:t> </w:t>
            </w:r>
          </w:p>
        </w:tc>
      </w:tr>
      <w:tr w:rsidR="002C11DC" w:rsidRPr="00C42D19" w14:paraId="343698AF" w14:textId="77777777" w:rsidTr="001137B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noWrap/>
            <w:hideMark/>
          </w:tcPr>
          <w:p w14:paraId="3590815A" w14:textId="77777777" w:rsidR="002C11DC" w:rsidRPr="00C42D19" w:rsidRDefault="002C11DC" w:rsidP="00446247">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Children (0 to 14)</w:t>
            </w:r>
          </w:p>
        </w:tc>
        <w:tc>
          <w:tcPr>
            <w:tcW w:w="1134" w:type="dxa"/>
            <w:noWrap/>
            <w:hideMark/>
          </w:tcPr>
          <w:p w14:paraId="03BF2873"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4,619</w:t>
            </w:r>
          </w:p>
        </w:tc>
        <w:tc>
          <w:tcPr>
            <w:tcW w:w="1134" w:type="dxa"/>
            <w:noWrap/>
            <w:hideMark/>
          </w:tcPr>
          <w:p w14:paraId="577F7395"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5,161</w:t>
            </w:r>
          </w:p>
        </w:tc>
        <w:tc>
          <w:tcPr>
            <w:tcW w:w="1276" w:type="dxa"/>
            <w:noWrap/>
            <w:hideMark/>
          </w:tcPr>
          <w:p w14:paraId="4F81F09F"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5,875</w:t>
            </w:r>
          </w:p>
        </w:tc>
        <w:tc>
          <w:tcPr>
            <w:tcW w:w="1275" w:type="dxa"/>
            <w:tcBorders>
              <w:right w:val="dotted" w:sz="4" w:space="0" w:color="auto"/>
            </w:tcBorders>
            <w:noWrap/>
            <w:hideMark/>
          </w:tcPr>
          <w:p w14:paraId="46F8E744"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6,557</w:t>
            </w:r>
          </w:p>
        </w:tc>
        <w:tc>
          <w:tcPr>
            <w:tcW w:w="1134" w:type="dxa"/>
            <w:tcBorders>
              <w:top w:val="nil"/>
              <w:left w:val="dotted" w:sz="4" w:space="0" w:color="auto"/>
              <w:bottom w:val="nil"/>
            </w:tcBorders>
            <w:noWrap/>
            <w:hideMark/>
          </w:tcPr>
          <w:p w14:paraId="55CCFDEF"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9,178</w:t>
            </w:r>
          </w:p>
        </w:tc>
      </w:tr>
      <w:tr w:rsidR="002C11DC" w:rsidRPr="00C42D19" w14:paraId="31625267"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noWrap/>
            <w:hideMark/>
          </w:tcPr>
          <w:p w14:paraId="2D8C49C4" w14:textId="77777777" w:rsidR="002C11DC" w:rsidRPr="00C42D19" w:rsidRDefault="002C11DC" w:rsidP="00446247">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Young adults (15 to 24)</w:t>
            </w:r>
          </w:p>
        </w:tc>
        <w:tc>
          <w:tcPr>
            <w:tcW w:w="1134" w:type="dxa"/>
            <w:shd w:val="clear" w:color="auto" w:fill="auto"/>
            <w:noWrap/>
            <w:hideMark/>
          </w:tcPr>
          <w:p w14:paraId="79F6B606"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5,288</w:t>
            </w:r>
          </w:p>
        </w:tc>
        <w:tc>
          <w:tcPr>
            <w:tcW w:w="1134" w:type="dxa"/>
            <w:shd w:val="clear" w:color="auto" w:fill="auto"/>
            <w:noWrap/>
            <w:hideMark/>
          </w:tcPr>
          <w:p w14:paraId="08B1EB82"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6,085</w:t>
            </w:r>
          </w:p>
        </w:tc>
        <w:tc>
          <w:tcPr>
            <w:tcW w:w="1276" w:type="dxa"/>
            <w:shd w:val="clear" w:color="auto" w:fill="auto"/>
            <w:noWrap/>
            <w:hideMark/>
          </w:tcPr>
          <w:p w14:paraId="2CA4A049"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7,261</w:t>
            </w:r>
          </w:p>
        </w:tc>
        <w:tc>
          <w:tcPr>
            <w:tcW w:w="1275" w:type="dxa"/>
            <w:tcBorders>
              <w:right w:val="dotted" w:sz="4" w:space="0" w:color="auto"/>
            </w:tcBorders>
            <w:shd w:val="clear" w:color="auto" w:fill="auto"/>
            <w:noWrap/>
            <w:hideMark/>
          </w:tcPr>
          <w:p w14:paraId="42A5E3FD"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8,591</w:t>
            </w:r>
          </w:p>
        </w:tc>
        <w:tc>
          <w:tcPr>
            <w:tcW w:w="1134" w:type="dxa"/>
            <w:tcBorders>
              <w:top w:val="nil"/>
              <w:left w:val="dotted" w:sz="4" w:space="0" w:color="auto"/>
              <w:bottom w:val="nil"/>
            </w:tcBorders>
            <w:shd w:val="clear" w:color="auto" w:fill="auto"/>
            <w:noWrap/>
            <w:hideMark/>
          </w:tcPr>
          <w:p w14:paraId="71284815"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18,713</w:t>
            </w:r>
          </w:p>
        </w:tc>
      </w:tr>
      <w:tr w:rsidR="002C11DC" w:rsidRPr="00C42D19" w14:paraId="27417F31" w14:textId="77777777" w:rsidTr="001137B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noWrap/>
            <w:hideMark/>
          </w:tcPr>
          <w:p w14:paraId="24000E2A" w14:textId="77777777" w:rsidR="002C11DC" w:rsidRPr="00C42D19" w:rsidRDefault="002C11DC" w:rsidP="00446247">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Adults (25 to 64)</w:t>
            </w:r>
          </w:p>
        </w:tc>
        <w:tc>
          <w:tcPr>
            <w:tcW w:w="1134" w:type="dxa"/>
            <w:noWrap/>
            <w:hideMark/>
          </w:tcPr>
          <w:p w14:paraId="312C2572"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21,025</w:t>
            </w:r>
          </w:p>
        </w:tc>
        <w:tc>
          <w:tcPr>
            <w:tcW w:w="1134" w:type="dxa"/>
            <w:noWrap/>
            <w:hideMark/>
          </w:tcPr>
          <w:p w14:paraId="05A54522"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23,111</w:t>
            </w:r>
          </w:p>
        </w:tc>
        <w:tc>
          <w:tcPr>
            <w:tcW w:w="1276" w:type="dxa"/>
            <w:noWrap/>
            <w:hideMark/>
          </w:tcPr>
          <w:p w14:paraId="3059DE1A"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26,228</w:t>
            </w:r>
          </w:p>
        </w:tc>
        <w:tc>
          <w:tcPr>
            <w:tcW w:w="1275" w:type="dxa"/>
            <w:tcBorders>
              <w:right w:val="dotted" w:sz="4" w:space="0" w:color="auto"/>
            </w:tcBorders>
            <w:noWrap/>
            <w:hideMark/>
          </w:tcPr>
          <w:p w14:paraId="02AA607E"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29,371</w:t>
            </w:r>
          </w:p>
        </w:tc>
        <w:tc>
          <w:tcPr>
            <w:tcW w:w="1134" w:type="dxa"/>
            <w:tcBorders>
              <w:top w:val="nil"/>
              <w:left w:val="dotted" w:sz="4" w:space="0" w:color="auto"/>
              <w:bottom w:val="nil"/>
            </w:tcBorders>
            <w:noWrap/>
            <w:hideMark/>
          </w:tcPr>
          <w:p w14:paraId="5D447B77"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48,809</w:t>
            </w:r>
          </w:p>
        </w:tc>
      </w:tr>
      <w:tr w:rsidR="002C11DC" w:rsidRPr="00C42D19" w14:paraId="5C477250"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3114" w:type="dxa"/>
            <w:tcBorders>
              <w:bottom w:val="single" w:sz="4" w:space="0" w:color="auto"/>
            </w:tcBorders>
            <w:shd w:val="clear" w:color="auto" w:fill="auto"/>
            <w:noWrap/>
            <w:hideMark/>
          </w:tcPr>
          <w:p w14:paraId="16B9480E" w14:textId="77777777" w:rsidR="002C11DC" w:rsidRPr="00C42D19" w:rsidRDefault="002C11DC" w:rsidP="00446247">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Older adults (65+)</w:t>
            </w:r>
          </w:p>
        </w:tc>
        <w:tc>
          <w:tcPr>
            <w:tcW w:w="1134" w:type="dxa"/>
            <w:tcBorders>
              <w:bottom w:val="single" w:sz="4" w:space="0" w:color="auto"/>
            </w:tcBorders>
            <w:shd w:val="clear" w:color="auto" w:fill="auto"/>
            <w:noWrap/>
            <w:hideMark/>
          </w:tcPr>
          <w:p w14:paraId="5D0DFEFA"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2,544</w:t>
            </w:r>
          </w:p>
        </w:tc>
        <w:tc>
          <w:tcPr>
            <w:tcW w:w="1134" w:type="dxa"/>
            <w:tcBorders>
              <w:bottom w:val="single" w:sz="4" w:space="0" w:color="auto"/>
            </w:tcBorders>
            <w:shd w:val="clear" w:color="auto" w:fill="auto"/>
            <w:noWrap/>
            <w:hideMark/>
          </w:tcPr>
          <w:p w14:paraId="7CFB9801"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3,211</w:t>
            </w:r>
          </w:p>
        </w:tc>
        <w:tc>
          <w:tcPr>
            <w:tcW w:w="1276" w:type="dxa"/>
            <w:tcBorders>
              <w:bottom w:val="single" w:sz="4" w:space="0" w:color="auto"/>
            </w:tcBorders>
            <w:shd w:val="clear" w:color="auto" w:fill="auto"/>
            <w:noWrap/>
            <w:hideMark/>
          </w:tcPr>
          <w:p w14:paraId="5B0360BD"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4,099</w:t>
            </w:r>
          </w:p>
        </w:tc>
        <w:tc>
          <w:tcPr>
            <w:tcW w:w="1275" w:type="dxa"/>
            <w:tcBorders>
              <w:bottom w:val="single" w:sz="4" w:space="0" w:color="auto"/>
              <w:right w:val="dotted" w:sz="4" w:space="0" w:color="auto"/>
            </w:tcBorders>
            <w:shd w:val="clear" w:color="auto" w:fill="auto"/>
            <w:noWrap/>
            <w:hideMark/>
          </w:tcPr>
          <w:p w14:paraId="2BA30E99"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5,081</w:t>
            </w:r>
          </w:p>
        </w:tc>
        <w:tc>
          <w:tcPr>
            <w:tcW w:w="1134" w:type="dxa"/>
            <w:tcBorders>
              <w:top w:val="nil"/>
              <w:left w:val="dotted" w:sz="4" w:space="0" w:color="auto"/>
              <w:bottom w:val="single" w:sz="4" w:space="0" w:color="auto"/>
            </w:tcBorders>
            <w:shd w:val="clear" w:color="auto" w:fill="auto"/>
            <w:noWrap/>
            <w:hideMark/>
          </w:tcPr>
          <w:p w14:paraId="2973D88D"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11,389</w:t>
            </w:r>
          </w:p>
        </w:tc>
      </w:tr>
      <w:tr w:rsidR="002C11DC" w:rsidRPr="00C42D19" w14:paraId="21B1CC7D" w14:textId="77777777" w:rsidTr="001137B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bottom w:val="single" w:sz="4" w:space="0" w:color="auto"/>
            </w:tcBorders>
            <w:shd w:val="clear" w:color="auto" w:fill="D4C5D7"/>
            <w:noWrap/>
            <w:hideMark/>
          </w:tcPr>
          <w:p w14:paraId="3BF93FC7" w14:textId="77777777" w:rsidR="002C11DC" w:rsidRPr="00C42D19" w:rsidRDefault="002C11DC" w:rsidP="00446247">
            <w:pPr>
              <w:spacing w:after="0" w:line="240" w:lineRule="auto"/>
              <w:rPr>
                <w:rFonts w:eastAsia="Times New Roman" w:cs="Arial"/>
                <w:b/>
                <w:color w:val="000000"/>
                <w:sz w:val="18"/>
                <w:szCs w:val="18"/>
                <w:lang w:eastAsia="zh-CN"/>
              </w:rPr>
            </w:pPr>
            <w:r w:rsidRPr="00C42D19">
              <w:rPr>
                <w:rFonts w:eastAsia="Times New Roman" w:cs="Arial"/>
                <w:b/>
                <w:color w:val="000000"/>
                <w:sz w:val="18"/>
                <w:szCs w:val="18"/>
                <w:lang w:eastAsia="zh-CN"/>
              </w:rPr>
              <w:t>Total</w:t>
            </w:r>
          </w:p>
        </w:tc>
        <w:tc>
          <w:tcPr>
            <w:tcW w:w="1134" w:type="dxa"/>
            <w:tcBorders>
              <w:top w:val="single" w:sz="4" w:space="0" w:color="auto"/>
              <w:bottom w:val="single" w:sz="4" w:space="0" w:color="auto"/>
            </w:tcBorders>
            <w:shd w:val="clear" w:color="auto" w:fill="D4C5D7"/>
            <w:noWrap/>
            <w:hideMark/>
          </w:tcPr>
          <w:p w14:paraId="64109187"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33,475</w:t>
            </w:r>
          </w:p>
        </w:tc>
        <w:tc>
          <w:tcPr>
            <w:tcW w:w="1134" w:type="dxa"/>
            <w:tcBorders>
              <w:top w:val="single" w:sz="4" w:space="0" w:color="auto"/>
              <w:bottom w:val="single" w:sz="4" w:space="0" w:color="auto"/>
            </w:tcBorders>
            <w:shd w:val="clear" w:color="auto" w:fill="D4C5D7"/>
            <w:noWrap/>
            <w:hideMark/>
          </w:tcPr>
          <w:p w14:paraId="6AABD8E2"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37,568</w:t>
            </w:r>
          </w:p>
        </w:tc>
        <w:tc>
          <w:tcPr>
            <w:tcW w:w="1276" w:type="dxa"/>
            <w:tcBorders>
              <w:top w:val="single" w:sz="4" w:space="0" w:color="auto"/>
              <w:bottom w:val="single" w:sz="4" w:space="0" w:color="auto"/>
            </w:tcBorders>
            <w:shd w:val="clear" w:color="auto" w:fill="D4C5D7"/>
            <w:noWrap/>
            <w:hideMark/>
          </w:tcPr>
          <w:p w14:paraId="5DAC4512"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43,463</w:t>
            </w:r>
          </w:p>
        </w:tc>
        <w:tc>
          <w:tcPr>
            <w:tcW w:w="1275" w:type="dxa"/>
            <w:tcBorders>
              <w:top w:val="single" w:sz="4" w:space="0" w:color="auto"/>
              <w:bottom w:val="single" w:sz="4" w:space="0" w:color="auto"/>
              <w:right w:val="dotted" w:sz="4" w:space="0" w:color="auto"/>
            </w:tcBorders>
            <w:shd w:val="clear" w:color="auto" w:fill="D4C5D7"/>
            <w:noWrap/>
            <w:hideMark/>
          </w:tcPr>
          <w:p w14:paraId="34E29DC1"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49,599</w:t>
            </w:r>
          </w:p>
        </w:tc>
        <w:tc>
          <w:tcPr>
            <w:tcW w:w="1134" w:type="dxa"/>
            <w:tcBorders>
              <w:top w:val="single" w:sz="4" w:space="0" w:color="auto"/>
              <w:left w:val="dotted" w:sz="4" w:space="0" w:color="auto"/>
              <w:bottom w:val="single" w:sz="4" w:space="0" w:color="auto"/>
            </w:tcBorders>
            <w:shd w:val="clear" w:color="auto" w:fill="D4C5D7"/>
            <w:noWrap/>
            <w:hideMark/>
          </w:tcPr>
          <w:p w14:paraId="74CAC343"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88,089</w:t>
            </w:r>
          </w:p>
        </w:tc>
      </w:tr>
      <w:tr w:rsidR="002C11DC" w:rsidRPr="00C42D19" w14:paraId="1C992399"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tcBorders>
            <w:shd w:val="clear" w:color="auto" w:fill="auto"/>
            <w:noWrap/>
            <w:hideMark/>
          </w:tcPr>
          <w:p w14:paraId="3CFEA7A9" w14:textId="77777777" w:rsidR="002C11DC" w:rsidRPr="00C42D19" w:rsidRDefault="002C11DC" w:rsidP="00446247">
            <w:pPr>
              <w:spacing w:after="0" w:line="240" w:lineRule="auto"/>
              <w:rPr>
                <w:rFonts w:eastAsia="Times New Roman" w:cs="Arial"/>
                <w:b/>
                <w:color w:val="000000"/>
                <w:sz w:val="18"/>
                <w:szCs w:val="18"/>
                <w:lang w:eastAsia="zh-CN"/>
              </w:rPr>
            </w:pPr>
            <w:r w:rsidRPr="00C42D19">
              <w:rPr>
                <w:rFonts w:eastAsia="Times New Roman" w:cs="Arial"/>
                <w:b/>
                <w:color w:val="000000"/>
                <w:sz w:val="18"/>
                <w:szCs w:val="18"/>
                <w:lang w:eastAsia="zh-CN"/>
              </w:rPr>
              <w:t>2020-21 AFSR</w:t>
            </w:r>
          </w:p>
        </w:tc>
        <w:tc>
          <w:tcPr>
            <w:tcW w:w="1134" w:type="dxa"/>
            <w:tcBorders>
              <w:top w:val="single" w:sz="4" w:space="0" w:color="auto"/>
            </w:tcBorders>
            <w:shd w:val="clear" w:color="auto" w:fill="auto"/>
            <w:noWrap/>
            <w:hideMark/>
          </w:tcPr>
          <w:p w14:paraId="1072C67B"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i/>
                <w:color w:val="000000"/>
                <w:sz w:val="18"/>
                <w:szCs w:val="18"/>
                <w:lang w:eastAsia="zh-CN"/>
              </w:rPr>
            </w:pPr>
            <w:r w:rsidRPr="00C42D19">
              <w:rPr>
                <w:rFonts w:eastAsia="Times New Roman" w:cs="Arial"/>
                <w:b/>
                <w:i/>
                <w:color w:val="000000"/>
                <w:sz w:val="18"/>
                <w:szCs w:val="18"/>
                <w:lang w:eastAsia="zh-CN"/>
              </w:rPr>
              <w:t> </w:t>
            </w:r>
          </w:p>
        </w:tc>
        <w:tc>
          <w:tcPr>
            <w:tcW w:w="1134" w:type="dxa"/>
            <w:tcBorders>
              <w:top w:val="single" w:sz="4" w:space="0" w:color="auto"/>
            </w:tcBorders>
            <w:shd w:val="clear" w:color="auto" w:fill="auto"/>
            <w:noWrap/>
            <w:hideMark/>
          </w:tcPr>
          <w:p w14:paraId="1E35061F"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 </w:t>
            </w:r>
          </w:p>
        </w:tc>
        <w:tc>
          <w:tcPr>
            <w:tcW w:w="1276" w:type="dxa"/>
            <w:tcBorders>
              <w:top w:val="single" w:sz="4" w:space="0" w:color="auto"/>
            </w:tcBorders>
            <w:shd w:val="clear" w:color="auto" w:fill="auto"/>
            <w:noWrap/>
            <w:hideMark/>
          </w:tcPr>
          <w:p w14:paraId="733897E5"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 </w:t>
            </w:r>
          </w:p>
        </w:tc>
        <w:tc>
          <w:tcPr>
            <w:tcW w:w="1275" w:type="dxa"/>
            <w:tcBorders>
              <w:top w:val="single" w:sz="4" w:space="0" w:color="auto"/>
              <w:right w:val="dotted" w:sz="4" w:space="0" w:color="auto"/>
            </w:tcBorders>
            <w:shd w:val="clear" w:color="auto" w:fill="auto"/>
            <w:noWrap/>
            <w:hideMark/>
          </w:tcPr>
          <w:p w14:paraId="5D2814B7"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 </w:t>
            </w:r>
          </w:p>
        </w:tc>
        <w:tc>
          <w:tcPr>
            <w:tcW w:w="1134" w:type="dxa"/>
            <w:tcBorders>
              <w:top w:val="single" w:sz="4" w:space="0" w:color="auto"/>
              <w:left w:val="dotted" w:sz="4" w:space="0" w:color="auto"/>
              <w:bottom w:val="nil"/>
            </w:tcBorders>
            <w:shd w:val="clear" w:color="auto" w:fill="auto"/>
            <w:noWrap/>
            <w:hideMark/>
          </w:tcPr>
          <w:p w14:paraId="65AF994E"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 </w:t>
            </w:r>
          </w:p>
        </w:tc>
      </w:tr>
      <w:tr w:rsidR="002C11DC" w:rsidRPr="00C42D19" w14:paraId="0B3B7990" w14:textId="77777777" w:rsidTr="001137B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noWrap/>
            <w:hideMark/>
          </w:tcPr>
          <w:p w14:paraId="39F76B64" w14:textId="77777777" w:rsidR="002C11DC" w:rsidRPr="00C42D19" w:rsidRDefault="002C11DC" w:rsidP="00446247">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Children (0 to 14)</w:t>
            </w:r>
          </w:p>
        </w:tc>
        <w:tc>
          <w:tcPr>
            <w:tcW w:w="1134" w:type="dxa"/>
            <w:noWrap/>
            <w:hideMark/>
          </w:tcPr>
          <w:p w14:paraId="63DFA7C1"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5,143</w:t>
            </w:r>
          </w:p>
        </w:tc>
        <w:tc>
          <w:tcPr>
            <w:tcW w:w="1134" w:type="dxa"/>
            <w:noWrap/>
            <w:hideMark/>
          </w:tcPr>
          <w:p w14:paraId="16337B72"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5,850</w:t>
            </w:r>
          </w:p>
        </w:tc>
        <w:tc>
          <w:tcPr>
            <w:tcW w:w="1276" w:type="dxa"/>
            <w:noWrap/>
            <w:hideMark/>
          </w:tcPr>
          <w:p w14:paraId="50138035"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6,373</w:t>
            </w:r>
          </w:p>
        </w:tc>
        <w:tc>
          <w:tcPr>
            <w:tcW w:w="1275" w:type="dxa"/>
            <w:tcBorders>
              <w:right w:val="dotted" w:sz="4" w:space="0" w:color="auto"/>
            </w:tcBorders>
            <w:noWrap/>
            <w:hideMark/>
          </w:tcPr>
          <w:p w14:paraId="172A4926"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6,785</w:t>
            </w:r>
          </w:p>
        </w:tc>
        <w:tc>
          <w:tcPr>
            <w:tcW w:w="1134" w:type="dxa"/>
            <w:tcBorders>
              <w:top w:val="nil"/>
              <w:left w:val="dotted" w:sz="4" w:space="0" w:color="auto"/>
              <w:bottom w:val="nil"/>
            </w:tcBorders>
            <w:noWrap/>
            <w:hideMark/>
          </w:tcPr>
          <w:p w14:paraId="4C44ECC1"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8,874</w:t>
            </w:r>
          </w:p>
        </w:tc>
      </w:tr>
      <w:tr w:rsidR="002C11DC" w:rsidRPr="00C42D19" w14:paraId="5A163AC6"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noWrap/>
            <w:hideMark/>
          </w:tcPr>
          <w:p w14:paraId="03B34DCD" w14:textId="77777777" w:rsidR="002C11DC" w:rsidRPr="00C42D19" w:rsidRDefault="002C11DC" w:rsidP="00446247">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Young adults (15 to 24)</w:t>
            </w:r>
          </w:p>
        </w:tc>
        <w:tc>
          <w:tcPr>
            <w:tcW w:w="1134" w:type="dxa"/>
            <w:shd w:val="clear" w:color="auto" w:fill="auto"/>
            <w:noWrap/>
            <w:hideMark/>
          </w:tcPr>
          <w:p w14:paraId="10BC65B3"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5,610</w:t>
            </w:r>
          </w:p>
        </w:tc>
        <w:tc>
          <w:tcPr>
            <w:tcW w:w="1134" w:type="dxa"/>
            <w:shd w:val="clear" w:color="auto" w:fill="auto"/>
            <w:noWrap/>
            <w:hideMark/>
          </w:tcPr>
          <w:p w14:paraId="26964EA8"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6,427</w:t>
            </w:r>
          </w:p>
        </w:tc>
        <w:tc>
          <w:tcPr>
            <w:tcW w:w="1276" w:type="dxa"/>
            <w:shd w:val="clear" w:color="auto" w:fill="auto"/>
            <w:noWrap/>
            <w:hideMark/>
          </w:tcPr>
          <w:p w14:paraId="6F545992"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7,165</w:t>
            </w:r>
          </w:p>
        </w:tc>
        <w:tc>
          <w:tcPr>
            <w:tcW w:w="1275" w:type="dxa"/>
            <w:tcBorders>
              <w:right w:val="dotted" w:sz="4" w:space="0" w:color="auto"/>
            </w:tcBorders>
            <w:shd w:val="clear" w:color="auto" w:fill="auto"/>
            <w:noWrap/>
            <w:hideMark/>
          </w:tcPr>
          <w:p w14:paraId="11FD2E61"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7,914</w:t>
            </w:r>
          </w:p>
        </w:tc>
        <w:tc>
          <w:tcPr>
            <w:tcW w:w="1134" w:type="dxa"/>
            <w:tcBorders>
              <w:top w:val="nil"/>
              <w:left w:val="dotted" w:sz="4" w:space="0" w:color="auto"/>
              <w:bottom w:val="nil"/>
            </w:tcBorders>
            <w:shd w:val="clear" w:color="auto" w:fill="auto"/>
            <w:noWrap/>
            <w:hideMark/>
          </w:tcPr>
          <w:p w14:paraId="38E8E7ED"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14,054</w:t>
            </w:r>
          </w:p>
        </w:tc>
      </w:tr>
      <w:tr w:rsidR="002C11DC" w:rsidRPr="00C42D19" w14:paraId="78406268" w14:textId="77777777" w:rsidTr="001137B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noWrap/>
            <w:hideMark/>
          </w:tcPr>
          <w:p w14:paraId="21D9A94E" w14:textId="77777777" w:rsidR="002C11DC" w:rsidRPr="00C42D19" w:rsidRDefault="002C11DC" w:rsidP="00446247">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Adults (25 to 64)</w:t>
            </w:r>
          </w:p>
        </w:tc>
        <w:tc>
          <w:tcPr>
            <w:tcW w:w="1134" w:type="dxa"/>
            <w:noWrap/>
            <w:hideMark/>
          </w:tcPr>
          <w:p w14:paraId="3640D3FA"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20,213</w:t>
            </w:r>
          </w:p>
        </w:tc>
        <w:tc>
          <w:tcPr>
            <w:tcW w:w="1134" w:type="dxa"/>
            <w:noWrap/>
            <w:hideMark/>
          </w:tcPr>
          <w:p w14:paraId="7010F1F6"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22,068</w:t>
            </w:r>
          </w:p>
        </w:tc>
        <w:tc>
          <w:tcPr>
            <w:tcW w:w="1276" w:type="dxa"/>
            <w:noWrap/>
            <w:hideMark/>
          </w:tcPr>
          <w:p w14:paraId="551F69E5"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23,529</w:t>
            </w:r>
          </w:p>
        </w:tc>
        <w:tc>
          <w:tcPr>
            <w:tcW w:w="1275" w:type="dxa"/>
            <w:tcBorders>
              <w:right w:val="dotted" w:sz="4" w:space="0" w:color="auto"/>
            </w:tcBorders>
            <w:noWrap/>
            <w:hideMark/>
          </w:tcPr>
          <w:p w14:paraId="312E5607"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24,884</w:t>
            </w:r>
          </w:p>
        </w:tc>
        <w:tc>
          <w:tcPr>
            <w:tcW w:w="1134" w:type="dxa"/>
            <w:tcBorders>
              <w:top w:val="nil"/>
              <w:left w:val="dotted" w:sz="4" w:space="0" w:color="auto"/>
              <w:bottom w:val="nil"/>
            </w:tcBorders>
            <w:noWrap/>
            <w:hideMark/>
          </w:tcPr>
          <w:p w14:paraId="59A70A3B"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35,823</w:t>
            </w:r>
          </w:p>
        </w:tc>
      </w:tr>
      <w:tr w:rsidR="002C11DC" w:rsidRPr="00C42D19" w14:paraId="128E7882"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3114" w:type="dxa"/>
            <w:tcBorders>
              <w:bottom w:val="single" w:sz="4" w:space="0" w:color="auto"/>
            </w:tcBorders>
            <w:shd w:val="clear" w:color="auto" w:fill="auto"/>
            <w:noWrap/>
            <w:hideMark/>
          </w:tcPr>
          <w:p w14:paraId="590C1BFA" w14:textId="77777777" w:rsidR="002C11DC" w:rsidRPr="00C42D19" w:rsidRDefault="002C11DC" w:rsidP="00446247">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Older adults (65+)</w:t>
            </w:r>
          </w:p>
        </w:tc>
        <w:tc>
          <w:tcPr>
            <w:tcW w:w="1134" w:type="dxa"/>
            <w:tcBorders>
              <w:bottom w:val="single" w:sz="4" w:space="0" w:color="auto"/>
            </w:tcBorders>
            <w:shd w:val="clear" w:color="auto" w:fill="auto"/>
            <w:noWrap/>
            <w:hideMark/>
          </w:tcPr>
          <w:p w14:paraId="409A2AC0"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2,464</w:t>
            </w:r>
          </w:p>
        </w:tc>
        <w:tc>
          <w:tcPr>
            <w:tcW w:w="1134" w:type="dxa"/>
            <w:tcBorders>
              <w:bottom w:val="single" w:sz="4" w:space="0" w:color="auto"/>
            </w:tcBorders>
            <w:shd w:val="clear" w:color="auto" w:fill="auto"/>
            <w:noWrap/>
            <w:hideMark/>
          </w:tcPr>
          <w:p w14:paraId="7566D4EC"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3,114</w:t>
            </w:r>
          </w:p>
        </w:tc>
        <w:tc>
          <w:tcPr>
            <w:tcW w:w="1276" w:type="dxa"/>
            <w:tcBorders>
              <w:bottom w:val="single" w:sz="4" w:space="0" w:color="auto"/>
            </w:tcBorders>
            <w:shd w:val="clear" w:color="auto" w:fill="auto"/>
            <w:noWrap/>
            <w:hideMark/>
          </w:tcPr>
          <w:p w14:paraId="05036563"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3,748</w:t>
            </w:r>
          </w:p>
        </w:tc>
        <w:tc>
          <w:tcPr>
            <w:tcW w:w="1275" w:type="dxa"/>
            <w:tcBorders>
              <w:bottom w:val="single" w:sz="4" w:space="0" w:color="auto"/>
              <w:right w:val="dotted" w:sz="4" w:space="0" w:color="auto"/>
            </w:tcBorders>
            <w:shd w:val="clear" w:color="auto" w:fill="auto"/>
            <w:noWrap/>
            <w:hideMark/>
          </w:tcPr>
          <w:p w14:paraId="6E553FFC"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4,367</w:t>
            </w:r>
          </w:p>
        </w:tc>
        <w:tc>
          <w:tcPr>
            <w:tcW w:w="1134" w:type="dxa"/>
            <w:tcBorders>
              <w:top w:val="nil"/>
              <w:left w:val="dotted" w:sz="4" w:space="0" w:color="auto"/>
              <w:bottom w:val="single" w:sz="4" w:space="0" w:color="auto"/>
            </w:tcBorders>
            <w:shd w:val="clear" w:color="auto" w:fill="auto"/>
            <w:noWrap/>
            <w:hideMark/>
          </w:tcPr>
          <w:p w14:paraId="57848927"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8,378</w:t>
            </w:r>
          </w:p>
        </w:tc>
      </w:tr>
      <w:tr w:rsidR="002C11DC" w:rsidRPr="00C42D19" w14:paraId="0D33E868" w14:textId="77777777" w:rsidTr="001137B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bottom w:val="single" w:sz="4" w:space="0" w:color="auto"/>
            </w:tcBorders>
            <w:shd w:val="clear" w:color="auto" w:fill="D4C5D7"/>
            <w:noWrap/>
            <w:hideMark/>
          </w:tcPr>
          <w:p w14:paraId="7EB1D6CF" w14:textId="77777777" w:rsidR="002C11DC" w:rsidRPr="00C42D19" w:rsidRDefault="002C11DC" w:rsidP="00446247">
            <w:pPr>
              <w:spacing w:after="0" w:line="240" w:lineRule="auto"/>
              <w:rPr>
                <w:rFonts w:eastAsia="Times New Roman" w:cs="Arial"/>
                <w:b/>
                <w:color w:val="000000"/>
                <w:sz w:val="18"/>
                <w:szCs w:val="18"/>
                <w:lang w:eastAsia="zh-CN"/>
              </w:rPr>
            </w:pPr>
            <w:r w:rsidRPr="00C42D19">
              <w:rPr>
                <w:rFonts w:eastAsia="Times New Roman" w:cs="Arial"/>
                <w:b/>
                <w:color w:val="000000"/>
                <w:sz w:val="18"/>
                <w:szCs w:val="18"/>
                <w:lang w:eastAsia="zh-CN"/>
              </w:rPr>
              <w:t>Total</w:t>
            </w:r>
          </w:p>
        </w:tc>
        <w:tc>
          <w:tcPr>
            <w:tcW w:w="1134" w:type="dxa"/>
            <w:tcBorders>
              <w:top w:val="single" w:sz="4" w:space="0" w:color="auto"/>
              <w:bottom w:val="single" w:sz="4" w:space="0" w:color="auto"/>
            </w:tcBorders>
            <w:shd w:val="clear" w:color="auto" w:fill="D4C5D7"/>
            <w:noWrap/>
            <w:hideMark/>
          </w:tcPr>
          <w:p w14:paraId="078ABD43"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33,429</w:t>
            </w:r>
          </w:p>
        </w:tc>
        <w:tc>
          <w:tcPr>
            <w:tcW w:w="1134" w:type="dxa"/>
            <w:tcBorders>
              <w:top w:val="single" w:sz="4" w:space="0" w:color="auto"/>
              <w:bottom w:val="single" w:sz="4" w:space="0" w:color="auto"/>
            </w:tcBorders>
            <w:shd w:val="clear" w:color="auto" w:fill="D4C5D7"/>
            <w:noWrap/>
            <w:hideMark/>
          </w:tcPr>
          <w:p w14:paraId="708B62C4"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37,459</w:t>
            </w:r>
          </w:p>
        </w:tc>
        <w:tc>
          <w:tcPr>
            <w:tcW w:w="1276" w:type="dxa"/>
            <w:tcBorders>
              <w:top w:val="single" w:sz="4" w:space="0" w:color="auto"/>
              <w:bottom w:val="single" w:sz="4" w:space="0" w:color="auto"/>
            </w:tcBorders>
            <w:shd w:val="clear" w:color="auto" w:fill="D4C5D7"/>
            <w:noWrap/>
            <w:hideMark/>
          </w:tcPr>
          <w:p w14:paraId="2E58F895"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40,814</w:t>
            </w:r>
          </w:p>
        </w:tc>
        <w:tc>
          <w:tcPr>
            <w:tcW w:w="1275" w:type="dxa"/>
            <w:tcBorders>
              <w:top w:val="single" w:sz="4" w:space="0" w:color="auto"/>
              <w:bottom w:val="single" w:sz="4" w:space="0" w:color="auto"/>
              <w:right w:val="dotted" w:sz="4" w:space="0" w:color="auto"/>
            </w:tcBorders>
            <w:shd w:val="clear" w:color="auto" w:fill="D4C5D7"/>
            <w:noWrap/>
            <w:hideMark/>
          </w:tcPr>
          <w:p w14:paraId="26453DE1"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43,950</w:t>
            </w:r>
          </w:p>
        </w:tc>
        <w:tc>
          <w:tcPr>
            <w:tcW w:w="1134" w:type="dxa"/>
            <w:tcBorders>
              <w:top w:val="single" w:sz="4" w:space="0" w:color="auto"/>
              <w:left w:val="dotted" w:sz="4" w:space="0" w:color="auto"/>
              <w:bottom w:val="single" w:sz="4" w:space="0" w:color="auto"/>
            </w:tcBorders>
            <w:shd w:val="clear" w:color="auto" w:fill="D4C5D7"/>
            <w:noWrap/>
            <w:hideMark/>
          </w:tcPr>
          <w:p w14:paraId="49639ABC"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67,129</w:t>
            </w:r>
          </w:p>
        </w:tc>
      </w:tr>
      <w:tr w:rsidR="002C11DC" w:rsidRPr="00C42D19" w14:paraId="19031BD5"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tcBorders>
            <w:shd w:val="clear" w:color="auto" w:fill="auto"/>
            <w:noWrap/>
            <w:hideMark/>
          </w:tcPr>
          <w:p w14:paraId="1B67838C" w14:textId="77777777" w:rsidR="002C11DC" w:rsidRPr="00C42D19" w:rsidRDefault="002C11DC" w:rsidP="00446247">
            <w:pPr>
              <w:spacing w:after="0" w:line="240" w:lineRule="auto"/>
              <w:rPr>
                <w:rFonts w:eastAsia="Times New Roman" w:cs="Arial"/>
                <w:b/>
                <w:color w:val="000000"/>
                <w:sz w:val="18"/>
                <w:szCs w:val="18"/>
                <w:lang w:eastAsia="zh-CN"/>
              </w:rPr>
            </w:pPr>
            <w:r w:rsidRPr="00C42D19">
              <w:rPr>
                <w:rFonts w:eastAsia="Times New Roman" w:cs="Arial"/>
                <w:b/>
                <w:color w:val="000000"/>
                <w:sz w:val="18"/>
                <w:szCs w:val="18"/>
                <w:lang w:eastAsia="zh-CN"/>
              </w:rPr>
              <w:t>Difference</w:t>
            </w:r>
          </w:p>
        </w:tc>
        <w:tc>
          <w:tcPr>
            <w:tcW w:w="1134" w:type="dxa"/>
            <w:tcBorders>
              <w:top w:val="single" w:sz="4" w:space="0" w:color="auto"/>
            </w:tcBorders>
            <w:shd w:val="clear" w:color="auto" w:fill="auto"/>
            <w:noWrap/>
            <w:hideMark/>
          </w:tcPr>
          <w:p w14:paraId="6D2E5A50"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i/>
                <w:color w:val="000000"/>
                <w:sz w:val="18"/>
                <w:szCs w:val="18"/>
                <w:lang w:eastAsia="zh-CN"/>
              </w:rPr>
            </w:pPr>
            <w:r w:rsidRPr="00C42D19">
              <w:rPr>
                <w:rFonts w:eastAsia="Times New Roman" w:cs="Arial"/>
                <w:b/>
                <w:i/>
                <w:color w:val="000000"/>
                <w:sz w:val="18"/>
                <w:szCs w:val="18"/>
                <w:lang w:eastAsia="zh-CN"/>
              </w:rPr>
              <w:t> </w:t>
            </w:r>
          </w:p>
        </w:tc>
        <w:tc>
          <w:tcPr>
            <w:tcW w:w="1134" w:type="dxa"/>
            <w:tcBorders>
              <w:top w:val="single" w:sz="4" w:space="0" w:color="auto"/>
            </w:tcBorders>
            <w:shd w:val="clear" w:color="auto" w:fill="auto"/>
            <w:noWrap/>
            <w:hideMark/>
          </w:tcPr>
          <w:p w14:paraId="264BA1B4"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 </w:t>
            </w:r>
          </w:p>
        </w:tc>
        <w:tc>
          <w:tcPr>
            <w:tcW w:w="1276" w:type="dxa"/>
            <w:tcBorders>
              <w:top w:val="single" w:sz="4" w:space="0" w:color="auto"/>
            </w:tcBorders>
            <w:shd w:val="clear" w:color="auto" w:fill="auto"/>
            <w:noWrap/>
            <w:hideMark/>
          </w:tcPr>
          <w:p w14:paraId="3E874CEF"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 </w:t>
            </w:r>
          </w:p>
        </w:tc>
        <w:tc>
          <w:tcPr>
            <w:tcW w:w="1275" w:type="dxa"/>
            <w:tcBorders>
              <w:top w:val="single" w:sz="4" w:space="0" w:color="auto"/>
              <w:right w:val="dotted" w:sz="4" w:space="0" w:color="auto"/>
            </w:tcBorders>
            <w:shd w:val="clear" w:color="auto" w:fill="auto"/>
            <w:noWrap/>
            <w:hideMark/>
          </w:tcPr>
          <w:p w14:paraId="679F3ECB"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 </w:t>
            </w:r>
          </w:p>
        </w:tc>
        <w:tc>
          <w:tcPr>
            <w:tcW w:w="1134" w:type="dxa"/>
            <w:tcBorders>
              <w:top w:val="single" w:sz="4" w:space="0" w:color="auto"/>
              <w:left w:val="dotted" w:sz="4" w:space="0" w:color="auto"/>
              <w:bottom w:val="nil"/>
            </w:tcBorders>
            <w:shd w:val="clear" w:color="auto" w:fill="auto"/>
            <w:noWrap/>
            <w:hideMark/>
          </w:tcPr>
          <w:p w14:paraId="6338E702"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 </w:t>
            </w:r>
          </w:p>
        </w:tc>
      </w:tr>
      <w:tr w:rsidR="002C11DC" w:rsidRPr="00C42D19" w14:paraId="067FE7C5" w14:textId="77777777" w:rsidTr="001137B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noWrap/>
            <w:hideMark/>
          </w:tcPr>
          <w:p w14:paraId="274F87A2" w14:textId="77777777" w:rsidR="002C11DC" w:rsidRPr="00C42D19" w:rsidRDefault="002C11DC" w:rsidP="00446247">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Children (0 to 14)</w:t>
            </w:r>
          </w:p>
        </w:tc>
        <w:tc>
          <w:tcPr>
            <w:tcW w:w="1134" w:type="dxa"/>
            <w:noWrap/>
            <w:hideMark/>
          </w:tcPr>
          <w:p w14:paraId="31130FBE"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-524</w:t>
            </w:r>
          </w:p>
        </w:tc>
        <w:tc>
          <w:tcPr>
            <w:tcW w:w="1134" w:type="dxa"/>
            <w:noWrap/>
            <w:hideMark/>
          </w:tcPr>
          <w:p w14:paraId="434FC736"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-689</w:t>
            </w:r>
          </w:p>
        </w:tc>
        <w:tc>
          <w:tcPr>
            <w:tcW w:w="1276" w:type="dxa"/>
            <w:noWrap/>
            <w:hideMark/>
          </w:tcPr>
          <w:p w14:paraId="669A3EA1"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-498</w:t>
            </w:r>
          </w:p>
        </w:tc>
        <w:tc>
          <w:tcPr>
            <w:tcW w:w="1275" w:type="dxa"/>
            <w:tcBorders>
              <w:right w:val="dotted" w:sz="4" w:space="0" w:color="auto"/>
            </w:tcBorders>
            <w:noWrap/>
            <w:hideMark/>
          </w:tcPr>
          <w:p w14:paraId="4661826D"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-228</w:t>
            </w:r>
          </w:p>
        </w:tc>
        <w:tc>
          <w:tcPr>
            <w:tcW w:w="1134" w:type="dxa"/>
            <w:tcBorders>
              <w:top w:val="nil"/>
              <w:left w:val="dotted" w:sz="4" w:space="0" w:color="auto"/>
              <w:bottom w:val="nil"/>
            </w:tcBorders>
            <w:noWrap/>
            <w:hideMark/>
          </w:tcPr>
          <w:p w14:paraId="25D56491"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304</w:t>
            </w:r>
          </w:p>
        </w:tc>
      </w:tr>
      <w:tr w:rsidR="002C11DC" w:rsidRPr="00C42D19" w14:paraId="5933125F"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noWrap/>
            <w:hideMark/>
          </w:tcPr>
          <w:p w14:paraId="73EB22EA" w14:textId="77777777" w:rsidR="002C11DC" w:rsidRPr="00C42D19" w:rsidRDefault="002C11DC" w:rsidP="00446247">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Young adults (15 to 24)</w:t>
            </w:r>
          </w:p>
        </w:tc>
        <w:tc>
          <w:tcPr>
            <w:tcW w:w="1134" w:type="dxa"/>
            <w:shd w:val="clear" w:color="auto" w:fill="auto"/>
            <w:noWrap/>
            <w:hideMark/>
          </w:tcPr>
          <w:p w14:paraId="1EA76D9C"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-322</w:t>
            </w:r>
          </w:p>
        </w:tc>
        <w:tc>
          <w:tcPr>
            <w:tcW w:w="1134" w:type="dxa"/>
            <w:shd w:val="clear" w:color="auto" w:fill="auto"/>
            <w:noWrap/>
            <w:hideMark/>
          </w:tcPr>
          <w:p w14:paraId="1824C43A"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-341</w:t>
            </w:r>
          </w:p>
        </w:tc>
        <w:tc>
          <w:tcPr>
            <w:tcW w:w="1276" w:type="dxa"/>
            <w:shd w:val="clear" w:color="auto" w:fill="auto"/>
            <w:noWrap/>
            <w:hideMark/>
          </w:tcPr>
          <w:p w14:paraId="5588B4A5"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96</w:t>
            </w:r>
          </w:p>
        </w:tc>
        <w:tc>
          <w:tcPr>
            <w:tcW w:w="1275" w:type="dxa"/>
            <w:tcBorders>
              <w:right w:val="dotted" w:sz="4" w:space="0" w:color="auto"/>
            </w:tcBorders>
            <w:shd w:val="clear" w:color="auto" w:fill="auto"/>
            <w:noWrap/>
            <w:hideMark/>
          </w:tcPr>
          <w:p w14:paraId="7886F408"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677</w:t>
            </w:r>
          </w:p>
        </w:tc>
        <w:tc>
          <w:tcPr>
            <w:tcW w:w="1134" w:type="dxa"/>
            <w:tcBorders>
              <w:top w:val="nil"/>
              <w:left w:val="dotted" w:sz="4" w:space="0" w:color="auto"/>
              <w:bottom w:val="nil"/>
            </w:tcBorders>
            <w:shd w:val="clear" w:color="auto" w:fill="auto"/>
            <w:noWrap/>
            <w:hideMark/>
          </w:tcPr>
          <w:p w14:paraId="6C4CCBCB"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4,659</w:t>
            </w:r>
          </w:p>
        </w:tc>
      </w:tr>
      <w:tr w:rsidR="002C11DC" w:rsidRPr="00C42D19" w14:paraId="28E2E1B8" w14:textId="77777777" w:rsidTr="001137B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noWrap/>
            <w:hideMark/>
          </w:tcPr>
          <w:p w14:paraId="1754A872" w14:textId="77777777" w:rsidR="002C11DC" w:rsidRPr="00C42D19" w:rsidRDefault="002C11DC" w:rsidP="00446247">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Adults (25 to 64)</w:t>
            </w:r>
          </w:p>
        </w:tc>
        <w:tc>
          <w:tcPr>
            <w:tcW w:w="1134" w:type="dxa"/>
            <w:noWrap/>
            <w:hideMark/>
          </w:tcPr>
          <w:p w14:paraId="25CEE067"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812</w:t>
            </w:r>
          </w:p>
        </w:tc>
        <w:tc>
          <w:tcPr>
            <w:tcW w:w="1134" w:type="dxa"/>
            <w:noWrap/>
            <w:hideMark/>
          </w:tcPr>
          <w:p w14:paraId="0C8391BC"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1,043</w:t>
            </w:r>
          </w:p>
        </w:tc>
        <w:tc>
          <w:tcPr>
            <w:tcW w:w="1276" w:type="dxa"/>
            <w:noWrap/>
            <w:hideMark/>
          </w:tcPr>
          <w:p w14:paraId="2E7A8342"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2,699</w:t>
            </w:r>
          </w:p>
        </w:tc>
        <w:tc>
          <w:tcPr>
            <w:tcW w:w="1275" w:type="dxa"/>
            <w:tcBorders>
              <w:right w:val="dotted" w:sz="4" w:space="0" w:color="auto"/>
            </w:tcBorders>
            <w:noWrap/>
            <w:hideMark/>
          </w:tcPr>
          <w:p w14:paraId="2D0A4A07"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4,487</w:t>
            </w:r>
          </w:p>
        </w:tc>
        <w:tc>
          <w:tcPr>
            <w:tcW w:w="1134" w:type="dxa"/>
            <w:tcBorders>
              <w:top w:val="nil"/>
              <w:left w:val="dotted" w:sz="4" w:space="0" w:color="auto"/>
              <w:bottom w:val="nil"/>
            </w:tcBorders>
            <w:noWrap/>
            <w:hideMark/>
          </w:tcPr>
          <w:p w14:paraId="7EC6BA38"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12,986</w:t>
            </w:r>
          </w:p>
        </w:tc>
      </w:tr>
      <w:tr w:rsidR="002C11DC" w:rsidRPr="00C42D19" w14:paraId="6BFEE2B3"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3114" w:type="dxa"/>
            <w:tcBorders>
              <w:bottom w:val="single" w:sz="4" w:space="0" w:color="auto"/>
            </w:tcBorders>
            <w:shd w:val="clear" w:color="auto" w:fill="auto"/>
            <w:noWrap/>
            <w:hideMark/>
          </w:tcPr>
          <w:p w14:paraId="22FA0E90" w14:textId="77777777" w:rsidR="002C11DC" w:rsidRPr="00C42D19" w:rsidRDefault="002C11DC" w:rsidP="00446247">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Older adults (65+)</w:t>
            </w:r>
          </w:p>
        </w:tc>
        <w:tc>
          <w:tcPr>
            <w:tcW w:w="1134" w:type="dxa"/>
            <w:tcBorders>
              <w:bottom w:val="single" w:sz="4" w:space="0" w:color="auto"/>
            </w:tcBorders>
            <w:shd w:val="clear" w:color="auto" w:fill="auto"/>
            <w:noWrap/>
            <w:hideMark/>
          </w:tcPr>
          <w:p w14:paraId="6E0D5F0F"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80</w:t>
            </w:r>
          </w:p>
        </w:tc>
        <w:tc>
          <w:tcPr>
            <w:tcW w:w="1134" w:type="dxa"/>
            <w:tcBorders>
              <w:bottom w:val="single" w:sz="4" w:space="0" w:color="auto"/>
            </w:tcBorders>
            <w:shd w:val="clear" w:color="auto" w:fill="auto"/>
            <w:noWrap/>
            <w:hideMark/>
          </w:tcPr>
          <w:p w14:paraId="1204BDDC"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96</w:t>
            </w:r>
          </w:p>
        </w:tc>
        <w:tc>
          <w:tcPr>
            <w:tcW w:w="1276" w:type="dxa"/>
            <w:tcBorders>
              <w:bottom w:val="single" w:sz="4" w:space="0" w:color="auto"/>
            </w:tcBorders>
            <w:shd w:val="clear" w:color="auto" w:fill="auto"/>
            <w:noWrap/>
            <w:hideMark/>
          </w:tcPr>
          <w:p w14:paraId="5AF45AB1"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351</w:t>
            </w:r>
          </w:p>
        </w:tc>
        <w:tc>
          <w:tcPr>
            <w:tcW w:w="1275" w:type="dxa"/>
            <w:tcBorders>
              <w:bottom w:val="single" w:sz="4" w:space="0" w:color="auto"/>
              <w:right w:val="dotted" w:sz="4" w:space="0" w:color="auto"/>
            </w:tcBorders>
            <w:shd w:val="clear" w:color="auto" w:fill="auto"/>
            <w:noWrap/>
            <w:hideMark/>
          </w:tcPr>
          <w:p w14:paraId="6B4813DC"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713</w:t>
            </w:r>
          </w:p>
        </w:tc>
        <w:tc>
          <w:tcPr>
            <w:tcW w:w="1134" w:type="dxa"/>
            <w:tcBorders>
              <w:top w:val="nil"/>
              <w:left w:val="dotted" w:sz="4" w:space="0" w:color="auto"/>
              <w:bottom w:val="single" w:sz="4" w:space="0" w:color="auto"/>
            </w:tcBorders>
            <w:shd w:val="clear" w:color="auto" w:fill="auto"/>
            <w:noWrap/>
            <w:hideMark/>
          </w:tcPr>
          <w:p w14:paraId="472EDDC6"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3,011</w:t>
            </w:r>
          </w:p>
        </w:tc>
      </w:tr>
      <w:tr w:rsidR="002C11DC" w:rsidRPr="00C42D19" w14:paraId="4C083C84" w14:textId="77777777" w:rsidTr="001137B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bottom w:val="single" w:sz="4" w:space="0" w:color="auto"/>
            </w:tcBorders>
            <w:shd w:val="clear" w:color="auto" w:fill="D4C5D7"/>
            <w:noWrap/>
            <w:hideMark/>
          </w:tcPr>
          <w:p w14:paraId="2C4BCAD7" w14:textId="77777777" w:rsidR="002C11DC" w:rsidRPr="00C42D19" w:rsidRDefault="002C11DC" w:rsidP="00446247">
            <w:pPr>
              <w:spacing w:after="0" w:line="240" w:lineRule="auto"/>
              <w:rPr>
                <w:rFonts w:eastAsia="Times New Roman" w:cs="Arial"/>
                <w:b/>
                <w:color w:val="000000"/>
                <w:sz w:val="18"/>
                <w:szCs w:val="18"/>
                <w:lang w:eastAsia="zh-CN"/>
              </w:rPr>
            </w:pPr>
            <w:r w:rsidRPr="00C42D19">
              <w:rPr>
                <w:rFonts w:eastAsia="Times New Roman" w:cs="Arial"/>
                <w:b/>
                <w:color w:val="000000"/>
                <w:sz w:val="18"/>
                <w:szCs w:val="18"/>
                <w:lang w:eastAsia="zh-CN"/>
              </w:rPr>
              <w:t>Total</w:t>
            </w:r>
          </w:p>
        </w:tc>
        <w:tc>
          <w:tcPr>
            <w:tcW w:w="1134" w:type="dxa"/>
            <w:tcBorders>
              <w:top w:val="single" w:sz="4" w:space="0" w:color="auto"/>
              <w:bottom w:val="single" w:sz="4" w:space="0" w:color="auto"/>
            </w:tcBorders>
            <w:shd w:val="clear" w:color="auto" w:fill="D4C5D7"/>
            <w:noWrap/>
            <w:hideMark/>
          </w:tcPr>
          <w:p w14:paraId="72B15D77"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46</w:t>
            </w:r>
          </w:p>
        </w:tc>
        <w:tc>
          <w:tcPr>
            <w:tcW w:w="1134" w:type="dxa"/>
            <w:tcBorders>
              <w:top w:val="single" w:sz="4" w:space="0" w:color="auto"/>
              <w:bottom w:val="single" w:sz="4" w:space="0" w:color="auto"/>
            </w:tcBorders>
            <w:shd w:val="clear" w:color="auto" w:fill="D4C5D7"/>
            <w:noWrap/>
            <w:hideMark/>
          </w:tcPr>
          <w:p w14:paraId="195B8363"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109</w:t>
            </w:r>
          </w:p>
        </w:tc>
        <w:tc>
          <w:tcPr>
            <w:tcW w:w="1276" w:type="dxa"/>
            <w:tcBorders>
              <w:top w:val="single" w:sz="4" w:space="0" w:color="auto"/>
              <w:bottom w:val="single" w:sz="4" w:space="0" w:color="auto"/>
            </w:tcBorders>
            <w:shd w:val="clear" w:color="auto" w:fill="D4C5D7"/>
            <w:noWrap/>
            <w:hideMark/>
          </w:tcPr>
          <w:p w14:paraId="66CC28D5"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2,648</w:t>
            </w:r>
          </w:p>
        </w:tc>
        <w:tc>
          <w:tcPr>
            <w:tcW w:w="1275" w:type="dxa"/>
            <w:tcBorders>
              <w:top w:val="single" w:sz="4" w:space="0" w:color="auto"/>
              <w:bottom w:val="single" w:sz="4" w:space="0" w:color="auto"/>
              <w:right w:val="dotted" w:sz="4" w:space="0" w:color="auto"/>
            </w:tcBorders>
            <w:shd w:val="clear" w:color="auto" w:fill="D4C5D7"/>
            <w:noWrap/>
            <w:hideMark/>
          </w:tcPr>
          <w:p w14:paraId="4147523D"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5,649</w:t>
            </w:r>
          </w:p>
        </w:tc>
        <w:tc>
          <w:tcPr>
            <w:tcW w:w="1134" w:type="dxa"/>
            <w:tcBorders>
              <w:top w:val="single" w:sz="4" w:space="0" w:color="auto"/>
              <w:left w:val="dotted" w:sz="4" w:space="0" w:color="auto"/>
              <w:bottom w:val="single" w:sz="4" w:space="0" w:color="auto"/>
            </w:tcBorders>
            <w:shd w:val="clear" w:color="auto" w:fill="D4C5D7"/>
            <w:noWrap/>
            <w:hideMark/>
          </w:tcPr>
          <w:p w14:paraId="682AC659"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20,960</w:t>
            </w:r>
          </w:p>
        </w:tc>
      </w:tr>
      <w:tr w:rsidR="002C11DC" w:rsidRPr="00C42D19" w14:paraId="06FB5B7C" w14:textId="77777777" w:rsidTr="001137BC">
        <w:trPr>
          <w:trHeight w:val="301"/>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tcBorders>
            <w:noWrap/>
            <w:hideMark/>
          </w:tcPr>
          <w:p w14:paraId="73067B47" w14:textId="77777777" w:rsidR="002C11DC" w:rsidRPr="00C42D19" w:rsidRDefault="002C11DC" w:rsidP="00446247">
            <w:pPr>
              <w:spacing w:after="0" w:line="240" w:lineRule="auto"/>
              <w:rPr>
                <w:rFonts w:eastAsia="Times New Roman" w:cs="Arial"/>
                <w:b/>
                <w:color w:val="000000"/>
                <w:sz w:val="18"/>
                <w:szCs w:val="18"/>
                <w:lang w:eastAsia="zh-CN"/>
              </w:rPr>
            </w:pPr>
            <w:r w:rsidRPr="00C42D19">
              <w:rPr>
                <w:rFonts w:eastAsia="Times New Roman" w:cs="Arial"/>
                <w:b/>
                <w:color w:val="000000"/>
                <w:sz w:val="18"/>
                <w:szCs w:val="18"/>
                <w:lang w:eastAsia="zh-CN"/>
              </w:rPr>
              <w:t>% Difference</w:t>
            </w:r>
          </w:p>
        </w:tc>
        <w:tc>
          <w:tcPr>
            <w:tcW w:w="1134" w:type="dxa"/>
            <w:tcBorders>
              <w:top w:val="single" w:sz="4" w:space="0" w:color="auto"/>
            </w:tcBorders>
            <w:noWrap/>
            <w:hideMark/>
          </w:tcPr>
          <w:p w14:paraId="5AB43F23"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i/>
                <w:color w:val="000000"/>
                <w:sz w:val="18"/>
                <w:szCs w:val="18"/>
                <w:lang w:eastAsia="zh-CN"/>
              </w:rPr>
            </w:pPr>
            <w:r w:rsidRPr="00C42D19">
              <w:rPr>
                <w:rFonts w:eastAsia="Times New Roman" w:cs="Arial"/>
                <w:b/>
                <w:i/>
                <w:color w:val="000000"/>
                <w:sz w:val="18"/>
                <w:szCs w:val="18"/>
                <w:lang w:eastAsia="zh-CN"/>
              </w:rPr>
              <w:t> </w:t>
            </w:r>
          </w:p>
        </w:tc>
        <w:tc>
          <w:tcPr>
            <w:tcW w:w="1134" w:type="dxa"/>
            <w:tcBorders>
              <w:top w:val="single" w:sz="4" w:space="0" w:color="auto"/>
            </w:tcBorders>
            <w:noWrap/>
            <w:hideMark/>
          </w:tcPr>
          <w:p w14:paraId="4FE714BB"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p>
        </w:tc>
        <w:tc>
          <w:tcPr>
            <w:tcW w:w="1276" w:type="dxa"/>
            <w:tcBorders>
              <w:top w:val="single" w:sz="4" w:space="0" w:color="auto"/>
            </w:tcBorders>
            <w:noWrap/>
            <w:hideMark/>
          </w:tcPr>
          <w:p w14:paraId="6F131CCD"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p>
        </w:tc>
        <w:tc>
          <w:tcPr>
            <w:tcW w:w="1275" w:type="dxa"/>
            <w:tcBorders>
              <w:top w:val="single" w:sz="4" w:space="0" w:color="auto"/>
              <w:right w:val="dotted" w:sz="4" w:space="0" w:color="auto"/>
            </w:tcBorders>
            <w:noWrap/>
            <w:hideMark/>
          </w:tcPr>
          <w:p w14:paraId="4B44E0A1"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p>
        </w:tc>
        <w:tc>
          <w:tcPr>
            <w:tcW w:w="1134" w:type="dxa"/>
            <w:tcBorders>
              <w:top w:val="single" w:sz="4" w:space="0" w:color="auto"/>
              <w:left w:val="dotted" w:sz="4" w:space="0" w:color="auto"/>
              <w:bottom w:val="nil"/>
            </w:tcBorders>
            <w:noWrap/>
            <w:hideMark/>
          </w:tcPr>
          <w:p w14:paraId="2C6A5994"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p>
        </w:tc>
      </w:tr>
      <w:tr w:rsidR="002C11DC" w:rsidRPr="00C42D19" w14:paraId="45FC07E2" w14:textId="77777777" w:rsidTr="001137B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noWrap/>
            <w:hideMark/>
          </w:tcPr>
          <w:p w14:paraId="73F159EB" w14:textId="77777777" w:rsidR="002C11DC" w:rsidRPr="00C42D19" w:rsidRDefault="002C11DC" w:rsidP="00446247">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Children (0 to 14)</w:t>
            </w:r>
          </w:p>
        </w:tc>
        <w:tc>
          <w:tcPr>
            <w:tcW w:w="1134" w:type="dxa"/>
            <w:noWrap/>
            <w:hideMark/>
          </w:tcPr>
          <w:p w14:paraId="0D137D37"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-10%</w:t>
            </w:r>
          </w:p>
        </w:tc>
        <w:tc>
          <w:tcPr>
            <w:tcW w:w="1134" w:type="dxa"/>
            <w:noWrap/>
            <w:hideMark/>
          </w:tcPr>
          <w:p w14:paraId="3FB76FBC"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-12%</w:t>
            </w:r>
          </w:p>
        </w:tc>
        <w:tc>
          <w:tcPr>
            <w:tcW w:w="1276" w:type="dxa"/>
            <w:noWrap/>
            <w:hideMark/>
          </w:tcPr>
          <w:p w14:paraId="7B466772"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-8%</w:t>
            </w:r>
          </w:p>
        </w:tc>
        <w:tc>
          <w:tcPr>
            <w:tcW w:w="1275" w:type="dxa"/>
            <w:tcBorders>
              <w:right w:val="dotted" w:sz="4" w:space="0" w:color="auto"/>
            </w:tcBorders>
            <w:noWrap/>
            <w:hideMark/>
          </w:tcPr>
          <w:p w14:paraId="56FB6CAF"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w:t>
            </w:r>
          </w:p>
        </w:tc>
        <w:tc>
          <w:tcPr>
            <w:tcW w:w="1134" w:type="dxa"/>
            <w:tcBorders>
              <w:top w:val="nil"/>
              <w:left w:val="dotted" w:sz="4" w:space="0" w:color="auto"/>
              <w:bottom w:val="nil"/>
            </w:tcBorders>
            <w:noWrap/>
            <w:hideMark/>
          </w:tcPr>
          <w:p w14:paraId="0685618D"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w:t>
            </w:r>
          </w:p>
        </w:tc>
      </w:tr>
      <w:tr w:rsidR="002C11DC" w:rsidRPr="00C42D19" w14:paraId="665CE3AE" w14:textId="77777777" w:rsidTr="001137BC">
        <w:trPr>
          <w:trHeight w:val="301"/>
        </w:trPr>
        <w:tc>
          <w:tcPr>
            <w:cnfStyle w:val="001000000000" w:firstRow="0" w:lastRow="0" w:firstColumn="1" w:lastColumn="0" w:oddVBand="0" w:evenVBand="0" w:oddHBand="0" w:evenHBand="0" w:firstRowFirstColumn="0" w:firstRowLastColumn="0" w:lastRowFirstColumn="0" w:lastRowLastColumn="0"/>
            <w:tcW w:w="3114" w:type="dxa"/>
            <w:noWrap/>
            <w:hideMark/>
          </w:tcPr>
          <w:p w14:paraId="70C742A3" w14:textId="77777777" w:rsidR="002C11DC" w:rsidRPr="00C42D19" w:rsidRDefault="002C11DC" w:rsidP="00446247">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Young adults (15 to 24)</w:t>
            </w:r>
          </w:p>
        </w:tc>
        <w:tc>
          <w:tcPr>
            <w:tcW w:w="1134" w:type="dxa"/>
            <w:noWrap/>
            <w:hideMark/>
          </w:tcPr>
          <w:p w14:paraId="275469BE"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w:t>
            </w:r>
          </w:p>
        </w:tc>
        <w:tc>
          <w:tcPr>
            <w:tcW w:w="1134" w:type="dxa"/>
            <w:noWrap/>
            <w:hideMark/>
          </w:tcPr>
          <w:p w14:paraId="6C6961AE"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w:t>
            </w:r>
          </w:p>
        </w:tc>
        <w:tc>
          <w:tcPr>
            <w:tcW w:w="1276" w:type="dxa"/>
            <w:noWrap/>
            <w:hideMark/>
          </w:tcPr>
          <w:p w14:paraId="21D5513D"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w:t>
            </w:r>
          </w:p>
        </w:tc>
        <w:tc>
          <w:tcPr>
            <w:tcW w:w="1275" w:type="dxa"/>
            <w:tcBorders>
              <w:right w:val="dotted" w:sz="4" w:space="0" w:color="auto"/>
            </w:tcBorders>
            <w:noWrap/>
            <w:hideMark/>
          </w:tcPr>
          <w:p w14:paraId="0F9A62E9"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9%</w:t>
            </w:r>
          </w:p>
        </w:tc>
        <w:tc>
          <w:tcPr>
            <w:tcW w:w="1134" w:type="dxa"/>
            <w:tcBorders>
              <w:top w:val="nil"/>
              <w:left w:val="dotted" w:sz="4" w:space="0" w:color="auto"/>
              <w:bottom w:val="nil"/>
            </w:tcBorders>
            <w:noWrap/>
            <w:hideMark/>
          </w:tcPr>
          <w:p w14:paraId="30D13EA4"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33%</w:t>
            </w:r>
          </w:p>
        </w:tc>
      </w:tr>
      <w:tr w:rsidR="002C11DC" w:rsidRPr="00C42D19" w14:paraId="34525055" w14:textId="77777777" w:rsidTr="001137B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noWrap/>
            <w:hideMark/>
          </w:tcPr>
          <w:p w14:paraId="14977CB4" w14:textId="77777777" w:rsidR="002C11DC" w:rsidRPr="00C42D19" w:rsidRDefault="002C11DC" w:rsidP="00446247">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Adults (25 to 64)</w:t>
            </w:r>
          </w:p>
        </w:tc>
        <w:tc>
          <w:tcPr>
            <w:tcW w:w="1134" w:type="dxa"/>
            <w:noWrap/>
            <w:hideMark/>
          </w:tcPr>
          <w:p w14:paraId="1297CDD9"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w:t>
            </w:r>
          </w:p>
        </w:tc>
        <w:tc>
          <w:tcPr>
            <w:tcW w:w="1134" w:type="dxa"/>
            <w:noWrap/>
            <w:hideMark/>
          </w:tcPr>
          <w:p w14:paraId="64C0CA1B"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w:t>
            </w:r>
          </w:p>
        </w:tc>
        <w:tc>
          <w:tcPr>
            <w:tcW w:w="1276" w:type="dxa"/>
            <w:noWrap/>
            <w:hideMark/>
          </w:tcPr>
          <w:p w14:paraId="53166A90"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11%</w:t>
            </w:r>
          </w:p>
        </w:tc>
        <w:tc>
          <w:tcPr>
            <w:tcW w:w="1275" w:type="dxa"/>
            <w:tcBorders>
              <w:right w:val="dotted" w:sz="4" w:space="0" w:color="auto"/>
            </w:tcBorders>
            <w:noWrap/>
            <w:hideMark/>
          </w:tcPr>
          <w:p w14:paraId="1E0300B7"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18%</w:t>
            </w:r>
          </w:p>
        </w:tc>
        <w:tc>
          <w:tcPr>
            <w:tcW w:w="1134" w:type="dxa"/>
            <w:tcBorders>
              <w:top w:val="nil"/>
              <w:left w:val="dotted" w:sz="4" w:space="0" w:color="auto"/>
              <w:bottom w:val="nil"/>
            </w:tcBorders>
            <w:noWrap/>
            <w:hideMark/>
          </w:tcPr>
          <w:p w14:paraId="743F1D42"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36%</w:t>
            </w:r>
          </w:p>
        </w:tc>
      </w:tr>
      <w:tr w:rsidR="002C11DC" w:rsidRPr="00C42D19" w14:paraId="1CFAC519" w14:textId="77777777" w:rsidTr="001137BC">
        <w:trPr>
          <w:trHeight w:val="301"/>
        </w:trPr>
        <w:tc>
          <w:tcPr>
            <w:cnfStyle w:val="001000000000" w:firstRow="0" w:lastRow="0" w:firstColumn="1" w:lastColumn="0" w:oddVBand="0" w:evenVBand="0" w:oddHBand="0" w:evenHBand="0" w:firstRowFirstColumn="0" w:firstRowLastColumn="0" w:lastRowFirstColumn="0" w:lastRowLastColumn="0"/>
            <w:tcW w:w="3114" w:type="dxa"/>
            <w:tcBorders>
              <w:bottom w:val="single" w:sz="4" w:space="0" w:color="auto"/>
            </w:tcBorders>
            <w:noWrap/>
            <w:hideMark/>
          </w:tcPr>
          <w:p w14:paraId="54E0A152" w14:textId="77777777" w:rsidR="002C11DC" w:rsidRPr="00C42D19" w:rsidRDefault="002C11DC" w:rsidP="00446247">
            <w:pPr>
              <w:spacing w:after="0" w:line="240" w:lineRule="auto"/>
              <w:rPr>
                <w:rFonts w:eastAsia="Times New Roman" w:cs="Arial"/>
                <w:color w:val="000000"/>
                <w:sz w:val="18"/>
                <w:szCs w:val="18"/>
                <w:lang w:eastAsia="zh-CN"/>
              </w:rPr>
            </w:pPr>
            <w:r w:rsidRPr="00C42D19">
              <w:rPr>
                <w:rFonts w:eastAsia="Times New Roman" w:cs="Arial"/>
                <w:color w:val="000000"/>
                <w:sz w:val="18"/>
                <w:szCs w:val="18"/>
                <w:lang w:eastAsia="zh-CN"/>
              </w:rPr>
              <w:t>Older adults (65+)</w:t>
            </w:r>
          </w:p>
        </w:tc>
        <w:tc>
          <w:tcPr>
            <w:tcW w:w="1134" w:type="dxa"/>
            <w:tcBorders>
              <w:bottom w:val="single" w:sz="4" w:space="0" w:color="auto"/>
            </w:tcBorders>
            <w:noWrap/>
            <w:hideMark/>
          </w:tcPr>
          <w:p w14:paraId="4899BBD4"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w:t>
            </w:r>
          </w:p>
        </w:tc>
        <w:tc>
          <w:tcPr>
            <w:tcW w:w="1134" w:type="dxa"/>
            <w:tcBorders>
              <w:bottom w:val="single" w:sz="4" w:space="0" w:color="auto"/>
            </w:tcBorders>
            <w:noWrap/>
            <w:hideMark/>
          </w:tcPr>
          <w:p w14:paraId="4CC78337"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w:t>
            </w:r>
          </w:p>
        </w:tc>
        <w:tc>
          <w:tcPr>
            <w:tcW w:w="1276" w:type="dxa"/>
            <w:tcBorders>
              <w:bottom w:val="single" w:sz="4" w:space="0" w:color="auto"/>
            </w:tcBorders>
            <w:noWrap/>
            <w:hideMark/>
          </w:tcPr>
          <w:p w14:paraId="1D01AE99"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9%</w:t>
            </w:r>
          </w:p>
        </w:tc>
        <w:tc>
          <w:tcPr>
            <w:tcW w:w="1275" w:type="dxa"/>
            <w:tcBorders>
              <w:bottom w:val="single" w:sz="4" w:space="0" w:color="auto"/>
              <w:right w:val="dotted" w:sz="4" w:space="0" w:color="auto"/>
            </w:tcBorders>
            <w:noWrap/>
            <w:hideMark/>
          </w:tcPr>
          <w:p w14:paraId="6493E059"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16%</w:t>
            </w:r>
          </w:p>
        </w:tc>
        <w:tc>
          <w:tcPr>
            <w:tcW w:w="1134" w:type="dxa"/>
            <w:tcBorders>
              <w:top w:val="nil"/>
              <w:left w:val="dotted" w:sz="4" w:space="0" w:color="auto"/>
              <w:bottom w:val="single" w:sz="4" w:space="0" w:color="auto"/>
            </w:tcBorders>
            <w:noWrap/>
            <w:hideMark/>
          </w:tcPr>
          <w:p w14:paraId="18129C16"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36%</w:t>
            </w:r>
          </w:p>
        </w:tc>
      </w:tr>
      <w:tr w:rsidR="002C11DC" w:rsidRPr="00C42D19" w14:paraId="505B49F3" w14:textId="77777777" w:rsidTr="001137B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bottom w:val="single" w:sz="4" w:space="0" w:color="auto"/>
            </w:tcBorders>
            <w:shd w:val="clear" w:color="auto" w:fill="D4C5D7"/>
            <w:noWrap/>
            <w:hideMark/>
          </w:tcPr>
          <w:p w14:paraId="5B680009" w14:textId="77777777" w:rsidR="002C11DC" w:rsidRPr="00C42D19" w:rsidRDefault="002C11DC" w:rsidP="00446247">
            <w:pPr>
              <w:spacing w:after="0" w:line="240" w:lineRule="auto"/>
              <w:rPr>
                <w:rFonts w:eastAsia="Times New Roman" w:cs="Arial"/>
                <w:b/>
                <w:color w:val="000000"/>
                <w:sz w:val="18"/>
                <w:szCs w:val="18"/>
                <w:lang w:eastAsia="zh-CN"/>
              </w:rPr>
            </w:pPr>
            <w:r w:rsidRPr="00C42D19">
              <w:rPr>
                <w:rFonts w:eastAsia="Times New Roman" w:cs="Arial"/>
                <w:b/>
                <w:color w:val="000000"/>
                <w:sz w:val="18"/>
                <w:szCs w:val="18"/>
                <w:lang w:eastAsia="zh-CN"/>
              </w:rPr>
              <w:t>Total</w:t>
            </w:r>
          </w:p>
        </w:tc>
        <w:tc>
          <w:tcPr>
            <w:tcW w:w="1134" w:type="dxa"/>
            <w:tcBorders>
              <w:top w:val="single" w:sz="4" w:space="0" w:color="auto"/>
              <w:bottom w:val="single" w:sz="4" w:space="0" w:color="auto"/>
            </w:tcBorders>
            <w:shd w:val="clear" w:color="auto" w:fill="D4C5D7"/>
            <w:noWrap/>
            <w:hideMark/>
          </w:tcPr>
          <w:p w14:paraId="3FD63CB3"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0%</w:t>
            </w:r>
          </w:p>
        </w:tc>
        <w:tc>
          <w:tcPr>
            <w:tcW w:w="1134" w:type="dxa"/>
            <w:tcBorders>
              <w:top w:val="single" w:sz="4" w:space="0" w:color="auto"/>
              <w:bottom w:val="single" w:sz="4" w:space="0" w:color="auto"/>
            </w:tcBorders>
            <w:shd w:val="clear" w:color="auto" w:fill="D4C5D7"/>
            <w:noWrap/>
            <w:hideMark/>
          </w:tcPr>
          <w:p w14:paraId="18E37A4B"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0%</w:t>
            </w:r>
          </w:p>
        </w:tc>
        <w:tc>
          <w:tcPr>
            <w:tcW w:w="1276" w:type="dxa"/>
            <w:tcBorders>
              <w:top w:val="single" w:sz="4" w:space="0" w:color="auto"/>
              <w:bottom w:val="single" w:sz="4" w:space="0" w:color="auto"/>
            </w:tcBorders>
            <w:shd w:val="clear" w:color="auto" w:fill="D4C5D7"/>
            <w:noWrap/>
            <w:hideMark/>
          </w:tcPr>
          <w:p w14:paraId="69D74BDC"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6%</w:t>
            </w:r>
          </w:p>
        </w:tc>
        <w:tc>
          <w:tcPr>
            <w:tcW w:w="1275" w:type="dxa"/>
            <w:tcBorders>
              <w:top w:val="single" w:sz="4" w:space="0" w:color="auto"/>
              <w:bottom w:val="single" w:sz="4" w:space="0" w:color="auto"/>
              <w:right w:val="dotted" w:sz="4" w:space="0" w:color="auto"/>
            </w:tcBorders>
            <w:shd w:val="clear" w:color="auto" w:fill="D4C5D7"/>
            <w:noWrap/>
            <w:hideMark/>
          </w:tcPr>
          <w:p w14:paraId="0386351B"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13%</w:t>
            </w:r>
          </w:p>
        </w:tc>
        <w:tc>
          <w:tcPr>
            <w:tcW w:w="1134" w:type="dxa"/>
            <w:tcBorders>
              <w:top w:val="single" w:sz="4" w:space="0" w:color="auto"/>
              <w:left w:val="dotted" w:sz="4" w:space="0" w:color="auto"/>
              <w:bottom w:val="single" w:sz="4" w:space="0" w:color="auto"/>
            </w:tcBorders>
            <w:shd w:val="clear" w:color="auto" w:fill="D4C5D7"/>
            <w:noWrap/>
            <w:hideMark/>
          </w:tcPr>
          <w:p w14:paraId="4EAFFBCA"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18"/>
                <w:szCs w:val="18"/>
                <w:lang w:eastAsia="zh-CN"/>
              </w:rPr>
            </w:pPr>
            <w:r w:rsidRPr="00C42D19">
              <w:rPr>
                <w:rFonts w:eastAsia="Times New Roman" w:cs="Arial"/>
                <w:b/>
                <w:color w:val="000000"/>
                <w:sz w:val="18"/>
                <w:szCs w:val="18"/>
                <w:lang w:eastAsia="zh-CN"/>
              </w:rPr>
              <w:t>31%</w:t>
            </w:r>
          </w:p>
        </w:tc>
      </w:tr>
    </w:tbl>
    <w:p w14:paraId="5930D9C0" w14:textId="77777777" w:rsidR="002C11DC" w:rsidRPr="00947100" w:rsidRDefault="002C11DC" w:rsidP="002C11DC">
      <w:pPr>
        <w:pStyle w:val="FSRnormal"/>
        <w:rPr>
          <w:highlight w:val="yellow"/>
        </w:rPr>
      </w:pPr>
    </w:p>
    <w:p w14:paraId="421E78DC" w14:textId="77777777" w:rsidR="002C11DC" w:rsidRDefault="002C11DC" w:rsidP="002C11DC">
      <w:pPr>
        <w:spacing w:after="160" w:line="259" w:lineRule="auto"/>
        <w:rPr>
          <w:b/>
          <w:color w:val="6B2976"/>
          <w:sz w:val="25"/>
        </w:rPr>
      </w:pPr>
      <w:r>
        <w:br w:type="page"/>
      </w:r>
    </w:p>
    <w:p w14:paraId="260F6F28" w14:textId="77777777" w:rsidR="002C11DC" w:rsidRPr="00524ABD" w:rsidRDefault="002C11DC" w:rsidP="002C11DC">
      <w:pPr>
        <w:pStyle w:val="FSRHeading4"/>
      </w:pPr>
      <w:r w:rsidRPr="00524ABD">
        <w:lastRenderedPageBreak/>
        <w:t>Scheme expenses by Disability Group</w:t>
      </w:r>
    </w:p>
    <w:p w14:paraId="39282633" w14:textId="77777777" w:rsidR="002C11DC" w:rsidRDefault="002C11DC" w:rsidP="00C42D19">
      <w:pPr>
        <w:pStyle w:val="Tables"/>
      </w:pPr>
      <w:r w:rsidRPr="0024216C">
        <w:t xml:space="preserve">Table </w:t>
      </w:r>
      <w:r w:rsidR="00B5473A">
        <w:t>B</w:t>
      </w:r>
      <w:r w:rsidR="00A87896">
        <w:t>.</w:t>
      </w:r>
      <w:fldSimple w:instr=" SEQ Table \* ARABIC \s 2 ">
        <w:r w:rsidR="00A87896">
          <w:rPr>
            <w:noProof/>
          </w:rPr>
          <w:t>5</w:t>
        </w:r>
      </w:fldSimple>
      <w:r>
        <w:t>:</w:t>
      </w:r>
      <w:r w:rsidRPr="0024216C">
        <w:t xml:space="preserve"> Change in projected </w:t>
      </w:r>
      <w:r>
        <w:t>Scheme expenses</w:t>
      </w:r>
      <w:r w:rsidRPr="0024216C">
        <w:t xml:space="preserve"> by disability group (cash basis)</w:t>
      </w:r>
    </w:p>
    <w:tbl>
      <w:tblPr>
        <w:tblStyle w:val="FSRtable"/>
        <w:tblW w:w="9067" w:type="dxa"/>
        <w:tblInd w:w="5" w:type="dxa"/>
        <w:tblLook w:val="04A0" w:firstRow="1" w:lastRow="0" w:firstColumn="1" w:lastColumn="0" w:noHBand="0" w:noVBand="1"/>
      </w:tblPr>
      <w:tblGrid>
        <w:gridCol w:w="3397"/>
        <w:gridCol w:w="1276"/>
        <w:gridCol w:w="1134"/>
        <w:gridCol w:w="1134"/>
        <w:gridCol w:w="992"/>
        <w:gridCol w:w="1134"/>
      </w:tblGrid>
      <w:tr w:rsidR="002C11DC" w:rsidRPr="00C42D19" w14:paraId="2593AE77"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397" w:type="dxa"/>
            <w:noWrap/>
            <w:vAlign w:val="bottom"/>
            <w:hideMark/>
          </w:tcPr>
          <w:p w14:paraId="544E561B" w14:textId="77777777" w:rsidR="002C11DC" w:rsidRPr="00C42D19" w:rsidRDefault="002C11DC" w:rsidP="00017D78">
            <w:pPr>
              <w:pStyle w:val="FSRnormal"/>
              <w:spacing w:before="0" w:after="0"/>
              <w:rPr>
                <w:b w:val="0"/>
                <w:sz w:val="18"/>
                <w:szCs w:val="18"/>
                <w:lang w:eastAsia="zh-CN"/>
              </w:rPr>
            </w:pPr>
            <w:r w:rsidRPr="00C42D19">
              <w:rPr>
                <w:sz w:val="18"/>
                <w:szCs w:val="18"/>
                <w:lang w:eastAsia="zh-CN"/>
              </w:rPr>
              <w:t>Scheme expenses</w:t>
            </w:r>
          </w:p>
        </w:tc>
        <w:tc>
          <w:tcPr>
            <w:tcW w:w="5670" w:type="dxa"/>
            <w:gridSpan w:val="5"/>
            <w:tcBorders>
              <w:top w:val="single" w:sz="4" w:space="0" w:color="auto"/>
              <w:bottom w:val="dotted" w:sz="4" w:space="0" w:color="FFFFFF" w:themeColor="background1"/>
            </w:tcBorders>
            <w:noWrap/>
            <w:hideMark/>
          </w:tcPr>
          <w:p w14:paraId="5C4A3302" w14:textId="77777777" w:rsidR="002C11DC" w:rsidRPr="00C42D19" w:rsidRDefault="002C11DC" w:rsidP="00C42D19">
            <w:pPr>
              <w:pStyle w:val="FSRnormal"/>
              <w:spacing w:before="0" w:after="0"/>
              <w:jc w:val="center"/>
              <w:cnfStyle w:val="100000000000" w:firstRow="1" w:lastRow="0" w:firstColumn="0" w:lastColumn="0" w:oddVBand="0" w:evenVBand="0" w:oddHBand="0" w:evenHBand="0" w:firstRowFirstColumn="0" w:firstRowLastColumn="0" w:lastRowFirstColumn="0" w:lastRowLastColumn="0"/>
              <w:rPr>
                <w:b w:val="0"/>
                <w:sz w:val="18"/>
                <w:szCs w:val="18"/>
                <w:lang w:eastAsia="zh-CN"/>
              </w:rPr>
            </w:pPr>
            <w:r w:rsidRPr="00C42D19">
              <w:rPr>
                <w:sz w:val="18"/>
                <w:szCs w:val="18"/>
                <w:lang w:eastAsia="zh-CN"/>
              </w:rPr>
              <w:t>Projection Year</w:t>
            </w:r>
          </w:p>
        </w:tc>
      </w:tr>
      <w:tr w:rsidR="00BD1E69" w:rsidRPr="00C42D19" w14:paraId="761FAE44"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397" w:type="dxa"/>
            <w:noWrap/>
            <w:vAlign w:val="top"/>
            <w:hideMark/>
          </w:tcPr>
          <w:p w14:paraId="2D98E3CC" w14:textId="77777777" w:rsidR="002C11DC" w:rsidRPr="00C42D19" w:rsidRDefault="002C11DC" w:rsidP="00017D78">
            <w:pPr>
              <w:pStyle w:val="FSRnormal"/>
              <w:spacing w:before="0" w:after="0"/>
              <w:rPr>
                <w:b w:val="0"/>
                <w:sz w:val="18"/>
                <w:szCs w:val="18"/>
                <w:lang w:eastAsia="zh-CN"/>
              </w:rPr>
            </w:pPr>
            <w:r w:rsidRPr="00C42D19">
              <w:rPr>
                <w:sz w:val="18"/>
                <w:szCs w:val="18"/>
                <w:lang w:eastAsia="zh-CN"/>
              </w:rPr>
              <w:t>($m, cash basis)</w:t>
            </w:r>
          </w:p>
        </w:tc>
        <w:tc>
          <w:tcPr>
            <w:tcW w:w="1276" w:type="dxa"/>
            <w:tcBorders>
              <w:top w:val="dotted" w:sz="4" w:space="0" w:color="FFFFFF" w:themeColor="background1"/>
            </w:tcBorders>
            <w:noWrap/>
            <w:hideMark/>
          </w:tcPr>
          <w:p w14:paraId="5D67D768" w14:textId="77777777" w:rsidR="002C11DC" w:rsidRPr="00C42D19" w:rsidRDefault="002C11DC" w:rsidP="00BD1E69">
            <w:pPr>
              <w:pStyle w:val="FSRnormal"/>
              <w:spacing w:before="0" w:after="0"/>
              <w:cnfStyle w:val="100000000000" w:firstRow="1" w:lastRow="0" w:firstColumn="0" w:lastColumn="0" w:oddVBand="0" w:evenVBand="0" w:oddHBand="0" w:evenHBand="0" w:firstRowFirstColumn="0" w:firstRowLastColumn="0" w:lastRowFirstColumn="0" w:lastRowLastColumn="0"/>
              <w:rPr>
                <w:b w:val="0"/>
                <w:sz w:val="18"/>
                <w:szCs w:val="18"/>
                <w:lang w:eastAsia="zh-CN"/>
              </w:rPr>
            </w:pPr>
            <w:r w:rsidRPr="00C42D19">
              <w:rPr>
                <w:sz w:val="18"/>
                <w:szCs w:val="18"/>
                <w:lang w:eastAsia="zh-CN"/>
              </w:rPr>
              <w:t>2022-23</w:t>
            </w:r>
          </w:p>
        </w:tc>
        <w:tc>
          <w:tcPr>
            <w:tcW w:w="1134" w:type="dxa"/>
            <w:tcBorders>
              <w:top w:val="dotted" w:sz="4" w:space="0" w:color="FFFFFF" w:themeColor="background1"/>
            </w:tcBorders>
            <w:noWrap/>
            <w:hideMark/>
          </w:tcPr>
          <w:p w14:paraId="73BFA9DD" w14:textId="77777777" w:rsidR="002C11DC" w:rsidRPr="00C42D19" w:rsidRDefault="002C11DC" w:rsidP="00BD1E69">
            <w:pPr>
              <w:pStyle w:val="FSRnormal"/>
              <w:spacing w:before="0" w:after="0"/>
              <w:cnfStyle w:val="100000000000" w:firstRow="1" w:lastRow="0" w:firstColumn="0" w:lastColumn="0" w:oddVBand="0" w:evenVBand="0" w:oddHBand="0" w:evenHBand="0" w:firstRowFirstColumn="0" w:firstRowLastColumn="0" w:lastRowFirstColumn="0" w:lastRowLastColumn="0"/>
              <w:rPr>
                <w:b w:val="0"/>
                <w:sz w:val="18"/>
                <w:szCs w:val="18"/>
                <w:lang w:eastAsia="zh-CN"/>
              </w:rPr>
            </w:pPr>
            <w:r w:rsidRPr="00C42D19">
              <w:rPr>
                <w:sz w:val="18"/>
                <w:szCs w:val="18"/>
                <w:lang w:eastAsia="zh-CN"/>
              </w:rPr>
              <w:t>2023-24</w:t>
            </w:r>
          </w:p>
        </w:tc>
        <w:tc>
          <w:tcPr>
            <w:tcW w:w="1134" w:type="dxa"/>
            <w:tcBorders>
              <w:top w:val="dotted" w:sz="4" w:space="0" w:color="FFFFFF" w:themeColor="background1"/>
            </w:tcBorders>
            <w:noWrap/>
            <w:hideMark/>
          </w:tcPr>
          <w:p w14:paraId="1AE47182" w14:textId="77777777" w:rsidR="002C11DC" w:rsidRPr="00C42D19" w:rsidRDefault="002C11DC" w:rsidP="00BD1E69">
            <w:pPr>
              <w:pStyle w:val="FSRnormal"/>
              <w:spacing w:before="0" w:after="0"/>
              <w:cnfStyle w:val="100000000000" w:firstRow="1" w:lastRow="0" w:firstColumn="0" w:lastColumn="0" w:oddVBand="0" w:evenVBand="0" w:oddHBand="0" w:evenHBand="0" w:firstRowFirstColumn="0" w:firstRowLastColumn="0" w:lastRowFirstColumn="0" w:lastRowLastColumn="0"/>
              <w:rPr>
                <w:b w:val="0"/>
                <w:sz w:val="18"/>
                <w:szCs w:val="18"/>
                <w:lang w:eastAsia="zh-CN"/>
              </w:rPr>
            </w:pPr>
            <w:r w:rsidRPr="00C42D19">
              <w:rPr>
                <w:sz w:val="18"/>
                <w:szCs w:val="18"/>
                <w:lang w:eastAsia="zh-CN"/>
              </w:rPr>
              <w:t>2024-25</w:t>
            </w:r>
          </w:p>
        </w:tc>
        <w:tc>
          <w:tcPr>
            <w:tcW w:w="992" w:type="dxa"/>
            <w:tcBorders>
              <w:top w:val="dotted" w:sz="4" w:space="0" w:color="FFFFFF" w:themeColor="background1"/>
              <w:right w:val="dotted" w:sz="4" w:space="0" w:color="auto"/>
            </w:tcBorders>
            <w:noWrap/>
            <w:hideMark/>
          </w:tcPr>
          <w:p w14:paraId="48E34332" w14:textId="77777777" w:rsidR="002C11DC" w:rsidRPr="00C42D19" w:rsidRDefault="002C11DC" w:rsidP="00BD1E69">
            <w:pPr>
              <w:pStyle w:val="FSRnormal"/>
              <w:spacing w:before="0" w:after="0"/>
              <w:cnfStyle w:val="100000000000" w:firstRow="1" w:lastRow="0" w:firstColumn="0" w:lastColumn="0" w:oddVBand="0" w:evenVBand="0" w:oddHBand="0" w:evenHBand="0" w:firstRowFirstColumn="0" w:firstRowLastColumn="0" w:lastRowFirstColumn="0" w:lastRowLastColumn="0"/>
              <w:rPr>
                <w:b w:val="0"/>
                <w:sz w:val="18"/>
                <w:szCs w:val="18"/>
                <w:lang w:eastAsia="zh-CN"/>
              </w:rPr>
            </w:pPr>
            <w:r w:rsidRPr="00C42D19">
              <w:rPr>
                <w:sz w:val="18"/>
                <w:szCs w:val="18"/>
                <w:lang w:eastAsia="zh-CN"/>
              </w:rPr>
              <w:t>2025-26</w:t>
            </w:r>
          </w:p>
        </w:tc>
        <w:tc>
          <w:tcPr>
            <w:tcW w:w="1134" w:type="dxa"/>
            <w:tcBorders>
              <w:top w:val="dotted" w:sz="4" w:space="0" w:color="FFFFFF" w:themeColor="background1"/>
              <w:left w:val="dotted" w:sz="4" w:space="0" w:color="auto"/>
            </w:tcBorders>
            <w:noWrap/>
            <w:hideMark/>
          </w:tcPr>
          <w:p w14:paraId="5195AD21" w14:textId="77777777" w:rsidR="002C11DC" w:rsidRPr="00C42D19" w:rsidRDefault="002C11DC" w:rsidP="00BD1E69">
            <w:pPr>
              <w:pStyle w:val="FSRnormal"/>
              <w:spacing w:before="0" w:after="0"/>
              <w:cnfStyle w:val="100000000000" w:firstRow="1" w:lastRow="0" w:firstColumn="0" w:lastColumn="0" w:oddVBand="0" w:evenVBand="0" w:oddHBand="0" w:evenHBand="0" w:firstRowFirstColumn="0" w:firstRowLastColumn="0" w:lastRowFirstColumn="0" w:lastRowLastColumn="0"/>
              <w:rPr>
                <w:b w:val="0"/>
                <w:sz w:val="18"/>
                <w:szCs w:val="18"/>
                <w:lang w:eastAsia="zh-CN"/>
              </w:rPr>
            </w:pPr>
            <w:r w:rsidRPr="00C42D19">
              <w:rPr>
                <w:sz w:val="18"/>
                <w:szCs w:val="18"/>
                <w:lang w:eastAsia="zh-CN"/>
              </w:rPr>
              <w:t>2031-32</w:t>
            </w:r>
          </w:p>
        </w:tc>
      </w:tr>
      <w:tr w:rsidR="002C11DC" w:rsidRPr="00C42D19" w14:paraId="1E1D3B2F" w14:textId="77777777" w:rsidTr="0004693C">
        <w:trPr>
          <w:trHeight w:val="28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noWrap/>
            <w:hideMark/>
          </w:tcPr>
          <w:p w14:paraId="386D5A65" w14:textId="77777777" w:rsidR="002C11DC" w:rsidRPr="00C42D19" w:rsidRDefault="002C11DC" w:rsidP="00C42D19">
            <w:pPr>
              <w:pStyle w:val="FSRnormal"/>
              <w:spacing w:before="0" w:after="0"/>
              <w:rPr>
                <w:rFonts w:cs="Arial"/>
                <w:b/>
                <w:color w:val="000000"/>
                <w:sz w:val="18"/>
                <w:szCs w:val="18"/>
                <w:lang w:eastAsia="zh-CN"/>
              </w:rPr>
            </w:pPr>
            <w:r w:rsidRPr="00C42D19">
              <w:rPr>
                <w:rFonts w:cs="Arial"/>
                <w:b/>
                <w:color w:val="000000"/>
                <w:sz w:val="18"/>
                <w:szCs w:val="18"/>
                <w:lang w:eastAsia="zh-CN"/>
              </w:rPr>
              <w:t>2021-22 AFSR</w:t>
            </w:r>
          </w:p>
        </w:tc>
        <w:tc>
          <w:tcPr>
            <w:tcW w:w="1276" w:type="dxa"/>
            <w:shd w:val="clear" w:color="auto" w:fill="auto"/>
            <w:noWrap/>
            <w:hideMark/>
          </w:tcPr>
          <w:p w14:paraId="5631998D"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i/>
                <w:iCs/>
                <w:color w:val="000000"/>
                <w:sz w:val="18"/>
                <w:szCs w:val="18"/>
                <w:lang w:eastAsia="zh-CN"/>
              </w:rPr>
            </w:pPr>
            <w:r w:rsidRPr="00C42D19">
              <w:rPr>
                <w:rFonts w:cs="Arial"/>
                <w:i/>
                <w:iCs/>
                <w:color w:val="000000"/>
                <w:sz w:val="18"/>
                <w:szCs w:val="18"/>
                <w:lang w:eastAsia="zh-CN"/>
              </w:rPr>
              <w:t> </w:t>
            </w:r>
          </w:p>
        </w:tc>
        <w:tc>
          <w:tcPr>
            <w:tcW w:w="1134" w:type="dxa"/>
            <w:shd w:val="clear" w:color="auto" w:fill="auto"/>
            <w:noWrap/>
            <w:hideMark/>
          </w:tcPr>
          <w:p w14:paraId="47DC8D4A"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i/>
                <w:iCs/>
                <w:color w:val="000000"/>
                <w:sz w:val="18"/>
                <w:szCs w:val="18"/>
                <w:lang w:eastAsia="zh-CN"/>
              </w:rPr>
            </w:pPr>
            <w:r w:rsidRPr="00C42D19">
              <w:rPr>
                <w:rFonts w:cs="Arial"/>
                <w:i/>
                <w:iCs/>
                <w:color w:val="000000"/>
                <w:sz w:val="18"/>
                <w:szCs w:val="18"/>
                <w:lang w:eastAsia="zh-CN"/>
              </w:rPr>
              <w:t> </w:t>
            </w:r>
          </w:p>
        </w:tc>
        <w:tc>
          <w:tcPr>
            <w:tcW w:w="1134" w:type="dxa"/>
            <w:shd w:val="clear" w:color="auto" w:fill="auto"/>
            <w:noWrap/>
            <w:hideMark/>
          </w:tcPr>
          <w:p w14:paraId="73252C44"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i/>
                <w:iCs/>
                <w:color w:val="000000"/>
                <w:sz w:val="18"/>
                <w:szCs w:val="18"/>
                <w:lang w:eastAsia="zh-CN"/>
              </w:rPr>
            </w:pPr>
            <w:r w:rsidRPr="00C42D19">
              <w:rPr>
                <w:rFonts w:cs="Arial"/>
                <w:i/>
                <w:iCs/>
                <w:color w:val="000000"/>
                <w:sz w:val="18"/>
                <w:szCs w:val="18"/>
                <w:lang w:eastAsia="zh-CN"/>
              </w:rPr>
              <w:t> </w:t>
            </w:r>
          </w:p>
        </w:tc>
        <w:tc>
          <w:tcPr>
            <w:tcW w:w="992" w:type="dxa"/>
            <w:tcBorders>
              <w:right w:val="dotted" w:sz="4" w:space="0" w:color="auto"/>
            </w:tcBorders>
            <w:shd w:val="clear" w:color="auto" w:fill="auto"/>
            <w:noWrap/>
            <w:hideMark/>
          </w:tcPr>
          <w:p w14:paraId="74202B7B"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i/>
                <w:iCs/>
                <w:color w:val="000000"/>
                <w:sz w:val="18"/>
                <w:szCs w:val="18"/>
                <w:lang w:eastAsia="zh-CN"/>
              </w:rPr>
            </w:pPr>
            <w:r w:rsidRPr="00C42D19">
              <w:rPr>
                <w:rFonts w:cs="Arial"/>
                <w:i/>
                <w:iCs/>
                <w:color w:val="000000"/>
                <w:sz w:val="18"/>
                <w:szCs w:val="18"/>
                <w:lang w:eastAsia="zh-CN"/>
              </w:rPr>
              <w:t> </w:t>
            </w:r>
          </w:p>
        </w:tc>
        <w:tc>
          <w:tcPr>
            <w:tcW w:w="1134" w:type="dxa"/>
            <w:tcBorders>
              <w:left w:val="dotted" w:sz="4" w:space="0" w:color="auto"/>
            </w:tcBorders>
            <w:shd w:val="clear" w:color="auto" w:fill="auto"/>
            <w:noWrap/>
            <w:hideMark/>
          </w:tcPr>
          <w:p w14:paraId="1130F46A"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i/>
                <w:iCs/>
                <w:color w:val="000000"/>
                <w:sz w:val="18"/>
                <w:szCs w:val="18"/>
                <w:lang w:eastAsia="zh-CN"/>
              </w:rPr>
            </w:pPr>
            <w:r w:rsidRPr="00C42D19">
              <w:rPr>
                <w:rFonts w:cs="Arial"/>
                <w:i/>
                <w:iCs/>
                <w:color w:val="000000"/>
                <w:sz w:val="18"/>
                <w:szCs w:val="18"/>
                <w:lang w:eastAsia="zh-CN"/>
              </w:rPr>
              <w:t> </w:t>
            </w:r>
          </w:p>
        </w:tc>
      </w:tr>
      <w:tr w:rsidR="002C11DC" w:rsidRPr="00C42D19" w14:paraId="623581D8" w14:textId="77777777" w:rsidTr="001137BC">
        <w:trPr>
          <w:cnfStyle w:val="000000010000" w:firstRow="0" w:lastRow="0" w:firstColumn="0" w:lastColumn="0" w:oddVBand="0" w:evenVBand="0" w:oddHBand="0" w:evenHBand="1"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62744826" w14:textId="77777777" w:rsidR="002C11DC" w:rsidRPr="00C42D19" w:rsidRDefault="002C11DC" w:rsidP="00C42D19">
            <w:pPr>
              <w:pStyle w:val="FSRnormal"/>
              <w:spacing w:before="0" w:after="0"/>
              <w:rPr>
                <w:rFonts w:cs="Arial"/>
                <w:sz w:val="18"/>
                <w:szCs w:val="18"/>
                <w:lang w:eastAsia="zh-CN"/>
              </w:rPr>
            </w:pPr>
            <w:r w:rsidRPr="00C42D19">
              <w:rPr>
                <w:rFonts w:cs="Arial"/>
                <w:sz w:val="18"/>
                <w:szCs w:val="18"/>
                <w:lang w:eastAsia="zh-CN"/>
              </w:rPr>
              <w:t>Autism</w:t>
            </w:r>
          </w:p>
        </w:tc>
        <w:tc>
          <w:tcPr>
            <w:tcW w:w="1276" w:type="dxa"/>
            <w:noWrap/>
            <w:hideMark/>
          </w:tcPr>
          <w:p w14:paraId="2200BDFC"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6,777</w:t>
            </w:r>
          </w:p>
        </w:tc>
        <w:tc>
          <w:tcPr>
            <w:tcW w:w="1134" w:type="dxa"/>
            <w:noWrap/>
            <w:hideMark/>
          </w:tcPr>
          <w:p w14:paraId="118540C5"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8,166</w:t>
            </w:r>
          </w:p>
        </w:tc>
        <w:tc>
          <w:tcPr>
            <w:tcW w:w="1134" w:type="dxa"/>
            <w:noWrap/>
            <w:hideMark/>
          </w:tcPr>
          <w:p w14:paraId="40127F56"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10,091</w:t>
            </w:r>
          </w:p>
        </w:tc>
        <w:tc>
          <w:tcPr>
            <w:tcW w:w="992" w:type="dxa"/>
            <w:tcBorders>
              <w:right w:val="dotted" w:sz="4" w:space="0" w:color="auto"/>
            </w:tcBorders>
            <w:noWrap/>
            <w:hideMark/>
          </w:tcPr>
          <w:p w14:paraId="20ABE1CF"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12,255</w:t>
            </w:r>
          </w:p>
        </w:tc>
        <w:tc>
          <w:tcPr>
            <w:tcW w:w="1134" w:type="dxa"/>
            <w:tcBorders>
              <w:left w:val="dotted" w:sz="4" w:space="0" w:color="auto"/>
            </w:tcBorders>
            <w:noWrap/>
            <w:hideMark/>
          </w:tcPr>
          <w:p w14:paraId="7D027453"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29,483</w:t>
            </w:r>
          </w:p>
        </w:tc>
      </w:tr>
      <w:tr w:rsidR="002C11DC" w:rsidRPr="00C42D19" w14:paraId="457D95DD" w14:textId="77777777" w:rsidTr="0004693C">
        <w:trPr>
          <w:trHeight w:val="28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noWrap/>
            <w:hideMark/>
          </w:tcPr>
          <w:p w14:paraId="39C338AD" w14:textId="77777777" w:rsidR="002C11DC" w:rsidRPr="00C42D19" w:rsidRDefault="002C11DC" w:rsidP="00C42D19">
            <w:pPr>
              <w:pStyle w:val="FSRnormal"/>
              <w:spacing w:before="0" w:after="0"/>
              <w:rPr>
                <w:rFonts w:cs="Arial"/>
                <w:color w:val="000000"/>
                <w:sz w:val="18"/>
                <w:szCs w:val="18"/>
                <w:lang w:eastAsia="zh-CN"/>
              </w:rPr>
            </w:pPr>
            <w:r w:rsidRPr="00C42D19">
              <w:rPr>
                <w:rFonts w:cs="Arial"/>
                <w:color w:val="000000"/>
                <w:sz w:val="18"/>
                <w:szCs w:val="18"/>
                <w:lang w:eastAsia="zh-CN"/>
              </w:rPr>
              <w:t>Intellectual Disability</w:t>
            </w:r>
          </w:p>
        </w:tc>
        <w:tc>
          <w:tcPr>
            <w:tcW w:w="1276" w:type="dxa"/>
            <w:shd w:val="clear" w:color="auto" w:fill="auto"/>
            <w:noWrap/>
            <w:hideMark/>
          </w:tcPr>
          <w:p w14:paraId="11620C55"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9,754</w:t>
            </w:r>
          </w:p>
        </w:tc>
        <w:tc>
          <w:tcPr>
            <w:tcW w:w="1134" w:type="dxa"/>
            <w:shd w:val="clear" w:color="auto" w:fill="auto"/>
            <w:noWrap/>
            <w:hideMark/>
          </w:tcPr>
          <w:p w14:paraId="797FD74A"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10,599</w:t>
            </w:r>
          </w:p>
        </w:tc>
        <w:tc>
          <w:tcPr>
            <w:tcW w:w="1134" w:type="dxa"/>
            <w:shd w:val="clear" w:color="auto" w:fill="auto"/>
            <w:noWrap/>
            <w:hideMark/>
          </w:tcPr>
          <w:p w14:paraId="38733DDA"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11,975</w:t>
            </w:r>
          </w:p>
        </w:tc>
        <w:tc>
          <w:tcPr>
            <w:tcW w:w="992" w:type="dxa"/>
            <w:tcBorders>
              <w:right w:val="dotted" w:sz="4" w:space="0" w:color="auto"/>
            </w:tcBorders>
            <w:shd w:val="clear" w:color="auto" w:fill="auto"/>
            <w:noWrap/>
            <w:hideMark/>
          </w:tcPr>
          <w:p w14:paraId="3818935C"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13,401</w:t>
            </w:r>
          </w:p>
        </w:tc>
        <w:tc>
          <w:tcPr>
            <w:tcW w:w="1134" w:type="dxa"/>
            <w:tcBorders>
              <w:left w:val="dotted" w:sz="4" w:space="0" w:color="auto"/>
            </w:tcBorders>
            <w:shd w:val="clear" w:color="auto" w:fill="auto"/>
            <w:noWrap/>
            <w:hideMark/>
          </w:tcPr>
          <w:p w14:paraId="21DA0EFC"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21,291</w:t>
            </w:r>
          </w:p>
        </w:tc>
      </w:tr>
      <w:tr w:rsidR="002C11DC" w:rsidRPr="00C42D19" w14:paraId="649C2531" w14:textId="77777777" w:rsidTr="001137BC">
        <w:trPr>
          <w:cnfStyle w:val="000000010000" w:firstRow="0" w:lastRow="0" w:firstColumn="0" w:lastColumn="0" w:oddVBand="0" w:evenVBand="0" w:oddHBand="0" w:evenHBand="1"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7DEB2196" w14:textId="77777777" w:rsidR="002C11DC" w:rsidRPr="00C42D19" w:rsidRDefault="002C11DC" w:rsidP="00C42D19">
            <w:pPr>
              <w:pStyle w:val="FSRnormal"/>
              <w:spacing w:before="0" w:after="0"/>
              <w:rPr>
                <w:rFonts w:cs="Arial"/>
                <w:color w:val="000000"/>
                <w:sz w:val="18"/>
                <w:szCs w:val="18"/>
                <w:lang w:eastAsia="zh-CN"/>
              </w:rPr>
            </w:pPr>
            <w:r w:rsidRPr="00C42D19">
              <w:rPr>
                <w:rFonts w:cs="Arial"/>
                <w:color w:val="000000"/>
                <w:sz w:val="18"/>
                <w:szCs w:val="18"/>
                <w:lang w:eastAsia="zh-CN"/>
              </w:rPr>
              <w:t>Psychosocial Disability</w:t>
            </w:r>
          </w:p>
        </w:tc>
        <w:tc>
          <w:tcPr>
            <w:tcW w:w="1276" w:type="dxa"/>
            <w:noWrap/>
            <w:hideMark/>
          </w:tcPr>
          <w:p w14:paraId="407483AF"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3,940</w:t>
            </w:r>
          </w:p>
        </w:tc>
        <w:tc>
          <w:tcPr>
            <w:tcW w:w="1134" w:type="dxa"/>
            <w:noWrap/>
            <w:hideMark/>
          </w:tcPr>
          <w:p w14:paraId="50ECA4B8"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4,557</w:t>
            </w:r>
          </w:p>
        </w:tc>
        <w:tc>
          <w:tcPr>
            <w:tcW w:w="1134" w:type="dxa"/>
            <w:noWrap/>
            <w:hideMark/>
          </w:tcPr>
          <w:p w14:paraId="21780003"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5,346</w:t>
            </w:r>
          </w:p>
        </w:tc>
        <w:tc>
          <w:tcPr>
            <w:tcW w:w="992" w:type="dxa"/>
            <w:tcBorders>
              <w:right w:val="dotted" w:sz="4" w:space="0" w:color="auto"/>
            </w:tcBorders>
            <w:noWrap/>
            <w:hideMark/>
          </w:tcPr>
          <w:p w14:paraId="13A52C6A"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6,111</w:t>
            </w:r>
          </w:p>
        </w:tc>
        <w:tc>
          <w:tcPr>
            <w:tcW w:w="1134" w:type="dxa"/>
            <w:tcBorders>
              <w:left w:val="dotted" w:sz="4" w:space="0" w:color="auto"/>
            </w:tcBorders>
            <w:noWrap/>
            <w:hideMark/>
          </w:tcPr>
          <w:p w14:paraId="42A59043"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10,474</w:t>
            </w:r>
          </w:p>
        </w:tc>
      </w:tr>
      <w:tr w:rsidR="002C11DC" w:rsidRPr="00C42D19" w14:paraId="0DE1F874" w14:textId="77777777" w:rsidTr="0004693C">
        <w:trPr>
          <w:trHeight w:val="28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noWrap/>
            <w:hideMark/>
          </w:tcPr>
          <w:p w14:paraId="554BB43F" w14:textId="77777777" w:rsidR="002C11DC" w:rsidRPr="00C42D19" w:rsidRDefault="002C11DC" w:rsidP="00C42D19">
            <w:pPr>
              <w:pStyle w:val="FSRnormal"/>
              <w:spacing w:before="0" w:after="0"/>
              <w:rPr>
                <w:rFonts w:cs="Arial"/>
                <w:color w:val="000000"/>
                <w:sz w:val="18"/>
                <w:szCs w:val="18"/>
                <w:lang w:eastAsia="zh-CN"/>
              </w:rPr>
            </w:pPr>
            <w:r w:rsidRPr="00C42D19">
              <w:rPr>
                <w:rFonts w:cs="Arial"/>
                <w:color w:val="000000"/>
                <w:sz w:val="18"/>
                <w:szCs w:val="18"/>
                <w:lang w:eastAsia="zh-CN"/>
              </w:rPr>
              <w:t>Developmental Delay</w:t>
            </w:r>
          </w:p>
        </w:tc>
        <w:tc>
          <w:tcPr>
            <w:tcW w:w="1276" w:type="dxa"/>
            <w:shd w:val="clear" w:color="auto" w:fill="auto"/>
            <w:noWrap/>
            <w:hideMark/>
          </w:tcPr>
          <w:p w14:paraId="544EC0DC"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760</w:t>
            </w:r>
          </w:p>
        </w:tc>
        <w:tc>
          <w:tcPr>
            <w:tcW w:w="1134" w:type="dxa"/>
            <w:shd w:val="clear" w:color="auto" w:fill="auto"/>
            <w:noWrap/>
            <w:hideMark/>
          </w:tcPr>
          <w:p w14:paraId="6C4987F1"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835</w:t>
            </w:r>
          </w:p>
        </w:tc>
        <w:tc>
          <w:tcPr>
            <w:tcW w:w="1134" w:type="dxa"/>
            <w:shd w:val="clear" w:color="auto" w:fill="auto"/>
            <w:noWrap/>
            <w:hideMark/>
          </w:tcPr>
          <w:p w14:paraId="5BF12874"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917</w:t>
            </w:r>
          </w:p>
        </w:tc>
        <w:tc>
          <w:tcPr>
            <w:tcW w:w="992" w:type="dxa"/>
            <w:tcBorders>
              <w:right w:val="dotted" w:sz="4" w:space="0" w:color="auto"/>
            </w:tcBorders>
            <w:shd w:val="clear" w:color="auto" w:fill="auto"/>
            <w:noWrap/>
            <w:hideMark/>
          </w:tcPr>
          <w:p w14:paraId="4DA9C660"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983</w:t>
            </w:r>
          </w:p>
        </w:tc>
        <w:tc>
          <w:tcPr>
            <w:tcW w:w="1134" w:type="dxa"/>
            <w:tcBorders>
              <w:left w:val="dotted" w:sz="4" w:space="0" w:color="auto"/>
            </w:tcBorders>
            <w:shd w:val="clear" w:color="auto" w:fill="auto"/>
            <w:noWrap/>
            <w:hideMark/>
          </w:tcPr>
          <w:p w14:paraId="052C41B9"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1,197</w:t>
            </w:r>
          </w:p>
        </w:tc>
      </w:tr>
      <w:tr w:rsidR="002C11DC" w:rsidRPr="00C42D19" w14:paraId="1B290757" w14:textId="77777777" w:rsidTr="001137BC">
        <w:trPr>
          <w:cnfStyle w:val="000000010000" w:firstRow="0" w:lastRow="0" w:firstColumn="0" w:lastColumn="0" w:oddVBand="0" w:evenVBand="0" w:oddHBand="0" w:evenHBand="1"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31052DFE" w14:textId="77777777" w:rsidR="002C11DC" w:rsidRPr="00C42D19" w:rsidRDefault="002C11DC" w:rsidP="00C42D19">
            <w:pPr>
              <w:pStyle w:val="FSRnormal"/>
              <w:spacing w:before="0" w:after="0"/>
              <w:rPr>
                <w:rFonts w:cs="Arial"/>
                <w:color w:val="000000"/>
                <w:sz w:val="18"/>
                <w:szCs w:val="18"/>
                <w:lang w:eastAsia="zh-CN"/>
              </w:rPr>
            </w:pPr>
            <w:r w:rsidRPr="00C42D19">
              <w:rPr>
                <w:rFonts w:cs="Arial"/>
                <w:color w:val="000000"/>
                <w:sz w:val="18"/>
                <w:szCs w:val="18"/>
                <w:lang w:eastAsia="zh-CN"/>
              </w:rPr>
              <w:t>Sensory</w:t>
            </w:r>
          </w:p>
        </w:tc>
        <w:tc>
          <w:tcPr>
            <w:tcW w:w="1276" w:type="dxa"/>
            <w:noWrap/>
            <w:hideMark/>
          </w:tcPr>
          <w:p w14:paraId="2EC2376D"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621</w:t>
            </w:r>
          </w:p>
        </w:tc>
        <w:tc>
          <w:tcPr>
            <w:tcW w:w="1134" w:type="dxa"/>
            <w:noWrap/>
            <w:hideMark/>
          </w:tcPr>
          <w:p w14:paraId="6BD51561"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692</w:t>
            </w:r>
          </w:p>
        </w:tc>
        <w:tc>
          <w:tcPr>
            <w:tcW w:w="1134" w:type="dxa"/>
            <w:noWrap/>
            <w:hideMark/>
          </w:tcPr>
          <w:p w14:paraId="68A220B3"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792</w:t>
            </w:r>
          </w:p>
        </w:tc>
        <w:tc>
          <w:tcPr>
            <w:tcW w:w="992" w:type="dxa"/>
            <w:tcBorders>
              <w:right w:val="dotted" w:sz="4" w:space="0" w:color="auto"/>
            </w:tcBorders>
            <w:noWrap/>
            <w:hideMark/>
          </w:tcPr>
          <w:p w14:paraId="2ECD539C"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894</w:t>
            </w:r>
          </w:p>
        </w:tc>
        <w:tc>
          <w:tcPr>
            <w:tcW w:w="1134" w:type="dxa"/>
            <w:tcBorders>
              <w:left w:val="dotted" w:sz="4" w:space="0" w:color="auto"/>
            </w:tcBorders>
            <w:noWrap/>
            <w:hideMark/>
          </w:tcPr>
          <w:p w14:paraId="160D66AF"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1,466</w:t>
            </w:r>
          </w:p>
        </w:tc>
      </w:tr>
      <w:tr w:rsidR="002C11DC" w:rsidRPr="00C42D19" w14:paraId="6B508FEF" w14:textId="77777777" w:rsidTr="0004693C">
        <w:trPr>
          <w:trHeight w:val="280"/>
        </w:trPr>
        <w:tc>
          <w:tcPr>
            <w:cnfStyle w:val="001000000000" w:firstRow="0" w:lastRow="0" w:firstColumn="1" w:lastColumn="0" w:oddVBand="0" w:evenVBand="0" w:oddHBand="0" w:evenHBand="0" w:firstRowFirstColumn="0" w:firstRowLastColumn="0" w:lastRowFirstColumn="0" w:lastRowLastColumn="0"/>
            <w:tcW w:w="3397" w:type="dxa"/>
            <w:tcBorders>
              <w:bottom w:val="single" w:sz="4" w:space="0" w:color="auto"/>
            </w:tcBorders>
            <w:shd w:val="clear" w:color="auto" w:fill="auto"/>
            <w:noWrap/>
            <w:hideMark/>
          </w:tcPr>
          <w:p w14:paraId="100B5E30" w14:textId="77777777" w:rsidR="002C11DC" w:rsidRPr="00C42D19" w:rsidRDefault="002C11DC" w:rsidP="00C42D19">
            <w:pPr>
              <w:pStyle w:val="FSRnormal"/>
              <w:spacing w:before="0" w:after="0"/>
              <w:rPr>
                <w:rFonts w:cs="Arial"/>
                <w:color w:val="000000"/>
                <w:sz w:val="18"/>
                <w:szCs w:val="18"/>
                <w:lang w:eastAsia="zh-CN"/>
              </w:rPr>
            </w:pPr>
            <w:r w:rsidRPr="00C42D19">
              <w:rPr>
                <w:rFonts w:cs="Arial"/>
                <w:color w:val="000000"/>
                <w:sz w:val="18"/>
                <w:szCs w:val="18"/>
                <w:lang w:eastAsia="zh-CN"/>
              </w:rPr>
              <w:t>Other</w:t>
            </w:r>
          </w:p>
        </w:tc>
        <w:tc>
          <w:tcPr>
            <w:tcW w:w="1276" w:type="dxa"/>
            <w:tcBorders>
              <w:bottom w:val="single" w:sz="4" w:space="0" w:color="auto"/>
            </w:tcBorders>
            <w:shd w:val="clear" w:color="auto" w:fill="auto"/>
            <w:noWrap/>
            <w:hideMark/>
          </w:tcPr>
          <w:p w14:paraId="1F291927"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11,624</w:t>
            </w:r>
          </w:p>
        </w:tc>
        <w:tc>
          <w:tcPr>
            <w:tcW w:w="1134" w:type="dxa"/>
            <w:tcBorders>
              <w:bottom w:val="single" w:sz="4" w:space="0" w:color="auto"/>
            </w:tcBorders>
            <w:shd w:val="clear" w:color="auto" w:fill="auto"/>
            <w:noWrap/>
            <w:hideMark/>
          </w:tcPr>
          <w:p w14:paraId="06B6AC1D"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12,719</w:t>
            </w:r>
          </w:p>
        </w:tc>
        <w:tc>
          <w:tcPr>
            <w:tcW w:w="1134" w:type="dxa"/>
            <w:tcBorders>
              <w:bottom w:val="single" w:sz="4" w:space="0" w:color="auto"/>
            </w:tcBorders>
            <w:shd w:val="clear" w:color="auto" w:fill="auto"/>
            <w:noWrap/>
            <w:hideMark/>
          </w:tcPr>
          <w:p w14:paraId="28F577D4"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14,342</w:t>
            </w:r>
          </w:p>
        </w:tc>
        <w:tc>
          <w:tcPr>
            <w:tcW w:w="992" w:type="dxa"/>
            <w:tcBorders>
              <w:bottom w:val="single" w:sz="4" w:space="0" w:color="auto"/>
              <w:right w:val="dotted" w:sz="4" w:space="0" w:color="auto"/>
            </w:tcBorders>
            <w:shd w:val="clear" w:color="auto" w:fill="auto"/>
            <w:noWrap/>
            <w:hideMark/>
          </w:tcPr>
          <w:p w14:paraId="6C02C8B2"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15,955</w:t>
            </w:r>
          </w:p>
        </w:tc>
        <w:tc>
          <w:tcPr>
            <w:tcW w:w="1134" w:type="dxa"/>
            <w:tcBorders>
              <w:left w:val="dotted" w:sz="4" w:space="0" w:color="auto"/>
              <w:bottom w:val="single" w:sz="4" w:space="0" w:color="auto"/>
            </w:tcBorders>
            <w:shd w:val="clear" w:color="auto" w:fill="auto"/>
            <w:noWrap/>
            <w:hideMark/>
          </w:tcPr>
          <w:p w14:paraId="41DA35D9"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24,177</w:t>
            </w:r>
          </w:p>
        </w:tc>
      </w:tr>
      <w:tr w:rsidR="002C11DC" w:rsidRPr="003F067F" w14:paraId="57F780AA" w14:textId="77777777" w:rsidTr="00DA3F73">
        <w:trPr>
          <w:cnfStyle w:val="000000010000" w:firstRow="0" w:lastRow="0" w:firstColumn="0" w:lastColumn="0" w:oddVBand="0" w:evenVBand="0" w:oddHBand="0" w:evenHBand="1"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bottom w:val="single" w:sz="4" w:space="0" w:color="auto"/>
            </w:tcBorders>
            <w:shd w:val="clear" w:color="auto" w:fill="D4C5D7"/>
            <w:noWrap/>
            <w:hideMark/>
          </w:tcPr>
          <w:p w14:paraId="0CAEB651" w14:textId="77777777" w:rsidR="002C11DC" w:rsidRPr="00DA3F73" w:rsidRDefault="002C11DC" w:rsidP="00C42D19">
            <w:pPr>
              <w:pStyle w:val="FSRnormal"/>
              <w:spacing w:before="0" w:after="0"/>
              <w:rPr>
                <w:rFonts w:cs="Arial"/>
                <w:b/>
                <w:color w:val="000000"/>
                <w:sz w:val="18"/>
                <w:szCs w:val="18"/>
                <w:lang w:eastAsia="zh-CN"/>
              </w:rPr>
            </w:pPr>
            <w:r w:rsidRPr="00DA3F73">
              <w:rPr>
                <w:rFonts w:cs="Arial"/>
                <w:b/>
                <w:color w:val="000000"/>
                <w:sz w:val="18"/>
                <w:szCs w:val="18"/>
                <w:lang w:eastAsia="zh-CN"/>
              </w:rPr>
              <w:t>Total</w:t>
            </w:r>
          </w:p>
        </w:tc>
        <w:tc>
          <w:tcPr>
            <w:tcW w:w="1276" w:type="dxa"/>
            <w:tcBorders>
              <w:top w:val="single" w:sz="4" w:space="0" w:color="auto"/>
              <w:bottom w:val="single" w:sz="4" w:space="0" w:color="auto"/>
            </w:tcBorders>
            <w:shd w:val="clear" w:color="auto" w:fill="D4C5D7"/>
            <w:noWrap/>
            <w:hideMark/>
          </w:tcPr>
          <w:p w14:paraId="259509E2" w14:textId="77777777" w:rsidR="002C11DC" w:rsidRPr="00DA3F73"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DA3F73">
              <w:rPr>
                <w:rFonts w:cs="Arial"/>
                <w:b/>
                <w:color w:val="000000"/>
                <w:sz w:val="18"/>
                <w:szCs w:val="18"/>
                <w:lang w:eastAsia="zh-CN"/>
              </w:rPr>
              <w:t>33,475</w:t>
            </w:r>
          </w:p>
        </w:tc>
        <w:tc>
          <w:tcPr>
            <w:tcW w:w="1134" w:type="dxa"/>
            <w:tcBorders>
              <w:top w:val="single" w:sz="4" w:space="0" w:color="auto"/>
              <w:bottom w:val="single" w:sz="4" w:space="0" w:color="auto"/>
            </w:tcBorders>
            <w:shd w:val="clear" w:color="auto" w:fill="D4C5D7"/>
            <w:noWrap/>
            <w:hideMark/>
          </w:tcPr>
          <w:p w14:paraId="61A8EF60" w14:textId="77777777" w:rsidR="002C11DC" w:rsidRPr="00DA3F73"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DA3F73">
              <w:rPr>
                <w:rFonts w:cs="Arial"/>
                <w:b/>
                <w:color w:val="000000"/>
                <w:sz w:val="18"/>
                <w:szCs w:val="18"/>
                <w:lang w:eastAsia="zh-CN"/>
              </w:rPr>
              <w:t>37,568</w:t>
            </w:r>
          </w:p>
        </w:tc>
        <w:tc>
          <w:tcPr>
            <w:tcW w:w="1134" w:type="dxa"/>
            <w:tcBorders>
              <w:top w:val="single" w:sz="4" w:space="0" w:color="auto"/>
              <w:bottom w:val="single" w:sz="4" w:space="0" w:color="auto"/>
            </w:tcBorders>
            <w:shd w:val="clear" w:color="auto" w:fill="D4C5D7"/>
            <w:noWrap/>
            <w:hideMark/>
          </w:tcPr>
          <w:p w14:paraId="28F432A2" w14:textId="77777777" w:rsidR="002C11DC" w:rsidRPr="00DA3F73"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DA3F73">
              <w:rPr>
                <w:rFonts w:cs="Arial"/>
                <w:b/>
                <w:color w:val="000000"/>
                <w:sz w:val="18"/>
                <w:szCs w:val="18"/>
                <w:lang w:eastAsia="zh-CN"/>
              </w:rPr>
              <w:t>43,463</w:t>
            </w:r>
          </w:p>
        </w:tc>
        <w:tc>
          <w:tcPr>
            <w:tcW w:w="992" w:type="dxa"/>
            <w:tcBorders>
              <w:top w:val="single" w:sz="4" w:space="0" w:color="auto"/>
              <w:bottom w:val="single" w:sz="4" w:space="0" w:color="auto"/>
              <w:right w:val="dotted" w:sz="4" w:space="0" w:color="auto"/>
            </w:tcBorders>
            <w:shd w:val="clear" w:color="auto" w:fill="D4C5D7"/>
            <w:noWrap/>
            <w:hideMark/>
          </w:tcPr>
          <w:p w14:paraId="3B4734E3" w14:textId="77777777" w:rsidR="002C11DC" w:rsidRPr="00DA3F73"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DA3F73">
              <w:rPr>
                <w:rFonts w:cs="Arial"/>
                <w:b/>
                <w:color w:val="000000"/>
                <w:sz w:val="18"/>
                <w:szCs w:val="18"/>
                <w:lang w:eastAsia="zh-CN"/>
              </w:rPr>
              <w:t>49,599</w:t>
            </w:r>
          </w:p>
        </w:tc>
        <w:tc>
          <w:tcPr>
            <w:tcW w:w="1134" w:type="dxa"/>
            <w:tcBorders>
              <w:top w:val="single" w:sz="4" w:space="0" w:color="auto"/>
              <w:left w:val="dotted" w:sz="4" w:space="0" w:color="auto"/>
              <w:bottom w:val="single" w:sz="4" w:space="0" w:color="auto"/>
            </w:tcBorders>
            <w:shd w:val="clear" w:color="auto" w:fill="D4C5D7"/>
            <w:noWrap/>
            <w:hideMark/>
          </w:tcPr>
          <w:p w14:paraId="35C4BF9B" w14:textId="77777777" w:rsidR="002C11DC" w:rsidRPr="00DA3F73"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DA3F73">
              <w:rPr>
                <w:rFonts w:cs="Arial"/>
                <w:b/>
                <w:color w:val="000000"/>
                <w:sz w:val="18"/>
                <w:szCs w:val="18"/>
                <w:lang w:eastAsia="zh-CN"/>
              </w:rPr>
              <w:t>88,089</w:t>
            </w:r>
          </w:p>
        </w:tc>
      </w:tr>
      <w:tr w:rsidR="002C11DC" w:rsidRPr="00C42D19" w14:paraId="5B873F41" w14:textId="77777777" w:rsidTr="00DA3F73">
        <w:trPr>
          <w:trHeight w:val="28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tcBorders>
            <w:shd w:val="clear" w:color="auto" w:fill="BFBFBF" w:themeFill="background1" w:themeFillShade="BF"/>
            <w:noWrap/>
            <w:hideMark/>
          </w:tcPr>
          <w:p w14:paraId="4D0FCE0D" w14:textId="77777777" w:rsidR="002C11DC" w:rsidRPr="00C42D19" w:rsidRDefault="002C11DC" w:rsidP="00C42D19">
            <w:pPr>
              <w:pStyle w:val="FSRnormal"/>
              <w:spacing w:before="0" w:after="0"/>
              <w:rPr>
                <w:rFonts w:cs="Arial"/>
                <w:b/>
                <w:color w:val="000000"/>
                <w:sz w:val="18"/>
                <w:szCs w:val="18"/>
                <w:lang w:eastAsia="zh-CN"/>
              </w:rPr>
            </w:pPr>
            <w:r w:rsidRPr="00C42D19">
              <w:rPr>
                <w:rFonts w:cs="Arial"/>
                <w:b/>
                <w:color w:val="000000"/>
                <w:sz w:val="18"/>
                <w:szCs w:val="18"/>
                <w:lang w:eastAsia="zh-CN"/>
              </w:rPr>
              <w:t>2020-21 AFSR</w:t>
            </w:r>
          </w:p>
        </w:tc>
        <w:tc>
          <w:tcPr>
            <w:tcW w:w="1276" w:type="dxa"/>
            <w:tcBorders>
              <w:top w:val="single" w:sz="4" w:space="0" w:color="auto"/>
            </w:tcBorders>
            <w:shd w:val="clear" w:color="auto" w:fill="BFBFBF" w:themeFill="background1" w:themeFillShade="BF"/>
            <w:noWrap/>
            <w:hideMark/>
          </w:tcPr>
          <w:p w14:paraId="7260AFD2"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i/>
                <w:iCs/>
                <w:color w:val="000000"/>
                <w:sz w:val="18"/>
                <w:szCs w:val="18"/>
                <w:lang w:eastAsia="zh-CN"/>
              </w:rPr>
            </w:pPr>
            <w:r w:rsidRPr="00C42D19">
              <w:rPr>
                <w:rFonts w:cs="Arial"/>
                <w:i/>
                <w:iCs/>
                <w:color w:val="000000"/>
                <w:sz w:val="18"/>
                <w:szCs w:val="18"/>
                <w:lang w:eastAsia="zh-CN"/>
              </w:rPr>
              <w:t> </w:t>
            </w:r>
          </w:p>
        </w:tc>
        <w:tc>
          <w:tcPr>
            <w:tcW w:w="1134" w:type="dxa"/>
            <w:tcBorders>
              <w:top w:val="single" w:sz="4" w:space="0" w:color="auto"/>
            </w:tcBorders>
            <w:shd w:val="clear" w:color="auto" w:fill="BFBFBF" w:themeFill="background1" w:themeFillShade="BF"/>
            <w:noWrap/>
            <w:hideMark/>
          </w:tcPr>
          <w:p w14:paraId="02460919"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i/>
                <w:iCs/>
                <w:color w:val="000000"/>
                <w:sz w:val="18"/>
                <w:szCs w:val="18"/>
                <w:lang w:eastAsia="zh-CN"/>
              </w:rPr>
            </w:pPr>
            <w:r w:rsidRPr="00C42D19">
              <w:rPr>
                <w:rFonts w:cs="Arial"/>
                <w:i/>
                <w:iCs/>
                <w:color w:val="000000"/>
                <w:sz w:val="18"/>
                <w:szCs w:val="18"/>
                <w:lang w:eastAsia="zh-CN"/>
              </w:rPr>
              <w:t> </w:t>
            </w:r>
          </w:p>
        </w:tc>
        <w:tc>
          <w:tcPr>
            <w:tcW w:w="1134" w:type="dxa"/>
            <w:tcBorders>
              <w:top w:val="single" w:sz="4" w:space="0" w:color="auto"/>
            </w:tcBorders>
            <w:shd w:val="clear" w:color="auto" w:fill="BFBFBF" w:themeFill="background1" w:themeFillShade="BF"/>
            <w:noWrap/>
            <w:hideMark/>
          </w:tcPr>
          <w:p w14:paraId="53D7B6A8"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i/>
                <w:iCs/>
                <w:color w:val="000000"/>
                <w:sz w:val="18"/>
                <w:szCs w:val="18"/>
                <w:lang w:eastAsia="zh-CN"/>
              </w:rPr>
            </w:pPr>
            <w:r w:rsidRPr="00C42D19">
              <w:rPr>
                <w:rFonts w:cs="Arial"/>
                <w:i/>
                <w:iCs/>
                <w:color w:val="000000"/>
                <w:sz w:val="18"/>
                <w:szCs w:val="18"/>
                <w:lang w:eastAsia="zh-CN"/>
              </w:rPr>
              <w:t> </w:t>
            </w:r>
          </w:p>
        </w:tc>
        <w:tc>
          <w:tcPr>
            <w:tcW w:w="992" w:type="dxa"/>
            <w:tcBorders>
              <w:top w:val="single" w:sz="4" w:space="0" w:color="auto"/>
              <w:right w:val="dotted" w:sz="4" w:space="0" w:color="auto"/>
            </w:tcBorders>
            <w:shd w:val="clear" w:color="auto" w:fill="BFBFBF" w:themeFill="background1" w:themeFillShade="BF"/>
            <w:noWrap/>
            <w:hideMark/>
          </w:tcPr>
          <w:p w14:paraId="15873C2E"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i/>
                <w:iCs/>
                <w:color w:val="000000"/>
                <w:sz w:val="18"/>
                <w:szCs w:val="18"/>
                <w:lang w:eastAsia="zh-CN"/>
              </w:rPr>
            </w:pPr>
            <w:r w:rsidRPr="00C42D19">
              <w:rPr>
                <w:rFonts w:cs="Arial"/>
                <w:i/>
                <w:iCs/>
                <w:color w:val="000000"/>
                <w:sz w:val="18"/>
                <w:szCs w:val="18"/>
                <w:lang w:eastAsia="zh-CN"/>
              </w:rPr>
              <w:t> </w:t>
            </w:r>
          </w:p>
        </w:tc>
        <w:tc>
          <w:tcPr>
            <w:tcW w:w="1134" w:type="dxa"/>
            <w:tcBorders>
              <w:top w:val="single" w:sz="4" w:space="0" w:color="auto"/>
              <w:left w:val="dotted" w:sz="4" w:space="0" w:color="auto"/>
            </w:tcBorders>
            <w:shd w:val="clear" w:color="auto" w:fill="BFBFBF" w:themeFill="background1" w:themeFillShade="BF"/>
            <w:noWrap/>
            <w:hideMark/>
          </w:tcPr>
          <w:p w14:paraId="001C5F78"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i/>
                <w:iCs/>
                <w:color w:val="000000"/>
                <w:sz w:val="18"/>
                <w:szCs w:val="18"/>
                <w:lang w:eastAsia="zh-CN"/>
              </w:rPr>
            </w:pPr>
            <w:r w:rsidRPr="00C42D19">
              <w:rPr>
                <w:rFonts w:cs="Arial"/>
                <w:i/>
                <w:iCs/>
                <w:color w:val="000000"/>
                <w:sz w:val="18"/>
                <w:szCs w:val="18"/>
                <w:lang w:eastAsia="zh-CN"/>
              </w:rPr>
              <w:t> </w:t>
            </w:r>
          </w:p>
        </w:tc>
      </w:tr>
      <w:tr w:rsidR="002C11DC" w:rsidRPr="00C42D19" w14:paraId="6D979E9F" w14:textId="77777777" w:rsidTr="00DA3F73">
        <w:trPr>
          <w:cnfStyle w:val="000000010000" w:firstRow="0" w:lastRow="0" w:firstColumn="0" w:lastColumn="0" w:oddVBand="0" w:evenVBand="0" w:oddHBand="0" w:evenHBand="1"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noWrap/>
            <w:hideMark/>
          </w:tcPr>
          <w:p w14:paraId="6E929773" w14:textId="77777777" w:rsidR="002C11DC" w:rsidRPr="00C42D19" w:rsidRDefault="002C11DC" w:rsidP="00C42D19">
            <w:pPr>
              <w:pStyle w:val="FSRnormal"/>
              <w:spacing w:before="0" w:after="0"/>
              <w:rPr>
                <w:rFonts w:cs="Arial"/>
                <w:color w:val="000000"/>
                <w:sz w:val="18"/>
                <w:szCs w:val="18"/>
                <w:lang w:eastAsia="zh-CN"/>
              </w:rPr>
            </w:pPr>
            <w:r w:rsidRPr="00C42D19">
              <w:rPr>
                <w:rFonts w:cs="Arial"/>
                <w:color w:val="000000"/>
                <w:sz w:val="18"/>
                <w:szCs w:val="18"/>
                <w:lang w:eastAsia="zh-CN"/>
              </w:rPr>
              <w:t>Autism</w:t>
            </w:r>
          </w:p>
        </w:tc>
        <w:tc>
          <w:tcPr>
            <w:tcW w:w="1276" w:type="dxa"/>
            <w:shd w:val="clear" w:color="auto" w:fill="auto"/>
            <w:noWrap/>
            <w:hideMark/>
          </w:tcPr>
          <w:p w14:paraId="08C90227"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7,216</w:t>
            </w:r>
          </w:p>
        </w:tc>
        <w:tc>
          <w:tcPr>
            <w:tcW w:w="1134" w:type="dxa"/>
            <w:shd w:val="clear" w:color="auto" w:fill="auto"/>
            <w:noWrap/>
            <w:hideMark/>
          </w:tcPr>
          <w:p w14:paraId="226450E3"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8,545</w:t>
            </w:r>
          </w:p>
        </w:tc>
        <w:tc>
          <w:tcPr>
            <w:tcW w:w="1134" w:type="dxa"/>
            <w:shd w:val="clear" w:color="auto" w:fill="auto"/>
            <w:noWrap/>
            <w:hideMark/>
          </w:tcPr>
          <w:p w14:paraId="7D7FC936"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9,797</w:t>
            </w:r>
          </w:p>
        </w:tc>
        <w:tc>
          <w:tcPr>
            <w:tcW w:w="992" w:type="dxa"/>
            <w:tcBorders>
              <w:right w:val="dotted" w:sz="4" w:space="0" w:color="auto"/>
            </w:tcBorders>
            <w:shd w:val="clear" w:color="auto" w:fill="auto"/>
            <w:noWrap/>
            <w:hideMark/>
          </w:tcPr>
          <w:p w14:paraId="2A571807"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11,072</w:t>
            </w:r>
          </w:p>
        </w:tc>
        <w:tc>
          <w:tcPr>
            <w:tcW w:w="1134" w:type="dxa"/>
            <w:tcBorders>
              <w:left w:val="dotted" w:sz="4" w:space="0" w:color="auto"/>
            </w:tcBorders>
            <w:shd w:val="clear" w:color="auto" w:fill="auto"/>
            <w:noWrap/>
            <w:hideMark/>
          </w:tcPr>
          <w:p w14:paraId="6A417E4F"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21,794</w:t>
            </w:r>
          </w:p>
        </w:tc>
      </w:tr>
      <w:tr w:rsidR="002C11DC" w:rsidRPr="00C42D19" w14:paraId="20BAF8DD" w14:textId="77777777" w:rsidTr="00DA3F73">
        <w:trPr>
          <w:trHeight w:val="280"/>
        </w:trPr>
        <w:tc>
          <w:tcPr>
            <w:cnfStyle w:val="001000000000" w:firstRow="0" w:lastRow="0" w:firstColumn="1" w:lastColumn="0" w:oddVBand="0" w:evenVBand="0" w:oddHBand="0" w:evenHBand="0" w:firstRowFirstColumn="0" w:firstRowLastColumn="0" w:lastRowFirstColumn="0" w:lastRowLastColumn="0"/>
            <w:tcW w:w="3397" w:type="dxa"/>
            <w:shd w:val="clear" w:color="auto" w:fill="BFBFBF" w:themeFill="background1" w:themeFillShade="BF"/>
            <w:noWrap/>
            <w:hideMark/>
          </w:tcPr>
          <w:p w14:paraId="6CAD389D" w14:textId="77777777" w:rsidR="002C11DC" w:rsidRPr="00C42D19" w:rsidRDefault="002C11DC" w:rsidP="00C42D19">
            <w:pPr>
              <w:pStyle w:val="FSRnormal"/>
              <w:spacing w:before="0" w:after="0"/>
              <w:rPr>
                <w:rFonts w:cs="Arial"/>
                <w:color w:val="000000"/>
                <w:sz w:val="18"/>
                <w:szCs w:val="18"/>
                <w:lang w:eastAsia="zh-CN"/>
              </w:rPr>
            </w:pPr>
            <w:r w:rsidRPr="00C42D19">
              <w:rPr>
                <w:rFonts w:cs="Arial"/>
                <w:color w:val="000000"/>
                <w:sz w:val="18"/>
                <w:szCs w:val="18"/>
                <w:lang w:eastAsia="zh-CN"/>
              </w:rPr>
              <w:t>Intellectual Disability</w:t>
            </w:r>
          </w:p>
        </w:tc>
        <w:tc>
          <w:tcPr>
            <w:tcW w:w="1276" w:type="dxa"/>
            <w:shd w:val="clear" w:color="auto" w:fill="BFBFBF" w:themeFill="background1" w:themeFillShade="BF"/>
            <w:noWrap/>
            <w:hideMark/>
          </w:tcPr>
          <w:p w14:paraId="4C61CCCE"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9,838</w:t>
            </w:r>
          </w:p>
        </w:tc>
        <w:tc>
          <w:tcPr>
            <w:tcW w:w="1134" w:type="dxa"/>
            <w:shd w:val="clear" w:color="auto" w:fill="BFBFBF" w:themeFill="background1" w:themeFillShade="BF"/>
            <w:noWrap/>
            <w:hideMark/>
          </w:tcPr>
          <w:p w14:paraId="5EFAD8B8"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10,670</w:t>
            </w:r>
          </w:p>
        </w:tc>
        <w:tc>
          <w:tcPr>
            <w:tcW w:w="1134" w:type="dxa"/>
            <w:shd w:val="clear" w:color="auto" w:fill="BFBFBF" w:themeFill="background1" w:themeFillShade="BF"/>
            <w:noWrap/>
            <w:hideMark/>
          </w:tcPr>
          <w:p w14:paraId="5858FB89"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11,376</w:t>
            </w:r>
          </w:p>
        </w:tc>
        <w:tc>
          <w:tcPr>
            <w:tcW w:w="992" w:type="dxa"/>
            <w:tcBorders>
              <w:right w:val="dotted" w:sz="4" w:space="0" w:color="auto"/>
            </w:tcBorders>
            <w:shd w:val="clear" w:color="auto" w:fill="BFBFBF" w:themeFill="background1" w:themeFillShade="BF"/>
            <w:noWrap/>
            <w:hideMark/>
          </w:tcPr>
          <w:p w14:paraId="68B697CD"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12,044</w:t>
            </w:r>
          </w:p>
        </w:tc>
        <w:tc>
          <w:tcPr>
            <w:tcW w:w="1134" w:type="dxa"/>
            <w:tcBorders>
              <w:left w:val="dotted" w:sz="4" w:space="0" w:color="auto"/>
            </w:tcBorders>
            <w:shd w:val="clear" w:color="auto" w:fill="BFBFBF" w:themeFill="background1" w:themeFillShade="BF"/>
            <w:noWrap/>
            <w:hideMark/>
          </w:tcPr>
          <w:p w14:paraId="3FEA75EE"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16,748</w:t>
            </w:r>
          </w:p>
        </w:tc>
      </w:tr>
      <w:tr w:rsidR="002C11DC" w:rsidRPr="00C42D19" w14:paraId="7D86A860" w14:textId="77777777" w:rsidTr="00DA3F73">
        <w:trPr>
          <w:cnfStyle w:val="000000010000" w:firstRow="0" w:lastRow="0" w:firstColumn="0" w:lastColumn="0" w:oddVBand="0" w:evenVBand="0" w:oddHBand="0" w:evenHBand="1"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noWrap/>
            <w:hideMark/>
          </w:tcPr>
          <w:p w14:paraId="3FEA021D" w14:textId="77777777" w:rsidR="002C11DC" w:rsidRPr="00C42D19" w:rsidRDefault="002C11DC" w:rsidP="00C42D19">
            <w:pPr>
              <w:pStyle w:val="FSRnormal"/>
              <w:spacing w:before="0" w:after="0"/>
              <w:rPr>
                <w:rFonts w:cs="Arial"/>
                <w:color w:val="000000"/>
                <w:sz w:val="18"/>
                <w:szCs w:val="18"/>
                <w:lang w:eastAsia="zh-CN"/>
              </w:rPr>
            </w:pPr>
            <w:r w:rsidRPr="00C42D19">
              <w:rPr>
                <w:rFonts w:cs="Arial"/>
                <w:color w:val="000000"/>
                <w:sz w:val="18"/>
                <w:szCs w:val="18"/>
                <w:lang w:eastAsia="zh-CN"/>
              </w:rPr>
              <w:t>Psychosocial Disability</w:t>
            </w:r>
          </w:p>
        </w:tc>
        <w:tc>
          <w:tcPr>
            <w:tcW w:w="1276" w:type="dxa"/>
            <w:shd w:val="clear" w:color="auto" w:fill="auto"/>
            <w:noWrap/>
            <w:hideMark/>
          </w:tcPr>
          <w:p w14:paraId="0F5FE57C"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3,744</w:t>
            </w:r>
          </w:p>
        </w:tc>
        <w:tc>
          <w:tcPr>
            <w:tcW w:w="1134" w:type="dxa"/>
            <w:shd w:val="clear" w:color="auto" w:fill="auto"/>
            <w:noWrap/>
            <w:hideMark/>
          </w:tcPr>
          <w:p w14:paraId="6CF37C71"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4,290</w:t>
            </w:r>
          </w:p>
        </w:tc>
        <w:tc>
          <w:tcPr>
            <w:tcW w:w="1134" w:type="dxa"/>
            <w:shd w:val="clear" w:color="auto" w:fill="auto"/>
            <w:noWrap/>
            <w:hideMark/>
          </w:tcPr>
          <w:p w14:paraId="53F9F64F"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4,716</w:t>
            </w:r>
          </w:p>
        </w:tc>
        <w:tc>
          <w:tcPr>
            <w:tcW w:w="992" w:type="dxa"/>
            <w:tcBorders>
              <w:right w:val="dotted" w:sz="4" w:space="0" w:color="auto"/>
            </w:tcBorders>
            <w:shd w:val="clear" w:color="auto" w:fill="auto"/>
            <w:noWrap/>
            <w:hideMark/>
          </w:tcPr>
          <w:p w14:paraId="376B06E5"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5,104</w:t>
            </w:r>
          </w:p>
        </w:tc>
        <w:tc>
          <w:tcPr>
            <w:tcW w:w="1134" w:type="dxa"/>
            <w:tcBorders>
              <w:left w:val="dotted" w:sz="4" w:space="0" w:color="auto"/>
            </w:tcBorders>
            <w:shd w:val="clear" w:color="auto" w:fill="auto"/>
            <w:noWrap/>
            <w:hideMark/>
          </w:tcPr>
          <w:p w14:paraId="1FF46300"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7,775</w:t>
            </w:r>
          </w:p>
        </w:tc>
      </w:tr>
      <w:tr w:rsidR="002C11DC" w:rsidRPr="00C42D19" w14:paraId="56AD6B74" w14:textId="77777777" w:rsidTr="00DA3F73">
        <w:trPr>
          <w:trHeight w:val="280"/>
        </w:trPr>
        <w:tc>
          <w:tcPr>
            <w:cnfStyle w:val="001000000000" w:firstRow="0" w:lastRow="0" w:firstColumn="1" w:lastColumn="0" w:oddVBand="0" w:evenVBand="0" w:oddHBand="0" w:evenHBand="0" w:firstRowFirstColumn="0" w:firstRowLastColumn="0" w:lastRowFirstColumn="0" w:lastRowLastColumn="0"/>
            <w:tcW w:w="3397" w:type="dxa"/>
            <w:shd w:val="clear" w:color="auto" w:fill="BFBFBF" w:themeFill="background1" w:themeFillShade="BF"/>
            <w:noWrap/>
            <w:hideMark/>
          </w:tcPr>
          <w:p w14:paraId="31F65F9D" w14:textId="77777777" w:rsidR="002C11DC" w:rsidRPr="00C42D19" w:rsidRDefault="002C11DC" w:rsidP="00C42D19">
            <w:pPr>
              <w:pStyle w:val="FSRnormal"/>
              <w:spacing w:before="0" w:after="0"/>
              <w:rPr>
                <w:rFonts w:cs="Arial"/>
                <w:color w:val="000000"/>
                <w:sz w:val="18"/>
                <w:szCs w:val="18"/>
                <w:lang w:eastAsia="zh-CN"/>
              </w:rPr>
            </w:pPr>
            <w:r w:rsidRPr="00C42D19">
              <w:rPr>
                <w:rFonts w:cs="Arial"/>
                <w:color w:val="000000"/>
                <w:sz w:val="18"/>
                <w:szCs w:val="18"/>
                <w:lang w:eastAsia="zh-CN"/>
              </w:rPr>
              <w:t>Developmental Delay</w:t>
            </w:r>
          </w:p>
        </w:tc>
        <w:tc>
          <w:tcPr>
            <w:tcW w:w="1276" w:type="dxa"/>
            <w:shd w:val="clear" w:color="auto" w:fill="BFBFBF" w:themeFill="background1" w:themeFillShade="BF"/>
            <w:noWrap/>
            <w:hideMark/>
          </w:tcPr>
          <w:p w14:paraId="53BEE3E0"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857</w:t>
            </w:r>
          </w:p>
        </w:tc>
        <w:tc>
          <w:tcPr>
            <w:tcW w:w="1134" w:type="dxa"/>
            <w:shd w:val="clear" w:color="auto" w:fill="BFBFBF" w:themeFill="background1" w:themeFillShade="BF"/>
            <w:noWrap/>
            <w:hideMark/>
          </w:tcPr>
          <w:p w14:paraId="5D38DA0C"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1,013</w:t>
            </w:r>
          </w:p>
        </w:tc>
        <w:tc>
          <w:tcPr>
            <w:tcW w:w="1134" w:type="dxa"/>
            <w:shd w:val="clear" w:color="auto" w:fill="BFBFBF" w:themeFill="background1" w:themeFillShade="BF"/>
            <w:noWrap/>
            <w:hideMark/>
          </w:tcPr>
          <w:p w14:paraId="6911D7BF"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1,113</w:t>
            </w:r>
          </w:p>
        </w:tc>
        <w:tc>
          <w:tcPr>
            <w:tcW w:w="992" w:type="dxa"/>
            <w:tcBorders>
              <w:right w:val="dotted" w:sz="4" w:space="0" w:color="auto"/>
            </w:tcBorders>
            <w:shd w:val="clear" w:color="auto" w:fill="BFBFBF" w:themeFill="background1" w:themeFillShade="BF"/>
            <w:noWrap/>
            <w:hideMark/>
          </w:tcPr>
          <w:p w14:paraId="6C8EAEF9"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1,171</w:t>
            </w:r>
          </w:p>
        </w:tc>
        <w:tc>
          <w:tcPr>
            <w:tcW w:w="1134" w:type="dxa"/>
            <w:tcBorders>
              <w:left w:val="dotted" w:sz="4" w:space="0" w:color="auto"/>
            </w:tcBorders>
            <w:shd w:val="clear" w:color="auto" w:fill="BFBFBF" w:themeFill="background1" w:themeFillShade="BF"/>
            <w:noWrap/>
            <w:hideMark/>
          </w:tcPr>
          <w:p w14:paraId="38DB7893"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1,303</w:t>
            </w:r>
          </w:p>
        </w:tc>
      </w:tr>
      <w:tr w:rsidR="002C11DC" w:rsidRPr="00C42D19" w14:paraId="18510EA6" w14:textId="77777777" w:rsidTr="00DA3F73">
        <w:trPr>
          <w:cnfStyle w:val="000000010000" w:firstRow="0" w:lastRow="0" w:firstColumn="0" w:lastColumn="0" w:oddVBand="0" w:evenVBand="0" w:oddHBand="0" w:evenHBand="1"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noWrap/>
            <w:hideMark/>
          </w:tcPr>
          <w:p w14:paraId="560028FD" w14:textId="77777777" w:rsidR="002C11DC" w:rsidRPr="00C42D19" w:rsidRDefault="002C11DC" w:rsidP="00C42D19">
            <w:pPr>
              <w:pStyle w:val="FSRnormal"/>
              <w:spacing w:before="0" w:after="0"/>
              <w:rPr>
                <w:rFonts w:cs="Arial"/>
                <w:color w:val="000000"/>
                <w:sz w:val="18"/>
                <w:szCs w:val="18"/>
                <w:lang w:eastAsia="zh-CN"/>
              </w:rPr>
            </w:pPr>
            <w:r w:rsidRPr="00C42D19">
              <w:rPr>
                <w:rFonts w:cs="Arial"/>
                <w:color w:val="000000"/>
                <w:sz w:val="18"/>
                <w:szCs w:val="18"/>
                <w:lang w:eastAsia="zh-CN"/>
              </w:rPr>
              <w:t>Sensory</w:t>
            </w:r>
          </w:p>
        </w:tc>
        <w:tc>
          <w:tcPr>
            <w:tcW w:w="1276" w:type="dxa"/>
            <w:shd w:val="clear" w:color="auto" w:fill="auto"/>
            <w:noWrap/>
            <w:hideMark/>
          </w:tcPr>
          <w:p w14:paraId="5F3168AB"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648</w:t>
            </w:r>
          </w:p>
        </w:tc>
        <w:tc>
          <w:tcPr>
            <w:tcW w:w="1134" w:type="dxa"/>
            <w:shd w:val="clear" w:color="auto" w:fill="auto"/>
            <w:noWrap/>
            <w:hideMark/>
          </w:tcPr>
          <w:p w14:paraId="05896482"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731</w:t>
            </w:r>
          </w:p>
        </w:tc>
        <w:tc>
          <w:tcPr>
            <w:tcW w:w="1134" w:type="dxa"/>
            <w:shd w:val="clear" w:color="auto" w:fill="auto"/>
            <w:noWrap/>
            <w:hideMark/>
          </w:tcPr>
          <w:p w14:paraId="02E1706D"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796</w:t>
            </w:r>
          </w:p>
        </w:tc>
        <w:tc>
          <w:tcPr>
            <w:tcW w:w="992" w:type="dxa"/>
            <w:tcBorders>
              <w:right w:val="dotted" w:sz="4" w:space="0" w:color="auto"/>
            </w:tcBorders>
            <w:shd w:val="clear" w:color="auto" w:fill="auto"/>
            <w:noWrap/>
            <w:hideMark/>
          </w:tcPr>
          <w:p w14:paraId="1DA2A49F"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852</w:t>
            </w:r>
          </w:p>
        </w:tc>
        <w:tc>
          <w:tcPr>
            <w:tcW w:w="1134" w:type="dxa"/>
            <w:tcBorders>
              <w:left w:val="dotted" w:sz="4" w:space="0" w:color="auto"/>
            </w:tcBorders>
            <w:shd w:val="clear" w:color="auto" w:fill="auto"/>
            <w:noWrap/>
            <w:hideMark/>
          </w:tcPr>
          <w:p w14:paraId="039222E3"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1,221</w:t>
            </w:r>
          </w:p>
        </w:tc>
      </w:tr>
      <w:tr w:rsidR="002C11DC" w:rsidRPr="00C42D19" w14:paraId="11DB7422" w14:textId="77777777" w:rsidTr="00F830E6">
        <w:trPr>
          <w:trHeight w:val="280"/>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auto"/>
            </w:tcBorders>
            <w:shd w:val="clear" w:color="auto" w:fill="BFBFBF" w:themeFill="background1" w:themeFillShade="BF"/>
            <w:noWrap/>
            <w:hideMark/>
          </w:tcPr>
          <w:p w14:paraId="78ABA1E9" w14:textId="77777777" w:rsidR="002C11DC" w:rsidRPr="00C42D19" w:rsidRDefault="002C11DC" w:rsidP="00C42D19">
            <w:pPr>
              <w:pStyle w:val="FSRnormal"/>
              <w:spacing w:before="0" w:after="0"/>
              <w:rPr>
                <w:rFonts w:cs="Arial"/>
                <w:color w:val="000000"/>
                <w:sz w:val="18"/>
                <w:szCs w:val="18"/>
                <w:lang w:eastAsia="zh-CN"/>
              </w:rPr>
            </w:pPr>
            <w:r w:rsidRPr="00C42D19">
              <w:rPr>
                <w:rFonts w:cs="Arial"/>
                <w:color w:val="000000"/>
                <w:sz w:val="18"/>
                <w:szCs w:val="18"/>
                <w:lang w:eastAsia="zh-CN"/>
              </w:rPr>
              <w:t>Other</w:t>
            </w:r>
          </w:p>
        </w:tc>
        <w:tc>
          <w:tcPr>
            <w:tcW w:w="0" w:type="dxa"/>
            <w:tcBorders>
              <w:bottom w:val="single" w:sz="4" w:space="0" w:color="auto"/>
            </w:tcBorders>
            <w:shd w:val="clear" w:color="auto" w:fill="BFBFBF" w:themeFill="background1" w:themeFillShade="BF"/>
            <w:noWrap/>
            <w:hideMark/>
          </w:tcPr>
          <w:p w14:paraId="6B6F5CE8"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11,126</w:t>
            </w:r>
          </w:p>
        </w:tc>
        <w:tc>
          <w:tcPr>
            <w:tcW w:w="0" w:type="dxa"/>
            <w:tcBorders>
              <w:bottom w:val="single" w:sz="4" w:space="0" w:color="auto"/>
            </w:tcBorders>
            <w:shd w:val="clear" w:color="auto" w:fill="BFBFBF" w:themeFill="background1" w:themeFillShade="BF"/>
            <w:noWrap/>
            <w:hideMark/>
          </w:tcPr>
          <w:p w14:paraId="2A4C1476"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12,211</w:t>
            </w:r>
          </w:p>
        </w:tc>
        <w:tc>
          <w:tcPr>
            <w:tcW w:w="0" w:type="dxa"/>
            <w:tcBorders>
              <w:bottom w:val="single" w:sz="4" w:space="0" w:color="auto"/>
            </w:tcBorders>
            <w:shd w:val="clear" w:color="auto" w:fill="BFBFBF" w:themeFill="background1" w:themeFillShade="BF"/>
            <w:noWrap/>
            <w:hideMark/>
          </w:tcPr>
          <w:p w14:paraId="43B9C729"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13,017</w:t>
            </w:r>
          </w:p>
        </w:tc>
        <w:tc>
          <w:tcPr>
            <w:tcW w:w="0" w:type="dxa"/>
            <w:tcBorders>
              <w:bottom w:val="single" w:sz="4" w:space="0" w:color="auto"/>
              <w:right w:val="dotted" w:sz="4" w:space="0" w:color="auto"/>
            </w:tcBorders>
            <w:shd w:val="clear" w:color="auto" w:fill="BFBFBF" w:themeFill="background1" w:themeFillShade="BF"/>
            <w:noWrap/>
            <w:hideMark/>
          </w:tcPr>
          <w:p w14:paraId="491A56FF"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13,708</w:t>
            </w:r>
          </w:p>
        </w:tc>
        <w:tc>
          <w:tcPr>
            <w:tcW w:w="0" w:type="dxa"/>
            <w:tcBorders>
              <w:left w:val="dotted" w:sz="4" w:space="0" w:color="auto"/>
              <w:bottom w:val="single" w:sz="4" w:space="0" w:color="auto"/>
            </w:tcBorders>
            <w:shd w:val="clear" w:color="auto" w:fill="BFBFBF" w:themeFill="background1" w:themeFillShade="BF"/>
            <w:noWrap/>
            <w:hideMark/>
          </w:tcPr>
          <w:p w14:paraId="12884C15"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18,287</w:t>
            </w:r>
          </w:p>
        </w:tc>
      </w:tr>
      <w:tr w:rsidR="00F830E6" w:rsidRPr="00C42D19" w14:paraId="1AC8559F" w14:textId="77777777" w:rsidTr="00F830E6">
        <w:trPr>
          <w:cnfStyle w:val="000000010000" w:firstRow="0" w:lastRow="0" w:firstColumn="0" w:lastColumn="0" w:oddVBand="0" w:evenVBand="0" w:oddHBand="0" w:evenHBand="1"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nil"/>
            </w:tcBorders>
            <w:shd w:val="clear" w:color="auto" w:fill="D4C5D7"/>
            <w:noWrap/>
            <w:hideMark/>
          </w:tcPr>
          <w:p w14:paraId="2B03002A" w14:textId="77777777" w:rsidR="002C11DC" w:rsidRPr="00C42D19" w:rsidRDefault="002C11DC" w:rsidP="00C42D19">
            <w:pPr>
              <w:pStyle w:val="FSRnormal"/>
              <w:spacing w:before="0" w:after="0"/>
              <w:rPr>
                <w:rFonts w:cs="Arial"/>
                <w:b/>
                <w:color w:val="000000"/>
                <w:sz w:val="18"/>
                <w:szCs w:val="18"/>
                <w:lang w:eastAsia="zh-CN"/>
              </w:rPr>
            </w:pPr>
            <w:r w:rsidRPr="00C42D19">
              <w:rPr>
                <w:rFonts w:cs="Arial"/>
                <w:b/>
                <w:color w:val="000000"/>
                <w:sz w:val="18"/>
                <w:szCs w:val="18"/>
                <w:lang w:eastAsia="zh-CN"/>
              </w:rPr>
              <w:t>Total</w:t>
            </w:r>
          </w:p>
        </w:tc>
        <w:tc>
          <w:tcPr>
            <w:tcW w:w="0" w:type="dxa"/>
            <w:tcBorders>
              <w:top w:val="single" w:sz="4" w:space="0" w:color="auto"/>
              <w:bottom w:val="nil"/>
            </w:tcBorders>
            <w:shd w:val="clear" w:color="auto" w:fill="D4C5D7"/>
            <w:noWrap/>
            <w:hideMark/>
          </w:tcPr>
          <w:p w14:paraId="2D2A0D7F"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C42D19">
              <w:rPr>
                <w:rFonts w:cs="Arial"/>
                <w:b/>
                <w:color w:val="000000"/>
                <w:sz w:val="18"/>
                <w:szCs w:val="18"/>
                <w:lang w:eastAsia="zh-CN"/>
              </w:rPr>
              <w:t>33,429</w:t>
            </w:r>
          </w:p>
        </w:tc>
        <w:tc>
          <w:tcPr>
            <w:tcW w:w="0" w:type="dxa"/>
            <w:tcBorders>
              <w:top w:val="single" w:sz="4" w:space="0" w:color="auto"/>
              <w:bottom w:val="nil"/>
            </w:tcBorders>
            <w:shd w:val="clear" w:color="auto" w:fill="D4C5D7"/>
            <w:noWrap/>
            <w:hideMark/>
          </w:tcPr>
          <w:p w14:paraId="41548A7E"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C42D19">
              <w:rPr>
                <w:rFonts w:cs="Arial"/>
                <w:b/>
                <w:color w:val="000000"/>
                <w:sz w:val="18"/>
                <w:szCs w:val="18"/>
                <w:lang w:eastAsia="zh-CN"/>
              </w:rPr>
              <w:t>37,459</w:t>
            </w:r>
          </w:p>
        </w:tc>
        <w:tc>
          <w:tcPr>
            <w:tcW w:w="0" w:type="dxa"/>
            <w:tcBorders>
              <w:top w:val="single" w:sz="4" w:space="0" w:color="auto"/>
              <w:bottom w:val="nil"/>
            </w:tcBorders>
            <w:shd w:val="clear" w:color="auto" w:fill="D4C5D7"/>
            <w:noWrap/>
            <w:hideMark/>
          </w:tcPr>
          <w:p w14:paraId="6351D6F1"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C42D19">
              <w:rPr>
                <w:rFonts w:cs="Arial"/>
                <w:b/>
                <w:color w:val="000000"/>
                <w:sz w:val="18"/>
                <w:szCs w:val="18"/>
                <w:lang w:eastAsia="zh-CN"/>
              </w:rPr>
              <w:t>40,814</w:t>
            </w:r>
          </w:p>
        </w:tc>
        <w:tc>
          <w:tcPr>
            <w:tcW w:w="0" w:type="dxa"/>
            <w:tcBorders>
              <w:top w:val="single" w:sz="4" w:space="0" w:color="auto"/>
              <w:bottom w:val="single" w:sz="4" w:space="0" w:color="auto"/>
              <w:right w:val="dotted" w:sz="4" w:space="0" w:color="auto"/>
            </w:tcBorders>
            <w:shd w:val="clear" w:color="auto" w:fill="D4C5D7"/>
            <w:noWrap/>
            <w:hideMark/>
          </w:tcPr>
          <w:p w14:paraId="55AFCD37"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C42D19">
              <w:rPr>
                <w:rFonts w:cs="Arial"/>
                <w:b/>
                <w:color w:val="000000"/>
                <w:sz w:val="18"/>
                <w:szCs w:val="18"/>
                <w:lang w:eastAsia="zh-CN"/>
              </w:rPr>
              <w:t>43,950</w:t>
            </w:r>
          </w:p>
        </w:tc>
        <w:tc>
          <w:tcPr>
            <w:tcW w:w="0" w:type="dxa"/>
            <w:tcBorders>
              <w:top w:val="single" w:sz="4" w:space="0" w:color="auto"/>
              <w:left w:val="dotted" w:sz="4" w:space="0" w:color="auto"/>
              <w:bottom w:val="single" w:sz="4" w:space="0" w:color="auto"/>
            </w:tcBorders>
            <w:shd w:val="clear" w:color="auto" w:fill="D4C5D7"/>
            <w:noWrap/>
            <w:hideMark/>
          </w:tcPr>
          <w:p w14:paraId="5460A5E0" w14:textId="77777777" w:rsidR="002C11DC" w:rsidRPr="00C42D19" w:rsidRDefault="002C11DC" w:rsidP="00BD1E6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C42D19">
              <w:rPr>
                <w:rFonts w:cs="Arial"/>
                <w:b/>
                <w:color w:val="000000"/>
                <w:sz w:val="18"/>
                <w:szCs w:val="18"/>
                <w:lang w:eastAsia="zh-CN"/>
              </w:rPr>
              <w:t>67,129</w:t>
            </w:r>
          </w:p>
        </w:tc>
      </w:tr>
      <w:tr w:rsidR="00F830E6" w:rsidRPr="00C42D19" w14:paraId="7DF145AE" w14:textId="77777777" w:rsidTr="00F830E6">
        <w:trPr>
          <w:trHeight w:val="28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nil"/>
            </w:tcBorders>
            <w:shd w:val="clear" w:color="auto" w:fill="BFBFBF" w:themeFill="background1" w:themeFillShade="BF"/>
            <w:noWrap/>
            <w:hideMark/>
          </w:tcPr>
          <w:p w14:paraId="12898709" w14:textId="77777777" w:rsidR="002C11DC" w:rsidRPr="00C42D19" w:rsidRDefault="002C11DC" w:rsidP="00C42D19">
            <w:pPr>
              <w:pStyle w:val="FSRnormal"/>
              <w:spacing w:before="0" w:after="0"/>
              <w:rPr>
                <w:rFonts w:cs="Arial"/>
                <w:b/>
                <w:color w:val="000000"/>
                <w:sz w:val="18"/>
                <w:szCs w:val="18"/>
                <w:lang w:eastAsia="zh-CN"/>
              </w:rPr>
            </w:pPr>
            <w:r w:rsidRPr="00C42D19">
              <w:rPr>
                <w:rFonts w:cs="Arial"/>
                <w:b/>
                <w:color w:val="000000"/>
                <w:sz w:val="18"/>
                <w:szCs w:val="18"/>
                <w:lang w:eastAsia="zh-CN"/>
              </w:rPr>
              <w:t>Difference</w:t>
            </w:r>
          </w:p>
        </w:tc>
        <w:tc>
          <w:tcPr>
            <w:tcW w:w="0" w:type="dxa"/>
            <w:tcBorders>
              <w:top w:val="single" w:sz="4" w:space="0" w:color="auto"/>
              <w:bottom w:val="nil"/>
            </w:tcBorders>
            <w:shd w:val="clear" w:color="auto" w:fill="BFBFBF" w:themeFill="background1" w:themeFillShade="BF"/>
            <w:noWrap/>
            <w:hideMark/>
          </w:tcPr>
          <w:p w14:paraId="410E28AE"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b/>
                <w:i/>
                <w:iCs/>
                <w:color w:val="000000"/>
                <w:sz w:val="18"/>
                <w:szCs w:val="18"/>
                <w:lang w:eastAsia="zh-CN"/>
              </w:rPr>
            </w:pPr>
            <w:r w:rsidRPr="00C42D19">
              <w:rPr>
                <w:rFonts w:cs="Arial"/>
                <w:b/>
                <w:i/>
                <w:iCs/>
                <w:color w:val="000000"/>
                <w:sz w:val="18"/>
                <w:szCs w:val="18"/>
                <w:lang w:eastAsia="zh-CN"/>
              </w:rPr>
              <w:t> </w:t>
            </w:r>
          </w:p>
        </w:tc>
        <w:tc>
          <w:tcPr>
            <w:tcW w:w="0" w:type="dxa"/>
            <w:tcBorders>
              <w:top w:val="single" w:sz="4" w:space="0" w:color="auto"/>
              <w:bottom w:val="nil"/>
            </w:tcBorders>
            <w:shd w:val="clear" w:color="auto" w:fill="BFBFBF" w:themeFill="background1" w:themeFillShade="BF"/>
            <w:noWrap/>
            <w:hideMark/>
          </w:tcPr>
          <w:p w14:paraId="573B6ED4"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b/>
                <w:i/>
                <w:iCs/>
                <w:color w:val="000000"/>
                <w:sz w:val="18"/>
                <w:szCs w:val="18"/>
                <w:lang w:eastAsia="zh-CN"/>
              </w:rPr>
            </w:pPr>
            <w:r w:rsidRPr="00C42D19">
              <w:rPr>
                <w:rFonts w:cs="Arial"/>
                <w:b/>
                <w:i/>
                <w:iCs/>
                <w:color w:val="000000"/>
                <w:sz w:val="18"/>
                <w:szCs w:val="18"/>
                <w:lang w:eastAsia="zh-CN"/>
              </w:rPr>
              <w:t> </w:t>
            </w:r>
          </w:p>
        </w:tc>
        <w:tc>
          <w:tcPr>
            <w:tcW w:w="0" w:type="dxa"/>
            <w:tcBorders>
              <w:top w:val="single" w:sz="4" w:space="0" w:color="auto"/>
              <w:bottom w:val="nil"/>
            </w:tcBorders>
            <w:shd w:val="clear" w:color="auto" w:fill="BFBFBF" w:themeFill="background1" w:themeFillShade="BF"/>
            <w:noWrap/>
            <w:hideMark/>
          </w:tcPr>
          <w:p w14:paraId="1E17B022"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b/>
                <w:i/>
                <w:iCs/>
                <w:color w:val="000000"/>
                <w:sz w:val="18"/>
                <w:szCs w:val="18"/>
                <w:lang w:eastAsia="zh-CN"/>
              </w:rPr>
            </w:pPr>
            <w:r w:rsidRPr="00C42D19">
              <w:rPr>
                <w:rFonts w:cs="Arial"/>
                <w:b/>
                <w:i/>
                <w:iCs/>
                <w:color w:val="000000"/>
                <w:sz w:val="18"/>
                <w:szCs w:val="18"/>
                <w:lang w:eastAsia="zh-CN"/>
              </w:rPr>
              <w:t> </w:t>
            </w:r>
          </w:p>
        </w:tc>
        <w:tc>
          <w:tcPr>
            <w:tcW w:w="0" w:type="dxa"/>
            <w:shd w:val="clear" w:color="auto" w:fill="BFBFBF" w:themeFill="background1" w:themeFillShade="BF"/>
            <w:noWrap/>
            <w:hideMark/>
          </w:tcPr>
          <w:p w14:paraId="0DCCB829"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b/>
                <w:i/>
                <w:iCs/>
                <w:color w:val="000000"/>
                <w:sz w:val="18"/>
                <w:szCs w:val="18"/>
                <w:lang w:eastAsia="zh-CN"/>
              </w:rPr>
            </w:pPr>
            <w:r w:rsidRPr="00C42D19">
              <w:rPr>
                <w:rFonts w:cs="Arial"/>
                <w:b/>
                <w:i/>
                <w:iCs/>
                <w:color w:val="000000"/>
                <w:sz w:val="18"/>
                <w:szCs w:val="18"/>
                <w:lang w:eastAsia="zh-CN"/>
              </w:rPr>
              <w:t> </w:t>
            </w:r>
          </w:p>
        </w:tc>
        <w:tc>
          <w:tcPr>
            <w:tcW w:w="0" w:type="dxa"/>
            <w:shd w:val="clear" w:color="auto" w:fill="BFBFBF" w:themeFill="background1" w:themeFillShade="BF"/>
            <w:noWrap/>
            <w:hideMark/>
          </w:tcPr>
          <w:p w14:paraId="01C1AC07" w14:textId="77777777" w:rsidR="002C11DC" w:rsidRPr="00C42D19" w:rsidRDefault="002C11DC" w:rsidP="00BD1E6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b/>
                <w:i/>
                <w:iCs/>
                <w:color w:val="000000"/>
                <w:sz w:val="18"/>
                <w:szCs w:val="18"/>
                <w:lang w:eastAsia="zh-CN"/>
              </w:rPr>
            </w:pPr>
            <w:r w:rsidRPr="00C42D19">
              <w:rPr>
                <w:rFonts w:cs="Arial"/>
                <w:b/>
                <w:i/>
                <w:iCs/>
                <w:color w:val="000000"/>
                <w:sz w:val="18"/>
                <w:szCs w:val="18"/>
                <w:lang w:eastAsia="zh-CN"/>
              </w:rPr>
              <w:t> </w:t>
            </w:r>
          </w:p>
        </w:tc>
      </w:tr>
      <w:tr w:rsidR="002C11DC" w:rsidRPr="00C42D19" w14:paraId="1548042D" w14:textId="77777777" w:rsidTr="00F830E6">
        <w:trPr>
          <w:cnfStyle w:val="000000010000" w:firstRow="0" w:lastRow="0" w:firstColumn="0" w:lastColumn="0" w:oddVBand="0" w:evenVBand="0" w:oddHBand="0" w:evenHBand="1"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0" w:type="dxa"/>
            <w:tcBorders>
              <w:top w:val="nil"/>
            </w:tcBorders>
            <w:shd w:val="clear" w:color="auto" w:fill="auto"/>
            <w:noWrap/>
            <w:hideMark/>
          </w:tcPr>
          <w:p w14:paraId="2C0B2CCF" w14:textId="77777777" w:rsidR="002C11DC" w:rsidRPr="00C42D19" w:rsidRDefault="002C11DC" w:rsidP="00C42D19">
            <w:pPr>
              <w:pStyle w:val="FSRnormal"/>
              <w:spacing w:before="0" w:after="0"/>
              <w:rPr>
                <w:rFonts w:cs="Arial"/>
                <w:color w:val="000000"/>
                <w:sz w:val="18"/>
                <w:szCs w:val="18"/>
                <w:lang w:eastAsia="zh-CN"/>
              </w:rPr>
            </w:pPr>
            <w:r w:rsidRPr="00C42D19">
              <w:rPr>
                <w:rFonts w:cs="Arial"/>
                <w:color w:val="000000"/>
                <w:sz w:val="18"/>
                <w:szCs w:val="18"/>
                <w:lang w:eastAsia="zh-CN"/>
              </w:rPr>
              <w:t>Autism</w:t>
            </w:r>
          </w:p>
        </w:tc>
        <w:tc>
          <w:tcPr>
            <w:tcW w:w="0" w:type="dxa"/>
            <w:tcBorders>
              <w:top w:val="nil"/>
            </w:tcBorders>
            <w:shd w:val="clear" w:color="auto" w:fill="auto"/>
            <w:noWrap/>
            <w:hideMark/>
          </w:tcPr>
          <w:p w14:paraId="43C2D0B3"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-439</w:t>
            </w:r>
          </w:p>
        </w:tc>
        <w:tc>
          <w:tcPr>
            <w:tcW w:w="0" w:type="dxa"/>
            <w:tcBorders>
              <w:top w:val="nil"/>
            </w:tcBorders>
            <w:shd w:val="clear" w:color="auto" w:fill="auto"/>
            <w:noWrap/>
            <w:hideMark/>
          </w:tcPr>
          <w:p w14:paraId="23CD3227"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-379</w:t>
            </w:r>
          </w:p>
        </w:tc>
        <w:tc>
          <w:tcPr>
            <w:tcW w:w="0" w:type="dxa"/>
            <w:tcBorders>
              <w:top w:val="nil"/>
            </w:tcBorders>
            <w:shd w:val="clear" w:color="auto" w:fill="auto"/>
            <w:noWrap/>
            <w:hideMark/>
          </w:tcPr>
          <w:p w14:paraId="1209D4D1"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294</w:t>
            </w:r>
          </w:p>
        </w:tc>
        <w:tc>
          <w:tcPr>
            <w:tcW w:w="0" w:type="dxa"/>
            <w:shd w:val="clear" w:color="auto" w:fill="auto"/>
            <w:noWrap/>
            <w:hideMark/>
          </w:tcPr>
          <w:p w14:paraId="1E3616D1"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1,183</w:t>
            </w:r>
          </w:p>
        </w:tc>
        <w:tc>
          <w:tcPr>
            <w:tcW w:w="0" w:type="dxa"/>
            <w:shd w:val="clear" w:color="auto" w:fill="auto"/>
            <w:noWrap/>
            <w:hideMark/>
          </w:tcPr>
          <w:p w14:paraId="1C160EF1"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7,689</w:t>
            </w:r>
          </w:p>
        </w:tc>
      </w:tr>
      <w:tr w:rsidR="002C11DC" w:rsidRPr="00C42D19" w14:paraId="7A730D10" w14:textId="77777777" w:rsidTr="00DA3F73">
        <w:trPr>
          <w:trHeight w:val="280"/>
        </w:trPr>
        <w:tc>
          <w:tcPr>
            <w:cnfStyle w:val="001000000000" w:firstRow="0" w:lastRow="0" w:firstColumn="1" w:lastColumn="0" w:oddVBand="0" w:evenVBand="0" w:oddHBand="0" w:evenHBand="0" w:firstRowFirstColumn="0" w:firstRowLastColumn="0" w:lastRowFirstColumn="0" w:lastRowLastColumn="0"/>
            <w:tcW w:w="3397" w:type="dxa"/>
            <w:shd w:val="clear" w:color="auto" w:fill="BFBFBF" w:themeFill="background1" w:themeFillShade="BF"/>
            <w:noWrap/>
            <w:hideMark/>
          </w:tcPr>
          <w:p w14:paraId="06D4F6E9" w14:textId="77777777" w:rsidR="002C11DC" w:rsidRPr="00C42D19" w:rsidRDefault="002C11DC" w:rsidP="00C42D19">
            <w:pPr>
              <w:pStyle w:val="FSRnormal"/>
              <w:spacing w:before="0" w:after="0"/>
              <w:rPr>
                <w:rFonts w:cs="Arial"/>
                <w:color w:val="000000"/>
                <w:sz w:val="18"/>
                <w:szCs w:val="18"/>
                <w:lang w:eastAsia="zh-CN"/>
              </w:rPr>
            </w:pPr>
            <w:r w:rsidRPr="00C42D19">
              <w:rPr>
                <w:rFonts w:cs="Arial"/>
                <w:color w:val="000000"/>
                <w:sz w:val="18"/>
                <w:szCs w:val="18"/>
                <w:lang w:eastAsia="zh-CN"/>
              </w:rPr>
              <w:t>Intellectual Disability</w:t>
            </w:r>
          </w:p>
        </w:tc>
        <w:tc>
          <w:tcPr>
            <w:tcW w:w="1276" w:type="dxa"/>
            <w:shd w:val="clear" w:color="auto" w:fill="BFBFBF" w:themeFill="background1" w:themeFillShade="BF"/>
            <w:noWrap/>
            <w:hideMark/>
          </w:tcPr>
          <w:p w14:paraId="331103D7"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-84</w:t>
            </w:r>
          </w:p>
        </w:tc>
        <w:tc>
          <w:tcPr>
            <w:tcW w:w="1134" w:type="dxa"/>
            <w:shd w:val="clear" w:color="auto" w:fill="BFBFBF" w:themeFill="background1" w:themeFillShade="BF"/>
            <w:noWrap/>
            <w:hideMark/>
          </w:tcPr>
          <w:p w14:paraId="2ECD159D"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-70</w:t>
            </w:r>
          </w:p>
        </w:tc>
        <w:tc>
          <w:tcPr>
            <w:tcW w:w="1134" w:type="dxa"/>
            <w:shd w:val="clear" w:color="auto" w:fill="BFBFBF" w:themeFill="background1" w:themeFillShade="BF"/>
            <w:noWrap/>
            <w:hideMark/>
          </w:tcPr>
          <w:p w14:paraId="0CC2FEF5"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599</w:t>
            </w:r>
          </w:p>
        </w:tc>
        <w:tc>
          <w:tcPr>
            <w:tcW w:w="992" w:type="dxa"/>
            <w:shd w:val="clear" w:color="auto" w:fill="BFBFBF" w:themeFill="background1" w:themeFillShade="BF"/>
            <w:noWrap/>
            <w:hideMark/>
          </w:tcPr>
          <w:p w14:paraId="2FBBA518"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1,357</w:t>
            </w:r>
          </w:p>
        </w:tc>
        <w:tc>
          <w:tcPr>
            <w:tcW w:w="1134" w:type="dxa"/>
            <w:shd w:val="clear" w:color="auto" w:fill="BFBFBF" w:themeFill="background1" w:themeFillShade="BF"/>
            <w:noWrap/>
            <w:hideMark/>
          </w:tcPr>
          <w:p w14:paraId="4CB94403"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4,544</w:t>
            </w:r>
          </w:p>
        </w:tc>
      </w:tr>
      <w:tr w:rsidR="002C11DC" w:rsidRPr="00C42D19" w14:paraId="3607FCC7" w14:textId="77777777" w:rsidTr="00DA3F73">
        <w:trPr>
          <w:cnfStyle w:val="000000010000" w:firstRow="0" w:lastRow="0" w:firstColumn="0" w:lastColumn="0" w:oddVBand="0" w:evenVBand="0" w:oddHBand="0" w:evenHBand="1"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noWrap/>
            <w:hideMark/>
          </w:tcPr>
          <w:p w14:paraId="2AC9272F" w14:textId="77777777" w:rsidR="002C11DC" w:rsidRPr="00C42D19" w:rsidRDefault="002C11DC" w:rsidP="00C42D19">
            <w:pPr>
              <w:pStyle w:val="FSRnormal"/>
              <w:spacing w:before="0" w:after="0"/>
              <w:rPr>
                <w:rFonts w:cs="Arial"/>
                <w:color w:val="000000"/>
                <w:sz w:val="18"/>
                <w:szCs w:val="18"/>
                <w:lang w:eastAsia="zh-CN"/>
              </w:rPr>
            </w:pPr>
            <w:r w:rsidRPr="00C42D19">
              <w:rPr>
                <w:rFonts w:cs="Arial"/>
                <w:color w:val="000000"/>
                <w:sz w:val="18"/>
                <w:szCs w:val="18"/>
                <w:lang w:eastAsia="zh-CN"/>
              </w:rPr>
              <w:t>Psychosocial Disability</w:t>
            </w:r>
          </w:p>
        </w:tc>
        <w:tc>
          <w:tcPr>
            <w:tcW w:w="1276" w:type="dxa"/>
            <w:shd w:val="clear" w:color="auto" w:fill="auto"/>
            <w:noWrap/>
            <w:hideMark/>
          </w:tcPr>
          <w:p w14:paraId="01F10008"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196</w:t>
            </w:r>
          </w:p>
        </w:tc>
        <w:tc>
          <w:tcPr>
            <w:tcW w:w="1134" w:type="dxa"/>
            <w:shd w:val="clear" w:color="auto" w:fill="auto"/>
            <w:noWrap/>
            <w:hideMark/>
          </w:tcPr>
          <w:p w14:paraId="159AF11A"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267</w:t>
            </w:r>
          </w:p>
        </w:tc>
        <w:tc>
          <w:tcPr>
            <w:tcW w:w="1134" w:type="dxa"/>
            <w:shd w:val="clear" w:color="auto" w:fill="auto"/>
            <w:noWrap/>
            <w:hideMark/>
          </w:tcPr>
          <w:p w14:paraId="74201CC7"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629</w:t>
            </w:r>
          </w:p>
        </w:tc>
        <w:tc>
          <w:tcPr>
            <w:tcW w:w="992" w:type="dxa"/>
            <w:shd w:val="clear" w:color="auto" w:fill="auto"/>
            <w:noWrap/>
            <w:hideMark/>
          </w:tcPr>
          <w:p w14:paraId="0EFD0731"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1,008</w:t>
            </w:r>
          </w:p>
        </w:tc>
        <w:tc>
          <w:tcPr>
            <w:tcW w:w="1134" w:type="dxa"/>
            <w:shd w:val="clear" w:color="auto" w:fill="auto"/>
            <w:noWrap/>
            <w:hideMark/>
          </w:tcPr>
          <w:p w14:paraId="1C0990E2"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2,699</w:t>
            </w:r>
          </w:p>
        </w:tc>
      </w:tr>
      <w:tr w:rsidR="002C11DC" w:rsidRPr="00C42D19" w14:paraId="246C8DA3" w14:textId="77777777" w:rsidTr="00DA3F73">
        <w:trPr>
          <w:trHeight w:val="280"/>
        </w:trPr>
        <w:tc>
          <w:tcPr>
            <w:cnfStyle w:val="001000000000" w:firstRow="0" w:lastRow="0" w:firstColumn="1" w:lastColumn="0" w:oddVBand="0" w:evenVBand="0" w:oddHBand="0" w:evenHBand="0" w:firstRowFirstColumn="0" w:firstRowLastColumn="0" w:lastRowFirstColumn="0" w:lastRowLastColumn="0"/>
            <w:tcW w:w="3397" w:type="dxa"/>
            <w:shd w:val="clear" w:color="auto" w:fill="BFBFBF" w:themeFill="background1" w:themeFillShade="BF"/>
            <w:noWrap/>
            <w:hideMark/>
          </w:tcPr>
          <w:p w14:paraId="6B792D7D" w14:textId="77777777" w:rsidR="002C11DC" w:rsidRPr="00C42D19" w:rsidRDefault="002C11DC" w:rsidP="00C42D19">
            <w:pPr>
              <w:pStyle w:val="FSRnormal"/>
              <w:spacing w:before="0" w:after="0"/>
              <w:rPr>
                <w:rFonts w:cs="Arial"/>
                <w:color w:val="000000"/>
                <w:sz w:val="18"/>
                <w:szCs w:val="18"/>
                <w:lang w:eastAsia="zh-CN"/>
              </w:rPr>
            </w:pPr>
            <w:r w:rsidRPr="00C42D19">
              <w:rPr>
                <w:rFonts w:cs="Arial"/>
                <w:color w:val="000000"/>
                <w:sz w:val="18"/>
                <w:szCs w:val="18"/>
                <w:lang w:eastAsia="zh-CN"/>
              </w:rPr>
              <w:t>Developmental Delay</w:t>
            </w:r>
          </w:p>
        </w:tc>
        <w:tc>
          <w:tcPr>
            <w:tcW w:w="1276" w:type="dxa"/>
            <w:shd w:val="clear" w:color="auto" w:fill="BFBFBF" w:themeFill="background1" w:themeFillShade="BF"/>
            <w:noWrap/>
            <w:hideMark/>
          </w:tcPr>
          <w:p w14:paraId="22D31464"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-98</w:t>
            </w:r>
          </w:p>
        </w:tc>
        <w:tc>
          <w:tcPr>
            <w:tcW w:w="1134" w:type="dxa"/>
            <w:shd w:val="clear" w:color="auto" w:fill="BFBFBF" w:themeFill="background1" w:themeFillShade="BF"/>
            <w:noWrap/>
            <w:hideMark/>
          </w:tcPr>
          <w:p w14:paraId="16C1FD19"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-178</w:t>
            </w:r>
          </w:p>
        </w:tc>
        <w:tc>
          <w:tcPr>
            <w:tcW w:w="1134" w:type="dxa"/>
            <w:shd w:val="clear" w:color="auto" w:fill="BFBFBF" w:themeFill="background1" w:themeFillShade="BF"/>
            <w:noWrap/>
            <w:hideMark/>
          </w:tcPr>
          <w:p w14:paraId="2B176779"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-196</w:t>
            </w:r>
          </w:p>
        </w:tc>
        <w:tc>
          <w:tcPr>
            <w:tcW w:w="992" w:type="dxa"/>
            <w:shd w:val="clear" w:color="auto" w:fill="BFBFBF" w:themeFill="background1" w:themeFillShade="BF"/>
            <w:noWrap/>
            <w:hideMark/>
          </w:tcPr>
          <w:p w14:paraId="3BE95A0F"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-188</w:t>
            </w:r>
          </w:p>
        </w:tc>
        <w:tc>
          <w:tcPr>
            <w:tcW w:w="1134" w:type="dxa"/>
            <w:shd w:val="clear" w:color="auto" w:fill="BFBFBF" w:themeFill="background1" w:themeFillShade="BF"/>
            <w:noWrap/>
            <w:hideMark/>
          </w:tcPr>
          <w:p w14:paraId="0230C7C5"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-106</w:t>
            </w:r>
          </w:p>
        </w:tc>
      </w:tr>
      <w:tr w:rsidR="002C11DC" w:rsidRPr="00C42D19" w14:paraId="79DB6A04" w14:textId="77777777" w:rsidTr="00DA3F73">
        <w:trPr>
          <w:cnfStyle w:val="000000010000" w:firstRow="0" w:lastRow="0" w:firstColumn="0" w:lastColumn="0" w:oddVBand="0" w:evenVBand="0" w:oddHBand="0" w:evenHBand="1"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noWrap/>
            <w:hideMark/>
          </w:tcPr>
          <w:p w14:paraId="73825B1D" w14:textId="77777777" w:rsidR="002C11DC" w:rsidRPr="00C42D19" w:rsidRDefault="002C11DC" w:rsidP="00C42D19">
            <w:pPr>
              <w:pStyle w:val="FSRnormal"/>
              <w:spacing w:before="0" w:after="0"/>
              <w:rPr>
                <w:rFonts w:cs="Arial"/>
                <w:color w:val="000000"/>
                <w:sz w:val="18"/>
                <w:szCs w:val="18"/>
                <w:lang w:eastAsia="zh-CN"/>
              </w:rPr>
            </w:pPr>
            <w:r w:rsidRPr="00C42D19">
              <w:rPr>
                <w:rFonts w:cs="Arial"/>
                <w:color w:val="000000"/>
                <w:sz w:val="18"/>
                <w:szCs w:val="18"/>
                <w:lang w:eastAsia="zh-CN"/>
              </w:rPr>
              <w:t>Sensory</w:t>
            </w:r>
          </w:p>
        </w:tc>
        <w:tc>
          <w:tcPr>
            <w:tcW w:w="1276" w:type="dxa"/>
            <w:shd w:val="clear" w:color="auto" w:fill="auto"/>
            <w:noWrap/>
            <w:hideMark/>
          </w:tcPr>
          <w:p w14:paraId="6AEE6184"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-27</w:t>
            </w:r>
          </w:p>
        </w:tc>
        <w:tc>
          <w:tcPr>
            <w:tcW w:w="1134" w:type="dxa"/>
            <w:shd w:val="clear" w:color="auto" w:fill="auto"/>
            <w:noWrap/>
            <w:hideMark/>
          </w:tcPr>
          <w:p w14:paraId="561FFA11"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-39</w:t>
            </w:r>
          </w:p>
        </w:tc>
        <w:tc>
          <w:tcPr>
            <w:tcW w:w="1134" w:type="dxa"/>
            <w:shd w:val="clear" w:color="auto" w:fill="auto"/>
            <w:noWrap/>
            <w:hideMark/>
          </w:tcPr>
          <w:p w14:paraId="23C9346C"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-4</w:t>
            </w:r>
          </w:p>
        </w:tc>
        <w:tc>
          <w:tcPr>
            <w:tcW w:w="992" w:type="dxa"/>
            <w:shd w:val="clear" w:color="auto" w:fill="auto"/>
            <w:noWrap/>
            <w:hideMark/>
          </w:tcPr>
          <w:p w14:paraId="78ECC954"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42</w:t>
            </w:r>
          </w:p>
        </w:tc>
        <w:tc>
          <w:tcPr>
            <w:tcW w:w="1134" w:type="dxa"/>
            <w:shd w:val="clear" w:color="auto" w:fill="auto"/>
            <w:noWrap/>
            <w:hideMark/>
          </w:tcPr>
          <w:p w14:paraId="2EF4A144"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245</w:t>
            </w:r>
          </w:p>
        </w:tc>
      </w:tr>
      <w:tr w:rsidR="002C11DC" w:rsidRPr="00C42D19" w14:paraId="20C9C459" w14:textId="77777777" w:rsidTr="00DA3F73">
        <w:trPr>
          <w:trHeight w:val="280"/>
        </w:trPr>
        <w:tc>
          <w:tcPr>
            <w:cnfStyle w:val="001000000000" w:firstRow="0" w:lastRow="0" w:firstColumn="1" w:lastColumn="0" w:oddVBand="0" w:evenVBand="0" w:oddHBand="0" w:evenHBand="0" w:firstRowFirstColumn="0" w:firstRowLastColumn="0" w:lastRowFirstColumn="0" w:lastRowLastColumn="0"/>
            <w:tcW w:w="3397" w:type="dxa"/>
            <w:tcBorders>
              <w:bottom w:val="single" w:sz="4" w:space="0" w:color="auto"/>
            </w:tcBorders>
            <w:shd w:val="clear" w:color="auto" w:fill="BFBFBF" w:themeFill="background1" w:themeFillShade="BF"/>
            <w:noWrap/>
            <w:hideMark/>
          </w:tcPr>
          <w:p w14:paraId="717F241F" w14:textId="77777777" w:rsidR="002C11DC" w:rsidRPr="00C42D19" w:rsidRDefault="002C11DC" w:rsidP="00C42D19">
            <w:pPr>
              <w:pStyle w:val="FSRnormal"/>
              <w:spacing w:before="0" w:after="0"/>
              <w:rPr>
                <w:rFonts w:cs="Arial"/>
                <w:color w:val="000000"/>
                <w:sz w:val="18"/>
                <w:szCs w:val="18"/>
                <w:lang w:eastAsia="zh-CN"/>
              </w:rPr>
            </w:pPr>
            <w:r w:rsidRPr="00C42D19">
              <w:rPr>
                <w:rFonts w:cs="Arial"/>
                <w:color w:val="000000"/>
                <w:sz w:val="18"/>
                <w:szCs w:val="18"/>
                <w:lang w:eastAsia="zh-CN"/>
              </w:rPr>
              <w:t>Other</w:t>
            </w:r>
          </w:p>
        </w:tc>
        <w:tc>
          <w:tcPr>
            <w:tcW w:w="1276" w:type="dxa"/>
            <w:tcBorders>
              <w:bottom w:val="single" w:sz="4" w:space="0" w:color="auto"/>
            </w:tcBorders>
            <w:shd w:val="clear" w:color="auto" w:fill="BFBFBF" w:themeFill="background1" w:themeFillShade="BF"/>
            <w:noWrap/>
            <w:hideMark/>
          </w:tcPr>
          <w:p w14:paraId="35999F17"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498</w:t>
            </w:r>
          </w:p>
        </w:tc>
        <w:tc>
          <w:tcPr>
            <w:tcW w:w="1134" w:type="dxa"/>
            <w:tcBorders>
              <w:bottom w:val="single" w:sz="4" w:space="0" w:color="auto"/>
            </w:tcBorders>
            <w:shd w:val="clear" w:color="auto" w:fill="BFBFBF" w:themeFill="background1" w:themeFillShade="BF"/>
            <w:noWrap/>
            <w:hideMark/>
          </w:tcPr>
          <w:p w14:paraId="61790980"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508</w:t>
            </w:r>
          </w:p>
        </w:tc>
        <w:tc>
          <w:tcPr>
            <w:tcW w:w="1134" w:type="dxa"/>
            <w:tcBorders>
              <w:bottom w:val="single" w:sz="4" w:space="0" w:color="auto"/>
            </w:tcBorders>
            <w:shd w:val="clear" w:color="auto" w:fill="BFBFBF" w:themeFill="background1" w:themeFillShade="BF"/>
            <w:noWrap/>
            <w:hideMark/>
          </w:tcPr>
          <w:p w14:paraId="7B6E4CA9"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1,325</w:t>
            </w:r>
          </w:p>
        </w:tc>
        <w:tc>
          <w:tcPr>
            <w:tcW w:w="992" w:type="dxa"/>
            <w:tcBorders>
              <w:bottom w:val="single" w:sz="4" w:space="0" w:color="auto"/>
            </w:tcBorders>
            <w:shd w:val="clear" w:color="auto" w:fill="BFBFBF" w:themeFill="background1" w:themeFillShade="BF"/>
            <w:noWrap/>
            <w:hideMark/>
          </w:tcPr>
          <w:p w14:paraId="517FF571"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2,247</w:t>
            </w:r>
          </w:p>
        </w:tc>
        <w:tc>
          <w:tcPr>
            <w:tcW w:w="1134" w:type="dxa"/>
            <w:tcBorders>
              <w:bottom w:val="single" w:sz="4" w:space="0" w:color="auto"/>
            </w:tcBorders>
            <w:shd w:val="clear" w:color="auto" w:fill="BFBFBF" w:themeFill="background1" w:themeFillShade="BF"/>
            <w:noWrap/>
            <w:hideMark/>
          </w:tcPr>
          <w:p w14:paraId="34F7C83E"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5,890</w:t>
            </w:r>
          </w:p>
        </w:tc>
      </w:tr>
      <w:tr w:rsidR="002C11DC" w:rsidRPr="003F067F" w14:paraId="11C30C01" w14:textId="77777777" w:rsidTr="00DA3F73">
        <w:trPr>
          <w:cnfStyle w:val="000000010000" w:firstRow="0" w:lastRow="0" w:firstColumn="0" w:lastColumn="0" w:oddVBand="0" w:evenVBand="0" w:oddHBand="0" w:evenHBand="1"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bottom w:val="single" w:sz="4" w:space="0" w:color="auto"/>
            </w:tcBorders>
            <w:shd w:val="clear" w:color="auto" w:fill="D4C5D7"/>
            <w:noWrap/>
            <w:hideMark/>
          </w:tcPr>
          <w:p w14:paraId="777E4B4B" w14:textId="77777777" w:rsidR="002C11DC" w:rsidRPr="00DA3F73" w:rsidRDefault="002C11DC" w:rsidP="00C42D19">
            <w:pPr>
              <w:pStyle w:val="FSRnormal"/>
              <w:spacing w:before="0" w:after="0"/>
              <w:rPr>
                <w:rFonts w:cs="Arial"/>
                <w:b/>
                <w:color w:val="000000"/>
                <w:sz w:val="18"/>
                <w:szCs w:val="18"/>
                <w:lang w:eastAsia="zh-CN"/>
              </w:rPr>
            </w:pPr>
            <w:r w:rsidRPr="00DA3F73">
              <w:rPr>
                <w:rFonts w:cs="Arial"/>
                <w:b/>
                <w:color w:val="000000"/>
                <w:sz w:val="18"/>
                <w:szCs w:val="18"/>
                <w:lang w:eastAsia="zh-CN"/>
              </w:rPr>
              <w:t>Total</w:t>
            </w:r>
          </w:p>
        </w:tc>
        <w:tc>
          <w:tcPr>
            <w:tcW w:w="1276" w:type="dxa"/>
            <w:tcBorders>
              <w:top w:val="single" w:sz="4" w:space="0" w:color="auto"/>
              <w:bottom w:val="single" w:sz="4" w:space="0" w:color="auto"/>
            </w:tcBorders>
            <w:shd w:val="clear" w:color="auto" w:fill="D4C5D7"/>
            <w:noWrap/>
            <w:hideMark/>
          </w:tcPr>
          <w:p w14:paraId="431B6898" w14:textId="77777777" w:rsidR="002C11DC" w:rsidRPr="00DA3F73"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DA3F73">
              <w:rPr>
                <w:rFonts w:cs="Arial"/>
                <w:b/>
                <w:color w:val="000000"/>
                <w:sz w:val="18"/>
                <w:szCs w:val="18"/>
                <w:lang w:eastAsia="zh-CN"/>
              </w:rPr>
              <w:t>46</w:t>
            </w:r>
          </w:p>
        </w:tc>
        <w:tc>
          <w:tcPr>
            <w:tcW w:w="1134" w:type="dxa"/>
            <w:tcBorders>
              <w:top w:val="single" w:sz="4" w:space="0" w:color="auto"/>
              <w:bottom w:val="single" w:sz="4" w:space="0" w:color="auto"/>
            </w:tcBorders>
            <w:shd w:val="clear" w:color="auto" w:fill="D4C5D7"/>
            <w:noWrap/>
            <w:hideMark/>
          </w:tcPr>
          <w:p w14:paraId="0D885BE0" w14:textId="77777777" w:rsidR="002C11DC" w:rsidRPr="00DA3F73"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DA3F73">
              <w:rPr>
                <w:rFonts w:cs="Arial"/>
                <w:b/>
                <w:color w:val="000000"/>
                <w:sz w:val="18"/>
                <w:szCs w:val="18"/>
                <w:lang w:eastAsia="zh-CN"/>
              </w:rPr>
              <w:t>109</w:t>
            </w:r>
          </w:p>
        </w:tc>
        <w:tc>
          <w:tcPr>
            <w:tcW w:w="1134" w:type="dxa"/>
            <w:tcBorders>
              <w:top w:val="single" w:sz="4" w:space="0" w:color="auto"/>
              <w:bottom w:val="single" w:sz="4" w:space="0" w:color="auto"/>
            </w:tcBorders>
            <w:shd w:val="clear" w:color="auto" w:fill="D4C5D7"/>
            <w:noWrap/>
            <w:hideMark/>
          </w:tcPr>
          <w:p w14:paraId="43394CE2" w14:textId="77777777" w:rsidR="002C11DC" w:rsidRPr="00DA3F73"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DA3F73">
              <w:rPr>
                <w:rFonts w:cs="Arial"/>
                <w:b/>
                <w:color w:val="000000"/>
                <w:sz w:val="18"/>
                <w:szCs w:val="18"/>
                <w:lang w:eastAsia="zh-CN"/>
              </w:rPr>
              <w:t>2,648</w:t>
            </w:r>
          </w:p>
        </w:tc>
        <w:tc>
          <w:tcPr>
            <w:tcW w:w="992" w:type="dxa"/>
            <w:tcBorders>
              <w:top w:val="single" w:sz="4" w:space="0" w:color="auto"/>
              <w:bottom w:val="single" w:sz="4" w:space="0" w:color="auto"/>
            </w:tcBorders>
            <w:shd w:val="clear" w:color="auto" w:fill="D4C5D7"/>
            <w:noWrap/>
            <w:hideMark/>
          </w:tcPr>
          <w:p w14:paraId="08474FE6" w14:textId="77777777" w:rsidR="002C11DC" w:rsidRPr="00DA3F73"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DA3F73">
              <w:rPr>
                <w:rFonts w:cs="Arial"/>
                <w:b/>
                <w:color w:val="000000"/>
                <w:sz w:val="18"/>
                <w:szCs w:val="18"/>
                <w:lang w:eastAsia="zh-CN"/>
              </w:rPr>
              <w:t>5,649</w:t>
            </w:r>
          </w:p>
        </w:tc>
        <w:tc>
          <w:tcPr>
            <w:tcW w:w="1134" w:type="dxa"/>
            <w:tcBorders>
              <w:top w:val="single" w:sz="4" w:space="0" w:color="auto"/>
              <w:bottom w:val="single" w:sz="4" w:space="0" w:color="auto"/>
            </w:tcBorders>
            <w:shd w:val="clear" w:color="auto" w:fill="D4C5D7"/>
            <w:noWrap/>
            <w:hideMark/>
          </w:tcPr>
          <w:p w14:paraId="32D0DD35" w14:textId="77777777" w:rsidR="002C11DC" w:rsidRPr="00DA3F73"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DA3F73">
              <w:rPr>
                <w:rFonts w:cs="Arial"/>
                <w:b/>
                <w:color w:val="000000"/>
                <w:sz w:val="18"/>
                <w:szCs w:val="18"/>
                <w:lang w:eastAsia="zh-CN"/>
              </w:rPr>
              <w:t>20,960</w:t>
            </w:r>
          </w:p>
        </w:tc>
      </w:tr>
      <w:tr w:rsidR="002C11DC" w:rsidRPr="00C42D19" w14:paraId="300B75EE" w14:textId="77777777" w:rsidTr="00DA3F73">
        <w:trPr>
          <w:trHeight w:val="28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tcBorders>
            <w:shd w:val="clear" w:color="auto" w:fill="BFBFBF" w:themeFill="background1" w:themeFillShade="BF"/>
            <w:noWrap/>
            <w:hideMark/>
          </w:tcPr>
          <w:p w14:paraId="02B03C5D" w14:textId="77777777" w:rsidR="002C11DC" w:rsidRPr="00C42D19" w:rsidRDefault="002C11DC" w:rsidP="00C42D19">
            <w:pPr>
              <w:pStyle w:val="FSRnormal"/>
              <w:spacing w:before="0" w:after="0"/>
              <w:rPr>
                <w:rFonts w:cs="Arial"/>
                <w:b/>
                <w:color w:val="000000"/>
                <w:sz w:val="18"/>
                <w:szCs w:val="18"/>
                <w:lang w:eastAsia="zh-CN"/>
              </w:rPr>
            </w:pPr>
            <w:r w:rsidRPr="00C42D19">
              <w:rPr>
                <w:rFonts w:cs="Arial"/>
                <w:b/>
                <w:color w:val="000000"/>
                <w:sz w:val="18"/>
                <w:szCs w:val="18"/>
                <w:lang w:eastAsia="zh-CN"/>
              </w:rPr>
              <w:t>% Difference</w:t>
            </w:r>
          </w:p>
        </w:tc>
        <w:tc>
          <w:tcPr>
            <w:tcW w:w="1276" w:type="dxa"/>
            <w:tcBorders>
              <w:top w:val="single" w:sz="4" w:space="0" w:color="auto"/>
            </w:tcBorders>
            <w:shd w:val="clear" w:color="auto" w:fill="BFBFBF" w:themeFill="background1" w:themeFillShade="BF"/>
            <w:noWrap/>
            <w:hideMark/>
          </w:tcPr>
          <w:p w14:paraId="3E085F87"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i/>
                <w:iCs/>
                <w:color w:val="000000"/>
                <w:sz w:val="18"/>
                <w:szCs w:val="18"/>
                <w:lang w:eastAsia="zh-CN"/>
              </w:rPr>
            </w:pPr>
            <w:r w:rsidRPr="00C42D19">
              <w:rPr>
                <w:rFonts w:cs="Arial"/>
                <w:i/>
                <w:iCs/>
                <w:color w:val="000000"/>
                <w:sz w:val="18"/>
                <w:szCs w:val="18"/>
                <w:lang w:eastAsia="zh-CN"/>
              </w:rPr>
              <w:t> </w:t>
            </w:r>
          </w:p>
        </w:tc>
        <w:tc>
          <w:tcPr>
            <w:tcW w:w="1134" w:type="dxa"/>
            <w:tcBorders>
              <w:top w:val="single" w:sz="4" w:space="0" w:color="auto"/>
            </w:tcBorders>
            <w:shd w:val="clear" w:color="auto" w:fill="BFBFBF" w:themeFill="background1" w:themeFillShade="BF"/>
            <w:noWrap/>
            <w:hideMark/>
          </w:tcPr>
          <w:p w14:paraId="62458A2C"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i/>
                <w:iCs/>
                <w:color w:val="000000"/>
                <w:sz w:val="18"/>
                <w:szCs w:val="18"/>
                <w:lang w:eastAsia="zh-CN"/>
              </w:rPr>
            </w:pPr>
            <w:r w:rsidRPr="00C42D19">
              <w:rPr>
                <w:rFonts w:cs="Arial"/>
                <w:i/>
                <w:iCs/>
                <w:color w:val="000000"/>
                <w:sz w:val="18"/>
                <w:szCs w:val="18"/>
                <w:lang w:eastAsia="zh-CN"/>
              </w:rPr>
              <w:t> </w:t>
            </w:r>
          </w:p>
        </w:tc>
        <w:tc>
          <w:tcPr>
            <w:tcW w:w="1134" w:type="dxa"/>
            <w:tcBorders>
              <w:top w:val="single" w:sz="4" w:space="0" w:color="auto"/>
            </w:tcBorders>
            <w:shd w:val="clear" w:color="auto" w:fill="BFBFBF" w:themeFill="background1" w:themeFillShade="BF"/>
            <w:noWrap/>
            <w:hideMark/>
          </w:tcPr>
          <w:p w14:paraId="20D29972"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i/>
                <w:iCs/>
                <w:color w:val="000000"/>
                <w:sz w:val="18"/>
                <w:szCs w:val="18"/>
                <w:lang w:eastAsia="zh-CN"/>
              </w:rPr>
            </w:pPr>
            <w:r w:rsidRPr="00C42D19">
              <w:rPr>
                <w:rFonts w:cs="Arial"/>
                <w:i/>
                <w:iCs/>
                <w:color w:val="000000"/>
                <w:sz w:val="18"/>
                <w:szCs w:val="18"/>
                <w:lang w:eastAsia="zh-CN"/>
              </w:rPr>
              <w:t> </w:t>
            </w:r>
          </w:p>
        </w:tc>
        <w:tc>
          <w:tcPr>
            <w:tcW w:w="992" w:type="dxa"/>
            <w:tcBorders>
              <w:top w:val="single" w:sz="4" w:space="0" w:color="auto"/>
            </w:tcBorders>
            <w:shd w:val="clear" w:color="auto" w:fill="BFBFBF" w:themeFill="background1" w:themeFillShade="BF"/>
            <w:noWrap/>
            <w:hideMark/>
          </w:tcPr>
          <w:p w14:paraId="4A556DA0"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i/>
                <w:iCs/>
                <w:color w:val="000000"/>
                <w:sz w:val="18"/>
                <w:szCs w:val="18"/>
                <w:lang w:eastAsia="zh-CN"/>
              </w:rPr>
            </w:pPr>
            <w:r w:rsidRPr="00C42D19">
              <w:rPr>
                <w:rFonts w:cs="Arial"/>
                <w:i/>
                <w:iCs/>
                <w:color w:val="000000"/>
                <w:sz w:val="18"/>
                <w:szCs w:val="18"/>
                <w:lang w:eastAsia="zh-CN"/>
              </w:rPr>
              <w:t> </w:t>
            </w:r>
          </w:p>
        </w:tc>
        <w:tc>
          <w:tcPr>
            <w:tcW w:w="1134" w:type="dxa"/>
            <w:tcBorders>
              <w:top w:val="single" w:sz="4" w:space="0" w:color="auto"/>
            </w:tcBorders>
            <w:shd w:val="clear" w:color="auto" w:fill="BFBFBF" w:themeFill="background1" w:themeFillShade="BF"/>
            <w:noWrap/>
            <w:hideMark/>
          </w:tcPr>
          <w:p w14:paraId="4A5B6A57"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i/>
                <w:iCs/>
                <w:color w:val="000000"/>
                <w:sz w:val="18"/>
                <w:szCs w:val="18"/>
                <w:lang w:eastAsia="zh-CN"/>
              </w:rPr>
            </w:pPr>
            <w:r w:rsidRPr="00C42D19">
              <w:rPr>
                <w:rFonts w:cs="Arial"/>
                <w:i/>
                <w:iCs/>
                <w:color w:val="000000"/>
                <w:sz w:val="18"/>
                <w:szCs w:val="18"/>
                <w:lang w:eastAsia="zh-CN"/>
              </w:rPr>
              <w:t> </w:t>
            </w:r>
          </w:p>
        </w:tc>
      </w:tr>
      <w:tr w:rsidR="002C11DC" w:rsidRPr="00C42D19" w14:paraId="39ECB2BB" w14:textId="77777777" w:rsidTr="001137BC">
        <w:trPr>
          <w:cnfStyle w:val="000000010000" w:firstRow="0" w:lastRow="0" w:firstColumn="0" w:lastColumn="0" w:oddVBand="0" w:evenVBand="0" w:oddHBand="0" w:evenHBand="1"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42B7FBA2" w14:textId="77777777" w:rsidR="002C11DC" w:rsidRPr="00C42D19" w:rsidRDefault="002C11DC" w:rsidP="00C42D19">
            <w:pPr>
              <w:pStyle w:val="FSRnormal"/>
              <w:spacing w:before="0" w:after="0"/>
              <w:rPr>
                <w:rFonts w:cs="Arial"/>
                <w:color w:val="000000"/>
                <w:sz w:val="18"/>
                <w:szCs w:val="18"/>
                <w:lang w:eastAsia="zh-CN"/>
              </w:rPr>
            </w:pPr>
            <w:r w:rsidRPr="00C42D19">
              <w:rPr>
                <w:rFonts w:cs="Arial"/>
                <w:color w:val="000000"/>
                <w:sz w:val="18"/>
                <w:szCs w:val="18"/>
                <w:lang w:eastAsia="zh-CN"/>
              </w:rPr>
              <w:t>Autism</w:t>
            </w:r>
          </w:p>
        </w:tc>
        <w:tc>
          <w:tcPr>
            <w:tcW w:w="1276" w:type="dxa"/>
            <w:noWrap/>
            <w:hideMark/>
          </w:tcPr>
          <w:p w14:paraId="273D5D54"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-6%</w:t>
            </w:r>
          </w:p>
        </w:tc>
        <w:tc>
          <w:tcPr>
            <w:tcW w:w="1134" w:type="dxa"/>
            <w:noWrap/>
            <w:hideMark/>
          </w:tcPr>
          <w:p w14:paraId="7832336F"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-4%</w:t>
            </w:r>
          </w:p>
        </w:tc>
        <w:tc>
          <w:tcPr>
            <w:tcW w:w="1134" w:type="dxa"/>
            <w:noWrap/>
            <w:hideMark/>
          </w:tcPr>
          <w:p w14:paraId="38EC13F3"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3%</w:t>
            </w:r>
          </w:p>
        </w:tc>
        <w:tc>
          <w:tcPr>
            <w:tcW w:w="992" w:type="dxa"/>
            <w:noWrap/>
            <w:hideMark/>
          </w:tcPr>
          <w:p w14:paraId="53C61709"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11%</w:t>
            </w:r>
          </w:p>
        </w:tc>
        <w:tc>
          <w:tcPr>
            <w:tcW w:w="1134" w:type="dxa"/>
            <w:noWrap/>
            <w:hideMark/>
          </w:tcPr>
          <w:p w14:paraId="716E923A"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35%</w:t>
            </w:r>
          </w:p>
        </w:tc>
      </w:tr>
      <w:tr w:rsidR="002C11DC" w:rsidRPr="00C42D19" w14:paraId="12B25B5E" w14:textId="77777777" w:rsidTr="001137BC">
        <w:trPr>
          <w:trHeight w:val="28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48918CEB" w14:textId="77777777" w:rsidR="002C11DC" w:rsidRPr="00C42D19" w:rsidRDefault="002C11DC" w:rsidP="00C42D19">
            <w:pPr>
              <w:pStyle w:val="FSRnormal"/>
              <w:spacing w:before="0" w:after="0"/>
              <w:rPr>
                <w:rFonts w:cs="Arial"/>
                <w:color w:val="000000"/>
                <w:sz w:val="18"/>
                <w:szCs w:val="18"/>
                <w:lang w:eastAsia="zh-CN"/>
              </w:rPr>
            </w:pPr>
            <w:r w:rsidRPr="00C42D19">
              <w:rPr>
                <w:rFonts w:cs="Arial"/>
                <w:color w:val="000000"/>
                <w:sz w:val="18"/>
                <w:szCs w:val="18"/>
                <w:lang w:eastAsia="zh-CN"/>
              </w:rPr>
              <w:t>Intellectual Disability</w:t>
            </w:r>
          </w:p>
        </w:tc>
        <w:tc>
          <w:tcPr>
            <w:tcW w:w="1276" w:type="dxa"/>
            <w:noWrap/>
            <w:hideMark/>
          </w:tcPr>
          <w:p w14:paraId="12D7FD2C"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w:t>
            </w:r>
          </w:p>
        </w:tc>
        <w:tc>
          <w:tcPr>
            <w:tcW w:w="1134" w:type="dxa"/>
            <w:noWrap/>
            <w:hideMark/>
          </w:tcPr>
          <w:p w14:paraId="031846BF"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w:t>
            </w:r>
          </w:p>
        </w:tc>
        <w:tc>
          <w:tcPr>
            <w:tcW w:w="1134" w:type="dxa"/>
            <w:noWrap/>
            <w:hideMark/>
          </w:tcPr>
          <w:p w14:paraId="555EC4FC"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5%</w:t>
            </w:r>
          </w:p>
        </w:tc>
        <w:tc>
          <w:tcPr>
            <w:tcW w:w="992" w:type="dxa"/>
            <w:noWrap/>
            <w:hideMark/>
          </w:tcPr>
          <w:p w14:paraId="2FB7C8D9"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11%</w:t>
            </w:r>
          </w:p>
        </w:tc>
        <w:tc>
          <w:tcPr>
            <w:tcW w:w="1134" w:type="dxa"/>
            <w:noWrap/>
            <w:hideMark/>
          </w:tcPr>
          <w:p w14:paraId="38A0FA62"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27%</w:t>
            </w:r>
          </w:p>
        </w:tc>
      </w:tr>
      <w:tr w:rsidR="002C11DC" w:rsidRPr="00C42D19" w14:paraId="7339DFC0" w14:textId="77777777" w:rsidTr="001137BC">
        <w:trPr>
          <w:cnfStyle w:val="000000010000" w:firstRow="0" w:lastRow="0" w:firstColumn="0" w:lastColumn="0" w:oddVBand="0" w:evenVBand="0" w:oddHBand="0" w:evenHBand="1"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5F67EFDA" w14:textId="77777777" w:rsidR="002C11DC" w:rsidRPr="00C42D19" w:rsidRDefault="002C11DC" w:rsidP="00C42D19">
            <w:pPr>
              <w:pStyle w:val="FSRnormal"/>
              <w:spacing w:before="0" w:after="0"/>
              <w:rPr>
                <w:rFonts w:cs="Arial"/>
                <w:color w:val="000000"/>
                <w:sz w:val="18"/>
                <w:szCs w:val="18"/>
                <w:lang w:eastAsia="zh-CN"/>
              </w:rPr>
            </w:pPr>
            <w:r w:rsidRPr="00C42D19">
              <w:rPr>
                <w:rFonts w:cs="Arial"/>
                <w:color w:val="000000"/>
                <w:sz w:val="18"/>
                <w:szCs w:val="18"/>
                <w:lang w:eastAsia="zh-CN"/>
              </w:rPr>
              <w:t>Psychosocial Disability</w:t>
            </w:r>
          </w:p>
        </w:tc>
        <w:tc>
          <w:tcPr>
            <w:tcW w:w="1276" w:type="dxa"/>
            <w:noWrap/>
            <w:hideMark/>
          </w:tcPr>
          <w:p w14:paraId="31695BB5"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5%</w:t>
            </w:r>
          </w:p>
        </w:tc>
        <w:tc>
          <w:tcPr>
            <w:tcW w:w="1134" w:type="dxa"/>
            <w:noWrap/>
            <w:hideMark/>
          </w:tcPr>
          <w:p w14:paraId="31EFFC9B"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6%</w:t>
            </w:r>
          </w:p>
        </w:tc>
        <w:tc>
          <w:tcPr>
            <w:tcW w:w="1134" w:type="dxa"/>
            <w:noWrap/>
            <w:hideMark/>
          </w:tcPr>
          <w:p w14:paraId="5EBA9595"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13%</w:t>
            </w:r>
          </w:p>
        </w:tc>
        <w:tc>
          <w:tcPr>
            <w:tcW w:w="992" w:type="dxa"/>
            <w:noWrap/>
            <w:hideMark/>
          </w:tcPr>
          <w:p w14:paraId="370955B6"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20%</w:t>
            </w:r>
          </w:p>
        </w:tc>
        <w:tc>
          <w:tcPr>
            <w:tcW w:w="1134" w:type="dxa"/>
            <w:noWrap/>
            <w:hideMark/>
          </w:tcPr>
          <w:p w14:paraId="7C2A061F"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35%</w:t>
            </w:r>
          </w:p>
        </w:tc>
      </w:tr>
      <w:tr w:rsidR="002C11DC" w:rsidRPr="00C42D19" w14:paraId="49F6099E" w14:textId="77777777" w:rsidTr="001137BC">
        <w:trPr>
          <w:trHeight w:val="28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0E49B8C5" w14:textId="77777777" w:rsidR="002C11DC" w:rsidRPr="00C42D19" w:rsidRDefault="002C11DC" w:rsidP="00C42D19">
            <w:pPr>
              <w:pStyle w:val="FSRnormal"/>
              <w:spacing w:before="0" w:after="0"/>
              <w:rPr>
                <w:rFonts w:cs="Arial"/>
                <w:color w:val="000000"/>
                <w:sz w:val="18"/>
                <w:szCs w:val="18"/>
                <w:lang w:eastAsia="zh-CN"/>
              </w:rPr>
            </w:pPr>
            <w:r w:rsidRPr="00C42D19">
              <w:rPr>
                <w:rFonts w:cs="Arial"/>
                <w:color w:val="000000"/>
                <w:sz w:val="18"/>
                <w:szCs w:val="18"/>
                <w:lang w:eastAsia="zh-CN"/>
              </w:rPr>
              <w:t>Developmental Delay</w:t>
            </w:r>
          </w:p>
        </w:tc>
        <w:tc>
          <w:tcPr>
            <w:tcW w:w="1276" w:type="dxa"/>
            <w:noWrap/>
            <w:hideMark/>
          </w:tcPr>
          <w:p w14:paraId="3D422653"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-11%</w:t>
            </w:r>
          </w:p>
        </w:tc>
        <w:tc>
          <w:tcPr>
            <w:tcW w:w="1134" w:type="dxa"/>
            <w:noWrap/>
            <w:hideMark/>
          </w:tcPr>
          <w:p w14:paraId="2DC4FFF1"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-18%</w:t>
            </w:r>
          </w:p>
        </w:tc>
        <w:tc>
          <w:tcPr>
            <w:tcW w:w="1134" w:type="dxa"/>
            <w:noWrap/>
            <w:hideMark/>
          </w:tcPr>
          <w:p w14:paraId="799B8675"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-18%</w:t>
            </w:r>
          </w:p>
        </w:tc>
        <w:tc>
          <w:tcPr>
            <w:tcW w:w="992" w:type="dxa"/>
            <w:noWrap/>
            <w:hideMark/>
          </w:tcPr>
          <w:p w14:paraId="5E822266"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-16%</w:t>
            </w:r>
          </w:p>
        </w:tc>
        <w:tc>
          <w:tcPr>
            <w:tcW w:w="1134" w:type="dxa"/>
            <w:noWrap/>
            <w:hideMark/>
          </w:tcPr>
          <w:p w14:paraId="416E9279"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-8%</w:t>
            </w:r>
          </w:p>
        </w:tc>
      </w:tr>
      <w:tr w:rsidR="002C11DC" w:rsidRPr="00C42D19" w14:paraId="3994E200" w14:textId="77777777" w:rsidTr="001137BC">
        <w:trPr>
          <w:cnfStyle w:val="000000010000" w:firstRow="0" w:lastRow="0" w:firstColumn="0" w:lastColumn="0" w:oddVBand="0" w:evenVBand="0" w:oddHBand="0" w:evenHBand="1"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397" w:type="dxa"/>
            <w:noWrap/>
            <w:hideMark/>
          </w:tcPr>
          <w:p w14:paraId="7EDBCE2F" w14:textId="77777777" w:rsidR="002C11DC" w:rsidRPr="00C42D19" w:rsidRDefault="002C11DC" w:rsidP="00C42D19">
            <w:pPr>
              <w:pStyle w:val="FSRnormal"/>
              <w:spacing w:before="0" w:after="0"/>
              <w:rPr>
                <w:rFonts w:cs="Arial"/>
                <w:color w:val="000000"/>
                <w:sz w:val="18"/>
                <w:szCs w:val="18"/>
                <w:lang w:eastAsia="zh-CN"/>
              </w:rPr>
            </w:pPr>
            <w:r w:rsidRPr="00C42D19">
              <w:rPr>
                <w:rFonts w:cs="Arial"/>
                <w:color w:val="000000"/>
                <w:sz w:val="18"/>
                <w:szCs w:val="18"/>
                <w:lang w:eastAsia="zh-CN"/>
              </w:rPr>
              <w:t>Sensory</w:t>
            </w:r>
          </w:p>
        </w:tc>
        <w:tc>
          <w:tcPr>
            <w:tcW w:w="1276" w:type="dxa"/>
            <w:noWrap/>
            <w:hideMark/>
          </w:tcPr>
          <w:p w14:paraId="5181CE78"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-4%</w:t>
            </w:r>
          </w:p>
        </w:tc>
        <w:tc>
          <w:tcPr>
            <w:tcW w:w="1134" w:type="dxa"/>
            <w:noWrap/>
            <w:hideMark/>
          </w:tcPr>
          <w:p w14:paraId="7BDAB2EC"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-5%</w:t>
            </w:r>
          </w:p>
        </w:tc>
        <w:tc>
          <w:tcPr>
            <w:tcW w:w="1134" w:type="dxa"/>
            <w:noWrap/>
            <w:hideMark/>
          </w:tcPr>
          <w:p w14:paraId="100F0611"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0%</w:t>
            </w:r>
          </w:p>
        </w:tc>
        <w:tc>
          <w:tcPr>
            <w:tcW w:w="992" w:type="dxa"/>
            <w:noWrap/>
            <w:hideMark/>
          </w:tcPr>
          <w:p w14:paraId="2B68773E"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5%</w:t>
            </w:r>
          </w:p>
        </w:tc>
        <w:tc>
          <w:tcPr>
            <w:tcW w:w="1134" w:type="dxa"/>
            <w:noWrap/>
            <w:hideMark/>
          </w:tcPr>
          <w:p w14:paraId="61B360C9"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20%</w:t>
            </w:r>
          </w:p>
        </w:tc>
      </w:tr>
      <w:tr w:rsidR="002C11DC" w:rsidRPr="00C42D19" w14:paraId="718A4412" w14:textId="77777777" w:rsidTr="001137BC">
        <w:trPr>
          <w:trHeight w:val="280"/>
        </w:trPr>
        <w:tc>
          <w:tcPr>
            <w:cnfStyle w:val="001000000000" w:firstRow="0" w:lastRow="0" w:firstColumn="1" w:lastColumn="0" w:oddVBand="0" w:evenVBand="0" w:oddHBand="0" w:evenHBand="0" w:firstRowFirstColumn="0" w:firstRowLastColumn="0" w:lastRowFirstColumn="0" w:lastRowLastColumn="0"/>
            <w:tcW w:w="3397" w:type="dxa"/>
            <w:tcBorders>
              <w:bottom w:val="single" w:sz="4" w:space="0" w:color="auto"/>
            </w:tcBorders>
            <w:noWrap/>
            <w:hideMark/>
          </w:tcPr>
          <w:p w14:paraId="1FAEF1D1" w14:textId="77777777" w:rsidR="002C11DC" w:rsidRPr="00C42D19" w:rsidRDefault="002C11DC" w:rsidP="00C42D19">
            <w:pPr>
              <w:pStyle w:val="FSRnormal"/>
              <w:spacing w:before="0" w:after="0"/>
              <w:rPr>
                <w:rFonts w:cs="Arial"/>
                <w:color w:val="000000"/>
                <w:sz w:val="18"/>
                <w:szCs w:val="18"/>
                <w:lang w:eastAsia="zh-CN"/>
              </w:rPr>
            </w:pPr>
            <w:r w:rsidRPr="00C42D19">
              <w:rPr>
                <w:rFonts w:cs="Arial"/>
                <w:color w:val="000000"/>
                <w:sz w:val="18"/>
                <w:szCs w:val="18"/>
                <w:lang w:eastAsia="zh-CN"/>
              </w:rPr>
              <w:t>Other</w:t>
            </w:r>
          </w:p>
        </w:tc>
        <w:tc>
          <w:tcPr>
            <w:tcW w:w="1276" w:type="dxa"/>
            <w:tcBorders>
              <w:bottom w:val="single" w:sz="4" w:space="0" w:color="auto"/>
            </w:tcBorders>
            <w:noWrap/>
            <w:hideMark/>
          </w:tcPr>
          <w:p w14:paraId="157FB446"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4%</w:t>
            </w:r>
          </w:p>
        </w:tc>
        <w:tc>
          <w:tcPr>
            <w:tcW w:w="1134" w:type="dxa"/>
            <w:tcBorders>
              <w:bottom w:val="single" w:sz="4" w:space="0" w:color="auto"/>
            </w:tcBorders>
            <w:noWrap/>
            <w:hideMark/>
          </w:tcPr>
          <w:p w14:paraId="5F3390A2"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4%</w:t>
            </w:r>
          </w:p>
        </w:tc>
        <w:tc>
          <w:tcPr>
            <w:tcW w:w="1134" w:type="dxa"/>
            <w:tcBorders>
              <w:bottom w:val="single" w:sz="4" w:space="0" w:color="auto"/>
            </w:tcBorders>
            <w:noWrap/>
            <w:hideMark/>
          </w:tcPr>
          <w:p w14:paraId="58408153"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10%</w:t>
            </w:r>
          </w:p>
        </w:tc>
        <w:tc>
          <w:tcPr>
            <w:tcW w:w="992" w:type="dxa"/>
            <w:tcBorders>
              <w:bottom w:val="single" w:sz="4" w:space="0" w:color="auto"/>
            </w:tcBorders>
            <w:noWrap/>
            <w:hideMark/>
          </w:tcPr>
          <w:p w14:paraId="3DAE2B43"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16%</w:t>
            </w:r>
          </w:p>
        </w:tc>
        <w:tc>
          <w:tcPr>
            <w:tcW w:w="1134" w:type="dxa"/>
            <w:tcBorders>
              <w:bottom w:val="single" w:sz="4" w:space="0" w:color="auto"/>
            </w:tcBorders>
            <w:noWrap/>
            <w:hideMark/>
          </w:tcPr>
          <w:p w14:paraId="5DBE8892" w14:textId="77777777" w:rsidR="002C11DC" w:rsidRPr="00C42D19" w:rsidRDefault="002C11DC" w:rsidP="00C42D19">
            <w:pPr>
              <w:pStyle w:val="FSRnormal"/>
              <w:spacing w:before="0" w:after="0"/>
              <w:cnfStyle w:val="000000000000" w:firstRow="0" w:lastRow="0" w:firstColumn="0" w:lastColumn="0" w:oddVBand="0" w:evenVBand="0" w:oddHBand="0" w:evenHBand="0" w:firstRowFirstColumn="0" w:firstRowLastColumn="0" w:lastRowFirstColumn="0" w:lastRowLastColumn="0"/>
              <w:rPr>
                <w:rFonts w:cs="Arial"/>
                <w:color w:val="000000"/>
                <w:sz w:val="18"/>
                <w:szCs w:val="18"/>
                <w:lang w:eastAsia="zh-CN"/>
              </w:rPr>
            </w:pPr>
            <w:r w:rsidRPr="00C42D19">
              <w:rPr>
                <w:rFonts w:cs="Arial"/>
                <w:color w:val="000000"/>
                <w:sz w:val="18"/>
                <w:szCs w:val="18"/>
                <w:lang w:eastAsia="zh-CN"/>
              </w:rPr>
              <w:t>32%</w:t>
            </w:r>
          </w:p>
        </w:tc>
      </w:tr>
      <w:tr w:rsidR="002C11DC" w:rsidRPr="00C42D19" w14:paraId="5F556298" w14:textId="77777777" w:rsidTr="001137BC">
        <w:trPr>
          <w:cnfStyle w:val="000000010000" w:firstRow="0" w:lastRow="0" w:firstColumn="0" w:lastColumn="0" w:oddVBand="0" w:evenVBand="0" w:oddHBand="0" w:evenHBand="1"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bottom w:val="single" w:sz="4" w:space="0" w:color="auto"/>
            </w:tcBorders>
            <w:shd w:val="clear" w:color="auto" w:fill="D4C5D7"/>
            <w:noWrap/>
            <w:hideMark/>
          </w:tcPr>
          <w:p w14:paraId="60624A1E" w14:textId="77777777" w:rsidR="002C11DC" w:rsidRPr="00C42D19" w:rsidRDefault="002C11DC" w:rsidP="00C42D19">
            <w:pPr>
              <w:pStyle w:val="FSRnormal"/>
              <w:spacing w:before="0" w:after="0"/>
              <w:rPr>
                <w:rFonts w:cs="Arial"/>
                <w:b/>
                <w:color w:val="000000"/>
                <w:sz w:val="18"/>
                <w:szCs w:val="18"/>
                <w:lang w:eastAsia="zh-CN"/>
              </w:rPr>
            </w:pPr>
            <w:r w:rsidRPr="00C42D19">
              <w:rPr>
                <w:rFonts w:cs="Arial"/>
                <w:b/>
                <w:color w:val="000000"/>
                <w:sz w:val="18"/>
                <w:szCs w:val="18"/>
                <w:lang w:eastAsia="zh-CN"/>
              </w:rPr>
              <w:t>Total</w:t>
            </w:r>
          </w:p>
        </w:tc>
        <w:tc>
          <w:tcPr>
            <w:tcW w:w="1276" w:type="dxa"/>
            <w:tcBorders>
              <w:top w:val="single" w:sz="4" w:space="0" w:color="auto"/>
              <w:bottom w:val="single" w:sz="4" w:space="0" w:color="auto"/>
            </w:tcBorders>
            <w:shd w:val="clear" w:color="auto" w:fill="D4C5D7"/>
            <w:noWrap/>
            <w:hideMark/>
          </w:tcPr>
          <w:p w14:paraId="35C24A2C"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C42D19">
              <w:rPr>
                <w:rFonts w:cs="Arial"/>
                <w:b/>
                <w:color w:val="000000"/>
                <w:sz w:val="18"/>
                <w:szCs w:val="18"/>
                <w:lang w:eastAsia="zh-CN"/>
              </w:rPr>
              <w:t>0%</w:t>
            </w:r>
          </w:p>
        </w:tc>
        <w:tc>
          <w:tcPr>
            <w:tcW w:w="1134" w:type="dxa"/>
            <w:tcBorders>
              <w:top w:val="single" w:sz="4" w:space="0" w:color="auto"/>
              <w:bottom w:val="single" w:sz="4" w:space="0" w:color="auto"/>
            </w:tcBorders>
            <w:shd w:val="clear" w:color="auto" w:fill="D4C5D7"/>
            <w:noWrap/>
            <w:hideMark/>
          </w:tcPr>
          <w:p w14:paraId="79A45BB0"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C42D19">
              <w:rPr>
                <w:rFonts w:cs="Arial"/>
                <w:b/>
                <w:color w:val="000000"/>
                <w:sz w:val="18"/>
                <w:szCs w:val="18"/>
                <w:lang w:eastAsia="zh-CN"/>
              </w:rPr>
              <w:t>0%</w:t>
            </w:r>
          </w:p>
        </w:tc>
        <w:tc>
          <w:tcPr>
            <w:tcW w:w="1134" w:type="dxa"/>
            <w:tcBorders>
              <w:top w:val="single" w:sz="4" w:space="0" w:color="auto"/>
              <w:bottom w:val="single" w:sz="4" w:space="0" w:color="auto"/>
            </w:tcBorders>
            <w:shd w:val="clear" w:color="auto" w:fill="D4C5D7"/>
            <w:noWrap/>
            <w:hideMark/>
          </w:tcPr>
          <w:p w14:paraId="315E69BF"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C42D19">
              <w:rPr>
                <w:rFonts w:cs="Arial"/>
                <w:b/>
                <w:color w:val="000000"/>
                <w:sz w:val="18"/>
                <w:szCs w:val="18"/>
                <w:lang w:eastAsia="zh-CN"/>
              </w:rPr>
              <w:t>6%</w:t>
            </w:r>
          </w:p>
        </w:tc>
        <w:tc>
          <w:tcPr>
            <w:tcW w:w="992" w:type="dxa"/>
            <w:tcBorders>
              <w:top w:val="single" w:sz="4" w:space="0" w:color="auto"/>
              <w:bottom w:val="single" w:sz="4" w:space="0" w:color="auto"/>
            </w:tcBorders>
            <w:shd w:val="clear" w:color="auto" w:fill="D4C5D7"/>
            <w:noWrap/>
            <w:hideMark/>
          </w:tcPr>
          <w:p w14:paraId="0E0B9324"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C42D19">
              <w:rPr>
                <w:rFonts w:cs="Arial"/>
                <w:b/>
                <w:color w:val="000000"/>
                <w:sz w:val="18"/>
                <w:szCs w:val="18"/>
                <w:lang w:eastAsia="zh-CN"/>
              </w:rPr>
              <w:t>13%</w:t>
            </w:r>
          </w:p>
        </w:tc>
        <w:tc>
          <w:tcPr>
            <w:tcW w:w="1134" w:type="dxa"/>
            <w:tcBorders>
              <w:top w:val="single" w:sz="4" w:space="0" w:color="auto"/>
              <w:bottom w:val="single" w:sz="4" w:space="0" w:color="auto"/>
            </w:tcBorders>
            <w:shd w:val="clear" w:color="auto" w:fill="D4C5D7"/>
            <w:noWrap/>
            <w:hideMark/>
          </w:tcPr>
          <w:p w14:paraId="6D187BE1" w14:textId="77777777" w:rsidR="002C11DC" w:rsidRPr="00C42D19" w:rsidRDefault="002C11DC" w:rsidP="00C42D19">
            <w:pPr>
              <w:pStyle w:val="FSRnormal"/>
              <w:spacing w:before="0" w:after="0"/>
              <w:cnfStyle w:val="000000010000" w:firstRow="0" w:lastRow="0" w:firstColumn="0" w:lastColumn="0" w:oddVBand="0" w:evenVBand="0" w:oddHBand="0" w:evenHBand="1" w:firstRowFirstColumn="0" w:firstRowLastColumn="0" w:lastRowFirstColumn="0" w:lastRowLastColumn="0"/>
              <w:rPr>
                <w:rFonts w:cs="Arial"/>
                <w:b/>
                <w:color w:val="000000"/>
                <w:sz w:val="18"/>
                <w:szCs w:val="18"/>
                <w:lang w:eastAsia="zh-CN"/>
              </w:rPr>
            </w:pPr>
            <w:r w:rsidRPr="00C42D19">
              <w:rPr>
                <w:rFonts w:cs="Arial"/>
                <w:b/>
                <w:color w:val="000000"/>
                <w:sz w:val="18"/>
                <w:szCs w:val="18"/>
                <w:lang w:eastAsia="zh-CN"/>
              </w:rPr>
              <w:t>31%</w:t>
            </w:r>
          </w:p>
        </w:tc>
      </w:tr>
    </w:tbl>
    <w:p w14:paraId="69B444CC" w14:textId="77777777" w:rsidR="003C1060" w:rsidRDefault="003C1060" w:rsidP="001137BC">
      <w:pPr>
        <w:pStyle w:val="FSRHeading4"/>
      </w:pPr>
    </w:p>
    <w:p w14:paraId="43C02F4F" w14:textId="77777777" w:rsidR="003C1060" w:rsidRDefault="003C1060">
      <w:pPr>
        <w:spacing w:after="160" w:line="259" w:lineRule="auto"/>
        <w:rPr>
          <w:b/>
          <w:color w:val="6B2976"/>
          <w:sz w:val="25"/>
        </w:rPr>
      </w:pPr>
      <w:r>
        <w:br w:type="page"/>
      </w:r>
    </w:p>
    <w:p w14:paraId="3EE3C470" w14:textId="77777777" w:rsidR="002C11DC" w:rsidRPr="001137BC" w:rsidRDefault="002C11DC" w:rsidP="001137BC">
      <w:pPr>
        <w:pStyle w:val="FSRHeading4"/>
      </w:pPr>
      <w:r w:rsidRPr="001137BC">
        <w:lastRenderedPageBreak/>
        <w:t>Scheme expenses by Support Categories</w:t>
      </w:r>
    </w:p>
    <w:p w14:paraId="42F3D541" w14:textId="77777777" w:rsidR="002C11DC" w:rsidRPr="00947100" w:rsidRDefault="00C42D19" w:rsidP="002C11DC">
      <w:pPr>
        <w:pStyle w:val="FSRnormal"/>
        <w:rPr>
          <w:highlight w:val="yellow"/>
        </w:rPr>
      </w:pPr>
      <w:r w:rsidRPr="00C74E30">
        <w:t>Table</w:t>
      </w:r>
      <w:r>
        <w:t xml:space="preserve"> B.</w:t>
      </w:r>
      <w:r>
        <w:rPr>
          <w:noProof/>
        </w:rPr>
        <w:t>6</w:t>
      </w:r>
      <w:r w:rsidR="002C11DC" w:rsidRPr="00FA0859">
        <w:t xml:space="preserve"> shows projections by support categories have shifted substantially compared to the previous review. </w:t>
      </w:r>
    </w:p>
    <w:p w14:paraId="1F48ECEA" w14:textId="77777777" w:rsidR="002C11DC" w:rsidRPr="00947100" w:rsidRDefault="002C11DC" w:rsidP="00C42D19">
      <w:pPr>
        <w:pStyle w:val="Tables"/>
        <w:rPr>
          <w:highlight w:val="yellow"/>
        </w:rPr>
      </w:pPr>
      <w:bookmarkStart w:id="423" w:name="_Ref80457065"/>
      <w:r w:rsidRPr="00C74E30">
        <w:t>Table</w:t>
      </w:r>
      <w:r w:rsidR="00B5473A">
        <w:t xml:space="preserve"> B</w:t>
      </w:r>
      <w:r w:rsidR="00A87896">
        <w:t>.</w:t>
      </w:r>
      <w:fldSimple w:instr=" SEQ Table \* ARABIC \s 2 ">
        <w:r w:rsidR="00A87896">
          <w:rPr>
            <w:noProof/>
          </w:rPr>
          <w:t>6</w:t>
        </w:r>
      </w:fldSimple>
      <w:bookmarkEnd w:id="423"/>
      <w:r>
        <w:rPr>
          <w:noProof/>
        </w:rPr>
        <w:t>:</w:t>
      </w:r>
      <w:r w:rsidRPr="00C74E30">
        <w:t xml:space="preserve"> Change in projected </w:t>
      </w:r>
      <w:r>
        <w:t>Scheme expenses</w:t>
      </w:r>
      <w:r w:rsidRPr="00C74E30">
        <w:t xml:space="preserve"> by support category (cash basis)</w:t>
      </w:r>
      <w:r w:rsidR="00D565F5">
        <w:rPr>
          <w:rStyle w:val="FootnoteReference"/>
        </w:rPr>
        <w:footnoteReference w:id="152"/>
      </w:r>
    </w:p>
    <w:tbl>
      <w:tblPr>
        <w:tblStyle w:val="FSRtable"/>
        <w:tblW w:w="0" w:type="auto"/>
        <w:tblInd w:w="5" w:type="dxa"/>
        <w:tblLayout w:type="fixed"/>
        <w:tblLook w:val="04A0" w:firstRow="1" w:lastRow="0" w:firstColumn="1" w:lastColumn="0" w:noHBand="0" w:noVBand="1"/>
      </w:tblPr>
      <w:tblGrid>
        <w:gridCol w:w="2920"/>
        <w:gridCol w:w="1120"/>
        <w:gridCol w:w="1120"/>
        <w:gridCol w:w="1120"/>
        <w:gridCol w:w="1120"/>
        <w:gridCol w:w="1120"/>
      </w:tblGrid>
      <w:tr w:rsidR="002C11DC" w:rsidRPr="00C42D19" w14:paraId="306876A4"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920" w:type="dxa"/>
            <w:noWrap/>
            <w:vAlign w:val="bottom"/>
            <w:hideMark/>
          </w:tcPr>
          <w:p w14:paraId="4BB59FBA" w14:textId="77777777" w:rsidR="002C11DC" w:rsidRPr="00C42D19" w:rsidRDefault="002C11DC">
            <w:pPr>
              <w:spacing w:after="0" w:line="240" w:lineRule="auto"/>
              <w:rPr>
                <w:rFonts w:eastAsia="Times New Roman"/>
                <w:b w:val="0"/>
                <w:bCs/>
                <w:color w:val="FFFFFF"/>
                <w:sz w:val="18"/>
                <w:szCs w:val="18"/>
                <w:lang w:eastAsia="zh-CN"/>
              </w:rPr>
            </w:pPr>
            <w:r w:rsidRPr="00C42D19">
              <w:rPr>
                <w:rFonts w:eastAsia="Times New Roman"/>
                <w:bCs/>
                <w:color w:val="FFFFFF"/>
                <w:sz w:val="18"/>
                <w:szCs w:val="18"/>
                <w:lang w:eastAsia="zh-CN"/>
              </w:rPr>
              <w:t>Scheme expenses</w:t>
            </w:r>
          </w:p>
        </w:tc>
        <w:tc>
          <w:tcPr>
            <w:tcW w:w="5600" w:type="dxa"/>
            <w:gridSpan w:val="5"/>
            <w:tcBorders>
              <w:top w:val="single" w:sz="4" w:space="0" w:color="auto"/>
              <w:bottom w:val="single" w:sz="4" w:space="0" w:color="FFFFFF" w:themeColor="background1"/>
            </w:tcBorders>
            <w:noWrap/>
            <w:hideMark/>
          </w:tcPr>
          <w:p w14:paraId="11BD90CB" w14:textId="77777777" w:rsidR="002C11DC" w:rsidRPr="00C42D19" w:rsidRDefault="002C11DC" w:rsidP="004462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C42D19">
              <w:rPr>
                <w:rFonts w:eastAsia="Times New Roman"/>
                <w:bCs/>
                <w:color w:val="FFFFFF"/>
                <w:sz w:val="18"/>
                <w:szCs w:val="18"/>
                <w:lang w:eastAsia="zh-CN"/>
              </w:rPr>
              <w:t>Projection Year</w:t>
            </w:r>
          </w:p>
        </w:tc>
      </w:tr>
      <w:tr w:rsidR="002C11DC" w:rsidRPr="00C42D19" w14:paraId="2DF09767"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920" w:type="dxa"/>
            <w:noWrap/>
            <w:vAlign w:val="top"/>
            <w:hideMark/>
          </w:tcPr>
          <w:p w14:paraId="329C4294" w14:textId="77777777" w:rsidR="002C11DC" w:rsidRPr="00C42D19" w:rsidRDefault="002C11DC">
            <w:pPr>
              <w:spacing w:after="0" w:line="240" w:lineRule="auto"/>
              <w:rPr>
                <w:rFonts w:eastAsia="Times New Roman"/>
                <w:b w:val="0"/>
                <w:bCs/>
                <w:color w:val="FFFFFF"/>
                <w:sz w:val="18"/>
                <w:szCs w:val="18"/>
                <w:lang w:eastAsia="zh-CN"/>
              </w:rPr>
            </w:pPr>
            <w:r w:rsidRPr="00C42D19">
              <w:rPr>
                <w:rFonts w:eastAsia="Times New Roman"/>
                <w:bCs/>
                <w:color w:val="FFFFFF"/>
                <w:sz w:val="18"/>
                <w:szCs w:val="18"/>
                <w:lang w:eastAsia="zh-CN"/>
              </w:rPr>
              <w:t>($m, cash basis)</w:t>
            </w:r>
          </w:p>
        </w:tc>
        <w:tc>
          <w:tcPr>
            <w:tcW w:w="1120" w:type="dxa"/>
            <w:tcBorders>
              <w:top w:val="single" w:sz="4" w:space="0" w:color="FFFFFF" w:themeColor="background1"/>
            </w:tcBorders>
            <w:noWrap/>
            <w:hideMark/>
          </w:tcPr>
          <w:p w14:paraId="2FB2E8CE" w14:textId="77777777" w:rsidR="002C11DC" w:rsidRPr="00C42D19"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C42D19">
              <w:rPr>
                <w:rFonts w:eastAsia="Times New Roman"/>
                <w:bCs/>
                <w:color w:val="FFFFFF"/>
                <w:sz w:val="18"/>
                <w:szCs w:val="18"/>
                <w:lang w:eastAsia="zh-CN"/>
              </w:rPr>
              <w:t>2022-23</w:t>
            </w:r>
          </w:p>
        </w:tc>
        <w:tc>
          <w:tcPr>
            <w:tcW w:w="1120" w:type="dxa"/>
            <w:tcBorders>
              <w:top w:val="single" w:sz="4" w:space="0" w:color="FFFFFF" w:themeColor="background1"/>
            </w:tcBorders>
            <w:noWrap/>
            <w:hideMark/>
          </w:tcPr>
          <w:p w14:paraId="7D99F3C9" w14:textId="77777777" w:rsidR="002C11DC" w:rsidRPr="00C42D19"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C42D19">
              <w:rPr>
                <w:rFonts w:eastAsia="Times New Roman"/>
                <w:bCs/>
                <w:color w:val="FFFFFF"/>
                <w:sz w:val="18"/>
                <w:szCs w:val="18"/>
                <w:lang w:eastAsia="zh-CN"/>
              </w:rPr>
              <w:t>2023-24</w:t>
            </w:r>
          </w:p>
        </w:tc>
        <w:tc>
          <w:tcPr>
            <w:tcW w:w="1120" w:type="dxa"/>
            <w:tcBorders>
              <w:top w:val="single" w:sz="4" w:space="0" w:color="FFFFFF" w:themeColor="background1"/>
            </w:tcBorders>
            <w:noWrap/>
            <w:hideMark/>
          </w:tcPr>
          <w:p w14:paraId="162A54C4" w14:textId="77777777" w:rsidR="002C11DC" w:rsidRPr="00C42D19"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C42D19">
              <w:rPr>
                <w:rFonts w:eastAsia="Times New Roman"/>
                <w:bCs/>
                <w:color w:val="FFFFFF"/>
                <w:sz w:val="18"/>
                <w:szCs w:val="18"/>
                <w:lang w:eastAsia="zh-CN"/>
              </w:rPr>
              <w:t>2024-25</w:t>
            </w:r>
          </w:p>
        </w:tc>
        <w:tc>
          <w:tcPr>
            <w:tcW w:w="1120" w:type="dxa"/>
            <w:tcBorders>
              <w:top w:val="single" w:sz="4" w:space="0" w:color="FFFFFF" w:themeColor="background1"/>
              <w:right w:val="dotted" w:sz="4" w:space="0" w:color="auto"/>
            </w:tcBorders>
            <w:noWrap/>
            <w:hideMark/>
          </w:tcPr>
          <w:p w14:paraId="7102A8A9" w14:textId="77777777" w:rsidR="002C11DC" w:rsidRPr="00C42D19"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C42D19">
              <w:rPr>
                <w:rFonts w:eastAsia="Times New Roman"/>
                <w:bCs/>
                <w:color w:val="FFFFFF"/>
                <w:sz w:val="18"/>
                <w:szCs w:val="18"/>
                <w:lang w:eastAsia="zh-CN"/>
              </w:rPr>
              <w:t>2025-26</w:t>
            </w:r>
          </w:p>
        </w:tc>
        <w:tc>
          <w:tcPr>
            <w:tcW w:w="1120" w:type="dxa"/>
            <w:tcBorders>
              <w:top w:val="single" w:sz="4" w:space="0" w:color="FFFFFF" w:themeColor="background1"/>
              <w:left w:val="dotted" w:sz="4" w:space="0" w:color="auto"/>
            </w:tcBorders>
            <w:noWrap/>
            <w:hideMark/>
          </w:tcPr>
          <w:p w14:paraId="0E0D43D9" w14:textId="77777777" w:rsidR="002C11DC" w:rsidRPr="00C42D19"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C42D19">
              <w:rPr>
                <w:rFonts w:eastAsia="Times New Roman"/>
                <w:bCs/>
                <w:color w:val="FFFFFF"/>
                <w:sz w:val="18"/>
                <w:szCs w:val="18"/>
                <w:lang w:eastAsia="zh-CN"/>
              </w:rPr>
              <w:t>2031-32</w:t>
            </w:r>
          </w:p>
        </w:tc>
      </w:tr>
      <w:tr w:rsidR="002C11DC" w:rsidRPr="00C42D19" w14:paraId="4BD2C208"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01ED0D68" w14:textId="77777777" w:rsidR="002C11DC" w:rsidRPr="00C42D19" w:rsidRDefault="002C11DC" w:rsidP="00446247">
            <w:pPr>
              <w:spacing w:after="0" w:line="240" w:lineRule="auto"/>
              <w:rPr>
                <w:rFonts w:eastAsia="Times New Roman" w:cs="Arial"/>
                <w:b/>
                <w:bCs/>
                <w:color w:val="000000"/>
                <w:sz w:val="18"/>
                <w:szCs w:val="18"/>
                <w:lang w:eastAsia="zh-CN"/>
              </w:rPr>
            </w:pPr>
            <w:r w:rsidRPr="00C42D19">
              <w:rPr>
                <w:rFonts w:eastAsia="Times New Roman" w:cs="Arial"/>
                <w:b/>
                <w:bCs/>
                <w:color w:val="000000"/>
                <w:sz w:val="18"/>
                <w:szCs w:val="18"/>
                <w:lang w:eastAsia="zh-CN"/>
              </w:rPr>
              <w:t>2021-22 AFSR</w:t>
            </w:r>
          </w:p>
        </w:tc>
        <w:tc>
          <w:tcPr>
            <w:tcW w:w="1120" w:type="dxa"/>
            <w:shd w:val="clear" w:color="auto" w:fill="auto"/>
            <w:noWrap/>
            <w:hideMark/>
          </w:tcPr>
          <w:p w14:paraId="7E281117"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C42D19">
              <w:rPr>
                <w:rFonts w:eastAsia="Times New Roman" w:cs="Arial"/>
                <w:b/>
                <w:bCs/>
                <w:i/>
                <w:iCs/>
                <w:color w:val="000000"/>
                <w:sz w:val="18"/>
                <w:szCs w:val="18"/>
                <w:lang w:eastAsia="zh-CN"/>
              </w:rPr>
              <w:t> </w:t>
            </w:r>
          </w:p>
        </w:tc>
        <w:tc>
          <w:tcPr>
            <w:tcW w:w="1120" w:type="dxa"/>
            <w:shd w:val="clear" w:color="auto" w:fill="auto"/>
            <w:noWrap/>
            <w:hideMark/>
          </w:tcPr>
          <w:p w14:paraId="6224960B"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C42D19">
              <w:rPr>
                <w:rFonts w:eastAsia="Times New Roman" w:cs="Arial"/>
                <w:b/>
                <w:bCs/>
                <w:i/>
                <w:iCs/>
                <w:color w:val="000000"/>
                <w:sz w:val="18"/>
                <w:szCs w:val="18"/>
                <w:lang w:eastAsia="zh-CN"/>
              </w:rPr>
              <w:t> </w:t>
            </w:r>
          </w:p>
        </w:tc>
        <w:tc>
          <w:tcPr>
            <w:tcW w:w="1120" w:type="dxa"/>
            <w:shd w:val="clear" w:color="auto" w:fill="auto"/>
            <w:noWrap/>
            <w:hideMark/>
          </w:tcPr>
          <w:p w14:paraId="309D0A20"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C42D19">
              <w:rPr>
                <w:rFonts w:eastAsia="Times New Roman" w:cs="Arial"/>
                <w:b/>
                <w:bCs/>
                <w:i/>
                <w:iCs/>
                <w:color w:val="000000"/>
                <w:sz w:val="18"/>
                <w:szCs w:val="18"/>
                <w:lang w:eastAsia="zh-CN"/>
              </w:rPr>
              <w:t> </w:t>
            </w:r>
          </w:p>
        </w:tc>
        <w:tc>
          <w:tcPr>
            <w:tcW w:w="1120" w:type="dxa"/>
            <w:tcBorders>
              <w:right w:val="dotted" w:sz="4" w:space="0" w:color="auto"/>
            </w:tcBorders>
            <w:shd w:val="clear" w:color="auto" w:fill="auto"/>
            <w:noWrap/>
            <w:hideMark/>
          </w:tcPr>
          <w:p w14:paraId="139A3735"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C42D19">
              <w:rPr>
                <w:rFonts w:eastAsia="Times New Roman" w:cs="Arial"/>
                <w:b/>
                <w:bCs/>
                <w:i/>
                <w:iCs/>
                <w:color w:val="000000"/>
                <w:sz w:val="18"/>
                <w:szCs w:val="18"/>
                <w:lang w:eastAsia="zh-CN"/>
              </w:rPr>
              <w:t> </w:t>
            </w:r>
          </w:p>
        </w:tc>
        <w:tc>
          <w:tcPr>
            <w:tcW w:w="1120" w:type="dxa"/>
            <w:tcBorders>
              <w:left w:val="dotted" w:sz="4" w:space="0" w:color="auto"/>
            </w:tcBorders>
            <w:shd w:val="clear" w:color="auto" w:fill="auto"/>
            <w:noWrap/>
            <w:hideMark/>
          </w:tcPr>
          <w:p w14:paraId="1E44ADF8"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C42D19">
              <w:rPr>
                <w:rFonts w:eastAsia="Times New Roman" w:cs="Arial"/>
                <w:b/>
                <w:bCs/>
                <w:i/>
                <w:iCs/>
                <w:color w:val="000000"/>
                <w:sz w:val="18"/>
                <w:szCs w:val="18"/>
                <w:lang w:eastAsia="zh-CN"/>
              </w:rPr>
              <w:t> </w:t>
            </w:r>
          </w:p>
        </w:tc>
      </w:tr>
      <w:tr w:rsidR="002C11DC" w:rsidRPr="00C42D19" w14:paraId="2D303D5B"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6F6A9CEC" w14:textId="77777777" w:rsidR="002C11DC" w:rsidRPr="00C42D19" w:rsidRDefault="002C11DC" w:rsidP="00446247">
            <w:pPr>
              <w:spacing w:after="0" w:line="240" w:lineRule="auto"/>
              <w:rPr>
                <w:rFonts w:eastAsia="Times New Roman" w:cs="Arial"/>
                <w:b/>
                <w:bCs/>
                <w:color w:val="000000"/>
                <w:sz w:val="18"/>
                <w:szCs w:val="18"/>
                <w:lang w:eastAsia="zh-CN"/>
              </w:rPr>
            </w:pPr>
            <w:r w:rsidRPr="00C42D19">
              <w:rPr>
                <w:rFonts w:eastAsia="Times New Roman" w:cs="Arial"/>
                <w:b/>
                <w:bCs/>
                <w:color w:val="000000"/>
                <w:sz w:val="18"/>
                <w:szCs w:val="18"/>
                <w:lang w:eastAsia="zh-CN"/>
              </w:rPr>
              <w:t>Core</w:t>
            </w:r>
          </w:p>
        </w:tc>
        <w:tc>
          <w:tcPr>
            <w:tcW w:w="1120" w:type="dxa"/>
            <w:noWrap/>
            <w:hideMark/>
          </w:tcPr>
          <w:p w14:paraId="6812F8C7"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p>
        </w:tc>
        <w:tc>
          <w:tcPr>
            <w:tcW w:w="1120" w:type="dxa"/>
            <w:noWrap/>
            <w:hideMark/>
          </w:tcPr>
          <w:p w14:paraId="3ADECBA0"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1120" w:type="dxa"/>
            <w:noWrap/>
            <w:hideMark/>
          </w:tcPr>
          <w:p w14:paraId="10369118"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1120" w:type="dxa"/>
            <w:tcBorders>
              <w:right w:val="dotted" w:sz="4" w:space="0" w:color="auto"/>
            </w:tcBorders>
            <w:noWrap/>
            <w:hideMark/>
          </w:tcPr>
          <w:p w14:paraId="186902A3"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1120" w:type="dxa"/>
            <w:tcBorders>
              <w:left w:val="dotted" w:sz="4" w:space="0" w:color="auto"/>
            </w:tcBorders>
            <w:noWrap/>
            <w:hideMark/>
          </w:tcPr>
          <w:p w14:paraId="0F96F48B"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 </w:t>
            </w:r>
          </w:p>
        </w:tc>
      </w:tr>
      <w:tr w:rsidR="002C11DC" w:rsidRPr="00C42D19" w14:paraId="502A55FE"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2EAEA320" w14:textId="77777777" w:rsidR="002C11DC" w:rsidRPr="00C42D19" w:rsidRDefault="002C11DC" w:rsidP="00446247">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Daily Activities</w:t>
            </w:r>
          </w:p>
        </w:tc>
        <w:tc>
          <w:tcPr>
            <w:tcW w:w="1120" w:type="dxa"/>
            <w:shd w:val="clear" w:color="auto" w:fill="auto"/>
            <w:noWrap/>
            <w:hideMark/>
          </w:tcPr>
          <w:p w14:paraId="7CB4DF02"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18,524</w:t>
            </w:r>
          </w:p>
        </w:tc>
        <w:tc>
          <w:tcPr>
            <w:tcW w:w="1120" w:type="dxa"/>
            <w:shd w:val="clear" w:color="auto" w:fill="auto"/>
            <w:noWrap/>
            <w:hideMark/>
          </w:tcPr>
          <w:p w14:paraId="41DC4E81"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20,527</w:t>
            </w:r>
          </w:p>
        </w:tc>
        <w:tc>
          <w:tcPr>
            <w:tcW w:w="1120" w:type="dxa"/>
            <w:shd w:val="clear" w:color="auto" w:fill="auto"/>
            <w:noWrap/>
            <w:hideMark/>
          </w:tcPr>
          <w:p w14:paraId="3BBC9197"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23,625</w:t>
            </w:r>
          </w:p>
        </w:tc>
        <w:tc>
          <w:tcPr>
            <w:tcW w:w="1120" w:type="dxa"/>
            <w:tcBorders>
              <w:right w:val="dotted" w:sz="4" w:space="0" w:color="auto"/>
            </w:tcBorders>
            <w:shd w:val="clear" w:color="auto" w:fill="auto"/>
            <w:noWrap/>
            <w:hideMark/>
          </w:tcPr>
          <w:p w14:paraId="4C2A28D1"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26,885</w:t>
            </w:r>
          </w:p>
        </w:tc>
        <w:tc>
          <w:tcPr>
            <w:tcW w:w="1120" w:type="dxa"/>
            <w:tcBorders>
              <w:left w:val="dotted" w:sz="4" w:space="0" w:color="auto"/>
            </w:tcBorders>
            <w:shd w:val="clear" w:color="auto" w:fill="auto"/>
            <w:noWrap/>
            <w:hideMark/>
          </w:tcPr>
          <w:p w14:paraId="086CC766"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47,332</w:t>
            </w:r>
          </w:p>
        </w:tc>
      </w:tr>
      <w:tr w:rsidR="002C11DC" w:rsidRPr="00C42D19" w14:paraId="10D08FF9"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0331C51F" w14:textId="77777777" w:rsidR="002C11DC" w:rsidRPr="00C42D19" w:rsidRDefault="002C11DC" w:rsidP="00446247">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Social Community Civic</w:t>
            </w:r>
          </w:p>
        </w:tc>
        <w:tc>
          <w:tcPr>
            <w:tcW w:w="1120" w:type="dxa"/>
            <w:noWrap/>
            <w:hideMark/>
          </w:tcPr>
          <w:p w14:paraId="2763F38E"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6,357</w:t>
            </w:r>
          </w:p>
        </w:tc>
        <w:tc>
          <w:tcPr>
            <w:tcW w:w="1120" w:type="dxa"/>
            <w:noWrap/>
            <w:hideMark/>
          </w:tcPr>
          <w:p w14:paraId="40835865"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7,192</w:t>
            </w:r>
          </w:p>
        </w:tc>
        <w:tc>
          <w:tcPr>
            <w:tcW w:w="1120" w:type="dxa"/>
            <w:noWrap/>
            <w:hideMark/>
          </w:tcPr>
          <w:p w14:paraId="09E2E1F4"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8,433</w:t>
            </w:r>
          </w:p>
        </w:tc>
        <w:tc>
          <w:tcPr>
            <w:tcW w:w="1120" w:type="dxa"/>
            <w:tcBorders>
              <w:right w:val="dotted" w:sz="4" w:space="0" w:color="auto"/>
            </w:tcBorders>
            <w:noWrap/>
            <w:hideMark/>
          </w:tcPr>
          <w:p w14:paraId="6002F726"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9,779</w:t>
            </w:r>
          </w:p>
        </w:tc>
        <w:tc>
          <w:tcPr>
            <w:tcW w:w="1120" w:type="dxa"/>
            <w:tcBorders>
              <w:left w:val="dotted" w:sz="4" w:space="0" w:color="auto"/>
            </w:tcBorders>
            <w:noWrap/>
            <w:hideMark/>
          </w:tcPr>
          <w:p w14:paraId="6CD05EC5"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18,995</w:t>
            </w:r>
          </w:p>
        </w:tc>
      </w:tr>
      <w:tr w:rsidR="002C11DC" w:rsidRPr="00C42D19" w14:paraId="47D87518"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2C300638" w14:textId="77777777" w:rsidR="002C11DC" w:rsidRPr="00C42D19" w:rsidRDefault="002C11DC" w:rsidP="00446247">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Transport</w:t>
            </w:r>
          </w:p>
        </w:tc>
        <w:tc>
          <w:tcPr>
            <w:tcW w:w="1120" w:type="dxa"/>
            <w:shd w:val="clear" w:color="auto" w:fill="auto"/>
            <w:noWrap/>
            <w:hideMark/>
          </w:tcPr>
          <w:p w14:paraId="496B661D"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1,000</w:t>
            </w:r>
          </w:p>
        </w:tc>
        <w:tc>
          <w:tcPr>
            <w:tcW w:w="1120" w:type="dxa"/>
            <w:shd w:val="clear" w:color="auto" w:fill="auto"/>
            <w:noWrap/>
            <w:hideMark/>
          </w:tcPr>
          <w:p w14:paraId="38394339"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1,166</w:t>
            </w:r>
          </w:p>
        </w:tc>
        <w:tc>
          <w:tcPr>
            <w:tcW w:w="1120" w:type="dxa"/>
            <w:shd w:val="clear" w:color="auto" w:fill="auto"/>
            <w:noWrap/>
            <w:hideMark/>
          </w:tcPr>
          <w:p w14:paraId="07D4AFA3"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1,365</w:t>
            </w:r>
          </w:p>
        </w:tc>
        <w:tc>
          <w:tcPr>
            <w:tcW w:w="1120" w:type="dxa"/>
            <w:tcBorders>
              <w:right w:val="dotted" w:sz="4" w:space="0" w:color="auto"/>
            </w:tcBorders>
            <w:shd w:val="clear" w:color="auto" w:fill="auto"/>
            <w:noWrap/>
            <w:hideMark/>
          </w:tcPr>
          <w:p w14:paraId="0562B019"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1,569</w:t>
            </w:r>
          </w:p>
        </w:tc>
        <w:tc>
          <w:tcPr>
            <w:tcW w:w="1120" w:type="dxa"/>
            <w:tcBorders>
              <w:left w:val="dotted" w:sz="4" w:space="0" w:color="auto"/>
            </w:tcBorders>
            <w:shd w:val="clear" w:color="auto" w:fill="auto"/>
            <w:noWrap/>
            <w:hideMark/>
          </w:tcPr>
          <w:p w14:paraId="360A652E"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2,803</w:t>
            </w:r>
          </w:p>
        </w:tc>
      </w:tr>
      <w:tr w:rsidR="002C11DC" w:rsidRPr="00C42D19" w14:paraId="1725D349"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5610FC53" w14:textId="77777777" w:rsidR="002C11DC" w:rsidRPr="00C42D19" w:rsidRDefault="002C11DC" w:rsidP="00446247">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Consumables</w:t>
            </w:r>
          </w:p>
        </w:tc>
        <w:tc>
          <w:tcPr>
            <w:tcW w:w="1120" w:type="dxa"/>
            <w:noWrap/>
            <w:hideMark/>
          </w:tcPr>
          <w:p w14:paraId="64ACD77D"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631</w:t>
            </w:r>
          </w:p>
        </w:tc>
        <w:tc>
          <w:tcPr>
            <w:tcW w:w="1120" w:type="dxa"/>
            <w:noWrap/>
            <w:hideMark/>
          </w:tcPr>
          <w:p w14:paraId="55D3C05C"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714</w:t>
            </w:r>
          </w:p>
        </w:tc>
        <w:tc>
          <w:tcPr>
            <w:tcW w:w="1120" w:type="dxa"/>
            <w:noWrap/>
            <w:hideMark/>
          </w:tcPr>
          <w:p w14:paraId="37875D1E"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811</w:t>
            </w:r>
          </w:p>
        </w:tc>
        <w:tc>
          <w:tcPr>
            <w:tcW w:w="1120" w:type="dxa"/>
            <w:tcBorders>
              <w:right w:val="dotted" w:sz="4" w:space="0" w:color="auto"/>
            </w:tcBorders>
            <w:noWrap/>
            <w:hideMark/>
          </w:tcPr>
          <w:p w14:paraId="5F0C1D9D"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907</w:t>
            </w:r>
          </w:p>
        </w:tc>
        <w:tc>
          <w:tcPr>
            <w:tcW w:w="1120" w:type="dxa"/>
            <w:tcBorders>
              <w:left w:val="dotted" w:sz="4" w:space="0" w:color="auto"/>
            </w:tcBorders>
            <w:noWrap/>
            <w:hideMark/>
          </w:tcPr>
          <w:p w14:paraId="6ED90871"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1,428</w:t>
            </w:r>
          </w:p>
        </w:tc>
      </w:tr>
      <w:tr w:rsidR="002C11DC" w:rsidRPr="00C42D19" w14:paraId="54755237"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2127514B" w14:textId="77777777" w:rsidR="002C11DC" w:rsidRPr="00C42D19" w:rsidRDefault="002C11DC" w:rsidP="00446247">
            <w:pPr>
              <w:spacing w:after="0" w:line="240" w:lineRule="auto"/>
              <w:rPr>
                <w:rFonts w:eastAsia="Times New Roman" w:cs="Arial"/>
                <w:b/>
                <w:bCs/>
                <w:color w:val="000000"/>
                <w:sz w:val="18"/>
                <w:szCs w:val="18"/>
                <w:lang w:eastAsia="zh-CN"/>
              </w:rPr>
            </w:pPr>
            <w:r w:rsidRPr="00C42D19">
              <w:rPr>
                <w:rFonts w:eastAsia="Times New Roman" w:cs="Arial"/>
                <w:b/>
                <w:bCs/>
                <w:color w:val="000000"/>
                <w:sz w:val="18"/>
                <w:szCs w:val="18"/>
                <w:lang w:eastAsia="zh-CN"/>
              </w:rPr>
              <w:t>Capital</w:t>
            </w:r>
          </w:p>
        </w:tc>
        <w:tc>
          <w:tcPr>
            <w:tcW w:w="1120" w:type="dxa"/>
            <w:shd w:val="clear" w:color="auto" w:fill="auto"/>
            <w:noWrap/>
            <w:hideMark/>
          </w:tcPr>
          <w:p w14:paraId="7C665F71"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p>
        </w:tc>
        <w:tc>
          <w:tcPr>
            <w:tcW w:w="1120" w:type="dxa"/>
            <w:shd w:val="clear" w:color="auto" w:fill="auto"/>
            <w:noWrap/>
            <w:hideMark/>
          </w:tcPr>
          <w:p w14:paraId="7E6870E7"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p>
        </w:tc>
        <w:tc>
          <w:tcPr>
            <w:tcW w:w="1120" w:type="dxa"/>
            <w:shd w:val="clear" w:color="auto" w:fill="auto"/>
            <w:noWrap/>
            <w:hideMark/>
          </w:tcPr>
          <w:p w14:paraId="07C03BB1"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p>
        </w:tc>
        <w:tc>
          <w:tcPr>
            <w:tcW w:w="1120" w:type="dxa"/>
            <w:tcBorders>
              <w:right w:val="dotted" w:sz="4" w:space="0" w:color="auto"/>
            </w:tcBorders>
            <w:shd w:val="clear" w:color="auto" w:fill="auto"/>
            <w:noWrap/>
            <w:hideMark/>
          </w:tcPr>
          <w:p w14:paraId="74BEACD2"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p>
        </w:tc>
        <w:tc>
          <w:tcPr>
            <w:tcW w:w="1120" w:type="dxa"/>
            <w:tcBorders>
              <w:left w:val="dotted" w:sz="4" w:space="0" w:color="auto"/>
            </w:tcBorders>
            <w:shd w:val="clear" w:color="auto" w:fill="auto"/>
            <w:noWrap/>
            <w:hideMark/>
          </w:tcPr>
          <w:p w14:paraId="51F8E4FB"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 </w:t>
            </w:r>
          </w:p>
        </w:tc>
      </w:tr>
      <w:tr w:rsidR="002C11DC" w:rsidRPr="00C42D19" w14:paraId="06DD7169"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33DFEA70" w14:textId="77777777" w:rsidR="002C11DC" w:rsidRPr="00C42D19" w:rsidRDefault="002C11DC" w:rsidP="00446247">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Assistive Technology</w:t>
            </w:r>
          </w:p>
        </w:tc>
        <w:tc>
          <w:tcPr>
            <w:tcW w:w="1120" w:type="dxa"/>
            <w:noWrap/>
            <w:hideMark/>
          </w:tcPr>
          <w:p w14:paraId="30319817"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686</w:t>
            </w:r>
          </w:p>
        </w:tc>
        <w:tc>
          <w:tcPr>
            <w:tcW w:w="1120" w:type="dxa"/>
            <w:noWrap/>
            <w:hideMark/>
          </w:tcPr>
          <w:p w14:paraId="79A4762E"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770</w:t>
            </w:r>
          </w:p>
        </w:tc>
        <w:tc>
          <w:tcPr>
            <w:tcW w:w="1120" w:type="dxa"/>
            <w:noWrap/>
            <w:hideMark/>
          </w:tcPr>
          <w:p w14:paraId="3556BC05"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867</w:t>
            </w:r>
          </w:p>
        </w:tc>
        <w:tc>
          <w:tcPr>
            <w:tcW w:w="1120" w:type="dxa"/>
            <w:tcBorders>
              <w:right w:val="dotted" w:sz="4" w:space="0" w:color="auto"/>
            </w:tcBorders>
            <w:noWrap/>
            <w:hideMark/>
          </w:tcPr>
          <w:p w14:paraId="5B77E8A7"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959</w:t>
            </w:r>
          </w:p>
        </w:tc>
        <w:tc>
          <w:tcPr>
            <w:tcW w:w="1120" w:type="dxa"/>
            <w:tcBorders>
              <w:left w:val="dotted" w:sz="4" w:space="0" w:color="auto"/>
            </w:tcBorders>
            <w:noWrap/>
            <w:hideMark/>
          </w:tcPr>
          <w:p w14:paraId="22252A88"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1,434</w:t>
            </w:r>
          </w:p>
        </w:tc>
      </w:tr>
      <w:tr w:rsidR="002C11DC" w:rsidRPr="00C42D19" w14:paraId="2D38E1F7"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78547FFD" w14:textId="77777777" w:rsidR="002C11DC" w:rsidRPr="00C42D19" w:rsidRDefault="002C11DC" w:rsidP="00446247">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Home Modifications</w:t>
            </w:r>
          </w:p>
        </w:tc>
        <w:tc>
          <w:tcPr>
            <w:tcW w:w="1120" w:type="dxa"/>
            <w:shd w:val="clear" w:color="auto" w:fill="auto"/>
            <w:noWrap/>
            <w:hideMark/>
          </w:tcPr>
          <w:p w14:paraId="5CBF0B9D"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353</w:t>
            </w:r>
          </w:p>
        </w:tc>
        <w:tc>
          <w:tcPr>
            <w:tcW w:w="1120" w:type="dxa"/>
            <w:shd w:val="clear" w:color="auto" w:fill="auto"/>
            <w:noWrap/>
            <w:hideMark/>
          </w:tcPr>
          <w:p w14:paraId="282D65DF"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401</w:t>
            </w:r>
          </w:p>
        </w:tc>
        <w:tc>
          <w:tcPr>
            <w:tcW w:w="1120" w:type="dxa"/>
            <w:shd w:val="clear" w:color="auto" w:fill="auto"/>
            <w:noWrap/>
            <w:hideMark/>
          </w:tcPr>
          <w:p w14:paraId="70A9DBB3"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449</w:t>
            </w:r>
          </w:p>
        </w:tc>
        <w:tc>
          <w:tcPr>
            <w:tcW w:w="1120" w:type="dxa"/>
            <w:tcBorders>
              <w:right w:val="dotted" w:sz="4" w:space="0" w:color="auto"/>
            </w:tcBorders>
            <w:shd w:val="clear" w:color="auto" w:fill="auto"/>
            <w:noWrap/>
            <w:hideMark/>
          </w:tcPr>
          <w:p w14:paraId="3F5E4B01"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496</w:t>
            </w:r>
          </w:p>
        </w:tc>
        <w:tc>
          <w:tcPr>
            <w:tcW w:w="1120" w:type="dxa"/>
            <w:tcBorders>
              <w:left w:val="dotted" w:sz="4" w:space="0" w:color="auto"/>
            </w:tcBorders>
            <w:shd w:val="clear" w:color="auto" w:fill="auto"/>
            <w:noWrap/>
            <w:hideMark/>
          </w:tcPr>
          <w:p w14:paraId="1F702B46"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745</w:t>
            </w:r>
          </w:p>
        </w:tc>
      </w:tr>
      <w:tr w:rsidR="002C11DC" w:rsidRPr="00C42D19" w14:paraId="4752206D"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7A4189C8" w14:textId="77777777" w:rsidR="002C11DC" w:rsidRPr="00C42D19" w:rsidRDefault="002C11DC" w:rsidP="00446247">
            <w:pPr>
              <w:spacing w:after="0" w:line="240" w:lineRule="auto"/>
              <w:rPr>
                <w:rFonts w:eastAsia="Times New Roman" w:cs="Arial"/>
                <w:b/>
                <w:bCs/>
                <w:color w:val="000000"/>
                <w:sz w:val="18"/>
                <w:szCs w:val="18"/>
                <w:lang w:eastAsia="zh-CN"/>
              </w:rPr>
            </w:pPr>
            <w:r w:rsidRPr="00C42D19">
              <w:rPr>
                <w:rFonts w:eastAsia="Times New Roman" w:cs="Arial"/>
                <w:b/>
                <w:bCs/>
                <w:color w:val="000000"/>
                <w:sz w:val="18"/>
                <w:szCs w:val="18"/>
                <w:lang w:eastAsia="zh-CN"/>
              </w:rPr>
              <w:t>Capacity Building</w:t>
            </w:r>
          </w:p>
        </w:tc>
        <w:tc>
          <w:tcPr>
            <w:tcW w:w="1120" w:type="dxa"/>
            <w:noWrap/>
            <w:hideMark/>
          </w:tcPr>
          <w:p w14:paraId="3F4FC1AE"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p>
        </w:tc>
        <w:tc>
          <w:tcPr>
            <w:tcW w:w="1120" w:type="dxa"/>
            <w:noWrap/>
            <w:hideMark/>
          </w:tcPr>
          <w:p w14:paraId="71C60C25"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1120" w:type="dxa"/>
            <w:noWrap/>
            <w:hideMark/>
          </w:tcPr>
          <w:p w14:paraId="55CCE2C6"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1120" w:type="dxa"/>
            <w:tcBorders>
              <w:right w:val="dotted" w:sz="4" w:space="0" w:color="auto"/>
            </w:tcBorders>
            <w:noWrap/>
            <w:hideMark/>
          </w:tcPr>
          <w:p w14:paraId="30249F2C"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1120" w:type="dxa"/>
            <w:tcBorders>
              <w:left w:val="dotted" w:sz="4" w:space="0" w:color="auto"/>
            </w:tcBorders>
            <w:noWrap/>
            <w:hideMark/>
          </w:tcPr>
          <w:p w14:paraId="07FB1B47"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 </w:t>
            </w:r>
          </w:p>
        </w:tc>
      </w:tr>
      <w:tr w:rsidR="002C11DC" w:rsidRPr="00C42D19" w14:paraId="5E35EC10"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34B2C0D4" w14:textId="77777777" w:rsidR="002C11DC" w:rsidRPr="00C42D19" w:rsidRDefault="002C11DC" w:rsidP="00446247">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CB Daily Activities</w:t>
            </w:r>
          </w:p>
        </w:tc>
        <w:tc>
          <w:tcPr>
            <w:tcW w:w="1120" w:type="dxa"/>
            <w:shd w:val="clear" w:color="auto" w:fill="auto"/>
            <w:noWrap/>
            <w:hideMark/>
          </w:tcPr>
          <w:p w14:paraId="489C4694"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3,858</w:t>
            </w:r>
          </w:p>
        </w:tc>
        <w:tc>
          <w:tcPr>
            <w:tcW w:w="1120" w:type="dxa"/>
            <w:shd w:val="clear" w:color="auto" w:fill="auto"/>
            <w:noWrap/>
            <w:hideMark/>
          </w:tcPr>
          <w:p w14:paraId="2E4C7322"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4,360</w:t>
            </w:r>
          </w:p>
        </w:tc>
        <w:tc>
          <w:tcPr>
            <w:tcW w:w="1120" w:type="dxa"/>
            <w:shd w:val="clear" w:color="auto" w:fill="auto"/>
            <w:noWrap/>
            <w:hideMark/>
          </w:tcPr>
          <w:p w14:paraId="45E9B140"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5,023</w:t>
            </w:r>
          </w:p>
        </w:tc>
        <w:tc>
          <w:tcPr>
            <w:tcW w:w="1120" w:type="dxa"/>
            <w:tcBorders>
              <w:right w:val="dotted" w:sz="4" w:space="0" w:color="auto"/>
            </w:tcBorders>
            <w:shd w:val="clear" w:color="auto" w:fill="auto"/>
            <w:noWrap/>
            <w:hideMark/>
          </w:tcPr>
          <w:p w14:paraId="3141AC2F"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5,676</w:t>
            </w:r>
          </w:p>
        </w:tc>
        <w:tc>
          <w:tcPr>
            <w:tcW w:w="1120" w:type="dxa"/>
            <w:tcBorders>
              <w:left w:val="dotted" w:sz="4" w:space="0" w:color="auto"/>
            </w:tcBorders>
            <w:shd w:val="clear" w:color="auto" w:fill="auto"/>
            <w:noWrap/>
            <w:hideMark/>
          </w:tcPr>
          <w:p w14:paraId="3F7748F0"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9,238</w:t>
            </w:r>
          </w:p>
        </w:tc>
      </w:tr>
      <w:tr w:rsidR="002C11DC" w:rsidRPr="00C42D19" w14:paraId="251EE849"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55AE0996" w14:textId="77777777" w:rsidR="002C11DC" w:rsidRPr="00C42D19" w:rsidRDefault="002C11DC" w:rsidP="00446247">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Support Coordination</w:t>
            </w:r>
          </w:p>
        </w:tc>
        <w:tc>
          <w:tcPr>
            <w:tcW w:w="1120" w:type="dxa"/>
            <w:noWrap/>
            <w:hideMark/>
          </w:tcPr>
          <w:p w14:paraId="10B2AF4A"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874</w:t>
            </w:r>
          </w:p>
        </w:tc>
        <w:tc>
          <w:tcPr>
            <w:tcW w:w="1120" w:type="dxa"/>
            <w:noWrap/>
            <w:hideMark/>
          </w:tcPr>
          <w:p w14:paraId="31FB5DA9"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1,016</w:t>
            </w:r>
          </w:p>
        </w:tc>
        <w:tc>
          <w:tcPr>
            <w:tcW w:w="1120" w:type="dxa"/>
            <w:noWrap/>
            <w:hideMark/>
          </w:tcPr>
          <w:p w14:paraId="1344E394"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1,183</w:t>
            </w:r>
          </w:p>
        </w:tc>
        <w:tc>
          <w:tcPr>
            <w:tcW w:w="1120" w:type="dxa"/>
            <w:tcBorders>
              <w:right w:val="dotted" w:sz="4" w:space="0" w:color="auto"/>
            </w:tcBorders>
            <w:noWrap/>
            <w:hideMark/>
          </w:tcPr>
          <w:p w14:paraId="54DB6DAB"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1,349</w:t>
            </w:r>
          </w:p>
        </w:tc>
        <w:tc>
          <w:tcPr>
            <w:tcW w:w="1120" w:type="dxa"/>
            <w:tcBorders>
              <w:left w:val="dotted" w:sz="4" w:space="0" w:color="auto"/>
            </w:tcBorders>
            <w:noWrap/>
            <w:hideMark/>
          </w:tcPr>
          <w:p w14:paraId="010B2F36"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2,374</w:t>
            </w:r>
          </w:p>
        </w:tc>
      </w:tr>
      <w:tr w:rsidR="002C11DC" w:rsidRPr="00C42D19" w14:paraId="19A6C90F"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2DC1FECE" w14:textId="77777777" w:rsidR="002C11DC" w:rsidRPr="00C42D19" w:rsidRDefault="002C11DC" w:rsidP="00446247">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CB Employment</w:t>
            </w:r>
          </w:p>
        </w:tc>
        <w:tc>
          <w:tcPr>
            <w:tcW w:w="1120" w:type="dxa"/>
            <w:shd w:val="clear" w:color="auto" w:fill="auto"/>
            <w:noWrap/>
            <w:hideMark/>
          </w:tcPr>
          <w:p w14:paraId="0658F25A"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117</w:t>
            </w:r>
          </w:p>
        </w:tc>
        <w:tc>
          <w:tcPr>
            <w:tcW w:w="1120" w:type="dxa"/>
            <w:shd w:val="clear" w:color="auto" w:fill="auto"/>
            <w:noWrap/>
            <w:hideMark/>
          </w:tcPr>
          <w:p w14:paraId="1D5629CC"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144</w:t>
            </w:r>
          </w:p>
        </w:tc>
        <w:tc>
          <w:tcPr>
            <w:tcW w:w="1120" w:type="dxa"/>
            <w:shd w:val="clear" w:color="auto" w:fill="auto"/>
            <w:noWrap/>
            <w:hideMark/>
          </w:tcPr>
          <w:p w14:paraId="0D8E30B2"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179</w:t>
            </w:r>
          </w:p>
        </w:tc>
        <w:tc>
          <w:tcPr>
            <w:tcW w:w="1120" w:type="dxa"/>
            <w:tcBorders>
              <w:right w:val="dotted" w:sz="4" w:space="0" w:color="auto"/>
            </w:tcBorders>
            <w:shd w:val="clear" w:color="auto" w:fill="auto"/>
            <w:noWrap/>
            <w:hideMark/>
          </w:tcPr>
          <w:p w14:paraId="22EED3A0"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219</w:t>
            </w:r>
          </w:p>
        </w:tc>
        <w:tc>
          <w:tcPr>
            <w:tcW w:w="1120" w:type="dxa"/>
            <w:tcBorders>
              <w:left w:val="dotted" w:sz="4" w:space="0" w:color="auto"/>
            </w:tcBorders>
            <w:shd w:val="clear" w:color="auto" w:fill="auto"/>
            <w:noWrap/>
            <w:hideMark/>
          </w:tcPr>
          <w:p w14:paraId="3F3970BD"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552</w:t>
            </w:r>
          </w:p>
        </w:tc>
      </w:tr>
      <w:tr w:rsidR="002C11DC" w:rsidRPr="00C42D19" w14:paraId="1EBD9A49"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2E7BFDB2" w14:textId="77777777" w:rsidR="002C11DC" w:rsidRPr="00C42D19" w:rsidRDefault="002C11DC" w:rsidP="00446247">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CB Choice and Control</w:t>
            </w:r>
          </w:p>
        </w:tc>
        <w:tc>
          <w:tcPr>
            <w:tcW w:w="1120" w:type="dxa"/>
            <w:noWrap/>
            <w:hideMark/>
          </w:tcPr>
          <w:p w14:paraId="65C066CF"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465</w:t>
            </w:r>
          </w:p>
        </w:tc>
        <w:tc>
          <w:tcPr>
            <w:tcW w:w="1120" w:type="dxa"/>
            <w:noWrap/>
            <w:hideMark/>
          </w:tcPr>
          <w:p w14:paraId="2135088A"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566</w:t>
            </w:r>
          </w:p>
        </w:tc>
        <w:tc>
          <w:tcPr>
            <w:tcW w:w="1120" w:type="dxa"/>
            <w:noWrap/>
            <w:hideMark/>
          </w:tcPr>
          <w:p w14:paraId="0A955AD8"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689</w:t>
            </w:r>
          </w:p>
        </w:tc>
        <w:tc>
          <w:tcPr>
            <w:tcW w:w="1120" w:type="dxa"/>
            <w:tcBorders>
              <w:right w:val="dotted" w:sz="4" w:space="0" w:color="auto"/>
            </w:tcBorders>
            <w:noWrap/>
            <w:hideMark/>
          </w:tcPr>
          <w:p w14:paraId="1ECAD99A"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788</w:t>
            </w:r>
          </w:p>
        </w:tc>
        <w:tc>
          <w:tcPr>
            <w:tcW w:w="1120" w:type="dxa"/>
            <w:tcBorders>
              <w:left w:val="dotted" w:sz="4" w:space="0" w:color="auto"/>
            </w:tcBorders>
            <w:noWrap/>
            <w:hideMark/>
          </w:tcPr>
          <w:p w14:paraId="670AA735"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1,371</w:t>
            </w:r>
          </w:p>
        </w:tc>
      </w:tr>
      <w:tr w:rsidR="002C11DC" w:rsidRPr="00C42D19" w14:paraId="5CCBD76F"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2920" w:type="dxa"/>
            <w:tcBorders>
              <w:bottom w:val="single" w:sz="4" w:space="0" w:color="auto"/>
            </w:tcBorders>
            <w:shd w:val="clear" w:color="auto" w:fill="auto"/>
            <w:noWrap/>
            <w:hideMark/>
          </w:tcPr>
          <w:p w14:paraId="6AD4A9ED" w14:textId="77777777" w:rsidR="002C11DC" w:rsidRPr="00C42D19" w:rsidRDefault="002C11DC" w:rsidP="00446247">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Other CB supports</w:t>
            </w:r>
          </w:p>
        </w:tc>
        <w:tc>
          <w:tcPr>
            <w:tcW w:w="1120" w:type="dxa"/>
            <w:tcBorders>
              <w:bottom w:val="single" w:sz="4" w:space="0" w:color="auto"/>
            </w:tcBorders>
            <w:shd w:val="clear" w:color="auto" w:fill="auto"/>
            <w:noWrap/>
            <w:hideMark/>
          </w:tcPr>
          <w:p w14:paraId="7B87C6E8"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610</w:t>
            </w:r>
          </w:p>
        </w:tc>
        <w:tc>
          <w:tcPr>
            <w:tcW w:w="1120" w:type="dxa"/>
            <w:tcBorders>
              <w:bottom w:val="single" w:sz="4" w:space="0" w:color="auto"/>
            </w:tcBorders>
            <w:shd w:val="clear" w:color="auto" w:fill="auto"/>
            <w:noWrap/>
            <w:hideMark/>
          </w:tcPr>
          <w:p w14:paraId="22E69C02"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711</w:t>
            </w:r>
          </w:p>
        </w:tc>
        <w:tc>
          <w:tcPr>
            <w:tcW w:w="1120" w:type="dxa"/>
            <w:tcBorders>
              <w:bottom w:val="single" w:sz="4" w:space="0" w:color="auto"/>
            </w:tcBorders>
            <w:shd w:val="clear" w:color="auto" w:fill="auto"/>
            <w:noWrap/>
            <w:hideMark/>
          </w:tcPr>
          <w:p w14:paraId="03FBB798"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839</w:t>
            </w:r>
          </w:p>
        </w:tc>
        <w:tc>
          <w:tcPr>
            <w:tcW w:w="1120" w:type="dxa"/>
            <w:tcBorders>
              <w:bottom w:val="single" w:sz="4" w:space="0" w:color="auto"/>
              <w:right w:val="dotted" w:sz="4" w:space="0" w:color="auto"/>
            </w:tcBorders>
            <w:shd w:val="clear" w:color="auto" w:fill="auto"/>
            <w:noWrap/>
            <w:hideMark/>
          </w:tcPr>
          <w:p w14:paraId="6ABF04E7"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971</w:t>
            </w:r>
          </w:p>
        </w:tc>
        <w:tc>
          <w:tcPr>
            <w:tcW w:w="1120" w:type="dxa"/>
            <w:tcBorders>
              <w:left w:val="dotted" w:sz="4" w:space="0" w:color="auto"/>
              <w:bottom w:val="single" w:sz="4" w:space="0" w:color="auto"/>
            </w:tcBorders>
            <w:shd w:val="clear" w:color="auto" w:fill="auto"/>
            <w:noWrap/>
            <w:hideMark/>
          </w:tcPr>
          <w:p w14:paraId="3D2C0515"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1,817</w:t>
            </w:r>
          </w:p>
        </w:tc>
      </w:tr>
      <w:tr w:rsidR="002C11DC" w:rsidRPr="00C42D19" w14:paraId="14AF211A"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tcBorders>
              <w:top w:val="single" w:sz="4" w:space="0" w:color="auto"/>
              <w:bottom w:val="single" w:sz="4" w:space="0" w:color="auto"/>
            </w:tcBorders>
            <w:shd w:val="clear" w:color="auto" w:fill="D4C5D7"/>
            <w:noWrap/>
            <w:hideMark/>
          </w:tcPr>
          <w:p w14:paraId="1314B13E" w14:textId="77777777" w:rsidR="002C11DC" w:rsidRPr="00C42D19" w:rsidRDefault="002C11DC" w:rsidP="00446247">
            <w:pPr>
              <w:spacing w:after="0" w:line="240" w:lineRule="auto"/>
              <w:rPr>
                <w:rFonts w:eastAsia="Times New Roman" w:cs="Arial"/>
                <w:b/>
                <w:bCs/>
                <w:color w:val="000000"/>
                <w:sz w:val="18"/>
                <w:szCs w:val="18"/>
                <w:lang w:eastAsia="zh-CN"/>
              </w:rPr>
            </w:pPr>
            <w:r w:rsidRPr="00C42D19">
              <w:rPr>
                <w:rFonts w:eastAsia="Times New Roman" w:cs="Arial"/>
                <w:b/>
                <w:bCs/>
                <w:color w:val="000000"/>
                <w:sz w:val="18"/>
                <w:szCs w:val="18"/>
                <w:lang w:eastAsia="zh-CN"/>
              </w:rPr>
              <w:t>Total</w:t>
            </w:r>
          </w:p>
        </w:tc>
        <w:tc>
          <w:tcPr>
            <w:tcW w:w="1120" w:type="dxa"/>
            <w:tcBorders>
              <w:top w:val="single" w:sz="4" w:space="0" w:color="auto"/>
              <w:bottom w:val="single" w:sz="4" w:space="0" w:color="auto"/>
            </w:tcBorders>
            <w:shd w:val="clear" w:color="auto" w:fill="D4C5D7"/>
            <w:noWrap/>
            <w:hideMark/>
          </w:tcPr>
          <w:p w14:paraId="1BE04AED"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C42D19">
              <w:rPr>
                <w:rFonts w:eastAsia="Times New Roman" w:cs="Arial"/>
                <w:b/>
                <w:bCs/>
                <w:color w:val="000000"/>
                <w:sz w:val="18"/>
                <w:szCs w:val="18"/>
                <w:lang w:eastAsia="zh-CN"/>
              </w:rPr>
              <w:t>33,475</w:t>
            </w:r>
          </w:p>
        </w:tc>
        <w:tc>
          <w:tcPr>
            <w:tcW w:w="1120" w:type="dxa"/>
            <w:tcBorders>
              <w:top w:val="single" w:sz="4" w:space="0" w:color="auto"/>
              <w:bottom w:val="single" w:sz="4" w:space="0" w:color="auto"/>
            </w:tcBorders>
            <w:shd w:val="clear" w:color="auto" w:fill="D4C5D7"/>
            <w:noWrap/>
            <w:hideMark/>
          </w:tcPr>
          <w:p w14:paraId="06A730CE"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C42D19">
              <w:rPr>
                <w:rFonts w:eastAsia="Times New Roman" w:cs="Arial"/>
                <w:b/>
                <w:bCs/>
                <w:color w:val="000000"/>
                <w:sz w:val="18"/>
                <w:szCs w:val="18"/>
                <w:lang w:eastAsia="zh-CN"/>
              </w:rPr>
              <w:t>37,568</w:t>
            </w:r>
          </w:p>
        </w:tc>
        <w:tc>
          <w:tcPr>
            <w:tcW w:w="1120" w:type="dxa"/>
            <w:tcBorders>
              <w:top w:val="single" w:sz="4" w:space="0" w:color="auto"/>
              <w:bottom w:val="single" w:sz="4" w:space="0" w:color="auto"/>
            </w:tcBorders>
            <w:shd w:val="clear" w:color="auto" w:fill="D4C5D7"/>
            <w:noWrap/>
            <w:hideMark/>
          </w:tcPr>
          <w:p w14:paraId="570805FB"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C42D19">
              <w:rPr>
                <w:rFonts w:eastAsia="Times New Roman" w:cs="Arial"/>
                <w:b/>
                <w:bCs/>
                <w:color w:val="000000"/>
                <w:sz w:val="18"/>
                <w:szCs w:val="18"/>
                <w:lang w:eastAsia="zh-CN"/>
              </w:rPr>
              <w:t>43,463</w:t>
            </w:r>
          </w:p>
        </w:tc>
        <w:tc>
          <w:tcPr>
            <w:tcW w:w="1120" w:type="dxa"/>
            <w:tcBorders>
              <w:top w:val="single" w:sz="4" w:space="0" w:color="auto"/>
              <w:bottom w:val="single" w:sz="4" w:space="0" w:color="auto"/>
              <w:right w:val="dotted" w:sz="4" w:space="0" w:color="auto"/>
            </w:tcBorders>
            <w:shd w:val="clear" w:color="auto" w:fill="D4C5D7"/>
            <w:noWrap/>
            <w:hideMark/>
          </w:tcPr>
          <w:p w14:paraId="69DA6265"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C42D19">
              <w:rPr>
                <w:rFonts w:eastAsia="Times New Roman" w:cs="Arial"/>
                <w:b/>
                <w:bCs/>
                <w:color w:val="000000"/>
                <w:sz w:val="18"/>
                <w:szCs w:val="18"/>
                <w:lang w:eastAsia="zh-CN"/>
              </w:rPr>
              <w:t>49,599</w:t>
            </w:r>
          </w:p>
        </w:tc>
        <w:tc>
          <w:tcPr>
            <w:tcW w:w="1120" w:type="dxa"/>
            <w:tcBorders>
              <w:top w:val="single" w:sz="4" w:space="0" w:color="auto"/>
              <w:left w:val="dotted" w:sz="4" w:space="0" w:color="auto"/>
              <w:bottom w:val="single" w:sz="4" w:space="0" w:color="auto"/>
            </w:tcBorders>
            <w:shd w:val="clear" w:color="auto" w:fill="D4C5D7"/>
            <w:noWrap/>
            <w:hideMark/>
          </w:tcPr>
          <w:p w14:paraId="79FDB253"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C42D19">
              <w:rPr>
                <w:rFonts w:eastAsia="Times New Roman" w:cs="Arial"/>
                <w:b/>
                <w:bCs/>
                <w:color w:val="000000"/>
                <w:sz w:val="18"/>
                <w:szCs w:val="18"/>
                <w:lang w:eastAsia="zh-CN"/>
              </w:rPr>
              <w:t>88,089</w:t>
            </w:r>
          </w:p>
        </w:tc>
      </w:tr>
    </w:tbl>
    <w:p w14:paraId="1D959B2B" w14:textId="77777777" w:rsidR="002C11DC" w:rsidRPr="009A5856" w:rsidRDefault="002C11DC" w:rsidP="002C11DC">
      <w:pPr>
        <w:rPr>
          <w:rFonts w:cs="Arial"/>
          <w:sz w:val="16"/>
          <w:szCs w:val="16"/>
        </w:rPr>
      </w:pPr>
    </w:p>
    <w:tbl>
      <w:tblPr>
        <w:tblStyle w:val="FSRtable"/>
        <w:tblW w:w="8520" w:type="dxa"/>
        <w:tblInd w:w="5" w:type="dxa"/>
        <w:tblLook w:val="04A0" w:firstRow="1" w:lastRow="0" w:firstColumn="1" w:lastColumn="0" w:noHBand="0" w:noVBand="1"/>
      </w:tblPr>
      <w:tblGrid>
        <w:gridCol w:w="2920"/>
        <w:gridCol w:w="1120"/>
        <w:gridCol w:w="1120"/>
        <w:gridCol w:w="1120"/>
        <w:gridCol w:w="1120"/>
        <w:gridCol w:w="1120"/>
      </w:tblGrid>
      <w:tr w:rsidR="002C11DC" w:rsidRPr="00017D78" w14:paraId="4F9B7767"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920" w:type="dxa"/>
            <w:noWrap/>
            <w:vAlign w:val="bottom"/>
            <w:hideMark/>
          </w:tcPr>
          <w:p w14:paraId="0F6E875B" w14:textId="77777777" w:rsidR="002C11DC" w:rsidRPr="00017D78" w:rsidRDefault="002C11DC" w:rsidP="00017D78">
            <w:pPr>
              <w:spacing w:after="0" w:line="240" w:lineRule="auto"/>
              <w:rPr>
                <w:rFonts w:eastAsia="Times New Roman"/>
                <w:bCs/>
                <w:color w:val="FFFFFF"/>
                <w:sz w:val="18"/>
                <w:szCs w:val="18"/>
                <w:lang w:eastAsia="zh-CN"/>
              </w:rPr>
            </w:pPr>
            <w:r w:rsidRPr="00017D78">
              <w:rPr>
                <w:rFonts w:eastAsia="Times New Roman"/>
                <w:bCs/>
                <w:color w:val="FFFFFF"/>
                <w:sz w:val="18"/>
                <w:szCs w:val="18"/>
                <w:lang w:eastAsia="zh-CN"/>
              </w:rPr>
              <w:t>Scheme expenses</w:t>
            </w:r>
          </w:p>
        </w:tc>
        <w:tc>
          <w:tcPr>
            <w:tcW w:w="5600" w:type="dxa"/>
            <w:gridSpan w:val="5"/>
            <w:tcBorders>
              <w:top w:val="single" w:sz="4" w:space="0" w:color="auto"/>
              <w:bottom w:val="single" w:sz="4" w:space="0" w:color="FFFFFF" w:themeColor="background1"/>
            </w:tcBorders>
            <w:noWrap/>
            <w:hideMark/>
          </w:tcPr>
          <w:p w14:paraId="1E4B7385" w14:textId="77777777" w:rsidR="002C11DC" w:rsidRPr="00017D78" w:rsidRDefault="002C11DC" w:rsidP="004462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zh-CN"/>
              </w:rPr>
            </w:pPr>
            <w:r w:rsidRPr="00017D78">
              <w:rPr>
                <w:rFonts w:eastAsia="Times New Roman"/>
                <w:bCs/>
                <w:color w:val="FFFFFF"/>
                <w:sz w:val="18"/>
                <w:szCs w:val="18"/>
                <w:lang w:eastAsia="zh-CN"/>
              </w:rPr>
              <w:t>Projection Year</w:t>
            </w:r>
          </w:p>
        </w:tc>
      </w:tr>
      <w:tr w:rsidR="002C11DC" w:rsidRPr="00017D78" w14:paraId="6C772310"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920" w:type="dxa"/>
            <w:noWrap/>
            <w:vAlign w:val="top"/>
            <w:hideMark/>
          </w:tcPr>
          <w:p w14:paraId="1A408C34" w14:textId="77777777" w:rsidR="002C11DC" w:rsidRPr="00017D78" w:rsidRDefault="002C11DC" w:rsidP="00017D78">
            <w:pPr>
              <w:spacing w:after="0" w:line="240" w:lineRule="auto"/>
              <w:rPr>
                <w:rFonts w:eastAsia="Times New Roman"/>
                <w:b w:val="0"/>
                <w:bCs/>
                <w:color w:val="FFFFFF"/>
                <w:sz w:val="18"/>
                <w:szCs w:val="18"/>
                <w:lang w:eastAsia="zh-CN"/>
              </w:rPr>
            </w:pPr>
            <w:r w:rsidRPr="00017D78">
              <w:rPr>
                <w:rFonts w:eastAsia="Times New Roman"/>
                <w:bCs/>
                <w:color w:val="FFFFFF"/>
                <w:sz w:val="18"/>
                <w:szCs w:val="18"/>
                <w:lang w:eastAsia="zh-CN"/>
              </w:rPr>
              <w:t>($m, cash basis)</w:t>
            </w:r>
          </w:p>
        </w:tc>
        <w:tc>
          <w:tcPr>
            <w:tcW w:w="1120" w:type="dxa"/>
            <w:tcBorders>
              <w:top w:val="single" w:sz="4" w:space="0" w:color="FFFFFF" w:themeColor="background1"/>
            </w:tcBorders>
            <w:noWrap/>
            <w:hideMark/>
          </w:tcPr>
          <w:p w14:paraId="394F5BF1" w14:textId="77777777" w:rsidR="002C11DC" w:rsidRPr="00017D78"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017D78">
              <w:rPr>
                <w:rFonts w:eastAsia="Times New Roman"/>
                <w:bCs/>
                <w:color w:val="FFFFFF"/>
                <w:sz w:val="18"/>
                <w:szCs w:val="18"/>
                <w:lang w:eastAsia="zh-CN"/>
              </w:rPr>
              <w:t>2022-23</w:t>
            </w:r>
          </w:p>
        </w:tc>
        <w:tc>
          <w:tcPr>
            <w:tcW w:w="1120" w:type="dxa"/>
            <w:tcBorders>
              <w:top w:val="single" w:sz="4" w:space="0" w:color="FFFFFF" w:themeColor="background1"/>
            </w:tcBorders>
            <w:noWrap/>
            <w:hideMark/>
          </w:tcPr>
          <w:p w14:paraId="3486F71B" w14:textId="77777777" w:rsidR="002C11DC" w:rsidRPr="00017D78"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017D78">
              <w:rPr>
                <w:rFonts w:eastAsia="Times New Roman"/>
                <w:bCs/>
                <w:color w:val="FFFFFF"/>
                <w:sz w:val="18"/>
                <w:szCs w:val="18"/>
                <w:lang w:eastAsia="zh-CN"/>
              </w:rPr>
              <w:t>2023-24</w:t>
            </w:r>
          </w:p>
        </w:tc>
        <w:tc>
          <w:tcPr>
            <w:tcW w:w="1120" w:type="dxa"/>
            <w:tcBorders>
              <w:top w:val="single" w:sz="4" w:space="0" w:color="FFFFFF" w:themeColor="background1"/>
            </w:tcBorders>
            <w:noWrap/>
            <w:hideMark/>
          </w:tcPr>
          <w:p w14:paraId="38C29662" w14:textId="77777777" w:rsidR="002C11DC" w:rsidRPr="00017D78"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017D78">
              <w:rPr>
                <w:rFonts w:eastAsia="Times New Roman"/>
                <w:bCs/>
                <w:color w:val="FFFFFF"/>
                <w:sz w:val="18"/>
                <w:szCs w:val="18"/>
                <w:lang w:eastAsia="zh-CN"/>
              </w:rPr>
              <w:t>2024-25</w:t>
            </w:r>
          </w:p>
        </w:tc>
        <w:tc>
          <w:tcPr>
            <w:tcW w:w="1120" w:type="dxa"/>
            <w:tcBorders>
              <w:top w:val="single" w:sz="4" w:space="0" w:color="FFFFFF" w:themeColor="background1"/>
              <w:right w:val="dotted" w:sz="4" w:space="0" w:color="auto"/>
            </w:tcBorders>
            <w:noWrap/>
            <w:hideMark/>
          </w:tcPr>
          <w:p w14:paraId="1C1003B2" w14:textId="77777777" w:rsidR="002C11DC" w:rsidRPr="00017D78"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017D78">
              <w:rPr>
                <w:rFonts w:eastAsia="Times New Roman"/>
                <w:bCs/>
                <w:color w:val="FFFFFF"/>
                <w:sz w:val="18"/>
                <w:szCs w:val="18"/>
                <w:lang w:eastAsia="zh-CN"/>
              </w:rPr>
              <w:t>2025-26</w:t>
            </w:r>
          </w:p>
        </w:tc>
        <w:tc>
          <w:tcPr>
            <w:tcW w:w="1120" w:type="dxa"/>
            <w:tcBorders>
              <w:top w:val="single" w:sz="4" w:space="0" w:color="FFFFFF" w:themeColor="background1"/>
              <w:left w:val="dotted" w:sz="4" w:space="0" w:color="auto"/>
              <w:bottom w:val="nil"/>
            </w:tcBorders>
            <w:noWrap/>
            <w:hideMark/>
          </w:tcPr>
          <w:p w14:paraId="2D6A9231" w14:textId="77777777" w:rsidR="002C11DC" w:rsidRPr="00017D78"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017D78">
              <w:rPr>
                <w:rFonts w:eastAsia="Times New Roman"/>
                <w:bCs/>
                <w:color w:val="FFFFFF"/>
                <w:sz w:val="18"/>
                <w:szCs w:val="18"/>
                <w:lang w:eastAsia="zh-CN"/>
              </w:rPr>
              <w:t>2031-32</w:t>
            </w:r>
          </w:p>
        </w:tc>
      </w:tr>
      <w:tr w:rsidR="002C11DC" w:rsidRPr="00C42D19" w14:paraId="0C6F454E"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3188FEAC" w14:textId="77777777" w:rsidR="002C11DC" w:rsidRPr="00C42D19" w:rsidRDefault="002C11DC" w:rsidP="00446247">
            <w:pPr>
              <w:spacing w:after="0" w:line="240" w:lineRule="auto"/>
              <w:rPr>
                <w:rFonts w:eastAsia="Times New Roman" w:cs="Arial"/>
                <w:b/>
                <w:bCs/>
                <w:color w:val="000000"/>
                <w:sz w:val="18"/>
                <w:szCs w:val="18"/>
                <w:lang w:eastAsia="zh-CN"/>
              </w:rPr>
            </w:pPr>
            <w:r w:rsidRPr="00C42D19">
              <w:rPr>
                <w:rFonts w:eastAsia="Times New Roman" w:cs="Arial"/>
                <w:b/>
                <w:bCs/>
                <w:color w:val="000000"/>
                <w:sz w:val="18"/>
                <w:szCs w:val="18"/>
                <w:lang w:eastAsia="zh-CN"/>
              </w:rPr>
              <w:t>2020-21 AFSR</w:t>
            </w:r>
          </w:p>
        </w:tc>
        <w:tc>
          <w:tcPr>
            <w:tcW w:w="1120" w:type="dxa"/>
            <w:shd w:val="clear" w:color="auto" w:fill="auto"/>
            <w:noWrap/>
            <w:hideMark/>
          </w:tcPr>
          <w:p w14:paraId="6F9EC8A6"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C42D19">
              <w:rPr>
                <w:rFonts w:eastAsia="Times New Roman" w:cs="Arial"/>
                <w:b/>
                <w:bCs/>
                <w:i/>
                <w:iCs/>
                <w:color w:val="000000"/>
                <w:sz w:val="18"/>
                <w:szCs w:val="18"/>
                <w:lang w:eastAsia="zh-CN"/>
              </w:rPr>
              <w:t> </w:t>
            </w:r>
          </w:p>
        </w:tc>
        <w:tc>
          <w:tcPr>
            <w:tcW w:w="1120" w:type="dxa"/>
            <w:shd w:val="clear" w:color="auto" w:fill="auto"/>
            <w:noWrap/>
            <w:hideMark/>
          </w:tcPr>
          <w:p w14:paraId="3984830A"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C42D19">
              <w:rPr>
                <w:rFonts w:eastAsia="Times New Roman" w:cs="Arial"/>
                <w:b/>
                <w:bCs/>
                <w:i/>
                <w:iCs/>
                <w:color w:val="000000"/>
                <w:sz w:val="18"/>
                <w:szCs w:val="18"/>
                <w:lang w:eastAsia="zh-CN"/>
              </w:rPr>
              <w:t> </w:t>
            </w:r>
          </w:p>
        </w:tc>
        <w:tc>
          <w:tcPr>
            <w:tcW w:w="1120" w:type="dxa"/>
            <w:shd w:val="clear" w:color="auto" w:fill="auto"/>
            <w:noWrap/>
            <w:hideMark/>
          </w:tcPr>
          <w:p w14:paraId="2BA3DE7E"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C42D19">
              <w:rPr>
                <w:rFonts w:eastAsia="Times New Roman" w:cs="Arial"/>
                <w:b/>
                <w:bCs/>
                <w:i/>
                <w:iCs/>
                <w:color w:val="000000"/>
                <w:sz w:val="18"/>
                <w:szCs w:val="18"/>
                <w:lang w:eastAsia="zh-CN"/>
              </w:rPr>
              <w:t> </w:t>
            </w:r>
          </w:p>
        </w:tc>
        <w:tc>
          <w:tcPr>
            <w:tcW w:w="1120" w:type="dxa"/>
            <w:tcBorders>
              <w:right w:val="dotted" w:sz="4" w:space="0" w:color="auto"/>
            </w:tcBorders>
            <w:shd w:val="clear" w:color="auto" w:fill="auto"/>
            <w:noWrap/>
            <w:hideMark/>
          </w:tcPr>
          <w:p w14:paraId="489B42AB"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C42D19">
              <w:rPr>
                <w:rFonts w:eastAsia="Times New Roman" w:cs="Arial"/>
                <w:b/>
                <w:bCs/>
                <w:i/>
                <w:iCs/>
                <w:color w:val="000000"/>
                <w:sz w:val="18"/>
                <w:szCs w:val="18"/>
                <w:lang w:eastAsia="zh-CN"/>
              </w:rPr>
              <w:t> </w:t>
            </w:r>
          </w:p>
        </w:tc>
        <w:tc>
          <w:tcPr>
            <w:tcW w:w="1120" w:type="dxa"/>
            <w:tcBorders>
              <w:top w:val="nil"/>
              <w:left w:val="dotted" w:sz="4" w:space="0" w:color="auto"/>
              <w:bottom w:val="nil"/>
            </w:tcBorders>
            <w:shd w:val="clear" w:color="auto" w:fill="auto"/>
            <w:noWrap/>
            <w:hideMark/>
          </w:tcPr>
          <w:p w14:paraId="07596B1F"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C42D19">
              <w:rPr>
                <w:rFonts w:eastAsia="Times New Roman" w:cs="Arial"/>
                <w:b/>
                <w:bCs/>
                <w:i/>
                <w:iCs/>
                <w:color w:val="000000"/>
                <w:sz w:val="18"/>
                <w:szCs w:val="18"/>
                <w:lang w:eastAsia="zh-CN"/>
              </w:rPr>
              <w:t> </w:t>
            </w:r>
          </w:p>
        </w:tc>
      </w:tr>
      <w:tr w:rsidR="002C11DC" w:rsidRPr="00C42D19" w14:paraId="6A24A631" w14:textId="77777777" w:rsidTr="00017D7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23C267ED" w14:textId="77777777" w:rsidR="002C11DC" w:rsidRPr="00C42D19" w:rsidRDefault="002C11DC" w:rsidP="00446247">
            <w:pPr>
              <w:spacing w:after="0" w:line="240" w:lineRule="auto"/>
              <w:rPr>
                <w:rFonts w:eastAsia="Times New Roman" w:cs="Arial"/>
                <w:b/>
                <w:bCs/>
                <w:color w:val="000000"/>
                <w:sz w:val="18"/>
                <w:szCs w:val="18"/>
                <w:lang w:eastAsia="zh-CN"/>
              </w:rPr>
            </w:pPr>
            <w:r w:rsidRPr="00C42D19">
              <w:rPr>
                <w:rFonts w:eastAsia="Times New Roman" w:cs="Arial"/>
                <w:b/>
                <w:bCs/>
                <w:color w:val="000000"/>
                <w:sz w:val="18"/>
                <w:szCs w:val="18"/>
                <w:lang w:eastAsia="zh-CN"/>
              </w:rPr>
              <w:t>Core</w:t>
            </w:r>
          </w:p>
        </w:tc>
        <w:tc>
          <w:tcPr>
            <w:tcW w:w="1120" w:type="dxa"/>
            <w:noWrap/>
            <w:hideMark/>
          </w:tcPr>
          <w:p w14:paraId="7419B77A"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p>
        </w:tc>
        <w:tc>
          <w:tcPr>
            <w:tcW w:w="1120" w:type="dxa"/>
            <w:noWrap/>
            <w:hideMark/>
          </w:tcPr>
          <w:p w14:paraId="19A0AEFF"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1120" w:type="dxa"/>
            <w:noWrap/>
            <w:hideMark/>
          </w:tcPr>
          <w:p w14:paraId="446620DD"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1120" w:type="dxa"/>
            <w:tcBorders>
              <w:right w:val="dotted" w:sz="4" w:space="0" w:color="auto"/>
            </w:tcBorders>
            <w:noWrap/>
            <w:hideMark/>
          </w:tcPr>
          <w:p w14:paraId="1D0788EB"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1120" w:type="dxa"/>
            <w:tcBorders>
              <w:top w:val="nil"/>
              <w:left w:val="dotted" w:sz="4" w:space="0" w:color="auto"/>
              <w:bottom w:val="nil"/>
            </w:tcBorders>
            <w:noWrap/>
            <w:hideMark/>
          </w:tcPr>
          <w:p w14:paraId="451C4F8D"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 </w:t>
            </w:r>
          </w:p>
        </w:tc>
      </w:tr>
      <w:tr w:rsidR="002C11DC" w:rsidRPr="00C42D19" w14:paraId="0BC84B94"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1B089B11" w14:textId="77777777" w:rsidR="002C11DC" w:rsidRPr="00C42D19" w:rsidRDefault="002C11DC" w:rsidP="00446247">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Daily Activities</w:t>
            </w:r>
          </w:p>
        </w:tc>
        <w:tc>
          <w:tcPr>
            <w:tcW w:w="1120" w:type="dxa"/>
            <w:shd w:val="clear" w:color="auto" w:fill="auto"/>
            <w:noWrap/>
            <w:hideMark/>
          </w:tcPr>
          <w:p w14:paraId="343198EB"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17,947</w:t>
            </w:r>
          </w:p>
        </w:tc>
        <w:tc>
          <w:tcPr>
            <w:tcW w:w="1120" w:type="dxa"/>
            <w:shd w:val="clear" w:color="auto" w:fill="auto"/>
            <w:noWrap/>
            <w:hideMark/>
          </w:tcPr>
          <w:p w14:paraId="6DC43C9F"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19,800</w:t>
            </w:r>
          </w:p>
        </w:tc>
        <w:tc>
          <w:tcPr>
            <w:tcW w:w="1120" w:type="dxa"/>
            <w:shd w:val="clear" w:color="auto" w:fill="auto"/>
            <w:noWrap/>
            <w:hideMark/>
          </w:tcPr>
          <w:p w14:paraId="1C568405"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21,407</w:t>
            </w:r>
          </w:p>
        </w:tc>
        <w:tc>
          <w:tcPr>
            <w:tcW w:w="1120" w:type="dxa"/>
            <w:tcBorders>
              <w:right w:val="dotted" w:sz="4" w:space="0" w:color="auto"/>
            </w:tcBorders>
            <w:shd w:val="clear" w:color="auto" w:fill="auto"/>
            <w:noWrap/>
            <w:hideMark/>
          </w:tcPr>
          <w:p w14:paraId="3E1368CB"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22,949</w:t>
            </w:r>
          </w:p>
        </w:tc>
        <w:tc>
          <w:tcPr>
            <w:tcW w:w="1120" w:type="dxa"/>
            <w:tcBorders>
              <w:top w:val="nil"/>
              <w:left w:val="dotted" w:sz="4" w:space="0" w:color="auto"/>
              <w:bottom w:val="nil"/>
            </w:tcBorders>
            <w:shd w:val="clear" w:color="auto" w:fill="auto"/>
            <w:noWrap/>
            <w:hideMark/>
          </w:tcPr>
          <w:p w14:paraId="09A7F756"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34,944</w:t>
            </w:r>
          </w:p>
        </w:tc>
      </w:tr>
      <w:tr w:rsidR="002C11DC" w:rsidRPr="00C42D19" w14:paraId="59D7AFB2" w14:textId="77777777" w:rsidTr="00017D7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1E081C1F" w14:textId="77777777" w:rsidR="002C11DC" w:rsidRPr="00C42D19" w:rsidRDefault="002C11DC" w:rsidP="00446247">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Social Community Civic</w:t>
            </w:r>
          </w:p>
        </w:tc>
        <w:tc>
          <w:tcPr>
            <w:tcW w:w="1120" w:type="dxa"/>
            <w:noWrap/>
            <w:hideMark/>
          </w:tcPr>
          <w:p w14:paraId="382BA34F"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6,184</w:t>
            </w:r>
          </w:p>
        </w:tc>
        <w:tc>
          <w:tcPr>
            <w:tcW w:w="1120" w:type="dxa"/>
            <w:noWrap/>
            <w:hideMark/>
          </w:tcPr>
          <w:p w14:paraId="7D24E390"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6,994</w:t>
            </w:r>
          </w:p>
        </w:tc>
        <w:tc>
          <w:tcPr>
            <w:tcW w:w="1120" w:type="dxa"/>
            <w:noWrap/>
            <w:hideMark/>
          </w:tcPr>
          <w:p w14:paraId="0B3B11AA"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7,684</w:t>
            </w:r>
          </w:p>
        </w:tc>
        <w:tc>
          <w:tcPr>
            <w:tcW w:w="1120" w:type="dxa"/>
            <w:tcBorders>
              <w:right w:val="dotted" w:sz="4" w:space="0" w:color="auto"/>
            </w:tcBorders>
            <w:noWrap/>
            <w:hideMark/>
          </w:tcPr>
          <w:p w14:paraId="74214E18"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8,354</w:t>
            </w:r>
          </w:p>
        </w:tc>
        <w:tc>
          <w:tcPr>
            <w:tcW w:w="1120" w:type="dxa"/>
            <w:tcBorders>
              <w:top w:val="nil"/>
              <w:left w:val="dotted" w:sz="4" w:space="0" w:color="auto"/>
              <w:bottom w:val="nil"/>
            </w:tcBorders>
            <w:noWrap/>
            <w:hideMark/>
          </w:tcPr>
          <w:p w14:paraId="3CBDD66C"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13,705</w:t>
            </w:r>
          </w:p>
        </w:tc>
      </w:tr>
      <w:tr w:rsidR="002C11DC" w:rsidRPr="00C42D19" w14:paraId="68779EF4"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427C1DED" w14:textId="77777777" w:rsidR="002C11DC" w:rsidRPr="00C42D19" w:rsidRDefault="002C11DC" w:rsidP="00446247">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Transport</w:t>
            </w:r>
          </w:p>
        </w:tc>
        <w:tc>
          <w:tcPr>
            <w:tcW w:w="1120" w:type="dxa"/>
            <w:shd w:val="clear" w:color="auto" w:fill="auto"/>
            <w:noWrap/>
            <w:hideMark/>
          </w:tcPr>
          <w:p w14:paraId="2E94D3E8"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1,059</w:t>
            </w:r>
          </w:p>
        </w:tc>
        <w:tc>
          <w:tcPr>
            <w:tcW w:w="1120" w:type="dxa"/>
            <w:shd w:val="clear" w:color="auto" w:fill="auto"/>
            <w:noWrap/>
            <w:hideMark/>
          </w:tcPr>
          <w:p w14:paraId="1E9237B6"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1,209</w:t>
            </w:r>
          </w:p>
        </w:tc>
        <w:tc>
          <w:tcPr>
            <w:tcW w:w="1120" w:type="dxa"/>
            <w:shd w:val="clear" w:color="auto" w:fill="auto"/>
            <w:noWrap/>
            <w:hideMark/>
          </w:tcPr>
          <w:p w14:paraId="6A6FFF15"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1,336</w:t>
            </w:r>
          </w:p>
        </w:tc>
        <w:tc>
          <w:tcPr>
            <w:tcW w:w="1120" w:type="dxa"/>
            <w:tcBorders>
              <w:right w:val="dotted" w:sz="4" w:space="0" w:color="auto"/>
            </w:tcBorders>
            <w:shd w:val="clear" w:color="auto" w:fill="auto"/>
            <w:noWrap/>
            <w:hideMark/>
          </w:tcPr>
          <w:p w14:paraId="6599AAC8"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1,450</w:t>
            </w:r>
          </w:p>
        </w:tc>
        <w:tc>
          <w:tcPr>
            <w:tcW w:w="1120" w:type="dxa"/>
            <w:tcBorders>
              <w:top w:val="nil"/>
              <w:left w:val="dotted" w:sz="4" w:space="0" w:color="auto"/>
              <w:bottom w:val="nil"/>
            </w:tcBorders>
            <w:shd w:val="clear" w:color="auto" w:fill="auto"/>
            <w:noWrap/>
            <w:hideMark/>
          </w:tcPr>
          <w:p w14:paraId="5339B8E9"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2,226</w:t>
            </w:r>
          </w:p>
        </w:tc>
      </w:tr>
      <w:tr w:rsidR="002C11DC" w:rsidRPr="00C42D19" w14:paraId="1C0F920B" w14:textId="77777777" w:rsidTr="00017D7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5019EE73" w14:textId="77777777" w:rsidR="002C11DC" w:rsidRPr="00C42D19" w:rsidRDefault="002C11DC" w:rsidP="00446247">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Consumables</w:t>
            </w:r>
          </w:p>
        </w:tc>
        <w:tc>
          <w:tcPr>
            <w:tcW w:w="1120" w:type="dxa"/>
            <w:noWrap/>
            <w:hideMark/>
          </w:tcPr>
          <w:p w14:paraId="0DDD9CA1"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616</w:t>
            </w:r>
          </w:p>
        </w:tc>
        <w:tc>
          <w:tcPr>
            <w:tcW w:w="1120" w:type="dxa"/>
            <w:noWrap/>
            <w:hideMark/>
          </w:tcPr>
          <w:p w14:paraId="09CE80B8"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689</w:t>
            </w:r>
          </w:p>
        </w:tc>
        <w:tc>
          <w:tcPr>
            <w:tcW w:w="1120" w:type="dxa"/>
            <w:noWrap/>
            <w:hideMark/>
          </w:tcPr>
          <w:p w14:paraId="522CB71C"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747</w:t>
            </w:r>
          </w:p>
        </w:tc>
        <w:tc>
          <w:tcPr>
            <w:tcW w:w="1120" w:type="dxa"/>
            <w:tcBorders>
              <w:right w:val="dotted" w:sz="4" w:space="0" w:color="auto"/>
            </w:tcBorders>
            <w:noWrap/>
            <w:hideMark/>
          </w:tcPr>
          <w:p w14:paraId="187983B7"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795</w:t>
            </w:r>
          </w:p>
        </w:tc>
        <w:tc>
          <w:tcPr>
            <w:tcW w:w="1120" w:type="dxa"/>
            <w:tcBorders>
              <w:top w:val="nil"/>
              <w:left w:val="dotted" w:sz="4" w:space="0" w:color="auto"/>
              <w:bottom w:val="nil"/>
            </w:tcBorders>
            <w:noWrap/>
            <w:hideMark/>
          </w:tcPr>
          <w:p w14:paraId="08BED575"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1,096</w:t>
            </w:r>
          </w:p>
        </w:tc>
      </w:tr>
      <w:tr w:rsidR="002C11DC" w:rsidRPr="00C42D19" w14:paraId="5A38E44C"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1C626DBD" w14:textId="77777777" w:rsidR="002C11DC" w:rsidRPr="00C42D19" w:rsidRDefault="002C11DC" w:rsidP="00446247">
            <w:pPr>
              <w:spacing w:after="0" w:line="240" w:lineRule="auto"/>
              <w:rPr>
                <w:rFonts w:eastAsia="Times New Roman" w:cs="Arial"/>
                <w:b/>
                <w:bCs/>
                <w:color w:val="000000"/>
                <w:sz w:val="18"/>
                <w:szCs w:val="18"/>
                <w:lang w:eastAsia="zh-CN"/>
              </w:rPr>
            </w:pPr>
            <w:r w:rsidRPr="00C42D19">
              <w:rPr>
                <w:rFonts w:eastAsia="Times New Roman" w:cs="Arial"/>
                <w:b/>
                <w:bCs/>
                <w:color w:val="000000"/>
                <w:sz w:val="18"/>
                <w:szCs w:val="18"/>
                <w:lang w:eastAsia="zh-CN"/>
              </w:rPr>
              <w:t>Capital</w:t>
            </w:r>
          </w:p>
        </w:tc>
        <w:tc>
          <w:tcPr>
            <w:tcW w:w="1120" w:type="dxa"/>
            <w:shd w:val="clear" w:color="auto" w:fill="auto"/>
            <w:noWrap/>
            <w:hideMark/>
          </w:tcPr>
          <w:p w14:paraId="0718B8EA"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p>
        </w:tc>
        <w:tc>
          <w:tcPr>
            <w:tcW w:w="1120" w:type="dxa"/>
            <w:shd w:val="clear" w:color="auto" w:fill="auto"/>
            <w:noWrap/>
            <w:hideMark/>
          </w:tcPr>
          <w:p w14:paraId="5A7AA6E6"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p>
        </w:tc>
        <w:tc>
          <w:tcPr>
            <w:tcW w:w="1120" w:type="dxa"/>
            <w:shd w:val="clear" w:color="auto" w:fill="auto"/>
            <w:noWrap/>
            <w:hideMark/>
          </w:tcPr>
          <w:p w14:paraId="2E61A0BE"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p>
        </w:tc>
        <w:tc>
          <w:tcPr>
            <w:tcW w:w="1120" w:type="dxa"/>
            <w:tcBorders>
              <w:right w:val="dotted" w:sz="4" w:space="0" w:color="auto"/>
            </w:tcBorders>
            <w:shd w:val="clear" w:color="auto" w:fill="auto"/>
            <w:noWrap/>
            <w:hideMark/>
          </w:tcPr>
          <w:p w14:paraId="72607508"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p>
        </w:tc>
        <w:tc>
          <w:tcPr>
            <w:tcW w:w="1120" w:type="dxa"/>
            <w:tcBorders>
              <w:top w:val="nil"/>
              <w:left w:val="dotted" w:sz="4" w:space="0" w:color="auto"/>
              <w:bottom w:val="nil"/>
            </w:tcBorders>
            <w:shd w:val="clear" w:color="auto" w:fill="auto"/>
            <w:noWrap/>
            <w:hideMark/>
          </w:tcPr>
          <w:p w14:paraId="7976B634"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 </w:t>
            </w:r>
          </w:p>
        </w:tc>
      </w:tr>
      <w:tr w:rsidR="002C11DC" w:rsidRPr="00C42D19" w14:paraId="6EFF89A7" w14:textId="77777777" w:rsidTr="00017D7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539B17BE" w14:textId="77777777" w:rsidR="002C11DC" w:rsidRPr="00C42D19" w:rsidRDefault="002C11DC" w:rsidP="00446247">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Assistive Technology</w:t>
            </w:r>
          </w:p>
        </w:tc>
        <w:tc>
          <w:tcPr>
            <w:tcW w:w="1120" w:type="dxa"/>
            <w:noWrap/>
            <w:hideMark/>
          </w:tcPr>
          <w:p w14:paraId="7FEAAF95"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634</w:t>
            </w:r>
          </w:p>
        </w:tc>
        <w:tc>
          <w:tcPr>
            <w:tcW w:w="1120" w:type="dxa"/>
            <w:noWrap/>
            <w:hideMark/>
          </w:tcPr>
          <w:p w14:paraId="695EE5FB"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705</w:t>
            </w:r>
          </w:p>
        </w:tc>
        <w:tc>
          <w:tcPr>
            <w:tcW w:w="1120" w:type="dxa"/>
            <w:noWrap/>
            <w:hideMark/>
          </w:tcPr>
          <w:p w14:paraId="78A9BBF3"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758</w:t>
            </w:r>
          </w:p>
        </w:tc>
        <w:tc>
          <w:tcPr>
            <w:tcW w:w="1120" w:type="dxa"/>
            <w:tcBorders>
              <w:right w:val="dotted" w:sz="4" w:space="0" w:color="auto"/>
            </w:tcBorders>
            <w:noWrap/>
            <w:hideMark/>
          </w:tcPr>
          <w:p w14:paraId="229C5D74"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801</w:t>
            </w:r>
          </w:p>
        </w:tc>
        <w:tc>
          <w:tcPr>
            <w:tcW w:w="1120" w:type="dxa"/>
            <w:tcBorders>
              <w:top w:val="nil"/>
              <w:left w:val="dotted" w:sz="4" w:space="0" w:color="auto"/>
              <w:bottom w:val="nil"/>
            </w:tcBorders>
            <w:noWrap/>
            <w:hideMark/>
          </w:tcPr>
          <w:p w14:paraId="63B9EE80"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1,061</w:t>
            </w:r>
          </w:p>
        </w:tc>
      </w:tr>
      <w:tr w:rsidR="002C11DC" w:rsidRPr="00C42D19" w14:paraId="7607B44C"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5C50ADBF" w14:textId="77777777" w:rsidR="002C11DC" w:rsidRPr="00C42D19" w:rsidRDefault="002C11DC" w:rsidP="00446247">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Home Modifications</w:t>
            </w:r>
          </w:p>
        </w:tc>
        <w:tc>
          <w:tcPr>
            <w:tcW w:w="1120" w:type="dxa"/>
            <w:shd w:val="clear" w:color="auto" w:fill="auto"/>
            <w:noWrap/>
            <w:hideMark/>
          </w:tcPr>
          <w:p w14:paraId="1E266FC0"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372</w:t>
            </w:r>
          </w:p>
        </w:tc>
        <w:tc>
          <w:tcPr>
            <w:tcW w:w="1120" w:type="dxa"/>
            <w:shd w:val="clear" w:color="auto" w:fill="auto"/>
            <w:noWrap/>
            <w:hideMark/>
          </w:tcPr>
          <w:p w14:paraId="4399D9CA"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419</w:t>
            </w:r>
          </w:p>
        </w:tc>
        <w:tc>
          <w:tcPr>
            <w:tcW w:w="1120" w:type="dxa"/>
            <w:shd w:val="clear" w:color="auto" w:fill="auto"/>
            <w:noWrap/>
            <w:hideMark/>
          </w:tcPr>
          <w:p w14:paraId="0044E757"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446</w:t>
            </w:r>
          </w:p>
        </w:tc>
        <w:tc>
          <w:tcPr>
            <w:tcW w:w="1120" w:type="dxa"/>
            <w:tcBorders>
              <w:right w:val="dotted" w:sz="4" w:space="0" w:color="auto"/>
            </w:tcBorders>
            <w:shd w:val="clear" w:color="auto" w:fill="auto"/>
            <w:noWrap/>
            <w:hideMark/>
          </w:tcPr>
          <w:p w14:paraId="6E6B969F"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471</w:t>
            </w:r>
          </w:p>
        </w:tc>
        <w:tc>
          <w:tcPr>
            <w:tcW w:w="1120" w:type="dxa"/>
            <w:tcBorders>
              <w:top w:val="nil"/>
              <w:left w:val="dotted" w:sz="4" w:space="0" w:color="auto"/>
              <w:bottom w:val="nil"/>
            </w:tcBorders>
            <w:shd w:val="clear" w:color="auto" w:fill="auto"/>
            <w:noWrap/>
            <w:hideMark/>
          </w:tcPr>
          <w:p w14:paraId="307E3D70"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640</w:t>
            </w:r>
          </w:p>
        </w:tc>
      </w:tr>
      <w:tr w:rsidR="002C11DC" w:rsidRPr="00C42D19" w14:paraId="6DE72251" w14:textId="77777777" w:rsidTr="0004693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BFBFBF" w:themeFill="background1" w:themeFillShade="BF"/>
            <w:noWrap/>
            <w:hideMark/>
          </w:tcPr>
          <w:p w14:paraId="209CB3CF" w14:textId="77777777" w:rsidR="002C11DC" w:rsidRPr="00C42D19" w:rsidRDefault="002C11DC" w:rsidP="00446247">
            <w:pPr>
              <w:spacing w:after="0" w:line="240" w:lineRule="auto"/>
              <w:rPr>
                <w:rFonts w:eastAsia="Times New Roman" w:cs="Arial"/>
                <w:b/>
                <w:bCs/>
                <w:color w:val="000000"/>
                <w:sz w:val="18"/>
                <w:szCs w:val="18"/>
                <w:lang w:eastAsia="zh-CN"/>
              </w:rPr>
            </w:pPr>
            <w:r w:rsidRPr="00C42D19">
              <w:rPr>
                <w:rFonts w:eastAsia="Times New Roman" w:cs="Arial"/>
                <w:b/>
                <w:bCs/>
                <w:color w:val="000000"/>
                <w:sz w:val="18"/>
                <w:szCs w:val="18"/>
                <w:lang w:eastAsia="zh-CN"/>
              </w:rPr>
              <w:t>Capacity Building</w:t>
            </w:r>
          </w:p>
        </w:tc>
        <w:tc>
          <w:tcPr>
            <w:tcW w:w="1120" w:type="dxa"/>
            <w:shd w:val="clear" w:color="auto" w:fill="BFBFBF" w:themeFill="background1" w:themeFillShade="BF"/>
            <w:noWrap/>
            <w:hideMark/>
          </w:tcPr>
          <w:p w14:paraId="36AACAC4"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p>
        </w:tc>
        <w:tc>
          <w:tcPr>
            <w:tcW w:w="1120" w:type="dxa"/>
            <w:shd w:val="clear" w:color="auto" w:fill="BFBFBF" w:themeFill="background1" w:themeFillShade="BF"/>
            <w:noWrap/>
            <w:hideMark/>
          </w:tcPr>
          <w:p w14:paraId="51318E61"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1120" w:type="dxa"/>
            <w:shd w:val="clear" w:color="auto" w:fill="BFBFBF" w:themeFill="background1" w:themeFillShade="BF"/>
            <w:noWrap/>
            <w:hideMark/>
          </w:tcPr>
          <w:p w14:paraId="752FFC85"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1120" w:type="dxa"/>
            <w:tcBorders>
              <w:right w:val="dotted" w:sz="4" w:space="0" w:color="auto"/>
            </w:tcBorders>
            <w:shd w:val="clear" w:color="auto" w:fill="BFBFBF" w:themeFill="background1" w:themeFillShade="BF"/>
            <w:noWrap/>
            <w:hideMark/>
          </w:tcPr>
          <w:p w14:paraId="4CF77FFD"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1120" w:type="dxa"/>
            <w:tcBorders>
              <w:top w:val="nil"/>
              <w:left w:val="dotted" w:sz="4" w:space="0" w:color="auto"/>
              <w:bottom w:val="nil"/>
            </w:tcBorders>
            <w:shd w:val="clear" w:color="auto" w:fill="BFBFBF" w:themeFill="background1" w:themeFillShade="BF"/>
            <w:noWrap/>
            <w:hideMark/>
          </w:tcPr>
          <w:p w14:paraId="4DF5E88C"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 </w:t>
            </w:r>
          </w:p>
        </w:tc>
      </w:tr>
      <w:tr w:rsidR="002C11DC" w:rsidRPr="00C42D19" w14:paraId="7A4470F8"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571C6700" w14:textId="77777777" w:rsidR="002C11DC" w:rsidRPr="00C42D19" w:rsidRDefault="002C11DC" w:rsidP="00446247">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CB Daily Activities</w:t>
            </w:r>
          </w:p>
        </w:tc>
        <w:tc>
          <w:tcPr>
            <w:tcW w:w="1120" w:type="dxa"/>
            <w:shd w:val="clear" w:color="auto" w:fill="auto"/>
            <w:noWrap/>
            <w:hideMark/>
          </w:tcPr>
          <w:p w14:paraId="77A8424A"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4,191</w:t>
            </w:r>
          </w:p>
        </w:tc>
        <w:tc>
          <w:tcPr>
            <w:tcW w:w="1120" w:type="dxa"/>
            <w:shd w:val="clear" w:color="auto" w:fill="auto"/>
            <w:noWrap/>
            <w:hideMark/>
          </w:tcPr>
          <w:p w14:paraId="0D04022E"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4,796</w:t>
            </w:r>
          </w:p>
        </w:tc>
        <w:tc>
          <w:tcPr>
            <w:tcW w:w="1120" w:type="dxa"/>
            <w:shd w:val="clear" w:color="auto" w:fill="auto"/>
            <w:noWrap/>
            <w:hideMark/>
          </w:tcPr>
          <w:p w14:paraId="6DD44466"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5,279</w:t>
            </w:r>
          </w:p>
        </w:tc>
        <w:tc>
          <w:tcPr>
            <w:tcW w:w="1120" w:type="dxa"/>
            <w:tcBorders>
              <w:right w:val="dotted" w:sz="4" w:space="0" w:color="auto"/>
            </w:tcBorders>
            <w:shd w:val="clear" w:color="auto" w:fill="auto"/>
            <w:noWrap/>
            <w:hideMark/>
          </w:tcPr>
          <w:p w14:paraId="0350E4E9"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5,682</w:t>
            </w:r>
          </w:p>
        </w:tc>
        <w:tc>
          <w:tcPr>
            <w:tcW w:w="1120" w:type="dxa"/>
            <w:tcBorders>
              <w:top w:val="nil"/>
              <w:left w:val="dotted" w:sz="4" w:space="0" w:color="auto"/>
              <w:bottom w:val="nil"/>
            </w:tcBorders>
            <w:shd w:val="clear" w:color="auto" w:fill="auto"/>
            <w:noWrap/>
            <w:hideMark/>
          </w:tcPr>
          <w:p w14:paraId="516A68D4"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7,915</w:t>
            </w:r>
          </w:p>
        </w:tc>
      </w:tr>
      <w:tr w:rsidR="002C11DC" w:rsidRPr="00C42D19" w14:paraId="2CF0D27C" w14:textId="77777777" w:rsidTr="00017D7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2EAED6C7" w14:textId="77777777" w:rsidR="002C11DC" w:rsidRPr="00C42D19" w:rsidRDefault="002C11DC" w:rsidP="00446247">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Support Coordination</w:t>
            </w:r>
          </w:p>
        </w:tc>
        <w:tc>
          <w:tcPr>
            <w:tcW w:w="1120" w:type="dxa"/>
            <w:noWrap/>
            <w:hideMark/>
          </w:tcPr>
          <w:p w14:paraId="04724D5D"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947</w:t>
            </w:r>
          </w:p>
        </w:tc>
        <w:tc>
          <w:tcPr>
            <w:tcW w:w="1120" w:type="dxa"/>
            <w:noWrap/>
            <w:hideMark/>
          </w:tcPr>
          <w:p w14:paraId="300E9DB0"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1,111</w:t>
            </w:r>
          </w:p>
        </w:tc>
        <w:tc>
          <w:tcPr>
            <w:tcW w:w="1120" w:type="dxa"/>
            <w:noWrap/>
            <w:hideMark/>
          </w:tcPr>
          <w:p w14:paraId="3BC4258E"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1,218</w:t>
            </w:r>
          </w:p>
        </w:tc>
        <w:tc>
          <w:tcPr>
            <w:tcW w:w="1120" w:type="dxa"/>
            <w:tcBorders>
              <w:right w:val="dotted" w:sz="4" w:space="0" w:color="auto"/>
            </w:tcBorders>
            <w:noWrap/>
            <w:hideMark/>
          </w:tcPr>
          <w:p w14:paraId="6EE19066"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1,315</w:t>
            </w:r>
          </w:p>
        </w:tc>
        <w:tc>
          <w:tcPr>
            <w:tcW w:w="1120" w:type="dxa"/>
            <w:tcBorders>
              <w:top w:val="nil"/>
              <w:left w:val="dotted" w:sz="4" w:space="0" w:color="auto"/>
              <w:bottom w:val="nil"/>
            </w:tcBorders>
            <w:noWrap/>
            <w:hideMark/>
          </w:tcPr>
          <w:p w14:paraId="5E6D94C3"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1,973</w:t>
            </w:r>
          </w:p>
        </w:tc>
      </w:tr>
      <w:tr w:rsidR="002C11DC" w:rsidRPr="00C42D19" w14:paraId="2583A7FD"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2DC7AA20" w14:textId="77777777" w:rsidR="002C11DC" w:rsidRPr="00C42D19" w:rsidRDefault="002C11DC" w:rsidP="00446247">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CB Employment</w:t>
            </w:r>
          </w:p>
        </w:tc>
        <w:tc>
          <w:tcPr>
            <w:tcW w:w="1120" w:type="dxa"/>
            <w:shd w:val="clear" w:color="auto" w:fill="auto"/>
            <w:noWrap/>
            <w:hideMark/>
          </w:tcPr>
          <w:p w14:paraId="5FD6679D"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469</w:t>
            </w:r>
          </w:p>
        </w:tc>
        <w:tc>
          <w:tcPr>
            <w:tcW w:w="1120" w:type="dxa"/>
            <w:shd w:val="clear" w:color="auto" w:fill="auto"/>
            <w:noWrap/>
            <w:hideMark/>
          </w:tcPr>
          <w:p w14:paraId="3F51D1A5"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569</w:t>
            </w:r>
          </w:p>
        </w:tc>
        <w:tc>
          <w:tcPr>
            <w:tcW w:w="1120" w:type="dxa"/>
            <w:shd w:val="clear" w:color="auto" w:fill="auto"/>
            <w:noWrap/>
            <w:hideMark/>
          </w:tcPr>
          <w:p w14:paraId="40E47817"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648</w:t>
            </w:r>
          </w:p>
        </w:tc>
        <w:tc>
          <w:tcPr>
            <w:tcW w:w="1120" w:type="dxa"/>
            <w:tcBorders>
              <w:right w:val="dotted" w:sz="4" w:space="0" w:color="auto"/>
            </w:tcBorders>
            <w:shd w:val="clear" w:color="auto" w:fill="auto"/>
            <w:noWrap/>
            <w:hideMark/>
          </w:tcPr>
          <w:p w14:paraId="17DFD955"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729</w:t>
            </w:r>
          </w:p>
        </w:tc>
        <w:tc>
          <w:tcPr>
            <w:tcW w:w="1120" w:type="dxa"/>
            <w:tcBorders>
              <w:top w:val="nil"/>
              <w:left w:val="dotted" w:sz="4" w:space="0" w:color="auto"/>
              <w:bottom w:val="nil"/>
            </w:tcBorders>
            <w:shd w:val="clear" w:color="auto" w:fill="auto"/>
            <w:noWrap/>
            <w:hideMark/>
          </w:tcPr>
          <w:p w14:paraId="01A15698"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1,395</w:t>
            </w:r>
          </w:p>
        </w:tc>
      </w:tr>
      <w:tr w:rsidR="002C11DC" w:rsidRPr="00C42D19" w14:paraId="7216529C" w14:textId="77777777" w:rsidTr="00017D7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46D0532D" w14:textId="77777777" w:rsidR="002C11DC" w:rsidRPr="00C42D19" w:rsidRDefault="002C11DC" w:rsidP="00446247">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CB Choice and Control</w:t>
            </w:r>
          </w:p>
        </w:tc>
        <w:tc>
          <w:tcPr>
            <w:tcW w:w="1120" w:type="dxa"/>
            <w:noWrap/>
            <w:hideMark/>
          </w:tcPr>
          <w:p w14:paraId="4113C884"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456</w:t>
            </w:r>
          </w:p>
        </w:tc>
        <w:tc>
          <w:tcPr>
            <w:tcW w:w="1120" w:type="dxa"/>
            <w:noWrap/>
            <w:hideMark/>
          </w:tcPr>
          <w:p w14:paraId="2F0045F9"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535</w:t>
            </w:r>
          </w:p>
        </w:tc>
        <w:tc>
          <w:tcPr>
            <w:tcW w:w="1120" w:type="dxa"/>
            <w:noWrap/>
            <w:hideMark/>
          </w:tcPr>
          <w:p w14:paraId="38892904"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592</w:t>
            </w:r>
          </w:p>
        </w:tc>
        <w:tc>
          <w:tcPr>
            <w:tcW w:w="1120" w:type="dxa"/>
            <w:tcBorders>
              <w:right w:val="dotted" w:sz="4" w:space="0" w:color="auto"/>
            </w:tcBorders>
            <w:noWrap/>
            <w:hideMark/>
          </w:tcPr>
          <w:p w14:paraId="00F743D7"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643</w:t>
            </w:r>
          </w:p>
        </w:tc>
        <w:tc>
          <w:tcPr>
            <w:tcW w:w="1120" w:type="dxa"/>
            <w:tcBorders>
              <w:top w:val="nil"/>
              <w:left w:val="dotted" w:sz="4" w:space="0" w:color="auto"/>
              <w:bottom w:val="nil"/>
            </w:tcBorders>
            <w:noWrap/>
            <w:hideMark/>
          </w:tcPr>
          <w:p w14:paraId="28F24A3A"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971</w:t>
            </w:r>
          </w:p>
        </w:tc>
      </w:tr>
      <w:tr w:rsidR="002C11DC" w:rsidRPr="00C42D19" w14:paraId="35EF8794"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2920" w:type="dxa"/>
            <w:tcBorders>
              <w:bottom w:val="single" w:sz="4" w:space="0" w:color="auto"/>
            </w:tcBorders>
            <w:shd w:val="clear" w:color="auto" w:fill="auto"/>
            <w:noWrap/>
            <w:hideMark/>
          </w:tcPr>
          <w:p w14:paraId="5D6C1136" w14:textId="77777777" w:rsidR="002C11DC" w:rsidRPr="00C42D19" w:rsidRDefault="002C11DC" w:rsidP="00446247">
            <w:pPr>
              <w:spacing w:after="0" w:line="240" w:lineRule="auto"/>
              <w:ind w:firstLineChars="100" w:firstLine="180"/>
              <w:rPr>
                <w:rFonts w:eastAsia="Times New Roman" w:cs="Arial"/>
                <w:i/>
                <w:iCs/>
                <w:color w:val="000000"/>
                <w:sz w:val="18"/>
                <w:szCs w:val="18"/>
                <w:lang w:eastAsia="zh-CN"/>
              </w:rPr>
            </w:pPr>
            <w:r w:rsidRPr="00C42D19">
              <w:rPr>
                <w:rFonts w:eastAsia="Times New Roman" w:cs="Arial"/>
                <w:i/>
                <w:iCs/>
                <w:color w:val="000000"/>
                <w:sz w:val="18"/>
                <w:szCs w:val="18"/>
                <w:lang w:eastAsia="zh-CN"/>
              </w:rPr>
              <w:t>Other CB supports</w:t>
            </w:r>
          </w:p>
        </w:tc>
        <w:tc>
          <w:tcPr>
            <w:tcW w:w="1120" w:type="dxa"/>
            <w:tcBorders>
              <w:bottom w:val="single" w:sz="4" w:space="0" w:color="auto"/>
            </w:tcBorders>
            <w:shd w:val="clear" w:color="auto" w:fill="auto"/>
            <w:noWrap/>
            <w:hideMark/>
          </w:tcPr>
          <w:p w14:paraId="15DD2175"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554</w:t>
            </w:r>
          </w:p>
        </w:tc>
        <w:tc>
          <w:tcPr>
            <w:tcW w:w="1120" w:type="dxa"/>
            <w:tcBorders>
              <w:bottom w:val="single" w:sz="4" w:space="0" w:color="auto"/>
            </w:tcBorders>
            <w:shd w:val="clear" w:color="auto" w:fill="auto"/>
            <w:noWrap/>
            <w:hideMark/>
          </w:tcPr>
          <w:p w14:paraId="5F593B00"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632</w:t>
            </w:r>
          </w:p>
        </w:tc>
        <w:tc>
          <w:tcPr>
            <w:tcW w:w="1120" w:type="dxa"/>
            <w:tcBorders>
              <w:bottom w:val="single" w:sz="4" w:space="0" w:color="auto"/>
            </w:tcBorders>
            <w:shd w:val="clear" w:color="auto" w:fill="auto"/>
            <w:noWrap/>
            <w:hideMark/>
          </w:tcPr>
          <w:p w14:paraId="7D39635C"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699</w:t>
            </w:r>
          </w:p>
        </w:tc>
        <w:tc>
          <w:tcPr>
            <w:tcW w:w="1120" w:type="dxa"/>
            <w:tcBorders>
              <w:bottom w:val="single" w:sz="4" w:space="0" w:color="auto"/>
              <w:right w:val="dotted" w:sz="4" w:space="0" w:color="auto"/>
            </w:tcBorders>
            <w:shd w:val="clear" w:color="auto" w:fill="auto"/>
            <w:noWrap/>
            <w:hideMark/>
          </w:tcPr>
          <w:p w14:paraId="1DA5C400"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762</w:t>
            </w:r>
          </w:p>
        </w:tc>
        <w:tc>
          <w:tcPr>
            <w:tcW w:w="1120" w:type="dxa"/>
            <w:tcBorders>
              <w:top w:val="nil"/>
              <w:left w:val="dotted" w:sz="4" w:space="0" w:color="auto"/>
              <w:bottom w:val="single" w:sz="4" w:space="0" w:color="auto"/>
            </w:tcBorders>
            <w:shd w:val="clear" w:color="auto" w:fill="auto"/>
            <w:noWrap/>
            <w:hideMark/>
          </w:tcPr>
          <w:p w14:paraId="7B5CE5F9" w14:textId="77777777" w:rsidR="002C11DC" w:rsidRPr="00C42D19"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C42D19">
              <w:rPr>
                <w:rFonts w:eastAsia="Times New Roman" w:cs="Arial"/>
                <w:color w:val="000000"/>
                <w:sz w:val="18"/>
                <w:szCs w:val="18"/>
                <w:lang w:eastAsia="zh-CN"/>
              </w:rPr>
              <w:t>1,201</w:t>
            </w:r>
          </w:p>
        </w:tc>
      </w:tr>
      <w:tr w:rsidR="002C11DC" w:rsidRPr="00C42D19" w14:paraId="351BB460" w14:textId="77777777" w:rsidTr="001137BC">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tcBorders>
              <w:top w:val="single" w:sz="4" w:space="0" w:color="auto"/>
              <w:bottom w:val="single" w:sz="4" w:space="0" w:color="auto"/>
            </w:tcBorders>
            <w:shd w:val="clear" w:color="auto" w:fill="D4C5D7"/>
            <w:noWrap/>
            <w:hideMark/>
          </w:tcPr>
          <w:p w14:paraId="41311800" w14:textId="77777777" w:rsidR="002C11DC" w:rsidRPr="00C42D19" w:rsidRDefault="002C11DC" w:rsidP="00446247">
            <w:pPr>
              <w:spacing w:after="0" w:line="240" w:lineRule="auto"/>
              <w:rPr>
                <w:rFonts w:eastAsia="Times New Roman" w:cs="Arial"/>
                <w:b/>
                <w:bCs/>
                <w:color w:val="000000"/>
                <w:sz w:val="18"/>
                <w:szCs w:val="18"/>
                <w:lang w:eastAsia="zh-CN"/>
              </w:rPr>
            </w:pPr>
            <w:r w:rsidRPr="00C42D19">
              <w:rPr>
                <w:rFonts w:eastAsia="Times New Roman" w:cs="Arial"/>
                <w:b/>
                <w:bCs/>
                <w:color w:val="000000"/>
                <w:sz w:val="18"/>
                <w:szCs w:val="18"/>
                <w:lang w:eastAsia="zh-CN"/>
              </w:rPr>
              <w:lastRenderedPageBreak/>
              <w:t>Total</w:t>
            </w:r>
          </w:p>
        </w:tc>
        <w:tc>
          <w:tcPr>
            <w:tcW w:w="1120" w:type="dxa"/>
            <w:tcBorders>
              <w:top w:val="single" w:sz="4" w:space="0" w:color="auto"/>
              <w:bottom w:val="single" w:sz="4" w:space="0" w:color="auto"/>
            </w:tcBorders>
            <w:shd w:val="clear" w:color="auto" w:fill="D4C5D7"/>
            <w:noWrap/>
            <w:hideMark/>
          </w:tcPr>
          <w:p w14:paraId="13728CAC"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C42D19">
              <w:rPr>
                <w:rFonts w:eastAsia="Times New Roman" w:cs="Arial"/>
                <w:b/>
                <w:bCs/>
                <w:color w:val="000000"/>
                <w:sz w:val="18"/>
                <w:szCs w:val="18"/>
                <w:lang w:eastAsia="zh-CN"/>
              </w:rPr>
              <w:t>33,429</w:t>
            </w:r>
          </w:p>
        </w:tc>
        <w:tc>
          <w:tcPr>
            <w:tcW w:w="1120" w:type="dxa"/>
            <w:tcBorders>
              <w:top w:val="single" w:sz="4" w:space="0" w:color="auto"/>
              <w:bottom w:val="single" w:sz="4" w:space="0" w:color="auto"/>
            </w:tcBorders>
            <w:shd w:val="clear" w:color="auto" w:fill="D4C5D7"/>
            <w:noWrap/>
            <w:hideMark/>
          </w:tcPr>
          <w:p w14:paraId="2C8B5FB4"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C42D19">
              <w:rPr>
                <w:rFonts w:eastAsia="Times New Roman" w:cs="Arial"/>
                <w:b/>
                <w:bCs/>
                <w:color w:val="000000"/>
                <w:sz w:val="18"/>
                <w:szCs w:val="18"/>
                <w:lang w:eastAsia="zh-CN"/>
              </w:rPr>
              <w:t>37,459</w:t>
            </w:r>
          </w:p>
        </w:tc>
        <w:tc>
          <w:tcPr>
            <w:tcW w:w="1120" w:type="dxa"/>
            <w:tcBorders>
              <w:top w:val="single" w:sz="4" w:space="0" w:color="auto"/>
              <w:bottom w:val="single" w:sz="4" w:space="0" w:color="auto"/>
            </w:tcBorders>
            <w:shd w:val="clear" w:color="auto" w:fill="D4C5D7"/>
            <w:noWrap/>
            <w:hideMark/>
          </w:tcPr>
          <w:p w14:paraId="79E33F39"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C42D19">
              <w:rPr>
                <w:rFonts w:eastAsia="Times New Roman" w:cs="Arial"/>
                <w:b/>
                <w:bCs/>
                <w:color w:val="000000"/>
                <w:sz w:val="18"/>
                <w:szCs w:val="18"/>
                <w:lang w:eastAsia="zh-CN"/>
              </w:rPr>
              <w:t>40,814</w:t>
            </w:r>
          </w:p>
        </w:tc>
        <w:tc>
          <w:tcPr>
            <w:tcW w:w="1120" w:type="dxa"/>
            <w:tcBorders>
              <w:top w:val="single" w:sz="4" w:space="0" w:color="auto"/>
              <w:bottom w:val="single" w:sz="4" w:space="0" w:color="auto"/>
              <w:right w:val="dotted" w:sz="4" w:space="0" w:color="auto"/>
            </w:tcBorders>
            <w:shd w:val="clear" w:color="auto" w:fill="D4C5D7"/>
            <w:noWrap/>
            <w:hideMark/>
          </w:tcPr>
          <w:p w14:paraId="1DFD6ED0"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C42D19">
              <w:rPr>
                <w:rFonts w:eastAsia="Times New Roman" w:cs="Arial"/>
                <w:b/>
                <w:bCs/>
                <w:color w:val="000000"/>
                <w:sz w:val="18"/>
                <w:szCs w:val="18"/>
                <w:lang w:eastAsia="zh-CN"/>
              </w:rPr>
              <w:t>43,950</w:t>
            </w:r>
          </w:p>
        </w:tc>
        <w:tc>
          <w:tcPr>
            <w:tcW w:w="1120" w:type="dxa"/>
            <w:tcBorders>
              <w:top w:val="single" w:sz="4" w:space="0" w:color="auto"/>
              <w:left w:val="dotted" w:sz="4" w:space="0" w:color="auto"/>
              <w:bottom w:val="single" w:sz="4" w:space="0" w:color="auto"/>
            </w:tcBorders>
            <w:shd w:val="clear" w:color="auto" w:fill="D4C5D7"/>
            <w:noWrap/>
            <w:hideMark/>
          </w:tcPr>
          <w:p w14:paraId="1E90D3D7" w14:textId="77777777" w:rsidR="002C11DC" w:rsidRPr="00C42D19"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C42D19">
              <w:rPr>
                <w:rFonts w:eastAsia="Times New Roman" w:cs="Arial"/>
                <w:b/>
                <w:bCs/>
                <w:color w:val="000000"/>
                <w:sz w:val="18"/>
                <w:szCs w:val="18"/>
                <w:lang w:eastAsia="zh-CN"/>
              </w:rPr>
              <w:t>67,129</w:t>
            </w:r>
          </w:p>
        </w:tc>
      </w:tr>
      <w:tr w:rsidR="002C11DC" w:rsidRPr="00017D78" w14:paraId="10110133" w14:textId="77777777" w:rsidTr="00DA3F73">
        <w:trPr>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BFBFBF" w:themeFill="background1" w:themeFillShade="BF"/>
            <w:noWrap/>
            <w:hideMark/>
          </w:tcPr>
          <w:p w14:paraId="02E3957B" w14:textId="77777777" w:rsidR="002C11DC" w:rsidRPr="00017D78" w:rsidRDefault="002C11DC" w:rsidP="00446247">
            <w:pPr>
              <w:spacing w:after="0" w:line="240" w:lineRule="auto"/>
              <w:rPr>
                <w:rFonts w:eastAsia="Times New Roman" w:cs="Arial"/>
                <w:b/>
                <w:bCs/>
                <w:color w:val="000000"/>
                <w:sz w:val="18"/>
                <w:szCs w:val="18"/>
                <w:lang w:eastAsia="zh-CN"/>
              </w:rPr>
            </w:pPr>
            <w:r w:rsidRPr="00017D78">
              <w:rPr>
                <w:rFonts w:eastAsia="Times New Roman" w:cs="Arial"/>
                <w:b/>
                <w:bCs/>
                <w:color w:val="000000"/>
                <w:sz w:val="18"/>
                <w:szCs w:val="18"/>
                <w:lang w:eastAsia="zh-CN"/>
              </w:rPr>
              <w:t>Difference</w:t>
            </w:r>
          </w:p>
        </w:tc>
        <w:tc>
          <w:tcPr>
            <w:tcW w:w="1120" w:type="dxa"/>
            <w:shd w:val="clear" w:color="auto" w:fill="BFBFBF" w:themeFill="background1" w:themeFillShade="BF"/>
            <w:noWrap/>
            <w:hideMark/>
          </w:tcPr>
          <w:p w14:paraId="6FEA318C"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017D78">
              <w:rPr>
                <w:rFonts w:eastAsia="Times New Roman" w:cs="Arial"/>
                <w:b/>
                <w:bCs/>
                <w:i/>
                <w:iCs/>
                <w:color w:val="000000"/>
                <w:sz w:val="18"/>
                <w:szCs w:val="18"/>
                <w:lang w:eastAsia="zh-CN"/>
              </w:rPr>
              <w:t> </w:t>
            </w:r>
          </w:p>
        </w:tc>
        <w:tc>
          <w:tcPr>
            <w:tcW w:w="1120" w:type="dxa"/>
            <w:shd w:val="clear" w:color="auto" w:fill="BFBFBF" w:themeFill="background1" w:themeFillShade="BF"/>
            <w:noWrap/>
            <w:hideMark/>
          </w:tcPr>
          <w:p w14:paraId="067BCBF7"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017D78">
              <w:rPr>
                <w:rFonts w:eastAsia="Times New Roman" w:cs="Arial"/>
                <w:b/>
                <w:bCs/>
                <w:i/>
                <w:iCs/>
                <w:color w:val="000000"/>
                <w:sz w:val="18"/>
                <w:szCs w:val="18"/>
                <w:lang w:eastAsia="zh-CN"/>
              </w:rPr>
              <w:t> </w:t>
            </w:r>
          </w:p>
        </w:tc>
        <w:tc>
          <w:tcPr>
            <w:tcW w:w="1120" w:type="dxa"/>
            <w:shd w:val="clear" w:color="auto" w:fill="BFBFBF" w:themeFill="background1" w:themeFillShade="BF"/>
            <w:noWrap/>
            <w:hideMark/>
          </w:tcPr>
          <w:p w14:paraId="564C6FC3"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017D78">
              <w:rPr>
                <w:rFonts w:eastAsia="Times New Roman" w:cs="Arial"/>
                <w:b/>
                <w:bCs/>
                <w:i/>
                <w:iCs/>
                <w:color w:val="000000"/>
                <w:sz w:val="18"/>
                <w:szCs w:val="18"/>
                <w:lang w:eastAsia="zh-CN"/>
              </w:rPr>
              <w:t> </w:t>
            </w:r>
          </w:p>
        </w:tc>
        <w:tc>
          <w:tcPr>
            <w:tcW w:w="1120" w:type="dxa"/>
            <w:tcBorders>
              <w:right w:val="dotted" w:sz="4" w:space="0" w:color="auto"/>
            </w:tcBorders>
            <w:shd w:val="clear" w:color="auto" w:fill="BFBFBF" w:themeFill="background1" w:themeFillShade="BF"/>
            <w:noWrap/>
            <w:hideMark/>
          </w:tcPr>
          <w:p w14:paraId="4D686C0C"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017D78">
              <w:rPr>
                <w:rFonts w:eastAsia="Times New Roman" w:cs="Arial"/>
                <w:b/>
                <w:bCs/>
                <w:i/>
                <w:iCs/>
                <w:color w:val="000000"/>
                <w:sz w:val="18"/>
                <w:szCs w:val="18"/>
                <w:lang w:eastAsia="zh-CN"/>
              </w:rPr>
              <w:t> </w:t>
            </w:r>
          </w:p>
        </w:tc>
        <w:tc>
          <w:tcPr>
            <w:tcW w:w="1120" w:type="dxa"/>
            <w:tcBorders>
              <w:top w:val="nil"/>
              <w:left w:val="dotted" w:sz="4" w:space="0" w:color="auto"/>
              <w:bottom w:val="nil"/>
            </w:tcBorders>
            <w:shd w:val="clear" w:color="auto" w:fill="BFBFBF" w:themeFill="background1" w:themeFillShade="BF"/>
            <w:noWrap/>
            <w:hideMark/>
          </w:tcPr>
          <w:p w14:paraId="3A05EAE4"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017D78">
              <w:rPr>
                <w:rFonts w:eastAsia="Times New Roman" w:cs="Arial"/>
                <w:b/>
                <w:bCs/>
                <w:i/>
                <w:iCs/>
                <w:color w:val="000000"/>
                <w:sz w:val="18"/>
                <w:szCs w:val="18"/>
                <w:lang w:eastAsia="zh-CN"/>
              </w:rPr>
              <w:t> </w:t>
            </w:r>
          </w:p>
        </w:tc>
      </w:tr>
      <w:tr w:rsidR="002C11DC" w:rsidRPr="00017D78" w14:paraId="3D6C2F0C" w14:textId="77777777" w:rsidTr="00DA3F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7767C93B" w14:textId="77777777" w:rsidR="002C11DC" w:rsidRPr="00017D78" w:rsidRDefault="002C11DC" w:rsidP="00446247">
            <w:pPr>
              <w:spacing w:after="0" w:line="240" w:lineRule="auto"/>
              <w:rPr>
                <w:rFonts w:eastAsia="Times New Roman" w:cs="Arial"/>
                <w:b/>
                <w:bCs/>
                <w:color w:val="000000"/>
                <w:sz w:val="18"/>
                <w:szCs w:val="18"/>
                <w:lang w:eastAsia="zh-CN"/>
              </w:rPr>
            </w:pPr>
            <w:r w:rsidRPr="00017D78">
              <w:rPr>
                <w:rFonts w:eastAsia="Times New Roman" w:cs="Arial"/>
                <w:b/>
                <w:bCs/>
                <w:color w:val="000000"/>
                <w:sz w:val="18"/>
                <w:szCs w:val="18"/>
                <w:lang w:eastAsia="zh-CN"/>
              </w:rPr>
              <w:t>Core</w:t>
            </w:r>
          </w:p>
        </w:tc>
        <w:tc>
          <w:tcPr>
            <w:tcW w:w="1120" w:type="dxa"/>
            <w:shd w:val="clear" w:color="auto" w:fill="auto"/>
            <w:noWrap/>
            <w:hideMark/>
          </w:tcPr>
          <w:p w14:paraId="639FD61E"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p>
        </w:tc>
        <w:tc>
          <w:tcPr>
            <w:tcW w:w="1120" w:type="dxa"/>
            <w:shd w:val="clear" w:color="auto" w:fill="auto"/>
            <w:noWrap/>
            <w:hideMark/>
          </w:tcPr>
          <w:p w14:paraId="05E61624"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1120" w:type="dxa"/>
            <w:shd w:val="clear" w:color="auto" w:fill="auto"/>
            <w:noWrap/>
            <w:hideMark/>
          </w:tcPr>
          <w:p w14:paraId="66EC235D"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1120" w:type="dxa"/>
            <w:tcBorders>
              <w:right w:val="dotted" w:sz="4" w:space="0" w:color="auto"/>
            </w:tcBorders>
            <w:shd w:val="clear" w:color="auto" w:fill="auto"/>
            <w:noWrap/>
            <w:hideMark/>
          </w:tcPr>
          <w:p w14:paraId="0C15A126"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1120" w:type="dxa"/>
            <w:tcBorders>
              <w:top w:val="nil"/>
              <w:left w:val="dotted" w:sz="4" w:space="0" w:color="auto"/>
              <w:bottom w:val="nil"/>
            </w:tcBorders>
            <w:shd w:val="clear" w:color="auto" w:fill="auto"/>
            <w:noWrap/>
            <w:hideMark/>
          </w:tcPr>
          <w:p w14:paraId="34D3D3AC"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 </w:t>
            </w:r>
          </w:p>
        </w:tc>
      </w:tr>
      <w:tr w:rsidR="00252EAF" w:rsidRPr="00017D78" w14:paraId="491EA07F"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BFBFBF" w:themeFill="background1" w:themeFillShade="BF"/>
            <w:noWrap/>
            <w:hideMark/>
          </w:tcPr>
          <w:p w14:paraId="7A55B6B9" w14:textId="77777777" w:rsidR="002C11DC" w:rsidRPr="00017D78" w:rsidRDefault="002C11DC" w:rsidP="00446247">
            <w:pPr>
              <w:spacing w:after="0" w:line="240" w:lineRule="auto"/>
              <w:ind w:firstLineChars="100" w:firstLine="180"/>
              <w:rPr>
                <w:rFonts w:eastAsia="Times New Roman" w:cs="Arial"/>
                <w:i/>
                <w:iCs/>
                <w:color w:val="000000"/>
                <w:sz w:val="18"/>
                <w:szCs w:val="18"/>
                <w:lang w:eastAsia="zh-CN"/>
              </w:rPr>
            </w:pPr>
            <w:r w:rsidRPr="00017D78">
              <w:rPr>
                <w:rFonts w:eastAsia="Times New Roman" w:cs="Arial"/>
                <w:i/>
                <w:iCs/>
                <w:color w:val="000000"/>
                <w:sz w:val="18"/>
                <w:szCs w:val="18"/>
                <w:lang w:eastAsia="zh-CN"/>
              </w:rPr>
              <w:t>Daily Activities</w:t>
            </w:r>
          </w:p>
        </w:tc>
        <w:tc>
          <w:tcPr>
            <w:tcW w:w="1120" w:type="dxa"/>
            <w:shd w:val="clear" w:color="auto" w:fill="BFBFBF" w:themeFill="background1" w:themeFillShade="BF"/>
            <w:noWrap/>
            <w:hideMark/>
          </w:tcPr>
          <w:p w14:paraId="454FCF78"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577</w:t>
            </w:r>
          </w:p>
        </w:tc>
        <w:tc>
          <w:tcPr>
            <w:tcW w:w="1120" w:type="dxa"/>
            <w:shd w:val="clear" w:color="auto" w:fill="BFBFBF" w:themeFill="background1" w:themeFillShade="BF"/>
            <w:noWrap/>
            <w:hideMark/>
          </w:tcPr>
          <w:p w14:paraId="21D6F69A"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728</w:t>
            </w:r>
          </w:p>
        </w:tc>
        <w:tc>
          <w:tcPr>
            <w:tcW w:w="1120" w:type="dxa"/>
            <w:shd w:val="clear" w:color="auto" w:fill="BFBFBF" w:themeFill="background1" w:themeFillShade="BF"/>
            <w:noWrap/>
            <w:hideMark/>
          </w:tcPr>
          <w:p w14:paraId="4EBF3AC6"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2,218</w:t>
            </w:r>
          </w:p>
        </w:tc>
        <w:tc>
          <w:tcPr>
            <w:tcW w:w="1120" w:type="dxa"/>
            <w:tcBorders>
              <w:right w:val="dotted" w:sz="4" w:space="0" w:color="auto"/>
            </w:tcBorders>
            <w:shd w:val="clear" w:color="auto" w:fill="BFBFBF" w:themeFill="background1" w:themeFillShade="BF"/>
            <w:noWrap/>
            <w:hideMark/>
          </w:tcPr>
          <w:p w14:paraId="193EAD0D"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3,936</w:t>
            </w:r>
          </w:p>
        </w:tc>
        <w:tc>
          <w:tcPr>
            <w:tcW w:w="1120" w:type="dxa"/>
            <w:tcBorders>
              <w:top w:val="nil"/>
              <w:left w:val="dotted" w:sz="4" w:space="0" w:color="auto"/>
              <w:bottom w:val="nil"/>
            </w:tcBorders>
            <w:shd w:val="clear" w:color="auto" w:fill="BFBFBF" w:themeFill="background1" w:themeFillShade="BF"/>
            <w:noWrap/>
            <w:hideMark/>
          </w:tcPr>
          <w:p w14:paraId="14818D83"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12,388</w:t>
            </w:r>
          </w:p>
        </w:tc>
      </w:tr>
      <w:tr w:rsidR="002C11DC" w:rsidRPr="00017D78" w14:paraId="29D93EF6"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37001409" w14:textId="77777777" w:rsidR="002C11DC" w:rsidRPr="00017D78" w:rsidRDefault="002C11DC" w:rsidP="00446247">
            <w:pPr>
              <w:spacing w:after="0" w:line="240" w:lineRule="auto"/>
              <w:ind w:firstLineChars="100" w:firstLine="180"/>
              <w:rPr>
                <w:rFonts w:eastAsia="Times New Roman" w:cs="Arial"/>
                <w:i/>
                <w:iCs/>
                <w:color w:val="000000"/>
                <w:sz w:val="18"/>
                <w:szCs w:val="18"/>
                <w:lang w:eastAsia="zh-CN"/>
              </w:rPr>
            </w:pPr>
            <w:r w:rsidRPr="00017D78">
              <w:rPr>
                <w:rFonts w:eastAsia="Times New Roman" w:cs="Arial"/>
                <w:i/>
                <w:iCs/>
                <w:color w:val="000000"/>
                <w:sz w:val="18"/>
                <w:szCs w:val="18"/>
                <w:lang w:eastAsia="zh-CN"/>
              </w:rPr>
              <w:t>Social Community Civic</w:t>
            </w:r>
          </w:p>
        </w:tc>
        <w:tc>
          <w:tcPr>
            <w:tcW w:w="1120" w:type="dxa"/>
            <w:shd w:val="clear" w:color="auto" w:fill="auto"/>
            <w:noWrap/>
            <w:hideMark/>
          </w:tcPr>
          <w:p w14:paraId="190D6654"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173</w:t>
            </w:r>
          </w:p>
        </w:tc>
        <w:tc>
          <w:tcPr>
            <w:tcW w:w="1120" w:type="dxa"/>
            <w:shd w:val="clear" w:color="auto" w:fill="auto"/>
            <w:noWrap/>
            <w:hideMark/>
          </w:tcPr>
          <w:p w14:paraId="321B5BD0"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197</w:t>
            </w:r>
          </w:p>
        </w:tc>
        <w:tc>
          <w:tcPr>
            <w:tcW w:w="1120" w:type="dxa"/>
            <w:shd w:val="clear" w:color="auto" w:fill="auto"/>
            <w:noWrap/>
            <w:hideMark/>
          </w:tcPr>
          <w:p w14:paraId="5E9E1659"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749</w:t>
            </w:r>
          </w:p>
        </w:tc>
        <w:tc>
          <w:tcPr>
            <w:tcW w:w="1120" w:type="dxa"/>
            <w:tcBorders>
              <w:right w:val="dotted" w:sz="4" w:space="0" w:color="auto"/>
            </w:tcBorders>
            <w:shd w:val="clear" w:color="auto" w:fill="auto"/>
            <w:noWrap/>
            <w:hideMark/>
          </w:tcPr>
          <w:p w14:paraId="71CC41BA"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1,426</w:t>
            </w:r>
          </w:p>
        </w:tc>
        <w:tc>
          <w:tcPr>
            <w:tcW w:w="1120" w:type="dxa"/>
            <w:tcBorders>
              <w:top w:val="nil"/>
              <w:left w:val="dotted" w:sz="4" w:space="0" w:color="auto"/>
              <w:bottom w:val="nil"/>
            </w:tcBorders>
            <w:shd w:val="clear" w:color="auto" w:fill="auto"/>
            <w:noWrap/>
            <w:hideMark/>
          </w:tcPr>
          <w:p w14:paraId="44025DE7"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5,290</w:t>
            </w:r>
          </w:p>
        </w:tc>
      </w:tr>
      <w:tr w:rsidR="00252EAF" w:rsidRPr="00017D78" w14:paraId="3D46252A"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BFBFBF" w:themeFill="background1" w:themeFillShade="BF"/>
            <w:noWrap/>
            <w:hideMark/>
          </w:tcPr>
          <w:p w14:paraId="0E512741" w14:textId="77777777" w:rsidR="002C11DC" w:rsidRPr="00017D78" w:rsidRDefault="002C11DC" w:rsidP="00446247">
            <w:pPr>
              <w:spacing w:after="0" w:line="240" w:lineRule="auto"/>
              <w:ind w:firstLineChars="100" w:firstLine="180"/>
              <w:rPr>
                <w:rFonts w:eastAsia="Times New Roman" w:cs="Arial"/>
                <w:i/>
                <w:iCs/>
                <w:color w:val="000000"/>
                <w:sz w:val="18"/>
                <w:szCs w:val="18"/>
                <w:lang w:eastAsia="zh-CN"/>
              </w:rPr>
            </w:pPr>
            <w:r w:rsidRPr="00017D78">
              <w:rPr>
                <w:rFonts w:eastAsia="Times New Roman" w:cs="Arial"/>
                <w:i/>
                <w:iCs/>
                <w:color w:val="000000"/>
                <w:sz w:val="18"/>
                <w:szCs w:val="18"/>
                <w:lang w:eastAsia="zh-CN"/>
              </w:rPr>
              <w:t>Transport</w:t>
            </w:r>
          </w:p>
        </w:tc>
        <w:tc>
          <w:tcPr>
            <w:tcW w:w="1120" w:type="dxa"/>
            <w:shd w:val="clear" w:color="auto" w:fill="BFBFBF" w:themeFill="background1" w:themeFillShade="BF"/>
            <w:noWrap/>
            <w:hideMark/>
          </w:tcPr>
          <w:p w14:paraId="5A5BB1D1"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-59</w:t>
            </w:r>
          </w:p>
        </w:tc>
        <w:tc>
          <w:tcPr>
            <w:tcW w:w="1120" w:type="dxa"/>
            <w:shd w:val="clear" w:color="auto" w:fill="BFBFBF" w:themeFill="background1" w:themeFillShade="BF"/>
            <w:noWrap/>
            <w:hideMark/>
          </w:tcPr>
          <w:p w14:paraId="0AC18A87"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-43</w:t>
            </w:r>
          </w:p>
        </w:tc>
        <w:tc>
          <w:tcPr>
            <w:tcW w:w="1120" w:type="dxa"/>
            <w:shd w:val="clear" w:color="auto" w:fill="BFBFBF" w:themeFill="background1" w:themeFillShade="BF"/>
            <w:noWrap/>
            <w:hideMark/>
          </w:tcPr>
          <w:p w14:paraId="3DEC0A3A"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30</w:t>
            </w:r>
          </w:p>
        </w:tc>
        <w:tc>
          <w:tcPr>
            <w:tcW w:w="1120" w:type="dxa"/>
            <w:tcBorders>
              <w:right w:val="dotted" w:sz="4" w:space="0" w:color="auto"/>
            </w:tcBorders>
            <w:shd w:val="clear" w:color="auto" w:fill="BFBFBF" w:themeFill="background1" w:themeFillShade="BF"/>
            <w:noWrap/>
            <w:hideMark/>
          </w:tcPr>
          <w:p w14:paraId="23511ADB"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119</w:t>
            </w:r>
          </w:p>
        </w:tc>
        <w:tc>
          <w:tcPr>
            <w:tcW w:w="1120" w:type="dxa"/>
            <w:tcBorders>
              <w:top w:val="nil"/>
              <w:left w:val="dotted" w:sz="4" w:space="0" w:color="auto"/>
              <w:bottom w:val="nil"/>
            </w:tcBorders>
            <w:shd w:val="clear" w:color="auto" w:fill="BFBFBF" w:themeFill="background1" w:themeFillShade="BF"/>
            <w:noWrap/>
            <w:hideMark/>
          </w:tcPr>
          <w:p w14:paraId="797FF77B"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577</w:t>
            </w:r>
          </w:p>
        </w:tc>
      </w:tr>
      <w:tr w:rsidR="002C11DC" w:rsidRPr="00017D78" w14:paraId="5B431BDF"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470CA349" w14:textId="77777777" w:rsidR="002C11DC" w:rsidRPr="00017D78" w:rsidRDefault="002C11DC" w:rsidP="00446247">
            <w:pPr>
              <w:spacing w:after="0" w:line="240" w:lineRule="auto"/>
              <w:ind w:firstLineChars="100" w:firstLine="180"/>
              <w:rPr>
                <w:rFonts w:eastAsia="Times New Roman" w:cs="Arial"/>
                <w:i/>
                <w:iCs/>
                <w:color w:val="000000"/>
                <w:sz w:val="18"/>
                <w:szCs w:val="18"/>
                <w:lang w:eastAsia="zh-CN"/>
              </w:rPr>
            </w:pPr>
            <w:r w:rsidRPr="00017D78">
              <w:rPr>
                <w:rFonts w:eastAsia="Times New Roman" w:cs="Arial"/>
                <w:i/>
                <w:iCs/>
                <w:color w:val="000000"/>
                <w:sz w:val="18"/>
                <w:szCs w:val="18"/>
                <w:lang w:eastAsia="zh-CN"/>
              </w:rPr>
              <w:t>Consumables</w:t>
            </w:r>
          </w:p>
        </w:tc>
        <w:tc>
          <w:tcPr>
            <w:tcW w:w="1120" w:type="dxa"/>
            <w:shd w:val="clear" w:color="auto" w:fill="auto"/>
            <w:noWrap/>
            <w:hideMark/>
          </w:tcPr>
          <w:p w14:paraId="4AE0F7FE"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15</w:t>
            </w:r>
          </w:p>
        </w:tc>
        <w:tc>
          <w:tcPr>
            <w:tcW w:w="1120" w:type="dxa"/>
            <w:shd w:val="clear" w:color="auto" w:fill="auto"/>
            <w:noWrap/>
            <w:hideMark/>
          </w:tcPr>
          <w:p w14:paraId="3396A843"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24</w:t>
            </w:r>
          </w:p>
        </w:tc>
        <w:tc>
          <w:tcPr>
            <w:tcW w:w="1120" w:type="dxa"/>
            <w:shd w:val="clear" w:color="auto" w:fill="auto"/>
            <w:noWrap/>
            <w:hideMark/>
          </w:tcPr>
          <w:p w14:paraId="35C1D5C7"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64</w:t>
            </w:r>
          </w:p>
        </w:tc>
        <w:tc>
          <w:tcPr>
            <w:tcW w:w="1120" w:type="dxa"/>
            <w:tcBorders>
              <w:right w:val="dotted" w:sz="4" w:space="0" w:color="auto"/>
            </w:tcBorders>
            <w:shd w:val="clear" w:color="auto" w:fill="auto"/>
            <w:noWrap/>
            <w:hideMark/>
          </w:tcPr>
          <w:p w14:paraId="6832F90D"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111</w:t>
            </w:r>
          </w:p>
        </w:tc>
        <w:tc>
          <w:tcPr>
            <w:tcW w:w="1120" w:type="dxa"/>
            <w:tcBorders>
              <w:top w:val="nil"/>
              <w:left w:val="dotted" w:sz="4" w:space="0" w:color="auto"/>
              <w:bottom w:val="nil"/>
            </w:tcBorders>
            <w:shd w:val="clear" w:color="auto" w:fill="auto"/>
            <w:noWrap/>
            <w:hideMark/>
          </w:tcPr>
          <w:p w14:paraId="068945B0"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332</w:t>
            </w:r>
          </w:p>
        </w:tc>
      </w:tr>
      <w:tr w:rsidR="00252EAF" w:rsidRPr="00017D78" w14:paraId="50B3DEDE"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BFBFBF" w:themeFill="background1" w:themeFillShade="BF"/>
            <w:noWrap/>
            <w:hideMark/>
          </w:tcPr>
          <w:p w14:paraId="389116EC" w14:textId="77777777" w:rsidR="002C11DC" w:rsidRPr="00017D78" w:rsidRDefault="002C11DC" w:rsidP="00446247">
            <w:pPr>
              <w:spacing w:after="0" w:line="240" w:lineRule="auto"/>
              <w:rPr>
                <w:rFonts w:eastAsia="Times New Roman" w:cs="Arial"/>
                <w:b/>
                <w:bCs/>
                <w:color w:val="000000"/>
                <w:sz w:val="18"/>
                <w:szCs w:val="18"/>
                <w:lang w:eastAsia="zh-CN"/>
              </w:rPr>
            </w:pPr>
            <w:r w:rsidRPr="00017D78">
              <w:rPr>
                <w:rFonts w:eastAsia="Times New Roman" w:cs="Arial"/>
                <w:b/>
                <w:bCs/>
                <w:color w:val="000000"/>
                <w:sz w:val="18"/>
                <w:szCs w:val="18"/>
                <w:lang w:eastAsia="zh-CN"/>
              </w:rPr>
              <w:t>Capital</w:t>
            </w:r>
          </w:p>
        </w:tc>
        <w:tc>
          <w:tcPr>
            <w:tcW w:w="1120" w:type="dxa"/>
            <w:shd w:val="clear" w:color="auto" w:fill="BFBFBF" w:themeFill="background1" w:themeFillShade="BF"/>
            <w:noWrap/>
            <w:hideMark/>
          </w:tcPr>
          <w:p w14:paraId="31293E91"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p>
        </w:tc>
        <w:tc>
          <w:tcPr>
            <w:tcW w:w="1120" w:type="dxa"/>
            <w:shd w:val="clear" w:color="auto" w:fill="BFBFBF" w:themeFill="background1" w:themeFillShade="BF"/>
            <w:noWrap/>
            <w:hideMark/>
          </w:tcPr>
          <w:p w14:paraId="16520A8F"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p>
        </w:tc>
        <w:tc>
          <w:tcPr>
            <w:tcW w:w="1120" w:type="dxa"/>
            <w:shd w:val="clear" w:color="auto" w:fill="BFBFBF" w:themeFill="background1" w:themeFillShade="BF"/>
            <w:noWrap/>
            <w:hideMark/>
          </w:tcPr>
          <w:p w14:paraId="646BC72B"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p>
        </w:tc>
        <w:tc>
          <w:tcPr>
            <w:tcW w:w="1120" w:type="dxa"/>
            <w:tcBorders>
              <w:right w:val="dotted" w:sz="4" w:space="0" w:color="auto"/>
            </w:tcBorders>
            <w:shd w:val="clear" w:color="auto" w:fill="BFBFBF" w:themeFill="background1" w:themeFillShade="BF"/>
            <w:noWrap/>
            <w:hideMark/>
          </w:tcPr>
          <w:p w14:paraId="15C4B7CE"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p>
        </w:tc>
        <w:tc>
          <w:tcPr>
            <w:tcW w:w="1120" w:type="dxa"/>
            <w:tcBorders>
              <w:top w:val="nil"/>
              <w:left w:val="dotted" w:sz="4" w:space="0" w:color="auto"/>
              <w:bottom w:val="nil"/>
            </w:tcBorders>
            <w:shd w:val="clear" w:color="auto" w:fill="BFBFBF" w:themeFill="background1" w:themeFillShade="BF"/>
            <w:noWrap/>
            <w:hideMark/>
          </w:tcPr>
          <w:p w14:paraId="36CC24FD"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 </w:t>
            </w:r>
          </w:p>
        </w:tc>
      </w:tr>
      <w:tr w:rsidR="002C11DC" w:rsidRPr="00017D78" w14:paraId="4FA31FA2"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1F79C623" w14:textId="77777777" w:rsidR="002C11DC" w:rsidRPr="00017D78" w:rsidRDefault="002C11DC" w:rsidP="00446247">
            <w:pPr>
              <w:spacing w:after="0" w:line="240" w:lineRule="auto"/>
              <w:ind w:firstLineChars="100" w:firstLine="180"/>
              <w:rPr>
                <w:rFonts w:eastAsia="Times New Roman" w:cs="Arial"/>
                <w:i/>
                <w:iCs/>
                <w:color w:val="000000"/>
                <w:sz w:val="18"/>
                <w:szCs w:val="18"/>
                <w:lang w:eastAsia="zh-CN"/>
              </w:rPr>
            </w:pPr>
            <w:r w:rsidRPr="00017D78">
              <w:rPr>
                <w:rFonts w:eastAsia="Times New Roman" w:cs="Arial"/>
                <w:i/>
                <w:iCs/>
                <w:color w:val="000000"/>
                <w:sz w:val="18"/>
                <w:szCs w:val="18"/>
                <w:lang w:eastAsia="zh-CN"/>
              </w:rPr>
              <w:t>Assistive Technology</w:t>
            </w:r>
          </w:p>
        </w:tc>
        <w:tc>
          <w:tcPr>
            <w:tcW w:w="1120" w:type="dxa"/>
            <w:shd w:val="clear" w:color="auto" w:fill="auto"/>
            <w:noWrap/>
            <w:hideMark/>
          </w:tcPr>
          <w:p w14:paraId="1DB2FE3D"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52</w:t>
            </w:r>
          </w:p>
        </w:tc>
        <w:tc>
          <w:tcPr>
            <w:tcW w:w="1120" w:type="dxa"/>
            <w:shd w:val="clear" w:color="auto" w:fill="auto"/>
            <w:noWrap/>
            <w:hideMark/>
          </w:tcPr>
          <w:p w14:paraId="76D0359C"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65</w:t>
            </w:r>
          </w:p>
        </w:tc>
        <w:tc>
          <w:tcPr>
            <w:tcW w:w="1120" w:type="dxa"/>
            <w:shd w:val="clear" w:color="auto" w:fill="auto"/>
            <w:noWrap/>
            <w:hideMark/>
          </w:tcPr>
          <w:p w14:paraId="2CA59E81"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109</w:t>
            </w:r>
          </w:p>
        </w:tc>
        <w:tc>
          <w:tcPr>
            <w:tcW w:w="1120" w:type="dxa"/>
            <w:tcBorders>
              <w:right w:val="dotted" w:sz="4" w:space="0" w:color="auto"/>
            </w:tcBorders>
            <w:shd w:val="clear" w:color="auto" w:fill="auto"/>
            <w:noWrap/>
            <w:hideMark/>
          </w:tcPr>
          <w:p w14:paraId="68BE8604"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158</w:t>
            </w:r>
          </w:p>
        </w:tc>
        <w:tc>
          <w:tcPr>
            <w:tcW w:w="1120" w:type="dxa"/>
            <w:tcBorders>
              <w:top w:val="nil"/>
              <w:left w:val="dotted" w:sz="4" w:space="0" w:color="auto"/>
              <w:bottom w:val="nil"/>
            </w:tcBorders>
            <w:shd w:val="clear" w:color="auto" w:fill="auto"/>
            <w:noWrap/>
            <w:hideMark/>
          </w:tcPr>
          <w:p w14:paraId="70282868"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372</w:t>
            </w:r>
          </w:p>
        </w:tc>
      </w:tr>
      <w:tr w:rsidR="00252EAF" w:rsidRPr="00017D78" w14:paraId="0100038B"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BFBFBF" w:themeFill="background1" w:themeFillShade="BF"/>
            <w:noWrap/>
            <w:hideMark/>
          </w:tcPr>
          <w:p w14:paraId="40015B73" w14:textId="77777777" w:rsidR="002C11DC" w:rsidRPr="00017D78" w:rsidRDefault="002C11DC" w:rsidP="00446247">
            <w:pPr>
              <w:spacing w:after="0" w:line="240" w:lineRule="auto"/>
              <w:ind w:firstLineChars="100" w:firstLine="180"/>
              <w:rPr>
                <w:rFonts w:eastAsia="Times New Roman" w:cs="Arial"/>
                <w:i/>
                <w:iCs/>
                <w:color w:val="000000"/>
                <w:sz w:val="18"/>
                <w:szCs w:val="18"/>
                <w:lang w:eastAsia="zh-CN"/>
              </w:rPr>
            </w:pPr>
            <w:r w:rsidRPr="00017D78">
              <w:rPr>
                <w:rFonts w:eastAsia="Times New Roman" w:cs="Arial"/>
                <w:i/>
                <w:iCs/>
                <w:color w:val="000000"/>
                <w:sz w:val="18"/>
                <w:szCs w:val="18"/>
                <w:lang w:eastAsia="zh-CN"/>
              </w:rPr>
              <w:t>Home Modifications</w:t>
            </w:r>
          </w:p>
        </w:tc>
        <w:tc>
          <w:tcPr>
            <w:tcW w:w="1120" w:type="dxa"/>
            <w:shd w:val="clear" w:color="auto" w:fill="BFBFBF" w:themeFill="background1" w:themeFillShade="BF"/>
            <w:noWrap/>
            <w:hideMark/>
          </w:tcPr>
          <w:p w14:paraId="0F1E1D34"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-19</w:t>
            </w:r>
          </w:p>
        </w:tc>
        <w:tc>
          <w:tcPr>
            <w:tcW w:w="1120" w:type="dxa"/>
            <w:shd w:val="clear" w:color="auto" w:fill="BFBFBF" w:themeFill="background1" w:themeFillShade="BF"/>
            <w:noWrap/>
            <w:hideMark/>
          </w:tcPr>
          <w:p w14:paraId="1152FFE0"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-17</w:t>
            </w:r>
          </w:p>
        </w:tc>
        <w:tc>
          <w:tcPr>
            <w:tcW w:w="1120" w:type="dxa"/>
            <w:shd w:val="clear" w:color="auto" w:fill="BFBFBF" w:themeFill="background1" w:themeFillShade="BF"/>
            <w:noWrap/>
            <w:hideMark/>
          </w:tcPr>
          <w:p w14:paraId="382EFFC1"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4</w:t>
            </w:r>
          </w:p>
        </w:tc>
        <w:tc>
          <w:tcPr>
            <w:tcW w:w="1120" w:type="dxa"/>
            <w:tcBorders>
              <w:right w:val="dotted" w:sz="4" w:space="0" w:color="auto"/>
            </w:tcBorders>
            <w:shd w:val="clear" w:color="auto" w:fill="BFBFBF" w:themeFill="background1" w:themeFillShade="BF"/>
            <w:noWrap/>
            <w:hideMark/>
          </w:tcPr>
          <w:p w14:paraId="7E165E9C"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25</w:t>
            </w:r>
          </w:p>
        </w:tc>
        <w:tc>
          <w:tcPr>
            <w:tcW w:w="1120" w:type="dxa"/>
            <w:tcBorders>
              <w:top w:val="nil"/>
              <w:left w:val="dotted" w:sz="4" w:space="0" w:color="auto"/>
              <w:bottom w:val="nil"/>
            </w:tcBorders>
            <w:shd w:val="clear" w:color="auto" w:fill="BFBFBF" w:themeFill="background1" w:themeFillShade="BF"/>
            <w:noWrap/>
            <w:hideMark/>
          </w:tcPr>
          <w:p w14:paraId="3B387C29"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105</w:t>
            </w:r>
          </w:p>
        </w:tc>
      </w:tr>
      <w:tr w:rsidR="002C11DC" w:rsidRPr="00017D78" w14:paraId="4D0EF0AE"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7894AC62" w14:textId="77777777" w:rsidR="002C11DC" w:rsidRPr="00017D78" w:rsidRDefault="002C11DC" w:rsidP="00446247">
            <w:pPr>
              <w:spacing w:after="0" w:line="240" w:lineRule="auto"/>
              <w:rPr>
                <w:rFonts w:eastAsia="Times New Roman" w:cs="Arial"/>
                <w:b/>
                <w:bCs/>
                <w:color w:val="000000"/>
                <w:sz w:val="18"/>
                <w:szCs w:val="18"/>
                <w:lang w:eastAsia="zh-CN"/>
              </w:rPr>
            </w:pPr>
            <w:r w:rsidRPr="00017D78">
              <w:rPr>
                <w:rFonts w:eastAsia="Times New Roman" w:cs="Arial"/>
                <w:b/>
                <w:bCs/>
                <w:color w:val="000000"/>
                <w:sz w:val="18"/>
                <w:szCs w:val="18"/>
                <w:lang w:eastAsia="zh-CN"/>
              </w:rPr>
              <w:t>Capacity Building</w:t>
            </w:r>
          </w:p>
        </w:tc>
        <w:tc>
          <w:tcPr>
            <w:tcW w:w="1120" w:type="dxa"/>
            <w:shd w:val="clear" w:color="auto" w:fill="auto"/>
            <w:noWrap/>
            <w:hideMark/>
          </w:tcPr>
          <w:p w14:paraId="7AA610FA"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p>
        </w:tc>
        <w:tc>
          <w:tcPr>
            <w:tcW w:w="1120" w:type="dxa"/>
            <w:shd w:val="clear" w:color="auto" w:fill="auto"/>
            <w:noWrap/>
            <w:hideMark/>
          </w:tcPr>
          <w:p w14:paraId="4FE6496B"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1120" w:type="dxa"/>
            <w:shd w:val="clear" w:color="auto" w:fill="auto"/>
            <w:noWrap/>
            <w:hideMark/>
          </w:tcPr>
          <w:p w14:paraId="509B7ECA"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1120" w:type="dxa"/>
            <w:tcBorders>
              <w:right w:val="dotted" w:sz="4" w:space="0" w:color="auto"/>
            </w:tcBorders>
            <w:shd w:val="clear" w:color="auto" w:fill="auto"/>
            <w:noWrap/>
            <w:hideMark/>
          </w:tcPr>
          <w:p w14:paraId="785BDAF4"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1120" w:type="dxa"/>
            <w:tcBorders>
              <w:top w:val="nil"/>
              <w:left w:val="dotted" w:sz="4" w:space="0" w:color="auto"/>
              <w:bottom w:val="nil"/>
            </w:tcBorders>
            <w:shd w:val="clear" w:color="auto" w:fill="auto"/>
            <w:noWrap/>
            <w:hideMark/>
          </w:tcPr>
          <w:p w14:paraId="76EBBF18"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 </w:t>
            </w:r>
          </w:p>
        </w:tc>
      </w:tr>
      <w:tr w:rsidR="00252EAF" w:rsidRPr="00017D78" w14:paraId="0DCE1975"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BFBFBF" w:themeFill="background1" w:themeFillShade="BF"/>
            <w:noWrap/>
            <w:hideMark/>
          </w:tcPr>
          <w:p w14:paraId="513431E1" w14:textId="77777777" w:rsidR="002C11DC" w:rsidRPr="00017D78" w:rsidRDefault="002C11DC" w:rsidP="00446247">
            <w:pPr>
              <w:spacing w:after="0" w:line="240" w:lineRule="auto"/>
              <w:ind w:firstLineChars="100" w:firstLine="180"/>
              <w:rPr>
                <w:rFonts w:eastAsia="Times New Roman" w:cs="Arial"/>
                <w:i/>
                <w:iCs/>
                <w:color w:val="000000"/>
                <w:sz w:val="18"/>
                <w:szCs w:val="18"/>
                <w:lang w:eastAsia="zh-CN"/>
              </w:rPr>
            </w:pPr>
            <w:r w:rsidRPr="00017D78">
              <w:rPr>
                <w:rFonts w:eastAsia="Times New Roman" w:cs="Arial"/>
                <w:i/>
                <w:iCs/>
                <w:color w:val="000000"/>
                <w:sz w:val="18"/>
                <w:szCs w:val="18"/>
                <w:lang w:eastAsia="zh-CN"/>
              </w:rPr>
              <w:t>CB Daily Activities</w:t>
            </w:r>
          </w:p>
        </w:tc>
        <w:tc>
          <w:tcPr>
            <w:tcW w:w="1120" w:type="dxa"/>
            <w:shd w:val="clear" w:color="auto" w:fill="BFBFBF" w:themeFill="background1" w:themeFillShade="BF"/>
            <w:noWrap/>
            <w:hideMark/>
          </w:tcPr>
          <w:p w14:paraId="5A6A6971"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-333</w:t>
            </w:r>
          </w:p>
        </w:tc>
        <w:tc>
          <w:tcPr>
            <w:tcW w:w="1120" w:type="dxa"/>
            <w:shd w:val="clear" w:color="auto" w:fill="BFBFBF" w:themeFill="background1" w:themeFillShade="BF"/>
            <w:noWrap/>
            <w:hideMark/>
          </w:tcPr>
          <w:p w14:paraId="3F5BF2B0"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-436</w:t>
            </w:r>
          </w:p>
        </w:tc>
        <w:tc>
          <w:tcPr>
            <w:tcW w:w="1120" w:type="dxa"/>
            <w:shd w:val="clear" w:color="auto" w:fill="BFBFBF" w:themeFill="background1" w:themeFillShade="BF"/>
            <w:noWrap/>
            <w:hideMark/>
          </w:tcPr>
          <w:p w14:paraId="457A0D39"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-256</w:t>
            </w:r>
          </w:p>
        </w:tc>
        <w:tc>
          <w:tcPr>
            <w:tcW w:w="1120" w:type="dxa"/>
            <w:tcBorders>
              <w:right w:val="dotted" w:sz="4" w:space="0" w:color="auto"/>
            </w:tcBorders>
            <w:shd w:val="clear" w:color="auto" w:fill="BFBFBF" w:themeFill="background1" w:themeFillShade="BF"/>
            <w:noWrap/>
            <w:hideMark/>
          </w:tcPr>
          <w:p w14:paraId="765A21E4"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-6</w:t>
            </w:r>
          </w:p>
        </w:tc>
        <w:tc>
          <w:tcPr>
            <w:tcW w:w="1120" w:type="dxa"/>
            <w:tcBorders>
              <w:top w:val="nil"/>
              <w:left w:val="dotted" w:sz="4" w:space="0" w:color="auto"/>
              <w:bottom w:val="nil"/>
            </w:tcBorders>
            <w:shd w:val="clear" w:color="auto" w:fill="BFBFBF" w:themeFill="background1" w:themeFillShade="BF"/>
            <w:noWrap/>
            <w:hideMark/>
          </w:tcPr>
          <w:p w14:paraId="7AD30E07"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1,323</w:t>
            </w:r>
          </w:p>
        </w:tc>
      </w:tr>
      <w:tr w:rsidR="002C11DC" w:rsidRPr="00017D78" w14:paraId="2E8EF5C4"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36B35B2C" w14:textId="77777777" w:rsidR="002C11DC" w:rsidRPr="00017D78" w:rsidRDefault="002C11DC" w:rsidP="00446247">
            <w:pPr>
              <w:spacing w:after="0" w:line="240" w:lineRule="auto"/>
              <w:ind w:firstLineChars="100" w:firstLine="180"/>
              <w:rPr>
                <w:rFonts w:eastAsia="Times New Roman" w:cs="Arial"/>
                <w:i/>
                <w:iCs/>
                <w:color w:val="000000"/>
                <w:sz w:val="18"/>
                <w:szCs w:val="18"/>
                <w:lang w:eastAsia="zh-CN"/>
              </w:rPr>
            </w:pPr>
            <w:r w:rsidRPr="00017D78">
              <w:rPr>
                <w:rFonts w:eastAsia="Times New Roman" w:cs="Arial"/>
                <w:i/>
                <w:iCs/>
                <w:color w:val="000000"/>
                <w:sz w:val="18"/>
                <w:szCs w:val="18"/>
                <w:lang w:eastAsia="zh-CN"/>
              </w:rPr>
              <w:t>Support Coordination</w:t>
            </w:r>
          </w:p>
        </w:tc>
        <w:tc>
          <w:tcPr>
            <w:tcW w:w="1120" w:type="dxa"/>
            <w:shd w:val="clear" w:color="auto" w:fill="auto"/>
            <w:noWrap/>
            <w:hideMark/>
          </w:tcPr>
          <w:p w14:paraId="19BD6D45"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-73</w:t>
            </w:r>
          </w:p>
        </w:tc>
        <w:tc>
          <w:tcPr>
            <w:tcW w:w="1120" w:type="dxa"/>
            <w:shd w:val="clear" w:color="auto" w:fill="auto"/>
            <w:noWrap/>
            <w:hideMark/>
          </w:tcPr>
          <w:p w14:paraId="1315B215"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-95</w:t>
            </w:r>
          </w:p>
        </w:tc>
        <w:tc>
          <w:tcPr>
            <w:tcW w:w="1120" w:type="dxa"/>
            <w:shd w:val="clear" w:color="auto" w:fill="auto"/>
            <w:noWrap/>
            <w:hideMark/>
          </w:tcPr>
          <w:p w14:paraId="425D8414"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-36</w:t>
            </w:r>
          </w:p>
        </w:tc>
        <w:tc>
          <w:tcPr>
            <w:tcW w:w="1120" w:type="dxa"/>
            <w:tcBorders>
              <w:right w:val="dotted" w:sz="4" w:space="0" w:color="auto"/>
            </w:tcBorders>
            <w:shd w:val="clear" w:color="auto" w:fill="auto"/>
            <w:noWrap/>
            <w:hideMark/>
          </w:tcPr>
          <w:p w14:paraId="18A0D2CD"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35</w:t>
            </w:r>
          </w:p>
        </w:tc>
        <w:tc>
          <w:tcPr>
            <w:tcW w:w="1120" w:type="dxa"/>
            <w:tcBorders>
              <w:top w:val="nil"/>
              <w:left w:val="dotted" w:sz="4" w:space="0" w:color="auto"/>
              <w:bottom w:val="nil"/>
            </w:tcBorders>
            <w:shd w:val="clear" w:color="auto" w:fill="auto"/>
            <w:noWrap/>
            <w:hideMark/>
          </w:tcPr>
          <w:p w14:paraId="6CC3CCA6"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401</w:t>
            </w:r>
          </w:p>
        </w:tc>
      </w:tr>
      <w:tr w:rsidR="00252EAF" w:rsidRPr="00017D78" w14:paraId="52B5CAED"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BFBFBF" w:themeFill="background1" w:themeFillShade="BF"/>
            <w:noWrap/>
            <w:hideMark/>
          </w:tcPr>
          <w:p w14:paraId="3D77249D" w14:textId="77777777" w:rsidR="002C11DC" w:rsidRPr="00017D78" w:rsidRDefault="002C11DC" w:rsidP="00446247">
            <w:pPr>
              <w:spacing w:after="0" w:line="240" w:lineRule="auto"/>
              <w:ind w:firstLineChars="100" w:firstLine="180"/>
              <w:rPr>
                <w:rFonts w:eastAsia="Times New Roman" w:cs="Arial"/>
                <w:i/>
                <w:iCs/>
                <w:color w:val="000000"/>
                <w:sz w:val="18"/>
                <w:szCs w:val="18"/>
                <w:lang w:eastAsia="zh-CN"/>
              </w:rPr>
            </w:pPr>
            <w:r w:rsidRPr="00017D78">
              <w:rPr>
                <w:rFonts w:eastAsia="Times New Roman" w:cs="Arial"/>
                <w:i/>
                <w:iCs/>
                <w:color w:val="000000"/>
                <w:sz w:val="18"/>
                <w:szCs w:val="18"/>
                <w:lang w:eastAsia="zh-CN"/>
              </w:rPr>
              <w:t>CB Employment</w:t>
            </w:r>
          </w:p>
        </w:tc>
        <w:tc>
          <w:tcPr>
            <w:tcW w:w="1120" w:type="dxa"/>
            <w:shd w:val="clear" w:color="auto" w:fill="BFBFBF" w:themeFill="background1" w:themeFillShade="BF"/>
            <w:noWrap/>
            <w:hideMark/>
          </w:tcPr>
          <w:p w14:paraId="1EC46EA8"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-352</w:t>
            </w:r>
          </w:p>
        </w:tc>
        <w:tc>
          <w:tcPr>
            <w:tcW w:w="1120" w:type="dxa"/>
            <w:shd w:val="clear" w:color="auto" w:fill="BFBFBF" w:themeFill="background1" w:themeFillShade="BF"/>
            <w:noWrap/>
            <w:hideMark/>
          </w:tcPr>
          <w:p w14:paraId="70D5F1C7"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-424</w:t>
            </w:r>
          </w:p>
        </w:tc>
        <w:tc>
          <w:tcPr>
            <w:tcW w:w="1120" w:type="dxa"/>
            <w:shd w:val="clear" w:color="auto" w:fill="BFBFBF" w:themeFill="background1" w:themeFillShade="BF"/>
            <w:noWrap/>
            <w:hideMark/>
          </w:tcPr>
          <w:p w14:paraId="5AA95BD3"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-469</w:t>
            </w:r>
          </w:p>
        </w:tc>
        <w:tc>
          <w:tcPr>
            <w:tcW w:w="1120" w:type="dxa"/>
            <w:tcBorders>
              <w:right w:val="dotted" w:sz="4" w:space="0" w:color="auto"/>
            </w:tcBorders>
            <w:shd w:val="clear" w:color="auto" w:fill="BFBFBF" w:themeFill="background1" w:themeFillShade="BF"/>
            <w:noWrap/>
            <w:hideMark/>
          </w:tcPr>
          <w:p w14:paraId="2E34834C"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-510</w:t>
            </w:r>
          </w:p>
        </w:tc>
        <w:tc>
          <w:tcPr>
            <w:tcW w:w="1120" w:type="dxa"/>
            <w:tcBorders>
              <w:top w:val="nil"/>
              <w:left w:val="dotted" w:sz="4" w:space="0" w:color="auto"/>
              <w:bottom w:val="nil"/>
            </w:tcBorders>
            <w:shd w:val="clear" w:color="auto" w:fill="BFBFBF" w:themeFill="background1" w:themeFillShade="BF"/>
            <w:noWrap/>
            <w:hideMark/>
          </w:tcPr>
          <w:p w14:paraId="2F9DC5B0"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-843</w:t>
            </w:r>
          </w:p>
        </w:tc>
      </w:tr>
      <w:tr w:rsidR="002C11DC" w:rsidRPr="00017D78" w14:paraId="0352FC79" w14:textId="77777777" w:rsidTr="00252EA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2336C5B5" w14:textId="77777777" w:rsidR="002C11DC" w:rsidRPr="00017D78" w:rsidRDefault="002C11DC" w:rsidP="00446247">
            <w:pPr>
              <w:spacing w:after="0" w:line="240" w:lineRule="auto"/>
              <w:ind w:firstLineChars="100" w:firstLine="180"/>
              <w:rPr>
                <w:rFonts w:eastAsia="Times New Roman" w:cs="Arial"/>
                <w:i/>
                <w:iCs/>
                <w:color w:val="000000"/>
                <w:sz w:val="18"/>
                <w:szCs w:val="18"/>
                <w:lang w:eastAsia="zh-CN"/>
              </w:rPr>
            </w:pPr>
            <w:r w:rsidRPr="00017D78">
              <w:rPr>
                <w:rFonts w:eastAsia="Times New Roman" w:cs="Arial"/>
                <w:i/>
                <w:iCs/>
                <w:color w:val="000000"/>
                <w:sz w:val="18"/>
                <w:szCs w:val="18"/>
                <w:lang w:eastAsia="zh-CN"/>
              </w:rPr>
              <w:t>CB Choice and Control</w:t>
            </w:r>
          </w:p>
        </w:tc>
        <w:tc>
          <w:tcPr>
            <w:tcW w:w="1120" w:type="dxa"/>
            <w:shd w:val="clear" w:color="auto" w:fill="auto"/>
            <w:noWrap/>
            <w:hideMark/>
          </w:tcPr>
          <w:p w14:paraId="074B81E8"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9</w:t>
            </w:r>
          </w:p>
        </w:tc>
        <w:tc>
          <w:tcPr>
            <w:tcW w:w="1120" w:type="dxa"/>
            <w:shd w:val="clear" w:color="auto" w:fill="auto"/>
            <w:noWrap/>
            <w:hideMark/>
          </w:tcPr>
          <w:p w14:paraId="76C349E4"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31</w:t>
            </w:r>
          </w:p>
        </w:tc>
        <w:tc>
          <w:tcPr>
            <w:tcW w:w="1120" w:type="dxa"/>
            <w:shd w:val="clear" w:color="auto" w:fill="auto"/>
            <w:noWrap/>
            <w:hideMark/>
          </w:tcPr>
          <w:p w14:paraId="3CF69AE7"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97</w:t>
            </w:r>
          </w:p>
        </w:tc>
        <w:tc>
          <w:tcPr>
            <w:tcW w:w="1120" w:type="dxa"/>
            <w:tcBorders>
              <w:right w:val="dotted" w:sz="4" w:space="0" w:color="auto"/>
            </w:tcBorders>
            <w:shd w:val="clear" w:color="auto" w:fill="auto"/>
            <w:noWrap/>
            <w:hideMark/>
          </w:tcPr>
          <w:p w14:paraId="5BA1591F"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145</w:t>
            </w:r>
          </w:p>
        </w:tc>
        <w:tc>
          <w:tcPr>
            <w:tcW w:w="1120" w:type="dxa"/>
            <w:tcBorders>
              <w:top w:val="nil"/>
              <w:left w:val="dotted" w:sz="4" w:space="0" w:color="auto"/>
              <w:bottom w:val="nil"/>
            </w:tcBorders>
            <w:shd w:val="clear" w:color="auto" w:fill="auto"/>
            <w:noWrap/>
            <w:hideMark/>
          </w:tcPr>
          <w:p w14:paraId="57E4E5DC"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400</w:t>
            </w:r>
          </w:p>
        </w:tc>
      </w:tr>
      <w:tr w:rsidR="00252EAF" w:rsidRPr="00017D78" w14:paraId="2BD71D25" w14:textId="77777777" w:rsidTr="00252EAF">
        <w:trPr>
          <w:trHeight w:val="301"/>
        </w:trPr>
        <w:tc>
          <w:tcPr>
            <w:cnfStyle w:val="001000000000" w:firstRow="0" w:lastRow="0" w:firstColumn="1" w:lastColumn="0" w:oddVBand="0" w:evenVBand="0" w:oddHBand="0" w:evenHBand="0" w:firstRowFirstColumn="0" w:firstRowLastColumn="0" w:lastRowFirstColumn="0" w:lastRowLastColumn="0"/>
            <w:tcW w:w="2920" w:type="dxa"/>
            <w:tcBorders>
              <w:bottom w:val="single" w:sz="4" w:space="0" w:color="auto"/>
            </w:tcBorders>
            <w:shd w:val="clear" w:color="auto" w:fill="BFBFBF" w:themeFill="background1" w:themeFillShade="BF"/>
            <w:noWrap/>
            <w:hideMark/>
          </w:tcPr>
          <w:p w14:paraId="21AC4F61" w14:textId="77777777" w:rsidR="002C11DC" w:rsidRPr="00017D78" w:rsidRDefault="002C11DC" w:rsidP="00446247">
            <w:pPr>
              <w:spacing w:after="0" w:line="240" w:lineRule="auto"/>
              <w:ind w:firstLineChars="100" w:firstLine="180"/>
              <w:rPr>
                <w:rFonts w:eastAsia="Times New Roman" w:cs="Arial"/>
                <w:i/>
                <w:iCs/>
                <w:color w:val="000000"/>
                <w:sz w:val="18"/>
                <w:szCs w:val="18"/>
                <w:lang w:eastAsia="zh-CN"/>
              </w:rPr>
            </w:pPr>
            <w:r w:rsidRPr="00017D78">
              <w:rPr>
                <w:rFonts w:eastAsia="Times New Roman" w:cs="Arial"/>
                <w:i/>
                <w:iCs/>
                <w:color w:val="000000"/>
                <w:sz w:val="18"/>
                <w:szCs w:val="18"/>
                <w:lang w:eastAsia="zh-CN"/>
              </w:rPr>
              <w:t>Other CB supports</w:t>
            </w:r>
          </w:p>
        </w:tc>
        <w:tc>
          <w:tcPr>
            <w:tcW w:w="1120" w:type="dxa"/>
            <w:tcBorders>
              <w:bottom w:val="single" w:sz="4" w:space="0" w:color="auto"/>
            </w:tcBorders>
            <w:shd w:val="clear" w:color="auto" w:fill="BFBFBF" w:themeFill="background1" w:themeFillShade="BF"/>
            <w:noWrap/>
            <w:hideMark/>
          </w:tcPr>
          <w:p w14:paraId="6A6DF02A"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57</w:t>
            </w:r>
          </w:p>
        </w:tc>
        <w:tc>
          <w:tcPr>
            <w:tcW w:w="1120" w:type="dxa"/>
            <w:tcBorders>
              <w:bottom w:val="single" w:sz="4" w:space="0" w:color="auto"/>
            </w:tcBorders>
            <w:shd w:val="clear" w:color="auto" w:fill="BFBFBF" w:themeFill="background1" w:themeFillShade="BF"/>
            <w:noWrap/>
            <w:hideMark/>
          </w:tcPr>
          <w:p w14:paraId="16A36762"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79</w:t>
            </w:r>
          </w:p>
        </w:tc>
        <w:tc>
          <w:tcPr>
            <w:tcW w:w="1120" w:type="dxa"/>
            <w:tcBorders>
              <w:bottom w:val="single" w:sz="4" w:space="0" w:color="auto"/>
            </w:tcBorders>
            <w:shd w:val="clear" w:color="auto" w:fill="BFBFBF" w:themeFill="background1" w:themeFillShade="BF"/>
            <w:noWrap/>
            <w:hideMark/>
          </w:tcPr>
          <w:p w14:paraId="15C1D234"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139</w:t>
            </w:r>
          </w:p>
        </w:tc>
        <w:tc>
          <w:tcPr>
            <w:tcW w:w="1120" w:type="dxa"/>
            <w:tcBorders>
              <w:bottom w:val="single" w:sz="4" w:space="0" w:color="auto"/>
              <w:right w:val="dotted" w:sz="4" w:space="0" w:color="auto"/>
            </w:tcBorders>
            <w:shd w:val="clear" w:color="auto" w:fill="BFBFBF" w:themeFill="background1" w:themeFillShade="BF"/>
            <w:noWrap/>
            <w:hideMark/>
          </w:tcPr>
          <w:p w14:paraId="47A9BFD3"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210</w:t>
            </w:r>
          </w:p>
        </w:tc>
        <w:tc>
          <w:tcPr>
            <w:tcW w:w="1120" w:type="dxa"/>
            <w:tcBorders>
              <w:top w:val="nil"/>
              <w:left w:val="dotted" w:sz="4" w:space="0" w:color="auto"/>
              <w:bottom w:val="single" w:sz="4" w:space="0" w:color="auto"/>
            </w:tcBorders>
            <w:shd w:val="clear" w:color="auto" w:fill="BFBFBF" w:themeFill="background1" w:themeFillShade="BF"/>
            <w:noWrap/>
            <w:hideMark/>
          </w:tcPr>
          <w:p w14:paraId="5630DE90" w14:textId="77777777" w:rsidR="002C11DC" w:rsidRPr="00017D78"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017D78">
              <w:rPr>
                <w:rFonts w:eastAsia="Times New Roman" w:cs="Arial"/>
                <w:color w:val="000000"/>
                <w:sz w:val="18"/>
                <w:szCs w:val="18"/>
                <w:lang w:eastAsia="zh-CN"/>
              </w:rPr>
              <w:t>616</w:t>
            </w:r>
          </w:p>
        </w:tc>
      </w:tr>
      <w:tr w:rsidR="002C11DC" w:rsidRPr="00017D78" w14:paraId="5A46C3BF" w14:textId="77777777" w:rsidTr="00D009F7">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tcBorders>
              <w:top w:val="single" w:sz="4" w:space="0" w:color="auto"/>
              <w:bottom w:val="single" w:sz="4" w:space="0" w:color="auto"/>
            </w:tcBorders>
            <w:shd w:val="clear" w:color="auto" w:fill="D4C5D7"/>
            <w:noWrap/>
            <w:hideMark/>
          </w:tcPr>
          <w:p w14:paraId="7685DE51" w14:textId="77777777" w:rsidR="002C11DC" w:rsidRPr="00017D78" w:rsidRDefault="002C11DC" w:rsidP="00446247">
            <w:pPr>
              <w:spacing w:after="0" w:line="240" w:lineRule="auto"/>
              <w:rPr>
                <w:rFonts w:eastAsia="Times New Roman" w:cs="Arial"/>
                <w:b/>
                <w:bCs/>
                <w:color w:val="000000"/>
                <w:sz w:val="18"/>
                <w:szCs w:val="18"/>
                <w:lang w:eastAsia="zh-CN"/>
              </w:rPr>
            </w:pPr>
            <w:r w:rsidRPr="00017D78">
              <w:rPr>
                <w:rFonts w:eastAsia="Times New Roman" w:cs="Arial"/>
                <w:b/>
                <w:bCs/>
                <w:color w:val="000000"/>
                <w:sz w:val="18"/>
                <w:szCs w:val="18"/>
                <w:lang w:eastAsia="zh-CN"/>
              </w:rPr>
              <w:t>Total</w:t>
            </w:r>
          </w:p>
        </w:tc>
        <w:tc>
          <w:tcPr>
            <w:tcW w:w="1120" w:type="dxa"/>
            <w:tcBorders>
              <w:top w:val="single" w:sz="4" w:space="0" w:color="auto"/>
              <w:bottom w:val="single" w:sz="4" w:space="0" w:color="auto"/>
            </w:tcBorders>
            <w:shd w:val="clear" w:color="auto" w:fill="D4C5D7"/>
            <w:noWrap/>
            <w:hideMark/>
          </w:tcPr>
          <w:p w14:paraId="08AECD61"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017D78">
              <w:rPr>
                <w:rFonts w:eastAsia="Times New Roman" w:cs="Arial"/>
                <w:b/>
                <w:bCs/>
                <w:color w:val="000000"/>
                <w:sz w:val="18"/>
                <w:szCs w:val="18"/>
                <w:lang w:eastAsia="zh-CN"/>
              </w:rPr>
              <w:t>46</w:t>
            </w:r>
          </w:p>
        </w:tc>
        <w:tc>
          <w:tcPr>
            <w:tcW w:w="1120" w:type="dxa"/>
            <w:tcBorders>
              <w:top w:val="single" w:sz="4" w:space="0" w:color="auto"/>
              <w:bottom w:val="single" w:sz="4" w:space="0" w:color="auto"/>
            </w:tcBorders>
            <w:shd w:val="clear" w:color="auto" w:fill="D4C5D7"/>
            <w:noWrap/>
            <w:hideMark/>
          </w:tcPr>
          <w:p w14:paraId="3509B0C5"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017D78">
              <w:rPr>
                <w:rFonts w:eastAsia="Times New Roman" w:cs="Arial"/>
                <w:b/>
                <w:bCs/>
                <w:color w:val="000000"/>
                <w:sz w:val="18"/>
                <w:szCs w:val="18"/>
                <w:lang w:eastAsia="zh-CN"/>
              </w:rPr>
              <w:t>109</w:t>
            </w:r>
          </w:p>
        </w:tc>
        <w:tc>
          <w:tcPr>
            <w:tcW w:w="1120" w:type="dxa"/>
            <w:tcBorders>
              <w:top w:val="single" w:sz="4" w:space="0" w:color="auto"/>
              <w:bottom w:val="single" w:sz="4" w:space="0" w:color="auto"/>
            </w:tcBorders>
            <w:shd w:val="clear" w:color="auto" w:fill="D4C5D7"/>
            <w:noWrap/>
            <w:hideMark/>
          </w:tcPr>
          <w:p w14:paraId="4FCF47B0"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017D78">
              <w:rPr>
                <w:rFonts w:eastAsia="Times New Roman" w:cs="Arial"/>
                <w:b/>
                <w:bCs/>
                <w:color w:val="000000"/>
                <w:sz w:val="18"/>
                <w:szCs w:val="18"/>
                <w:lang w:eastAsia="zh-CN"/>
              </w:rPr>
              <w:t>2,648</w:t>
            </w:r>
          </w:p>
        </w:tc>
        <w:tc>
          <w:tcPr>
            <w:tcW w:w="1120" w:type="dxa"/>
            <w:tcBorders>
              <w:top w:val="single" w:sz="4" w:space="0" w:color="auto"/>
              <w:bottom w:val="single" w:sz="4" w:space="0" w:color="auto"/>
              <w:right w:val="dotted" w:sz="4" w:space="0" w:color="auto"/>
            </w:tcBorders>
            <w:shd w:val="clear" w:color="auto" w:fill="D4C5D7"/>
            <w:noWrap/>
            <w:hideMark/>
          </w:tcPr>
          <w:p w14:paraId="5DFE07C6"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017D78">
              <w:rPr>
                <w:rFonts w:eastAsia="Times New Roman" w:cs="Arial"/>
                <w:b/>
                <w:bCs/>
                <w:color w:val="000000"/>
                <w:sz w:val="18"/>
                <w:szCs w:val="18"/>
                <w:lang w:eastAsia="zh-CN"/>
              </w:rPr>
              <w:t>5,649</w:t>
            </w:r>
          </w:p>
        </w:tc>
        <w:tc>
          <w:tcPr>
            <w:tcW w:w="1120" w:type="dxa"/>
            <w:tcBorders>
              <w:top w:val="single" w:sz="4" w:space="0" w:color="auto"/>
              <w:left w:val="dotted" w:sz="4" w:space="0" w:color="auto"/>
              <w:bottom w:val="single" w:sz="4" w:space="0" w:color="auto"/>
            </w:tcBorders>
            <w:shd w:val="clear" w:color="auto" w:fill="D4C5D7"/>
            <w:noWrap/>
            <w:hideMark/>
          </w:tcPr>
          <w:p w14:paraId="757D12CA" w14:textId="77777777" w:rsidR="002C11DC" w:rsidRPr="00017D78"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017D78">
              <w:rPr>
                <w:rFonts w:eastAsia="Times New Roman" w:cs="Arial"/>
                <w:b/>
                <w:bCs/>
                <w:color w:val="000000"/>
                <w:sz w:val="18"/>
                <w:szCs w:val="18"/>
                <w:lang w:eastAsia="zh-CN"/>
              </w:rPr>
              <w:t>20,960</w:t>
            </w:r>
          </w:p>
        </w:tc>
      </w:tr>
    </w:tbl>
    <w:p w14:paraId="67D053AC" w14:textId="77777777" w:rsidR="002C11DC" w:rsidRDefault="002C11DC" w:rsidP="00191697">
      <w:pPr>
        <w:spacing w:after="0"/>
        <w:rPr>
          <w:rFonts w:cs="Arial"/>
          <w:sz w:val="16"/>
          <w:szCs w:val="16"/>
        </w:rPr>
      </w:pPr>
    </w:p>
    <w:tbl>
      <w:tblPr>
        <w:tblStyle w:val="FSRtable"/>
        <w:tblW w:w="8520" w:type="dxa"/>
        <w:tblInd w:w="5" w:type="dxa"/>
        <w:tblLook w:val="04A0" w:firstRow="1" w:lastRow="0" w:firstColumn="1" w:lastColumn="0" w:noHBand="0" w:noVBand="1"/>
      </w:tblPr>
      <w:tblGrid>
        <w:gridCol w:w="2920"/>
        <w:gridCol w:w="1120"/>
        <w:gridCol w:w="1120"/>
        <w:gridCol w:w="1120"/>
        <w:gridCol w:w="1120"/>
        <w:gridCol w:w="1120"/>
      </w:tblGrid>
      <w:tr w:rsidR="002C11DC" w:rsidRPr="00D009F7" w14:paraId="0B708610"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920" w:type="dxa"/>
            <w:noWrap/>
            <w:vAlign w:val="bottom"/>
            <w:hideMark/>
          </w:tcPr>
          <w:p w14:paraId="3E26CCCB" w14:textId="77777777" w:rsidR="002C11DC" w:rsidRPr="00D009F7" w:rsidRDefault="002C11DC" w:rsidP="00D009F7">
            <w:pPr>
              <w:spacing w:after="0" w:line="240" w:lineRule="auto"/>
              <w:rPr>
                <w:rFonts w:eastAsia="Times New Roman"/>
                <w:bCs/>
                <w:color w:val="FFFFFF"/>
                <w:sz w:val="18"/>
                <w:szCs w:val="18"/>
                <w:lang w:eastAsia="zh-CN"/>
              </w:rPr>
            </w:pPr>
            <w:r w:rsidRPr="00D009F7">
              <w:rPr>
                <w:rFonts w:eastAsia="Times New Roman"/>
                <w:bCs/>
                <w:color w:val="FFFFFF"/>
                <w:sz w:val="18"/>
                <w:szCs w:val="18"/>
                <w:lang w:eastAsia="zh-CN"/>
              </w:rPr>
              <w:t>Scheme expenses</w:t>
            </w:r>
          </w:p>
        </w:tc>
        <w:tc>
          <w:tcPr>
            <w:tcW w:w="5600" w:type="dxa"/>
            <w:gridSpan w:val="5"/>
            <w:tcBorders>
              <w:top w:val="single" w:sz="4" w:space="0" w:color="auto"/>
              <w:bottom w:val="single" w:sz="4" w:space="0" w:color="FFFFFF" w:themeColor="background1"/>
            </w:tcBorders>
            <w:noWrap/>
            <w:hideMark/>
          </w:tcPr>
          <w:p w14:paraId="718B6361" w14:textId="77777777" w:rsidR="002C11DC" w:rsidRPr="00D009F7" w:rsidRDefault="002C11DC" w:rsidP="004462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zh-CN"/>
              </w:rPr>
            </w:pPr>
            <w:r w:rsidRPr="00D009F7">
              <w:rPr>
                <w:rFonts w:eastAsia="Times New Roman"/>
                <w:bCs/>
                <w:color w:val="FFFFFF"/>
                <w:sz w:val="18"/>
                <w:szCs w:val="18"/>
                <w:lang w:eastAsia="zh-CN"/>
              </w:rPr>
              <w:t>Projection Year</w:t>
            </w:r>
          </w:p>
        </w:tc>
      </w:tr>
      <w:tr w:rsidR="002C11DC" w:rsidRPr="00D009F7" w14:paraId="30DD41BD" w14:textId="77777777" w:rsidTr="0004693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920" w:type="dxa"/>
            <w:noWrap/>
            <w:vAlign w:val="top"/>
            <w:hideMark/>
          </w:tcPr>
          <w:p w14:paraId="76D3D72C" w14:textId="77777777" w:rsidR="002C11DC" w:rsidRPr="00D009F7" w:rsidRDefault="002C11DC" w:rsidP="00D009F7">
            <w:pPr>
              <w:spacing w:after="0" w:line="240" w:lineRule="auto"/>
              <w:rPr>
                <w:rFonts w:eastAsia="Times New Roman"/>
                <w:b w:val="0"/>
                <w:bCs/>
                <w:color w:val="FFFFFF"/>
                <w:sz w:val="18"/>
                <w:szCs w:val="18"/>
                <w:lang w:eastAsia="zh-CN"/>
              </w:rPr>
            </w:pPr>
            <w:r w:rsidRPr="00D009F7">
              <w:rPr>
                <w:rFonts w:eastAsia="Times New Roman"/>
                <w:bCs/>
                <w:color w:val="FFFFFF"/>
                <w:sz w:val="18"/>
                <w:szCs w:val="18"/>
                <w:lang w:eastAsia="zh-CN"/>
              </w:rPr>
              <w:t>($m, cash basis)</w:t>
            </w:r>
          </w:p>
        </w:tc>
        <w:tc>
          <w:tcPr>
            <w:tcW w:w="1120" w:type="dxa"/>
            <w:tcBorders>
              <w:top w:val="single" w:sz="4" w:space="0" w:color="FFFFFF" w:themeColor="background1"/>
            </w:tcBorders>
            <w:noWrap/>
            <w:hideMark/>
          </w:tcPr>
          <w:p w14:paraId="37F29823" w14:textId="77777777" w:rsidR="002C11DC" w:rsidRPr="00D009F7"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D009F7">
              <w:rPr>
                <w:rFonts w:eastAsia="Times New Roman"/>
                <w:bCs/>
                <w:color w:val="FFFFFF"/>
                <w:sz w:val="18"/>
                <w:szCs w:val="18"/>
                <w:lang w:eastAsia="zh-CN"/>
              </w:rPr>
              <w:t>2022-23</w:t>
            </w:r>
          </w:p>
        </w:tc>
        <w:tc>
          <w:tcPr>
            <w:tcW w:w="1120" w:type="dxa"/>
            <w:tcBorders>
              <w:top w:val="single" w:sz="4" w:space="0" w:color="FFFFFF" w:themeColor="background1"/>
            </w:tcBorders>
            <w:noWrap/>
            <w:hideMark/>
          </w:tcPr>
          <w:p w14:paraId="70C358F1" w14:textId="77777777" w:rsidR="002C11DC" w:rsidRPr="00D009F7"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D009F7">
              <w:rPr>
                <w:rFonts w:eastAsia="Times New Roman"/>
                <w:bCs/>
                <w:color w:val="FFFFFF"/>
                <w:sz w:val="18"/>
                <w:szCs w:val="18"/>
                <w:lang w:eastAsia="zh-CN"/>
              </w:rPr>
              <w:t>2023-24</w:t>
            </w:r>
          </w:p>
        </w:tc>
        <w:tc>
          <w:tcPr>
            <w:tcW w:w="1120" w:type="dxa"/>
            <w:tcBorders>
              <w:top w:val="single" w:sz="4" w:space="0" w:color="FFFFFF" w:themeColor="background1"/>
            </w:tcBorders>
            <w:noWrap/>
            <w:hideMark/>
          </w:tcPr>
          <w:p w14:paraId="11381AC7" w14:textId="77777777" w:rsidR="002C11DC" w:rsidRPr="00D009F7"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D009F7">
              <w:rPr>
                <w:rFonts w:eastAsia="Times New Roman"/>
                <w:bCs/>
                <w:color w:val="FFFFFF"/>
                <w:sz w:val="18"/>
                <w:szCs w:val="18"/>
                <w:lang w:eastAsia="zh-CN"/>
              </w:rPr>
              <w:t>2024-25</w:t>
            </w:r>
          </w:p>
        </w:tc>
        <w:tc>
          <w:tcPr>
            <w:tcW w:w="1120" w:type="dxa"/>
            <w:tcBorders>
              <w:top w:val="single" w:sz="4" w:space="0" w:color="FFFFFF" w:themeColor="background1"/>
              <w:right w:val="dotted" w:sz="4" w:space="0" w:color="auto"/>
            </w:tcBorders>
            <w:noWrap/>
            <w:hideMark/>
          </w:tcPr>
          <w:p w14:paraId="3067F645" w14:textId="77777777" w:rsidR="002C11DC" w:rsidRPr="00D009F7"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D009F7">
              <w:rPr>
                <w:rFonts w:eastAsia="Times New Roman"/>
                <w:bCs/>
                <w:color w:val="FFFFFF"/>
                <w:sz w:val="18"/>
                <w:szCs w:val="18"/>
                <w:lang w:eastAsia="zh-CN"/>
              </w:rPr>
              <w:t>2025-26</w:t>
            </w:r>
          </w:p>
        </w:tc>
        <w:tc>
          <w:tcPr>
            <w:tcW w:w="1120" w:type="dxa"/>
            <w:tcBorders>
              <w:top w:val="single" w:sz="4" w:space="0" w:color="FFFFFF" w:themeColor="background1"/>
              <w:left w:val="dotted" w:sz="4" w:space="0" w:color="auto"/>
              <w:bottom w:val="nil"/>
            </w:tcBorders>
            <w:noWrap/>
            <w:hideMark/>
          </w:tcPr>
          <w:p w14:paraId="1F5F94D4" w14:textId="77777777" w:rsidR="002C11DC" w:rsidRPr="00D009F7"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zh-CN"/>
              </w:rPr>
            </w:pPr>
            <w:r w:rsidRPr="00D009F7">
              <w:rPr>
                <w:rFonts w:eastAsia="Times New Roman"/>
                <w:bCs/>
                <w:color w:val="FFFFFF"/>
                <w:sz w:val="18"/>
                <w:szCs w:val="18"/>
                <w:lang w:eastAsia="zh-CN"/>
              </w:rPr>
              <w:t>2031-32</w:t>
            </w:r>
          </w:p>
        </w:tc>
      </w:tr>
      <w:tr w:rsidR="002C11DC" w:rsidRPr="00D009F7" w14:paraId="150A4E70"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332FB665" w14:textId="77777777" w:rsidR="002C11DC" w:rsidRPr="00D009F7" w:rsidRDefault="002C11DC" w:rsidP="00446247">
            <w:pPr>
              <w:spacing w:after="0" w:line="240" w:lineRule="auto"/>
              <w:rPr>
                <w:rFonts w:eastAsia="Times New Roman" w:cs="Arial"/>
                <w:b/>
                <w:bCs/>
                <w:color w:val="000000"/>
                <w:sz w:val="18"/>
                <w:szCs w:val="18"/>
                <w:lang w:eastAsia="zh-CN"/>
              </w:rPr>
            </w:pPr>
            <w:r w:rsidRPr="00D009F7">
              <w:rPr>
                <w:rFonts w:eastAsia="Times New Roman" w:cs="Arial"/>
                <w:b/>
                <w:bCs/>
                <w:color w:val="000000"/>
                <w:sz w:val="18"/>
                <w:szCs w:val="18"/>
                <w:lang w:eastAsia="zh-CN"/>
              </w:rPr>
              <w:t>% Difference</w:t>
            </w:r>
          </w:p>
        </w:tc>
        <w:tc>
          <w:tcPr>
            <w:tcW w:w="1120" w:type="dxa"/>
            <w:shd w:val="clear" w:color="auto" w:fill="auto"/>
            <w:noWrap/>
            <w:hideMark/>
          </w:tcPr>
          <w:p w14:paraId="48750626"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D009F7">
              <w:rPr>
                <w:rFonts w:eastAsia="Times New Roman" w:cs="Arial"/>
                <w:b/>
                <w:bCs/>
                <w:i/>
                <w:iCs/>
                <w:color w:val="000000"/>
                <w:sz w:val="18"/>
                <w:szCs w:val="18"/>
                <w:lang w:eastAsia="zh-CN"/>
              </w:rPr>
              <w:t> </w:t>
            </w:r>
          </w:p>
        </w:tc>
        <w:tc>
          <w:tcPr>
            <w:tcW w:w="1120" w:type="dxa"/>
            <w:shd w:val="clear" w:color="auto" w:fill="auto"/>
            <w:noWrap/>
            <w:hideMark/>
          </w:tcPr>
          <w:p w14:paraId="4C79C841"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D009F7">
              <w:rPr>
                <w:rFonts w:eastAsia="Times New Roman" w:cs="Arial"/>
                <w:b/>
                <w:bCs/>
                <w:i/>
                <w:iCs/>
                <w:color w:val="000000"/>
                <w:sz w:val="18"/>
                <w:szCs w:val="18"/>
                <w:lang w:eastAsia="zh-CN"/>
              </w:rPr>
              <w:t> </w:t>
            </w:r>
          </w:p>
        </w:tc>
        <w:tc>
          <w:tcPr>
            <w:tcW w:w="1120" w:type="dxa"/>
            <w:shd w:val="clear" w:color="auto" w:fill="auto"/>
            <w:noWrap/>
            <w:hideMark/>
          </w:tcPr>
          <w:p w14:paraId="77044764"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D009F7">
              <w:rPr>
                <w:rFonts w:eastAsia="Times New Roman" w:cs="Arial"/>
                <w:b/>
                <w:bCs/>
                <w:i/>
                <w:iCs/>
                <w:color w:val="000000"/>
                <w:sz w:val="18"/>
                <w:szCs w:val="18"/>
                <w:lang w:eastAsia="zh-CN"/>
              </w:rPr>
              <w:t> </w:t>
            </w:r>
          </w:p>
        </w:tc>
        <w:tc>
          <w:tcPr>
            <w:tcW w:w="1120" w:type="dxa"/>
            <w:tcBorders>
              <w:right w:val="dotted" w:sz="4" w:space="0" w:color="auto"/>
            </w:tcBorders>
            <w:shd w:val="clear" w:color="auto" w:fill="auto"/>
            <w:noWrap/>
            <w:hideMark/>
          </w:tcPr>
          <w:p w14:paraId="7A33C91A"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D009F7">
              <w:rPr>
                <w:rFonts w:eastAsia="Times New Roman" w:cs="Arial"/>
                <w:b/>
                <w:bCs/>
                <w:i/>
                <w:iCs/>
                <w:color w:val="000000"/>
                <w:sz w:val="18"/>
                <w:szCs w:val="18"/>
                <w:lang w:eastAsia="zh-CN"/>
              </w:rPr>
              <w:t> </w:t>
            </w:r>
          </w:p>
        </w:tc>
        <w:tc>
          <w:tcPr>
            <w:tcW w:w="1120" w:type="dxa"/>
            <w:tcBorders>
              <w:top w:val="nil"/>
              <w:left w:val="dotted" w:sz="4" w:space="0" w:color="auto"/>
              <w:bottom w:val="nil"/>
            </w:tcBorders>
            <w:shd w:val="clear" w:color="auto" w:fill="auto"/>
            <w:noWrap/>
            <w:hideMark/>
          </w:tcPr>
          <w:p w14:paraId="2FB6DB5D"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i/>
                <w:iCs/>
                <w:color w:val="000000"/>
                <w:sz w:val="18"/>
                <w:szCs w:val="18"/>
                <w:lang w:eastAsia="zh-CN"/>
              </w:rPr>
            </w:pPr>
            <w:r w:rsidRPr="00D009F7">
              <w:rPr>
                <w:rFonts w:eastAsia="Times New Roman" w:cs="Arial"/>
                <w:b/>
                <w:bCs/>
                <w:i/>
                <w:iCs/>
                <w:color w:val="000000"/>
                <w:sz w:val="18"/>
                <w:szCs w:val="18"/>
                <w:lang w:eastAsia="zh-CN"/>
              </w:rPr>
              <w:t> </w:t>
            </w:r>
          </w:p>
        </w:tc>
      </w:tr>
      <w:tr w:rsidR="002C11DC" w:rsidRPr="00D009F7" w14:paraId="54CEF4FD" w14:textId="77777777" w:rsidTr="00D009F7">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476FD563" w14:textId="77777777" w:rsidR="002C11DC" w:rsidRPr="00D009F7" w:rsidRDefault="002C11DC" w:rsidP="00446247">
            <w:pPr>
              <w:spacing w:after="0" w:line="240" w:lineRule="auto"/>
              <w:rPr>
                <w:rFonts w:eastAsia="Times New Roman" w:cs="Arial"/>
                <w:b/>
                <w:bCs/>
                <w:color w:val="000000"/>
                <w:sz w:val="18"/>
                <w:szCs w:val="18"/>
                <w:lang w:eastAsia="zh-CN"/>
              </w:rPr>
            </w:pPr>
            <w:r w:rsidRPr="00D009F7">
              <w:rPr>
                <w:rFonts w:eastAsia="Times New Roman" w:cs="Arial"/>
                <w:b/>
                <w:bCs/>
                <w:color w:val="000000"/>
                <w:sz w:val="18"/>
                <w:szCs w:val="18"/>
                <w:lang w:eastAsia="zh-CN"/>
              </w:rPr>
              <w:t>Core</w:t>
            </w:r>
          </w:p>
        </w:tc>
        <w:tc>
          <w:tcPr>
            <w:tcW w:w="1120" w:type="dxa"/>
            <w:noWrap/>
            <w:hideMark/>
          </w:tcPr>
          <w:p w14:paraId="285A015F"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p>
        </w:tc>
        <w:tc>
          <w:tcPr>
            <w:tcW w:w="1120" w:type="dxa"/>
            <w:noWrap/>
            <w:hideMark/>
          </w:tcPr>
          <w:p w14:paraId="1FF35B27"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1120" w:type="dxa"/>
            <w:noWrap/>
            <w:hideMark/>
          </w:tcPr>
          <w:p w14:paraId="55FC9F23"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1120" w:type="dxa"/>
            <w:tcBorders>
              <w:right w:val="dotted" w:sz="4" w:space="0" w:color="auto"/>
            </w:tcBorders>
            <w:noWrap/>
            <w:hideMark/>
          </w:tcPr>
          <w:p w14:paraId="5771F5DA"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1120" w:type="dxa"/>
            <w:tcBorders>
              <w:top w:val="nil"/>
              <w:left w:val="dotted" w:sz="4" w:space="0" w:color="auto"/>
              <w:bottom w:val="nil"/>
            </w:tcBorders>
            <w:noWrap/>
            <w:hideMark/>
          </w:tcPr>
          <w:p w14:paraId="49F19ADD"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 </w:t>
            </w:r>
          </w:p>
        </w:tc>
      </w:tr>
      <w:tr w:rsidR="002C11DC" w:rsidRPr="00D009F7" w14:paraId="4E9CEDF9"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22996C8C" w14:textId="77777777" w:rsidR="002C11DC" w:rsidRPr="00D009F7" w:rsidRDefault="002C11DC" w:rsidP="00446247">
            <w:pPr>
              <w:spacing w:after="0" w:line="240" w:lineRule="auto"/>
              <w:ind w:firstLineChars="100" w:firstLine="180"/>
              <w:rPr>
                <w:rFonts w:eastAsia="Times New Roman" w:cs="Arial"/>
                <w:i/>
                <w:iCs/>
                <w:color w:val="000000"/>
                <w:sz w:val="18"/>
                <w:szCs w:val="18"/>
                <w:lang w:eastAsia="zh-CN"/>
              </w:rPr>
            </w:pPr>
            <w:r w:rsidRPr="00D009F7">
              <w:rPr>
                <w:rFonts w:eastAsia="Times New Roman" w:cs="Arial"/>
                <w:i/>
                <w:iCs/>
                <w:color w:val="000000"/>
                <w:sz w:val="18"/>
                <w:szCs w:val="18"/>
                <w:lang w:eastAsia="zh-CN"/>
              </w:rPr>
              <w:t>Daily Activities</w:t>
            </w:r>
          </w:p>
        </w:tc>
        <w:tc>
          <w:tcPr>
            <w:tcW w:w="1120" w:type="dxa"/>
            <w:shd w:val="clear" w:color="auto" w:fill="auto"/>
            <w:noWrap/>
            <w:hideMark/>
          </w:tcPr>
          <w:p w14:paraId="72E5FA24"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3%</w:t>
            </w:r>
          </w:p>
        </w:tc>
        <w:tc>
          <w:tcPr>
            <w:tcW w:w="1120" w:type="dxa"/>
            <w:shd w:val="clear" w:color="auto" w:fill="auto"/>
            <w:noWrap/>
            <w:hideMark/>
          </w:tcPr>
          <w:p w14:paraId="7BBA3B9F"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4%</w:t>
            </w:r>
          </w:p>
        </w:tc>
        <w:tc>
          <w:tcPr>
            <w:tcW w:w="1120" w:type="dxa"/>
            <w:shd w:val="clear" w:color="auto" w:fill="auto"/>
            <w:noWrap/>
            <w:hideMark/>
          </w:tcPr>
          <w:p w14:paraId="328E4F67"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10%</w:t>
            </w:r>
          </w:p>
        </w:tc>
        <w:tc>
          <w:tcPr>
            <w:tcW w:w="1120" w:type="dxa"/>
            <w:tcBorders>
              <w:right w:val="dotted" w:sz="4" w:space="0" w:color="auto"/>
            </w:tcBorders>
            <w:shd w:val="clear" w:color="auto" w:fill="auto"/>
            <w:noWrap/>
            <w:hideMark/>
          </w:tcPr>
          <w:p w14:paraId="1888FA03"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17%</w:t>
            </w:r>
          </w:p>
        </w:tc>
        <w:tc>
          <w:tcPr>
            <w:tcW w:w="1120" w:type="dxa"/>
            <w:tcBorders>
              <w:top w:val="nil"/>
              <w:left w:val="dotted" w:sz="4" w:space="0" w:color="auto"/>
              <w:bottom w:val="nil"/>
            </w:tcBorders>
            <w:shd w:val="clear" w:color="auto" w:fill="auto"/>
            <w:noWrap/>
            <w:hideMark/>
          </w:tcPr>
          <w:p w14:paraId="59EC0587"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35%</w:t>
            </w:r>
          </w:p>
        </w:tc>
      </w:tr>
      <w:tr w:rsidR="002C11DC" w:rsidRPr="00D009F7" w14:paraId="0BFD922A" w14:textId="77777777" w:rsidTr="00D009F7">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756252CE" w14:textId="77777777" w:rsidR="002C11DC" w:rsidRPr="00D009F7" w:rsidRDefault="002C11DC" w:rsidP="00446247">
            <w:pPr>
              <w:spacing w:after="0" w:line="240" w:lineRule="auto"/>
              <w:ind w:firstLineChars="100" w:firstLine="180"/>
              <w:rPr>
                <w:rFonts w:eastAsia="Times New Roman" w:cs="Arial"/>
                <w:i/>
                <w:iCs/>
                <w:color w:val="000000"/>
                <w:sz w:val="18"/>
                <w:szCs w:val="18"/>
                <w:lang w:eastAsia="zh-CN"/>
              </w:rPr>
            </w:pPr>
            <w:r w:rsidRPr="00D009F7">
              <w:rPr>
                <w:rFonts w:eastAsia="Times New Roman" w:cs="Arial"/>
                <w:i/>
                <w:iCs/>
                <w:color w:val="000000"/>
                <w:sz w:val="18"/>
                <w:szCs w:val="18"/>
                <w:lang w:eastAsia="zh-CN"/>
              </w:rPr>
              <w:t>Social Community Civic</w:t>
            </w:r>
          </w:p>
        </w:tc>
        <w:tc>
          <w:tcPr>
            <w:tcW w:w="1120" w:type="dxa"/>
            <w:noWrap/>
            <w:hideMark/>
          </w:tcPr>
          <w:p w14:paraId="580F9182"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3%</w:t>
            </w:r>
          </w:p>
        </w:tc>
        <w:tc>
          <w:tcPr>
            <w:tcW w:w="1120" w:type="dxa"/>
            <w:noWrap/>
            <w:hideMark/>
          </w:tcPr>
          <w:p w14:paraId="684E1EFC"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3%</w:t>
            </w:r>
          </w:p>
        </w:tc>
        <w:tc>
          <w:tcPr>
            <w:tcW w:w="1120" w:type="dxa"/>
            <w:noWrap/>
            <w:hideMark/>
          </w:tcPr>
          <w:p w14:paraId="1807A5EE"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10%</w:t>
            </w:r>
          </w:p>
        </w:tc>
        <w:tc>
          <w:tcPr>
            <w:tcW w:w="1120" w:type="dxa"/>
            <w:tcBorders>
              <w:right w:val="dotted" w:sz="4" w:space="0" w:color="auto"/>
            </w:tcBorders>
            <w:noWrap/>
            <w:hideMark/>
          </w:tcPr>
          <w:p w14:paraId="78756304"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17%</w:t>
            </w:r>
          </w:p>
        </w:tc>
        <w:tc>
          <w:tcPr>
            <w:tcW w:w="1120" w:type="dxa"/>
            <w:tcBorders>
              <w:top w:val="nil"/>
              <w:left w:val="dotted" w:sz="4" w:space="0" w:color="auto"/>
              <w:bottom w:val="nil"/>
            </w:tcBorders>
            <w:noWrap/>
            <w:hideMark/>
          </w:tcPr>
          <w:p w14:paraId="4A647C33"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39%</w:t>
            </w:r>
          </w:p>
        </w:tc>
      </w:tr>
      <w:tr w:rsidR="002C11DC" w:rsidRPr="00D009F7" w14:paraId="3D143329"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19DCFC5F" w14:textId="77777777" w:rsidR="002C11DC" w:rsidRPr="00D009F7" w:rsidRDefault="002C11DC" w:rsidP="00446247">
            <w:pPr>
              <w:spacing w:after="0" w:line="240" w:lineRule="auto"/>
              <w:ind w:firstLineChars="100" w:firstLine="180"/>
              <w:rPr>
                <w:rFonts w:eastAsia="Times New Roman" w:cs="Arial"/>
                <w:i/>
                <w:iCs/>
                <w:color w:val="000000"/>
                <w:sz w:val="18"/>
                <w:szCs w:val="18"/>
                <w:lang w:eastAsia="zh-CN"/>
              </w:rPr>
            </w:pPr>
            <w:r w:rsidRPr="00D009F7">
              <w:rPr>
                <w:rFonts w:eastAsia="Times New Roman" w:cs="Arial"/>
                <w:i/>
                <w:iCs/>
                <w:color w:val="000000"/>
                <w:sz w:val="18"/>
                <w:szCs w:val="18"/>
                <w:lang w:eastAsia="zh-CN"/>
              </w:rPr>
              <w:t>Transport</w:t>
            </w:r>
          </w:p>
        </w:tc>
        <w:tc>
          <w:tcPr>
            <w:tcW w:w="1120" w:type="dxa"/>
            <w:shd w:val="clear" w:color="auto" w:fill="auto"/>
            <w:noWrap/>
            <w:hideMark/>
          </w:tcPr>
          <w:p w14:paraId="4DCA9B4F"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-6%</w:t>
            </w:r>
          </w:p>
        </w:tc>
        <w:tc>
          <w:tcPr>
            <w:tcW w:w="1120" w:type="dxa"/>
            <w:shd w:val="clear" w:color="auto" w:fill="auto"/>
            <w:noWrap/>
            <w:hideMark/>
          </w:tcPr>
          <w:p w14:paraId="70B4F485"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-4%</w:t>
            </w:r>
          </w:p>
        </w:tc>
        <w:tc>
          <w:tcPr>
            <w:tcW w:w="1120" w:type="dxa"/>
            <w:shd w:val="clear" w:color="auto" w:fill="auto"/>
            <w:noWrap/>
            <w:hideMark/>
          </w:tcPr>
          <w:p w14:paraId="691595D0"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2%</w:t>
            </w:r>
          </w:p>
        </w:tc>
        <w:tc>
          <w:tcPr>
            <w:tcW w:w="1120" w:type="dxa"/>
            <w:tcBorders>
              <w:right w:val="dotted" w:sz="4" w:space="0" w:color="auto"/>
            </w:tcBorders>
            <w:shd w:val="clear" w:color="auto" w:fill="auto"/>
            <w:noWrap/>
            <w:hideMark/>
          </w:tcPr>
          <w:p w14:paraId="7C21445F"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8%</w:t>
            </w:r>
          </w:p>
        </w:tc>
        <w:tc>
          <w:tcPr>
            <w:tcW w:w="1120" w:type="dxa"/>
            <w:tcBorders>
              <w:top w:val="nil"/>
              <w:left w:val="dotted" w:sz="4" w:space="0" w:color="auto"/>
              <w:bottom w:val="nil"/>
            </w:tcBorders>
            <w:shd w:val="clear" w:color="auto" w:fill="auto"/>
            <w:noWrap/>
            <w:hideMark/>
          </w:tcPr>
          <w:p w14:paraId="2348DB5D"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26%</w:t>
            </w:r>
          </w:p>
        </w:tc>
      </w:tr>
      <w:tr w:rsidR="002C11DC" w:rsidRPr="00D009F7" w14:paraId="795714FA" w14:textId="77777777" w:rsidTr="00D009F7">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4AFB8476" w14:textId="77777777" w:rsidR="002C11DC" w:rsidRPr="00D009F7" w:rsidRDefault="002C11DC" w:rsidP="00446247">
            <w:pPr>
              <w:spacing w:after="0" w:line="240" w:lineRule="auto"/>
              <w:ind w:firstLineChars="100" w:firstLine="180"/>
              <w:rPr>
                <w:rFonts w:eastAsia="Times New Roman" w:cs="Arial"/>
                <w:i/>
                <w:iCs/>
                <w:color w:val="000000"/>
                <w:sz w:val="18"/>
                <w:szCs w:val="18"/>
                <w:lang w:eastAsia="zh-CN"/>
              </w:rPr>
            </w:pPr>
            <w:r w:rsidRPr="00D009F7">
              <w:rPr>
                <w:rFonts w:eastAsia="Times New Roman" w:cs="Arial"/>
                <w:i/>
                <w:iCs/>
                <w:color w:val="000000"/>
                <w:sz w:val="18"/>
                <w:szCs w:val="18"/>
                <w:lang w:eastAsia="zh-CN"/>
              </w:rPr>
              <w:t>Consumables</w:t>
            </w:r>
          </w:p>
        </w:tc>
        <w:tc>
          <w:tcPr>
            <w:tcW w:w="1120" w:type="dxa"/>
            <w:noWrap/>
            <w:hideMark/>
          </w:tcPr>
          <w:p w14:paraId="2E15712B"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2%</w:t>
            </w:r>
          </w:p>
        </w:tc>
        <w:tc>
          <w:tcPr>
            <w:tcW w:w="1120" w:type="dxa"/>
            <w:noWrap/>
            <w:hideMark/>
          </w:tcPr>
          <w:p w14:paraId="07A35158"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4%</w:t>
            </w:r>
          </w:p>
        </w:tc>
        <w:tc>
          <w:tcPr>
            <w:tcW w:w="1120" w:type="dxa"/>
            <w:noWrap/>
            <w:hideMark/>
          </w:tcPr>
          <w:p w14:paraId="1F7464D4"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9%</w:t>
            </w:r>
          </w:p>
        </w:tc>
        <w:tc>
          <w:tcPr>
            <w:tcW w:w="1120" w:type="dxa"/>
            <w:tcBorders>
              <w:right w:val="dotted" w:sz="4" w:space="0" w:color="auto"/>
            </w:tcBorders>
            <w:noWrap/>
            <w:hideMark/>
          </w:tcPr>
          <w:p w14:paraId="4F4CD3E9"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14%</w:t>
            </w:r>
          </w:p>
        </w:tc>
        <w:tc>
          <w:tcPr>
            <w:tcW w:w="1120" w:type="dxa"/>
            <w:tcBorders>
              <w:top w:val="nil"/>
              <w:left w:val="dotted" w:sz="4" w:space="0" w:color="auto"/>
              <w:bottom w:val="nil"/>
            </w:tcBorders>
            <w:noWrap/>
            <w:hideMark/>
          </w:tcPr>
          <w:p w14:paraId="516A62A4"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30%</w:t>
            </w:r>
          </w:p>
        </w:tc>
      </w:tr>
      <w:tr w:rsidR="002C11DC" w:rsidRPr="00D009F7" w14:paraId="62F7B451"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1CCCAE23" w14:textId="77777777" w:rsidR="002C11DC" w:rsidRPr="00D009F7" w:rsidRDefault="002C11DC" w:rsidP="00446247">
            <w:pPr>
              <w:spacing w:after="0" w:line="240" w:lineRule="auto"/>
              <w:rPr>
                <w:rFonts w:eastAsia="Times New Roman" w:cs="Arial"/>
                <w:b/>
                <w:bCs/>
                <w:color w:val="000000"/>
                <w:sz w:val="18"/>
                <w:szCs w:val="18"/>
                <w:lang w:eastAsia="zh-CN"/>
              </w:rPr>
            </w:pPr>
            <w:r w:rsidRPr="00D009F7">
              <w:rPr>
                <w:rFonts w:eastAsia="Times New Roman" w:cs="Arial"/>
                <w:b/>
                <w:bCs/>
                <w:color w:val="000000"/>
                <w:sz w:val="18"/>
                <w:szCs w:val="18"/>
                <w:lang w:eastAsia="zh-CN"/>
              </w:rPr>
              <w:t>Capital</w:t>
            </w:r>
          </w:p>
        </w:tc>
        <w:tc>
          <w:tcPr>
            <w:tcW w:w="1120" w:type="dxa"/>
            <w:shd w:val="clear" w:color="auto" w:fill="auto"/>
            <w:noWrap/>
            <w:hideMark/>
          </w:tcPr>
          <w:p w14:paraId="73413D2B"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p>
        </w:tc>
        <w:tc>
          <w:tcPr>
            <w:tcW w:w="1120" w:type="dxa"/>
            <w:shd w:val="clear" w:color="auto" w:fill="auto"/>
            <w:noWrap/>
            <w:hideMark/>
          </w:tcPr>
          <w:p w14:paraId="28D48D43"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p>
        </w:tc>
        <w:tc>
          <w:tcPr>
            <w:tcW w:w="1120" w:type="dxa"/>
            <w:shd w:val="clear" w:color="auto" w:fill="auto"/>
            <w:noWrap/>
            <w:hideMark/>
          </w:tcPr>
          <w:p w14:paraId="7D3C19E1"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p>
        </w:tc>
        <w:tc>
          <w:tcPr>
            <w:tcW w:w="1120" w:type="dxa"/>
            <w:tcBorders>
              <w:right w:val="dotted" w:sz="4" w:space="0" w:color="auto"/>
            </w:tcBorders>
            <w:shd w:val="clear" w:color="auto" w:fill="auto"/>
            <w:noWrap/>
            <w:hideMark/>
          </w:tcPr>
          <w:p w14:paraId="05B9C514"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p>
        </w:tc>
        <w:tc>
          <w:tcPr>
            <w:tcW w:w="1120" w:type="dxa"/>
            <w:tcBorders>
              <w:top w:val="nil"/>
              <w:left w:val="dotted" w:sz="4" w:space="0" w:color="auto"/>
              <w:bottom w:val="nil"/>
            </w:tcBorders>
            <w:shd w:val="clear" w:color="auto" w:fill="auto"/>
            <w:noWrap/>
            <w:hideMark/>
          </w:tcPr>
          <w:p w14:paraId="42CA38F4"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 </w:t>
            </w:r>
          </w:p>
        </w:tc>
      </w:tr>
      <w:tr w:rsidR="002C11DC" w:rsidRPr="00D009F7" w14:paraId="4FC13FCF" w14:textId="77777777" w:rsidTr="00D009F7">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53CD72CC" w14:textId="77777777" w:rsidR="002C11DC" w:rsidRPr="00D009F7" w:rsidRDefault="002C11DC" w:rsidP="00446247">
            <w:pPr>
              <w:spacing w:after="0" w:line="240" w:lineRule="auto"/>
              <w:ind w:firstLineChars="100" w:firstLine="180"/>
              <w:rPr>
                <w:rFonts w:eastAsia="Times New Roman" w:cs="Arial"/>
                <w:i/>
                <w:iCs/>
                <w:color w:val="000000"/>
                <w:sz w:val="18"/>
                <w:szCs w:val="18"/>
                <w:lang w:eastAsia="zh-CN"/>
              </w:rPr>
            </w:pPr>
            <w:r w:rsidRPr="00D009F7">
              <w:rPr>
                <w:rFonts w:eastAsia="Times New Roman" w:cs="Arial"/>
                <w:i/>
                <w:iCs/>
                <w:color w:val="000000"/>
                <w:sz w:val="18"/>
                <w:szCs w:val="18"/>
                <w:lang w:eastAsia="zh-CN"/>
              </w:rPr>
              <w:t>Assistive Technology</w:t>
            </w:r>
          </w:p>
        </w:tc>
        <w:tc>
          <w:tcPr>
            <w:tcW w:w="1120" w:type="dxa"/>
            <w:noWrap/>
            <w:hideMark/>
          </w:tcPr>
          <w:p w14:paraId="0BB9E11E"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8%</w:t>
            </w:r>
          </w:p>
        </w:tc>
        <w:tc>
          <w:tcPr>
            <w:tcW w:w="1120" w:type="dxa"/>
            <w:noWrap/>
            <w:hideMark/>
          </w:tcPr>
          <w:p w14:paraId="74FDE9AD"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9%</w:t>
            </w:r>
          </w:p>
        </w:tc>
        <w:tc>
          <w:tcPr>
            <w:tcW w:w="1120" w:type="dxa"/>
            <w:noWrap/>
            <w:hideMark/>
          </w:tcPr>
          <w:p w14:paraId="4BFA9160"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14%</w:t>
            </w:r>
          </w:p>
        </w:tc>
        <w:tc>
          <w:tcPr>
            <w:tcW w:w="1120" w:type="dxa"/>
            <w:tcBorders>
              <w:right w:val="dotted" w:sz="4" w:space="0" w:color="auto"/>
            </w:tcBorders>
            <w:noWrap/>
            <w:hideMark/>
          </w:tcPr>
          <w:p w14:paraId="66A7EFB5"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20%</w:t>
            </w:r>
          </w:p>
        </w:tc>
        <w:tc>
          <w:tcPr>
            <w:tcW w:w="1120" w:type="dxa"/>
            <w:tcBorders>
              <w:top w:val="nil"/>
              <w:left w:val="dotted" w:sz="4" w:space="0" w:color="auto"/>
              <w:bottom w:val="nil"/>
            </w:tcBorders>
            <w:noWrap/>
            <w:hideMark/>
          </w:tcPr>
          <w:p w14:paraId="53A3D8CE"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35%</w:t>
            </w:r>
          </w:p>
        </w:tc>
      </w:tr>
      <w:tr w:rsidR="002C11DC" w:rsidRPr="00D009F7" w14:paraId="48AD0110"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43B9D465" w14:textId="77777777" w:rsidR="002C11DC" w:rsidRPr="00D009F7" w:rsidRDefault="002C11DC" w:rsidP="00446247">
            <w:pPr>
              <w:spacing w:after="0" w:line="240" w:lineRule="auto"/>
              <w:ind w:firstLineChars="100" w:firstLine="180"/>
              <w:rPr>
                <w:rFonts w:eastAsia="Times New Roman" w:cs="Arial"/>
                <w:i/>
                <w:iCs/>
                <w:color w:val="000000"/>
                <w:sz w:val="18"/>
                <w:szCs w:val="18"/>
                <w:lang w:eastAsia="zh-CN"/>
              </w:rPr>
            </w:pPr>
            <w:r w:rsidRPr="00D009F7">
              <w:rPr>
                <w:rFonts w:eastAsia="Times New Roman" w:cs="Arial"/>
                <w:i/>
                <w:iCs/>
                <w:color w:val="000000"/>
                <w:sz w:val="18"/>
                <w:szCs w:val="18"/>
                <w:lang w:eastAsia="zh-CN"/>
              </w:rPr>
              <w:t>Home Modifications</w:t>
            </w:r>
          </w:p>
        </w:tc>
        <w:tc>
          <w:tcPr>
            <w:tcW w:w="1120" w:type="dxa"/>
            <w:shd w:val="clear" w:color="auto" w:fill="auto"/>
            <w:noWrap/>
            <w:hideMark/>
          </w:tcPr>
          <w:p w14:paraId="4B160B9F"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-5%</w:t>
            </w:r>
          </w:p>
        </w:tc>
        <w:tc>
          <w:tcPr>
            <w:tcW w:w="1120" w:type="dxa"/>
            <w:shd w:val="clear" w:color="auto" w:fill="auto"/>
            <w:noWrap/>
            <w:hideMark/>
          </w:tcPr>
          <w:p w14:paraId="27C89FF1"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-4%</w:t>
            </w:r>
          </w:p>
        </w:tc>
        <w:tc>
          <w:tcPr>
            <w:tcW w:w="1120" w:type="dxa"/>
            <w:shd w:val="clear" w:color="auto" w:fill="auto"/>
            <w:noWrap/>
            <w:hideMark/>
          </w:tcPr>
          <w:p w14:paraId="56AC9779"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w:t>
            </w:r>
          </w:p>
        </w:tc>
        <w:tc>
          <w:tcPr>
            <w:tcW w:w="1120" w:type="dxa"/>
            <w:tcBorders>
              <w:right w:val="dotted" w:sz="4" w:space="0" w:color="auto"/>
            </w:tcBorders>
            <w:shd w:val="clear" w:color="auto" w:fill="auto"/>
            <w:noWrap/>
            <w:hideMark/>
          </w:tcPr>
          <w:p w14:paraId="363BDC44"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5%</w:t>
            </w:r>
          </w:p>
        </w:tc>
        <w:tc>
          <w:tcPr>
            <w:tcW w:w="1120" w:type="dxa"/>
            <w:tcBorders>
              <w:top w:val="nil"/>
              <w:left w:val="dotted" w:sz="4" w:space="0" w:color="auto"/>
              <w:bottom w:val="nil"/>
            </w:tcBorders>
            <w:shd w:val="clear" w:color="auto" w:fill="auto"/>
            <w:noWrap/>
            <w:hideMark/>
          </w:tcPr>
          <w:p w14:paraId="317DF857"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16%</w:t>
            </w:r>
          </w:p>
        </w:tc>
      </w:tr>
      <w:tr w:rsidR="002C11DC" w:rsidRPr="00D009F7" w14:paraId="06DD78C6" w14:textId="77777777" w:rsidTr="00D009F7">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300EAC63" w14:textId="77777777" w:rsidR="002C11DC" w:rsidRPr="00D009F7" w:rsidRDefault="002C11DC" w:rsidP="00446247">
            <w:pPr>
              <w:spacing w:after="0" w:line="240" w:lineRule="auto"/>
              <w:rPr>
                <w:rFonts w:eastAsia="Times New Roman" w:cs="Arial"/>
                <w:b/>
                <w:bCs/>
                <w:color w:val="000000"/>
                <w:sz w:val="18"/>
                <w:szCs w:val="18"/>
                <w:lang w:eastAsia="zh-CN"/>
              </w:rPr>
            </w:pPr>
            <w:r w:rsidRPr="00D009F7">
              <w:rPr>
                <w:rFonts w:eastAsia="Times New Roman" w:cs="Arial"/>
                <w:b/>
                <w:bCs/>
                <w:color w:val="000000"/>
                <w:sz w:val="18"/>
                <w:szCs w:val="18"/>
                <w:lang w:eastAsia="zh-CN"/>
              </w:rPr>
              <w:t>Capacity Building</w:t>
            </w:r>
          </w:p>
        </w:tc>
        <w:tc>
          <w:tcPr>
            <w:tcW w:w="1120" w:type="dxa"/>
            <w:noWrap/>
            <w:hideMark/>
          </w:tcPr>
          <w:p w14:paraId="3DF8292F"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p>
        </w:tc>
        <w:tc>
          <w:tcPr>
            <w:tcW w:w="1120" w:type="dxa"/>
            <w:noWrap/>
            <w:hideMark/>
          </w:tcPr>
          <w:p w14:paraId="7450B408"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1120" w:type="dxa"/>
            <w:noWrap/>
            <w:hideMark/>
          </w:tcPr>
          <w:p w14:paraId="57178D71"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1120" w:type="dxa"/>
            <w:tcBorders>
              <w:right w:val="dotted" w:sz="4" w:space="0" w:color="auto"/>
            </w:tcBorders>
            <w:noWrap/>
            <w:hideMark/>
          </w:tcPr>
          <w:p w14:paraId="3D9A0FAD"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p>
        </w:tc>
        <w:tc>
          <w:tcPr>
            <w:tcW w:w="1120" w:type="dxa"/>
            <w:tcBorders>
              <w:top w:val="nil"/>
              <w:left w:val="dotted" w:sz="4" w:space="0" w:color="auto"/>
              <w:bottom w:val="nil"/>
            </w:tcBorders>
            <w:noWrap/>
            <w:hideMark/>
          </w:tcPr>
          <w:p w14:paraId="5A5841B4"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 </w:t>
            </w:r>
          </w:p>
        </w:tc>
      </w:tr>
      <w:tr w:rsidR="002C11DC" w:rsidRPr="00D009F7" w14:paraId="43DB4FB8"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796F0A5C" w14:textId="77777777" w:rsidR="002C11DC" w:rsidRPr="00D009F7" w:rsidRDefault="002C11DC" w:rsidP="00446247">
            <w:pPr>
              <w:spacing w:after="0" w:line="240" w:lineRule="auto"/>
              <w:ind w:firstLineChars="100" w:firstLine="180"/>
              <w:rPr>
                <w:rFonts w:eastAsia="Times New Roman" w:cs="Arial"/>
                <w:i/>
                <w:iCs/>
                <w:color w:val="000000"/>
                <w:sz w:val="18"/>
                <w:szCs w:val="18"/>
                <w:lang w:eastAsia="zh-CN"/>
              </w:rPr>
            </w:pPr>
            <w:r w:rsidRPr="00D009F7">
              <w:rPr>
                <w:rFonts w:eastAsia="Times New Roman" w:cs="Arial"/>
                <w:i/>
                <w:iCs/>
                <w:color w:val="000000"/>
                <w:sz w:val="18"/>
                <w:szCs w:val="18"/>
                <w:lang w:eastAsia="zh-CN"/>
              </w:rPr>
              <w:t>CB Daily Activities</w:t>
            </w:r>
          </w:p>
        </w:tc>
        <w:tc>
          <w:tcPr>
            <w:tcW w:w="1120" w:type="dxa"/>
            <w:shd w:val="clear" w:color="auto" w:fill="auto"/>
            <w:noWrap/>
            <w:hideMark/>
          </w:tcPr>
          <w:p w14:paraId="33ED61BC"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-8%</w:t>
            </w:r>
          </w:p>
        </w:tc>
        <w:tc>
          <w:tcPr>
            <w:tcW w:w="1120" w:type="dxa"/>
            <w:shd w:val="clear" w:color="auto" w:fill="auto"/>
            <w:noWrap/>
            <w:hideMark/>
          </w:tcPr>
          <w:p w14:paraId="34CB3BF2"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-9%</w:t>
            </w:r>
          </w:p>
        </w:tc>
        <w:tc>
          <w:tcPr>
            <w:tcW w:w="1120" w:type="dxa"/>
            <w:shd w:val="clear" w:color="auto" w:fill="auto"/>
            <w:noWrap/>
            <w:hideMark/>
          </w:tcPr>
          <w:p w14:paraId="73C773CD"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-5%</w:t>
            </w:r>
          </w:p>
        </w:tc>
        <w:tc>
          <w:tcPr>
            <w:tcW w:w="1120" w:type="dxa"/>
            <w:tcBorders>
              <w:right w:val="dotted" w:sz="4" w:space="0" w:color="auto"/>
            </w:tcBorders>
            <w:shd w:val="clear" w:color="auto" w:fill="auto"/>
            <w:noWrap/>
            <w:hideMark/>
          </w:tcPr>
          <w:p w14:paraId="45B264DA"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0%</w:t>
            </w:r>
          </w:p>
        </w:tc>
        <w:tc>
          <w:tcPr>
            <w:tcW w:w="1120" w:type="dxa"/>
            <w:tcBorders>
              <w:top w:val="nil"/>
              <w:left w:val="dotted" w:sz="4" w:space="0" w:color="auto"/>
              <w:bottom w:val="nil"/>
            </w:tcBorders>
            <w:shd w:val="clear" w:color="auto" w:fill="auto"/>
            <w:noWrap/>
            <w:hideMark/>
          </w:tcPr>
          <w:p w14:paraId="67D3CFE4"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17%</w:t>
            </w:r>
          </w:p>
        </w:tc>
      </w:tr>
      <w:tr w:rsidR="002C11DC" w:rsidRPr="00D009F7" w14:paraId="684157BF" w14:textId="77777777" w:rsidTr="00D009F7">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4F8E2347" w14:textId="77777777" w:rsidR="002C11DC" w:rsidRPr="00D009F7" w:rsidRDefault="002C11DC" w:rsidP="00446247">
            <w:pPr>
              <w:spacing w:after="0" w:line="240" w:lineRule="auto"/>
              <w:ind w:firstLineChars="100" w:firstLine="180"/>
              <w:rPr>
                <w:rFonts w:eastAsia="Times New Roman" w:cs="Arial"/>
                <w:i/>
                <w:iCs/>
                <w:color w:val="000000"/>
                <w:sz w:val="18"/>
                <w:szCs w:val="18"/>
                <w:lang w:eastAsia="zh-CN"/>
              </w:rPr>
            </w:pPr>
            <w:r w:rsidRPr="00D009F7">
              <w:rPr>
                <w:rFonts w:eastAsia="Times New Roman" w:cs="Arial"/>
                <w:i/>
                <w:iCs/>
                <w:color w:val="000000"/>
                <w:sz w:val="18"/>
                <w:szCs w:val="18"/>
                <w:lang w:eastAsia="zh-CN"/>
              </w:rPr>
              <w:t>Support Coordination</w:t>
            </w:r>
          </w:p>
        </w:tc>
        <w:tc>
          <w:tcPr>
            <w:tcW w:w="1120" w:type="dxa"/>
            <w:noWrap/>
            <w:hideMark/>
          </w:tcPr>
          <w:p w14:paraId="1AEC480A"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-8%</w:t>
            </w:r>
          </w:p>
        </w:tc>
        <w:tc>
          <w:tcPr>
            <w:tcW w:w="1120" w:type="dxa"/>
            <w:noWrap/>
            <w:hideMark/>
          </w:tcPr>
          <w:p w14:paraId="75947B06"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-9%</w:t>
            </w:r>
          </w:p>
        </w:tc>
        <w:tc>
          <w:tcPr>
            <w:tcW w:w="1120" w:type="dxa"/>
            <w:noWrap/>
            <w:hideMark/>
          </w:tcPr>
          <w:p w14:paraId="5C409BC0"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-3%</w:t>
            </w:r>
          </w:p>
        </w:tc>
        <w:tc>
          <w:tcPr>
            <w:tcW w:w="1120" w:type="dxa"/>
            <w:tcBorders>
              <w:right w:val="dotted" w:sz="4" w:space="0" w:color="auto"/>
            </w:tcBorders>
            <w:noWrap/>
            <w:hideMark/>
          </w:tcPr>
          <w:p w14:paraId="35A3F748"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3%</w:t>
            </w:r>
          </w:p>
        </w:tc>
        <w:tc>
          <w:tcPr>
            <w:tcW w:w="1120" w:type="dxa"/>
            <w:tcBorders>
              <w:top w:val="nil"/>
              <w:left w:val="dotted" w:sz="4" w:space="0" w:color="auto"/>
              <w:bottom w:val="nil"/>
            </w:tcBorders>
            <w:noWrap/>
            <w:hideMark/>
          </w:tcPr>
          <w:p w14:paraId="6E525986"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20%</w:t>
            </w:r>
          </w:p>
        </w:tc>
      </w:tr>
      <w:tr w:rsidR="002C11DC" w:rsidRPr="00D009F7" w14:paraId="403DE3B5"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14:paraId="2DD03426" w14:textId="77777777" w:rsidR="002C11DC" w:rsidRPr="00D009F7" w:rsidRDefault="002C11DC" w:rsidP="00446247">
            <w:pPr>
              <w:spacing w:after="0" w:line="240" w:lineRule="auto"/>
              <w:ind w:firstLineChars="100" w:firstLine="180"/>
              <w:rPr>
                <w:rFonts w:eastAsia="Times New Roman" w:cs="Arial"/>
                <w:i/>
                <w:iCs/>
                <w:color w:val="000000"/>
                <w:sz w:val="18"/>
                <w:szCs w:val="18"/>
                <w:lang w:eastAsia="zh-CN"/>
              </w:rPr>
            </w:pPr>
            <w:r w:rsidRPr="00D009F7">
              <w:rPr>
                <w:rFonts w:eastAsia="Times New Roman" w:cs="Arial"/>
                <w:i/>
                <w:iCs/>
                <w:color w:val="000000"/>
                <w:sz w:val="18"/>
                <w:szCs w:val="18"/>
                <w:lang w:eastAsia="zh-CN"/>
              </w:rPr>
              <w:t>CB Employment</w:t>
            </w:r>
          </w:p>
        </w:tc>
        <w:tc>
          <w:tcPr>
            <w:tcW w:w="1120" w:type="dxa"/>
            <w:shd w:val="clear" w:color="auto" w:fill="auto"/>
            <w:noWrap/>
            <w:hideMark/>
          </w:tcPr>
          <w:p w14:paraId="276D4FA7"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-75%</w:t>
            </w:r>
          </w:p>
        </w:tc>
        <w:tc>
          <w:tcPr>
            <w:tcW w:w="1120" w:type="dxa"/>
            <w:shd w:val="clear" w:color="auto" w:fill="auto"/>
            <w:noWrap/>
            <w:hideMark/>
          </w:tcPr>
          <w:p w14:paraId="279575D6"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-75%</w:t>
            </w:r>
          </w:p>
        </w:tc>
        <w:tc>
          <w:tcPr>
            <w:tcW w:w="1120" w:type="dxa"/>
            <w:shd w:val="clear" w:color="auto" w:fill="auto"/>
            <w:noWrap/>
            <w:hideMark/>
          </w:tcPr>
          <w:p w14:paraId="2BD6671D"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-72%</w:t>
            </w:r>
          </w:p>
        </w:tc>
        <w:tc>
          <w:tcPr>
            <w:tcW w:w="1120" w:type="dxa"/>
            <w:tcBorders>
              <w:right w:val="dotted" w:sz="4" w:space="0" w:color="auto"/>
            </w:tcBorders>
            <w:shd w:val="clear" w:color="auto" w:fill="auto"/>
            <w:noWrap/>
            <w:hideMark/>
          </w:tcPr>
          <w:p w14:paraId="5B3E8B3D"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-70%</w:t>
            </w:r>
          </w:p>
        </w:tc>
        <w:tc>
          <w:tcPr>
            <w:tcW w:w="1120" w:type="dxa"/>
            <w:tcBorders>
              <w:top w:val="nil"/>
              <w:left w:val="dotted" w:sz="4" w:space="0" w:color="auto"/>
              <w:bottom w:val="nil"/>
            </w:tcBorders>
            <w:shd w:val="clear" w:color="auto" w:fill="auto"/>
            <w:noWrap/>
            <w:hideMark/>
          </w:tcPr>
          <w:p w14:paraId="09709CD9"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-60%</w:t>
            </w:r>
          </w:p>
        </w:tc>
      </w:tr>
      <w:tr w:rsidR="002C11DC" w:rsidRPr="00D009F7" w14:paraId="2E7AE181" w14:textId="77777777" w:rsidTr="00D009F7">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noWrap/>
            <w:hideMark/>
          </w:tcPr>
          <w:p w14:paraId="21557D68" w14:textId="77777777" w:rsidR="002C11DC" w:rsidRPr="00D009F7" w:rsidRDefault="002C11DC" w:rsidP="00446247">
            <w:pPr>
              <w:spacing w:after="0" w:line="240" w:lineRule="auto"/>
              <w:ind w:firstLineChars="100" w:firstLine="180"/>
              <w:rPr>
                <w:rFonts w:eastAsia="Times New Roman" w:cs="Arial"/>
                <w:i/>
                <w:iCs/>
                <w:color w:val="000000"/>
                <w:sz w:val="18"/>
                <w:szCs w:val="18"/>
                <w:lang w:eastAsia="zh-CN"/>
              </w:rPr>
            </w:pPr>
            <w:r w:rsidRPr="00D009F7">
              <w:rPr>
                <w:rFonts w:eastAsia="Times New Roman" w:cs="Arial"/>
                <w:i/>
                <w:iCs/>
                <w:color w:val="000000"/>
                <w:sz w:val="18"/>
                <w:szCs w:val="18"/>
                <w:lang w:eastAsia="zh-CN"/>
              </w:rPr>
              <w:t>CB Choice and Control</w:t>
            </w:r>
          </w:p>
        </w:tc>
        <w:tc>
          <w:tcPr>
            <w:tcW w:w="1120" w:type="dxa"/>
            <w:noWrap/>
            <w:hideMark/>
          </w:tcPr>
          <w:p w14:paraId="67B8D2C6"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2%</w:t>
            </w:r>
          </w:p>
        </w:tc>
        <w:tc>
          <w:tcPr>
            <w:tcW w:w="1120" w:type="dxa"/>
            <w:noWrap/>
            <w:hideMark/>
          </w:tcPr>
          <w:p w14:paraId="387AE786"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6%</w:t>
            </w:r>
          </w:p>
        </w:tc>
        <w:tc>
          <w:tcPr>
            <w:tcW w:w="1120" w:type="dxa"/>
            <w:noWrap/>
            <w:hideMark/>
          </w:tcPr>
          <w:p w14:paraId="5E10C13E"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16%</w:t>
            </w:r>
          </w:p>
        </w:tc>
        <w:tc>
          <w:tcPr>
            <w:tcW w:w="1120" w:type="dxa"/>
            <w:tcBorders>
              <w:right w:val="dotted" w:sz="4" w:space="0" w:color="auto"/>
            </w:tcBorders>
            <w:noWrap/>
            <w:hideMark/>
          </w:tcPr>
          <w:p w14:paraId="43D23EE4"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23%</w:t>
            </w:r>
          </w:p>
        </w:tc>
        <w:tc>
          <w:tcPr>
            <w:tcW w:w="1120" w:type="dxa"/>
            <w:tcBorders>
              <w:top w:val="nil"/>
              <w:left w:val="dotted" w:sz="4" w:space="0" w:color="auto"/>
              <w:bottom w:val="nil"/>
            </w:tcBorders>
            <w:noWrap/>
            <w:hideMark/>
          </w:tcPr>
          <w:p w14:paraId="73C382B9"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41%</w:t>
            </w:r>
          </w:p>
        </w:tc>
      </w:tr>
      <w:tr w:rsidR="002C11DC" w:rsidRPr="00D009F7" w14:paraId="0D011B67" w14:textId="77777777" w:rsidTr="0004693C">
        <w:trPr>
          <w:trHeight w:val="301"/>
        </w:trPr>
        <w:tc>
          <w:tcPr>
            <w:cnfStyle w:val="001000000000" w:firstRow="0" w:lastRow="0" w:firstColumn="1" w:lastColumn="0" w:oddVBand="0" w:evenVBand="0" w:oddHBand="0" w:evenHBand="0" w:firstRowFirstColumn="0" w:firstRowLastColumn="0" w:lastRowFirstColumn="0" w:lastRowLastColumn="0"/>
            <w:tcW w:w="2920" w:type="dxa"/>
            <w:tcBorders>
              <w:bottom w:val="single" w:sz="4" w:space="0" w:color="auto"/>
            </w:tcBorders>
            <w:shd w:val="clear" w:color="auto" w:fill="auto"/>
            <w:noWrap/>
            <w:hideMark/>
          </w:tcPr>
          <w:p w14:paraId="3B29D3BA" w14:textId="77777777" w:rsidR="002C11DC" w:rsidRPr="00D009F7" w:rsidRDefault="002C11DC" w:rsidP="00446247">
            <w:pPr>
              <w:spacing w:after="0" w:line="240" w:lineRule="auto"/>
              <w:ind w:firstLineChars="100" w:firstLine="180"/>
              <w:rPr>
                <w:rFonts w:eastAsia="Times New Roman" w:cs="Arial"/>
                <w:i/>
                <w:iCs/>
                <w:color w:val="000000"/>
                <w:sz w:val="18"/>
                <w:szCs w:val="18"/>
                <w:lang w:eastAsia="zh-CN"/>
              </w:rPr>
            </w:pPr>
            <w:r w:rsidRPr="00D009F7">
              <w:rPr>
                <w:rFonts w:eastAsia="Times New Roman" w:cs="Arial"/>
                <w:i/>
                <w:iCs/>
                <w:color w:val="000000"/>
                <w:sz w:val="18"/>
                <w:szCs w:val="18"/>
                <w:lang w:eastAsia="zh-CN"/>
              </w:rPr>
              <w:t>Other CB supports</w:t>
            </w:r>
          </w:p>
        </w:tc>
        <w:tc>
          <w:tcPr>
            <w:tcW w:w="1120" w:type="dxa"/>
            <w:tcBorders>
              <w:bottom w:val="single" w:sz="4" w:space="0" w:color="auto"/>
            </w:tcBorders>
            <w:shd w:val="clear" w:color="auto" w:fill="auto"/>
            <w:noWrap/>
            <w:hideMark/>
          </w:tcPr>
          <w:p w14:paraId="4EAC5372"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10%</w:t>
            </w:r>
          </w:p>
        </w:tc>
        <w:tc>
          <w:tcPr>
            <w:tcW w:w="1120" w:type="dxa"/>
            <w:tcBorders>
              <w:bottom w:val="single" w:sz="4" w:space="0" w:color="auto"/>
            </w:tcBorders>
            <w:shd w:val="clear" w:color="auto" w:fill="auto"/>
            <w:noWrap/>
            <w:hideMark/>
          </w:tcPr>
          <w:p w14:paraId="440A2431"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13%</w:t>
            </w:r>
          </w:p>
        </w:tc>
        <w:tc>
          <w:tcPr>
            <w:tcW w:w="1120" w:type="dxa"/>
            <w:tcBorders>
              <w:bottom w:val="single" w:sz="4" w:space="0" w:color="auto"/>
            </w:tcBorders>
            <w:shd w:val="clear" w:color="auto" w:fill="auto"/>
            <w:noWrap/>
            <w:hideMark/>
          </w:tcPr>
          <w:p w14:paraId="541B353B"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20%</w:t>
            </w:r>
          </w:p>
        </w:tc>
        <w:tc>
          <w:tcPr>
            <w:tcW w:w="1120" w:type="dxa"/>
            <w:tcBorders>
              <w:bottom w:val="single" w:sz="4" w:space="0" w:color="auto"/>
              <w:right w:val="dotted" w:sz="4" w:space="0" w:color="auto"/>
            </w:tcBorders>
            <w:shd w:val="clear" w:color="auto" w:fill="auto"/>
            <w:noWrap/>
            <w:hideMark/>
          </w:tcPr>
          <w:p w14:paraId="32D5F293"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28%</w:t>
            </w:r>
          </w:p>
        </w:tc>
        <w:tc>
          <w:tcPr>
            <w:tcW w:w="1120" w:type="dxa"/>
            <w:tcBorders>
              <w:top w:val="nil"/>
              <w:left w:val="dotted" w:sz="4" w:space="0" w:color="auto"/>
              <w:bottom w:val="single" w:sz="4" w:space="0" w:color="auto"/>
            </w:tcBorders>
            <w:shd w:val="clear" w:color="auto" w:fill="auto"/>
            <w:noWrap/>
            <w:hideMark/>
          </w:tcPr>
          <w:p w14:paraId="54C7B895"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51%</w:t>
            </w:r>
          </w:p>
        </w:tc>
      </w:tr>
      <w:tr w:rsidR="002C11DC" w:rsidRPr="00D009F7" w14:paraId="52013A20" w14:textId="77777777" w:rsidTr="00D71E7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20" w:type="dxa"/>
            <w:tcBorders>
              <w:top w:val="single" w:sz="4" w:space="0" w:color="auto"/>
              <w:bottom w:val="single" w:sz="4" w:space="0" w:color="auto"/>
            </w:tcBorders>
            <w:shd w:val="clear" w:color="auto" w:fill="D4C5D7"/>
            <w:noWrap/>
            <w:hideMark/>
          </w:tcPr>
          <w:p w14:paraId="7E84E7C6" w14:textId="77777777" w:rsidR="002C11DC" w:rsidRPr="00D009F7" w:rsidRDefault="002C11DC" w:rsidP="00446247">
            <w:pPr>
              <w:spacing w:after="0" w:line="240" w:lineRule="auto"/>
              <w:rPr>
                <w:rFonts w:eastAsia="Times New Roman" w:cs="Arial"/>
                <w:b/>
                <w:bCs/>
                <w:color w:val="000000"/>
                <w:sz w:val="18"/>
                <w:szCs w:val="18"/>
                <w:lang w:eastAsia="zh-CN"/>
              </w:rPr>
            </w:pPr>
            <w:r w:rsidRPr="00D009F7">
              <w:rPr>
                <w:rFonts w:eastAsia="Times New Roman" w:cs="Arial"/>
                <w:b/>
                <w:bCs/>
                <w:color w:val="000000"/>
                <w:sz w:val="18"/>
                <w:szCs w:val="18"/>
                <w:lang w:eastAsia="zh-CN"/>
              </w:rPr>
              <w:t>Total</w:t>
            </w:r>
          </w:p>
        </w:tc>
        <w:tc>
          <w:tcPr>
            <w:tcW w:w="1120" w:type="dxa"/>
            <w:tcBorders>
              <w:top w:val="single" w:sz="4" w:space="0" w:color="auto"/>
              <w:bottom w:val="single" w:sz="4" w:space="0" w:color="auto"/>
            </w:tcBorders>
            <w:shd w:val="clear" w:color="auto" w:fill="D4C5D7"/>
            <w:noWrap/>
            <w:hideMark/>
          </w:tcPr>
          <w:p w14:paraId="4BBCA152"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bCs/>
                <w:color w:val="000000"/>
                <w:sz w:val="18"/>
                <w:szCs w:val="18"/>
                <w:lang w:eastAsia="zh-CN"/>
              </w:rPr>
              <w:t>0%</w:t>
            </w:r>
          </w:p>
        </w:tc>
        <w:tc>
          <w:tcPr>
            <w:tcW w:w="1120" w:type="dxa"/>
            <w:tcBorders>
              <w:top w:val="single" w:sz="4" w:space="0" w:color="auto"/>
              <w:bottom w:val="single" w:sz="4" w:space="0" w:color="auto"/>
            </w:tcBorders>
            <w:shd w:val="clear" w:color="auto" w:fill="D4C5D7"/>
            <w:noWrap/>
            <w:hideMark/>
          </w:tcPr>
          <w:p w14:paraId="1E85B383"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bCs/>
                <w:color w:val="000000"/>
                <w:sz w:val="18"/>
                <w:szCs w:val="18"/>
                <w:lang w:eastAsia="zh-CN"/>
              </w:rPr>
              <w:t>0%</w:t>
            </w:r>
          </w:p>
        </w:tc>
        <w:tc>
          <w:tcPr>
            <w:tcW w:w="1120" w:type="dxa"/>
            <w:tcBorders>
              <w:top w:val="single" w:sz="4" w:space="0" w:color="auto"/>
              <w:bottom w:val="single" w:sz="4" w:space="0" w:color="auto"/>
            </w:tcBorders>
            <w:shd w:val="clear" w:color="auto" w:fill="D4C5D7"/>
            <w:noWrap/>
            <w:hideMark/>
          </w:tcPr>
          <w:p w14:paraId="0A447193"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bCs/>
                <w:color w:val="000000"/>
                <w:sz w:val="18"/>
                <w:szCs w:val="18"/>
                <w:lang w:eastAsia="zh-CN"/>
              </w:rPr>
              <w:t>6%</w:t>
            </w:r>
          </w:p>
        </w:tc>
        <w:tc>
          <w:tcPr>
            <w:tcW w:w="1120" w:type="dxa"/>
            <w:tcBorders>
              <w:top w:val="single" w:sz="4" w:space="0" w:color="auto"/>
              <w:bottom w:val="single" w:sz="4" w:space="0" w:color="auto"/>
              <w:right w:val="dotted" w:sz="4" w:space="0" w:color="auto"/>
            </w:tcBorders>
            <w:shd w:val="clear" w:color="auto" w:fill="D4C5D7"/>
            <w:noWrap/>
            <w:hideMark/>
          </w:tcPr>
          <w:p w14:paraId="7EC5C4BA"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bCs/>
                <w:color w:val="000000"/>
                <w:sz w:val="18"/>
                <w:szCs w:val="18"/>
                <w:lang w:eastAsia="zh-CN"/>
              </w:rPr>
              <w:t>13%</w:t>
            </w:r>
          </w:p>
        </w:tc>
        <w:tc>
          <w:tcPr>
            <w:tcW w:w="1120" w:type="dxa"/>
            <w:tcBorders>
              <w:top w:val="single" w:sz="4" w:space="0" w:color="auto"/>
              <w:left w:val="dotted" w:sz="4" w:space="0" w:color="auto"/>
              <w:bottom w:val="single" w:sz="4" w:space="0" w:color="auto"/>
            </w:tcBorders>
            <w:shd w:val="clear" w:color="auto" w:fill="D4C5D7"/>
            <w:noWrap/>
            <w:hideMark/>
          </w:tcPr>
          <w:p w14:paraId="041919D9"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bCs/>
                <w:color w:val="000000"/>
                <w:sz w:val="18"/>
                <w:szCs w:val="18"/>
                <w:lang w:eastAsia="zh-CN"/>
              </w:rPr>
              <w:t>31%</w:t>
            </w:r>
          </w:p>
        </w:tc>
      </w:tr>
    </w:tbl>
    <w:p w14:paraId="141FC27B" w14:textId="77777777" w:rsidR="002C11DC" w:rsidRDefault="002C11DC" w:rsidP="002C11DC">
      <w:pPr>
        <w:spacing w:after="160" w:line="259" w:lineRule="auto"/>
        <w:rPr>
          <w:b/>
          <w:i/>
          <w:color w:val="6B2976"/>
          <w:sz w:val="25"/>
          <w:highlight w:val="yellow"/>
        </w:rPr>
      </w:pPr>
    </w:p>
    <w:p w14:paraId="2174AEE5" w14:textId="77777777" w:rsidR="002C11DC" w:rsidRDefault="002C11DC" w:rsidP="002C11DC">
      <w:pPr>
        <w:spacing w:after="160" w:line="259" w:lineRule="auto"/>
        <w:rPr>
          <w:b/>
          <w:i/>
          <w:color w:val="6B2976"/>
          <w:sz w:val="25"/>
          <w:highlight w:val="yellow"/>
        </w:rPr>
      </w:pPr>
    </w:p>
    <w:p w14:paraId="1466423D" w14:textId="77777777" w:rsidR="002C11DC" w:rsidRDefault="002C11DC" w:rsidP="002C11DC">
      <w:pPr>
        <w:spacing w:after="160" w:line="259" w:lineRule="auto"/>
        <w:rPr>
          <w:b/>
          <w:i/>
          <w:color w:val="6B2976"/>
          <w:sz w:val="25"/>
          <w:highlight w:val="yellow"/>
        </w:rPr>
      </w:pPr>
    </w:p>
    <w:p w14:paraId="3207D6BB" w14:textId="77777777" w:rsidR="002C11DC" w:rsidRPr="00692A0E" w:rsidRDefault="002C11DC">
      <w:pPr>
        <w:pStyle w:val="FSRHeading4"/>
        <w:rPr>
          <w:i/>
        </w:rPr>
      </w:pPr>
      <w:r>
        <w:lastRenderedPageBreak/>
        <w:t>Scheme expenses</w:t>
      </w:r>
      <w:r w:rsidRPr="00692A0E">
        <w:t xml:space="preserve"> as proportion of Gross Domestic Product (GDP)</w:t>
      </w:r>
    </w:p>
    <w:p w14:paraId="71C5A317" w14:textId="77777777" w:rsidR="00E9788C" w:rsidRPr="00D841F8" w:rsidRDefault="00E9788C" w:rsidP="00E9788C">
      <w:pPr>
        <w:pStyle w:val="FSRnormal"/>
        <w:rPr>
          <w:rFonts w:cs="Arial"/>
        </w:rPr>
      </w:pPr>
      <w:r w:rsidRPr="00D841F8">
        <w:t xml:space="preserve">Total Scheme expenses (accrual basis) are estimated to represent </w:t>
      </w:r>
      <w:r>
        <w:t>1.48</w:t>
      </w:r>
      <w:r w:rsidRPr="00D841F8">
        <w:t>% of</w:t>
      </w:r>
      <w:r>
        <w:t xml:space="preserve"> GDP in 2022-23, increasing to 1.93% in 2025-26 and 2.55</w:t>
      </w:r>
      <w:r w:rsidRPr="00D841F8">
        <w:t>% in 2031-32</w:t>
      </w:r>
      <w:r>
        <w:t>. For ages 0 to 64, this is 1.36% of GDP in 2022-23, 1.73% of GDP in 2025-26 and 2.2</w:t>
      </w:r>
      <w:r w:rsidRPr="00D841F8">
        <w:t>2% of GDP in 2031-32. Scheme expenses as a proportion of GDP are projected to be higher than the previous review</w:t>
      </w:r>
      <w:r w:rsidRPr="00D841F8">
        <w:rPr>
          <w:rStyle w:val="FootnoteReference"/>
        </w:rPr>
        <w:footnoteReference w:id="153"/>
      </w:r>
      <w:r w:rsidRPr="00D841F8">
        <w:t xml:space="preserve"> </w:t>
      </w:r>
      <w:r w:rsidR="006563C6">
        <w:t xml:space="preserve">after 2023-24 </w:t>
      </w:r>
      <w:r w:rsidRPr="00D841F8">
        <w:t>(Figure B.</w:t>
      </w:r>
      <w:r w:rsidRPr="00D841F8">
        <w:rPr>
          <w:noProof/>
        </w:rPr>
        <w:t>1</w:t>
      </w:r>
      <w:r w:rsidR="000C3459">
        <w:rPr>
          <w:noProof/>
        </w:rPr>
        <w:t xml:space="preserve"> and B.2</w:t>
      </w:r>
      <w:r w:rsidRPr="00D841F8">
        <w:t>).</w:t>
      </w:r>
      <w:r>
        <w:t xml:space="preserve"> </w:t>
      </w:r>
    </w:p>
    <w:p w14:paraId="460E9D6B" w14:textId="77777777" w:rsidR="000C3459" w:rsidRDefault="002C11DC" w:rsidP="00252EAF">
      <w:pPr>
        <w:pStyle w:val="Figures"/>
        <w:keepNext w:val="0"/>
        <w:spacing w:after="0"/>
      </w:pPr>
      <w:bookmarkStart w:id="424" w:name="_Ref113288115"/>
      <w:r w:rsidRPr="000C3459">
        <w:t xml:space="preserve">Figure </w:t>
      </w:r>
      <w:r w:rsidR="00B5473A" w:rsidRPr="000C3459">
        <w:t>B</w:t>
      </w:r>
      <w:r w:rsidR="00911A3E" w:rsidRPr="000C3459">
        <w:t>.</w:t>
      </w:r>
      <w:fldSimple w:instr=" SEQ Figure \* ARABIC \s 2 ">
        <w:r w:rsidR="00447AA1" w:rsidRPr="000C3459">
          <w:t>1</w:t>
        </w:r>
      </w:fldSimple>
      <w:bookmarkEnd w:id="424"/>
      <w:r w:rsidR="00B63DEA">
        <w:t>:</w:t>
      </w:r>
      <w:r w:rsidRPr="000C3459">
        <w:t xml:space="preserve"> Comparison of Scheme expenses (accrual basis) as a proportion of GDP</w:t>
      </w:r>
      <w:r w:rsidR="00D35BBF">
        <w:t xml:space="preserve"> – all ages</w:t>
      </w:r>
    </w:p>
    <w:p w14:paraId="39B9F9A6" w14:textId="77777777" w:rsidR="00B63DEA" w:rsidRDefault="002C11DC" w:rsidP="000C3459">
      <w:pPr>
        <w:pStyle w:val="Figures"/>
        <w:keepNext w:val="0"/>
        <w:spacing w:after="0"/>
      </w:pPr>
      <w:r w:rsidRPr="00D009F7">
        <w:t xml:space="preserve"> </w:t>
      </w:r>
      <w:r w:rsidR="000C3459">
        <w:rPr>
          <w:noProof/>
          <w:lang w:eastAsia="en-AU"/>
        </w:rPr>
        <w:drawing>
          <wp:inline distT="0" distB="0" distL="0" distR="0" wp14:anchorId="31C9D775" wp14:editId="275B685D">
            <wp:extent cx="5724000" cy="2855304"/>
            <wp:effectExtent l="0" t="0" r="0" b="2540"/>
            <wp:docPr id="21" name="Picture 21" descr="Chart compares scheme expenses (on an accrual basis) as a proportion of GDP.     &#10;For the 2022-23 FY, the proportion is 1.48% for the 2021-22 AFSR and 1.56% for the 2020-21 AFSR. For the 2023-24 FY, the proportion is 1.61% for the 2021-22 AFSR and 1.67% for the 2020-21 AFSR. For the 2024-25 FY, the proportion is 1.77% for the 2021-22 AFSR and 1.74% for the 2020-21 AFSR. For the 2025-26 FY, the proportion is 1.93% for the 2021-22 AFSR and 1.78% for the 2020-21 AFSR. For the 2031-32 FY, the proportion is 2.55% for the 2021-22 AFSR and 2.03% for the 2020-21 AFSR." title="Figure B.1: Comparison of Scheme expenses (accrual basis) as a proportion of GDP - all 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Figure B.1 Comparison of Scheme expenses (accrual basis) as a proportion of GDP - all ages&#10;&#10;The chart compares Scheme expenses for participants at all ages (on an accrual basis) as a proportion of GDP. &#10;For the 2022-23 FY, the proportion is 1.48% for the 2021-22 AFSR and 1.56% for the 2020-21 AFSR.&#1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24000" cy="2855304"/>
                    </a:xfrm>
                    <a:prstGeom prst="rect">
                      <a:avLst/>
                    </a:prstGeom>
                    <a:noFill/>
                  </pic:spPr>
                </pic:pic>
              </a:graphicData>
            </a:graphic>
          </wp:inline>
        </w:drawing>
      </w:r>
    </w:p>
    <w:p w14:paraId="2EAB1EBC" w14:textId="77777777" w:rsidR="00B63DEA" w:rsidRDefault="00B63DEA" w:rsidP="000C3459">
      <w:pPr>
        <w:pStyle w:val="Figures"/>
        <w:keepNext w:val="0"/>
        <w:spacing w:after="0"/>
      </w:pPr>
    </w:p>
    <w:p w14:paraId="75C6EC6F" w14:textId="77777777" w:rsidR="000C3459" w:rsidRDefault="00447AA1" w:rsidP="000C3459">
      <w:pPr>
        <w:pStyle w:val="Figures"/>
        <w:keepNext w:val="0"/>
        <w:spacing w:after="0"/>
      </w:pPr>
      <w:r w:rsidRPr="00D009F7">
        <w:t>Figure B</w:t>
      </w:r>
      <w:r>
        <w:t>.</w:t>
      </w:r>
      <w:fldSimple w:instr=" SEQ Figure \* ARABIC \s 2 ">
        <w:r>
          <w:rPr>
            <w:noProof/>
          </w:rPr>
          <w:t>2</w:t>
        </w:r>
      </w:fldSimple>
      <w:r w:rsidR="00B63DEA">
        <w:rPr>
          <w:noProof/>
        </w:rPr>
        <w:t>:</w:t>
      </w:r>
      <w:r w:rsidRPr="00D009F7">
        <w:t xml:space="preserve"> Comparison of Scheme expenses (accrual basis) as a proportion of GDP</w:t>
      </w:r>
      <w:r w:rsidR="00D35BBF">
        <w:t xml:space="preserve"> – ages 0 to 64</w:t>
      </w:r>
    </w:p>
    <w:p w14:paraId="6B694BDE" w14:textId="77777777" w:rsidR="000C3459" w:rsidRDefault="000C3459" w:rsidP="000C3459">
      <w:pPr>
        <w:pStyle w:val="Figures"/>
        <w:keepNext w:val="0"/>
        <w:spacing w:after="0"/>
      </w:pPr>
    </w:p>
    <w:p w14:paraId="41907311" w14:textId="77777777" w:rsidR="00447AA1" w:rsidRDefault="000C3459" w:rsidP="000C3459">
      <w:pPr>
        <w:pStyle w:val="Figures"/>
        <w:keepNext w:val="0"/>
        <w:spacing w:after="0"/>
      </w:pPr>
      <w:r>
        <w:rPr>
          <w:noProof/>
          <w:lang w:eastAsia="en-AU"/>
        </w:rPr>
        <w:drawing>
          <wp:inline distT="0" distB="0" distL="0" distR="0" wp14:anchorId="78BF8ED9" wp14:editId="67D81D94">
            <wp:extent cx="5724000" cy="2928458"/>
            <wp:effectExtent l="0" t="0" r="0" b="5715"/>
            <wp:docPr id="22" name="Picture 22" descr="Chart compares scheme expenses (on an accrual basis) as a proportion of GDP.     &#10;For the 2022-23 FY, the proportion is 1.36% for the 2021-22 AFSR and 1.44% for the 2020-21 AFSR. For the 2023-24 FY, the proportion is 1.47% for the 2021-22 AFSR and 1.53% for the 2020-21 AFSR. For the 2024-25 FY, the proportion is 1.60% for the 2021-22 AFSR and 1.58% for the 2020-21 AFSR. For the 2025-26 FY, the proportion is 1.73% for the 2021-22 AFSR and 1.60% for the 2020-21 AFSR. For the 2031-32 FY, the proportion is 2.22% for the 2021-22 AFSR and 1.78% for the 2020-21 AFSR.&#10;" title="Figure B.2: Comparison of Scheme expenses (accrual basis) as a proportion of GDP – ages 0 to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Figure B.2 Comparison of Scheme expenses (accrual basis) as a proportion of GDP - ages 0 to 64&#10;&#10;The chart compares Scheme expenses for participants aged 0 to 64 years (on an accrual basis) as a proportion of GDP for participants aged 0 to 64. &#10;For the 2022-23 FY, the proportion is 1.36% for the 2021-22 AFSR and 1.44% for the 2021-22 AFSR.&#1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24000" cy="2928458"/>
                    </a:xfrm>
                    <a:prstGeom prst="rect">
                      <a:avLst/>
                    </a:prstGeom>
                    <a:noFill/>
                  </pic:spPr>
                </pic:pic>
              </a:graphicData>
            </a:graphic>
          </wp:inline>
        </w:drawing>
      </w:r>
    </w:p>
    <w:p w14:paraId="5D9B30E9" w14:textId="77777777" w:rsidR="002C11DC" w:rsidRPr="00B4537D" w:rsidRDefault="002C11DC" w:rsidP="001137BC">
      <w:pPr>
        <w:pStyle w:val="Heading2"/>
        <w:numPr>
          <w:ilvl w:val="0"/>
          <w:numId w:val="0"/>
        </w:numPr>
        <w:ind w:left="2835" w:hanging="2835"/>
      </w:pPr>
      <w:bookmarkStart w:id="425" w:name="_Toc83220868"/>
      <w:bookmarkStart w:id="426" w:name="_Toc85031279"/>
      <w:bookmarkStart w:id="427" w:name="_Toc118460226"/>
      <w:r w:rsidRPr="00B4537D">
        <w:lastRenderedPageBreak/>
        <w:t>Appendix C:</w:t>
      </w:r>
      <w:r w:rsidR="001137BC">
        <w:tab/>
      </w:r>
      <w:bookmarkEnd w:id="425"/>
      <w:r w:rsidRPr="00B4537D">
        <w:t>Reconciliation to previous review</w:t>
      </w:r>
      <w:bookmarkEnd w:id="426"/>
      <w:bookmarkEnd w:id="427"/>
    </w:p>
    <w:p w14:paraId="25B03D67" w14:textId="77777777" w:rsidR="002C11DC" w:rsidRPr="00B4537D" w:rsidRDefault="00D009F7" w:rsidP="002C11DC">
      <w:pPr>
        <w:pStyle w:val="FSRnormal"/>
        <w:rPr>
          <w:b/>
          <w:iCs/>
          <w:color w:val="000000" w:themeColor="text1"/>
          <w:szCs w:val="18"/>
        </w:rPr>
      </w:pPr>
      <w:r w:rsidRPr="00BA61F3">
        <w:t xml:space="preserve">Table </w:t>
      </w:r>
      <w:r>
        <w:t>C.</w:t>
      </w:r>
      <w:r>
        <w:rPr>
          <w:noProof/>
        </w:rPr>
        <w:t>1</w:t>
      </w:r>
      <w:r w:rsidR="002C11DC" w:rsidRPr="00B4537D">
        <w:t xml:space="preserve"> shows the main drivers of movements in participant numbers as well as the total movement from the previous review. </w:t>
      </w:r>
      <w:bookmarkStart w:id="428" w:name="_Ref17119957"/>
    </w:p>
    <w:p w14:paraId="75305B53" w14:textId="77777777" w:rsidR="002C11DC" w:rsidRPr="00BA61F3" w:rsidRDefault="002C11DC" w:rsidP="00D009F7">
      <w:pPr>
        <w:pStyle w:val="Tables"/>
      </w:pPr>
      <w:bookmarkStart w:id="429" w:name="_Ref82778858"/>
      <w:bookmarkStart w:id="430" w:name="_Ref48225628"/>
      <w:r w:rsidRPr="00BA61F3">
        <w:t xml:space="preserve">Table </w:t>
      </w:r>
      <w:r w:rsidR="00B5473A">
        <w:t>C</w:t>
      </w:r>
      <w:r w:rsidR="00A87896">
        <w:t>.</w:t>
      </w:r>
      <w:fldSimple w:instr=" SEQ Table \* ARABIC \s 2 ">
        <w:r w:rsidR="00A87896">
          <w:rPr>
            <w:noProof/>
          </w:rPr>
          <w:t>1</w:t>
        </w:r>
      </w:fldSimple>
      <w:bookmarkEnd w:id="429"/>
      <w:r>
        <w:t>:</w:t>
      </w:r>
      <w:r w:rsidRPr="00BA61F3">
        <w:t xml:space="preserve"> Change in projected participant numbers from previous review (30 June 2021)</w:t>
      </w:r>
    </w:p>
    <w:tbl>
      <w:tblPr>
        <w:tblStyle w:val="FSRtable"/>
        <w:tblW w:w="9596" w:type="dxa"/>
        <w:tblInd w:w="0" w:type="dxa"/>
        <w:tblLayout w:type="fixed"/>
        <w:tblLook w:val="04A0" w:firstRow="1" w:lastRow="0" w:firstColumn="1" w:lastColumn="0" w:noHBand="0" w:noVBand="1"/>
      </w:tblPr>
      <w:tblGrid>
        <w:gridCol w:w="3608"/>
        <w:gridCol w:w="1637"/>
        <w:gridCol w:w="1134"/>
        <w:gridCol w:w="992"/>
        <w:gridCol w:w="1134"/>
        <w:gridCol w:w="1091"/>
      </w:tblGrid>
      <w:tr w:rsidR="00D009F7" w:rsidRPr="00D009F7" w14:paraId="4C9128D8" w14:textId="77777777" w:rsidTr="00F830E6">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608" w:type="dxa"/>
            <w:vMerge w:val="restart"/>
            <w:noWrap/>
            <w:hideMark/>
          </w:tcPr>
          <w:bookmarkEnd w:id="428"/>
          <w:bookmarkEnd w:id="430"/>
          <w:p w14:paraId="5B2C8739" w14:textId="77777777" w:rsidR="00D009F7" w:rsidRPr="00D009F7" w:rsidRDefault="00D009F7" w:rsidP="00446247">
            <w:pPr>
              <w:spacing w:after="0" w:line="240" w:lineRule="auto"/>
              <w:rPr>
                <w:rFonts w:eastAsia="Times New Roman"/>
                <w:bCs/>
                <w:color w:val="FFFFFF"/>
                <w:sz w:val="18"/>
                <w:szCs w:val="18"/>
                <w:lang w:eastAsia="zh-CN"/>
              </w:rPr>
            </w:pPr>
            <w:r w:rsidRPr="00D009F7">
              <w:rPr>
                <w:rFonts w:eastAsia="Times New Roman"/>
                <w:bCs/>
                <w:color w:val="FFFFFF"/>
                <w:sz w:val="18"/>
                <w:szCs w:val="18"/>
                <w:lang w:eastAsia="zh-CN"/>
              </w:rPr>
              <w:t>Change in projected participant numbers</w:t>
            </w:r>
          </w:p>
        </w:tc>
        <w:tc>
          <w:tcPr>
            <w:tcW w:w="5988" w:type="dxa"/>
            <w:gridSpan w:val="5"/>
            <w:tcBorders>
              <w:top w:val="single" w:sz="4" w:space="0" w:color="auto"/>
              <w:bottom w:val="single" w:sz="4" w:space="0" w:color="FFFFFF" w:themeColor="background1"/>
            </w:tcBorders>
            <w:noWrap/>
            <w:hideMark/>
          </w:tcPr>
          <w:p w14:paraId="564C6A26" w14:textId="77777777" w:rsidR="00D009F7" w:rsidRPr="00D009F7" w:rsidRDefault="00D009F7" w:rsidP="0044624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zh-CN"/>
              </w:rPr>
            </w:pPr>
            <w:r w:rsidRPr="00D009F7">
              <w:rPr>
                <w:rFonts w:eastAsia="Times New Roman"/>
                <w:bCs/>
                <w:color w:val="FFFFFF"/>
                <w:sz w:val="18"/>
                <w:szCs w:val="18"/>
                <w:lang w:eastAsia="zh-CN"/>
              </w:rPr>
              <w:t>Projection Year</w:t>
            </w:r>
          </w:p>
        </w:tc>
      </w:tr>
      <w:tr w:rsidR="00B63168" w:rsidRPr="00D009F7" w14:paraId="13C66A08" w14:textId="77777777" w:rsidTr="00B63168">
        <w:trPr>
          <w:cnfStyle w:val="100000000000" w:firstRow="1" w:lastRow="0" w:firstColumn="0" w:lastColumn="0" w:oddVBand="0" w:evenVBand="0" w:oddHBand="0" w:evenHBand="0" w:firstRowFirstColumn="0" w:firstRowLastColumn="0" w:lastRowFirstColumn="0" w:lastRowLastColumn="0"/>
          <w:trHeight w:val="377"/>
          <w:tblHeader/>
        </w:trPr>
        <w:tc>
          <w:tcPr>
            <w:cnfStyle w:val="001000000000" w:firstRow="0" w:lastRow="0" w:firstColumn="1" w:lastColumn="0" w:oddVBand="0" w:evenVBand="0" w:oddHBand="0" w:evenHBand="0" w:firstRowFirstColumn="0" w:firstRowLastColumn="0" w:lastRowFirstColumn="0" w:lastRowLastColumn="0"/>
            <w:tcW w:w="3608" w:type="dxa"/>
            <w:vMerge/>
            <w:tcBorders>
              <w:bottom w:val="nil"/>
            </w:tcBorders>
            <w:hideMark/>
          </w:tcPr>
          <w:p w14:paraId="77D8B5AA" w14:textId="77777777" w:rsidR="00D009F7" w:rsidRPr="00D009F7" w:rsidRDefault="00D009F7" w:rsidP="00446247">
            <w:pPr>
              <w:spacing w:after="0" w:line="240" w:lineRule="auto"/>
              <w:rPr>
                <w:rFonts w:eastAsia="Times New Roman"/>
                <w:b w:val="0"/>
                <w:bCs/>
                <w:color w:val="FFFFFF"/>
                <w:sz w:val="18"/>
                <w:szCs w:val="18"/>
                <w:lang w:eastAsia="zh-CN"/>
              </w:rPr>
            </w:pPr>
          </w:p>
        </w:tc>
        <w:tc>
          <w:tcPr>
            <w:tcW w:w="1637" w:type="dxa"/>
            <w:tcBorders>
              <w:top w:val="single" w:sz="4" w:space="0" w:color="FFFFFF" w:themeColor="background1"/>
              <w:bottom w:val="nil"/>
            </w:tcBorders>
            <w:noWrap/>
            <w:hideMark/>
          </w:tcPr>
          <w:p w14:paraId="4FBE3ABC" w14:textId="77777777" w:rsidR="00D009F7" w:rsidRPr="00191697" w:rsidRDefault="00D009F7"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zh-CN"/>
              </w:rPr>
            </w:pPr>
            <w:r w:rsidRPr="00191697">
              <w:rPr>
                <w:rFonts w:eastAsia="Times New Roman"/>
                <w:bCs/>
                <w:color w:val="FFFFFF"/>
                <w:sz w:val="18"/>
                <w:szCs w:val="18"/>
                <w:lang w:eastAsia="zh-CN"/>
              </w:rPr>
              <w:t>2022-23</w:t>
            </w:r>
          </w:p>
        </w:tc>
        <w:tc>
          <w:tcPr>
            <w:tcW w:w="1134" w:type="dxa"/>
            <w:tcBorders>
              <w:top w:val="single" w:sz="4" w:space="0" w:color="FFFFFF" w:themeColor="background1"/>
              <w:bottom w:val="nil"/>
            </w:tcBorders>
            <w:noWrap/>
            <w:hideMark/>
          </w:tcPr>
          <w:p w14:paraId="4FE0216D" w14:textId="77777777" w:rsidR="00D009F7" w:rsidRPr="00191697" w:rsidRDefault="00D009F7"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zh-CN"/>
              </w:rPr>
            </w:pPr>
            <w:r w:rsidRPr="00191697">
              <w:rPr>
                <w:rFonts w:eastAsia="Times New Roman"/>
                <w:bCs/>
                <w:color w:val="FFFFFF"/>
                <w:sz w:val="18"/>
                <w:szCs w:val="18"/>
                <w:lang w:eastAsia="zh-CN"/>
              </w:rPr>
              <w:t>2023-24</w:t>
            </w:r>
          </w:p>
        </w:tc>
        <w:tc>
          <w:tcPr>
            <w:tcW w:w="992" w:type="dxa"/>
            <w:tcBorders>
              <w:top w:val="single" w:sz="4" w:space="0" w:color="FFFFFF" w:themeColor="background1"/>
              <w:bottom w:val="nil"/>
            </w:tcBorders>
            <w:noWrap/>
            <w:hideMark/>
          </w:tcPr>
          <w:p w14:paraId="646F3859" w14:textId="77777777" w:rsidR="00D009F7" w:rsidRPr="00191697" w:rsidRDefault="00D009F7"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zh-CN"/>
              </w:rPr>
            </w:pPr>
            <w:r w:rsidRPr="00191697">
              <w:rPr>
                <w:rFonts w:eastAsia="Times New Roman"/>
                <w:bCs/>
                <w:color w:val="FFFFFF"/>
                <w:sz w:val="18"/>
                <w:szCs w:val="18"/>
                <w:lang w:eastAsia="zh-CN"/>
              </w:rPr>
              <w:t>2024-25</w:t>
            </w:r>
          </w:p>
        </w:tc>
        <w:tc>
          <w:tcPr>
            <w:tcW w:w="1134" w:type="dxa"/>
            <w:tcBorders>
              <w:top w:val="single" w:sz="4" w:space="0" w:color="FFFFFF" w:themeColor="background1"/>
              <w:bottom w:val="nil"/>
              <w:right w:val="dotted" w:sz="4" w:space="0" w:color="auto"/>
            </w:tcBorders>
            <w:noWrap/>
            <w:hideMark/>
          </w:tcPr>
          <w:p w14:paraId="19D1A1CD" w14:textId="77777777" w:rsidR="00D009F7" w:rsidRPr="00191697" w:rsidRDefault="00D009F7"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zh-CN"/>
              </w:rPr>
            </w:pPr>
            <w:r w:rsidRPr="00191697">
              <w:rPr>
                <w:rFonts w:eastAsia="Times New Roman"/>
                <w:bCs/>
                <w:color w:val="FFFFFF"/>
                <w:sz w:val="18"/>
                <w:szCs w:val="18"/>
                <w:lang w:eastAsia="zh-CN"/>
              </w:rPr>
              <w:t>2025-26</w:t>
            </w:r>
          </w:p>
        </w:tc>
        <w:tc>
          <w:tcPr>
            <w:tcW w:w="1091" w:type="dxa"/>
            <w:tcBorders>
              <w:top w:val="single" w:sz="4" w:space="0" w:color="FFFFFF" w:themeColor="background1"/>
              <w:left w:val="dotted" w:sz="4" w:space="0" w:color="auto"/>
              <w:bottom w:val="nil"/>
            </w:tcBorders>
            <w:noWrap/>
            <w:hideMark/>
          </w:tcPr>
          <w:p w14:paraId="1A38E56E" w14:textId="77777777" w:rsidR="00D009F7" w:rsidRPr="00191697" w:rsidRDefault="00D009F7"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18"/>
                <w:szCs w:val="18"/>
                <w:lang w:eastAsia="zh-CN"/>
              </w:rPr>
            </w:pPr>
            <w:r w:rsidRPr="00191697">
              <w:rPr>
                <w:rFonts w:eastAsia="Times New Roman"/>
                <w:bCs/>
                <w:color w:val="FFFFFF"/>
                <w:sz w:val="18"/>
                <w:szCs w:val="18"/>
                <w:lang w:eastAsia="zh-CN"/>
              </w:rPr>
              <w:t>2031-32</w:t>
            </w:r>
          </w:p>
        </w:tc>
      </w:tr>
      <w:tr w:rsidR="00B63168" w:rsidRPr="00D009F7" w14:paraId="60CF1CC0" w14:textId="77777777" w:rsidTr="00B63168">
        <w:trPr>
          <w:trHeight w:val="301"/>
        </w:trPr>
        <w:tc>
          <w:tcPr>
            <w:cnfStyle w:val="001000000000" w:firstRow="0" w:lastRow="0" w:firstColumn="1" w:lastColumn="0" w:oddVBand="0" w:evenVBand="0" w:oddHBand="0" w:evenHBand="0" w:firstRowFirstColumn="0" w:firstRowLastColumn="0" w:lastRowFirstColumn="0" w:lastRowLastColumn="0"/>
            <w:tcW w:w="3608" w:type="dxa"/>
            <w:tcBorders>
              <w:top w:val="nil"/>
              <w:bottom w:val="nil"/>
            </w:tcBorders>
            <w:shd w:val="clear" w:color="auto" w:fill="auto"/>
            <w:hideMark/>
          </w:tcPr>
          <w:p w14:paraId="3DDE69CE" w14:textId="77777777" w:rsidR="002C11DC" w:rsidRPr="00D009F7" w:rsidRDefault="002C11DC" w:rsidP="00446247">
            <w:pPr>
              <w:spacing w:after="0" w:line="240" w:lineRule="auto"/>
              <w:rPr>
                <w:rFonts w:eastAsia="Times New Roman" w:cs="Arial"/>
                <w:bCs/>
                <w:color w:val="000000"/>
                <w:sz w:val="18"/>
                <w:szCs w:val="18"/>
                <w:lang w:eastAsia="zh-CN"/>
              </w:rPr>
            </w:pPr>
            <w:r w:rsidRPr="00D009F7">
              <w:rPr>
                <w:rFonts w:cs="Arial"/>
                <w:color w:val="000000"/>
                <w:sz w:val="18"/>
                <w:szCs w:val="18"/>
              </w:rPr>
              <w:t>2020-21 AFSR</w:t>
            </w:r>
            <w:r w:rsidRPr="00D009F7">
              <w:rPr>
                <w:rFonts w:cs="Arial"/>
                <w:color w:val="000000"/>
                <w:sz w:val="18"/>
                <w:szCs w:val="18"/>
              </w:rPr>
              <w:br/>
              <w:t>AFSR model as at 30 June 2021</w:t>
            </w:r>
          </w:p>
        </w:tc>
        <w:tc>
          <w:tcPr>
            <w:tcW w:w="1637" w:type="dxa"/>
            <w:tcBorders>
              <w:top w:val="nil"/>
              <w:bottom w:val="nil"/>
            </w:tcBorders>
            <w:shd w:val="clear" w:color="auto" w:fill="auto"/>
            <w:noWrap/>
            <w:hideMark/>
          </w:tcPr>
          <w:p w14:paraId="188DE6D2"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bCs/>
                <w:color w:val="000000"/>
                <w:sz w:val="18"/>
                <w:szCs w:val="18"/>
                <w:lang w:eastAsia="zh-CN"/>
              </w:rPr>
              <w:t>586,433</w:t>
            </w:r>
          </w:p>
        </w:tc>
        <w:tc>
          <w:tcPr>
            <w:tcW w:w="1134" w:type="dxa"/>
            <w:tcBorders>
              <w:top w:val="nil"/>
              <w:bottom w:val="nil"/>
            </w:tcBorders>
            <w:shd w:val="clear" w:color="auto" w:fill="auto"/>
            <w:noWrap/>
            <w:hideMark/>
          </w:tcPr>
          <w:p w14:paraId="16DCB7BF"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color w:val="000000"/>
                <w:sz w:val="18"/>
                <w:szCs w:val="18"/>
                <w:lang w:eastAsia="zh-CN"/>
              </w:rPr>
              <w:t>630,327</w:t>
            </w:r>
          </w:p>
        </w:tc>
        <w:tc>
          <w:tcPr>
            <w:tcW w:w="992" w:type="dxa"/>
            <w:tcBorders>
              <w:top w:val="nil"/>
              <w:bottom w:val="nil"/>
            </w:tcBorders>
            <w:shd w:val="clear" w:color="auto" w:fill="auto"/>
            <w:noWrap/>
            <w:hideMark/>
          </w:tcPr>
          <w:p w14:paraId="2C81C95E"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color w:val="000000"/>
                <w:sz w:val="18"/>
                <w:szCs w:val="18"/>
                <w:lang w:eastAsia="zh-CN"/>
              </w:rPr>
              <w:t>670,400</w:t>
            </w:r>
          </w:p>
        </w:tc>
        <w:tc>
          <w:tcPr>
            <w:tcW w:w="1134" w:type="dxa"/>
            <w:tcBorders>
              <w:top w:val="nil"/>
              <w:bottom w:val="nil"/>
              <w:right w:val="dotted" w:sz="4" w:space="0" w:color="auto"/>
            </w:tcBorders>
            <w:shd w:val="clear" w:color="auto" w:fill="auto"/>
            <w:noWrap/>
            <w:hideMark/>
          </w:tcPr>
          <w:p w14:paraId="0A16F0B8"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color w:val="000000"/>
                <w:sz w:val="18"/>
                <w:szCs w:val="18"/>
                <w:lang w:eastAsia="zh-CN"/>
              </w:rPr>
              <w:t>709,645</w:t>
            </w:r>
          </w:p>
        </w:tc>
        <w:tc>
          <w:tcPr>
            <w:tcW w:w="1091" w:type="dxa"/>
            <w:tcBorders>
              <w:top w:val="nil"/>
              <w:left w:val="dotted" w:sz="4" w:space="0" w:color="auto"/>
              <w:bottom w:val="nil"/>
            </w:tcBorders>
            <w:shd w:val="clear" w:color="auto" w:fill="auto"/>
            <w:noWrap/>
            <w:hideMark/>
          </w:tcPr>
          <w:p w14:paraId="2D1D86F4"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color w:val="000000"/>
                <w:sz w:val="18"/>
                <w:szCs w:val="18"/>
                <w:lang w:eastAsia="zh-CN"/>
              </w:rPr>
              <w:t>931,591</w:t>
            </w:r>
          </w:p>
        </w:tc>
      </w:tr>
      <w:tr w:rsidR="00B63168" w:rsidRPr="00D009F7" w14:paraId="5DC4F550" w14:textId="77777777" w:rsidTr="00B6316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608" w:type="dxa"/>
            <w:tcBorders>
              <w:top w:val="nil"/>
            </w:tcBorders>
            <w:hideMark/>
          </w:tcPr>
          <w:p w14:paraId="048ED0FD" w14:textId="77777777" w:rsidR="002C11DC" w:rsidRPr="00D009F7" w:rsidRDefault="002C11DC" w:rsidP="00446247">
            <w:pPr>
              <w:spacing w:after="0" w:line="240" w:lineRule="auto"/>
              <w:rPr>
                <w:rFonts w:eastAsia="Times New Roman" w:cs="Arial"/>
                <w:bCs/>
                <w:color w:val="000000"/>
                <w:sz w:val="18"/>
                <w:szCs w:val="18"/>
                <w:lang w:eastAsia="zh-CN"/>
              </w:rPr>
            </w:pPr>
            <w:r w:rsidRPr="00D009F7">
              <w:rPr>
                <w:rFonts w:cs="Arial"/>
                <w:color w:val="000000"/>
                <w:sz w:val="18"/>
                <w:szCs w:val="18"/>
              </w:rPr>
              <w:t>a) 2020-21 AFSR, with a year of experience</w:t>
            </w:r>
            <w:r w:rsidRPr="00D009F7">
              <w:rPr>
                <w:rFonts w:cs="Arial"/>
                <w:color w:val="000000"/>
                <w:sz w:val="18"/>
                <w:szCs w:val="18"/>
              </w:rPr>
              <w:br/>
              <w:t>2020-21 AFSR model with 1 July 2021 to 30 June 2022 experience</w:t>
            </w:r>
          </w:p>
        </w:tc>
        <w:tc>
          <w:tcPr>
            <w:tcW w:w="1637" w:type="dxa"/>
            <w:tcBorders>
              <w:top w:val="nil"/>
            </w:tcBorders>
            <w:noWrap/>
            <w:hideMark/>
          </w:tcPr>
          <w:p w14:paraId="75F42836"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+4,504</w:t>
            </w:r>
          </w:p>
        </w:tc>
        <w:tc>
          <w:tcPr>
            <w:tcW w:w="1134" w:type="dxa"/>
            <w:tcBorders>
              <w:top w:val="nil"/>
            </w:tcBorders>
            <w:noWrap/>
            <w:hideMark/>
          </w:tcPr>
          <w:p w14:paraId="32B7A990"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+4,126</w:t>
            </w:r>
          </w:p>
        </w:tc>
        <w:tc>
          <w:tcPr>
            <w:tcW w:w="992" w:type="dxa"/>
            <w:tcBorders>
              <w:top w:val="nil"/>
            </w:tcBorders>
            <w:noWrap/>
            <w:hideMark/>
          </w:tcPr>
          <w:p w14:paraId="4AF0BC39"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+4,070</w:t>
            </w:r>
          </w:p>
        </w:tc>
        <w:tc>
          <w:tcPr>
            <w:tcW w:w="1134" w:type="dxa"/>
            <w:tcBorders>
              <w:top w:val="nil"/>
              <w:right w:val="dotted" w:sz="4" w:space="0" w:color="auto"/>
            </w:tcBorders>
            <w:noWrap/>
            <w:hideMark/>
          </w:tcPr>
          <w:p w14:paraId="1071B86B"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+4,243</w:t>
            </w:r>
          </w:p>
        </w:tc>
        <w:tc>
          <w:tcPr>
            <w:tcW w:w="1091" w:type="dxa"/>
            <w:tcBorders>
              <w:top w:val="nil"/>
              <w:left w:val="dotted" w:sz="4" w:space="0" w:color="auto"/>
              <w:bottom w:val="nil"/>
            </w:tcBorders>
            <w:noWrap/>
            <w:hideMark/>
          </w:tcPr>
          <w:p w14:paraId="75BC8EF3"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+5,011</w:t>
            </w:r>
          </w:p>
        </w:tc>
      </w:tr>
      <w:tr w:rsidR="00B63168" w:rsidRPr="00D009F7" w14:paraId="10155778" w14:textId="77777777" w:rsidTr="00B63168">
        <w:trPr>
          <w:trHeight w:val="301"/>
        </w:trPr>
        <w:tc>
          <w:tcPr>
            <w:cnfStyle w:val="001000000000" w:firstRow="0" w:lastRow="0" w:firstColumn="1" w:lastColumn="0" w:oddVBand="0" w:evenVBand="0" w:oddHBand="0" w:evenHBand="0" w:firstRowFirstColumn="0" w:firstRowLastColumn="0" w:lastRowFirstColumn="0" w:lastRowLastColumn="0"/>
            <w:tcW w:w="3608" w:type="dxa"/>
            <w:shd w:val="clear" w:color="auto" w:fill="auto"/>
            <w:hideMark/>
          </w:tcPr>
          <w:p w14:paraId="6803F3C6" w14:textId="77777777" w:rsidR="002C11DC" w:rsidRPr="00D009F7" w:rsidRDefault="002C11DC" w:rsidP="00446247">
            <w:pPr>
              <w:spacing w:after="0" w:line="240" w:lineRule="auto"/>
              <w:rPr>
                <w:rFonts w:eastAsia="Times New Roman" w:cs="Arial"/>
                <w:bCs/>
                <w:color w:val="000000"/>
                <w:sz w:val="18"/>
                <w:szCs w:val="18"/>
                <w:lang w:eastAsia="zh-CN"/>
              </w:rPr>
            </w:pPr>
            <w:r w:rsidRPr="00D009F7">
              <w:rPr>
                <w:rFonts w:cs="Arial"/>
                <w:color w:val="000000"/>
                <w:sz w:val="18"/>
                <w:szCs w:val="18"/>
              </w:rPr>
              <w:t>b) General population growth</w:t>
            </w:r>
          </w:p>
        </w:tc>
        <w:tc>
          <w:tcPr>
            <w:tcW w:w="1637" w:type="dxa"/>
            <w:shd w:val="clear" w:color="auto" w:fill="auto"/>
            <w:noWrap/>
            <w:hideMark/>
          </w:tcPr>
          <w:p w14:paraId="7AABDA7A"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6B2976"/>
                <w:sz w:val="18"/>
                <w:szCs w:val="18"/>
                <w:lang w:eastAsia="zh-CN"/>
              </w:rPr>
            </w:pPr>
            <w:r w:rsidRPr="00D009F7">
              <w:rPr>
                <w:rFonts w:eastAsia="Times New Roman" w:cs="Arial"/>
                <w:color w:val="6B2976"/>
                <w:sz w:val="18"/>
                <w:szCs w:val="18"/>
                <w:lang w:eastAsia="zh-CN"/>
              </w:rPr>
              <w:t>-</w:t>
            </w:r>
          </w:p>
        </w:tc>
        <w:tc>
          <w:tcPr>
            <w:tcW w:w="1134" w:type="dxa"/>
            <w:shd w:val="clear" w:color="auto" w:fill="auto"/>
            <w:noWrap/>
            <w:hideMark/>
          </w:tcPr>
          <w:p w14:paraId="2DE97B93"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+25</w:t>
            </w:r>
          </w:p>
        </w:tc>
        <w:tc>
          <w:tcPr>
            <w:tcW w:w="992" w:type="dxa"/>
            <w:shd w:val="clear" w:color="auto" w:fill="auto"/>
            <w:noWrap/>
            <w:hideMark/>
          </w:tcPr>
          <w:p w14:paraId="7136769D"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+44</w:t>
            </w:r>
          </w:p>
        </w:tc>
        <w:tc>
          <w:tcPr>
            <w:tcW w:w="1134" w:type="dxa"/>
            <w:tcBorders>
              <w:right w:val="dotted" w:sz="4" w:space="0" w:color="auto"/>
            </w:tcBorders>
            <w:shd w:val="clear" w:color="auto" w:fill="auto"/>
            <w:noWrap/>
            <w:hideMark/>
          </w:tcPr>
          <w:p w14:paraId="5171586D"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+58</w:t>
            </w:r>
          </w:p>
        </w:tc>
        <w:tc>
          <w:tcPr>
            <w:tcW w:w="1091" w:type="dxa"/>
            <w:tcBorders>
              <w:top w:val="nil"/>
              <w:left w:val="dotted" w:sz="4" w:space="0" w:color="auto"/>
              <w:bottom w:val="nil"/>
            </w:tcBorders>
            <w:shd w:val="clear" w:color="auto" w:fill="auto"/>
            <w:noWrap/>
            <w:hideMark/>
          </w:tcPr>
          <w:p w14:paraId="045A1CF3"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w:t>
            </w:r>
            <w:r w:rsidR="001234CE">
              <w:rPr>
                <w:rFonts w:eastAsia="Times New Roman" w:cs="Arial"/>
                <w:color w:val="000000"/>
                <w:sz w:val="18"/>
                <w:szCs w:val="18"/>
                <w:lang w:eastAsia="zh-CN"/>
              </w:rPr>
              <w:t>183</w:t>
            </w:r>
          </w:p>
        </w:tc>
      </w:tr>
      <w:tr w:rsidR="00B63168" w:rsidRPr="00D009F7" w14:paraId="0BB339F3" w14:textId="77777777" w:rsidTr="00B6316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608" w:type="dxa"/>
            <w:hideMark/>
          </w:tcPr>
          <w:p w14:paraId="1DC94B1F" w14:textId="77777777" w:rsidR="002C11DC" w:rsidRPr="00D009F7" w:rsidRDefault="002C11DC" w:rsidP="00446247">
            <w:pPr>
              <w:spacing w:after="0" w:line="240" w:lineRule="auto"/>
              <w:rPr>
                <w:rFonts w:eastAsia="Times New Roman" w:cs="Arial"/>
                <w:bCs/>
                <w:color w:val="000000"/>
                <w:sz w:val="18"/>
                <w:szCs w:val="18"/>
                <w:lang w:eastAsia="zh-CN"/>
              </w:rPr>
            </w:pPr>
            <w:r w:rsidRPr="00D009F7">
              <w:rPr>
                <w:rFonts w:cs="Arial"/>
                <w:color w:val="000000"/>
                <w:sz w:val="18"/>
                <w:szCs w:val="18"/>
              </w:rPr>
              <w:t>c) Updated Australian life table assumptions</w:t>
            </w:r>
          </w:p>
        </w:tc>
        <w:tc>
          <w:tcPr>
            <w:tcW w:w="1637" w:type="dxa"/>
            <w:noWrap/>
            <w:hideMark/>
          </w:tcPr>
          <w:p w14:paraId="4E53A466"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eastAsia="Times New Roman" w:cs="Arial"/>
                <w:sz w:val="18"/>
                <w:szCs w:val="18"/>
                <w:lang w:eastAsia="zh-CN"/>
              </w:rPr>
              <w:t>+156</w:t>
            </w:r>
          </w:p>
        </w:tc>
        <w:tc>
          <w:tcPr>
            <w:tcW w:w="1134" w:type="dxa"/>
            <w:noWrap/>
            <w:hideMark/>
          </w:tcPr>
          <w:p w14:paraId="79D6C979"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+320</w:t>
            </w:r>
          </w:p>
        </w:tc>
        <w:tc>
          <w:tcPr>
            <w:tcW w:w="992" w:type="dxa"/>
            <w:noWrap/>
            <w:hideMark/>
          </w:tcPr>
          <w:p w14:paraId="3FFC20CA"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+487</w:t>
            </w:r>
          </w:p>
        </w:tc>
        <w:tc>
          <w:tcPr>
            <w:tcW w:w="1134" w:type="dxa"/>
            <w:tcBorders>
              <w:right w:val="dotted" w:sz="4" w:space="0" w:color="auto"/>
            </w:tcBorders>
            <w:noWrap/>
            <w:hideMark/>
          </w:tcPr>
          <w:p w14:paraId="4682CCB5"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+657</w:t>
            </w:r>
          </w:p>
        </w:tc>
        <w:tc>
          <w:tcPr>
            <w:tcW w:w="1091" w:type="dxa"/>
            <w:tcBorders>
              <w:top w:val="nil"/>
              <w:left w:val="dotted" w:sz="4" w:space="0" w:color="auto"/>
              <w:bottom w:val="nil"/>
            </w:tcBorders>
            <w:noWrap/>
            <w:hideMark/>
          </w:tcPr>
          <w:p w14:paraId="22F4281A"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F830E6">
              <w:rPr>
                <w:rFonts w:eastAsia="Times New Roman" w:cs="Arial"/>
                <w:color w:val="6B2976"/>
                <w:sz w:val="18"/>
                <w:szCs w:val="18"/>
                <w:lang w:eastAsia="zh-CN"/>
              </w:rPr>
              <w:t>-</w:t>
            </w:r>
            <w:r w:rsidR="001234CE" w:rsidRPr="00F830E6">
              <w:rPr>
                <w:rFonts w:eastAsia="Times New Roman" w:cs="Arial"/>
                <w:color w:val="6B2976"/>
                <w:sz w:val="18"/>
                <w:szCs w:val="18"/>
                <w:lang w:eastAsia="zh-CN"/>
              </w:rPr>
              <w:t>1,733</w:t>
            </w:r>
          </w:p>
        </w:tc>
      </w:tr>
      <w:tr w:rsidR="00B63168" w:rsidRPr="00D009F7" w14:paraId="5151A0D2" w14:textId="77777777" w:rsidTr="00B63168">
        <w:trPr>
          <w:trHeight w:val="301"/>
        </w:trPr>
        <w:tc>
          <w:tcPr>
            <w:cnfStyle w:val="001000000000" w:firstRow="0" w:lastRow="0" w:firstColumn="1" w:lastColumn="0" w:oddVBand="0" w:evenVBand="0" w:oddHBand="0" w:evenHBand="0" w:firstRowFirstColumn="0" w:firstRowLastColumn="0" w:lastRowFirstColumn="0" w:lastRowLastColumn="0"/>
            <w:tcW w:w="3608" w:type="dxa"/>
            <w:shd w:val="clear" w:color="auto" w:fill="auto"/>
            <w:hideMark/>
          </w:tcPr>
          <w:p w14:paraId="75C2E435" w14:textId="77777777" w:rsidR="002C11DC" w:rsidRPr="00D009F7" w:rsidRDefault="002C11DC" w:rsidP="00446247">
            <w:pPr>
              <w:spacing w:after="0" w:line="240" w:lineRule="auto"/>
              <w:rPr>
                <w:rFonts w:eastAsia="Times New Roman" w:cs="Arial"/>
                <w:bCs/>
                <w:color w:val="000000"/>
                <w:sz w:val="18"/>
                <w:szCs w:val="18"/>
                <w:lang w:eastAsia="zh-CN"/>
              </w:rPr>
            </w:pPr>
            <w:r w:rsidRPr="00D009F7">
              <w:rPr>
                <w:rFonts w:cs="Arial"/>
                <w:color w:val="000000"/>
                <w:sz w:val="18"/>
                <w:szCs w:val="18"/>
              </w:rPr>
              <w:t>d) Change in mortality rate assumptions reflecting changes in mix</w:t>
            </w:r>
          </w:p>
        </w:tc>
        <w:tc>
          <w:tcPr>
            <w:tcW w:w="1637" w:type="dxa"/>
            <w:shd w:val="clear" w:color="auto" w:fill="auto"/>
            <w:noWrap/>
            <w:hideMark/>
          </w:tcPr>
          <w:p w14:paraId="50B9C9A7"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6B2976"/>
                <w:sz w:val="18"/>
                <w:szCs w:val="18"/>
                <w:lang w:eastAsia="zh-CN"/>
              </w:rPr>
            </w:pPr>
            <w:r w:rsidRPr="00D009F7">
              <w:rPr>
                <w:rFonts w:eastAsia="Times New Roman" w:cs="Arial"/>
                <w:color w:val="6B2976"/>
                <w:sz w:val="18"/>
                <w:szCs w:val="18"/>
                <w:lang w:eastAsia="zh-CN"/>
              </w:rPr>
              <w:t>-267</w:t>
            </w:r>
          </w:p>
        </w:tc>
        <w:tc>
          <w:tcPr>
            <w:tcW w:w="1134" w:type="dxa"/>
            <w:shd w:val="clear" w:color="auto" w:fill="auto"/>
            <w:noWrap/>
            <w:hideMark/>
          </w:tcPr>
          <w:p w14:paraId="0279E403"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6B2976"/>
                <w:sz w:val="18"/>
                <w:szCs w:val="18"/>
                <w:lang w:eastAsia="zh-CN"/>
              </w:rPr>
            </w:pPr>
            <w:r w:rsidRPr="00D009F7">
              <w:rPr>
                <w:rFonts w:eastAsia="Times New Roman" w:cs="Arial"/>
                <w:color w:val="6B2976"/>
                <w:sz w:val="18"/>
                <w:szCs w:val="18"/>
                <w:lang w:eastAsia="zh-CN"/>
              </w:rPr>
              <w:t>-553</w:t>
            </w:r>
          </w:p>
        </w:tc>
        <w:tc>
          <w:tcPr>
            <w:tcW w:w="992" w:type="dxa"/>
            <w:shd w:val="clear" w:color="auto" w:fill="auto"/>
            <w:noWrap/>
            <w:hideMark/>
          </w:tcPr>
          <w:p w14:paraId="192D007D"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6B2976"/>
                <w:sz w:val="18"/>
                <w:szCs w:val="18"/>
                <w:lang w:eastAsia="zh-CN"/>
              </w:rPr>
            </w:pPr>
            <w:r w:rsidRPr="00D009F7">
              <w:rPr>
                <w:rFonts w:eastAsia="Times New Roman" w:cs="Arial"/>
                <w:color w:val="6B2976"/>
                <w:sz w:val="18"/>
                <w:szCs w:val="18"/>
                <w:lang w:eastAsia="zh-CN"/>
              </w:rPr>
              <w:t>-848</w:t>
            </w:r>
          </w:p>
        </w:tc>
        <w:tc>
          <w:tcPr>
            <w:tcW w:w="1134" w:type="dxa"/>
            <w:tcBorders>
              <w:right w:val="dotted" w:sz="4" w:space="0" w:color="auto"/>
            </w:tcBorders>
            <w:shd w:val="clear" w:color="auto" w:fill="auto"/>
            <w:noWrap/>
            <w:hideMark/>
          </w:tcPr>
          <w:p w14:paraId="6E787421" w14:textId="77777777" w:rsidR="002C11DC" w:rsidRPr="003F2046"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6B2976"/>
                <w:sz w:val="18"/>
                <w:szCs w:val="18"/>
                <w:lang w:eastAsia="zh-CN"/>
              </w:rPr>
            </w:pPr>
            <w:r w:rsidRPr="003F2046">
              <w:rPr>
                <w:rFonts w:eastAsia="Times New Roman" w:cs="Arial"/>
                <w:color w:val="6B2976"/>
                <w:sz w:val="18"/>
                <w:szCs w:val="18"/>
                <w:lang w:eastAsia="zh-CN"/>
              </w:rPr>
              <w:t>-1,150</w:t>
            </w:r>
          </w:p>
        </w:tc>
        <w:tc>
          <w:tcPr>
            <w:tcW w:w="1091" w:type="dxa"/>
            <w:tcBorders>
              <w:top w:val="nil"/>
              <w:left w:val="dotted" w:sz="4" w:space="0" w:color="auto"/>
              <w:bottom w:val="nil"/>
            </w:tcBorders>
            <w:shd w:val="clear" w:color="auto" w:fill="auto"/>
            <w:noWrap/>
            <w:hideMark/>
          </w:tcPr>
          <w:p w14:paraId="1E0C1A17"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w:t>
            </w:r>
            <w:r w:rsidR="001234CE">
              <w:rPr>
                <w:rFonts w:eastAsia="Times New Roman" w:cs="Arial"/>
                <w:color w:val="000000"/>
                <w:sz w:val="18"/>
                <w:szCs w:val="18"/>
                <w:lang w:eastAsia="zh-CN"/>
              </w:rPr>
              <w:t>2,997</w:t>
            </w:r>
          </w:p>
        </w:tc>
      </w:tr>
      <w:tr w:rsidR="00B63168" w:rsidRPr="00D009F7" w14:paraId="6A556BA6" w14:textId="77777777" w:rsidTr="00B6316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608" w:type="dxa"/>
            <w:hideMark/>
          </w:tcPr>
          <w:p w14:paraId="43938888" w14:textId="77777777" w:rsidR="002C11DC" w:rsidRPr="00D009F7" w:rsidRDefault="002C11DC" w:rsidP="00446247">
            <w:pPr>
              <w:spacing w:after="0" w:line="240" w:lineRule="auto"/>
              <w:rPr>
                <w:rFonts w:eastAsia="Times New Roman" w:cs="Arial"/>
                <w:bCs/>
                <w:color w:val="000000"/>
                <w:sz w:val="18"/>
                <w:szCs w:val="18"/>
                <w:lang w:eastAsia="zh-CN"/>
              </w:rPr>
            </w:pPr>
            <w:r w:rsidRPr="00D009F7">
              <w:rPr>
                <w:rFonts w:cs="Arial"/>
                <w:color w:val="000000"/>
                <w:sz w:val="18"/>
                <w:szCs w:val="18"/>
              </w:rPr>
              <w:t xml:space="preserve">e) Revised assumptions reflecting lower </w:t>
            </w:r>
            <w:r w:rsidR="00232E47" w:rsidRPr="00D009F7">
              <w:rPr>
                <w:rFonts w:cs="Arial"/>
                <w:color w:val="000000"/>
                <w:sz w:val="18"/>
                <w:szCs w:val="18"/>
              </w:rPr>
              <w:t>long-term</w:t>
            </w:r>
            <w:r w:rsidRPr="00D009F7">
              <w:rPr>
                <w:rFonts w:cs="Arial"/>
                <w:color w:val="000000"/>
                <w:sz w:val="18"/>
                <w:szCs w:val="18"/>
              </w:rPr>
              <w:t xml:space="preserve"> rates</w:t>
            </w:r>
            <w:r w:rsidRPr="00D009F7">
              <w:rPr>
                <w:rFonts w:cs="Arial"/>
                <w:bCs/>
                <w:color w:val="000000"/>
                <w:sz w:val="18"/>
                <w:szCs w:val="18"/>
              </w:rPr>
              <w:t xml:space="preserve"> of participants leaving the Scheme</w:t>
            </w:r>
          </w:p>
        </w:tc>
        <w:tc>
          <w:tcPr>
            <w:tcW w:w="1637" w:type="dxa"/>
            <w:noWrap/>
            <w:hideMark/>
          </w:tcPr>
          <w:p w14:paraId="0DE9A6FF"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6B2976"/>
                <w:sz w:val="18"/>
                <w:szCs w:val="18"/>
                <w:lang w:eastAsia="zh-CN"/>
              </w:rPr>
            </w:pPr>
            <w:r w:rsidRPr="00D009F7">
              <w:rPr>
                <w:rFonts w:eastAsia="Times New Roman" w:cs="Arial"/>
                <w:color w:val="6B2976"/>
                <w:sz w:val="18"/>
                <w:szCs w:val="18"/>
                <w:lang w:eastAsia="zh-CN"/>
              </w:rPr>
              <w:t>-631</w:t>
            </w:r>
          </w:p>
        </w:tc>
        <w:tc>
          <w:tcPr>
            <w:tcW w:w="1134" w:type="dxa"/>
            <w:noWrap/>
            <w:hideMark/>
          </w:tcPr>
          <w:p w14:paraId="57B83317"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+1,064</w:t>
            </w:r>
          </w:p>
        </w:tc>
        <w:tc>
          <w:tcPr>
            <w:tcW w:w="992" w:type="dxa"/>
            <w:noWrap/>
            <w:hideMark/>
          </w:tcPr>
          <w:p w14:paraId="508CEADF"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+5,197</w:t>
            </w:r>
          </w:p>
        </w:tc>
        <w:tc>
          <w:tcPr>
            <w:tcW w:w="1134" w:type="dxa"/>
            <w:tcBorders>
              <w:right w:val="dotted" w:sz="4" w:space="0" w:color="auto"/>
            </w:tcBorders>
            <w:noWrap/>
            <w:hideMark/>
          </w:tcPr>
          <w:p w14:paraId="491B4DF8"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+9,095</w:t>
            </w:r>
          </w:p>
        </w:tc>
        <w:tc>
          <w:tcPr>
            <w:tcW w:w="1091" w:type="dxa"/>
            <w:tcBorders>
              <w:top w:val="nil"/>
              <w:left w:val="dotted" w:sz="4" w:space="0" w:color="auto"/>
              <w:bottom w:val="nil"/>
            </w:tcBorders>
            <w:noWrap/>
            <w:hideMark/>
          </w:tcPr>
          <w:p w14:paraId="378AFE95"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w:t>
            </w:r>
            <w:r w:rsidR="001234CE">
              <w:rPr>
                <w:rFonts w:eastAsia="Times New Roman" w:cs="Arial"/>
                <w:color w:val="000000"/>
                <w:sz w:val="18"/>
                <w:szCs w:val="18"/>
                <w:lang w:eastAsia="zh-CN"/>
              </w:rPr>
              <w:t>33,634</w:t>
            </w:r>
          </w:p>
        </w:tc>
      </w:tr>
      <w:tr w:rsidR="00B63168" w:rsidRPr="00D009F7" w14:paraId="0B82F862" w14:textId="77777777" w:rsidTr="00B63168">
        <w:trPr>
          <w:trHeight w:val="301"/>
        </w:trPr>
        <w:tc>
          <w:tcPr>
            <w:cnfStyle w:val="001000000000" w:firstRow="0" w:lastRow="0" w:firstColumn="1" w:lastColumn="0" w:oddVBand="0" w:evenVBand="0" w:oddHBand="0" w:evenHBand="0" w:firstRowFirstColumn="0" w:firstRowLastColumn="0" w:lastRowFirstColumn="0" w:lastRowLastColumn="0"/>
            <w:tcW w:w="3608" w:type="dxa"/>
            <w:shd w:val="clear" w:color="auto" w:fill="auto"/>
            <w:hideMark/>
          </w:tcPr>
          <w:p w14:paraId="6A0FB11E" w14:textId="77777777" w:rsidR="002C11DC" w:rsidRPr="00D009F7" w:rsidRDefault="002C11DC" w:rsidP="00446247">
            <w:pPr>
              <w:spacing w:after="0" w:line="240" w:lineRule="auto"/>
              <w:rPr>
                <w:rFonts w:eastAsia="Times New Roman" w:cs="Arial"/>
                <w:bCs/>
                <w:color w:val="000000"/>
                <w:sz w:val="18"/>
                <w:szCs w:val="18"/>
                <w:lang w:eastAsia="zh-CN"/>
              </w:rPr>
            </w:pPr>
            <w:r w:rsidRPr="00D009F7">
              <w:rPr>
                <w:rFonts w:cs="Arial"/>
                <w:color w:val="000000"/>
                <w:sz w:val="18"/>
                <w:szCs w:val="18"/>
              </w:rPr>
              <w:t>f) Increases in new entrant</w:t>
            </w:r>
            <w:r w:rsidRPr="00D009F7">
              <w:rPr>
                <w:rFonts w:cs="Arial"/>
                <w:bCs/>
                <w:color w:val="000000"/>
                <w:sz w:val="18"/>
                <w:szCs w:val="18"/>
              </w:rPr>
              <w:t>s</w:t>
            </w:r>
            <w:r w:rsidRPr="00D009F7">
              <w:rPr>
                <w:rFonts w:cs="Arial"/>
                <w:color w:val="000000"/>
                <w:sz w:val="18"/>
                <w:szCs w:val="18"/>
              </w:rPr>
              <w:t xml:space="preserve"> assumptions </w:t>
            </w:r>
          </w:p>
        </w:tc>
        <w:tc>
          <w:tcPr>
            <w:tcW w:w="1637" w:type="dxa"/>
            <w:shd w:val="clear" w:color="auto" w:fill="auto"/>
            <w:noWrap/>
            <w:hideMark/>
          </w:tcPr>
          <w:p w14:paraId="770AC8BA"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+4,126</w:t>
            </w:r>
          </w:p>
        </w:tc>
        <w:tc>
          <w:tcPr>
            <w:tcW w:w="1134" w:type="dxa"/>
            <w:shd w:val="clear" w:color="auto" w:fill="auto"/>
            <w:noWrap/>
            <w:hideMark/>
          </w:tcPr>
          <w:p w14:paraId="73C378EF"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+8,236</w:t>
            </w:r>
          </w:p>
        </w:tc>
        <w:tc>
          <w:tcPr>
            <w:tcW w:w="992" w:type="dxa"/>
            <w:shd w:val="clear" w:color="auto" w:fill="auto"/>
            <w:noWrap/>
            <w:hideMark/>
          </w:tcPr>
          <w:p w14:paraId="2D036249"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+12,017</w:t>
            </w:r>
          </w:p>
        </w:tc>
        <w:tc>
          <w:tcPr>
            <w:tcW w:w="1134" w:type="dxa"/>
            <w:tcBorders>
              <w:right w:val="dotted" w:sz="4" w:space="0" w:color="auto"/>
            </w:tcBorders>
            <w:shd w:val="clear" w:color="auto" w:fill="auto"/>
            <w:noWrap/>
            <w:hideMark/>
          </w:tcPr>
          <w:p w14:paraId="75DE4EED"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+15,879</w:t>
            </w:r>
          </w:p>
        </w:tc>
        <w:tc>
          <w:tcPr>
            <w:tcW w:w="1091" w:type="dxa"/>
            <w:tcBorders>
              <w:top w:val="nil"/>
              <w:left w:val="dotted" w:sz="4" w:space="0" w:color="auto"/>
              <w:bottom w:val="nil"/>
            </w:tcBorders>
            <w:shd w:val="clear" w:color="auto" w:fill="auto"/>
            <w:noWrap/>
            <w:hideMark/>
          </w:tcPr>
          <w:p w14:paraId="6C86D414"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w:t>
            </w:r>
            <w:r w:rsidR="00F803EB">
              <w:rPr>
                <w:rFonts w:eastAsia="Times New Roman" w:cs="Arial"/>
                <w:color w:val="000000"/>
                <w:sz w:val="18"/>
                <w:szCs w:val="18"/>
                <w:lang w:eastAsia="zh-CN"/>
              </w:rPr>
              <w:t>44,863</w:t>
            </w:r>
          </w:p>
        </w:tc>
      </w:tr>
      <w:tr w:rsidR="00B63168" w:rsidRPr="00D009F7" w14:paraId="43C645C9" w14:textId="77777777" w:rsidTr="00B6316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608" w:type="dxa"/>
            <w:hideMark/>
          </w:tcPr>
          <w:p w14:paraId="3A7F777B" w14:textId="77777777" w:rsidR="002C11DC" w:rsidRPr="00D009F7" w:rsidRDefault="002C11DC" w:rsidP="00446247">
            <w:pPr>
              <w:spacing w:after="0" w:line="240" w:lineRule="auto"/>
              <w:rPr>
                <w:rFonts w:eastAsia="Times New Roman" w:cs="Arial"/>
                <w:bCs/>
                <w:color w:val="000000"/>
                <w:sz w:val="18"/>
                <w:szCs w:val="18"/>
                <w:lang w:eastAsia="zh-CN"/>
              </w:rPr>
            </w:pPr>
            <w:r w:rsidRPr="00D009F7">
              <w:rPr>
                <w:rFonts w:cs="Arial"/>
                <w:color w:val="000000"/>
                <w:sz w:val="18"/>
                <w:szCs w:val="18"/>
              </w:rPr>
              <w:t xml:space="preserve">g) </w:t>
            </w:r>
            <w:r w:rsidRPr="00D009F7">
              <w:rPr>
                <w:rFonts w:cs="Arial"/>
                <w:bCs/>
                <w:color w:val="000000"/>
                <w:sz w:val="18"/>
                <w:szCs w:val="18"/>
              </w:rPr>
              <w:t>Revised assumption of</w:t>
            </w:r>
            <w:r w:rsidRPr="00D009F7">
              <w:rPr>
                <w:rFonts w:cs="Arial"/>
                <w:color w:val="000000"/>
                <w:sz w:val="18"/>
                <w:szCs w:val="18"/>
              </w:rPr>
              <w:t xml:space="preserve"> level of previously unmet needs</w:t>
            </w:r>
          </w:p>
        </w:tc>
        <w:tc>
          <w:tcPr>
            <w:tcW w:w="1637" w:type="dxa"/>
            <w:noWrap/>
            <w:hideMark/>
          </w:tcPr>
          <w:p w14:paraId="47178625"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6B2976"/>
                <w:sz w:val="18"/>
                <w:szCs w:val="18"/>
                <w:lang w:eastAsia="zh-CN"/>
              </w:rPr>
            </w:pPr>
            <w:r w:rsidRPr="00D009F7">
              <w:rPr>
                <w:rFonts w:eastAsia="Times New Roman" w:cs="Arial"/>
                <w:color w:val="6B2976"/>
                <w:sz w:val="18"/>
                <w:szCs w:val="18"/>
                <w:lang w:eastAsia="zh-CN"/>
              </w:rPr>
              <w:t>-2,027</w:t>
            </w:r>
          </w:p>
        </w:tc>
        <w:tc>
          <w:tcPr>
            <w:tcW w:w="1134" w:type="dxa"/>
            <w:noWrap/>
            <w:hideMark/>
          </w:tcPr>
          <w:p w14:paraId="6C8218D3"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+2,436</w:t>
            </w:r>
          </w:p>
        </w:tc>
        <w:tc>
          <w:tcPr>
            <w:tcW w:w="992" w:type="dxa"/>
            <w:noWrap/>
            <w:hideMark/>
          </w:tcPr>
          <w:p w14:paraId="55FF3942"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+2,355</w:t>
            </w:r>
          </w:p>
        </w:tc>
        <w:tc>
          <w:tcPr>
            <w:tcW w:w="1134" w:type="dxa"/>
            <w:tcBorders>
              <w:right w:val="dotted" w:sz="4" w:space="0" w:color="auto"/>
            </w:tcBorders>
            <w:noWrap/>
            <w:hideMark/>
          </w:tcPr>
          <w:p w14:paraId="3B447451"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+2,237</w:t>
            </w:r>
          </w:p>
        </w:tc>
        <w:tc>
          <w:tcPr>
            <w:tcW w:w="1091" w:type="dxa"/>
            <w:tcBorders>
              <w:top w:val="nil"/>
              <w:left w:val="dotted" w:sz="4" w:space="0" w:color="auto"/>
              <w:bottom w:val="nil"/>
            </w:tcBorders>
            <w:noWrap/>
            <w:hideMark/>
          </w:tcPr>
          <w:p w14:paraId="4C2F0B03"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w:t>
            </w:r>
            <w:r w:rsidR="00F803EB">
              <w:rPr>
                <w:rFonts w:eastAsia="Times New Roman" w:cs="Arial"/>
                <w:color w:val="000000"/>
                <w:sz w:val="18"/>
                <w:szCs w:val="18"/>
                <w:lang w:eastAsia="zh-CN"/>
              </w:rPr>
              <w:t>530</w:t>
            </w:r>
          </w:p>
        </w:tc>
      </w:tr>
      <w:tr w:rsidR="00B63168" w:rsidRPr="00D009F7" w14:paraId="2B3616A4" w14:textId="77777777" w:rsidTr="00B63168">
        <w:trPr>
          <w:trHeight w:val="301"/>
        </w:trPr>
        <w:tc>
          <w:tcPr>
            <w:cnfStyle w:val="001000000000" w:firstRow="0" w:lastRow="0" w:firstColumn="1" w:lastColumn="0" w:oddVBand="0" w:evenVBand="0" w:oddHBand="0" w:evenHBand="0" w:firstRowFirstColumn="0" w:firstRowLastColumn="0" w:lastRowFirstColumn="0" w:lastRowLastColumn="0"/>
            <w:tcW w:w="3608" w:type="dxa"/>
            <w:shd w:val="clear" w:color="auto" w:fill="auto"/>
            <w:hideMark/>
          </w:tcPr>
          <w:p w14:paraId="287005BD" w14:textId="77777777" w:rsidR="002C11DC" w:rsidRPr="00D009F7" w:rsidRDefault="002C11DC" w:rsidP="00446247">
            <w:pPr>
              <w:spacing w:after="0" w:line="240" w:lineRule="auto"/>
              <w:rPr>
                <w:rFonts w:eastAsia="Times New Roman" w:cs="Arial"/>
                <w:bCs/>
                <w:color w:val="000000"/>
                <w:sz w:val="18"/>
                <w:szCs w:val="18"/>
                <w:lang w:eastAsia="zh-CN"/>
              </w:rPr>
            </w:pPr>
            <w:r w:rsidRPr="00D009F7">
              <w:rPr>
                <w:rFonts w:cs="Arial"/>
                <w:color w:val="000000"/>
                <w:sz w:val="18"/>
                <w:szCs w:val="18"/>
              </w:rPr>
              <w:t>h) Change in transition assumption</w:t>
            </w:r>
          </w:p>
        </w:tc>
        <w:tc>
          <w:tcPr>
            <w:tcW w:w="1637" w:type="dxa"/>
            <w:tcBorders>
              <w:bottom w:val="nil"/>
            </w:tcBorders>
            <w:shd w:val="clear" w:color="auto" w:fill="auto"/>
            <w:noWrap/>
            <w:hideMark/>
          </w:tcPr>
          <w:p w14:paraId="6C98F5B4"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6B2976"/>
                <w:sz w:val="18"/>
                <w:szCs w:val="18"/>
                <w:lang w:eastAsia="zh-CN"/>
              </w:rPr>
            </w:pPr>
            <w:r w:rsidRPr="00D009F7">
              <w:rPr>
                <w:rFonts w:eastAsia="Times New Roman" w:cs="Arial"/>
                <w:color w:val="6B2976"/>
                <w:sz w:val="18"/>
                <w:szCs w:val="18"/>
                <w:lang w:eastAsia="zh-CN"/>
              </w:rPr>
              <w:t>-</w:t>
            </w:r>
          </w:p>
        </w:tc>
        <w:tc>
          <w:tcPr>
            <w:tcW w:w="1134" w:type="dxa"/>
            <w:tcBorders>
              <w:bottom w:val="nil"/>
            </w:tcBorders>
            <w:shd w:val="clear" w:color="auto" w:fill="auto"/>
            <w:noWrap/>
            <w:hideMark/>
          </w:tcPr>
          <w:p w14:paraId="4316F69F"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+32</w:t>
            </w:r>
          </w:p>
        </w:tc>
        <w:tc>
          <w:tcPr>
            <w:tcW w:w="992" w:type="dxa"/>
            <w:tcBorders>
              <w:bottom w:val="nil"/>
            </w:tcBorders>
            <w:shd w:val="clear" w:color="auto" w:fill="auto"/>
            <w:noWrap/>
            <w:hideMark/>
          </w:tcPr>
          <w:p w14:paraId="630011E5"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+167</w:t>
            </w:r>
          </w:p>
        </w:tc>
        <w:tc>
          <w:tcPr>
            <w:tcW w:w="1134" w:type="dxa"/>
            <w:tcBorders>
              <w:bottom w:val="nil"/>
              <w:right w:val="dotted" w:sz="4" w:space="0" w:color="auto"/>
            </w:tcBorders>
            <w:shd w:val="clear" w:color="auto" w:fill="auto"/>
            <w:noWrap/>
            <w:hideMark/>
          </w:tcPr>
          <w:p w14:paraId="14BB59C2"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+412</w:t>
            </w:r>
          </w:p>
        </w:tc>
        <w:tc>
          <w:tcPr>
            <w:tcW w:w="1091" w:type="dxa"/>
            <w:tcBorders>
              <w:top w:val="nil"/>
              <w:left w:val="dotted" w:sz="4" w:space="0" w:color="auto"/>
              <w:bottom w:val="nil"/>
            </w:tcBorders>
            <w:shd w:val="clear" w:color="auto" w:fill="auto"/>
            <w:noWrap/>
            <w:hideMark/>
          </w:tcPr>
          <w:p w14:paraId="726F199A"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zh-CN"/>
              </w:rPr>
            </w:pPr>
            <w:r w:rsidRPr="00D009F7">
              <w:rPr>
                <w:rFonts w:eastAsia="Times New Roman" w:cs="Arial"/>
                <w:color w:val="000000"/>
                <w:sz w:val="18"/>
                <w:szCs w:val="18"/>
                <w:lang w:eastAsia="zh-CN"/>
              </w:rPr>
              <w:t>+</w:t>
            </w:r>
            <w:r w:rsidR="00F803EB">
              <w:rPr>
                <w:rFonts w:eastAsia="Times New Roman" w:cs="Arial"/>
                <w:color w:val="000000"/>
                <w:sz w:val="18"/>
                <w:szCs w:val="18"/>
                <w:lang w:eastAsia="zh-CN"/>
              </w:rPr>
              <w:t>1,973</w:t>
            </w:r>
          </w:p>
        </w:tc>
      </w:tr>
      <w:tr w:rsidR="00B63168" w:rsidRPr="00D009F7" w14:paraId="5C66E7D0" w14:textId="77777777" w:rsidTr="00B6316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3608" w:type="dxa"/>
            <w:tcBorders>
              <w:bottom w:val="single" w:sz="4" w:space="0" w:color="auto"/>
            </w:tcBorders>
            <w:hideMark/>
          </w:tcPr>
          <w:p w14:paraId="550F686B" w14:textId="77777777" w:rsidR="002C11DC" w:rsidRPr="00D009F7" w:rsidRDefault="002C11DC" w:rsidP="00446247">
            <w:pPr>
              <w:spacing w:after="0" w:line="240" w:lineRule="auto"/>
              <w:rPr>
                <w:rFonts w:eastAsia="Times New Roman" w:cs="Arial"/>
                <w:bCs/>
                <w:color w:val="000000"/>
                <w:sz w:val="18"/>
                <w:szCs w:val="18"/>
                <w:lang w:eastAsia="zh-CN"/>
              </w:rPr>
            </w:pPr>
            <w:r w:rsidRPr="00D009F7">
              <w:rPr>
                <w:rFonts w:cs="Arial"/>
                <w:color w:val="000000"/>
                <w:sz w:val="18"/>
                <w:szCs w:val="18"/>
              </w:rPr>
              <w:t>2021-22 AFSR model</w:t>
            </w:r>
            <w:r w:rsidRPr="00D009F7">
              <w:rPr>
                <w:rFonts w:cs="Arial"/>
                <w:color w:val="000000"/>
                <w:sz w:val="18"/>
                <w:szCs w:val="18"/>
              </w:rPr>
              <w:br/>
              <w:t>Projections based on assumptions in this report</w:t>
            </w:r>
          </w:p>
        </w:tc>
        <w:tc>
          <w:tcPr>
            <w:tcW w:w="1637" w:type="dxa"/>
            <w:tcBorders>
              <w:top w:val="nil"/>
              <w:bottom w:val="single" w:sz="4" w:space="0" w:color="auto"/>
            </w:tcBorders>
            <w:noWrap/>
            <w:hideMark/>
          </w:tcPr>
          <w:p w14:paraId="4B25BEB7"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bCs/>
                <w:color w:val="000000"/>
                <w:sz w:val="18"/>
                <w:szCs w:val="18"/>
                <w:lang w:eastAsia="zh-CN"/>
              </w:rPr>
              <w:t>592,294</w:t>
            </w:r>
          </w:p>
        </w:tc>
        <w:tc>
          <w:tcPr>
            <w:tcW w:w="1134" w:type="dxa"/>
            <w:tcBorders>
              <w:top w:val="nil"/>
              <w:bottom w:val="single" w:sz="4" w:space="0" w:color="auto"/>
            </w:tcBorders>
            <w:noWrap/>
            <w:hideMark/>
          </w:tcPr>
          <w:p w14:paraId="02125743"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color w:val="000000"/>
                <w:sz w:val="18"/>
                <w:szCs w:val="18"/>
                <w:lang w:eastAsia="zh-CN"/>
              </w:rPr>
              <w:t>646,012</w:t>
            </w:r>
          </w:p>
        </w:tc>
        <w:tc>
          <w:tcPr>
            <w:tcW w:w="992" w:type="dxa"/>
            <w:tcBorders>
              <w:top w:val="nil"/>
              <w:bottom w:val="single" w:sz="4" w:space="0" w:color="auto"/>
            </w:tcBorders>
            <w:noWrap/>
            <w:hideMark/>
          </w:tcPr>
          <w:p w14:paraId="14AA6495"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color w:val="000000"/>
                <w:sz w:val="18"/>
                <w:szCs w:val="18"/>
                <w:lang w:eastAsia="zh-CN"/>
              </w:rPr>
              <w:t>693,889</w:t>
            </w:r>
          </w:p>
        </w:tc>
        <w:tc>
          <w:tcPr>
            <w:tcW w:w="1134" w:type="dxa"/>
            <w:tcBorders>
              <w:top w:val="nil"/>
              <w:bottom w:val="single" w:sz="4" w:space="0" w:color="auto"/>
              <w:right w:val="dotted" w:sz="4" w:space="0" w:color="auto"/>
            </w:tcBorders>
            <w:noWrap/>
            <w:hideMark/>
          </w:tcPr>
          <w:p w14:paraId="67E1674B"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color w:val="000000"/>
                <w:sz w:val="18"/>
                <w:szCs w:val="18"/>
                <w:lang w:eastAsia="zh-CN"/>
              </w:rPr>
              <w:t>741,077</w:t>
            </w:r>
          </w:p>
        </w:tc>
        <w:tc>
          <w:tcPr>
            <w:tcW w:w="1091" w:type="dxa"/>
            <w:tcBorders>
              <w:top w:val="nil"/>
              <w:left w:val="dotted" w:sz="4" w:space="0" w:color="auto"/>
              <w:bottom w:val="single" w:sz="4" w:space="0" w:color="auto"/>
            </w:tcBorders>
            <w:noWrap/>
            <w:hideMark/>
          </w:tcPr>
          <w:p w14:paraId="4D449DCF"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color w:val="000000"/>
                <w:sz w:val="18"/>
                <w:szCs w:val="18"/>
                <w:lang w:eastAsia="zh-CN"/>
              </w:rPr>
              <w:t>1,017,522</w:t>
            </w:r>
          </w:p>
        </w:tc>
      </w:tr>
      <w:tr w:rsidR="00B63168" w:rsidRPr="00D009F7" w14:paraId="7B0EF431" w14:textId="77777777" w:rsidTr="00B63168">
        <w:trPr>
          <w:trHeight w:val="301"/>
        </w:trPr>
        <w:tc>
          <w:tcPr>
            <w:cnfStyle w:val="001000000000" w:firstRow="0" w:lastRow="0" w:firstColumn="1" w:lastColumn="0" w:oddVBand="0" w:evenVBand="0" w:oddHBand="0" w:evenHBand="0" w:firstRowFirstColumn="0" w:firstRowLastColumn="0" w:lastRowFirstColumn="0" w:lastRowLastColumn="0"/>
            <w:tcW w:w="3608" w:type="dxa"/>
            <w:tcBorders>
              <w:top w:val="single" w:sz="4" w:space="0" w:color="auto"/>
              <w:bottom w:val="single" w:sz="4" w:space="0" w:color="auto"/>
            </w:tcBorders>
            <w:shd w:val="clear" w:color="auto" w:fill="D4C5D7"/>
            <w:hideMark/>
          </w:tcPr>
          <w:p w14:paraId="72D7F9B1" w14:textId="77777777" w:rsidR="002C11DC" w:rsidRPr="00D009F7" w:rsidRDefault="002C11DC" w:rsidP="00446247">
            <w:pPr>
              <w:spacing w:after="0" w:line="240" w:lineRule="auto"/>
              <w:rPr>
                <w:rFonts w:eastAsia="Times New Roman" w:cs="Arial"/>
                <w:b/>
                <w:bCs/>
                <w:color w:val="000000"/>
                <w:sz w:val="18"/>
                <w:szCs w:val="18"/>
                <w:lang w:eastAsia="zh-CN"/>
              </w:rPr>
            </w:pPr>
            <w:r w:rsidRPr="00D009F7">
              <w:rPr>
                <w:rFonts w:cs="Arial"/>
                <w:b/>
                <w:color w:val="000000"/>
                <w:sz w:val="18"/>
                <w:szCs w:val="18"/>
              </w:rPr>
              <w:t>Total movement from 2020-21 AFSR to 2021-22 AFSR model</w:t>
            </w:r>
          </w:p>
        </w:tc>
        <w:tc>
          <w:tcPr>
            <w:tcW w:w="1637" w:type="dxa"/>
            <w:tcBorders>
              <w:top w:val="single" w:sz="4" w:space="0" w:color="auto"/>
              <w:bottom w:val="single" w:sz="4" w:space="0" w:color="auto"/>
            </w:tcBorders>
            <w:shd w:val="clear" w:color="auto" w:fill="D4C5D7"/>
            <w:hideMark/>
          </w:tcPr>
          <w:p w14:paraId="6292E10D"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bCs/>
                <w:color w:val="000000"/>
                <w:sz w:val="18"/>
                <w:szCs w:val="18"/>
                <w:lang w:eastAsia="zh-CN"/>
              </w:rPr>
              <w:t>+5,861</w:t>
            </w:r>
            <w:r w:rsidRPr="00D009F7">
              <w:rPr>
                <w:rFonts w:eastAsia="Times New Roman" w:cs="Arial"/>
                <w:b/>
                <w:bCs/>
                <w:color w:val="000000"/>
                <w:sz w:val="18"/>
                <w:szCs w:val="18"/>
                <w:lang w:eastAsia="zh-CN"/>
              </w:rPr>
              <w:br/>
              <w:t xml:space="preserve"> (+1.0%)</w:t>
            </w:r>
          </w:p>
        </w:tc>
        <w:tc>
          <w:tcPr>
            <w:tcW w:w="1134" w:type="dxa"/>
            <w:tcBorders>
              <w:top w:val="single" w:sz="4" w:space="0" w:color="auto"/>
              <w:bottom w:val="single" w:sz="4" w:space="0" w:color="auto"/>
            </w:tcBorders>
            <w:shd w:val="clear" w:color="auto" w:fill="D4C5D7"/>
            <w:hideMark/>
          </w:tcPr>
          <w:p w14:paraId="37D0A356"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color w:val="000000"/>
                <w:sz w:val="18"/>
                <w:szCs w:val="18"/>
                <w:lang w:eastAsia="zh-CN"/>
              </w:rPr>
              <w:t>+15,685</w:t>
            </w:r>
            <w:r w:rsidRPr="00D009F7">
              <w:rPr>
                <w:rFonts w:eastAsia="Times New Roman" w:cs="Arial"/>
                <w:b/>
                <w:color w:val="000000"/>
                <w:sz w:val="18"/>
                <w:szCs w:val="18"/>
                <w:lang w:eastAsia="zh-CN"/>
              </w:rPr>
              <w:br/>
              <w:t xml:space="preserve"> (+2.5%)</w:t>
            </w:r>
          </w:p>
        </w:tc>
        <w:tc>
          <w:tcPr>
            <w:tcW w:w="992" w:type="dxa"/>
            <w:tcBorders>
              <w:top w:val="single" w:sz="4" w:space="0" w:color="auto"/>
              <w:bottom w:val="single" w:sz="4" w:space="0" w:color="auto"/>
            </w:tcBorders>
            <w:shd w:val="clear" w:color="auto" w:fill="D4C5D7"/>
            <w:hideMark/>
          </w:tcPr>
          <w:p w14:paraId="5A16FE7F"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color w:val="000000"/>
                <w:sz w:val="18"/>
                <w:szCs w:val="18"/>
                <w:lang w:eastAsia="zh-CN"/>
              </w:rPr>
              <w:t>+23,488</w:t>
            </w:r>
            <w:r w:rsidRPr="00D009F7">
              <w:rPr>
                <w:rFonts w:eastAsia="Times New Roman" w:cs="Arial"/>
                <w:b/>
                <w:color w:val="000000"/>
                <w:sz w:val="18"/>
                <w:szCs w:val="18"/>
                <w:lang w:eastAsia="zh-CN"/>
              </w:rPr>
              <w:br/>
              <w:t xml:space="preserve"> (+3.5%)</w:t>
            </w:r>
          </w:p>
        </w:tc>
        <w:tc>
          <w:tcPr>
            <w:tcW w:w="1134" w:type="dxa"/>
            <w:tcBorders>
              <w:top w:val="single" w:sz="4" w:space="0" w:color="auto"/>
              <w:bottom w:val="single" w:sz="4" w:space="0" w:color="auto"/>
              <w:right w:val="dotted" w:sz="4" w:space="0" w:color="auto"/>
            </w:tcBorders>
            <w:shd w:val="clear" w:color="auto" w:fill="D4C5D7"/>
            <w:hideMark/>
          </w:tcPr>
          <w:p w14:paraId="3F2E2953"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color w:val="000000"/>
                <w:sz w:val="18"/>
                <w:szCs w:val="18"/>
                <w:lang w:eastAsia="zh-CN"/>
              </w:rPr>
              <w:t>+31,432</w:t>
            </w:r>
            <w:r w:rsidRPr="00D009F7">
              <w:rPr>
                <w:rFonts w:eastAsia="Times New Roman" w:cs="Arial"/>
                <w:b/>
                <w:color w:val="000000"/>
                <w:sz w:val="18"/>
                <w:szCs w:val="18"/>
                <w:lang w:eastAsia="zh-CN"/>
              </w:rPr>
              <w:br/>
              <w:t xml:space="preserve"> (+4.4%)</w:t>
            </w:r>
          </w:p>
        </w:tc>
        <w:tc>
          <w:tcPr>
            <w:tcW w:w="1091" w:type="dxa"/>
            <w:tcBorders>
              <w:top w:val="single" w:sz="4" w:space="0" w:color="auto"/>
              <w:left w:val="dotted" w:sz="4" w:space="0" w:color="auto"/>
              <w:bottom w:val="single" w:sz="4" w:space="0" w:color="auto"/>
            </w:tcBorders>
            <w:shd w:val="clear" w:color="auto" w:fill="D4C5D7"/>
            <w:hideMark/>
          </w:tcPr>
          <w:p w14:paraId="68F4312A"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8"/>
                <w:szCs w:val="18"/>
                <w:lang w:eastAsia="zh-CN"/>
              </w:rPr>
            </w:pPr>
            <w:r w:rsidRPr="00D009F7">
              <w:rPr>
                <w:rFonts w:eastAsia="Times New Roman" w:cs="Arial"/>
                <w:b/>
                <w:color w:val="000000"/>
                <w:sz w:val="18"/>
                <w:szCs w:val="18"/>
                <w:lang w:eastAsia="zh-CN"/>
              </w:rPr>
              <w:t>+85,931</w:t>
            </w:r>
            <w:r w:rsidRPr="00D009F7">
              <w:rPr>
                <w:rFonts w:eastAsia="Times New Roman" w:cs="Arial"/>
                <w:b/>
                <w:color w:val="000000"/>
                <w:sz w:val="18"/>
                <w:szCs w:val="18"/>
                <w:lang w:eastAsia="zh-CN"/>
              </w:rPr>
              <w:br/>
              <w:t xml:space="preserve"> (+9.2%)</w:t>
            </w:r>
          </w:p>
        </w:tc>
      </w:tr>
    </w:tbl>
    <w:p w14:paraId="07BAF723" w14:textId="77777777" w:rsidR="002C11DC" w:rsidRPr="000776FC" w:rsidRDefault="002C11DC" w:rsidP="00D009F7">
      <w:pPr>
        <w:pStyle w:val="FSRnormal"/>
      </w:pPr>
      <w:r w:rsidRPr="000776FC">
        <w:t xml:space="preserve">The projected number of participants </w:t>
      </w:r>
      <w:r w:rsidR="00B8575E">
        <w:t xml:space="preserve">at </w:t>
      </w:r>
      <w:r w:rsidRPr="000776FC">
        <w:t xml:space="preserve">30 June 2022 is approximately 5,900 higher than </w:t>
      </w:r>
      <w:r>
        <w:t xml:space="preserve">the </w:t>
      </w:r>
      <w:r w:rsidRPr="000776FC">
        <w:t xml:space="preserve">previous review, mainly driven by the increase rate of new entrants to the </w:t>
      </w:r>
      <w:r>
        <w:t>Scheme</w:t>
      </w:r>
      <w:r w:rsidRPr="000776FC">
        <w:t xml:space="preserve"> and a decrease in the rate at which participants leave the </w:t>
      </w:r>
      <w:r>
        <w:t>Scheme</w:t>
      </w:r>
      <w:r w:rsidRPr="000776FC">
        <w:t xml:space="preserve">. </w:t>
      </w:r>
    </w:p>
    <w:p w14:paraId="2AA7AC98" w14:textId="77777777" w:rsidR="00D009F7" w:rsidRDefault="00D009F7">
      <w:pPr>
        <w:spacing w:after="160" w:line="259" w:lineRule="auto"/>
        <w:rPr>
          <w:u w:val="single"/>
        </w:rPr>
      </w:pPr>
      <w:r>
        <w:rPr>
          <w:u w:val="single"/>
        </w:rPr>
        <w:br w:type="page"/>
      </w:r>
    </w:p>
    <w:p w14:paraId="7D950381" w14:textId="77777777" w:rsidR="002C11DC" w:rsidRPr="00AE7A29" w:rsidRDefault="00D009F7" w:rsidP="00D009F7">
      <w:pPr>
        <w:pStyle w:val="FSRnormal"/>
        <w:rPr>
          <w:b/>
          <w:iCs/>
          <w:color w:val="000000" w:themeColor="text1"/>
          <w:szCs w:val="18"/>
        </w:rPr>
      </w:pPr>
      <w:r w:rsidRPr="00AE7A29">
        <w:lastRenderedPageBreak/>
        <w:t>Table</w:t>
      </w:r>
      <w:r>
        <w:t xml:space="preserve"> C.</w:t>
      </w:r>
      <w:r>
        <w:rPr>
          <w:noProof/>
        </w:rPr>
        <w:t>2</w:t>
      </w:r>
      <w:r w:rsidR="002C11DC" w:rsidRPr="00AE7A29">
        <w:t xml:space="preserve"> shows the main drivers of movements in </w:t>
      </w:r>
      <w:r w:rsidR="002C11DC">
        <w:t>Scheme expenses</w:t>
      </w:r>
      <w:r w:rsidR="002C11DC" w:rsidRPr="00AE7A29">
        <w:t xml:space="preserve"> as well as the total movement from the previous review. </w:t>
      </w:r>
      <w:bookmarkStart w:id="431" w:name="_Ref17120259"/>
    </w:p>
    <w:p w14:paraId="58B46638" w14:textId="77777777" w:rsidR="002C11DC" w:rsidRPr="00AE7A29" w:rsidRDefault="002C11DC" w:rsidP="00D009F7">
      <w:pPr>
        <w:pStyle w:val="Tables"/>
      </w:pPr>
      <w:bookmarkStart w:id="432" w:name="_Ref80714631"/>
      <w:bookmarkStart w:id="433" w:name="_Ref113288382"/>
      <w:r w:rsidRPr="00AE7A29">
        <w:t>Table</w:t>
      </w:r>
      <w:r w:rsidR="00B5473A">
        <w:t xml:space="preserve"> C</w:t>
      </w:r>
      <w:r w:rsidR="00994C5F">
        <w:t>.</w:t>
      </w:r>
      <w:fldSimple w:instr=" SEQ Table \* ARABIC \s 2 ">
        <w:r w:rsidR="00A87896">
          <w:rPr>
            <w:noProof/>
          </w:rPr>
          <w:t>2</w:t>
        </w:r>
      </w:fldSimple>
      <w:bookmarkEnd w:id="431"/>
      <w:bookmarkEnd w:id="432"/>
      <w:bookmarkEnd w:id="433"/>
      <w:r>
        <w:t>:</w:t>
      </w:r>
      <w:r w:rsidRPr="00AE7A29">
        <w:t xml:space="preserve"> Change in projected </w:t>
      </w:r>
      <w:r>
        <w:t>Scheme expenses</w:t>
      </w:r>
      <w:r w:rsidRPr="00AE7A29">
        <w:t xml:space="preserve"> (cash basis) from previous review (30 June 2021)</w:t>
      </w:r>
    </w:p>
    <w:tbl>
      <w:tblPr>
        <w:tblStyle w:val="FSRtable"/>
        <w:tblW w:w="9067" w:type="dxa"/>
        <w:tblInd w:w="5" w:type="dxa"/>
        <w:tblLayout w:type="fixed"/>
        <w:tblLook w:val="04A0" w:firstRow="1" w:lastRow="0" w:firstColumn="1" w:lastColumn="0" w:noHBand="0" w:noVBand="1"/>
      </w:tblPr>
      <w:tblGrid>
        <w:gridCol w:w="4106"/>
        <w:gridCol w:w="992"/>
        <w:gridCol w:w="993"/>
        <w:gridCol w:w="992"/>
        <w:gridCol w:w="992"/>
        <w:gridCol w:w="992"/>
      </w:tblGrid>
      <w:tr w:rsidR="002C11DC" w:rsidRPr="00D009F7" w14:paraId="51299A02" w14:textId="77777777" w:rsidTr="00BD61C9">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4106" w:type="dxa"/>
            <w:vMerge w:val="restart"/>
            <w:hideMark/>
          </w:tcPr>
          <w:p w14:paraId="1BC26403" w14:textId="77777777" w:rsidR="002C11DC" w:rsidRPr="00D009F7" w:rsidRDefault="002C11DC" w:rsidP="002522F2">
            <w:pPr>
              <w:spacing w:after="0" w:line="240" w:lineRule="auto"/>
              <w:rPr>
                <w:rFonts w:eastAsia="Times New Roman"/>
                <w:color w:val="FFFFFF"/>
                <w:sz w:val="18"/>
                <w:szCs w:val="18"/>
                <w:lang w:eastAsia="zh-CN"/>
              </w:rPr>
            </w:pPr>
            <w:r w:rsidRPr="00D009F7">
              <w:rPr>
                <w:rFonts w:eastAsia="Times New Roman"/>
                <w:color w:val="FFFFFF"/>
                <w:sz w:val="18"/>
                <w:szCs w:val="18"/>
                <w:lang w:eastAsia="zh-CN"/>
              </w:rPr>
              <w:t>Change in projected scheme expenses (cash basis)</w:t>
            </w:r>
          </w:p>
        </w:tc>
        <w:tc>
          <w:tcPr>
            <w:tcW w:w="4961" w:type="dxa"/>
            <w:gridSpan w:val="5"/>
            <w:tcBorders>
              <w:top w:val="single" w:sz="4" w:space="0" w:color="auto"/>
              <w:bottom w:val="single" w:sz="4" w:space="0" w:color="FFFFFF" w:themeColor="background1"/>
            </w:tcBorders>
            <w:noWrap/>
            <w:hideMark/>
          </w:tcPr>
          <w:p w14:paraId="0B838FA0" w14:textId="77777777" w:rsidR="002C11DC" w:rsidRPr="00D009F7" w:rsidRDefault="002C11DC" w:rsidP="00D009F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lang w:eastAsia="zh-CN"/>
              </w:rPr>
            </w:pPr>
            <w:r w:rsidRPr="00D009F7">
              <w:rPr>
                <w:rFonts w:eastAsia="Times New Roman"/>
                <w:color w:val="FFFFFF"/>
                <w:sz w:val="18"/>
                <w:szCs w:val="18"/>
                <w:lang w:eastAsia="zh-CN"/>
              </w:rPr>
              <w:t>Projection Year</w:t>
            </w:r>
          </w:p>
        </w:tc>
      </w:tr>
      <w:tr w:rsidR="002C11DC" w:rsidRPr="00D009F7" w14:paraId="04866EE2" w14:textId="77777777" w:rsidTr="00BD61C9">
        <w:trPr>
          <w:cnfStyle w:val="100000000000" w:firstRow="1" w:lastRow="0" w:firstColumn="0" w:lastColumn="0" w:oddVBand="0" w:evenVBand="0" w:oddHBand="0" w:evenHBand="0" w:firstRowFirstColumn="0" w:firstRowLastColumn="0" w:lastRowFirstColumn="0" w:lastRowLastColumn="0"/>
          <w:trHeight w:val="414"/>
          <w:tblHeader/>
        </w:trPr>
        <w:tc>
          <w:tcPr>
            <w:cnfStyle w:val="001000000000" w:firstRow="0" w:lastRow="0" w:firstColumn="1" w:lastColumn="0" w:oddVBand="0" w:evenVBand="0" w:oddHBand="0" w:evenHBand="0" w:firstRowFirstColumn="0" w:firstRowLastColumn="0" w:lastRowFirstColumn="0" w:lastRowLastColumn="0"/>
            <w:tcW w:w="4106" w:type="dxa"/>
            <w:vMerge/>
            <w:hideMark/>
          </w:tcPr>
          <w:p w14:paraId="440610FF" w14:textId="77777777" w:rsidR="002C11DC" w:rsidRPr="00D009F7" w:rsidRDefault="002C11DC" w:rsidP="002522F2">
            <w:pPr>
              <w:spacing w:after="0" w:line="240" w:lineRule="auto"/>
              <w:rPr>
                <w:rFonts w:eastAsia="Times New Roman"/>
                <w:b w:val="0"/>
                <w:color w:val="FFFFFF"/>
                <w:sz w:val="18"/>
                <w:szCs w:val="18"/>
                <w:lang w:eastAsia="zh-CN"/>
              </w:rPr>
            </w:pPr>
          </w:p>
        </w:tc>
        <w:tc>
          <w:tcPr>
            <w:tcW w:w="992" w:type="dxa"/>
            <w:tcBorders>
              <w:top w:val="single" w:sz="4" w:space="0" w:color="FFFFFF" w:themeColor="background1"/>
            </w:tcBorders>
            <w:noWrap/>
            <w:hideMark/>
          </w:tcPr>
          <w:p w14:paraId="37C6F169" w14:textId="77777777" w:rsidR="002C11DC" w:rsidRPr="00BD61C9"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lang w:eastAsia="zh-CN"/>
              </w:rPr>
            </w:pPr>
            <w:r w:rsidRPr="00BD61C9">
              <w:rPr>
                <w:rFonts w:eastAsia="Times New Roman"/>
                <w:color w:val="FFFFFF"/>
                <w:sz w:val="18"/>
                <w:szCs w:val="18"/>
                <w:lang w:eastAsia="zh-CN"/>
              </w:rPr>
              <w:t>2022-23</w:t>
            </w:r>
          </w:p>
        </w:tc>
        <w:tc>
          <w:tcPr>
            <w:tcW w:w="993" w:type="dxa"/>
            <w:tcBorders>
              <w:top w:val="single" w:sz="4" w:space="0" w:color="FFFFFF" w:themeColor="background1"/>
            </w:tcBorders>
            <w:noWrap/>
            <w:hideMark/>
          </w:tcPr>
          <w:p w14:paraId="66281CC3" w14:textId="77777777" w:rsidR="002C11DC" w:rsidRPr="00BD61C9"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lang w:eastAsia="zh-CN"/>
              </w:rPr>
            </w:pPr>
            <w:r w:rsidRPr="00BD61C9">
              <w:rPr>
                <w:rFonts w:eastAsia="Times New Roman"/>
                <w:color w:val="FFFFFF"/>
                <w:sz w:val="18"/>
                <w:szCs w:val="18"/>
                <w:lang w:eastAsia="zh-CN"/>
              </w:rPr>
              <w:t>2023-24</w:t>
            </w:r>
          </w:p>
        </w:tc>
        <w:tc>
          <w:tcPr>
            <w:tcW w:w="992" w:type="dxa"/>
            <w:tcBorders>
              <w:top w:val="single" w:sz="4" w:space="0" w:color="FFFFFF" w:themeColor="background1"/>
            </w:tcBorders>
            <w:noWrap/>
            <w:hideMark/>
          </w:tcPr>
          <w:p w14:paraId="2BE459F4" w14:textId="77777777" w:rsidR="002C11DC" w:rsidRPr="00BD61C9"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lang w:eastAsia="zh-CN"/>
              </w:rPr>
            </w:pPr>
            <w:r w:rsidRPr="00BD61C9">
              <w:rPr>
                <w:rFonts w:eastAsia="Times New Roman"/>
                <w:color w:val="FFFFFF"/>
                <w:sz w:val="18"/>
                <w:szCs w:val="18"/>
                <w:lang w:eastAsia="zh-CN"/>
              </w:rPr>
              <w:t>2024-25</w:t>
            </w:r>
          </w:p>
        </w:tc>
        <w:tc>
          <w:tcPr>
            <w:tcW w:w="992" w:type="dxa"/>
            <w:tcBorders>
              <w:top w:val="single" w:sz="4" w:space="0" w:color="FFFFFF" w:themeColor="background1"/>
              <w:right w:val="dotted" w:sz="4" w:space="0" w:color="auto"/>
            </w:tcBorders>
            <w:noWrap/>
            <w:hideMark/>
          </w:tcPr>
          <w:p w14:paraId="725BBBCE" w14:textId="77777777" w:rsidR="002C11DC" w:rsidRPr="00BD61C9"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lang w:eastAsia="zh-CN"/>
              </w:rPr>
            </w:pPr>
            <w:r w:rsidRPr="00BD61C9">
              <w:rPr>
                <w:rFonts w:eastAsia="Times New Roman"/>
                <w:color w:val="FFFFFF"/>
                <w:sz w:val="18"/>
                <w:szCs w:val="18"/>
                <w:lang w:eastAsia="zh-CN"/>
              </w:rPr>
              <w:t>2025-26</w:t>
            </w:r>
          </w:p>
        </w:tc>
        <w:tc>
          <w:tcPr>
            <w:tcW w:w="992" w:type="dxa"/>
            <w:tcBorders>
              <w:top w:val="single" w:sz="4" w:space="0" w:color="FFFFFF" w:themeColor="background1"/>
              <w:left w:val="dotted" w:sz="4" w:space="0" w:color="auto"/>
            </w:tcBorders>
            <w:noWrap/>
            <w:hideMark/>
          </w:tcPr>
          <w:p w14:paraId="4440C9B1" w14:textId="77777777" w:rsidR="002C11DC" w:rsidRPr="00BD61C9" w:rsidRDefault="002C11DC" w:rsidP="00446247">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18"/>
                <w:szCs w:val="18"/>
                <w:lang w:eastAsia="zh-CN"/>
              </w:rPr>
            </w:pPr>
            <w:r w:rsidRPr="00BD61C9">
              <w:rPr>
                <w:rFonts w:eastAsia="Times New Roman"/>
                <w:color w:val="FFFFFF"/>
                <w:sz w:val="18"/>
                <w:szCs w:val="18"/>
                <w:lang w:eastAsia="zh-CN"/>
              </w:rPr>
              <w:t>2031-32</w:t>
            </w:r>
          </w:p>
        </w:tc>
      </w:tr>
      <w:tr w:rsidR="002C11DC" w:rsidRPr="00D009F7" w14:paraId="2622655D" w14:textId="77777777" w:rsidTr="00BD61C9">
        <w:trPr>
          <w:trHeight w:val="397"/>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hideMark/>
          </w:tcPr>
          <w:p w14:paraId="345896F0" w14:textId="77777777" w:rsidR="002C11DC" w:rsidRPr="00D009F7" w:rsidRDefault="002C11DC" w:rsidP="002522F2">
            <w:pPr>
              <w:spacing w:after="0" w:line="240" w:lineRule="auto"/>
              <w:rPr>
                <w:rFonts w:eastAsia="Times New Roman" w:cs="Arial"/>
                <w:b/>
                <w:sz w:val="18"/>
                <w:szCs w:val="18"/>
                <w:lang w:eastAsia="zh-CN"/>
              </w:rPr>
            </w:pPr>
            <w:r w:rsidRPr="00D009F7">
              <w:rPr>
                <w:rFonts w:eastAsia="Times New Roman" w:cs="Arial"/>
                <w:b/>
                <w:sz w:val="18"/>
                <w:szCs w:val="18"/>
                <w:lang w:eastAsia="zh-CN"/>
              </w:rPr>
              <w:t>2020-21 AFSR</w:t>
            </w:r>
            <w:r w:rsidRPr="00D009F7">
              <w:rPr>
                <w:rFonts w:eastAsia="Times New Roman" w:cs="Arial"/>
                <w:i/>
                <w:sz w:val="18"/>
                <w:szCs w:val="18"/>
                <w:lang w:eastAsia="zh-CN"/>
              </w:rPr>
              <w:br/>
            </w:r>
            <w:r w:rsidRPr="00D009F7">
              <w:rPr>
                <w:rFonts w:eastAsia="Times New Roman" w:cs="Arial"/>
                <w:b/>
                <w:sz w:val="18"/>
                <w:szCs w:val="18"/>
                <w:lang w:eastAsia="zh-CN"/>
              </w:rPr>
              <w:t>AFSR model as at 30 June 2021</w:t>
            </w:r>
          </w:p>
        </w:tc>
        <w:tc>
          <w:tcPr>
            <w:tcW w:w="992" w:type="dxa"/>
            <w:shd w:val="clear" w:color="auto" w:fill="auto"/>
            <w:noWrap/>
            <w:hideMark/>
          </w:tcPr>
          <w:p w14:paraId="45A34FED"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sz w:val="18"/>
                <w:szCs w:val="18"/>
                <w:lang w:eastAsia="zh-CN"/>
              </w:rPr>
            </w:pPr>
            <w:r w:rsidRPr="00D009F7">
              <w:rPr>
                <w:rFonts w:eastAsia="Times New Roman" w:cs="Arial"/>
                <w:b/>
                <w:sz w:val="18"/>
                <w:szCs w:val="18"/>
                <w:lang w:eastAsia="zh-CN"/>
              </w:rPr>
              <w:t>$33.4b</w:t>
            </w:r>
          </w:p>
        </w:tc>
        <w:tc>
          <w:tcPr>
            <w:tcW w:w="993" w:type="dxa"/>
            <w:shd w:val="clear" w:color="auto" w:fill="auto"/>
            <w:noWrap/>
            <w:hideMark/>
          </w:tcPr>
          <w:p w14:paraId="253E0FAA"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sz w:val="18"/>
                <w:szCs w:val="18"/>
                <w:lang w:eastAsia="zh-CN"/>
              </w:rPr>
            </w:pPr>
            <w:r w:rsidRPr="00D009F7">
              <w:rPr>
                <w:rFonts w:cs="Arial"/>
                <w:b/>
                <w:color w:val="000000"/>
                <w:sz w:val="18"/>
                <w:szCs w:val="18"/>
              </w:rPr>
              <w:t>$37.5b</w:t>
            </w:r>
          </w:p>
        </w:tc>
        <w:tc>
          <w:tcPr>
            <w:tcW w:w="992" w:type="dxa"/>
            <w:shd w:val="clear" w:color="auto" w:fill="auto"/>
            <w:noWrap/>
            <w:hideMark/>
          </w:tcPr>
          <w:p w14:paraId="58EBBB0F"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sz w:val="18"/>
                <w:szCs w:val="18"/>
                <w:lang w:eastAsia="zh-CN"/>
              </w:rPr>
            </w:pPr>
            <w:r w:rsidRPr="00D009F7">
              <w:rPr>
                <w:rFonts w:cs="Arial"/>
                <w:b/>
                <w:color w:val="000000"/>
                <w:sz w:val="18"/>
                <w:szCs w:val="18"/>
              </w:rPr>
              <w:t>$40.8b</w:t>
            </w:r>
          </w:p>
        </w:tc>
        <w:tc>
          <w:tcPr>
            <w:tcW w:w="992" w:type="dxa"/>
            <w:tcBorders>
              <w:right w:val="dotted" w:sz="4" w:space="0" w:color="auto"/>
            </w:tcBorders>
            <w:shd w:val="clear" w:color="auto" w:fill="auto"/>
            <w:noWrap/>
            <w:hideMark/>
          </w:tcPr>
          <w:p w14:paraId="6674012B"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sz w:val="18"/>
                <w:szCs w:val="18"/>
                <w:lang w:eastAsia="zh-CN"/>
              </w:rPr>
            </w:pPr>
            <w:r w:rsidRPr="00D009F7">
              <w:rPr>
                <w:rFonts w:cs="Arial"/>
                <w:b/>
                <w:color w:val="000000"/>
                <w:sz w:val="18"/>
                <w:szCs w:val="18"/>
              </w:rPr>
              <w:t>$44.0b</w:t>
            </w:r>
          </w:p>
        </w:tc>
        <w:tc>
          <w:tcPr>
            <w:tcW w:w="992" w:type="dxa"/>
            <w:tcBorders>
              <w:left w:val="dotted" w:sz="4" w:space="0" w:color="auto"/>
            </w:tcBorders>
            <w:shd w:val="clear" w:color="auto" w:fill="auto"/>
            <w:noWrap/>
            <w:hideMark/>
          </w:tcPr>
          <w:p w14:paraId="0B5DBCD8"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sz w:val="18"/>
                <w:szCs w:val="18"/>
                <w:lang w:eastAsia="zh-CN"/>
              </w:rPr>
            </w:pPr>
            <w:r w:rsidRPr="00D009F7">
              <w:rPr>
                <w:rFonts w:cs="Arial"/>
                <w:b/>
                <w:color w:val="000000"/>
                <w:sz w:val="18"/>
                <w:szCs w:val="18"/>
              </w:rPr>
              <w:t>$67.1b</w:t>
            </w:r>
          </w:p>
        </w:tc>
      </w:tr>
      <w:tr w:rsidR="002C11DC" w:rsidRPr="00D009F7" w14:paraId="345C436D" w14:textId="77777777" w:rsidTr="002522F2">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06" w:type="dxa"/>
            <w:hideMark/>
          </w:tcPr>
          <w:p w14:paraId="109771C9" w14:textId="77777777" w:rsidR="002C11DC" w:rsidRPr="00D009F7" w:rsidRDefault="002C11DC" w:rsidP="002522F2">
            <w:pPr>
              <w:spacing w:after="0" w:line="240" w:lineRule="auto"/>
              <w:ind w:left="195" w:hanging="195"/>
              <w:rPr>
                <w:rFonts w:eastAsia="Times New Roman" w:cs="Arial"/>
                <w:sz w:val="18"/>
                <w:szCs w:val="18"/>
                <w:lang w:eastAsia="zh-CN"/>
              </w:rPr>
            </w:pPr>
            <w:r w:rsidRPr="00D009F7">
              <w:rPr>
                <w:rFonts w:cs="Arial"/>
                <w:color w:val="000000"/>
                <w:sz w:val="18"/>
                <w:szCs w:val="18"/>
              </w:rPr>
              <w:t>a) 2021-22 AFSR, with a year of experience</w:t>
            </w:r>
            <w:r w:rsidRPr="00D009F7">
              <w:rPr>
                <w:rFonts w:cs="Arial"/>
                <w:color w:val="000000"/>
                <w:sz w:val="18"/>
                <w:szCs w:val="18"/>
              </w:rPr>
              <w:br/>
              <w:t>2021-22 AFSR model with 1 July 2021 to 30 June 2022 experience</w:t>
            </w:r>
          </w:p>
        </w:tc>
        <w:tc>
          <w:tcPr>
            <w:tcW w:w="992" w:type="dxa"/>
            <w:noWrap/>
            <w:hideMark/>
          </w:tcPr>
          <w:p w14:paraId="1CF4ED0F"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+$0.9b</w:t>
            </w:r>
          </w:p>
        </w:tc>
        <w:tc>
          <w:tcPr>
            <w:tcW w:w="993" w:type="dxa"/>
            <w:noWrap/>
            <w:hideMark/>
          </w:tcPr>
          <w:p w14:paraId="7B372566"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+$1.0b</w:t>
            </w:r>
          </w:p>
        </w:tc>
        <w:tc>
          <w:tcPr>
            <w:tcW w:w="992" w:type="dxa"/>
            <w:noWrap/>
            <w:hideMark/>
          </w:tcPr>
          <w:p w14:paraId="0DA2A8CD"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+$1.0b</w:t>
            </w:r>
          </w:p>
        </w:tc>
        <w:tc>
          <w:tcPr>
            <w:tcW w:w="992" w:type="dxa"/>
            <w:tcBorders>
              <w:right w:val="dotted" w:sz="4" w:space="0" w:color="auto"/>
            </w:tcBorders>
            <w:noWrap/>
            <w:hideMark/>
          </w:tcPr>
          <w:p w14:paraId="343285EF"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+$1.0b</w:t>
            </w:r>
          </w:p>
        </w:tc>
        <w:tc>
          <w:tcPr>
            <w:tcW w:w="992" w:type="dxa"/>
            <w:tcBorders>
              <w:left w:val="dotted" w:sz="4" w:space="0" w:color="auto"/>
            </w:tcBorders>
            <w:noWrap/>
            <w:hideMark/>
          </w:tcPr>
          <w:p w14:paraId="1148E3EA"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+$1.3b</w:t>
            </w:r>
          </w:p>
        </w:tc>
      </w:tr>
      <w:tr w:rsidR="002C11DC" w:rsidRPr="00D009F7" w14:paraId="69926AC1" w14:textId="77777777" w:rsidTr="00BD61C9">
        <w:trPr>
          <w:trHeight w:val="397"/>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hideMark/>
          </w:tcPr>
          <w:p w14:paraId="52938802" w14:textId="77777777" w:rsidR="002C11DC" w:rsidRPr="00D009F7" w:rsidRDefault="002C11DC" w:rsidP="002522F2">
            <w:pPr>
              <w:spacing w:after="0" w:line="240" w:lineRule="auto"/>
              <w:ind w:left="195" w:hanging="195"/>
              <w:rPr>
                <w:rFonts w:eastAsia="Times New Roman" w:cs="Arial"/>
                <w:sz w:val="18"/>
                <w:szCs w:val="18"/>
                <w:lang w:eastAsia="zh-CN"/>
              </w:rPr>
            </w:pPr>
            <w:r w:rsidRPr="00D009F7">
              <w:rPr>
                <w:rFonts w:cs="Arial"/>
                <w:color w:val="000000"/>
                <w:sz w:val="18"/>
                <w:szCs w:val="18"/>
              </w:rPr>
              <w:t>b) Re</w:t>
            </w:r>
            <w:r w:rsidR="005F2778">
              <w:rPr>
                <w:rFonts w:cs="Arial"/>
                <w:color w:val="000000"/>
                <w:sz w:val="18"/>
                <w:szCs w:val="18"/>
              </w:rPr>
              <w:t>vis</w:t>
            </w:r>
            <w:r w:rsidRPr="00D009F7">
              <w:rPr>
                <w:rFonts w:cs="Arial"/>
                <w:color w:val="000000"/>
                <w:sz w:val="18"/>
                <w:szCs w:val="18"/>
              </w:rPr>
              <w:t>ed average payment assumptions</w:t>
            </w:r>
          </w:p>
        </w:tc>
        <w:tc>
          <w:tcPr>
            <w:tcW w:w="992" w:type="dxa"/>
            <w:shd w:val="clear" w:color="auto" w:fill="auto"/>
            <w:noWrap/>
            <w:hideMark/>
          </w:tcPr>
          <w:p w14:paraId="00D5A5A6"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-$1.7b</w:t>
            </w:r>
          </w:p>
        </w:tc>
        <w:tc>
          <w:tcPr>
            <w:tcW w:w="993" w:type="dxa"/>
            <w:shd w:val="clear" w:color="auto" w:fill="auto"/>
            <w:noWrap/>
            <w:hideMark/>
          </w:tcPr>
          <w:p w14:paraId="1F407A85"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-$1.9b</w:t>
            </w:r>
          </w:p>
        </w:tc>
        <w:tc>
          <w:tcPr>
            <w:tcW w:w="992" w:type="dxa"/>
            <w:shd w:val="clear" w:color="auto" w:fill="auto"/>
            <w:noWrap/>
            <w:hideMark/>
          </w:tcPr>
          <w:p w14:paraId="07A8F00D"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-$2.1b</w:t>
            </w:r>
          </w:p>
        </w:tc>
        <w:tc>
          <w:tcPr>
            <w:tcW w:w="992" w:type="dxa"/>
            <w:tcBorders>
              <w:right w:val="dotted" w:sz="4" w:space="0" w:color="auto"/>
            </w:tcBorders>
            <w:shd w:val="clear" w:color="auto" w:fill="auto"/>
            <w:noWrap/>
            <w:hideMark/>
          </w:tcPr>
          <w:p w14:paraId="770DD662"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-$2.3b</w:t>
            </w:r>
          </w:p>
        </w:tc>
        <w:tc>
          <w:tcPr>
            <w:tcW w:w="992" w:type="dxa"/>
            <w:tcBorders>
              <w:left w:val="dotted" w:sz="4" w:space="0" w:color="auto"/>
            </w:tcBorders>
            <w:shd w:val="clear" w:color="auto" w:fill="auto"/>
            <w:noWrap/>
            <w:hideMark/>
          </w:tcPr>
          <w:p w14:paraId="68E663E0"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-$3.8b</w:t>
            </w:r>
          </w:p>
        </w:tc>
      </w:tr>
      <w:tr w:rsidR="002C11DC" w:rsidRPr="00D009F7" w14:paraId="06BC3628" w14:textId="77777777" w:rsidTr="00BD61C9">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06" w:type="dxa"/>
            <w:shd w:val="clear" w:color="auto" w:fill="BFBFBF" w:themeFill="background1" w:themeFillShade="BF"/>
            <w:hideMark/>
          </w:tcPr>
          <w:p w14:paraId="31165AE9" w14:textId="77777777" w:rsidR="002C11DC" w:rsidRPr="00D009F7" w:rsidRDefault="002C11DC" w:rsidP="002522F2">
            <w:pPr>
              <w:spacing w:after="0" w:line="240" w:lineRule="auto"/>
              <w:ind w:left="195" w:hanging="195"/>
              <w:rPr>
                <w:rFonts w:eastAsia="Times New Roman" w:cs="Arial"/>
                <w:sz w:val="18"/>
                <w:szCs w:val="18"/>
                <w:lang w:eastAsia="zh-CN"/>
              </w:rPr>
            </w:pPr>
            <w:r w:rsidRPr="00D009F7">
              <w:rPr>
                <w:rFonts w:cs="Arial"/>
                <w:bCs/>
                <w:color w:val="000000"/>
                <w:sz w:val="18"/>
                <w:szCs w:val="18"/>
              </w:rPr>
              <w:t>c</w:t>
            </w:r>
            <w:r w:rsidRPr="00D009F7">
              <w:rPr>
                <w:rFonts w:cs="Arial"/>
                <w:color w:val="000000"/>
                <w:sz w:val="18"/>
                <w:szCs w:val="18"/>
              </w:rPr>
              <w:t>) 2022-23 Annual Pricing Review</w:t>
            </w:r>
          </w:p>
        </w:tc>
        <w:tc>
          <w:tcPr>
            <w:tcW w:w="992" w:type="dxa"/>
            <w:shd w:val="clear" w:color="auto" w:fill="BFBFBF" w:themeFill="background1" w:themeFillShade="BF"/>
            <w:noWrap/>
            <w:hideMark/>
          </w:tcPr>
          <w:p w14:paraId="41AA6C98"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+$1.2b</w:t>
            </w:r>
          </w:p>
        </w:tc>
        <w:tc>
          <w:tcPr>
            <w:tcW w:w="993" w:type="dxa"/>
            <w:shd w:val="clear" w:color="auto" w:fill="BFBFBF" w:themeFill="background1" w:themeFillShade="BF"/>
            <w:noWrap/>
            <w:hideMark/>
          </w:tcPr>
          <w:p w14:paraId="4214D5CA"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+$0.8b</w:t>
            </w:r>
          </w:p>
        </w:tc>
        <w:tc>
          <w:tcPr>
            <w:tcW w:w="992" w:type="dxa"/>
            <w:shd w:val="clear" w:color="auto" w:fill="BFBFBF" w:themeFill="background1" w:themeFillShade="BF"/>
            <w:noWrap/>
            <w:hideMark/>
          </w:tcPr>
          <w:p w14:paraId="345A86AB"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+$0.9b</w:t>
            </w:r>
          </w:p>
        </w:tc>
        <w:tc>
          <w:tcPr>
            <w:tcW w:w="992" w:type="dxa"/>
            <w:tcBorders>
              <w:right w:val="dotted" w:sz="4" w:space="0" w:color="auto"/>
            </w:tcBorders>
            <w:shd w:val="clear" w:color="auto" w:fill="BFBFBF" w:themeFill="background1" w:themeFillShade="BF"/>
            <w:noWrap/>
            <w:hideMark/>
          </w:tcPr>
          <w:p w14:paraId="0FED1143"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+$1.0b</w:t>
            </w:r>
          </w:p>
        </w:tc>
        <w:tc>
          <w:tcPr>
            <w:tcW w:w="992" w:type="dxa"/>
            <w:tcBorders>
              <w:left w:val="dotted" w:sz="4" w:space="0" w:color="auto"/>
            </w:tcBorders>
            <w:shd w:val="clear" w:color="auto" w:fill="BFBFBF" w:themeFill="background1" w:themeFillShade="BF"/>
            <w:noWrap/>
            <w:hideMark/>
          </w:tcPr>
          <w:p w14:paraId="14BBE13A"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+$1.6b</w:t>
            </w:r>
          </w:p>
        </w:tc>
      </w:tr>
      <w:tr w:rsidR="002C11DC" w:rsidRPr="00D009F7" w14:paraId="498FE3BE" w14:textId="77777777" w:rsidTr="00BD61C9">
        <w:trPr>
          <w:trHeight w:val="397"/>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hideMark/>
          </w:tcPr>
          <w:p w14:paraId="7D7645F7" w14:textId="77777777" w:rsidR="002C11DC" w:rsidRPr="00D009F7" w:rsidRDefault="002C11DC" w:rsidP="002522F2">
            <w:pPr>
              <w:spacing w:after="0" w:line="240" w:lineRule="auto"/>
              <w:ind w:left="195" w:hanging="195"/>
              <w:rPr>
                <w:rFonts w:eastAsia="Times New Roman" w:cs="Arial"/>
                <w:sz w:val="18"/>
                <w:szCs w:val="18"/>
                <w:lang w:eastAsia="zh-CN"/>
              </w:rPr>
            </w:pPr>
            <w:r w:rsidRPr="00D009F7">
              <w:rPr>
                <w:rFonts w:cs="Arial"/>
                <w:bCs/>
                <w:color w:val="000000"/>
                <w:sz w:val="18"/>
                <w:szCs w:val="18"/>
              </w:rPr>
              <w:t>d</w:t>
            </w:r>
            <w:r w:rsidRPr="00D009F7">
              <w:rPr>
                <w:rFonts w:cs="Arial"/>
                <w:color w:val="000000"/>
                <w:sz w:val="18"/>
                <w:szCs w:val="18"/>
              </w:rPr>
              <w:t>) General population growth</w:t>
            </w:r>
          </w:p>
        </w:tc>
        <w:tc>
          <w:tcPr>
            <w:tcW w:w="992" w:type="dxa"/>
            <w:shd w:val="clear" w:color="auto" w:fill="auto"/>
            <w:noWrap/>
            <w:hideMark/>
          </w:tcPr>
          <w:p w14:paraId="3D66FFBB"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$0.0b</w:t>
            </w:r>
          </w:p>
        </w:tc>
        <w:tc>
          <w:tcPr>
            <w:tcW w:w="993" w:type="dxa"/>
            <w:shd w:val="clear" w:color="auto" w:fill="auto"/>
            <w:noWrap/>
            <w:hideMark/>
          </w:tcPr>
          <w:p w14:paraId="336D6B19"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+$0.0b</w:t>
            </w:r>
          </w:p>
        </w:tc>
        <w:tc>
          <w:tcPr>
            <w:tcW w:w="992" w:type="dxa"/>
            <w:shd w:val="clear" w:color="auto" w:fill="auto"/>
            <w:noWrap/>
            <w:hideMark/>
          </w:tcPr>
          <w:p w14:paraId="07B26079"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+$0.0b</w:t>
            </w:r>
          </w:p>
        </w:tc>
        <w:tc>
          <w:tcPr>
            <w:tcW w:w="992" w:type="dxa"/>
            <w:tcBorders>
              <w:right w:val="dotted" w:sz="4" w:space="0" w:color="auto"/>
            </w:tcBorders>
            <w:shd w:val="clear" w:color="auto" w:fill="auto"/>
            <w:noWrap/>
            <w:hideMark/>
          </w:tcPr>
          <w:p w14:paraId="612BB2E2"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+$0.0b</w:t>
            </w:r>
          </w:p>
        </w:tc>
        <w:tc>
          <w:tcPr>
            <w:tcW w:w="992" w:type="dxa"/>
            <w:tcBorders>
              <w:left w:val="dotted" w:sz="4" w:space="0" w:color="auto"/>
            </w:tcBorders>
            <w:shd w:val="clear" w:color="auto" w:fill="auto"/>
            <w:noWrap/>
            <w:hideMark/>
          </w:tcPr>
          <w:p w14:paraId="647A7964"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+$0.0b</w:t>
            </w:r>
          </w:p>
        </w:tc>
      </w:tr>
      <w:tr w:rsidR="002C11DC" w:rsidRPr="00D009F7" w14:paraId="6703ABB6" w14:textId="77777777" w:rsidTr="00BD61C9">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06" w:type="dxa"/>
            <w:shd w:val="clear" w:color="auto" w:fill="BFBFBF" w:themeFill="background1" w:themeFillShade="BF"/>
            <w:hideMark/>
          </w:tcPr>
          <w:p w14:paraId="3020D7E0" w14:textId="77777777" w:rsidR="002C11DC" w:rsidRPr="00D009F7" w:rsidRDefault="002C11DC" w:rsidP="002522F2">
            <w:pPr>
              <w:spacing w:after="0" w:line="240" w:lineRule="auto"/>
              <w:ind w:left="195" w:hanging="195"/>
              <w:rPr>
                <w:rFonts w:eastAsia="Times New Roman" w:cs="Arial"/>
                <w:sz w:val="18"/>
                <w:szCs w:val="18"/>
                <w:lang w:eastAsia="zh-CN"/>
              </w:rPr>
            </w:pPr>
            <w:r w:rsidRPr="00D009F7">
              <w:rPr>
                <w:rFonts w:cs="Arial"/>
                <w:bCs/>
                <w:color w:val="000000"/>
                <w:sz w:val="18"/>
                <w:szCs w:val="18"/>
              </w:rPr>
              <w:t>e</w:t>
            </w:r>
            <w:r w:rsidRPr="00D009F7">
              <w:rPr>
                <w:rFonts w:cs="Arial"/>
                <w:color w:val="000000"/>
                <w:sz w:val="18"/>
                <w:szCs w:val="18"/>
              </w:rPr>
              <w:t>) Updated Australian life table assumptions</w:t>
            </w:r>
          </w:p>
        </w:tc>
        <w:tc>
          <w:tcPr>
            <w:tcW w:w="992" w:type="dxa"/>
            <w:shd w:val="clear" w:color="auto" w:fill="BFBFBF" w:themeFill="background1" w:themeFillShade="BF"/>
            <w:noWrap/>
            <w:hideMark/>
          </w:tcPr>
          <w:p w14:paraId="77067CC5"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+$0.0b</w:t>
            </w:r>
          </w:p>
        </w:tc>
        <w:tc>
          <w:tcPr>
            <w:tcW w:w="993" w:type="dxa"/>
            <w:shd w:val="clear" w:color="auto" w:fill="BFBFBF" w:themeFill="background1" w:themeFillShade="BF"/>
            <w:noWrap/>
            <w:hideMark/>
          </w:tcPr>
          <w:p w14:paraId="4EED8DF2"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+$0.0b</w:t>
            </w:r>
          </w:p>
        </w:tc>
        <w:tc>
          <w:tcPr>
            <w:tcW w:w="992" w:type="dxa"/>
            <w:shd w:val="clear" w:color="auto" w:fill="BFBFBF" w:themeFill="background1" w:themeFillShade="BF"/>
            <w:noWrap/>
            <w:hideMark/>
          </w:tcPr>
          <w:p w14:paraId="0A6B6AD6"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+$0.1b</w:t>
            </w:r>
          </w:p>
        </w:tc>
        <w:tc>
          <w:tcPr>
            <w:tcW w:w="992" w:type="dxa"/>
            <w:tcBorders>
              <w:right w:val="dotted" w:sz="4" w:space="0" w:color="auto"/>
            </w:tcBorders>
            <w:shd w:val="clear" w:color="auto" w:fill="BFBFBF" w:themeFill="background1" w:themeFillShade="BF"/>
            <w:noWrap/>
            <w:hideMark/>
          </w:tcPr>
          <w:p w14:paraId="55EE5920"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+$0.1b</w:t>
            </w:r>
          </w:p>
        </w:tc>
        <w:tc>
          <w:tcPr>
            <w:tcW w:w="992" w:type="dxa"/>
            <w:tcBorders>
              <w:left w:val="dotted" w:sz="4" w:space="0" w:color="auto"/>
            </w:tcBorders>
            <w:shd w:val="clear" w:color="auto" w:fill="BFBFBF" w:themeFill="background1" w:themeFillShade="BF"/>
            <w:noWrap/>
            <w:hideMark/>
          </w:tcPr>
          <w:p w14:paraId="33DE021C"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+$0.3b</w:t>
            </w:r>
          </w:p>
        </w:tc>
      </w:tr>
      <w:tr w:rsidR="002C11DC" w:rsidRPr="00D009F7" w14:paraId="095C40A5" w14:textId="77777777" w:rsidTr="00BD61C9">
        <w:trPr>
          <w:trHeight w:val="397"/>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hideMark/>
          </w:tcPr>
          <w:p w14:paraId="12DF4028" w14:textId="77777777" w:rsidR="002C11DC" w:rsidRPr="00D009F7" w:rsidRDefault="002C11DC" w:rsidP="002522F2">
            <w:pPr>
              <w:spacing w:after="0" w:line="240" w:lineRule="auto"/>
              <w:ind w:left="195" w:hanging="195"/>
              <w:rPr>
                <w:rFonts w:eastAsia="Times New Roman" w:cs="Arial"/>
                <w:sz w:val="18"/>
                <w:szCs w:val="18"/>
                <w:lang w:eastAsia="zh-CN"/>
              </w:rPr>
            </w:pPr>
            <w:r w:rsidRPr="00D009F7">
              <w:rPr>
                <w:rFonts w:cs="Arial"/>
                <w:color w:val="000000"/>
                <w:sz w:val="18"/>
                <w:szCs w:val="18"/>
              </w:rPr>
              <w:t xml:space="preserve">f) Change in mortality </w:t>
            </w:r>
            <w:r w:rsidRPr="00D009F7">
              <w:rPr>
                <w:rFonts w:cs="Arial"/>
                <w:bCs/>
                <w:color w:val="000000"/>
                <w:sz w:val="18"/>
                <w:szCs w:val="18"/>
              </w:rPr>
              <w:t xml:space="preserve">rate </w:t>
            </w:r>
            <w:r w:rsidRPr="00D009F7">
              <w:rPr>
                <w:rFonts w:cs="Arial"/>
                <w:color w:val="000000"/>
                <w:sz w:val="18"/>
                <w:szCs w:val="18"/>
              </w:rPr>
              <w:t>assumptions reflecting changes in mix</w:t>
            </w:r>
          </w:p>
        </w:tc>
        <w:tc>
          <w:tcPr>
            <w:tcW w:w="992" w:type="dxa"/>
            <w:shd w:val="clear" w:color="auto" w:fill="auto"/>
            <w:noWrap/>
            <w:hideMark/>
          </w:tcPr>
          <w:p w14:paraId="19AD0C9C"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-$0.0b</w:t>
            </w:r>
          </w:p>
        </w:tc>
        <w:tc>
          <w:tcPr>
            <w:tcW w:w="993" w:type="dxa"/>
            <w:shd w:val="clear" w:color="auto" w:fill="auto"/>
            <w:noWrap/>
            <w:hideMark/>
          </w:tcPr>
          <w:p w14:paraId="1EC97A7D"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-$0.1b</w:t>
            </w:r>
          </w:p>
        </w:tc>
        <w:tc>
          <w:tcPr>
            <w:tcW w:w="992" w:type="dxa"/>
            <w:shd w:val="clear" w:color="auto" w:fill="auto"/>
            <w:noWrap/>
            <w:hideMark/>
          </w:tcPr>
          <w:p w14:paraId="326CE1A1"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-$0.1b</w:t>
            </w:r>
          </w:p>
        </w:tc>
        <w:tc>
          <w:tcPr>
            <w:tcW w:w="992" w:type="dxa"/>
            <w:tcBorders>
              <w:right w:val="dotted" w:sz="4" w:space="0" w:color="auto"/>
            </w:tcBorders>
            <w:shd w:val="clear" w:color="auto" w:fill="auto"/>
            <w:noWrap/>
            <w:hideMark/>
          </w:tcPr>
          <w:p w14:paraId="1618BDA0"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-$0.1b</w:t>
            </w:r>
          </w:p>
        </w:tc>
        <w:tc>
          <w:tcPr>
            <w:tcW w:w="992" w:type="dxa"/>
            <w:tcBorders>
              <w:left w:val="dotted" w:sz="4" w:space="0" w:color="auto"/>
            </w:tcBorders>
            <w:shd w:val="clear" w:color="auto" w:fill="auto"/>
            <w:noWrap/>
            <w:hideMark/>
          </w:tcPr>
          <w:p w14:paraId="4E2F5853"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-$0.5b</w:t>
            </w:r>
          </w:p>
        </w:tc>
      </w:tr>
      <w:tr w:rsidR="002C11DC" w:rsidRPr="00D009F7" w14:paraId="7CC4D09F" w14:textId="77777777" w:rsidTr="00BD61C9">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06" w:type="dxa"/>
            <w:shd w:val="clear" w:color="auto" w:fill="BFBFBF" w:themeFill="background1" w:themeFillShade="BF"/>
            <w:hideMark/>
          </w:tcPr>
          <w:p w14:paraId="3328C146" w14:textId="77777777" w:rsidR="002C11DC" w:rsidRPr="00D009F7" w:rsidRDefault="002C11DC">
            <w:pPr>
              <w:spacing w:after="0" w:line="240" w:lineRule="auto"/>
              <w:ind w:left="195" w:hanging="195"/>
              <w:rPr>
                <w:rFonts w:eastAsia="Times New Roman" w:cs="Arial"/>
                <w:sz w:val="18"/>
                <w:szCs w:val="18"/>
                <w:lang w:eastAsia="zh-CN"/>
              </w:rPr>
            </w:pPr>
            <w:r w:rsidRPr="00D009F7">
              <w:rPr>
                <w:rFonts w:cs="Arial"/>
                <w:color w:val="000000"/>
                <w:sz w:val="18"/>
                <w:szCs w:val="18"/>
              </w:rPr>
              <w:t xml:space="preserve">g) Revised </w:t>
            </w:r>
            <w:r w:rsidR="00B8575E">
              <w:rPr>
                <w:rFonts w:cs="Arial"/>
                <w:color w:val="000000"/>
                <w:sz w:val="18"/>
                <w:szCs w:val="18"/>
              </w:rPr>
              <w:t xml:space="preserve">assumptions reflecting lower long-term rates of participants leaving the Scheme </w:t>
            </w:r>
          </w:p>
        </w:tc>
        <w:tc>
          <w:tcPr>
            <w:tcW w:w="992" w:type="dxa"/>
            <w:shd w:val="clear" w:color="auto" w:fill="BFBFBF" w:themeFill="background1" w:themeFillShade="BF"/>
            <w:noWrap/>
            <w:hideMark/>
          </w:tcPr>
          <w:p w14:paraId="3D8B7146"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6B2976"/>
                <w:sz w:val="18"/>
                <w:szCs w:val="18"/>
              </w:rPr>
              <w:t>-$0.0b</w:t>
            </w:r>
          </w:p>
        </w:tc>
        <w:tc>
          <w:tcPr>
            <w:tcW w:w="993" w:type="dxa"/>
            <w:shd w:val="clear" w:color="auto" w:fill="BFBFBF" w:themeFill="background1" w:themeFillShade="BF"/>
            <w:noWrap/>
            <w:hideMark/>
          </w:tcPr>
          <w:p w14:paraId="298551EA"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+$0.0b</w:t>
            </w:r>
          </w:p>
        </w:tc>
        <w:tc>
          <w:tcPr>
            <w:tcW w:w="992" w:type="dxa"/>
            <w:shd w:val="clear" w:color="auto" w:fill="BFBFBF" w:themeFill="background1" w:themeFillShade="BF"/>
            <w:noWrap/>
            <w:hideMark/>
          </w:tcPr>
          <w:p w14:paraId="7AA43C6B"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+$0.1b</w:t>
            </w:r>
          </w:p>
        </w:tc>
        <w:tc>
          <w:tcPr>
            <w:tcW w:w="992" w:type="dxa"/>
            <w:tcBorders>
              <w:right w:val="dotted" w:sz="4" w:space="0" w:color="auto"/>
            </w:tcBorders>
            <w:shd w:val="clear" w:color="auto" w:fill="BFBFBF" w:themeFill="background1" w:themeFillShade="BF"/>
            <w:noWrap/>
            <w:hideMark/>
          </w:tcPr>
          <w:p w14:paraId="09AEE0D7"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+$0.3b</w:t>
            </w:r>
          </w:p>
        </w:tc>
        <w:tc>
          <w:tcPr>
            <w:tcW w:w="992" w:type="dxa"/>
            <w:tcBorders>
              <w:left w:val="dotted" w:sz="4" w:space="0" w:color="auto"/>
            </w:tcBorders>
            <w:shd w:val="clear" w:color="auto" w:fill="BFBFBF" w:themeFill="background1" w:themeFillShade="BF"/>
            <w:noWrap/>
            <w:hideMark/>
          </w:tcPr>
          <w:p w14:paraId="14F45746"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+$1.5b</w:t>
            </w:r>
          </w:p>
        </w:tc>
      </w:tr>
      <w:tr w:rsidR="002C11DC" w:rsidRPr="00D009F7" w14:paraId="2E49103E" w14:textId="77777777" w:rsidTr="00BD61C9">
        <w:trPr>
          <w:trHeight w:val="397"/>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hideMark/>
          </w:tcPr>
          <w:p w14:paraId="25846CCF" w14:textId="77777777" w:rsidR="002C11DC" w:rsidRPr="00D009F7" w:rsidRDefault="002C11DC" w:rsidP="002522F2">
            <w:pPr>
              <w:spacing w:after="0" w:line="240" w:lineRule="auto"/>
              <w:ind w:left="195" w:hanging="195"/>
              <w:rPr>
                <w:rFonts w:eastAsia="Times New Roman" w:cs="Arial"/>
                <w:sz w:val="18"/>
                <w:szCs w:val="18"/>
                <w:lang w:eastAsia="zh-CN"/>
              </w:rPr>
            </w:pPr>
            <w:r w:rsidRPr="00D009F7">
              <w:rPr>
                <w:rFonts w:cs="Arial"/>
                <w:color w:val="000000"/>
                <w:sz w:val="18"/>
                <w:szCs w:val="18"/>
              </w:rPr>
              <w:t xml:space="preserve">h) Increases in new entrant assumptions </w:t>
            </w:r>
          </w:p>
        </w:tc>
        <w:tc>
          <w:tcPr>
            <w:tcW w:w="992" w:type="dxa"/>
            <w:shd w:val="clear" w:color="auto" w:fill="auto"/>
            <w:noWrap/>
            <w:hideMark/>
          </w:tcPr>
          <w:p w14:paraId="644EFD37"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+$0.1b</w:t>
            </w:r>
          </w:p>
        </w:tc>
        <w:tc>
          <w:tcPr>
            <w:tcW w:w="993" w:type="dxa"/>
            <w:shd w:val="clear" w:color="auto" w:fill="auto"/>
            <w:noWrap/>
            <w:hideMark/>
          </w:tcPr>
          <w:p w14:paraId="455513C7"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+$0.3b</w:t>
            </w:r>
          </w:p>
        </w:tc>
        <w:tc>
          <w:tcPr>
            <w:tcW w:w="992" w:type="dxa"/>
            <w:shd w:val="clear" w:color="auto" w:fill="auto"/>
            <w:noWrap/>
            <w:hideMark/>
          </w:tcPr>
          <w:p w14:paraId="6BE4893D"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+$0.6b</w:t>
            </w:r>
          </w:p>
        </w:tc>
        <w:tc>
          <w:tcPr>
            <w:tcW w:w="992" w:type="dxa"/>
            <w:tcBorders>
              <w:right w:val="dotted" w:sz="4" w:space="0" w:color="auto"/>
            </w:tcBorders>
            <w:shd w:val="clear" w:color="auto" w:fill="auto"/>
            <w:noWrap/>
            <w:hideMark/>
          </w:tcPr>
          <w:p w14:paraId="3971E218"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+$0.9b</w:t>
            </w:r>
          </w:p>
        </w:tc>
        <w:tc>
          <w:tcPr>
            <w:tcW w:w="992" w:type="dxa"/>
            <w:tcBorders>
              <w:left w:val="dotted" w:sz="4" w:space="0" w:color="auto"/>
            </w:tcBorders>
            <w:shd w:val="clear" w:color="auto" w:fill="auto"/>
            <w:noWrap/>
            <w:hideMark/>
          </w:tcPr>
          <w:p w14:paraId="60FB9326"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+$3.7b</w:t>
            </w:r>
          </w:p>
        </w:tc>
      </w:tr>
      <w:tr w:rsidR="002C11DC" w:rsidRPr="00D009F7" w14:paraId="3CC920C5" w14:textId="77777777" w:rsidTr="00BD61C9">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06" w:type="dxa"/>
            <w:shd w:val="clear" w:color="auto" w:fill="BFBFBF" w:themeFill="background1" w:themeFillShade="BF"/>
            <w:hideMark/>
          </w:tcPr>
          <w:p w14:paraId="4400E288" w14:textId="77777777" w:rsidR="002C11DC" w:rsidRPr="00D009F7" w:rsidRDefault="002C11DC" w:rsidP="002522F2">
            <w:pPr>
              <w:spacing w:after="0" w:line="240" w:lineRule="auto"/>
              <w:ind w:left="195" w:hanging="195"/>
              <w:rPr>
                <w:rFonts w:eastAsia="Times New Roman" w:cs="Arial"/>
                <w:sz w:val="18"/>
                <w:szCs w:val="18"/>
                <w:lang w:eastAsia="zh-CN"/>
              </w:rPr>
            </w:pPr>
            <w:r w:rsidRPr="00D009F7">
              <w:rPr>
                <w:rFonts w:cs="Arial"/>
                <w:color w:val="000000"/>
                <w:sz w:val="18"/>
                <w:szCs w:val="18"/>
              </w:rPr>
              <w:t>i) Change in level of previously unmet needs</w:t>
            </w:r>
          </w:p>
        </w:tc>
        <w:tc>
          <w:tcPr>
            <w:tcW w:w="992" w:type="dxa"/>
            <w:shd w:val="clear" w:color="auto" w:fill="BFBFBF" w:themeFill="background1" w:themeFillShade="BF"/>
            <w:noWrap/>
            <w:hideMark/>
          </w:tcPr>
          <w:p w14:paraId="70FF443C"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6B2976"/>
                <w:sz w:val="18"/>
                <w:szCs w:val="18"/>
              </w:rPr>
              <w:t>-$0.0b</w:t>
            </w:r>
          </w:p>
        </w:tc>
        <w:tc>
          <w:tcPr>
            <w:tcW w:w="993" w:type="dxa"/>
            <w:shd w:val="clear" w:color="auto" w:fill="BFBFBF" w:themeFill="background1" w:themeFillShade="BF"/>
            <w:noWrap/>
            <w:hideMark/>
          </w:tcPr>
          <w:p w14:paraId="0BE9A0EB"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+$0.0b</w:t>
            </w:r>
          </w:p>
        </w:tc>
        <w:tc>
          <w:tcPr>
            <w:tcW w:w="992" w:type="dxa"/>
            <w:shd w:val="clear" w:color="auto" w:fill="BFBFBF" w:themeFill="background1" w:themeFillShade="BF"/>
            <w:noWrap/>
            <w:hideMark/>
          </w:tcPr>
          <w:p w14:paraId="1CCF193C"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+$0.2b</w:t>
            </w:r>
          </w:p>
        </w:tc>
        <w:tc>
          <w:tcPr>
            <w:tcW w:w="992" w:type="dxa"/>
            <w:tcBorders>
              <w:right w:val="dotted" w:sz="4" w:space="0" w:color="auto"/>
            </w:tcBorders>
            <w:shd w:val="clear" w:color="auto" w:fill="BFBFBF" w:themeFill="background1" w:themeFillShade="BF"/>
            <w:noWrap/>
            <w:hideMark/>
          </w:tcPr>
          <w:p w14:paraId="5007DFAC"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+$0.2b</w:t>
            </w:r>
          </w:p>
        </w:tc>
        <w:tc>
          <w:tcPr>
            <w:tcW w:w="992" w:type="dxa"/>
            <w:tcBorders>
              <w:left w:val="dotted" w:sz="4" w:space="0" w:color="auto"/>
            </w:tcBorders>
            <w:shd w:val="clear" w:color="auto" w:fill="BFBFBF" w:themeFill="background1" w:themeFillShade="BF"/>
            <w:noWrap/>
            <w:hideMark/>
          </w:tcPr>
          <w:p w14:paraId="591CB142"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+$0.1b</w:t>
            </w:r>
          </w:p>
        </w:tc>
      </w:tr>
      <w:tr w:rsidR="002C11DC" w:rsidRPr="00D009F7" w14:paraId="2B357A05" w14:textId="77777777" w:rsidTr="00BD61C9">
        <w:trPr>
          <w:trHeight w:val="397"/>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hideMark/>
          </w:tcPr>
          <w:p w14:paraId="0AFAFFB5" w14:textId="77777777" w:rsidR="002C11DC" w:rsidRPr="00D009F7" w:rsidRDefault="002C11DC" w:rsidP="002522F2">
            <w:pPr>
              <w:spacing w:after="0" w:line="240" w:lineRule="auto"/>
              <w:ind w:left="195" w:hanging="195"/>
              <w:rPr>
                <w:rFonts w:eastAsia="Times New Roman" w:cs="Arial"/>
                <w:sz w:val="18"/>
                <w:szCs w:val="18"/>
                <w:lang w:eastAsia="zh-CN"/>
              </w:rPr>
            </w:pPr>
            <w:r w:rsidRPr="00D009F7">
              <w:rPr>
                <w:rFonts w:cs="Arial"/>
                <w:color w:val="000000"/>
                <w:sz w:val="18"/>
                <w:szCs w:val="18"/>
              </w:rPr>
              <w:t>j) Change in transition assumption</w:t>
            </w:r>
          </w:p>
        </w:tc>
        <w:tc>
          <w:tcPr>
            <w:tcW w:w="992" w:type="dxa"/>
            <w:shd w:val="clear" w:color="auto" w:fill="auto"/>
            <w:noWrap/>
            <w:hideMark/>
          </w:tcPr>
          <w:p w14:paraId="5A3089EF"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-$0.0b</w:t>
            </w:r>
          </w:p>
        </w:tc>
        <w:tc>
          <w:tcPr>
            <w:tcW w:w="993" w:type="dxa"/>
            <w:shd w:val="clear" w:color="auto" w:fill="auto"/>
            <w:noWrap/>
            <w:hideMark/>
          </w:tcPr>
          <w:p w14:paraId="13288519"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-$0.0b</w:t>
            </w:r>
          </w:p>
        </w:tc>
        <w:tc>
          <w:tcPr>
            <w:tcW w:w="992" w:type="dxa"/>
            <w:shd w:val="clear" w:color="auto" w:fill="auto"/>
            <w:noWrap/>
            <w:hideMark/>
          </w:tcPr>
          <w:p w14:paraId="1486B972"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-$0.0b</w:t>
            </w:r>
          </w:p>
        </w:tc>
        <w:tc>
          <w:tcPr>
            <w:tcW w:w="992" w:type="dxa"/>
            <w:tcBorders>
              <w:right w:val="dotted" w:sz="4" w:space="0" w:color="auto"/>
            </w:tcBorders>
            <w:shd w:val="clear" w:color="auto" w:fill="auto"/>
            <w:noWrap/>
            <w:hideMark/>
          </w:tcPr>
          <w:p w14:paraId="0F850815"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-$0.1b</w:t>
            </w:r>
          </w:p>
        </w:tc>
        <w:tc>
          <w:tcPr>
            <w:tcW w:w="992" w:type="dxa"/>
            <w:tcBorders>
              <w:left w:val="dotted" w:sz="4" w:space="0" w:color="auto"/>
            </w:tcBorders>
            <w:shd w:val="clear" w:color="auto" w:fill="auto"/>
            <w:noWrap/>
            <w:hideMark/>
          </w:tcPr>
          <w:p w14:paraId="7D93D3E9"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6B2976"/>
                <w:sz w:val="18"/>
                <w:szCs w:val="18"/>
              </w:rPr>
              <w:t>-$0.3b</w:t>
            </w:r>
          </w:p>
        </w:tc>
      </w:tr>
      <w:tr w:rsidR="002C11DC" w:rsidRPr="00D009F7" w14:paraId="58730DD0" w14:textId="77777777" w:rsidTr="00BD61C9">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06" w:type="dxa"/>
            <w:shd w:val="clear" w:color="auto" w:fill="BFBFBF" w:themeFill="background1" w:themeFillShade="BF"/>
            <w:hideMark/>
          </w:tcPr>
          <w:p w14:paraId="3D96ECB4" w14:textId="77777777" w:rsidR="002C11DC" w:rsidRPr="00D009F7" w:rsidRDefault="002C11DC" w:rsidP="002522F2">
            <w:pPr>
              <w:spacing w:after="0" w:line="240" w:lineRule="auto"/>
              <w:ind w:left="195" w:hanging="195"/>
              <w:rPr>
                <w:rFonts w:eastAsia="Times New Roman" w:cs="Arial"/>
                <w:sz w:val="18"/>
                <w:szCs w:val="18"/>
                <w:lang w:eastAsia="zh-CN"/>
              </w:rPr>
            </w:pPr>
            <w:r w:rsidRPr="00D009F7">
              <w:rPr>
                <w:rFonts w:cs="Arial"/>
                <w:color w:val="000000"/>
                <w:sz w:val="18"/>
                <w:szCs w:val="18"/>
              </w:rPr>
              <w:t>k) Change to SIL assumptions</w:t>
            </w:r>
          </w:p>
        </w:tc>
        <w:tc>
          <w:tcPr>
            <w:tcW w:w="992" w:type="dxa"/>
            <w:shd w:val="clear" w:color="auto" w:fill="BFBFBF" w:themeFill="background1" w:themeFillShade="BF"/>
            <w:noWrap/>
            <w:hideMark/>
          </w:tcPr>
          <w:p w14:paraId="62039BE4"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+$0.0b</w:t>
            </w:r>
          </w:p>
        </w:tc>
        <w:tc>
          <w:tcPr>
            <w:tcW w:w="993" w:type="dxa"/>
            <w:shd w:val="clear" w:color="auto" w:fill="BFBFBF" w:themeFill="background1" w:themeFillShade="BF"/>
            <w:noWrap/>
            <w:hideMark/>
          </w:tcPr>
          <w:p w14:paraId="3F806640"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+$0.1b</w:t>
            </w:r>
          </w:p>
        </w:tc>
        <w:tc>
          <w:tcPr>
            <w:tcW w:w="992" w:type="dxa"/>
            <w:shd w:val="clear" w:color="auto" w:fill="BFBFBF" w:themeFill="background1" w:themeFillShade="BF"/>
            <w:noWrap/>
            <w:hideMark/>
          </w:tcPr>
          <w:p w14:paraId="3BDF78B8"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+$0.1b</w:t>
            </w:r>
          </w:p>
        </w:tc>
        <w:tc>
          <w:tcPr>
            <w:tcW w:w="992" w:type="dxa"/>
            <w:tcBorders>
              <w:right w:val="dotted" w:sz="4" w:space="0" w:color="auto"/>
            </w:tcBorders>
            <w:shd w:val="clear" w:color="auto" w:fill="BFBFBF" w:themeFill="background1" w:themeFillShade="BF"/>
            <w:noWrap/>
            <w:hideMark/>
          </w:tcPr>
          <w:p w14:paraId="07271206"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+$0.1b</w:t>
            </w:r>
          </w:p>
        </w:tc>
        <w:tc>
          <w:tcPr>
            <w:tcW w:w="992" w:type="dxa"/>
            <w:tcBorders>
              <w:left w:val="dotted" w:sz="4" w:space="0" w:color="auto"/>
            </w:tcBorders>
            <w:shd w:val="clear" w:color="auto" w:fill="BFBFBF" w:themeFill="background1" w:themeFillShade="BF"/>
            <w:noWrap/>
            <w:hideMark/>
          </w:tcPr>
          <w:p w14:paraId="00EB283B"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6B2976"/>
                <w:sz w:val="18"/>
                <w:szCs w:val="18"/>
              </w:rPr>
              <w:t>-$0.1b</w:t>
            </w:r>
          </w:p>
        </w:tc>
      </w:tr>
      <w:tr w:rsidR="002C11DC" w:rsidRPr="00D009F7" w14:paraId="38AD8F4F" w14:textId="77777777" w:rsidTr="00BD61C9">
        <w:trPr>
          <w:trHeight w:val="397"/>
        </w:trPr>
        <w:tc>
          <w:tcPr>
            <w:cnfStyle w:val="001000000000" w:firstRow="0" w:lastRow="0" w:firstColumn="1" w:lastColumn="0" w:oddVBand="0" w:evenVBand="0" w:oddHBand="0" w:evenHBand="0" w:firstRowFirstColumn="0" w:firstRowLastColumn="0" w:lastRowFirstColumn="0" w:lastRowLastColumn="0"/>
            <w:tcW w:w="4106" w:type="dxa"/>
            <w:shd w:val="clear" w:color="auto" w:fill="auto"/>
            <w:hideMark/>
          </w:tcPr>
          <w:p w14:paraId="50E5CF1C" w14:textId="77777777" w:rsidR="002C11DC" w:rsidRPr="00D009F7" w:rsidRDefault="002C11DC" w:rsidP="002522F2">
            <w:pPr>
              <w:spacing w:after="0" w:line="240" w:lineRule="auto"/>
              <w:ind w:left="195" w:hanging="195"/>
              <w:rPr>
                <w:rFonts w:eastAsia="Times New Roman" w:cs="Arial"/>
                <w:sz w:val="18"/>
                <w:szCs w:val="18"/>
                <w:lang w:eastAsia="zh-CN"/>
              </w:rPr>
            </w:pPr>
            <w:r w:rsidRPr="00D009F7">
              <w:rPr>
                <w:rFonts w:cs="Arial"/>
                <w:color w:val="000000"/>
                <w:sz w:val="18"/>
                <w:szCs w:val="18"/>
              </w:rPr>
              <w:t xml:space="preserve">l) Full impact of updated </w:t>
            </w:r>
            <w:r w:rsidRPr="00D009F7">
              <w:rPr>
                <w:rFonts w:cs="Arial"/>
                <w:bCs/>
                <w:color w:val="000000"/>
                <w:sz w:val="18"/>
                <w:szCs w:val="18"/>
              </w:rPr>
              <w:t>n</w:t>
            </w:r>
            <w:r w:rsidRPr="00D009F7">
              <w:rPr>
                <w:rFonts w:cs="Arial"/>
                <w:color w:val="000000"/>
                <w:sz w:val="18"/>
                <w:szCs w:val="18"/>
              </w:rPr>
              <w:t>ormal inflation</w:t>
            </w:r>
          </w:p>
        </w:tc>
        <w:tc>
          <w:tcPr>
            <w:tcW w:w="992" w:type="dxa"/>
            <w:shd w:val="clear" w:color="auto" w:fill="auto"/>
            <w:noWrap/>
            <w:hideMark/>
          </w:tcPr>
          <w:p w14:paraId="1B4755B7"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$0.0b</w:t>
            </w:r>
          </w:p>
        </w:tc>
        <w:tc>
          <w:tcPr>
            <w:tcW w:w="993" w:type="dxa"/>
            <w:shd w:val="clear" w:color="auto" w:fill="auto"/>
            <w:noWrap/>
            <w:hideMark/>
          </w:tcPr>
          <w:p w14:paraId="1AB02094"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+$0.3b</w:t>
            </w:r>
          </w:p>
        </w:tc>
        <w:tc>
          <w:tcPr>
            <w:tcW w:w="992" w:type="dxa"/>
            <w:shd w:val="clear" w:color="auto" w:fill="auto"/>
            <w:noWrap/>
            <w:hideMark/>
          </w:tcPr>
          <w:p w14:paraId="71DE9219"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+$0.5b</w:t>
            </w:r>
          </w:p>
        </w:tc>
        <w:tc>
          <w:tcPr>
            <w:tcW w:w="992" w:type="dxa"/>
            <w:tcBorders>
              <w:right w:val="dotted" w:sz="4" w:space="0" w:color="auto"/>
            </w:tcBorders>
            <w:shd w:val="clear" w:color="auto" w:fill="auto"/>
            <w:noWrap/>
            <w:hideMark/>
          </w:tcPr>
          <w:p w14:paraId="0297BC1A"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+$0.7b</w:t>
            </w:r>
          </w:p>
        </w:tc>
        <w:tc>
          <w:tcPr>
            <w:tcW w:w="992" w:type="dxa"/>
            <w:tcBorders>
              <w:left w:val="dotted" w:sz="4" w:space="0" w:color="auto"/>
            </w:tcBorders>
            <w:shd w:val="clear" w:color="auto" w:fill="auto"/>
            <w:noWrap/>
            <w:hideMark/>
          </w:tcPr>
          <w:p w14:paraId="1217DE08"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zh-CN"/>
              </w:rPr>
            </w:pPr>
            <w:r w:rsidRPr="00D009F7">
              <w:rPr>
                <w:rFonts w:cs="Arial"/>
                <w:color w:val="000000"/>
                <w:sz w:val="18"/>
                <w:szCs w:val="18"/>
              </w:rPr>
              <w:t>+$1.2b</w:t>
            </w:r>
          </w:p>
        </w:tc>
      </w:tr>
      <w:tr w:rsidR="002C11DC" w:rsidRPr="00D009F7" w14:paraId="04B1DE84" w14:textId="77777777" w:rsidTr="00BD61C9">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06" w:type="dxa"/>
            <w:shd w:val="clear" w:color="auto" w:fill="BFBFBF" w:themeFill="background1" w:themeFillShade="BF"/>
          </w:tcPr>
          <w:p w14:paraId="755F8F3B" w14:textId="77777777" w:rsidR="002C11DC" w:rsidRPr="00D009F7" w:rsidRDefault="002C11DC" w:rsidP="002522F2">
            <w:pPr>
              <w:spacing w:after="0" w:line="240" w:lineRule="auto"/>
              <w:ind w:left="195" w:hanging="195"/>
              <w:rPr>
                <w:rFonts w:eastAsia="Times New Roman" w:cs="Arial"/>
                <w:sz w:val="18"/>
                <w:szCs w:val="18"/>
                <w:lang w:eastAsia="zh-CN"/>
              </w:rPr>
            </w:pPr>
            <w:r w:rsidRPr="00D009F7">
              <w:rPr>
                <w:rFonts w:cs="Arial"/>
                <w:color w:val="000000"/>
                <w:sz w:val="18"/>
                <w:szCs w:val="18"/>
              </w:rPr>
              <w:t xml:space="preserve">m) </w:t>
            </w:r>
            <w:r w:rsidRPr="00D009F7">
              <w:rPr>
                <w:rFonts w:cs="Arial"/>
                <w:bCs/>
                <w:color w:val="000000"/>
                <w:sz w:val="18"/>
                <w:szCs w:val="18"/>
              </w:rPr>
              <w:t>Additional</w:t>
            </w:r>
            <w:r w:rsidRPr="00D009F7">
              <w:rPr>
                <w:rFonts w:cs="Arial"/>
                <w:color w:val="000000"/>
                <w:sz w:val="18"/>
                <w:szCs w:val="18"/>
              </w:rPr>
              <w:t xml:space="preserve"> inflation changes (excl. RAC)</w:t>
            </w:r>
          </w:p>
        </w:tc>
        <w:tc>
          <w:tcPr>
            <w:tcW w:w="992" w:type="dxa"/>
            <w:shd w:val="clear" w:color="auto" w:fill="BFBFBF" w:themeFill="background1" w:themeFillShade="BF"/>
            <w:noWrap/>
          </w:tcPr>
          <w:p w14:paraId="6E06B9D9"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D009F7">
              <w:rPr>
                <w:rFonts w:cs="Arial"/>
                <w:color w:val="6B2976"/>
                <w:sz w:val="18"/>
                <w:szCs w:val="18"/>
              </w:rPr>
              <w:t>-$0.4b</w:t>
            </w:r>
          </w:p>
        </w:tc>
        <w:tc>
          <w:tcPr>
            <w:tcW w:w="993" w:type="dxa"/>
            <w:shd w:val="clear" w:color="auto" w:fill="BFBFBF" w:themeFill="background1" w:themeFillShade="BF"/>
            <w:noWrap/>
          </w:tcPr>
          <w:p w14:paraId="1314BDEF"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D009F7">
              <w:rPr>
                <w:rFonts w:cs="Arial"/>
                <w:color w:val="6B2976"/>
                <w:sz w:val="18"/>
                <w:szCs w:val="18"/>
              </w:rPr>
              <w:t>-$0.5b</w:t>
            </w:r>
          </w:p>
        </w:tc>
        <w:tc>
          <w:tcPr>
            <w:tcW w:w="992" w:type="dxa"/>
            <w:shd w:val="clear" w:color="auto" w:fill="BFBFBF" w:themeFill="background1" w:themeFillShade="BF"/>
            <w:noWrap/>
          </w:tcPr>
          <w:p w14:paraId="1DC7364B"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D009F7">
              <w:rPr>
                <w:rFonts w:cs="Arial"/>
                <w:color w:val="000000"/>
                <w:sz w:val="18"/>
                <w:szCs w:val="18"/>
              </w:rPr>
              <w:t>+$1.5b</w:t>
            </w:r>
          </w:p>
        </w:tc>
        <w:tc>
          <w:tcPr>
            <w:tcW w:w="992" w:type="dxa"/>
            <w:tcBorders>
              <w:right w:val="dotted" w:sz="4" w:space="0" w:color="auto"/>
            </w:tcBorders>
            <w:shd w:val="clear" w:color="auto" w:fill="BFBFBF" w:themeFill="background1" w:themeFillShade="BF"/>
            <w:noWrap/>
          </w:tcPr>
          <w:p w14:paraId="7E7AA51F"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D009F7">
              <w:rPr>
                <w:rFonts w:cs="Arial"/>
                <w:color w:val="000000"/>
                <w:sz w:val="18"/>
                <w:szCs w:val="18"/>
              </w:rPr>
              <w:t>+$3.9b</w:t>
            </w:r>
          </w:p>
        </w:tc>
        <w:tc>
          <w:tcPr>
            <w:tcW w:w="992" w:type="dxa"/>
            <w:tcBorders>
              <w:left w:val="dotted" w:sz="4" w:space="0" w:color="auto"/>
            </w:tcBorders>
            <w:shd w:val="clear" w:color="auto" w:fill="BFBFBF" w:themeFill="background1" w:themeFillShade="BF"/>
            <w:noWrap/>
          </w:tcPr>
          <w:p w14:paraId="421D9A36"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 w:val="18"/>
                <w:szCs w:val="18"/>
                <w:lang w:eastAsia="zh-CN"/>
              </w:rPr>
            </w:pPr>
            <w:r w:rsidRPr="00D009F7">
              <w:rPr>
                <w:rFonts w:cs="Arial"/>
                <w:color w:val="000000"/>
                <w:sz w:val="18"/>
                <w:szCs w:val="18"/>
              </w:rPr>
              <w:t>+$15.9b</w:t>
            </w:r>
          </w:p>
        </w:tc>
      </w:tr>
      <w:tr w:rsidR="00EE0279" w:rsidRPr="00D009F7" w14:paraId="42A3B452" w14:textId="77777777" w:rsidTr="00BD61C9">
        <w:trPr>
          <w:trHeight w:val="397"/>
        </w:trPr>
        <w:tc>
          <w:tcPr>
            <w:cnfStyle w:val="001000000000" w:firstRow="0" w:lastRow="0" w:firstColumn="1" w:lastColumn="0" w:oddVBand="0" w:evenVBand="0" w:oddHBand="0" w:evenHBand="0" w:firstRowFirstColumn="0" w:firstRowLastColumn="0" w:lastRowFirstColumn="0" w:lastRowLastColumn="0"/>
            <w:tcW w:w="4106" w:type="dxa"/>
            <w:tcBorders>
              <w:bottom w:val="single" w:sz="4" w:space="0" w:color="auto"/>
            </w:tcBorders>
            <w:shd w:val="clear" w:color="auto" w:fill="auto"/>
            <w:hideMark/>
          </w:tcPr>
          <w:p w14:paraId="36B219B6" w14:textId="77777777" w:rsidR="002C11DC" w:rsidRPr="00D009F7" w:rsidRDefault="002C11DC" w:rsidP="002522F2">
            <w:pPr>
              <w:spacing w:after="0" w:line="240" w:lineRule="auto"/>
              <w:rPr>
                <w:rFonts w:eastAsia="Times New Roman" w:cs="Arial"/>
                <w:b/>
                <w:sz w:val="18"/>
                <w:szCs w:val="18"/>
                <w:lang w:eastAsia="zh-CN"/>
              </w:rPr>
            </w:pPr>
            <w:r w:rsidRPr="00D009F7">
              <w:rPr>
                <w:rFonts w:cs="Arial"/>
                <w:b/>
                <w:color w:val="000000"/>
                <w:sz w:val="18"/>
                <w:szCs w:val="18"/>
              </w:rPr>
              <w:t>2021-22 AFSR model</w:t>
            </w:r>
            <w:r w:rsidRPr="00D009F7">
              <w:rPr>
                <w:rFonts w:cs="Arial"/>
                <w:b/>
                <w:color w:val="000000"/>
                <w:sz w:val="18"/>
                <w:szCs w:val="18"/>
              </w:rPr>
              <w:br/>
              <w:t>Projections based on assumptions in this report</w:t>
            </w:r>
          </w:p>
        </w:tc>
        <w:tc>
          <w:tcPr>
            <w:tcW w:w="992" w:type="dxa"/>
            <w:tcBorders>
              <w:bottom w:val="single" w:sz="4" w:space="0" w:color="auto"/>
            </w:tcBorders>
            <w:shd w:val="clear" w:color="auto" w:fill="auto"/>
            <w:noWrap/>
            <w:hideMark/>
          </w:tcPr>
          <w:p w14:paraId="699137F3"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sz w:val="18"/>
                <w:szCs w:val="18"/>
                <w:lang w:eastAsia="zh-CN"/>
              </w:rPr>
            </w:pPr>
            <w:r w:rsidRPr="00D009F7">
              <w:rPr>
                <w:rFonts w:cs="Arial"/>
                <w:b/>
                <w:color w:val="000000"/>
                <w:sz w:val="18"/>
                <w:szCs w:val="18"/>
              </w:rPr>
              <w:t>$33.5b</w:t>
            </w:r>
          </w:p>
        </w:tc>
        <w:tc>
          <w:tcPr>
            <w:tcW w:w="993" w:type="dxa"/>
            <w:tcBorders>
              <w:bottom w:val="single" w:sz="4" w:space="0" w:color="auto"/>
            </w:tcBorders>
            <w:shd w:val="clear" w:color="auto" w:fill="auto"/>
            <w:noWrap/>
            <w:hideMark/>
          </w:tcPr>
          <w:p w14:paraId="031C6782"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sz w:val="18"/>
                <w:szCs w:val="18"/>
                <w:lang w:eastAsia="zh-CN"/>
              </w:rPr>
            </w:pPr>
            <w:r w:rsidRPr="00D009F7">
              <w:rPr>
                <w:rFonts w:cs="Arial"/>
                <w:b/>
                <w:color w:val="000000"/>
                <w:sz w:val="18"/>
                <w:szCs w:val="18"/>
              </w:rPr>
              <w:t>$37.6b</w:t>
            </w:r>
          </w:p>
        </w:tc>
        <w:tc>
          <w:tcPr>
            <w:tcW w:w="992" w:type="dxa"/>
            <w:tcBorders>
              <w:bottom w:val="single" w:sz="4" w:space="0" w:color="auto"/>
            </w:tcBorders>
            <w:shd w:val="clear" w:color="auto" w:fill="auto"/>
            <w:noWrap/>
            <w:hideMark/>
          </w:tcPr>
          <w:p w14:paraId="73BB8DDC"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sz w:val="18"/>
                <w:szCs w:val="18"/>
                <w:lang w:eastAsia="zh-CN"/>
              </w:rPr>
            </w:pPr>
            <w:r w:rsidRPr="00D009F7">
              <w:rPr>
                <w:rFonts w:cs="Arial"/>
                <w:b/>
                <w:color w:val="000000"/>
                <w:sz w:val="18"/>
                <w:szCs w:val="18"/>
              </w:rPr>
              <w:t>$43.5b</w:t>
            </w:r>
          </w:p>
        </w:tc>
        <w:tc>
          <w:tcPr>
            <w:tcW w:w="992" w:type="dxa"/>
            <w:tcBorders>
              <w:bottom w:val="single" w:sz="4" w:space="0" w:color="auto"/>
              <w:right w:val="dotted" w:sz="4" w:space="0" w:color="auto"/>
            </w:tcBorders>
            <w:shd w:val="clear" w:color="auto" w:fill="auto"/>
            <w:noWrap/>
            <w:hideMark/>
          </w:tcPr>
          <w:p w14:paraId="7D3E347F"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sz w:val="18"/>
                <w:szCs w:val="18"/>
                <w:lang w:eastAsia="zh-CN"/>
              </w:rPr>
            </w:pPr>
            <w:r w:rsidRPr="00D009F7">
              <w:rPr>
                <w:rFonts w:cs="Arial"/>
                <w:b/>
                <w:color w:val="000000"/>
                <w:sz w:val="18"/>
                <w:szCs w:val="18"/>
              </w:rPr>
              <w:t>$49.6b</w:t>
            </w:r>
          </w:p>
        </w:tc>
        <w:tc>
          <w:tcPr>
            <w:tcW w:w="992" w:type="dxa"/>
            <w:tcBorders>
              <w:left w:val="dotted" w:sz="4" w:space="0" w:color="auto"/>
              <w:bottom w:val="single" w:sz="4" w:space="0" w:color="auto"/>
            </w:tcBorders>
            <w:shd w:val="clear" w:color="auto" w:fill="auto"/>
            <w:noWrap/>
            <w:hideMark/>
          </w:tcPr>
          <w:p w14:paraId="5670DB8E" w14:textId="77777777" w:rsidR="002C11DC" w:rsidRPr="00D009F7" w:rsidRDefault="002C11DC" w:rsidP="0044624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sz w:val="18"/>
                <w:szCs w:val="18"/>
                <w:lang w:eastAsia="zh-CN"/>
              </w:rPr>
            </w:pPr>
            <w:r w:rsidRPr="00D009F7">
              <w:rPr>
                <w:rFonts w:cs="Arial"/>
                <w:b/>
                <w:color w:val="000000"/>
                <w:sz w:val="18"/>
                <w:szCs w:val="18"/>
              </w:rPr>
              <w:t>$88.1b</w:t>
            </w:r>
          </w:p>
        </w:tc>
      </w:tr>
      <w:tr w:rsidR="00D009F7" w:rsidRPr="00D009F7" w14:paraId="3F7E6959" w14:textId="77777777" w:rsidTr="002522F2">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auto"/>
              <w:bottom w:val="single" w:sz="4" w:space="0" w:color="auto"/>
            </w:tcBorders>
            <w:shd w:val="clear" w:color="auto" w:fill="D4C5D7"/>
            <w:hideMark/>
          </w:tcPr>
          <w:p w14:paraId="1D49908C" w14:textId="77777777" w:rsidR="002C11DC" w:rsidRPr="00D009F7" w:rsidRDefault="002C11DC" w:rsidP="002522F2">
            <w:pPr>
              <w:spacing w:after="0" w:line="240" w:lineRule="auto"/>
              <w:rPr>
                <w:rFonts w:eastAsia="Times New Roman" w:cs="Arial"/>
                <w:b/>
                <w:sz w:val="18"/>
                <w:szCs w:val="18"/>
                <w:lang w:eastAsia="zh-CN"/>
              </w:rPr>
            </w:pPr>
            <w:r w:rsidRPr="00D009F7">
              <w:rPr>
                <w:rFonts w:cs="Arial"/>
                <w:b/>
                <w:color w:val="000000"/>
                <w:sz w:val="18"/>
                <w:szCs w:val="18"/>
              </w:rPr>
              <w:t>Total movement from 2020-21 AFSR to 2021-22 AFSR model</w:t>
            </w:r>
          </w:p>
        </w:tc>
        <w:tc>
          <w:tcPr>
            <w:tcW w:w="992" w:type="dxa"/>
            <w:tcBorders>
              <w:top w:val="single" w:sz="4" w:space="0" w:color="auto"/>
              <w:bottom w:val="single" w:sz="4" w:space="0" w:color="auto"/>
            </w:tcBorders>
            <w:shd w:val="clear" w:color="auto" w:fill="D4C5D7"/>
            <w:hideMark/>
          </w:tcPr>
          <w:p w14:paraId="2A3B0DC6"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D009F7">
              <w:rPr>
                <w:rFonts w:cs="Arial"/>
                <w:b/>
                <w:color w:val="000000"/>
                <w:sz w:val="18"/>
                <w:szCs w:val="18"/>
              </w:rPr>
              <w:t xml:space="preserve">+$0.0b </w:t>
            </w:r>
            <w:r w:rsidRPr="00D009F7">
              <w:rPr>
                <w:rFonts w:cs="Arial"/>
                <w:b/>
                <w:color w:val="000000"/>
                <w:sz w:val="18"/>
                <w:szCs w:val="18"/>
              </w:rPr>
              <w:br/>
              <w:t>(+0.1%)</w:t>
            </w:r>
          </w:p>
        </w:tc>
        <w:tc>
          <w:tcPr>
            <w:tcW w:w="993" w:type="dxa"/>
            <w:tcBorders>
              <w:top w:val="single" w:sz="4" w:space="0" w:color="auto"/>
              <w:bottom w:val="single" w:sz="4" w:space="0" w:color="auto"/>
            </w:tcBorders>
            <w:shd w:val="clear" w:color="auto" w:fill="D4C5D7"/>
            <w:hideMark/>
          </w:tcPr>
          <w:p w14:paraId="368C2046"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D009F7">
              <w:rPr>
                <w:rFonts w:cs="Arial"/>
                <w:b/>
                <w:color w:val="000000"/>
                <w:sz w:val="18"/>
                <w:szCs w:val="18"/>
              </w:rPr>
              <w:t xml:space="preserve">+$0.1b </w:t>
            </w:r>
            <w:r w:rsidRPr="00D009F7">
              <w:rPr>
                <w:rFonts w:cs="Arial"/>
                <w:b/>
                <w:color w:val="000000"/>
                <w:sz w:val="18"/>
                <w:szCs w:val="18"/>
              </w:rPr>
              <w:br/>
              <w:t>(+0.3%)</w:t>
            </w:r>
          </w:p>
        </w:tc>
        <w:tc>
          <w:tcPr>
            <w:tcW w:w="992" w:type="dxa"/>
            <w:tcBorders>
              <w:top w:val="single" w:sz="4" w:space="0" w:color="auto"/>
              <w:bottom w:val="single" w:sz="4" w:space="0" w:color="auto"/>
            </w:tcBorders>
            <w:shd w:val="clear" w:color="auto" w:fill="D4C5D7"/>
            <w:hideMark/>
          </w:tcPr>
          <w:p w14:paraId="38BEF1E0"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D009F7">
              <w:rPr>
                <w:rFonts w:cs="Arial"/>
                <w:b/>
                <w:color w:val="000000"/>
                <w:sz w:val="18"/>
                <w:szCs w:val="18"/>
              </w:rPr>
              <w:t xml:space="preserve">+$2.6b </w:t>
            </w:r>
            <w:r w:rsidRPr="00D009F7">
              <w:rPr>
                <w:rFonts w:cs="Arial"/>
                <w:b/>
                <w:color w:val="000000"/>
                <w:sz w:val="18"/>
                <w:szCs w:val="18"/>
              </w:rPr>
              <w:br/>
              <w:t>(+6.5%)</w:t>
            </w:r>
          </w:p>
        </w:tc>
        <w:tc>
          <w:tcPr>
            <w:tcW w:w="992" w:type="dxa"/>
            <w:tcBorders>
              <w:top w:val="single" w:sz="4" w:space="0" w:color="auto"/>
              <w:bottom w:val="single" w:sz="4" w:space="0" w:color="auto"/>
              <w:right w:val="dotted" w:sz="4" w:space="0" w:color="auto"/>
            </w:tcBorders>
            <w:shd w:val="clear" w:color="auto" w:fill="D4C5D7"/>
            <w:hideMark/>
          </w:tcPr>
          <w:p w14:paraId="1051ED0E"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D009F7">
              <w:rPr>
                <w:rFonts w:cs="Arial"/>
                <w:b/>
                <w:color w:val="000000"/>
                <w:sz w:val="18"/>
                <w:szCs w:val="18"/>
              </w:rPr>
              <w:t xml:space="preserve">+$5.6b </w:t>
            </w:r>
            <w:r w:rsidRPr="00D009F7">
              <w:rPr>
                <w:rFonts w:cs="Arial"/>
                <w:b/>
                <w:color w:val="000000"/>
                <w:sz w:val="18"/>
                <w:szCs w:val="18"/>
              </w:rPr>
              <w:br/>
              <w:t>(+12.9%)</w:t>
            </w:r>
          </w:p>
        </w:tc>
        <w:tc>
          <w:tcPr>
            <w:tcW w:w="992" w:type="dxa"/>
            <w:tcBorders>
              <w:top w:val="single" w:sz="4" w:space="0" w:color="auto"/>
              <w:left w:val="dotted" w:sz="4" w:space="0" w:color="auto"/>
              <w:bottom w:val="single" w:sz="4" w:space="0" w:color="auto"/>
            </w:tcBorders>
            <w:shd w:val="clear" w:color="auto" w:fill="D4C5D7"/>
            <w:hideMark/>
          </w:tcPr>
          <w:p w14:paraId="31FFDAEC" w14:textId="77777777" w:rsidR="002C11DC" w:rsidRPr="00D009F7" w:rsidRDefault="002C11DC" w:rsidP="0044624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 w:val="18"/>
                <w:szCs w:val="18"/>
                <w:lang w:eastAsia="zh-CN"/>
              </w:rPr>
            </w:pPr>
            <w:r w:rsidRPr="00D009F7">
              <w:rPr>
                <w:rFonts w:cs="Arial"/>
                <w:b/>
                <w:color w:val="000000"/>
                <w:sz w:val="18"/>
                <w:szCs w:val="18"/>
              </w:rPr>
              <w:t xml:space="preserve">+$21.0b </w:t>
            </w:r>
            <w:r w:rsidRPr="00D009F7">
              <w:rPr>
                <w:rFonts w:cs="Arial"/>
                <w:b/>
                <w:color w:val="000000"/>
                <w:sz w:val="18"/>
                <w:szCs w:val="18"/>
              </w:rPr>
              <w:br/>
              <w:t>(+31.2%)</w:t>
            </w:r>
          </w:p>
        </w:tc>
      </w:tr>
    </w:tbl>
    <w:p w14:paraId="6F9C5E76" w14:textId="77777777" w:rsidR="002C11DC" w:rsidRPr="009271A7" w:rsidRDefault="002C11DC" w:rsidP="002522F2">
      <w:pPr>
        <w:pStyle w:val="FSRnormal"/>
      </w:pPr>
      <w:r>
        <w:t>For</w:t>
      </w:r>
      <w:r w:rsidRPr="009271A7">
        <w:t xml:space="preserve"> 2021-22, </w:t>
      </w:r>
      <w:r w:rsidRPr="009271A7" w:rsidDel="00493D50">
        <w:t xml:space="preserve">the </w:t>
      </w:r>
      <w:r>
        <w:t>Scheme expense</w:t>
      </w:r>
      <w:r w:rsidRPr="009271A7">
        <w:t xml:space="preserve"> is </w:t>
      </w:r>
      <w:r>
        <w:t xml:space="preserve">projected to be </w:t>
      </w:r>
      <w:r w:rsidRPr="009271A7">
        <w:t xml:space="preserve">about </w:t>
      </w:r>
      <w:r>
        <w:t>0.1%</w:t>
      </w:r>
      <w:r w:rsidRPr="009271A7">
        <w:t xml:space="preserve"> higher than the previous review. This is mainly attributable to an increase in base inflation assumptions by support category and offset by a decrease in base payment assumptions by support category, which reflect the lower than expected average payments experience over the past 12 months.</w:t>
      </w:r>
    </w:p>
    <w:p w14:paraId="5CE0BA9E" w14:textId="77777777" w:rsidR="002C11DC" w:rsidRPr="00947100" w:rsidRDefault="002C11DC" w:rsidP="002522F2">
      <w:pPr>
        <w:pStyle w:val="FSRnormal"/>
        <w:rPr>
          <w:highlight w:val="yellow"/>
        </w:rPr>
      </w:pPr>
      <w:r>
        <w:t>Scheme expenses</w:t>
      </w:r>
      <w:r w:rsidRPr="009271A7">
        <w:t xml:space="preserve"> are projected to </w:t>
      </w:r>
      <w:r w:rsidR="00B8575E">
        <w:t>materially</w:t>
      </w:r>
      <w:r w:rsidRPr="009271A7">
        <w:t xml:space="preserve"> exceed the previous review</w:t>
      </w:r>
      <w:r w:rsidR="00B8575E">
        <w:t xml:space="preserve"> </w:t>
      </w:r>
      <w:r w:rsidR="00547E2E">
        <w:t>f</w:t>
      </w:r>
      <w:r w:rsidR="00B8575E">
        <w:t>rom 2024-25 onwards</w:t>
      </w:r>
      <w:r w:rsidRPr="009271A7">
        <w:t xml:space="preserve"> and, in 2031-32, the projected </w:t>
      </w:r>
      <w:r>
        <w:t>Scheme expense</w:t>
      </w:r>
      <w:r w:rsidRPr="009271A7">
        <w:t xml:space="preserve"> is higher than the previous review by </w:t>
      </w:r>
      <w:r>
        <w:t>31.2</w:t>
      </w:r>
      <w:r w:rsidRPr="009271A7">
        <w:t>% ($21.</w:t>
      </w:r>
      <w:r>
        <w:t>0</w:t>
      </w:r>
      <w:r w:rsidRPr="009271A7">
        <w:t xml:space="preserve">b). The increase is mainly driven by higher </w:t>
      </w:r>
      <w:r>
        <w:t>additional inflation</w:t>
      </w:r>
      <w:r w:rsidRPr="009271A7">
        <w:t xml:space="preserve"> assumptions.</w:t>
      </w:r>
    </w:p>
    <w:p w14:paraId="34643304" w14:textId="77777777" w:rsidR="002C11DC" w:rsidRPr="00947100" w:rsidRDefault="002C11DC" w:rsidP="002C11DC">
      <w:pPr>
        <w:rPr>
          <w:highlight w:val="yellow"/>
        </w:rPr>
      </w:pPr>
    </w:p>
    <w:p w14:paraId="0305DE59" w14:textId="77777777" w:rsidR="002C11DC" w:rsidRPr="00947100" w:rsidRDefault="002C11DC" w:rsidP="002C11DC">
      <w:pPr>
        <w:spacing w:after="160" w:line="259" w:lineRule="auto"/>
        <w:rPr>
          <w:highlight w:val="yellow"/>
        </w:rPr>
      </w:pPr>
      <w:bookmarkStart w:id="434" w:name="_Appendix_D:_Utilisation"/>
      <w:bookmarkStart w:id="435" w:name="_Appendix_E:_State/Territory"/>
      <w:bookmarkEnd w:id="434"/>
      <w:bookmarkEnd w:id="435"/>
      <w:r w:rsidRPr="00947100">
        <w:rPr>
          <w:highlight w:val="yellow"/>
        </w:rPr>
        <w:br w:type="page"/>
      </w:r>
    </w:p>
    <w:p w14:paraId="132FB129" w14:textId="77777777" w:rsidR="00C33621" w:rsidRDefault="006E4D63" w:rsidP="006E4D63">
      <w:pPr>
        <w:pStyle w:val="Heading2"/>
        <w:numPr>
          <w:ilvl w:val="0"/>
          <w:numId w:val="0"/>
        </w:numPr>
        <w:ind w:left="2835" w:hanging="2835"/>
      </w:pPr>
      <w:bookmarkStart w:id="436" w:name="_Appendix_E:_Historical"/>
      <w:bookmarkStart w:id="437" w:name="_Toc83220869"/>
      <w:bookmarkStart w:id="438" w:name="_Toc84334561"/>
      <w:bookmarkStart w:id="439" w:name="_Toc118460227"/>
      <w:bookmarkStart w:id="440" w:name="_Toc83220870"/>
      <w:bookmarkStart w:id="441" w:name="_Toc85031281"/>
      <w:bookmarkEnd w:id="436"/>
      <w:r>
        <w:lastRenderedPageBreak/>
        <w:t>Appendix D:</w:t>
      </w:r>
      <w:r>
        <w:tab/>
      </w:r>
      <w:r w:rsidR="00C33621">
        <w:t xml:space="preserve">State and Territory </w:t>
      </w:r>
      <w:r w:rsidR="00251501">
        <w:t>b</w:t>
      </w:r>
      <w:r w:rsidR="00C33621">
        <w:t>reakdown</w:t>
      </w:r>
      <w:bookmarkEnd w:id="437"/>
      <w:bookmarkEnd w:id="438"/>
      <w:bookmarkEnd w:id="439"/>
      <w:r w:rsidR="00C33621">
        <w:t xml:space="preserve"> </w:t>
      </w:r>
    </w:p>
    <w:p w14:paraId="27AC278C" w14:textId="77777777" w:rsidR="00C33621" w:rsidRPr="00C578EB" w:rsidRDefault="00C33621" w:rsidP="006E4D63">
      <w:pPr>
        <w:pStyle w:val="FSRnormal"/>
      </w:pPr>
      <w:r>
        <w:t>T</w:t>
      </w:r>
      <w:r w:rsidRPr="00C578EB">
        <w:t xml:space="preserve">he projection model </w:t>
      </w:r>
      <w:r w:rsidR="00547E2E">
        <w:t xml:space="preserve">sets </w:t>
      </w:r>
      <w:r w:rsidRPr="00C578EB">
        <w:t xml:space="preserve">assumptions and </w:t>
      </w:r>
      <w:r w:rsidR="00547E2E">
        <w:t>projects participant numbers and expenses at a national level</w:t>
      </w:r>
      <w:r w:rsidRPr="00C578EB">
        <w:t xml:space="preserve">. A separate model has been developed to allocate projected participant numbers and </w:t>
      </w:r>
      <w:r w:rsidR="00547E2E">
        <w:t xml:space="preserve">expenses </w:t>
      </w:r>
      <w:r w:rsidRPr="00C578EB">
        <w:t xml:space="preserve">by State and Territory. The resulting participant numbers and </w:t>
      </w:r>
      <w:r w:rsidR="00547E2E">
        <w:t>expenses</w:t>
      </w:r>
      <w:r w:rsidRPr="00C578EB">
        <w:t xml:space="preserve"> by jurisdiction </w:t>
      </w:r>
      <w:r w:rsidR="00547E2E">
        <w:t xml:space="preserve">are shown </w:t>
      </w:r>
      <w:r w:rsidRPr="00C578EB">
        <w:t xml:space="preserve">in </w:t>
      </w:r>
      <w:r w:rsidR="003C1060" w:rsidRPr="00AE7A29">
        <w:t>Table</w:t>
      </w:r>
      <w:r w:rsidR="003C1060">
        <w:t xml:space="preserve"> D.</w:t>
      </w:r>
      <w:r w:rsidR="003C1060">
        <w:rPr>
          <w:noProof/>
        </w:rPr>
        <w:t>1</w:t>
      </w:r>
      <w:r>
        <w:t xml:space="preserve"> and </w:t>
      </w:r>
      <w:r w:rsidR="003C1060" w:rsidRPr="00AE7A29">
        <w:t>Table</w:t>
      </w:r>
      <w:r w:rsidR="003C1060">
        <w:t xml:space="preserve"> D.</w:t>
      </w:r>
      <w:r w:rsidR="003C1060">
        <w:rPr>
          <w:noProof/>
        </w:rPr>
        <w:t>2</w:t>
      </w:r>
      <w:r w:rsidRPr="00C578EB">
        <w:t>.</w:t>
      </w:r>
    </w:p>
    <w:p w14:paraId="1275F270" w14:textId="77777777" w:rsidR="00C33621" w:rsidRPr="006E4D63" w:rsidRDefault="006E4D63" w:rsidP="006E4D63">
      <w:pPr>
        <w:pStyle w:val="Tables"/>
      </w:pPr>
      <w:bookmarkStart w:id="442" w:name="_Ref114218143"/>
      <w:r w:rsidRPr="00AE7A29">
        <w:t>Table</w:t>
      </w:r>
      <w:r>
        <w:t xml:space="preserve"> D</w:t>
      </w:r>
      <w:r w:rsidR="00A87896">
        <w:t>.</w:t>
      </w:r>
      <w:fldSimple w:instr=" SEQ Table \* ARABIC \s 2 ">
        <w:r w:rsidR="00A87896">
          <w:rPr>
            <w:noProof/>
          </w:rPr>
          <w:t>1</w:t>
        </w:r>
      </w:fldSimple>
      <w:bookmarkEnd w:id="442"/>
      <w:r>
        <w:t>:</w:t>
      </w:r>
      <w:r w:rsidR="00C33621" w:rsidRPr="006E4D63">
        <w:t xml:space="preserve"> Projected participant numbers by jurisdiction</w:t>
      </w:r>
    </w:p>
    <w:tbl>
      <w:tblPr>
        <w:tblStyle w:val="FSRtable"/>
        <w:tblW w:w="4921" w:type="pct"/>
        <w:tblInd w:w="0" w:type="dxa"/>
        <w:tblLayout w:type="fixed"/>
        <w:tblLook w:val="04A0" w:firstRow="1" w:lastRow="0" w:firstColumn="1" w:lastColumn="0" w:noHBand="0" w:noVBand="1"/>
      </w:tblPr>
      <w:tblGrid>
        <w:gridCol w:w="1842"/>
        <w:gridCol w:w="1407"/>
        <w:gridCol w:w="1407"/>
        <w:gridCol w:w="1409"/>
        <w:gridCol w:w="1407"/>
        <w:gridCol w:w="1411"/>
      </w:tblGrid>
      <w:tr w:rsidR="00392E4F" w:rsidRPr="00506C9D" w14:paraId="3F049E35" w14:textId="77777777" w:rsidTr="00F830E6">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037" w:type="pct"/>
            <w:noWrap/>
            <w:hideMark/>
          </w:tcPr>
          <w:p w14:paraId="51E27E97" w14:textId="77777777" w:rsidR="007B39B8" w:rsidRPr="00506C9D" w:rsidRDefault="007B39B8" w:rsidP="003F6941">
            <w:pPr>
              <w:keepNext/>
              <w:spacing w:after="0" w:line="240" w:lineRule="auto"/>
              <w:rPr>
                <w:rFonts w:eastAsia="Times New Roman"/>
                <w:bCs/>
                <w:color w:val="FFFFFF"/>
                <w:sz w:val="20"/>
                <w:szCs w:val="20"/>
              </w:rPr>
            </w:pPr>
          </w:p>
        </w:tc>
        <w:tc>
          <w:tcPr>
            <w:tcW w:w="3963" w:type="pct"/>
            <w:gridSpan w:val="5"/>
            <w:tcBorders>
              <w:top w:val="nil"/>
              <w:bottom w:val="nil"/>
            </w:tcBorders>
            <w:noWrap/>
            <w:hideMark/>
          </w:tcPr>
          <w:p w14:paraId="791F40C4" w14:textId="77777777" w:rsidR="007B39B8" w:rsidRPr="00506C9D" w:rsidRDefault="007B39B8" w:rsidP="003F6941">
            <w:pPr>
              <w:keepNext/>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506C9D">
              <w:rPr>
                <w:rFonts w:eastAsia="Times New Roman"/>
                <w:bCs/>
                <w:color w:val="FFFFFF"/>
                <w:sz w:val="20"/>
                <w:szCs w:val="20"/>
              </w:rPr>
              <w:t>At 30 June</w:t>
            </w:r>
          </w:p>
        </w:tc>
      </w:tr>
      <w:tr w:rsidR="00F830E6" w:rsidRPr="00506C9D" w14:paraId="189C4A53" w14:textId="77777777" w:rsidTr="00F830E6">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037" w:type="pct"/>
            <w:noWrap/>
            <w:hideMark/>
          </w:tcPr>
          <w:p w14:paraId="2F362C99" w14:textId="77777777" w:rsidR="00415177" w:rsidRPr="00506C9D" w:rsidRDefault="007B39B8">
            <w:pPr>
              <w:spacing w:after="0" w:line="240" w:lineRule="auto"/>
              <w:rPr>
                <w:rFonts w:eastAsia="Times New Roman"/>
                <w:color w:val="FFFFFF"/>
                <w:sz w:val="20"/>
                <w:szCs w:val="20"/>
                <w:lang w:eastAsia="en-AU"/>
              </w:rPr>
            </w:pPr>
            <w:r w:rsidRPr="00506C9D">
              <w:rPr>
                <w:rFonts w:eastAsia="Times New Roman"/>
                <w:color w:val="FFFFFF"/>
                <w:sz w:val="20"/>
                <w:szCs w:val="20"/>
                <w:lang w:eastAsia="en-AU"/>
              </w:rPr>
              <w:t>Participant n</w:t>
            </w:r>
            <w:r w:rsidR="00415177" w:rsidRPr="00506C9D">
              <w:rPr>
                <w:rFonts w:eastAsia="Times New Roman"/>
                <w:color w:val="FFFFFF"/>
                <w:sz w:val="20"/>
                <w:szCs w:val="20"/>
                <w:lang w:eastAsia="en-AU"/>
              </w:rPr>
              <w:t>umber</w:t>
            </w:r>
            <w:r w:rsidR="00225E68" w:rsidRPr="00506C9D">
              <w:rPr>
                <w:rFonts w:eastAsia="Times New Roman"/>
                <w:color w:val="FFFFFF"/>
                <w:sz w:val="20"/>
                <w:szCs w:val="20"/>
                <w:lang w:eastAsia="en-AU"/>
              </w:rPr>
              <w:t>s</w:t>
            </w:r>
          </w:p>
        </w:tc>
        <w:tc>
          <w:tcPr>
            <w:tcW w:w="792" w:type="pct"/>
            <w:noWrap/>
            <w:hideMark/>
          </w:tcPr>
          <w:p w14:paraId="4C59BF26" w14:textId="77777777" w:rsidR="00415177" w:rsidRPr="00506C9D" w:rsidRDefault="00EF1E6F" w:rsidP="00EF1E6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en-AU"/>
              </w:rPr>
            </w:pPr>
            <w:r w:rsidRPr="00506C9D">
              <w:rPr>
                <w:rFonts w:eastAsia="Times New Roman"/>
                <w:color w:val="FFFFFF"/>
                <w:sz w:val="20"/>
                <w:szCs w:val="20"/>
                <w:lang w:eastAsia="en-AU"/>
              </w:rPr>
              <w:t>2023</w:t>
            </w:r>
          </w:p>
        </w:tc>
        <w:tc>
          <w:tcPr>
            <w:tcW w:w="792" w:type="pct"/>
            <w:tcBorders>
              <w:top w:val="nil"/>
              <w:bottom w:val="nil"/>
            </w:tcBorders>
            <w:noWrap/>
            <w:hideMark/>
          </w:tcPr>
          <w:p w14:paraId="2A06FF48" w14:textId="77777777" w:rsidR="00415177" w:rsidRPr="00506C9D" w:rsidRDefault="00EF1E6F" w:rsidP="00EF1E6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en-AU"/>
              </w:rPr>
            </w:pPr>
            <w:r w:rsidRPr="00506C9D">
              <w:rPr>
                <w:rFonts w:eastAsia="Times New Roman"/>
                <w:color w:val="FFFFFF"/>
                <w:sz w:val="20"/>
                <w:szCs w:val="20"/>
                <w:lang w:eastAsia="en-AU"/>
              </w:rPr>
              <w:t>2024</w:t>
            </w:r>
          </w:p>
        </w:tc>
        <w:tc>
          <w:tcPr>
            <w:tcW w:w="793" w:type="pct"/>
            <w:tcBorders>
              <w:top w:val="nil"/>
              <w:bottom w:val="nil"/>
            </w:tcBorders>
            <w:noWrap/>
            <w:hideMark/>
          </w:tcPr>
          <w:p w14:paraId="697C24E7" w14:textId="77777777" w:rsidR="00415177" w:rsidRPr="00506C9D" w:rsidRDefault="00415177" w:rsidP="00EF1E6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en-AU"/>
              </w:rPr>
            </w:pPr>
            <w:r w:rsidRPr="00506C9D">
              <w:rPr>
                <w:rFonts w:eastAsia="Times New Roman"/>
                <w:color w:val="FFFFFF"/>
                <w:sz w:val="20"/>
                <w:szCs w:val="20"/>
                <w:lang w:eastAsia="en-AU"/>
              </w:rPr>
              <w:t>2</w:t>
            </w:r>
            <w:r w:rsidR="00EF1E6F" w:rsidRPr="00506C9D">
              <w:rPr>
                <w:rFonts w:eastAsia="Times New Roman"/>
                <w:color w:val="FFFFFF"/>
                <w:sz w:val="20"/>
                <w:szCs w:val="20"/>
                <w:lang w:eastAsia="en-AU"/>
              </w:rPr>
              <w:t>025</w:t>
            </w:r>
          </w:p>
        </w:tc>
        <w:tc>
          <w:tcPr>
            <w:tcW w:w="792" w:type="pct"/>
            <w:tcBorders>
              <w:top w:val="nil"/>
              <w:bottom w:val="nil"/>
              <w:right w:val="nil"/>
            </w:tcBorders>
            <w:noWrap/>
            <w:hideMark/>
          </w:tcPr>
          <w:p w14:paraId="5AA09127" w14:textId="77777777" w:rsidR="00415177" w:rsidRPr="00506C9D" w:rsidRDefault="00EF1E6F" w:rsidP="00EF1E6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en-AU"/>
              </w:rPr>
            </w:pPr>
            <w:r w:rsidRPr="00506C9D">
              <w:rPr>
                <w:rFonts w:eastAsia="Times New Roman"/>
                <w:color w:val="FFFFFF"/>
                <w:sz w:val="20"/>
                <w:szCs w:val="20"/>
                <w:lang w:eastAsia="en-AU"/>
              </w:rPr>
              <w:t>2026</w:t>
            </w:r>
          </w:p>
        </w:tc>
        <w:tc>
          <w:tcPr>
            <w:tcW w:w="792" w:type="pct"/>
            <w:tcBorders>
              <w:top w:val="nil"/>
              <w:left w:val="nil"/>
              <w:bottom w:val="nil"/>
            </w:tcBorders>
            <w:noWrap/>
            <w:hideMark/>
          </w:tcPr>
          <w:p w14:paraId="5CED59D6" w14:textId="77777777" w:rsidR="00415177" w:rsidRPr="00506C9D" w:rsidRDefault="00EF1E6F" w:rsidP="00EF1E6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en-AU"/>
              </w:rPr>
            </w:pPr>
            <w:r w:rsidRPr="00506C9D">
              <w:rPr>
                <w:rFonts w:eastAsia="Times New Roman"/>
                <w:color w:val="FFFFFF"/>
                <w:sz w:val="20"/>
                <w:szCs w:val="20"/>
                <w:lang w:eastAsia="en-AU"/>
              </w:rPr>
              <w:t>2032</w:t>
            </w:r>
          </w:p>
        </w:tc>
      </w:tr>
      <w:tr w:rsidR="00392E4F" w:rsidRPr="00506C9D" w14:paraId="5C2544A1" w14:textId="77777777" w:rsidTr="00392E4F">
        <w:trPr>
          <w:trHeight w:val="30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3EDC14FD" w14:textId="77777777" w:rsidR="00506C9D" w:rsidRPr="00506C9D" w:rsidRDefault="00506C9D">
            <w:pPr>
              <w:spacing w:after="0" w:line="240" w:lineRule="auto"/>
              <w:rPr>
                <w:rFonts w:eastAsia="Times New Roman" w:cs="Arial"/>
                <w:color w:val="000000"/>
                <w:sz w:val="20"/>
                <w:szCs w:val="20"/>
                <w:lang w:eastAsia="en-AU"/>
              </w:rPr>
            </w:pPr>
            <w:r w:rsidRPr="00506C9D">
              <w:rPr>
                <w:rFonts w:cs="Arial"/>
                <w:sz w:val="20"/>
                <w:szCs w:val="20"/>
              </w:rPr>
              <w:t>NSW</w:t>
            </w:r>
          </w:p>
        </w:tc>
        <w:tc>
          <w:tcPr>
            <w:tcW w:w="792" w:type="pct"/>
            <w:noWrap/>
            <w:hideMark/>
          </w:tcPr>
          <w:p w14:paraId="1C1E08A7"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175,448 </w:t>
            </w:r>
          </w:p>
        </w:tc>
        <w:tc>
          <w:tcPr>
            <w:tcW w:w="792" w:type="pct"/>
            <w:tcBorders>
              <w:top w:val="nil"/>
            </w:tcBorders>
            <w:noWrap/>
            <w:hideMark/>
          </w:tcPr>
          <w:p w14:paraId="473EA0DF"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187,084 </w:t>
            </w:r>
          </w:p>
        </w:tc>
        <w:tc>
          <w:tcPr>
            <w:tcW w:w="793" w:type="pct"/>
            <w:tcBorders>
              <w:top w:val="nil"/>
            </w:tcBorders>
            <w:noWrap/>
            <w:hideMark/>
          </w:tcPr>
          <w:p w14:paraId="48AE5950"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196,365 </w:t>
            </w:r>
          </w:p>
        </w:tc>
        <w:tc>
          <w:tcPr>
            <w:tcW w:w="792" w:type="pct"/>
            <w:tcBorders>
              <w:top w:val="nil"/>
              <w:right w:val="dotted" w:sz="4" w:space="0" w:color="auto"/>
            </w:tcBorders>
            <w:noWrap/>
            <w:hideMark/>
          </w:tcPr>
          <w:p w14:paraId="63A524C8"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204,926 </w:t>
            </w:r>
          </w:p>
        </w:tc>
        <w:tc>
          <w:tcPr>
            <w:tcW w:w="792" w:type="pct"/>
            <w:tcBorders>
              <w:top w:val="nil"/>
              <w:left w:val="dotted" w:sz="4" w:space="0" w:color="auto"/>
              <w:bottom w:val="nil"/>
            </w:tcBorders>
            <w:noWrap/>
            <w:hideMark/>
          </w:tcPr>
          <w:p w14:paraId="5180FAE0"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275,703 </w:t>
            </w:r>
          </w:p>
        </w:tc>
      </w:tr>
      <w:tr w:rsidR="00F830E6" w:rsidRPr="00506C9D" w14:paraId="58720B4E" w14:textId="77777777" w:rsidTr="00F830E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1CC6CBDA" w14:textId="77777777" w:rsidR="00506C9D" w:rsidRPr="00506C9D" w:rsidRDefault="00506C9D">
            <w:pPr>
              <w:spacing w:after="0" w:line="240" w:lineRule="auto"/>
              <w:rPr>
                <w:rFonts w:eastAsia="Times New Roman" w:cs="Arial"/>
                <w:color w:val="000000"/>
                <w:sz w:val="20"/>
                <w:szCs w:val="20"/>
                <w:lang w:eastAsia="en-AU"/>
              </w:rPr>
            </w:pPr>
            <w:r w:rsidRPr="00506C9D">
              <w:rPr>
                <w:rFonts w:cs="Arial"/>
                <w:sz w:val="20"/>
                <w:szCs w:val="20"/>
              </w:rPr>
              <w:t>VIC</w:t>
            </w:r>
          </w:p>
        </w:tc>
        <w:tc>
          <w:tcPr>
            <w:tcW w:w="792" w:type="pct"/>
            <w:noWrap/>
            <w:hideMark/>
          </w:tcPr>
          <w:p w14:paraId="11872B3C"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156,116 </w:t>
            </w:r>
          </w:p>
        </w:tc>
        <w:tc>
          <w:tcPr>
            <w:tcW w:w="792" w:type="pct"/>
            <w:noWrap/>
            <w:hideMark/>
          </w:tcPr>
          <w:p w14:paraId="099269C0"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169,003 </w:t>
            </w:r>
          </w:p>
        </w:tc>
        <w:tc>
          <w:tcPr>
            <w:tcW w:w="793" w:type="pct"/>
            <w:noWrap/>
            <w:hideMark/>
          </w:tcPr>
          <w:p w14:paraId="50EFB321"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180,150 </w:t>
            </w:r>
          </w:p>
        </w:tc>
        <w:tc>
          <w:tcPr>
            <w:tcW w:w="792" w:type="pct"/>
            <w:tcBorders>
              <w:right w:val="dotted" w:sz="4" w:space="0" w:color="auto"/>
            </w:tcBorders>
            <w:noWrap/>
            <w:hideMark/>
          </w:tcPr>
          <w:p w14:paraId="16B7E4AA"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190,845 </w:t>
            </w:r>
          </w:p>
        </w:tc>
        <w:tc>
          <w:tcPr>
            <w:tcW w:w="792" w:type="pct"/>
            <w:tcBorders>
              <w:top w:val="nil"/>
              <w:left w:val="dotted" w:sz="4" w:space="0" w:color="auto"/>
              <w:bottom w:val="nil"/>
            </w:tcBorders>
            <w:noWrap/>
            <w:hideMark/>
          </w:tcPr>
          <w:p w14:paraId="27CC01E9"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258,114 </w:t>
            </w:r>
          </w:p>
        </w:tc>
      </w:tr>
      <w:tr w:rsidR="00392E4F" w:rsidRPr="00506C9D" w14:paraId="23823F57" w14:textId="77777777" w:rsidTr="00F830E6">
        <w:trPr>
          <w:trHeight w:val="30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2A288A00" w14:textId="77777777" w:rsidR="00506C9D" w:rsidRPr="00506C9D" w:rsidRDefault="00506C9D">
            <w:pPr>
              <w:spacing w:after="0" w:line="240" w:lineRule="auto"/>
              <w:rPr>
                <w:rFonts w:eastAsia="Times New Roman" w:cs="Arial"/>
                <w:color w:val="000000"/>
                <w:sz w:val="20"/>
                <w:szCs w:val="20"/>
                <w:lang w:eastAsia="en-AU"/>
              </w:rPr>
            </w:pPr>
            <w:r w:rsidRPr="00506C9D">
              <w:rPr>
                <w:rFonts w:cs="Arial"/>
                <w:sz w:val="20"/>
                <w:szCs w:val="20"/>
              </w:rPr>
              <w:t>QLD</w:t>
            </w:r>
          </w:p>
        </w:tc>
        <w:tc>
          <w:tcPr>
            <w:tcW w:w="792" w:type="pct"/>
            <w:noWrap/>
            <w:hideMark/>
          </w:tcPr>
          <w:p w14:paraId="7042F398"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128,707 </w:t>
            </w:r>
          </w:p>
        </w:tc>
        <w:tc>
          <w:tcPr>
            <w:tcW w:w="792" w:type="pct"/>
            <w:noWrap/>
            <w:hideMark/>
          </w:tcPr>
          <w:p w14:paraId="53880701"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146,004 </w:t>
            </w:r>
          </w:p>
        </w:tc>
        <w:tc>
          <w:tcPr>
            <w:tcW w:w="793" w:type="pct"/>
            <w:noWrap/>
            <w:hideMark/>
          </w:tcPr>
          <w:p w14:paraId="248183B6"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162,776 </w:t>
            </w:r>
          </w:p>
        </w:tc>
        <w:tc>
          <w:tcPr>
            <w:tcW w:w="792" w:type="pct"/>
            <w:tcBorders>
              <w:right w:val="dotted" w:sz="4" w:space="0" w:color="auto"/>
            </w:tcBorders>
            <w:noWrap/>
            <w:hideMark/>
          </w:tcPr>
          <w:p w14:paraId="17A6A87F"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179,939 </w:t>
            </w:r>
          </w:p>
        </w:tc>
        <w:tc>
          <w:tcPr>
            <w:tcW w:w="792" w:type="pct"/>
            <w:tcBorders>
              <w:top w:val="nil"/>
              <w:left w:val="dotted" w:sz="4" w:space="0" w:color="auto"/>
              <w:bottom w:val="nil"/>
            </w:tcBorders>
            <w:noWrap/>
            <w:hideMark/>
          </w:tcPr>
          <w:p w14:paraId="6F9ADFA2"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251,963 </w:t>
            </w:r>
          </w:p>
        </w:tc>
      </w:tr>
      <w:tr w:rsidR="00F830E6" w:rsidRPr="00506C9D" w14:paraId="4FBBDA6C" w14:textId="77777777" w:rsidTr="00F830E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56C4BF40" w14:textId="77777777" w:rsidR="00506C9D" w:rsidRPr="00506C9D" w:rsidRDefault="00506C9D">
            <w:pPr>
              <w:spacing w:after="0" w:line="240" w:lineRule="auto"/>
              <w:rPr>
                <w:rFonts w:eastAsia="Times New Roman" w:cs="Arial"/>
                <w:color w:val="000000"/>
                <w:sz w:val="20"/>
                <w:szCs w:val="20"/>
                <w:lang w:eastAsia="en-AU"/>
              </w:rPr>
            </w:pPr>
            <w:r w:rsidRPr="00506C9D">
              <w:rPr>
                <w:rFonts w:cs="Arial"/>
                <w:sz w:val="20"/>
                <w:szCs w:val="20"/>
              </w:rPr>
              <w:t>SA</w:t>
            </w:r>
          </w:p>
        </w:tc>
        <w:tc>
          <w:tcPr>
            <w:tcW w:w="792" w:type="pct"/>
            <w:noWrap/>
            <w:hideMark/>
          </w:tcPr>
          <w:p w14:paraId="54E9E180"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50,978 </w:t>
            </w:r>
          </w:p>
        </w:tc>
        <w:tc>
          <w:tcPr>
            <w:tcW w:w="792" w:type="pct"/>
            <w:noWrap/>
            <w:hideMark/>
          </w:tcPr>
          <w:p w14:paraId="2B7CD0E1"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55,028 </w:t>
            </w:r>
          </w:p>
        </w:tc>
        <w:tc>
          <w:tcPr>
            <w:tcW w:w="793" w:type="pct"/>
            <w:noWrap/>
            <w:hideMark/>
          </w:tcPr>
          <w:p w14:paraId="6E66185C"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58,536 </w:t>
            </w:r>
          </w:p>
        </w:tc>
        <w:tc>
          <w:tcPr>
            <w:tcW w:w="792" w:type="pct"/>
            <w:tcBorders>
              <w:right w:val="dotted" w:sz="4" w:space="0" w:color="auto"/>
            </w:tcBorders>
            <w:noWrap/>
            <w:hideMark/>
          </w:tcPr>
          <w:p w14:paraId="5DC16C58"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61,979 </w:t>
            </w:r>
          </w:p>
        </w:tc>
        <w:tc>
          <w:tcPr>
            <w:tcW w:w="792" w:type="pct"/>
            <w:tcBorders>
              <w:top w:val="nil"/>
              <w:left w:val="dotted" w:sz="4" w:space="0" w:color="auto"/>
              <w:bottom w:val="nil"/>
            </w:tcBorders>
            <w:noWrap/>
            <w:hideMark/>
          </w:tcPr>
          <w:p w14:paraId="60664D99"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86,239 </w:t>
            </w:r>
          </w:p>
        </w:tc>
      </w:tr>
      <w:tr w:rsidR="00392E4F" w:rsidRPr="00506C9D" w14:paraId="14F7AE96" w14:textId="77777777" w:rsidTr="00F830E6">
        <w:trPr>
          <w:trHeight w:val="30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74B73407" w14:textId="77777777" w:rsidR="00506C9D" w:rsidRPr="00506C9D" w:rsidRDefault="00506C9D">
            <w:pPr>
              <w:spacing w:after="0" w:line="240" w:lineRule="auto"/>
              <w:rPr>
                <w:rFonts w:eastAsia="Times New Roman" w:cs="Arial"/>
                <w:color w:val="000000"/>
                <w:sz w:val="20"/>
                <w:szCs w:val="20"/>
                <w:lang w:eastAsia="en-AU"/>
              </w:rPr>
            </w:pPr>
            <w:r w:rsidRPr="00506C9D">
              <w:rPr>
                <w:rFonts w:cs="Arial"/>
                <w:sz w:val="20"/>
                <w:szCs w:val="20"/>
              </w:rPr>
              <w:t>WA</w:t>
            </w:r>
          </w:p>
        </w:tc>
        <w:tc>
          <w:tcPr>
            <w:tcW w:w="792" w:type="pct"/>
            <w:noWrap/>
            <w:hideMark/>
          </w:tcPr>
          <w:p w14:paraId="3353E5BB"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52,295 </w:t>
            </w:r>
          </w:p>
        </w:tc>
        <w:tc>
          <w:tcPr>
            <w:tcW w:w="792" w:type="pct"/>
            <w:noWrap/>
            <w:hideMark/>
          </w:tcPr>
          <w:p w14:paraId="34A11412"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57,982 </w:t>
            </w:r>
          </w:p>
        </w:tc>
        <w:tc>
          <w:tcPr>
            <w:tcW w:w="793" w:type="pct"/>
            <w:noWrap/>
            <w:hideMark/>
          </w:tcPr>
          <w:p w14:paraId="228BC7EA"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63,285 </w:t>
            </w:r>
          </w:p>
        </w:tc>
        <w:tc>
          <w:tcPr>
            <w:tcW w:w="792" w:type="pct"/>
            <w:tcBorders>
              <w:right w:val="dotted" w:sz="4" w:space="0" w:color="auto"/>
            </w:tcBorders>
            <w:noWrap/>
            <w:hideMark/>
          </w:tcPr>
          <w:p w14:paraId="67811986"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68,742 </w:t>
            </w:r>
          </w:p>
        </w:tc>
        <w:tc>
          <w:tcPr>
            <w:tcW w:w="792" w:type="pct"/>
            <w:tcBorders>
              <w:top w:val="nil"/>
              <w:left w:val="dotted" w:sz="4" w:space="0" w:color="auto"/>
              <w:bottom w:val="nil"/>
            </w:tcBorders>
            <w:noWrap/>
            <w:hideMark/>
          </w:tcPr>
          <w:p w14:paraId="5EBD0863"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97,590 </w:t>
            </w:r>
          </w:p>
        </w:tc>
      </w:tr>
      <w:tr w:rsidR="00F830E6" w:rsidRPr="00506C9D" w14:paraId="0859433F" w14:textId="77777777" w:rsidTr="00F830E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7CF16430" w14:textId="77777777" w:rsidR="00506C9D" w:rsidRPr="00506C9D" w:rsidRDefault="00506C9D">
            <w:pPr>
              <w:spacing w:after="0" w:line="240" w:lineRule="auto"/>
              <w:rPr>
                <w:rFonts w:eastAsia="Times New Roman" w:cs="Arial"/>
                <w:color w:val="000000"/>
                <w:sz w:val="20"/>
                <w:szCs w:val="20"/>
                <w:lang w:eastAsia="en-AU"/>
              </w:rPr>
            </w:pPr>
            <w:r w:rsidRPr="00506C9D">
              <w:rPr>
                <w:rFonts w:cs="Arial"/>
                <w:sz w:val="20"/>
                <w:szCs w:val="20"/>
              </w:rPr>
              <w:t>TAS</w:t>
            </w:r>
          </w:p>
        </w:tc>
        <w:tc>
          <w:tcPr>
            <w:tcW w:w="792" w:type="pct"/>
            <w:noWrap/>
            <w:hideMark/>
          </w:tcPr>
          <w:p w14:paraId="539D9260"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13,249 </w:t>
            </w:r>
          </w:p>
        </w:tc>
        <w:tc>
          <w:tcPr>
            <w:tcW w:w="792" w:type="pct"/>
            <w:noWrap/>
            <w:hideMark/>
          </w:tcPr>
          <w:p w14:paraId="5F056057"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14,313 </w:t>
            </w:r>
          </w:p>
        </w:tc>
        <w:tc>
          <w:tcPr>
            <w:tcW w:w="793" w:type="pct"/>
            <w:noWrap/>
            <w:hideMark/>
          </w:tcPr>
          <w:p w14:paraId="6C4DBFEC"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15,239 </w:t>
            </w:r>
          </w:p>
        </w:tc>
        <w:tc>
          <w:tcPr>
            <w:tcW w:w="792" w:type="pct"/>
            <w:tcBorders>
              <w:right w:val="dotted" w:sz="4" w:space="0" w:color="auto"/>
            </w:tcBorders>
            <w:noWrap/>
            <w:hideMark/>
          </w:tcPr>
          <w:p w14:paraId="7DC8A429"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16,177 </w:t>
            </w:r>
          </w:p>
        </w:tc>
        <w:tc>
          <w:tcPr>
            <w:tcW w:w="792" w:type="pct"/>
            <w:tcBorders>
              <w:top w:val="nil"/>
              <w:left w:val="dotted" w:sz="4" w:space="0" w:color="auto"/>
              <w:bottom w:val="nil"/>
            </w:tcBorders>
            <w:noWrap/>
            <w:hideMark/>
          </w:tcPr>
          <w:p w14:paraId="154EBA99"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22,683 </w:t>
            </w:r>
          </w:p>
        </w:tc>
      </w:tr>
      <w:tr w:rsidR="00392E4F" w:rsidRPr="00506C9D" w14:paraId="53BCE607" w14:textId="77777777" w:rsidTr="00F830E6">
        <w:trPr>
          <w:trHeight w:val="300"/>
        </w:trPr>
        <w:tc>
          <w:tcPr>
            <w:cnfStyle w:val="001000000000" w:firstRow="0" w:lastRow="0" w:firstColumn="1" w:lastColumn="0" w:oddVBand="0" w:evenVBand="0" w:oddHBand="0" w:evenHBand="0" w:firstRowFirstColumn="0" w:firstRowLastColumn="0" w:lastRowFirstColumn="0" w:lastRowLastColumn="0"/>
            <w:tcW w:w="1037" w:type="pct"/>
            <w:noWrap/>
            <w:hideMark/>
          </w:tcPr>
          <w:p w14:paraId="63757C2F" w14:textId="77777777" w:rsidR="00506C9D" w:rsidRPr="00506C9D" w:rsidRDefault="00506C9D">
            <w:pPr>
              <w:spacing w:after="0" w:line="240" w:lineRule="auto"/>
              <w:rPr>
                <w:rFonts w:eastAsia="Times New Roman" w:cs="Arial"/>
                <w:color w:val="000000"/>
                <w:sz w:val="20"/>
                <w:szCs w:val="20"/>
                <w:lang w:eastAsia="en-AU"/>
              </w:rPr>
            </w:pPr>
            <w:r w:rsidRPr="00506C9D">
              <w:rPr>
                <w:rFonts w:cs="Arial"/>
                <w:sz w:val="20"/>
                <w:szCs w:val="20"/>
              </w:rPr>
              <w:t>ACT</w:t>
            </w:r>
          </w:p>
        </w:tc>
        <w:tc>
          <w:tcPr>
            <w:tcW w:w="792" w:type="pct"/>
            <w:noWrap/>
            <w:hideMark/>
          </w:tcPr>
          <w:p w14:paraId="2D2A0F09"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9,774 </w:t>
            </w:r>
          </w:p>
        </w:tc>
        <w:tc>
          <w:tcPr>
            <w:tcW w:w="792" w:type="pct"/>
            <w:noWrap/>
            <w:hideMark/>
          </w:tcPr>
          <w:p w14:paraId="418F9EB1"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10,089 </w:t>
            </w:r>
          </w:p>
        </w:tc>
        <w:tc>
          <w:tcPr>
            <w:tcW w:w="793" w:type="pct"/>
            <w:noWrap/>
            <w:hideMark/>
          </w:tcPr>
          <w:p w14:paraId="3DC7BEA6"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10,239 </w:t>
            </w:r>
          </w:p>
        </w:tc>
        <w:tc>
          <w:tcPr>
            <w:tcW w:w="792" w:type="pct"/>
            <w:tcBorders>
              <w:right w:val="dotted" w:sz="4" w:space="0" w:color="auto"/>
            </w:tcBorders>
            <w:noWrap/>
            <w:hideMark/>
          </w:tcPr>
          <w:p w14:paraId="32E9B1AF"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10,322 </w:t>
            </w:r>
          </w:p>
        </w:tc>
        <w:tc>
          <w:tcPr>
            <w:tcW w:w="792" w:type="pct"/>
            <w:tcBorders>
              <w:top w:val="nil"/>
              <w:left w:val="dotted" w:sz="4" w:space="0" w:color="auto"/>
              <w:bottom w:val="nil"/>
            </w:tcBorders>
            <w:noWrap/>
            <w:hideMark/>
          </w:tcPr>
          <w:p w14:paraId="4A525613"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13,837 </w:t>
            </w:r>
          </w:p>
        </w:tc>
      </w:tr>
      <w:tr w:rsidR="00392E4F" w:rsidRPr="00506C9D" w14:paraId="65F8F6FC" w14:textId="77777777" w:rsidTr="00392E4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37" w:type="pct"/>
            <w:tcBorders>
              <w:bottom w:val="single" w:sz="4" w:space="0" w:color="auto"/>
            </w:tcBorders>
            <w:noWrap/>
            <w:hideMark/>
          </w:tcPr>
          <w:p w14:paraId="10D16D31" w14:textId="77777777" w:rsidR="00506C9D" w:rsidRPr="00506C9D" w:rsidRDefault="00506C9D">
            <w:pPr>
              <w:spacing w:after="0" w:line="240" w:lineRule="auto"/>
              <w:rPr>
                <w:rFonts w:eastAsia="Times New Roman" w:cs="Arial"/>
                <w:color w:val="000000"/>
                <w:sz w:val="20"/>
                <w:szCs w:val="20"/>
                <w:lang w:eastAsia="en-AU"/>
              </w:rPr>
            </w:pPr>
            <w:r w:rsidRPr="00506C9D">
              <w:rPr>
                <w:rFonts w:cs="Arial"/>
                <w:sz w:val="20"/>
                <w:szCs w:val="20"/>
              </w:rPr>
              <w:t>NT</w:t>
            </w:r>
          </w:p>
        </w:tc>
        <w:tc>
          <w:tcPr>
            <w:tcW w:w="792" w:type="pct"/>
            <w:tcBorders>
              <w:bottom w:val="single" w:sz="4" w:space="0" w:color="auto"/>
            </w:tcBorders>
            <w:noWrap/>
            <w:hideMark/>
          </w:tcPr>
          <w:p w14:paraId="4D56B1B0"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5,726 </w:t>
            </w:r>
          </w:p>
        </w:tc>
        <w:tc>
          <w:tcPr>
            <w:tcW w:w="792" w:type="pct"/>
            <w:tcBorders>
              <w:bottom w:val="single" w:sz="4" w:space="0" w:color="auto"/>
            </w:tcBorders>
            <w:noWrap/>
            <w:hideMark/>
          </w:tcPr>
          <w:p w14:paraId="11EB9252"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6,511 </w:t>
            </w:r>
          </w:p>
        </w:tc>
        <w:tc>
          <w:tcPr>
            <w:tcW w:w="793" w:type="pct"/>
            <w:tcBorders>
              <w:bottom w:val="single" w:sz="4" w:space="0" w:color="auto"/>
            </w:tcBorders>
            <w:noWrap/>
            <w:hideMark/>
          </w:tcPr>
          <w:p w14:paraId="1558FE0D"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7,298 </w:t>
            </w:r>
          </w:p>
        </w:tc>
        <w:tc>
          <w:tcPr>
            <w:tcW w:w="792" w:type="pct"/>
            <w:tcBorders>
              <w:bottom w:val="single" w:sz="4" w:space="0" w:color="auto"/>
              <w:right w:val="dotted" w:sz="4" w:space="0" w:color="auto"/>
            </w:tcBorders>
            <w:noWrap/>
            <w:hideMark/>
          </w:tcPr>
          <w:p w14:paraId="1216FD49"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8,147 </w:t>
            </w:r>
          </w:p>
        </w:tc>
        <w:tc>
          <w:tcPr>
            <w:tcW w:w="792" w:type="pct"/>
            <w:tcBorders>
              <w:top w:val="nil"/>
              <w:left w:val="dotted" w:sz="4" w:space="0" w:color="auto"/>
              <w:bottom w:val="single" w:sz="4" w:space="0" w:color="auto"/>
            </w:tcBorders>
            <w:noWrap/>
            <w:hideMark/>
          </w:tcPr>
          <w:p w14:paraId="16FF94B7"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 xml:space="preserve"> 11,393 </w:t>
            </w:r>
          </w:p>
        </w:tc>
      </w:tr>
      <w:tr w:rsidR="00392E4F" w:rsidRPr="00506C9D" w14:paraId="2BA01845" w14:textId="77777777" w:rsidTr="00392E4F">
        <w:trPr>
          <w:trHeight w:val="315"/>
        </w:trPr>
        <w:tc>
          <w:tcPr>
            <w:cnfStyle w:val="001000000000" w:firstRow="0" w:lastRow="0" w:firstColumn="1" w:lastColumn="0" w:oddVBand="0" w:evenVBand="0" w:oddHBand="0" w:evenHBand="0" w:firstRowFirstColumn="0" w:firstRowLastColumn="0" w:lastRowFirstColumn="0" w:lastRowLastColumn="0"/>
            <w:tcW w:w="1037" w:type="pct"/>
            <w:tcBorders>
              <w:top w:val="single" w:sz="4" w:space="0" w:color="auto"/>
              <w:bottom w:val="single" w:sz="4" w:space="0" w:color="auto"/>
            </w:tcBorders>
            <w:shd w:val="clear" w:color="auto" w:fill="D3C5D7"/>
            <w:noWrap/>
            <w:hideMark/>
          </w:tcPr>
          <w:p w14:paraId="1B281ED4" w14:textId="77777777" w:rsidR="00506C9D" w:rsidRPr="00506C9D" w:rsidRDefault="00506C9D">
            <w:pPr>
              <w:spacing w:after="0" w:line="240" w:lineRule="auto"/>
              <w:rPr>
                <w:rFonts w:eastAsia="Times New Roman" w:cs="Arial"/>
                <w:b/>
                <w:bCs/>
                <w:color w:val="000000"/>
                <w:sz w:val="20"/>
                <w:szCs w:val="20"/>
                <w:lang w:eastAsia="en-AU"/>
              </w:rPr>
            </w:pPr>
            <w:r w:rsidRPr="00506C9D">
              <w:rPr>
                <w:rFonts w:cs="Arial"/>
                <w:b/>
                <w:sz w:val="20"/>
                <w:szCs w:val="20"/>
              </w:rPr>
              <w:t>Total</w:t>
            </w:r>
          </w:p>
        </w:tc>
        <w:tc>
          <w:tcPr>
            <w:tcW w:w="792" w:type="pct"/>
            <w:tcBorders>
              <w:top w:val="single" w:sz="4" w:space="0" w:color="auto"/>
              <w:bottom w:val="single" w:sz="4" w:space="0" w:color="auto"/>
            </w:tcBorders>
            <w:shd w:val="clear" w:color="auto" w:fill="D3C5D7"/>
            <w:noWrap/>
            <w:hideMark/>
          </w:tcPr>
          <w:p w14:paraId="6D337977"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F830E6">
              <w:rPr>
                <w:rFonts w:cs="Arial"/>
                <w:b/>
                <w:sz w:val="20"/>
                <w:szCs w:val="20"/>
              </w:rPr>
              <w:t xml:space="preserve"> 592,294 </w:t>
            </w:r>
          </w:p>
        </w:tc>
        <w:tc>
          <w:tcPr>
            <w:tcW w:w="792" w:type="pct"/>
            <w:tcBorders>
              <w:top w:val="single" w:sz="4" w:space="0" w:color="auto"/>
              <w:bottom w:val="single" w:sz="4" w:space="0" w:color="auto"/>
            </w:tcBorders>
            <w:shd w:val="clear" w:color="auto" w:fill="D3C5D7"/>
            <w:noWrap/>
            <w:hideMark/>
          </w:tcPr>
          <w:p w14:paraId="6AC7AAE3"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F830E6">
              <w:rPr>
                <w:rFonts w:cs="Arial"/>
                <w:b/>
                <w:sz w:val="20"/>
                <w:szCs w:val="20"/>
              </w:rPr>
              <w:t xml:space="preserve"> 646,012 </w:t>
            </w:r>
          </w:p>
        </w:tc>
        <w:tc>
          <w:tcPr>
            <w:tcW w:w="793" w:type="pct"/>
            <w:tcBorders>
              <w:top w:val="single" w:sz="4" w:space="0" w:color="auto"/>
              <w:bottom w:val="single" w:sz="4" w:space="0" w:color="auto"/>
            </w:tcBorders>
            <w:shd w:val="clear" w:color="auto" w:fill="D3C5D7"/>
            <w:noWrap/>
            <w:hideMark/>
          </w:tcPr>
          <w:p w14:paraId="08F3AC99"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F830E6">
              <w:rPr>
                <w:rFonts w:cs="Arial"/>
                <w:b/>
                <w:sz w:val="20"/>
                <w:szCs w:val="20"/>
              </w:rPr>
              <w:t xml:space="preserve"> 693,889 </w:t>
            </w:r>
          </w:p>
        </w:tc>
        <w:tc>
          <w:tcPr>
            <w:tcW w:w="792" w:type="pct"/>
            <w:tcBorders>
              <w:top w:val="single" w:sz="4" w:space="0" w:color="auto"/>
              <w:bottom w:val="single" w:sz="4" w:space="0" w:color="auto"/>
              <w:right w:val="dotted" w:sz="4" w:space="0" w:color="auto"/>
            </w:tcBorders>
            <w:shd w:val="clear" w:color="auto" w:fill="D3C5D7"/>
            <w:noWrap/>
            <w:hideMark/>
          </w:tcPr>
          <w:p w14:paraId="07310CE1"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F830E6">
              <w:rPr>
                <w:rFonts w:cs="Arial"/>
                <w:b/>
                <w:sz w:val="20"/>
                <w:szCs w:val="20"/>
              </w:rPr>
              <w:t xml:space="preserve"> 741,077 </w:t>
            </w:r>
          </w:p>
        </w:tc>
        <w:tc>
          <w:tcPr>
            <w:tcW w:w="792" w:type="pct"/>
            <w:tcBorders>
              <w:top w:val="single" w:sz="4" w:space="0" w:color="auto"/>
              <w:left w:val="dotted" w:sz="4" w:space="0" w:color="auto"/>
              <w:bottom w:val="single" w:sz="4" w:space="0" w:color="auto"/>
            </w:tcBorders>
            <w:shd w:val="clear" w:color="auto" w:fill="D3C5D7"/>
            <w:noWrap/>
            <w:hideMark/>
          </w:tcPr>
          <w:p w14:paraId="7FC7B60D"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F830E6">
              <w:rPr>
                <w:rFonts w:cs="Arial"/>
                <w:b/>
                <w:sz w:val="20"/>
                <w:szCs w:val="20"/>
              </w:rPr>
              <w:t xml:space="preserve"> 1,017,522 </w:t>
            </w:r>
          </w:p>
        </w:tc>
      </w:tr>
    </w:tbl>
    <w:p w14:paraId="37CFD92C" w14:textId="77777777" w:rsidR="00C33621" w:rsidRPr="00665A06" w:rsidRDefault="006E4D63" w:rsidP="00DA3F73">
      <w:pPr>
        <w:pStyle w:val="Tables"/>
        <w:spacing w:before="240"/>
      </w:pPr>
      <w:bookmarkStart w:id="443" w:name="_Ref114218153"/>
      <w:r w:rsidRPr="00AE7A29">
        <w:t>Table</w:t>
      </w:r>
      <w:r>
        <w:t xml:space="preserve"> D</w:t>
      </w:r>
      <w:r w:rsidR="00A87896">
        <w:t>.</w:t>
      </w:r>
      <w:fldSimple w:instr=" SEQ Table \* ARABIC \s 2 ">
        <w:r w:rsidR="00A87896">
          <w:rPr>
            <w:noProof/>
          </w:rPr>
          <w:t>2</w:t>
        </w:r>
      </w:fldSimple>
      <w:bookmarkEnd w:id="443"/>
      <w:r>
        <w:t>:</w:t>
      </w:r>
      <w:r w:rsidRPr="006E4D63">
        <w:t xml:space="preserve"> </w:t>
      </w:r>
      <w:r w:rsidR="00C33621" w:rsidRPr="00665A06">
        <w:t xml:space="preserve">Projected </w:t>
      </w:r>
      <w:r w:rsidR="007B39B8">
        <w:t xml:space="preserve">Scheme expenses </w:t>
      </w:r>
      <w:r w:rsidR="00C33621" w:rsidRPr="00665A06">
        <w:t>by jurisdiction</w:t>
      </w:r>
    </w:p>
    <w:tbl>
      <w:tblPr>
        <w:tblStyle w:val="FSRtable"/>
        <w:tblW w:w="4946" w:type="pct"/>
        <w:tblInd w:w="0" w:type="dxa"/>
        <w:tblLayout w:type="fixed"/>
        <w:tblLook w:val="04A0" w:firstRow="1" w:lastRow="0" w:firstColumn="1" w:lastColumn="0" w:noHBand="0" w:noVBand="1"/>
      </w:tblPr>
      <w:tblGrid>
        <w:gridCol w:w="1843"/>
        <w:gridCol w:w="1418"/>
        <w:gridCol w:w="1418"/>
        <w:gridCol w:w="1418"/>
        <w:gridCol w:w="1418"/>
        <w:gridCol w:w="1414"/>
      </w:tblGrid>
      <w:tr w:rsidR="00EF1E6F" w:rsidRPr="00506C9D" w14:paraId="7DD03D8C" w14:textId="77777777" w:rsidTr="00F830E6">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032" w:type="pct"/>
            <w:noWrap/>
            <w:hideMark/>
          </w:tcPr>
          <w:p w14:paraId="3BCB391D" w14:textId="77777777" w:rsidR="00EF1E6F" w:rsidRPr="00506C9D" w:rsidRDefault="00EF1E6F" w:rsidP="003F6941">
            <w:pPr>
              <w:keepNext/>
              <w:spacing w:after="0" w:line="240" w:lineRule="auto"/>
              <w:rPr>
                <w:rFonts w:eastAsia="Times New Roman"/>
                <w:bCs/>
                <w:color w:val="FFFFFF"/>
                <w:sz w:val="20"/>
                <w:szCs w:val="20"/>
              </w:rPr>
            </w:pPr>
          </w:p>
        </w:tc>
        <w:tc>
          <w:tcPr>
            <w:tcW w:w="3968" w:type="pct"/>
            <w:gridSpan w:val="5"/>
            <w:tcBorders>
              <w:top w:val="nil"/>
              <w:bottom w:val="nil"/>
            </w:tcBorders>
            <w:noWrap/>
            <w:hideMark/>
          </w:tcPr>
          <w:p w14:paraId="7E5AD5FD" w14:textId="77777777" w:rsidR="00EF1E6F" w:rsidRPr="00506C9D" w:rsidRDefault="00EE22AB" w:rsidP="003F6941">
            <w:pPr>
              <w:keepNext/>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rPr>
            </w:pPr>
            <w:r w:rsidRPr="00506C9D">
              <w:rPr>
                <w:rFonts w:eastAsia="Times New Roman"/>
                <w:bCs/>
                <w:color w:val="FFFFFF"/>
                <w:sz w:val="20"/>
                <w:szCs w:val="20"/>
              </w:rPr>
              <w:t>Year ended</w:t>
            </w:r>
            <w:r w:rsidR="00EF1E6F" w:rsidRPr="00506C9D">
              <w:rPr>
                <w:rFonts w:eastAsia="Times New Roman"/>
                <w:bCs/>
                <w:color w:val="FFFFFF"/>
                <w:sz w:val="20"/>
                <w:szCs w:val="20"/>
              </w:rPr>
              <w:t xml:space="preserve"> 30 June</w:t>
            </w:r>
          </w:p>
        </w:tc>
      </w:tr>
      <w:tr w:rsidR="00F830E6" w:rsidRPr="00506C9D" w14:paraId="532EC9EB" w14:textId="77777777" w:rsidTr="00F830E6">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032" w:type="pct"/>
            <w:noWrap/>
            <w:hideMark/>
          </w:tcPr>
          <w:p w14:paraId="38D620C4" w14:textId="77777777" w:rsidR="00CB2570" w:rsidRPr="00506C9D" w:rsidRDefault="007B39B8" w:rsidP="007B39B8">
            <w:pPr>
              <w:spacing w:after="0" w:line="240" w:lineRule="auto"/>
              <w:rPr>
                <w:rFonts w:eastAsia="Times New Roman"/>
                <w:color w:val="FFFFFF"/>
                <w:sz w:val="20"/>
                <w:szCs w:val="20"/>
                <w:lang w:eastAsia="en-AU"/>
              </w:rPr>
            </w:pPr>
            <w:r w:rsidRPr="00506C9D">
              <w:rPr>
                <w:rFonts w:eastAsia="Times New Roman"/>
                <w:color w:val="FFFFFF"/>
                <w:sz w:val="20"/>
                <w:szCs w:val="20"/>
                <w:lang w:eastAsia="en-AU"/>
              </w:rPr>
              <w:t>Scheme expenses</w:t>
            </w:r>
            <w:r w:rsidR="00CB2570" w:rsidRPr="00506C9D">
              <w:rPr>
                <w:rFonts w:eastAsia="Times New Roman"/>
                <w:color w:val="FFFFFF"/>
                <w:sz w:val="20"/>
                <w:szCs w:val="20"/>
                <w:lang w:eastAsia="en-AU"/>
              </w:rPr>
              <w:t xml:space="preserve"> ($m)</w:t>
            </w:r>
          </w:p>
        </w:tc>
        <w:tc>
          <w:tcPr>
            <w:tcW w:w="794" w:type="pct"/>
            <w:noWrap/>
            <w:hideMark/>
          </w:tcPr>
          <w:p w14:paraId="09B3D141" w14:textId="77777777" w:rsidR="00CB2570" w:rsidRPr="00506C9D" w:rsidRDefault="00CB2570">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en-AU"/>
              </w:rPr>
            </w:pPr>
            <w:r w:rsidRPr="00506C9D">
              <w:rPr>
                <w:rFonts w:eastAsia="Times New Roman"/>
                <w:color w:val="FFFFFF"/>
                <w:sz w:val="20"/>
                <w:szCs w:val="20"/>
                <w:lang w:eastAsia="en-AU"/>
              </w:rPr>
              <w:t>2</w:t>
            </w:r>
            <w:r w:rsidR="00EF1E6F" w:rsidRPr="00506C9D">
              <w:rPr>
                <w:rFonts w:eastAsia="Times New Roman"/>
                <w:color w:val="FFFFFF"/>
                <w:sz w:val="20"/>
                <w:szCs w:val="20"/>
                <w:lang w:eastAsia="en-AU"/>
              </w:rPr>
              <w:t>0</w:t>
            </w:r>
            <w:r w:rsidRPr="00506C9D">
              <w:rPr>
                <w:rFonts w:eastAsia="Times New Roman"/>
                <w:color w:val="FFFFFF"/>
                <w:sz w:val="20"/>
                <w:szCs w:val="20"/>
                <w:lang w:eastAsia="en-AU"/>
              </w:rPr>
              <w:t>23</w:t>
            </w:r>
          </w:p>
        </w:tc>
        <w:tc>
          <w:tcPr>
            <w:tcW w:w="794" w:type="pct"/>
            <w:noWrap/>
            <w:hideMark/>
          </w:tcPr>
          <w:p w14:paraId="526F5A1E" w14:textId="77777777" w:rsidR="00CB2570" w:rsidRPr="00506C9D" w:rsidRDefault="00EF1E6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en-AU"/>
              </w:rPr>
            </w:pPr>
            <w:r w:rsidRPr="00506C9D">
              <w:rPr>
                <w:rFonts w:eastAsia="Times New Roman"/>
                <w:color w:val="FFFFFF"/>
                <w:sz w:val="20"/>
                <w:szCs w:val="20"/>
                <w:lang w:eastAsia="en-AU"/>
              </w:rPr>
              <w:t>20</w:t>
            </w:r>
            <w:r w:rsidR="00CB2570" w:rsidRPr="00506C9D">
              <w:rPr>
                <w:rFonts w:eastAsia="Times New Roman"/>
                <w:color w:val="FFFFFF"/>
                <w:sz w:val="20"/>
                <w:szCs w:val="20"/>
                <w:lang w:eastAsia="en-AU"/>
              </w:rPr>
              <w:t>24</w:t>
            </w:r>
          </w:p>
        </w:tc>
        <w:tc>
          <w:tcPr>
            <w:tcW w:w="794" w:type="pct"/>
            <w:tcBorders>
              <w:top w:val="nil"/>
              <w:bottom w:val="nil"/>
              <w:right w:val="nil"/>
            </w:tcBorders>
            <w:noWrap/>
            <w:hideMark/>
          </w:tcPr>
          <w:p w14:paraId="14E110E2" w14:textId="77777777" w:rsidR="00CB2570" w:rsidRPr="00506C9D" w:rsidRDefault="00EF1E6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en-AU"/>
              </w:rPr>
            </w:pPr>
            <w:r w:rsidRPr="00506C9D">
              <w:rPr>
                <w:rFonts w:eastAsia="Times New Roman"/>
                <w:color w:val="FFFFFF"/>
                <w:sz w:val="20"/>
                <w:szCs w:val="20"/>
                <w:lang w:eastAsia="en-AU"/>
              </w:rPr>
              <w:t>20</w:t>
            </w:r>
            <w:r w:rsidR="00CB2570" w:rsidRPr="00506C9D">
              <w:rPr>
                <w:rFonts w:eastAsia="Times New Roman"/>
                <w:color w:val="FFFFFF"/>
                <w:sz w:val="20"/>
                <w:szCs w:val="20"/>
                <w:lang w:eastAsia="en-AU"/>
              </w:rPr>
              <w:t>25</w:t>
            </w:r>
          </w:p>
        </w:tc>
        <w:tc>
          <w:tcPr>
            <w:tcW w:w="794" w:type="pct"/>
            <w:tcBorders>
              <w:top w:val="nil"/>
              <w:left w:val="nil"/>
              <w:bottom w:val="nil"/>
              <w:right w:val="nil"/>
            </w:tcBorders>
            <w:noWrap/>
            <w:hideMark/>
          </w:tcPr>
          <w:p w14:paraId="19517BBB" w14:textId="77777777" w:rsidR="00CB2570" w:rsidRPr="00506C9D" w:rsidRDefault="00EF1E6F">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en-AU"/>
              </w:rPr>
            </w:pPr>
            <w:r w:rsidRPr="00506C9D">
              <w:rPr>
                <w:rFonts w:eastAsia="Times New Roman"/>
                <w:color w:val="FFFFFF"/>
                <w:sz w:val="20"/>
                <w:szCs w:val="20"/>
                <w:lang w:eastAsia="en-AU"/>
              </w:rPr>
              <w:t>20</w:t>
            </w:r>
            <w:r w:rsidR="00CB2570" w:rsidRPr="00506C9D">
              <w:rPr>
                <w:rFonts w:eastAsia="Times New Roman"/>
                <w:color w:val="FFFFFF"/>
                <w:sz w:val="20"/>
                <w:szCs w:val="20"/>
                <w:lang w:eastAsia="en-AU"/>
              </w:rPr>
              <w:t>26</w:t>
            </w:r>
          </w:p>
        </w:tc>
        <w:tc>
          <w:tcPr>
            <w:tcW w:w="794" w:type="pct"/>
            <w:tcBorders>
              <w:top w:val="nil"/>
              <w:left w:val="nil"/>
              <w:bottom w:val="nil"/>
            </w:tcBorders>
            <w:noWrap/>
            <w:hideMark/>
          </w:tcPr>
          <w:p w14:paraId="66046F4D" w14:textId="77777777" w:rsidR="00CB2570" w:rsidRPr="00506C9D" w:rsidRDefault="00CB2570">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lang w:eastAsia="en-AU"/>
              </w:rPr>
            </w:pPr>
            <w:r w:rsidRPr="00506C9D">
              <w:rPr>
                <w:rFonts w:eastAsia="Times New Roman"/>
                <w:color w:val="FFFFFF"/>
                <w:sz w:val="20"/>
                <w:szCs w:val="20"/>
                <w:lang w:eastAsia="en-AU"/>
              </w:rPr>
              <w:t>2</w:t>
            </w:r>
            <w:r w:rsidR="00EF1E6F" w:rsidRPr="00506C9D">
              <w:rPr>
                <w:rFonts w:eastAsia="Times New Roman"/>
                <w:color w:val="FFFFFF"/>
                <w:sz w:val="20"/>
                <w:szCs w:val="20"/>
                <w:lang w:eastAsia="en-AU"/>
              </w:rPr>
              <w:t>0</w:t>
            </w:r>
            <w:r w:rsidRPr="00506C9D">
              <w:rPr>
                <w:rFonts w:eastAsia="Times New Roman"/>
                <w:color w:val="FFFFFF"/>
                <w:sz w:val="20"/>
                <w:szCs w:val="20"/>
                <w:lang w:eastAsia="en-AU"/>
              </w:rPr>
              <w:t>32</w:t>
            </w:r>
          </w:p>
        </w:tc>
      </w:tr>
      <w:tr w:rsidR="00506C9D" w:rsidRPr="00506C9D" w14:paraId="1718EC11"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1032" w:type="pct"/>
            <w:noWrap/>
            <w:hideMark/>
          </w:tcPr>
          <w:p w14:paraId="45051A42" w14:textId="77777777" w:rsidR="00506C9D" w:rsidRPr="00506C9D" w:rsidRDefault="00506C9D" w:rsidP="00506C9D">
            <w:pPr>
              <w:spacing w:after="0" w:line="240" w:lineRule="auto"/>
              <w:rPr>
                <w:rFonts w:eastAsia="Times New Roman" w:cs="Arial"/>
                <w:color w:val="000000"/>
                <w:sz w:val="20"/>
                <w:szCs w:val="20"/>
                <w:lang w:eastAsia="en-AU"/>
              </w:rPr>
            </w:pPr>
            <w:r w:rsidRPr="00506C9D">
              <w:rPr>
                <w:rFonts w:eastAsia="Times New Roman" w:cs="Arial"/>
                <w:color w:val="000000"/>
                <w:sz w:val="20"/>
                <w:szCs w:val="20"/>
                <w:lang w:eastAsia="en-AU"/>
              </w:rPr>
              <w:t>NSW</w:t>
            </w:r>
          </w:p>
        </w:tc>
        <w:tc>
          <w:tcPr>
            <w:tcW w:w="794" w:type="pct"/>
            <w:noWrap/>
            <w:hideMark/>
          </w:tcPr>
          <w:p w14:paraId="6FCD204E"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10,599</w:t>
            </w:r>
          </w:p>
        </w:tc>
        <w:tc>
          <w:tcPr>
            <w:tcW w:w="794" w:type="pct"/>
            <w:noWrap/>
            <w:hideMark/>
          </w:tcPr>
          <w:p w14:paraId="2B5D315F"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11,668</w:t>
            </w:r>
          </w:p>
        </w:tc>
        <w:tc>
          <w:tcPr>
            <w:tcW w:w="794" w:type="pct"/>
            <w:tcBorders>
              <w:top w:val="nil"/>
            </w:tcBorders>
            <w:noWrap/>
            <w:hideMark/>
          </w:tcPr>
          <w:p w14:paraId="313BC5AE"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13,283</w:t>
            </w:r>
          </w:p>
        </w:tc>
        <w:tc>
          <w:tcPr>
            <w:tcW w:w="794" w:type="pct"/>
            <w:tcBorders>
              <w:top w:val="nil"/>
              <w:right w:val="dotted" w:sz="4" w:space="0" w:color="auto"/>
            </w:tcBorders>
            <w:noWrap/>
            <w:hideMark/>
          </w:tcPr>
          <w:p w14:paraId="5D1B7894"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14,939</w:t>
            </w:r>
          </w:p>
        </w:tc>
        <w:tc>
          <w:tcPr>
            <w:tcW w:w="794" w:type="pct"/>
            <w:tcBorders>
              <w:top w:val="nil"/>
              <w:left w:val="dotted" w:sz="4" w:space="0" w:color="auto"/>
            </w:tcBorders>
            <w:noWrap/>
            <w:hideMark/>
          </w:tcPr>
          <w:p w14:paraId="01EDB3D7"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26,074</w:t>
            </w:r>
          </w:p>
        </w:tc>
      </w:tr>
      <w:tr w:rsidR="00506C9D" w:rsidRPr="00506C9D" w14:paraId="69A68698"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32" w:type="pct"/>
            <w:noWrap/>
            <w:hideMark/>
          </w:tcPr>
          <w:p w14:paraId="3224FB0E" w14:textId="77777777" w:rsidR="00506C9D" w:rsidRPr="00506C9D" w:rsidRDefault="00506C9D" w:rsidP="00506C9D">
            <w:pPr>
              <w:spacing w:after="0" w:line="240" w:lineRule="auto"/>
              <w:rPr>
                <w:rFonts w:eastAsia="Times New Roman" w:cs="Arial"/>
                <w:color w:val="000000"/>
                <w:sz w:val="20"/>
                <w:szCs w:val="20"/>
                <w:lang w:eastAsia="en-AU"/>
              </w:rPr>
            </w:pPr>
            <w:r w:rsidRPr="00506C9D">
              <w:rPr>
                <w:rFonts w:eastAsia="Times New Roman" w:cs="Arial"/>
                <w:color w:val="000000"/>
                <w:sz w:val="20"/>
                <w:szCs w:val="20"/>
                <w:lang w:eastAsia="en-AU"/>
              </w:rPr>
              <w:t>VIC</w:t>
            </w:r>
          </w:p>
        </w:tc>
        <w:tc>
          <w:tcPr>
            <w:tcW w:w="794" w:type="pct"/>
            <w:noWrap/>
            <w:hideMark/>
          </w:tcPr>
          <w:p w14:paraId="4FC01F60"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8,396</w:t>
            </w:r>
          </w:p>
        </w:tc>
        <w:tc>
          <w:tcPr>
            <w:tcW w:w="794" w:type="pct"/>
            <w:noWrap/>
            <w:hideMark/>
          </w:tcPr>
          <w:p w14:paraId="1880972B"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9,672</w:t>
            </w:r>
          </w:p>
        </w:tc>
        <w:tc>
          <w:tcPr>
            <w:tcW w:w="794" w:type="pct"/>
            <w:noWrap/>
            <w:hideMark/>
          </w:tcPr>
          <w:p w14:paraId="183418AD"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11,442</w:t>
            </w:r>
          </w:p>
        </w:tc>
        <w:tc>
          <w:tcPr>
            <w:tcW w:w="794" w:type="pct"/>
            <w:tcBorders>
              <w:right w:val="dotted" w:sz="4" w:space="0" w:color="auto"/>
            </w:tcBorders>
            <w:noWrap/>
            <w:hideMark/>
          </w:tcPr>
          <w:p w14:paraId="21A36656"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13,317</w:t>
            </w:r>
          </w:p>
        </w:tc>
        <w:tc>
          <w:tcPr>
            <w:tcW w:w="794" w:type="pct"/>
            <w:tcBorders>
              <w:left w:val="dotted" w:sz="4" w:space="0" w:color="auto"/>
            </w:tcBorders>
            <w:noWrap/>
            <w:hideMark/>
          </w:tcPr>
          <w:p w14:paraId="1499C1A5"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24,323</w:t>
            </w:r>
          </w:p>
        </w:tc>
      </w:tr>
      <w:tr w:rsidR="00506C9D" w:rsidRPr="00506C9D" w14:paraId="4DB11A1B"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1032" w:type="pct"/>
            <w:noWrap/>
            <w:hideMark/>
          </w:tcPr>
          <w:p w14:paraId="34866324" w14:textId="77777777" w:rsidR="00506C9D" w:rsidRPr="00506C9D" w:rsidRDefault="00506C9D" w:rsidP="00506C9D">
            <w:pPr>
              <w:spacing w:after="0" w:line="240" w:lineRule="auto"/>
              <w:rPr>
                <w:rFonts w:eastAsia="Times New Roman" w:cs="Arial"/>
                <w:color w:val="000000"/>
                <w:sz w:val="20"/>
                <w:szCs w:val="20"/>
                <w:lang w:eastAsia="en-AU"/>
              </w:rPr>
            </w:pPr>
            <w:r w:rsidRPr="00506C9D">
              <w:rPr>
                <w:rFonts w:eastAsia="Times New Roman" w:cs="Arial"/>
                <w:color w:val="000000"/>
                <w:sz w:val="20"/>
                <w:szCs w:val="20"/>
                <w:lang w:eastAsia="en-AU"/>
              </w:rPr>
              <w:t>QLD</w:t>
            </w:r>
          </w:p>
        </w:tc>
        <w:tc>
          <w:tcPr>
            <w:tcW w:w="794" w:type="pct"/>
            <w:noWrap/>
            <w:hideMark/>
          </w:tcPr>
          <w:p w14:paraId="22962177"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7,359</w:t>
            </w:r>
          </w:p>
        </w:tc>
        <w:tc>
          <w:tcPr>
            <w:tcW w:w="794" w:type="pct"/>
            <w:noWrap/>
            <w:hideMark/>
          </w:tcPr>
          <w:p w14:paraId="748E8D59"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8,285</w:t>
            </w:r>
          </w:p>
        </w:tc>
        <w:tc>
          <w:tcPr>
            <w:tcW w:w="794" w:type="pct"/>
            <w:noWrap/>
            <w:hideMark/>
          </w:tcPr>
          <w:p w14:paraId="1BD1753D"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9,593</w:t>
            </w:r>
          </w:p>
        </w:tc>
        <w:tc>
          <w:tcPr>
            <w:tcW w:w="794" w:type="pct"/>
            <w:tcBorders>
              <w:right w:val="dotted" w:sz="4" w:space="0" w:color="auto"/>
            </w:tcBorders>
            <w:noWrap/>
            <w:hideMark/>
          </w:tcPr>
          <w:p w14:paraId="4D8B59D6"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10,945</w:t>
            </w:r>
          </w:p>
        </w:tc>
        <w:tc>
          <w:tcPr>
            <w:tcW w:w="794" w:type="pct"/>
            <w:tcBorders>
              <w:left w:val="dotted" w:sz="4" w:space="0" w:color="auto"/>
            </w:tcBorders>
            <w:noWrap/>
            <w:hideMark/>
          </w:tcPr>
          <w:p w14:paraId="760234D1"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19,193</w:t>
            </w:r>
          </w:p>
        </w:tc>
      </w:tr>
      <w:tr w:rsidR="00506C9D" w:rsidRPr="00506C9D" w14:paraId="14DBEC08"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32" w:type="pct"/>
            <w:noWrap/>
            <w:hideMark/>
          </w:tcPr>
          <w:p w14:paraId="1E43521B" w14:textId="77777777" w:rsidR="00506C9D" w:rsidRPr="00506C9D" w:rsidRDefault="00506C9D" w:rsidP="00506C9D">
            <w:pPr>
              <w:spacing w:after="0" w:line="240" w:lineRule="auto"/>
              <w:rPr>
                <w:rFonts w:eastAsia="Times New Roman" w:cs="Arial"/>
                <w:color w:val="000000"/>
                <w:sz w:val="20"/>
                <w:szCs w:val="20"/>
                <w:lang w:eastAsia="en-AU"/>
              </w:rPr>
            </w:pPr>
            <w:r w:rsidRPr="00506C9D">
              <w:rPr>
                <w:rFonts w:eastAsia="Times New Roman" w:cs="Arial"/>
                <w:color w:val="000000"/>
                <w:sz w:val="20"/>
                <w:szCs w:val="20"/>
                <w:lang w:eastAsia="en-AU"/>
              </w:rPr>
              <w:t>SA</w:t>
            </w:r>
          </w:p>
        </w:tc>
        <w:tc>
          <w:tcPr>
            <w:tcW w:w="794" w:type="pct"/>
            <w:noWrap/>
            <w:hideMark/>
          </w:tcPr>
          <w:p w14:paraId="17B1968D"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2,917</w:t>
            </w:r>
          </w:p>
        </w:tc>
        <w:tc>
          <w:tcPr>
            <w:tcW w:w="794" w:type="pct"/>
            <w:noWrap/>
            <w:hideMark/>
          </w:tcPr>
          <w:p w14:paraId="12E9504E"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3,308</w:t>
            </w:r>
          </w:p>
        </w:tc>
        <w:tc>
          <w:tcPr>
            <w:tcW w:w="794" w:type="pct"/>
            <w:noWrap/>
            <w:hideMark/>
          </w:tcPr>
          <w:p w14:paraId="1BBA72D7"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3,866</w:t>
            </w:r>
          </w:p>
        </w:tc>
        <w:tc>
          <w:tcPr>
            <w:tcW w:w="794" w:type="pct"/>
            <w:tcBorders>
              <w:right w:val="dotted" w:sz="4" w:space="0" w:color="auto"/>
            </w:tcBorders>
            <w:noWrap/>
            <w:hideMark/>
          </w:tcPr>
          <w:p w14:paraId="5AD465EA"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4,457</w:t>
            </w:r>
          </w:p>
        </w:tc>
        <w:tc>
          <w:tcPr>
            <w:tcW w:w="794" w:type="pct"/>
            <w:tcBorders>
              <w:left w:val="dotted" w:sz="4" w:space="0" w:color="auto"/>
            </w:tcBorders>
            <w:noWrap/>
            <w:hideMark/>
          </w:tcPr>
          <w:p w14:paraId="2156AA9C"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8,073</w:t>
            </w:r>
          </w:p>
        </w:tc>
      </w:tr>
      <w:tr w:rsidR="00506C9D" w:rsidRPr="00506C9D" w14:paraId="2DEFB612"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1032" w:type="pct"/>
            <w:noWrap/>
            <w:hideMark/>
          </w:tcPr>
          <w:p w14:paraId="53FA9BB6" w14:textId="77777777" w:rsidR="00506C9D" w:rsidRPr="00506C9D" w:rsidRDefault="00506C9D" w:rsidP="00506C9D">
            <w:pPr>
              <w:spacing w:after="0" w:line="240" w:lineRule="auto"/>
              <w:rPr>
                <w:rFonts w:eastAsia="Times New Roman" w:cs="Arial"/>
                <w:color w:val="000000"/>
                <w:sz w:val="20"/>
                <w:szCs w:val="20"/>
                <w:lang w:eastAsia="en-AU"/>
              </w:rPr>
            </w:pPr>
            <w:r w:rsidRPr="00506C9D">
              <w:rPr>
                <w:rFonts w:eastAsia="Times New Roman" w:cs="Arial"/>
                <w:color w:val="000000"/>
                <w:sz w:val="20"/>
                <w:szCs w:val="20"/>
                <w:lang w:eastAsia="en-AU"/>
              </w:rPr>
              <w:t>WA</w:t>
            </w:r>
          </w:p>
        </w:tc>
        <w:tc>
          <w:tcPr>
            <w:tcW w:w="794" w:type="pct"/>
            <w:noWrap/>
            <w:hideMark/>
          </w:tcPr>
          <w:p w14:paraId="503486C8"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2,832</w:t>
            </w:r>
          </w:p>
        </w:tc>
        <w:tc>
          <w:tcPr>
            <w:tcW w:w="794" w:type="pct"/>
            <w:noWrap/>
            <w:hideMark/>
          </w:tcPr>
          <w:p w14:paraId="0A23958E"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3,196</w:t>
            </w:r>
          </w:p>
        </w:tc>
        <w:tc>
          <w:tcPr>
            <w:tcW w:w="794" w:type="pct"/>
            <w:noWrap/>
            <w:hideMark/>
          </w:tcPr>
          <w:p w14:paraId="122D1579"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3,713</w:t>
            </w:r>
          </w:p>
        </w:tc>
        <w:tc>
          <w:tcPr>
            <w:tcW w:w="794" w:type="pct"/>
            <w:tcBorders>
              <w:right w:val="dotted" w:sz="4" w:space="0" w:color="auto"/>
            </w:tcBorders>
            <w:noWrap/>
            <w:hideMark/>
          </w:tcPr>
          <w:p w14:paraId="669D6EDD"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4,248</w:t>
            </w:r>
          </w:p>
        </w:tc>
        <w:tc>
          <w:tcPr>
            <w:tcW w:w="794" w:type="pct"/>
            <w:tcBorders>
              <w:left w:val="dotted" w:sz="4" w:space="0" w:color="auto"/>
            </w:tcBorders>
            <w:noWrap/>
            <w:hideMark/>
          </w:tcPr>
          <w:p w14:paraId="40B2FF0F"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7,582</w:t>
            </w:r>
          </w:p>
        </w:tc>
      </w:tr>
      <w:tr w:rsidR="00506C9D" w:rsidRPr="00506C9D" w14:paraId="42A064DC"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32" w:type="pct"/>
            <w:noWrap/>
            <w:hideMark/>
          </w:tcPr>
          <w:p w14:paraId="60289F49" w14:textId="77777777" w:rsidR="00506C9D" w:rsidRPr="00506C9D" w:rsidRDefault="00506C9D" w:rsidP="00506C9D">
            <w:pPr>
              <w:spacing w:after="0" w:line="240" w:lineRule="auto"/>
              <w:rPr>
                <w:rFonts w:eastAsia="Times New Roman" w:cs="Arial"/>
                <w:color w:val="000000"/>
                <w:sz w:val="20"/>
                <w:szCs w:val="20"/>
                <w:lang w:eastAsia="en-AU"/>
              </w:rPr>
            </w:pPr>
            <w:r w:rsidRPr="00506C9D">
              <w:rPr>
                <w:rFonts w:eastAsia="Times New Roman" w:cs="Arial"/>
                <w:color w:val="000000"/>
                <w:sz w:val="20"/>
                <w:szCs w:val="20"/>
                <w:lang w:eastAsia="en-AU"/>
              </w:rPr>
              <w:t>TAS</w:t>
            </w:r>
          </w:p>
        </w:tc>
        <w:tc>
          <w:tcPr>
            <w:tcW w:w="794" w:type="pct"/>
            <w:noWrap/>
            <w:hideMark/>
          </w:tcPr>
          <w:p w14:paraId="1173B00E"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903</w:t>
            </w:r>
          </w:p>
        </w:tc>
        <w:tc>
          <w:tcPr>
            <w:tcW w:w="794" w:type="pct"/>
            <w:noWrap/>
            <w:hideMark/>
          </w:tcPr>
          <w:p w14:paraId="1E35B838"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1,014</w:t>
            </w:r>
          </w:p>
        </w:tc>
        <w:tc>
          <w:tcPr>
            <w:tcW w:w="794" w:type="pct"/>
            <w:noWrap/>
            <w:hideMark/>
          </w:tcPr>
          <w:p w14:paraId="0DE8F97D"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1,182</w:t>
            </w:r>
          </w:p>
        </w:tc>
        <w:tc>
          <w:tcPr>
            <w:tcW w:w="794" w:type="pct"/>
            <w:tcBorders>
              <w:right w:val="dotted" w:sz="4" w:space="0" w:color="auto"/>
            </w:tcBorders>
            <w:noWrap/>
            <w:hideMark/>
          </w:tcPr>
          <w:p w14:paraId="3DB7EC47"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1,357</w:t>
            </w:r>
          </w:p>
        </w:tc>
        <w:tc>
          <w:tcPr>
            <w:tcW w:w="794" w:type="pct"/>
            <w:tcBorders>
              <w:left w:val="dotted" w:sz="4" w:space="0" w:color="auto"/>
            </w:tcBorders>
            <w:noWrap/>
            <w:hideMark/>
          </w:tcPr>
          <w:p w14:paraId="53F03EA7"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2,429</w:t>
            </w:r>
          </w:p>
        </w:tc>
      </w:tr>
      <w:tr w:rsidR="00506C9D" w:rsidRPr="00506C9D" w14:paraId="7061D7C2"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1032" w:type="pct"/>
            <w:noWrap/>
            <w:hideMark/>
          </w:tcPr>
          <w:p w14:paraId="1E4A1DBF" w14:textId="77777777" w:rsidR="00506C9D" w:rsidRPr="00506C9D" w:rsidRDefault="00506C9D" w:rsidP="00506C9D">
            <w:pPr>
              <w:spacing w:after="0" w:line="240" w:lineRule="auto"/>
              <w:rPr>
                <w:rFonts w:eastAsia="Times New Roman" w:cs="Arial"/>
                <w:color w:val="000000"/>
                <w:sz w:val="20"/>
                <w:szCs w:val="20"/>
                <w:lang w:eastAsia="en-AU"/>
              </w:rPr>
            </w:pPr>
            <w:r w:rsidRPr="00506C9D">
              <w:rPr>
                <w:rFonts w:eastAsia="Times New Roman" w:cs="Arial"/>
                <w:color w:val="000000"/>
                <w:sz w:val="20"/>
                <w:szCs w:val="20"/>
                <w:lang w:eastAsia="en-AU"/>
              </w:rPr>
              <w:t>ACT</w:t>
            </w:r>
          </w:p>
        </w:tc>
        <w:tc>
          <w:tcPr>
            <w:tcW w:w="794" w:type="pct"/>
            <w:noWrap/>
            <w:hideMark/>
          </w:tcPr>
          <w:p w14:paraId="1C63E95A"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505</w:t>
            </w:r>
          </w:p>
        </w:tc>
        <w:tc>
          <w:tcPr>
            <w:tcW w:w="794" w:type="pct"/>
            <w:noWrap/>
            <w:hideMark/>
          </w:tcPr>
          <w:p w14:paraId="3FFBE7AE"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516</w:t>
            </w:r>
          </w:p>
        </w:tc>
        <w:tc>
          <w:tcPr>
            <w:tcW w:w="794" w:type="pct"/>
            <w:noWrap/>
            <w:hideMark/>
          </w:tcPr>
          <w:p w14:paraId="3DF3CAB7"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537</w:t>
            </w:r>
          </w:p>
        </w:tc>
        <w:tc>
          <w:tcPr>
            <w:tcW w:w="794" w:type="pct"/>
            <w:tcBorders>
              <w:right w:val="dotted" w:sz="4" w:space="0" w:color="auto"/>
            </w:tcBorders>
            <w:noWrap/>
            <w:hideMark/>
          </w:tcPr>
          <w:p w14:paraId="4CB4936A"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540</w:t>
            </w:r>
          </w:p>
        </w:tc>
        <w:tc>
          <w:tcPr>
            <w:tcW w:w="794" w:type="pct"/>
            <w:tcBorders>
              <w:left w:val="dotted" w:sz="4" w:space="0" w:color="auto"/>
            </w:tcBorders>
            <w:noWrap/>
            <w:hideMark/>
          </w:tcPr>
          <w:p w14:paraId="4688278B"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rFonts w:cs="Arial"/>
                <w:sz w:val="20"/>
                <w:szCs w:val="20"/>
              </w:rPr>
              <w:t>834</w:t>
            </w:r>
          </w:p>
        </w:tc>
      </w:tr>
      <w:tr w:rsidR="00392E4F" w:rsidRPr="00506C9D" w14:paraId="5BC67659" w14:textId="77777777" w:rsidTr="00392E4F">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032" w:type="pct"/>
            <w:tcBorders>
              <w:bottom w:val="single" w:sz="4" w:space="0" w:color="auto"/>
            </w:tcBorders>
            <w:noWrap/>
            <w:hideMark/>
          </w:tcPr>
          <w:p w14:paraId="749F2CA1" w14:textId="77777777" w:rsidR="00506C9D" w:rsidRPr="00506C9D" w:rsidRDefault="00506C9D" w:rsidP="00506C9D">
            <w:pPr>
              <w:spacing w:after="0" w:line="240" w:lineRule="auto"/>
              <w:rPr>
                <w:rFonts w:eastAsia="Times New Roman" w:cs="Arial"/>
                <w:color w:val="000000"/>
                <w:sz w:val="20"/>
                <w:szCs w:val="20"/>
                <w:lang w:eastAsia="en-AU"/>
              </w:rPr>
            </w:pPr>
            <w:r w:rsidRPr="00506C9D">
              <w:rPr>
                <w:rFonts w:eastAsia="Times New Roman" w:cs="Arial"/>
                <w:color w:val="000000"/>
                <w:sz w:val="20"/>
                <w:szCs w:val="20"/>
                <w:lang w:eastAsia="en-AU"/>
              </w:rPr>
              <w:t>NT</w:t>
            </w:r>
          </w:p>
        </w:tc>
        <w:tc>
          <w:tcPr>
            <w:tcW w:w="794" w:type="pct"/>
            <w:tcBorders>
              <w:bottom w:val="single" w:sz="4" w:space="0" w:color="auto"/>
            </w:tcBorders>
            <w:noWrap/>
            <w:hideMark/>
          </w:tcPr>
          <w:p w14:paraId="197FFFC5"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465</w:t>
            </w:r>
          </w:p>
        </w:tc>
        <w:tc>
          <w:tcPr>
            <w:tcW w:w="794" w:type="pct"/>
            <w:tcBorders>
              <w:bottom w:val="single" w:sz="4" w:space="0" w:color="auto"/>
            </w:tcBorders>
            <w:noWrap/>
            <w:hideMark/>
          </w:tcPr>
          <w:p w14:paraId="5E83F5F7"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473</w:t>
            </w:r>
          </w:p>
        </w:tc>
        <w:tc>
          <w:tcPr>
            <w:tcW w:w="794" w:type="pct"/>
            <w:tcBorders>
              <w:bottom w:val="single" w:sz="4" w:space="0" w:color="auto"/>
            </w:tcBorders>
            <w:noWrap/>
            <w:hideMark/>
          </w:tcPr>
          <w:p w14:paraId="077FF6ED"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499</w:t>
            </w:r>
          </w:p>
        </w:tc>
        <w:tc>
          <w:tcPr>
            <w:tcW w:w="794" w:type="pct"/>
            <w:tcBorders>
              <w:bottom w:val="single" w:sz="4" w:space="0" w:color="auto"/>
              <w:right w:val="dotted" w:sz="4" w:space="0" w:color="auto"/>
            </w:tcBorders>
            <w:noWrap/>
            <w:hideMark/>
          </w:tcPr>
          <w:p w14:paraId="53308EAE"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541</w:t>
            </w:r>
          </w:p>
        </w:tc>
        <w:tc>
          <w:tcPr>
            <w:tcW w:w="794" w:type="pct"/>
            <w:tcBorders>
              <w:left w:val="dotted" w:sz="4" w:space="0" w:color="auto"/>
              <w:bottom w:val="single" w:sz="4" w:space="0" w:color="auto"/>
            </w:tcBorders>
            <w:noWrap/>
            <w:hideMark/>
          </w:tcPr>
          <w:p w14:paraId="08DE85FA" w14:textId="77777777" w:rsidR="00506C9D" w:rsidRPr="00506C9D" w:rsidRDefault="00506C9D">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rFonts w:cs="Arial"/>
                <w:sz w:val="20"/>
                <w:szCs w:val="20"/>
              </w:rPr>
              <w:t>895</w:t>
            </w:r>
          </w:p>
        </w:tc>
      </w:tr>
      <w:tr w:rsidR="00F830E6" w:rsidRPr="00506C9D" w14:paraId="1FD2CA20"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1032" w:type="pct"/>
            <w:tcBorders>
              <w:top w:val="single" w:sz="4" w:space="0" w:color="auto"/>
              <w:bottom w:val="single" w:sz="4" w:space="0" w:color="auto"/>
            </w:tcBorders>
            <w:shd w:val="clear" w:color="auto" w:fill="D3C5D7"/>
            <w:noWrap/>
            <w:hideMark/>
          </w:tcPr>
          <w:p w14:paraId="67B72CD1" w14:textId="77777777" w:rsidR="00506C9D" w:rsidRPr="00506C9D" w:rsidRDefault="00506C9D" w:rsidP="00506C9D">
            <w:pPr>
              <w:spacing w:after="0" w:line="240" w:lineRule="auto"/>
              <w:rPr>
                <w:rFonts w:eastAsia="Times New Roman" w:cs="Arial"/>
                <w:b/>
                <w:bCs/>
                <w:color w:val="000000"/>
                <w:sz w:val="20"/>
                <w:szCs w:val="20"/>
                <w:lang w:eastAsia="en-AU"/>
              </w:rPr>
            </w:pPr>
            <w:r w:rsidRPr="00506C9D">
              <w:rPr>
                <w:rFonts w:eastAsia="Times New Roman" w:cs="Arial"/>
                <w:b/>
                <w:bCs/>
                <w:color w:val="000000"/>
                <w:sz w:val="20"/>
                <w:szCs w:val="20"/>
                <w:lang w:eastAsia="en-AU"/>
              </w:rPr>
              <w:t>Total</w:t>
            </w:r>
          </w:p>
        </w:tc>
        <w:tc>
          <w:tcPr>
            <w:tcW w:w="794" w:type="pct"/>
            <w:tcBorders>
              <w:top w:val="single" w:sz="4" w:space="0" w:color="auto"/>
              <w:bottom w:val="single" w:sz="4" w:space="0" w:color="auto"/>
            </w:tcBorders>
            <w:shd w:val="clear" w:color="auto" w:fill="D3C5D7"/>
            <w:noWrap/>
            <w:hideMark/>
          </w:tcPr>
          <w:p w14:paraId="793F2AC2"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F830E6">
              <w:rPr>
                <w:rFonts w:cs="Arial"/>
                <w:b/>
                <w:sz w:val="20"/>
                <w:szCs w:val="20"/>
              </w:rPr>
              <w:t>33,976</w:t>
            </w:r>
          </w:p>
        </w:tc>
        <w:tc>
          <w:tcPr>
            <w:tcW w:w="794" w:type="pct"/>
            <w:tcBorders>
              <w:top w:val="single" w:sz="4" w:space="0" w:color="auto"/>
              <w:bottom w:val="single" w:sz="4" w:space="0" w:color="auto"/>
            </w:tcBorders>
            <w:shd w:val="clear" w:color="auto" w:fill="D3C5D7"/>
            <w:noWrap/>
            <w:hideMark/>
          </w:tcPr>
          <w:p w14:paraId="075856B5"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F830E6">
              <w:rPr>
                <w:rFonts w:cs="Arial"/>
                <w:b/>
                <w:sz w:val="20"/>
                <w:szCs w:val="20"/>
              </w:rPr>
              <w:t>38,133</w:t>
            </w:r>
          </w:p>
        </w:tc>
        <w:tc>
          <w:tcPr>
            <w:tcW w:w="794" w:type="pct"/>
            <w:tcBorders>
              <w:top w:val="single" w:sz="4" w:space="0" w:color="auto"/>
              <w:bottom w:val="single" w:sz="4" w:space="0" w:color="auto"/>
            </w:tcBorders>
            <w:shd w:val="clear" w:color="auto" w:fill="D3C5D7"/>
            <w:noWrap/>
            <w:hideMark/>
          </w:tcPr>
          <w:p w14:paraId="6303058A"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F830E6">
              <w:rPr>
                <w:rFonts w:cs="Arial"/>
                <w:b/>
                <w:sz w:val="20"/>
                <w:szCs w:val="20"/>
              </w:rPr>
              <w:t>44,116</w:t>
            </w:r>
          </w:p>
        </w:tc>
        <w:tc>
          <w:tcPr>
            <w:tcW w:w="794" w:type="pct"/>
            <w:tcBorders>
              <w:top w:val="single" w:sz="4" w:space="0" w:color="auto"/>
              <w:bottom w:val="single" w:sz="4" w:space="0" w:color="auto"/>
              <w:right w:val="dotted" w:sz="4" w:space="0" w:color="auto"/>
            </w:tcBorders>
            <w:shd w:val="clear" w:color="auto" w:fill="D3C5D7"/>
            <w:noWrap/>
            <w:hideMark/>
          </w:tcPr>
          <w:p w14:paraId="05F86A49"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F830E6">
              <w:rPr>
                <w:rFonts w:cs="Arial"/>
                <w:b/>
                <w:sz w:val="20"/>
                <w:szCs w:val="20"/>
              </w:rPr>
              <w:t>50,344</w:t>
            </w:r>
          </w:p>
        </w:tc>
        <w:tc>
          <w:tcPr>
            <w:tcW w:w="794" w:type="pct"/>
            <w:tcBorders>
              <w:top w:val="single" w:sz="4" w:space="0" w:color="auto"/>
              <w:left w:val="dotted" w:sz="4" w:space="0" w:color="auto"/>
              <w:bottom w:val="single" w:sz="4" w:space="0" w:color="auto"/>
            </w:tcBorders>
            <w:shd w:val="clear" w:color="auto" w:fill="D3C5D7"/>
            <w:noWrap/>
            <w:hideMark/>
          </w:tcPr>
          <w:p w14:paraId="26121C42" w14:textId="77777777" w:rsidR="00506C9D" w:rsidRPr="00506C9D" w:rsidRDefault="00506C9D">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en-AU"/>
              </w:rPr>
            </w:pPr>
            <w:r w:rsidRPr="00F830E6">
              <w:rPr>
                <w:rFonts w:cs="Arial"/>
                <w:b/>
                <w:sz w:val="20"/>
                <w:szCs w:val="20"/>
              </w:rPr>
              <w:t>89,403</w:t>
            </w:r>
          </w:p>
        </w:tc>
      </w:tr>
    </w:tbl>
    <w:p w14:paraId="74A0DF4D" w14:textId="77777777" w:rsidR="00C33621" w:rsidRPr="00226AF5" w:rsidRDefault="00C33621" w:rsidP="00C33621">
      <w:pPr>
        <w:pStyle w:val="FSRnormal"/>
      </w:pPr>
    </w:p>
    <w:p w14:paraId="5AA37738" w14:textId="77777777" w:rsidR="00C33621" w:rsidRDefault="00C33621" w:rsidP="00C33621"/>
    <w:p w14:paraId="4C218F10" w14:textId="77777777" w:rsidR="00C33621" w:rsidRDefault="00C33621">
      <w:pPr>
        <w:spacing w:after="160" w:line="259" w:lineRule="auto"/>
        <w:rPr>
          <w:rFonts w:eastAsiaTheme="majorEastAsia" w:cstheme="majorBidi"/>
          <w:b/>
          <w:bCs/>
          <w:color w:val="6A2875"/>
          <w:sz w:val="44"/>
          <w:szCs w:val="26"/>
        </w:rPr>
      </w:pPr>
      <w:r>
        <w:br w:type="page"/>
      </w:r>
    </w:p>
    <w:p w14:paraId="3E7A2BFC" w14:textId="77777777" w:rsidR="002C11DC" w:rsidRPr="00FB0F9F" w:rsidRDefault="006E4D63" w:rsidP="006E4D63">
      <w:pPr>
        <w:pStyle w:val="Heading2"/>
        <w:numPr>
          <w:ilvl w:val="0"/>
          <w:numId w:val="0"/>
        </w:numPr>
        <w:ind w:left="2835" w:hanging="2835"/>
      </w:pPr>
      <w:bookmarkStart w:id="444" w:name="_Toc118460228"/>
      <w:r>
        <w:lastRenderedPageBreak/>
        <w:t>Appendix E:</w:t>
      </w:r>
      <w:r>
        <w:tab/>
      </w:r>
      <w:r w:rsidR="002C11DC" w:rsidRPr="00FB0F9F">
        <w:t>Historic average participant payments by SIL type</w:t>
      </w:r>
      <w:bookmarkEnd w:id="440"/>
      <w:bookmarkEnd w:id="441"/>
      <w:bookmarkEnd w:id="444"/>
    </w:p>
    <w:p w14:paraId="6FF62DD9" w14:textId="77777777" w:rsidR="002C11DC" w:rsidRDefault="002C11DC" w:rsidP="002C11DC">
      <w:pPr>
        <w:pStyle w:val="Tables"/>
      </w:pPr>
      <w:r w:rsidRPr="00C96CD5">
        <w:t>Table</w:t>
      </w:r>
      <w:r w:rsidR="00B5473A">
        <w:t xml:space="preserve"> E</w:t>
      </w:r>
      <w:r w:rsidR="00A87896">
        <w:t>.</w:t>
      </w:r>
      <w:fldSimple w:instr=" SEQ Table \* ARABIC \s 2 ">
        <w:r w:rsidR="00A87896">
          <w:rPr>
            <w:noProof/>
          </w:rPr>
          <w:t>1</w:t>
        </w:r>
      </w:fldSimple>
      <w:r>
        <w:t>:</w:t>
      </w:r>
      <w:r w:rsidRPr="00C96CD5">
        <w:t xml:space="preserve"> Previous AFSR projections – average participant payments (</w:t>
      </w:r>
      <w:r>
        <w:t>participants without SIL</w:t>
      </w:r>
      <w:r w:rsidRPr="00C96CD5">
        <w:t>)</w:t>
      </w:r>
      <w:r>
        <w:t xml:space="preserve"> (cash flow basis)</w:t>
      </w:r>
    </w:p>
    <w:tbl>
      <w:tblPr>
        <w:tblW w:w="9490" w:type="dxa"/>
        <w:tblLayout w:type="fixed"/>
        <w:tblLook w:val="04A0" w:firstRow="1" w:lastRow="0" w:firstColumn="1" w:lastColumn="0" w:noHBand="0" w:noVBand="1"/>
      </w:tblPr>
      <w:tblGrid>
        <w:gridCol w:w="2830"/>
        <w:gridCol w:w="832"/>
        <w:gridCol w:w="833"/>
        <w:gridCol w:w="832"/>
        <w:gridCol w:w="833"/>
        <w:gridCol w:w="832"/>
        <w:gridCol w:w="833"/>
        <w:gridCol w:w="832"/>
        <w:gridCol w:w="833"/>
      </w:tblGrid>
      <w:tr w:rsidR="002C11DC" w:rsidRPr="002522F2" w14:paraId="64FC158F" w14:textId="77777777" w:rsidTr="002522F2">
        <w:trPr>
          <w:trHeight w:val="225"/>
        </w:trPr>
        <w:tc>
          <w:tcPr>
            <w:tcW w:w="2830" w:type="dxa"/>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5249CCBA" w14:textId="77777777" w:rsidR="002C11DC" w:rsidRPr="002522F2" w:rsidRDefault="002C11DC" w:rsidP="00446247">
            <w:pPr>
              <w:spacing w:after="0" w:line="240" w:lineRule="auto"/>
              <w:rPr>
                <w:rFonts w:eastAsia="Times New Roman" w:cs="Arial"/>
                <w:b/>
                <w:bCs/>
                <w:color w:val="FFFFFF"/>
                <w:sz w:val="16"/>
                <w:szCs w:val="16"/>
                <w:lang w:eastAsia="zh-CN" w:bidi="th-TH"/>
              </w:rPr>
            </w:pPr>
            <w:r w:rsidRPr="002522F2">
              <w:rPr>
                <w:rFonts w:eastAsia="Times New Roman" w:cs="Arial"/>
                <w:b/>
                <w:bCs/>
                <w:color w:val="FFFFFF"/>
                <w:sz w:val="16"/>
                <w:szCs w:val="16"/>
                <w:lang w:eastAsia="zh-CN" w:bidi="th-TH"/>
              </w:rPr>
              <w:t>Average participant payments (non-SIL)</w:t>
            </w:r>
          </w:p>
        </w:tc>
        <w:tc>
          <w:tcPr>
            <w:tcW w:w="832" w:type="dxa"/>
            <w:tcBorders>
              <w:top w:val="single" w:sz="4" w:space="0" w:color="auto"/>
              <w:left w:val="nil"/>
              <w:bottom w:val="single" w:sz="4" w:space="0" w:color="auto"/>
              <w:right w:val="nil"/>
            </w:tcBorders>
            <w:shd w:val="clear" w:color="000000" w:fill="6B2976"/>
            <w:noWrap/>
            <w:vAlign w:val="center"/>
            <w:hideMark/>
          </w:tcPr>
          <w:p w14:paraId="743FCED0" w14:textId="77777777" w:rsidR="002C11DC" w:rsidRPr="002522F2" w:rsidRDefault="002C11DC" w:rsidP="002522F2">
            <w:pPr>
              <w:spacing w:after="0" w:line="240" w:lineRule="auto"/>
              <w:jc w:val="right"/>
              <w:rPr>
                <w:rFonts w:eastAsia="Times New Roman" w:cs="Arial"/>
                <w:b/>
                <w:bCs/>
                <w:color w:val="FFFFFF"/>
                <w:sz w:val="16"/>
                <w:szCs w:val="16"/>
                <w:lang w:eastAsia="zh-CN" w:bidi="th-TH"/>
              </w:rPr>
            </w:pPr>
            <w:r w:rsidRPr="002522F2">
              <w:rPr>
                <w:rFonts w:eastAsia="Times New Roman" w:cs="Arial"/>
                <w:b/>
                <w:bCs/>
                <w:color w:val="FFFFFF"/>
                <w:sz w:val="16"/>
                <w:szCs w:val="16"/>
                <w:lang w:eastAsia="zh-CN" w:bidi="th-TH"/>
              </w:rPr>
              <w:t>2018-19</w:t>
            </w:r>
          </w:p>
        </w:tc>
        <w:tc>
          <w:tcPr>
            <w:tcW w:w="833" w:type="dxa"/>
            <w:tcBorders>
              <w:top w:val="single" w:sz="4" w:space="0" w:color="auto"/>
              <w:left w:val="nil"/>
              <w:bottom w:val="single" w:sz="4" w:space="0" w:color="auto"/>
              <w:right w:val="nil"/>
            </w:tcBorders>
            <w:shd w:val="clear" w:color="000000" w:fill="6B2976"/>
            <w:noWrap/>
            <w:vAlign w:val="center"/>
            <w:hideMark/>
          </w:tcPr>
          <w:p w14:paraId="4EEDFA32" w14:textId="77777777" w:rsidR="002C11DC" w:rsidRPr="002522F2" w:rsidRDefault="002C11DC" w:rsidP="002522F2">
            <w:pPr>
              <w:spacing w:after="0" w:line="240" w:lineRule="auto"/>
              <w:jc w:val="right"/>
              <w:rPr>
                <w:rFonts w:eastAsia="Times New Roman" w:cs="Arial"/>
                <w:b/>
                <w:bCs/>
                <w:color w:val="FFFFFF"/>
                <w:sz w:val="16"/>
                <w:szCs w:val="16"/>
                <w:lang w:eastAsia="zh-CN" w:bidi="th-TH"/>
              </w:rPr>
            </w:pPr>
            <w:r w:rsidRPr="002522F2">
              <w:rPr>
                <w:rFonts w:eastAsia="Times New Roman" w:cs="Arial"/>
                <w:b/>
                <w:bCs/>
                <w:color w:val="FFFFFF"/>
                <w:sz w:val="16"/>
                <w:szCs w:val="16"/>
                <w:lang w:eastAsia="zh-CN" w:bidi="th-TH"/>
              </w:rPr>
              <w:t>2019-20</w:t>
            </w:r>
          </w:p>
        </w:tc>
        <w:tc>
          <w:tcPr>
            <w:tcW w:w="832" w:type="dxa"/>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1AA43B17" w14:textId="77777777" w:rsidR="002C11DC" w:rsidRPr="002522F2" w:rsidRDefault="002C11DC" w:rsidP="002522F2">
            <w:pPr>
              <w:spacing w:after="0" w:line="240" w:lineRule="auto"/>
              <w:jc w:val="right"/>
              <w:rPr>
                <w:rFonts w:eastAsia="Times New Roman" w:cs="Arial"/>
                <w:b/>
                <w:bCs/>
                <w:color w:val="FFFFFF"/>
                <w:sz w:val="16"/>
                <w:szCs w:val="16"/>
                <w:lang w:eastAsia="zh-CN" w:bidi="th-TH"/>
              </w:rPr>
            </w:pPr>
            <w:r w:rsidRPr="002522F2">
              <w:rPr>
                <w:rFonts w:eastAsia="Times New Roman" w:cs="Arial"/>
                <w:b/>
                <w:bCs/>
                <w:color w:val="FFFFFF"/>
                <w:sz w:val="16"/>
                <w:szCs w:val="16"/>
                <w:lang w:eastAsia="zh-CN" w:bidi="th-TH"/>
              </w:rPr>
              <w:t>2020-21</w:t>
            </w:r>
          </w:p>
        </w:tc>
        <w:tc>
          <w:tcPr>
            <w:tcW w:w="833" w:type="dxa"/>
            <w:tcBorders>
              <w:top w:val="single" w:sz="4" w:space="0" w:color="auto"/>
              <w:left w:val="nil"/>
              <w:bottom w:val="single" w:sz="4" w:space="0" w:color="auto"/>
              <w:right w:val="nil"/>
            </w:tcBorders>
            <w:shd w:val="clear" w:color="000000" w:fill="6B2976"/>
            <w:noWrap/>
            <w:vAlign w:val="center"/>
            <w:hideMark/>
          </w:tcPr>
          <w:p w14:paraId="297B9C8D" w14:textId="77777777" w:rsidR="002C11DC" w:rsidRPr="002522F2" w:rsidRDefault="002C11DC" w:rsidP="002522F2">
            <w:pPr>
              <w:spacing w:after="0" w:line="240" w:lineRule="auto"/>
              <w:jc w:val="right"/>
              <w:rPr>
                <w:rFonts w:eastAsia="Times New Roman" w:cs="Arial"/>
                <w:b/>
                <w:bCs/>
                <w:color w:val="FFFFFF"/>
                <w:sz w:val="16"/>
                <w:szCs w:val="16"/>
                <w:lang w:eastAsia="zh-CN" w:bidi="th-TH"/>
              </w:rPr>
            </w:pPr>
            <w:r w:rsidRPr="002522F2">
              <w:rPr>
                <w:rFonts w:eastAsia="Times New Roman" w:cs="Arial"/>
                <w:b/>
                <w:bCs/>
                <w:color w:val="FFFFFF"/>
                <w:sz w:val="16"/>
                <w:szCs w:val="16"/>
                <w:lang w:eastAsia="zh-CN" w:bidi="th-TH"/>
              </w:rPr>
              <w:t>2021-22</w:t>
            </w:r>
          </w:p>
        </w:tc>
        <w:tc>
          <w:tcPr>
            <w:tcW w:w="832" w:type="dxa"/>
            <w:tcBorders>
              <w:top w:val="single" w:sz="4" w:space="0" w:color="auto"/>
              <w:left w:val="nil"/>
              <w:bottom w:val="single" w:sz="4" w:space="0" w:color="auto"/>
              <w:right w:val="nil"/>
            </w:tcBorders>
            <w:shd w:val="clear" w:color="000000" w:fill="6B2976"/>
            <w:noWrap/>
            <w:vAlign w:val="center"/>
            <w:hideMark/>
          </w:tcPr>
          <w:p w14:paraId="063193BC" w14:textId="77777777" w:rsidR="002C11DC" w:rsidRPr="002522F2" w:rsidRDefault="002C11DC" w:rsidP="002522F2">
            <w:pPr>
              <w:spacing w:after="0" w:line="240" w:lineRule="auto"/>
              <w:jc w:val="right"/>
              <w:rPr>
                <w:rFonts w:eastAsia="Times New Roman" w:cs="Arial"/>
                <w:b/>
                <w:bCs/>
                <w:color w:val="FFFFFF"/>
                <w:sz w:val="16"/>
                <w:szCs w:val="16"/>
                <w:lang w:eastAsia="zh-CN" w:bidi="th-TH"/>
              </w:rPr>
            </w:pPr>
            <w:r w:rsidRPr="002522F2">
              <w:rPr>
                <w:rFonts w:eastAsia="Times New Roman" w:cs="Arial"/>
                <w:b/>
                <w:bCs/>
                <w:color w:val="FFFFFF"/>
                <w:sz w:val="16"/>
                <w:szCs w:val="16"/>
                <w:lang w:eastAsia="zh-CN" w:bidi="th-TH"/>
              </w:rPr>
              <w:t>2022-23</w:t>
            </w:r>
          </w:p>
        </w:tc>
        <w:tc>
          <w:tcPr>
            <w:tcW w:w="833" w:type="dxa"/>
            <w:tcBorders>
              <w:top w:val="single" w:sz="4" w:space="0" w:color="auto"/>
              <w:left w:val="nil"/>
              <w:bottom w:val="single" w:sz="4" w:space="0" w:color="auto"/>
              <w:right w:val="nil"/>
            </w:tcBorders>
            <w:shd w:val="clear" w:color="000000" w:fill="6B2976"/>
            <w:noWrap/>
            <w:vAlign w:val="center"/>
            <w:hideMark/>
          </w:tcPr>
          <w:p w14:paraId="36FD43DA" w14:textId="77777777" w:rsidR="002C11DC" w:rsidRPr="002522F2" w:rsidRDefault="002C11DC" w:rsidP="002522F2">
            <w:pPr>
              <w:spacing w:after="0" w:line="240" w:lineRule="auto"/>
              <w:jc w:val="right"/>
              <w:rPr>
                <w:rFonts w:eastAsia="Times New Roman" w:cs="Arial"/>
                <w:b/>
                <w:bCs/>
                <w:color w:val="FFFFFF"/>
                <w:sz w:val="16"/>
                <w:szCs w:val="16"/>
                <w:lang w:eastAsia="zh-CN" w:bidi="th-TH"/>
              </w:rPr>
            </w:pPr>
            <w:r w:rsidRPr="002522F2">
              <w:rPr>
                <w:rFonts w:eastAsia="Times New Roman" w:cs="Arial"/>
                <w:b/>
                <w:bCs/>
                <w:color w:val="FFFFFF"/>
                <w:sz w:val="16"/>
                <w:szCs w:val="16"/>
                <w:lang w:eastAsia="zh-CN" w:bidi="th-TH"/>
              </w:rPr>
              <w:t>2023-24</w:t>
            </w:r>
          </w:p>
        </w:tc>
        <w:tc>
          <w:tcPr>
            <w:tcW w:w="832" w:type="dxa"/>
            <w:tcBorders>
              <w:top w:val="single" w:sz="4" w:space="0" w:color="auto"/>
              <w:left w:val="nil"/>
              <w:bottom w:val="single" w:sz="4" w:space="0" w:color="auto"/>
              <w:right w:val="nil"/>
            </w:tcBorders>
            <w:shd w:val="clear" w:color="000000" w:fill="6B2976"/>
            <w:noWrap/>
            <w:vAlign w:val="center"/>
            <w:hideMark/>
          </w:tcPr>
          <w:p w14:paraId="2D20D0A6" w14:textId="77777777" w:rsidR="002C11DC" w:rsidRPr="002522F2" w:rsidRDefault="002C11DC" w:rsidP="002522F2">
            <w:pPr>
              <w:spacing w:after="0" w:line="240" w:lineRule="auto"/>
              <w:jc w:val="right"/>
              <w:rPr>
                <w:rFonts w:eastAsia="Times New Roman" w:cs="Arial"/>
                <w:b/>
                <w:bCs/>
                <w:color w:val="FFFFFF"/>
                <w:sz w:val="16"/>
                <w:szCs w:val="16"/>
                <w:lang w:eastAsia="zh-CN" w:bidi="th-TH"/>
              </w:rPr>
            </w:pPr>
            <w:r w:rsidRPr="002522F2">
              <w:rPr>
                <w:rFonts w:eastAsia="Times New Roman" w:cs="Arial"/>
                <w:b/>
                <w:bCs/>
                <w:color w:val="FFFFFF"/>
                <w:sz w:val="16"/>
                <w:szCs w:val="16"/>
                <w:lang w:eastAsia="zh-CN" w:bidi="th-TH"/>
              </w:rPr>
              <w:t>2024-25</w:t>
            </w:r>
          </w:p>
        </w:tc>
        <w:tc>
          <w:tcPr>
            <w:tcW w:w="833" w:type="dxa"/>
            <w:tcBorders>
              <w:top w:val="single" w:sz="4" w:space="0" w:color="auto"/>
              <w:left w:val="nil"/>
              <w:bottom w:val="single" w:sz="4" w:space="0" w:color="auto"/>
              <w:right w:val="single" w:sz="4" w:space="0" w:color="auto"/>
            </w:tcBorders>
            <w:shd w:val="clear" w:color="000000" w:fill="6B2976"/>
            <w:noWrap/>
            <w:vAlign w:val="center"/>
            <w:hideMark/>
          </w:tcPr>
          <w:p w14:paraId="5EF12A99" w14:textId="77777777" w:rsidR="002C11DC" w:rsidRPr="002522F2" w:rsidRDefault="002C11DC" w:rsidP="002522F2">
            <w:pPr>
              <w:spacing w:after="0" w:line="240" w:lineRule="auto"/>
              <w:jc w:val="right"/>
              <w:rPr>
                <w:rFonts w:eastAsia="Times New Roman" w:cs="Arial"/>
                <w:b/>
                <w:bCs/>
                <w:color w:val="FFFFFF"/>
                <w:sz w:val="16"/>
                <w:szCs w:val="16"/>
                <w:lang w:eastAsia="zh-CN" w:bidi="th-TH"/>
              </w:rPr>
            </w:pPr>
            <w:r w:rsidRPr="002522F2">
              <w:rPr>
                <w:rFonts w:eastAsia="Times New Roman" w:cs="Arial"/>
                <w:b/>
                <w:bCs/>
                <w:color w:val="FFFFFF"/>
                <w:sz w:val="16"/>
                <w:szCs w:val="16"/>
                <w:lang w:eastAsia="zh-CN" w:bidi="th-TH"/>
              </w:rPr>
              <w:t>2025-26</w:t>
            </w:r>
          </w:p>
        </w:tc>
      </w:tr>
      <w:tr w:rsidR="002C11DC" w:rsidRPr="002522F2" w14:paraId="1F95DF00" w14:textId="77777777" w:rsidTr="002522F2">
        <w:trPr>
          <w:trHeight w:val="225"/>
        </w:trPr>
        <w:tc>
          <w:tcPr>
            <w:tcW w:w="2830" w:type="dxa"/>
            <w:tcBorders>
              <w:top w:val="nil"/>
              <w:left w:val="single" w:sz="4" w:space="0" w:color="auto"/>
              <w:bottom w:val="single" w:sz="4" w:space="0" w:color="auto"/>
              <w:right w:val="nil"/>
            </w:tcBorders>
            <w:shd w:val="clear" w:color="000000" w:fill="D3C5D7"/>
            <w:noWrap/>
            <w:vAlign w:val="center"/>
            <w:hideMark/>
          </w:tcPr>
          <w:p w14:paraId="35D3F0F5" w14:textId="77777777" w:rsidR="002C11DC" w:rsidRPr="002522F2" w:rsidRDefault="002C11DC" w:rsidP="00446247">
            <w:pPr>
              <w:spacing w:after="0" w:line="240" w:lineRule="auto"/>
              <w:rPr>
                <w:rFonts w:eastAsia="Times New Roman" w:cs="Arial"/>
                <w:b/>
                <w:bCs/>
                <w:color w:val="000000"/>
                <w:sz w:val="16"/>
                <w:szCs w:val="16"/>
                <w:lang w:eastAsia="zh-CN" w:bidi="th-TH"/>
              </w:rPr>
            </w:pPr>
            <w:r w:rsidRPr="002522F2">
              <w:rPr>
                <w:rFonts w:eastAsia="Times New Roman" w:cs="Arial"/>
                <w:b/>
                <w:bCs/>
                <w:color w:val="000000"/>
                <w:sz w:val="16"/>
                <w:szCs w:val="16"/>
                <w:lang w:eastAsia="zh-CN" w:bidi="th-TH"/>
              </w:rPr>
              <w:t>AFSR</w:t>
            </w:r>
          </w:p>
        </w:tc>
        <w:tc>
          <w:tcPr>
            <w:tcW w:w="832" w:type="dxa"/>
            <w:tcBorders>
              <w:top w:val="nil"/>
              <w:left w:val="nil"/>
              <w:bottom w:val="single" w:sz="4" w:space="0" w:color="auto"/>
              <w:right w:val="nil"/>
            </w:tcBorders>
            <w:shd w:val="clear" w:color="000000" w:fill="D3C5D7"/>
            <w:noWrap/>
            <w:vAlign w:val="center"/>
            <w:hideMark/>
          </w:tcPr>
          <w:p w14:paraId="1ECFB0F6" w14:textId="77777777" w:rsidR="002C11DC" w:rsidRPr="002522F2" w:rsidRDefault="002C11DC" w:rsidP="002522F2">
            <w:pPr>
              <w:spacing w:after="0" w:line="240" w:lineRule="auto"/>
              <w:jc w:val="right"/>
              <w:rPr>
                <w:rFonts w:eastAsia="Times New Roman" w:cs="Arial"/>
                <w:b/>
                <w:bCs/>
                <w:color w:val="000000"/>
                <w:sz w:val="16"/>
                <w:szCs w:val="16"/>
                <w:lang w:eastAsia="zh-CN" w:bidi="th-TH"/>
              </w:rPr>
            </w:pPr>
            <w:r w:rsidRPr="002522F2">
              <w:rPr>
                <w:rFonts w:eastAsia="Times New Roman" w:cs="Arial"/>
                <w:b/>
                <w:bCs/>
                <w:color w:val="000000"/>
                <w:sz w:val="16"/>
                <w:szCs w:val="16"/>
                <w:lang w:eastAsia="zh-CN" w:bidi="th-TH"/>
              </w:rPr>
              <w:t> </w:t>
            </w:r>
          </w:p>
        </w:tc>
        <w:tc>
          <w:tcPr>
            <w:tcW w:w="833" w:type="dxa"/>
            <w:tcBorders>
              <w:top w:val="nil"/>
              <w:left w:val="nil"/>
              <w:bottom w:val="single" w:sz="4" w:space="0" w:color="auto"/>
              <w:right w:val="nil"/>
            </w:tcBorders>
            <w:shd w:val="clear" w:color="000000" w:fill="D3C5D7"/>
            <w:noWrap/>
            <w:vAlign w:val="center"/>
            <w:hideMark/>
          </w:tcPr>
          <w:p w14:paraId="20C48B8F" w14:textId="77777777" w:rsidR="002C11DC" w:rsidRPr="002522F2" w:rsidRDefault="002C11DC" w:rsidP="002522F2">
            <w:pPr>
              <w:spacing w:after="0" w:line="240" w:lineRule="auto"/>
              <w:jc w:val="right"/>
              <w:rPr>
                <w:rFonts w:eastAsia="Times New Roman" w:cs="Arial"/>
                <w:b/>
                <w:bCs/>
                <w:color w:val="000000"/>
                <w:sz w:val="16"/>
                <w:szCs w:val="16"/>
                <w:lang w:eastAsia="zh-CN" w:bidi="th-TH"/>
              </w:rPr>
            </w:pPr>
            <w:r w:rsidRPr="002522F2">
              <w:rPr>
                <w:rFonts w:eastAsia="Times New Roman" w:cs="Arial"/>
                <w:b/>
                <w:bCs/>
                <w:color w:val="000000"/>
                <w:sz w:val="16"/>
                <w:szCs w:val="16"/>
                <w:lang w:eastAsia="zh-CN" w:bidi="th-TH"/>
              </w:rPr>
              <w:t> </w:t>
            </w:r>
          </w:p>
        </w:tc>
        <w:tc>
          <w:tcPr>
            <w:tcW w:w="832" w:type="dxa"/>
            <w:tcBorders>
              <w:top w:val="nil"/>
              <w:left w:val="nil"/>
              <w:bottom w:val="single" w:sz="4" w:space="0" w:color="auto"/>
              <w:right w:val="nil"/>
            </w:tcBorders>
            <w:shd w:val="clear" w:color="000000" w:fill="D3C5D7"/>
            <w:noWrap/>
            <w:vAlign w:val="center"/>
            <w:hideMark/>
          </w:tcPr>
          <w:p w14:paraId="2F2ABDA6" w14:textId="77777777" w:rsidR="002C11DC" w:rsidRPr="002522F2" w:rsidRDefault="002C11DC" w:rsidP="002522F2">
            <w:pPr>
              <w:spacing w:after="0" w:line="240" w:lineRule="auto"/>
              <w:jc w:val="right"/>
              <w:rPr>
                <w:rFonts w:eastAsia="Times New Roman" w:cs="Arial"/>
                <w:b/>
                <w:bCs/>
                <w:color w:val="000000"/>
                <w:sz w:val="16"/>
                <w:szCs w:val="16"/>
                <w:lang w:eastAsia="zh-CN" w:bidi="th-TH"/>
              </w:rPr>
            </w:pPr>
            <w:r w:rsidRPr="002522F2">
              <w:rPr>
                <w:rFonts w:eastAsia="Times New Roman" w:cs="Arial"/>
                <w:b/>
                <w:bCs/>
                <w:color w:val="000000"/>
                <w:sz w:val="16"/>
                <w:szCs w:val="16"/>
                <w:lang w:eastAsia="zh-CN" w:bidi="th-TH"/>
              </w:rPr>
              <w:t> </w:t>
            </w:r>
          </w:p>
        </w:tc>
        <w:tc>
          <w:tcPr>
            <w:tcW w:w="833" w:type="dxa"/>
            <w:tcBorders>
              <w:top w:val="nil"/>
              <w:left w:val="single" w:sz="4" w:space="0" w:color="auto"/>
              <w:bottom w:val="single" w:sz="4" w:space="0" w:color="auto"/>
              <w:right w:val="single" w:sz="4" w:space="0" w:color="auto"/>
            </w:tcBorders>
            <w:shd w:val="clear" w:color="000000" w:fill="D3C5D7"/>
            <w:noWrap/>
            <w:vAlign w:val="center"/>
            <w:hideMark/>
          </w:tcPr>
          <w:p w14:paraId="15BA54D6" w14:textId="77777777" w:rsidR="002C11DC" w:rsidRPr="002522F2" w:rsidRDefault="002C11DC" w:rsidP="002522F2">
            <w:pPr>
              <w:spacing w:after="0" w:line="240" w:lineRule="auto"/>
              <w:jc w:val="right"/>
              <w:rPr>
                <w:rFonts w:eastAsia="Times New Roman" w:cs="Arial"/>
                <w:b/>
                <w:bCs/>
                <w:color w:val="000000"/>
                <w:sz w:val="16"/>
                <w:szCs w:val="16"/>
                <w:lang w:eastAsia="zh-CN" w:bidi="th-TH"/>
              </w:rPr>
            </w:pPr>
            <w:r w:rsidRPr="002522F2">
              <w:rPr>
                <w:rFonts w:eastAsia="Times New Roman" w:cs="Arial"/>
                <w:b/>
                <w:bCs/>
                <w:color w:val="000000"/>
                <w:sz w:val="16"/>
                <w:szCs w:val="16"/>
                <w:lang w:eastAsia="zh-CN" w:bidi="th-TH"/>
              </w:rPr>
              <w:t> </w:t>
            </w:r>
          </w:p>
        </w:tc>
        <w:tc>
          <w:tcPr>
            <w:tcW w:w="832" w:type="dxa"/>
            <w:tcBorders>
              <w:top w:val="nil"/>
              <w:left w:val="nil"/>
              <w:bottom w:val="single" w:sz="4" w:space="0" w:color="auto"/>
              <w:right w:val="nil"/>
            </w:tcBorders>
            <w:shd w:val="clear" w:color="000000" w:fill="D3C5D7"/>
            <w:noWrap/>
            <w:vAlign w:val="center"/>
            <w:hideMark/>
          </w:tcPr>
          <w:p w14:paraId="28554CD1" w14:textId="77777777" w:rsidR="002C11DC" w:rsidRPr="002522F2" w:rsidRDefault="002C11DC" w:rsidP="002522F2">
            <w:pPr>
              <w:spacing w:after="0" w:line="240" w:lineRule="auto"/>
              <w:jc w:val="right"/>
              <w:rPr>
                <w:rFonts w:eastAsia="Times New Roman" w:cs="Arial"/>
                <w:b/>
                <w:bCs/>
                <w:color w:val="000000"/>
                <w:sz w:val="16"/>
                <w:szCs w:val="16"/>
                <w:lang w:eastAsia="zh-CN" w:bidi="th-TH"/>
              </w:rPr>
            </w:pPr>
            <w:r w:rsidRPr="002522F2">
              <w:rPr>
                <w:rFonts w:eastAsia="Times New Roman" w:cs="Arial"/>
                <w:b/>
                <w:bCs/>
                <w:color w:val="000000"/>
                <w:sz w:val="16"/>
                <w:szCs w:val="16"/>
                <w:lang w:eastAsia="zh-CN" w:bidi="th-TH"/>
              </w:rPr>
              <w:t> </w:t>
            </w:r>
          </w:p>
        </w:tc>
        <w:tc>
          <w:tcPr>
            <w:tcW w:w="833" w:type="dxa"/>
            <w:tcBorders>
              <w:top w:val="nil"/>
              <w:left w:val="nil"/>
              <w:bottom w:val="single" w:sz="4" w:space="0" w:color="auto"/>
              <w:right w:val="nil"/>
            </w:tcBorders>
            <w:shd w:val="clear" w:color="000000" w:fill="D3C5D7"/>
            <w:noWrap/>
            <w:vAlign w:val="center"/>
            <w:hideMark/>
          </w:tcPr>
          <w:p w14:paraId="6B70B4CE" w14:textId="77777777" w:rsidR="002C11DC" w:rsidRPr="002522F2" w:rsidRDefault="002C11DC" w:rsidP="002522F2">
            <w:pPr>
              <w:spacing w:after="0" w:line="240" w:lineRule="auto"/>
              <w:jc w:val="right"/>
              <w:rPr>
                <w:rFonts w:eastAsia="Times New Roman" w:cs="Arial"/>
                <w:b/>
                <w:bCs/>
                <w:color w:val="000000"/>
                <w:sz w:val="16"/>
                <w:szCs w:val="16"/>
                <w:lang w:eastAsia="zh-CN" w:bidi="th-TH"/>
              </w:rPr>
            </w:pPr>
            <w:r w:rsidRPr="002522F2">
              <w:rPr>
                <w:rFonts w:eastAsia="Times New Roman" w:cs="Arial"/>
                <w:b/>
                <w:bCs/>
                <w:color w:val="000000"/>
                <w:sz w:val="16"/>
                <w:szCs w:val="16"/>
                <w:lang w:eastAsia="zh-CN" w:bidi="th-TH"/>
              </w:rPr>
              <w:t> </w:t>
            </w:r>
          </w:p>
        </w:tc>
        <w:tc>
          <w:tcPr>
            <w:tcW w:w="832" w:type="dxa"/>
            <w:tcBorders>
              <w:top w:val="nil"/>
              <w:left w:val="nil"/>
              <w:bottom w:val="single" w:sz="4" w:space="0" w:color="auto"/>
              <w:right w:val="nil"/>
            </w:tcBorders>
            <w:shd w:val="clear" w:color="000000" w:fill="D3C5D7"/>
            <w:noWrap/>
            <w:vAlign w:val="center"/>
            <w:hideMark/>
          </w:tcPr>
          <w:p w14:paraId="5DD53C98" w14:textId="77777777" w:rsidR="002C11DC" w:rsidRPr="002522F2" w:rsidRDefault="002C11DC" w:rsidP="002522F2">
            <w:pPr>
              <w:spacing w:after="0" w:line="240" w:lineRule="auto"/>
              <w:jc w:val="right"/>
              <w:rPr>
                <w:rFonts w:eastAsia="Times New Roman" w:cs="Arial"/>
                <w:b/>
                <w:bCs/>
                <w:color w:val="000000"/>
                <w:sz w:val="16"/>
                <w:szCs w:val="16"/>
                <w:lang w:eastAsia="zh-CN" w:bidi="th-TH"/>
              </w:rPr>
            </w:pPr>
            <w:r w:rsidRPr="002522F2">
              <w:rPr>
                <w:rFonts w:eastAsia="Times New Roman" w:cs="Arial"/>
                <w:b/>
                <w:bCs/>
                <w:color w:val="000000"/>
                <w:sz w:val="16"/>
                <w:szCs w:val="16"/>
                <w:lang w:eastAsia="zh-CN" w:bidi="th-TH"/>
              </w:rPr>
              <w:t> </w:t>
            </w:r>
          </w:p>
        </w:tc>
        <w:tc>
          <w:tcPr>
            <w:tcW w:w="833" w:type="dxa"/>
            <w:tcBorders>
              <w:top w:val="nil"/>
              <w:left w:val="nil"/>
              <w:bottom w:val="single" w:sz="4" w:space="0" w:color="auto"/>
              <w:right w:val="single" w:sz="4" w:space="0" w:color="auto"/>
            </w:tcBorders>
            <w:shd w:val="clear" w:color="000000" w:fill="D3C5D7"/>
            <w:noWrap/>
            <w:vAlign w:val="center"/>
            <w:hideMark/>
          </w:tcPr>
          <w:p w14:paraId="58827380" w14:textId="77777777" w:rsidR="002C11DC" w:rsidRPr="002522F2" w:rsidRDefault="002C11DC" w:rsidP="002522F2">
            <w:pPr>
              <w:spacing w:after="0" w:line="240" w:lineRule="auto"/>
              <w:jc w:val="right"/>
              <w:rPr>
                <w:rFonts w:eastAsia="Times New Roman" w:cs="Arial"/>
                <w:b/>
                <w:bCs/>
                <w:color w:val="000000"/>
                <w:sz w:val="16"/>
                <w:szCs w:val="16"/>
                <w:lang w:eastAsia="zh-CN" w:bidi="th-TH"/>
              </w:rPr>
            </w:pPr>
            <w:r w:rsidRPr="002522F2">
              <w:rPr>
                <w:rFonts w:eastAsia="Times New Roman" w:cs="Arial"/>
                <w:b/>
                <w:bCs/>
                <w:color w:val="000000"/>
                <w:sz w:val="16"/>
                <w:szCs w:val="16"/>
                <w:lang w:eastAsia="zh-CN" w:bidi="th-TH"/>
              </w:rPr>
              <w:t> </w:t>
            </w:r>
          </w:p>
        </w:tc>
      </w:tr>
      <w:tr w:rsidR="002C11DC" w:rsidRPr="002522F2" w14:paraId="55EB0D1A" w14:textId="77777777" w:rsidTr="002522F2">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5398D33F" w14:textId="77777777" w:rsidR="002C11DC" w:rsidRPr="002522F2" w:rsidRDefault="002C11DC" w:rsidP="00446247">
            <w:pPr>
              <w:spacing w:after="0" w:line="240" w:lineRule="auto"/>
              <w:rPr>
                <w:rFonts w:eastAsia="Times New Roman" w:cs="Arial"/>
                <w:color w:val="000000"/>
                <w:sz w:val="16"/>
                <w:szCs w:val="16"/>
                <w:lang w:eastAsia="zh-CN" w:bidi="th-TH"/>
              </w:rPr>
            </w:pPr>
            <w:r w:rsidRPr="002522F2">
              <w:rPr>
                <w:rFonts w:eastAsia="Times New Roman" w:cs="Arial"/>
                <w:color w:val="000000"/>
                <w:sz w:val="16"/>
                <w:szCs w:val="16"/>
                <w:lang w:eastAsia="zh-CN" w:bidi="th-TH"/>
              </w:rPr>
              <w:t>30 June 2022 AFSR projection</w:t>
            </w:r>
          </w:p>
        </w:tc>
        <w:tc>
          <w:tcPr>
            <w:tcW w:w="832" w:type="dxa"/>
            <w:tcBorders>
              <w:top w:val="nil"/>
              <w:left w:val="nil"/>
              <w:bottom w:val="single" w:sz="4" w:space="0" w:color="auto"/>
              <w:right w:val="nil"/>
            </w:tcBorders>
            <w:shd w:val="clear" w:color="000000" w:fill="BFBFBF"/>
            <w:noWrap/>
            <w:vAlign w:val="center"/>
            <w:hideMark/>
          </w:tcPr>
          <w:p w14:paraId="28ED0655"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3" w:type="dxa"/>
            <w:tcBorders>
              <w:top w:val="nil"/>
              <w:left w:val="nil"/>
              <w:bottom w:val="single" w:sz="4" w:space="0" w:color="auto"/>
              <w:right w:val="nil"/>
            </w:tcBorders>
            <w:shd w:val="clear" w:color="000000" w:fill="BFBFBF"/>
            <w:noWrap/>
            <w:vAlign w:val="center"/>
            <w:hideMark/>
          </w:tcPr>
          <w:p w14:paraId="2818BAAE"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2" w:type="dxa"/>
            <w:tcBorders>
              <w:top w:val="nil"/>
              <w:left w:val="nil"/>
              <w:bottom w:val="single" w:sz="4" w:space="0" w:color="auto"/>
              <w:right w:val="nil"/>
            </w:tcBorders>
            <w:shd w:val="clear" w:color="000000" w:fill="BFBFBF"/>
            <w:noWrap/>
            <w:vAlign w:val="center"/>
            <w:hideMark/>
          </w:tcPr>
          <w:p w14:paraId="57BE69D8"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3" w:type="dxa"/>
            <w:tcBorders>
              <w:top w:val="nil"/>
              <w:left w:val="single" w:sz="4" w:space="0" w:color="auto"/>
              <w:bottom w:val="single" w:sz="4" w:space="0" w:color="auto"/>
              <w:right w:val="single" w:sz="4" w:space="0" w:color="auto"/>
            </w:tcBorders>
            <w:shd w:val="clear" w:color="000000" w:fill="BFBFBF"/>
            <w:noWrap/>
            <w:vAlign w:val="center"/>
            <w:hideMark/>
          </w:tcPr>
          <w:p w14:paraId="3EEF6BFE"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2" w:type="dxa"/>
            <w:tcBorders>
              <w:top w:val="nil"/>
              <w:left w:val="nil"/>
              <w:bottom w:val="single" w:sz="4" w:space="0" w:color="auto"/>
              <w:right w:val="nil"/>
            </w:tcBorders>
            <w:shd w:val="clear" w:color="auto" w:fill="auto"/>
            <w:noWrap/>
            <w:vAlign w:val="center"/>
            <w:hideMark/>
          </w:tcPr>
          <w:p w14:paraId="020ED807"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43,200</w:t>
            </w:r>
          </w:p>
        </w:tc>
        <w:tc>
          <w:tcPr>
            <w:tcW w:w="833" w:type="dxa"/>
            <w:tcBorders>
              <w:top w:val="nil"/>
              <w:left w:val="nil"/>
              <w:bottom w:val="single" w:sz="4" w:space="0" w:color="auto"/>
              <w:right w:val="nil"/>
            </w:tcBorders>
            <w:shd w:val="clear" w:color="auto" w:fill="auto"/>
            <w:noWrap/>
            <w:vAlign w:val="center"/>
            <w:hideMark/>
          </w:tcPr>
          <w:p w14:paraId="0E823579"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cs="Arial"/>
                <w:color w:val="000000"/>
                <w:sz w:val="16"/>
                <w:szCs w:val="16"/>
              </w:rPr>
              <w:t>44,400</w:t>
            </w:r>
          </w:p>
        </w:tc>
        <w:tc>
          <w:tcPr>
            <w:tcW w:w="832" w:type="dxa"/>
            <w:tcBorders>
              <w:top w:val="nil"/>
              <w:left w:val="nil"/>
              <w:bottom w:val="single" w:sz="4" w:space="0" w:color="auto"/>
              <w:right w:val="nil"/>
            </w:tcBorders>
            <w:shd w:val="clear" w:color="auto" w:fill="auto"/>
            <w:noWrap/>
            <w:vAlign w:val="center"/>
            <w:hideMark/>
          </w:tcPr>
          <w:p w14:paraId="344A2DE4"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cs="Arial"/>
                <w:color w:val="000000"/>
                <w:sz w:val="16"/>
                <w:szCs w:val="16"/>
              </w:rPr>
              <w:t>47,700</w:t>
            </w:r>
          </w:p>
        </w:tc>
        <w:tc>
          <w:tcPr>
            <w:tcW w:w="833" w:type="dxa"/>
            <w:tcBorders>
              <w:top w:val="nil"/>
              <w:left w:val="nil"/>
              <w:bottom w:val="single" w:sz="4" w:space="0" w:color="auto"/>
              <w:right w:val="single" w:sz="4" w:space="0" w:color="auto"/>
            </w:tcBorders>
            <w:shd w:val="clear" w:color="auto" w:fill="auto"/>
            <w:noWrap/>
            <w:vAlign w:val="center"/>
            <w:hideMark/>
          </w:tcPr>
          <w:p w14:paraId="1CCF4086"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cs="Arial"/>
                <w:color w:val="000000"/>
                <w:sz w:val="16"/>
                <w:szCs w:val="16"/>
              </w:rPr>
              <w:t>51,000</w:t>
            </w:r>
          </w:p>
        </w:tc>
      </w:tr>
      <w:tr w:rsidR="002C11DC" w:rsidRPr="002522F2" w14:paraId="3DC48DA6" w14:textId="77777777" w:rsidTr="002522F2">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35626FAB" w14:textId="77777777" w:rsidR="002C11DC" w:rsidRPr="002522F2" w:rsidRDefault="002C11DC" w:rsidP="00446247">
            <w:pPr>
              <w:spacing w:after="0" w:line="240" w:lineRule="auto"/>
              <w:rPr>
                <w:rFonts w:eastAsia="Times New Roman" w:cs="Arial"/>
                <w:color w:val="000000"/>
                <w:sz w:val="16"/>
                <w:szCs w:val="16"/>
                <w:lang w:eastAsia="zh-CN" w:bidi="th-TH"/>
              </w:rPr>
            </w:pPr>
            <w:r w:rsidRPr="002522F2">
              <w:rPr>
                <w:rFonts w:eastAsia="Times New Roman" w:cs="Arial"/>
                <w:color w:val="000000"/>
                <w:sz w:val="16"/>
                <w:szCs w:val="16"/>
                <w:lang w:eastAsia="zh-CN" w:bidi="th-TH"/>
              </w:rPr>
              <w:t>30 June 2021 AFSR projection</w:t>
            </w:r>
          </w:p>
        </w:tc>
        <w:tc>
          <w:tcPr>
            <w:tcW w:w="832" w:type="dxa"/>
            <w:tcBorders>
              <w:top w:val="nil"/>
              <w:left w:val="nil"/>
              <w:bottom w:val="single" w:sz="4" w:space="0" w:color="auto"/>
              <w:right w:val="nil"/>
            </w:tcBorders>
            <w:shd w:val="clear" w:color="000000" w:fill="BFBFBF"/>
            <w:noWrap/>
            <w:vAlign w:val="center"/>
            <w:hideMark/>
          </w:tcPr>
          <w:p w14:paraId="1C62C911"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3" w:type="dxa"/>
            <w:tcBorders>
              <w:top w:val="nil"/>
              <w:left w:val="nil"/>
              <w:bottom w:val="single" w:sz="4" w:space="0" w:color="auto"/>
              <w:right w:val="nil"/>
            </w:tcBorders>
            <w:shd w:val="clear" w:color="000000" w:fill="BFBFBF"/>
            <w:noWrap/>
            <w:vAlign w:val="center"/>
            <w:hideMark/>
          </w:tcPr>
          <w:p w14:paraId="14C851C4"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2" w:type="dxa"/>
            <w:tcBorders>
              <w:top w:val="nil"/>
              <w:left w:val="nil"/>
              <w:bottom w:val="single" w:sz="4" w:space="0" w:color="auto"/>
              <w:right w:val="nil"/>
            </w:tcBorders>
            <w:shd w:val="clear" w:color="000000" w:fill="BFBFBF"/>
            <w:noWrap/>
            <w:vAlign w:val="center"/>
            <w:hideMark/>
          </w:tcPr>
          <w:p w14:paraId="63F595B5"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3" w:type="dxa"/>
            <w:tcBorders>
              <w:top w:val="nil"/>
              <w:left w:val="single" w:sz="4" w:space="0" w:color="auto"/>
              <w:bottom w:val="single" w:sz="4" w:space="0" w:color="auto"/>
              <w:right w:val="single" w:sz="4" w:space="0" w:color="auto"/>
            </w:tcBorders>
            <w:shd w:val="clear" w:color="000000" w:fill="FFE699"/>
            <w:noWrap/>
            <w:vAlign w:val="center"/>
            <w:hideMark/>
          </w:tcPr>
          <w:p w14:paraId="5F7D21DC"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42,200</w:t>
            </w:r>
          </w:p>
        </w:tc>
        <w:tc>
          <w:tcPr>
            <w:tcW w:w="832" w:type="dxa"/>
            <w:tcBorders>
              <w:top w:val="nil"/>
              <w:left w:val="nil"/>
              <w:bottom w:val="single" w:sz="4" w:space="0" w:color="auto"/>
              <w:right w:val="nil"/>
            </w:tcBorders>
            <w:shd w:val="clear" w:color="auto" w:fill="auto"/>
            <w:noWrap/>
            <w:vAlign w:val="center"/>
            <w:hideMark/>
          </w:tcPr>
          <w:p w14:paraId="5E88DE58"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44,900</w:t>
            </w:r>
          </w:p>
        </w:tc>
        <w:tc>
          <w:tcPr>
            <w:tcW w:w="833" w:type="dxa"/>
            <w:tcBorders>
              <w:top w:val="nil"/>
              <w:left w:val="nil"/>
              <w:bottom w:val="single" w:sz="4" w:space="0" w:color="auto"/>
              <w:right w:val="nil"/>
            </w:tcBorders>
            <w:shd w:val="clear" w:color="auto" w:fill="auto"/>
            <w:noWrap/>
            <w:vAlign w:val="center"/>
            <w:hideMark/>
          </w:tcPr>
          <w:p w14:paraId="43C6C59D"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46,800</w:t>
            </w:r>
          </w:p>
        </w:tc>
        <w:tc>
          <w:tcPr>
            <w:tcW w:w="832" w:type="dxa"/>
            <w:tcBorders>
              <w:top w:val="nil"/>
              <w:left w:val="nil"/>
              <w:bottom w:val="single" w:sz="4" w:space="0" w:color="auto"/>
              <w:right w:val="nil"/>
            </w:tcBorders>
            <w:shd w:val="clear" w:color="auto" w:fill="auto"/>
            <w:noWrap/>
            <w:vAlign w:val="center"/>
            <w:hideMark/>
          </w:tcPr>
          <w:p w14:paraId="3B97E43D"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48,000</w:t>
            </w:r>
          </w:p>
        </w:tc>
        <w:tc>
          <w:tcPr>
            <w:tcW w:w="833" w:type="dxa"/>
            <w:tcBorders>
              <w:top w:val="nil"/>
              <w:left w:val="nil"/>
              <w:bottom w:val="single" w:sz="4" w:space="0" w:color="auto"/>
              <w:right w:val="single" w:sz="4" w:space="0" w:color="auto"/>
            </w:tcBorders>
            <w:shd w:val="clear" w:color="auto" w:fill="auto"/>
            <w:noWrap/>
            <w:vAlign w:val="center"/>
            <w:hideMark/>
          </w:tcPr>
          <w:p w14:paraId="4D1BC795"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48,700</w:t>
            </w:r>
          </w:p>
        </w:tc>
      </w:tr>
      <w:tr w:rsidR="002C11DC" w:rsidRPr="002522F2" w14:paraId="59C7C557" w14:textId="77777777" w:rsidTr="002522F2">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387AF013" w14:textId="77777777" w:rsidR="002C11DC" w:rsidRPr="002522F2" w:rsidRDefault="002C11DC" w:rsidP="00446247">
            <w:pPr>
              <w:spacing w:after="0" w:line="240" w:lineRule="auto"/>
              <w:rPr>
                <w:rFonts w:eastAsia="Times New Roman" w:cs="Arial"/>
                <w:color w:val="000000"/>
                <w:sz w:val="16"/>
                <w:szCs w:val="16"/>
                <w:lang w:eastAsia="zh-CN" w:bidi="th-TH"/>
              </w:rPr>
            </w:pPr>
            <w:r w:rsidRPr="002522F2">
              <w:rPr>
                <w:rFonts w:eastAsia="Times New Roman" w:cs="Arial"/>
                <w:color w:val="000000"/>
                <w:sz w:val="16"/>
                <w:szCs w:val="16"/>
                <w:lang w:eastAsia="zh-CN" w:bidi="th-TH"/>
              </w:rPr>
              <w:t>31 December 2020 AFSR projection</w:t>
            </w:r>
          </w:p>
        </w:tc>
        <w:tc>
          <w:tcPr>
            <w:tcW w:w="832" w:type="dxa"/>
            <w:tcBorders>
              <w:top w:val="nil"/>
              <w:left w:val="nil"/>
              <w:bottom w:val="single" w:sz="4" w:space="0" w:color="auto"/>
              <w:right w:val="nil"/>
            </w:tcBorders>
            <w:shd w:val="clear" w:color="000000" w:fill="BFBFBF"/>
            <w:noWrap/>
            <w:vAlign w:val="center"/>
            <w:hideMark/>
          </w:tcPr>
          <w:p w14:paraId="5F58C96A"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3" w:type="dxa"/>
            <w:tcBorders>
              <w:top w:val="nil"/>
              <w:left w:val="nil"/>
              <w:bottom w:val="single" w:sz="4" w:space="0" w:color="auto"/>
              <w:right w:val="nil"/>
            </w:tcBorders>
            <w:shd w:val="clear" w:color="000000" w:fill="BFBFBF"/>
            <w:noWrap/>
            <w:vAlign w:val="center"/>
            <w:hideMark/>
          </w:tcPr>
          <w:p w14:paraId="6C33D068"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2" w:type="dxa"/>
            <w:tcBorders>
              <w:top w:val="nil"/>
              <w:left w:val="nil"/>
              <w:bottom w:val="single" w:sz="4" w:space="0" w:color="auto"/>
              <w:right w:val="nil"/>
            </w:tcBorders>
            <w:shd w:val="clear" w:color="000000" w:fill="BFBFBF"/>
            <w:noWrap/>
            <w:vAlign w:val="center"/>
            <w:hideMark/>
          </w:tcPr>
          <w:p w14:paraId="1ACF0B03"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3E634DB"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41,200</w:t>
            </w:r>
          </w:p>
        </w:tc>
        <w:tc>
          <w:tcPr>
            <w:tcW w:w="832" w:type="dxa"/>
            <w:tcBorders>
              <w:top w:val="nil"/>
              <w:left w:val="nil"/>
              <w:bottom w:val="single" w:sz="4" w:space="0" w:color="auto"/>
              <w:right w:val="nil"/>
            </w:tcBorders>
            <w:shd w:val="clear" w:color="auto" w:fill="auto"/>
            <w:noWrap/>
            <w:vAlign w:val="center"/>
            <w:hideMark/>
          </w:tcPr>
          <w:p w14:paraId="018662F8"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42,600</w:t>
            </w:r>
          </w:p>
        </w:tc>
        <w:tc>
          <w:tcPr>
            <w:tcW w:w="833" w:type="dxa"/>
            <w:tcBorders>
              <w:top w:val="nil"/>
              <w:left w:val="nil"/>
              <w:bottom w:val="single" w:sz="4" w:space="0" w:color="auto"/>
              <w:right w:val="nil"/>
            </w:tcBorders>
            <w:shd w:val="clear" w:color="auto" w:fill="auto"/>
            <w:noWrap/>
            <w:vAlign w:val="center"/>
            <w:hideMark/>
          </w:tcPr>
          <w:p w14:paraId="1B8F7A6B"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43,800</w:t>
            </w:r>
          </w:p>
        </w:tc>
        <w:tc>
          <w:tcPr>
            <w:tcW w:w="832" w:type="dxa"/>
            <w:tcBorders>
              <w:top w:val="nil"/>
              <w:left w:val="nil"/>
              <w:bottom w:val="single" w:sz="4" w:space="0" w:color="auto"/>
              <w:right w:val="nil"/>
            </w:tcBorders>
            <w:shd w:val="clear" w:color="auto" w:fill="auto"/>
            <w:noWrap/>
            <w:vAlign w:val="center"/>
            <w:hideMark/>
          </w:tcPr>
          <w:p w14:paraId="6A5828CC"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45,100</w:t>
            </w:r>
          </w:p>
        </w:tc>
        <w:tc>
          <w:tcPr>
            <w:tcW w:w="833" w:type="dxa"/>
            <w:tcBorders>
              <w:top w:val="nil"/>
              <w:left w:val="nil"/>
              <w:bottom w:val="single" w:sz="4" w:space="0" w:color="auto"/>
              <w:right w:val="single" w:sz="4" w:space="0" w:color="auto"/>
            </w:tcBorders>
            <w:shd w:val="clear" w:color="auto" w:fill="auto"/>
            <w:noWrap/>
            <w:vAlign w:val="center"/>
            <w:hideMark/>
          </w:tcPr>
          <w:p w14:paraId="5321FBDA"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46,300</w:t>
            </w:r>
          </w:p>
        </w:tc>
      </w:tr>
      <w:tr w:rsidR="002C11DC" w:rsidRPr="002522F2" w14:paraId="616467D6" w14:textId="77777777" w:rsidTr="002522F2">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5FEA9111" w14:textId="77777777" w:rsidR="002C11DC" w:rsidRPr="002522F2" w:rsidRDefault="002C11DC" w:rsidP="00446247">
            <w:pPr>
              <w:spacing w:after="0" w:line="240" w:lineRule="auto"/>
              <w:rPr>
                <w:rFonts w:eastAsia="Times New Roman" w:cs="Arial"/>
                <w:color w:val="000000"/>
                <w:sz w:val="16"/>
                <w:szCs w:val="16"/>
                <w:lang w:eastAsia="zh-CN" w:bidi="th-TH"/>
              </w:rPr>
            </w:pPr>
            <w:r w:rsidRPr="002522F2">
              <w:rPr>
                <w:rFonts w:eastAsia="Times New Roman" w:cs="Arial"/>
                <w:color w:val="000000"/>
                <w:sz w:val="16"/>
                <w:szCs w:val="16"/>
                <w:lang w:eastAsia="zh-CN" w:bidi="th-TH"/>
              </w:rPr>
              <w:t>30 June 2020 AFSR projection</w:t>
            </w:r>
          </w:p>
        </w:tc>
        <w:tc>
          <w:tcPr>
            <w:tcW w:w="832" w:type="dxa"/>
            <w:tcBorders>
              <w:top w:val="nil"/>
              <w:left w:val="nil"/>
              <w:bottom w:val="single" w:sz="4" w:space="0" w:color="auto"/>
              <w:right w:val="nil"/>
            </w:tcBorders>
            <w:shd w:val="clear" w:color="000000" w:fill="BFBFBF"/>
            <w:noWrap/>
            <w:vAlign w:val="center"/>
            <w:hideMark/>
          </w:tcPr>
          <w:p w14:paraId="44CC19AF"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3" w:type="dxa"/>
            <w:tcBorders>
              <w:top w:val="nil"/>
              <w:left w:val="nil"/>
              <w:bottom w:val="single" w:sz="4" w:space="0" w:color="auto"/>
              <w:right w:val="nil"/>
            </w:tcBorders>
            <w:shd w:val="clear" w:color="000000" w:fill="BFBFBF"/>
            <w:noWrap/>
            <w:vAlign w:val="center"/>
            <w:hideMark/>
          </w:tcPr>
          <w:p w14:paraId="6502269D"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2" w:type="dxa"/>
            <w:tcBorders>
              <w:top w:val="nil"/>
              <w:left w:val="nil"/>
              <w:bottom w:val="single" w:sz="4" w:space="0" w:color="auto"/>
              <w:right w:val="nil"/>
            </w:tcBorders>
            <w:shd w:val="clear" w:color="000000" w:fill="FFE699"/>
            <w:noWrap/>
            <w:vAlign w:val="center"/>
            <w:hideMark/>
          </w:tcPr>
          <w:p w14:paraId="1E903F49"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34,700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1ED89CBA"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36,200</w:t>
            </w:r>
          </w:p>
        </w:tc>
        <w:tc>
          <w:tcPr>
            <w:tcW w:w="832" w:type="dxa"/>
            <w:tcBorders>
              <w:top w:val="nil"/>
              <w:left w:val="nil"/>
              <w:bottom w:val="single" w:sz="4" w:space="0" w:color="auto"/>
              <w:right w:val="nil"/>
            </w:tcBorders>
            <w:shd w:val="clear" w:color="auto" w:fill="auto"/>
            <w:noWrap/>
            <w:vAlign w:val="center"/>
            <w:hideMark/>
          </w:tcPr>
          <w:p w14:paraId="770150CD"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37,100</w:t>
            </w:r>
          </w:p>
        </w:tc>
        <w:tc>
          <w:tcPr>
            <w:tcW w:w="833" w:type="dxa"/>
            <w:tcBorders>
              <w:top w:val="nil"/>
              <w:left w:val="nil"/>
              <w:bottom w:val="single" w:sz="4" w:space="0" w:color="auto"/>
              <w:right w:val="nil"/>
            </w:tcBorders>
            <w:shd w:val="clear" w:color="auto" w:fill="auto"/>
            <w:noWrap/>
            <w:vAlign w:val="center"/>
            <w:hideMark/>
          </w:tcPr>
          <w:p w14:paraId="0885C262"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38,300</w:t>
            </w:r>
          </w:p>
        </w:tc>
        <w:tc>
          <w:tcPr>
            <w:tcW w:w="832" w:type="dxa"/>
            <w:tcBorders>
              <w:top w:val="nil"/>
              <w:left w:val="nil"/>
              <w:bottom w:val="single" w:sz="4" w:space="0" w:color="auto"/>
              <w:right w:val="nil"/>
            </w:tcBorders>
            <w:shd w:val="clear" w:color="auto" w:fill="auto"/>
            <w:noWrap/>
            <w:vAlign w:val="center"/>
            <w:hideMark/>
          </w:tcPr>
          <w:p w14:paraId="0E7EF176"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39,700</w:t>
            </w:r>
          </w:p>
        </w:tc>
        <w:tc>
          <w:tcPr>
            <w:tcW w:w="833" w:type="dxa"/>
            <w:tcBorders>
              <w:top w:val="nil"/>
              <w:left w:val="nil"/>
              <w:bottom w:val="single" w:sz="4" w:space="0" w:color="auto"/>
              <w:right w:val="single" w:sz="4" w:space="0" w:color="auto"/>
            </w:tcBorders>
            <w:shd w:val="clear" w:color="auto" w:fill="auto"/>
            <w:noWrap/>
            <w:vAlign w:val="center"/>
            <w:hideMark/>
          </w:tcPr>
          <w:p w14:paraId="3701F6C3"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41,300</w:t>
            </w:r>
          </w:p>
        </w:tc>
      </w:tr>
      <w:tr w:rsidR="002C11DC" w:rsidRPr="002522F2" w14:paraId="5D72856C" w14:textId="77777777" w:rsidTr="00D71E73">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63F06424" w14:textId="77777777" w:rsidR="002C11DC" w:rsidRPr="002522F2" w:rsidRDefault="002C11DC" w:rsidP="00446247">
            <w:pPr>
              <w:spacing w:after="0" w:line="240" w:lineRule="auto"/>
              <w:rPr>
                <w:rFonts w:eastAsia="Times New Roman" w:cs="Arial"/>
                <w:color w:val="000000"/>
                <w:sz w:val="16"/>
                <w:szCs w:val="16"/>
                <w:lang w:eastAsia="zh-CN" w:bidi="th-TH"/>
              </w:rPr>
            </w:pPr>
            <w:r w:rsidRPr="002522F2">
              <w:rPr>
                <w:rFonts w:eastAsia="Times New Roman" w:cs="Arial"/>
                <w:color w:val="000000"/>
                <w:sz w:val="16"/>
                <w:szCs w:val="16"/>
                <w:lang w:eastAsia="zh-CN" w:bidi="th-TH"/>
              </w:rPr>
              <w:t>31 December 2019 AFSR projection</w:t>
            </w:r>
          </w:p>
        </w:tc>
        <w:tc>
          <w:tcPr>
            <w:tcW w:w="832" w:type="dxa"/>
            <w:tcBorders>
              <w:top w:val="nil"/>
              <w:left w:val="nil"/>
              <w:bottom w:val="single" w:sz="4" w:space="0" w:color="auto"/>
              <w:right w:val="nil"/>
            </w:tcBorders>
            <w:shd w:val="clear" w:color="000000" w:fill="BFBFBF"/>
            <w:noWrap/>
            <w:vAlign w:val="center"/>
            <w:hideMark/>
          </w:tcPr>
          <w:p w14:paraId="183EAC65"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3" w:type="dxa"/>
            <w:tcBorders>
              <w:top w:val="nil"/>
              <w:left w:val="nil"/>
              <w:bottom w:val="single" w:sz="4" w:space="0" w:color="auto"/>
              <w:right w:val="nil"/>
            </w:tcBorders>
            <w:shd w:val="clear" w:color="000000" w:fill="BFBFBF"/>
            <w:noWrap/>
            <w:vAlign w:val="center"/>
            <w:hideMark/>
          </w:tcPr>
          <w:p w14:paraId="37686713"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2" w:type="dxa"/>
            <w:tcBorders>
              <w:top w:val="nil"/>
              <w:left w:val="nil"/>
              <w:bottom w:val="single" w:sz="4" w:space="0" w:color="auto"/>
              <w:right w:val="nil"/>
            </w:tcBorders>
            <w:shd w:val="clear" w:color="auto" w:fill="auto"/>
            <w:noWrap/>
            <w:vAlign w:val="center"/>
            <w:hideMark/>
          </w:tcPr>
          <w:p w14:paraId="3B470936"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35,400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F393722"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36,200</w:t>
            </w:r>
          </w:p>
        </w:tc>
        <w:tc>
          <w:tcPr>
            <w:tcW w:w="832" w:type="dxa"/>
            <w:tcBorders>
              <w:top w:val="nil"/>
              <w:left w:val="nil"/>
              <w:bottom w:val="single" w:sz="4" w:space="0" w:color="auto"/>
              <w:right w:val="nil"/>
            </w:tcBorders>
            <w:shd w:val="clear" w:color="auto" w:fill="auto"/>
            <w:noWrap/>
            <w:vAlign w:val="center"/>
            <w:hideMark/>
          </w:tcPr>
          <w:p w14:paraId="4104D703"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37,100</w:t>
            </w:r>
          </w:p>
        </w:tc>
        <w:tc>
          <w:tcPr>
            <w:tcW w:w="833" w:type="dxa"/>
            <w:tcBorders>
              <w:top w:val="nil"/>
              <w:left w:val="nil"/>
              <w:bottom w:val="single" w:sz="4" w:space="0" w:color="auto"/>
              <w:right w:val="nil"/>
            </w:tcBorders>
            <w:shd w:val="clear" w:color="auto" w:fill="auto"/>
            <w:noWrap/>
            <w:vAlign w:val="center"/>
            <w:hideMark/>
          </w:tcPr>
          <w:p w14:paraId="71B968C0"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38,100</w:t>
            </w:r>
          </w:p>
        </w:tc>
        <w:tc>
          <w:tcPr>
            <w:tcW w:w="832" w:type="dxa"/>
            <w:tcBorders>
              <w:top w:val="nil"/>
              <w:left w:val="nil"/>
              <w:bottom w:val="single" w:sz="4" w:space="0" w:color="auto"/>
              <w:right w:val="nil"/>
            </w:tcBorders>
            <w:shd w:val="clear" w:color="auto" w:fill="auto"/>
            <w:noWrap/>
            <w:vAlign w:val="center"/>
            <w:hideMark/>
          </w:tcPr>
          <w:p w14:paraId="70F485B5"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39,300</w:t>
            </w:r>
          </w:p>
        </w:tc>
        <w:tc>
          <w:tcPr>
            <w:tcW w:w="833" w:type="dxa"/>
            <w:tcBorders>
              <w:top w:val="nil"/>
              <w:left w:val="nil"/>
              <w:bottom w:val="single" w:sz="4" w:space="0" w:color="auto"/>
              <w:right w:val="single" w:sz="4" w:space="0" w:color="auto"/>
            </w:tcBorders>
            <w:shd w:val="clear" w:color="auto" w:fill="auto"/>
            <w:noWrap/>
            <w:vAlign w:val="center"/>
            <w:hideMark/>
          </w:tcPr>
          <w:p w14:paraId="6FBA699C"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40,700</w:t>
            </w:r>
          </w:p>
        </w:tc>
      </w:tr>
      <w:tr w:rsidR="002C11DC" w:rsidRPr="002522F2" w14:paraId="366C4A4E" w14:textId="77777777" w:rsidTr="00D71E73">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0D7574E7" w14:textId="77777777" w:rsidR="002C11DC" w:rsidRPr="002522F2" w:rsidRDefault="002C11DC" w:rsidP="00446247">
            <w:pPr>
              <w:spacing w:after="0" w:line="240" w:lineRule="auto"/>
              <w:rPr>
                <w:rFonts w:eastAsia="Times New Roman" w:cs="Arial"/>
                <w:color w:val="000000"/>
                <w:sz w:val="16"/>
                <w:szCs w:val="16"/>
                <w:lang w:eastAsia="zh-CN" w:bidi="th-TH"/>
              </w:rPr>
            </w:pPr>
            <w:r w:rsidRPr="002522F2">
              <w:rPr>
                <w:rFonts w:eastAsia="Times New Roman" w:cs="Arial"/>
                <w:color w:val="000000"/>
                <w:sz w:val="16"/>
                <w:szCs w:val="16"/>
                <w:lang w:eastAsia="zh-CN" w:bidi="th-TH"/>
              </w:rPr>
              <w:t>30 June 2019 AFSR projection</w:t>
            </w:r>
          </w:p>
        </w:tc>
        <w:tc>
          <w:tcPr>
            <w:tcW w:w="832" w:type="dxa"/>
            <w:tcBorders>
              <w:top w:val="nil"/>
              <w:left w:val="nil"/>
              <w:bottom w:val="single" w:sz="4" w:space="0" w:color="auto"/>
              <w:right w:val="nil"/>
            </w:tcBorders>
            <w:shd w:val="clear" w:color="000000" w:fill="BFBFBF"/>
            <w:noWrap/>
            <w:vAlign w:val="center"/>
            <w:hideMark/>
          </w:tcPr>
          <w:p w14:paraId="6E126E46"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3" w:type="dxa"/>
            <w:tcBorders>
              <w:top w:val="nil"/>
              <w:left w:val="nil"/>
              <w:bottom w:val="single" w:sz="4" w:space="0" w:color="auto"/>
              <w:right w:val="nil"/>
            </w:tcBorders>
            <w:shd w:val="clear" w:color="000000" w:fill="FFE699"/>
            <w:noWrap/>
            <w:vAlign w:val="center"/>
            <w:hideMark/>
          </w:tcPr>
          <w:p w14:paraId="541D61A6"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33,400</w:t>
            </w:r>
          </w:p>
        </w:tc>
        <w:tc>
          <w:tcPr>
            <w:tcW w:w="832" w:type="dxa"/>
            <w:tcBorders>
              <w:top w:val="nil"/>
              <w:left w:val="nil"/>
              <w:bottom w:val="single" w:sz="4" w:space="0" w:color="auto"/>
              <w:right w:val="nil"/>
            </w:tcBorders>
            <w:shd w:val="clear" w:color="auto" w:fill="auto"/>
            <w:noWrap/>
            <w:vAlign w:val="center"/>
            <w:hideMark/>
          </w:tcPr>
          <w:p w14:paraId="0637FEA4"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35,100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2D308B2F"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36,100</w:t>
            </w:r>
          </w:p>
        </w:tc>
        <w:tc>
          <w:tcPr>
            <w:tcW w:w="832" w:type="dxa"/>
            <w:tcBorders>
              <w:top w:val="nil"/>
              <w:left w:val="nil"/>
              <w:bottom w:val="single" w:sz="4" w:space="0" w:color="auto"/>
              <w:right w:val="nil"/>
            </w:tcBorders>
            <w:shd w:val="clear" w:color="auto" w:fill="auto"/>
            <w:noWrap/>
            <w:vAlign w:val="center"/>
            <w:hideMark/>
          </w:tcPr>
          <w:p w14:paraId="3A5846FE"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37,000</w:t>
            </w:r>
          </w:p>
        </w:tc>
        <w:tc>
          <w:tcPr>
            <w:tcW w:w="833" w:type="dxa"/>
            <w:tcBorders>
              <w:top w:val="nil"/>
              <w:left w:val="nil"/>
              <w:bottom w:val="single" w:sz="4" w:space="0" w:color="auto"/>
              <w:right w:val="nil"/>
            </w:tcBorders>
            <w:shd w:val="clear" w:color="auto" w:fill="auto"/>
            <w:noWrap/>
            <w:vAlign w:val="center"/>
            <w:hideMark/>
          </w:tcPr>
          <w:p w14:paraId="67A84B99"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37,700</w:t>
            </w:r>
          </w:p>
        </w:tc>
        <w:tc>
          <w:tcPr>
            <w:tcW w:w="832" w:type="dxa"/>
            <w:tcBorders>
              <w:top w:val="nil"/>
              <w:left w:val="nil"/>
              <w:bottom w:val="single" w:sz="4" w:space="0" w:color="auto"/>
              <w:right w:val="nil"/>
            </w:tcBorders>
            <w:shd w:val="clear" w:color="auto" w:fill="auto"/>
            <w:noWrap/>
            <w:vAlign w:val="center"/>
            <w:hideMark/>
          </w:tcPr>
          <w:p w14:paraId="3E6917CE"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38,200</w:t>
            </w:r>
          </w:p>
        </w:tc>
        <w:tc>
          <w:tcPr>
            <w:tcW w:w="833" w:type="dxa"/>
            <w:tcBorders>
              <w:top w:val="nil"/>
              <w:left w:val="nil"/>
              <w:bottom w:val="single" w:sz="4" w:space="0" w:color="auto"/>
              <w:right w:val="single" w:sz="4" w:space="0" w:color="auto"/>
            </w:tcBorders>
            <w:shd w:val="clear" w:color="auto" w:fill="auto"/>
            <w:noWrap/>
            <w:vAlign w:val="center"/>
            <w:hideMark/>
          </w:tcPr>
          <w:p w14:paraId="60C310E7"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39,300</w:t>
            </w:r>
          </w:p>
        </w:tc>
      </w:tr>
      <w:tr w:rsidR="002C11DC" w:rsidRPr="002522F2" w14:paraId="3B501EB2" w14:textId="77777777" w:rsidTr="00D71E73">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736B6AC0" w14:textId="77777777" w:rsidR="002C11DC" w:rsidRPr="002522F2" w:rsidRDefault="002C11DC" w:rsidP="00446247">
            <w:pPr>
              <w:spacing w:after="0" w:line="240" w:lineRule="auto"/>
              <w:rPr>
                <w:rFonts w:eastAsia="Times New Roman" w:cs="Arial"/>
                <w:color w:val="000000"/>
                <w:sz w:val="16"/>
                <w:szCs w:val="16"/>
                <w:lang w:eastAsia="zh-CN" w:bidi="th-TH"/>
              </w:rPr>
            </w:pPr>
            <w:r w:rsidRPr="002522F2">
              <w:rPr>
                <w:rFonts w:eastAsia="Times New Roman" w:cs="Arial"/>
                <w:color w:val="000000"/>
                <w:sz w:val="16"/>
                <w:szCs w:val="16"/>
                <w:lang w:eastAsia="zh-CN" w:bidi="th-TH"/>
              </w:rPr>
              <w:t>30 June 2018 AFSR projection</w:t>
            </w:r>
          </w:p>
        </w:tc>
        <w:tc>
          <w:tcPr>
            <w:tcW w:w="832" w:type="dxa"/>
            <w:tcBorders>
              <w:top w:val="nil"/>
              <w:left w:val="nil"/>
              <w:bottom w:val="single" w:sz="4" w:space="0" w:color="auto"/>
              <w:right w:val="nil"/>
            </w:tcBorders>
            <w:shd w:val="clear" w:color="000000" w:fill="FFE699"/>
            <w:noWrap/>
            <w:vAlign w:val="center"/>
            <w:hideMark/>
          </w:tcPr>
          <w:p w14:paraId="7AEB2E79"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23,300</w:t>
            </w:r>
          </w:p>
        </w:tc>
        <w:tc>
          <w:tcPr>
            <w:tcW w:w="833" w:type="dxa"/>
            <w:tcBorders>
              <w:top w:val="nil"/>
              <w:left w:val="nil"/>
              <w:bottom w:val="single" w:sz="4" w:space="0" w:color="auto"/>
              <w:right w:val="nil"/>
            </w:tcBorders>
            <w:shd w:val="clear" w:color="auto" w:fill="auto"/>
            <w:noWrap/>
            <w:vAlign w:val="center"/>
            <w:hideMark/>
          </w:tcPr>
          <w:p w14:paraId="2B62D95C"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29,300</w:t>
            </w:r>
          </w:p>
        </w:tc>
        <w:tc>
          <w:tcPr>
            <w:tcW w:w="832" w:type="dxa"/>
            <w:tcBorders>
              <w:top w:val="nil"/>
              <w:left w:val="nil"/>
              <w:bottom w:val="single" w:sz="4" w:space="0" w:color="auto"/>
              <w:right w:val="nil"/>
            </w:tcBorders>
            <w:shd w:val="clear" w:color="auto" w:fill="auto"/>
            <w:noWrap/>
            <w:vAlign w:val="center"/>
            <w:hideMark/>
          </w:tcPr>
          <w:p w14:paraId="0A396C93"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32,300</w:t>
            </w:r>
          </w:p>
        </w:tc>
        <w:tc>
          <w:tcPr>
            <w:tcW w:w="833" w:type="dxa"/>
            <w:tcBorders>
              <w:top w:val="nil"/>
              <w:left w:val="single" w:sz="4" w:space="0" w:color="auto"/>
              <w:bottom w:val="single" w:sz="4" w:space="0" w:color="auto"/>
              <w:right w:val="single" w:sz="4" w:space="0" w:color="auto"/>
            </w:tcBorders>
            <w:shd w:val="clear" w:color="auto" w:fill="auto"/>
            <w:noWrap/>
            <w:vAlign w:val="center"/>
            <w:hideMark/>
          </w:tcPr>
          <w:p w14:paraId="5807082F"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34,100</w:t>
            </w:r>
          </w:p>
        </w:tc>
        <w:tc>
          <w:tcPr>
            <w:tcW w:w="832" w:type="dxa"/>
            <w:tcBorders>
              <w:top w:val="nil"/>
              <w:left w:val="nil"/>
              <w:bottom w:val="single" w:sz="4" w:space="0" w:color="auto"/>
              <w:right w:val="nil"/>
            </w:tcBorders>
            <w:shd w:val="clear" w:color="auto" w:fill="auto"/>
            <w:noWrap/>
            <w:vAlign w:val="center"/>
            <w:hideMark/>
          </w:tcPr>
          <w:p w14:paraId="20D1E98A"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35,600</w:t>
            </w:r>
          </w:p>
        </w:tc>
        <w:tc>
          <w:tcPr>
            <w:tcW w:w="833" w:type="dxa"/>
            <w:tcBorders>
              <w:top w:val="nil"/>
              <w:left w:val="nil"/>
              <w:bottom w:val="single" w:sz="4" w:space="0" w:color="auto"/>
              <w:right w:val="nil"/>
            </w:tcBorders>
            <w:shd w:val="clear" w:color="auto" w:fill="auto"/>
            <w:noWrap/>
            <w:vAlign w:val="center"/>
            <w:hideMark/>
          </w:tcPr>
          <w:p w14:paraId="2FF90D47"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37,500</w:t>
            </w:r>
          </w:p>
        </w:tc>
        <w:tc>
          <w:tcPr>
            <w:tcW w:w="832" w:type="dxa"/>
            <w:tcBorders>
              <w:top w:val="nil"/>
              <w:left w:val="nil"/>
              <w:bottom w:val="single" w:sz="4" w:space="0" w:color="auto"/>
              <w:right w:val="nil"/>
            </w:tcBorders>
            <w:shd w:val="clear" w:color="auto" w:fill="auto"/>
            <w:noWrap/>
            <w:vAlign w:val="center"/>
            <w:hideMark/>
          </w:tcPr>
          <w:p w14:paraId="007F34D7"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38,700</w:t>
            </w:r>
          </w:p>
        </w:tc>
        <w:tc>
          <w:tcPr>
            <w:tcW w:w="833" w:type="dxa"/>
            <w:tcBorders>
              <w:top w:val="nil"/>
              <w:left w:val="nil"/>
              <w:bottom w:val="single" w:sz="4" w:space="0" w:color="auto"/>
              <w:right w:val="single" w:sz="4" w:space="0" w:color="auto"/>
            </w:tcBorders>
            <w:shd w:val="clear" w:color="auto" w:fill="auto"/>
            <w:noWrap/>
            <w:vAlign w:val="center"/>
            <w:hideMark/>
          </w:tcPr>
          <w:p w14:paraId="2B1AB9A1"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40,000</w:t>
            </w:r>
          </w:p>
        </w:tc>
      </w:tr>
      <w:tr w:rsidR="002C11DC" w:rsidRPr="002522F2" w14:paraId="23FDA929" w14:textId="77777777" w:rsidTr="002522F2">
        <w:trPr>
          <w:trHeight w:val="225"/>
        </w:trPr>
        <w:tc>
          <w:tcPr>
            <w:tcW w:w="2830" w:type="dxa"/>
            <w:tcBorders>
              <w:top w:val="nil"/>
              <w:left w:val="single" w:sz="4" w:space="0" w:color="auto"/>
              <w:bottom w:val="single" w:sz="4" w:space="0" w:color="auto"/>
              <w:right w:val="nil"/>
            </w:tcBorders>
            <w:shd w:val="clear" w:color="000000" w:fill="D3C5D7"/>
            <w:noWrap/>
            <w:vAlign w:val="center"/>
            <w:hideMark/>
          </w:tcPr>
          <w:p w14:paraId="0BB66367" w14:textId="77777777" w:rsidR="002C11DC" w:rsidRPr="002522F2" w:rsidRDefault="002C11DC" w:rsidP="00446247">
            <w:pPr>
              <w:spacing w:after="0" w:line="240" w:lineRule="auto"/>
              <w:rPr>
                <w:rFonts w:eastAsia="Times New Roman" w:cs="Arial"/>
                <w:b/>
                <w:bCs/>
                <w:color w:val="000000"/>
                <w:sz w:val="16"/>
                <w:szCs w:val="16"/>
                <w:lang w:eastAsia="zh-CN" w:bidi="th-TH"/>
              </w:rPr>
            </w:pPr>
            <w:r w:rsidRPr="002522F2">
              <w:rPr>
                <w:rFonts w:eastAsia="Times New Roman" w:cs="Arial"/>
                <w:b/>
                <w:bCs/>
                <w:color w:val="000000"/>
                <w:sz w:val="16"/>
                <w:szCs w:val="16"/>
                <w:lang w:eastAsia="zh-CN" w:bidi="th-TH"/>
              </w:rPr>
              <w:t>Comparison with actuals</w:t>
            </w:r>
          </w:p>
        </w:tc>
        <w:tc>
          <w:tcPr>
            <w:tcW w:w="832" w:type="dxa"/>
            <w:tcBorders>
              <w:top w:val="nil"/>
              <w:left w:val="nil"/>
              <w:bottom w:val="single" w:sz="4" w:space="0" w:color="auto"/>
              <w:right w:val="nil"/>
            </w:tcBorders>
            <w:shd w:val="clear" w:color="000000" w:fill="D3C5D7"/>
            <w:noWrap/>
            <w:vAlign w:val="center"/>
            <w:hideMark/>
          </w:tcPr>
          <w:p w14:paraId="6F102235" w14:textId="77777777" w:rsidR="002C11DC" w:rsidRPr="002522F2" w:rsidRDefault="002C11DC" w:rsidP="002522F2">
            <w:pPr>
              <w:spacing w:after="0" w:line="240" w:lineRule="auto"/>
              <w:jc w:val="right"/>
              <w:rPr>
                <w:rFonts w:eastAsia="Times New Roman" w:cs="Arial"/>
                <w:b/>
                <w:bCs/>
                <w:color w:val="000000"/>
                <w:sz w:val="16"/>
                <w:szCs w:val="16"/>
                <w:lang w:eastAsia="zh-CN" w:bidi="th-TH"/>
              </w:rPr>
            </w:pPr>
            <w:r w:rsidRPr="002522F2">
              <w:rPr>
                <w:rFonts w:eastAsia="Times New Roman" w:cs="Arial"/>
                <w:b/>
                <w:bCs/>
                <w:color w:val="000000"/>
                <w:sz w:val="16"/>
                <w:szCs w:val="16"/>
                <w:lang w:eastAsia="zh-CN" w:bidi="th-TH"/>
              </w:rPr>
              <w:t> </w:t>
            </w:r>
          </w:p>
        </w:tc>
        <w:tc>
          <w:tcPr>
            <w:tcW w:w="833" w:type="dxa"/>
            <w:tcBorders>
              <w:top w:val="nil"/>
              <w:left w:val="nil"/>
              <w:bottom w:val="single" w:sz="4" w:space="0" w:color="auto"/>
              <w:right w:val="nil"/>
            </w:tcBorders>
            <w:shd w:val="clear" w:color="000000" w:fill="D3C5D7"/>
            <w:noWrap/>
            <w:vAlign w:val="center"/>
            <w:hideMark/>
          </w:tcPr>
          <w:p w14:paraId="58FD4982" w14:textId="77777777" w:rsidR="002C11DC" w:rsidRPr="002522F2" w:rsidRDefault="002C11DC" w:rsidP="002522F2">
            <w:pPr>
              <w:spacing w:after="0" w:line="240" w:lineRule="auto"/>
              <w:jc w:val="right"/>
              <w:rPr>
                <w:rFonts w:eastAsia="Times New Roman" w:cs="Arial"/>
                <w:b/>
                <w:bCs/>
                <w:color w:val="000000"/>
                <w:sz w:val="16"/>
                <w:szCs w:val="16"/>
                <w:lang w:eastAsia="zh-CN" w:bidi="th-TH"/>
              </w:rPr>
            </w:pPr>
            <w:r w:rsidRPr="002522F2">
              <w:rPr>
                <w:rFonts w:eastAsia="Times New Roman" w:cs="Arial"/>
                <w:b/>
                <w:bCs/>
                <w:color w:val="000000"/>
                <w:sz w:val="16"/>
                <w:szCs w:val="16"/>
                <w:lang w:eastAsia="zh-CN" w:bidi="th-TH"/>
              </w:rPr>
              <w:t> </w:t>
            </w:r>
          </w:p>
        </w:tc>
        <w:tc>
          <w:tcPr>
            <w:tcW w:w="832" w:type="dxa"/>
            <w:tcBorders>
              <w:top w:val="nil"/>
              <w:left w:val="nil"/>
              <w:bottom w:val="single" w:sz="4" w:space="0" w:color="auto"/>
              <w:right w:val="nil"/>
            </w:tcBorders>
            <w:shd w:val="clear" w:color="000000" w:fill="D3C5D7"/>
            <w:noWrap/>
            <w:vAlign w:val="center"/>
            <w:hideMark/>
          </w:tcPr>
          <w:p w14:paraId="07F9DC9E" w14:textId="77777777" w:rsidR="002C11DC" w:rsidRPr="002522F2" w:rsidRDefault="002C11DC" w:rsidP="002522F2">
            <w:pPr>
              <w:spacing w:after="0" w:line="240" w:lineRule="auto"/>
              <w:jc w:val="right"/>
              <w:rPr>
                <w:rFonts w:eastAsia="Times New Roman" w:cs="Arial"/>
                <w:b/>
                <w:bCs/>
                <w:color w:val="000000"/>
                <w:sz w:val="16"/>
                <w:szCs w:val="16"/>
                <w:lang w:eastAsia="zh-CN" w:bidi="th-TH"/>
              </w:rPr>
            </w:pPr>
            <w:r w:rsidRPr="002522F2">
              <w:rPr>
                <w:rFonts w:eastAsia="Times New Roman" w:cs="Arial"/>
                <w:b/>
                <w:bCs/>
                <w:color w:val="000000"/>
                <w:sz w:val="16"/>
                <w:szCs w:val="16"/>
                <w:lang w:eastAsia="zh-CN" w:bidi="th-TH"/>
              </w:rPr>
              <w:t> </w:t>
            </w:r>
          </w:p>
        </w:tc>
        <w:tc>
          <w:tcPr>
            <w:tcW w:w="833" w:type="dxa"/>
            <w:tcBorders>
              <w:top w:val="nil"/>
              <w:left w:val="single" w:sz="4" w:space="0" w:color="auto"/>
              <w:bottom w:val="single" w:sz="4" w:space="0" w:color="auto"/>
              <w:right w:val="single" w:sz="4" w:space="0" w:color="auto"/>
            </w:tcBorders>
            <w:shd w:val="clear" w:color="000000" w:fill="D3C5D7"/>
            <w:noWrap/>
            <w:vAlign w:val="center"/>
            <w:hideMark/>
          </w:tcPr>
          <w:p w14:paraId="17914B74" w14:textId="77777777" w:rsidR="002C11DC" w:rsidRPr="002522F2" w:rsidRDefault="002C11DC" w:rsidP="002522F2">
            <w:pPr>
              <w:spacing w:after="0" w:line="240" w:lineRule="auto"/>
              <w:jc w:val="right"/>
              <w:rPr>
                <w:rFonts w:eastAsia="Times New Roman" w:cs="Arial"/>
                <w:b/>
                <w:bCs/>
                <w:color w:val="000000"/>
                <w:sz w:val="16"/>
                <w:szCs w:val="16"/>
                <w:lang w:eastAsia="zh-CN" w:bidi="th-TH"/>
              </w:rPr>
            </w:pPr>
            <w:r w:rsidRPr="002522F2">
              <w:rPr>
                <w:rFonts w:eastAsia="Times New Roman" w:cs="Arial"/>
                <w:b/>
                <w:bCs/>
                <w:color w:val="000000"/>
                <w:sz w:val="16"/>
                <w:szCs w:val="16"/>
                <w:lang w:eastAsia="zh-CN" w:bidi="th-TH"/>
              </w:rPr>
              <w:t> </w:t>
            </w:r>
          </w:p>
        </w:tc>
        <w:tc>
          <w:tcPr>
            <w:tcW w:w="832" w:type="dxa"/>
            <w:tcBorders>
              <w:top w:val="nil"/>
              <w:left w:val="nil"/>
              <w:bottom w:val="single" w:sz="4" w:space="0" w:color="auto"/>
              <w:right w:val="nil"/>
            </w:tcBorders>
            <w:shd w:val="clear" w:color="000000" w:fill="D3C5D7"/>
            <w:noWrap/>
            <w:vAlign w:val="center"/>
            <w:hideMark/>
          </w:tcPr>
          <w:p w14:paraId="3C086181" w14:textId="77777777" w:rsidR="002C11DC" w:rsidRPr="002522F2" w:rsidRDefault="002C11DC" w:rsidP="002522F2">
            <w:pPr>
              <w:spacing w:after="0" w:line="240" w:lineRule="auto"/>
              <w:jc w:val="right"/>
              <w:rPr>
                <w:rFonts w:eastAsia="Times New Roman" w:cs="Arial"/>
                <w:b/>
                <w:bCs/>
                <w:color w:val="000000"/>
                <w:sz w:val="16"/>
                <w:szCs w:val="16"/>
                <w:lang w:eastAsia="zh-CN" w:bidi="th-TH"/>
              </w:rPr>
            </w:pPr>
            <w:r w:rsidRPr="002522F2">
              <w:rPr>
                <w:rFonts w:eastAsia="Times New Roman" w:cs="Arial"/>
                <w:b/>
                <w:bCs/>
                <w:color w:val="000000"/>
                <w:sz w:val="16"/>
                <w:szCs w:val="16"/>
                <w:lang w:eastAsia="zh-CN" w:bidi="th-TH"/>
              </w:rPr>
              <w:t> </w:t>
            </w:r>
          </w:p>
        </w:tc>
        <w:tc>
          <w:tcPr>
            <w:tcW w:w="833" w:type="dxa"/>
            <w:tcBorders>
              <w:top w:val="nil"/>
              <w:left w:val="nil"/>
              <w:bottom w:val="single" w:sz="4" w:space="0" w:color="auto"/>
              <w:right w:val="nil"/>
            </w:tcBorders>
            <w:shd w:val="clear" w:color="000000" w:fill="D3C5D7"/>
            <w:noWrap/>
            <w:vAlign w:val="center"/>
            <w:hideMark/>
          </w:tcPr>
          <w:p w14:paraId="28916CD4" w14:textId="77777777" w:rsidR="002C11DC" w:rsidRPr="002522F2" w:rsidRDefault="002C11DC" w:rsidP="002522F2">
            <w:pPr>
              <w:spacing w:after="0" w:line="240" w:lineRule="auto"/>
              <w:jc w:val="right"/>
              <w:rPr>
                <w:rFonts w:eastAsia="Times New Roman" w:cs="Arial"/>
                <w:b/>
                <w:bCs/>
                <w:color w:val="000000"/>
                <w:sz w:val="16"/>
                <w:szCs w:val="16"/>
                <w:lang w:eastAsia="zh-CN" w:bidi="th-TH"/>
              </w:rPr>
            </w:pPr>
            <w:r w:rsidRPr="002522F2">
              <w:rPr>
                <w:rFonts w:eastAsia="Times New Roman" w:cs="Arial"/>
                <w:b/>
                <w:bCs/>
                <w:color w:val="000000"/>
                <w:sz w:val="16"/>
                <w:szCs w:val="16"/>
                <w:lang w:eastAsia="zh-CN" w:bidi="th-TH"/>
              </w:rPr>
              <w:t> </w:t>
            </w:r>
          </w:p>
        </w:tc>
        <w:tc>
          <w:tcPr>
            <w:tcW w:w="832" w:type="dxa"/>
            <w:tcBorders>
              <w:top w:val="nil"/>
              <w:left w:val="nil"/>
              <w:bottom w:val="single" w:sz="4" w:space="0" w:color="auto"/>
              <w:right w:val="nil"/>
            </w:tcBorders>
            <w:shd w:val="clear" w:color="000000" w:fill="D3C5D7"/>
            <w:noWrap/>
            <w:vAlign w:val="center"/>
            <w:hideMark/>
          </w:tcPr>
          <w:p w14:paraId="6E08C81F" w14:textId="77777777" w:rsidR="002C11DC" w:rsidRPr="002522F2" w:rsidRDefault="002C11DC" w:rsidP="002522F2">
            <w:pPr>
              <w:spacing w:after="0" w:line="240" w:lineRule="auto"/>
              <w:jc w:val="right"/>
              <w:rPr>
                <w:rFonts w:eastAsia="Times New Roman" w:cs="Arial"/>
                <w:b/>
                <w:bCs/>
                <w:color w:val="000000"/>
                <w:sz w:val="16"/>
                <w:szCs w:val="16"/>
                <w:lang w:eastAsia="zh-CN" w:bidi="th-TH"/>
              </w:rPr>
            </w:pPr>
            <w:r w:rsidRPr="002522F2">
              <w:rPr>
                <w:rFonts w:eastAsia="Times New Roman" w:cs="Arial"/>
                <w:b/>
                <w:bCs/>
                <w:color w:val="000000"/>
                <w:sz w:val="16"/>
                <w:szCs w:val="16"/>
                <w:lang w:eastAsia="zh-CN" w:bidi="th-TH"/>
              </w:rPr>
              <w:t> </w:t>
            </w:r>
          </w:p>
        </w:tc>
        <w:tc>
          <w:tcPr>
            <w:tcW w:w="833" w:type="dxa"/>
            <w:tcBorders>
              <w:top w:val="nil"/>
              <w:left w:val="nil"/>
              <w:bottom w:val="single" w:sz="4" w:space="0" w:color="auto"/>
              <w:right w:val="single" w:sz="4" w:space="0" w:color="auto"/>
            </w:tcBorders>
            <w:shd w:val="clear" w:color="000000" w:fill="D3C5D7"/>
            <w:noWrap/>
            <w:vAlign w:val="center"/>
            <w:hideMark/>
          </w:tcPr>
          <w:p w14:paraId="61F2358F" w14:textId="77777777" w:rsidR="002C11DC" w:rsidRPr="002522F2" w:rsidRDefault="002C11DC" w:rsidP="002522F2">
            <w:pPr>
              <w:spacing w:after="0" w:line="240" w:lineRule="auto"/>
              <w:jc w:val="right"/>
              <w:rPr>
                <w:rFonts w:eastAsia="Times New Roman" w:cs="Arial"/>
                <w:b/>
                <w:bCs/>
                <w:color w:val="000000"/>
                <w:sz w:val="16"/>
                <w:szCs w:val="16"/>
                <w:lang w:eastAsia="zh-CN" w:bidi="th-TH"/>
              </w:rPr>
            </w:pPr>
            <w:r w:rsidRPr="002522F2">
              <w:rPr>
                <w:rFonts w:eastAsia="Times New Roman" w:cs="Arial"/>
                <w:b/>
                <w:bCs/>
                <w:color w:val="000000"/>
                <w:sz w:val="16"/>
                <w:szCs w:val="16"/>
                <w:lang w:eastAsia="zh-CN" w:bidi="th-TH"/>
              </w:rPr>
              <w:t> </w:t>
            </w:r>
          </w:p>
        </w:tc>
      </w:tr>
      <w:tr w:rsidR="002C11DC" w:rsidRPr="002522F2" w14:paraId="0D113637" w14:textId="77777777" w:rsidTr="002522F2">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554F472F" w14:textId="77777777" w:rsidR="002C11DC" w:rsidRPr="002522F2" w:rsidRDefault="002C11DC" w:rsidP="00446247">
            <w:pPr>
              <w:spacing w:after="0" w:line="240" w:lineRule="auto"/>
              <w:rPr>
                <w:rFonts w:eastAsia="Times New Roman" w:cs="Arial"/>
                <w:color w:val="000000"/>
                <w:sz w:val="16"/>
                <w:szCs w:val="16"/>
                <w:lang w:eastAsia="zh-CN" w:bidi="th-TH"/>
              </w:rPr>
            </w:pPr>
            <w:r w:rsidRPr="002522F2">
              <w:rPr>
                <w:rFonts w:eastAsia="Times New Roman" w:cs="Arial"/>
                <w:color w:val="000000"/>
                <w:sz w:val="16"/>
                <w:szCs w:val="16"/>
                <w:lang w:eastAsia="zh-CN" w:bidi="th-TH"/>
              </w:rPr>
              <w:t>Actual average participant payments</w:t>
            </w:r>
          </w:p>
        </w:tc>
        <w:tc>
          <w:tcPr>
            <w:tcW w:w="832" w:type="dxa"/>
            <w:tcBorders>
              <w:top w:val="nil"/>
              <w:left w:val="nil"/>
              <w:bottom w:val="single" w:sz="4" w:space="0" w:color="auto"/>
              <w:right w:val="nil"/>
            </w:tcBorders>
            <w:shd w:val="clear" w:color="000000" w:fill="FFE699"/>
            <w:noWrap/>
            <w:vAlign w:val="center"/>
            <w:hideMark/>
          </w:tcPr>
          <w:p w14:paraId="5D6AC63E"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27,100</w:t>
            </w:r>
          </w:p>
        </w:tc>
        <w:tc>
          <w:tcPr>
            <w:tcW w:w="833" w:type="dxa"/>
            <w:tcBorders>
              <w:top w:val="nil"/>
              <w:left w:val="nil"/>
              <w:bottom w:val="single" w:sz="4" w:space="0" w:color="auto"/>
              <w:right w:val="nil"/>
            </w:tcBorders>
            <w:shd w:val="clear" w:color="000000" w:fill="FFE699"/>
            <w:noWrap/>
            <w:vAlign w:val="center"/>
            <w:hideMark/>
          </w:tcPr>
          <w:p w14:paraId="64440F23"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34,100</w:t>
            </w:r>
          </w:p>
        </w:tc>
        <w:tc>
          <w:tcPr>
            <w:tcW w:w="832" w:type="dxa"/>
            <w:tcBorders>
              <w:top w:val="nil"/>
              <w:left w:val="nil"/>
              <w:bottom w:val="single" w:sz="4" w:space="0" w:color="auto"/>
              <w:right w:val="nil"/>
            </w:tcBorders>
            <w:shd w:val="clear" w:color="000000" w:fill="FFE699"/>
            <w:noWrap/>
            <w:vAlign w:val="center"/>
            <w:hideMark/>
          </w:tcPr>
          <w:p w14:paraId="2205B105"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38,600</w:t>
            </w:r>
          </w:p>
        </w:tc>
        <w:tc>
          <w:tcPr>
            <w:tcW w:w="833" w:type="dxa"/>
            <w:tcBorders>
              <w:top w:val="nil"/>
              <w:left w:val="single" w:sz="4" w:space="0" w:color="auto"/>
              <w:bottom w:val="single" w:sz="4" w:space="0" w:color="auto"/>
              <w:right w:val="single" w:sz="4" w:space="0" w:color="auto"/>
            </w:tcBorders>
            <w:shd w:val="clear" w:color="000000" w:fill="FFE699"/>
            <w:noWrap/>
            <w:vAlign w:val="center"/>
            <w:hideMark/>
          </w:tcPr>
          <w:p w14:paraId="4F64D798"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39,500</w:t>
            </w:r>
          </w:p>
        </w:tc>
        <w:tc>
          <w:tcPr>
            <w:tcW w:w="832" w:type="dxa"/>
            <w:tcBorders>
              <w:top w:val="nil"/>
              <w:left w:val="nil"/>
              <w:bottom w:val="single" w:sz="4" w:space="0" w:color="auto"/>
              <w:right w:val="nil"/>
            </w:tcBorders>
            <w:shd w:val="clear" w:color="000000" w:fill="BFBFBF"/>
            <w:noWrap/>
            <w:vAlign w:val="center"/>
            <w:hideMark/>
          </w:tcPr>
          <w:p w14:paraId="6AAFC6B2"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3" w:type="dxa"/>
            <w:tcBorders>
              <w:top w:val="nil"/>
              <w:left w:val="nil"/>
              <w:bottom w:val="single" w:sz="4" w:space="0" w:color="auto"/>
              <w:right w:val="nil"/>
            </w:tcBorders>
            <w:shd w:val="clear" w:color="000000" w:fill="BFBFBF"/>
            <w:noWrap/>
            <w:vAlign w:val="center"/>
            <w:hideMark/>
          </w:tcPr>
          <w:p w14:paraId="74668AC1" w14:textId="77777777" w:rsidR="002C11DC" w:rsidRPr="002522F2" w:rsidRDefault="002C11DC" w:rsidP="002522F2">
            <w:pPr>
              <w:spacing w:after="0" w:line="240" w:lineRule="auto"/>
              <w:jc w:val="right"/>
              <w:rPr>
                <w:rFonts w:eastAsia="Times New Roman" w:cs="Arial"/>
                <w:i/>
                <w:iCs/>
                <w:color w:val="000000"/>
                <w:sz w:val="16"/>
                <w:szCs w:val="16"/>
                <w:lang w:eastAsia="zh-CN" w:bidi="th-TH"/>
              </w:rPr>
            </w:pPr>
            <w:r w:rsidRPr="002522F2">
              <w:rPr>
                <w:rFonts w:eastAsia="Times New Roman" w:cs="Arial"/>
                <w:i/>
                <w:iCs/>
                <w:color w:val="000000"/>
                <w:sz w:val="16"/>
                <w:szCs w:val="16"/>
                <w:lang w:eastAsia="zh-CN" w:bidi="th-TH"/>
              </w:rPr>
              <w:t> </w:t>
            </w:r>
          </w:p>
        </w:tc>
        <w:tc>
          <w:tcPr>
            <w:tcW w:w="832" w:type="dxa"/>
            <w:tcBorders>
              <w:top w:val="nil"/>
              <w:left w:val="nil"/>
              <w:bottom w:val="single" w:sz="4" w:space="0" w:color="auto"/>
              <w:right w:val="nil"/>
            </w:tcBorders>
            <w:shd w:val="clear" w:color="000000" w:fill="BFBFBF"/>
            <w:noWrap/>
            <w:vAlign w:val="center"/>
            <w:hideMark/>
          </w:tcPr>
          <w:p w14:paraId="1CE60421" w14:textId="77777777" w:rsidR="002C11DC" w:rsidRPr="002522F2" w:rsidRDefault="002C11DC" w:rsidP="002522F2">
            <w:pPr>
              <w:spacing w:after="0" w:line="240" w:lineRule="auto"/>
              <w:jc w:val="right"/>
              <w:rPr>
                <w:rFonts w:eastAsia="Times New Roman" w:cs="Arial"/>
                <w:i/>
                <w:iCs/>
                <w:color w:val="000000"/>
                <w:sz w:val="16"/>
                <w:szCs w:val="16"/>
                <w:lang w:eastAsia="zh-CN" w:bidi="th-TH"/>
              </w:rPr>
            </w:pPr>
            <w:r w:rsidRPr="002522F2">
              <w:rPr>
                <w:rFonts w:eastAsia="Times New Roman" w:cs="Arial"/>
                <w:i/>
                <w:iCs/>
                <w:color w:val="000000"/>
                <w:sz w:val="16"/>
                <w:szCs w:val="16"/>
                <w:lang w:eastAsia="zh-CN" w:bidi="th-TH"/>
              </w:rPr>
              <w:t> </w:t>
            </w:r>
          </w:p>
        </w:tc>
        <w:tc>
          <w:tcPr>
            <w:tcW w:w="833" w:type="dxa"/>
            <w:tcBorders>
              <w:top w:val="nil"/>
              <w:left w:val="nil"/>
              <w:bottom w:val="single" w:sz="4" w:space="0" w:color="auto"/>
              <w:right w:val="single" w:sz="4" w:space="0" w:color="auto"/>
            </w:tcBorders>
            <w:shd w:val="clear" w:color="000000" w:fill="BFBFBF"/>
            <w:noWrap/>
            <w:vAlign w:val="center"/>
            <w:hideMark/>
          </w:tcPr>
          <w:p w14:paraId="3F391CC3" w14:textId="77777777" w:rsidR="002C11DC" w:rsidRPr="002522F2" w:rsidRDefault="002C11DC" w:rsidP="002522F2">
            <w:pPr>
              <w:spacing w:after="0" w:line="240" w:lineRule="auto"/>
              <w:jc w:val="right"/>
              <w:rPr>
                <w:rFonts w:eastAsia="Times New Roman" w:cs="Arial"/>
                <w:i/>
                <w:iCs/>
                <w:color w:val="000000"/>
                <w:sz w:val="16"/>
                <w:szCs w:val="16"/>
                <w:lang w:eastAsia="zh-CN" w:bidi="th-TH"/>
              </w:rPr>
            </w:pPr>
            <w:r w:rsidRPr="002522F2">
              <w:rPr>
                <w:rFonts w:eastAsia="Times New Roman" w:cs="Arial"/>
                <w:i/>
                <w:iCs/>
                <w:color w:val="000000"/>
                <w:sz w:val="16"/>
                <w:szCs w:val="16"/>
                <w:lang w:eastAsia="zh-CN" w:bidi="th-TH"/>
              </w:rPr>
              <w:t> </w:t>
            </w:r>
          </w:p>
        </w:tc>
      </w:tr>
      <w:tr w:rsidR="00F830E6" w:rsidRPr="002522F2" w14:paraId="7A4006BA" w14:textId="77777777" w:rsidTr="00F830E6">
        <w:trPr>
          <w:trHeight w:val="22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6859997F" w14:textId="77777777" w:rsidR="002C11DC" w:rsidRPr="002522F2" w:rsidRDefault="002C11DC" w:rsidP="00446247">
            <w:pPr>
              <w:spacing w:after="0" w:line="240" w:lineRule="auto"/>
              <w:rPr>
                <w:rFonts w:eastAsia="Times New Roman" w:cs="Arial"/>
                <w:color w:val="000000"/>
                <w:sz w:val="16"/>
                <w:szCs w:val="16"/>
                <w:lang w:eastAsia="zh-CN" w:bidi="th-TH"/>
              </w:rPr>
            </w:pPr>
            <w:r w:rsidRPr="002522F2">
              <w:rPr>
                <w:rFonts w:eastAsia="Times New Roman" w:cs="Arial"/>
                <w:color w:val="000000"/>
                <w:sz w:val="16"/>
                <w:szCs w:val="16"/>
                <w:lang w:eastAsia="zh-CN" w:bidi="th-TH"/>
              </w:rPr>
              <w:t>Actual average participant payments compared with AFSR</w:t>
            </w:r>
            <w:r w:rsidR="00CC02CC">
              <w:rPr>
                <w:rFonts w:eastAsia="Times New Roman" w:cs="Arial"/>
                <w:color w:val="000000"/>
                <w:sz w:val="16"/>
                <w:szCs w:val="16"/>
                <w:lang w:eastAsia="zh-CN" w:bidi="th-TH"/>
              </w:rPr>
              <w:t xml:space="preserve"> ($)</w:t>
            </w:r>
          </w:p>
        </w:tc>
        <w:tc>
          <w:tcPr>
            <w:tcW w:w="832" w:type="dxa"/>
            <w:tcBorders>
              <w:top w:val="nil"/>
              <w:left w:val="nil"/>
              <w:bottom w:val="single" w:sz="4" w:space="0" w:color="auto"/>
              <w:right w:val="nil"/>
            </w:tcBorders>
            <w:shd w:val="clear" w:color="000000" w:fill="FFE699"/>
            <w:noWrap/>
            <w:vAlign w:val="center"/>
            <w:hideMark/>
          </w:tcPr>
          <w:p w14:paraId="50627BD8"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3,800</w:t>
            </w:r>
          </w:p>
        </w:tc>
        <w:tc>
          <w:tcPr>
            <w:tcW w:w="833" w:type="dxa"/>
            <w:tcBorders>
              <w:top w:val="nil"/>
              <w:left w:val="nil"/>
              <w:bottom w:val="single" w:sz="4" w:space="0" w:color="auto"/>
              <w:right w:val="nil"/>
            </w:tcBorders>
            <w:shd w:val="clear" w:color="000000" w:fill="FFE699"/>
            <w:noWrap/>
            <w:vAlign w:val="center"/>
            <w:hideMark/>
          </w:tcPr>
          <w:p w14:paraId="6D35FE15"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700</w:t>
            </w:r>
          </w:p>
        </w:tc>
        <w:tc>
          <w:tcPr>
            <w:tcW w:w="832" w:type="dxa"/>
            <w:tcBorders>
              <w:top w:val="nil"/>
              <w:left w:val="nil"/>
              <w:bottom w:val="single" w:sz="4" w:space="0" w:color="auto"/>
              <w:right w:val="nil"/>
            </w:tcBorders>
            <w:shd w:val="clear" w:color="000000" w:fill="FFE699"/>
            <w:noWrap/>
            <w:vAlign w:val="center"/>
            <w:hideMark/>
          </w:tcPr>
          <w:p w14:paraId="4B616C0E"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3,900</w:t>
            </w:r>
          </w:p>
        </w:tc>
        <w:tc>
          <w:tcPr>
            <w:tcW w:w="833" w:type="dxa"/>
            <w:tcBorders>
              <w:top w:val="nil"/>
              <w:left w:val="single" w:sz="4" w:space="0" w:color="auto"/>
              <w:bottom w:val="single" w:sz="4" w:space="0" w:color="auto"/>
              <w:right w:val="single" w:sz="4" w:space="0" w:color="auto"/>
            </w:tcBorders>
            <w:shd w:val="clear" w:color="000000" w:fill="FFE699"/>
            <w:noWrap/>
            <w:vAlign w:val="center"/>
            <w:hideMark/>
          </w:tcPr>
          <w:p w14:paraId="737B3BCF"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-2,700</w:t>
            </w:r>
          </w:p>
        </w:tc>
        <w:tc>
          <w:tcPr>
            <w:tcW w:w="832" w:type="dxa"/>
            <w:tcBorders>
              <w:top w:val="nil"/>
              <w:left w:val="nil"/>
              <w:bottom w:val="single" w:sz="4" w:space="0" w:color="auto"/>
              <w:right w:val="nil"/>
            </w:tcBorders>
            <w:shd w:val="clear" w:color="000000" w:fill="BFBFBF"/>
            <w:noWrap/>
            <w:vAlign w:val="center"/>
            <w:hideMark/>
          </w:tcPr>
          <w:p w14:paraId="59B27586"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3" w:type="dxa"/>
            <w:tcBorders>
              <w:top w:val="nil"/>
              <w:left w:val="nil"/>
              <w:bottom w:val="single" w:sz="4" w:space="0" w:color="auto"/>
              <w:right w:val="nil"/>
            </w:tcBorders>
            <w:shd w:val="clear" w:color="000000" w:fill="BFBFBF"/>
            <w:noWrap/>
            <w:vAlign w:val="center"/>
            <w:hideMark/>
          </w:tcPr>
          <w:p w14:paraId="2E53834D"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2" w:type="dxa"/>
            <w:tcBorders>
              <w:top w:val="nil"/>
              <w:left w:val="nil"/>
              <w:bottom w:val="single" w:sz="4" w:space="0" w:color="auto"/>
              <w:right w:val="nil"/>
            </w:tcBorders>
            <w:shd w:val="clear" w:color="000000" w:fill="BFBFBF"/>
            <w:noWrap/>
            <w:vAlign w:val="center"/>
            <w:hideMark/>
          </w:tcPr>
          <w:p w14:paraId="54E0F0D8"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3" w:type="dxa"/>
            <w:tcBorders>
              <w:top w:val="nil"/>
              <w:left w:val="nil"/>
              <w:bottom w:val="single" w:sz="4" w:space="0" w:color="auto"/>
              <w:right w:val="single" w:sz="4" w:space="0" w:color="auto"/>
            </w:tcBorders>
            <w:shd w:val="clear" w:color="000000" w:fill="BFBFBF"/>
            <w:noWrap/>
            <w:vAlign w:val="center"/>
            <w:hideMark/>
          </w:tcPr>
          <w:p w14:paraId="5484806F" w14:textId="77777777" w:rsidR="002C11DC" w:rsidRPr="002522F2" w:rsidRDefault="002C11DC" w:rsidP="002522F2">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r>
      <w:tr w:rsidR="00CC02CC" w:rsidRPr="002522F2" w14:paraId="4C6B50DF" w14:textId="77777777" w:rsidTr="00CC02CC">
        <w:trPr>
          <w:trHeight w:val="225"/>
        </w:trPr>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14:paraId="054EF6B3" w14:textId="77777777" w:rsidR="00CC02CC" w:rsidRDefault="00CC02CC" w:rsidP="00CC02CC">
            <w:pPr>
              <w:spacing w:after="0" w:line="240" w:lineRule="auto"/>
              <w:rPr>
                <w:rFonts w:eastAsia="Times New Roman" w:cs="Arial"/>
                <w:color w:val="000000"/>
                <w:sz w:val="16"/>
                <w:szCs w:val="16"/>
                <w:lang w:eastAsia="zh-CN" w:bidi="th-TH"/>
              </w:rPr>
            </w:pPr>
            <w:r w:rsidRPr="002522F2">
              <w:rPr>
                <w:rFonts w:eastAsia="Times New Roman" w:cs="Arial"/>
                <w:color w:val="000000"/>
                <w:sz w:val="16"/>
                <w:szCs w:val="16"/>
                <w:lang w:eastAsia="zh-CN" w:bidi="th-TH"/>
              </w:rPr>
              <w:t>Actual average participant payments compared with AFSR</w:t>
            </w:r>
            <w:r>
              <w:rPr>
                <w:rFonts w:eastAsia="Times New Roman" w:cs="Arial"/>
                <w:color w:val="000000"/>
                <w:sz w:val="16"/>
                <w:szCs w:val="16"/>
                <w:lang w:eastAsia="zh-CN" w:bidi="th-TH"/>
              </w:rPr>
              <w:t xml:space="preserve"> (%)</w:t>
            </w:r>
          </w:p>
          <w:p w14:paraId="415ADE82" w14:textId="77777777" w:rsidR="00CC02CC" w:rsidRPr="00F830E6" w:rsidRDefault="00CC02CC" w:rsidP="00CC02CC">
            <w:pPr>
              <w:spacing w:after="0" w:line="240" w:lineRule="auto"/>
              <w:rPr>
                <w:rFonts w:eastAsia="Times New Roman" w:cs="Arial"/>
                <w:i/>
                <w:color w:val="000000"/>
                <w:sz w:val="16"/>
                <w:szCs w:val="16"/>
                <w:lang w:eastAsia="zh-CN" w:bidi="th-TH"/>
              </w:rPr>
            </w:pPr>
            <w:r>
              <w:rPr>
                <w:rFonts w:eastAsia="Times New Roman" w:cs="Arial"/>
                <w:i/>
                <w:color w:val="000000"/>
                <w:sz w:val="16"/>
                <w:szCs w:val="16"/>
                <w:lang w:eastAsia="zh-CN" w:bidi="th-TH"/>
              </w:rPr>
              <w:t>(Actual – AFSR projection) / Actual</w:t>
            </w:r>
          </w:p>
        </w:tc>
        <w:tc>
          <w:tcPr>
            <w:tcW w:w="832" w:type="dxa"/>
            <w:tcBorders>
              <w:top w:val="single" w:sz="4" w:space="0" w:color="auto"/>
              <w:left w:val="nil"/>
              <w:bottom w:val="single" w:sz="4" w:space="0" w:color="auto"/>
              <w:right w:val="nil"/>
            </w:tcBorders>
            <w:shd w:val="clear" w:color="000000" w:fill="FFE699"/>
            <w:noWrap/>
            <w:vAlign w:val="center"/>
          </w:tcPr>
          <w:p w14:paraId="561704E1" w14:textId="77777777" w:rsidR="00CC02CC" w:rsidRPr="002522F2" w:rsidRDefault="00CC02CC" w:rsidP="00CC02CC">
            <w:pPr>
              <w:spacing w:after="0" w:line="240" w:lineRule="auto"/>
              <w:jc w:val="right"/>
              <w:rPr>
                <w:rFonts w:eastAsia="Times New Roman" w:cs="Arial"/>
                <w:color w:val="000000"/>
                <w:sz w:val="16"/>
                <w:szCs w:val="16"/>
                <w:lang w:eastAsia="zh-CN" w:bidi="th-TH"/>
              </w:rPr>
            </w:pPr>
            <w:r>
              <w:rPr>
                <w:rFonts w:cs="Arial"/>
                <w:color w:val="000000"/>
                <w:sz w:val="16"/>
                <w:szCs w:val="16"/>
              </w:rPr>
              <w:t>14.1%</w:t>
            </w:r>
          </w:p>
        </w:tc>
        <w:tc>
          <w:tcPr>
            <w:tcW w:w="833" w:type="dxa"/>
            <w:tcBorders>
              <w:top w:val="single" w:sz="4" w:space="0" w:color="auto"/>
              <w:left w:val="nil"/>
              <w:bottom w:val="single" w:sz="4" w:space="0" w:color="auto"/>
              <w:right w:val="nil"/>
            </w:tcBorders>
            <w:shd w:val="clear" w:color="000000" w:fill="FFE699"/>
            <w:noWrap/>
            <w:vAlign w:val="center"/>
          </w:tcPr>
          <w:p w14:paraId="4C231BE8" w14:textId="77777777" w:rsidR="00CC02CC" w:rsidRPr="002522F2" w:rsidRDefault="00CC02CC" w:rsidP="00CC02CC">
            <w:pPr>
              <w:spacing w:after="0" w:line="240" w:lineRule="auto"/>
              <w:jc w:val="right"/>
              <w:rPr>
                <w:rFonts w:eastAsia="Times New Roman" w:cs="Arial"/>
                <w:color w:val="000000"/>
                <w:sz w:val="16"/>
                <w:szCs w:val="16"/>
                <w:lang w:eastAsia="zh-CN" w:bidi="th-TH"/>
              </w:rPr>
            </w:pPr>
            <w:r>
              <w:rPr>
                <w:rFonts w:cs="Arial"/>
                <w:color w:val="000000"/>
                <w:sz w:val="16"/>
                <w:szCs w:val="16"/>
              </w:rPr>
              <w:t>2.0%</w:t>
            </w:r>
          </w:p>
        </w:tc>
        <w:tc>
          <w:tcPr>
            <w:tcW w:w="832" w:type="dxa"/>
            <w:tcBorders>
              <w:top w:val="single" w:sz="4" w:space="0" w:color="auto"/>
              <w:left w:val="nil"/>
              <w:bottom w:val="single" w:sz="4" w:space="0" w:color="auto"/>
              <w:right w:val="nil"/>
            </w:tcBorders>
            <w:shd w:val="clear" w:color="000000" w:fill="FFE699"/>
            <w:noWrap/>
            <w:vAlign w:val="center"/>
          </w:tcPr>
          <w:p w14:paraId="79F269E5" w14:textId="77777777" w:rsidR="00CC02CC" w:rsidRPr="002522F2" w:rsidRDefault="00CC02CC" w:rsidP="00CC02CC">
            <w:pPr>
              <w:spacing w:after="0" w:line="240" w:lineRule="auto"/>
              <w:jc w:val="right"/>
              <w:rPr>
                <w:rFonts w:eastAsia="Times New Roman" w:cs="Arial"/>
                <w:color w:val="000000"/>
                <w:sz w:val="16"/>
                <w:szCs w:val="16"/>
                <w:lang w:eastAsia="zh-CN" w:bidi="th-TH"/>
              </w:rPr>
            </w:pPr>
            <w:r>
              <w:rPr>
                <w:rFonts w:cs="Arial"/>
                <w:color w:val="000000"/>
                <w:sz w:val="16"/>
                <w:szCs w:val="16"/>
              </w:rPr>
              <w:t>10.1%</w:t>
            </w:r>
          </w:p>
        </w:tc>
        <w:tc>
          <w:tcPr>
            <w:tcW w:w="833" w:type="dxa"/>
            <w:tcBorders>
              <w:top w:val="single" w:sz="4" w:space="0" w:color="auto"/>
              <w:left w:val="single" w:sz="4" w:space="0" w:color="auto"/>
              <w:bottom w:val="single" w:sz="4" w:space="0" w:color="auto"/>
              <w:right w:val="single" w:sz="4" w:space="0" w:color="auto"/>
            </w:tcBorders>
            <w:shd w:val="clear" w:color="000000" w:fill="FFE699"/>
            <w:noWrap/>
            <w:vAlign w:val="center"/>
          </w:tcPr>
          <w:p w14:paraId="63D5757E" w14:textId="77777777" w:rsidR="00CC02CC" w:rsidRPr="002522F2" w:rsidRDefault="00CC02CC" w:rsidP="00CC02CC">
            <w:pPr>
              <w:spacing w:after="0" w:line="240" w:lineRule="auto"/>
              <w:jc w:val="right"/>
              <w:rPr>
                <w:rFonts w:eastAsia="Times New Roman" w:cs="Arial"/>
                <w:color w:val="000000"/>
                <w:sz w:val="16"/>
                <w:szCs w:val="16"/>
                <w:lang w:eastAsia="zh-CN" w:bidi="th-TH"/>
              </w:rPr>
            </w:pPr>
            <w:r>
              <w:rPr>
                <w:rFonts w:cs="Arial"/>
                <w:color w:val="000000"/>
                <w:sz w:val="16"/>
                <w:szCs w:val="16"/>
              </w:rPr>
              <w:t>-7.0%</w:t>
            </w:r>
          </w:p>
        </w:tc>
        <w:tc>
          <w:tcPr>
            <w:tcW w:w="832" w:type="dxa"/>
            <w:tcBorders>
              <w:top w:val="single" w:sz="4" w:space="0" w:color="auto"/>
              <w:left w:val="nil"/>
              <w:bottom w:val="single" w:sz="4" w:space="0" w:color="auto"/>
              <w:right w:val="nil"/>
            </w:tcBorders>
            <w:shd w:val="clear" w:color="000000" w:fill="BFBFBF"/>
            <w:noWrap/>
            <w:vAlign w:val="center"/>
          </w:tcPr>
          <w:p w14:paraId="0F0953FE" w14:textId="77777777" w:rsidR="00CC02CC" w:rsidRPr="002522F2" w:rsidRDefault="00CC02CC" w:rsidP="00CC02CC">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3" w:type="dxa"/>
            <w:tcBorders>
              <w:top w:val="single" w:sz="4" w:space="0" w:color="auto"/>
              <w:left w:val="nil"/>
              <w:bottom w:val="single" w:sz="4" w:space="0" w:color="auto"/>
              <w:right w:val="nil"/>
            </w:tcBorders>
            <w:shd w:val="clear" w:color="000000" w:fill="BFBFBF"/>
            <w:noWrap/>
            <w:vAlign w:val="center"/>
          </w:tcPr>
          <w:p w14:paraId="73E7FC5B" w14:textId="77777777" w:rsidR="00CC02CC" w:rsidRPr="002522F2" w:rsidRDefault="00CC02CC" w:rsidP="00CC02CC">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2" w:type="dxa"/>
            <w:tcBorders>
              <w:top w:val="single" w:sz="4" w:space="0" w:color="auto"/>
              <w:left w:val="nil"/>
              <w:bottom w:val="single" w:sz="4" w:space="0" w:color="auto"/>
              <w:right w:val="nil"/>
            </w:tcBorders>
            <w:shd w:val="clear" w:color="000000" w:fill="BFBFBF"/>
            <w:noWrap/>
            <w:vAlign w:val="center"/>
          </w:tcPr>
          <w:p w14:paraId="25C91B08" w14:textId="77777777" w:rsidR="00CC02CC" w:rsidRPr="002522F2" w:rsidRDefault="00CC02CC" w:rsidP="00CC02CC">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c>
          <w:tcPr>
            <w:tcW w:w="833" w:type="dxa"/>
            <w:tcBorders>
              <w:top w:val="single" w:sz="4" w:space="0" w:color="auto"/>
              <w:left w:val="nil"/>
              <w:bottom w:val="single" w:sz="4" w:space="0" w:color="auto"/>
              <w:right w:val="single" w:sz="4" w:space="0" w:color="auto"/>
            </w:tcBorders>
            <w:shd w:val="clear" w:color="000000" w:fill="BFBFBF"/>
            <w:noWrap/>
            <w:vAlign w:val="center"/>
          </w:tcPr>
          <w:p w14:paraId="2F1ED202" w14:textId="77777777" w:rsidR="00CC02CC" w:rsidRPr="002522F2" w:rsidRDefault="00CC02CC" w:rsidP="00CC02CC">
            <w:pPr>
              <w:spacing w:after="0" w:line="240" w:lineRule="auto"/>
              <w:jc w:val="right"/>
              <w:rPr>
                <w:rFonts w:eastAsia="Times New Roman" w:cs="Arial"/>
                <w:color w:val="000000"/>
                <w:sz w:val="16"/>
                <w:szCs w:val="16"/>
                <w:lang w:eastAsia="zh-CN" w:bidi="th-TH"/>
              </w:rPr>
            </w:pPr>
            <w:r w:rsidRPr="002522F2">
              <w:rPr>
                <w:rFonts w:eastAsia="Times New Roman" w:cs="Arial"/>
                <w:color w:val="000000"/>
                <w:sz w:val="16"/>
                <w:szCs w:val="16"/>
                <w:lang w:eastAsia="zh-CN" w:bidi="th-TH"/>
              </w:rPr>
              <w:t> </w:t>
            </w:r>
          </w:p>
        </w:tc>
      </w:tr>
    </w:tbl>
    <w:p w14:paraId="4C0A530D" w14:textId="77777777" w:rsidR="002C11DC" w:rsidRDefault="002C11DC" w:rsidP="002C11DC">
      <w:pPr>
        <w:pStyle w:val="Tables"/>
      </w:pPr>
    </w:p>
    <w:p w14:paraId="432103F9" w14:textId="77777777" w:rsidR="002C11DC" w:rsidRPr="00FB0F9F" w:rsidRDefault="002C11DC" w:rsidP="002C11DC">
      <w:pPr>
        <w:pStyle w:val="Tables"/>
      </w:pPr>
      <w:r w:rsidRPr="00FB0F9F">
        <w:t>Table</w:t>
      </w:r>
      <w:r w:rsidR="00B5473A">
        <w:t xml:space="preserve"> E</w:t>
      </w:r>
      <w:r w:rsidR="00A87896">
        <w:t>.</w:t>
      </w:r>
      <w:fldSimple w:instr=" SEQ Table \* ARABIC \s 2 ">
        <w:r w:rsidR="00A87896">
          <w:rPr>
            <w:noProof/>
          </w:rPr>
          <w:t>2</w:t>
        </w:r>
      </w:fldSimple>
      <w:r w:rsidRPr="00D71E73">
        <w:t>:</w:t>
      </w:r>
      <w:r w:rsidRPr="00FB0F9F">
        <w:t xml:space="preserve"> Previous AFSR projections – average participant payments (participants with SIL) (cash flow basis)</w:t>
      </w:r>
    </w:p>
    <w:tbl>
      <w:tblPr>
        <w:tblW w:w="9665" w:type="dxa"/>
        <w:tblLayout w:type="fixed"/>
        <w:tblLook w:val="04A0" w:firstRow="1" w:lastRow="0" w:firstColumn="1" w:lastColumn="0" w:noHBand="0" w:noVBand="1"/>
      </w:tblPr>
      <w:tblGrid>
        <w:gridCol w:w="2830"/>
        <w:gridCol w:w="854"/>
        <w:gridCol w:w="854"/>
        <w:gridCol w:w="855"/>
        <w:gridCol w:w="854"/>
        <w:gridCol w:w="854"/>
        <w:gridCol w:w="855"/>
        <w:gridCol w:w="854"/>
        <w:gridCol w:w="855"/>
      </w:tblGrid>
      <w:tr w:rsidR="00564D97" w:rsidRPr="002522F2" w14:paraId="42C6053F" w14:textId="77777777" w:rsidTr="002522F2">
        <w:trPr>
          <w:trHeight w:val="225"/>
        </w:trPr>
        <w:tc>
          <w:tcPr>
            <w:tcW w:w="2830" w:type="dxa"/>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64A230A9" w14:textId="77777777" w:rsidR="002C11DC" w:rsidRPr="002522F2" w:rsidRDefault="002C11DC" w:rsidP="00564D97">
            <w:pPr>
              <w:pStyle w:val="FSRnormal"/>
              <w:spacing w:before="0" w:after="0"/>
              <w:rPr>
                <w:rFonts w:cs="Arial"/>
                <w:b/>
                <w:color w:val="FFFFFF" w:themeColor="background1"/>
                <w:sz w:val="16"/>
                <w:szCs w:val="16"/>
                <w:lang w:eastAsia="zh-CN" w:bidi="th-TH"/>
              </w:rPr>
            </w:pPr>
            <w:r w:rsidRPr="002522F2">
              <w:rPr>
                <w:rFonts w:cs="Arial"/>
                <w:b/>
                <w:color w:val="FFFFFF" w:themeColor="background1"/>
                <w:sz w:val="16"/>
                <w:szCs w:val="16"/>
                <w:lang w:eastAsia="zh-CN" w:bidi="th-TH"/>
              </w:rPr>
              <w:t>Average participant payments (SIL)</w:t>
            </w:r>
          </w:p>
        </w:tc>
        <w:tc>
          <w:tcPr>
            <w:tcW w:w="854" w:type="dxa"/>
            <w:tcBorders>
              <w:top w:val="single" w:sz="4" w:space="0" w:color="auto"/>
              <w:left w:val="nil"/>
              <w:bottom w:val="single" w:sz="4" w:space="0" w:color="auto"/>
              <w:right w:val="nil"/>
            </w:tcBorders>
            <w:shd w:val="clear" w:color="000000" w:fill="6B2976"/>
            <w:noWrap/>
            <w:vAlign w:val="center"/>
            <w:hideMark/>
          </w:tcPr>
          <w:p w14:paraId="3D31AEFE" w14:textId="77777777" w:rsidR="002C11DC" w:rsidRPr="002522F2" w:rsidRDefault="002C11DC" w:rsidP="002522F2">
            <w:pPr>
              <w:pStyle w:val="FSRnormal"/>
              <w:spacing w:before="0" w:after="0"/>
              <w:jc w:val="right"/>
              <w:rPr>
                <w:rFonts w:cs="Arial"/>
                <w:b/>
                <w:color w:val="FFFFFF" w:themeColor="background1"/>
                <w:sz w:val="16"/>
                <w:szCs w:val="16"/>
                <w:lang w:eastAsia="zh-CN" w:bidi="th-TH"/>
              </w:rPr>
            </w:pPr>
            <w:r w:rsidRPr="002522F2">
              <w:rPr>
                <w:rFonts w:cs="Arial"/>
                <w:b/>
                <w:color w:val="FFFFFF" w:themeColor="background1"/>
                <w:sz w:val="16"/>
                <w:szCs w:val="16"/>
                <w:lang w:eastAsia="zh-CN" w:bidi="th-TH"/>
              </w:rPr>
              <w:t>2018-19</w:t>
            </w:r>
          </w:p>
        </w:tc>
        <w:tc>
          <w:tcPr>
            <w:tcW w:w="854" w:type="dxa"/>
            <w:tcBorders>
              <w:top w:val="single" w:sz="4" w:space="0" w:color="auto"/>
              <w:left w:val="nil"/>
              <w:bottom w:val="single" w:sz="4" w:space="0" w:color="auto"/>
              <w:right w:val="nil"/>
            </w:tcBorders>
            <w:shd w:val="clear" w:color="000000" w:fill="6B2976"/>
            <w:noWrap/>
            <w:vAlign w:val="center"/>
            <w:hideMark/>
          </w:tcPr>
          <w:p w14:paraId="361319D2" w14:textId="77777777" w:rsidR="002C11DC" w:rsidRPr="002522F2" w:rsidRDefault="002C11DC" w:rsidP="002522F2">
            <w:pPr>
              <w:pStyle w:val="FSRnormal"/>
              <w:spacing w:before="0" w:after="0"/>
              <w:jc w:val="right"/>
              <w:rPr>
                <w:rFonts w:cs="Arial"/>
                <w:b/>
                <w:color w:val="FFFFFF" w:themeColor="background1"/>
                <w:sz w:val="16"/>
                <w:szCs w:val="16"/>
                <w:lang w:eastAsia="zh-CN" w:bidi="th-TH"/>
              </w:rPr>
            </w:pPr>
            <w:r w:rsidRPr="002522F2">
              <w:rPr>
                <w:rFonts w:cs="Arial"/>
                <w:b/>
                <w:color w:val="FFFFFF" w:themeColor="background1"/>
                <w:sz w:val="16"/>
                <w:szCs w:val="16"/>
                <w:lang w:eastAsia="zh-CN" w:bidi="th-TH"/>
              </w:rPr>
              <w:t>2019-20</w:t>
            </w:r>
          </w:p>
        </w:tc>
        <w:tc>
          <w:tcPr>
            <w:tcW w:w="855" w:type="dxa"/>
            <w:tcBorders>
              <w:top w:val="single" w:sz="4" w:space="0" w:color="auto"/>
              <w:left w:val="nil"/>
              <w:bottom w:val="single" w:sz="4" w:space="0" w:color="auto"/>
              <w:right w:val="nil"/>
            </w:tcBorders>
            <w:shd w:val="clear" w:color="000000" w:fill="6B2976"/>
            <w:noWrap/>
            <w:vAlign w:val="center"/>
            <w:hideMark/>
          </w:tcPr>
          <w:p w14:paraId="15D25513" w14:textId="77777777" w:rsidR="002C11DC" w:rsidRPr="002522F2" w:rsidRDefault="002C11DC" w:rsidP="002522F2">
            <w:pPr>
              <w:pStyle w:val="FSRnormal"/>
              <w:spacing w:before="0" w:after="0"/>
              <w:jc w:val="right"/>
              <w:rPr>
                <w:rFonts w:cs="Arial"/>
                <w:b/>
                <w:color w:val="FFFFFF" w:themeColor="background1"/>
                <w:sz w:val="16"/>
                <w:szCs w:val="16"/>
                <w:lang w:eastAsia="zh-CN" w:bidi="th-TH"/>
              </w:rPr>
            </w:pPr>
            <w:r w:rsidRPr="002522F2">
              <w:rPr>
                <w:rFonts w:cs="Arial"/>
                <w:b/>
                <w:color w:val="FFFFFF" w:themeColor="background1"/>
                <w:sz w:val="16"/>
                <w:szCs w:val="16"/>
                <w:lang w:eastAsia="zh-CN" w:bidi="th-TH"/>
              </w:rPr>
              <w:t>2020-21</w:t>
            </w:r>
          </w:p>
        </w:tc>
        <w:tc>
          <w:tcPr>
            <w:tcW w:w="854" w:type="dxa"/>
            <w:tcBorders>
              <w:top w:val="single" w:sz="4" w:space="0" w:color="auto"/>
              <w:left w:val="single" w:sz="4" w:space="0" w:color="auto"/>
              <w:bottom w:val="single" w:sz="4" w:space="0" w:color="auto"/>
              <w:right w:val="single" w:sz="4" w:space="0" w:color="auto"/>
            </w:tcBorders>
            <w:shd w:val="clear" w:color="000000" w:fill="6B2976"/>
            <w:noWrap/>
            <w:vAlign w:val="center"/>
            <w:hideMark/>
          </w:tcPr>
          <w:p w14:paraId="41166DD4" w14:textId="77777777" w:rsidR="002C11DC" w:rsidRPr="002522F2" w:rsidRDefault="002C11DC" w:rsidP="002522F2">
            <w:pPr>
              <w:pStyle w:val="FSRnormal"/>
              <w:spacing w:before="0" w:after="0"/>
              <w:jc w:val="right"/>
              <w:rPr>
                <w:rFonts w:cs="Arial"/>
                <w:b/>
                <w:color w:val="FFFFFF" w:themeColor="background1"/>
                <w:sz w:val="16"/>
                <w:szCs w:val="16"/>
                <w:lang w:eastAsia="zh-CN" w:bidi="th-TH"/>
              </w:rPr>
            </w:pPr>
            <w:r w:rsidRPr="002522F2">
              <w:rPr>
                <w:rFonts w:cs="Arial"/>
                <w:b/>
                <w:color w:val="FFFFFF" w:themeColor="background1"/>
                <w:sz w:val="16"/>
                <w:szCs w:val="16"/>
                <w:lang w:eastAsia="zh-CN" w:bidi="th-TH"/>
              </w:rPr>
              <w:t>2021-22</w:t>
            </w:r>
          </w:p>
        </w:tc>
        <w:tc>
          <w:tcPr>
            <w:tcW w:w="854" w:type="dxa"/>
            <w:tcBorders>
              <w:top w:val="single" w:sz="4" w:space="0" w:color="auto"/>
              <w:left w:val="nil"/>
              <w:bottom w:val="single" w:sz="4" w:space="0" w:color="auto"/>
              <w:right w:val="nil"/>
            </w:tcBorders>
            <w:shd w:val="clear" w:color="000000" w:fill="6B2976"/>
            <w:noWrap/>
            <w:vAlign w:val="center"/>
            <w:hideMark/>
          </w:tcPr>
          <w:p w14:paraId="14803323" w14:textId="77777777" w:rsidR="002C11DC" w:rsidRPr="002522F2" w:rsidRDefault="002C11DC" w:rsidP="002522F2">
            <w:pPr>
              <w:pStyle w:val="FSRnormal"/>
              <w:spacing w:before="0" w:after="0"/>
              <w:jc w:val="right"/>
              <w:rPr>
                <w:rFonts w:cs="Arial"/>
                <w:b/>
                <w:color w:val="FFFFFF" w:themeColor="background1"/>
                <w:sz w:val="16"/>
                <w:szCs w:val="16"/>
                <w:lang w:eastAsia="zh-CN" w:bidi="th-TH"/>
              </w:rPr>
            </w:pPr>
            <w:r w:rsidRPr="002522F2">
              <w:rPr>
                <w:rFonts w:cs="Arial"/>
                <w:b/>
                <w:color w:val="FFFFFF" w:themeColor="background1"/>
                <w:sz w:val="16"/>
                <w:szCs w:val="16"/>
                <w:lang w:eastAsia="zh-CN" w:bidi="th-TH"/>
              </w:rPr>
              <w:t>2022-23</w:t>
            </w:r>
          </w:p>
        </w:tc>
        <w:tc>
          <w:tcPr>
            <w:tcW w:w="855" w:type="dxa"/>
            <w:tcBorders>
              <w:top w:val="single" w:sz="4" w:space="0" w:color="auto"/>
              <w:left w:val="nil"/>
              <w:bottom w:val="single" w:sz="4" w:space="0" w:color="auto"/>
              <w:right w:val="nil"/>
            </w:tcBorders>
            <w:shd w:val="clear" w:color="000000" w:fill="6B2976"/>
            <w:noWrap/>
            <w:vAlign w:val="center"/>
            <w:hideMark/>
          </w:tcPr>
          <w:p w14:paraId="15368662" w14:textId="77777777" w:rsidR="002C11DC" w:rsidRPr="002522F2" w:rsidRDefault="002C11DC" w:rsidP="002522F2">
            <w:pPr>
              <w:pStyle w:val="FSRnormal"/>
              <w:spacing w:before="0" w:after="0"/>
              <w:jc w:val="right"/>
              <w:rPr>
                <w:rFonts w:cs="Arial"/>
                <w:b/>
                <w:color w:val="FFFFFF" w:themeColor="background1"/>
                <w:sz w:val="16"/>
                <w:szCs w:val="16"/>
                <w:lang w:eastAsia="zh-CN" w:bidi="th-TH"/>
              </w:rPr>
            </w:pPr>
            <w:r w:rsidRPr="002522F2">
              <w:rPr>
                <w:rFonts w:cs="Arial"/>
                <w:b/>
                <w:color w:val="FFFFFF" w:themeColor="background1"/>
                <w:sz w:val="16"/>
                <w:szCs w:val="16"/>
                <w:lang w:eastAsia="zh-CN" w:bidi="th-TH"/>
              </w:rPr>
              <w:t>2023-24</w:t>
            </w:r>
          </w:p>
        </w:tc>
        <w:tc>
          <w:tcPr>
            <w:tcW w:w="854" w:type="dxa"/>
            <w:tcBorders>
              <w:top w:val="single" w:sz="4" w:space="0" w:color="auto"/>
              <w:left w:val="nil"/>
              <w:bottom w:val="single" w:sz="4" w:space="0" w:color="auto"/>
              <w:right w:val="nil"/>
            </w:tcBorders>
            <w:shd w:val="clear" w:color="000000" w:fill="6B2976"/>
            <w:noWrap/>
            <w:vAlign w:val="center"/>
            <w:hideMark/>
          </w:tcPr>
          <w:p w14:paraId="67CE07B6" w14:textId="77777777" w:rsidR="002C11DC" w:rsidRPr="002522F2" w:rsidRDefault="002C11DC" w:rsidP="002522F2">
            <w:pPr>
              <w:pStyle w:val="FSRnormal"/>
              <w:spacing w:before="0" w:after="0"/>
              <w:jc w:val="right"/>
              <w:rPr>
                <w:rFonts w:cs="Arial"/>
                <w:b/>
                <w:color w:val="FFFFFF" w:themeColor="background1"/>
                <w:sz w:val="16"/>
                <w:szCs w:val="16"/>
                <w:lang w:eastAsia="zh-CN" w:bidi="th-TH"/>
              </w:rPr>
            </w:pPr>
            <w:r w:rsidRPr="002522F2">
              <w:rPr>
                <w:rFonts w:cs="Arial"/>
                <w:b/>
                <w:color w:val="FFFFFF" w:themeColor="background1"/>
                <w:sz w:val="16"/>
                <w:szCs w:val="16"/>
                <w:lang w:eastAsia="zh-CN" w:bidi="th-TH"/>
              </w:rPr>
              <w:t>2024-25</w:t>
            </w:r>
          </w:p>
        </w:tc>
        <w:tc>
          <w:tcPr>
            <w:tcW w:w="855" w:type="dxa"/>
            <w:tcBorders>
              <w:top w:val="single" w:sz="4" w:space="0" w:color="auto"/>
              <w:left w:val="nil"/>
              <w:bottom w:val="single" w:sz="4" w:space="0" w:color="auto"/>
              <w:right w:val="single" w:sz="4" w:space="0" w:color="auto"/>
            </w:tcBorders>
            <w:shd w:val="clear" w:color="000000" w:fill="6B2976"/>
            <w:noWrap/>
            <w:vAlign w:val="center"/>
            <w:hideMark/>
          </w:tcPr>
          <w:p w14:paraId="660AAE1A" w14:textId="77777777" w:rsidR="002C11DC" w:rsidRPr="002522F2" w:rsidRDefault="002C11DC" w:rsidP="002522F2">
            <w:pPr>
              <w:pStyle w:val="FSRnormal"/>
              <w:spacing w:before="0" w:after="0"/>
              <w:jc w:val="right"/>
              <w:rPr>
                <w:rFonts w:cs="Arial"/>
                <w:b/>
                <w:color w:val="FFFFFF" w:themeColor="background1"/>
                <w:sz w:val="16"/>
                <w:szCs w:val="16"/>
                <w:lang w:eastAsia="zh-CN" w:bidi="th-TH"/>
              </w:rPr>
            </w:pPr>
            <w:r w:rsidRPr="002522F2">
              <w:rPr>
                <w:rFonts w:cs="Arial"/>
                <w:b/>
                <w:color w:val="FFFFFF" w:themeColor="background1"/>
                <w:sz w:val="16"/>
                <w:szCs w:val="16"/>
                <w:lang w:eastAsia="zh-CN" w:bidi="th-TH"/>
              </w:rPr>
              <w:t>2025-26</w:t>
            </w:r>
          </w:p>
        </w:tc>
      </w:tr>
      <w:tr w:rsidR="002C11DC" w:rsidRPr="002522F2" w14:paraId="1E5B1675" w14:textId="77777777" w:rsidTr="002522F2">
        <w:trPr>
          <w:trHeight w:val="225"/>
        </w:trPr>
        <w:tc>
          <w:tcPr>
            <w:tcW w:w="2830" w:type="dxa"/>
            <w:tcBorders>
              <w:top w:val="nil"/>
              <w:left w:val="single" w:sz="4" w:space="0" w:color="auto"/>
              <w:bottom w:val="single" w:sz="4" w:space="0" w:color="auto"/>
              <w:right w:val="nil"/>
            </w:tcBorders>
            <w:shd w:val="clear" w:color="000000" w:fill="D3C5D7"/>
            <w:noWrap/>
            <w:vAlign w:val="center"/>
            <w:hideMark/>
          </w:tcPr>
          <w:p w14:paraId="41C407A5" w14:textId="77777777" w:rsidR="002C11DC" w:rsidRPr="002522F2" w:rsidRDefault="002C11DC" w:rsidP="00564D97">
            <w:pPr>
              <w:pStyle w:val="FSRnormal"/>
              <w:spacing w:before="0" w:after="0"/>
              <w:rPr>
                <w:rFonts w:cs="Arial"/>
                <w:color w:val="000000"/>
                <w:sz w:val="16"/>
                <w:szCs w:val="16"/>
                <w:lang w:eastAsia="zh-CN" w:bidi="th-TH"/>
              </w:rPr>
            </w:pPr>
            <w:r w:rsidRPr="002522F2">
              <w:rPr>
                <w:rFonts w:cs="Arial"/>
                <w:color w:val="000000"/>
                <w:sz w:val="16"/>
                <w:szCs w:val="16"/>
                <w:lang w:eastAsia="zh-CN" w:bidi="th-TH"/>
              </w:rPr>
              <w:t>AFSR</w:t>
            </w:r>
          </w:p>
        </w:tc>
        <w:tc>
          <w:tcPr>
            <w:tcW w:w="854" w:type="dxa"/>
            <w:tcBorders>
              <w:top w:val="nil"/>
              <w:left w:val="nil"/>
              <w:bottom w:val="single" w:sz="4" w:space="0" w:color="auto"/>
              <w:right w:val="nil"/>
            </w:tcBorders>
            <w:shd w:val="clear" w:color="000000" w:fill="D3C5D7"/>
            <w:noWrap/>
            <w:vAlign w:val="center"/>
            <w:hideMark/>
          </w:tcPr>
          <w:p w14:paraId="186622E7"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4" w:type="dxa"/>
            <w:tcBorders>
              <w:top w:val="nil"/>
              <w:left w:val="nil"/>
              <w:bottom w:val="single" w:sz="4" w:space="0" w:color="auto"/>
              <w:right w:val="nil"/>
            </w:tcBorders>
            <w:shd w:val="clear" w:color="000000" w:fill="D3C5D7"/>
            <w:noWrap/>
            <w:vAlign w:val="center"/>
            <w:hideMark/>
          </w:tcPr>
          <w:p w14:paraId="2155C938"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5" w:type="dxa"/>
            <w:tcBorders>
              <w:top w:val="nil"/>
              <w:left w:val="nil"/>
              <w:bottom w:val="single" w:sz="4" w:space="0" w:color="auto"/>
              <w:right w:val="nil"/>
            </w:tcBorders>
            <w:shd w:val="clear" w:color="000000" w:fill="D3C5D7"/>
            <w:noWrap/>
            <w:vAlign w:val="center"/>
            <w:hideMark/>
          </w:tcPr>
          <w:p w14:paraId="73151FE4"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4" w:type="dxa"/>
            <w:tcBorders>
              <w:top w:val="nil"/>
              <w:left w:val="single" w:sz="4" w:space="0" w:color="auto"/>
              <w:bottom w:val="single" w:sz="4" w:space="0" w:color="auto"/>
              <w:right w:val="single" w:sz="4" w:space="0" w:color="auto"/>
            </w:tcBorders>
            <w:shd w:val="clear" w:color="000000" w:fill="D3C5D7"/>
            <w:noWrap/>
            <w:vAlign w:val="center"/>
            <w:hideMark/>
          </w:tcPr>
          <w:p w14:paraId="0C7550A9"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4" w:type="dxa"/>
            <w:tcBorders>
              <w:top w:val="nil"/>
              <w:left w:val="nil"/>
              <w:bottom w:val="single" w:sz="4" w:space="0" w:color="auto"/>
              <w:right w:val="nil"/>
            </w:tcBorders>
            <w:shd w:val="clear" w:color="000000" w:fill="D3C5D7"/>
            <w:noWrap/>
            <w:vAlign w:val="center"/>
            <w:hideMark/>
          </w:tcPr>
          <w:p w14:paraId="0BA42D5A"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5" w:type="dxa"/>
            <w:tcBorders>
              <w:top w:val="nil"/>
              <w:left w:val="nil"/>
              <w:bottom w:val="single" w:sz="4" w:space="0" w:color="auto"/>
              <w:right w:val="nil"/>
            </w:tcBorders>
            <w:shd w:val="clear" w:color="000000" w:fill="D3C5D7"/>
            <w:noWrap/>
            <w:vAlign w:val="center"/>
            <w:hideMark/>
          </w:tcPr>
          <w:p w14:paraId="346C93E3"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4" w:type="dxa"/>
            <w:tcBorders>
              <w:top w:val="nil"/>
              <w:left w:val="nil"/>
              <w:bottom w:val="single" w:sz="4" w:space="0" w:color="auto"/>
              <w:right w:val="nil"/>
            </w:tcBorders>
            <w:shd w:val="clear" w:color="000000" w:fill="D3C5D7"/>
            <w:noWrap/>
            <w:vAlign w:val="center"/>
            <w:hideMark/>
          </w:tcPr>
          <w:p w14:paraId="44723C2A"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5" w:type="dxa"/>
            <w:tcBorders>
              <w:top w:val="nil"/>
              <w:left w:val="nil"/>
              <w:bottom w:val="single" w:sz="4" w:space="0" w:color="auto"/>
              <w:right w:val="single" w:sz="4" w:space="0" w:color="auto"/>
            </w:tcBorders>
            <w:shd w:val="clear" w:color="000000" w:fill="D3C5D7"/>
            <w:noWrap/>
            <w:vAlign w:val="center"/>
            <w:hideMark/>
          </w:tcPr>
          <w:p w14:paraId="6D7AE2C8"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r>
      <w:tr w:rsidR="002C11DC" w:rsidRPr="002522F2" w14:paraId="7A7C5AF9" w14:textId="77777777" w:rsidTr="002522F2">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27794D76" w14:textId="77777777" w:rsidR="002C11DC" w:rsidRPr="002522F2" w:rsidRDefault="002C11DC" w:rsidP="00564D97">
            <w:pPr>
              <w:pStyle w:val="FSRnormal"/>
              <w:spacing w:before="0" w:after="0"/>
              <w:rPr>
                <w:rFonts w:cs="Arial"/>
                <w:color w:val="000000"/>
                <w:sz w:val="16"/>
                <w:szCs w:val="16"/>
                <w:lang w:eastAsia="zh-CN" w:bidi="th-TH"/>
              </w:rPr>
            </w:pPr>
            <w:r w:rsidRPr="002522F2">
              <w:rPr>
                <w:rFonts w:cs="Arial"/>
                <w:color w:val="000000"/>
                <w:sz w:val="16"/>
                <w:szCs w:val="16"/>
                <w:lang w:eastAsia="zh-CN" w:bidi="th-TH"/>
              </w:rPr>
              <w:t>30 June 2022 AFSR projection</w:t>
            </w:r>
          </w:p>
        </w:tc>
        <w:tc>
          <w:tcPr>
            <w:tcW w:w="854" w:type="dxa"/>
            <w:tcBorders>
              <w:top w:val="nil"/>
              <w:left w:val="nil"/>
              <w:bottom w:val="single" w:sz="4" w:space="0" w:color="auto"/>
              <w:right w:val="nil"/>
            </w:tcBorders>
            <w:shd w:val="clear" w:color="000000" w:fill="BFBFBF"/>
            <w:noWrap/>
            <w:vAlign w:val="center"/>
            <w:hideMark/>
          </w:tcPr>
          <w:p w14:paraId="739D823A"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4" w:type="dxa"/>
            <w:tcBorders>
              <w:top w:val="nil"/>
              <w:left w:val="nil"/>
              <w:bottom w:val="single" w:sz="4" w:space="0" w:color="auto"/>
              <w:right w:val="nil"/>
            </w:tcBorders>
            <w:shd w:val="clear" w:color="000000" w:fill="BFBFBF"/>
            <w:noWrap/>
            <w:vAlign w:val="center"/>
            <w:hideMark/>
          </w:tcPr>
          <w:p w14:paraId="7C99ED84"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5" w:type="dxa"/>
            <w:tcBorders>
              <w:top w:val="nil"/>
              <w:left w:val="nil"/>
              <w:bottom w:val="single" w:sz="4" w:space="0" w:color="auto"/>
              <w:right w:val="nil"/>
            </w:tcBorders>
            <w:shd w:val="clear" w:color="000000" w:fill="BFBFBF"/>
            <w:noWrap/>
            <w:vAlign w:val="center"/>
            <w:hideMark/>
          </w:tcPr>
          <w:p w14:paraId="3839EA4C"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4" w:type="dxa"/>
            <w:tcBorders>
              <w:top w:val="nil"/>
              <w:left w:val="single" w:sz="4" w:space="0" w:color="auto"/>
              <w:bottom w:val="single" w:sz="4" w:space="0" w:color="auto"/>
              <w:right w:val="single" w:sz="4" w:space="0" w:color="auto"/>
            </w:tcBorders>
            <w:shd w:val="clear" w:color="000000" w:fill="BFBFBF"/>
            <w:noWrap/>
            <w:vAlign w:val="center"/>
            <w:hideMark/>
          </w:tcPr>
          <w:p w14:paraId="20DE3D81"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4" w:type="dxa"/>
            <w:tcBorders>
              <w:top w:val="nil"/>
              <w:left w:val="nil"/>
              <w:bottom w:val="single" w:sz="4" w:space="0" w:color="auto"/>
              <w:right w:val="nil"/>
            </w:tcBorders>
            <w:shd w:val="clear" w:color="auto" w:fill="auto"/>
            <w:noWrap/>
            <w:vAlign w:val="center"/>
            <w:hideMark/>
          </w:tcPr>
          <w:p w14:paraId="08EA33D1"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374,600</w:t>
            </w:r>
          </w:p>
        </w:tc>
        <w:tc>
          <w:tcPr>
            <w:tcW w:w="855" w:type="dxa"/>
            <w:tcBorders>
              <w:top w:val="nil"/>
              <w:left w:val="nil"/>
              <w:bottom w:val="single" w:sz="4" w:space="0" w:color="auto"/>
              <w:right w:val="nil"/>
            </w:tcBorders>
            <w:shd w:val="clear" w:color="auto" w:fill="auto"/>
            <w:noWrap/>
            <w:vAlign w:val="center"/>
            <w:hideMark/>
          </w:tcPr>
          <w:p w14:paraId="1BD28403"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rPr>
              <w:t>391,500</w:t>
            </w:r>
          </w:p>
        </w:tc>
        <w:tc>
          <w:tcPr>
            <w:tcW w:w="854" w:type="dxa"/>
            <w:tcBorders>
              <w:top w:val="nil"/>
              <w:left w:val="nil"/>
              <w:bottom w:val="single" w:sz="4" w:space="0" w:color="auto"/>
              <w:right w:val="nil"/>
            </w:tcBorders>
            <w:shd w:val="clear" w:color="auto" w:fill="auto"/>
            <w:noWrap/>
            <w:vAlign w:val="center"/>
            <w:hideMark/>
          </w:tcPr>
          <w:p w14:paraId="761F2B92"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rPr>
              <w:t>426,900</w:t>
            </w:r>
          </w:p>
        </w:tc>
        <w:tc>
          <w:tcPr>
            <w:tcW w:w="855" w:type="dxa"/>
            <w:tcBorders>
              <w:top w:val="nil"/>
              <w:left w:val="nil"/>
              <w:bottom w:val="single" w:sz="4" w:space="0" w:color="auto"/>
              <w:right w:val="single" w:sz="4" w:space="0" w:color="auto"/>
            </w:tcBorders>
            <w:shd w:val="clear" w:color="auto" w:fill="auto"/>
            <w:noWrap/>
            <w:vAlign w:val="center"/>
            <w:hideMark/>
          </w:tcPr>
          <w:p w14:paraId="24D780FE"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rPr>
              <w:t>461,300</w:t>
            </w:r>
          </w:p>
        </w:tc>
      </w:tr>
      <w:tr w:rsidR="002C11DC" w:rsidRPr="002522F2" w14:paraId="03646CB2" w14:textId="77777777" w:rsidTr="002522F2">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0FBB0656" w14:textId="77777777" w:rsidR="002C11DC" w:rsidRPr="002522F2" w:rsidRDefault="002C11DC" w:rsidP="00564D97">
            <w:pPr>
              <w:pStyle w:val="FSRnormal"/>
              <w:spacing w:before="0" w:after="0"/>
              <w:rPr>
                <w:rFonts w:cs="Arial"/>
                <w:color w:val="000000"/>
                <w:sz w:val="16"/>
                <w:szCs w:val="16"/>
                <w:lang w:eastAsia="zh-CN" w:bidi="th-TH"/>
              </w:rPr>
            </w:pPr>
            <w:r w:rsidRPr="002522F2">
              <w:rPr>
                <w:rFonts w:cs="Arial"/>
                <w:color w:val="000000"/>
                <w:sz w:val="16"/>
                <w:szCs w:val="16"/>
                <w:lang w:eastAsia="zh-CN" w:bidi="th-TH"/>
              </w:rPr>
              <w:t>30 June 2021 AFSR projection</w:t>
            </w:r>
          </w:p>
        </w:tc>
        <w:tc>
          <w:tcPr>
            <w:tcW w:w="854" w:type="dxa"/>
            <w:tcBorders>
              <w:top w:val="nil"/>
              <w:left w:val="nil"/>
              <w:bottom w:val="single" w:sz="4" w:space="0" w:color="auto"/>
              <w:right w:val="nil"/>
            </w:tcBorders>
            <w:shd w:val="clear" w:color="000000" w:fill="BFBFBF"/>
            <w:noWrap/>
            <w:vAlign w:val="center"/>
            <w:hideMark/>
          </w:tcPr>
          <w:p w14:paraId="14EEB8BB"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4" w:type="dxa"/>
            <w:tcBorders>
              <w:top w:val="nil"/>
              <w:left w:val="nil"/>
              <w:bottom w:val="single" w:sz="4" w:space="0" w:color="auto"/>
              <w:right w:val="nil"/>
            </w:tcBorders>
            <w:shd w:val="clear" w:color="000000" w:fill="BFBFBF"/>
            <w:noWrap/>
            <w:vAlign w:val="center"/>
            <w:hideMark/>
          </w:tcPr>
          <w:p w14:paraId="2531AD36"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5" w:type="dxa"/>
            <w:tcBorders>
              <w:top w:val="nil"/>
              <w:left w:val="nil"/>
              <w:bottom w:val="single" w:sz="4" w:space="0" w:color="auto"/>
              <w:right w:val="nil"/>
            </w:tcBorders>
            <w:shd w:val="clear" w:color="000000" w:fill="BFBFBF"/>
            <w:noWrap/>
            <w:vAlign w:val="center"/>
            <w:hideMark/>
          </w:tcPr>
          <w:p w14:paraId="7DCEAAD5"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4" w:type="dxa"/>
            <w:tcBorders>
              <w:top w:val="nil"/>
              <w:left w:val="single" w:sz="4" w:space="0" w:color="auto"/>
              <w:bottom w:val="single" w:sz="4" w:space="0" w:color="auto"/>
              <w:right w:val="single" w:sz="4" w:space="0" w:color="auto"/>
            </w:tcBorders>
            <w:shd w:val="clear" w:color="000000" w:fill="FFE699"/>
            <w:noWrap/>
            <w:vAlign w:val="center"/>
            <w:hideMark/>
          </w:tcPr>
          <w:p w14:paraId="7C7CB2BF"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343,000</w:t>
            </w:r>
          </w:p>
        </w:tc>
        <w:tc>
          <w:tcPr>
            <w:tcW w:w="854" w:type="dxa"/>
            <w:tcBorders>
              <w:top w:val="nil"/>
              <w:left w:val="nil"/>
              <w:bottom w:val="single" w:sz="4" w:space="0" w:color="auto"/>
              <w:right w:val="nil"/>
            </w:tcBorders>
            <w:shd w:val="clear" w:color="auto" w:fill="auto"/>
            <w:noWrap/>
            <w:vAlign w:val="center"/>
            <w:hideMark/>
          </w:tcPr>
          <w:p w14:paraId="56E255E0"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360,800</w:t>
            </w:r>
          </w:p>
        </w:tc>
        <w:tc>
          <w:tcPr>
            <w:tcW w:w="855" w:type="dxa"/>
            <w:tcBorders>
              <w:top w:val="nil"/>
              <w:left w:val="nil"/>
              <w:bottom w:val="single" w:sz="4" w:space="0" w:color="auto"/>
              <w:right w:val="nil"/>
            </w:tcBorders>
            <w:shd w:val="clear" w:color="auto" w:fill="auto"/>
            <w:noWrap/>
            <w:vAlign w:val="center"/>
            <w:hideMark/>
          </w:tcPr>
          <w:p w14:paraId="44056265"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373,800</w:t>
            </w:r>
          </w:p>
        </w:tc>
        <w:tc>
          <w:tcPr>
            <w:tcW w:w="854" w:type="dxa"/>
            <w:tcBorders>
              <w:top w:val="nil"/>
              <w:left w:val="nil"/>
              <w:bottom w:val="single" w:sz="4" w:space="0" w:color="auto"/>
              <w:right w:val="nil"/>
            </w:tcBorders>
            <w:shd w:val="clear" w:color="auto" w:fill="auto"/>
            <w:noWrap/>
            <w:vAlign w:val="center"/>
            <w:hideMark/>
          </w:tcPr>
          <w:p w14:paraId="1D9C8560"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386,700</w:t>
            </w:r>
          </w:p>
        </w:tc>
        <w:tc>
          <w:tcPr>
            <w:tcW w:w="855" w:type="dxa"/>
            <w:tcBorders>
              <w:top w:val="nil"/>
              <w:left w:val="nil"/>
              <w:bottom w:val="single" w:sz="4" w:space="0" w:color="auto"/>
              <w:right w:val="single" w:sz="4" w:space="0" w:color="auto"/>
            </w:tcBorders>
            <w:shd w:val="clear" w:color="auto" w:fill="auto"/>
            <w:noWrap/>
            <w:vAlign w:val="center"/>
            <w:hideMark/>
          </w:tcPr>
          <w:p w14:paraId="18B56EB2"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400,100</w:t>
            </w:r>
          </w:p>
        </w:tc>
      </w:tr>
      <w:tr w:rsidR="002C11DC" w:rsidRPr="002522F2" w14:paraId="1686F0AC" w14:textId="77777777" w:rsidTr="002522F2">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3EAAADD3" w14:textId="77777777" w:rsidR="002C11DC" w:rsidRPr="002522F2" w:rsidRDefault="002C11DC" w:rsidP="00564D97">
            <w:pPr>
              <w:pStyle w:val="FSRnormal"/>
              <w:spacing w:before="0" w:after="0"/>
              <w:rPr>
                <w:rFonts w:cs="Arial"/>
                <w:color w:val="000000"/>
                <w:sz w:val="16"/>
                <w:szCs w:val="16"/>
                <w:lang w:eastAsia="zh-CN" w:bidi="th-TH"/>
              </w:rPr>
            </w:pPr>
            <w:r w:rsidRPr="002522F2">
              <w:rPr>
                <w:rFonts w:cs="Arial"/>
                <w:color w:val="000000"/>
                <w:sz w:val="16"/>
                <w:szCs w:val="16"/>
                <w:lang w:eastAsia="zh-CN" w:bidi="th-TH"/>
              </w:rPr>
              <w:t>31 December 2020 AFSR projection</w:t>
            </w:r>
          </w:p>
        </w:tc>
        <w:tc>
          <w:tcPr>
            <w:tcW w:w="854" w:type="dxa"/>
            <w:tcBorders>
              <w:top w:val="nil"/>
              <w:left w:val="nil"/>
              <w:bottom w:val="single" w:sz="4" w:space="0" w:color="auto"/>
              <w:right w:val="nil"/>
            </w:tcBorders>
            <w:shd w:val="clear" w:color="000000" w:fill="BFBFBF"/>
            <w:noWrap/>
            <w:vAlign w:val="center"/>
            <w:hideMark/>
          </w:tcPr>
          <w:p w14:paraId="34DB443B"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4" w:type="dxa"/>
            <w:tcBorders>
              <w:top w:val="nil"/>
              <w:left w:val="nil"/>
              <w:bottom w:val="single" w:sz="4" w:space="0" w:color="auto"/>
              <w:right w:val="nil"/>
            </w:tcBorders>
            <w:shd w:val="clear" w:color="000000" w:fill="BFBFBF"/>
            <w:noWrap/>
            <w:vAlign w:val="center"/>
            <w:hideMark/>
          </w:tcPr>
          <w:p w14:paraId="5AD55756"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5" w:type="dxa"/>
            <w:tcBorders>
              <w:top w:val="nil"/>
              <w:left w:val="nil"/>
              <w:bottom w:val="single" w:sz="4" w:space="0" w:color="auto"/>
              <w:right w:val="nil"/>
            </w:tcBorders>
            <w:shd w:val="clear" w:color="000000" w:fill="BFBFBF"/>
            <w:noWrap/>
            <w:vAlign w:val="center"/>
            <w:hideMark/>
          </w:tcPr>
          <w:p w14:paraId="45845828"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4" w:type="dxa"/>
            <w:tcBorders>
              <w:top w:val="nil"/>
              <w:left w:val="single" w:sz="4" w:space="0" w:color="auto"/>
              <w:bottom w:val="single" w:sz="4" w:space="0" w:color="auto"/>
              <w:right w:val="single" w:sz="4" w:space="0" w:color="auto"/>
            </w:tcBorders>
            <w:shd w:val="clear" w:color="auto" w:fill="auto"/>
            <w:noWrap/>
            <w:vAlign w:val="center"/>
            <w:hideMark/>
          </w:tcPr>
          <w:p w14:paraId="0136CF2D"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340,000</w:t>
            </w:r>
          </w:p>
        </w:tc>
        <w:tc>
          <w:tcPr>
            <w:tcW w:w="854" w:type="dxa"/>
            <w:tcBorders>
              <w:top w:val="nil"/>
              <w:left w:val="nil"/>
              <w:bottom w:val="single" w:sz="4" w:space="0" w:color="auto"/>
              <w:right w:val="nil"/>
            </w:tcBorders>
            <w:shd w:val="clear" w:color="auto" w:fill="auto"/>
            <w:noWrap/>
            <w:vAlign w:val="center"/>
            <w:hideMark/>
          </w:tcPr>
          <w:p w14:paraId="2EB6A041"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359,400</w:t>
            </w:r>
          </w:p>
        </w:tc>
        <w:tc>
          <w:tcPr>
            <w:tcW w:w="855" w:type="dxa"/>
            <w:tcBorders>
              <w:top w:val="nil"/>
              <w:left w:val="nil"/>
              <w:bottom w:val="single" w:sz="4" w:space="0" w:color="auto"/>
              <w:right w:val="nil"/>
            </w:tcBorders>
            <w:shd w:val="clear" w:color="auto" w:fill="auto"/>
            <w:noWrap/>
            <w:vAlign w:val="center"/>
            <w:hideMark/>
          </w:tcPr>
          <w:p w14:paraId="2F2EAC37"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372,600</w:t>
            </w:r>
          </w:p>
        </w:tc>
        <w:tc>
          <w:tcPr>
            <w:tcW w:w="854" w:type="dxa"/>
            <w:tcBorders>
              <w:top w:val="nil"/>
              <w:left w:val="nil"/>
              <w:bottom w:val="single" w:sz="4" w:space="0" w:color="auto"/>
              <w:right w:val="nil"/>
            </w:tcBorders>
            <w:shd w:val="clear" w:color="auto" w:fill="auto"/>
            <w:noWrap/>
            <w:vAlign w:val="center"/>
            <w:hideMark/>
          </w:tcPr>
          <w:p w14:paraId="2C918DB7"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382,500</w:t>
            </w:r>
          </w:p>
        </w:tc>
        <w:tc>
          <w:tcPr>
            <w:tcW w:w="855" w:type="dxa"/>
            <w:tcBorders>
              <w:top w:val="nil"/>
              <w:left w:val="nil"/>
              <w:bottom w:val="single" w:sz="4" w:space="0" w:color="auto"/>
              <w:right w:val="single" w:sz="4" w:space="0" w:color="auto"/>
            </w:tcBorders>
            <w:shd w:val="clear" w:color="auto" w:fill="auto"/>
            <w:noWrap/>
            <w:vAlign w:val="center"/>
            <w:hideMark/>
          </w:tcPr>
          <w:p w14:paraId="66F66B80"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395,800</w:t>
            </w:r>
          </w:p>
        </w:tc>
      </w:tr>
      <w:tr w:rsidR="002C11DC" w:rsidRPr="002522F2" w14:paraId="6B64544F" w14:textId="77777777" w:rsidTr="002522F2">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51CBA623" w14:textId="77777777" w:rsidR="002C11DC" w:rsidRPr="002522F2" w:rsidRDefault="002C11DC" w:rsidP="00564D97">
            <w:pPr>
              <w:pStyle w:val="FSRnormal"/>
              <w:spacing w:before="0" w:after="0"/>
              <w:rPr>
                <w:rFonts w:cs="Arial"/>
                <w:color w:val="000000"/>
                <w:sz w:val="16"/>
                <w:szCs w:val="16"/>
                <w:lang w:eastAsia="zh-CN" w:bidi="th-TH"/>
              </w:rPr>
            </w:pPr>
            <w:r w:rsidRPr="002522F2">
              <w:rPr>
                <w:rFonts w:cs="Arial"/>
                <w:color w:val="000000"/>
                <w:sz w:val="16"/>
                <w:szCs w:val="16"/>
                <w:lang w:eastAsia="zh-CN" w:bidi="th-TH"/>
              </w:rPr>
              <w:t>30 June 2020 AFSR projection</w:t>
            </w:r>
          </w:p>
        </w:tc>
        <w:tc>
          <w:tcPr>
            <w:tcW w:w="854" w:type="dxa"/>
            <w:tcBorders>
              <w:top w:val="nil"/>
              <w:left w:val="nil"/>
              <w:bottom w:val="single" w:sz="4" w:space="0" w:color="auto"/>
              <w:right w:val="nil"/>
            </w:tcBorders>
            <w:shd w:val="clear" w:color="000000" w:fill="BFBFBF"/>
            <w:noWrap/>
            <w:vAlign w:val="center"/>
            <w:hideMark/>
          </w:tcPr>
          <w:p w14:paraId="0CB17AA3"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4" w:type="dxa"/>
            <w:tcBorders>
              <w:top w:val="nil"/>
              <w:left w:val="nil"/>
              <w:bottom w:val="single" w:sz="4" w:space="0" w:color="auto"/>
              <w:right w:val="nil"/>
            </w:tcBorders>
            <w:shd w:val="clear" w:color="000000" w:fill="BFBFBF"/>
            <w:noWrap/>
            <w:vAlign w:val="center"/>
            <w:hideMark/>
          </w:tcPr>
          <w:p w14:paraId="0FBA849A"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5" w:type="dxa"/>
            <w:tcBorders>
              <w:top w:val="nil"/>
              <w:left w:val="nil"/>
              <w:bottom w:val="single" w:sz="4" w:space="0" w:color="auto"/>
              <w:right w:val="nil"/>
            </w:tcBorders>
            <w:shd w:val="clear" w:color="000000" w:fill="FFE699"/>
            <w:noWrap/>
            <w:vAlign w:val="center"/>
            <w:hideMark/>
          </w:tcPr>
          <w:p w14:paraId="017DC311"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319,200</w:t>
            </w:r>
          </w:p>
        </w:tc>
        <w:tc>
          <w:tcPr>
            <w:tcW w:w="854" w:type="dxa"/>
            <w:tcBorders>
              <w:top w:val="nil"/>
              <w:left w:val="single" w:sz="4" w:space="0" w:color="auto"/>
              <w:bottom w:val="single" w:sz="4" w:space="0" w:color="auto"/>
              <w:right w:val="single" w:sz="4" w:space="0" w:color="auto"/>
            </w:tcBorders>
            <w:shd w:val="clear" w:color="auto" w:fill="auto"/>
            <w:noWrap/>
            <w:vAlign w:val="center"/>
            <w:hideMark/>
          </w:tcPr>
          <w:p w14:paraId="50B122B7"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338,500</w:t>
            </w:r>
          </w:p>
        </w:tc>
        <w:tc>
          <w:tcPr>
            <w:tcW w:w="854" w:type="dxa"/>
            <w:tcBorders>
              <w:top w:val="nil"/>
              <w:left w:val="nil"/>
              <w:bottom w:val="single" w:sz="4" w:space="0" w:color="auto"/>
              <w:right w:val="nil"/>
            </w:tcBorders>
            <w:shd w:val="clear" w:color="auto" w:fill="auto"/>
            <w:noWrap/>
            <w:vAlign w:val="center"/>
            <w:hideMark/>
          </w:tcPr>
          <w:p w14:paraId="368DA185"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354,200</w:t>
            </w:r>
          </w:p>
        </w:tc>
        <w:tc>
          <w:tcPr>
            <w:tcW w:w="855" w:type="dxa"/>
            <w:tcBorders>
              <w:top w:val="nil"/>
              <w:left w:val="nil"/>
              <w:bottom w:val="single" w:sz="4" w:space="0" w:color="auto"/>
              <w:right w:val="nil"/>
            </w:tcBorders>
            <w:shd w:val="clear" w:color="auto" w:fill="auto"/>
            <w:noWrap/>
            <w:vAlign w:val="center"/>
            <w:hideMark/>
          </w:tcPr>
          <w:p w14:paraId="727A44DA"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370,500</w:t>
            </w:r>
          </w:p>
        </w:tc>
        <w:tc>
          <w:tcPr>
            <w:tcW w:w="854" w:type="dxa"/>
            <w:tcBorders>
              <w:top w:val="nil"/>
              <w:left w:val="nil"/>
              <w:bottom w:val="single" w:sz="4" w:space="0" w:color="auto"/>
              <w:right w:val="nil"/>
            </w:tcBorders>
            <w:shd w:val="clear" w:color="auto" w:fill="auto"/>
            <w:noWrap/>
            <w:vAlign w:val="center"/>
            <w:hideMark/>
          </w:tcPr>
          <w:p w14:paraId="57B061B8"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389,100</w:t>
            </w:r>
          </w:p>
        </w:tc>
        <w:tc>
          <w:tcPr>
            <w:tcW w:w="855" w:type="dxa"/>
            <w:tcBorders>
              <w:top w:val="nil"/>
              <w:left w:val="nil"/>
              <w:bottom w:val="single" w:sz="4" w:space="0" w:color="auto"/>
              <w:right w:val="single" w:sz="4" w:space="0" w:color="auto"/>
            </w:tcBorders>
            <w:shd w:val="clear" w:color="auto" w:fill="auto"/>
            <w:noWrap/>
            <w:vAlign w:val="center"/>
            <w:hideMark/>
          </w:tcPr>
          <w:p w14:paraId="24A1B9DF"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407,500</w:t>
            </w:r>
          </w:p>
        </w:tc>
      </w:tr>
      <w:tr w:rsidR="002C11DC" w:rsidRPr="002522F2" w14:paraId="72B55863" w14:textId="77777777" w:rsidTr="002522F2">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030352AA" w14:textId="77777777" w:rsidR="002C11DC" w:rsidRPr="002522F2" w:rsidRDefault="002C11DC" w:rsidP="00564D97">
            <w:pPr>
              <w:pStyle w:val="FSRnormal"/>
              <w:spacing w:before="0" w:after="0"/>
              <w:rPr>
                <w:rFonts w:cs="Arial"/>
                <w:color w:val="000000"/>
                <w:sz w:val="16"/>
                <w:szCs w:val="16"/>
                <w:lang w:eastAsia="zh-CN" w:bidi="th-TH"/>
              </w:rPr>
            </w:pPr>
            <w:r w:rsidRPr="002522F2">
              <w:rPr>
                <w:rFonts w:cs="Arial"/>
                <w:color w:val="000000"/>
                <w:sz w:val="16"/>
                <w:szCs w:val="16"/>
                <w:lang w:eastAsia="zh-CN" w:bidi="th-TH"/>
              </w:rPr>
              <w:t>31 December 2019 AFSR projection</w:t>
            </w:r>
          </w:p>
        </w:tc>
        <w:tc>
          <w:tcPr>
            <w:tcW w:w="854" w:type="dxa"/>
            <w:tcBorders>
              <w:top w:val="nil"/>
              <w:left w:val="nil"/>
              <w:bottom w:val="single" w:sz="4" w:space="0" w:color="auto"/>
              <w:right w:val="nil"/>
            </w:tcBorders>
            <w:shd w:val="clear" w:color="000000" w:fill="BFBFBF"/>
            <w:noWrap/>
            <w:vAlign w:val="center"/>
            <w:hideMark/>
          </w:tcPr>
          <w:p w14:paraId="3186EFE4"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4" w:type="dxa"/>
            <w:tcBorders>
              <w:top w:val="nil"/>
              <w:left w:val="nil"/>
              <w:bottom w:val="single" w:sz="4" w:space="0" w:color="auto"/>
              <w:right w:val="nil"/>
            </w:tcBorders>
            <w:shd w:val="clear" w:color="000000" w:fill="BFBFBF"/>
            <w:noWrap/>
            <w:vAlign w:val="center"/>
            <w:hideMark/>
          </w:tcPr>
          <w:p w14:paraId="20ADD726"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5" w:type="dxa"/>
            <w:tcBorders>
              <w:top w:val="nil"/>
              <w:left w:val="nil"/>
              <w:bottom w:val="single" w:sz="4" w:space="0" w:color="auto"/>
              <w:right w:val="nil"/>
            </w:tcBorders>
            <w:shd w:val="clear" w:color="auto" w:fill="auto"/>
            <w:noWrap/>
            <w:vAlign w:val="center"/>
            <w:hideMark/>
          </w:tcPr>
          <w:p w14:paraId="482384B3"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315,700</w:t>
            </w:r>
          </w:p>
        </w:tc>
        <w:tc>
          <w:tcPr>
            <w:tcW w:w="854" w:type="dxa"/>
            <w:tcBorders>
              <w:top w:val="nil"/>
              <w:left w:val="single" w:sz="4" w:space="0" w:color="auto"/>
              <w:bottom w:val="single" w:sz="4" w:space="0" w:color="auto"/>
              <w:right w:val="single" w:sz="4" w:space="0" w:color="auto"/>
            </w:tcBorders>
            <w:shd w:val="clear" w:color="auto" w:fill="auto"/>
            <w:noWrap/>
            <w:vAlign w:val="center"/>
            <w:hideMark/>
          </w:tcPr>
          <w:p w14:paraId="15A6B433"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336,600</w:t>
            </w:r>
          </w:p>
        </w:tc>
        <w:tc>
          <w:tcPr>
            <w:tcW w:w="854" w:type="dxa"/>
            <w:tcBorders>
              <w:top w:val="nil"/>
              <w:left w:val="nil"/>
              <w:bottom w:val="single" w:sz="4" w:space="0" w:color="auto"/>
              <w:right w:val="nil"/>
            </w:tcBorders>
            <w:shd w:val="clear" w:color="auto" w:fill="auto"/>
            <w:noWrap/>
            <w:vAlign w:val="center"/>
            <w:hideMark/>
          </w:tcPr>
          <w:p w14:paraId="375BD4F4"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357,100</w:t>
            </w:r>
          </w:p>
        </w:tc>
        <w:tc>
          <w:tcPr>
            <w:tcW w:w="855" w:type="dxa"/>
            <w:tcBorders>
              <w:top w:val="nil"/>
              <w:left w:val="nil"/>
              <w:bottom w:val="single" w:sz="4" w:space="0" w:color="auto"/>
              <w:right w:val="nil"/>
            </w:tcBorders>
            <w:shd w:val="clear" w:color="auto" w:fill="auto"/>
            <w:noWrap/>
            <w:vAlign w:val="center"/>
            <w:hideMark/>
          </w:tcPr>
          <w:p w14:paraId="590578F8"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379,400</w:t>
            </w:r>
          </w:p>
        </w:tc>
        <w:tc>
          <w:tcPr>
            <w:tcW w:w="854" w:type="dxa"/>
            <w:tcBorders>
              <w:top w:val="nil"/>
              <w:left w:val="nil"/>
              <w:bottom w:val="single" w:sz="4" w:space="0" w:color="auto"/>
              <w:right w:val="nil"/>
            </w:tcBorders>
            <w:shd w:val="clear" w:color="auto" w:fill="auto"/>
            <w:noWrap/>
            <w:vAlign w:val="center"/>
            <w:hideMark/>
          </w:tcPr>
          <w:p w14:paraId="41FEA440"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401,400</w:t>
            </w:r>
          </w:p>
        </w:tc>
        <w:tc>
          <w:tcPr>
            <w:tcW w:w="855" w:type="dxa"/>
            <w:tcBorders>
              <w:top w:val="nil"/>
              <w:left w:val="nil"/>
              <w:bottom w:val="single" w:sz="4" w:space="0" w:color="auto"/>
              <w:right w:val="single" w:sz="4" w:space="0" w:color="auto"/>
            </w:tcBorders>
            <w:shd w:val="clear" w:color="auto" w:fill="auto"/>
            <w:noWrap/>
            <w:vAlign w:val="center"/>
            <w:hideMark/>
          </w:tcPr>
          <w:p w14:paraId="60F00324"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417,900</w:t>
            </w:r>
          </w:p>
        </w:tc>
      </w:tr>
      <w:tr w:rsidR="002C11DC" w:rsidRPr="002522F2" w14:paraId="2A6E4B49" w14:textId="77777777" w:rsidTr="002522F2">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320CC5C7" w14:textId="77777777" w:rsidR="002C11DC" w:rsidRPr="002522F2" w:rsidRDefault="002C11DC" w:rsidP="00564D97">
            <w:pPr>
              <w:pStyle w:val="FSRnormal"/>
              <w:spacing w:before="0" w:after="0"/>
              <w:rPr>
                <w:rFonts w:cs="Arial"/>
                <w:color w:val="000000"/>
                <w:sz w:val="16"/>
                <w:szCs w:val="16"/>
                <w:lang w:eastAsia="zh-CN" w:bidi="th-TH"/>
              </w:rPr>
            </w:pPr>
            <w:r w:rsidRPr="002522F2">
              <w:rPr>
                <w:rFonts w:cs="Arial"/>
                <w:color w:val="000000"/>
                <w:sz w:val="16"/>
                <w:szCs w:val="16"/>
                <w:lang w:eastAsia="zh-CN" w:bidi="th-TH"/>
              </w:rPr>
              <w:t>30 June 2019 AFSR projection</w:t>
            </w:r>
          </w:p>
        </w:tc>
        <w:tc>
          <w:tcPr>
            <w:tcW w:w="854" w:type="dxa"/>
            <w:tcBorders>
              <w:top w:val="nil"/>
              <w:left w:val="nil"/>
              <w:bottom w:val="single" w:sz="4" w:space="0" w:color="auto"/>
              <w:right w:val="nil"/>
            </w:tcBorders>
            <w:shd w:val="clear" w:color="000000" w:fill="BFBFBF"/>
            <w:noWrap/>
            <w:vAlign w:val="center"/>
            <w:hideMark/>
          </w:tcPr>
          <w:p w14:paraId="2F0C27DB"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4" w:type="dxa"/>
            <w:tcBorders>
              <w:top w:val="nil"/>
              <w:left w:val="nil"/>
              <w:bottom w:val="single" w:sz="4" w:space="0" w:color="auto"/>
              <w:right w:val="nil"/>
            </w:tcBorders>
            <w:shd w:val="clear" w:color="000000" w:fill="FFE699"/>
            <w:noWrap/>
            <w:vAlign w:val="center"/>
            <w:hideMark/>
          </w:tcPr>
          <w:p w14:paraId="0061B7C2"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262,600</w:t>
            </w:r>
          </w:p>
        </w:tc>
        <w:tc>
          <w:tcPr>
            <w:tcW w:w="855" w:type="dxa"/>
            <w:tcBorders>
              <w:top w:val="nil"/>
              <w:left w:val="nil"/>
              <w:bottom w:val="single" w:sz="4" w:space="0" w:color="auto"/>
              <w:right w:val="nil"/>
            </w:tcBorders>
            <w:shd w:val="clear" w:color="auto" w:fill="auto"/>
            <w:noWrap/>
            <w:vAlign w:val="center"/>
            <w:hideMark/>
          </w:tcPr>
          <w:p w14:paraId="3FD32D9F"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280,100</w:t>
            </w:r>
          </w:p>
        </w:tc>
        <w:tc>
          <w:tcPr>
            <w:tcW w:w="854" w:type="dxa"/>
            <w:tcBorders>
              <w:top w:val="nil"/>
              <w:left w:val="single" w:sz="4" w:space="0" w:color="auto"/>
              <w:bottom w:val="single" w:sz="4" w:space="0" w:color="auto"/>
              <w:right w:val="single" w:sz="4" w:space="0" w:color="auto"/>
            </w:tcBorders>
            <w:shd w:val="clear" w:color="auto" w:fill="auto"/>
            <w:noWrap/>
            <w:vAlign w:val="center"/>
            <w:hideMark/>
          </w:tcPr>
          <w:p w14:paraId="238A03AF"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294,600</w:t>
            </w:r>
          </w:p>
        </w:tc>
        <w:tc>
          <w:tcPr>
            <w:tcW w:w="854" w:type="dxa"/>
            <w:tcBorders>
              <w:top w:val="nil"/>
              <w:left w:val="nil"/>
              <w:bottom w:val="single" w:sz="4" w:space="0" w:color="auto"/>
              <w:right w:val="nil"/>
            </w:tcBorders>
            <w:shd w:val="clear" w:color="auto" w:fill="auto"/>
            <w:noWrap/>
            <w:vAlign w:val="center"/>
            <w:hideMark/>
          </w:tcPr>
          <w:p w14:paraId="00BC070D"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309,700</w:t>
            </w:r>
          </w:p>
        </w:tc>
        <w:tc>
          <w:tcPr>
            <w:tcW w:w="855" w:type="dxa"/>
            <w:tcBorders>
              <w:top w:val="nil"/>
              <w:left w:val="nil"/>
              <w:bottom w:val="single" w:sz="4" w:space="0" w:color="auto"/>
              <w:right w:val="nil"/>
            </w:tcBorders>
            <w:shd w:val="clear" w:color="auto" w:fill="auto"/>
            <w:noWrap/>
            <w:vAlign w:val="center"/>
            <w:hideMark/>
          </w:tcPr>
          <w:p w14:paraId="48673339"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325,500</w:t>
            </w:r>
          </w:p>
        </w:tc>
        <w:tc>
          <w:tcPr>
            <w:tcW w:w="854" w:type="dxa"/>
            <w:tcBorders>
              <w:top w:val="nil"/>
              <w:left w:val="nil"/>
              <w:bottom w:val="single" w:sz="4" w:space="0" w:color="auto"/>
              <w:right w:val="nil"/>
            </w:tcBorders>
            <w:shd w:val="clear" w:color="auto" w:fill="auto"/>
            <w:noWrap/>
            <w:vAlign w:val="center"/>
            <w:hideMark/>
          </w:tcPr>
          <w:p w14:paraId="3A24DFB6"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340,600</w:t>
            </w:r>
          </w:p>
        </w:tc>
        <w:tc>
          <w:tcPr>
            <w:tcW w:w="855" w:type="dxa"/>
            <w:tcBorders>
              <w:top w:val="nil"/>
              <w:left w:val="nil"/>
              <w:bottom w:val="single" w:sz="4" w:space="0" w:color="auto"/>
              <w:right w:val="single" w:sz="4" w:space="0" w:color="auto"/>
            </w:tcBorders>
            <w:shd w:val="clear" w:color="auto" w:fill="auto"/>
            <w:noWrap/>
            <w:vAlign w:val="center"/>
            <w:hideMark/>
          </w:tcPr>
          <w:p w14:paraId="33A70B6E"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354,400</w:t>
            </w:r>
          </w:p>
        </w:tc>
      </w:tr>
      <w:tr w:rsidR="002C11DC" w:rsidRPr="002522F2" w14:paraId="773A229E" w14:textId="77777777" w:rsidTr="002522F2">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644AFE91" w14:textId="77777777" w:rsidR="002C11DC" w:rsidRPr="002522F2" w:rsidRDefault="002C11DC" w:rsidP="00564D97">
            <w:pPr>
              <w:pStyle w:val="FSRnormal"/>
              <w:spacing w:before="0" w:after="0"/>
              <w:rPr>
                <w:rFonts w:cs="Arial"/>
                <w:color w:val="000000"/>
                <w:sz w:val="16"/>
                <w:szCs w:val="16"/>
                <w:lang w:eastAsia="zh-CN" w:bidi="th-TH"/>
              </w:rPr>
            </w:pPr>
            <w:r w:rsidRPr="002522F2">
              <w:rPr>
                <w:rFonts w:cs="Arial"/>
                <w:color w:val="000000"/>
                <w:sz w:val="16"/>
                <w:szCs w:val="16"/>
                <w:lang w:eastAsia="zh-CN" w:bidi="th-TH"/>
              </w:rPr>
              <w:t>30 June 2018 AFSR projection</w:t>
            </w:r>
          </w:p>
        </w:tc>
        <w:tc>
          <w:tcPr>
            <w:tcW w:w="854" w:type="dxa"/>
            <w:tcBorders>
              <w:top w:val="nil"/>
              <w:left w:val="nil"/>
              <w:bottom w:val="single" w:sz="4" w:space="0" w:color="auto"/>
              <w:right w:val="nil"/>
            </w:tcBorders>
            <w:shd w:val="clear" w:color="000000" w:fill="FFE699"/>
            <w:noWrap/>
            <w:vAlign w:val="center"/>
            <w:hideMark/>
          </w:tcPr>
          <w:p w14:paraId="2C14F2B8"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255,000</w:t>
            </w:r>
          </w:p>
        </w:tc>
        <w:tc>
          <w:tcPr>
            <w:tcW w:w="854" w:type="dxa"/>
            <w:tcBorders>
              <w:top w:val="nil"/>
              <w:left w:val="nil"/>
              <w:bottom w:val="single" w:sz="4" w:space="0" w:color="auto"/>
              <w:right w:val="nil"/>
            </w:tcBorders>
            <w:shd w:val="clear" w:color="auto" w:fill="auto"/>
            <w:noWrap/>
            <w:vAlign w:val="center"/>
            <w:hideMark/>
          </w:tcPr>
          <w:p w14:paraId="3AB041DA"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273,400</w:t>
            </w:r>
          </w:p>
        </w:tc>
        <w:tc>
          <w:tcPr>
            <w:tcW w:w="855" w:type="dxa"/>
            <w:tcBorders>
              <w:top w:val="nil"/>
              <w:left w:val="nil"/>
              <w:bottom w:val="single" w:sz="4" w:space="0" w:color="auto"/>
              <w:right w:val="nil"/>
            </w:tcBorders>
            <w:shd w:val="clear" w:color="auto" w:fill="auto"/>
            <w:noWrap/>
            <w:vAlign w:val="center"/>
            <w:hideMark/>
          </w:tcPr>
          <w:p w14:paraId="16DB2D34"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288,800</w:t>
            </w:r>
          </w:p>
        </w:tc>
        <w:tc>
          <w:tcPr>
            <w:tcW w:w="854" w:type="dxa"/>
            <w:tcBorders>
              <w:top w:val="nil"/>
              <w:left w:val="single" w:sz="4" w:space="0" w:color="auto"/>
              <w:bottom w:val="single" w:sz="4" w:space="0" w:color="auto"/>
              <w:right w:val="single" w:sz="4" w:space="0" w:color="auto"/>
            </w:tcBorders>
            <w:shd w:val="clear" w:color="auto" w:fill="auto"/>
            <w:noWrap/>
            <w:vAlign w:val="center"/>
            <w:hideMark/>
          </w:tcPr>
          <w:p w14:paraId="7161D1AB"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301,800</w:t>
            </w:r>
          </w:p>
        </w:tc>
        <w:tc>
          <w:tcPr>
            <w:tcW w:w="854" w:type="dxa"/>
            <w:tcBorders>
              <w:top w:val="nil"/>
              <w:left w:val="nil"/>
              <w:bottom w:val="single" w:sz="4" w:space="0" w:color="auto"/>
              <w:right w:val="nil"/>
            </w:tcBorders>
            <w:shd w:val="clear" w:color="auto" w:fill="auto"/>
            <w:noWrap/>
            <w:vAlign w:val="center"/>
            <w:hideMark/>
          </w:tcPr>
          <w:p w14:paraId="50B58CA6"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314,000</w:t>
            </w:r>
          </w:p>
        </w:tc>
        <w:tc>
          <w:tcPr>
            <w:tcW w:w="855" w:type="dxa"/>
            <w:tcBorders>
              <w:top w:val="nil"/>
              <w:left w:val="nil"/>
              <w:bottom w:val="single" w:sz="4" w:space="0" w:color="auto"/>
              <w:right w:val="nil"/>
            </w:tcBorders>
            <w:shd w:val="clear" w:color="auto" w:fill="auto"/>
            <w:noWrap/>
            <w:vAlign w:val="center"/>
            <w:hideMark/>
          </w:tcPr>
          <w:p w14:paraId="5FE19C23"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326,800</w:t>
            </w:r>
          </w:p>
        </w:tc>
        <w:tc>
          <w:tcPr>
            <w:tcW w:w="854" w:type="dxa"/>
            <w:tcBorders>
              <w:top w:val="nil"/>
              <w:left w:val="nil"/>
              <w:bottom w:val="single" w:sz="4" w:space="0" w:color="auto"/>
              <w:right w:val="nil"/>
            </w:tcBorders>
            <w:shd w:val="clear" w:color="auto" w:fill="auto"/>
            <w:noWrap/>
            <w:vAlign w:val="center"/>
            <w:hideMark/>
          </w:tcPr>
          <w:p w14:paraId="6D2FD0C4"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340,200</w:t>
            </w:r>
          </w:p>
        </w:tc>
        <w:tc>
          <w:tcPr>
            <w:tcW w:w="855" w:type="dxa"/>
            <w:tcBorders>
              <w:top w:val="nil"/>
              <w:left w:val="nil"/>
              <w:bottom w:val="single" w:sz="4" w:space="0" w:color="auto"/>
              <w:right w:val="single" w:sz="4" w:space="0" w:color="auto"/>
            </w:tcBorders>
            <w:shd w:val="clear" w:color="auto" w:fill="auto"/>
            <w:noWrap/>
            <w:vAlign w:val="center"/>
            <w:hideMark/>
          </w:tcPr>
          <w:p w14:paraId="5E68D82D"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354,100</w:t>
            </w:r>
          </w:p>
        </w:tc>
      </w:tr>
      <w:tr w:rsidR="002C11DC" w:rsidRPr="002522F2" w14:paraId="5538B9B0" w14:textId="77777777" w:rsidTr="002522F2">
        <w:trPr>
          <w:trHeight w:val="225"/>
        </w:trPr>
        <w:tc>
          <w:tcPr>
            <w:tcW w:w="2830" w:type="dxa"/>
            <w:tcBorders>
              <w:top w:val="nil"/>
              <w:left w:val="single" w:sz="4" w:space="0" w:color="auto"/>
              <w:bottom w:val="single" w:sz="4" w:space="0" w:color="auto"/>
              <w:right w:val="nil"/>
            </w:tcBorders>
            <w:shd w:val="clear" w:color="000000" w:fill="D3C5D7"/>
            <w:noWrap/>
            <w:vAlign w:val="center"/>
            <w:hideMark/>
          </w:tcPr>
          <w:p w14:paraId="0C4EF34C" w14:textId="77777777" w:rsidR="002C11DC" w:rsidRPr="002522F2" w:rsidRDefault="002C11DC" w:rsidP="00564D97">
            <w:pPr>
              <w:pStyle w:val="FSRnormal"/>
              <w:spacing w:before="0" w:after="0"/>
              <w:rPr>
                <w:rFonts w:cs="Arial"/>
                <w:color w:val="000000"/>
                <w:sz w:val="16"/>
                <w:szCs w:val="16"/>
                <w:lang w:eastAsia="zh-CN" w:bidi="th-TH"/>
              </w:rPr>
            </w:pPr>
            <w:r w:rsidRPr="002522F2">
              <w:rPr>
                <w:rFonts w:cs="Arial"/>
                <w:color w:val="000000"/>
                <w:sz w:val="16"/>
                <w:szCs w:val="16"/>
                <w:lang w:eastAsia="zh-CN" w:bidi="th-TH"/>
              </w:rPr>
              <w:t>Comparison with actuals</w:t>
            </w:r>
          </w:p>
        </w:tc>
        <w:tc>
          <w:tcPr>
            <w:tcW w:w="854" w:type="dxa"/>
            <w:tcBorders>
              <w:top w:val="nil"/>
              <w:left w:val="nil"/>
              <w:bottom w:val="single" w:sz="4" w:space="0" w:color="auto"/>
              <w:right w:val="nil"/>
            </w:tcBorders>
            <w:shd w:val="clear" w:color="000000" w:fill="D3C5D7"/>
            <w:noWrap/>
            <w:vAlign w:val="center"/>
            <w:hideMark/>
          </w:tcPr>
          <w:p w14:paraId="4BD873AA"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4" w:type="dxa"/>
            <w:tcBorders>
              <w:top w:val="nil"/>
              <w:left w:val="nil"/>
              <w:bottom w:val="single" w:sz="4" w:space="0" w:color="auto"/>
              <w:right w:val="nil"/>
            </w:tcBorders>
            <w:shd w:val="clear" w:color="000000" w:fill="D3C5D7"/>
            <w:noWrap/>
            <w:vAlign w:val="center"/>
            <w:hideMark/>
          </w:tcPr>
          <w:p w14:paraId="49DA1E6B"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5" w:type="dxa"/>
            <w:tcBorders>
              <w:top w:val="nil"/>
              <w:left w:val="nil"/>
              <w:bottom w:val="single" w:sz="4" w:space="0" w:color="auto"/>
              <w:right w:val="nil"/>
            </w:tcBorders>
            <w:shd w:val="clear" w:color="000000" w:fill="D3C5D7"/>
            <w:noWrap/>
            <w:vAlign w:val="center"/>
            <w:hideMark/>
          </w:tcPr>
          <w:p w14:paraId="4FCDCAA8"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4" w:type="dxa"/>
            <w:tcBorders>
              <w:top w:val="nil"/>
              <w:left w:val="single" w:sz="4" w:space="0" w:color="auto"/>
              <w:bottom w:val="single" w:sz="4" w:space="0" w:color="auto"/>
              <w:right w:val="single" w:sz="4" w:space="0" w:color="auto"/>
            </w:tcBorders>
            <w:shd w:val="clear" w:color="000000" w:fill="D3C5D7"/>
            <w:noWrap/>
            <w:vAlign w:val="center"/>
            <w:hideMark/>
          </w:tcPr>
          <w:p w14:paraId="24E47C6E"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4" w:type="dxa"/>
            <w:tcBorders>
              <w:top w:val="nil"/>
              <w:left w:val="nil"/>
              <w:bottom w:val="single" w:sz="4" w:space="0" w:color="auto"/>
              <w:right w:val="nil"/>
            </w:tcBorders>
            <w:shd w:val="clear" w:color="000000" w:fill="D3C5D7"/>
            <w:noWrap/>
            <w:vAlign w:val="center"/>
            <w:hideMark/>
          </w:tcPr>
          <w:p w14:paraId="6C8642ED"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5" w:type="dxa"/>
            <w:tcBorders>
              <w:top w:val="nil"/>
              <w:left w:val="nil"/>
              <w:bottom w:val="single" w:sz="4" w:space="0" w:color="auto"/>
              <w:right w:val="nil"/>
            </w:tcBorders>
            <w:shd w:val="clear" w:color="000000" w:fill="D3C5D7"/>
            <w:noWrap/>
            <w:vAlign w:val="center"/>
            <w:hideMark/>
          </w:tcPr>
          <w:p w14:paraId="75C27C6C"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4" w:type="dxa"/>
            <w:tcBorders>
              <w:top w:val="nil"/>
              <w:left w:val="nil"/>
              <w:bottom w:val="single" w:sz="4" w:space="0" w:color="auto"/>
              <w:right w:val="nil"/>
            </w:tcBorders>
            <w:shd w:val="clear" w:color="000000" w:fill="D3C5D7"/>
            <w:noWrap/>
            <w:vAlign w:val="center"/>
            <w:hideMark/>
          </w:tcPr>
          <w:p w14:paraId="412C4507"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5" w:type="dxa"/>
            <w:tcBorders>
              <w:top w:val="nil"/>
              <w:left w:val="nil"/>
              <w:bottom w:val="single" w:sz="4" w:space="0" w:color="auto"/>
              <w:right w:val="single" w:sz="4" w:space="0" w:color="auto"/>
            </w:tcBorders>
            <w:shd w:val="clear" w:color="000000" w:fill="D3C5D7"/>
            <w:noWrap/>
            <w:vAlign w:val="center"/>
            <w:hideMark/>
          </w:tcPr>
          <w:p w14:paraId="5A60F8E1"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r>
      <w:tr w:rsidR="002C11DC" w:rsidRPr="002522F2" w14:paraId="0878EC3C" w14:textId="77777777" w:rsidTr="002522F2">
        <w:trPr>
          <w:trHeight w:val="225"/>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7C3868A1" w14:textId="77777777" w:rsidR="002C11DC" w:rsidRPr="002522F2" w:rsidRDefault="002C11DC" w:rsidP="00564D97">
            <w:pPr>
              <w:pStyle w:val="FSRnormal"/>
              <w:spacing w:before="0" w:after="0"/>
              <w:rPr>
                <w:rFonts w:cs="Arial"/>
                <w:color w:val="000000"/>
                <w:sz w:val="16"/>
                <w:szCs w:val="16"/>
                <w:lang w:eastAsia="zh-CN" w:bidi="th-TH"/>
              </w:rPr>
            </w:pPr>
            <w:r w:rsidRPr="002522F2">
              <w:rPr>
                <w:rFonts w:cs="Arial"/>
                <w:color w:val="000000"/>
                <w:sz w:val="16"/>
                <w:szCs w:val="16"/>
                <w:lang w:eastAsia="zh-CN" w:bidi="th-TH"/>
              </w:rPr>
              <w:t>Actual average participant payments</w:t>
            </w:r>
          </w:p>
        </w:tc>
        <w:tc>
          <w:tcPr>
            <w:tcW w:w="854" w:type="dxa"/>
            <w:tcBorders>
              <w:top w:val="nil"/>
              <w:left w:val="nil"/>
              <w:bottom w:val="single" w:sz="4" w:space="0" w:color="auto"/>
              <w:right w:val="nil"/>
            </w:tcBorders>
            <w:shd w:val="clear" w:color="000000" w:fill="FFE699"/>
            <w:noWrap/>
            <w:vAlign w:val="center"/>
            <w:hideMark/>
          </w:tcPr>
          <w:p w14:paraId="1B12E492"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249,600</w:t>
            </w:r>
          </w:p>
        </w:tc>
        <w:tc>
          <w:tcPr>
            <w:tcW w:w="854" w:type="dxa"/>
            <w:tcBorders>
              <w:top w:val="nil"/>
              <w:left w:val="nil"/>
              <w:bottom w:val="single" w:sz="4" w:space="0" w:color="auto"/>
              <w:right w:val="nil"/>
            </w:tcBorders>
            <w:shd w:val="clear" w:color="000000" w:fill="FFE699"/>
            <w:noWrap/>
            <w:vAlign w:val="center"/>
            <w:hideMark/>
          </w:tcPr>
          <w:p w14:paraId="3ED78716"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304,400</w:t>
            </w:r>
          </w:p>
        </w:tc>
        <w:tc>
          <w:tcPr>
            <w:tcW w:w="855" w:type="dxa"/>
            <w:tcBorders>
              <w:top w:val="nil"/>
              <w:left w:val="nil"/>
              <w:bottom w:val="single" w:sz="4" w:space="0" w:color="auto"/>
              <w:right w:val="nil"/>
            </w:tcBorders>
            <w:shd w:val="clear" w:color="000000" w:fill="FFE699"/>
            <w:noWrap/>
            <w:vAlign w:val="center"/>
            <w:hideMark/>
          </w:tcPr>
          <w:p w14:paraId="6D662CDC"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325,500</w:t>
            </w:r>
          </w:p>
        </w:tc>
        <w:tc>
          <w:tcPr>
            <w:tcW w:w="854" w:type="dxa"/>
            <w:tcBorders>
              <w:top w:val="nil"/>
              <w:left w:val="single" w:sz="4" w:space="0" w:color="auto"/>
              <w:bottom w:val="single" w:sz="4" w:space="0" w:color="auto"/>
              <w:right w:val="single" w:sz="4" w:space="0" w:color="auto"/>
            </w:tcBorders>
            <w:shd w:val="clear" w:color="000000" w:fill="FFE699"/>
            <w:noWrap/>
            <w:vAlign w:val="center"/>
            <w:hideMark/>
          </w:tcPr>
          <w:p w14:paraId="03D3D3E9"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343,900</w:t>
            </w:r>
          </w:p>
        </w:tc>
        <w:tc>
          <w:tcPr>
            <w:tcW w:w="854" w:type="dxa"/>
            <w:tcBorders>
              <w:top w:val="nil"/>
              <w:left w:val="nil"/>
              <w:bottom w:val="single" w:sz="4" w:space="0" w:color="auto"/>
              <w:right w:val="nil"/>
            </w:tcBorders>
            <w:shd w:val="clear" w:color="000000" w:fill="BFBFBF"/>
            <w:noWrap/>
            <w:vAlign w:val="center"/>
            <w:hideMark/>
          </w:tcPr>
          <w:p w14:paraId="707538FB" w14:textId="77777777" w:rsidR="002C11DC" w:rsidRPr="002522F2" w:rsidRDefault="002C11DC" w:rsidP="002522F2">
            <w:pPr>
              <w:pStyle w:val="FSRnormal"/>
              <w:spacing w:before="0" w:after="0"/>
              <w:jc w:val="right"/>
              <w:rPr>
                <w:rFonts w:cs="Arial"/>
                <w:color w:val="000000"/>
                <w:sz w:val="16"/>
                <w:szCs w:val="16"/>
                <w:lang w:eastAsia="zh-CN" w:bidi="th-TH"/>
              </w:rPr>
            </w:pPr>
            <w:r w:rsidRPr="002522F2">
              <w:rPr>
                <w:rFonts w:cs="Arial"/>
                <w:color w:val="000000"/>
                <w:sz w:val="16"/>
                <w:szCs w:val="16"/>
                <w:lang w:eastAsia="zh-CN" w:bidi="th-TH"/>
              </w:rPr>
              <w:t> </w:t>
            </w:r>
          </w:p>
        </w:tc>
        <w:tc>
          <w:tcPr>
            <w:tcW w:w="855" w:type="dxa"/>
            <w:tcBorders>
              <w:top w:val="nil"/>
              <w:left w:val="nil"/>
              <w:bottom w:val="single" w:sz="4" w:space="0" w:color="auto"/>
              <w:right w:val="nil"/>
            </w:tcBorders>
            <w:shd w:val="clear" w:color="000000" w:fill="BFBFBF"/>
            <w:noWrap/>
            <w:vAlign w:val="center"/>
            <w:hideMark/>
          </w:tcPr>
          <w:p w14:paraId="5C17DCE2" w14:textId="77777777" w:rsidR="002C11DC" w:rsidRPr="002522F2" w:rsidRDefault="002C11DC" w:rsidP="002522F2">
            <w:pPr>
              <w:pStyle w:val="FSRnormal"/>
              <w:spacing w:before="0" w:after="0"/>
              <w:jc w:val="right"/>
              <w:rPr>
                <w:rFonts w:cs="Arial"/>
                <w:i/>
                <w:iCs/>
                <w:color w:val="000000"/>
                <w:sz w:val="16"/>
                <w:szCs w:val="16"/>
                <w:lang w:eastAsia="zh-CN" w:bidi="th-TH"/>
              </w:rPr>
            </w:pPr>
            <w:r w:rsidRPr="002522F2">
              <w:rPr>
                <w:rFonts w:cs="Arial"/>
                <w:i/>
                <w:iCs/>
                <w:color w:val="000000"/>
                <w:sz w:val="16"/>
                <w:szCs w:val="16"/>
                <w:lang w:eastAsia="zh-CN" w:bidi="th-TH"/>
              </w:rPr>
              <w:t> </w:t>
            </w:r>
          </w:p>
        </w:tc>
        <w:tc>
          <w:tcPr>
            <w:tcW w:w="854" w:type="dxa"/>
            <w:tcBorders>
              <w:top w:val="nil"/>
              <w:left w:val="nil"/>
              <w:bottom w:val="single" w:sz="4" w:space="0" w:color="auto"/>
              <w:right w:val="nil"/>
            </w:tcBorders>
            <w:shd w:val="clear" w:color="000000" w:fill="BFBFBF"/>
            <w:noWrap/>
            <w:vAlign w:val="center"/>
            <w:hideMark/>
          </w:tcPr>
          <w:p w14:paraId="1A81B2EE" w14:textId="77777777" w:rsidR="002C11DC" w:rsidRPr="002522F2" w:rsidRDefault="002C11DC" w:rsidP="002522F2">
            <w:pPr>
              <w:pStyle w:val="FSRnormal"/>
              <w:spacing w:before="0" w:after="0"/>
              <w:jc w:val="right"/>
              <w:rPr>
                <w:rFonts w:cs="Arial"/>
                <w:i/>
                <w:iCs/>
                <w:color w:val="000000"/>
                <w:sz w:val="16"/>
                <w:szCs w:val="16"/>
                <w:lang w:eastAsia="zh-CN" w:bidi="th-TH"/>
              </w:rPr>
            </w:pPr>
            <w:r w:rsidRPr="002522F2">
              <w:rPr>
                <w:rFonts w:cs="Arial"/>
                <w:i/>
                <w:iCs/>
                <w:color w:val="000000"/>
                <w:sz w:val="16"/>
                <w:szCs w:val="16"/>
                <w:lang w:eastAsia="zh-CN" w:bidi="th-TH"/>
              </w:rPr>
              <w:t> </w:t>
            </w:r>
          </w:p>
        </w:tc>
        <w:tc>
          <w:tcPr>
            <w:tcW w:w="855" w:type="dxa"/>
            <w:tcBorders>
              <w:top w:val="nil"/>
              <w:left w:val="nil"/>
              <w:bottom w:val="single" w:sz="4" w:space="0" w:color="auto"/>
              <w:right w:val="single" w:sz="4" w:space="0" w:color="auto"/>
            </w:tcBorders>
            <w:shd w:val="clear" w:color="000000" w:fill="BFBFBF"/>
            <w:noWrap/>
            <w:vAlign w:val="center"/>
            <w:hideMark/>
          </w:tcPr>
          <w:p w14:paraId="7CBA0C5B" w14:textId="77777777" w:rsidR="002C11DC" w:rsidRPr="002522F2" w:rsidRDefault="002C11DC" w:rsidP="002522F2">
            <w:pPr>
              <w:pStyle w:val="FSRnormal"/>
              <w:spacing w:before="0" w:after="0"/>
              <w:jc w:val="right"/>
              <w:rPr>
                <w:rFonts w:cs="Arial"/>
                <w:i/>
                <w:iCs/>
                <w:color w:val="000000"/>
                <w:sz w:val="16"/>
                <w:szCs w:val="16"/>
                <w:lang w:eastAsia="zh-CN" w:bidi="th-TH"/>
              </w:rPr>
            </w:pPr>
            <w:r w:rsidRPr="002522F2">
              <w:rPr>
                <w:rFonts w:cs="Arial"/>
                <w:i/>
                <w:iCs/>
                <w:color w:val="000000"/>
                <w:sz w:val="16"/>
                <w:szCs w:val="16"/>
                <w:lang w:eastAsia="zh-CN" w:bidi="th-TH"/>
              </w:rPr>
              <w:t> </w:t>
            </w:r>
          </w:p>
        </w:tc>
      </w:tr>
      <w:tr w:rsidR="00CC02CC" w:rsidRPr="002522F2" w14:paraId="6AE2EA99" w14:textId="77777777" w:rsidTr="00E365B4">
        <w:trPr>
          <w:trHeight w:val="22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220B5FF0" w14:textId="77777777" w:rsidR="00CC02CC" w:rsidRPr="002522F2" w:rsidRDefault="00CC02CC" w:rsidP="00E365B4">
            <w:pPr>
              <w:pStyle w:val="FSRnormal"/>
              <w:spacing w:before="0" w:after="0"/>
              <w:rPr>
                <w:rFonts w:cs="Arial"/>
                <w:sz w:val="16"/>
                <w:szCs w:val="16"/>
                <w:lang w:eastAsia="zh-CN" w:bidi="th-TH"/>
              </w:rPr>
            </w:pPr>
            <w:r w:rsidRPr="002522F2">
              <w:rPr>
                <w:rFonts w:cs="Arial"/>
                <w:sz w:val="16"/>
                <w:szCs w:val="16"/>
                <w:lang w:eastAsia="zh-CN" w:bidi="th-TH"/>
              </w:rPr>
              <w:t>Actual average participant payments compared with AFSR</w:t>
            </w:r>
            <w:r>
              <w:rPr>
                <w:rFonts w:cs="Arial"/>
                <w:sz w:val="16"/>
                <w:szCs w:val="16"/>
                <w:lang w:eastAsia="zh-CN" w:bidi="th-TH"/>
              </w:rPr>
              <w:t xml:space="preserve"> ($)</w:t>
            </w:r>
          </w:p>
        </w:tc>
        <w:tc>
          <w:tcPr>
            <w:tcW w:w="854" w:type="dxa"/>
            <w:tcBorders>
              <w:top w:val="nil"/>
              <w:left w:val="nil"/>
              <w:bottom w:val="single" w:sz="4" w:space="0" w:color="auto"/>
              <w:right w:val="nil"/>
            </w:tcBorders>
            <w:shd w:val="clear" w:color="000000" w:fill="FFE699"/>
            <w:noWrap/>
            <w:vAlign w:val="center"/>
            <w:hideMark/>
          </w:tcPr>
          <w:p w14:paraId="296C3F20" w14:textId="77777777" w:rsidR="00CC02CC" w:rsidRPr="002522F2" w:rsidRDefault="00CC02CC" w:rsidP="00E365B4">
            <w:pPr>
              <w:pStyle w:val="FSRnormal"/>
              <w:spacing w:before="0" w:after="0"/>
              <w:jc w:val="right"/>
              <w:rPr>
                <w:rFonts w:cs="Arial"/>
                <w:sz w:val="16"/>
                <w:szCs w:val="16"/>
                <w:lang w:eastAsia="zh-CN" w:bidi="th-TH"/>
              </w:rPr>
            </w:pPr>
            <w:r w:rsidRPr="002522F2">
              <w:rPr>
                <w:rFonts w:cs="Arial"/>
                <w:sz w:val="16"/>
                <w:szCs w:val="16"/>
                <w:lang w:eastAsia="zh-CN" w:bidi="th-TH"/>
              </w:rPr>
              <w:t>-5,400</w:t>
            </w:r>
          </w:p>
        </w:tc>
        <w:tc>
          <w:tcPr>
            <w:tcW w:w="854" w:type="dxa"/>
            <w:tcBorders>
              <w:top w:val="nil"/>
              <w:left w:val="nil"/>
              <w:bottom w:val="single" w:sz="4" w:space="0" w:color="auto"/>
              <w:right w:val="nil"/>
            </w:tcBorders>
            <w:shd w:val="clear" w:color="000000" w:fill="FFE699"/>
            <w:noWrap/>
            <w:vAlign w:val="center"/>
            <w:hideMark/>
          </w:tcPr>
          <w:p w14:paraId="38BE664C" w14:textId="77777777" w:rsidR="00CC02CC" w:rsidRPr="002522F2" w:rsidRDefault="00CC02CC" w:rsidP="00E365B4">
            <w:pPr>
              <w:pStyle w:val="FSRnormal"/>
              <w:spacing w:before="0" w:after="0"/>
              <w:jc w:val="right"/>
              <w:rPr>
                <w:rFonts w:cs="Arial"/>
                <w:sz w:val="16"/>
                <w:szCs w:val="16"/>
                <w:lang w:eastAsia="zh-CN" w:bidi="th-TH"/>
              </w:rPr>
            </w:pPr>
            <w:r w:rsidRPr="002522F2">
              <w:rPr>
                <w:rFonts w:cs="Arial"/>
                <w:sz w:val="16"/>
                <w:szCs w:val="16"/>
                <w:lang w:eastAsia="zh-CN" w:bidi="th-TH"/>
              </w:rPr>
              <w:t>41,800</w:t>
            </w:r>
          </w:p>
        </w:tc>
        <w:tc>
          <w:tcPr>
            <w:tcW w:w="855" w:type="dxa"/>
            <w:tcBorders>
              <w:top w:val="nil"/>
              <w:left w:val="nil"/>
              <w:bottom w:val="single" w:sz="4" w:space="0" w:color="auto"/>
              <w:right w:val="nil"/>
            </w:tcBorders>
            <w:shd w:val="clear" w:color="000000" w:fill="FFE699"/>
            <w:noWrap/>
            <w:vAlign w:val="center"/>
            <w:hideMark/>
          </w:tcPr>
          <w:p w14:paraId="7B6749DF" w14:textId="77777777" w:rsidR="00CC02CC" w:rsidRPr="002522F2" w:rsidRDefault="00CC02CC" w:rsidP="00E365B4">
            <w:pPr>
              <w:pStyle w:val="FSRnormal"/>
              <w:spacing w:before="0" w:after="0"/>
              <w:jc w:val="right"/>
              <w:rPr>
                <w:rFonts w:cs="Arial"/>
                <w:sz w:val="16"/>
                <w:szCs w:val="16"/>
                <w:lang w:eastAsia="zh-CN" w:bidi="th-TH"/>
              </w:rPr>
            </w:pPr>
            <w:r w:rsidRPr="002522F2">
              <w:rPr>
                <w:rFonts w:cs="Arial"/>
                <w:sz w:val="16"/>
                <w:szCs w:val="16"/>
                <w:lang w:eastAsia="zh-CN" w:bidi="th-TH"/>
              </w:rPr>
              <w:t>6,300</w:t>
            </w:r>
          </w:p>
        </w:tc>
        <w:tc>
          <w:tcPr>
            <w:tcW w:w="854" w:type="dxa"/>
            <w:tcBorders>
              <w:top w:val="nil"/>
              <w:left w:val="single" w:sz="4" w:space="0" w:color="auto"/>
              <w:bottom w:val="single" w:sz="4" w:space="0" w:color="auto"/>
              <w:right w:val="single" w:sz="4" w:space="0" w:color="auto"/>
            </w:tcBorders>
            <w:shd w:val="clear" w:color="000000" w:fill="FFE699"/>
            <w:noWrap/>
            <w:vAlign w:val="center"/>
            <w:hideMark/>
          </w:tcPr>
          <w:p w14:paraId="4489EF2A" w14:textId="77777777" w:rsidR="00CC02CC" w:rsidRPr="002522F2" w:rsidRDefault="00CC02CC" w:rsidP="00E365B4">
            <w:pPr>
              <w:pStyle w:val="FSRnormal"/>
              <w:spacing w:before="0" w:after="0"/>
              <w:jc w:val="right"/>
              <w:rPr>
                <w:rFonts w:cs="Arial"/>
                <w:sz w:val="16"/>
                <w:szCs w:val="16"/>
                <w:lang w:eastAsia="zh-CN" w:bidi="th-TH"/>
              </w:rPr>
            </w:pPr>
            <w:r w:rsidRPr="002522F2">
              <w:rPr>
                <w:rFonts w:cs="Arial"/>
                <w:sz w:val="16"/>
                <w:szCs w:val="16"/>
                <w:lang w:eastAsia="zh-CN" w:bidi="th-TH"/>
              </w:rPr>
              <w:t>900</w:t>
            </w:r>
          </w:p>
        </w:tc>
        <w:tc>
          <w:tcPr>
            <w:tcW w:w="854" w:type="dxa"/>
            <w:tcBorders>
              <w:top w:val="nil"/>
              <w:left w:val="nil"/>
              <w:bottom w:val="single" w:sz="4" w:space="0" w:color="auto"/>
              <w:right w:val="nil"/>
            </w:tcBorders>
            <w:shd w:val="clear" w:color="000000" w:fill="BFBFBF"/>
            <w:noWrap/>
            <w:vAlign w:val="center"/>
            <w:hideMark/>
          </w:tcPr>
          <w:p w14:paraId="7AA90189" w14:textId="77777777" w:rsidR="00CC02CC" w:rsidRPr="002522F2" w:rsidRDefault="00CC02CC" w:rsidP="00E365B4">
            <w:pPr>
              <w:pStyle w:val="FSRnormal"/>
              <w:spacing w:before="0" w:after="0"/>
              <w:jc w:val="right"/>
              <w:rPr>
                <w:rFonts w:cs="Arial"/>
                <w:sz w:val="16"/>
                <w:szCs w:val="16"/>
                <w:lang w:eastAsia="zh-CN" w:bidi="th-TH"/>
              </w:rPr>
            </w:pPr>
            <w:r w:rsidRPr="002522F2">
              <w:rPr>
                <w:rFonts w:cs="Arial"/>
                <w:sz w:val="16"/>
                <w:szCs w:val="16"/>
                <w:lang w:eastAsia="zh-CN" w:bidi="th-TH"/>
              </w:rPr>
              <w:t> </w:t>
            </w:r>
          </w:p>
        </w:tc>
        <w:tc>
          <w:tcPr>
            <w:tcW w:w="855" w:type="dxa"/>
            <w:tcBorders>
              <w:top w:val="nil"/>
              <w:left w:val="nil"/>
              <w:bottom w:val="single" w:sz="4" w:space="0" w:color="auto"/>
              <w:right w:val="nil"/>
            </w:tcBorders>
            <w:shd w:val="clear" w:color="000000" w:fill="BFBFBF"/>
            <w:noWrap/>
            <w:vAlign w:val="center"/>
            <w:hideMark/>
          </w:tcPr>
          <w:p w14:paraId="40ACD876" w14:textId="77777777" w:rsidR="00CC02CC" w:rsidRPr="002522F2" w:rsidRDefault="00CC02CC" w:rsidP="00E365B4">
            <w:pPr>
              <w:pStyle w:val="FSRnormal"/>
              <w:spacing w:before="0" w:after="0"/>
              <w:jc w:val="right"/>
              <w:rPr>
                <w:rFonts w:cs="Arial"/>
                <w:sz w:val="16"/>
                <w:szCs w:val="16"/>
                <w:lang w:eastAsia="zh-CN" w:bidi="th-TH"/>
              </w:rPr>
            </w:pPr>
            <w:r w:rsidRPr="002522F2">
              <w:rPr>
                <w:rFonts w:cs="Arial"/>
                <w:sz w:val="16"/>
                <w:szCs w:val="16"/>
                <w:lang w:eastAsia="zh-CN" w:bidi="th-TH"/>
              </w:rPr>
              <w:t> </w:t>
            </w:r>
          </w:p>
        </w:tc>
        <w:tc>
          <w:tcPr>
            <w:tcW w:w="854" w:type="dxa"/>
            <w:tcBorders>
              <w:top w:val="nil"/>
              <w:left w:val="nil"/>
              <w:bottom w:val="single" w:sz="4" w:space="0" w:color="auto"/>
              <w:right w:val="nil"/>
            </w:tcBorders>
            <w:shd w:val="clear" w:color="000000" w:fill="BFBFBF"/>
            <w:noWrap/>
            <w:vAlign w:val="center"/>
            <w:hideMark/>
          </w:tcPr>
          <w:p w14:paraId="41F8EBBA" w14:textId="77777777" w:rsidR="00CC02CC" w:rsidRPr="002522F2" w:rsidRDefault="00CC02CC" w:rsidP="00E365B4">
            <w:pPr>
              <w:pStyle w:val="FSRnormal"/>
              <w:spacing w:before="0" w:after="0"/>
              <w:jc w:val="right"/>
              <w:rPr>
                <w:rFonts w:cs="Arial"/>
                <w:sz w:val="16"/>
                <w:szCs w:val="16"/>
                <w:lang w:eastAsia="zh-CN" w:bidi="th-TH"/>
              </w:rPr>
            </w:pPr>
            <w:r w:rsidRPr="002522F2">
              <w:rPr>
                <w:rFonts w:cs="Arial"/>
                <w:sz w:val="16"/>
                <w:szCs w:val="16"/>
                <w:lang w:eastAsia="zh-CN" w:bidi="th-TH"/>
              </w:rPr>
              <w:t> </w:t>
            </w:r>
          </w:p>
        </w:tc>
        <w:tc>
          <w:tcPr>
            <w:tcW w:w="855" w:type="dxa"/>
            <w:tcBorders>
              <w:top w:val="nil"/>
              <w:left w:val="nil"/>
              <w:bottom w:val="single" w:sz="4" w:space="0" w:color="auto"/>
              <w:right w:val="single" w:sz="4" w:space="0" w:color="auto"/>
            </w:tcBorders>
            <w:shd w:val="clear" w:color="000000" w:fill="BFBFBF"/>
            <w:noWrap/>
            <w:vAlign w:val="center"/>
            <w:hideMark/>
          </w:tcPr>
          <w:p w14:paraId="057815A4" w14:textId="77777777" w:rsidR="00CC02CC" w:rsidRPr="002522F2" w:rsidRDefault="00CC02CC" w:rsidP="00E365B4">
            <w:pPr>
              <w:pStyle w:val="FSRnormal"/>
              <w:spacing w:before="0" w:after="0"/>
              <w:jc w:val="right"/>
              <w:rPr>
                <w:rFonts w:cs="Arial"/>
                <w:sz w:val="16"/>
                <w:szCs w:val="16"/>
                <w:lang w:eastAsia="zh-CN" w:bidi="th-TH"/>
              </w:rPr>
            </w:pPr>
            <w:r w:rsidRPr="002522F2">
              <w:rPr>
                <w:rFonts w:cs="Arial"/>
                <w:sz w:val="16"/>
                <w:szCs w:val="16"/>
                <w:lang w:eastAsia="zh-CN" w:bidi="th-TH"/>
              </w:rPr>
              <w:t> </w:t>
            </w:r>
          </w:p>
        </w:tc>
      </w:tr>
      <w:tr w:rsidR="00CC02CC" w:rsidRPr="002522F2" w14:paraId="5E27D43C" w14:textId="77777777" w:rsidTr="002522F2">
        <w:trPr>
          <w:trHeight w:val="225"/>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1E4EEE5D" w14:textId="77777777" w:rsidR="00CC02CC" w:rsidRDefault="00CC02CC" w:rsidP="00CC02CC">
            <w:pPr>
              <w:pStyle w:val="FSRnormal"/>
              <w:spacing w:before="0" w:after="0"/>
              <w:rPr>
                <w:rFonts w:cs="Arial"/>
                <w:sz w:val="16"/>
                <w:szCs w:val="16"/>
                <w:lang w:eastAsia="zh-CN" w:bidi="th-TH"/>
              </w:rPr>
            </w:pPr>
            <w:bookmarkStart w:id="445" w:name="_Toc112428116"/>
            <w:r w:rsidRPr="002522F2">
              <w:rPr>
                <w:rFonts w:cs="Arial"/>
                <w:sz w:val="16"/>
                <w:szCs w:val="16"/>
                <w:lang w:eastAsia="zh-CN" w:bidi="th-TH"/>
              </w:rPr>
              <w:t>Actual average participant payments compared with AFSR</w:t>
            </w:r>
            <w:bookmarkEnd w:id="445"/>
            <w:r>
              <w:rPr>
                <w:rFonts w:cs="Arial"/>
                <w:sz w:val="16"/>
                <w:szCs w:val="16"/>
                <w:lang w:eastAsia="zh-CN" w:bidi="th-TH"/>
              </w:rPr>
              <w:t xml:space="preserve"> (%)</w:t>
            </w:r>
          </w:p>
          <w:p w14:paraId="551B2626" w14:textId="77777777" w:rsidR="00CC02CC" w:rsidRPr="00F830E6" w:rsidRDefault="00CC02CC" w:rsidP="00CC02CC">
            <w:pPr>
              <w:pStyle w:val="FSRnormal"/>
              <w:spacing w:before="0" w:after="0"/>
              <w:rPr>
                <w:rFonts w:cs="Arial"/>
                <w:i/>
                <w:sz w:val="16"/>
                <w:szCs w:val="16"/>
                <w:lang w:eastAsia="zh-CN" w:bidi="th-TH"/>
              </w:rPr>
            </w:pPr>
            <w:r>
              <w:rPr>
                <w:rFonts w:cs="Arial"/>
                <w:i/>
                <w:sz w:val="16"/>
                <w:szCs w:val="16"/>
                <w:lang w:eastAsia="zh-CN" w:bidi="th-TH"/>
              </w:rPr>
              <w:t>(Actual – AFSR projection) / Actual</w:t>
            </w:r>
          </w:p>
        </w:tc>
        <w:tc>
          <w:tcPr>
            <w:tcW w:w="854" w:type="dxa"/>
            <w:tcBorders>
              <w:top w:val="nil"/>
              <w:left w:val="nil"/>
              <w:bottom w:val="single" w:sz="4" w:space="0" w:color="auto"/>
              <w:right w:val="nil"/>
            </w:tcBorders>
            <w:shd w:val="clear" w:color="000000" w:fill="FFE699"/>
            <w:noWrap/>
            <w:vAlign w:val="center"/>
            <w:hideMark/>
          </w:tcPr>
          <w:p w14:paraId="0D935AC5" w14:textId="77777777" w:rsidR="00CC02CC" w:rsidRPr="002522F2" w:rsidRDefault="00CC02CC" w:rsidP="00CC02CC">
            <w:pPr>
              <w:pStyle w:val="FSRnormal"/>
              <w:spacing w:before="0" w:after="0"/>
              <w:jc w:val="right"/>
              <w:rPr>
                <w:rFonts w:cs="Arial"/>
                <w:sz w:val="16"/>
                <w:szCs w:val="16"/>
                <w:lang w:eastAsia="zh-CN" w:bidi="th-TH"/>
              </w:rPr>
            </w:pPr>
            <w:bookmarkStart w:id="446" w:name="_Toc112428117"/>
            <w:r>
              <w:rPr>
                <w:rFonts w:cs="Arial"/>
                <w:color w:val="000000"/>
                <w:sz w:val="16"/>
                <w:szCs w:val="16"/>
              </w:rPr>
              <w:t>-2.1%</w:t>
            </w:r>
            <w:bookmarkEnd w:id="446"/>
          </w:p>
        </w:tc>
        <w:tc>
          <w:tcPr>
            <w:tcW w:w="854" w:type="dxa"/>
            <w:tcBorders>
              <w:top w:val="nil"/>
              <w:left w:val="nil"/>
              <w:bottom w:val="single" w:sz="4" w:space="0" w:color="auto"/>
              <w:right w:val="nil"/>
            </w:tcBorders>
            <w:shd w:val="clear" w:color="000000" w:fill="FFE699"/>
            <w:noWrap/>
            <w:vAlign w:val="center"/>
            <w:hideMark/>
          </w:tcPr>
          <w:p w14:paraId="690DFEAC" w14:textId="77777777" w:rsidR="00CC02CC" w:rsidRPr="002522F2" w:rsidRDefault="00CC02CC" w:rsidP="00CC02CC">
            <w:pPr>
              <w:pStyle w:val="FSRnormal"/>
              <w:spacing w:before="0" w:after="0"/>
              <w:jc w:val="right"/>
              <w:rPr>
                <w:rFonts w:cs="Arial"/>
                <w:sz w:val="16"/>
                <w:szCs w:val="16"/>
                <w:lang w:eastAsia="zh-CN" w:bidi="th-TH"/>
              </w:rPr>
            </w:pPr>
            <w:bookmarkStart w:id="447" w:name="_Toc112428118"/>
            <w:r>
              <w:rPr>
                <w:rFonts w:cs="Arial"/>
                <w:color w:val="000000"/>
                <w:sz w:val="16"/>
                <w:szCs w:val="16"/>
              </w:rPr>
              <w:t>13.7%</w:t>
            </w:r>
            <w:bookmarkEnd w:id="447"/>
          </w:p>
        </w:tc>
        <w:tc>
          <w:tcPr>
            <w:tcW w:w="855" w:type="dxa"/>
            <w:tcBorders>
              <w:top w:val="nil"/>
              <w:left w:val="nil"/>
              <w:bottom w:val="single" w:sz="4" w:space="0" w:color="auto"/>
              <w:right w:val="nil"/>
            </w:tcBorders>
            <w:shd w:val="clear" w:color="000000" w:fill="FFE699"/>
            <w:noWrap/>
            <w:vAlign w:val="center"/>
            <w:hideMark/>
          </w:tcPr>
          <w:p w14:paraId="58EFF4C9" w14:textId="77777777" w:rsidR="00CC02CC" w:rsidRPr="002522F2" w:rsidRDefault="00CC02CC" w:rsidP="00CC02CC">
            <w:pPr>
              <w:pStyle w:val="FSRnormal"/>
              <w:spacing w:before="0" w:after="0"/>
              <w:jc w:val="right"/>
              <w:rPr>
                <w:rFonts w:cs="Arial"/>
                <w:sz w:val="16"/>
                <w:szCs w:val="16"/>
                <w:lang w:eastAsia="zh-CN" w:bidi="th-TH"/>
              </w:rPr>
            </w:pPr>
            <w:bookmarkStart w:id="448" w:name="_Toc112428119"/>
            <w:r>
              <w:rPr>
                <w:rFonts w:cs="Arial"/>
                <w:color w:val="000000"/>
                <w:sz w:val="16"/>
                <w:szCs w:val="16"/>
              </w:rPr>
              <w:t>2.0%</w:t>
            </w:r>
            <w:bookmarkEnd w:id="448"/>
          </w:p>
        </w:tc>
        <w:tc>
          <w:tcPr>
            <w:tcW w:w="854" w:type="dxa"/>
            <w:tcBorders>
              <w:top w:val="nil"/>
              <w:left w:val="single" w:sz="4" w:space="0" w:color="auto"/>
              <w:bottom w:val="single" w:sz="4" w:space="0" w:color="auto"/>
              <w:right w:val="single" w:sz="4" w:space="0" w:color="auto"/>
            </w:tcBorders>
            <w:shd w:val="clear" w:color="000000" w:fill="FFE699"/>
            <w:noWrap/>
            <w:vAlign w:val="center"/>
            <w:hideMark/>
          </w:tcPr>
          <w:p w14:paraId="088E96DE" w14:textId="77777777" w:rsidR="00CC02CC" w:rsidRPr="002522F2" w:rsidRDefault="00CC02CC" w:rsidP="00CC02CC">
            <w:pPr>
              <w:pStyle w:val="FSRnormal"/>
              <w:spacing w:before="0" w:after="0"/>
              <w:jc w:val="right"/>
              <w:rPr>
                <w:rFonts w:cs="Arial"/>
                <w:sz w:val="16"/>
                <w:szCs w:val="16"/>
                <w:lang w:eastAsia="zh-CN" w:bidi="th-TH"/>
              </w:rPr>
            </w:pPr>
            <w:bookmarkStart w:id="449" w:name="_Toc112428120"/>
            <w:r>
              <w:rPr>
                <w:rFonts w:cs="Arial"/>
                <w:color w:val="000000"/>
                <w:sz w:val="16"/>
                <w:szCs w:val="16"/>
              </w:rPr>
              <w:t>0.2%</w:t>
            </w:r>
            <w:bookmarkEnd w:id="449"/>
          </w:p>
        </w:tc>
        <w:tc>
          <w:tcPr>
            <w:tcW w:w="854" w:type="dxa"/>
            <w:tcBorders>
              <w:top w:val="nil"/>
              <w:left w:val="nil"/>
              <w:bottom w:val="single" w:sz="4" w:space="0" w:color="auto"/>
              <w:right w:val="nil"/>
            </w:tcBorders>
            <w:shd w:val="clear" w:color="000000" w:fill="BFBFBF"/>
            <w:noWrap/>
            <w:vAlign w:val="center"/>
            <w:hideMark/>
          </w:tcPr>
          <w:p w14:paraId="613E7FF0" w14:textId="77777777" w:rsidR="00CC02CC" w:rsidRPr="002522F2" w:rsidRDefault="00CC02CC" w:rsidP="00CC02CC">
            <w:pPr>
              <w:pStyle w:val="FSRnormal"/>
              <w:spacing w:before="0" w:after="0"/>
              <w:jc w:val="right"/>
              <w:rPr>
                <w:rFonts w:cs="Arial"/>
                <w:sz w:val="16"/>
                <w:szCs w:val="16"/>
                <w:lang w:eastAsia="zh-CN" w:bidi="th-TH"/>
              </w:rPr>
            </w:pPr>
            <w:r w:rsidRPr="002522F2">
              <w:rPr>
                <w:rFonts w:cs="Arial"/>
                <w:sz w:val="16"/>
                <w:szCs w:val="16"/>
                <w:lang w:eastAsia="zh-CN" w:bidi="th-TH"/>
              </w:rPr>
              <w:t> </w:t>
            </w:r>
          </w:p>
        </w:tc>
        <w:tc>
          <w:tcPr>
            <w:tcW w:w="855" w:type="dxa"/>
            <w:tcBorders>
              <w:top w:val="nil"/>
              <w:left w:val="nil"/>
              <w:bottom w:val="single" w:sz="4" w:space="0" w:color="auto"/>
              <w:right w:val="nil"/>
            </w:tcBorders>
            <w:shd w:val="clear" w:color="000000" w:fill="BFBFBF"/>
            <w:noWrap/>
            <w:vAlign w:val="center"/>
            <w:hideMark/>
          </w:tcPr>
          <w:p w14:paraId="35BF0A5B" w14:textId="77777777" w:rsidR="00CC02CC" w:rsidRPr="002522F2" w:rsidRDefault="00CC02CC" w:rsidP="00CC02CC">
            <w:pPr>
              <w:pStyle w:val="FSRnormal"/>
              <w:spacing w:before="0" w:after="0"/>
              <w:jc w:val="right"/>
              <w:rPr>
                <w:rFonts w:cs="Arial"/>
                <w:sz w:val="16"/>
                <w:szCs w:val="16"/>
                <w:lang w:eastAsia="zh-CN" w:bidi="th-TH"/>
              </w:rPr>
            </w:pPr>
            <w:r w:rsidRPr="002522F2">
              <w:rPr>
                <w:rFonts w:cs="Arial"/>
                <w:sz w:val="16"/>
                <w:szCs w:val="16"/>
                <w:lang w:eastAsia="zh-CN" w:bidi="th-TH"/>
              </w:rPr>
              <w:t> </w:t>
            </w:r>
          </w:p>
        </w:tc>
        <w:tc>
          <w:tcPr>
            <w:tcW w:w="854" w:type="dxa"/>
            <w:tcBorders>
              <w:top w:val="nil"/>
              <w:left w:val="nil"/>
              <w:bottom w:val="single" w:sz="4" w:space="0" w:color="auto"/>
              <w:right w:val="nil"/>
            </w:tcBorders>
            <w:shd w:val="clear" w:color="000000" w:fill="BFBFBF"/>
            <w:noWrap/>
            <w:vAlign w:val="center"/>
            <w:hideMark/>
          </w:tcPr>
          <w:p w14:paraId="7CFD1BAC" w14:textId="77777777" w:rsidR="00CC02CC" w:rsidRPr="002522F2" w:rsidRDefault="00CC02CC" w:rsidP="00CC02CC">
            <w:pPr>
              <w:pStyle w:val="FSRnormal"/>
              <w:spacing w:before="0" w:after="0"/>
              <w:jc w:val="right"/>
              <w:rPr>
                <w:rFonts w:cs="Arial"/>
                <w:sz w:val="16"/>
                <w:szCs w:val="16"/>
                <w:lang w:eastAsia="zh-CN" w:bidi="th-TH"/>
              </w:rPr>
            </w:pPr>
            <w:r w:rsidRPr="002522F2">
              <w:rPr>
                <w:rFonts w:cs="Arial"/>
                <w:sz w:val="16"/>
                <w:szCs w:val="16"/>
                <w:lang w:eastAsia="zh-CN" w:bidi="th-TH"/>
              </w:rPr>
              <w:t> </w:t>
            </w:r>
          </w:p>
        </w:tc>
        <w:tc>
          <w:tcPr>
            <w:tcW w:w="855" w:type="dxa"/>
            <w:tcBorders>
              <w:top w:val="nil"/>
              <w:left w:val="nil"/>
              <w:bottom w:val="single" w:sz="4" w:space="0" w:color="auto"/>
              <w:right w:val="single" w:sz="4" w:space="0" w:color="auto"/>
            </w:tcBorders>
            <w:shd w:val="clear" w:color="000000" w:fill="BFBFBF"/>
            <w:noWrap/>
            <w:vAlign w:val="center"/>
            <w:hideMark/>
          </w:tcPr>
          <w:p w14:paraId="151B94CA" w14:textId="77777777" w:rsidR="00CC02CC" w:rsidRPr="002522F2" w:rsidRDefault="00CC02CC" w:rsidP="00CC02CC">
            <w:pPr>
              <w:pStyle w:val="FSRnormal"/>
              <w:spacing w:before="0" w:after="0"/>
              <w:jc w:val="right"/>
              <w:rPr>
                <w:rFonts w:cs="Arial"/>
                <w:sz w:val="16"/>
                <w:szCs w:val="16"/>
                <w:lang w:eastAsia="zh-CN" w:bidi="th-TH"/>
              </w:rPr>
            </w:pPr>
            <w:r w:rsidRPr="002522F2">
              <w:rPr>
                <w:rFonts w:cs="Arial"/>
                <w:sz w:val="16"/>
                <w:szCs w:val="16"/>
                <w:lang w:eastAsia="zh-CN" w:bidi="th-TH"/>
              </w:rPr>
              <w:t> </w:t>
            </w:r>
          </w:p>
        </w:tc>
      </w:tr>
    </w:tbl>
    <w:p w14:paraId="3905ED3F" w14:textId="77777777" w:rsidR="00DA3375" w:rsidRDefault="00DA3375" w:rsidP="00B5473A">
      <w:pPr>
        <w:pStyle w:val="FSRnormal"/>
      </w:pPr>
    </w:p>
    <w:p w14:paraId="336B4F7F" w14:textId="77777777" w:rsidR="00DA3375" w:rsidRDefault="00DA3375">
      <w:pPr>
        <w:spacing w:after="160" w:line="259" w:lineRule="auto"/>
      </w:pPr>
      <w:r>
        <w:br w:type="page"/>
      </w:r>
    </w:p>
    <w:p w14:paraId="36D58B29" w14:textId="77777777" w:rsidR="00AE6E60" w:rsidRDefault="00AE6E60" w:rsidP="00AE6E60">
      <w:pPr>
        <w:pStyle w:val="Heading2"/>
        <w:numPr>
          <w:ilvl w:val="0"/>
          <w:numId w:val="0"/>
        </w:numPr>
        <w:ind w:left="2835" w:hanging="2835"/>
      </w:pPr>
      <w:bookmarkStart w:id="450" w:name="_Toc83220871"/>
      <w:bookmarkStart w:id="451" w:name="_Toc84334563"/>
      <w:bookmarkStart w:id="452" w:name="_Toc118460229"/>
      <w:r>
        <w:lastRenderedPageBreak/>
        <w:t>Appendix F:</w:t>
      </w:r>
      <w:r>
        <w:tab/>
        <w:t>Scenario analysis from previous AFSRs</w:t>
      </w:r>
      <w:bookmarkEnd w:id="450"/>
      <w:bookmarkEnd w:id="451"/>
      <w:bookmarkEnd w:id="452"/>
    </w:p>
    <w:p w14:paraId="39487D6F" w14:textId="77777777" w:rsidR="00AE6E60" w:rsidRDefault="00AE6E60" w:rsidP="00DA3F73">
      <w:pPr>
        <w:pStyle w:val="FSRnormal"/>
      </w:pPr>
      <w:r w:rsidRPr="00766F41">
        <w:t xml:space="preserve">This </w:t>
      </w:r>
      <w:r>
        <w:t xml:space="preserve">section summarises the </w:t>
      </w:r>
      <w:r w:rsidR="001C24D4">
        <w:t>results of</w:t>
      </w:r>
      <w:r>
        <w:t xml:space="preserve"> projection scenarios considered in historic Annual Financial Sustainability Report projections since 2016-17. These scenarios assist in understanding the range of plausible projections based on reasonable alternative assumptions. </w:t>
      </w:r>
    </w:p>
    <w:p w14:paraId="2D00E77D" w14:textId="77777777" w:rsidR="00AE6E60" w:rsidRPr="00DA3F73" w:rsidRDefault="00AE6E60">
      <w:pPr>
        <w:pStyle w:val="FSRHeading4"/>
      </w:pPr>
      <w:r w:rsidRPr="0086703D">
        <w:t>Note on terminology</w:t>
      </w:r>
      <w:r w:rsidR="001C24D4">
        <w:t xml:space="preserve"> and term of projection</w:t>
      </w:r>
    </w:p>
    <w:p w14:paraId="16BD69EC" w14:textId="77777777" w:rsidR="00AE6E60" w:rsidRPr="00A74B93" w:rsidRDefault="00AE6E60" w:rsidP="00DA3F73">
      <w:pPr>
        <w:pStyle w:val="FSRnormal"/>
      </w:pPr>
      <w:r w:rsidRPr="00A74B93">
        <w:t>There have been several changes in terminology in the 2021-22 AFSR</w:t>
      </w:r>
      <w:r>
        <w:t xml:space="preserve"> compared with previous AFSRs. In this appendix, the original terminology has been used. In particular:</w:t>
      </w:r>
    </w:p>
    <w:p w14:paraId="7B954F75" w14:textId="77777777" w:rsidR="00AE6E60" w:rsidRDefault="00AE6E60" w:rsidP="00DA3F73">
      <w:pPr>
        <w:pStyle w:val="FSRlist"/>
      </w:pPr>
      <w:r>
        <w:t>Scheme expenses were previously referred to as ‘Total participant costs’</w:t>
      </w:r>
      <w:r w:rsidR="00547E2E">
        <w:t>;</w:t>
      </w:r>
    </w:p>
    <w:p w14:paraId="2A163BB5" w14:textId="77777777" w:rsidR="00AE6E60" w:rsidRDefault="00AE6E60" w:rsidP="00DA3F73">
      <w:pPr>
        <w:pStyle w:val="FSRlist"/>
      </w:pPr>
      <w:r>
        <w:t>Participants leaving the Scheme were previously referred to as ‘non-mortality exits’</w:t>
      </w:r>
      <w:r w:rsidR="00547E2E">
        <w:t>;</w:t>
      </w:r>
      <w:r>
        <w:t xml:space="preserve"> </w:t>
      </w:r>
    </w:p>
    <w:p w14:paraId="31FD6080" w14:textId="77777777" w:rsidR="00AE6E60" w:rsidRDefault="00AE6E60" w:rsidP="00DA3F73">
      <w:pPr>
        <w:pStyle w:val="FSRlist"/>
      </w:pPr>
      <w:r>
        <w:t xml:space="preserve">Supported Independent Living (SIL) was </w:t>
      </w:r>
      <w:r w:rsidR="00547E2E">
        <w:t xml:space="preserve">previously </w:t>
      </w:r>
      <w:r>
        <w:t>referred to as Shared Support</w:t>
      </w:r>
      <w:r w:rsidR="00547E2E">
        <w:t>ed</w:t>
      </w:r>
      <w:r>
        <w:t xml:space="preserve"> Accommodation (SSA)</w:t>
      </w:r>
      <w:r w:rsidR="00547E2E">
        <w:t>;</w:t>
      </w:r>
    </w:p>
    <w:p w14:paraId="606BEEDB" w14:textId="77777777" w:rsidR="00AE6E60" w:rsidRDefault="00AE6E60" w:rsidP="00DA3F73">
      <w:pPr>
        <w:pStyle w:val="FSRlist"/>
      </w:pPr>
      <w:r>
        <w:t xml:space="preserve">Plan budgets </w:t>
      </w:r>
      <w:r w:rsidR="00B8441E">
        <w:t>were</w:t>
      </w:r>
      <w:r w:rsidR="00547E2E">
        <w:t xml:space="preserve"> previously</w:t>
      </w:r>
      <w:r>
        <w:t xml:space="preserve"> referred to as ‘Committed supports’</w:t>
      </w:r>
      <w:r w:rsidR="00547E2E">
        <w:t>;</w:t>
      </w:r>
    </w:p>
    <w:p w14:paraId="27B73807" w14:textId="77777777" w:rsidR="00AE6E60" w:rsidRDefault="00AE6E60" w:rsidP="00DA3F73">
      <w:pPr>
        <w:pStyle w:val="FSRlist"/>
      </w:pPr>
      <w:r>
        <w:t xml:space="preserve">Additional inflation was </w:t>
      </w:r>
      <w:r w:rsidR="00547E2E">
        <w:t xml:space="preserve">previously </w:t>
      </w:r>
      <w:r>
        <w:t>referred to as ‘Superimposed inflation’.</w:t>
      </w:r>
    </w:p>
    <w:p w14:paraId="3AED30AC" w14:textId="77777777" w:rsidR="00AE6E60" w:rsidRPr="00F830E6" w:rsidRDefault="001C24D4" w:rsidP="00F830E6">
      <w:pPr>
        <w:pStyle w:val="FSRnormal"/>
        <w:rPr>
          <w:rStyle w:val="FSRnormalChar"/>
        </w:rPr>
      </w:pPr>
      <w:r w:rsidRPr="00E65453">
        <w:rPr>
          <w:bCs/>
        </w:rPr>
        <w:t>It i</w:t>
      </w:r>
      <w:r w:rsidRPr="00F830E6">
        <w:rPr>
          <w:rStyle w:val="FSRnormalChar"/>
        </w:rPr>
        <w:t>s also important to recognise that the scenarios set out in this appendix include results out to the 2029-30 period. In this AFSR however, results are generally shown out to the 2031-32 period, and therefore are not directly comparable with the scenario results presented here.</w:t>
      </w:r>
    </w:p>
    <w:p w14:paraId="3870FEF1" w14:textId="77777777" w:rsidR="0086703D" w:rsidRDefault="0086703D">
      <w:pPr>
        <w:spacing w:after="160" w:line="259" w:lineRule="auto"/>
        <w:rPr>
          <w:b/>
          <w:color w:val="6B2976"/>
          <w:sz w:val="25"/>
        </w:rPr>
      </w:pPr>
      <w:r>
        <w:br w:type="page"/>
      </w:r>
    </w:p>
    <w:p w14:paraId="61F12FD3" w14:textId="77777777" w:rsidR="00AE6E60" w:rsidRPr="0086703D" w:rsidRDefault="00AE6E60">
      <w:pPr>
        <w:pStyle w:val="FSRHeading4"/>
      </w:pPr>
      <w:r w:rsidRPr="0086703D">
        <w:lastRenderedPageBreak/>
        <w:t>2016-17 Scenarios</w:t>
      </w:r>
    </w:p>
    <w:tbl>
      <w:tblPr>
        <w:tblW w:w="9240" w:type="dxa"/>
        <w:tblLook w:val="04A0" w:firstRow="1" w:lastRow="0" w:firstColumn="1" w:lastColumn="0" w:noHBand="0" w:noVBand="1"/>
      </w:tblPr>
      <w:tblGrid>
        <w:gridCol w:w="6360"/>
        <w:gridCol w:w="960"/>
        <w:gridCol w:w="960"/>
        <w:gridCol w:w="960"/>
      </w:tblGrid>
      <w:tr w:rsidR="00AE6E60" w:rsidRPr="00C83162" w14:paraId="2071EC85" w14:textId="77777777" w:rsidTr="00DA3F73">
        <w:trPr>
          <w:trHeight w:val="300"/>
        </w:trPr>
        <w:tc>
          <w:tcPr>
            <w:tcW w:w="6360" w:type="dxa"/>
            <w:tcBorders>
              <w:top w:val="nil"/>
              <w:left w:val="nil"/>
              <w:bottom w:val="nil"/>
              <w:right w:val="nil"/>
            </w:tcBorders>
            <w:shd w:val="clear" w:color="000000" w:fill="6B2976"/>
            <w:noWrap/>
            <w:vAlign w:val="center"/>
            <w:hideMark/>
          </w:tcPr>
          <w:p w14:paraId="7CC4AE68" w14:textId="77777777" w:rsidR="00AE6E60" w:rsidRPr="00DA3F73" w:rsidRDefault="00AE6E60">
            <w:pPr>
              <w:spacing w:after="0" w:line="240" w:lineRule="auto"/>
              <w:rPr>
                <w:rFonts w:eastAsia="Times New Roman" w:cs="Arial"/>
                <w:b/>
                <w:bCs/>
                <w:color w:val="FFFFFF"/>
                <w:sz w:val="18"/>
                <w:szCs w:val="18"/>
                <w:lang w:eastAsia="en-AU"/>
              </w:rPr>
            </w:pPr>
            <w:r w:rsidRPr="00DA3F73">
              <w:rPr>
                <w:rFonts w:eastAsia="Times New Roman" w:cs="Arial"/>
                <w:b/>
                <w:bCs/>
                <w:color w:val="FFFFFF"/>
                <w:sz w:val="18"/>
                <w:szCs w:val="18"/>
                <w:lang w:eastAsia="en-AU"/>
              </w:rPr>
              <w:t>Total participant costs ($m)</w:t>
            </w:r>
          </w:p>
        </w:tc>
        <w:tc>
          <w:tcPr>
            <w:tcW w:w="960" w:type="dxa"/>
            <w:tcBorders>
              <w:top w:val="nil"/>
              <w:left w:val="nil"/>
              <w:bottom w:val="nil"/>
              <w:right w:val="nil"/>
            </w:tcBorders>
            <w:shd w:val="clear" w:color="000000" w:fill="6B2976"/>
            <w:noWrap/>
            <w:vAlign w:val="center"/>
            <w:hideMark/>
          </w:tcPr>
          <w:p w14:paraId="2063B62F" w14:textId="77777777" w:rsidR="00AE6E60" w:rsidRPr="00DA3F73" w:rsidRDefault="00AE6E60">
            <w:pPr>
              <w:spacing w:after="0" w:line="240" w:lineRule="auto"/>
              <w:jc w:val="right"/>
              <w:rPr>
                <w:rFonts w:eastAsia="Times New Roman" w:cs="Arial"/>
                <w:b/>
                <w:bCs/>
                <w:color w:val="FFFFFF"/>
                <w:sz w:val="18"/>
                <w:szCs w:val="18"/>
                <w:lang w:eastAsia="en-AU"/>
              </w:rPr>
            </w:pPr>
            <w:r w:rsidRPr="00DA3F73">
              <w:rPr>
                <w:rFonts w:eastAsia="Times New Roman" w:cs="Arial"/>
                <w:b/>
                <w:bCs/>
                <w:color w:val="FFFFFF"/>
                <w:sz w:val="18"/>
                <w:szCs w:val="18"/>
                <w:lang w:eastAsia="en-AU"/>
              </w:rPr>
              <w:t>20</w:t>
            </w:r>
            <w:r w:rsidR="00911A3E">
              <w:rPr>
                <w:rFonts w:eastAsia="Times New Roman" w:cs="Arial"/>
                <w:b/>
                <w:bCs/>
                <w:color w:val="FFFFFF"/>
                <w:sz w:val="18"/>
                <w:szCs w:val="18"/>
                <w:lang w:eastAsia="en-AU"/>
              </w:rPr>
              <w:t>19-</w:t>
            </w:r>
            <w:r w:rsidRPr="00DA3F73">
              <w:rPr>
                <w:rFonts w:eastAsia="Times New Roman" w:cs="Arial"/>
                <w:b/>
                <w:bCs/>
                <w:color w:val="FFFFFF"/>
                <w:sz w:val="18"/>
                <w:szCs w:val="18"/>
                <w:lang w:eastAsia="en-AU"/>
              </w:rPr>
              <w:t>20</w:t>
            </w:r>
          </w:p>
        </w:tc>
        <w:tc>
          <w:tcPr>
            <w:tcW w:w="960" w:type="dxa"/>
            <w:tcBorders>
              <w:top w:val="nil"/>
              <w:left w:val="nil"/>
              <w:bottom w:val="nil"/>
              <w:right w:val="nil"/>
            </w:tcBorders>
            <w:shd w:val="clear" w:color="000000" w:fill="6B2976"/>
            <w:noWrap/>
            <w:vAlign w:val="center"/>
            <w:hideMark/>
          </w:tcPr>
          <w:p w14:paraId="2C50D9DB" w14:textId="77777777" w:rsidR="00AE6E60" w:rsidRPr="00DA3F73" w:rsidRDefault="00AE6E60">
            <w:pPr>
              <w:spacing w:after="0" w:line="240" w:lineRule="auto"/>
              <w:jc w:val="right"/>
              <w:rPr>
                <w:rFonts w:eastAsia="Times New Roman" w:cs="Arial"/>
                <w:b/>
                <w:bCs/>
                <w:color w:val="FFFFFF"/>
                <w:sz w:val="18"/>
                <w:szCs w:val="18"/>
                <w:lang w:eastAsia="en-AU"/>
              </w:rPr>
            </w:pPr>
            <w:r w:rsidRPr="00DA3F73">
              <w:rPr>
                <w:rFonts w:eastAsia="Times New Roman" w:cs="Arial"/>
                <w:b/>
                <w:bCs/>
                <w:color w:val="FFFFFF"/>
                <w:sz w:val="18"/>
                <w:szCs w:val="18"/>
                <w:lang w:eastAsia="en-AU"/>
              </w:rPr>
              <w:t>20</w:t>
            </w:r>
            <w:r w:rsidR="00911A3E">
              <w:rPr>
                <w:rFonts w:eastAsia="Times New Roman" w:cs="Arial"/>
                <w:b/>
                <w:bCs/>
                <w:color w:val="FFFFFF"/>
                <w:sz w:val="18"/>
                <w:szCs w:val="18"/>
                <w:lang w:eastAsia="en-AU"/>
              </w:rPr>
              <w:t>24-</w:t>
            </w:r>
            <w:r w:rsidRPr="00DA3F73">
              <w:rPr>
                <w:rFonts w:eastAsia="Times New Roman" w:cs="Arial"/>
                <w:b/>
                <w:bCs/>
                <w:color w:val="FFFFFF"/>
                <w:sz w:val="18"/>
                <w:szCs w:val="18"/>
                <w:lang w:eastAsia="en-AU"/>
              </w:rPr>
              <w:t>25</w:t>
            </w:r>
          </w:p>
        </w:tc>
        <w:tc>
          <w:tcPr>
            <w:tcW w:w="960" w:type="dxa"/>
            <w:tcBorders>
              <w:top w:val="nil"/>
              <w:left w:val="nil"/>
              <w:bottom w:val="nil"/>
              <w:right w:val="nil"/>
            </w:tcBorders>
            <w:shd w:val="clear" w:color="000000" w:fill="6B2976"/>
            <w:noWrap/>
            <w:vAlign w:val="center"/>
            <w:hideMark/>
          </w:tcPr>
          <w:p w14:paraId="34C2638D" w14:textId="77777777" w:rsidR="00AE6E60" w:rsidRPr="00DA3F73" w:rsidRDefault="00AE6E60">
            <w:pPr>
              <w:spacing w:after="0" w:line="240" w:lineRule="auto"/>
              <w:jc w:val="right"/>
              <w:rPr>
                <w:rFonts w:eastAsia="Times New Roman" w:cs="Arial"/>
                <w:b/>
                <w:bCs/>
                <w:color w:val="FFFFFF"/>
                <w:sz w:val="18"/>
                <w:szCs w:val="18"/>
                <w:lang w:eastAsia="en-AU"/>
              </w:rPr>
            </w:pPr>
            <w:r w:rsidRPr="00DA3F73">
              <w:rPr>
                <w:rFonts w:eastAsia="Times New Roman" w:cs="Arial"/>
                <w:b/>
                <w:bCs/>
                <w:color w:val="FFFFFF"/>
                <w:sz w:val="18"/>
                <w:szCs w:val="18"/>
                <w:lang w:eastAsia="en-AU"/>
              </w:rPr>
              <w:t>20</w:t>
            </w:r>
            <w:r w:rsidR="00911A3E">
              <w:rPr>
                <w:rFonts w:eastAsia="Times New Roman" w:cs="Arial"/>
                <w:b/>
                <w:bCs/>
                <w:color w:val="FFFFFF"/>
                <w:sz w:val="18"/>
                <w:szCs w:val="18"/>
                <w:lang w:eastAsia="en-AU"/>
              </w:rPr>
              <w:t>29-</w:t>
            </w:r>
            <w:r w:rsidRPr="00DA3F73">
              <w:rPr>
                <w:rFonts w:eastAsia="Times New Roman" w:cs="Arial"/>
                <w:b/>
                <w:bCs/>
                <w:color w:val="FFFFFF"/>
                <w:sz w:val="18"/>
                <w:szCs w:val="18"/>
                <w:lang w:eastAsia="en-AU"/>
              </w:rPr>
              <w:t>30</w:t>
            </w:r>
          </w:p>
        </w:tc>
      </w:tr>
      <w:tr w:rsidR="00AE6E60" w:rsidRPr="00C83162" w14:paraId="3DF3367B" w14:textId="77777777" w:rsidTr="00AE6E60">
        <w:trPr>
          <w:trHeight w:val="315"/>
        </w:trPr>
        <w:tc>
          <w:tcPr>
            <w:tcW w:w="6360" w:type="dxa"/>
            <w:tcBorders>
              <w:top w:val="single" w:sz="4" w:space="0" w:color="auto"/>
              <w:left w:val="nil"/>
              <w:bottom w:val="single" w:sz="8" w:space="0" w:color="auto"/>
              <w:right w:val="nil"/>
            </w:tcBorders>
            <w:shd w:val="clear" w:color="auto" w:fill="auto"/>
            <w:noWrap/>
            <w:vAlign w:val="bottom"/>
            <w:hideMark/>
          </w:tcPr>
          <w:p w14:paraId="4D8B6B0E"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2016-17 Baseline</w:t>
            </w:r>
          </w:p>
        </w:tc>
        <w:tc>
          <w:tcPr>
            <w:tcW w:w="960" w:type="dxa"/>
            <w:tcBorders>
              <w:top w:val="single" w:sz="4" w:space="0" w:color="auto"/>
              <w:left w:val="nil"/>
              <w:bottom w:val="single" w:sz="8" w:space="0" w:color="auto"/>
              <w:right w:val="nil"/>
            </w:tcBorders>
            <w:shd w:val="clear" w:color="auto" w:fill="auto"/>
            <w:noWrap/>
            <w:vAlign w:val="bottom"/>
            <w:hideMark/>
          </w:tcPr>
          <w:p w14:paraId="7896CF86"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21,240</w:t>
            </w:r>
          </w:p>
        </w:tc>
        <w:tc>
          <w:tcPr>
            <w:tcW w:w="960" w:type="dxa"/>
            <w:tcBorders>
              <w:top w:val="single" w:sz="4" w:space="0" w:color="auto"/>
              <w:left w:val="nil"/>
              <w:bottom w:val="single" w:sz="8" w:space="0" w:color="auto"/>
              <w:right w:val="nil"/>
            </w:tcBorders>
            <w:shd w:val="clear" w:color="auto" w:fill="auto"/>
            <w:noWrap/>
            <w:vAlign w:val="bottom"/>
            <w:hideMark/>
          </w:tcPr>
          <w:p w14:paraId="4CA446E8"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30,492</w:t>
            </w:r>
          </w:p>
        </w:tc>
        <w:tc>
          <w:tcPr>
            <w:tcW w:w="960" w:type="dxa"/>
            <w:tcBorders>
              <w:top w:val="single" w:sz="4" w:space="0" w:color="auto"/>
              <w:left w:val="nil"/>
              <w:bottom w:val="single" w:sz="8" w:space="0" w:color="auto"/>
              <w:right w:val="nil"/>
            </w:tcBorders>
            <w:shd w:val="clear" w:color="auto" w:fill="auto"/>
            <w:noWrap/>
            <w:vAlign w:val="bottom"/>
            <w:hideMark/>
          </w:tcPr>
          <w:p w14:paraId="55411C9B"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41,783</w:t>
            </w:r>
          </w:p>
        </w:tc>
      </w:tr>
      <w:tr w:rsidR="00AE6E60" w:rsidRPr="00C83162" w14:paraId="1EF68941" w14:textId="77777777" w:rsidTr="00AE6E60">
        <w:trPr>
          <w:trHeight w:val="300"/>
        </w:trPr>
        <w:tc>
          <w:tcPr>
            <w:tcW w:w="6360" w:type="dxa"/>
            <w:tcBorders>
              <w:top w:val="nil"/>
              <w:left w:val="nil"/>
              <w:bottom w:val="nil"/>
              <w:right w:val="nil"/>
            </w:tcBorders>
            <w:shd w:val="clear" w:color="auto" w:fill="auto"/>
            <w:noWrap/>
            <w:vAlign w:val="bottom"/>
            <w:hideMark/>
          </w:tcPr>
          <w:p w14:paraId="367DF429"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1a. Committed supports + utilisation of 85%</w:t>
            </w:r>
          </w:p>
        </w:tc>
        <w:tc>
          <w:tcPr>
            <w:tcW w:w="960" w:type="dxa"/>
            <w:tcBorders>
              <w:top w:val="nil"/>
              <w:left w:val="nil"/>
              <w:bottom w:val="nil"/>
              <w:right w:val="nil"/>
            </w:tcBorders>
            <w:shd w:val="clear" w:color="auto" w:fill="auto"/>
            <w:noWrap/>
            <w:vAlign w:val="bottom"/>
            <w:hideMark/>
          </w:tcPr>
          <w:p w14:paraId="190C9CD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20,436</w:t>
            </w:r>
          </w:p>
        </w:tc>
        <w:tc>
          <w:tcPr>
            <w:tcW w:w="960" w:type="dxa"/>
            <w:tcBorders>
              <w:top w:val="nil"/>
              <w:left w:val="nil"/>
              <w:bottom w:val="nil"/>
              <w:right w:val="nil"/>
            </w:tcBorders>
            <w:shd w:val="clear" w:color="auto" w:fill="auto"/>
            <w:noWrap/>
            <w:vAlign w:val="bottom"/>
            <w:hideMark/>
          </w:tcPr>
          <w:p w14:paraId="13E8C230"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28,943</w:t>
            </w:r>
          </w:p>
        </w:tc>
        <w:tc>
          <w:tcPr>
            <w:tcW w:w="960" w:type="dxa"/>
            <w:tcBorders>
              <w:top w:val="nil"/>
              <w:left w:val="nil"/>
              <w:bottom w:val="nil"/>
              <w:right w:val="nil"/>
            </w:tcBorders>
            <w:shd w:val="clear" w:color="auto" w:fill="auto"/>
            <w:noWrap/>
            <w:vAlign w:val="bottom"/>
            <w:hideMark/>
          </w:tcPr>
          <w:p w14:paraId="636E711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38,863</w:t>
            </w:r>
          </w:p>
        </w:tc>
      </w:tr>
      <w:tr w:rsidR="00AE6E60" w:rsidRPr="00C83162" w14:paraId="19433C86" w14:textId="77777777" w:rsidTr="00AE6E60">
        <w:trPr>
          <w:trHeight w:val="300"/>
        </w:trPr>
        <w:tc>
          <w:tcPr>
            <w:tcW w:w="6360" w:type="dxa"/>
            <w:tcBorders>
              <w:top w:val="nil"/>
              <w:left w:val="nil"/>
              <w:bottom w:val="nil"/>
              <w:right w:val="nil"/>
            </w:tcBorders>
            <w:shd w:val="clear" w:color="auto" w:fill="auto"/>
            <w:noWrap/>
            <w:vAlign w:val="bottom"/>
            <w:hideMark/>
          </w:tcPr>
          <w:p w14:paraId="72FC5807"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1b. Committed supports + utilisation of 90%</w:t>
            </w:r>
          </w:p>
        </w:tc>
        <w:tc>
          <w:tcPr>
            <w:tcW w:w="960" w:type="dxa"/>
            <w:tcBorders>
              <w:top w:val="nil"/>
              <w:left w:val="nil"/>
              <w:bottom w:val="nil"/>
              <w:right w:val="nil"/>
            </w:tcBorders>
            <w:shd w:val="clear" w:color="auto" w:fill="auto"/>
            <w:noWrap/>
            <w:vAlign w:val="bottom"/>
            <w:hideMark/>
          </w:tcPr>
          <w:p w14:paraId="55CA077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21,638</w:t>
            </w:r>
          </w:p>
        </w:tc>
        <w:tc>
          <w:tcPr>
            <w:tcW w:w="960" w:type="dxa"/>
            <w:tcBorders>
              <w:top w:val="nil"/>
              <w:left w:val="nil"/>
              <w:bottom w:val="nil"/>
              <w:right w:val="nil"/>
            </w:tcBorders>
            <w:shd w:val="clear" w:color="auto" w:fill="auto"/>
            <w:noWrap/>
            <w:vAlign w:val="bottom"/>
            <w:hideMark/>
          </w:tcPr>
          <w:p w14:paraId="428C607A"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30,645</w:t>
            </w:r>
          </w:p>
        </w:tc>
        <w:tc>
          <w:tcPr>
            <w:tcW w:w="960" w:type="dxa"/>
            <w:tcBorders>
              <w:top w:val="nil"/>
              <w:left w:val="nil"/>
              <w:bottom w:val="nil"/>
              <w:right w:val="nil"/>
            </w:tcBorders>
            <w:shd w:val="clear" w:color="auto" w:fill="auto"/>
            <w:noWrap/>
            <w:vAlign w:val="bottom"/>
            <w:hideMark/>
          </w:tcPr>
          <w:p w14:paraId="1E5E0DC7"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41,149</w:t>
            </w:r>
          </w:p>
        </w:tc>
      </w:tr>
      <w:tr w:rsidR="00AE6E60" w:rsidRPr="00C83162" w14:paraId="559FE644" w14:textId="77777777" w:rsidTr="00AE6E60">
        <w:trPr>
          <w:trHeight w:val="300"/>
        </w:trPr>
        <w:tc>
          <w:tcPr>
            <w:tcW w:w="6360" w:type="dxa"/>
            <w:tcBorders>
              <w:top w:val="nil"/>
              <w:left w:val="nil"/>
              <w:bottom w:val="single" w:sz="4" w:space="0" w:color="auto"/>
              <w:right w:val="nil"/>
            </w:tcBorders>
            <w:shd w:val="clear" w:color="auto" w:fill="auto"/>
            <w:noWrap/>
            <w:vAlign w:val="bottom"/>
            <w:hideMark/>
          </w:tcPr>
          <w:p w14:paraId="4375A11E"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1c. Committed supports + utilisation of 100%</w:t>
            </w:r>
          </w:p>
        </w:tc>
        <w:tc>
          <w:tcPr>
            <w:tcW w:w="960" w:type="dxa"/>
            <w:tcBorders>
              <w:top w:val="nil"/>
              <w:left w:val="nil"/>
              <w:bottom w:val="single" w:sz="4" w:space="0" w:color="auto"/>
              <w:right w:val="nil"/>
            </w:tcBorders>
            <w:shd w:val="clear" w:color="auto" w:fill="auto"/>
            <w:noWrap/>
            <w:vAlign w:val="bottom"/>
            <w:hideMark/>
          </w:tcPr>
          <w:p w14:paraId="12B2DDD5"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24,042</w:t>
            </w:r>
          </w:p>
        </w:tc>
        <w:tc>
          <w:tcPr>
            <w:tcW w:w="960" w:type="dxa"/>
            <w:tcBorders>
              <w:top w:val="nil"/>
              <w:left w:val="nil"/>
              <w:bottom w:val="single" w:sz="4" w:space="0" w:color="auto"/>
              <w:right w:val="nil"/>
            </w:tcBorders>
            <w:shd w:val="clear" w:color="auto" w:fill="auto"/>
            <w:noWrap/>
            <w:vAlign w:val="bottom"/>
            <w:hideMark/>
          </w:tcPr>
          <w:p w14:paraId="72F4F75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34,050</w:t>
            </w:r>
          </w:p>
        </w:tc>
        <w:tc>
          <w:tcPr>
            <w:tcW w:w="960" w:type="dxa"/>
            <w:tcBorders>
              <w:top w:val="nil"/>
              <w:left w:val="nil"/>
              <w:bottom w:val="single" w:sz="4" w:space="0" w:color="auto"/>
              <w:right w:val="nil"/>
            </w:tcBorders>
            <w:shd w:val="clear" w:color="auto" w:fill="auto"/>
            <w:noWrap/>
            <w:vAlign w:val="bottom"/>
            <w:hideMark/>
          </w:tcPr>
          <w:p w14:paraId="3AC29376"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45,721</w:t>
            </w:r>
          </w:p>
        </w:tc>
      </w:tr>
      <w:tr w:rsidR="00AE6E60" w:rsidRPr="00C83162" w14:paraId="446D4740" w14:textId="77777777" w:rsidTr="00AE6E60">
        <w:trPr>
          <w:trHeight w:val="300"/>
        </w:trPr>
        <w:tc>
          <w:tcPr>
            <w:tcW w:w="6360" w:type="dxa"/>
            <w:tcBorders>
              <w:top w:val="nil"/>
              <w:left w:val="nil"/>
              <w:bottom w:val="nil"/>
              <w:right w:val="nil"/>
            </w:tcBorders>
            <w:shd w:val="clear" w:color="auto" w:fill="auto"/>
            <w:noWrap/>
            <w:vAlign w:val="bottom"/>
            <w:hideMark/>
          </w:tcPr>
          <w:p w14:paraId="725194B8"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2a. 1% p.a. superimposed inflation</w:t>
            </w:r>
          </w:p>
        </w:tc>
        <w:tc>
          <w:tcPr>
            <w:tcW w:w="960" w:type="dxa"/>
            <w:tcBorders>
              <w:top w:val="nil"/>
              <w:left w:val="nil"/>
              <w:bottom w:val="nil"/>
              <w:right w:val="nil"/>
            </w:tcBorders>
            <w:shd w:val="clear" w:color="auto" w:fill="auto"/>
            <w:noWrap/>
            <w:vAlign w:val="bottom"/>
            <w:hideMark/>
          </w:tcPr>
          <w:p w14:paraId="3EC344C4"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21,756</w:t>
            </w:r>
          </w:p>
        </w:tc>
        <w:tc>
          <w:tcPr>
            <w:tcW w:w="960" w:type="dxa"/>
            <w:tcBorders>
              <w:top w:val="nil"/>
              <w:left w:val="nil"/>
              <w:bottom w:val="nil"/>
              <w:right w:val="nil"/>
            </w:tcBorders>
            <w:shd w:val="clear" w:color="auto" w:fill="auto"/>
            <w:noWrap/>
            <w:vAlign w:val="bottom"/>
            <w:hideMark/>
          </w:tcPr>
          <w:p w14:paraId="6431D8A9"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32,762</w:t>
            </w:r>
          </w:p>
        </w:tc>
        <w:tc>
          <w:tcPr>
            <w:tcW w:w="960" w:type="dxa"/>
            <w:tcBorders>
              <w:top w:val="nil"/>
              <w:left w:val="nil"/>
              <w:bottom w:val="nil"/>
              <w:right w:val="nil"/>
            </w:tcBorders>
            <w:shd w:val="clear" w:color="auto" w:fill="auto"/>
            <w:noWrap/>
            <w:vAlign w:val="bottom"/>
            <w:hideMark/>
          </w:tcPr>
          <w:p w14:paraId="6751B3D8"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47,095</w:t>
            </w:r>
          </w:p>
        </w:tc>
      </w:tr>
      <w:tr w:rsidR="00AE6E60" w:rsidRPr="00C83162" w14:paraId="0207493A" w14:textId="77777777" w:rsidTr="00AE6E60">
        <w:trPr>
          <w:trHeight w:val="300"/>
        </w:trPr>
        <w:tc>
          <w:tcPr>
            <w:tcW w:w="6360" w:type="dxa"/>
            <w:tcBorders>
              <w:top w:val="nil"/>
              <w:left w:val="nil"/>
              <w:bottom w:val="nil"/>
              <w:right w:val="nil"/>
            </w:tcBorders>
            <w:shd w:val="clear" w:color="auto" w:fill="auto"/>
            <w:noWrap/>
            <w:vAlign w:val="bottom"/>
            <w:hideMark/>
          </w:tcPr>
          <w:p w14:paraId="2F533DAA"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2b. 2% p.a. superimposed inflation</w:t>
            </w:r>
          </w:p>
        </w:tc>
        <w:tc>
          <w:tcPr>
            <w:tcW w:w="960" w:type="dxa"/>
            <w:tcBorders>
              <w:top w:val="nil"/>
              <w:left w:val="nil"/>
              <w:bottom w:val="nil"/>
              <w:right w:val="nil"/>
            </w:tcBorders>
            <w:shd w:val="clear" w:color="auto" w:fill="auto"/>
            <w:noWrap/>
            <w:vAlign w:val="bottom"/>
            <w:hideMark/>
          </w:tcPr>
          <w:p w14:paraId="27716D50"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22,279</w:t>
            </w:r>
          </w:p>
        </w:tc>
        <w:tc>
          <w:tcPr>
            <w:tcW w:w="960" w:type="dxa"/>
            <w:tcBorders>
              <w:top w:val="nil"/>
              <w:left w:val="nil"/>
              <w:bottom w:val="nil"/>
              <w:right w:val="nil"/>
            </w:tcBorders>
            <w:shd w:val="clear" w:color="auto" w:fill="auto"/>
            <w:noWrap/>
            <w:vAlign w:val="bottom"/>
            <w:hideMark/>
          </w:tcPr>
          <w:p w14:paraId="457B65A3"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35,179</w:t>
            </w:r>
          </w:p>
        </w:tc>
        <w:tc>
          <w:tcPr>
            <w:tcW w:w="960" w:type="dxa"/>
            <w:tcBorders>
              <w:top w:val="nil"/>
              <w:left w:val="nil"/>
              <w:bottom w:val="nil"/>
              <w:right w:val="nil"/>
            </w:tcBorders>
            <w:shd w:val="clear" w:color="auto" w:fill="auto"/>
            <w:noWrap/>
            <w:vAlign w:val="bottom"/>
            <w:hideMark/>
          </w:tcPr>
          <w:p w14:paraId="29F6F44F"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53,022</w:t>
            </w:r>
          </w:p>
        </w:tc>
      </w:tr>
      <w:tr w:rsidR="00AE6E60" w:rsidRPr="00C83162" w14:paraId="186C8038" w14:textId="77777777" w:rsidTr="00AE6E60">
        <w:trPr>
          <w:trHeight w:val="300"/>
        </w:trPr>
        <w:tc>
          <w:tcPr>
            <w:tcW w:w="6360" w:type="dxa"/>
            <w:tcBorders>
              <w:top w:val="nil"/>
              <w:left w:val="nil"/>
              <w:bottom w:val="nil"/>
              <w:right w:val="nil"/>
            </w:tcBorders>
            <w:shd w:val="clear" w:color="auto" w:fill="auto"/>
            <w:noWrap/>
            <w:vAlign w:val="bottom"/>
            <w:hideMark/>
          </w:tcPr>
          <w:p w14:paraId="6C90F755"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 xml:space="preserve">Scenario 2c. 10% p.a. superimposed inflation for 2 years </w:t>
            </w:r>
          </w:p>
        </w:tc>
        <w:tc>
          <w:tcPr>
            <w:tcW w:w="960" w:type="dxa"/>
            <w:tcBorders>
              <w:top w:val="nil"/>
              <w:left w:val="nil"/>
              <w:bottom w:val="nil"/>
              <w:right w:val="nil"/>
            </w:tcBorders>
            <w:shd w:val="clear" w:color="auto" w:fill="auto"/>
            <w:noWrap/>
            <w:vAlign w:val="bottom"/>
            <w:hideMark/>
          </w:tcPr>
          <w:p w14:paraId="106D59B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25,509</w:t>
            </w:r>
          </w:p>
        </w:tc>
        <w:tc>
          <w:tcPr>
            <w:tcW w:w="960" w:type="dxa"/>
            <w:tcBorders>
              <w:top w:val="nil"/>
              <w:left w:val="nil"/>
              <w:bottom w:val="nil"/>
              <w:right w:val="nil"/>
            </w:tcBorders>
            <w:shd w:val="clear" w:color="auto" w:fill="auto"/>
            <w:noWrap/>
            <w:vAlign w:val="bottom"/>
            <w:hideMark/>
          </w:tcPr>
          <w:p w14:paraId="4E187AC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36,619</w:t>
            </w:r>
          </w:p>
        </w:tc>
        <w:tc>
          <w:tcPr>
            <w:tcW w:w="960" w:type="dxa"/>
            <w:tcBorders>
              <w:top w:val="nil"/>
              <w:left w:val="nil"/>
              <w:bottom w:val="nil"/>
              <w:right w:val="nil"/>
            </w:tcBorders>
            <w:shd w:val="clear" w:color="auto" w:fill="auto"/>
            <w:noWrap/>
            <w:vAlign w:val="bottom"/>
            <w:hideMark/>
          </w:tcPr>
          <w:p w14:paraId="1C2A28D0"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50,179</w:t>
            </w:r>
          </w:p>
        </w:tc>
      </w:tr>
      <w:tr w:rsidR="00AE6E60" w:rsidRPr="00C83162" w14:paraId="2E6681D4" w14:textId="77777777" w:rsidTr="00AE6E60">
        <w:trPr>
          <w:trHeight w:val="300"/>
        </w:trPr>
        <w:tc>
          <w:tcPr>
            <w:tcW w:w="6360" w:type="dxa"/>
            <w:tcBorders>
              <w:top w:val="nil"/>
              <w:left w:val="nil"/>
              <w:bottom w:val="single" w:sz="4" w:space="0" w:color="auto"/>
              <w:right w:val="nil"/>
            </w:tcBorders>
            <w:shd w:val="clear" w:color="auto" w:fill="auto"/>
            <w:noWrap/>
            <w:vAlign w:val="bottom"/>
            <w:hideMark/>
          </w:tcPr>
          <w:p w14:paraId="157F90DB"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 xml:space="preserve">Scenario 2d. 5% p.a. superimposed inflation for 5 years </w:t>
            </w:r>
          </w:p>
        </w:tc>
        <w:tc>
          <w:tcPr>
            <w:tcW w:w="960" w:type="dxa"/>
            <w:tcBorders>
              <w:top w:val="nil"/>
              <w:left w:val="nil"/>
              <w:bottom w:val="single" w:sz="4" w:space="0" w:color="auto"/>
              <w:right w:val="nil"/>
            </w:tcBorders>
            <w:shd w:val="clear" w:color="auto" w:fill="auto"/>
            <w:noWrap/>
            <w:vAlign w:val="bottom"/>
            <w:hideMark/>
          </w:tcPr>
          <w:p w14:paraId="59E4D0F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23,897</w:t>
            </w:r>
          </w:p>
        </w:tc>
        <w:tc>
          <w:tcPr>
            <w:tcW w:w="960" w:type="dxa"/>
            <w:tcBorders>
              <w:top w:val="nil"/>
              <w:left w:val="nil"/>
              <w:bottom w:val="single" w:sz="4" w:space="0" w:color="auto"/>
              <w:right w:val="nil"/>
            </w:tcBorders>
            <w:shd w:val="clear" w:color="auto" w:fill="auto"/>
            <w:noWrap/>
            <w:vAlign w:val="bottom"/>
            <w:hideMark/>
          </w:tcPr>
          <w:p w14:paraId="3A3252E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38,551</w:t>
            </w:r>
          </w:p>
        </w:tc>
        <w:tc>
          <w:tcPr>
            <w:tcW w:w="960" w:type="dxa"/>
            <w:tcBorders>
              <w:top w:val="nil"/>
              <w:left w:val="nil"/>
              <w:bottom w:val="single" w:sz="4" w:space="0" w:color="auto"/>
              <w:right w:val="nil"/>
            </w:tcBorders>
            <w:shd w:val="clear" w:color="auto" w:fill="auto"/>
            <w:noWrap/>
            <w:vAlign w:val="bottom"/>
            <w:hideMark/>
          </w:tcPr>
          <w:p w14:paraId="37A41FD8"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52,826</w:t>
            </w:r>
          </w:p>
        </w:tc>
      </w:tr>
      <w:tr w:rsidR="00AE6E60" w:rsidRPr="00C83162" w14:paraId="0E3FBDE0" w14:textId="77777777" w:rsidTr="00AE6E60">
        <w:trPr>
          <w:trHeight w:val="300"/>
        </w:trPr>
        <w:tc>
          <w:tcPr>
            <w:tcW w:w="6360" w:type="dxa"/>
            <w:tcBorders>
              <w:top w:val="nil"/>
              <w:left w:val="nil"/>
              <w:bottom w:val="nil"/>
              <w:right w:val="nil"/>
            </w:tcBorders>
            <w:shd w:val="clear" w:color="auto" w:fill="auto"/>
            <w:noWrap/>
            <w:vAlign w:val="bottom"/>
            <w:hideMark/>
          </w:tcPr>
          <w:p w14:paraId="2D8F6C1F"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3a. Increase incidence 0 to 18 by 15%</w:t>
            </w:r>
          </w:p>
        </w:tc>
        <w:tc>
          <w:tcPr>
            <w:tcW w:w="960" w:type="dxa"/>
            <w:tcBorders>
              <w:top w:val="nil"/>
              <w:left w:val="nil"/>
              <w:bottom w:val="nil"/>
              <w:right w:val="nil"/>
            </w:tcBorders>
            <w:shd w:val="clear" w:color="auto" w:fill="auto"/>
            <w:noWrap/>
            <w:vAlign w:val="bottom"/>
            <w:hideMark/>
          </w:tcPr>
          <w:p w14:paraId="7233AD63"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22,345</w:t>
            </w:r>
          </w:p>
        </w:tc>
        <w:tc>
          <w:tcPr>
            <w:tcW w:w="960" w:type="dxa"/>
            <w:tcBorders>
              <w:top w:val="nil"/>
              <w:left w:val="nil"/>
              <w:bottom w:val="nil"/>
              <w:right w:val="nil"/>
            </w:tcBorders>
            <w:shd w:val="clear" w:color="auto" w:fill="auto"/>
            <w:noWrap/>
            <w:vAlign w:val="bottom"/>
            <w:hideMark/>
          </w:tcPr>
          <w:p w14:paraId="438F9DC9"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32,201</w:t>
            </w:r>
          </w:p>
        </w:tc>
        <w:tc>
          <w:tcPr>
            <w:tcW w:w="960" w:type="dxa"/>
            <w:tcBorders>
              <w:top w:val="nil"/>
              <w:left w:val="nil"/>
              <w:bottom w:val="nil"/>
              <w:right w:val="nil"/>
            </w:tcBorders>
            <w:shd w:val="clear" w:color="auto" w:fill="auto"/>
            <w:noWrap/>
            <w:vAlign w:val="bottom"/>
            <w:hideMark/>
          </w:tcPr>
          <w:p w14:paraId="77A4F45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44,258</w:t>
            </w:r>
          </w:p>
        </w:tc>
      </w:tr>
      <w:tr w:rsidR="00AE6E60" w:rsidRPr="00C83162" w14:paraId="366989AB" w14:textId="77777777" w:rsidTr="00AE6E60">
        <w:trPr>
          <w:trHeight w:val="300"/>
        </w:trPr>
        <w:tc>
          <w:tcPr>
            <w:tcW w:w="6360" w:type="dxa"/>
            <w:tcBorders>
              <w:top w:val="nil"/>
              <w:left w:val="nil"/>
              <w:bottom w:val="nil"/>
              <w:right w:val="nil"/>
            </w:tcBorders>
            <w:shd w:val="clear" w:color="auto" w:fill="auto"/>
            <w:noWrap/>
            <w:vAlign w:val="bottom"/>
            <w:hideMark/>
          </w:tcPr>
          <w:p w14:paraId="3E63FA70"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3b. Reduce incidence 25+ by 5%</w:t>
            </w:r>
          </w:p>
        </w:tc>
        <w:tc>
          <w:tcPr>
            <w:tcW w:w="960" w:type="dxa"/>
            <w:tcBorders>
              <w:top w:val="nil"/>
              <w:left w:val="nil"/>
              <w:bottom w:val="nil"/>
              <w:right w:val="nil"/>
            </w:tcBorders>
            <w:shd w:val="clear" w:color="auto" w:fill="auto"/>
            <w:noWrap/>
            <w:vAlign w:val="bottom"/>
            <w:hideMark/>
          </w:tcPr>
          <w:p w14:paraId="1C8B8025"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20,662</w:t>
            </w:r>
          </w:p>
        </w:tc>
        <w:tc>
          <w:tcPr>
            <w:tcW w:w="960" w:type="dxa"/>
            <w:tcBorders>
              <w:top w:val="nil"/>
              <w:left w:val="nil"/>
              <w:bottom w:val="nil"/>
              <w:right w:val="nil"/>
            </w:tcBorders>
            <w:shd w:val="clear" w:color="auto" w:fill="auto"/>
            <w:noWrap/>
            <w:vAlign w:val="bottom"/>
            <w:hideMark/>
          </w:tcPr>
          <w:p w14:paraId="2EBFBCAC"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29,676</w:t>
            </w:r>
          </w:p>
        </w:tc>
        <w:tc>
          <w:tcPr>
            <w:tcW w:w="960" w:type="dxa"/>
            <w:tcBorders>
              <w:top w:val="nil"/>
              <w:left w:val="nil"/>
              <w:bottom w:val="nil"/>
              <w:right w:val="nil"/>
            </w:tcBorders>
            <w:shd w:val="clear" w:color="auto" w:fill="auto"/>
            <w:noWrap/>
            <w:vAlign w:val="bottom"/>
            <w:hideMark/>
          </w:tcPr>
          <w:p w14:paraId="0CB5D2E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40,695</w:t>
            </w:r>
          </w:p>
        </w:tc>
      </w:tr>
      <w:tr w:rsidR="00AE6E60" w:rsidRPr="00C83162" w14:paraId="283F17FE" w14:textId="77777777" w:rsidTr="00AE6E60">
        <w:trPr>
          <w:trHeight w:val="300"/>
        </w:trPr>
        <w:tc>
          <w:tcPr>
            <w:tcW w:w="6360" w:type="dxa"/>
            <w:tcBorders>
              <w:top w:val="nil"/>
              <w:left w:val="nil"/>
              <w:bottom w:val="single" w:sz="4" w:space="0" w:color="auto"/>
              <w:right w:val="nil"/>
            </w:tcBorders>
            <w:shd w:val="clear" w:color="auto" w:fill="auto"/>
            <w:noWrap/>
            <w:vAlign w:val="bottom"/>
            <w:hideMark/>
          </w:tcPr>
          <w:p w14:paraId="09D3281C"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3c. Combination of 3a. and 3b.</w:t>
            </w:r>
          </w:p>
        </w:tc>
        <w:tc>
          <w:tcPr>
            <w:tcW w:w="960" w:type="dxa"/>
            <w:tcBorders>
              <w:top w:val="nil"/>
              <w:left w:val="nil"/>
              <w:bottom w:val="single" w:sz="4" w:space="0" w:color="auto"/>
              <w:right w:val="nil"/>
            </w:tcBorders>
            <w:shd w:val="clear" w:color="auto" w:fill="auto"/>
            <w:noWrap/>
            <w:vAlign w:val="bottom"/>
            <w:hideMark/>
          </w:tcPr>
          <w:p w14:paraId="04B67C7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21,766</w:t>
            </w:r>
          </w:p>
        </w:tc>
        <w:tc>
          <w:tcPr>
            <w:tcW w:w="960" w:type="dxa"/>
            <w:tcBorders>
              <w:top w:val="nil"/>
              <w:left w:val="nil"/>
              <w:bottom w:val="single" w:sz="4" w:space="0" w:color="auto"/>
              <w:right w:val="nil"/>
            </w:tcBorders>
            <w:shd w:val="clear" w:color="auto" w:fill="auto"/>
            <w:noWrap/>
            <w:vAlign w:val="bottom"/>
            <w:hideMark/>
          </w:tcPr>
          <w:p w14:paraId="67D2715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31,385</w:t>
            </w:r>
          </w:p>
        </w:tc>
        <w:tc>
          <w:tcPr>
            <w:tcW w:w="960" w:type="dxa"/>
            <w:tcBorders>
              <w:top w:val="nil"/>
              <w:left w:val="nil"/>
              <w:bottom w:val="single" w:sz="4" w:space="0" w:color="auto"/>
              <w:right w:val="nil"/>
            </w:tcBorders>
            <w:shd w:val="clear" w:color="auto" w:fill="auto"/>
            <w:noWrap/>
            <w:vAlign w:val="bottom"/>
            <w:hideMark/>
          </w:tcPr>
          <w:p w14:paraId="0F541890"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43,171</w:t>
            </w:r>
          </w:p>
        </w:tc>
      </w:tr>
      <w:tr w:rsidR="00AE6E60" w:rsidRPr="00C83162" w14:paraId="61D985CB" w14:textId="77777777" w:rsidTr="00AE6E60">
        <w:trPr>
          <w:trHeight w:val="300"/>
        </w:trPr>
        <w:tc>
          <w:tcPr>
            <w:tcW w:w="6360" w:type="dxa"/>
            <w:tcBorders>
              <w:top w:val="nil"/>
              <w:left w:val="nil"/>
              <w:bottom w:val="nil"/>
              <w:right w:val="nil"/>
            </w:tcBorders>
            <w:shd w:val="clear" w:color="auto" w:fill="auto"/>
            <w:noWrap/>
            <w:vAlign w:val="bottom"/>
            <w:hideMark/>
          </w:tcPr>
          <w:p w14:paraId="17883049"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4a. Halve non-</w:t>
            </w:r>
            <w:r w:rsidR="003C1060" w:rsidRPr="00C83162">
              <w:rPr>
                <w:rFonts w:eastAsia="Times New Roman" w:cs="Arial"/>
                <w:color w:val="000000"/>
                <w:sz w:val="18"/>
                <w:szCs w:val="18"/>
                <w:lang w:eastAsia="en-AU"/>
              </w:rPr>
              <w:t>mortality</w:t>
            </w:r>
            <w:r w:rsidRPr="00DA3F73">
              <w:rPr>
                <w:rFonts w:eastAsia="Times New Roman" w:cs="Arial"/>
                <w:color w:val="000000"/>
                <w:sz w:val="18"/>
                <w:szCs w:val="18"/>
                <w:lang w:eastAsia="en-AU"/>
              </w:rPr>
              <w:t xml:space="preserve"> exits ages 0 to 64</w:t>
            </w:r>
          </w:p>
        </w:tc>
        <w:tc>
          <w:tcPr>
            <w:tcW w:w="960" w:type="dxa"/>
            <w:tcBorders>
              <w:top w:val="nil"/>
              <w:left w:val="nil"/>
              <w:bottom w:val="nil"/>
              <w:right w:val="nil"/>
            </w:tcBorders>
            <w:shd w:val="clear" w:color="auto" w:fill="auto"/>
            <w:noWrap/>
            <w:vAlign w:val="bottom"/>
            <w:hideMark/>
          </w:tcPr>
          <w:p w14:paraId="5EB11F28"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21,240</w:t>
            </w:r>
          </w:p>
        </w:tc>
        <w:tc>
          <w:tcPr>
            <w:tcW w:w="960" w:type="dxa"/>
            <w:tcBorders>
              <w:top w:val="nil"/>
              <w:left w:val="nil"/>
              <w:bottom w:val="nil"/>
              <w:right w:val="nil"/>
            </w:tcBorders>
            <w:shd w:val="clear" w:color="auto" w:fill="auto"/>
            <w:noWrap/>
            <w:vAlign w:val="bottom"/>
            <w:hideMark/>
          </w:tcPr>
          <w:p w14:paraId="4C053C0A"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31,315</w:t>
            </w:r>
          </w:p>
        </w:tc>
        <w:tc>
          <w:tcPr>
            <w:tcW w:w="960" w:type="dxa"/>
            <w:tcBorders>
              <w:top w:val="nil"/>
              <w:left w:val="nil"/>
              <w:bottom w:val="nil"/>
              <w:right w:val="nil"/>
            </w:tcBorders>
            <w:shd w:val="clear" w:color="auto" w:fill="auto"/>
            <w:noWrap/>
            <w:vAlign w:val="bottom"/>
            <w:hideMark/>
          </w:tcPr>
          <w:p w14:paraId="7FDD24CB"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44,041</w:t>
            </w:r>
          </w:p>
        </w:tc>
      </w:tr>
      <w:tr w:rsidR="00AE6E60" w:rsidRPr="00C83162" w14:paraId="6DA11730" w14:textId="77777777" w:rsidTr="00AE6E60">
        <w:trPr>
          <w:trHeight w:val="300"/>
        </w:trPr>
        <w:tc>
          <w:tcPr>
            <w:tcW w:w="6360" w:type="dxa"/>
            <w:tcBorders>
              <w:top w:val="nil"/>
              <w:left w:val="nil"/>
              <w:bottom w:val="nil"/>
              <w:right w:val="nil"/>
            </w:tcBorders>
            <w:shd w:val="clear" w:color="auto" w:fill="auto"/>
            <w:noWrap/>
            <w:vAlign w:val="bottom"/>
            <w:hideMark/>
          </w:tcPr>
          <w:p w14:paraId="70EE94EF"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4b. Double non-mortality exits for ages 65+</w:t>
            </w:r>
          </w:p>
        </w:tc>
        <w:tc>
          <w:tcPr>
            <w:tcW w:w="960" w:type="dxa"/>
            <w:tcBorders>
              <w:top w:val="nil"/>
              <w:left w:val="nil"/>
              <w:bottom w:val="nil"/>
              <w:right w:val="nil"/>
            </w:tcBorders>
            <w:shd w:val="clear" w:color="auto" w:fill="auto"/>
            <w:noWrap/>
            <w:vAlign w:val="bottom"/>
            <w:hideMark/>
          </w:tcPr>
          <w:p w14:paraId="0BD48D03"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21,237</w:t>
            </w:r>
          </w:p>
        </w:tc>
        <w:tc>
          <w:tcPr>
            <w:tcW w:w="960" w:type="dxa"/>
            <w:tcBorders>
              <w:top w:val="nil"/>
              <w:left w:val="nil"/>
              <w:bottom w:val="nil"/>
              <w:right w:val="nil"/>
            </w:tcBorders>
            <w:shd w:val="clear" w:color="auto" w:fill="auto"/>
            <w:noWrap/>
            <w:vAlign w:val="bottom"/>
            <w:hideMark/>
          </w:tcPr>
          <w:p w14:paraId="74326D0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30,434</w:t>
            </w:r>
          </w:p>
        </w:tc>
        <w:tc>
          <w:tcPr>
            <w:tcW w:w="960" w:type="dxa"/>
            <w:tcBorders>
              <w:top w:val="nil"/>
              <w:left w:val="nil"/>
              <w:bottom w:val="nil"/>
              <w:right w:val="nil"/>
            </w:tcBorders>
            <w:shd w:val="clear" w:color="auto" w:fill="auto"/>
            <w:noWrap/>
            <w:vAlign w:val="bottom"/>
            <w:hideMark/>
          </w:tcPr>
          <w:p w14:paraId="4D8E7812"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41,532</w:t>
            </w:r>
          </w:p>
        </w:tc>
      </w:tr>
      <w:tr w:rsidR="00AE6E60" w:rsidRPr="00C83162" w14:paraId="4D7A7FAD" w14:textId="77777777" w:rsidTr="00AE6E60">
        <w:trPr>
          <w:trHeight w:val="300"/>
        </w:trPr>
        <w:tc>
          <w:tcPr>
            <w:tcW w:w="6360" w:type="dxa"/>
            <w:tcBorders>
              <w:top w:val="nil"/>
              <w:left w:val="nil"/>
              <w:bottom w:val="nil"/>
              <w:right w:val="nil"/>
            </w:tcBorders>
            <w:shd w:val="clear" w:color="auto" w:fill="auto"/>
            <w:noWrap/>
            <w:vAlign w:val="bottom"/>
            <w:hideMark/>
          </w:tcPr>
          <w:p w14:paraId="580385AC"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4c. Increase excess mortality by 50%</w:t>
            </w:r>
          </w:p>
        </w:tc>
        <w:tc>
          <w:tcPr>
            <w:tcW w:w="960" w:type="dxa"/>
            <w:tcBorders>
              <w:top w:val="nil"/>
              <w:left w:val="nil"/>
              <w:bottom w:val="nil"/>
              <w:right w:val="nil"/>
            </w:tcBorders>
            <w:shd w:val="clear" w:color="auto" w:fill="auto"/>
            <w:noWrap/>
            <w:vAlign w:val="bottom"/>
            <w:hideMark/>
          </w:tcPr>
          <w:p w14:paraId="1A2BED6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21,168</w:t>
            </w:r>
          </w:p>
        </w:tc>
        <w:tc>
          <w:tcPr>
            <w:tcW w:w="960" w:type="dxa"/>
            <w:tcBorders>
              <w:top w:val="nil"/>
              <w:left w:val="nil"/>
              <w:bottom w:val="nil"/>
              <w:right w:val="nil"/>
            </w:tcBorders>
            <w:shd w:val="clear" w:color="auto" w:fill="auto"/>
            <w:noWrap/>
            <w:vAlign w:val="bottom"/>
            <w:hideMark/>
          </w:tcPr>
          <w:p w14:paraId="2240558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30,017</w:t>
            </w:r>
          </w:p>
        </w:tc>
        <w:tc>
          <w:tcPr>
            <w:tcW w:w="960" w:type="dxa"/>
            <w:tcBorders>
              <w:top w:val="nil"/>
              <w:left w:val="nil"/>
              <w:bottom w:val="nil"/>
              <w:right w:val="nil"/>
            </w:tcBorders>
            <w:shd w:val="clear" w:color="auto" w:fill="auto"/>
            <w:noWrap/>
            <w:vAlign w:val="bottom"/>
            <w:hideMark/>
          </w:tcPr>
          <w:p w14:paraId="191ECBBB"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40,583</w:t>
            </w:r>
          </w:p>
        </w:tc>
      </w:tr>
      <w:tr w:rsidR="00AE6E60" w:rsidRPr="00C83162" w14:paraId="53D4B811" w14:textId="77777777" w:rsidTr="00AE6E60">
        <w:trPr>
          <w:trHeight w:val="300"/>
        </w:trPr>
        <w:tc>
          <w:tcPr>
            <w:tcW w:w="6360" w:type="dxa"/>
            <w:tcBorders>
              <w:top w:val="nil"/>
              <w:left w:val="nil"/>
              <w:bottom w:val="single" w:sz="4" w:space="0" w:color="auto"/>
              <w:right w:val="nil"/>
            </w:tcBorders>
            <w:shd w:val="clear" w:color="auto" w:fill="auto"/>
            <w:noWrap/>
            <w:vAlign w:val="bottom"/>
            <w:hideMark/>
          </w:tcPr>
          <w:p w14:paraId="6F80F945"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4d. Reduce excess mortality by 50%</w:t>
            </w:r>
          </w:p>
        </w:tc>
        <w:tc>
          <w:tcPr>
            <w:tcW w:w="960" w:type="dxa"/>
            <w:tcBorders>
              <w:top w:val="nil"/>
              <w:left w:val="nil"/>
              <w:bottom w:val="single" w:sz="4" w:space="0" w:color="auto"/>
              <w:right w:val="nil"/>
            </w:tcBorders>
            <w:shd w:val="clear" w:color="auto" w:fill="auto"/>
            <w:noWrap/>
            <w:vAlign w:val="bottom"/>
            <w:hideMark/>
          </w:tcPr>
          <w:p w14:paraId="41E7BBB6"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21,252</w:t>
            </w:r>
          </w:p>
        </w:tc>
        <w:tc>
          <w:tcPr>
            <w:tcW w:w="960" w:type="dxa"/>
            <w:tcBorders>
              <w:top w:val="nil"/>
              <w:left w:val="nil"/>
              <w:bottom w:val="single" w:sz="4" w:space="0" w:color="auto"/>
              <w:right w:val="nil"/>
            </w:tcBorders>
            <w:shd w:val="clear" w:color="auto" w:fill="auto"/>
            <w:noWrap/>
            <w:vAlign w:val="bottom"/>
            <w:hideMark/>
          </w:tcPr>
          <w:p w14:paraId="72190177"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30,899</w:t>
            </w:r>
          </w:p>
        </w:tc>
        <w:tc>
          <w:tcPr>
            <w:tcW w:w="960" w:type="dxa"/>
            <w:tcBorders>
              <w:top w:val="nil"/>
              <w:left w:val="nil"/>
              <w:bottom w:val="single" w:sz="4" w:space="0" w:color="auto"/>
              <w:right w:val="nil"/>
            </w:tcBorders>
            <w:shd w:val="clear" w:color="auto" w:fill="auto"/>
            <w:noWrap/>
            <w:vAlign w:val="bottom"/>
            <w:hideMark/>
          </w:tcPr>
          <w:p w14:paraId="445A35F4"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42,984</w:t>
            </w:r>
          </w:p>
        </w:tc>
      </w:tr>
      <w:tr w:rsidR="00AE6E60" w:rsidRPr="00C83162" w14:paraId="72E2F228" w14:textId="77777777" w:rsidTr="00AE6E60">
        <w:trPr>
          <w:trHeight w:val="300"/>
        </w:trPr>
        <w:tc>
          <w:tcPr>
            <w:tcW w:w="6360" w:type="dxa"/>
            <w:tcBorders>
              <w:top w:val="nil"/>
              <w:left w:val="nil"/>
              <w:bottom w:val="nil"/>
              <w:right w:val="nil"/>
            </w:tcBorders>
            <w:shd w:val="clear" w:color="auto" w:fill="auto"/>
            <w:noWrap/>
            <w:vAlign w:val="bottom"/>
            <w:hideMark/>
          </w:tcPr>
          <w:p w14:paraId="22A649A1"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5a. 5% of new incidence to highest LoF</w:t>
            </w:r>
          </w:p>
        </w:tc>
        <w:tc>
          <w:tcPr>
            <w:tcW w:w="960" w:type="dxa"/>
            <w:tcBorders>
              <w:top w:val="nil"/>
              <w:left w:val="nil"/>
              <w:bottom w:val="nil"/>
              <w:right w:val="nil"/>
            </w:tcBorders>
            <w:shd w:val="clear" w:color="auto" w:fill="auto"/>
            <w:noWrap/>
            <w:vAlign w:val="bottom"/>
            <w:hideMark/>
          </w:tcPr>
          <w:p w14:paraId="60637D14"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21,240</w:t>
            </w:r>
          </w:p>
        </w:tc>
        <w:tc>
          <w:tcPr>
            <w:tcW w:w="960" w:type="dxa"/>
            <w:tcBorders>
              <w:top w:val="nil"/>
              <w:left w:val="nil"/>
              <w:bottom w:val="nil"/>
              <w:right w:val="nil"/>
            </w:tcBorders>
            <w:shd w:val="clear" w:color="auto" w:fill="auto"/>
            <w:noWrap/>
            <w:vAlign w:val="bottom"/>
            <w:hideMark/>
          </w:tcPr>
          <w:p w14:paraId="63C24F1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31,154</w:t>
            </w:r>
          </w:p>
        </w:tc>
        <w:tc>
          <w:tcPr>
            <w:tcW w:w="960" w:type="dxa"/>
            <w:tcBorders>
              <w:top w:val="nil"/>
              <w:left w:val="nil"/>
              <w:bottom w:val="nil"/>
              <w:right w:val="nil"/>
            </w:tcBorders>
            <w:shd w:val="clear" w:color="auto" w:fill="auto"/>
            <w:noWrap/>
            <w:vAlign w:val="bottom"/>
            <w:hideMark/>
          </w:tcPr>
          <w:p w14:paraId="3060211C"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43,486</w:t>
            </w:r>
          </w:p>
        </w:tc>
      </w:tr>
      <w:tr w:rsidR="00AE6E60" w:rsidRPr="00C83162" w14:paraId="18AA1A86" w14:textId="77777777" w:rsidTr="00AE6E60">
        <w:trPr>
          <w:trHeight w:val="300"/>
        </w:trPr>
        <w:tc>
          <w:tcPr>
            <w:tcW w:w="6360" w:type="dxa"/>
            <w:tcBorders>
              <w:top w:val="nil"/>
              <w:left w:val="nil"/>
              <w:bottom w:val="nil"/>
              <w:right w:val="nil"/>
            </w:tcBorders>
            <w:shd w:val="clear" w:color="auto" w:fill="auto"/>
            <w:noWrap/>
            <w:vAlign w:val="bottom"/>
            <w:hideMark/>
          </w:tcPr>
          <w:p w14:paraId="0770D136"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5b. 5% of starting population to highest LoF</w:t>
            </w:r>
          </w:p>
        </w:tc>
        <w:tc>
          <w:tcPr>
            <w:tcW w:w="960" w:type="dxa"/>
            <w:tcBorders>
              <w:top w:val="nil"/>
              <w:left w:val="nil"/>
              <w:bottom w:val="nil"/>
              <w:right w:val="nil"/>
            </w:tcBorders>
            <w:shd w:val="clear" w:color="auto" w:fill="auto"/>
            <w:noWrap/>
            <w:vAlign w:val="bottom"/>
            <w:hideMark/>
          </w:tcPr>
          <w:p w14:paraId="0E16AEA8"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25,216</w:t>
            </w:r>
          </w:p>
        </w:tc>
        <w:tc>
          <w:tcPr>
            <w:tcW w:w="960" w:type="dxa"/>
            <w:tcBorders>
              <w:top w:val="nil"/>
              <w:left w:val="nil"/>
              <w:bottom w:val="nil"/>
              <w:right w:val="nil"/>
            </w:tcBorders>
            <w:shd w:val="clear" w:color="auto" w:fill="auto"/>
            <w:noWrap/>
            <w:vAlign w:val="bottom"/>
            <w:hideMark/>
          </w:tcPr>
          <w:p w14:paraId="173712B0"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35,449</w:t>
            </w:r>
          </w:p>
        </w:tc>
        <w:tc>
          <w:tcPr>
            <w:tcW w:w="960" w:type="dxa"/>
            <w:tcBorders>
              <w:top w:val="nil"/>
              <w:left w:val="nil"/>
              <w:bottom w:val="nil"/>
              <w:right w:val="nil"/>
            </w:tcBorders>
            <w:shd w:val="clear" w:color="auto" w:fill="auto"/>
            <w:noWrap/>
            <w:vAlign w:val="bottom"/>
            <w:hideMark/>
          </w:tcPr>
          <w:p w14:paraId="36D4B17F"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47,576</w:t>
            </w:r>
          </w:p>
        </w:tc>
      </w:tr>
      <w:tr w:rsidR="00AE6E60" w:rsidRPr="00C83162" w14:paraId="6047B0FD" w14:textId="77777777" w:rsidTr="00AE6E60">
        <w:trPr>
          <w:trHeight w:val="300"/>
        </w:trPr>
        <w:tc>
          <w:tcPr>
            <w:tcW w:w="6360" w:type="dxa"/>
            <w:tcBorders>
              <w:top w:val="nil"/>
              <w:left w:val="nil"/>
              <w:bottom w:val="single" w:sz="4" w:space="0" w:color="auto"/>
              <w:right w:val="nil"/>
            </w:tcBorders>
            <w:shd w:val="clear" w:color="auto" w:fill="auto"/>
            <w:noWrap/>
            <w:vAlign w:val="bottom"/>
            <w:hideMark/>
          </w:tcPr>
          <w:p w14:paraId="50C841CC"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5c. Combination of 5a. and 5b.</w:t>
            </w:r>
          </w:p>
        </w:tc>
        <w:tc>
          <w:tcPr>
            <w:tcW w:w="960" w:type="dxa"/>
            <w:tcBorders>
              <w:top w:val="nil"/>
              <w:left w:val="nil"/>
              <w:bottom w:val="single" w:sz="4" w:space="0" w:color="auto"/>
              <w:right w:val="nil"/>
            </w:tcBorders>
            <w:shd w:val="clear" w:color="auto" w:fill="auto"/>
            <w:noWrap/>
            <w:vAlign w:val="bottom"/>
            <w:hideMark/>
          </w:tcPr>
          <w:p w14:paraId="2D911503"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25,216</w:t>
            </w:r>
          </w:p>
        </w:tc>
        <w:tc>
          <w:tcPr>
            <w:tcW w:w="960" w:type="dxa"/>
            <w:tcBorders>
              <w:top w:val="nil"/>
              <w:left w:val="nil"/>
              <w:bottom w:val="single" w:sz="4" w:space="0" w:color="auto"/>
              <w:right w:val="nil"/>
            </w:tcBorders>
            <w:shd w:val="clear" w:color="auto" w:fill="auto"/>
            <w:noWrap/>
            <w:vAlign w:val="bottom"/>
            <w:hideMark/>
          </w:tcPr>
          <w:p w14:paraId="31DFEF2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36,112</w:t>
            </w:r>
          </w:p>
        </w:tc>
        <w:tc>
          <w:tcPr>
            <w:tcW w:w="960" w:type="dxa"/>
            <w:tcBorders>
              <w:top w:val="nil"/>
              <w:left w:val="nil"/>
              <w:bottom w:val="single" w:sz="4" w:space="0" w:color="auto"/>
              <w:right w:val="nil"/>
            </w:tcBorders>
            <w:shd w:val="clear" w:color="auto" w:fill="auto"/>
            <w:noWrap/>
            <w:vAlign w:val="bottom"/>
            <w:hideMark/>
          </w:tcPr>
          <w:p w14:paraId="76E5930F"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49,279</w:t>
            </w:r>
          </w:p>
        </w:tc>
      </w:tr>
      <w:tr w:rsidR="00AE6E60" w:rsidRPr="00C83162" w14:paraId="5856CA11" w14:textId="77777777" w:rsidTr="00AE6E60">
        <w:trPr>
          <w:trHeight w:val="300"/>
        </w:trPr>
        <w:tc>
          <w:tcPr>
            <w:tcW w:w="6360" w:type="dxa"/>
            <w:tcBorders>
              <w:top w:val="nil"/>
              <w:left w:val="nil"/>
              <w:bottom w:val="nil"/>
              <w:right w:val="nil"/>
            </w:tcBorders>
            <w:shd w:val="clear" w:color="auto" w:fill="auto"/>
            <w:noWrap/>
            <w:vAlign w:val="bottom"/>
            <w:hideMark/>
          </w:tcPr>
          <w:p w14:paraId="395DD492"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6a. Increase SSA Numbers by 10%</w:t>
            </w:r>
          </w:p>
        </w:tc>
        <w:tc>
          <w:tcPr>
            <w:tcW w:w="960" w:type="dxa"/>
            <w:tcBorders>
              <w:top w:val="nil"/>
              <w:left w:val="nil"/>
              <w:bottom w:val="nil"/>
              <w:right w:val="nil"/>
            </w:tcBorders>
            <w:shd w:val="clear" w:color="auto" w:fill="auto"/>
            <w:noWrap/>
            <w:vAlign w:val="bottom"/>
            <w:hideMark/>
          </w:tcPr>
          <w:p w14:paraId="5FB0A5C7"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20,970</w:t>
            </w:r>
          </w:p>
        </w:tc>
        <w:tc>
          <w:tcPr>
            <w:tcW w:w="960" w:type="dxa"/>
            <w:tcBorders>
              <w:top w:val="nil"/>
              <w:left w:val="nil"/>
              <w:bottom w:val="nil"/>
              <w:right w:val="nil"/>
            </w:tcBorders>
            <w:shd w:val="clear" w:color="auto" w:fill="auto"/>
            <w:noWrap/>
            <w:vAlign w:val="bottom"/>
            <w:hideMark/>
          </w:tcPr>
          <w:p w14:paraId="16D49AB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29,684</w:t>
            </w:r>
          </w:p>
        </w:tc>
        <w:tc>
          <w:tcPr>
            <w:tcW w:w="960" w:type="dxa"/>
            <w:tcBorders>
              <w:top w:val="nil"/>
              <w:left w:val="nil"/>
              <w:bottom w:val="nil"/>
              <w:right w:val="nil"/>
            </w:tcBorders>
            <w:shd w:val="clear" w:color="auto" w:fill="auto"/>
            <w:noWrap/>
            <w:vAlign w:val="bottom"/>
            <w:hideMark/>
          </w:tcPr>
          <w:p w14:paraId="7540F729"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39,818</w:t>
            </w:r>
          </w:p>
        </w:tc>
      </w:tr>
      <w:tr w:rsidR="00AE6E60" w:rsidRPr="00C83162" w14:paraId="7D89C92C" w14:textId="77777777" w:rsidTr="00AE6E60">
        <w:trPr>
          <w:trHeight w:val="300"/>
        </w:trPr>
        <w:tc>
          <w:tcPr>
            <w:tcW w:w="6360" w:type="dxa"/>
            <w:tcBorders>
              <w:top w:val="nil"/>
              <w:left w:val="nil"/>
              <w:bottom w:val="nil"/>
              <w:right w:val="nil"/>
            </w:tcBorders>
            <w:shd w:val="clear" w:color="auto" w:fill="auto"/>
            <w:noWrap/>
            <w:vAlign w:val="bottom"/>
            <w:hideMark/>
          </w:tcPr>
          <w:p w14:paraId="1492D6DB"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6b. Increase SSA average cost by 25%</w:t>
            </w:r>
          </w:p>
        </w:tc>
        <w:tc>
          <w:tcPr>
            <w:tcW w:w="960" w:type="dxa"/>
            <w:tcBorders>
              <w:top w:val="nil"/>
              <w:left w:val="nil"/>
              <w:bottom w:val="nil"/>
              <w:right w:val="nil"/>
            </w:tcBorders>
            <w:shd w:val="clear" w:color="auto" w:fill="auto"/>
            <w:noWrap/>
            <w:vAlign w:val="bottom"/>
            <w:hideMark/>
          </w:tcPr>
          <w:p w14:paraId="60493984"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21,822</w:t>
            </w:r>
          </w:p>
        </w:tc>
        <w:tc>
          <w:tcPr>
            <w:tcW w:w="960" w:type="dxa"/>
            <w:tcBorders>
              <w:top w:val="nil"/>
              <w:left w:val="nil"/>
              <w:bottom w:val="nil"/>
              <w:right w:val="nil"/>
            </w:tcBorders>
            <w:shd w:val="clear" w:color="auto" w:fill="auto"/>
            <w:noWrap/>
            <w:vAlign w:val="bottom"/>
            <w:hideMark/>
          </w:tcPr>
          <w:p w14:paraId="7430725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30,939</w:t>
            </w:r>
          </w:p>
        </w:tc>
        <w:tc>
          <w:tcPr>
            <w:tcW w:w="960" w:type="dxa"/>
            <w:tcBorders>
              <w:top w:val="nil"/>
              <w:left w:val="nil"/>
              <w:bottom w:val="nil"/>
              <w:right w:val="nil"/>
            </w:tcBorders>
            <w:shd w:val="clear" w:color="auto" w:fill="auto"/>
            <w:noWrap/>
            <w:vAlign w:val="bottom"/>
            <w:hideMark/>
          </w:tcPr>
          <w:p w14:paraId="01A04BD5"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41,570</w:t>
            </w:r>
          </w:p>
        </w:tc>
      </w:tr>
      <w:tr w:rsidR="00AE6E60" w:rsidRPr="00C83162" w14:paraId="286D49CD" w14:textId="77777777" w:rsidTr="00AE6E60">
        <w:trPr>
          <w:trHeight w:val="300"/>
        </w:trPr>
        <w:tc>
          <w:tcPr>
            <w:tcW w:w="6360" w:type="dxa"/>
            <w:tcBorders>
              <w:top w:val="nil"/>
              <w:left w:val="nil"/>
              <w:bottom w:val="single" w:sz="4" w:space="0" w:color="auto"/>
              <w:right w:val="nil"/>
            </w:tcBorders>
            <w:shd w:val="clear" w:color="auto" w:fill="auto"/>
            <w:noWrap/>
            <w:vAlign w:val="bottom"/>
            <w:hideMark/>
          </w:tcPr>
          <w:p w14:paraId="29F78FED"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6c. Combination of 6a. and 6b.</w:t>
            </w:r>
          </w:p>
        </w:tc>
        <w:tc>
          <w:tcPr>
            <w:tcW w:w="960" w:type="dxa"/>
            <w:tcBorders>
              <w:top w:val="nil"/>
              <w:left w:val="nil"/>
              <w:bottom w:val="single" w:sz="4" w:space="0" w:color="auto"/>
              <w:right w:val="nil"/>
            </w:tcBorders>
            <w:shd w:val="clear" w:color="auto" w:fill="auto"/>
            <w:noWrap/>
            <w:vAlign w:val="bottom"/>
            <w:hideMark/>
          </w:tcPr>
          <w:p w14:paraId="19594E8B"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22,495</w:t>
            </w:r>
          </w:p>
        </w:tc>
        <w:tc>
          <w:tcPr>
            <w:tcW w:w="960" w:type="dxa"/>
            <w:tcBorders>
              <w:top w:val="nil"/>
              <w:left w:val="nil"/>
              <w:bottom w:val="single" w:sz="4" w:space="0" w:color="auto"/>
              <w:right w:val="nil"/>
            </w:tcBorders>
            <w:shd w:val="clear" w:color="auto" w:fill="auto"/>
            <w:noWrap/>
            <w:vAlign w:val="bottom"/>
            <w:hideMark/>
          </w:tcPr>
          <w:p w14:paraId="1226DD00"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31,880</w:t>
            </w:r>
          </w:p>
        </w:tc>
        <w:tc>
          <w:tcPr>
            <w:tcW w:w="960" w:type="dxa"/>
            <w:tcBorders>
              <w:top w:val="nil"/>
              <w:left w:val="nil"/>
              <w:bottom w:val="single" w:sz="4" w:space="0" w:color="auto"/>
              <w:right w:val="nil"/>
            </w:tcBorders>
            <w:shd w:val="clear" w:color="auto" w:fill="auto"/>
            <w:noWrap/>
            <w:vAlign w:val="bottom"/>
            <w:hideMark/>
          </w:tcPr>
          <w:p w14:paraId="77F90CCF"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42,796</w:t>
            </w:r>
          </w:p>
        </w:tc>
      </w:tr>
      <w:tr w:rsidR="00AE6E60" w:rsidRPr="00C83162" w14:paraId="635471D4" w14:textId="77777777" w:rsidTr="00AE6E60">
        <w:trPr>
          <w:trHeight w:val="300"/>
        </w:trPr>
        <w:tc>
          <w:tcPr>
            <w:tcW w:w="6360" w:type="dxa"/>
            <w:tcBorders>
              <w:top w:val="nil"/>
              <w:left w:val="nil"/>
              <w:bottom w:val="single" w:sz="4" w:space="0" w:color="auto"/>
              <w:right w:val="nil"/>
            </w:tcBorders>
            <w:shd w:val="clear" w:color="auto" w:fill="auto"/>
            <w:noWrap/>
            <w:vAlign w:val="bottom"/>
            <w:hideMark/>
          </w:tcPr>
          <w:p w14:paraId="03B506D5"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7a. Remove age based loadings for 65+</w:t>
            </w:r>
          </w:p>
        </w:tc>
        <w:tc>
          <w:tcPr>
            <w:tcW w:w="960" w:type="dxa"/>
            <w:tcBorders>
              <w:top w:val="nil"/>
              <w:left w:val="nil"/>
              <w:bottom w:val="single" w:sz="4" w:space="0" w:color="auto"/>
              <w:right w:val="nil"/>
            </w:tcBorders>
            <w:shd w:val="clear" w:color="auto" w:fill="auto"/>
            <w:noWrap/>
            <w:vAlign w:val="bottom"/>
            <w:hideMark/>
          </w:tcPr>
          <w:p w14:paraId="52D3C62F"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21,176</w:t>
            </w:r>
          </w:p>
        </w:tc>
        <w:tc>
          <w:tcPr>
            <w:tcW w:w="960" w:type="dxa"/>
            <w:tcBorders>
              <w:top w:val="nil"/>
              <w:left w:val="nil"/>
              <w:bottom w:val="single" w:sz="4" w:space="0" w:color="auto"/>
              <w:right w:val="nil"/>
            </w:tcBorders>
            <w:shd w:val="clear" w:color="auto" w:fill="auto"/>
            <w:noWrap/>
            <w:vAlign w:val="bottom"/>
            <w:hideMark/>
          </w:tcPr>
          <w:p w14:paraId="2166EAB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30,068</w:t>
            </w:r>
          </w:p>
        </w:tc>
        <w:tc>
          <w:tcPr>
            <w:tcW w:w="960" w:type="dxa"/>
            <w:tcBorders>
              <w:top w:val="nil"/>
              <w:left w:val="nil"/>
              <w:bottom w:val="single" w:sz="4" w:space="0" w:color="auto"/>
              <w:right w:val="nil"/>
            </w:tcBorders>
            <w:shd w:val="clear" w:color="auto" w:fill="auto"/>
            <w:noWrap/>
            <w:vAlign w:val="bottom"/>
            <w:hideMark/>
          </w:tcPr>
          <w:p w14:paraId="0448438F"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40,729</w:t>
            </w:r>
          </w:p>
        </w:tc>
      </w:tr>
      <w:tr w:rsidR="00AE6E60" w:rsidRPr="00C83162" w14:paraId="7EEE7E25" w14:textId="77777777" w:rsidTr="00AE6E60">
        <w:trPr>
          <w:trHeight w:val="300"/>
        </w:trPr>
        <w:tc>
          <w:tcPr>
            <w:tcW w:w="6360" w:type="dxa"/>
            <w:tcBorders>
              <w:top w:val="nil"/>
              <w:left w:val="nil"/>
              <w:bottom w:val="single" w:sz="4" w:space="0" w:color="auto"/>
              <w:right w:val="nil"/>
            </w:tcBorders>
            <w:shd w:val="clear" w:color="auto" w:fill="auto"/>
            <w:noWrap/>
            <w:vAlign w:val="bottom"/>
            <w:hideMark/>
          </w:tcPr>
          <w:p w14:paraId="399FCAA7"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10a. Exclude GI/MM from NIIS</w:t>
            </w:r>
          </w:p>
        </w:tc>
        <w:tc>
          <w:tcPr>
            <w:tcW w:w="960" w:type="dxa"/>
            <w:tcBorders>
              <w:top w:val="nil"/>
              <w:left w:val="nil"/>
              <w:bottom w:val="single" w:sz="4" w:space="0" w:color="auto"/>
              <w:right w:val="nil"/>
            </w:tcBorders>
            <w:shd w:val="clear" w:color="auto" w:fill="auto"/>
            <w:noWrap/>
            <w:vAlign w:val="bottom"/>
            <w:hideMark/>
          </w:tcPr>
          <w:p w14:paraId="422E2D14"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21,240</w:t>
            </w:r>
          </w:p>
        </w:tc>
        <w:tc>
          <w:tcPr>
            <w:tcW w:w="960" w:type="dxa"/>
            <w:tcBorders>
              <w:top w:val="nil"/>
              <w:left w:val="nil"/>
              <w:bottom w:val="single" w:sz="4" w:space="0" w:color="auto"/>
              <w:right w:val="nil"/>
            </w:tcBorders>
            <w:shd w:val="clear" w:color="auto" w:fill="auto"/>
            <w:noWrap/>
            <w:vAlign w:val="bottom"/>
            <w:hideMark/>
          </w:tcPr>
          <w:p w14:paraId="00842BE4"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30,492</w:t>
            </w:r>
          </w:p>
        </w:tc>
        <w:tc>
          <w:tcPr>
            <w:tcW w:w="960" w:type="dxa"/>
            <w:tcBorders>
              <w:top w:val="nil"/>
              <w:left w:val="nil"/>
              <w:bottom w:val="single" w:sz="4" w:space="0" w:color="auto"/>
              <w:right w:val="nil"/>
            </w:tcBorders>
            <w:shd w:val="clear" w:color="auto" w:fill="auto"/>
            <w:noWrap/>
            <w:vAlign w:val="bottom"/>
            <w:hideMark/>
          </w:tcPr>
          <w:p w14:paraId="69947236"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41,783</w:t>
            </w:r>
          </w:p>
        </w:tc>
      </w:tr>
    </w:tbl>
    <w:p w14:paraId="1E6A58C4" w14:textId="77777777" w:rsidR="00AE6E60" w:rsidRPr="004115D1" w:rsidRDefault="00AE6E60">
      <w:pPr>
        <w:pStyle w:val="FSRHeading4"/>
      </w:pPr>
      <w:r w:rsidRPr="004115D1">
        <w:t>2017-18 Scenarios</w:t>
      </w:r>
    </w:p>
    <w:tbl>
      <w:tblPr>
        <w:tblW w:w="9172" w:type="dxa"/>
        <w:tblLook w:val="04A0" w:firstRow="1" w:lastRow="0" w:firstColumn="1" w:lastColumn="0" w:noHBand="0" w:noVBand="1"/>
      </w:tblPr>
      <w:tblGrid>
        <w:gridCol w:w="461"/>
        <w:gridCol w:w="5351"/>
        <w:gridCol w:w="1026"/>
        <w:gridCol w:w="1167"/>
        <w:gridCol w:w="1167"/>
      </w:tblGrid>
      <w:tr w:rsidR="00911A3E" w:rsidRPr="00C83162" w14:paraId="44A60D64" w14:textId="77777777" w:rsidTr="00DA3F73">
        <w:trPr>
          <w:trHeight w:val="284"/>
        </w:trPr>
        <w:tc>
          <w:tcPr>
            <w:tcW w:w="5812" w:type="dxa"/>
            <w:gridSpan w:val="2"/>
            <w:tcBorders>
              <w:top w:val="nil"/>
              <w:left w:val="nil"/>
              <w:bottom w:val="nil"/>
              <w:right w:val="nil"/>
            </w:tcBorders>
            <w:shd w:val="clear" w:color="000000" w:fill="6B2976"/>
            <w:noWrap/>
            <w:vAlign w:val="center"/>
            <w:hideMark/>
          </w:tcPr>
          <w:p w14:paraId="70DC0C79" w14:textId="77777777" w:rsidR="00911A3E" w:rsidRPr="00DA3F73" w:rsidRDefault="00911A3E">
            <w:pPr>
              <w:spacing w:after="0" w:line="240" w:lineRule="auto"/>
              <w:rPr>
                <w:rFonts w:eastAsia="Times New Roman" w:cs="Arial"/>
                <w:b/>
                <w:bCs/>
                <w:color w:val="FFFFFF"/>
                <w:sz w:val="18"/>
                <w:szCs w:val="18"/>
                <w:lang w:eastAsia="en-AU"/>
              </w:rPr>
            </w:pPr>
            <w:r w:rsidRPr="00DA3F73">
              <w:rPr>
                <w:rFonts w:eastAsia="Times New Roman" w:cs="Arial"/>
                <w:b/>
                <w:bCs/>
                <w:color w:val="FFFFFF"/>
                <w:sz w:val="18"/>
                <w:szCs w:val="18"/>
                <w:lang w:eastAsia="en-AU"/>
              </w:rPr>
              <w:t>Total participant costs ($m)</w:t>
            </w:r>
          </w:p>
        </w:tc>
        <w:tc>
          <w:tcPr>
            <w:tcW w:w="1026" w:type="dxa"/>
            <w:tcBorders>
              <w:top w:val="nil"/>
              <w:left w:val="nil"/>
              <w:bottom w:val="nil"/>
              <w:right w:val="nil"/>
            </w:tcBorders>
            <w:shd w:val="clear" w:color="000000" w:fill="6B2976"/>
            <w:noWrap/>
            <w:vAlign w:val="center"/>
            <w:hideMark/>
          </w:tcPr>
          <w:p w14:paraId="44D783C7" w14:textId="77777777" w:rsidR="00911A3E" w:rsidRPr="00DA3F73" w:rsidRDefault="00911A3E">
            <w:pPr>
              <w:spacing w:after="0" w:line="240" w:lineRule="auto"/>
              <w:jc w:val="right"/>
              <w:rPr>
                <w:rFonts w:eastAsia="Times New Roman" w:cs="Arial"/>
                <w:b/>
                <w:bCs/>
                <w:color w:val="FFFFFF"/>
                <w:sz w:val="18"/>
                <w:szCs w:val="18"/>
                <w:lang w:eastAsia="en-AU"/>
              </w:rPr>
            </w:pPr>
            <w:r w:rsidRPr="00DE2B95">
              <w:rPr>
                <w:rFonts w:eastAsia="Times New Roman" w:cs="Arial"/>
                <w:b/>
                <w:bCs/>
                <w:color w:val="FFFFFF"/>
                <w:sz w:val="18"/>
                <w:szCs w:val="18"/>
                <w:lang w:eastAsia="en-AU"/>
              </w:rPr>
              <w:t>20</w:t>
            </w:r>
            <w:r>
              <w:rPr>
                <w:rFonts w:eastAsia="Times New Roman" w:cs="Arial"/>
                <w:b/>
                <w:bCs/>
                <w:color w:val="FFFFFF"/>
                <w:sz w:val="18"/>
                <w:szCs w:val="18"/>
                <w:lang w:eastAsia="en-AU"/>
              </w:rPr>
              <w:t>19-</w:t>
            </w:r>
            <w:r w:rsidRPr="00DE2B95">
              <w:rPr>
                <w:rFonts w:eastAsia="Times New Roman" w:cs="Arial"/>
                <w:b/>
                <w:bCs/>
                <w:color w:val="FFFFFF"/>
                <w:sz w:val="18"/>
                <w:szCs w:val="18"/>
                <w:lang w:eastAsia="en-AU"/>
              </w:rPr>
              <w:t>20</w:t>
            </w:r>
          </w:p>
        </w:tc>
        <w:tc>
          <w:tcPr>
            <w:tcW w:w="1167" w:type="dxa"/>
            <w:tcBorders>
              <w:top w:val="nil"/>
              <w:left w:val="nil"/>
              <w:bottom w:val="nil"/>
              <w:right w:val="nil"/>
            </w:tcBorders>
            <w:shd w:val="clear" w:color="000000" w:fill="6B2976"/>
            <w:noWrap/>
            <w:vAlign w:val="center"/>
            <w:hideMark/>
          </w:tcPr>
          <w:p w14:paraId="1AE75305" w14:textId="77777777" w:rsidR="00911A3E" w:rsidRPr="00DA3F73" w:rsidRDefault="00911A3E">
            <w:pPr>
              <w:spacing w:after="0" w:line="240" w:lineRule="auto"/>
              <w:jc w:val="right"/>
              <w:rPr>
                <w:rFonts w:eastAsia="Times New Roman" w:cs="Arial"/>
                <w:b/>
                <w:bCs/>
                <w:color w:val="FFFFFF"/>
                <w:sz w:val="18"/>
                <w:szCs w:val="18"/>
                <w:lang w:eastAsia="en-AU"/>
              </w:rPr>
            </w:pPr>
            <w:r w:rsidRPr="00DE2B95">
              <w:rPr>
                <w:rFonts w:eastAsia="Times New Roman" w:cs="Arial"/>
                <w:b/>
                <w:bCs/>
                <w:color w:val="FFFFFF"/>
                <w:sz w:val="18"/>
                <w:szCs w:val="18"/>
                <w:lang w:eastAsia="en-AU"/>
              </w:rPr>
              <w:t>20</w:t>
            </w:r>
            <w:r>
              <w:rPr>
                <w:rFonts w:eastAsia="Times New Roman" w:cs="Arial"/>
                <w:b/>
                <w:bCs/>
                <w:color w:val="FFFFFF"/>
                <w:sz w:val="18"/>
                <w:szCs w:val="18"/>
                <w:lang w:eastAsia="en-AU"/>
              </w:rPr>
              <w:t>24-</w:t>
            </w:r>
            <w:r w:rsidRPr="00DE2B95">
              <w:rPr>
                <w:rFonts w:eastAsia="Times New Roman" w:cs="Arial"/>
                <w:b/>
                <w:bCs/>
                <w:color w:val="FFFFFF"/>
                <w:sz w:val="18"/>
                <w:szCs w:val="18"/>
                <w:lang w:eastAsia="en-AU"/>
              </w:rPr>
              <w:t>25</w:t>
            </w:r>
          </w:p>
        </w:tc>
        <w:tc>
          <w:tcPr>
            <w:tcW w:w="1167" w:type="dxa"/>
            <w:tcBorders>
              <w:top w:val="nil"/>
              <w:left w:val="nil"/>
              <w:bottom w:val="nil"/>
              <w:right w:val="nil"/>
            </w:tcBorders>
            <w:shd w:val="clear" w:color="000000" w:fill="6B2976"/>
            <w:noWrap/>
            <w:vAlign w:val="center"/>
            <w:hideMark/>
          </w:tcPr>
          <w:p w14:paraId="3768A59B" w14:textId="77777777" w:rsidR="00911A3E" w:rsidRPr="00DA3F73" w:rsidRDefault="00911A3E">
            <w:pPr>
              <w:spacing w:after="0" w:line="240" w:lineRule="auto"/>
              <w:jc w:val="right"/>
              <w:rPr>
                <w:rFonts w:eastAsia="Times New Roman" w:cs="Arial"/>
                <w:b/>
                <w:bCs/>
                <w:color w:val="FFFFFF"/>
                <w:sz w:val="18"/>
                <w:szCs w:val="18"/>
                <w:lang w:eastAsia="en-AU"/>
              </w:rPr>
            </w:pPr>
            <w:r w:rsidRPr="00DE2B95">
              <w:rPr>
                <w:rFonts w:eastAsia="Times New Roman" w:cs="Arial"/>
                <w:b/>
                <w:bCs/>
                <w:color w:val="FFFFFF"/>
                <w:sz w:val="18"/>
                <w:szCs w:val="18"/>
                <w:lang w:eastAsia="en-AU"/>
              </w:rPr>
              <w:t>20</w:t>
            </w:r>
            <w:r>
              <w:rPr>
                <w:rFonts w:eastAsia="Times New Roman" w:cs="Arial"/>
                <w:b/>
                <w:bCs/>
                <w:color w:val="FFFFFF"/>
                <w:sz w:val="18"/>
                <w:szCs w:val="18"/>
                <w:lang w:eastAsia="en-AU"/>
              </w:rPr>
              <w:t>29-</w:t>
            </w:r>
            <w:r w:rsidRPr="00DE2B95">
              <w:rPr>
                <w:rFonts w:eastAsia="Times New Roman" w:cs="Arial"/>
                <w:b/>
                <w:bCs/>
                <w:color w:val="FFFFFF"/>
                <w:sz w:val="18"/>
                <w:szCs w:val="18"/>
                <w:lang w:eastAsia="en-AU"/>
              </w:rPr>
              <w:t>30</w:t>
            </w:r>
          </w:p>
        </w:tc>
      </w:tr>
      <w:tr w:rsidR="00AE6E60" w:rsidRPr="00C83162" w14:paraId="1BE0F9F3" w14:textId="77777777" w:rsidTr="00DA3F73">
        <w:trPr>
          <w:trHeight w:val="270"/>
        </w:trPr>
        <w:tc>
          <w:tcPr>
            <w:tcW w:w="461" w:type="dxa"/>
            <w:tcBorders>
              <w:top w:val="nil"/>
              <w:left w:val="nil"/>
              <w:bottom w:val="single" w:sz="4" w:space="0" w:color="auto"/>
              <w:right w:val="nil"/>
            </w:tcBorders>
            <w:shd w:val="clear" w:color="auto" w:fill="auto"/>
            <w:noWrap/>
            <w:vAlign w:val="bottom"/>
            <w:hideMark/>
          </w:tcPr>
          <w:p w14:paraId="315C8640"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 </w:t>
            </w:r>
          </w:p>
        </w:tc>
        <w:tc>
          <w:tcPr>
            <w:tcW w:w="5351" w:type="dxa"/>
            <w:tcBorders>
              <w:top w:val="nil"/>
              <w:left w:val="nil"/>
              <w:bottom w:val="single" w:sz="4" w:space="0" w:color="auto"/>
              <w:right w:val="nil"/>
            </w:tcBorders>
            <w:shd w:val="clear" w:color="auto" w:fill="auto"/>
            <w:noWrap/>
            <w:vAlign w:val="bottom"/>
            <w:hideMark/>
          </w:tcPr>
          <w:p w14:paraId="459725AF"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2017-18 Baseline</w:t>
            </w:r>
          </w:p>
        </w:tc>
        <w:tc>
          <w:tcPr>
            <w:tcW w:w="1026" w:type="dxa"/>
            <w:tcBorders>
              <w:top w:val="nil"/>
              <w:left w:val="nil"/>
              <w:bottom w:val="single" w:sz="4" w:space="0" w:color="auto"/>
              <w:right w:val="nil"/>
            </w:tcBorders>
            <w:shd w:val="clear" w:color="auto" w:fill="auto"/>
            <w:noWrap/>
            <w:vAlign w:val="bottom"/>
            <w:hideMark/>
          </w:tcPr>
          <w:p w14:paraId="528D7BA5"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15,638</w:t>
            </w:r>
          </w:p>
        </w:tc>
        <w:tc>
          <w:tcPr>
            <w:tcW w:w="1167" w:type="dxa"/>
            <w:tcBorders>
              <w:top w:val="nil"/>
              <w:left w:val="nil"/>
              <w:bottom w:val="single" w:sz="4" w:space="0" w:color="auto"/>
              <w:right w:val="nil"/>
            </w:tcBorders>
            <w:shd w:val="clear" w:color="auto" w:fill="auto"/>
            <w:noWrap/>
            <w:vAlign w:val="bottom"/>
            <w:hideMark/>
          </w:tcPr>
          <w:p w14:paraId="18CD5750"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31,715</w:t>
            </w:r>
          </w:p>
        </w:tc>
        <w:tc>
          <w:tcPr>
            <w:tcW w:w="1167" w:type="dxa"/>
            <w:tcBorders>
              <w:top w:val="nil"/>
              <w:left w:val="nil"/>
              <w:bottom w:val="single" w:sz="4" w:space="0" w:color="auto"/>
              <w:right w:val="nil"/>
            </w:tcBorders>
            <w:shd w:val="clear" w:color="auto" w:fill="auto"/>
            <w:noWrap/>
            <w:vAlign w:val="bottom"/>
            <w:hideMark/>
          </w:tcPr>
          <w:p w14:paraId="189B60E5"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44,395</w:t>
            </w:r>
          </w:p>
        </w:tc>
      </w:tr>
      <w:tr w:rsidR="00AE6E60" w:rsidRPr="00C83162" w14:paraId="3A7078D0" w14:textId="77777777" w:rsidTr="00DA3F73">
        <w:trPr>
          <w:trHeight w:val="270"/>
        </w:trPr>
        <w:tc>
          <w:tcPr>
            <w:tcW w:w="461" w:type="dxa"/>
            <w:tcBorders>
              <w:top w:val="nil"/>
              <w:left w:val="nil"/>
              <w:bottom w:val="nil"/>
              <w:right w:val="nil"/>
            </w:tcBorders>
            <w:shd w:val="clear" w:color="auto" w:fill="auto"/>
            <w:noWrap/>
            <w:vAlign w:val="bottom"/>
            <w:hideMark/>
          </w:tcPr>
          <w:p w14:paraId="20E1A111"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1a</w:t>
            </w:r>
          </w:p>
        </w:tc>
        <w:tc>
          <w:tcPr>
            <w:tcW w:w="5351" w:type="dxa"/>
            <w:tcBorders>
              <w:top w:val="nil"/>
              <w:left w:val="nil"/>
              <w:bottom w:val="nil"/>
              <w:right w:val="nil"/>
            </w:tcBorders>
            <w:shd w:val="clear" w:color="auto" w:fill="auto"/>
            <w:noWrap/>
            <w:vAlign w:val="bottom"/>
            <w:hideMark/>
          </w:tcPr>
          <w:p w14:paraId="0AECCF16"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Higher Autism exits</w:t>
            </w:r>
          </w:p>
        </w:tc>
        <w:tc>
          <w:tcPr>
            <w:tcW w:w="1026" w:type="dxa"/>
            <w:tcBorders>
              <w:top w:val="nil"/>
              <w:left w:val="nil"/>
              <w:bottom w:val="nil"/>
              <w:right w:val="nil"/>
            </w:tcBorders>
            <w:shd w:val="clear" w:color="auto" w:fill="auto"/>
            <w:noWrap/>
            <w:vAlign w:val="bottom"/>
            <w:hideMark/>
          </w:tcPr>
          <w:p w14:paraId="39D14487"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15,453</w:t>
            </w:r>
          </w:p>
        </w:tc>
        <w:tc>
          <w:tcPr>
            <w:tcW w:w="1167" w:type="dxa"/>
            <w:tcBorders>
              <w:top w:val="nil"/>
              <w:left w:val="nil"/>
              <w:bottom w:val="nil"/>
              <w:right w:val="nil"/>
            </w:tcBorders>
            <w:shd w:val="clear" w:color="auto" w:fill="auto"/>
            <w:noWrap/>
            <w:vAlign w:val="bottom"/>
            <w:hideMark/>
          </w:tcPr>
          <w:p w14:paraId="2C3EB819"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30,171</w:t>
            </w:r>
          </w:p>
        </w:tc>
        <w:tc>
          <w:tcPr>
            <w:tcW w:w="1167" w:type="dxa"/>
            <w:tcBorders>
              <w:top w:val="nil"/>
              <w:left w:val="nil"/>
              <w:bottom w:val="nil"/>
              <w:right w:val="nil"/>
            </w:tcBorders>
            <w:shd w:val="clear" w:color="auto" w:fill="auto"/>
            <w:noWrap/>
            <w:vAlign w:val="bottom"/>
            <w:hideMark/>
          </w:tcPr>
          <w:p w14:paraId="7D2974B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40,485</w:t>
            </w:r>
          </w:p>
        </w:tc>
      </w:tr>
      <w:tr w:rsidR="00AE6E60" w:rsidRPr="00C83162" w14:paraId="54FE4483" w14:textId="77777777" w:rsidTr="00DA3F73">
        <w:trPr>
          <w:trHeight w:val="270"/>
        </w:trPr>
        <w:tc>
          <w:tcPr>
            <w:tcW w:w="461" w:type="dxa"/>
            <w:tcBorders>
              <w:top w:val="nil"/>
              <w:left w:val="nil"/>
              <w:bottom w:val="single" w:sz="4" w:space="0" w:color="auto"/>
              <w:right w:val="nil"/>
            </w:tcBorders>
            <w:shd w:val="clear" w:color="auto" w:fill="auto"/>
            <w:noWrap/>
            <w:vAlign w:val="bottom"/>
            <w:hideMark/>
          </w:tcPr>
          <w:p w14:paraId="07D78AAC"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1b</w:t>
            </w:r>
          </w:p>
        </w:tc>
        <w:tc>
          <w:tcPr>
            <w:tcW w:w="5351" w:type="dxa"/>
            <w:tcBorders>
              <w:top w:val="nil"/>
              <w:left w:val="nil"/>
              <w:bottom w:val="single" w:sz="4" w:space="0" w:color="auto"/>
              <w:right w:val="nil"/>
            </w:tcBorders>
            <w:shd w:val="clear" w:color="auto" w:fill="auto"/>
            <w:noWrap/>
            <w:vAlign w:val="bottom"/>
            <w:hideMark/>
          </w:tcPr>
          <w:p w14:paraId="72EFAA6B"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Lower Autism exits</w:t>
            </w:r>
          </w:p>
        </w:tc>
        <w:tc>
          <w:tcPr>
            <w:tcW w:w="1026" w:type="dxa"/>
            <w:tcBorders>
              <w:top w:val="nil"/>
              <w:left w:val="nil"/>
              <w:bottom w:val="single" w:sz="4" w:space="0" w:color="auto"/>
              <w:right w:val="nil"/>
            </w:tcBorders>
            <w:shd w:val="clear" w:color="auto" w:fill="auto"/>
            <w:noWrap/>
            <w:vAlign w:val="bottom"/>
            <w:hideMark/>
          </w:tcPr>
          <w:p w14:paraId="6F69C514"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15,676</w:t>
            </w:r>
          </w:p>
        </w:tc>
        <w:tc>
          <w:tcPr>
            <w:tcW w:w="1167" w:type="dxa"/>
            <w:tcBorders>
              <w:top w:val="nil"/>
              <w:left w:val="nil"/>
              <w:bottom w:val="single" w:sz="4" w:space="0" w:color="auto"/>
              <w:right w:val="nil"/>
            </w:tcBorders>
            <w:shd w:val="clear" w:color="auto" w:fill="auto"/>
            <w:noWrap/>
            <w:vAlign w:val="bottom"/>
            <w:hideMark/>
          </w:tcPr>
          <w:p w14:paraId="47BA73FF"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32,099</w:t>
            </w:r>
          </w:p>
        </w:tc>
        <w:tc>
          <w:tcPr>
            <w:tcW w:w="1167" w:type="dxa"/>
            <w:tcBorders>
              <w:top w:val="nil"/>
              <w:left w:val="nil"/>
              <w:bottom w:val="single" w:sz="4" w:space="0" w:color="auto"/>
              <w:right w:val="nil"/>
            </w:tcBorders>
            <w:shd w:val="clear" w:color="auto" w:fill="auto"/>
            <w:noWrap/>
            <w:vAlign w:val="bottom"/>
            <w:hideMark/>
          </w:tcPr>
          <w:p w14:paraId="5700CE7C"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45,579</w:t>
            </w:r>
          </w:p>
        </w:tc>
      </w:tr>
      <w:tr w:rsidR="00AE6E60" w:rsidRPr="00C83162" w14:paraId="4570BB67" w14:textId="77777777" w:rsidTr="00DA3F73">
        <w:trPr>
          <w:trHeight w:val="270"/>
        </w:trPr>
        <w:tc>
          <w:tcPr>
            <w:tcW w:w="461" w:type="dxa"/>
            <w:tcBorders>
              <w:top w:val="nil"/>
              <w:left w:val="nil"/>
              <w:bottom w:val="single" w:sz="4" w:space="0" w:color="auto"/>
              <w:right w:val="nil"/>
            </w:tcBorders>
            <w:shd w:val="clear" w:color="auto" w:fill="auto"/>
            <w:noWrap/>
            <w:vAlign w:val="bottom"/>
            <w:hideMark/>
          </w:tcPr>
          <w:p w14:paraId="39972AC9"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2</w:t>
            </w:r>
          </w:p>
        </w:tc>
        <w:tc>
          <w:tcPr>
            <w:tcW w:w="5351" w:type="dxa"/>
            <w:tcBorders>
              <w:top w:val="nil"/>
              <w:left w:val="nil"/>
              <w:bottom w:val="single" w:sz="4" w:space="0" w:color="auto"/>
              <w:right w:val="nil"/>
            </w:tcBorders>
            <w:shd w:val="clear" w:color="auto" w:fill="auto"/>
            <w:noWrap/>
            <w:vAlign w:val="bottom"/>
            <w:hideMark/>
          </w:tcPr>
          <w:p w14:paraId="775128A6"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Intellectual disability new incidence hump 17-22 yrs</w:t>
            </w:r>
          </w:p>
        </w:tc>
        <w:tc>
          <w:tcPr>
            <w:tcW w:w="1026" w:type="dxa"/>
            <w:tcBorders>
              <w:top w:val="nil"/>
              <w:left w:val="nil"/>
              <w:bottom w:val="single" w:sz="4" w:space="0" w:color="auto"/>
              <w:right w:val="nil"/>
            </w:tcBorders>
            <w:shd w:val="clear" w:color="auto" w:fill="auto"/>
            <w:noWrap/>
            <w:vAlign w:val="bottom"/>
            <w:hideMark/>
          </w:tcPr>
          <w:p w14:paraId="7F915B04"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15,638</w:t>
            </w:r>
          </w:p>
        </w:tc>
        <w:tc>
          <w:tcPr>
            <w:tcW w:w="1167" w:type="dxa"/>
            <w:tcBorders>
              <w:top w:val="nil"/>
              <w:left w:val="nil"/>
              <w:bottom w:val="single" w:sz="4" w:space="0" w:color="auto"/>
              <w:right w:val="nil"/>
            </w:tcBorders>
            <w:shd w:val="clear" w:color="auto" w:fill="auto"/>
            <w:noWrap/>
            <w:vAlign w:val="bottom"/>
            <w:hideMark/>
          </w:tcPr>
          <w:p w14:paraId="065DAC4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32,008</w:t>
            </w:r>
          </w:p>
        </w:tc>
        <w:tc>
          <w:tcPr>
            <w:tcW w:w="1167" w:type="dxa"/>
            <w:tcBorders>
              <w:top w:val="nil"/>
              <w:left w:val="nil"/>
              <w:bottom w:val="single" w:sz="4" w:space="0" w:color="auto"/>
              <w:right w:val="nil"/>
            </w:tcBorders>
            <w:shd w:val="clear" w:color="auto" w:fill="auto"/>
            <w:noWrap/>
            <w:vAlign w:val="bottom"/>
            <w:hideMark/>
          </w:tcPr>
          <w:p w14:paraId="52A60092"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46,518</w:t>
            </w:r>
          </w:p>
        </w:tc>
      </w:tr>
      <w:tr w:rsidR="00AE6E60" w:rsidRPr="00C83162" w14:paraId="3A6BA310" w14:textId="77777777" w:rsidTr="00DA3F73">
        <w:trPr>
          <w:trHeight w:val="270"/>
        </w:trPr>
        <w:tc>
          <w:tcPr>
            <w:tcW w:w="461" w:type="dxa"/>
            <w:tcBorders>
              <w:top w:val="nil"/>
              <w:left w:val="nil"/>
              <w:bottom w:val="nil"/>
              <w:right w:val="nil"/>
            </w:tcBorders>
            <w:shd w:val="clear" w:color="auto" w:fill="auto"/>
            <w:noWrap/>
            <w:vAlign w:val="bottom"/>
            <w:hideMark/>
          </w:tcPr>
          <w:p w14:paraId="10D23A82"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3a</w:t>
            </w:r>
          </w:p>
        </w:tc>
        <w:tc>
          <w:tcPr>
            <w:tcW w:w="5351" w:type="dxa"/>
            <w:tcBorders>
              <w:top w:val="nil"/>
              <w:left w:val="nil"/>
              <w:bottom w:val="nil"/>
              <w:right w:val="nil"/>
            </w:tcBorders>
            <w:shd w:val="clear" w:color="auto" w:fill="auto"/>
            <w:noWrap/>
            <w:vAlign w:val="bottom"/>
            <w:hideMark/>
          </w:tcPr>
          <w:p w14:paraId="6C1B49C4"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Higher Proportion of participants in SSA (SIL)</w:t>
            </w:r>
          </w:p>
        </w:tc>
        <w:tc>
          <w:tcPr>
            <w:tcW w:w="1026" w:type="dxa"/>
            <w:tcBorders>
              <w:top w:val="nil"/>
              <w:left w:val="nil"/>
              <w:bottom w:val="nil"/>
              <w:right w:val="nil"/>
            </w:tcBorders>
            <w:shd w:val="clear" w:color="auto" w:fill="auto"/>
            <w:noWrap/>
            <w:vAlign w:val="bottom"/>
            <w:hideMark/>
          </w:tcPr>
          <w:p w14:paraId="6DE9DB69"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17,636</w:t>
            </w:r>
          </w:p>
        </w:tc>
        <w:tc>
          <w:tcPr>
            <w:tcW w:w="1167" w:type="dxa"/>
            <w:tcBorders>
              <w:top w:val="nil"/>
              <w:left w:val="nil"/>
              <w:bottom w:val="nil"/>
              <w:right w:val="nil"/>
            </w:tcBorders>
            <w:shd w:val="clear" w:color="auto" w:fill="auto"/>
            <w:noWrap/>
            <w:vAlign w:val="bottom"/>
            <w:hideMark/>
          </w:tcPr>
          <w:p w14:paraId="3F934B0C"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35,769</w:t>
            </w:r>
          </w:p>
        </w:tc>
        <w:tc>
          <w:tcPr>
            <w:tcW w:w="1167" w:type="dxa"/>
            <w:tcBorders>
              <w:top w:val="nil"/>
              <w:left w:val="nil"/>
              <w:bottom w:val="nil"/>
              <w:right w:val="nil"/>
            </w:tcBorders>
            <w:shd w:val="clear" w:color="auto" w:fill="auto"/>
            <w:noWrap/>
            <w:vAlign w:val="bottom"/>
            <w:hideMark/>
          </w:tcPr>
          <w:p w14:paraId="10B2E799"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50,034</w:t>
            </w:r>
          </w:p>
        </w:tc>
      </w:tr>
      <w:tr w:rsidR="00AE6E60" w:rsidRPr="00C83162" w14:paraId="13CD5535" w14:textId="77777777" w:rsidTr="00DA3F73">
        <w:trPr>
          <w:trHeight w:val="270"/>
        </w:trPr>
        <w:tc>
          <w:tcPr>
            <w:tcW w:w="461" w:type="dxa"/>
            <w:tcBorders>
              <w:top w:val="nil"/>
              <w:left w:val="nil"/>
              <w:bottom w:val="nil"/>
              <w:right w:val="nil"/>
            </w:tcBorders>
            <w:shd w:val="clear" w:color="auto" w:fill="auto"/>
            <w:noWrap/>
            <w:vAlign w:val="bottom"/>
            <w:hideMark/>
          </w:tcPr>
          <w:p w14:paraId="4E5B656B"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3b</w:t>
            </w:r>
          </w:p>
        </w:tc>
        <w:tc>
          <w:tcPr>
            <w:tcW w:w="5351" w:type="dxa"/>
            <w:tcBorders>
              <w:top w:val="nil"/>
              <w:left w:val="nil"/>
              <w:bottom w:val="nil"/>
              <w:right w:val="nil"/>
            </w:tcBorders>
            <w:shd w:val="clear" w:color="auto" w:fill="auto"/>
            <w:noWrap/>
            <w:vAlign w:val="bottom"/>
            <w:hideMark/>
          </w:tcPr>
          <w:p w14:paraId="234E9416"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Lower Proportion of participants in SSA (SIL)</w:t>
            </w:r>
          </w:p>
        </w:tc>
        <w:tc>
          <w:tcPr>
            <w:tcW w:w="1026" w:type="dxa"/>
            <w:tcBorders>
              <w:top w:val="nil"/>
              <w:left w:val="nil"/>
              <w:bottom w:val="nil"/>
              <w:right w:val="nil"/>
            </w:tcBorders>
            <w:shd w:val="clear" w:color="auto" w:fill="auto"/>
            <w:noWrap/>
            <w:vAlign w:val="bottom"/>
            <w:hideMark/>
          </w:tcPr>
          <w:p w14:paraId="1893DE25"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15,405</w:t>
            </w:r>
          </w:p>
        </w:tc>
        <w:tc>
          <w:tcPr>
            <w:tcW w:w="1167" w:type="dxa"/>
            <w:tcBorders>
              <w:top w:val="nil"/>
              <w:left w:val="nil"/>
              <w:bottom w:val="nil"/>
              <w:right w:val="nil"/>
            </w:tcBorders>
            <w:shd w:val="clear" w:color="auto" w:fill="auto"/>
            <w:noWrap/>
            <w:vAlign w:val="bottom"/>
            <w:hideMark/>
          </w:tcPr>
          <w:p w14:paraId="7BBDF639"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31,197</w:t>
            </w:r>
          </w:p>
        </w:tc>
        <w:tc>
          <w:tcPr>
            <w:tcW w:w="1167" w:type="dxa"/>
            <w:tcBorders>
              <w:top w:val="nil"/>
              <w:left w:val="nil"/>
              <w:bottom w:val="nil"/>
              <w:right w:val="nil"/>
            </w:tcBorders>
            <w:shd w:val="clear" w:color="auto" w:fill="auto"/>
            <w:noWrap/>
            <w:vAlign w:val="bottom"/>
            <w:hideMark/>
          </w:tcPr>
          <w:p w14:paraId="419BDF2B"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43,556</w:t>
            </w:r>
          </w:p>
        </w:tc>
      </w:tr>
      <w:tr w:rsidR="00AE6E60" w:rsidRPr="00C83162" w14:paraId="7B3BFF8A" w14:textId="77777777" w:rsidTr="00DA3F73">
        <w:trPr>
          <w:trHeight w:val="270"/>
        </w:trPr>
        <w:tc>
          <w:tcPr>
            <w:tcW w:w="461" w:type="dxa"/>
            <w:tcBorders>
              <w:top w:val="nil"/>
              <w:left w:val="nil"/>
              <w:bottom w:val="single" w:sz="4" w:space="0" w:color="auto"/>
              <w:right w:val="nil"/>
            </w:tcBorders>
            <w:shd w:val="clear" w:color="auto" w:fill="auto"/>
            <w:noWrap/>
            <w:vAlign w:val="bottom"/>
            <w:hideMark/>
          </w:tcPr>
          <w:p w14:paraId="474A8AE6"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3c</w:t>
            </w:r>
          </w:p>
        </w:tc>
        <w:tc>
          <w:tcPr>
            <w:tcW w:w="5351" w:type="dxa"/>
            <w:tcBorders>
              <w:top w:val="nil"/>
              <w:left w:val="nil"/>
              <w:bottom w:val="single" w:sz="4" w:space="0" w:color="auto"/>
              <w:right w:val="nil"/>
            </w:tcBorders>
            <w:shd w:val="clear" w:color="auto" w:fill="auto"/>
            <w:noWrap/>
            <w:vAlign w:val="bottom"/>
            <w:hideMark/>
          </w:tcPr>
          <w:p w14:paraId="11BF7FAF"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SSA cost innovation</w:t>
            </w:r>
          </w:p>
        </w:tc>
        <w:tc>
          <w:tcPr>
            <w:tcW w:w="1026" w:type="dxa"/>
            <w:tcBorders>
              <w:top w:val="nil"/>
              <w:left w:val="nil"/>
              <w:bottom w:val="single" w:sz="4" w:space="0" w:color="auto"/>
              <w:right w:val="nil"/>
            </w:tcBorders>
            <w:shd w:val="clear" w:color="auto" w:fill="auto"/>
            <w:noWrap/>
            <w:vAlign w:val="bottom"/>
            <w:hideMark/>
          </w:tcPr>
          <w:p w14:paraId="7A922627"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12,489</w:t>
            </w:r>
          </w:p>
        </w:tc>
        <w:tc>
          <w:tcPr>
            <w:tcW w:w="1167" w:type="dxa"/>
            <w:tcBorders>
              <w:top w:val="nil"/>
              <w:left w:val="nil"/>
              <w:bottom w:val="single" w:sz="4" w:space="0" w:color="auto"/>
              <w:right w:val="nil"/>
            </w:tcBorders>
            <w:shd w:val="clear" w:color="auto" w:fill="auto"/>
            <w:noWrap/>
            <w:vAlign w:val="bottom"/>
            <w:hideMark/>
          </w:tcPr>
          <w:p w14:paraId="53CE8E3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29,261</w:t>
            </w:r>
          </w:p>
        </w:tc>
        <w:tc>
          <w:tcPr>
            <w:tcW w:w="1167" w:type="dxa"/>
            <w:tcBorders>
              <w:top w:val="nil"/>
              <w:left w:val="nil"/>
              <w:bottom w:val="single" w:sz="4" w:space="0" w:color="auto"/>
              <w:right w:val="nil"/>
            </w:tcBorders>
            <w:shd w:val="clear" w:color="auto" w:fill="auto"/>
            <w:noWrap/>
            <w:vAlign w:val="bottom"/>
            <w:hideMark/>
          </w:tcPr>
          <w:p w14:paraId="3633C5E7"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41,178</w:t>
            </w:r>
          </w:p>
        </w:tc>
      </w:tr>
      <w:tr w:rsidR="00AE6E60" w:rsidRPr="00C83162" w14:paraId="04400791" w14:textId="77777777" w:rsidTr="00DA3F73">
        <w:trPr>
          <w:trHeight w:val="270"/>
        </w:trPr>
        <w:tc>
          <w:tcPr>
            <w:tcW w:w="461" w:type="dxa"/>
            <w:tcBorders>
              <w:top w:val="nil"/>
              <w:left w:val="nil"/>
              <w:bottom w:val="nil"/>
              <w:right w:val="nil"/>
            </w:tcBorders>
            <w:shd w:val="clear" w:color="auto" w:fill="auto"/>
            <w:noWrap/>
            <w:vAlign w:val="bottom"/>
            <w:hideMark/>
          </w:tcPr>
          <w:p w14:paraId="47C73C0E"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4a</w:t>
            </w:r>
          </w:p>
        </w:tc>
        <w:tc>
          <w:tcPr>
            <w:tcW w:w="5351" w:type="dxa"/>
            <w:tcBorders>
              <w:top w:val="nil"/>
              <w:left w:val="nil"/>
              <w:bottom w:val="nil"/>
              <w:right w:val="nil"/>
            </w:tcBorders>
            <w:shd w:val="clear" w:color="auto" w:fill="auto"/>
            <w:noWrap/>
            <w:vAlign w:val="bottom"/>
            <w:hideMark/>
          </w:tcPr>
          <w:p w14:paraId="4157C6B8"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Increased Number of adults</w:t>
            </w:r>
          </w:p>
        </w:tc>
        <w:tc>
          <w:tcPr>
            <w:tcW w:w="1026" w:type="dxa"/>
            <w:tcBorders>
              <w:top w:val="nil"/>
              <w:left w:val="nil"/>
              <w:bottom w:val="nil"/>
              <w:right w:val="nil"/>
            </w:tcBorders>
            <w:shd w:val="clear" w:color="auto" w:fill="auto"/>
            <w:noWrap/>
            <w:vAlign w:val="bottom"/>
            <w:hideMark/>
          </w:tcPr>
          <w:p w14:paraId="5F6F4E5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16,276</w:t>
            </w:r>
          </w:p>
        </w:tc>
        <w:tc>
          <w:tcPr>
            <w:tcW w:w="1167" w:type="dxa"/>
            <w:tcBorders>
              <w:top w:val="nil"/>
              <w:left w:val="nil"/>
              <w:bottom w:val="nil"/>
              <w:right w:val="nil"/>
            </w:tcBorders>
            <w:shd w:val="clear" w:color="auto" w:fill="auto"/>
            <w:noWrap/>
            <w:vAlign w:val="bottom"/>
            <w:hideMark/>
          </w:tcPr>
          <w:p w14:paraId="4C1C7296"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38,193</w:t>
            </w:r>
          </w:p>
        </w:tc>
        <w:tc>
          <w:tcPr>
            <w:tcW w:w="1167" w:type="dxa"/>
            <w:tcBorders>
              <w:top w:val="nil"/>
              <w:left w:val="nil"/>
              <w:bottom w:val="nil"/>
              <w:right w:val="nil"/>
            </w:tcBorders>
            <w:shd w:val="clear" w:color="auto" w:fill="auto"/>
            <w:noWrap/>
            <w:vAlign w:val="bottom"/>
            <w:hideMark/>
          </w:tcPr>
          <w:p w14:paraId="7A64B350"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53,883</w:t>
            </w:r>
          </w:p>
        </w:tc>
      </w:tr>
      <w:tr w:rsidR="00AE6E60" w:rsidRPr="00C83162" w14:paraId="70D5FC96" w14:textId="77777777" w:rsidTr="00DA3F73">
        <w:trPr>
          <w:trHeight w:val="270"/>
        </w:trPr>
        <w:tc>
          <w:tcPr>
            <w:tcW w:w="461" w:type="dxa"/>
            <w:tcBorders>
              <w:top w:val="nil"/>
              <w:left w:val="nil"/>
              <w:bottom w:val="nil"/>
              <w:right w:val="nil"/>
            </w:tcBorders>
            <w:shd w:val="clear" w:color="auto" w:fill="auto"/>
            <w:noWrap/>
            <w:vAlign w:val="bottom"/>
            <w:hideMark/>
          </w:tcPr>
          <w:p w14:paraId="276EF0C3"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4b</w:t>
            </w:r>
          </w:p>
        </w:tc>
        <w:tc>
          <w:tcPr>
            <w:tcW w:w="5351" w:type="dxa"/>
            <w:tcBorders>
              <w:top w:val="nil"/>
              <w:left w:val="nil"/>
              <w:bottom w:val="nil"/>
              <w:right w:val="nil"/>
            </w:tcBorders>
            <w:shd w:val="clear" w:color="auto" w:fill="auto"/>
            <w:noWrap/>
            <w:vAlign w:val="bottom"/>
            <w:hideMark/>
          </w:tcPr>
          <w:p w14:paraId="66172D53"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Decreased number of children</w:t>
            </w:r>
          </w:p>
        </w:tc>
        <w:tc>
          <w:tcPr>
            <w:tcW w:w="1026" w:type="dxa"/>
            <w:tcBorders>
              <w:top w:val="nil"/>
              <w:left w:val="nil"/>
              <w:bottom w:val="nil"/>
              <w:right w:val="nil"/>
            </w:tcBorders>
            <w:shd w:val="clear" w:color="auto" w:fill="auto"/>
            <w:noWrap/>
            <w:vAlign w:val="bottom"/>
            <w:hideMark/>
          </w:tcPr>
          <w:p w14:paraId="2232A3B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14,213</w:t>
            </w:r>
          </w:p>
        </w:tc>
        <w:tc>
          <w:tcPr>
            <w:tcW w:w="1167" w:type="dxa"/>
            <w:tcBorders>
              <w:top w:val="nil"/>
              <w:left w:val="nil"/>
              <w:bottom w:val="nil"/>
              <w:right w:val="nil"/>
            </w:tcBorders>
            <w:shd w:val="clear" w:color="auto" w:fill="auto"/>
            <w:noWrap/>
            <w:vAlign w:val="bottom"/>
            <w:hideMark/>
          </w:tcPr>
          <w:p w14:paraId="0BC07AA8"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30,962</w:t>
            </w:r>
          </w:p>
        </w:tc>
        <w:tc>
          <w:tcPr>
            <w:tcW w:w="1167" w:type="dxa"/>
            <w:tcBorders>
              <w:top w:val="nil"/>
              <w:left w:val="nil"/>
              <w:bottom w:val="nil"/>
              <w:right w:val="nil"/>
            </w:tcBorders>
            <w:shd w:val="clear" w:color="auto" w:fill="auto"/>
            <w:noWrap/>
            <w:vAlign w:val="bottom"/>
            <w:hideMark/>
          </w:tcPr>
          <w:p w14:paraId="722E2F35"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43,463</w:t>
            </w:r>
          </w:p>
        </w:tc>
      </w:tr>
      <w:tr w:rsidR="00AE6E60" w:rsidRPr="00C83162" w14:paraId="3D0C14A3" w14:textId="77777777" w:rsidTr="00DA3F73">
        <w:trPr>
          <w:trHeight w:val="270"/>
        </w:trPr>
        <w:tc>
          <w:tcPr>
            <w:tcW w:w="461" w:type="dxa"/>
            <w:tcBorders>
              <w:top w:val="nil"/>
              <w:left w:val="nil"/>
              <w:bottom w:val="single" w:sz="4" w:space="0" w:color="auto"/>
              <w:right w:val="nil"/>
            </w:tcBorders>
            <w:shd w:val="clear" w:color="auto" w:fill="auto"/>
            <w:noWrap/>
            <w:vAlign w:val="bottom"/>
            <w:hideMark/>
          </w:tcPr>
          <w:p w14:paraId="5C47FBE7"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4c</w:t>
            </w:r>
          </w:p>
        </w:tc>
        <w:tc>
          <w:tcPr>
            <w:tcW w:w="5351" w:type="dxa"/>
            <w:tcBorders>
              <w:top w:val="nil"/>
              <w:left w:val="nil"/>
              <w:bottom w:val="single" w:sz="4" w:space="0" w:color="auto"/>
              <w:right w:val="nil"/>
            </w:tcBorders>
            <w:shd w:val="clear" w:color="auto" w:fill="auto"/>
            <w:noWrap/>
            <w:vAlign w:val="bottom"/>
            <w:hideMark/>
          </w:tcPr>
          <w:p w14:paraId="5097BF08"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Increased new entrants</w:t>
            </w:r>
          </w:p>
        </w:tc>
        <w:tc>
          <w:tcPr>
            <w:tcW w:w="1026" w:type="dxa"/>
            <w:tcBorders>
              <w:top w:val="nil"/>
              <w:left w:val="nil"/>
              <w:bottom w:val="single" w:sz="4" w:space="0" w:color="auto"/>
              <w:right w:val="nil"/>
            </w:tcBorders>
            <w:shd w:val="clear" w:color="auto" w:fill="auto"/>
            <w:noWrap/>
            <w:vAlign w:val="bottom"/>
            <w:hideMark/>
          </w:tcPr>
          <w:p w14:paraId="6888883F"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15,887</w:t>
            </w:r>
          </w:p>
        </w:tc>
        <w:tc>
          <w:tcPr>
            <w:tcW w:w="1167" w:type="dxa"/>
            <w:tcBorders>
              <w:top w:val="nil"/>
              <w:left w:val="nil"/>
              <w:bottom w:val="single" w:sz="4" w:space="0" w:color="auto"/>
              <w:right w:val="nil"/>
            </w:tcBorders>
            <w:shd w:val="clear" w:color="auto" w:fill="auto"/>
            <w:noWrap/>
            <w:vAlign w:val="bottom"/>
            <w:hideMark/>
          </w:tcPr>
          <w:p w14:paraId="58DFB9C5"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36,377</w:t>
            </w:r>
          </w:p>
        </w:tc>
        <w:tc>
          <w:tcPr>
            <w:tcW w:w="1167" w:type="dxa"/>
            <w:tcBorders>
              <w:top w:val="nil"/>
              <w:left w:val="nil"/>
              <w:bottom w:val="single" w:sz="4" w:space="0" w:color="auto"/>
              <w:right w:val="nil"/>
            </w:tcBorders>
            <w:shd w:val="clear" w:color="auto" w:fill="auto"/>
            <w:noWrap/>
            <w:vAlign w:val="bottom"/>
            <w:hideMark/>
          </w:tcPr>
          <w:p w14:paraId="19E68F17"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50,143</w:t>
            </w:r>
          </w:p>
        </w:tc>
      </w:tr>
      <w:tr w:rsidR="00AE6E60" w:rsidRPr="00C83162" w14:paraId="2C4D7C66" w14:textId="77777777" w:rsidTr="00DA3F73">
        <w:trPr>
          <w:trHeight w:val="270"/>
        </w:trPr>
        <w:tc>
          <w:tcPr>
            <w:tcW w:w="461" w:type="dxa"/>
            <w:tcBorders>
              <w:top w:val="nil"/>
              <w:left w:val="nil"/>
              <w:bottom w:val="nil"/>
              <w:right w:val="nil"/>
            </w:tcBorders>
            <w:shd w:val="clear" w:color="auto" w:fill="auto"/>
            <w:noWrap/>
            <w:vAlign w:val="bottom"/>
            <w:hideMark/>
          </w:tcPr>
          <w:p w14:paraId="13807C4C"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5a</w:t>
            </w:r>
          </w:p>
        </w:tc>
        <w:tc>
          <w:tcPr>
            <w:tcW w:w="5351" w:type="dxa"/>
            <w:tcBorders>
              <w:top w:val="nil"/>
              <w:left w:val="nil"/>
              <w:bottom w:val="nil"/>
              <w:right w:val="nil"/>
            </w:tcBorders>
            <w:shd w:val="clear" w:color="auto" w:fill="auto"/>
            <w:noWrap/>
            <w:vAlign w:val="bottom"/>
            <w:hideMark/>
          </w:tcPr>
          <w:p w14:paraId="432D233C"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Committed supports and 100% utilisation</w:t>
            </w:r>
          </w:p>
        </w:tc>
        <w:tc>
          <w:tcPr>
            <w:tcW w:w="1026" w:type="dxa"/>
            <w:tcBorders>
              <w:top w:val="nil"/>
              <w:left w:val="nil"/>
              <w:bottom w:val="nil"/>
              <w:right w:val="nil"/>
            </w:tcBorders>
            <w:shd w:val="clear" w:color="auto" w:fill="auto"/>
            <w:noWrap/>
            <w:vAlign w:val="bottom"/>
            <w:hideMark/>
          </w:tcPr>
          <w:p w14:paraId="35AD9468"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18,957</w:t>
            </w:r>
          </w:p>
        </w:tc>
        <w:tc>
          <w:tcPr>
            <w:tcW w:w="1167" w:type="dxa"/>
            <w:tcBorders>
              <w:top w:val="nil"/>
              <w:left w:val="nil"/>
              <w:bottom w:val="nil"/>
              <w:right w:val="nil"/>
            </w:tcBorders>
            <w:shd w:val="clear" w:color="auto" w:fill="auto"/>
            <w:noWrap/>
            <w:vAlign w:val="bottom"/>
            <w:hideMark/>
          </w:tcPr>
          <w:p w14:paraId="5F232AE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38,064</w:t>
            </w:r>
          </w:p>
        </w:tc>
        <w:tc>
          <w:tcPr>
            <w:tcW w:w="1167" w:type="dxa"/>
            <w:tcBorders>
              <w:top w:val="nil"/>
              <w:left w:val="nil"/>
              <w:bottom w:val="nil"/>
              <w:right w:val="nil"/>
            </w:tcBorders>
            <w:shd w:val="clear" w:color="auto" w:fill="auto"/>
            <w:noWrap/>
            <w:vAlign w:val="bottom"/>
            <w:hideMark/>
          </w:tcPr>
          <w:p w14:paraId="6332BB6F"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53,473</w:t>
            </w:r>
          </w:p>
        </w:tc>
      </w:tr>
      <w:tr w:rsidR="00AE6E60" w:rsidRPr="00C83162" w14:paraId="1FEE22BF" w14:textId="77777777" w:rsidTr="00DA3F73">
        <w:trPr>
          <w:trHeight w:val="270"/>
        </w:trPr>
        <w:tc>
          <w:tcPr>
            <w:tcW w:w="461" w:type="dxa"/>
            <w:tcBorders>
              <w:top w:val="nil"/>
              <w:left w:val="nil"/>
              <w:bottom w:val="single" w:sz="4" w:space="0" w:color="auto"/>
              <w:right w:val="nil"/>
            </w:tcBorders>
            <w:shd w:val="clear" w:color="auto" w:fill="auto"/>
            <w:noWrap/>
            <w:vAlign w:val="bottom"/>
            <w:hideMark/>
          </w:tcPr>
          <w:p w14:paraId="33AA1E30"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5b</w:t>
            </w:r>
          </w:p>
        </w:tc>
        <w:tc>
          <w:tcPr>
            <w:tcW w:w="5351" w:type="dxa"/>
            <w:tcBorders>
              <w:top w:val="nil"/>
              <w:left w:val="nil"/>
              <w:bottom w:val="single" w:sz="4" w:space="0" w:color="auto"/>
              <w:right w:val="nil"/>
            </w:tcBorders>
            <w:shd w:val="clear" w:color="auto" w:fill="auto"/>
            <w:noWrap/>
            <w:vAlign w:val="bottom"/>
            <w:hideMark/>
          </w:tcPr>
          <w:p w14:paraId="2054D5B5"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Committed supports and 75% utilisation</w:t>
            </w:r>
          </w:p>
        </w:tc>
        <w:tc>
          <w:tcPr>
            <w:tcW w:w="1026" w:type="dxa"/>
            <w:tcBorders>
              <w:top w:val="nil"/>
              <w:left w:val="nil"/>
              <w:bottom w:val="single" w:sz="4" w:space="0" w:color="auto"/>
              <w:right w:val="nil"/>
            </w:tcBorders>
            <w:shd w:val="clear" w:color="auto" w:fill="auto"/>
            <w:noWrap/>
            <w:vAlign w:val="bottom"/>
            <w:hideMark/>
          </w:tcPr>
          <w:p w14:paraId="7197320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13,839</w:t>
            </w:r>
          </w:p>
        </w:tc>
        <w:tc>
          <w:tcPr>
            <w:tcW w:w="1167" w:type="dxa"/>
            <w:tcBorders>
              <w:top w:val="nil"/>
              <w:left w:val="nil"/>
              <w:bottom w:val="single" w:sz="4" w:space="0" w:color="auto"/>
              <w:right w:val="nil"/>
            </w:tcBorders>
            <w:shd w:val="clear" w:color="auto" w:fill="auto"/>
            <w:noWrap/>
            <w:vAlign w:val="bottom"/>
            <w:hideMark/>
          </w:tcPr>
          <w:p w14:paraId="506830DB"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28,548</w:t>
            </w:r>
          </w:p>
        </w:tc>
        <w:tc>
          <w:tcPr>
            <w:tcW w:w="1167" w:type="dxa"/>
            <w:tcBorders>
              <w:top w:val="nil"/>
              <w:left w:val="nil"/>
              <w:bottom w:val="single" w:sz="4" w:space="0" w:color="auto"/>
              <w:right w:val="nil"/>
            </w:tcBorders>
            <w:shd w:val="clear" w:color="auto" w:fill="auto"/>
            <w:noWrap/>
            <w:vAlign w:val="bottom"/>
            <w:hideMark/>
          </w:tcPr>
          <w:p w14:paraId="48271F72"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40,105</w:t>
            </w:r>
          </w:p>
        </w:tc>
      </w:tr>
      <w:tr w:rsidR="00AE6E60" w:rsidRPr="00C83162" w14:paraId="34E8609F" w14:textId="77777777" w:rsidTr="00DA3F73">
        <w:trPr>
          <w:trHeight w:val="270"/>
        </w:trPr>
        <w:tc>
          <w:tcPr>
            <w:tcW w:w="461" w:type="dxa"/>
            <w:tcBorders>
              <w:top w:val="nil"/>
              <w:left w:val="nil"/>
              <w:bottom w:val="nil"/>
              <w:right w:val="nil"/>
            </w:tcBorders>
            <w:shd w:val="clear" w:color="auto" w:fill="auto"/>
            <w:noWrap/>
            <w:vAlign w:val="bottom"/>
            <w:hideMark/>
          </w:tcPr>
          <w:p w14:paraId="0DB7B40F"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7a</w:t>
            </w:r>
          </w:p>
        </w:tc>
        <w:tc>
          <w:tcPr>
            <w:tcW w:w="5351" w:type="dxa"/>
            <w:tcBorders>
              <w:top w:val="nil"/>
              <w:left w:val="nil"/>
              <w:bottom w:val="nil"/>
              <w:right w:val="nil"/>
            </w:tcBorders>
            <w:shd w:val="clear" w:color="auto" w:fill="auto"/>
            <w:noWrap/>
            <w:vAlign w:val="bottom"/>
            <w:hideMark/>
          </w:tcPr>
          <w:p w14:paraId="5B835F8A"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AAT and mainstream</w:t>
            </w:r>
          </w:p>
        </w:tc>
        <w:tc>
          <w:tcPr>
            <w:tcW w:w="1026" w:type="dxa"/>
            <w:tcBorders>
              <w:top w:val="nil"/>
              <w:left w:val="nil"/>
              <w:bottom w:val="nil"/>
              <w:right w:val="nil"/>
            </w:tcBorders>
            <w:shd w:val="clear" w:color="auto" w:fill="auto"/>
            <w:noWrap/>
            <w:vAlign w:val="bottom"/>
            <w:hideMark/>
          </w:tcPr>
          <w:p w14:paraId="59F524E5"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18,123</w:t>
            </w:r>
          </w:p>
        </w:tc>
        <w:tc>
          <w:tcPr>
            <w:tcW w:w="1167" w:type="dxa"/>
            <w:tcBorders>
              <w:top w:val="nil"/>
              <w:left w:val="nil"/>
              <w:bottom w:val="nil"/>
              <w:right w:val="nil"/>
            </w:tcBorders>
            <w:shd w:val="clear" w:color="auto" w:fill="auto"/>
            <w:noWrap/>
            <w:vAlign w:val="bottom"/>
            <w:hideMark/>
          </w:tcPr>
          <w:p w14:paraId="2C955762"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37,118</w:t>
            </w:r>
          </w:p>
        </w:tc>
        <w:tc>
          <w:tcPr>
            <w:tcW w:w="1167" w:type="dxa"/>
            <w:tcBorders>
              <w:top w:val="nil"/>
              <w:left w:val="nil"/>
              <w:bottom w:val="nil"/>
              <w:right w:val="nil"/>
            </w:tcBorders>
            <w:shd w:val="clear" w:color="auto" w:fill="auto"/>
            <w:noWrap/>
            <w:vAlign w:val="bottom"/>
            <w:hideMark/>
          </w:tcPr>
          <w:p w14:paraId="78461D8B"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51,450</w:t>
            </w:r>
          </w:p>
        </w:tc>
      </w:tr>
      <w:tr w:rsidR="00AE6E60" w:rsidRPr="00C83162" w14:paraId="459A6A90" w14:textId="77777777" w:rsidTr="00DA3F73">
        <w:trPr>
          <w:trHeight w:val="270"/>
        </w:trPr>
        <w:tc>
          <w:tcPr>
            <w:tcW w:w="461" w:type="dxa"/>
            <w:tcBorders>
              <w:top w:val="nil"/>
              <w:left w:val="nil"/>
              <w:bottom w:val="nil"/>
              <w:right w:val="nil"/>
            </w:tcBorders>
            <w:shd w:val="clear" w:color="auto" w:fill="auto"/>
            <w:noWrap/>
            <w:vAlign w:val="bottom"/>
            <w:hideMark/>
          </w:tcPr>
          <w:p w14:paraId="51CF88CE"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7b</w:t>
            </w:r>
          </w:p>
        </w:tc>
        <w:tc>
          <w:tcPr>
            <w:tcW w:w="5351" w:type="dxa"/>
            <w:tcBorders>
              <w:top w:val="nil"/>
              <w:left w:val="nil"/>
              <w:bottom w:val="nil"/>
              <w:right w:val="nil"/>
            </w:tcBorders>
            <w:shd w:val="clear" w:color="auto" w:fill="auto"/>
            <w:noWrap/>
            <w:vAlign w:val="bottom"/>
            <w:hideMark/>
          </w:tcPr>
          <w:p w14:paraId="21C026E5"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AAT, mainstream and level of function movement</w:t>
            </w:r>
          </w:p>
        </w:tc>
        <w:tc>
          <w:tcPr>
            <w:tcW w:w="1026" w:type="dxa"/>
            <w:tcBorders>
              <w:top w:val="nil"/>
              <w:left w:val="nil"/>
              <w:bottom w:val="nil"/>
              <w:right w:val="nil"/>
            </w:tcBorders>
            <w:shd w:val="clear" w:color="auto" w:fill="auto"/>
            <w:noWrap/>
            <w:vAlign w:val="bottom"/>
            <w:hideMark/>
          </w:tcPr>
          <w:p w14:paraId="63A0F3C9"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18,400</w:t>
            </w:r>
          </w:p>
        </w:tc>
        <w:tc>
          <w:tcPr>
            <w:tcW w:w="1167" w:type="dxa"/>
            <w:tcBorders>
              <w:top w:val="nil"/>
              <w:left w:val="nil"/>
              <w:bottom w:val="nil"/>
              <w:right w:val="nil"/>
            </w:tcBorders>
            <w:shd w:val="clear" w:color="auto" w:fill="auto"/>
            <w:noWrap/>
            <w:vAlign w:val="bottom"/>
            <w:hideMark/>
          </w:tcPr>
          <w:p w14:paraId="30B542A2"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37,686</w:t>
            </w:r>
          </w:p>
        </w:tc>
        <w:tc>
          <w:tcPr>
            <w:tcW w:w="1167" w:type="dxa"/>
            <w:tcBorders>
              <w:top w:val="nil"/>
              <w:left w:val="nil"/>
              <w:bottom w:val="nil"/>
              <w:right w:val="nil"/>
            </w:tcBorders>
            <w:shd w:val="clear" w:color="auto" w:fill="auto"/>
            <w:noWrap/>
            <w:vAlign w:val="bottom"/>
            <w:hideMark/>
          </w:tcPr>
          <w:p w14:paraId="34CA07CF"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52,236</w:t>
            </w:r>
          </w:p>
        </w:tc>
      </w:tr>
      <w:tr w:rsidR="00AE6E60" w:rsidRPr="00C83162" w14:paraId="5AD2C460" w14:textId="77777777" w:rsidTr="00DA3F73">
        <w:trPr>
          <w:trHeight w:val="270"/>
        </w:trPr>
        <w:tc>
          <w:tcPr>
            <w:tcW w:w="461" w:type="dxa"/>
            <w:tcBorders>
              <w:top w:val="nil"/>
              <w:left w:val="nil"/>
              <w:bottom w:val="single" w:sz="4" w:space="0" w:color="auto"/>
              <w:right w:val="nil"/>
            </w:tcBorders>
            <w:shd w:val="clear" w:color="auto" w:fill="auto"/>
            <w:noWrap/>
            <w:vAlign w:val="bottom"/>
            <w:hideMark/>
          </w:tcPr>
          <w:p w14:paraId="4FF6F266"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7c</w:t>
            </w:r>
          </w:p>
        </w:tc>
        <w:tc>
          <w:tcPr>
            <w:tcW w:w="5351" w:type="dxa"/>
            <w:tcBorders>
              <w:top w:val="nil"/>
              <w:left w:val="nil"/>
              <w:bottom w:val="single" w:sz="4" w:space="0" w:color="auto"/>
              <w:right w:val="nil"/>
            </w:tcBorders>
            <w:shd w:val="clear" w:color="auto" w:fill="auto"/>
            <w:noWrap/>
            <w:vAlign w:val="bottom"/>
            <w:hideMark/>
          </w:tcPr>
          <w:p w14:paraId="4FBE15F6"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AAT access decisions</w:t>
            </w:r>
          </w:p>
        </w:tc>
        <w:tc>
          <w:tcPr>
            <w:tcW w:w="1026" w:type="dxa"/>
            <w:tcBorders>
              <w:top w:val="nil"/>
              <w:left w:val="nil"/>
              <w:bottom w:val="single" w:sz="4" w:space="0" w:color="auto"/>
              <w:right w:val="nil"/>
            </w:tcBorders>
            <w:shd w:val="clear" w:color="auto" w:fill="auto"/>
            <w:noWrap/>
            <w:vAlign w:val="bottom"/>
            <w:hideMark/>
          </w:tcPr>
          <w:p w14:paraId="4A5D4F37"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16,670</w:t>
            </w:r>
          </w:p>
        </w:tc>
        <w:tc>
          <w:tcPr>
            <w:tcW w:w="1167" w:type="dxa"/>
            <w:tcBorders>
              <w:top w:val="nil"/>
              <w:left w:val="nil"/>
              <w:bottom w:val="single" w:sz="4" w:space="0" w:color="auto"/>
              <w:right w:val="nil"/>
            </w:tcBorders>
            <w:shd w:val="clear" w:color="auto" w:fill="auto"/>
            <w:noWrap/>
            <w:vAlign w:val="bottom"/>
            <w:hideMark/>
          </w:tcPr>
          <w:p w14:paraId="78B4CA7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34,352</w:t>
            </w:r>
          </w:p>
        </w:tc>
        <w:tc>
          <w:tcPr>
            <w:tcW w:w="1167" w:type="dxa"/>
            <w:tcBorders>
              <w:top w:val="nil"/>
              <w:left w:val="nil"/>
              <w:bottom w:val="single" w:sz="4" w:space="0" w:color="auto"/>
              <w:right w:val="nil"/>
            </w:tcBorders>
            <w:shd w:val="clear" w:color="auto" w:fill="auto"/>
            <w:noWrap/>
            <w:vAlign w:val="bottom"/>
            <w:hideMark/>
          </w:tcPr>
          <w:p w14:paraId="4AC74C9B"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47,592</w:t>
            </w:r>
          </w:p>
        </w:tc>
      </w:tr>
      <w:tr w:rsidR="00AE6E60" w:rsidRPr="00C83162" w14:paraId="5525C5A9" w14:textId="77777777" w:rsidTr="00DA3F73">
        <w:trPr>
          <w:trHeight w:val="270"/>
        </w:trPr>
        <w:tc>
          <w:tcPr>
            <w:tcW w:w="461" w:type="dxa"/>
            <w:tcBorders>
              <w:top w:val="nil"/>
              <w:left w:val="nil"/>
              <w:bottom w:val="nil"/>
              <w:right w:val="nil"/>
            </w:tcBorders>
            <w:shd w:val="clear" w:color="auto" w:fill="auto"/>
            <w:noWrap/>
            <w:vAlign w:val="bottom"/>
            <w:hideMark/>
          </w:tcPr>
          <w:p w14:paraId="62C4908F"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8a</w:t>
            </w:r>
          </w:p>
        </w:tc>
        <w:tc>
          <w:tcPr>
            <w:tcW w:w="5351" w:type="dxa"/>
            <w:tcBorders>
              <w:top w:val="nil"/>
              <w:left w:val="nil"/>
              <w:bottom w:val="nil"/>
              <w:right w:val="nil"/>
            </w:tcBorders>
            <w:shd w:val="clear" w:color="auto" w:fill="auto"/>
            <w:noWrap/>
            <w:vAlign w:val="bottom"/>
            <w:hideMark/>
          </w:tcPr>
          <w:p w14:paraId="29EA9731"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3% pa superimposed inflation for 10 years</w:t>
            </w:r>
          </w:p>
        </w:tc>
        <w:tc>
          <w:tcPr>
            <w:tcW w:w="1026" w:type="dxa"/>
            <w:tcBorders>
              <w:top w:val="nil"/>
              <w:left w:val="nil"/>
              <w:bottom w:val="nil"/>
              <w:right w:val="nil"/>
            </w:tcBorders>
            <w:shd w:val="clear" w:color="auto" w:fill="auto"/>
            <w:noWrap/>
            <w:vAlign w:val="bottom"/>
            <w:hideMark/>
          </w:tcPr>
          <w:p w14:paraId="27B6F317"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15,676</w:t>
            </w:r>
          </w:p>
        </w:tc>
        <w:tc>
          <w:tcPr>
            <w:tcW w:w="1167" w:type="dxa"/>
            <w:tcBorders>
              <w:top w:val="nil"/>
              <w:left w:val="nil"/>
              <w:bottom w:val="nil"/>
              <w:right w:val="nil"/>
            </w:tcBorders>
            <w:shd w:val="clear" w:color="auto" w:fill="auto"/>
            <w:noWrap/>
            <w:vAlign w:val="bottom"/>
            <w:hideMark/>
          </w:tcPr>
          <w:p w14:paraId="30988D5A"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35,882</w:t>
            </w:r>
          </w:p>
        </w:tc>
        <w:tc>
          <w:tcPr>
            <w:tcW w:w="1167" w:type="dxa"/>
            <w:tcBorders>
              <w:top w:val="nil"/>
              <w:left w:val="nil"/>
              <w:bottom w:val="nil"/>
              <w:right w:val="nil"/>
            </w:tcBorders>
            <w:shd w:val="clear" w:color="auto" w:fill="auto"/>
            <w:noWrap/>
            <w:vAlign w:val="bottom"/>
            <w:hideMark/>
          </w:tcPr>
          <w:p w14:paraId="677380EC"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55,465</w:t>
            </w:r>
          </w:p>
        </w:tc>
      </w:tr>
      <w:tr w:rsidR="00AE6E60" w:rsidRPr="00C83162" w14:paraId="084582A5" w14:textId="77777777" w:rsidTr="00DA3F73">
        <w:trPr>
          <w:trHeight w:val="270"/>
        </w:trPr>
        <w:tc>
          <w:tcPr>
            <w:tcW w:w="461" w:type="dxa"/>
            <w:tcBorders>
              <w:top w:val="nil"/>
              <w:left w:val="nil"/>
              <w:bottom w:val="single" w:sz="4" w:space="0" w:color="auto"/>
              <w:right w:val="nil"/>
            </w:tcBorders>
            <w:shd w:val="clear" w:color="auto" w:fill="auto"/>
            <w:noWrap/>
            <w:vAlign w:val="bottom"/>
            <w:hideMark/>
          </w:tcPr>
          <w:p w14:paraId="251CBBC3"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8b</w:t>
            </w:r>
          </w:p>
        </w:tc>
        <w:tc>
          <w:tcPr>
            <w:tcW w:w="5351" w:type="dxa"/>
            <w:tcBorders>
              <w:top w:val="nil"/>
              <w:left w:val="nil"/>
              <w:bottom w:val="single" w:sz="4" w:space="0" w:color="auto"/>
              <w:right w:val="nil"/>
            </w:tcBorders>
            <w:shd w:val="clear" w:color="auto" w:fill="auto"/>
            <w:noWrap/>
            <w:vAlign w:val="bottom"/>
            <w:hideMark/>
          </w:tcPr>
          <w:p w14:paraId="5A5BF9BC"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0% superimposed inflation</w:t>
            </w:r>
          </w:p>
        </w:tc>
        <w:tc>
          <w:tcPr>
            <w:tcW w:w="1026" w:type="dxa"/>
            <w:tcBorders>
              <w:top w:val="nil"/>
              <w:left w:val="nil"/>
              <w:bottom w:val="single" w:sz="4" w:space="0" w:color="auto"/>
              <w:right w:val="nil"/>
            </w:tcBorders>
            <w:shd w:val="clear" w:color="auto" w:fill="auto"/>
            <w:noWrap/>
            <w:vAlign w:val="bottom"/>
            <w:hideMark/>
          </w:tcPr>
          <w:p w14:paraId="15888F98"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14,810</w:t>
            </w:r>
          </w:p>
        </w:tc>
        <w:tc>
          <w:tcPr>
            <w:tcW w:w="1167" w:type="dxa"/>
            <w:tcBorders>
              <w:top w:val="nil"/>
              <w:left w:val="nil"/>
              <w:bottom w:val="single" w:sz="4" w:space="0" w:color="auto"/>
              <w:right w:val="nil"/>
            </w:tcBorders>
            <w:shd w:val="clear" w:color="auto" w:fill="auto"/>
            <w:noWrap/>
            <w:vAlign w:val="bottom"/>
            <w:hideMark/>
          </w:tcPr>
          <w:p w14:paraId="32F97C15"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29,407</w:t>
            </w:r>
          </w:p>
        </w:tc>
        <w:tc>
          <w:tcPr>
            <w:tcW w:w="1167" w:type="dxa"/>
            <w:tcBorders>
              <w:top w:val="nil"/>
              <w:left w:val="nil"/>
              <w:bottom w:val="single" w:sz="4" w:space="0" w:color="auto"/>
              <w:right w:val="nil"/>
            </w:tcBorders>
            <w:shd w:val="clear" w:color="auto" w:fill="auto"/>
            <w:noWrap/>
            <w:vAlign w:val="bottom"/>
            <w:hideMark/>
          </w:tcPr>
          <w:p w14:paraId="2819FE82"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41,164</w:t>
            </w:r>
          </w:p>
        </w:tc>
      </w:tr>
    </w:tbl>
    <w:p w14:paraId="6DB19701" w14:textId="77777777" w:rsidR="00AE6E60" w:rsidRDefault="00AE6E60">
      <w:pPr>
        <w:pStyle w:val="FSRHeading4"/>
      </w:pPr>
      <w:r>
        <w:lastRenderedPageBreak/>
        <w:t>2018-19 Scenarios</w:t>
      </w:r>
    </w:p>
    <w:tbl>
      <w:tblPr>
        <w:tblW w:w="9026" w:type="dxa"/>
        <w:tblLook w:val="04A0" w:firstRow="1" w:lastRow="0" w:firstColumn="1" w:lastColumn="0" w:noHBand="0" w:noVBand="1"/>
      </w:tblPr>
      <w:tblGrid>
        <w:gridCol w:w="567"/>
        <w:gridCol w:w="5027"/>
        <w:gridCol w:w="1144"/>
        <w:gridCol w:w="1144"/>
        <w:gridCol w:w="1144"/>
      </w:tblGrid>
      <w:tr w:rsidR="00911A3E" w:rsidRPr="00C83162" w14:paraId="6B519AD4" w14:textId="77777777" w:rsidTr="00DA3F73">
        <w:trPr>
          <w:trHeight w:val="304"/>
        </w:trPr>
        <w:tc>
          <w:tcPr>
            <w:tcW w:w="5594" w:type="dxa"/>
            <w:gridSpan w:val="2"/>
            <w:tcBorders>
              <w:top w:val="nil"/>
              <w:left w:val="nil"/>
              <w:bottom w:val="nil"/>
              <w:right w:val="nil"/>
            </w:tcBorders>
            <w:shd w:val="clear" w:color="000000" w:fill="6B2976"/>
            <w:noWrap/>
            <w:vAlign w:val="center"/>
            <w:hideMark/>
          </w:tcPr>
          <w:p w14:paraId="50FB01DD" w14:textId="77777777" w:rsidR="00911A3E" w:rsidRPr="00DA3F73" w:rsidRDefault="00911A3E">
            <w:pPr>
              <w:spacing w:after="0" w:line="240" w:lineRule="auto"/>
              <w:rPr>
                <w:rFonts w:eastAsia="Times New Roman" w:cs="Arial"/>
                <w:b/>
                <w:bCs/>
                <w:color w:val="FFFFFF"/>
                <w:sz w:val="18"/>
                <w:szCs w:val="18"/>
                <w:lang w:eastAsia="en-AU"/>
              </w:rPr>
            </w:pPr>
            <w:r w:rsidRPr="00DA3F73">
              <w:rPr>
                <w:rFonts w:eastAsia="Times New Roman" w:cs="Arial"/>
                <w:b/>
                <w:bCs/>
                <w:color w:val="FFFFFF"/>
                <w:sz w:val="18"/>
                <w:szCs w:val="18"/>
                <w:lang w:eastAsia="en-AU"/>
              </w:rPr>
              <w:t>Total participant costs ($m)</w:t>
            </w:r>
          </w:p>
        </w:tc>
        <w:tc>
          <w:tcPr>
            <w:tcW w:w="1144" w:type="dxa"/>
            <w:tcBorders>
              <w:top w:val="nil"/>
              <w:left w:val="nil"/>
              <w:bottom w:val="nil"/>
              <w:right w:val="nil"/>
            </w:tcBorders>
            <w:shd w:val="clear" w:color="000000" w:fill="6B2976"/>
            <w:noWrap/>
            <w:vAlign w:val="center"/>
            <w:hideMark/>
          </w:tcPr>
          <w:p w14:paraId="488368E8" w14:textId="77777777" w:rsidR="00911A3E" w:rsidRPr="00DA3F73" w:rsidRDefault="00911A3E">
            <w:pPr>
              <w:spacing w:after="0" w:line="240" w:lineRule="auto"/>
              <w:jc w:val="right"/>
              <w:rPr>
                <w:rFonts w:eastAsia="Times New Roman" w:cs="Arial"/>
                <w:b/>
                <w:bCs/>
                <w:color w:val="FFFFFF"/>
                <w:sz w:val="18"/>
                <w:szCs w:val="18"/>
                <w:lang w:eastAsia="en-AU"/>
              </w:rPr>
            </w:pPr>
            <w:r w:rsidRPr="00DE2B95">
              <w:rPr>
                <w:rFonts w:eastAsia="Times New Roman" w:cs="Arial"/>
                <w:b/>
                <w:bCs/>
                <w:color w:val="FFFFFF"/>
                <w:sz w:val="18"/>
                <w:szCs w:val="18"/>
                <w:lang w:eastAsia="en-AU"/>
              </w:rPr>
              <w:t>20</w:t>
            </w:r>
            <w:r>
              <w:rPr>
                <w:rFonts w:eastAsia="Times New Roman" w:cs="Arial"/>
                <w:b/>
                <w:bCs/>
                <w:color w:val="FFFFFF"/>
                <w:sz w:val="18"/>
                <w:szCs w:val="18"/>
                <w:lang w:eastAsia="en-AU"/>
              </w:rPr>
              <w:t>19-</w:t>
            </w:r>
            <w:r w:rsidRPr="00DE2B95">
              <w:rPr>
                <w:rFonts w:eastAsia="Times New Roman" w:cs="Arial"/>
                <w:b/>
                <w:bCs/>
                <w:color w:val="FFFFFF"/>
                <w:sz w:val="18"/>
                <w:szCs w:val="18"/>
                <w:lang w:eastAsia="en-AU"/>
              </w:rPr>
              <w:t>20</w:t>
            </w:r>
          </w:p>
        </w:tc>
        <w:tc>
          <w:tcPr>
            <w:tcW w:w="1144" w:type="dxa"/>
            <w:tcBorders>
              <w:top w:val="nil"/>
              <w:left w:val="nil"/>
              <w:bottom w:val="nil"/>
              <w:right w:val="nil"/>
            </w:tcBorders>
            <w:shd w:val="clear" w:color="000000" w:fill="6B2976"/>
            <w:noWrap/>
            <w:vAlign w:val="center"/>
            <w:hideMark/>
          </w:tcPr>
          <w:p w14:paraId="745C5C27" w14:textId="77777777" w:rsidR="00911A3E" w:rsidRPr="00DA3F73" w:rsidRDefault="00911A3E">
            <w:pPr>
              <w:spacing w:after="0" w:line="240" w:lineRule="auto"/>
              <w:jc w:val="right"/>
              <w:rPr>
                <w:rFonts w:eastAsia="Times New Roman" w:cs="Arial"/>
                <w:b/>
                <w:bCs/>
                <w:color w:val="FFFFFF"/>
                <w:sz w:val="18"/>
                <w:szCs w:val="18"/>
                <w:lang w:eastAsia="en-AU"/>
              </w:rPr>
            </w:pPr>
            <w:r w:rsidRPr="00DE2B95">
              <w:rPr>
                <w:rFonts w:eastAsia="Times New Roman" w:cs="Arial"/>
                <w:b/>
                <w:bCs/>
                <w:color w:val="FFFFFF"/>
                <w:sz w:val="18"/>
                <w:szCs w:val="18"/>
                <w:lang w:eastAsia="en-AU"/>
              </w:rPr>
              <w:t>20</w:t>
            </w:r>
            <w:r>
              <w:rPr>
                <w:rFonts w:eastAsia="Times New Roman" w:cs="Arial"/>
                <w:b/>
                <w:bCs/>
                <w:color w:val="FFFFFF"/>
                <w:sz w:val="18"/>
                <w:szCs w:val="18"/>
                <w:lang w:eastAsia="en-AU"/>
              </w:rPr>
              <w:t>24-</w:t>
            </w:r>
            <w:r w:rsidRPr="00DE2B95">
              <w:rPr>
                <w:rFonts w:eastAsia="Times New Roman" w:cs="Arial"/>
                <w:b/>
                <w:bCs/>
                <w:color w:val="FFFFFF"/>
                <w:sz w:val="18"/>
                <w:szCs w:val="18"/>
                <w:lang w:eastAsia="en-AU"/>
              </w:rPr>
              <w:t>25</w:t>
            </w:r>
          </w:p>
        </w:tc>
        <w:tc>
          <w:tcPr>
            <w:tcW w:w="1144" w:type="dxa"/>
            <w:tcBorders>
              <w:top w:val="nil"/>
              <w:left w:val="nil"/>
              <w:bottom w:val="nil"/>
              <w:right w:val="nil"/>
            </w:tcBorders>
            <w:shd w:val="clear" w:color="000000" w:fill="6B2976"/>
            <w:noWrap/>
            <w:vAlign w:val="center"/>
            <w:hideMark/>
          </w:tcPr>
          <w:p w14:paraId="16483623" w14:textId="77777777" w:rsidR="00911A3E" w:rsidRPr="00DA3F73" w:rsidRDefault="00911A3E">
            <w:pPr>
              <w:spacing w:after="0" w:line="240" w:lineRule="auto"/>
              <w:jc w:val="right"/>
              <w:rPr>
                <w:rFonts w:eastAsia="Times New Roman" w:cs="Arial"/>
                <w:b/>
                <w:bCs/>
                <w:color w:val="FFFFFF"/>
                <w:sz w:val="18"/>
                <w:szCs w:val="18"/>
                <w:lang w:eastAsia="en-AU"/>
              </w:rPr>
            </w:pPr>
            <w:r w:rsidRPr="00DE2B95">
              <w:rPr>
                <w:rFonts w:eastAsia="Times New Roman" w:cs="Arial"/>
                <w:b/>
                <w:bCs/>
                <w:color w:val="FFFFFF"/>
                <w:sz w:val="18"/>
                <w:szCs w:val="18"/>
                <w:lang w:eastAsia="en-AU"/>
              </w:rPr>
              <w:t>20</w:t>
            </w:r>
            <w:r>
              <w:rPr>
                <w:rFonts w:eastAsia="Times New Roman" w:cs="Arial"/>
                <w:b/>
                <w:bCs/>
                <w:color w:val="FFFFFF"/>
                <w:sz w:val="18"/>
                <w:szCs w:val="18"/>
                <w:lang w:eastAsia="en-AU"/>
              </w:rPr>
              <w:t>29-</w:t>
            </w:r>
            <w:r w:rsidRPr="00DE2B95">
              <w:rPr>
                <w:rFonts w:eastAsia="Times New Roman" w:cs="Arial"/>
                <w:b/>
                <w:bCs/>
                <w:color w:val="FFFFFF"/>
                <w:sz w:val="18"/>
                <w:szCs w:val="18"/>
                <w:lang w:eastAsia="en-AU"/>
              </w:rPr>
              <w:t>30</w:t>
            </w:r>
          </w:p>
        </w:tc>
      </w:tr>
      <w:tr w:rsidR="00AE6E60" w:rsidRPr="00C83162" w14:paraId="26E982F7" w14:textId="77777777" w:rsidTr="00DA3F73">
        <w:trPr>
          <w:trHeight w:val="288"/>
        </w:trPr>
        <w:tc>
          <w:tcPr>
            <w:tcW w:w="567" w:type="dxa"/>
            <w:tcBorders>
              <w:top w:val="nil"/>
              <w:left w:val="nil"/>
              <w:bottom w:val="single" w:sz="4" w:space="0" w:color="auto"/>
              <w:right w:val="nil"/>
            </w:tcBorders>
            <w:shd w:val="clear" w:color="auto" w:fill="auto"/>
            <w:noWrap/>
            <w:vAlign w:val="bottom"/>
            <w:hideMark/>
          </w:tcPr>
          <w:p w14:paraId="34ADA71C"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 </w:t>
            </w:r>
          </w:p>
        </w:tc>
        <w:tc>
          <w:tcPr>
            <w:tcW w:w="5027" w:type="dxa"/>
            <w:tcBorders>
              <w:top w:val="nil"/>
              <w:left w:val="nil"/>
              <w:bottom w:val="single" w:sz="4" w:space="0" w:color="auto"/>
              <w:right w:val="nil"/>
            </w:tcBorders>
            <w:shd w:val="clear" w:color="auto" w:fill="auto"/>
            <w:noWrap/>
            <w:vAlign w:val="bottom"/>
            <w:hideMark/>
          </w:tcPr>
          <w:p w14:paraId="04F0ACD3"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2018-19 Baseline</w:t>
            </w:r>
          </w:p>
        </w:tc>
        <w:tc>
          <w:tcPr>
            <w:tcW w:w="1144" w:type="dxa"/>
            <w:tcBorders>
              <w:top w:val="nil"/>
              <w:left w:val="nil"/>
              <w:bottom w:val="single" w:sz="4" w:space="0" w:color="auto"/>
              <w:right w:val="nil"/>
            </w:tcBorders>
            <w:shd w:val="clear" w:color="auto" w:fill="auto"/>
            <w:noWrap/>
            <w:vAlign w:val="bottom"/>
            <w:hideMark/>
          </w:tcPr>
          <w:p w14:paraId="2022D15A"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16,327</w:t>
            </w:r>
          </w:p>
        </w:tc>
        <w:tc>
          <w:tcPr>
            <w:tcW w:w="1144" w:type="dxa"/>
            <w:tcBorders>
              <w:top w:val="nil"/>
              <w:left w:val="nil"/>
              <w:bottom w:val="single" w:sz="4" w:space="0" w:color="auto"/>
              <w:right w:val="nil"/>
            </w:tcBorders>
            <w:shd w:val="clear" w:color="auto" w:fill="auto"/>
            <w:noWrap/>
            <w:vAlign w:val="bottom"/>
            <w:hideMark/>
          </w:tcPr>
          <w:p w14:paraId="72C63419"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30,820</w:t>
            </w:r>
          </w:p>
        </w:tc>
        <w:tc>
          <w:tcPr>
            <w:tcW w:w="1144" w:type="dxa"/>
            <w:tcBorders>
              <w:top w:val="nil"/>
              <w:left w:val="nil"/>
              <w:bottom w:val="single" w:sz="4" w:space="0" w:color="auto"/>
              <w:right w:val="nil"/>
            </w:tcBorders>
            <w:shd w:val="clear" w:color="auto" w:fill="auto"/>
            <w:noWrap/>
            <w:vAlign w:val="bottom"/>
            <w:hideMark/>
          </w:tcPr>
          <w:p w14:paraId="38C98B15"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43,723</w:t>
            </w:r>
          </w:p>
        </w:tc>
      </w:tr>
      <w:tr w:rsidR="00AE6E60" w:rsidRPr="00C83162" w14:paraId="5C96EB3B" w14:textId="77777777" w:rsidTr="00DA3F73">
        <w:trPr>
          <w:trHeight w:val="288"/>
        </w:trPr>
        <w:tc>
          <w:tcPr>
            <w:tcW w:w="567" w:type="dxa"/>
            <w:tcBorders>
              <w:top w:val="nil"/>
              <w:left w:val="nil"/>
              <w:bottom w:val="nil"/>
              <w:right w:val="nil"/>
            </w:tcBorders>
            <w:shd w:val="clear" w:color="auto" w:fill="auto"/>
            <w:noWrap/>
            <w:vAlign w:val="bottom"/>
            <w:hideMark/>
          </w:tcPr>
          <w:p w14:paraId="67520B81"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1a</w:t>
            </w:r>
          </w:p>
        </w:tc>
        <w:tc>
          <w:tcPr>
            <w:tcW w:w="5027" w:type="dxa"/>
            <w:tcBorders>
              <w:top w:val="nil"/>
              <w:left w:val="nil"/>
              <w:bottom w:val="nil"/>
              <w:right w:val="nil"/>
            </w:tcBorders>
            <w:shd w:val="clear" w:color="auto" w:fill="auto"/>
            <w:noWrap/>
            <w:vAlign w:val="bottom"/>
            <w:hideMark/>
          </w:tcPr>
          <w:p w14:paraId="51904288"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Additional Cost of chronic health (Low range)</w:t>
            </w:r>
          </w:p>
        </w:tc>
        <w:tc>
          <w:tcPr>
            <w:tcW w:w="1144" w:type="dxa"/>
            <w:tcBorders>
              <w:top w:val="nil"/>
              <w:left w:val="nil"/>
              <w:bottom w:val="nil"/>
              <w:right w:val="nil"/>
            </w:tcBorders>
            <w:shd w:val="clear" w:color="auto" w:fill="auto"/>
            <w:noWrap/>
            <w:vAlign w:val="bottom"/>
            <w:hideMark/>
          </w:tcPr>
          <w:p w14:paraId="2655401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19,333</w:t>
            </w:r>
          </w:p>
        </w:tc>
        <w:tc>
          <w:tcPr>
            <w:tcW w:w="1144" w:type="dxa"/>
            <w:tcBorders>
              <w:top w:val="nil"/>
              <w:left w:val="nil"/>
              <w:bottom w:val="nil"/>
              <w:right w:val="nil"/>
            </w:tcBorders>
            <w:shd w:val="clear" w:color="auto" w:fill="auto"/>
            <w:noWrap/>
            <w:vAlign w:val="bottom"/>
            <w:hideMark/>
          </w:tcPr>
          <w:p w14:paraId="2F8950CF"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34,760</w:t>
            </w:r>
          </w:p>
        </w:tc>
        <w:tc>
          <w:tcPr>
            <w:tcW w:w="1144" w:type="dxa"/>
            <w:tcBorders>
              <w:top w:val="nil"/>
              <w:left w:val="nil"/>
              <w:bottom w:val="nil"/>
              <w:right w:val="nil"/>
            </w:tcBorders>
            <w:shd w:val="clear" w:color="auto" w:fill="auto"/>
            <w:noWrap/>
            <w:vAlign w:val="bottom"/>
            <w:hideMark/>
          </w:tcPr>
          <w:p w14:paraId="41EDD87C"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48,886</w:t>
            </w:r>
          </w:p>
        </w:tc>
      </w:tr>
      <w:tr w:rsidR="00AE6E60" w:rsidRPr="00C83162" w14:paraId="0CCA8D60" w14:textId="77777777" w:rsidTr="00DA3F73">
        <w:trPr>
          <w:trHeight w:val="288"/>
        </w:trPr>
        <w:tc>
          <w:tcPr>
            <w:tcW w:w="567" w:type="dxa"/>
            <w:tcBorders>
              <w:top w:val="nil"/>
              <w:left w:val="nil"/>
              <w:bottom w:val="nil"/>
              <w:right w:val="nil"/>
            </w:tcBorders>
            <w:shd w:val="clear" w:color="auto" w:fill="auto"/>
            <w:noWrap/>
            <w:vAlign w:val="bottom"/>
            <w:hideMark/>
          </w:tcPr>
          <w:p w14:paraId="24CB1CA3"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1b</w:t>
            </w:r>
          </w:p>
        </w:tc>
        <w:tc>
          <w:tcPr>
            <w:tcW w:w="5027" w:type="dxa"/>
            <w:tcBorders>
              <w:top w:val="nil"/>
              <w:left w:val="nil"/>
              <w:bottom w:val="nil"/>
              <w:right w:val="nil"/>
            </w:tcBorders>
            <w:shd w:val="clear" w:color="auto" w:fill="auto"/>
            <w:noWrap/>
            <w:vAlign w:val="bottom"/>
            <w:hideMark/>
          </w:tcPr>
          <w:p w14:paraId="1F1669C4"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 xml:space="preserve">Additional Cost of chronic health </w:t>
            </w:r>
            <w:r w:rsidR="00B613F8" w:rsidRPr="00C83162">
              <w:rPr>
                <w:rFonts w:eastAsia="Times New Roman" w:cs="Arial"/>
                <w:color w:val="000000"/>
                <w:sz w:val="18"/>
                <w:szCs w:val="18"/>
                <w:lang w:eastAsia="en-AU"/>
              </w:rPr>
              <w:t>mid-range</w:t>
            </w:r>
            <w:r w:rsidRPr="00DA3F73">
              <w:rPr>
                <w:rFonts w:eastAsia="Times New Roman" w:cs="Arial"/>
                <w:color w:val="000000"/>
                <w:sz w:val="18"/>
                <w:szCs w:val="18"/>
                <w:lang w:eastAsia="en-AU"/>
              </w:rPr>
              <w:t>)</w:t>
            </w:r>
          </w:p>
        </w:tc>
        <w:tc>
          <w:tcPr>
            <w:tcW w:w="1144" w:type="dxa"/>
            <w:tcBorders>
              <w:top w:val="nil"/>
              <w:left w:val="nil"/>
              <w:bottom w:val="nil"/>
              <w:right w:val="nil"/>
            </w:tcBorders>
            <w:shd w:val="clear" w:color="auto" w:fill="auto"/>
            <w:noWrap/>
            <w:vAlign w:val="bottom"/>
            <w:hideMark/>
          </w:tcPr>
          <w:p w14:paraId="39E441CB"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20,770</w:t>
            </w:r>
          </w:p>
        </w:tc>
        <w:tc>
          <w:tcPr>
            <w:tcW w:w="1144" w:type="dxa"/>
            <w:tcBorders>
              <w:top w:val="nil"/>
              <w:left w:val="nil"/>
              <w:bottom w:val="nil"/>
              <w:right w:val="nil"/>
            </w:tcBorders>
            <w:shd w:val="clear" w:color="auto" w:fill="auto"/>
            <w:noWrap/>
            <w:vAlign w:val="bottom"/>
            <w:hideMark/>
          </w:tcPr>
          <w:p w14:paraId="04BCEE6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36,644</w:t>
            </w:r>
          </w:p>
        </w:tc>
        <w:tc>
          <w:tcPr>
            <w:tcW w:w="1144" w:type="dxa"/>
            <w:tcBorders>
              <w:top w:val="nil"/>
              <w:left w:val="nil"/>
              <w:bottom w:val="nil"/>
              <w:right w:val="nil"/>
            </w:tcBorders>
            <w:shd w:val="clear" w:color="auto" w:fill="auto"/>
            <w:noWrap/>
            <w:vAlign w:val="bottom"/>
            <w:hideMark/>
          </w:tcPr>
          <w:p w14:paraId="5F1391BB"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51,356</w:t>
            </w:r>
          </w:p>
        </w:tc>
      </w:tr>
      <w:tr w:rsidR="00AE6E60" w:rsidRPr="00C83162" w14:paraId="417FA8D1" w14:textId="77777777" w:rsidTr="00DA3F73">
        <w:trPr>
          <w:trHeight w:val="288"/>
        </w:trPr>
        <w:tc>
          <w:tcPr>
            <w:tcW w:w="567" w:type="dxa"/>
            <w:tcBorders>
              <w:top w:val="nil"/>
              <w:left w:val="nil"/>
              <w:bottom w:val="single" w:sz="4" w:space="0" w:color="auto"/>
              <w:right w:val="nil"/>
            </w:tcBorders>
            <w:shd w:val="clear" w:color="auto" w:fill="auto"/>
            <w:noWrap/>
            <w:vAlign w:val="bottom"/>
            <w:hideMark/>
          </w:tcPr>
          <w:p w14:paraId="519E5891"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1c</w:t>
            </w:r>
          </w:p>
        </w:tc>
        <w:tc>
          <w:tcPr>
            <w:tcW w:w="5027" w:type="dxa"/>
            <w:tcBorders>
              <w:top w:val="nil"/>
              <w:left w:val="nil"/>
              <w:bottom w:val="single" w:sz="4" w:space="0" w:color="auto"/>
              <w:right w:val="nil"/>
            </w:tcBorders>
            <w:shd w:val="clear" w:color="auto" w:fill="auto"/>
            <w:noWrap/>
            <w:vAlign w:val="bottom"/>
            <w:hideMark/>
          </w:tcPr>
          <w:p w14:paraId="42B89176"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Additional Cost of chronic health high range)</w:t>
            </w:r>
          </w:p>
        </w:tc>
        <w:tc>
          <w:tcPr>
            <w:tcW w:w="1144" w:type="dxa"/>
            <w:tcBorders>
              <w:top w:val="nil"/>
              <w:left w:val="nil"/>
              <w:bottom w:val="single" w:sz="4" w:space="0" w:color="auto"/>
              <w:right w:val="nil"/>
            </w:tcBorders>
            <w:shd w:val="clear" w:color="auto" w:fill="auto"/>
            <w:noWrap/>
            <w:vAlign w:val="bottom"/>
            <w:hideMark/>
          </w:tcPr>
          <w:p w14:paraId="3DB12D17"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22,404</w:t>
            </w:r>
          </w:p>
        </w:tc>
        <w:tc>
          <w:tcPr>
            <w:tcW w:w="1144" w:type="dxa"/>
            <w:tcBorders>
              <w:top w:val="nil"/>
              <w:left w:val="nil"/>
              <w:bottom w:val="single" w:sz="4" w:space="0" w:color="auto"/>
              <w:right w:val="nil"/>
            </w:tcBorders>
            <w:shd w:val="clear" w:color="auto" w:fill="auto"/>
            <w:noWrap/>
            <w:vAlign w:val="bottom"/>
            <w:hideMark/>
          </w:tcPr>
          <w:p w14:paraId="511BA14C"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38,785</w:t>
            </w:r>
          </w:p>
        </w:tc>
        <w:tc>
          <w:tcPr>
            <w:tcW w:w="1144" w:type="dxa"/>
            <w:tcBorders>
              <w:top w:val="nil"/>
              <w:left w:val="nil"/>
              <w:bottom w:val="single" w:sz="4" w:space="0" w:color="auto"/>
              <w:right w:val="nil"/>
            </w:tcBorders>
            <w:shd w:val="clear" w:color="auto" w:fill="auto"/>
            <w:noWrap/>
            <w:vAlign w:val="bottom"/>
            <w:hideMark/>
          </w:tcPr>
          <w:p w14:paraId="2C07C790"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54,162</w:t>
            </w:r>
          </w:p>
        </w:tc>
      </w:tr>
      <w:tr w:rsidR="00AE6E60" w:rsidRPr="00C83162" w14:paraId="4D532B62" w14:textId="77777777" w:rsidTr="00DA3F73">
        <w:trPr>
          <w:trHeight w:val="288"/>
        </w:trPr>
        <w:tc>
          <w:tcPr>
            <w:tcW w:w="567" w:type="dxa"/>
            <w:tcBorders>
              <w:top w:val="nil"/>
              <w:left w:val="nil"/>
              <w:bottom w:val="single" w:sz="4" w:space="0" w:color="auto"/>
              <w:right w:val="nil"/>
            </w:tcBorders>
            <w:shd w:val="clear" w:color="auto" w:fill="auto"/>
            <w:noWrap/>
            <w:vAlign w:val="bottom"/>
            <w:hideMark/>
          </w:tcPr>
          <w:p w14:paraId="597C3B08"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2</w:t>
            </w:r>
          </w:p>
        </w:tc>
        <w:tc>
          <w:tcPr>
            <w:tcW w:w="5027" w:type="dxa"/>
            <w:tcBorders>
              <w:top w:val="nil"/>
              <w:left w:val="nil"/>
              <w:bottom w:val="single" w:sz="4" w:space="0" w:color="auto"/>
              <w:right w:val="nil"/>
            </w:tcBorders>
            <w:shd w:val="clear" w:color="auto" w:fill="auto"/>
            <w:noWrap/>
            <w:vAlign w:val="bottom"/>
            <w:hideMark/>
          </w:tcPr>
          <w:p w14:paraId="0DF18B55"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Lower autism and higher psychosocial disability numbers</w:t>
            </w:r>
          </w:p>
        </w:tc>
        <w:tc>
          <w:tcPr>
            <w:tcW w:w="1144" w:type="dxa"/>
            <w:tcBorders>
              <w:top w:val="nil"/>
              <w:left w:val="nil"/>
              <w:bottom w:val="single" w:sz="4" w:space="0" w:color="auto"/>
              <w:right w:val="nil"/>
            </w:tcBorders>
            <w:shd w:val="clear" w:color="auto" w:fill="auto"/>
            <w:noWrap/>
            <w:vAlign w:val="bottom"/>
            <w:hideMark/>
          </w:tcPr>
          <w:p w14:paraId="067B052A"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16,347</w:t>
            </w:r>
          </w:p>
        </w:tc>
        <w:tc>
          <w:tcPr>
            <w:tcW w:w="1144" w:type="dxa"/>
            <w:tcBorders>
              <w:top w:val="nil"/>
              <w:left w:val="nil"/>
              <w:bottom w:val="single" w:sz="4" w:space="0" w:color="auto"/>
              <w:right w:val="nil"/>
            </w:tcBorders>
            <w:shd w:val="clear" w:color="auto" w:fill="auto"/>
            <w:noWrap/>
            <w:vAlign w:val="bottom"/>
            <w:hideMark/>
          </w:tcPr>
          <w:p w14:paraId="3881C219"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31,077</w:t>
            </w:r>
          </w:p>
        </w:tc>
        <w:tc>
          <w:tcPr>
            <w:tcW w:w="1144" w:type="dxa"/>
            <w:tcBorders>
              <w:top w:val="nil"/>
              <w:left w:val="nil"/>
              <w:bottom w:val="single" w:sz="4" w:space="0" w:color="auto"/>
              <w:right w:val="nil"/>
            </w:tcBorders>
            <w:shd w:val="clear" w:color="auto" w:fill="auto"/>
            <w:noWrap/>
            <w:vAlign w:val="bottom"/>
            <w:hideMark/>
          </w:tcPr>
          <w:p w14:paraId="6500088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43,893</w:t>
            </w:r>
          </w:p>
        </w:tc>
      </w:tr>
      <w:tr w:rsidR="00AE6E60" w:rsidRPr="00C83162" w14:paraId="29488A54" w14:textId="77777777" w:rsidTr="00DA3F73">
        <w:trPr>
          <w:trHeight w:val="288"/>
        </w:trPr>
        <w:tc>
          <w:tcPr>
            <w:tcW w:w="567" w:type="dxa"/>
            <w:tcBorders>
              <w:top w:val="nil"/>
              <w:left w:val="nil"/>
              <w:bottom w:val="single" w:sz="4" w:space="0" w:color="auto"/>
              <w:right w:val="nil"/>
            </w:tcBorders>
            <w:shd w:val="clear" w:color="auto" w:fill="auto"/>
            <w:noWrap/>
            <w:vAlign w:val="bottom"/>
            <w:hideMark/>
          </w:tcPr>
          <w:p w14:paraId="0AB4255F"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3</w:t>
            </w:r>
          </w:p>
        </w:tc>
        <w:tc>
          <w:tcPr>
            <w:tcW w:w="5027" w:type="dxa"/>
            <w:tcBorders>
              <w:top w:val="nil"/>
              <w:left w:val="nil"/>
              <w:bottom w:val="single" w:sz="4" w:space="0" w:color="auto"/>
              <w:right w:val="nil"/>
            </w:tcBorders>
            <w:shd w:val="clear" w:color="auto" w:fill="auto"/>
            <w:noWrap/>
            <w:vAlign w:val="bottom"/>
            <w:hideMark/>
          </w:tcPr>
          <w:p w14:paraId="3C0A6E07"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Intellectual disability new entrants hump for 17-22yrs</w:t>
            </w:r>
          </w:p>
        </w:tc>
        <w:tc>
          <w:tcPr>
            <w:tcW w:w="1144" w:type="dxa"/>
            <w:tcBorders>
              <w:top w:val="nil"/>
              <w:left w:val="nil"/>
              <w:bottom w:val="single" w:sz="4" w:space="0" w:color="auto"/>
              <w:right w:val="nil"/>
            </w:tcBorders>
            <w:shd w:val="clear" w:color="auto" w:fill="auto"/>
            <w:noWrap/>
            <w:vAlign w:val="bottom"/>
            <w:hideMark/>
          </w:tcPr>
          <w:p w14:paraId="772BC514"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16,327</w:t>
            </w:r>
          </w:p>
        </w:tc>
        <w:tc>
          <w:tcPr>
            <w:tcW w:w="1144" w:type="dxa"/>
            <w:tcBorders>
              <w:top w:val="nil"/>
              <w:left w:val="nil"/>
              <w:bottom w:val="single" w:sz="4" w:space="0" w:color="auto"/>
              <w:right w:val="nil"/>
            </w:tcBorders>
            <w:shd w:val="clear" w:color="auto" w:fill="auto"/>
            <w:noWrap/>
            <w:vAlign w:val="bottom"/>
            <w:hideMark/>
          </w:tcPr>
          <w:p w14:paraId="6534757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31,209</w:t>
            </w:r>
          </w:p>
        </w:tc>
        <w:tc>
          <w:tcPr>
            <w:tcW w:w="1144" w:type="dxa"/>
            <w:tcBorders>
              <w:top w:val="nil"/>
              <w:left w:val="nil"/>
              <w:bottom w:val="single" w:sz="4" w:space="0" w:color="auto"/>
              <w:right w:val="nil"/>
            </w:tcBorders>
            <w:shd w:val="clear" w:color="auto" w:fill="auto"/>
            <w:noWrap/>
            <w:vAlign w:val="bottom"/>
            <w:hideMark/>
          </w:tcPr>
          <w:p w14:paraId="288C4BE6"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46,322</w:t>
            </w:r>
          </w:p>
        </w:tc>
      </w:tr>
      <w:tr w:rsidR="00AE6E60" w:rsidRPr="00C83162" w14:paraId="38236599" w14:textId="77777777" w:rsidTr="00DA3F73">
        <w:trPr>
          <w:trHeight w:val="288"/>
        </w:trPr>
        <w:tc>
          <w:tcPr>
            <w:tcW w:w="567" w:type="dxa"/>
            <w:tcBorders>
              <w:top w:val="nil"/>
              <w:left w:val="nil"/>
              <w:bottom w:val="nil"/>
              <w:right w:val="nil"/>
            </w:tcBorders>
            <w:shd w:val="clear" w:color="auto" w:fill="auto"/>
            <w:noWrap/>
            <w:vAlign w:val="bottom"/>
            <w:hideMark/>
          </w:tcPr>
          <w:p w14:paraId="5EEF6ED6"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4a</w:t>
            </w:r>
          </w:p>
        </w:tc>
        <w:tc>
          <w:tcPr>
            <w:tcW w:w="5027" w:type="dxa"/>
            <w:tcBorders>
              <w:top w:val="nil"/>
              <w:left w:val="nil"/>
              <w:bottom w:val="nil"/>
              <w:right w:val="nil"/>
            </w:tcBorders>
            <w:shd w:val="clear" w:color="auto" w:fill="auto"/>
            <w:noWrap/>
            <w:vAlign w:val="bottom"/>
            <w:hideMark/>
          </w:tcPr>
          <w:p w14:paraId="227BFC08" w14:textId="77777777" w:rsidR="00AE6E60" w:rsidRPr="00DA3F73" w:rsidRDefault="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 xml:space="preserve">Higher proportion of participants in </w:t>
            </w:r>
            <w:r w:rsidR="00661CBB">
              <w:rPr>
                <w:rFonts w:eastAsia="Times New Roman" w:cs="Arial"/>
                <w:color w:val="000000"/>
                <w:sz w:val="18"/>
                <w:szCs w:val="18"/>
                <w:lang w:eastAsia="en-AU"/>
              </w:rPr>
              <w:t>SIL</w:t>
            </w:r>
            <w:r w:rsidR="00D925FC">
              <w:rPr>
                <w:rFonts w:eastAsia="Times New Roman" w:cs="Arial"/>
                <w:color w:val="000000"/>
                <w:sz w:val="18"/>
                <w:szCs w:val="18"/>
                <w:lang w:eastAsia="en-AU"/>
              </w:rPr>
              <w:t xml:space="preserve"> over long-</w:t>
            </w:r>
            <w:r w:rsidRPr="00DA3F73">
              <w:rPr>
                <w:rFonts w:eastAsia="Times New Roman" w:cs="Arial"/>
                <w:color w:val="000000"/>
                <w:sz w:val="18"/>
                <w:szCs w:val="18"/>
                <w:lang w:eastAsia="en-AU"/>
              </w:rPr>
              <w:t>term</w:t>
            </w:r>
          </w:p>
        </w:tc>
        <w:tc>
          <w:tcPr>
            <w:tcW w:w="1144" w:type="dxa"/>
            <w:tcBorders>
              <w:top w:val="nil"/>
              <w:left w:val="nil"/>
              <w:bottom w:val="nil"/>
              <w:right w:val="nil"/>
            </w:tcBorders>
            <w:shd w:val="clear" w:color="auto" w:fill="auto"/>
            <w:noWrap/>
            <w:vAlign w:val="bottom"/>
            <w:hideMark/>
          </w:tcPr>
          <w:p w14:paraId="09809527"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16,434</w:t>
            </w:r>
          </w:p>
        </w:tc>
        <w:tc>
          <w:tcPr>
            <w:tcW w:w="1144" w:type="dxa"/>
            <w:tcBorders>
              <w:top w:val="nil"/>
              <w:left w:val="nil"/>
              <w:bottom w:val="nil"/>
              <w:right w:val="nil"/>
            </w:tcBorders>
            <w:shd w:val="clear" w:color="auto" w:fill="auto"/>
            <w:noWrap/>
            <w:vAlign w:val="bottom"/>
            <w:hideMark/>
          </w:tcPr>
          <w:p w14:paraId="24E6AF45"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32,930</w:t>
            </w:r>
          </w:p>
        </w:tc>
        <w:tc>
          <w:tcPr>
            <w:tcW w:w="1144" w:type="dxa"/>
            <w:tcBorders>
              <w:top w:val="nil"/>
              <w:left w:val="nil"/>
              <w:bottom w:val="nil"/>
              <w:right w:val="nil"/>
            </w:tcBorders>
            <w:shd w:val="clear" w:color="auto" w:fill="auto"/>
            <w:noWrap/>
            <w:vAlign w:val="bottom"/>
            <w:hideMark/>
          </w:tcPr>
          <w:p w14:paraId="40DEA316"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48,951</w:t>
            </w:r>
          </w:p>
        </w:tc>
      </w:tr>
      <w:tr w:rsidR="00AE6E60" w:rsidRPr="00C83162" w14:paraId="19D8FB1F" w14:textId="77777777" w:rsidTr="00DA3F73">
        <w:trPr>
          <w:trHeight w:val="288"/>
        </w:trPr>
        <w:tc>
          <w:tcPr>
            <w:tcW w:w="567" w:type="dxa"/>
            <w:tcBorders>
              <w:top w:val="nil"/>
              <w:left w:val="nil"/>
              <w:bottom w:val="nil"/>
              <w:right w:val="nil"/>
            </w:tcBorders>
            <w:shd w:val="clear" w:color="auto" w:fill="auto"/>
            <w:noWrap/>
            <w:vAlign w:val="bottom"/>
            <w:hideMark/>
          </w:tcPr>
          <w:p w14:paraId="40FD79EB"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4b</w:t>
            </w:r>
          </w:p>
        </w:tc>
        <w:tc>
          <w:tcPr>
            <w:tcW w:w="5027" w:type="dxa"/>
            <w:tcBorders>
              <w:top w:val="nil"/>
              <w:left w:val="nil"/>
              <w:bottom w:val="nil"/>
              <w:right w:val="nil"/>
            </w:tcBorders>
            <w:shd w:val="clear" w:color="auto" w:fill="auto"/>
            <w:noWrap/>
            <w:vAlign w:val="bottom"/>
            <w:hideMark/>
          </w:tcPr>
          <w:p w14:paraId="573B1652" w14:textId="77777777" w:rsidR="00AE6E60" w:rsidRPr="00DA3F73" w:rsidRDefault="00D925FC" w:rsidP="00AE6E60">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Long-</w:t>
            </w:r>
            <w:r w:rsidR="00AE6E60" w:rsidRPr="00DA3F73">
              <w:rPr>
                <w:rFonts w:eastAsia="Times New Roman" w:cs="Arial"/>
                <w:color w:val="000000"/>
                <w:sz w:val="18"/>
                <w:szCs w:val="18"/>
                <w:lang w:eastAsia="en-AU"/>
              </w:rPr>
              <w:t>term SIL reached over 20 years</w:t>
            </w:r>
          </w:p>
        </w:tc>
        <w:tc>
          <w:tcPr>
            <w:tcW w:w="1144" w:type="dxa"/>
            <w:tcBorders>
              <w:top w:val="nil"/>
              <w:left w:val="nil"/>
              <w:bottom w:val="nil"/>
              <w:right w:val="nil"/>
            </w:tcBorders>
            <w:shd w:val="clear" w:color="auto" w:fill="auto"/>
            <w:noWrap/>
            <w:vAlign w:val="bottom"/>
            <w:hideMark/>
          </w:tcPr>
          <w:p w14:paraId="10D41B7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16,302</w:t>
            </w:r>
          </w:p>
        </w:tc>
        <w:tc>
          <w:tcPr>
            <w:tcW w:w="1144" w:type="dxa"/>
            <w:tcBorders>
              <w:top w:val="nil"/>
              <w:left w:val="nil"/>
              <w:bottom w:val="nil"/>
              <w:right w:val="nil"/>
            </w:tcBorders>
            <w:shd w:val="clear" w:color="auto" w:fill="auto"/>
            <w:noWrap/>
            <w:vAlign w:val="bottom"/>
            <w:hideMark/>
          </w:tcPr>
          <w:p w14:paraId="342F39C4"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30,331</w:t>
            </w:r>
          </w:p>
        </w:tc>
        <w:tc>
          <w:tcPr>
            <w:tcW w:w="1144" w:type="dxa"/>
            <w:tcBorders>
              <w:top w:val="nil"/>
              <w:left w:val="nil"/>
              <w:bottom w:val="nil"/>
              <w:right w:val="nil"/>
            </w:tcBorders>
            <w:shd w:val="clear" w:color="auto" w:fill="auto"/>
            <w:noWrap/>
            <w:vAlign w:val="bottom"/>
            <w:hideMark/>
          </w:tcPr>
          <w:p w14:paraId="12C7E64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42,573</w:t>
            </w:r>
          </w:p>
        </w:tc>
      </w:tr>
      <w:tr w:rsidR="00AE6E60" w:rsidRPr="00C83162" w14:paraId="60EDD94E" w14:textId="77777777" w:rsidTr="00DA3F73">
        <w:trPr>
          <w:trHeight w:val="288"/>
        </w:trPr>
        <w:tc>
          <w:tcPr>
            <w:tcW w:w="567" w:type="dxa"/>
            <w:tcBorders>
              <w:top w:val="nil"/>
              <w:left w:val="nil"/>
              <w:bottom w:val="single" w:sz="4" w:space="0" w:color="auto"/>
              <w:right w:val="nil"/>
            </w:tcBorders>
            <w:shd w:val="clear" w:color="auto" w:fill="auto"/>
            <w:noWrap/>
            <w:vAlign w:val="bottom"/>
            <w:hideMark/>
          </w:tcPr>
          <w:p w14:paraId="34268DE2"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4c</w:t>
            </w:r>
          </w:p>
        </w:tc>
        <w:tc>
          <w:tcPr>
            <w:tcW w:w="5027" w:type="dxa"/>
            <w:tcBorders>
              <w:top w:val="nil"/>
              <w:left w:val="nil"/>
              <w:bottom w:val="single" w:sz="4" w:space="0" w:color="auto"/>
              <w:right w:val="nil"/>
            </w:tcBorders>
            <w:shd w:val="clear" w:color="auto" w:fill="auto"/>
            <w:noWrap/>
            <w:vAlign w:val="bottom"/>
            <w:hideMark/>
          </w:tcPr>
          <w:p w14:paraId="461DE4BA"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SIL cost innovation</w:t>
            </w:r>
          </w:p>
        </w:tc>
        <w:tc>
          <w:tcPr>
            <w:tcW w:w="1144" w:type="dxa"/>
            <w:tcBorders>
              <w:top w:val="nil"/>
              <w:left w:val="nil"/>
              <w:bottom w:val="single" w:sz="4" w:space="0" w:color="auto"/>
              <w:right w:val="nil"/>
            </w:tcBorders>
            <w:shd w:val="clear" w:color="auto" w:fill="auto"/>
            <w:noWrap/>
            <w:vAlign w:val="bottom"/>
            <w:hideMark/>
          </w:tcPr>
          <w:p w14:paraId="03DC944F"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14,874</w:t>
            </w:r>
          </w:p>
        </w:tc>
        <w:tc>
          <w:tcPr>
            <w:tcW w:w="1144" w:type="dxa"/>
            <w:tcBorders>
              <w:top w:val="nil"/>
              <w:left w:val="nil"/>
              <w:bottom w:val="single" w:sz="4" w:space="0" w:color="auto"/>
              <w:right w:val="nil"/>
            </w:tcBorders>
            <w:shd w:val="clear" w:color="auto" w:fill="auto"/>
            <w:noWrap/>
            <w:vAlign w:val="bottom"/>
            <w:hideMark/>
          </w:tcPr>
          <w:p w14:paraId="40323AEB"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27,978</w:t>
            </w:r>
          </w:p>
        </w:tc>
        <w:tc>
          <w:tcPr>
            <w:tcW w:w="1144" w:type="dxa"/>
            <w:tcBorders>
              <w:top w:val="nil"/>
              <w:left w:val="nil"/>
              <w:bottom w:val="single" w:sz="4" w:space="0" w:color="auto"/>
              <w:right w:val="nil"/>
            </w:tcBorders>
            <w:shd w:val="clear" w:color="auto" w:fill="auto"/>
            <w:noWrap/>
            <w:vAlign w:val="bottom"/>
            <w:hideMark/>
          </w:tcPr>
          <w:p w14:paraId="620B274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39,510</w:t>
            </w:r>
          </w:p>
        </w:tc>
      </w:tr>
      <w:tr w:rsidR="00AE6E60" w:rsidRPr="00C83162" w14:paraId="6B0634AE" w14:textId="77777777" w:rsidTr="00DA3F73">
        <w:trPr>
          <w:trHeight w:val="288"/>
        </w:trPr>
        <w:tc>
          <w:tcPr>
            <w:tcW w:w="567" w:type="dxa"/>
            <w:tcBorders>
              <w:top w:val="nil"/>
              <w:left w:val="nil"/>
              <w:bottom w:val="single" w:sz="4" w:space="0" w:color="auto"/>
              <w:right w:val="nil"/>
            </w:tcBorders>
            <w:shd w:val="clear" w:color="auto" w:fill="auto"/>
            <w:noWrap/>
            <w:vAlign w:val="bottom"/>
            <w:hideMark/>
          </w:tcPr>
          <w:p w14:paraId="1FB6665F"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5</w:t>
            </w:r>
          </w:p>
        </w:tc>
        <w:tc>
          <w:tcPr>
            <w:tcW w:w="5027" w:type="dxa"/>
            <w:tcBorders>
              <w:top w:val="nil"/>
              <w:left w:val="nil"/>
              <w:bottom w:val="single" w:sz="4" w:space="0" w:color="auto"/>
              <w:right w:val="nil"/>
            </w:tcBorders>
            <w:shd w:val="clear" w:color="auto" w:fill="auto"/>
            <w:noWrap/>
            <w:vAlign w:val="bottom"/>
            <w:hideMark/>
          </w:tcPr>
          <w:p w14:paraId="3382069B"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85%/100% utilisation rate for non-SIL/SIL respectively</w:t>
            </w:r>
          </w:p>
        </w:tc>
        <w:tc>
          <w:tcPr>
            <w:tcW w:w="1144" w:type="dxa"/>
            <w:tcBorders>
              <w:top w:val="nil"/>
              <w:left w:val="nil"/>
              <w:bottom w:val="single" w:sz="4" w:space="0" w:color="auto"/>
              <w:right w:val="nil"/>
            </w:tcBorders>
            <w:shd w:val="clear" w:color="auto" w:fill="auto"/>
            <w:noWrap/>
            <w:vAlign w:val="bottom"/>
            <w:hideMark/>
          </w:tcPr>
          <w:p w14:paraId="1E4435B6"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19,380</w:t>
            </w:r>
          </w:p>
        </w:tc>
        <w:tc>
          <w:tcPr>
            <w:tcW w:w="1144" w:type="dxa"/>
            <w:tcBorders>
              <w:top w:val="nil"/>
              <w:left w:val="nil"/>
              <w:bottom w:val="single" w:sz="4" w:space="0" w:color="auto"/>
              <w:right w:val="nil"/>
            </w:tcBorders>
            <w:shd w:val="clear" w:color="auto" w:fill="auto"/>
            <w:noWrap/>
            <w:vAlign w:val="bottom"/>
            <w:hideMark/>
          </w:tcPr>
          <w:p w14:paraId="39CD52F2"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34,844</w:t>
            </w:r>
          </w:p>
        </w:tc>
        <w:tc>
          <w:tcPr>
            <w:tcW w:w="1144" w:type="dxa"/>
            <w:tcBorders>
              <w:top w:val="nil"/>
              <w:left w:val="nil"/>
              <w:bottom w:val="single" w:sz="4" w:space="0" w:color="auto"/>
              <w:right w:val="nil"/>
            </w:tcBorders>
            <w:shd w:val="clear" w:color="auto" w:fill="auto"/>
            <w:noWrap/>
            <w:vAlign w:val="bottom"/>
            <w:hideMark/>
          </w:tcPr>
          <w:p w14:paraId="14F3E0DD"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49,343</w:t>
            </w:r>
          </w:p>
        </w:tc>
      </w:tr>
      <w:tr w:rsidR="00AE6E60" w:rsidRPr="00C83162" w14:paraId="2CF8518E" w14:textId="77777777" w:rsidTr="00DA3F73">
        <w:trPr>
          <w:trHeight w:val="288"/>
        </w:trPr>
        <w:tc>
          <w:tcPr>
            <w:tcW w:w="567" w:type="dxa"/>
            <w:tcBorders>
              <w:top w:val="nil"/>
              <w:left w:val="nil"/>
              <w:bottom w:val="nil"/>
              <w:right w:val="nil"/>
            </w:tcBorders>
            <w:shd w:val="clear" w:color="auto" w:fill="auto"/>
            <w:noWrap/>
            <w:vAlign w:val="bottom"/>
            <w:hideMark/>
          </w:tcPr>
          <w:p w14:paraId="681FF277"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6a</w:t>
            </w:r>
          </w:p>
        </w:tc>
        <w:tc>
          <w:tcPr>
            <w:tcW w:w="5027" w:type="dxa"/>
            <w:tcBorders>
              <w:top w:val="nil"/>
              <w:left w:val="nil"/>
              <w:bottom w:val="nil"/>
              <w:right w:val="nil"/>
            </w:tcBorders>
            <w:shd w:val="clear" w:color="auto" w:fill="auto"/>
            <w:noWrap/>
            <w:vAlign w:val="bottom"/>
            <w:hideMark/>
          </w:tcPr>
          <w:p w14:paraId="2CA5B7CB" w14:textId="77777777" w:rsidR="00AE6E60" w:rsidRPr="00DA3F73" w:rsidRDefault="00661CBB" w:rsidP="00AE6E60">
            <w:pPr>
              <w:spacing w:after="0" w:line="240" w:lineRule="auto"/>
              <w:rPr>
                <w:rFonts w:eastAsia="Times New Roman" w:cs="Arial"/>
                <w:color w:val="000000"/>
                <w:sz w:val="18"/>
                <w:szCs w:val="18"/>
                <w:lang w:eastAsia="en-AU"/>
              </w:rPr>
            </w:pPr>
            <w:r w:rsidRPr="00C83162">
              <w:rPr>
                <w:rFonts w:eastAsia="Times New Roman" w:cs="Arial"/>
                <w:color w:val="000000"/>
                <w:sz w:val="18"/>
                <w:szCs w:val="18"/>
                <w:lang w:eastAsia="en-AU"/>
              </w:rPr>
              <w:t>Transport</w:t>
            </w:r>
            <w:r w:rsidR="00AE6E60" w:rsidRPr="00DA3F73">
              <w:rPr>
                <w:rFonts w:eastAsia="Times New Roman" w:cs="Arial"/>
                <w:color w:val="000000"/>
                <w:sz w:val="18"/>
                <w:szCs w:val="18"/>
                <w:lang w:eastAsia="en-AU"/>
              </w:rPr>
              <w:t xml:space="preserve"> policy: Strict tightened </w:t>
            </w:r>
            <w:r w:rsidRPr="00C83162">
              <w:rPr>
                <w:rFonts w:eastAsia="Times New Roman" w:cs="Arial"/>
                <w:color w:val="000000"/>
                <w:sz w:val="18"/>
                <w:szCs w:val="18"/>
                <w:lang w:eastAsia="en-AU"/>
              </w:rPr>
              <w:t>eligibility</w:t>
            </w:r>
            <w:r w:rsidR="00AE6E60" w:rsidRPr="00DA3F73">
              <w:rPr>
                <w:rFonts w:eastAsia="Times New Roman" w:cs="Arial"/>
                <w:color w:val="000000"/>
                <w:sz w:val="18"/>
                <w:szCs w:val="18"/>
                <w:lang w:eastAsia="en-AU"/>
              </w:rPr>
              <w:t xml:space="preserve"> </w:t>
            </w:r>
          </w:p>
        </w:tc>
        <w:tc>
          <w:tcPr>
            <w:tcW w:w="1144" w:type="dxa"/>
            <w:tcBorders>
              <w:top w:val="nil"/>
              <w:left w:val="nil"/>
              <w:bottom w:val="nil"/>
              <w:right w:val="nil"/>
            </w:tcBorders>
            <w:shd w:val="clear" w:color="auto" w:fill="auto"/>
            <w:noWrap/>
            <w:vAlign w:val="bottom"/>
            <w:hideMark/>
          </w:tcPr>
          <w:p w14:paraId="6C88A42F"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16,125</w:t>
            </w:r>
          </w:p>
        </w:tc>
        <w:tc>
          <w:tcPr>
            <w:tcW w:w="1144" w:type="dxa"/>
            <w:tcBorders>
              <w:top w:val="nil"/>
              <w:left w:val="nil"/>
              <w:bottom w:val="nil"/>
              <w:right w:val="nil"/>
            </w:tcBorders>
            <w:shd w:val="clear" w:color="auto" w:fill="auto"/>
            <w:noWrap/>
            <w:vAlign w:val="bottom"/>
            <w:hideMark/>
          </w:tcPr>
          <w:p w14:paraId="510F9D2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30,469</w:t>
            </w:r>
          </w:p>
        </w:tc>
        <w:tc>
          <w:tcPr>
            <w:tcW w:w="1144" w:type="dxa"/>
            <w:tcBorders>
              <w:top w:val="nil"/>
              <w:left w:val="nil"/>
              <w:bottom w:val="nil"/>
              <w:right w:val="nil"/>
            </w:tcBorders>
            <w:shd w:val="clear" w:color="auto" w:fill="auto"/>
            <w:noWrap/>
            <w:vAlign w:val="bottom"/>
            <w:hideMark/>
          </w:tcPr>
          <w:p w14:paraId="5F0DBC29"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43,215</w:t>
            </w:r>
          </w:p>
        </w:tc>
      </w:tr>
      <w:tr w:rsidR="00AE6E60" w:rsidRPr="00C83162" w14:paraId="30D762BD" w14:textId="77777777" w:rsidTr="00DA3F73">
        <w:trPr>
          <w:trHeight w:val="288"/>
        </w:trPr>
        <w:tc>
          <w:tcPr>
            <w:tcW w:w="567" w:type="dxa"/>
            <w:tcBorders>
              <w:top w:val="nil"/>
              <w:left w:val="nil"/>
              <w:bottom w:val="nil"/>
              <w:right w:val="nil"/>
            </w:tcBorders>
            <w:shd w:val="clear" w:color="auto" w:fill="auto"/>
            <w:noWrap/>
            <w:vAlign w:val="bottom"/>
            <w:hideMark/>
          </w:tcPr>
          <w:p w14:paraId="4D5D7433"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6b</w:t>
            </w:r>
          </w:p>
        </w:tc>
        <w:tc>
          <w:tcPr>
            <w:tcW w:w="5027" w:type="dxa"/>
            <w:tcBorders>
              <w:top w:val="nil"/>
              <w:left w:val="nil"/>
              <w:bottom w:val="nil"/>
              <w:right w:val="nil"/>
            </w:tcBorders>
            <w:shd w:val="clear" w:color="auto" w:fill="auto"/>
            <w:noWrap/>
            <w:vAlign w:val="bottom"/>
            <w:hideMark/>
          </w:tcPr>
          <w:p w14:paraId="153FAA89"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Transport policy: tightened eligibility &amp;increased budget</w:t>
            </w:r>
          </w:p>
        </w:tc>
        <w:tc>
          <w:tcPr>
            <w:tcW w:w="1144" w:type="dxa"/>
            <w:tcBorders>
              <w:top w:val="nil"/>
              <w:left w:val="nil"/>
              <w:bottom w:val="nil"/>
              <w:right w:val="nil"/>
            </w:tcBorders>
            <w:shd w:val="clear" w:color="auto" w:fill="auto"/>
            <w:noWrap/>
            <w:vAlign w:val="bottom"/>
            <w:hideMark/>
          </w:tcPr>
          <w:p w14:paraId="467E13B9"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16,454</w:t>
            </w:r>
          </w:p>
        </w:tc>
        <w:tc>
          <w:tcPr>
            <w:tcW w:w="1144" w:type="dxa"/>
            <w:tcBorders>
              <w:top w:val="nil"/>
              <w:left w:val="nil"/>
              <w:bottom w:val="nil"/>
              <w:right w:val="nil"/>
            </w:tcBorders>
            <w:shd w:val="clear" w:color="auto" w:fill="auto"/>
            <w:noWrap/>
            <w:vAlign w:val="bottom"/>
            <w:hideMark/>
          </w:tcPr>
          <w:p w14:paraId="6DC784C2"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31,041</w:t>
            </w:r>
          </w:p>
        </w:tc>
        <w:tc>
          <w:tcPr>
            <w:tcW w:w="1144" w:type="dxa"/>
            <w:tcBorders>
              <w:top w:val="nil"/>
              <w:left w:val="nil"/>
              <w:bottom w:val="nil"/>
              <w:right w:val="nil"/>
            </w:tcBorders>
            <w:shd w:val="clear" w:color="auto" w:fill="auto"/>
            <w:noWrap/>
            <w:vAlign w:val="bottom"/>
            <w:hideMark/>
          </w:tcPr>
          <w:p w14:paraId="1A3CFD8A"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44,043</w:t>
            </w:r>
          </w:p>
        </w:tc>
      </w:tr>
      <w:tr w:rsidR="00AE6E60" w:rsidRPr="00C83162" w14:paraId="40A0A316" w14:textId="77777777" w:rsidTr="00DA3F73">
        <w:trPr>
          <w:trHeight w:val="288"/>
        </w:trPr>
        <w:tc>
          <w:tcPr>
            <w:tcW w:w="567" w:type="dxa"/>
            <w:tcBorders>
              <w:top w:val="nil"/>
              <w:left w:val="nil"/>
              <w:bottom w:val="single" w:sz="4" w:space="0" w:color="auto"/>
              <w:right w:val="nil"/>
            </w:tcBorders>
            <w:shd w:val="clear" w:color="auto" w:fill="auto"/>
            <w:noWrap/>
            <w:vAlign w:val="bottom"/>
            <w:hideMark/>
          </w:tcPr>
          <w:p w14:paraId="51F3AAB3"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6c</w:t>
            </w:r>
          </w:p>
        </w:tc>
        <w:tc>
          <w:tcPr>
            <w:tcW w:w="5027" w:type="dxa"/>
            <w:tcBorders>
              <w:top w:val="nil"/>
              <w:left w:val="nil"/>
              <w:bottom w:val="single" w:sz="4" w:space="0" w:color="auto"/>
              <w:right w:val="nil"/>
            </w:tcBorders>
            <w:shd w:val="clear" w:color="auto" w:fill="auto"/>
            <w:noWrap/>
            <w:vAlign w:val="bottom"/>
            <w:hideMark/>
          </w:tcPr>
          <w:p w14:paraId="0BE87E28"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Transport policy: tightened eligibility &amp; bottom up approach</w:t>
            </w:r>
          </w:p>
        </w:tc>
        <w:tc>
          <w:tcPr>
            <w:tcW w:w="1144" w:type="dxa"/>
            <w:tcBorders>
              <w:top w:val="nil"/>
              <w:left w:val="nil"/>
              <w:bottom w:val="single" w:sz="4" w:space="0" w:color="auto"/>
              <w:right w:val="nil"/>
            </w:tcBorders>
            <w:shd w:val="clear" w:color="auto" w:fill="auto"/>
            <w:noWrap/>
            <w:vAlign w:val="bottom"/>
            <w:hideMark/>
          </w:tcPr>
          <w:p w14:paraId="713C71EF"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18,800</w:t>
            </w:r>
          </w:p>
        </w:tc>
        <w:tc>
          <w:tcPr>
            <w:tcW w:w="1144" w:type="dxa"/>
            <w:tcBorders>
              <w:top w:val="nil"/>
              <w:left w:val="nil"/>
              <w:bottom w:val="single" w:sz="4" w:space="0" w:color="auto"/>
              <w:right w:val="nil"/>
            </w:tcBorders>
            <w:shd w:val="clear" w:color="auto" w:fill="auto"/>
            <w:noWrap/>
            <w:vAlign w:val="bottom"/>
            <w:hideMark/>
          </w:tcPr>
          <w:p w14:paraId="36EBE0E0"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35,115</w:t>
            </w:r>
          </w:p>
        </w:tc>
        <w:tc>
          <w:tcPr>
            <w:tcW w:w="1144" w:type="dxa"/>
            <w:tcBorders>
              <w:top w:val="nil"/>
              <w:left w:val="nil"/>
              <w:bottom w:val="single" w:sz="4" w:space="0" w:color="auto"/>
              <w:right w:val="nil"/>
            </w:tcBorders>
            <w:shd w:val="clear" w:color="auto" w:fill="auto"/>
            <w:noWrap/>
            <w:vAlign w:val="bottom"/>
            <w:hideMark/>
          </w:tcPr>
          <w:p w14:paraId="121EBF6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49,941</w:t>
            </w:r>
          </w:p>
        </w:tc>
      </w:tr>
      <w:tr w:rsidR="00AE6E60" w:rsidRPr="00C83162" w14:paraId="7498B878" w14:textId="77777777" w:rsidTr="00DA3F73">
        <w:trPr>
          <w:trHeight w:val="288"/>
        </w:trPr>
        <w:tc>
          <w:tcPr>
            <w:tcW w:w="567" w:type="dxa"/>
            <w:tcBorders>
              <w:top w:val="nil"/>
              <w:left w:val="nil"/>
              <w:bottom w:val="single" w:sz="4" w:space="0" w:color="auto"/>
              <w:right w:val="nil"/>
            </w:tcBorders>
            <w:shd w:val="clear" w:color="auto" w:fill="auto"/>
            <w:noWrap/>
            <w:vAlign w:val="bottom"/>
            <w:hideMark/>
          </w:tcPr>
          <w:p w14:paraId="6D9D5B55"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7</w:t>
            </w:r>
          </w:p>
        </w:tc>
        <w:tc>
          <w:tcPr>
            <w:tcW w:w="5027" w:type="dxa"/>
            <w:tcBorders>
              <w:top w:val="nil"/>
              <w:left w:val="nil"/>
              <w:bottom w:val="single" w:sz="4" w:space="0" w:color="auto"/>
              <w:right w:val="nil"/>
            </w:tcBorders>
            <w:shd w:val="clear" w:color="auto" w:fill="auto"/>
            <w:noWrap/>
            <w:vAlign w:val="bottom"/>
            <w:hideMark/>
          </w:tcPr>
          <w:p w14:paraId="48C5ABA3"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 xml:space="preserve">Steady intake date at 30 </w:t>
            </w:r>
            <w:r w:rsidR="00661CBB" w:rsidRPr="00C83162">
              <w:rPr>
                <w:rFonts w:eastAsia="Times New Roman" w:cs="Arial"/>
                <w:color w:val="000000"/>
                <w:sz w:val="18"/>
                <w:szCs w:val="18"/>
                <w:lang w:eastAsia="en-AU"/>
              </w:rPr>
              <w:t>June</w:t>
            </w:r>
            <w:r w:rsidRPr="00DA3F73">
              <w:rPr>
                <w:rFonts w:eastAsia="Times New Roman" w:cs="Arial"/>
                <w:color w:val="000000"/>
                <w:sz w:val="18"/>
                <w:szCs w:val="18"/>
                <w:lang w:eastAsia="en-AU"/>
              </w:rPr>
              <w:t xml:space="preserve"> 2020</w:t>
            </w:r>
          </w:p>
        </w:tc>
        <w:tc>
          <w:tcPr>
            <w:tcW w:w="1144" w:type="dxa"/>
            <w:tcBorders>
              <w:top w:val="nil"/>
              <w:left w:val="nil"/>
              <w:bottom w:val="single" w:sz="4" w:space="0" w:color="auto"/>
              <w:right w:val="nil"/>
            </w:tcBorders>
            <w:shd w:val="clear" w:color="auto" w:fill="auto"/>
            <w:noWrap/>
            <w:vAlign w:val="bottom"/>
            <w:hideMark/>
          </w:tcPr>
          <w:p w14:paraId="62566B72"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16,425</w:t>
            </w:r>
          </w:p>
        </w:tc>
        <w:tc>
          <w:tcPr>
            <w:tcW w:w="1144" w:type="dxa"/>
            <w:tcBorders>
              <w:top w:val="nil"/>
              <w:left w:val="nil"/>
              <w:bottom w:val="single" w:sz="4" w:space="0" w:color="auto"/>
              <w:right w:val="nil"/>
            </w:tcBorders>
            <w:shd w:val="clear" w:color="auto" w:fill="auto"/>
            <w:noWrap/>
            <w:vAlign w:val="bottom"/>
            <w:hideMark/>
          </w:tcPr>
          <w:p w14:paraId="2864EF73"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28,286</w:t>
            </w:r>
          </w:p>
        </w:tc>
        <w:tc>
          <w:tcPr>
            <w:tcW w:w="1144" w:type="dxa"/>
            <w:tcBorders>
              <w:top w:val="nil"/>
              <w:left w:val="nil"/>
              <w:bottom w:val="single" w:sz="4" w:space="0" w:color="auto"/>
              <w:right w:val="nil"/>
            </w:tcBorders>
            <w:shd w:val="clear" w:color="auto" w:fill="auto"/>
            <w:noWrap/>
            <w:vAlign w:val="bottom"/>
            <w:hideMark/>
          </w:tcPr>
          <w:p w14:paraId="4342CBF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41,344</w:t>
            </w:r>
          </w:p>
        </w:tc>
      </w:tr>
      <w:tr w:rsidR="00AE6E60" w:rsidRPr="00C83162" w14:paraId="2672D31D" w14:textId="77777777" w:rsidTr="00DA3F73">
        <w:trPr>
          <w:trHeight w:val="288"/>
        </w:trPr>
        <w:tc>
          <w:tcPr>
            <w:tcW w:w="567" w:type="dxa"/>
            <w:tcBorders>
              <w:top w:val="nil"/>
              <w:left w:val="nil"/>
              <w:bottom w:val="nil"/>
              <w:right w:val="nil"/>
            </w:tcBorders>
            <w:shd w:val="clear" w:color="auto" w:fill="auto"/>
            <w:noWrap/>
            <w:vAlign w:val="bottom"/>
            <w:hideMark/>
          </w:tcPr>
          <w:p w14:paraId="21E9D4B3"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8a</w:t>
            </w:r>
          </w:p>
        </w:tc>
        <w:tc>
          <w:tcPr>
            <w:tcW w:w="5027" w:type="dxa"/>
            <w:tcBorders>
              <w:top w:val="nil"/>
              <w:left w:val="nil"/>
              <w:bottom w:val="nil"/>
              <w:right w:val="nil"/>
            </w:tcBorders>
            <w:shd w:val="clear" w:color="auto" w:fill="auto"/>
            <w:noWrap/>
            <w:vAlign w:val="bottom"/>
            <w:hideMark/>
          </w:tcPr>
          <w:p w14:paraId="2291894E"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Additional 3% pa superimposed inflation from 2021</w:t>
            </w:r>
          </w:p>
        </w:tc>
        <w:tc>
          <w:tcPr>
            <w:tcW w:w="1144" w:type="dxa"/>
            <w:tcBorders>
              <w:top w:val="nil"/>
              <w:left w:val="nil"/>
              <w:bottom w:val="nil"/>
              <w:right w:val="nil"/>
            </w:tcBorders>
            <w:shd w:val="clear" w:color="auto" w:fill="auto"/>
            <w:noWrap/>
            <w:vAlign w:val="bottom"/>
            <w:hideMark/>
          </w:tcPr>
          <w:p w14:paraId="444D4A9B"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16,327</w:t>
            </w:r>
          </w:p>
        </w:tc>
        <w:tc>
          <w:tcPr>
            <w:tcW w:w="1144" w:type="dxa"/>
            <w:tcBorders>
              <w:top w:val="nil"/>
              <w:left w:val="nil"/>
              <w:bottom w:val="nil"/>
              <w:right w:val="nil"/>
            </w:tcBorders>
            <w:shd w:val="clear" w:color="auto" w:fill="auto"/>
            <w:noWrap/>
            <w:vAlign w:val="bottom"/>
            <w:hideMark/>
          </w:tcPr>
          <w:p w14:paraId="6433EAE8"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35,152</w:t>
            </w:r>
          </w:p>
        </w:tc>
        <w:tc>
          <w:tcPr>
            <w:tcW w:w="1144" w:type="dxa"/>
            <w:tcBorders>
              <w:top w:val="nil"/>
              <w:left w:val="nil"/>
              <w:bottom w:val="nil"/>
              <w:right w:val="nil"/>
            </w:tcBorders>
            <w:shd w:val="clear" w:color="auto" w:fill="auto"/>
            <w:noWrap/>
            <w:vAlign w:val="bottom"/>
            <w:hideMark/>
          </w:tcPr>
          <w:p w14:paraId="36C7B4E0"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56,030</w:t>
            </w:r>
          </w:p>
        </w:tc>
      </w:tr>
      <w:tr w:rsidR="00AE6E60" w:rsidRPr="00C83162" w14:paraId="312FFCA6" w14:textId="77777777" w:rsidTr="00DA3F73">
        <w:trPr>
          <w:trHeight w:val="288"/>
        </w:trPr>
        <w:tc>
          <w:tcPr>
            <w:tcW w:w="567" w:type="dxa"/>
            <w:tcBorders>
              <w:top w:val="nil"/>
              <w:left w:val="nil"/>
              <w:bottom w:val="single" w:sz="4" w:space="0" w:color="auto"/>
              <w:right w:val="nil"/>
            </w:tcBorders>
            <w:shd w:val="clear" w:color="auto" w:fill="auto"/>
            <w:noWrap/>
            <w:vAlign w:val="bottom"/>
            <w:hideMark/>
          </w:tcPr>
          <w:p w14:paraId="1E19BBEE"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8b</w:t>
            </w:r>
          </w:p>
        </w:tc>
        <w:tc>
          <w:tcPr>
            <w:tcW w:w="5027" w:type="dxa"/>
            <w:tcBorders>
              <w:top w:val="nil"/>
              <w:left w:val="nil"/>
              <w:bottom w:val="single" w:sz="4" w:space="0" w:color="auto"/>
              <w:right w:val="nil"/>
            </w:tcBorders>
            <w:shd w:val="clear" w:color="auto" w:fill="auto"/>
            <w:noWrap/>
            <w:vAlign w:val="bottom"/>
            <w:hideMark/>
          </w:tcPr>
          <w:p w14:paraId="5C4B5C5F" w14:textId="77777777" w:rsidR="00AE6E60" w:rsidRPr="00DA3F73" w:rsidRDefault="00661CBB" w:rsidP="00AE6E60">
            <w:pPr>
              <w:spacing w:after="0" w:line="240" w:lineRule="auto"/>
              <w:rPr>
                <w:rFonts w:eastAsia="Times New Roman" w:cs="Arial"/>
                <w:color w:val="000000"/>
                <w:sz w:val="18"/>
                <w:szCs w:val="18"/>
                <w:lang w:eastAsia="en-AU"/>
              </w:rPr>
            </w:pPr>
            <w:r w:rsidRPr="00C83162">
              <w:rPr>
                <w:rFonts w:eastAsia="Times New Roman" w:cs="Arial"/>
                <w:color w:val="000000"/>
                <w:sz w:val="18"/>
                <w:szCs w:val="18"/>
                <w:lang w:eastAsia="en-AU"/>
              </w:rPr>
              <w:t>Additional</w:t>
            </w:r>
            <w:r w:rsidR="00AE6E60" w:rsidRPr="00DA3F73">
              <w:rPr>
                <w:rFonts w:eastAsia="Times New Roman" w:cs="Arial"/>
                <w:color w:val="000000"/>
                <w:sz w:val="18"/>
                <w:szCs w:val="18"/>
                <w:lang w:eastAsia="en-AU"/>
              </w:rPr>
              <w:t xml:space="preserve"> 1% pa superimposed inflation from 2021</w:t>
            </w:r>
          </w:p>
        </w:tc>
        <w:tc>
          <w:tcPr>
            <w:tcW w:w="1144" w:type="dxa"/>
            <w:tcBorders>
              <w:top w:val="nil"/>
              <w:left w:val="nil"/>
              <w:bottom w:val="single" w:sz="4" w:space="0" w:color="auto"/>
              <w:right w:val="nil"/>
            </w:tcBorders>
            <w:shd w:val="clear" w:color="auto" w:fill="auto"/>
            <w:noWrap/>
            <w:vAlign w:val="bottom"/>
            <w:hideMark/>
          </w:tcPr>
          <w:p w14:paraId="52238A38"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16,327</w:t>
            </w:r>
          </w:p>
        </w:tc>
        <w:tc>
          <w:tcPr>
            <w:tcW w:w="1144" w:type="dxa"/>
            <w:tcBorders>
              <w:top w:val="nil"/>
              <w:left w:val="nil"/>
              <w:bottom w:val="single" w:sz="4" w:space="0" w:color="auto"/>
              <w:right w:val="nil"/>
            </w:tcBorders>
            <w:shd w:val="clear" w:color="auto" w:fill="auto"/>
            <w:noWrap/>
            <w:vAlign w:val="bottom"/>
            <w:hideMark/>
          </w:tcPr>
          <w:p w14:paraId="387A5ACA"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32,264</w:t>
            </w:r>
          </w:p>
        </w:tc>
        <w:tc>
          <w:tcPr>
            <w:tcW w:w="1144" w:type="dxa"/>
            <w:tcBorders>
              <w:top w:val="nil"/>
              <w:left w:val="nil"/>
              <w:bottom w:val="single" w:sz="4" w:space="0" w:color="auto"/>
              <w:right w:val="nil"/>
            </w:tcBorders>
            <w:shd w:val="clear" w:color="auto" w:fill="auto"/>
            <w:noWrap/>
            <w:vAlign w:val="bottom"/>
            <w:hideMark/>
          </w:tcPr>
          <w:p w14:paraId="48F9C60F"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47,825</w:t>
            </w:r>
          </w:p>
        </w:tc>
      </w:tr>
    </w:tbl>
    <w:p w14:paraId="18FC45EC" w14:textId="77777777" w:rsidR="00AE6E60" w:rsidRDefault="00AE6E60">
      <w:pPr>
        <w:pStyle w:val="FSRHeading4"/>
      </w:pPr>
      <w:r>
        <w:t xml:space="preserve">2019-20 </w:t>
      </w:r>
      <w:r w:rsidRPr="00A40552">
        <w:t>Scenarios</w:t>
      </w:r>
    </w:p>
    <w:tbl>
      <w:tblPr>
        <w:tblW w:w="9072" w:type="dxa"/>
        <w:tblLook w:val="04A0" w:firstRow="1" w:lastRow="0" w:firstColumn="1" w:lastColumn="0" w:noHBand="0" w:noVBand="1"/>
      </w:tblPr>
      <w:tblGrid>
        <w:gridCol w:w="5950"/>
        <w:gridCol w:w="1126"/>
        <w:gridCol w:w="1004"/>
        <w:gridCol w:w="992"/>
      </w:tblGrid>
      <w:tr w:rsidR="00911A3E" w:rsidRPr="00C83162" w14:paraId="7B62287B" w14:textId="77777777" w:rsidTr="00DA3F73">
        <w:trPr>
          <w:trHeight w:val="271"/>
        </w:trPr>
        <w:tc>
          <w:tcPr>
            <w:tcW w:w="5950" w:type="dxa"/>
            <w:tcBorders>
              <w:top w:val="nil"/>
              <w:left w:val="nil"/>
              <w:right w:val="nil"/>
            </w:tcBorders>
            <w:shd w:val="clear" w:color="000000" w:fill="6B2976"/>
            <w:noWrap/>
            <w:vAlign w:val="center"/>
            <w:hideMark/>
          </w:tcPr>
          <w:p w14:paraId="21132B81" w14:textId="77777777" w:rsidR="00911A3E" w:rsidRPr="00DA3F73" w:rsidRDefault="00911A3E">
            <w:pPr>
              <w:spacing w:after="0" w:line="240" w:lineRule="auto"/>
              <w:rPr>
                <w:rFonts w:eastAsia="Times New Roman" w:cs="Arial"/>
                <w:b/>
                <w:bCs/>
                <w:color w:val="FFFFFF"/>
                <w:sz w:val="18"/>
                <w:szCs w:val="18"/>
                <w:lang w:eastAsia="en-AU"/>
              </w:rPr>
            </w:pPr>
            <w:r w:rsidRPr="00DA3F73">
              <w:rPr>
                <w:rFonts w:eastAsia="Times New Roman" w:cs="Arial"/>
                <w:b/>
                <w:bCs/>
                <w:color w:val="FFFFFF"/>
                <w:sz w:val="18"/>
                <w:szCs w:val="18"/>
                <w:lang w:eastAsia="en-AU"/>
              </w:rPr>
              <w:t>Total participant costs</w:t>
            </w:r>
          </w:p>
        </w:tc>
        <w:tc>
          <w:tcPr>
            <w:tcW w:w="1126" w:type="dxa"/>
            <w:tcBorders>
              <w:top w:val="nil"/>
              <w:left w:val="nil"/>
              <w:right w:val="nil"/>
            </w:tcBorders>
            <w:shd w:val="clear" w:color="000000" w:fill="6B2976"/>
            <w:noWrap/>
            <w:vAlign w:val="center"/>
            <w:hideMark/>
          </w:tcPr>
          <w:p w14:paraId="7778B340" w14:textId="77777777" w:rsidR="00911A3E" w:rsidRPr="00DA3F73" w:rsidRDefault="00911A3E" w:rsidP="00911A3E">
            <w:pPr>
              <w:spacing w:after="0" w:line="240" w:lineRule="auto"/>
              <w:jc w:val="right"/>
              <w:rPr>
                <w:rFonts w:eastAsia="Times New Roman" w:cs="Arial"/>
                <w:b/>
                <w:bCs/>
                <w:color w:val="FFFFFF"/>
                <w:sz w:val="18"/>
                <w:szCs w:val="18"/>
                <w:lang w:eastAsia="en-AU"/>
              </w:rPr>
            </w:pPr>
            <w:r w:rsidRPr="00DE2B95">
              <w:rPr>
                <w:rFonts w:eastAsia="Times New Roman" w:cs="Arial"/>
                <w:b/>
                <w:bCs/>
                <w:color w:val="FFFFFF"/>
                <w:sz w:val="18"/>
                <w:szCs w:val="18"/>
                <w:lang w:eastAsia="en-AU"/>
              </w:rPr>
              <w:t>20</w:t>
            </w:r>
            <w:r>
              <w:rPr>
                <w:rFonts w:eastAsia="Times New Roman" w:cs="Arial"/>
                <w:b/>
                <w:bCs/>
                <w:color w:val="FFFFFF"/>
                <w:sz w:val="18"/>
                <w:szCs w:val="18"/>
                <w:lang w:eastAsia="en-AU"/>
              </w:rPr>
              <w:t>19-</w:t>
            </w:r>
            <w:r w:rsidRPr="00DE2B95">
              <w:rPr>
                <w:rFonts w:eastAsia="Times New Roman" w:cs="Arial"/>
                <w:b/>
                <w:bCs/>
                <w:color w:val="FFFFFF"/>
                <w:sz w:val="18"/>
                <w:szCs w:val="18"/>
                <w:lang w:eastAsia="en-AU"/>
              </w:rPr>
              <w:t>20</w:t>
            </w:r>
          </w:p>
        </w:tc>
        <w:tc>
          <w:tcPr>
            <w:tcW w:w="1004" w:type="dxa"/>
            <w:tcBorders>
              <w:top w:val="nil"/>
              <w:left w:val="nil"/>
              <w:bottom w:val="nil"/>
              <w:right w:val="nil"/>
            </w:tcBorders>
            <w:shd w:val="clear" w:color="000000" w:fill="6B2976"/>
            <w:noWrap/>
            <w:vAlign w:val="center"/>
            <w:hideMark/>
          </w:tcPr>
          <w:p w14:paraId="6C8191B6" w14:textId="77777777" w:rsidR="00911A3E" w:rsidRPr="00DA3F73" w:rsidRDefault="00911A3E" w:rsidP="00911A3E">
            <w:pPr>
              <w:spacing w:after="0" w:line="240" w:lineRule="auto"/>
              <w:jc w:val="right"/>
              <w:rPr>
                <w:rFonts w:eastAsia="Times New Roman" w:cs="Arial"/>
                <w:b/>
                <w:bCs/>
                <w:color w:val="FFFFFF"/>
                <w:sz w:val="18"/>
                <w:szCs w:val="18"/>
                <w:lang w:eastAsia="en-AU"/>
              </w:rPr>
            </w:pPr>
            <w:r w:rsidRPr="00DE2B95">
              <w:rPr>
                <w:rFonts w:eastAsia="Times New Roman" w:cs="Arial"/>
                <w:b/>
                <w:bCs/>
                <w:color w:val="FFFFFF"/>
                <w:sz w:val="18"/>
                <w:szCs w:val="18"/>
                <w:lang w:eastAsia="en-AU"/>
              </w:rPr>
              <w:t>20</w:t>
            </w:r>
            <w:r>
              <w:rPr>
                <w:rFonts w:eastAsia="Times New Roman" w:cs="Arial"/>
                <w:b/>
                <w:bCs/>
                <w:color w:val="FFFFFF"/>
                <w:sz w:val="18"/>
                <w:szCs w:val="18"/>
                <w:lang w:eastAsia="en-AU"/>
              </w:rPr>
              <w:t>24-</w:t>
            </w:r>
            <w:r w:rsidRPr="00DE2B95">
              <w:rPr>
                <w:rFonts w:eastAsia="Times New Roman" w:cs="Arial"/>
                <w:b/>
                <w:bCs/>
                <w:color w:val="FFFFFF"/>
                <w:sz w:val="18"/>
                <w:szCs w:val="18"/>
                <w:lang w:eastAsia="en-AU"/>
              </w:rPr>
              <w:t>25</w:t>
            </w:r>
          </w:p>
        </w:tc>
        <w:tc>
          <w:tcPr>
            <w:tcW w:w="992" w:type="dxa"/>
            <w:tcBorders>
              <w:top w:val="nil"/>
              <w:left w:val="nil"/>
              <w:bottom w:val="nil"/>
              <w:right w:val="nil"/>
            </w:tcBorders>
            <w:shd w:val="clear" w:color="000000" w:fill="6B2976"/>
            <w:noWrap/>
            <w:vAlign w:val="center"/>
            <w:hideMark/>
          </w:tcPr>
          <w:p w14:paraId="41BFEFDF" w14:textId="77777777" w:rsidR="00911A3E" w:rsidRPr="00DA3F73" w:rsidRDefault="00911A3E" w:rsidP="00911A3E">
            <w:pPr>
              <w:spacing w:after="0" w:line="240" w:lineRule="auto"/>
              <w:jc w:val="right"/>
              <w:rPr>
                <w:rFonts w:eastAsia="Times New Roman" w:cs="Arial"/>
                <w:b/>
                <w:bCs/>
                <w:color w:val="FFFFFF"/>
                <w:sz w:val="18"/>
                <w:szCs w:val="18"/>
                <w:lang w:eastAsia="en-AU"/>
              </w:rPr>
            </w:pPr>
            <w:r w:rsidRPr="00DE2B95">
              <w:rPr>
                <w:rFonts w:eastAsia="Times New Roman" w:cs="Arial"/>
                <w:b/>
                <w:bCs/>
                <w:color w:val="FFFFFF"/>
                <w:sz w:val="18"/>
                <w:szCs w:val="18"/>
                <w:lang w:eastAsia="en-AU"/>
              </w:rPr>
              <w:t>20</w:t>
            </w:r>
            <w:r>
              <w:rPr>
                <w:rFonts w:eastAsia="Times New Roman" w:cs="Arial"/>
                <w:b/>
                <w:bCs/>
                <w:color w:val="FFFFFF"/>
                <w:sz w:val="18"/>
                <w:szCs w:val="18"/>
                <w:lang w:eastAsia="en-AU"/>
              </w:rPr>
              <w:t>29-</w:t>
            </w:r>
            <w:r w:rsidRPr="00DE2B95">
              <w:rPr>
                <w:rFonts w:eastAsia="Times New Roman" w:cs="Arial"/>
                <w:b/>
                <w:bCs/>
                <w:color w:val="FFFFFF"/>
                <w:sz w:val="18"/>
                <w:szCs w:val="18"/>
                <w:lang w:eastAsia="en-AU"/>
              </w:rPr>
              <w:t>30</w:t>
            </w:r>
          </w:p>
        </w:tc>
      </w:tr>
      <w:tr w:rsidR="00AE6E60" w:rsidRPr="00C83162" w14:paraId="67D090F1" w14:textId="77777777" w:rsidTr="00DA3F73">
        <w:trPr>
          <w:trHeight w:val="271"/>
        </w:trPr>
        <w:tc>
          <w:tcPr>
            <w:tcW w:w="5950" w:type="dxa"/>
            <w:tcBorders>
              <w:left w:val="nil"/>
              <w:bottom w:val="single" w:sz="8" w:space="0" w:color="auto"/>
              <w:right w:val="nil"/>
            </w:tcBorders>
            <w:shd w:val="clear" w:color="auto" w:fill="auto"/>
            <w:noWrap/>
            <w:vAlign w:val="bottom"/>
            <w:hideMark/>
          </w:tcPr>
          <w:p w14:paraId="7FB7FB27"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2019-20 Baseline</w:t>
            </w:r>
          </w:p>
        </w:tc>
        <w:tc>
          <w:tcPr>
            <w:tcW w:w="1126" w:type="dxa"/>
            <w:tcBorders>
              <w:left w:val="nil"/>
              <w:bottom w:val="single" w:sz="8" w:space="0" w:color="auto"/>
              <w:right w:val="nil"/>
            </w:tcBorders>
            <w:shd w:val="clear" w:color="auto" w:fill="auto"/>
            <w:noWrap/>
            <w:vAlign w:val="bottom"/>
            <w:hideMark/>
          </w:tcPr>
          <w:p w14:paraId="502B0CC4"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 </w:t>
            </w:r>
          </w:p>
        </w:tc>
        <w:tc>
          <w:tcPr>
            <w:tcW w:w="1004" w:type="dxa"/>
            <w:tcBorders>
              <w:top w:val="nil"/>
              <w:left w:val="nil"/>
              <w:bottom w:val="single" w:sz="8" w:space="0" w:color="auto"/>
              <w:right w:val="nil"/>
            </w:tcBorders>
            <w:shd w:val="clear" w:color="auto" w:fill="auto"/>
            <w:noWrap/>
            <w:vAlign w:val="bottom"/>
            <w:hideMark/>
          </w:tcPr>
          <w:p w14:paraId="1E958FF3"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34,109</w:t>
            </w:r>
          </w:p>
        </w:tc>
        <w:tc>
          <w:tcPr>
            <w:tcW w:w="992" w:type="dxa"/>
            <w:tcBorders>
              <w:top w:val="nil"/>
              <w:left w:val="nil"/>
              <w:bottom w:val="single" w:sz="8" w:space="0" w:color="auto"/>
              <w:right w:val="nil"/>
            </w:tcBorders>
            <w:shd w:val="clear" w:color="auto" w:fill="auto"/>
            <w:noWrap/>
            <w:vAlign w:val="bottom"/>
            <w:hideMark/>
          </w:tcPr>
          <w:p w14:paraId="6AC02176"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51,304</w:t>
            </w:r>
          </w:p>
        </w:tc>
      </w:tr>
      <w:tr w:rsidR="00AE6E60" w:rsidRPr="00C83162" w14:paraId="5D89DD89" w14:textId="77777777" w:rsidTr="00DA3F73">
        <w:trPr>
          <w:trHeight w:val="258"/>
        </w:trPr>
        <w:tc>
          <w:tcPr>
            <w:tcW w:w="5950" w:type="dxa"/>
            <w:tcBorders>
              <w:top w:val="nil"/>
              <w:left w:val="nil"/>
              <w:bottom w:val="nil"/>
              <w:right w:val="nil"/>
            </w:tcBorders>
            <w:shd w:val="clear" w:color="auto" w:fill="auto"/>
            <w:noWrap/>
            <w:vAlign w:val="bottom"/>
            <w:hideMark/>
          </w:tcPr>
          <w:p w14:paraId="47556F07"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1a. =&gt; Continuation of historical superimposed inflation</w:t>
            </w:r>
          </w:p>
        </w:tc>
        <w:tc>
          <w:tcPr>
            <w:tcW w:w="1126" w:type="dxa"/>
            <w:tcBorders>
              <w:top w:val="nil"/>
              <w:left w:val="nil"/>
              <w:bottom w:val="nil"/>
              <w:right w:val="nil"/>
            </w:tcBorders>
            <w:shd w:val="clear" w:color="auto" w:fill="auto"/>
            <w:noWrap/>
            <w:vAlign w:val="bottom"/>
            <w:hideMark/>
          </w:tcPr>
          <w:p w14:paraId="33913496" w14:textId="77777777" w:rsidR="00AE6E60" w:rsidRPr="00DA3F73" w:rsidRDefault="00AE6E60" w:rsidP="00AE6E60">
            <w:pPr>
              <w:spacing w:after="0" w:line="240" w:lineRule="auto"/>
              <w:rPr>
                <w:rFonts w:eastAsia="Times New Roman" w:cs="Arial"/>
                <w:color w:val="000000"/>
                <w:sz w:val="18"/>
                <w:szCs w:val="18"/>
                <w:lang w:eastAsia="en-AU"/>
              </w:rPr>
            </w:pPr>
          </w:p>
        </w:tc>
        <w:tc>
          <w:tcPr>
            <w:tcW w:w="1004" w:type="dxa"/>
            <w:tcBorders>
              <w:top w:val="nil"/>
              <w:left w:val="nil"/>
              <w:bottom w:val="nil"/>
              <w:right w:val="nil"/>
            </w:tcBorders>
            <w:shd w:val="clear" w:color="auto" w:fill="auto"/>
            <w:noWrap/>
            <w:vAlign w:val="bottom"/>
            <w:hideMark/>
          </w:tcPr>
          <w:p w14:paraId="649B3E8C"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45,399</w:t>
            </w:r>
          </w:p>
        </w:tc>
        <w:tc>
          <w:tcPr>
            <w:tcW w:w="992" w:type="dxa"/>
            <w:tcBorders>
              <w:top w:val="nil"/>
              <w:left w:val="nil"/>
              <w:bottom w:val="nil"/>
              <w:right w:val="nil"/>
            </w:tcBorders>
            <w:shd w:val="clear" w:color="auto" w:fill="auto"/>
            <w:noWrap/>
            <w:vAlign w:val="bottom"/>
            <w:hideMark/>
          </w:tcPr>
          <w:p w14:paraId="32BB7BD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68,282</w:t>
            </w:r>
          </w:p>
        </w:tc>
      </w:tr>
      <w:tr w:rsidR="00AE6E60" w:rsidRPr="00C83162" w14:paraId="1EA31800" w14:textId="77777777" w:rsidTr="00DA3F73">
        <w:trPr>
          <w:trHeight w:val="258"/>
        </w:trPr>
        <w:tc>
          <w:tcPr>
            <w:tcW w:w="5950" w:type="dxa"/>
            <w:tcBorders>
              <w:top w:val="nil"/>
              <w:left w:val="nil"/>
              <w:bottom w:val="nil"/>
              <w:right w:val="nil"/>
            </w:tcBorders>
            <w:shd w:val="clear" w:color="auto" w:fill="auto"/>
            <w:noWrap/>
            <w:vAlign w:val="bottom"/>
            <w:hideMark/>
          </w:tcPr>
          <w:p w14:paraId="0D04BE18"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1b. =&gt; Removal of 1% p.a. additional superimposed inflation</w:t>
            </w:r>
          </w:p>
        </w:tc>
        <w:tc>
          <w:tcPr>
            <w:tcW w:w="1126" w:type="dxa"/>
            <w:tcBorders>
              <w:top w:val="nil"/>
              <w:left w:val="nil"/>
              <w:bottom w:val="nil"/>
              <w:right w:val="nil"/>
            </w:tcBorders>
            <w:shd w:val="clear" w:color="auto" w:fill="auto"/>
            <w:noWrap/>
            <w:vAlign w:val="bottom"/>
            <w:hideMark/>
          </w:tcPr>
          <w:p w14:paraId="09FD52B9" w14:textId="77777777" w:rsidR="00AE6E60" w:rsidRPr="00DA3F73" w:rsidRDefault="00AE6E60" w:rsidP="00AE6E60">
            <w:pPr>
              <w:spacing w:after="0" w:line="240" w:lineRule="auto"/>
              <w:rPr>
                <w:rFonts w:eastAsia="Times New Roman" w:cs="Arial"/>
                <w:color w:val="000000"/>
                <w:sz w:val="18"/>
                <w:szCs w:val="18"/>
                <w:lang w:eastAsia="en-AU"/>
              </w:rPr>
            </w:pPr>
          </w:p>
        </w:tc>
        <w:tc>
          <w:tcPr>
            <w:tcW w:w="1004" w:type="dxa"/>
            <w:tcBorders>
              <w:top w:val="nil"/>
              <w:left w:val="nil"/>
              <w:bottom w:val="nil"/>
              <w:right w:val="nil"/>
            </w:tcBorders>
            <w:shd w:val="clear" w:color="auto" w:fill="auto"/>
            <w:noWrap/>
            <w:vAlign w:val="bottom"/>
            <w:hideMark/>
          </w:tcPr>
          <w:p w14:paraId="565B38E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32,364</w:t>
            </w:r>
          </w:p>
        </w:tc>
        <w:tc>
          <w:tcPr>
            <w:tcW w:w="992" w:type="dxa"/>
            <w:tcBorders>
              <w:top w:val="nil"/>
              <w:left w:val="nil"/>
              <w:bottom w:val="nil"/>
              <w:right w:val="nil"/>
            </w:tcBorders>
            <w:shd w:val="clear" w:color="auto" w:fill="auto"/>
            <w:noWrap/>
            <w:vAlign w:val="bottom"/>
            <w:hideMark/>
          </w:tcPr>
          <w:p w14:paraId="04A3E55F"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48,447</w:t>
            </w:r>
          </w:p>
        </w:tc>
      </w:tr>
      <w:tr w:rsidR="00AE6E60" w:rsidRPr="00C83162" w14:paraId="2DE85859" w14:textId="77777777" w:rsidTr="00DA3F73">
        <w:trPr>
          <w:trHeight w:val="271"/>
        </w:trPr>
        <w:tc>
          <w:tcPr>
            <w:tcW w:w="5950" w:type="dxa"/>
            <w:tcBorders>
              <w:top w:val="nil"/>
              <w:left w:val="nil"/>
              <w:bottom w:val="single" w:sz="8" w:space="0" w:color="auto"/>
              <w:right w:val="nil"/>
            </w:tcBorders>
            <w:shd w:val="clear" w:color="auto" w:fill="auto"/>
            <w:noWrap/>
            <w:vAlign w:val="bottom"/>
            <w:hideMark/>
          </w:tcPr>
          <w:p w14:paraId="71DC6B19"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1c. =&gt; Alternative normal inflation</w:t>
            </w:r>
          </w:p>
        </w:tc>
        <w:tc>
          <w:tcPr>
            <w:tcW w:w="1126" w:type="dxa"/>
            <w:tcBorders>
              <w:top w:val="nil"/>
              <w:left w:val="nil"/>
              <w:bottom w:val="single" w:sz="8" w:space="0" w:color="auto"/>
              <w:right w:val="nil"/>
            </w:tcBorders>
            <w:shd w:val="clear" w:color="auto" w:fill="auto"/>
            <w:noWrap/>
            <w:vAlign w:val="bottom"/>
            <w:hideMark/>
          </w:tcPr>
          <w:p w14:paraId="300599A4"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 </w:t>
            </w:r>
          </w:p>
        </w:tc>
        <w:tc>
          <w:tcPr>
            <w:tcW w:w="1004" w:type="dxa"/>
            <w:tcBorders>
              <w:top w:val="nil"/>
              <w:left w:val="nil"/>
              <w:bottom w:val="single" w:sz="8" w:space="0" w:color="auto"/>
              <w:right w:val="nil"/>
            </w:tcBorders>
            <w:shd w:val="clear" w:color="auto" w:fill="auto"/>
            <w:noWrap/>
            <w:vAlign w:val="bottom"/>
            <w:hideMark/>
          </w:tcPr>
          <w:p w14:paraId="61E3F048"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33,332</w:t>
            </w:r>
          </w:p>
        </w:tc>
        <w:tc>
          <w:tcPr>
            <w:tcW w:w="992" w:type="dxa"/>
            <w:tcBorders>
              <w:top w:val="nil"/>
              <w:left w:val="nil"/>
              <w:bottom w:val="single" w:sz="8" w:space="0" w:color="auto"/>
              <w:right w:val="nil"/>
            </w:tcBorders>
            <w:shd w:val="clear" w:color="auto" w:fill="auto"/>
            <w:noWrap/>
            <w:vAlign w:val="bottom"/>
            <w:hideMark/>
          </w:tcPr>
          <w:p w14:paraId="0085F3D8"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46,735</w:t>
            </w:r>
          </w:p>
        </w:tc>
      </w:tr>
      <w:tr w:rsidR="00AE6E60" w:rsidRPr="00C83162" w14:paraId="137739DD" w14:textId="77777777" w:rsidTr="00DA3F73">
        <w:trPr>
          <w:trHeight w:val="258"/>
        </w:trPr>
        <w:tc>
          <w:tcPr>
            <w:tcW w:w="5950" w:type="dxa"/>
            <w:tcBorders>
              <w:top w:val="nil"/>
              <w:left w:val="nil"/>
              <w:bottom w:val="nil"/>
              <w:right w:val="nil"/>
            </w:tcBorders>
            <w:shd w:val="clear" w:color="auto" w:fill="auto"/>
            <w:noWrap/>
            <w:vAlign w:val="bottom"/>
            <w:hideMark/>
          </w:tcPr>
          <w:p w14:paraId="45920E9F" w14:textId="77777777" w:rsidR="00AE6E60" w:rsidRPr="00DA3F73" w:rsidRDefault="00AE6E60" w:rsidP="00741928">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2a. =&gt; Higher proportion of participants in SIL over long</w:t>
            </w:r>
            <w:r w:rsidR="00D925FC">
              <w:rPr>
                <w:rFonts w:eastAsia="Times New Roman" w:cs="Arial"/>
                <w:color w:val="000000"/>
                <w:sz w:val="18"/>
                <w:szCs w:val="18"/>
                <w:lang w:eastAsia="en-AU"/>
              </w:rPr>
              <w:t>-</w:t>
            </w:r>
            <w:r w:rsidRPr="00DA3F73">
              <w:rPr>
                <w:rFonts w:eastAsia="Times New Roman" w:cs="Arial"/>
                <w:color w:val="000000"/>
                <w:sz w:val="18"/>
                <w:szCs w:val="18"/>
                <w:lang w:eastAsia="en-AU"/>
              </w:rPr>
              <w:t>term</w:t>
            </w:r>
          </w:p>
        </w:tc>
        <w:tc>
          <w:tcPr>
            <w:tcW w:w="1126" w:type="dxa"/>
            <w:tcBorders>
              <w:top w:val="nil"/>
              <w:left w:val="nil"/>
              <w:bottom w:val="nil"/>
              <w:right w:val="nil"/>
            </w:tcBorders>
            <w:shd w:val="clear" w:color="auto" w:fill="auto"/>
            <w:noWrap/>
            <w:vAlign w:val="bottom"/>
            <w:hideMark/>
          </w:tcPr>
          <w:p w14:paraId="0F47C943" w14:textId="77777777" w:rsidR="00AE6E60" w:rsidRPr="00DA3F73" w:rsidRDefault="00AE6E60" w:rsidP="00AE6E60">
            <w:pPr>
              <w:spacing w:after="0" w:line="240" w:lineRule="auto"/>
              <w:rPr>
                <w:rFonts w:eastAsia="Times New Roman" w:cs="Arial"/>
                <w:color w:val="000000"/>
                <w:sz w:val="18"/>
                <w:szCs w:val="18"/>
                <w:lang w:eastAsia="en-AU"/>
              </w:rPr>
            </w:pPr>
          </w:p>
        </w:tc>
        <w:tc>
          <w:tcPr>
            <w:tcW w:w="1004" w:type="dxa"/>
            <w:tcBorders>
              <w:top w:val="nil"/>
              <w:left w:val="nil"/>
              <w:bottom w:val="nil"/>
              <w:right w:val="nil"/>
            </w:tcBorders>
            <w:shd w:val="clear" w:color="auto" w:fill="auto"/>
            <w:noWrap/>
            <w:vAlign w:val="bottom"/>
            <w:hideMark/>
          </w:tcPr>
          <w:p w14:paraId="5000C2E4"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37,230</w:t>
            </w:r>
          </w:p>
        </w:tc>
        <w:tc>
          <w:tcPr>
            <w:tcW w:w="992" w:type="dxa"/>
            <w:tcBorders>
              <w:top w:val="nil"/>
              <w:left w:val="nil"/>
              <w:bottom w:val="nil"/>
              <w:right w:val="nil"/>
            </w:tcBorders>
            <w:shd w:val="clear" w:color="auto" w:fill="auto"/>
            <w:noWrap/>
            <w:vAlign w:val="bottom"/>
            <w:hideMark/>
          </w:tcPr>
          <w:p w14:paraId="48417D78"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60,805</w:t>
            </w:r>
          </w:p>
        </w:tc>
      </w:tr>
      <w:tr w:rsidR="00AE6E60" w:rsidRPr="00C83162" w14:paraId="52AE5479" w14:textId="77777777" w:rsidTr="00DA3F73">
        <w:trPr>
          <w:trHeight w:val="258"/>
        </w:trPr>
        <w:tc>
          <w:tcPr>
            <w:tcW w:w="5950" w:type="dxa"/>
            <w:tcBorders>
              <w:top w:val="nil"/>
              <w:left w:val="nil"/>
              <w:bottom w:val="nil"/>
              <w:right w:val="nil"/>
            </w:tcBorders>
            <w:shd w:val="clear" w:color="auto" w:fill="auto"/>
            <w:noWrap/>
            <w:vAlign w:val="bottom"/>
            <w:hideMark/>
          </w:tcPr>
          <w:p w14:paraId="5FF3A1E2"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2b. =&gt; Continuation of increasing SIL cost for 2 years</w:t>
            </w:r>
          </w:p>
        </w:tc>
        <w:tc>
          <w:tcPr>
            <w:tcW w:w="1126" w:type="dxa"/>
            <w:tcBorders>
              <w:top w:val="nil"/>
              <w:left w:val="nil"/>
              <w:bottom w:val="nil"/>
              <w:right w:val="nil"/>
            </w:tcBorders>
            <w:shd w:val="clear" w:color="auto" w:fill="auto"/>
            <w:noWrap/>
            <w:vAlign w:val="bottom"/>
            <w:hideMark/>
          </w:tcPr>
          <w:p w14:paraId="209649B3" w14:textId="77777777" w:rsidR="00AE6E60" w:rsidRPr="00DA3F73" w:rsidRDefault="00AE6E60" w:rsidP="00AE6E60">
            <w:pPr>
              <w:spacing w:after="0" w:line="240" w:lineRule="auto"/>
              <w:rPr>
                <w:rFonts w:eastAsia="Times New Roman" w:cs="Arial"/>
                <w:color w:val="000000"/>
                <w:sz w:val="18"/>
                <w:szCs w:val="18"/>
                <w:lang w:eastAsia="en-AU"/>
              </w:rPr>
            </w:pPr>
          </w:p>
        </w:tc>
        <w:tc>
          <w:tcPr>
            <w:tcW w:w="1004" w:type="dxa"/>
            <w:tcBorders>
              <w:top w:val="nil"/>
              <w:left w:val="nil"/>
              <w:bottom w:val="nil"/>
              <w:right w:val="nil"/>
            </w:tcBorders>
            <w:shd w:val="clear" w:color="auto" w:fill="auto"/>
            <w:noWrap/>
            <w:vAlign w:val="bottom"/>
            <w:hideMark/>
          </w:tcPr>
          <w:p w14:paraId="40960F66"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37,909</w:t>
            </w:r>
          </w:p>
        </w:tc>
        <w:tc>
          <w:tcPr>
            <w:tcW w:w="992" w:type="dxa"/>
            <w:tcBorders>
              <w:top w:val="nil"/>
              <w:left w:val="nil"/>
              <w:bottom w:val="nil"/>
              <w:right w:val="nil"/>
            </w:tcBorders>
            <w:shd w:val="clear" w:color="auto" w:fill="auto"/>
            <w:noWrap/>
            <w:vAlign w:val="bottom"/>
            <w:hideMark/>
          </w:tcPr>
          <w:p w14:paraId="57D99ECF"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57,276</w:t>
            </w:r>
          </w:p>
        </w:tc>
      </w:tr>
      <w:tr w:rsidR="00AE6E60" w:rsidRPr="00C83162" w14:paraId="1C7B0DFE" w14:textId="77777777" w:rsidTr="00DA3F73">
        <w:trPr>
          <w:trHeight w:val="271"/>
        </w:trPr>
        <w:tc>
          <w:tcPr>
            <w:tcW w:w="5950" w:type="dxa"/>
            <w:tcBorders>
              <w:top w:val="nil"/>
              <w:left w:val="nil"/>
              <w:bottom w:val="single" w:sz="8" w:space="0" w:color="auto"/>
              <w:right w:val="nil"/>
            </w:tcBorders>
            <w:shd w:val="clear" w:color="auto" w:fill="auto"/>
            <w:noWrap/>
            <w:vAlign w:val="bottom"/>
            <w:hideMark/>
          </w:tcPr>
          <w:p w14:paraId="04EB87AB"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2c. =&gt; SIL cost innovation</w:t>
            </w:r>
          </w:p>
        </w:tc>
        <w:tc>
          <w:tcPr>
            <w:tcW w:w="1126" w:type="dxa"/>
            <w:tcBorders>
              <w:top w:val="nil"/>
              <w:left w:val="nil"/>
              <w:bottom w:val="single" w:sz="8" w:space="0" w:color="auto"/>
              <w:right w:val="nil"/>
            </w:tcBorders>
            <w:shd w:val="clear" w:color="auto" w:fill="auto"/>
            <w:noWrap/>
            <w:vAlign w:val="bottom"/>
            <w:hideMark/>
          </w:tcPr>
          <w:p w14:paraId="5AC05933"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 </w:t>
            </w:r>
          </w:p>
        </w:tc>
        <w:tc>
          <w:tcPr>
            <w:tcW w:w="1004" w:type="dxa"/>
            <w:tcBorders>
              <w:top w:val="nil"/>
              <w:left w:val="nil"/>
              <w:bottom w:val="single" w:sz="8" w:space="0" w:color="auto"/>
              <w:right w:val="nil"/>
            </w:tcBorders>
            <w:shd w:val="clear" w:color="auto" w:fill="auto"/>
            <w:noWrap/>
            <w:vAlign w:val="bottom"/>
            <w:hideMark/>
          </w:tcPr>
          <w:p w14:paraId="202AEE9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31,119</w:t>
            </w:r>
          </w:p>
        </w:tc>
        <w:tc>
          <w:tcPr>
            <w:tcW w:w="992" w:type="dxa"/>
            <w:tcBorders>
              <w:top w:val="nil"/>
              <w:left w:val="nil"/>
              <w:bottom w:val="single" w:sz="8" w:space="0" w:color="auto"/>
              <w:right w:val="nil"/>
            </w:tcBorders>
            <w:shd w:val="clear" w:color="auto" w:fill="auto"/>
            <w:noWrap/>
            <w:vAlign w:val="bottom"/>
            <w:hideMark/>
          </w:tcPr>
          <w:p w14:paraId="2A0EFFE0"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46,600</w:t>
            </w:r>
          </w:p>
        </w:tc>
      </w:tr>
      <w:tr w:rsidR="00AE6E60" w:rsidRPr="00C83162" w14:paraId="60EA9913" w14:textId="77777777" w:rsidTr="00DA3F73">
        <w:trPr>
          <w:trHeight w:val="258"/>
        </w:trPr>
        <w:tc>
          <w:tcPr>
            <w:tcW w:w="5950" w:type="dxa"/>
            <w:tcBorders>
              <w:top w:val="nil"/>
              <w:left w:val="nil"/>
              <w:bottom w:val="nil"/>
              <w:right w:val="nil"/>
            </w:tcBorders>
            <w:shd w:val="clear" w:color="auto" w:fill="auto"/>
            <w:noWrap/>
            <w:vAlign w:val="bottom"/>
            <w:hideMark/>
          </w:tcPr>
          <w:p w14:paraId="37D4860B"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3a. =&gt; 44,000 additional participants</w:t>
            </w:r>
          </w:p>
        </w:tc>
        <w:tc>
          <w:tcPr>
            <w:tcW w:w="1126" w:type="dxa"/>
            <w:tcBorders>
              <w:top w:val="nil"/>
              <w:left w:val="nil"/>
              <w:bottom w:val="nil"/>
              <w:right w:val="nil"/>
            </w:tcBorders>
            <w:shd w:val="clear" w:color="auto" w:fill="auto"/>
            <w:noWrap/>
            <w:vAlign w:val="bottom"/>
            <w:hideMark/>
          </w:tcPr>
          <w:p w14:paraId="6F271362" w14:textId="77777777" w:rsidR="00AE6E60" w:rsidRPr="00DA3F73" w:rsidRDefault="00AE6E60" w:rsidP="00AE6E60">
            <w:pPr>
              <w:spacing w:after="0" w:line="240" w:lineRule="auto"/>
              <w:rPr>
                <w:rFonts w:eastAsia="Times New Roman" w:cs="Arial"/>
                <w:color w:val="000000"/>
                <w:sz w:val="18"/>
                <w:szCs w:val="18"/>
                <w:lang w:eastAsia="en-AU"/>
              </w:rPr>
            </w:pPr>
          </w:p>
        </w:tc>
        <w:tc>
          <w:tcPr>
            <w:tcW w:w="1004" w:type="dxa"/>
            <w:tcBorders>
              <w:top w:val="nil"/>
              <w:left w:val="nil"/>
              <w:bottom w:val="nil"/>
              <w:right w:val="nil"/>
            </w:tcBorders>
            <w:shd w:val="clear" w:color="auto" w:fill="auto"/>
            <w:noWrap/>
            <w:vAlign w:val="bottom"/>
            <w:hideMark/>
          </w:tcPr>
          <w:p w14:paraId="491F8A1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37,955</w:t>
            </w:r>
          </w:p>
        </w:tc>
        <w:tc>
          <w:tcPr>
            <w:tcW w:w="992" w:type="dxa"/>
            <w:tcBorders>
              <w:top w:val="nil"/>
              <w:left w:val="nil"/>
              <w:bottom w:val="nil"/>
              <w:right w:val="nil"/>
            </w:tcBorders>
            <w:shd w:val="clear" w:color="auto" w:fill="auto"/>
            <w:noWrap/>
            <w:vAlign w:val="bottom"/>
            <w:hideMark/>
          </w:tcPr>
          <w:p w14:paraId="5A008491"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56,268</w:t>
            </w:r>
          </w:p>
        </w:tc>
      </w:tr>
      <w:tr w:rsidR="00AE6E60" w:rsidRPr="00C83162" w14:paraId="20BD0989" w14:textId="77777777" w:rsidTr="00DA3F73">
        <w:trPr>
          <w:trHeight w:val="258"/>
        </w:trPr>
        <w:tc>
          <w:tcPr>
            <w:tcW w:w="5950" w:type="dxa"/>
            <w:tcBorders>
              <w:top w:val="nil"/>
              <w:left w:val="nil"/>
              <w:bottom w:val="nil"/>
              <w:right w:val="nil"/>
            </w:tcBorders>
            <w:shd w:val="clear" w:color="auto" w:fill="auto"/>
            <w:noWrap/>
            <w:vAlign w:val="bottom"/>
            <w:hideMark/>
          </w:tcPr>
          <w:p w14:paraId="22FF450C"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3b. =&gt; 60,000 additional participants</w:t>
            </w:r>
          </w:p>
        </w:tc>
        <w:tc>
          <w:tcPr>
            <w:tcW w:w="1126" w:type="dxa"/>
            <w:tcBorders>
              <w:top w:val="nil"/>
              <w:left w:val="nil"/>
              <w:bottom w:val="nil"/>
              <w:right w:val="nil"/>
            </w:tcBorders>
            <w:shd w:val="clear" w:color="auto" w:fill="auto"/>
            <w:noWrap/>
            <w:vAlign w:val="bottom"/>
            <w:hideMark/>
          </w:tcPr>
          <w:p w14:paraId="36089A5A" w14:textId="77777777" w:rsidR="00AE6E60" w:rsidRPr="00DA3F73" w:rsidRDefault="00AE6E60" w:rsidP="00AE6E60">
            <w:pPr>
              <w:spacing w:after="0" w:line="240" w:lineRule="auto"/>
              <w:rPr>
                <w:rFonts w:eastAsia="Times New Roman" w:cs="Arial"/>
                <w:color w:val="000000"/>
                <w:sz w:val="18"/>
                <w:szCs w:val="18"/>
                <w:lang w:eastAsia="en-AU"/>
              </w:rPr>
            </w:pPr>
          </w:p>
        </w:tc>
        <w:tc>
          <w:tcPr>
            <w:tcW w:w="1004" w:type="dxa"/>
            <w:tcBorders>
              <w:top w:val="nil"/>
              <w:left w:val="nil"/>
              <w:bottom w:val="nil"/>
              <w:right w:val="nil"/>
            </w:tcBorders>
            <w:shd w:val="clear" w:color="auto" w:fill="auto"/>
            <w:noWrap/>
            <w:vAlign w:val="bottom"/>
            <w:hideMark/>
          </w:tcPr>
          <w:p w14:paraId="031642FE"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38,430</w:t>
            </w:r>
          </w:p>
        </w:tc>
        <w:tc>
          <w:tcPr>
            <w:tcW w:w="992" w:type="dxa"/>
            <w:tcBorders>
              <w:top w:val="nil"/>
              <w:left w:val="nil"/>
              <w:bottom w:val="nil"/>
              <w:right w:val="nil"/>
            </w:tcBorders>
            <w:shd w:val="clear" w:color="auto" w:fill="auto"/>
            <w:noWrap/>
            <w:vAlign w:val="bottom"/>
            <w:hideMark/>
          </w:tcPr>
          <w:p w14:paraId="0814CB04"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56,879</w:t>
            </w:r>
          </w:p>
        </w:tc>
      </w:tr>
      <w:tr w:rsidR="00AE6E60" w:rsidRPr="00C83162" w14:paraId="6094B0EF" w14:textId="77777777" w:rsidTr="00DA3F73">
        <w:trPr>
          <w:trHeight w:val="271"/>
        </w:trPr>
        <w:tc>
          <w:tcPr>
            <w:tcW w:w="5950" w:type="dxa"/>
            <w:tcBorders>
              <w:top w:val="nil"/>
              <w:left w:val="nil"/>
              <w:bottom w:val="single" w:sz="8" w:space="0" w:color="auto"/>
              <w:right w:val="nil"/>
            </w:tcBorders>
            <w:shd w:val="clear" w:color="auto" w:fill="auto"/>
            <w:noWrap/>
            <w:vAlign w:val="bottom"/>
            <w:hideMark/>
          </w:tcPr>
          <w:p w14:paraId="0F239645"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3c. =&gt; 99,000 additional participants</w:t>
            </w:r>
          </w:p>
        </w:tc>
        <w:tc>
          <w:tcPr>
            <w:tcW w:w="1126" w:type="dxa"/>
            <w:tcBorders>
              <w:top w:val="nil"/>
              <w:left w:val="nil"/>
              <w:bottom w:val="single" w:sz="8" w:space="0" w:color="auto"/>
              <w:right w:val="nil"/>
            </w:tcBorders>
            <w:shd w:val="clear" w:color="auto" w:fill="auto"/>
            <w:noWrap/>
            <w:vAlign w:val="bottom"/>
            <w:hideMark/>
          </w:tcPr>
          <w:p w14:paraId="6348808F"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 </w:t>
            </w:r>
          </w:p>
        </w:tc>
        <w:tc>
          <w:tcPr>
            <w:tcW w:w="1004" w:type="dxa"/>
            <w:tcBorders>
              <w:top w:val="nil"/>
              <w:left w:val="nil"/>
              <w:bottom w:val="single" w:sz="8" w:space="0" w:color="auto"/>
              <w:right w:val="nil"/>
            </w:tcBorders>
            <w:shd w:val="clear" w:color="auto" w:fill="auto"/>
            <w:noWrap/>
            <w:vAlign w:val="bottom"/>
            <w:hideMark/>
          </w:tcPr>
          <w:p w14:paraId="6F78EBF0"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39,287</w:t>
            </w:r>
          </w:p>
        </w:tc>
        <w:tc>
          <w:tcPr>
            <w:tcW w:w="992" w:type="dxa"/>
            <w:tcBorders>
              <w:top w:val="nil"/>
              <w:left w:val="nil"/>
              <w:bottom w:val="single" w:sz="8" w:space="0" w:color="auto"/>
              <w:right w:val="nil"/>
            </w:tcBorders>
            <w:shd w:val="clear" w:color="auto" w:fill="auto"/>
            <w:noWrap/>
            <w:vAlign w:val="bottom"/>
            <w:hideMark/>
          </w:tcPr>
          <w:p w14:paraId="0D00539F"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57,982</w:t>
            </w:r>
          </w:p>
        </w:tc>
      </w:tr>
      <w:tr w:rsidR="00AE6E60" w:rsidRPr="00C83162" w14:paraId="0FCD781D" w14:textId="77777777" w:rsidTr="00DA3F73">
        <w:trPr>
          <w:trHeight w:val="258"/>
        </w:trPr>
        <w:tc>
          <w:tcPr>
            <w:tcW w:w="5950" w:type="dxa"/>
            <w:tcBorders>
              <w:top w:val="nil"/>
              <w:left w:val="nil"/>
              <w:bottom w:val="nil"/>
              <w:right w:val="nil"/>
            </w:tcBorders>
            <w:shd w:val="clear" w:color="auto" w:fill="auto"/>
            <w:noWrap/>
            <w:vAlign w:val="bottom"/>
            <w:hideMark/>
          </w:tcPr>
          <w:p w14:paraId="4354A72D"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5a. =&gt; Steady Intake Date at 30 June 2021</w:t>
            </w:r>
          </w:p>
        </w:tc>
        <w:tc>
          <w:tcPr>
            <w:tcW w:w="1126" w:type="dxa"/>
            <w:tcBorders>
              <w:top w:val="nil"/>
              <w:left w:val="nil"/>
              <w:bottom w:val="nil"/>
              <w:right w:val="nil"/>
            </w:tcBorders>
            <w:shd w:val="clear" w:color="auto" w:fill="auto"/>
            <w:noWrap/>
            <w:vAlign w:val="bottom"/>
            <w:hideMark/>
          </w:tcPr>
          <w:p w14:paraId="219E47D6" w14:textId="77777777" w:rsidR="00AE6E60" w:rsidRPr="00DA3F73" w:rsidRDefault="00AE6E60" w:rsidP="00AE6E60">
            <w:pPr>
              <w:spacing w:after="0" w:line="240" w:lineRule="auto"/>
              <w:rPr>
                <w:rFonts w:eastAsia="Times New Roman" w:cs="Arial"/>
                <w:color w:val="000000"/>
                <w:sz w:val="18"/>
                <w:szCs w:val="18"/>
                <w:lang w:eastAsia="en-AU"/>
              </w:rPr>
            </w:pPr>
          </w:p>
        </w:tc>
        <w:tc>
          <w:tcPr>
            <w:tcW w:w="1004" w:type="dxa"/>
            <w:tcBorders>
              <w:top w:val="nil"/>
              <w:left w:val="nil"/>
              <w:bottom w:val="nil"/>
              <w:right w:val="nil"/>
            </w:tcBorders>
            <w:shd w:val="clear" w:color="auto" w:fill="auto"/>
            <w:noWrap/>
            <w:vAlign w:val="bottom"/>
            <w:hideMark/>
          </w:tcPr>
          <w:p w14:paraId="50369217"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33,207</w:t>
            </w:r>
          </w:p>
        </w:tc>
        <w:tc>
          <w:tcPr>
            <w:tcW w:w="992" w:type="dxa"/>
            <w:tcBorders>
              <w:top w:val="nil"/>
              <w:left w:val="nil"/>
              <w:bottom w:val="nil"/>
              <w:right w:val="nil"/>
            </w:tcBorders>
            <w:shd w:val="clear" w:color="auto" w:fill="auto"/>
            <w:noWrap/>
            <w:vAlign w:val="bottom"/>
            <w:hideMark/>
          </w:tcPr>
          <w:p w14:paraId="588F62C8"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50,180</w:t>
            </w:r>
          </w:p>
        </w:tc>
      </w:tr>
      <w:tr w:rsidR="00AE6E60" w:rsidRPr="00C83162" w14:paraId="2D732D15" w14:textId="77777777" w:rsidTr="00DA3F73">
        <w:trPr>
          <w:trHeight w:val="271"/>
        </w:trPr>
        <w:tc>
          <w:tcPr>
            <w:tcW w:w="5950" w:type="dxa"/>
            <w:tcBorders>
              <w:top w:val="nil"/>
              <w:left w:val="nil"/>
              <w:bottom w:val="single" w:sz="8" w:space="0" w:color="auto"/>
              <w:right w:val="nil"/>
            </w:tcBorders>
            <w:shd w:val="clear" w:color="auto" w:fill="auto"/>
            <w:noWrap/>
            <w:vAlign w:val="bottom"/>
            <w:hideMark/>
          </w:tcPr>
          <w:p w14:paraId="5885A1C3"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Scenario 5b. =&gt; Higher intake levels sustained for 3 years</w:t>
            </w:r>
          </w:p>
        </w:tc>
        <w:tc>
          <w:tcPr>
            <w:tcW w:w="1126" w:type="dxa"/>
            <w:tcBorders>
              <w:top w:val="nil"/>
              <w:left w:val="nil"/>
              <w:bottom w:val="single" w:sz="8" w:space="0" w:color="auto"/>
              <w:right w:val="nil"/>
            </w:tcBorders>
            <w:shd w:val="clear" w:color="auto" w:fill="auto"/>
            <w:noWrap/>
            <w:vAlign w:val="bottom"/>
            <w:hideMark/>
          </w:tcPr>
          <w:p w14:paraId="199B9CA5" w14:textId="77777777" w:rsidR="00AE6E60" w:rsidRPr="00DA3F73" w:rsidRDefault="00AE6E60" w:rsidP="00AE6E60">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 </w:t>
            </w:r>
          </w:p>
        </w:tc>
        <w:tc>
          <w:tcPr>
            <w:tcW w:w="1004" w:type="dxa"/>
            <w:tcBorders>
              <w:top w:val="nil"/>
              <w:left w:val="nil"/>
              <w:bottom w:val="single" w:sz="8" w:space="0" w:color="auto"/>
              <w:right w:val="nil"/>
            </w:tcBorders>
            <w:shd w:val="clear" w:color="auto" w:fill="auto"/>
            <w:noWrap/>
            <w:vAlign w:val="bottom"/>
            <w:hideMark/>
          </w:tcPr>
          <w:p w14:paraId="01D52183"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36,821</w:t>
            </w:r>
          </w:p>
        </w:tc>
        <w:tc>
          <w:tcPr>
            <w:tcW w:w="992" w:type="dxa"/>
            <w:tcBorders>
              <w:top w:val="nil"/>
              <w:left w:val="nil"/>
              <w:bottom w:val="single" w:sz="8" w:space="0" w:color="auto"/>
              <w:right w:val="nil"/>
            </w:tcBorders>
            <w:shd w:val="clear" w:color="auto" w:fill="auto"/>
            <w:noWrap/>
            <w:vAlign w:val="bottom"/>
            <w:hideMark/>
          </w:tcPr>
          <w:p w14:paraId="68736193" w14:textId="77777777" w:rsidR="00AE6E60" w:rsidRPr="00DA3F73" w:rsidRDefault="00AE6E60" w:rsidP="00AE6E60">
            <w:pPr>
              <w:spacing w:after="0" w:line="240" w:lineRule="auto"/>
              <w:jc w:val="right"/>
              <w:rPr>
                <w:rFonts w:eastAsia="Times New Roman" w:cs="Arial"/>
                <w:color w:val="000000"/>
                <w:sz w:val="18"/>
                <w:szCs w:val="18"/>
                <w:lang w:eastAsia="en-AU"/>
              </w:rPr>
            </w:pPr>
            <w:r w:rsidRPr="00DA3F73">
              <w:rPr>
                <w:rFonts w:eastAsia="Times New Roman" w:cs="Arial"/>
                <w:color w:val="000000"/>
                <w:sz w:val="18"/>
                <w:szCs w:val="18"/>
                <w:lang w:eastAsia="en-AU"/>
              </w:rPr>
              <w:t>54,774</w:t>
            </w:r>
          </w:p>
        </w:tc>
      </w:tr>
    </w:tbl>
    <w:p w14:paraId="36953F98" w14:textId="77777777" w:rsidR="00C83162" w:rsidRDefault="00C83162" w:rsidP="00AE6E60">
      <w:pPr>
        <w:pStyle w:val="FSRHeading4"/>
        <w:rPr>
          <w:szCs w:val="25"/>
        </w:rPr>
      </w:pPr>
    </w:p>
    <w:p w14:paraId="16B57034" w14:textId="77777777" w:rsidR="00C83162" w:rsidRDefault="00C83162">
      <w:pPr>
        <w:spacing w:after="160" w:line="259" w:lineRule="auto"/>
        <w:rPr>
          <w:b/>
          <w:color w:val="6B2976"/>
          <w:sz w:val="25"/>
          <w:szCs w:val="25"/>
        </w:rPr>
      </w:pPr>
      <w:r>
        <w:rPr>
          <w:szCs w:val="25"/>
        </w:rPr>
        <w:br w:type="page"/>
      </w:r>
    </w:p>
    <w:p w14:paraId="499E4764" w14:textId="77777777" w:rsidR="00AE6E60" w:rsidRPr="00B268C3" w:rsidRDefault="00AE6E60" w:rsidP="00AE6E60">
      <w:pPr>
        <w:pStyle w:val="FSRHeading4"/>
        <w:rPr>
          <w:szCs w:val="25"/>
        </w:rPr>
      </w:pPr>
      <w:r>
        <w:rPr>
          <w:szCs w:val="25"/>
        </w:rPr>
        <w:lastRenderedPageBreak/>
        <w:t xml:space="preserve">2020-21 </w:t>
      </w:r>
      <w:r w:rsidRPr="00A40552">
        <w:t>Scenarios</w:t>
      </w:r>
    </w:p>
    <w:tbl>
      <w:tblPr>
        <w:tblW w:w="9265" w:type="dxa"/>
        <w:tblLook w:val="04A0" w:firstRow="1" w:lastRow="0" w:firstColumn="1" w:lastColumn="0" w:noHBand="0" w:noVBand="1"/>
      </w:tblPr>
      <w:tblGrid>
        <w:gridCol w:w="5497"/>
        <w:gridCol w:w="1256"/>
        <w:gridCol w:w="1256"/>
        <w:gridCol w:w="1256"/>
      </w:tblGrid>
      <w:tr w:rsidR="00AE6E60" w:rsidRPr="00C83162" w14:paraId="062934C8" w14:textId="77777777" w:rsidTr="00DA3F73">
        <w:trPr>
          <w:trHeight w:val="284"/>
        </w:trPr>
        <w:tc>
          <w:tcPr>
            <w:tcW w:w="5497" w:type="dxa"/>
            <w:tcBorders>
              <w:top w:val="single" w:sz="4" w:space="0" w:color="auto"/>
              <w:left w:val="nil"/>
              <w:bottom w:val="single" w:sz="4" w:space="0" w:color="auto"/>
              <w:right w:val="nil"/>
            </w:tcBorders>
            <w:shd w:val="clear" w:color="000000" w:fill="6B2976"/>
            <w:noWrap/>
            <w:vAlign w:val="center"/>
            <w:hideMark/>
          </w:tcPr>
          <w:p w14:paraId="5825B2A0" w14:textId="77777777" w:rsidR="00AE6E60" w:rsidRPr="00C83162" w:rsidRDefault="00AE6E60">
            <w:pPr>
              <w:spacing w:after="0" w:line="240" w:lineRule="auto"/>
              <w:rPr>
                <w:rFonts w:eastAsia="Times New Roman" w:cs="Arial"/>
                <w:b/>
                <w:bCs/>
                <w:color w:val="FFFFFF"/>
                <w:sz w:val="18"/>
                <w:szCs w:val="18"/>
                <w:lang w:eastAsia="en-AU"/>
              </w:rPr>
            </w:pPr>
            <w:r w:rsidRPr="00C83162">
              <w:rPr>
                <w:rFonts w:eastAsia="Times New Roman" w:cs="Arial"/>
                <w:b/>
                <w:bCs/>
                <w:color w:val="FFFFFF"/>
                <w:sz w:val="18"/>
                <w:szCs w:val="18"/>
                <w:lang w:eastAsia="en-AU"/>
              </w:rPr>
              <w:t> Total participant costs ($m)</w:t>
            </w:r>
          </w:p>
        </w:tc>
        <w:tc>
          <w:tcPr>
            <w:tcW w:w="1256" w:type="dxa"/>
            <w:tcBorders>
              <w:top w:val="single" w:sz="4" w:space="0" w:color="auto"/>
              <w:left w:val="nil"/>
              <w:bottom w:val="single" w:sz="4" w:space="0" w:color="auto"/>
              <w:right w:val="nil"/>
            </w:tcBorders>
            <w:shd w:val="clear" w:color="000000" w:fill="6B2976"/>
            <w:noWrap/>
            <w:vAlign w:val="center"/>
            <w:hideMark/>
          </w:tcPr>
          <w:p w14:paraId="39428229" w14:textId="77777777" w:rsidR="00AE6E60" w:rsidRPr="00C83162" w:rsidRDefault="00E8435D">
            <w:pPr>
              <w:spacing w:after="0" w:line="240" w:lineRule="auto"/>
              <w:jc w:val="right"/>
              <w:rPr>
                <w:rFonts w:eastAsia="Times New Roman" w:cs="Arial"/>
                <w:b/>
                <w:bCs/>
                <w:color w:val="FFFFFF"/>
                <w:sz w:val="18"/>
                <w:szCs w:val="18"/>
                <w:lang w:eastAsia="en-AU"/>
              </w:rPr>
            </w:pPr>
            <w:r>
              <w:rPr>
                <w:rFonts w:eastAsia="Times New Roman" w:cs="Arial"/>
                <w:b/>
                <w:bCs/>
                <w:color w:val="FFFFFF"/>
                <w:sz w:val="18"/>
                <w:szCs w:val="18"/>
                <w:lang w:eastAsia="en-AU"/>
              </w:rPr>
              <w:t>2019-20</w:t>
            </w:r>
          </w:p>
        </w:tc>
        <w:tc>
          <w:tcPr>
            <w:tcW w:w="1256" w:type="dxa"/>
            <w:tcBorders>
              <w:top w:val="single" w:sz="4" w:space="0" w:color="auto"/>
              <w:left w:val="nil"/>
              <w:bottom w:val="single" w:sz="4" w:space="0" w:color="auto"/>
              <w:right w:val="nil"/>
            </w:tcBorders>
            <w:shd w:val="clear" w:color="000000" w:fill="6B2976"/>
            <w:noWrap/>
            <w:vAlign w:val="center"/>
            <w:hideMark/>
          </w:tcPr>
          <w:p w14:paraId="47883729" w14:textId="77777777" w:rsidR="00AE6E60" w:rsidRPr="00C83162" w:rsidRDefault="00AE6E60">
            <w:pPr>
              <w:spacing w:after="0" w:line="240" w:lineRule="auto"/>
              <w:jc w:val="right"/>
              <w:rPr>
                <w:rFonts w:eastAsia="Times New Roman" w:cs="Arial"/>
                <w:b/>
                <w:bCs/>
                <w:color w:val="FFFFFF"/>
                <w:sz w:val="18"/>
                <w:szCs w:val="18"/>
                <w:lang w:eastAsia="en-AU"/>
              </w:rPr>
            </w:pPr>
            <w:r w:rsidRPr="00C83162">
              <w:rPr>
                <w:rFonts w:eastAsia="Times New Roman" w:cs="Arial"/>
                <w:b/>
                <w:bCs/>
                <w:color w:val="FFFFFF"/>
                <w:sz w:val="18"/>
                <w:szCs w:val="18"/>
                <w:lang w:eastAsia="en-AU"/>
              </w:rPr>
              <w:t>20</w:t>
            </w:r>
            <w:r w:rsidR="00E8435D">
              <w:rPr>
                <w:rFonts w:eastAsia="Times New Roman" w:cs="Arial"/>
                <w:b/>
                <w:bCs/>
                <w:color w:val="FFFFFF"/>
                <w:sz w:val="18"/>
                <w:szCs w:val="18"/>
                <w:lang w:eastAsia="en-AU"/>
              </w:rPr>
              <w:t>24-</w:t>
            </w:r>
            <w:r w:rsidRPr="00C83162">
              <w:rPr>
                <w:rFonts w:eastAsia="Times New Roman" w:cs="Arial"/>
                <w:b/>
                <w:bCs/>
                <w:color w:val="FFFFFF"/>
                <w:sz w:val="18"/>
                <w:szCs w:val="18"/>
                <w:lang w:eastAsia="en-AU"/>
              </w:rPr>
              <w:t>25</w:t>
            </w:r>
          </w:p>
        </w:tc>
        <w:tc>
          <w:tcPr>
            <w:tcW w:w="1256" w:type="dxa"/>
            <w:tcBorders>
              <w:top w:val="single" w:sz="4" w:space="0" w:color="auto"/>
              <w:left w:val="nil"/>
              <w:bottom w:val="single" w:sz="4" w:space="0" w:color="auto"/>
              <w:right w:val="nil"/>
            </w:tcBorders>
            <w:shd w:val="clear" w:color="000000" w:fill="6B2976"/>
            <w:noWrap/>
            <w:vAlign w:val="center"/>
            <w:hideMark/>
          </w:tcPr>
          <w:p w14:paraId="4FB8F8AF" w14:textId="77777777" w:rsidR="00AE6E60" w:rsidRPr="00C83162" w:rsidRDefault="00AE6E60">
            <w:pPr>
              <w:spacing w:after="0" w:line="240" w:lineRule="auto"/>
              <w:jc w:val="right"/>
              <w:rPr>
                <w:rFonts w:eastAsia="Times New Roman" w:cs="Arial"/>
                <w:b/>
                <w:bCs/>
                <w:color w:val="FFFFFF"/>
                <w:sz w:val="18"/>
                <w:szCs w:val="18"/>
                <w:lang w:eastAsia="en-AU"/>
              </w:rPr>
            </w:pPr>
            <w:r w:rsidRPr="00C83162">
              <w:rPr>
                <w:rFonts w:eastAsia="Times New Roman" w:cs="Arial"/>
                <w:b/>
                <w:bCs/>
                <w:color w:val="FFFFFF"/>
                <w:sz w:val="18"/>
                <w:szCs w:val="18"/>
                <w:lang w:eastAsia="en-AU"/>
              </w:rPr>
              <w:t>20</w:t>
            </w:r>
            <w:r w:rsidR="00E8435D">
              <w:rPr>
                <w:rFonts w:eastAsia="Times New Roman" w:cs="Arial"/>
                <w:b/>
                <w:bCs/>
                <w:color w:val="FFFFFF"/>
                <w:sz w:val="18"/>
                <w:szCs w:val="18"/>
                <w:lang w:eastAsia="en-AU"/>
              </w:rPr>
              <w:t>29-</w:t>
            </w:r>
            <w:r w:rsidRPr="00C83162">
              <w:rPr>
                <w:rFonts w:eastAsia="Times New Roman" w:cs="Arial"/>
                <w:b/>
                <w:bCs/>
                <w:color w:val="FFFFFF"/>
                <w:sz w:val="18"/>
                <w:szCs w:val="18"/>
                <w:lang w:eastAsia="en-AU"/>
              </w:rPr>
              <w:t>30</w:t>
            </w:r>
          </w:p>
        </w:tc>
      </w:tr>
      <w:tr w:rsidR="00AE6E60" w:rsidRPr="00C83162" w14:paraId="6FE27D5F" w14:textId="77777777" w:rsidTr="00DA3F73">
        <w:trPr>
          <w:trHeight w:val="284"/>
        </w:trPr>
        <w:tc>
          <w:tcPr>
            <w:tcW w:w="5497" w:type="dxa"/>
            <w:tcBorders>
              <w:top w:val="nil"/>
              <w:left w:val="nil"/>
              <w:bottom w:val="single" w:sz="4" w:space="0" w:color="auto"/>
              <w:right w:val="nil"/>
            </w:tcBorders>
            <w:shd w:val="clear" w:color="000000" w:fill="D3C5D7"/>
            <w:noWrap/>
            <w:vAlign w:val="center"/>
            <w:hideMark/>
          </w:tcPr>
          <w:p w14:paraId="75DAA303" w14:textId="77777777" w:rsidR="00AE6E60" w:rsidRPr="00C83162" w:rsidRDefault="00547E2E">
            <w:pPr>
              <w:spacing w:after="0" w:line="240" w:lineRule="auto"/>
              <w:rPr>
                <w:rFonts w:eastAsia="Times New Roman" w:cs="Arial"/>
                <w:b/>
                <w:bCs/>
                <w:color w:val="000000"/>
                <w:sz w:val="18"/>
                <w:szCs w:val="18"/>
                <w:lang w:eastAsia="en-AU"/>
              </w:rPr>
            </w:pPr>
            <w:r>
              <w:rPr>
                <w:rFonts w:eastAsia="Times New Roman" w:cs="Arial"/>
                <w:b/>
                <w:bCs/>
                <w:color w:val="000000"/>
                <w:sz w:val="18"/>
                <w:szCs w:val="18"/>
                <w:lang w:eastAsia="en-AU"/>
              </w:rPr>
              <w:t xml:space="preserve">2020-21 </w:t>
            </w:r>
            <w:r w:rsidR="00AE6E60" w:rsidRPr="00C83162">
              <w:rPr>
                <w:rFonts w:eastAsia="Times New Roman" w:cs="Arial"/>
                <w:b/>
                <w:bCs/>
                <w:color w:val="000000"/>
                <w:sz w:val="18"/>
                <w:szCs w:val="18"/>
                <w:lang w:eastAsia="en-AU"/>
              </w:rPr>
              <w:t xml:space="preserve">Baseline </w:t>
            </w:r>
          </w:p>
        </w:tc>
        <w:tc>
          <w:tcPr>
            <w:tcW w:w="1256" w:type="dxa"/>
            <w:tcBorders>
              <w:top w:val="nil"/>
              <w:left w:val="nil"/>
              <w:bottom w:val="single" w:sz="4" w:space="0" w:color="auto"/>
              <w:right w:val="nil"/>
            </w:tcBorders>
            <w:shd w:val="clear" w:color="000000" w:fill="D3C5D7"/>
            <w:noWrap/>
            <w:vAlign w:val="center"/>
            <w:hideMark/>
          </w:tcPr>
          <w:p w14:paraId="5FAC996F" w14:textId="77777777" w:rsidR="00AE6E60" w:rsidRPr="00C83162" w:rsidRDefault="00AE6E60" w:rsidP="00DA3F73">
            <w:pPr>
              <w:spacing w:after="0" w:line="240" w:lineRule="auto"/>
              <w:jc w:val="right"/>
              <w:rPr>
                <w:rFonts w:eastAsia="Times New Roman" w:cs="Arial"/>
                <w:b/>
                <w:bCs/>
                <w:color w:val="000000"/>
                <w:sz w:val="18"/>
                <w:szCs w:val="18"/>
                <w:lang w:eastAsia="en-AU"/>
              </w:rPr>
            </w:pPr>
            <w:r w:rsidRPr="00C83162">
              <w:rPr>
                <w:rFonts w:eastAsia="Times New Roman" w:cs="Arial"/>
                <w:b/>
                <w:bCs/>
                <w:color w:val="000000"/>
                <w:sz w:val="18"/>
                <w:szCs w:val="18"/>
                <w:lang w:eastAsia="en-AU"/>
              </w:rPr>
              <w:t> </w:t>
            </w:r>
          </w:p>
        </w:tc>
        <w:tc>
          <w:tcPr>
            <w:tcW w:w="1256" w:type="dxa"/>
            <w:tcBorders>
              <w:top w:val="nil"/>
              <w:left w:val="nil"/>
              <w:bottom w:val="single" w:sz="4" w:space="0" w:color="auto"/>
              <w:right w:val="nil"/>
            </w:tcBorders>
            <w:shd w:val="clear" w:color="000000" w:fill="D3C5D7"/>
            <w:noWrap/>
            <w:vAlign w:val="center"/>
            <w:hideMark/>
          </w:tcPr>
          <w:p w14:paraId="7B870E2A" w14:textId="77777777" w:rsidR="00AE6E60" w:rsidRPr="00C83162" w:rsidRDefault="00AE6E60">
            <w:pPr>
              <w:spacing w:after="0" w:line="240" w:lineRule="auto"/>
              <w:jc w:val="right"/>
              <w:rPr>
                <w:rFonts w:eastAsia="Times New Roman" w:cs="Arial"/>
                <w:b/>
                <w:bCs/>
                <w:color w:val="000000"/>
                <w:sz w:val="18"/>
                <w:szCs w:val="18"/>
                <w:lang w:eastAsia="en-AU"/>
              </w:rPr>
            </w:pPr>
            <w:r w:rsidRPr="00C83162">
              <w:rPr>
                <w:rFonts w:eastAsia="Times New Roman" w:cs="Arial"/>
                <w:b/>
                <w:bCs/>
                <w:color w:val="000000"/>
                <w:sz w:val="18"/>
                <w:szCs w:val="18"/>
                <w:lang w:eastAsia="en-AU"/>
              </w:rPr>
              <w:t>41,373</w:t>
            </w:r>
          </w:p>
        </w:tc>
        <w:tc>
          <w:tcPr>
            <w:tcW w:w="1256" w:type="dxa"/>
            <w:tcBorders>
              <w:top w:val="nil"/>
              <w:left w:val="nil"/>
              <w:bottom w:val="single" w:sz="4" w:space="0" w:color="auto"/>
              <w:right w:val="nil"/>
            </w:tcBorders>
            <w:shd w:val="clear" w:color="000000" w:fill="D3C5D7"/>
            <w:noWrap/>
            <w:vAlign w:val="center"/>
            <w:hideMark/>
          </w:tcPr>
          <w:p w14:paraId="07374F1B" w14:textId="77777777" w:rsidR="00AE6E60" w:rsidRPr="00C83162" w:rsidRDefault="00AE6E60">
            <w:pPr>
              <w:spacing w:after="0" w:line="240" w:lineRule="auto"/>
              <w:jc w:val="right"/>
              <w:rPr>
                <w:rFonts w:eastAsia="Times New Roman" w:cs="Arial"/>
                <w:b/>
                <w:bCs/>
                <w:color w:val="000000"/>
                <w:sz w:val="18"/>
                <w:szCs w:val="18"/>
                <w:lang w:eastAsia="en-AU"/>
              </w:rPr>
            </w:pPr>
            <w:r w:rsidRPr="00C83162">
              <w:rPr>
                <w:rFonts w:eastAsia="Times New Roman" w:cs="Arial"/>
                <w:b/>
                <w:bCs/>
                <w:color w:val="000000"/>
                <w:sz w:val="18"/>
                <w:szCs w:val="18"/>
                <w:lang w:eastAsia="en-AU"/>
              </w:rPr>
              <w:t>59,284</w:t>
            </w:r>
          </w:p>
        </w:tc>
      </w:tr>
      <w:tr w:rsidR="00AE6E60" w:rsidRPr="00C83162" w14:paraId="5642AD38" w14:textId="77777777" w:rsidTr="00DA3F73">
        <w:trPr>
          <w:trHeight w:val="284"/>
        </w:trPr>
        <w:tc>
          <w:tcPr>
            <w:tcW w:w="5497" w:type="dxa"/>
            <w:tcBorders>
              <w:top w:val="nil"/>
              <w:left w:val="nil"/>
              <w:bottom w:val="single" w:sz="4" w:space="0" w:color="auto"/>
              <w:right w:val="nil"/>
            </w:tcBorders>
            <w:shd w:val="clear" w:color="000000" w:fill="F7EEF7"/>
            <w:noWrap/>
            <w:vAlign w:val="center"/>
            <w:hideMark/>
          </w:tcPr>
          <w:p w14:paraId="5EF0990D" w14:textId="77777777" w:rsidR="00AE6E60" w:rsidRPr="00C83162" w:rsidRDefault="00AE6E60">
            <w:pPr>
              <w:spacing w:after="0" w:line="240" w:lineRule="auto"/>
              <w:rPr>
                <w:rFonts w:eastAsia="Times New Roman" w:cs="Arial"/>
                <w:b/>
                <w:bCs/>
                <w:color w:val="000000"/>
                <w:sz w:val="18"/>
                <w:szCs w:val="18"/>
                <w:lang w:eastAsia="en-AU"/>
              </w:rPr>
            </w:pPr>
            <w:r w:rsidRPr="00C83162">
              <w:rPr>
                <w:rFonts w:eastAsia="Times New Roman" w:cs="Arial"/>
                <w:b/>
                <w:bCs/>
                <w:color w:val="000000"/>
                <w:sz w:val="18"/>
                <w:szCs w:val="18"/>
                <w:lang w:eastAsia="en-AU"/>
              </w:rPr>
              <w:t>Cost increase scenarios</w:t>
            </w:r>
          </w:p>
        </w:tc>
        <w:tc>
          <w:tcPr>
            <w:tcW w:w="1256" w:type="dxa"/>
            <w:tcBorders>
              <w:top w:val="nil"/>
              <w:left w:val="nil"/>
              <w:bottom w:val="single" w:sz="4" w:space="0" w:color="auto"/>
              <w:right w:val="nil"/>
            </w:tcBorders>
            <w:shd w:val="clear" w:color="000000" w:fill="F7EEF7"/>
            <w:noWrap/>
            <w:vAlign w:val="center"/>
            <w:hideMark/>
          </w:tcPr>
          <w:p w14:paraId="4F2C6528" w14:textId="77777777" w:rsidR="00AE6E60" w:rsidRPr="00C83162" w:rsidRDefault="00AE6E60" w:rsidP="00DA3F73">
            <w:pPr>
              <w:spacing w:after="0" w:line="240" w:lineRule="auto"/>
              <w:jc w:val="right"/>
              <w:rPr>
                <w:rFonts w:eastAsia="Times New Roman" w:cs="Arial"/>
                <w:color w:val="000000"/>
                <w:sz w:val="18"/>
                <w:szCs w:val="18"/>
                <w:lang w:eastAsia="en-AU"/>
              </w:rPr>
            </w:pPr>
            <w:r w:rsidRPr="00C83162">
              <w:rPr>
                <w:rFonts w:eastAsia="Times New Roman" w:cs="Arial"/>
                <w:color w:val="000000"/>
                <w:sz w:val="18"/>
                <w:szCs w:val="18"/>
                <w:lang w:eastAsia="en-AU"/>
              </w:rPr>
              <w:t> </w:t>
            </w:r>
          </w:p>
        </w:tc>
        <w:tc>
          <w:tcPr>
            <w:tcW w:w="1256" w:type="dxa"/>
            <w:tcBorders>
              <w:top w:val="nil"/>
              <w:left w:val="nil"/>
              <w:bottom w:val="single" w:sz="4" w:space="0" w:color="auto"/>
              <w:right w:val="nil"/>
            </w:tcBorders>
            <w:shd w:val="clear" w:color="000000" w:fill="F7EEF7"/>
            <w:noWrap/>
            <w:vAlign w:val="center"/>
            <w:hideMark/>
          </w:tcPr>
          <w:p w14:paraId="75319CC6" w14:textId="77777777" w:rsidR="00AE6E60" w:rsidRPr="00C83162" w:rsidRDefault="00AE6E60" w:rsidP="00DA3F73">
            <w:pPr>
              <w:spacing w:after="0" w:line="240" w:lineRule="auto"/>
              <w:jc w:val="right"/>
              <w:rPr>
                <w:rFonts w:eastAsia="Times New Roman" w:cs="Arial"/>
                <w:color w:val="000000"/>
                <w:sz w:val="18"/>
                <w:szCs w:val="18"/>
                <w:lang w:eastAsia="en-AU"/>
              </w:rPr>
            </w:pPr>
            <w:r w:rsidRPr="00C83162">
              <w:rPr>
                <w:rFonts w:eastAsia="Times New Roman" w:cs="Arial"/>
                <w:color w:val="000000"/>
                <w:sz w:val="18"/>
                <w:szCs w:val="18"/>
                <w:lang w:eastAsia="en-AU"/>
              </w:rPr>
              <w:t> </w:t>
            </w:r>
          </w:p>
        </w:tc>
        <w:tc>
          <w:tcPr>
            <w:tcW w:w="1256" w:type="dxa"/>
            <w:tcBorders>
              <w:top w:val="nil"/>
              <w:left w:val="nil"/>
              <w:bottom w:val="single" w:sz="4" w:space="0" w:color="auto"/>
              <w:right w:val="nil"/>
            </w:tcBorders>
            <w:shd w:val="clear" w:color="000000" w:fill="F7EEF7"/>
            <w:noWrap/>
            <w:vAlign w:val="center"/>
            <w:hideMark/>
          </w:tcPr>
          <w:p w14:paraId="0B5851B1" w14:textId="77777777" w:rsidR="00AE6E60" w:rsidRPr="00C83162" w:rsidRDefault="00AE6E60" w:rsidP="00DA3F73">
            <w:pPr>
              <w:spacing w:after="0" w:line="240" w:lineRule="auto"/>
              <w:jc w:val="right"/>
              <w:rPr>
                <w:rFonts w:eastAsia="Times New Roman" w:cs="Arial"/>
                <w:color w:val="000000"/>
                <w:sz w:val="18"/>
                <w:szCs w:val="18"/>
                <w:lang w:eastAsia="en-AU"/>
              </w:rPr>
            </w:pPr>
            <w:r w:rsidRPr="00C83162">
              <w:rPr>
                <w:rFonts w:eastAsia="Times New Roman" w:cs="Arial"/>
                <w:color w:val="000000"/>
                <w:sz w:val="18"/>
                <w:szCs w:val="18"/>
                <w:lang w:eastAsia="en-AU"/>
              </w:rPr>
              <w:t> </w:t>
            </w:r>
          </w:p>
        </w:tc>
      </w:tr>
      <w:tr w:rsidR="00167E1F" w:rsidRPr="00C83162" w14:paraId="6026F943" w14:textId="77777777" w:rsidTr="00F830E6">
        <w:trPr>
          <w:trHeight w:val="284"/>
        </w:trPr>
        <w:tc>
          <w:tcPr>
            <w:tcW w:w="5497" w:type="dxa"/>
            <w:tcBorders>
              <w:top w:val="nil"/>
              <w:left w:val="nil"/>
              <w:bottom w:val="nil"/>
              <w:right w:val="nil"/>
            </w:tcBorders>
            <w:shd w:val="clear" w:color="auto" w:fill="auto"/>
            <w:noWrap/>
            <w:vAlign w:val="center"/>
            <w:hideMark/>
          </w:tcPr>
          <w:p w14:paraId="56FC26D7" w14:textId="77777777" w:rsidR="00167E1F" w:rsidRPr="00C83162" w:rsidRDefault="00167E1F" w:rsidP="00167E1F">
            <w:pPr>
              <w:spacing w:after="0" w:line="240" w:lineRule="auto"/>
              <w:rPr>
                <w:rFonts w:eastAsia="Times New Roman" w:cs="Arial"/>
                <w:color w:val="000000"/>
                <w:sz w:val="18"/>
                <w:szCs w:val="18"/>
                <w:lang w:eastAsia="en-AU"/>
              </w:rPr>
            </w:pPr>
            <w:r w:rsidRPr="00C83162">
              <w:rPr>
                <w:rFonts w:eastAsia="Times New Roman" w:cs="Arial"/>
                <w:color w:val="000000"/>
                <w:sz w:val="18"/>
                <w:szCs w:val="18"/>
                <w:lang w:eastAsia="en-AU"/>
              </w:rPr>
              <w:t>Two additional years of high inflation</w:t>
            </w:r>
          </w:p>
        </w:tc>
        <w:tc>
          <w:tcPr>
            <w:tcW w:w="1256" w:type="dxa"/>
            <w:tcBorders>
              <w:top w:val="nil"/>
              <w:left w:val="nil"/>
              <w:bottom w:val="nil"/>
              <w:right w:val="nil"/>
            </w:tcBorders>
            <w:shd w:val="clear" w:color="auto" w:fill="auto"/>
            <w:noWrap/>
            <w:vAlign w:val="center"/>
            <w:hideMark/>
          </w:tcPr>
          <w:p w14:paraId="226AFCB8" w14:textId="77777777" w:rsidR="00167E1F" w:rsidRPr="00C83162" w:rsidRDefault="00167E1F" w:rsidP="00167E1F">
            <w:pPr>
              <w:spacing w:after="0" w:line="240" w:lineRule="auto"/>
              <w:jc w:val="right"/>
              <w:rPr>
                <w:rFonts w:eastAsia="Times New Roman" w:cs="Arial"/>
                <w:color w:val="000000"/>
                <w:sz w:val="18"/>
                <w:szCs w:val="18"/>
                <w:lang w:eastAsia="en-AU"/>
              </w:rPr>
            </w:pPr>
          </w:p>
        </w:tc>
        <w:tc>
          <w:tcPr>
            <w:tcW w:w="1256" w:type="dxa"/>
            <w:tcBorders>
              <w:top w:val="nil"/>
              <w:left w:val="nil"/>
              <w:bottom w:val="nil"/>
              <w:right w:val="nil"/>
            </w:tcBorders>
            <w:shd w:val="clear" w:color="auto" w:fill="auto"/>
            <w:noWrap/>
            <w:hideMark/>
          </w:tcPr>
          <w:p w14:paraId="7D6DE6EC" w14:textId="77777777" w:rsidR="00167E1F" w:rsidRPr="00167E1F" w:rsidRDefault="00167E1F" w:rsidP="00167E1F">
            <w:pPr>
              <w:spacing w:after="0" w:line="240" w:lineRule="auto"/>
              <w:jc w:val="right"/>
              <w:rPr>
                <w:rFonts w:eastAsia="Times New Roman" w:cs="Arial"/>
                <w:color w:val="000000"/>
                <w:sz w:val="18"/>
                <w:szCs w:val="18"/>
                <w:lang w:eastAsia="en-AU"/>
              </w:rPr>
            </w:pPr>
            <w:r w:rsidRPr="00F830E6">
              <w:rPr>
                <w:sz w:val="18"/>
                <w:szCs w:val="18"/>
              </w:rPr>
              <w:t>46,613</w:t>
            </w:r>
          </w:p>
        </w:tc>
        <w:tc>
          <w:tcPr>
            <w:tcW w:w="1256" w:type="dxa"/>
            <w:tcBorders>
              <w:top w:val="nil"/>
              <w:left w:val="nil"/>
              <w:bottom w:val="nil"/>
              <w:right w:val="nil"/>
            </w:tcBorders>
            <w:shd w:val="clear" w:color="auto" w:fill="auto"/>
            <w:noWrap/>
            <w:hideMark/>
          </w:tcPr>
          <w:p w14:paraId="7C40E1E5" w14:textId="77777777" w:rsidR="00167E1F" w:rsidRPr="00167E1F" w:rsidRDefault="00167E1F" w:rsidP="00167E1F">
            <w:pPr>
              <w:spacing w:after="0" w:line="240" w:lineRule="auto"/>
              <w:jc w:val="right"/>
              <w:rPr>
                <w:rFonts w:eastAsia="Times New Roman" w:cs="Arial"/>
                <w:color w:val="000000"/>
                <w:sz w:val="18"/>
                <w:szCs w:val="18"/>
                <w:lang w:eastAsia="en-AU"/>
              </w:rPr>
            </w:pPr>
            <w:r w:rsidRPr="00F830E6">
              <w:rPr>
                <w:sz w:val="18"/>
                <w:szCs w:val="18"/>
              </w:rPr>
              <w:t>69,464</w:t>
            </w:r>
          </w:p>
        </w:tc>
      </w:tr>
      <w:tr w:rsidR="00167E1F" w:rsidRPr="00C83162" w14:paraId="43B79843" w14:textId="77777777" w:rsidTr="00F830E6">
        <w:trPr>
          <w:trHeight w:val="284"/>
        </w:trPr>
        <w:tc>
          <w:tcPr>
            <w:tcW w:w="5497" w:type="dxa"/>
            <w:tcBorders>
              <w:top w:val="nil"/>
              <w:left w:val="nil"/>
              <w:bottom w:val="nil"/>
              <w:right w:val="nil"/>
            </w:tcBorders>
            <w:shd w:val="clear" w:color="auto" w:fill="auto"/>
            <w:noWrap/>
            <w:vAlign w:val="center"/>
            <w:hideMark/>
          </w:tcPr>
          <w:p w14:paraId="52356EE8" w14:textId="77777777" w:rsidR="00167E1F" w:rsidRPr="00C83162" w:rsidRDefault="00167E1F" w:rsidP="00167E1F">
            <w:pPr>
              <w:spacing w:after="0" w:line="240" w:lineRule="auto"/>
              <w:rPr>
                <w:rFonts w:eastAsia="Times New Roman" w:cs="Arial"/>
                <w:color w:val="000000"/>
                <w:sz w:val="18"/>
                <w:szCs w:val="18"/>
                <w:lang w:eastAsia="en-AU"/>
              </w:rPr>
            </w:pPr>
            <w:r w:rsidRPr="00C83162">
              <w:rPr>
                <w:rFonts w:eastAsia="Times New Roman" w:cs="Arial"/>
                <w:color w:val="000000"/>
                <w:sz w:val="18"/>
                <w:szCs w:val="18"/>
                <w:lang w:eastAsia="en-AU"/>
              </w:rPr>
              <w:t>Higher long</w:t>
            </w:r>
            <w:r>
              <w:rPr>
                <w:rFonts w:eastAsia="Times New Roman" w:cs="Arial"/>
                <w:color w:val="000000"/>
                <w:sz w:val="18"/>
                <w:szCs w:val="18"/>
                <w:lang w:eastAsia="en-AU"/>
              </w:rPr>
              <w:t xml:space="preserve"> </w:t>
            </w:r>
            <w:r w:rsidRPr="00C83162">
              <w:rPr>
                <w:rFonts w:eastAsia="Times New Roman" w:cs="Arial"/>
                <w:color w:val="000000"/>
                <w:sz w:val="18"/>
                <w:szCs w:val="18"/>
                <w:lang w:eastAsia="en-AU"/>
              </w:rPr>
              <w:t>term new incidence assumptions</w:t>
            </w:r>
          </w:p>
        </w:tc>
        <w:tc>
          <w:tcPr>
            <w:tcW w:w="1256" w:type="dxa"/>
            <w:tcBorders>
              <w:top w:val="nil"/>
              <w:left w:val="nil"/>
              <w:bottom w:val="nil"/>
              <w:right w:val="nil"/>
            </w:tcBorders>
            <w:shd w:val="clear" w:color="auto" w:fill="auto"/>
            <w:noWrap/>
            <w:vAlign w:val="center"/>
            <w:hideMark/>
          </w:tcPr>
          <w:p w14:paraId="66ECA5E0" w14:textId="77777777" w:rsidR="00167E1F" w:rsidRPr="00C83162" w:rsidRDefault="00167E1F" w:rsidP="00167E1F">
            <w:pPr>
              <w:spacing w:after="0" w:line="240" w:lineRule="auto"/>
              <w:jc w:val="right"/>
              <w:rPr>
                <w:rFonts w:eastAsia="Times New Roman" w:cs="Arial"/>
                <w:color w:val="000000"/>
                <w:sz w:val="18"/>
                <w:szCs w:val="18"/>
                <w:lang w:eastAsia="en-AU"/>
              </w:rPr>
            </w:pPr>
          </w:p>
        </w:tc>
        <w:tc>
          <w:tcPr>
            <w:tcW w:w="1256" w:type="dxa"/>
            <w:tcBorders>
              <w:top w:val="nil"/>
              <w:left w:val="nil"/>
              <w:bottom w:val="nil"/>
              <w:right w:val="nil"/>
            </w:tcBorders>
            <w:shd w:val="clear" w:color="auto" w:fill="auto"/>
            <w:noWrap/>
            <w:hideMark/>
          </w:tcPr>
          <w:p w14:paraId="1FA47C49" w14:textId="77777777" w:rsidR="00167E1F" w:rsidRPr="00167E1F" w:rsidRDefault="00167E1F" w:rsidP="00167E1F">
            <w:pPr>
              <w:spacing w:after="0" w:line="240" w:lineRule="auto"/>
              <w:jc w:val="right"/>
              <w:rPr>
                <w:rFonts w:eastAsia="Times New Roman" w:cs="Arial"/>
                <w:color w:val="000000"/>
                <w:sz w:val="18"/>
                <w:szCs w:val="18"/>
                <w:lang w:eastAsia="en-AU"/>
              </w:rPr>
            </w:pPr>
            <w:r w:rsidRPr="00F830E6">
              <w:rPr>
                <w:sz w:val="18"/>
                <w:szCs w:val="18"/>
              </w:rPr>
              <w:t>42,625</w:t>
            </w:r>
          </w:p>
        </w:tc>
        <w:tc>
          <w:tcPr>
            <w:tcW w:w="1256" w:type="dxa"/>
            <w:tcBorders>
              <w:top w:val="nil"/>
              <w:left w:val="nil"/>
              <w:bottom w:val="nil"/>
              <w:right w:val="nil"/>
            </w:tcBorders>
            <w:shd w:val="clear" w:color="auto" w:fill="auto"/>
            <w:noWrap/>
            <w:hideMark/>
          </w:tcPr>
          <w:p w14:paraId="0440C44E" w14:textId="77777777" w:rsidR="00167E1F" w:rsidRPr="00167E1F" w:rsidRDefault="00167E1F" w:rsidP="00167E1F">
            <w:pPr>
              <w:spacing w:after="0" w:line="240" w:lineRule="auto"/>
              <w:jc w:val="right"/>
              <w:rPr>
                <w:rFonts w:eastAsia="Times New Roman" w:cs="Arial"/>
                <w:color w:val="000000"/>
                <w:sz w:val="18"/>
                <w:szCs w:val="18"/>
                <w:lang w:eastAsia="en-AU"/>
              </w:rPr>
            </w:pPr>
            <w:r w:rsidRPr="00F830E6">
              <w:rPr>
                <w:sz w:val="18"/>
                <w:szCs w:val="18"/>
              </w:rPr>
              <w:t>65,556</w:t>
            </w:r>
          </w:p>
        </w:tc>
      </w:tr>
      <w:tr w:rsidR="00167E1F" w:rsidRPr="00C83162" w14:paraId="01DF1BC5" w14:textId="77777777" w:rsidTr="00F830E6">
        <w:trPr>
          <w:trHeight w:val="284"/>
        </w:trPr>
        <w:tc>
          <w:tcPr>
            <w:tcW w:w="5497" w:type="dxa"/>
            <w:tcBorders>
              <w:top w:val="nil"/>
              <w:left w:val="nil"/>
              <w:bottom w:val="nil"/>
              <w:right w:val="nil"/>
            </w:tcBorders>
            <w:shd w:val="clear" w:color="auto" w:fill="auto"/>
            <w:noWrap/>
            <w:vAlign w:val="center"/>
            <w:hideMark/>
          </w:tcPr>
          <w:p w14:paraId="75591775" w14:textId="77777777" w:rsidR="00167E1F" w:rsidRPr="00C83162" w:rsidRDefault="00167E1F" w:rsidP="00167E1F">
            <w:pPr>
              <w:spacing w:after="0" w:line="240" w:lineRule="auto"/>
              <w:rPr>
                <w:rFonts w:eastAsia="Times New Roman" w:cs="Arial"/>
                <w:color w:val="000000"/>
                <w:sz w:val="18"/>
                <w:szCs w:val="18"/>
                <w:lang w:eastAsia="en-AU"/>
              </w:rPr>
            </w:pPr>
            <w:r w:rsidRPr="00C83162">
              <w:rPr>
                <w:rFonts w:eastAsia="Times New Roman" w:cs="Arial"/>
                <w:color w:val="000000"/>
                <w:sz w:val="18"/>
                <w:szCs w:val="18"/>
                <w:lang w:eastAsia="en-AU"/>
              </w:rPr>
              <w:t>Lower non-mortality exit rates</w:t>
            </w:r>
          </w:p>
        </w:tc>
        <w:tc>
          <w:tcPr>
            <w:tcW w:w="1256" w:type="dxa"/>
            <w:tcBorders>
              <w:top w:val="nil"/>
              <w:left w:val="nil"/>
              <w:bottom w:val="nil"/>
              <w:right w:val="nil"/>
            </w:tcBorders>
            <w:shd w:val="clear" w:color="auto" w:fill="auto"/>
            <w:noWrap/>
            <w:vAlign w:val="center"/>
            <w:hideMark/>
          </w:tcPr>
          <w:p w14:paraId="75E5CA87" w14:textId="77777777" w:rsidR="00167E1F" w:rsidRPr="00C83162" w:rsidRDefault="00167E1F" w:rsidP="00167E1F">
            <w:pPr>
              <w:spacing w:after="0" w:line="240" w:lineRule="auto"/>
              <w:jc w:val="right"/>
              <w:rPr>
                <w:rFonts w:eastAsia="Times New Roman" w:cs="Arial"/>
                <w:color w:val="000000"/>
                <w:sz w:val="18"/>
                <w:szCs w:val="18"/>
                <w:lang w:eastAsia="en-AU"/>
              </w:rPr>
            </w:pPr>
          </w:p>
        </w:tc>
        <w:tc>
          <w:tcPr>
            <w:tcW w:w="1256" w:type="dxa"/>
            <w:tcBorders>
              <w:top w:val="nil"/>
              <w:left w:val="nil"/>
              <w:bottom w:val="nil"/>
              <w:right w:val="nil"/>
            </w:tcBorders>
            <w:shd w:val="clear" w:color="auto" w:fill="auto"/>
            <w:noWrap/>
            <w:hideMark/>
          </w:tcPr>
          <w:p w14:paraId="0B9793F5" w14:textId="77777777" w:rsidR="00167E1F" w:rsidRPr="00167E1F" w:rsidRDefault="00167E1F" w:rsidP="00167E1F">
            <w:pPr>
              <w:spacing w:after="0" w:line="240" w:lineRule="auto"/>
              <w:jc w:val="right"/>
              <w:rPr>
                <w:rFonts w:eastAsia="Times New Roman" w:cs="Arial"/>
                <w:color w:val="000000"/>
                <w:sz w:val="18"/>
                <w:szCs w:val="18"/>
                <w:lang w:eastAsia="en-AU"/>
              </w:rPr>
            </w:pPr>
            <w:r w:rsidRPr="00F830E6">
              <w:rPr>
                <w:sz w:val="18"/>
                <w:szCs w:val="18"/>
              </w:rPr>
              <w:t>41,861</w:t>
            </w:r>
          </w:p>
        </w:tc>
        <w:tc>
          <w:tcPr>
            <w:tcW w:w="1256" w:type="dxa"/>
            <w:tcBorders>
              <w:top w:val="nil"/>
              <w:left w:val="nil"/>
              <w:bottom w:val="nil"/>
              <w:right w:val="nil"/>
            </w:tcBorders>
            <w:shd w:val="clear" w:color="auto" w:fill="auto"/>
            <w:noWrap/>
            <w:hideMark/>
          </w:tcPr>
          <w:p w14:paraId="5113DBAB" w14:textId="77777777" w:rsidR="00167E1F" w:rsidRPr="00167E1F" w:rsidRDefault="00167E1F" w:rsidP="00167E1F">
            <w:pPr>
              <w:spacing w:after="0" w:line="240" w:lineRule="auto"/>
              <w:jc w:val="right"/>
              <w:rPr>
                <w:rFonts w:eastAsia="Times New Roman" w:cs="Arial"/>
                <w:color w:val="000000"/>
                <w:sz w:val="18"/>
                <w:szCs w:val="18"/>
                <w:lang w:eastAsia="en-AU"/>
              </w:rPr>
            </w:pPr>
            <w:r w:rsidRPr="00F830E6">
              <w:rPr>
                <w:sz w:val="18"/>
                <w:szCs w:val="18"/>
              </w:rPr>
              <w:t>61,939</w:t>
            </w:r>
          </w:p>
        </w:tc>
      </w:tr>
      <w:tr w:rsidR="00167E1F" w:rsidRPr="00C83162" w14:paraId="2B547EB3" w14:textId="77777777" w:rsidTr="00F830E6">
        <w:trPr>
          <w:trHeight w:val="284"/>
        </w:trPr>
        <w:tc>
          <w:tcPr>
            <w:tcW w:w="5497" w:type="dxa"/>
            <w:tcBorders>
              <w:top w:val="nil"/>
              <w:left w:val="nil"/>
              <w:bottom w:val="nil"/>
              <w:right w:val="nil"/>
            </w:tcBorders>
            <w:shd w:val="clear" w:color="auto" w:fill="auto"/>
            <w:noWrap/>
            <w:vAlign w:val="center"/>
            <w:hideMark/>
          </w:tcPr>
          <w:p w14:paraId="67391693" w14:textId="77777777" w:rsidR="00167E1F" w:rsidRPr="00C83162" w:rsidRDefault="00167E1F" w:rsidP="00167E1F">
            <w:pPr>
              <w:spacing w:after="0" w:line="240" w:lineRule="auto"/>
              <w:rPr>
                <w:rFonts w:eastAsia="Times New Roman" w:cs="Arial"/>
                <w:color w:val="000000"/>
                <w:sz w:val="18"/>
                <w:szCs w:val="18"/>
                <w:lang w:eastAsia="en-AU"/>
              </w:rPr>
            </w:pPr>
            <w:r w:rsidRPr="00C83162">
              <w:rPr>
                <w:rFonts w:eastAsia="Times New Roman" w:cs="Arial"/>
                <w:color w:val="000000"/>
                <w:sz w:val="18"/>
                <w:szCs w:val="18"/>
                <w:lang w:eastAsia="en-AU"/>
              </w:rPr>
              <w:t>Higher cost of new entrants</w:t>
            </w:r>
          </w:p>
        </w:tc>
        <w:tc>
          <w:tcPr>
            <w:tcW w:w="1256" w:type="dxa"/>
            <w:tcBorders>
              <w:top w:val="nil"/>
              <w:left w:val="nil"/>
              <w:bottom w:val="nil"/>
              <w:right w:val="nil"/>
            </w:tcBorders>
            <w:shd w:val="clear" w:color="auto" w:fill="auto"/>
            <w:noWrap/>
            <w:vAlign w:val="center"/>
            <w:hideMark/>
          </w:tcPr>
          <w:p w14:paraId="14240696" w14:textId="77777777" w:rsidR="00167E1F" w:rsidRPr="00C83162" w:rsidRDefault="00167E1F" w:rsidP="00167E1F">
            <w:pPr>
              <w:spacing w:after="0" w:line="240" w:lineRule="auto"/>
              <w:jc w:val="right"/>
              <w:rPr>
                <w:rFonts w:eastAsia="Times New Roman" w:cs="Arial"/>
                <w:color w:val="000000"/>
                <w:sz w:val="18"/>
                <w:szCs w:val="18"/>
                <w:lang w:eastAsia="en-AU"/>
              </w:rPr>
            </w:pPr>
          </w:p>
        </w:tc>
        <w:tc>
          <w:tcPr>
            <w:tcW w:w="1256" w:type="dxa"/>
            <w:tcBorders>
              <w:top w:val="nil"/>
              <w:left w:val="nil"/>
              <w:bottom w:val="nil"/>
              <w:right w:val="nil"/>
            </w:tcBorders>
            <w:shd w:val="clear" w:color="auto" w:fill="auto"/>
            <w:noWrap/>
            <w:hideMark/>
          </w:tcPr>
          <w:p w14:paraId="451D524D" w14:textId="77777777" w:rsidR="00167E1F" w:rsidRPr="00167E1F" w:rsidRDefault="00167E1F" w:rsidP="00167E1F">
            <w:pPr>
              <w:spacing w:after="0" w:line="240" w:lineRule="auto"/>
              <w:jc w:val="right"/>
              <w:rPr>
                <w:rFonts w:eastAsia="Times New Roman" w:cs="Arial"/>
                <w:color w:val="000000"/>
                <w:sz w:val="18"/>
                <w:szCs w:val="18"/>
                <w:lang w:eastAsia="en-AU"/>
              </w:rPr>
            </w:pPr>
            <w:r w:rsidRPr="00F830E6">
              <w:rPr>
                <w:sz w:val="18"/>
                <w:szCs w:val="18"/>
              </w:rPr>
              <w:t>42,166</w:t>
            </w:r>
          </w:p>
        </w:tc>
        <w:tc>
          <w:tcPr>
            <w:tcW w:w="1256" w:type="dxa"/>
            <w:tcBorders>
              <w:top w:val="nil"/>
              <w:left w:val="nil"/>
              <w:bottom w:val="nil"/>
              <w:right w:val="nil"/>
            </w:tcBorders>
            <w:shd w:val="clear" w:color="auto" w:fill="auto"/>
            <w:noWrap/>
            <w:hideMark/>
          </w:tcPr>
          <w:p w14:paraId="10EB3B74" w14:textId="77777777" w:rsidR="00167E1F" w:rsidRPr="00167E1F" w:rsidRDefault="00167E1F" w:rsidP="00167E1F">
            <w:pPr>
              <w:spacing w:after="0" w:line="240" w:lineRule="auto"/>
              <w:jc w:val="right"/>
              <w:rPr>
                <w:rFonts w:eastAsia="Times New Roman" w:cs="Arial"/>
                <w:color w:val="000000"/>
                <w:sz w:val="18"/>
                <w:szCs w:val="18"/>
                <w:lang w:eastAsia="en-AU"/>
              </w:rPr>
            </w:pPr>
            <w:r w:rsidRPr="00F830E6">
              <w:rPr>
                <w:sz w:val="18"/>
                <w:szCs w:val="18"/>
              </w:rPr>
              <w:t>61,213</w:t>
            </w:r>
          </w:p>
        </w:tc>
      </w:tr>
      <w:tr w:rsidR="00167E1F" w:rsidRPr="00C83162" w14:paraId="75D41DAB" w14:textId="77777777" w:rsidTr="00F830E6">
        <w:trPr>
          <w:trHeight w:val="284"/>
        </w:trPr>
        <w:tc>
          <w:tcPr>
            <w:tcW w:w="5497" w:type="dxa"/>
            <w:tcBorders>
              <w:top w:val="nil"/>
              <w:left w:val="nil"/>
              <w:bottom w:val="nil"/>
              <w:right w:val="nil"/>
            </w:tcBorders>
            <w:shd w:val="clear" w:color="auto" w:fill="auto"/>
            <w:noWrap/>
            <w:vAlign w:val="center"/>
            <w:hideMark/>
          </w:tcPr>
          <w:p w14:paraId="638D5D49" w14:textId="77777777" w:rsidR="00167E1F" w:rsidRPr="00C83162" w:rsidRDefault="00167E1F" w:rsidP="00167E1F">
            <w:pPr>
              <w:spacing w:after="0" w:line="240" w:lineRule="auto"/>
              <w:rPr>
                <w:rFonts w:eastAsia="Times New Roman" w:cs="Arial"/>
                <w:color w:val="000000"/>
                <w:sz w:val="18"/>
                <w:szCs w:val="18"/>
                <w:lang w:eastAsia="en-AU"/>
              </w:rPr>
            </w:pPr>
            <w:r w:rsidRPr="00C83162">
              <w:rPr>
                <w:rFonts w:eastAsia="Times New Roman" w:cs="Arial"/>
                <w:color w:val="000000"/>
                <w:sz w:val="18"/>
                <w:szCs w:val="18"/>
                <w:lang w:eastAsia="en-AU"/>
              </w:rPr>
              <w:t>Higher SIL numbers (+500 p.a.)</w:t>
            </w:r>
          </w:p>
        </w:tc>
        <w:tc>
          <w:tcPr>
            <w:tcW w:w="1256" w:type="dxa"/>
            <w:tcBorders>
              <w:top w:val="nil"/>
              <w:left w:val="nil"/>
              <w:bottom w:val="nil"/>
              <w:right w:val="nil"/>
            </w:tcBorders>
            <w:shd w:val="clear" w:color="auto" w:fill="auto"/>
            <w:noWrap/>
            <w:vAlign w:val="center"/>
            <w:hideMark/>
          </w:tcPr>
          <w:p w14:paraId="4140A591" w14:textId="77777777" w:rsidR="00167E1F" w:rsidRPr="00C83162" w:rsidRDefault="00167E1F" w:rsidP="00167E1F">
            <w:pPr>
              <w:spacing w:after="0" w:line="240" w:lineRule="auto"/>
              <w:jc w:val="right"/>
              <w:rPr>
                <w:rFonts w:eastAsia="Times New Roman" w:cs="Arial"/>
                <w:color w:val="000000"/>
                <w:sz w:val="18"/>
                <w:szCs w:val="18"/>
                <w:lang w:eastAsia="en-AU"/>
              </w:rPr>
            </w:pPr>
          </w:p>
        </w:tc>
        <w:tc>
          <w:tcPr>
            <w:tcW w:w="1256" w:type="dxa"/>
            <w:tcBorders>
              <w:top w:val="nil"/>
              <w:left w:val="nil"/>
              <w:bottom w:val="nil"/>
              <w:right w:val="nil"/>
            </w:tcBorders>
            <w:shd w:val="clear" w:color="auto" w:fill="auto"/>
            <w:noWrap/>
            <w:hideMark/>
          </w:tcPr>
          <w:p w14:paraId="681C82AA" w14:textId="77777777" w:rsidR="00167E1F" w:rsidRPr="00167E1F" w:rsidRDefault="00167E1F" w:rsidP="00167E1F">
            <w:pPr>
              <w:spacing w:after="0" w:line="240" w:lineRule="auto"/>
              <w:jc w:val="right"/>
              <w:rPr>
                <w:rFonts w:eastAsia="Times New Roman" w:cs="Arial"/>
                <w:color w:val="000000"/>
                <w:sz w:val="18"/>
                <w:szCs w:val="18"/>
                <w:lang w:eastAsia="en-AU"/>
              </w:rPr>
            </w:pPr>
            <w:r w:rsidRPr="00F830E6">
              <w:rPr>
                <w:sz w:val="18"/>
                <w:szCs w:val="18"/>
              </w:rPr>
              <w:t>41,955</w:t>
            </w:r>
          </w:p>
        </w:tc>
        <w:tc>
          <w:tcPr>
            <w:tcW w:w="1256" w:type="dxa"/>
            <w:tcBorders>
              <w:top w:val="nil"/>
              <w:left w:val="nil"/>
              <w:bottom w:val="nil"/>
              <w:right w:val="nil"/>
            </w:tcBorders>
            <w:shd w:val="clear" w:color="auto" w:fill="auto"/>
            <w:noWrap/>
            <w:hideMark/>
          </w:tcPr>
          <w:p w14:paraId="28CDAF8B" w14:textId="77777777" w:rsidR="00167E1F" w:rsidRPr="00167E1F" w:rsidRDefault="00167E1F" w:rsidP="00167E1F">
            <w:pPr>
              <w:spacing w:after="0" w:line="240" w:lineRule="auto"/>
              <w:jc w:val="right"/>
              <w:rPr>
                <w:rFonts w:eastAsia="Times New Roman" w:cs="Arial"/>
                <w:color w:val="000000"/>
                <w:sz w:val="18"/>
                <w:szCs w:val="18"/>
                <w:lang w:eastAsia="en-AU"/>
              </w:rPr>
            </w:pPr>
            <w:r w:rsidRPr="00F830E6">
              <w:rPr>
                <w:sz w:val="18"/>
                <w:szCs w:val="18"/>
              </w:rPr>
              <w:t>60,978</w:t>
            </w:r>
          </w:p>
        </w:tc>
      </w:tr>
      <w:tr w:rsidR="00167E1F" w:rsidRPr="00C83162" w14:paraId="79C5924D" w14:textId="77777777" w:rsidTr="00F830E6">
        <w:trPr>
          <w:trHeight w:val="284"/>
        </w:trPr>
        <w:tc>
          <w:tcPr>
            <w:tcW w:w="5497" w:type="dxa"/>
            <w:tcBorders>
              <w:top w:val="nil"/>
              <w:left w:val="nil"/>
              <w:bottom w:val="nil"/>
              <w:right w:val="nil"/>
            </w:tcBorders>
            <w:shd w:val="clear" w:color="auto" w:fill="auto"/>
            <w:noWrap/>
            <w:vAlign w:val="center"/>
            <w:hideMark/>
          </w:tcPr>
          <w:p w14:paraId="65830F79" w14:textId="77777777" w:rsidR="00167E1F" w:rsidRPr="00C83162" w:rsidRDefault="00167E1F" w:rsidP="00167E1F">
            <w:pPr>
              <w:spacing w:after="0" w:line="240" w:lineRule="auto"/>
              <w:rPr>
                <w:rFonts w:eastAsia="Times New Roman" w:cs="Arial"/>
                <w:color w:val="000000"/>
                <w:sz w:val="18"/>
                <w:szCs w:val="18"/>
                <w:lang w:eastAsia="en-AU"/>
              </w:rPr>
            </w:pPr>
            <w:r w:rsidRPr="00C83162">
              <w:rPr>
                <w:rFonts w:eastAsia="Times New Roman" w:cs="Arial"/>
                <w:color w:val="000000"/>
                <w:sz w:val="18"/>
                <w:szCs w:val="18"/>
                <w:lang w:eastAsia="en-AU"/>
              </w:rPr>
              <w:t>Three extra years to reach steady state</w:t>
            </w:r>
          </w:p>
        </w:tc>
        <w:tc>
          <w:tcPr>
            <w:tcW w:w="1256" w:type="dxa"/>
            <w:tcBorders>
              <w:top w:val="nil"/>
              <w:left w:val="nil"/>
              <w:bottom w:val="nil"/>
              <w:right w:val="nil"/>
            </w:tcBorders>
            <w:shd w:val="clear" w:color="auto" w:fill="auto"/>
            <w:noWrap/>
            <w:vAlign w:val="center"/>
            <w:hideMark/>
          </w:tcPr>
          <w:p w14:paraId="6FF57397" w14:textId="77777777" w:rsidR="00167E1F" w:rsidRPr="00C83162" w:rsidRDefault="00167E1F" w:rsidP="00167E1F">
            <w:pPr>
              <w:spacing w:after="0" w:line="240" w:lineRule="auto"/>
              <w:jc w:val="right"/>
              <w:rPr>
                <w:rFonts w:eastAsia="Times New Roman" w:cs="Arial"/>
                <w:color w:val="000000"/>
                <w:sz w:val="18"/>
                <w:szCs w:val="18"/>
                <w:lang w:eastAsia="en-AU"/>
              </w:rPr>
            </w:pPr>
          </w:p>
        </w:tc>
        <w:tc>
          <w:tcPr>
            <w:tcW w:w="1256" w:type="dxa"/>
            <w:tcBorders>
              <w:top w:val="nil"/>
              <w:left w:val="nil"/>
              <w:bottom w:val="nil"/>
              <w:right w:val="nil"/>
            </w:tcBorders>
            <w:shd w:val="clear" w:color="auto" w:fill="auto"/>
            <w:noWrap/>
            <w:hideMark/>
          </w:tcPr>
          <w:p w14:paraId="36605181" w14:textId="77777777" w:rsidR="00167E1F" w:rsidRPr="00167E1F" w:rsidRDefault="00167E1F" w:rsidP="00167E1F">
            <w:pPr>
              <w:spacing w:after="0" w:line="240" w:lineRule="auto"/>
              <w:jc w:val="right"/>
              <w:rPr>
                <w:rFonts w:eastAsia="Times New Roman" w:cs="Arial"/>
                <w:color w:val="000000"/>
                <w:sz w:val="18"/>
                <w:szCs w:val="18"/>
                <w:lang w:eastAsia="en-AU"/>
              </w:rPr>
            </w:pPr>
            <w:r w:rsidRPr="00F830E6">
              <w:rPr>
                <w:sz w:val="18"/>
                <w:szCs w:val="18"/>
              </w:rPr>
              <w:t>42,091</w:t>
            </w:r>
          </w:p>
        </w:tc>
        <w:tc>
          <w:tcPr>
            <w:tcW w:w="1256" w:type="dxa"/>
            <w:tcBorders>
              <w:top w:val="nil"/>
              <w:left w:val="nil"/>
              <w:bottom w:val="nil"/>
              <w:right w:val="nil"/>
            </w:tcBorders>
            <w:shd w:val="clear" w:color="auto" w:fill="auto"/>
            <w:noWrap/>
            <w:hideMark/>
          </w:tcPr>
          <w:p w14:paraId="2823A033" w14:textId="77777777" w:rsidR="00167E1F" w:rsidRPr="00167E1F" w:rsidRDefault="00167E1F" w:rsidP="00167E1F">
            <w:pPr>
              <w:spacing w:after="0" w:line="240" w:lineRule="auto"/>
              <w:jc w:val="right"/>
              <w:rPr>
                <w:rFonts w:eastAsia="Times New Roman" w:cs="Arial"/>
                <w:color w:val="000000"/>
                <w:sz w:val="18"/>
                <w:szCs w:val="18"/>
                <w:lang w:eastAsia="en-AU"/>
              </w:rPr>
            </w:pPr>
            <w:r w:rsidRPr="00F830E6">
              <w:rPr>
                <w:sz w:val="18"/>
                <w:szCs w:val="18"/>
              </w:rPr>
              <w:t>60,865</w:t>
            </w:r>
          </w:p>
        </w:tc>
      </w:tr>
      <w:tr w:rsidR="00167E1F" w:rsidRPr="00C83162" w14:paraId="367CD65F" w14:textId="77777777" w:rsidTr="00F830E6">
        <w:trPr>
          <w:trHeight w:val="284"/>
        </w:trPr>
        <w:tc>
          <w:tcPr>
            <w:tcW w:w="5497" w:type="dxa"/>
            <w:tcBorders>
              <w:top w:val="dotted" w:sz="4" w:space="0" w:color="auto"/>
              <w:left w:val="nil"/>
              <w:bottom w:val="dotted" w:sz="4" w:space="0" w:color="auto"/>
              <w:right w:val="nil"/>
            </w:tcBorders>
            <w:shd w:val="clear" w:color="auto" w:fill="auto"/>
            <w:noWrap/>
            <w:vAlign w:val="center"/>
            <w:hideMark/>
          </w:tcPr>
          <w:p w14:paraId="2B8A82A5" w14:textId="77777777" w:rsidR="00167E1F" w:rsidRPr="00C83162" w:rsidRDefault="00167E1F" w:rsidP="00167E1F">
            <w:pPr>
              <w:spacing w:after="0" w:line="240" w:lineRule="auto"/>
              <w:rPr>
                <w:rFonts w:eastAsia="Times New Roman" w:cs="Arial"/>
                <w:b/>
                <w:bCs/>
                <w:color w:val="000000"/>
                <w:sz w:val="18"/>
                <w:szCs w:val="18"/>
                <w:lang w:eastAsia="en-AU"/>
              </w:rPr>
            </w:pPr>
            <w:r w:rsidRPr="00C83162">
              <w:rPr>
                <w:rFonts w:eastAsia="Times New Roman" w:cs="Arial"/>
                <w:b/>
                <w:bCs/>
                <w:color w:val="000000"/>
                <w:sz w:val="18"/>
                <w:szCs w:val="18"/>
                <w:lang w:eastAsia="en-AU"/>
              </w:rPr>
              <w:t xml:space="preserve">Total </w:t>
            </w:r>
            <w:r w:rsidR="00547E2E">
              <w:rPr>
                <w:rFonts w:eastAsia="Times New Roman" w:cs="Arial"/>
                <w:b/>
                <w:bCs/>
                <w:color w:val="000000"/>
                <w:sz w:val="18"/>
                <w:szCs w:val="18"/>
                <w:lang w:eastAsia="en-AU"/>
              </w:rPr>
              <w:t xml:space="preserve">of </w:t>
            </w:r>
            <w:r w:rsidRPr="00C83162">
              <w:rPr>
                <w:rFonts w:eastAsia="Times New Roman" w:cs="Arial"/>
                <w:b/>
                <w:bCs/>
                <w:color w:val="000000"/>
                <w:sz w:val="18"/>
                <w:szCs w:val="18"/>
                <w:lang w:eastAsia="en-AU"/>
              </w:rPr>
              <w:t>cost increase scenarios</w:t>
            </w:r>
          </w:p>
        </w:tc>
        <w:tc>
          <w:tcPr>
            <w:tcW w:w="1256" w:type="dxa"/>
            <w:tcBorders>
              <w:top w:val="dotted" w:sz="4" w:space="0" w:color="auto"/>
              <w:left w:val="nil"/>
              <w:bottom w:val="dotted" w:sz="4" w:space="0" w:color="auto"/>
              <w:right w:val="nil"/>
            </w:tcBorders>
            <w:shd w:val="clear" w:color="auto" w:fill="auto"/>
            <w:noWrap/>
            <w:vAlign w:val="center"/>
            <w:hideMark/>
          </w:tcPr>
          <w:p w14:paraId="7BC2B25A" w14:textId="77777777" w:rsidR="00167E1F" w:rsidRPr="00C83162" w:rsidRDefault="00167E1F" w:rsidP="00167E1F">
            <w:pPr>
              <w:spacing w:after="0" w:line="240" w:lineRule="auto"/>
              <w:jc w:val="right"/>
              <w:rPr>
                <w:rFonts w:eastAsia="Times New Roman" w:cs="Arial"/>
                <w:b/>
                <w:bCs/>
                <w:color w:val="000000"/>
                <w:sz w:val="18"/>
                <w:szCs w:val="18"/>
                <w:lang w:eastAsia="en-AU"/>
              </w:rPr>
            </w:pPr>
            <w:r w:rsidRPr="00C83162">
              <w:rPr>
                <w:rFonts w:eastAsia="Times New Roman" w:cs="Arial"/>
                <w:b/>
                <w:bCs/>
                <w:color w:val="000000"/>
                <w:sz w:val="18"/>
                <w:szCs w:val="18"/>
                <w:lang w:eastAsia="en-AU"/>
              </w:rPr>
              <w:t> </w:t>
            </w:r>
          </w:p>
        </w:tc>
        <w:tc>
          <w:tcPr>
            <w:tcW w:w="1256" w:type="dxa"/>
            <w:tcBorders>
              <w:top w:val="dotted" w:sz="4" w:space="0" w:color="auto"/>
              <w:left w:val="nil"/>
              <w:bottom w:val="dotted" w:sz="4" w:space="0" w:color="auto"/>
              <w:right w:val="nil"/>
            </w:tcBorders>
            <w:shd w:val="clear" w:color="auto" w:fill="auto"/>
            <w:noWrap/>
            <w:hideMark/>
          </w:tcPr>
          <w:p w14:paraId="774132A9" w14:textId="77777777" w:rsidR="00167E1F" w:rsidRPr="00167E1F" w:rsidRDefault="00167E1F" w:rsidP="00167E1F">
            <w:pPr>
              <w:spacing w:after="0" w:line="240" w:lineRule="auto"/>
              <w:jc w:val="right"/>
              <w:rPr>
                <w:rFonts w:eastAsia="Times New Roman" w:cs="Arial"/>
                <w:b/>
                <w:bCs/>
                <w:color w:val="000000"/>
                <w:sz w:val="18"/>
                <w:szCs w:val="18"/>
                <w:lang w:eastAsia="en-AU"/>
              </w:rPr>
            </w:pPr>
            <w:r w:rsidRPr="00F830E6">
              <w:rPr>
                <w:sz w:val="18"/>
                <w:szCs w:val="18"/>
              </w:rPr>
              <w:t>50,448</w:t>
            </w:r>
          </w:p>
        </w:tc>
        <w:tc>
          <w:tcPr>
            <w:tcW w:w="1256" w:type="dxa"/>
            <w:tcBorders>
              <w:top w:val="dotted" w:sz="4" w:space="0" w:color="auto"/>
              <w:left w:val="nil"/>
              <w:bottom w:val="dotted" w:sz="4" w:space="0" w:color="auto"/>
              <w:right w:val="nil"/>
            </w:tcBorders>
            <w:shd w:val="clear" w:color="auto" w:fill="auto"/>
            <w:noWrap/>
            <w:hideMark/>
          </w:tcPr>
          <w:p w14:paraId="1B4162ED" w14:textId="77777777" w:rsidR="00167E1F" w:rsidRPr="00167E1F" w:rsidRDefault="00167E1F" w:rsidP="00167E1F">
            <w:pPr>
              <w:spacing w:after="0" w:line="240" w:lineRule="auto"/>
              <w:jc w:val="right"/>
              <w:rPr>
                <w:rFonts w:eastAsia="Times New Roman" w:cs="Arial"/>
                <w:b/>
                <w:bCs/>
                <w:color w:val="000000"/>
                <w:sz w:val="18"/>
                <w:szCs w:val="18"/>
                <w:lang w:eastAsia="en-AU"/>
              </w:rPr>
            </w:pPr>
            <w:r w:rsidRPr="00F830E6">
              <w:rPr>
                <w:sz w:val="18"/>
                <w:szCs w:val="18"/>
              </w:rPr>
              <w:t>83,596</w:t>
            </w:r>
          </w:p>
        </w:tc>
      </w:tr>
      <w:tr w:rsidR="00167E1F" w:rsidRPr="00C83162" w14:paraId="459311FF" w14:textId="77777777" w:rsidTr="00F830E6">
        <w:trPr>
          <w:trHeight w:val="284"/>
        </w:trPr>
        <w:tc>
          <w:tcPr>
            <w:tcW w:w="5497" w:type="dxa"/>
            <w:tcBorders>
              <w:top w:val="nil"/>
              <w:left w:val="nil"/>
              <w:bottom w:val="nil"/>
              <w:right w:val="nil"/>
            </w:tcBorders>
            <w:shd w:val="clear" w:color="auto" w:fill="auto"/>
            <w:noWrap/>
            <w:vAlign w:val="center"/>
            <w:hideMark/>
          </w:tcPr>
          <w:p w14:paraId="6E38BDCB" w14:textId="77777777" w:rsidR="00167E1F" w:rsidRPr="00C83162" w:rsidRDefault="00167E1F" w:rsidP="00167E1F">
            <w:pPr>
              <w:spacing w:after="0" w:line="240" w:lineRule="auto"/>
              <w:rPr>
                <w:rFonts w:eastAsia="Times New Roman" w:cs="Arial"/>
                <w:b/>
                <w:bCs/>
                <w:color w:val="000000"/>
                <w:sz w:val="18"/>
                <w:szCs w:val="18"/>
                <w:lang w:eastAsia="en-AU"/>
              </w:rPr>
            </w:pPr>
            <w:r w:rsidRPr="00C83162">
              <w:rPr>
                <w:rFonts w:eastAsia="Times New Roman" w:cs="Arial"/>
                <w:b/>
                <w:bCs/>
                <w:color w:val="000000"/>
                <w:sz w:val="18"/>
                <w:szCs w:val="18"/>
                <w:lang w:eastAsia="en-AU"/>
              </w:rPr>
              <w:t>Plausible high case (variance)</w:t>
            </w:r>
          </w:p>
        </w:tc>
        <w:tc>
          <w:tcPr>
            <w:tcW w:w="1256" w:type="dxa"/>
            <w:tcBorders>
              <w:top w:val="nil"/>
              <w:left w:val="nil"/>
              <w:bottom w:val="nil"/>
              <w:right w:val="nil"/>
            </w:tcBorders>
            <w:shd w:val="clear" w:color="auto" w:fill="auto"/>
            <w:noWrap/>
            <w:vAlign w:val="center"/>
            <w:hideMark/>
          </w:tcPr>
          <w:p w14:paraId="11D6194C" w14:textId="77777777" w:rsidR="00167E1F" w:rsidRPr="00C83162" w:rsidRDefault="00167E1F" w:rsidP="00167E1F">
            <w:pPr>
              <w:spacing w:after="0" w:line="240" w:lineRule="auto"/>
              <w:jc w:val="right"/>
              <w:rPr>
                <w:rFonts w:eastAsia="Times New Roman" w:cs="Arial"/>
                <w:b/>
                <w:bCs/>
                <w:color w:val="000000"/>
                <w:sz w:val="18"/>
                <w:szCs w:val="18"/>
                <w:lang w:eastAsia="en-AU"/>
              </w:rPr>
            </w:pPr>
          </w:p>
        </w:tc>
        <w:tc>
          <w:tcPr>
            <w:tcW w:w="1256" w:type="dxa"/>
            <w:tcBorders>
              <w:top w:val="nil"/>
              <w:left w:val="nil"/>
              <w:bottom w:val="nil"/>
              <w:right w:val="nil"/>
            </w:tcBorders>
            <w:shd w:val="clear" w:color="auto" w:fill="auto"/>
            <w:noWrap/>
            <w:hideMark/>
          </w:tcPr>
          <w:p w14:paraId="5D953886" w14:textId="77777777" w:rsidR="00167E1F" w:rsidRPr="00167E1F" w:rsidRDefault="00167E1F" w:rsidP="00167E1F">
            <w:pPr>
              <w:spacing w:after="0" w:line="240" w:lineRule="auto"/>
              <w:jc w:val="right"/>
              <w:rPr>
                <w:rFonts w:eastAsia="Times New Roman" w:cs="Arial"/>
                <w:b/>
                <w:bCs/>
                <w:color w:val="000000"/>
                <w:sz w:val="18"/>
                <w:szCs w:val="18"/>
                <w:lang w:eastAsia="en-AU"/>
              </w:rPr>
            </w:pPr>
            <w:r w:rsidRPr="00F830E6">
              <w:rPr>
                <w:sz w:val="18"/>
                <w:szCs w:val="18"/>
              </w:rPr>
              <w:t>47,843</w:t>
            </w:r>
          </w:p>
        </w:tc>
        <w:tc>
          <w:tcPr>
            <w:tcW w:w="1256" w:type="dxa"/>
            <w:tcBorders>
              <w:top w:val="nil"/>
              <w:left w:val="nil"/>
              <w:bottom w:val="nil"/>
              <w:right w:val="nil"/>
            </w:tcBorders>
            <w:shd w:val="clear" w:color="auto" w:fill="auto"/>
            <w:noWrap/>
            <w:hideMark/>
          </w:tcPr>
          <w:p w14:paraId="40A64432" w14:textId="77777777" w:rsidR="00167E1F" w:rsidRPr="00167E1F" w:rsidRDefault="00167E1F" w:rsidP="00167E1F">
            <w:pPr>
              <w:spacing w:after="0" w:line="240" w:lineRule="auto"/>
              <w:jc w:val="right"/>
              <w:rPr>
                <w:rFonts w:eastAsia="Times New Roman" w:cs="Arial"/>
                <w:b/>
                <w:bCs/>
                <w:color w:val="000000"/>
                <w:sz w:val="18"/>
                <w:szCs w:val="18"/>
                <w:lang w:eastAsia="en-AU"/>
              </w:rPr>
            </w:pPr>
            <w:r w:rsidRPr="00F830E6">
              <w:rPr>
                <w:sz w:val="18"/>
                <w:szCs w:val="18"/>
              </w:rPr>
              <w:t>74,156</w:t>
            </w:r>
          </w:p>
        </w:tc>
      </w:tr>
      <w:tr w:rsidR="00167E1F" w:rsidRPr="00C83162" w14:paraId="4CF1B672" w14:textId="77777777" w:rsidTr="00F830E6">
        <w:trPr>
          <w:trHeight w:val="284"/>
        </w:trPr>
        <w:tc>
          <w:tcPr>
            <w:tcW w:w="5497" w:type="dxa"/>
            <w:tcBorders>
              <w:top w:val="single" w:sz="4" w:space="0" w:color="auto"/>
              <w:left w:val="nil"/>
              <w:bottom w:val="single" w:sz="4" w:space="0" w:color="auto"/>
              <w:right w:val="nil"/>
            </w:tcBorders>
            <w:shd w:val="clear" w:color="000000" w:fill="F7EEF7"/>
            <w:noWrap/>
            <w:vAlign w:val="center"/>
            <w:hideMark/>
          </w:tcPr>
          <w:p w14:paraId="362649B1" w14:textId="77777777" w:rsidR="00167E1F" w:rsidRPr="00C83162" w:rsidRDefault="00167E1F" w:rsidP="00167E1F">
            <w:pPr>
              <w:spacing w:after="0" w:line="240" w:lineRule="auto"/>
              <w:rPr>
                <w:rFonts w:eastAsia="Times New Roman" w:cs="Arial"/>
                <w:b/>
                <w:bCs/>
                <w:color w:val="000000"/>
                <w:sz w:val="18"/>
                <w:szCs w:val="18"/>
                <w:lang w:eastAsia="en-AU"/>
              </w:rPr>
            </w:pPr>
            <w:r w:rsidRPr="00C83162">
              <w:rPr>
                <w:rFonts w:eastAsia="Times New Roman" w:cs="Arial"/>
                <w:b/>
                <w:bCs/>
                <w:color w:val="000000"/>
                <w:sz w:val="18"/>
                <w:szCs w:val="18"/>
                <w:lang w:eastAsia="en-AU"/>
              </w:rPr>
              <w:t>Cost reduction scenarios</w:t>
            </w:r>
          </w:p>
        </w:tc>
        <w:tc>
          <w:tcPr>
            <w:tcW w:w="1256" w:type="dxa"/>
            <w:tcBorders>
              <w:top w:val="single" w:sz="4" w:space="0" w:color="auto"/>
              <w:left w:val="nil"/>
              <w:bottom w:val="single" w:sz="4" w:space="0" w:color="auto"/>
              <w:right w:val="nil"/>
            </w:tcBorders>
            <w:shd w:val="clear" w:color="000000" w:fill="F7EEF7"/>
            <w:noWrap/>
            <w:vAlign w:val="center"/>
            <w:hideMark/>
          </w:tcPr>
          <w:p w14:paraId="75E5CDE9" w14:textId="77777777" w:rsidR="00167E1F" w:rsidRPr="00C83162" w:rsidRDefault="00167E1F" w:rsidP="00167E1F">
            <w:pPr>
              <w:spacing w:after="0" w:line="240" w:lineRule="auto"/>
              <w:jc w:val="right"/>
              <w:rPr>
                <w:rFonts w:eastAsia="Times New Roman" w:cs="Arial"/>
                <w:color w:val="000000"/>
                <w:sz w:val="18"/>
                <w:szCs w:val="18"/>
                <w:lang w:eastAsia="en-AU"/>
              </w:rPr>
            </w:pPr>
            <w:r w:rsidRPr="00C83162">
              <w:rPr>
                <w:rFonts w:eastAsia="Times New Roman" w:cs="Arial"/>
                <w:color w:val="000000"/>
                <w:sz w:val="18"/>
                <w:szCs w:val="18"/>
                <w:lang w:eastAsia="en-AU"/>
              </w:rPr>
              <w:t> </w:t>
            </w:r>
          </w:p>
        </w:tc>
        <w:tc>
          <w:tcPr>
            <w:tcW w:w="1256" w:type="dxa"/>
            <w:tcBorders>
              <w:top w:val="single" w:sz="4" w:space="0" w:color="auto"/>
              <w:left w:val="nil"/>
              <w:bottom w:val="single" w:sz="4" w:space="0" w:color="auto"/>
              <w:right w:val="nil"/>
            </w:tcBorders>
            <w:shd w:val="clear" w:color="000000" w:fill="F7EEF7"/>
            <w:noWrap/>
            <w:hideMark/>
          </w:tcPr>
          <w:p w14:paraId="0C194FD8" w14:textId="77777777" w:rsidR="00167E1F" w:rsidRPr="00167E1F" w:rsidRDefault="00167E1F" w:rsidP="00167E1F">
            <w:pPr>
              <w:spacing w:after="0" w:line="240" w:lineRule="auto"/>
              <w:jc w:val="right"/>
              <w:rPr>
                <w:rFonts w:eastAsia="Times New Roman" w:cs="Arial"/>
                <w:color w:val="000000"/>
                <w:sz w:val="18"/>
                <w:szCs w:val="18"/>
                <w:lang w:eastAsia="en-AU"/>
              </w:rPr>
            </w:pPr>
            <w:r w:rsidRPr="00F830E6">
              <w:rPr>
                <w:sz w:val="18"/>
                <w:szCs w:val="18"/>
              </w:rPr>
              <w:t>41,373</w:t>
            </w:r>
          </w:p>
        </w:tc>
        <w:tc>
          <w:tcPr>
            <w:tcW w:w="1256" w:type="dxa"/>
            <w:tcBorders>
              <w:top w:val="single" w:sz="4" w:space="0" w:color="auto"/>
              <w:left w:val="nil"/>
              <w:bottom w:val="single" w:sz="4" w:space="0" w:color="auto"/>
              <w:right w:val="nil"/>
            </w:tcBorders>
            <w:shd w:val="clear" w:color="000000" w:fill="F7EEF7"/>
            <w:noWrap/>
            <w:hideMark/>
          </w:tcPr>
          <w:p w14:paraId="4218D009" w14:textId="77777777" w:rsidR="00167E1F" w:rsidRPr="00167E1F" w:rsidRDefault="00167E1F" w:rsidP="00167E1F">
            <w:pPr>
              <w:spacing w:after="0" w:line="240" w:lineRule="auto"/>
              <w:jc w:val="right"/>
              <w:rPr>
                <w:rFonts w:eastAsia="Times New Roman" w:cs="Arial"/>
                <w:color w:val="000000"/>
                <w:sz w:val="18"/>
                <w:szCs w:val="18"/>
                <w:lang w:eastAsia="en-AU"/>
              </w:rPr>
            </w:pPr>
            <w:r w:rsidRPr="00F830E6">
              <w:rPr>
                <w:sz w:val="18"/>
                <w:szCs w:val="18"/>
              </w:rPr>
              <w:t>59,284</w:t>
            </w:r>
          </w:p>
        </w:tc>
      </w:tr>
      <w:tr w:rsidR="00167E1F" w:rsidRPr="00C83162" w14:paraId="11FBFABE" w14:textId="77777777" w:rsidTr="00F830E6">
        <w:trPr>
          <w:trHeight w:val="284"/>
        </w:trPr>
        <w:tc>
          <w:tcPr>
            <w:tcW w:w="5497" w:type="dxa"/>
            <w:tcBorders>
              <w:top w:val="nil"/>
              <w:left w:val="nil"/>
              <w:bottom w:val="nil"/>
              <w:right w:val="nil"/>
            </w:tcBorders>
            <w:shd w:val="clear" w:color="auto" w:fill="auto"/>
            <w:noWrap/>
            <w:vAlign w:val="center"/>
            <w:hideMark/>
          </w:tcPr>
          <w:p w14:paraId="6FF110B2" w14:textId="77777777" w:rsidR="00167E1F" w:rsidRPr="00C83162" w:rsidRDefault="00167E1F" w:rsidP="00167E1F">
            <w:pPr>
              <w:spacing w:after="0" w:line="240" w:lineRule="auto"/>
              <w:rPr>
                <w:rFonts w:eastAsia="Times New Roman" w:cs="Arial"/>
                <w:color w:val="000000"/>
                <w:sz w:val="18"/>
                <w:szCs w:val="18"/>
                <w:lang w:eastAsia="en-AU"/>
              </w:rPr>
            </w:pPr>
            <w:r w:rsidRPr="00C83162">
              <w:rPr>
                <w:rFonts w:eastAsia="Times New Roman" w:cs="Arial"/>
                <w:color w:val="000000"/>
                <w:sz w:val="18"/>
                <w:szCs w:val="18"/>
                <w:lang w:eastAsia="en-AU"/>
              </w:rPr>
              <w:t>One year less of high inflation</w:t>
            </w:r>
          </w:p>
        </w:tc>
        <w:tc>
          <w:tcPr>
            <w:tcW w:w="1256" w:type="dxa"/>
            <w:tcBorders>
              <w:top w:val="nil"/>
              <w:left w:val="nil"/>
              <w:bottom w:val="nil"/>
              <w:right w:val="nil"/>
            </w:tcBorders>
            <w:shd w:val="clear" w:color="auto" w:fill="auto"/>
            <w:noWrap/>
            <w:vAlign w:val="center"/>
            <w:hideMark/>
          </w:tcPr>
          <w:p w14:paraId="0E1A8257" w14:textId="77777777" w:rsidR="00167E1F" w:rsidRPr="00C83162" w:rsidRDefault="00167E1F" w:rsidP="00167E1F">
            <w:pPr>
              <w:spacing w:after="0" w:line="240" w:lineRule="auto"/>
              <w:jc w:val="right"/>
              <w:rPr>
                <w:rFonts w:eastAsia="Times New Roman" w:cs="Arial"/>
                <w:color w:val="000000"/>
                <w:sz w:val="18"/>
                <w:szCs w:val="18"/>
                <w:lang w:eastAsia="en-AU"/>
              </w:rPr>
            </w:pPr>
          </w:p>
        </w:tc>
        <w:tc>
          <w:tcPr>
            <w:tcW w:w="1256" w:type="dxa"/>
            <w:tcBorders>
              <w:top w:val="nil"/>
              <w:left w:val="nil"/>
              <w:bottom w:val="nil"/>
              <w:right w:val="nil"/>
            </w:tcBorders>
            <w:shd w:val="clear" w:color="auto" w:fill="auto"/>
            <w:noWrap/>
            <w:hideMark/>
          </w:tcPr>
          <w:p w14:paraId="2A06F8E2" w14:textId="77777777" w:rsidR="00167E1F" w:rsidRPr="00167E1F" w:rsidRDefault="00167E1F" w:rsidP="00167E1F">
            <w:pPr>
              <w:spacing w:after="0" w:line="240" w:lineRule="auto"/>
              <w:jc w:val="right"/>
              <w:rPr>
                <w:rFonts w:eastAsia="Times New Roman" w:cs="Arial"/>
                <w:color w:val="000000"/>
                <w:sz w:val="18"/>
                <w:szCs w:val="18"/>
                <w:lang w:eastAsia="en-AU"/>
              </w:rPr>
            </w:pPr>
            <w:r w:rsidRPr="00F830E6">
              <w:rPr>
                <w:sz w:val="18"/>
                <w:szCs w:val="18"/>
              </w:rPr>
              <w:t>39,358</w:t>
            </w:r>
          </w:p>
        </w:tc>
        <w:tc>
          <w:tcPr>
            <w:tcW w:w="1256" w:type="dxa"/>
            <w:tcBorders>
              <w:top w:val="nil"/>
              <w:left w:val="nil"/>
              <w:bottom w:val="nil"/>
              <w:right w:val="nil"/>
            </w:tcBorders>
            <w:shd w:val="clear" w:color="auto" w:fill="auto"/>
            <w:noWrap/>
            <w:hideMark/>
          </w:tcPr>
          <w:p w14:paraId="6886AF32" w14:textId="77777777" w:rsidR="00167E1F" w:rsidRPr="00167E1F" w:rsidRDefault="00167E1F" w:rsidP="00167E1F">
            <w:pPr>
              <w:spacing w:after="0" w:line="240" w:lineRule="auto"/>
              <w:jc w:val="right"/>
              <w:rPr>
                <w:rFonts w:eastAsia="Times New Roman" w:cs="Arial"/>
                <w:color w:val="000000"/>
                <w:sz w:val="18"/>
                <w:szCs w:val="18"/>
                <w:lang w:eastAsia="en-AU"/>
              </w:rPr>
            </w:pPr>
            <w:r w:rsidRPr="00F830E6">
              <w:rPr>
                <w:sz w:val="18"/>
                <w:szCs w:val="18"/>
              </w:rPr>
              <w:t>54,497</w:t>
            </w:r>
          </w:p>
        </w:tc>
      </w:tr>
      <w:tr w:rsidR="00167E1F" w:rsidRPr="00C83162" w14:paraId="63BA235B" w14:textId="77777777" w:rsidTr="00F830E6">
        <w:trPr>
          <w:trHeight w:val="284"/>
        </w:trPr>
        <w:tc>
          <w:tcPr>
            <w:tcW w:w="5497" w:type="dxa"/>
            <w:tcBorders>
              <w:top w:val="nil"/>
              <w:left w:val="nil"/>
              <w:bottom w:val="nil"/>
              <w:right w:val="nil"/>
            </w:tcBorders>
            <w:shd w:val="clear" w:color="auto" w:fill="auto"/>
            <w:noWrap/>
            <w:vAlign w:val="center"/>
            <w:hideMark/>
          </w:tcPr>
          <w:p w14:paraId="0ACEFBE1" w14:textId="77777777" w:rsidR="00167E1F" w:rsidRPr="00C83162" w:rsidRDefault="00167E1F" w:rsidP="00167E1F">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 xml:space="preserve">Lower long </w:t>
            </w:r>
            <w:r w:rsidRPr="00C83162">
              <w:rPr>
                <w:rFonts w:eastAsia="Times New Roman" w:cs="Arial"/>
                <w:color w:val="000000"/>
                <w:sz w:val="18"/>
                <w:szCs w:val="18"/>
                <w:lang w:eastAsia="en-AU"/>
              </w:rPr>
              <w:t>term new incidence assumptions</w:t>
            </w:r>
          </w:p>
        </w:tc>
        <w:tc>
          <w:tcPr>
            <w:tcW w:w="1256" w:type="dxa"/>
            <w:tcBorders>
              <w:top w:val="nil"/>
              <w:left w:val="nil"/>
              <w:bottom w:val="nil"/>
              <w:right w:val="nil"/>
            </w:tcBorders>
            <w:shd w:val="clear" w:color="auto" w:fill="auto"/>
            <w:noWrap/>
            <w:vAlign w:val="center"/>
            <w:hideMark/>
          </w:tcPr>
          <w:p w14:paraId="41A1AAB3" w14:textId="77777777" w:rsidR="00167E1F" w:rsidRPr="00C83162" w:rsidRDefault="00167E1F" w:rsidP="00167E1F">
            <w:pPr>
              <w:spacing w:after="0" w:line="240" w:lineRule="auto"/>
              <w:jc w:val="right"/>
              <w:rPr>
                <w:rFonts w:eastAsia="Times New Roman" w:cs="Arial"/>
                <w:color w:val="000000"/>
                <w:sz w:val="18"/>
                <w:szCs w:val="18"/>
                <w:lang w:eastAsia="en-AU"/>
              </w:rPr>
            </w:pPr>
          </w:p>
        </w:tc>
        <w:tc>
          <w:tcPr>
            <w:tcW w:w="1256" w:type="dxa"/>
            <w:tcBorders>
              <w:top w:val="nil"/>
              <w:left w:val="nil"/>
              <w:bottom w:val="nil"/>
              <w:right w:val="nil"/>
            </w:tcBorders>
            <w:shd w:val="clear" w:color="auto" w:fill="auto"/>
            <w:noWrap/>
            <w:hideMark/>
          </w:tcPr>
          <w:p w14:paraId="721E6533" w14:textId="77777777" w:rsidR="00167E1F" w:rsidRPr="00167E1F" w:rsidRDefault="00167E1F" w:rsidP="00167E1F">
            <w:pPr>
              <w:spacing w:after="0" w:line="240" w:lineRule="auto"/>
              <w:jc w:val="right"/>
              <w:rPr>
                <w:rFonts w:eastAsia="Times New Roman" w:cs="Arial"/>
                <w:color w:val="000000"/>
                <w:sz w:val="18"/>
                <w:szCs w:val="18"/>
                <w:lang w:eastAsia="en-AU"/>
              </w:rPr>
            </w:pPr>
            <w:r w:rsidRPr="00F830E6">
              <w:rPr>
                <w:sz w:val="18"/>
                <w:szCs w:val="18"/>
              </w:rPr>
              <w:t>41,373</w:t>
            </w:r>
          </w:p>
        </w:tc>
        <w:tc>
          <w:tcPr>
            <w:tcW w:w="1256" w:type="dxa"/>
            <w:tcBorders>
              <w:top w:val="nil"/>
              <w:left w:val="nil"/>
              <w:bottom w:val="nil"/>
              <w:right w:val="nil"/>
            </w:tcBorders>
            <w:shd w:val="clear" w:color="auto" w:fill="auto"/>
            <w:noWrap/>
            <w:hideMark/>
          </w:tcPr>
          <w:p w14:paraId="131D3D02" w14:textId="77777777" w:rsidR="00167E1F" w:rsidRPr="00167E1F" w:rsidRDefault="00167E1F" w:rsidP="00167E1F">
            <w:pPr>
              <w:spacing w:after="0" w:line="240" w:lineRule="auto"/>
              <w:jc w:val="right"/>
              <w:rPr>
                <w:rFonts w:eastAsia="Times New Roman" w:cs="Arial"/>
                <w:color w:val="000000"/>
                <w:sz w:val="18"/>
                <w:szCs w:val="18"/>
                <w:lang w:eastAsia="en-AU"/>
              </w:rPr>
            </w:pPr>
            <w:r w:rsidRPr="00F830E6">
              <w:rPr>
                <w:sz w:val="18"/>
                <w:szCs w:val="18"/>
              </w:rPr>
              <w:t>57,496</w:t>
            </w:r>
          </w:p>
        </w:tc>
      </w:tr>
      <w:tr w:rsidR="00167E1F" w:rsidRPr="00C83162" w14:paraId="7B6C5155" w14:textId="77777777" w:rsidTr="00F830E6">
        <w:trPr>
          <w:trHeight w:val="284"/>
        </w:trPr>
        <w:tc>
          <w:tcPr>
            <w:tcW w:w="5497" w:type="dxa"/>
            <w:tcBorders>
              <w:top w:val="nil"/>
              <w:left w:val="nil"/>
              <w:bottom w:val="nil"/>
              <w:right w:val="nil"/>
            </w:tcBorders>
            <w:shd w:val="clear" w:color="auto" w:fill="auto"/>
            <w:noWrap/>
            <w:vAlign w:val="center"/>
            <w:hideMark/>
          </w:tcPr>
          <w:p w14:paraId="76EB4BA6" w14:textId="77777777" w:rsidR="00167E1F" w:rsidRPr="00C83162" w:rsidRDefault="00167E1F" w:rsidP="00167E1F">
            <w:pPr>
              <w:spacing w:after="0" w:line="240" w:lineRule="auto"/>
              <w:rPr>
                <w:rFonts w:eastAsia="Times New Roman" w:cs="Arial"/>
                <w:color w:val="000000"/>
                <w:sz w:val="18"/>
                <w:szCs w:val="18"/>
                <w:lang w:eastAsia="en-AU"/>
              </w:rPr>
            </w:pPr>
            <w:r w:rsidRPr="00C83162">
              <w:rPr>
                <w:rFonts w:eastAsia="Times New Roman" w:cs="Arial"/>
                <w:color w:val="000000"/>
                <w:sz w:val="18"/>
                <w:szCs w:val="18"/>
                <w:lang w:eastAsia="en-AU"/>
              </w:rPr>
              <w:t>Lower general population growth</w:t>
            </w:r>
          </w:p>
        </w:tc>
        <w:tc>
          <w:tcPr>
            <w:tcW w:w="1256" w:type="dxa"/>
            <w:tcBorders>
              <w:top w:val="nil"/>
              <w:left w:val="nil"/>
              <w:bottom w:val="nil"/>
              <w:right w:val="nil"/>
            </w:tcBorders>
            <w:shd w:val="clear" w:color="auto" w:fill="auto"/>
            <w:noWrap/>
            <w:vAlign w:val="center"/>
            <w:hideMark/>
          </w:tcPr>
          <w:p w14:paraId="3BC2073B" w14:textId="77777777" w:rsidR="00167E1F" w:rsidRPr="00C83162" w:rsidRDefault="00167E1F" w:rsidP="00167E1F">
            <w:pPr>
              <w:spacing w:after="0" w:line="240" w:lineRule="auto"/>
              <w:jc w:val="right"/>
              <w:rPr>
                <w:rFonts w:eastAsia="Times New Roman" w:cs="Arial"/>
                <w:color w:val="000000"/>
                <w:sz w:val="18"/>
                <w:szCs w:val="18"/>
                <w:lang w:eastAsia="en-AU"/>
              </w:rPr>
            </w:pPr>
          </w:p>
        </w:tc>
        <w:tc>
          <w:tcPr>
            <w:tcW w:w="1256" w:type="dxa"/>
            <w:tcBorders>
              <w:top w:val="nil"/>
              <w:left w:val="nil"/>
              <w:bottom w:val="nil"/>
              <w:right w:val="nil"/>
            </w:tcBorders>
            <w:shd w:val="clear" w:color="auto" w:fill="auto"/>
            <w:noWrap/>
            <w:hideMark/>
          </w:tcPr>
          <w:p w14:paraId="1D9C39E1" w14:textId="77777777" w:rsidR="00167E1F" w:rsidRPr="00167E1F" w:rsidRDefault="00167E1F" w:rsidP="00167E1F">
            <w:pPr>
              <w:spacing w:after="0" w:line="240" w:lineRule="auto"/>
              <w:jc w:val="right"/>
              <w:rPr>
                <w:rFonts w:eastAsia="Times New Roman" w:cs="Arial"/>
                <w:color w:val="000000"/>
                <w:sz w:val="18"/>
                <w:szCs w:val="18"/>
                <w:lang w:eastAsia="en-AU"/>
              </w:rPr>
            </w:pPr>
            <w:r w:rsidRPr="00F830E6">
              <w:rPr>
                <w:sz w:val="18"/>
                <w:szCs w:val="18"/>
              </w:rPr>
              <w:t>41,338</w:t>
            </w:r>
          </w:p>
        </w:tc>
        <w:tc>
          <w:tcPr>
            <w:tcW w:w="1256" w:type="dxa"/>
            <w:tcBorders>
              <w:top w:val="nil"/>
              <w:left w:val="nil"/>
              <w:bottom w:val="nil"/>
              <w:right w:val="nil"/>
            </w:tcBorders>
            <w:shd w:val="clear" w:color="auto" w:fill="auto"/>
            <w:noWrap/>
            <w:hideMark/>
          </w:tcPr>
          <w:p w14:paraId="0D651F3E" w14:textId="77777777" w:rsidR="00167E1F" w:rsidRPr="00167E1F" w:rsidRDefault="00167E1F" w:rsidP="00167E1F">
            <w:pPr>
              <w:spacing w:after="0" w:line="240" w:lineRule="auto"/>
              <w:jc w:val="right"/>
              <w:rPr>
                <w:rFonts w:eastAsia="Times New Roman" w:cs="Arial"/>
                <w:color w:val="000000"/>
                <w:sz w:val="18"/>
                <w:szCs w:val="18"/>
                <w:lang w:eastAsia="en-AU"/>
              </w:rPr>
            </w:pPr>
            <w:r w:rsidRPr="00F830E6">
              <w:rPr>
                <w:sz w:val="18"/>
                <w:szCs w:val="18"/>
              </w:rPr>
              <w:t>59,113</w:t>
            </w:r>
          </w:p>
        </w:tc>
      </w:tr>
      <w:tr w:rsidR="00167E1F" w:rsidRPr="00C83162" w14:paraId="75651B9B" w14:textId="77777777" w:rsidTr="00F830E6">
        <w:trPr>
          <w:trHeight w:val="284"/>
        </w:trPr>
        <w:tc>
          <w:tcPr>
            <w:tcW w:w="5497" w:type="dxa"/>
            <w:tcBorders>
              <w:top w:val="nil"/>
              <w:left w:val="nil"/>
              <w:bottom w:val="nil"/>
              <w:right w:val="nil"/>
            </w:tcBorders>
            <w:shd w:val="clear" w:color="auto" w:fill="auto"/>
            <w:noWrap/>
            <w:vAlign w:val="center"/>
            <w:hideMark/>
          </w:tcPr>
          <w:p w14:paraId="0579127C" w14:textId="77777777" w:rsidR="00167E1F" w:rsidRPr="00C83162" w:rsidRDefault="00167E1F" w:rsidP="00167E1F">
            <w:pPr>
              <w:spacing w:after="0" w:line="240" w:lineRule="auto"/>
              <w:rPr>
                <w:rFonts w:eastAsia="Times New Roman" w:cs="Arial"/>
                <w:color w:val="000000"/>
                <w:sz w:val="18"/>
                <w:szCs w:val="18"/>
                <w:lang w:eastAsia="en-AU"/>
              </w:rPr>
            </w:pPr>
            <w:r w:rsidRPr="00C83162">
              <w:rPr>
                <w:rFonts w:eastAsia="Times New Roman" w:cs="Arial"/>
                <w:color w:val="000000"/>
                <w:sz w:val="18"/>
                <w:szCs w:val="18"/>
                <w:lang w:eastAsia="en-AU"/>
              </w:rPr>
              <w:t>Lower SIL numbers (-200 p.a.)</w:t>
            </w:r>
          </w:p>
        </w:tc>
        <w:tc>
          <w:tcPr>
            <w:tcW w:w="1256" w:type="dxa"/>
            <w:tcBorders>
              <w:top w:val="nil"/>
              <w:left w:val="nil"/>
              <w:bottom w:val="nil"/>
              <w:right w:val="nil"/>
            </w:tcBorders>
            <w:shd w:val="clear" w:color="auto" w:fill="auto"/>
            <w:noWrap/>
            <w:vAlign w:val="center"/>
            <w:hideMark/>
          </w:tcPr>
          <w:p w14:paraId="10C6C20B" w14:textId="77777777" w:rsidR="00167E1F" w:rsidRPr="00C83162" w:rsidRDefault="00167E1F" w:rsidP="00167E1F">
            <w:pPr>
              <w:spacing w:after="0" w:line="240" w:lineRule="auto"/>
              <w:jc w:val="right"/>
              <w:rPr>
                <w:rFonts w:eastAsia="Times New Roman" w:cs="Arial"/>
                <w:color w:val="000000"/>
                <w:sz w:val="18"/>
                <w:szCs w:val="18"/>
                <w:lang w:eastAsia="en-AU"/>
              </w:rPr>
            </w:pPr>
          </w:p>
        </w:tc>
        <w:tc>
          <w:tcPr>
            <w:tcW w:w="1256" w:type="dxa"/>
            <w:tcBorders>
              <w:top w:val="nil"/>
              <w:left w:val="nil"/>
              <w:bottom w:val="nil"/>
              <w:right w:val="nil"/>
            </w:tcBorders>
            <w:shd w:val="clear" w:color="auto" w:fill="auto"/>
            <w:noWrap/>
            <w:hideMark/>
          </w:tcPr>
          <w:p w14:paraId="340ECCCE" w14:textId="77777777" w:rsidR="00167E1F" w:rsidRPr="00167E1F" w:rsidRDefault="00167E1F" w:rsidP="00167E1F">
            <w:pPr>
              <w:spacing w:after="0" w:line="240" w:lineRule="auto"/>
              <w:jc w:val="right"/>
              <w:rPr>
                <w:rFonts w:eastAsia="Times New Roman" w:cs="Arial"/>
                <w:color w:val="000000"/>
                <w:sz w:val="18"/>
                <w:szCs w:val="18"/>
                <w:lang w:eastAsia="en-AU"/>
              </w:rPr>
            </w:pPr>
            <w:r w:rsidRPr="00F830E6">
              <w:rPr>
                <w:sz w:val="18"/>
                <w:szCs w:val="18"/>
              </w:rPr>
              <w:t>41,140</w:t>
            </w:r>
          </w:p>
        </w:tc>
        <w:tc>
          <w:tcPr>
            <w:tcW w:w="1256" w:type="dxa"/>
            <w:tcBorders>
              <w:top w:val="nil"/>
              <w:left w:val="nil"/>
              <w:bottom w:val="nil"/>
              <w:right w:val="nil"/>
            </w:tcBorders>
            <w:shd w:val="clear" w:color="auto" w:fill="auto"/>
            <w:noWrap/>
            <w:hideMark/>
          </w:tcPr>
          <w:p w14:paraId="36D3C624" w14:textId="77777777" w:rsidR="00167E1F" w:rsidRPr="00167E1F" w:rsidRDefault="00167E1F" w:rsidP="00167E1F">
            <w:pPr>
              <w:spacing w:after="0" w:line="240" w:lineRule="auto"/>
              <w:jc w:val="right"/>
              <w:rPr>
                <w:rFonts w:eastAsia="Times New Roman" w:cs="Arial"/>
                <w:color w:val="000000"/>
                <w:sz w:val="18"/>
                <w:szCs w:val="18"/>
                <w:lang w:eastAsia="en-AU"/>
              </w:rPr>
            </w:pPr>
            <w:r w:rsidRPr="00F830E6">
              <w:rPr>
                <w:sz w:val="18"/>
                <w:szCs w:val="18"/>
              </w:rPr>
              <w:t>58,607</w:t>
            </w:r>
          </w:p>
        </w:tc>
      </w:tr>
      <w:tr w:rsidR="00167E1F" w:rsidRPr="00C83162" w14:paraId="3AC30F61" w14:textId="77777777" w:rsidTr="00F830E6">
        <w:trPr>
          <w:trHeight w:val="284"/>
        </w:trPr>
        <w:tc>
          <w:tcPr>
            <w:tcW w:w="5497" w:type="dxa"/>
            <w:tcBorders>
              <w:top w:val="nil"/>
              <w:left w:val="nil"/>
              <w:bottom w:val="nil"/>
              <w:right w:val="nil"/>
            </w:tcBorders>
            <w:shd w:val="clear" w:color="auto" w:fill="auto"/>
            <w:noWrap/>
            <w:vAlign w:val="center"/>
            <w:hideMark/>
          </w:tcPr>
          <w:p w14:paraId="42E102EB" w14:textId="77777777" w:rsidR="00167E1F" w:rsidRPr="00C83162" w:rsidRDefault="00167E1F" w:rsidP="00167E1F">
            <w:pPr>
              <w:spacing w:after="0" w:line="240" w:lineRule="auto"/>
              <w:rPr>
                <w:rFonts w:eastAsia="Times New Roman" w:cs="Arial"/>
                <w:color w:val="000000"/>
                <w:sz w:val="18"/>
                <w:szCs w:val="18"/>
                <w:lang w:eastAsia="en-AU"/>
              </w:rPr>
            </w:pPr>
            <w:r w:rsidRPr="00C83162">
              <w:rPr>
                <w:rFonts w:eastAsia="Times New Roman" w:cs="Arial"/>
                <w:color w:val="000000"/>
                <w:sz w:val="18"/>
                <w:szCs w:val="18"/>
                <w:lang w:eastAsia="en-AU"/>
              </w:rPr>
              <w:t>Lower cost of new entrants</w:t>
            </w:r>
          </w:p>
        </w:tc>
        <w:tc>
          <w:tcPr>
            <w:tcW w:w="1256" w:type="dxa"/>
            <w:tcBorders>
              <w:top w:val="nil"/>
              <w:left w:val="nil"/>
              <w:bottom w:val="nil"/>
              <w:right w:val="nil"/>
            </w:tcBorders>
            <w:shd w:val="clear" w:color="auto" w:fill="auto"/>
            <w:noWrap/>
            <w:vAlign w:val="center"/>
            <w:hideMark/>
          </w:tcPr>
          <w:p w14:paraId="4D39C3B8" w14:textId="77777777" w:rsidR="00167E1F" w:rsidRPr="00C83162" w:rsidRDefault="00167E1F" w:rsidP="00167E1F">
            <w:pPr>
              <w:spacing w:after="0" w:line="240" w:lineRule="auto"/>
              <w:jc w:val="right"/>
              <w:rPr>
                <w:rFonts w:eastAsia="Times New Roman" w:cs="Arial"/>
                <w:color w:val="000000"/>
                <w:sz w:val="18"/>
                <w:szCs w:val="18"/>
                <w:lang w:eastAsia="en-AU"/>
              </w:rPr>
            </w:pPr>
          </w:p>
        </w:tc>
        <w:tc>
          <w:tcPr>
            <w:tcW w:w="1256" w:type="dxa"/>
            <w:tcBorders>
              <w:top w:val="nil"/>
              <w:left w:val="nil"/>
              <w:bottom w:val="nil"/>
              <w:right w:val="nil"/>
            </w:tcBorders>
            <w:shd w:val="clear" w:color="auto" w:fill="auto"/>
            <w:noWrap/>
            <w:hideMark/>
          </w:tcPr>
          <w:p w14:paraId="3C163539" w14:textId="77777777" w:rsidR="00167E1F" w:rsidRPr="00167E1F" w:rsidRDefault="00167E1F" w:rsidP="00167E1F">
            <w:pPr>
              <w:spacing w:after="0" w:line="240" w:lineRule="auto"/>
              <w:jc w:val="right"/>
              <w:rPr>
                <w:rFonts w:eastAsia="Times New Roman" w:cs="Arial"/>
                <w:color w:val="000000"/>
                <w:sz w:val="18"/>
                <w:szCs w:val="18"/>
                <w:lang w:eastAsia="en-AU"/>
              </w:rPr>
            </w:pPr>
            <w:r w:rsidRPr="00F830E6">
              <w:rPr>
                <w:sz w:val="18"/>
                <w:szCs w:val="18"/>
              </w:rPr>
              <w:t>40,579</w:t>
            </w:r>
          </w:p>
        </w:tc>
        <w:tc>
          <w:tcPr>
            <w:tcW w:w="1256" w:type="dxa"/>
            <w:tcBorders>
              <w:top w:val="nil"/>
              <w:left w:val="nil"/>
              <w:bottom w:val="nil"/>
              <w:right w:val="nil"/>
            </w:tcBorders>
            <w:shd w:val="clear" w:color="auto" w:fill="auto"/>
            <w:noWrap/>
            <w:hideMark/>
          </w:tcPr>
          <w:p w14:paraId="3B049B35" w14:textId="77777777" w:rsidR="00167E1F" w:rsidRPr="00167E1F" w:rsidRDefault="00167E1F" w:rsidP="00167E1F">
            <w:pPr>
              <w:spacing w:after="0" w:line="240" w:lineRule="auto"/>
              <w:jc w:val="right"/>
              <w:rPr>
                <w:rFonts w:eastAsia="Times New Roman" w:cs="Arial"/>
                <w:color w:val="000000"/>
                <w:sz w:val="18"/>
                <w:szCs w:val="18"/>
                <w:lang w:eastAsia="en-AU"/>
              </w:rPr>
            </w:pPr>
            <w:r w:rsidRPr="00F830E6">
              <w:rPr>
                <w:sz w:val="18"/>
                <w:szCs w:val="18"/>
              </w:rPr>
              <w:t>57,355</w:t>
            </w:r>
          </w:p>
        </w:tc>
      </w:tr>
      <w:tr w:rsidR="00167E1F" w:rsidRPr="00C83162" w14:paraId="6E555D9A" w14:textId="77777777" w:rsidTr="00F830E6">
        <w:trPr>
          <w:trHeight w:val="284"/>
        </w:trPr>
        <w:tc>
          <w:tcPr>
            <w:tcW w:w="5497" w:type="dxa"/>
            <w:tcBorders>
              <w:top w:val="dotted" w:sz="4" w:space="0" w:color="auto"/>
              <w:left w:val="nil"/>
              <w:bottom w:val="dotted" w:sz="4" w:space="0" w:color="auto"/>
              <w:right w:val="nil"/>
            </w:tcBorders>
            <w:shd w:val="clear" w:color="auto" w:fill="auto"/>
            <w:noWrap/>
            <w:vAlign w:val="center"/>
            <w:hideMark/>
          </w:tcPr>
          <w:p w14:paraId="6831CEE2" w14:textId="77777777" w:rsidR="00167E1F" w:rsidRPr="00C83162" w:rsidRDefault="00167E1F" w:rsidP="00167E1F">
            <w:pPr>
              <w:spacing w:after="0" w:line="240" w:lineRule="auto"/>
              <w:rPr>
                <w:rFonts w:eastAsia="Times New Roman" w:cs="Arial"/>
                <w:b/>
                <w:bCs/>
                <w:color w:val="000000"/>
                <w:sz w:val="18"/>
                <w:szCs w:val="18"/>
                <w:lang w:eastAsia="en-AU"/>
              </w:rPr>
            </w:pPr>
            <w:r w:rsidRPr="00C83162">
              <w:rPr>
                <w:rFonts w:eastAsia="Times New Roman" w:cs="Arial"/>
                <w:b/>
                <w:bCs/>
                <w:color w:val="000000"/>
                <w:sz w:val="18"/>
                <w:szCs w:val="18"/>
                <w:lang w:eastAsia="en-AU"/>
              </w:rPr>
              <w:t>Total of cost decrease scenarios</w:t>
            </w:r>
          </w:p>
        </w:tc>
        <w:tc>
          <w:tcPr>
            <w:tcW w:w="1256" w:type="dxa"/>
            <w:tcBorders>
              <w:top w:val="dotted" w:sz="4" w:space="0" w:color="auto"/>
              <w:left w:val="nil"/>
              <w:bottom w:val="dotted" w:sz="4" w:space="0" w:color="auto"/>
              <w:right w:val="nil"/>
            </w:tcBorders>
            <w:shd w:val="clear" w:color="auto" w:fill="auto"/>
            <w:noWrap/>
            <w:vAlign w:val="center"/>
            <w:hideMark/>
          </w:tcPr>
          <w:p w14:paraId="59DA9B5A" w14:textId="77777777" w:rsidR="00167E1F" w:rsidRPr="00C83162" w:rsidRDefault="00167E1F" w:rsidP="00167E1F">
            <w:pPr>
              <w:spacing w:after="0" w:line="240" w:lineRule="auto"/>
              <w:jc w:val="right"/>
              <w:rPr>
                <w:rFonts w:eastAsia="Times New Roman" w:cs="Arial"/>
                <w:b/>
                <w:bCs/>
                <w:color w:val="000000"/>
                <w:sz w:val="18"/>
                <w:szCs w:val="18"/>
                <w:lang w:eastAsia="en-AU"/>
              </w:rPr>
            </w:pPr>
            <w:r w:rsidRPr="00C83162">
              <w:rPr>
                <w:rFonts w:eastAsia="Times New Roman" w:cs="Arial"/>
                <w:b/>
                <w:bCs/>
                <w:color w:val="000000"/>
                <w:sz w:val="18"/>
                <w:szCs w:val="18"/>
                <w:lang w:eastAsia="en-AU"/>
              </w:rPr>
              <w:t> </w:t>
            </w:r>
          </w:p>
        </w:tc>
        <w:tc>
          <w:tcPr>
            <w:tcW w:w="1256" w:type="dxa"/>
            <w:tcBorders>
              <w:top w:val="dotted" w:sz="4" w:space="0" w:color="auto"/>
              <w:left w:val="nil"/>
              <w:bottom w:val="dotted" w:sz="4" w:space="0" w:color="auto"/>
              <w:right w:val="nil"/>
            </w:tcBorders>
            <w:shd w:val="clear" w:color="auto" w:fill="auto"/>
            <w:noWrap/>
            <w:hideMark/>
          </w:tcPr>
          <w:p w14:paraId="3286B113" w14:textId="77777777" w:rsidR="00167E1F" w:rsidRPr="00167E1F" w:rsidRDefault="00167E1F" w:rsidP="00167E1F">
            <w:pPr>
              <w:spacing w:after="0" w:line="240" w:lineRule="auto"/>
              <w:jc w:val="right"/>
              <w:rPr>
                <w:rFonts w:eastAsia="Times New Roman" w:cs="Arial"/>
                <w:b/>
                <w:bCs/>
                <w:color w:val="000000"/>
                <w:sz w:val="18"/>
                <w:szCs w:val="18"/>
                <w:lang w:eastAsia="en-AU"/>
              </w:rPr>
            </w:pPr>
            <w:r w:rsidRPr="00F830E6">
              <w:rPr>
                <w:sz w:val="18"/>
                <w:szCs w:val="18"/>
              </w:rPr>
              <w:t>38,296</w:t>
            </w:r>
          </w:p>
        </w:tc>
        <w:tc>
          <w:tcPr>
            <w:tcW w:w="1256" w:type="dxa"/>
            <w:tcBorders>
              <w:top w:val="dotted" w:sz="4" w:space="0" w:color="auto"/>
              <w:left w:val="nil"/>
              <w:bottom w:val="dotted" w:sz="4" w:space="0" w:color="auto"/>
              <w:right w:val="nil"/>
            </w:tcBorders>
            <w:shd w:val="clear" w:color="auto" w:fill="auto"/>
            <w:noWrap/>
            <w:hideMark/>
          </w:tcPr>
          <w:p w14:paraId="7443F686" w14:textId="77777777" w:rsidR="00167E1F" w:rsidRPr="00167E1F" w:rsidRDefault="00167E1F" w:rsidP="00167E1F">
            <w:pPr>
              <w:spacing w:after="0" w:line="240" w:lineRule="auto"/>
              <w:jc w:val="right"/>
              <w:rPr>
                <w:rFonts w:eastAsia="Times New Roman" w:cs="Arial"/>
                <w:b/>
                <w:bCs/>
                <w:color w:val="000000"/>
                <w:sz w:val="18"/>
                <w:szCs w:val="18"/>
                <w:lang w:eastAsia="en-AU"/>
              </w:rPr>
            </w:pPr>
            <w:r w:rsidRPr="00F830E6">
              <w:rPr>
                <w:sz w:val="18"/>
                <w:szCs w:val="18"/>
              </w:rPr>
              <w:t>49,931</w:t>
            </w:r>
          </w:p>
        </w:tc>
      </w:tr>
      <w:tr w:rsidR="00167E1F" w:rsidRPr="00C83162" w14:paraId="72EC365F" w14:textId="77777777" w:rsidTr="00F830E6">
        <w:trPr>
          <w:trHeight w:val="284"/>
        </w:trPr>
        <w:tc>
          <w:tcPr>
            <w:tcW w:w="5497" w:type="dxa"/>
            <w:tcBorders>
              <w:top w:val="nil"/>
              <w:left w:val="nil"/>
              <w:bottom w:val="single" w:sz="4" w:space="0" w:color="auto"/>
              <w:right w:val="nil"/>
            </w:tcBorders>
            <w:shd w:val="clear" w:color="auto" w:fill="auto"/>
            <w:noWrap/>
            <w:vAlign w:val="center"/>
            <w:hideMark/>
          </w:tcPr>
          <w:p w14:paraId="5BF4BE93" w14:textId="77777777" w:rsidR="00167E1F" w:rsidRPr="00C83162" w:rsidRDefault="00167E1F" w:rsidP="00167E1F">
            <w:pPr>
              <w:spacing w:after="0" w:line="240" w:lineRule="auto"/>
              <w:rPr>
                <w:rFonts w:eastAsia="Times New Roman" w:cs="Arial"/>
                <w:b/>
                <w:bCs/>
                <w:color w:val="000000"/>
                <w:sz w:val="18"/>
                <w:szCs w:val="18"/>
                <w:lang w:eastAsia="en-AU"/>
              </w:rPr>
            </w:pPr>
            <w:r w:rsidRPr="00C83162">
              <w:rPr>
                <w:rFonts w:eastAsia="Times New Roman" w:cs="Arial"/>
                <w:b/>
                <w:bCs/>
                <w:color w:val="000000"/>
                <w:sz w:val="18"/>
                <w:szCs w:val="18"/>
                <w:lang w:eastAsia="en-AU"/>
              </w:rPr>
              <w:t>Plausible low case (variance)</w:t>
            </w:r>
          </w:p>
        </w:tc>
        <w:tc>
          <w:tcPr>
            <w:tcW w:w="1256" w:type="dxa"/>
            <w:tcBorders>
              <w:top w:val="nil"/>
              <w:left w:val="nil"/>
              <w:bottom w:val="single" w:sz="4" w:space="0" w:color="auto"/>
              <w:right w:val="nil"/>
            </w:tcBorders>
            <w:shd w:val="clear" w:color="auto" w:fill="auto"/>
            <w:noWrap/>
            <w:vAlign w:val="center"/>
            <w:hideMark/>
          </w:tcPr>
          <w:p w14:paraId="57400151" w14:textId="77777777" w:rsidR="00167E1F" w:rsidRPr="00C83162" w:rsidRDefault="00167E1F" w:rsidP="00167E1F">
            <w:pPr>
              <w:spacing w:after="0" w:line="240" w:lineRule="auto"/>
              <w:jc w:val="right"/>
              <w:rPr>
                <w:rFonts w:eastAsia="Times New Roman" w:cs="Arial"/>
                <w:b/>
                <w:bCs/>
                <w:color w:val="000000"/>
                <w:sz w:val="18"/>
                <w:szCs w:val="18"/>
                <w:lang w:eastAsia="en-AU"/>
              </w:rPr>
            </w:pPr>
            <w:r w:rsidRPr="00C83162">
              <w:rPr>
                <w:rFonts w:eastAsia="Times New Roman" w:cs="Arial"/>
                <w:b/>
                <w:bCs/>
                <w:color w:val="000000"/>
                <w:sz w:val="18"/>
                <w:szCs w:val="18"/>
                <w:lang w:eastAsia="en-AU"/>
              </w:rPr>
              <w:t> </w:t>
            </w:r>
          </w:p>
        </w:tc>
        <w:tc>
          <w:tcPr>
            <w:tcW w:w="1256" w:type="dxa"/>
            <w:tcBorders>
              <w:top w:val="nil"/>
              <w:left w:val="nil"/>
              <w:bottom w:val="single" w:sz="4" w:space="0" w:color="auto"/>
              <w:right w:val="nil"/>
            </w:tcBorders>
            <w:shd w:val="clear" w:color="auto" w:fill="auto"/>
            <w:noWrap/>
            <w:hideMark/>
          </w:tcPr>
          <w:p w14:paraId="4D7F5A30" w14:textId="77777777" w:rsidR="00167E1F" w:rsidRPr="00167E1F" w:rsidRDefault="00167E1F" w:rsidP="00167E1F">
            <w:pPr>
              <w:spacing w:after="0" w:line="240" w:lineRule="auto"/>
              <w:jc w:val="right"/>
              <w:rPr>
                <w:rFonts w:eastAsia="Times New Roman" w:cs="Arial"/>
                <w:b/>
                <w:bCs/>
                <w:color w:val="000000"/>
                <w:sz w:val="18"/>
                <w:szCs w:val="18"/>
                <w:lang w:eastAsia="en-AU"/>
              </w:rPr>
            </w:pPr>
            <w:r w:rsidRPr="00F830E6">
              <w:rPr>
                <w:sz w:val="18"/>
                <w:szCs w:val="18"/>
              </w:rPr>
              <w:t>38,970</w:t>
            </w:r>
          </w:p>
        </w:tc>
        <w:tc>
          <w:tcPr>
            <w:tcW w:w="1256" w:type="dxa"/>
            <w:tcBorders>
              <w:top w:val="nil"/>
              <w:left w:val="nil"/>
              <w:bottom w:val="single" w:sz="4" w:space="0" w:color="auto"/>
              <w:right w:val="nil"/>
            </w:tcBorders>
            <w:shd w:val="clear" w:color="auto" w:fill="auto"/>
            <w:noWrap/>
            <w:hideMark/>
          </w:tcPr>
          <w:p w14:paraId="29B3D482" w14:textId="77777777" w:rsidR="00167E1F" w:rsidRPr="00167E1F" w:rsidRDefault="00167E1F" w:rsidP="00167E1F">
            <w:pPr>
              <w:spacing w:after="0" w:line="240" w:lineRule="auto"/>
              <w:jc w:val="right"/>
              <w:rPr>
                <w:rFonts w:eastAsia="Times New Roman" w:cs="Arial"/>
                <w:b/>
                <w:bCs/>
                <w:color w:val="000000"/>
                <w:sz w:val="18"/>
                <w:szCs w:val="18"/>
                <w:lang w:eastAsia="en-AU"/>
              </w:rPr>
            </w:pPr>
            <w:r w:rsidRPr="00F830E6">
              <w:rPr>
                <w:sz w:val="18"/>
                <w:szCs w:val="18"/>
              </w:rPr>
              <w:t>53,159</w:t>
            </w:r>
          </w:p>
        </w:tc>
      </w:tr>
    </w:tbl>
    <w:p w14:paraId="6AEECEB9" w14:textId="77777777" w:rsidR="00AE6E60" w:rsidRDefault="00AE6E60" w:rsidP="00AE6E60"/>
    <w:p w14:paraId="667D84EB" w14:textId="77777777" w:rsidR="00DA3375" w:rsidRDefault="00DA3375" w:rsidP="00033202">
      <w:pPr>
        <w:spacing w:after="160" w:line="259" w:lineRule="auto"/>
        <w:jc w:val="both"/>
      </w:pPr>
      <w:r>
        <w:br w:type="page"/>
      </w:r>
    </w:p>
    <w:p w14:paraId="786112FE" w14:textId="77777777" w:rsidR="00251F21" w:rsidRDefault="00251F21" w:rsidP="00251F21">
      <w:pPr>
        <w:pStyle w:val="Heading2"/>
        <w:numPr>
          <w:ilvl w:val="0"/>
          <w:numId w:val="0"/>
        </w:numPr>
        <w:ind w:left="2835" w:hanging="2835"/>
      </w:pPr>
      <w:bookmarkStart w:id="453" w:name="_Toc118460230"/>
      <w:r>
        <w:lastRenderedPageBreak/>
        <w:t>Appendix G</w:t>
      </w:r>
      <w:r w:rsidRPr="00FB0F9F">
        <w:t>:</w:t>
      </w:r>
      <w:r>
        <w:tab/>
        <w:t>Scenario analysis of participant numbers</w:t>
      </w:r>
      <w:bookmarkEnd w:id="453"/>
    </w:p>
    <w:p w14:paraId="3F22A27E" w14:textId="77777777" w:rsidR="00251F21" w:rsidRPr="00DA3F73" w:rsidRDefault="00251F21">
      <w:pPr>
        <w:pStyle w:val="FSRnormal"/>
      </w:pPr>
      <w:r w:rsidRPr="00251F21">
        <w:t>The projections prese</w:t>
      </w:r>
      <w:r w:rsidRPr="00DA3F73">
        <w:rPr>
          <w:rStyle w:val="FSRnormalChar"/>
          <w:lang w:val="en-AU"/>
        </w:rPr>
        <w:t>nted in Section 5 of this report represent the “baseline” estimate of Scheme population. The appendix shows the</w:t>
      </w:r>
      <w:r w:rsidRPr="00251F21">
        <w:t xml:space="preserve"> impact on participant numbers for the scenarios</w:t>
      </w:r>
      <w:r w:rsidR="00CE08A9">
        <w:t xml:space="preserve"> detailed</w:t>
      </w:r>
      <w:r w:rsidRPr="00251F21">
        <w:t xml:space="preserve"> in </w:t>
      </w:r>
      <w:r w:rsidR="0016696D">
        <w:t>S</w:t>
      </w:r>
      <w:r w:rsidRPr="00251F21">
        <w:t xml:space="preserve">ection 6.1 of the report. The participant projections corresponding </w:t>
      </w:r>
      <w:r w:rsidR="00810720">
        <w:t xml:space="preserve">to </w:t>
      </w:r>
      <w:r w:rsidRPr="00251F21">
        <w:t>each scenario ha</w:t>
      </w:r>
      <w:r w:rsidR="00E51631">
        <w:t xml:space="preserve">ve </w:t>
      </w:r>
      <w:r w:rsidRPr="00251F21">
        <w:t xml:space="preserve">been split by existing participants and new participants, and in total. The total Scheme projection of participants </w:t>
      </w:r>
      <w:r w:rsidR="00CE08A9">
        <w:t xml:space="preserve">is </w:t>
      </w:r>
      <w:r w:rsidRPr="00251F21">
        <w:t xml:space="preserve">split between existing participants and new entrants (from 1 July 2022 onwards) is shown in </w:t>
      </w:r>
      <w:r w:rsidR="00B613F8" w:rsidRPr="00567D0B">
        <w:t xml:space="preserve">Table </w:t>
      </w:r>
      <w:r w:rsidR="00B613F8">
        <w:t>G.</w:t>
      </w:r>
      <w:r w:rsidR="00B613F8">
        <w:rPr>
          <w:noProof/>
        </w:rPr>
        <w:t>1</w:t>
      </w:r>
      <w:r w:rsidRPr="00251F21">
        <w:t>.</w:t>
      </w:r>
    </w:p>
    <w:p w14:paraId="2EC09E4E" w14:textId="77777777" w:rsidR="00251F21" w:rsidRPr="00567D0B" w:rsidRDefault="00251F21" w:rsidP="00251F21">
      <w:pPr>
        <w:pStyle w:val="Tables"/>
        <w:keepLines/>
        <w:rPr>
          <w:iCs/>
        </w:rPr>
      </w:pPr>
      <w:bookmarkStart w:id="454" w:name="_Ref114217233"/>
      <w:bookmarkStart w:id="455" w:name="_Ref114214510"/>
      <w:r w:rsidRPr="00567D0B">
        <w:t xml:space="preserve">Table </w:t>
      </w:r>
      <w:r>
        <w:t>G</w:t>
      </w:r>
      <w:r w:rsidR="00A87896">
        <w:t>.</w:t>
      </w:r>
      <w:fldSimple w:instr=" SEQ Table \* ARABIC \s 2 ">
        <w:r w:rsidR="00A87896">
          <w:rPr>
            <w:noProof/>
          </w:rPr>
          <w:t>1</w:t>
        </w:r>
      </w:fldSimple>
      <w:bookmarkEnd w:id="454"/>
      <w:r>
        <w:t xml:space="preserve">: </w:t>
      </w:r>
      <w:r w:rsidRPr="00567D0B">
        <w:t xml:space="preserve">Split of participant </w:t>
      </w:r>
      <w:r w:rsidR="00604F1A">
        <w:t>number</w:t>
      </w:r>
      <w:r w:rsidRPr="00567D0B">
        <w:t>s between existing and new participants</w:t>
      </w:r>
      <w:bookmarkEnd w:id="455"/>
      <w:r w:rsidRPr="00567D0B">
        <w:t xml:space="preserve">  </w:t>
      </w:r>
    </w:p>
    <w:tbl>
      <w:tblPr>
        <w:tblW w:w="4947" w:type="pct"/>
        <w:tblLayout w:type="fixed"/>
        <w:tblLook w:val="04A0" w:firstRow="1" w:lastRow="0" w:firstColumn="1" w:lastColumn="0" w:noHBand="0" w:noVBand="1"/>
      </w:tblPr>
      <w:tblGrid>
        <w:gridCol w:w="2839"/>
        <w:gridCol w:w="993"/>
        <w:gridCol w:w="991"/>
        <w:gridCol w:w="991"/>
        <w:gridCol w:w="991"/>
        <w:gridCol w:w="993"/>
        <w:gridCol w:w="1132"/>
      </w:tblGrid>
      <w:tr w:rsidR="005C4B17" w:rsidRPr="00CE08A9" w14:paraId="6784ED01" w14:textId="77777777" w:rsidTr="00F830E6">
        <w:trPr>
          <w:trHeight w:val="245"/>
          <w:tblHeader/>
        </w:trPr>
        <w:tc>
          <w:tcPr>
            <w:tcW w:w="1589" w:type="pct"/>
            <w:shd w:val="clear" w:color="000000" w:fill="6B2F76"/>
            <w:vAlign w:val="center"/>
            <w:hideMark/>
          </w:tcPr>
          <w:p w14:paraId="2E85EAB5" w14:textId="77777777" w:rsidR="005C4B17" w:rsidRPr="00CE08A9" w:rsidRDefault="005C4B17" w:rsidP="005C4B17">
            <w:pPr>
              <w:spacing w:after="0"/>
              <w:rPr>
                <w:rFonts w:cs="Arial"/>
                <w:b/>
                <w:color w:val="FFFFFF"/>
                <w:sz w:val="20"/>
                <w:szCs w:val="20"/>
              </w:rPr>
            </w:pPr>
            <w:r w:rsidRPr="00CE08A9">
              <w:rPr>
                <w:rFonts w:cs="Arial"/>
                <w:b/>
                <w:color w:val="FFFFFF"/>
                <w:sz w:val="20"/>
                <w:szCs w:val="20"/>
              </w:rPr>
              <w:t xml:space="preserve">Participant Numbers </w:t>
            </w:r>
          </w:p>
        </w:tc>
        <w:tc>
          <w:tcPr>
            <w:tcW w:w="556" w:type="pct"/>
            <w:shd w:val="clear" w:color="000000" w:fill="6B2F76"/>
            <w:vAlign w:val="center"/>
          </w:tcPr>
          <w:p w14:paraId="6289E975" w14:textId="77777777" w:rsidR="005C4B17" w:rsidRPr="00BE0460" w:rsidRDefault="005C4B17">
            <w:pPr>
              <w:spacing w:after="0"/>
              <w:jc w:val="right"/>
              <w:rPr>
                <w:rFonts w:cs="Arial"/>
                <w:b/>
                <w:color w:val="FFFFFF" w:themeColor="background1"/>
                <w:sz w:val="20"/>
                <w:szCs w:val="20"/>
              </w:rPr>
            </w:pPr>
            <w:r w:rsidRPr="00CC4D26">
              <w:rPr>
                <w:rFonts w:cs="Arial"/>
                <w:b/>
                <w:color w:val="FFFFFF" w:themeColor="background1"/>
                <w:sz w:val="20"/>
                <w:szCs w:val="20"/>
              </w:rPr>
              <w:t>Jun-22</w:t>
            </w:r>
          </w:p>
        </w:tc>
        <w:tc>
          <w:tcPr>
            <w:tcW w:w="555" w:type="pct"/>
            <w:shd w:val="clear" w:color="000000" w:fill="6B2F76"/>
            <w:noWrap/>
            <w:vAlign w:val="center"/>
            <w:hideMark/>
          </w:tcPr>
          <w:p w14:paraId="5FCE2730" w14:textId="77777777" w:rsidR="005C4B17" w:rsidRPr="00CE08A9" w:rsidRDefault="005C4B17">
            <w:pPr>
              <w:spacing w:after="0"/>
              <w:jc w:val="right"/>
              <w:rPr>
                <w:rFonts w:cs="Arial"/>
                <w:b/>
                <w:color w:val="FFFFFF" w:themeColor="background1"/>
                <w:sz w:val="20"/>
                <w:szCs w:val="20"/>
              </w:rPr>
            </w:pPr>
            <w:r w:rsidRPr="00CE08A9">
              <w:rPr>
                <w:rFonts w:cs="Arial"/>
                <w:b/>
                <w:color w:val="FFFFFF" w:themeColor="background1"/>
                <w:sz w:val="20"/>
                <w:szCs w:val="20"/>
              </w:rPr>
              <w:t>Jun-23</w:t>
            </w:r>
          </w:p>
        </w:tc>
        <w:tc>
          <w:tcPr>
            <w:tcW w:w="555" w:type="pct"/>
            <w:shd w:val="clear" w:color="000000" w:fill="6B2F76"/>
            <w:noWrap/>
            <w:vAlign w:val="center"/>
            <w:hideMark/>
          </w:tcPr>
          <w:p w14:paraId="02C235AE" w14:textId="77777777" w:rsidR="005C4B17" w:rsidRPr="00CE08A9" w:rsidRDefault="005C4B17">
            <w:pPr>
              <w:spacing w:after="0"/>
              <w:jc w:val="right"/>
              <w:rPr>
                <w:rFonts w:cs="Arial"/>
                <w:b/>
                <w:color w:val="FFFFFF" w:themeColor="background1"/>
                <w:sz w:val="20"/>
                <w:szCs w:val="20"/>
              </w:rPr>
            </w:pPr>
            <w:r w:rsidRPr="00CE08A9">
              <w:rPr>
                <w:rFonts w:cs="Arial"/>
                <w:b/>
                <w:color w:val="FFFFFF" w:themeColor="background1"/>
                <w:sz w:val="20"/>
                <w:szCs w:val="20"/>
              </w:rPr>
              <w:t>Jun-24</w:t>
            </w:r>
          </w:p>
        </w:tc>
        <w:tc>
          <w:tcPr>
            <w:tcW w:w="555" w:type="pct"/>
            <w:shd w:val="clear" w:color="000000" w:fill="6B2F76"/>
            <w:noWrap/>
            <w:vAlign w:val="center"/>
            <w:hideMark/>
          </w:tcPr>
          <w:p w14:paraId="6F92147F" w14:textId="77777777" w:rsidR="005C4B17" w:rsidRPr="00CE08A9" w:rsidRDefault="005C4B17">
            <w:pPr>
              <w:spacing w:after="0"/>
              <w:jc w:val="right"/>
              <w:rPr>
                <w:rFonts w:cs="Arial"/>
                <w:b/>
                <w:color w:val="FFFFFF" w:themeColor="background1"/>
                <w:sz w:val="20"/>
                <w:szCs w:val="20"/>
              </w:rPr>
            </w:pPr>
            <w:r w:rsidRPr="00CE08A9">
              <w:rPr>
                <w:rFonts w:cs="Arial"/>
                <w:b/>
                <w:color w:val="FFFFFF" w:themeColor="background1"/>
                <w:sz w:val="20"/>
                <w:szCs w:val="20"/>
              </w:rPr>
              <w:t>Jun-25</w:t>
            </w:r>
          </w:p>
        </w:tc>
        <w:tc>
          <w:tcPr>
            <w:tcW w:w="556" w:type="pct"/>
            <w:tcBorders>
              <w:right w:val="dotted" w:sz="4" w:space="0" w:color="auto"/>
            </w:tcBorders>
            <w:shd w:val="clear" w:color="000000" w:fill="6B2F76"/>
            <w:noWrap/>
            <w:vAlign w:val="center"/>
            <w:hideMark/>
          </w:tcPr>
          <w:p w14:paraId="5229467F" w14:textId="77777777" w:rsidR="005C4B17" w:rsidRPr="00CE08A9" w:rsidRDefault="005C4B17">
            <w:pPr>
              <w:spacing w:after="0"/>
              <w:jc w:val="right"/>
              <w:rPr>
                <w:rFonts w:cs="Arial"/>
                <w:b/>
                <w:color w:val="FFFFFF" w:themeColor="background1"/>
                <w:sz w:val="20"/>
                <w:szCs w:val="20"/>
              </w:rPr>
            </w:pPr>
            <w:r w:rsidRPr="00CE08A9">
              <w:rPr>
                <w:rFonts w:cs="Arial"/>
                <w:b/>
                <w:color w:val="FFFFFF" w:themeColor="background1"/>
                <w:sz w:val="20"/>
                <w:szCs w:val="20"/>
              </w:rPr>
              <w:t>Jun-26</w:t>
            </w:r>
          </w:p>
        </w:tc>
        <w:tc>
          <w:tcPr>
            <w:tcW w:w="634" w:type="pct"/>
            <w:tcBorders>
              <w:left w:val="dotted" w:sz="4" w:space="0" w:color="auto"/>
            </w:tcBorders>
            <w:shd w:val="clear" w:color="000000" w:fill="6B2F76"/>
            <w:vAlign w:val="center"/>
          </w:tcPr>
          <w:p w14:paraId="1482585F" w14:textId="77777777" w:rsidR="005C4B17" w:rsidRPr="00CE08A9" w:rsidRDefault="005C4B17">
            <w:pPr>
              <w:spacing w:after="0"/>
              <w:jc w:val="right"/>
              <w:rPr>
                <w:rFonts w:cs="Arial"/>
                <w:b/>
                <w:color w:val="FFFFFF" w:themeColor="background1"/>
                <w:sz w:val="20"/>
                <w:szCs w:val="20"/>
              </w:rPr>
            </w:pPr>
            <w:r w:rsidRPr="00F830E6">
              <w:rPr>
                <w:b/>
                <w:color w:val="FFFFFF" w:themeColor="background1"/>
                <w:sz w:val="20"/>
                <w:szCs w:val="20"/>
              </w:rPr>
              <w:t>Jun-32</w:t>
            </w:r>
          </w:p>
        </w:tc>
      </w:tr>
      <w:tr w:rsidR="005C4B17" w:rsidRPr="00CE08A9" w14:paraId="56A346FE" w14:textId="77777777" w:rsidTr="00F830E6">
        <w:trPr>
          <w:trHeight w:val="185"/>
        </w:trPr>
        <w:tc>
          <w:tcPr>
            <w:tcW w:w="1589" w:type="pct"/>
            <w:shd w:val="clear" w:color="auto" w:fill="auto"/>
            <w:noWrap/>
            <w:vAlign w:val="center"/>
            <w:hideMark/>
          </w:tcPr>
          <w:p w14:paraId="71853DEA" w14:textId="77777777" w:rsidR="005C4B17" w:rsidRPr="00CE08A9" w:rsidRDefault="005C4B17">
            <w:pPr>
              <w:spacing w:after="0"/>
              <w:rPr>
                <w:rFonts w:cs="Arial"/>
                <w:color w:val="000000"/>
                <w:sz w:val="20"/>
                <w:szCs w:val="20"/>
              </w:rPr>
            </w:pPr>
            <w:r w:rsidRPr="00CE08A9">
              <w:rPr>
                <w:rFonts w:cs="Arial"/>
                <w:color w:val="000000"/>
                <w:sz w:val="20"/>
                <w:szCs w:val="20"/>
              </w:rPr>
              <w:t>Existing participants</w:t>
            </w:r>
          </w:p>
        </w:tc>
        <w:tc>
          <w:tcPr>
            <w:tcW w:w="556" w:type="pct"/>
            <w:vAlign w:val="center"/>
          </w:tcPr>
          <w:p w14:paraId="1FA53232" w14:textId="77777777" w:rsidR="005C4B17" w:rsidRPr="00BE0460" w:rsidRDefault="005C4B17">
            <w:pPr>
              <w:spacing w:after="0"/>
              <w:jc w:val="right"/>
              <w:rPr>
                <w:rFonts w:cs="Arial"/>
                <w:sz w:val="20"/>
                <w:szCs w:val="20"/>
              </w:rPr>
            </w:pPr>
            <w:r w:rsidRPr="00CC4D26">
              <w:rPr>
                <w:rFonts w:cs="Arial"/>
                <w:sz w:val="20"/>
                <w:szCs w:val="20"/>
              </w:rPr>
              <w:t>534,655</w:t>
            </w:r>
          </w:p>
        </w:tc>
        <w:tc>
          <w:tcPr>
            <w:tcW w:w="555" w:type="pct"/>
            <w:shd w:val="clear" w:color="auto" w:fill="auto"/>
            <w:noWrap/>
            <w:vAlign w:val="center"/>
            <w:hideMark/>
          </w:tcPr>
          <w:p w14:paraId="1F836921" w14:textId="77777777" w:rsidR="005C4B17" w:rsidRPr="00CE08A9" w:rsidRDefault="005C4B17">
            <w:pPr>
              <w:spacing w:after="0"/>
              <w:jc w:val="right"/>
              <w:rPr>
                <w:rFonts w:cs="Arial"/>
                <w:color w:val="000000"/>
                <w:sz w:val="20"/>
                <w:szCs w:val="20"/>
              </w:rPr>
            </w:pPr>
            <w:r w:rsidRPr="00F830E6">
              <w:rPr>
                <w:sz w:val="20"/>
                <w:szCs w:val="20"/>
              </w:rPr>
              <w:t>521,547</w:t>
            </w:r>
          </w:p>
        </w:tc>
        <w:tc>
          <w:tcPr>
            <w:tcW w:w="555" w:type="pct"/>
            <w:shd w:val="clear" w:color="auto" w:fill="auto"/>
            <w:noWrap/>
            <w:vAlign w:val="center"/>
            <w:hideMark/>
          </w:tcPr>
          <w:p w14:paraId="0F64DCF9" w14:textId="77777777" w:rsidR="005C4B17" w:rsidRPr="00CE08A9" w:rsidRDefault="005C4B17">
            <w:pPr>
              <w:spacing w:after="0"/>
              <w:jc w:val="right"/>
              <w:rPr>
                <w:rFonts w:cs="Arial"/>
                <w:color w:val="000000"/>
                <w:sz w:val="20"/>
                <w:szCs w:val="20"/>
              </w:rPr>
            </w:pPr>
            <w:r w:rsidRPr="00F830E6">
              <w:rPr>
                <w:sz w:val="20"/>
                <w:szCs w:val="20"/>
              </w:rPr>
              <w:t>507,074</w:t>
            </w:r>
          </w:p>
        </w:tc>
        <w:tc>
          <w:tcPr>
            <w:tcW w:w="555" w:type="pct"/>
            <w:shd w:val="clear" w:color="auto" w:fill="auto"/>
            <w:noWrap/>
            <w:vAlign w:val="center"/>
            <w:hideMark/>
          </w:tcPr>
          <w:p w14:paraId="2B7E08F6" w14:textId="77777777" w:rsidR="005C4B17" w:rsidRPr="00CE08A9" w:rsidRDefault="005C4B17">
            <w:pPr>
              <w:spacing w:after="0"/>
              <w:jc w:val="right"/>
              <w:rPr>
                <w:rFonts w:cs="Arial"/>
                <w:color w:val="000000"/>
                <w:sz w:val="20"/>
                <w:szCs w:val="20"/>
              </w:rPr>
            </w:pPr>
            <w:r w:rsidRPr="00F830E6">
              <w:rPr>
                <w:sz w:val="20"/>
                <w:szCs w:val="20"/>
              </w:rPr>
              <w:t>493,631</w:t>
            </w:r>
          </w:p>
        </w:tc>
        <w:tc>
          <w:tcPr>
            <w:tcW w:w="556" w:type="pct"/>
            <w:tcBorders>
              <w:right w:val="dotted" w:sz="4" w:space="0" w:color="auto"/>
            </w:tcBorders>
            <w:shd w:val="clear" w:color="auto" w:fill="auto"/>
            <w:noWrap/>
            <w:vAlign w:val="center"/>
            <w:hideMark/>
          </w:tcPr>
          <w:p w14:paraId="1D2A8A4E" w14:textId="77777777" w:rsidR="005C4B17" w:rsidRPr="00CE08A9" w:rsidRDefault="005C4B17">
            <w:pPr>
              <w:spacing w:after="0"/>
              <w:jc w:val="right"/>
              <w:rPr>
                <w:rFonts w:cs="Arial"/>
                <w:color w:val="000000"/>
                <w:sz w:val="20"/>
                <w:szCs w:val="20"/>
              </w:rPr>
            </w:pPr>
            <w:r w:rsidRPr="00F830E6">
              <w:rPr>
                <w:sz w:val="20"/>
                <w:szCs w:val="20"/>
              </w:rPr>
              <w:t>481,543</w:t>
            </w:r>
          </w:p>
        </w:tc>
        <w:tc>
          <w:tcPr>
            <w:tcW w:w="634" w:type="pct"/>
            <w:tcBorders>
              <w:left w:val="dotted" w:sz="4" w:space="0" w:color="auto"/>
            </w:tcBorders>
            <w:vAlign w:val="center"/>
          </w:tcPr>
          <w:p w14:paraId="04088A03" w14:textId="77777777" w:rsidR="005C4B17" w:rsidRPr="00F830E6" w:rsidRDefault="005C4B17">
            <w:pPr>
              <w:spacing w:after="0"/>
              <w:jc w:val="right"/>
              <w:rPr>
                <w:color w:val="000000" w:themeColor="text1"/>
                <w:sz w:val="20"/>
                <w:szCs w:val="20"/>
              </w:rPr>
            </w:pPr>
            <w:r w:rsidRPr="00F830E6">
              <w:rPr>
                <w:color w:val="000000" w:themeColor="text1"/>
                <w:sz w:val="20"/>
                <w:szCs w:val="20"/>
              </w:rPr>
              <w:t>427,039</w:t>
            </w:r>
          </w:p>
        </w:tc>
      </w:tr>
      <w:tr w:rsidR="005C4B17" w:rsidRPr="00CE08A9" w14:paraId="6E9EF04E" w14:textId="77777777" w:rsidTr="00F830E6">
        <w:trPr>
          <w:trHeight w:val="185"/>
        </w:trPr>
        <w:tc>
          <w:tcPr>
            <w:tcW w:w="1589" w:type="pct"/>
            <w:tcBorders>
              <w:bottom w:val="single" w:sz="4" w:space="0" w:color="auto"/>
            </w:tcBorders>
            <w:shd w:val="clear" w:color="auto" w:fill="BFBFBF" w:themeFill="background1" w:themeFillShade="BF"/>
            <w:noWrap/>
            <w:vAlign w:val="center"/>
            <w:hideMark/>
          </w:tcPr>
          <w:p w14:paraId="50E75710" w14:textId="77777777" w:rsidR="005C4B17" w:rsidRPr="00CE08A9" w:rsidRDefault="00DE10A3" w:rsidP="005C4B17">
            <w:pPr>
              <w:spacing w:after="0"/>
              <w:rPr>
                <w:rFonts w:cs="Arial"/>
                <w:color w:val="000000"/>
                <w:sz w:val="20"/>
                <w:szCs w:val="20"/>
              </w:rPr>
            </w:pPr>
            <w:r w:rsidRPr="00CE08A9">
              <w:rPr>
                <w:rFonts w:cs="Arial"/>
                <w:color w:val="000000"/>
                <w:sz w:val="20"/>
                <w:szCs w:val="20"/>
              </w:rPr>
              <w:t>New Participants</w:t>
            </w:r>
          </w:p>
        </w:tc>
        <w:tc>
          <w:tcPr>
            <w:tcW w:w="556" w:type="pct"/>
            <w:tcBorders>
              <w:bottom w:val="single" w:sz="4" w:space="0" w:color="auto"/>
            </w:tcBorders>
            <w:shd w:val="clear" w:color="auto" w:fill="BFBFBF" w:themeFill="background1" w:themeFillShade="BF"/>
            <w:vAlign w:val="center"/>
          </w:tcPr>
          <w:p w14:paraId="5603E404" w14:textId="77777777" w:rsidR="005C4B17" w:rsidRPr="0028199D" w:rsidRDefault="005C4B17">
            <w:pPr>
              <w:spacing w:after="0"/>
              <w:jc w:val="right"/>
              <w:rPr>
                <w:rFonts w:cs="Arial"/>
                <w:sz w:val="20"/>
                <w:szCs w:val="20"/>
              </w:rPr>
            </w:pPr>
            <w:r w:rsidRPr="00CC4D26">
              <w:rPr>
                <w:rFonts w:cs="Arial"/>
                <w:sz w:val="20"/>
                <w:szCs w:val="20"/>
              </w:rPr>
              <w:t>0</w:t>
            </w:r>
          </w:p>
        </w:tc>
        <w:tc>
          <w:tcPr>
            <w:tcW w:w="555" w:type="pct"/>
            <w:tcBorders>
              <w:bottom w:val="single" w:sz="4" w:space="0" w:color="auto"/>
            </w:tcBorders>
            <w:shd w:val="clear" w:color="auto" w:fill="BFBFBF" w:themeFill="background1" w:themeFillShade="BF"/>
            <w:noWrap/>
            <w:vAlign w:val="center"/>
            <w:hideMark/>
          </w:tcPr>
          <w:p w14:paraId="6E4F5A2C" w14:textId="77777777" w:rsidR="005C4B17" w:rsidRPr="00CE08A9" w:rsidRDefault="005C4B17">
            <w:pPr>
              <w:spacing w:after="0"/>
              <w:jc w:val="right"/>
              <w:rPr>
                <w:rFonts w:cs="Arial"/>
                <w:color w:val="000000"/>
                <w:sz w:val="20"/>
                <w:szCs w:val="20"/>
              </w:rPr>
            </w:pPr>
            <w:r w:rsidRPr="00F830E6">
              <w:rPr>
                <w:sz w:val="20"/>
                <w:szCs w:val="20"/>
              </w:rPr>
              <w:t>70,747</w:t>
            </w:r>
          </w:p>
        </w:tc>
        <w:tc>
          <w:tcPr>
            <w:tcW w:w="555" w:type="pct"/>
            <w:tcBorders>
              <w:bottom w:val="single" w:sz="4" w:space="0" w:color="auto"/>
            </w:tcBorders>
            <w:shd w:val="clear" w:color="auto" w:fill="BFBFBF" w:themeFill="background1" w:themeFillShade="BF"/>
            <w:noWrap/>
            <w:vAlign w:val="center"/>
            <w:hideMark/>
          </w:tcPr>
          <w:p w14:paraId="75433953" w14:textId="77777777" w:rsidR="005C4B17" w:rsidRPr="00CE08A9" w:rsidRDefault="005C4B17">
            <w:pPr>
              <w:spacing w:after="0"/>
              <w:jc w:val="right"/>
              <w:rPr>
                <w:rFonts w:cs="Arial"/>
                <w:color w:val="000000"/>
                <w:sz w:val="20"/>
                <w:szCs w:val="20"/>
              </w:rPr>
            </w:pPr>
            <w:r w:rsidRPr="00F830E6">
              <w:rPr>
                <w:sz w:val="20"/>
                <w:szCs w:val="20"/>
              </w:rPr>
              <w:t>138,938</w:t>
            </w:r>
          </w:p>
        </w:tc>
        <w:tc>
          <w:tcPr>
            <w:tcW w:w="555" w:type="pct"/>
            <w:tcBorders>
              <w:bottom w:val="single" w:sz="4" w:space="0" w:color="auto"/>
            </w:tcBorders>
            <w:shd w:val="clear" w:color="auto" w:fill="BFBFBF" w:themeFill="background1" w:themeFillShade="BF"/>
            <w:noWrap/>
            <w:vAlign w:val="center"/>
            <w:hideMark/>
          </w:tcPr>
          <w:p w14:paraId="2EFB225C" w14:textId="77777777" w:rsidR="005C4B17" w:rsidRPr="00CE08A9" w:rsidRDefault="005C4B17">
            <w:pPr>
              <w:spacing w:after="0"/>
              <w:jc w:val="right"/>
              <w:rPr>
                <w:rFonts w:cs="Arial"/>
                <w:color w:val="000000"/>
                <w:sz w:val="20"/>
                <w:szCs w:val="20"/>
              </w:rPr>
            </w:pPr>
            <w:r w:rsidRPr="00F830E6">
              <w:rPr>
                <w:sz w:val="20"/>
                <w:szCs w:val="20"/>
              </w:rPr>
              <w:t>200,258</w:t>
            </w:r>
          </w:p>
        </w:tc>
        <w:tc>
          <w:tcPr>
            <w:tcW w:w="556" w:type="pct"/>
            <w:tcBorders>
              <w:bottom w:val="single" w:sz="4" w:space="0" w:color="auto"/>
              <w:right w:val="dotted" w:sz="4" w:space="0" w:color="auto"/>
            </w:tcBorders>
            <w:shd w:val="clear" w:color="auto" w:fill="BFBFBF" w:themeFill="background1" w:themeFillShade="BF"/>
            <w:noWrap/>
            <w:vAlign w:val="center"/>
            <w:hideMark/>
          </w:tcPr>
          <w:p w14:paraId="7361EAFA" w14:textId="77777777" w:rsidR="005C4B17" w:rsidRPr="00CE08A9" w:rsidRDefault="005C4B17">
            <w:pPr>
              <w:spacing w:after="0"/>
              <w:jc w:val="right"/>
              <w:rPr>
                <w:rFonts w:cs="Arial"/>
                <w:color w:val="000000"/>
                <w:sz w:val="20"/>
                <w:szCs w:val="20"/>
              </w:rPr>
            </w:pPr>
            <w:r w:rsidRPr="00F830E6">
              <w:rPr>
                <w:sz w:val="20"/>
                <w:szCs w:val="20"/>
              </w:rPr>
              <w:t>259,533</w:t>
            </w:r>
          </w:p>
        </w:tc>
        <w:tc>
          <w:tcPr>
            <w:tcW w:w="634" w:type="pct"/>
            <w:tcBorders>
              <w:left w:val="dotted" w:sz="4" w:space="0" w:color="auto"/>
              <w:bottom w:val="single" w:sz="4" w:space="0" w:color="auto"/>
            </w:tcBorders>
            <w:shd w:val="clear" w:color="auto" w:fill="BFBFBF" w:themeFill="background1" w:themeFillShade="BF"/>
            <w:vAlign w:val="center"/>
          </w:tcPr>
          <w:p w14:paraId="0E806492" w14:textId="77777777" w:rsidR="005C4B17" w:rsidRPr="00F830E6" w:rsidRDefault="005C4B17">
            <w:pPr>
              <w:spacing w:after="0"/>
              <w:jc w:val="right"/>
              <w:rPr>
                <w:color w:val="000000" w:themeColor="text1"/>
                <w:sz w:val="20"/>
                <w:szCs w:val="20"/>
              </w:rPr>
            </w:pPr>
            <w:r w:rsidRPr="00F830E6">
              <w:rPr>
                <w:color w:val="000000" w:themeColor="text1"/>
                <w:sz w:val="20"/>
                <w:szCs w:val="20"/>
              </w:rPr>
              <w:t>590,483</w:t>
            </w:r>
          </w:p>
        </w:tc>
      </w:tr>
      <w:tr w:rsidR="005C4B17" w:rsidRPr="00CE08A9" w14:paraId="41F81A98" w14:textId="77777777" w:rsidTr="00F830E6">
        <w:trPr>
          <w:trHeight w:val="185"/>
        </w:trPr>
        <w:tc>
          <w:tcPr>
            <w:tcW w:w="1589" w:type="pct"/>
            <w:tcBorders>
              <w:top w:val="single" w:sz="4" w:space="0" w:color="auto"/>
              <w:bottom w:val="single" w:sz="4" w:space="0" w:color="auto"/>
            </w:tcBorders>
            <w:shd w:val="clear" w:color="auto" w:fill="D4C5D7"/>
            <w:noWrap/>
            <w:vAlign w:val="center"/>
            <w:hideMark/>
          </w:tcPr>
          <w:p w14:paraId="6275D42C" w14:textId="77777777" w:rsidR="005C4B17" w:rsidRPr="00CE08A9" w:rsidRDefault="00DE10A3" w:rsidP="005C4B17">
            <w:pPr>
              <w:spacing w:after="0"/>
              <w:rPr>
                <w:rFonts w:cs="Arial"/>
                <w:b/>
                <w:color w:val="000000"/>
                <w:sz w:val="20"/>
                <w:szCs w:val="20"/>
              </w:rPr>
            </w:pPr>
            <w:r w:rsidRPr="00CE08A9">
              <w:rPr>
                <w:rFonts w:cs="Arial"/>
                <w:b/>
                <w:color w:val="000000"/>
                <w:sz w:val="20"/>
                <w:szCs w:val="20"/>
              </w:rPr>
              <w:t>All projected participants</w:t>
            </w:r>
          </w:p>
        </w:tc>
        <w:tc>
          <w:tcPr>
            <w:tcW w:w="556" w:type="pct"/>
            <w:tcBorders>
              <w:top w:val="single" w:sz="4" w:space="0" w:color="auto"/>
              <w:bottom w:val="single" w:sz="4" w:space="0" w:color="auto"/>
            </w:tcBorders>
            <w:shd w:val="clear" w:color="auto" w:fill="D4C5D7"/>
            <w:vAlign w:val="center"/>
          </w:tcPr>
          <w:p w14:paraId="5D59954B" w14:textId="77777777" w:rsidR="005C4B17" w:rsidRPr="00BE0460" w:rsidRDefault="005C4B17">
            <w:pPr>
              <w:spacing w:after="0"/>
              <w:jc w:val="right"/>
              <w:rPr>
                <w:rFonts w:cs="Arial"/>
                <w:b/>
                <w:sz w:val="20"/>
                <w:szCs w:val="20"/>
              </w:rPr>
            </w:pPr>
            <w:r w:rsidRPr="00CC4D26">
              <w:rPr>
                <w:rFonts w:cs="Arial"/>
                <w:b/>
                <w:sz w:val="20"/>
                <w:szCs w:val="20"/>
              </w:rPr>
              <w:t>534,655</w:t>
            </w:r>
          </w:p>
        </w:tc>
        <w:tc>
          <w:tcPr>
            <w:tcW w:w="555" w:type="pct"/>
            <w:tcBorders>
              <w:top w:val="single" w:sz="4" w:space="0" w:color="auto"/>
              <w:bottom w:val="single" w:sz="4" w:space="0" w:color="auto"/>
            </w:tcBorders>
            <w:shd w:val="clear" w:color="auto" w:fill="D4C5D7"/>
            <w:noWrap/>
            <w:vAlign w:val="center"/>
            <w:hideMark/>
          </w:tcPr>
          <w:p w14:paraId="50C13B02" w14:textId="77777777" w:rsidR="005C4B17" w:rsidRPr="00CE08A9" w:rsidRDefault="005C4B17">
            <w:pPr>
              <w:spacing w:after="0"/>
              <w:jc w:val="right"/>
              <w:rPr>
                <w:rFonts w:cs="Arial"/>
                <w:b/>
                <w:color w:val="000000"/>
                <w:sz w:val="20"/>
                <w:szCs w:val="20"/>
              </w:rPr>
            </w:pPr>
            <w:r w:rsidRPr="00F830E6">
              <w:rPr>
                <w:sz w:val="20"/>
                <w:szCs w:val="20"/>
              </w:rPr>
              <w:t>592,294</w:t>
            </w:r>
          </w:p>
        </w:tc>
        <w:tc>
          <w:tcPr>
            <w:tcW w:w="555" w:type="pct"/>
            <w:tcBorders>
              <w:top w:val="single" w:sz="4" w:space="0" w:color="auto"/>
              <w:bottom w:val="single" w:sz="4" w:space="0" w:color="auto"/>
            </w:tcBorders>
            <w:shd w:val="clear" w:color="auto" w:fill="D4C5D7"/>
            <w:noWrap/>
            <w:vAlign w:val="center"/>
            <w:hideMark/>
          </w:tcPr>
          <w:p w14:paraId="2001909F" w14:textId="77777777" w:rsidR="005C4B17" w:rsidRPr="00CE08A9" w:rsidRDefault="005C4B17">
            <w:pPr>
              <w:spacing w:after="0"/>
              <w:jc w:val="right"/>
              <w:rPr>
                <w:rFonts w:cs="Arial"/>
                <w:b/>
                <w:color w:val="000000"/>
                <w:sz w:val="20"/>
                <w:szCs w:val="20"/>
              </w:rPr>
            </w:pPr>
            <w:r w:rsidRPr="00F830E6">
              <w:rPr>
                <w:sz w:val="20"/>
                <w:szCs w:val="20"/>
              </w:rPr>
              <w:t>646,012</w:t>
            </w:r>
          </w:p>
        </w:tc>
        <w:tc>
          <w:tcPr>
            <w:tcW w:w="555" w:type="pct"/>
            <w:tcBorders>
              <w:top w:val="single" w:sz="4" w:space="0" w:color="auto"/>
              <w:bottom w:val="single" w:sz="4" w:space="0" w:color="auto"/>
            </w:tcBorders>
            <w:shd w:val="clear" w:color="auto" w:fill="D4C5D7"/>
            <w:noWrap/>
            <w:vAlign w:val="center"/>
            <w:hideMark/>
          </w:tcPr>
          <w:p w14:paraId="7715F5E1" w14:textId="77777777" w:rsidR="005C4B17" w:rsidRPr="00CE08A9" w:rsidRDefault="005C4B17">
            <w:pPr>
              <w:spacing w:after="0"/>
              <w:jc w:val="right"/>
              <w:rPr>
                <w:rFonts w:cs="Arial"/>
                <w:b/>
                <w:color w:val="000000"/>
                <w:sz w:val="20"/>
                <w:szCs w:val="20"/>
              </w:rPr>
            </w:pPr>
            <w:r w:rsidRPr="00F830E6">
              <w:rPr>
                <w:sz w:val="20"/>
                <w:szCs w:val="20"/>
              </w:rPr>
              <w:t>693,889</w:t>
            </w:r>
          </w:p>
        </w:tc>
        <w:tc>
          <w:tcPr>
            <w:tcW w:w="556" w:type="pct"/>
            <w:tcBorders>
              <w:top w:val="single" w:sz="4" w:space="0" w:color="auto"/>
              <w:bottom w:val="single" w:sz="4" w:space="0" w:color="auto"/>
              <w:right w:val="dotted" w:sz="4" w:space="0" w:color="auto"/>
            </w:tcBorders>
            <w:shd w:val="clear" w:color="auto" w:fill="D4C5D7"/>
            <w:noWrap/>
            <w:vAlign w:val="center"/>
            <w:hideMark/>
          </w:tcPr>
          <w:p w14:paraId="2086BBF1" w14:textId="77777777" w:rsidR="005C4B17" w:rsidRPr="00CE08A9" w:rsidRDefault="005C4B17">
            <w:pPr>
              <w:spacing w:after="0"/>
              <w:jc w:val="right"/>
              <w:rPr>
                <w:rFonts w:cs="Arial"/>
                <w:b/>
                <w:color w:val="000000"/>
                <w:sz w:val="20"/>
                <w:szCs w:val="20"/>
              </w:rPr>
            </w:pPr>
            <w:r w:rsidRPr="00F830E6">
              <w:rPr>
                <w:sz w:val="20"/>
                <w:szCs w:val="20"/>
              </w:rPr>
              <w:t>741,077</w:t>
            </w:r>
          </w:p>
        </w:tc>
        <w:tc>
          <w:tcPr>
            <w:tcW w:w="634" w:type="pct"/>
            <w:tcBorders>
              <w:top w:val="single" w:sz="4" w:space="0" w:color="auto"/>
              <w:left w:val="dotted" w:sz="4" w:space="0" w:color="auto"/>
              <w:bottom w:val="single" w:sz="4" w:space="0" w:color="auto"/>
            </w:tcBorders>
            <w:shd w:val="clear" w:color="auto" w:fill="D4C5D7"/>
            <w:vAlign w:val="center"/>
          </w:tcPr>
          <w:p w14:paraId="6BE4C21F" w14:textId="77777777" w:rsidR="005C4B17" w:rsidRPr="00F830E6" w:rsidRDefault="005C4B17">
            <w:pPr>
              <w:spacing w:after="0"/>
              <w:jc w:val="right"/>
              <w:rPr>
                <w:color w:val="000000" w:themeColor="text1"/>
                <w:sz w:val="20"/>
                <w:szCs w:val="20"/>
              </w:rPr>
            </w:pPr>
            <w:r w:rsidRPr="00F830E6">
              <w:rPr>
                <w:color w:val="000000" w:themeColor="text1"/>
                <w:sz w:val="20"/>
                <w:szCs w:val="20"/>
              </w:rPr>
              <w:t>1,017,522</w:t>
            </w:r>
          </w:p>
        </w:tc>
      </w:tr>
    </w:tbl>
    <w:p w14:paraId="66211275" w14:textId="77777777" w:rsidR="00251F21" w:rsidRPr="001B3F25" w:rsidRDefault="00251F21">
      <w:pPr>
        <w:pStyle w:val="FSRHeading4"/>
      </w:pPr>
      <w:r w:rsidRPr="001B3F25">
        <w:t>Scenario relating to the rates of participants leaving the Scheme</w:t>
      </w:r>
    </w:p>
    <w:p w14:paraId="1DCDF928" w14:textId="77777777" w:rsidR="00251F21" w:rsidRPr="00DA3F73" w:rsidRDefault="00251F21" w:rsidP="00251F21">
      <w:pPr>
        <w:pStyle w:val="FSRHeading5"/>
        <w:rPr>
          <w:i w:val="0"/>
          <w:color w:val="6B2976"/>
          <w:sz w:val="22"/>
        </w:rPr>
      </w:pPr>
      <w:r w:rsidRPr="00DA3F73">
        <w:rPr>
          <w:i w:val="0"/>
          <w:color w:val="6B2976"/>
          <w:sz w:val="22"/>
        </w:rPr>
        <w:t>Scenario: Lower rate of participants leaving the Scheme</w:t>
      </w:r>
    </w:p>
    <w:p w14:paraId="01DC4788" w14:textId="77777777" w:rsidR="00251F21" w:rsidRDefault="00251F21" w:rsidP="00DA3F73">
      <w:pPr>
        <w:pStyle w:val="FSRnormal"/>
      </w:pPr>
      <w:r>
        <w:t xml:space="preserve">In this scenario the rate at which participants leave the scheme is assumed to be </w:t>
      </w:r>
      <w:r w:rsidRPr="00A457C5">
        <w:t xml:space="preserve">25% lower than </w:t>
      </w:r>
      <w:r>
        <w:t>the assumption</w:t>
      </w:r>
      <w:r w:rsidRPr="00A457C5">
        <w:t xml:space="preserve"> in the baseline projection. </w:t>
      </w:r>
    </w:p>
    <w:p w14:paraId="7AB0D145" w14:textId="77777777" w:rsidR="00251F21" w:rsidRPr="00DA3F73" w:rsidRDefault="00251F21" w:rsidP="00DA3F73">
      <w:pPr>
        <w:pStyle w:val="Tables"/>
      </w:pPr>
      <w:r w:rsidRPr="003C1060">
        <w:t xml:space="preserve">Table </w:t>
      </w:r>
      <w:r w:rsidR="001B3F25" w:rsidRPr="003C1060">
        <w:t>G</w:t>
      </w:r>
      <w:r w:rsidR="00A87896">
        <w:t>.</w:t>
      </w:r>
      <w:fldSimple w:instr=" SEQ Table \* ARABIC \s 2 ">
        <w:r w:rsidR="00A87896">
          <w:rPr>
            <w:noProof/>
          </w:rPr>
          <w:t>2</w:t>
        </w:r>
      </w:fldSimple>
      <w:r w:rsidRPr="003C1060">
        <w:t>: Lower rate of participants leaving the Scheme</w:t>
      </w:r>
    </w:p>
    <w:tbl>
      <w:tblPr>
        <w:tblStyle w:val="FSRtable"/>
        <w:tblW w:w="9026" w:type="dxa"/>
        <w:tblInd w:w="0" w:type="dxa"/>
        <w:tblLook w:val="04A0" w:firstRow="1" w:lastRow="0" w:firstColumn="1" w:lastColumn="0" w:noHBand="0" w:noVBand="1"/>
      </w:tblPr>
      <w:tblGrid>
        <w:gridCol w:w="2845"/>
        <w:gridCol w:w="905"/>
        <w:gridCol w:w="1259"/>
        <w:gridCol w:w="1259"/>
        <w:gridCol w:w="1259"/>
        <w:gridCol w:w="1499"/>
      </w:tblGrid>
      <w:tr w:rsidR="00B613F8" w:rsidRPr="009C7082" w14:paraId="0A218BDA" w14:textId="77777777" w:rsidTr="00F830E6">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6C592BFE" w14:textId="77777777" w:rsidR="00B613F8" w:rsidRPr="009C7082" w:rsidRDefault="00B613F8" w:rsidP="00251F21">
            <w:pPr>
              <w:spacing w:after="0" w:line="240" w:lineRule="auto"/>
              <w:rPr>
                <w:rFonts w:eastAsia="Times New Roman"/>
                <w:color w:val="FFFFFF"/>
                <w:sz w:val="20"/>
                <w:szCs w:val="20"/>
                <w:lang w:eastAsia="en-AU"/>
              </w:rPr>
            </w:pPr>
            <w:r w:rsidRPr="009C7082">
              <w:rPr>
                <w:rFonts w:eastAsia="Times New Roman"/>
                <w:color w:val="FFFFFF"/>
                <w:sz w:val="20"/>
                <w:szCs w:val="20"/>
                <w:lang w:eastAsia="en-AU"/>
              </w:rPr>
              <w:t> </w:t>
            </w:r>
          </w:p>
        </w:tc>
        <w:tc>
          <w:tcPr>
            <w:tcW w:w="6049" w:type="dxa"/>
            <w:gridSpan w:val="5"/>
            <w:tcBorders>
              <w:top w:val="single" w:sz="4" w:space="0" w:color="auto"/>
              <w:bottom w:val="single" w:sz="4" w:space="0" w:color="FFFFFF" w:themeColor="background1"/>
            </w:tcBorders>
            <w:noWrap/>
            <w:hideMark/>
          </w:tcPr>
          <w:p w14:paraId="33F99DA5" w14:textId="77777777" w:rsidR="00B613F8" w:rsidRPr="009C7082" w:rsidRDefault="00B613F8" w:rsidP="00DA3F7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Projection Year</w:t>
            </w:r>
          </w:p>
        </w:tc>
      </w:tr>
      <w:tr w:rsidR="00F830E6" w:rsidRPr="009C7082" w14:paraId="24838315" w14:textId="77777777" w:rsidTr="00F830E6">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43FED38E" w14:textId="77777777" w:rsidR="00251F21" w:rsidRPr="009C7082" w:rsidRDefault="00251F21" w:rsidP="00251F21">
            <w:pPr>
              <w:spacing w:after="0" w:line="240" w:lineRule="auto"/>
              <w:rPr>
                <w:rFonts w:eastAsia="Times New Roman"/>
                <w:color w:val="FFFFFF"/>
                <w:sz w:val="20"/>
                <w:szCs w:val="20"/>
                <w:lang w:eastAsia="en-AU"/>
              </w:rPr>
            </w:pPr>
            <w:r w:rsidRPr="009C7082">
              <w:rPr>
                <w:rFonts w:eastAsia="Times New Roman"/>
                <w:color w:val="FFFFFF"/>
                <w:sz w:val="20"/>
                <w:szCs w:val="20"/>
                <w:lang w:eastAsia="en-AU"/>
              </w:rPr>
              <w:t> </w:t>
            </w:r>
          </w:p>
        </w:tc>
        <w:tc>
          <w:tcPr>
            <w:tcW w:w="553" w:type="dxa"/>
            <w:tcBorders>
              <w:top w:val="single" w:sz="4" w:space="0" w:color="FFFFFF" w:themeColor="background1"/>
            </w:tcBorders>
            <w:noWrap/>
            <w:hideMark/>
          </w:tcPr>
          <w:p w14:paraId="2206D29E"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Jun-23</w:t>
            </w:r>
          </w:p>
        </w:tc>
        <w:tc>
          <w:tcPr>
            <w:tcW w:w="1311" w:type="dxa"/>
            <w:tcBorders>
              <w:top w:val="single" w:sz="4" w:space="0" w:color="FFFFFF" w:themeColor="background1"/>
            </w:tcBorders>
            <w:noWrap/>
            <w:hideMark/>
          </w:tcPr>
          <w:p w14:paraId="7ACABDAE"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Jun-24</w:t>
            </w:r>
          </w:p>
        </w:tc>
        <w:tc>
          <w:tcPr>
            <w:tcW w:w="1311" w:type="dxa"/>
            <w:tcBorders>
              <w:top w:val="single" w:sz="4" w:space="0" w:color="FFFFFF" w:themeColor="background1"/>
            </w:tcBorders>
            <w:noWrap/>
            <w:hideMark/>
          </w:tcPr>
          <w:p w14:paraId="4EDBA496"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Jun-25</w:t>
            </w:r>
          </w:p>
        </w:tc>
        <w:tc>
          <w:tcPr>
            <w:tcW w:w="1311" w:type="dxa"/>
            <w:tcBorders>
              <w:top w:val="single" w:sz="4" w:space="0" w:color="FFFFFF" w:themeColor="background1"/>
              <w:right w:val="dotted" w:sz="4" w:space="0" w:color="auto"/>
            </w:tcBorders>
            <w:noWrap/>
            <w:hideMark/>
          </w:tcPr>
          <w:p w14:paraId="5B45E961"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Jun-26</w:t>
            </w:r>
          </w:p>
        </w:tc>
        <w:tc>
          <w:tcPr>
            <w:tcW w:w="1563" w:type="dxa"/>
            <w:tcBorders>
              <w:top w:val="single" w:sz="4" w:space="0" w:color="FFFFFF" w:themeColor="background1"/>
              <w:left w:val="dotted" w:sz="4" w:space="0" w:color="auto"/>
              <w:bottom w:val="nil"/>
            </w:tcBorders>
            <w:noWrap/>
            <w:hideMark/>
          </w:tcPr>
          <w:p w14:paraId="241714BE"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Jun-32</w:t>
            </w:r>
          </w:p>
        </w:tc>
      </w:tr>
      <w:tr w:rsidR="00F830E6" w:rsidRPr="00063344" w14:paraId="5F9F6CD5"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2977" w:type="dxa"/>
            <w:shd w:val="clear" w:color="auto" w:fill="BFBFBF" w:themeFill="background1" w:themeFillShade="BF"/>
            <w:noWrap/>
            <w:hideMark/>
          </w:tcPr>
          <w:p w14:paraId="64489019" w14:textId="77777777" w:rsidR="00251F21" w:rsidRPr="00063344" w:rsidRDefault="00251F21" w:rsidP="00251F21">
            <w:pPr>
              <w:spacing w:after="0" w:line="240" w:lineRule="auto"/>
              <w:rPr>
                <w:rFonts w:eastAsia="Times New Roman" w:cs="Arial"/>
                <w:b/>
                <w:bCs/>
                <w:i/>
                <w:iCs/>
                <w:color w:val="000000"/>
                <w:sz w:val="20"/>
                <w:szCs w:val="20"/>
                <w:lang w:eastAsia="en-AU"/>
              </w:rPr>
            </w:pPr>
            <w:r w:rsidRPr="00063344">
              <w:rPr>
                <w:rFonts w:eastAsia="Times New Roman" w:cs="Arial"/>
                <w:b/>
                <w:bCs/>
                <w:i/>
                <w:iCs/>
                <w:color w:val="000000"/>
                <w:sz w:val="20"/>
                <w:szCs w:val="20"/>
                <w:lang w:eastAsia="en-AU"/>
              </w:rPr>
              <w:t>Existing participants</w:t>
            </w:r>
          </w:p>
        </w:tc>
        <w:tc>
          <w:tcPr>
            <w:tcW w:w="553" w:type="dxa"/>
            <w:shd w:val="clear" w:color="auto" w:fill="BFBFBF" w:themeFill="background1" w:themeFillShade="BF"/>
            <w:noWrap/>
            <w:hideMark/>
          </w:tcPr>
          <w:p w14:paraId="4ECCF642" w14:textId="77777777" w:rsidR="00251F21" w:rsidRPr="00063344" w:rsidRDefault="00251F21" w:rsidP="00251F2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63344">
              <w:rPr>
                <w:rFonts w:eastAsia="Times New Roman" w:cs="Arial"/>
                <w:color w:val="000000"/>
                <w:sz w:val="20"/>
                <w:szCs w:val="20"/>
                <w:lang w:eastAsia="en-AU"/>
              </w:rPr>
              <w:t> </w:t>
            </w:r>
          </w:p>
        </w:tc>
        <w:tc>
          <w:tcPr>
            <w:tcW w:w="1311" w:type="dxa"/>
            <w:shd w:val="clear" w:color="auto" w:fill="BFBFBF" w:themeFill="background1" w:themeFillShade="BF"/>
            <w:noWrap/>
            <w:hideMark/>
          </w:tcPr>
          <w:p w14:paraId="28102063" w14:textId="77777777" w:rsidR="00251F21" w:rsidRPr="00063344" w:rsidRDefault="00251F21" w:rsidP="00251F2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63344">
              <w:rPr>
                <w:rFonts w:eastAsia="Times New Roman" w:cs="Arial"/>
                <w:color w:val="000000"/>
                <w:sz w:val="20"/>
                <w:szCs w:val="20"/>
                <w:lang w:eastAsia="en-AU"/>
              </w:rPr>
              <w:t> </w:t>
            </w:r>
          </w:p>
        </w:tc>
        <w:tc>
          <w:tcPr>
            <w:tcW w:w="1311" w:type="dxa"/>
            <w:shd w:val="clear" w:color="auto" w:fill="BFBFBF" w:themeFill="background1" w:themeFillShade="BF"/>
            <w:noWrap/>
            <w:hideMark/>
          </w:tcPr>
          <w:p w14:paraId="0DB74AB6" w14:textId="77777777" w:rsidR="00251F21" w:rsidRPr="00063344" w:rsidRDefault="00251F21" w:rsidP="00251F2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63344">
              <w:rPr>
                <w:rFonts w:eastAsia="Times New Roman" w:cs="Arial"/>
                <w:color w:val="000000"/>
                <w:sz w:val="20"/>
                <w:szCs w:val="20"/>
                <w:lang w:eastAsia="en-AU"/>
              </w:rPr>
              <w:t> </w:t>
            </w:r>
          </w:p>
        </w:tc>
        <w:tc>
          <w:tcPr>
            <w:tcW w:w="1311" w:type="dxa"/>
            <w:tcBorders>
              <w:right w:val="dotted" w:sz="4" w:space="0" w:color="auto"/>
            </w:tcBorders>
            <w:shd w:val="clear" w:color="auto" w:fill="BFBFBF" w:themeFill="background1" w:themeFillShade="BF"/>
            <w:noWrap/>
            <w:hideMark/>
          </w:tcPr>
          <w:p w14:paraId="4BB9EC4D" w14:textId="77777777" w:rsidR="00251F21" w:rsidRPr="00063344" w:rsidRDefault="00251F21" w:rsidP="00251F2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63344">
              <w:rPr>
                <w:rFonts w:eastAsia="Times New Roman" w:cs="Arial"/>
                <w:color w:val="000000"/>
                <w:sz w:val="20"/>
                <w:szCs w:val="20"/>
                <w:lang w:eastAsia="en-AU"/>
              </w:rPr>
              <w:t> </w:t>
            </w:r>
          </w:p>
        </w:tc>
        <w:tc>
          <w:tcPr>
            <w:tcW w:w="1563" w:type="dxa"/>
            <w:tcBorders>
              <w:top w:val="nil"/>
              <w:left w:val="dotted" w:sz="4" w:space="0" w:color="auto"/>
              <w:bottom w:val="nil"/>
            </w:tcBorders>
            <w:shd w:val="clear" w:color="auto" w:fill="BFBFBF" w:themeFill="background1" w:themeFillShade="BF"/>
            <w:noWrap/>
            <w:hideMark/>
          </w:tcPr>
          <w:p w14:paraId="36AB2B0D" w14:textId="77777777" w:rsidR="00251F21" w:rsidRPr="00063344" w:rsidRDefault="00251F21" w:rsidP="00251F2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63344">
              <w:rPr>
                <w:rFonts w:eastAsia="Times New Roman" w:cs="Arial"/>
                <w:color w:val="000000"/>
                <w:sz w:val="20"/>
                <w:szCs w:val="20"/>
                <w:lang w:eastAsia="en-AU"/>
              </w:rPr>
              <w:t> </w:t>
            </w:r>
          </w:p>
        </w:tc>
      </w:tr>
      <w:tr w:rsidR="00F830E6" w:rsidRPr="00063344" w14:paraId="2CC425C7"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noWrap/>
            <w:hideMark/>
          </w:tcPr>
          <w:p w14:paraId="021F22CA"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553" w:type="dxa"/>
            <w:shd w:val="clear" w:color="auto" w:fill="auto"/>
            <w:noWrap/>
            <w:vAlign w:val="top"/>
            <w:hideMark/>
          </w:tcPr>
          <w:p w14:paraId="7F865913"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523,605</w:t>
            </w:r>
          </w:p>
        </w:tc>
        <w:tc>
          <w:tcPr>
            <w:tcW w:w="1311" w:type="dxa"/>
            <w:shd w:val="clear" w:color="auto" w:fill="auto"/>
            <w:noWrap/>
            <w:vAlign w:val="top"/>
            <w:hideMark/>
          </w:tcPr>
          <w:p w14:paraId="601428DC"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511,320</w:t>
            </w:r>
          </w:p>
        </w:tc>
        <w:tc>
          <w:tcPr>
            <w:tcW w:w="1311" w:type="dxa"/>
            <w:shd w:val="clear" w:color="auto" w:fill="auto"/>
            <w:noWrap/>
            <w:vAlign w:val="top"/>
            <w:hideMark/>
          </w:tcPr>
          <w:p w14:paraId="0070738A"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499,639</w:t>
            </w:r>
          </w:p>
        </w:tc>
        <w:tc>
          <w:tcPr>
            <w:tcW w:w="1311" w:type="dxa"/>
            <w:tcBorders>
              <w:right w:val="dotted" w:sz="4" w:space="0" w:color="auto"/>
            </w:tcBorders>
            <w:shd w:val="clear" w:color="auto" w:fill="auto"/>
            <w:noWrap/>
            <w:vAlign w:val="top"/>
            <w:hideMark/>
          </w:tcPr>
          <w:p w14:paraId="750D3305"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488,899</w:t>
            </w:r>
          </w:p>
        </w:tc>
        <w:tc>
          <w:tcPr>
            <w:tcW w:w="1563" w:type="dxa"/>
            <w:tcBorders>
              <w:top w:val="nil"/>
              <w:left w:val="dotted" w:sz="4" w:space="0" w:color="auto"/>
              <w:bottom w:val="nil"/>
            </w:tcBorders>
            <w:shd w:val="clear" w:color="auto" w:fill="auto"/>
            <w:noWrap/>
            <w:vAlign w:val="top"/>
            <w:hideMark/>
          </w:tcPr>
          <w:p w14:paraId="166B485F"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438,649</w:t>
            </w:r>
          </w:p>
        </w:tc>
      </w:tr>
      <w:tr w:rsidR="00563377" w:rsidRPr="00063344" w14:paraId="06D25962"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2977" w:type="dxa"/>
            <w:noWrap/>
            <w:hideMark/>
          </w:tcPr>
          <w:p w14:paraId="7BE9FEC8"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553" w:type="dxa"/>
            <w:noWrap/>
            <w:vAlign w:val="top"/>
            <w:hideMark/>
          </w:tcPr>
          <w:p w14:paraId="5AE04766"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2,058</w:t>
            </w:r>
          </w:p>
        </w:tc>
        <w:tc>
          <w:tcPr>
            <w:tcW w:w="1311" w:type="dxa"/>
            <w:noWrap/>
            <w:vAlign w:val="top"/>
            <w:hideMark/>
          </w:tcPr>
          <w:p w14:paraId="692000EC"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4,247</w:t>
            </w:r>
          </w:p>
        </w:tc>
        <w:tc>
          <w:tcPr>
            <w:tcW w:w="1311" w:type="dxa"/>
            <w:noWrap/>
            <w:vAlign w:val="top"/>
            <w:hideMark/>
          </w:tcPr>
          <w:p w14:paraId="0BD05B05"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6,008</w:t>
            </w:r>
          </w:p>
        </w:tc>
        <w:tc>
          <w:tcPr>
            <w:tcW w:w="1311" w:type="dxa"/>
            <w:tcBorders>
              <w:right w:val="dotted" w:sz="4" w:space="0" w:color="auto"/>
            </w:tcBorders>
            <w:noWrap/>
            <w:vAlign w:val="top"/>
            <w:hideMark/>
          </w:tcPr>
          <w:p w14:paraId="534076E7"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7,356</w:t>
            </w:r>
          </w:p>
        </w:tc>
        <w:tc>
          <w:tcPr>
            <w:tcW w:w="1563" w:type="dxa"/>
            <w:tcBorders>
              <w:top w:val="nil"/>
              <w:left w:val="dotted" w:sz="4" w:space="0" w:color="auto"/>
              <w:bottom w:val="nil"/>
            </w:tcBorders>
            <w:noWrap/>
            <w:vAlign w:val="top"/>
            <w:hideMark/>
          </w:tcPr>
          <w:p w14:paraId="6B1E5C93"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11,610</w:t>
            </w:r>
          </w:p>
        </w:tc>
      </w:tr>
      <w:tr w:rsidR="00F830E6" w:rsidRPr="00063344" w14:paraId="5706D330"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noWrap/>
            <w:hideMark/>
          </w:tcPr>
          <w:p w14:paraId="4EBBC052"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variance to baseline</w:t>
            </w:r>
          </w:p>
        </w:tc>
        <w:tc>
          <w:tcPr>
            <w:tcW w:w="553" w:type="dxa"/>
            <w:shd w:val="clear" w:color="auto" w:fill="auto"/>
            <w:noWrap/>
            <w:vAlign w:val="top"/>
            <w:hideMark/>
          </w:tcPr>
          <w:p w14:paraId="13CDDAB7"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0.4%</w:t>
            </w:r>
          </w:p>
        </w:tc>
        <w:tc>
          <w:tcPr>
            <w:tcW w:w="1311" w:type="dxa"/>
            <w:shd w:val="clear" w:color="auto" w:fill="auto"/>
            <w:noWrap/>
            <w:vAlign w:val="top"/>
            <w:hideMark/>
          </w:tcPr>
          <w:p w14:paraId="5B4C588C"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0.8%</w:t>
            </w:r>
          </w:p>
        </w:tc>
        <w:tc>
          <w:tcPr>
            <w:tcW w:w="1311" w:type="dxa"/>
            <w:shd w:val="clear" w:color="auto" w:fill="auto"/>
            <w:noWrap/>
            <w:vAlign w:val="top"/>
            <w:hideMark/>
          </w:tcPr>
          <w:p w14:paraId="1AEDEA4C"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1.2%</w:t>
            </w:r>
          </w:p>
        </w:tc>
        <w:tc>
          <w:tcPr>
            <w:tcW w:w="1311" w:type="dxa"/>
            <w:tcBorders>
              <w:right w:val="dotted" w:sz="4" w:space="0" w:color="auto"/>
            </w:tcBorders>
            <w:shd w:val="clear" w:color="auto" w:fill="auto"/>
            <w:noWrap/>
            <w:vAlign w:val="top"/>
            <w:hideMark/>
          </w:tcPr>
          <w:p w14:paraId="34422D9E"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1.5%</w:t>
            </w:r>
          </w:p>
        </w:tc>
        <w:tc>
          <w:tcPr>
            <w:tcW w:w="1563" w:type="dxa"/>
            <w:tcBorders>
              <w:top w:val="nil"/>
              <w:left w:val="dotted" w:sz="4" w:space="0" w:color="auto"/>
              <w:bottom w:val="nil"/>
            </w:tcBorders>
            <w:shd w:val="clear" w:color="auto" w:fill="auto"/>
            <w:noWrap/>
            <w:vAlign w:val="top"/>
            <w:hideMark/>
          </w:tcPr>
          <w:p w14:paraId="69DCCF3A"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2.7%</w:t>
            </w:r>
          </w:p>
        </w:tc>
      </w:tr>
      <w:tr w:rsidR="00F830E6" w:rsidRPr="00063344" w14:paraId="1CFC7EC2"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2977" w:type="dxa"/>
            <w:shd w:val="clear" w:color="auto" w:fill="BFBFBF" w:themeFill="background1" w:themeFillShade="BF"/>
            <w:noWrap/>
            <w:hideMark/>
          </w:tcPr>
          <w:p w14:paraId="3BE0C097" w14:textId="77777777" w:rsidR="00563377" w:rsidRPr="00063344" w:rsidRDefault="00563377" w:rsidP="00563377">
            <w:pPr>
              <w:spacing w:after="0" w:line="240" w:lineRule="auto"/>
              <w:rPr>
                <w:rFonts w:eastAsia="Times New Roman" w:cs="Arial"/>
                <w:b/>
                <w:bCs/>
                <w:i/>
                <w:iCs/>
                <w:color w:val="000000"/>
                <w:sz w:val="20"/>
                <w:szCs w:val="20"/>
                <w:lang w:eastAsia="en-AU"/>
              </w:rPr>
            </w:pPr>
            <w:r w:rsidRPr="00063344">
              <w:rPr>
                <w:rFonts w:eastAsia="Times New Roman" w:cs="Arial"/>
                <w:b/>
                <w:bCs/>
                <w:i/>
                <w:iCs/>
                <w:color w:val="000000"/>
                <w:sz w:val="20"/>
                <w:szCs w:val="20"/>
                <w:lang w:eastAsia="en-AU"/>
              </w:rPr>
              <w:t>New participants</w:t>
            </w:r>
          </w:p>
        </w:tc>
        <w:tc>
          <w:tcPr>
            <w:tcW w:w="553" w:type="dxa"/>
            <w:shd w:val="clear" w:color="auto" w:fill="BFBFBF" w:themeFill="background1" w:themeFillShade="BF"/>
            <w:noWrap/>
            <w:vAlign w:val="top"/>
            <w:hideMark/>
          </w:tcPr>
          <w:p w14:paraId="384926C4"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1311" w:type="dxa"/>
            <w:shd w:val="clear" w:color="auto" w:fill="BFBFBF" w:themeFill="background1" w:themeFillShade="BF"/>
            <w:noWrap/>
            <w:vAlign w:val="top"/>
            <w:hideMark/>
          </w:tcPr>
          <w:p w14:paraId="6960F2BC"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1311" w:type="dxa"/>
            <w:shd w:val="clear" w:color="auto" w:fill="BFBFBF" w:themeFill="background1" w:themeFillShade="BF"/>
            <w:noWrap/>
            <w:vAlign w:val="top"/>
            <w:hideMark/>
          </w:tcPr>
          <w:p w14:paraId="474D05B7"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1311" w:type="dxa"/>
            <w:tcBorders>
              <w:right w:val="dotted" w:sz="4" w:space="0" w:color="auto"/>
            </w:tcBorders>
            <w:shd w:val="clear" w:color="auto" w:fill="BFBFBF" w:themeFill="background1" w:themeFillShade="BF"/>
            <w:noWrap/>
            <w:vAlign w:val="top"/>
            <w:hideMark/>
          </w:tcPr>
          <w:p w14:paraId="70E11B23"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1563" w:type="dxa"/>
            <w:tcBorders>
              <w:top w:val="nil"/>
              <w:left w:val="dotted" w:sz="4" w:space="0" w:color="auto"/>
              <w:bottom w:val="nil"/>
            </w:tcBorders>
            <w:shd w:val="clear" w:color="auto" w:fill="BFBFBF" w:themeFill="background1" w:themeFillShade="BF"/>
            <w:noWrap/>
            <w:vAlign w:val="top"/>
            <w:hideMark/>
          </w:tcPr>
          <w:p w14:paraId="06DB0FDE"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r>
      <w:tr w:rsidR="00F830E6" w:rsidRPr="00063344" w14:paraId="21BED0E3"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noWrap/>
            <w:hideMark/>
          </w:tcPr>
          <w:p w14:paraId="1D979A6A"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553" w:type="dxa"/>
            <w:shd w:val="clear" w:color="auto" w:fill="auto"/>
            <w:noWrap/>
            <w:vAlign w:val="top"/>
            <w:hideMark/>
          </w:tcPr>
          <w:p w14:paraId="5C0BA85A"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70,747</w:t>
            </w:r>
          </w:p>
        </w:tc>
        <w:tc>
          <w:tcPr>
            <w:tcW w:w="1311" w:type="dxa"/>
            <w:shd w:val="clear" w:color="auto" w:fill="auto"/>
            <w:noWrap/>
            <w:vAlign w:val="top"/>
            <w:hideMark/>
          </w:tcPr>
          <w:p w14:paraId="4646685A"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139,017</w:t>
            </w:r>
          </w:p>
        </w:tc>
        <w:tc>
          <w:tcPr>
            <w:tcW w:w="1311" w:type="dxa"/>
            <w:shd w:val="clear" w:color="auto" w:fill="auto"/>
            <w:noWrap/>
            <w:vAlign w:val="top"/>
            <w:hideMark/>
          </w:tcPr>
          <w:p w14:paraId="161E0E81"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200,956</w:t>
            </w:r>
          </w:p>
        </w:tc>
        <w:tc>
          <w:tcPr>
            <w:tcW w:w="1311" w:type="dxa"/>
            <w:tcBorders>
              <w:right w:val="dotted" w:sz="4" w:space="0" w:color="auto"/>
            </w:tcBorders>
            <w:shd w:val="clear" w:color="auto" w:fill="auto"/>
            <w:noWrap/>
            <w:vAlign w:val="top"/>
            <w:hideMark/>
          </w:tcPr>
          <w:p w14:paraId="1A1F1B1F"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261,352</w:t>
            </w:r>
          </w:p>
        </w:tc>
        <w:tc>
          <w:tcPr>
            <w:tcW w:w="1563" w:type="dxa"/>
            <w:tcBorders>
              <w:top w:val="nil"/>
              <w:left w:val="dotted" w:sz="4" w:space="0" w:color="auto"/>
              <w:bottom w:val="nil"/>
            </w:tcBorders>
            <w:shd w:val="clear" w:color="auto" w:fill="auto"/>
            <w:noWrap/>
            <w:vAlign w:val="top"/>
            <w:hideMark/>
          </w:tcPr>
          <w:p w14:paraId="366026D7"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603,921</w:t>
            </w:r>
          </w:p>
        </w:tc>
      </w:tr>
      <w:tr w:rsidR="00563377" w:rsidRPr="00063344" w14:paraId="42FB0EAE"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2977" w:type="dxa"/>
            <w:noWrap/>
            <w:hideMark/>
          </w:tcPr>
          <w:p w14:paraId="30605295"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553" w:type="dxa"/>
            <w:noWrap/>
            <w:vAlign w:val="top"/>
            <w:hideMark/>
          </w:tcPr>
          <w:p w14:paraId="7A4CE7DB"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0</w:t>
            </w:r>
          </w:p>
        </w:tc>
        <w:tc>
          <w:tcPr>
            <w:tcW w:w="1311" w:type="dxa"/>
            <w:noWrap/>
            <w:vAlign w:val="top"/>
            <w:hideMark/>
          </w:tcPr>
          <w:p w14:paraId="7367B291"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78</w:t>
            </w:r>
          </w:p>
        </w:tc>
        <w:tc>
          <w:tcPr>
            <w:tcW w:w="1311" w:type="dxa"/>
            <w:noWrap/>
            <w:vAlign w:val="top"/>
            <w:hideMark/>
          </w:tcPr>
          <w:p w14:paraId="6C3A682C"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698</w:t>
            </w:r>
          </w:p>
        </w:tc>
        <w:tc>
          <w:tcPr>
            <w:tcW w:w="1311" w:type="dxa"/>
            <w:tcBorders>
              <w:right w:val="dotted" w:sz="4" w:space="0" w:color="auto"/>
            </w:tcBorders>
            <w:noWrap/>
            <w:vAlign w:val="top"/>
            <w:hideMark/>
          </w:tcPr>
          <w:p w14:paraId="17BB57CC"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1,818</w:t>
            </w:r>
          </w:p>
        </w:tc>
        <w:tc>
          <w:tcPr>
            <w:tcW w:w="1563" w:type="dxa"/>
            <w:tcBorders>
              <w:top w:val="nil"/>
              <w:left w:val="dotted" w:sz="4" w:space="0" w:color="auto"/>
              <w:bottom w:val="nil"/>
            </w:tcBorders>
            <w:noWrap/>
            <w:vAlign w:val="top"/>
            <w:hideMark/>
          </w:tcPr>
          <w:p w14:paraId="0923F1AC"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13,438</w:t>
            </w:r>
          </w:p>
        </w:tc>
      </w:tr>
      <w:tr w:rsidR="00F830E6" w:rsidRPr="00063344" w14:paraId="63FC3CAA"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noWrap/>
            <w:hideMark/>
          </w:tcPr>
          <w:p w14:paraId="346EEFB8"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variance to baseline</w:t>
            </w:r>
          </w:p>
        </w:tc>
        <w:tc>
          <w:tcPr>
            <w:tcW w:w="553" w:type="dxa"/>
            <w:shd w:val="clear" w:color="auto" w:fill="auto"/>
            <w:noWrap/>
            <w:vAlign w:val="top"/>
            <w:hideMark/>
          </w:tcPr>
          <w:p w14:paraId="1EEF3CC3"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0.0%</w:t>
            </w:r>
          </w:p>
        </w:tc>
        <w:tc>
          <w:tcPr>
            <w:tcW w:w="1311" w:type="dxa"/>
            <w:shd w:val="clear" w:color="auto" w:fill="auto"/>
            <w:noWrap/>
            <w:vAlign w:val="top"/>
            <w:hideMark/>
          </w:tcPr>
          <w:p w14:paraId="5AFAD34A"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0.1%</w:t>
            </w:r>
          </w:p>
        </w:tc>
        <w:tc>
          <w:tcPr>
            <w:tcW w:w="1311" w:type="dxa"/>
            <w:shd w:val="clear" w:color="auto" w:fill="auto"/>
            <w:noWrap/>
            <w:vAlign w:val="top"/>
            <w:hideMark/>
          </w:tcPr>
          <w:p w14:paraId="63889E8A"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0.3%</w:t>
            </w:r>
          </w:p>
        </w:tc>
        <w:tc>
          <w:tcPr>
            <w:tcW w:w="1311" w:type="dxa"/>
            <w:tcBorders>
              <w:right w:val="dotted" w:sz="4" w:space="0" w:color="auto"/>
            </w:tcBorders>
            <w:shd w:val="clear" w:color="auto" w:fill="auto"/>
            <w:noWrap/>
            <w:vAlign w:val="top"/>
            <w:hideMark/>
          </w:tcPr>
          <w:p w14:paraId="0B36FA1D"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0.7%</w:t>
            </w:r>
          </w:p>
        </w:tc>
        <w:tc>
          <w:tcPr>
            <w:tcW w:w="1563" w:type="dxa"/>
            <w:tcBorders>
              <w:top w:val="nil"/>
              <w:left w:val="dotted" w:sz="4" w:space="0" w:color="auto"/>
              <w:bottom w:val="nil"/>
            </w:tcBorders>
            <w:shd w:val="clear" w:color="auto" w:fill="auto"/>
            <w:noWrap/>
            <w:vAlign w:val="top"/>
            <w:hideMark/>
          </w:tcPr>
          <w:p w14:paraId="5725E62D"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2.3%</w:t>
            </w:r>
          </w:p>
        </w:tc>
      </w:tr>
      <w:tr w:rsidR="00F830E6" w:rsidRPr="00063344" w14:paraId="1BC6C447"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2977" w:type="dxa"/>
            <w:shd w:val="clear" w:color="auto" w:fill="BFBFBF" w:themeFill="background1" w:themeFillShade="BF"/>
            <w:noWrap/>
            <w:hideMark/>
          </w:tcPr>
          <w:p w14:paraId="5EB02A4F" w14:textId="77777777" w:rsidR="00563377" w:rsidRPr="00063344" w:rsidRDefault="00563377" w:rsidP="00563377">
            <w:pPr>
              <w:spacing w:after="0" w:line="240" w:lineRule="auto"/>
              <w:rPr>
                <w:rFonts w:eastAsia="Times New Roman" w:cs="Arial"/>
                <w:b/>
                <w:bCs/>
                <w:i/>
                <w:iCs/>
                <w:color w:val="000000"/>
                <w:sz w:val="20"/>
                <w:szCs w:val="20"/>
                <w:lang w:eastAsia="en-AU"/>
              </w:rPr>
            </w:pPr>
            <w:r w:rsidRPr="00063344">
              <w:rPr>
                <w:rFonts w:eastAsia="Times New Roman" w:cs="Arial"/>
                <w:b/>
                <w:bCs/>
                <w:i/>
                <w:iCs/>
                <w:color w:val="000000"/>
                <w:sz w:val="20"/>
                <w:szCs w:val="20"/>
                <w:lang w:eastAsia="en-AU"/>
              </w:rPr>
              <w:t>All projected participants</w:t>
            </w:r>
          </w:p>
        </w:tc>
        <w:tc>
          <w:tcPr>
            <w:tcW w:w="553" w:type="dxa"/>
            <w:shd w:val="clear" w:color="auto" w:fill="BFBFBF" w:themeFill="background1" w:themeFillShade="BF"/>
            <w:noWrap/>
            <w:vAlign w:val="top"/>
            <w:hideMark/>
          </w:tcPr>
          <w:p w14:paraId="27540FC3"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1311" w:type="dxa"/>
            <w:shd w:val="clear" w:color="auto" w:fill="BFBFBF" w:themeFill="background1" w:themeFillShade="BF"/>
            <w:noWrap/>
            <w:vAlign w:val="top"/>
            <w:hideMark/>
          </w:tcPr>
          <w:p w14:paraId="5EED775E"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1311" w:type="dxa"/>
            <w:shd w:val="clear" w:color="auto" w:fill="BFBFBF" w:themeFill="background1" w:themeFillShade="BF"/>
            <w:noWrap/>
            <w:vAlign w:val="top"/>
            <w:hideMark/>
          </w:tcPr>
          <w:p w14:paraId="57092E95"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1311" w:type="dxa"/>
            <w:tcBorders>
              <w:right w:val="dotted" w:sz="4" w:space="0" w:color="auto"/>
            </w:tcBorders>
            <w:shd w:val="clear" w:color="auto" w:fill="BFBFBF" w:themeFill="background1" w:themeFillShade="BF"/>
            <w:noWrap/>
            <w:vAlign w:val="top"/>
            <w:hideMark/>
          </w:tcPr>
          <w:p w14:paraId="164CF761"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1563" w:type="dxa"/>
            <w:tcBorders>
              <w:top w:val="nil"/>
              <w:left w:val="dotted" w:sz="4" w:space="0" w:color="auto"/>
              <w:bottom w:val="nil"/>
            </w:tcBorders>
            <w:shd w:val="clear" w:color="auto" w:fill="BFBFBF" w:themeFill="background1" w:themeFillShade="BF"/>
            <w:noWrap/>
            <w:vAlign w:val="top"/>
            <w:hideMark/>
          </w:tcPr>
          <w:p w14:paraId="21BAF146"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r>
      <w:tr w:rsidR="00F830E6" w:rsidRPr="00063344" w14:paraId="7E0CC3E6"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noWrap/>
            <w:hideMark/>
          </w:tcPr>
          <w:p w14:paraId="336493F6"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553" w:type="dxa"/>
            <w:shd w:val="clear" w:color="auto" w:fill="auto"/>
            <w:noWrap/>
            <w:vAlign w:val="top"/>
            <w:hideMark/>
          </w:tcPr>
          <w:p w14:paraId="348D18BD"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594,352</w:t>
            </w:r>
          </w:p>
        </w:tc>
        <w:tc>
          <w:tcPr>
            <w:tcW w:w="1311" w:type="dxa"/>
            <w:shd w:val="clear" w:color="auto" w:fill="auto"/>
            <w:noWrap/>
            <w:vAlign w:val="top"/>
            <w:hideMark/>
          </w:tcPr>
          <w:p w14:paraId="23FAD25E"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650,337</w:t>
            </w:r>
          </w:p>
        </w:tc>
        <w:tc>
          <w:tcPr>
            <w:tcW w:w="1311" w:type="dxa"/>
            <w:shd w:val="clear" w:color="auto" w:fill="auto"/>
            <w:noWrap/>
            <w:vAlign w:val="top"/>
            <w:hideMark/>
          </w:tcPr>
          <w:p w14:paraId="68653377"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700,594</w:t>
            </w:r>
          </w:p>
        </w:tc>
        <w:tc>
          <w:tcPr>
            <w:tcW w:w="1311" w:type="dxa"/>
            <w:tcBorders>
              <w:right w:val="dotted" w:sz="4" w:space="0" w:color="auto"/>
            </w:tcBorders>
            <w:shd w:val="clear" w:color="auto" w:fill="auto"/>
            <w:noWrap/>
            <w:vAlign w:val="top"/>
            <w:hideMark/>
          </w:tcPr>
          <w:p w14:paraId="0D745BD6"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750,251</w:t>
            </w:r>
          </w:p>
        </w:tc>
        <w:tc>
          <w:tcPr>
            <w:tcW w:w="1563" w:type="dxa"/>
            <w:tcBorders>
              <w:top w:val="nil"/>
              <w:left w:val="dotted" w:sz="4" w:space="0" w:color="auto"/>
              <w:bottom w:val="nil"/>
            </w:tcBorders>
            <w:shd w:val="clear" w:color="auto" w:fill="auto"/>
            <w:noWrap/>
            <w:vAlign w:val="top"/>
            <w:hideMark/>
          </w:tcPr>
          <w:p w14:paraId="43F3E108"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1,042,570</w:t>
            </w:r>
          </w:p>
        </w:tc>
      </w:tr>
      <w:tr w:rsidR="00563377" w:rsidRPr="00063344" w14:paraId="3AF7FB13"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2977" w:type="dxa"/>
            <w:noWrap/>
            <w:hideMark/>
          </w:tcPr>
          <w:p w14:paraId="4AC44025"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553" w:type="dxa"/>
            <w:noWrap/>
            <w:vAlign w:val="top"/>
            <w:hideMark/>
          </w:tcPr>
          <w:p w14:paraId="65DDB35D"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2,058</w:t>
            </w:r>
          </w:p>
        </w:tc>
        <w:tc>
          <w:tcPr>
            <w:tcW w:w="1311" w:type="dxa"/>
            <w:noWrap/>
            <w:vAlign w:val="top"/>
            <w:hideMark/>
          </w:tcPr>
          <w:p w14:paraId="0536F485"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4,325</w:t>
            </w:r>
          </w:p>
        </w:tc>
        <w:tc>
          <w:tcPr>
            <w:tcW w:w="1311" w:type="dxa"/>
            <w:noWrap/>
            <w:vAlign w:val="top"/>
            <w:hideMark/>
          </w:tcPr>
          <w:p w14:paraId="284F3DDA"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6,706</w:t>
            </w:r>
          </w:p>
        </w:tc>
        <w:tc>
          <w:tcPr>
            <w:tcW w:w="1311" w:type="dxa"/>
            <w:tcBorders>
              <w:right w:val="dotted" w:sz="4" w:space="0" w:color="auto"/>
            </w:tcBorders>
            <w:noWrap/>
            <w:vAlign w:val="top"/>
            <w:hideMark/>
          </w:tcPr>
          <w:p w14:paraId="03049C21"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9,174</w:t>
            </w:r>
          </w:p>
        </w:tc>
        <w:tc>
          <w:tcPr>
            <w:tcW w:w="1563" w:type="dxa"/>
            <w:tcBorders>
              <w:top w:val="nil"/>
              <w:left w:val="dotted" w:sz="4" w:space="0" w:color="auto"/>
              <w:bottom w:val="nil"/>
            </w:tcBorders>
            <w:noWrap/>
            <w:vAlign w:val="top"/>
            <w:hideMark/>
          </w:tcPr>
          <w:p w14:paraId="62E65FD9"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25,047</w:t>
            </w:r>
          </w:p>
        </w:tc>
      </w:tr>
      <w:tr w:rsidR="00563377" w:rsidRPr="00063344" w14:paraId="108E30DE" w14:textId="77777777" w:rsidTr="00563377">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noWrap/>
            <w:hideMark/>
          </w:tcPr>
          <w:p w14:paraId="5667E051"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variance to baseline</w:t>
            </w:r>
          </w:p>
        </w:tc>
        <w:tc>
          <w:tcPr>
            <w:tcW w:w="553" w:type="dxa"/>
            <w:shd w:val="clear" w:color="auto" w:fill="auto"/>
            <w:noWrap/>
            <w:vAlign w:val="top"/>
            <w:hideMark/>
          </w:tcPr>
          <w:p w14:paraId="6A156A26"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0.3%</w:t>
            </w:r>
          </w:p>
        </w:tc>
        <w:tc>
          <w:tcPr>
            <w:tcW w:w="1311" w:type="dxa"/>
            <w:shd w:val="clear" w:color="auto" w:fill="auto"/>
            <w:noWrap/>
            <w:vAlign w:val="top"/>
            <w:hideMark/>
          </w:tcPr>
          <w:p w14:paraId="52963521"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0.7%</w:t>
            </w:r>
          </w:p>
        </w:tc>
        <w:tc>
          <w:tcPr>
            <w:tcW w:w="1311" w:type="dxa"/>
            <w:shd w:val="clear" w:color="auto" w:fill="auto"/>
            <w:noWrap/>
            <w:vAlign w:val="top"/>
            <w:hideMark/>
          </w:tcPr>
          <w:p w14:paraId="67812075"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1.0%</w:t>
            </w:r>
          </w:p>
        </w:tc>
        <w:tc>
          <w:tcPr>
            <w:tcW w:w="1311" w:type="dxa"/>
            <w:tcBorders>
              <w:right w:val="dotted" w:sz="4" w:space="0" w:color="auto"/>
            </w:tcBorders>
            <w:shd w:val="clear" w:color="auto" w:fill="auto"/>
            <w:noWrap/>
            <w:vAlign w:val="top"/>
            <w:hideMark/>
          </w:tcPr>
          <w:p w14:paraId="5FC710CD"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1.2%</w:t>
            </w:r>
          </w:p>
        </w:tc>
        <w:tc>
          <w:tcPr>
            <w:tcW w:w="1563" w:type="dxa"/>
            <w:tcBorders>
              <w:top w:val="nil"/>
              <w:left w:val="dotted" w:sz="4" w:space="0" w:color="auto"/>
              <w:bottom w:val="single" w:sz="4" w:space="0" w:color="auto"/>
            </w:tcBorders>
            <w:shd w:val="clear" w:color="auto" w:fill="auto"/>
            <w:noWrap/>
            <w:vAlign w:val="top"/>
            <w:hideMark/>
          </w:tcPr>
          <w:p w14:paraId="72DC82AE"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2.5%</w:t>
            </w:r>
          </w:p>
        </w:tc>
      </w:tr>
    </w:tbl>
    <w:p w14:paraId="39F57E9A" w14:textId="77777777" w:rsidR="00251F21" w:rsidRDefault="00251F21" w:rsidP="00251F21">
      <w:pPr>
        <w:pStyle w:val="FSRHeading4"/>
      </w:pPr>
    </w:p>
    <w:p w14:paraId="1A06BE80" w14:textId="77777777" w:rsidR="00251F21" w:rsidRDefault="00251F21" w:rsidP="00251F21">
      <w:pPr>
        <w:spacing w:after="160" w:line="259" w:lineRule="auto"/>
        <w:rPr>
          <w:b/>
          <w:color w:val="6B2976"/>
          <w:sz w:val="25"/>
        </w:rPr>
      </w:pPr>
      <w:r>
        <w:br w:type="page"/>
      </w:r>
    </w:p>
    <w:p w14:paraId="0FC70533" w14:textId="77777777" w:rsidR="00251F21" w:rsidRDefault="00251F21" w:rsidP="00251F21">
      <w:pPr>
        <w:pStyle w:val="FSRHeading4"/>
      </w:pPr>
      <w:r>
        <w:lastRenderedPageBreak/>
        <w:t>Scenarios relating to numbers of new entrants to the S</w:t>
      </w:r>
      <w:r w:rsidRPr="00402990">
        <w:t>cheme</w:t>
      </w:r>
    </w:p>
    <w:p w14:paraId="611F410E" w14:textId="77777777" w:rsidR="00251F21" w:rsidRPr="00DA3F73" w:rsidRDefault="00251F21" w:rsidP="00251F21">
      <w:pPr>
        <w:pStyle w:val="FSRHeading5"/>
        <w:rPr>
          <w:i w:val="0"/>
          <w:color w:val="6B2976"/>
          <w:sz w:val="22"/>
        </w:rPr>
      </w:pPr>
      <w:r w:rsidRPr="00DA3F73">
        <w:rPr>
          <w:i w:val="0"/>
          <w:color w:val="6B2976"/>
          <w:sz w:val="22"/>
        </w:rPr>
        <w:t>Scenario: Higher assumptions regarding the number of new participants</w:t>
      </w:r>
    </w:p>
    <w:p w14:paraId="070F9386" w14:textId="77777777" w:rsidR="00251F21" w:rsidRDefault="00251F21" w:rsidP="00251F21">
      <w:pPr>
        <w:pStyle w:val="FSRnormal"/>
      </w:pPr>
      <w:r>
        <w:t xml:space="preserve">The assumptions relating to </w:t>
      </w:r>
      <w:r w:rsidR="0016696D">
        <w:t xml:space="preserve">numbers of </w:t>
      </w:r>
      <w:r>
        <w:t xml:space="preserve">new participant </w:t>
      </w:r>
      <w:r w:rsidR="0016696D">
        <w:t xml:space="preserve">participants </w:t>
      </w:r>
      <w:r w:rsidR="008A5432">
        <w:t>are</w:t>
      </w:r>
      <w:r>
        <w:t xml:space="preserve"> </w:t>
      </w:r>
      <w:r w:rsidRPr="00966299">
        <w:t xml:space="preserve">15% higher than those assumed in the baseline </w:t>
      </w:r>
      <w:r w:rsidRPr="00504BEC">
        <w:t>projections.</w:t>
      </w:r>
      <w:r w:rsidR="0016696D" w:rsidRPr="00F830E6">
        <w:rPr>
          <w:rStyle w:val="FootnoteReference"/>
        </w:rPr>
        <w:footnoteReference w:id="154"/>
      </w:r>
    </w:p>
    <w:p w14:paraId="7B9B428F" w14:textId="77777777" w:rsidR="00251F21" w:rsidRDefault="00251F21" w:rsidP="00DA3F73">
      <w:pPr>
        <w:pStyle w:val="Tables"/>
      </w:pPr>
      <w:r w:rsidRPr="00063344">
        <w:t>Table</w:t>
      </w:r>
      <w:r w:rsidR="001B3F25">
        <w:t xml:space="preserve"> G</w:t>
      </w:r>
      <w:r w:rsidR="00A87896">
        <w:t>.</w:t>
      </w:r>
      <w:fldSimple w:instr=" SEQ Table \* ARABIC \s 2 ">
        <w:r w:rsidR="00A87896">
          <w:rPr>
            <w:noProof/>
          </w:rPr>
          <w:t>3</w:t>
        </w:r>
      </w:fldSimple>
      <w:r w:rsidRPr="00063344">
        <w:t>: Higher assumptions regarding the number of new participants</w:t>
      </w:r>
    </w:p>
    <w:tbl>
      <w:tblPr>
        <w:tblStyle w:val="FSRtable"/>
        <w:tblW w:w="8815" w:type="dxa"/>
        <w:tblInd w:w="5" w:type="dxa"/>
        <w:tblLook w:val="04A0" w:firstRow="1" w:lastRow="0" w:firstColumn="1" w:lastColumn="0" w:noHBand="0" w:noVBand="1"/>
      </w:tblPr>
      <w:tblGrid>
        <w:gridCol w:w="3163"/>
        <w:gridCol w:w="1123"/>
        <w:gridCol w:w="1123"/>
        <w:gridCol w:w="1123"/>
        <w:gridCol w:w="1127"/>
        <w:gridCol w:w="1156"/>
      </w:tblGrid>
      <w:tr w:rsidR="00FC79AE" w:rsidRPr="00063344" w14:paraId="113C6BC6" w14:textId="77777777" w:rsidTr="00F830E6">
        <w:trPr>
          <w:cnfStyle w:val="100000000000" w:firstRow="1" w:lastRow="0" w:firstColumn="0" w:lastColumn="0" w:oddVBand="0" w:evenVBand="0" w:oddHBand="0" w:evenHBand="0" w:firstRowFirstColumn="0" w:firstRowLastColumn="0" w:lastRowFirstColumn="0" w:lastRowLastColumn="0"/>
          <w:trHeight w:val="407"/>
          <w:tblHeader/>
        </w:trPr>
        <w:tc>
          <w:tcPr>
            <w:cnfStyle w:val="001000000000" w:firstRow="0" w:lastRow="0" w:firstColumn="1" w:lastColumn="0" w:oddVBand="0" w:evenVBand="0" w:oddHBand="0" w:evenHBand="0" w:firstRowFirstColumn="0" w:firstRowLastColumn="0" w:lastRowFirstColumn="0" w:lastRowLastColumn="0"/>
            <w:tcW w:w="3163" w:type="dxa"/>
            <w:noWrap/>
            <w:hideMark/>
          </w:tcPr>
          <w:p w14:paraId="0E5561B6" w14:textId="77777777" w:rsidR="00C95AF6" w:rsidRPr="00063344" w:rsidRDefault="00C95AF6" w:rsidP="00711C14">
            <w:pPr>
              <w:spacing w:after="0" w:line="240" w:lineRule="auto"/>
              <w:rPr>
                <w:rFonts w:eastAsia="Times New Roman"/>
                <w:color w:val="FFFFFF"/>
                <w:sz w:val="20"/>
                <w:szCs w:val="20"/>
                <w:lang w:eastAsia="en-AU"/>
              </w:rPr>
            </w:pPr>
            <w:r w:rsidRPr="00063344">
              <w:rPr>
                <w:rFonts w:eastAsia="Times New Roman"/>
                <w:color w:val="FFFFFF"/>
                <w:sz w:val="20"/>
                <w:szCs w:val="20"/>
                <w:lang w:eastAsia="en-AU"/>
              </w:rPr>
              <w:t> </w:t>
            </w:r>
          </w:p>
        </w:tc>
        <w:tc>
          <w:tcPr>
            <w:tcW w:w="5652" w:type="dxa"/>
            <w:gridSpan w:val="5"/>
            <w:tcBorders>
              <w:top w:val="single" w:sz="4" w:space="0" w:color="auto"/>
              <w:bottom w:val="dotted" w:sz="4" w:space="0" w:color="FFFFFF" w:themeColor="background1"/>
            </w:tcBorders>
            <w:noWrap/>
            <w:hideMark/>
          </w:tcPr>
          <w:p w14:paraId="7C923D09" w14:textId="77777777" w:rsidR="00C95AF6" w:rsidRPr="00DA3F73" w:rsidRDefault="00C95AF6" w:rsidP="00711C1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B613F8">
              <w:rPr>
                <w:rFonts w:eastAsia="Times New Roman"/>
                <w:bCs/>
                <w:color w:val="FFFFFF"/>
                <w:sz w:val="20"/>
                <w:szCs w:val="20"/>
                <w:lang w:eastAsia="en-AU"/>
              </w:rPr>
              <w:t>Projection Year </w:t>
            </w:r>
          </w:p>
        </w:tc>
      </w:tr>
      <w:tr w:rsidR="00F830E6" w:rsidRPr="009C7082" w14:paraId="361C8CC8" w14:textId="77777777" w:rsidTr="00F830E6">
        <w:trPr>
          <w:cnfStyle w:val="100000000000" w:firstRow="1" w:lastRow="0" w:firstColumn="0" w:lastColumn="0" w:oddVBand="0" w:evenVBand="0" w:oddHBand="0" w:evenHBand="0" w:firstRowFirstColumn="0" w:firstRowLastColumn="0" w:lastRowFirstColumn="0" w:lastRowLastColumn="0"/>
          <w:trHeight w:val="407"/>
          <w:tblHeader/>
        </w:trPr>
        <w:tc>
          <w:tcPr>
            <w:cnfStyle w:val="001000000000" w:firstRow="0" w:lastRow="0" w:firstColumn="1" w:lastColumn="0" w:oddVBand="0" w:evenVBand="0" w:oddHBand="0" w:evenHBand="0" w:firstRowFirstColumn="0" w:firstRowLastColumn="0" w:lastRowFirstColumn="0" w:lastRowLastColumn="0"/>
            <w:tcW w:w="3163" w:type="dxa"/>
            <w:noWrap/>
            <w:hideMark/>
          </w:tcPr>
          <w:p w14:paraId="55FF34D0" w14:textId="77777777" w:rsidR="00C95AF6" w:rsidRPr="009C7082" w:rsidRDefault="00C95AF6" w:rsidP="00711C14">
            <w:pPr>
              <w:spacing w:after="0" w:line="240" w:lineRule="auto"/>
              <w:rPr>
                <w:rFonts w:eastAsia="Times New Roman"/>
                <w:color w:val="FFFFFF"/>
                <w:sz w:val="20"/>
                <w:szCs w:val="20"/>
                <w:lang w:eastAsia="en-AU"/>
              </w:rPr>
            </w:pPr>
            <w:r w:rsidRPr="009C7082">
              <w:rPr>
                <w:rFonts w:eastAsia="Times New Roman"/>
                <w:color w:val="FFFFFF"/>
                <w:sz w:val="20"/>
                <w:szCs w:val="20"/>
                <w:lang w:eastAsia="en-AU"/>
              </w:rPr>
              <w:t> </w:t>
            </w:r>
          </w:p>
        </w:tc>
        <w:tc>
          <w:tcPr>
            <w:tcW w:w="1123" w:type="dxa"/>
            <w:tcBorders>
              <w:top w:val="dotted" w:sz="4" w:space="0" w:color="FFFFFF" w:themeColor="background1"/>
            </w:tcBorders>
            <w:noWrap/>
            <w:hideMark/>
          </w:tcPr>
          <w:p w14:paraId="3A99FE02" w14:textId="77777777" w:rsidR="00C95AF6" w:rsidRPr="009C7082" w:rsidRDefault="00C95AF6" w:rsidP="00711C1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Jun-23</w:t>
            </w:r>
          </w:p>
        </w:tc>
        <w:tc>
          <w:tcPr>
            <w:tcW w:w="1123" w:type="dxa"/>
            <w:tcBorders>
              <w:top w:val="dotted" w:sz="4" w:space="0" w:color="FFFFFF" w:themeColor="background1"/>
            </w:tcBorders>
            <w:noWrap/>
            <w:hideMark/>
          </w:tcPr>
          <w:p w14:paraId="40B26287" w14:textId="77777777" w:rsidR="00C95AF6" w:rsidRPr="009C7082" w:rsidRDefault="00C95AF6" w:rsidP="00711C1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Jun-24</w:t>
            </w:r>
          </w:p>
        </w:tc>
        <w:tc>
          <w:tcPr>
            <w:tcW w:w="1123" w:type="dxa"/>
            <w:tcBorders>
              <w:top w:val="dotted" w:sz="4" w:space="0" w:color="FFFFFF" w:themeColor="background1"/>
            </w:tcBorders>
            <w:noWrap/>
            <w:hideMark/>
          </w:tcPr>
          <w:p w14:paraId="167A99AE" w14:textId="77777777" w:rsidR="00C95AF6" w:rsidRPr="009C7082" w:rsidRDefault="00C95AF6" w:rsidP="00711C1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Jun-25</w:t>
            </w:r>
          </w:p>
        </w:tc>
        <w:tc>
          <w:tcPr>
            <w:tcW w:w="1127" w:type="dxa"/>
            <w:tcBorders>
              <w:top w:val="dotted" w:sz="4" w:space="0" w:color="FFFFFF" w:themeColor="background1"/>
              <w:right w:val="dotted" w:sz="4" w:space="0" w:color="auto"/>
            </w:tcBorders>
            <w:noWrap/>
            <w:hideMark/>
          </w:tcPr>
          <w:p w14:paraId="78666A5F" w14:textId="77777777" w:rsidR="00C95AF6" w:rsidRPr="009C7082" w:rsidRDefault="00C95AF6" w:rsidP="00711C1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Jun-26</w:t>
            </w:r>
          </w:p>
        </w:tc>
        <w:tc>
          <w:tcPr>
            <w:tcW w:w="1153" w:type="dxa"/>
            <w:tcBorders>
              <w:top w:val="dotted" w:sz="4" w:space="0" w:color="FFFFFF" w:themeColor="background1"/>
              <w:left w:val="dotted" w:sz="4" w:space="0" w:color="auto"/>
              <w:bottom w:val="nil"/>
            </w:tcBorders>
            <w:noWrap/>
            <w:hideMark/>
          </w:tcPr>
          <w:p w14:paraId="0C0BA744" w14:textId="77777777" w:rsidR="00C95AF6" w:rsidRPr="009C7082" w:rsidRDefault="00C95AF6" w:rsidP="00711C1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Jun-32</w:t>
            </w:r>
          </w:p>
        </w:tc>
      </w:tr>
      <w:tr w:rsidR="00F94E1C" w:rsidRPr="00063344" w14:paraId="15041177" w14:textId="77777777" w:rsidTr="00563377">
        <w:trPr>
          <w:trHeight w:val="309"/>
        </w:trPr>
        <w:tc>
          <w:tcPr>
            <w:cnfStyle w:val="001000000000" w:firstRow="0" w:lastRow="0" w:firstColumn="1" w:lastColumn="0" w:oddVBand="0" w:evenVBand="0" w:oddHBand="0" w:evenHBand="0" w:firstRowFirstColumn="0" w:firstRowLastColumn="0" w:lastRowFirstColumn="0" w:lastRowLastColumn="0"/>
            <w:tcW w:w="3163" w:type="dxa"/>
            <w:shd w:val="clear" w:color="auto" w:fill="BFBFBF" w:themeFill="background1" w:themeFillShade="BF"/>
            <w:noWrap/>
            <w:hideMark/>
          </w:tcPr>
          <w:p w14:paraId="0051AD87" w14:textId="77777777" w:rsidR="00C95AF6" w:rsidRPr="00063344" w:rsidRDefault="00C95AF6" w:rsidP="00711C14">
            <w:pPr>
              <w:spacing w:after="0" w:line="240" w:lineRule="auto"/>
              <w:rPr>
                <w:rFonts w:eastAsia="Times New Roman" w:cs="Arial"/>
                <w:b/>
                <w:bCs/>
                <w:i/>
                <w:iCs/>
                <w:color w:val="000000"/>
                <w:sz w:val="20"/>
                <w:szCs w:val="20"/>
                <w:lang w:eastAsia="en-AU"/>
              </w:rPr>
            </w:pPr>
            <w:r w:rsidRPr="00063344">
              <w:rPr>
                <w:rFonts w:eastAsia="Times New Roman" w:cs="Arial"/>
                <w:b/>
                <w:bCs/>
                <w:i/>
                <w:iCs/>
                <w:color w:val="000000"/>
                <w:sz w:val="20"/>
                <w:szCs w:val="20"/>
                <w:lang w:eastAsia="en-AU"/>
              </w:rPr>
              <w:t>Existing participants</w:t>
            </w:r>
          </w:p>
        </w:tc>
        <w:tc>
          <w:tcPr>
            <w:tcW w:w="1123" w:type="dxa"/>
            <w:shd w:val="clear" w:color="auto" w:fill="BFBFBF" w:themeFill="background1" w:themeFillShade="BF"/>
            <w:noWrap/>
            <w:hideMark/>
          </w:tcPr>
          <w:p w14:paraId="587AB17D" w14:textId="77777777" w:rsidR="00C95AF6" w:rsidRPr="00063344" w:rsidRDefault="00C95AF6" w:rsidP="00711C1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63344">
              <w:rPr>
                <w:rFonts w:eastAsia="Times New Roman" w:cs="Arial"/>
                <w:color w:val="000000"/>
                <w:sz w:val="20"/>
                <w:szCs w:val="20"/>
                <w:lang w:eastAsia="en-AU"/>
              </w:rPr>
              <w:t> </w:t>
            </w:r>
          </w:p>
        </w:tc>
        <w:tc>
          <w:tcPr>
            <w:tcW w:w="1123" w:type="dxa"/>
            <w:shd w:val="clear" w:color="auto" w:fill="BFBFBF" w:themeFill="background1" w:themeFillShade="BF"/>
            <w:noWrap/>
            <w:hideMark/>
          </w:tcPr>
          <w:p w14:paraId="75F7F102" w14:textId="77777777" w:rsidR="00C95AF6" w:rsidRPr="00063344" w:rsidRDefault="00C95AF6" w:rsidP="00711C1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63344">
              <w:rPr>
                <w:rFonts w:eastAsia="Times New Roman" w:cs="Arial"/>
                <w:color w:val="000000"/>
                <w:sz w:val="20"/>
                <w:szCs w:val="20"/>
                <w:lang w:eastAsia="en-AU"/>
              </w:rPr>
              <w:t> </w:t>
            </w:r>
          </w:p>
        </w:tc>
        <w:tc>
          <w:tcPr>
            <w:tcW w:w="1123" w:type="dxa"/>
            <w:shd w:val="clear" w:color="auto" w:fill="BFBFBF" w:themeFill="background1" w:themeFillShade="BF"/>
            <w:noWrap/>
            <w:hideMark/>
          </w:tcPr>
          <w:p w14:paraId="43E5D7D5" w14:textId="77777777" w:rsidR="00C95AF6" w:rsidRPr="00063344" w:rsidRDefault="00C95AF6" w:rsidP="00711C1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63344">
              <w:rPr>
                <w:rFonts w:eastAsia="Times New Roman" w:cs="Arial"/>
                <w:color w:val="000000"/>
                <w:sz w:val="20"/>
                <w:szCs w:val="20"/>
                <w:lang w:eastAsia="en-AU"/>
              </w:rPr>
              <w:t> </w:t>
            </w:r>
          </w:p>
        </w:tc>
        <w:tc>
          <w:tcPr>
            <w:tcW w:w="1127" w:type="dxa"/>
            <w:tcBorders>
              <w:right w:val="dotted" w:sz="4" w:space="0" w:color="auto"/>
            </w:tcBorders>
            <w:shd w:val="clear" w:color="auto" w:fill="BFBFBF" w:themeFill="background1" w:themeFillShade="BF"/>
            <w:noWrap/>
            <w:hideMark/>
          </w:tcPr>
          <w:p w14:paraId="6395D4D4" w14:textId="77777777" w:rsidR="00C95AF6" w:rsidRPr="00063344" w:rsidRDefault="00C95AF6" w:rsidP="00711C1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63344">
              <w:rPr>
                <w:rFonts w:eastAsia="Times New Roman" w:cs="Arial"/>
                <w:color w:val="000000"/>
                <w:sz w:val="20"/>
                <w:szCs w:val="20"/>
                <w:lang w:eastAsia="en-AU"/>
              </w:rPr>
              <w:t> </w:t>
            </w:r>
          </w:p>
        </w:tc>
        <w:tc>
          <w:tcPr>
            <w:tcW w:w="1153" w:type="dxa"/>
            <w:tcBorders>
              <w:top w:val="nil"/>
              <w:left w:val="dotted" w:sz="4" w:space="0" w:color="auto"/>
              <w:bottom w:val="nil"/>
            </w:tcBorders>
            <w:shd w:val="clear" w:color="auto" w:fill="BFBFBF" w:themeFill="background1" w:themeFillShade="BF"/>
            <w:noWrap/>
            <w:hideMark/>
          </w:tcPr>
          <w:p w14:paraId="0612A9AD" w14:textId="77777777" w:rsidR="00C95AF6" w:rsidRPr="00063344" w:rsidRDefault="00C95AF6" w:rsidP="00711C1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63344">
              <w:rPr>
                <w:rFonts w:eastAsia="Times New Roman" w:cs="Arial"/>
                <w:color w:val="000000"/>
                <w:sz w:val="20"/>
                <w:szCs w:val="20"/>
                <w:lang w:eastAsia="en-AU"/>
              </w:rPr>
              <w:t> </w:t>
            </w:r>
          </w:p>
        </w:tc>
      </w:tr>
      <w:tr w:rsidR="00F830E6" w:rsidRPr="00063344" w14:paraId="4554A7C2" w14:textId="77777777" w:rsidTr="00F830E6">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63" w:type="dxa"/>
            <w:shd w:val="clear" w:color="auto" w:fill="auto"/>
            <w:noWrap/>
            <w:hideMark/>
          </w:tcPr>
          <w:p w14:paraId="581EBDDF"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1123" w:type="dxa"/>
            <w:shd w:val="clear" w:color="auto" w:fill="auto"/>
            <w:noWrap/>
            <w:vAlign w:val="top"/>
            <w:hideMark/>
          </w:tcPr>
          <w:p w14:paraId="2E670455"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521,547</w:t>
            </w:r>
          </w:p>
        </w:tc>
        <w:tc>
          <w:tcPr>
            <w:tcW w:w="1123" w:type="dxa"/>
            <w:shd w:val="clear" w:color="auto" w:fill="auto"/>
            <w:noWrap/>
            <w:vAlign w:val="top"/>
            <w:hideMark/>
          </w:tcPr>
          <w:p w14:paraId="411DEF12"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507,074</w:t>
            </w:r>
          </w:p>
        </w:tc>
        <w:tc>
          <w:tcPr>
            <w:tcW w:w="1123" w:type="dxa"/>
            <w:shd w:val="clear" w:color="auto" w:fill="auto"/>
            <w:noWrap/>
            <w:vAlign w:val="top"/>
            <w:hideMark/>
          </w:tcPr>
          <w:p w14:paraId="3469563D"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493,631</w:t>
            </w:r>
          </w:p>
        </w:tc>
        <w:tc>
          <w:tcPr>
            <w:tcW w:w="1127" w:type="dxa"/>
            <w:tcBorders>
              <w:right w:val="dotted" w:sz="4" w:space="0" w:color="auto"/>
            </w:tcBorders>
            <w:shd w:val="clear" w:color="auto" w:fill="auto"/>
            <w:noWrap/>
            <w:vAlign w:val="top"/>
            <w:hideMark/>
          </w:tcPr>
          <w:p w14:paraId="481E2DB0"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481,543</w:t>
            </w:r>
          </w:p>
        </w:tc>
        <w:tc>
          <w:tcPr>
            <w:tcW w:w="1153" w:type="dxa"/>
            <w:tcBorders>
              <w:top w:val="nil"/>
              <w:left w:val="dotted" w:sz="4" w:space="0" w:color="auto"/>
              <w:bottom w:val="nil"/>
            </w:tcBorders>
            <w:shd w:val="clear" w:color="auto" w:fill="auto"/>
            <w:noWrap/>
            <w:vAlign w:val="top"/>
            <w:hideMark/>
          </w:tcPr>
          <w:p w14:paraId="48CB965F"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427,039</w:t>
            </w:r>
          </w:p>
        </w:tc>
      </w:tr>
      <w:tr w:rsidR="00563377" w:rsidRPr="00063344" w14:paraId="2B8411E0" w14:textId="77777777" w:rsidTr="00F830E6">
        <w:trPr>
          <w:trHeight w:val="309"/>
        </w:trPr>
        <w:tc>
          <w:tcPr>
            <w:cnfStyle w:val="001000000000" w:firstRow="0" w:lastRow="0" w:firstColumn="1" w:lastColumn="0" w:oddVBand="0" w:evenVBand="0" w:oddHBand="0" w:evenHBand="0" w:firstRowFirstColumn="0" w:firstRowLastColumn="0" w:lastRowFirstColumn="0" w:lastRowLastColumn="0"/>
            <w:tcW w:w="3163" w:type="dxa"/>
            <w:noWrap/>
            <w:hideMark/>
          </w:tcPr>
          <w:p w14:paraId="5BB490DF"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1123" w:type="dxa"/>
            <w:noWrap/>
            <w:vAlign w:val="top"/>
            <w:hideMark/>
          </w:tcPr>
          <w:p w14:paraId="39269B38"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0</w:t>
            </w:r>
          </w:p>
        </w:tc>
        <w:tc>
          <w:tcPr>
            <w:tcW w:w="1123" w:type="dxa"/>
            <w:noWrap/>
            <w:vAlign w:val="top"/>
            <w:hideMark/>
          </w:tcPr>
          <w:p w14:paraId="191D95E1"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0</w:t>
            </w:r>
          </w:p>
        </w:tc>
        <w:tc>
          <w:tcPr>
            <w:tcW w:w="1123" w:type="dxa"/>
            <w:noWrap/>
            <w:vAlign w:val="top"/>
            <w:hideMark/>
          </w:tcPr>
          <w:p w14:paraId="1F0B86BF"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0</w:t>
            </w:r>
          </w:p>
        </w:tc>
        <w:tc>
          <w:tcPr>
            <w:tcW w:w="1127" w:type="dxa"/>
            <w:tcBorders>
              <w:right w:val="dotted" w:sz="4" w:space="0" w:color="auto"/>
            </w:tcBorders>
            <w:noWrap/>
            <w:vAlign w:val="top"/>
            <w:hideMark/>
          </w:tcPr>
          <w:p w14:paraId="183D1519"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0</w:t>
            </w:r>
          </w:p>
        </w:tc>
        <w:tc>
          <w:tcPr>
            <w:tcW w:w="1153" w:type="dxa"/>
            <w:tcBorders>
              <w:top w:val="nil"/>
              <w:left w:val="dotted" w:sz="4" w:space="0" w:color="auto"/>
              <w:bottom w:val="nil"/>
            </w:tcBorders>
            <w:noWrap/>
            <w:vAlign w:val="top"/>
            <w:hideMark/>
          </w:tcPr>
          <w:p w14:paraId="7A5F0D09"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0</w:t>
            </w:r>
          </w:p>
        </w:tc>
      </w:tr>
      <w:tr w:rsidR="00F830E6" w:rsidRPr="00063344" w14:paraId="6D9340F8" w14:textId="77777777" w:rsidTr="00F830E6">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63" w:type="dxa"/>
            <w:shd w:val="clear" w:color="auto" w:fill="auto"/>
            <w:noWrap/>
            <w:hideMark/>
          </w:tcPr>
          <w:p w14:paraId="04AE7EBE"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variance to baseline</w:t>
            </w:r>
          </w:p>
        </w:tc>
        <w:tc>
          <w:tcPr>
            <w:tcW w:w="1123" w:type="dxa"/>
            <w:shd w:val="clear" w:color="auto" w:fill="auto"/>
            <w:noWrap/>
            <w:vAlign w:val="top"/>
            <w:hideMark/>
          </w:tcPr>
          <w:p w14:paraId="3540F3A0"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0.0%</w:t>
            </w:r>
          </w:p>
        </w:tc>
        <w:tc>
          <w:tcPr>
            <w:tcW w:w="1123" w:type="dxa"/>
            <w:shd w:val="clear" w:color="auto" w:fill="auto"/>
            <w:noWrap/>
            <w:vAlign w:val="top"/>
            <w:hideMark/>
          </w:tcPr>
          <w:p w14:paraId="17CF083C"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0.0%</w:t>
            </w:r>
          </w:p>
        </w:tc>
        <w:tc>
          <w:tcPr>
            <w:tcW w:w="1123" w:type="dxa"/>
            <w:shd w:val="clear" w:color="auto" w:fill="auto"/>
            <w:noWrap/>
            <w:vAlign w:val="top"/>
            <w:hideMark/>
          </w:tcPr>
          <w:p w14:paraId="7C7BA7BB"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0.0%</w:t>
            </w:r>
          </w:p>
        </w:tc>
        <w:tc>
          <w:tcPr>
            <w:tcW w:w="1127" w:type="dxa"/>
            <w:tcBorders>
              <w:right w:val="dotted" w:sz="4" w:space="0" w:color="auto"/>
            </w:tcBorders>
            <w:shd w:val="clear" w:color="auto" w:fill="auto"/>
            <w:noWrap/>
            <w:vAlign w:val="top"/>
            <w:hideMark/>
          </w:tcPr>
          <w:p w14:paraId="2EDEAB25"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0.0%</w:t>
            </w:r>
          </w:p>
        </w:tc>
        <w:tc>
          <w:tcPr>
            <w:tcW w:w="1153" w:type="dxa"/>
            <w:tcBorders>
              <w:top w:val="nil"/>
              <w:left w:val="dotted" w:sz="4" w:space="0" w:color="auto"/>
              <w:bottom w:val="nil"/>
            </w:tcBorders>
            <w:shd w:val="clear" w:color="auto" w:fill="auto"/>
            <w:noWrap/>
            <w:vAlign w:val="top"/>
            <w:hideMark/>
          </w:tcPr>
          <w:p w14:paraId="2F5867CF"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0.0%</w:t>
            </w:r>
          </w:p>
        </w:tc>
      </w:tr>
      <w:tr w:rsidR="008116E1" w:rsidRPr="00063344" w14:paraId="26224754" w14:textId="77777777" w:rsidTr="00563377">
        <w:trPr>
          <w:trHeight w:val="309"/>
        </w:trPr>
        <w:tc>
          <w:tcPr>
            <w:cnfStyle w:val="001000000000" w:firstRow="0" w:lastRow="0" w:firstColumn="1" w:lastColumn="0" w:oddVBand="0" w:evenVBand="0" w:oddHBand="0" w:evenHBand="0" w:firstRowFirstColumn="0" w:firstRowLastColumn="0" w:lastRowFirstColumn="0" w:lastRowLastColumn="0"/>
            <w:tcW w:w="3163" w:type="dxa"/>
            <w:shd w:val="clear" w:color="auto" w:fill="BFBFBF" w:themeFill="background1" w:themeFillShade="BF"/>
            <w:noWrap/>
            <w:hideMark/>
          </w:tcPr>
          <w:p w14:paraId="453062F4" w14:textId="77777777" w:rsidR="00563377" w:rsidRPr="00063344" w:rsidRDefault="00563377" w:rsidP="00563377">
            <w:pPr>
              <w:spacing w:after="0" w:line="240" w:lineRule="auto"/>
              <w:rPr>
                <w:rFonts w:eastAsia="Times New Roman" w:cs="Arial"/>
                <w:b/>
                <w:bCs/>
                <w:i/>
                <w:iCs/>
                <w:color w:val="000000"/>
                <w:sz w:val="20"/>
                <w:szCs w:val="20"/>
                <w:lang w:eastAsia="en-AU"/>
              </w:rPr>
            </w:pPr>
            <w:r w:rsidRPr="00063344">
              <w:rPr>
                <w:rFonts w:eastAsia="Times New Roman" w:cs="Arial"/>
                <w:b/>
                <w:bCs/>
                <w:i/>
                <w:iCs/>
                <w:color w:val="000000"/>
                <w:sz w:val="20"/>
                <w:szCs w:val="20"/>
                <w:lang w:eastAsia="en-AU"/>
              </w:rPr>
              <w:t>New participants</w:t>
            </w:r>
          </w:p>
        </w:tc>
        <w:tc>
          <w:tcPr>
            <w:tcW w:w="1123" w:type="dxa"/>
            <w:shd w:val="clear" w:color="auto" w:fill="BFBFBF" w:themeFill="background1" w:themeFillShade="BF"/>
            <w:noWrap/>
            <w:vAlign w:val="top"/>
            <w:hideMark/>
          </w:tcPr>
          <w:p w14:paraId="6C510407"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1123" w:type="dxa"/>
            <w:shd w:val="clear" w:color="auto" w:fill="BFBFBF" w:themeFill="background1" w:themeFillShade="BF"/>
            <w:noWrap/>
            <w:vAlign w:val="top"/>
            <w:hideMark/>
          </w:tcPr>
          <w:p w14:paraId="7B147521"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1123" w:type="dxa"/>
            <w:shd w:val="clear" w:color="auto" w:fill="BFBFBF" w:themeFill="background1" w:themeFillShade="BF"/>
            <w:noWrap/>
            <w:vAlign w:val="top"/>
            <w:hideMark/>
          </w:tcPr>
          <w:p w14:paraId="5ADE651A"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1127" w:type="dxa"/>
            <w:tcBorders>
              <w:right w:val="dotted" w:sz="4" w:space="0" w:color="auto"/>
            </w:tcBorders>
            <w:shd w:val="clear" w:color="auto" w:fill="BFBFBF" w:themeFill="background1" w:themeFillShade="BF"/>
            <w:noWrap/>
            <w:vAlign w:val="top"/>
            <w:hideMark/>
          </w:tcPr>
          <w:p w14:paraId="20D988DD"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1153" w:type="dxa"/>
            <w:tcBorders>
              <w:top w:val="nil"/>
              <w:left w:val="dotted" w:sz="4" w:space="0" w:color="auto"/>
              <w:bottom w:val="nil"/>
            </w:tcBorders>
            <w:shd w:val="clear" w:color="auto" w:fill="BFBFBF" w:themeFill="background1" w:themeFillShade="BF"/>
            <w:noWrap/>
            <w:vAlign w:val="top"/>
            <w:hideMark/>
          </w:tcPr>
          <w:p w14:paraId="546447C6"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r>
      <w:tr w:rsidR="00F830E6" w:rsidRPr="00063344" w14:paraId="160F1CAA" w14:textId="77777777" w:rsidTr="00F830E6">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63" w:type="dxa"/>
            <w:shd w:val="clear" w:color="auto" w:fill="auto"/>
            <w:noWrap/>
            <w:hideMark/>
          </w:tcPr>
          <w:p w14:paraId="0C173789"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1123" w:type="dxa"/>
            <w:shd w:val="clear" w:color="auto" w:fill="auto"/>
            <w:noWrap/>
            <w:vAlign w:val="top"/>
            <w:hideMark/>
          </w:tcPr>
          <w:p w14:paraId="71BA4A53"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80,278</w:t>
            </w:r>
          </w:p>
        </w:tc>
        <w:tc>
          <w:tcPr>
            <w:tcW w:w="1123" w:type="dxa"/>
            <w:shd w:val="clear" w:color="auto" w:fill="auto"/>
            <w:noWrap/>
            <w:vAlign w:val="top"/>
            <w:hideMark/>
          </w:tcPr>
          <w:p w14:paraId="12C23DE7"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157,984</w:t>
            </w:r>
          </w:p>
        </w:tc>
        <w:tc>
          <w:tcPr>
            <w:tcW w:w="1123" w:type="dxa"/>
            <w:shd w:val="clear" w:color="auto" w:fill="auto"/>
            <w:noWrap/>
            <w:vAlign w:val="top"/>
            <w:hideMark/>
          </w:tcPr>
          <w:p w14:paraId="40CD8230"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228,538</w:t>
            </w:r>
          </w:p>
        </w:tc>
        <w:tc>
          <w:tcPr>
            <w:tcW w:w="1127" w:type="dxa"/>
            <w:tcBorders>
              <w:right w:val="dotted" w:sz="4" w:space="0" w:color="auto"/>
            </w:tcBorders>
            <w:shd w:val="clear" w:color="auto" w:fill="auto"/>
            <w:noWrap/>
            <w:vAlign w:val="top"/>
            <w:hideMark/>
          </w:tcPr>
          <w:p w14:paraId="270838EA"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296,744</w:t>
            </w:r>
          </w:p>
        </w:tc>
        <w:tc>
          <w:tcPr>
            <w:tcW w:w="1153" w:type="dxa"/>
            <w:tcBorders>
              <w:top w:val="nil"/>
              <w:left w:val="dotted" w:sz="4" w:space="0" w:color="auto"/>
              <w:bottom w:val="nil"/>
            </w:tcBorders>
            <w:shd w:val="clear" w:color="auto" w:fill="auto"/>
            <w:noWrap/>
            <w:vAlign w:val="top"/>
            <w:hideMark/>
          </w:tcPr>
          <w:p w14:paraId="017C3BCF"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677,575</w:t>
            </w:r>
          </w:p>
        </w:tc>
      </w:tr>
      <w:tr w:rsidR="00563377" w:rsidRPr="00063344" w14:paraId="4D25B69C" w14:textId="77777777" w:rsidTr="00F830E6">
        <w:trPr>
          <w:trHeight w:val="309"/>
        </w:trPr>
        <w:tc>
          <w:tcPr>
            <w:cnfStyle w:val="001000000000" w:firstRow="0" w:lastRow="0" w:firstColumn="1" w:lastColumn="0" w:oddVBand="0" w:evenVBand="0" w:oddHBand="0" w:evenHBand="0" w:firstRowFirstColumn="0" w:firstRowLastColumn="0" w:lastRowFirstColumn="0" w:lastRowLastColumn="0"/>
            <w:tcW w:w="3163" w:type="dxa"/>
            <w:noWrap/>
            <w:hideMark/>
          </w:tcPr>
          <w:p w14:paraId="5CCB5C88"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1123" w:type="dxa"/>
            <w:noWrap/>
            <w:vAlign w:val="top"/>
            <w:hideMark/>
          </w:tcPr>
          <w:p w14:paraId="00A9AA49"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9,531</w:t>
            </w:r>
          </w:p>
        </w:tc>
        <w:tc>
          <w:tcPr>
            <w:tcW w:w="1123" w:type="dxa"/>
            <w:noWrap/>
            <w:vAlign w:val="top"/>
            <w:hideMark/>
          </w:tcPr>
          <w:p w14:paraId="07F6584A"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19,046</w:t>
            </w:r>
          </w:p>
        </w:tc>
        <w:tc>
          <w:tcPr>
            <w:tcW w:w="1123" w:type="dxa"/>
            <w:noWrap/>
            <w:vAlign w:val="top"/>
            <w:hideMark/>
          </w:tcPr>
          <w:p w14:paraId="10A5B0FB"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28,280</w:t>
            </w:r>
          </w:p>
        </w:tc>
        <w:tc>
          <w:tcPr>
            <w:tcW w:w="1127" w:type="dxa"/>
            <w:tcBorders>
              <w:right w:val="dotted" w:sz="4" w:space="0" w:color="auto"/>
            </w:tcBorders>
            <w:noWrap/>
            <w:vAlign w:val="top"/>
            <w:hideMark/>
          </w:tcPr>
          <w:p w14:paraId="3F833E99"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37,211</w:t>
            </w:r>
          </w:p>
        </w:tc>
        <w:tc>
          <w:tcPr>
            <w:tcW w:w="1153" w:type="dxa"/>
            <w:tcBorders>
              <w:top w:val="nil"/>
              <w:left w:val="dotted" w:sz="4" w:space="0" w:color="auto"/>
              <w:bottom w:val="nil"/>
            </w:tcBorders>
            <w:noWrap/>
            <w:vAlign w:val="top"/>
            <w:hideMark/>
          </w:tcPr>
          <w:p w14:paraId="290558A0"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87,092</w:t>
            </w:r>
          </w:p>
        </w:tc>
      </w:tr>
      <w:tr w:rsidR="00F830E6" w:rsidRPr="00063344" w14:paraId="52079E95" w14:textId="77777777" w:rsidTr="00F830E6">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63" w:type="dxa"/>
            <w:shd w:val="clear" w:color="auto" w:fill="auto"/>
            <w:noWrap/>
            <w:hideMark/>
          </w:tcPr>
          <w:p w14:paraId="3ADB5943"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variance to baseline</w:t>
            </w:r>
          </w:p>
        </w:tc>
        <w:tc>
          <w:tcPr>
            <w:tcW w:w="1123" w:type="dxa"/>
            <w:shd w:val="clear" w:color="auto" w:fill="auto"/>
            <w:noWrap/>
            <w:vAlign w:val="top"/>
            <w:hideMark/>
          </w:tcPr>
          <w:p w14:paraId="0BFC29F9"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13.5%</w:t>
            </w:r>
          </w:p>
        </w:tc>
        <w:tc>
          <w:tcPr>
            <w:tcW w:w="1123" w:type="dxa"/>
            <w:shd w:val="clear" w:color="auto" w:fill="auto"/>
            <w:noWrap/>
            <w:vAlign w:val="top"/>
            <w:hideMark/>
          </w:tcPr>
          <w:p w14:paraId="63E2E5A2"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13.7%</w:t>
            </w:r>
          </w:p>
        </w:tc>
        <w:tc>
          <w:tcPr>
            <w:tcW w:w="1123" w:type="dxa"/>
            <w:shd w:val="clear" w:color="auto" w:fill="auto"/>
            <w:noWrap/>
            <w:vAlign w:val="top"/>
            <w:hideMark/>
          </w:tcPr>
          <w:p w14:paraId="12907031"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14.1%</w:t>
            </w:r>
          </w:p>
        </w:tc>
        <w:tc>
          <w:tcPr>
            <w:tcW w:w="1127" w:type="dxa"/>
            <w:tcBorders>
              <w:right w:val="dotted" w:sz="4" w:space="0" w:color="auto"/>
            </w:tcBorders>
            <w:shd w:val="clear" w:color="auto" w:fill="auto"/>
            <w:noWrap/>
            <w:vAlign w:val="top"/>
            <w:hideMark/>
          </w:tcPr>
          <w:p w14:paraId="4A2CB056"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14.3%</w:t>
            </w:r>
          </w:p>
        </w:tc>
        <w:tc>
          <w:tcPr>
            <w:tcW w:w="1153" w:type="dxa"/>
            <w:tcBorders>
              <w:top w:val="nil"/>
              <w:left w:val="dotted" w:sz="4" w:space="0" w:color="auto"/>
              <w:bottom w:val="nil"/>
            </w:tcBorders>
            <w:shd w:val="clear" w:color="auto" w:fill="auto"/>
            <w:noWrap/>
            <w:vAlign w:val="top"/>
            <w:hideMark/>
          </w:tcPr>
          <w:p w14:paraId="2F75B759"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14.7%</w:t>
            </w:r>
          </w:p>
        </w:tc>
      </w:tr>
      <w:tr w:rsidR="008116E1" w:rsidRPr="00063344" w14:paraId="522010C0" w14:textId="77777777" w:rsidTr="00563377">
        <w:trPr>
          <w:trHeight w:val="309"/>
        </w:trPr>
        <w:tc>
          <w:tcPr>
            <w:cnfStyle w:val="001000000000" w:firstRow="0" w:lastRow="0" w:firstColumn="1" w:lastColumn="0" w:oddVBand="0" w:evenVBand="0" w:oddHBand="0" w:evenHBand="0" w:firstRowFirstColumn="0" w:firstRowLastColumn="0" w:lastRowFirstColumn="0" w:lastRowLastColumn="0"/>
            <w:tcW w:w="3163" w:type="dxa"/>
            <w:shd w:val="clear" w:color="auto" w:fill="BFBFBF" w:themeFill="background1" w:themeFillShade="BF"/>
            <w:noWrap/>
            <w:hideMark/>
          </w:tcPr>
          <w:p w14:paraId="095B9E63" w14:textId="77777777" w:rsidR="00563377" w:rsidRPr="00063344" w:rsidRDefault="00563377" w:rsidP="00563377">
            <w:pPr>
              <w:spacing w:after="0" w:line="240" w:lineRule="auto"/>
              <w:rPr>
                <w:rFonts w:eastAsia="Times New Roman" w:cs="Arial"/>
                <w:b/>
                <w:bCs/>
                <w:i/>
                <w:iCs/>
                <w:color w:val="000000"/>
                <w:sz w:val="20"/>
                <w:szCs w:val="20"/>
                <w:lang w:eastAsia="en-AU"/>
              </w:rPr>
            </w:pPr>
            <w:r w:rsidRPr="00063344">
              <w:rPr>
                <w:rFonts w:eastAsia="Times New Roman" w:cs="Arial"/>
                <w:b/>
                <w:bCs/>
                <w:i/>
                <w:iCs/>
                <w:color w:val="000000"/>
                <w:sz w:val="20"/>
                <w:szCs w:val="20"/>
                <w:lang w:eastAsia="en-AU"/>
              </w:rPr>
              <w:t>All projected participants</w:t>
            </w:r>
          </w:p>
        </w:tc>
        <w:tc>
          <w:tcPr>
            <w:tcW w:w="1123" w:type="dxa"/>
            <w:shd w:val="clear" w:color="auto" w:fill="BFBFBF" w:themeFill="background1" w:themeFillShade="BF"/>
            <w:noWrap/>
            <w:vAlign w:val="top"/>
            <w:hideMark/>
          </w:tcPr>
          <w:p w14:paraId="1AD7F0CB"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1123" w:type="dxa"/>
            <w:shd w:val="clear" w:color="auto" w:fill="BFBFBF" w:themeFill="background1" w:themeFillShade="BF"/>
            <w:noWrap/>
            <w:vAlign w:val="top"/>
            <w:hideMark/>
          </w:tcPr>
          <w:p w14:paraId="693D5164"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1123" w:type="dxa"/>
            <w:shd w:val="clear" w:color="auto" w:fill="BFBFBF" w:themeFill="background1" w:themeFillShade="BF"/>
            <w:noWrap/>
            <w:vAlign w:val="top"/>
            <w:hideMark/>
          </w:tcPr>
          <w:p w14:paraId="70686BA0"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1127" w:type="dxa"/>
            <w:tcBorders>
              <w:right w:val="dotted" w:sz="4" w:space="0" w:color="auto"/>
            </w:tcBorders>
            <w:shd w:val="clear" w:color="auto" w:fill="BFBFBF" w:themeFill="background1" w:themeFillShade="BF"/>
            <w:noWrap/>
            <w:vAlign w:val="top"/>
            <w:hideMark/>
          </w:tcPr>
          <w:p w14:paraId="70F5D474"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1153" w:type="dxa"/>
            <w:tcBorders>
              <w:top w:val="nil"/>
              <w:left w:val="dotted" w:sz="4" w:space="0" w:color="auto"/>
              <w:bottom w:val="nil"/>
            </w:tcBorders>
            <w:shd w:val="clear" w:color="auto" w:fill="BFBFBF" w:themeFill="background1" w:themeFillShade="BF"/>
            <w:noWrap/>
            <w:vAlign w:val="top"/>
            <w:hideMark/>
          </w:tcPr>
          <w:p w14:paraId="21E465BF"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r>
      <w:tr w:rsidR="00F830E6" w:rsidRPr="00063344" w14:paraId="39C9E04F" w14:textId="77777777" w:rsidTr="00F830E6">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63" w:type="dxa"/>
            <w:shd w:val="clear" w:color="auto" w:fill="auto"/>
            <w:noWrap/>
            <w:hideMark/>
          </w:tcPr>
          <w:p w14:paraId="332F70B7"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1123" w:type="dxa"/>
            <w:shd w:val="clear" w:color="auto" w:fill="auto"/>
            <w:noWrap/>
            <w:vAlign w:val="top"/>
            <w:hideMark/>
          </w:tcPr>
          <w:p w14:paraId="3E03E396"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601,825</w:t>
            </w:r>
          </w:p>
        </w:tc>
        <w:tc>
          <w:tcPr>
            <w:tcW w:w="1123" w:type="dxa"/>
            <w:shd w:val="clear" w:color="auto" w:fill="auto"/>
            <w:noWrap/>
            <w:vAlign w:val="top"/>
            <w:hideMark/>
          </w:tcPr>
          <w:p w14:paraId="363ED9CB"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665,058</w:t>
            </w:r>
          </w:p>
        </w:tc>
        <w:tc>
          <w:tcPr>
            <w:tcW w:w="1123" w:type="dxa"/>
            <w:shd w:val="clear" w:color="auto" w:fill="auto"/>
            <w:noWrap/>
            <w:vAlign w:val="top"/>
            <w:hideMark/>
          </w:tcPr>
          <w:p w14:paraId="24361498"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722,168</w:t>
            </w:r>
          </w:p>
        </w:tc>
        <w:tc>
          <w:tcPr>
            <w:tcW w:w="1127" w:type="dxa"/>
            <w:tcBorders>
              <w:right w:val="dotted" w:sz="4" w:space="0" w:color="auto"/>
            </w:tcBorders>
            <w:shd w:val="clear" w:color="auto" w:fill="auto"/>
            <w:noWrap/>
            <w:vAlign w:val="top"/>
            <w:hideMark/>
          </w:tcPr>
          <w:p w14:paraId="49C0C883"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778,288</w:t>
            </w:r>
          </w:p>
        </w:tc>
        <w:tc>
          <w:tcPr>
            <w:tcW w:w="1153" w:type="dxa"/>
            <w:tcBorders>
              <w:top w:val="nil"/>
              <w:left w:val="dotted" w:sz="4" w:space="0" w:color="auto"/>
              <w:bottom w:val="nil"/>
            </w:tcBorders>
            <w:shd w:val="clear" w:color="auto" w:fill="auto"/>
            <w:noWrap/>
            <w:vAlign w:val="top"/>
            <w:hideMark/>
          </w:tcPr>
          <w:p w14:paraId="03D91366"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1,104,614</w:t>
            </w:r>
          </w:p>
        </w:tc>
      </w:tr>
      <w:tr w:rsidR="00563377" w:rsidRPr="00063344" w14:paraId="5514C3DE" w14:textId="77777777" w:rsidTr="00F830E6">
        <w:trPr>
          <w:trHeight w:val="309"/>
        </w:trPr>
        <w:tc>
          <w:tcPr>
            <w:cnfStyle w:val="001000000000" w:firstRow="0" w:lastRow="0" w:firstColumn="1" w:lastColumn="0" w:oddVBand="0" w:evenVBand="0" w:oddHBand="0" w:evenHBand="0" w:firstRowFirstColumn="0" w:firstRowLastColumn="0" w:lastRowFirstColumn="0" w:lastRowLastColumn="0"/>
            <w:tcW w:w="3163" w:type="dxa"/>
            <w:noWrap/>
            <w:hideMark/>
          </w:tcPr>
          <w:p w14:paraId="10AF0FA4"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1123" w:type="dxa"/>
            <w:noWrap/>
            <w:vAlign w:val="top"/>
            <w:hideMark/>
          </w:tcPr>
          <w:p w14:paraId="26F7D15C"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9,531</w:t>
            </w:r>
          </w:p>
        </w:tc>
        <w:tc>
          <w:tcPr>
            <w:tcW w:w="1123" w:type="dxa"/>
            <w:noWrap/>
            <w:vAlign w:val="top"/>
            <w:hideMark/>
          </w:tcPr>
          <w:p w14:paraId="0C27748A"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19,046</w:t>
            </w:r>
          </w:p>
        </w:tc>
        <w:tc>
          <w:tcPr>
            <w:tcW w:w="1123" w:type="dxa"/>
            <w:noWrap/>
            <w:vAlign w:val="top"/>
            <w:hideMark/>
          </w:tcPr>
          <w:p w14:paraId="60AE9BDC"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28,280</w:t>
            </w:r>
          </w:p>
        </w:tc>
        <w:tc>
          <w:tcPr>
            <w:tcW w:w="1127" w:type="dxa"/>
            <w:tcBorders>
              <w:right w:val="dotted" w:sz="4" w:space="0" w:color="auto"/>
            </w:tcBorders>
            <w:noWrap/>
            <w:vAlign w:val="top"/>
            <w:hideMark/>
          </w:tcPr>
          <w:p w14:paraId="259E3CF0"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37,211</w:t>
            </w:r>
          </w:p>
        </w:tc>
        <w:tc>
          <w:tcPr>
            <w:tcW w:w="1153" w:type="dxa"/>
            <w:tcBorders>
              <w:top w:val="nil"/>
              <w:left w:val="dotted" w:sz="4" w:space="0" w:color="auto"/>
              <w:bottom w:val="nil"/>
            </w:tcBorders>
            <w:noWrap/>
            <w:vAlign w:val="top"/>
            <w:hideMark/>
          </w:tcPr>
          <w:p w14:paraId="429479E3"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87,092</w:t>
            </w:r>
          </w:p>
        </w:tc>
      </w:tr>
      <w:tr w:rsidR="00F830E6" w:rsidRPr="00063344" w14:paraId="751C8FF1" w14:textId="77777777" w:rsidTr="00F830E6">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163" w:type="dxa"/>
            <w:shd w:val="clear" w:color="auto" w:fill="auto"/>
            <w:noWrap/>
            <w:hideMark/>
          </w:tcPr>
          <w:p w14:paraId="18AB03A7"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variance to baseline</w:t>
            </w:r>
          </w:p>
        </w:tc>
        <w:tc>
          <w:tcPr>
            <w:tcW w:w="1123" w:type="dxa"/>
            <w:shd w:val="clear" w:color="auto" w:fill="auto"/>
            <w:noWrap/>
            <w:vAlign w:val="top"/>
            <w:hideMark/>
          </w:tcPr>
          <w:p w14:paraId="73B7D5A3"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1.6%</w:t>
            </w:r>
          </w:p>
        </w:tc>
        <w:tc>
          <w:tcPr>
            <w:tcW w:w="1123" w:type="dxa"/>
            <w:shd w:val="clear" w:color="auto" w:fill="auto"/>
            <w:noWrap/>
            <w:vAlign w:val="top"/>
            <w:hideMark/>
          </w:tcPr>
          <w:p w14:paraId="6E8BC25A"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2.9%</w:t>
            </w:r>
          </w:p>
        </w:tc>
        <w:tc>
          <w:tcPr>
            <w:tcW w:w="1123" w:type="dxa"/>
            <w:shd w:val="clear" w:color="auto" w:fill="auto"/>
            <w:noWrap/>
            <w:vAlign w:val="top"/>
            <w:hideMark/>
          </w:tcPr>
          <w:p w14:paraId="02ABE585"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4.1%</w:t>
            </w:r>
          </w:p>
        </w:tc>
        <w:tc>
          <w:tcPr>
            <w:tcW w:w="1127" w:type="dxa"/>
            <w:tcBorders>
              <w:right w:val="dotted" w:sz="4" w:space="0" w:color="auto"/>
            </w:tcBorders>
            <w:shd w:val="clear" w:color="auto" w:fill="auto"/>
            <w:noWrap/>
            <w:vAlign w:val="top"/>
            <w:hideMark/>
          </w:tcPr>
          <w:p w14:paraId="1790C54F"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5.0%</w:t>
            </w:r>
          </w:p>
        </w:tc>
        <w:tc>
          <w:tcPr>
            <w:tcW w:w="1153" w:type="dxa"/>
            <w:tcBorders>
              <w:top w:val="nil"/>
              <w:left w:val="dotted" w:sz="4" w:space="0" w:color="auto"/>
              <w:bottom w:val="single" w:sz="4" w:space="0" w:color="auto"/>
            </w:tcBorders>
            <w:shd w:val="clear" w:color="auto" w:fill="auto"/>
            <w:noWrap/>
            <w:vAlign w:val="top"/>
            <w:hideMark/>
          </w:tcPr>
          <w:p w14:paraId="27EE1EB3"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8.6%</w:t>
            </w:r>
          </w:p>
        </w:tc>
      </w:tr>
    </w:tbl>
    <w:p w14:paraId="63CB055D" w14:textId="77777777" w:rsidR="00C95AF6" w:rsidRPr="00063344" w:rsidRDefault="00C95AF6" w:rsidP="00DA3F73">
      <w:pPr>
        <w:pStyle w:val="Tables"/>
      </w:pPr>
    </w:p>
    <w:p w14:paraId="7E99A184" w14:textId="77777777" w:rsidR="00251F21" w:rsidRPr="00DA3F73" w:rsidRDefault="00251F21" w:rsidP="00251F21">
      <w:pPr>
        <w:pStyle w:val="FSRHeading5"/>
        <w:rPr>
          <w:i w:val="0"/>
          <w:color w:val="6B2976"/>
          <w:sz w:val="22"/>
        </w:rPr>
      </w:pPr>
      <w:r w:rsidRPr="00DA3F73">
        <w:rPr>
          <w:i w:val="0"/>
          <w:color w:val="6B2976"/>
          <w:sz w:val="22"/>
        </w:rPr>
        <w:t>Scenario: Lower assumptions regarding the number of new participants</w:t>
      </w:r>
    </w:p>
    <w:p w14:paraId="66D631E6" w14:textId="77777777" w:rsidR="001B3F25" w:rsidRDefault="00251F21" w:rsidP="00DA3F73">
      <w:pPr>
        <w:pStyle w:val="FSRnormal"/>
        <w:spacing w:after="120"/>
      </w:pPr>
      <w:r w:rsidRPr="001B3F25">
        <w:t xml:space="preserve">In this scenario the assumptions relating to new entrants </w:t>
      </w:r>
      <w:r w:rsidR="00446162">
        <w:t>are</w:t>
      </w:r>
      <w:r w:rsidRPr="001B3F25">
        <w:t xml:space="preserve"> 15% lower than those assumed in the baseline projections.</w:t>
      </w:r>
    </w:p>
    <w:p w14:paraId="42452297" w14:textId="77777777" w:rsidR="00170EB2" w:rsidRDefault="00170EB2">
      <w:pPr>
        <w:spacing w:after="160" w:line="259" w:lineRule="auto"/>
        <w:rPr>
          <w:rFonts w:eastAsiaTheme="minorHAnsi"/>
          <w:b/>
          <w:bCs/>
          <w:szCs w:val="18"/>
          <w:lang w:eastAsia="en-US"/>
        </w:rPr>
      </w:pPr>
      <w:r>
        <w:br w:type="page"/>
      </w:r>
    </w:p>
    <w:p w14:paraId="714CD31E" w14:textId="77777777" w:rsidR="00251F21" w:rsidRPr="00063344" w:rsidRDefault="00251F21" w:rsidP="00DA3F73">
      <w:pPr>
        <w:pStyle w:val="Tables"/>
      </w:pPr>
      <w:r w:rsidRPr="00063344">
        <w:lastRenderedPageBreak/>
        <w:t xml:space="preserve">Table </w:t>
      </w:r>
      <w:r w:rsidR="001B3F25">
        <w:t>G</w:t>
      </w:r>
      <w:r w:rsidR="00994C5F">
        <w:t>.</w:t>
      </w:r>
      <w:fldSimple w:instr=" SEQ Table \* ARABIC \s 2 ">
        <w:r w:rsidR="00A87896">
          <w:rPr>
            <w:noProof/>
          </w:rPr>
          <w:t>4</w:t>
        </w:r>
      </w:fldSimple>
      <w:r w:rsidRPr="00063344">
        <w:t>: Lower assumptions regarding the number of new participants</w:t>
      </w:r>
    </w:p>
    <w:tbl>
      <w:tblPr>
        <w:tblStyle w:val="FSRtable"/>
        <w:tblW w:w="8674" w:type="dxa"/>
        <w:tblInd w:w="5" w:type="dxa"/>
        <w:tblLook w:val="04A0" w:firstRow="1" w:lastRow="0" w:firstColumn="1" w:lastColumn="0" w:noHBand="0" w:noVBand="1"/>
      </w:tblPr>
      <w:tblGrid>
        <w:gridCol w:w="3034"/>
        <w:gridCol w:w="1128"/>
        <w:gridCol w:w="1128"/>
        <w:gridCol w:w="1128"/>
        <w:gridCol w:w="1128"/>
        <w:gridCol w:w="1128"/>
      </w:tblGrid>
      <w:tr w:rsidR="00B613F8" w:rsidRPr="00063344" w14:paraId="744EBEB0" w14:textId="77777777" w:rsidTr="00F830E6">
        <w:trPr>
          <w:cnfStyle w:val="100000000000" w:firstRow="1" w:lastRow="0" w:firstColumn="0" w:lastColumn="0" w:oddVBand="0" w:evenVBand="0" w:oddHBand="0" w:evenHBand="0" w:firstRowFirstColumn="0" w:firstRowLastColumn="0" w:lastRowFirstColumn="0" w:lastRowLastColumn="0"/>
          <w:cantSplit/>
          <w:trHeight w:val="401"/>
          <w:tblHeader/>
        </w:trPr>
        <w:tc>
          <w:tcPr>
            <w:cnfStyle w:val="001000000000" w:firstRow="0" w:lastRow="0" w:firstColumn="1" w:lastColumn="0" w:oddVBand="0" w:evenVBand="0" w:oddHBand="0" w:evenHBand="0" w:firstRowFirstColumn="0" w:firstRowLastColumn="0" w:lastRowFirstColumn="0" w:lastRowLastColumn="0"/>
            <w:tcW w:w="3034" w:type="dxa"/>
            <w:noWrap/>
            <w:hideMark/>
          </w:tcPr>
          <w:p w14:paraId="2B4C250E" w14:textId="77777777" w:rsidR="00B613F8" w:rsidRPr="00063344" w:rsidRDefault="00B613F8" w:rsidP="00251F21">
            <w:pPr>
              <w:spacing w:after="0" w:line="240" w:lineRule="auto"/>
              <w:rPr>
                <w:rFonts w:eastAsia="Times New Roman"/>
                <w:color w:val="FFFFFF"/>
                <w:sz w:val="20"/>
                <w:szCs w:val="20"/>
                <w:lang w:eastAsia="en-AU"/>
              </w:rPr>
            </w:pPr>
            <w:r w:rsidRPr="00063344">
              <w:rPr>
                <w:rFonts w:eastAsia="Times New Roman"/>
                <w:color w:val="FFFFFF"/>
                <w:sz w:val="20"/>
                <w:szCs w:val="20"/>
                <w:lang w:eastAsia="en-AU"/>
              </w:rPr>
              <w:t> </w:t>
            </w:r>
          </w:p>
        </w:tc>
        <w:tc>
          <w:tcPr>
            <w:tcW w:w="5640" w:type="dxa"/>
            <w:gridSpan w:val="5"/>
            <w:tcBorders>
              <w:top w:val="single" w:sz="4" w:space="0" w:color="auto"/>
              <w:bottom w:val="dotted" w:sz="4" w:space="0" w:color="FFFFFF" w:themeColor="background1"/>
            </w:tcBorders>
            <w:noWrap/>
            <w:hideMark/>
          </w:tcPr>
          <w:p w14:paraId="23364701" w14:textId="77777777" w:rsidR="00B613F8" w:rsidRPr="00DA3F73" w:rsidRDefault="00B613F8" w:rsidP="00DA3F7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B613F8">
              <w:rPr>
                <w:rFonts w:eastAsia="Times New Roman"/>
                <w:bCs/>
                <w:color w:val="FFFFFF"/>
                <w:sz w:val="20"/>
                <w:szCs w:val="20"/>
                <w:lang w:eastAsia="en-AU"/>
              </w:rPr>
              <w:t>Projection Year </w:t>
            </w:r>
          </w:p>
        </w:tc>
      </w:tr>
      <w:tr w:rsidR="00F830E6" w:rsidRPr="009C7082" w14:paraId="628EC34F" w14:textId="77777777" w:rsidTr="00F830E6">
        <w:trPr>
          <w:cnfStyle w:val="100000000000" w:firstRow="1" w:lastRow="0" w:firstColumn="0" w:lastColumn="0" w:oddVBand="0" w:evenVBand="0" w:oddHBand="0" w:evenHBand="0" w:firstRowFirstColumn="0" w:firstRowLastColumn="0" w:lastRowFirstColumn="0" w:lastRowLastColumn="0"/>
          <w:cantSplit/>
          <w:trHeight w:val="401"/>
          <w:tblHeader/>
        </w:trPr>
        <w:tc>
          <w:tcPr>
            <w:cnfStyle w:val="001000000000" w:firstRow="0" w:lastRow="0" w:firstColumn="1" w:lastColumn="0" w:oddVBand="0" w:evenVBand="0" w:oddHBand="0" w:evenHBand="0" w:firstRowFirstColumn="0" w:firstRowLastColumn="0" w:lastRowFirstColumn="0" w:lastRowLastColumn="0"/>
            <w:tcW w:w="3034" w:type="dxa"/>
            <w:noWrap/>
            <w:hideMark/>
          </w:tcPr>
          <w:p w14:paraId="0BF6512A" w14:textId="77777777" w:rsidR="00251F21" w:rsidRPr="009C7082" w:rsidRDefault="00251F21" w:rsidP="00251F21">
            <w:pPr>
              <w:spacing w:after="0" w:line="240" w:lineRule="auto"/>
              <w:rPr>
                <w:rFonts w:eastAsia="Times New Roman"/>
                <w:color w:val="FFFFFF"/>
                <w:sz w:val="20"/>
                <w:szCs w:val="20"/>
                <w:lang w:eastAsia="en-AU"/>
              </w:rPr>
            </w:pPr>
            <w:r w:rsidRPr="009C7082">
              <w:rPr>
                <w:rFonts w:eastAsia="Times New Roman"/>
                <w:color w:val="FFFFFF"/>
                <w:sz w:val="20"/>
                <w:szCs w:val="20"/>
                <w:lang w:eastAsia="en-AU"/>
              </w:rPr>
              <w:t> </w:t>
            </w:r>
          </w:p>
        </w:tc>
        <w:tc>
          <w:tcPr>
            <w:tcW w:w="1128" w:type="dxa"/>
            <w:tcBorders>
              <w:top w:val="dotted" w:sz="4" w:space="0" w:color="FFFFFF" w:themeColor="background1"/>
            </w:tcBorders>
            <w:noWrap/>
            <w:hideMark/>
          </w:tcPr>
          <w:p w14:paraId="0394690A"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Jun-23</w:t>
            </w:r>
          </w:p>
        </w:tc>
        <w:tc>
          <w:tcPr>
            <w:tcW w:w="1128" w:type="dxa"/>
            <w:tcBorders>
              <w:top w:val="dotted" w:sz="4" w:space="0" w:color="FFFFFF" w:themeColor="background1"/>
            </w:tcBorders>
            <w:noWrap/>
            <w:hideMark/>
          </w:tcPr>
          <w:p w14:paraId="6F8E619F"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Jun-24</w:t>
            </w:r>
          </w:p>
        </w:tc>
        <w:tc>
          <w:tcPr>
            <w:tcW w:w="1128" w:type="dxa"/>
            <w:tcBorders>
              <w:top w:val="dotted" w:sz="4" w:space="0" w:color="FFFFFF" w:themeColor="background1"/>
            </w:tcBorders>
            <w:noWrap/>
            <w:hideMark/>
          </w:tcPr>
          <w:p w14:paraId="44440B6B"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Jun-25</w:t>
            </w:r>
          </w:p>
        </w:tc>
        <w:tc>
          <w:tcPr>
            <w:tcW w:w="1128" w:type="dxa"/>
            <w:tcBorders>
              <w:top w:val="dotted" w:sz="4" w:space="0" w:color="FFFFFF" w:themeColor="background1"/>
              <w:right w:val="dotted" w:sz="4" w:space="0" w:color="auto"/>
            </w:tcBorders>
            <w:noWrap/>
            <w:hideMark/>
          </w:tcPr>
          <w:p w14:paraId="0176EF0D"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Jun-26</w:t>
            </w:r>
          </w:p>
        </w:tc>
        <w:tc>
          <w:tcPr>
            <w:tcW w:w="1128" w:type="dxa"/>
            <w:tcBorders>
              <w:top w:val="dotted" w:sz="4" w:space="0" w:color="FFFFFF" w:themeColor="background1"/>
              <w:left w:val="dotted" w:sz="4" w:space="0" w:color="auto"/>
              <w:bottom w:val="nil"/>
            </w:tcBorders>
            <w:noWrap/>
            <w:hideMark/>
          </w:tcPr>
          <w:p w14:paraId="4ABD7DC5"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Jun-32</w:t>
            </w:r>
          </w:p>
        </w:tc>
      </w:tr>
      <w:tr w:rsidR="00F830E6" w:rsidRPr="00063344" w14:paraId="7ABB9ECB" w14:textId="77777777" w:rsidTr="00F830E6">
        <w:trPr>
          <w:cantSplit/>
          <w:trHeight w:val="304"/>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noWrap/>
            <w:hideMark/>
          </w:tcPr>
          <w:p w14:paraId="19E7A3B7" w14:textId="77777777" w:rsidR="00251F21" w:rsidRPr="00063344" w:rsidRDefault="00251F21" w:rsidP="00251F21">
            <w:pPr>
              <w:spacing w:after="0" w:line="240" w:lineRule="auto"/>
              <w:rPr>
                <w:rFonts w:eastAsia="Times New Roman" w:cs="Arial"/>
                <w:b/>
                <w:bCs/>
                <w:i/>
                <w:iCs/>
                <w:color w:val="000000"/>
                <w:sz w:val="20"/>
                <w:szCs w:val="20"/>
                <w:lang w:eastAsia="en-AU"/>
              </w:rPr>
            </w:pPr>
            <w:r w:rsidRPr="00063344">
              <w:rPr>
                <w:rFonts w:eastAsia="Times New Roman" w:cs="Arial"/>
                <w:b/>
                <w:bCs/>
                <w:i/>
                <w:iCs/>
                <w:color w:val="000000"/>
                <w:sz w:val="20"/>
                <w:szCs w:val="20"/>
                <w:lang w:eastAsia="en-AU"/>
              </w:rPr>
              <w:t>Existing participants</w:t>
            </w:r>
          </w:p>
        </w:tc>
        <w:tc>
          <w:tcPr>
            <w:tcW w:w="0" w:type="dxa"/>
            <w:shd w:val="clear" w:color="auto" w:fill="BFBFBF" w:themeFill="background1" w:themeFillShade="BF"/>
            <w:noWrap/>
            <w:hideMark/>
          </w:tcPr>
          <w:p w14:paraId="66805A2D" w14:textId="77777777" w:rsidR="00251F21" w:rsidRPr="00063344" w:rsidRDefault="00251F21" w:rsidP="00251F2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63344">
              <w:rPr>
                <w:rFonts w:eastAsia="Times New Roman" w:cs="Arial"/>
                <w:color w:val="000000"/>
                <w:sz w:val="20"/>
                <w:szCs w:val="20"/>
                <w:lang w:eastAsia="en-AU"/>
              </w:rPr>
              <w:t> </w:t>
            </w:r>
          </w:p>
        </w:tc>
        <w:tc>
          <w:tcPr>
            <w:tcW w:w="0" w:type="dxa"/>
            <w:shd w:val="clear" w:color="auto" w:fill="BFBFBF" w:themeFill="background1" w:themeFillShade="BF"/>
            <w:noWrap/>
            <w:hideMark/>
          </w:tcPr>
          <w:p w14:paraId="6510611D" w14:textId="77777777" w:rsidR="00251F21" w:rsidRPr="00063344" w:rsidRDefault="00251F21" w:rsidP="00251F2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63344">
              <w:rPr>
                <w:rFonts w:eastAsia="Times New Roman" w:cs="Arial"/>
                <w:color w:val="000000"/>
                <w:sz w:val="20"/>
                <w:szCs w:val="20"/>
                <w:lang w:eastAsia="en-AU"/>
              </w:rPr>
              <w:t> </w:t>
            </w:r>
          </w:p>
        </w:tc>
        <w:tc>
          <w:tcPr>
            <w:tcW w:w="0" w:type="dxa"/>
            <w:shd w:val="clear" w:color="auto" w:fill="BFBFBF" w:themeFill="background1" w:themeFillShade="BF"/>
            <w:noWrap/>
            <w:hideMark/>
          </w:tcPr>
          <w:p w14:paraId="406A7D89" w14:textId="77777777" w:rsidR="00251F21" w:rsidRPr="00063344" w:rsidRDefault="00251F21" w:rsidP="00251F2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63344">
              <w:rPr>
                <w:rFonts w:eastAsia="Times New Roman" w:cs="Arial"/>
                <w:color w:val="000000"/>
                <w:sz w:val="20"/>
                <w:szCs w:val="20"/>
                <w:lang w:eastAsia="en-AU"/>
              </w:rPr>
              <w:t> </w:t>
            </w:r>
          </w:p>
        </w:tc>
        <w:tc>
          <w:tcPr>
            <w:tcW w:w="0" w:type="dxa"/>
            <w:tcBorders>
              <w:right w:val="dotted" w:sz="4" w:space="0" w:color="auto"/>
            </w:tcBorders>
            <w:shd w:val="clear" w:color="auto" w:fill="BFBFBF" w:themeFill="background1" w:themeFillShade="BF"/>
            <w:noWrap/>
            <w:hideMark/>
          </w:tcPr>
          <w:p w14:paraId="505ECF1B" w14:textId="77777777" w:rsidR="00251F21" w:rsidRPr="00063344" w:rsidRDefault="00251F21" w:rsidP="00251F2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63344">
              <w:rPr>
                <w:rFonts w:eastAsia="Times New Roman" w:cs="Arial"/>
                <w:color w:val="000000"/>
                <w:sz w:val="20"/>
                <w:szCs w:val="20"/>
                <w:lang w:eastAsia="en-AU"/>
              </w:rPr>
              <w:t> </w:t>
            </w:r>
          </w:p>
        </w:tc>
        <w:tc>
          <w:tcPr>
            <w:tcW w:w="0" w:type="dxa"/>
            <w:tcBorders>
              <w:top w:val="nil"/>
              <w:left w:val="dotted" w:sz="4" w:space="0" w:color="auto"/>
              <w:bottom w:val="nil"/>
            </w:tcBorders>
            <w:shd w:val="clear" w:color="auto" w:fill="BFBFBF" w:themeFill="background1" w:themeFillShade="BF"/>
            <w:noWrap/>
            <w:hideMark/>
          </w:tcPr>
          <w:p w14:paraId="603C0C95" w14:textId="77777777" w:rsidR="00251F21" w:rsidRPr="00063344" w:rsidRDefault="00251F21" w:rsidP="00251F2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63344">
              <w:rPr>
                <w:rFonts w:eastAsia="Times New Roman" w:cs="Arial"/>
                <w:color w:val="000000"/>
                <w:sz w:val="20"/>
                <w:szCs w:val="20"/>
                <w:lang w:eastAsia="en-AU"/>
              </w:rPr>
              <w:t> </w:t>
            </w:r>
          </w:p>
        </w:tc>
      </w:tr>
      <w:tr w:rsidR="00F830E6" w:rsidRPr="00063344" w14:paraId="01EBCF60" w14:textId="77777777" w:rsidTr="00F830E6">
        <w:trPr>
          <w:cnfStyle w:val="000000010000" w:firstRow="0" w:lastRow="0" w:firstColumn="0" w:lastColumn="0" w:oddVBand="0" w:evenVBand="0" w:oddHBand="0" w:evenHBand="1" w:firstRowFirstColumn="0" w:firstRowLastColumn="0" w:lastRowFirstColumn="0" w:lastRowLastColumn="0"/>
          <w:cantSplit/>
          <w:trHeight w:val="304"/>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0AC7DCD1"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0" w:type="dxa"/>
            <w:shd w:val="clear" w:color="auto" w:fill="auto"/>
            <w:noWrap/>
            <w:vAlign w:val="top"/>
            <w:hideMark/>
          </w:tcPr>
          <w:p w14:paraId="306EF633"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521,547</w:t>
            </w:r>
          </w:p>
        </w:tc>
        <w:tc>
          <w:tcPr>
            <w:tcW w:w="0" w:type="dxa"/>
            <w:shd w:val="clear" w:color="auto" w:fill="auto"/>
            <w:noWrap/>
            <w:vAlign w:val="top"/>
            <w:hideMark/>
          </w:tcPr>
          <w:p w14:paraId="2BE7C5D1"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507,074</w:t>
            </w:r>
          </w:p>
        </w:tc>
        <w:tc>
          <w:tcPr>
            <w:tcW w:w="0" w:type="dxa"/>
            <w:shd w:val="clear" w:color="auto" w:fill="auto"/>
            <w:noWrap/>
            <w:vAlign w:val="top"/>
            <w:hideMark/>
          </w:tcPr>
          <w:p w14:paraId="759C9ABF"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493,631</w:t>
            </w:r>
          </w:p>
        </w:tc>
        <w:tc>
          <w:tcPr>
            <w:tcW w:w="0" w:type="dxa"/>
            <w:tcBorders>
              <w:right w:val="dotted" w:sz="4" w:space="0" w:color="auto"/>
            </w:tcBorders>
            <w:shd w:val="clear" w:color="auto" w:fill="auto"/>
            <w:noWrap/>
            <w:vAlign w:val="top"/>
            <w:hideMark/>
          </w:tcPr>
          <w:p w14:paraId="13E97798"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481,543</w:t>
            </w:r>
          </w:p>
        </w:tc>
        <w:tc>
          <w:tcPr>
            <w:tcW w:w="0" w:type="dxa"/>
            <w:tcBorders>
              <w:top w:val="nil"/>
              <w:left w:val="dotted" w:sz="4" w:space="0" w:color="auto"/>
              <w:bottom w:val="nil"/>
            </w:tcBorders>
            <w:shd w:val="clear" w:color="auto" w:fill="auto"/>
            <w:noWrap/>
            <w:vAlign w:val="top"/>
            <w:hideMark/>
          </w:tcPr>
          <w:p w14:paraId="7E9DAC66"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427,039</w:t>
            </w:r>
          </w:p>
        </w:tc>
      </w:tr>
      <w:tr w:rsidR="00563377" w:rsidRPr="00063344" w14:paraId="7576B107" w14:textId="77777777" w:rsidTr="00F830E6">
        <w:trPr>
          <w:cantSplit/>
          <w:trHeight w:val="304"/>
        </w:trPr>
        <w:tc>
          <w:tcPr>
            <w:cnfStyle w:val="001000000000" w:firstRow="0" w:lastRow="0" w:firstColumn="1" w:lastColumn="0" w:oddVBand="0" w:evenVBand="0" w:oddHBand="0" w:evenHBand="0" w:firstRowFirstColumn="0" w:firstRowLastColumn="0" w:lastRowFirstColumn="0" w:lastRowLastColumn="0"/>
            <w:tcW w:w="3034" w:type="dxa"/>
            <w:noWrap/>
            <w:hideMark/>
          </w:tcPr>
          <w:p w14:paraId="4E7F5557"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1128" w:type="dxa"/>
            <w:noWrap/>
            <w:vAlign w:val="top"/>
            <w:hideMark/>
          </w:tcPr>
          <w:p w14:paraId="05F9BEAE"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0</w:t>
            </w:r>
          </w:p>
        </w:tc>
        <w:tc>
          <w:tcPr>
            <w:tcW w:w="1128" w:type="dxa"/>
            <w:noWrap/>
            <w:vAlign w:val="top"/>
            <w:hideMark/>
          </w:tcPr>
          <w:p w14:paraId="5914DC0C"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0</w:t>
            </w:r>
          </w:p>
        </w:tc>
        <w:tc>
          <w:tcPr>
            <w:tcW w:w="1128" w:type="dxa"/>
            <w:noWrap/>
            <w:vAlign w:val="top"/>
            <w:hideMark/>
          </w:tcPr>
          <w:p w14:paraId="104A931A"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0</w:t>
            </w:r>
          </w:p>
        </w:tc>
        <w:tc>
          <w:tcPr>
            <w:tcW w:w="1128" w:type="dxa"/>
            <w:tcBorders>
              <w:right w:val="dotted" w:sz="4" w:space="0" w:color="auto"/>
            </w:tcBorders>
            <w:noWrap/>
            <w:vAlign w:val="top"/>
            <w:hideMark/>
          </w:tcPr>
          <w:p w14:paraId="17F9FEA6"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0</w:t>
            </w:r>
          </w:p>
        </w:tc>
        <w:tc>
          <w:tcPr>
            <w:tcW w:w="1128" w:type="dxa"/>
            <w:tcBorders>
              <w:top w:val="nil"/>
              <w:left w:val="dotted" w:sz="4" w:space="0" w:color="auto"/>
              <w:bottom w:val="nil"/>
            </w:tcBorders>
            <w:noWrap/>
            <w:vAlign w:val="top"/>
            <w:hideMark/>
          </w:tcPr>
          <w:p w14:paraId="6CAAF49A"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0</w:t>
            </w:r>
          </w:p>
        </w:tc>
      </w:tr>
      <w:tr w:rsidR="00F830E6" w:rsidRPr="00063344" w14:paraId="3CAEBA24" w14:textId="77777777" w:rsidTr="00F830E6">
        <w:trPr>
          <w:cnfStyle w:val="000000010000" w:firstRow="0" w:lastRow="0" w:firstColumn="0" w:lastColumn="0" w:oddVBand="0" w:evenVBand="0" w:oddHBand="0" w:evenHBand="1" w:firstRowFirstColumn="0" w:firstRowLastColumn="0" w:lastRowFirstColumn="0" w:lastRowLastColumn="0"/>
          <w:cantSplit/>
          <w:trHeight w:val="304"/>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657247C3"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variance to baseline</w:t>
            </w:r>
          </w:p>
        </w:tc>
        <w:tc>
          <w:tcPr>
            <w:tcW w:w="0" w:type="dxa"/>
            <w:shd w:val="clear" w:color="auto" w:fill="auto"/>
            <w:noWrap/>
            <w:vAlign w:val="top"/>
            <w:hideMark/>
          </w:tcPr>
          <w:p w14:paraId="6C37E52B"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0.0%</w:t>
            </w:r>
          </w:p>
        </w:tc>
        <w:tc>
          <w:tcPr>
            <w:tcW w:w="0" w:type="dxa"/>
            <w:shd w:val="clear" w:color="auto" w:fill="auto"/>
            <w:noWrap/>
            <w:vAlign w:val="top"/>
            <w:hideMark/>
          </w:tcPr>
          <w:p w14:paraId="375FA0F3"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0.0%</w:t>
            </w:r>
          </w:p>
        </w:tc>
        <w:tc>
          <w:tcPr>
            <w:tcW w:w="0" w:type="dxa"/>
            <w:shd w:val="clear" w:color="auto" w:fill="auto"/>
            <w:noWrap/>
            <w:vAlign w:val="top"/>
            <w:hideMark/>
          </w:tcPr>
          <w:p w14:paraId="6AAE6DB4"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0.0%</w:t>
            </w:r>
          </w:p>
        </w:tc>
        <w:tc>
          <w:tcPr>
            <w:tcW w:w="0" w:type="dxa"/>
            <w:tcBorders>
              <w:right w:val="dotted" w:sz="4" w:space="0" w:color="auto"/>
            </w:tcBorders>
            <w:shd w:val="clear" w:color="auto" w:fill="auto"/>
            <w:noWrap/>
            <w:vAlign w:val="top"/>
            <w:hideMark/>
          </w:tcPr>
          <w:p w14:paraId="40B39404"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0.0%</w:t>
            </w:r>
          </w:p>
        </w:tc>
        <w:tc>
          <w:tcPr>
            <w:tcW w:w="0" w:type="dxa"/>
            <w:tcBorders>
              <w:top w:val="nil"/>
              <w:left w:val="dotted" w:sz="4" w:space="0" w:color="auto"/>
              <w:bottom w:val="nil"/>
            </w:tcBorders>
            <w:shd w:val="clear" w:color="auto" w:fill="auto"/>
            <w:noWrap/>
            <w:vAlign w:val="top"/>
            <w:hideMark/>
          </w:tcPr>
          <w:p w14:paraId="4442406F"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0.0%</w:t>
            </w:r>
          </w:p>
        </w:tc>
      </w:tr>
      <w:tr w:rsidR="00F830E6" w:rsidRPr="00063344" w14:paraId="24AF55EE" w14:textId="77777777" w:rsidTr="00F830E6">
        <w:trPr>
          <w:cantSplit/>
          <w:trHeight w:val="304"/>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noWrap/>
            <w:hideMark/>
          </w:tcPr>
          <w:p w14:paraId="1627CC6D" w14:textId="77777777" w:rsidR="00563377" w:rsidRPr="00063344" w:rsidRDefault="00563377" w:rsidP="00563377">
            <w:pPr>
              <w:spacing w:after="0" w:line="240" w:lineRule="auto"/>
              <w:rPr>
                <w:rFonts w:eastAsia="Times New Roman" w:cs="Arial"/>
                <w:b/>
                <w:bCs/>
                <w:i/>
                <w:iCs/>
                <w:color w:val="000000"/>
                <w:sz w:val="20"/>
                <w:szCs w:val="20"/>
                <w:lang w:eastAsia="en-AU"/>
              </w:rPr>
            </w:pPr>
            <w:r w:rsidRPr="00063344">
              <w:rPr>
                <w:rFonts w:eastAsia="Times New Roman" w:cs="Arial"/>
                <w:b/>
                <w:bCs/>
                <w:i/>
                <w:iCs/>
                <w:color w:val="000000"/>
                <w:sz w:val="20"/>
                <w:szCs w:val="20"/>
                <w:lang w:eastAsia="en-AU"/>
              </w:rPr>
              <w:t>New participants</w:t>
            </w:r>
          </w:p>
        </w:tc>
        <w:tc>
          <w:tcPr>
            <w:tcW w:w="0" w:type="dxa"/>
            <w:shd w:val="clear" w:color="auto" w:fill="BFBFBF" w:themeFill="background1" w:themeFillShade="BF"/>
            <w:noWrap/>
            <w:vAlign w:val="top"/>
            <w:hideMark/>
          </w:tcPr>
          <w:p w14:paraId="0FDA20CE"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0" w:type="dxa"/>
            <w:shd w:val="clear" w:color="auto" w:fill="BFBFBF" w:themeFill="background1" w:themeFillShade="BF"/>
            <w:noWrap/>
            <w:vAlign w:val="top"/>
            <w:hideMark/>
          </w:tcPr>
          <w:p w14:paraId="3E2942F2"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0" w:type="dxa"/>
            <w:shd w:val="clear" w:color="auto" w:fill="BFBFBF" w:themeFill="background1" w:themeFillShade="BF"/>
            <w:noWrap/>
            <w:vAlign w:val="top"/>
            <w:hideMark/>
          </w:tcPr>
          <w:p w14:paraId="4FFA1C06"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0" w:type="dxa"/>
            <w:tcBorders>
              <w:right w:val="dotted" w:sz="4" w:space="0" w:color="auto"/>
            </w:tcBorders>
            <w:shd w:val="clear" w:color="auto" w:fill="BFBFBF" w:themeFill="background1" w:themeFillShade="BF"/>
            <w:noWrap/>
            <w:vAlign w:val="top"/>
            <w:hideMark/>
          </w:tcPr>
          <w:p w14:paraId="4911F16A"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0" w:type="dxa"/>
            <w:tcBorders>
              <w:top w:val="nil"/>
              <w:left w:val="dotted" w:sz="4" w:space="0" w:color="auto"/>
              <w:bottom w:val="nil"/>
            </w:tcBorders>
            <w:shd w:val="clear" w:color="auto" w:fill="BFBFBF" w:themeFill="background1" w:themeFillShade="BF"/>
            <w:noWrap/>
            <w:vAlign w:val="top"/>
            <w:hideMark/>
          </w:tcPr>
          <w:p w14:paraId="5067442D"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r>
      <w:tr w:rsidR="00F830E6" w:rsidRPr="00063344" w14:paraId="616AE4B7" w14:textId="77777777" w:rsidTr="00F830E6">
        <w:trPr>
          <w:cnfStyle w:val="000000010000" w:firstRow="0" w:lastRow="0" w:firstColumn="0" w:lastColumn="0" w:oddVBand="0" w:evenVBand="0" w:oddHBand="0" w:evenHBand="1" w:firstRowFirstColumn="0" w:firstRowLastColumn="0" w:lastRowFirstColumn="0" w:lastRowLastColumn="0"/>
          <w:cantSplit/>
          <w:trHeight w:val="304"/>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75804E4B"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0" w:type="dxa"/>
            <w:shd w:val="clear" w:color="auto" w:fill="auto"/>
            <w:noWrap/>
            <w:vAlign w:val="top"/>
            <w:hideMark/>
          </w:tcPr>
          <w:p w14:paraId="56489459"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61,216</w:t>
            </w:r>
          </w:p>
        </w:tc>
        <w:tc>
          <w:tcPr>
            <w:tcW w:w="0" w:type="dxa"/>
            <w:shd w:val="clear" w:color="auto" w:fill="auto"/>
            <w:noWrap/>
            <w:vAlign w:val="top"/>
            <w:hideMark/>
          </w:tcPr>
          <w:p w14:paraId="396FF2F9"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119,893</w:t>
            </w:r>
          </w:p>
        </w:tc>
        <w:tc>
          <w:tcPr>
            <w:tcW w:w="0" w:type="dxa"/>
            <w:shd w:val="clear" w:color="auto" w:fill="auto"/>
            <w:noWrap/>
            <w:vAlign w:val="top"/>
            <w:hideMark/>
          </w:tcPr>
          <w:p w14:paraId="16C90FBA"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171,979</w:t>
            </w:r>
          </w:p>
        </w:tc>
        <w:tc>
          <w:tcPr>
            <w:tcW w:w="0" w:type="dxa"/>
            <w:tcBorders>
              <w:right w:val="dotted" w:sz="4" w:space="0" w:color="auto"/>
            </w:tcBorders>
            <w:shd w:val="clear" w:color="auto" w:fill="auto"/>
            <w:noWrap/>
            <w:vAlign w:val="top"/>
            <w:hideMark/>
          </w:tcPr>
          <w:p w14:paraId="3A6D212C"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222,322</w:t>
            </w:r>
          </w:p>
        </w:tc>
        <w:tc>
          <w:tcPr>
            <w:tcW w:w="0" w:type="dxa"/>
            <w:tcBorders>
              <w:top w:val="nil"/>
              <w:left w:val="dotted" w:sz="4" w:space="0" w:color="auto"/>
              <w:bottom w:val="nil"/>
            </w:tcBorders>
            <w:shd w:val="clear" w:color="auto" w:fill="auto"/>
            <w:noWrap/>
            <w:vAlign w:val="top"/>
            <w:hideMark/>
          </w:tcPr>
          <w:p w14:paraId="079E5D38"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503,392</w:t>
            </w:r>
          </w:p>
        </w:tc>
      </w:tr>
      <w:tr w:rsidR="00563377" w:rsidRPr="00063344" w14:paraId="1D448CA3" w14:textId="77777777" w:rsidTr="00F830E6">
        <w:trPr>
          <w:cantSplit/>
          <w:trHeight w:val="304"/>
        </w:trPr>
        <w:tc>
          <w:tcPr>
            <w:cnfStyle w:val="001000000000" w:firstRow="0" w:lastRow="0" w:firstColumn="1" w:lastColumn="0" w:oddVBand="0" w:evenVBand="0" w:oddHBand="0" w:evenHBand="0" w:firstRowFirstColumn="0" w:firstRowLastColumn="0" w:lastRowFirstColumn="0" w:lastRowLastColumn="0"/>
            <w:tcW w:w="3034" w:type="dxa"/>
            <w:noWrap/>
            <w:hideMark/>
          </w:tcPr>
          <w:p w14:paraId="5CD5233C"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1128" w:type="dxa"/>
            <w:noWrap/>
            <w:vAlign w:val="top"/>
            <w:hideMark/>
          </w:tcPr>
          <w:p w14:paraId="77B59E11"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-9,531</w:t>
            </w:r>
          </w:p>
        </w:tc>
        <w:tc>
          <w:tcPr>
            <w:tcW w:w="1128" w:type="dxa"/>
            <w:noWrap/>
            <w:vAlign w:val="top"/>
            <w:hideMark/>
          </w:tcPr>
          <w:p w14:paraId="0D7DFA40"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-19,046</w:t>
            </w:r>
          </w:p>
        </w:tc>
        <w:tc>
          <w:tcPr>
            <w:tcW w:w="1128" w:type="dxa"/>
            <w:noWrap/>
            <w:vAlign w:val="top"/>
            <w:hideMark/>
          </w:tcPr>
          <w:p w14:paraId="34F61755"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-28,280</w:t>
            </w:r>
          </w:p>
        </w:tc>
        <w:tc>
          <w:tcPr>
            <w:tcW w:w="1128" w:type="dxa"/>
            <w:tcBorders>
              <w:right w:val="dotted" w:sz="4" w:space="0" w:color="auto"/>
            </w:tcBorders>
            <w:noWrap/>
            <w:vAlign w:val="top"/>
            <w:hideMark/>
          </w:tcPr>
          <w:p w14:paraId="5FE9E68D"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-37,211</w:t>
            </w:r>
          </w:p>
        </w:tc>
        <w:tc>
          <w:tcPr>
            <w:tcW w:w="1128" w:type="dxa"/>
            <w:tcBorders>
              <w:top w:val="nil"/>
              <w:left w:val="dotted" w:sz="4" w:space="0" w:color="auto"/>
              <w:bottom w:val="nil"/>
            </w:tcBorders>
            <w:noWrap/>
            <w:vAlign w:val="top"/>
            <w:hideMark/>
          </w:tcPr>
          <w:p w14:paraId="2B3EA4C9"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-87,092</w:t>
            </w:r>
          </w:p>
        </w:tc>
      </w:tr>
      <w:tr w:rsidR="00F830E6" w:rsidRPr="00063344" w14:paraId="30D898AF" w14:textId="77777777" w:rsidTr="00F830E6">
        <w:trPr>
          <w:cnfStyle w:val="000000010000" w:firstRow="0" w:lastRow="0" w:firstColumn="0" w:lastColumn="0" w:oddVBand="0" w:evenVBand="0" w:oddHBand="0" w:evenHBand="1" w:firstRowFirstColumn="0" w:firstRowLastColumn="0" w:lastRowFirstColumn="0" w:lastRowLastColumn="0"/>
          <w:cantSplit/>
          <w:trHeight w:val="304"/>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69D405FB"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variance to baseline</w:t>
            </w:r>
          </w:p>
        </w:tc>
        <w:tc>
          <w:tcPr>
            <w:tcW w:w="0" w:type="dxa"/>
            <w:shd w:val="clear" w:color="auto" w:fill="auto"/>
            <w:noWrap/>
            <w:vAlign w:val="top"/>
            <w:hideMark/>
          </w:tcPr>
          <w:p w14:paraId="05F653F1"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-13.5%</w:t>
            </w:r>
          </w:p>
        </w:tc>
        <w:tc>
          <w:tcPr>
            <w:tcW w:w="0" w:type="dxa"/>
            <w:shd w:val="clear" w:color="auto" w:fill="auto"/>
            <w:noWrap/>
            <w:vAlign w:val="top"/>
            <w:hideMark/>
          </w:tcPr>
          <w:p w14:paraId="55FEEB4A"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-13.7%</w:t>
            </w:r>
          </w:p>
        </w:tc>
        <w:tc>
          <w:tcPr>
            <w:tcW w:w="0" w:type="dxa"/>
            <w:shd w:val="clear" w:color="auto" w:fill="auto"/>
            <w:noWrap/>
            <w:vAlign w:val="top"/>
            <w:hideMark/>
          </w:tcPr>
          <w:p w14:paraId="2F954C34"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-14.1%</w:t>
            </w:r>
          </w:p>
        </w:tc>
        <w:tc>
          <w:tcPr>
            <w:tcW w:w="0" w:type="dxa"/>
            <w:tcBorders>
              <w:right w:val="dotted" w:sz="4" w:space="0" w:color="auto"/>
            </w:tcBorders>
            <w:shd w:val="clear" w:color="auto" w:fill="auto"/>
            <w:noWrap/>
            <w:vAlign w:val="top"/>
            <w:hideMark/>
          </w:tcPr>
          <w:p w14:paraId="0D9923F6"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-14.3%</w:t>
            </w:r>
          </w:p>
        </w:tc>
        <w:tc>
          <w:tcPr>
            <w:tcW w:w="0" w:type="dxa"/>
            <w:tcBorders>
              <w:top w:val="nil"/>
              <w:left w:val="dotted" w:sz="4" w:space="0" w:color="auto"/>
              <w:bottom w:val="nil"/>
            </w:tcBorders>
            <w:shd w:val="clear" w:color="auto" w:fill="auto"/>
            <w:noWrap/>
            <w:vAlign w:val="top"/>
            <w:hideMark/>
          </w:tcPr>
          <w:p w14:paraId="47054944"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-14.7%</w:t>
            </w:r>
          </w:p>
        </w:tc>
      </w:tr>
      <w:tr w:rsidR="00F830E6" w:rsidRPr="00063344" w14:paraId="7734686E" w14:textId="77777777" w:rsidTr="00F830E6">
        <w:trPr>
          <w:cantSplit/>
          <w:trHeight w:val="304"/>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noWrap/>
            <w:hideMark/>
          </w:tcPr>
          <w:p w14:paraId="00664965" w14:textId="77777777" w:rsidR="00563377" w:rsidRPr="00063344" w:rsidRDefault="00563377" w:rsidP="00563377">
            <w:pPr>
              <w:spacing w:after="0" w:line="240" w:lineRule="auto"/>
              <w:rPr>
                <w:rFonts w:eastAsia="Times New Roman" w:cs="Arial"/>
                <w:b/>
                <w:bCs/>
                <w:i/>
                <w:iCs/>
                <w:color w:val="000000"/>
                <w:sz w:val="20"/>
                <w:szCs w:val="20"/>
                <w:lang w:eastAsia="en-AU"/>
              </w:rPr>
            </w:pPr>
            <w:r w:rsidRPr="00063344">
              <w:rPr>
                <w:rFonts w:eastAsia="Times New Roman" w:cs="Arial"/>
                <w:b/>
                <w:bCs/>
                <w:i/>
                <w:iCs/>
                <w:color w:val="000000"/>
                <w:sz w:val="20"/>
                <w:szCs w:val="20"/>
                <w:lang w:eastAsia="en-AU"/>
              </w:rPr>
              <w:t>All projected participants</w:t>
            </w:r>
          </w:p>
        </w:tc>
        <w:tc>
          <w:tcPr>
            <w:tcW w:w="0" w:type="dxa"/>
            <w:shd w:val="clear" w:color="auto" w:fill="BFBFBF" w:themeFill="background1" w:themeFillShade="BF"/>
            <w:noWrap/>
            <w:vAlign w:val="top"/>
            <w:hideMark/>
          </w:tcPr>
          <w:p w14:paraId="6F1A56AB"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0" w:type="dxa"/>
            <w:shd w:val="clear" w:color="auto" w:fill="BFBFBF" w:themeFill="background1" w:themeFillShade="BF"/>
            <w:noWrap/>
            <w:vAlign w:val="top"/>
            <w:hideMark/>
          </w:tcPr>
          <w:p w14:paraId="607BDA0D"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0" w:type="dxa"/>
            <w:shd w:val="clear" w:color="auto" w:fill="BFBFBF" w:themeFill="background1" w:themeFillShade="BF"/>
            <w:noWrap/>
            <w:vAlign w:val="top"/>
            <w:hideMark/>
          </w:tcPr>
          <w:p w14:paraId="0A691D96"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0" w:type="dxa"/>
            <w:tcBorders>
              <w:right w:val="dotted" w:sz="4" w:space="0" w:color="auto"/>
            </w:tcBorders>
            <w:shd w:val="clear" w:color="auto" w:fill="BFBFBF" w:themeFill="background1" w:themeFillShade="BF"/>
            <w:noWrap/>
            <w:vAlign w:val="top"/>
            <w:hideMark/>
          </w:tcPr>
          <w:p w14:paraId="7DA0B671"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0" w:type="dxa"/>
            <w:tcBorders>
              <w:top w:val="nil"/>
              <w:left w:val="dotted" w:sz="4" w:space="0" w:color="auto"/>
              <w:bottom w:val="nil"/>
            </w:tcBorders>
            <w:shd w:val="clear" w:color="auto" w:fill="BFBFBF" w:themeFill="background1" w:themeFillShade="BF"/>
            <w:noWrap/>
            <w:vAlign w:val="top"/>
            <w:hideMark/>
          </w:tcPr>
          <w:p w14:paraId="1983FAAC"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r>
      <w:tr w:rsidR="00F830E6" w:rsidRPr="00063344" w14:paraId="21BC872E" w14:textId="77777777" w:rsidTr="00F830E6">
        <w:trPr>
          <w:cnfStyle w:val="000000010000" w:firstRow="0" w:lastRow="0" w:firstColumn="0" w:lastColumn="0" w:oddVBand="0" w:evenVBand="0" w:oddHBand="0" w:evenHBand="1" w:firstRowFirstColumn="0" w:firstRowLastColumn="0" w:lastRowFirstColumn="0" w:lastRowLastColumn="0"/>
          <w:cantSplit/>
          <w:trHeight w:val="304"/>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30973CE5"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0" w:type="dxa"/>
            <w:shd w:val="clear" w:color="auto" w:fill="auto"/>
            <w:noWrap/>
            <w:vAlign w:val="top"/>
            <w:hideMark/>
          </w:tcPr>
          <w:p w14:paraId="3507FDA0"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582,763</w:t>
            </w:r>
          </w:p>
        </w:tc>
        <w:tc>
          <w:tcPr>
            <w:tcW w:w="0" w:type="dxa"/>
            <w:shd w:val="clear" w:color="auto" w:fill="auto"/>
            <w:noWrap/>
            <w:vAlign w:val="top"/>
            <w:hideMark/>
          </w:tcPr>
          <w:p w14:paraId="0E99B433"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626,966</w:t>
            </w:r>
          </w:p>
        </w:tc>
        <w:tc>
          <w:tcPr>
            <w:tcW w:w="0" w:type="dxa"/>
            <w:shd w:val="clear" w:color="auto" w:fill="auto"/>
            <w:noWrap/>
            <w:vAlign w:val="top"/>
            <w:hideMark/>
          </w:tcPr>
          <w:p w14:paraId="39A2D089"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665,609</w:t>
            </w:r>
          </w:p>
        </w:tc>
        <w:tc>
          <w:tcPr>
            <w:tcW w:w="0" w:type="dxa"/>
            <w:tcBorders>
              <w:right w:val="dotted" w:sz="4" w:space="0" w:color="auto"/>
            </w:tcBorders>
            <w:shd w:val="clear" w:color="auto" w:fill="auto"/>
            <w:noWrap/>
            <w:vAlign w:val="top"/>
            <w:hideMark/>
          </w:tcPr>
          <w:p w14:paraId="3626E09A"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703,865</w:t>
            </w:r>
          </w:p>
        </w:tc>
        <w:tc>
          <w:tcPr>
            <w:tcW w:w="0" w:type="dxa"/>
            <w:tcBorders>
              <w:top w:val="nil"/>
              <w:left w:val="dotted" w:sz="4" w:space="0" w:color="auto"/>
              <w:bottom w:val="nil"/>
            </w:tcBorders>
            <w:shd w:val="clear" w:color="auto" w:fill="auto"/>
            <w:noWrap/>
            <w:vAlign w:val="top"/>
            <w:hideMark/>
          </w:tcPr>
          <w:p w14:paraId="0C833CB4"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930,431</w:t>
            </w:r>
          </w:p>
        </w:tc>
      </w:tr>
      <w:tr w:rsidR="00563377" w:rsidRPr="00063344" w14:paraId="45649DEE" w14:textId="77777777" w:rsidTr="00F830E6">
        <w:trPr>
          <w:cantSplit/>
          <w:trHeight w:val="304"/>
        </w:trPr>
        <w:tc>
          <w:tcPr>
            <w:cnfStyle w:val="001000000000" w:firstRow="0" w:lastRow="0" w:firstColumn="1" w:lastColumn="0" w:oddVBand="0" w:evenVBand="0" w:oddHBand="0" w:evenHBand="0" w:firstRowFirstColumn="0" w:firstRowLastColumn="0" w:lastRowFirstColumn="0" w:lastRowLastColumn="0"/>
            <w:tcW w:w="3034" w:type="dxa"/>
            <w:noWrap/>
            <w:hideMark/>
          </w:tcPr>
          <w:p w14:paraId="589AB59E"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1128" w:type="dxa"/>
            <w:noWrap/>
            <w:vAlign w:val="top"/>
            <w:hideMark/>
          </w:tcPr>
          <w:p w14:paraId="42365A4C"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-9,531</w:t>
            </w:r>
          </w:p>
        </w:tc>
        <w:tc>
          <w:tcPr>
            <w:tcW w:w="1128" w:type="dxa"/>
            <w:noWrap/>
            <w:vAlign w:val="top"/>
            <w:hideMark/>
          </w:tcPr>
          <w:p w14:paraId="3A32DEAA"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-19,046</w:t>
            </w:r>
          </w:p>
        </w:tc>
        <w:tc>
          <w:tcPr>
            <w:tcW w:w="1128" w:type="dxa"/>
            <w:noWrap/>
            <w:vAlign w:val="top"/>
            <w:hideMark/>
          </w:tcPr>
          <w:p w14:paraId="4C94FD6B"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-28,280</w:t>
            </w:r>
          </w:p>
        </w:tc>
        <w:tc>
          <w:tcPr>
            <w:tcW w:w="1128" w:type="dxa"/>
            <w:tcBorders>
              <w:right w:val="dotted" w:sz="4" w:space="0" w:color="auto"/>
            </w:tcBorders>
            <w:noWrap/>
            <w:vAlign w:val="top"/>
            <w:hideMark/>
          </w:tcPr>
          <w:p w14:paraId="0ACACDA9"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-37,211</w:t>
            </w:r>
          </w:p>
        </w:tc>
        <w:tc>
          <w:tcPr>
            <w:tcW w:w="1128" w:type="dxa"/>
            <w:tcBorders>
              <w:top w:val="nil"/>
              <w:left w:val="dotted" w:sz="4" w:space="0" w:color="auto"/>
              <w:bottom w:val="nil"/>
            </w:tcBorders>
            <w:noWrap/>
            <w:vAlign w:val="top"/>
            <w:hideMark/>
          </w:tcPr>
          <w:p w14:paraId="2140936E"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-87,092</w:t>
            </w:r>
          </w:p>
        </w:tc>
      </w:tr>
      <w:tr w:rsidR="00F830E6" w:rsidRPr="00063344" w14:paraId="0FBCA0FB" w14:textId="77777777" w:rsidTr="00F830E6">
        <w:trPr>
          <w:cnfStyle w:val="000000010000" w:firstRow="0" w:lastRow="0" w:firstColumn="0" w:lastColumn="0" w:oddVBand="0" w:evenVBand="0" w:oddHBand="0" w:evenHBand="1" w:firstRowFirstColumn="0" w:firstRowLastColumn="0" w:lastRowFirstColumn="0" w:lastRowLastColumn="0"/>
          <w:cantSplit/>
          <w:trHeight w:val="304"/>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400B8B6D"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variance to baseline</w:t>
            </w:r>
          </w:p>
        </w:tc>
        <w:tc>
          <w:tcPr>
            <w:tcW w:w="0" w:type="dxa"/>
            <w:shd w:val="clear" w:color="auto" w:fill="auto"/>
            <w:noWrap/>
            <w:vAlign w:val="top"/>
            <w:hideMark/>
          </w:tcPr>
          <w:p w14:paraId="15F0B7E1"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-1.6%</w:t>
            </w:r>
          </w:p>
        </w:tc>
        <w:tc>
          <w:tcPr>
            <w:tcW w:w="0" w:type="dxa"/>
            <w:shd w:val="clear" w:color="auto" w:fill="auto"/>
            <w:noWrap/>
            <w:vAlign w:val="top"/>
            <w:hideMark/>
          </w:tcPr>
          <w:p w14:paraId="4ECB0010"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-2.9%</w:t>
            </w:r>
          </w:p>
        </w:tc>
        <w:tc>
          <w:tcPr>
            <w:tcW w:w="0" w:type="dxa"/>
            <w:shd w:val="clear" w:color="auto" w:fill="auto"/>
            <w:noWrap/>
            <w:vAlign w:val="top"/>
            <w:hideMark/>
          </w:tcPr>
          <w:p w14:paraId="5CCE5109"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-4.1%</w:t>
            </w:r>
          </w:p>
        </w:tc>
        <w:tc>
          <w:tcPr>
            <w:tcW w:w="0" w:type="dxa"/>
            <w:tcBorders>
              <w:right w:val="dotted" w:sz="4" w:space="0" w:color="auto"/>
            </w:tcBorders>
            <w:shd w:val="clear" w:color="auto" w:fill="auto"/>
            <w:noWrap/>
            <w:vAlign w:val="top"/>
            <w:hideMark/>
          </w:tcPr>
          <w:p w14:paraId="72079D55"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-5.0%</w:t>
            </w:r>
          </w:p>
        </w:tc>
        <w:tc>
          <w:tcPr>
            <w:tcW w:w="0" w:type="dxa"/>
            <w:tcBorders>
              <w:top w:val="nil"/>
              <w:left w:val="dotted" w:sz="4" w:space="0" w:color="auto"/>
              <w:bottom w:val="single" w:sz="4" w:space="0" w:color="auto"/>
            </w:tcBorders>
            <w:shd w:val="clear" w:color="auto" w:fill="auto"/>
            <w:noWrap/>
            <w:vAlign w:val="top"/>
            <w:hideMark/>
          </w:tcPr>
          <w:p w14:paraId="292BC8A1"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-8.6%</w:t>
            </w:r>
          </w:p>
        </w:tc>
      </w:tr>
    </w:tbl>
    <w:p w14:paraId="52788484" w14:textId="77777777" w:rsidR="00251F21" w:rsidRPr="00DA3F73" w:rsidRDefault="00251F21" w:rsidP="00F830E6">
      <w:pPr>
        <w:pStyle w:val="FSRHeading5"/>
        <w:spacing w:before="360"/>
        <w:rPr>
          <w:i w:val="0"/>
          <w:color w:val="6B2976"/>
          <w:sz w:val="22"/>
        </w:rPr>
      </w:pPr>
      <w:r w:rsidRPr="00DA3F73">
        <w:rPr>
          <w:i w:val="0"/>
          <w:color w:val="6B2976"/>
          <w:sz w:val="22"/>
        </w:rPr>
        <w:t>Scenario: Higher assumptions regarding the number of new entrants with autism and aged between 15 and 54</w:t>
      </w:r>
    </w:p>
    <w:p w14:paraId="748092CB" w14:textId="77777777" w:rsidR="00251F21" w:rsidRDefault="00251F21" w:rsidP="00251F21">
      <w:pPr>
        <w:pStyle w:val="FSRnormal"/>
      </w:pPr>
      <w:r>
        <w:t xml:space="preserve">In this scenario the </w:t>
      </w:r>
      <w:r w:rsidRPr="00B82419">
        <w:t>assumptions regarding the number of new entrants with au</w:t>
      </w:r>
      <w:r>
        <w:t xml:space="preserve">tism and aged between 15 and 54 </w:t>
      </w:r>
      <w:r w:rsidR="00EF59BB">
        <w:t>are</w:t>
      </w:r>
      <w:r w:rsidRPr="00B82419">
        <w:t xml:space="preserve"> 15% higher than the assumptions used for baseline projections for this cohort.</w:t>
      </w:r>
    </w:p>
    <w:p w14:paraId="038C6398" w14:textId="77777777" w:rsidR="00251F21" w:rsidRPr="00DA3F73" w:rsidRDefault="00251F21" w:rsidP="00DA3F73">
      <w:pPr>
        <w:pStyle w:val="Tables"/>
        <w:rPr>
          <w:b w:val="0"/>
        </w:rPr>
      </w:pPr>
      <w:r w:rsidRPr="007E7707">
        <w:t>Table</w:t>
      </w:r>
      <w:r w:rsidR="001B3F25" w:rsidRPr="007E7707">
        <w:t xml:space="preserve"> G</w:t>
      </w:r>
      <w:r w:rsidR="00A87896">
        <w:t>.</w:t>
      </w:r>
      <w:fldSimple w:instr=" SEQ Table \* ARABIC \s 2 ">
        <w:r w:rsidR="00A87896">
          <w:rPr>
            <w:noProof/>
          </w:rPr>
          <w:t>5</w:t>
        </w:r>
      </w:fldSimple>
      <w:r w:rsidRPr="00B71716">
        <w:t xml:space="preserve">: Higher assumptions regarding the number of new </w:t>
      </w:r>
      <w:r w:rsidRPr="006D3A4D">
        <w:t>entrants with autism and aged between 15 and 54</w:t>
      </w:r>
    </w:p>
    <w:tbl>
      <w:tblPr>
        <w:tblStyle w:val="FSRtable"/>
        <w:tblW w:w="8779" w:type="dxa"/>
        <w:tblInd w:w="5" w:type="dxa"/>
        <w:tblLook w:val="04A0" w:firstRow="1" w:lastRow="0" w:firstColumn="1" w:lastColumn="0" w:noHBand="0" w:noVBand="1"/>
      </w:tblPr>
      <w:tblGrid>
        <w:gridCol w:w="3027"/>
        <w:gridCol w:w="1128"/>
        <w:gridCol w:w="1128"/>
        <w:gridCol w:w="1128"/>
        <w:gridCol w:w="1128"/>
        <w:gridCol w:w="1240"/>
      </w:tblGrid>
      <w:tr w:rsidR="00B613F8" w:rsidRPr="00063344" w14:paraId="73DE7372" w14:textId="77777777" w:rsidTr="00563377">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027" w:type="dxa"/>
            <w:noWrap/>
            <w:hideMark/>
          </w:tcPr>
          <w:p w14:paraId="3BD57CC9" w14:textId="77777777" w:rsidR="00B613F8" w:rsidRPr="00063344" w:rsidRDefault="00B613F8" w:rsidP="00251F21">
            <w:pPr>
              <w:spacing w:after="0" w:line="240" w:lineRule="auto"/>
              <w:rPr>
                <w:rFonts w:eastAsia="Times New Roman"/>
                <w:color w:val="FFFFFF"/>
                <w:sz w:val="20"/>
                <w:szCs w:val="20"/>
                <w:lang w:eastAsia="en-AU"/>
              </w:rPr>
            </w:pPr>
            <w:r w:rsidRPr="00063344">
              <w:rPr>
                <w:rFonts w:eastAsia="Times New Roman"/>
                <w:color w:val="FFFFFF"/>
                <w:sz w:val="20"/>
                <w:szCs w:val="20"/>
                <w:lang w:eastAsia="en-AU"/>
              </w:rPr>
              <w:t> </w:t>
            </w:r>
          </w:p>
        </w:tc>
        <w:tc>
          <w:tcPr>
            <w:tcW w:w="5752" w:type="dxa"/>
            <w:gridSpan w:val="5"/>
            <w:tcBorders>
              <w:top w:val="single" w:sz="4" w:space="0" w:color="auto"/>
              <w:bottom w:val="dotted" w:sz="4" w:space="0" w:color="FFFFFF" w:themeColor="background1"/>
            </w:tcBorders>
            <w:noWrap/>
            <w:hideMark/>
          </w:tcPr>
          <w:p w14:paraId="0820F833" w14:textId="77777777" w:rsidR="00B613F8" w:rsidRPr="00DA3F73" w:rsidRDefault="00B613F8" w:rsidP="00DA3F7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B613F8">
              <w:rPr>
                <w:rFonts w:eastAsia="Times New Roman"/>
                <w:bCs/>
                <w:color w:val="FFFFFF"/>
                <w:sz w:val="20"/>
                <w:szCs w:val="20"/>
                <w:lang w:eastAsia="en-AU"/>
              </w:rPr>
              <w:t>Projection Year </w:t>
            </w:r>
          </w:p>
        </w:tc>
      </w:tr>
      <w:tr w:rsidR="00DC4194" w:rsidRPr="009C7082" w14:paraId="2CA96AD2" w14:textId="77777777" w:rsidTr="00563377">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027" w:type="dxa"/>
            <w:noWrap/>
            <w:hideMark/>
          </w:tcPr>
          <w:p w14:paraId="37FFE216" w14:textId="77777777" w:rsidR="00251F21" w:rsidRPr="009C7082" w:rsidRDefault="00251F21" w:rsidP="00251F21">
            <w:pPr>
              <w:spacing w:after="0" w:line="240" w:lineRule="auto"/>
              <w:rPr>
                <w:rFonts w:eastAsia="Times New Roman"/>
                <w:color w:val="FFFFFF"/>
                <w:sz w:val="20"/>
                <w:szCs w:val="20"/>
                <w:lang w:eastAsia="en-AU"/>
              </w:rPr>
            </w:pPr>
            <w:r w:rsidRPr="009C7082">
              <w:rPr>
                <w:rFonts w:eastAsia="Times New Roman"/>
                <w:color w:val="FFFFFF"/>
                <w:sz w:val="20"/>
                <w:szCs w:val="20"/>
                <w:lang w:eastAsia="en-AU"/>
              </w:rPr>
              <w:t> </w:t>
            </w:r>
          </w:p>
        </w:tc>
        <w:tc>
          <w:tcPr>
            <w:tcW w:w="1128" w:type="dxa"/>
            <w:tcBorders>
              <w:top w:val="dotted" w:sz="4" w:space="0" w:color="FFFFFF" w:themeColor="background1"/>
            </w:tcBorders>
            <w:noWrap/>
            <w:hideMark/>
          </w:tcPr>
          <w:p w14:paraId="6E9141A1"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Jun-23</w:t>
            </w:r>
          </w:p>
        </w:tc>
        <w:tc>
          <w:tcPr>
            <w:tcW w:w="1128" w:type="dxa"/>
            <w:tcBorders>
              <w:top w:val="dotted" w:sz="4" w:space="0" w:color="FFFFFF" w:themeColor="background1"/>
            </w:tcBorders>
            <w:noWrap/>
            <w:hideMark/>
          </w:tcPr>
          <w:p w14:paraId="558F9CF2"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Jun-24</w:t>
            </w:r>
          </w:p>
        </w:tc>
        <w:tc>
          <w:tcPr>
            <w:tcW w:w="1128" w:type="dxa"/>
            <w:tcBorders>
              <w:top w:val="dotted" w:sz="4" w:space="0" w:color="FFFFFF" w:themeColor="background1"/>
            </w:tcBorders>
            <w:noWrap/>
            <w:hideMark/>
          </w:tcPr>
          <w:p w14:paraId="0184D9A4"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Jun-25</w:t>
            </w:r>
          </w:p>
        </w:tc>
        <w:tc>
          <w:tcPr>
            <w:tcW w:w="1128" w:type="dxa"/>
            <w:tcBorders>
              <w:top w:val="dotted" w:sz="4" w:space="0" w:color="FFFFFF" w:themeColor="background1"/>
              <w:right w:val="dotted" w:sz="4" w:space="0" w:color="auto"/>
            </w:tcBorders>
            <w:noWrap/>
            <w:hideMark/>
          </w:tcPr>
          <w:p w14:paraId="609E275E"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Jun-26</w:t>
            </w:r>
          </w:p>
        </w:tc>
        <w:tc>
          <w:tcPr>
            <w:tcW w:w="1240" w:type="dxa"/>
            <w:tcBorders>
              <w:top w:val="dotted" w:sz="4" w:space="0" w:color="FFFFFF" w:themeColor="background1"/>
              <w:left w:val="dotted" w:sz="4" w:space="0" w:color="auto"/>
              <w:bottom w:val="nil"/>
            </w:tcBorders>
            <w:noWrap/>
            <w:hideMark/>
          </w:tcPr>
          <w:p w14:paraId="2E59233B"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Jun-32</w:t>
            </w:r>
          </w:p>
        </w:tc>
      </w:tr>
      <w:tr w:rsidR="00DC4194" w:rsidRPr="00063344" w14:paraId="22B923E8" w14:textId="77777777" w:rsidTr="00563377">
        <w:trPr>
          <w:trHeight w:val="301"/>
        </w:trPr>
        <w:tc>
          <w:tcPr>
            <w:cnfStyle w:val="001000000000" w:firstRow="0" w:lastRow="0" w:firstColumn="1" w:lastColumn="0" w:oddVBand="0" w:evenVBand="0" w:oddHBand="0" w:evenHBand="0" w:firstRowFirstColumn="0" w:firstRowLastColumn="0" w:lastRowFirstColumn="0" w:lastRowLastColumn="0"/>
            <w:tcW w:w="3027" w:type="dxa"/>
            <w:shd w:val="clear" w:color="auto" w:fill="BFBFBF" w:themeFill="background1" w:themeFillShade="BF"/>
            <w:noWrap/>
            <w:hideMark/>
          </w:tcPr>
          <w:p w14:paraId="7A73D2B4" w14:textId="77777777" w:rsidR="00251F21" w:rsidRPr="00063344" w:rsidRDefault="00251F21" w:rsidP="00251F21">
            <w:pPr>
              <w:spacing w:after="0" w:line="240" w:lineRule="auto"/>
              <w:rPr>
                <w:rFonts w:eastAsia="Times New Roman" w:cs="Arial"/>
                <w:b/>
                <w:bCs/>
                <w:i/>
                <w:iCs/>
                <w:color w:val="000000"/>
                <w:sz w:val="20"/>
                <w:szCs w:val="20"/>
                <w:lang w:eastAsia="en-AU"/>
              </w:rPr>
            </w:pPr>
            <w:r w:rsidRPr="00063344">
              <w:rPr>
                <w:rFonts w:eastAsia="Times New Roman" w:cs="Arial"/>
                <w:b/>
                <w:bCs/>
                <w:i/>
                <w:iCs/>
                <w:color w:val="000000"/>
                <w:sz w:val="20"/>
                <w:szCs w:val="20"/>
                <w:lang w:eastAsia="en-AU"/>
              </w:rPr>
              <w:t>Existing participants</w:t>
            </w:r>
          </w:p>
        </w:tc>
        <w:tc>
          <w:tcPr>
            <w:tcW w:w="1128" w:type="dxa"/>
            <w:shd w:val="clear" w:color="auto" w:fill="BFBFBF" w:themeFill="background1" w:themeFillShade="BF"/>
            <w:noWrap/>
            <w:hideMark/>
          </w:tcPr>
          <w:p w14:paraId="48672A1E" w14:textId="77777777" w:rsidR="00251F21" w:rsidRPr="00063344" w:rsidRDefault="00251F21" w:rsidP="00251F2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63344">
              <w:rPr>
                <w:rFonts w:eastAsia="Times New Roman" w:cs="Arial"/>
                <w:color w:val="000000"/>
                <w:sz w:val="20"/>
                <w:szCs w:val="20"/>
                <w:lang w:eastAsia="en-AU"/>
              </w:rPr>
              <w:t> </w:t>
            </w:r>
          </w:p>
        </w:tc>
        <w:tc>
          <w:tcPr>
            <w:tcW w:w="1128" w:type="dxa"/>
            <w:shd w:val="clear" w:color="auto" w:fill="BFBFBF" w:themeFill="background1" w:themeFillShade="BF"/>
            <w:noWrap/>
            <w:hideMark/>
          </w:tcPr>
          <w:p w14:paraId="38C79BF0" w14:textId="77777777" w:rsidR="00251F21" w:rsidRPr="00063344" w:rsidRDefault="00251F21" w:rsidP="00251F2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63344">
              <w:rPr>
                <w:rFonts w:eastAsia="Times New Roman" w:cs="Arial"/>
                <w:color w:val="000000"/>
                <w:sz w:val="20"/>
                <w:szCs w:val="20"/>
                <w:lang w:eastAsia="en-AU"/>
              </w:rPr>
              <w:t> </w:t>
            </w:r>
          </w:p>
        </w:tc>
        <w:tc>
          <w:tcPr>
            <w:tcW w:w="1128" w:type="dxa"/>
            <w:shd w:val="clear" w:color="auto" w:fill="BFBFBF" w:themeFill="background1" w:themeFillShade="BF"/>
            <w:noWrap/>
            <w:hideMark/>
          </w:tcPr>
          <w:p w14:paraId="5CB61443" w14:textId="77777777" w:rsidR="00251F21" w:rsidRPr="00063344" w:rsidRDefault="00251F21" w:rsidP="00251F2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63344">
              <w:rPr>
                <w:rFonts w:eastAsia="Times New Roman" w:cs="Arial"/>
                <w:color w:val="000000"/>
                <w:sz w:val="20"/>
                <w:szCs w:val="20"/>
                <w:lang w:eastAsia="en-AU"/>
              </w:rPr>
              <w:t> </w:t>
            </w:r>
          </w:p>
        </w:tc>
        <w:tc>
          <w:tcPr>
            <w:tcW w:w="1128" w:type="dxa"/>
            <w:tcBorders>
              <w:right w:val="dotted" w:sz="4" w:space="0" w:color="auto"/>
            </w:tcBorders>
            <w:shd w:val="clear" w:color="auto" w:fill="BFBFBF" w:themeFill="background1" w:themeFillShade="BF"/>
            <w:noWrap/>
            <w:hideMark/>
          </w:tcPr>
          <w:p w14:paraId="50343285" w14:textId="77777777" w:rsidR="00251F21" w:rsidRPr="00063344" w:rsidRDefault="00251F21" w:rsidP="00251F2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63344">
              <w:rPr>
                <w:rFonts w:eastAsia="Times New Roman" w:cs="Arial"/>
                <w:color w:val="000000"/>
                <w:sz w:val="20"/>
                <w:szCs w:val="20"/>
                <w:lang w:eastAsia="en-AU"/>
              </w:rPr>
              <w:t> </w:t>
            </w:r>
          </w:p>
        </w:tc>
        <w:tc>
          <w:tcPr>
            <w:tcW w:w="1240" w:type="dxa"/>
            <w:tcBorders>
              <w:top w:val="nil"/>
              <w:left w:val="dotted" w:sz="4" w:space="0" w:color="auto"/>
              <w:bottom w:val="nil"/>
            </w:tcBorders>
            <w:shd w:val="clear" w:color="auto" w:fill="BFBFBF" w:themeFill="background1" w:themeFillShade="BF"/>
            <w:noWrap/>
            <w:hideMark/>
          </w:tcPr>
          <w:p w14:paraId="7D82EC88" w14:textId="77777777" w:rsidR="00251F21" w:rsidRPr="00063344" w:rsidRDefault="00251F21" w:rsidP="00251F2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63344">
              <w:rPr>
                <w:rFonts w:eastAsia="Times New Roman" w:cs="Arial"/>
                <w:color w:val="000000"/>
                <w:sz w:val="20"/>
                <w:szCs w:val="20"/>
                <w:lang w:eastAsia="en-AU"/>
              </w:rPr>
              <w:t> </w:t>
            </w:r>
          </w:p>
        </w:tc>
      </w:tr>
      <w:tr w:rsidR="00F830E6" w:rsidRPr="00063344" w14:paraId="397C3D0C"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33A3308E"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1128" w:type="dxa"/>
            <w:shd w:val="clear" w:color="auto" w:fill="auto"/>
            <w:noWrap/>
            <w:vAlign w:val="top"/>
            <w:hideMark/>
          </w:tcPr>
          <w:p w14:paraId="168A970C"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521,547</w:t>
            </w:r>
          </w:p>
        </w:tc>
        <w:tc>
          <w:tcPr>
            <w:tcW w:w="1128" w:type="dxa"/>
            <w:shd w:val="clear" w:color="auto" w:fill="auto"/>
            <w:noWrap/>
            <w:vAlign w:val="top"/>
            <w:hideMark/>
          </w:tcPr>
          <w:p w14:paraId="5DD16A92"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507,074</w:t>
            </w:r>
          </w:p>
        </w:tc>
        <w:tc>
          <w:tcPr>
            <w:tcW w:w="1128" w:type="dxa"/>
            <w:shd w:val="clear" w:color="auto" w:fill="auto"/>
            <w:noWrap/>
            <w:vAlign w:val="top"/>
            <w:hideMark/>
          </w:tcPr>
          <w:p w14:paraId="45F23A41"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493,631</w:t>
            </w:r>
          </w:p>
        </w:tc>
        <w:tc>
          <w:tcPr>
            <w:tcW w:w="1128" w:type="dxa"/>
            <w:tcBorders>
              <w:right w:val="dotted" w:sz="4" w:space="0" w:color="auto"/>
            </w:tcBorders>
            <w:shd w:val="clear" w:color="auto" w:fill="auto"/>
            <w:noWrap/>
            <w:vAlign w:val="top"/>
            <w:hideMark/>
          </w:tcPr>
          <w:p w14:paraId="78B1B9EF"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481,543</w:t>
            </w:r>
          </w:p>
        </w:tc>
        <w:tc>
          <w:tcPr>
            <w:tcW w:w="0" w:type="dxa"/>
            <w:tcBorders>
              <w:top w:val="nil"/>
              <w:left w:val="dotted" w:sz="4" w:space="0" w:color="auto"/>
              <w:bottom w:val="nil"/>
            </w:tcBorders>
            <w:shd w:val="clear" w:color="auto" w:fill="auto"/>
            <w:noWrap/>
            <w:vAlign w:val="top"/>
            <w:hideMark/>
          </w:tcPr>
          <w:p w14:paraId="5536FC5C"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427,039</w:t>
            </w:r>
          </w:p>
        </w:tc>
      </w:tr>
      <w:tr w:rsidR="00563377" w:rsidRPr="00063344" w14:paraId="2BAD9638"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0" w:type="dxa"/>
            <w:noWrap/>
            <w:hideMark/>
          </w:tcPr>
          <w:p w14:paraId="6E3ED737"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1128" w:type="dxa"/>
            <w:noWrap/>
            <w:vAlign w:val="top"/>
            <w:hideMark/>
          </w:tcPr>
          <w:p w14:paraId="7BD33B5C"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0</w:t>
            </w:r>
          </w:p>
        </w:tc>
        <w:tc>
          <w:tcPr>
            <w:tcW w:w="1128" w:type="dxa"/>
            <w:noWrap/>
            <w:vAlign w:val="top"/>
            <w:hideMark/>
          </w:tcPr>
          <w:p w14:paraId="7199254A"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0</w:t>
            </w:r>
          </w:p>
        </w:tc>
        <w:tc>
          <w:tcPr>
            <w:tcW w:w="1128" w:type="dxa"/>
            <w:noWrap/>
            <w:vAlign w:val="top"/>
            <w:hideMark/>
          </w:tcPr>
          <w:p w14:paraId="1B38853E"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0</w:t>
            </w:r>
          </w:p>
        </w:tc>
        <w:tc>
          <w:tcPr>
            <w:tcW w:w="1128" w:type="dxa"/>
            <w:tcBorders>
              <w:right w:val="dotted" w:sz="4" w:space="0" w:color="auto"/>
            </w:tcBorders>
            <w:noWrap/>
            <w:vAlign w:val="top"/>
            <w:hideMark/>
          </w:tcPr>
          <w:p w14:paraId="625C4AA7"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0</w:t>
            </w:r>
          </w:p>
        </w:tc>
        <w:tc>
          <w:tcPr>
            <w:tcW w:w="0" w:type="dxa"/>
            <w:tcBorders>
              <w:top w:val="nil"/>
              <w:left w:val="dotted" w:sz="4" w:space="0" w:color="auto"/>
              <w:bottom w:val="nil"/>
            </w:tcBorders>
            <w:noWrap/>
            <w:vAlign w:val="top"/>
            <w:hideMark/>
          </w:tcPr>
          <w:p w14:paraId="09A8CC2D"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0</w:t>
            </w:r>
          </w:p>
        </w:tc>
      </w:tr>
      <w:tr w:rsidR="00F830E6" w:rsidRPr="00063344" w14:paraId="0B074030"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3D689AD7"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variance to baseline</w:t>
            </w:r>
          </w:p>
        </w:tc>
        <w:tc>
          <w:tcPr>
            <w:tcW w:w="1128" w:type="dxa"/>
            <w:shd w:val="clear" w:color="auto" w:fill="auto"/>
            <w:noWrap/>
            <w:vAlign w:val="top"/>
            <w:hideMark/>
          </w:tcPr>
          <w:p w14:paraId="7109024B"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0.0%</w:t>
            </w:r>
          </w:p>
        </w:tc>
        <w:tc>
          <w:tcPr>
            <w:tcW w:w="1128" w:type="dxa"/>
            <w:shd w:val="clear" w:color="auto" w:fill="auto"/>
            <w:noWrap/>
            <w:vAlign w:val="top"/>
            <w:hideMark/>
          </w:tcPr>
          <w:p w14:paraId="01A9EF6F"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0.0%</w:t>
            </w:r>
          </w:p>
        </w:tc>
        <w:tc>
          <w:tcPr>
            <w:tcW w:w="1128" w:type="dxa"/>
            <w:shd w:val="clear" w:color="auto" w:fill="auto"/>
            <w:noWrap/>
            <w:vAlign w:val="top"/>
            <w:hideMark/>
          </w:tcPr>
          <w:p w14:paraId="6F533649"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0.0%</w:t>
            </w:r>
          </w:p>
        </w:tc>
        <w:tc>
          <w:tcPr>
            <w:tcW w:w="1128" w:type="dxa"/>
            <w:tcBorders>
              <w:right w:val="dotted" w:sz="4" w:space="0" w:color="auto"/>
            </w:tcBorders>
            <w:shd w:val="clear" w:color="auto" w:fill="auto"/>
            <w:noWrap/>
            <w:vAlign w:val="top"/>
            <w:hideMark/>
          </w:tcPr>
          <w:p w14:paraId="66567ADD"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0.0%</w:t>
            </w:r>
          </w:p>
        </w:tc>
        <w:tc>
          <w:tcPr>
            <w:tcW w:w="0" w:type="dxa"/>
            <w:tcBorders>
              <w:top w:val="nil"/>
              <w:left w:val="dotted" w:sz="4" w:space="0" w:color="auto"/>
              <w:bottom w:val="nil"/>
            </w:tcBorders>
            <w:shd w:val="clear" w:color="auto" w:fill="auto"/>
            <w:noWrap/>
            <w:vAlign w:val="top"/>
            <w:hideMark/>
          </w:tcPr>
          <w:p w14:paraId="1EB46EB1"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0.0%</w:t>
            </w:r>
          </w:p>
        </w:tc>
      </w:tr>
      <w:tr w:rsidR="00F830E6" w:rsidRPr="00063344" w14:paraId="722E6FE3"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noWrap/>
            <w:hideMark/>
          </w:tcPr>
          <w:p w14:paraId="30363AA5" w14:textId="77777777" w:rsidR="00563377" w:rsidRPr="00063344" w:rsidRDefault="00563377" w:rsidP="00563377">
            <w:pPr>
              <w:spacing w:after="0" w:line="240" w:lineRule="auto"/>
              <w:rPr>
                <w:rFonts w:eastAsia="Times New Roman" w:cs="Arial"/>
                <w:b/>
                <w:bCs/>
                <w:i/>
                <w:iCs/>
                <w:color w:val="000000"/>
                <w:sz w:val="20"/>
                <w:szCs w:val="20"/>
                <w:lang w:eastAsia="en-AU"/>
              </w:rPr>
            </w:pPr>
            <w:r w:rsidRPr="00063344">
              <w:rPr>
                <w:rFonts w:eastAsia="Times New Roman" w:cs="Arial"/>
                <w:b/>
                <w:bCs/>
                <w:i/>
                <w:iCs/>
                <w:color w:val="000000"/>
                <w:sz w:val="20"/>
                <w:szCs w:val="20"/>
                <w:lang w:eastAsia="en-AU"/>
              </w:rPr>
              <w:t>New participants</w:t>
            </w:r>
          </w:p>
        </w:tc>
        <w:tc>
          <w:tcPr>
            <w:tcW w:w="1128" w:type="dxa"/>
            <w:shd w:val="clear" w:color="auto" w:fill="BFBFBF" w:themeFill="background1" w:themeFillShade="BF"/>
            <w:noWrap/>
            <w:vAlign w:val="top"/>
            <w:hideMark/>
          </w:tcPr>
          <w:p w14:paraId="2B74912D"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1128" w:type="dxa"/>
            <w:shd w:val="clear" w:color="auto" w:fill="BFBFBF" w:themeFill="background1" w:themeFillShade="BF"/>
            <w:noWrap/>
            <w:vAlign w:val="top"/>
            <w:hideMark/>
          </w:tcPr>
          <w:p w14:paraId="31F23EE5"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1128" w:type="dxa"/>
            <w:shd w:val="clear" w:color="auto" w:fill="BFBFBF" w:themeFill="background1" w:themeFillShade="BF"/>
            <w:noWrap/>
            <w:vAlign w:val="top"/>
            <w:hideMark/>
          </w:tcPr>
          <w:p w14:paraId="35639EF9"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1128" w:type="dxa"/>
            <w:tcBorders>
              <w:right w:val="dotted" w:sz="4" w:space="0" w:color="auto"/>
            </w:tcBorders>
            <w:shd w:val="clear" w:color="auto" w:fill="BFBFBF" w:themeFill="background1" w:themeFillShade="BF"/>
            <w:noWrap/>
            <w:vAlign w:val="top"/>
            <w:hideMark/>
          </w:tcPr>
          <w:p w14:paraId="49D690BF"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0" w:type="dxa"/>
            <w:tcBorders>
              <w:top w:val="nil"/>
              <w:left w:val="dotted" w:sz="4" w:space="0" w:color="auto"/>
              <w:bottom w:val="nil"/>
            </w:tcBorders>
            <w:shd w:val="clear" w:color="auto" w:fill="BFBFBF" w:themeFill="background1" w:themeFillShade="BF"/>
            <w:noWrap/>
            <w:vAlign w:val="top"/>
            <w:hideMark/>
          </w:tcPr>
          <w:p w14:paraId="477BC481"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r>
      <w:tr w:rsidR="00F830E6" w:rsidRPr="00063344" w14:paraId="686AF1B0"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7A874E4C"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1128" w:type="dxa"/>
            <w:shd w:val="clear" w:color="auto" w:fill="auto"/>
            <w:noWrap/>
            <w:vAlign w:val="top"/>
            <w:hideMark/>
          </w:tcPr>
          <w:p w14:paraId="33D3BD1C"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71,609</w:t>
            </w:r>
          </w:p>
        </w:tc>
        <w:tc>
          <w:tcPr>
            <w:tcW w:w="1128" w:type="dxa"/>
            <w:shd w:val="clear" w:color="auto" w:fill="auto"/>
            <w:noWrap/>
            <w:vAlign w:val="top"/>
            <w:hideMark/>
          </w:tcPr>
          <w:p w14:paraId="5D0AAC9E"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140,667</w:t>
            </w:r>
          </w:p>
        </w:tc>
        <w:tc>
          <w:tcPr>
            <w:tcW w:w="1128" w:type="dxa"/>
            <w:shd w:val="clear" w:color="auto" w:fill="auto"/>
            <w:noWrap/>
            <w:vAlign w:val="top"/>
            <w:hideMark/>
          </w:tcPr>
          <w:p w14:paraId="7D8D143E"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202,856</w:t>
            </w:r>
          </w:p>
        </w:tc>
        <w:tc>
          <w:tcPr>
            <w:tcW w:w="1128" w:type="dxa"/>
            <w:tcBorders>
              <w:right w:val="dotted" w:sz="4" w:space="0" w:color="auto"/>
            </w:tcBorders>
            <w:shd w:val="clear" w:color="auto" w:fill="auto"/>
            <w:noWrap/>
            <w:vAlign w:val="top"/>
            <w:hideMark/>
          </w:tcPr>
          <w:p w14:paraId="284E8F7A"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263,001</w:t>
            </w:r>
          </w:p>
        </w:tc>
        <w:tc>
          <w:tcPr>
            <w:tcW w:w="0" w:type="dxa"/>
            <w:tcBorders>
              <w:top w:val="nil"/>
              <w:left w:val="dotted" w:sz="4" w:space="0" w:color="auto"/>
              <w:bottom w:val="nil"/>
            </w:tcBorders>
            <w:shd w:val="clear" w:color="auto" w:fill="auto"/>
            <w:noWrap/>
            <w:vAlign w:val="top"/>
            <w:hideMark/>
          </w:tcPr>
          <w:p w14:paraId="68E30606"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599,199</w:t>
            </w:r>
          </w:p>
        </w:tc>
      </w:tr>
      <w:tr w:rsidR="00563377" w:rsidRPr="00063344" w14:paraId="17A95833"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0" w:type="dxa"/>
            <w:noWrap/>
            <w:hideMark/>
          </w:tcPr>
          <w:p w14:paraId="69C6E126"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1128" w:type="dxa"/>
            <w:noWrap/>
            <w:vAlign w:val="top"/>
            <w:hideMark/>
          </w:tcPr>
          <w:p w14:paraId="0DB86472"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861</w:t>
            </w:r>
          </w:p>
        </w:tc>
        <w:tc>
          <w:tcPr>
            <w:tcW w:w="1128" w:type="dxa"/>
            <w:noWrap/>
            <w:vAlign w:val="top"/>
            <w:hideMark/>
          </w:tcPr>
          <w:p w14:paraId="75F223A1"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1,729</w:t>
            </w:r>
          </w:p>
        </w:tc>
        <w:tc>
          <w:tcPr>
            <w:tcW w:w="1128" w:type="dxa"/>
            <w:noWrap/>
            <w:vAlign w:val="top"/>
            <w:hideMark/>
          </w:tcPr>
          <w:p w14:paraId="654DDCDC"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2,598</w:t>
            </w:r>
          </w:p>
        </w:tc>
        <w:tc>
          <w:tcPr>
            <w:tcW w:w="1128" w:type="dxa"/>
            <w:tcBorders>
              <w:right w:val="dotted" w:sz="4" w:space="0" w:color="auto"/>
            </w:tcBorders>
            <w:noWrap/>
            <w:vAlign w:val="top"/>
            <w:hideMark/>
          </w:tcPr>
          <w:p w14:paraId="771ECA0C"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3,468</w:t>
            </w:r>
          </w:p>
        </w:tc>
        <w:tc>
          <w:tcPr>
            <w:tcW w:w="0" w:type="dxa"/>
            <w:tcBorders>
              <w:top w:val="nil"/>
              <w:left w:val="dotted" w:sz="4" w:space="0" w:color="auto"/>
              <w:bottom w:val="nil"/>
            </w:tcBorders>
            <w:noWrap/>
            <w:vAlign w:val="top"/>
            <w:hideMark/>
          </w:tcPr>
          <w:p w14:paraId="733A1E4D"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8,716</w:t>
            </w:r>
          </w:p>
        </w:tc>
      </w:tr>
      <w:tr w:rsidR="00F830E6" w:rsidRPr="00063344" w14:paraId="0770DCDD"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56A9697A"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variance to baseline</w:t>
            </w:r>
          </w:p>
        </w:tc>
        <w:tc>
          <w:tcPr>
            <w:tcW w:w="1128" w:type="dxa"/>
            <w:shd w:val="clear" w:color="auto" w:fill="auto"/>
            <w:noWrap/>
            <w:vAlign w:val="top"/>
            <w:hideMark/>
          </w:tcPr>
          <w:p w14:paraId="3C405C11"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1.2%</w:t>
            </w:r>
          </w:p>
        </w:tc>
        <w:tc>
          <w:tcPr>
            <w:tcW w:w="1128" w:type="dxa"/>
            <w:shd w:val="clear" w:color="auto" w:fill="auto"/>
            <w:noWrap/>
            <w:vAlign w:val="top"/>
            <w:hideMark/>
          </w:tcPr>
          <w:p w14:paraId="0C18BD7D"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1.2%</w:t>
            </w:r>
          </w:p>
        </w:tc>
        <w:tc>
          <w:tcPr>
            <w:tcW w:w="1128" w:type="dxa"/>
            <w:shd w:val="clear" w:color="auto" w:fill="auto"/>
            <w:noWrap/>
            <w:vAlign w:val="top"/>
            <w:hideMark/>
          </w:tcPr>
          <w:p w14:paraId="2C2A1890"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1.3%</w:t>
            </w:r>
          </w:p>
        </w:tc>
        <w:tc>
          <w:tcPr>
            <w:tcW w:w="1128" w:type="dxa"/>
            <w:tcBorders>
              <w:right w:val="dotted" w:sz="4" w:space="0" w:color="auto"/>
            </w:tcBorders>
            <w:shd w:val="clear" w:color="auto" w:fill="auto"/>
            <w:noWrap/>
            <w:vAlign w:val="top"/>
            <w:hideMark/>
          </w:tcPr>
          <w:p w14:paraId="65FD0FF9"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1.3%</w:t>
            </w:r>
          </w:p>
        </w:tc>
        <w:tc>
          <w:tcPr>
            <w:tcW w:w="0" w:type="dxa"/>
            <w:tcBorders>
              <w:top w:val="nil"/>
              <w:left w:val="dotted" w:sz="4" w:space="0" w:color="auto"/>
              <w:bottom w:val="nil"/>
            </w:tcBorders>
            <w:shd w:val="clear" w:color="auto" w:fill="auto"/>
            <w:noWrap/>
            <w:vAlign w:val="top"/>
            <w:hideMark/>
          </w:tcPr>
          <w:p w14:paraId="385A9E1F"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1.5%</w:t>
            </w:r>
          </w:p>
        </w:tc>
      </w:tr>
      <w:tr w:rsidR="00F830E6" w:rsidRPr="00063344" w14:paraId="4329B0FF"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noWrap/>
            <w:hideMark/>
          </w:tcPr>
          <w:p w14:paraId="0FD5B659" w14:textId="77777777" w:rsidR="00563377" w:rsidRPr="00063344" w:rsidRDefault="00563377" w:rsidP="00563377">
            <w:pPr>
              <w:spacing w:after="0" w:line="240" w:lineRule="auto"/>
              <w:rPr>
                <w:rFonts w:eastAsia="Times New Roman" w:cs="Arial"/>
                <w:b/>
                <w:bCs/>
                <w:i/>
                <w:iCs/>
                <w:color w:val="000000"/>
                <w:sz w:val="20"/>
                <w:szCs w:val="20"/>
                <w:lang w:eastAsia="en-AU"/>
              </w:rPr>
            </w:pPr>
            <w:r w:rsidRPr="00063344">
              <w:rPr>
                <w:rFonts w:eastAsia="Times New Roman" w:cs="Arial"/>
                <w:b/>
                <w:bCs/>
                <w:i/>
                <w:iCs/>
                <w:color w:val="000000"/>
                <w:sz w:val="20"/>
                <w:szCs w:val="20"/>
                <w:lang w:eastAsia="en-AU"/>
              </w:rPr>
              <w:t>All projected participants</w:t>
            </w:r>
          </w:p>
        </w:tc>
        <w:tc>
          <w:tcPr>
            <w:tcW w:w="1128" w:type="dxa"/>
            <w:shd w:val="clear" w:color="auto" w:fill="BFBFBF" w:themeFill="background1" w:themeFillShade="BF"/>
            <w:noWrap/>
            <w:vAlign w:val="top"/>
            <w:hideMark/>
          </w:tcPr>
          <w:p w14:paraId="14C12051"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1128" w:type="dxa"/>
            <w:shd w:val="clear" w:color="auto" w:fill="BFBFBF" w:themeFill="background1" w:themeFillShade="BF"/>
            <w:noWrap/>
            <w:vAlign w:val="top"/>
            <w:hideMark/>
          </w:tcPr>
          <w:p w14:paraId="50018ECE"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1128" w:type="dxa"/>
            <w:shd w:val="clear" w:color="auto" w:fill="BFBFBF" w:themeFill="background1" w:themeFillShade="BF"/>
            <w:noWrap/>
            <w:vAlign w:val="top"/>
            <w:hideMark/>
          </w:tcPr>
          <w:p w14:paraId="66D04455"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1128" w:type="dxa"/>
            <w:tcBorders>
              <w:right w:val="dotted" w:sz="4" w:space="0" w:color="auto"/>
            </w:tcBorders>
            <w:shd w:val="clear" w:color="auto" w:fill="BFBFBF" w:themeFill="background1" w:themeFillShade="BF"/>
            <w:noWrap/>
            <w:vAlign w:val="top"/>
            <w:hideMark/>
          </w:tcPr>
          <w:p w14:paraId="5EDA665D"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0" w:type="dxa"/>
            <w:tcBorders>
              <w:top w:val="nil"/>
              <w:left w:val="dotted" w:sz="4" w:space="0" w:color="auto"/>
              <w:bottom w:val="nil"/>
            </w:tcBorders>
            <w:shd w:val="clear" w:color="auto" w:fill="BFBFBF" w:themeFill="background1" w:themeFillShade="BF"/>
            <w:noWrap/>
            <w:vAlign w:val="top"/>
            <w:hideMark/>
          </w:tcPr>
          <w:p w14:paraId="7B95F6CB"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r>
      <w:tr w:rsidR="00F830E6" w:rsidRPr="00063344" w14:paraId="78F54C40"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31780C2A"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1128" w:type="dxa"/>
            <w:shd w:val="clear" w:color="auto" w:fill="auto"/>
            <w:noWrap/>
            <w:vAlign w:val="top"/>
            <w:hideMark/>
          </w:tcPr>
          <w:p w14:paraId="657785D1"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593,155</w:t>
            </w:r>
          </w:p>
        </w:tc>
        <w:tc>
          <w:tcPr>
            <w:tcW w:w="1128" w:type="dxa"/>
            <w:shd w:val="clear" w:color="auto" w:fill="auto"/>
            <w:noWrap/>
            <w:vAlign w:val="top"/>
            <w:hideMark/>
          </w:tcPr>
          <w:p w14:paraId="3555859B"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647,741</w:t>
            </w:r>
          </w:p>
        </w:tc>
        <w:tc>
          <w:tcPr>
            <w:tcW w:w="1128" w:type="dxa"/>
            <w:shd w:val="clear" w:color="auto" w:fill="auto"/>
            <w:noWrap/>
            <w:vAlign w:val="top"/>
            <w:hideMark/>
          </w:tcPr>
          <w:p w14:paraId="2CF36D9E"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696,486</w:t>
            </w:r>
          </w:p>
        </w:tc>
        <w:tc>
          <w:tcPr>
            <w:tcW w:w="1128" w:type="dxa"/>
            <w:tcBorders>
              <w:right w:val="dotted" w:sz="4" w:space="0" w:color="auto"/>
            </w:tcBorders>
            <w:shd w:val="clear" w:color="auto" w:fill="auto"/>
            <w:noWrap/>
            <w:vAlign w:val="top"/>
            <w:hideMark/>
          </w:tcPr>
          <w:p w14:paraId="11C105DE"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744,544</w:t>
            </w:r>
          </w:p>
        </w:tc>
        <w:tc>
          <w:tcPr>
            <w:tcW w:w="0" w:type="dxa"/>
            <w:tcBorders>
              <w:top w:val="nil"/>
              <w:left w:val="dotted" w:sz="4" w:space="0" w:color="auto"/>
              <w:bottom w:val="nil"/>
            </w:tcBorders>
            <w:shd w:val="clear" w:color="auto" w:fill="auto"/>
            <w:noWrap/>
            <w:vAlign w:val="top"/>
            <w:hideMark/>
          </w:tcPr>
          <w:p w14:paraId="350AC35B"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1,026,238</w:t>
            </w:r>
          </w:p>
        </w:tc>
      </w:tr>
      <w:tr w:rsidR="00563377" w:rsidRPr="00063344" w14:paraId="3EE5AE23"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0" w:type="dxa"/>
            <w:noWrap/>
            <w:hideMark/>
          </w:tcPr>
          <w:p w14:paraId="757B3D6A"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1128" w:type="dxa"/>
            <w:noWrap/>
            <w:vAlign w:val="top"/>
            <w:hideMark/>
          </w:tcPr>
          <w:p w14:paraId="13F0099D"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861</w:t>
            </w:r>
          </w:p>
        </w:tc>
        <w:tc>
          <w:tcPr>
            <w:tcW w:w="1128" w:type="dxa"/>
            <w:noWrap/>
            <w:vAlign w:val="top"/>
            <w:hideMark/>
          </w:tcPr>
          <w:p w14:paraId="7AAD9A7B"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1,729</w:t>
            </w:r>
          </w:p>
        </w:tc>
        <w:tc>
          <w:tcPr>
            <w:tcW w:w="1128" w:type="dxa"/>
            <w:noWrap/>
            <w:vAlign w:val="top"/>
            <w:hideMark/>
          </w:tcPr>
          <w:p w14:paraId="710C67B4"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2,598</w:t>
            </w:r>
          </w:p>
        </w:tc>
        <w:tc>
          <w:tcPr>
            <w:tcW w:w="1128" w:type="dxa"/>
            <w:tcBorders>
              <w:right w:val="dotted" w:sz="4" w:space="0" w:color="auto"/>
            </w:tcBorders>
            <w:noWrap/>
            <w:vAlign w:val="top"/>
            <w:hideMark/>
          </w:tcPr>
          <w:p w14:paraId="03F34A86"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3,468</w:t>
            </w:r>
          </w:p>
        </w:tc>
        <w:tc>
          <w:tcPr>
            <w:tcW w:w="0" w:type="dxa"/>
            <w:tcBorders>
              <w:top w:val="nil"/>
              <w:left w:val="dotted" w:sz="4" w:space="0" w:color="auto"/>
              <w:bottom w:val="nil"/>
            </w:tcBorders>
            <w:noWrap/>
            <w:vAlign w:val="top"/>
            <w:hideMark/>
          </w:tcPr>
          <w:p w14:paraId="277E99F9"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8,716</w:t>
            </w:r>
          </w:p>
        </w:tc>
      </w:tr>
      <w:tr w:rsidR="00F830E6" w:rsidRPr="00063344" w14:paraId="15CBA341"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0C5655E6"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variance to baseline</w:t>
            </w:r>
          </w:p>
        </w:tc>
        <w:tc>
          <w:tcPr>
            <w:tcW w:w="1128" w:type="dxa"/>
            <w:shd w:val="clear" w:color="auto" w:fill="auto"/>
            <w:noWrap/>
            <w:vAlign w:val="top"/>
            <w:hideMark/>
          </w:tcPr>
          <w:p w14:paraId="672A2295"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0.1%</w:t>
            </w:r>
          </w:p>
        </w:tc>
        <w:tc>
          <w:tcPr>
            <w:tcW w:w="1128" w:type="dxa"/>
            <w:shd w:val="clear" w:color="auto" w:fill="auto"/>
            <w:noWrap/>
            <w:vAlign w:val="top"/>
            <w:hideMark/>
          </w:tcPr>
          <w:p w14:paraId="567D99A6"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0.3%</w:t>
            </w:r>
          </w:p>
        </w:tc>
        <w:tc>
          <w:tcPr>
            <w:tcW w:w="1128" w:type="dxa"/>
            <w:shd w:val="clear" w:color="auto" w:fill="auto"/>
            <w:noWrap/>
            <w:vAlign w:val="top"/>
            <w:hideMark/>
          </w:tcPr>
          <w:p w14:paraId="2B7C683F"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0.4%</w:t>
            </w:r>
          </w:p>
        </w:tc>
        <w:tc>
          <w:tcPr>
            <w:tcW w:w="1128" w:type="dxa"/>
            <w:tcBorders>
              <w:right w:val="dotted" w:sz="4" w:space="0" w:color="auto"/>
            </w:tcBorders>
            <w:shd w:val="clear" w:color="auto" w:fill="auto"/>
            <w:noWrap/>
            <w:vAlign w:val="top"/>
            <w:hideMark/>
          </w:tcPr>
          <w:p w14:paraId="5EB804CA"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0.5%</w:t>
            </w:r>
          </w:p>
        </w:tc>
        <w:tc>
          <w:tcPr>
            <w:tcW w:w="0" w:type="dxa"/>
            <w:tcBorders>
              <w:top w:val="nil"/>
              <w:left w:val="dotted" w:sz="4" w:space="0" w:color="auto"/>
              <w:bottom w:val="single" w:sz="4" w:space="0" w:color="auto"/>
            </w:tcBorders>
            <w:shd w:val="clear" w:color="auto" w:fill="auto"/>
            <w:noWrap/>
            <w:vAlign w:val="top"/>
            <w:hideMark/>
          </w:tcPr>
          <w:p w14:paraId="549C934C"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0.9%</w:t>
            </w:r>
          </w:p>
        </w:tc>
      </w:tr>
    </w:tbl>
    <w:p w14:paraId="4042A385" w14:textId="77777777" w:rsidR="00BE0460" w:rsidRDefault="00BE0460" w:rsidP="00251F21">
      <w:pPr>
        <w:pStyle w:val="FSRHeading5"/>
        <w:rPr>
          <w:i w:val="0"/>
          <w:color w:val="6B2976"/>
          <w:sz w:val="22"/>
        </w:rPr>
      </w:pPr>
    </w:p>
    <w:p w14:paraId="5787F3EA" w14:textId="77777777" w:rsidR="00BE0460" w:rsidRDefault="00BE0460">
      <w:pPr>
        <w:spacing w:after="160" w:line="259" w:lineRule="auto"/>
        <w:rPr>
          <w:b/>
          <w:color w:val="6B2976"/>
        </w:rPr>
      </w:pPr>
      <w:r>
        <w:rPr>
          <w:i/>
          <w:color w:val="6B2976"/>
        </w:rPr>
        <w:br w:type="page"/>
      </w:r>
    </w:p>
    <w:p w14:paraId="15A5469B" w14:textId="77777777" w:rsidR="00251F21" w:rsidRPr="00DA3F73" w:rsidRDefault="00251F21" w:rsidP="00251F21">
      <w:pPr>
        <w:pStyle w:val="FSRHeading5"/>
        <w:rPr>
          <w:i w:val="0"/>
          <w:color w:val="6B2976"/>
          <w:sz w:val="22"/>
        </w:rPr>
      </w:pPr>
      <w:r w:rsidRPr="00DA3F73">
        <w:rPr>
          <w:i w:val="0"/>
          <w:color w:val="6B2976"/>
          <w:sz w:val="22"/>
        </w:rPr>
        <w:lastRenderedPageBreak/>
        <w:t>Scenario: Three extra years to reach steady state</w:t>
      </w:r>
    </w:p>
    <w:p w14:paraId="00925FAF" w14:textId="77777777" w:rsidR="00251F21" w:rsidRDefault="00251F21" w:rsidP="00251F21">
      <w:pPr>
        <w:pStyle w:val="FSRnormal"/>
      </w:pPr>
      <w:r>
        <w:t>This scenario assumes the scheme is bound to take three</w:t>
      </w:r>
      <w:r w:rsidRPr="00C41A37">
        <w:t xml:space="preserve"> extra yea</w:t>
      </w:r>
      <w:r>
        <w:t>rs to reach steady state (</w:t>
      </w:r>
      <w:r w:rsidRPr="00C41A37">
        <w:t>a slower transition to the Steady Intake Date</w:t>
      </w:r>
      <w:r>
        <w:t>)</w:t>
      </w:r>
      <w:r w:rsidRPr="00C41A37">
        <w:t>, such that it occurs on 30 June 2027 instead of the current assumption of 30 June 2024</w:t>
      </w:r>
      <w:r>
        <w:t>.</w:t>
      </w:r>
    </w:p>
    <w:p w14:paraId="0A6D78F8" w14:textId="77777777" w:rsidR="00251F21" w:rsidRPr="00063344" w:rsidRDefault="00251F21" w:rsidP="00DA3F73">
      <w:pPr>
        <w:pStyle w:val="Tables"/>
      </w:pPr>
      <w:r w:rsidRPr="00063344">
        <w:t xml:space="preserve">Table </w:t>
      </w:r>
      <w:r w:rsidR="001B3F25">
        <w:t>G</w:t>
      </w:r>
      <w:r w:rsidR="0099659B">
        <w:t>.</w:t>
      </w:r>
      <w:fldSimple w:instr=" SEQ Table \* ARABIC \s 2 ">
        <w:r w:rsidR="00A87896">
          <w:rPr>
            <w:noProof/>
          </w:rPr>
          <w:t>6</w:t>
        </w:r>
      </w:fldSimple>
      <w:r w:rsidRPr="00063344">
        <w:t>: Three extra years to reach steady state</w:t>
      </w:r>
    </w:p>
    <w:tbl>
      <w:tblPr>
        <w:tblStyle w:val="FSRtable"/>
        <w:tblW w:w="8654" w:type="dxa"/>
        <w:tblInd w:w="5" w:type="dxa"/>
        <w:tblLook w:val="04A0" w:firstRow="1" w:lastRow="0" w:firstColumn="1" w:lastColumn="0" w:noHBand="0" w:noVBand="1"/>
      </w:tblPr>
      <w:tblGrid>
        <w:gridCol w:w="2890"/>
        <w:gridCol w:w="1147"/>
        <w:gridCol w:w="1138"/>
        <w:gridCol w:w="1138"/>
        <w:gridCol w:w="1149"/>
        <w:gridCol w:w="1192"/>
      </w:tblGrid>
      <w:tr w:rsidR="00B613F8" w:rsidRPr="00063344" w14:paraId="0AC41823" w14:textId="77777777" w:rsidTr="00BD61C9">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890" w:type="dxa"/>
            <w:noWrap/>
            <w:hideMark/>
          </w:tcPr>
          <w:p w14:paraId="24C68502" w14:textId="77777777" w:rsidR="00B613F8" w:rsidRPr="00063344" w:rsidRDefault="00B613F8" w:rsidP="00251F21">
            <w:pPr>
              <w:spacing w:after="0" w:line="240" w:lineRule="auto"/>
              <w:rPr>
                <w:rFonts w:eastAsia="Times New Roman"/>
                <w:color w:val="FFFFFF"/>
                <w:sz w:val="20"/>
                <w:szCs w:val="20"/>
                <w:lang w:eastAsia="en-AU"/>
              </w:rPr>
            </w:pPr>
            <w:r w:rsidRPr="00063344">
              <w:rPr>
                <w:rFonts w:eastAsia="Times New Roman"/>
                <w:color w:val="FFFFFF"/>
                <w:sz w:val="20"/>
                <w:szCs w:val="20"/>
                <w:lang w:eastAsia="en-AU"/>
              </w:rPr>
              <w:t> </w:t>
            </w:r>
          </w:p>
        </w:tc>
        <w:tc>
          <w:tcPr>
            <w:tcW w:w="5764" w:type="dxa"/>
            <w:gridSpan w:val="5"/>
            <w:tcBorders>
              <w:top w:val="single" w:sz="4" w:space="0" w:color="auto"/>
              <w:bottom w:val="single" w:sz="4" w:space="0" w:color="FFFFFF" w:themeColor="background1"/>
            </w:tcBorders>
            <w:noWrap/>
            <w:hideMark/>
          </w:tcPr>
          <w:p w14:paraId="6EE96492" w14:textId="77777777" w:rsidR="00B613F8" w:rsidRPr="00B613F8" w:rsidRDefault="00B613F8" w:rsidP="00DA3F7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lang w:eastAsia="en-AU"/>
              </w:rPr>
            </w:pPr>
            <w:r w:rsidRPr="00B613F8">
              <w:rPr>
                <w:rFonts w:eastAsia="Times New Roman"/>
                <w:bCs/>
                <w:color w:val="FFFFFF"/>
                <w:sz w:val="20"/>
                <w:szCs w:val="20"/>
                <w:lang w:eastAsia="en-AU"/>
              </w:rPr>
              <w:t>Projection Year </w:t>
            </w:r>
          </w:p>
        </w:tc>
      </w:tr>
      <w:tr w:rsidR="00DC4194" w:rsidRPr="009C7082" w14:paraId="64CBE119" w14:textId="77777777" w:rsidTr="00BD61C9">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890" w:type="dxa"/>
            <w:noWrap/>
            <w:hideMark/>
          </w:tcPr>
          <w:p w14:paraId="1FDE9F8E" w14:textId="77777777" w:rsidR="00251F21" w:rsidRPr="009C7082" w:rsidRDefault="00251F21" w:rsidP="00251F21">
            <w:pPr>
              <w:spacing w:after="0" w:line="240" w:lineRule="auto"/>
              <w:rPr>
                <w:rFonts w:eastAsia="Times New Roman"/>
                <w:color w:val="FFFFFF"/>
                <w:sz w:val="20"/>
                <w:szCs w:val="20"/>
                <w:lang w:eastAsia="en-AU"/>
              </w:rPr>
            </w:pPr>
            <w:r w:rsidRPr="009C7082">
              <w:rPr>
                <w:rFonts w:eastAsia="Times New Roman"/>
                <w:color w:val="FFFFFF"/>
                <w:sz w:val="20"/>
                <w:szCs w:val="20"/>
                <w:lang w:eastAsia="en-AU"/>
              </w:rPr>
              <w:t> </w:t>
            </w:r>
          </w:p>
        </w:tc>
        <w:tc>
          <w:tcPr>
            <w:tcW w:w="1147" w:type="dxa"/>
            <w:tcBorders>
              <w:top w:val="single" w:sz="4" w:space="0" w:color="FFFFFF" w:themeColor="background1"/>
            </w:tcBorders>
            <w:noWrap/>
            <w:hideMark/>
          </w:tcPr>
          <w:p w14:paraId="3A9BBDD6"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Jun-23</w:t>
            </w:r>
          </w:p>
        </w:tc>
        <w:tc>
          <w:tcPr>
            <w:tcW w:w="1138" w:type="dxa"/>
            <w:tcBorders>
              <w:top w:val="single" w:sz="4" w:space="0" w:color="FFFFFF" w:themeColor="background1"/>
            </w:tcBorders>
            <w:noWrap/>
            <w:hideMark/>
          </w:tcPr>
          <w:p w14:paraId="03CE9DE0"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Jun-24</w:t>
            </w:r>
          </w:p>
        </w:tc>
        <w:tc>
          <w:tcPr>
            <w:tcW w:w="1138" w:type="dxa"/>
            <w:tcBorders>
              <w:top w:val="single" w:sz="4" w:space="0" w:color="FFFFFF" w:themeColor="background1"/>
            </w:tcBorders>
            <w:noWrap/>
            <w:hideMark/>
          </w:tcPr>
          <w:p w14:paraId="288B59C4"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Jun-25</w:t>
            </w:r>
          </w:p>
        </w:tc>
        <w:tc>
          <w:tcPr>
            <w:tcW w:w="1149" w:type="dxa"/>
            <w:tcBorders>
              <w:top w:val="single" w:sz="4" w:space="0" w:color="FFFFFF" w:themeColor="background1"/>
              <w:right w:val="dotted" w:sz="4" w:space="0" w:color="auto"/>
            </w:tcBorders>
            <w:noWrap/>
            <w:hideMark/>
          </w:tcPr>
          <w:p w14:paraId="04FF814F"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Jun-26</w:t>
            </w:r>
          </w:p>
        </w:tc>
        <w:tc>
          <w:tcPr>
            <w:tcW w:w="1192" w:type="dxa"/>
            <w:tcBorders>
              <w:top w:val="single" w:sz="4" w:space="0" w:color="FFFFFF" w:themeColor="background1"/>
              <w:left w:val="dotted" w:sz="4" w:space="0" w:color="auto"/>
              <w:bottom w:val="nil"/>
            </w:tcBorders>
            <w:noWrap/>
            <w:hideMark/>
          </w:tcPr>
          <w:p w14:paraId="591063A7" w14:textId="77777777" w:rsidR="00251F21" w:rsidRPr="009C7082" w:rsidRDefault="00251F21" w:rsidP="00251F21">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eastAsia="en-AU"/>
              </w:rPr>
            </w:pPr>
            <w:r w:rsidRPr="009C7082">
              <w:rPr>
                <w:rFonts w:eastAsia="Times New Roman"/>
                <w:bCs/>
                <w:color w:val="FFFFFF"/>
                <w:sz w:val="20"/>
                <w:szCs w:val="20"/>
                <w:lang w:eastAsia="en-AU"/>
              </w:rPr>
              <w:t>Jun-32</w:t>
            </w:r>
          </w:p>
        </w:tc>
      </w:tr>
      <w:tr w:rsidR="00DC4194" w:rsidRPr="00063344" w14:paraId="193400B1" w14:textId="77777777" w:rsidTr="001962A5">
        <w:trPr>
          <w:trHeight w:val="301"/>
        </w:trPr>
        <w:tc>
          <w:tcPr>
            <w:cnfStyle w:val="001000000000" w:firstRow="0" w:lastRow="0" w:firstColumn="1" w:lastColumn="0" w:oddVBand="0" w:evenVBand="0" w:oddHBand="0" w:evenHBand="0" w:firstRowFirstColumn="0" w:firstRowLastColumn="0" w:lastRowFirstColumn="0" w:lastRowLastColumn="0"/>
            <w:tcW w:w="2890" w:type="dxa"/>
            <w:shd w:val="clear" w:color="auto" w:fill="BFBFBF" w:themeFill="background1" w:themeFillShade="BF"/>
            <w:noWrap/>
            <w:hideMark/>
          </w:tcPr>
          <w:p w14:paraId="7C875757" w14:textId="77777777" w:rsidR="00251F21" w:rsidRPr="00063344" w:rsidRDefault="00251F21" w:rsidP="00251F21">
            <w:pPr>
              <w:spacing w:after="0" w:line="240" w:lineRule="auto"/>
              <w:rPr>
                <w:rFonts w:eastAsia="Times New Roman" w:cs="Arial"/>
                <w:b/>
                <w:bCs/>
                <w:i/>
                <w:iCs/>
                <w:color w:val="000000"/>
                <w:sz w:val="20"/>
                <w:szCs w:val="20"/>
                <w:lang w:eastAsia="en-AU"/>
              </w:rPr>
            </w:pPr>
            <w:r w:rsidRPr="00063344">
              <w:rPr>
                <w:rFonts w:eastAsia="Times New Roman" w:cs="Arial"/>
                <w:b/>
                <w:bCs/>
                <w:i/>
                <w:iCs/>
                <w:color w:val="000000"/>
                <w:sz w:val="20"/>
                <w:szCs w:val="20"/>
                <w:lang w:eastAsia="en-AU"/>
              </w:rPr>
              <w:t>Existing participants</w:t>
            </w:r>
          </w:p>
        </w:tc>
        <w:tc>
          <w:tcPr>
            <w:tcW w:w="1147" w:type="dxa"/>
            <w:shd w:val="clear" w:color="auto" w:fill="BFBFBF" w:themeFill="background1" w:themeFillShade="BF"/>
            <w:noWrap/>
            <w:hideMark/>
          </w:tcPr>
          <w:p w14:paraId="6F2EADF2" w14:textId="77777777" w:rsidR="00251F21" w:rsidRPr="00063344" w:rsidRDefault="00251F21" w:rsidP="00251F2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63344">
              <w:rPr>
                <w:rFonts w:eastAsia="Times New Roman" w:cs="Arial"/>
                <w:color w:val="000000"/>
                <w:sz w:val="20"/>
                <w:szCs w:val="20"/>
                <w:lang w:eastAsia="en-AU"/>
              </w:rPr>
              <w:t> </w:t>
            </w:r>
          </w:p>
        </w:tc>
        <w:tc>
          <w:tcPr>
            <w:tcW w:w="1138" w:type="dxa"/>
            <w:shd w:val="clear" w:color="auto" w:fill="BFBFBF" w:themeFill="background1" w:themeFillShade="BF"/>
            <w:noWrap/>
            <w:hideMark/>
          </w:tcPr>
          <w:p w14:paraId="6CD41B2A" w14:textId="77777777" w:rsidR="00251F21" w:rsidRPr="00063344" w:rsidRDefault="00251F21" w:rsidP="00251F2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63344">
              <w:rPr>
                <w:rFonts w:eastAsia="Times New Roman" w:cs="Arial"/>
                <w:color w:val="000000"/>
                <w:sz w:val="20"/>
                <w:szCs w:val="20"/>
                <w:lang w:eastAsia="en-AU"/>
              </w:rPr>
              <w:t> </w:t>
            </w:r>
          </w:p>
        </w:tc>
        <w:tc>
          <w:tcPr>
            <w:tcW w:w="1138" w:type="dxa"/>
            <w:shd w:val="clear" w:color="auto" w:fill="BFBFBF" w:themeFill="background1" w:themeFillShade="BF"/>
            <w:noWrap/>
            <w:hideMark/>
          </w:tcPr>
          <w:p w14:paraId="20231D03" w14:textId="77777777" w:rsidR="00251F21" w:rsidRPr="00063344" w:rsidRDefault="00251F21" w:rsidP="00251F2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63344">
              <w:rPr>
                <w:rFonts w:eastAsia="Times New Roman" w:cs="Arial"/>
                <w:color w:val="000000"/>
                <w:sz w:val="20"/>
                <w:szCs w:val="20"/>
                <w:lang w:eastAsia="en-AU"/>
              </w:rPr>
              <w:t> </w:t>
            </w:r>
          </w:p>
        </w:tc>
        <w:tc>
          <w:tcPr>
            <w:tcW w:w="1149" w:type="dxa"/>
            <w:tcBorders>
              <w:right w:val="dotted" w:sz="4" w:space="0" w:color="auto"/>
            </w:tcBorders>
            <w:shd w:val="clear" w:color="auto" w:fill="BFBFBF" w:themeFill="background1" w:themeFillShade="BF"/>
            <w:noWrap/>
            <w:hideMark/>
          </w:tcPr>
          <w:p w14:paraId="7E1CAE37" w14:textId="77777777" w:rsidR="00251F21" w:rsidRPr="00063344" w:rsidRDefault="00251F21" w:rsidP="00251F2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63344">
              <w:rPr>
                <w:rFonts w:eastAsia="Times New Roman" w:cs="Arial"/>
                <w:color w:val="000000"/>
                <w:sz w:val="20"/>
                <w:szCs w:val="20"/>
                <w:lang w:eastAsia="en-AU"/>
              </w:rPr>
              <w:t> </w:t>
            </w:r>
          </w:p>
        </w:tc>
        <w:tc>
          <w:tcPr>
            <w:tcW w:w="1192" w:type="dxa"/>
            <w:tcBorders>
              <w:top w:val="nil"/>
              <w:left w:val="dotted" w:sz="4" w:space="0" w:color="auto"/>
              <w:bottom w:val="nil"/>
            </w:tcBorders>
            <w:shd w:val="clear" w:color="auto" w:fill="BFBFBF" w:themeFill="background1" w:themeFillShade="BF"/>
            <w:noWrap/>
            <w:hideMark/>
          </w:tcPr>
          <w:p w14:paraId="2D5461AD" w14:textId="77777777" w:rsidR="00251F21" w:rsidRPr="00063344" w:rsidRDefault="00251F21" w:rsidP="00251F2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063344">
              <w:rPr>
                <w:rFonts w:eastAsia="Times New Roman" w:cs="Arial"/>
                <w:color w:val="000000"/>
                <w:sz w:val="20"/>
                <w:szCs w:val="20"/>
                <w:lang w:eastAsia="en-AU"/>
              </w:rPr>
              <w:t> </w:t>
            </w:r>
          </w:p>
        </w:tc>
      </w:tr>
      <w:tr w:rsidR="00F830E6" w:rsidRPr="00063344" w14:paraId="4FD1ED7E"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7B0B4DC7"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0" w:type="dxa"/>
            <w:shd w:val="clear" w:color="auto" w:fill="auto"/>
            <w:noWrap/>
            <w:vAlign w:val="top"/>
            <w:hideMark/>
          </w:tcPr>
          <w:p w14:paraId="7BB3D66E"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521,547</w:t>
            </w:r>
          </w:p>
        </w:tc>
        <w:tc>
          <w:tcPr>
            <w:tcW w:w="0" w:type="dxa"/>
            <w:shd w:val="clear" w:color="auto" w:fill="auto"/>
            <w:noWrap/>
            <w:vAlign w:val="top"/>
            <w:hideMark/>
          </w:tcPr>
          <w:p w14:paraId="3D364601"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507,074</w:t>
            </w:r>
          </w:p>
        </w:tc>
        <w:tc>
          <w:tcPr>
            <w:tcW w:w="0" w:type="dxa"/>
            <w:shd w:val="clear" w:color="auto" w:fill="auto"/>
            <w:noWrap/>
            <w:vAlign w:val="top"/>
            <w:hideMark/>
          </w:tcPr>
          <w:p w14:paraId="66285A92"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493,631</w:t>
            </w:r>
          </w:p>
        </w:tc>
        <w:tc>
          <w:tcPr>
            <w:tcW w:w="0" w:type="dxa"/>
            <w:tcBorders>
              <w:right w:val="dotted" w:sz="4" w:space="0" w:color="auto"/>
            </w:tcBorders>
            <w:shd w:val="clear" w:color="auto" w:fill="auto"/>
            <w:noWrap/>
            <w:vAlign w:val="top"/>
            <w:hideMark/>
          </w:tcPr>
          <w:p w14:paraId="35277472"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481,543</w:t>
            </w:r>
          </w:p>
        </w:tc>
        <w:tc>
          <w:tcPr>
            <w:tcW w:w="0" w:type="dxa"/>
            <w:tcBorders>
              <w:top w:val="nil"/>
              <w:left w:val="dotted" w:sz="4" w:space="0" w:color="auto"/>
              <w:bottom w:val="nil"/>
            </w:tcBorders>
            <w:shd w:val="clear" w:color="auto" w:fill="auto"/>
            <w:noWrap/>
            <w:vAlign w:val="top"/>
            <w:hideMark/>
          </w:tcPr>
          <w:p w14:paraId="45AB1859"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427,039</w:t>
            </w:r>
          </w:p>
        </w:tc>
      </w:tr>
      <w:tr w:rsidR="00563377" w:rsidRPr="00063344" w14:paraId="2026C28F"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0" w:type="dxa"/>
            <w:noWrap/>
            <w:hideMark/>
          </w:tcPr>
          <w:p w14:paraId="4390C879"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0" w:type="dxa"/>
            <w:noWrap/>
            <w:vAlign w:val="top"/>
            <w:hideMark/>
          </w:tcPr>
          <w:p w14:paraId="2467B1A9"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0</w:t>
            </w:r>
          </w:p>
        </w:tc>
        <w:tc>
          <w:tcPr>
            <w:tcW w:w="0" w:type="dxa"/>
            <w:noWrap/>
            <w:vAlign w:val="top"/>
            <w:hideMark/>
          </w:tcPr>
          <w:p w14:paraId="391762DB"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0</w:t>
            </w:r>
          </w:p>
        </w:tc>
        <w:tc>
          <w:tcPr>
            <w:tcW w:w="0" w:type="dxa"/>
            <w:noWrap/>
            <w:vAlign w:val="top"/>
            <w:hideMark/>
          </w:tcPr>
          <w:p w14:paraId="513849D1"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0</w:t>
            </w:r>
          </w:p>
        </w:tc>
        <w:tc>
          <w:tcPr>
            <w:tcW w:w="0" w:type="dxa"/>
            <w:tcBorders>
              <w:right w:val="dotted" w:sz="4" w:space="0" w:color="auto"/>
            </w:tcBorders>
            <w:noWrap/>
            <w:vAlign w:val="top"/>
            <w:hideMark/>
          </w:tcPr>
          <w:p w14:paraId="7774C418"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0</w:t>
            </w:r>
          </w:p>
        </w:tc>
        <w:tc>
          <w:tcPr>
            <w:tcW w:w="0" w:type="dxa"/>
            <w:tcBorders>
              <w:top w:val="nil"/>
              <w:left w:val="dotted" w:sz="4" w:space="0" w:color="auto"/>
              <w:bottom w:val="nil"/>
            </w:tcBorders>
            <w:noWrap/>
            <w:vAlign w:val="top"/>
            <w:hideMark/>
          </w:tcPr>
          <w:p w14:paraId="5593BF82"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0</w:t>
            </w:r>
          </w:p>
        </w:tc>
      </w:tr>
      <w:tr w:rsidR="00F830E6" w:rsidRPr="00063344" w14:paraId="3DFD1709"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0A02A3BF"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variance to baseline</w:t>
            </w:r>
          </w:p>
        </w:tc>
        <w:tc>
          <w:tcPr>
            <w:tcW w:w="0" w:type="dxa"/>
            <w:shd w:val="clear" w:color="auto" w:fill="auto"/>
            <w:noWrap/>
            <w:vAlign w:val="top"/>
            <w:hideMark/>
          </w:tcPr>
          <w:p w14:paraId="225087EB"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0.0%</w:t>
            </w:r>
          </w:p>
        </w:tc>
        <w:tc>
          <w:tcPr>
            <w:tcW w:w="0" w:type="dxa"/>
            <w:shd w:val="clear" w:color="auto" w:fill="auto"/>
            <w:noWrap/>
            <w:vAlign w:val="top"/>
            <w:hideMark/>
          </w:tcPr>
          <w:p w14:paraId="067AF853"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0.0%</w:t>
            </w:r>
          </w:p>
        </w:tc>
        <w:tc>
          <w:tcPr>
            <w:tcW w:w="0" w:type="dxa"/>
            <w:shd w:val="clear" w:color="auto" w:fill="auto"/>
            <w:noWrap/>
            <w:vAlign w:val="top"/>
            <w:hideMark/>
          </w:tcPr>
          <w:p w14:paraId="3695333D"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0.0%</w:t>
            </w:r>
          </w:p>
        </w:tc>
        <w:tc>
          <w:tcPr>
            <w:tcW w:w="0" w:type="dxa"/>
            <w:tcBorders>
              <w:right w:val="dotted" w:sz="4" w:space="0" w:color="auto"/>
            </w:tcBorders>
            <w:shd w:val="clear" w:color="auto" w:fill="auto"/>
            <w:noWrap/>
            <w:vAlign w:val="top"/>
            <w:hideMark/>
          </w:tcPr>
          <w:p w14:paraId="14DB6FA6"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0.0%</w:t>
            </w:r>
          </w:p>
        </w:tc>
        <w:tc>
          <w:tcPr>
            <w:tcW w:w="0" w:type="dxa"/>
            <w:tcBorders>
              <w:top w:val="nil"/>
              <w:left w:val="dotted" w:sz="4" w:space="0" w:color="auto"/>
              <w:bottom w:val="nil"/>
            </w:tcBorders>
            <w:shd w:val="clear" w:color="auto" w:fill="auto"/>
            <w:noWrap/>
            <w:vAlign w:val="top"/>
            <w:hideMark/>
          </w:tcPr>
          <w:p w14:paraId="4156E788"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0.0%</w:t>
            </w:r>
          </w:p>
        </w:tc>
      </w:tr>
      <w:tr w:rsidR="00F830E6" w:rsidRPr="00063344" w14:paraId="3F93A22F"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noWrap/>
            <w:hideMark/>
          </w:tcPr>
          <w:p w14:paraId="31698AD0" w14:textId="77777777" w:rsidR="00563377" w:rsidRPr="00063344" w:rsidRDefault="00563377" w:rsidP="00563377">
            <w:pPr>
              <w:spacing w:after="0" w:line="240" w:lineRule="auto"/>
              <w:rPr>
                <w:rFonts w:eastAsia="Times New Roman" w:cs="Arial"/>
                <w:b/>
                <w:bCs/>
                <w:i/>
                <w:iCs/>
                <w:color w:val="000000"/>
                <w:sz w:val="20"/>
                <w:szCs w:val="20"/>
                <w:lang w:eastAsia="en-AU"/>
              </w:rPr>
            </w:pPr>
            <w:r w:rsidRPr="00063344">
              <w:rPr>
                <w:rFonts w:eastAsia="Times New Roman" w:cs="Arial"/>
                <w:b/>
                <w:bCs/>
                <w:i/>
                <w:iCs/>
                <w:color w:val="000000"/>
                <w:sz w:val="20"/>
                <w:szCs w:val="20"/>
                <w:lang w:eastAsia="en-AU"/>
              </w:rPr>
              <w:t>New participants</w:t>
            </w:r>
          </w:p>
        </w:tc>
        <w:tc>
          <w:tcPr>
            <w:tcW w:w="0" w:type="dxa"/>
            <w:shd w:val="clear" w:color="auto" w:fill="BFBFBF" w:themeFill="background1" w:themeFillShade="BF"/>
            <w:noWrap/>
            <w:vAlign w:val="top"/>
            <w:hideMark/>
          </w:tcPr>
          <w:p w14:paraId="38FF1F89"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0" w:type="dxa"/>
            <w:shd w:val="clear" w:color="auto" w:fill="BFBFBF" w:themeFill="background1" w:themeFillShade="BF"/>
            <w:noWrap/>
            <w:vAlign w:val="top"/>
            <w:hideMark/>
          </w:tcPr>
          <w:p w14:paraId="2E6999AC"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0" w:type="dxa"/>
            <w:shd w:val="clear" w:color="auto" w:fill="BFBFBF" w:themeFill="background1" w:themeFillShade="BF"/>
            <w:noWrap/>
            <w:vAlign w:val="top"/>
            <w:hideMark/>
          </w:tcPr>
          <w:p w14:paraId="2439193A"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0" w:type="dxa"/>
            <w:tcBorders>
              <w:right w:val="dotted" w:sz="4" w:space="0" w:color="auto"/>
            </w:tcBorders>
            <w:shd w:val="clear" w:color="auto" w:fill="BFBFBF" w:themeFill="background1" w:themeFillShade="BF"/>
            <w:noWrap/>
            <w:vAlign w:val="top"/>
            <w:hideMark/>
          </w:tcPr>
          <w:p w14:paraId="3D899352"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0" w:type="dxa"/>
            <w:tcBorders>
              <w:top w:val="nil"/>
              <w:left w:val="dotted" w:sz="4" w:space="0" w:color="auto"/>
              <w:bottom w:val="nil"/>
            </w:tcBorders>
            <w:shd w:val="clear" w:color="auto" w:fill="BFBFBF" w:themeFill="background1" w:themeFillShade="BF"/>
            <w:noWrap/>
            <w:vAlign w:val="top"/>
            <w:hideMark/>
          </w:tcPr>
          <w:p w14:paraId="61E5950B"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r>
      <w:tr w:rsidR="00F830E6" w:rsidRPr="00063344" w14:paraId="17C89194"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1DC1C117"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0" w:type="dxa"/>
            <w:shd w:val="clear" w:color="auto" w:fill="auto"/>
            <w:noWrap/>
            <w:vAlign w:val="top"/>
            <w:hideMark/>
          </w:tcPr>
          <w:p w14:paraId="2D1944EE"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70,747</w:t>
            </w:r>
          </w:p>
        </w:tc>
        <w:tc>
          <w:tcPr>
            <w:tcW w:w="0" w:type="dxa"/>
            <w:shd w:val="clear" w:color="auto" w:fill="auto"/>
            <w:noWrap/>
            <w:vAlign w:val="top"/>
            <w:hideMark/>
          </w:tcPr>
          <w:p w14:paraId="3D76336E"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141,277</w:t>
            </w:r>
          </w:p>
        </w:tc>
        <w:tc>
          <w:tcPr>
            <w:tcW w:w="0" w:type="dxa"/>
            <w:shd w:val="clear" w:color="auto" w:fill="auto"/>
            <w:noWrap/>
            <w:vAlign w:val="top"/>
            <w:hideMark/>
          </w:tcPr>
          <w:p w14:paraId="7A9FDC0C"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209,768</w:t>
            </w:r>
          </w:p>
        </w:tc>
        <w:tc>
          <w:tcPr>
            <w:tcW w:w="0" w:type="dxa"/>
            <w:tcBorders>
              <w:right w:val="dotted" w:sz="4" w:space="0" w:color="auto"/>
            </w:tcBorders>
            <w:shd w:val="clear" w:color="auto" w:fill="auto"/>
            <w:noWrap/>
            <w:vAlign w:val="top"/>
            <w:hideMark/>
          </w:tcPr>
          <w:p w14:paraId="61C9B770"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276,087</w:t>
            </w:r>
          </w:p>
        </w:tc>
        <w:tc>
          <w:tcPr>
            <w:tcW w:w="0" w:type="dxa"/>
            <w:tcBorders>
              <w:top w:val="nil"/>
              <w:left w:val="dotted" w:sz="4" w:space="0" w:color="auto"/>
              <w:bottom w:val="nil"/>
            </w:tcBorders>
            <w:shd w:val="clear" w:color="auto" w:fill="auto"/>
            <w:noWrap/>
            <w:vAlign w:val="top"/>
            <w:hideMark/>
          </w:tcPr>
          <w:p w14:paraId="128F1FED"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609,232</w:t>
            </w:r>
          </w:p>
        </w:tc>
      </w:tr>
      <w:tr w:rsidR="00563377" w:rsidRPr="00063344" w14:paraId="0381F7DC"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0" w:type="dxa"/>
            <w:noWrap/>
            <w:hideMark/>
          </w:tcPr>
          <w:p w14:paraId="0485A360"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0" w:type="dxa"/>
            <w:noWrap/>
            <w:vAlign w:val="top"/>
            <w:hideMark/>
          </w:tcPr>
          <w:p w14:paraId="15D94DBA"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0</w:t>
            </w:r>
          </w:p>
        </w:tc>
        <w:tc>
          <w:tcPr>
            <w:tcW w:w="0" w:type="dxa"/>
            <w:noWrap/>
            <w:vAlign w:val="top"/>
            <w:hideMark/>
          </w:tcPr>
          <w:p w14:paraId="4C87A6B8"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2,339</w:t>
            </w:r>
          </w:p>
        </w:tc>
        <w:tc>
          <w:tcPr>
            <w:tcW w:w="0" w:type="dxa"/>
            <w:noWrap/>
            <w:vAlign w:val="top"/>
            <w:hideMark/>
          </w:tcPr>
          <w:p w14:paraId="0B13CBFF"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9,510</w:t>
            </w:r>
          </w:p>
        </w:tc>
        <w:tc>
          <w:tcPr>
            <w:tcW w:w="0" w:type="dxa"/>
            <w:tcBorders>
              <w:right w:val="dotted" w:sz="4" w:space="0" w:color="auto"/>
            </w:tcBorders>
            <w:noWrap/>
            <w:vAlign w:val="top"/>
            <w:hideMark/>
          </w:tcPr>
          <w:p w14:paraId="11859F60"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16,554</w:t>
            </w:r>
          </w:p>
        </w:tc>
        <w:tc>
          <w:tcPr>
            <w:tcW w:w="0" w:type="dxa"/>
            <w:tcBorders>
              <w:top w:val="nil"/>
              <w:left w:val="dotted" w:sz="4" w:space="0" w:color="auto"/>
              <w:bottom w:val="nil"/>
            </w:tcBorders>
            <w:noWrap/>
            <w:vAlign w:val="top"/>
            <w:hideMark/>
          </w:tcPr>
          <w:p w14:paraId="4E3FE005"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18,748</w:t>
            </w:r>
          </w:p>
        </w:tc>
      </w:tr>
      <w:tr w:rsidR="00F830E6" w:rsidRPr="00063344" w14:paraId="723209C5"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2C0E76CF"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variance to baseline</w:t>
            </w:r>
          </w:p>
        </w:tc>
        <w:tc>
          <w:tcPr>
            <w:tcW w:w="0" w:type="dxa"/>
            <w:shd w:val="clear" w:color="auto" w:fill="auto"/>
            <w:noWrap/>
            <w:vAlign w:val="top"/>
            <w:hideMark/>
          </w:tcPr>
          <w:p w14:paraId="41F0AC68"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0.0%</w:t>
            </w:r>
          </w:p>
        </w:tc>
        <w:tc>
          <w:tcPr>
            <w:tcW w:w="0" w:type="dxa"/>
            <w:shd w:val="clear" w:color="auto" w:fill="auto"/>
            <w:noWrap/>
            <w:vAlign w:val="top"/>
            <w:hideMark/>
          </w:tcPr>
          <w:p w14:paraId="4912D704"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1.7%</w:t>
            </w:r>
          </w:p>
        </w:tc>
        <w:tc>
          <w:tcPr>
            <w:tcW w:w="0" w:type="dxa"/>
            <w:shd w:val="clear" w:color="auto" w:fill="auto"/>
            <w:noWrap/>
            <w:vAlign w:val="top"/>
            <w:hideMark/>
          </w:tcPr>
          <w:p w14:paraId="72CF87FF"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4.7%</w:t>
            </w:r>
          </w:p>
        </w:tc>
        <w:tc>
          <w:tcPr>
            <w:tcW w:w="0" w:type="dxa"/>
            <w:tcBorders>
              <w:right w:val="dotted" w:sz="4" w:space="0" w:color="auto"/>
            </w:tcBorders>
            <w:shd w:val="clear" w:color="auto" w:fill="auto"/>
            <w:noWrap/>
            <w:vAlign w:val="top"/>
            <w:hideMark/>
          </w:tcPr>
          <w:p w14:paraId="1EA12FC9"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6.4%</w:t>
            </w:r>
          </w:p>
        </w:tc>
        <w:tc>
          <w:tcPr>
            <w:tcW w:w="0" w:type="dxa"/>
            <w:tcBorders>
              <w:top w:val="nil"/>
              <w:left w:val="dotted" w:sz="4" w:space="0" w:color="auto"/>
              <w:bottom w:val="nil"/>
            </w:tcBorders>
            <w:shd w:val="clear" w:color="auto" w:fill="auto"/>
            <w:noWrap/>
            <w:vAlign w:val="top"/>
            <w:hideMark/>
          </w:tcPr>
          <w:p w14:paraId="28B2E619"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3.2%</w:t>
            </w:r>
          </w:p>
        </w:tc>
      </w:tr>
      <w:tr w:rsidR="00F830E6" w:rsidRPr="00063344" w14:paraId="2DA4B296"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0" w:type="dxa"/>
            <w:shd w:val="clear" w:color="auto" w:fill="BFBFBF" w:themeFill="background1" w:themeFillShade="BF"/>
            <w:noWrap/>
            <w:hideMark/>
          </w:tcPr>
          <w:p w14:paraId="04ADCFB8" w14:textId="77777777" w:rsidR="00563377" w:rsidRPr="00063344" w:rsidRDefault="00563377" w:rsidP="00563377">
            <w:pPr>
              <w:spacing w:after="0" w:line="240" w:lineRule="auto"/>
              <w:rPr>
                <w:rFonts w:eastAsia="Times New Roman" w:cs="Arial"/>
                <w:b/>
                <w:bCs/>
                <w:i/>
                <w:iCs/>
                <w:color w:val="000000"/>
                <w:sz w:val="20"/>
                <w:szCs w:val="20"/>
                <w:lang w:eastAsia="en-AU"/>
              </w:rPr>
            </w:pPr>
            <w:r w:rsidRPr="00063344">
              <w:rPr>
                <w:rFonts w:eastAsia="Times New Roman" w:cs="Arial"/>
                <w:b/>
                <w:bCs/>
                <w:i/>
                <w:iCs/>
                <w:color w:val="000000"/>
                <w:sz w:val="20"/>
                <w:szCs w:val="20"/>
                <w:lang w:eastAsia="en-AU"/>
              </w:rPr>
              <w:t>All projected participants</w:t>
            </w:r>
          </w:p>
        </w:tc>
        <w:tc>
          <w:tcPr>
            <w:tcW w:w="0" w:type="dxa"/>
            <w:shd w:val="clear" w:color="auto" w:fill="BFBFBF" w:themeFill="background1" w:themeFillShade="BF"/>
            <w:noWrap/>
            <w:vAlign w:val="top"/>
            <w:hideMark/>
          </w:tcPr>
          <w:p w14:paraId="1B0670C8"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0" w:type="dxa"/>
            <w:shd w:val="clear" w:color="auto" w:fill="BFBFBF" w:themeFill="background1" w:themeFillShade="BF"/>
            <w:noWrap/>
            <w:vAlign w:val="top"/>
            <w:hideMark/>
          </w:tcPr>
          <w:p w14:paraId="61215F34"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0" w:type="dxa"/>
            <w:shd w:val="clear" w:color="auto" w:fill="BFBFBF" w:themeFill="background1" w:themeFillShade="BF"/>
            <w:noWrap/>
            <w:vAlign w:val="top"/>
            <w:hideMark/>
          </w:tcPr>
          <w:p w14:paraId="584E30B8"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0" w:type="dxa"/>
            <w:tcBorders>
              <w:right w:val="dotted" w:sz="4" w:space="0" w:color="auto"/>
            </w:tcBorders>
            <w:shd w:val="clear" w:color="auto" w:fill="BFBFBF" w:themeFill="background1" w:themeFillShade="BF"/>
            <w:noWrap/>
            <w:vAlign w:val="top"/>
            <w:hideMark/>
          </w:tcPr>
          <w:p w14:paraId="4AAFF316"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c>
          <w:tcPr>
            <w:tcW w:w="0" w:type="dxa"/>
            <w:tcBorders>
              <w:top w:val="nil"/>
              <w:left w:val="dotted" w:sz="4" w:space="0" w:color="auto"/>
              <w:bottom w:val="nil"/>
            </w:tcBorders>
            <w:shd w:val="clear" w:color="auto" w:fill="BFBFBF" w:themeFill="background1" w:themeFillShade="BF"/>
            <w:noWrap/>
            <w:vAlign w:val="top"/>
            <w:hideMark/>
          </w:tcPr>
          <w:p w14:paraId="5B0D7094"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p>
        </w:tc>
      </w:tr>
      <w:tr w:rsidR="00F830E6" w:rsidRPr="00063344" w14:paraId="6BCE2079"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hideMark/>
          </w:tcPr>
          <w:p w14:paraId="2263EFA6"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Total Participants</w:t>
            </w:r>
          </w:p>
        </w:tc>
        <w:tc>
          <w:tcPr>
            <w:tcW w:w="0" w:type="dxa"/>
            <w:shd w:val="clear" w:color="auto" w:fill="auto"/>
            <w:noWrap/>
            <w:vAlign w:val="top"/>
            <w:hideMark/>
          </w:tcPr>
          <w:p w14:paraId="6EED6DE5"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592,294</w:t>
            </w:r>
          </w:p>
        </w:tc>
        <w:tc>
          <w:tcPr>
            <w:tcW w:w="0" w:type="dxa"/>
            <w:shd w:val="clear" w:color="auto" w:fill="auto"/>
            <w:noWrap/>
            <w:vAlign w:val="top"/>
            <w:hideMark/>
          </w:tcPr>
          <w:p w14:paraId="259DEC0B"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648,351</w:t>
            </w:r>
          </w:p>
        </w:tc>
        <w:tc>
          <w:tcPr>
            <w:tcW w:w="0" w:type="dxa"/>
            <w:shd w:val="clear" w:color="auto" w:fill="auto"/>
            <w:noWrap/>
            <w:vAlign w:val="top"/>
            <w:hideMark/>
          </w:tcPr>
          <w:p w14:paraId="36753398"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703,399</w:t>
            </w:r>
          </w:p>
        </w:tc>
        <w:tc>
          <w:tcPr>
            <w:tcW w:w="0" w:type="dxa"/>
            <w:tcBorders>
              <w:right w:val="dotted" w:sz="4" w:space="0" w:color="auto"/>
            </w:tcBorders>
            <w:shd w:val="clear" w:color="auto" w:fill="auto"/>
            <w:noWrap/>
            <w:vAlign w:val="top"/>
            <w:hideMark/>
          </w:tcPr>
          <w:p w14:paraId="494920A4"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757,631</w:t>
            </w:r>
          </w:p>
        </w:tc>
        <w:tc>
          <w:tcPr>
            <w:tcW w:w="0" w:type="dxa"/>
            <w:tcBorders>
              <w:top w:val="nil"/>
              <w:left w:val="dotted" w:sz="4" w:space="0" w:color="auto"/>
              <w:bottom w:val="nil"/>
            </w:tcBorders>
            <w:shd w:val="clear" w:color="auto" w:fill="auto"/>
            <w:noWrap/>
            <w:vAlign w:val="top"/>
            <w:hideMark/>
          </w:tcPr>
          <w:p w14:paraId="157605ED"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1,036,270</w:t>
            </w:r>
          </w:p>
        </w:tc>
      </w:tr>
      <w:tr w:rsidR="00563377" w:rsidRPr="00063344" w14:paraId="5A3165BB"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0" w:type="dxa"/>
            <w:noWrap/>
            <w:hideMark/>
          </w:tcPr>
          <w:p w14:paraId="5DC0B7D1"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Variance to baseline</w:t>
            </w:r>
          </w:p>
        </w:tc>
        <w:tc>
          <w:tcPr>
            <w:tcW w:w="0" w:type="dxa"/>
            <w:noWrap/>
            <w:vAlign w:val="top"/>
            <w:hideMark/>
          </w:tcPr>
          <w:p w14:paraId="4558C27D"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0</w:t>
            </w:r>
          </w:p>
        </w:tc>
        <w:tc>
          <w:tcPr>
            <w:tcW w:w="0" w:type="dxa"/>
            <w:noWrap/>
            <w:vAlign w:val="top"/>
            <w:hideMark/>
          </w:tcPr>
          <w:p w14:paraId="792A0F05"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2,339</w:t>
            </w:r>
          </w:p>
        </w:tc>
        <w:tc>
          <w:tcPr>
            <w:tcW w:w="0" w:type="dxa"/>
            <w:noWrap/>
            <w:vAlign w:val="top"/>
            <w:hideMark/>
          </w:tcPr>
          <w:p w14:paraId="5D8F3C4F"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9,510</w:t>
            </w:r>
          </w:p>
        </w:tc>
        <w:tc>
          <w:tcPr>
            <w:tcW w:w="0" w:type="dxa"/>
            <w:tcBorders>
              <w:right w:val="dotted" w:sz="4" w:space="0" w:color="auto"/>
            </w:tcBorders>
            <w:noWrap/>
            <w:vAlign w:val="top"/>
            <w:hideMark/>
          </w:tcPr>
          <w:p w14:paraId="5B098887"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16,554</w:t>
            </w:r>
          </w:p>
        </w:tc>
        <w:tc>
          <w:tcPr>
            <w:tcW w:w="0" w:type="dxa"/>
            <w:tcBorders>
              <w:top w:val="nil"/>
              <w:left w:val="dotted" w:sz="4" w:space="0" w:color="auto"/>
              <w:bottom w:val="nil"/>
            </w:tcBorders>
            <w:noWrap/>
            <w:vAlign w:val="top"/>
            <w:hideMark/>
          </w:tcPr>
          <w:p w14:paraId="17C7771E" w14:textId="77777777" w:rsidR="00563377" w:rsidRPr="00563377" w:rsidRDefault="00563377" w:rsidP="00563377">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en-AU"/>
              </w:rPr>
            </w:pPr>
            <w:r w:rsidRPr="00F830E6">
              <w:rPr>
                <w:sz w:val="20"/>
                <w:szCs w:val="20"/>
              </w:rPr>
              <w:t>18,748</w:t>
            </w:r>
          </w:p>
        </w:tc>
      </w:tr>
      <w:tr w:rsidR="00563377" w:rsidRPr="00063344" w14:paraId="287FE020" w14:textId="77777777" w:rsidTr="00563377">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90" w:type="dxa"/>
            <w:shd w:val="clear" w:color="auto" w:fill="auto"/>
            <w:noWrap/>
            <w:hideMark/>
          </w:tcPr>
          <w:p w14:paraId="34189ABD" w14:textId="77777777" w:rsidR="00563377" w:rsidRPr="00063344" w:rsidRDefault="00563377" w:rsidP="00563377">
            <w:pPr>
              <w:spacing w:after="0" w:line="240" w:lineRule="auto"/>
              <w:rPr>
                <w:rFonts w:eastAsia="Times New Roman" w:cs="Arial"/>
                <w:color w:val="000000"/>
                <w:sz w:val="20"/>
                <w:szCs w:val="20"/>
                <w:lang w:eastAsia="en-AU"/>
              </w:rPr>
            </w:pPr>
            <w:r w:rsidRPr="00063344">
              <w:rPr>
                <w:rFonts w:eastAsia="Times New Roman" w:cs="Arial"/>
                <w:color w:val="000000"/>
                <w:sz w:val="20"/>
                <w:szCs w:val="20"/>
                <w:lang w:eastAsia="en-AU"/>
              </w:rPr>
              <w:t>% variance to baseline</w:t>
            </w:r>
          </w:p>
        </w:tc>
        <w:tc>
          <w:tcPr>
            <w:tcW w:w="1147" w:type="dxa"/>
            <w:shd w:val="clear" w:color="auto" w:fill="auto"/>
            <w:noWrap/>
            <w:vAlign w:val="top"/>
            <w:hideMark/>
          </w:tcPr>
          <w:p w14:paraId="2EF51C67"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0.0%</w:t>
            </w:r>
          </w:p>
        </w:tc>
        <w:tc>
          <w:tcPr>
            <w:tcW w:w="1138" w:type="dxa"/>
            <w:shd w:val="clear" w:color="auto" w:fill="auto"/>
            <w:noWrap/>
            <w:vAlign w:val="top"/>
            <w:hideMark/>
          </w:tcPr>
          <w:p w14:paraId="0C4F69CC"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0.4%</w:t>
            </w:r>
          </w:p>
        </w:tc>
        <w:tc>
          <w:tcPr>
            <w:tcW w:w="1138" w:type="dxa"/>
            <w:shd w:val="clear" w:color="auto" w:fill="auto"/>
            <w:noWrap/>
            <w:vAlign w:val="top"/>
            <w:hideMark/>
          </w:tcPr>
          <w:p w14:paraId="5D9A6A6F"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1.4%</w:t>
            </w:r>
          </w:p>
        </w:tc>
        <w:tc>
          <w:tcPr>
            <w:tcW w:w="1149" w:type="dxa"/>
            <w:tcBorders>
              <w:right w:val="dotted" w:sz="4" w:space="0" w:color="auto"/>
            </w:tcBorders>
            <w:shd w:val="clear" w:color="auto" w:fill="auto"/>
            <w:noWrap/>
            <w:vAlign w:val="top"/>
            <w:hideMark/>
          </w:tcPr>
          <w:p w14:paraId="07F20E6D"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2.2%</w:t>
            </w:r>
          </w:p>
        </w:tc>
        <w:tc>
          <w:tcPr>
            <w:tcW w:w="1192" w:type="dxa"/>
            <w:tcBorders>
              <w:top w:val="nil"/>
              <w:left w:val="dotted" w:sz="4" w:space="0" w:color="auto"/>
              <w:bottom w:val="single" w:sz="4" w:space="0" w:color="auto"/>
            </w:tcBorders>
            <w:shd w:val="clear" w:color="auto" w:fill="auto"/>
            <w:noWrap/>
            <w:vAlign w:val="top"/>
            <w:hideMark/>
          </w:tcPr>
          <w:p w14:paraId="6C2026DD" w14:textId="77777777" w:rsidR="00563377" w:rsidRPr="00563377" w:rsidRDefault="00563377" w:rsidP="00563377">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F830E6">
              <w:rPr>
                <w:sz w:val="20"/>
                <w:szCs w:val="20"/>
              </w:rPr>
              <w:t>1.8%</w:t>
            </w:r>
          </w:p>
        </w:tc>
      </w:tr>
    </w:tbl>
    <w:p w14:paraId="4CC5FE92" w14:textId="77777777" w:rsidR="00251F21" w:rsidRDefault="00251F21" w:rsidP="00251F21">
      <w:pPr>
        <w:pStyle w:val="FSRnormal"/>
      </w:pPr>
      <w:r>
        <w:t xml:space="preserve">Scenarios </w:t>
      </w:r>
      <w:r w:rsidR="00BE0460">
        <w:t xml:space="preserve">with </w:t>
      </w:r>
      <w:r>
        <w:t xml:space="preserve">no change </w:t>
      </w:r>
      <w:r w:rsidR="00C37DC2">
        <w:t xml:space="preserve">to projected participant numbers </w:t>
      </w:r>
      <w:r w:rsidR="00BE0460">
        <w:t xml:space="preserve">by </w:t>
      </w:r>
      <w:r>
        <w:t>comparison to the baseline projections have been excluded from this appendix. The</w:t>
      </w:r>
      <w:r w:rsidR="00773810">
        <w:t>se</w:t>
      </w:r>
      <w:r>
        <w:t xml:space="preserve"> scenarios </w:t>
      </w:r>
      <w:r w:rsidR="00A92D63">
        <w:t xml:space="preserve">are </w:t>
      </w:r>
      <w:r w:rsidR="00773810">
        <w:t>as follows</w:t>
      </w:r>
      <w:r w:rsidR="00411614">
        <w:t>:</w:t>
      </w:r>
    </w:p>
    <w:p w14:paraId="62C403CC" w14:textId="77777777" w:rsidR="00251F21" w:rsidRDefault="00251F21" w:rsidP="00251F21">
      <w:pPr>
        <w:pStyle w:val="FSRlist"/>
      </w:pPr>
      <w:r>
        <w:t>Scenario: Higher numbers of SIL participants</w:t>
      </w:r>
    </w:p>
    <w:p w14:paraId="14D2A45F" w14:textId="77777777" w:rsidR="00251F21" w:rsidRDefault="00251F21" w:rsidP="00251F21">
      <w:pPr>
        <w:pStyle w:val="FSRlist"/>
      </w:pPr>
      <w:r>
        <w:t xml:space="preserve">Scenario: </w:t>
      </w:r>
      <w:r w:rsidRPr="00EA6635">
        <w:t xml:space="preserve">Lower </w:t>
      </w:r>
      <w:r>
        <w:t>numbers of SIL participants</w:t>
      </w:r>
    </w:p>
    <w:p w14:paraId="6FF87C44" w14:textId="77777777" w:rsidR="00251F21" w:rsidRDefault="00251F21" w:rsidP="00251F21">
      <w:pPr>
        <w:pStyle w:val="FSRlist"/>
      </w:pPr>
      <w:r>
        <w:t xml:space="preserve">Scenario: Lower </w:t>
      </w:r>
      <w:r w:rsidR="00197BF7">
        <w:t>payments for</w:t>
      </w:r>
      <w:r>
        <w:t xml:space="preserve"> new entrants</w:t>
      </w:r>
    </w:p>
    <w:p w14:paraId="2AC43FE7" w14:textId="77777777" w:rsidR="00251F21" w:rsidRDefault="00251F21" w:rsidP="00251F21">
      <w:pPr>
        <w:pStyle w:val="FSRlist"/>
      </w:pPr>
      <w:r>
        <w:t xml:space="preserve">Scenario: Higher </w:t>
      </w:r>
      <w:r w:rsidR="00197BF7">
        <w:t>payments for</w:t>
      </w:r>
      <w:r>
        <w:t xml:space="preserve"> new entrants</w:t>
      </w:r>
    </w:p>
    <w:p w14:paraId="45D45CDB" w14:textId="77777777" w:rsidR="00251F21" w:rsidRDefault="00251F21" w:rsidP="00251F21">
      <w:pPr>
        <w:pStyle w:val="FSRlist"/>
      </w:pPr>
      <w:r>
        <w:t>Scenario: Higher additional inflation</w:t>
      </w:r>
    </w:p>
    <w:p w14:paraId="7EFB1286" w14:textId="77777777" w:rsidR="00251F21" w:rsidRDefault="00251F21" w:rsidP="00251F21">
      <w:pPr>
        <w:pStyle w:val="FSRlist"/>
      </w:pPr>
      <w:r>
        <w:t>Scenario:</w:t>
      </w:r>
      <w:r w:rsidRPr="00CE6DE2">
        <w:t xml:space="preserve"> </w:t>
      </w:r>
      <w:r>
        <w:t>Lower additional inflation</w:t>
      </w:r>
      <w:r w:rsidR="00411614">
        <w:t>.</w:t>
      </w:r>
    </w:p>
    <w:p w14:paraId="01029E23" w14:textId="77777777" w:rsidR="00251F21" w:rsidRPr="00BC1282" w:rsidRDefault="00251F21" w:rsidP="00251F21">
      <w:pPr>
        <w:pStyle w:val="FSRnormal"/>
        <w:rPr>
          <w:szCs w:val="25"/>
        </w:rPr>
      </w:pPr>
    </w:p>
    <w:p w14:paraId="5C795724" w14:textId="77777777" w:rsidR="00CE3979" w:rsidRDefault="00CE3979">
      <w:pPr>
        <w:spacing w:after="160" w:line="259" w:lineRule="auto"/>
        <w:rPr>
          <w:b/>
          <w:color w:val="6B2976"/>
          <w:sz w:val="25"/>
        </w:rPr>
      </w:pPr>
      <w:r>
        <w:br w:type="page"/>
      </w:r>
    </w:p>
    <w:p w14:paraId="3610E349" w14:textId="77777777" w:rsidR="00CE3979" w:rsidRPr="00994C5F" w:rsidRDefault="00CE3979" w:rsidP="00DA3F73">
      <w:pPr>
        <w:pStyle w:val="Heading2"/>
        <w:numPr>
          <w:ilvl w:val="0"/>
          <w:numId w:val="0"/>
        </w:numPr>
        <w:ind w:left="2835" w:hanging="2835"/>
      </w:pPr>
      <w:bookmarkStart w:id="456" w:name="_Toc118460231"/>
      <w:r>
        <w:lastRenderedPageBreak/>
        <w:t xml:space="preserve">Appendix H: </w:t>
      </w:r>
      <w:r>
        <w:tab/>
      </w:r>
      <w:r w:rsidR="00773810">
        <w:t>A</w:t>
      </w:r>
      <w:r>
        <w:t>nalysis</w:t>
      </w:r>
      <w:r w:rsidR="00773810">
        <w:t xml:space="preserve"> of Scheme new entrant rates</w:t>
      </w:r>
      <w:bookmarkEnd w:id="456"/>
    </w:p>
    <w:p w14:paraId="40EC3957" w14:textId="77777777" w:rsidR="00B71716" w:rsidRDefault="00B71716" w:rsidP="00DA3F73">
      <w:pPr>
        <w:pStyle w:val="FSRHeading4"/>
      </w:pPr>
      <w:r>
        <w:t>Background</w:t>
      </w:r>
    </w:p>
    <w:p w14:paraId="4160A5EF" w14:textId="77777777" w:rsidR="00773810" w:rsidRDefault="00B71716" w:rsidP="00DA3F73">
      <w:pPr>
        <w:pStyle w:val="FSRnormal"/>
      </w:pPr>
      <w:r>
        <w:t xml:space="preserve">A key </w:t>
      </w:r>
      <w:r w:rsidR="00773810">
        <w:t>underpinning of</w:t>
      </w:r>
      <w:r>
        <w:t xml:space="preserve"> the operation of the National Disability Insurance Scheme (NDIS) is the application of strong insurance principles where experience is closely and regularly monitored. This allows emerging risks and issues to be identified, investigated and where required, remediation strategies to be implemented. An important aspect of experience is the new entrant rate assumption, which refers to the proportion of the general population who are expected to acquire a particular disability and begin accessing NDIS supports each year. The new entrant rate assumption is critical as the rate of new entrants to the Scheme</w:t>
      </w:r>
      <w:r w:rsidR="00773810">
        <w:t>,</w:t>
      </w:r>
      <w:r>
        <w:t xml:space="preserve"> together with the rate at which participants leave the Scheme, are the two drivers of the growth in the participant</w:t>
      </w:r>
      <w:r w:rsidR="00773810">
        <w:t xml:space="preserve"> numbers</w:t>
      </w:r>
      <w:r>
        <w:t xml:space="preserve"> in the Scheme.</w:t>
      </w:r>
      <w:r w:rsidR="00BF4D85">
        <w:t xml:space="preserve"> </w:t>
      </w:r>
    </w:p>
    <w:p w14:paraId="33CA87CF" w14:textId="77777777" w:rsidR="00B71716" w:rsidRDefault="00B71716" w:rsidP="00DA3F73">
      <w:pPr>
        <w:pStyle w:val="FSRnormal"/>
      </w:pPr>
      <w:r>
        <w:t>The analysis and results contained in this appendix are based on data to 31 March 2022</w:t>
      </w:r>
      <w:r w:rsidR="00BF4D85">
        <w:t>.</w:t>
      </w:r>
    </w:p>
    <w:p w14:paraId="7BC8DCB3" w14:textId="77777777" w:rsidR="00B71716" w:rsidRDefault="00B71716" w:rsidP="00DA3F73">
      <w:pPr>
        <w:pStyle w:val="FSRHeading4"/>
      </w:pPr>
      <w:r>
        <w:t>A 14% increase in the overall long-term new entrant rate assumptions has been estimated</w:t>
      </w:r>
    </w:p>
    <w:p w14:paraId="63C7AA53" w14:textId="77777777" w:rsidR="00B71716" w:rsidRDefault="00B71716" w:rsidP="00DA3F73">
      <w:pPr>
        <w:pStyle w:val="FSRnormal"/>
      </w:pPr>
      <w:r>
        <w:t>Based on analysis using data at 31 March 2022, it is estimated that 308.4 participants per 100,000 population aged between 0 and 64 will acquire a disability each year (and become eligible for the Scheme).  This is equivalent to a 14% increase in the assumption adopted in the 2020-21 AFSR of 271.6 participants per 100,000 population aged between 0 and 64. This increase reflects the emerging experience where more participants are approaching the Scheme than expected.</w:t>
      </w:r>
    </w:p>
    <w:p w14:paraId="7DDE102F" w14:textId="77777777" w:rsidR="00B71716" w:rsidRDefault="00B71716" w:rsidP="00DA3F73">
      <w:pPr>
        <w:pStyle w:val="FSRnormal"/>
      </w:pPr>
      <w:r>
        <w:t xml:space="preserve">In addition to the long-term new entrant rate assumption of 308.4 participants per 100,000 population, it is assumed that in the </w:t>
      </w:r>
      <w:r w:rsidR="004E104F">
        <w:t>short-term</w:t>
      </w:r>
      <w:r>
        <w:t xml:space="preserve"> additional participants will enter the Scheme due to a previously unmet need (PUN). However, these participants are not indicative of likely </w:t>
      </w:r>
      <w:r w:rsidR="004E104F">
        <w:t>long</w:t>
      </w:r>
      <w:r w:rsidR="00796DB5">
        <w:t>-</w:t>
      </w:r>
      <w:r w:rsidR="004E104F">
        <w:t>term</w:t>
      </w:r>
      <w:r>
        <w:t xml:space="preserve"> experience. The assumed proportions of PUN vary by gender and </w:t>
      </w:r>
      <w:r w:rsidR="004E104F">
        <w:t>age and</w:t>
      </w:r>
      <w:r>
        <w:t xml:space="preserve"> are set separately for participants with a primary psychosocial disability.</w:t>
      </w:r>
    </w:p>
    <w:p w14:paraId="4B1FD9B4" w14:textId="77777777" w:rsidR="00B71716" w:rsidRDefault="00B71716" w:rsidP="00DA3F73">
      <w:pPr>
        <w:pStyle w:val="FSRHeading4"/>
      </w:pPr>
      <w:r>
        <w:t>Methodology</w:t>
      </w:r>
    </w:p>
    <w:p w14:paraId="1FEFA755" w14:textId="77777777" w:rsidR="00B71716" w:rsidRDefault="00B71716" w:rsidP="00DA3F73">
      <w:pPr>
        <w:pStyle w:val="FSRnormal"/>
      </w:pPr>
      <w:r>
        <w:t>Over time, two methods have been used to estimate the new entrant rate assumption to the Scheme:</w:t>
      </w:r>
    </w:p>
    <w:p w14:paraId="47F332A8" w14:textId="77777777" w:rsidR="00B71716" w:rsidRDefault="00B71716" w:rsidP="00DA3F73">
      <w:pPr>
        <w:pStyle w:val="FSRlist"/>
      </w:pPr>
      <w:r w:rsidRPr="00DA3F73">
        <w:rPr>
          <w:b/>
          <w:i/>
          <w:u w:val="single"/>
        </w:rPr>
        <w:t>Direct method:</w:t>
      </w:r>
      <w:r>
        <w:t xml:space="preserve"> relies on the observed </w:t>
      </w:r>
      <w:r w:rsidR="00773810">
        <w:t xml:space="preserve">rate of </w:t>
      </w:r>
      <w:r>
        <w:t>new entrant</w:t>
      </w:r>
      <w:r w:rsidR="00773810">
        <w:t>s</w:t>
      </w:r>
      <w:r>
        <w:t xml:space="preserve"> to estimate the new entrant rate assumption. This requires reliable and stable experience of new entrants to inform assumptions about the future number of new entrants to the Scheme directly. The direct method </w:t>
      </w:r>
      <w:r w:rsidR="00773810">
        <w:t>comprises of the following steps</w:t>
      </w:r>
      <w:r>
        <w:t>:</w:t>
      </w:r>
    </w:p>
    <w:p w14:paraId="57EB3B82" w14:textId="77777777" w:rsidR="00B71716" w:rsidRDefault="00B71716" w:rsidP="000929A3">
      <w:pPr>
        <w:pStyle w:val="FSRlist"/>
        <w:numPr>
          <w:ilvl w:val="1"/>
          <w:numId w:val="4"/>
        </w:numPr>
      </w:pPr>
      <w:r>
        <w:t xml:space="preserve">The </w:t>
      </w:r>
      <w:r w:rsidRPr="00DA3F73">
        <w:rPr>
          <w:b/>
        </w:rPr>
        <w:t>recently observed</w:t>
      </w:r>
      <w:r w:rsidR="00773810">
        <w:rPr>
          <w:b/>
        </w:rPr>
        <w:t xml:space="preserve"> rate of</w:t>
      </w:r>
      <w:r w:rsidRPr="00DA3F73">
        <w:rPr>
          <w:b/>
        </w:rPr>
        <w:t xml:space="preserve"> new entrant</w:t>
      </w:r>
      <w:r w:rsidR="00773810">
        <w:rPr>
          <w:b/>
        </w:rPr>
        <w:t>s</w:t>
      </w:r>
      <w:r>
        <w:t xml:space="preserve"> (which excludes new entrants transferring from an existing State/Territory/Commonwealth disability program) is compiled. This new entrant rate is made up of both </w:t>
      </w:r>
      <w:r w:rsidRPr="00F830E6">
        <w:rPr>
          <w:b/>
        </w:rPr>
        <w:t>n</w:t>
      </w:r>
      <w:r w:rsidRPr="00773810">
        <w:rPr>
          <w:b/>
        </w:rPr>
        <w:t>e</w:t>
      </w:r>
      <w:r w:rsidRPr="00DA3F73">
        <w:rPr>
          <w:b/>
        </w:rPr>
        <w:t xml:space="preserve">w </w:t>
      </w:r>
      <w:r w:rsidRPr="00DA3F73">
        <w:rPr>
          <w:b/>
        </w:rPr>
        <w:lastRenderedPageBreak/>
        <w:t>incidence to disability</w:t>
      </w:r>
      <w:r>
        <w:t xml:space="preserve"> (i.e. participants who acquired their disability relatively recently, or who have only recently met the necessary criteria for access to the Scheme, and are therefore indicative of likely longer</w:t>
      </w:r>
      <w:r w:rsidR="00D925FC">
        <w:t>-</w:t>
      </w:r>
      <w:r>
        <w:t xml:space="preserve">term levels of new entrants) and </w:t>
      </w:r>
      <w:r w:rsidRPr="00DA3F73">
        <w:rPr>
          <w:b/>
        </w:rPr>
        <w:t>previously unmet need</w:t>
      </w:r>
      <w:r>
        <w:t xml:space="preserve"> (i.e. participants who acquired their disability some years prior who only accessed the Scheme recently due to various reasons, and </w:t>
      </w:r>
      <w:r w:rsidRPr="00DA3F73">
        <w:rPr>
          <w:b/>
        </w:rPr>
        <w:t>would not</w:t>
      </w:r>
      <w:r>
        <w:t xml:space="preserve"> therefore</w:t>
      </w:r>
      <w:r w:rsidR="00D925FC">
        <w:t xml:space="preserve"> be indicative of likely longer-</w:t>
      </w:r>
      <w:r>
        <w:t>term levels of new entrants);</w:t>
      </w:r>
    </w:p>
    <w:p w14:paraId="7656DA51" w14:textId="77777777" w:rsidR="00B71716" w:rsidRDefault="00B71716" w:rsidP="00DA3F73">
      <w:pPr>
        <w:pStyle w:val="FSRlist"/>
        <w:numPr>
          <w:ilvl w:val="1"/>
          <w:numId w:val="4"/>
        </w:numPr>
      </w:pPr>
      <w:r>
        <w:t xml:space="preserve">The proportion of participants </w:t>
      </w:r>
      <w:r w:rsidR="00773810">
        <w:t xml:space="preserve">within the recently observed new entrant experience who had a </w:t>
      </w:r>
      <w:r>
        <w:t xml:space="preserve">previously unmet </w:t>
      </w:r>
      <w:r w:rsidR="00AF780E">
        <w:t>need is</w:t>
      </w:r>
      <w:r>
        <w:t xml:space="preserve"> estimated. </w:t>
      </w:r>
      <w:r w:rsidR="00AF780E">
        <w:t xml:space="preserve">At this review this was based on an analysis of a </w:t>
      </w:r>
      <w:r>
        <w:t>sample of just over one thousand recent new entrants by the Agency’s Performance Management and Quality Branch; and</w:t>
      </w:r>
    </w:p>
    <w:p w14:paraId="7D024B6F" w14:textId="77777777" w:rsidR="00B71716" w:rsidRDefault="00B71716" w:rsidP="00DA3F73">
      <w:pPr>
        <w:pStyle w:val="FSRlist"/>
        <w:numPr>
          <w:ilvl w:val="1"/>
          <w:numId w:val="4"/>
        </w:numPr>
      </w:pPr>
      <w:r>
        <w:t xml:space="preserve">The proportion of participants that are previously unmet need estimated in step (b) above, are subtracted from the recently observed new entrant experience calculated in step (a) above, to give the estimated </w:t>
      </w:r>
      <w:r w:rsidRPr="00DA3F73">
        <w:rPr>
          <w:b/>
        </w:rPr>
        <w:t>long</w:t>
      </w:r>
      <w:r w:rsidR="004E104F">
        <w:rPr>
          <w:b/>
        </w:rPr>
        <w:t>-</w:t>
      </w:r>
      <w:r w:rsidRPr="00DA3F73">
        <w:rPr>
          <w:b/>
        </w:rPr>
        <w:t>term new incidence to disability</w:t>
      </w:r>
      <w:r>
        <w:t>.</w:t>
      </w:r>
    </w:p>
    <w:p w14:paraId="5C14E4D2" w14:textId="77777777" w:rsidR="00B71716" w:rsidRDefault="00B71716" w:rsidP="00DA3F73">
      <w:pPr>
        <w:pStyle w:val="FSRlist"/>
      </w:pPr>
      <w:r w:rsidRPr="00DA3F73">
        <w:rPr>
          <w:b/>
          <w:i/>
          <w:u w:val="single"/>
        </w:rPr>
        <w:t>Indirect method:</w:t>
      </w:r>
      <w:r>
        <w:t xml:space="preserve"> utilises participation rates, which are defined as the proportion of the general population who have an existing disability and are in the Scheme. The indirect method presumes that the participation rate for any age (say X) is equal to the participation rate at the previous age (X-1), plus the new entrant rate (for age X), minus the rate at which participants leave the Scheme (for age X). From this relationship, an indirect estimate of the raw new entrant rate for each age can be calculated.</w:t>
      </w:r>
    </w:p>
    <w:p w14:paraId="289B441A" w14:textId="77777777" w:rsidR="0028199D" w:rsidRDefault="0028199D" w:rsidP="00F830E6">
      <w:pPr>
        <w:pStyle w:val="FSRnormal"/>
      </w:pPr>
      <w:r>
        <w:t>At this review, the new entrant rate assumption has been estimated using only the direct method, with an adjustment then made to the observed experience to reflect the current proportion of new entrants estimated to have a previously unmet need (or PUN).</w:t>
      </w:r>
    </w:p>
    <w:p w14:paraId="67905DED" w14:textId="77777777" w:rsidR="00B71716" w:rsidRDefault="00B71716" w:rsidP="00504BEC">
      <w:pPr>
        <w:pStyle w:val="FSRnormal"/>
      </w:pPr>
      <w:r>
        <w:t xml:space="preserve">At the previous review, the new entrant rate assumptions were estimated by equally weighting </w:t>
      </w:r>
      <w:r w:rsidR="0028199D">
        <w:t xml:space="preserve">rates estimated by </w:t>
      </w:r>
      <w:r>
        <w:t>the direct and indirect methods</w:t>
      </w:r>
      <w:r w:rsidR="0028199D">
        <w:t xml:space="preserve">, with the rate estimated at previous reviews being based solely on the indirect method, as </w:t>
      </w:r>
      <w:r>
        <w:t xml:space="preserve">the </w:t>
      </w:r>
      <w:r w:rsidR="0028199D">
        <w:t xml:space="preserve">observed new entrant experience was too immature to be used to estimate future new entrant experience. </w:t>
      </w:r>
    </w:p>
    <w:p w14:paraId="28704E0D" w14:textId="77777777" w:rsidR="00B71716" w:rsidRDefault="00B71716" w:rsidP="00F1235C">
      <w:pPr>
        <w:pStyle w:val="FSRnormal"/>
      </w:pPr>
      <w:r>
        <w:t xml:space="preserve">The indirect method </w:t>
      </w:r>
      <w:r w:rsidR="0028199D">
        <w:t xml:space="preserve">is inferior to </w:t>
      </w:r>
      <w:r>
        <w:t>the direct method</w:t>
      </w:r>
      <w:r w:rsidR="0028199D">
        <w:t xml:space="preserve"> as a result of being</w:t>
      </w:r>
      <w:r>
        <w:t xml:space="preserve"> heavily reliant on a number of key assumptions</w:t>
      </w:r>
      <w:r w:rsidR="0028199D">
        <w:t>.  These</w:t>
      </w:r>
      <w:r>
        <w:t xml:space="preserve"> includ</w:t>
      </w:r>
      <w:r w:rsidR="0028199D">
        <w:t>e</w:t>
      </w:r>
      <w:r>
        <w:t>:</w:t>
      </w:r>
    </w:p>
    <w:p w14:paraId="776F1359" w14:textId="77777777" w:rsidR="00B71716" w:rsidRDefault="0028199D" w:rsidP="00DA3F73">
      <w:pPr>
        <w:pStyle w:val="FSRlist"/>
      </w:pPr>
      <w:r>
        <w:t>P</w:t>
      </w:r>
      <w:r w:rsidR="00B71716">
        <w:t xml:space="preserve">articipation rates and new entrant rates for each disability remain stable over time. This means increasing or decreasing trends from year to year are not </w:t>
      </w:r>
      <w:r>
        <w:t>incorporated</w:t>
      </w:r>
      <w:r w:rsidR="00B71716">
        <w:t>. Where these rates have been increasing over time, the estimate may be too low, and where it has been decreasing, the estimate may be too high;</w:t>
      </w:r>
    </w:p>
    <w:p w14:paraId="7B463A3C" w14:textId="77777777" w:rsidR="00B71716" w:rsidRDefault="00B71716" w:rsidP="00DA3F73">
      <w:pPr>
        <w:pStyle w:val="FSRlist"/>
      </w:pPr>
      <w:r>
        <w:t>The Scheme’s most mature</w:t>
      </w:r>
      <w:r w:rsidR="0028199D">
        <w:t xml:space="preserve"> geographic</w:t>
      </w:r>
      <w:r>
        <w:t xml:space="preserve"> regions provide an indication of ultimate participation rates. This is because the model relies heavily on the experience of mature regions to estimate the number of participants entering the Scheme after two or more years from when the region first phased in. Where experience is different in areas that phased in most recently, then this will not be reflected in </w:t>
      </w:r>
      <w:r w:rsidR="0028199D">
        <w:t>adopted assumptions</w:t>
      </w:r>
      <w:r>
        <w:t>;</w:t>
      </w:r>
    </w:p>
    <w:p w14:paraId="50350835" w14:textId="77777777" w:rsidR="00B71716" w:rsidRDefault="0028199D" w:rsidP="00DA3F73">
      <w:pPr>
        <w:pStyle w:val="FSRlist"/>
      </w:pPr>
      <w:r>
        <w:lastRenderedPageBreak/>
        <w:t xml:space="preserve">A </w:t>
      </w:r>
      <w:r w:rsidR="00B71716">
        <w:t xml:space="preserve">re-classification from one disability type to another </w:t>
      </w:r>
      <w:r>
        <w:t xml:space="preserve">is regarded as </w:t>
      </w:r>
      <w:r w:rsidR="00B71716">
        <w:t xml:space="preserve">a new entrant. For example, a </w:t>
      </w:r>
      <w:r w:rsidR="00E1216C">
        <w:t xml:space="preserve">participant </w:t>
      </w:r>
      <w:r w:rsidR="00B71716">
        <w:t xml:space="preserve">re-classified from other physical to cerebral palsy, </w:t>
      </w:r>
      <w:r w:rsidR="00E1216C">
        <w:t xml:space="preserve">would, be counted twice </w:t>
      </w:r>
      <w:r w:rsidR="00B71716">
        <w:t xml:space="preserve">as </w:t>
      </w:r>
      <w:r w:rsidR="00E1216C">
        <w:t xml:space="preserve">a </w:t>
      </w:r>
      <w:r w:rsidR="00B71716">
        <w:t>new entrant; and</w:t>
      </w:r>
    </w:p>
    <w:p w14:paraId="1D88AF33" w14:textId="77777777" w:rsidR="00B71716" w:rsidRDefault="00B71716" w:rsidP="00DA3F73">
      <w:pPr>
        <w:pStyle w:val="FSRlist"/>
      </w:pPr>
      <w:r>
        <w:t xml:space="preserve">It relies on </w:t>
      </w:r>
      <w:r w:rsidR="00E1216C">
        <w:t xml:space="preserve">accurate estimation of the </w:t>
      </w:r>
      <w:r>
        <w:t xml:space="preserve">rate at which participants leave the Scheme calibrated for the AFSR projection, and the extent to which these </w:t>
      </w:r>
      <w:r w:rsidR="000929A3">
        <w:t xml:space="preserve">rates </w:t>
      </w:r>
      <w:r>
        <w:t xml:space="preserve">differ from the actual experience </w:t>
      </w:r>
      <w:r w:rsidR="000929A3">
        <w:t xml:space="preserve">of participants leaving </w:t>
      </w:r>
      <w:r>
        <w:t>the Scheme will impact the calibrated new entrant rate assumptions. For example, if the view of long-term rates at which participant’s leave the Scheme were to be revised downwards, this would lead to a lower estimated new entrant rate assumption.</w:t>
      </w:r>
    </w:p>
    <w:p w14:paraId="1FB5F81E" w14:textId="77777777" w:rsidR="00B71716" w:rsidRDefault="00E1216C" w:rsidP="000929A3">
      <w:pPr>
        <w:pStyle w:val="FSRlist"/>
        <w:numPr>
          <w:ilvl w:val="0"/>
          <w:numId w:val="0"/>
        </w:numPr>
        <w:ind w:left="360"/>
      </w:pPr>
      <w:r>
        <w:t>R</w:t>
      </w:r>
      <w:r w:rsidR="00B71716">
        <w:t xml:space="preserve">ecently, observed new entrant experience </w:t>
      </w:r>
      <w:r>
        <w:t xml:space="preserve">is regarded as sufficiently mature such that </w:t>
      </w:r>
      <w:r w:rsidR="00B71716">
        <w:t xml:space="preserve">it can be used to inform the estimation of new entrant rate assumptions using the direct method. </w:t>
      </w:r>
      <w:r>
        <w:t xml:space="preserve">This is demonstrated in </w:t>
      </w:r>
      <w:r w:rsidR="00B71716">
        <w:t xml:space="preserve">Figure </w:t>
      </w:r>
      <w:r w:rsidR="002C6633">
        <w:t>H.</w:t>
      </w:r>
      <w:r w:rsidR="00B71716">
        <w:t xml:space="preserve">1 </w:t>
      </w:r>
      <w:r>
        <w:t xml:space="preserve">which </w:t>
      </w:r>
      <w:r w:rsidR="00B71716">
        <w:t>shows the number of new entrants to the Scheme for years ended 31 March. The key points to note are:</w:t>
      </w:r>
    </w:p>
    <w:p w14:paraId="22FC6068" w14:textId="77777777" w:rsidR="00B71716" w:rsidRDefault="00B71716" w:rsidP="00DA3F73">
      <w:pPr>
        <w:pStyle w:val="FSRlist"/>
      </w:pPr>
      <w:r>
        <w:t>The overall number of new entrants (as indicated by the purple columns) peaked in 2019;</w:t>
      </w:r>
    </w:p>
    <w:p w14:paraId="470B3086" w14:textId="77777777" w:rsidR="00B71716" w:rsidRDefault="00B71716" w:rsidP="00DA3F73">
      <w:pPr>
        <w:pStyle w:val="FSRlist"/>
      </w:pPr>
      <w:r>
        <w:t xml:space="preserve">The number of new entrants to the Scheme </w:t>
      </w:r>
      <w:r w:rsidR="005F4774">
        <w:t xml:space="preserve">who transferred </w:t>
      </w:r>
      <w:r>
        <w:t>from an existing disability program (as indicated by the thin green line), has been declining since peaking in 2019</w:t>
      </w:r>
      <w:r w:rsidR="005F4774">
        <w:t xml:space="preserve">, and in </w:t>
      </w:r>
      <w:r>
        <w:t xml:space="preserve">2022 participants </w:t>
      </w:r>
      <w:r w:rsidR="005F4774">
        <w:t>who transferred f</w:t>
      </w:r>
      <w:r>
        <w:t>rom an existing disability program (about 4,350 participants) represent</w:t>
      </w:r>
      <w:r w:rsidR="005F4774">
        <w:t>ed</w:t>
      </w:r>
      <w:r>
        <w:t xml:space="preserve"> </w:t>
      </w:r>
      <w:r w:rsidR="005F4774">
        <w:t xml:space="preserve">only </w:t>
      </w:r>
      <w:r>
        <w:t>6% of the total number of new entrants (compared to the 2019 year where participants transferring from an existing disability program represented 62% of the total number of new entrants); and</w:t>
      </w:r>
    </w:p>
    <w:p w14:paraId="13516E1B" w14:textId="77777777" w:rsidR="00B71716" w:rsidRDefault="00B71716" w:rsidP="00DA3F73">
      <w:pPr>
        <w:pStyle w:val="FSRlist"/>
      </w:pPr>
      <w:r>
        <w:t xml:space="preserve">Most importantly, the number of participants entering the Scheme </w:t>
      </w:r>
      <w:r w:rsidR="00E1216C">
        <w:t>who</w:t>
      </w:r>
      <w:r>
        <w:t xml:space="preserve"> are new to disability supports (as indicated by the thick dark grey line) </w:t>
      </w:r>
      <w:r w:rsidR="005F4774">
        <w:t xml:space="preserve">was broadly similar in 2021 and 2022, and is expected </w:t>
      </w:r>
      <w:r>
        <w:t>t</w:t>
      </w:r>
      <w:r w:rsidR="000929A3">
        <w:t xml:space="preserve">o continue declining until the </w:t>
      </w:r>
      <w:r w:rsidR="005F4774">
        <w:t>S</w:t>
      </w:r>
      <w:r w:rsidR="000929A3">
        <w:t xml:space="preserve">teady </w:t>
      </w:r>
      <w:r w:rsidR="005F4774">
        <w:t>I</w:t>
      </w:r>
      <w:r w:rsidR="000929A3">
        <w:t xml:space="preserve">ntake </w:t>
      </w:r>
      <w:r w:rsidR="005F4774">
        <w:t>D</w:t>
      </w:r>
      <w:r>
        <w:t>ate, which is assumed to occur around 30 June 2024.</w:t>
      </w:r>
    </w:p>
    <w:p w14:paraId="35F9CB17" w14:textId="77777777" w:rsidR="00CE338D" w:rsidRDefault="00CE338D" w:rsidP="00CE338D">
      <w:pPr>
        <w:pStyle w:val="Figures"/>
        <w:spacing w:line="288" w:lineRule="auto"/>
      </w:pPr>
      <w:r>
        <w:t>Figure H</w:t>
      </w:r>
      <w:r w:rsidR="00911A3E">
        <w:t>.</w:t>
      </w:r>
      <w:fldSimple w:instr=" SEQ Figure \* ARABIC \s 2 ">
        <w:r w:rsidR="00447AA1">
          <w:rPr>
            <w:noProof/>
          </w:rPr>
          <w:t>1</w:t>
        </w:r>
      </w:fldSimple>
      <w:r>
        <w:t>:</w:t>
      </w:r>
      <w:r w:rsidRPr="00CE338D">
        <w:t xml:space="preserve"> </w:t>
      </w:r>
      <w:r>
        <w:t>New entrants to the Scheme</w:t>
      </w:r>
    </w:p>
    <w:p w14:paraId="4AF0FD8F" w14:textId="77777777" w:rsidR="00B71716" w:rsidRDefault="00915CE7" w:rsidP="00DA3F73">
      <w:pPr>
        <w:pStyle w:val="Figures"/>
        <w:spacing w:line="288" w:lineRule="auto"/>
      </w:pPr>
      <w:r>
        <w:rPr>
          <w:noProof/>
          <w:lang w:eastAsia="en-AU"/>
        </w:rPr>
        <w:drawing>
          <wp:inline distT="0" distB="0" distL="0" distR="0" wp14:anchorId="68F3B59E" wp14:editId="688B5C17">
            <wp:extent cx="5724000" cy="2664800"/>
            <wp:effectExtent l="0" t="0" r="0" b="2540"/>
            <wp:docPr id="451" name="Picture 451" descr="Bar chart shows the total number of new entrants to the Scheme are 8,292 for the year ended 31 March 2015, 11,087 for the year ended 31 March 2016, 50,138 for the year ended 31 March 2017, 75,370 for the year ended 31 March 2018, 111,647 for the year ended 31 March 2019, 108,514 for the year ended 31 March 2020, 90,073 for the year ended 31 March 2021, and 77,730 for the year ended 31 March 2022. &#10;&#10;The number of new entrants to the Scheme that are new to disability supports are 3,068 for the year ended 31 March 2015, 5,843 for the year ended 31 March 2016, 15,677 for the year ended 31 March 2017, 17,867 for the year ended 31 March 2018, 42,489 for the year ended 31 March 2019, 70,028 for the year ended 31 March 2020, 77,446 for the year ended 31 March 2021, and 73,347 for the year ended 31 March 2022. &#10;&#10;The number of new entrants to the Scheme transferring across from existing State/Territory/Commonwealth disability programs are 5,224 for the year ended 31 March 2015, 5,244 for the year ended 31 March 2016, 34,461 for the year ended 31 March 2017, 57,503 for the year ended 31 March 2018, 69,158 for the year ended 31 March 2019, 38,486 for the year ended 31 March 2020, 12,627 for the year ended 31 March 2021, and 4,383 for the year ended 31 March 2022. &#10;" title="Figure H.1: New entrants to the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724000" cy="2664800"/>
                    </a:xfrm>
                    <a:prstGeom prst="rect">
                      <a:avLst/>
                    </a:prstGeom>
                    <a:noFill/>
                  </pic:spPr>
                </pic:pic>
              </a:graphicData>
            </a:graphic>
          </wp:inline>
        </w:drawing>
      </w:r>
    </w:p>
    <w:p w14:paraId="1A3C2660" w14:textId="77777777" w:rsidR="000B37DA" w:rsidRDefault="000B37DA">
      <w:pPr>
        <w:spacing w:after="160" w:line="259" w:lineRule="auto"/>
      </w:pPr>
      <w:r>
        <w:br w:type="page"/>
      </w:r>
    </w:p>
    <w:p w14:paraId="1098F909" w14:textId="77777777" w:rsidR="00B71716" w:rsidRDefault="00EB64B4" w:rsidP="00F830E6">
      <w:pPr>
        <w:pStyle w:val="FSRnormal"/>
        <w:rPr>
          <w:b/>
          <w:color w:val="6B2976"/>
          <w:sz w:val="25"/>
        </w:rPr>
      </w:pPr>
      <w:r>
        <w:lastRenderedPageBreak/>
        <w:t>The Steady Intake Date represents the estimated future date at which point in time where the vast majority of participant intake consists of new incidence to disability (in other words, when the level of previously unmet needs has become immaterial).  The Steady Intake Date is assumed to occur around 30 June 2024 and there exists uncertainty associated with this assumed date. In particular, it is possible that the Steady Intake Date later than 30 June 2024. Section 6.1 of this report therefore includes a scenario of the Steady Intake Date occurring three years later than the currently assumed date of 30 June 2024.</w:t>
      </w:r>
    </w:p>
    <w:p w14:paraId="57967EAC" w14:textId="77777777" w:rsidR="00B71716" w:rsidRPr="00E752AB" w:rsidRDefault="00EB64B4">
      <w:pPr>
        <w:pStyle w:val="FSRHeading4"/>
      </w:pPr>
      <w:r>
        <w:t>P</w:t>
      </w:r>
      <w:r w:rsidR="00B71716" w:rsidRPr="00E752AB">
        <w:t>reviously unmet need (PUN) proportions</w:t>
      </w:r>
    </w:p>
    <w:p w14:paraId="4386735C" w14:textId="77777777" w:rsidR="00B71716" w:rsidRPr="008048AF" w:rsidRDefault="00B71716" w:rsidP="00DA3F73">
      <w:pPr>
        <w:pStyle w:val="FSRHeading6"/>
      </w:pPr>
      <w:r w:rsidRPr="0047087C">
        <w:t>Analysis</w:t>
      </w:r>
    </w:p>
    <w:p w14:paraId="18047953" w14:textId="77777777" w:rsidR="00B71716" w:rsidRPr="00111781" w:rsidRDefault="00B71716" w:rsidP="00B71716">
      <w:pPr>
        <w:pStyle w:val="FSRnormal"/>
      </w:pPr>
      <w:r w:rsidRPr="00111781">
        <w:t xml:space="preserve">In setting future assumptions relating to new entrants using the direct method it is necessary to estimate, the proportional split </w:t>
      </w:r>
      <w:r w:rsidR="00EB64B4">
        <w:t xml:space="preserve">of recently observed new incidence rates </w:t>
      </w:r>
      <w:r w:rsidRPr="00111781">
        <w:t xml:space="preserve">between new incidence to disability and PUN. To assist in determining this split, a sample of 1,001 recent new entrants from the geographic areas that phased into the Scheme at 31 December 2018 and prior, was analysed by the Agency’s Performance Management and Quality Branch. This analysis is summarised in Table </w:t>
      </w:r>
      <w:r w:rsidR="006C6EBF">
        <w:t>H</w:t>
      </w:r>
      <w:r w:rsidRPr="00111781">
        <w:t xml:space="preserve">1. </w:t>
      </w:r>
      <w:r w:rsidR="00EB64B4">
        <w:t>K</w:t>
      </w:r>
      <w:r w:rsidRPr="00111781">
        <w:t xml:space="preserve">ey findings </w:t>
      </w:r>
      <w:r w:rsidR="00EB64B4">
        <w:t>were</w:t>
      </w:r>
      <w:r w:rsidRPr="00111781">
        <w:t>:</w:t>
      </w:r>
    </w:p>
    <w:p w14:paraId="7EAF2404" w14:textId="77777777" w:rsidR="00B71716" w:rsidRPr="00111781" w:rsidRDefault="00B71716" w:rsidP="00B71716">
      <w:pPr>
        <w:pStyle w:val="FSRnormal"/>
        <w:numPr>
          <w:ilvl w:val="0"/>
          <w:numId w:val="118"/>
        </w:numPr>
      </w:pPr>
      <w:r w:rsidRPr="00111781">
        <w:rPr>
          <w:b/>
        </w:rPr>
        <w:t xml:space="preserve">78% </w:t>
      </w:r>
      <w:r w:rsidRPr="00DA3F73">
        <w:rPr>
          <w:rStyle w:val="FSRlistChar"/>
        </w:rPr>
        <w:t xml:space="preserve">of the sample are regarded as likely to be new incidence to disability. This figure </w:t>
      </w:r>
      <w:r w:rsidR="00D208F1">
        <w:t>com</w:t>
      </w:r>
      <w:r w:rsidRPr="00111781">
        <w:t xml:space="preserve">prises participants who: </w:t>
      </w:r>
    </w:p>
    <w:p w14:paraId="20059681" w14:textId="77777777" w:rsidR="00B71716" w:rsidRPr="00111781" w:rsidRDefault="00B71716" w:rsidP="00DA3F73">
      <w:pPr>
        <w:pStyle w:val="FSRlist"/>
        <w:numPr>
          <w:ilvl w:val="1"/>
          <w:numId w:val="4"/>
        </w:numPr>
      </w:pPr>
      <w:r w:rsidRPr="00111781">
        <w:t>acquired their disability in the past 12 months; or</w:t>
      </w:r>
    </w:p>
    <w:p w14:paraId="116B9FD1" w14:textId="77777777" w:rsidR="00B71716" w:rsidRPr="00111781" w:rsidRDefault="00B71716" w:rsidP="00DA3F73">
      <w:pPr>
        <w:pStyle w:val="FSRlist"/>
        <w:numPr>
          <w:ilvl w:val="1"/>
          <w:numId w:val="4"/>
        </w:numPr>
      </w:pPr>
      <w:r w:rsidRPr="00111781">
        <w:t>acquired a disability more than 12 months previously but where there was a recent event, or change in circumstances giving rise to their gaining access to the Scheme.</w:t>
      </w:r>
    </w:p>
    <w:p w14:paraId="68DEDD4E" w14:textId="77777777" w:rsidR="00B71716" w:rsidRPr="00DA3F73" w:rsidRDefault="00B71716" w:rsidP="00B71716">
      <w:pPr>
        <w:pStyle w:val="FSRnormal"/>
        <w:numPr>
          <w:ilvl w:val="0"/>
          <w:numId w:val="118"/>
        </w:numPr>
        <w:rPr>
          <w:rStyle w:val="FSRlistChar"/>
        </w:rPr>
      </w:pPr>
      <w:r w:rsidRPr="00111781">
        <w:rPr>
          <w:b/>
        </w:rPr>
        <w:t>22%</w:t>
      </w:r>
      <w:r w:rsidRPr="00DA3F73">
        <w:rPr>
          <w:rStyle w:val="FSRlistChar"/>
        </w:rPr>
        <w:t xml:space="preserve"> of the sample are regarded as likely to be previously unmet need. This figure comprises participants who generally took more than 12 months to apply to the Scheme since acquiring their disability because they:</w:t>
      </w:r>
    </w:p>
    <w:p w14:paraId="48DCE502" w14:textId="77777777" w:rsidR="00B71716" w:rsidRPr="00111781" w:rsidRDefault="00B71716" w:rsidP="00DA3F73">
      <w:pPr>
        <w:pStyle w:val="FSRlist"/>
        <w:numPr>
          <w:ilvl w:val="1"/>
          <w:numId w:val="4"/>
        </w:numPr>
      </w:pPr>
      <w:r w:rsidRPr="00111781">
        <w:t>were unaware of the NDIS and the supports available; or</w:t>
      </w:r>
    </w:p>
    <w:p w14:paraId="5D4A583D" w14:textId="77777777" w:rsidR="00B71716" w:rsidRPr="00111781" w:rsidRDefault="00B71716" w:rsidP="00DA3F73">
      <w:pPr>
        <w:pStyle w:val="FSRlist"/>
        <w:numPr>
          <w:ilvl w:val="1"/>
          <w:numId w:val="4"/>
        </w:numPr>
      </w:pPr>
      <w:r w:rsidRPr="00111781">
        <w:t>because they did not have the capacity to apply or follow up on their application, and did not receive the appropriate support to do so.</w:t>
      </w:r>
    </w:p>
    <w:p w14:paraId="08280630" w14:textId="77777777" w:rsidR="00B71716" w:rsidRDefault="00B71716" w:rsidP="00F830E6">
      <w:pPr>
        <w:spacing w:after="160" w:line="259" w:lineRule="auto"/>
        <w:ind w:left="720" w:firstLine="720"/>
      </w:pPr>
      <w:r w:rsidRPr="00111781">
        <w:t xml:space="preserve">Many of these participants have interacted with the justice and/or mental health systems for years, and it is plausible to expect that it has taken some time for participants such as these to access the Scheme, and that the number of such new entrants will gradually reduce to an immaterial level. However </w:t>
      </w:r>
      <w:r w:rsidR="00E65D77">
        <w:t xml:space="preserve">this expectation is uncertain, and to test the potential impact on projection results, </w:t>
      </w:r>
      <w:r w:rsidRPr="00111781">
        <w:t xml:space="preserve">the variability in the assumed level of previously unmet need in the currently observed new </w:t>
      </w:r>
      <w:r>
        <w:t>entrant</w:t>
      </w:r>
      <w:r w:rsidRPr="00111781">
        <w:t xml:space="preserve"> rates </w:t>
      </w:r>
      <w:r w:rsidR="00E65D77">
        <w:t xml:space="preserve">has </w:t>
      </w:r>
      <w:r w:rsidRPr="00111781">
        <w:t>be</w:t>
      </w:r>
      <w:r w:rsidR="00E65D77">
        <w:t>en</w:t>
      </w:r>
      <w:r w:rsidRPr="00111781">
        <w:t xml:space="preserve"> modelled as scenarios</w:t>
      </w:r>
      <w:r w:rsidR="00E65D77">
        <w:t xml:space="preserve"> which are included in Section 6.1 of this report</w:t>
      </w:r>
      <w:r w:rsidRPr="00111781">
        <w:t xml:space="preserve">. The scenarios have been generated by analysing the variability in the new entrant rates, and using this variability to estimate 95% confidence intervals around the new entrant rate assumptions estimated at </w:t>
      </w:r>
      <w:r w:rsidR="00EB64B4">
        <w:t>this review</w:t>
      </w:r>
      <w:r w:rsidRPr="00111781">
        <w:t>. These confidence intervals are then treated as lower and upper bounds of the selected new entrant rate assumptions in the scenario analysis.</w:t>
      </w:r>
    </w:p>
    <w:p w14:paraId="028213BE" w14:textId="77777777" w:rsidR="00B67A4F" w:rsidRDefault="00B71716" w:rsidP="00F830E6">
      <w:pPr>
        <w:rPr>
          <w:b/>
        </w:rPr>
      </w:pPr>
      <w:r w:rsidRPr="00111781">
        <w:lastRenderedPageBreak/>
        <w:t xml:space="preserve">The detailed categories shown </w:t>
      </w:r>
      <w:r w:rsidR="00A92D63">
        <w:t xml:space="preserve">in Table H.1 </w:t>
      </w:r>
      <w:r w:rsidR="00D92B45">
        <w:t xml:space="preserve">do not </w:t>
      </w:r>
      <w:r w:rsidRPr="00111781">
        <w:t>determin</w:t>
      </w:r>
      <w:r w:rsidR="00D92B45">
        <w:t>e</w:t>
      </w:r>
      <w:r w:rsidRPr="00111781">
        <w:t xml:space="preserve"> </w:t>
      </w:r>
      <w:r w:rsidR="00D92B45">
        <w:t xml:space="preserve">directly </w:t>
      </w:r>
      <w:r w:rsidRPr="00111781">
        <w:t>whether a participant is regarded as new incidence to disability or previously unmet need. However, a correlation</w:t>
      </w:r>
      <w:r w:rsidR="00D92B45">
        <w:t xml:space="preserve"> between the categories and the new incidence/</w:t>
      </w:r>
      <w:r w:rsidR="0016696D">
        <w:t xml:space="preserve"> </w:t>
      </w:r>
      <w:r w:rsidR="00D92B45">
        <w:t>PUN split can be observed.  In other words,</w:t>
      </w:r>
      <w:r w:rsidRPr="00111781">
        <w:t xml:space="preserve"> the participants in each individual category tend to be mostly new incidence to disability or mostly previously unmet need rather than being spread evenly across both</w:t>
      </w:r>
      <w:r w:rsidR="00D92B45">
        <w:t>. For example</w:t>
      </w:r>
      <w:r w:rsidRPr="00111781">
        <w:t xml:space="preserve"> 126 of the 145 participants with ‘Substantial functional impairment now reached’ are regarded as likely to be new incidence to disability.</w:t>
      </w:r>
    </w:p>
    <w:p w14:paraId="533C0B42" w14:textId="77777777" w:rsidR="00CE338D" w:rsidRDefault="00CE338D" w:rsidP="00DA3F73">
      <w:pPr>
        <w:pStyle w:val="Tables"/>
      </w:pPr>
      <w:r>
        <w:t>Table H</w:t>
      </w:r>
      <w:r w:rsidR="00A87896">
        <w:t>.</w:t>
      </w:r>
      <w:fldSimple w:instr=" SEQ Table \* ARABIC \s 2 ">
        <w:r w:rsidR="00A87896">
          <w:rPr>
            <w:noProof/>
          </w:rPr>
          <w:t>1</w:t>
        </w:r>
      </w:fldSimple>
      <w:r>
        <w:t>:</w:t>
      </w:r>
      <w:r w:rsidRPr="00111781">
        <w:t xml:space="preserve"> Analysis of sample of new entrants analysed by the Agency’s Performance Management and Quality Branch</w:t>
      </w:r>
    </w:p>
    <w:tbl>
      <w:tblPr>
        <w:tblW w:w="9040" w:type="dxa"/>
        <w:tblInd w:w="108" w:type="dxa"/>
        <w:tblLook w:val="04A0" w:firstRow="1" w:lastRow="0" w:firstColumn="1" w:lastColumn="0" w:noHBand="0" w:noVBand="1"/>
      </w:tblPr>
      <w:tblGrid>
        <w:gridCol w:w="1036"/>
        <w:gridCol w:w="856"/>
        <w:gridCol w:w="4516"/>
        <w:gridCol w:w="1036"/>
        <w:gridCol w:w="1596"/>
      </w:tblGrid>
      <w:tr w:rsidR="00B71716" w:rsidRPr="00111781" w14:paraId="4E00A509" w14:textId="77777777" w:rsidTr="00B71716">
        <w:trPr>
          <w:trHeight w:val="285"/>
        </w:trPr>
        <w:tc>
          <w:tcPr>
            <w:tcW w:w="1036" w:type="dxa"/>
            <w:tcBorders>
              <w:top w:val="nil"/>
              <w:left w:val="nil"/>
              <w:bottom w:val="nil"/>
              <w:right w:val="nil"/>
            </w:tcBorders>
            <w:shd w:val="clear" w:color="000000" w:fill="6B2976"/>
            <w:noWrap/>
            <w:vAlign w:val="bottom"/>
            <w:hideMark/>
          </w:tcPr>
          <w:p w14:paraId="4188B566" w14:textId="77777777" w:rsidR="00B71716" w:rsidRPr="00111781" w:rsidRDefault="00B71716" w:rsidP="00B71716">
            <w:pPr>
              <w:spacing w:after="0" w:line="240" w:lineRule="auto"/>
              <w:rPr>
                <w:rFonts w:ascii="Calibri" w:hAnsi="Calibri" w:cs="Calibri"/>
                <w:b/>
                <w:bCs/>
                <w:color w:val="FFFFFF"/>
                <w:szCs w:val="22"/>
                <w:lang w:eastAsia="en-AU"/>
              </w:rPr>
            </w:pPr>
            <w:r w:rsidRPr="00111781">
              <w:rPr>
                <w:rFonts w:ascii="Calibri" w:hAnsi="Calibri" w:cs="Calibri"/>
                <w:b/>
                <w:bCs/>
                <w:color w:val="FFFFFF"/>
                <w:szCs w:val="22"/>
                <w:lang w:eastAsia="en-AU"/>
              </w:rPr>
              <w:t> </w:t>
            </w:r>
          </w:p>
        </w:tc>
        <w:tc>
          <w:tcPr>
            <w:tcW w:w="856" w:type="dxa"/>
            <w:tcBorders>
              <w:top w:val="nil"/>
              <w:left w:val="nil"/>
              <w:bottom w:val="nil"/>
              <w:right w:val="nil"/>
            </w:tcBorders>
            <w:shd w:val="clear" w:color="000000" w:fill="6B2976"/>
            <w:noWrap/>
            <w:vAlign w:val="bottom"/>
            <w:hideMark/>
          </w:tcPr>
          <w:p w14:paraId="34A3F368" w14:textId="77777777" w:rsidR="00B71716" w:rsidRPr="00111781" w:rsidRDefault="00B71716" w:rsidP="00B71716">
            <w:pPr>
              <w:spacing w:after="0" w:line="240" w:lineRule="auto"/>
              <w:rPr>
                <w:rFonts w:ascii="Calibri" w:hAnsi="Calibri" w:cs="Calibri"/>
                <w:b/>
                <w:bCs/>
                <w:color w:val="FFFFFF"/>
                <w:szCs w:val="22"/>
                <w:lang w:eastAsia="en-AU"/>
              </w:rPr>
            </w:pPr>
            <w:r w:rsidRPr="00111781">
              <w:rPr>
                <w:rFonts w:ascii="Calibri" w:hAnsi="Calibri" w:cs="Calibri"/>
                <w:b/>
                <w:bCs/>
                <w:color w:val="FFFFFF"/>
                <w:szCs w:val="22"/>
                <w:lang w:eastAsia="en-AU"/>
              </w:rPr>
              <w:t> </w:t>
            </w:r>
          </w:p>
        </w:tc>
        <w:tc>
          <w:tcPr>
            <w:tcW w:w="4516" w:type="dxa"/>
            <w:tcBorders>
              <w:top w:val="nil"/>
              <w:left w:val="nil"/>
              <w:bottom w:val="nil"/>
              <w:right w:val="nil"/>
            </w:tcBorders>
            <w:shd w:val="clear" w:color="000000" w:fill="6B2976"/>
            <w:noWrap/>
            <w:vAlign w:val="bottom"/>
            <w:hideMark/>
          </w:tcPr>
          <w:p w14:paraId="10BD9F19" w14:textId="77777777" w:rsidR="00B71716" w:rsidRPr="00111781" w:rsidRDefault="00B71716" w:rsidP="00B71716">
            <w:pPr>
              <w:spacing w:after="0" w:line="240" w:lineRule="auto"/>
              <w:rPr>
                <w:rFonts w:ascii="Calibri" w:hAnsi="Calibri" w:cs="Calibri"/>
                <w:b/>
                <w:bCs/>
                <w:color w:val="FFFFFF"/>
                <w:szCs w:val="22"/>
                <w:lang w:eastAsia="en-AU"/>
              </w:rPr>
            </w:pPr>
            <w:r w:rsidRPr="00111781">
              <w:rPr>
                <w:rFonts w:ascii="Calibri" w:hAnsi="Calibri" w:cs="Calibri"/>
                <w:b/>
                <w:bCs/>
                <w:color w:val="FFFFFF"/>
                <w:szCs w:val="22"/>
                <w:lang w:eastAsia="en-AU"/>
              </w:rPr>
              <w:t> </w:t>
            </w:r>
          </w:p>
        </w:tc>
        <w:tc>
          <w:tcPr>
            <w:tcW w:w="1036" w:type="dxa"/>
            <w:tcBorders>
              <w:top w:val="nil"/>
              <w:left w:val="nil"/>
              <w:bottom w:val="nil"/>
              <w:right w:val="nil"/>
            </w:tcBorders>
            <w:shd w:val="clear" w:color="000000" w:fill="6B2976"/>
            <w:noWrap/>
            <w:vAlign w:val="bottom"/>
            <w:hideMark/>
          </w:tcPr>
          <w:p w14:paraId="558D2C0A" w14:textId="77777777" w:rsidR="00B71716" w:rsidRPr="00111781" w:rsidRDefault="00B71716" w:rsidP="00B71716">
            <w:pPr>
              <w:spacing w:after="0" w:line="240" w:lineRule="auto"/>
              <w:jc w:val="right"/>
              <w:rPr>
                <w:rFonts w:ascii="Calibri" w:hAnsi="Calibri" w:cs="Calibri"/>
                <w:b/>
                <w:bCs/>
                <w:color w:val="FFFFFF"/>
                <w:szCs w:val="22"/>
                <w:lang w:eastAsia="en-AU"/>
              </w:rPr>
            </w:pPr>
            <w:r w:rsidRPr="00111781">
              <w:rPr>
                <w:rFonts w:ascii="Calibri" w:hAnsi="Calibri" w:cs="Calibri"/>
                <w:b/>
                <w:bCs/>
                <w:color w:val="FFFFFF"/>
                <w:szCs w:val="22"/>
                <w:lang w:eastAsia="en-AU"/>
              </w:rPr>
              <w:t>Number</w:t>
            </w:r>
          </w:p>
        </w:tc>
        <w:tc>
          <w:tcPr>
            <w:tcW w:w="1596" w:type="dxa"/>
            <w:tcBorders>
              <w:top w:val="nil"/>
              <w:left w:val="nil"/>
              <w:bottom w:val="nil"/>
              <w:right w:val="nil"/>
            </w:tcBorders>
            <w:shd w:val="clear" w:color="000000" w:fill="6B2976"/>
            <w:noWrap/>
            <w:vAlign w:val="bottom"/>
            <w:hideMark/>
          </w:tcPr>
          <w:p w14:paraId="23DF710C" w14:textId="77777777" w:rsidR="00B71716" w:rsidRPr="00111781" w:rsidRDefault="00B71716" w:rsidP="00B71716">
            <w:pPr>
              <w:spacing w:after="0" w:line="240" w:lineRule="auto"/>
              <w:jc w:val="right"/>
              <w:rPr>
                <w:rFonts w:ascii="Calibri" w:hAnsi="Calibri" w:cs="Calibri"/>
                <w:b/>
                <w:bCs/>
                <w:color w:val="FFFFFF"/>
                <w:szCs w:val="22"/>
                <w:lang w:eastAsia="en-AU"/>
              </w:rPr>
            </w:pPr>
            <w:r w:rsidRPr="00111781">
              <w:rPr>
                <w:rFonts w:ascii="Calibri" w:hAnsi="Calibri" w:cs="Calibri"/>
                <w:b/>
                <w:bCs/>
                <w:color w:val="FFFFFF"/>
                <w:szCs w:val="22"/>
                <w:lang w:eastAsia="en-AU"/>
              </w:rPr>
              <w:t>Percentage</w:t>
            </w:r>
          </w:p>
        </w:tc>
      </w:tr>
      <w:tr w:rsidR="00B71716" w:rsidRPr="00111781" w14:paraId="7A211F97" w14:textId="77777777" w:rsidTr="00B71716">
        <w:trPr>
          <w:trHeight w:val="285"/>
        </w:trPr>
        <w:tc>
          <w:tcPr>
            <w:tcW w:w="6408" w:type="dxa"/>
            <w:gridSpan w:val="3"/>
            <w:tcBorders>
              <w:top w:val="nil"/>
              <w:left w:val="nil"/>
              <w:bottom w:val="nil"/>
              <w:right w:val="nil"/>
            </w:tcBorders>
            <w:shd w:val="clear" w:color="auto" w:fill="auto"/>
            <w:noWrap/>
            <w:vAlign w:val="bottom"/>
            <w:hideMark/>
          </w:tcPr>
          <w:p w14:paraId="09C835A5" w14:textId="77777777" w:rsidR="00B71716" w:rsidRPr="00111781" w:rsidRDefault="00B71716" w:rsidP="00B71716">
            <w:pPr>
              <w:spacing w:after="0" w:line="240" w:lineRule="auto"/>
              <w:rPr>
                <w:rFonts w:ascii="Calibri" w:hAnsi="Calibri" w:cs="Calibri"/>
                <w:b/>
                <w:bCs/>
                <w:color w:val="000000"/>
                <w:szCs w:val="22"/>
                <w:lang w:eastAsia="en-AU"/>
              </w:rPr>
            </w:pPr>
            <w:r w:rsidRPr="00111781">
              <w:rPr>
                <w:rFonts w:ascii="Calibri" w:hAnsi="Calibri" w:cs="Calibri"/>
                <w:b/>
                <w:bCs/>
                <w:color w:val="000000"/>
                <w:szCs w:val="22"/>
                <w:lang w:eastAsia="en-AU"/>
              </w:rPr>
              <w:t>Likely to be new incidence to disability</w:t>
            </w:r>
          </w:p>
        </w:tc>
        <w:tc>
          <w:tcPr>
            <w:tcW w:w="1036" w:type="dxa"/>
            <w:tcBorders>
              <w:top w:val="nil"/>
              <w:left w:val="nil"/>
              <w:bottom w:val="nil"/>
              <w:right w:val="nil"/>
            </w:tcBorders>
            <w:shd w:val="clear" w:color="auto" w:fill="auto"/>
            <w:noWrap/>
            <w:vAlign w:val="bottom"/>
            <w:hideMark/>
          </w:tcPr>
          <w:p w14:paraId="60BEB994" w14:textId="77777777" w:rsidR="00B71716" w:rsidRPr="00111781" w:rsidRDefault="00B71716" w:rsidP="00B71716">
            <w:pPr>
              <w:spacing w:after="0" w:line="240" w:lineRule="auto"/>
              <w:rPr>
                <w:rFonts w:ascii="Calibri" w:hAnsi="Calibri" w:cs="Calibri"/>
                <w:b/>
                <w:bCs/>
                <w:color w:val="000000"/>
                <w:szCs w:val="22"/>
                <w:lang w:eastAsia="en-AU"/>
              </w:rPr>
            </w:pPr>
          </w:p>
        </w:tc>
        <w:tc>
          <w:tcPr>
            <w:tcW w:w="1596" w:type="dxa"/>
            <w:tcBorders>
              <w:top w:val="nil"/>
              <w:left w:val="nil"/>
              <w:bottom w:val="nil"/>
              <w:right w:val="nil"/>
            </w:tcBorders>
            <w:shd w:val="clear" w:color="auto" w:fill="auto"/>
            <w:noWrap/>
            <w:vAlign w:val="bottom"/>
            <w:hideMark/>
          </w:tcPr>
          <w:p w14:paraId="0FE25D47" w14:textId="77777777" w:rsidR="00B71716" w:rsidRPr="00111781" w:rsidRDefault="00B71716" w:rsidP="00B71716">
            <w:pPr>
              <w:spacing w:after="0" w:line="240" w:lineRule="auto"/>
              <w:jc w:val="right"/>
              <w:rPr>
                <w:rFonts w:ascii="Times New Roman" w:hAnsi="Times New Roman"/>
                <w:sz w:val="20"/>
                <w:szCs w:val="20"/>
                <w:lang w:eastAsia="en-AU"/>
              </w:rPr>
            </w:pPr>
          </w:p>
        </w:tc>
      </w:tr>
      <w:tr w:rsidR="00B71716" w:rsidRPr="00111781" w14:paraId="2D5376EE" w14:textId="77777777" w:rsidTr="00B71716">
        <w:trPr>
          <w:trHeight w:val="285"/>
        </w:trPr>
        <w:tc>
          <w:tcPr>
            <w:tcW w:w="1036" w:type="dxa"/>
            <w:tcBorders>
              <w:top w:val="single" w:sz="4" w:space="0" w:color="auto"/>
              <w:left w:val="nil"/>
              <w:bottom w:val="single" w:sz="4" w:space="0" w:color="auto"/>
              <w:right w:val="nil"/>
            </w:tcBorders>
            <w:shd w:val="clear" w:color="auto" w:fill="auto"/>
            <w:noWrap/>
            <w:vAlign w:val="bottom"/>
            <w:hideMark/>
          </w:tcPr>
          <w:p w14:paraId="63C5E9E6" w14:textId="77777777" w:rsidR="00B71716" w:rsidRPr="00111781" w:rsidRDefault="00B71716" w:rsidP="00B71716">
            <w:pPr>
              <w:spacing w:after="0" w:line="240" w:lineRule="auto"/>
              <w:rPr>
                <w:rFonts w:ascii="Calibri" w:hAnsi="Calibri" w:cs="Calibri"/>
                <w:color w:val="000000"/>
                <w:szCs w:val="22"/>
                <w:lang w:eastAsia="en-AU"/>
              </w:rPr>
            </w:pPr>
            <w:r w:rsidRPr="00111781">
              <w:rPr>
                <w:rFonts w:ascii="Calibri" w:hAnsi="Calibri" w:cs="Calibri"/>
                <w:color w:val="000000"/>
                <w:szCs w:val="22"/>
                <w:lang w:eastAsia="en-AU"/>
              </w:rPr>
              <w:t> </w:t>
            </w:r>
          </w:p>
        </w:tc>
        <w:tc>
          <w:tcPr>
            <w:tcW w:w="5372" w:type="dxa"/>
            <w:gridSpan w:val="2"/>
            <w:tcBorders>
              <w:top w:val="single" w:sz="4" w:space="0" w:color="auto"/>
              <w:left w:val="nil"/>
              <w:bottom w:val="single" w:sz="4" w:space="0" w:color="auto"/>
              <w:right w:val="nil"/>
            </w:tcBorders>
            <w:shd w:val="clear" w:color="auto" w:fill="auto"/>
            <w:noWrap/>
            <w:vAlign w:val="bottom"/>
            <w:hideMark/>
          </w:tcPr>
          <w:p w14:paraId="3AAB1B1C" w14:textId="77777777" w:rsidR="00B71716" w:rsidRPr="00111781" w:rsidRDefault="00B71716" w:rsidP="00B71716">
            <w:pPr>
              <w:spacing w:after="0" w:line="240" w:lineRule="auto"/>
              <w:rPr>
                <w:rFonts w:ascii="Calibri" w:hAnsi="Calibri" w:cs="Calibri"/>
                <w:b/>
                <w:bCs/>
                <w:color w:val="000000"/>
                <w:szCs w:val="22"/>
                <w:lang w:eastAsia="en-AU"/>
              </w:rPr>
            </w:pPr>
            <w:r w:rsidRPr="00111781">
              <w:rPr>
                <w:rFonts w:ascii="Calibri" w:hAnsi="Calibri" w:cs="Calibri"/>
                <w:b/>
                <w:bCs/>
                <w:color w:val="000000"/>
                <w:szCs w:val="22"/>
                <w:lang w:eastAsia="en-AU"/>
              </w:rPr>
              <w:t>Disability acquired within past 12 months</w:t>
            </w:r>
          </w:p>
        </w:tc>
        <w:tc>
          <w:tcPr>
            <w:tcW w:w="1036" w:type="dxa"/>
            <w:tcBorders>
              <w:top w:val="single" w:sz="4" w:space="0" w:color="auto"/>
              <w:left w:val="nil"/>
              <w:bottom w:val="single" w:sz="4" w:space="0" w:color="auto"/>
              <w:right w:val="nil"/>
            </w:tcBorders>
            <w:shd w:val="clear" w:color="auto" w:fill="auto"/>
            <w:noWrap/>
            <w:vAlign w:val="bottom"/>
            <w:hideMark/>
          </w:tcPr>
          <w:p w14:paraId="513BD2FE" w14:textId="77777777" w:rsidR="00B71716" w:rsidRPr="00111781" w:rsidRDefault="00B71716" w:rsidP="00B71716">
            <w:pPr>
              <w:spacing w:after="0" w:line="240" w:lineRule="auto"/>
              <w:jc w:val="right"/>
              <w:rPr>
                <w:rFonts w:ascii="Calibri" w:hAnsi="Calibri" w:cs="Calibri"/>
                <w:b/>
                <w:bCs/>
                <w:color w:val="000000"/>
                <w:szCs w:val="22"/>
                <w:lang w:eastAsia="en-AU"/>
              </w:rPr>
            </w:pPr>
            <w:r w:rsidRPr="00111781">
              <w:rPr>
                <w:rFonts w:ascii="Calibri" w:hAnsi="Calibri" w:cs="Calibri"/>
                <w:b/>
                <w:bCs/>
                <w:color w:val="000000"/>
                <w:szCs w:val="22"/>
                <w:lang w:eastAsia="en-AU"/>
              </w:rPr>
              <w:t>295</w:t>
            </w:r>
          </w:p>
        </w:tc>
        <w:tc>
          <w:tcPr>
            <w:tcW w:w="1596" w:type="dxa"/>
            <w:tcBorders>
              <w:top w:val="single" w:sz="4" w:space="0" w:color="auto"/>
              <w:left w:val="nil"/>
              <w:bottom w:val="single" w:sz="4" w:space="0" w:color="auto"/>
              <w:right w:val="nil"/>
            </w:tcBorders>
            <w:shd w:val="clear" w:color="auto" w:fill="auto"/>
            <w:noWrap/>
            <w:vAlign w:val="bottom"/>
            <w:hideMark/>
          </w:tcPr>
          <w:p w14:paraId="7F1A4199" w14:textId="77777777" w:rsidR="00B71716" w:rsidRPr="00111781" w:rsidRDefault="00B71716" w:rsidP="00B71716">
            <w:pPr>
              <w:spacing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29%</w:t>
            </w:r>
          </w:p>
        </w:tc>
      </w:tr>
      <w:tr w:rsidR="00B71716" w:rsidRPr="00111781" w14:paraId="03332D46" w14:textId="77777777" w:rsidTr="00B71716">
        <w:trPr>
          <w:trHeight w:val="285"/>
        </w:trPr>
        <w:tc>
          <w:tcPr>
            <w:tcW w:w="1036" w:type="dxa"/>
            <w:tcBorders>
              <w:top w:val="nil"/>
              <w:left w:val="nil"/>
              <w:bottom w:val="nil"/>
              <w:right w:val="nil"/>
            </w:tcBorders>
            <w:shd w:val="clear" w:color="auto" w:fill="auto"/>
            <w:noWrap/>
            <w:vAlign w:val="bottom"/>
            <w:hideMark/>
          </w:tcPr>
          <w:p w14:paraId="7606551C" w14:textId="77777777" w:rsidR="00B71716" w:rsidRPr="00111781" w:rsidRDefault="00B71716" w:rsidP="00B71716">
            <w:pPr>
              <w:spacing w:after="0" w:line="240" w:lineRule="auto"/>
              <w:jc w:val="right"/>
              <w:rPr>
                <w:rFonts w:ascii="Calibri" w:hAnsi="Calibri" w:cs="Calibri"/>
                <w:color w:val="000000"/>
                <w:szCs w:val="22"/>
                <w:lang w:eastAsia="en-AU"/>
              </w:rPr>
            </w:pPr>
          </w:p>
        </w:tc>
        <w:tc>
          <w:tcPr>
            <w:tcW w:w="5372" w:type="dxa"/>
            <w:gridSpan w:val="2"/>
            <w:tcBorders>
              <w:top w:val="nil"/>
              <w:left w:val="nil"/>
              <w:bottom w:val="nil"/>
              <w:right w:val="nil"/>
            </w:tcBorders>
            <w:shd w:val="clear" w:color="auto" w:fill="auto"/>
            <w:noWrap/>
            <w:vAlign w:val="bottom"/>
            <w:hideMark/>
          </w:tcPr>
          <w:p w14:paraId="6BFC0C67" w14:textId="77777777" w:rsidR="00B71716" w:rsidRPr="00111781" w:rsidRDefault="00B71716" w:rsidP="00B71716">
            <w:pPr>
              <w:spacing w:after="0" w:line="240" w:lineRule="auto"/>
              <w:rPr>
                <w:rFonts w:ascii="Calibri" w:hAnsi="Calibri" w:cs="Calibri"/>
                <w:b/>
                <w:bCs/>
                <w:color w:val="000000"/>
                <w:szCs w:val="22"/>
                <w:lang w:eastAsia="en-AU"/>
              </w:rPr>
            </w:pPr>
            <w:r w:rsidRPr="00111781">
              <w:rPr>
                <w:rFonts w:ascii="Calibri" w:hAnsi="Calibri" w:cs="Calibri"/>
                <w:b/>
                <w:bCs/>
                <w:color w:val="000000"/>
                <w:szCs w:val="22"/>
                <w:lang w:eastAsia="en-AU"/>
              </w:rPr>
              <w:t>Disability acquired prior to past 12 months</w:t>
            </w:r>
          </w:p>
        </w:tc>
        <w:tc>
          <w:tcPr>
            <w:tcW w:w="1036" w:type="dxa"/>
            <w:tcBorders>
              <w:top w:val="nil"/>
              <w:left w:val="nil"/>
              <w:bottom w:val="nil"/>
              <w:right w:val="nil"/>
            </w:tcBorders>
            <w:shd w:val="clear" w:color="auto" w:fill="auto"/>
            <w:noWrap/>
            <w:vAlign w:val="bottom"/>
            <w:hideMark/>
          </w:tcPr>
          <w:p w14:paraId="3F74C7B9" w14:textId="77777777" w:rsidR="00B71716" w:rsidRPr="00111781" w:rsidRDefault="00B71716" w:rsidP="00B71716">
            <w:pPr>
              <w:spacing w:after="0" w:line="240" w:lineRule="auto"/>
              <w:rPr>
                <w:rFonts w:ascii="Calibri" w:hAnsi="Calibri" w:cs="Calibri"/>
                <w:b/>
                <w:bCs/>
                <w:color w:val="000000"/>
                <w:szCs w:val="22"/>
                <w:lang w:eastAsia="en-AU"/>
              </w:rPr>
            </w:pPr>
          </w:p>
        </w:tc>
        <w:tc>
          <w:tcPr>
            <w:tcW w:w="1596" w:type="dxa"/>
            <w:tcBorders>
              <w:top w:val="nil"/>
              <w:left w:val="nil"/>
              <w:bottom w:val="nil"/>
              <w:right w:val="nil"/>
            </w:tcBorders>
            <w:shd w:val="clear" w:color="auto" w:fill="auto"/>
            <w:noWrap/>
            <w:vAlign w:val="bottom"/>
            <w:hideMark/>
          </w:tcPr>
          <w:p w14:paraId="7E1EEB3B" w14:textId="77777777" w:rsidR="00B71716" w:rsidRPr="00111781" w:rsidRDefault="00B71716" w:rsidP="00B71716">
            <w:pPr>
              <w:spacing w:after="0" w:line="240" w:lineRule="auto"/>
              <w:jc w:val="right"/>
              <w:rPr>
                <w:rFonts w:ascii="Times New Roman" w:hAnsi="Times New Roman"/>
                <w:sz w:val="20"/>
                <w:szCs w:val="20"/>
                <w:lang w:eastAsia="en-AU"/>
              </w:rPr>
            </w:pPr>
          </w:p>
        </w:tc>
      </w:tr>
      <w:tr w:rsidR="00B71716" w:rsidRPr="00111781" w14:paraId="4B15AEEB" w14:textId="77777777" w:rsidTr="00B71716">
        <w:trPr>
          <w:trHeight w:val="285"/>
        </w:trPr>
        <w:tc>
          <w:tcPr>
            <w:tcW w:w="1036" w:type="dxa"/>
            <w:tcBorders>
              <w:top w:val="nil"/>
              <w:left w:val="nil"/>
              <w:bottom w:val="nil"/>
              <w:right w:val="nil"/>
            </w:tcBorders>
            <w:shd w:val="clear" w:color="auto" w:fill="auto"/>
            <w:noWrap/>
            <w:vAlign w:val="bottom"/>
            <w:hideMark/>
          </w:tcPr>
          <w:p w14:paraId="5D5C8D33" w14:textId="77777777" w:rsidR="00B71716" w:rsidRPr="00111781" w:rsidRDefault="00B71716" w:rsidP="00B71716">
            <w:pPr>
              <w:spacing w:after="0" w:line="240" w:lineRule="auto"/>
              <w:jc w:val="right"/>
              <w:rPr>
                <w:rFonts w:ascii="Times New Roman" w:hAnsi="Times New Roman"/>
                <w:sz w:val="20"/>
                <w:szCs w:val="20"/>
                <w:lang w:eastAsia="en-AU"/>
              </w:rPr>
            </w:pPr>
          </w:p>
        </w:tc>
        <w:tc>
          <w:tcPr>
            <w:tcW w:w="856" w:type="dxa"/>
            <w:tcBorders>
              <w:top w:val="nil"/>
              <w:left w:val="nil"/>
              <w:bottom w:val="nil"/>
              <w:right w:val="nil"/>
            </w:tcBorders>
            <w:shd w:val="clear" w:color="auto" w:fill="auto"/>
            <w:noWrap/>
            <w:vAlign w:val="bottom"/>
            <w:hideMark/>
          </w:tcPr>
          <w:p w14:paraId="42A1D544" w14:textId="77777777" w:rsidR="00B71716" w:rsidRPr="00111781" w:rsidRDefault="00B71716" w:rsidP="00B71716">
            <w:pPr>
              <w:spacing w:after="0" w:line="240" w:lineRule="auto"/>
              <w:rPr>
                <w:rFonts w:ascii="Times New Roman" w:hAnsi="Times New Roman"/>
                <w:sz w:val="20"/>
                <w:szCs w:val="20"/>
                <w:lang w:eastAsia="en-AU"/>
              </w:rPr>
            </w:pPr>
          </w:p>
        </w:tc>
        <w:tc>
          <w:tcPr>
            <w:tcW w:w="4516" w:type="dxa"/>
            <w:tcBorders>
              <w:top w:val="nil"/>
              <w:left w:val="nil"/>
              <w:bottom w:val="nil"/>
              <w:right w:val="nil"/>
            </w:tcBorders>
            <w:shd w:val="clear" w:color="auto" w:fill="auto"/>
            <w:noWrap/>
            <w:vAlign w:val="bottom"/>
            <w:hideMark/>
          </w:tcPr>
          <w:p w14:paraId="557F6639" w14:textId="77777777" w:rsidR="00B71716" w:rsidRPr="00111781" w:rsidRDefault="00B71716" w:rsidP="00B71716">
            <w:pPr>
              <w:spacing w:after="0" w:line="240" w:lineRule="auto"/>
              <w:rPr>
                <w:rFonts w:ascii="Calibri" w:hAnsi="Calibri" w:cs="Calibri"/>
                <w:color w:val="000000"/>
                <w:szCs w:val="22"/>
                <w:lang w:eastAsia="en-AU"/>
              </w:rPr>
            </w:pPr>
            <w:r w:rsidRPr="00111781">
              <w:rPr>
                <w:rFonts w:ascii="Calibri" w:hAnsi="Calibri" w:cs="Calibri"/>
                <w:color w:val="000000"/>
                <w:szCs w:val="22"/>
                <w:lang w:eastAsia="en-AU"/>
              </w:rPr>
              <w:t>Actual/potential loss of informal supports</w:t>
            </w:r>
          </w:p>
        </w:tc>
        <w:tc>
          <w:tcPr>
            <w:tcW w:w="1036" w:type="dxa"/>
            <w:tcBorders>
              <w:top w:val="nil"/>
              <w:left w:val="nil"/>
              <w:bottom w:val="nil"/>
              <w:right w:val="nil"/>
            </w:tcBorders>
            <w:shd w:val="clear" w:color="auto" w:fill="auto"/>
            <w:noWrap/>
            <w:vAlign w:val="bottom"/>
            <w:hideMark/>
          </w:tcPr>
          <w:p w14:paraId="13816E5A" w14:textId="77777777" w:rsidR="00B71716" w:rsidRPr="00111781" w:rsidRDefault="00B71716" w:rsidP="00B71716">
            <w:pPr>
              <w:spacing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54</w:t>
            </w:r>
          </w:p>
        </w:tc>
        <w:tc>
          <w:tcPr>
            <w:tcW w:w="1596" w:type="dxa"/>
            <w:tcBorders>
              <w:top w:val="nil"/>
              <w:left w:val="nil"/>
              <w:bottom w:val="nil"/>
              <w:right w:val="nil"/>
            </w:tcBorders>
            <w:shd w:val="clear" w:color="auto" w:fill="auto"/>
            <w:noWrap/>
            <w:vAlign w:val="bottom"/>
            <w:hideMark/>
          </w:tcPr>
          <w:p w14:paraId="67733DC5" w14:textId="77777777" w:rsidR="00B71716" w:rsidRPr="00111781" w:rsidRDefault="00B71716" w:rsidP="00B71716">
            <w:pPr>
              <w:spacing w:after="0" w:line="240" w:lineRule="auto"/>
              <w:jc w:val="right"/>
              <w:rPr>
                <w:rFonts w:ascii="Calibri" w:hAnsi="Calibri" w:cs="Calibri"/>
                <w:color w:val="000000"/>
                <w:szCs w:val="22"/>
                <w:lang w:eastAsia="en-AU"/>
              </w:rPr>
            </w:pPr>
          </w:p>
        </w:tc>
      </w:tr>
      <w:tr w:rsidR="00B71716" w:rsidRPr="00111781" w14:paraId="5D73A9CB" w14:textId="77777777" w:rsidTr="00B71716">
        <w:trPr>
          <w:trHeight w:val="285"/>
        </w:trPr>
        <w:tc>
          <w:tcPr>
            <w:tcW w:w="1036" w:type="dxa"/>
            <w:tcBorders>
              <w:top w:val="nil"/>
              <w:left w:val="nil"/>
              <w:bottom w:val="nil"/>
              <w:right w:val="nil"/>
            </w:tcBorders>
            <w:shd w:val="clear" w:color="auto" w:fill="auto"/>
            <w:noWrap/>
            <w:vAlign w:val="bottom"/>
            <w:hideMark/>
          </w:tcPr>
          <w:p w14:paraId="19E44CFB" w14:textId="77777777" w:rsidR="00B71716" w:rsidRPr="00111781" w:rsidRDefault="00B71716" w:rsidP="00B71716">
            <w:pPr>
              <w:spacing w:after="0" w:line="240" w:lineRule="auto"/>
              <w:jc w:val="right"/>
              <w:rPr>
                <w:rFonts w:ascii="Times New Roman" w:hAnsi="Times New Roman"/>
                <w:sz w:val="20"/>
                <w:szCs w:val="20"/>
                <w:lang w:eastAsia="en-AU"/>
              </w:rPr>
            </w:pPr>
          </w:p>
        </w:tc>
        <w:tc>
          <w:tcPr>
            <w:tcW w:w="856" w:type="dxa"/>
            <w:tcBorders>
              <w:top w:val="nil"/>
              <w:left w:val="nil"/>
              <w:bottom w:val="nil"/>
              <w:right w:val="nil"/>
            </w:tcBorders>
            <w:shd w:val="clear" w:color="auto" w:fill="auto"/>
            <w:noWrap/>
            <w:vAlign w:val="bottom"/>
            <w:hideMark/>
          </w:tcPr>
          <w:p w14:paraId="666A0A54" w14:textId="77777777" w:rsidR="00B71716" w:rsidRPr="00111781" w:rsidRDefault="00B71716" w:rsidP="00B71716">
            <w:pPr>
              <w:spacing w:after="0" w:line="240" w:lineRule="auto"/>
              <w:rPr>
                <w:rFonts w:ascii="Times New Roman" w:hAnsi="Times New Roman"/>
                <w:sz w:val="20"/>
                <w:szCs w:val="20"/>
                <w:lang w:eastAsia="en-AU"/>
              </w:rPr>
            </w:pPr>
          </w:p>
        </w:tc>
        <w:tc>
          <w:tcPr>
            <w:tcW w:w="4516" w:type="dxa"/>
            <w:tcBorders>
              <w:top w:val="nil"/>
              <w:left w:val="nil"/>
              <w:bottom w:val="nil"/>
              <w:right w:val="nil"/>
            </w:tcBorders>
            <w:shd w:val="clear" w:color="auto" w:fill="auto"/>
            <w:noWrap/>
            <w:vAlign w:val="bottom"/>
            <w:hideMark/>
          </w:tcPr>
          <w:p w14:paraId="0D1B2DDB" w14:textId="77777777" w:rsidR="00B71716" w:rsidRPr="00111781" w:rsidRDefault="00B71716" w:rsidP="00B71716">
            <w:pPr>
              <w:spacing w:after="0" w:line="240" w:lineRule="auto"/>
              <w:rPr>
                <w:rFonts w:ascii="Calibri" w:hAnsi="Calibri" w:cs="Calibri"/>
                <w:color w:val="000000"/>
                <w:szCs w:val="22"/>
                <w:lang w:eastAsia="en-AU"/>
              </w:rPr>
            </w:pPr>
            <w:r w:rsidRPr="00111781">
              <w:rPr>
                <w:rFonts w:ascii="Calibri" w:hAnsi="Calibri" w:cs="Calibri"/>
                <w:color w:val="000000"/>
                <w:szCs w:val="22"/>
                <w:lang w:eastAsia="en-AU"/>
              </w:rPr>
              <w:t>Previous application denied</w:t>
            </w:r>
          </w:p>
        </w:tc>
        <w:tc>
          <w:tcPr>
            <w:tcW w:w="1036" w:type="dxa"/>
            <w:tcBorders>
              <w:top w:val="nil"/>
              <w:left w:val="nil"/>
              <w:bottom w:val="nil"/>
              <w:right w:val="nil"/>
            </w:tcBorders>
            <w:shd w:val="clear" w:color="auto" w:fill="auto"/>
            <w:noWrap/>
            <w:vAlign w:val="bottom"/>
            <w:hideMark/>
          </w:tcPr>
          <w:p w14:paraId="66BAEF44" w14:textId="77777777" w:rsidR="00B71716" w:rsidRPr="00111781" w:rsidRDefault="00B71716" w:rsidP="00B71716">
            <w:pPr>
              <w:spacing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53</w:t>
            </w:r>
          </w:p>
        </w:tc>
        <w:tc>
          <w:tcPr>
            <w:tcW w:w="1596" w:type="dxa"/>
            <w:tcBorders>
              <w:top w:val="nil"/>
              <w:left w:val="nil"/>
              <w:bottom w:val="nil"/>
              <w:right w:val="nil"/>
            </w:tcBorders>
            <w:shd w:val="clear" w:color="auto" w:fill="auto"/>
            <w:noWrap/>
            <w:vAlign w:val="bottom"/>
            <w:hideMark/>
          </w:tcPr>
          <w:p w14:paraId="2C79F333" w14:textId="77777777" w:rsidR="00B71716" w:rsidRPr="00111781" w:rsidRDefault="00B71716" w:rsidP="00B71716">
            <w:pPr>
              <w:spacing w:after="0" w:line="240" w:lineRule="auto"/>
              <w:jc w:val="right"/>
              <w:rPr>
                <w:rFonts w:ascii="Calibri" w:hAnsi="Calibri" w:cs="Calibri"/>
                <w:color w:val="000000"/>
                <w:szCs w:val="22"/>
                <w:lang w:eastAsia="en-AU"/>
              </w:rPr>
            </w:pPr>
          </w:p>
        </w:tc>
      </w:tr>
      <w:tr w:rsidR="00B71716" w:rsidRPr="00111781" w14:paraId="60825574" w14:textId="77777777" w:rsidTr="00B71716">
        <w:trPr>
          <w:trHeight w:val="285"/>
        </w:trPr>
        <w:tc>
          <w:tcPr>
            <w:tcW w:w="1036" w:type="dxa"/>
            <w:tcBorders>
              <w:top w:val="nil"/>
              <w:left w:val="nil"/>
              <w:bottom w:val="nil"/>
              <w:right w:val="nil"/>
            </w:tcBorders>
            <w:shd w:val="clear" w:color="auto" w:fill="auto"/>
            <w:noWrap/>
            <w:vAlign w:val="bottom"/>
            <w:hideMark/>
          </w:tcPr>
          <w:p w14:paraId="3945A86A" w14:textId="77777777" w:rsidR="00B71716" w:rsidRPr="00111781" w:rsidRDefault="00B71716" w:rsidP="00B71716">
            <w:pPr>
              <w:spacing w:after="0" w:line="240" w:lineRule="auto"/>
              <w:jc w:val="right"/>
              <w:rPr>
                <w:rFonts w:ascii="Times New Roman" w:hAnsi="Times New Roman"/>
                <w:sz w:val="20"/>
                <w:szCs w:val="20"/>
                <w:lang w:eastAsia="en-AU"/>
              </w:rPr>
            </w:pPr>
          </w:p>
        </w:tc>
        <w:tc>
          <w:tcPr>
            <w:tcW w:w="856" w:type="dxa"/>
            <w:tcBorders>
              <w:top w:val="nil"/>
              <w:left w:val="nil"/>
              <w:bottom w:val="nil"/>
              <w:right w:val="nil"/>
            </w:tcBorders>
            <w:shd w:val="clear" w:color="auto" w:fill="auto"/>
            <w:noWrap/>
            <w:vAlign w:val="bottom"/>
            <w:hideMark/>
          </w:tcPr>
          <w:p w14:paraId="405AB1EA" w14:textId="77777777" w:rsidR="00B71716" w:rsidRPr="00111781" w:rsidRDefault="00B71716" w:rsidP="00B71716">
            <w:pPr>
              <w:spacing w:after="0" w:line="240" w:lineRule="auto"/>
              <w:rPr>
                <w:rFonts w:ascii="Times New Roman" w:hAnsi="Times New Roman"/>
                <w:sz w:val="20"/>
                <w:szCs w:val="20"/>
                <w:lang w:eastAsia="en-AU"/>
              </w:rPr>
            </w:pPr>
          </w:p>
        </w:tc>
        <w:tc>
          <w:tcPr>
            <w:tcW w:w="4516" w:type="dxa"/>
            <w:tcBorders>
              <w:top w:val="nil"/>
              <w:left w:val="nil"/>
              <w:bottom w:val="nil"/>
              <w:right w:val="nil"/>
            </w:tcBorders>
            <w:shd w:val="clear" w:color="auto" w:fill="auto"/>
            <w:noWrap/>
            <w:vAlign w:val="bottom"/>
            <w:hideMark/>
          </w:tcPr>
          <w:p w14:paraId="72683BD1" w14:textId="77777777" w:rsidR="00B71716" w:rsidRPr="00111781" w:rsidRDefault="00B71716" w:rsidP="00B71716">
            <w:pPr>
              <w:spacing w:after="0" w:line="240" w:lineRule="auto"/>
              <w:rPr>
                <w:rFonts w:ascii="Calibri" w:hAnsi="Calibri" w:cs="Calibri"/>
                <w:color w:val="000000"/>
                <w:szCs w:val="22"/>
                <w:lang w:eastAsia="en-AU"/>
              </w:rPr>
            </w:pPr>
            <w:r w:rsidRPr="00111781">
              <w:rPr>
                <w:rFonts w:ascii="Calibri" w:hAnsi="Calibri" w:cs="Calibri"/>
                <w:color w:val="000000"/>
                <w:szCs w:val="22"/>
                <w:lang w:eastAsia="en-AU"/>
              </w:rPr>
              <w:t>Substantial functional impairment now reached</w:t>
            </w:r>
          </w:p>
        </w:tc>
        <w:tc>
          <w:tcPr>
            <w:tcW w:w="1036" w:type="dxa"/>
            <w:tcBorders>
              <w:top w:val="nil"/>
              <w:left w:val="nil"/>
              <w:bottom w:val="nil"/>
              <w:right w:val="nil"/>
            </w:tcBorders>
            <w:shd w:val="clear" w:color="auto" w:fill="auto"/>
            <w:noWrap/>
            <w:vAlign w:val="bottom"/>
            <w:hideMark/>
          </w:tcPr>
          <w:p w14:paraId="23CBAAA7" w14:textId="77777777" w:rsidR="00B71716" w:rsidRPr="00111781" w:rsidRDefault="00B71716" w:rsidP="00B71716">
            <w:pPr>
              <w:spacing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126</w:t>
            </w:r>
          </w:p>
        </w:tc>
        <w:tc>
          <w:tcPr>
            <w:tcW w:w="1596" w:type="dxa"/>
            <w:tcBorders>
              <w:top w:val="nil"/>
              <w:left w:val="nil"/>
              <w:bottom w:val="nil"/>
              <w:right w:val="nil"/>
            </w:tcBorders>
            <w:shd w:val="clear" w:color="auto" w:fill="auto"/>
            <w:noWrap/>
            <w:vAlign w:val="bottom"/>
            <w:hideMark/>
          </w:tcPr>
          <w:p w14:paraId="575E8788" w14:textId="77777777" w:rsidR="00B71716" w:rsidRPr="00111781" w:rsidRDefault="00B71716" w:rsidP="00B71716">
            <w:pPr>
              <w:spacing w:after="0" w:line="240" w:lineRule="auto"/>
              <w:jc w:val="right"/>
              <w:rPr>
                <w:rFonts w:ascii="Calibri" w:hAnsi="Calibri" w:cs="Calibri"/>
                <w:color w:val="000000"/>
                <w:szCs w:val="22"/>
                <w:lang w:eastAsia="en-AU"/>
              </w:rPr>
            </w:pPr>
          </w:p>
        </w:tc>
      </w:tr>
      <w:tr w:rsidR="00B71716" w:rsidRPr="00111781" w14:paraId="7C42500E" w14:textId="77777777" w:rsidTr="00B71716">
        <w:trPr>
          <w:trHeight w:val="285"/>
        </w:trPr>
        <w:tc>
          <w:tcPr>
            <w:tcW w:w="1036" w:type="dxa"/>
            <w:tcBorders>
              <w:top w:val="nil"/>
              <w:left w:val="nil"/>
              <w:bottom w:val="nil"/>
              <w:right w:val="nil"/>
            </w:tcBorders>
            <w:shd w:val="clear" w:color="auto" w:fill="auto"/>
            <w:noWrap/>
            <w:vAlign w:val="bottom"/>
            <w:hideMark/>
          </w:tcPr>
          <w:p w14:paraId="0315364F" w14:textId="77777777" w:rsidR="00B71716" w:rsidRPr="00111781" w:rsidRDefault="00B71716" w:rsidP="00B71716">
            <w:pPr>
              <w:spacing w:after="0" w:line="240" w:lineRule="auto"/>
              <w:jc w:val="right"/>
              <w:rPr>
                <w:rFonts w:ascii="Times New Roman" w:hAnsi="Times New Roman"/>
                <w:sz w:val="20"/>
                <w:szCs w:val="20"/>
                <w:lang w:eastAsia="en-AU"/>
              </w:rPr>
            </w:pPr>
          </w:p>
        </w:tc>
        <w:tc>
          <w:tcPr>
            <w:tcW w:w="856" w:type="dxa"/>
            <w:tcBorders>
              <w:top w:val="nil"/>
              <w:left w:val="nil"/>
              <w:bottom w:val="nil"/>
              <w:right w:val="nil"/>
            </w:tcBorders>
            <w:shd w:val="clear" w:color="auto" w:fill="auto"/>
            <w:noWrap/>
            <w:vAlign w:val="bottom"/>
            <w:hideMark/>
          </w:tcPr>
          <w:p w14:paraId="5FD12F24" w14:textId="77777777" w:rsidR="00B71716" w:rsidRPr="00111781" w:rsidRDefault="00B71716" w:rsidP="00B71716">
            <w:pPr>
              <w:spacing w:after="0" w:line="240" w:lineRule="auto"/>
              <w:rPr>
                <w:rFonts w:ascii="Times New Roman" w:hAnsi="Times New Roman"/>
                <w:sz w:val="20"/>
                <w:szCs w:val="20"/>
                <w:lang w:eastAsia="en-AU"/>
              </w:rPr>
            </w:pPr>
          </w:p>
        </w:tc>
        <w:tc>
          <w:tcPr>
            <w:tcW w:w="4516" w:type="dxa"/>
            <w:tcBorders>
              <w:top w:val="nil"/>
              <w:left w:val="nil"/>
              <w:bottom w:val="nil"/>
              <w:right w:val="nil"/>
            </w:tcBorders>
            <w:shd w:val="clear" w:color="auto" w:fill="auto"/>
            <w:noWrap/>
            <w:vAlign w:val="bottom"/>
            <w:hideMark/>
          </w:tcPr>
          <w:p w14:paraId="770A6BFE" w14:textId="77777777" w:rsidR="00B71716" w:rsidRPr="00111781" w:rsidRDefault="00B71716" w:rsidP="00B71716">
            <w:pPr>
              <w:spacing w:after="0" w:line="240" w:lineRule="auto"/>
              <w:rPr>
                <w:rFonts w:ascii="Calibri" w:hAnsi="Calibri" w:cs="Calibri"/>
                <w:color w:val="000000"/>
                <w:szCs w:val="22"/>
                <w:lang w:eastAsia="en-AU"/>
              </w:rPr>
            </w:pPr>
            <w:r w:rsidRPr="00111781">
              <w:rPr>
                <w:rFonts w:ascii="Calibri" w:hAnsi="Calibri" w:cs="Calibri"/>
                <w:color w:val="000000"/>
                <w:szCs w:val="22"/>
                <w:lang w:eastAsia="en-AU"/>
              </w:rPr>
              <w:t>Involvement with child protective services</w:t>
            </w:r>
          </w:p>
        </w:tc>
        <w:tc>
          <w:tcPr>
            <w:tcW w:w="1036" w:type="dxa"/>
            <w:tcBorders>
              <w:top w:val="nil"/>
              <w:left w:val="nil"/>
              <w:bottom w:val="nil"/>
              <w:right w:val="nil"/>
            </w:tcBorders>
            <w:shd w:val="clear" w:color="auto" w:fill="auto"/>
            <w:noWrap/>
            <w:vAlign w:val="bottom"/>
            <w:hideMark/>
          </w:tcPr>
          <w:p w14:paraId="65DDE00A" w14:textId="77777777" w:rsidR="00B71716" w:rsidRPr="00111781" w:rsidRDefault="00B71716" w:rsidP="00B71716">
            <w:pPr>
              <w:spacing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8</w:t>
            </w:r>
          </w:p>
        </w:tc>
        <w:tc>
          <w:tcPr>
            <w:tcW w:w="1596" w:type="dxa"/>
            <w:tcBorders>
              <w:top w:val="nil"/>
              <w:left w:val="nil"/>
              <w:bottom w:val="nil"/>
              <w:right w:val="nil"/>
            </w:tcBorders>
            <w:shd w:val="clear" w:color="auto" w:fill="auto"/>
            <w:noWrap/>
            <w:vAlign w:val="bottom"/>
            <w:hideMark/>
          </w:tcPr>
          <w:p w14:paraId="0BE8C7B6" w14:textId="77777777" w:rsidR="00B71716" w:rsidRPr="00111781" w:rsidRDefault="00B71716" w:rsidP="00B71716">
            <w:pPr>
              <w:spacing w:after="0" w:line="240" w:lineRule="auto"/>
              <w:jc w:val="right"/>
              <w:rPr>
                <w:rFonts w:ascii="Calibri" w:hAnsi="Calibri" w:cs="Calibri"/>
                <w:color w:val="000000"/>
                <w:szCs w:val="22"/>
                <w:lang w:eastAsia="en-AU"/>
              </w:rPr>
            </w:pPr>
          </w:p>
        </w:tc>
      </w:tr>
      <w:tr w:rsidR="00B71716" w:rsidRPr="00111781" w14:paraId="7F06EA16" w14:textId="77777777" w:rsidTr="00B71716">
        <w:trPr>
          <w:trHeight w:val="285"/>
        </w:trPr>
        <w:tc>
          <w:tcPr>
            <w:tcW w:w="1036" w:type="dxa"/>
            <w:tcBorders>
              <w:top w:val="nil"/>
              <w:left w:val="nil"/>
              <w:bottom w:val="nil"/>
              <w:right w:val="nil"/>
            </w:tcBorders>
            <w:shd w:val="clear" w:color="auto" w:fill="auto"/>
            <w:noWrap/>
            <w:vAlign w:val="bottom"/>
            <w:hideMark/>
          </w:tcPr>
          <w:p w14:paraId="1706191B" w14:textId="77777777" w:rsidR="00B71716" w:rsidRPr="00111781" w:rsidRDefault="00B71716" w:rsidP="00B71716">
            <w:pPr>
              <w:spacing w:after="0" w:line="240" w:lineRule="auto"/>
              <w:jc w:val="right"/>
              <w:rPr>
                <w:rFonts w:ascii="Times New Roman" w:hAnsi="Times New Roman"/>
                <w:sz w:val="20"/>
                <w:szCs w:val="20"/>
                <w:lang w:eastAsia="en-AU"/>
              </w:rPr>
            </w:pPr>
          </w:p>
        </w:tc>
        <w:tc>
          <w:tcPr>
            <w:tcW w:w="856" w:type="dxa"/>
            <w:tcBorders>
              <w:top w:val="nil"/>
              <w:left w:val="nil"/>
              <w:bottom w:val="nil"/>
              <w:right w:val="nil"/>
            </w:tcBorders>
            <w:shd w:val="clear" w:color="auto" w:fill="auto"/>
            <w:noWrap/>
            <w:vAlign w:val="bottom"/>
            <w:hideMark/>
          </w:tcPr>
          <w:p w14:paraId="5FFDE990" w14:textId="77777777" w:rsidR="00B71716" w:rsidRPr="00111781" w:rsidRDefault="00B71716" w:rsidP="00B71716">
            <w:pPr>
              <w:spacing w:after="0" w:line="240" w:lineRule="auto"/>
              <w:rPr>
                <w:rFonts w:ascii="Times New Roman" w:hAnsi="Times New Roman"/>
                <w:sz w:val="20"/>
                <w:szCs w:val="20"/>
                <w:lang w:eastAsia="en-AU"/>
              </w:rPr>
            </w:pPr>
          </w:p>
        </w:tc>
        <w:tc>
          <w:tcPr>
            <w:tcW w:w="4516" w:type="dxa"/>
            <w:tcBorders>
              <w:top w:val="nil"/>
              <w:left w:val="nil"/>
              <w:bottom w:val="nil"/>
              <w:right w:val="nil"/>
            </w:tcBorders>
            <w:shd w:val="clear" w:color="auto" w:fill="auto"/>
            <w:noWrap/>
            <w:vAlign w:val="bottom"/>
            <w:hideMark/>
          </w:tcPr>
          <w:p w14:paraId="2AF62177" w14:textId="77777777" w:rsidR="00B71716" w:rsidRPr="00111781" w:rsidRDefault="00B71716" w:rsidP="00B71716">
            <w:pPr>
              <w:spacing w:after="0" w:line="240" w:lineRule="auto"/>
              <w:rPr>
                <w:rFonts w:ascii="Calibri" w:hAnsi="Calibri" w:cs="Calibri"/>
                <w:color w:val="000000"/>
                <w:szCs w:val="22"/>
                <w:lang w:eastAsia="en-AU"/>
              </w:rPr>
            </w:pPr>
            <w:r w:rsidRPr="00111781">
              <w:rPr>
                <w:rFonts w:ascii="Calibri" w:hAnsi="Calibri" w:cs="Calibri"/>
                <w:color w:val="000000"/>
                <w:szCs w:val="22"/>
                <w:lang w:eastAsia="en-AU"/>
              </w:rPr>
              <w:t>Involvement with the Health system</w:t>
            </w:r>
          </w:p>
        </w:tc>
        <w:tc>
          <w:tcPr>
            <w:tcW w:w="1036" w:type="dxa"/>
            <w:tcBorders>
              <w:top w:val="nil"/>
              <w:left w:val="nil"/>
              <w:bottom w:val="nil"/>
              <w:right w:val="nil"/>
            </w:tcBorders>
            <w:shd w:val="clear" w:color="auto" w:fill="auto"/>
            <w:noWrap/>
            <w:vAlign w:val="bottom"/>
            <w:hideMark/>
          </w:tcPr>
          <w:p w14:paraId="3F6E9824" w14:textId="77777777" w:rsidR="00B71716" w:rsidRPr="00111781" w:rsidRDefault="00B71716" w:rsidP="00B71716">
            <w:pPr>
              <w:spacing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27</w:t>
            </w:r>
          </w:p>
        </w:tc>
        <w:tc>
          <w:tcPr>
            <w:tcW w:w="1596" w:type="dxa"/>
            <w:tcBorders>
              <w:top w:val="nil"/>
              <w:left w:val="nil"/>
              <w:bottom w:val="nil"/>
              <w:right w:val="nil"/>
            </w:tcBorders>
            <w:shd w:val="clear" w:color="auto" w:fill="auto"/>
            <w:noWrap/>
            <w:vAlign w:val="bottom"/>
            <w:hideMark/>
          </w:tcPr>
          <w:p w14:paraId="10CF629D" w14:textId="77777777" w:rsidR="00B71716" w:rsidRPr="00111781" w:rsidRDefault="00B71716" w:rsidP="00B71716">
            <w:pPr>
              <w:spacing w:after="0" w:line="240" w:lineRule="auto"/>
              <w:jc w:val="right"/>
              <w:rPr>
                <w:rFonts w:ascii="Calibri" w:hAnsi="Calibri" w:cs="Calibri"/>
                <w:color w:val="000000"/>
                <w:szCs w:val="22"/>
                <w:lang w:eastAsia="en-AU"/>
              </w:rPr>
            </w:pPr>
          </w:p>
        </w:tc>
      </w:tr>
      <w:tr w:rsidR="00B71716" w:rsidRPr="00111781" w14:paraId="70D11442" w14:textId="77777777" w:rsidTr="00B71716">
        <w:trPr>
          <w:trHeight w:val="285"/>
        </w:trPr>
        <w:tc>
          <w:tcPr>
            <w:tcW w:w="1036" w:type="dxa"/>
            <w:tcBorders>
              <w:top w:val="nil"/>
              <w:left w:val="nil"/>
              <w:bottom w:val="nil"/>
              <w:right w:val="nil"/>
            </w:tcBorders>
            <w:shd w:val="clear" w:color="auto" w:fill="auto"/>
            <w:noWrap/>
            <w:vAlign w:val="bottom"/>
            <w:hideMark/>
          </w:tcPr>
          <w:p w14:paraId="474F5204" w14:textId="77777777" w:rsidR="00B71716" w:rsidRPr="00111781" w:rsidRDefault="00B71716" w:rsidP="00B71716">
            <w:pPr>
              <w:spacing w:after="0" w:line="240" w:lineRule="auto"/>
              <w:jc w:val="right"/>
              <w:rPr>
                <w:rFonts w:ascii="Times New Roman" w:hAnsi="Times New Roman"/>
                <w:sz w:val="20"/>
                <w:szCs w:val="20"/>
                <w:lang w:eastAsia="en-AU"/>
              </w:rPr>
            </w:pPr>
          </w:p>
        </w:tc>
        <w:tc>
          <w:tcPr>
            <w:tcW w:w="856" w:type="dxa"/>
            <w:tcBorders>
              <w:top w:val="nil"/>
              <w:left w:val="nil"/>
              <w:bottom w:val="nil"/>
              <w:right w:val="nil"/>
            </w:tcBorders>
            <w:shd w:val="clear" w:color="auto" w:fill="auto"/>
            <w:noWrap/>
            <w:vAlign w:val="bottom"/>
            <w:hideMark/>
          </w:tcPr>
          <w:p w14:paraId="490A3F64" w14:textId="77777777" w:rsidR="00B71716" w:rsidRPr="00111781" w:rsidRDefault="00B71716" w:rsidP="00B71716">
            <w:pPr>
              <w:spacing w:after="0" w:line="240" w:lineRule="auto"/>
              <w:rPr>
                <w:rFonts w:ascii="Times New Roman" w:hAnsi="Times New Roman"/>
                <w:sz w:val="20"/>
                <w:szCs w:val="20"/>
                <w:lang w:eastAsia="en-AU"/>
              </w:rPr>
            </w:pPr>
          </w:p>
        </w:tc>
        <w:tc>
          <w:tcPr>
            <w:tcW w:w="4516" w:type="dxa"/>
            <w:tcBorders>
              <w:top w:val="nil"/>
              <w:left w:val="nil"/>
              <w:bottom w:val="nil"/>
              <w:right w:val="nil"/>
            </w:tcBorders>
            <w:shd w:val="clear" w:color="auto" w:fill="auto"/>
            <w:noWrap/>
            <w:vAlign w:val="bottom"/>
            <w:hideMark/>
          </w:tcPr>
          <w:p w14:paraId="292EB44C" w14:textId="77777777" w:rsidR="00B71716" w:rsidRPr="00111781" w:rsidRDefault="00B71716" w:rsidP="00B71716">
            <w:pPr>
              <w:spacing w:after="0" w:line="240" w:lineRule="auto"/>
              <w:rPr>
                <w:rFonts w:ascii="Calibri" w:hAnsi="Calibri" w:cs="Calibri"/>
                <w:color w:val="000000"/>
                <w:szCs w:val="22"/>
                <w:lang w:eastAsia="en-AU"/>
              </w:rPr>
            </w:pPr>
            <w:r w:rsidRPr="00111781">
              <w:rPr>
                <w:rFonts w:ascii="Calibri" w:hAnsi="Calibri" w:cs="Calibri"/>
                <w:color w:val="000000"/>
                <w:szCs w:val="22"/>
                <w:lang w:eastAsia="en-AU"/>
              </w:rPr>
              <w:t>Involvement with the Justice system</w:t>
            </w:r>
          </w:p>
        </w:tc>
        <w:tc>
          <w:tcPr>
            <w:tcW w:w="1036" w:type="dxa"/>
            <w:tcBorders>
              <w:top w:val="nil"/>
              <w:left w:val="nil"/>
              <w:bottom w:val="nil"/>
              <w:right w:val="nil"/>
            </w:tcBorders>
            <w:shd w:val="clear" w:color="auto" w:fill="auto"/>
            <w:noWrap/>
            <w:vAlign w:val="bottom"/>
            <w:hideMark/>
          </w:tcPr>
          <w:p w14:paraId="7FC7A0B2" w14:textId="77777777" w:rsidR="00B71716" w:rsidRPr="00111781" w:rsidRDefault="00B71716" w:rsidP="00B71716">
            <w:pPr>
              <w:spacing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17</w:t>
            </w:r>
          </w:p>
        </w:tc>
        <w:tc>
          <w:tcPr>
            <w:tcW w:w="1596" w:type="dxa"/>
            <w:tcBorders>
              <w:top w:val="nil"/>
              <w:left w:val="nil"/>
              <w:bottom w:val="nil"/>
              <w:right w:val="nil"/>
            </w:tcBorders>
            <w:shd w:val="clear" w:color="auto" w:fill="auto"/>
            <w:noWrap/>
            <w:vAlign w:val="bottom"/>
            <w:hideMark/>
          </w:tcPr>
          <w:p w14:paraId="286CCBBF" w14:textId="77777777" w:rsidR="00B71716" w:rsidRPr="00111781" w:rsidRDefault="00B71716" w:rsidP="00B71716">
            <w:pPr>
              <w:spacing w:after="0" w:line="240" w:lineRule="auto"/>
              <w:jc w:val="right"/>
              <w:rPr>
                <w:rFonts w:ascii="Calibri" w:hAnsi="Calibri" w:cs="Calibri"/>
                <w:color w:val="000000"/>
                <w:szCs w:val="22"/>
                <w:lang w:eastAsia="en-AU"/>
              </w:rPr>
            </w:pPr>
          </w:p>
        </w:tc>
      </w:tr>
      <w:tr w:rsidR="00B71716" w:rsidRPr="00111781" w14:paraId="626C0A82" w14:textId="77777777" w:rsidTr="00B71716">
        <w:trPr>
          <w:trHeight w:val="285"/>
        </w:trPr>
        <w:tc>
          <w:tcPr>
            <w:tcW w:w="1036" w:type="dxa"/>
            <w:tcBorders>
              <w:top w:val="nil"/>
              <w:left w:val="nil"/>
              <w:bottom w:val="nil"/>
              <w:right w:val="nil"/>
            </w:tcBorders>
            <w:shd w:val="clear" w:color="auto" w:fill="auto"/>
            <w:noWrap/>
            <w:vAlign w:val="bottom"/>
            <w:hideMark/>
          </w:tcPr>
          <w:p w14:paraId="200318D2" w14:textId="77777777" w:rsidR="00B71716" w:rsidRPr="00111781" w:rsidRDefault="00B71716" w:rsidP="00B71716">
            <w:pPr>
              <w:spacing w:after="0" w:line="240" w:lineRule="auto"/>
              <w:jc w:val="right"/>
              <w:rPr>
                <w:rFonts w:ascii="Times New Roman" w:hAnsi="Times New Roman"/>
                <w:sz w:val="20"/>
                <w:szCs w:val="20"/>
                <w:lang w:eastAsia="en-AU"/>
              </w:rPr>
            </w:pPr>
          </w:p>
        </w:tc>
        <w:tc>
          <w:tcPr>
            <w:tcW w:w="856" w:type="dxa"/>
            <w:tcBorders>
              <w:top w:val="nil"/>
              <w:left w:val="nil"/>
              <w:bottom w:val="nil"/>
              <w:right w:val="nil"/>
            </w:tcBorders>
            <w:shd w:val="clear" w:color="auto" w:fill="auto"/>
            <w:noWrap/>
            <w:vAlign w:val="bottom"/>
            <w:hideMark/>
          </w:tcPr>
          <w:p w14:paraId="31DBF90C" w14:textId="77777777" w:rsidR="00B71716" w:rsidRPr="00111781" w:rsidRDefault="00B71716" w:rsidP="00B71716">
            <w:pPr>
              <w:spacing w:after="0" w:line="240" w:lineRule="auto"/>
              <w:rPr>
                <w:rFonts w:ascii="Times New Roman" w:hAnsi="Times New Roman"/>
                <w:sz w:val="20"/>
                <w:szCs w:val="20"/>
                <w:lang w:eastAsia="en-AU"/>
              </w:rPr>
            </w:pPr>
          </w:p>
        </w:tc>
        <w:tc>
          <w:tcPr>
            <w:tcW w:w="4516" w:type="dxa"/>
            <w:tcBorders>
              <w:top w:val="nil"/>
              <w:left w:val="nil"/>
              <w:bottom w:val="nil"/>
              <w:right w:val="nil"/>
            </w:tcBorders>
            <w:shd w:val="clear" w:color="auto" w:fill="auto"/>
            <w:noWrap/>
            <w:vAlign w:val="bottom"/>
            <w:hideMark/>
          </w:tcPr>
          <w:p w14:paraId="5EEE0325" w14:textId="77777777" w:rsidR="00B71716" w:rsidRPr="00111781" w:rsidRDefault="00B71716" w:rsidP="00B71716">
            <w:pPr>
              <w:spacing w:after="0" w:line="240" w:lineRule="auto"/>
              <w:rPr>
                <w:rFonts w:ascii="Calibri" w:hAnsi="Calibri" w:cs="Calibri"/>
                <w:color w:val="000000"/>
                <w:szCs w:val="22"/>
                <w:lang w:eastAsia="en-AU"/>
              </w:rPr>
            </w:pPr>
            <w:r w:rsidRPr="00111781">
              <w:rPr>
                <w:rFonts w:ascii="Calibri" w:hAnsi="Calibri" w:cs="Calibri"/>
                <w:color w:val="000000"/>
                <w:szCs w:val="22"/>
                <w:lang w:eastAsia="en-AU"/>
              </w:rPr>
              <w:t>Involvement with the Mental Health system</w:t>
            </w:r>
          </w:p>
        </w:tc>
        <w:tc>
          <w:tcPr>
            <w:tcW w:w="1036" w:type="dxa"/>
            <w:tcBorders>
              <w:top w:val="nil"/>
              <w:left w:val="nil"/>
              <w:bottom w:val="nil"/>
              <w:right w:val="nil"/>
            </w:tcBorders>
            <w:shd w:val="clear" w:color="auto" w:fill="auto"/>
            <w:noWrap/>
            <w:vAlign w:val="bottom"/>
            <w:hideMark/>
          </w:tcPr>
          <w:p w14:paraId="6BFB8EB6" w14:textId="77777777" w:rsidR="00B71716" w:rsidRPr="00111781" w:rsidRDefault="00B71716" w:rsidP="00B71716">
            <w:pPr>
              <w:spacing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73</w:t>
            </w:r>
          </w:p>
        </w:tc>
        <w:tc>
          <w:tcPr>
            <w:tcW w:w="1596" w:type="dxa"/>
            <w:tcBorders>
              <w:top w:val="nil"/>
              <w:left w:val="nil"/>
              <w:bottom w:val="nil"/>
              <w:right w:val="nil"/>
            </w:tcBorders>
            <w:shd w:val="clear" w:color="auto" w:fill="auto"/>
            <w:noWrap/>
            <w:vAlign w:val="bottom"/>
            <w:hideMark/>
          </w:tcPr>
          <w:p w14:paraId="2C9EC804" w14:textId="77777777" w:rsidR="00B71716" w:rsidRPr="00111781" w:rsidRDefault="00B71716" w:rsidP="00B71716">
            <w:pPr>
              <w:spacing w:after="0" w:line="240" w:lineRule="auto"/>
              <w:jc w:val="right"/>
              <w:rPr>
                <w:rFonts w:ascii="Calibri" w:hAnsi="Calibri" w:cs="Calibri"/>
                <w:color w:val="000000"/>
                <w:szCs w:val="22"/>
                <w:lang w:eastAsia="en-AU"/>
              </w:rPr>
            </w:pPr>
          </w:p>
        </w:tc>
      </w:tr>
      <w:tr w:rsidR="00B71716" w:rsidRPr="00111781" w14:paraId="5E5D7FF8" w14:textId="77777777" w:rsidTr="00B71716">
        <w:trPr>
          <w:trHeight w:val="285"/>
        </w:trPr>
        <w:tc>
          <w:tcPr>
            <w:tcW w:w="1036" w:type="dxa"/>
            <w:tcBorders>
              <w:top w:val="nil"/>
              <w:left w:val="nil"/>
              <w:bottom w:val="nil"/>
              <w:right w:val="nil"/>
            </w:tcBorders>
            <w:shd w:val="clear" w:color="auto" w:fill="auto"/>
            <w:noWrap/>
            <w:vAlign w:val="bottom"/>
            <w:hideMark/>
          </w:tcPr>
          <w:p w14:paraId="65DBFAE3" w14:textId="77777777" w:rsidR="00B71716" w:rsidRPr="00111781" w:rsidRDefault="00B71716" w:rsidP="00B71716">
            <w:pPr>
              <w:spacing w:after="0" w:line="240" w:lineRule="auto"/>
              <w:jc w:val="right"/>
              <w:rPr>
                <w:rFonts w:ascii="Times New Roman" w:hAnsi="Times New Roman"/>
                <w:sz w:val="20"/>
                <w:szCs w:val="20"/>
                <w:lang w:eastAsia="en-AU"/>
              </w:rPr>
            </w:pPr>
          </w:p>
        </w:tc>
        <w:tc>
          <w:tcPr>
            <w:tcW w:w="856" w:type="dxa"/>
            <w:tcBorders>
              <w:top w:val="nil"/>
              <w:left w:val="nil"/>
              <w:bottom w:val="nil"/>
              <w:right w:val="nil"/>
            </w:tcBorders>
            <w:shd w:val="clear" w:color="auto" w:fill="auto"/>
            <w:noWrap/>
            <w:vAlign w:val="bottom"/>
            <w:hideMark/>
          </w:tcPr>
          <w:p w14:paraId="4334B241" w14:textId="77777777" w:rsidR="00B71716" w:rsidRPr="00111781" w:rsidRDefault="00B71716" w:rsidP="00B71716">
            <w:pPr>
              <w:spacing w:after="0" w:line="240" w:lineRule="auto"/>
              <w:rPr>
                <w:rFonts w:ascii="Times New Roman" w:hAnsi="Times New Roman"/>
                <w:sz w:val="20"/>
                <w:szCs w:val="20"/>
                <w:lang w:eastAsia="en-AU"/>
              </w:rPr>
            </w:pPr>
          </w:p>
        </w:tc>
        <w:tc>
          <w:tcPr>
            <w:tcW w:w="4516" w:type="dxa"/>
            <w:tcBorders>
              <w:top w:val="nil"/>
              <w:left w:val="nil"/>
              <w:bottom w:val="nil"/>
              <w:right w:val="nil"/>
            </w:tcBorders>
            <w:shd w:val="clear" w:color="auto" w:fill="auto"/>
            <w:noWrap/>
            <w:vAlign w:val="bottom"/>
            <w:hideMark/>
          </w:tcPr>
          <w:p w14:paraId="57A72EA5" w14:textId="77777777" w:rsidR="00B71716" w:rsidRPr="00111781" w:rsidRDefault="00B71716" w:rsidP="00B71716">
            <w:pPr>
              <w:spacing w:after="0" w:line="240" w:lineRule="auto"/>
              <w:rPr>
                <w:rFonts w:ascii="Calibri" w:hAnsi="Calibri" w:cs="Calibri"/>
                <w:color w:val="000000"/>
                <w:szCs w:val="22"/>
                <w:lang w:eastAsia="en-AU"/>
              </w:rPr>
            </w:pPr>
            <w:r w:rsidRPr="00111781">
              <w:rPr>
                <w:rFonts w:ascii="Calibri" w:hAnsi="Calibri" w:cs="Calibri"/>
                <w:color w:val="000000"/>
                <w:szCs w:val="22"/>
                <w:lang w:eastAsia="en-AU"/>
              </w:rPr>
              <w:t>Involvement with Social or Community Services</w:t>
            </w:r>
          </w:p>
        </w:tc>
        <w:tc>
          <w:tcPr>
            <w:tcW w:w="1036" w:type="dxa"/>
            <w:tcBorders>
              <w:top w:val="nil"/>
              <w:left w:val="nil"/>
              <w:bottom w:val="nil"/>
              <w:right w:val="nil"/>
            </w:tcBorders>
            <w:shd w:val="clear" w:color="auto" w:fill="auto"/>
            <w:noWrap/>
            <w:vAlign w:val="bottom"/>
            <w:hideMark/>
          </w:tcPr>
          <w:p w14:paraId="43B55146" w14:textId="77777777" w:rsidR="00B71716" w:rsidRPr="00111781" w:rsidRDefault="00B71716" w:rsidP="00B71716">
            <w:pPr>
              <w:spacing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16</w:t>
            </w:r>
          </w:p>
        </w:tc>
        <w:tc>
          <w:tcPr>
            <w:tcW w:w="1596" w:type="dxa"/>
            <w:tcBorders>
              <w:top w:val="nil"/>
              <w:left w:val="nil"/>
              <w:bottom w:val="nil"/>
              <w:right w:val="nil"/>
            </w:tcBorders>
            <w:shd w:val="clear" w:color="auto" w:fill="auto"/>
            <w:noWrap/>
            <w:vAlign w:val="bottom"/>
            <w:hideMark/>
          </w:tcPr>
          <w:p w14:paraId="1DFBC266" w14:textId="77777777" w:rsidR="00B71716" w:rsidRPr="00111781" w:rsidRDefault="00B71716" w:rsidP="00B71716">
            <w:pPr>
              <w:spacing w:after="0" w:line="240" w:lineRule="auto"/>
              <w:jc w:val="right"/>
              <w:rPr>
                <w:rFonts w:ascii="Calibri" w:hAnsi="Calibri" w:cs="Calibri"/>
                <w:color w:val="000000"/>
                <w:szCs w:val="22"/>
                <w:lang w:eastAsia="en-AU"/>
              </w:rPr>
            </w:pPr>
          </w:p>
        </w:tc>
      </w:tr>
      <w:tr w:rsidR="00B71716" w:rsidRPr="00111781" w14:paraId="5C20AEFD" w14:textId="77777777" w:rsidTr="00B71716">
        <w:trPr>
          <w:trHeight w:val="285"/>
        </w:trPr>
        <w:tc>
          <w:tcPr>
            <w:tcW w:w="1036" w:type="dxa"/>
            <w:tcBorders>
              <w:top w:val="nil"/>
              <w:left w:val="nil"/>
              <w:bottom w:val="nil"/>
              <w:right w:val="nil"/>
            </w:tcBorders>
            <w:shd w:val="clear" w:color="auto" w:fill="auto"/>
            <w:noWrap/>
            <w:vAlign w:val="bottom"/>
            <w:hideMark/>
          </w:tcPr>
          <w:p w14:paraId="440340C8" w14:textId="77777777" w:rsidR="00B71716" w:rsidRPr="00111781" w:rsidRDefault="00B71716" w:rsidP="00B71716">
            <w:pPr>
              <w:spacing w:after="0" w:line="240" w:lineRule="auto"/>
              <w:jc w:val="right"/>
              <w:rPr>
                <w:rFonts w:ascii="Times New Roman" w:hAnsi="Times New Roman"/>
                <w:sz w:val="20"/>
                <w:szCs w:val="20"/>
                <w:lang w:eastAsia="en-AU"/>
              </w:rPr>
            </w:pPr>
          </w:p>
        </w:tc>
        <w:tc>
          <w:tcPr>
            <w:tcW w:w="856" w:type="dxa"/>
            <w:tcBorders>
              <w:top w:val="nil"/>
              <w:left w:val="nil"/>
              <w:bottom w:val="nil"/>
              <w:right w:val="nil"/>
            </w:tcBorders>
            <w:shd w:val="clear" w:color="auto" w:fill="auto"/>
            <w:noWrap/>
            <w:vAlign w:val="bottom"/>
            <w:hideMark/>
          </w:tcPr>
          <w:p w14:paraId="4BD923E1" w14:textId="77777777" w:rsidR="00B71716" w:rsidRPr="00111781" w:rsidRDefault="00B71716" w:rsidP="00B71716">
            <w:pPr>
              <w:spacing w:after="0" w:line="240" w:lineRule="auto"/>
              <w:rPr>
                <w:rFonts w:ascii="Times New Roman" w:hAnsi="Times New Roman"/>
                <w:sz w:val="20"/>
                <w:szCs w:val="20"/>
                <w:lang w:eastAsia="en-AU"/>
              </w:rPr>
            </w:pPr>
          </w:p>
        </w:tc>
        <w:tc>
          <w:tcPr>
            <w:tcW w:w="4516" w:type="dxa"/>
            <w:tcBorders>
              <w:top w:val="nil"/>
              <w:left w:val="nil"/>
              <w:bottom w:val="nil"/>
              <w:right w:val="nil"/>
            </w:tcBorders>
            <w:shd w:val="clear" w:color="auto" w:fill="auto"/>
            <w:noWrap/>
            <w:vAlign w:val="bottom"/>
            <w:hideMark/>
          </w:tcPr>
          <w:p w14:paraId="644245CE" w14:textId="77777777" w:rsidR="00B71716" w:rsidRPr="00111781" w:rsidRDefault="00B71716" w:rsidP="00B71716">
            <w:pPr>
              <w:spacing w:after="0" w:line="240" w:lineRule="auto"/>
              <w:rPr>
                <w:rFonts w:ascii="Calibri" w:hAnsi="Calibri" w:cs="Calibri"/>
                <w:color w:val="000000"/>
                <w:szCs w:val="22"/>
                <w:lang w:eastAsia="en-AU"/>
              </w:rPr>
            </w:pPr>
            <w:r w:rsidRPr="00111781">
              <w:rPr>
                <w:rFonts w:ascii="Calibri" w:hAnsi="Calibri" w:cs="Calibri"/>
                <w:color w:val="000000"/>
                <w:szCs w:val="22"/>
                <w:lang w:eastAsia="en-AU"/>
              </w:rPr>
              <w:t>Recent life-stage event (employment, education)</w:t>
            </w:r>
          </w:p>
        </w:tc>
        <w:tc>
          <w:tcPr>
            <w:tcW w:w="1036" w:type="dxa"/>
            <w:tcBorders>
              <w:top w:val="nil"/>
              <w:left w:val="nil"/>
              <w:bottom w:val="nil"/>
              <w:right w:val="nil"/>
            </w:tcBorders>
            <w:shd w:val="clear" w:color="auto" w:fill="auto"/>
            <w:noWrap/>
            <w:vAlign w:val="bottom"/>
            <w:hideMark/>
          </w:tcPr>
          <w:p w14:paraId="5D7CCC39" w14:textId="77777777" w:rsidR="00B71716" w:rsidRPr="00111781" w:rsidRDefault="00B71716" w:rsidP="00B71716">
            <w:pPr>
              <w:spacing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33</w:t>
            </w:r>
          </w:p>
        </w:tc>
        <w:tc>
          <w:tcPr>
            <w:tcW w:w="1596" w:type="dxa"/>
            <w:tcBorders>
              <w:top w:val="nil"/>
              <w:left w:val="nil"/>
              <w:bottom w:val="nil"/>
              <w:right w:val="nil"/>
            </w:tcBorders>
            <w:shd w:val="clear" w:color="auto" w:fill="auto"/>
            <w:noWrap/>
            <w:vAlign w:val="bottom"/>
            <w:hideMark/>
          </w:tcPr>
          <w:p w14:paraId="17B37F20" w14:textId="77777777" w:rsidR="00B71716" w:rsidRPr="00111781" w:rsidRDefault="00B71716" w:rsidP="00B71716">
            <w:pPr>
              <w:spacing w:after="0" w:line="240" w:lineRule="auto"/>
              <w:jc w:val="right"/>
              <w:rPr>
                <w:rFonts w:ascii="Calibri" w:hAnsi="Calibri" w:cs="Calibri"/>
                <w:color w:val="000000"/>
                <w:szCs w:val="22"/>
                <w:lang w:eastAsia="en-AU"/>
              </w:rPr>
            </w:pPr>
          </w:p>
        </w:tc>
      </w:tr>
      <w:tr w:rsidR="00B71716" w:rsidRPr="00111781" w14:paraId="5377678E" w14:textId="77777777" w:rsidTr="00B71716">
        <w:trPr>
          <w:trHeight w:val="285"/>
        </w:trPr>
        <w:tc>
          <w:tcPr>
            <w:tcW w:w="1036" w:type="dxa"/>
            <w:tcBorders>
              <w:top w:val="nil"/>
              <w:left w:val="nil"/>
              <w:bottom w:val="nil"/>
              <w:right w:val="nil"/>
            </w:tcBorders>
            <w:shd w:val="clear" w:color="auto" w:fill="auto"/>
            <w:noWrap/>
            <w:vAlign w:val="bottom"/>
            <w:hideMark/>
          </w:tcPr>
          <w:p w14:paraId="6CE5FADF" w14:textId="77777777" w:rsidR="00B71716" w:rsidRPr="00111781" w:rsidRDefault="00B71716" w:rsidP="00B71716">
            <w:pPr>
              <w:spacing w:after="0" w:line="240" w:lineRule="auto"/>
              <w:jc w:val="right"/>
              <w:rPr>
                <w:rFonts w:ascii="Times New Roman" w:hAnsi="Times New Roman"/>
                <w:sz w:val="20"/>
                <w:szCs w:val="20"/>
                <w:lang w:eastAsia="en-AU"/>
              </w:rPr>
            </w:pPr>
          </w:p>
        </w:tc>
        <w:tc>
          <w:tcPr>
            <w:tcW w:w="856" w:type="dxa"/>
            <w:tcBorders>
              <w:top w:val="nil"/>
              <w:left w:val="nil"/>
              <w:bottom w:val="nil"/>
              <w:right w:val="nil"/>
            </w:tcBorders>
            <w:shd w:val="clear" w:color="auto" w:fill="auto"/>
            <w:noWrap/>
            <w:vAlign w:val="bottom"/>
            <w:hideMark/>
          </w:tcPr>
          <w:p w14:paraId="4DD62A7B" w14:textId="77777777" w:rsidR="00B71716" w:rsidRPr="00111781" w:rsidRDefault="00B71716" w:rsidP="00B71716">
            <w:pPr>
              <w:spacing w:after="0" w:line="240" w:lineRule="auto"/>
              <w:rPr>
                <w:rFonts w:ascii="Times New Roman" w:hAnsi="Times New Roman"/>
                <w:sz w:val="20"/>
                <w:szCs w:val="20"/>
                <w:lang w:eastAsia="en-AU"/>
              </w:rPr>
            </w:pPr>
          </w:p>
        </w:tc>
        <w:tc>
          <w:tcPr>
            <w:tcW w:w="4516" w:type="dxa"/>
            <w:tcBorders>
              <w:top w:val="nil"/>
              <w:left w:val="nil"/>
              <w:bottom w:val="nil"/>
              <w:right w:val="nil"/>
            </w:tcBorders>
            <w:shd w:val="clear" w:color="auto" w:fill="auto"/>
            <w:noWrap/>
            <w:vAlign w:val="bottom"/>
            <w:hideMark/>
          </w:tcPr>
          <w:p w14:paraId="2C28990F" w14:textId="77777777" w:rsidR="00B71716" w:rsidRPr="00111781" w:rsidRDefault="00B71716" w:rsidP="00B71716">
            <w:pPr>
              <w:spacing w:after="0" w:line="240" w:lineRule="auto"/>
              <w:rPr>
                <w:rFonts w:ascii="Calibri" w:hAnsi="Calibri" w:cs="Calibri"/>
                <w:color w:val="000000"/>
                <w:szCs w:val="22"/>
                <w:lang w:eastAsia="en-AU"/>
              </w:rPr>
            </w:pPr>
            <w:r w:rsidRPr="00111781">
              <w:rPr>
                <w:rFonts w:ascii="Calibri" w:hAnsi="Calibri" w:cs="Calibri"/>
                <w:color w:val="000000"/>
                <w:szCs w:val="22"/>
                <w:lang w:eastAsia="en-AU"/>
              </w:rPr>
              <w:t>Previous support system now transitioned to NDIS</w:t>
            </w:r>
          </w:p>
        </w:tc>
        <w:tc>
          <w:tcPr>
            <w:tcW w:w="1036" w:type="dxa"/>
            <w:tcBorders>
              <w:top w:val="nil"/>
              <w:left w:val="nil"/>
              <w:bottom w:val="nil"/>
              <w:right w:val="nil"/>
            </w:tcBorders>
            <w:shd w:val="clear" w:color="auto" w:fill="auto"/>
            <w:noWrap/>
            <w:vAlign w:val="bottom"/>
            <w:hideMark/>
          </w:tcPr>
          <w:p w14:paraId="2C84AF44" w14:textId="77777777" w:rsidR="00B71716" w:rsidRPr="00111781" w:rsidRDefault="00B71716" w:rsidP="00B71716">
            <w:pPr>
              <w:spacing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29</w:t>
            </w:r>
          </w:p>
        </w:tc>
        <w:tc>
          <w:tcPr>
            <w:tcW w:w="1596" w:type="dxa"/>
            <w:tcBorders>
              <w:top w:val="nil"/>
              <w:left w:val="nil"/>
              <w:bottom w:val="nil"/>
              <w:right w:val="nil"/>
            </w:tcBorders>
            <w:shd w:val="clear" w:color="auto" w:fill="auto"/>
            <w:noWrap/>
            <w:vAlign w:val="bottom"/>
            <w:hideMark/>
          </w:tcPr>
          <w:p w14:paraId="79447CDF" w14:textId="77777777" w:rsidR="00B71716" w:rsidRPr="00111781" w:rsidRDefault="00B71716" w:rsidP="00B71716">
            <w:pPr>
              <w:spacing w:after="0" w:line="240" w:lineRule="auto"/>
              <w:jc w:val="right"/>
              <w:rPr>
                <w:rFonts w:ascii="Calibri" w:hAnsi="Calibri" w:cs="Calibri"/>
                <w:color w:val="000000"/>
                <w:szCs w:val="22"/>
                <w:lang w:eastAsia="en-AU"/>
              </w:rPr>
            </w:pPr>
          </w:p>
        </w:tc>
      </w:tr>
      <w:tr w:rsidR="00B71716" w:rsidRPr="00111781" w14:paraId="3BC90226" w14:textId="77777777" w:rsidTr="00B71716">
        <w:trPr>
          <w:trHeight w:val="285"/>
        </w:trPr>
        <w:tc>
          <w:tcPr>
            <w:tcW w:w="1036" w:type="dxa"/>
            <w:tcBorders>
              <w:top w:val="nil"/>
              <w:left w:val="nil"/>
              <w:bottom w:val="nil"/>
              <w:right w:val="nil"/>
            </w:tcBorders>
            <w:shd w:val="clear" w:color="auto" w:fill="auto"/>
            <w:noWrap/>
            <w:vAlign w:val="bottom"/>
            <w:hideMark/>
          </w:tcPr>
          <w:p w14:paraId="26CC85D5" w14:textId="77777777" w:rsidR="00B71716" w:rsidRPr="00111781" w:rsidRDefault="00B71716" w:rsidP="00B71716">
            <w:pPr>
              <w:spacing w:after="0" w:line="240" w:lineRule="auto"/>
              <w:jc w:val="right"/>
              <w:rPr>
                <w:rFonts w:ascii="Times New Roman" w:hAnsi="Times New Roman"/>
                <w:sz w:val="20"/>
                <w:szCs w:val="20"/>
                <w:lang w:eastAsia="en-AU"/>
              </w:rPr>
            </w:pPr>
          </w:p>
        </w:tc>
        <w:tc>
          <w:tcPr>
            <w:tcW w:w="856" w:type="dxa"/>
            <w:tcBorders>
              <w:top w:val="nil"/>
              <w:left w:val="nil"/>
              <w:bottom w:val="nil"/>
              <w:right w:val="nil"/>
            </w:tcBorders>
            <w:shd w:val="clear" w:color="auto" w:fill="auto"/>
            <w:noWrap/>
            <w:vAlign w:val="bottom"/>
            <w:hideMark/>
          </w:tcPr>
          <w:p w14:paraId="0F370EA7" w14:textId="77777777" w:rsidR="00B71716" w:rsidRPr="00111781" w:rsidRDefault="00B71716" w:rsidP="00B71716">
            <w:pPr>
              <w:spacing w:after="0" w:line="240" w:lineRule="auto"/>
              <w:rPr>
                <w:rFonts w:ascii="Times New Roman" w:hAnsi="Times New Roman"/>
                <w:sz w:val="20"/>
                <w:szCs w:val="20"/>
                <w:lang w:eastAsia="en-AU"/>
              </w:rPr>
            </w:pPr>
          </w:p>
        </w:tc>
        <w:tc>
          <w:tcPr>
            <w:tcW w:w="4516" w:type="dxa"/>
            <w:tcBorders>
              <w:top w:val="nil"/>
              <w:left w:val="nil"/>
              <w:bottom w:val="nil"/>
              <w:right w:val="nil"/>
            </w:tcBorders>
            <w:shd w:val="clear" w:color="auto" w:fill="auto"/>
            <w:noWrap/>
            <w:vAlign w:val="bottom"/>
            <w:hideMark/>
          </w:tcPr>
          <w:p w14:paraId="4E39E114" w14:textId="77777777" w:rsidR="00B71716" w:rsidRPr="00111781" w:rsidRDefault="00B71716" w:rsidP="00B71716">
            <w:pPr>
              <w:spacing w:after="0" w:line="240" w:lineRule="auto"/>
              <w:rPr>
                <w:rFonts w:ascii="Calibri" w:hAnsi="Calibri" w:cs="Calibri"/>
                <w:color w:val="000000"/>
                <w:szCs w:val="22"/>
                <w:lang w:eastAsia="en-AU"/>
              </w:rPr>
            </w:pPr>
            <w:r w:rsidRPr="00111781">
              <w:rPr>
                <w:rFonts w:ascii="Calibri" w:hAnsi="Calibri" w:cs="Calibri"/>
                <w:color w:val="000000"/>
                <w:szCs w:val="22"/>
                <w:lang w:eastAsia="en-AU"/>
              </w:rPr>
              <w:t>Other</w:t>
            </w:r>
          </w:p>
        </w:tc>
        <w:tc>
          <w:tcPr>
            <w:tcW w:w="1036" w:type="dxa"/>
            <w:tcBorders>
              <w:top w:val="nil"/>
              <w:left w:val="nil"/>
              <w:bottom w:val="nil"/>
              <w:right w:val="nil"/>
            </w:tcBorders>
            <w:shd w:val="clear" w:color="auto" w:fill="auto"/>
            <w:noWrap/>
            <w:vAlign w:val="bottom"/>
            <w:hideMark/>
          </w:tcPr>
          <w:p w14:paraId="1D7C8FE3" w14:textId="77777777" w:rsidR="00B71716" w:rsidRPr="00111781" w:rsidRDefault="00B71716" w:rsidP="00B71716">
            <w:pPr>
              <w:spacing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46</w:t>
            </w:r>
          </w:p>
        </w:tc>
        <w:tc>
          <w:tcPr>
            <w:tcW w:w="1596" w:type="dxa"/>
            <w:tcBorders>
              <w:top w:val="nil"/>
              <w:left w:val="nil"/>
              <w:bottom w:val="nil"/>
              <w:right w:val="nil"/>
            </w:tcBorders>
            <w:shd w:val="clear" w:color="auto" w:fill="auto"/>
            <w:noWrap/>
            <w:vAlign w:val="bottom"/>
            <w:hideMark/>
          </w:tcPr>
          <w:p w14:paraId="4EA8C637" w14:textId="77777777" w:rsidR="00B71716" w:rsidRPr="00111781" w:rsidRDefault="00B71716" w:rsidP="00B71716">
            <w:pPr>
              <w:spacing w:after="0" w:line="240" w:lineRule="auto"/>
              <w:jc w:val="right"/>
              <w:rPr>
                <w:rFonts w:ascii="Calibri" w:hAnsi="Calibri" w:cs="Calibri"/>
                <w:color w:val="000000"/>
                <w:szCs w:val="22"/>
                <w:lang w:eastAsia="en-AU"/>
              </w:rPr>
            </w:pPr>
          </w:p>
        </w:tc>
      </w:tr>
      <w:tr w:rsidR="00B71716" w:rsidRPr="00111781" w14:paraId="41E5C201" w14:textId="77777777" w:rsidTr="00B71716">
        <w:trPr>
          <w:trHeight w:val="285"/>
        </w:trPr>
        <w:tc>
          <w:tcPr>
            <w:tcW w:w="1036" w:type="dxa"/>
            <w:tcBorders>
              <w:top w:val="single" w:sz="4" w:space="0" w:color="auto"/>
              <w:left w:val="nil"/>
              <w:bottom w:val="single" w:sz="4" w:space="0" w:color="auto"/>
              <w:right w:val="nil"/>
            </w:tcBorders>
            <w:shd w:val="clear" w:color="auto" w:fill="auto"/>
            <w:noWrap/>
            <w:vAlign w:val="bottom"/>
            <w:hideMark/>
          </w:tcPr>
          <w:p w14:paraId="2964414D" w14:textId="77777777" w:rsidR="00B71716" w:rsidRPr="00111781" w:rsidRDefault="00B71716" w:rsidP="00B71716">
            <w:pPr>
              <w:spacing w:after="0" w:line="240" w:lineRule="auto"/>
              <w:rPr>
                <w:rFonts w:ascii="Calibri" w:hAnsi="Calibri" w:cs="Calibri"/>
                <w:color w:val="000000"/>
                <w:szCs w:val="22"/>
                <w:lang w:eastAsia="en-AU"/>
              </w:rPr>
            </w:pPr>
            <w:r w:rsidRPr="00111781">
              <w:rPr>
                <w:rFonts w:ascii="Calibri" w:hAnsi="Calibri" w:cs="Calibri"/>
                <w:color w:val="000000"/>
                <w:szCs w:val="22"/>
                <w:lang w:eastAsia="en-AU"/>
              </w:rPr>
              <w:t> </w:t>
            </w:r>
          </w:p>
        </w:tc>
        <w:tc>
          <w:tcPr>
            <w:tcW w:w="5372" w:type="dxa"/>
            <w:gridSpan w:val="2"/>
            <w:tcBorders>
              <w:top w:val="single" w:sz="4" w:space="0" w:color="auto"/>
              <w:left w:val="nil"/>
              <w:bottom w:val="single" w:sz="4" w:space="0" w:color="auto"/>
              <w:right w:val="nil"/>
            </w:tcBorders>
            <w:shd w:val="clear" w:color="auto" w:fill="auto"/>
            <w:noWrap/>
            <w:vAlign w:val="bottom"/>
            <w:hideMark/>
          </w:tcPr>
          <w:p w14:paraId="0629E41E" w14:textId="77777777" w:rsidR="00B71716" w:rsidRPr="00111781" w:rsidRDefault="00B71716" w:rsidP="00B71716">
            <w:pPr>
              <w:spacing w:after="0" w:line="240" w:lineRule="auto"/>
              <w:rPr>
                <w:rFonts w:ascii="Calibri" w:hAnsi="Calibri" w:cs="Calibri"/>
                <w:b/>
                <w:bCs/>
                <w:color w:val="000000"/>
                <w:szCs w:val="22"/>
                <w:lang w:eastAsia="en-AU"/>
              </w:rPr>
            </w:pPr>
            <w:r w:rsidRPr="00111781">
              <w:rPr>
                <w:rFonts w:ascii="Calibri" w:hAnsi="Calibri" w:cs="Calibri"/>
                <w:b/>
                <w:bCs/>
                <w:color w:val="000000"/>
                <w:szCs w:val="22"/>
                <w:lang w:eastAsia="en-AU"/>
              </w:rPr>
              <w:t>Sub-total</w:t>
            </w:r>
          </w:p>
        </w:tc>
        <w:tc>
          <w:tcPr>
            <w:tcW w:w="1036" w:type="dxa"/>
            <w:tcBorders>
              <w:top w:val="single" w:sz="4" w:space="0" w:color="auto"/>
              <w:left w:val="nil"/>
              <w:bottom w:val="single" w:sz="4" w:space="0" w:color="auto"/>
              <w:right w:val="nil"/>
            </w:tcBorders>
            <w:shd w:val="clear" w:color="auto" w:fill="auto"/>
            <w:noWrap/>
            <w:vAlign w:val="bottom"/>
            <w:hideMark/>
          </w:tcPr>
          <w:p w14:paraId="10210EC5" w14:textId="77777777" w:rsidR="00B71716" w:rsidRPr="00111781" w:rsidRDefault="00B71716" w:rsidP="00B71716">
            <w:pPr>
              <w:spacing w:after="0" w:line="240" w:lineRule="auto"/>
              <w:jc w:val="right"/>
              <w:rPr>
                <w:rFonts w:ascii="Calibri" w:hAnsi="Calibri" w:cs="Calibri"/>
                <w:b/>
                <w:bCs/>
                <w:color w:val="000000"/>
                <w:szCs w:val="22"/>
                <w:lang w:eastAsia="en-AU"/>
              </w:rPr>
            </w:pPr>
            <w:r w:rsidRPr="00111781">
              <w:rPr>
                <w:rFonts w:ascii="Calibri" w:hAnsi="Calibri" w:cs="Calibri"/>
                <w:b/>
                <w:bCs/>
                <w:color w:val="000000"/>
                <w:szCs w:val="22"/>
                <w:lang w:eastAsia="en-AU"/>
              </w:rPr>
              <w:t>482</w:t>
            </w:r>
          </w:p>
        </w:tc>
        <w:tc>
          <w:tcPr>
            <w:tcW w:w="1596" w:type="dxa"/>
            <w:tcBorders>
              <w:top w:val="single" w:sz="4" w:space="0" w:color="auto"/>
              <w:left w:val="nil"/>
              <w:bottom w:val="single" w:sz="4" w:space="0" w:color="auto"/>
              <w:right w:val="nil"/>
            </w:tcBorders>
            <w:shd w:val="clear" w:color="auto" w:fill="auto"/>
            <w:noWrap/>
            <w:vAlign w:val="bottom"/>
            <w:hideMark/>
          </w:tcPr>
          <w:p w14:paraId="5F405410" w14:textId="77777777" w:rsidR="00B71716" w:rsidRPr="00111781" w:rsidRDefault="00B71716" w:rsidP="00B71716">
            <w:pPr>
              <w:spacing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48%</w:t>
            </w:r>
          </w:p>
        </w:tc>
      </w:tr>
      <w:tr w:rsidR="00B71716" w:rsidRPr="00111781" w14:paraId="3D2EB912" w14:textId="77777777" w:rsidTr="00B71716">
        <w:trPr>
          <w:trHeight w:val="293"/>
        </w:trPr>
        <w:tc>
          <w:tcPr>
            <w:tcW w:w="6408" w:type="dxa"/>
            <w:gridSpan w:val="3"/>
            <w:tcBorders>
              <w:top w:val="single" w:sz="4" w:space="0" w:color="auto"/>
              <w:left w:val="nil"/>
              <w:bottom w:val="single" w:sz="8" w:space="0" w:color="auto"/>
              <w:right w:val="nil"/>
            </w:tcBorders>
            <w:shd w:val="clear" w:color="000000" w:fill="D3C5D7"/>
            <w:noWrap/>
            <w:vAlign w:val="bottom"/>
            <w:hideMark/>
          </w:tcPr>
          <w:p w14:paraId="26507230" w14:textId="77777777" w:rsidR="00B71716" w:rsidRPr="00111781" w:rsidRDefault="00B71716" w:rsidP="00B71716">
            <w:pPr>
              <w:spacing w:after="0" w:line="240" w:lineRule="auto"/>
              <w:rPr>
                <w:rFonts w:ascii="Calibri" w:hAnsi="Calibri" w:cs="Calibri"/>
                <w:b/>
                <w:bCs/>
                <w:color w:val="000000"/>
                <w:szCs w:val="22"/>
                <w:lang w:eastAsia="en-AU"/>
              </w:rPr>
            </w:pPr>
            <w:r w:rsidRPr="00111781">
              <w:rPr>
                <w:rFonts w:ascii="Calibri" w:hAnsi="Calibri" w:cs="Calibri"/>
                <w:b/>
                <w:bCs/>
                <w:color w:val="000000"/>
                <w:szCs w:val="22"/>
                <w:lang w:eastAsia="en-AU"/>
              </w:rPr>
              <w:t>Total likely to be new incidence to disability</w:t>
            </w:r>
          </w:p>
        </w:tc>
        <w:tc>
          <w:tcPr>
            <w:tcW w:w="1036" w:type="dxa"/>
            <w:tcBorders>
              <w:top w:val="single" w:sz="4" w:space="0" w:color="auto"/>
              <w:left w:val="nil"/>
              <w:bottom w:val="single" w:sz="8" w:space="0" w:color="auto"/>
              <w:right w:val="nil"/>
            </w:tcBorders>
            <w:shd w:val="clear" w:color="000000" w:fill="D3C5D7"/>
            <w:noWrap/>
            <w:vAlign w:val="bottom"/>
            <w:hideMark/>
          </w:tcPr>
          <w:p w14:paraId="77395C66" w14:textId="77777777" w:rsidR="00B71716" w:rsidRPr="00111781" w:rsidRDefault="00B71716" w:rsidP="00B71716">
            <w:pPr>
              <w:spacing w:after="0" w:line="240" w:lineRule="auto"/>
              <w:jc w:val="right"/>
              <w:rPr>
                <w:rFonts w:ascii="Calibri" w:hAnsi="Calibri" w:cs="Calibri"/>
                <w:b/>
                <w:bCs/>
                <w:color w:val="000000"/>
                <w:szCs w:val="22"/>
                <w:lang w:eastAsia="en-AU"/>
              </w:rPr>
            </w:pPr>
            <w:r w:rsidRPr="00111781">
              <w:rPr>
                <w:rFonts w:ascii="Calibri" w:hAnsi="Calibri" w:cs="Calibri"/>
                <w:b/>
                <w:bCs/>
                <w:color w:val="000000"/>
                <w:szCs w:val="22"/>
                <w:lang w:eastAsia="en-AU"/>
              </w:rPr>
              <w:t>777</w:t>
            </w:r>
          </w:p>
        </w:tc>
        <w:tc>
          <w:tcPr>
            <w:tcW w:w="1596" w:type="dxa"/>
            <w:tcBorders>
              <w:top w:val="single" w:sz="4" w:space="0" w:color="auto"/>
              <w:left w:val="nil"/>
              <w:bottom w:val="single" w:sz="8" w:space="0" w:color="auto"/>
              <w:right w:val="nil"/>
            </w:tcBorders>
            <w:shd w:val="clear" w:color="000000" w:fill="D3C5D7"/>
            <w:noWrap/>
            <w:vAlign w:val="bottom"/>
            <w:hideMark/>
          </w:tcPr>
          <w:p w14:paraId="6E9AA166" w14:textId="77777777" w:rsidR="00B71716" w:rsidRPr="00111781" w:rsidRDefault="00B71716" w:rsidP="00B71716">
            <w:pPr>
              <w:spacing w:after="0" w:line="240" w:lineRule="auto"/>
              <w:jc w:val="right"/>
              <w:rPr>
                <w:rFonts w:ascii="Calibri" w:hAnsi="Calibri" w:cs="Calibri"/>
                <w:b/>
                <w:bCs/>
                <w:color w:val="000000"/>
                <w:szCs w:val="22"/>
                <w:lang w:eastAsia="en-AU"/>
              </w:rPr>
            </w:pPr>
            <w:r w:rsidRPr="00111781">
              <w:rPr>
                <w:rFonts w:ascii="Calibri" w:hAnsi="Calibri" w:cs="Calibri"/>
                <w:b/>
                <w:bCs/>
                <w:color w:val="000000"/>
                <w:szCs w:val="22"/>
                <w:lang w:eastAsia="en-AU"/>
              </w:rPr>
              <w:t>78%</w:t>
            </w:r>
          </w:p>
        </w:tc>
      </w:tr>
      <w:tr w:rsidR="00B71716" w:rsidRPr="00111781" w14:paraId="7340F7D6" w14:textId="77777777" w:rsidTr="00B71716">
        <w:trPr>
          <w:trHeight w:val="285"/>
        </w:trPr>
        <w:tc>
          <w:tcPr>
            <w:tcW w:w="6408" w:type="dxa"/>
            <w:gridSpan w:val="3"/>
            <w:tcBorders>
              <w:top w:val="nil"/>
              <w:left w:val="nil"/>
              <w:bottom w:val="nil"/>
              <w:right w:val="nil"/>
            </w:tcBorders>
            <w:shd w:val="clear" w:color="auto" w:fill="auto"/>
            <w:noWrap/>
            <w:vAlign w:val="bottom"/>
            <w:hideMark/>
          </w:tcPr>
          <w:p w14:paraId="447EBA7C" w14:textId="77777777" w:rsidR="00B71716" w:rsidRPr="00111781" w:rsidRDefault="00B71716" w:rsidP="00B71716">
            <w:pPr>
              <w:spacing w:after="0" w:line="240" w:lineRule="auto"/>
              <w:rPr>
                <w:rFonts w:ascii="Calibri" w:hAnsi="Calibri" w:cs="Calibri"/>
                <w:b/>
                <w:bCs/>
                <w:color w:val="000000"/>
                <w:szCs w:val="22"/>
                <w:lang w:eastAsia="en-AU"/>
              </w:rPr>
            </w:pPr>
            <w:r w:rsidRPr="00111781">
              <w:rPr>
                <w:rFonts w:ascii="Calibri" w:hAnsi="Calibri" w:cs="Calibri"/>
                <w:b/>
                <w:bCs/>
                <w:color w:val="000000"/>
                <w:szCs w:val="22"/>
                <w:lang w:eastAsia="en-AU"/>
              </w:rPr>
              <w:t>Likely to be previously unmet need</w:t>
            </w:r>
          </w:p>
        </w:tc>
        <w:tc>
          <w:tcPr>
            <w:tcW w:w="1036" w:type="dxa"/>
            <w:tcBorders>
              <w:top w:val="nil"/>
              <w:left w:val="nil"/>
              <w:bottom w:val="nil"/>
              <w:right w:val="nil"/>
            </w:tcBorders>
            <w:shd w:val="clear" w:color="auto" w:fill="auto"/>
            <w:noWrap/>
            <w:vAlign w:val="bottom"/>
            <w:hideMark/>
          </w:tcPr>
          <w:p w14:paraId="4CC503CF" w14:textId="77777777" w:rsidR="00B71716" w:rsidRPr="00111781" w:rsidRDefault="00B71716" w:rsidP="00B71716">
            <w:pPr>
              <w:spacing w:after="0" w:line="240" w:lineRule="auto"/>
              <w:rPr>
                <w:rFonts w:ascii="Calibri" w:hAnsi="Calibri" w:cs="Calibri"/>
                <w:b/>
                <w:bCs/>
                <w:color w:val="000000"/>
                <w:szCs w:val="22"/>
                <w:lang w:eastAsia="en-AU"/>
              </w:rPr>
            </w:pPr>
          </w:p>
        </w:tc>
        <w:tc>
          <w:tcPr>
            <w:tcW w:w="1596" w:type="dxa"/>
            <w:tcBorders>
              <w:top w:val="nil"/>
              <w:left w:val="nil"/>
              <w:bottom w:val="nil"/>
              <w:right w:val="nil"/>
            </w:tcBorders>
            <w:shd w:val="clear" w:color="auto" w:fill="auto"/>
            <w:noWrap/>
            <w:vAlign w:val="bottom"/>
            <w:hideMark/>
          </w:tcPr>
          <w:p w14:paraId="3D2FF118" w14:textId="77777777" w:rsidR="00B71716" w:rsidRPr="00111781" w:rsidRDefault="00B71716" w:rsidP="00B71716">
            <w:pPr>
              <w:spacing w:after="0" w:line="240" w:lineRule="auto"/>
              <w:jc w:val="right"/>
              <w:rPr>
                <w:rFonts w:ascii="Times New Roman" w:hAnsi="Times New Roman"/>
                <w:sz w:val="20"/>
                <w:szCs w:val="20"/>
                <w:lang w:eastAsia="en-AU"/>
              </w:rPr>
            </w:pPr>
          </w:p>
        </w:tc>
      </w:tr>
      <w:tr w:rsidR="00B71716" w:rsidRPr="00111781" w14:paraId="308EF53B" w14:textId="77777777" w:rsidTr="00B71716">
        <w:trPr>
          <w:trHeight w:val="285"/>
        </w:trPr>
        <w:tc>
          <w:tcPr>
            <w:tcW w:w="1036" w:type="dxa"/>
            <w:tcBorders>
              <w:top w:val="nil"/>
              <w:left w:val="nil"/>
              <w:bottom w:val="nil"/>
              <w:right w:val="nil"/>
            </w:tcBorders>
            <w:shd w:val="clear" w:color="auto" w:fill="auto"/>
            <w:noWrap/>
            <w:vAlign w:val="bottom"/>
            <w:hideMark/>
          </w:tcPr>
          <w:p w14:paraId="1E70CFF2" w14:textId="77777777" w:rsidR="00B71716" w:rsidRPr="00111781" w:rsidRDefault="00B71716" w:rsidP="00B71716">
            <w:pPr>
              <w:spacing w:after="0" w:line="240" w:lineRule="auto"/>
              <w:jc w:val="right"/>
              <w:rPr>
                <w:rFonts w:ascii="Times New Roman" w:hAnsi="Times New Roman"/>
                <w:sz w:val="20"/>
                <w:szCs w:val="20"/>
                <w:lang w:eastAsia="en-AU"/>
              </w:rPr>
            </w:pPr>
          </w:p>
        </w:tc>
        <w:tc>
          <w:tcPr>
            <w:tcW w:w="5372" w:type="dxa"/>
            <w:gridSpan w:val="2"/>
            <w:tcBorders>
              <w:top w:val="nil"/>
              <w:left w:val="nil"/>
              <w:bottom w:val="nil"/>
              <w:right w:val="nil"/>
            </w:tcBorders>
            <w:shd w:val="clear" w:color="auto" w:fill="auto"/>
            <w:noWrap/>
            <w:vAlign w:val="bottom"/>
            <w:hideMark/>
          </w:tcPr>
          <w:p w14:paraId="68E62C7C" w14:textId="77777777" w:rsidR="00B71716" w:rsidRPr="00111781" w:rsidRDefault="00B71716" w:rsidP="00B71716">
            <w:pPr>
              <w:spacing w:after="0" w:line="240" w:lineRule="auto"/>
              <w:rPr>
                <w:rFonts w:ascii="Calibri" w:hAnsi="Calibri" w:cs="Calibri"/>
                <w:color w:val="000000"/>
                <w:szCs w:val="22"/>
                <w:lang w:eastAsia="en-AU"/>
              </w:rPr>
            </w:pPr>
            <w:r w:rsidRPr="00111781">
              <w:rPr>
                <w:rFonts w:ascii="Calibri" w:hAnsi="Calibri" w:cs="Calibri"/>
                <w:color w:val="000000"/>
                <w:szCs w:val="22"/>
                <w:lang w:eastAsia="en-AU"/>
              </w:rPr>
              <w:t>Actual/potential loss of informal supports</w:t>
            </w:r>
          </w:p>
        </w:tc>
        <w:tc>
          <w:tcPr>
            <w:tcW w:w="1036" w:type="dxa"/>
            <w:tcBorders>
              <w:top w:val="nil"/>
              <w:left w:val="nil"/>
              <w:bottom w:val="nil"/>
              <w:right w:val="nil"/>
            </w:tcBorders>
            <w:shd w:val="clear" w:color="auto" w:fill="auto"/>
            <w:noWrap/>
            <w:vAlign w:val="bottom"/>
            <w:hideMark/>
          </w:tcPr>
          <w:p w14:paraId="61458C61" w14:textId="77777777" w:rsidR="00B71716" w:rsidRPr="00111781" w:rsidRDefault="00B71716" w:rsidP="00B71716">
            <w:pPr>
              <w:spacing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15</w:t>
            </w:r>
          </w:p>
        </w:tc>
        <w:tc>
          <w:tcPr>
            <w:tcW w:w="1596" w:type="dxa"/>
            <w:tcBorders>
              <w:top w:val="nil"/>
              <w:left w:val="nil"/>
              <w:bottom w:val="nil"/>
              <w:right w:val="nil"/>
            </w:tcBorders>
            <w:shd w:val="clear" w:color="auto" w:fill="auto"/>
            <w:noWrap/>
            <w:vAlign w:val="bottom"/>
            <w:hideMark/>
          </w:tcPr>
          <w:p w14:paraId="44273E54" w14:textId="77777777" w:rsidR="00B71716" w:rsidRPr="00111781" w:rsidRDefault="00B71716" w:rsidP="00B71716">
            <w:pPr>
              <w:spacing w:after="0" w:line="240" w:lineRule="auto"/>
              <w:jc w:val="right"/>
              <w:rPr>
                <w:rFonts w:ascii="Calibri" w:hAnsi="Calibri" w:cs="Calibri"/>
                <w:color w:val="000000"/>
                <w:szCs w:val="22"/>
                <w:lang w:eastAsia="en-AU"/>
              </w:rPr>
            </w:pPr>
          </w:p>
        </w:tc>
      </w:tr>
      <w:tr w:rsidR="00B71716" w:rsidRPr="00111781" w14:paraId="7A09C36F" w14:textId="77777777" w:rsidTr="00B71716">
        <w:trPr>
          <w:trHeight w:val="285"/>
        </w:trPr>
        <w:tc>
          <w:tcPr>
            <w:tcW w:w="1036" w:type="dxa"/>
            <w:tcBorders>
              <w:top w:val="nil"/>
              <w:left w:val="nil"/>
              <w:bottom w:val="nil"/>
              <w:right w:val="nil"/>
            </w:tcBorders>
            <w:shd w:val="clear" w:color="auto" w:fill="auto"/>
            <w:noWrap/>
            <w:vAlign w:val="bottom"/>
            <w:hideMark/>
          </w:tcPr>
          <w:p w14:paraId="7762B4AB" w14:textId="77777777" w:rsidR="00B71716" w:rsidRPr="00111781" w:rsidRDefault="00B71716" w:rsidP="00B71716">
            <w:pPr>
              <w:spacing w:after="0" w:line="240" w:lineRule="auto"/>
              <w:jc w:val="right"/>
              <w:rPr>
                <w:rFonts w:ascii="Times New Roman" w:hAnsi="Times New Roman"/>
                <w:sz w:val="20"/>
                <w:szCs w:val="20"/>
                <w:lang w:eastAsia="en-AU"/>
              </w:rPr>
            </w:pPr>
          </w:p>
        </w:tc>
        <w:tc>
          <w:tcPr>
            <w:tcW w:w="5372" w:type="dxa"/>
            <w:gridSpan w:val="2"/>
            <w:tcBorders>
              <w:top w:val="nil"/>
              <w:left w:val="nil"/>
              <w:bottom w:val="nil"/>
              <w:right w:val="nil"/>
            </w:tcBorders>
            <w:shd w:val="clear" w:color="auto" w:fill="auto"/>
            <w:noWrap/>
            <w:vAlign w:val="bottom"/>
            <w:hideMark/>
          </w:tcPr>
          <w:p w14:paraId="20B9F4F7" w14:textId="77777777" w:rsidR="00B71716" w:rsidRPr="00111781" w:rsidRDefault="00B71716" w:rsidP="00B71716">
            <w:pPr>
              <w:spacing w:after="0" w:line="240" w:lineRule="auto"/>
              <w:rPr>
                <w:rFonts w:ascii="Calibri" w:hAnsi="Calibri" w:cs="Calibri"/>
                <w:color w:val="000000"/>
                <w:szCs w:val="22"/>
                <w:lang w:eastAsia="en-AU"/>
              </w:rPr>
            </w:pPr>
            <w:r w:rsidRPr="00111781">
              <w:rPr>
                <w:rFonts w:ascii="Calibri" w:hAnsi="Calibri" w:cs="Calibri"/>
                <w:color w:val="000000"/>
                <w:szCs w:val="22"/>
                <w:lang w:eastAsia="en-AU"/>
              </w:rPr>
              <w:t>Previous application denied</w:t>
            </w:r>
          </w:p>
        </w:tc>
        <w:tc>
          <w:tcPr>
            <w:tcW w:w="1036" w:type="dxa"/>
            <w:tcBorders>
              <w:top w:val="nil"/>
              <w:left w:val="nil"/>
              <w:bottom w:val="nil"/>
              <w:right w:val="nil"/>
            </w:tcBorders>
            <w:shd w:val="clear" w:color="auto" w:fill="auto"/>
            <w:noWrap/>
            <w:vAlign w:val="bottom"/>
            <w:hideMark/>
          </w:tcPr>
          <w:p w14:paraId="18F7707D" w14:textId="77777777" w:rsidR="00B71716" w:rsidRPr="00111781" w:rsidRDefault="00B71716" w:rsidP="00B71716">
            <w:pPr>
              <w:spacing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11</w:t>
            </w:r>
          </w:p>
        </w:tc>
        <w:tc>
          <w:tcPr>
            <w:tcW w:w="1596" w:type="dxa"/>
            <w:tcBorders>
              <w:top w:val="nil"/>
              <w:left w:val="nil"/>
              <w:bottom w:val="nil"/>
              <w:right w:val="nil"/>
            </w:tcBorders>
            <w:shd w:val="clear" w:color="auto" w:fill="auto"/>
            <w:noWrap/>
            <w:vAlign w:val="bottom"/>
            <w:hideMark/>
          </w:tcPr>
          <w:p w14:paraId="67A32D32" w14:textId="77777777" w:rsidR="00B71716" w:rsidRPr="00111781" w:rsidRDefault="00B71716" w:rsidP="00B71716">
            <w:pPr>
              <w:spacing w:after="0" w:line="240" w:lineRule="auto"/>
              <w:jc w:val="right"/>
              <w:rPr>
                <w:rFonts w:ascii="Calibri" w:hAnsi="Calibri" w:cs="Calibri"/>
                <w:color w:val="000000"/>
                <w:szCs w:val="22"/>
                <w:lang w:eastAsia="en-AU"/>
              </w:rPr>
            </w:pPr>
          </w:p>
        </w:tc>
      </w:tr>
      <w:tr w:rsidR="00B71716" w:rsidRPr="00111781" w14:paraId="1843D9EB" w14:textId="77777777" w:rsidTr="00B71716">
        <w:trPr>
          <w:trHeight w:val="285"/>
        </w:trPr>
        <w:tc>
          <w:tcPr>
            <w:tcW w:w="1036" w:type="dxa"/>
            <w:tcBorders>
              <w:top w:val="nil"/>
              <w:left w:val="nil"/>
              <w:bottom w:val="nil"/>
              <w:right w:val="nil"/>
            </w:tcBorders>
            <w:shd w:val="clear" w:color="auto" w:fill="auto"/>
            <w:noWrap/>
            <w:vAlign w:val="bottom"/>
            <w:hideMark/>
          </w:tcPr>
          <w:p w14:paraId="639B6538" w14:textId="77777777" w:rsidR="00B71716" w:rsidRPr="00111781" w:rsidRDefault="00B71716" w:rsidP="00B71716">
            <w:pPr>
              <w:spacing w:after="0" w:line="240" w:lineRule="auto"/>
              <w:jc w:val="right"/>
              <w:rPr>
                <w:rFonts w:ascii="Times New Roman" w:hAnsi="Times New Roman"/>
                <w:sz w:val="20"/>
                <w:szCs w:val="20"/>
                <w:lang w:eastAsia="en-AU"/>
              </w:rPr>
            </w:pPr>
          </w:p>
        </w:tc>
        <w:tc>
          <w:tcPr>
            <w:tcW w:w="5372" w:type="dxa"/>
            <w:gridSpan w:val="2"/>
            <w:tcBorders>
              <w:top w:val="nil"/>
              <w:left w:val="nil"/>
              <w:bottom w:val="nil"/>
              <w:right w:val="nil"/>
            </w:tcBorders>
            <w:shd w:val="clear" w:color="auto" w:fill="auto"/>
            <w:noWrap/>
            <w:vAlign w:val="bottom"/>
            <w:hideMark/>
          </w:tcPr>
          <w:p w14:paraId="5B8704C3" w14:textId="77777777" w:rsidR="00B71716" w:rsidRPr="00111781" w:rsidRDefault="00B71716" w:rsidP="00B71716">
            <w:pPr>
              <w:spacing w:after="0" w:line="240" w:lineRule="auto"/>
              <w:rPr>
                <w:rFonts w:ascii="Calibri" w:hAnsi="Calibri" w:cs="Calibri"/>
                <w:color w:val="000000"/>
                <w:szCs w:val="22"/>
                <w:lang w:eastAsia="en-AU"/>
              </w:rPr>
            </w:pPr>
            <w:r w:rsidRPr="00111781">
              <w:rPr>
                <w:rFonts w:ascii="Calibri" w:hAnsi="Calibri" w:cs="Calibri"/>
                <w:color w:val="000000"/>
                <w:szCs w:val="22"/>
                <w:lang w:eastAsia="en-AU"/>
              </w:rPr>
              <w:t>Substantial functional impairment now reached</w:t>
            </w:r>
          </w:p>
        </w:tc>
        <w:tc>
          <w:tcPr>
            <w:tcW w:w="1036" w:type="dxa"/>
            <w:tcBorders>
              <w:top w:val="nil"/>
              <w:left w:val="nil"/>
              <w:bottom w:val="nil"/>
              <w:right w:val="nil"/>
            </w:tcBorders>
            <w:shd w:val="clear" w:color="auto" w:fill="auto"/>
            <w:noWrap/>
            <w:vAlign w:val="bottom"/>
            <w:hideMark/>
          </w:tcPr>
          <w:p w14:paraId="65CE8A80" w14:textId="77777777" w:rsidR="00B71716" w:rsidRPr="00111781" w:rsidRDefault="00B71716" w:rsidP="00B71716">
            <w:pPr>
              <w:spacing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19</w:t>
            </w:r>
          </w:p>
        </w:tc>
        <w:tc>
          <w:tcPr>
            <w:tcW w:w="1596" w:type="dxa"/>
            <w:tcBorders>
              <w:top w:val="nil"/>
              <w:left w:val="nil"/>
              <w:bottom w:val="nil"/>
              <w:right w:val="nil"/>
            </w:tcBorders>
            <w:shd w:val="clear" w:color="auto" w:fill="auto"/>
            <w:noWrap/>
            <w:vAlign w:val="bottom"/>
            <w:hideMark/>
          </w:tcPr>
          <w:p w14:paraId="3FA42C4A" w14:textId="77777777" w:rsidR="00B71716" w:rsidRPr="00111781" w:rsidRDefault="00B71716" w:rsidP="00B71716">
            <w:pPr>
              <w:spacing w:after="0" w:line="240" w:lineRule="auto"/>
              <w:jc w:val="right"/>
              <w:rPr>
                <w:rFonts w:ascii="Calibri" w:hAnsi="Calibri" w:cs="Calibri"/>
                <w:color w:val="000000"/>
                <w:szCs w:val="22"/>
                <w:lang w:eastAsia="en-AU"/>
              </w:rPr>
            </w:pPr>
          </w:p>
        </w:tc>
      </w:tr>
      <w:tr w:rsidR="00B71716" w:rsidRPr="00111781" w14:paraId="751D32B0" w14:textId="77777777" w:rsidTr="00B71716">
        <w:trPr>
          <w:trHeight w:val="285"/>
        </w:trPr>
        <w:tc>
          <w:tcPr>
            <w:tcW w:w="1036" w:type="dxa"/>
            <w:tcBorders>
              <w:top w:val="nil"/>
              <w:left w:val="nil"/>
              <w:bottom w:val="nil"/>
              <w:right w:val="nil"/>
            </w:tcBorders>
            <w:shd w:val="clear" w:color="auto" w:fill="auto"/>
            <w:noWrap/>
            <w:vAlign w:val="bottom"/>
            <w:hideMark/>
          </w:tcPr>
          <w:p w14:paraId="7E0BC756" w14:textId="77777777" w:rsidR="00B71716" w:rsidRPr="00111781" w:rsidRDefault="00B71716" w:rsidP="00B71716">
            <w:pPr>
              <w:spacing w:after="0" w:line="240" w:lineRule="auto"/>
              <w:jc w:val="right"/>
              <w:rPr>
                <w:rFonts w:ascii="Times New Roman" w:hAnsi="Times New Roman"/>
                <w:sz w:val="20"/>
                <w:szCs w:val="20"/>
                <w:lang w:eastAsia="en-AU"/>
              </w:rPr>
            </w:pPr>
          </w:p>
        </w:tc>
        <w:tc>
          <w:tcPr>
            <w:tcW w:w="5372" w:type="dxa"/>
            <w:gridSpan w:val="2"/>
            <w:tcBorders>
              <w:top w:val="nil"/>
              <w:left w:val="nil"/>
              <w:bottom w:val="nil"/>
              <w:right w:val="nil"/>
            </w:tcBorders>
            <w:shd w:val="clear" w:color="auto" w:fill="auto"/>
            <w:noWrap/>
            <w:vAlign w:val="bottom"/>
            <w:hideMark/>
          </w:tcPr>
          <w:p w14:paraId="24EB2C93" w14:textId="77777777" w:rsidR="00B71716" w:rsidRPr="00111781" w:rsidRDefault="00B71716" w:rsidP="00B71716">
            <w:pPr>
              <w:spacing w:after="0" w:line="240" w:lineRule="auto"/>
              <w:rPr>
                <w:rFonts w:ascii="Calibri" w:hAnsi="Calibri" w:cs="Calibri"/>
                <w:color w:val="000000"/>
                <w:szCs w:val="22"/>
                <w:lang w:eastAsia="en-AU"/>
              </w:rPr>
            </w:pPr>
            <w:r w:rsidRPr="00111781">
              <w:rPr>
                <w:rFonts w:ascii="Calibri" w:hAnsi="Calibri" w:cs="Calibri"/>
                <w:color w:val="000000"/>
                <w:szCs w:val="22"/>
                <w:lang w:eastAsia="en-AU"/>
              </w:rPr>
              <w:t>Involvement with child protective services</w:t>
            </w:r>
          </w:p>
        </w:tc>
        <w:tc>
          <w:tcPr>
            <w:tcW w:w="1036" w:type="dxa"/>
            <w:tcBorders>
              <w:top w:val="nil"/>
              <w:left w:val="nil"/>
              <w:bottom w:val="nil"/>
              <w:right w:val="nil"/>
            </w:tcBorders>
            <w:shd w:val="clear" w:color="auto" w:fill="auto"/>
            <w:noWrap/>
            <w:vAlign w:val="bottom"/>
            <w:hideMark/>
          </w:tcPr>
          <w:p w14:paraId="6D19C077" w14:textId="77777777" w:rsidR="00B71716" w:rsidRPr="00111781" w:rsidRDefault="00B71716" w:rsidP="00B71716">
            <w:pPr>
              <w:spacing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3</w:t>
            </w:r>
          </w:p>
        </w:tc>
        <w:tc>
          <w:tcPr>
            <w:tcW w:w="1596" w:type="dxa"/>
            <w:tcBorders>
              <w:top w:val="nil"/>
              <w:left w:val="nil"/>
              <w:bottom w:val="nil"/>
              <w:right w:val="nil"/>
            </w:tcBorders>
            <w:shd w:val="clear" w:color="auto" w:fill="auto"/>
            <w:noWrap/>
            <w:vAlign w:val="bottom"/>
            <w:hideMark/>
          </w:tcPr>
          <w:p w14:paraId="0FF996DC" w14:textId="77777777" w:rsidR="00B71716" w:rsidRPr="00111781" w:rsidRDefault="00B71716" w:rsidP="00B71716">
            <w:pPr>
              <w:spacing w:after="0" w:line="240" w:lineRule="auto"/>
              <w:jc w:val="right"/>
              <w:rPr>
                <w:rFonts w:ascii="Calibri" w:hAnsi="Calibri" w:cs="Calibri"/>
                <w:color w:val="000000"/>
                <w:szCs w:val="22"/>
                <w:lang w:eastAsia="en-AU"/>
              </w:rPr>
            </w:pPr>
          </w:p>
        </w:tc>
      </w:tr>
      <w:tr w:rsidR="00B71716" w:rsidRPr="00111781" w14:paraId="437DA321" w14:textId="77777777" w:rsidTr="00B71716">
        <w:trPr>
          <w:trHeight w:val="285"/>
        </w:trPr>
        <w:tc>
          <w:tcPr>
            <w:tcW w:w="1036" w:type="dxa"/>
            <w:tcBorders>
              <w:top w:val="nil"/>
              <w:left w:val="nil"/>
              <w:bottom w:val="nil"/>
              <w:right w:val="nil"/>
            </w:tcBorders>
            <w:shd w:val="clear" w:color="auto" w:fill="auto"/>
            <w:noWrap/>
            <w:vAlign w:val="bottom"/>
            <w:hideMark/>
          </w:tcPr>
          <w:p w14:paraId="7C2E6FB0" w14:textId="77777777" w:rsidR="00B71716" w:rsidRPr="00111781" w:rsidRDefault="00B71716" w:rsidP="00B71716">
            <w:pPr>
              <w:spacing w:after="0" w:line="240" w:lineRule="auto"/>
              <w:jc w:val="right"/>
              <w:rPr>
                <w:rFonts w:ascii="Times New Roman" w:hAnsi="Times New Roman"/>
                <w:sz w:val="20"/>
                <w:szCs w:val="20"/>
                <w:lang w:eastAsia="en-AU"/>
              </w:rPr>
            </w:pPr>
          </w:p>
        </w:tc>
        <w:tc>
          <w:tcPr>
            <w:tcW w:w="5372" w:type="dxa"/>
            <w:gridSpan w:val="2"/>
            <w:tcBorders>
              <w:top w:val="nil"/>
              <w:left w:val="nil"/>
              <w:bottom w:val="nil"/>
              <w:right w:val="nil"/>
            </w:tcBorders>
            <w:shd w:val="clear" w:color="auto" w:fill="auto"/>
            <w:noWrap/>
            <w:vAlign w:val="bottom"/>
            <w:hideMark/>
          </w:tcPr>
          <w:p w14:paraId="1C7FA68E" w14:textId="77777777" w:rsidR="00B71716" w:rsidRPr="00111781" w:rsidRDefault="00B71716" w:rsidP="00B71716">
            <w:pPr>
              <w:spacing w:after="0" w:line="240" w:lineRule="auto"/>
              <w:rPr>
                <w:rFonts w:ascii="Calibri" w:hAnsi="Calibri" w:cs="Calibri"/>
                <w:color w:val="000000"/>
                <w:szCs w:val="22"/>
                <w:lang w:eastAsia="en-AU"/>
              </w:rPr>
            </w:pPr>
            <w:r w:rsidRPr="00111781">
              <w:rPr>
                <w:rFonts w:ascii="Calibri" w:hAnsi="Calibri" w:cs="Calibri"/>
                <w:color w:val="000000"/>
                <w:szCs w:val="22"/>
                <w:lang w:eastAsia="en-AU"/>
              </w:rPr>
              <w:t>Involvement with the Health system</w:t>
            </w:r>
          </w:p>
        </w:tc>
        <w:tc>
          <w:tcPr>
            <w:tcW w:w="1036" w:type="dxa"/>
            <w:tcBorders>
              <w:top w:val="nil"/>
              <w:left w:val="nil"/>
              <w:bottom w:val="nil"/>
              <w:right w:val="nil"/>
            </w:tcBorders>
            <w:shd w:val="clear" w:color="auto" w:fill="auto"/>
            <w:noWrap/>
            <w:vAlign w:val="bottom"/>
            <w:hideMark/>
          </w:tcPr>
          <w:p w14:paraId="6825538D" w14:textId="77777777" w:rsidR="00B71716" w:rsidRPr="00111781" w:rsidRDefault="00B71716" w:rsidP="00B71716">
            <w:pPr>
              <w:spacing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22</w:t>
            </w:r>
          </w:p>
        </w:tc>
        <w:tc>
          <w:tcPr>
            <w:tcW w:w="1596" w:type="dxa"/>
            <w:tcBorders>
              <w:top w:val="nil"/>
              <w:left w:val="nil"/>
              <w:bottom w:val="nil"/>
              <w:right w:val="nil"/>
            </w:tcBorders>
            <w:shd w:val="clear" w:color="auto" w:fill="auto"/>
            <w:noWrap/>
            <w:vAlign w:val="bottom"/>
            <w:hideMark/>
          </w:tcPr>
          <w:p w14:paraId="7B032A60" w14:textId="77777777" w:rsidR="00B71716" w:rsidRPr="00111781" w:rsidRDefault="00B71716" w:rsidP="00B71716">
            <w:pPr>
              <w:spacing w:after="0" w:line="240" w:lineRule="auto"/>
              <w:jc w:val="right"/>
              <w:rPr>
                <w:rFonts w:ascii="Calibri" w:hAnsi="Calibri" w:cs="Calibri"/>
                <w:color w:val="000000"/>
                <w:szCs w:val="22"/>
                <w:lang w:eastAsia="en-AU"/>
              </w:rPr>
            </w:pPr>
          </w:p>
        </w:tc>
      </w:tr>
      <w:tr w:rsidR="00B71716" w:rsidRPr="00111781" w14:paraId="11C16432" w14:textId="77777777" w:rsidTr="00B71716">
        <w:trPr>
          <w:trHeight w:val="285"/>
        </w:trPr>
        <w:tc>
          <w:tcPr>
            <w:tcW w:w="1036" w:type="dxa"/>
            <w:tcBorders>
              <w:top w:val="nil"/>
              <w:left w:val="nil"/>
              <w:bottom w:val="nil"/>
              <w:right w:val="nil"/>
            </w:tcBorders>
            <w:shd w:val="clear" w:color="auto" w:fill="auto"/>
            <w:noWrap/>
            <w:vAlign w:val="bottom"/>
            <w:hideMark/>
          </w:tcPr>
          <w:p w14:paraId="45E80560" w14:textId="77777777" w:rsidR="00B71716" w:rsidRPr="00111781" w:rsidRDefault="00B71716" w:rsidP="00B71716">
            <w:pPr>
              <w:spacing w:after="0" w:line="240" w:lineRule="auto"/>
              <w:jc w:val="right"/>
              <w:rPr>
                <w:rFonts w:ascii="Times New Roman" w:hAnsi="Times New Roman"/>
                <w:sz w:val="20"/>
                <w:szCs w:val="20"/>
                <w:lang w:eastAsia="en-AU"/>
              </w:rPr>
            </w:pPr>
          </w:p>
        </w:tc>
        <w:tc>
          <w:tcPr>
            <w:tcW w:w="5372" w:type="dxa"/>
            <w:gridSpan w:val="2"/>
            <w:tcBorders>
              <w:top w:val="nil"/>
              <w:left w:val="nil"/>
              <w:bottom w:val="nil"/>
              <w:right w:val="nil"/>
            </w:tcBorders>
            <w:shd w:val="clear" w:color="auto" w:fill="auto"/>
            <w:noWrap/>
            <w:vAlign w:val="bottom"/>
            <w:hideMark/>
          </w:tcPr>
          <w:p w14:paraId="71230C4A" w14:textId="77777777" w:rsidR="00B71716" w:rsidRPr="00111781" w:rsidRDefault="00B71716" w:rsidP="00B71716">
            <w:pPr>
              <w:spacing w:after="0" w:line="240" w:lineRule="auto"/>
              <w:rPr>
                <w:rFonts w:ascii="Calibri" w:hAnsi="Calibri" w:cs="Calibri"/>
                <w:color w:val="000000"/>
                <w:szCs w:val="22"/>
                <w:lang w:eastAsia="en-AU"/>
              </w:rPr>
            </w:pPr>
            <w:r w:rsidRPr="00111781">
              <w:rPr>
                <w:rFonts w:ascii="Calibri" w:hAnsi="Calibri" w:cs="Calibri"/>
                <w:color w:val="000000"/>
                <w:szCs w:val="22"/>
                <w:lang w:eastAsia="en-AU"/>
              </w:rPr>
              <w:t>Involvement with the Justice system</w:t>
            </w:r>
          </w:p>
        </w:tc>
        <w:tc>
          <w:tcPr>
            <w:tcW w:w="1036" w:type="dxa"/>
            <w:tcBorders>
              <w:top w:val="nil"/>
              <w:left w:val="nil"/>
              <w:bottom w:val="nil"/>
              <w:right w:val="nil"/>
            </w:tcBorders>
            <w:shd w:val="clear" w:color="auto" w:fill="auto"/>
            <w:noWrap/>
            <w:vAlign w:val="bottom"/>
            <w:hideMark/>
          </w:tcPr>
          <w:p w14:paraId="689B599B" w14:textId="77777777" w:rsidR="00B71716" w:rsidRPr="00111781" w:rsidRDefault="00B71716" w:rsidP="00B71716">
            <w:pPr>
              <w:spacing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6</w:t>
            </w:r>
          </w:p>
        </w:tc>
        <w:tc>
          <w:tcPr>
            <w:tcW w:w="1596" w:type="dxa"/>
            <w:tcBorders>
              <w:top w:val="nil"/>
              <w:left w:val="nil"/>
              <w:bottom w:val="nil"/>
              <w:right w:val="nil"/>
            </w:tcBorders>
            <w:shd w:val="clear" w:color="auto" w:fill="auto"/>
            <w:noWrap/>
            <w:vAlign w:val="bottom"/>
            <w:hideMark/>
          </w:tcPr>
          <w:p w14:paraId="2AC990B6" w14:textId="77777777" w:rsidR="00B71716" w:rsidRPr="00111781" w:rsidRDefault="00B71716" w:rsidP="00B71716">
            <w:pPr>
              <w:spacing w:after="0" w:line="240" w:lineRule="auto"/>
              <w:jc w:val="right"/>
              <w:rPr>
                <w:rFonts w:ascii="Calibri" w:hAnsi="Calibri" w:cs="Calibri"/>
                <w:color w:val="000000"/>
                <w:szCs w:val="22"/>
                <w:lang w:eastAsia="en-AU"/>
              </w:rPr>
            </w:pPr>
          </w:p>
        </w:tc>
      </w:tr>
      <w:tr w:rsidR="00B71716" w:rsidRPr="00111781" w14:paraId="42777E83" w14:textId="77777777" w:rsidTr="00B71716">
        <w:trPr>
          <w:trHeight w:val="285"/>
        </w:trPr>
        <w:tc>
          <w:tcPr>
            <w:tcW w:w="1036" w:type="dxa"/>
            <w:tcBorders>
              <w:top w:val="nil"/>
              <w:left w:val="nil"/>
              <w:bottom w:val="nil"/>
              <w:right w:val="nil"/>
            </w:tcBorders>
            <w:shd w:val="clear" w:color="auto" w:fill="auto"/>
            <w:noWrap/>
            <w:vAlign w:val="bottom"/>
            <w:hideMark/>
          </w:tcPr>
          <w:p w14:paraId="432D8FFB" w14:textId="77777777" w:rsidR="00B71716" w:rsidRPr="00111781" w:rsidRDefault="00B71716" w:rsidP="00B71716">
            <w:pPr>
              <w:spacing w:after="0" w:line="240" w:lineRule="auto"/>
              <w:jc w:val="right"/>
              <w:rPr>
                <w:rFonts w:ascii="Times New Roman" w:hAnsi="Times New Roman"/>
                <w:sz w:val="20"/>
                <w:szCs w:val="20"/>
                <w:lang w:eastAsia="en-AU"/>
              </w:rPr>
            </w:pPr>
          </w:p>
        </w:tc>
        <w:tc>
          <w:tcPr>
            <w:tcW w:w="5372" w:type="dxa"/>
            <w:gridSpan w:val="2"/>
            <w:tcBorders>
              <w:top w:val="nil"/>
              <w:left w:val="nil"/>
              <w:bottom w:val="nil"/>
              <w:right w:val="nil"/>
            </w:tcBorders>
            <w:shd w:val="clear" w:color="auto" w:fill="auto"/>
            <w:noWrap/>
            <w:vAlign w:val="bottom"/>
            <w:hideMark/>
          </w:tcPr>
          <w:p w14:paraId="45F96467" w14:textId="77777777" w:rsidR="00B71716" w:rsidRPr="00111781" w:rsidRDefault="00B71716" w:rsidP="00B71716">
            <w:pPr>
              <w:spacing w:after="0" w:line="240" w:lineRule="auto"/>
              <w:rPr>
                <w:rFonts w:ascii="Calibri" w:hAnsi="Calibri" w:cs="Calibri"/>
                <w:color w:val="000000"/>
                <w:szCs w:val="22"/>
                <w:lang w:eastAsia="en-AU"/>
              </w:rPr>
            </w:pPr>
            <w:r w:rsidRPr="00111781">
              <w:rPr>
                <w:rFonts w:ascii="Calibri" w:hAnsi="Calibri" w:cs="Calibri"/>
                <w:color w:val="000000"/>
                <w:szCs w:val="22"/>
                <w:lang w:eastAsia="en-AU"/>
              </w:rPr>
              <w:t>Involvement with the Mental Health system</w:t>
            </w:r>
          </w:p>
        </w:tc>
        <w:tc>
          <w:tcPr>
            <w:tcW w:w="1036" w:type="dxa"/>
            <w:tcBorders>
              <w:top w:val="nil"/>
              <w:left w:val="nil"/>
              <w:bottom w:val="nil"/>
              <w:right w:val="nil"/>
            </w:tcBorders>
            <w:shd w:val="clear" w:color="auto" w:fill="auto"/>
            <w:noWrap/>
            <w:vAlign w:val="bottom"/>
            <w:hideMark/>
          </w:tcPr>
          <w:p w14:paraId="0B8DA38E" w14:textId="77777777" w:rsidR="00B71716" w:rsidRPr="00111781" w:rsidRDefault="00B71716" w:rsidP="00B71716">
            <w:pPr>
              <w:spacing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76</w:t>
            </w:r>
          </w:p>
        </w:tc>
        <w:tc>
          <w:tcPr>
            <w:tcW w:w="1596" w:type="dxa"/>
            <w:tcBorders>
              <w:top w:val="nil"/>
              <w:left w:val="nil"/>
              <w:bottom w:val="nil"/>
              <w:right w:val="nil"/>
            </w:tcBorders>
            <w:shd w:val="clear" w:color="auto" w:fill="auto"/>
            <w:noWrap/>
            <w:vAlign w:val="bottom"/>
            <w:hideMark/>
          </w:tcPr>
          <w:p w14:paraId="53C833C9" w14:textId="77777777" w:rsidR="00B71716" w:rsidRPr="00111781" w:rsidRDefault="00B71716" w:rsidP="00B71716">
            <w:pPr>
              <w:spacing w:after="0" w:line="240" w:lineRule="auto"/>
              <w:jc w:val="right"/>
              <w:rPr>
                <w:rFonts w:ascii="Calibri" w:hAnsi="Calibri" w:cs="Calibri"/>
                <w:color w:val="000000"/>
                <w:szCs w:val="22"/>
                <w:lang w:eastAsia="en-AU"/>
              </w:rPr>
            </w:pPr>
          </w:p>
        </w:tc>
      </w:tr>
      <w:tr w:rsidR="00B71716" w:rsidRPr="00111781" w14:paraId="42809967" w14:textId="77777777" w:rsidTr="00B71716">
        <w:trPr>
          <w:trHeight w:val="285"/>
        </w:trPr>
        <w:tc>
          <w:tcPr>
            <w:tcW w:w="1036" w:type="dxa"/>
            <w:tcBorders>
              <w:top w:val="nil"/>
              <w:left w:val="nil"/>
              <w:bottom w:val="nil"/>
              <w:right w:val="nil"/>
            </w:tcBorders>
            <w:shd w:val="clear" w:color="auto" w:fill="auto"/>
            <w:noWrap/>
            <w:vAlign w:val="bottom"/>
            <w:hideMark/>
          </w:tcPr>
          <w:p w14:paraId="7D3D2EEB" w14:textId="77777777" w:rsidR="00B71716" w:rsidRPr="00111781" w:rsidRDefault="00B71716" w:rsidP="00B71716">
            <w:pPr>
              <w:spacing w:after="0" w:line="240" w:lineRule="auto"/>
              <w:jc w:val="right"/>
              <w:rPr>
                <w:rFonts w:ascii="Times New Roman" w:hAnsi="Times New Roman"/>
                <w:sz w:val="20"/>
                <w:szCs w:val="20"/>
                <w:lang w:eastAsia="en-AU"/>
              </w:rPr>
            </w:pPr>
          </w:p>
        </w:tc>
        <w:tc>
          <w:tcPr>
            <w:tcW w:w="5372" w:type="dxa"/>
            <w:gridSpan w:val="2"/>
            <w:tcBorders>
              <w:top w:val="nil"/>
              <w:left w:val="nil"/>
              <w:bottom w:val="nil"/>
              <w:right w:val="nil"/>
            </w:tcBorders>
            <w:shd w:val="clear" w:color="auto" w:fill="auto"/>
            <w:noWrap/>
            <w:vAlign w:val="bottom"/>
            <w:hideMark/>
          </w:tcPr>
          <w:p w14:paraId="2F3DEA94" w14:textId="77777777" w:rsidR="00B71716" w:rsidRPr="00111781" w:rsidRDefault="00B71716" w:rsidP="00B71716">
            <w:pPr>
              <w:spacing w:after="0" w:line="240" w:lineRule="auto"/>
              <w:rPr>
                <w:rFonts w:ascii="Calibri" w:hAnsi="Calibri" w:cs="Calibri"/>
                <w:color w:val="000000"/>
                <w:szCs w:val="22"/>
                <w:lang w:eastAsia="en-AU"/>
              </w:rPr>
            </w:pPr>
            <w:r w:rsidRPr="00111781">
              <w:rPr>
                <w:rFonts w:ascii="Calibri" w:hAnsi="Calibri" w:cs="Calibri"/>
                <w:color w:val="000000"/>
                <w:szCs w:val="22"/>
                <w:lang w:eastAsia="en-AU"/>
              </w:rPr>
              <w:t>Involvement with Social or Community Services</w:t>
            </w:r>
          </w:p>
        </w:tc>
        <w:tc>
          <w:tcPr>
            <w:tcW w:w="1036" w:type="dxa"/>
            <w:tcBorders>
              <w:top w:val="nil"/>
              <w:left w:val="nil"/>
              <w:bottom w:val="nil"/>
              <w:right w:val="nil"/>
            </w:tcBorders>
            <w:shd w:val="clear" w:color="auto" w:fill="auto"/>
            <w:noWrap/>
            <w:vAlign w:val="bottom"/>
            <w:hideMark/>
          </w:tcPr>
          <w:p w14:paraId="755CF752" w14:textId="77777777" w:rsidR="00B71716" w:rsidRPr="00111781" w:rsidRDefault="00B71716" w:rsidP="00B71716">
            <w:pPr>
              <w:spacing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13</w:t>
            </w:r>
          </w:p>
        </w:tc>
        <w:tc>
          <w:tcPr>
            <w:tcW w:w="1596" w:type="dxa"/>
            <w:tcBorders>
              <w:top w:val="nil"/>
              <w:left w:val="nil"/>
              <w:bottom w:val="nil"/>
              <w:right w:val="nil"/>
            </w:tcBorders>
            <w:shd w:val="clear" w:color="auto" w:fill="auto"/>
            <w:noWrap/>
            <w:vAlign w:val="bottom"/>
            <w:hideMark/>
          </w:tcPr>
          <w:p w14:paraId="0A88F08A" w14:textId="77777777" w:rsidR="00B71716" w:rsidRPr="00111781" w:rsidRDefault="00B71716" w:rsidP="00B71716">
            <w:pPr>
              <w:spacing w:after="0" w:line="240" w:lineRule="auto"/>
              <w:jc w:val="right"/>
              <w:rPr>
                <w:rFonts w:ascii="Calibri" w:hAnsi="Calibri" w:cs="Calibri"/>
                <w:color w:val="000000"/>
                <w:szCs w:val="22"/>
                <w:lang w:eastAsia="en-AU"/>
              </w:rPr>
            </w:pPr>
          </w:p>
        </w:tc>
      </w:tr>
      <w:tr w:rsidR="00B71716" w:rsidRPr="00111781" w14:paraId="56E480B2" w14:textId="77777777" w:rsidTr="00B71716">
        <w:trPr>
          <w:trHeight w:val="285"/>
        </w:trPr>
        <w:tc>
          <w:tcPr>
            <w:tcW w:w="1036" w:type="dxa"/>
            <w:tcBorders>
              <w:top w:val="nil"/>
              <w:left w:val="nil"/>
              <w:bottom w:val="nil"/>
              <w:right w:val="nil"/>
            </w:tcBorders>
            <w:shd w:val="clear" w:color="auto" w:fill="auto"/>
            <w:noWrap/>
            <w:vAlign w:val="bottom"/>
            <w:hideMark/>
          </w:tcPr>
          <w:p w14:paraId="5A89D1E4" w14:textId="77777777" w:rsidR="00B71716" w:rsidRPr="00111781" w:rsidRDefault="00B71716" w:rsidP="00B71716">
            <w:pPr>
              <w:spacing w:after="0" w:line="240" w:lineRule="auto"/>
              <w:jc w:val="right"/>
              <w:rPr>
                <w:rFonts w:ascii="Times New Roman" w:hAnsi="Times New Roman"/>
                <w:sz w:val="20"/>
                <w:szCs w:val="20"/>
                <w:lang w:eastAsia="en-AU"/>
              </w:rPr>
            </w:pPr>
          </w:p>
        </w:tc>
        <w:tc>
          <w:tcPr>
            <w:tcW w:w="5372" w:type="dxa"/>
            <w:gridSpan w:val="2"/>
            <w:tcBorders>
              <w:top w:val="nil"/>
              <w:left w:val="nil"/>
              <w:bottom w:val="nil"/>
              <w:right w:val="nil"/>
            </w:tcBorders>
            <w:shd w:val="clear" w:color="auto" w:fill="auto"/>
            <w:noWrap/>
            <w:vAlign w:val="bottom"/>
            <w:hideMark/>
          </w:tcPr>
          <w:p w14:paraId="744610FC" w14:textId="77777777" w:rsidR="00B71716" w:rsidRPr="00111781" w:rsidRDefault="00B71716" w:rsidP="00B71716">
            <w:pPr>
              <w:spacing w:after="0" w:line="240" w:lineRule="auto"/>
              <w:rPr>
                <w:rFonts w:ascii="Calibri" w:hAnsi="Calibri" w:cs="Calibri"/>
                <w:color w:val="000000"/>
                <w:szCs w:val="22"/>
                <w:lang w:eastAsia="en-AU"/>
              </w:rPr>
            </w:pPr>
            <w:r w:rsidRPr="00111781">
              <w:rPr>
                <w:rFonts w:ascii="Calibri" w:hAnsi="Calibri" w:cs="Calibri"/>
                <w:color w:val="000000"/>
                <w:szCs w:val="22"/>
                <w:lang w:eastAsia="en-AU"/>
              </w:rPr>
              <w:t>Recent life-stage event (employment, education)</w:t>
            </w:r>
          </w:p>
        </w:tc>
        <w:tc>
          <w:tcPr>
            <w:tcW w:w="1036" w:type="dxa"/>
            <w:tcBorders>
              <w:top w:val="nil"/>
              <w:left w:val="nil"/>
              <w:bottom w:val="nil"/>
              <w:right w:val="nil"/>
            </w:tcBorders>
            <w:shd w:val="clear" w:color="auto" w:fill="auto"/>
            <w:noWrap/>
            <w:vAlign w:val="bottom"/>
            <w:hideMark/>
          </w:tcPr>
          <w:p w14:paraId="3F0688BC" w14:textId="77777777" w:rsidR="00B71716" w:rsidRPr="00111781" w:rsidRDefault="00B71716" w:rsidP="00B71716">
            <w:pPr>
              <w:spacing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9</w:t>
            </w:r>
          </w:p>
        </w:tc>
        <w:tc>
          <w:tcPr>
            <w:tcW w:w="1596" w:type="dxa"/>
            <w:tcBorders>
              <w:top w:val="nil"/>
              <w:left w:val="nil"/>
              <w:bottom w:val="nil"/>
              <w:right w:val="nil"/>
            </w:tcBorders>
            <w:shd w:val="clear" w:color="auto" w:fill="auto"/>
            <w:noWrap/>
            <w:vAlign w:val="bottom"/>
            <w:hideMark/>
          </w:tcPr>
          <w:p w14:paraId="78B8716E" w14:textId="77777777" w:rsidR="00B71716" w:rsidRPr="00111781" w:rsidRDefault="00B71716" w:rsidP="00B71716">
            <w:pPr>
              <w:spacing w:after="0" w:line="240" w:lineRule="auto"/>
              <w:jc w:val="right"/>
              <w:rPr>
                <w:rFonts w:ascii="Calibri" w:hAnsi="Calibri" w:cs="Calibri"/>
                <w:color w:val="000000"/>
                <w:szCs w:val="22"/>
                <w:lang w:eastAsia="en-AU"/>
              </w:rPr>
            </w:pPr>
          </w:p>
        </w:tc>
      </w:tr>
      <w:tr w:rsidR="00B71716" w:rsidRPr="00111781" w14:paraId="2053EF33" w14:textId="77777777" w:rsidTr="00B71716">
        <w:trPr>
          <w:trHeight w:val="285"/>
        </w:trPr>
        <w:tc>
          <w:tcPr>
            <w:tcW w:w="1036" w:type="dxa"/>
            <w:tcBorders>
              <w:top w:val="nil"/>
              <w:left w:val="nil"/>
              <w:bottom w:val="nil"/>
              <w:right w:val="nil"/>
            </w:tcBorders>
            <w:shd w:val="clear" w:color="auto" w:fill="auto"/>
            <w:noWrap/>
            <w:vAlign w:val="bottom"/>
            <w:hideMark/>
          </w:tcPr>
          <w:p w14:paraId="172A10B2" w14:textId="77777777" w:rsidR="00B71716" w:rsidRPr="00111781" w:rsidRDefault="00B71716" w:rsidP="00B71716">
            <w:pPr>
              <w:spacing w:after="0" w:line="240" w:lineRule="auto"/>
              <w:jc w:val="right"/>
              <w:rPr>
                <w:rFonts w:ascii="Times New Roman" w:hAnsi="Times New Roman"/>
                <w:sz w:val="20"/>
                <w:szCs w:val="20"/>
                <w:lang w:eastAsia="en-AU"/>
              </w:rPr>
            </w:pPr>
          </w:p>
        </w:tc>
        <w:tc>
          <w:tcPr>
            <w:tcW w:w="5372" w:type="dxa"/>
            <w:gridSpan w:val="2"/>
            <w:tcBorders>
              <w:top w:val="nil"/>
              <w:left w:val="nil"/>
              <w:bottom w:val="nil"/>
              <w:right w:val="nil"/>
            </w:tcBorders>
            <w:shd w:val="clear" w:color="auto" w:fill="auto"/>
            <w:noWrap/>
            <w:vAlign w:val="bottom"/>
            <w:hideMark/>
          </w:tcPr>
          <w:p w14:paraId="43CF42F2" w14:textId="77777777" w:rsidR="00B71716" w:rsidRPr="00111781" w:rsidRDefault="00B71716" w:rsidP="00B71716">
            <w:pPr>
              <w:spacing w:after="0" w:line="240" w:lineRule="auto"/>
              <w:rPr>
                <w:rFonts w:ascii="Calibri" w:hAnsi="Calibri" w:cs="Calibri"/>
                <w:color w:val="000000"/>
                <w:szCs w:val="22"/>
                <w:lang w:eastAsia="en-AU"/>
              </w:rPr>
            </w:pPr>
            <w:r w:rsidRPr="00111781">
              <w:rPr>
                <w:rFonts w:ascii="Calibri" w:hAnsi="Calibri" w:cs="Calibri"/>
                <w:color w:val="000000"/>
                <w:szCs w:val="22"/>
                <w:lang w:eastAsia="en-AU"/>
              </w:rPr>
              <w:t>Previous support system now transitioned to NDIS</w:t>
            </w:r>
          </w:p>
        </w:tc>
        <w:tc>
          <w:tcPr>
            <w:tcW w:w="1036" w:type="dxa"/>
            <w:tcBorders>
              <w:top w:val="nil"/>
              <w:left w:val="nil"/>
              <w:bottom w:val="nil"/>
              <w:right w:val="nil"/>
            </w:tcBorders>
            <w:shd w:val="clear" w:color="auto" w:fill="auto"/>
            <w:noWrap/>
            <w:vAlign w:val="bottom"/>
            <w:hideMark/>
          </w:tcPr>
          <w:p w14:paraId="0148264B" w14:textId="77777777" w:rsidR="00B71716" w:rsidRPr="00111781" w:rsidRDefault="00B71716" w:rsidP="00B71716">
            <w:pPr>
              <w:spacing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2</w:t>
            </w:r>
          </w:p>
        </w:tc>
        <w:tc>
          <w:tcPr>
            <w:tcW w:w="1596" w:type="dxa"/>
            <w:tcBorders>
              <w:top w:val="nil"/>
              <w:left w:val="nil"/>
              <w:bottom w:val="nil"/>
              <w:right w:val="nil"/>
            </w:tcBorders>
            <w:shd w:val="clear" w:color="auto" w:fill="auto"/>
            <w:noWrap/>
            <w:vAlign w:val="bottom"/>
            <w:hideMark/>
          </w:tcPr>
          <w:p w14:paraId="47F1BFB2" w14:textId="77777777" w:rsidR="00B71716" w:rsidRPr="00111781" w:rsidRDefault="00B71716" w:rsidP="00B71716">
            <w:pPr>
              <w:spacing w:after="0" w:line="240" w:lineRule="auto"/>
              <w:jc w:val="right"/>
              <w:rPr>
                <w:rFonts w:ascii="Calibri" w:hAnsi="Calibri" w:cs="Calibri"/>
                <w:color w:val="000000"/>
                <w:szCs w:val="22"/>
                <w:lang w:eastAsia="en-AU"/>
              </w:rPr>
            </w:pPr>
          </w:p>
        </w:tc>
      </w:tr>
      <w:tr w:rsidR="00B71716" w:rsidRPr="00111781" w14:paraId="6D09AE44" w14:textId="77777777" w:rsidTr="00B71716">
        <w:trPr>
          <w:trHeight w:val="285"/>
        </w:trPr>
        <w:tc>
          <w:tcPr>
            <w:tcW w:w="1036" w:type="dxa"/>
            <w:tcBorders>
              <w:top w:val="nil"/>
              <w:left w:val="nil"/>
              <w:bottom w:val="nil"/>
              <w:right w:val="nil"/>
            </w:tcBorders>
            <w:shd w:val="clear" w:color="auto" w:fill="auto"/>
            <w:noWrap/>
            <w:vAlign w:val="bottom"/>
            <w:hideMark/>
          </w:tcPr>
          <w:p w14:paraId="4F0C4D2B" w14:textId="77777777" w:rsidR="00B71716" w:rsidRPr="00111781" w:rsidRDefault="00B71716" w:rsidP="00B71716">
            <w:pPr>
              <w:spacing w:after="0" w:line="240" w:lineRule="auto"/>
              <w:jc w:val="right"/>
              <w:rPr>
                <w:rFonts w:ascii="Times New Roman" w:hAnsi="Times New Roman"/>
                <w:sz w:val="20"/>
                <w:szCs w:val="20"/>
                <w:lang w:eastAsia="en-AU"/>
              </w:rPr>
            </w:pPr>
          </w:p>
        </w:tc>
        <w:tc>
          <w:tcPr>
            <w:tcW w:w="856" w:type="dxa"/>
            <w:tcBorders>
              <w:top w:val="nil"/>
              <w:left w:val="nil"/>
              <w:bottom w:val="nil"/>
              <w:right w:val="nil"/>
            </w:tcBorders>
            <w:shd w:val="clear" w:color="auto" w:fill="auto"/>
            <w:noWrap/>
            <w:vAlign w:val="bottom"/>
            <w:hideMark/>
          </w:tcPr>
          <w:p w14:paraId="25F95C10" w14:textId="77777777" w:rsidR="00B71716" w:rsidRPr="00111781" w:rsidRDefault="00B71716" w:rsidP="00B71716">
            <w:pPr>
              <w:spacing w:after="0" w:line="240" w:lineRule="auto"/>
              <w:rPr>
                <w:rFonts w:ascii="Calibri" w:hAnsi="Calibri" w:cs="Calibri"/>
                <w:color w:val="000000"/>
                <w:szCs w:val="22"/>
                <w:lang w:eastAsia="en-AU"/>
              </w:rPr>
            </w:pPr>
            <w:r w:rsidRPr="00111781">
              <w:rPr>
                <w:rFonts w:ascii="Calibri" w:hAnsi="Calibri" w:cs="Calibri"/>
                <w:color w:val="000000"/>
                <w:szCs w:val="22"/>
                <w:lang w:eastAsia="en-AU"/>
              </w:rPr>
              <w:t>Other</w:t>
            </w:r>
          </w:p>
        </w:tc>
        <w:tc>
          <w:tcPr>
            <w:tcW w:w="4516" w:type="dxa"/>
            <w:tcBorders>
              <w:top w:val="nil"/>
              <w:left w:val="nil"/>
              <w:bottom w:val="nil"/>
              <w:right w:val="nil"/>
            </w:tcBorders>
            <w:shd w:val="clear" w:color="auto" w:fill="auto"/>
            <w:noWrap/>
            <w:vAlign w:val="bottom"/>
            <w:hideMark/>
          </w:tcPr>
          <w:p w14:paraId="6A4DABCD" w14:textId="77777777" w:rsidR="00B71716" w:rsidRPr="00111781" w:rsidRDefault="00B71716" w:rsidP="00B71716">
            <w:pPr>
              <w:spacing w:after="0" w:line="240" w:lineRule="auto"/>
              <w:rPr>
                <w:rFonts w:ascii="Calibri" w:hAnsi="Calibri" w:cs="Calibri"/>
                <w:color w:val="000000"/>
                <w:szCs w:val="22"/>
                <w:lang w:eastAsia="en-AU"/>
              </w:rPr>
            </w:pPr>
          </w:p>
        </w:tc>
        <w:tc>
          <w:tcPr>
            <w:tcW w:w="1036" w:type="dxa"/>
            <w:tcBorders>
              <w:top w:val="nil"/>
              <w:left w:val="nil"/>
              <w:bottom w:val="nil"/>
              <w:right w:val="nil"/>
            </w:tcBorders>
            <w:shd w:val="clear" w:color="auto" w:fill="auto"/>
            <w:noWrap/>
            <w:vAlign w:val="bottom"/>
            <w:hideMark/>
          </w:tcPr>
          <w:p w14:paraId="40C4B715" w14:textId="77777777" w:rsidR="00B71716" w:rsidRPr="00111781" w:rsidRDefault="00B71716" w:rsidP="00B71716">
            <w:pPr>
              <w:spacing w:after="0" w:line="240" w:lineRule="auto"/>
              <w:jc w:val="right"/>
              <w:rPr>
                <w:rFonts w:ascii="Calibri" w:hAnsi="Calibri" w:cs="Calibri"/>
                <w:color w:val="000000"/>
                <w:szCs w:val="22"/>
                <w:lang w:eastAsia="en-AU"/>
              </w:rPr>
            </w:pPr>
            <w:r w:rsidRPr="00111781">
              <w:rPr>
                <w:rFonts w:ascii="Calibri" w:hAnsi="Calibri" w:cs="Calibri"/>
                <w:color w:val="000000"/>
                <w:szCs w:val="22"/>
                <w:lang w:eastAsia="en-AU"/>
              </w:rPr>
              <w:t>48</w:t>
            </w:r>
          </w:p>
        </w:tc>
        <w:tc>
          <w:tcPr>
            <w:tcW w:w="1596" w:type="dxa"/>
            <w:tcBorders>
              <w:top w:val="nil"/>
              <w:left w:val="nil"/>
              <w:bottom w:val="nil"/>
              <w:right w:val="nil"/>
            </w:tcBorders>
            <w:shd w:val="clear" w:color="auto" w:fill="auto"/>
            <w:noWrap/>
            <w:vAlign w:val="bottom"/>
            <w:hideMark/>
          </w:tcPr>
          <w:p w14:paraId="55B071C6" w14:textId="77777777" w:rsidR="00B71716" w:rsidRPr="00111781" w:rsidRDefault="00B71716" w:rsidP="00B71716">
            <w:pPr>
              <w:spacing w:after="0" w:line="240" w:lineRule="auto"/>
              <w:jc w:val="right"/>
              <w:rPr>
                <w:rFonts w:ascii="Calibri" w:hAnsi="Calibri" w:cs="Calibri"/>
                <w:color w:val="000000"/>
                <w:szCs w:val="22"/>
                <w:lang w:eastAsia="en-AU"/>
              </w:rPr>
            </w:pPr>
          </w:p>
        </w:tc>
      </w:tr>
      <w:tr w:rsidR="00B71716" w:rsidRPr="00111781" w14:paraId="212D8ED8" w14:textId="77777777" w:rsidTr="00B71716">
        <w:trPr>
          <w:trHeight w:val="293"/>
        </w:trPr>
        <w:tc>
          <w:tcPr>
            <w:tcW w:w="6408" w:type="dxa"/>
            <w:gridSpan w:val="3"/>
            <w:tcBorders>
              <w:top w:val="single" w:sz="4" w:space="0" w:color="auto"/>
              <w:left w:val="nil"/>
              <w:bottom w:val="single" w:sz="8" w:space="0" w:color="auto"/>
              <w:right w:val="nil"/>
            </w:tcBorders>
            <w:shd w:val="clear" w:color="000000" w:fill="D3C5D7"/>
            <w:noWrap/>
            <w:vAlign w:val="bottom"/>
            <w:hideMark/>
          </w:tcPr>
          <w:p w14:paraId="276F51C7" w14:textId="77777777" w:rsidR="00B71716" w:rsidRPr="00111781" w:rsidRDefault="00B71716" w:rsidP="00B71716">
            <w:pPr>
              <w:spacing w:after="0" w:line="240" w:lineRule="auto"/>
              <w:rPr>
                <w:rFonts w:ascii="Calibri" w:hAnsi="Calibri" w:cs="Calibri"/>
                <w:b/>
                <w:bCs/>
                <w:color w:val="000000"/>
                <w:szCs w:val="22"/>
                <w:lang w:eastAsia="en-AU"/>
              </w:rPr>
            </w:pPr>
            <w:r w:rsidRPr="00111781">
              <w:rPr>
                <w:rFonts w:ascii="Calibri" w:hAnsi="Calibri" w:cs="Calibri"/>
                <w:b/>
                <w:bCs/>
                <w:color w:val="000000"/>
                <w:szCs w:val="22"/>
                <w:lang w:eastAsia="en-AU"/>
              </w:rPr>
              <w:t>Total likely to be previously unmet need</w:t>
            </w:r>
          </w:p>
        </w:tc>
        <w:tc>
          <w:tcPr>
            <w:tcW w:w="1036" w:type="dxa"/>
            <w:tcBorders>
              <w:top w:val="single" w:sz="4" w:space="0" w:color="auto"/>
              <w:left w:val="nil"/>
              <w:bottom w:val="single" w:sz="8" w:space="0" w:color="auto"/>
              <w:right w:val="nil"/>
            </w:tcBorders>
            <w:shd w:val="clear" w:color="000000" w:fill="D3C5D7"/>
            <w:noWrap/>
            <w:vAlign w:val="bottom"/>
            <w:hideMark/>
          </w:tcPr>
          <w:p w14:paraId="74A1087F" w14:textId="77777777" w:rsidR="00B71716" w:rsidRPr="00111781" w:rsidRDefault="00B71716" w:rsidP="00B71716">
            <w:pPr>
              <w:spacing w:after="0" w:line="240" w:lineRule="auto"/>
              <w:jc w:val="right"/>
              <w:rPr>
                <w:rFonts w:ascii="Calibri" w:hAnsi="Calibri" w:cs="Calibri"/>
                <w:b/>
                <w:bCs/>
                <w:color w:val="000000"/>
                <w:szCs w:val="22"/>
                <w:lang w:eastAsia="en-AU"/>
              </w:rPr>
            </w:pPr>
            <w:r w:rsidRPr="00111781">
              <w:rPr>
                <w:rFonts w:ascii="Calibri" w:hAnsi="Calibri" w:cs="Calibri"/>
                <w:b/>
                <w:bCs/>
                <w:color w:val="000000"/>
                <w:szCs w:val="22"/>
                <w:lang w:eastAsia="en-AU"/>
              </w:rPr>
              <w:t>224</w:t>
            </w:r>
          </w:p>
        </w:tc>
        <w:tc>
          <w:tcPr>
            <w:tcW w:w="1596" w:type="dxa"/>
            <w:tcBorders>
              <w:top w:val="single" w:sz="4" w:space="0" w:color="auto"/>
              <w:left w:val="nil"/>
              <w:bottom w:val="single" w:sz="8" w:space="0" w:color="auto"/>
              <w:right w:val="nil"/>
            </w:tcBorders>
            <w:shd w:val="clear" w:color="000000" w:fill="D3C5D7"/>
            <w:noWrap/>
            <w:vAlign w:val="bottom"/>
            <w:hideMark/>
          </w:tcPr>
          <w:p w14:paraId="60CFDBBB" w14:textId="77777777" w:rsidR="00B71716" w:rsidRPr="00111781" w:rsidRDefault="00B71716" w:rsidP="00B71716">
            <w:pPr>
              <w:spacing w:after="0" w:line="240" w:lineRule="auto"/>
              <w:jc w:val="right"/>
              <w:rPr>
                <w:rFonts w:ascii="Calibri" w:hAnsi="Calibri" w:cs="Calibri"/>
                <w:b/>
                <w:bCs/>
                <w:color w:val="000000"/>
                <w:szCs w:val="22"/>
                <w:lang w:eastAsia="en-AU"/>
              </w:rPr>
            </w:pPr>
            <w:r w:rsidRPr="00111781">
              <w:rPr>
                <w:rFonts w:ascii="Calibri" w:hAnsi="Calibri" w:cs="Calibri"/>
                <w:b/>
                <w:bCs/>
                <w:color w:val="000000"/>
                <w:szCs w:val="22"/>
                <w:lang w:eastAsia="en-AU"/>
              </w:rPr>
              <w:t>22%</w:t>
            </w:r>
          </w:p>
        </w:tc>
      </w:tr>
      <w:tr w:rsidR="00B71716" w:rsidRPr="00111781" w14:paraId="7B973027" w14:textId="77777777" w:rsidTr="00B71716">
        <w:trPr>
          <w:trHeight w:val="293"/>
        </w:trPr>
        <w:tc>
          <w:tcPr>
            <w:tcW w:w="1892" w:type="dxa"/>
            <w:gridSpan w:val="2"/>
            <w:tcBorders>
              <w:top w:val="single" w:sz="8" w:space="0" w:color="auto"/>
              <w:left w:val="nil"/>
              <w:bottom w:val="single" w:sz="8" w:space="0" w:color="auto"/>
              <w:right w:val="nil"/>
            </w:tcBorders>
            <w:shd w:val="clear" w:color="000000" w:fill="D3C5D7"/>
            <w:noWrap/>
            <w:vAlign w:val="bottom"/>
            <w:hideMark/>
          </w:tcPr>
          <w:p w14:paraId="6BCDBC3F" w14:textId="77777777" w:rsidR="00B71716" w:rsidRPr="00111781" w:rsidRDefault="00B71716" w:rsidP="00B71716">
            <w:pPr>
              <w:spacing w:after="0" w:line="240" w:lineRule="auto"/>
              <w:rPr>
                <w:rFonts w:ascii="Calibri" w:hAnsi="Calibri" w:cs="Calibri"/>
                <w:b/>
                <w:bCs/>
                <w:color w:val="000000"/>
                <w:szCs w:val="22"/>
                <w:lang w:eastAsia="en-AU"/>
              </w:rPr>
            </w:pPr>
            <w:r w:rsidRPr="00111781">
              <w:rPr>
                <w:rFonts w:ascii="Calibri" w:hAnsi="Calibri" w:cs="Calibri"/>
                <w:b/>
                <w:bCs/>
                <w:color w:val="000000"/>
                <w:szCs w:val="22"/>
                <w:lang w:eastAsia="en-AU"/>
              </w:rPr>
              <w:t>Grand Total</w:t>
            </w:r>
          </w:p>
        </w:tc>
        <w:tc>
          <w:tcPr>
            <w:tcW w:w="4516" w:type="dxa"/>
            <w:tcBorders>
              <w:top w:val="nil"/>
              <w:left w:val="nil"/>
              <w:bottom w:val="single" w:sz="8" w:space="0" w:color="auto"/>
              <w:right w:val="nil"/>
            </w:tcBorders>
            <w:shd w:val="clear" w:color="000000" w:fill="D3C5D7"/>
            <w:noWrap/>
            <w:vAlign w:val="bottom"/>
            <w:hideMark/>
          </w:tcPr>
          <w:p w14:paraId="4EBBBD8A" w14:textId="77777777" w:rsidR="00B71716" w:rsidRPr="00111781" w:rsidRDefault="00B71716" w:rsidP="00B71716">
            <w:pPr>
              <w:spacing w:after="0" w:line="240" w:lineRule="auto"/>
              <w:rPr>
                <w:rFonts w:ascii="Calibri" w:hAnsi="Calibri" w:cs="Calibri"/>
                <w:color w:val="000000"/>
                <w:szCs w:val="22"/>
                <w:lang w:eastAsia="en-AU"/>
              </w:rPr>
            </w:pPr>
            <w:r w:rsidRPr="00111781">
              <w:rPr>
                <w:rFonts w:ascii="Calibri" w:hAnsi="Calibri" w:cs="Calibri"/>
                <w:color w:val="000000"/>
                <w:szCs w:val="22"/>
                <w:lang w:eastAsia="en-AU"/>
              </w:rPr>
              <w:t> </w:t>
            </w:r>
          </w:p>
        </w:tc>
        <w:tc>
          <w:tcPr>
            <w:tcW w:w="1036" w:type="dxa"/>
            <w:tcBorders>
              <w:top w:val="nil"/>
              <w:left w:val="nil"/>
              <w:bottom w:val="single" w:sz="8" w:space="0" w:color="auto"/>
              <w:right w:val="nil"/>
            </w:tcBorders>
            <w:shd w:val="clear" w:color="000000" w:fill="D3C5D7"/>
            <w:noWrap/>
            <w:vAlign w:val="bottom"/>
            <w:hideMark/>
          </w:tcPr>
          <w:p w14:paraId="13632C54" w14:textId="77777777" w:rsidR="00B71716" w:rsidRPr="00111781" w:rsidRDefault="00B71716" w:rsidP="00B71716">
            <w:pPr>
              <w:spacing w:after="0" w:line="240" w:lineRule="auto"/>
              <w:jc w:val="right"/>
              <w:rPr>
                <w:rFonts w:ascii="Calibri" w:hAnsi="Calibri" w:cs="Calibri"/>
                <w:b/>
                <w:bCs/>
                <w:color w:val="000000"/>
                <w:szCs w:val="22"/>
                <w:lang w:eastAsia="en-AU"/>
              </w:rPr>
            </w:pPr>
            <w:r w:rsidRPr="00111781">
              <w:rPr>
                <w:rFonts w:ascii="Calibri" w:hAnsi="Calibri" w:cs="Calibri"/>
                <w:b/>
                <w:bCs/>
                <w:color w:val="000000"/>
                <w:szCs w:val="22"/>
                <w:lang w:eastAsia="en-AU"/>
              </w:rPr>
              <w:t>1,001</w:t>
            </w:r>
          </w:p>
        </w:tc>
        <w:tc>
          <w:tcPr>
            <w:tcW w:w="1596" w:type="dxa"/>
            <w:tcBorders>
              <w:top w:val="nil"/>
              <w:left w:val="nil"/>
              <w:bottom w:val="single" w:sz="8" w:space="0" w:color="auto"/>
              <w:right w:val="nil"/>
            </w:tcBorders>
            <w:shd w:val="clear" w:color="000000" w:fill="D3C5D7"/>
            <w:noWrap/>
            <w:vAlign w:val="bottom"/>
            <w:hideMark/>
          </w:tcPr>
          <w:p w14:paraId="5EA85A25" w14:textId="77777777" w:rsidR="00B71716" w:rsidRPr="00111781" w:rsidRDefault="00B71716" w:rsidP="00B71716">
            <w:pPr>
              <w:spacing w:after="0" w:line="240" w:lineRule="auto"/>
              <w:jc w:val="right"/>
              <w:rPr>
                <w:rFonts w:ascii="Calibri" w:hAnsi="Calibri" w:cs="Calibri"/>
                <w:b/>
                <w:bCs/>
                <w:color w:val="000000"/>
                <w:szCs w:val="22"/>
                <w:lang w:eastAsia="en-AU"/>
              </w:rPr>
            </w:pPr>
            <w:r w:rsidRPr="00111781">
              <w:rPr>
                <w:rFonts w:ascii="Calibri" w:hAnsi="Calibri" w:cs="Calibri"/>
                <w:b/>
                <w:bCs/>
                <w:color w:val="000000"/>
                <w:szCs w:val="22"/>
                <w:lang w:eastAsia="en-AU"/>
              </w:rPr>
              <w:t>100%</w:t>
            </w:r>
          </w:p>
        </w:tc>
      </w:tr>
    </w:tbl>
    <w:p w14:paraId="721F4BE4" w14:textId="77777777" w:rsidR="000B37DA" w:rsidRDefault="000B37DA" w:rsidP="00DA3F73">
      <w:pPr>
        <w:pStyle w:val="FSRHeading6"/>
      </w:pPr>
    </w:p>
    <w:p w14:paraId="35AF5042" w14:textId="77777777" w:rsidR="000B37DA" w:rsidRDefault="000B37DA">
      <w:pPr>
        <w:spacing w:after="160" w:line="259" w:lineRule="auto"/>
        <w:rPr>
          <w:b/>
          <w:color w:val="6B2976"/>
        </w:rPr>
      </w:pPr>
      <w:r>
        <w:br w:type="page"/>
      </w:r>
    </w:p>
    <w:p w14:paraId="21A6B325" w14:textId="77777777" w:rsidR="00B71716" w:rsidRPr="00F72705" w:rsidRDefault="00B71716" w:rsidP="00DA3F73">
      <w:pPr>
        <w:pStyle w:val="FSRHeading6"/>
      </w:pPr>
      <w:r w:rsidRPr="00F72705">
        <w:lastRenderedPageBreak/>
        <w:t>Results</w:t>
      </w:r>
    </w:p>
    <w:p w14:paraId="13334AA4" w14:textId="77777777" w:rsidR="00B71716" w:rsidRPr="00F72705" w:rsidRDefault="00B71716" w:rsidP="00B71716">
      <w:pPr>
        <w:pStyle w:val="FSRnormal"/>
      </w:pPr>
      <w:r w:rsidRPr="00F72705">
        <w:t>Based on the analysis of the sample, approximately 12</w:t>
      </w:r>
      <w:r w:rsidRPr="00504BEC">
        <w:t xml:space="preserve">% of the </w:t>
      </w:r>
      <w:r w:rsidR="00AF3D46" w:rsidRPr="00B62A8A">
        <w:t xml:space="preserve">entire recently </w:t>
      </w:r>
      <w:r w:rsidRPr="00F1235C">
        <w:t xml:space="preserve">observed new entrant experience </w:t>
      </w:r>
      <w:r w:rsidR="00AF3D46" w:rsidRPr="00F1235C">
        <w:t xml:space="preserve">across </w:t>
      </w:r>
      <w:r w:rsidRPr="00F1235C">
        <w:t>all participants is estimated to be previously</w:t>
      </w:r>
      <w:r w:rsidRPr="00F72705">
        <w:t xml:space="preserve"> unmet need. </w:t>
      </w:r>
      <w:r w:rsidR="00FE598E" w:rsidRPr="00F830E6">
        <w:t xml:space="preserve">This comprises an assumed rate of 19% for participants aged 7 and over and 0% for participants aged 0 to 6, </w:t>
      </w:r>
      <w:r w:rsidR="00F26D43">
        <w:t>for wh</w:t>
      </w:r>
      <w:r w:rsidR="00AF3D46">
        <w:t>om</w:t>
      </w:r>
      <w:r w:rsidR="00FE598E" w:rsidRPr="00F830E6">
        <w:t xml:space="preserve"> the assumed rate of previously unmet need is effectively zero given that the Scheme has been in existence for at least three years across all of Australia.</w:t>
      </w:r>
      <w:r w:rsidR="00FE598E">
        <w:rPr>
          <w:rStyle w:val="cf01"/>
        </w:rPr>
        <w:t xml:space="preserve"> </w:t>
      </w:r>
    </w:p>
    <w:p w14:paraId="31C331E6" w14:textId="77777777" w:rsidR="00B71716" w:rsidRPr="00F72705" w:rsidRDefault="00B71716" w:rsidP="00B71716">
      <w:pPr>
        <w:pStyle w:val="FSRnormal"/>
      </w:pPr>
      <w:r w:rsidRPr="00F72705">
        <w:t xml:space="preserve">The overall proportion of 19% </w:t>
      </w:r>
      <w:r w:rsidR="00F755A0">
        <w:t xml:space="preserve">for ages 7 and over </w:t>
      </w:r>
      <w:r w:rsidRPr="00F72705">
        <w:t xml:space="preserve">differs from the 22% of the sample figure referred to </w:t>
      </w:r>
      <w:r w:rsidR="00176685">
        <w:t>in Table H.1</w:t>
      </w:r>
      <w:r w:rsidR="00176685" w:rsidRPr="00F72705">
        <w:t xml:space="preserve"> </w:t>
      </w:r>
      <w:r w:rsidRPr="00F72705">
        <w:t>due to differences in the mix of participants in the sample compared with all new entrants.</w:t>
      </w:r>
    </w:p>
    <w:p w14:paraId="285E0080" w14:textId="77777777" w:rsidR="00B71716" w:rsidRPr="00F72705" w:rsidRDefault="00AF3D46" w:rsidP="00B71716">
      <w:pPr>
        <w:pStyle w:val="FSRnormal"/>
      </w:pPr>
      <w:r>
        <w:t xml:space="preserve">In relation to the </w:t>
      </w:r>
      <w:r w:rsidR="00B71716" w:rsidRPr="00F72705">
        <w:t xml:space="preserve">previously unmet need </w:t>
      </w:r>
      <w:r>
        <w:t>proportions</w:t>
      </w:r>
      <w:r w:rsidR="00B71716" w:rsidRPr="00F72705">
        <w:t>:</w:t>
      </w:r>
    </w:p>
    <w:p w14:paraId="3945EDF7" w14:textId="77777777" w:rsidR="00B71716" w:rsidRPr="00F72705" w:rsidRDefault="00AF3D46" w:rsidP="00DA3F73">
      <w:pPr>
        <w:pStyle w:val="FSRlist"/>
      </w:pPr>
      <w:r>
        <w:t>t</w:t>
      </w:r>
      <w:r w:rsidR="00B71716" w:rsidRPr="00F72705">
        <w:t xml:space="preserve">he PUN proportion for both males and females </w:t>
      </w:r>
      <w:r>
        <w:t xml:space="preserve">were observed </w:t>
      </w:r>
      <w:r w:rsidR="00B71716" w:rsidRPr="00F72705">
        <w:t xml:space="preserve">to </w:t>
      </w:r>
      <w:r>
        <w:t xml:space="preserve">increase with </w:t>
      </w:r>
      <w:r w:rsidR="00B71716" w:rsidRPr="00F72705">
        <w:t>age</w:t>
      </w:r>
      <w:r>
        <w:t>; and</w:t>
      </w:r>
    </w:p>
    <w:p w14:paraId="4AC6F0CD" w14:textId="77777777" w:rsidR="00B71716" w:rsidRPr="00F72705" w:rsidRDefault="00AF3D46" w:rsidP="00DA3F73">
      <w:pPr>
        <w:pStyle w:val="FSRlist"/>
      </w:pPr>
      <w:r>
        <w:t>a</w:t>
      </w:r>
      <w:r w:rsidR="00B71716" w:rsidRPr="00F72705">
        <w:t xml:space="preserve"> higher proportion of PUN participants was observed for psychological disability (in particularly for males) compared to all other disability types.</w:t>
      </w:r>
    </w:p>
    <w:p w14:paraId="4D10BAAB" w14:textId="77777777" w:rsidR="00B71716" w:rsidRPr="00F72705" w:rsidRDefault="00AF3D46" w:rsidP="00B71716">
      <w:pPr>
        <w:pStyle w:val="FSRnormal"/>
      </w:pPr>
      <w:r>
        <w:t xml:space="preserve">Accordingly </w:t>
      </w:r>
      <w:r w:rsidR="00B71716" w:rsidRPr="00F72705">
        <w:t xml:space="preserve">PUN </w:t>
      </w:r>
      <w:r>
        <w:t xml:space="preserve">assumptions </w:t>
      </w:r>
      <w:r w:rsidR="00B71716" w:rsidRPr="00F72705">
        <w:t xml:space="preserve">were fitted </w:t>
      </w:r>
      <w:r>
        <w:t xml:space="preserve">separately by age, </w:t>
      </w:r>
      <w:r w:rsidR="00B71716" w:rsidRPr="00F72705">
        <w:t>for males and females</w:t>
      </w:r>
      <w:r>
        <w:t xml:space="preserve">, and for participants with </w:t>
      </w:r>
      <w:r w:rsidR="00B71716" w:rsidRPr="00F72705">
        <w:t>psychosocial disabilit</w:t>
      </w:r>
      <w:r>
        <w:t>y</w:t>
      </w:r>
      <w:r w:rsidR="00B71716" w:rsidRPr="00F72705">
        <w:t>,</w:t>
      </w:r>
      <w:r>
        <w:t xml:space="preserve"> and </w:t>
      </w:r>
      <w:r w:rsidR="00B71716" w:rsidRPr="00F72705">
        <w:t xml:space="preserve">for all other disability types excluding psychosocial disability. The selected PUN proportions by age group, disability type and gender are summarised in </w:t>
      </w:r>
      <w:r w:rsidR="00CE338D">
        <w:t>Table H.</w:t>
      </w:r>
      <w:r w:rsidR="00CE338D">
        <w:rPr>
          <w:noProof/>
        </w:rPr>
        <w:t>2</w:t>
      </w:r>
      <w:r w:rsidR="00B71716" w:rsidRPr="00F72705">
        <w:t>.</w:t>
      </w:r>
    </w:p>
    <w:p w14:paraId="15D615EE" w14:textId="77777777" w:rsidR="00CE338D" w:rsidRPr="00994C5F" w:rsidRDefault="00CE338D" w:rsidP="00DA3F73">
      <w:pPr>
        <w:pStyle w:val="Tables"/>
      </w:pPr>
      <w:bookmarkStart w:id="457" w:name="_Ref114500913"/>
      <w:bookmarkStart w:id="458" w:name="_Ref114500905"/>
      <w:r>
        <w:t>Table H</w:t>
      </w:r>
      <w:r w:rsidR="00994C5F">
        <w:t>.</w:t>
      </w:r>
      <w:fldSimple w:instr=" SEQ Table \* ARABIC \s 2 ">
        <w:r w:rsidR="00A87896">
          <w:rPr>
            <w:noProof/>
          </w:rPr>
          <w:t>2</w:t>
        </w:r>
      </w:fldSimple>
      <w:bookmarkEnd w:id="457"/>
      <w:r>
        <w:t>:</w:t>
      </w:r>
      <w:r w:rsidRPr="00F72705">
        <w:t xml:space="preserve"> Selected </w:t>
      </w:r>
      <w:r w:rsidRPr="008B4177">
        <w:t xml:space="preserve">previously unmet need proportions by age group, disability type </w:t>
      </w:r>
      <w:r w:rsidRPr="00994C5F">
        <w:t>and gender</w:t>
      </w:r>
      <w:bookmarkEnd w:id="458"/>
    </w:p>
    <w:tbl>
      <w:tblPr>
        <w:tblW w:w="8637" w:type="dxa"/>
        <w:tblInd w:w="118" w:type="dxa"/>
        <w:tblLook w:val="04A0" w:firstRow="1" w:lastRow="0" w:firstColumn="1" w:lastColumn="0" w:noHBand="0" w:noVBand="1"/>
      </w:tblPr>
      <w:tblGrid>
        <w:gridCol w:w="1020"/>
        <w:gridCol w:w="1796"/>
        <w:gridCol w:w="1852"/>
        <w:gridCol w:w="2160"/>
        <w:gridCol w:w="1809"/>
      </w:tblGrid>
      <w:tr w:rsidR="00B71716" w:rsidRPr="00C91D96" w14:paraId="171B5260" w14:textId="77777777" w:rsidTr="00DA3F73">
        <w:trPr>
          <w:trHeight w:val="397"/>
          <w:tblHeader/>
        </w:trPr>
        <w:tc>
          <w:tcPr>
            <w:tcW w:w="1020" w:type="dxa"/>
            <w:shd w:val="clear" w:color="000000" w:fill="6B2976"/>
            <w:noWrap/>
            <w:vAlign w:val="bottom"/>
            <w:hideMark/>
          </w:tcPr>
          <w:p w14:paraId="5113FCD7" w14:textId="77777777" w:rsidR="00B71716" w:rsidRPr="00252EAF" w:rsidRDefault="00B71716" w:rsidP="00B71716">
            <w:pPr>
              <w:spacing w:after="0" w:line="240" w:lineRule="auto"/>
              <w:rPr>
                <w:rFonts w:cs="Arial"/>
                <w:b/>
                <w:color w:val="FFFFFF"/>
                <w:sz w:val="18"/>
                <w:szCs w:val="18"/>
                <w:lang w:eastAsia="en-AU"/>
              </w:rPr>
            </w:pPr>
            <w:r w:rsidRPr="00252EAF">
              <w:rPr>
                <w:rFonts w:cs="Arial"/>
                <w:b/>
                <w:color w:val="FFFFFF"/>
                <w:sz w:val="18"/>
                <w:szCs w:val="18"/>
                <w:lang w:eastAsia="en-AU"/>
              </w:rPr>
              <w:t> </w:t>
            </w:r>
          </w:p>
        </w:tc>
        <w:tc>
          <w:tcPr>
            <w:tcW w:w="7617" w:type="dxa"/>
            <w:gridSpan w:val="4"/>
            <w:tcBorders>
              <w:bottom w:val="single" w:sz="4" w:space="0" w:color="FFFFFF" w:themeColor="background1"/>
            </w:tcBorders>
            <w:shd w:val="clear" w:color="000000" w:fill="6B2976"/>
            <w:noWrap/>
            <w:vAlign w:val="center"/>
            <w:hideMark/>
          </w:tcPr>
          <w:p w14:paraId="06D7927C" w14:textId="77777777" w:rsidR="00B71716" w:rsidRPr="00252EAF" w:rsidRDefault="00B71716">
            <w:pPr>
              <w:spacing w:after="0" w:line="240" w:lineRule="auto"/>
              <w:jc w:val="center"/>
              <w:rPr>
                <w:rFonts w:cs="Arial"/>
                <w:b/>
                <w:color w:val="FFFFFF"/>
                <w:sz w:val="18"/>
                <w:szCs w:val="18"/>
                <w:lang w:eastAsia="en-AU"/>
              </w:rPr>
            </w:pPr>
            <w:r w:rsidRPr="00252EAF">
              <w:rPr>
                <w:rFonts w:cs="Arial"/>
                <w:b/>
                <w:color w:val="FFFFFF"/>
                <w:sz w:val="18"/>
                <w:szCs w:val="18"/>
                <w:lang w:eastAsia="en-AU"/>
              </w:rPr>
              <w:t>Selected previously unmet need proportion</w:t>
            </w:r>
          </w:p>
        </w:tc>
      </w:tr>
      <w:tr w:rsidR="00B71716" w:rsidRPr="00C91D96" w14:paraId="1254E983" w14:textId="77777777" w:rsidTr="00DA3F73">
        <w:trPr>
          <w:trHeight w:val="397"/>
          <w:tblHeader/>
        </w:trPr>
        <w:tc>
          <w:tcPr>
            <w:tcW w:w="1020" w:type="dxa"/>
            <w:shd w:val="clear" w:color="000000" w:fill="6B2976"/>
            <w:noWrap/>
            <w:vAlign w:val="bottom"/>
            <w:hideMark/>
          </w:tcPr>
          <w:p w14:paraId="0E33F09D" w14:textId="77777777" w:rsidR="00B71716" w:rsidRPr="00252EAF" w:rsidRDefault="00B71716" w:rsidP="00AC7010">
            <w:pPr>
              <w:spacing w:after="0" w:line="240" w:lineRule="auto"/>
              <w:rPr>
                <w:rFonts w:cs="Arial"/>
                <w:b/>
                <w:color w:val="FFFFFF"/>
                <w:sz w:val="18"/>
                <w:szCs w:val="18"/>
                <w:lang w:eastAsia="en-AU"/>
              </w:rPr>
            </w:pPr>
            <w:r w:rsidRPr="00252EAF">
              <w:rPr>
                <w:rFonts w:cs="Arial"/>
                <w:b/>
                <w:color w:val="FFFFFF"/>
                <w:sz w:val="18"/>
                <w:szCs w:val="18"/>
                <w:lang w:eastAsia="en-AU"/>
              </w:rPr>
              <w:t>Age</w:t>
            </w:r>
          </w:p>
        </w:tc>
        <w:tc>
          <w:tcPr>
            <w:tcW w:w="3648" w:type="dxa"/>
            <w:gridSpan w:val="2"/>
            <w:tcBorders>
              <w:top w:val="single" w:sz="4" w:space="0" w:color="FFFFFF" w:themeColor="background1"/>
              <w:bottom w:val="single" w:sz="4" w:space="0" w:color="FFFFFF" w:themeColor="background1"/>
              <w:right w:val="dotted" w:sz="4" w:space="0" w:color="auto"/>
            </w:tcBorders>
            <w:shd w:val="clear" w:color="000000" w:fill="6B2976"/>
            <w:noWrap/>
            <w:vAlign w:val="center"/>
            <w:hideMark/>
          </w:tcPr>
          <w:p w14:paraId="79A2724D" w14:textId="77777777" w:rsidR="00B71716" w:rsidRPr="00252EAF" w:rsidRDefault="00B71716" w:rsidP="00B71716">
            <w:pPr>
              <w:spacing w:after="0" w:line="240" w:lineRule="auto"/>
              <w:jc w:val="center"/>
              <w:rPr>
                <w:rFonts w:cs="Arial"/>
                <w:b/>
                <w:color w:val="FFFFFF"/>
                <w:sz w:val="18"/>
                <w:szCs w:val="18"/>
                <w:lang w:eastAsia="en-AU"/>
              </w:rPr>
            </w:pPr>
            <w:r w:rsidRPr="00252EAF">
              <w:rPr>
                <w:rFonts w:cs="Arial"/>
                <w:b/>
                <w:color w:val="FFFFFF"/>
                <w:sz w:val="18"/>
                <w:szCs w:val="18"/>
                <w:lang w:eastAsia="en-AU"/>
              </w:rPr>
              <w:t>Psychosocial disability</w:t>
            </w:r>
          </w:p>
        </w:tc>
        <w:tc>
          <w:tcPr>
            <w:tcW w:w="3969" w:type="dxa"/>
            <w:gridSpan w:val="2"/>
            <w:tcBorders>
              <w:top w:val="single" w:sz="4" w:space="0" w:color="FFFFFF" w:themeColor="background1"/>
              <w:left w:val="dotted" w:sz="4" w:space="0" w:color="auto"/>
              <w:bottom w:val="single" w:sz="4" w:space="0" w:color="FFFFFF" w:themeColor="background1"/>
            </w:tcBorders>
            <w:shd w:val="clear" w:color="000000" w:fill="6B2976"/>
            <w:noWrap/>
            <w:vAlign w:val="center"/>
            <w:hideMark/>
          </w:tcPr>
          <w:p w14:paraId="6807E7CF" w14:textId="77777777" w:rsidR="00B71716" w:rsidRPr="00252EAF" w:rsidRDefault="00B71716" w:rsidP="00B71716">
            <w:pPr>
              <w:spacing w:after="0" w:line="240" w:lineRule="auto"/>
              <w:jc w:val="center"/>
              <w:rPr>
                <w:rFonts w:cs="Arial"/>
                <w:b/>
                <w:color w:val="FFFFFF"/>
                <w:sz w:val="18"/>
                <w:szCs w:val="18"/>
                <w:lang w:eastAsia="en-AU"/>
              </w:rPr>
            </w:pPr>
            <w:r w:rsidRPr="00252EAF">
              <w:rPr>
                <w:rFonts w:cs="Arial"/>
                <w:b/>
                <w:color w:val="FFFFFF"/>
                <w:sz w:val="18"/>
                <w:szCs w:val="18"/>
                <w:lang w:eastAsia="en-AU"/>
              </w:rPr>
              <w:t>All disabilities excluding psychosocial disability</w:t>
            </w:r>
          </w:p>
        </w:tc>
      </w:tr>
      <w:tr w:rsidR="00B71716" w:rsidRPr="00C91D96" w14:paraId="37802418" w14:textId="77777777" w:rsidTr="00DA3F73">
        <w:trPr>
          <w:trHeight w:val="397"/>
          <w:tblHeader/>
        </w:trPr>
        <w:tc>
          <w:tcPr>
            <w:tcW w:w="1020" w:type="dxa"/>
            <w:shd w:val="clear" w:color="000000" w:fill="6B2976"/>
            <w:noWrap/>
            <w:vAlign w:val="center"/>
            <w:hideMark/>
          </w:tcPr>
          <w:p w14:paraId="5E8EFCFC" w14:textId="77777777" w:rsidR="00B71716" w:rsidRPr="00252EAF" w:rsidRDefault="004177F0" w:rsidP="00AC7010">
            <w:pPr>
              <w:spacing w:after="0" w:line="240" w:lineRule="auto"/>
              <w:rPr>
                <w:rFonts w:cs="Arial"/>
                <w:b/>
                <w:color w:val="FFFFFF"/>
                <w:sz w:val="18"/>
                <w:szCs w:val="18"/>
                <w:lang w:eastAsia="en-AU"/>
              </w:rPr>
            </w:pPr>
            <w:r w:rsidRPr="00252EAF">
              <w:rPr>
                <w:rFonts w:cs="Arial"/>
                <w:b/>
                <w:color w:val="FFFFFF"/>
                <w:sz w:val="18"/>
                <w:szCs w:val="18"/>
                <w:lang w:eastAsia="en-AU"/>
              </w:rPr>
              <w:t>G</w:t>
            </w:r>
            <w:r w:rsidR="00B71716" w:rsidRPr="00252EAF">
              <w:rPr>
                <w:rFonts w:cs="Arial"/>
                <w:b/>
                <w:color w:val="FFFFFF"/>
                <w:sz w:val="18"/>
                <w:szCs w:val="18"/>
                <w:lang w:eastAsia="en-AU"/>
              </w:rPr>
              <w:t>roup</w:t>
            </w:r>
          </w:p>
        </w:tc>
        <w:tc>
          <w:tcPr>
            <w:tcW w:w="1796" w:type="dxa"/>
            <w:tcBorders>
              <w:top w:val="single" w:sz="4" w:space="0" w:color="FFFFFF" w:themeColor="background1"/>
            </w:tcBorders>
            <w:shd w:val="clear" w:color="000000" w:fill="6B2976"/>
            <w:noWrap/>
            <w:vAlign w:val="center"/>
            <w:hideMark/>
          </w:tcPr>
          <w:p w14:paraId="2E8C4ACE" w14:textId="77777777" w:rsidR="00B71716" w:rsidRPr="00252EAF" w:rsidRDefault="00E65D77" w:rsidP="00AC7010">
            <w:pPr>
              <w:spacing w:after="0" w:line="240" w:lineRule="auto"/>
              <w:jc w:val="right"/>
              <w:rPr>
                <w:rFonts w:cs="Arial"/>
                <w:b/>
                <w:color w:val="FFFFFF"/>
                <w:sz w:val="18"/>
                <w:szCs w:val="18"/>
                <w:lang w:eastAsia="en-AU"/>
              </w:rPr>
            </w:pPr>
            <w:r w:rsidRPr="00252EAF">
              <w:rPr>
                <w:rFonts w:cs="Arial"/>
                <w:b/>
                <w:color w:val="FFFFFF"/>
                <w:sz w:val="18"/>
                <w:szCs w:val="18"/>
                <w:lang w:eastAsia="en-AU"/>
              </w:rPr>
              <w:t>Fe</w:t>
            </w:r>
            <w:r w:rsidR="00EF5070" w:rsidRPr="00252EAF">
              <w:rPr>
                <w:rFonts w:cs="Arial"/>
                <w:b/>
                <w:color w:val="FFFFFF"/>
                <w:sz w:val="18"/>
                <w:szCs w:val="18"/>
                <w:lang w:eastAsia="en-AU"/>
              </w:rPr>
              <w:t>m</w:t>
            </w:r>
            <w:r w:rsidR="00B71716" w:rsidRPr="00252EAF">
              <w:rPr>
                <w:rFonts w:cs="Arial"/>
                <w:b/>
                <w:color w:val="FFFFFF"/>
                <w:sz w:val="18"/>
                <w:szCs w:val="18"/>
                <w:lang w:eastAsia="en-AU"/>
              </w:rPr>
              <w:t>ale</w:t>
            </w:r>
          </w:p>
        </w:tc>
        <w:tc>
          <w:tcPr>
            <w:tcW w:w="1852" w:type="dxa"/>
            <w:tcBorders>
              <w:top w:val="single" w:sz="4" w:space="0" w:color="FFFFFF" w:themeColor="background1"/>
              <w:right w:val="dotted" w:sz="4" w:space="0" w:color="auto"/>
            </w:tcBorders>
            <w:shd w:val="clear" w:color="000000" w:fill="6B2976"/>
            <w:noWrap/>
            <w:vAlign w:val="center"/>
            <w:hideMark/>
          </w:tcPr>
          <w:p w14:paraId="571E92F5" w14:textId="77777777" w:rsidR="00B71716" w:rsidRPr="00252EAF" w:rsidRDefault="00E65D77" w:rsidP="00AC7010">
            <w:pPr>
              <w:spacing w:after="0" w:line="240" w:lineRule="auto"/>
              <w:jc w:val="right"/>
              <w:rPr>
                <w:rFonts w:cs="Arial"/>
                <w:b/>
                <w:color w:val="FFFFFF"/>
                <w:sz w:val="18"/>
                <w:szCs w:val="18"/>
                <w:lang w:eastAsia="en-AU"/>
              </w:rPr>
            </w:pPr>
            <w:r w:rsidRPr="00252EAF">
              <w:rPr>
                <w:rFonts w:cs="Arial"/>
                <w:b/>
                <w:color w:val="FFFFFF"/>
                <w:sz w:val="18"/>
                <w:szCs w:val="18"/>
                <w:lang w:eastAsia="en-AU"/>
              </w:rPr>
              <w:t>M</w:t>
            </w:r>
            <w:r w:rsidR="00B71716" w:rsidRPr="00252EAF">
              <w:rPr>
                <w:rFonts w:cs="Arial"/>
                <w:b/>
                <w:color w:val="FFFFFF"/>
                <w:sz w:val="18"/>
                <w:szCs w:val="18"/>
                <w:lang w:eastAsia="en-AU"/>
              </w:rPr>
              <w:t>ale</w:t>
            </w:r>
          </w:p>
        </w:tc>
        <w:tc>
          <w:tcPr>
            <w:tcW w:w="2160" w:type="dxa"/>
            <w:tcBorders>
              <w:top w:val="single" w:sz="4" w:space="0" w:color="FFFFFF" w:themeColor="background1"/>
              <w:left w:val="dotted" w:sz="4" w:space="0" w:color="auto"/>
            </w:tcBorders>
            <w:shd w:val="clear" w:color="000000" w:fill="6B2976"/>
            <w:noWrap/>
            <w:vAlign w:val="center"/>
            <w:hideMark/>
          </w:tcPr>
          <w:p w14:paraId="4AF89DD7" w14:textId="77777777" w:rsidR="00B71716" w:rsidRPr="00252EAF" w:rsidRDefault="00E65D77" w:rsidP="00AC7010">
            <w:pPr>
              <w:spacing w:after="0" w:line="240" w:lineRule="auto"/>
              <w:jc w:val="right"/>
              <w:rPr>
                <w:rFonts w:cs="Arial"/>
                <w:b/>
                <w:color w:val="FFFFFF"/>
                <w:sz w:val="18"/>
                <w:szCs w:val="18"/>
                <w:lang w:eastAsia="en-AU"/>
              </w:rPr>
            </w:pPr>
            <w:r w:rsidRPr="00252EAF">
              <w:rPr>
                <w:rFonts w:cs="Arial"/>
                <w:b/>
                <w:color w:val="FFFFFF"/>
                <w:sz w:val="18"/>
                <w:szCs w:val="18"/>
                <w:lang w:eastAsia="en-AU"/>
              </w:rPr>
              <w:t>Fem</w:t>
            </w:r>
            <w:r w:rsidR="00B71716" w:rsidRPr="00252EAF">
              <w:rPr>
                <w:rFonts w:cs="Arial"/>
                <w:b/>
                <w:color w:val="FFFFFF"/>
                <w:sz w:val="18"/>
                <w:szCs w:val="18"/>
                <w:lang w:eastAsia="en-AU"/>
              </w:rPr>
              <w:t>ale</w:t>
            </w:r>
          </w:p>
        </w:tc>
        <w:tc>
          <w:tcPr>
            <w:tcW w:w="1809" w:type="dxa"/>
            <w:tcBorders>
              <w:top w:val="single" w:sz="4" w:space="0" w:color="FFFFFF" w:themeColor="background1"/>
            </w:tcBorders>
            <w:shd w:val="clear" w:color="000000" w:fill="6B2976"/>
            <w:noWrap/>
            <w:vAlign w:val="center"/>
            <w:hideMark/>
          </w:tcPr>
          <w:p w14:paraId="3ECC1CF8" w14:textId="77777777" w:rsidR="00B71716" w:rsidRPr="00252EAF" w:rsidRDefault="00E65D77" w:rsidP="00AC7010">
            <w:pPr>
              <w:spacing w:after="0" w:line="240" w:lineRule="auto"/>
              <w:jc w:val="right"/>
              <w:rPr>
                <w:rFonts w:cs="Arial"/>
                <w:b/>
                <w:color w:val="FFFFFF"/>
                <w:sz w:val="18"/>
                <w:szCs w:val="18"/>
                <w:lang w:eastAsia="en-AU"/>
              </w:rPr>
            </w:pPr>
            <w:r w:rsidRPr="00252EAF">
              <w:rPr>
                <w:rFonts w:cs="Arial"/>
                <w:b/>
                <w:color w:val="FFFFFF"/>
                <w:sz w:val="18"/>
                <w:szCs w:val="18"/>
                <w:lang w:eastAsia="en-AU"/>
              </w:rPr>
              <w:t>M</w:t>
            </w:r>
            <w:r w:rsidR="00B71716" w:rsidRPr="00252EAF">
              <w:rPr>
                <w:rFonts w:cs="Arial"/>
                <w:b/>
                <w:color w:val="FFFFFF"/>
                <w:sz w:val="18"/>
                <w:szCs w:val="18"/>
                <w:lang w:eastAsia="en-AU"/>
              </w:rPr>
              <w:t>ale</w:t>
            </w:r>
          </w:p>
        </w:tc>
      </w:tr>
      <w:tr w:rsidR="00B71716" w:rsidRPr="00C91D96" w14:paraId="7F3321F6" w14:textId="77777777" w:rsidTr="00DA3F73">
        <w:trPr>
          <w:trHeight w:val="301"/>
        </w:trPr>
        <w:tc>
          <w:tcPr>
            <w:tcW w:w="1020" w:type="dxa"/>
            <w:shd w:val="clear" w:color="auto" w:fill="auto"/>
            <w:noWrap/>
            <w:vAlign w:val="bottom"/>
            <w:hideMark/>
          </w:tcPr>
          <w:p w14:paraId="49F589EE" w14:textId="77777777" w:rsidR="00B71716" w:rsidRPr="00252EAF" w:rsidRDefault="00B71716" w:rsidP="00B71716">
            <w:pPr>
              <w:spacing w:after="0" w:line="240" w:lineRule="auto"/>
              <w:rPr>
                <w:rFonts w:cs="Arial"/>
                <w:color w:val="000000"/>
                <w:sz w:val="18"/>
                <w:szCs w:val="18"/>
                <w:lang w:eastAsia="en-AU"/>
              </w:rPr>
            </w:pPr>
            <w:r w:rsidRPr="00252EAF">
              <w:rPr>
                <w:rFonts w:cs="Arial"/>
                <w:color w:val="000000"/>
                <w:sz w:val="18"/>
                <w:szCs w:val="18"/>
                <w:lang w:eastAsia="en-AU"/>
              </w:rPr>
              <w:t>0-6</w:t>
            </w:r>
          </w:p>
        </w:tc>
        <w:tc>
          <w:tcPr>
            <w:tcW w:w="1796" w:type="dxa"/>
            <w:shd w:val="clear" w:color="auto" w:fill="auto"/>
            <w:noWrap/>
            <w:vAlign w:val="center"/>
            <w:hideMark/>
          </w:tcPr>
          <w:p w14:paraId="6BB947CD"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0%</w:t>
            </w:r>
          </w:p>
        </w:tc>
        <w:tc>
          <w:tcPr>
            <w:tcW w:w="1852" w:type="dxa"/>
            <w:tcBorders>
              <w:right w:val="dotted" w:sz="4" w:space="0" w:color="auto"/>
            </w:tcBorders>
            <w:shd w:val="clear" w:color="auto" w:fill="auto"/>
            <w:noWrap/>
            <w:vAlign w:val="center"/>
            <w:hideMark/>
          </w:tcPr>
          <w:p w14:paraId="3E04633B"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0%</w:t>
            </w:r>
          </w:p>
        </w:tc>
        <w:tc>
          <w:tcPr>
            <w:tcW w:w="2160" w:type="dxa"/>
            <w:tcBorders>
              <w:left w:val="dotted" w:sz="4" w:space="0" w:color="auto"/>
            </w:tcBorders>
            <w:shd w:val="clear" w:color="auto" w:fill="auto"/>
            <w:noWrap/>
            <w:vAlign w:val="center"/>
            <w:hideMark/>
          </w:tcPr>
          <w:p w14:paraId="495FADAB"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0%</w:t>
            </w:r>
          </w:p>
        </w:tc>
        <w:tc>
          <w:tcPr>
            <w:tcW w:w="1809" w:type="dxa"/>
            <w:shd w:val="clear" w:color="auto" w:fill="auto"/>
            <w:noWrap/>
            <w:vAlign w:val="center"/>
            <w:hideMark/>
          </w:tcPr>
          <w:p w14:paraId="76964DC9"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0%</w:t>
            </w:r>
          </w:p>
        </w:tc>
      </w:tr>
      <w:tr w:rsidR="00B71716" w:rsidRPr="00C91D96" w14:paraId="6CAF4409" w14:textId="77777777" w:rsidTr="00DA3F73">
        <w:trPr>
          <w:trHeight w:val="301"/>
        </w:trPr>
        <w:tc>
          <w:tcPr>
            <w:tcW w:w="1020" w:type="dxa"/>
            <w:shd w:val="clear" w:color="000000" w:fill="BCBEC0"/>
            <w:noWrap/>
            <w:vAlign w:val="bottom"/>
            <w:hideMark/>
          </w:tcPr>
          <w:p w14:paraId="67AAC3A4" w14:textId="77777777" w:rsidR="00B71716" w:rsidRPr="00252EAF" w:rsidRDefault="00B71716" w:rsidP="00B71716">
            <w:pPr>
              <w:spacing w:after="0" w:line="240" w:lineRule="auto"/>
              <w:rPr>
                <w:rFonts w:cs="Arial"/>
                <w:color w:val="000000"/>
                <w:sz w:val="18"/>
                <w:szCs w:val="18"/>
                <w:lang w:eastAsia="en-AU"/>
              </w:rPr>
            </w:pPr>
            <w:r w:rsidRPr="00252EAF">
              <w:rPr>
                <w:rFonts w:cs="Arial"/>
                <w:color w:val="000000"/>
                <w:sz w:val="18"/>
                <w:szCs w:val="18"/>
                <w:lang w:eastAsia="en-AU"/>
              </w:rPr>
              <w:t>7-18</w:t>
            </w:r>
          </w:p>
        </w:tc>
        <w:tc>
          <w:tcPr>
            <w:tcW w:w="1796" w:type="dxa"/>
            <w:shd w:val="clear" w:color="000000" w:fill="BCBEC0"/>
            <w:noWrap/>
            <w:vAlign w:val="center"/>
            <w:hideMark/>
          </w:tcPr>
          <w:p w14:paraId="1D204C5D"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1%</w:t>
            </w:r>
          </w:p>
        </w:tc>
        <w:tc>
          <w:tcPr>
            <w:tcW w:w="1852" w:type="dxa"/>
            <w:tcBorders>
              <w:right w:val="dotted" w:sz="4" w:space="0" w:color="auto"/>
            </w:tcBorders>
            <w:shd w:val="clear" w:color="000000" w:fill="BCBEC0"/>
            <w:noWrap/>
            <w:vAlign w:val="center"/>
            <w:hideMark/>
          </w:tcPr>
          <w:p w14:paraId="7B1E40D5"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1%</w:t>
            </w:r>
          </w:p>
        </w:tc>
        <w:tc>
          <w:tcPr>
            <w:tcW w:w="2160" w:type="dxa"/>
            <w:tcBorders>
              <w:left w:val="dotted" w:sz="4" w:space="0" w:color="auto"/>
            </w:tcBorders>
            <w:shd w:val="clear" w:color="000000" w:fill="BCBEC0"/>
            <w:noWrap/>
            <w:vAlign w:val="center"/>
            <w:hideMark/>
          </w:tcPr>
          <w:p w14:paraId="52AA1C4C"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10%</w:t>
            </w:r>
          </w:p>
        </w:tc>
        <w:tc>
          <w:tcPr>
            <w:tcW w:w="1809" w:type="dxa"/>
            <w:shd w:val="clear" w:color="000000" w:fill="BCBEC0"/>
            <w:noWrap/>
            <w:vAlign w:val="center"/>
            <w:hideMark/>
          </w:tcPr>
          <w:p w14:paraId="630C5F42"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5%</w:t>
            </w:r>
          </w:p>
        </w:tc>
      </w:tr>
      <w:tr w:rsidR="00B71716" w:rsidRPr="00C91D96" w14:paraId="194C4AAB" w14:textId="77777777" w:rsidTr="00DA3F73">
        <w:trPr>
          <w:trHeight w:val="301"/>
        </w:trPr>
        <w:tc>
          <w:tcPr>
            <w:tcW w:w="1020" w:type="dxa"/>
            <w:shd w:val="clear" w:color="auto" w:fill="auto"/>
            <w:noWrap/>
            <w:vAlign w:val="bottom"/>
            <w:hideMark/>
          </w:tcPr>
          <w:p w14:paraId="1AD1FE0A" w14:textId="77777777" w:rsidR="00B71716" w:rsidRPr="00252EAF" w:rsidRDefault="00B71716" w:rsidP="00B71716">
            <w:pPr>
              <w:spacing w:after="0" w:line="240" w:lineRule="auto"/>
              <w:rPr>
                <w:rFonts w:cs="Arial"/>
                <w:color w:val="000000"/>
                <w:sz w:val="18"/>
                <w:szCs w:val="18"/>
                <w:lang w:eastAsia="en-AU"/>
              </w:rPr>
            </w:pPr>
            <w:r w:rsidRPr="00252EAF">
              <w:rPr>
                <w:rFonts w:cs="Arial"/>
                <w:color w:val="000000"/>
                <w:sz w:val="18"/>
                <w:szCs w:val="18"/>
                <w:lang w:eastAsia="en-AU"/>
              </w:rPr>
              <w:t>19-24</w:t>
            </w:r>
          </w:p>
        </w:tc>
        <w:tc>
          <w:tcPr>
            <w:tcW w:w="1796" w:type="dxa"/>
            <w:shd w:val="clear" w:color="auto" w:fill="auto"/>
            <w:noWrap/>
            <w:vAlign w:val="center"/>
            <w:hideMark/>
          </w:tcPr>
          <w:p w14:paraId="050B8759"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23%</w:t>
            </w:r>
          </w:p>
        </w:tc>
        <w:tc>
          <w:tcPr>
            <w:tcW w:w="1852" w:type="dxa"/>
            <w:tcBorders>
              <w:right w:val="dotted" w:sz="4" w:space="0" w:color="auto"/>
            </w:tcBorders>
            <w:shd w:val="clear" w:color="auto" w:fill="auto"/>
            <w:noWrap/>
            <w:vAlign w:val="center"/>
            <w:hideMark/>
          </w:tcPr>
          <w:p w14:paraId="26542046"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28%</w:t>
            </w:r>
          </w:p>
        </w:tc>
        <w:tc>
          <w:tcPr>
            <w:tcW w:w="2160" w:type="dxa"/>
            <w:tcBorders>
              <w:left w:val="dotted" w:sz="4" w:space="0" w:color="auto"/>
            </w:tcBorders>
            <w:shd w:val="clear" w:color="auto" w:fill="auto"/>
            <w:noWrap/>
            <w:vAlign w:val="center"/>
            <w:hideMark/>
          </w:tcPr>
          <w:p w14:paraId="0466E717"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17%</w:t>
            </w:r>
          </w:p>
        </w:tc>
        <w:tc>
          <w:tcPr>
            <w:tcW w:w="1809" w:type="dxa"/>
            <w:shd w:val="clear" w:color="auto" w:fill="auto"/>
            <w:noWrap/>
            <w:vAlign w:val="center"/>
            <w:hideMark/>
          </w:tcPr>
          <w:p w14:paraId="7ABBFFAB"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22%</w:t>
            </w:r>
          </w:p>
        </w:tc>
      </w:tr>
      <w:tr w:rsidR="00B71716" w:rsidRPr="00C91D96" w14:paraId="1F759D23" w14:textId="77777777" w:rsidTr="00DA3F73">
        <w:trPr>
          <w:trHeight w:val="301"/>
        </w:trPr>
        <w:tc>
          <w:tcPr>
            <w:tcW w:w="1020" w:type="dxa"/>
            <w:shd w:val="clear" w:color="000000" w:fill="BCBEC0"/>
            <w:noWrap/>
            <w:vAlign w:val="bottom"/>
            <w:hideMark/>
          </w:tcPr>
          <w:p w14:paraId="1ED94C3A" w14:textId="77777777" w:rsidR="00B71716" w:rsidRPr="00252EAF" w:rsidRDefault="00B71716" w:rsidP="00B71716">
            <w:pPr>
              <w:spacing w:after="0" w:line="240" w:lineRule="auto"/>
              <w:rPr>
                <w:rFonts w:cs="Arial"/>
                <w:color w:val="000000"/>
                <w:sz w:val="18"/>
                <w:szCs w:val="18"/>
                <w:lang w:eastAsia="en-AU"/>
              </w:rPr>
            </w:pPr>
            <w:r w:rsidRPr="00252EAF">
              <w:rPr>
                <w:rFonts w:cs="Arial"/>
                <w:color w:val="000000"/>
                <w:sz w:val="18"/>
                <w:szCs w:val="18"/>
                <w:lang w:eastAsia="en-AU"/>
              </w:rPr>
              <w:t>25-34</w:t>
            </w:r>
          </w:p>
        </w:tc>
        <w:tc>
          <w:tcPr>
            <w:tcW w:w="1796" w:type="dxa"/>
            <w:shd w:val="clear" w:color="000000" w:fill="BCBEC0"/>
            <w:noWrap/>
            <w:vAlign w:val="center"/>
            <w:hideMark/>
          </w:tcPr>
          <w:p w14:paraId="114E1933"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38%</w:t>
            </w:r>
          </w:p>
        </w:tc>
        <w:tc>
          <w:tcPr>
            <w:tcW w:w="1852" w:type="dxa"/>
            <w:tcBorders>
              <w:right w:val="dotted" w:sz="4" w:space="0" w:color="auto"/>
            </w:tcBorders>
            <w:shd w:val="clear" w:color="000000" w:fill="BCBEC0"/>
            <w:noWrap/>
            <w:vAlign w:val="center"/>
            <w:hideMark/>
          </w:tcPr>
          <w:p w14:paraId="7C2981FB"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46%</w:t>
            </w:r>
          </w:p>
        </w:tc>
        <w:tc>
          <w:tcPr>
            <w:tcW w:w="2160" w:type="dxa"/>
            <w:tcBorders>
              <w:left w:val="dotted" w:sz="4" w:space="0" w:color="auto"/>
            </w:tcBorders>
            <w:shd w:val="clear" w:color="000000" w:fill="BCBEC0"/>
            <w:noWrap/>
            <w:vAlign w:val="center"/>
            <w:hideMark/>
          </w:tcPr>
          <w:p w14:paraId="5F6C6CD3"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17%</w:t>
            </w:r>
          </w:p>
        </w:tc>
        <w:tc>
          <w:tcPr>
            <w:tcW w:w="1809" w:type="dxa"/>
            <w:shd w:val="clear" w:color="000000" w:fill="BCBEC0"/>
            <w:noWrap/>
            <w:vAlign w:val="center"/>
            <w:hideMark/>
          </w:tcPr>
          <w:p w14:paraId="5D97B131"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24%</w:t>
            </w:r>
          </w:p>
        </w:tc>
      </w:tr>
      <w:tr w:rsidR="00B71716" w:rsidRPr="00C91D96" w14:paraId="5E632520" w14:textId="77777777" w:rsidTr="00DA3F73">
        <w:trPr>
          <w:trHeight w:val="301"/>
        </w:trPr>
        <w:tc>
          <w:tcPr>
            <w:tcW w:w="1020" w:type="dxa"/>
            <w:shd w:val="clear" w:color="auto" w:fill="auto"/>
            <w:noWrap/>
            <w:vAlign w:val="bottom"/>
            <w:hideMark/>
          </w:tcPr>
          <w:p w14:paraId="7E1A169C" w14:textId="77777777" w:rsidR="00B71716" w:rsidRPr="00252EAF" w:rsidRDefault="00B71716" w:rsidP="00B71716">
            <w:pPr>
              <w:spacing w:after="0" w:line="240" w:lineRule="auto"/>
              <w:rPr>
                <w:rFonts w:cs="Arial"/>
                <w:color w:val="000000"/>
                <w:sz w:val="18"/>
                <w:szCs w:val="18"/>
                <w:lang w:eastAsia="en-AU"/>
              </w:rPr>
            </w:pPr>
            <w:r w:rsidRPr="00252EAF">
              <w:rPr>
                <w:rFonts w:cs="Arial"/>
                <w:color w:val="000000"/>
                <w:sz w:val="18"/>
                <w:szCs w:val="18"/>
                <w:lang w:eastAsia="en-AU"/>
              </w:rPr>
              <w:t>35-44</w:t>
            </w:r>
          </w:p>
        </w:tc>
        <w:tc>
          <w:tcPr>
            <w:tcW w:w="1796" w:type="dxa"/>
            <w:shd w:val="clear" w:color="auto" w:fill="auto"/>
            <w:noWrap/>
            <w:vAlign w:val="center"/>
            <w:hideMark/>
          </w:tcPr>
          <w:p w14:paraId="49E26924"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38%</w:t>
            </w:r>
          </w:p>
        </w:tc>
        <w:tc>
          <w:tcPr>
            <w:tcW w:w="1852" w:type="dxa"/>
            <w:tcBorders>
              <w:right w:val="dotted" w:sz="4" w:space="0" w:color="auto"/>
            </w:tcBorders>
            <w:shd w:val="clear" w:color="auto" w:fill="auto"/>
            <w:noWrap/>
            <w:vAlign w:val="center"/>
            <w:hideMark/>
          </w:tcPr>
          <w:p w14:paraId="0DE85755"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46%</w:t>
            </w:r>
          </w:p>
        </w:tc>
        <w:tc>
          <w:tcPr>
            <w:tcW w:w="2160" w:type="dxa"/>
            <w:tcBorders>
              <w:left w:val="dotted" w:sz="4" w:space="0" w:color="auto"/>
            </w:tcBorders>
            <w:shd w:val="clear" w:color="auto" w:fill="auto"/>
            <w:noWrap/>
            <w:vAlign w:val="center"/>
            <w:hideMark/>
          </w:tcPr>
          <w:p w14:paraId="256B15C6"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17%</w:t>
            </w:r>
          </w:p>
        </w:tc>
        <w:tc>
          <w:tcPr>
            <w:tcW w:w="1809" w:type="dxa"/>
            <w:shd w:val="clear" w:color="auto" w:fill="auto"/>
            <w:noWrap/>
            <w:vAlign w:val="center"/>
            <w:hideMark/>
          </w:tcPr>
          <w:p w14:paraId="182F01C2"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24%</w:t>
            </w:r>
          </w:p>
        </w:tc>
      </w:tr>
      <w:tr w:rsidR="00B71716" w:rsidRPr="00C91D96" w14:paraId="684BE071" w14:textId="77777777" w:rsidTr="00DA3F73">
        <w:trPr>
          <w:trHeight w:val="301"/>
        </w:trPr>
        <w:tc>
          <w:tcPr>
            <w:tcW w:w="1020" w:type="dxa"/>
            <w:shd w:val="clear" w:color="000000" w:fill="BCBEC0"/>
            <w:noWrap/>
            <w:vAlign w:val="bottom"/>
            <w:hideMark/>
          </w:tcPr>
          <w:p w14:paraId="1C941891" w14:textId="77777777" w:rsidR="00B71716" w:rsidRPr="00252EAF" w:rsidRDefault="00B71716" w:rsidP="00B71716">
            <w:pPr>
              <w:spacing w:after="0" w:line="240" w:lineRule="auto"/>
              <w:rPr>
                <w:rFonts w:cs="Arial"/>
                <w:color w:val="000000"/>
                <w:sz w:val="18"/>
                <w:szCs w:val="18"/>
                <w:lang w:eastAsia="en-AU"/>
              </w:rPr>
            </w:pPr>
            <w:r w:rsidRPr="00252EAF">
              <w:rPr>
                <w:rFonts w:cs="Arial"/>
                <w:color w:val="000000"/>
                <w:sz w:val="18"/>
                <w:szCs w:val="18"/>
                <w:lang w:eastAsia="en-AU"/>
              </w:rPr>
              <w:t>45-54</w:t>
            </w:r>
          </w:p>
        </w:tc>
        <w:tc>
          <w:tcPr>
            <w:tcW w:w="1796" w:type="dxa"/>
            <w:shd w:val="clear" w:color="000000" w:fill="BCBEC0"/>
            <w:noWrap/>
            <w:vAlign w:val="center"/>
            <w:hideMark/>
          </w:tcPr>
          <w:p w14:paraId="787F2147"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38%</w:t>
            </w:r>
          </w:p>
        </w:tc>
        <w:tc>
          <w:tcPr>
            <w:tcW w:w="1852" w:type="dxa"/>
            <w:tcBorders>
              <w:right w:val="dotted" w:sz="4" w:space="0" w:color="auto"/>
            </w:tcBorders>
            <w:shd w:val="clear" w:color="000000" w:fill="BCBEC0"/>
            <w:noWrap/>
            <w:vAlign w:val="center"/>
            <w:hideMark/>
          </w:tcPr>
          <w:p w14:paraId="402CA03F"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46%</w:t>
            </w:r>
          </w:p>
        </w:tc>
        <w:tc>
          <w:tcPr>
            <w:tcW w:w="2160" w:type="dxa"/>
            <w:tcBorders>
              <w:left w:val="dotted" w:sz="4" w:space="0" w:color="auto"/>
            </w:tcBorders>
            <w:shd w:val="clear" w:color="000000" w:fill="BCBEC0"/>
            <w:noWrap/>
            <w:vAlign w:val="center"/>
            <w:hideMark/>
          </w:tcPr>
          <w:p w14:paraId="0B0C69AE"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17%</w:t>
            </w:r>
          </w:p>
        </w:tc>
        <w:tc>
          <w:tcPr>
            <w:tcW w:w="1809" w:type="dxa"/>
            <w:shd w:val="clear" w:color="000000" w:fill="BCBEC0"/>
            <w:noWrap/>
            <w:vAlign w:val="center"/>
            <w:hideMark/>
          </w:tcPr>
          <w:p w14:paraId="763EF50D"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24%</w:t>
            </w:r>
          </w:p>
        </w:tc>
      </w:tr>
      <w:tr w:rsidR="00B71716" w:rsidRPr="00C91D96" w14:paraId="5D2BCEE6" w14:textId="77777777" w:rsidTr="00DA3F73">
        <w:trPr>
          <w:trHeight w:val="301"/>
        </w:trPr>
        <w:tc>
          <w:tcPr>
            <w:tcW w:w="1020" w:type="dxa"/>
            <w:tcBorders>
              <w:bottom w:val="single" w:sz="4" w:space="0" w:color="auto"/>
            </w:tcBorders>
            <w:shd w:val="clear" w:color="auto" w:fill="auto"/>
            <w:noWrap/>
            <w:vAlign w:val="bottom"/>
            <w:hideMark/>
          </w:tcPr>
          <w:p w14:paraId="41EE3E78" w14:textId="77777777" w:rsidR="00B71716" w:rsidRPr="00252EAF" w:rsidRDefault="00B71716" w:rsidP="00B71716">
            <w:pPr>
              <w:spacing w:after="0" w:line="240" w:lineRule="auto"/>
              <w:rPr>
                <w:rFonts w:cs="Arial"/>
                <w:color w:val="000000"/>
                <w:sz w:val="18"/>
                <w:szCs w:val="18"/>
                <w:lang w:eastAsia="en-AU"/>
              </w:rPr>
            </w:pPr>
            <w:r w:rsidRPr="00252EAF">
              <w:rPr>
                <w:rFonts w:cs="Arial"/>
                <w:color w:val="000000"/>
                <w:sz w:val="18"/>
                <w:szCs w:val="18"/>
                <w:lang w:eastAsia="en-AU"/>
              </w:rPr>
              <w:t>55-64</w:t>
            </w:r>
          </w:p>
        </w:tc>
        <w:tc>
          <w:tcPr>
            <w:tcW w:w="1796" w:type="dxa"/>
            <w:tcBorders>
              <w:bottom w:val="single" w:sz="4" w:space="0" w:color="auto"/>
            </w:tcBorders>
            <w:shd w:val="clear" w:color="auto" w:fill="auto"/>
            <w:noWrap/>
            <w:vAlign w:val="center"/>
            <w:hideMark/>
          </w:tcPr>
          <w:p w14:paraId="6BDF5F40"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38%</w:t>
            </w:r>
          </w:p>
        </w:tc>
        <w:tc>
          <w:tcPr>
            <w:tcW w:w="1852" w:type="dxa"/>
            <w:tcBorders>
              <w:bottom w:val="single" w:sz="4" w:space="0" w:color="auto"/>
              <w:right w:val="dotted" w:sz="4" w:space="0" w:color="auto"/>
            </w:tcBorders>
            <w:shd w:val="clear" w:color="auto" w:fill="auto"/>
            <w:noWrap/>
            <w:vAlign w:val="center"/>
            <w:hideMark/>
          </w:tcPr>
          <w:p w14:paraId="73561C66"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46%</w:t>
            </w:r>
          </w:p>
        </w:tc>
        <w:tc>
          <w:tcPr>
            <w:tcW w:w="2160" w:type="dxa"/>
            <w:tcBorders>
              <w:left w:val="dotted" w:sz="4" w:space="0" w:color="auto"/>
              <w:bottom w:val="single" w:sz="4" w:space="0" w:color="auto"/>
            </w:tcBorders>
            <w:shd w:val="clear" w:color="auto" w:fill="auto"/>
            <w:noWrap/>
            <w:vAlign w:val="center"/>
            <w:hideMark/>
          </w:tcPr>
          <w:p w14:paraId="498C6286"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17%</w:t>
            </w:r>
          </w:p>
        </w:tc>
        <w:tc>
          <w:tcPr>
            <w:tcW w:w="1809" w:type="dxa"/>
            <w:tcBorders>
              <w:bottom w:val="single" w:sz="4" w:space="0" w:color="auto"/>
            </w:tcBorders>
            <w:shd w:val="clear" w:color="auto" w:fill="auto"/>
            <w:noWrap/>
            <w:vAlign w:val="center"/>
            <w:hideMark/>
          </w:tcPr>
          <w:p w14:paraId="29AC970E" w14:textId="77777777" w:rsidR="00B71716" w:rsidRPr="00252EAF" w:rsidRDefault="00B71716" w:rsidP="00AC7010">
            <w:pPr>
              <w:spacing w:after="0" w:line="240" w:lineRule="auto"/>
              <w:jc w:val="right"/>
              <w:rPr>
                <w:rFonts w:cs="Arial"/>
                <w:color w:val="000000"/>
                <w:sz w:val="18"/>
                <w:szCs w:val="18"/>
                <w:lang w:eastAsia="en-AU"/>
              </w:rPr>
            </w:pPr>
            <w:r w:rsidRPr="00252EAF">
              <w:rPr>
                <w:rFonts w:cs="Arial"/>
                <w:color w:val="000000"/>
                <w:sz w:val="18"/>
                <w:szCs w:val="18"/>
                <w:lang w:eastAsia="en-AU"/>
              </w:rPr>
              <w:t>24%</w:t>
            </w:r>
          </w:p>
        </w:tc>
      </w:tr>
    </w:tbl>
    <w:p w14:paraId="74AD2D16" w14:textId="77777777" w:rsidR="00CE338D" w:rsidRDefault="00CE338D">
      <w:pPr>
        <w:spacing w:after="160" w:line="259" w:lineRule="auto"/>
        <w:rPr>
          <w:b/>
          <w:i/>
          <w:color w:val="F26322"/>
          <w:sz w:val="24"/>
        </w:rPr>
      </w:pPr>
    </w:p>
    <w:p w14:paraId="32A79589" w14:textId="77777777" w:rsidR="00B67A4F" w:rsidRDefault="00B67A4F" w:rsidP="00DA3F73">
      <w:pPr>
        <w:pStyle w:val="FSRHeading4"/>
      </w:pPr>
      <w:r>
        <w:t>Estimated new entrant rate assumptions</w:t>
      </w:r>
    </w:p>
    <w:p w14:paraId="62207C03" w14:textId="77777777" w:rsidR="00B71716" w:rsidRPr="00B67A4F" w:rsidRDefault="00B67A4F">
      <w:pPr>
        <w:pStyle w:val="FSRnormal"/>
      </w:pPr>
      <w:r w:rsidRPr="00B67A4F">
        <w:t>Applying the above PUN assumptions to the observed new entrant experience for the 12 months ended 31 March 2022, re</w:t>
      </w:r>
      <w:r w:rsidR="00882A7C">
        <w:t>sults in an updated long-</w:t>
      </w:r>
      <w:r w:rsidRPr="00B67A4F">
        <w:t>term new entrant rate assumption of 308.4 participants per 100,000 population. This is 14% higher than the new entrant rate assumption adopted in the 2020-21 AFSR of 271.6 participants per 100,000 population.</w:t>
      </w:r>
    </w:p>
    <w:p w14:paraId="134277BA" w14:textId="77777777" w:rsidR="000B37DA" w:rsidRDefault="000B37DA">
      <w:pPr>
        <w:spacing w:after="160" w:line="259" w:lineRule="auto"/>
        <w:rPr>
          <w:b/>
          <w:color w:val="6B2976"/>
        </w:rPr>
      </w:pPr>
      <w:r>
        <w:br w:type="page"/>
      </w:r>
    </w:p>
    <w:p w14:paraId="77F7DEFA" w14:textId="77777777" w:rsidR="00B67A4F" w:rsidRPr="008048AF" w:rsidRDefault="00B67A4F" w:rsidP="00DA3F73">
      <w:pPr>
        <w:pStyle w:val="FSRHeading6"/>
      </w:pPr>
      <w:r w:rsidRPr="0047087C">
        <w:lastRenderedPageBreak/>
        <w:t>New entrant rate assumptions by disability type</w:t>
      </w:r>
    </w:p>
    <w:p w14:paraId="7B3216CD" w14:textId="77777777" w:rsidR="00B67A4F" w:rsidRPr="009B6791" w:rsidRDefault="00CE338D">
      <w:pPr>
        <w:pStyle w:val="FSRnormal"/>
      </w:pPr>
      <w:r>
        <w:t>Table H.</w:t>
      </w:r>
      <w:r>
        <w:rPr>
          <w:noProof/>
        </w:rPr>
        <w:t>3</w:t>
      </w:r>
      <w:r w:rsidR="00B67A4F" w:rsidRPr="006D3A4D">
        <w:t xml:space="preserve"> shows the new entrant rate assumptions adopted in the 2020-21 AFSR, as well as the new entrant rates </w:t>
      </w:r>
      <w:r w:rsidR="006923C3">
        <w:t xml:space="preserve">adopted in the 2021-22 AFSR </w:t>
      </w:r>
      <w:r w:rsidR="00B67A4F" w:rsidRPr="006D3A4D">
        <w:t>using the direct method and after applying the PUN adjustment.</w:t>
      </w:r>
    </w:p>
    <w:p w14:paraId="4BA1AB96" w14:textId="77777777" w:rsidR="00CE338D" w:rsidRPr="00B67A4F" w:rsidRDefault="00CE338D" w:rsidP="00CE338D">
      <w:pPr>
        <w:pStyle w:val="Tables"/>
      </w:pPr>
      <w:bookmarkStart w:id="459" w:name="_Ref114500990"/>
      <w:r>
        <w:t>Table H</w:t>
      </w:r>
      <w:r w:rsidR="00A87896">
        <w:t>.</w:t>
      </w:r>
      <w:fldSimple w:instr=" SEQ Table \* ARABIC \s 2 ">
        <w:r w:rsidR="00A87896">
          <w:rPr>
            <w:noProof/>
          </w:rPr>
          <w:t>3</w:t>
        </w:r>
      </w:fldSimple>
      <w:bookmarkEnd w:id="459"/>
      <w:r>
        <w:t>:</w:t>
      </w:r>
      <w:r w:rsidRPr="00B67A4F">
        <w:t xml:space="preserve"> Adopted new entrant rate (new entrants per 100,000 population aged 0 to 64) by disability type, </w:t>
      </w:r>
      <w:r w:rsidR="006923C3">
        <w:t xml:space="preserve">in the </w:t>
      </w:r>
      <w:r w:rsidRPr="00B67A4F">
        <w:t xml:space="preserve">2020-21 AFSR and </w:t>
      </w:r>
      <w:r w:rsidR="006923C3">
        <w:t>in the 2021-22 AFSR</w:t>
      </w:r>
      <w:r w:rsidR="000C4A1A">
        <w:rPr>
          <w:rStyle w:val="FootnoteReference"/>
        </w:rPr>
        <w:footnoteReference w:id="155"/>
      </w:r>
    </w:p>
    <w:tbl>
      <w:tblPr>
        <w:tblW w:w="8642" w:type="dxa"/>
        <w:tblInd w:w="113" w:type="dxa"/>
        <w:tblLook w:val="04A0" w:firstRow="1" w:lastRow="0" w:firstColumn="1" w:lastColumn="0" w:noHBand="0" w:noVBand="1"/>
      </w:tblPr>
      <w:tblGrid>
        <w:gridCol w:w="2547"/>
        <w:gridCol w:w="2013"/>
        <w:gridCol w:w="2126"/>
        <w:gridCol w:w="998"/>
        <w:gridCol w:w="958"/>
      </w:tblGrid>
      <w:tr w:rsidR="00B67A4F" w:rsidRPr="008C0E3C" w14:paraId="66514861" w14:textId="77777777" w:rsidTr="00DA3F73">
        <w:trPr>
          <w:trHeight w:val="397"/>
        </w:trPr>
        <w:tc>
          <w:tcPr>
            <w:tcW w:w="2547" w:type="dxa"/>
            <w:vMerge w:val="restart"/>
            <w:shd w:val="clear" w:color="000000" w:fill="6B2976"/>
            <w:vAlign w:val="center"/>
            <w:hideMark/>
          </w:tcPr>
          <w:p w14:paraId="14406FBD" w14:textId="77777777" w:rsidR="00B67A4F" w:rsidRPr="00DA3F73" w:rsidRDefault="00B67A4F">
            <w:pPr>
              <w:spacing w:after="0" w:line="240" w:lineRule="auto"/>
              <w:rPr>
                <w:rFonts w:cs="Arial"/>
                <w:b/>
                <w:bCs/>
                <w:color w:val="FFFFFF"/>
                <w:sz w:val="20"/>
                <w:szCs w:val="20"/>
                <w:lang w:eastAsia="en-AU"/>
              </w:rPr>
            </w:pPr>
            <w:r w:rsidRPr="00DA3F73">
              <w:rPr>
                <w:rFonts w:cs="Arial"/>
                <w:b/>
                <w:bCs/>
                <w:color w:val="FFFFFF"/>
                <w:sz w:val="20"/>
                <w:szCs w:val="20"/>
                <w:lang w:eastAsia="en-AU"/>
              </w:rPr>
              <w:t>Disability Type</w:t>
            </w:r>
          </w:p>
        </w:tc>
        <w:tc>
          <w:tcPr>
            <w:tcW w:w="2013" w:type="dxa"/>
            <w:vMerge w:val="restart"/>
            <w:shd w:val="clear" w:color="000000" w:fill="6B2976"/>
            <w:vAlign w:val="center"/>
            <w:hideMark/>
          </w:tcPr>
          <w:p w14:paraId="070B5BC3" w14:textId="77777777" w:rsidR="00B67A4F" w:rsidRPr="00DA3F73" w:rsidRDefault="00B67A4F" w:rsidP="00DA3F73">
            <w:pPr>
              <w:spacing w:after="0" w:line="240" w:lineRule="auto"/>
              <w:jc w:val="right"/>
              <w:rPr>
                <w:rFonts w:cs="Arial"/>
                <w:b/>
                <w:bCs/>
                <w:color w:val="FFFFFF"/>
                <w:sz w:val="20"/>
                <w:szCs w:val="20"/>
                <w:lang w:eastAsia="en-AU"/>
              </w:rPr>
            </w:pPr>
            <w:r w:rsidRPr="00DA3F73">
              <w:rPr>
                <w:rFonts w:cs="Arial"/>
                <w:b/>
                <w:bCs/>
                <w:color w:val="FFFFFF"/>
                <w:sz w:val="20"/>
                <w:szCs w:val="20"/>
                <w:lang w:eastAsia="en-AU"/>
              </w:rPr>
              <w:t>2020-21 AFSR new entrant rate (1)</w:t>
            </w:r>
          </w:p>
        </w:tc>
        <w:tc>
          <w:tcPr>
            <w:tcW w:w="2126" w:type="dxa"/>
            <w:vMerge w:val="restart"/>
            <w:shd w:val="clear" w:color="000000" w:fill="6B2976"/>
            <w:vAlign w:val="center"/>
            <w:hideMark/>
          </w:tcPr>
          <w:p w14:paraId="59CC00DC" w14:textId="77777777" w:rsidR="00B67A4F" w:rsidRPr="00DA3F73" w:rsidRDefault="0016696D">
            <w:pPr>
              <w:spacing w:after="0" w:line="240" w:lineRule="auto"/>
              <w:jc w:val="right"/>
              <w:rPr>
                <w:rFonts w:cs="Arial"/>
                <w:b/>
                <w:bCs/>
                <w:color w:val="FFFFFF"/>
                <w:sz w:val="20"/>
                <w:szCs w:val="20"/>
                <w:lang w:eastAsia="en-AU"/>
              </w:rPr>
            </w:pPr>
            <w:r>
              <w:rPr>
                <w:rFonts w:cs="Arial"/>
                <w:b/>
                <w:bCs/>
                <w:color w:val="FFFFFF"/>
                <w:sz w:val="20"/>
                <w:szCs w:val="20"/>
                <w:lang w:eastAsia="en-AU"/>
              </w:rPr>
              <w:t xml:space="preserve">2021-22 </w:t>
            </w:r>
            <w:r w:rsidR="006923C3">
              <w:rPr>
                <w:rFonts w:cs="Arial"/>
                <w:b/>
                <w:bCs/>
                <w:color w:val="FFFFFF"/>
                <w:sz w:val="20"/>
                <w:szCs w:val="20"/>
                <w:lang w:eastAsia="en-AU"/>
              </w:rPr>
              <w:t>AFSR</w:t>
            </w:r>
            <w:r w:rsidR="00B67A4F" w:rsidRPr="00DA3F73">
              <w:rPr>
                <w:rFonts w:cs="Arial"/>
                <w:b/>
                <w:bCs/>
                <w:color w:val="FFFFFF"/>
                <w:sz w:val="20"/>
                <w:szCs w:val="20"/>
                <w:lang w:eastAsia="en-AU"/>
              </w:rPr>
              <w:t xml:space="preserve"> new entrant rate (2)</w:t>
            </w:r>
          </w:p>
        </w:tc>
        <w:tc>
          <w:tcPr>
            <w:tcW w:w="1956" w:type="dxa"/>
            <w:gridSpan w:val="2"/>
            <w:shd w:val="clear" w:color="000000" w:fill="6B2976"/>
            <w:vAlign w:val="center"/>
            <w:hideMark/>
          </w:tcPr>
          <w:p w14:paraId="0249DA88" w14:textId="77777777" w:rsidR="00B67A4F" w:rsidRPr="00DA3F73" w:rsidRDefault="00B67A4F">
            <w:pPr>
              <w:spacing w:after="0" w:line="240" w:lineRule="auto"/>
              <w:jc w:val="center"/>
              <w:rPr>
                <w:rFonts w:cs="Arial"/>
                <w:b/>
                <w:bCs/>
                <w:color w:val="FFFFFF"/>
                <w:sz w:val="20"/>
                <w:szCs w:val="20"/>
                <w:lang w:eastAsia="en-AU"/>
              </w:rPr>
            </w:pPr>
            <w:r w:rsidRPr="00DA3F73">
              <w:rPr>
                <w:rFonts w:cs="Arial"/>
                <w:b/>
                <w:bCs/>
                <w:color w:val="FFFFFF"/>
                <w:sz w:val="20"/>
                <w:szCs w:val="20"/>
                <w:lang w:eastAsia="en-AU"/>
              </w:rPr>
              <w:t>Change</w:t>
            </w:r>
            <w:r w:rsidRPr="00DA3F73">
              <w:rPr>
                <w:rFonts w:cs="Arial"/>
                <w:b/>
                <w:bCs/>
                <w:color w:val="FFFFFF"/>
                <w:sz w:val="20"/>
                <w:szCs w:val="20"/>
                <w:bdr w:val="dotted" w:sz="4" w:space="0" w:color="auto"/>
                <w:lang w:eastAsia="en-AU"/>
              </w:rPr>
              <w:t xml:space="preserve"> (2) - (1)</w:t>
            </w:r>
          </w:p>
        </w:tc>
      </w:tr>
      <w:tr w:rsidR="00B67A4F" w:rsidRPr="008C0E3C" w14:paraId="2F45DDB0" w14:textId="77777777" w:rsidTr="00DA3F73">
        <w:trPr>
          <w:trHeight w:val="397"/>
        </w:trPr>
        <w:tc>
          <w:tcPr>
            <w:tcW w:w="2547" w:type="dxa"/>
            <w:vMerge/>
            <w:vAlign w:val="center"/>
            <w:hideMark/>
          </w:tcPr>
          <w:p w14:paraId="57529B30" w14:textId="77777777" w:rsidR="00B67A4F" w:rsidRPr="00DA3F73" w:rsidRDefault="00B67A4F">
            <w:pPr>
              <w:spacing w:after="0" w:line="240" w:lineRule="auto"/>
              <w:rPr>
                <w:rFonts w:cs="Arial"/>
                <w:b/>
                <w:bCs/>
                <w:color w:val="FFFFFF"/>
                <w:sz w:val="20"/>
                <w:szCs w:val="20"/>
                <w:lang w:eastAsia="en-AU"/>
              </w:rPr>
            </w:pPr>
          </w:p>
        </w:tc>
        <w:tc>
          <w:tcPr>
            <w:tcW w:w="2013" w:type="dxa"/>
            <w:vMerge/>
            <w:vAlign w:val="center"/>
            <w:hideMark/>
          </w:tcPr>
          <w:p w14:paraId="17186B23" w14:textId="77777777" w:rsidR="00B67A4F" w:rsidRPr="00DA3F73" w:rsidRDefault="00B67A4F" w:rsidP="00DA3F73">
            <w:pPr>
              <w:spacing w:after="0" w:line="240" w:lineRule="auto"/>
              <w:jc w:val="right"/>
              <w:rPr>
                <w:rFonts w:cs="Arial"/>
                <w:b/>
                <w:bCs/>
                <w:color w:val="FFFFFF"/>
                <w:sz w:val="20"/>
                <w:szCs w:val="20"/>
                <w:lang w:eastAsia="en-AU"/>
              </w:rPr>
            </w:pPr>
          </w:p>
        </w:tc>
        <w:tc>
          <w:tcPr>
            <w:tcW w:w="2126" w:type="dxa"/>
            <w:vMerge/>
            <w:vAlign w:val="center"/>
            <w:hideMark/>
          </w:tcPr>
          <w:p w14:paraId="1ED2EA5E" w14:textId="77777777" w:rsidR="00B67A4F" w:rsidRPr="00DA3F73" w:rsidRDefault="00B67A4F" w:rsidP="00DA3F73">
            <w:pPr>
              <w:spacing w:after="0" w:line="240" w:lineRule="auto"/>
              <w:jc w:val="right"/>
              <w:rPr>
                <w:rFonts w:cs="Arial"/>
                <w:b/>
                <w:bCs/>
                <w:color w:val="FFFFFF"/>
                <w:sz w:val="20"/>
                <w:szCs w:val="20"/>
                <w:lang w:eastAsia="en-AU"/>
              </w:rPr>
            </w:pPr>
          </w:p>
        </w:tc>
        <w:tc>
          <w:tcPr>
            <w:tcW w:w="998" w:type="dxa"/>
            <w:shd w:val="clear" w:color="000000" w:fill="6B2976"/>
            <w:noWrap/>
            <w:vAlign w:val="center"/>
            <w:hideMark/>
          </w:tcPr>
          <w:p w14:paraId="1C75EB06" w14:textId="77777777" w:rsidR="00B67A4F" w:rsidRPr="00DA3F73" w:rsidRDefault="00B67A4F" w:rsidP="00DA3F73">
            <w:pPr>
              <w:spacing w:after="0" w:line="240" w:lineRule="auto"/>
              <w:jc w:val="right"/>
              <w:rPr>
                <w:rFonts w:cs="Arial"/>
                <w:b/>
                <w:bCs/>
                <w:color w:val="FFFFFF"/>
                <w:sz w:val="20"/>
                <w:szCs w:val="20"/>
                <w:lang w:eastAsia="en-AU"/>
              </w:rPr>
            </w:pPr>
            <w:r w:rsidRPr="00DA3F73">
              <w:rPr>
                <w:rFonts w:cs="Arial"/>
                <w:b/>
                <w:bCs/>
                <w:color w:val="FFFFFF"/>
                <w:sz w:val="20"/>
                <w:szCs w:val="20"/>
                <w:lang w:eastAsia="en-AU"/>
              </w:rPr>
              <w:t>#</w:t>
            </w:r>
          </w:p>
        </w:tc>
        <w:tc>
          <w:tcPr>
            <w:tcW w:w="958" w:type="dxa"/>
            <w:shd w:val="clear" w:color="000000" w:fill="6B2976"/>
            <w:noWrap/>
            <w:vAlign w:val="center"/>
            <w:hideMark/>
          </w:tcPr>
          <w:p w14:paraId="72C5F49B" w14:textId="77777777" w:rsidR="00B67A4F" w:rsidRPr="00DA3F73" w:rsidRDefault="00B67A4F" w:rsidP="00DA3F73">
            <w:pPr>
              <w:spacing w:after="0" w:line="240" w:lineRule="auto"/>
              <w:jc w:val="right"/>
              <w:rPr>
                <w:rFonts w:cs="Arial"/>
                <w:b/>
                <w:bCs/>
                <w:color w:val="FFFFFF"/>
                <w:sz w:val="20"/>
                <w:szCs w:val="20"/>
                <w:lang w:eastAsia="en-AU"/>
              </w:rPr>
            </w:pPr>
            <w:r w:rsidRPr="00DA3F73">
              <w:rPr>
                <w:rFonts w:cs="Arial"/>
                <w:b/>
                <w:bCs/>
                <w:color w:val="FFFFFF"/>
                <w:sz w:val="20"/>
                <w:szCs w:val="20"/>
                <w:lang w:eastAsia="en-AU"/>
              </w:rPr>
              <w:t>%</w:t>
            </w:r>
          </w:p>
        </w:tc>
      </w:tr>
      <w:tr w:rsidR="00B67A4F" w:rsidRPr="008C0E3C" w14:paraId="429AF157" w14:textId="77777777" w:rsidTr="00F830E6">
        <w:trPr>
          <w:trHeight w:val="285"/>
        </w:trPr>
        <w:tc>
          <w:tcPr>
            <w:tcW w:w="2547" w:type="dxa"/>
            <w:shd w:val="clear" w:color="000000" w:fill="FFFFFF"/>
            <w:vAlign w:val="center"/>
            <w:hideMark/>
          </w:tcPr>
          <w:p w14:paraId="26567AB0"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Acquired Brain Injury</w:t>
            </w:r>
          </w:p>
        </w:tc>
        <w:tc>
          <w:tcPr>
            <w:tcW w:w="2013" w:type="dxa"/>
            <w:shd w:val="clear" w:color="000000" w:fill="FFFFFF"/>
            <w:noWrap/>
            <w:vAlign w:val="center"/>
            <w:hideMark/>
          </w:tcPr>
          <w:p w14:paraId="5EAD6BEE"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6.0</w:t>
            </w:r>
          </w:p>
        </w:tc>
        <w:tc>
          <w:tcPr>
            <w:tcW w:w="2126" w:type="dxa"/>
            <w:shd w:val="clear" w:color="000000" w:fill="FFFFFF"/>
            <w:noWrap/>
            <w:vAlign w:val="center"/>
          </w:tcPr>
          <w:p w14:paraId="3E1279EE"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7.2</w:t>
            </w:r>
          </w:p>
        </w:tc>
        <w:tc>
          <w:tcPr>
            <w:tcW w:w="998" w:type="dxa"/>
            <w:shd w:val="clear" w:color="000000" w:fill="FFFFFF"/>
            <w:noWrap/>
            <w:vAlign w:val="center"/>
          </w:tcPr>
          <w:p w14:paraId="65DC6B96"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1.2</w:t>
            </w:r>
          </w:p>
        </w:tc>
        <w:tc>
          <w:tcPr>
            <w:tcW w:w="958" w:type="dxa"/>
            <w:shd w:val="clear" w:color="000000" w:fill="FFFFFF"/>
            <w:noWrap/>
            <w:vAlign w:val="center"/>
          </w:tcPr>
          <w:p w14:paraId="5418484F"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19%</w:t>
            </w:r>
          </w:p>
        </w:tc>
      </w:tr>
      <w:tr w:rsidR="00B67A4F" w:rsidRPr="008C0E3C" w14:paraId="1868C0DA" w14:textId="77777777" w:rsidTr="00F830E6">
        <w:trPr>
          <w:trHeight w:val="285"/>
        </w:trPr>
        <w:tc>
          <w:tcPr>
            <w:tcW w:w="2547" w:type="dxa"/>
            <w:tcBorders>
              <w:top w:val="nil"/>
              <w:bottom w:val="nil"/>
            </w:tcBorders>
            <w:shd w:val="clear" w:color="000000" w:fill="BCBEC0"/>
            <w:vAlign w:val="center"/>
            <w:hideMark/>
          </w:tcPr>
          <w:p w14:paraId="4D296CFF"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Autism</w:t>
            </w:r>
          </w:p>
        </w:tc>
        <w:tc>
          <w:tcPr>
            <w:tcW w:w="2013" w:type="dxa"/>
            <w:tcBorders>
              <w:top w:val="nil"/>
              <w:bottom w:val="nil"/>
            </w:tcBorders>
            <w:shd w:val="clear" w:color="000000" w:fill="BCBEC0"/>
            <w:vAlign w:val="center"/>
            <w:hideMark/>
          </w:tcPr>
          <w:p w14:paraId="49475D09"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55.1</w:t>
            </w:r>
          </w:p>
        </w:tc>
        <w:tc>
          <w:tcPr>
            <w:tcW w:w="2126" w:type="dxa"/>
            <w:tcBorders>
              <w:top w:val="nil"/>
              <w:bottom w:val="nil"/>
            </w:tcBorders>
            <w:shd w:val="clear" w:color="000000" w:fill="BCBEC0"/>
            <w:vAlign w:val="center"/>
          </w:tcPr>
          <w:p w14:paraId="51C8F969"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94.1</w:t>
            </w:r>
          </w:p>
        </w:tc>
        <w:tc>
          <w:tcPr>
            <w:tcW w:w="998" w:type="dxa"/>
            <w:tcBorders>
              <w:top w:val="nil"/>
              <w:bottom w:val="nil"/>
            </w:tcBorders>
            <w:shd w:val="clear" w:color="000000" w:fill="BCBEC0"/>
            <w:vAlign w:val="center"/>
          </w:tcPr>
          <w:p w14:paraId="26151480"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39.0</w:t>
            </w:r>
          </w:p>
        </w:tc>
        <w:tc>
          <w:tcPr>
            <w:tcW w:w="958" w:type="dxa"/>
            <w:tcBorders>
              <w:top w:val="nil"/>
              <w:bottom w:val="nil"/>
            </w:tcBorders>
            <w:shd w:val="clear" w:color="000000" w:fill="BCBEC0"/>
            <w:vAlign w:val="center"/>
          </w:tcPr>
          <w:p w14:paraId="11C046CC"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71%</w:t>
            </w:r>
          </w:p>
        </w:tc>
      </w:tr>
      <w:tr w:rsidR="00B67A4F" w:rsidRPr="008C0E3C" w14:paraId="7C8696FE" w14:textId="77777777" w:rsidTr="00F830E6">
        <w:trPr>
          <w:trHeight w:val="285"/>
        </w:trPr>
        <w:tc>
          <w:tcPr>
            <w:tcW w:w="2547" w:type="dxa"/>
            <w:tcBorders>
              <w:top w:val="nil"/>
            </w:tcBorders>
            <w:shd w:val="clear" w:color="000000" w:fill="FFFFFF"/>
            <w:vAlign w:val="center"/>
            <w:hideMark/>
          </w:tcPr>
          <w:p w14:paraId="05BB1C47"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Cerebral Palsy</w:t>
            </w:r>
          </w:p>
        </w:tc>
        <w:tc>
          <w:tcPr>
            <w:tcW w:w="2013" w:type="dxa"/>
            <w:tcBorders>
              <w:top w:val="nil"/>
            </w:tcBorders>
            <w:shd w:val="clear" w:color="000000" w:fill="FFFFFF"/>
            <w:vAlign w:val="center"/>
            <w:hideMark/>
          </w:tcPr>
          <w:p w14:paraId="7638824B"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3.1</w:t>
            </w:r>
          </w:p>
        </w:tc>
        <w:tc>
          <w:tcPr>
            <w:tcW w:w="2126" w:type="dxa"/>
            <w:tcBorders>
              <w:top w:val="nil"/>
            </w:tcBorders>
            <w:shd w:val="clear" w:color="000000" w:fill="FFFFFF"/>
            <w:vAlign w:val="center"/>
          </w:tcPr>
          <w:p w14:paraId="70EB616B"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2.2</w:t>
            </w:r>
          </w:p>
        </w:tc>
        <w:tc>
          <w:tcPr>
            <w:tcW w:w="998" w:type="dxa"/>
            <w:tcBorders>
              <w:top w:val="nil"/>
            </w:tcBorders>
            <w:shd w:val="clear" w:color="000000" w:fill="FFFFFF"/>
            <w:vAlign w:val="center"/>
          </w:tcPr>
          <w:p w14:paraId="11052E8D"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-0.9</w:t>
            </w:r>
          </w:p>
        </w:tc>
        <w:tc>
          <w:tcPr>
            <w:tcW w:w="958" w:type="dxa"/>
            <w:tcBorders>
              <w:top w:val="nil"/>
            </w:tcBorders>
            <w:shd w:val="clear" w:color="000000" w:fill="FFFFFF"/>
            <w:vAlign w:val="center"/>
          </w:tcPr>
          <w:p w14:paraId="0ED78143"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-28%</w:t>
            </w:r>
          </w:p>
        </w:tc>
      </w:tr>
      <w:tr w:rsidR="00B67A4F" w:rsidRPr="008C0E3C" w14:paraId="2ED58626" w14:textId="77777777" w:rsidTr="00F830E6">
        <w:trPr>
          <w:trHeight w:val="285"/>
        </w:trPr>
        <w:tc>
          <w:tcPr>
            <w:tcW w:w="2547" w:type="dxa"/>
            <w:tcBorders>
              <w:top w:val="nil"/>
              <w:bottom w:val="nil"/>
            </w:tcBorders>
            <w:shd w:val="clear" w:color="000000" w:fill="BCBEC0"/>
            <w:vAlign w:val="center"/>
            <w:hideMark/>
          </w:tcPr>
          <w:p w14:paraId="525B7C31"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Developmental Delay</w:t>
            </w:r>
          </w:p>
        </w:tc>
        <w:tc>
          <w:tcPr>
            <w:tcW w:w="2013" w:type="dxa"/>
            <w:tcBorders>
              <w:top w:val="nil"/>
              <w:bottom w:val="nil"/>
            </w:tcBorders>
            <w:shd w:val="clear" w:color="000000" w:fill="BCBEC0"/>
            <w:vAlign w:val="center"/>
            <w:hideMark/>
          </w:tcPr>
          <w:p w14:paraId="1AB84FA0"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112.4</w:t>
            </w:r>
          </w:p>
        </w:tc>
        <w:tc>
          <w:tcPr>
            <w:tcW w:w="2126" w:type="dxa"/>
            <w:tcBorders>
              <w:top w:val="nil"/>
              <w:bottom w:val="nil"/>
            </w:tcBorders>
            <w:shd w:val="clear" w:color="000000" w:fill="BCBEC0"/>
            <w:vAlign w:val="center"/>
          </w:tcPr>
          <w:p w14:paraId="2BD36F37"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110.5</w:t>
            </w:r>
          </w:p>
        </w:tc>
        <w:tc>
          <w:tcPr>
            <w:tcW w:w="998" w:type="dxa"/>
            <w:tcBorders>
              <w:top w:val="nil"/>
              <w:bottom w:val="nil"/>
            </w:tcBorders>
            <w:shd w:val="clear" w:color="000000" w:fill="BCBEC0"/>
            <w:vAlign w:val="center"/>
          </w:tcPr>
          <w:p w14:paraId="695E4C65"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-1.9</w:t>
            </w:r>
          </w:p>
        </w:tc>
        <w:tc>
          <w:tcPr>
            <w:tcW w:w="958" w:type="dxa"/>
            <w:tcBorders>
              <w:top w:val="nil"/>
              <w:bottom w:val="nil"/>
            </w:tcBorders>
            <w:shd w:val="clear" w:color="000000" w:fill="BCBEC0"/>
            <w:vAlign w:val="center"/>
          </w:tcPr>
          <w:p w14:paraId="61A5C077"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-2%</w:t>
            </w:r>
          </w:p>
        </w:tc>
      </w:tr>
      <w:tr w:rsidR="00B67A4F" w:rsidRPr="008C0E3C" w14:paraId="4A3AB093" w14:textId="77777777" w:rsidTr="00F830E6">
        <w:trPr>
          <w:trHeight w:val="285"/>
        </w:trPr>
        <w:tc>
          <w:tcPr>
            <w:tcW w:w="2547" w:type="dxa"/>
            <w:tcBorders>
              <w:top w:val="nil"/>
            </w:tcBorders>
            <w:shd w:val="clear" w:color="000000" w:fill="FFFFFF"/>
            <w:vAlign w:val="center"/>
            <w:hideMark/>
          </w:tcPr>
          <w:p w14:paraId="50882F61"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Hearing Impairment</w:t>
            </w:r>
          </w:p>
        </w:tc>
        <w:tc>
          <w:tcPr>
            <w:tcW w:w="2013" w:type="dxa"/>
            <w:tcBorders>
              <w:top w:val="nil"/>
            </w:tcBorders>
            <w:shd w:val="clear" w:color="000000" w:fill="FFFFFF"/>
            <w:vAlign w:val="center"/>
            <w:hideMark/>
          </w:tcPr>
          <w:p w14:paraId="138E7255"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12.3</w:t>
            </w:r>
          </w:p>
        </w:tc>
        <w:tc>
          <w:tcPr>
            <w:tcW w:w="2126" w:type="dxa"/>
            <w:tcBorders>
              <w:top w:val="nil"/>
            </w:tcBorders>
            <w:shd w:val="clear" w:color="000000" w:fill="FFFFFF"/>
            <w:vAlign w:val="center"/>
          </w:tcPr>
          <w:p w14:paraId="5AC4F567"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11.2</w:t>
            </w:r>
          </w:p>
        </w:tc>
        <w:tc>
          <w:tcPr>
            <w:tcW w:w="998" w:type="dxa"/>
            <w:tcBorders>
              <w:top w:val="nil"/>
            </w:tcBorders>
            <w:shd w:val="clear" w:color="000000" w:fill="FFFFFF"/>
            <w:vAlign w:val="center"/>
          </w:tcPr>
          <w:p w14:paraId="5107580B"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-1.1</w:t>
            </w:r>
          </w:p>
        </w:tc>
        <w:tc>
          <w:tcPr>
            <w:tcW w:w="958" w:type="dxa"/>
            <w:tcBorders>
              <w:top w:val="nil"/>
            </w:tcBorders>
            <w:shd w:val="clear" w:color="000000" w:fill="FFFFFF"/>
            <w:vAlign w:val="center"/>
          </w:tcPr>
          <w:p w14:paraId="21C97FDB"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-9%</w:t>
            </w:r>
          </w:p>
        </w:tc>
      </w:tr>
      <w:tr w:rsidR="00B67A4F" w:rsidRPr="008C0E3C" w14:paraId="5BFF6085" w14:textId="77777777" w:rsidTr="00F830E6">
        <w:trPr>
          <w:trHeight w:val="285"/>
        </w:trPr>
        <w:tc>
          <w:tcPr>
            <w:tcW w:w="2547" w:type="dxa"/>
            <w:tcBorders>
              <w:top w:val="nil"/>
              <w:bottom w:val="nil"/>
            </w:tcBorders>
            <w:shd w:val="clear" w:color="000000" w:fill="BCBEC0"/>
            <w:vAlign w:val="center"/>
            <w:hideMark/>
          </w:tcPr>
          <w:p w14:paraId="4894E433"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Intellectual Disability</w:t>
            </w:r>
          </w:p>
        </w:tc>
        <w:tc>
          <w:tcPr>
            <w:tcW w:w="2013" w:type="dxa"/>
            <w:tcBorders>
              <w:top w:val="nil"/>
              <w:bottom w:val="nil"/>
            </w:tcBorders>
            <w:shd w:val="clear" w:color="000000" w:fill="BCBEC0"/>
            <w:vAlign w:val="center"/>
            <w:hideMark/>
          </w:tcPr>
          <w:p w14:paraId="1303487B"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17.0</w:t>
            </w:r>
          </w:p>
        </w:tc>
        <w:tc>
          <w:tcPr>
            <w:tcW w:w="2126" w:type="dxa"/>
            <w:tcBorders>
              <w:top w:val="nil"/>
              <w:bottom w:val="nil"/>
            </w:tcBorders>
            <w:shd w:val="clear" w:color="000000" w:fill="BCBEC0"/>
            <w:vAlign w:val="center"/>
          </w:tcPr>
          <w:p w14:paraId="000042E5"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21.0</w:t>
            </w:r>
          </w:p>
        </w:tc>
        <w:tc>
          <w:tcPr>
            <w:tcW w:w="998" w:type="dxa"/>
            <w:tcBorders>
              <w:top w:val="nil"/>
              <w:bottom w:val="nil"/>
            </w:tcBorders>
            <w:shd w:val="clear" w:color="000000" w:fill="BCBEC0"/>
            <w:vAlign w:val="center"/>
          </w:tcPr>
          <w:p w14:paraId="2513051D"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4.0</w:t>
            </w:r>
          </w:p>
        </w:tc>
        <w:tc>
          <w:tcPr>
            <w:tcW w:w="958" w:type="dxa"/>
            <w:tcBorders>
              <w:top w:val="nil"/>
              <w:bottom w:val="nil"/>
            </w:tcBorders>
            <w:shd w:val="clear" w:color="000000" w:fill="BCBEC0"/>
            <w:vAlign w:val="center"/>
          </w:tcPr>
          <w:p w14:paraId="65B7ECAC"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23%</w:t>
            </w:r>
          </w:p>
        </w:tc>
      </w:tr>
      <w:tr w:rsidR="00B67A4F" w:rsidRPr="008C0E3C" w14:paraId="2DBBD534" w14:textId="77777777" w:rsidTr="00F830E6">
        <w:trPr>
          <w:trHeight w:val="285"/>
        </w:trPr>
        <w:tc>
          <w:tcPr>
            <w:tcW w:w="2547" w:type="dxa"/>
            <w:tcBorders>
              <w:top w:val="nil"/>
            </w:tcBorders>
            <w:shd w:val="clear" w:color="000000" w:fill="FFFFFF"/>
            <w:vAlign w:val="center"/>
            <w:hideMark/>
          </w:tcPr>
          <w:p w14:paraId="6F26A694"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Multiple Sclerosis</w:t>
            </w:r>
          </w:p>
        </w:tc>
        <w:tc>
          <w:tcPr>
            <w:tcW w:w="2013" w:type="dxa"/>
            <w:tcBorders>
              <w:top w:val="nil"/>
            </w:tcBorders>
            <w:shd w:val="clear" w:color="000000" w:fill="FFFFFF"/>
            <w:vAlign w:val="center"/>
            <w:hideMark/>
          </w:tcPr>
          <w:p w14:paraId="38D17AEB"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2.9</w:t>
            </w:r>
          </w:p>
        </w:tc>
        <w:tc>
          <w:tcPr>
            <w:tcW w:w="2126" w:type="dxa"/>
            <w:tcBorders>
              <w:top w:val="nil"/>
            </w:tcBorders>
            <w:shd w:val="clear" w:color="000000" w:fill="FFFFFF"/>
            <w:vAlign w:val="center"/>
          </w:tcPr>
          <w:p w14:paraId="57656CA6"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4.0</w:t>
            </w:r>
          </w:p>
        </w:tc>
        <w:tc>
          <w:tcPr>
            <w:tcW w:w="998" w:type="dxa"/>
            <w:tcBorders>
              <w:top w:val="nil"/>
            </w:tcBorders>
            <w:shd w:val="clear" w:color="000000" w:fill="FFFFFF"/>
            <w:vAlign w:val="center"/>
          </w:tcPr>
          <w:p w14:paraId="69060FFE"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1.1</w:t>
            </w:r>
          </w:p>
        </w:tc>
        <w:tc>
          <w:tcPr>
            <w:tcW w:w="958" w:type="dxa"/>
            <w:tcBorders>
              <w:top w:val="nil"/>
            </w:tcBorders>
            <w:shd w:val="clear" w:color="000000" w:fill="FFFFFF"/>
            <w:vAlign w:val="center"/>
          </w:tcPr>
          <w:p w14:paraId="28A06E7F"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36%</w:t>
            </w:r>
          </w:p>
        </w:tc>
      </w:tr>
      <w:tr w:rsidR="00B67A4F" w:rsidRPr="008C0E3C" w14:paraId="68FAF23E" w14:textId="77777777" w:rsidTr="00F830E6">
        <w:trPr>
          <w:trHeight w:val="285"/>
        </w:trPr>
        <w:tc>
          <w:tcPr>
            <w:tcW w:w="2547" w:type="dxa"/>
            <w:tcBorders>
              <w:top w:val="nil"/>
              <w:bottom w:val="nil"/>
            </w:tcBorders>
            <w:shd w:val="clear" w:color="000000" w:fill="BCBEC0"/>
            <w:vAlign w:val="center"/>
            <w:hideMark/>
          </w:tcPr>
          <w:p w14:paraId="19EF0848"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Other</w:t>
            </w:r>
          </w:p>
        </w:tc>
        <w:tc>
          <w:tcPr>
            <w:tcW w:w="2013" w:type="dxa"/>
            <w:tcBorders>
              <w:top w:val="nil"/>
              <w:bottom w:val="nil"/>
            </w:tcBorders>
            <w:shd w:val="clear" w:color="000000" w:fill="BCBEC0"/>
            <w:vAlign w:val="center"/>
            <w:hideMark/>
          </w:tcPr>
          <w:p w14:paraId="021D6436"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4.3</w:t>
            </w:r>
          </w:p>
        </w:tc>
        <w:tc>
          <w:tcPr>
            <w:tcW w:w="2126" w:type="dxa"/>
            <w:tcBorders>
              <w:top w:val="nil"/>
              <w:bottom w:val="nil"/>
            </w:tcBorders>
            <w:shd w:val="clear" w:color="000000" w:fill="BCBEC0"/>
            <w:vAlign w:val="center"/>
          </w:tcPr>
          <w:p w14:paraId="3C9A2BFB"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7.9</w:t>
            </w:r>
          </w:p>
        </w:tc>
        <w:tc>
          <w:tcPr>
            <w:tcW w:w="998" w:type="dxa"/>
            <w:tcBorders>
              <w:top w:val="nil"/>
              <w:bottom w:val="nil"/>
            </w:tcBorders>
            <w:shd w:val="clear" w:color="000000" w:fill="BCBEC0"/>
            <w:vAlign w:val="center"/>
          </w:tcPr>
          <w:p w14:paraId="01961727"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3.6</w:t>
            </w:r>
          </w:p>
        </w:tc>
        <w:tc>
          <w:tcPr>
            <w:tcW w:w="958" w:type="dxa"/>
            <w:tcBorders>
              <w:top w:val="nil"/>
              <w:bottom w:val="nil"/>
            </w:tcBorders>
            <w:shd w:val="clear" w:color="000000" w:fill="BCBEC0"/>
            <w:vAlign w:val="center"/>
          </w:tcPr>
          <w:p w14:paraId="7602EAE9"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86%</w:t>
            </w:r>
          </w:p>
        </w:tc>
      </w:tr>
      <w:tr w:rsidR="00B67A4F" w:rsidRPr="008C0E3C" w14:paraId="27887C72" w14:textId="77777777" w:rsidTr="00F830E6">
        <w:trPr>
          <w:trHeight w:val="285"/>
        </w:trPr>
        <w:tc>
          <w:tcPr>
            <w:tcW w:w="2547" w:type="dxa"/>
            <w:tcBorders>
              <w:top w:val="nil"/>
            </w:tcBorders>
            <w:shd w:val="clear" w:color="000000" w:fill="FFFFFF"/>
            <w:vAlign w:val="center"/>
            <w:hideMark/>
          </w:tcPr>
          <w:p w14:paraId="7E2C14CE"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Other Neurological</w:t>
            </w:r>
          </w:p>
        </w:tc>
        <w:tc>
          <w:tcPr>
            <w:tcW w:w="2013" w:type="dxa"/>
            <w:tcBorders>
              <w:top w:val="nil"/>
            </w:tcBorders>
            <w:shd w:val="clear" w:color="000000" w:fill="FFFFFF"/>
            <w:vAlign w:val="center"/>
            <w:hideMark/>
          </w:tcPr>
          <w:p w14:paraId="7C270C55"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11.6</w:t>
            </w:r>
          </w:p>
        </w:tc>
        <w:tc>
          <w:tcPr>
            <w:tcW w:w="2126" w:type="dxa"/>
            <w:tcBorders>
              <w:top w:val="nil"/>
            </w:tcBorders>
            <w:shd w:val="clear" w:color="000000" w:fill="FFFFFF"/>
            <w:vAlign w:val="center"/>
          </w:tcPr>
          <w:p w14:paraId="01110F7F"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9.9</w:t>
            </w:r>
          </w:p>
        </w:tc>
        <w:tc>
          <w:tcPr>
            <w:tcW w:w="998" w:type="dxa"/>
            <w:tcBorders>
              <w:top w:val="nil"/>
            </w:tcBorders>
            <w:shd w:val="clear" w:color="000000" w:fill="FFFFFF"/>
            <w:vAlign w:val="center"/>
          </w:tcPr>
          <w:p w14:paraId="068C1CEF"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-1.7</w:t>
            </w:r>
          </w:p>
        </w:tc>
        <w:tc>
          <w:tcPr>
            <w:tcW w:w="958" w:type="dxa"/>
            <w:tcBorders>
              <w:top w:val="nil"/>
            </w:tcBorders>
            <w:shd w:val="clear" w:color="000000" w:fill="FFFFFF"/>
            <w:vAlign w:val="center"/>
          </w:tcPr>
          <w:p w14:paraId="483EAD3B"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-15%</w:t>
            </w:r>
          </w:p>
        </w:tc>
      </w:tr>
      <w:tr w:rsidR="00B67A4F" w:rsidRPr="008C0E3C" w14:paraId="6159957B" w14:textId="77777777" w:rsidTr="00F830E6">
        <w:trPr>
          <w:trHeight w:val="285"/>
        </w:trPr>
        <w:tc>
          <w:tcPr>
            <w:tcW w:w="2547" w:type="dxa"/>
            <w:tcBorders>
              <w:top w:val="nil"/>
              <w:bottom w:val="nil"/>
            </w:tcBorders>
            <w:shd w:val="clear" w:color="000000" w:fill="BCBEC0"/>
            <w:vAlign w:val="center"/>
            <w:hideMark/>
          </w:tcPr>
          <w:p w14:paraId="3A1AEAFF"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Other Physical</w:t>
            </w:r>
          </w:p>
        </w:tc>
        <w:tc>
          <w:tcPr>
            <w:tcW w:w="2013" w:type="dxa"/>
            <w:tcBorders>
              <w:top w:val="nil"/>
              <w:bottom w:val="nil"/>
            </w:tcBorders>
            <w:shd w:val="clear" w:color="000000" w:fill="BCBEC0"/>
            <w:vAlign w:val="center"/>
            <w:hideMark/>
          </w:tcPr>
          <w:p w14:paraId="35B5FA5A"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11.4</w:t>
            </w:r>
          </w:p>
        </w:tc>
        <w:tc>
          <w:tcPr>
            <w:tcW w:w="2126" w:type="dxa"/>
            <w:tcBorders>
              <w:top w:val="nil"/>
              <w:bottom w:val="nil"/>
            </w:tcBorders>
            <w:shd w:val="clear" w:color="000000" w:fill="BCBEC0"/>
            <w:vAlign w:val="center"/>
          </w:tcPr>
          <w:p w14:paraId="21520DA3"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6.7</w:t>
            </w:r>
          </w:p>
        </w:tc>
        <w:tc>
          <w:tcPr>
            <w:tcW w:w="998" w:type="dxa"/>
            <w:tcBorders>
              <w:top w:val="nil"/>
              <w:bottom w:val="nil"/>
            </w:tcBorders>
            <w:shd w:val="clear" w:color="000000" w:fill="BCBEC0"/>
            <w:vAlign w:val="center"/>
          </w:tcPr>
          <w:p w14:paraId="63E1EFDE"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-4.6</w:t>
            </w:r>
          </w:p>
        </w:tc>
        <w:tc>
          <w:tcPr>
            <w:tcW w:w="958" w:type="dxa"/>
            <w:tcBorders>
              <w:top w:val="nil"/>
              <w:bottom w:val="nil"/>
            </w:tcBorders>
            <w:shd w:val="clear" w:color="000000" w:fill="BCBEC0"/>
            <w:vAlign w:val="center"/>
          </w:tcPr>
          <w:p w14:paraId="6DBC06B1"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-41%</w:t>
            </w:r>
          </w:p>
        </w:tc>
      </w:tr>
      <w:tr w:rsidR="00B67A4F" w:rsidRPr="008C0E3C" w14:paraId="601AFBCE" w14:textId="77777777" w:rsidTr="00F830E6">
        <w:trPr>
          <w:trHeight w:val="285"/>
        </w:trPr>
        <w:tc>
          <w:tcPr>
            <w:tcW w:w="2547" w:type="dxa"/>
            <w:tcBorders>
              <w:top w:val="nil"/>
            </w:tcBorders>
            <w:shd w:val="clear" w:color="000000" w:fill="FFFFFF"/>
            <w:vAlign w:val="center"/>
            <w:hideMark/>
          </w:tcPr>
          <w:p w14:paraId="44C88027"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Other Sensory/Speech</w:t>
            </w:r>
          </w:p>
        </w:tc>
        <w:tc>
          <w:tcPr>
            <w:tcW w:w="2013" w:type="dxa"/>
            <w:tcBorders>
              <w:top w:val="nil"/>
            </w:tcBorders>
            <w:shd w:val="clear" w:color="000000" w:fill="FFFFFF"/>
            <w:vAlign w:val="center"/>
            <w:hideMark/>
          </w:tcPr>
          <w:p w14:paraId="5AE9244B"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1.9</w:t>
            </w:r>
          </w:p>
        </w:tc>
        <w:tc>
          <w:tcPr>
            <w:tcW w:w="2126" w:type="dxa"/>
            <w:tcBorders>
              <w:top w:val="nil"/>
            </w:tcBorders>
            <w:shd w:val="clear" w:color="000000" w:fill="FFFFFF"/>
            <w:vAlign w:val="center"/>
          </w:tcPr>
          <w:p w14:paraId="3D224011"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0.4</w:t>
            </w:r>
          </w:p>
        </w:tc>
        <w:tc>
          <w:tcPr>
            <w:tcW w:w="998" w:type="dxa"/>
            <w:tcBorders>
              <w:top w:val="nil"/>
            </w:tcBorders>
            <w:shd w:val="clear" w:color="000000" w:fill="FFFFFF"/>
            <w:vAlign w:val="center"/>
          </w:tcPr>
          <w:p w14:paraId="66009873"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-1.5</w:t>
            </w:r>
          </w:p>
        </w:tc>
        <w:tc>
          <w:tcPr>
            <w:tcW w:w="958" w:type="dxa"/>
            <w:tcBorders>
              <w:top w:val="nil"/>
            </w:tcBorders>
            <w:shd w:val="clear" w:color="000000" w:fill="FFFFFF"/>
            <w:vAlign w:val="center"/>
          </w:tcPr>
          <w:p w14:paraId="3FE57089"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-79%</w:t>
            </w:r>
          </w:p>
        </w:tc>
      </w:tr>
      <w:tr w:rsidR="00B67A4F" w:rsidRPr="008C0E3C" w14:paraId="1A3C1389" w14:textId="77777777" w:rsidTr="00F830E6">
        <w:trPr>
          <w:trHeight w:val="285"/>
        </w:trPr>
        <w:tc>
          <w:tcPr>
            <w:tcW w:w="2547" w:type="dxa"/>
            <w:tcBorders>
              <w:top w:val="nil"/>
              <w:bottom w:val="nil"/>
            </w:tcBorders>
            <w:shd w:val="clear" w:color="000000" w:fill="BCBEC0"/>
            <w:vAlign w:val="center"/>
            <w:hideMark/>
          </w:tcPr>
          <w:p w14:paraId="063AE4FB"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Psychosocial Disability</w:t>
            </w:r>
          </w:p>
        </w:tc>
        <w:tc>
          <w:tcPr>
            <w:tcW w:w="2013" w:type="dxa"/>
            <w:tcBorders>
              <w:top w:val="nil"/>
              <w:bottom w:val="nil"/>
            </w:tcBorders>
            <w:shd w:val="clear" w:color="000000" w:fill="BCBEC0"/>
            <w:vAlign w:val="center"/>
            <w:hideMark/>
          </w:tcPr>
          <w:p w14:paraId="1C6F2E2D"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24.2</w:t>
            </w:r>
          </w:p>
        </w:tc>
        <w:tc>
          <w:tcPr>
            <w:tcW w:w="2126" w:type="dxa"/>
            <w:tcBorders>
              <w:top w:val="nil"/>
              <w:bottom w:val="nil"/>
            </w:tcBorders>
            <w:shd w:val="clear" w:color="000000" w:fill="BCBEC0"/>
            <w:vAlign w:val="center"/>
          </w:tcPr>
          <w:p w14:paraId="704B48A4"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24.4</w:t>
            </w:r>
          </w:p>
        </w:tc>
        <w:tc>
          <w:tcPr>
            <w:tcW w:w="998" w:type="dxa"/>
            <w:tcBorders>
              <w:top w:val="nil"/>
              <w:bottom w:val="nil"/>
            </w:tcBorders>
            <w:shd w:val="clear" w:color="000000" w:fill="BCBEC0"/>
            <w:vAlign w:val="center"/>
          </w:tcPr>
          <w:p w14:paraId="132EA2AF"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0.1</w:t>
            </w:r>
          </w:p>
        </w:tc>
        <w:tc>
          <w:tcPr>
            <w:tcW w:w="958" w:type="dxa"/>
            <w:tcBorders>
              <w:top w:val="nil"/>
              <w:bottom w:val="nil"/>
            </w:tcBorders>
            <w:shd w:val="clear" w:color="000000" w:fill="BCBEC0"/>
            <w:vAlign w:val="center"/>
          </w:tcPr>
          <w:p w14:paraId="7F23C4A6"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w:t>
            </w:r>
          </w:p>
        </w:tc>
      </w:tr>
      <w:tr w:rsidR="00B67A4F" w:rsidRPr="008C0E3C" w14:paraId="1CA36CC0" w14:textId="77777777" w:rsidTr="00F830E6">
        <w:trPr>
          <w:trHeight w:val="285"/>
        </w:trPr>
        <w:tc>
          <w:tcPr>
            <w:tcW w:w="2547" w:type="dxa"/>
            <w:tcBorders>
              <w:top w:val="nil"/>
            </w:tcBorders>
            <w:shd w:val="clear" w:color="000000" w:fill="FFFFFF"/>
            <w:vAlign w:val="center"/>
            <w:hideMark/>
          </w:tcPr>
          <w:p w14:paraId="0DC632BC"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Spinal Cord Injury</w:t>
            </w:r>
          </w:p>
        </w:tc>
        <w:tc>
          <w:tcPr>
            <w:tcW w:w="2013" w:type="dxa"/>
            <w:tcBorders>
              <w:top w:val="nil"/>
            </w:tcBorders>
            <w:shd w:val="clear" w:color="000000" w:fill="FFFFFF"/>
            <w:vAlign w:val="center"/>
            <w:hideMark/>
          </w:tcPr>
          <w:p w14:paraId="0795001C"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1.8</w:t>
            </w:r>
          </w:p>
        </w:tc>
        <w:tc>
          <w:tcPr>
            <w:tcW w:w="2126" w:type="dxa"/>
            <w:tcBorders>
              <w:top w:val="nil"/>
            </w:tcBorders>
            <w:shd w:val="clear" w:color="000000" w:fill="FFFFFF"/>
            <w:vAlign w:val="center"/>
          </w:tcPr>
          <w:p w14:paraId="7A31F348"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1.7</w:t>
            </w:r>
          </w:p>
        </w:tc>
        <w:tc>
          <w:tcPr>
            <w:tcW w:w="998" w:type="dxa"/>
            <w:tcBorders>
              <w:top w:val="nil"/>
            </w:tcBorders>
            <w:shd w:val="clear" w:color="000000" w:fill="FFFFFF"/>
            <w:vAlign w:val="center"/>
          </w:tcPr>
          <w:p w14:paraId="694F0B70"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-0.1</w:t>
            </w:r>
          </w:p>
        </w:tc>
        <w:tc>
          <w:tcPr>
            <w:tcW w:w="958" w:type="dxa"/>
            <w:tcBorders>
              <w:top w:val="nil"/>
            </w:tcBorders>
            <w:shd w:val="clear" w:color="000000" w:fill="FFFFFF"/>
            <w:vAlign w:val="center"/>
          </w:tcPr>
          <w:p w14:paraId="1876B250"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-7%</w:t>
            </w:r>
          </w:p>
        </w:tc>
      </w:tr>
      <w:tr w:rsidR="00B67A4F" w:rsidRPr="008C0E3C" w14:paraId="07BB6542" w14:textId="77777777" w:rsidTr="00F830E6">
        <w:trPr>
          <w:trHeight w:val="285"/>
        </w:trPr>
        <w:tc>
          <w:tcPr>
            <w:tcW w:w="2547" w:type="dxa"/>
            <w:tcBorders>
              <w:top w:val="nil"/>
              <w:bottom w:val="nil"/>
            </w:tcBorders>
            <w:shd w:val="clear" w:color="000000" w:fill="BCBEC0"/>
            <w:vAlign w:val="center"/>
            <w:hideMark/>
          </w:tcPr>
          <w:p w14:paraId="448FB261"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Stroke</w:t>
            </w:r>
          </w:p>
        </w:tc>
        <w:tc>
          <w:tcPr>
            <w:tcW w:w="2013" w:type="dxa"/>
            <w:tcBorders>
              <w:top w:val="nil"/>
              <w:bottom w:val="nil"/>
            </w:tcBorders>
            <w:shd w:val="clear" w:color="000000" w:fill="BCBEC0"/>
            <w:vAlign w:val="center"/>
            <w:hideMark/>
          </w:tcPr>
          <w:p w14:paraId="57BB08A8"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4.6</w:t>
            </w:r>
          </w:p>
        </w:tc>
        <w:tc>
          <w:tcPr>
            <w:tcW w:w="2126" w:type="dxa"/>
            <w:tcBorders>
              <w:top w:val="nil"/>
              <w:bottom w:val="nil"/>
            </w:tcBorders>
            <w:shd w:val="clear" w:color="000000" w:fill="BCBEC0"/>
            <w:vAlign w:val="center"/>
          </w:tcPr>
          <w:p w14:paraId="3D47F191"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4.7</w:t>
            </w:r>
          </w:p>
        </w:tc>
        <w:tc>
          <w:tcPr>
            <w:tcW w:w="998" w:type="dxa"/>
            <w:tcBorders>
              <w:top w:val="nil"/>
              <w:bottom w:val="nil"/>
            </w:tcBorders>
            <w:shd w:val="clear" w:color="000000" w:fill="BCBEC0"/>
            <w:vAlign w:val="center"/>
          </w:tcPr>
          <w:p w14:paraId="0C0B2E08"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0.1</w:t>
            </w:r>
          </w:p>
        </w:tc>
        <w:tc>
          <w:tcPr>
            <w:tcW w:w="958" w:type="dxa"/>
            <w:tcBorders>
              <w:top w:val="nil"/>
              <w:bottom w:val="nil"/>
            </w:tcBorders>
            <w:shd w:val="clear" w:color="000000" w:fill="BCBEC0"/>
            <w:vAlign w:val="center"/>
          </w:tcPr>
          <w:p w14:paraId="23F1A108"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2%</w:t>
            </w:r>
          </w:p>
        </w:tc>
      </w:tr>
      <w:tr w:rsidR="00B67A4F" w:rsidRPr="008C0E3C" w14:paraId="6CD020AD" w14:textId="77777777" w:rsidTr="00F830E6">
        <w:trPr>
          <w:trHeight w:val="285"/>
        </w:trPr>
        <w:tc>
          <w:tcPr>
            <w:tcW w:w="2547" w:type="dxa"/>
            <w:tcBorders>
              <w:top w:val="nil"/>
              <w:bottom w:val="single" w:sz="4" w:space="0" w:color="auto"/>
            </w:tcBorders>
            <w:shd w:val="clear" w:color="000000" w:fill="FFFFFF"/>
            <w:vAlign w:val="center"/>
            <w:hideMark/>
          </w:tcPr>
          <w:p w14:paraId="3B28550A" w14:textId="77777777" w:rsidR="00B67A4F" w:rsidRPr="00DA3F73" w:rsidRDefault="00B67A4F">
            <w:pPr>
              <w:spacing w:after="0" w:line="240" w:lineRule="auto"/>
              <w:rPr>
                <w:rFonts w:cs="Arial"/>
                <w:color w:val="000000"/>
                <w:sz w:val="20"/>
                <w:szCs w:val="20"/>
                <w:lang w:eastAsia="en-AU"/>
              </w:rPr>
            </w:pPr>
            <w:r w:rsidRPr="00DA3F73">
              <w:rPr>
                <w:rFonts w:cs="Arial"/>
                <w:color w:val="000000"/>
                <w:sz w:val="20"/>
                <w:szCs w:val="20"/>
                <w:lang w:eastAsia="en-AU"/>
              </w:rPr>
              <w:t>Visual Impairment</w:t>
            </w:r>
          </w:p>
        </w:tc>
        <w:tc>
          <w:tcPr>
            <w:tcW w:w="2013" w:type="dxa"/>
            <w:tcBorders>
              <w:top w:val="nil"/>
              <w:bottom w:val="single" w:sz="4" w:space="0" w:color="auto"/>
            </w:tcBorders>
            <w:shd w:val="clear" w:color="000000" w:fill="FFFFFF"/>
            <w:vAlign w:val="center"/>
            <w:hideMark/>
          </w:tcPr>
          <w:p w14:paraId="15534617"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3.0</w:t>
            </w:r>
          </w:p>
        </w:tc>
        <w:tc>
          <w:tcPr>
            <w:tcW w:w="2126" w:type="dxa"/>
            <w:tcBorders>
              <w:top w:val="nil"/>
              <w:bottom w:val="single" w:sz="4" w:space="0" w:color="auto"/>
            </w:tcBorders>
            <w:shd w:val="clear" w:color="000000" w:fill="FFFFFF"/>
            <w:vAlign w:val="center"/>
          </w:tcPr>
          <w:p w14:paraId="36B49196"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2.6</w:t>
            </w:r>
          </w:p>
        </w:tc>
        <w:tc>
          <w:tcPr>
            <w:tcW w:w="998" w:type="dxa"/>
            <w:tcBorders>
              <w:top w:val="nil"/>
              <w:bottom w:val="single" w:sz="4" w:space="0" w:color="auto"/>
            </w:tcBorders>
            <w:shd w:val="clear" w:color="000000" w:fill="FFFFFF"/>
            <w:vAlign w:val="center"/>
          </w:tcPr>
          <w:p w14:paraId="4841E7EE"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-0.3</w:t>
            </w:r>
          </w:p>
        </w:tc>
        <w:tc>
          <w:tcPr>
            <w:tcW w:w="958" w:type="dxa"/>
            <w:tcBorders>
              <w:top w:val="nil"/>
              <w:bottom w:val="single" w:sz="4" w:space="0" w:color="auto"/>
            </w:tcBorders>
            <w:shd w:val="clear" w:color="000000" w:fill="FFFFFF"/>
            <w:vAlign w:val="center"/>
          </w:tcPr>
          <w:p w14:paraId="236B7765" w14:textId="77777777" w:rsidR="00B67A4F" w:rsidRPr="00DA3F73" w:rsidRDefault="00B67A4F">
            <w:pPr>
              <w:spacing w:after="0" w:line="240" w:lineRule="auto"/>
              <w:jc w:val="right"/>
              <w:rPr>
                <w:rFonts w:cs="Arial"/>
                <w:color w:val="000000"/>
                <w:sz w:val="20"/>
                <w:szCs w:val="20"/>
                <w:lang w:eastAsia="en-AU"/>
              </w:rPr>
            </w:pPr>
            <w:r w:rsidRPr="00DA3F73">
              <w:rPr>
                <w:rFonts w:cs="Arial"/>
                <w:color w:val="000000"/>
                <w:sz w:val="20"/>
                <w:szCs w:val="20"/>
                <w:lang w:eastAsia="en-AU"/>
              </w:rPr>
              <w:t>-12%</w:t>
            </w:r>
          </w:p>
        </w:tc>
      </w:tr>
      <w:tr w:rsidR="00B67A4F" w:rsidRPr="008C0E3C" w14:paraId="15D6DCCA" w14:textId="77777777" w:rsidTr="00F830E6">
        <w:trPr>
          <w:trHeight w:val="285"/>
        </w:trPr>
        <w:tc>
          <w:tcPr>
            <w:tcW w:w="2547" w:type="dxa"/>
            <w:tcBorders>
              <w:top w:val="single" w:sz="4" w:space="0" w:color="auto"/>
              <w:bottom w:val="single" w:sz="4" w:space="0" w:color="auto"/>
            </w:tcBorders>
            <w:shd w:val="clear" w:color="000000" w:fill="B297B7"/>
            <w:vAlign w:val="center"/>
            <w:hideMark/>
          </w:tcPr>
          <w:p w14:paraId="07827587" w14:textId="77777777" w:rsidR="00B67A4F" w:rsidRPr="00DA3F73" w:rsidRDefault="00B67A4F">
            <w:pPr>
              <w:spacing w:after="0" w:line="240" w:lineRule="auto"/>
              <w:rPr>
                <w:rFonts w:cs="Arial"/>
                <w:b/>
                <w:bCs/>
                <w:color w:val="000000"/>
                <w:sz w:val="20"/>
                <w:szCs w:val="20"/>
                <w:lang w:eastAsia="en-AU"/>
              </w:rPr>
            </w:pPr>
            <w:r w:rsidRPr="00DA3F73">
              <w:rPr>
                <w:rFonts w:cs="Arial"/>
                <w:b/>
                <w:bCs/>
                <w:color w:val="000000"/>
                <w:sz w:val="20"/>
                <w:szCs w:val="20"/>
                <w:lang w:eastAsia="en-AU"/>
              </w:rPr>
              <w:t>Total All Disabilities</w:t>
            </w:r>
          </w:p>
        </w:tc>
        <w:tc>
          <w:tcPr>
            <w:tcW w:w="2013" w:type="dxa"/>
            <w:tcBorders>
              <w:top w:val="single" w:sz="4" w:space="0" w:color="auto"/>
              <w:bottom w:val="single" w:sz="4" w:space="0" w:color="auto"/>
            </w:tcBorders>
            <w:shd w:val="clear" w:color="000000" w:fill="B297B7"/>
            <w:noWrap/>
            <w:vAlign w:val="center"/>
            <w:hideMark/>
          </w:tcPr>
          <w:p w14:paraId="32E36614" w14:textId="77777777" w:rsidR="00B67A4F" w:rsidRPr="00DA3F73" w:rsidRDefault="00B67A4F">
            <w:pPr>
              <w:spacing w:after="0" w:line="240" w:lineRule="auto"/>
              <w:jc w:val="right"/>
              <w:rPr>
                <w:rFonts w:cs="Arial"/>
                <w:b/>
                <w:bCs/>
                <w:color w:val="000000"/>
                <w:sz w:val="20"/>
                <w:szCs w:val="20"/>
                <w:lang w:eastAsia="en-AU"/>
              </w:rPr>
            </w:pPr>
            <w:r w:rsidRPr="00DA3F73">
              <w:rPr>
                <w:rFonts w:cs="Arial"/>
                <w:b/>
                <w:bCs/>
                <w:color w:val="000000"/>
                <w:sz w:val="20"/>
                <w:szCs w:val="20"/>
                <w:lang w:eastAsia="en-AU"/>
              </w:rPr>
              <w:t>271.6</w:t>
            </w:r>
          </w:p>
        </w:tc>
        <w:tc>
          <w:tcPr>
            <w:tcW w:w="2126" w:type="dxa"/>
            <w:tcBorders>
              <w:top w:val="single" w:sz="4" w:space="0" w:color="auto"/>
              <w:bottom w:val="single" w:sz="4" w:space="0" w:color="auto"/>
            </w:tcBorders>
            <w:shd w:val="clear" w:color="000000" w:fill="B297B7"/>
            <w:noWrap/>
            <w:vAlign w:val="center"/>
          </w:tcPr>
          <w:p w14:paraId="58CFE348" w14:textId="77777777" w:rsidR="00B67A4F" w:rsidRPr="00DA3F73" w:rsidRDefault="00B67A4F">
            <w:pPr>
              <w:spacing w:after="0" w:line="240" w:lineRule="auto"/>
              <w:jc w:val="right"/>
              <w:rPr>
                <w:rFonts w:cs="Arial"/>
                <w:b/>
                <w:bCs/>
                <w:color w:val="000000"/>
                <w:sz w:val="20"/>
                <w:szCs w:val="20"/>
                <w:lang w:eastAsia="en-AU"/>
              </w:rPr>
            </w:pPr>
            <w:r w:rsidRPr="00DA3F73">
              <w:rPr>
                <w:rFonts w:cs="Arial"/>
                <w:b/>
                <w:bCs/>
                <w:color w:val="000000"/>
                <w:sz w:val="20"/>
                <w:szCs w:val="20"/>
                <w:lang w:eastAsia="en-AU"/>
              </w:rPr>
              <w:t>308.4</w:t>
            </w:r>
          </w:p>
        </w:tc>
        <w:tc>
          <w:tcPr>
            <w:tcW w:w="998" w:type="dxa"/>
            <w:tcBorders>
              <w:top w:val="single" w:sz="4" w:space="0" w:color="auto"/>
              <w:bottom w:val="single" w:sz="4" w:space="0" w:color="auto"/>
            </w:tcBorders>
            <w:shd w:val="clear" w:color="000000" w:fill="B297B7"/>
            <w:noWrap/>
            <w:vAlign w:val="center"/>
          </w:tcPr>
          <w:p w14:paraId="3A4F2F14" w14:textId="77777777" w:rsidR="00B67A4F" w:rsidRPr="00DA3F73" w:rsidRDefault="00B67A4F">
            <w:pPr>
              <w:spacing w:after="0" w:line="240" w:lineRule="auto"/>
              <w:jc w:val="right"/>
              <w:rPr>
                <w:rFonts w:cs="Arial"/>
                <w:b/>
                <w:bCs/>
                <w:color w:val="000000"/>
                <w:sz w:val="20"/>
                <w:szCs w:val="20"/>
                <w:lang w:eastAsia="en-AU"/>
              </w:rPr>
            </w:pPr>
            <w:r w:rsidRPr="00DA3F73">
              <w:rPr>
                <w:rFonts w:cs="Arial"/>
                <w:b/>
                <w:bCs/>
                <w:color w:val="000000"/>
                <w:sz w:val="20"/>
                <w:szCs w:val="20"/>
                <w:lang w:eastAsia="en-AU"/>
              </w:rPr>
              <w:t>36.8</w:t>
            </w:r>
          </w:p>
        </w:tc>
        <w:tc>
          <w:tcPr>
            <w:tcW w:w="958" w:type="dxa"/>
            <w:tcBorders>
              <w:top w:val="single" w:sz="4" w:space="0" w:color="auto"/>
              <w:bottom w:val="single" w:sz="4" w:space="0" w:color="auto"/>
            </w:tcBorders>
            <w:shd w:val="clear" w:color="000000" w:fill="B297B7"/>
            <w:noWrap/>
            <w:vAlign w:val="center"/>
          </w:tcPr>
          <w:p w14:paraId="0ACDD7A7" w14:textId="77777777" w:rsidR="00B67A4F" w:rsidRPr="00DA3F73" w:rsidRDefault="00B67A4F">
            <w:pPr>
              <w:spacing w:after="0" w:line="240" w:lineRule="auto"/>
              <w:jc w:val="right"/>
              <w:rPr>
                <w:rFonts w:cs="Arial"/>
                <w:b/>
                <w:bCs/>
                <w:color w:val="000000"/>
                <w:sz w:val="20"/>
                <w:szCs w:val="20"/>
                <w:lang w:eastAsia="en-AU"/>
              </w:rPr>
            </w:pPr>
            <w:r w:rsidRPr="00DA3F73">
              <w:rPr>
                <w:rFonts w:cs="Arial"/>
                <w:b/>
                <w:bCs/>
                <w:color w:val="000000"/>
                <w:sz w:val="20"/>
                <w:szCs w:val="20"/>
                <w:lang w:eastAsia="en-AU"/>
              </w:rPr>
              <w:t>14%</w:t>
            </w:r>
          </w:p>
        </w:tc>
      </w:tr>
      <w:tr w:rsidR="00B67A4F" w:rsidRPr="008C0E3C" w14:paraId="20C5C8D2" w14:textId="77777777" w:rsidTr="00F830E6">
        <w:trPr>
          <w:trHeight w:val="285"/>
        </w:trPr>
        <w:tc>
          <w:tcPr>
            <w:tcW w:w="2547" w:type="dxa"/>
            <w:tcBorders>
              <w:top w:val="single" w:sz="4" w:space="0" w:color="auto"/>
              <w:bottom w:val="single" w:sz="4" w:space="0" w:color="auto"/>
            </w:tcBorders>
            <w:shd w:val="clear" w:color="auto" w:fill="D4C5D7"/>
            <w:vAlign w:val="center"/>
            <w:hideMark/>
          </w:tcPr>
          <w:p w14:paraId="6EE0F0EB" w14:textId="77777777" w:rsidR="00B67A4F" w:rsidRPr="00DA3F73" w:rsidRDefault="00B67A4F">
            <w:pPr>
              <w:spacing w:after="0" w:line="240" w:lineRule="auto"/>
              <w:rPr>
                <w:rFonts w:cs="Arial"/>
                <w:b/>
                <w:bCs/>
                <w:color w:val="000000"/>
                <w:sz w:val="20"/>
                <w:szCs w:val="20"/>
                <w:lang w:eastAsia="en-AU"/>
              </w:rPr>
            </w:pPr>
            <w:r w:rsidRPr="00DA3F73">
              <w:rPr>
                <w:rFonts w:cs="Arial"/>
                <w:b/>
                <w:bCs/>
                <w:color w:val="000000"/>
                <w:sz w:val="20"/>
                <w:szCs w:val="20"/>
                <w:lang w:eastAsia="en-AU"/>
              </w:rPr>
              <w:t>Total All Disabilities (excluding Other)</w:t>
            </w:r>
          </w:p>
        </w:tc>
        <w:tc>
          <w:tcPr>
            <w:tcW w:w="2013" w:type="dxa"/>
            <w:tcBorders>
              <w:top w:val="single" w:sz="4" w:space="0" w:color="auto"/>
              <w:bottom w:val="single" w:sz="4" w:space="0" w:color="auto"/>
            </w:tcBorders>
            <w:shd w:val="clear" w:color="auto" w:fill="D4C5D7"/>
            <w:noWrap/>
            <w:vAlign w:val="center"/>
            <w:hideMark/>
          </w:tcPr>
          <w:p w14:paraId="468768C6" w14:textId="77777777" w:rsidR="00B67A4F" w:rsidRPr="00DA3F73" w:rsidRDefault="00B67A4F">
            <w:pPr>
              <w:spacing w:after="0" w:line="240" w:lineRule="auto"/>
              <w:jc w:val="right"/>
              <w:rPr>
                <w:rFonts w:cs="Arial"/>
                <w:b/>
                <w:bCs/>
                <w:color w:val="000000"/>
                <w:sz w:val="20"/>
                <w:szCs w:val="20"/>
                <w:lang w:eastAsia="en-AU"/>
              </w:rPr>
            </w:pPr>
            <w:r w:rsidRPr="00DA3F73">
              <w:rPr>
                <w:rFonts w:cs="Arial"/>
                <w:b/>
                <w:bCs/>
                <w:color w:val="000000"/>
                <w:sz w:val="20"/>
                <w:szCs w:val="20"/>
                <w:lang w:eastAsia="en-AU"/>
              </w:rPr>
              <w:t>267.3</w:t>
            </w:r>
          </w:p>
        </w:tc>
        <w:tc>
          <w:tcPr>
            <w:tcW w:w="2126" w:type="dxa"/>
            <w:tcBorders>
              <w:top w:val="single" w:sz="4" w:space="0" w:color="auto"/>
              <w:bottom w:val="single" w:sz="4" w:space="0" w:color="auto"/>
            </w:tcBorders>
            <w:shd w:val="clear" w:color="auto" w:fill="D4C5D7"/>
            <w:noWrap/>
            <w:vAlign w:val="center"/>
          </w:tcPr>
          <w:p w14:paraId="53CB4214" w14:textId="77777777" w:rsidR="00B67A4F" w:rsidRPr="00DA3F73" w:rsidRDefault="00B67A4F">
            <w:pPr>
              <w:spacing w:after="0" w:line="240" w:lineRule="auto"/>
              <w:jc w:val="right"/>
              <w:rPr>
                <w:rFonts w:cs="Arial"/>
                <w:b/>
                <w:bCs/>
                <w:color w:val="000000"/>
                <w:sz w:val="20"/>
                <w:szCs w:val="20"/>
                <w:lang w:eastAsia="en-AU"/>
              </w:rPr>
            </w:pPr>
            <w:r w:rsidRPr="00DA3F73">
              <w:rPr>
                <w:rFonts w:cs="Arial"/>
                <w:b/>
                <w:bCs/>
                <w:color w:val="000000"/>
                <w:sz w:val="20"/>
                <w:szCs w:val="20"/>
                <w:lang w:eastAsia="en-AU"/>
              </w:rPr>
              <w:t>300.5</w:t>
            </w:r>
          </w:p>
        </w:tc>
        <w:tc>
          <w:tcPr>
            <w:tcW w:w="998" w:type="dxa"/>
            <w:tcBorders>
              <w:top w:val="single" w:sz="4" w:space="0" w:color="auto"/>
              <w:bottom w:val="single" w:sz="4" w:space="0" w:color="auto"/>
            </w:tcBorders>
            <w:shd w:val="clear" w:color="auto" w:fill="D4C5D7"/>
            <w:noWrap/>
            <w:vAlign w:val="center"/>
          </w:tcPr>
          <w:p w14:paraId="37B2E46A" w14:textId="77777777" w:rsidR="00B67A4F" w:rsidRPr="00DA3F73" w:rsidRDefault="00B67A4F">
            <w:pPr>
              <w:spacing w:after="0" w:line="240" w:lineRule="auto"/>
              <w:jc w:val="right"/>
              <w:rPr>
                <w:rFonts w:cs="Arial"/>
                <w:b/>
                <w:bCs/>
                <w:color w:val="000000"/>
                <w:sz w:val="20"/>
                <w:szCs w:val="20"/>
                <w:lang w:eastAsia="en-AU"/>
              </w:rPr>
            </w:pPr>
            <w:r w:rsidRPr="00DA3F73">
              <w:rPr>
                <w:rFonts w:cs="Arial"/>
                <w:b/>
                <w:bCs/>
                <w:color w:val="000000"/>
                <w:sz w:val="20"/>
                <w:szCs w:val="20"/>
                <w:lang w:eastAsia="en-AU"/>
              </w:rPr>
              <w:t>33.2</w:t>
            </w:r>
          </w:p>
        </w:tc>
        <w:tc>
          <w:tcPr>
            <w:tcW w:w="958" w:type="dxa"/>
            <w:tcBorders>
              <w:top w:val="single" w:sz="4" w:space="0" w:color="auto"/>
              <w:bottom w:val="single" w:sz="4" w:space="0" w:color="auto"/>
            </w:tcBorders>
            <w:shd w:val="clear" w:color="auto" w:fill="D4C5D7"/>
            <w:noWrap/>
            <w:vAlign w:val="center"/>
          </w:tcPr>
          <w:p w14:paraId="64F1869B" w14:textId="77777777" w:rsidR="00B67A4F" w:rsidRPr="00DA3F73" w:rsidRDefault="00B67A4F">
            <w:pPr>
              <w:spacing w:after="0" w:line="240" w:lineRule="auto"/>
              <w:jc w:val="right"/>
              <w:rPr>
                <w:rFonts w:cs="Arial"/>
                <w:b/>
                <w:bCs/>
                <w:color w:val="000000"/>
                <w:sz w:val="20"/>
                <w:szCs w:val="20"/>
                <w:lang w:eastAsia="en-AU"/>
              </w:rPr>
            </w:pPr>
            <w:r w:rsidRPr="00DA3F73">
              <w:rPr>
                <w:rFonts w:cs="Arial"/>
                <w:b/>
                <w:bCs/>
                <w:color w:val="000000"/>
                <w:sz w:val="20"/>
                <w:szCs w:val="20"/>
                <w:lang w:eastAsia="en-AU"/>
              </w:rPr>
              <w:t>12%</w:t>
            </w:r>
          </w:p>
        </w:tc>
      </w:tr>
    </w:tbl>
    <w:p w14:paraId="5EB5D1F7" w14:textId="77777777" w:rsidR="00B67A4F" w:rsidRPr="005B092F" w:rsidRDefault="00B67A4F" w:rsidP="00B67A4F">
      <w:pPr>
        <w:pStyle w:val="FSRnormal"/>
      </w:pPr>
      <w:r w:rsidRPr="005B092F">
        <w:t xml:space="preserve">The increase </w:t>
      </w:r>
      <w:r w:rsidR="00924606">
        <w:t xml:space="preserve">in the overall new entrant rate compared to the previous review </w:t>
      </w:r>
      <w:r w:rsidRPr="005B092F">
        <w:t>can be primarily attributed to an increase in the new entrant rate for participants with autism</w:t>
      </w:r>
      <w:r w:rsidR="006923C3">
        <w:t>, with s</w:t>
      </w:r>
      <w:r w:rsidRPr="005B092F">
        <w:t>maller movements</w:t>
      </w:r>
      <w:r w:rsidR="006923C3">
        <w:t xml:space="preserve"> </w:t>
      </w:r>
      <w:r w:rsidRPr="005B092F">
        <w:t>in absolute terms for other disability categories.</w:t>
      </w:r>
    </w:p>
    <w:p w14:paraId="0044DAFC" w14:textId="77777777" w:rsidR="00B67A4F" w:rsidRDefault="00B67A4F" w:rsidP="00DA3F73">
      <w:pPr>
        <w:pStyle w:val="FSRnormal"/>
        <w:keepLines/>
      </w:pPr>
      <w:r w:rsidRPr="005B092F">
        <w:t>The increase in the new entrant rate f</w:t>
      </w:r>
      <w:r w:rsidR="006923C3">
        <w:t>or</w:t>
      </w:r>
      <w:r w:rsidRPr="005B092F">
        <w:t xml:space="preserve"> autism is large, and is driven by the emerging experience of higher levels of intake than expected for participants with autism. </w:t>
      </w:r>
    </w:p>
    <w:p w14:paraId="6C919863" w14:textId="77777777" w:rsidR="00B67A4F" w:rsidRPr="008048AF" w:rsidRDefault="00B67A4F" w:rsidP="00DA3F73">
      <w:pPr>
        <w:pStyle w:val="FSRHeading6"/>
      </w:pPr>
      <w:r w:rsidRPr="0047087C">
        <w:t>New entrant rates by gender and age group</w:t>
      </w:r>
    </w:p>
    <w:p w14:paraId="288FF991" w14:textId="77777777" w:rsidR="00B67A4F" w:rsidRPr="00B67A4F" w:rsidRDefault="00AC7010">
      <w:pPr>
        <w:pStyle w:val="FSRnormal"/>
      </w:pPr>
      <w:r>
        <w:t>Table H.</w:t>
      </w:r>
      <w:r>
        <w:rPr>
          <w:noProof/>
        </w:rPr>
        <w:t>4</w:t>
      </w:r>
      <w:r w:rsidR="00B67A4F" w:rsidRPr="00B67A4F">
        <w:t xml:space="preserve"> details the change in new entrant rates (across all disability types) by gender and age group, which further highlights the impact of the emerging experience on the new entrant rates in particular for participants between the ages of 7 and 18 years.</w:t>
      </w:r>
    </w:p>
    <w:p w14:paraId="3665EB3F" w14:textId="77777777" w:rsidR="00131B14" w:rsidRPr="00B67A4F" w:rsidRDefault="00131B14" w:rsidP="00131B14">
      <w:pPr>
        <w:pStyle w:val="Tables"/>
      </w:pPr>
      <w:bookmarkStart w:id="460" w:name="_Ref114559243"/>
      <w:r>
        <w:lastRenderedPageBreak/>
        <w:t>Table H</w:t>
      </w:r>
      <w:r w:rsidR="00A87896">
        <w:t>.</w:t>
      </w:r>
      <w:fldSimple w:instr=" SEQ Table \* ARABIC \s 2 ">
        <w:r w:rsidR="00A87896">
          <w:rPr>
            <w:noProof/>
          </w:rPr>
          <w:t>4</w:t>
        </w:r>
      </w:fldSimple>
      <w:bookmarkEnd w:id="460"/>
      <w:r>
        <w:t>:</w:t>
      </w:r>
      <w:r w:rsidRPr="00B67A4F">
        <w:t xml:space="preserve"> Adopted new entrant rate (new entrants per 100,000 population aged 0 to 64) by gender and age group, </w:t>
      </w:r>
      <w:r w:rsidR="006923C3">
        <w:t xml:space="preserve">in the 2020-21 AFSR and in the 2021-22 AFSR </w:t>
      </w:r>
    </w:p>
    <w:tbl>
      <w:tblPr>
        <w:tblStyle w:val="FSRtable"/>
        <w:tblW w:w="0" w:type="auto"/>
        <w:tblInd w:w="118" w:type="dxa"/>
        <w:tblLayout w:type="fixed"/>
        <w:tblLook w:val="04A0" w:firstRow="1" w:lastRow="0" w:firstColumn="1" w:lastColumn="0" w:noHBand="0" w:noVBand="1"/>
      </w:tblPr>
      <w:tblGrid>
        <w:gridCol w:w="3397"/>
        <w:gridCol w:w="1588"/>
        <w:gridCol w:w="1701"/>
        <w:gridCol w:w="1276"/>
        <w:gridCol w:w="822"/>
      </w:tblGrid>
      <w:tr w:rsidR="00B67A4F" w:rsidRPr="008C0E3C" w14:paraId="516C87E5" w14:textId="77777777" w:rsidTr="00BD61C9">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3397" w:type="dxa"/>
            <w:vMerge w:val="restart"/>
            <w:hideMark/>
          </w:tcPr>
          <w:p w14:paraId="7EFE92DE" w14:textId="77777777" w:rsidR="00B67A4F" w:rsidRPr="00DA3F73" w:rsidRDefault="00B67A4F" w:rsidP="00F830E6">
            <w:pPr>
              <w:keepNext/>
              <w:spacing w:after="0" w:line="240" w:lineRule="auto"/>
              <w:rPr>
                <w:bCs/>
                <w:color w:val="FFFFFF"/>
                <w:sz w:val="20"/>
                <w:szCs w:val="20"/>
                <w:lang w:eastAsia="en-AU"/>
              </w:rPr>
            </w:pPr>
            <w:r w:rsidRPr="00DA3F73">
              <w:rPr>
                <w:bCs/>
                <w:color w:val="FFFFFF"/>
                <w:sz w:val="20"/>
                <w:szCs w:val="20"/>
                <w:lang w:eastAsia="en-AU"/>
              </w:rPr>
              <w:t>Gender and age group</w:t>
            </w:r>
          </w:p>
        </w:tc>
        <w:tc>
          <w:tcPr>
            <w:tcW w:w="1588" w:type="dxa"/>
            <w:vMerge w:val="restart"/>
            <w:hideMark/>
          </w:tcPr>
          <w:p w14:paraId="07555DB1" w14:textId="77777777" w:rsidR="00B67A4F" w:rsidRPr="00DA3F73" w:rsidRDefault="00B67A4F" w:rsidP="00F830E6">
            <w:pPr>
              <w:keepNext/>
              <w:spacing w:after="0" w:line="240" w:lineRule="auto"/>
              <w:cnfStyle w:val="100000000000" w:firstRow="1" w:lastRow="0" w:firstColumn="0" w:lastColumn="0" w:oddVBand="0" w:evenVBand="0" w:oddHBand="0" w:evenHBand="0" w:firstRowFirstColumn="0" w:firstRowLastColumn="0" w:lastRowFirstColumn="0" w:lastRowLastColumn="0"/>
              <w:rPr>
                <w:bCs/>
                <w:color w:val="FFFFFF"/>
                <w:sz w:val="20"/>
                <w:szCs w:val="20"/>
                <w:lang w:eastAsia="en-AU"/>
              </w:rPr>
            </w:pPr>
            <w:r w:rsidRPr="00DA3F73">
              <w:rPr>
                <w:bCs/>
                <w:color w:val="FFFFFF"/>
                <w:sz w:val="20"/>
                <w:szCs w:val="20"/>
                <w:lang w:eastAsia="en-AU"/>
              </w:rPr>
              <w:t>2020-21 AFSR new entrant rate (1)</w:t>
            </w:r>
          </w:p>
        </w:tc>
        <w:tc>
          <w:tcPr>
            <w:tcW w:w="1701" w:type="dxa"/>
            <w:vMerge w:val="restart"/>
            <w:hideMark/>
          </w:tcPr>
          <w:p w14:paraId="70F7F955" w14:textId="77777777" w:rsidR="00B67A4F" w:rsidRPr="00DA3F73" w:rsidRDefault="00B67A4F" w:rsidP="00F830E6">
            <w:pPr>
              <w:keepNext/>
              <w:spacing w:after="0" w:line="240" w:lineRule="auto"/>
              <w:cnfStyle w:val="100000000000" w:firstRow="1" w:lastRow="0" w:firstColumn="0" w:lastColumn="0" w:oddVBand="0" w:evenVBand="0" w:oddHBand="0" w:evenHBand="0" w:firstRowFirstColumn="0" w:firstRowLastColumn="0" w:lastRowFirstColumn="0" w:lastRowLastColumn="0"/>
              <w:rPr>
                <w:bCs/>
                <w:color w:val="FFFFFF"/>
                <w:sz w:val="20"/>
                <w:szCs w:val="20"/>
                <w:lang w:eastAsia="en-AU"/>
              </w:rPr>
            </w:pPr>
            <w:r w:rsidRPr="00DA3F73">
              <w:rPr>
                <w:bCs/>
                <w:color w:val="FFFFFF"/>
                <w:sz w:val="20"/>
                <w:szCs w:val="20"/>
                <w:lang w:eastAsia="en-AU"/>
              </w:rPr>
              <w:t>202</w:t>
            </w:r>
            <w:r w:rsidR="00C60B5E">
              <w:rPr>
                <w:bCs/>
                <w:color w:val="FFFFFF"/>
                <w:sz w:val="20"/>
                <w:szCs w:val="20"/>
                <w:lang w:eastAsia="en-AU"/>
              </w:rPr>
              <w:t>1-2</w:t>
            </w:r>
            <w:r w:rsidRPr="00DA3F73">
              <w:rPr>
                <w:bCs/>
                <w:color w:val="FFFFFF"/>
                <w:sz w:val="20"/>
                <w:szCs w:val="20"/>
                <w:lang w:eastAsia="en-AU"/>
              </w:rPr>
              <w:t xml:space="preserve">2 </w:t>
            </w:r>
            <w:r w:rsidR="00C60B5E">
              <w:rPr>
                <w:bCs/>
                <w:color w:val="FFFFFF"/>
                <w:sz w:val="20"/>
                <w:szCs w:val="20"/>
                <w:lang w:eastAsia="en-AU"/>
              </w:rPr>
              <w:t xml:space="preserve">AFSR </w:t>
            </w:r>
            <w:r w:rsidRPr="00DA3F73">
              <w:rPr>
                <w:bCs/>
                <w:color w:val="FFFFFF"/>
                <w:sz w:val="20"/>
                <w:szCs w:val="20"/>
                <w:lang w:eastAsia="en-AU"/>
              </w:rPr>
              <w:t>new entrant rate (2)</w:t>
            </w:r>
          </w:p>
        </w:tc>
        <w:tc>
          <w:tcPr>
            <w:tcW w:w="2098" w:type="dxa"/>
            <w:gridSpan w:val="2"/>
            <w:hideMark/>
          </w:tcPr>
          <w:p w14:paraId="74252E42" w14:textId="77777777" w:rsidR="00B67A4F" w:rsidRPr="00DA3F73" w:rsidRDefault="00B67A4F" w:rsidP="00F830E6">
            <w:pPr>
              <w:keepNext/>
              <w:spacing w:after="0" w:line="240" w:lineRule="auto"/>
              <w:cnfStyle w:val="100000000000" w:firstRow="1" w:lastRow="0" w:firstColumn="0" w:lastColumn="0" w:oddVBand="0" w:evenVBand="0" w:oddHBand="0" w:evenHBand="0" w:firstRowFirstColumn="0" w:firstRowLastColumn="0" w:lastRowFirstColumn="0" w:lastRowLastColumn="0"/>
              <w:rPr>
                <w:bCs/>
                <w:color w:val="FFFFFF"/>
                <w:sz w:val="20"/>
                <w:szCs w:val="20"/>
                <w:lang w:eastAsia="en-AU"/>
              </w:rPr>
            </w:pPr>
            <w:r w:rsidRPr="00DA3F73">
              <w:rPr>
                <w:bCs/>
                <w:color w:val="FFFFFF"/>
                <w:sz w:val="20"/>
                <w:szCs w:val="20"/>
                <w:lang w:eastAsia="en-AU"/>
              </w:rPr>
              <w:t>Change (2) - (1)</w:t>
            </w:r>
          </w:p>
        </w:tc>
      </w:tr>
      <w:tr w:rsidR="00B67A4F" w:rsidRPr="008C0E3C" w14:paraId="173893F6" w14:textId="77777777" w:rsidTr="00BD61C9">
        <w:trPr>
          <w:cnfStyle w:val="100000000000" w:firstRow="1" w:lastRow="0" w:firstColumn="0" w:lastColumn="0" w:oddVBand="0" w:evenVBand="0" w:oddHBand="0" w:evenHBand="0" w:firstRowFirstColumn="0" w:firstRowLastColumn="0" w:lastRowFirstColumn="0" w:lastRowLastColumn="0"/>
          <w:trHeight w:val="585"/>
          <w:tblHeader/>
        </w:trPr>
        <w:tc>
          <w:tcPr>
            <w:cnfStyle w:val="001000000000" w:firstRow="0" w:lastRow="0" w:firstColumn="1" w:lastColumn="0" w:oddVBand="0" w:evenVBand="0" w:oddHBand="0" w:evenHBand="0" w:firstRowFirstColumn="0" w:firstRowLastColumn="0" w:lastRowFirstColumn="0" w:lastRowLastColumn="0"/>
            <w:tcW w:w="3397" w:type="dxa"/>
            <w:vMerge/>
            <w:hideMark/>
          </w:tcPr>
          <w:p w14:paraId="4BA64803" w14:textId="77777777" w:rsidR="00B67A4F" w:rsidRPr="00DA3F73" w:rsidRDefault="00B67A4F" w:rsidP="00F830E6">
            <w:pPr>
              <w:keepNext/>
              <w:spacing w:after="0" w:line="240" w:lineRule="auto"/>
              <w:rPr>
                <w:b w:val="0"/>
                <w:bCs/>
                <w:color w:val="FFFFFF"/>
                <w:sz w:val="20"/>
                <w:szCs w:val="20"/>
                <w:lang w:eastAsia="en-AU"/>
              </w:rPr>
            </w:pPr>
          </w:p>
        </w:tc>
        <w:tc>
          <w:tcPr>
            <w:tcW w:w="1588" w:type="dxa"/>
            <w:vMerge/>
            <w:hideMark/>
          </w:tcPr>
          <w:p w14:paraId="4525838A" w14:textId="77777777" w:rsidR="00B67A4F" w:rsidRPr="00DA3F73" w:rsidRDefault="00B67A4F" w:rsidP="00F830E6">
            <w:pPr>
              <w:keepNext/>
              <w:spacing w:after="0" w:line="240" w:lineRule="auto"/>
              <w:cnfStyle w:val="100000000000" w:firstRow="1" w:lastRow="0" w:firstColumn="0" w:lastColumn="0" w:oddVBand="0" w:evenVBand="0" w:oddHBand="0" w:evenHBand="0" w:firstRowFirstColumn="0" w:firstRowLastColumn="0" w:lastRowFirstColumn="0" w:lastRowLastColumn="0"/>
              <w:rPr>
                <w:b w:val="0"/>
                <w:bCs/>
                <w:color w:val="FFFFFF"/>
                <w:sz w:val="20"/>
                <w:szCs w:val="20"/>
                <w:lang w:eastAsia="en-AU"/>
              </w:rPr>
            </w:pPr>
          </w:p>
        </w:tc>
        <w:tc>
          <w:tcPr>
            <w:tcW w:w="1701" w:type="dxa"/>
            <w:vMerge/>
            <w:hideMark/>
          </w:tcPr>
          <w:p w14:paraId="4B3426EA" w14:textId="77777777" w:rsidR="00B67A4F" w:rsidRPr="00DA3F73" w:rsidRDefault="00B67A4F" w:rsidP="00F830E6">
            <w:pPr>
              <w:keepNext/>
              <w:spacing w:after="0" w:line="240" w:lineRule="auto"/>
              <w:cnfStyle w:val="100000000000" w:firstRow="1" w:lastRow="0" w:firstColumn="0" w:lastColumn="0" w:oddVBand="0" w:evenVBand="0" w:oddHBand="0" w:evenHBand="0" w:firstRowFirstColumn="0" w:firstRowLastColumn="0" w:lastRowFirstColumn="0" w:lastRowLastColumn="0"/>
              <w:rPr>
                <w:b w:val="0"/>
                <w:bCs/>
                <w:color w:val="FFFFFF"/>
                <w:sz w:val="20"/>
                <w:szCs w:val="20"/>
                <w:lang w:eastAsia="en-AU"/>
              </w:rPr>
            </w:pPr>
          </w:p>
        </w:tc>
        <w:tc>
          <w:tcPr>
            <w:tcW w:w="1276" w:type="dxa"/>
            <w:noWrap/>
            <w:hideMark/>
          </w:tcPr>
          <w:p w14:paraId="2AC5BA6C" w14:textId="77777777" w:rsidR="00B67A4F" w:rsidRPr="00252EAF" w:rsidRDefault="00B67A4F" w:rsidP="00F830E6">
            <w:pPr>
              <w:keepNext/>
              <w:spacing w:after="0" w:line="240" w:lineRule="auto"/>
              <w:cnfStyle w:val="100000000000" w:firstRow="1" w:lastRow="0" w:firstColumn="0" w:lastColumn="0" w:oddVBand="0" w:evenVBand="0" w:oddHBand="0" w:evenHBand="0" w:firstRowFirstColumn="0" w:firstRowLastColumn="0" w:lastRowFirstColumn="0" w:lastRowLastColumn="0"/>
              <w:rPr>
                <w:bCs/>
                <w:color w:val="FFFFFF"/>
                <w:sz w:val="20"/>
                <w:szCs w:val="20"/>
                <w:lang w:eastAsia="en-AU"/>
              </w:rPr>
            </w:pPr>
            <w:r w:rsidRPr="00EF5070">
              <w:rPr>
                <w:bCs/>
                <w:color w:val="FFFFFF"/>
                <w:sz w:val="20"/>
                <w:szCs w:val="20"/>
                <w:lang w:eastAsia="en-AU"/>
              </w:rPr>
              <w:t>#</w:t>
            </w:r>
          </w:p>
        </w:tc>
        <w:tc>
          <w:tcPr>
            <w:tcW w:w="822" w:type="dxa"/>
            <w:noWrap/>
            <w:hideMark/>
          </w:tcPr>
          <w:p w14:paraId="7E8D8BC9" w14:textId="77777777" w:rsidR="00B67A4F" w:rsidRPr="00252EAF" w:rsidRDefault="00B67A4F" w:rsidP="00F830E6">
            <w:pPr>
              <w:keepNext/>
              <w:spacing w:after="0" w:line="240" w:lineRule="auto"/>
              <w:cnfStyle w:val="100000000000" w:firstRow="1" w:lastRow="0" w:firstColumn="0" w:lastColumn="0" w:oddVBand="0" w:evenVBand="0" w:oddHBand="0" w:evenHBand="0" w:firstRowFirstColumn="0" w:firstRowLastColumn="0" w:lastRowFirstColumn="0" w:lastRowLastColumn="0"/>
              <w:rPr>
                <w:bCs/>
                <w:color w:val="FFFFFF"/>
                <w:sz w:val="20"/>
                <w:szCs w:val="20"/>
                <w:lang w:eastAsia="en-AU"/>
              </w:rPr>
            </w:pPr>
            <w:r w:rsidRPr="00EF5070">
              <w:rPr>
                <w:bCs/>
                <w:color w:val="FFFFFF"/>
                <w:sz w:val="20"/>
                <w:szCs w:val="20"/>
                <w:lang w:eastAsia="en-AU"/>
              </w:rPr>
              <w:t>%</w:t>
            </w:r>
          </w:p>
        </w:tc>
      </w:tr>
      <w:tr w:rsidR="00B67A4F" w:rsidRPr="008C0E3C" w14:paraId="49D01CDF" w14:textId="77777777" w:rsidTr="00BD61C9">
        <w:trPr>
          <w:trHeight w:val="285"/>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noWrap/>
            <w:hideMark/>
          </w:tcPr>
          <w:p w14:paraId="7090F43E" w14:textId="77777777" w:rsidR="00B67A4F" w:rsidRPr="00DA3F73" w:rsidRDefault="00B67A4F" w:rsidP="00F830E6">
            <w:pPr>
              <w:keepNext/>
              <w:spacing w:after="0" w:line="240" w:lineRule="auto"/>
              <w:rPr>
                <w:rFonts w:cs="Arial"/>
                <w:color w:val="000000"/>
                <w:sz w:val="20"/>
                <w:szCs w:val="20"/>
                <w:lang w:eastAsia="en-AU"/>
              </w:rPr>
            </w:pPr>
            <w:r w:rsidRPr="00DA3F73">
              <w:rPr>
                <w:rFonts w:cs="Arial"/>
                <w:color w:val="000000"/>
                <w:sz w:val="20"/>
                <w:szCs w:val="20"/>
                <w:lang w:eastAsia="en-AU"/>
              </w:rPr>
              <w:t>Male / 0 to 6 years old</w:t>
            </w:r>
          </w:p>
        </w:tc>
        <w:tc>
          <w:tcPr>
            <w:tcW w:w="1588" w:type="dxa"/>
            <w:shd w:val="clear" w:color="auto" w:fill="auto"/>
            <w:noWrap/>
            <w:hideMark/>
          </w:tcPr>
          <w:p w14:paraId="03F6F15A" w14:textId="77777777" w:rsidR="00B67A4F" w:rsidRPr="00DA3F73" w:rsidRDefault="00B67A4F"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1,892.2</w:t>
            </w:r>
          </w:p>
        </w:tc>
        <w:tc>
          <w:tcPr>
            <w:tcW w:w="1701" w:type="dxa"/>
            <w:shd w:val="clear" w:color="auto" w:fill="auto"/>
            <w:noWrap/>
          </w:tcPr>
          <w:p w14:paraId="3395C2DE" w14:textId="77777777" w:rsidR="00B67A4F" w:rsidRPr="00DA3F73" w:rsidRDefault="00B67A4F"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1,784.0</w:t>
            </w:r>
          </w:p>
        </w:tc>
        <w:tc>
          <w:tcPr>
            <w:tcW w:w="1276" w:type="dxa"/>
            <w:shd w:val="clear" w:color="auto" w:fill="auto"/>
            <w:noWrap/>
          </w:tcPr>
          <w:p w14:paraId="136188D5" w14:textId="77777777" w:rsidR="00B67A4F" w:rsidRPr="00DA3F73" w:rsidRDefault="00B67A4F"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-108.2</w:t>
            </w:r>
          </w:p>
        </w:tc>
        <w:tc>
          <w:tcPr>
            <w:tcW w:w="822" w:type="dxa"/>
            <w:shd w:val="clear" w:color="auto" w:fill="auto"/>
            <w:noWrap/>
          </w:tcPr>
          <w:p w14:paraId="1FCB001D" w14:textId="77777777" w:rsidR="00B67A4F" w:rsidRPr="00DA3F73" w:rsidRDefault="00B67A4F"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-6%</w:t>
            </w:r>
          </w:p>
        </w:tc>
      </w:tr>
      <w:tr w:rsidR="00B67A4F" w:rsidRPr="008C0E3C" w14:paraId="39B2874B" w14:textId="77777777" w:rsidTr="00DA3F73">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97" w:type="dxa"/>
            <w:noWrap/>
            <w:hideMark/>
          </w:tcPr>
          <w:p w14:paraId="4FF063AA" w14:textId="77777777" w:rsidR="00B67A4F" w:rsidRPr="00DA3F73" w:rsidRDefault="00B67A4F" w:rsidP="00F830E6">
            <w:pPr>
              <w:keepNext/>
              <w:spacing w:after="0" w:line="240" w:lineRule="auto"/>
              <w:rPr>
                <w:rFonts w:cs="Arial"/>
                <w:color w:val="000000"/>
                <w:sz w:val="20"/>
                <w:szCs w:val="20"/>
                <w:lang w:eastAsia="en-AU"/>
              </w:rPr>
            </w:pPr>
            <w:r w:rsidRPr="00DA3F73">
              <w:rPr>
                <w:rFonts w:cs="Arial"/>
                <w:color w:val="000000"/>
                <w:sz w:val="20"/>
                <w:szCs w:val="20"/>
                <w:lang w:eastAsia="en-AU"/>
              </w:rPr>
              <w:t>Male / 7 to 18 years old</w:t>
            </w:r>
          </w:p>
        </w:tc>
        <w:tc>
          <w:tcPr>
            <w:tcW w:w="1588" w:type="dxa"/>
            <w:noWrap/>
            <w:hideMark/>
          </w:tcPr>
          <w:p w14:paraId="542C43A1" w14:textId="77777777" w:rsidR="00B67A4F" w:rsidRPr="00DA3F73" w:rsidRDefault="00B67A4F"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353.3</w:t>
            </w:r>
          </w:p>
        </w:tc>
        <w:tc>
          <w:tcPr>
            <w:tcW w:w="1701" w:type="dxa"/>
            <w:noWrap/>
          </w:tcPr>
          <w:p w14:paraId="412B4D48" w14:textId="77777777" w:rsidR="00B67A4F" w:rsidRPr="00DA3F73" w:rsidRDefault="00B67A4F"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523.7</w:t>
            </w:r>
          </w:p>
        </w:tc>
        <w:tc>
          <w:tcPr>
            <w:tcW w:w="1276" w:type="dxa"/>
            <w:noWrap/>
          </w:tcPr>
          <w:p w14:paraId="35409C2C" w14:textId="77777777" w:rsidR="00B67A4F" w:rsidRPr="00DA3F73" w:rsidRDefault="00B67A4F"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170.4</w:t>
            </w:r>
          </w:p>
        </w:tc>
        <w:tc>
          <w:tcPr>
            <w:tcW w:w="822" w:type="dxa"/>
            <w:noWrap/>
          </w:tcPr>
          <w:p w14:paraId="0AB415BC" w14:textId="77777777" w:rsidR="00B67A4F" w:rsidRPr="00DA3F73" w:rsidRDefault="00B67A4F"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48%</w:t>
            </w:r>
          </w:p>
        </w:tc>
      </w:tr>
      <w:tr w:rsidR="00B67A4F" w:rsidRPr="008C0E3C" w14:paraId="59D388C2" w14:textId="77777777" w:rsidTr="00BD61C9">
        <w:trPr>
          <w:trHeight w:val="285"/>
        </w:trPr>
        <w:tc>
          <w:tcPr>
            <w:cnfStyle w:val="001000000000" w:firstRow="0" w:lastRow="0" w:firstColumn="1" w:lastColumn="0" w:oddVBand="0" w:evenVBand="0" w:oddHBand="0" w:evenHBand="0" w:firstRowFirstColumn="0" w:firstRowLastColumn="0" w:lastRowFirstColumn="0" w:lastRowLastColumn="0"/>
            <w:tcW w:w="3397" w:type="dxa"/>
            <w:tcBorders>
              <w:bottom w:val="single" w:sz="4" w:space="0" w:color="auto"/>
            </w:tcBorders>
            <w:shd w:val="clear" w:color="auto" w:fill="auto"/>
            <w:noWrap/>
            <w:hideMark/>
          </w:tcPr>
          <w:p w14:paraId="10FD125A" w14:textId="77777777" w:rsidR="00B67A4F" w:rsidRPr="00DA3F73" w:rsidRDefault="00B67A4F" w:rsidP="00F830E6">
            <w:pPr>
              <w:keepNext/>
              <w:spacing w:after="0" w:line="240" w:lineRule="auto"/>
              <w:rPr>
                <w:rFonts w:cs="Arial"/>
                <w:color w:val="000000"/>
                <w:sz w:val="20"/>
                <w:szCs w:val="20"/>
                <w:lang w:eastAsia="en-AU"/>
              </w:rPr>
            </w:pPr>
            <w:r w:rsidRPr="00DA3F73">
              <w:rPr>
                <w:rFonts w:cs="Arial"/>
                <w:color w:val="000000"/>
                <w:sz w:val="20"/>
                <w:szCs w:val="20"/>
                <w:lang w:eastAsia="en-AU"/>
              </w:rPr>
              <w:t>Male / 19 to 64 years old</w:t>
            </w:r>
          </w:p>
        </w:tc>
        <w:tc>
          <w:tcPr>
            <w:tcW w:w="1588" w:type="dxa"/>
            <w:tcBorders>
              <w:bottom w:val="single" w:sz="4" w:space="0" w:color="auto"/>
            </w:tcBorders>
            <w:shd w:val="clear" w:color="auto" w:fill="auto"/>
            <w:noWrap/>
            <w:hideMark/>
          </w:tcPr>
          <w:p w14:paraId="57B5D2D2" w14:textId="77777777" w:rsidR="00B67A4F" w:rsidRPr="00DA3F73" w:rsidRDefault="00B67A4F"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118.5</w:t>
            </w:r>
          </w:p>
        </w:tc>
        <w:tc>
          <w:tcPr>
            <w:tcW w:w="1701" w:type="dxa"/>
            <w:tcBorders>
              <w:bottom w:val="single" w:sz="4" w:space="0" w:color="auto"/>
            </w:tcBorders>
            <w:shd w:val="clear" w:color="auto" w:fill="auto"/>
            <w:noWrap/>
          </w:tcPr>
          <w:p w14:paraId="7565B11B" w14:textId="77777777" w:rsidR="00B67A4F" w:rsidRPr="00DA3F73" w:rsidRDefault="00B67A4F"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132.9</w:t>
            </w:r>
          </w:p>
        </w:tc>
        <w:tc>
          <w:tcPr>
            <w:tcW w:w="1276" w:type="dxa"/>
            <w:tcBorders>
              <w:bottom w:val="single" w:sz="4" w:space="0" w:color="auto"/>
            </w:tcBorders>
            <w:shd w:val="clear" w:color="auto" w:fill="auto"/>
            <w:noWrap/>
          </w:tcPr>
          <w:p w14:paraId="59484B73" w14:textId="77777777" w:rsidR="00B67A4F" w:rsidRPr="00DA3F73" w:rsidRDefault="00B67A4F"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14.4</w:t>
            </w:r>
          </w:p>
        </w:tc>
        <w:tc>
          <w:tcPr>
            <w:tcW w:w="822" w:type="dxa"/>
            <w:tcBorders>
              <w:bottom w:val="single" w:sz="4" w:space="0" w:color="auto"/>
            </w:tcBorders>
            <w:shd w:val="clear" w:color="auto" w:fill="auto"/>
            <w:noWrap/>
          </w:tcPr>
          <w:p w14:paraId="45835152" w14:textId="77777777" w:rsidR="00B67A4F" w:rsidRPr="00DA3F73" w:rsidRDefault="00B67A4F"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12%</w:t>
            </w:r>
          </w:p>
        </w:tc>
      </w:tr>
      <w:tr w:rsidR="00B67A4F" w:rsidRPr="008C0E3C" w14:paraId="4B2127C0" w14:textId="77777777" w:rsidTr="00DA3F73">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bottom w:val="single" w:sz="4" w:space="0" w:color="auto"/>
            </w:tcBorders>
            <w:shd w:val="clear" w:color="auto" w:fill="D4C5D7"/>
            <w:noWrap/>
            <w:hideMark/>
          </w:tcPr>
          <w:p w14:paraId="23326FBE" w14:textId="77777777" w:rsidR="00B67A4F" w:rsidRPr="00DA3F73" w:rsidRDefault="00B67A4F" w:rsidP="00F830E6">
            <w:pPr>
              <w:keepNext/>
              <w:spacing w:after="0" w:line="240" w:lineRule="auto"/>
              <w:rPr>
                <w:rFonts w:cs="Arial"/>
                <w:b/>
                <w:bCs/>
                <w:color w:val="000000"/>
                <w:sz w:val="20"/>
                <w:szCs w:val="20"/>
                <w:lang w:eastAsia="en-AU"/>
              </w:rPr>
            </w:pPr>
            <w:r w:rsidRPr="00DA3F73">
              <w:rPr>
                <w:rFonts w:cs="Arial"/>
                <w:b/>
                <w:bCs/>
                <w:color w:val="000000"/>
                <w:sz w:val="20"/>
                <w:szCs w:val="20"/>
                <w:lang w:eastAsia="en-AU"/>
              </w:rPr>
              <w:t>Total Male</w:t>
            </w:r>
          </w:p>
        </w:tc>
        <w:tc>
          <w:tcPr>
            <w:tcW w:w="1588" w:type="dxa"/>
            <w:tcBorders>
              <w:top w:val="single" w:sz="4" w:space="0" w:color="auto"/>
              <w:bottom w:val="single" w:sz="4" w:space="0" w:color="auto"/>
            </w:tcBorders>
            <w:shd w:val="clear" w:color="auto" w:fill="D4C5D7"/>
            <w:noWrap/>
            <w:hideMark/>
          </w:tcPr>
          <w:p w14:paraId="60F589C3" w14:textId="77777777" w:rsidR="00B67A4F" w:rsidRPr="00DA3F73" w:rsidRDefault="00B67A4F"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20"/>
                <w:szCs w:val="20"/>
                <w:lang w:eastAsia="en-AU"/>
              </w:rPr>
            </w:pPr>
            <w:r w:rsidRPr="00DA3F73">
              <w:rPr>
                <w:rFonts w:cs="Arial"/>
                <w:b/>
                <w:bCs/>
                <w:color w:val="000000"/>
                <w:sz w:val="20"/>
                <w:szCs w:val="20"/>
                <w:lang w:eastAsia="en-AU"/>
              </w:rPr>
              <w:t>352.8</w:t>
            </w:r>
          </w:p>
        </w:tc>
        <w:tc>
          <w:tcPr>
            <w:tcW w:w="1701" w:type="dxa"/>
            <w:tcBorders>
              <w:top w:val="single" w:sz="4" w:space="0" w:color="auto"/>
              <w:bottom w:val="single" w:sz="4" w:space="0" w:color="auto"/>
            </w:tcBorders>
            <w:shd w:val="clear" w:color="auto" w:fill="D4C5D7"/>
            <w:noWrap/>
          </w:tcPr>
          <w:p w14:paraId="46B2F174" w14:textId="77777777" w:rsidR="00B67A4F" w:rsidRPr="00DA3F73" w:rsidRDefault="00B67A4F"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20"/>
                <w:szCs w:val="20"/>
                <w:lang w:eastAsia="en-AU"/>
              </w:rPr>
            </w:pPr>
            <w:r w:rsidRPr="00DA3F73">
              <w:rPr>
                <w:rFonts w:cs="Arial"/>
                <w:b/>
                <w:bCs/>
                <w:color w:val="000000"/>
                <w:sz w:val="20"/>
                <w:szCs w:val="20"/>
                <w:lang w:eastAsia="en-AU"/>
              </w:rPr>
              <w:t>387.7</w:t>
            </w:r>
          </w:p>
        </w:tc>
        <w:tc>
          <w:tcPr>
            <w:tcW w:w="1276" w:type="dxa"/>
            <w:tcBorders>
              <w:top w:val="single" w:sz="4" w:space="0" w:color="auto"/>
              <w:bottom w:val="single" w:sz="4" w:space="0" w:color="auto"/>
            </w:tcBorders>
            <w:shd w:val="clear" w:color="auto" w:fill="D4C5D7"/>
            <w:noWrap/>
          </w:tcPr>
          <w:p w14:paraId="59E5D365" w14:textId="77777777" w:rsidR="00B67A4F" w:rsidRPr="00DA3F73" w:rsidRDefault="00B67A4F"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20"/>
                <w:szCs w:val="20"/>
                <w:lang w:eastAsia="en-AU"/>
              </w:rPr>
            </w:pPr>
            <w:r w:rsidRPr="00DA3F73">
              <w:rPr>
                <w:rFonts w:cs="Arial"/>
                <w:b/>
                <w:bCs/>
                <w:color w:val="000000"/>
                <w:sz w:val="20"/>
                <w:szCs w:val="20"/>
                <w:lang w:eastAsia="en-AU"/>
              </w:rPr>
              <w:t>35.0</w:t>
            </w:r>
          </w:p>
        </w:tc>
        <w:tc>
          <w:tcPr>
            <w:tcW w:w="822" w:type="dxa"/>
            <w:tcBorders>
              <w:top w:val="single" w:sz="4" w:space="0" w:color="auto"/>
              <w:bottom w:val="single" w:sz="4" w:space="0" w:color="auto"/>
            </w:tcBorders>
            <w:shd w:val="clear" w:color="auto" w:fill="D4C5D7"/>
            <w:noWrap/>
          </w:tcPr>
          <w:p w14:paraId="60EBA4E1" w14:textId="77777777" w:rsidR="00B67A4F" w:rsidRPr="00DA3F73" w:rsidRDefault="00B67A4F"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20"/>
                <w:szCs w:val="20"/>
                <w:lang w:eastAsia="en-AU"/>
              </w:rPr>
            </w:pPr>
            <w:r w:rsidRPr="00DA3F73">
              <w:rPr>
                <w:rFonts w:cs="Arial"/>
                <w:b/>
                <w:bCs/>
                <w:color w:val="000000"/>
                <w:sz w:val="20"/>
                <w:szCs w:val="20"/>
                <w:lang w:eastAsia="en-AU"/>
              </w:rPr>
              <w:t>10%</w:t>
            </w:r>
          </w:p>
        </w:tc>
      </w:tr>
      <w:tr w:rsidR="00B67A4F" w:rsidRPr="008C0E3C" w14:paraId="57D5B82D" w14:textId="77777777" w:rsidTr="00BD61C9">
        <w:trPr>
          <w:trHeight w:val="285"/>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tcBorders>
            <w:shd w:val="clear" w:color="auto" w:fill="auto"/>
            <w:noWrap/>
            <w:hideMark/>
          </w:tcPr>
          <w:p w14:paraId="51FECCB0" w14:textId="77777777" w:rsidR="00B67A4F" w:rsidRPr="00DA3F73" w:rsidRDefault="00B67A4F" w:rsidP="00F830E6">
            <w:pPr>
              <w:keepNext/>
              <w:spacing w:after="0" w:line="240" w:lineRule="auto"/>
              <w:rPr>
                <w:rFonts w:cs="Arial"/>
                <w:color w:val="000000"/>
                <w:sz w:val="20"/>
                <w:szCs w:val="20"/>
                <w:lang w:eastAsia="en-AU"/>
              </w:rPr>
            </w:pPr>
            <w:r w:rsidRPr="00DA3F73">
              <w:rPr>
                <w:rFonts w:cs="Arial"/>
                <w:color w:val="000000"/>
                <w:sz w:val="20"/>
                <w:szCs w:val="20"/>
                <w:lang w:eastAsia="en-AU"/>
              </w:rPr>
              <w:t>Female / 0 to 6 years old</w:t>
            </w:r>
          </w:p>
        </w:tc>
        <w:tc>
          <w:tcPr>
            <w:tcW w:w="1588" w:type="dxa"/>
            <w:tcBorders>
              <w:top w:val="single" w:sz="4" w:space="0" w:color="auto"/>
            </w:tcBorders>
            <w:shd w:val="clear" w:color="auto" w:fill="auto"/>
            <w:noWrap/>
            <w:hideMark/>
          </w:tcPr>
          <w:p w14:paraId="36FF50E8" w14:textId="77777777" w:rsidR="00B67A4F" w:rsidRPr="00DA3F73" w:rsidRDefault="00B67A4F"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803.4</w:t>
            </w:r>
          </w:p>
        </w:tc>
        <w:tc>
          <w:tcPr>
            <w:tcW w:w="1701" w:type="dxa"/>
            <w:tcBorders>
              <w:top w:val="single" w:sz="4" w:space="0" w:color="auto"/>
            </w:tcBorders>
            <w:shd w:val="clear" w:color="auto" w:fill="auto"/>
            <w:noWrap/>
          </w:tcPr>
          <w:p w14:paraId="7BCFAD5E" w14:textId="77777777" w:rsidR="00B67A4F" w:rsidRPr="00DA3F73" w:rsidRDefault="00B67A4F"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783.5</w:t>
            </w:r>
          </w:p>
        </w:tc>
        <w:tc>
          <w:tcPr>
            <w:tcW w:w="1276" w:type="dxa"/>
            <w:tcBorders>
              <w:top w:val="single" w:sz="4" w:space="0" w:color="auto"/>
            </w:tcBorders>
            <w:shd w:val="clear" w:color="auto" w:fill="auto"/>
            <w:noWrap/>
          </w:tcPr>
          <w:p w14:paraId="693AEE3A" w14:textId="77777777" w:rsidR="00B67A4F" w:rsidRPr="00DA3F73" w:rsidRDefault="00B67A4F"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-20.0</w:t>
            </w:r>
          </w:p>
        </w:tc>
        <w:tc>
          <w:tcPr>
            <w:tcW w:w="822" w:type="dxa"/>
            <w:tcBorders>
              <w:top w:val="single" w:sz="4" w:space="0" w:color="auto"/>
            </w:tcBorders>
            <w:shd w:val="clear" w:color="auto" w:fill="auto"/>
            <w:noWrap/>
          </w:tcPr>
          <w:p w14:paraId="14D2034F" w14:textId="77777777" w:rsidR="00B67A4F" w:rsidRPr="00DA3F73" w:rsidRDefault="00B67A4F"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-2%</w:t>
            </w:r>
          </w:p>
        </w:tc>
      </w:tr>
      <w:tr w:rsidR="00B67A4F" w:rsidRPr="008C0E3C" w14:paraId="04E7C510" w14:textId="77777777" w:rsidTr="00DA3F73">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97" w:type="dxa"/>
            <w:noWrap/>
            <w:hideMark/>
          </w:tcPr>
          <w:p w14:paraId="3D078551" w14:textId="77777777" w:rsidR="00B67A4F" w:rsidRPr="00DA3F73" w:rsidRDefault="00B67A4F" w:rsidP="00F830E6">
            <w:pPr>
              <w:keepNext/>
              <w:spacing w:after="0" w:line="240" w:lineRule="auto"/>
              <w:rPr>
                <w:rFonts w:cs="Arial"/>
                <w:color w:val="000000"/>
                <w:sz w:val="20"/>
                <w:szCs w:val="20"/>
                <w:lang w:eastAsia="en-AU"/>
              </w:rPr>
            </w:pPr>
            <w:r w:rsidRPr="00DA3F73">
              <w:rPr>
                <w:rFonts w:cs="Arial"/>
                <w:color w:val="000000"/>
                <w:sz w:val="20"/>
                <w:szCs w:val="20"/>
                <w:lang w:eastAsia="en-AU"/>
              </w:rPr>
              <w:t>Female / 7 to 18 years old</w:t>
            </w:r>
          </w:p>
        </w:tc>
        <w:tc>
          <w:tcPr>
            <w:tcW w:w="1588" w:type="dxa"/>
            <w:noWrap/>
            <w:hideMark/>
          </w:tcPr>
          <w:p w14:paraId="64924EA3" w14:textId="77777777" w:rsidR="00B67A4F" w:rsidRPr="00DA3F73" w:rsidRDefault="00B67A4F"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194.3</w:t>
            </w:r>
          </w:p>
        </w:tc>
        <w:tc>
          <w:tcPr>
            <w:tcW w:w="1701" w:type="dxa"/>
            <w:noWrap/>
          </w:tcPr>
          <w:p w14:paraId="5BDFB7BA" w14:textId="77777777" w:rsidR="00B67A4F" w:rsidRPr="00DA3F73" w:rsidRDefault="00B67A4F"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326.3</w:t>
            </w:r>
          </w:p>
        </w:tc>
        <w:tc>
          <w:tcPr>
            <w:tcW w:w="1276" w:type="dxa"/>
            <w:noWrap/>
          </w:tcPr>
          <w:p w14:paraId="309845B8" w14:textId="77777777" w:rsidR="00B67A4F" w:rsidRPr="00DA3F73" w:rsidRDefault="00B67A4F"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132.0</w:t>
            </w:r>
          </w:p>
        </w:tc>
        <w:tc>
          <w:tcPr>
            <w:tcW w:w="822" w:type="dxa"/>
            <w:noWrap/>
          </w:tcPr>
          <w:p w14:paraId="5CB773F1" w14:textId="77777777" w:rsidR="00B67A4F" w:rsidRPr="00DA3F73" w:rsidRDefault="00B67A4F"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68%</w:t>
            </w:r>
          </w:p>
        </w:tc>
      </w:tr>
      <w:tr w:rsidR="00B67A4F" w:rsidRPr="008C0E3C" w14:paraId="5550ADC2" w14:textId="77777777" w:rsidTr="00BD61C9">
        <w:trPr>
          <w:trHeight w:val="285"/>
        </w:trPr>
        <w:tc>
          <w:tcPr>
            <w:cnfStyle w:val="001000000000" w:firstRow="0" w:lastRow="0" w:firstColumn="1" w:lastColumn="0" w:oddVBand="0" w:evenVBand="0" w:oddHBand="0" w:evenHBand="0" w:firstRowFirstColumn="0" w:firstRowLastColumn="0" w:lastRowFirstColumn="0" w:lastRowLastColumn="0"/>
            <w:tcW w:w="3397" w:type="dxa"/>
            <w:tcBorders>
              <w:bottom w:val="single" w:sz="4" w:space="0" w:color="auto"/>
            </w:tcBorders>
            <w:shd w:val="clear" w:color="auto" w:fill="auto"/>
            <w:noWrap/>
            <w:hideMark/>
          </w:tcPr>
          <w:p w14:paraId="4A7FA87D" w14:textId="77777777" w:rsidR="00B67A4F" w:rsidRPr="00DA3F73" w:rsidRDefault="00B67A4F" w:rsidP="00F830E6">
            <w:pPr>
              <w:keepNext/>
              <w:spacing w:after="0" w:line="240" w:lineRule="auto"/>
              <w:rPr>
                <w:rFonts w:cs="Arial"/>
                <w:color w:val="000000"/>
                <w:sz w:val="20"/>
                <w:szCs w:val="20"/>
                <w:lang w:eastAsia="en-AU"/>
              </w:rPr>
            </w:pPr>
            <w:r w:rsidRPr="00DA3F73">
              <w:rPr>
                <w:rFonts w:cs="Arial"/>
                <w:color w:val="000000"/>
                <w:sz w:val="20"/>
                <w:szCs w:val="20"/>
                <w:lang w:eastAsia="en-AU"/>
              </w:rPr>
              <w:t>Female / 19 to 64 years old</w:t>
            </w:r>
          </w:p>
        </w:tc>
        <w:tc>
          <w:tcPr>
            <w:tcW w:w="1588" w:type="dxa"/>
            <w:tcBorders>
              <w:bottom w:val="single" w:sz="4" w:space="0" w:color="auto"/>
            </w:tcBorders>
            <w:shd w:val="clear" w:color="auto" w:fill="auto"/>
            <w:noWrap/>
            <w:hideMark/>
          </w:tcPr>
          <w:p w14:paraId="1E6FADA9" w14:textId="77777777" w:rsidR="00B67A4F" w:rsidRPr="00DA3F73" w:rsidRDefault="00B67A4F"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102.2</w:t>
            </w:r>
          </w:p>
        </w:tc>
        <w:tc>
          <w:tcPr>
            <w:tcW w:w="1701" w:type="dxa"/>
            <w:tcBorders>
              <w:bottom w:val="single" w:sz="4" w:space="0" w:color="auto"/>
            </w:tcBorders>
            <w:shd w:val="clear" w:color="auto" w:fill="auto"/>
            <w:noWrap/>
          </w:tcPr>
          <w:p w14:paraId="3D65F59A" w14:textId="77777777" w:rsidR="00B67A4F" w:rsidRPr="00DA3F73" w:rsidRDefault="00B67A4F"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124.0</w:t>
            </w:r>
          </w:p>
        </w:tc>
        <w:tc>
          <w:tcPr>
            <w:tcW w:w="1276" w:type="dxa"/>
            <w:tcBorders>
              <w:bottom w:val="single" w:sz="4" w:space="0" w:color="auto"/>
            </w:tcBorders>
            <w:shd w:val="clear" w:color="auto" w:fill="auto"/>
            <w:noWrap/>
          </w:tcPr>
          <w:p w14:paraId="0B8BDA2F" w14:textId="77777777" w:rsidR="00B67A4F" w:rsidRPr="00DA3F73" w:rsidRDefault="00B67A4F"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21.9</w:t>
            </w:r>
          </w:p>
        </w:tc>
        <w:tc>
          <w:tcPr>
            <w:tcW w:w="822" w:type="dxa"/>
            <w:tcBorders>
              <w:bottom w:val="single" w:sz="4" w:space="0" w:color="auto"/>
            </w:tcBorders>
            <w:shd w:val="clear" w:color="auto" w:fill="auto"/>
            <w:noWrap/>
          </w:tcPr>
          <w:p w14:paraId="0F3DEA42" w14:textId="77777777" w:rsidR="00B67A4F" w:rsidRPr="00DA3F73" w:rsidRDefault="00B67A4F"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21%</w:t>
            </w:r>
          </w:p>
        </w:tc>
      </w:tr>
      <w:tr w:rsidR="00B67A4F" w:rsidRPr="008C0E3C" w14:paraId="719BAE6E" w14:textId="77777777" w:rsidTr="00DA3F73">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bottom w:val="single" w:sz="4" w:space="0" w:color="auto"/>
            </w:tcBorders>
            <w:shd w:val="clear" w:color="auto" w:fill="D4C5D7"/>
            <w:noWrap/>
            <w:hideMark/>
          </w:tcPr>
          <w:p w14:paraId="1326C5C5" w14:textId="77777777" w:rsidR="00B67A4F" w:rsidRPr="00DA3F73" w:rsidRDefault="00B67A4F" w:rsidP="00F830E6">
            <w:pPr>
              <w:keepNext/>
              <w:spacing w:after="0" w:line="240" w:lineRule="auto"/>
              <w:rPr>
                <w:rFonts w:cs="Arial"/>
                <w:b/>
                <w:bCs/>
                <w:color w:val="000000"/>
                <w:sz w:val="20"/>
                <w:szCs w:val="20"/>
                <w:lang w:eastAsia="en-AU"/>
              </w:rPr>
            </w:pPr>
            <w:r w:rsidRPr="00DA3F73">
              <w:rPr>
                <w:rFonts w:cs="Arial"/>
                <w:b/>
                <w:bCs/>
                <w:color w:val="000000"/>
                <w:sz w:val="20"/>
                <w:szCs w:val="20"/>
                <w:lang w:eastAsia="en-AU"/>
              </w:rPr>
              <w:t>Total Female</w:t>
            </w:r>
          </w:p>
        </w:tc>
        <w:tc>
          <w:tcPr>
            <w:tcW w:w="1588" w:type="dxa"/>
            <w:tcBorders>
              <w:top w:val="single" w:sz="4" w:space="0" w:color="auto"/>
              <w:bottom w:val="single" w:sz="4" w:space="0" w:color="auto"/>
            </w:tcBorders>
            <w:shd w:val="clear" w:color="auto" w:fill="D4C5D7"/>
            <w:noWrap/>
            <w:hideMark/>
          </w:tcPr>
          <w:p w14:paraId="517DC552" w14:textId="77777777" w:rsidR="00B67A4F" w:rsidRPr="00DA3F73" w:rsidRDefault="00B67A4F"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20"/>
                <w:szCs w:val="20"/>
                <w:lang w:eastAsia="en-AU"/>
              </w:rPr>
            </w:pPr>
            <w:r w:rsidRPr="00DA3F73">
              <w:rPr>
                <w:rFonts w:cs="Arial"/>
                <w:b/>
                <w:bCs/>
                <w:color w:val="000000"/>
                <w:sz w:val="20"/>
                <w:szCs w:val="20"/>
                <w:lang w:eastAsia="en-AU"/>
              </w:rPr>
              <w:t>190.1</w:t>
            </w:r>
          </w:p>
        </w:tc>
        <w:tc>
          <w:tcPr>
            <w:tcW w:w="1701" w:type="dxa"/>
            <w:tcBorders>
              <w:top w:val="single" w:sz="4" w:space="0" w:color="auto"/>
              <w:bottom w:val="single" w:sz="4" w:space="0" w:color="auto"/>
            </w:tcBorders>
            <w:shd w:val="clear" w:color="auto" w:fill="D4C5D7"/>
            <w:noWrap/>
          </w:tcPr>
          <w:p w14:paraId="6107C1D0" w14:textId="77777777" w:rsidR="00B67A4F" w:rsidRPr="00DA3F73" w:rsidRDefault="00B67A4F"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20"/>
                <w:szCs w:val="20"/>
                <w:lang w:eastAsia="en-AU"/>
              </w:rPr>
            </w:pPr>
            <w:r w:rsidRPr="00DA3F73">
              <w:rPr>
                <w:rFonts w:cs="Arial"/>
                <w:b/>
                <w:bCs/>
                <w:color w:val="000000"/>
                <w:sz w:val="20"/>
                <w:szCs w:val="20"/>
                <w:lang w:eastAsia="en-AU"/>
              </w:rPr>
              <w:t>228.8</w:t>
            </w:r>
          </w:p>
        </w:tc>
        <w:tc>
          <w:tcPr>
            <w:tcW w:w="1276" w:type="dxa"/>
            <w:tcBorders>
              <w:top w:val="single" w:sz="4" w:space="0" w:color="auto"/>
              <w:bottom w:val="single" w:sz="4" w:space="0" w:color="auto"/>
            </w:tcBorders>
            <w:shd w:val="clear" w:color="auto" w:fill="D4C5D7"/>
            <w:noWrap/>
          </w:tcPr>
          <w:p w14:paraId="01A33F67" w14:textId="77777777" w:rsidR="00B67A4F" w:rsidRPr="00DA3F73" w:rsidRDefault="00B67A4F"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20"/>
                <w:szCs w:val="20"/>
                <w:lang w:eastAsia="en-AU"/>
              </w:rPr>
            </w:pPr>
            <w:r w:rsidRPr="00DA3F73">
              <w:rPr>
                <w:rFonts w:cs="Arial"/>
                <w:b/>
                <w:bCs/>
                <w:color w:val="000000"/>
                <w:sz w:val="20"/>
                <w:szCs w:val="20"/>
                <w:lang w:eastAsia="en-AU"/>
              </w:rPr>
              <w:t>38.7</w:t>
            </w:r>
          </w:p>
        </w:tc>
        <w:tc>
          <w:tcPr>
            <w:tcW w:w="822" w:type="dxa"/>
            <w:tcBorders>
              <w:top w:val="single" w:sz="4" w:space="0" w:color="auto"/>
              <w:bottom w:val="single" w:sz="4" w:space="0" w:color="auto"/>
            </w:tcBorders>
            <w:shd w:val="clear" w:color="auto" w:fill="D4C5D7"/>
            <w:noWrap/>
          </w:tcPr>
          <w:p w14:paraId="6EC4090A" w14:textId="77777777" w:rsidR="00B67A4F" w:rsidRPr="00DA3F73" w:rsidRDefault="00B67A4F"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20"/>
                <w:szCs w:val="20"/>
                <w:lang w:eastAsia="en-AU"/>
              </w:rPr>
            </w:pPr>
            <w:r w:rsidRPr="00DA3F73">
              <w:rPr>
                <w:rFonts w:cs="Arial"/>
                <w:b/>
                <w:bCs/>
                <w:color w:val="000000"/>
                <w:sz w:val="20"/>
                <w:szCs w:val="20"/>
                <w:lang w:eastAsia="en-AU"/>
              </w:rPr>
              <w:t>20%</w:t>
            </w:r>
          </w:p>
        </w:tc>
      </w:tr>
      <w:tr w:rsidR="00B67A4F" w:rsidRPr="008C0E3C" w14:paraId="755A2596" w14:textId="77777777" w:rsidTr="00BD61C9">
        <w:trPr>
          <w:trHeight w:val="285"/>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tcBorders>
            <w:shd w:val="clear" w:color="auto" w:fill="auto"/>
            <w:noWrap/>
            <w:hideMark/>
          </w:tcPr>
          <w:p w14:paraId="7C7FA99E" w14:textId="77777777" w:rsidR="00B67A4F" w:rsidRPr="00DA3F73" w:rsidRDefault="00B67A4F" w:rsidP="00F830E6">
            <w:pPr>
              <w:keepNext/>
              <w:spacing w:after="0" w:line="240" w:lineRule="auto"/>
              <w:rPr>
                <w:rFonts w:cs="Arial"/>
                <w:color w:val="000000"/>
                <w:sz w:val="20"/>
                <w:szCs w:val="20"/>
                <w:lang w:eastAsia="en-AU"/>
              </w:rPr>
            </w:pPr>
            <w:r w:rsidRPr="00DA3F73">
              <w:rPr>
                <w:rFonts w:cs="Arial"/>
                <w:color w:val="000000"/>
                <w:sz w:val="20"/>
                <w:szCs w:val="20"/>
                <w:lang w:eastAsia="en-AU"/>
              </w:rPr>
              <w:t>All Persons / 0 to 6 years old</w:t>
            </w:r>
          </w:p>
        </w:tc>
        <w:tc>
          <w:tcPr>
            <w:tcW w:w="1588" w:type="dxa"/>
            <w:tcBorders>
              <w:top w:val="single" w:sz="4" w:space="0" w:color="auto"/>
            </w:tcBorders>
            <w:shd w:val="clear" w:color="auto" w:fill="auto"/>
            <w:noWrap/>
            <w:hideMark/>
          </w:tcPr>
          <w:p w14:paraId="489B15BF" w14:textId="77777777" w:rsidR="00B67A4F" w:rsidRPr="00DA3F73" w:rsidRDefault="00B67A4F"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1,363.1</w:t>
            </w:r>
          </w:p>
        </w:tc>
        <w:tc>
          <w:tcPr>
            <w:tcW w:w="1701" w:type="dxa"/>
            <w:tcBorders>
              <w:top w:val="single" w:sz="4" w:space="0" w:color="auto"/>
            </w:tcBorders>
            <w:shd w:val="clear" w:color="auto" w:fill="auto"/>
            <w:noWrap/>
          </w:tcPr>
          <w:p w14:paraId="009E2A44" w14:textId="77777777" w:rsidR="00B67A4F" w:rsidRPr="00DA3F73" w:rsidRDefault="00B67A4F"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1,298.2</w:t>
            </w:r>
          </w:p>
        </w:tc>
        <w:tc>
          <w:tcPr>
            <w:tcW w:w="1276" w:type="dxa"/>
            <w:tcBorders>
              <w:top w:val="single" w:sz="4" w:space="0" w:color="auto"/>
            </w:tcBorders>
            <w:shd w:val="clear" w:color="auto" w:fill="auto"/>
            <w:noWrap/>
          </w:tcPr>
          <w:p w14:paraId="4EC81911" w14:textId="77777777" w:rsidR="00B67A4F" w:rsidRPr="00DA3F73" w:rsidRDefault="00B67A4F"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-64.9</w:t>
            </w:r>
          </w:p>
        </w:tc>
        <w:tc>
          <w:tcPr>
            <w:tcW w:w="822" w:type="dxa"/>
            <w:tcBorders>
              <w:top w:val="single" w:sz="4" w:space="0" w:color="auto"/>
            </w:tcBorders>
            <w:shd w:val="clear" w:color="auto" w:fill="auto"/>
            <w:noWrap/>
          </w:tcPr>
          <w:p w14:paraId="6D767B03" w14:textId="77777777" w:rsidR="00B67A4F" w:rsidRPr="00DA3F73" w:rsidRDefault="00B67A4F"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-5%</w:t>
            </w:r>
          </w:p>
        </w:tc>
      </w:tr>
      <w:tr w:rsidR="00B67A4F" w:rsidRPr="008C0E3C" w14:paraId="690C72A4" w14:textId="77777777" w:rsidTr="00DA3F73">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97" w:type="dxa"/>
            <w:noWrap/>
            <w:hideMark/>
          </w:tcPr>
          <w:p w14:paraId="1E60E34E" w14:textId="77777777" w:rsidR="00B67A4F" w:rsidRPr="00DA3F73" w:rsidRDefault="00B67A4F" w:rsidP="00F830E6">
            <w:pPr>
              <w:keepNext/>
              <w:spacing w:after="0" w:line="240" w:lineRule="auto"/>
              <w:rPr>
                <w:rFonts w:cs="Arial"/>
                <w:color w:val="000000"/>
                <w:sz w:val="20"/>
                <w:szCs w:val="20"/>
                <w:lang w:eastAsia="en-AU"/>
              </w:rPr>
            </w:pPr>
            <w:r w:rsidRPr="00DA3F73">
              <w:rPr>
                <w:rFonts w:cs="Arial"/>
                <w:color w:val="000000"/>
                <w:sz w:val="20"/>
                <w:szCs w:val="20"/>
                <w:lang w:eastAsia="en-AU"/>
              </w:rPr>
              <w:t>All Persons / 7 to 18 years old</w:t>
            </w:r>
          </w:p>
        </w:tc>
        <w:tc>
          <w:tcPr>
            <w:tcW w:w="1588" w:type="dxa"/>
            <w:noWrap/>
            <w:hideMark/>
          </w:tcPr>
          <w:p w14:paraId="05FCEBE6" w14:textId="77777777" w:rsidR="00B67A4F" w:rsidRPr="00DA3F73" w:rsidRDefault="00B67A4F"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275.9</w:t>
            </w:r>
          </w:p>
        </w:tc>
        <w:tc>
          <w:tcPr>
            <w:tcW w:w="1701" w:type="dxa"/>
            <w:noWrap/>
          </w:tcPr>
          <w:p w14:paraId="52F291BF" w14:textId="77777777" w:rsidR="00B67A4F" w:rsidRPr="00DA3F73" w:rsidRDefault="00B67A4F"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427.6</w:t>
            </w:r>
          </w:p>
        </w:tc>
        <w:tc>
          <w:tcPr>
            <w:tcW w:w="1276" w:type="dxa"/>
            <w:noWrap/>
          </w:tcPr>
          <w:p w14:paraId="3ECE3942" w14:textId="77777777" w:rsidR="00B67A4F" w:rsidRPr="00DA3F73" w:rsidRDefault="00B67A4F"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151.7</w:t>
            </w:r>
          </w:p>
        </w:tc>
        <w:tc>
          <w:tcPr>
            <w:tcW w:w="822" w:type="dxa"/>
            <w:noWrap/>
          </w:tcPr>
          <w:p w14:paraId="08776FE6" w14:textId="77777777" w:rsidR="00B67A4F" w:rsidRPr="00DA3F73" w:rsidRDefault="00B67A4F"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55%</w:t>
            </w:r>
          </w:p>
        </w:tc>
      </w:tr>
      <w:tr w:rsidR="00B67A4F" w:rsidRPr="008C0E3C" w14:paraId="5A4A9F7E" w14:textId="77777777" w:rsidTr="00BD61C9">
        <w:trPr>
          <w:trHeight w:val="285"/>
        </w:trPr>
        <w:tc>
          <w:tcPr>
            <w:cnfStyle w:val="001000000000" w:firstRow="0" w:lastRow="0" w:firstColumn="1" w:lastColumn="0" w:oddVBand="0" w:evenVBand="0" w:oddHBand="0" w:evenHBand="0" w:firstRowFirstColumn="0" w:firstRowLastColumn="0" w:lastRowFirstColumn="0" w:lastRowLastColumn="0"/>
            <w:tcW w:w="3397" w:type="dxa"/>
            <w:tcBorders>
              <w:bottom w:val="single" w:sz="4" w:space="0" w:color="auto"/>
            </w:tcBorders>
            <w:shd w:val="clear" w:color="auto" w:fill="auto"/>
            <w:noWrap/>
            <w:hideMark/>
          </w:tcPr>
          <w:p w14:paraId="1D96DE3D" w14:textId="77777777" w:rsidR="00B67A4F" w:rsidRPr="00DA3F73" w:rsidRDefault="00B67A4F" w:rsidP="00F830E6">
            <w:pPr>
              <w:keepNext/>
              <w:spacing w:after="0" w:line="240" w:lineRule="auto"/>
              <w:rPr>
                <w:rFonts w:cs="Arial"/>
                <w:color w:val="000000"/>
                <w:sz w:val="20"/>
                <w:szCs w:val="20"/>
                <w:lang w:eastAsia="en-AU"/>
              </w:rPr>
            </w:pPr>
            <w:r w:rsidRPr="00DA3F73">
              <w:rPr>
                <w:rFonts w:cs="Arial"/>
                <w:color w:val="000000"/>
                <w:sz w:val="20"/>
                <w:szCs w:val="20"/>
                <w:lang w:eastAsia="en-AU"/>
              </w:rPr>
              <w:t>All Persons / 19 to 64 years old</w:t>
            </w:r>
          </w:p>
        </w:tc>
        <w:tc>
          <w:tcPr>
            <w:tcW w:w="1588" w:type="dxa"/>
            <w:tcBorders>
              <w:bottom w:val="single" w:sz="4" w:space="0" w:color="auto"/>
            </w:tcBorders>
            <w:shd w:val="clear" w:color="auto" w:fill="auto"/>
            <w:noWrap/>
            <w:hideMark/>
          </w:tcPr>
          <w:p w14:paraId="3FD889C6" w14:textId="77777777" w:rsidR="00B67A4F" w:rsidRPr="00DA3F73" w:rsidRDefault="00B67A4F"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110.3</w:t>
            </w:r>
          </w:p>
        </w:tc>
        <w:tc>
          <w:tcPr>
            <w:tcW w:w="1701" w:type="dxa"/>
            <w:tcBorders>
              <w:bottom w:val="single" w:sz="4" w:space="0" w:color="auto"/>
            </w:tcBorders>
            <w:shd w:val="clear" w:color="auto" w:fill="auto"/>
            <w:noWrap/>
          </w:tcPr>
          <w:p w14:paraId="712A52EF" w14:textId="77777777" w:rsidR="00B67A4F" w:rsidRPr="00DA3F73" w:rsidRDefault="00B67A4F"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128.4</w:t>
            </w:r>
          </w:p>
        </w:tc>
        <w:tc>
          <w:tcPr>
            <w:tcW w:w="1276" w:type="dxa"/>
            <w:tcBorders>
              <w:bottom w:val="single" w:sz="4" w:space="0" w:color="auto"/>
            </w:tcBorders>
            <w:shd w:val="clear" w:color="auto" w:fill="auto"/>
            <w:noWrap/>
          </w:tcPr>
          <w:p w14:paraId="7FBC8B23" w14:textId="77777777" w:rsidR="00B67A4F" w:rsidRPr="00DA3F73" w:rsidRDefault="00B67A4F"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18.1</w:t>
            </w:r>
          </w:p>
        </w:tc>
        <w:tc>
          <w:tcPr>
            <w:tcW w:w="822" w:type="dxa"/>
            <w:tcBorders>
              <w:bottom w:val="single" w:sz="4" w:space="0" w:color="auto"/>
            </w:tcBorders>
            <w:shd w:val="clear" w:color="auto" w:fill="auto"/>
            <w:noWrap/>
          </w:tcPr>
          <w:p w14:paraId="7F32C8B4" w14:textId="77777777" w:rsidR="00B67A4F" w:rsidRPr="00DA3F73" w:rsidRDefault="00B67A4F" w:rsidP="00F830E6">
            <w:pPr>
              <w:keepNext/>
              <w:spacing w:after="0" w:line="240" w:lineRule="auto"/>
              <w:cnfStyle w:val="000000000000" w:firstRow="0" w:lastRow="0" w:firstColumn="0" w:lastColumn="0" w:oddVBand="0" w:evenVBand="0" w:oddHBand="0" w:evenHBand="0" w:firstRowFirstColumn="0" w:firstRowLastColumn="0" w:lastRowFirstColumn="0" w:lastRowLastColumn="0"/>
              <w:rPr>
                <w:rFonts w:cs="Arial"/>
                <w:color w:val="000000"/>
                <w:sz w:val="20"/>
                <w:szCs w:val="20"/>
                <w:lang w:eastAsia="en-AU"/>
              </w:rPr>
            </w:pPr>
            <w:r w:rsidRPr="00DA3F73">
              <w:rPr>
                <w:rFonts w:cs="Arial"/>
                <w:color w:val="000000"/>
                <w:sz w:val="20"/>
                <w:szCs w:val="20"/>
                <w:lang w:eastAsia="en-AU"/>
              </w:rPr>
              <w:t>16%</w:t>
            </w:r>
          </w:p>
        </w:tc>
      </w:tr>
      <w:tr w:rsidR="00B67A4F" w:rsidRPr="008C0E3C" w14:paraId="0D1A2F14" w14:textId="77777777" w:rsidTr="00DA3F73">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auto"/>
              <w:bottom w:val="single" w:sz="4" w:space="0" w:color="auto"/>
            </w:tcBorders>
            <w:shd w:val="clear" w:color="auto" w:fill="D4C5D7"/>
            <w:noWrap/>
            <w:hideMark/>
          </w:tcPr>
          <w:p w14:paraId="7BD59995" w14:textId="77777777" w:rsidR="00B67A4F" w:rsidRPr="00DA3F73" w:rsidRDefault="00B67A4F" w:rsidP="00F830E6">
            <w:pPr>
              <w:keepNext/>
              <w:spacing w:after="0" w:line="240" w:lineRule="auto"/>
              <w:rPr>
                <w:rFonts w:cs="Arial"/>
                <w:b/>
                <w:bCs/>
                <w:color w:val="000000"/>
                <w:sz w:val="20"/>
                <w:szCs w:val="20"/>
                <w:lang w:eastAsia="en-AU"/>
              </w:rPr>
            </w:pPr>
            <w:r w:rsidRPr="00DA3F73">
              <w:rPr>
                <w:rFonts w:cs="Arial"/>
                <w:b/>
                <w:bCs/>
                <w:color w:val="000000"/>
                <w:sz w:val="20"/>
                <w:szCs w:val="20"/>
                <w:lang w:eastAsia="en-AU"/>
              </w:rPr>
              <w:t>Total All Persons</w:t>
            </w:r>
          </w:p>
        </w:tc>
        <w:tc>
          <w:tcPr>
            <w:tcW w:w="1588" w:type="dxa"/>
            <w:tcBorders>
              <w:top w:val="single" w:sz="4" w:space="0" w:color="auto"/>
              <w:bottom w:val="single" w:sz="4" w:space="0" w:color="auto"/>
            </w:tcBorders>
            <w:shd w:val="clear" w:color="auto" w:fill="D4C5D7"/>
            <w:noWrap/>
            <w:hideMark/>
          </w:tcPr>
          <w:p w14:paraId="4C71F026" w14:textId="77777777" w:rsidR="00B67A4F" w:rsidRPr="00DA3F73" w:rsidRDefault="00B67A4F"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20"/>
                <w:szCs w:val="20"/>
                <w:lang w:eastAsia="en-AU"/>
              </w:rPr>
            </w:pPr>
            <w:r w:rsidRPr="00DA3F73">
              <w:rPr>
                <w:rFonts w:cs="Arial"/>
                <w:b/>
                <w:bCs/>
                <w:color w:val="000000"/>
                <w:sz w:val="20"/>
                <w:szCs w:val="20"/>
                <w:lang w:eastAsia="en-AU"/>
              </w:rPr>
              <w:t>271.6</w:t>
            </w:r>
          </w:p>
        </w:tc>
        <w:tc>
          <w:tcPr>
            <w:tcW w:w="1701" w:type="dxa"/>
            <w:tcBorders>
              <w:top w:val="single" w:sz="4" w:space="0" w:color="auto"/>
              <w:bottom w:val="single" w:sz="4" w:space="0" w:color="auto"/>
            </w:tcBorders>
            <w:shd w:val="clear" w:color="auto" w:fill="D4C5D7"/>
            <w:noWrap/>
          </w:tcPr>
          <w:p w14:paraId="4A16C7EF" w14:textId="77777777" w:rsidR="00B67A4F" w:rsidRPr="00DA3F73" w:rsidRDefault="00B67A4F"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20"/>
                <w:szCs w:val="20"/>
                <w:lang w:eastAsia="en-AU"/>
              </w:rPr>
            </w:pPr>
            <w:r w:rsidRPr="00DA3F73">
              <w:rPr>
                <w:rFonts w:cs="Arial"/>
                <w:b/>
                <w:bCs/>
                <w:color w:val="000000"/>
                <w:sz w:val="20"/>
                <w:szCs w:val="20"/>
                <w:lang w:eastAsia="en-AU"/>
              </w:rPr>
              <w:t>308.4</w:t>
            </w:r>
          </w:p>
        </w:tc>
        <w:tc>
          <w:tcPr>
            <w:tcW w:w="1276" w:type="dxa"/>
            <w:tcBorders>
              <w:top w:val="single" w:sz="4" w:space="0" w:color="auto"/>
              <w:bottom w:val="single" w:sz="4" w:space="0" w:color="auto"/>
            </w:tcBorders>
            <w:shd w:val="clear" w:color="auto" w:fill="D4C5D7"/>
            <w:noWrap/>
          </w:tcPr>
          <w:p w14:paraId="6700E567" w14:textId="77777777" w:rsidR="00B67A4F" w:rsidRPr="00DA3F73" w:rsidRDefault="00B67A4F"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20"/>
                <w:szCs w:val="20"/>
                <w:lang w:eastAsia="en-AU"/>
              </w:rPr>
            </w:pPr>
            <w:r w:rsidRPr="00DA3F73">
              <w:rPr>
                <w:rFonts w:cs="Arial"/>
                <w:b/>
                <w:bCs/>
                <w:color w:val="000000"/>
                <w:sz w:val="20"/>
                <w:szCs w:val="20"/>
                <w:lang w:eastAsia="en-AU"/>
              </w:rPr>
              <w:t>36.8</w:t>
            </w:r>
          </w:p>
        </w:tc>
        <w:tc>
          <w:tcPr>
            <w:tcW w:w="822" w:type="dxa"/>
            <w:tcBorders>
              <w:top w:val="single" w:sz="4" w:space="0" w:color="auto"/>
              <w:bottom w:val="single" w:sz="4" w:space="0" w:color="auto"/>
            </w:tcBorders>
            <w:shd w:val="clear" w:color="auto" w:fill="D4C5D7"/>
            <w:noWrap/>
          </w:tcPr>
          <w:p w14:paraId="286D887F" w14:textId="77777777" w:rsidR="00B67A4F" w:rsidRPr="00DA3F73" w:rsidRDefault="00B67A4F" w:rsidP="00F830E6">
            <w:pPr>
              <w:keepNext/>
              <w:spacing w:after="0" w:line="240" w:lineRule="auto"/>
              <w:cnfStyle w:val="000000010000" w:firstRow="0" w:lastRow="0" w:firstColumn="0" w:lastColumn="0" w:oddVBand="0" w:evenVBand="0" w:oddHBand="0" w:evenHBand="1" w:firstRowFirstColumn="0" w:firstRowLastColumn="0" w:lastRowFirstColumn="0" w:lastRowLastColumn="0"/>
              <w:rPr>
                <w:rFonts w:cs="Arial"/>
                <w:b/>
                <w:bCs/>
                <w:color w:val="000000"/>
                <w:sz w:val="20"/>
                <w:szCs w:val="20"/>
                <w:lang w:eastAsia="en-AU"/>
              </w:rPr>
            </w:pPr>
            <w:r w:rsidRPr="00DA3F73">
              <w:rPr>
                <w:rFonts w:cs="Arial"/>
                <w:b/>
                <w:bCs/>
                <w:color w:val="000000"/>
                <w:sz w:val="20"/>
                <w:szCs w:val="20"/>
                <w:lang w:eastAsia="en-AU"/>
              </w:rPr>
              <w:t>14%</w:t>
            </w:r>
          </w:p>
        </w:tc>
      </w:tr>
    </w:tbl>
    <w:p w14:paraId="408CDBEC" w14:textId="77777777" w:rsidR="00B67A4F" w:rsidRPr="00B67A4F" w:rsidRDefault="00B67A4F">
      <w:pPr>
        <w:pStyle w:val="FSRnormal"/>
      </w:pPr>
      <w:r w:rsidRPr="00B67A4F">
        <w:t xml:space="preserve">New entrant rates have increased by 55% for all participants between the ages of 7 and 18, and this represents a major shift in the age profile of new entrants compared to the results estimated at the previous review. The increase in new entrant rates </w:t>
      </w:r>
      <w:r w:rsidR="00C60B5E">
        <w:t xml:space="preserve">adopted </w:t>
      </w:r>
      <w:r w:rsidRPr="00B67A4F">
        <w:t xml:space="preserve">for participants between the ages of 7 and 18 was higher for females (+68%) than for males (+48%). The disability type that accounts for most of this increase is autism, with significantly smaller increases </w:t>
      </w:r>
      <w:r w:rsidR="00C60B5E">
        <w:t xml:space="preserve">adopted </w:t>
      </w:r>
      <w:r w:rsidRPr="00B67A4F">
        <w:t xml:space="preserve">for developmental delay, other, hearing impairment, and intellectual disability. Partially offsetting these increases were small reductions in new entrant rates </w:t>
      </w:r>
      <w:r w:rsidR="00C60B5E">
        <w:t xml:space="preserve">adopted </w:t>
      </w:r>
      <w:r w:rsidRPr="00B67A4F">
        <w:t>for other sensory/speech, psychosocial disability and other neurological.</w:t>
      </w:r>
    </w:p>
    <w:p w14:paraId="76DDB569" w14:textId="77777777" w:rsidR="00B67A4F" w:rsidRPr="00B67A4F" w:rsidRDefault="00C60B5E">
      <w:pPr>
        <w:pStyle w:val="FSRnormal"/>
      </w:pPr>
      <w:r>
        <w:t>Adopted new</w:t>
      </w:r>
      <w:r w:rsidR="00B67A4F" w:rsidRPr="00B67A4F">
        <w:t xml:space="preserve"> entrant rates have also increased (though to a much smaller degree) for all participants between the ages of 19 and 64 (+16%). The increase in new entrant rates </w:t>
      </w:r>
      <w:r>
        <w:t xml:space="preserve">adopted </w:t>
      </w:r>
      <w:r w:rsidR="00B67A4F" w:rsidRPr="00B67A4F">
        <w:t>for participants between the ages of 19 and 64 was higher for females (+2</w:t>
      </w:r>
      <w:r w:rsidR="00924606">
        <w:t>1%) than for males (+12</w:t>
      </w:r>
      <w:r w:rsidR="00B67A4F" w:rsidRPr="00B67A4F">
        <w:t xml:space="preserve">%). The disability type that accounts for most of this increase is autism, with significantly smaller increases </w:t>
      </w:r>
      <w:r>
        <w:t>adopted</w:t>
      </w:r>
      <w:r w:rsidRPr="00B67A4F">
        <w:t xml:space="preserve"> </w:t>
      </w:r>
      <w:r w:rsidR="00B67A4F" w:rsidRPr="00B67A4F">
        <w:t xml:space="preserve">for intellectual disability, other, acquired brain injury and multiple sclerosis. Partially offsetting these increases were reductions in new entrant rates </w:t>
      </w:r>
      <w:r>
        <w:t xml:space="preserve">adopted </w:t>
      </w:r>
      <w:r w:rsidR="00B67A4F" w:rsidRPr="00B67A4F">
        <w:t>for other physical, other neurological and hearing impairment.</w:t>
      </w:r>
    </w:p>
    <w:p w14:paraId="328584B1" w14:textId="77777777" w:rsidR="00B67A4F" w:rsidRPr="00B67A4F" w:rsidRDefault="00B67A4F">
      <w:pPr>
        <w:pStyle w:val="FSRnormal"/>
      </w:pPr>
      <w:r w:rsidRPr="00B67A4F">
        <w:t xml:space="preserve">A reduction in new entrant rates has been </w:t>
      </w:r>
      <w:r w:rsidR="00C60B5E">
        <w:t>adopted</w:t>
      </w:r>
      <w:r w:rsidR="00C60B5E" w:rsidRPr="00B67A4F">
        <w:t xml:space="preserve"> </w:t>
      </w:r>
      <w:r w:rsidRPr="00B67A4F">
        <w:t>for children aged between 0 and 6 years (-5%). The disability type that accounts for most of this reduction in new entrant rates is developmental delay, with smaller contributions to the reduction in new entrant rate coming from cerebral palsy, other sensory/speech, hearing impairment, other physical and other neurological. Partially offsetting these decreases were increases in new entrant rates for autism, other, and intellectual disability.</w:t>
      </w:r>
    </w:p>
    <w:p w14:paraId="47404468" w14:textId="77777777" w:rsidR="00B67A4F" w:rsidRPr="00B67A4F" w:rsidRDefault="00AC7010">
      <w:pPr>
        <w:pStyle w:val="FSRnormal"/>
      </w:pPr>
      <w:r>
        <w:t>Table H.</w:t>
      </w:r>
      <w:r>
        <w:rPr>
          <w:noProof/>
        </w:rPr>
        <w:t>5</w:t>
      </w:r>
      <w:r w:rsidR="00B67A4F" w:rsidRPr="00B67A4F">
        <w:t xml:space="preserve"> shows the estimated annual number of new entrants by gender and age group </w:t>
      </w:r>
      <w:r w:rsidR="00C60B5E">
        <w:t xml:space="preserve">resulting from the previous and revised assumptions, </w:t>
      </w:r>
      <w:r w:rsidR="00B67A4F" w:rsidRPr="00B67A4F">
        <w:t>using Australian population data for people aged 0 to 64 years as at 30 June 2021.</w:t>
      </w:r>
    </w:p>
    <w:p w14:paraId="078D15EA" w14:textId="77777777" w:rsidR="00131B14" w:rsidRPr="005B092F" w:rsidRDefault="00131B14" w:rsidP="00131B14">
      <w:pPr>
        <w:pStyle w:val="Tables"/>
      </w:pPr>
      <w:bookmarkStart w:id="461" w:name="_Ref114559201"/>
      <w:r>
        <w:lastRenderedPageBreak/>
        <w:t>Table H</w:t>
      </w:r>
      <w:r w:rsidR="0099659B">
        <w:t>.</w:t>
      </w:r>
      <w:fldSimple w:instr=" SEQ Table \* ARABIC \s 2 ">
        <w:r w:rsidR="00A87896">
          <w:rPr>
            <w:noProof/>
          </w:rPr>
          <w:t>5</w:t>
        </w:r>
      </w:fldSimple>
      <w:bookmarkEnd w:id="461"/>
      <w:r>
        <w:t>:</w:t>
      </w:r>
      <w:r w:rsidRPr="005B092F">
        <w:t xml:space="preserve"> Estimated annual number of new entrants by gender and age group </w:t>
      </w:r>
      <w:r w:rsidR="00C60B5E">
        <w:t>in the 2020-21 AFSR and in the 2021-22 AFSR</w:t>
      </w:r>
    </w:p>
    <w:tbl>
      <w:tblPr>
        <w:tblW w:w="9124" w:type="dxa"/>
        <w:tblInd w:w="118" w:type="dxa"/>
        <w:tblLayout w:type="fixed"/>
        <w:tblLook w:val="04A0" w:firstRow="1" w:lastRow="0" w:firstColumn="1" w:lastColumn="0" w:noHBand="0" w:noVBand="1"/>
      </w:tblPr>
      <w:tblGrid>
        <w:gridCol w:w="3426"/>
        <w:gridCol w:w="1975"/>
        <w:gridCol w:w="1842"/>
        <w:gridCol w:w="969"/>
        <w:gridCol w:w="912"/>
      </w:tblGrid>
      <w:tr w:rsidR="00B67A4F" w:rsidRPr="00AB6147" w14:paraId="024967FC" w14:textId="77777777" w:rsidTr="00F830E6">
        <w:trPr>
          <w:trHeight w:val="600"/>
          <w:tblHeader/>
        </w:trPr>
        <w:tc>
          <w:tcPr>
            <w:tcW w:w="3426" w:type="dxa"/>
            <w:vMerge w:val="restart"/>
            <w:shd w:val="clear" w:color="000000" w:fill="6B2976"/>
            <w:vAlign w:val="center"/>
            <w:hideMark/>
          </w:tcPr>
          <w:p w14:paraId="4A8E541A" w14:textId="77777777" w:rsidR="00B67A4F" w:rsidRPr="00DA3F73" w:rsidRDefault="00B67A4F" w:rsidP="006D3A4D">
            <w:pPr>
              <w:spacing w:after="0" w:line="240" w:lineRule="auto"/>
              <w:rPr>
                <w:rFonts w:cs="Arial"/>
                <w:b/>
                <w:bCs/>
                <w:color w:val="FFFFFF"/>
                <w:sz w:val="20"/>
                <w:szCs w:val="20"/>
                <w:lang w:eastAsia="en-AU"/>
              </w:rPr>
            </w:pPr>
            <w:r w:rsidRPr="00DA3F73">
              <w:rPr>
                <w:rFonts w:cs="Arial"/>
                <w:b/>
                <w:bCs/>
                <w:color w:val="FFFFFF"/>
                <w:sz w:val="20"/>
                <w:szCs w:val="20"/>
                <w:lang w:eastAsia="en-AU"/>
              </w:rPr>
              <w:t>Gender and age group</w:t>
            </w:r>
          </w:p>
        </w:tc>
        <w:tc>
          <w:tcPr>
            <w:tcW w:w="3817" w:type="dxa"/>
            <w:gridSpan w:val="2"/>
            <w:tcBorders>
              <w:bottom w:val="single" w:sz="4" w:space="0" w:color="FFFFFF" w:themeColor="background1"/>
            </w:tcBorders>
            <w:shd w:val="clear" w:color="000000" w:fill="6B2976"/>
            <w:vAlign w:val="center"/>
            <w:hideMark/>
          </w:tcPr>
          <w:p w14:paraId="513D35B9" w14:textId="77777777" w:rsidR="00B67A4F" w:rsidRPr="00DA3F73" w:rsidRDefault="00B67A4F" w:rsidP="006D3A4D">
            <w:pPr>
              <w:spacing w:after="0" w:line="240" w:lineRule="auto"/>
              <w:jc w:val="center"/>
              <w:rPr>
                <w:rFonts w:cs="Arial"/>
                <w:b/>
                <w:bCs/>
                <w:color w:val="FFFFFF"/>
                <w:sz w:val="20"/>
                <w:szCs w:val="20"/>
                <w:lang w:eastAsia="en-AU"/>
              </w:rPr>
            </w:pPr>
            <w:r w:rsidRPr="00DA3F73">
              <w:rPr>
                <w:rFonts w:cs="Arial"/>
                <w:b/>
                <w:bCs/>
                <w:color w:val="FFFFFF"/>
                <w:sz w:val="20"/>
                <w:szCs w:val="20"/>
                <w:lang w:eastAsia="en-AU"/>
              </w:rPr>
              <w:t>Estimated annual number of new entrants using Australian population data as at 30 June 2021 and:</w:t>
            </w:r>
          </w:p>
        </w:tc>
        <w:tc>
          <w:tcPr>
            <w:tcW w:w="1881" w:type="dxa"/>
            <w:gridSpan w:val="2"/>
            <w:shd w:val="clear" w:color="000000" w:fill="6B2976"/>
            <w:vAlign w:val="center"/>
            <w:hideMark/>
          </w:tcPr>
          <w:p w14:paraId="3442D09A" w14:textId="77777777" w:rsidR="00B67A4F" w:rsidRPr="00DA3F73" w:rsidRDefault="00B67A4F" w:rsidP="006D3A4D">
            <w:pPr>
              <w:spacing w:after="0" w:line="240" w:lineRule="auto"/>
              <w:jc w:val="center"/>
              <w:rPr>
                <w:rFonts w:cs="Arial"/>
                <w:b/>
                <w:bCs/>
                <w:color w:val="FFFFFF"/>
                <w:sz w:val="20"/>
                <w:szCs w:val="20"/>
                <w:lang w:eastAsia="en-AU"/>
              </w:rPr>
            </w:pPr>
            <w:r w:rsidRPr="00DA3F73">
              <w:rPr>
                <w:rFonts w:cs="Arial"/>
                <w:b/>
                <w:bCs/>
                <w:color w:val="FFFFFF"/>
                <w:sz w:val="20"/>
                <w:szCs w:val="20"/>
                <w:lang w:eastAsia="en-AU"/>
              </w:rPr>
              <w:t>Change (2) - (1)</w:t>
            </w:r>
          </w:p>
        </w:tc>
      </w:tr>
      <w:tr w:rsidR="00B67A4F" w:rsidRPr="00AB6147" w14:paraId="2C8E622E" w14:textId="77777777" w:rsidTr="00F830E6">
        <w:trPr>
          <w:trHeight w:val="840"/>
          <w:tblHeader/>
        </w:trPr>
        <w:tc>
          <w:tcPr>
            <w:tcW w:w="3426" w:type="dxa"/>
            <w:vMerge/>
            <w:vAlign w:val="center"/>
            <w:hideMark/>
          </w:tcPr>
          <w:p w14:paraId="5526DF53" w14:textId="77777777" w:rsidR="00B67A4F" w:rsidRPr="00DA3F73" w:rsidRDefault="00B67A4F" w:rsidP="006D3A4D">
            <w:pPr>
              <w:spacing w:after="0" w:line="240" w:lineRule="auto"/>
              <w:rPr>
                <w:rFonts w:cs="Arial"/>
                <w:b/>
                <w:bCs/>
                <w:color w:val="FFFFFF"/>
                <w:sz w:val="20"/>
                <w:szCs w:val="20"/>
                <w:lang w:eastAsia="en-AU"/>
              </w:rPr>
            </w:pPr>
          </w:p>
        </w:tc>
        <w:tc>
          <w:tcPr>
            <w:tcW w:w="1975" w:type="dxa"/>
            <w:tcBorders>
              <w:top w:val="single" w:sz="4" w:space="0" w:color="FFFFFF" w:themeColor="background1"/>
            </w:tcBorders>
            <w:shd w:val="clear" w:color="000000" w:fill="6B2976"/>
            <w:vAlign w:val="center"/>
            <w:hideMark/>
          </w:tcPr>
          <w:p w14:paraId="4F525682" w14:textId="77777777" w:rsidR="00B67A4F" w:rsidRPr="00DA3F73" w:rsidRDefault="00B67A4F" w:rsidP="006D3A4D">
            <w:pPr>
              <w:spacing w:after="0" w:line="240" w:lineRule="auto"/>
              <w:jc w:val="center"/>
              <w:rPr>
                <w:rFonts w:cs="Arial"/>
                <w:b/>
                <w:bCs/>
                <w:color w:val="FFFFFF"/>
                <w:sz w:val="20"/>
                <w:szCs w:val="20"/>
                <w:lang w:eastAsia="en-AU"/>
              </w:rPr>
            </w:pPr>
            <w:r w:rsidRPr="00DA3F73">
              <w:rPr>
                <w:rFonts w:cs="Arial"/>
                <w:b/>
                <w:bCs/>
                <w:color w:val="FFFFFF"/>
                <w:sz w:val="20"/>
                <w:szCs w:val="20"/>
                <w:lang w:eastAsia="en-AU"/>
              </w:rPr>
              <w:t>2020-21 AFSR new entrant rate assumptions (1)</w:t>
            </w:r>
          </w:p>
        </w:tc>
        <w:tc>
          <w:tcPr>
            <w:tcW w:w="1842" w:type="dxa"/>
            <w:tcBorders>
              <w:top w:val="single" w:sz="4" w:space="0" w:color="FFFFFF" w:themeColor="background1"/>
            </w:tcBorders>
            <w:shd w:val="clear" w:color="000000" w:fill="6B2976"/>
            <w:vAlign w:val="center"/>
            <w:hideMark/>
          </w:tcPr>
          <w:p w14:paraId="24CDA487" w14:textId="77777777" w:rsidR="00B67A4F" w:rsidRPr="00DA3F73" w:rsidRDefault="00C60B5E">
            <w:pPr>
              <w:spacing w:after="0" w:line="240" w:lineRule="auto"/>
              <w:jc w:val="center"/>
              <w:rPr>
                <w:rFonts w:cs="Arial"/>
                <w:b/>
                <w:bCs/>
                <w:color w:val="FFFFFF"/>
                <w:sz w:val="20"/>
                <w:szCs w:val="20"/>
                <w:lang w:eastAsia="en-AU"/>
              </w:rPr>
            </w:pPr>
            <w:r>
              <w:rPr>
                <w:rFonts w:cs="Arial"/>
                <w:b/>
                <w:bCs/>
                <w:color w:val="FFFFFF"/>
                <w:sz w:val="20"/>
                <w:szCs w:val="20"/>
                <w:lang w:eastAsia="en-AU"/>
              </w:rPr>
              <w:t>2021-</w:t>
            </w:r>
            <w:r w:rsidR="00B67A4F" w:rsidRPr="00DA3F73">
              <w:rPr>
                <w:rFonts w:cs="Arial"/>
                <w:b/>
                <w:bCs/>
                <w:color w:val="FFFFFF"/>
                <w:sz w:val="20"/>
                <w:szCs w:val="20"/>
                <w:lang w:eastAsia="en-AU"/>
              </w:rPr>
              <w:t xml:space="preserve">22 </w:t>
            </w:r>
            <w:r>
              <w:rPr>
                <w:rFonts w:cs="Arial"/>
                <w:b/>
                <w:bCs/>
                <w:color w:val="FFFFFF"/>
                <w:sz w:val="20"/>
                <w:szCs w:val="20"/>
                <w:lang w:eastAsia="en-AU"/>
              </w:rPr>
              <w:t xml:space="preserve">AFSR </w:t>
            </w:r>
            <w:r w:rsidR="00B67A4F" w:rsidRPr="00DA3F73">
              <w:rPr>
                <w:rFonts w:cs="Arial"/>
                <w:b/>
                <w:bCs/>
                <w:color w:val="FFFFFF"/>
                <w:sz w:val="20"/>
                <w:szCs w:val="20"/>
                <w:lang w:eastAsia="en-AU"/>
              </w:rPr>
              <w:t>new entrant rate assumptions (2)</w:t>
            </w:r>
          </w:p>
        </w:tc>
        <w:tc>
          <w:tcPr>
            <w:tcW w:w="969" w:type="dxa"/>
            <w:shd w:val="clear" w:color="000000" w:fill="6B2976"/>
            <w:noWrap/>
            <w:vAlign w:val="center"/>
            <w:hideMark/>
          </w:tcPr>
          <w:p w14:paraId="002D86B8" w14:textId="77777777" w:rsidR="00B67A4F" w:rsidRPr="00DA3F73" w:rsidRDefault="00B67A4F" w:rsidP="006D3A4D">
            <w:pPr>
              <w:spacing w:after="0" w:line="240" w:lineRule="auto"/>
              <w:jc w:val="center"/>
              <w:rPr>
                <w:rFonts w:cs="Arial"/>
                <w:b/>
                <w:bCs/>
                <w:color w:val="FFFFFF"/>
                <w:sz w:val="20"/>
                <w:szCs w:val="20"/>
                <w:lang w:eastAsia="en-AU"/>
              </w:rPr>
            </w:pPr>
            <w:r w:rsidRPr="00DA3F73">
              <w:rPr>
                <w:rFonts w:cs="Arial"/>
                <w:b/>
                <w:bCs/>
                <w:color w:val="FFFFFF"/>
                <w:sz w:val="20"/>
                <w:szCs w:val="20"/>
                <w:lang w:eastAsia="en-AU"/>
              </w:rPr>
              <w:t>#</w:t>
            </w:r>
          </w:p>
        </w:tc>
        <w:tc>
          <w:tcPr>
            <w:tcW w:w="912" w:type="dxa"/>
            <w:shd w:val="clear" w:color="000000" w:fill="6B2976"/>
            <w:noWrap/>
            <w:vAlign w:val="center"/>
            <w:hideMark/>
          </w:tcPr>
          <w:p w14:paraId="6D95F2BE" w14:textId="77777777" w:rsidR="00B67A4F" w:rsidRPr="00DA3F73" w:rsidRDefault="00B67A4F" w:rsidP="006D3A4D">
            <w:pPr>
              <w:spacing w:after="0" w:line="240" w:lineRule="auto"/>
              <w:jc w:val="center"/>
              <w:rPr>
                <w:rFonts w:cs="Arial"/>
                <w:b/>
                <w:bCs/>
                <w:color w:val="FFFFFF"/>
                <w:sz w:val="20"/>
                <w:szCs w:val="20"/>
                <w:lang w:eastAsia="en-AU"/>
              </w:rPr>
            </w:pPr>
            <w:r w:rsidRPr="00DA3F73">
              <w:rPr>
                <w:rFonts w:cs="Arial"/>
                <w:b/>
                <w:bCs/>
                <w:color w:val="FFFFFF"/>
                <w:sz w:val="20"/>
                <w:szCs w:val="20"/>
                <w:lang w:eastAsia="en-AU"/>
              </w:rPr>
              <w:t>%</w:t>
            </w:r>
          </w:p>
        </w:tc>
      </w:tr>
      <w:tr w:rsidR="00B67A4F" w:rsidRPr="00AB6147" w14:paraId="5571C7B0" w14:textId="77777777" w:rsidTr="00F830E6">
        <w:trPr>
          <w:trHeight w:val="301"/>
        </w:trPr>
        <w:tc>
          <w:tcPr>
            <w:tcW w:w="3426" w:type="dxa"/>
            <w:shd w:val="clear" w:color="auto" w:fill="auto"/>
            <w:noWrap/>
            <w:vAlign w:val="bottom"/>
            <w:hideMark/>
          </w:tcPr>
          <w:p w14:paraId="6D594A03" w14:textId="77777777" w:rsidR="00B67A4F" w:rsidRPr="00DA3F73" w:rsidRDefault="00B67A4F" w:rsidP="006D3A4D">
            <w:pPr>
              <w:spacing w:after="0" w:line="240" w:lineRule="auto"/>
              <w:rPr>
                <w:rFonts w:cs="Arial"/>
                <w:color w:val="000000"/>
                <w:sz w:val="20"/>
                <w:szCs w:val="20"/>
                <w:lang w:eastAsia="en-AU"/>
              </w:rPr>
            </w:pPr>
            <w:r w:rsidRPr="00DA3F73">
              <w:rPr>
                <w:rFonts w:cs="Arial"/>
                <w:color w:val="000000"/>
                <w:sz w:val="20"/>
                <w:szCs w:val="20"/>
                <w:lang w:eastAsia="en-AU"/>
              </w:rPr>
              <w:t>Male / 0 to 6 years old</w:t>
            </w:r>
          </w:p>
        </w:tc>
        <w:tc>
          <w:tcPr>
            <w:tcW w:w="1975" w:type="dxa"/>
            <w:shd w:val="clear" w:color="auto" w:fill="auto"/>
            <w:noWrap/>
            <w:vAlign w:val="bottom"/>
            <w:hideMark/>
          </w:tcPr>
          <w:p w14:paraId="157943FD"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22,495</w:t>
            </w:r>
          </w:p>
        </w:tc>
        <w:tc>
          <w:tcPr>
            <w:tcW w:w="1842" w:type="dxa"/>
            <w:shd w:val="clear" w:color="auto" w:fill="auto"/>
            <w:noWrap/>
            <w:vAlign w:val="bottom"/>
          </w:tcPr>
          <w:p w14:paraId="6831EDCA"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21,209</w:t>
            </w:r>
          </w:p>
        </w:tc>
        <w:tc>
          <w:tcPr>
            <w:tcW w:w="969" w:type="dxa"/>
            <w:shd w:val="clear" w:color="auto" w:fill="auto"/>
            <w:noWrap/>
            <w:vAlign w:val="bottom"/>
          </w:tcPr>
          <w:p w14:paraId="5E7C5704"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-1,287</w:t>
            </w:r>
          </w:p>
        </w:tc>
        <w:tc>
          <w:tcPr>
            <w:tcW w:w="912" w:type="dxa"/>
            <w:shd w:val="clear" w:color="auto" w:fill="auto"/>
            <w:noWrap/>
            <w:vAlign w:val="bottom"/>
          </w:tcPr>
          <w:p w14:paraId="63231F39"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-6%</w:t>
            </w:r>
          </w:p>
        </w:tc>
      </w:tr>
      <w:tr w:rsidR="00B67A4F" w:rsidRPr="00AB6147" w14:paraId="3990272E" w14:textId="77777777" w:rsidTr="00F830E6">
        <w:trPr>
          <w:trHeight w:val="301"/>
        </w:trPr>
        <w:tc>
          <w:tcPr>
            <w:tcW w:w="3426" w:type="dxa"/>
            <w:shd w:val="clear" w:color="000000" w:fill="BCBEC0"/>
            <w:noWrap/>
            <w:vAlign w:val="bottom"/>
            <w:hideMark/>
          </w:tcPr>
          <w:p w14:paraId="0906A00E" w14:textId="77777777" w:rsidR="00B67A4F" w:rsidRPr="00DA3F73" w:rsidRDefault="00B67A4F" w:rsidP="006D3A4D">
            <w:pPr>
              <w:spacing w:after="0" w:line="240" w:lineRule="auto"/>
              <w:rPr>
                <w:rFonts w:cs="Arial"/>
                <w:color w:val="000000"/>
                <w:sz w:val="20"/>
                <w:szCs w:val="20"/>
                <w:lang w:eastAsia="en-AU"/>
              </w:rPr>
            </w:pPr>
            <w:r w:rsidRPr="00DA3F73">
              <w:rPr>
                <w:rFonts w:cs="Arial"/>
                <w:color w:val="000000"/>
                <w:sz w:val="20"/>
                <w:szCs w:val="20"/>
                <w:lang w:eastAsia="en-AU"/>
              </w:rPr>
              <w:t>Male / 7 to 18 years old</w:t>
            </w:r>
          </w:p>
        </w:tc>
        <w:tc>
          <w:tcPr>
            <w:tcW w:w="1975" w:type="dxa"/>
            <w:shd w:val="clear" w:color="000000" w:fill="BCBEC0"/>
            <w:noWrap/>
            <w:vAlign w:val="bottom"/>
            <w:hideMark/>
          </w:tcPr>
          <w:p w14:paraId="5E36E8E4"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6,955</w:t>
            </w:r>
          </w:p>
        </w:tc>
        <w:tc>
          <w:tcPr>
            <w:tcW w:w="1842" w:type="dxa"/>
            <w:shd w:val="clear" w:color="000000" w:fill="BCBEC0"/>
            <w:noWrap/>
            <w:vAlign w:val="bottom"/>
          </w:tcPr>
          <w:p w14:paraId="7B914851"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10,309</w:t>
            </w:r>
          </w:p>
        </w:tc>
        <w:tc>
          <w:tcPr>
            <w:tcW w:w="969" w:type="dxa"/>
            <w:shd w:val="clear" w:color="000000" w:fill="BCBEC0"/>
            <w:noWrap/>
            <w:vAlign w:val="bottom"/>
          </w:tcPr>
          <w:p w14:paraId="0F90554C"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3,354</w:t>
            </w:r>
          </w:p>
        </w:tc>
        <w:tc>
          <w:tcPr>
            <w:tcW w:w="912" w:type="dxa"/>
            <w:shd w:val="clear" w:color="000000" w:fill="BCBEC0"/>
            <w:noWrap/>
            <w:vAlign w:val="bottom"/>
          </w:tcPr>
          <w:p w14:paraId="2F25007A"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48%</w:t>
            </w:r>
          </w:p>
        </w:tc>
      </w:tr>
      <w:tr w:rsidR="00B67A4F" w:rsidRPr="00AB6147" w14:paraId="0863041A" w14:textId="77777777" w:rsidTr="00F830E6">
        <w:trPr>
          <w:trHeight w:val="301"/>
        </w:trPr>
        <w:tc>
          <w:tcPr>
            <w:tcW w:w="3426" w:type="dxa"/>
            <w:tcBorders>
              <w:bottom w:val="single" w:sz="4" w:space="0" w:color="auto"/>
            </w:tcBorders>
            <w:shd w:val="clear" w:color="auto" w:fill="auto"/>
            <w:noWrap/>
            <w:vAlign w:val="bottom"/>
            <w:hideMark/>
          </w:tcPr>
          <w:p w14:paraId="6A3BE7E6" w14:textId="77777777" w:rsidR="00B67A4F" w:rsidRPr="00DA3F73" w:rsidRDefault="00B67A4F" w:rsidP="006D3A4D">
            <w:pPr>
              <w:spacing w:after="0" w:line="240" w:lineRule="auto"/>
              <w:rPr>
                <w:rFonts w:cs="Arial"/>
                <w:color w:val="000000"/>
                <w:sz w:val="20"/>
                <w:szCs w:val="20"/>
                <w:lang w:eastAsia="en-AU"/>
              </w:rPr>
            </w:pPr>
            <w:r w:rsidRPr="00DA3F73">
              <w:rPr>
                <w:rFonts w:cs="Arial"/>
                <w:color w:val="000000"/>
                <w:sz w:val="20"/>
                <w:szCs w:val="20"/>
                <w:lang w:eastAsia="en-AU"/>
              </w:rPr>
              <w:t>Male / 19 to 64 years old</w:t>
            </w:r>
          </w:p>
        </w:tc>
        <w:tc>
          <w:tcPr>
            <w:tcW w:w="1975" w:type="dxa"/>
            <w:tcBorders>
              <w:bottom w:val="single" w:sz="4" w:space="0" w:color="auto"/>
            </w:tcBorders>
            <w:shd w:val="clear" w:color="auto" w:fill="auto"/>
            <w:noWrap/>
            <w:vAlign w:val="bottom"/>
            <w:hideMark/>
          </w:tcPr>
          <w:p w14:paraId="173C5ABE"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9,007</w:t>
            </w:r>
          </w:p>
        </w:tc>
        <w:tc>
          <w:tcPr>
            <w:tcW w:w="1842" w:type="dxa"/>
            <w:tcBorders>
              <w:bottom w:val="single" w:sz="4" w:space="0" w:color="auto"/>
            </w:tcBorders>
            <w:shd w:val="clear" w:color="auto" w:fill="auto"/>
            <w:noWrap/>
            <w:vAlign w:val="bottom"/>
          </w:tcPr>
          <w:p w14:paraId="0171EBFE"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10,101</w:t>
            </w:r>
          </w:p>
        </w:tc>
        <w:tc>
          <w:tcPr>
            <w:tcW w:w="969" w:type="dxa"/>
            <w:tcBorders>
              <w:bottom w:val="single" w:sz="4" w:space="0" w:color="auto"/>
            </w:tcBorders>
            <w:shd w:val="clear" w:color="auto" w:fill="auto"/>
            <w:noWrap/>
            <w:vAlign w:val="bottom"/>
          </w:tcPr>
          <w:p w14:paraId="0A770EE6"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1,093</w:t>
            </w:r>
          </w:p>
        </w:tc>
        <w:tc>
          <w:tcPr>
            <w:tcW w:w="912" w:type="dxa"/>
            <w:tcBorders>
              <w:bottom w:val="single" w:sz="4" w:space="0" w:color="auto"/>
            </w:tcBorders>
            <w:shd w:val="clear" w:color="auto" w:fill="auto"/>
            <w:noWrap/>
            <w:vAlign w:val="bottom"/>
          </w:tcPr>
          <w:p w14:paraId="148333B3"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12%</w:t>
            </w:r>
          </w:p>
        </w:tc>
      </w:tr>
      <w:tr w:rsidR="00B67A4F" w:rsidRPr="00AB6147" w14:paraId="302ACE5C" w14:textId="77777777" w:rsidTr="00F830E6">
        <w:trPr>
          <w:trHeight w:val="301"/>
        </w:trPr>
        <w:tc>
          <w:tcPr>
            <w:tcW w:w="3426" w:type="dxa"/>
            <w:tcBorders>
              <w:top w:val="single" w:sz="4" w:space="0" w:color="auto"/>
              <w:bottom w:val="single" w:sz="4" w:space="0" w:color="auto"/>
            </w:tcBorders>
            <w:shd w:val="clear" w:color="000000" w:fill="D3C5D7"/>
            <w:noWrap/>
            <w:vAlign w:val="bottom"/>
            <w:hideMark/>
          </w:tcPr>
          <w:p w14:paraId="59A11FC4" w14:textId="77777777" w:rsidR="00B67A4F" w:rsidRPr="00DA3F73" w:rsidRDefault="00B67A4F" w:rsidP="006D3A4D">
            <w:pPr>
              <w:spacing w:after="0" w:line="240" w:lineRule="auto"/>
              <w:rPr>
                <w:rFonts w:cs="Arial"/>
                <w:b/>
                <w:bCs/>
                <w:color w:val="000000"/>
                <w:sz w:val="20"/>
                <w:szCs w:val="20"/>
                <w:lang w:eastAsia="en-AU"/>
              </w:rPr>
            </w:pPr>
            <w:r w:rsidRPr="00DA3F73">
              <w:rPr>
                <w:rFonts w:cs="Arial"/>
                <w:b/>
                <w:bCs/>
                <w:color w:val="000000"/>
                <w:sz w:val="20"/>
                <w:szCs w:val="20"/>
                <w:lang w:eastAsia="en-AU"/>
              </w:rPr>
              <w:t>Total Male</w:t>
            </w:r>
          </w:p>
        </w:tc>
        <w:tc>
          <w:tcPr>
            <w:tcW w:w="1975" w:type="dxa"/>
            <w:tcBorders>
              <w:top w:val="single" w:sz="4" w:space="0" w:color="auto"/>
              <w:bottom w:val="single" w:sz="4" w:space="0" w:color="auto"/>
            </w:tcBorders>
            <w:shd w:val="clear" w:color="000000" w:fill="D3C5D7"/>
            <w:noWrap/>
            <w:vAlign w:val="bottom"/>
            <w:hideMark/>
          </w:tcPr>
          <w:p w14:paraId="154C7AE2" w14:textId="77777777" w:rsidR="00B67A4F" w:rsidRPr="00DA3F73" w:rsidRDefault="00B67A4F" w:rsidP="006D3A4D">
            <w:pPr>
              <w:spacing w:after="0" w:line="240" w:lineRule="auto"/>
              <w:jc w:val="center"/>
              <w:rPr>
                <w:rFonts w:cs="Arial"/>
                <w:b/>
                <w:bCs/>
                <w:color w:val="000000"/>
                <w:sz w:val="20"/>
                <w:szCs w:val="20"/>
                <w:lang w:eastAsia="en-AU"/>
              </w:rPr>
            </w:pPr>
            <w:r w:rsidRPr="00DA3F73">
              <w:rPr>
                <w:rFonts w:cs="Arial"/>
                <w:b/>
                <w:bCs/>
                <w:color w:val="000000"/>
                <w:sz w:val="20"/>
                <w:szCs w:val="20"/>
                <w:lang w:eastAsia="en-AU"/>
              </w:rPr>
              <w:t>38,457</w:t>
            </w:r>
          </w:p>
        </w:tc>
        <w:tc>
          <w:tcPr>
            <w:tcW w:w="1842" w:type="dxa"/>
            <w:tcBorders>
              <w:top w:val="single" w:sz="4" w:space="0" w:color="auto"/>
              <w:bottom w:val="single" w:sz="4" w:space="0" w:color="auto"/>
            </w:tcBorders>
            <w:shd w:val="clear" w:color="000000" w:fill="D3C5D7"/>
            <w:noWrap/>
            <w:vAlign w:val="bottom"/>
          </w:tcPr>
          <w:p w14:paraId="3212F5A3" w14:textId="77777777" w:rsidR="00B67A4F" w:rsidRPr="00DA3F73" w:rsidRDefault="00B67A4F" w:rsidP="006D3A4D">
            <w:pPr>
              <w:spacing w:after="0" w:line="240" w:lineRule="auto"/>
              <w:jc w:val="center"/>
              <w:rPr>
                <w:rFonts w:cs="Arial"/>
                <w:b/>
                <w:bCs/>
                <w:color w:val="000000"/>
                <w:sz w:val="20"/>
                <w:szCs w:val="20"/>
                <w:lang w:eastAsia="en-AU"/>
              </w:rPr>
            </w:pPr>
            <w:r w:rsidRPr="00DA3F73">
              <w:rPr>
                <w:rFonts w:cs="Arial"/>
                <w:b/>
                <w:bCs/>
                <w:color w:val="000000"/>
                <w:sz w:val="20"/>
                <w:szCs w:val="20"/>
                <w:lang w:eastAsia="en-AU"/>
              </w:rPr>
              <w:t>41,618</w:t>
            </w:r>
          </w:p>
        </w:tc>
        <w:tc>
          <w:tcPr>
            <w:tcW w:w="969" w:type="dxa"/>
            <w:tcBorders>
              <w:top w:val="single" w:sz="4" w:space="0" w:color="auto"/>
              <w:bottom w:val="single" w:sz="4" w:space="0" w:color="auto"/>
            </w:tcBorders>
            <w:shd w:val="clear" w:color="000000" w:fill="D3C5D7"/>
            <w:noWrap/>
            <w:vAlign w:val="bottom"/>
          </w:tcPr>
          <w:p w14:paraId="1C663746" w14:textId="77777777" w:rsidR="00B67A4F" w:rsidRPr="00DA3F73" w:rsidRDefault="00B67A4F" w:rsidP="006D3A4D">
            <w:pPr>
              <w:spacing w:after="0" w:line="240" w:lineRule="auto"/>
              <w:jc w:val="center"/>
              <w:rPr>
                <w:rFonts w:cs="Arial"/>
                <w:b/>
                <w:bCs/>
                <w:color w:val="000000"/>
                <w:sz w:val="20"/>
                <w:szCs w:val="20"/>
                <w:lang w:eastAsia="en-AU"/>
              </w:rPr>
            </w:pPr>
            <w:r w:rsidRPr="00DA3F73">
              <w:rPr>
                <w:rFonts w:cs="Arial"/>
                <w:b/>
                <w:bCs/>
                <w:color w:val="000000"/>
                <w:sz w:val="20"/>
                <w:szCs w:val="20"/>
                <w:lang w:eastAsia="en-AU"/>
              </w:rPr>
              <w:t>3,161</w:t>
            </w:r>
          </w:p>
        </w:tc>
        <w:tc>
          <w:tcPr>
            <w:tcW w:w="912" w:type="dxa"/>
            <w:tcBorders>
              <w:top w:val="single" w:sz="4" w:space="0" w:color="auto"/>
              <w:bottom w:val="single" w:sz="4" w:space="0" w:color="auto"/>
            </w:tcBorders>
            <w:shd w:val="clear" w:color="000000" w:fill="D3C5D7"/>
            <w:noWrap/>
            <w:vAlign w:val="bottom"/>
          </w:tcPr>
          <w:p w14:paraId="18632FBB" w14:textId="77777777" w:rsidR="00B67A4F" w:rsidRPr="00DA3F73" w:rsidRDefault="00B67A4F" w:rsidP="006D3A4D">
            <w:pPr>
              <w:spacing w:after="0" w:line="240" w:lineRule="auto"/>
              <w:jc w:val="center"/>
              <w:rPr>
                <w:rFonts w:cs="Arial"/>
                <w:b/>
                <w:bCs/>
                <w:color w:val="000000"/>
                <w:sz w:val="20"/>
                <w:szCs w:val="20"/>
                <w:lang w:eastAsia="en-AU"/>
              </w:rPr>
            </w:pPr>
            <w:r w:rsidRPr="00DA3F73">
              <w:rPr>
                <w:rFonts w:cs="Arial"/>
                <w:b/>
                <w:bCs/>
                <w:color w:val="000000"/>
                <w:sz w:val="20"/>
                <w:szCs w:val="20"/>
                <w:lang w:eastAsia="en-AU"/>
              </w:rPr>
              <w:t>8%</w:t>
            </w:r>
          </w:p>
        </w:tc>
      </w:tr>
      <w:tr w:rsidR="00B67A4F" w:rsidRPr="00AB6147" w14:paraId="0B807AF7" w14:textId="77777777" w:rsidTr="00F830E6">
        <w:trPr>
          <w:trHeight w:val="301"/>
        </w:trPr>
        <w:tc>
          <w:tcPr>
            <w:tcW w:w="3426" w:type="dxa"/>
            <w:tcBorders>
              <w:top w:val="single" w:sz="4" w:space="0" w:color="auto"/>
            </w:tcBorders>
            <w:shd w:val="clear" w:color="auto" w:fill="auto"/>
            <w:noWrap/>
            <w:vAlign w:val="bottom"/>
            <w:hideMark/>
          </w:tcPr>
          <w:p w14:paraId="753B6673" w14:textId="77777777" w:rsidR="00B67A4F" w:rsidRPr="00DA3F73" w:rsidRDefault="00B67A4F" w:rsidP="006D3A4D">
            <w:pPr>
              <w:spacing w:after="0" w:line="240" w:lineRule="auto"/>
              <w:rPr>
                <w:rFonts w:cs="Arial"/>
                <w:color w:val="000000"/>
                <w:sz w:val="20"/>
                <w:szCs w:val="20"/>
                <w:lang w:eastAsia="en-AU"/>
              </w:rPr>
            </w:pPr>
            <w:r w:rsidRPr="00DA3F73">
              <w:rPr>
                <w:rFonts w:cs="Arial"/>
                <w:color w:val="000000"/>
                <w:sz w:val="20"/>
                <w:szCs w:val="20"/>
                <w:lang w:eastAsia="en-AU"/>
              </w:rPr>
              <w:t>Female / 0 to 6 years old</w:t>
            </w:r>
          </w:p>
        </w:tc>
        <w:tc>
          <w:tcPr>
            <w:tcW w:w="1975" w:type="dxa"/>
            <w:tcBorders>
              <w:top w:val="single" w:sz="4" w:space="0" w:color="auto"/>
            </w:tcBorders>
            <w:shd w:val="clear" w:color="auto" w:fill="auto"/>
            <w:noWrap/>
            <w:vAlign w:val="bottom"/>
            <w:hideMark/>
          </w:tcPr>
          <w:p w14:paraId="02D6517A"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9,022</w:t>
            </w:r>
          </w:p>
        </w:tc>
        <w:tc>
          <w:tcPr>
            <w:tcW w:w="1842" w:type="dxa"/>
            <w:tcBorders>
              <w:top w:val="single" w:sz="4" w:space="0" w:color="auto"/>
            </w:tcBorders>
            <w:shd w:val="clear" w:color="auto" w:fill="auto"/>
            <w:noWrap/>
            <w:vAlign w:val="bottom"/>
          </w:tcPr>
          <w:p w14:paraId="730066FF"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8,798</w:t>
            </w:r>
          </w:p>
        </w:tc>
        <w:tc>
          <w:tcPr>
            <w:tcW w:w="969" w:type="dxa"/>
            <w:tcBorders>
              <w:top w:val="single" w:sz="4" w:space="0" w:color="auto"/>
            </w:tcBorders>
            <w:shd w:val="clear" w:color="auto" w:fill="auto"/>
            <w:noWrap/>
            <w:vAlign w:val="bottom"/>
          </w:tcPr>
          <w:p w14:paraId="717C2EE2"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-224</w:t>
            </w:r>
          </w:p>
        </w:tc>
        <w:tc>
          <w:tcPr>
            <w:tcW w:w="912" w:type="dxa"/>
            <w:tcBorders>
              <w:top w:val="single" w:sz="4" w:space="0" w:color="auto"/>
            </w:tcBorders>
            <w:shd w:val="clear" w:color="auto" w:fill="auto"/>
            <w:noWrap/>
            <w:vAlign w:val="bottom"/>
          </w:tcPr>
          <w:p w14:paraId="441F9ABF"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-2%</w:t>
            </w:r>
          </w:p>
        </w:tc>
      </w:tr>
      <w:tr w:rsidR="00B67A4F" w:rsidRPr="00AB6147" w14:paraId="06A44159" w14:textId="77777777" w:rsidTr="00F830E6">
        <w:trPr>
          <w:trHeight w:val="301"/>
        </w:trPr>
        <w:tc>
          <w:tcPr>
            <w:tcW w:w="3426" w:type="dxa"/>
            <w:shd w:val="clear" w:color="000000" w:fill="BCBEC0"/>
            <w:noWrap/>
            <w:vAlign w:val="bottom"/>
            <w:hideMark/>
          </w:tcPr>
          <w:p w14:paraId="5AFA0695" w14:textId="77777777" w:rsidR="00B67A4F" w:rsidRPr="00DA3F73" w:rsidRDefault="00B67A4F" w:rsidP="006D3A4D">
            <w:pPr>
              <w:spacing w:after="0" w:line="240" w:lineRule="auto"/>
              <w:rPr>
                <w:rFonts w:cs="Arial"/>
                <w:color w:val="000000"/>
                <w:sz w:val="20"/>
                <w:szCs w:val="20"/>
                <w:lang w:eastAsia="en-AU"/>
              </w:rPr>
            </w:pPr>
            <w:r w:rsidRPr="00DA3F73">
              <w:rPr>
                <w:rFonts w:cs="Arial"/>
                <w:color w:val="000000"/>
                <w:sz w:val="20"/>
                <w:szCs w:val="20"/>
                <w:lang w:eastAsia="en-AU"/>
              </w:rPr>
              <w:t>Female / 7 to 18 years old</w:t>
            </w:r>
          </w:p>
        </w:tc>
        <w:tc>
          <w:tcPr>
            <w:tcW w:w="1975" w:type="dxa"/>
            <w:shd w:val="clear" w:color="000000" w:fill="BCBEC0"/>
            <w:noWrap/>
            <w:vAlign w:val="bottom"/>
            <w:hideMark/>
          </w:tcPr>
          <w:p w14:paraId="44DB6C74"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3,626</w:t>
            </w:r>
          </w:p>
        </w:tc>
        <w:tc>
          <w:tcPr>
            <w:tcW w:w="1842" w:type="dxa"/>
            <w:shd w:val="clear" w:color="000000" w:fill="BCBEC0"/>
            <w:noWrap/>
            <w:vAlign w:val="bottom"/>
          </w:tcPr>
          <w:p w14:paraId="30DC6E51"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6,089</w:t>
            </w:r>
          </w:p>
        </w:tc>
        <w:tc>
          <w:tcPr>
            <w:tcW w:w="969" w:type="dxa"/>
            <w:shd w:val="clear" w:color="000000" w:fill="BCBEC0"/>
            <w:noWrap/>
            <w:vAlign w:val="bottom"/>
          </w:tcPr>
          <w:p w14:paraId="1380DA8B"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2,463</w:t>
            </w:r>
          </w:p>
        </w:tc>
        <w:tc>
          <w:tcPr>
            <w:tcW w:w="912" w:type="dxa"/>
            <w:shd w:val="clear" w:color="000000" w:fill="BCBEC0"/>
            <w:noWrap/>
            <w:vAlign w:val="bottom"/>
          </w:tcPr>
          <w:p w14:paraId="514CB40D"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68%</w:t>
            </w:r>
          </w:p>
        </w:tc>
      </w:tr>
      <w:tr w:rsidR="00B67A4F" w:rsidRPr="00AB6147" w14:paraId="6648E8E8" w14:textId="77777777" w:rsidTr="00F830E6">
        <w:trPr>
          <w:trHeight w:val="301"/>
        </w:trPr>
        <w:tc>
          <w:tcPr>
            <w:tcW w:w="3426" w:type="dxa"/>
            <w:tcBorders>
              <w:bottom w:val="single" w:sz="4" w:space="0" w:color="auto"/>
            </w:tcBorders>
            <w:shd w:val="clear" w:color="auto" w:fill="auto"/>
            <w:noWrap/>
            <w:vAlign w:val="bottom"/>
            <w:hideMark/>
          </w:tcPr>
          <w:p w14:paraId="666BB903" w14:textId="77777777" w:rsidR="00B67A4F" w:rsidRPr="00DA3F73" w:rsidRDefault="00B67A4F" w:rsidP="006D3A4D">
            <w:pPr>
              <w:spacing w:after="0" w:line="240" w:lineRule="auto"/>
              <w:rPr>
                <w:rFonts w:cs="Arial"/>
                <w:color w:val="000000"/>
                <w:sz w:val="20"/>
                <w:szCs w:val="20"/>
                <w:lang w:eastAsia="en-AU"/>
              </w:rPr>
            </w:pPr>
            <w:r w:rsidRPr="00DA3F73">
              <w:rPr>
                <w:rFonts w:cs="Arial"/>
                <w:color w:val="000000"/>
                <w:sz w:val="20"/>
                <w:szCs w:val="20"/>
                <w:lang w:eastAsia="en-AU"/>
              </w:rPr>
              <w:t>Female / 19 to 64 years old</w:t>
            </w:r>
          </w:p>
        </w:tc>
        <w:tc>
          <w:tcPr>
            <w:tcW w:w="1975" w:type="dxa"/>
            <w:tcBorders>
              <w:bottom w:val="single" w:sz="4" w:space="0" w:color="auto"/>
            </w:tcBorders>
            <w:shd w:val="clear" w:color="auto" w:fill="auto"/>
            <w:noWrap/>
            <w:vAlign w:val="bottom"/>
            <w:hideMark/>
          </w:tcPr>
          <w:p w14:paraId="4DA5A572"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7,883</w:t>
            </w:r>
          </w:p>
        </w:tc>
        <w:tc>
          <w:tcPr>
            <w:tcW w:w="1842" w:type="dxa"/>
            <w:tcBorders>
              <w:bottom w:val="single" w:sz="4" w:space="0" w:color="auto"/>
            </w:tcBorders>
            <w:shd w:val="clear" w:color="auto" w:fill="auto"/>
            <w:noWrap/>
            <w:vAlign w:val="bottom"/>
          </w:tcPr>
          <w:p w14:paraId="66C8DBD5"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9,570</w:t>
            </w:r>
          </w:p>
        </w:tc>
        <w:tc>
          <w:tcPr>
            <w:tcW w:w="969" w:type="dxa"/>
            <w:tcBorders>
              <w:bottom w:val="single" w:sz="4" w:space="0" w:color="auto"/>
            </w:tcBorders>
            <w:shd w:val="clear" w:color="auto" w:fill="auto"/>
            <w:noWrap/>
            <w:vAlign w:val="bottom"/>
          </w:tcPr>
          <w:p w14:paraId="42A656EA"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1,687</w:t>
            </w:r>
          </w:p>
        </w:tc>
        <w:tc>
          <w:tcPr>
            <w:tcW w:w="912" w:type="dxa"/>
            <w:tcBorders>
              <w:bottom w:val="single" w:sz="4" w:space="0" w:color="auto"/>
            </w:tcBorders>
            <w:shd w:val="clear" w:color="auto" w:fill="auto"/>
            <w:noWrap/>
            <w:vAlign w:val="bottom"/>
          </w:tcPr>
          <w:p w14:paraId="0261355D"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21%</w:t>
            </w:r>
          </w:p>
        </w:tc>
      </w:tr>
      <w:tr w:rsidR="00B67A4F" w:rsidRPr="00AB6147" w14:paraId="1F1F92A6" w14:textId="77777777" w:rsidTr="00F830E6">
        <w:trPr>
          <w:trHeight w:val="301"/>
        </w:trPr>
        <w:tc>
          <w:tcPr>
            <w:tcW w:w="3426" w:type="dxa"/>
            <w:tcBorders>
              <w:top w:val="single" w:sz="4" w:space="0" w:color="auto"/>
              <w:bottom w:val="single" w:sz="4" w:space="0" w:color="auto"/>
            </w:tcBorders>
            <w:shd w:val="clear" w:color="000000" w:fill="D3C5D7"/>
            <w:noWrap/>
            <w:vAlign w:val="bottom"/>
            <w:hideMark/>
          </w:tcPr>
          <w:p w14:paraId="161BE800" w14:textId="77777777" w:rsidR="00B67A4F" w:rsidRPr="00DA3F73" w:rsidRDefault="00B67A4F" w:rsidP="006D3A4D">
            <w:pPr>
              <w:spacing w:after="0" w:line="240" w:lineRule="auto"/>
              <w:rPr>
                <w:rFonts w:cs="Arial"/>
                <w:b/>
                <w:bCs/>
                <w:color w:val="000000"/>
                <w:sz w:val="20"/>
                <w:szCs w:val="20"/>
                <w:lang w:eastAsia="en-AU"/>
              </w:rPr>
            </w:pPr>
            <w:r w:rsidRPr="00DA3F73">
              <w:rPr>
                <w:rFonts w:cs="Arial"/>
                <w:b/>
                <w:bCs/>
                <w:color w:val="000000"/>
                <w:sz w:val="20"/>
                <w:szCs w:val="20"/>
                <w:lang w:eastAsia="en-AU"/>
              </w:rPr>
              <w:t>Total Female</w:t>
            </w:r>
          </w:p>
        </w:tc>
        <w:tc>
          <w:tcPr>
            <w:tcW w:w="1975" w:type="dxa"/>
            <w:tcBorders>
              <w:top w:val="single" w:sz="4" w:space="0" w:color="auto"/>
              <w:bottom w:val="single" w:sz="4" w:space="0" w:color="auto"/>
            </w:tcBorders>
            <w:shd w:val="clear" w:color="000000" w:fill="D3C5D7"/>
            <w:noWrap/>
            <w:vAlign w:val="bottom"/>
            <w:hideMark/>
          </w:tcPr>
          <w:p w14:paraId="479FF8B4" w14:textId="77777777" w:rsidR="00B67A4F" w:rsidRPr="00DA3F73" w:rsidRDefault="00B67A4F" w:rsidP="006D3A4D">
            <w:pPr>
              <w:spacing w:after="0" w:line="240" w:lineRule="auto"/>
              <w:jc w:val="center"/>
              <w:rPr>
                <w:rFonts w:cs="Arial"/>
                <w:b/>
                <w:bCs/>
                <w:color w:val="000000"/>
                <w:sz w:val="20"/>
                <w:szCs w:val="20"/>
                <w:lang w:eastAsia="en-AU"/>
              </w:rPr>
            </w:pPr>
            <w:r w:rsidRPr="00DA3F73">
              <w:rPr>
                <w:rFonts w:cs="Arial"/>
                <w:b/>
                <w:bCs/>
                <w:color w:val="000000"/>
                <w:sz w:val="20"/>
                <w:szCs w:val="20"/>
                <w:lang w:eastAsia="en-AU"/>
              </w:rPr>
              <w:t>20,532</w:t>
            </w:r>
          </w:p>
        </w:tc>
        <w:tc>
          <w:tcPr>
            <w:tcW w:w="1842" w:type="dxa"/>
            <w:tcBorders>
              <w:top w:val="single" w:sz="4" w:space="0" w:color="auto"/>
              <w:bottom w:val="single" w:sz="4" w:space="0" w:color="auto"/>
            </w:tcBorders>
            <w:shd w:val="clear" w:color="000000" w:fill="D3C5D7"/>
            <w:noWrap/>
            <w:vAlign w:val="bottom"/>
          </w:tcPr>
          <w:p w14:paraId="5F14EDC7" w14:textId="77777777" w:rsidR="00B67A4F" w:rsidRPr="00DA3F73" w:rsidRDefault="00B67A4F" w:rsidP="006D3A4D">
            <w:pPr>
              <w:spacing w:after="0" w:line="240" w:lineRule="auto"/>
              <w:jc w:val="center"/>
              <w:rPr>
                <w:rFonts w:cs="Arial"/>
                <w:b/>
                <w:bCs/>
                <w:color w:val="000000"/>
                <w:sz w:val="20"/>
                <w:szCs w:val="20"/>
                <w:lang w:eastAsia="en-AU"/>
              </w:rPr>
            </w:pPr>
            <w:r w:rsidRPr="00DA3F73">
              <w:rPr>
                <w:rFonts w:cs="Arial"/>
                <w:b/>
                <w:bCs/>
                <w:color w:val="000000"/>
                <w:sz w:val="20"/>
                <w:szCs w:val="20"/>
                <w:lang w:eastAsia="en-AU"/>
              </w:rPr>
              <w:t>24,457</w:t>
            </w:r>
          </w:p>
        </w:tc>
        <w:tc>
          <w:tcPr>
            <w:tcW w:w="969" w:type="dxa"/>
            <w:tcBorders>
              <w:top w:val="single" w:sz="4" w:space="0" w:color="auto"/>
              <w:bottom w:val="single" w:sz="4" w:space="0" w:color="auto"/>
            </w:tcBorders>
            <w:shd w:val="clear" w:color="000000" w:fill="D3C5D7"/>
            <w:noWrap/>
            <w:vAlign w:val="bottom"/>
          </w:tcPr>
          <w:p w14:paraId="40F2C3B5" w14:textId="77777777" w:rsidR="00B67A4F" w:rsidRPr="00DA3F73" w:rsidRDefault="00B67A4F" w:rsidP="006D3A4D">
            <w:pPr>
              <w:spacing w:after="0" w:line="240" w:lineRule="auto"/>
              <w:jc w:val="center"/>
              <w:rPr>
                <w:rFonts w:cs="Arial"/>
                <w:b/>
                <w:bCs/>
                <w:color w:val="000000"/>
                <w:sz w:val="20"/>
                <w:szCs w:val="20"/>
                <w:lang w:eastAsia="en-AU"/>
              </w:rPr>
            </w:pPr>
            <w:r w:rsidRPr="00DA3F73">
              <w:rPr>
                <w:rFonts w:cs="Arial"/>
                <w:b/>
                <w:bCs/>
                <w:color w:val="000000"/>
                <w:sz w:val="20"/>
                <w:szCs w:val="20"/>
                <w:lang w:eastAsia="en-AU"/>
              </w:rPr>
              <w:t>3,926</w:t>
            </w:r>
          </w:p>
        </w:tc>
        <w:tc>
          <w:tcPr>
            <w:tcW w:w="912" w:type="dxa"/>
            <w:tcBorders>
              <w:top w:val="single" w:sz="4" w:space="0" w:color="auto"/>
              <w:bottom w:val="single" w:sz="4" w:space="0" w:color="auto"/>
            </w:tcBorders>
            <w:shd w:val="clear" w:color="000000" w:fill="D3C5D7"/>
            <w:noWrap/>
            <w:vAlign w:val="bottom"/>
          </w:tcPr>
          <w:p w14:paraId="3C4ADD7B" w14:textId="77777777" w:rsidR="00B67A4F" w:rsidRPr="00DA3F73" w:rsidRDefault="00B67A4F" w:rsidP="006D3A4D">
            <w:pPr>
              <w:spacing w:after="0" w:line="240" w:lineRule="auto"/>
              <w:jc w:val="center"/>
              <w:rPr>
                <w:rFonts w:cs="Arial"/>
                <w:b/>
                <w:bCs/>
                <w:color w:val="000000"/>
                <w:sz w:val="20"/>
                <w:szCs w:val="20"/>
                <w:lang w:eastAsia="en-AU"/>
              </w:rPr>
            </w:pPr>
            <w:r w:rsidRPr="00DA3F73">
              <w:rPr>
                <w:rFonts w:cs="Arial"/>
                <w:b/>
                <w:bCs/>
                <w:color w:val="000000"/>
                <w:sz w:val="20"/>
                <w:szCs w:val="20"/>
                <w:lang w:eastAsia="en-AU"/>
              </w:rPr>
              <w:t>19%</w:t>
            </w:r>
          </w:p>
        </w:tc>
      </w:tr>
      <w:tr w:rsidR="00B67A4F" w:rsidRPr="00AB6147" w14:paraId="74FA60A5" w14:textId="77777777" w:rsidTr="00F830E6">
        <w:trPr>
          <w:trHeight w:val="301"/>
        </w:trPr>
        <w:tc>
          <w:tcPr>
            <w:tcW w:w="3426" w:type="dxa"/>
            <w:tcBorders>
              <w:top w:val="single" w:sz="4" w:space="0" w:color="auto"/>
            </w:tcBorders>
            <w:shd w:val="clear" w:color="auto" w:fill="auto"/>
            <w:noWrap/>
            <w:vAlign w:val="bottom"/>
            <w:hideMark/>
          </w:tcPr>
          <w:p w14:paraId="1949B16A" w14:textId="77777777" w:rsidR="00B67A4F" w:rsidRPr="00DA3F73" w:rsidRDefault="00B67A4F" w:rsidP="006D3A4D">
            <w:pPr>
              <w:spacing w:after="0" w:line="240" w:lineRule="auto"/>
              <w:rPr>
                <w:rFonts w:cs="Arial"/>
                <w:color w:val="000000"/>
                <w:sz w:val="20"/>
                <w:szCs w:val="20"/>
                <w:lang w:eastAsia="en-AU"/>
              </w:rPr>
            </w:pPr>
            <w:r w:rsidRPr="00DA3F73">
              <w:rPr>
                <w:rFonts w:cs="Arial"/>
                <w:color w:val="000000"/>
                <w:sz w:val="20"/>
                <w:szCs w:val="20"/>
                <w:lang w:eastAsia="en-AU"/>
              </w:rPr>
              <w:t>All Persons / 0 to 6 years old</w:t>
            </w:r>
          </w:p>
        </w:tc>
        <w:tc>
          <w:tcPr>
            <w:tcW w:w="1975" w:type="dxa"/>
            <w:tcBorders>
              <w:top w:val="single" w:sz="4" w:space="0" w:color="auto"/>
            </w:tcBorders>
            <w:shd w:val="clear" w:color="auto" w:fill="auto"/>
            <w:noWrap/>
            <w:vAlign w:val="bottom"/>
            <w:hideMark/>
          </w:tcPr>
          <w:p w14:paraId="3B27F172"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31,518</w:t>
            </w:r>
          </w:p>
        </w:tc>
        <w:tc>
          <w:tcPr>
            <w:tcW w:w="1842" w:type="dxa"/>
            <w:tcBorders>
              <w:top w:val="single" w:sz="4" w:space="0" w:color="auto"/>
            </w:tcBorders>
            <w:shd w:val="clear" w:color="auto" w:fill="auto"/>
            <w:noWrap/>
            <w:vAlign w:val="bottom"/>
          </w:tcPr>
          <w:p w14:paraId="06667643"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30,007</w:t>
            </w:r>
          </w:p>
        </w:tc>
        <w:tc>
          <w:tcPr>
            <w:tcW w:w="969" w:type="dxa"/>
            <w:tcBorders>
              <w:top w:val="single" w:sz="4" w:space="0" w:color="auto"/>
            </w:tcBorders>
            <w:shd w:val="clear" w:color="auto" w:fill="auto"/>
            <w:noWrap/>
            <w:vAlign w:val="bottom"/>
          </w:tcPr>
          <w:p w14:paraId="23D3A5A2"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-1,511</w:t>
            </w:r>
          </w:p>
        </w:tc>
        <w:tc>
          <w:tcPr>
            <w:tcW w:w="912" w:type="dxa"/>
            <w:tcBorders>
              <w:top w:val="single" w:sz="4" w:space="0" w:color="auto"/>
            </w:tcBorders>
            <w:shd w:val="clear" w:color="auto" w:fill="auto"/>
            <w:noWrap/>
            <w:vAlign w:val="bottom"/>
          </w:tcPr>
          <w:p w14:paraId="098601A9"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-5%</w:t>
            </w:r>
          </w:p>
        </w:tc>
      </w:tr>
      <w:tr w:rsidR="00B67A4F" w:rsidRPr="00AB6147" w14:paraId="7A6E699E" w14:textId="77777777" w:rsidTr="00F830E6">
        <w:trPr>
          <w:trHeight w:val="301"/>
        </w:trPr>
        <w:tc>
          <w:tcPr>
            <w:tcW w:w="3426" w:type="dxa"/>
            <w:shd w:val="clear" w:color="000000" w:fill="BCBEC0"/>
            <w:noWrap/>
            <w:vAlign w:val="bottom"/>
            <w:hideMark/>
          </w:tcPr>
          <w:p w14:paraId="445A993F" w14:textId="77777777" w:rsidR="00B67A4F" w:rsidRPr="00DA3F73" w:rsidRDefault="00B67A4F" w:rsidP="006D3A4D">
            <w:pPr>
              <w:spacing w:after="0" w:line="240" w:lineRule="auto"/>
              <w:rPr>
                <w:rFonts w:cs="Arial"/>
                <w:color w:val="000000"/>
                <w:sz w:val="20"/>
                <w:szCs w:val="20"/>
                <w:lang w:eastAsia="en-AU"/>
              </w:rPr>
            </w:pPr>
            <w:r w:rsidRPr="00DA3F73">
              <w:rPr>
                <w:rFonts w:cs="Arial"/>
                <w:color w:val="000000"/>
                <w:sz w:val="20"/>
                <w:szCs w:val="20"/>
                <w:lang w:eastAsia="en-AU"/>
              </w:rPr>
              <w:t>All Persons / 7 to 18 years old</w:t>
            </w:r>
          </w:p>
        </w:tc>
        <w:tc>
          <w:tcPr>
            <w:tcW w:w="1975" w:type="dxa"/>
            <w:shd w:val="clear" w:color="000000" w:fill="BCBEC0"/>
            <w:noWrap/>
            <w:vAlign w:val="bottom"/>
            <w:hideMark/>
          </w:tcPr>
          <w:p w14:paraId="62B5D0BD"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10,581</w:t>
            </w:r>
          </w:p>
        </w:tc>
        <w:tc>
          <w:tcPr>
            <w:tcW w:w="1842" w:type="dxa"/>
            <w:shd w:val="clear" w:color="000000" w:fill="BCBEC0"/>
            <w:noWrap/>
            <w:vAlign w:val="bottom"/>
          </w:tcPr>
          <w:p w14:paraId="7415CE1B"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16,398</w:t>
            </w:r>
          </w:p>
        </w:tc>
        <w:tc>
          <w:tcPr>
            <w:tcW w:w="969" w:type="dxa"/>
            <w:shd w:val="clear" w:color="000000" w:fill="BCBEC0"/>
            <w:noWrap/>
            <w:vAlign w:val="bottom"/>
          </w:tcPr>
          <w:p w14:paraId="0390CDC9"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5,817</w:t>
            </w:r>
          </w:p>
        </w:tc>
        <w:tc>
          <w:tcPr>
            <w:tcW w:w="912" w:type="dxa"/>
            <w:shd w:val="clear" w:color="000000" w:fill="BCBEC0"/>
            <w:noWrap/>
            <w:vAlign w:val="bottom"/>
          </w:tcPr>
          <w:p w14:paraId="653341C1"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55%</w:t>
            </w:r>
          </w:p>
        </w:tc>
      </w:tr>
      <w:tr w:rsidR="00B67A4F" w:rsidRPr="00AB6147" w14:paraId="7DE8E777" w14:textId="77777777" w:rsidTr="00F830E6">
        <w:trPr>
          <w:trHeight w:val="301"/>
        </w:trPr>
        <w:tc>
          <w:tcPr>
            <w:tcW w:w="3426" w:type="dxa"/>
            <w:tcBorders>
              <w:bottom w:val="single" w:sz="4" w:space="0" w:color="auto"/>
            </w:tcBorders>
            <w:shd w:val="clear" w:color="auto" w:fill="auto"/>
            <w:noWrap/>
            <w:vAlign w:val="bottom"/>
            <w:hideMark/>
          </w:tcPr>
          <w:p w14:paraId="78D6D0CD" w14:textId="77777777" w:rsidR="00B67A4F" w:rsidRPr="00DA3F73" w:rsidRDefault="00B67A4F" w:rsidP="006D3A4D">
            <w:pPr>
              <w:spacing w:after="0" w:line="240" w:lineRule="auto"/>
              <w:rPr>
                <w:rFonts w:cs="Arial"/>
                <w:color w:val="000000"/>
                <w:sz w:val="20"/>
                <w:szCs w:val="20"/>
                <w:lang w:eastAsia="en-AU"/>
              </w:rPr>
            </w:pPr>
            <w:r w:rsidRPr="00DA3F73">
              <w:rPr>
                <w:rFonts w:cs="Arial"/>
                <w:color w:val="000000"/>
                <w:sz w:val="20"/>
                <w:szCs w:val="20"/>
                <w:lang w:eastAsia="en-AU"/>
              </w:rPr>
              <w:t>All Persons / 19 to 64 years old</w:t>
            </w:r>
          </w:p>
        </w:tc>
        <w:tc>
          <w:tcPr>
            <w:tcW w:w="1975" w:type="dxa"/>
            <w:tcBorders>
              <w:bottom w:val="single" w:sz="4" w:space="0" w:color="auto"/>
            </w:tcBorders>
            <w:shd w:val="clear" w:color="auto" w:fill="auto"/>
            <w:noWrap/>
            <w:vAlign w:val="bottom"/>
            <w:hideMark/>
          </w:tcPr>
          <w:p w14:paraId="641532CB"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16,891</w:t>
            </w:r>
          </w:p>
        </w:tc>
        <w:tc>
          <w:tcPr>
            <w:tcW w:w="1842" w:type="dxa"/>
            <w:tcBorders>
              <w:bottom w:val="single" w:sz="4" w:space="0" w:color="auto"/>
            </w:tcBorders>
            <w:shd w:val="clear" w:color="auto" w:fill="auto"/>
            <w:noWrap/>
            <w:vAlign w:val="bottom"/>
          </w:tcPr>
          <w:p w14:paraId="1C4A8C5C"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19,671</w:t>
            </w:r>
          </w:p>
        </w:tc>
        <w:tc>
          <w:tcPr>
            <w:tcW w:w="969" w:type="dxa"/>
            <w:tcBorders>
              <w:bottom w:val="single" w:sz="4" w:space="0" w:color="auto"/>
            </w:tcBorders>
            <w:shd w:val="clear" w:color="auto" w:fill="auto"/>
            <w:noWrap/>
            <w:vAlign w:val="bottom"/>
          </w:tcPr>
          <w:p w14:paraId="72F76D80"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2,780</w:t>
            </w:r>
          </w:p>
        </w:tc>
        <w:tc>
          <w:tcPr>
            <w:tcW w:w="912" w:type="dxa"/>
            <w:tcBorders>
              <w:bottom w:val="single" w:sz="4" w:space="0" w:color="auto"/>
            </w:tcBorders>
            <w:shd w:val="clear" w:color="auto" w:fill="auto"/>
            <w:noWrap/>
            <w:vAlign w:val="bottom"/>
          </w:tcPr>
          <w:p w14:paraId="1930BDAA" w14:textId="77777777" w:rsidR="00B67A4F" w:rsidRPr="00DA3F73" w:rsidRDefault="00B67A4F" w:rsidP="006D3A4D">
            <w:pPr>
              <w:spacing w:after="0" w:line="240" w:lineRule="auto"/>
              <w:jc w:val="center"/>
              <w:rPr>
                <w:rFonts w:cs="Arial"/>
                <w:color w:val="000000"/>
                <w:sz w:val="20"/>
                <w:szCs w:val="20"/>
                <w:lang w:eastAsia="en-AU"/>
              </w:rPr>
            </w:pPr>
            <w:r w:rsidRPr="00DA3F73">
              <w:rPr>
                <w:rFonts w:cs="Arial"/>
                <w:color w:val="000000"/>
                <w:sz w:val="20"/>
                <w:szCs w:val="20"/>
                <w:lang w:eastAsia="en-AU"/>
              </w:rPr>
              <w:t>16%</w:t>
            </w:r>
          </w:p>
        </w:tc>
      </w:tr>
      <w:tr w:rsidR="00B67A4F" w:rsidRPr="00AB6147" w14:paraId="5ABDA7D5" w14:textId="77777777" w:rsidTr="00F830E6">
        <w:trPr>
          <w:trHeight w:val="301"/>
        </w:trPr>
        <w:tc>
          <w:tcPr>
            <w:tcW w:w="3426" w:type="dxa"/>
            <w:tcBorders>
              <w:top w:val="single" w:sz="4" w:space="0" w:color="auto"/>
              <w:bottom w:val="single" w:sz="4" w:space="0" w:color="auto"/>
            </w:tcBorders>
            <w:shd w:val="clear" w:color="000000" w:fill="D3C5D7"/>
            <w:noWrap/>
            <w:vAlign w:val="bottom"/>
            <w:hideMark/>
          </w:tcPr>
          <w:p w14:paraId="6B04AFB9" w14:textId="77777777" w:rsidR="00B67A4F" w:rsidRPr="00DA3F73" w:rsidRDefault="00B67A4F" w:rsidP="006D3A4D">
            <w:pPr>
              <w:spacing w:after="0" w:line="240" w:lineRule="auto"/>
              <w:rPr>
                <w:rFonts w:cs="Arial"/>
                <w:b/>
                <w:bCs/>
                <w:color w:val="000000"/>
                <w:sz w:val="20"/>
                <w:szCs w:val="20"/>
                <w:lang w:eastAsia="en-AU"/>
              </w:rPr>
            </w:pPr>
            <w:r w:rsidRPr="00DA3F73">
              <w:rPr>
                <w:rFonts w:cs="Arial"/>
                <w:b/>
                <w:bCs/>
                <w:color w:val="000000"/>
                <w:sz w:val="20"/>
                <w:szCs w:val="20"/>
                <w:lang w:eastAsia="en-AU"/>
              </w:rPr>
              <w:t>Total All Persons</w:t>
            </w:r>
          </w:p>
        </w:tc>
        <w:tc>
          <w:tcPr>
            <w:tcW w:w="1975" w:type="dxa"/>
            <w:tcBorders>
              <w:top w:val="single" w:sz="4" w:space="0" w:color="auto"/>
              <w:bottom w:val="single" w:sz="4" w:space="0" w:color="auto"/>
            </w:tcBorders>
            <w:shd w:val="clear" w:color="000000" w:fill="D3C5D7"/>
            <w:noWrap/>
            <w:vAlign w:val="bottom"/>
            <w:hideMark/>
          </w:tcPr>
          <w:p w14:paraId="2DD630D6" w14:textId="77777777" w:rsidR="00B67A4F" w:rsidRPr="00DA3F73" w:rsidRDefault="00B67A4F" w:rsidP="006D3A4D">
            <w:pPr>
              <w:spacing w:after="0" w:line="240" w:lineRule="auto"/>
              <w:jc w:val="center"/>
              <w:rPr>
                <w:rFonts w:cs="Arial"/>
                <w:b/>
                <w:bCs/>
                <w:color w:val="000000"/>
                <w:sz w:val="20"/>
                <w:szCs w:val="20"/>
                <w:lang w:eastAsia="en-AU"/>
              </w:rPr>
            </w:pPr>
            <w:r w:rsidRPr="00DA3F73">
              <w:rPr>
                <w:rFonts w:cs="Arial"/>
                <w:b/>
                <w:bCs/>
                <w:color w:val="000000"/>
                <w:sz w:val="20"/>
                <w:szCs w:val="20"/>
                <w:lang w:eastAsia="en-AU"/>
              </w:rPr>
              <w:t>58,989</w:t>
            </w:r>
          </w:p>
        </w:tc>
        <w:tc>
          <w:tcPr>
            <w:tcW w:w="1842" w:type="dxa"/>
            <w:tcBorders>
              <w:top w:val="single" w:sz="4" w:space="0" w:color="auto"/>
              <w:bottom w:val="single" w:sz="4" w:space="0" w:color="auto"/>
            </w:tcBorders>
            <w:shd w:val="clear" w:color="000000" w:fill="D3C5D7"/>
            <w:noWrap/>
            <w:vAlign w:val="bottom"/>
          </w:tcPr>
          <w:p w14:paraId="0D1C597D" w14:textId="77777777" w:rsidR="00B67A4F" w:rsidRPr="00DA3F73" w:rsidRDefault="00B67A4F" w:rsidP="006D3A4D">
            <w:pPr>
              <w:spacing w:after="0" w:line="240" w:lineRule="auto"/>
              <w:jc w:val="center"/>
              <w:rPr>
                <w:rFonts w:cs="Arial"/>
                <w:b/>
                <w:bCs/>
                <w:color w:val="000000"/>
                <w:sz w:val="20"/>
                <w:szCs w:val="20"/>
                <w:lang w:eastAsia="en-AU"/>
              </w:rPr>
            </w:pPr>
            <w:r w:rsidRPr="00DA3F73">
              <w:rPr>
                <w:rFonts w:cs="Arial"/>
                <w:b/>
                <w:bCs/>
                <w:color w:val="000000"/>
                <w:sz w:val="20"/>
                <w:szCs w:val="20"/>
                <w:lang w:eastAsia="en-AU"/>
              </w:rPr>
              <w:t>66,075</w:t>
            </w:r>
          </w:p>
        </w:tc>
        <w:tc>
          <w:tcPr>
            <w:tcW w:w="969" w:type="dxa"/>
            <w:tcBorders>
              <w:top w:val="single" w:sz="4" w:space="0" w:color="auto"/>
              <w:bottom w:val="single" w:sz="4" w:space="0" w:color="auto"/>
            </w:tcBorders>
            <w:shd w:val="clear" w:color="000000" w:fill="D3C5D7"/>
            <w:noWrap/>
            <w:vAlign w:val="bottom"/>
          </w:tcPr>
          <w:p w14:paraId="13A1B86D" w14:textId="77777777" w:rsidR="00B67A4F" w:rsidRPr="00DA3F73" w:rsidRDefault="00B67A4F" w:rsidP="006D3A4D">
            <w:pPr>
              <w:spacing w:after="0" w:line="240" w:lineRule="auto"/>
              <w:jc w:val="center"/>
              <w:rPr>
                <w:rFonts w:cs="Arial"/>
                <w:b/>
                <w:bCs/>
                <w:color w:val="000000"/>
                <w:sz w:val="20"/>
                <w:szCs w:val="20"/>
                <w:lang w:eastAsia="en-AU"/>
              </w:rPr>
            </w:pPr>
            <w:r w:rsidRPr="00DA3F73">
              <w:rPr>
                <w:rFonts w:cs="Arial"/>
                <w:b/>
                <w:bCs/>
                <w:color w:val="000000"/>
                <w:sz w:val="20"/>
                <w:szCs w:val="20"/>
                <w:lang w:eastAsia="en-AU"/>
              </w:rPr>
              <w:t>7,086</w:t>
            </w:r>
          </w:p>
        </w:tc>
        <w:tc>
          <w:tcPr>
            <w:tcW w:w="912" w:type="dxa"/>
            <w:tcBorders>
              <w:top w:val="single" w:sz="4" w:space="0" w:color="auto"/>
              <w:bottom w:val="single" w:sz="4" w:space="0" w:color="auto"/>
            </w:tcBorders>
            <w:shd w:val="clear" w:color="000000" w:fill="D3C5D7"/>
            <w:noWrap/>
            <w:vAlign w:val="bottom"/>
          </w:tcPr>
          <w:p w14:paraId="3E2CE0ED" w14:textId="77777777" w:rsidR="00B67A4F" w:rsidRPr="00DA3F73" w:rsidRDefault="00B67A4F" w:rsidP="006D3A4D">
            <w:pPr>
              <w:spacing w:after="0" w:line="240" w:lineRule="auto"/>
              <w:jc w:val="center"/>
              <w:rPr>
                <w:rFonts w:cs="Arial"/>
                <w:b/>
                <w:bCs/>
                <w:color w:val="000000"/>
                <w:sz w:val="20"/>
                <w:szCs w:val="20"/>
                <w:lang w:eastAsia="en-AU"/>
              </w:rPr>
            </w:pPr>
            <w:r w:rsidRPr="00DA3F73">
              <w:rPr>
                <w:rFonts w:cs="Arial"/>
                <w:b/>
                <w:bCs/>
                <w:color w:val="000000"/>
                <w:sz w:val="20"/>
                <w:szCs w:val="20"/>
                <w:lang w:eastAsia="en-AU"/>
              </w:rPr>
              <w:t>12%</w:t>
            </w:r>
          </w:p>
        </w:tc>
      </w:tr>
    </w:tbl>
    <w:p w14:paraId="38DC7803" w14:textId="77777777" w:rsidR="00B67A4F" w:rsidRPr="005B092F" w:rsidRDefault="00B67A4F" w:rsidP="00B67A4F">
      <w:pPr>
        <w:pStyle w:val="FSRnormal"/>
      </w:pPr>
      <w:r w:rsidRPr="005B092F">
        <w:t>The changes in</w:t>
      </w:r>
      <w:r w:rsidR="00C60B5E">
        <w:t xml:space="preserve"> adopted</w:t>
      </w:r>
      <w:r w:rsidRPr="005B092F">
        <w:t xml:space="preserve"> new entrant rates discussed above can </w:t>
      </w:r>
      <w:r w:rsidR="00C60B5E">
        <w:t xml:space="preserve">also </w:t>
      </w:r>
      <w:r w:rsidRPr="005B092F">
        <w:t xml:space="preserve">be seen in </w:t>
      </w:r>
      <w:r w:rsidR="00E752AB">
        <w:t>Figure H.</w:t>
      </w:r>
      <w:r w:rsidR="00E752AB">
        <w:rPr>
          <w:noProof/>
        </w:rPr>
        <w:t>2</w:t>
      </w:r>
      <w:r w:rsidRPr="00DA3F73">
        <w:t xml:space="preserve"> and </w:t>
      </w:r>
      <w:r w:rsidR="00E752AB" w:rsidRPr="00911A3E">
        <w:t xml:space="preserve">Figure </w:t>
      </w:r>
      <w:r w:rsidR="00E752AB" w:rsidRPr="00DA3F73">
        <w:t>H</w:t>
      </w:r>
      <w:r w:rsidR="00E752AB" w:rsidRPr="00911A3E">
        <w:t>.</w:t>
      </w:r>
      <w:r w:rsidR="00E752AB" w:rsidRPr="00911A3E">
        <w:rPr>
          <w:noProof/>
        </w:rPr>
        <w:t>3</w:t>
      </w:r>
      <w:r w:rsidRPr="005B092F">
        <w:t>, which show the estimated new entrant rates f</w:t>
      </w:r>
      <w:r w:rsidR="00C60B5E">
        <w:t>or</w:t>
      </w:r>
      <w:r w:rsidRPr="005B092F">
        <w:t xml:space="preserve"> all disabilities in the Scheme by age. Individual rates have been fitted to produce a smooth progression by age. The solid lines show the new entrant rates for all disabilities selected at this review for the 2021-22 AFSR, whilst the dashed lines show the equivalent new entrant rates used in the 2020-21 AFSR. The purple line shows the results for males, the green line the results for females, and the </w:t>
      </w:r>
      <w:r w:rsidR="00924606">
        <w:t>dark grey</w:t>
      </w:r>
      <w:r w:rsidRPr="005B092F">
        <w:t xml:space="preserve"> line shows the combined result.</w:t>
      </w:r>
    </w:p>
    <w:p w14:paraId="7CF4D890" w14:textId="77777777" w:rsidR="00B67A4F" w:rsidRPr="005B092F" w:rsidRDefault="00C60B5E" w:rsidP="00B67A4F">
      <w:pPr>
        <w:pStyle w:val="FSRnormal"/>
        <w:rPr>
          <w:rFonts w:cs="Arial"/>
        </w:rPr>
      </w:pPr>
      <w:r>
        <w:t xml:space="preserve">These figures </w:t>
      </w:r>
      <w:r w:rsidR="00B67A4F" w:rsidRPr="005B092F">
        <w:t>show that most people enter the Scheme during the first decade of childhood. The most common age to enter the Scheme is age 4, with 3.0% of males (approximately 3,000 new entrants per 100,000 population), and 1.1% of females entering the Scheme. The n</w:t>
      </w:r>
      <w:r w:rsidR="00B67A4F" w:rsidRPr="005B092F">
        <w:rPr>
          <w:rFonts w:cs="Arial"/>
        </w:rPr>
        <w:t>ew entrant rate decreases steeply after age 4 to about age 7, where the new entrant decreases more slowly until age 18, before dropping off again until age 27. After age 27, the new entrant rates begin to increase steadily with age. This reflects increasing</w:t>
      </w:r>
      <w:r>
        <w:rPr>
          <w:rFonts w:cs="Arial"/>
        </w:rPr>
        <w:t xml:space="preserve"> rates of </w:t>
      </w:r>
      <w:r w:rsidR="00B67A4F" w:rsidRPr="005B092F">
        <w:rPr>
          <w:rFonts w:cs="Arial"/>
        </w:rPr>
        <w:t>new entr</w:t>
      </w:r>
      <w:r>
        <w:rPr>
          <w:rFonts w:cs="Arial"/>
        </w:rPr>
        <w:t>y</w:t>
      </w:r>
      <w:r w:rsidR="00B67A4F" w:rsidRPr="005B092F">
        <w:rPr>
          <w:rFonts w:cs="Arial"/>
        </w:rPr>
        <w:t xml:space="preserve"> f</w:t>
      </w:r>
      <w:r>
        <w:rPr>
          <w:rFonts w:cs="Arial"/>
        </w:rPr>
        <w:t>or</w:t>
      </w:r>
      <w:r w:rsidR="00B67A4F" w:rsidRPr="005B092F">
        <w:rPr>
          <w:rFonts w:cs="Arial"/>
        </w:rPr>
        <w:t xml:space="preserve"> most non-congenital disabilities in the</w:t>
      </w:r>
      <w:r>
        <w:rPr>
          <w:rFonts w:cs="Arial"/>
        </w:rPr>
        <w:t>se</w:t>
      </w:r>
      <w:r w:rsidR="00B67A4F" w:rsidRPr="005B092F">
        <w:rPr>
          <w:rFonts w:cs="Arial"/>
        </w:rPr>
        <w:t xml:space="preserve"> older ages.</w:t>
      </w:r>
    </w:p>
    <w:p w14:paraId="58250578" w14:textId="77777777" w:rsidR="00B67A4F" w:rsidRPr="005B092F" w:rsidRDefault="00B67A4F" w:rsidP="00B67A4F">
      <w:pPr>
        <w:pStyle w:val="FSRnormal"/>
      </w:pPr>
      <w:r w:rsidRPr="005B092F">
        <w:rPr>
          <w:rFonts w:cs="Arial"/>
        </w:rPr>
        <w:t xml:space="preserve">The new entrant rate for all disabilities is 69% higher for males compared to females. This reflects a higher new entrant rate for a number of conditions, particularly </w:t>
      </w:r>
      <w:r w:rsidR="00B45D2C">
        <w:rPr>
          <w:rFonts w:cs="Arial"/>
        </w:rPr>
        <w:t>autism</w:t>
      </w:r>
      <w:r w:rsidRPr="005B092F">
        <w:rPr>
          <w:rFonts w:cs="Arial"/>
        </w:rPr>
        <w:t xml:space="preserve">, among males. </w:t>
      </w:r>
      <w:r w:rsidR="00B45D2C">
        <w:rPr>
          <w:rFonts w:cs="Arial"/>
        </w:rPr>
        <w:t>I</w:t>
      </w:r>
      <w:r w:rsidRPr="005B092F">
        <w:rPr>
          <w:rFonts w:cs="Arial"/>
        </w:rPr>
        <w:t xml:space="preserve">n the previous </w:t>
      </w:r>
      <w:r w:rsidR="00B45D2C">
        <w:rPr>
          <w:rFonts w:cs="Arial"/>
        </w:rPr>
        <w:t xml:space="preserve">AFSR the adopted new entrant rate </w:t>
      </w:r>
      <w:r w:rsidRPr="005B092F">
        <w:rPr>
          <w:rFonts w:cs="Arial"/>
        </w:rPr>
        <w:t xml:space="preserve">was 86% higher for males </w:t>
      </w:r>
      <w:r w:rsidR="009B6520">
        <w:rPr>
          <w:rFonts w:cs="Arial"/>
        </w:rPr>
        <w:t xml:space="preserve">than for </w:t>
      </w:r>
      <w:r w:rsidRPr="005B092F">
        <w:rPr>
          <w:rFonts w:cs="Arial"/>
        </w:rPr>
        <w:t>females.</w:t>
      </w:r>
    </w:p>
    <w:p w14:paraId="1F4FC1DC" w14:textId="77777777" w:rsidR="00994C5F" w:rsidRDefault="00994C5F" w:rsidP="00994C5F">
      <w:pPr>
        <w:pStyle w:val="Caption"/>
        <w:keepNext/>
      </w:pPr>
      <w:bookmarkStart w:id="462" w:name="_Ref114825345"/>
      <w:bookmarkStart w:id="463" w:name="_Ref114559114"/>
      <w:r>
        <w:lastRenderedPageBreak/>
        <w:t>Figure H</w:t>
      </w:r>
      <w:r w:rsidR="00911A3E">
        <w:t>.</w:t>
      </w:r>
      <w:fldSimple w:instr=" SEQ Figure \* ARABIC \s 2 ">
        <w:r w:rsidR="00447AA1">
          <w:rPr>
            <w:noProof/>
          </w:rPr>
          <w:t>2</w:t>
        </w:r>
      </w:fldSimple>
      <w:bookmarkEnd w:id="462"/>
      <w:bookmarkEnd w:id="463"/>
      <w:r>
        <w:t>:</w:t>
      </w:r>
      <w:r w:rsidRPr="005B092F">
        <w:t xml:space="preserve"> Estimated new entrant rate of all disabilities for ages 0 to 18</w:t>
      </w:r>
    </w:p>
    <w:p w14:paraId="51CCD2A9" w14:textId="77777777" w:rsidR="00EF5070" w:rsidRDefault="00EF5070" w:rsidP="00252EAF">
      <w:r w:rsidRPr="00EF5070">
        <w:rPr>
          <w:noProof/>
          <w:lang w:eastAsia="en-AU"/>
        </w:rPr>
        <w:drawing>
          <wp:inline distT="0" distB="0" distL="0" distR="0" wp14:anchorId="4558DB90" wp14:editId="7CEBEACA">
            <wp:extent cx="5731510" cy="2781937"/>
            <wp:effectExtent l="0" t="0" r="2540" b="0"/>
            <wp:docPr id="225" name="Picture 225" descr="Line graph shows the estimated new entrant rate of all disability types for participants aged 0 to 18 years, for both males, females and all persons, and separately for the assumptions adopted in the 2020-21 AFSR and those assumptions proposed to be used in the 2021-22 AFSR.The new entrant rate for males adopted in the 2020-21 AFSR aged 0 is 0.0044, aged 1 is 0.0102, aged 2 is 0.0216, aged 3 is 0.03, aged 4 is 0.0348, aged 5 is 0.0225, aged 6 is 0.0078, aged 7 is 0.0105, aged 8 is 0.0061, aged 9 is 0.0036, aged 10 is 0.0034, aged 11 is 0.0031, aged 12 is 0.0029, aged 13 is 0.0026, aged 14 is 0.0023, aged 15 is 0.0021, aged 16 is 0.0018, aged 17 is 0.0017, and aged 18 is 0.0018.&#10;The new entrant rate for males adopted in the 2021-22 AFSR aged 0 is 0.0022, aged 1 is 0.0052, aged 2 is 0.0141, aged 3 is 0.025, aged 4 is 0.0299, aged 5 is 0.028, aged 6 is 0.0189, aged 7 is 0.0072, aged 8 is 0.0064, aged 9 is 0.0064, aged 10 is 0.0062, aged 11 is 0.0059, aged 12 is 0.0055, aged 13 is 0.005, aged 14 is 0.0046, aged 15 is 0.0042, aged 16 is 0.0039, aged 17 is 0.0035, and aged 18 is 0.0034.&#10;The new entrant rate for females adopted in the 2020-21 AFSR aged 0 is 0.0038, aged 1 is 0.0059, aged 2 is 0.0091, aged 3 is 0.0112, aged 4 is 0.0127, aged 5 is 0.0097, aged 6 is 0.0036, aged 7 is 0.0041, aged 8 is 0.0027, aged 9 is 0.002, aged 10 is 0.0019, aged 11 is 0.0018, aged 12 is 0.0017, aged 13 is 0.0016, aged 14 is 0.0016, aged 15 is 0.0015, aged 16 is 0.0014, aged 17 is 0.0014, and aged 18 is 0.0014.&#10;The new entrant rate for females adopted in the 2021-22 AFSR aged 0 is 0.0021, aged 1 is 0.0043, aged 2 is 0.007, aged 3 is 0.0097, aged 4 is 0.0112, aged 5 is 0.0117, aged 6 is 0.0083, aged 7 is 0.0034, aged 8 is 0.0033, aged 9 is 0.0035, aged 10 is 0.0036, aged 11 is 0.0036, aged 12 is 0.0035, aged 13 is 0.0034, aged 14 is 0.0033, aged 15 is 0.0031, aged 16 is 0.003, aged 17 is 0.0028, and aged 18 is 0.0025.&#10;The new entrant rate for all persons adopted in the 2020-21 AFSR aged 0 is 0.0041, aged 1 is 0.0081, aged 2 is 0.0155, aged 3 is 0.0209, aged 4 is 0.024, aged 5 is 0.0163, aged 6 is 0.0057, aged 7 is 0.0074, aged 8 is 0.0044, aged 9 is 0.0029, aged 10 is 0.0027, aged 11 is 0.0025, aged 12 is 0.0023, aged 13 is 0.0021, aged 14 is 0.002, aged 15 is 0.0018, aged 16 is 0.0016, aged 17 is 0.0016, and aged 18 is 0.0016.&#10;The new entrant rate for all persons adopted in the 2021-22 AFSR aged 0 is 0.0021, aged 1 is 0.0048, aged 2 is 0.0107, aged 3 is 0.0176, aged 4 is 0.0208, aged 5 is 0.0201, aged 6 is 0.0137, aged 7 is 0.0054, aged 8 is 0.0049, aged 9 is 0.005, aged 10 is 0.0049, aged 11 is 0.0048, aged 12 is 0.0045, aged 13 is 0.0042, aged 14 is 0.0039, aged 15 is 0.0037, aged 16 is 0.0034, aged 17 is 0.0032, and aged 18 is 0.003.&#10;" title="Figure H2: Estimated new entrant rate of all disabilities for ages 0 to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731510" cy="2781937"/>
                    </a:xfrm>
                    <a:prstGeom prst="rect">
                      <a:avLst/>
                    </a:prstGeom>
                    <a:noFill/>
                    <a:ln>
                      <a:noFill/>
                    </a:ln>
                  </pic:spPr>
                </pic:pic>
              </a:graphicData>
            </a:graphic>
          </wp:inline>
        </w:drawing>
      </w:r>
    </w:p>
    <w:p w14:paraId="39BA9102" w14:textId="77777777" w:rsidR="00B67A4F" w:rsidRDefault="00B67A4F" w:rsidP="00B67A4F">
      <w:pPr>
        <w:pStyle w:val="FSRnormal"/>
        <w:rPr>
          <w:noProof/>
          <w:lang w:eastAsia="en-AU"/>
        </w:rPr>
      </w:pPr>
    </w:p>
    <w:p w14:paraId="4559DDFB" w14:textId="77777777" w:rsidR="00911A3E" w:rsidRDefault="00911A3E" w:rsidP="00DA3F73">
      <w:pPr>
        <w:pStyle w:val="Caption"/>
        <w:keepNext/>
      </w:pPr>
      <w:bookmarkStart w:id="464" w:name="_Ref114825353"/>
      <w:r w:rsidRPr="00911A3E">
        <w:t xml:space="preserve">Figure </w:t>
      </w:r>
      <w:r w:rsidRPr="00DA3F73">
        <w:t>H</w:t>
      </w:r>
      <w:r w:rsidRPr="00911A3E">
        <w:t>.</w:t>
      </w:r>
      <w:fldSimple w:instr=" SEQ Figure \* ARABIC \s 2 ">
        <w:r w:rsidR="00447AA1">
          <w:rPr>
            <w:noProof/>
          </w:rPr>
          <w:t>3</w:t>
        </w:r>
      </w:fldSimple>
      <w:bookmarkEnd w:id="464"/>
      <w:r w:rsidRPr="00DA3F73">
        <w:t>: Estimated new entrant rate of all disabilities for ages 19 to 64</w:t>
      </w:r>
    </w:p>
    <w:p w14:paraId="23A5C160" w14:textId="77777777" w:rsidR="00EF5070" w:rsidRDefault="00EF5070" w:rsidP="00252EAF">
      <w:r w:rsidRPr="00EF5070">
        <w:rPr>
          <w:noProof/>
          <w:lang w:eastAsia="en-AU"/>
        </w:rPr>
        <w:drawing>
          <wp:inline distT="0" distB="0" distL="0" distR="0" wp14:anchorId="019B5287" wp14:editId="3EB9C45C">
            <wp:extent cx="5731510" cy="3179350"/>
            <wp:effectExtent l="0" t="0" r="2540" b="2540"/>
            <wp:docPr id="226" name="Picture 226" descr="The graph shows the estimated new entrant rate of all disability types for participants aged 19 to 64 years, for both males, females and all persons, and separately for the assumptions adopted in the 2020-21 Annual Financial Sustainability Report and those assumptions proposed to be used in the 2021-22 Annual Sustainability Report. The new entrant rate for males adopted in the 2020-21 Annual Financial Sustainability Report aged 19 is 0.0012, aged 22 is 0.0007, aged 25 is 0.0006, aged 28 is 0.0006, aged 31 is 0.0007, aged 34 is 0.0008, aged 37 is 0.0009, aged 40 is 0.0009, aged 43 is 0.001, aged 46 is 0.0012, aged 49 is 0.0013, aged 52 is 0.0015, aged 55 is 0.0017, aged 58 is 0.0021, aged 61 is 0.0025, aged 64 is 0.003.&#10;The new entrant rate for males adopted in the 2021-22 Annual Financial Sustainability Report aged 19 is 0.0021, aged 22 is 0.0011, aged 25 is 0.0009, aged 28 is 0.0009, aged 31 is 0.0009, aged 34 is 0.001, aged 37 is 0.001, aged 40 is 0.0011, aged 43 is 0.0012, aged 46 is 0.0012, aged 49 is 0.0013, aged 52 is 0.0015, aged 55 is 0.0017, aged 58 is 0.002, aged 61 is 0.0024, aged 64 is 0.003.&#10;The new entrant rate for females adopted in the 2020-21 Annual Financial Sustainability Report aged 19 is 0.0009, aged 22 is 0.0005, aged 25 is 0.0005, aged 28 is 0.0005, aged 31 is 0.0006, aged 34 is 0.0007, aged 37 is 0.0008, aged 40 is 0.0009, aged 43 is 0.001, aged 46 is 0.0011, aged 49 is 0.0012, aged 52 is 0.0014, aged 55 is 0.0015, aged 58 is 0.0017, aged 61 is 0.0019, aged 64 is 0.0022.&#10;The new entrant rate for females adopted in the 2021-22 Annual Financial Sustainability Report aged 19 is 0.0015, aged 22 is 0.0009, aged 25 is 0.0008, aged 28 is 0.0008, aged 31 is 0.0008, aged 34 is 0.0009, aged 37 is 0.001, aged 40 is 0.0011, aged 43 is 0.0012, aged 46 is 0.0012, aged 49 is 0.0013, aged 52 is 0.0015, aged 55 is 0.0016, aged 58 is 0.0019, aged 61 is 0.0021, aged 64 is 0.0025.&#10;The new entrant rate adopted for all persons in the 2020-21 Annual Financial Sustainability Report aged 19 is 0.0011, aged 22 is 0.0006, aged 25 is 0.0005, aged 28 is 0.0006, aged 31 is 0.0006, aged 34 is 0.0007, aged 37 is 0.0008, aged 40 is 0.0009, aged 43 is 0.001, aged 46 is 0.0011, aged 49 is 0.0013, aged 52 is 0.0014, aged 55 is 0.0016, aged 58 is 0.0019, aged 61 is 0.0022, aged 64 is 0.0026.&#10;The new entrant rate adopted for all persons in the 2021-22 Annual Financial Sustainability Report aged 19 is 0.0018, aged 22 is 0.001, aged 25 is 0.0008, aged 28 is 0.0008, aged 31 is 0.0009, aged 34 is 0.0009, aged 37 is 0.001, aged 40 is 0.0011, aged 43 is 0.0012, aged 46 is 0.0012, aged 49 is 0.0013, aged 52 is 0.0015, aged 55 is 0.0016, aged 58 is 0.0019, aged 61 is 0.0023, aged 64 is 0.0027.&#10;" title="Figure H3: Estimated new entrant rate of all disabilities for ages 19 to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731510" cy="3179350"/>
                    </a:xfrm>
                    <a:prstGeom prst="rect">
                      <a:avLst/>
                    </a:prstGeom>
                    <a:noFill/>
                    <a:ln>
                      <a:noFill/>
                    </a:ln>
                  </pic:spPr>
                </pic:pic>
              </a:graphicData>
            </a:graphic>
          </wp:inline>
        </w:drawing>
      </w:r>
    </w:p>
    <w:p w14:paraId="28F83587" w14:textId="77777777" w:rsidR="00B67A4F" w:rsidRDefault="00B67A4F" w:rsidP="00B67A4F">
      <w:pPr>
        <w:pStyle w:val="FSRnormal"/>
      </w:pPr>
    </w:p>
    <w:p w14:paraId="552A319E" w14:textId="77777777" w:rsidR="00B67A4F" w:rsidRDefault="00B67A4F" w:rsidP="00DA3F73">
      <w:pPr>
        <w:pStyle w:val="FSRHeading4"/>
      </w:pPr>
      <w:r>
        <w:t>Estimated new entrant rates compared to recent experience</w:t>
      </w:r>
    </w:p>
    <w:p w14:paraId="4EBE4F5E" w14:textId="77777777" w:rsidR="00B67A4F" w:rsidRPr="00B67A4F" w:rsidRDefault="00B67A4F">
      <w:pPr>
        <w:pStyle w:val="FSRnormal"/>
      </w:pPr>
      <w:r w:rsidRPr="00B67A4F">
        <w:t xml:space="preserve">The rate of new entrants to the Scheme continues to be very high, even in the geographical areas where the Scheme has been operating for several years. This can be seen in </w:t>
      </w:r>
      <w:r w:rsidR="00E752AB">
        <w:t>Figure H.</w:t>
      </w:r>
      <w:r w:rsidR="00E752AB">
        <w:rPr>
          <w:noProof/>
        </w:rPr>
        <w:t>4</w:t>
      </w:r>
      <w:r w:rsidRPr="00B67A4F">
        <w:t xml:space="preserve">, which shows the observed new entrant rate by phasing financial year as well as the </w:t>
      </w:r>
      <w:r w:rsidR="00B45D2C">
        <w:t xml:space="preserve">long-term </w:t>
      </w:r>
      <w:r w:rsidRPr="00B67A4F">
        <w:t xml:space="preserve">new entrant rate assumptions adopted at the previous and current new entrant </w:t>
      </w:r>
      <w:r w:rsidRPr="00B67A4F">
        <w:lastRenderedPageBreak/>
        <w:t xml:space="preserve">reviews. As an example, the rate of new entrants in geographical areas that commenced phasing into the Scheme in the 2014 financial phasing year was 380 participants per 100,000 population for the 12 months ended 31 March 2022. This is 40% higher than the </w:t>
      </w:r>
      <w:r w:rsidR="00882A7C">
        <w:t>long-</w:t>
      </w:r>
      <w:r w:rsidR="00924606">
        <w:t xml:space="preserve">term </w:t>
      </w:r>
      <w:r w:rsidRPr="00B67A4F">
        <w:t>new entrant projection assumption used in the 2020-21 AFSR, and 23% higher than the long</w:t>
      </w:r>
      <w:r w:rsidR="00924606">
        <w:t>-</w:t>
      </w:r>
      <w:r w:rsidRPr="00B67A4F">
        <w:t xml:space="preserve">term rate </w:t>
      </w:r>
      <w:r w:rsidR="00B45D2C">
        <w:t xml:space="preserve">adopted </w:t>
      </w:r>
      <w:r w:rsidRPr="00B67A4F">
        <w:t xml:space="preserve">in this review. </w:t>
      </w:r>
      <w:r w:rsidR="00924606">
        <w:t xml:space="preserve">Although </w:t>
      </w:r>
      <w:r w:rsidR="00B45D2C">
        <w:t xml:space="preserve">some of the </w:t>
      </w:r>
      <w:r w:rsidR="00924606">
        <w:t xml:space="preserve">new entrants during the </w:t>
      </w:r>
      <w:r w:rsidR="00B45D2C">
        <w:t xml:space="preserve">past </w:t>
      </w:r>
      <w:r w:rsidR="00924606">
        <w:t>year would be classified as PUN, t</w:t>
      </w:r>
      <w:r w:rsidRPr="00B67A4F">
        <w:t>his</w:t>
      </w:r>
      <w:r w:rsidR="00B45D2C">
        <w:t xml:space="preserve"> variance</w:t>
      </w:r>
      <w:r w:rsidRPr="00B67A4F">
        <w:t xml:space="preserve"> indicates that there remains upside risk in the new entrant assumption (that is, the risk that participant numbers will be higher).</w:t>
      </w:r>
    </w:p>
    <w:p w14:paraId="75F7A23C" w14:textId="77777777" w:rsidR="00994C5F" w:rsidRDefault="00994C5F" w:rsidP="00994C5F">
      <w:pPr>
        <w:pStyle w:val="Caption"/>
        <w:keepNext/>
      </w:pPr>
      <w:bookmarkStart w:id="465" w:name="_Ref114555311"/>
      <w:r>
        <w:t>Figure H</w:t>
      </w:r>
      <w:r w:rsidR="00911A3E">
        <w:t>.</w:t>
      </w:r>
      <w:fldSimple w:instr=" SEQ Figure \* ARABIC \s 2 ">
        <w:r w:rsidR="00447AA1">
          <w:rPr>
            <w:noProof/>
          </w:rPr>
          <w:t>4</w:t>
        </w:r>
      </w:fldSimple>
      <w:bookmarkEnd w:id="465"/>
      <w:r>
        <w:t>:</w:t>
      </w:r>
      <w:r w:rsidRPr="005B092F">
        <w:t xml:space="preserve"> Observed new entrant rate by phasing financial year and </w:t>
      </w:r>
      <w:r>
        <w:t xml:space="preserve">long-term </w:t>
      </w:r>
      <w:r w:rsidRPr="005B092F">
        <w:t>new entrant rate assumptions estimated at previous and current new entrant reviews</w:t>
      </w:r>
      <w:r w:rsidRPr="005B092F">
        <w:rPr>
          <w:rStyle w:val="FootnoteReference"/>
          <w:b w:val="0"/>
        </w:rPr>
        <w:footnoteReference w:id="156"/>
      </w:r>
    </w:p>
    <w:p w14:paraId="3817D6E0" w14:textId="77777777" w:rsidR="00B67A4F" w:rsidRPr="005B092F" w:rsidRDefault="00895BD2" w:rsidP="00B67A4F">
      <w:pPr>
        <w:pStyle w:val="FSRnormal"/>
      </w:pPr>
      <w:r>
        <w:rPr>
          <w:noProof/>
          <w:lang w:eastAsia="en-AU"/>
        </w:rPr>
        <w:drawing>
          <wp:inline distT="0" distB="0" distL="0" distR="0" wp14:anchorId="77AEC38E" wp14:editId="0691047E">
            <wp:extent cx="5724000" cy="2968236"/>
            <wp:effectExtent l="0" t="0" r="0" b="3810"/>
            <wp:docPr id="450" name="Picture 450" descr="The graph shows the observed new entrant rate by phasing financial year and future long-term new entrant rate assumptions estimated at previous and current new entrant reviews. The observed new entrant rate by financial phasing year is 380 participants (per 100,000 population) in 2014, 314 participants (per 100,000 population) in 2015, 324 participants (per 100,000 population) in 2017, 330 participants (per 100,000 population) in 2018, 375 participants (per 100,000 population) in 2019, 291 participants (per 100,000 population) in 2020.&#10;The estimated new entrant assumption at 31 December 2020 is 272 participants (per 100,000 population).&#10;The estimated new entrant assumption at 31 March 2022 is 308 participants (per 100,000 population).&#10;" title="Figure H.4: Observed new entrant rate by phasing financial year and long-term new entrant rate assumptions estimated at previous and current new entrant re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24000" cy="2968236"/>
                    </a:xfrm>
                    <a:prstGeom prst="rect">
                      <a:avLst/>
                    </a:prstGeom>
                    <a:noFill/>
                  </pic:spPr>
                </pic:pic>
              </a:graphicData>
            </a:graphic>
          </wp:inline>
        </w:drawing>
      </w:r>
    </w:p>
    <w:p w14:paraId="059B2B9E" w14:textId="77777777" w:rsidR="00B67A4F" w:rsidRPr="005B092F" w:rsidRDefault="00B67A4F" w:rsidP="00B67A4F">
      <w:pPr>
        <w:pStyle w:val="FSRnormal"/>
        <w:rPr>
          <w:rFonts w:cs="Arial"/>
        </w:rPr>
      </w:pPr>
      <w:r w:rsidRPr="005B092F">
        <w:rPr>
          <w:rFonts w:cs="Arial"/>
        </w:rPr>
        <w:t xml:space="preserve">The adopted </w:t>
      </w:r>
      <w:r>
        <w:rPr>
          <w:rFonts w:cs="Arial"/>
        </w:rPr>
        <w:t xml:space="preserve">long-term </w:t>
      </w:r>
      <w:r w:rsidRPr="005B092F">
        <w:rPr>
          <w:rFonts w:cs="Arial"/>
        </w:rPr>
        <w:t>new entrant rate assumption ha</w:t>
      </w:r>
      <w:r w:rsidR="009453CC">
        <w:rPr>
          <w:rFonts w:cs="Arial"/>
        </w:rPr>
        <w:t>s</w:t>
      </w:r>
      <w:r w:rsidRPr="005B092F">
        <w:rPr>
          <w:rFonts w:cs="Arial"/>
        </w:rPr>
        <w:t xml:space="preserve"> increased significantly over the </w:t>
      </w:r>
      <w:r w:rsidR="009453CC">
        <w:rPr>
          <w:rFonts w:cs="Arial"/>
        </w:rPr>
        <w:t>past several AFSRs</w:t>
      </w:r>
      <w:r w:rsidRPr="005B092F">
        <w:rPr>
          <w:rFonts w:cs="Arial"/>
        </w:rPr>
        <w:t xml:space="preserve">, in response to observed </w:t>
      </w:r>
      <w:r w:rsidR="009453CC">
        <w:rPr>
          <w:rFonts w:cs="Arial"/>
        </w:rPr>
        <w:t xml:space="preserve">new entrant </w:t>
      </w:r>
      <w:r w:rsidRPr="005B092F">
        <w:rPr>
          <w:rFonts w:cs="Arial"/>
        </w:rPr>
        <w:t xml:space="preserve">experience </w:t>
      </w:r>
      <w:r w:rsidR="009453CC">
        <w:rPr>
          <w:rFonts w:cs="Arial"/>
        </w:rPr>
        <w:t xml:space="preserve">remaining </w:t>
      </w:r>
      <w:r w:rsidRPr="005B092F">
        <w:rPr>
          <w:rFonts w:cs="Arial"/>
        </w:rPr>
        <w:t xml:space="preserve">higher than previously assumed. This higher than expected new entrant experience was observed in </w:t>
      </w:r>
      <w:r w:rsidR="009453CC">
        <w:rPr>
          <w:rFonts w:cs="Arial"/>
        </w:rPr>
        <w:t xml:space="preserve">all </w:t>
      </w:r>
      <w:r w:rsidRPr="005B092F">
        <w:rPr>
          <w:rFonts w:cs="Arial"/>
        </w:rPr>
        <w:t xml:space="preserve">geographic areas </w:t>
      </w:r>
      <w:r w:rsidR="009453CC">
        <w:rPr>
          <w:rFonts w:cs="Arial"/>
        </w:rPr>
        <w:t xml:space="preserve">including those </w:t>
      </w:r>
      <w:r w:rsidRPr="005B092F">
        <w:rPr>
          <w:rFonts w:cs="Arial"/>
        </w:rPr>
        <w:t xml:space="preserve">which </w:t>
      </w:r>
      <w:r w:rsidR="009453CC">
        <w:rPr>
          <w:rFonts w:cs="Arial"/>
        </w:rPr>
        <w:t xml:space="preserve">were earliest in </w:t>
      </w:r>
      <w:r w:rsidRPr="005B092F">
        <w:rPr>
          <w:rFonts w:cs="Arial"/>
        </w:rPr>
        <w:t>phas</w:t>
      </w:r>
      <w:r w:rsidR="009453CC">
        <w:rPr>
          <w:rFonts w:cs="Arial"/>
        </w:rPr>
        <w:t>ing</w:t>
      </w:r>
      <w:r w:rsidRPr="005B092F">
        <w:rPr>
          <w:rFonts w:cs="Arial"/>
        </w:rPr>
        <w:t xml:space="preserve"> into the Scheme,</w:t>
      </w:r>
      <w:r w:rsidR="009453CC">
        <w:rPr>
          <w:rFonts w:cs="Arial"/>
        </w:rPr>
        <w:t xml:space="preserve"> </w:t>
      </w:r>
      <w:r w:rsidRPr="005B092F">
        <w:rPr>
          <w:rFonts w:cs="Arial"/>
        </w:rPr>
        <w:t xml:space="preserve">and which therefore would be expected to be </w:t>
      </w:r>
      <w:r w:rsidR="009453CC">
        <w:rPr>
          <w:rFonts w:cs="Arial"/>
        </w:rPr>
        <w:t xml:space="preserve">the most </w:t>
      </w:r>
      <w:r w:rsidRPr="005B092F">
        <w:rPr>
          <w:rFonts w:cs="Arial"/>
        </w:rPr>
        <w:t>representative of longer</w:t>
      </w:r>
      <w:r w:rsidR="00796DB5">
        <w:rPr>
          <w:rFonts w:cs="Arial"/>
        </w:rPr>
        <w:t>-</w:t>
      </w:r>
      <w:r w:rsidRPr="005B092F">
        <w:rPr>
          <w:rFonts w:cs="Arial"/>
        </w:rPr>
        <w:t>term expected new entrant experience.</w:t>
      </w:r>
    </w:p>
    <w:p w14:paraId="2CE4F084" w14:textId="77777777" w:rsidR="003867C4" w:rsidRDefault="003867C4">
      <w:pPr>
        <w:spacing w:after="160" w:line="259" w:lineRule="auto"/>
        <w:rPr>
          <w:b/>
          <w:color w:val="6B2976"/>
          <w:sz w:val="25"/>
        </w:rPr>
      </w:pPr>
      <w:r>
        <w:br w:type="page"/>
      </w:r>
    </w:p>
    <w:p w14:paraId="65EBC08F" w14:textId="77777777" w:rsidR="00B67A4F" w:rsidRPr="005B092F" w:rsidRDefault="00D61322" w:rsidP="00DA3F73">
      <w:pPr>
        <w:pStyle w:val="FSRHeading4"/>
      </w:pPr>
      <w:r w:rsidRPr="00D61322">
        <w:lastRenderedPageBreak/>
        <w:t>Participation rates projected to increase primarily due to autism</w:t>
      </w:r>
    </w:p>
    <w:p w14:paraId="2047082A" w14:textId="77777777" w:rsidR="00D61322" w:rsidRPr="00374586" w:rsidRDefault="00D61322" w:rsidP="00D61322">
      <w:pPr>
        <w:pStyle w:val="FSRnormal"/>
      </w:pPr>
      <w:r w:rsidRPr="005B092F">
        <w:t xml:space="preserve">Participation rates refer to the proportion of the general population that have a disability and are accessing Scheme supports. </w:t>
      </w:r>
      <w:r w:rsidR="00E752AB">
        <w:t>Figure H.</w:t>
      </w:r>
      <w:r w:rsidR="00E752AB">
        <w:rPr>
          <w:noProof/>
        </w:rPr>
        <w:t>5</w:t>
      </w:r>
      <w:r w:rsidR="00994C5F">
        <w:t xml:space="preserve"> </w:t>
      </w:r>
      <w:r w:rsidRPr="005B092F">
        <w:t xml:space="preserve">shows the implied participation rates for people aged 0 to 64 years. </w:t>
      </w:r>
      <w:r w:rsidR="00BC4110">
        <w:t xml:space="preserve">The chart shows </w:t>
      </w:r>
      <w:r w:rsidRPr="005B092F">
        <w:t xml:space="preserve">that the participation rate is projected to increase significantly over the next few years, with a 41% increase in the participation rate expected over the 5 year period between 30 June 2022 (2.43% </w:t>
      </w:r>
      <w:r w:rsidRPr="00374586">
        <w:t>participation rate) and 30 June 2027 (3.42% participation rate). Over the 5 year period between 30 June 2027 and 30 June 2032, the participation rate is expected to increase a further 23% to 4.21%. These participation rates imply that about 1 in 41 people in Australia aged between 0 and 64 years w</w:t>
      </w:r>
      <w:r w:rsidR="00E12FAB">
        <w:t xml:space="preserve">as a </w:t>
      </w:r>
      <w:r w:rsidRPr="00374586">
        <w:t>participant in the NDIS at 30 June 2022, and by 30 June 2032 this will increase to about 1 in 24 people.</w:t>
      </w:r>
    </w:p>
    <w:p w14:paraId="60110168" w14:textId="77777777" w:rsidR="00994C5F" w:rsidRDefault="00994C5F" w:rsidP="00994C5F">
      <w:pPr>
        <w:pStyle w:val="Caption"/>
        <w:keepNext/>
      </w:pPr>
      <w:bookmarkStart w:id="466" w:name="_Ref114555508"/>
      <w:r>
        <w:t>Figure H</w:t>
      </w:r>
      <w:r w:rsidR="00911A3E">
        <w:t>.</w:t>
      </w:r>
      <w:fldSimple w:instr=" SEQ Figure \* ARABIC \s 2 ">
        <w:r w:rsidR="00447AA1">
          <w:rPr>
            <w:noProof/>
          </w:rPr>
          <w:t>5</w:t>
        </w:r>
      </w:fldSimple>
      <w:bookmarkEnd w:id="466"/>
      <w:r>
        <w:t>:</w:t>
      </w:r>
      <w:r w:rsidRPr="00374586">
        <w:t xml:space="preserve"> Implied participation rates for people aged 0 to 64 years</w:t>
      </w:r>
    </w:p>
    <w:p w14:paraId="076FDDEF" w14:textId="77777777" w:rsidR="005C4DE1" w:rsidRDefault="00083B63" w:rsidP="00F830E6">
      <w:r>
        <w:rPr>
          <w:noProof/>
          <w:lang w:eastAsia="en-AU"/>
        </w:rPr>
        <w:drawing>
          <wp:inline distT="0" distB="0" distL="0" distR="0" wp14:anchorId="04660A74" wp14:editId="59ABABDA">
            <wp:extent cx="5724000" cy="3278465"/>
            <wp:effectExtent l="0" t="0" r="0" b="0"/>
            <wp:docPr id="460" name="Picture 460" descr="The implied participation rates generated by the 2021-22 AFSR model for people aged 0 to 64 years is 2.43% as at 30 June 2022, 3.42% as at 30 June 2027, and 4.21% as at 30 June 2032.&#10;" title="Figure H.5: Implied participation rates for people aged 0 to 64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24000" cy="3278465"/>
                    </a:xfrm>
                    <a:prstGeom prst="rect">
                      <a:avLst/>
                    </a:prstGeom>
                    <a:noFill/>
                  </pic:spPr>
                </pic:pic>
              </a:graphicData>
            </a:graphic>
          </wp:inline>
        </w:drawing>
      </w:r>
    </w:p>
    <w:p w14:paraId="69A1C38F" w14:textId="77777777" w:rsidR="00D61322" w:rsidRPr="00374586" w:rsidRDefault="00E752AB" w:rsidP="00D61322">
      <w:pPr>
        <w:pStyle w:val="FSRnormal"/>
      </w:pPr>
      <w:r>
        <w:t>Figure H.</w:t>
      </w:r>
      <w:r>
        <w:rPr>
          <w:noProof/>
        </w:rPr>
        <w:t>6</w:t>
      </w:r>
      <w:r w:rsidR="00D61322" w:rsidRPr="00374586">
        <w:t xml:space="preserve"> shows the implied participation rates for major disability groups </w:t>
      </w:r>
      <w:r w:rsidR="000A1ABC">
        <w:t>at this review</w:t>
      </w:r>
      <w:r w:rsidR="00D61322" w:rsidRPr="00374586">
        <w:t>, for people aged 0 to 64 years. This chart highlights that the main driver of the increase in participation rate is autism, which increases from a participation rate of 0.85% at 30 June 2022 to 1.4</w:t>
      </w:r>
      <w:r w:rsidR="00720D1A">
        <w:t>7</w:t>
      </w:r>
      <w:r w:rsidR="00D61322" w:rsidRPr="00374586">
        <w:t>% at 30 June 2027 (a 7</w:t>
      </w:r>
      <w:r w:rsidR="00720D1A">
        <w:t>3</w:t>
      </w:r>
      <w:r w:rsidR="00D61322" w:rsidRPr="00374586">
        <w:t>% increase over this 5 year period), and to a participation rate of 2.0</w:t>
      </w:r>
      <w:r w:rsidR="00720D1A">
        <w:t>3</w:t>
      </w:r>
      <w:r w:rsidR="00D61322" w:rsidRPr="00374586">
        <w:t>% at 30 June 203</w:t>
      </w:r>
      <w:r w:rsidR="00E12FAB">
        <w:t>2</w:t>
      </w:r>
      <w:r w:rsidR="00D61322" w:rsidRPr="00374586">
        <w:t xml:space="preserve"> (a 38% increase over this 5 year period). These participation rates imply that about 1 in 118 people in Australia aged between 0 and 64 years w</w:t>
      </w:r>
      <w:r w:rsidR="00E12FAB">
        <w:t>as</w:t>
      </w:r>
      <w:r w:rsidR="00D61322" w:rsidRPr="00374586">
        <w:t xml:space="preserve"> a participant of the NDIS with a primary disability of autism at 30 June 2022, and by 30 June 2032 this will </w:t>
      </w:r>
      <w:r w:rsidR="00A416C7">
        <w:t xml:space="preserve">increase to about </w:t>
      </w:r>
      <w:r w:rsidR="00E27C92" w:rsidRPr="00374586">
        <w:t xml:space="preserve">1 in 49 </w:t>
      </w:r>
      <w:r w:rsidR="00E27C92">
        <w:t>p</w:t>
      </w:r>
      <w:r w:rsidR="00D61322" w:rsidRPr="00374586">
        <w:t>eople.</w:t>
      </w:r>
    </w:p>
    <w:p w14:paraId="7DD82574" w14:textId="77777777" w:rsidR="00994C5F" w:rsidRDefault="00994C5F" w:rsidP="00994C5F">
      <w:pPr>
        <w:pStyle w:val="Caption"/>
        <w:keepNext/>
      </w:pPr>
      <w:bookmarkStart w:id="467" w:name="_Ref114555484"/>
      <w:r>
        <w:lastRenderedPageBreak/>
        <w:t>Figure H</w:t>
      </w:r>
      <w:r w:rsidR="00447AA1">
        <w:t>.</w:t>
      </w:r>
      <w:fldSimple w:instr=" SEQ Figure \* ARABIC \s 2 ">
        <w:r w:rsidR="00447AA1">
          <w:rPr>
            <w:noProof/>
          </w:rPr>
          <w:t>6</w:t>
        </w:r>
      </w:fldSimple>
      <w:bookmarkEnd w:id="467"/>
      <w:r>
        <w:t>:</w:t>
      </w:r>
      <w:r w:rsidRPr="00374586">
        <w:t xml:space="preserve"> Implied participation rates for major disability groups for people aged 0 to 64 years</w:t>
      </w:r>
    </w:p>
    <w:p w14:paraId="6821D18B" w14:textId="77777777" w:rsidR="005C4DE1" w:rsidRDefault="00083B63" w:rsidP="00D61322">
      <w:pPr>
        <w:pStyle w:val="FSRnormal"/>
      </w:pPr>
      <w:r>
        <w:rPr>
          <w:noProof/>
          <w:lang w:eastAsia="en-AU"/>
        </w:rPr>
        <w:drawing>
          <wp:inline distT="0" distB="0" distL="0" distR="0" wp14:anchorId="29ECAE60" wp14:editId="77EA6D17">
            <wp:extent cx="5724000" cy="2192523"/>
            <wp:effectExtent l="0" t="0" r="0" b="0"/>
            <wp:docPr id="461" name="Picture 461" descr="The implied participantion rates for autism generated by the 2021-22 AFSR model for people aged 0 to 64 years, are 0.85% as at 30 June 2022, 1.47% as at 30 June 2027, and 2.03% as at 30 June 2032.&#10;The implied participantion rates for intellectual disability generated by the 2021-22 AFSR model for people aged 0 to 64 years, are 0.43% as at 30 June 2022, 0.52% as at 30 June 2027, and 0.61% as at 30 June 2032.&#10;The implied participantion rates for psychosocial disability generated by the 2021-22 AFSR model for people aged 0 to 64 years, are 0.26% as at 30 June 2022, 0.36% as at 30 June 2027, and 0.42% as at 30 June 2032.&#10;The implied participantion rates for sensory disabilities generated by the 2021-22 AFSR model for people aged 0 to 64 years, are 0.26% as at 30 June 2022, 0.31% as at 30 June 2027, and 0.35% as at 30 June 2032.&#10;The implied participantion rates for other disabilities generated by the 2021-22 AFSR model for people aged 0 to 64 years, are 0.65% as at 30 June 2022, 0.79% as at 30 June 2027, and 0.84% as at 30 June 2032." title="Figure H.6: Implied participation rates for major disability groups for people aged 0 to 64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724000" cy="2192523"/>
                    </a:xfrm>
                    <a:prstGeom prst="rect">
                      <a:avLst/>
                    </a:prstGeom>
                    <a:noFill/>
                  </pic:spPr>
                </pic:pic>
              </a:graphicData>
            </a:graphic>
          </wp:inline>
        </w:drawing>
      </w:r>
    </w:p>
    <w:p w14:paraId="7470ABD1" w14:textId="77777777" w:rsidR="00D61322" w:rsidRPr="00374586" w:rsidRDefault="00E752AB" w:rsidP="00D61322">
      <w:pPr>
        <w:pStyle w:val="FSRnormal"/>
      </w:pPr>
      <w:r>
        <w:t>Figure H.</w:t>
      </w:r>
      <w:r>
        <w:rPr>
          <w:noProof/>
        </w:rPr>
        <w:t>7</w:t>
      </w:r>
      <w:r w:rsidR="00D61322" w:rsidRPr="00374586">
        <w:t xml:space="preserve"> shows the implied participation rates </w:t>
      </w:r>
      <w:r w:rsidR="00611F90">
        <w:t>at this review</w:t>
      </w:r>
      <w:r w:rsidR="00D61322" w:rsidRPr="00374586">
        <w:t>, for people aged 0 to 64 years. This chart highlights that the main driver of the increase in participation rate between 30 June 2022 and 30 June 2032 are participants between the ages of 7 and 24. These participation rates imply that about 1 in 19 people in Australia aged between 7 and 14 years w</w:t>
      </w:r>
      <w:r w:rsidR="00720D1A">
        <w:t>as</w:t>
      </w:r>
      <w:r w:rsidR="00D61322" w:rsidRPr="00374586">
        <w:t xml:space="preserve"> a participant of the NDIS at 30 June 2022, and by 30 June 2032 this will become approximately 1 in 12 people. </w:t>
      </w:r>
    </w:p>
    <w:p w14:paraId="217C6777" w14:textId="77777777" w:rsidR="00994C5F" w:rsidRDefault="00994C5F" w:rsidP="00994C5F">
      <w:pPr>
        <w:pStyle w:val="Caption"/>
        <w:keepNext/>
      </w:pPr>
      <w:bookmarkStart w:id="468" w:name="_Ref114555471"/>
      <w:r>
        <w:t>Figure H</w:t>
      </w:r>
      <w:r w:rsidR="00447AA1">
        <w:t>.</w:t>
      </w:r>
      <w:fldSimple w:instr=" SEQ Figure \* ARABIC \s 2 ">
        <w:r w:rsidR="00447AA1">
          <w:rPr>
            <w:noProof/>
          </w:rPr>
          <w:t>7</w:t>
        </w:r>
      </w:fldSimple>
      <w:bookmarkEnd w:id="468"/>
      <w:r>
        <w:t>:</w:t>
      </w:r>
      <w:r w:rsidRPr="00374586">
        <w:t xml:space="preserve"> Implied participation rates for all disability types by age band </w:t>
      </w:r>
    </w:p>
    <w:p w14:paraId="3C9A017E" w14:textId="77777777" w:rsidR="005977AE" w:rsidRDefault="00083B63" w:rsidP="00D61322">
      <w:pPr>
        <w:pStyle w:val="FSRnormal"/>
      </w:pPr>
      <w:r>
        <w:rPr>
          <w:noProof/>
          <w:lang w:eastAsia="en-AU"/>
        </w:rPr>
        <w:drawing>
          <wp:inline distT="0" distB="0" distL="0" distR="0" wp14:anchorId="776811D9" wp14:editId="6E81B3D5">
            <wp:extent cx="5724000" cy="2448279"/>
            <wp:effectExtent l="0" t="0" r="0" b="9525"/>
            <wp:docPr id="462" name="Picture 462" descr="The implied participation rates for all disability types by age band generated by the 2021-22 AFSR model for people aged 0 to 64 years, is as follows as at 30 June 2022:&#10;For age group 0 to 6 the participation rate is 4.77%, for age group 7 to 14 the participation rate is 5.33%, for age group 15 to 18 the participation rate is 3.57%, for age group 19 to 24 the participation rate is 2.21%, for age group 25 to 34 the participation rate is 1.21%, for age group 35 to 44 the participation rate is 1.2%, for age group 45 to 54 the participation rate is 1.53%, and for age group 55 to 64 the participation rate is 2%.&#10;The implied participation rates for all disability types by age band generated by the 2021-22 AFSR model for people aged 0 to 64 years, is as follows as at 30 June 2027:&#10;For age group 0 to 6 the participation rate is 6.07%, for age group 7 to 14 the participation rate is 7.72%, for age group 15 to 18 the participation rate is 6.46%, for age group 19 to 24 the participation rate is 3.73%, for age group 25 to 34 the participation rate is 1.88%, for age group 35 to 44 the participation rate is 1.49%, for age group 45 to 54 the participation rate is 1.9%, and for age group 55 to 64 the participation rate is 2.5%.&#10;The implied participation rates for all disability types by age band generated by the 2021-22 AFSR model for people aged 0 to 64 years, is as follows as at 30 June 2032:&#10;For age group 0 to 6 the participation rate is 7.13%, for age group 7 to 14 the participation rate is 8.53%, for age group 15 to 18 the participation rate is 8.64%, for age group 19 to 24 the participation rate is 5.89%, for age group 25 to 34 the participation rate is 2.82%, for age group 35 to 44 the participation rate is 1.84%, for age group 45 to 54 the participation rate is 2.08%, and for age group 55 to 64 the participation rate is 2.83%.&#10;" title="Figure H.7: Implied participation rates for all disability types by age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724000" cy="2448279"/>
                    </a:xfrm>
                    <a:prstGeom prst="rect">
                      <a:avLst/>
                    </a:prstGeom>
                    <a:noFill/>
                  </pic:spPr>
                </pic:pic>
              </a:graphicData>
            </a:graphic>
          </wp:inline>
        </w:drawing>
      </w:r>
    </w:p>
    <w:p w14:paraId="7B3820A0" w14:textId="77777777" w:rsidR="005977AE" w:rsidRDefault="005977AE" w:rsidP="00D61322">
      <w:pPr>
        <w:pStyle w:val="FSRnormal"/>
      </w:pPr>
    </w:p>
    <w:p w14:paraId="3348A2DF" w14:textId="77777777" w:rsidR="00994C5F" w:rsidRDefault="00994C5F" w:rsidP="00F830E6">
      <w:pPr>
        <w:pStyle w:val="FSRnormal"/>
      </w:pPr>
      <w:r>
        <w:br w:type="page"/>
      </w:r>
    </w:p>
    <w:p w14:paraId="049D0B86" w14:textId="77777777" w:rsidR="00D61322" w:rsidRPr="00EF5070" w:rsidRDefault="00E752AB" w:rsidP="00D61322">
      <w:pPr>
        <w:pStyle w:val="FSRnormal"/>
      </w:pPr>
      <w:r>
        <w:lastRenderedPageBreak/>
        <w:t>Figure H.</w:t>
      </w:r>
      <w:r>
        <w:rPr>
          <w:noProof/>
        </w:rPr>
        <w:t>8</w:t>
      </w:r>
      <w:r w:rsidR="00D61322" w:rsidRPr="00374586">
        <w:t xml:space="preserve"> shows the implied participation rates for autism by age band </w:t>
      </w:r>
      <w:r w:rsidR="000A1ABC">
        <w:t>at this review</w:t>
      </w:r>
      <w:r w:rsidR="00D61322" w:rsidRPr="00374586">
        <w:t xml:space="preserve">, for people aged 0 to 64 years. These participation rates imply that about 1 in 27 people in Australia aged between 7 and 14 years </w:t>
      </w:r>
      <w:r w:rsidR="00D61322" w:rsidRPr="00EF5070">
        <w:t>w</w:t>
      </w:r>
      <w:r w:rsidR="00720D1A" w:rsidRPr="00EF5070">
        <w:t>as</w:t>
      </w:r>
      <w:r w:rsidR="00D61322" w:rsidRPr="00EF5070">
        <w:t xml:space="preserve"> a participant of the NDIS with a primary disability of autism at 30 June 2022, and by 30 June 2032 this will become approximately 1 in 16 people. </w:t>
      </w:r>
    </w:p>
    <w:p w14:paraId="17CFC43C" w14:textId="77777777" w:rsidR="00994C5F" w:rsidRPr="00EF5070" w:rsidRDefault="00994C5F" w:rsidP="00994C5F">
      <w:pPr>
        <w:pStyle w:val="Caption"/>
        <w:keepNext/>
      </w:pPr>
      <w:bookmarkStart w:id="469" w:name="_Ref114555455"/>
      <w:r w:rsidRPr="00EF5070">
        <w:t>Figure H</w:t>
      </w:r>
      <w:r w:rsidR="00447AA1" w:rsidRPr="00EF5070">
        <w:t>.</w:t>
      </w:r>
      <w:r w:rsidR="00EF5070" w:rsidRPr="00481558">
        <w:fldChar w:fldCharType="begin"/>
      </w:r>
      <w:r w:rsidR="00EF5070" w:rsidRPr="00EF5070">
        <w:instrText xml:space="preserve"> SEQ Figure \* ARABIC \s 2 </w:instrText>
      </w:r>
      <w:r w:rsidR="00EF5070" w:rsidRPr="00481558">
        <w:fldChar w:fldCharType="separate"/>
      </w:r>
      <w:r w:rsidR="00447AA1" w:rsidRPr="00EF5070">
        <w:rPr>
          <w:noProof/>
        </w:rPr>
        <w:t>8</w:t>
      </w:r>
      <w:r w:rsidR="00EF5070" w:rsidRPr="00481558">
        <w:rPr>
          <w:noProof/>
        </w:rPr>
        <w:fldChar w:fldCharType="end"/>
      </w:r>
      <w:bookmarkEnd w:id="469"/>
      <w:r w:rsidRPr="00EF5070">
        <w:t xml:space="preserve">: Implied participation rates for autism by age band </w:t>
      </w:r>
    </w:p>
    <w:p w14:paraId="18A80040" w14:textId="77777777" w:rsidR="005977AE" w:rsidRDefault="00083B63" w:rsidP="00D61322">
      <w:pPr>
        <w:pStyle w:val="FSRnormal"/>
        <w:rPr>
          <w:noProof/>
          <w:lang w:eastAsia="en-AU"/>
        </w:rPr>
      </w:pPr>
      <w:r>
        <w:rPr>
          <w:noProof/>
          <w:lang w:eastAsia="en-AU"/>
        </w:rPr>
        <w:drawing>
          <wp:inline distT="0" distB="0" distL="0" distR="0" wp14:anchorId="00DCD1EB" wp14:editId="326DC843">
            <wp:extent cx="5724000" cy="2302230"/>
            <wp:effectExtent l="0" t="0" r="0" b="3175"/>
            <wp:docPr id="463" name="Picture 463" descr="The implied participation rates for autism by age band generated by the 2021-22 AFSR model for people aged 0 to 64 years, is as follows as at 30 June 2022:&#10;For age group 0 to 6 the participation rate is 1.01%, for age group 7 to 14 the participation rate is 3.66%, for age group 15 to 18 the participation rate is 2.16%, for age group 19 to 24 the participation rate is 0.99%, for age group 25 to 34 the participation rate is 0.28%, for age group 35 to 44 the participation rate is 0.11%, for age group 45 to 54 the participation rate is 0.06%, and for age group 55 to 64 the participation rate is 0.03%.&#10;The implied participation rates for autism by age band generated by the 2021-22 AFSR model for people aged 0 to 64 years, is as follows as at 30 June 2027:&#10;For age group 0 to 6 the participation rate is 0.99%, for age group 7 to 14 the participation rate is 5.65%, for age group 15 to 18 the participation rate is 4.76%, for age group 19 to 24 the participation rate is 2.3%, for age group 25 to 34 the participation rate is 0.68%, for age group 35 to 44 the participation rate is 0.24%, for age group 45 to 54 the participation rate is 0.14%, and for age group 55 to 64 the participation rate is 0.07%.&#10;The implied participation rates for autism by age band generated by the 2021-22 AFSR model for people aged 0 to 64 years, is as follows as at 30 June 2032:&#10;For age group 0 to 6 the participation rate is 1.03%, for age group 7 to 14 the participation rate is 6.26%, for age group 15 to 18 the participation rate is 6.83%, for age group 19 to 24 the participation rate is 4.3%, for age group 25 to 34 the participation rate is 1.44%, for age group 35 to 44 the participation rate is 0.43%, for age group 45 to 54 the participation rate is 0.22%, and for age group 55 to 64 the participation rate is 0.12%." title="Figure H.8: Implied participation rates for autism by age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724000" cy="2302230"/>
                    </a:xfrm>
                    <a:prstGeom prst="rect">
                      <a:avLst/>
                    </a:prstGeom>
                    <a:noFill/>
                  </pic:spPr>
                </pic:pic>
              </a:graphicData>
            </a:graphic>
          </wp:inline>
        </w:drawing>
      </w:r>
    </w:p>
    <w:p w14:paraId="001E518C" w14:textId="77777777" w:rsidR="00D61322" w:rsidRDefault="00620051" w:rsidP="00F830E6">
      <w:pPr>
        <w:pStyle w:val="FSRHeading4"/>
        <w:spacing w:before="480"/>
      </w:pPr>
      <w:r w:rsidRPr="00EF5070">
        <w:t>Comparison of implied participation rates from the 2021-22 AFSR model to</w:t>
      </w:r>
      <w:r w:rsidRPr="00620051">
        <w:t xml:space="preserve"> the 2018 ABS Survey of Disability, Aging and Carers (ABS SDAC)</w:t>
      </w:r>
    </w:p>
    <w:p w14:paraId="262B277A" w14:textId="77777777" w:rsidR="00620051" w:rsidRPr="00374586" w:rsidRDefault="00620051" w:rsidP="00620051">
      <w:pPr>
        <w:pStyle w:val="FSRnormal"/>
      </w:pPr>
      <w:r w:rsidRPr="00374586">
        <w:t xml:space="preserve">In order to assess the reasonableness of the projected participant numbers from the AFSR model, a comparison has been carried out between the implied participation rates from the 2021-22 AFSR model and those from the 2018 Australian Bureau of Statistics Survey of Disability, Aging and Carers (ABS SDAC). It should be noted that this comparison is subject to limitations, as the severity classifications adopted in the 2018 ABS SDAC </w:t>
      </w:r>
      <w:r w:rsidR="003867C4">
        <w:t>do</w:t>
      </w:r>
      <w:r w:rsidRPr="00374586">
        <w:t xml:space="preserve"> not align directly to NDIS eligibility. </w:t>
      </w:r>
      <w:r w:rsidR="003867C4">
        <w:t xml:space="preserve">Figure H.9 shows the </w:t>
      </w:r>
      <w:r w:rsidRPr="00374586">
        <w:t xml:space="preserve">comparison </w:t>
      </w:r>
      <w:r w:rsidR="003867C4">
        <w:t xml:space="preserve">to </w:t>
      </w:r>
      <w:r w:rsidRPr="00374586">
        <w:t xml:space="preserve">the ABS SDAC Severe or Profound Core Activity Limitation </w:t>
      </w:r>
      <w:r w:rsidR="003867C4">
        <w:t xml:space="preserve">grouping (SDAC SPCAL) </w:t>
      </w:r>
      <w:r w:rsidRPr="00374586">
        <w:t>as</w:t>
      </w:r>
      <w:r w:rsidR="003867C4">
        <w:t xml:space="preserve"> this grouping </w:t>
      </w:r>
      <w:r w:rsidRPr="00374586">
        <w:t xml:space="preserve">is </w:t>
      </w:r>
      <w:r w:rsidR="003867C4">
        <w:t xml:space="preserve">regarded as most </w:t>
      </w:r>
      <w:r w:rsidRPr="00374586">
        <w:t>likely to be relevant to the NDIS population.</w:t>
      </w:r>
    </w:p>
    <w:p w14:paraId="60962EF7" w14:textId="77777777" w:rsidR="00620051" w:rsidRPr="00374586" w:rsidRDefault="00620051" w:rsidP="00DA3F73">
      <w:pPr>
        <w:pStyle w:val="Figures"/>
      </w:pPr>
      <w:r w:rsidRPr="00374586">
        <w:br w:type="page"/>
      </w:r>
    </w:p>
    <w:p w14:paraId="7C949211" w14:textId="77777777" w:rsidR="00994C5F" w:rsidRDefault="00994C5F" w:rsidP="00994C5F">
      <w:pPr>
        <w:pStyle w:val="Caption"/>
        <w:keepNext/>
      </w:pPr>
      <w:bookmarkStart w:id="470" w:name="_Ref114559033"/>
      <w:r>
        <w:lastRenderedPageBreak/>
        <w:t>Figure H</w:t>
      </w:r>
      <w:r w:rsidR="00447AA1">
        <w:t>.</w:t>
      </w:r>
      <w:fldSimple w:instr=" SEQ Figure \* ARABIC \s 2 ">
        <w:r w:rsidR="00447AA1">
          <w:rPr>
            <w:noProof/>
          </w:rPr>
          <w:t>9</w:t>
        </w:r>
      </w:fldSimple>
      <w:bookmarkEnd w:id="470"/>
      <w:r>
        <w:t xml:space="preserve">: </w:t>
      </w:r>
      <w:r w:rsidRPr="00374586">
        <w:t>Comparison of participation rates between 2018 ABS</w:t>
      </w:r>
      <w:r w:rsidR="0017531D">
        <w:t xml:space="preserve"> SDAC SPCAL</w:t>
      </w:r>
      <w:r w:rsidRPr="00374586">
        <w:t xml:space="preserve"> and the 2021-22 AFSR model by age band</w:t>
      </w:r>
    </w:p>
    <w:p w14:paraId="6AB49C4C" w14:textId="77777777" w:rsidR="005977AE" w:rsidRDefault="00A92D63" w:rsidP="00620051">
      <w:pPr>
        <w:pStyle w:val="FSRnormal"/>
        <w:rPr>
          <w:noProof/>
          <w:lang w:eastAsia="en-AU"/>
        </w:rPr>
      </w:pPr>
      <w:r w:rsidRPr="00A92D63">
        <w:rPr>
          <w:noProof/>
          <w:lang w:eastAsia="en-AU"/>
        </w:rPr>
        <w:drawing>
          <wp:inline distT="0" distB="0" distL="0" distR="0" wp14:anchorId="38A88C68" wp14:editId="351F3D7F">
            <wp:extent cx="5731510" cy="2656294"/>
            <wp:effectExtent l="0" t="0" r="2540" b="0"/>
            <wp:docPr id="449" name="Picture 449" descr="Comparison of participation rates between 2018 Australian Bureau of Statistics Survey of Disability, Aging and Carers (ABS SDAC) Severe or Profound Core Activity Limitation (SPCAL) and those generated by the 2021-22 AFSR model as at 30 June 2022, 30 June 2027 and 30 June 2032, by age band.&#10;For 2018 ABS SDAC SPCAL, the participation rate for age band 0 to 14 years is 5%, for age band 15 to 24 years is 3.4%, for age band 25 to 34 years is 1.9%, for age band 35 to 44 years is 2%, for age band 45 to 54 years is 3.5%, and for age band 55 to 64 years is 5.9%.&#10;As at 30 June 2022 from the 2021-22 AFSR model, the participation rate for age band 0 to 14 years is 5.1%, for age band 15 to 24 years is 2.7%, for age band 25 to 34 years is 1.2%, for age band 35 to 44 years is 1.2%, for age band 45 to 54 years is 1.5%, and for age band 55 to 64 years is 2%.&#10;As at 30 June 2027 year from the 2021-22 AFSR model, the participation rate for age band 0 to 14 years is 7%, for age band 15 to 24 years is 4.8%, for age band 25 to 34 years is 1.9%, for age band 35 to 44 years is 1.5%, for age band 45 to 54 years is 1.9%, and for age band 55 to 64 years is 2.5%.&#10;As at 30 June 2032 year from the 2021-22 AFSR model, the participation rate for age band 0 to 14 years is 7.9%, for age band 15 to 24 years is 6.9%, for age band 25 to 34 years is 2.8%, for age band 35 to 44 years is 1.8%, for age band 45 to 54 years is 2.1%, and for age band 55 to 64 years is 2.8%." title="Figure H.9: Comparison of participation rates between 2018 ABS SDAC SPCAL and the 2021-22 AFSR model by age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731510" cy="2656294"/>
                    </a:xfrm>
                    <a:prstGeom prst="rect">
                      <a:avLst/>
                    </a:prstGeom>
                    <a:noFill/>
                    <a:ln>
                      <a:noFill/>
                    </a:ln>
                  </pic:spPr>
                </pic:pic>
              </a:graphicData>
            </a:graphic>
          </wp:inline>
        </w:drawing>
      </w:r>
    </w:p>
    <w:p w14:paraId="2DDCEED8" w14:textId="77777777" w:rsidR="00620051" w:rsidRPr="00374586" w:rsidRDefault="009B4243" w:rsidP="00620051">
      <w:pPr>
        <w:pStyle w:val="FSRnormal"/>
      </w:pPr>
      <w:r>
        <w:t>K</w:t>
      </w:r>
      <w:r w:rsidR="00620051" w:rsidRPr="00374586">
        <w:t xml:space="preserve">ey </w:t>
      </w:r>
      <w:r>
        <w:t xml:space="preserve">observations </w:t>
      </w:r>
      <w:r w:rsidR="00620051" w:rsidRPr="00374586">
        <w:t>are:</w:t>
      </w:r>
    </w:p>
    <w:p w14:paraId="0FC3A924" w14:textId="77777777" w:rsidR="00620051" w:rsidRPr="00374586" w:rsidRDefault="00620051" w:rsidP="00620051">
      <w:pPr>
        <w:pStyle w:val="FSRnormal"/>
        <w:numPr>
          <w:ilvl w:val="0"/>
          <w:numId w:val="120"/>
        </w:numPr>
      </w:pPr>
      <w:r w:rsidRPr="00374586">
        <w:t xml:space="preserve">For all age bands except for 0 to 14 years, the participation rates estimated from the 2018 ABS SDAC </w:t>
      </w:r>
      <w:r w:rsidR="0017531D">
        <w:t>S</w:t>
      </w:r>
      <w:r w:rsidRPr="00374586">
        <w:t>PCA</w:t>
      </w:r>
      <w:r w:rsidR="0017531D">
        <w:t xml:space="preserve">L </w:t>
      </w:r>
      <w:r w:rsidRPr="00374586">
        <w:t xml:space="preserve">data are higher than those </w:t>
      </w:r>
      <w:r w:rsidR="00A142E9">
        <w:t xml:space="preserve">projected as at </w:t>
      </w:r>
      <w:r w:rsidRPr="00374586">
        <w:t>30 June 2022; and</w:t>
      </w:r>
    </w:p>
    <w:p w14:paraId="603C874B" w14:textId="77777777" w:rsidR="00620051" w:rsidRPr="00374586" w:rsidRDefault="00620051" w:rsidP="00620051">
      <w:pPr>
        <w:pStyle w:val="FSRnormal"/>
        <w:numPr>
          <w:ilvl w:val="0"/>
          <w:numId w:val="120"/>
        </w:numPr>
      </w:pPr>
      <w:r w:rsidRPr="00374586">
        <w:t xml:space="preserve">The participation rates estimated from the 2018 ABS SDAC Severe </w:t>
      </w:r>
      <w:r w:rsidR="0017531D">
        <w:t xml:space="preserve">SPCAL data </w:t>
      </w:r>
      <w:r w:rsidRPr="00374586">
        <w:t xml:space="preserve">are only slightly higher than those </w:t>
      </w:r>
      <w:r w:rsidR="00A142E9">
        <w:t xml:space="preserve">projected as at </w:t>
      </w:r>
      <w:r w:rsidR="00A142E9" w:rsidRPr="00374586">
        <w:t>30 June 2022</w:t>
      </w:r>
      <w:r w:rsidRPr="00374586">
        <w:t xml:space="preserve">, for the 15 to 44 age bands. For the 45 to 54 </w:t>
      </w:r>
      <w:r w:rsidR="0017531D">
        <w:t xml:space="preserve">and 55 to 64 </w:t>
      </w:r>
      <w:r w:rsidRPr="00374586">
        <w:t xml:space="preserve">age band and older, the participation rates estimated from the 2018 ABS SDAC </w:t>
      </w:r>
      <w:r w:rsidR="0017531D">
        <w:t xml:space="preserve">SPCAL </w:t>
      </w:r>
      <w:r w:rsidRPr="00374586">
        <w:t xml:space="preserve">become increasingly larger compared to those </w:t>
      </w:r>
      <w:r w:rsidR="00A142E9">
        <w:t xml:space="preserve">projected as at </w:t>
      </w:r>
      <w:r w:rsidR="00A142E9" w:rsidRPr="00374586">
        <w:t>30 June 2022</w:t>
      </w:r>
      <w:r w:rsidRPr="00374586">
        <w:t>. For the age band 55 to 64 years, the participation rate estimated from the 2018 ABS SDAC S</w:t>
      </w:r>
      <w:r w:rsidR="0017531D">
        <w:t xml:space="preserve">PCAL </w:t>
      </w:r>
      <w:r w:rsidRPr="00374586">
        <w:t xml:space="preserve">data (5.9% participation rate) is just under three times </w:t>
      </w:r>
      <w:r w:rsidR="00A142E9" w:rsidRPr="00374586">
        <w:t xml:space="preserve">those </w:t>
      </w:r>
      <w:r w:rsidR="00A142E9">
        <w:t xml:space="preserve">projected as at </w:t>
      </w:r>
      <w:r w:rsidR="00A142E9" w:rsidRPr="00374586">
        <w:t>30 June 2022</w:t>
      </w:r>
      <w:r w:rsidRPr="00374586">
        <w:t xml:space="preserve"> (2.0% participation rate).</w:t>
      </w:r>
    </w:p>
    <w:p w14:paraId="0D1F3173" w14:textId="77777777" w:rsidR="00AE2FC9" w:rsidRDefault="00AE2FC9">
      <w:pPr>
        <w:spacing w:after="160" w:line="259" w:lineRule="auto"/>
        <w:rPr>
          <w:b/>
          <w:color w:val="6B2976"/>
          <w:sz w:val="25"/>
        </w:rPr>
      </w:pPr>
      <w:bookmarkStart w:id="471" w:name="_Toc43483611"/>
      <w:bookmarkStart w:id="472" w:name="_Toc43715608"/>
      <w:bookmarkStart w:id="473" w:name="_Toc44050209"/>
      <w:bookmarkStart w:id="474" w:name="_Toc43483612"/>
      <w:bookmarkStart w:id="475" w:name="_Toc43715609"/>
      <w:bookmarkStart w:id="476" w:name="_Toc44050210"/>
      <w:bookmarkStart w:id="477" w:name="_Toc43483613"/>
      <w:bookmarkStart w:id="478" w:name="_Toc43715610"/>
      <w:bookmarkStart w:id="479" w:name="_Toc44050211"/>
      <w:bookmarkStart w:id="480" w:name="_Toc43483614"/>
      <w:bookmarkStart w:id="481" w:name="_Toc43715611"/>
      <w:bookmarkStart w:id="482" w:name="_Toc44050212"/>
      <w:bookmarkStart w:id="483" w:name="_Toc43483615"/>
      <w:bookmarkStart w:id="484" w:name="_Toc43715612"/>
      <w:bookmarkStart w:id="485" w:name="_Toc44050213"/>
      <w:bookmarkStart w:id="486" w:name="_Toc43483616"/>
      <w:bookmarkStart w:id="487" w:name="_Toc43715613"/>
      <w:bookmarkStart w:id="488" w:name="_Toc44050214"/>
      <w:bookmarkStart w:id="489" w:name="_Toc43483617"/>
      <w:bookmarkStart w:id="490" w:name="_Toc43715614"/>
      <w:bookmarkStart w:id="491" w:name="_Toc44050215"/>
      <w:bookmarkStart w:id="492" w:name="_Toc43483619"/>
      <w:bookmarkStart w:id="493" w:name="_Toc43715616"/>
      <w:bookmarkStart w:id="494" w:name="_Toc44050217"/>
      <w:bookmarkStart w:id="495" w:name="_Toc43483620"/>
      <w:bookmarkStart w:id="496" w:name="_Toc43715617"/>
      <w:bookmarkStart w:id="497" w:name="_Toc44050218"/>
      <w:bookmarkStart w:id="498" w:name="_Toc43483621"/>
      <w:bookmarkStart w:id="499" w:name="_Toc43715618"/>
      <w:bookmarkStart w:id="500" w:name="_Toc44050219"/>
      <w:bookmarkStart w:id="501" w:name="_Toc505537329"/>
      <w:bookmarkStart w:id="502" w:name="_Toc36214595"/>
      <w:bookmarkStart w:id="503" w:name="_Toc36214854"/>
      <w:bookmarkStart w:id="504" w:name="_Toc36214916"/>
      <w:bookmarkStart w:id="505" w:name="_Toc36215194"/>
      <w:bookmarkStart w:id="506" w:name="_Toc36215289"/>
      <w:bookmarkStart w:id="507" w:name="_Toc36217071"/>
      <w:bookmarkStart w:id="508" w:name="_Toc36217456"/>
      <w:bookmarkStart w:id="509" w:name="_Toc36217718"/>
      <w:bookmarkStart w:id="510" w:name="_Toc36217981"/>
      <w:bookmarkStart w:id="511" w:name="_Toc36218023"/>
      <w:bookmarkStart w:id="512" w:name="_Toc36458114"/>
      <w:bookmarkStart w:id="513" w:name="_Toc36660405"/>
      <w:bookmarkStart w:id="514" w:name="_Toc36737519"/>
      <w:bookmarkStart w:id="515" w:name="_Toc36742043"/>
      <w:bookmarkStart w:id="516" w:name="_Toc36748637"/>
      <w:bookmarkStart w:id="517" w:name="_Toc36750440"/>
      <w:bookmarkStart w:id="518" w:name="_Toc37068010"/>
      <w:bookmarkStart w:id="519" w:name="_Toc37084547"/>
      <w:bookmarkStart w:id="520" w:name="_Toc37084778"/>
      <w:bookmarkStart w:id="521" w:name="_Toc37084851"/>
      <w:bookmarkStart w:id="522" w:name="_Toc37096782"/>
      <w:bookmarkStart w:id="523" w:name="_Toc37097357"/>
      <w:bookmarkStart w:id="524" w:name="_Toc37169258"/>
      <w:bookmarkStart w:id="525" w:name="_Toc37182001"/>
      <w:bookmarkStart w:id="526" w:name="_Toc37182089"/>
      <w:bookmarkStart w:id="527" w:name="_Toc37233417"/>
      <w:bookmarkStart w:id="528" w:name="_Toc37264761"/>
      <w:bookmarkStart w:id="529" w:name="_Toc37264789"/>
      <w:bookmarkStart w:id="530" w:name="_Toc37856810"/>
      <w:bookmarkStart w:id="531" w:name="_Toc37933345"/>
      <w:bookmarkStart w:id="532" w:name="_Toc37935867"/>
      <w:bookmarkStart w:id="533" w:name="_Toc37941794"/>
      <w:bookmarkStart w:id="534" w:name="_Toc37942056"/>
      <w:bookmarkStart w:id="535" w:name="_Toc37944080"/>
      <w:bookmarkStart w:id="536" w:name="_Toc38009139"/>
      <w:bookmarkStart w:id="537" w:name="_Toc38010018"/>
      <w:bookmarkStart w:id="538" w:name="_Toc38037862"/>
      <w:bookmarkStart w:id="539" w:name="_Toc38289442"/>
      <w:bookmarkStart w:id="540" w:name="_Toc38289480"/>
      <w:bookmarkStart w:id="541" w:name="_Toc38310742"/>
      <w:bookmarkStart w:id="542" w:name="_Toc38354724"/>
      <w:bookmarkStart w:id="543" w:name="_Toc38360995"/>
      <w:bookmarkStart w:id="544" w:name="_Toc38363409"/>
      <w:bookmarkStart w:id="545" w:name="_Toc38370279"/>
      <w:bookmarkStart w:id="546" w:name="_Toc38376004"/>
      <w:bookmarkStart w:id="547" w:name="_Toc38376267"/>
      <w:bookmarkStart w:id="548" w:name="_Toc38384730"/>
      <w:bookmarkStart w:id="549" w:name="_Toc38438834"/>
      <w:bookmarkStart w:id="550" w:name="_Toc38460935"/>
      <w:bookmarkStart w:id="551" w:name="_Toc38461009"/>
      <w:bookmarkStart w:id="552" w:name="_Toc38465843"/>
      <w:bookmarkStart w:id="553" w:name="_Toc38491667"/>
      <w:bookmarkStart w:id="554" w:name="_Toc38546663"/>
      <w:bookmarkStart w:id="555" w:name="_Toc38562217"/>
      <w:bookmarkStart w:id="556" w:name="_Toc38612294"/>
      <w:bookmarkStart w:id="557" w:name="_Toc38619007"/>
      <w:bookmarkStart w:id="558" w:name="_Toc38626589"/>
      <w:bookmarkStart w:id="559" w:name="_Toc38626698"/>
      <w:bookmarkStart w:id="560" w:name="_Toc38628641"/>
      <w:bookmarkStart w:id="561" w:name="_Toc36214598"/>
      <w:bookmarkStart w:id="562" w:name="_Toc36214857"/>
      <w:bookmarkStart w:id="563" w:name="_Toc36214919"/>
      <w:bookmarkStart w:id="564" w:name="_Toc36215197"/>
      <w:bookmarkStart w:id="565" w:name="_Toc36215292"/>
      <w:bookmarkStart w:id="566" w:name="_Toc36217074"/>
      <w:bookmarkStart w:id="567" w:name="_Toc36217459"/>
      <w:bookmarkStart w:id="568" w:name="_Toc505537331"/>
      <w:bookmarkStart w:id="569" w:name="_Toc505537332"/>
      <w:bookmarkStart w:id="570" w:name="_Toc505537338"/>
      <w:bookmarkStart w:id="571" w:name="_Toc505537339"/>
      <w:bookmarkStart w:id="572" w:name="_Toc505537389"/>
      <w:bookmarkStart w:id="573" w:name="_Toc36660409"/>
      <w:bookmarkStart w:id="574" w:name="_Toc36737523"/>
      <w:bookmarkStart w:id="575" w:name="_Toc36214600"/>
      <w:bookmarkStart w:id="576" w:name="_Toc36214859"/>
      <w:bookmarkStart w:id="577" w:name="_Toc36214921"/>
      <w:bookmarkStart w:id="578" w:name="_Toc36215199"/>
      <w:bookmarkStart w:id="579" w:name="_Toc36215294"/>
      <w:bookmarkStart w:id="580" w:name="_Toc36217076"/>
      <w:bookmarkStart w:id="581" w:name="_Toc36217461"/>
      <w:bookmarkStart w:id="582" w:name="_Toc36217722"/>
      <w:bookmarkStart w:id="583" w:name="_Toc36217985"/>
      <w:bookmarkStart w:id="584" w:name="_Toc36218027"/>
      <w:bookmarkStart w:id="585" w:name="_Toc36458118"/>
      <w:bookmarkStart w:id="586" w:name="_Toc36660410"/>
      <w:bookmarkStart w:id="587" w:name="_Toc36737524"/>
      <w:bookmarkStart w:id="588" w:name="_Toc37944084"/>
      <w:bookmarkStart w:id="589" w:name="_Toc38009143"/>
      <w:bookmarkStart w:id="590" w:name="_Toc38010022"/>
      <w:bookmarkStart w:id="591" w:name="_Toc38037866"/>
      <w:bookmarkStart w:id="592" w:name="_Toc38289446"/>
      <w:bookmarkStart w:id="593" w:name="_Toc38289484"/>
      <w:bookmarkStart w:id="594" w:name="_Toc38310746"/>
      <w:bookmarkStart w:id="595" w:name="_Toc38354728"/>
      <w:bookmarkStart w:id="596" w:name="_Toc38360999"/>
      <w:bookmarkStart w:id="597" w:name="_Toc38363413"/>
      <w:bookmarkStart w:id="598" w:name="_Toc38370283"/>
      <w:bookmarkStart w:id="599" w:name="_Toc38376008"/>
      <w:bookmarkStart w:id="600" w:name="_Toc38376271"/>
      <w:bookmarkStart w:id="601" w:name="_Toc38384734"/>
      <w:bookmarkStart w:id="602" w:name="_Toc38438838"/>
      <w:bookmarkStart w:id="603" w:name="_Toc38460939"/>
      <w:bookmarkStart w:id="604" w:name="_Toc38461013"/>
      <w:bookmarkStart w:id="605" w:name="_Toc38465847"/>
      <w:bookmarkStart w:id="606" w:name="_Toc38491671"/>
      <w:bookmarkStart w:id="607" w:name="_Toc38546667"/>
      <w:bookmarkStart w:id="608" w:name="_Toc38562221"/>
      <w:bookmarkStart w:id="609" w:name="_Toc38612298"/>
      <w:bookmarkStart w:id="610" w:name="_Toc38619011"/>
      <w:bookmarkStart w:id="611" w:name="_Toc38626593"/>
      <w:bookmarkStart w:id="612" w:name="_Toc38626702"/>
      <w:bookmarkStart w:id="613" w:name="_Toc38628645"/>
      <w:bookmarkStart w:id="614" w:name="_Toc37944086"/>
      <w:bookmarkStart w:id="615" w:name="_Toc38009145"/>
      <w:bookmarkStart w:id="616" w:name="_Toc38010024"/>
      <w:bookmarkStart w:id="617" w:name="_Toc38037868"/>
      <w:bookmarkStart w:id="618" w:name="_Toc38289448"/>
      <w:bookmarkStart w:id="619" w:name="_Toc38289486"/>
      <w:bookmarkStart w:id="620" w:name="_Toc38310748"/>
      <w:bookmarkStart w:id="621" w:name="_Toc38354730"/>
      <w:bookmarkStart w:id="622" w:name="_Toc38361001"/>
      <w:bookmarkStart w:id="623" w:name="_Toc38363415"/>
      <w:bookmarkStart w:id="624" w:name="_Toc38370285"/>
      <w:bookmarkStart w:id="625" w:name="_Toc38376010"/>
      <w:bookmarkStart w:id="626" w:name="_Toc38376273"/>
      <w:bookmarkStart w:id="627" w:name="_Toc38384736"/>
      <w:bookmarkStart w:id="628" w:name="_Toc38438840"/>
      <w:bookmarkStart w:id="629" w:name="_Toc38460941"/>
      <w:bookmarkStart w:id="630" w:name="_Toc38461015"/>
      <w:bookmarkStart w:id="631" w:name="_Toc38465849"/>
      <w:bookmarkStart w:id="632" w:name="_Toc38491673"/>
      <w:bookmarkStart w:id="633" w:name="_Toc38546669"/>
      <w:bookmarkStart w:id="634" w:name="_Toc38562223"/>
      <w:bookmarkStart w:id="635" w:name="_Toc38612300"/>
      <w:bookmarkStart w:id="636" w:name="_Toc38619013"/>
      <w:bookmarkStart w:id="637" w:name="_Toc38626595"/>
      <w:bookmarkStart w:id="638" w:name="_Toc38626704"/>
      <w:bookmarkStart w:id="639" w:name="_Toc38628647"/>
      <w:bookmarkStart w:id="640" w:name="_Toc515864232"/>
      <w:bookmarkStart w:id="641" w:name="_Toc43715641"/>
      <w:bookmarkStart w:id="642" w:name="_Toc44050243"/>
      <w:bookmarkStart w:id="643" w:name="_Toc490560054"/>
      <w:bookmarkStart w:id="644" w:name="_Toc490560204"/>
      <w:bookmarkStart w:id="645" w:name="_Toc490571660"/>
      <w:bookmarkStart w:id="646" w:name="_Toc490580664"/>
      <w:bookmarkStart w:id="647" w:name="_Toc490560055"/>
      <w:bookmarkStart w:id="648" w:name="_Toc490560205"/>
      <w:bookmarkStart w:id="649" w:name="_Toc490571661"/>
      <w:bookmarkStart w:id="650" w:name="_Toc490580665"/>
      <w:bookmarkStart w:id="651" w:name="_Toc490560056"/>
      <w:bookmarkStart w:id="652" w:name="_Toc490560206"/>
      <w:bookmarkStart w:id="653" w:name="_Toc490571662"/>
      <w:bookmarkStart w:id="654" w:name="_Toc490580666"/>
      <w:bookmarkStart w:id="655" w:name="_Toc490560057"/>
      <w:bookmarkStart w:id="656" w:name="_Toc490560207"/>
      <w:bookmarkStart w:id="657" w:name="_Toc490571663"/>
      <w:bookmarkStart w:id="658" w:name="_Toc490580667"/>
      <w:bookmarkStart w:id="659" w:name="_Toc490560058"/>
      <w:bookmarkStart w:id="660" w:name="_Toc490560208"/>
      <w:bookmarkStart w:id="661" w:name="_Toc490571664"/>
      <w:bookmarkStart w:id="662" w:name="_Toc490580668"/>
      <w:bookmarkStart w:id="663" w:name="_Toc490560059"/>
      <w:bookmarkStart w:id="664" w:name="_Toc490560209"/>
      <w:bookmarkStart w:id="665" w:name="_Toc490571665"/>
      <w:bookmarkStart w:id="666" w:name="_Toc490580669"/>
      <w:bookmarkStart w:id="667" w:name="_Toc490560060"/>
      <w:bookmarkStart w:id="668" w:name="_Toc490560210"/>
      <w:bookmarkStart w:id="669" w:name="_Toc490571666"/>
      <w:bookmarkStart w:id="670" w:name="_Toc490580670"/>
      <w:bookmarkStart w:id="671" w:name="_Toc490560061"/>
      <w:bookmarkStart w:id="672" w:name="_Toc490560211"/>
      <w:bookmarkStart w:id="673" w:name="_Toc490571667"/>
      <w:bookmarkStart w:id="674" w:name="_Toc490580671"/>
      <w:bookmarkStart w:id="675" w:name="_Toc490560062"/>
      <w:bookmarkStart w:id="676" w:name="_Toc490560212"/>
      <w:bookmarkStart w:id="677" w:name="_Toc490571668"/>
      <w:bookmarkStart w:id="678" w:name="_Toc490580672"/>
      <w:bookmarkStart w:id="679" w:name="_Toc490560064"/>
      <w:bookmarkStart w:id="680" w:name="_Toc490560214"/>
      <w:bookmarkStart w:id="681" w:name="_Toc490571670"/>
      <w:bookmarkStart w:id="682" w:name="_Toc490580674"/>
      <w:bookmarkStart w:id="683" w:name="_Toc490560065"/>
      <w:bookmarkStart w:id="684" w:name="_Toc490560215"/>
      <w:bookmarkStart w:id="685" w:name="_Toc490571671"/>
      <w:bookmarkStart w:id="686" w:name="_Toc490580675"/>
      <w:bookmarkStart w:id="687" w:name="_Toc490560066"/>
      <w:bookmarkStart w:id="688" w:name="_Toc490560216"/>
      <w:bookmarkStart w:id="689" w:name="_Toc490571672"/>
      <w:bookmarkStart w:id="690" w:name="_Toc490580676"/>
      <w:bookmarkStart w:id="691" w:name="_Toc490560067"/>
      <w:bookmarkStart w:id="692" w:name="_Toc490560217"/>
      <w:bookmarkStart w:id="693" w:name="_Toc490571673"/>
      <w:bookmarkStart w:id="694" w:name="_Toc490580677"/>
      <w:bookmarkStart w:id="695" w:name="_Toc490560068"/>
      <w:bookmarkStart w:id="696" w:name="_Toc490560218"/>
      <w:bookmarkStart w:id="697" w:name="_Toc490571674"/>
      <w:bookmarkStart w:id="698" w:name="_Toc490580678"/>
      <w:bookmarkStart w:id="699" w:name="_Toc490560069"/>
      <w:bookmarkStart w:id="700" w:name="_Toc490560219"/>
      <w:bookmarkStart w:id="701" w:name="_Toc490571675"/>
      <w:bookmarkStart w:id="702" w:name="_Toc490580679"/>
      <w:bookmarkStart w:id="703" w:name="_Toc490560070"/>
      <w:bookmarkStart w:id="704" w:name="_Toc490560220"/>
      <w:bookmarkStart w:id="705" w:name="_Toc490571676"/>
      <w:bookmarkStart w:id="706" w:name="_Toc490580680"/>
      <w:bookmarkStart w:id="707" w:name="_Toc490560071"/>
      <w:bookmarkStart w:id="708" w:name="_Toc490560221"/>
      <w:bookmarkStart w:id="709" w:name="_Toc490571677"/>
      <w:bookmarkStart w:id="710" w:name="_Toc490580681"/>
      <w:bookmarkStart w:id="711" w:name="_Toc490560072"/>
      <w:bookmarkStart w:id="712" w:name="_Toc490560222"/>
      <w:bookmarkStart w:id="713" w:name="_Toc490571678"/>
      <w:bookmarkStart w:id="714" w:name="_Toc490580682"/>
      <w:bookmarkStart w:id="715" w:name="_Toc490560073"/>
      <w:bookmarkStart w:id="716" w:name="_Toc490560223"/>
      <w:bookmarkStart w:id="717" w:name="_Toc490571679"/>
      <w:bookmarkStart w:id="718" w:name="_Toc490580683"/>
      <w:bookmarkStart w:id="719" w:name="_Toc490560074"/>
      <w:bookmarkStart w:id="720" w:name="_Toc490560224"/>
      <w:bookmarkStart w:id="721" w:name="_Toc490571680"/>
      <w:bookmarkStart w:id="722" w:name="_Toc490580684"/>
      <w:bookmarkStart w:id="723" w:name="_Toc36217737"/>
      <w:bookmarkStart w:id="724" w:name="_Toc43483633"/>
      <w:bookmarkStart w:id="725" w:name="_Toc43715630"/>
      <w:bookmarkStart w:id="726" w:name="_Toc44050231"/>
      <w:bookmarkStart w:id="727" w:name="_Toc37068019"/>
      <w:bookmarkStart w:id="728" w:name="_Toc37084556"/>
      <w:bookmarkStart w:id="729" w:name="_Toc37084787"/>
      <w:bookmarkStart w:id="730" w:name="_Toc37084860"/>
      <w:bookmarkStart w:id="731" w:name="_Toc37096791"/>
      <w:bookmarkStart w:id="732" w:name="_Toc37097366"/>
      <w:bookmarkStart w:id="733" w:name="_Toc37169267"/>
      <w:bookmarkStart w:id="734" w:name="_Toc37182010"/>
      <w:bookmarkStart w:id="735" w:name="_Toc37182098"/>
      <w:bookmarkStart w:id="736" w:name="_Toc37233426"/>
      <w:bookmarkStart w:id="737" w:name="_Toc37264770"/>
      <w:bookmarkStart w:id="738" w:name="_Toc37264798"/>
      <w:bookmarkStart w:id="739" w:name="_Toc37856819"/>
      <w:bookmarkStart w:id="740" w:name="_Toc37933354"/>
      <w:bookmarkStart w:id="741" w:name="_Toc37935876"/>
      <w:bookmarkStart w:id="742" w:name="_Toc37941803"/>
      <w:bookmarkStart w:id="743" w:name="_Toc37942065"/>
      <w:bookmarkStart w:id="744" w:name="_Toc37944091"/>
      <w:bookmarkStart w:id="745" w:name="_Toc38009150"/>
      <w:bookmarkStart w:id="746" w:name="_Toc38010029"/>
      <w:bookmarkStart w:id="747" w:name="_Toc38037873"/>
      <w:bookmarkStart w:id="748" w:name="_Toc38289453"/>
      <w:bookmarkStart w:id="749" w:name="_Toc38289491"/>
      <w:bookmarkStart w:id="750" w:name="_Toc38310753"/>
      <w:bookmarkStart w:id="751" w:name="_Toc38354735"/>
      <w:bookmarkStart w:id="752" w:name="_Toc38361006"/>
      <w:bookmarkStart w:id="753" w:name="_Toc38363420"/>
      <w:bookmarkStart w:id="754" w:name="_Toc38370290"/>
      <w:bookmarkStart w:id="755" w:name="_Toc38376015"/>
      <w:bookmarkStart w:id="756" w:name="_Toc38376278"/>
      <w:bookmarkStart w:id="757" w:name="_Toc38384741"/>
      <w:bookmarkStart w:id="758" w:name="_Toc38438845"/>
      <w:bookmarkStart w:id="759" w:name="_Toc38460946"/>
      <w:bookmarkStart w:id="760" w:name="_Toc38461020"/>
      <w:bookmarkStart w:id="761" w:name="_Toc38465854"/>
      <w:bookmarkStart w:id="762" w:name="_Toc38491678"/>
      <w:bookmarkStart w:id="763" w:name="_Toc38546674"/>
      <w:bookmarkStart w:id="764" w:name="_Toc38562228"/>
      <w:bookmarkStart w:id="765" w:name="_Toc38612305"/>
      <w:bookmarkStart w:id="766" w:name="_Toc38619018"/>
      <w:bookmarkStart w:id="767" w:name="_Toc38626600"/>
      <w:bookmarkStart w:id="768" w:name="_Toc38626709"/>
      <w:bookmarkStart w:id="769" w:name="_Toc38628652"/>
      <w:bookmarkStart w:id="770" w:name="_Toc3964846"/>
      <w:bookmarkStart w:id="771" w:name="_Toc3964847"/>
      <w:bookmarkStart w:id="772" w:name="_Toc3964848"/>
      <w:bookmarkStart w:id="773" w:name="_Toc3964873"/>
      <w:bookmarkStart w:id="774" w:name="_Toc44050234"/>
      <w:bookmarkStart w:id="775" w:name="_Toc38376280"/>
      <w:bookmarkStart w:id="776" w:name="_Toc38384743"/>
      <w:bookmarkStart w:id="777" w:name="_Toc38438847"/>
      <w:bookmarkStart w:id="778" w:name="_Toc38460948"/>
      <w:bookmarkStart w:id="779" w:name="_Toc38461022"/>
      <w:bookmarkStart w:id="780" w:name="_Toc38465856"/>
      <w:bookmarkStart w:id="781" w:name="_Toc38491680"/>
      <w:bookmarkStart w:id="782" w:name="_Toc38546676"/>
      <w:bookmarkStart w:id="783" w:name="_Toc38562230"/>
      <w:bookmarkStart w:id="784" w:name="_Toc38612307"/>
      <w:bookmarkStart w:id="785" w:name="_Toc38619020"/>
      <w:bookmarkStart w:id="786" w:name="_Toc38376017"/>
      <w:bookmarkStart w:id="787" w:name="_Toc38376281"/>
      <w:bookmarkStart w:id="788" w:name="_Toc38384744"/>
      <w:bookmarkStart w:id="789" w:name="_Toc38438848"/>
      <w:bookmarkStart w:id="790" w:name="_Toc38460949"/>
      <w:bookmarkStart w:id="791" w:name="_Toc38461023"/>
      <w:bookmarkStart w:id="792" w:name="_Toc38465857"/>
      <w:bookmarkStart w:id="793" w:name="_Toc38491681"/>
      <w:bookmarkStart w:id="794" w:name="_Toc38546677"/>
      <w:bookmarkStart w:id="795" w:name="_Toc38562231"/>
      <w:bookmarkStart w:id="796" w:name="_Toc38612308"/>
      <w:bookmarkStart w:id="797" w:name="_Toc38619021"/>
      <w:bookmarkStart w:id="798" w:name="_Toc38376018"/>
      <w:bookmarkStart w:id="799" w:name="_Toc38376282"/>
      <w:bookmarkStart w:id="800" w:name="_Toc38384745"/>
      <w:bookmarkStart w:id="801" w:name="_Toc38438849"/>
      <w:bookmarkStart w:id="802" w:name="_Toc38460950"/>
      <w:bookmarkStart w:id="803" w:name="_Toc38461024"/>
      <w:bookmarkStart w:id="804" w:name="_Toc38465858"/>
      <w:bookmarkStart w:id="805" w:name="_Toc38491682"/>
      <w:bookmarkStart w:id="806" w:name="_Toc38546678"/>
      <w:bookmarkStart w:id="807" w:name="_Toc38562232"/>
      <w:bookmarkStart w:id="808" w:name="_Toc38612309"/>
      <w:bookmarkStart w:id="809" w:name="_Toc38619022"/>
      <w:bookmarkStart w:id="810" w:name="_Toc38376019"/>
      <w:bookmarkStart w:id="811" w:name="_Toc38376283"/>
      <w:bookmarkStart w:id="812" w:name="_Toc38384746"/>
      <w:bookmarkStart w:id="813" w:name="_Toc38438850"/>
      <w:bookmarkStart w:id="814" w:name="_Toc38460951"/>
      <w:bookmarkStart w:id="815" w:name="_Toc38461025"/>
      <w:bookmarkStart w:id="816" w:name="_Toc38465859"/>
      <w:bookmarkStart w:id="817" w:name="_Toc38491683"/>
      <w:bookmarkStart w:id="818" w:name="_Toc38546679"/>
      <w:bookmarkStart w:id="819" w:name="_Toc38562233"/>
      <w:bookmarkStart w:id="820" w:name="_Toc38612310"/>
      <w:bookmarkStart w:id="821" w:name="_Toc38619023"/>
      <w:bookmarkStart w:id="822" w:name="_Toc38376020"/>
      <w:bookmarkStart w:id="823" w:name="_Toc38376284"/>
      <w:bookmarkStart w:id="824" w:name="_Toc38384747"/>
      <w:bookmarkStart w:id="825" w:name="_Toc38438851"/>
      <w:bookmarkStart w:id="826" w:name="_Toc38460952"/>
      <w:bookmarkStart w:id="827" w:name="_Toc38461026"/>
      <w:bookmarkStart w:id="828" w:name="_Toc38465860"/>
      <w:bookmarkStart w:id="829" w:name="_Toc38491684"/>
      <w:bookmarkStart w:id="830" w:name="_Toc38546680"/>
      <w:bookmarkStart w:id="831" w:name="_Toc38562234"/>
      <w:bookmarkStart w:id="832" w:name="_Toc38612311"/>
      <w:bookmarkStart w:id="833" w:name="_Toc38619024"/>
      <w:bookmarkStart w:id="834" w:name="_Toc38376021"/>
      <w:bookmarkStart w:id="835" w:name="_Toc38376285"/>
      <w:bookmarkStart w:id="836" w:name="_Toc38384748"/>
      <w:bookmarkStart w:id="837" w:name="_Toc38438852"/>
      <w:bookmarkStart w:id="838" w:name="_Toc38460953"/>
      <w:bookmarkStart w:id="839" w:name="_Toc38461027"/>
      <w:bookmarkStart w:id="840" w:name="_Toc38465861"/>
      <w:bookmarkStart w:id="841" w:name="_Toc38491685"/>
      <w:bookmarkStart w:id="842" w:name="_Toc38546681"/>
      <w:bookmarkStart w:id="843" w:name="_Toc38562235"/>
      <w:bookmarkStart w:id="844" w:name="_Toc38612312"/>
      <w:bookmarkStart w:id="845" w:name="_Toc38619025"/>
      <w:bookmarkStart w:id="846" w:name="_Toc38376025"/>
      <w:bookmarkStart w:id="847" w:name="_Toc38376289"/>
      <w:bookmarkStart w:id="848" w:name="_Toc38384752"/>
      <w:bookmarkStart w:id="849" w:name="_Toc38438856"/>
      <w:bookmarkStart w:id="850" w:name="_Toc38460957"/>
      <w:bookmarkStart w:id="851" w:name="_Toc38461031"/>
      <w:bookmarkStart w:id="852" w:name="_Toc38465865"/>
      <w:bookmarkStart w:id="853" w:name="_Toc38491689"/>
      <w:bookmarkStart w:id="854" w:name="_Toc38546685"/>
      <w:bookmarkStart w:id="855" w:name="_Toc38562239"/>
      <w:bookmarkStart w:id="856" w:name="_Toc38612316"/>
      <w:bookmarkStart w:id="857" w:name="_Toc38619029"/>
      <w:bookmarkStart w:id="858" w:name="_Toc37084558"/>
      <w:bookmarkStart w:id="859" w:name="_Toc37084789"/>
      <w:bookmarkStart w:id="860" w:name="_Toc37084862"/>
      <w:bookmarkStart w:id="861" w:name="_Toc37096793"/>
      <w:bookmarkStart w:id="862" w:name="_Toc37097368"/>
      <w:bookmarkStart w:id="863" w:name="_Toc38376026"/>
      <w:bookmarkStart w:id="864" w:name="_Toc38376290"/>
      <w:bookmarkStart w:id="865" w:name="_Toc38384753"/>
      <w:bookmarkStart w:id="866" w:name="_Toc38438857"/>
      <w:bookmarkStart w:id="867" w:name="_Toc38460958"/>
      <w:bookmarkStart w:id="868" w:name="_Toc38461032"/>
      <w:bookmarkStart w:id="869" w:name="_Toc38465866"/>
      <w:bookmarkStart w:id="870" w:name="_Toc38491690"/>
      <w:bookmarkStart w:id="871" w:name="_Toc38546686"/>
      <w:bookmarkStart w:id="872" w:name="_Toc38562240"/>
      <w:bookmarkStart w:id="873" w:name="_Toc38612317"/>
      <w:bookmarkStart w:id="874" w:name="_Toc38619030"/>
      <w:bookmarkStart w:id="875" w:name="_Toc36215214"/>
      <w:bookmarkStart w:id="876" w:name="_Toc36215310"/>
      <w:bookmarkStart w:id="877" w:name="_Toc36217092"/>
      <w:bookmarkStart w:id="878" w:name="_Toc36217477"/>
      <w:bookmarkStart w:id="879" w:name="_Toc36217740"/>
      <w:bookmarkStart w:id="880" w:name="_Toc36218001"/>
      <w:bookmarkStart w:id="881" w:name="_Toc36218043"/>
      <w:bookmarkStart w:id="882" w:name="_Toc36458134"/>
      <w:bookmarkStart w:id="883" w:name="_Toc36660426"/>
      <w:bookmarkStart w:id="884" w:name="_Toc36737540"/>
      <w:bookmarkStart w:id="885" w:name="_Toc36742053"/>
      <w:bookmarkStart w:id="886" w:name="_Toc36748647"/>
      <w:bookmarkStart w:id="887" w:name="_Toc36750450"/>
      <w:bookmarkStart w:id="888" w:name="_Toc37068021"/>
      <w:bookmarkStart w:id="889" w:name="_Toc38376042"/>
      <w:bookmarkStart w:id="890" w:name="_Toc38376306"/>
      <w:bookmarkStart w:id="891" w:name="_Toc38384769"/>
      <w:bookmarkStart w:id="892" w:name="_Toc38438873"/>
      <w:bookmarkStart w:id="893" w:name="_Toc38460974"/>
      <w:bookmarkStart w:id="894" w:name="_Toc38461048"/>
      <w:bookmarkStart w:id="895" w:name="_Toc38465882"/>
      <w:bookmarkStart w:id="896" w:name="_Toc38491706"/>
      <w:bookmarkStart w:id="897" w:name="_Toc38546702"/>
      <w:bookmarkStart w:id="898" w:name="_Toc38562256"/>
      <w:bookmarkStart w:id="899" w:name="_Toc38612333"/>
      <w:bookmarkStart w:id="900" w:name="_Toc38619046"/>
      <w:bookmarkStart w:id="901" w:name="_Toc36215215"/>
      <w:bookmarkStart w:id="902" w:name="_Toc36215311"/>
      <w:bookmarkStart w:id="903" w:name="_Toc36217093"/>
      <w:bookmarkStart w:id="904" w:name="_Toc36217478"/>
      <w:bookmarkStart w:id="905" w:name="_Toc36217741"/>
      <w:bookmarkStart w:id="906" w:name="_Toc36218002"/>
      <w:bookmarkStart w:id="907" w:name="_Toc36218044"/>
      <w:bookmarkStart w:id="908" w:name="_Toc36458135"/>
      <w:bookmarkStart w:id="909" w:name="_Toc36660427"/>
      <w:bookmarkStart w:id="910" w:name="_Toc36737541"/>
      <w:bookmarkStart w:id="911" w:name="_Toc36742054"/>
      <w:bookmarkStart w:id="912" w:name="_Toc36748648"/>
      <w:bookmarkStart w:id="913" w:name="_Toc36750451"/>
      <w:bookmarkStart w:id="914" w:name="_Toc37068022"/>
      <w:bookmarkStart w:id="915" w:name="_Toc37084575"/>
      <w:bookmarkStart w:id="916" w:name="_Toc37084806"/>
      <w:bookmarkStart w:id="917" w:name="_Toc37084879"/>
      <w:bookmarkStart w:id="918" w:name="_Toc37096810"/>
      <w:bookmarkStart w:id="919" w:name="_Toc37097385"/>
      <w:bookmarkStart w:id="920" w:name="_Toc38376043"/>
      <w:bookmarkStart w:id="921" w:name="_Toc38376307"/>
      <w:bookmarkStart w:id="922" w:name="_Toc38384770"/>
      <w:bookmarkStart w:id="923" w:name="_Toc38438874"/>
      <w:bookmarkStart w:id="924" w:name="_Toc38460975"/>
      <w:bookmarkStart w:id="925" w:name="_Toc38461049"/>
      <w:bookmarkStart w:id="926" w:name="_Toc38465883"/>
      <w:bookmarkStart w:id="927" w:name="_Toc38491707"/>
      <w:bookmarkStart w:id="928" w:name="_Toc38546703"/>
      <w:bookmarkStart w:id="929" w:name="_Toc38562257"/>
      <w:bookmarkStart w:id="930" w:name="_Toc38612334"/>
      <w:bookmarkStart w:id="931" w:name="_Toc38619047"/>
      <w:bookmarkStart w:id="932" w:name="_Toc36215216"/>
      <w:bookmarkStart w:id="933" w:name="_Toc36215312"/>
      <w:bookmarkStart w:id="934" w:name="_Toc36217094"/>
      <w:bookmarkStart w:id="935" w:name="_Toc36217479"/>
      <w:bookmarkStart w:id="936" w:name="_Toc36217742"/>
      <w:bookmarkStart w:id="937" w:name="_Toc36218003"/>
      <w:bookmarkStart w:id="938" w:name="_Toc36218045"/>
      <w:bookmarkStart w:id="939" w:name="_Toc36458136"/>
      <w:bookmarkStart w:id="940" w:name="_Toc36660428"/>
      <w:bookmarkStart w:id="941" w:name="_Toc36737542"/>
      <w:bookmarkStart w:id="942" w:name="_Toc36742055"/>
      <w:bookmarkStart w:id="943" w:name="_Toc36748649"/>
      <w:bookmarkStart w:id="944" w:name="_Toc36750452"/>
      <w:bookmarkStart w:id="945" w:name="_Toc37068023"/>
      <w:bookmarkStart w:id="946" w:name="_Toc37084576"/>
      <w:bookmarkStart w:id="947" w:name="_Toc37084807"/>
      <w:bookmarkStart w:id="948" w:name="_Toc37084880"/>
      <w:bookmarkStart w:id="949" w:name="_Toc37096811"/>
      <w:bookmarkStart w:id="950" w:name="_Toc37097386"/>
      <w:bookmarkStart w:id="951" w:name="_Toc38376044"/>
      <w:bookmarkStart w:id="952" w:name="_Toc38376308"/>
      <w:bookmarkStart w:id="953" w:name="_Toc38384771"/>
      <w:bookmarkStart w:id="954" w:name="_Toc38438875"/>
      <w:bookmarkStart w:id="955" w:name="_Toc38460976"/>
      <w:bookmarkStart w:id="956" w:name="_Toc38461050"/>
      <w:bookmarkStart w:id="957" w:name="_Toc38465884"/>
      <w:bookmarkStart w:id="958" w:name="_Toc38491708"/>
      <w:bookmarkStart w:id="959" w:name="_Toc38546704"/>
      <w:bookmarkStart w:id="960" w:name="_Toc38562258"/>
      <w:bookmarkStart w:id="961" w:name="_Toc38612335"/>
      <w:bookmarkStart w:id="962" w:name="_Toc38619048"/>
      <w:bookmarkStart w:id="963" w:name="_Toc36215217"/>
      <w:bookmarkStart w:id="964" w:name="_Toc36215313"/>
      <w:bookmarkStart w:id="965" w:name="_Toc36217095"/>
      <w:bookmarkStart w:id="966" w:name="_Toc36217480"/>
      <w:bookmarkStart w:id="967" w:name="_Toc36217743"/>
      <w:bookmarkStart w:id="968" w:name="_Toc36218004"/>
      <w:bookmarkStart w:id="969" w:name="_Toc36218046"/>
      <w:bookmarkStart w:id="970" w:name="_Toc36458137"/>
      <w:bookmarkStart w:id="971" w:name="_Toc36660429"/>
      <w:bookmarkStart w:id="972" w:name="_Toc36737543"/>
      <w:bookmarkStart w:id="973" w:name="_Toc36742056"/>
      <w:bookmarkStart w:id="974" w:name="_Toc36748650"/>
      <w:bookmarkStart w:id="975" w:name="_Toc36750453"/>
      <w:bookmarkStart w:id="976" w:name="_Toc37068024"/>
      <w:bookmarkStart w:id="977" w:name="_Toc37084577"/>
      <w:bookmarkStart w:id="978" w:name="_Toc37084808"/>
      <w:bookmarkStart w:id="979" w:name="_Toc37084881"/>
      <w:bookmarkStart w:id="980" w:name="_Toc37096812"/>
      <w:bookmarkStart w:id="981" w:name="_Toc37097387"/>
      <w:bookmarkStart w:id="982" w:name="_Toc38376045"/>
      <w:bookmarkStart w:id="983" w:name="_Toc38376309"/>
      <w:bookmarkStart w:id="984" w:name="_Toc38384772"/>
      <w:bookmarkStart w:id="985" w:name="_Toc38438876"/>
      <w:bookmarkStart w:id="986" w:name="_Toc38460977"/>
      <w:bookmarkStart w:id="987" w:name="_Toc38461051"/>
      <w:bookmarkStart w:id="988" w:name="_Toc38465885"/>
      <w:bookmarkStart w:id="989" w:name="_Toc38491709"/>
      <w:bookmarkStart w:id="990" w:name="_Toc38546705"/>
      <w:bookmarkStart w:id="991" w:name="_Toc38562259"/>
      <w:bookmarkStart w:id="992" w:name="_Toc38612336"/>
      <w:bookmarkStart w:id="993" w:name="_Toc38619049"/>
      <w:bookmarkStart w:id="994" w:name="_Toc36215218"/>
      <w:bookmarkStart w:id="995" w:name="_Toc36215314"/>
      <w:bookmarkStart w:id="996" w:name="_Toc36217096"/>
      <w:bookmarkStart w:id="997" w:name="_Toc36217481"/>
      <w:bookmarkStart w:id="998" w:name="_Toc36217744"/>
      <w:bookmarkStart w:id="999" w:name="_Toc36218005"/>
      <w:bookmarkStart w:id="1000" w:name="_Toc36218047"/>
      <w:bookmarkStart w:id="1001" w:name="_Toc36458138"/>
      <w:bookmarkStart w:id="1002" w:name="_Toc36660430"/>
      <w:bookmarkStart w:id="1003" w:name="_Toc36737544"/>
      <w:bookmarkStart w:id="1004" w:name="_Toc36742057"/>
      <w:bookmarkStart w:id="1005" w:name="_Toc36748651"/>
      <w:bookmarkStart w:id="1006" w:name="_Toc36750454"/>
      <w:bookmarkStart w:id="1007" w:name="_Toc37068025"/>
      <w:bookmarkStart w:id="1008" w:name="_Toc37084578"/>
      <w:bookmarkStart w:id="1009" w:name="_Toc37084809"/>
      <w:bookmarkStart w:id="1010" w:name="_Toc37084882"/>
      <w:bookmarkStart w:id="1011" w:name="_Toc37096813"/>
      <w:bookmarkStart w:id="1012" w:name="_Toc37097388"/>
      <w:bookmarkStart w:id="1013" w:name="_Toc38376046"/>
      <w:bookmarkStart w:id="1014" w:name="_Toc38376310"/>
      <w:bookmarkStart w:id="1015" w:name="_Toc38384773"/>
      <w:bookmarkStart w:id="1016" w:name="_Toc38438877"/>
      <w:bookmarkStart w:id="1017" w:name="_Toc38460978"/>
      <w:bookmarkStart w:id="1018" w:name="_Toc38461052"/>
      <w:bookmarkStart w:id="1019" w:name="_Toc38465886"/>
      <w:bookmarkStart w:id="1020" w:name="_Toc38491710"/>
      <w:bookmarkStart w:id="1021" w:name="_Toc38546706"/>
      <w:bookmarkStart w:id="1022" w:name="_Toc38562260"/>
      <w:bookmarkStart w:id="1023" w:name="_Toc38612337"/>
      <w:bookmarkStart w:id="1024" w:name="_Toc38619050"/>
      <w:bookmarkStart w:id="1025" w:name="_Toc36215219"/>
      <w:bookmarkStart w:id="1026" w:name="_Toc36215315"/>
      <w:bookmarkStart w:id="1027" w:name="_Toc36217097"/>
      <w:bookmarkStart w:id="1028" w:name="_Toc36217482"/>
      <w:bookmarkStart w:id="1029" w:name="_Toc36217745"/>
      <w:bookmarkStart w:id="1030" w:name="_Toc36218006"/>
      <w:bookmarkStart w:id="1031" w:name="_Toc36218048"/>
      <w:bookmarkStart w:id="1032" w:name="_Toc36458139"/>
      <w:bookmarkStart w:id="1033" w:name="_Toc36660431"/>
      <w:bookmarkStart w:id="1034" w:name="_Toc36737545"/>
      <w:bookmarkStart w:id="1035" w:name="_Toc36742058"/>
      <w:bookmarkStart w:id="1036" w:name="_Toc36748652"/>
      <w:bookmarkStart w:id="1037" w:name="_Toc36750455"/>
      <w:bookmarkStart w:id="1038" w:name="_Toc37068026"/>
      <w:bookmarkStart w:id="1039" w:name="_Toc37084579"/>
      <w:bookmarkStart w:id="1040" w:name="_Toc37084810"/>
      <w:bookmarkStart w:id="1041" w:name="_Toc37084883"/>
      <w:bookmarkStart w:id="1042" w:name="_Toc37096814"/>
      <w:bookmarkStart w:id="1043" w:name="_Toc37097389"/>
      <w:bookmarkStart w:id="1044" w:name="_Toc38376047"/>
      <w:bookmarkStart w:id="1045" w:name="_Toc38376311"/>
      <w:bookmarkStart w:id="1046" w:name="_Toc38384774"/>
      <w:bookmarkStart w:id="1047" w:name="_Toc38438878"/>
      <w:bookmarkStart w:id="1048" w:name="_Toc38460979"/>
      <w:bookmarkStart w:id="1049" w:name="_Toc38461053"/>
      <w:bookmarkStart w:id="1050" w:name="_Toc38465887"/>
      <w:bookmarkStart w:id="1051" w:name="_Toc38491711"/>
      <w:bookmarkStart w:id="1052" w:name="_Toc38546707"/>
      <w:bookmarkStart w:id="1053" w:name="_Toc38562261"/>
      <w:bookmarkStart w:id="1054" w:name="_Toc38612338"/>
      <w:bookmarkStart w:id="1055" w:name="_Toc38619051"/>
      <w:bookmarkStart w:id="1056" w:name="_Toc36215220"/>
      <w:bookmarkStart w:id="1057" w:name="_Toc36215316"/>
      <w:bookmarkStart w:id="1058" w:name="_Toc36217098"/>
      <w:bookmarkStart w:id="1059" w:name="_Toc36217483"/>
      <w:bookmarkStart w:id="1060" w:name="_Toc36217746"/>
      <w:bookmarkStart w:id="1061" w:name="_Toc36218007"/>
      <w:bookmarkStart w:id="1062" w:name="_Toc36218049"/>
      <w:bookmarkStart w:id="1063" w:name="_Toc36458140"/>
      <w:bookmarkStart w:id="1064" w:name="_Toc36660432"/>
      <w:bookmarkStart w:id="1065" w:name="_Toc36737546"/>
      <w:bookmarkStart w:id="1066" w:name="_Toc36742059"/>
      <w:bookmarkStart w:id="1067" w:name="_Toc36748653"/>
      <w:bookmarkStart w:id="1068" w:name="_Toc36750456"/>
      <w:bookmarkStart w:id="1069" w:name="_Toc37068027"/>
      <w:bookmarkStart w:id="1070" w:name="_Toc37084580"/>
      <w:bookmarkStart w:id="1071" w:name="_Toc37084811"/>
      <w:bookmarkStart w:id="1072" w:name="_Toc37084884"/>
      <w:bookmarkStart w:id="1073" w:name="_Toc37096815"/>
      <w:bookmarkStart w:id="1074" w:name="_Toc37097390"/>
      <w:bookmarkStart w:id="1075" w:name="_Toc38376048"/>
      <w:bookmarkStart w:id="1076" w:name="_Toc38376312"/>
      <w:bookmarkStart w:id="1077" w:name="_Toc38384775"/>
      <w:bookmarkStart w:id="1078" w:name="_Toc38438879"/>
      <w:bookmarkStart w:id="1079" w:name="_Toc38460980"/>
      <w:bookmarkStart w:id="1080" w:name="_Toc38461054"/>
      <w:bookmarkStart w:id="1081" w:name="_Toc38465888"/>
      <w:bookmarkStart w:id="1082" w:name="_Toc38491712"/>
      <w:bookmarkStart w:id="1083" w:name="_Toc38546708"/>
      <w:bookmarkStart w:id="1084" w:name="_Toc38562262"/>
      <w:bookmarkStart w:id="1085" w:name="_Toc38612339"/>
      <w:bookmarkStart w:id="1086" w:name="_Toc38619052"/>
      <w:bookmarkStart w:id="1087" w:name="_Toc36215221"/>
      <w:bookmarkStart w:id="1088" w:name="_Toc36215317"/>
      <w:bookmarkStart w:id="1089" w:name="_Toc36217099"/>
      <w:bookmarkStart w:id="1090" w:name="_Toc36217484"/>
      <w:bookmarkStart w:id="1091" w:name="_Toc36217747"/>
      <w:bookmarkStart w:id="1092" w:name="_Toc36218008"/>
      <w:bookmarkStart w:id="1093" w:name="_Toc36218050"/>
      <w:bookmarkStart w:id="1094" w:name="_Toc36458141"/>
      <w:bookmarkStart w:id="1095" w:name="_Toc36660433"/>
      <w:bookmarkStart w:id="1096" w:name="_Toc36737547"/>
      <w:bookmarkStart w:id="1097" w:name="_Toc36742060"/>
      <w:bookmarkStart w:id="1098" w:name="_Toc36748654"/>
      <w:bookmarkStart w:id="1099" w:name="_Toc36750457"/>
      <w:bookmarkStart w:id="1100" w:name="_Toc37068028"/>
      <w:bookmarkStart w:id="1101" w:name="_Toc37084581"/>
      <w:bookmarkStart w:id="1102" w:name="_Toc37084812"/>
      <w:bookmarkStart w:id="1103" w:name="_Toc37084885"/>
      <w:bookmarkStart w:id="1104" w:name="_Toc37096816"/>
      <w:bookmarkStart w:id="1105" w:name="_Toc37097391"/>
      <w:bookmarkStart w:id="1106" w:name="_Toc38376049"/>
      <w:bookmarkStart w:id="1107" w:name="_Toc38376313"/>
      <w:bookmarkStart w:id="1108" w:name="_Toc38384776"/>
      <w:bookmarkStart w:id="1109" w:name="_Toc38438880"/>
      <w:bookmarkStart w:id="1110" w:name="_Toc38460981"/>
      <w:bookmarkStart w:id="1111" w:name="_Toc38461055"/>
      <w:bookmarkStart w:id="1112" w:name="_Toc38465889"/>
      <w:bookmarkStart w:id="1113" w:name="_Toc38491713"/>
      <w:bookmarkStart w:id="1114" w:name="_Toc38546709"/>
      <w:bookmarkStart w:id="1115" w:name="_Toc38562263"/>
      <w:bookmarkStart w:id="1116" w:name="_Toc38612340"/>
      <w:bookmarkStart w:id="1117" w:name="_Toc38619053"/>
      <w:bookmarkStart w:id="1118" w:name="_Toc515864176"/>
      <w:bookmarkStart w:id="1119" w:name="_Toc505537406"/>
      <w:bookmarkStart w:id="1120" w:name="_Toc505537407"/>
      <w:bookmarkStart w:id="1121" w:name="_Toc505537408"/>
      <w:bookmarkStart w:id="1122" w:name="_Toc505537409"/>
      <w:bookmarkStart w:id="1123" w:name="_Toc505537410"/>
      <w:bookmarkStart w:id="1124" w:name="_Toc505537411"/>
      <w:bookmarkStart w:id="1125" w:name="_Toc505537412"/>
      <w:bookmarkStart w:id="1126" w:name="_Toc505537413"/>
      <w:bookmarkStart w:id="1127" w:name="_Toc505537414"/>
      <w:bookmarkStart w:id="1128" w:name="_Toc505537415"/>
      <w:bookmarkStart w:id="1129" w:name="_Toc505537416"/>
      <w:bookmarkStart w:id="1130" w:name="_Toc505537417"/>
      <w:bookmarkStart w:id="1131" w:name="_Toc505537418"/>
      <w:bookmarkStart w:id="1132" w:name="_Toc505537419"/>
      <w:bookmarkStart w:id="1133" w:name="_Toc505537420"/>
      <w:bookmarkStart w:id="1134" w:name="_Toc505537421"/>
      <w:bookmarkStart w:id="1135" w:name="_Toc505537422"/>
      <w:bookmarkStart w:id="1136" w:name="_Toc505537423"/>
      <w:bookmarkStart w:id="1137" w:name="_Toc505537424"/>
      <w:bookmarkStart w:id="1138" w:name="_Toc505537425"/>
      <w:bookmarkStart w:id="1139" w:name="_Toc505537426"/>
      <w:bookmarkStart w:id="1140" w:name="_Toc505537427"/>
      <w:bookmarkStart w:id="1141" w:name="_Toc505537428"/>
      <w:bookmarkStart w:id="1142" w:name="_Toc505537429"/>
      <w:bookmarkStart w:id="1143" w:name="_Toc505537430"/>
      <w:bookmarkStart w:id="1144" w:name="_Toc505537431"/>
      <w:bookmarkStart w:id="1145" w:name="_Toc505537432"/>
      <w:bookmarkStart w:id="1146" w:name="_Toc505537433"/>
      <w:bookmarkStart w:id="1147" w:name="_Toc505537434"/>
      <w:bookmarkStart w:id="1148" w:name="_Toc505537435"/>
      <w:bookmarkStart w:id="1149" w:name="_Toc505537436"/>
      <w:bookmarkStart w:id="1150" w:name="_Toc505537437"/>
      <w:bookmarkStart w:id="1151" w:name="_Toc505537438"/>
      <w:bookmarkStart w:id="1152" w:name="_Toc505537439"/>
      <w:bookmarkStart w:id="1153" w:name="_Toc505537440"/>
      <w:bookmarkStart w:id="1154" w:name="_Toc505537441"/>
      <w:bookmarkStart w:id="1155" w:name="_Toc505537442"/>
      <w:bookmarkStart w:id="1156" w:name="_Toc505537443"/>
      <w:bookmarkStart w:id="1157" w:name="_Toc505537444"/>
      <w:bookmarkStart w:id="1158" w:name="_Toc505537445"/>
      <w:bookmarkStart w:id="1159" w:name="_Toc505537446"/>
      <w:bookmarkStart w:id="1160" w:name="_Toc505537447"/>
      <w:bookmarkStart w:id="1161" w:name="_Toc38376050"/>
      <w:bookmarkStart w:id="1162" w:name="_Toc38376314"/>
      <w:bookmarkStart w:id="1163" w:name="_Toc38384777"/>
      <w:bookmarkStart w:id="1164" w:name="_Toc38438881"/>
      <w:bookmarkStart w:id="1165" w:name="_Toc38460982"/>
      <w:bookmarkStart w:id="1166" w:name="_Toc38461056"/>
      <w:bookmarkStart w:id="1167" w:name="_Toc38465890"/>
      <w:bookmarkStart w:id="1168" w:name="_Toc38491714"/>
      <w:bookmarkStart w:id="1169" w:name="_Toc38546710"/>
      <w:bookmarkStart w:id="1170" w:name="_Toc38562264"/>
      <w:bookmarkStart w:id="1171" w:name="_Toc38612341"/>
      <w:bookmarkStart w:id="1172" w:name="_Toc38619054"/>
      <w:bookmarkStart w:id="1173" w:name="_Toc38376051"/>
      <w:bookmarkStart w:id="1174" w:name="_Toc38376315"/>
      <w:bookmarkStart w:id="1175" w:name="_Toc38384778"/>
      <w:bookmarkStart w:id="1176" w:name="_Toc38438882"/>
      <w:bookmarkStart w:id="1177" w:name="_Toc38460983"/>
      <w:bookmarkStart w:id="1178" w:name="_Toc38461057"/>
      <w:bookmarkStart w:id="1179" w:name="_Toc38465891"/>
      <w:bookmarkStart w:id="1180" w:name="_Toc38491715"/>
      <w:bookmarkStart w:id="1181" w:name="_Toc38546711"/>
      <w:bookmarkStart w:id="1182" w:name="_Toc38562265"/>
      <w:bookmarkStart w:id="1183" w:name="_Toc38612342"/>
      <w:bookmarkStart w:id="1184" w:name="_Toc38619055"/>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r>
        <w:br w:type="page"/>
      </w:r>
    </w:p>
    <w:p w14:paraId="00B8BD28" w14:textId="77777777" w:rsidR="00620051" w:rsidRPr="00620051" w:rsidRDefault="00620051">
      <w:pPr>
        <w:pStyle w:val="FSRHeading4"/>
      </w:pPr>
      <w:r w:rsidRPr="00620051">
        <w:lastRenderedPageBreak/>
        <w:t>Impacts of change in assumptions</w:t>
      </w:r>
    </w:p>
    <w:p w14:paraId="4A3D59BC" w14:textId="77777777" w:rsidR="00620051" w:rsidRPr="00B4450B" w:rsidRDefault="00F160DD" w:rsidP="00B4450B">
      <w:pPr>
        <w:pStyle w:val="FSRnormal"/>
      </w:pPr>
      <w:r w:rsidRPr="00B4450B">
        <w:t>Table H.6</w:t>
      </w:r>
      <w:r w:rsidR="00620051" w:rsidRPr="00B4450B">
        <w:t xml:space="preserve"> show</w:t>
      </w:r>
      <w:r w:rsidR="00A34038">
        <w:t>s</w:t>
      </w:r>
      <w:r w:rsidR="00620051" w:rsidRPr="00B4450B">
        <w:t xml:space="preserve"> the impact of adopting the updated long-term future new entrant assumptions on the projected participant numbers, based on the </w:t>
      </w:r>
      <w:r w:rsidR="00DC6D6D">
        <w:t>revised assumptions adopted at this review</w:t>
      </w:r>
      <w:r w:rsidR="00620051" w:rsidRPr="00B4450B">
        <w:t xml:space="preserve">. As expected, adopting the higher updated long-term new entrant assumptions results in an increase in the participant numbers projected for the year ended 30 June 2023 and onwards. </w:t>
      </w:r>
    </w:p>
    <w:p w14:paraId="2EA84F99" w14:textId="77777777" w:rsidR="00994C5F" w:rsidRPr="00B4450B" w:rsidRDefault="00994C5F" w:rsidP="00B4450B">
      <w:pPr>
        <w:pStyle w:val="Tables"/>
      </w:pPr>
      <w:bookmarkStart w:id="1185" w:name="_Ref114558987"/>
      <w:r w:rsidRPr="00B4450B">
        <w:t>Ta</w:t>
      </w:r>
      <w:r w:rsidR="0099659B">
        <w:t>ble H</w:t>
      </w:r>
      <w:r w:rsidR="00A87896">
        <w:t>.</w:t>
      </w:r>
      <w:fldSimple w:instr=" SEQ Table \* ARABIC \s 2 ">
        <w:r w:rsidR="00A87896">
          <w:rPr>
            <w:noProof/>
          </w:rPr>
          <w:t>6</w:t>
        </w:r>
      </w:fldSimple>
      <w:bookmarkEnd w:id="1185"/>
      <w:r w:rsidRPr="00B4450B">
        <w:t>: Impact on projected participant numbers of adopting the updated long-term new entrant assumptions</w:t>
      </w:r>
    </w:p>
    <w:tbl>
      <w:tblPr>
        <w:tblW w:w="5000" w:type="pct"/>
        <w:tblLook w:val="04A0" w:firstRow="1" w:lastRow="0" w:firstColumn="1" w:lastColumn="0" w:noHBand="0" w:noVBand="1"/>
      </w:tblPr>
      <w:tblGrid>
        <w:gridCol w:w="4161"/>
        <w:gridCol w:w="973"/>
        <w:gridCol w:w="973"/>
        <w:gridCol w:w="973"/>
        <w:gridCol w:w="973"/>
        <w:gridCol w:w="973"/>
      </w:tblGrid>
      <w:tr w:rsidR="00620051" w:rsidRPr="00CB2AEB" w14:paraId="74B06554" w14:textId="77777777" w:rsidTr="00581784">
        <w:trPr>
          <w:trHeight w:val="397"/>
        </w:trPr>
        <w:tc>
          <w:tcPr>
            <w:tcW w:w="2305" w:type="pct"/>
            <w:vMerge w:val="restart"/>
            <w:tcBorders>
              <w:top w:val="nil"/>
              <w:left w:val="nil"/>
              <w:bottom w:val="single" w:sz="4" w:space="0" w:color="000000"/>
              <w:right w:val="nil"/>
            </w:tcBorders>
            <w:shd w:val="clear" w:color="000000" w:fill="6B2976"/>
            <w:vAlign w:val="center"/>
            <w:hideMark/>
          </w:tcPr>
          <w:p w14:paraId="0A027EC5" w14:textId="77777777" w:rsidR="00620051" w:rsidRPr="00CB2AEB" w:rsidRDefault="00620051" w:rsidP="00CB2AEB">
            <w:pPr>
              <w:spacing w:after="0" w:line="240" w:lineRule="auto"/>
              <w:rPr>
                <w:rFonts w:cs="Arial"/>
                <w:b/>
                <w:bCs/>
                <w:color w:val="FFFFFF"/>
                <w:sz w:val="18"/>
                <w:szCs w:val="18"/>
                <w:lang w:eastAsia="en-AU"/>
              </w:rPr>
            </w:pPr>
            <w:r w:rsidRPr="00CB2AEB">
              <w:rPr>
                <w:rFonts w:cs="Arial"/>
                <w:b/>
                <w:bCs/>
                <w:color w:val="FFFFFF"/>
                <w:sz w:val="18"/>
                <w:szCs w:val="18"/>
                <w:lang w:eastAsia="en-AU"/>
              </w:rPr>
              <w:t>I</w:t>
            </w:r>
            <w:r w:rsidRPr="00377695">
              <w:rPr>
                <w:rFonts w:cs="Arial"/>
                <w:b/>
                <w:bCs/>
                <w:color w:val="FFFFFF"/>
                <w:sz w:val="18"/>
                <w:szCs w:val="18"/>
                <w:lang w:eastAsia="en-AU"/>
              </w:rPr>
              <w:t>mpact on projected pa</w:t>
            </w:r>
            <w:r w:rsidRPr="00C14357">
              <w:rPr>
                <w:rFonts w:cs="Arial"/>
                <w:b/>
                <w:bCs/>
                <w:color w:val="FFFFFF"/>
                <w:sz w:val="18"/>
                <w:szCs w:val="18"/>
                <w:lang w:eastAsia="en-AU"/>
              </w:rPr>
              <w:t>rticipant numbers</w:t>
            </w:r>
          </w:p>
        </w:tc>
        <w:tc>
          <w:tcPr>
            <w:tcW w:w="2695" w:type="pct"/>
            <w:gridSpan w:val="5"/>
            <w:tcBorders>
              <w:top w:val="nil"/>
              <w:left w:val="nil"/>
              <w:bottom w:val="single" w:sz="4" w:space="0" w:color="FFFFFF" w:themeColor="background1"/>
              <w:right w:val="nil"/>
            </w:tcBorders>
            <w:shd w:val="clear" w:color="000000" w:fill="6B2976"/>
            <w:noWrap/>
            <w:vAlign w:val="center"/>
            <w:hideMark/>
          </w:tcPr>
          <w:p w14:paraId="1CC60B68" w14:textId="77777777" w:rsidR="00620051" w:rsidRPr="00CB2AEB" w:rsidRDefault="00896884" w:rsidP="00CB2AEB">
            <w:pPr>
              <w:spacing w:after="0" w:line="240" w:lineRule="auto"/>
              <w:jc w:val="center"/>
              <w:rPr>
                <w:rFonts w:cs="Arial"/>
                <w:b/>
                <w:bCs/>
                <w:color w:val="FFFFFF"/>
                <w:sz w:val="18"/>
                <w:szCs w:val="18"/>
                <w:lang w:eastAsia="en-AU"/>
              </w:rPr>
            </w:pPr>
            <w:r>
              <w:rPr>
                <w:rFonts w:cs="Arial"/>
                <w:b/>
                <w:bCs/>
                <w:color w:val="FFFFFF"/>
                <w:sz w:val="18"/>
                <w:szCs w:val="18"/>
                <w:lang w:eastAsia="en-AU"/>
              </w:rPr>
              <w:t>Participants at</w:t>
            </w:r>
            <w:r w:rsidR="00620051" w:rsidRPr="00CB2AEB">
              <w:rPr>
                <w:rFonts w:cs="Arial"/>
                <w:b/>
                <w:bCs/>
                <w:color w:val="FFFFFF"/>
                <w:sz w:val="18"/>
                <w:szCs w:val="18"/>
                <w:lang w:eastAsia="en-AU"/>
              </w:rPr>
              <w:t xml:space="preserve"> 30 June:</w:t>
            </w:r>
          </w:p>
        </w:tc>
      </w:tr>
      <w:tr w:rsidR="00620051" w:rsidRPr="00CB2AEB" w14:paraId="4F201F3E" w14:textId="77777777" w:rsidTr="00252EAF">
        <w:trPr>
          <w:trHeight w:val="530"/>
        </w:trPr>
        <w:tc>
          <w:tcPr>
            <w:tcW w:w="2305" w:type="pct"/>
            <w:vMerge/>
            <w:tcBorders>
              <w:top w:val="nil"/>
              <w:left w:val="nil"/>
              <w:right w:val="nil"/>
            </w:tcBorders>
            <w:vAlign w:val="center"/>
            <w:hideMark/>
          </w:tcPr>
          <w:p w14:paraId="2E2C2B79" w14:textId="77777777" w:rsidR="00620051" w:rsidRPr="00CB2AEB" w:rsidRDefault="00620051" w:rsidP="006D3A4D">
            <w:pPr>
              <w:spacing w:after="0" w:line="240" w:lineRule="auto"/>
              <w:rPr>
                <w:rFonts w:cs="Arial"/>
                <w:b/>
                <w:bCs/>
                <w:color w:val="FFFFFF"/>
                <w:sz w:val="18"/>
                <w:szCs w:val="18"/>
                <w:lang w:eastAsia="en-AU"/>
              </w:rPr>
            </w:pPr>
          </w:p>
        </w:tc>
        <w:tc>
          <w:tcPr>
            <w:tcW w:w="539" w:type="pct"/>
            <w:tcBorders>
              <w:top w:val="single" w:sz="4" w:space="0" w:color="FFFFFF" w:themeColor="background1"/>
              <w:left w:val="nil"/>
              <w:right w:val="nil"/>
            </w:tcBorders>
            <w:shd w:val="clear" w:color="000000" w:fill="6B2976"/>
            <w:noWrap/>
            <w:vAlign w:val="center"/>
            <w:hideMark/>
          </w:tcPr>
          <w:p w14:paraId="6F8C806B" w14:textId="77777777" w:rsidR="00620051" w:rsidRPr="00CB2AEB" w:rsidRDefault="00620051" w:rsidP="00CB2AEB">
            <w:pPr>
              <w:spacing w:after="0" w:line="240" w:lineRule="auto"/>
              <w:jc w:val="right"/>
              <w:rPr>
                <w:rFonts w:cs="Arial"/>
                <w:b/>
                <w:bCs/>
                <w:color w:val="FFFFFF"/>
                <w:sz w:val="18"/>
                <w:szCs w:val="18"/>
                <w:lang w:eastAsia="en-AU"/>
              </w:rPr>
            </w:pPr>
            <w:r w:rsidRPr="00CB2AEB">
              <w:rPr>
                <w:rFonts w:cs="Arial"/>
                <w:b/>
                <w:bCs/>
                <w:color w:val="FFFFFF"/>
                <w:sz w:val="18"/>
                <w:szCs w:val="18"/>
                <w:lang w:eastAsia="en-AU"/>
              </w:rPr>
              <w:t>2023</w:t>
            </w:r>
          </w:p>
        </w:tc>
        <w:tc>
          <w:tcPr>
            <w:tcW w:w="539" w:type="pct"/>
            <w:tcBorders>
              <w:top w:val="single" w:sz="4" w:space="0" w:color="FFFFFF" w:themeColor="background1"/>
              <w:left w:val="nil"/>
              <w:right w:val="nil"/>
            </w:tcBorders>
            <w:shd w:val="clear" w:color="000000" w:fill="6B2976"/>
            <w:noWrap/>
            <w:vAlign w:val="center"/>
            <w:hideMark/>
          </w:tcPr>
          <w:p w14:paraId="7C27834D" w14:textId="77777777" w:rsidR="00620051" w:rsidRPr="00CB2AEB" w:rsidRDefault="00620051" w:rsidP="00CB2AEB">
            <w:pPr>
              <w:spacing w:after="0" w:line="240" w:lineRule="auto"/>
              <w:jc w:val="right"/>
              <w:rPr>
                <w:rFonts w:cs="Arial"/>
                <w:b/>
                <w:bCs/>
                <w:color w:val="FFFFFF"/>
                <w:sz w:val="18"/>
                <w:szCs w:val="18"/>
                <w:lang w:eastAsia="en-AU"/>
              </w:rPr>
            </w:pPr>
            <w:r w:rsidRPr="00CB2AEB">
              <w:rPr>
                <w:rFonts w:cs="Arial"/>
                <w:b/>
                <w:bCs/>
                <w:color w:val="FFFFFF"/>
                <w:sz w:val="18"/>
                <w:szCs w:val="18"/>
                <w:lang w:eastAsia="en-AU"/>
              </w:rPr>
              <w:t>2024</w:t>
            </w:r>
          </w:p>
        </w:tc>
        <w:tc>
          <w:tcPr>
            <w:tcW w:w="539" w:type="pct"/>
            <w:tcBorders>
              <w:top w:val="single" w:sz="4" w:space="0" w:color="FFFFFF" w:themeColor="background1"/>
              <w:left w:val="nil"/>
              <w:right w:val="nil"/>
            </w:tcBorders>
            <w:shd w:val="clear" w:color="000000" w:fill="6B2976"/>
            <w:noWrap/>
            <w:vAlign w:val="center"/>
            <w:hideMark/>
          </w:tcPr>
          <w:p w14:paraId="12E519AF" w14:textId="77777777" w:rsidR="00620051" w:rsidRPr="00CB2AEB" w:rsidRDefault="00620051" w:rsidP="00CB2AEB">
            <w:pPr>
              <w:spacing w:after="0" w:line="240" w:lineRule="auto"/>
              <w:jc w:val="right"/>
              <w:rPr>
                <w:rFonts w:cs="Arial"/>
                <w:b/>
                <w:bCs/>
                <w:color w:val="FFFFFF"/>
                <w:sz w:val="18"/>
                <w:szCs w:val="18"/>
                <w:lang w:eastAsia="en-AU"/>
              </w:rPr>
            </w:pPr>
            <w:r w:rsidRPr="00CB2AEB">
              <w:rPr>
                <w:rFonts w:cs="Arial"/>
                <w:b/>
                <w:bCs/>
                <w:color w:val="FFFFFF"/>
                <w:sz w:val="18"/>
                <w:szCs w:val="18"/>
                <w:lang w:eastAsia="en-AU"/>
              </w:rPr>
              <w:t>2025</w:t>
            </w:r>
          </w:p>
        </w:tc>
        <w:tc>
          <w:tcPr>
            <w:tcW w:w="539" w:type="pct"/>
            <w:tcBorders>
              <w:top w:val="single" w:sz="4" w:space="0" w:color="FFFFFF" w:themeColor="background1"/>
              <w:left w:val="nil"/>
              <w:right w:val="dotted" w:sz="4" w:space="0" w:color="auto"/>
            </w:tcBorders>
            <w:shd w:val="clear" w:color="000000" w:fill="6B2976"/>
            <w:noWrap/>
            <w:vAlign w:val="center"/>
            <w:hideMark/>
          </w:tcPr>
          <w:p w14:paraId="7A171A06" w14:textId="77777777" w:rsidR="00620051" w:rsidRPr="00CB2AEB" w:rsidRDefault="00620051" w:rsidP="00CB2AEB">
            <w:pPr>
              <w:spacing w:after="0" w:line="240" w:lineRule="auto"/>
              <w:jc w:val="right"/>
              <w:rPr>
                <w:rFonts w:cs="Arial"/>
                <w:b/>
                <w:bCs/>
                <w:color w:val="FFFFFF"/>
                <w:sz w:val="18"/>
                <w:szCs w:val="18"/>
                <w:lang w:eastAsia="en-AU"/>
              </w:rPr>
            </w:pPr>
            <w:r w:rsidRPr="00CB2AEB">
              <w:rPr>
                <w:rFonts w:cs="Arial"/>
                <w:b/>
                <w:bCs/>
                <w:color w:val="FFFFFF"/>
                <w:sz w:val="18"/>
                <w:szCs w:val="18"/>
                <w:lang w:eastAsia="en-AU"/>
              </w:rPr>
              <w:t>2026</w:t>
            </w:r>
          </w:p>
        </w:tc>
        <w:tc>
          <w:tcPr>
            <w:tcW w:w="539" w:type="pct"/>
            <w:tcBorders>
              <w:top w:val="single" w:sz="4" w:space="0" w:color="FFFFFF" w:themeColor="background1"/>
              <w:left w:val="dotted" w:sz="4" w:space="0" w:color="auto"/>
              <w:right w:val="nil"/>
            </w:tcBorders>
            <w:shd w:val="clear" w:color="000000" w:fill="6B2976"/>
            <w:noWrap/>
            <w:vAlign w:val="center"/>
            <w:hideMark/>
          </w:tcPr>
          <w:p w14:paraId="634E5502" w14:textId="77777777" w:rsidR="00620051" w:rsidRPr="00CB2AEB" w:rsidRDefault="00620051" w:rsidP="00CB2AEB">
            <w:pPr>
              <w:spacing w:after="0" w:line="240" w:lineRule="auto"/>
              <w:jc w:val="right"/>
              <w:rPr>
                <w:rFonts w:cs="Arial"/>
                <w:b/>
                <w:bCs/>
                <w:color w:val="FFFFFF"/>
                <w:sz w:val="18"/>
                <w:szCs w:val="18"/>
                <w:lang w:eastAsia="en-AU"/>
              </w:rPr>
            </w:pPr>
            <w:r w:rsidRPr="00CB2AEB">
              <w:rPr>
                <w:rFonts w:cs="Arial"/>
                <w:b/>
                <w:bCs/>
                <w:color w:val="FFFFFF"/>
                <w:sz w:val="18"/>
                <w:szCs w:val="18"/>
                <w:lang w:eastAsia="en-AU"/>
              </w:rPr>
              <w:t>2032</w:t>
            </w:r>
          </w:p>
        </w:tc>
      </w:tr>
      <w:tr w:rsidR="00620051" w:rsidRPr="00CB2AEB" w14:paraId="6632774C" w14:textId="77777777" w:rsidTr="00581784">
        <w:trPr>
          <w:trHeight w:val="301"/>
        </w:trPr>
        <w:tc>
          <w:tcPr>
            <w:tcW w:w="2305" w:type="pct"/>
            <w:tcBorders>
              <w:top w:val="nil"/>
              <w:left w:val="nil"/>
              <w:bottom w:val="single" w:sz="4" w:space="0" w:color="auto"/>
              <w:right w:val="nil"/>
            </w:tcBorders>
            <w:shd w:val="clear" w:color="auto" w:fill="auto"/>
            <w:vAlign w:val="center"/>
            <w:hideMark/>
          </w:tcPr>
          <w:p w14:paraId="1E5B6E7C" w14:textId="77777777" w:rsidR="00620051" w:rsidRPr="00CB2AEB" w:rsidRDefault="00620051" w:rsidP="00CB2AEB">
            <w:pPr>
              <w:spacing w:after="0" w:line="240" w:lineRule="auto"/>
              <w:rPr>
                <w:rFonts w:cs="Arial"/>
                <w:color w:val="000000"/>
                <w:sz w:val="18"/>
                <w:szCs w:val="18"/>
                <w:lang w:eastAsia="en-AU"/>
              </w:rPr>
            </w:pPr>
            <w:r w:rsidRPr="00CB2AEB">
              <w:rPr>
                <w:rFonts w:cs="Arial"/>
                <w:color w:val="000000"/>
                <w:sz w:val="18"/>
                <w:szCs w:val="18"/>
                <w:lang w:eastAsia="en-AU"/>
              </w:rPr>
              <w:t>Baseline projection from 2020-21 AFSR</w:t>
            </w:r>
          </w:p>
        </w:tc>
        <w:tc>
          <w:tcPr>
            <w:tcW w:w="539" w:type="pct"/>
            <w:tcBorders>
              <w:left w:val="nil"/>
              <w:bottom w:val="single" w:sz="4" w:space="0" w:color="auto"/>
              <w:right w:val="nil"/>
            </w:tcBorders>
            <w:shd w:val="clear" w:color="auto" w:fill="auto"/>
            <w:vAlign w:val="center"/>
            <w:hideMark/>
          </w:tcPr>
          <w:p w14:paraId="34AA402C"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586,433</w:t>
            </w:r>
          </w:p>
        </w:tc>
        <w:tc>
          <w:tcPr>
            <w:tcW w:w="539" w:type="pct"/>
            <w:tcBorders>
              <w:left w:val="nil"/>
              <w:bottom w:val="single" w:sz="4" w:space="0" w:color="auto"/>
              <w:right w:val="nil"/>
            </w:tcBorders>
            <w:shd w:val="clear" w:color="auto" w:fill="auto"/>
            <w:vAlign w:val="center"/>
            <w:hideMark/>
          </w:tcPr>
          <w:p w14:paraId="026CA983"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630,327</w:t>
            </w:r>
          </w:p>
        </w:tc>
        <w:tc>
          <w:tcPr>
            <w:tcW w:w="539" w:type="pct"/>
            <w:tcBorders>
              <w:left w:val="nil"/>
              <w:bottom w:val="single" w:sz="4" w:space="0" w:color="auto"/>
              <w:right w:val="nil"/>
            </w:tcBorders>
            <w:shd w:val="clear" w:color="auto" w:fill="auto"/>
            <w:vAlign w:val="center"/>
            <w:hideMark/>
          </w:tcPr>
          <w:p w14:paraId="1DAFABAF"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670,400</w:t>
            </w:r>
          </w:p>
        </w:tc>
        <w:tc>
          <w:tcPr>
            <w:tcW w:w="539" w:type="pct"/>
            <w:tcBorders>
              <w:left w:val="nil"/>
              <w:bottom w:val="single" w:sz="4" w:space="0" w:color="auto"/>
              <w:right w:val="dotted" w:sz="4" w:space="0" w:color="auto"/>
            </w:tcBorders>
            <w:shd w:val="clear" w:color="auto" w:fill="auto"/>
            <w:vAlign w:val="center"/>
            <w:hideMark/>
          </w:tcPr>
          <w:p w14:paraId="775A08AD"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709,645</w:t>
            </w:r>
          </w:p>
        </w:tc>
        <w:tc>
          <w:tcPr>
            <w:tcW w:w="539" w:type="pct"/>
            <w:tcBorders>
              <w:left w:val="dotted" w:sz="4" w:space="0" w:color="auto"/>
              <w:bottom w:val="single" w:sz="4" w:space="0" w:color="auto"/>
              <w:right w:val="nil"/>
            </w:tcBorders>
            <w:shd w:val="clear" w:color="auto" w:fill="auto"/>
            <w:vAlign w:val="center"/>
            <w:hideMark/>
          </w:tcPr>
          <w:p w14:paraId="540BDD37"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931,591</w:t>
            </w:r>
          </w:p>
        </w:tc>
      </w:tr>
      <w:tr w:rsidR="00620051" w:rsidRPr="00CB2AEB" w14:paraId="495191A3" w14:textId="77777777" w:rsidTr="00581784">
        <w:trPr>
          <w:trHeight w:val="301"/>
        </w:trPr>
        <w:tc>
          <w:tcPr>
            <w:tcW w:w="2305" w:type="pct"/>
            <w:tcBorders>
              <w:top w:val="nil"/>
              <w:left w:val="nil"/>
              <w:bottom w:val="nil"/>
              <w:right w:val="nil"/>
            </w:tcBorders>
            <w:shd w:val="clear" w:color="000000" w:fill="BCBEC0"/>
            <w:vAlign w:val="center"/>
            <w:hideMark/>
          </w:tcPr>
          <w:p w14:paraId="3917832A" w14:textId="77777777" w:rsidR="00620051" w:rsidRPr="00CB2AEB" w:rsidRDefault="00620051" w:rsidP="00CB2AEB">
            <w:pPr>
              <w:spacing w:after="0" w:line="240" w:lineRule="auto"/>
              <w:rPr>
                <w:rFonts w:cs="Arial"/>
                <w:color w:val="000000"/>
                <w:sz w:val="18"/>
                <w:szCs w:val="18"/>
                <w:lang w:eastAsia="en-AU"/>
              </w:rPr>
            </w:pPr>
            <w:r w:rsidRPr="00CB2AEB">
              <w:rPr>
                <w:rFonts w:cs="Arial"/>
                <w:color w:val="000000"/>
                <w:sz w:val="18"/>
                <w:szCs w:val="18"/>
                <w:lang w:eastAsia="en-AU"/>
              </w:rPr>
              <w:t>Change in participant numbers</w:t>
            </w:r>
          </w:p>
        </w:tc>
        <w:tc>
          <w:tcPr>
            <w:tcW w:w="539" w:type="pct"/>
            <w:tcBorders>
              <w:top w:val="nil"/>
              <w:left w:val="nil"/>
              <w:bottom w:val="nil"/>
              <w:right w:val="nil"/>
            </w:tcBorders>
            <w:shd w:val="clear" w:color="000000" w:fill="BCBEC0"/>
            <w:vAlign w:val="center"/>
            <w:hideMark/>
          </w:tcPr>
          <w:p w14:paraId="560FB2F4"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4,126</w:t>
            </w:r>
          </w:p>
        </w:tc>
        <w:tc>
          <w:tcPr>
            <w:tcW w:w="539" w:type="pct"/>
            <w:tcBorders>
              <w:top w:val="single" w:sz="4" w:space="0" w:color="auto"/>
              <w:left w:val="nil"/>
              <w:bottom w:val="nil"/>
              <w:right w:val="nil"/>
            </w:tcBorders>
            <w:shd w:val="clear" w:color="000000" w:fill="BCBEC0"/>
            <w:vAlign w:val="center"/>
            <w:hideMark/>
          </w:tcPr>
          <w:p w14:paraId="33512C88"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8,236</w:t>
            </w:r>
          </w:p>
        </w:tc>
        <w:tc>
          <w:tcPr>
            <w:tcW w:w="539" w:type="pct"/>
            <w:tcBorders>
              <w:top w:val="nil"/>
              <w:left w:val="nil"/>
              <w:bottom w:val="nil"/>
              <w:right w:val="nil"/>
            </w:tcBorders>
            <w:shd w:val="clear" w:color="000000" w:fill="BCBEC0"/>
            <w:vAlign w:val="center"/>
            <w:hideMark/>
          </w:tcPr>
          <w:p w14:paraId="4C263AD7"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12,017</w:t>
            </w:r>
          </w:p>
        </w:tc>
        <w:tc>
          <w:tcPr>
            <w:tcW w:w="539" w:type="pct"/>
            <w:tcBorders>
              <w:top w:val="nil"/>
              <w:left w:val="nil"/>
              <w:bottom w:val="nil"/>
              <w:right w:val="dotted" w:sz="4" w:space="0" w:color="auto"/>
            </w:tcBorders>
            <w:shd w:val="clear" w:color="000000" w:fill="BCBEC0"/>
            <w:vAlign w:val="center"/>
            <w:hideMark/>
          </w:tcPr>
          <w:p w14:paraId="71AC3759"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15,879</w:t>
            </w:r>
          </w:p>
        </w:tc>
        <w:tc>
          <w:tcPr>
            <w:tcW w:w="539" w:type="pct"/>
            <w:tcBorders>
              <w:top w:val="nil"/>
              <w:left w:val="dotted" w:sz="4" w:space="0" w:color="auto"/>
              <w:bottom w:val="nil"/>
              <w:right w:val="nil"/>
            </w:tcBorders>
            <w:shd w:val="clear" w:color="000000" w:fill="BCBEC0"/>
            <w:vAlign w:val="center"/>
            <w:hideMark/>
          </w:tcPr>
          <w:p w14:paraId="76D44B16"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44,863</w:t>
            </w:r>
          </w:p>
        </w:tc>
      </w:tr>
      <w:tr w:rsidR="00620051" w:rsidRPr="00CB2AEB" w14:paraId="583A2E40" w14:textId="77777777" w:rsidTr="00581784">
        <w:trPr>
          <w:trHeight w:val="301"/>
        </w:trPr>
        <w:tc>
          <w:tcPr>
            <w:tcW w:w="2305" w:type="pct"/>
            <w:tcBorders>
              <w:top w:val="nil"/>
              <w:left w:val="nil"/>
              <w:bottom w:val="single" w:sz="4" w:space="0" w:color="auto"/>
              <w:right w:val="nil"/>
            </w:tcBorders>
            <w:shd w:val="clear" w:color="000000" w:fill="FFFFFF"/>
            <w:vAlign w:val="center"/>
            <w:hideMark/>
          </w:tcPr>
          <w:p w14:paraId="594D03CA" w14:textId="77777777" w:rsidR="00620051" w:rsidRPr="00CB2AEB" w:rsidRDefault="00620051" w:rsidP="00CB2AEB">
            <w:pPr>
              <w:spacing w:after="0" w:line="240" w:lineRule="auto"/>
              <w:rPr>
                <w:rFonts w:cs="Arial"/>
                <w:color w:val="000000"/>
                <w:sz w:val="18"/>
                <w:szCs w:val="18"/>
                <w:lang w:eastAsia="en-AU"/>
              </w:rPr>
            </w:pPr>
            <w:r w:rsidRPr="00CB2AEB">
              <w:rPr>
                <w:rFonts w:cs="Arial"/>
                <w:color w:val="000000"/>
                <w:sz w:val="18"/>
                <w:szCs w:val="18"/>
                <w:lang w:eastAsia="en-AU"/>
              </w:rPr>
              <w:t>%Change in participant numbers</w:t>
            </w:r>
          </w:p>
        </w:tc>
        <w:tc>
          <w:tcPr>
            <w:tcW w:w="539" w:type="pct"/>
            <w:tcBorders>
              <w:top w:val="nil"/>
              <w:left w:val="nil"/>
              <w:bottom w:val="single" w:sz="4" w:space="0" w:color="auto"/>
              <w:right w:val="nil"/>
            </w:tcBorders>
            <w:shd w:val="clear" w:color="000000" w:fill="FFFFFF"/>
            <w:noWrap/>
            <w:vAlign w:val="center"/>
            <w:hideMark/>
          </w:tcPr>
          <w:p w14:paraId="7A973399"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0.7%</w:t>
            </w:r>
          </w:p>
        </w:tc>
        <w:tc>
          <w:tcPr>
            <w:tcW w:w="539" w:type="pct"/>
            <w:tcBorders>
              <w:top w:val="nil"/>
              <w:left w:val="nil"/>
              <w:bottom w:val="single" w:sz="4" w:space="0" w:color="auto"/>
              <w:right w:val="nil"/>
            </w:tcBorders>
            <w:shd w:val="clear" w:color="000000" w:fill="FFFFFF"/>
            <w:noWrap/>
            <w:vAlign w:val="center"/>
            <w:hideMark/>
          </w:tcPr>
          <w:p w14:paraId="15A35EE8"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1.3%</w:t>
            </w:r>
          </w:p>
        </w:tc>
        <w:tc>
          <w:tcPr>
            <w:tcW w:w="539" w:type="pct"/>
            <w:tcBorders>
              <w:top w:val="nil"/>
              <w:left w:val="nil"/>
              <w:bottom w:val="single" w:sz="4" w:space="0" w:color="auto"/>
              <w:right w:val="nil"/>
            </w:tcBorders>
            <w:shd w:val="clear" w:color="000000" w:fill="FFFFFF"/>
            <w:noWrap/>
            <w:vAlign w:val="center"/>
            <w:hideMark/>
          </w:tcPr>
          <w:p w14:paraId="377CBA88"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1.8%</w:t>
            </w:r>
          </w:p>
        </w:tc>
        <w:tc>
          <w:tcPr>
            <w:tcW w:w="539" w:type="pct"/>
            <w:tcBorders>
              <w:top w:val="nil"/>
              <w:left w:val="nil"/>
              <w:bottom w:val="single" w:sz="4" w:space="0" w:color="auto"/>
              <w:right w:val="dotted" w:sz="4" w:space="0" w:color="auto"/>
            </w:tcBorders>
            <w:shd w:val="clear" w:color="000000" w:fill="FFFFFF"/>
            <w:noWrap/>
            <w:vAlign w:val="center"/>
            <w:hideMark/>
          </w:tcPr>
          <w:p w14:paraId="470CBB7D"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2.2%</w:t>
            </w:r>
          </w:p>
        </w:tc>
        <w:tc>
          <w:tcPr>
            <w:tcW w:w="539" w:type="pct"/>
            <w:tcBorders>
              <w:top w:val="nil"/>
              <w:left w:val="dotted" w:sz="4" w:space="0" w:color="auto"/>
              <w:bottom w:val="single" w:sz="4" w:space="0" w:color="auto"/>
              <w:right w:val="nil"/>
            </w:tcBorders>
            <w:shd w:val="clear" w:color="000000" w:fill="FFFFFF"/>
            <w:noWrap/>
            <w:vAlign w:val="center"/>
            <w:hideMark/>
          </w:tcPr>
          <w:p w14:paraId="4E817A35" w14:textId="77777777" w:rsidR="00620051" w:rsidRPr="00CB2AEB" w:rsidRDefault="00620051" w:rsidP="00CB2AEB">
            <w:pPr>
              <w:spacing w:after="0" w:line="240" w:lineRule="auto"/>
              <w:jc w:val="right"/>
              <w:rPr>
                <w:rFonts w:cs="Arial"/>
                <w:color w:val="000000"/>
                <w:sz w:val="18"/>
                <w:szCs w:val="18"/>
                <w:lang w:eastAsia="en-AU"/>
              </w:rPr>
            </w:pPr>
            <w:r w:rsidRPr="00CB2AEB">
              <w:rPr>
                <w:rFonts w:cs="Arial"/>
                <w:color w:val="000000"/>
                <w:sz w:val="18"/>
                <w:szCs w:val="18"/>
                <w:lang w:eastAsia="en-AU"/>
              </w:rPr>
              <w:t>4.8%</w:t>
            </w:r>
          </w:p>
        </w:tc>
      </w:tr>
    </w:tbl>
    <w:p w14:paraId="4B0D35C6" w14:textId="77777777" w:rsidR="00DA3375" w:rsidRDefault="00DA3375" w:rsidP="00DA3375">
      <w:pPr>
        <w:pStyle w:val="Heading2"/>
        <w:numPr>
          <w:ilvl w:val="0"/>
          <w:numId w:val="0"/>
        </w:numPr>
        <w:ind w:left="2835" w:hanging="2835"/>
      </w:pPr>
      <w:bookmarkStart w:id="1186" w:name="_Toc118460232"/>
      <w:r>
        <w:lastRenderedPageBreak/>
        <w:t xml:space="preserve">Appendix I: </w:t>
      </w:r>
      <w:r>
        <w:tab/>
      </w:r>
      <w:r w:rsidRPr="00ED27E8">
        <w:t>A</w:t>
      </w:r>
      <w:r>
        <w:t xml:space="preserve">nalysis </w:t>
      </w:r>
      <w:r w:rsidR="00805B82">
        <w:t xml:space="preserve">of experience </w:t>
      </w:r>
      <w:r>
        <w:t>of</w:t>
      </w:r>
      <w:r w:rsidRPr="00ED27E8">
        <w:t xml:space="preserve"> </w:t>
      </w:r>
      <w:r>
        <w:t>p</w:t>
      </w:r>
      <w:r w:rsidRPr="00ED27E8">
        <w:t>articipants leaving the Scheme</w:t>
      </w:r>
      <w:bookmarkEnd w:id="1186"/>
    </w:p>
    <w:p w14:paraId="54D4D5AE" w14:textId="77777777" w:rsidR="00DA3375" w:rsidRPr="00ED27E8" w:rsidRDefault="00C42452" w:rsidP="00DA3375">
      <w:pPr>
        <w:pStyle w:val="FSRHeading4"/>
      </w:pPr>
      <w:bookmarkStart w:id="1187" w:name="_Toc38361257"/>
      <w:bookmarkStart w:id="1188" w:name="_Toc104291107"/>
      <w:bookmarkEnd w:id="1187"/>
      <w:r>
        <w:t xml:space="preserve">Background and </w:t>
      </w:r>
      <w:r w:rsidR="00DA3375" w:rsidRPr="00ED27E8">
        <w:t>Purpose</w:t>
      </w:r>
      <w:bookmarkEnd w:id="1188"/>
    </w:p>
    <w:p w14:paraId="04164B82" w14:textId="77777777" w:rsidR="00DA3375" w:rsidRPr="002A1656" w:rsidRDefault="00DA3375" w:rsidP="00F830E6">
      <w:pPr>
        <w:pStyle w:val="FSRnormal"/>
      </w:pPr>
      <w:r>
        <w:t xml:space="preserve">This appendix sets out the experience of participants leaving the Scheme (for any reason other than death) which was analysed to select the assumptions used in the 2021-22 AFSR projections. </w:t>
      </w:r>
    </w:p>
    <w:p w14:paraId="665B5ECA" w14:textId="77777777" w:rsidR="00DA3375" w:rsidRDefault="00DA3375" w:rsidP="00DA3375">
      <w:pPr>
        <w:pStyle w:val="FSRnormal"/>
      </w:pPr>
      <w:r w:rsidRPr="00925543">
        <w:t>Th</w:t>
      </w:r>
      <w:r>
        <w:t>e appendix</w:t>
      </w:r>
      <w:r w:rsidRPr="00925543">
        <w:t xml:space="preserve"> outlines the data available for analysis as well as the limitations of the data, describes the modelling approach </w:t>
      </w:r>
      <w:r>
        <w:t>used,</w:t>
      </w:r>
      <w:r w:rsidRPr="00925543">
        <w:t xml:space="preserve"> </w:t>
      </w:r>
      <w:r>
        <w:t>sets out recent</w:t>
      </w:r>
      <w:r w:rsidRPr="00925543">
        <w:t xml:space="preserve"> experience </w:t>
      </w:r>
      <w:r>
        <w:t>of participants leaving the Scheme and the selected assumptions</w:t>
      </w:r>
      <w:r w:rsidRPr="00925543">
        <w:t>.</w:t>
      </w:r>
    </w:p>
    <w:p w14:paraId="5A505DCC" w14:textId="77777777" w:rsidR="00DA3375" w:rsidRDefault="00DA3375" w:rsidP="00DA3375">
      <w:pPr>
        <w:pStyle w:val="FSRnormal"/>
      </w:pPr>
      <w:r>
        <w:t>A summary of previous analysis was included in Section 4.1 of the 2020-21 AFSR, noting that at the previous review, the experience of participants leaving the Scheme was referred to as “non-mortality exit” experience.</w:t>
      </w:r>
    </w:p>
    <w:p w14:paraId="582B42F5" w14:textId="77777777" w:rsidR="00DA3375" w:rsidRDefault="00DA3375" w:rsidP="00DA3375">
      <w:pPr>
        <w:pStyle w:val="FSRnormal"/>
      </w:pPr>
      <w:r>
        <w:t>T</w:t>
      </w:r>
      <w:r w:rsidRPr="00F80D19">
        <w:t>h</w:t>
      </w:r>
      <w:r w:rsidR="00B62A8A">
        <w:t>e</w:t>
      </w:r>
      <w:r w:rsidRPr="00F80D19">
        <w:t xml:space="preserve"> </w:t>
      </w:r>
      <w:r>
        <w:t xml:space="preserve">analysis </w:t>
      </w:r>
      <w:r w:rsidR="00867FDD">
        <w:t xml:space="preserve">documented </w:t>
      </w:r>
      <w:r>
        <w:t>in this appendix</w:t>
      </w:r>
      <w:r w:rsidRPr="00F80D19">
        <w:t xml:space="preserve"> will </w:t>
      </w:r>
      <w:r>
        <w:t xml:space="preserve">continue to </w:t>
      </w:r>
      <w:r w:rsidRPr="00F80D19">
        <w:t xml:space="preserve">be updated </w:t>
      </w:r>
      <w:r w:rsidR="005571B4">
        <w:t>regularly</w:t>
      </w:r>
      <w:r w:rsidR="00B62A8A">
        <w:rPr>
          <w:rStyle w:val="FootnoteReference"/>
        </w:rPr>
        <w:footnoteReference w:id="157"/>
      </w:r>
      <w:r w:rsidRPr="00F80D19">
        <w:t xml:space="preserve"> to </w:t>
      </w:r>
      <w:r>
        <w:t>monitor</w:t>
      </w:r>
      <w:r w:rsidRPr="00F80D19">
        <w:t xml:space="preserve"> the </w:t>
      </w:r>
      <w:r>
        <w:t>experience of participants leaving</w:t>
      </w:r>
      <w:r w:rsidR="00603AFF">
        <w:t xml:space="preserve"> the Scheme</w:t>
      </w:r>
      <w:r>
        <w:t xml:space="preserve"> and adopted assumptions for AFSR purposes</w:t>
      </w:r>
      <w:r w:rsidRPr="00F80D19">
        <w:t>.</w:t>
      </w:r>
    </w:p>
    <w:p w14:paraId="0EB4A7C5" w14:textId="77777777" w:rsidR="00DA3375" w:rsidRPr="004135DC" w:rsidRDefault="00DA3375" w:rsidP="00DA3375">
      <w:pPr>
        <w:pStyle w:val="FSRHeading4"/>
      </w:pPr>
      <w:bookmarkStart w:id="1189" w:name="_Toc99645367"/>
      <w:bookmarkStart w:id="1190" w:name="_Toc34764173"/>
      <w:bookmarkStart w:id="1191" w:name="_Toc104291114"/>
      <w:bookmarkEnd w:id="1189"/>
      <w:bookmarkEnd w:id="1190"/>
      <w:r>
        <w:t>Modelling approach</w:t>
      </w:r>
      <w:bookmarkEnd w:id="1191"/>
    </w:p>
    <w:p w14:paraId="4394E039" w14:textId="77777777" w:rsidR="00DA3375" w:rsidRDefault="00DA3375" w:rsidP="00DA3375">
      <w:pPr>
        <w:pStyle w:val="FSRnormal"/>
      </w:pPr>
      <w:r>
        <w:t xml:space="preserve">Participants may leave the Scheme </w:t>
      </w:r>
      <w:r w:rsidR="0017531D">
        <w:t xml:space="preserve">for one of several </w:t>
      </w:r>
      <w:r>
        <w:t>reasons:</w:t>
      </w:r>
    </w:p>
    <w:p w14:paraId="416AB244" w14:textId="77777777" w:rsidR="00DA3375" w:rsidRDefault="00DA3375" w:rsidP="00DA3375">
      <w:pPr>
        <w:pStyle w:val="FSRlist"/>
      </w:pPr>
      <w:r w:rsidRPr="00934B46">
        <w:rPr>
          <w:b/>
          <w:i/>
        </w:rPr>
        <w:t>Participant initiated</w:t>
      </w:r>
      <w:r>
        <w:t>: They have chosen to leave the Scheme of their own accord;</w:t>
      </w:r>
    </w:p>
    <w:p w14:paraId="3545A016" w14:textId="77777777" w:rsidR="00DA3375" w:rsidRPr="00ED27E8" w:rsidRDefault="00DA3375" w:rsidP="00DA3375">
      <w:pPr>
        <w:pStyle w:val="FSRlist"/>
        <w:rPr>
          <w:b/>
          <w:i/>
        </w:rPr>
      </w:pPr>
      <w:r w:rsidRPr="00970FCB">
        <w:rPr>
          <w:b/>
          <w:i/>
        </w:rPr>
        <w:t>Scheme initiated</w:t>
      </w:r>
      <w:r w:rsidRPr="00ED27E8">
        <w:rPr>
          <w:b/>
          <w:i/>
        </w:rPr>
        <w:t>:</w:t>
      </w:r>
      <w:r w:rsidRPr="00252EAF">
        <w:t xml:space="preserve"> They have had their eligibility revoked by the Agency. A large proportion of these leaving relates to ‘</w:t>
      </w:r>
      <w:r w:rsidRPr="00252EAF">
        <w:rPr>
          <w:b/>
        </w:rPr>
        <w:t>early intervention</w:t>
      </w:r>
      <w:r w:rsidRPr="00252EAF">
        <w:t xml:space="preserve">’, relating </w:t>
      </w:r>
      <w:r w:rsidR="00F8764A">
        <w:t xml:space="preserve">to </w:t>
      </w:r>
      <w:r w:rsidRPr="00252EAF">
        <w:t>those participants who met access under section 25 of the NDIS Act but are deemed to have received sufficient early intervention supports from the Scheme such that they can transition out with continued supports from mainstream settings.</w:t>
      </w:r>
    </w:p>
    <w:p w14:paraId="4B1B4D79" w14:textId="77777777" w:rsidR="00DA3375" w:rsidRPr="00250459" w:rsidRDefault="00E218F6" w:rsidP="00DA3375">
      <w:pPr>
        <w:pStyle w:val="FSRlist"/>
      </w:pPr>
      <w:r>
        <w:rPr>
          <w:b/>
          <w:i/>
          <w:iCs/>
        </w:rPr>
        <w:t>Other</w:t>
      </w:r>
      <w:r w:rsidR="00DA3375" w:rsidRPr="00ED27E8">
        <w:rPr>
          <w:b/>
        </w:rPr>
        <w:t>:</w:t>
      </w:r>
      <w:r w:rsidR="00DA3375" w:rsidRPr="00250459">
        <w:t xml:space="preserve"> those who no longer meet the permanent disability requirements under section 24 of the NDIS Act. This also includes participants who have moved into the community or aged care system if over age 65.</w:t>
      </w:r>
    </w:p>
    <w:p w14:paraId="717800DB" w14:textId="77777777" w:rsidR="00DA3375" w:rsidRPr="00303757" w:rsidRDefault="00DA3375" w:rsidP="00DA3375">
      <w:pPr>
        <w:pStyle w:val="FSRlist"/>
      </w:pPr>
      <w:r w:rsidRPr="00F830E6">
        <w:rPr>
          <w:b/>
          <w:i/>
          <w:iCs/>
        </w:rPr>
        <w:t>Death</w:t>
      </w:r>
      <w:r w:rsidRPr="00F830E6">
        <w:rPr>
          <w:i/>
          <w:iCs/>
        </w:rPr>
        <w:t xml:space="preserve"> </w:t>
      </w:r>
      <w:r w:rsidRPr="00F830E6">
        <w:rPr>
          <w:b/>
          <w:i/>
          <w:iCs/>
        </w:rPr>
        <w:t>of the participant</w:t>
      </w:r>
      <w:r w:rsidRPr="0065602D">
        <w:t>:</w:t>
      </w:r>
      <w:r>
        <w:t xml:space="preserve"> This is excluded from the analysis set out in this appendix. A separate analysis of the mortality experience and selection of mortality assumptions is included in </w:t>
      </w:r>
      <w:r w:rsidR="00303757" w:rsidRPr="00303757">
        <w:t>A</w:t>
      </w:r>
      <w:r w:rsidRPr="00303757">
        <w:t xml:space="preserve">ppendix </w:t>
      </w:r>
      <w:r w:rsidR="00303757" w:rsidRPr="00DA3F73">
        <w:t>J</w:t>
      </w:r>
      <w:r w:rsidRPr="00303757">
        <w:t>.</w:t>
      </w:r>
    </w:p>
    <w:p w14:paraId="23C5D2F6" w14:textId="77777777" w:rsidR="00DA3375" w:rsidRDefault="00DA3375" w:rsidP="00DA3375">
      <w:pPr>
        <w:pStyle w:val="FSRnormal"/>
      </w:pPr>
      <w:r>
        <w:lastRenderedPageBreak/>
        <w:t xml:space="preserve">Similar to previous reviews, participants leaving the Scheme are organised in groups for modelling purposes, with each group based on the following characteristics (in order of the </w:t>
      </w:r>
      <w:r w:rsidR="00560291">
        <w:t>modelling</w:t>
      </w:r>
      <w:r>
        <w:t xml:space="preserve"> hierarchy): </w:t>
      </w:r>
      <w:r w:rsidRPr="00431B28">
        <w:t>primary disabi</w:t>
      </w:r>
      <w:r>
        <w:t xml:space="preserve">lity, gender, level of function, </w:t>
      </w:r>
      <w:r w:rsidRPr="00431B28">
        <w:t>age</w:t>
      </w:r>
      <w:r>
        <w:t xml:space="preserve"> group and duration in the Scheme. Reason for leaving the Scheme is not explicitly modelled given </w:t>
      </w:r>
      <w:r w:rsidR="0017531D">
        <w:t xml:space="preserve">the quantity and stability of </w:t>
      </w:r>
      <w:r>
        <w:t>available data, but is monitored at an overall level for insights into changes in trends over time.</w:t>
      </w:r>
    </w:p>
    <w:p w14:paraId="773AF584" w14:textId="77777777" w:rsidR="00DA3375" w:rsidRPr="0042395E" w:rsidRDefault="00DA3375" w:rsidP="00DA3F73">
      <w:pPr>
        <w:pStyle w:val="FSRHeading6"/>
      </w:pPr>
      <w:r w:rsidRPr="0047087C">
        <w:t>Phasing of short</w:t>
      </w:r>
      <w:r w:rsidR="00A90CD5">
        <w:t>-</w:t>
      </w:r>
      <w:r w:rsidRPr="0047087C">
        <w:t>term experience to long</w:t>
      </w:r>
      <w:r w:rsidR="002642C0">
        <w:t>-</w:t>
      </w:r>
      <w:r w:rsidRPr="0047087C">
        <w:t>term rates of leaving in previous AFSR</w:t>
      </w:r>
    </w:p>
    <w:p w14:paraId="2BE9B41A" w14:textId="77777777" w:rsidR="00DA3375" w:rsidRDefault="006E6E9F" w:rsidP="00DA3375">
      <w:pPr>
        <w:pStyle w:val="FSRnormal"/>
      </w:pPr>
      <w:r>
        <w:t xml:space="preserve">The last major review of participants leaving the Scheme was carried out in December 2018. </w:t>
      </w:r>
      <w:r w:rsidR="0017531D">
        <w:t>Observed experience has varied since 2019, impacted by a variety of</w:t>
      </w:r>
      <w:r>
        <w:t xml:space="preserve"> operation and environmental factors. These include the suspension of Eligibility Reassessments (ERs) in 2019 and its recommencement after revision in 2020, impacts of COV</w:t>
      </w:r>
      <w:r w:rsidR="00E218F6">
        <w:t>I</w:t>
      </w:r>
      <w:r>
        <w:t xml:space="preserve">D-19 since 2020, and ongoing refinement to Scheme rules and processes. </w:t>
      </w:r>
      <w:r w:rsidR="00DA3375">
        <w:t>The exp</w:t>
      </w:r>
      <w:r w:rsidR="00882A7C">
        <w:t xml:space="preserve">ectation </w:t>
      </w:r>
      <w:r>
        <w:t xml:space="preserve">over this period was </w:t>
      </w:r>
      <w:r w:rsidR="00882A7C">
        <w:t>that in the longer</w:t>
      </w:r>
      <w:r w:rsidR="00B62A8A">
        <w:t xml:space="preserve"> </w:t>
      </w:r>
      <w:r w:rsidR="00DA3375">
        <w:t>term</w:t>
      </w:r>
      <w:r w:rsidR="00B62A8A">
        <w:t>,</w:t>
      </w:r>
      <w:r w:rsidR="00DA3375">
        <w:t xml:space="preserve"> rates of </w:t>
      </w:r>
      <w:r>
        <w:t xml:space="preserve">people </w:t>
      </w:r>
      <w:r w:rsidR="00DA3375">
        <w:t xml:space="preserve">leaving </w:t>
      </w:r>
      <w:r>
        <w:t xml:space="preserve">the Scheme </w:t>
      </w:r>
      <w:r w:rsidR="00DA3375">
        <w:t>would increase. To avoid a discon</w:t>
      </w:r>
      <w:r w:rsidR="00FF6601">
        <w:t>tinuity</w:t>
      </w:r>
      <w:r w:rsidR="00DA3375">
        <w:t xml:space="preserve"> between recent experience and long</w:t>
      </w:r>
      <w:r w:rsidR="002642C0">
        <w:t>-</w:t>
      </w:r>
      <w:r w:rsidR="00DA3375">
        <w:t xml:space="preserve">term assumptions, </w:t>
      </w:r>
      <w:r w:rsidR="0092144E">
        <w:t xml:space="preserve">different short-term and long-term assumptions were adopted, with those in the short term close to recently observed experience, </w:t>
      </w:r>
      <w:r w:rsidR="00705EEA">
        <w:t xml:space="preserve">being lower than the </w:t>
      </w:r>
      <w:r w:rsidR="0092144E">
        <w:t>lo</w:t>
      </w:r>
      <w:r w:rsidR="00705EEA">
        <w:t>nger</w:t>
      </w:r>
      <w:r w:rsidR="00152134">
        <w:t>-</w:t>
      </w:r>
      <w:r w:rsidR="00705EEA">
        <w:t>term adopted assumptions</w:t>
      </w:r>
      <w:r w:rsidR="00DA3375">
        <w:t>.</w:t>
      </w:r>
    </w:p>
    <w:p w14:paraId="3FAF19B2" w14:textId="77777777" w:rsidR="00DA3375" w:rsidRDefault="00DA3375" w:rsidP="00DA3375">
      <w:pPr>
        <w:pStyle w:val="FSRnormal"/>
      </w:pPr>
      <w:r>
        <w:t>Long</w:t>
      </w:r>
      <w:r w:rsidR="002642C0">
        <w:t>-</w:t>
      </w:r>
      <w:r>
        <w:t xml:space="preserve">term assumptions regarding participants leaving the Scheme </w:t>
      </w:r>
      <w:r w:rsidR="006E6E9F">
        <w:t xml:space="preserve">were </w:t>
      </w:r>
      <w:r>
        <w:t xml:space="preserve">held largely unchanged </w:t>
      </w:r>
      <w:r w:rsidR="006E6E9F">
        <w:t>over this period</w:t>
      </w:r>
      <w:r>
        <w:t xml:space="preserve">. </w:t>
      </w:r>
    </w:p>
    <w:p w14:paraId="3B7989BF" w14:textId="77777777" w:rsidR="00F41DCC" w:rsidRDefault="00F41DCC" w:rsidP="00F830E6">
      <w:pPr>
        <w:pStyle w:val="FSRHeading6"/>
      </w:pPr>
      <w:r>
        <w:t>Review of recent Scheme experience to derive assumptions for 2021-22 AFSR</w:t>
      </w:r>
    </w:p>
    <w:p w14:paraId="40A63430" w14:textId="77777777" w:rsidR="00FB7609" w:rsidRDefault="00DA3375" w:rsidP="00F830E6">
      <w:pPr>
        <w:pStyle w:val="FSRnormal"/>
        <w:rPr>
          <w:b/>
          <w:color w:val="6B2976"/>
        </w:rPr>
      </w:pPr>
      <w:r>
        <w:t>With ERs relaunched under the new operational guidelines since March 2020, the gradual lifting of COVID-19 lockdown restrictions and the increase in volume of participants leaving increasing the credibility of observed experience in</w:t>
      </w:r>
      <w:r w:rsidR="006E6E9F">
        <w:t xml:space="preserve"> assumption selection</w:t>
      </w:r>
      <w:r>
        <w:t xml:space="preserve">, a full review of assumptions </w:t>
      </w:r>
      <w:r w:rsidR="00B62A8A">
        <w:t xml:space="preserve">about participants leaving the Scheme </w:t>
      </w:r>
      <w:r>
        <w:t xml:space="preserve">was </w:t>
      </w:r>
      <w:r w:rsidR="009B4778">
        <w:t xml:space="preserve">therefore </w:t>
      </w:r>
      <w:r>
        <w:t xml:space="preserve">carried out using </w:t>
      </w:r>
      <w:r w:rsidR="0048163C">
        <w:t xml:space="preserve">data covering the 12 months to </w:t>
      </w:r>
      <w:r>
        <w:t>September 2021</w:t>
      </w:r>
      <w:r>
        <w:rPr>
          <w:rStyle w:val="FootnoteReference"/>
        </w:rPr>
        <w:footnoteReference w:id="158"/>
      </w:r>
      <w:r>
        <w:t>.</w:t>
      </w:r>
    </w:p>
    <w:p w14:paraId="432CDA12" w14:textId="77777777" w:rsidR="00DA3375" w:rsidRDefault="00DA3375" w:rsidP="00F830E6">
      <w:pPr>
        <w:pStyle w:val="FSRnormal"/>
      </w:pPr>
      <w:bookmarkStart w:id="1192" w:name="_Toc100306629"/>
      <w:bookmarkEnd w:id="1192"/>
      <w:r>
        <w:t>However, significant uncertainty about the levels of future experience remain due to</w:t>
      </w:r>
      <w:r w:rsidR="00080647">
        <w:t xml:space="preserve"> significant variance in experience across different cohorts, as well as ongoing variability arising from changes to </w:t>
      </w:r>
      <w:r w:rsidR="001F0DDC">
        <w:t>operational processes relating to people leaving the Scheme.</w:t>
      </w:r>
      <w:r>
        <w:t xml:space="preserve"> </w:t>
      </w:r>
    </w:p>
    <w:p w14:paraId="2AB6CD11" w14:textId="77777777" w:rsidR="00DA3375" w:rsidRDefault="00610D09" w:rsidP="00DA3375">
      <w:pPr>
        <w:pStyle w:val="FSRnormal"/>
      </w:pPr>
      <w:r>
        <w:t>Accordingly, a</w:t>
      </w:r>
      <w:r w:rsidR="001F0DDC">
        <w:t xml:space="preserve">t </w:t>
      </w:r>
      <w:r w:rsidR="00DA3375">
        <w:t xml:space="preserve">this review, experience for the 12-month </w:t>
      </w:r>
      <w:r w:rsidR="00E358BA">
        <w:t xml:space="preserve">to 30 September 2021 has been </w:t>
      </w:r>
      <w:r w:rsidR="00DA3375">
        <w:t xml:space="preserve">blended with </w:t>
      </w:r>
      <w:r w:rsidR="00E358BA">
        <w:t xml:space="preserve">the </w:t>
      </w:r>
      <w:r w:rsidR="00DA3375">
        <w:t>previous long</w:t>
      </w:r>
      <w:r w:rsidR="00D11129">
        <w:t>-</w:t>
      </w:r>
      <w:r w:rsidR="00DA3375">
        <w:t xml:space="preserve">term assumptions to </w:t>
      </w:r>
      <w:r w:rsidR="00E358BA">
        <w:t xml:space="preserve">derive the adopted </w:t>
      </w:r>
      <w:r w:rsidR="00DA3375">
        <w:t>assumptions</w:t>
      </w:r>
      <w:r w:rsidR="00D66FB1">
        <w:t xml:space="preserve"> </w:t>
      </w:r>
      <w:r w:rsidR="00DA3375">
        <w:t>for the 2021-22 AFSR. Equal weighting is given to the actual experience and to the previous assumptions</w:t>
      </w:r>
      <w:r w:rsidR="00E358BA">
        <w:t xml:space="preserve"> and n</w:t>
      </w:r>
      <w:r w:rsidR="00DA3375">
        <w:t>o phasing of short</w:t>
      </w:r>
      <w:r w:rsidR="00874CC8">
        <w:t>-</w:t>
      </w:r>
      <w:r w:rsidR="00DA3375">
        <w:t>term experience to separate long</w:t>
      </w:r>
      <w:r w:rsidR="00741928">
        <w:t>-</w:t>
      </w:r>
      <w:r w:rsidR="00DA3375">
        <w:t xml:space="preserve">term rates </w:t>
      </w:r>
      <w:r w:rsidR="00E358BA">
        <w:t>has been</w:t>
      </w:r>
      <w:r w:rsidR="00DA3375">
        <w:t xml:space="preserve"> applied.</w:t>
      </w:r>
    </w:p>
    <w:p w14:paraId="41E5C790" w14:textId="77777777" w:rsidR="00DA3375" w:rsidRPr="00E8056C" w:rsidRDefault="00DA3375" w:rsidP="00DA3375">
      <w:pPr>
        <w:pStyle w:val="FSRnormal"/>
      </w:pPr>
      <w:r w:rsidRPr="00DA30D8">
        <w:t xml:space="preserve">The shape of the </w:t>
      </w:r>
      <w:r w:rsidR="00F45A57">
        <w:t xml:space="preserve">curve of </w:t>
      </w:r>
      <w:r w:rsidR="0063504D">
        <w:t>leaving rates</w:t>
      </w:r>
      <w:r w:rsidRPr="00DA30D8">
        <w:t xml:space="preserve"> by age is unchanged from the previous assumptions for each primary disability/ gender/ level of function combination</w:t>
      </w:r>
      <w:r w:rsidR="006C7DFE">
        <w:t xml:space="preserve"> (for each ‘blending group’)</w:t>
      </w:r>
      <w:r w:rsidRPr="00DA30D8">
        <w:t xml:space="preserve">. </w:t>
      </w:r>
      <w:r>
        <w:t>A s</w:t>
      </w:r>
      <w:r w:rsidRPr="00240332">
        <w:t>caling factor</w:t>
      </w:r>
      <w:r>
        <w:t xml:space="preserve"> is then derived</w:t>
      </w:r>
      <w:r w:rsidRPr="00240332">
        <w:t xml:space="preserve"> for each of these blending groups</w:t>
      </w:r>
      <w:r w:rsidR="00B13FAD">
        <w:t>.</w:t>
      </w:r>
      <w:r w:rsidR="00966AFB">
        <w:t xml:space="preserve"> The scaling factor</w:t>
      </w:r>
      <w:r>
        <w:t xml:space="preserve"> is</w:t>
      </w:r>
      <w:r w:rsidR="00966AFB">
        <w:t xml:space="preserve"> then</w:t>
      </w:r>
      <w:r>
        <w:t xml:space="preserve"> </w:t>
      </w:r>
      <w:r>
        <w:lastRenderedPageBreak/>
        <w:t xml:space="preserve">applied to the curve such that the assumed rate </w:t>
      </w:r>
      <w:r w:rsidR="00155B9E">
        <w:t xml:space="preserve">of leaving </w:t>
      </w:r>
      <w:r>
        <w:t>for the cohort is mid-way between experience and the previous assumptions.</w:t>
      </w:r>
      <w:r w:rsidRPr="00240332">
        <w:t xml:space="preserve"> </w:t>
      </w:r>
    </w:p>
    <w:p w14:paraId="2725B69B" w14:textId="77777777" w:rsidR="00DA3375" w:rsidRDefault="00DA3375" w:rsidP="00DA3375">
      <w:pPr>
        <w:pStyle w:val="FSRnormal"/>
      </w:pPr>
      <w:r>
        <w:t xml:space="preserve">An exception to this is for participants 65 and over. Blending for these participants applies at the gender </w:t>
      </w:r>
      <w:r w:rsidR="00CA4BE8">
        <w:t>and</w:t>
      </w:r>
      <w:r>
        <w:t xml:space="preserve"> level of function level only, i.e. combining all primary disabilities together due to the small </w:t>
      </w:r>
      <w:r w:rsidR="0007342C">
        <w:t>numbers of participants leaving the Scheme</w:t>
      </w:r>
      <w:r>
        <w:t xml:space="preserve"> </w:t>
      </w:r>
      <w:r w:rsidR="00C4651E">
        <w:t xml:space="preserve">within </w:t>
      </w:r>
      <w:r>
        <w:t xml:space="preserve">this age group. </w:t>
      </w:r>
    </w:p>
    <w:p w14:paraId="6CDB233C" w14:textId="77777777" w:rsidR="00DA3375" w:rsidRPr="00754E7D" w:rsidRDefault="00EB630E" w:rsidP="00DA3375">
      <w:pPr>
        <w:pStyle w:val="FSRHeading4"/>
      </w:pPr>
      <w:bookmarkStart w:id="1193" w:name="_Toc34764182"/>
      <w:bookmarkStart w:id="1194" w:name="_Toc104291121"/>
      <w:bookmarkEnd w:id="1193"/>
      <w:r>
        <w:t xml:space="preserve">Analysis of </w:t>
      </w:r>
      <w:r w:rsidR="00DA3375">
        <w:t>Recent Experience</w:t>
      </w:r>
      <w:bookmarkEnd w:id="1194"/>
    </w:p>
    <w:p w14:paraId="2DE3A737" w14:textId="77777777" w:rsidR="00DA3375" w:rsidRDefault="00DA3375" w:rsidP="00DA3375">
      <w:r>
        <w:t xml:space="preserve">In order to project future </w:t>
      </w:r>
      <w:r w:rsidR="000838EA">
        <w:t>participants leaving</w:t>
      </w:r>
      <w:r>
        <w:t xml:space="preserve"> the Scheme, this </w:t>
      </w:r>
      <w:r w:rsidRPr="00B16D9F">
        <w:t xml:space="preserve">report compares </w:t>
      </w:r>
      <w:r>
        <w:t xml:space="preserve">the actual </w:t>
      </w:r>
      <w:r w:rsidRPr="00B16D9F">
        <w:t xml:space="preserve">experience </w:t>
      </w:r>
      <w:r>
        <w:t xml:space="preserve">of participants leaving the Scheme </w:t>
      </w:r>
      <w:r w:rsidRPr="00B16D9F">
        <w:t>against expectations</w:t>
      </w:r>
      <w:r>
        <w:t xml:space="preserve"> using the long</w:t>
      </w:r>
      <w:r w:rsidR="00251BCE">
        <w:t>-</w:t>
      </w:r>
      <w:r>
        <w:t xml:space="preserve">term rates adopted in </w:t>
      </w:r>
      <w:r w:rsidR="00F8764A">
        <w:t xml:space="preserve">the </w:t>
      </w:r>
      <w:r>
        <w:t xml:space="preserve">2020-21 AFSR. </w:t>
      </w:r>
    </w:p>
    <w:p w14:paraId="1192AA8C" w14:textId="77777777" w:rsidR="005467B1" w:rsidRDefault="005467B1" w:rsidP="005467B1">
      <w:pPr>
        <w:pStyle w:val="FSRnormal"/>
      </w:pPr>
      <w:r>
        <w:t>Figure I.</w:t>
      </w:r>
      <w:r w:rsidR="00B13170">
        <w:t>1</w:t>
      </w:r>
      <w:r>
        <w:t xml:space="preserve"> shows </w:t>
      </w:r>
      <w:r w:rsidR="00E358BA">
        <w:t xml:space="preserve">observed </w:t>
      </w:r>
      <w:r>
        <w:t xml:space="preserve">rates of participants leaving the Scheme each calendar year from 2017 to 2021 by reason for leaving, along with the expected rate in each year. </w:t>
      </w:r>
      <w:r w:rsidR="00E358BA">
        <w:t>T</w:t>
      </w:r>
      <w:r>
        <w:t xml:space="preserve">he change in overall expected rate of participants leaving the Scheme is driven by the change in participant mix. </w:t>
      </w:r>
    </w:p>
    <w:p w14:paraId="42A56DDD" w14:textId="77777777" w:rsidR="00DA3375" w:rsidRPr="00754E7D" w:rsidRDefault="000D71B7" w:rsidP="00DA3375">
      <w:pPr>
        <w:pStyle w:val="Figures"/>
      </w:pPr>
      <w:bookmarkStart w:id="1195" w:name="_Ref114224847"/>
      <w:r w:rsidRPr="0096425F">
        <w:t>Figure</w:t>
      </w:r>
      <w:r w:rsidR="009F7877" w:rsidRPr="008633DC">
        <w:t xml:space="preserve"> I</w:t>
      </w:r>
      <w:r w:rsidR="00911A3E" w:rsidRPr="008633DC">
        <w:t>.</w:t>
      </w:r>
      <w:fldSimple w:instr=" SEQ Figure \* ARABIC \s 2 ">
        <w:r w:rsidR="00B13170">
          <w:rPr>
            <w:noProof/>
          </w:rPr>
          <w:t>1</w:t>
        </w:r>
      </w:fldSimple>
      <w:bookmarkEnd w:id="1195"/>
      <w:r>
        <w:t>:</w:t>
      </w:r>
      <w:r w:rsidR="00DA3375">
        <w:t xml:space="preserve"> Experience of participants leaving the Scheme by reason (Duration 0 to 1 years excluded)</w:t>
      </w:r>
    </w:p>
    <w:p w14:paraId="5F74892E" w14:textId="77777777" w:rsidR="00DA3375" w:rsidRDefault="00155496" w:rsidP="00DA3375">
      <w:r w:rsidRPr="00155496">
        <w:t xml:space="preserve"> </w:t>
      </w:r>
      <w:r w:rsidRPr="00155496">
        <w:rPr>
          <w:noProof/>
          <w:lang w:eastAsia="en-AU"/>
        </w:rPr>
        <w:drawing>
          <wp:inline distT="0" distB="0" distL="0" distR="0" wp14:anchorId="0A870CDA" wp14:editId="7A04C741">
            <wp:extent cx="5731510" cy="3422613"/>
            <wp:effectExtent l="0" t="0" r="2540" b="6985"/>
            <wp:docPr id="448" name="Picture 448" descr="The graph shows rates of participants leaving the Scheme by calendar year by reason from 2017 to 2021, excluding duration 0 to 1 year: &#10;Actual rates due to participant initiated reasons are 0.66% in 2017, 0.60% in 2018, 0.46% in 2019, 0.29% in 2020 and 0.27% in 2021. &#10;Actual rates due to Scheme initiated reasons are 1.18% in 2017, 0.88% in 2018, 0.04% in 2019, 0.34% in 2020 and 0.72% in 2021. &#10;Actual rates due to other reasons are 1.18% in 2017, 0.88% in 2018, 0.04% in 2019, 0.34% in 2020 and 0.72% in 2021. &#10;Overall actual rates are 2.05% in 2017, 1.65% in 2018, 0.57% in 2019, 0.68% in 2020 and 1.04% in 2021. &#10;Overall expected rates are 2.00% in 2017, 1.57% in 2018, 1.56% in 2019, 1.72% in 2020 and 2.14% in 2021. &#10;" title="Figure I.1: Experience of participants leaving the Scheme by reason (Duration 0 to 1 years exclu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31510" cy="3422613"/>
                    </a:xfrm>
                    <a:prstGeom prst="rect">
                      <a:avLst/>
                    </a:prstGeom>
                    <a:noFill/>
                    <a:ln>
                      <a:noFill/>
                    </a:ln>
                  </pic:spPr>
                </pic:pic>
              </a:graphicData>
            </a:graphic>
          </wp:inline>
        </w:drawing>
      </w:r>
    </w:p>
    <w:p w14:paraId="14BF9802" w14:textId="77777777" w:rsidR="00DA3375" w:rsidRDefault="00E358BA" w:rsidP="00DA3375">
      <w:pPr>
        <w:pStyle w:val="FSRnormal"/>
      </w:pPr>
      <w:r>
        <w:t xml:space="preserve">The observed rate </w:t>
      </w:r>
      <w:r w:rsidR="00DA3375">
        <w:t xml:space="preserve">of participants leaving the Scheme </w:t>
      </w:r>
      <w:r w:rsidR="00BC5839">
        <w:t>has been</w:t>
      </w:r>
      <w:r w:rsidR="00DA3375">
        <w:t xml:space="preserve"> lower than expected since 2019. </w:t>
      </w:r>
      <w:r w:rsidR="00D27747">
        <w:t xml:space="preserve">Observed rates were </w:t>
      </w:r>
      <w:r w:rsidR="00DA3375">
        <w:t xml:space="preserve">only </w:t>
      </w:r>
      <w:r w:rsidR="00504BEC">
        <w:t>one third</w:t>
      </w:r>
      <w:r w:rsidR="00DA3375">
        <w:t xml:space="preserve"> of </w:t>
      </w:r>
      <w:r w:rsidR="00D27747">
        <w:t xml:space="preserve">those </w:t>
      </w:r>
      <w:r w:rsidR="00DA3375">
        <w:t>expected in 2019</w:t>
      </w:r>
      <w:r w:rsidR="00D27747">
        <w:t xml:space="preserve">, due primarily to </w:t>
      </w:r>
      <w:r w:rsidR="00DA3375">
        <w:t xml:space="preserve">the </w:t>
      </w:r>
      <w:r w:rsidR="00504BEC">
        <w:t>pausing</w:t>
      </w:r>
      <w:r w:rsidR="00DA3375">
        <w:t xml:space="preserve"> of ERs from March 2019 for 12 months. Actual experience in 2020 </w:t>
      </w:r>
      <w:r w:rsidR="00DA26ED">
        <w:t xml:space="preserve">remained </w:t>
      </w:r>
      <w:r w:rsidR="00DA3375">
        <w:t xml:space="preserve">very low although rates increased compared with 2019. COVID-19 lockdowns and restrictions led to the Agency focusing on maintaining supports </w:t>
      </w:r>
      <w:r w:rsidR="002F3F83">
        <w:t xml:space="preserve">for </w:t>
      </w:r>
      <w:r w:rsidR="00DA3375">
        <w:t xml:space="preserve">participants and </w:t>
      </w:r>
      <w:r>
        <w:t xml:space="preserve">timely </w:t>
      </w:r>
      <w:r w:rsidR="00DA3375">
        <w:t>new</w:t>
      </w:r>
      <w:r>
        <w:t xml:space="preserve"> entry to the Scheme</w:t>
      </w:r>
      <w:r w:rsidR="00DA3375">
        <w:t xml:space="preserve"> rather than </w:t>
      </w:r>
      <w:r>
        <w:t>ERs</w:t>
      </w:r>
      <w:r w:rsidR="00DA3375">
        <w:t xml:space="preserve">. The small increase was driven by the re-launch of ERs in March 2020. Actual participants </w:t>
      </w:r>
      <w:r w:rsidR="005008EC">
        <w:t xml:space="preserve">leaving </w:t>
      </w:r>
      <w:r w:rsidR="00BE38FA">
        <w:t xml:space="preserve">for Scheme initiated reasons </w:t>
      </w:r>
      <w:r w:rsidR="00DA3375">
        <w:t>increased to 0.34%.</w:t>
      </w:r>
    </w:p>
    <w:p w14:paraId="15374697" w14:textId="77777777" w:rsidR="00DA3375" w:rsidRDefault="00DA3375" w:rsidP="00DA3375">
      <w:pPr>
        <w:pStyle w:val="FSRnormal"/>
      </w:pPr>
      <w:r>
        <w:lastRenderedPageBreak/>
        <w:t>The increase in rate</w:t>
      </w:r>
      <w:r w:rsidR="00AA0F6A">
        <w:t>s</w:t>
      </w:r>
      <w:r>
        <w:t xml:space="preserve"> of participants leaving the Scheme in 2021 reflects the resumption of </w:t>
      </w:r>
      <w:r w:rsidR="00AB7E0F">
        <w:t>more normal operations</w:t>
      </w:r>
      <w:r>
        <w:t xml:space="preserve">, </w:t>
      </w:r>
      <w:r w:rsidR="007A2C86">
        <w:t xml:space="preserve">as COVID-19 restrictions eased. </w:t>
      </w:r>
      <w:r w:rsidR="00267DB5">
        <w:t>Th</w:t>
      </w:r>
      <w:r w:rsidR="00AB7E0F">
        <w:t xml:space="preserve">is was enabled by an </w:t>
      </w:r>
      <w:r>
        <w:t>increase in agency workforce to clear the backlog of ERs.</w:t>
      </w:r>
    </w:p>
    <w:p w14:paraId="049BDBBC" w14:textId="77777777" w:rsidR="00DA3375" w:rsidRPr="005E3F51" w:rsidRDefault="00DA3375" w:rsidP="00DA3375">
      <w:pPr>
        <w:pStyle w:val="FSRHeading4"/>
      </w:pPr>
      <w:bookmarkStart w:id="1196" w:name="_Toc104291120"/>
      <w:bookmarkStart w:id="1197" w:name="_Ref104291212"/>
      <w:bookmarkStart w:id="1198" w:name="_Ref104291213"/>
      <w:r>
        <w:t>Selected Assumptions</w:t>
      </w:r>
      <w:bookmarkEnd w:id="1196"/>
      <w:bookmarkEnd w:id="1197"/>
      <w:bookmarkEnd w:id="1198"/>
      <w:r w:rsidRPr="005E3F51">
        <w:t xml:space="preserve"> </w:t>
      </w:r>
    </w:p>
    <w:p w14:paraId="6A497CB5" w14:textId="77777777" w:rsidR="00DA3375" w:rsidRDefault="00DA3375" w:rsidP="00DA3375">
      <w:pPr>
        <w:pStyle w:val="FSRnormal"/>
      </w:pPr>
      <w:r>
        <w:t>Overall</w:t>
      </w:r>
      <w:r w:rsidR="00051F22">
        <w:t>,</w:t>
      </w:r>
      <w:r>
        <w:t xml:space="preserve"> the actual rate of participants leaving the Scheme for the 12 months to 30 September 2021 (0.93% </w:t>
      </w:r>
      <w:r w:rsidR="00D067C5">
        <w:t>per annum</w:t>
      </w:r>
      <w:r>
        <w:t>) is only half of the expected long</w:t>
      </w:r>
      <w:r w:rsidR="0032705D">
        <w:t>-</w:t>
      </w:r>
      <w:r>
        <w:t xml:space="preserve">term rate from the 2020-21 AFSR (1.86% </w:t>
      </w:r>
      <w:r w:rsidR="00D067C5">
        <w:t>per annum</w:t>
      </w:r>
      <w:r>
        <w:t>). Experience by disability type, gender and level of function exhibit more volatility.</w:t>
      </w:r>
    </w:p>
    <w:p w14:paraId="20421B8D" w14:textId="77777777" w:rsidR="00DA3375" w:rsidRDefault="00765CC5" w:rsidP="00DA3375">
      <w:pPr>
        <w:pStyle w:val="FSRnormal"/>
      </w:pPr>
      <w:r>
        <w:t>T</w:t>
      </w:r>
      <w:r w:rsidR="00E80109">
        <w:t>he</w:t>
      </w:r>
      <w:r>
        <w:t>re is</w:t>
      </w:r>
      <w:r w:rsidR="00E80109">
        <w:t xml:space="preserve"> </w:t>
      </w:r>
      <w:r w:rsidR="00902A83">
        <w:t xml:space="preserve">continued uncertainty around </w:t>
      </w:r>
      <w:r>
        <w:t xml:space="preserve">future </w:t>
      </w:r>
      <w:r w:rsidR="00902A83">
        <w:t>rates of participants leaving the Scheme</w:t>
      </w:r>
      <w:r w:rsidR="00385BA3">
        <w:t xml:space="preserve"> which</w:t>
      </w:r>
      <w:r w:rsidR="005A0EAA">
        <w:t xml:space="preserve"> have varied over time and</w:t>
      </w:r>
      <w:r w:rsidR="00385BA3">
        <w:t xml:space="preserve"> are affected by administrative and operational changes</w:t>
      </w:r>
      <w:r w:rsidR="005A0EAA">
        <w:t xml:space="preserve">. </w:t>
      </w:r>
      <w:r w:rsidR="003316F9">
        <w:t>Therefore, the selected assumptions are mid</w:t>
      </w:r>
      <w:r w:rsidR="00B74A02">
        <w:t xml:space="preserve">way between the experience for the 12 months to 30 September 2021 and the </w:t>
      </w:r>
      <w:r w:rsidR="00BB20D0">
        <w:t>assumptions used for the 2020-21 AFSR.</w:t>
      </w:r>
      <w:r w:rsidR="003316F9">
        <w:t xml:space="preserve"> </w:t>
      </w:r>
      <w:r>
        <w:t xml:space="preserve"> </w:t>
      </w:r>
      <w:r w:rsidR="00DA3375">
        <w:t>It is reasonable to expect that actual rates of participant</w:t>
      </w:r>
      <w:r w:rsidR="004E06CC">
        <w:t>s</w:t>
      </w:r>
      <w:r w:rsidR="00DA3375">
        <w:t xml:space="preserve"> leaving the Scheme may increase temporarily in</w:t>
      </w:r>
      <w:r w:rsidR="00C1389E">
        <w:t xml:space="preserve"> the </w:t>
      </w:r>
      <w:r w:rsidR="00DA3375">
        <w:t xml:space="preserve">12 months </w:t>
      </w:r>
      <w:r w:rsidR="00C1389E">
        <w:t xml:space="preserve">post </w:t>
      </w:r>
      <w:r w:rsidR="00DA3375">
        <w:t xml:space="preserve">September 2021 as COVID-19 restrictions continue to be eased and the ER backlogs </w:t>
      </w:r>
      <w:r w:rsidR="00C1389E">
        <w:t>are cleared.  A</w:t>
      </w:r>
      <w:r w:rsidR="00DA3375">
        <w:t xml:space="preserve"> comparison of </w:t>
      </w:r>
      <w:r w:rsidR="00C1389E">
        <w:t xml:space="preserve">actual </w:t>
      </w:r>
      <w:r w:rsidR="00DA3375">
        <w:t xml:space="preserve">experience to March 2022 with the proposed assumptions </w:t>
      </w:r>
      <w:r w:rsidR="00C1389E">
        <w:t xml:space="preserve">are shown later in this </w:t>
      </w:r>
      <w:r w:rsidR="002A7462">
        <w:t>appendix</w:t>
      </w:r>
      <w:r w:rsidR="00C1389E">
        <w:t xml:space="preserve">. </w:t>
      </w:r>
      <w:r w:rsidR="002A7462">
        <w:t xml:space="preserve"> </w:t>
      </w:r>
      <w:r w:rsidR="00DA3375">
        <w:t xml:space="preserve">However, rates of participants </w:t>
      </w:r>
      <w:r w:rsidR="00C1389E">
        <w:t xml:space="preserve">would be expected to reduce </w:t>
      </w:r>
      <w:r w:rsidR="00DA3375">
        <w:t xml:space="preserve">when all backlogs are cleared. </w:t>
      </w:r>
      <w:r w:rsidR="00C1389E">
        <w:t>F</w:t>
      </w:r>
      <w:r w:rsidR="00DA3375">
        <w:t xml:space="preserve">uture experience of participants leaving will </w:t>
      </w:r>
      <w:r w:rsidR="00C1389E">
        <w:t xml:space="preserve">also however </w:t>
      </w:r>
      <w:r w:rsidR="00DA3375">
        <w:t xml:space="preserve">be affected by the ongoing operational </w:t>
      </w:r>
      <w:r w:rsidR="00C1389E">
        <w:t xml:space="preserve">Scheme </w:t>
      </w:r>
      <w:r w:rsidR="00DA3375">
        <w:t xml:space="preserve">improvements </w:t>
      </w:r>
      <w:r w:rsidR="00C1389E">
        <w:t>and so a</w:t>
      </w:r>
      <w:r w:rsidR="00DA3375">
        <w:t xml:space="preserve">ny </w:t>
      </w:r>
      <w:r w:rsidR="00C1389E">
        <w:t xml:space="preserve">such </w:t>
      </w:r>
      <w:r w:rsidR="00DA3375">
        <w:t xml:space="preserve">future changes will be not reflected in the experience analysed. </w:t>
      </w:r>
      <w:r w:rsidR="00C1389E">
        <w:t>To reflect these considerations a</w:t>
      </w:r>
      <w:r w:rsidR="00DA3375">
        <w:t xml:space="preserve"> credibility weighting of 50% has been assigned to the experience for the 12 months to 30 September 2021 in setting revised base rates</w:t>
      </w:r>
      <w:r w:rsidR="00C1389E">
        <w:t xml:space="preserve"> (with 50% credibility assigned to the previous assumptions)</w:t>
      </w:r>
      <w:r w:rsidR="00DA3375">
        <w:t>.</w:t>
      </w:r>
    </w:p>
    <w:p w14:paraId="2327A400" w14:textId="77777777" w:rsidR="00852969" w:rsidRDefault="00852969">
      <w:pPr>
        <w:spacing w:after="160" w:line="259" w:lineRule="auto"/>
        <w:rPr>
          <w:rFonts w:eastAsiaTheme="minorHAnsi"/>
          <w:b/>
          <w:bCs/>
          <w:szCs w:val="18"/>
          <w:lang w:eastAsia="en-US"/>
        </w:rPr>
      </w:pPr>
      <w:r>
        <w:br w:type="page"/>
      </w:r>
    </w:p>
    <w:p w14:paraId="42CB5B2F" w14:textId="77777777" w:rsidR="00DA3375" w:rsidRPr="00ED27E8" w:rsidRDefault="00DA3375" w:rsidP="00DA3375">
      <w:pPr>
        <w:pStyle w:val="Tables"/>
        <w:rPr>
          <w:b w:val="0"/>
        </w:rPr>
      </w:pPr>
      <w:r w:rsidRPr="00355FA5">
        <w:lastRenderedPageBreak/>
        <w:t>Table</w:t>
      </w:r>
      <w:r w:rsidR="000D71B7">
        <w:t xml:space="preserve"> I</w:t>
      </w:r>
      <w:r w:rsidR="00994C5F">
        <w:t>.</w:t>
      </w:r>
      <w:fldSimple w:instr=" SEQ Table \* ARABIC \s 2 ">
        <w:r w:rsidR="00A87896">
          <w:rPr>
            <w:noProof/>
          </w:rPr>
          <w:t>1</w:t>
        </w:r>
      </w:fldSimple>
      <w:r>
        <w:t>:</w:t>
      </w:r>
      <w:r w:rsidRPr="00934B46">
        <w:t xml:space="preserve"> Actual vs expected base rates of participants leaving the Scheme by age group, normalised level of function and gender</w:t>
      </w:r>
    </w:p>
    <w:tbl>
      <w:tblPr>
        <w:tblW w:w="9584" w:type="dxa"/>
        <w:tblLook w:val="04A0" w:firstRow="1" w:lastRow="0" w:firstColumn="1" w:lastColumn="0" w:noHBand="0" w:noVBand="1"/>
      </w:tblPr>
      <w:tblGrid>
        <w:gridCol w:w="861"/>
        <w:gridCol w:w="726"/>
        <w:gridCol w:w="727"/>
        <w:gridCol w:w="727"/>
        <w:gridCol w:w="727"/>
        <w:gridCol w:w="727"/>
        <w:gridCol w:w="727"/>
        <w:gridCol w:w="727"/>
        <w:gridCol w:w="727"/>
        <w:gridCol w:w="727"/>
        <w:gridCol w:w="727"/>
        <w:gridCol w:w="727"/>
        <w:gridCol w:w="727"/>
      </w:tblGrid>
      <w:tr w:rsidR="00DA3375" w:rsidRPr="00355FA5" w14:paraId="5D890158" w14:textId="77777777" w:rsidTr="009C7082">
        <w:trPr>
          <w:trHeight w:val="316"/>
          <w:tblHeader/>
        </w:trPr>
        <w:tc>
          <w:tcPr>
            <w:tcW w:w="0" w:type="auto"/>
            <w:vMerge w:val="restart"/>
            <w:tcBorders>
              <w:top w:val="nil"/>
              <w:left w:val="nil"/>
              <w:bottom w:val="nil"/>
              <w:right w:val="nil"/>
            </w:tcBorders>
            <w:shd w:val="clear" w:color="000000" w:fill="6B2976"/>
            <w:noWrap/>
            <w:vAlign w:val="center"/>
            <w:hideMark/>
          </w:tcPr>
          <w:p w14:paraId="0E75E2FC" w14:textId="77777777" w:rsidR="00DA3375" w:rsidRPr="00355FA5" w:rsidRDefault="00DA3375" w:rsidP="009C7082">
            <w:pPr>
              <w:spacing w:after="0" w:line="240" w:lineRule="auto"/>
              <w:jc w:val="center"/>
              <w:rPr>
                <w:rFonts w:eastAsia="Times New Roman" w:cs="Arial"/>
                <w:b/>
                <w:bCs/>
                <w:color w:val="FFFFFF"/>
                <w:sz w:val="16"/>
                <w:szCs w:val="16"/>
              </w:rPr>
            </w:pPr>
            <w:r w:rsidRPr="00355FA5">
              <w:rPr>
                <w:rFonts w:eastAsia="Times New Roman" w:cs="Arial"/>
                <w:b/>
                <w:bCs/>
                <w:color w:val="FFFFFF"/>
                <w:sz w:val="16"/>
                <w:szCs w:val="16"/>
              </w:rPr>
              <w:t>Age</w:t>
            </w:r>
          </w:p>
        </w:tc>
        <w:tc>
          <w:tcPr>
            <w:tcW w:w="0" w:type="auto"/>
            <w:gridSpan w:val="6"/>
            <w:tcBorders>
              <w:top w:val="nil"/>
              <w:left w:val="nil"/>
              <w:bottom w:val="single" w:sz="4" w:space="0" w:color="FFFFFF"/>
              <w:right w:val="single" w:sz="4" w:space="0" w:color="FFFFFF" w:themeColor="background1"/>
            </w:tcBorders>
            <w:shd w:val="clear" w:color="auto" w:fill="6B2976"/>
            <w:noWrap/>
            <w:vAlign w:val="center"/>
            <w:hideMark/>
          </w:tcPr>
          <w:p w14:paraId="5B9186E8" w14:textId="77777777" w:rsidR="00DA3375" w:rsidRPr="00355FA5" w:rsidRDefault="00DA3375" w:rsidP="009C7082">
            <w:pPr>
              <w:spacing w:after="0" w:line="240" w:lineRule="auto"/>
              <w:jc w:val="center"/>
              <w:rPr>
                <w:rFonts w:eastAsia="Times New Roman" w:cs="Arial"/>
                <w:b/>
                <w:bCs/>
                <w:color w:val="FFFFFF"/>
                <w:sz w:val="16"/>
                <w:szCs w:val="16"/>
              </w:rPr>
            </w:pPr>
            <w:r w:rsidRPr="00355FA5">
              <w:rPr>
                <w:rFonts w:eastAsia="Times New Roman" w:cs="Arial"/>
                <w:b/>
                <w:bCs/>
                <w:color w:val="FFFFFF"/>
                <w:sz w:val="16"/>
                <w:szCs w:val="16"/>
              </w:rPr>
              <w:t>Actual Rates of Participant</w:t>
            </w:r>
            <w:r w:rsidR="002F3F83">
              <w:rPr>
                <w:rFonts w:eastAsia="Times New Roman" w:cs="Arial"/>
                <w:b/>
                <w:bCs/>
                <w:color w:val="FFFFFF"/>
                <w:sz w:val="16"/>
                <w:szCs w:val="16"/>
              </w:rPr>
              <w:t>s</w:t>
            </w:r>
            <w:r w:rsidRPr="00355FA5">
              <w:rPr>
                <w:rFonts w:eastAsia="Times New Roman" w:cs="Arial"/>
                <w:b/>
                <w:bCs/>
                <w:color w:val="FFFFFF"/>
                <w:sz w:val="16"/>
                <w:szCs w:val="16"/>
              </w:rPr>
              <w:t xml:space="preserve"> Leaving the Scheme</w:t>
            </w:r>
          </w:p>
        </w:tc>
        <w:tc>
          <w:tcPr>
            <w:tcW w:w="0" w:type="auto"/>
            <w:gridSpan w:val="6"/>
            <w:tcBorders>
              <w:top w:val="nil"/>
              <w:left w:val="single" w:sz="4" w:space="0" w:color="FFFFFF" w:themeColor="background1"/>
              <w:bottom w:val="single" w:sz="4" w:space="0" w:color="FFFFFF" w:themeColor="background1"/>
              <w:right w:val="nil"/>
            </w:tcBorders>
            <w:shd w:val="clear" w:color="auto" w:fill="6B2976"/>
            <w:noWrap/>
            <w:vAlign w:val="center"/>
            <w:hideMark/>
          </w:tcPr>
          <w:p w14:paraId="78F1564F" w14:textId="77777777" w:rsidR="00DA3375" w:rsidRPr="00DA3F73" w:rsidRDefault="00DA3375" w:rsidP="009C7082">
            <w:pPr>
              <w:spacing w:after="0" w:line="240" w:lineRule="auto"/>
              <w:jc w:val="center"/>
              <w:rPr>
                <w:rFonts w:eastAsia="Times New Roman" w:cs="Arial"/>
                <w:b/>
                <w:bCs/>
                <w:color w:val="FFFFFF" w:themeColor="background1"/>
                <w:sz w:val="16"/>
                <w:szCs w:val="16"/>
              </w:rPr>
            </w:pPr>
            <w:r w:rsidRPr="00DA3F73">
              <w:rPr>
                <w:rFonts w:eastAsia="Times New Roman" w:cs="Arial"/>
                <w:b/>
                <w:bCs/>
                <w:color w:val="FFFFFF" w:themeColor="background1"/>
                <w:sz w:val="16"/>
                <w:szCs w:val="16"/>
              </w:rPr>
              <w:t>Expected Rates from 2020-21 AFSR</w:t>
            </w:r>
          </w:p>
        </w:tc>
      </w:tr>
      <w:tr w:rsidR="00DA3375" w:rsidRPr="00355FA5" w14:paraId="495956DA" w14:textId="77777777" w:rsidTr="009C7082">
        <w:trPr>
          <w:trHeight w:val="316"/>
          <w:tblHeader/>
        </w:trPr>
        <w:tc>
          <w:tcPr>
            <w:tcW w:w="0" w:type="auto"/>
            <w:vMerge/>
            <w:tcBorders>
              <w:top w:val="nil"/>
              <w:left w:val="nil"/>
              <w:bottom w:val="nil"/>
              <w:right w:val="nil"/>
            </w:tcBorders>
            <w:vAlign w:val="center"/>
            <w:hideMark/>
          </w:tcPr>
          <w:p w14:paraId="6C05757E" w14:textId="77777777" w:rsidR="00DA3375" w:rsidRPr="00355FA5" w:rsidRDefault="00DA3375" w:rsidP="00DA3375">
            <w:pPr>
              <w:spacing w:after="0" w:line="240" w:lineRule="auto"/>
              <w:rPr>
                <w:rFonts w:eastAsia="Times New Roman" w:cs="Arial"/>
                <w:b/>
                <w:bCs/>
                <w:color w:val="FFFFFF"/>
                <w:sz w:val="16"/>
                <w:szCs w:val="16"/>
              </w:rPr>
            </w:pPr>
          </w:p>
        </w:tc>
        <w:tc>
          <w:tcPr>
            <w:tcW w:w="0" w:type="auto"/>
            <w:gridSpan w:val="3"/>
            <w:tcBorders>
              <w:top w:val="nil"/>
              <w:left w:val="nil"/>
              <w:bottom w:val="single" w:sz="4" w:space="0" w:color="FFFFFF"/>
              <w:right w:val="nil"/>
            </w:tcBorders>
            <w:shd w:val="clear" w:color="000000" w:fill="6B2976"/>
            <w:noWrap/>
            <w:vAlign w:val="center"/>
            <w:hideMark/>
          </w:tcPr>
          <w:p w14:paraId="28794B86" w14:textId="77777777" w:rsidR="00DA3375" w:rsidRPr="00355FA5" w:rsidRDefault="00DA3375" w:rsidP="009C7082">
            <w:pPr>
              <w:spacing w:after="0" w:line="240" w:lineRule="auto"/>
              <w:jc w:val="center"/>
              <w:rPr>
                <w:rFonts w:eastAsia="Times New Roman" w:cs="Arial"/>
                <w:b/>
                <w:bCs/>
                <w:color w:val="FFFFFF"/>
                <w:sz w:val="16"/>
                <w:szCs w:val="16"/>
              </w:rPr>
            </w:pPr>
            <w:r w:rsidRPr="00355FA5">
              <w:rPr>
                <w:rFonts w:eastAsia="Times New Roman" w:cs="Arial"/>
                <w:b/>
                <w:bCs/>
                <w:color w:val="FFFFFF"/>
                <w:sz w:val="16"/>
                <w:szCs w:val="16"/>
              </w:rPr>
              <w:t>Total</w:t>
            </w:r>
          </w:p>
        </w:tc>
        <w:tc>
          <w:tcPr>
            <w:tcW w:w="0" w:type="auto"/>
            <w:tcBorders>
              <w:top w:val="nil"/>
              <w:left w:val="nil"/>
              <w:bottom w:val="nil"/>
              <w:right w:val="nil"/>
            </w:tcBorders>
            <w:shd w:val="clear" w:color="000000" w:fill="6B2976"/>
            <w:noWrap/>
            <w:vAlign w:val="center"/>
            <w:hideMark/>
          </w:tcPr>
          <w:p w14:paraId="50532B1F" w14:textId="77777777" w:rsidR="00DA3375" w:rsidRPr="00355FA5" w:rsidRDefault="00DA3375" w:rsidP="009C7082">
            <w:pPr>
              <w:spacing w:after="0" w:line="240" w:lineRule="auto"/>
              <w:jc w:val="center"/>
              <w:rPr>
                <w:rFonts w:eastAsia="Times New Roman" w:cs="Arial"/>
                <w:b/>
                <w:bCs/>
                <w:color w:val="FFFFFF"/>
                <w:sz w:val="16"/>
                <w:szCs w:val="16"/>
              </w:rPr>
            </w:pPr>
            <w:r w:rsidRPr="00355FA5">
              <w:rPr>
                <w:rFonts w:eastAsia="Times New Roman" w:cs="Arial"/>
                <w:b/>
                <w:bCs/>
                <w:color w:val="FFFFFF"/>
                <w:sz w:val="16"/>
                <w:szCs w:val="16"/>
              </w:rPr>
              <w:t>F</w:t>
            </w:r>
          </w:p>
        </w:tc>
        <w:tc>
          <w:tcPr>
            <w:tcW w:w="0" w:type="auto"/>
            <w:tcBorders>
              <w:top w:val="nil"/>
              <w:left w:val="nil"/>
              <w:bottom w:val="nil"/>
              <w:right w:val="nil"/>
            </w:tcBorders>
            <w:shd w:val="clear" w:color="000000" w:fill="6B2976"/>
            <w:noWrap/>
            <w:vAlign w:val="center"/>
            <w:hideMark/>
          </w:tcPr>
          <w:p w14:paraId="21AA1D21" w14:textId="77777777" w:rsidR="00DA3375" w:rsidRPr="00355FA5" w:rsidRDefault="00DA3375" w:rsidP="009C7082">
            <w:pPr>
              <w:spacing w:after="0" w:line="240" w:lineRule="auto"/>
              <w:jc w:val="center"/>
              <w:rPr>
                <w:rFonts w:eastAsia="Times New Roman" w:cs="Arial"/>
                <w:b/>
                <w:bCs/>
                <w:color w:val="FFFFFF"/>
                <w:sz w:val="16"/>
                <w:szCs w:val="16"/>
              </w:rPr>
            </w:pPr>
            <w:r w:rsidRPr="00355FA5">
              <w:rPr>
                <w:rFonts w:eastAsia="Times New Roman" w:cs="Arial"/>
                <w:b/>
                <w:bCs/>
                <w:color w:val="FFFFFF"/>
                <w:sz w:val="16"/>
                <w:szCs w:val="16"/>
              </w:rPr>
              <w:t>M</w:t>
            </w:r>
          </w:p>
        </w:tc>
        <w:tc>
          <w:tcPr>
            <w:tcW w:w="0" w:type="auto"/>
            <w:vMerge w:val="restart"/>
            <w:tcBorders>
              <w:top w:val="nil"/>
              <w:left w:val="nil"/>
              <w:bottom w:val="nil"/>
              <w:right w:val="single" w:sz="4" w:space="0" w:color="FFFFFF" w:themeColor="background1"/>
            </w:tcBorders>
            <w:shd w:val="clear" w:color="000000" w:fill="6B2976"/>
            <w:noWrap/>
            <w:vAlign w:val="center"/>
            <w:hideMark/>
          </w:tcPr>
          <w:p w14:paraId="162C3ECD" w14:textId="77777777" w:rsidR="00DA3375" w:rsidRPr="00355FA5" w:rsidRDefault="00DA3375" w:rsidP="009C7082">
            <w:pPr>
              <w:spacing w:after="0" w:line="240" w:lineRule="auto"/>
              <w:jc w:val="center"/>
              <w:rPr>
                <w:rFonts w:eastAsia="Times New Roman" w:cs="Arial"/>
                <w:b/>
                <w:bCs/>
                <w:color w:val="FFFFFF"/>
                <w:sz w:val="16"/>
                <w:szCs w:val="16"/>
              </w:rPr>
            </w:pPr>
            <w:r w:rsidRPr="00355FA5">
              <w:rPr>
                <w:rFonts w:eastAsia="Times New Roman" w:cs="Arial"/>
                <w:b/>
                <w:bCs/>
                <w:color w:val="FFFFFF"/>
                <w:sz w:val="16"/>
                <w:szCs w:val="16"/>
              </w:rPr>
              <w:t>Total</w:t>
            </w:r>
          </w:p>
        </w:tc>
        <w:tc>
          <w:tcPr>
            <w:tcW w:w="0" w:type="auto"/>
            <w:gridSpan w:val="3"/>
            <w:tcBorders>
              <w:top w:val="single" w:sz="4" w:space="0" w:color="FFFFFF" w:themeColor="background1"/>
              <w:left w:val="single" w:sz="4" w:space="0" w:color="FFFFFF" w:themeColor="background1"/>
              <w:bottom w:val="single" w:sz="4" w:space="0" w:color="FFFFFF" w:themeColor="background1"/>
              <w:right w:val="nil"/>
            </w:tcBorders>
            <w:shd w:val="clear" w:color="auto" w:fill="6B2976"/>
            <w:noWrap/>
            <w:vAlign w:val="center"/>
            <w:hideMark/>
          </w:tcPr>
          <w:p w14:paraId="3A7200B6" w14:textId="77777777" w:rsidR="00DA3375" w:rsidRPr="00DA3F73" w:rsidRDefault="00DA3375" w:rsidP="009C7082">
            <w:pPr>
              <w:spacing w:after="0" w:line="240" w:lineRule="auto"/>
              <w:jc w:val="center"/>
              <w:rPr>
                <w:rFonts w:eastAsia="Times New Roman" w:cs="Arial"/>
                <w:b/>
                <w:bCs/>
                <w:color w:val="FFFFFF" w:themeColor="background1"/>
                <w:sz w:val="16"/>
                <w:szCs w:val="16"/>
              </w:rPr>
            </w:pPr>
            <w:r w:rsidRPr="00DA3F73">
              <w:rPr>
                <w:rFonts w:eastAsia="Times New Roman" w:cs="Arial"/>
                <w:b/>
                <w:bCs/>
                <w:color w:val="FFFFFF" w:themeColor="background1"/>
                <w:sz w:val="16"/>
                <w:szCs w:val="16"/>
              </w:rPr>
              <w:t>Total</w:t>
            </w:r>
          </w:p>
        </w:tc>
        <w:tc>
          <w:tcPr>
            <w:tcW w:w="0" w:type="auto"/>
            <w:tcBorders>
              <w:top w:val="single" w:sz="4" w:space="0" w:color="FFFFFF" w:themeColor="background1"/>
              <w:left w:val="nil"/>
              <w:bottom w:val="dotted" w:sz="4" w:space="0" w:color="FFFFFF" w:themeColor="background1"/>
              <w:right w:val="nil"/>
            </w:tcBorders>
            <w:shd w:val="clear" w:color="auto" w:fill="6B2976"/>
            <w:noWrap/>
            <w:vAlign w:val="center"/>
            <w:hideMark/>
          </w:tcPr>
          <w:p w14:paraId="42920F79" w14:textId="77777777" w:rsidR="00DA3375" w:rsidRPr="00DA3F73" w:rsidRDefault="00DA3375" w:rsidP="009C7082">
            <w:pPr>
              <w:spacing w:after="0" w:line="240" w:lineRule="auto"/>
              <w:jc w:val="center"/>
              <w:rPr>
                <w:rFonts w:eastAsia="Times New Roman" w:cs="Arial"/>
                <w:b/>
                <w:bCs/>
                <w:color w:val="FFFFFF" w:themeColor="background1"/>
                <w:sz w:val="16"/>
                <w:szCs w:val="16"/>
              </w:rPr>
            </w:pPr>
            <w:r w:rsidRPr="00DA3F73">
              <w:rPr>
                <w:rFonts w:eastAsia="Times New Roman" w:cs="Arial"/>
                <w:b/>
                <w:bCs/>
                <w:color w:val="FFFFFF" w:themeColor="background1"/>
                <w:sz w:val="16"/>
                <w:szCs w:val="16"/>
              </w:rPr>
              <w:t>F</w:t>
            </w:r>
          </w:p>
        </w:tc>
        <w:tc>
          <w:tcPr>
            <w:tcW w:w="0" w:type="auto"/>
            <w:tcBorders>
              <w:top w:val="single" w:sz="4" w:space="0" w:color="FFFFFF" w:themeColor="background1"/>
              <w:left w:val="nil"/>
              <w:bottom w:val="dotted" w:sz="4" w:space="0" w:color="FFFFFF" w:themeColor="background1"/>
              <w:right w:val="nil"/>
            </w:tcBorders>
            <w:shd w:val="clear" w:color="auto" w:fill="6B2976"/>
            <w:noWrap/>
            <w:vAlign w:val="center"/>
            <w:hideMark/>
          </w:tcPr>
          <w:p w14:paraId="78686820" w14:textId="77777777" w:rsidR="00DA3375" w:rsidRPr="00DA3F73" w:rsidRDefault="00DA3375" w:rsidP="009C7082">
            <w:pPr>
              <w:spacing w:after="0" w:line="240" w:lineRule="auto"/>
              <w:jc w:val="center"/>
              <w:rPr>
                <w:rFonts w:eastAsia="Times New Roman" w:cs="Arial"/>
                <w:b/>
                <w:bCs/>
                <w:color w:val="FFFFFF" w:themeColor="background1"/>
                <w:sz w:val="16"/>
                <w:szCs w:val="16"/>
              </w:rPr>
            </w:pPr>
            <w:r w:rsidRPr="00DA3F73">
              <w:rPr>
                <w:rFonts w:eastAsia="Times New Roman" w:cs="Arial"/>
                <w:b/>
                <w:bCs/>
                <w:color w:val="FFFFFF" w:themeColor="background1"/>
                <w:sz w:val="16"/>
                <w:szCs w:val="16"/>
              </w:rPr>
              <w:t>M</w:t>
            </w:r>
          </w:p>
        </w:tc>
        <w:tc>
          <w:tcPr>
            <w:tcW w:w="0" w:type="auto"/>
            <w:vMerge w:val="restart"/>
            <w:tcBorders>
              <w:top w:val="single" w:sz="4" w:space="0" w:color="FFFFFF" w:themeColor="background1"/>
              <w:left w:val="nil"/>
              <w:bottom w:val="nil"/>
              <w:right w:val="nil"/>
            </w:tcBorders>
            <w:shd w:val="clear" w:color="auto" w:fill="6B2976"/>
            <w:noWrap/>
            <w:vAlign w:val="center"/>
            <w:hideMark/>
          </w:tcPr>
          <w:p w14:paraId="586F854A" w14:textId="77777777" w:rsidR="00DA3375" w:rsidRPr="00355FA5" w:rsidRDefault="00DA3375" w:rsidP="009C7082">
            <w:pPr>
              <w:spacing w:after="0" w:line="240" w:lineRule="auto"/>
              <w:jc w:val="center"/>
              <w:rPr>
                <w:rFonts w:eastAsia="Times New Roman" w:cs="Arial"/>
                <w:b/>
                <w:bCs/>
                <w:color w:val="000000"/>
                <w:sz w:val="16"/>
                <w:szCs w:val="16"/>
              </w:rPr>
            </w:pPr>
            <w:r w:rsidRPr="00DA3F73">
              <w:rPr>
                <w:rFonts w:eastAsia="Times New Roman" w:cs="Arial"/>
                <w:b/>
                <w:bCs/>
                <w:color w:val="FFFFFF" w:themeColor="background1"/>
                <w:sz w:val="16"/>
                <w:szCs w:val="16"/>
              </w:rPr>
              <w:t>Total</w:t>
            </w:r>
          </w:p>
        </w:tc>
      </w:tr>
      <w:tr w:rsidR="00B71716" w:rsidRPr="00355FA5" w14:paraId="01EADB50" w14:textId="77777777" w:rsidTr="009C7082">
        <w:trPr>
          <w:trHeight w:val="316"/>
          <w:tblHeader/>
        </w:trPr>
        <w:tc>
          <w:tcPr>
            <w:tcW w:w="0" w:type="auto"/>
            <w:vMerge/>
            <w:tcBorders>
              <w:top w:val="nil"/>
              <w:left w:val="nil"/>
              <w:right w:val="nil"/>
            </w:tcBorders>
            <w:vAlign w:val="center"/>
            <w:hideMark/>
          </w:tcPr>
          <w:p w14:paraId="0365C36A" w14:textId="77777777" w:rsidR="00DA3375" w:rsidRPr="00355FA5" w:rsidRDefault="00DA3375" w:rsidP="00DA3375">
            <w:pPr>
              <w:spacing w:after="0" w:line="240" w:lineRule="auto"/>
              <w:rPr>
                <w:rFonts w:eastAsia="Times New Roman" w:cs="Arial"/>
                <w:b/>
                <w:bCs/>
                <w:color w:val="FFFFFF"/>
                <w:sz w:val="16"/>
                <w:szCs w:val="16"/>
              </w:rPr>
            </w:pPr>
          </w:p>
        </w:tc>
        <w:tc>
          <w:tcPr>
            <w:tcW w:w="0" w:type="auto"/>
            <w:tcBorders>
              <w:top w:val="nil"/>
              <w:left w:val="nil"/>
              <w:bottom w:val="nil"/>
              <w:right w:val="nil"/>
            </w:tcBorders>
            <w:shd w:val="clear" w:color="000000" w:fill="6B2976"/>
            <w:noWrap/>
            <w:vAlign w:val="center"/>
            <w:hideMark/>
          </w:tcPr>
          <w:p w14:paraId="7206614B" w14:textId="77777777" w:rsidR="00DA3375" w:rsidRPr="00355FA5" w:rsidRDefault="00DA3375" w:rsidP="009C7082">
            <w:pPr>
              <w:spacing w:after="0" w:line="240" w:lineRule="auto"/>
              <w:jc w:val="right"/>
              <w:rPr>
                <w:rFonts w:eastAsia="Times New Roman" w:cs="Arial"/>
                <w:b/>
                <w:bCs/>
                <w:color w:val="FFFFFF"/>
                <w:sz w:val="16"/>
                <w:szCs w:val="16"/>
              </w:rPr>
            </w:pPr>
            <w:r w:rsidRPr="00355FA5">
              <w:rPr>
                <w:rFonts w:eastAsia="Times New Roman" w:cs="Arial"/>
                <w:b/>
                <w:bCs/>
                <w:color w:val="FFFFFF"/>
                <w:sz w:val="16"/>
                <w:szCs w:val="16"/>
              </w:rPr>
              <w:t>High</w:t>
            </w:r>
          </w:p>
        </w:tc>
        <w:tc>
          <w:tcPr>
            <w:tcW w:w="0" w:type="auto"/>
            <w:tcBorders>
              <w:top w:val="nil"/>
              <w:left w:val="nil"/>
              <w:bottom w:val="nil"/>
              <w:right w:val="nil"/>
            </w:tcBorders>
            <w:shd w:val="clear" w:color="000000" w:fill="6B2976"/>
            <w:noWrap/>
            <w:vAlign w:val="center"/>
            <w:hideMark/>
          </w:tcPr>
          <w:p w14:paraId="79CF6564" w14:textId="77777777" w:rsidR="00DA3375" w:rsidRPr="00355FA5" w:rsidRDefault="00DA3375" w:rsidP="009C7082">
            <w:pPr>
              <w:spacing w:after="0" w:line="240" w:lineRule="auto"/>
              <w:jc w:val="right"/>
              <w:rPr>
                <w:rFonts w:eastAsia="Times New Roman" w:cs="Arial"/>
                <w:b/>
                <w:bCs/>
                <w:color w:val="FFFFFF"/>
                <w:sz w:val="16"/>
                <w:szCs w:val="16"/>
              </w:rPr>
            </w:pPr>
            <w:r w:rsidRPr="00355FA5">
              <w:rPr>
                <w:rFonts w:eastAsia="Times New Roman" w:cs="Arial"/>
                <w:b/>
                <w:bCs/>
                <w:color w:val="FFFFFF"/>
                <w:sz w:val="16"/>
                <w:szCs w:val="16"/>
              </w:rPr>
              <w:t>Med</w:t>
            </w:r>
          </w:p>
        </w:tc>
        <w:tc>
          <w:tcPr>
            <w:tcW w:w="0" w:type="auto"/>
            <w:tcBorders>
              <w:top w:val="nil"/>
              <w:left w:val="nil"/>
              <w:right w:val="nil"/>
            </w:tcBorders>
            <w:shd w:val="clear" w:color="000000" w:fill="6B2976"/>
            <w:noWrap/>
            <w:vAlign w:val="center"/>
            <w:hideMark/>
          </w:tcPr>
          <w:p w14:paraId="2471A3F1" w14:textId="77777777" w:rsidR="00DA3375" w:rsidRPr="00355FA5" w:rsidRDefault="00DA3375" w:rsidP="009C7082">
            <w:pPr>
              <w:spacing w:after="0" w:line="240" w:lineRule="auto"/>
              <w:jc w:val="right"/>
              <w:rPr>
                <w:rFonts w:eastAsia="Times New Roman" w:cs="Arial"/>
                <w:b/>
                <w:bCs/>
                <w:color w:val="FFFFFF"/>
                <w:sz w:val="16"/>
                <w:szCs w:val="16"/>
              </w:rPr>
            </w:pPr>
            <w:r w:rsidRPr="00355FA5">
              <w:rPr>
                <w:rFonts w:eastAsia="Times New Roman" w:cs="Arial"/>
                <w:b/>
                <w:bCs/>
                <w:color w:val="FFFFFF"/>
                <w:sz w:val="16"/>
                <w:szCs w:val="16"/>
              </w:rPr>
              <w:t>Low</w:t>
            </w:r>
          </w:p>
        </w:tc>
        <w:tc>
          <w:tcPr>
            <w:tcW w:w="0" w:type="auto"/>
            <w:tcBorders>
              <w:top w:val="single" w:sz="4" w:space="0" w:color="FFFFFF" w:themeColor="background1"/>
              <w:left w:val="nil"/>
              <w:bottom w:val="nil"/>
              <w:right w:val="nil"/>
            </w:tcBorders>
            <w:shd w:val="clear" w:color="000000" w:fill="6B2976"/>
            <w:noWrap/>
            <w:vAlign w:val="center"/>
            <w:hideMark/>
          </w:tcPr>
          <w:p w14:paraId="36AB1CB5" w14:textId="77777777" w:rsidR="00DA3375" w:rsidRPr="00355FA5" w:rsidRDefault="00DA3375" w:rsidP="009C7082">
            <w:pPr>
              <w:spacing w:after="0" w:line="240" w:lineRule="auto"/>
              <w:jc w:val="right"/>
              <w:rPr>
                <w:rFonts w:eastAsia="Times New Roman" w:cs="Arial"/>
                <w:b/>
                <w:bCs/>
                <w:color w:val="FFFFFF"/>
                <w:sz w:val="16"/>
                <w:szCs w:val="16"/>
              </w:rPr>
            </w:pPr>
            <w:r w:rsidRPr="00355FA5">
              <w:rPr>
                <w:rFonts w:eastAsia="Times New Roman" w:cs="Arial"/>
                <w:b/>
                <w:bCs/>
                <w:color w:val="FFFFFF"/>
                <w:sz w:val="16"/>
                <w:szCs w:val="16"/>
              </w:rPr>
              <w:t>Total</w:t>
            </w:r>
          </w:p>
        </w:tc>
        <w:tc>
          <w:tcPr>
            <w:tcW w:w="0" w:type="auto"/>
            <w:tcBorders>
              <w:top w:val="single" w:sz="4" w:space="0" w:color="FFFFFF" w:themeColor="background1"/>
              <w:left w:val="nil"/>
              <w:right w:val="nil"/>
            </w:tcBorders>
            <w:shd w:val="clear" w:color="000000" w:fill="6B2976"/>
            <w:noWrap/>
            <w:vAlign w:val="center"/>
            <w:hideMark/>
          </w:tcPr>
          <w:p w14:paraId="5D792285" w14:textId="77777777" w:rsidR="00DA3375" w:rsidRPr="00355FA5" w:rsidRDefault="00DA3375" w:rsidP="009C7082">
            <w:pPr>
              <w:spacing w:after="0" w:line="240" w:lineRule="auto"/>
              <w:jc w:val="right"/>
              <w:rPr>
                <w:rFonts w:eastAsia="Times New Roman" w:cs="Arial"/>
                <w:b/>
                <w:bCs/>
                <w:color w:val="FFFFFF"/>
                <w:sz w:val="16"/>
                <w:szCs w:val="16"/>
              </w:rPr>
            </w:pPr>
            <w:r w:rsidRPr="00355FA5">
              <w:rPr>
                <w:rFonts w:eastAsia="Times New Roman" w:cs="Arial"/>
                <w:b/>
                <w:bCs/>
                <w:color w:val="FFFFFF"/>
                <w:sz w:val="16"/>
                <w:szCs w:val="16"/>
              </w:rPr>
              <w:t>Total</w:t>
            </w:r>
          </w:p>
        </w:tc>
        <w:tc>
          <w:tcPr>
            <w:tcW w:w="0" w:type="auto"/>
            <w:vMerge/>
            <w:tcBorders>
              <w:top w:val="single" w:sz="4" w:space="0" w:color="FFFFFF" w:themeColor="background1"/>
              <w:left w:val="nil"/>
              <w:right w:val="single" w:sz="4" w:space="0" w:color="FFFFFF" w:themeColor="background1"/>
            </w:tcBorders>
            <w:vAlign w:val="center"/>
            <w:hideMark/>
          </w:tcPr>
          <w:p w14:paraId="0B2E2F32" w14:textId="77777777" w:rsidR="00DA3375" w:rsidRPr="00355FA5" w:rsidRDefault="00DA3375" w:rsidP="009C7082">
            <w:pPr>
              <w:spacing w:after="0" w:line="240" w:lineRule="auto"/>
              <w:jc w:val="right"/>
              <w:rPr>
                <w:rFonts w:eastAsia="Times New Roman" w:cs="Arial"/>
                <w:b/>
                <w:bCs/>
                <w:color w:val="FFFFFF"/>
                <w:sz w:val="16"/>
                <w:szCs w:val="16"/>
              </w:rPr>
            </w:pPr>
          </w:p>
        </w:tc>
        <w:tc>
          <w:tcPr>
            <w:tcW w:w="0" w:type="auto"/>
            <w:tcBorders>
              <w:top w:val="single" w:sz="4" w:space="0" w:color="FFFFFF" w:themeColor="background1"/>
              <w:left w:val="single" w:sz="4" w:space="0" w:color="FFFFFF" w:themeColor="background1"/>
              <w:bottom w:val="nil"/>
              <w:right w:val="nil"/>
            </w:tcBorders>
            <w:shd w:val="clear" w:color="auto" w:fill="6B2976"/>
            <w:noWrap/>
            <w:vAlign w:val="center"/>
            <w:hideMark/>
          </w:tcPr>
          <w:p w14:paraId="05D553B4" w14:textId="77777777" w:rsidR="00DA3375" w:rsidRPr="00DA3F73" w:rsidRDefault="00DA3375" w:rsidP="009C7082">
            <w:pPr>
              <w:spacing w:after="0" w:line="240" w:lineRule="auto"/>
              <w:jc w:val="right"/>
              <w:rPr>
                <w:rFonts w:eastAsia="Times New Roman" w:cs="Arial"/>
                <w:b/>
                <w:bCs/>
                <w:color w:val="FFFFFF" w:themeColor="background1"/>
                <w:sz w:val="16"/>
                <w:szCs w:val="16"/>
              </w:rPr>
            </w:pPr>
            <w:r w:rsidRPr="00DA3F73">
              <w:rPr>
                <w:rFonts w:eastAsia="Times New Roman" w:cs="Arial"/>
                <w:b/>
                <w:bCs/>
                <w:color w:val="FFFFFF" w:themeColor="background1"/>
                <w:sz w:val="16"/>
                <w:szCs w:val="16"/>
              </w:rPr>
              <w:t>High</w:t>
            </w:r>
          </w:p>
        </w:tc>
        <w:tc>
          <w:tcPr>
            <w:tcW w:w="0" w:type="auto"/>
            <w:tcBorders>
              <w:top w:val="single" w:sz="4" w:space="0" w:color="FFFFFF" w:themeColor="background1"/>
              <w:left w:val="nil"/>
              <w:bottom w:val="nil"/>
              <w:right w:val="nil"/>
            </w:tcBorders>
            <w:shd w:val="clear" w:color="auto" w:fill="6B2976"/>
            <w:noWrap/>
            <w:vAlign w:val="center"/>
            <w:hideMark/>
          </w:tcPr>
          <w:p w14:paraId="63F8DF41" w14:textId="77777777" w:rsidR="00DA3375" w:rsidRPr="00DA3F73" w:rsidRDefault="00DA3375" w:rsidP="009C7082">
            <w:pPr>
              <w:spacing w:after="0" w:line="240" w:lineRule="auto"/>
              <w:jc w:val="right"/>
              <w:rPr>
                <w:rFonts w:eastAsia="Times New Roman" w:cs="Arial"/>
                <w:b/>
                <w:bCs/>
                <w:color w:val="FFFFFF" w:themeColor="background1"/>
                <w:sz w:val="16"/>
                <w:szCs w:val="16"/>
              </w:rPr>
            </w:pPr>
            <w:r w:rsidRPr="00DA3F73">
              <w:rPr>
                <w:rFonts w:eastAsia="Times New Roman" w:cs="Arial"/>
                <w:b/>
                <w:bCs/>
                <w:color w:val="FFFFFF" w:themeColor="background1"/>
                <w:sz w:val="16"/>
                <w:szCs w:val="16"/>
              </w:rPr>
              <w:t>Med</w:t>
            </w:r>
          </w:p>
        </w:tc>
        <w:tc>
          <w:tcPr>
            <w:tcW w:w="0" w:type="auto"/>
            <w:tcBorders>
              <w:top w:val="single" w:sz="4" w:space="0" w:color="FFFFFF" w:themeColor="background1"/>
              <w:left w:val="nil"/>
              <w:right w:val="nil"/>
            </w:tcBorders>
            <w:shd w:val="clear" w:color="auto" w:fill="6B2976"/>
            <w:noWrap/>
            <w:vAlign w:val="center"/>
            <w:hideMark/>
          </w:tcPr>
          <w:p w14:paraId="5D99A9A9" w14:textId="77777777" w:rsidR="00DA3375" w:rsidRPr="00DA3F73" w:rsidRDefault="00DA3375" w:rsidP="009C7082">
            <w:pPr>
              <w:spacing w:after="0" w:line="240" w:lineRule="auto"/>
              <w:jc w:val="right"/>
              <w:rPr>
                <w:rFonts w:eastAsia="Times New Roman" w:cs="Arial"/>
                <w:b/>
                <w:bCs/>
                <w:color w:val="FFFFFF" w:themeColor="background1"/>
                <w:sz w:val="16"/>
                <w:szCs w:val="16"/>
              </w:rPr>
            </w:pPr>
            <w:r w:rsidRPr="00DA3F73">
              <w:rPr>
                <w:rFonts w:eastAsia="Times New Roman" w:cs="Arial"/>
                <w:b/>
                <w:bCs/>
                <w:color w:val="FFFFFF" w:themeColor="background1"/>
                <w:sz w:val="16"/>
                <w:szCs w:val="16"/>
              </w:rPr>
              <w:t>Low</w:t>
            </w:r>
          </w:p>
        </w:tc>
        <w:tc>
          <w:tcPr>
            <w:tcW w:w="0" w:type="auto"/>
            <w:tcBorders>
              <w:top w:val="dotted" w:sz="4" w:space="0" w:color="FFFFFF" w:themeColor="background1"/>
              <w:left w:val="nil"/>
              <w:bottom w:val="nil"/>
              <w:right w:val="nil"/>
            </w:tcBorders>
            <w:shd w:val="clear" w:color="auto" w:fill="6B2976"/>
            <w:noWrap/>
            <w:vAlign w:val="center"/>
            <w:hideMark/>
          </w:tcPr>
          <w:p w14:paraId="6B0EAB8F" w14:textId="77777777" w:rsidR="00DA3375" w:rsidRPr="00DA3F73" w:rsidRDefault="00DA3375" w:rsidP="009C7082">
            <w:pPr>
              <w:spacing w:after="0" w:line="240" w:lineRule="auto"/>
              <w:jc w:val="right"/>
              <w:rPr>
                <w:rFonts w:eastAsia="Times New Roman" w:cs="Arial"/>
                <w:b/>
                <w:bCs/>
                <w:color w:val="FFFFFF" w:themeColor="background1"/>
                <w:sz w:val="16"/>
                <w:szCs w:val="16"/>
              </w:rPr>
            </w:pPr>
            <w:r w:rsidRPr="00DA3F73">
              <w:rPr>
                <w:rFonts w:eastAsia="Times New Roman" w:cs="Arial"/>
                <w:b/>
                <w:bCs/>
                <w:color w:val="FFFFFF" w:themeColor="background1"/>
                <w:sz w:val="16"/>
                <w:szCs w:val="16"/>
              </w:rPr>
              <w:t>Total</w:t>
            </w:r>
          </w:p>
        </w:tc>
        <w:tc>
          <w:tcPr>
            <w:tcW w:w="0" w:type="auto"/>
            <w:tcBorders>
              <w:top w:val="dotted" w:sz="4" w:space="0" w:color="FFFFFF" w:themeColor="background1"/>
              <w:left w:val="nil"/>
              <w:right w:val="nil"/>
            </w:tcBorders>
            <w:shd w:val="clear" w:color="auto" w:fill="6B2976"/>
            <w:noWrap/>
            <w:vAlign w:val="center"/>
            <w:hideMark/>
          </w:tcPr>
          <w:p w14:paraId="2CD86DC2" w14:textId="77777777" w:rsidR="00DA3375" w:rsidRPr="00DA3F73" w:rsidRDefault="00DA3375" w:rsidP="009C7082">
            <w:pPr>
              <w:spacing w:after="0" w:line="240" w:lineRule="auto"/>
              <w:jc w:val="right"/>
              <w:rPr>
                <w:rFonts w:eastAsia="Times New Roman" w:cs="Arial"/>
                <w:b/>
                <w:bCs/>
                <w:color w:val="FFFFFF" w:themeColor="background1"/>
                <w:sz w:val="16"/>
                <w:szCs w:val="16"/>
              </w:rPr>
            </w:pPr>
            <w:r w:rsidRPr="00DA3F73">
              <w:rPr>
                <w:rFonts w:eastAsia="Times New Roman" w:cs="Arial"/>
                <w:b/>
                <w:bCs/>
                <w:color w:val="FFFFFF" w:themeColor="background1"/>
                <w:sz w:val="16"/>
                <w:szCs w:val="16"/>
              </w:rPr>
              <w:t>Total</w:t>
            </w:r>
          </w:p>
        </w:tc>
        <w:tc>
          <w:tcPr>
            <w:tcW w:w="0" w:type="auto"/>
            <w:vMerge/>
            <w:tcBorders>
              <w:top w:val="nil"/>
              <w:left w:val="nil"/>
              <w:bottom w:val="nil"/>
              <w:right w:val="nil"/>
            </w:tcBorders>
            <w:shd w:val="clear" w:color="auto" w:fill="6B2976"/>
            <w:vAlign w:val="center"/>
            <w:hideMark/>
          </w:tcPr>
          <w:p w14:paraId="05F77908" w14:textId="77777777" w:rsidR="00DA3375" w:rsidRPr="00355FA5" w:rsidRDefault="00DA3375" w:rsidP="00DA3375">
            <w:pPr>
              <w:spacing w:after="0" w:line="240" w:lineRule="auto"/>
              <w:rPr>
                <w:rFonts w:eastAsia="Times New Roman" w:cs="Arial"/>
                <w:b/>
                <w:bCs/>
                <w:color w:val="000000"/>
                <w:sz w:val="16"/>
                <w:szCs w:val="16"/>
              </w:rPr>
            </w:pPr>
          </w:p>
        </w:tc>
      </w:tr>
      <w:tr w:rsidR="00B71716" w:rsidRPr="00355FA5" w14:paraId="381626FD" w14:textId="77777777" w:rsidTr="009C7082">
        <w:trPr>
          <w:trHeight w:val="301"/>
        </w:trPr>
        <w:tc>
          <w:tcPr>
            <w:tcW w:w="0" w:type="auto"/>
            <w:tcBorders>
              <w:top w:val="nil"/>
              <w:left w:val="nil"/>
              <w:bottom w:val="nil"/>
              <w:right w:val="dotted" w:sz="4" w:space="0" w:color="auto"/>
            </w:tcBorders>
            <w:shd w:val="clear" w:color="auto" w:fill="auto"/>
            <w:noWrap/>
            <w:vAlign w:val="center"/>
            <w:hideMark/>
          </w:tcPr>
          <w:p w14:paraId="29EC3068" w14:textId="77777777" w:rsidR="00DA3375" w:rsidRPr="00355FA5" w:rsidRDefault="00DA3375" w:rsidP="009C7082">
            <w:pPr>
              <w:spacing w:after="0" w:line="240" w:lineRule="auto"/>
              <w:rPr>
                <w:rFonts w:eastAsia="Times New Roman" w:cs="Arial"/>
                <w:color w:val="000000"/>
                <w:sz w:val="16"/>
                <w:szCs w:val="16"/>
              </w:rPr>
            </w:pPr>
            <w:r w:rsidRPr="00355FA5">
              <w:rPr>
                <w:rFonts w:eastAsia="Times New Roman" w:cs="Arial"/>
                <w:color w:val="000000"/>
                <w:sz w:val="16"/>
                <w:szCs w:val="16"/>
              </w:rPr>
              <w:t>0 to 6</w:t>
            </w:r>
          </w:p>
        </w:tc>
        <w:tc>
          <w:tcPr>
            <w:tcW w:w="0" w:type="auto"/>
            <w:tcBorders>
              <w:top w:val="nil"/>
              <w:left w:val="dotted" w:sz="4" w:space="0" w:color="auto"/>
              <w:bottom w:val="nil"/>
              <w:right w:val="nil"/>
            </w:tcBorders>
            <w:shd w:val="clear" w:color="auto" w:fill="auto"/>
            <w:noWrap/>
            <w:vAlign w:val="center"/>
            <w:hideMark/>
          </w:tcPr>
          <w:p w14:paraId="6509BCEE"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2.42%</w:t>
            </w:r>
          </w:p>
        </w:tc>
        <w:tc>
          <w:tcPr>
            <w:tcW w:w="0" w:type="auto"/>
            <w:tcBorders>
              <w:top w:val="nil"/>
              <w:left w:val="nil"/>
              <w:bottom w:val="nil"/>
              <w:right w:val="nil"/>
            </w:tcBorders>
            <w:shd w:val="clear" w:color="auto" w:fill="auto"/>
            <w:noWrap/>
            <w:vAlign w:val="center"/>
            <w:hideMark/>
          </w:tcPr>
          <w:p w14:paraId="41A1DB51"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0.27%</w:t>
            </w:r>
          </w:p>
        </w:tc>
        <w:tc>
          <w:tcPr>
            <w:tcW w:w="0" w:type="auto"/>
            <w:tcBorders>
              <w:top w:val="nil"/>
              <w:left w:val="nil"/>
              <w:bottom w:val="nil"/>
              <w:right w:val="dotted" w:sz="4" w:space="0" w:color="auto"/>
            </w:tcBorders>
            <w:shd w:val="clear" w:color="auto" w:fill="auto"/>
            <w:noWrap/>
            <w:vAlign w:val="center"/>
            <w:hideMark/>
          </w:tcPr>
          <w:p w14:paraId="796778A1"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0.13%</w:t>
            </w:r>
          </w:p>
        </w:tc>
        <w:tc>
          <w:tcPr>
            <w:tcW w:w="0" w:type="auto"/>
            <w:tcBorders>
              <w:top w:val="nil"/>
              <w:left w:val="dotted" w:sz="4" w:space="0" w:color="auto"/>
              <w:bottom w:val="nil"/>
              <w:right w:val="nil"/>
            </w:tcBorders>
            <w:shd w:val="clear" w:color="auto" w:fill="auto"/>
            <w:noWrap/>
            <w:vAlign w:val="center"/>
            <w:hideMark/>
          </w:tcPr>
          <w:p w14:paraId="118BC043"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1.55%</w:t>
            </w:r>
          </w:p>
        </w:tc>
        <w:tc>
          <w:tcPr>
            <w:tcW w:w="0" w:type="auto"/>
            <w:tcBorders>
              <w:top w:val="nil"/>
              <w:left w:val="nil"/>
              <w:bottom w:val="nil"/>
              <w:right w:val="dotted" w:sz="4" w:space="0" w:color="auto"/>
            </w:tcBorders>
            <w:shd w:val="clear" w:color="auto" w:fill="auto"/>
            <w:noWrap/>
            <w:vAlign w:val="center"/>
            <w:hideMark/>
          </w:tcPr>
          <w:p w14:paraId="395B82E9"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1.50%</w:t>
            </w:r>
          </w:p>
        </w:tc>
        <w:tc>
          <w:tcPr>
            <w:tcW w:w="0" w:type="auto"/>
            <w:tcBorders>
              <w:top w:val="nil"/>
              <w:left w:val="dotted" w:sz="4" w:space="0" w:color="auto"/>
              <w:bottom w:val="nil"/>
              <w:right w:val="single" w:sz="4" w:space="0" w:color="auto"/>
            </w:tcBorders>
            <w:shd w:val="clear" w:color="auto" w:fill="auto"/>
            <w:noWrap/>
            <w:vAlign w:val="center"/>
            <w:hideMark/>
          </w:tcPr>
          <w:p w14:paraId="06BA03CF"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1.51%</w:t>
            </w:r>
          </w:p>
        </w:tc>
        <w:tc>
          <w:tcPr>
            <w:tcW w:w="0" w:type="auto"/>
            <w:tcBorders>
              <w:top w:val="nil"/>
              <w:left w:val="single" w:sz="4" w:space="0" w:color="auto"/>
              <w:bottom w:val="nil"/>
              <w:right w:val="nil"/>
            </w:tcBorders>
            <w:shd w:val="clear" w:color="auto" w:fill="auto"/>
            <w:noWrap/>
            <w:vAlign w:val="center"/>
            <w:hideMark/>
          </w:tcPr>
          <w:p w14:paraId="2930C38A"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6.32%</w:t>
            </w:r>
          </w:p>
        </w:tc>
        <w:tc>
          <w:tcPr>
            <w:tcW w:w="0" w:type="auto"/>
            <w:tcBorders>
              <w:top w:val="nil"/>
              <w:left w:val="nil"/>
              <w:bottom w:val="nil"/>
              <w:right w:val="nil"/>
            </w:tcBorders>
            <w:shd w:val="clear" w:color="auto" w:fill="auto"/>
            <w:noWrap/>
            <w:vAlign w:val="center"/>
            <w:hideMark/>
          </w:tcPr>
          <w:p w14:paraId="4ECA4678"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0.82%</w:t>
            </w:r>
          </w:p>
        </w:tc>
        <w:tc>
          <w:tcPr>
            <w:tcW w:w="0" w:type="auto"/>
            <w:tcBorders>
              <w:top w:val="nil"/>
              <w:left w:val="nil"/>
              <w:bottom w:val="nil"/>
              <w:right w:val="dotted" w:sz="4" w:space="0" w:color="auto"/>
            </w:tcBorders>
            <w:shd w:val="clear" w:color="auto" w:fill="auto"/>
            <w:noWrap/>
            <w:vAlign w:val="center"/>
            <w:hideMark/>
          </w:tcPr>
          <w:p w14:paraId="40FE526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0.52%</w:t>
            </w:r>
          </w:p>
        </w:tc>
        <w:tc>
          <w:tcPr>
            <w:tcW w:w="0" w:type="auto"/>
            <w:tcBorders>
              <w:top w:val="nil"/>
              <w:left w:val="dotted" w:sz="4" w:space="0" w:color="auto"/>
              <w:bottom w:val="nil"/>
              <w:right w:val="nil"/>
            </w:tcBorders>
            <w:shd w:val="clear" w:color="auto" w:fill="auto"/>
            <w:noWrap/>
            <w:vAlign w:val="center"/>
            <w:hideMark/>
          </w:tcPr>
          <w:p w14:paraId="77ACB121"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4.01%</w:t>
            </w:r>
          </w:p>
        </w:tc>
        <w:tc>
          <w:tcPr>
            <w:tcW w:w="0" w:type="auto"/>
            <w:tcBorders>
              <w:top w:val="nil"/>
              <w:left w:val="nil"/>
              <w:bottom w:val="nil"/>
              <w:right w:val="dotted" w:sz="4" w:space="0" w:color="auto"/>
            </w:tcBorders>
            <w:shd w:val="clear" w:color="auto" w:fill="auto"/>
            <w:noWrap/>
            <w:vAlign w:val="center"/>
            <w:hideMark/>
          </w:tcPr>
          <w:p w14:paraId="37142C29"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4.02%</w:t>
            </w:r>
          </w:p>
        </w:tc>
        <w:tc>
          <w:tcPr>
            <w:tcW w:w="0" w:type="auto"/>
            <w:tcBorders>
              <w:top w:val="nil"/>
              <w:left w:val="dotted" w:sz="4" w:space="0" w:color="auto"/>
              <w:bottom w:val="nil"/>
              <w:right w:val="nil"/>
            </w:tcBorders>
            <w:shd w:val="clear" w:color="auto" w:fill="auto"/>
            <w:noWrap/>
            <w:vAlign w:val="center"/>
            <w:hideMark/>
          </w:tcPr>
          <w:p w14:paraId="1BEEED66"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4.01%</w:t>
            </w:r>
          </w:p>
        </w:tc>
      </w:tr>
      <w:tr w:rsidR="00B71716" w:rsidRPr="00355FA5" w14:paraId="7E73F2FA" w14:textId="77777777" w:rsidTr="009C7082">
        <w:trPr>
          <w:trHeight w:val="301"/>
        </w:trPr>
        <w:tc>
          <w:tcPr>
            <w:tcW w:w="0" w:type="auto"/>
            <w:tcBorders>
              <w:top w:val="nil"/>
              <w:left w:val="nil"/>
              <w:bottom w:val="nil"/>
              <w:right w:val="dotted" w:sz="4" w:space="0" w:color="auto"/>
            </w:tcBorders>
            <w:shd w:val="clear" w:color="000000" w:fill="BFBFBF"/>
            <w:noWrap/>
            <w:vAlign w:val="center"/>
            <w:hideMark/>
          </w:tcPr>
          <w:p w14:paraId="44E295F2" w14:textId="77777777" w:rsidR="00DA3375" w:rsidRPr="00355FA5" w:rsidRDefault="00DA3375" w:rsidP="009C7082">
            <w:pPr>
              <w:spacing w:after="0" w:line="240" w:lineRule="auto"/>
              <w:rPr>
                <w:rFonts w:eastAsia="Times New Roman" w:cs="Arial"/>
                <w:color w:val="000000"/>
                <w:sz w:val="16"/>
                <w:szCs w:val="16"/>
              </w:rPr>
            </w:pPr>
            <w:r w:rsidRPr="00355FA5">
              <w:rPr>
                <w:rFonts w:eastAsia="Times New Roman" w:cs="Arial"/>
                <w:color w:val="000000"/>
                <w:sz w:val="16"/>
                <w:szCs w:val="16"/>
              </w:rPr>
              <w:t>7 to 14</w:t>
            </w:r>
          </w:p>
        </w:tc>
        <w:tc>
          <w:tcPr>
            <w:tcW w:w="0" w:type="auto"/>
            <w:tcBorders>
              <w:top w:val="nil"/>
              <w:left w:val="dotted" w:sz="4" w:space="0" w:color="auto"/>
              <w:bottom w:val="nil"/>
              <w:right w:val="nil"/>
            </w:tcBorders>
            <w:shd w:val="clear" w:color="000000" w:fill="BFBFBF"/>
            <w:noWrap/>
            <w:vAlign w:val="center"/>
            <w:hideMark/>
          </w:tcPr>
          <w:p w14:paraId="439F3D2E"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5.58%</w:t>
            </w:r>
          </w:p>
        </w:tc>
        <w:tc>
          <w:tcPr>
            <w:tcW w:w="0" w:type="auto"/>
            <w:tcBorders>
              <w:top w:val="nil"/>
              <w:left w:val="nil"/>
              <w:bottom w:val="nil"/>
              <w:right w:val="nil"/>
            </w:tcBorders>
            <w:shd w:val="clear" w:color="000000" w:fill="BFBFBF"/>
            <w:noWrap/>
            <w:vAlign w:val="center"/>
            <w:hideMark/>
          </w:tcPr>
          <w:p w14:paraId="4EFAE680"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0.33%</w:t>
            </w:r>
          </w:p>
        </w:tc>
        <w:tc>
          <w:tcPr>
            <w:tcW w:w="0" w:type="auto"/>
            <w:tcBorders>
              <w:top w:val="nil"/>
              <w:left w:val="nil"/>
              <w:bottom w:val="nil"/>
              <w:right w:val="dotted" w:sz="4" w:space="0" w:color="auto"/>
            </w:tcBorders>
            <w:shd w:val="clear" w:color="000000" w:fill="BFBFBF"/>
            <w:noWrap/>
            <w:vAlign w:val="center"/>
            <w:hideMark/>
          </w:tcPr>
          <w:p w14:paraId="0A699FB5"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0.20%</w:t>
            </w:r>
          </w:p>
        </w:tc>
        <w:tc>
          <w:tcPr>
            <w:tcW w:w="0" w:type="auto"/>
            <w:tcBorders>
              <w:top w:val="nil"/>
              <w:left w:val="dotted" w:sz="4" w:space="0" w:color="auto"/>
              <w:bottom w:val="nil"/>
              <w:right w:val="nil"/>
            </w:tcBorders>
            <w:shd w:val="clear" w:color="000000" w:fill="BFBFBF"/>
            <w:noWrap/>
            <w:vAlign w:val="center"/>
            <w:hideMark/>
          </w:tcPr>
          <w:p w14:paraId="1120A91D"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1.71%</w:t>
            </w:r>
          </w:p>
        </w:tc>
        <w:tc>
          <w:tcPr>
            <w:tcW w:w="0" w:type="auto"/>
            <w:tcBorders>
              <w:top w:val="nil"/>
              <w:left w:val="nil"/>
              <w:bottom w:val="nil"/>
              <w:right w:val="dotted" w:sz="4" w:space="0" w:color="auto"/>
            </w:tcBorders>
            <w:shd w:val="clear" w:color="000000" w:fill="BFBFBF"/>
            <w:noWrap/>
            <w:vAlign w:val="center"/>
            <w:hideMark/>
          </w:tcPr>
          <w:p w14:paraId="2D048684"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2.10%</w:t>
            </w:r>
          </w:p>
        </w:tc>
        <w:tc>
          <w:tcPr>
            <w:tcW w:w="0" w:type="auto"/>
            <w:tcBorders>
              <w:top w:val="nil"/>
              <w:left w:val="dotted" w:sz="4" w:space="0" w:color="auto"/>
              <w:bottom w:val="nil"/>
              <w:right w:val="single" w:sz="4" w:space="0" w:color="auto"/>
            </w:tcBorders>
            <w:shd w:val="clear" w:color="000000" w:fill="BFBFBF"/>
            <w:noWrap/>
            <w:vAlign w:val="center"/>
            <w:hideMark/>
          </w:tcPr>
          <w:p w14:paraId="21A94CA6"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1.99%</w:t>
            </w:r>
          </w:p>
        </w:tc>
        <w:tc>
          <w:tcPr>
            <w:tcW w:w="0" w:type="auto"/>
            <w:tcBorders>
              <w:top w:val="nil"/>
              <w:left w:val="single" w:sz="4" w:space="0" w:color="auto"/>
              <w:bottom w:val="nil"/>
              <w:right w:val="nil"/>
            </w:tcBorders>
            <w:shd w:val="clear" w:color="000000" w:fill="BFBFBF"/>
            <w:noWrap/>
            <w:vAlign w:val="center"/>
            <w:hideMark/>
          </w:tcPr>
          <w:p w14:paraId="76EE35D9"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7.74%</w:t>
            </w:r>
          </w:p>
        </w:tc>
        <w:tc>
          <w:tcPr>
            <w:tcW w:w="0" w:type="auto"/>
            <w:tcBorders>
              <w:top w:val="nil"/>
              <w:left w:val="nil"/>
              <w:bottom w:val="nil"/>
              <w:right w:val="nil"/>
            </w:tcBorders>
            <w:shd w:val="clear" w:color="000000" w:fill="BFBFBF"/>
            <w:noWrap/>
            <w:vAlign w:val="center"/>
            <w:hideMark/>
          </w:tcPr>
          <w:p w14:paraId="2B94B2D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0.60%</w:t>
            </w:r>
          </w:p>
        </w:tc>
        <w:tc>
          <w:tcPr>
            <w:tcW w:w="0" w:type="auto"/>
            <w:tcBorders>
              <w:top w:val="nil"/>
              <w:left w:val="nil"/>
              <w:bottom w:val="nil"/>
              <w:right w:val="dotted" w:sz="4" w:space="0" w:color="auto"/>
            </w:tcBorders>
            <w:shd w:val="clear" w:color="000000" w:fill="BFBFBF"/>
            <w:noWrap/>
            <w:vAlign w:val="center"/>
            <w:hideMark/>
          </w:tcPr>
          <w:p w14:paraId="029E3A21"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0.43%</w:t>
            </w:r>
          </w:p>
        </w:tc>
        <w:tc>
          <w:tcPr>
            <w:tcW w:w="0" w:type="auto"/>
            <w:tcBorders>
              <w:top w:val="nil"/>
              <w:left w:val="dotted" w:sz="4" w:space="0" w:color="auto"/>
              <w:bottom w:val="nil"/>
              <w:right w:val="nil"/>
            </w:tcBorders>
            <w:shd w:val="clear" w:color="000000" w:fill="BFBFBF"/>
            <w:noWrap/>
            <w:vAlign w:val="center"/>
            <w:hideMark/>
          </w:tcPr>
          <w:p w14:paraId="0B28AACE"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2.74%</w:t>
            </w:r>
          </w:p>
        </w:tc>
        <w:tc>
          <w:tcPr>
            <w:tcW w:w="0" w:type="auto"/>
            <w:tcBorders>
              <w:top w:val="nil"/>
              <w:left w:val="nil"/>
              <w:bottom w:val="nil"/>
              <w:right w:val="dotted" w:sz="4" w:space="0" w:color="auto"/>
            </w:tcBorders>
            <w:shd w:val="clear" w:color="000000" w:fill="BFBFBF"/>
            <w:noWrap/>
            <w:vAlign w:val="center"/>
            <w:hideMark/>
          </w:tcPr>
          <w:p w14:paraId="322D57C3"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2.90%</w:t>
            </w:r>
          </w:p>
        </w:tc>
        <w:tc>
          <w:tcPr>
            <w:tcW w:w="0" w:type="auto"/>
            <w:tcBorders>
              <w:top w:val="nil"/>
              <w:left w:val="dotted" w:sz="4" w:space="0" w:color="auto"/>
              <w:bottom w:val="nil"/>
              <w:right w:val="nil"/>
            </w:tcBorders>
            <w:shd w:val="clear" w:color="000000" w:fill="BFBFBF"/>
            <w:noWrap/>
            <w:vAlign w:val="center"/>
            <w:hideMark/>
          </w:tcPr>
          <w:p w14:paraId="108CA3C8"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2.85%</w:t>
            </w:r>
          </w:p>
        </w:tc>
      </w:tr>
      <w:tr w:rsidR="00B71716" w:rsidRPr="00355FA5" w14:paraId="751E9724" w14:textId="77777777" w:rsidTr="009C7082">
        <w:trPr>
          <w:trHeight w:val="301"/>
        </w:trPr>
        <w:tc>
          <w:tcPr>
            <w:tcW w:w="0" w:type="auto"/>
            <w:tcBorders>
              <w:top w:val="nil"/>
              <w:left w:val="nil"/>
              <w:bottom w:val="nil"/>
              <w:right w:val="dotted" w:sz="4" w:space="0" w:color="auto"/>
            </w:tcBorders>
            <w:shd w:val="clear" w:color="auto" w:fill="auto"/>
            <w:noWrap/>
            <w:vAlign w:val="center"/>
            <w:hideMark/>
          </w:tcPr>
          <w:p w14:paraId="413D55AC" w14:textId="77777777" w:rsidR="00DA3375" w:rsidRPr="00355FA5" w:rsidRDefault="00DA3375" w:rsidP="009C7082">
            <w:pPr>
              <w:spacing w:after="0" w:line="240" w:lineRule="auto"/>
              <w:rPr>
                <w:rFonts w:eastAsia="Times New Roman" w:cs="Arial"/>
                <w:color w:val="000000"/>
                <w:sz w:val="16"/>
                <w:szCs w:val="16"/>
              </w:rPr>
            </w:pPr>
            <w:r w:rsidRPr="00355FA5">
              <w:rPr>
                <w:rFonts w:eastAsia="Times New Roman" w:cs="Arial"/>
                <w:color w:val="000000"/>
                <w:sz w:val="16"/>
                <w:szCs w:val="16"/>
              </w:rPr>
              <w:t>15 to 18</w:t>
            </w:r>
          </w:p>
        </w:tc>
        <w:tc>
          <w:tcPr>
            <w:tcW w:w="0" w:type="auto"/>
            <w:tcBorders>
              <w:top w:val="nil"/>
              <w:left w:val="dotted" w:sz="4" w:space="0" w:color="auto"/>
              <w:bottom w:val="nil"/>
              <w:right w:val="nil"/>
            </w:tcBorders>
            <w:shd w:val="clear" w:color="auto" w:fill="auto"/>
            <w:noWrap/>
            <w:vAlign w:val="center"/>
            <w:hideMark/>
          </w:tcPr>
          <w:p w14:paraId="690C787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1.18%</w:t>
            </w:r>
          </w:p>
        </w:tc>
        <w:tc>
          <w:tcPr>
            <w:tcW w:w="0" w:type="auto"/>
            <w:tcBorders>
              <w:top w:val="nil"/>
              <w:left w:val="nil"/>
              <w:bottom w:val="nil"/>
              <w:right w:val="nil"/>
            </w:tcBorders>
            <w:shd w:val="clear" w:color="auto" w:fill="auto"/>
            <w:noWrap/>
            <w:vAlign w:val="center"/>
            <w:hideMark/>
          </w:tcPr>
          <w:p w14:paraId="1E76EE16"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0.41%</w:t>
            </w:r>
          </w:p>
        </w:tc>
        <w:tc>
          <w:tcPr>
            <w:tcW w:w="0" w:type="auto"/>
            <w:tcBorders>
              <w:top w:val="nil"/>
              <w:left w:val="nil"/>
              <w:bottom w:val="nil"/>
              <w:right w:val="dotted" w:sz="4" w:space="0" w:color="auto"/>
            </w:tcBorders>
            <w:shd w:val="clear" w:color="auto" w:fill="auto"/>
            <w:noWrap/>
            <w:vAlign w:val="center"/>
            <w:hideMark/>
          </w:tcPr>
          <w:p w14:paraId="53988EF1"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0.17%</w:t>
            </w:r>
          </w:p>
        </w:tc>
        <w:tc>
          <w:tcPr>
            <w:tcW w:w="0" w:type="auto"/>
            <w:tcBorders>
              <w:top w:val="nil"/>
              <w:left w:val="dotted" w:sz="4" w:space="0" w:color="auto"/>
              <w:bottom w:val="nil"/>
              <w:right w:val="nil"/>
            </w:tcBorders>
            <w:shd w:val="clear" w:color="auto" w:fill="auto"/>
            <w:noWrap/>
            <w:vAlign w:val="center"/>
            <w:hideMark/>
          </w:tcPr>
          <w:p w14:paraId="1EB0A24C"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0.40%</w:t>
            </w:r>
          </w:p>
        </w:tc>
        <w:tc>
          <w:tcPr>
            <w:tcW w:w="0" w:type="auto"/>
            <w:tcBorders>
              <w:top w:val="nil"/>
              <w:left w:val="nil"/>
              <w:bottom w:val="nil"/>
              <w:right w:val="dotted" w:sz="4" w:space="0" w:color="auto"/>
            </w:tcBorders>
            <w:shd w:val="clear" w:color="auto" w:fill="auto"/>
            <w:noWrap/>
            <w:vAlign w:val="center"/>
            <w:hideMark/>
          </w:tcPr>
          <w:p w14:paraId="794F02EA"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0.54%</w:t>
            </w:r>
          </w:p>
        </w:tc>
        <w:tc>
          <w:tcPr>
            <w:tcW w:w="0" w:type="auto"/>
            <w:tcBorders>
              <w:top w:val="nil"/>
              <w:left w:val="dotted" w:sz="4" w:space="0" w:color="auto"/>
              <w:bottom w:val="nil"/>
              <w:right w:val="single" w:sz="4" w:space="0" w:color="auto"/>
            </w:tcBorders>
            <w:shd w:val="clear" w:color="auto" w:fill="auto"/>
            <w:noWrap/>
            <w:vAlign w:val="center"/>
            <w:hideMark/>
          </w:tcPr>
          <w:p w14:paraId="672FCBE2"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0.50%</w:t>
            </w:r>
          </w:p>
        </w:tc>
        <w:tc>
          <w:tcPr>
            <w:tcW w:w="0" w:type="auto"/>
            <w:tcBorders>
              <w:top w:val="nil"/>
              <w:left w:val="single" w:sz="4" w:space="0" w:color="auto"/>
              <w:bottom w:val="nil"/>
              <w:right w:val="nil"/>
            </w:tcBorders>
            <w:shd w:val="clear" w:color="auto" w:fill="auto"/>
            <w:noWrap/>
            <w:vAlign w:val="center"/>
            <w:hideMark/>
          </w:tcPr>
          <w:p w14:paraId="2FAD8720"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2.88%</w:t>
            </w:r>
          </w:p>
        </w:tc>
        <w:tc>
          <w:tcPr>
            <w:tcW w:w="0" w:type="auto"/>
            <w:tcBorders>
              <w:top w:val="nil"/>
              <w:left w:val="nil"/>
              <w:bottom w:val="nil"/>
              <w:right w:val="nil"/>
            </w:tcBorders>
            <w:shd w:val="clear" w:color="auto" w:fill="auto"/>
            <w:noWrap/>
            <w:vAlign w:val="center"/>
            <w:hideMark/>
          </w:tcPr>
          <w:p w14:paraId="2F25B14A"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0.67%</w:t>
            </w:r>
          </w:p>
        </w:tc>
        <w:tc>
          <w:tcPr>
            <w:tcW w:w="0" w:type="auto"/>
            <w:tcBorders>
              <w:top w:val="nil"/>
              <w:left w:val="nil"/>
              <w:bottom w:val="nil"/>
              <w:right w:val="dotted" w:sz="4" w:space="0" w:color="auto"/>
            </w:tcBorders>
            <w:shd w:val="clear" w:color="auto" w:fill="auto"/>
            <w:noWrap/>
            <w:vAlign w:val="center"/>
            <w:hideMark/>
          </w:tcPr>
          <w:p w14:paraId="540F357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0.26%</w:t>
            </w:r>
          </w:p>
        </w:tc>
        <w:tc>
          <w:tcPr>
            <w:tcW w:w="0" w:type="auto"/>
            <w:tcBorders>
              <w:top w:val="nil"/>
              <w:left w:val="dotted" w:sz="4" w:space="0" w:color="auto"/>
              <w:bottom w:val="nil"/>
              <w:right w:val="nil"/>
            </w:tcBorders>
            <w:shd w:val="clear" w:color="auto" w:fill="auto"/>
            <w:noWrap/>
            <w:vAlign w:val="center"/>
            <w:hideMark/>
          </w:tcPr>
          <w:p w14:paraId="6683821A"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0.99%</w:t>
            </w:r>
          </w:p>
        </w:tc>
        <w:tc>
          <w:tcPr>
            <w:tcW w:w="0" w:type="auto"/>
            <w:tcBorders>
              <w:top w:val="nil"/>
              <w:left w:val="nil"/>
              <w:bottom w:val="nil"/>
              <w:right w:val="dotted" w:sz="4" w:space="0" w:color="auto"/>
            </w:tcBorders>
            <w:shd w:val="clear" w:color="auto" w:fill="auto"/>
            <w:noWrap/>
            <w:vAlign w:val="center"/>
            <w:hideMark/>
          </w:tcPr>
          <w:p w14:paraId="5E231827"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1.02%</w:t>
            </w:r>
          </w:p>
        </w:tc>
        <w:tc>
          <w:tcPr>
            <w:tcW w:w="0" w:type="auto"/>
            <w:tcBorders>
              <w:top w:val="nil"/>
              <w:left w:val="dotted" w:sz="4" w:space="0" w:color="auto"/>
              <w:bottom w:val="nil"/>
              <w:right w:val="nil"/>
            </w:tcBorders>
            <w:shd w:val="clear" w:color="auto" w:fill="auto"/>
            <w:noWrap/>
            <w:vAlign w:val="center"/>
            <w:hideMark/>
          </w:tcPr>
          <w:p w14:paraId="036281EA"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1.01%</w:t>
            </w:r>
          </w:p>
        </w:tc>
      </w:tr>
      <w:tr w:rsidR="00B71716" w:rsidRPr="00355FA5" w14:paraId="2C4D156A" w14:textId="77777777" w:rsidTr="009C7082">
        <w:trPr>
          <w:trHeight w:val="301"/>
        </w:trPr>
        <w:tc>
          <w:tcPr>
            <w:tcW w:w="0" w:type="auto"/>
            <w:tcBorders>
              <w:top w:val="nil"/>
              <w:left w:val="nil"/>
              <w:bottom w:val="nil"/>
              <w:right w:val="dotted" w:sz="4" w:space="0" w:color="auto"/>
            </w:tcBorders>
            <w:shd w:val="clear" w:color="000000" w:fill="BFBFBF"/>
            <w:noWrap/>
            <w:vAlign w:val="center"/>
            <w:hideMark/>
          </w:tcPr>
          <w:p w14:paraId="31993591" w14:textId="77777777" w:rsidR="00DA3375" w:rsidRPr="00355FA5" w:rsidRDefault="00DA3375" w:rsidP="009C7082">
            <w:pPr>
              <w:spacing w:after="0" w:line="240" w:lineRule="auto"/>
              <w:rPr>
                <w:rFonts w:eastAsia="Times New Roman" w:cs="Arial"/>
                <w:color w:val="000000"/>
                <w:sz w:val="16"/>
                <w:szCs w:val="16"/>
              </w:rPr>
            </w:pPr>
            <w:r w:rsidRPr="00355FA5">
              <w:rPr>
                <w:rFonts w:eastAsia="Times New Roman" w:cs="Arial"/>
                <w:color w:val="000000"/>
                <w:sz w:val="16"/>
                <w:szCs w:val="16"/>
              </w:rPr>
              <w:t>19 to 24</w:t>
            </w:r>
          </w:p>
        </w:tc>
        <w:tc>
          <w:tcPr>
            <w:tcW w:w="0" w:type="auto"/>
            <w:tcBorders>
              <w:top w:val="nil"/>
              <w:left w:val="dotted" w:sz="4" w:space="0" w:color="auto"/>
              <w:bottom w:val="nil"/>
              <w:right w:val="nil"/>
            </w:tcBorders>
            <w:shd w:val="clear" w:color="000000" w:fill="BFBFBF"/>
            <w:noWrap/>
            <w:vAlign w:val="center"/>
            <w:hideMark/>
          </w:tcPr>
          <w:p w14:paraId="5DA8CE52"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1.44%</w:t>
            </w:r>
          </w:p>
        </w:tc>
        <w:tc>
          <w:tcPr>
            <w:tcW w:w="0" w:type="auto"/>
            <w:tcBorders>
              <w:top w:val="nil"/>
              <w:left w:val="nil"/>
              <w:bottom w:val="nil"/>
              <w:right w:val="nil"/>
            </w:tcBorders>
            <w:shd w:val="clear" w:color="000000" w:fill="BFBFBF"/>
            <w:noWrap/>
            <w:vAlign w:val="center"/>
            <w:hideMark/>
          </w:tcPr>
          <w:p w14:paraId="3000070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0.54%</w:t>
            </w:r>
          </w:p>
        </w:tc>
        <w:tc>
          <w:tcPr>
            <w:tcW w:w="0" w:type="auto"/>
            <w:tcBorders>
              <w:top w:val="nil"/>
              <w:left w:val="nil"/>
              <w:bottom w:val="nil"/>
              <w:right w:val="dotted" w:sz="4" w:space="0" w:color="auto"/>
            </w:tcBorders>
            <w:shd w:val="clear" w:color="000000" w:fill="BFBFBF"/>
            <w:noWrap/>
            <w:vAlign w:val="center"/>
            <w:hideMark/>
          </w:tcPr>
          <w:p w14:paraId="0C1AF004"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0.06%</w:t>
            </w:r>
          </w:p>
        </w:tc>
        <w:tc>
          <w:tcPr>
            <w:tcW w:w="0" w:type="auto"/>
            <w:tcBorders>
              <w:top w:val="nil"/>
              <w:left w:val="dotted" w:sz="4" w:space="0" w:color="auto"/>
              <w:bottom w:val="nil"/>
              <w:right w:val="nil"/>
            </w:tcBorders>
            <w:shd w:val="clear" w:color="000000" w:fill="BFBFBF"/>
            <w:noWrap/>
            <w:vAlign w:val="center"/>
            <w:hideMark/>
          </w:tcPr>
          <w:p w14:paraId="007673B8"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0.45%</w:t>
            </w:r>
          </w:p>
        </w:tc>
        <w:tc>
          <w:tcPr>
            <w:tcW w:w="0" w:type="auto"/>
            <w:tcBorders>
              <w:top w:val="nil"/>
              <w:left w:val="nil"/>
              <w:bottom w:val="nil"/>
              <w:right w:val="dotted" w:sz="4" w:space="0" w:color="auto"/>
            </w:tcBorders>
            <w:shd w:val="clear" w:color="000000" w:fill="BFBFBF"/>
            <w:noWrap/>
            <w:vAlign w:val="center"/>
            <w:hideMark/>
          </w:tcPr>
          <w:p w14:paraId="5B41F80A"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0.62%</w:t>
            </w:r>
          </w:p>
        </w:tc>
        <w:tc>
          <w:tcPr>
            <w:tcW w:w="0" w:type="auto"/>
            <w:tcBorders>
              <w:top w:val="nil"/>
              <w:left w:val="dotted" w:sz="4" w:space="0" w:color="auto"/>
              <w:bottom w:val="nil"/>
              <w:right w:val="single" w:sz="4" w:space="0" w:color="auto"/>
            </w:tcBorders>
            <w:shd w:val="clear" w:color="000000" w:fill="BFBFBF"/>
            <w:noWrap/>
            <w:vAlign w:val="center"/>
            <w:hideMark/>
          </w:tcPr>
          <w:p w14:paraId="0CD57932"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0.56%</w:t>
            </w:r>
          </w:p>
        </w:tc>
        <w:tc>
          <w:tcPr>
            <w:tcW w:w="0" w:type="auto"/>
            <w:tcBorders>
              <w:top w:val="nil"/>
              <w:left w:val="single" w:sz="4" w:space="0" w:color="auto"/>
              <w:bottom w:val="nil"/>
              <w:right w:val="nil"/>
            </w:tcBorders>
            <w:shd w:val="clear" w:color="000000" w:fill="BFBFBF"/>
            <w:noWrap/>
            <w:vAlign w:val="center"/>
            <w:hideMark/>
          </w:tcPr>
          <w:p w14:paraId="74971EC5"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2.82%</w:t>
            </w:r>
          </w:p>
        </w:tc>
        <w:tc>
          <w:tcPr>
            <w:tcW w:w="0" w:type="auto"/>
            <w:tcBorders>
              <w:top w:val="nil"/>
              <w:left w:val="nil"/>
              <w:bottom w:val="nil"/>
              <w:right w:val="nil"/>
            </w:tcBorders>
            <w:shd w:val="clear" w:color="000000" w:fill="BFBFBF"/>
            <w:noWrap/>
            <w:vAlign w:val="center"/>
            <w:hideMark/>
          </w:tcPr>
          <w:p w14:paraId="648460D4"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0.78%</w:t>
            </w:r>
          </w:p>
        </w:tc>
        <w:tc>
          <w:tcPr>
            <w:tcW w:w="0" w:type="auto"/>
            <w:tcBorders>
              <w:top w:val="nil"/>
              <w:left w:val="nil"/>
              <w:bottom w:val="nil"/>
              <w:right w:val="dotted" w:sz="4" w:space="0" w:color="auto"/>
            </w:tcBorders>
            <w:shd w:val="clear" w:color="000000" w:fill="BFBFBF"/>
            <w:noWrap/>
            <w:vAlign w:val="center"/>
            <w:hideMark/>
          </w:tcPr>
          <w:p w14:paraId="45838932"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0.20%</w:t>
            </w:r>
          </w:p>
        </w:tc>
        <w:tc>
          <w:tcPr>
            <w:tcW w:w="0" w:type="auto"/>
            <w:tcBorders>
              <w:top w:val="nil"/>
              <w:left w:val="dotted" w:sz="4" w:space="0" w:color="auto"/>
              <w:bottom w:val="nil"/>
              <w:right w:val="nil"/>
            </w:tcBorders>
            <w:shd w:val="clear" w:color="000000" w:fill="BFBFBF"/>
            <w:noWrap/>
            <w:vAlign w:val="center"/>
            <w:hideMark/>
          </w:tcPr>
          <w:p w14:paraId="62331762"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0.95%</w:t>
            </w:r>
          </w:p>
        </w:tc>
        <w:tc>
          <w:tcPr>
            <w:tcW w:w="0" w:type="auto"/>
            <w:tcBorders>
              <w:top w:val="nil"/>
              <w:left w:val="nil"/>
              <w:bottom w:val="nil"/>
              <w:right w:val="dotted" w:sz="4" w:space="0" w:color="auto"/>
            </w:tcBorders>
            <w:shd w:val="clear" w:color="000000" w:fill="BFBFBF"/>
            <w:noWrap/>
            <w:vAlign w:val="center"/>
            <w:hideMark/>
          </w:tcPr>
          <w:p w14:paraId="5D14EABC"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0.98%</w:t>
            </w:r>
          </w:p>
        </w:tc>
        <w:tc>
          <w:tcPr>
            <w:tcW w:w="0" w:type="auto"/>
            <w:tcBorders>
              <w:top w:val="nil"/>
              <w:left w:val="dotted" w:sz="4" w:space="0" w:color="auto"/>
              <w:bottom w:val="nil"/>
              <w:right w:val="nil"/>
            </w:tcBorders>
            <w:shd w:val="clear" w:color="000000" w:fill="BFBFBF"/>
            <w:noWrap/>
            <w:vAlign w:val="center"/>
            <w:hideMark/>
          </w:tcPr>
          <w:p w14:paraId="067E09DD"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0.97%</w:t>
            </w:r>
          </w:p>
        </w:tc>
      </w:tr>
      <w:tr w:rsidR="00B71716" w:rsidRPr="00355FA5" w14:paraId="5E11E2F4" w14:textId="77777777" w:rsidTr="009C7082">
        <w:trPr>
          <w:trHeight w:val="301"/>
        </w:trPr>
        <w:tc>
          <w:tcPr>
            <w:tcW w:w="0" w:type="auto"/>
            <w:tcBorders>
              <w:top w:val="nil"/>
              <w:left w:val="nil"/>
              <w:bottom w:val="nil"/>
              <w:right w:val="dotted" w:sz="4" w:space="0" w:color="auto"/>
            </w:tcBorders>
            <w:shd w:val="clear" w:color="auto" w:fill="auto"/>
            <w:noWrap/>
            <w:vAlign w:val="center"/>
            <w:hideMark/>
          </w:tcPr>
          <w:p w14:paraId="243B4AD7" w14:textId="77777777" w:rsidR="00DA3375" w:rsidRPr="00355FA5" w:rsidRDefault="00DA3375" w:rsidP="009C7082">
            <w:pPr>
              <w:spacing w:after="0" w:line="240" w:lineRule="auto"/>
              <w:rPr>
                <w:rFonts w:eastAsia="Times New Roman" w:cs="Arial"/>
                <w:color w:val="000000"/>
                <w:sz w:val="16"/>
                <w:szCs w:val="16"/>
              </w:rPr>
            </w:pPr>
            <w:r w:rsidRPr="00355FA5">
              <w:rPr>
                <w:rFonts w:eastAsia="Times New Roman" w:cs="Arial"/>
                <w:color w:val="000000"/>
                <w:sz w:val="16"/>
                <w:szCs w:val="16"/>
              </w:rPr>
              <w:t>25 to 34</w:t>
            </w:r>
          </w:p>
        </w:tc>
        <w:tc>
          <w:tcPr>
            <w:tcW w:w="0" w:type="auto"/>
            <w:tcBorders>
              <w:top w:val="nil"/>
              <w:left w:val="dotted" w:sz="4" w:space="0" w:color="auto"/>
              <w:bottom w:val="nil"/>
              <w:right w:val="nil"/>
            </w:tcBorders>
            <w:shd w:val="clear" w:color="auto" w:fill="auto"/>
            <w:noWrap/>
            <w:vAlign w:val="center"/>
            <w:hideMark/>
          </w:tcPr>
          <w:p w14:paraId="11B2F0F3"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0.88%</w:t>
            </w:r>
          </w:p>
        </w:tc>
        <w:tc>
          <w:tcPr>
            <w:tcW w:w="0" w:type="auto"/>
            <w:tcBorders>
              <w:top w:val="nil"/>
              <w:left w:val="nil"/>
              <w:bottom w:val="nil"/>
              <w:right w:val="nil"/>
            </w:tcBorders>
            <w:shd w:val="clear" w:color="auto" w:fill="auto"/>
            <w:noWrap/>
            <w:vAlign w:val="center"/>
            <w:hideMark/>
          </w:tcPr>
          <w:p w14:paraId="18D261C3"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0.27%</w:t>
            </w:r>
          </w:p>
        </w:tc>
        <w:tc>
          <w:tcPr>
            <w:tcW w:w="0" w:type="auto"/>
            <w:tcBorders>
              <w:top w:val="nil"/>
              <w:left w:val="nil"/>
              <w:bottom w:val="nil"/>
              <w:right w:val="dotted" w:sz="4" w:space="0" w:color="auto"/>
            </w:tcBorders>
            <w:shd w:val="clear" w:color="auto" w:fill="auto"/>
            <w:noWrap/>
            <w:vAlign w:val="center"/>
            <w:hideMark/>
          </w:tcPr>
          <w:p w14:paraId="59FD3441"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0.03%</w:t>
            </w:r>
          </w:p>
        </w:tc>
        <w:tc>
          <w:tcPr>
            <w:tcW w:w="0" w:type="auto"/>
            <w:tcBorders>
              <w:top w:val="nil"/>
              <w:left w:val="dotted" w:sz="4" w:space="0" w:color="auto"/>
              <w:bottom w:val="nil"/>
              <w:right w:val="nil"/>
            </w:tcBorders>
            <w:shd w:val="clear" w:color="auto" w:fill="auto"/>
            <w:noWrap/>
            <w:vAlign w:val="center"/>
            <w:hideMark/>
          </w:tcPr>
          <w:p w14:paraId="61CA8737"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0.22%</w:t>
            </w:r>
          </w:p>
        </w:tc>
        <w:tc>
          <w:tcPr>
            <w:tcW w:w="0" w:type="auto"/>
            <w:tcBorders>
              <w:top w:val="nil"/>
              <w:left w:val="nil"/>
              <w:bottom w:val="nil"/>
              <w:right w:val="dotted" w:sz="4" w:space="0" w:color="auto"/>
            </w:tcBorders>
            <w:shd w:val="clear" w:color="auto" w:fill="auto"/>
            <w:noWrap/>
            <w:vAlign w:val="center"/>
            <w:hideMark/>
          </w:tcPr>
          <w:p w14:paraId="31B22E82"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0.31%</w:t>
            </w:r>
          </w:p>
        </w:tc>
        <w:tc>
          <w:tcPr>
            <w:tcW w:w="0" w:type="auto"/>
            <w:tcBorders>
              <w:top w:val="nil"/>
              <w:left w:val="dotted" w:sz="4" w:space="0" w:color="auto"/>
              <w:bottom w:val="nil"/>
              <w:right w:val="single" w:sz="4" w:space="0" w:color="auto"/>
            </w:tcBorders>
            <w:shd w:val="clear" w:color="auto" w:fill="auto"/>
            <w:noWrap/>
            <w:vAlign w:val="center"/>
            <w:hideMark/>
          </w:tcPr>
          <w:p w14:paraId="1BAF0FCA"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0.27%</w:t>
            </w:r>
          </w:p>
        </w:tc>
        <w:tc>
          <w:tcPr>
            <w:tcW w:w="0" w:type="auto"/>
            <w:tcBorders>
              <w:top w:val="nil"/>
              <w:left w:val="single" w:sz="4" w:space="0" w:color="auto"/>
              <w:bottom w:val="nil"/>
              <w:right w:val="nil"/>
            </w:tcBorders>
            <w:shd w:val="clear" w:color="auto" w:fill="auto"/>
            <w:noWrap/>
            <w:vAlign w:val="center"/>
            <w:hideMark/>
          </w:tcPr>
          <w:p w14:paraId="25FD74B4"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2.34%</w:t>
            </w:r>
          </w:p>
        </w:tc>
        <w:tc>
          <w:tcPr>
            <w:tcW w:w="0" w:type="auto"/>
            <w:tcBorders>
              <w:top w:val="nil"/>
              <w:left w:val="nil"/>
              <w:bottom w:val="nil"/>
              <w:right w:val="nil"/>
            </w:tcBorders>
            <w:shd w:val="clear" w:color="auto" w:fill="auto"/>
            <w:noWrap/>
            <w:vAlign w:val="center"/>
            <w:hideMark/>
          </w:tcPr>
          <w:p w14:paraId="0772D956"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0.48%</w:t>
            </w:r>
          </w:p>
        </w:tc>
        <w:tc>
          <w:tcPr>
            <w:tcW w:w="0" w:type="auto"/>
            <w:tcBorders>
              <w:top w:val="nil"/>
              <w:left w:val="nil"/>
              <w:bottom w:val="nil"/>
              <w:right w:val="dotted" w:sz="4" w:space="0" w:color="auto"/>
            </w:tcBorders>
            <w:shd w:val="clear" w:color="auto" w:fill="auto"/>
            <w:noWrap/>
            <w:vAlign w:val="center"/>
            <w:hideMark/>
          </w:tcPr>
          <w:p w14:paraId="5C0877B4"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0.22%</w:t>
            </w:r>
          </w:p>
        </w:tc>
        <w:tc>
          <w:tcPr>
            <w:tcW w:w="0" w:type="auto"/>
            <w:tcBorders>
              <w:top w:val="nil"/>
              <w:left w:val="dotted" w:sz="4" w:space="0" w:color="auto"/>
              <w:bottom w:val="nil"/>
              <w:right w:val="nil"/>
            </w:tcBorders>
            <w:shd w:val="clear" w:color="auto" w:fill="auto"/>
            <w:noWrap/>
            <w:vAlign w:val="center"/>
            <w:hideMark/>
          </w:tcPr>
          <w:p w14:paraId="4BE52ED3"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0.62%</w:t>
            </w:r>
          </w:p>
        </w:tc>
        <w:tc>
          <w:tcPr>
            <w:tcW w:w="0" w:type="auto"/>
            <w:tcBorders>
              <w:top w:val="nil"/>
              <w:left w:val="nil"/>
              <w:bottom w:val="nil"/>
              <w:right w:val="dotted" w:sz="4" w:space="0" w:color="auto"/>
            </w:tcBorders>
            <w:shd w:val="clear" w:color="auto" w:fill="auto"/>
            <w:noWrap/>
            <w:vAlign w:val="center"/>
            <w:hideMark/>
          </w:tcPr>
          <w:p w14:paraId="324226DA"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0.65%</w:t>
            </w:r>
          </w:p>
        </w:tc>
        <w:tc>
          <w:tcPr>
            <w:tcW w:w="0" w:type="auto"/>
            <w:tcBorders>
              <w:top w:val="nil"/>
              <w:left w:val="dotted" w:sz="4" w:space="0" w:color="auto"/>
              <w:bottom w:val="nil"/>
              <w:right w:val="nil"/>
            </w:tcBorders>
            <w:shd w:val="clear" w:color="auto" w:fill="auto"/>
            <w:noWrap/>
            <w:vAlign w:val="center"/>
            <w:hideMark/>
          </w:tcPr>
          <w:p w14:paraId="2ED936A3"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0.64%</w:t>
            </w:r>
          </w:p>
        </w:tc>
      </w:tr>
      <w:tr w:rsidR="00B71716" w:rsidRPr="00355FA5" w14:paraId="6F6BB517" w14:textId="77777777" w:rsidTr="009C7082">
        <w:trPr>
          <w:trHeight w:val="301"/>
        </w:trPr>
        <w:tc>
          <w:tcPr>
            <w:tcW w:w="0" w:type="auto"/>
            <w:tcBorders>
              <w:top w:val="nil"/>
              <w:left w:val="nil"/>
              <w:bottom w:val="nil"/>
              <w:right w:val="dotted" w:sz="4" w:space="0" w:color="auto"/>
            </w:tcBorders>
            <w:shd w:val="clear" w:color="000000" w:fill="BFBFBF"/>
            <w:noWrap/>
            <w:vAlign w:val="center"/>
            <w:hideMark/>
          </w:tcPr>
          <w:p w14:paraId="6F3C9F60" w14:textId="77777777" w:rsidR="00DA3375" w:rsidRPr="00355FA5" w:rsidRDefault="00DA3375" w:rsidP="009C7082">
            <w:pPr>
              <w:spacing w:after="0" w:line="240" w:lineRule="auto"/>
              <w:rPr>
                <w:rFonts w:eastAsia="Times New Roman" w:cs="Arial"/>
                <w:color w:val="000000"/>
                <w:sz w:val="16"/>
                <w:szCs w:val="16"/>
              </w:rPr>
            </w:pPr>
            <w:r w:rsidRPr="00355FA5">
              <w:rPr>
                <w:rFonts w:eastAsia="Times New Roman" w:cs="Arial"/>
                <w:color w:val="000000"/>
                <w:sz w:val="16"/>
                <w:szCs w:val="16"/>
              </w:rPr>
              <w:t>35 to 44</w:t>
            </w:r>
          </w:p>
        </w:tc>
        <w:tc>
          <w:tcPr>
            <w:tcW w:w="0" w:type="auto"/>
            <w:tcBorders>
              <w:top w:val="nil"/>
              <w:left w:val="dotted" w:sz="4" w:space="0" w:color="auto"/>
              <w:bottom w:val="nil"/>
              <w:right w:val="nil"/>
            </w:tcBorders>
            <w:shd w:val="clear" w:color="000000" w:fill="BFBFBF"/>
            <w:noWrap/>
            <w:vAlign w:val="center"/>
            <w:hideMark/>
          </w:tcPr>
          <w:p w14:paraId="03BB25EE"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0.59%</w:t>
            </w:r>
          </w:p>
        </w:tc>
        <w:tc>
          <w:tcPr>
            <w:tcW w:w="0" w:type="auto"/>
            <w:tcBorders>
              <w:top w:val="nil"/>
              <w:left w:val="nil"/>
              <w:bottom w:val="nil"/>
              <w:right w:val="nil"/>
            </w:tcBorders>
            <w:shd w:val="clear" w:color="000000" w:fill="BFBFBF"/>
            <w:noWrap/>
            <w:vAlign w:val="center"/>
            <w:hideMark/>
          </w:tcPr>
          <w:p w14:paraId="3DAADF46"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0.24%</w:t>
            </w:r>
          </w:p>
        </w:tc>
        <w:tc>
          <w:tcPr>
            <w:tcW w:w="0" w:type="auto"/>
            <w:tcBorders>
              <w:top w:val="nil"/>
              <w:left w:val="nil"/>
              <w:bottom w:val="nil"/>
              <w:right w:val="dotted" w:sz="4" w:space="0" w:color="auto"/>
            </w:tcBorders>
            <w:shd w:val="clear" w:color="000000" w:fill="BFBFBF"/>
            <w:noWrap/>
            <w:vAlign w:val="center"/>
            <w:hideMark/>
          </w:tcPr>
          <w:p w14:paraId="5F4442AA"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0.05%</w:t>
            </w:r>
          </w:p>
        </w:tc>
        <w:tc>
          <w:tcPr>
            <w:tcW w:w="0" w:type="auto"/>
            <w:tcBorders>
              <w:top w:val="nil"/>
              <w:left w:val="dotted" w:sz="4" w:space="0" w:color="auto"/>
              <w:bottom w:val="nil"/>
              <w:right w:val="nil"/>
            </w:tcBorders>
            <w:shd w:val="clear" w:color="000000" w:fill="BFBFBF"/>
            <w:noWrap/>
            <w:vAlign w:val="center"/>
            <w:hideMark/>
          </w:tcPr>
          <w:p w14:paraId="58BE637A"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0.15%</w:t>
            </w:r>
          </w:p>
        </w:tc>
        <w:tc>
          <w:tcPr>
            <w:tcW w:w="0" w:type="auto"/>
            <w:tcBorders>
              <w:top w:val="nil"/>
              <w:left w:val="nil"/>
              <w:bottom w:val="nil"/>
              <w:right w:val="dotted" w:sz="4" w:space="0" w:color="auto"/>
            </w:tcBorders>
            <w:shd w:val="clear" w:color="000000" w:fill="BFBFBF"/>
            <w:noWrap/>
            <w:vAlign w:val="center"/>
            <w:hideMark/>
          </w:tcPr>
          <w:p w14:paraId="1AFB127E"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0.27%</w:t>
            </w:r>
          </w:p>
        </w:tc>
        <w:tc>
          <w:tcPr>
            <w:tcW w:w="0" w:type="auto"/>
            <w:tcBorders>
              <w:top w:val="nil"/>
              <w:left w:val="dotted" w:sz="4" w:space="0" w:color="auto"/>
              <w:bottom w:val="nil"/>
              <w:right w:val="single" w:sz="4" w:space="0" w:color="auto"/>
            </w:tcBorders>
            <w:shd w:val="clear" w:color="000000" w:fill="BFBFBF"/>
            <w:noWrap/>
            <w:vAlign w:val="center"/>
            <w:hideMark/>
          </w:tcPr>
          <w:p w14:paraId="2D013714"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0.21%</w:t>
            </w:r>
          </w:p>
        </w:tc>
        <w:tc>
          <w:tcPr>
            <w:tcW w:w="0" w:type="auto"/>
            <w:tcBorders>
              <w:top w:val="nil"/>
              <w:left w:val="single" w:sz="4" w:space="0" w:color="auto"/>
              <w:bottom w:val="nil"/>
              <w:right w:val="nil"/>
            </w:tcBorders>
            <w:shd w:val="clear" w:color="000000" w:fill="BFBFBF"/>
            <w:noWrap/>
            <w:vAlign w:val="center"/>
            <w:hideMark/>
          </w:tcPr>
          <w:p w14:paraId="22AAC2CC"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2.35%</w:t>
            </w:r>
          </w:p>
        </w:tc>
        <w:tc>
          <w:tcPr>
            <w:tcW w:w="0" w:type="auto"/>
            <w:tcBorders>
              <w:top w:val="nil"/>
              <w:left w:val="nil"/>
              <w:bottom w:val="nil"/>
              <w:right w:val="nil"/>
            </w:tcBorders>
            <w:shd w:val="clear" w:color="000000" w:fill="BFBFBF"/>
            <w:noWrap/>
            <w:vAlign w:val="center"/>
            <w:hideMark/>
          </w:tcPr>
          <w:p w14:paraId="0BFFDF5C"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0.67%</w:t>
            </w:r>
          </w:p>
        </w:tc>
        <w:tc>
          <w:tcPr>
            <w:tcW w:w="0" w:type="auto"/>
            <w:tcBorders>
              <w:top w:val="nil"/>
              <w:left w:val="nil"/>
              <w:bottom w:val="nil"/>
              <w:right w:val="dotted" w:sz="4" w:space="0" w:color="auto"/>
            </w:tcBorders>
            <w:shd w:val="clear" w:color="000000" w:fill="BFBFBF"/>
            <w:noWrap/>
            <w:vAlign w:val="center"/>
            <w:hideMark/>
          </w:tcPr>
          <w:p w14:paraId="72287854"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0.32%</w:t>
            </w:r>
          </w:p>
        </w:tc>
        <w:tc>
          <w:tcPr>
            <w:tcW w:w="0" w:type="auto"/>
            <w:tcBorders>
              <w:top w:val="nil"/>
              <w:left w:val="dotted" w:sz="4" w:space="0" w:color="auto"/>
              <w:bottom w:val="nil"/>
              <w:right w:val="nil"/>
            </w:tcBorders>
            <w:shd w:val="clear" w:color="000000" w:fill="BFBFBF"/>
            <w:noWrap/>
            <w:vAlign w:val="center"/>
            <w:hideMark/>
          </w:tcPr>
          <w:p w14:paraId="159D194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0.74%</w:t>
            </w:r>
          </w:p>
        </w:tc>
        <w:tc>
          <w:tcPr>
            <w:tcW w:w="0" w:type="auto"/>
            <w:tcBorders>
              <w:top w:val="nil"/>
              <w:left w:val="nil"/>
              <w:bottom w:val="nil"/>
              <w:right w:val="dotted" w:sz="4" w:space="0" w:color="auto"/>
            </w:tcBorders>
            <w:shd w:val="clear" w:color="000000" w:fill="BFBFBF"/>
            <w:noWrap/>
            <w:vAlign w:val="center"/>
            <w:hideMark/>
          </w:tcPr>
          <w:p w14:paraId="46DFFF94"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0.76%</w:t>
            </w:r>
          </w:p>
        </w:tc>
        <w:tc>
          <w:tcPr>
            <w:tcW w:w="0" w:type="auto"/>
            <w:tcBorders>
              <w:top w:val="nil"/>
              <w:left w:val="dotted" w:sz="4" w:space="0" w:color="auto"/>
              <w:bottom w:val="nil"/>
              <w:right w:val="nil"/>
            </w:tcBorders>
            <w:shd w:val="clear" w:color="000000" w:fill="BFBFBF"/>
            <w:noWrap/>
            <w:vAlign w:val="center"/>
            <w:hideMark/>
          </w:tcPr>
          <w:p w14:paraId="1A5CA67C"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0.75%</w:t>
            </w:r>
          </w:p>
        </w:tc>
      </w:tr>
      <w:tr w:rsidR="00B71716" w:rsidRPr="00355FA5" w14:paraId="23975429" w14:textId="77777777" w:rsidTr="009C7082">
        <w:trPr>
          <w:trHeight w:val="301"/>
        </w:trPr>
        <w:tc>
          <w:tcPr>
            <w:tcW w:w="0" w:type="auto"/>
            <w:tcBorders>
              <w:top w:val="nil"/>
              <w:left w:val="nil"/>
              <w:bottom w:val="nil"/>
              <w:right w:val="dotted" w:sz="4" w:space="0" w:color="auto"/>
            </w:tcBorders>
            <w:shd w:val="clear" w:color="auto" w:fill="auto"/>
            <w:noWrap/>
            <w:vAlign w:val="center"/>
            <w:hideMark/>
          </w:tcPr>
          <w:p w14:paraId="120F2F97" w14:textId="77777777" w:rsidR="00DA3375" w:rsidRPr="00355FA5" w:rsidRDefault="00DA3375" w:rsidP="009C7082">
            <w:pPr>
              <w:spacing w:after="0" w:line="240" w:lineRule="auto"/>
              <w:rPr>
                <w:rFonts w:eastAsia="Times New Roman" w:cs="Arial"/>
                <w:color w:val="000000"/>
                <w:sz w:val="16"/>
                <w:szCs w:val="16"/>
              </w:rPr>
            </w:pPr>
            <w:r w:rsidRPr="00355FA5">
              <w:rPr>
                <w:rFonts w:eastAsia="Times New Roman" w:cs="Arial"/>
                <w:color w:val="000000"/>
                <w:sz w:val="16"/>
                <w:szCs w:val="16"/>
              </w:rPr>
              <w:t>45 to 54</w:t>
            </w:r>
          </w:p>
        </w:tc>
        <w:tc>
          <w:tcPr>
            <w:tcW w:w="0" w:type="auto"/>
            <w:tcBorders>
              <w:top w:val="nil"/>
              <w:left w:val="dotted" w:sz="4" w:space="0" w:color="auto"/>
              <w:bottom w:val="nil"/>
              <w:right w:val="nil"/>
            </w:tcBorders>
            <w:shd w:val="clear" w:color="auto" w:fill="auto"/>
            <w:noWrap/>
            <w:vAlign w:val="center"/>
            <w:hideMark/>
          </w:tcPr>
          <w:p w14:paraId="6BA16D9F"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0.51%</w:t>
            </w:r>
          </w:p>
        </w:tc>
        <w:tc>
          <w:tcPr>
            <w:tcW w:w="0" w:type="auto"/>
            <w:tcBorders>
              <w:top w:val="nil"/>
              <w:left w:val="nil"/>
              <w:bottom w:val="nil"/>
              <w:right w:val="nil"/>
            </w:tcBorders>
            <w:shd w:val="clear" w:color="auto" w:fill="auto"/>
            <w:noWrap/>
            <w:vAlign w:val="center"/>
            <w:hideMark/>
          </w:tcPr>
          <w:p w14:paraId="2AF76EB0"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0.20%</w:t>
            </w:r>
          </w:p>
        </w:tc>
        <w:tc>
          <w:tcPr>
            <w:tcW w:w="0" w:type="auto"/>
            <w:tcBorders>
              <w:top w:val="nil"/>
              <w:left w:val="nil"/>
              <w:bottom w:val="nil"/>
              <w:right w:val="dotted" w:sz="4" w:space="0" w:color="auto"/>
            </w:tcBorders>
            <w:shd w:val="clear" w:color="auto" w:fill="auto"/>
            <w:noWrap/>
            <w:vAlign w:val="center"/>
            <w:hideMark/>
          </w:tcPr>
          <w:p w14:paraId="715E2E93"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0.08%</w:t>
            </w:r>
          </w:p>
        </w:tc>
        <w:tc>
          <w:tcPr>
            <w:tcW w:w="0" w:type="auto"/>
            <w:tcBorders>
              <w:top w:val="nil"/>
              <w:left w:val="dotted" w:sz="4" w:space="0" w:color="auto"/>
              <w:bottom w:val="nil"/>
              <w:right w:val="nil"/>
            </w:tcBorders>
            <w:shd w:val="clear" w:color="auto" w:fill="auto"/>
            <w:noWrap/>
            <w:vAlign w:val="center"/>
            <w:hideMark/>
          </w:tcPr>
          <w:p w14:paraId="452DB909"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0.18%</w:t>
            </w:r>
          </w:p>
        </w:tc>
        <w:tc>
          <w:tcPr>
            <w:tcW w:w="0" w:type="auto"/>
            <w:tcBorders>
              <w:top w:val="nil"/>
              <w:left w:val="nil"/>
              <w:bottom w:val="nil"/>
              <w:right w:val="dotted" w:sz="4" w:space="0" w:color="auto"/>
            </w:tcBorders>
            <w:shd w:val="clear" w:color="auto" w:fill="auto"/>
            <w:noWrap/>
            <w:vAlign w:val="center"/>
            <w:hideMark/>
          </w:tcPr>
          <w:p w14:paraId="06205D06"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0.21%</w:t>
            </w:r>
          </w:p>
        </w:tc>
        <w:tc>
          <w:tcPr>
            <w:tcW w:w="0" w:type="auto"/>
            <w:tcBorders>
              <w:top w:val="nil"/>
              <w:left w:val="dotted" w:sz="4" w:space="0" w:color="auto"/>
              <w:bottom w:val="nil"/>
              <w:right w:val="single" w:sz="4" w:space="0" w:color="auto"/>
            </w:tcBorders>
            <w:shd w:val="clear" w:color="auto" w:fill="auto"/>
            <w:noWrap/>
            <w:vAlign w:val="center"/>
            <w:hideMark/>
          </w:tcPr>
          <w:p w14:paraId="229D5EFC"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0.19%</w:t>
            </w:r>
          </w:p>
        </w:tc>
        <w:tc>
          <w:tcPr>
            <w:tcW w:w="0" w:type="auto"/>
            <w:tcBorders>
              <w:top w:val="nil"/>
              <w:left w:val="single" w:sz="4" w:space="0" w:color="auto"/>
              <w:bottom w:val="nil"/>
              <w:right w:val="nil"/>
            </w:tcBorders>
            <w:shd w:val="clear" w:color="auto" w:fill="auto"/>
            <w:noWrap/>
            <w:vAlign w:val="center"/>
            <w:hideMark/>
          </w:tcPr>
          <w:p w14:paraId="0A51BF0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2.67%</w:t>
            </w:r>
          </w:p>
        </w:tc>
        <w:tc>
          <w:tcPr>
            <w:tcW w:w="0" w:type="auto"/>
            <w:tcBorders>
              <w:top w:val="nil"/>
              <w:left w:val="nil"/>
              <w:bottom w:val="nil"/>
              <w:right w:val="nil"/>
            </w:tcBorders>
            <w:shd w:val="clear" w:color="auto" w:fill="auto"/>
            <w:noWrap/>
            <w:vAlign w:val="center"/>
            <w:hideMark/>
          </w:tcPr>
          <w:p w14:paraId="7D1AC622"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0.84%</w:t>
            </w:r>
          </w:p>
        </w:tc>
        <w:tc>
          <w:tcPr>
            <w:tcW w:w="0" w:type="auto"/>
            <w:tcBorders>
              <w:top w:val="nil"/>
              <w:left w:val="nil"/>
              <w:bottom w:val="nil"/>
              <w:right w:val="dotted" w:sz="4" w:space="0" w:color="auto"/>
            </w:tcBorders>
            <w:shd w:val="clear" w:color="auto" w:fill="auto"/>
            <w:noWrap/>
            <w:vAlign w:val="center"/>
            <w:hideMark/>
          </w:tcPr>
          <w:p w14:paraId="07300EF3"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0.51%</w:t>
            </w:r>
          </w:p>
        </w:tc>
        <w:tc>
          <w:tcPr>
            <w:tcW w:w="0" w:type="auto"/>
            <w:tcBorders>
              <w:top w:val="nil"/>
              <w:left w:val="dotted" w:sz="4" w:space="0" w:color="auto"/>
              <w:bottom w:val="nil"/>
              <w:right w:val="nil"/>
            </w:tcBorders>
            <w:shd w:val="clear" w:color="auto" w:fill="auto"/>
            <w:noWrap/>
            <w:vAlign w:val="center"/>
            <w:hideMark/>
          </w:tcPr>
          <w:p w14:paraId="59BA38D9"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0.94%</w:t>
            </w:r>
          </w:p>
        </w:tc>
        <w:tc>
          <w:tcPr>
            <w:tcW w:w="0" w:type="auto"/>
            <w:tcBorders>
              <w:top w:val="nil"/>
              <w:left w:val="nil"/>
              <w:bottom w:val="nil"/>
              <w:right w:val="dotted" w:sz="4" w:space="0" w:color="auto"/>
            </w:tcBorders>
            <w:shd w:val="clear" w:color="auto" w:fill="auto"/>
            <w:noWrap/>
            <w:vAlign w:val="center"/>
            <w:hideMark/>
          </w:tcPr>
          <w:p w14:paraId="5823BBFD"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0.92%</w:t>
            </w:r>
          </w:p>
        </w:tc>
        <w:tc>
          <w:tcPr>
            <w:tcW w:w="0" w:type="auto"/>
            <w:tcBorders>
              <w:top w:val="nil"/>
              <w:left w:val="dotted" w:sz="4" w:space="0" w:color="auto"/>
              <w:bottom w:val="nil"/>
              <w:right w:val="nil"/>
            </w:tcBorders>
            <w:shd w:val="clear" w:color="auto" w:fill="auto"/>
            <w:noWrap/>
            <w:vAlign w:val="center"/>
            <w:hideMark/>
          </w:tcPr>
          <w:p w14:paraId="6DEFCCF9"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0.93%</w:t>
            </w:r>
          </w:p>
        </w:tc>
      </w:tr>
      <w:tr w:rsidR="00B71716" w:rsidRPr="00355FA5" w14:paraId="027030AC" w14:textId="77777777" w:rsidTr="009C7082">
        <w:trPr>
          <w:trHeight w:val="301"/>
        </w:trPr>
        <w:tc>
          <w:tcPr>
            <w:tcW w:w="0" w:type="auto"/>
            <w:tcBorders>
              <w:top w:val="nil"/>
              <w:left w:val="nil"/>
              <w:bottom w:val="nil"/>
              <w:right w:val="dotted" w:sz="4" w:space="0" w:color="auto"/>
            </w:tcBorders>
            <w:shd w:val="clear" w:color="000000" w:fill="BFBFBF"/>
            <w:noWrap/>
            <w:vAlign w:val="center"/>
            <w:hideMark/>
          </w:tcPr>
          <w:p w14:paraId="7F846B5A" w14:textId="77777777" w:rsidR="00DA3375" w:rsidRPr="00355FA5" w:rsidRDefault="00DA3375" w:rsidP="009C7082">
            <w:pPr>
              <w:spacing w:after="0" w:line="240" w:lineRule="auto"/>
              <w:rPr>
                <w:rFonts w:eastAsia="Times New Roman" w:cs="Arial"/>
                <w:color w:val="000000"/>
                <w:sz w:val="16"/>
                <w:szCs w:val="16"/>
              </w:rPr>
            </w:pPr>
            <w:r w:rsidRPr="00355FA5">
              <w:rPr>
                <w:rFonts w:eastAsia="Times New Roman" w:cs="Arial"/>
                <w:color w:val="000000"/>
                <w:sz w:val="16"/>
                <w:szCs w:val="16"/>
              </w:rPr>
              <w:t>55 to 64</w:t>
            </w:r>
          </w:p>
        </w:tc>
        <w:tc>
          <w:tcPr>
            <w:tcW w:w="0" w:type="auto"/>
            <w:tcBorders>
              <w:top w:val="nil"/>
              <w:left w:val="dotted" w:sz="4" w:space="0" w:color="auto"/>
              <w:bottom w:val="nil"/>
              <w:right w:val="nil"/>
            </w:tcBorders>
            <w:shd w:val="clear" w:color="000000" w:fill="BFBFBF"/>
            <w:noWrap/>
            <w:vAlign w:val="center"/>
            <w:hideMark/>
          </w:tcPr>
          <w:p w14:paraId="16176052"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0.42%</w:t>
            </w:r>
          </w:p>
        </w:tc>
        <w:tc>
          <w:tcPr>
            <w:tcW w:w="0" w:type="auto"/>
            <w:tcBorders>
              <w:top w:val="nil"/>
              <w:left w:val="nil"/>
              <w:bottom w:val="nil"/>
              <w:right w:val="nil"/>
            </w:tcBorders>
            <w:shd w:val="clear" w:color="000000" w:fill="BFBFBF"/>
            <w:noWrap/>
            <w:vAlign w:val="center"/>
            <w:hideMark/>
          </w:tcPr>
          <w:p w14:paraId="19D6F0C0"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0.21%</w:t>
            </w:r>
          </w:p>
        </w:tc>
        <w:tc>
          <w:tcPr>
            <w:tcW w:w="0" w:type="auto"/>
            <w:tcBorders>
              <w:top w:val="nil"/>
              <w:left w:val="nil"/>
              <w:bottom w:val="nil"/>
              <w:right w:val="dotted" w:sz="4" w:space="0" w:color="auto"/>
            </w:tcBorders>
            <w:shd w:val="clear" w:color="000000" w:fill="BFBFBF"/>
            <w:noWrap/>
            <w:vAlign w:val="center"/>
            <w:hideMark/>
          </w:tcPr>
          <w:p w14:paraId="65DEA9C0"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0.10%</w:t>
            </w:r>
          </w:p>
        </w:tc>
        <w:tc>
          <w:tcPr>
            <w:tcW w:w="0" w:type="auto"/>
            <w:tcBorders>
              <w:top w:val="nil"/>
              <w:left w:val="dotted" w:sz="4" w:space="0" w:color="auto"/>
              <w:bottom w:val="nil"/>
              <w:right w:val="nil"/>
            </w:tcBorders>
            <w:shd w:val="clear" w:color="000000" w:fill="BFBFBF"/>
            <w:noWrap/>
            <w:vAlign w:val="center"/>
            <w:hideMark/>
          </w:tcPr>
          <w:p w14:paraId="2A2306D7"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0.23%</w:t>
            </w:r>
          </w:p>
        </w:tc>
        <w:tc>
          <w:tcPr>
            <w:tcW w:w="0" w:type="auto"/>
            <w:tcBorders>
              <w:top w:val="nil"/>
              <w:left w:val="nil"/>
              <w:bottom w:val="nil"/>
              <w:right w:val="dotted" w:sz="4" w:space="0" w:color="auto"/>
            </w:tcBorders>
            <w:shd w:val="clear" w:color="000000" w:fill="BFBFBF"/>
            <w:noWrap/>
            <w:vAlign w:val="center"/>
            <w:hideMark/>
          </w:tcPr>
          <w:p w14:paraId="1CCA22A6"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0.15%</w:t>
            </w:r>
          </w:p>
        </w:tc>
        <w:tc>
          <w:tcPr>
            <w:tcW w:w="0" w:type="auto"/>
            <w:tcBorders>
              <w:top w:val="nil"/>
              <w:left w:val="dotted" w:sz="4" w:space="0" w:color="auto"/>
              <w:bottom w:val="nil"/>
              <w:right w:val="single" w:sz="4" w:space="0" w:color="auto"/>
            </w:tcBorders>
            <w:shd w:val="clear" w:color="000000" w:fill="BFBFBF"/>
            <w:noWrap/>
            <w:vAlign w:val="center"/>
            <w:hideMark/>
          </w:tcPr>
          <w:p w14:paraId="11A00B28"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0.18%</w:t>
            </w:r>
          </w:p>
        </w:tc>
        <w:tc>
          <w:tcPr>
            <w:tcW w:w="0" w:type="auto"/>
            <w:tcBorders>
              <w:top w:val="nil"/>
              <w:left w:val="single" w:sz="4" w:space="0" w:color="auto"/>
              <w:bottom w:val="nil"/>
              <w:right w:val="nil"/>
            </w:tcBorders>
            <w:shd w:val="clear" w:color="000000" w:fill="BFBFBF"/>
            <w:noWrap/>
            <w:vAlign w:val="center"/>
            <w:hideMark/>
          </w:tcPr>
          <w:p w14:paraId="43D8B0A2"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2.86%</w:t>
            </w:r>
          </w:p>
        </w:tc>
        <w:tc>
          <w:tcPr>
            <w:tcW w:w="0" w:type="auto"/>
            <w:tcBorders>
              <w:top w:val="nil"/>
              <w:left w:val="nil"/>
              <w:bottom w:val="nil"/>
              <w:right w:val="nil"/>
            </w:tcBorders>
            <w:shd w:val="clear" w:color="000000" w:fill="BFBFBF"/>
            <w:noWrap/>
            <w:vAlign w:val="center"/>
            <w:hideMark/>
          </w:tcPr>
          <w:p w14:paraId="6AFD0C0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1.06%</w:t>
            </w:r>
          </w:p>
        </w:tc>
        <w:tc>
          <w:tcPr>
            <w:tcW w:w="0" w:type="auto"/>
            <w:tcBorders>
              <w:top w:val="nil"/>
              <w:left w:val="nil"/>
              <w:bottom w:val="nil"/>
              <w:right w:val="dotted" w:sz="4" w:space="0" w:color="auto"/>
            </w:tcBorders>
            <w:shd w:val="clear" w:color="000000" w:fill="BFBFBF"/>
            <w:noWrap/>
            <w:vAlign w:val="center"/>
            <w:hideMark/>
          </w:tcPr>
          <w:p w14:paraId="08C3EFFF"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0.63%</w:t>
            </w:r>
          </w:p>
        </w:tc>
        <w:tc>
          <w:tcPr>
            <w:tcW w:w="0" w:type="auto"/>
            <w:tcBorders>
              <w:top w:val="nil"/>
              <w:left w:val="dotted" w:sz="4" w:space="0" w:color="auto"/>
              <w:bottom w:val="nil"/>
              <w:right w:val="nil"/>
            </w:tcBorders>
            <w:shd w:val="clear" w:color="000000" w:fill="BFBFBF"/>
            <w:noWrap/>
            <w:vAlign w:val="center"/>
            <w:hideMark/>
          </w:tcPr>
          <w:p w14:paraId="5FDAAFA0"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1.08%</w:t>
            </w:r>
          </w:p>
        </w:tc>
        <w:tc>
          <w:tcPr>
            <w:tcW w:w="0" w:type="auto"/>
            <w:tcBorders>
              <w:top w:val="nil"/>
              <w:left w:val="nil"/>
              <w:bottom w:val="nil"/>
              <w:right w:val="dotted" w:sz="4" w:space="0" w:color="auto"/>
            </w:tcBorders>
            <w:shd w:val="clear" w:color="000000" w:fill="BFBFBF"/>
            <w:noWrap/>
            <w:vAlign w:val="center"/>
            <w:hideMark/>
          </w:tcPr>
          <w:p w14:paraId="63906A7C"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1.09%</w:t>
            </w:r>
          </w:p>
        </w:tc>
        <w:tc>
          <w:tcPr>
            <w:tcW w:w="0" w:type="auto"/>
            <w:tcBorders>
              <w:top w:val="nil"/>
              <w:left w:val="dotted" w:sz="4" w:space="0" w:color="auto"/>
              <w:bottom w:val="nil"/>
              <w:right w:val="nil"/>
            </w:tcBorders>
            <w:shd w:val="clear" w:color="000000" w:fill="BFBFBF"/>
            <w:noWrap/>
            <w:vAlign w:val="center"/>
            <w:hideMark/>
          </w:tcPr>
          <w:p w14:paraId="3651FD53"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1.08%</w:t>
            </w:r>
          </w:p>
        </w:tc>
      </w:tr>
      <w:tr w:rsidR="00B71716" w:rsidRPr="00355FA5" w14:paraId="763BCE8F" w14:textId="77777777" w:rsidTr="009C7082">
        <w:trPr>
          <w:trHeight w:val="301"/>
        </w:trPr>
        <w:tc>
          <w:tcPr>
            <w:tcW w:w="0" w:type="auto"/>
            <w:tcBorders>
              <w:top w:val="nil"/>
              <w:left w:val="nil"/>
              <w:bottom w:val="single" w:sz="4" w:space="0" w:color="auto"/>
              <w:right w:val="dotted" w:sz="4" w:space="0" w:color="auto"/>
            </w:tcBorders>
            <w:shd w:val="clear" w:color="auto" w:fill="auto"/>
            <w:noWrap/>
            <w:vAlign w:val="center"/>
            <w:hideMark/>
          </w:tcPr>
          <w:p w14:paraId="2507EFF5" w14:textId="77777777" w:rsidR="00DA3375" w:rsidRPr="00355FA5" w:rsidRDefault="00DA3375" w:rsidP="009C7082">
            <w:pPr>
              <w:spacing w:after="0" w:line="240" w:lineRule="auto"/>
              <w:rPr>
                <w:rFonts w:eastAsia="Times New Roman" w:cs="Arial"/>
                <w:color w:val="000000"/>
                <w:sz w:val="16"/>
                <w:szCs w:val="16"/>
              </w:rPr>
            </w:pPr>
            <w:r w:rsidRPr="00355FA5">
              <w:rPr>
                <w:rFonts w:eastAsia="Times New Roman" w:cs="Arial"/>
                <w:color w:val="000000"/>
                <w:sz w:val="16"/>
                <w:szCs w:val="16"/>
              </w:rPr>
              <w:t>65+</w:t>
            </w:r>
          </w:p>
        </w:tc>
        <w:tc>
          <w:tcPr>
            <w:tcW w:w="0" w:type="auto"/>
            <w:tcBorders>
              <w:top w:val="nil"/>
              <w:left w:val="dotted" w:sz="4" w:space="0" w:color="auto"/>
              <w:bottom w:val="single" w:sz="4" w:space="0" w:color="auto"/>
              <w:right w:val="nil"/>
            </w:tcBorders>
            <w:shd w:val="clear" w:color="auto" w:fill="auto"/>
            <w:noWrap/>
            <w:vAlign w:val="center"/>
            <w:hideMark/>
          </w:tcPr>
          <w:p w14:paraId="3C8D49B2"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0.80%</w:t>
            </w:r>
          </w:p>
        </w:tc>
        <w:tc>
          <w:tcPr>
            <w:tcW w:w="0" w:type="auto"/>
            <w:tcBorders>
              <w:top w:val="nil"/>
              <w:left w:val="nil"/>
              <w:bottom w:val="single" w:sz="4" w:space="0" w:color="auto"/>
              <w:right w:val="nil"/>
            </w:tcBorders>
            <w:shd w:val="clear" w:color="auto" w:fill="auto"/>
            <w:noWrap/>
            <w:vAlign w:val="center"/>
            <w:hideMark/>
          </w:tcPr>
          <w:p w14:paraId="13510B48"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1.06%</w:t>
            </w:r>
          </w:p>
        </w:tc>
        <w:tc>
          <w:tcPr>
            <w:tcW w:w="0" w:type="auto"/>
            <w:tcBorders>
              <w:top w:val="nil"/>
              <w:left w:val="nil"/>
              <w:bottom w:val="single" w:sz="4" w:space="0" w:color="auto"/>
              <w:right w:val="dotted" w:sz="4" w:space="0" w:color="auto"/>
            </w:tcBorders>
            <w:shd w:val="clear" w:color="auto" w:fill="auto"/>
            <w:noWrap/>
            <w:vAlign w:val="center"/>
            <w:hideMark/>
          </w:tcPr>
          <w:p w14:paraId="272A85ED"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1.21%</w:t>
            </w:r>
          </w:p>
        </w:tc>
        <w:tc>
          <w:tcPr>
            <w:tcW w:w="0" w:type="auto"/>
            <w:tcBorders>
              <w:top w:val="nil"/>
              <w:left w:val="dotted" w:sz="4" w:space="0" w:color="auto"/>
              <w:bottom w:val="single" w:sz="4" w:space="0" w:color="auto"/>
              <w:right w:val="nil"/>
            </w:tcBorders>
            <w:shd w:val="clear" w:color="auto" w:fill="auto"/>
            <w:noWrap/>
            <w:vAlign w:val="center"/>
            <w:hideMark/>
          </w:tcPr>
          <w:p w14:paraId="2560947D"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1.22%</w:t>
            </w:r>
          </w:p>
        </w:tc>
        <w:tc>
          <w:tcPr>
            <w:tcW w:w="0" w:type="auto"/>
            <w:tcBorders>
              <w:top w:val="nil"/>
              <w:left w:val="nil"/>
              <w:bottom w:val="single" w:sz="4" w:space="0" w:color="auto"/>
              <w:right w:val="dotted" w:sz="4" w:space="0" w:color="auto"/>
            </w:tcBorders>
            <w:shd w:val="clear" w:color="auto" w:fill="auto"/>
            <w:noWrap/>
            <w:vAlign w:val="center"/>
            <w:hideMark/>
          </w:tcPr>
          <w:p w14:paraId="052D4C84"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0.98%</w:t>
            </w:r>
          </w:p>
        </w:tc>
        <w:tc>
          <w:tcPr>
            <w:tcW w:w="0" w:type="auto"/>
            <w:tcBorders>
              <w:top w:val="nil"/>
              <w:left w:val="dotted" w:sz="4" w:space="0" w:color="auto"/>
              <w:bottom w:val="single" w:sz="4" w:space="0" w:color="auto"/>
              <w:right w:val="single" w:sz="4" w:space="0" w:color="auto"/>
            </w:tcBorders>
            <w:shd w:val="clear" w:color="auto" w:fill="auto"/>
            <w:noWrap/>
            <w:vAlign w:val="center"/>
            <w:hideMark/>
          </w:tcPr>
          <w:p w14:paraId="35DD13E8"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1.10%</w:t>
            </w:r>
          </w:p>
        </w:tc>
        <w:tc>
          <w:tcPr>
            <w:tcW w:w="0" w:type="auto"/>
            <w:tcBorders>
              <w:top w:val="nil"/>
              <w:left w:val="single" w:sz="4" w:space="0" w:color="auto"/>
              <w:bottom w:val="single" w:sz="4" w:space="0" w:color="auto"/>
              <w:right w:val="nil"/>
            </w:tcBorders>
            <w:shd w:val="clear" w:color="auto" w:fill="auto"/>
            <w:noWrap/>
            <w:vAlign w:val="center"/>
            <w:hideMark/>
          </w:tcPr>
          <w:p w14:paraId="7D518EB5"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5.20%</w:t>
            </w:r>
          </w:p>
        </w:tc>
        <w:tc>
          <w:tcPr>
            <w:tcW w:w="0" w:type="auto"/>
            <w:tcBorders>
              <w:top w:val="nil"/>
              <w:left w:val="nil"/>
              <w:bottom w:val="single" w:sz="4" w:space="0" w:color="auto"/>
              <w:right w:val="nil"/>
            </w:tcBorders>
            <w:shd w:val="clear" w:color="auto" w:fill="auto"/>
            <w:noWrap/>
            <w:vAlign w:val="center"/>
            <w:hideMark/>
          </w:tcPr>
          <w:p w14:paraId="3CDCB761"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2.90%</w:t>
            </w:r>
          </w:p>
        </w:tc>
        <w:tc>
          <w:tcPr>
            <w:tcW w:w="0" w:type="auto"/>
            <w:tcBorders>
              <w:top w:val="nil"/>
              <w:left w:val="nil"/>
              <w:bottom w:val="single" w:sz="4" w:space="0" w:color="auto"/>
              <w:right w:val="dotted" w:sz="4" w:space="0" w:color="auto"/>
            </w:tcBorders>
            <w:shd w:val="clear" w:color="auto" w:fill="auto"/>
            <w:noWrap/>
            <w:vAlign w:val="center"/>
            <w:hideMark/>
          </w:tcPr>
          <w:p w14:paraId="7A73E75D"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2.60%</w:t>
            </w:r>
          </w:p>
        </w:tc>
        <w:tc>
          <w:tcPr>
            <w:tcW w:w="0" w:type="auto"/>
            <w:tcBorders>
              <w:top w:val="nil"/>
              <w:left w:val="dotted" w:sz="4" w:space="0" w:color="auto"/>
              <w:bottom w:val="single" w:sz="4" w:space="0" w:color="auto"/>
              <w:right w:val="nil"/>
            </w:tcBorders>
            <w:shd w:val="clear" w:color="auto" w:fill="auto"/>
            <w:noWrap/>
            <w:vAlign w:val="center"/>
            <w:hideMark/>
          </w:tcPr>
          <w:p w14:paraId="4B7FE6E7"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3.04%</w:t>
            </w:r>
          </w:p>
        </w:tc>
        <w:tc>
          <w:tcPr>
            <w:tcW w:w="0" w:type="auto"/>
            <w:tcBorders>
              <w:top w:val="nil"/>
              <w:left w:val="nil"/>
              <w:bottom w:val="single" w:sz="4" w:space="0" w:color="auto"/>
              <w:right w:val="dotted" w:sz="4" w:space="0" w:color="auto"/>
            </w:tcBorders>
            <w:shd w:val="clear" w:color="auto" w:fill="auto"/>
            <w:noWrap/>
            <w:vAlign w:val="center"/>
            <w:hideMark/>
          </w:tcPr>
          <w:p w14:paraId="04C9F92C"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3.06%</w:t>
            </w:r>
          </w:p>
        </w:tc>
        <w:tc>
          <w:tcPr>
            <w:tcW w:w="0" w:type="auto"/>
            <w:tcBorders>
              <w:top w:val="nil"/>
              <w:left w:val="dotted" w:sz="4" w:space="0" w:color="auto"/>
              <w:bottom w:val="single" w:sz="4" w:space="0" w:color="auto"/>
              <w:right w:val="nil"/>
            </w:tcBorders>
            <w:shd w:val="clear" w:color="auto" w:fill="auto"/>
            <w:noWrap/>
            <w:vAlign w:val="center"/>
            <w:hideMark/>
          </w:tcPr>
          <w:p w14:paraId="5368CAE0"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3.05%</w:t>
            </w:r>
          </w:p>
        </w:tc>
      </w:tr>
      <w:tr w:rsidR="00B71716" w:rsidRPr="00355FA5" w14:paraId="0F063247" w14:textId="77777777" w:rsidTr="009C7082">
        <w:trPr>
          <w:trHeight w:val="316"/>
        </w:trPr>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6F704652" w14:textId="77777777" w:rsidR="00DA3375" w:rsidRPr="00355FA5" w:rsidRDefault="00DA3375" w:rsidP="009C7082">
            <w:pPr>
              <w:spacing w:after="0" w:line="240" w:lineRule="auto"/>
              <w:rPr>
                <w:rFonts w:eastAsia="Times New Roman" w:cs="Arial"/>
                <w:b/>
                <w:bCs/>
                <w:color w:val="000000"/>
                <w:sz w:val="16"/>
                <w:szCs w:val="16"/>
              </w:rPr>
            </w:pPr>
            <w:r w:rsidRPr="00355FA5">
              <w:rPr>
                <w:rFonts w:eastAsia="Times New Roman" w:cs="Arial"/>
                <w:b/>
                <w:bCs/>
                <w:color w:val="000000"/>
                <w:sz w:val="16"/>
                <w:szCs w:val="16"/>
              </w:rPr>
              <w:t>Total</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4146BA17"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2.98%</w:t>
            </w:r>
          </w:p>
        </w:tc>
        <w:tc>
          <w:tcPr>
            <w:tcW w:w="0" w:type="auto"/>
            <w:tcBorders>
              <w:top w:val="single" w:sz="4" w:space="0" w:color="auto"/>
              <w:left w:val="nil"/>
              <w:bottom w:val="single" w:sz="4" w:space="0" w:color="auto"/>
              <w:right w:val="nil"/>
            </w:tcBorders>
            <w:shd w:val="clear" w:color="000000" w:fill="D3C5D7"/>
            <w:noWrap/>
            <w:vAlign w:val="center"/>
            <w:hideMark/>
          </w:tcPr>
          <w:p w14:paraId="515DD966"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0.34%</w:t>
            </w:r>
          </w:p>
        </w:tc>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1869FE1E"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0.17%</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35467321"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0.72%</w:t>
            </w:r>
          </w:p>
        </w:tc>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6ABB9599"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1.05%</w:t>
            </w:r>
          </w:p>
        </w:tc>
        <w:tc>
          <w:tcPr>
            <w:tcW w:w="0" w:type="auto"/>
            <w:tcBorders>
              <w:top w:val="single" w:sz="4" w:space="0" w:color="auto"/>
              <w:left w:val="dotted" w:sz="4" w:space="0" w:color="auto"/>
              <w:bottom w:val="single" w:sz="4" w:space="0" w:color="auto"/>
              <w:right w:val="single" w:sz="4" w:space="0" w:color="auto"/>
            </w:tcBorders>
            <w:shd w:val="clear" w:color="000000" w:fill="D3C5D7"/>
            <w:noWrap/>
            <w:vAlign w:val="center"/>
            <w:hideMark/>
          </w:tcPr>
          <w:p w14:paraId="3966FBE7"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0.93%</w:t>
            </w:r>
          </w:p>
        </w:tc>
        <w:tc>
          <w:tcPr>
            <w:tcW w:w="0" w:type="auto"/>
            <w:tcBorders>
              <w:top w:val="single" w:sz="4" w:space="0" w:color="auto"/>
              <w:left w:val="single" w:sz="4" w:space="0" w:color="auto"/>
              <w:bottom w:val="single" w:sz="4" w:space="0" w:color="auto"/>
              <w:right w:val="nil"/>
            </w:tcBorders>
            <w:shd w:val="clear" w:color="000000" w:fill="D3C5D7"/>
            <w:noWrap/>
            <w:vAlign w:val="center"/>
            <w:hideMark/>
          </w:tcPr>
          <w:p w14:paraId="3EDAA748"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5.55%</w:t>
            </w:r>
          </w:p>
        </w:tc>
        <w:tc>
          <w:tcPr>
            <w:tcW w:w="0" w:type="auto"/>
            <w:tcBorders>
              <w:top w:val="single" w:sz="4" w:space="0" w:color="auto"/>
              <w:left w:val="nil"/>
              <w:bottom w:val="single" w:sz="4" w:space="0" w:color="auto"/>
              <w:right w:val="nil"/>
            </w:tcBorders>
            <w:shd w:val="clear" w:color="000000" w:fill="D3C5D7"/>
            <w:noWrap/>
            <w:vAlign w:val="center"/>
            <w:hideMark/>
          </w:tcPr>
          <w:p w14:paraId="6550513E"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0.79%</w:t>
            </w:r>
          </w:p>
        </w:tc>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55499A6E"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0.54%</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03B63ED0"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1.68%</w:t>
            </w:r>
          </w:p>
        </w:tc>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019464AB"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1.97%</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34E6A2F4"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1.86%</w:t>
            </w:r>
          </w:p>
        </w:tc>
      </w:tr>
      <w:tr w:rsidR="00B71716" w:rsidRPr="00355FA5" w14:paraId="707C506D" w14:textId="77777777" w:rsidTr="009C7082">
        <w:trPr>
          <w:trHeight w:val="301"/>
        </w:trPr>
        <w:tc>
          <w:tcPr>
            <w:tcW w:w="0" w:type="auto"/>
            <w:tcBorders>
              <w:top w:val="single" w:sz="4" w:space="0" w:color="auto"/>
              <w:left w:val="nil"/>
              <w:bottom w:val="nil"/>
              <w:right w:val="dotted" w:sz="4" w:space="0" w:color="auto"/>
            </w:tcBorders>
            <w:shd w:val="clear" w:color="auto" w:fill="auto"/>
            <w:noWrap/>
            <w:vAlign w:val="center"/>
            <w:hideMark/>
          </w:tcPr>
          <w:p w14:paraId="7BC37F48" w14:textId="77777777" w:rsidR="00DA3375" w:rsidRPr="00355FA5" w:rsidRDefault="00DA3375" w:rsidP="009C7082">
            <w:pPr>
              <w:spacing w:after="0" w:line="240" w:lineRule="auto"/>
              <w:rPr>
                <w:rFonts w:eastAsia="Times New Roman" w:cs="Arial"/>
                <w:color w:val="000000"/>
                <w:sz w:val="16"/>
                <w:szCs w:val="16"/>
              </w:rPr>
            </w:pPr>
            <w:r w:rsidRPr="00355FA5">
              <w:rPr>
                <w:rFonts w:eastAsia="Times New Roman" w:cs="Arial"/>
                <w:color w:val="000000"/>
                <w:sz w:val="16"/>
                <w:szCs w:val="16"/>
              </w:rPr>
              <w:t>0 to 18</w:t>
            </w:r>
          </w:p>
        </w:tc>
        <w:tc>
          <w:tcPr>
            <w:tcW w:w="0" w:type="auto"/>
            <w:tcBorders>
              <w:top w:val="single" w:sz="4" w:space="0" w:color="auto"/>
              <w:left w:val="dotted" w:sz="4" w:space="0" w:color="auto"/>
              <w:bottom w:val="nil"/>
              <w:right w:val="nil"/>
            </w:tcBorders>
            <w:shd w:val="clear" w:color="auto" w:fill="auto"/>
            <w:noWrap/>
            <w:vAlign w:val="center"/>
            <w:hideMark/>
          </w:tcPr>
          <w:p w14:paraId="15F6D92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3.90%</w:t>
            </w:r>
          </w:p>
        </w:tc>
        <w:tc>
          <w:tcPr>
            <w:tcW w:w="0" w:type="auto"/>
            <w:tcBorders>
              <w:top w:val="single" w:sz="4" w:space="0" w:color="auto"/>
              <w:left w:val="nil"/>
              <w:bottom w:val="nil"/>
              <w:right w:val="nil"/>
            </w:tcBorders>
            <w:shd w:val="clear" w:color="auto" w:fill="auto"/>
            <w:noWrap/>
            <w:vAlign w:val="center"/>
            <w:hideMark/>
          </w:tcPr>
          <w:p w14:paraId="39F606FC"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0.34%</w:t>
            </w:r>
          </w:p>
        </w:tc>
        <w:tc>
          <w:tcPr>
            <w:tcW w:w="0" w:type="auto"/>
            <w:tcBorders>
              <w:top w:val="single" w:sz="4" w:space="0" w:color="auto"/>
              <w:left w:val="nil"/>
              <w:bottom w:val="nil"/>
              <w:right w:val="dotted" w:sz="4" w:space="0" w:color="auto"/>
            </w:tcBorders>
            <w:shd w:val="clear" w:color="auto" w:fill="auto"/>
            <w:noWrap/>
            <w:vAlign w:val="center"/>
            <w:hideMark/>
          </w:tcPr>
          <w:p w14:paraId="2E76CC83"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0.18%</w:t>
            </w:r>
          </w:p>
        </w:tc>
        <w:tc>
          <w:tcPr>
            <w:tcW w:w="0" w:type="auto"/>
            <w:tcBorders>
              <w:top w:val="single" w:sz="4" w:space="0" w:color="auto"/>
              <w:left w:val="dotted" w:sz="4" w:space="0" w:color="auto"/>
              <w:bottom w:val="nil"/>
              <w:right w:val="nil"/>
            </w:tcBorders>
            <w:shd w:val="clear" w:color="auto" w:fill="auto"/>
            <w:noWrap/>
            <w:vAlign w:val="center"/>
            <w:hideMark/>
          </w:tcPr>
          <w:p w14:paraId="1E9084B3"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1.43%</w:t>
            </w:r>
          </w:p>
        </w:tc>
        <w:tc>
          <w:tcPr>
            <w:tcW w:w="0" w:type="auto"/>
            <w:tcBorders>
              <w:top w:val="single" w:sz="4" w:space="0" w:color="auto"/>
              <w:left w:val="nil"/>
              <w:bottom w:val="nil"/>
              <w:right w:val="dotted" w:sz="4" w:space="0" w:color="auto"/>
            </w:tcBorders>
            <w:shd w:val="clear" w:color="auto" w:fill="auto"/>
            <w:noWrap/>
            <w:vAlign w:val="center"/>
            <w:hideMark/>
          </w:tcPr>
          <w:p w14:paraId="293F88F7"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1.69%</w:t>
            </w:r>
          </w:p>
        </w:tc>
        <w:tc>
          <w:tcPr>
            <w:tcW w:w="0" w:type="auto"/>
            <w:tcBorders>
              <w:top w:val="single" w:sz="4" w:space="0" w:color="auto"/>
              <w:left w:val="dotted" w:sz="4" w:space="0" w:color="auto"/>
              <w:bottom w:val="nil"/>
              <w:right w:val="single" w:sz="4" w:space="0" w:color="auto"/>
            </w:tcBorders>
            <w:shd w:val="clear" w:color="auto" w:fill="auto"/>
            <w:noWrap/>
            <w:vAlign w:val="center"/>
            <w:hideMark/>
          </w:tcPr>
          <w:p w14:paraId="05763F94"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1.61%</w:t>
            </w:r>
          </w:p>
        </w:tc>
        <w:tc>
          <w:tcPr>
            <w:tcW w:w="0" w:type="auto"/>
            <w:tcBorders>
              <w:top w:val="single" w:sz="4" w:space="0" w:color="auto"/>
              <w:left w:val="single" w:sz="4" w:space="0" w:color="auto"/>
              <w:bottom w:val="nil"/>
              <w:right w:val="nil"/>
            </w:tcBorders>
            <w:shd w:val="clear" w:color="auto" w:fill="auto"/>
            <w:noWrap/>
            <w:vAlign w:val="center"/>
            <w:hideMark/>
          </w:tcPr>
          <w:p w14:paraId="2471CE0F"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6.69%</w:t>
            </w:r>
          </w:p>
        </w:tc>
        <w:tc>
          <w:tcPr>
            <w:tcW w:w="0" w:type="auto"/>
            <w:tcBorders>
              <w:top w:val="single" w:sz="4" w:space="0" w:color="auto"/>
              <w:left w:val="nil"/>
              <w:bottom w:val="nil"/>
              <w:right w:val="nil"/>
            </w:tcBorders>
            <w:shd w:val="clear" w:color="auto" w:fill="auto"/>
            <w:noWrap/>
            <w:vAlign w:val="center"/>
            <w:hideMark/>
          </w:tcPr>
          <w:p w14:paraId="3CFADF41"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0.65%</w:t>
            </w:r>
          </w:p>
        </w:tc>
        <w:tc>
          <w:tcPr>
            <w:tcW w:w="0" w:type="auto"/>
            <w:tcBorders>
              <w:top w:val="single" w:sz="4" w:space="0" w:color="auto"/>
              <w:left w:val="nil"/>
              <w:bottom w:val="nil"/>
              <w:right w:val="dotted" w:sz="4" w:space="0" w:color="auto"/>
            </w:tcBorders>
            <w:shd w:val="clear" w:color="auto" w:fill="auto"/>
            <w:noWrap/>
            <w:vAlign w:val="center"/>
            <w:hideMark/>
          </w:tcPr>
          <w:p w14:paraId="7F53973A"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0.40%</w:t>
            </w:r>
          </w:p>
        </w:tc>
        <w:tc>
          <w:tcPr>
            <w:tcW w:w="0" w:type="auto"/>
            <w:tcBorders>
              <w:top w:val="single" w:sz="4" w:space="0" w:color="auto"/>
              <w:left w:val="dotted" w:sz="4" w:space="0" w:color="auto"/>
              <w:bottom w:val="nil"/>
              <w:right w:val="nil"/>
            </w:tcBorders>
            <w:shd w:val="clear" w:color="auto" w:fill="auto"/>
            <w:noWrap/>
            <w:vAlign w:val="center"/>
            <w:hideMark/>
          </w:tcPr>
          <w:p w14:paraId="44DD8B60"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2.74%</w:t>
            </w:r>
          </w:p>
        </w:tc>
        <w:tc>
          <w:tcPr>
            <w:tcW w:w="0" w:type="auto"/>
            <w:tcBorders>
              <w:top w:val="single" w:sz="4" w:space="0" w:color="auto"/>
              <w:left w:val="nil"/>
              <w:bottom w:val="nil"/>
              <w:right w:val="dotted" w:sz="4" w:space="0" w:color="auto"/>
            </w:tcBorders>
            <w:shd w:val="clear" w:color="auto" w:fill="auto"/>
            <w:noWrap/>
            <w:vAlign w:val="center"/>
            <w:hideMark/>
          </w:tcPr>
          <w:p w14:paraId="0238ACBC"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2.85%</w:t>
            </w:r>
          </w:p>
        </w:tc>
        <w:tc>
          <w:tcPr>
            <w:tcW w:w="0" w:type="auto"/>
            <w:tcBorders>
              <w:top w:val="single" w:sz="4" w:space="0" w:color="auto"/>
              <w:left w:val="dotted" w:sz="4" w:space="0" w:color="auto"/>
              <w:bottom w:val="nil"/>
              <w:right w:val="nil"/>
            </w:tcBorders>
            <w:shd w:val="clear" w:color="auto" w:fill="auto"/>
            <w:noWrap/>
            <w:vAlign w:val="center"/>
            <w:hideMark/>
          </w:tcPr>
          <w:p w14:paraId="53474704"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2.82%</w:t>
            </w:r>
          </w:p>
        </w:tc>
      </w:tr>
      <w:tr w:rsidR="00B71716" w:rsidRPr="00355FA5" w14:paraId="378634A2" w14:textId="77777777" w:rsidTr="009C7082">
        <w:trPr>
          <w:trHeight w:val="301"/>
        </w:trPr>
        <w:tc>
          <w:tcPr>
            <w:tcW w:w="0" w:type="auto"/>
            <w:tcBorders>
              <w:top w:val="nil"/>
              <w:left w:val="nil"/>
              <w:bottom w:val="nil"/>
              <w:right w:val="dotted" w:sz="4" w:space="0" w:color="auto"/>
            </w:tcBorders>
            <w:shd w:val="clear" w:color="000000" w:fill="BFBFBF"/>
            <w:noWrap/>
            <w:vAlign w:val="center"/>
            <w:hideMark/>
          </w:tcPr>
          <w:p w14:paraId="6C264C9F" w14:textId="77777777" w:rsidR="00DA3375" w:rsidRPr="00355FA5" w:rsidRDefault="00DA3375" w:rsidP="009C7082">
            <w:pPr>
              <w:spacing w:after="0" w:line="240" w:lineRule="auto"/>
              <w:rPr>
                <w:rFonts w:eastAsia="Times New Roman" w:cs="Arial"/>
                <w:color w:val="000000"/>
                <w:sz w:val="16"/>
                <w:szCs w:val="16"/>
              </w:rPr>
            </w:pPr>
            <w:r w:rsidRPr="00355FA5">
              <w:rPr>
                <w:rFonts w:eastAsia="Times New Roman" w:cs="Arial"/>
                <w:color w:val="000000"/>
                <w:sz w:val="16"/>
                <w:szCs w:val="16"/>
              </w:rPr>
              <w:t>19 to 34</w:t>
            </w:r>
          </w:p>
        </w:tc>
        <w:tc>
          <w:tcPr>
            <w:tcW w:w="0" w:type="auto"/>
            <w:tcBorders>
              <w:top w:val="nil"/>
              <w:left w:val="dotted" w:sz="4" w:space="0" w:color="auto"/>
              <w:bottom w:val="nil"/>
              <w:right w:val="nil"/>
            </w:tcBorders>
            <w:shd w:val="clear" w:color="000000" w:fill="BFBFBF"/>
            <w:noWrap/>
            <w:vAlign w:val="center"/>
            <w:hideMark/>
          </w:tcPr>
          <w:p w14:paraId="145666AD"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1.19%</w:t>
            </w:r>
          </w:p>
        </w:tc>
        <w:tc>
          <w:tcPr>
            <w:tcW w:w="0" w:type="auto"/>
            <w:tcBorders>
              <w:top w:val="nil"/>
              <w:left w:val="nil"/>
              <w:bottom w:val="nil"/>
              <w:right w:val="nil"/>
            </w:tcBorders>
            <w:shd w:val="clear" w:color="000000" w:fill="BFBFBF"/>
            <w:noWrap/>
            <w:vAlign w:val="center"/>
            <w:hideMark/>
          </w:tcPr>
          <w:p w14:paraId="51ADB883"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0.40%</w:t>
            </w:r>
          </w:p>
        </w:tc>
        <w:tc>
          <w:tcPr>
            <w:tcW w:w="0" w:type="auto"/>
            <w:tcBorders>
              <w:top w:val="nil"/>
              <w:left w:val="nil"/>
              <w:bottom w:val="nil"/>
              <w:right w:val="dotted" w:sz="4" w:space="0" w:color="auto"/>
            </w:tcBorders>
            <w:shd w:val="clear" w:color="000000" w:fill="BFBFBF"/>
            <w:noWrap/>
            <w:vAlign w:val="center"/>
            <w:hideMark/>
          </w:tcPr>
          <w:p w14:paraId="108C663D"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0.05%</w:t>
            </w:r>
          </w:p>
        </w:tc>
        <w:tc>
          <w:tcPr>
            <w:tcW w:w="0" w:type="auto"/>
            <w:tcBorders>
              <w:top w:val="nil"/>
              <w:left w:val="dotted" w:sz="4" w:space="0" w:color="auto"/>
              <w:bottom w:val="nil"/>
              <w:right w:val="nil"/>
            </w:tcBorders>
            <w:shd w:val="clear" w:color="000000" w:fill="BFBFBF"/>
            <w:noWrap/>
            <w:vAlign w:val="center"/>
            <w:hideMark/>
          </w:tcPr>
          <w:p w14:paraId="753AF42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0.32%</w:t>
            </w:r>
          </w:p>
        </w:tc>
        <w:tc>
          <w:tcPr>
            <w:tcW w:w="0" w:type="auto"/>
            <w:tcBorders>
              <w:top w:val="nil"/>
              <w:left w:val="nil"/>
              <w:bottom w:val="nil"/>
              <w:right w:val="dotted" w:sz="4" w:space="0" w:color="auto"/>
            </w:tcBorders>
            <w:shd w:val="clear" w:color="000000" w:fill="BFBFBF"/>
            <w:noWrap/>
            <w:vAlign w:val="center"/>
            <w:hideMark/>
          </w:tcPr>
          <w:p w14:paraId="71B616C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0.47%</w:t>
            </w:r>
          </w:p>
        </w:tc>
        <w:tc>
          <w:tcPr>
            <w:tcW w:w="0" w:type="auto"/>
            <w:tcBorders>
              <w:top w:val="nil"/>
              <w:left w:val="dotted" w:sz="4" w:space="0" w:color="auto"/>
              <w:bottom w:val="nil"/>
              <w:right w:val="single" w:sz="4" w:space="0" w:color="auto"/>
            </w:tcBorders>
            <w:shd w:val="clear" w:color="000000" w:fill="BFBFBF"/>
            <w:noWrap/>
            <w:vAlign w:val="center"/>
            <w:hideMark/>
          </w:tcPr>
          <w:p w14:paraId="71956FA4"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0.41%</w:t>
            </w:r>
          </w:p>
        </w:tc>
        <w:tc>
          <w:tcPr>
            <w:tcW w:w="0" w:type="auto"/>
            <w:tcBorders>
              <w:top w:val="nil"/>
              <w:left w:val="single" w:sz="4" w:space="0" w:color="auto"/>
              <w:bottom w:val="nil"/>
              <w:right w:val="nil"/>
            </w:tcBorders>
            <w:shd w:val="clear" w:color="000000" w:fill="BFBFBF"/>
            <w:noWrap/>
            <w:vAlign w:val="center"/>
            <w:hideMark/>
          </w:tcPr>
          <w:p w14:paraId="0CE8D733"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2.61%</w:t>
            </w:r>
          </w:p>
        </w:tc>
        <w:tc>
          <w:tcPr>
            <w:tcW w:w="0" w:type="auto"/>
            <w:tcBorders>
              <w:top w:val="nil"/>
              <w:left w:val="nil"/>
              <w:bottom w:val="nil"/>
              <w:right w:val="nil"/>
            </w:tcBorders>
            <w:shd w:val="clear" w:color="000000" w:fill="BFBFBF"/>
            <w:noWrap/>
            <w:vAlign w:val="center"/>
            <w:hideMark/>
          </w:tcPr>
          <w:p w14:paraId="5B94734D"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0.63%</w:t>
            </w:r>
          </w:p>
        </w:tc>
        <w:tc>
          <w:tcPr>
            <w:tcW w:w="0" w:type="auto"/>
            <w:tcBorders>
              <w:top w:val="nil"/>
              <w:left w:val="nil"/>
              <w:bottom w:val="nil"/>
              <w:right w:val="dotted" w:sz="4" w:space="0" w:color="auto"/>
            </w:tcBorders>
            <w:shd w:val="clear" w:color="000000" w:fill="BFBFBF"/>
            <w:noWrap/>
            <w:vAlign w:val="center"/>
            <w:hideMark/>
          </w:tcPr>
          <w:p w14:paraId="69183E84"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0.21%</w:t>
            </w:r>
          </w:p>
        </w:tc>
        <w:tc>
          <w:tcPr>
            <w:tcW w:w="0" w:type="auto"/>
            <w:tcBorders>
              <w:top w:val="nil"/>
              <w:left w:val="dotted" w:sz="4" w:space="0" w:color="auto"/>
              <w:bottom w:val="nil"/>
              <w:right w:val="nil"/>
            </w:tcBorders>
            <w:shd w:val="clear" w:color="000000" w:fill="BFBFBF"/>
            <w:noWrap/>
            <w:vAlign w:val="center"/>
            <w:hideMark/>
          </w:tcPr>
          <w:p w14:paraId="62233D38"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0.77%</w:t>
            </w:r>
          </w:p>
        </w:tc>
        <w:tc>
          <w:tcPr>
            <w:tcW w:w="0" w:type="auto"/>
            <w:tcBorders>
              <w:top w:val="nil"/>
              <w:left w:val="nil"/>
              <w:bottom w:val="nil"/>
              <w:right w:val="dotted" w:sz="4" w:space="0" w:color="auto"/>
            </w:tcBorders>
            <w:shd w:val="clear" w:color="000000" w:fill="BFBFBF"/>
            <w:noWrap/>
            <w:vAlign w:val="center"/>
            <w:hideMark/>
          </w:tcPr>
          <w:p w14:paraId="7CF0836D"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0.82%</w:t>
            </w:r>
          </w:p>
        </w:tc>
        <w:tc>
          <w:tcPr>
            <w:tcW w:w="0" w:type="auto"/>
            <w:tcBorders>
              <w:top w:val="nil"/>
              <w:left w:val="dotted" w:sz="4" w:space="0" w:color="auto"/>
              <w:bottom w:val="nil"/>
              <w:right w:val="nil"/>
            </w:tcBorders>
            <w:shd w:val="clear" w:color="000000" w:fill="BFBFBF"/>
            <w:noWrap/>
            <w:vAlign w:val="center"/>
            <w:hideMark/>
          </w:tcPr>
          <w:p w14:paraId="31EEF6FE"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0.80%</w:t>
            </w:r>
          </w:p>
        </w:tc>
      </w:tr>
      <w:tr w:rsidR="00B71716" w:rsidRPr="00355FA5" w14:paraId="7686C2AD" w14:textId="77777777" w:rsidTr="009C7082">
        <w:trPr>
          <w:trHeight w:val="301"/>
        </w:trPr>
        <w:tc>
          <w:tcPr>
            <w:tcW w:w="0" w:type="auto"/>
            <w:tcBorders>
              <w:top w:val="nil"/>
              <w:left w:val="nil"/>
              <w:bottom w:val="single" w:sz="4" w:space="0" w:color="auto"/>
              <w:right w:val="dotted" w:sz="4" w:space="0" w:color="auto"/>
            </w:tcBorders>
            <w:shd w:val="clear" w:color="auto" w:fill="auto"/>
            <w:noWrap/>
            <w:vAlign w:val="center"/>
            <w:hideMark/>
          </w:tcPr>
          <w:p w14:paraId="329DF3D5" w14:textId="77777777" w:rsidR="00DA3375" w:rsidRPr="00355FA5" w:rsidRDefault="00DA3375" w:rsidP="009C7082">
            <w:pPr>
              <w:spacing w:after="0" w:line="240" w:lineRule="auto"/>
              <w:rPr>
                <w:rFonts w:eastAsia="Times New Roman" w:cs="Arial"/>
                <w:color w:val="000000"/>
                <w:sz w:val="16"/>
                <w:szCs w:val="16"/>
              </w:rPr>
            </w:pPr>
            <w:r w:rsidRPr="00355FA5">
              <w:rPr>
                <w:rFonts w:eastAsia="Times New Roman" w:cs="Arial"/>
                <w:color w:val="000000"/>
                <w:sz w:val="16"/>
                <w:szCs w:val="16"/>
              </w:rPr>
              <w:t>35 to 64</w:t>
            </w:r>
          </w:p>
        </w:tc>
        <w:tc>
          <w:tcPr>
            <w:tcW w:w="0" w:type="auto"/>
            <w:tcBorders>
              <w:top w:val="nil"/>
              <w:left w:val="dotted" w:sz="4" w:space="0" w:color="auto"/>
              <w:bottom w:val="single" w:sz="4" w:space="0" w:color="auto"/>
              <w:right w:val="nil"/>
            </w:tcBorders>
            <w:shd w:val="clear" w:color="auto" w:fill="auto"/>
            <w:noWrap/>
            <w:vAlign w:val="center"/>
            <w:hideMark/>
          </w:tcPr>
          <w:p w14:paraId="70A00911"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0.50%</w:t>
            </w:r>
          </w:p>
        </w:tc>
        <w:tc>
          <w:tcPr>
            <w:tcW w:w="0" w:type="auto"/>
            <w:tcBorders>
              <w:top w:val="nil"/>
              <w:left w:val="nil"/>
              <w:bottom w:val="single" w:sz="4" w:space="0" w:color="auto"/>
              <w:right w:val="nil"/>
            </w:tcBorders>
            <w:shd w:val="clear" w:color="auto" w:fill="auto"/>
            <w:noWrap/>
            <w:vAlign w:val="center"/>
            <w:hideMark/>
          </w:tcPr>
          <w:p w14:paraId="4688D772"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0.22%</w:t>
            </w:r>
          </w:p>
        </w:tc>
        <w:tc>
          <w:tcPr>
            <w:tcW w:w="0" w:type="auto"/>
            <w:tcBorders>
              <w:top w:val="nil"/>
              <w:left w:val="nil"/>
              <w:bottom w:val="single" w:sz="4" w:space="0" w:color="auto"/>
              <w:right w:val="dotted" w:sz="4" w:space="0" w:color="auto"/>
            </w:tcBorders>
            <w:shd w:val="clear" w:color="auto" w:fill="auto"/>
            <w:noWrap/>
            <w:vAlign w:val="center"/>
            <w:hideMark/>
          </w:tcPr>
          <w:p w14:paraId="0ABE1D70"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0.08%</w:t>
            </w:r>
          </w:p>
        </w:tc>
        <w:tc>
          <w:tcPr>
            <w:tcW w:w="0" w:type="auto"/>
            <w:tcBorders>
              <w:top w:val="nil"/>
              <w:left w:val="dotted" w:sz="4" w:space="0" w:color="auto"/>
              <w:bottom w:val="single" w:sz="4" w:space="0" w:color="auto"/>
              <w:right w:val="nil"/>
            </w:tcBorders>
            <w:shd w:val="clear" w:color="auto" w:fill="auto"/>
            <w:noWrap/>
            <w:vAlign w:val="center"/>
            <w:hideMark/>
          </w:tcPr>
          <w:p w14:paraId="3A7C102E"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0.19%</w:t>
            </w:r>
          </w:p>
        </w:tc>
        <w:tc>
          <w:tcPr>
            <w:tcW w:w="0" w:type="auto"/>
            <w:tcBorders>
              <w:top w:val="nil"/>
              <w:left w:val="nil"/>
              <w:bottom w:val="single" w:sz="4" w:space="0" w:color="auto"/>
              <w:right w:val="dotted" w:sz="4" w:space="0" w:color="auto"/>
            </w:tcBorders>
            <w:shd w:val="clear" w:color="auto" w:fill="auto"/>
            <w:noWrap/>
            <w:vAlign w:val="center"/>
            <w:hideMark/>
          </w:tcPr>
          <w:p w14:paraId="44857AE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0.20%</w:t>
            </w:r>
          </w:p>
        </w:tc>
        <w:tc>
          <w:tcPr>
            <w:tcW w:w="0" w:type="auto"/>
            <w:tcBorders>
              <w:top w:val="nil"/>
              <w:left w:val="dotted" w:sz="4" w:space="0" w:color="auto"/>
              <w:bottom w:val="single" w:sz="4" w:space="0" w:color="auto"/>
              <w:right w:val="single" w:sz="4" w:space="0" w:color="auto"/>
            </w:tcBorders>
            <w:shd w:val="clear" w:color="auto" w:fill="auto"/>
            <w:noWrap/>
            <w:vAlign w:val="center"/>
            <w:hideMark/>
          </w:tcPr>
          <w:p w14:paraId="4FC96AC7"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0.19%</w:t>
            </w:r>
          </w:p>
        </w:tc>
        <w:tc>
          <w:tcPr>
            <w:tcW w:w="0" w:type="auto"/>
            <w:tcBorders>
              <w:top w:val="nil"/>
              <w:left w:val="single" w:sz="4" w:space="0" w:color="auto"/>
              <w:bottom w:val="single" w:sz="4" w:space="0" w:color="auto"/>
              <w:right w:val="nil"/>
            </w:tcBorders>
            <w:shd w:val="clear" w:color="auto" w:fill="auto"/>
            <w:noWrap/>
            <w:vAlign w:val="center"/>
            <w:hideMark/>
          </w:tcPr>
          <w:p w14:paraId="7D123339"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2.65%</w:t>
            </w:r>
          </w:p>
        </w:tc>
        <w:tc>
          <w:tcPr>
            <w:tcW w:w="0" w:type="auto"/>
            <w:tcBorders>
              <w:top w:val="nil"/>
              <w:left w:val="nil"/>
              <w:bottom w:val="single" w:sz="4" w:space="0" w:color="auto"/>
              <w:right w:val="nil"/>
            </w:tcBorders>
            <w:shd w:val="clear" w:color="auto" w:fill="auto"/>
            <w:noWrap/>
            <w:vAlign w:val="center"/>
            <w:hideMark/>
          </w:tcPr>
          <w:p w14:paraId="3E44173B"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0.87%</w:t>
            </w:r>
          </w:p>
        </w:tc>
        <w:tc>
          <w:tcPr>
            <w:tcW w:w="0" w:type="auto"/>
            <w:tcBorders>
              <w:top w:val="nil"/>
              <w:left w:val="nil"/>
              <w:bottom w:val="single" w:sz="4" w:space="0" w:color="auto"/>
              <w:right w:val="dotted" w:sz="4" w:space="0" w:color="auto"/>
            </w:tcBorders>
            <w:shd w:val="clear" w:color="auto" w:fill="auto"/>
            <w:noWrap/>
            <w:vAlign w:val="center"/>
            <w:hideMark/>
          </w:tcPr>
          <w:p w14:paraId="553C0048"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0.51%</w:t>
            </w:r>
          </w:p>
        </w:tc>
        <w:tc>
          <w:tcPr>
            <w:tcW w:w="0" w:type="auto"/>
            <w:tcBorders>
              <w:top w:val="nil"/>
              <w:left w:val="dotted" w:sz="4" w:space="0" w:color="auto"/>
              <w:bottom w:val="single" w:sz="4" w:space="0" w:color="auto"/>
              <w:right w:val="nil"/>
            </w:tcBorders>
            <w:shd w:val="clear" w:color="auto" w:fill="auto"/>
            <w:noWrap/>
            <w:vAlign w:val="center"/>
            <w:hideMark/>
          </w:tcPr>
          <w:p w14:paraId="79E3BFCA"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0.94%</w:t>
            </w:r>
          </w:p>
        </w:tc>
        <w:tc>
          <w:tcPr>
            <w:tcW w:w="0" w:type="auto"/>
            <w:tcBorders>
              <w:top w:val="nil"/>
              <w:left w:val="nil"/>
              <w:bottom w:val="single" w:sz="4" w:space="0" w:color="auto"/>
              <w:right w:val="dotted" w:sz="4" w:space="0" w:color="auto"/>
            </w:tcBorders>
            <w:shd w:val="clear" w:color="auto" w:fill="auto"/>
            <w:noWrap/>
            <w:vAlign w:val="center"/>
            <w:hideMark/>
          </w:tcPr>
          <w:p w14:paraId="3141AF54"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0.94%</w:t>
            </w:r>
          </w:p>
        </w:tc>
        <w:tc>
          <w:tcPr>
            <w:tcW w:w="0" w:type="auto"/>
            <w:tcBorders>
              <w:top w:val="nil"/>
              <w:left w:val="dotted" w:sz="4" w:space="0" w:color="auto"/>
              <w:bottom w:val="single" w:sz="4" w:space="0" w:color="auto"/>
              <w:right w:val="nil"/>
            </w:tcBorders>
            <w:shd w:val="clear" w:color="auto" w:fill="auto"/>
            <w:noWrap/>
            <w:vAlign w:val="center"/>
            <w:hideMark/>
          </w:tcPr>
          <w:p w14:paraId="3FF0089A" w14:textId="77777777" w:rsidR="00DA3375" w:rsidRPr="00355FA5" w:rsidRDefault="00DA3375" w:rsidP="009C7082">
            <w:pPr>
              <w:spacing w:after="0" w:line="240" w:lineRule="auto"/>
              <w:jc w:val="right"/>
              <w:rPr>
                <w:rFonts w:eastAsia="Times New Roman" w:cs="Arial"/>
                <w:color w:val="000000"/>
                <w:sz w:val="16"/>
                <w:szCs w:val="16"/>
              </w:rPr>
            </w:pPr>
            <w:r w:rsidRPr="00355FA5">
              <w:rPr>
                <w:rFonts w:eastAsia="Times New Roman" w:cs="Arial"/>
                <w:color w:val="000000"/>
                <w:sz w:val="16"/>
                <w:szCs w:val="16"/>
              </w:rPr>
              <w:t>0.94%</w:t>
            </w:r>
          </w:p>
        </w:tc>
      </w:tr>
      <w:tr w:rsidR="00B71716" w:rsidRPr="00355FA5" w14:paraId="52DFE9CB" w14:textId="77777777" w:rsidTr="009C7082">
        <w:trPr>
          <w:trHeight w:val="316"/>
        </w:trPr>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2AE752AC" w14:textId="77777777" w:rsidR="00DA3375" w:rsidRPr="00355FA5" w:rsidRDefault="00DA3375" w:rsidP="009C7082">
            <w:pPr>
              <w:spacing w:after="0" w:line="240" w:lineRule="auto"/>
              <w:rPr>
                <w:rFonts w:eastAsia="Times New Roman" w:cs="Arial"/>
                <w:b/>
                <w:bCs/>
                <w:color w:val="000000"/>
                <w:sz w:val="16"/>
                <w:szCs w:val="16"/>
              </w:rPr>
            </w:pPr>
            <w:r w:rsidRPr="00355FA5">
              <w:rPr>
                <w:rFonts w:eastAsia="Times New Roman" w:cs="Arial"/>
                <w:b/>
                <w:bCs/>
                <w:color w:val="000000"/>
                <w:sz w:val="16"/>
                <w:szCs w:val="16"/>
              </w:rPr>
              <w:t>0 to 64</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075B52A6"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3.03%</w:t>
            </w:r>
          </w:p>
        </w:tc>
        <w:tc>
          <w:tcPr>
            <w:tcW w:w="0" w:type="auto"/>
            <w:tcBorders>
              <w:top w:val="single" w:sz="4" w:space="0" w:color="auto"/>
              <w:left w:val="nil"/>
              <w:bottom w:val="single" w:sz="4" w:space="0" w:color="auto"/>
              <w:right w:val="nil"/>
            </w:tcBorders>
            <w:shd w:val="clear" w:color="auto" w:fill="D3C5D7"/>
            <w:noWrap/>
            <w:vAlign w:val="center"/>
            <w:hideMark/>
          </w:tcPr>
          <w:p w14:paraId="557E6CB1"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0.31%</w:t>
            </w:r>
          </w:p>
        </w:tc>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6E1C9997"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0.11%</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5A3D2725"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0.70%</w:t>
            </w:r>
          </w:p>
        </w:tc>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7713A8DB"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1.05%</w:t>
            </w:r>
          </w:p>
        </w:tc>
        <w:tc>
          <w:tcPr>
            <w:tcW w:w="0" w:type="auto"/>
            <w:tcBorders>
              <w:top w:val="single" w:sz="4" w:space="0" w:color="auto"/>
              <w:left w:val="dotted" w:sz="4" w:space="0" w:color="auto"/>
              <w:bottom w:val="single" w:sz="4" w:space="0" w:color="auto"/>
              <w:right w:val="single" w:sz="4" w:space="0" w:color="auto"/>
            </w:tcBorders>
            <w:shd w:val="clear" w:color="auto" w:fill="D3C5D7"/>
            <w:noWrap/>
            <w:vAlign w:val="center"/>
            <w:hideMark/>
          </w:tcPr>
          <w:p w14:paraId="4841C169"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0.92%</w:t>
            </w:r>
          </w:p>
        </w:tc>
        <w:tc>
          <w:tcPr>
            <w:tcW w:w="0" w:type="auto"/>
            <w:tcBorders>
              <w:top w:val="single" w:sz="4" w:space="0" w:color="auto"/>
              <w:left w:val="single" w:sz="4" w:space="0" w:color="auto"/>
              <w:bottom w:val="single" w:sz="4" w:space="0" w:color="auto"/>
              <w:right w:val="nil"/>
            </w:tcBorders>
            <w:shd w:val="clear" w:color="auto" w:fill="D3C5D7"/>
            <w:noWrap/>
            <w:vAlign w:val="center"/>
            <w:hideMark/>
          </w:tcPr>
          <w:p w14:paraId="1DA5A9B2"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5.55%</w:t>
            </w:r>
          </w:p>
        </w:tc>
        <w:tc>
          <w:tcPr>
            <w:tcW w:w="0" w:type="auto"/>
            <w:tcBorders>
              <w:top w:val="single" w:sz="4" w:space="0" w:color="auto"/>
              <w:left w:val="nil"/>
              <w:bottom w:val="single" w:sz="4" w:space="0" w:color="auto"/>
              <w:right w:val="nil"/>
            </w:tcBorders>
            <w:shd w:val="clear" w:color="auto" w:fill="D3C5D7"/>
            <w:noWrap/>
            <w:vAlign w:val="center"/>
            <w:hideMark/>
          </w:tcPr>
          <w:p w14:paraId="776BCF41"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0.72%</w:t>
            </w:r>
          </w:p>
        </w:tc>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7DFAD64A"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0.41%</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1AFBC175"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1.60%</w:t>
            </w:r>
          </w:p>
        </w:tc>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4739609F"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1.94%</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7F3C99A9" w14:textId="77777777" w:rsidR="00DA3375" w:rsidRPr="00355FA5" w:rsidRDefault="00DA3375" w:rsidP="009C7082">
            <w:pPr>
              <w:spacing w:after="0" w:line="240" w:lineRule="auto"/>
              <w:jc w:val="right"/>
              <w:rPr>
                <w:rFonts w:eastAsia="Times New Roman" w:cs="Arial"/>
                <w:b/>
                <w:bCs/>
                <w:color w:val="000000"/>
                <w:sz w:val="16"/>
                <w:szCs w:val="16"/>
              </w:rPr>
            </w:pPr>
            <w:r w:rsidRPr="00355FA5">
              <w:rPr>
                <w:rFonts w:eastAsia="Times New Roman" w:cs="Arial"/>
                <w:b/>
                <w:bCs/>
                <w:color w:val="000000"/>
                <w:sz w:val="16"/>
                <w:szCs w:val="16"/>
              </w:rPr>
              <w:t>1.82%</w:t>
            </w:r>
          </w:p>
        </w:tc>
      </w:tr>
    </w:tbl>
    <w:p w14:paraId="73190542" w14:textId="77777777" w:rsidR="00DA3375" w:rsidRDefault="00DA3375" w:rsidP="00DA3F73">
      <w:pPr>
        <w:pStyle w:val="Tables"/>
        <w:spacing w:before="240"/>
      </w:pPr>
      <w:r>
        <w:t>Table</w:t>
      </w:r>
      <w:r w:rsidR="000D71B7">
        <w:t xml:space="preserve"> I</w:t>
      </w:r>
      <w:r w:rsidR="00A87896">
        <w:t>.</w:t>
      </w:r>
      <w:fldSimple w:instr=" SEQ Table \* ARABIC \s 2 ">
        <w:r w:rsidR="00A87896">
          <w:rPr>
            <w:noProof/>
          </w:rPr>
          <w:t>2</w:t>
        </w:r>
      </w:fldSimple>
      <w:r>
        <w:t xml:space="preserve">: </w:t>
      </w:r>
      <w:r w:rsidRPr="009F237B">
        <w:t>Revised selections for rates of participants leaving the Scheme by age group, normalised level of function and gender</w:t>
      </w:r>
    </w:p>
    <w:tbl>
      <w:tblPr>
        <w:tblW w:w="0" w:type="auto"/>
        <w:tblLayout w:type="fixed"/>
        <w:tblLook w:val="04A0" w:firstRow="1" w:lastRow="0" w:firstColumn="1" w:lastColumn="0" w:noHBand="0" w:noVBand="1"/>
      </w:tblPr>
      <w:tblGrid>
        <w:gridCol w:w="1107"/>
        <w:gridCol w:w="924"/>
        <w:gridCol w:w="924"/>
        <w:gridCol w:w="925"/>
        <w:gridCol w:w="924"/>
        <w:gridCol w:w="924"/>
        <w:gridCol w:w="926"/>
      </w:tblGrid>
      <w:tr w:rsidR="00DA3375" w:rsidRPr="00355FA5" w14:paraId="04B64876" w14:textId="77777777" w:rsidTr="009C7082">
        <w:trPr>
          <w:trHeight w:val="397"/>
          <w:tblHeader/>
        </w:trPr>
        <w:tc>
          <w:tcPr>
            <w:tcW w:w="1107" w:type="dxa"/>
            <w:tcBorders>
              <w:top w:val="nil"/>
              <w:left w:val="nil"/>
            </w:tcBorders>
            <w:shd w:val="clear" w:color="000000" w:fill="6B2976"/>
            <w:noWrap/>
            <w:vAlign w:val="center"/>
            <w:hideMark/>
          </w:tcPr>
          <w:p w14:paraId="21EBA020" w14:textId="77777777" w:rsidR="00DA3375" w:rsidRPr="00ED27E8" w:rsidRDefault="00DA3375" w:rsidP="009C7082">
            <w:pPr>
              <w:spacing w:after="0" w:line="240" w:lineRule="auto"/>
              <w:jc w:val="center"/>
              <w:rPr>
                <w:rFonts w:eastAsia="Times New Roman" w:cs="Arial"/>
                <w:b/>
                <w:bCs/>
                <w:color w:val="FFFFFF"/>
                <w:sz w:val="20"/>
                <w:szCs w:val="20"/>
              </w:rPr>
            </w:pPr>
          </w:p>
        </w:tc>
        <w:tc>
          <w:tcPr>
            <w:tcW w:w="5547" w:type="dxa"/>
            <w:gridSpan w:val="6"/>
            <w:tcBorders>
              <w:top w:val="nil"/>
              <w:bottom w:val="single" w:sz="4" w:space="0" w:color="FFFFFF"/>
              <w:right w:val="nil"/>
            </w:tcBorders>
            <w:shd w:val="clear" w:color="000000" w:fill="6B2976"/>
            <w:noWrap/>
            <w:vAlign w:val="center"/>
            <w:hideMark/>
          </w:tcPr>
          <w:p w14:paraId="676ABBDF" w14:textId="77777777" w:rsidR="00DA3375" w:rsidRPr="00ED27E8" w:rsidRDefault="00DA3375" w:rsidP="009C7082">
            <w:pPr>
              <w:spacing w:after="0" w:line="240" w:lineRule="auto"/>
              <w:jc w:val="center"/>
              <w:rPr>
                <w:rFonts w:eastAsia="Times New Roman" w:cs="Arial"/>
                <w:b/>
                <w:bCs/>
                <w:color w:val="FFFFFF"/>
                <w:sz w:val="20"/>
                <w:szCs w:val="20"/>
              </w:rPr>
            </w:pPr>
            <w:r w:rsidRPr="00ED27E8">
              <w:rPr>
                <w:rFonts w:eastAsia="Times New Roman" w:cs="Arial"/>
                <w:b/>
                <w:bCs/>
                <w:color w:val="FFFFFF"/>
                <w:sz w:val="20"/>
                <w:szCs w:val="20"/>
              </w:rPr>
              <w:t>Revised Selections</w:t>
            </w:r>
          </w:p>
        </w:tc>
      </w:tr>
      <w:tr w:rsidR="009F7877" w:rsidRPr="00355FA5" w14:paraId="79920CE6" w14:textId="77777777" w:rsidTr="009C7082">
        <w:trPr>
          <w:trHeight w:val="312"/>
          <w:tblHeader/>
        </w:trPr>
        <w:tc>
          <w:tcPr>
            <w:tcW w:w="1107" w:type="dxa"/>
            <w:tcBorders>
              <w:top w:val="nil"/>
              <w:left w:val="nil"/>
            </w:tcBorders>
            <w:shd w:val="clear" w:color="000000" w:fill="6B2976"/>
            <w:vAlign w:val="center"/>
            <w:hideMark/>
          </w:tcPr>
          <w:p w14:paraId="6006804D" w14:textId="77777777" w:rsidR="00DA3375" w:rsidRPr="00ED27E8" w:rsidRDefault="00DA3375" w:rsidP="009C7082">
            <w:pPr>
              <w:spacing w:after="0" w:line="240" w:lineRule="auto"/>
              <w:jc w:val="center"/>
              <w:rPr>
                <w:rFonts w:eastAsia="Times New Roman" w:cs="Arial"/>
                <w:b/>
                <w:bCs/>
                <w:color w:val="FFFFFF"/>
                <w:sz w:val="20"/>
                <w:szCs w:val="20"/>
              </w:rPr>
            </w:pPr>
          </w:p>
        </w:tc>
        <w:tc>
          <w:tcPr>
            <w:tcW w:w="2773" w:type="dxa"/>
            <w:gridSpan w:val="3"/>
            <w:tcBorders>
              <w:top w:val="nil"/>
              <w:right w:val="nil"/>
            </w:tcBorders>
            <w:shd w:val="clear" w:color="000000" w:fill="6B2976"/>
            <w:noWrap/>
            <w:vAlign w:val="center"/>
            <w:hideMark/>
          </w:tcPr>
          <w:p w14:paraId="7474F4F8" w14:textId="77777777" w:rsidR="00DA3375" w:rsidRPr="00ED27E8" w:rsidRDefault="00DA3375" w:rsidP="009C7082">
            <w:pPr>
              <w:spacing w:after="0" w:line="240" w:lineRule="auto"/>
              <w:jc w:val="center"/>
              <w:rPr>
                <w:rFonts w:eastAsia="Times New Roman" w:cs="Arial"/>
                <w:b/>
                <w:bCs/>
                <w:color w:val="FFFFFF"/>
                <w:sz w:val="20"/>
                <w:szCs w:val="20"/>
              </w:rPr>
            </w:pPr>
            <w:r w:rsidRPr="00ED27E8">
              <w:rPr>
                <w:rFonts w:eastAsia="Times New Roman" w:cs="Arial"/>
                <w:b/>
                <w:bCs/>
                <w:color w:val="FFFFFF"/>
                <w:sz w:val="20"/>
                <w:szCs w:val="20"/>
              </w:rPr>
              <w:t>Total</w:t>
            </w:r>
          </w:p>
        </w:tc>
        <w:tc>
          <w:tcPr>
            <w:tcW w:w="924" w:type="dxa"/>
            <w:tcBorders>
              <w:top w:val="nil"/>
              <w:left w:val="nil"/>
              <w:right w:val="nil"/>
            </w:tcBorders>
            <w:shd w:val="clear" w:color="000000" w:fill="6B2976"/>
            <w:noWrap/>
            <w:vAlign w:val="center"/>
            <w:hideMark/>
          </w:tcPr>
          <w:p w14:paraId="45E6B69E" w14:textId="77777777" w:rsidR="00DA3375" w:rsidRPr="00ED27E8" w:rsidRDefault="00DA3375" w:rsidP="009C7082">
            <w:pPr>
              <w:spacing w:after="0" w:line="240" w:lineRule="auto"/>
              <w:jc w:val="center"/>
              <w:rPr>
                <w:rFonts w:eastAsia="Times New Roman" w:cs="Arial"/>
                <w:b/>
                <w:bCs/>
                <w:color w:val="FFFFFF"/>
                <w:sz w:val="20"/>
                <w:szCs w:val="20"/>
              </w:rPr>
            </w:pPr>
            <w:r w:rsidRPr="00ED27E8">
              <w:rPr>
                <w:rFonts w:eastAsia="Times New Roman" w:cs="Arial"/>
                <w:b/>
                <w:bCs/>
                <w:color w:val="FFFFFF"/>
                <w:sz w:val="20"/>
                <w:szCs w:val="20"/>
              </w:rPr>
              <w:t>F</w:t>
            </w:r>
          </w:p>
        </w:tc>
        <w:tc>
          <w:tcPr>
            <w:tcW w:w="924" w:type="dxa"/>
            <w:tcBorders>
              <w:top w:val="nil"/>
              <w:left w:val="nil"/>
            </w:tcBorders>
            <w:shd w:val="clear" w:color="000000" w:fill="6B2976"/>
            <w:noWrap/>
            <w:vAlign w:val="center"/>
            <w:hideMark/>
          </w:tcPr>
          <w:p w14:paraId="3EF8B439" w14:textId="77777777" w:rsidR="00DA3375" w:rsidRPr="00ED27E8" w:rsidRDefault="00DA3375" w:rsidP="009C7082">
            <w:pPr>
              <w:spacing w:after="0" w:line="240" w:lineRule="auto"/>
              <w:jc w:val="center"/>
              <w:rPr>
                <w:rFonts w:eastAsia="Times New Roman" w:cs="Arial"/>
                <w:b/>
                <w:bCs/>
                <w:color w:val="FFFFFF"/>
                <w:sz w:val="20"/>
                <w:szCs w:val="20"/>
              </w:rPr>
            </w:pPr>
            <w:r w:rsidRPr="00ED27E8">
              <w:rPr>
                <w:rFonts w:eastAsia="Times New Roman" w:cs="Arial"/>
                <w:b/>
                <w:bCs/>
                <w:color w:val="FFFFFF"/>
                <w:sz w:val="20"/>
                <w:szCs w:val="20"/>
              </w:rPr>
              <w:t>M</w:t>
            </w:r>
          </w:p>
        </w:tc>
        <w:tc>
          <w:tcPr>
            <w:tcW w:w="924" w:type="dxa"/>
            <w:vMerge w:val="restart"/>
            <w:tcBorders>
              <w:top w:val="nil"/>
              <w:bottom w:val="nil"/>
              <w:right w:val="nil"/>
            </w:tcBorders>
            <w:shd w:val="clear" w:color="000000" w:fill="6B2976"/>
            <w:noWrap/>
            <w:vAlign w:val="center"/>
            <w:hideMark/>
          </w:tcPr>
          <w:p w14:paraId="6626CCF7" w14:textId="77777777" w:rsidR="00DA3375" w:rsidRPr="00ED27E8" w:rsidRDefault="00DA3375" w:rsidP="009C7082">
            <w:pPr>
              <w:spacing w:after="0" w:line="240" w:lineRule="auto"/>
              <w:jc w:val="center"/>
              <w:rPr>
                <w:rFonts w:eastAsia="Times New Roman" w:cs="Arial"/>
                <w:b/>
                <w:bCs/>
                <w:color w:val="FFFFFF"/>
                <w:sz w:val="20"/>
                <w:szCs w:val="20"/>
              </w:rPr>
            </w:pPr>
            <w:r w:rsidRPr="00ED27E8">
              <w:rPr>
                <w:rFonts w:eastAsia="Times New Roman" w:cs="Arial"/>
                <w:b/>
                <w:bCs/>
                <w:color w:val="FFFFFF"/>
                <w:sz w:val="20"/>
                <w:szCs w:val="20"/>
              </w:rPr>
              <w:t>Total</w:t>
            </w:r>
          </w:p>
        </w:tc>
      </w:tr>
      <w:tr w:rsidR="009F7877" w:rsidRPr="00355FA5" w14:paraId="437A2DE2" w14:textId="77777777" w:rsidTr="009C7082">
        <w:trPr>
          <w:trHeight w:val="312"/>
          <w:tblHeader/>
        </w:trPr>
        <w:tc>
          <w:tcPr>
            <w:tcW w:w="1107" w:type="dxa"/>
            <w:tcBorders>
              <w:left w:val="dotted" w:sz="4" w:space="0" w:color="auto"/>
            </w:tcBorders>
            <w:shd w:val="clear" w:color="000000" w:fill="6B2976"/>
            <w:vAlign w:val="center"/>
            <w:hideMark/>
          </w:tcPr>
          <w:p w14:paraId="7305C658" w14:textId="77777777" w:rsidR="00DA3375" w:rsidRPr="00ED27E8" w:rsidRDefault="009F7877" w:rsidP="009C7082">
            <w:pPr>
              <w:spacing w:after="0" w:line="240" w:lineRule="auto"/>
              <w:rPr>
                <w:rFonts w:eastAsia="Times New Roman" w:cs="Arial"/>
                <w:b/>
                <w:bCs/>
                <w:color w:val="FFFFFF"/>
                <w:sz w:val="20"/>
                <w:szCs w:val="20"/>
              </w:rPr>
            </w:pPr>
            <w:r w:rsidRPr="00ED27E8">
              <w:rPr>
                <w:rFonts w:eastAsia="Times New Roman" w:cs="Arial"/>
                <w:b/>
                <w:bCs/>
                <w:color w:val="FFFFFF"/>
                <w:sz w:val="20"/>
                <w:szCs w:val="20"/>
              </w:rPr>
              <w:t>Age</w:t>
            </w:r>
          </w:p>
        </w:tc>
        <w:tc>
          <w:tcPr>
            <w:tcW w:w="924" w:type="dxa"/>
            <w:tcBorders>
              <w:left w:val="nil"/>
              <w:bottom w:val="nil"/>
              <w:right w:val="nil"/>
            </w:tcBorders>
            <w:shd w:val="clear" w:color="000000" w:fill="6B2976"/>
            <w:noWrap/>
            <w:vAlign w:val="center"/>
            <w:hideMark/>
          </w:tcPr>
          <w:p w14:paraId="3F97024C" w14:textId="77777777" w:rsidR="00DA3375" w:rsidRPr="00ED27E8" w:rsidRDefault="00DA3375" w:rsidP="009C7082">
            <w:pPr>
              <w:spacing w:after="0" w:line="240" w:lineRule="auto"/>
              <w:jc w:val="right"/>
              <w:rPr>
                <w:rFonts w:eastAsia="Times New Roman" w:cs="Arial"/>
                <w:b/>
                <w:bCs/>
                <w:color w:val="FFFFFF"/>
                <w:sz w:val="20"/>
                <w:szCs w:val="20"/>
              </w:rPr>
            </w:pPr>
            <w:r w:rsidRPr="00ED27E8">
              <w:rPr>
                <w:rFonts w:eastAsia="Times New Roman" w:cs="Arial"/>
                <w:b/>
                <w:bCs/>
                <w:color w:val="FFFFFF"/>
                <w:sz w:val="20"/>
                <w:szCs w:val="20"/>
              </w:rPr>
              <w:t>High</w:t>
            </w:r>
          </w:p>
        </w:tc>
        <w:tc>
          <w:tcPr>
            <w:tcW w:w="924" w:type="dxa"/>
            <w:tcBorders>
              <w:left w:val="nil"/>
              <w:bottom w:val="nil"/>
              <w:right w:val="nil"/>
            </w:tcBorders>
            <w:shd w:val="clear" w:color="000000" w:fill="6B2976"/>
            <w:noWrap/>
            <w:vAlign w:val="center"/>
            <w:hideMark/>
          </w:tcPr>
          <w:p w14:paraId="1F3FFFD8" w14:textId="77777777" w:rsidR="00DA3375" w:rsidRPr="00ED27E8" w:rsidRDefault="00DA3375" w:rsidP="009C7082">
            <w:pPr>
              <w:spacing w:after="0" w:line="240" w:lineRule="auto"/>
              <w:jc w:val="right"/>
              <w:rPr>
                <w:rFonts w:eastAsia="Times New Roman" w:cs="Arial"/>
                <w:b/>
                <w:bCs/>
                <w:color w:val="FFFFFF"/>
                <w:sz w:val="20"/>
                <w:szCs w:val="20"/>
              </w:rPr>
            </w:pPr>
            <w:r w:rsidRPr="00ED27E8">
              <w:rPr>
                <w:rFonts w:eastAsia="Times New Roman" w:cs="Arial"/>
                <w:b/>
                <w:bCs/>
                <w:color w:val="FFFFFF"/>
                <w:sz w:val="20"/>
                <w:szCs w:val="20"/>
              </w:rPr>
              <w:t>Med</w:t>
            </w:r>
          </w:p>
        </w:tc>
        <w:tc>
          <w:tcPr>
            <w:tcW w:w="924" w:type="dxa"/>
            <w:tcBorders>
              <w:left w:val="nil"/>
              <w:right w:val="dotted" w:sz="4" w:space="0" w:color="auto"/>
            </w:tcBorders>
            <w:shd w:val="clear" w:color="000000" w:fill="6B2976"/>
            <w:noWrap/>
            <w:vAlign w:val="center"/>
            <w:hideMark/>
          </w:tcPr>
          <w:p w14:paraId="7546B9F6" w14:textId="77777777" w:rsidR="00DA3375" w:rsidRPr="00ED27E8" w:rsidRDefault="00DA3375" w:rsidP="009C7082">
            <w:pPr>
              <w:spacing w:after="0" w:line="240" w:lineRule="auto"/>
              <w:jc w:val="right"/>
              <w:rPr>
                <w:rFonts w:eastAsia="Times New Roman" w:cs="Arial"/>
                <w:b/>
                <w:bCs/>
                <w:color w:val="FFFFFF"/>
                <w:sz w:val="20"/>
                <w:szCs w:val="20"/>
              </w:rPr>
            </w:pPr>
            <w:r w:rsidRPr="00ED27E8">
              <w:rPr>
                <w:rFonts w:eastAsia="Times New Roman" w:cs="Arial"/>
                <w:b/>
                <w:bCs/>
                <w:color w:val="FFFFFF"/>
                <w:sz w:val="20"/>
                <w:szCs w:val="20"/>
              </w:rPr>
              <w:t>Low</w:t>
            </w:r>
          </w:p>
        </w:tc>
        <w:tc>
          <w:tcPr>
            <w:tcW w:w="924" w:type="dxa"/>
            <w:tcBorders>
              <w:left w:val="dotted" w:sz="4" w:space="0" w:color="auto"/>
              <w:bottom w:val="nil"/>
              <w:right w:val="nil"/>
            </w:tcBorders>
            <w:shd w:val="clear" w:color="000000" w:fill="6B2976"/>
            <w:noWrap/>
            <w:vAlign w:val="center"/>
            <w:hideMark/>
          </w:tcPr>
          <w:p w14:paraId="355910EC" w14:textId="77777777" w:rsidR="00DA3375" w:rsidRPr="00ED27E8" w:rsidRDefault="00DA3375" w:rsidP="009C7082">
            <w:pPr>
              <w:spacing w:after="0" w:line="240" w:lineRule="auto"/>
              <w:jc w:val="right"/>
              <w:rPr>
                <w:rFonts w:eastAsia="Times New Roman" w:cs="Arial"/>
                <w:b/>
                <w:bCs/>
                <w:color w:val="FFFFFF"/>
                <w:sz w:val="20"/>
                <w:szCs w:val="20"/>
              </w:rPr>
            </w:pPr>
            <w:r w:rsidRPr="00ED27E8">
              <w:rPr>
                <w:rFonts w:eastAsia="Times New Roman" w:cs="Arial"/>
                <w:b/>
                <w:bCs/>
                <w:color w:val="FFFFFF"/>
                <w:sz w:val="20"/>
                <w:szCs w:val="20"/>
              </w:rPr>
              <w:t>Total</w:t>
            </w:r>
          </w:p>
        </w:tc>
        <w:tc>
          <w:tcPr>
            <w:tcW w:w="924" w:type="dxa"/>
            <w:tcBorders>
              <w:left w:val="nil"/>
            </w:tcBorders>
            <w:shd w:val="clear" w:color="000000" w:fill="6B2976"/>
            <w:noWrap/>
            <w:vAlign w:val="center"/>
            <w:hideMark/>
          </w:tcPr>
          <w:p w14:paraId="34EAFFA2" w14:textId="77777777" w:rsidR="00DA3375" w:rsidRPr="00ED27E8" w:rsidRDefault="00DA3375" w:rsidP="009C7082">
            <w:pPr>
              <w:spacing w:after="0" w:line="240" w:lineRule="auto"/>
              <w:jc w:val="right"/>
              <w:rPr>
                <w:rFonts w:eastAsia="Times New Roman" w:cs="Arial"/>
                <w:b/>
                <w:bCs/>
                <w:color w:val="FFFFFF"/>
                <w:sz w:val="20"/>
                <w:szCs w:val="20"/>
              </w:rPr>
            </w:pPr>
            <w:r w:rsidRPr="00ED27E8">
              <w:rPr>
                <w:rFonts w:eastAsia="Times New Roman" w:cs="Arial"/>
                <w:b/>
                <w:bCs/>
                <w:color w:val="FFFFFF"/>
                <w:sz w:val="20"/>
                <w:szCs w:val="20"/>
              </w:rPr>
              <w:t>Total</w:t>
            </w:r>
          </w:p>
        </w:tc>
        <w:tc>
          <w:tcPr>
            <w:tcW w:w="924" w:type="dxa"/>
            <w:vMerge/>
            <w:tcBorders>
              <w:top w:val="nil"/>
              <w:bottom w:val="nil"/>
              <w:right w:val="nil"/>
            </w:tcBorders>
            <w:vAlign w:val="center"/>
            <w:hideMark/>
          </w:tcPr>
          <w:p w14:paraId="365DB1C9" w14:textId="77777777" w:rsidR="00DA3375" w:rsidRPr="00ED27E8" w:rsidRDefault="00DA3375" w:rsidP="009C7082">
            <w:pPr>
              <w:spacing w:after="0" w:line="240" w:lineRule="auto"/>
              <w:jc w:val="right"/>
              <w:rPr>
                <w:rFonts w:eastAsia="Times New Roman" w:cs="Arial"/>
                <w:b/>
                <w:bCs/>
                <w:color w:val="FFFFFF"/>
                <w:sz w:val="20"/>
                <w:szCs w:val="20"/>
              </w:rPr>
            </w:pPr>
          </w:p>
        </w:tc>
      </w:tr>
      <w:tr w:rsidR="00DA3375" w:rsidRPr="00355FA5" w14:paraId="0591246D" w14:textId="77777777" w:rsidTr="009C7082">
        <w:trPr>
          <w:trHeight w:val="312"/>
        </w:trPr>
        <w:tc>
          <w:tcPr>
            <w:tcW w:w="1107" w:type="dxa"/>
            <w:tcBorders>
              <w:top w:val="nil"/>
              <w:left w:val="nil"/>
              <w:bottom w:val="nil"/>
              <w:right w:val="dotted" w:sz="4" w:space="0" w:color="auto"/>
            </w:tcBorders>
            <w:shd w:val="clear" w:color="auto" w:fill="auto"/>
            <w:noWrap/>
            <w:vAlign w:val="center"/>
            <w:hideMark/>
          </w:tcPr>
          <w:p w14:paraId="413F03FA" w14:textId="77777777" w:rsidR="00DA3375" w:rsidRPr="00ED27E8" w:rsidRDefault="00DA3375" w:rsidP="009C7082">
            <w:pPr>
              <w:spacing w:after="0" w:line="240" w:lineRule="auto"/>
              <w:rPr>
                <w:rFonts w:eastAsia="Times New Roman" w:cs="Arial"/>
                <w:color w:val="000000"/>
                <w:sz w:val="20"/>
                <w:szCs w:val="20"/>
              </w:rPr>
            </w:pPr>
            <w:r w:rsidRPr="00ED27E8">
              <w:rPr>
                <w:rFonts w:eastAsia="Times New Roman" w:cs="Arial"/>
                <w:color w:val="000000"/>
                <w:sz w:val="20"/>
                <w:szCs w:val="20"/>
              </w:rPr>
              <w:t>0 to 6</w:t>
            </w:r>
          </w:p>
        </w:tc>
        <w:tc>
          <w:tcPr>
            <w:tcW w:w="924" w:type="dxa"/>
            <w:tcBorders>
              <w:top w:val="nil"/>
              <w:left w:val="dotted" w:sz="4" w:space="0" w:color="auto"/>
              <w:bottom w:val="nil"/>
              <w:right w:val="nil"/>
            </w:tcBorders>
            <w:shd w:val="clear" w:color="auto" w:fill="auto"/>
            <w:noWrap/>
            <w:vAlign w:val="center"/>
            <w:hideMark/>
          </w:tcPr>
          <w:p w14:paraId="29887599"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5.08%</w:t>
            </w:r>
          </w:p>
        </w:tc>
        <w:tc>
          <w:tcPr>
            <w:tcW w:w="924" w:type="dxa"/>
            <w:tcBorders>
              <w:top w:val="nil"/>
              <w:left w:val="nil"/>
              <w:bottom w:val="nil"/>
              <w:right w:val="nil"/>
            </w:tcBorders>
            <w:shd w:val="clear" w:color="auto" w:fill="auto"/>
            <w:noWrap/>
            <w:vAlign w:val="center"/>
            <w:hideMark/>
          </w:tcPr>
          <w:p w14:paraId="73143802"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0.64%</w:t>
            </w:r>
          </w:p>
        </w:tc>
        <w:tc>
          <w:tcPr>
            <w:tcW w:w="924" w:type="dxa"/>
            <w:tcBorders>
              <w:top w:val="nil"/>
              <w:left w:val="nil"/>
              <w:bottom w:val="nil"/>
              <w:right w:val="dotted" w:sz="4" w:space="0" w:color="auto"/>
            </w:tcBorders>
            <w:shd w:val="clear" w:color="auto" w:fill="auto"/>
            <w:noWrap/>
            <w:vAlign w:val="center"/>
            <w:hideMark/>
          </w:tcPr>
          <w:p w14:paraId="69B5A53A"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0.38%</w:t>
            </w:r>
          </w:p>
        </w:tc>
        <w:tc>
          <w:tcPr>
            <w:tcW w:w="924" w:type="dxa"/>
            <w:tcBorders>
              <w:top w:val="nil"/>
              <w:left w:val="dotted" w:sz="4" w:space="0" w:color="auto"/>
              <w:bottom w:val="nil"/>
              <w:right w:val="nil"/>
            </w:tcBorders>
            <w:shd w:val="clear" w:color="auto" w:fill="auto"/>
            <w:noWrap/>
            <w:vAlign w:val="center"/>
            <w:hideMark/>
          </w:tcPr>
          <w:p w14:paraId="78908FB0"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3.10%</w:t>
            </w:r>
          </w:p>
        </w:tc>
        <w:tc>
          <w:tcPr>
            <w:tcW w:w="924" w:type="dxa"/>
            <w:tcBorders>
              <w:top w:val="nil"/>
              <w:left w:val="nil"/>
              <w:bottom w:val="nil"/>
              <w:right w:val="dotted" w:sz="4" w:space="0" w:color="auto"/>
            </w:tcBorders>
            <w:shd w:val="clear" w:color="auto" w:fill="auto"/>
            <w:noWrap/>
            <w:vAlign w:val="center"/>
            <w:hideMark/>
          </w:tcPr>
          <w:p w14:paraId="5CE5492C"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3.27%</w:t>
            </w:r>
          </w:p>
        </w:tc>
        <w:tc>
          <w:tcPr>
            <w:tcW w:w="924" w:type="dxa"/>
            <w:tcBorders>
              <w:top w:val="nil"/>
              <w:left w:val="dotted" w:sz="4" w:space="0" w:color="auto"/>
              <w:bottom w:val="nil"/>
              <w:right w:val="nil"/>
            </w:tcBorders>
            <w:shd w:val="clear" w:color="auto" w:fill="auto"/>
            <w:noWrap/>
            <w:vAlign w:val="center"/>
            <w:hideMark/>
          </w:tcPr>
          <w:p w14:paraId="63350F19"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3.21%</w:t>
            </w:r>
          </w:p>
        </w:tc>
      </w:tr>
      <w:tr w:rsidR="00DA3375" w:rsidRPr="00355FA5" w14:paraId="2807EBBD" w14:textId="77777777" w:rsidTr="009C7082">
        <w:trPr>
          <w:trHeight w:val="312"/>
        </w:trPr>
        <w:tc>
          <w:tcPr>
            <w:tcW w:w="1107" w:type="dxa"/>
            <w:tcBorders>
              <w:top w:val="nil"/>
              <w:left w:val="nil"/>
              <w:bottom w:val="nil"/>
              <w:right w:val="dotted" w:sz="4" w:space="0" w:color="auto"/>
            </w:tcBorders>
            <w:shd w:val="clear" w:color="000000" w:fill="BFBFBF"/>
            <w:noWrap/>
            <w:vAlign w:val="center"/>
            <w:hideMark/>
          </w:tcPr>
          <w:p w14:paraId="2C2F241E" w14:textId="77777777" w:rsidR="00DA3375" w:rsidRPr="00ED27E8" w:rsidRDefault="00DA3375" w:rsidP="009C7082">
            <w:pPr>
              <w:spacing w:after="0" w:line="240" w:lineRule="auto"/>
              <w:rPr>
                <w:rFonts w:eastAsia="Times New Roman" w:cs="Arial"/>
                <w:color w:val="000000"/>
                <w:sz w:val="20"/>
                <w:szCs w:val="20"/>
              </w:rPr>
            </w:pPr>
            <w:r w:rsidRPr="00ED27E8">
              <w:rPr>
                <w:rFonts w:eastAsia="Times New Roman" w:cs="Arial"/>
                <w:color w:val="000000"/>
                <w:sz w:val="20"/>
                <w:szCs w:val="20"/>
              </w:rPr>
              <w:t>7 to 14</w:t>
            </w:r>
          </w:p>
        </w:tc>
        <w:tc>
          <w:tcPr>
            <w:tcW w:w="924" w:type="dxa"/>
            <w:tcBorders>
              <w:top w:val="nil"/>
              <w:left w:val="dotted" w:sz="4" w:space="0" w:color="auto"/>
              <w:bottom w:val="nil"/>
              <w:right w:val="nil"/>
            </w:tcBorders>
            <w:shd w:val="clear" w:color="000000" w:fill="BFBFBF"/>
            <w:noWrap/>
            <w:vAlign w:val="center"/>
            <w:hideMark/>
          </w:tcPr>
          <w:p w14:paraId="2789676B"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6.10%</w:t>
            </w:r>
          </w:p>
        </w:tc>
        <w:tc>
          <w:tcPr>
            <w:tcW w:w="924" w:type="dxa"/>
            <w:tcBorders>
              <w:top w:val="nil"/>
              <w:left w:val="nil"/>
              <w:bottom w:val="nil"/>
              <w:right w:val="nil"/>
            </w:tcBorders>
            <w:shd w:val="clear" w:color="000000" w:fill="BFBFBF"/>
            <w:noWrap/>
            <w:vAlign w:val="center"/>
            <w:hideMark/>
          </w:tcPr>
          <w:p w14:paraId="5D514983"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0.46%</w:t>
            </w:r>
          </w:p>
        </w:tc>
        <w:tc>
          <w:tcPr>
            <w:tcW w:w="924" w:type="dxa"/>
            <w:tcBorders>
              <w:top w:val="nil"/>
              <w:left w:val="nil"/>
              <w:bottom w:val="nil"/>
              <w:right w:val="dotted" w:sz="4" w:space="0" w:color="auto"/>
            </w:tcBorders>
            <w:shd w:val="clear" w:color="000000" w:fill="BFBFBF"/>
            <w:noWrap/>
            <w:vAlign w:val="center"/>
            <w:hideMark/>
          </w:tcPr>
          <w:p w14:paraId="127E1809"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0.31%</w:t>
            </w:r>
          </w:p>
        </w:tc>
        <w:tc>
          <w:tcPr>
            <w:tcW w:w="924" w:type="dxa"/>
            <w:tcBorders>
              <w:top w:val="nil"/>
              <w:left w:val="dotted" w:sz="4" w:space="0" w:color="auto"/>
              <w:bottom w:val="nil"/>
              <w:right w:val="nil"/>
            </w:tcBorders>
            <w:shd w:val="clear" w:color="000000" w:fill="BFBFBF"/>
            <w:noWrap/>
            <w:vAlign w:val="center"/>
            <w:hideMark/>
          </w:tcPr>
          <w:p w14:paraId="0A6CC4E6"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2.07%</w:t>
            </w:r>
          </w:p>
        </w:tc>
        <w:tc>
          <w:tcPr>
            <w:tcW w:w="924" w:type="dxa"/>
            <w:tcBorders>
              <w:top w:val="nil"/>
              <w:left w:val="nil"/>
              <w:bottom w:val="nil"/>
              <w:right w:val="dotted" w:sz="4" w:space="0" w:color="auto"/>
            </w:tcBorders>
            <w:shd w:val="clear" w:color="000000" w:fill="BFBFBF"/>
            <w:noWrap/>
            <w:vAlign w:val="center"/>
            <w:hideMark/>
          </w:tcPr>
          <w:p w14:paraId="09CA64CE"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2.30%</w:t>
            </w:r>
          </w:p>
        </w:tc>
        <w:tc>
          <w:tcPr>
            <w:tcW w:w="924" w:type="dxa"/>
            <w:tcBorders>
              <w:top w:val="nil"/>
              <w:left w:val="dotted" w:sz="4" w:space="0" w:color="auto"/>
              <w:bottom w:val="nil"/>
              <w:right w:val="nil"/>
            </w:tcBorders>
            <w:shd w:val="clear" w:color="000000" w:fill="BFBFBF"/>
            <w:noWrap/>
            <w:vAlign w:val="center"/>
            <w:hideMark/>
          </w:tcPr>
          <w:p w14:paraId="3489DD9F"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2.23%</w:t>
            </w:r>
          </w:p>
        </w:tc>
      </w:tr>
      <w:tr w:rsidR="00DA3375" w:rsidRPr="00355FA5" w14:paraId="6EA902BC" w14:textId="77777777" w:rsidTr="009C7082">
        <w:trPr>
          <w:trHeight w:val="312"/>
        </w:trPr>
        <w:tc>
          <w:tcPr>
            <w:tcW w:w="1107" w:type="dxa"/>
            <w:tcBorders>
              <w:top w:val="nil"/>
              <w:left w:val="nil"/>
              <w:bottom w:val="nil"/>
              <w:right w:val="dotted" w:sz="4" w:space="0" w:color="auto"/>
            </w:tcBorders>
            <w:shd w:val="clear" w:color="auto" w:fill="auto"/>
            <w:noWrap/>
            <w:vAlign w:val="center"/>
            <w:hideMark/>
          </w:tcPr>
          <w:p w14:paraId="52EB765E" w14:textId="77777777" w:rsidR="00DA3375" w:rsidRPr="00ED27E8" w:rsidRDefault="00DA3375" w:rsidP="009C7082">
            <w:pPr>
              <w:spacing w:after="0" w:line="240" w:lineRule="auto"/>
              <w:rPr>
                <w:rFonts w:eastAsia="Times New Roman" w:cs="Arial"/>
                <w:color w:val="000000"/>
                <w:sz w:val="20"/>
                <w:szCs w:val="20"/>
              </w:rPr>
            </w:pPr>
            <w:r w:rsidRPr="00ED27E8">
              <w:rPr>
                <w:rFonts w:eastAsia="Times New Roman" w:cs="Arial"/>
                <w:color w:val="000000"/>
                <w:sz w:val="20"/>
                <w:szCs w:val="20"/>
              </w:rPr>
              <w:t>15 to 18</w:t>
            </w:r>
          </w:p>
        </w:tc>
        <w:tc>
          <w:tcPr>
            <w:tcW w:w="924" w:type="dxa"/>
            <w:tcBorders>
              <w:top w:val="nil"/>
              <w:left w:val="dotted" w:sz="4" w:space="0" w:color="auto"/>
              <w:bottom w:val="nil"/>
              <w:right w:val="nil"/>
            </w:tcBorders>
            <w:shd w:val="clear" w:color="auto" w:fill="auto"/>
            <w:noWrap/>
            <w:vAlign w:val="center"/>
            <w:hideMark/>
          </w:tcPr>
          <w:p w14:paraId="2E28E3A5"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2.01%</w:t>
            </w:r>
          </w:p>
        </w:tc>
        <w:tc>
          <w:tcPr>
            <w:tcW w:w="924" w:type="dxa"/>
            <w:tcBorders>
              <w:top w:val="nil"/>
              <w:left w:val="nil"/>
              <w:bottom w:val="nil"/>
              <w:right w:val="nil"/>
            </w:tcBorders>
            <w:shd w:val="clear" w:color="auto" w:fill="auto"/>
            <w:noWrap/>
            <w:vAlign w:val="center"/>
            <w:hideMark/>
          </w:tcPr>
          <w:p w14:paraId="71B1EF34"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0.50%</w:t>
            </w:r>
          </w:p>
        </w:tc>
        <w:tc>
          <w:tcPr>
            <w:tcW w:w="924" w:type="dxa"/>
            <w:tcBorders>
              <w:top w:val="nil"/>
              <w:left w:val="nil"/>
              <w:bottom w:val="nil"/>
              <w:right w:val="dotted" w:sz="4" w:space="0" w:color="auto"/>
            </w:tcBorders>
            <w:shd w:val="clear" w:color="auto" w:fill="auto"/>
            <w:noWrap/>
            <w:vAlign w:val="center"/>
            <w:hideMark/>
          </w:tcPr>
          <w:p w14:paraId="52329BEB"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0.17%</w:t>
            </w:r>
          </w:p>
        </w:tc>
        <w:tc>
          <w:tcPr>
            <w:tcW w:w="924" w:type="dxa"/>
            <w:tcBorders>
              <w:top w:val="nil"/>
              <w:left w:val="dotted" w:sz="4" w:space="0" w:color="auto"/>
              <w:bottom w:val="nil"/>
              <w:right w:val="nil"/>
            </w:tcBorders>
            <w:shd w:val="clear" w:color="auto" w:fill="auto"/>
            <w:noWrap/>
            <w:vAlign w:val="center"/>
            <w:hideMark/>
          </w:tcPr>
          <w:p w14:paraId="7A94744A"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0.69%</w:t>
            </w:r>
          </w:p>
        </w:tc>
        <w:tc>
          <w:tcPr>
            <w:tcW w:w="924" w:type="dxa"/>
            <w:tcBorders>
              <w:top w:val="nil"/>
              <w:left w:val="nil"/>
              <w:bottom w:val="nil"/>
              <w:right w:val="dotted" w:sz="4" w:space="0" w:color="auto"/>
            </w:tcBorders>
            <w:shd w:val="clear" w:color="auto" w:fill="auto"/>
            <w:noWrap/>
            <w:vAlign w:val="center"/>
            <w:hideMark/>
          </w:tcPr>
          <w:p w14:paraId="2C3E26A2"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0.73%</w:t>
            </w:r>
          </w:p>
        </w:tc>
        <w:tc>
          <w:tcPr>
            <w:tcW w:w="924" w:type="dxa"/>
            <w:tcBorders>
              <w:top w:val="nil"/>
              <w:left w:val="dotted" w:sz="4" w:space="0" w:color="auto"/>
              <w:bottom w:val="nil"/>
              <w:right w:val="nil"/>
            </w:tcBorders>
            <w:shd w:val="clear" w:color="auto" w:fill="auto"/>
            <w:noWrap/>
            <w:vAlign w:val="center"/>
            <w:hideMark/>
          </w:tcPr>
          <w:p w14:paraId="675CD01E"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0.72%</w:t>
            </w:r>
          </w:p>
        </w:tc>
      </w:tr>
      <w:tr w:rsidR="00DA3375" w:rsidRPr="00355FA5" w14:paraId="5859D74A" w14:textId="77777777" w:rsidTr="009C7082">
        <w:trPr>
          <w:trHeight w:val="312"/>
        </w:trPr>
        <w:tc>
          <w:tcPr>
            <w:tcW w:w="1107" w:type="dxa"/>
            <w:tcBorders>
              <w:top w:val="nil"/>
              <w:left w:val="nil"/>
              <w:bottom w:val="nil"/>
              <w:right w:val="dotted" w:sz="4" w:space="0" w:color="auto"/>
            </w:tcBorders>
            <w:shd w:val="clear" w:color="000000" w:fill="BFBFBF"/>
            <w:noWrap/>
            <w:vAlign w:val="center"/>
            <w:hideMark/>
          </w:tcPr>
          <w:p w14:paraId="64DADF74" w14:textId="77777777" w:rsidR="00DA3375" w:rsidRPr="00ED27E8" w:rsidRDefault="00DA3375" w:rsidP="009C7082">
            <w:pPr>
              <w:spacing w:after="0" w:line="240" w:lineRule="auto"/>
              <w:rPr>
                <w:rFonts w:eastAsia="Times New Roman" w:cs="Arial"/>
                <w:color w:val="000000"/>
                <w:sz w:val="20"/>
                <w:szCs w:val="20"/>
              </w:rPr>
            </w:pPr>
            <w:r w:rsidRPr="00ED27E8">
              <w:rPr>
                <w:rFonts w:eastAsia="Times New Roman" w:cs="Arial"/>
                <w:color w:val="000000"/>
                <w:sz w:val="20"/>
                <w:szCs w:val="20"/>
              </w:rPr>
              <w:t>19 to 24</w:t>
            </w:r>
          </w:p>
        </w:tc>
        <w:tc>
          <w:tcPr>
            <w:tcW w:w="924" w:type="dxa"/>
            <w:tcBorders>
              <w:top w:val="nil"/>
              <w:left w:val="dotted" w:sz="4" w:space="0" w:color="auto"/>
              <w:bottom w:val="nil"/>
              <w:right w:val="nil"/>
            </w:tcBorders>
            <w:shd w:val="clear" w:color="000000" w:fill="BFBFBF"/>
            <w:noWrap/>
            <w:vAlign w:val="center"/>
            <w:hideMark/>
          </w:tcPr>
          <w:p w14:paraId="3BBB5A67"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1.97%</w:t>
            </w:r>
          </w:p>
        </w:tc>
        <w:tc>
          <w:tcPr>
            <w:tcW w:w="924" w:type="dxa"/>
            <w:tcBorders>
              <w:top w:val="nil"/>
              <w:left w:val="nil"/>
              <w:bottom w:val="nil"/>
              <w:right w:val="nil"/>
            </w:tcBorders>
            <w:shd w:val="clear" w:color="000000" w:fill="BFBFBF"/>
            <w:noWrap/>
            <w:vAlign w:val="center"/>
            <w:hideMark/>
          </w:tcPr>
          <w:p w14:paraId="1D880586"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0.59%</w:t>
            </w:r>
          </w:p>
        </w:tc>
        <w:tc>
          <w:tcPr>
            <w:tcW w:w="924" w:type="dxa"/>
            <w:tcBorders>
              <w:top w:val="nil"/>
              <w:left w:val="nil"/>
              <w:bottom w:val="nil"/>
              <w:right w:val="dotted" w:sz="4" w:space="0" w:color="auto"/>
            </w:tcBorders>
            <w:shd w:val="clear" w:color="000000" w:fill="BFBFBF"/>
            <w:noWrap/>
            <w:vAlign w:val="center"/>
            <w:hideMark/>
          </w:tcPr>
          <w:p w14:paraId="0648B2EF"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0.13%</w:t>
            </w:r>
          </w:p>
        </w:tc>
        <w:tc>
          <w:tcPr>
            <w:tcW w:w="924" w:type="dxa"/>
            <w:tcBorders>
              <w:top w:val="nil"/>
              <w:left w:val="dotted" w:sz="4" w:space="0" w:color="auto"/>
              <w:bottom w:val="nil"/>
              <w:right w:val="nil"/>
            </w:tcBorders>
            <w:shd w:val="clear" w:color="000000" w:fill="BFBFBF"/>
            <w:noWrap/>
            <w:vAlign w:val="center"/>
            <w:hideMark/>
          </w:tcPr>
          <w:p w14:paraId="2E0538B7"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0.66%</w:t>
            </w:r>
          </w:p>
        </w:tc>
        <w:tc>
          <w:tcPr>
            <w:tcW w:w="924" w:type="dxa"/>
            <w:tcBorders>
              <w:top w:val="nil"/>
              <w:left w:val="nil"/>
              <w:bottom w:val="nil"/>
              <w:right w:val="dotted" w:sz="4" w:space="0" w:color="auto"/>
            </w:tcBorders>
            <w:shd w:val="clear" w:color="000000" w:fill="BFBFBF"/>
            <w:noWrap/>
            <w:vAlign w:val="center"/>
            <w:hideMark/>
          </w:tcPr>
          <w:p w14:paraId="195D9FAC"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0.72%</w:t>
            </w:r>
          </w:p>
        </w:tc>
        <w:tc>
          <w:tcPr>
            <w:tcW w:w="924" w:type="dxa"/>
            <w:tcBorders>
              <w:top w:val="nil"/>
              <w:left w:val="dotted" w:sz="4" w:space="0" w:color="auto"/>
              <w:bottom w:val="nil"/>
              <w:right w:val="nil"/>
            </w:tcBorders>
            <w:shd w:val="clear" w:color="000000" w:fill="BFBFBF"/>
            <w:noWrap/>
            <w:vAlign w:val="center"/>
            <w:hideMark/>
          </w:tcPr>
          <w:p w14:paraId="37C33F22"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0.70%</w:t>
            </w:r>
          </w:p>
        </w:tc>
      </w:tr>
      <w:tr w:rsidR="00DA3375" w:rsidRPr="00355FA5" w14:paraId="5E2A265C" w14:textId="77777777" w:rsidTr="009C7082">
        <w:trPr>
          <w:trHeight w:val="312"/>
        </w:trPr>
        <w:tc>
          <w:tcPr>
            <w:tcW w:w="1107" w:type="dxa"/>
            <w:tcBorders>
              <w:top w:val="nil"/>
              <w:left w:val="nil"/>
              <w:bottom w:val="nil"/>
              <w:right w:val="dotted" w:sz="4" w:space="0" w:color="auto"/>
            </w:tcBorders>
            <w:shd w:val="clear" w:color="auto" w:fill="auto"/>
            <w:noWrap/>
            <w:vAlign w:val="center"/>
            <w:hideMark/>
          </w:tcPr>
          <w:p w14:paraId="09A506DB" w14:textId="77777777" w:rsidR="00DA3375" w:rsidRPr="00ED27E8" w:rsidRDefault="00DA3375" w:rsidP="009C7082">
            <w:pPr>
              <w:spacing w:after="0" w:line="240" w:lineRule="auto"/>
              <w:rPr>
                <w:rFonts w:eastAsia="Times New Roman" w:cs="Arial"/>
                <w:color w:val="000000"/>
                <w:sz w:val="20"/>
                <w:szCs w:val="20"/>
              </w:rPr>
            </w:pPr>
            <w:r w:rsidRPr="00ED27E8">
              <w:rPr>
                <w:rFonts w:eastAsia="Times New Roman" w:cs="Arial"/>
                <w:color w:val="000000"/>
                <w:sz w:val="20"/>
                <w:szCs w:val="20"/>
              </w:rPr>
              <w:t>25 to 34</w:t>
            </w:r>
          </w:p>
        </w:tc>
        <w:tc>
          <w:tcPr>
            <w:tcW w:w="924" w:type="dxa"/>
            <w:tcBorders>
              <w:top w:val="nil"/>
              <w:left w:val="dotted" w:sz="4" w:space="0" w:color="auto"/>
              <w:bottom w:val="nil"/>
              <w:right w:val="nil"/>
            </w:tcBorders>
            <w:shd w:val="clear" w:color="auto" w:fill="auto"/>
            <w:noWrap/>
            <w:vAlign w:val="center"/>
            <w:hideMark/>
          </w:tcPr>
          <w:p w14:paraId="1B04B24A"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1.52%</w:t>
            </w:r>
          </w:p>
        </w:tc>
        <w:tc>
          <w:tcPr>
            <w:tcW w:w="924" w:type="dxa"/>
            <w:tcBorders>
              <w:top w:val="nil"/>
              <w:left w:val="nil"/>
              <w:bottom w:val="nil"/>
              <w:right w:val="nil"/>
            </w:tcBorders>
            <w:shd w:val="clear" w:color="auto" w:fill="auto"/>
            <w:noWrap/>
            <w:vAlign w:val="center"/>
            <w:hideMark/>
          </w:tcPr>
          <w:p w14:paraId="1E38733D"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0.35%</w:t>
            </w:r>
          </w:p>
        </w:tc>
        <w:tc>
          <w:tcPr>
            <w:tcW w:w="924" w:type="dxa"/>
            <w:tcBorders>
              <w:top w:val="nil"/>
              <w:left w:val="nil"/>
              <w:bottom w:val="nil"/>
              <w:right w:val="dotted" w:sz="4" w:space="0" w:color="auto"/>
            </w:tcBorders>
            <w:shd w:val="clear" w:color="auto" w:fill="auto"/>
            <w:noWrap/>
            <w:vAlign w:val="center"/>
            <w:hideMark/>
          </w:tcPr>
          <w:p w14:paraId="76A9A108"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0.14%</w:t>
            </w:r>
          </w:p>
        </w:tc>
        <w:tc>
          <w:tcPr>
            <w:tcW w:w="924" w:type="dxa"/>
            <w:tcBorders>
              <w:top w:val="nil"/>
              <w:left w:val="dotted" w:sz="4" w:space="0" w:color="auto"/>
              <w:bottom w:val="nil"/>
              <w:right w:val="nil"/>
            </w:tcBorders>
            <w:shd w:val="clear" w:color="auto" w:fill="auto"/>
            <w:noWrap/>
            <w:vAlign w:val="center"/>
            <w:hideMark/>
          </w:tcPr>
          <w:p w14:paraId="6493A0BF"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0.40%</w:t>
            </w:r>
          </w:p>
        </w:tc>
        <w:tc>
          <w:tcPr>
            <w:tcW w:w="924" w:type="dxa"/>
            <w:tcBorders>
              <w:top w:val="nil"/>
              <w:left w:val="nil"/>
              <w:bottom w:val="nil"/>
              <w:right w:val="dotted" w:sz="4" w:space="0" w:color="auto"/>
            </w:tcBorders>
            <w:shd w:val="clear" w:color="auto" w:fill="auto"/>
            <w:noWrap/>
            <w:vAlign w:val="center"/>
            <w:hideMark/>
          </w:tcPr>
          <w:p w14:paraId="0E8AAE82"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0.45%</w:t>
            </w:r>
          </w:p>
        </w:tc>
        <w:tc>
          <w:tcPr>
            <w:tcW w:w="924" w:type="dxa"/>
            <w:tcBorders>
              <w:top w:val="nil"/>
              <w:left w:val="dotted" w:sz="4" w:space="0" w:color="auto"/>
              <w:bottom w:val="nil"/>
              <w:right w:val="nil"/>
            </w:tcBorders>
            <w:shd w:val="clear" w:color="auto" w:fill="auto"/>
            <w:noWrap/>
            <w:vAlign w:val="center"/>
            <w:hideMark/>
          </w:tcPr>
          <w:p w14:paraId="79557303"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0.43%</w:t>
            </w:r>
          </w:p>
        </w:tc>
      </w:tr>
      <w:tr w:rsidR="00DA3375" w:rsidRPr="00355FA5" w14:paraId="1B649C4C" w14:textId="77777777" w:rsidTr="009C7082">
        <w:trPr>
          <w:trHeight w:val="312"/>
        </w:trPr>
        <w:tc>
          <w:tcPr>
            <w:tcW w:w="1107" w:type="dxa"/>
            <w:tcBorders>
              <w:top w:val="nil"/>
              <w:left w:val="nil"/>
              <w:bottom w:val="nil"/>
              <w:right w:val="dotted" w:sz="4" w:space="0" w:color="auto"/>
            </w:tcBorders>
            <w:shd w:val="clear" w:color="000000" w:fill="BFBFBF"/>
            <w:noWrap/>
            <w:vAlign w:val="center"/>
            <w:hideMark/>
          </w:tcPr>
          <w:p w14:paraId="120E8366" w14:textId="77777777" w:rsidR="00DA3375" w:rsidRPr="00ED27E8" w:rsidRDefault="00DA3375" w:rsidP="009C7082">
            <w:pPr>
              <w:spacing w:after="0" w:line="240" w:lineRule="auto"/>
              <w:rPr>
                <w:rFonts w:eastAsia="Times New Roman" w:cs="Arial"/>
                <w:color w:val="000000"/>
                <w:sz w:val="20"/>
                <w:szCs w:val="20"/>
              </w:rPr>
            </w:pPr>
            <w:r w:rsidRPr="00ED27E8">
              <w:rPr>
                <w:rFonts w:eastAsia="Times New Roman" w:cs="Arial"/>
                <w:color w:val="000000"/>
                <w:sz w:val="20"/>
                <w:szCs w:val="20"/>
              </w:rPr>
              <w:t>35 to 44</w:t>
            </w:r>
          </w:p>
        </w:tc>
        <w:tc>
          <w:tcPr>
            <w:tcW w:w="924" w:type="dxa"/>
            <w:tcBorders>
              <w:top w:val="nil"/>
              <w:left w:val="dotted" w:sz="4" w:space="0" w:color="auto"/>
              <w:bottom w:val="nil"/>
              <w:right w:val="nil"/>
            </w:tcBorders>
            <w:shd w:val="clear" w:color="000000" w:fill="BFBFBF"/>
            <w:noWrap/>
            <w:vAlign w:val="center"/>
            <w:hideMark/>
          </w:tcPr>
          <w:p w14:paraId="51D389B7"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1.56%</w:t>
            </w:r>
          </w:p>
        </w:tc>
        <w:tc>
          <w:tcPr>
            <w:tcW w:w="924" w:type="dxa"/>
            <w:tcBorders>
              <w:top w:val="nil"/>
              <w:left w:val="nil"/>
              <w:bottom w:val="nil"/>
              <w:right w:val="nil"/>
            </w:tcBorders>
            <w:shd w:val="clear" w:color="000000" w:fill="BFBFBF"/>
            <w:noWrap/>
            <w:vAlign w:val="center"/>
            <w:hideMark/>
          </w:tcPr>
          <w:p w14:paraId="3B570B05"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0.47%</w:t>
            </w:r>
          </w:p>
        </w:tc>
        <w:tc>
          <w:tcPr>
            <w:tcW w:w="924" w:type="dxa"/>
            <w:tcBorders>
              <w:top w:val="nil"/>
              <w:left w:val="nil"/>
              <w:bottom w:val="nil"/>
              <w:right w:val="dotted" w:sz="4" w:space="0" w:color="auto"/>
            </w:tcBorders>
            <w:shd w:val="clear" w:color="000000" w:fill="BFBFBF"/>
            <w:noWrap/>
            <w:vAlign w:val="center"/>
            <w:hideMark/>
          </w:tcPr>
          <w:p w14:paraId="154E9AFB"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0.19%</w:t>
            </w:r>
          </w:p>
        </w:tc>
        <w:tc>
          <w:tcPr>
            <w:tcW w:w="924" w:type="dxa"/>
            <w:tcBorders>
              <w:top w:val="nil"/>
              <w:left w:val="dotted" w:sz="4" w:space="0" w:color="auto"/>
              <w:bottom w:val="nil"/>
              <w:right w:val="nil"/>
            </w:tcBorders>
            <w:shd w:val="clear" w:color="000000" w:fill="BFBFBF"/>
            <w:noWrap/>
            <w:vAlign w:val="center"/>
            <w:hideMark/>
          </w:tcPr>
          <w:p w14:paraId="039C52B3"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0.48%</w:t>
            </w:r>
          </w:p>
        </w:tc>
        <w:tc>
          <w:tcPr>
            <w:tcW w:w="924" w:type="dxa"/>
            <w:tcBorders>
              <w:top w:val="nil"/>
              <w:left w:val="nil"/>
              <w:bottom w:val="nil"/>
              <w:right w:val="dotted" w:sz="4" w:space="0" w:color="auto"/>
            </w:tcBorders>
            <w:shd w:val="clear" w:color="000000" w:fill="BFBFBF"/>
            <w:noWrap/>
            <w:vAlign w:val="center"/>
            <w:hideMark/>
          </w:tcPr>
          <w:p w14:paraId="1F1D4365"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0.53%</w:t>
            </w:r>
          </w:p>
        </w:tc>
        <w:tc>
          <w:tcPr>
            <w:tcW w:w="924" w:type="dxa"/>
            <w:tcBorders>
              <w:top w:val="nil"/>
              <w:left w:val="dotted" w:sz="4" w:space="0" w:color="auto"/>
              <w:bottom w:val="nil"/>
              <w:right w:val="nil"/>
            </w:tcBorders>
            <w:shd w:val="clear" w:color="000000" w:fill="BFBFBF"/>
            <w:noWrap/>
            <w:vAlign w:val="center"/>
            <w:hideMark/>
          </w:tcPr>
          <w:p w14:paraId="40AF2D2B"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0.51%</w:t>
            </w:r>
          </w:p>
        </w:tc>
      </w:tr>
      <w:tr w:rsidR="00DA3375" w:rsidRPr="00355FA5" w14:paraId="2E0406FF" w14:textId="77777777" w:rsidTr="009C7082">
        <w:trPr>
          <w:trHeight w:val="312"/>
        </w:trPr>
        <w:tc>
          <w:tcPr>
            <w:tcW w:w="1107" w:type="dxa"/>
            <w:tcBorders>
              <w:top w:val="nil"/>
              <w:left w:val="nil"/>
              <w:bottom w:val="nil"/>
              <w:right w:val="dotted" w:sz="4" w:space="0" w:color="auto"/>
            </w:tcBorders>
            <w:shd w:val="clear" w:color="auto" w:fill="auto"/>
            <w:noWrap/>
            <w:vAlign w:val="center"/>
            <w:hideMark/>
          </w:tcPr>
          <w:p w14:paraId="7DCCC2A2" w14:textId="77777777" w:rsidR="00DA3375" w:rsidRPr="00ED27E8" w:rsidRDefault="00DA3375" w:rsidP="009C7082">
            <w:pPr>
              <w:spacing w:after="0" w:line="240" w:lineRule="auto"/>
              <w:rPr>
                <w:rFonts w:eastAsia="Times New Roman" w:cs="Arial"/>
                <w:color w:val="000000"/>
                <w:sz w:val="20"/>
                <w:szCs w:val="20"/>
              </w:rPr>
            </w:pPr>
            <w:r w:rsidRPr="00ED27E8">
              <w:rPr>
                <w:rFonts w:eastAsia="Times New Roman" w:cs="Arial"/>
                <w:color w:val="000000"/>
                <w:sz w:val="20"/>
                <w:szCs w:val="20"/>
              </w:rPr>
              <w:t>45 to 54</w:t>
            </w:r>
          </w:p>
        </w:tc>
        <w:tc>
          <w:tcPr>
            <w:tcW w:w="924" w:type="dxa"/>
            <w:tcBorders>
              <w:top w:val="nil"/>
              <w:left w:val="dotted" w:sz="4" w:space="0" w:color="auto"/>
              <w:bottom w:val="nil"/>
              <w:right w:val="nil"/>
            </w:tcBorders>
            <w:shd w:val="clear" w:color="auto" w:fill="auto"/>
            <w:noWrap/>
            <w:vAlign w:val="center"/>
            <w:hideMark/>
          </w:tcPr>
          <w:p w14:paraId="3353B571"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1.74%</w:t>
            </w:r>
          </w:p>
        </w:tc>
        <w:tc>
          <w:tcPr>
            <w:tcW w:w="924" w:type="dxa"/>
            <w:tcBorders>
              <w:top w:val="nil"/>
              <w:left w:val="nil"/>
              <w:bottom w:val="nil"/>
              <w:right w:val="nil"/>
            </w:tcBorders>
            <w:shd w:val="clear" w:color="auto" w:fill="auto"/>
            <w:noWrap/>
            <w:vAlign w:val="center"/>
            <w:hideMark/>
          </w:tcPr>
          <w:p w14:paraId="2D647BCE"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0.56%</w:t>
            </w:r>
          </w:p>
        </w:tc>
        <w:tc>
          <w:tcPr>
            <w:tcW w:w="924" w:type="dxa"/>
            <w:tcBorders>
              <w:top w:val="nil"/>
              <w:left w:val="nil"/>
              <w:bottom w:val="nil"/>
              <w:right w:val="dotted" w:sz="4" w:space="0" w:color="auto"/>
            </w:tcBorders>
            <w:shd w:val="clear" w:color="auto" w:fill="auto"/>
            <w:noWrap/>
            <w:vAlign w:val="center"/>
            <w:hideMark/>
          </w:tcPr>
          <w:p w14:paraId="02EE59D1"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0.30%</w:t>
            </w:r>
          </w:p>
        </w:tc>
        <w:tc>
          <w:tcPr>
            <w:tcW w:w="924" w:type="dxa"/>
            <w:tcBorders>
              <w:top w:val="nil"/>
              <w:left w:val="dotted" w:sz="4" w:space="0" w:color="auto"/>
              <w:bottom w:val="nil"/>
              <w:right w:val="nil"/>
            </w:tcBorders>
            <w:shd w:val="clear" w:color="auto" w:fill="auto"/>
            <w:noWrap/>
            <w:vAlign w:val="center"/>
            <w:hideMark/>
          </w:tcPr>
          <w:p w14:paraId="0CF86173"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0.59%</w:t>
            </w:r>
          </w:p>
        </w:tc>
        <w:tc>
          <w:tcPr>
            <w:tcW w:w="924" w:type="dxa"/>
            <w:tcBorders>
              <w:top w:val="nil"/>
              <w:left w:val="nil"/>
              <w:bottom w:val="nil"/>
              <w:right w:val="dotted" w:sz="4" w:space="0" w:color="auto"/>
            </w:tcBorders>
            <w:shd w:val="clear" w:color="auto" w:fill="auto"/>
            <w:noWrap/>
            <w:vAlign w:val="center"/>
            <w:hideMark/>
          </w:tcPr>
          <w:p w14:paraId="2FBF26F0"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0.60%</w:t>
            </w:r>
          </w:p>
        </w:tc>
        <w:tc>
          <w:tcPr>
            <w:tcW w:w="924" w:type="dxa"/>
            <w:tcBorders>
              <w:top w:val="nil"/>
              <w:left w:val="dotted" w:sz="4" w:space="0" w:color="auto"/>
              <w:bottom w:val="nil"/>
              <w:right w:val="nil"/>
            </w:tcBorders>
            <w:shd w:val="clear" w:color="auto" w:fill="auto"/>
            <w:noWrap/>
            <w:vAlign w:val="center"/>
            <w:hideMark/>
          </w:tcPr>
          <w:p w14:paraId="53458B76"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0.60%</w:t>
            </w:r>
          </w:p>
        </w:tc>
      </w:tr>
      <w:tr w:rsidR="00DA3375" w:rsidRPr="00355FA5" w14:paraId="596D3AB2" w14:textId="77777777" w:rsidTr="009C7082">
        <w:trPr>
          <w:trHeight w:val="312"/>
        </w:trPr>
        <w:tc>
          <w:tcPr>
            <w:tcW w:w="1107" w:type="dxa"/>
            <w:tcBorders>
              <w:top w:val="nil"/>
              <w:left w:val="nil"/>
              <w:bottom w:val="nil"/>
              <w:right w:val="dotted" w:sz="4" w:space="0" w:color="auto"/>
            </w:tcBorders>
            <w:shd w:val="clear" w:color="000000" w:fill="BFBFBF"/>
            <w:noWrap/>
            <w:vAlign w:val="center"/>
            <w:hideMark/>
          </w:tcPr>
          <w:p w14:paraId="6B8D2D9D" w14:textId="77777777" w:rsidR="00DA3375" w:rsidRPr="00ED27E8" w:rsidRDefault="00DA3375" w:rsidP="009C7082">
            <w:pPr>
              <w:spacing w:after="0" w:line="240" w:lineRule="auto"/>
              <w:rPr>
                <w:rFonts w:eastAsia="Times New Roman" w:cs="Arial"/>
                <w:color w:val="000000"/>
                <w:sz w:val="20"/>
                <w:szCs w:val="20"/>
              </w:rPr>
            </w:pPr>
            <w:r w:rsidRPr="00ED27E8">
              <w:rPr>
                <w:rFonts w:eastAsia="Times New Roman" w:cs="Arial"/>
                <w:color w:val="000000"/>
                <w:sz w:val="20"/>
                <w:szCs w:val="20"/>
              </w:rPr>
              <w:t>55 to 64</w:t>
            </w:r>
          </w:p>
        </w:tc>
        <w:tc>
          <w:tcPr>
            <w:tcW w:w="924" w:type="dxa"/>
            <w:tcBorders>
              <w:top w:val="nil"/>
              <w:left w:val="dotted" w:sz="4" w:space="0" w:color="auto"/>
              <w:bottom w:val="nil"/>
              <w:right w:val="nil"/>
            </w:tcBorders>
            <w:shd w:val="clear" w:color="000000" w:fill="BFBFBF"/>
            <w:noWrap/>
            <w:vAlign w:val="center"/>
            <w:hideMark/>
          </w:tcPr>
          <w:p w14:paraId="221BDD18"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1.83%</w:t>
            </w:r>
          </w:p>
        </w:tc>
        <w:tc>
          <w:tcPr>
            <w:tcW w:w="924" w:type="dxa"/>
            <w:tcBorders>
              <w:top w:val="nil"/>
              <w:left w:val="nil"/>
              <w:bottom w:val="nil"/>
              <w:right w:val="nil"/>
            </w:tcBorders>
            <w:shd w:val="clear" w:color="000000" w:fill="BFBFBF"/>
            <w:noWrap/>
            <w:vAlign w:val="center"/>
            <w:hideMark/>
          </w:tcPr>
          <w:p w14:paraId="21FD9B57"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0.67%</w:t>
            </w:r>
          </w:p>
        </w:tc>
        <w:tc>
          <w:tcPr>
            <w:tcW w:w="924" w:type="dxa"/>
            <w:tcBorders>
              <w:top w:val="nil"/>
              <w:left w:val="nil"/>
              <w:bottom w:val="nil"/>
              <w:right w:val="dotted" w:sz="4" w:space="0" w:color="auto"/>
            </w:tcBorders>
            <w:shd w:val="clear" w:color="000000" w:fill="BFBFBF"/>
            <w:noWrap/>
            <w:vAlign w:val="center"/>
            <w:hideMark/>
          </w:tcPr>
          <w:p w14:paraId="193D263C"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0.36%</w:t>
            </w:r>
          </w:p>
        </w:tc>
        <w:tc>
          <w:tcPr>
            <w:tcW w:w="924" w:type="dxa"/>
            <w:tcBorders>
              <w:top w:val="nil"/>
              <w:left w:val="dotted" w:sz="4" w:space="0" w:color="auto"/>
              <w:bottom w:val="nil"/>
              <w:right w:val="nil"/>
            </w:tcBorders>
            <w:shd w:val="clear" w:color="000000" w:fill="BFBFBF"/>
            <w:noWrap/>
            <w:vAlign w:val="center"/>
            <w:hideMark/>
          </w:tcPr>
          <w:p w14:paraId="59F0862A"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0.66%</w:t>
            </w:r>
          </w:p>
        </w:tc>
        <w:tc>
          <w:tcPr>
            <w:tcW w:w="924" w:type="dxa"/>
            <w:tcBorders>
              <w:top w:val="nil"/>
              <w:left w:val="nil"/>
              <w:bottom w:val="nil"/>
              <w:right w:val="dotted" w:sz="4" w:space="0" w:color="auto"/>
            </w:tcBorders>
            <w:shd w:val="clear" w:color="000000" w:fill="BFBFBF"/>
            <w:noWrap/>
            <w:vAlign w:val="center"/>
            <w:hideMark/>
          </w:tcPr>
          <w:p w14:paraId="7B57E633"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0.68%</w:t>
            </w:r>
          </w:p>
        </w:tc>
        <w:tc>
          <w:tcPr>
            <w:tcW w:w="924" w:type="dxa"/>
            <w:tcBorders>
              <w:top w:val="nil"/>
              <w:left w:val="dotted" w:sz="4" w:space="0" w:color="auto"/>
              <w:bottom w:val="nil"/>
              <w:right w:val="nil"/>
            </w:tcBorders>
            <w:shd w:val="clear" w:color="000000" w:fill="BFBFBF"/>
            <w:noWrap/>
            <w:vAlign w:val="center"/>
            <w:hideMark/>
          </w:tcPr>
          <w:p w14:paraId="762736C6"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0.67%</w:t>
            </w:r>
          </w:p>
        </w:tc>
      </w:tr>
      <w:tr w:rsidR="00DA3375" w:rsidRPr="00355FA5" w14:paraId="0060FE07" w14:textId="77777777" w:rsidTr="009C7082">
        <w:trPr>
          <w:trHeight w:val="312"/>
        </w:trPr>
        <w:tc>
          <w:tcPr>
            <w:tcW w:w="1107" w:type="dxa"/>
            <w:tcBorders>
              <w:top w:val="nil"/>
              <w:left w:val="nil"/>
              <w:bottom w:val="single" w:sz="4" w:space="0" w:color="auto"/>
              <w:right w:val="dotted" w:sz="4" w:space="0" w:color="auto"/>
            </w:tcBorders>
            <w:shd w:val="clear" w:color="auto" w:fill="auto"/>
            <w:noWrap/>
            <w:vAlign w:val="center"/>
            <w:hideMark/>
          </w:tcPr>
          <w:p w14:paraId="4E71A6BD" w14:textId="77777777" w:rsidR="00DA3375" w:rsidRPr="00ED27E8" w:rsidRDefault="00DA3375" w:rsidP="009C7082">
            <w:pPr>
              <w:spacing w:after="0" w:line="240" w:lineRule="auto"/>
              <w:rPr>
                <w:rFonts w:eastAsia="Times New Roman" w:cs="Arial"/>
                <w:color w:val="000000"/>
                <w:sz w:val="20"/>
                <w:szCs w:val="20"/>
              </w:rPr>
            </w:pPr>
            <w:r w:rsidRPr="00ED27E8">
              <w:rPr>
                <w:rFonts w:eastAsia="Times New Roman" w:cs="Arial"/>
                <w:color w:val="000000"/>
                <w:sz w:val="20"/>
                <w:szCs w:val="20"/>
              </w:rPr>
              <w:t>65+</w:t>
            </w:r>
          </w:p>
        </w:tc>
        <w:tc>
          <w:tcPr>
            <w:tcW w:w="924" w:type="dxa"/>
            <w:tcBorders>
              <w:top w:val="nil"/>
              <w:left w:val="dotted" w:sz="4" w:space="0" w:color="auto"/>
              <w:bottom w:val="single" w:sz="4" w:space="0" w:color="auto"/>
              <w:right w:val="nil"/>
            </w:tcBorders>
            <w:shd w:val="clear" w:color="auto" w:fill="auto"/>
            <w:noWrap/>
            <w:vAlign w:val="center"/>
            <w:hideMark/>
          </w:tcPr>
          <w:p w14:paraId="791685F6"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3.00%</w:t>
            </w:r>
          </w:p>
        </w:tc>
        <w:tc>
          <w:tcPr>
            <w:tcW w:w="924" w:type="dxa"/>
            <w:tcBorders>
              <w:top w:val="nil"/>
              <w:left w:val="nil"/>
              <w:bottom w:val="single" w:sz="4" w:space="0" w:color="auto"/>
              <w:right w:val="nil"/>
            </w:tcBorders>
            <w:shd w:val="clear" w:color="auto" w:fill="auto"/>
            <w:noWrap/>
            <w:vAlign w:val="center"/>
            <w:hideMark/>
          </w:tcPr>
          <w:p w14:paraId="701E1E62"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1.98%</w:t>
            </w:r>
          </w:p>
        </w:tc>
        <w:tc>
          <w:tcPr>
            <w:tcW w:w="924" w:type="dxa"/>
            <w:tcBorders>
              <w:top w:val="nil"/>
              <w:left w:val="nil"/>
              <w:bottom w:val="single" w:sz="4" w:space="0" w:color="auto"/>
              <w:right w:val="dotted" w:sz="4" w:space="0" w:color="auto"/>
            </w:tcBorders>
            <w:shd w:val="clear" w:color="auto" w:fill="auto"/>
            <w:noWrap/>
            <w:vAlign w:val="center"/>
            <w:hideMark/>
          </w:tcPr>
          <w:p w14:paraId="4E8084B8"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1.90%</w:t>
            </w:r>
          </w:p>
        </w:tc>
        <w:tc>
          <w:tcPr>
            <w:tcW w:w="924" w:type="dxa"/>
            <w:tcBorders>
              <w:top w:val="nil"/>
              <w:left w:val="dotted" w:sz="4" w:space="0" w:color="auto"/>
              <w:bottom w:val="single" w:sz="4" w:space="0" w:color="auto"/>
              <w:right w:val="nil"/>
            </w:tcBorders>
            <w:shd w:val="clear" w:color="auto" w:fill="auto"/>
            <w:noWrap/>
            <w:vAlign w:val="center"/>
            <w:hideMark/>
          </w:tcPr>
          <w:p w14:paraId="33706F12"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2.13%</w:t>
            </w:r>
          </w:p>
        </w:tc>
        <w:tc>
          <w:tcPr>
            <w:tcW w:w="924" w:type="dxa"/>
            <w:tcBorders>
              <w:top w:val="nil"/>
              <w:left w:val="nil"/>
              <w:bottom w:val="single" w:sz="4" w:space="0" w:color="auto"/>
              <w:right w:val="dotted" w:sz="4" w:space="0" w:color="auto"/>
            </w:tcBorders>
            <w:shd w:val="clear" w:color="auto" w:fill="auto"/>
            <w:noWrap/>
            <w:vAlign w:val="center"/>
            <w:hideMark/>
          </w:tcPr>
          <w:p w14:paraId="7B61D26A"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2.02%</w:t>
            </w:r>
          </w:p>
        </w:tc>
        <w:tc>
          <w:tcPr>
            <w:tcW w:w="924" w:type="dxa"/>
            <w:tcBorders>
              <w:top w:val="nil"/>
              <w:left w:val="dotted" w:sz="4" w:space="0" w:color="auto"/>
              <w:bottom w:val="single" w:sz="4" w:space="0" w:color="auto"/>
              <w:right w:val="nil"/>
            </w:tcBorders>
            <w:shd w:val="clear" w:color="auto" w:fill="auto"/>
            <w:noWrap/>
            <w:vAlign w:val="center"/>
            <w:hideMark/>
          </w:tcPr>
          <w:p w14:paraId="72D21448"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2.07%</w:t>
            </w:r>
          </w:p>
        </w:tc>
      </w:tr>
      <w:tr w:rsidR="00DA3375" w:rsidRPr="00355FA5" w14:paraId="7EB3A19C" w14:textId="77777777" w:rsidTr="009C7082">
        <w:trPr>
          <w:trHeight w:val="312"/>
        </w:trPr>
        <w:tc>
          <w:tcPr>
            <w:tcW w:w="1107" w:type="dxa"/>
            <w:tcBorders>
              <w:top w:val="single" w:sz="4" w:space="0" w:color="auto"/>
              <w:left w:val="nil"/>
              <w:bottom w:val="single" w:sz="4" w:space="0" w:color="auto"/>
              <w:right w:val="dotted" w:sz="4" w:space="0" w:color="auto"/>
            </w:tcBorders>
            <w:shd w:val="clear" w:color="000000" w:fill="D3C5D7"/>
            <w:noWrap/>
            <w:vAlign w:val="center"/>
            <w:hideMark/>
          </w:tcPr>
          <w:p w14:paraId="23FE0D5D" w14:textId="77777777" w:rsidR="00DA3375" w:rsidRPr="00ED27E8" w:rsidRDefault="00DA3375" w:rsidP="009C7082">
            <w:pPr>
              <w:spacing w:after="0" w:line="240" w:lineRule="auto"/>
              <w:rPr>
                <w:rFonts w:eastAsia="Times New Roman" w:cs="Arial"/>
                <w:b/>
                <w:bCs/>
                <w:color w:val="000000"/>
                <w:sz w:val="20"/>
                <w:szCs w:val="20"/>
              </w:rPr>
            </w:pPr>
            <w:r w:rsidRPr="00ED27E8">
              <w:rPr>
                <w:rFonts w:eastAsia="Times New Roman" w:cs="Arial"/>
                <w:b/>
                <w:bCs/>
                <w:color w:val="000000"/>
                <w:sz w:val="20"/>
                <w:szCs w:val="20"/>
              </w:rPr>
              <w:t>Total</w:t>
            </w:r>
          </w:p>
        </w:tc>
        <w:tc>
          <w:tcPr>
            <w:tcW w:w="924" w:type="dxa"/>
            <w:tcBorders>
              <w:top w:val="single" w:sz="4" w:space="0" w:color="auto"/>
              <w:left w:val="dotted" w:sz="4" w:space="0" w:color="auto"/>
              <w:bottom w:val="single" w:sz="4" w:space="0" w:color="auto"/>
              <w:right w:val="nil"/>
            </w:tcBorders>
            <w:shd w:val="clear" w:color="000000" w:fill="D3C5D7"/>
            <w:noWrap/>
            <w:vAlign w:val="center"/>
            <w:hideMark/>
          </w:tcPr>
          <w:p w14:paraId="645372D0" w14:textId="77777777" w:rsidR="00DA3375" w:rsidRPr="00ED27E8" w:rsidRDefault="00DA3375" w:rsidP="009C7082">
            <w:pPr>
              <w:spacing w:after="0" w:line="240" w:lineRule="auto"/>
              <w:jc w:val="right"/>
              <w:rPr>
                <w:rFonts w:eastAsia="Times New Roman" w:cs="Arial"/>
                <w:b/>
                <w:bCs/>
                <w:color w:val="000000"/>
                <w:sz w:val="20"/>
                <w:szCs w:val="20"/>
              </w:rPr>
            </w:pPr>
            <w:r w:rsidRPr="00ED27E8">
              <w:rPr>
                <w:rFonts w:eastAsia="Times New Roman" w:cs="Arial"/>
                <w:b/>
                <w:bCs/>
                <w:color w:val="000000"/>
                <w:sz w:val="20"/>
                <w:szCs w:val="20"/>
              </w:rPr>
              <w:t>4.26%</w:t>
            </w:r>
          </w:p>
        </w:tc>
        <w:tc>
          <w:tcPr>
            <w:tcW w:w="924" w:type="dxa"/>
            <w:tcBorders>
              <w:top w:val="single" w:sz="4" w:space="0" w:color="auto"/>
              <w:left w:val="nil"/>
              <w:bottom w:val="single" w:sz="4" w:space="0" w:color="auto"/>
              <w:right w:val="nil"/>
            </w:tcBorders>
            <w:shd w:val="clear" w:color="000000" w:fill="D3C5D7"/>
            <w:noWrap/>
            <w:vAlign w:val="center"/>
            <w:hideMark/>
          </w:tcPr>
          <w:p w14:paraId="70688F78" w14:textId="77777777" w:rsidR="00DA3375" w:rsidRPr="00ED27E8" w:rsidRDefault="00DA3375" w:rsidP="009C7082">
            <w:pPr>
              <w:spacing w:after="0" w:line="240" w:lineRule="auto"/>
              <w:jc w:val="right"/>
              <w:rPr>
                <w:rFonts w:eastAsia="Times New Roman" w:cs="Arial"/>
                <w:b/>
                <w:bCs/>
                <w:color w:val="000000"/>
                <w:sz w:val="20"/>
                <w:szCs w:val="20"/>
              </w:rPr>
            </w:pPr>
            <w:r w:rsidRPr="00ED27E8">
              <w:rPr>
                <w:rFonts w:eastAsia="Times New Roman" w:cs="Arial"/>
                <w:b/>
                <w:bCs/>
                <w:color w:val="000000"/>
                <w:sz w:val="20"/>
                <w:szCs w:val="20"/>
              </w:rPr>
              <w:t>0.57%</w:t>
            </w:r>
          </w:p>
        </w:tc>
        <w:tc>
          <w:tcPr>
            <w:tcW w:w="924" w:type="dxa"/>
            <w:tcBorders>
              <w:top w:val="single" w:sz="4" w:space="0" w:color="auto"/>
              <w:left w:val="nil"/>
              <w:bottom w:val="single" w:sz="4" w:space="0" w:color="auto"/>
              <w:right w:val="dotted" w:sz="4" w:space="0" w:color="auto"/>
            </w:tcBorders>
            <w:shd w:val="clear" w:color="000000" w:fill="D3C5D7"/>
            <w:noWrap/>
            <w:vAlign w:val="center"/>
            <w:hideMark/>
          </w:tcPr>
          <w:p w14:paraId="7654DCBC" w14:textId="77777777" w:rsidR="00DA3375" w:rsidRPr="00ED27E8" w:rsidRDefault="00DA3375" w:rsidP="009C7082">
            <w:pPr>
              <w:spacing w:after="0" w:line="240" w:lineRule="auto"/>
              <w:jc w:val="right"/>
              <w:rPr>
                <w:rFonts w:eastAsia="Times New Roman" w:cs="Arial"/>
                <w:b/>
                <w:bCs/>
                <w:color w:val="000000"/>
                <w:sz w:val="20"/>
                <w:szCs w:val="20"/>
              </w:rPr>
            </w:pPr>
            <w:r w:rsidRPr="00ED27E8">
              <w:rPr>
                <w:rFonts w:eastAsia="Times New Roman" w:cs="Arial"/>
                <w:b/>
                <w:bCs/>
                <w:color w:val="000000"/>
                <w:sz w:val="20"/>
                <w:szCs w:val="20"/>
              </w:rPr>
              <w:t>0.36%</w:t>
            </w:r>
          </w:p>
        </w:tc>
        <w:tc>
          <w:tcPr>
            <w:tcW w:w="924" w:type="dxa"/>
            <w:tcBorders>
              <w:top w:val="single" w:sz="4" w:space="0" w:color="auto"/>
              <w:left w:val="dotted" w:sz="4" w:space="0" w:color="auto"/>
              <w:bottom w:val="single" w:sz="4" w:space="0" w:color="auto"/>
              <w:right w:val="nil"/>
            </w:tcBorders>
            <w:shd w:val="clear" w:color="000000" w:fill="D3C5D7"/>
            <w:noWrap/>
            <w:vAlign w:val="center"/>
            <w:hideMark/>
          </w:tcPr>
          <w:p w14:paraId="30A5191A" w14:textId="77777777" w:rsidR="00DA3375" w:rsidRPr="00ED27E8" w:rsidRDefault="00DA3375" w:rsidP="009C7082">
            <w:pPr>
              <w:spacing w:after="0" w:line="240" w:lineRule="auto"/>
              <w:jc w:val="right"/>
              <w:rPr>
                <w:rFonts w:eastAsia="Times New Roman" w:cs="Arial"/>
                <w:b/>
                <w:bCs/>
                <w:color w:val="000000"/>
                <w:sz w:val="20"/>
                <w:szCs w:val="20"/>
              </w:rPr>
            </w:pPr>
            <w:r w:rsidRPr="00ED27E8">
              <w:rPr>
                <w:rFonts w:eastAsia="Times New Roman" w:cs="Arial"/>
                <w:b/>
                <w:bCs/>
                <w:color w:val="000000"/>
                <w:sz w:val="20"/>
                <w:szCs w:val="20"/>
              </w:rPr>
              <w:t>1.20%</w:t>
            </w:r>
          </w:p>
        </w:tc>
        <w:tc>
          <w:tcPr>
            <w:tcW w:w="924" w:type="dxa"/>
            <w:tcBorders>
              <w:top w:val="single" w:sz="4" w:space="0" w:color="auto"/>
              <w:left w:val="nil"/>
              <w:bottom w:val="single" w:sz="4" w:space="0" w:color="auto"/>
              <w:right w:val="dotted" w:sz="4" w:space="0" w:color="auto"/>
            </w:tcBorders>
            <w:shd w:val="clear" w:color="000000" w:fill="D3C5D7"/>
            <w:noWrap/>
            <w:vAlign w:val="center"/>
            <w:hideMark/>
          </w:tcPr>
          <w:p w14:paraId="48C0B736" w14:textId="77777777" w:rsidR="00DA3375" w:rsidRPr="00ED27E8" w:rsidRDefault="00DA3375" w:rsidP="009C7082">
            <w:pPr>
              <w:spacing w:after="0" w:line="240" w:lineRule="auto"/>
              <w:jc w:val="right"/>
              <w:rPr>
                <w:rFonts w:eastAsia="Times New Roman" w:cs="Arial"/>
                <w:b/>
                <w:bCs/>
                <w:color w:val="000000"/>
                <w:sz w:val="20"/>
                <w:szCs w:val="20"/>
              </w:rPr>
            </w:pPr>
            <w:r w:rsidRPr="00ED27E8">
              <w:rPr>
                <w:rFonts w:eastAsia="Times New Roman" w:cs="Arial"/>
                <w:b/>
                <w:bCs/>
                <w:color w:val="000000"/>
                <w:sz w:val="20"/>
                <w:szCs w:val="20"/>
              </w:rPr>
              <w:t>1.51%</w:t>
            </w:r>
          </w:p>
        </w:tc>
        <w:tc>
          <w:tcPr>
            <w:tcW w:w="924" w:type="dxa"/>
            <w:tcBorders>
              <w:top w:val="single" w:sz="4" w:space="0" w:color="auto"/>
              <w:left w:val="dotted" w:sz="4" w:space="0" w:color="auto"/>
              <w:bottom w:val="single" w:sz="4" w:space="0" w:color="auto"/>
              <w:right w:val="nil"/>
            </w:tcBorders>
            <w:shd w:val="clear" w:color="000000" w:fill="D3C5D7"/>
            <w:noWrap/>
            <w:vAlign w:val="center"/>
            <w:hideMark/>
          </w:tcPr>
          <w:p w14:paraId="2441785F" w14:textId="77777777" w:rsidR="00DA3375" w:rsidRPr="00ED27E8" w:rsidRDefault="00DA3375" w:rsidP="009C7082">
            <w:pPr>
              <w:spacing w:after="0" w:line="240" w:lineRule="auto"/>
              <w:jc w:val="right"/>
              <w:rPr>
                <w:rFonts w:eastAsia="Times New Roman" w:cs="Arial"/>
                <w:b/>
                <w:bCs/>
                <w:color w:val="000000"/>
                <w:sz w:val="20"/>
                <w:szCs w:val="20"/>
              </w:rPr>
            </w:pPr>
            <w:r w:rsidRPr="00ED27E8">
              <w:rPr>
                <w:rFonts w:eastAsia="Times New Roman" w:cs="Arial"/>
                <w:b/>
                <w:bCs/>
                <w:color w:val="000000"/>
                <w:sz w:val="20"/>
                <w:szCs w:val="20"/>
              </w:rPr>
              <w:t>1.40%</w:t>
            </w:r>
          </w:p>
        </w:tc>
      </w:tr>
      <w:tr w:rsidR="00DA3375" w:rsidRPr="00355FA5" w14:paraId="110D119A" w14:textId="77777777" w:rsidTr="009C7082">
        <w:trPr>
          <w:trHeight w:val="312"/>
        </w:trPr>
        <w:tc>
          <w:tcPr>
            <w:tcW w:w="1107" w:type="dxa"/>
            <w:tcBorders>
              <w:top w:val="single" w:sz="4" w:space="0" w:color="auto"/>
              <w:left w:val="nil"/>
              <w:bottom w:val="nil"/>
              <w:right w:val="dotted" w:sz="4" w:space="0" w:color="auto"/>
            </w:tcBorders>
            <w:shd w:val="clear" w:color="auto" w:fill="auto"/>
            <w:noWrap/>
            <w:vAlign w:val="center"/>
            <w:hideMark/>
          </w:tcPr>
          <w:p w14:paraId="4C4BDA5A" w14:textId="77777777" w:rsidR="00DA3375" w:rsidRPr="00ED27E8" w:rsidRDefault="00DA3375" w:rsidP="009C7082">
            <w:pPr>
              <w:spacing w:after="0" w:line="240" w:lineRule="auto"/>
              <w:rPr>
                <w:rFonts w:eastAsia="Times New Roman" w:cs="Arial"/>
                <w:color w:val="000000"/>
                <w:sz w:val="20"/>
                <w:szCs w:val="20"/>
              </w:rPr>
            </w:pPr>
            <w:r w:rsidRPr="00ED27E8">
              <w:rPr>
                <w:rFonts w:eastAsia="Times New Roman" w:cs="Arial"/>
                <w:color w:val="000000"/>
                <w:sz w:val="20"/>
                <w:szCs w:val="20"/>
              </w:rPr>
              <w:t>0 to 18</w:t>
            </w:r>
          </w:p>
        </w:tc>
        <w:tc>
          <w:tcPr>
            <w:tcW w:w="924" w:type="dxa"/>
            <w:tcBorders>
              <w:top w:val="single" w:sz="4" w:space="0" w:color="auto"/>
              <w:left w:val="dotted" w:sz="4" w:space="0" w:color="auto"/>
              <w:bottom w:val="nil"/>
              <w:right w:val="nil"/>
            </w:tcBorders>
            <w:shd w:val="clear" w:color="auto" w:fill="auto"/>
            <w:noWrap/>
            <w:vAlign w:val="center"/>
            <w:hideMark/>
          </w:tcPr>
          <w:p w14:paraId="15049221"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5.28%</w:t>
            </w:r>
          </w:p>
        </w:tc>
        <w:tc>
          <w:tcPr>
            <w:tcW w:w="924" w:type="dxa"/>
            <w:tcBorders>
              <w:top w:val="single" w:sz="4" w:space="0" w:color="auto"/>
              <w:left w:val="nil"/>
              <w:bottom w:val="nil"/>
              <w:right w:val="nil"/>
            </w:tcBorders>
            <w:shd w:val="clear" w:color="auto" w:fill="auto"/>
            <w:noWrap/>
            <w:vAlign w:val="center"/>
            <w:hideMark/>
          </w:tcPr>
          <w:p w14:paraId="6B66B0E3"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0.49%</w:t>
            </w:r>
          </w:p>
        </w:tc>
        <w:tc>
          <w:tcPr>
            <w:tcW w:w="924" w:type="dxa"/>
            <w:tcBorders>
              <w:top w:val="single" w:sz="4" w:space="0" w:color="auto"/>
              <w:left w:val="nil"/>
              <w:bottom w:val="nil"/>
              <w:right w:val="dotted" w:sz="4" w:space="0" w:color="auto"/>
            </w:tcBorders>
            <w:shd w:val="clear" w:color="auto" w:fill="auto"/>
            <w:noWrap/>
            <w:vAlign w:val="center"/>
            <w:hideMark/>
          </w:tcPr>
          <w:p w14:paraId="5D9CD772"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0.28%</w:t>
            </w:r>
          </w:p>
        </w:tc>
        <w:tc>
          <w:tcPr>
            <w:tcW w:w="924" w:type="dxa"/>
            <w:tcBorders>
              <w:top w:val="single" w:sz="4" w:space="0" w:color="auto"/>
              <w:left w:val="dotted" w:sz="4" w:space="0" w:color="auto"/>
              <w:bottom w:val="nil"/>
              <w:right w:val="nil"/>
            </w:tcBorders>
            <w:shd w:val="clear" w:color="auto" w:fill="auto"/>
            <w:noWrap/>
            <w:vAlign w:val="center"/>
            <w:hideMark/>
          </w:tcPr>
          <w:p w14:paraId="6502084E"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2.07%</w:t>
            </w:r>
          </w:p>
        </w:tc>
        <w:tc>
          <w:tcPr>
            <w:tcW w:w="924" w:type="dxa"/>
            <w:tcBorders>
              <w:top w:val="single" w:sz="4" w:space="0" w:color="auto"/>
              <w:left w:val="nil"/>
              <w:bottom w:val="nil"/>
              <w:right w:val="dotted" w:sz="4" w:space="0" w:color="auto"/>
            </w:tcBorders>
            <w:shd w:val="clear" w:color="auto" w:fill="auto"/>
            <w:noWrap/>
            <w:vAlign w:val="center"/>
            <w:hideMark/>
          </w:tcPr>
          <w:p w14:paraId="1A0574A6"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2.27%</w:t>
            </w:r>
          </w:p>
        </w:tc>
        <w:tc>
          <w:tcPr>
            <w:tcW w:w="924" w:type="dxa"/>
            <w:tcBorders>
              <w:top w:val="single" w:sz="4" w:space="0" w:color="auto"/>
              <w:left w:val="dotted" w:sz="4" w:space="0" w:color="auto"/>
              <w:bottom w:val="nil"/>
              <w:right w:val="nil"/>
            </w:tcBorders>
            <w:shd w:val="clear" w:color="auto" w:fill="auto"/>
            <w:noWrap/>
            <w:vAlign w:val="center"/>
            <w:hideMark/>
          </w:tcPr>
          <w:p w14:paraId="5E58D5C0"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2.21%</w:t>
            </w:r>
          </w:p>
        </w:tc>
      </w:tr>
      <w:tr w:rsidR="00DA3375" w:rsidRPr="00355FA5" w14:paraId="3E3726DE" w14:textId="77777777" w:rsidTr="009C7082">
        <w:trPr>
          <w:trHeight w:val="312"/>
        </w:trPr>
        <w:tc>
          <w:tcPr>
            <w:tcW w:w="1107" w:type="dxa"/>
            <w:tcBorders>
              <w:top w:val="nil"/>
              <w:left w:val="nil"/>
              <w:bottom w:val="nil"/>
              <w:right w:val="dotted" w:sz="4" w:space="0" w:color="auto"/>
            </w:tcBorders>
            <w:shd w:val="clear" w:color="000000" w:fill="BFBFBF"/>
            <w:noWrap/>
            <w:vAlign w:val="center"/>
            <w:hideMark/>
          </w:tcPr>
          <w:p w14:paraId="3D68F52C" w14:textId="77777777" w:rsidR="00DA3375" w:rsidRPr="00ED27E8" w:rsidRDefault="00DA3375" w:rsidP="009C7082">
            <w:pPr>
              <w:spacing w:after="0" w:line="240" w:lineRule="auto"/>
              <w:rPr>
                <w:rFonts w:eastAsia="Times New Roman" w:cs="Arial"/>
                <w:color w:val="000000"/>
                <w:sz w:val="20"/>
                <w:szCs w:val="20"/>
              </w:rPr>
            </w:pPr>
            <w:r w:rsidRPr="00ED27E8">
              <w:rPr>
                <w:rFonts w:eastAsia="Times New Roman" w:cs="Arial"/>
                <w:color w:val="000000"/>
                <w:sz w:val="20"/>
                <w:szCs w:val="20"/>
              </w:rPr>
              <w:t>19 to 34</w:t>
            </w:r>
          </w:p>
        </w:tc>
        <w:tc>
          <w:tcPr>
            <w:tcW w:w="924" w:type="dxa"/>
            <w:tcBorders>
              <w:top w:val="nil"/>
              <w:left w:val="dotted" w:sz="4" w:space="0" w:color="auto"/>
              <w:bottom w:val="nil"/>
              <w:right w:val="nil"/>
            </w:tcBorders>
            <w:shd w:val="clear" w:color="000000" w:fill="BFBFBF"/>
            <w:noWrap/>
            <w:vAlign w:val="center"/>
            <w:hideMark/>
          </w:tcPr>
          <w:p w14:paraId="7E92639C"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1.77%</w:t>
            </w:r>
          </w:p>
        </w:tc>
        <w:tc>
          <w:tcPr>
            <w:tcW w:w="924" w:type="dxa"/>
            <w:tcBorders>
              <w:top w:val="nil"/>
              <w:left w:val="nil"/>
              <w:bottom w:val="nil"/>
              <w:right w:val="nil"/>
            </w:tcBorders>
            <w:shd w:val="clear" w:color="000000" w:fill="BFBFBF"/>
            <w:noWrap/>
            <w:vAlign w:val="center"/>
            <w:hideMark/>
          </w:tcPr>
          <w:p w14:paraId="51045494"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0.47%</w:t>
            </w:r>
          </w:p>
        </w:tc>
        <w:tc>
          <w:tcPr>
            <w:tcW w:w="924" w:type="dxa"/>
            <w:tcBorders>
              <w:top w:val="nil"/>
              <w:left w:val="nil"/>
              <w:bottom w:val="nil"/>
              <w:right w:val="dotted" w:sz="4" w:space="0" w:color="auto"/>
            </w:tcBorders>
            <w:shd w:val="clear" w:color="000000" w:fill="BFBFBF"/>
            <w:noWrap/>
            <w:vAlign w:val="center"/>
            <w:hideMark/>
          </w:tcPr>
          <w:p w14:paraId="2E2D83D0"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0.13%</w:t>
            </w:r>
          </w:p>
        </w:tc>
        <w:tc>
          <w:tcPr>
            <w:tcW w:w="924" w:type="dxa"/>
            <w:tcBorders>
              <w:top w:val="nil"/>
              <w:left w:val="dotted" w:sz="4" w:space="0" w:color="auto"/>
              <w:bottom w:val="nil"/>
              <w:right w:val="nil"/>
            </w:tcBorders>
            <w:shd w:val="clear" w:color="000000" w:fill="BFBFBF"/>
            <w:noWrap/>
            <w:vAlign w:val="center"/>
            <w:hideMark/>
          </w:tcPr>
          <w:p w14:paraId="2326986F"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0.52%</w:t>
            </w:r>
          </w:p>
        </w:tc>
        <w:tc>
          <w:tcPr>
            <w:tcW w:w="924" w:type="dxa"/>
            <w:tcBorders>
              <w:top w:val="nil"/>
              <w:left w:val="nil"/>
              <w:bottom w:val="nil"/>
              <w:right w:val="dotted" w:sz="4" w:space="0" w:color="auto"/>
            </w:tcBorders>
            <w:shd w:val="clear" w:color="000000" w:fill="BFBFBF"/>
            <w:noWrap/>
            <w:vAlign w:val="center"/>
            <w:hideMark/>
          </w:tcPr>
          <w:p w14:paraId="1AB293F2"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0.59%</w:t>
            </w:r>
          </w:p>
        </w:tc>
        <w:tc>
          <w:tcPr>
            <w:tcW w:w="924" w:type="dxa"/>
            <w:tcBorders>
              <w:top w:val="nil"/>
              <w:left w:val="dotted" w:sz="4" w:space="0" w:color="auto"/>
              <w:bottom w:val="nil"/>
              <w:right w:val="nil"/>
            </w:tcBorders>
            <w:shd w:val="clear" w:color="000000" w:fill="BFBFBF"/>
            <w:noWrap/>
            <w:vAlign w:val="center"/>
            <w:hideMark/>
          </w:tcPr>
          <w:p w14:paraId="4FE2788A"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0.56%</w:t>
            </w:r>
          </w:p>
        </w:tc>
      </w:tr>
      <w:tr w:rsidR="00DA3375" w:rsidRPr="00355FA5" w14:paraId="17A66D4C" w14:textId="77777777" w:rsidTr="009C7082">
        <w:trPr>
          <w:trHeight w:val="312"/>
        </w:trPr>
        <w:tc>
          <w:tcPr>
            <w:tcW w:w="1107" w:type="dxa"/>
            <w:tcBorders>
              <w:top w:val="nil"/>
              <w:left w:val="nil"/>
              <w:bottom w:val="single" w:sz="4" w:space="0" w:color="auto"/>
              <w:right w:val="dotted" w:sz="4" w:space="0" w:color="auto"/>
            </w:tcBorders>
            <w:shd w:val="clear" w:color="auto" w:fill="auto"/>
            <w:noWrap/>
            <w:vAlign w:val="center"/>
            <w:hideMark/>
          </w:tcPr>
          <w:p w14:paraId="64DAD93B" w14:textId="77777777" w:rsidR="00DA3375" w:rsidRPr="00ED27E8" w:rsidRDefault="00DA3375" w:rsidP="009C7082">
            <w:pPr>
              <w:spacing w:after="0" w:line="240" w:lineRule="auto"/>
              <w:rPr>
                <w:rFonts w:eastAsia="Times New Roman" w:cs="Arial"/>
                <w:color w:val="000000"/>
                <w:sz w:val="20"/>
                <w:szCs w:val="20"/>
              </w:rPr>
            </w:pPr>
            <w:r w:rsidRPr="00ED27E8">
              <w:rPr>
                <w:rFonts w:eastAsia="Times New Roman" w:cs="Arial"/>
                <w:color w:val="000000"/>
                <w:sz w:val="20"/>
                <w:szCs w:val="20"/>
              </w:rPr>
              <w:t>35 to 64</w:t>
            </w:r>
          </w:p>
        </w:tc>
        <w:tc>
          <w:tcPr>
            <w:tcW w:w="924" w:type="dxa"/>
            <w:tcBorders>
              <w:top w:val="nil"/>
              <w:left w:val="dotted" w:sz="4" w:space="0" w:color="auto"/>
              <w:bottom w:val="single" w:sz="4" w:space="0" w:color="auto"/>
              <w:right w:val="nil"/>
            </w:tcBorders>
            <w:shd w:val="clear" w:color="auto" w:fill="auto"/>
            <w:noWrap/>
            <w:vAlign w:val="center"/>
            <w:hideMark/>
          </w:tcPr>
          <w:p w14:paraId="3ACC8A52"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1.72%</w:t>
            </w:r>
          </w:p>
        </w:tc>
        <w:tc>
          <w:tcPr>
            <w:tcW w:w="924" w:type="dxa"/>
            <w:tcBorders>
              <w:top w:val="nil"/>
              <w:left w:val="nil"/>
              <w:bottom w:val="single" w:sz="4" w:space="0" w:color="auto"/>
              <w:right w:val="nil"/>
            </w:tcBorders>
            <w:shd w:val="clear" w:color="auto" w:fill="auto"/>
            <w:noWrap/>
            <w:vAlign w:val="center"/>
            <w:hideMark/>
          </w:tcPr>
          <w:p w14:paraId="53E3361E"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0.57%</w:t>
            </w:r>
          </w:p>
        </w:tc>
        <w:tc>
          <w:tcPr>
            <w:tcW w:w="924" w:type="dxa"/>
            <w:tcBorders>
              <w:top w:val="nil"/>
              <w:left w:val="nil"/>
              <w:bottom w:val="single" w:sz="4" w:space="0" w:color="auto"/>
              <w:right w:val="dotted" w:sz="4" w:space="0" w:color="auto"/>
            </w:tcBorders>
            <w:shd w:val="clear" w:color="auto" w:fill="auto"/>
            <w:noWrap/>
            <w:vAlign w:val="center"/>
            <w:hideMark/>
          </w:tcPr>
          <w:p w14:paraId="4E9FFDEE"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0.30%</w:t>
            </w:r>
          </w:p>
        </w:tc>
        <w:tc>
          <w:tcPr>
            <w:tcW w:w="924" w:type="dxa"/>
            <w:tcBorders>
              <w:top w:val="nil"/>
              <w:left w:val="dotted" w:sz="4" w:space="0" w:color="auto"/>
              <w:bottom w:val="single" w:sz="4" w:space="0" w:color="auto"/>
              <w:right w:val="nil"/>
            </w:tcBorders>
            <w:shd w:val="clear" w:color="auto" w:fill="auto"/>
            <w:noWrap/>
            <w:vAlign w:val="center"/>
            <w:hideMark/>
          </w:tcPr>
          <w:p w14:paraId="6ADD75EA"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0.59%</w:t>
            </w:r>
          </w:p>
        </w:tc>
        <w:tc>
          <w:tcPr>
            <w:tcW w:w="924" w:type="dxa"/>
            <w:tcBorders>
              <w:top w:val="nil"/>
              <w:left w:val="nil"/>
              <w:bottom w:val="single" w:sz="4" w:space="0" w:color="auto"/>
              <w:right w:val="dotted" w:sz="4" w:space="0" w:color="auto"/>
            </w:tcBorders>
            <w:shd w:val="clear" w:color="auto" w:fill="auto"/>
            <w:noWrap/>
            <w:vAlign w:val="center"/>
            <w:hideMark/>
          </w:tcPr>
          <w:p w14:paraId="4D0185C6"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0.61%</w:t>
            </w:r>
          </w:p>
        </w:tc>
        <w:tc>
          <w:tcPr>
            <w:tcW w:w="924" w:type="dxa"/>
            <w:tcBorders>
              <w:top w:val="nil"/>
              <w:left w:val="dotted" w:sz="4" w:space="0" w:color="auto"/>
              <w:bottom w:val="single" w:sz="4" w:space="0" w:color="auto"/>
              <w:right w:val="nil"/>
            </w:tcBorders>
            <w:shd w:val="clear" w:color="auto" w:fill="auto"/>
            <w:noWrap/>
            <w:vAlign w:val="center"/>
            <w:hideMark/>
          </w:tcPr>
          <w:p w14:paraId="4E75C8D5" w14:textId="77777777" w:rsidR="00DA3375" w:rsidRPr="00ED27E8" w:rsidRDefault="00DA3375" w:rsidP="009C7082">
            <w:pPr>
              <w:spacing w:after="0" w:line="240" w:lineRule="auto"/>
              <w:jc w:val="right"/>
              <w:rPr>
                <w:rFonts w:eastAsia="Times New Roman" w:cs="Arial"/>
                <w:color w:val="000000"/>
                <w:sz w:val="20"/>
                <w:szCs w:val="20"/>
              </w:rPr>
            </w:pPr>
            <w:r w:rsidRPr="00ED27E8">
              <w:rPr>
                <w:rFonts w:eastAsia="Times New Roman" w:cs="Arial"/>
                <w:color w:val="000000"/>
                <w:sz w:val="20"/>
                <w:szCs w:val="20"/>
              </w:rPr>
              <w:t>0.60%</w:t>
            </w:r>
          </w:p>
        </w:tc>
      </w:tr>
      <w:tr w:rsidR="00DA3375" w:rsidRPr="00355FA5" w14:paraId="00F80456" w14:textId="77777777" w:rsidTr="009C7082">
        <w:trPr>
          <w:trHeight w:val="312"/>
        </w:trPr>
        <w:tc>
          <w:tcPr>
            <w:tcW w:w="1107" w:type="dxa"/>
            <w:tcBorders>
              <w:top w:val="single" w:sz="4" w:space="0" w:color="auto"/>
              <w:left w:val="nil"/>
              <w:bottom w:val="single" w:sz="4" w:space="0" w:color="auto"/>
              <w:right w:val="dotted" w:sz="4" w:space="0" w:color="auto"/>
            </w:tcBorders>
            <w:shd w:val="clear" w:color="000000" w:fill="D3C5D7"/>
            <w:noWrap/>
            <w:vAlign w:val="center"/>
            <w:hideMark/>
          </w:tcPr>
          <w:p w14:paraId="66BBAEE2" w14:textId="77777777" w:rsidR="00DA3375" w:rsidRPr="00ED27E8" w:rsidRDefault="00DA3375" w:rsidP="009C7082">
            <w:pPr>
              <w:spacing w:after="0" w:line="240" w:lineRule="auto"/>
              <w:rPr>
                <w:rFonts w:eastAsia="Times New Roman" w:cs="Arial"/>
                <w:b/>
                <w:bCs/>
                <w:color w:val="000000"/>
                <w:sz w:val="20"/>
                <w:szCs w:val="20"/>
              </w:rPr>
            </w:pPr>
            <w:r w:rsidRPr="00ED27E8">
              <w:rPr>
                <w:rFonts w:eastAsia="Times New Roman" w:cs="Arial"/>
                <w:b/>
                <w:bCs/>
                <w:color w:val="000000"/>
                <w:sz w:val="20"/>
                <w:szCs w:val="20"/>
              </w:rPr>
              <w:t>0 to 64</w:t>
            </w:r>
          </w:p>
        </w:tc>
        <w:tc>
          <w:tcPr>
            <w:tcW w:w="924" w:type="dxa"/>
            <w:tcBorders>
              <w:top w:val="single" w:sz="4" w:space="0" w:color="auto"/>
              <w:left w:val="dotted" w:sz="4" w:space="0" w:color="auto"/>
              <w:bottom w:val="single" w:sz="4" w:space="0" w:color="auto"/>
              <w:right w:val="nil"/>
            </w:tcBorders>
            <w:shd w:val="clear" w:color="000000" w:fill="D3C5D7"/>
            <w:noWrap/>
            <w:vAlign w:val="center"/>
            <w:hideMark/>
          </w:tcPr>
          <w:p w14:paraId="49310FBC" w14:textId="77777777" w:rsidR="00DA3375" w:rsidRPr="00ED27E8" w:rsidRDefault="00DA3375" w:rsidP="009C7082">
            <w:pPr>
              <w:spacing w:after="0" w:line="240" w:lineRule="auto"/>
              <w:jc w:val="right"/>
              <w:rPr>
                <w:rFonts w:eastAsia="Times New Roman" w:cs="Arial"/>
                <w:b/>
                <w:bCs/>
                <w:color w:val="000000"/>
                <w:sz w:val="20"/>
                <w:szCs w:val="20"/>
              </w:rPr>
            </w:pPr>
            <w:r w:rsidRPr="00ED27E8">
              <w:rPr>
                <w:rFonts w:eastAsia="Times New Roman" w:cs="Arial"/>
                <w:b/>
                <w:bCs/>
                <w:color w:val="000000"/>
                <w:sz w:val="20"/>
                <w:szCs w:val="20"/>
              </w:rPr>
              <w:t>4.29%</w:t>
            </w:r>
          </w:p>
        </w:tc>
        <w:tc>
          <w:tcPr>
            <w:tcW w:w="924" w:type="dxa"/>
            <w:tcBorders>
              <w:top w:val="single" w:sz="4" w:space="0" w:color="auto"/>
              <w:left w:val="nil"/>
              <w:bottom w:val="single" w:sz="4" w:space="0" w:color="auto"/>
              <w:right w:val="nil"/>
            </w:tcBorders>
            <w:shd w:val="clear" w:color="000000" w:fill="D3C5D7"/>
            <w:noWrap/>
            <w:vAlign w:val="center"/>
            <w:hideMark/>
          </w:tcPr>
          <w:p w14:paraId="7A356DE5" w14:textId="77777777" w:rsidR="00DA3375" w:rsidRPr="00ED27E8" w:rsidRDefault="00DA3375" w:rsidP="009C7082">
            <w:pPr>
              <w:spacing w:after="0" w:line="240" w:lineRule="auto"/>
              <w:jc w:val="right"/>
              <w:rPr>
                <w:rFonts w:eastAsia="Times New Roman" w:cs="Arial"/>
                <w:b/>
                <w:bCs/>
                <w:color w:val="000000"/>
                <w:sz w:val="20"/>
                <w:szCs w:val="20"/>
              </w:rPr>
            </w:pPr>
            <w:r w:rsidRPr="00ED27E8">
              <w:rPr>
                <w:rFonts w:eastAsia="Times New Roman" w:cs="Arial"/>
                <w:b/>
                <w:bCs/>
                <w:color w:val="000000"/>
                <w:sz w:val="20"/>
                <w:szCs w:val="20"/>
              </w:rPr>
              <w:t>0.51%</w:t>
            </w:r>
          </w:p>
        </w:tc>
        <w:tc>
          <w:tcPr>
            <w:tcW w:w="924" w:type="dxa"/>
            <w:tcBorders>
              <w:top w:val="single" w:sz="4" w:space="0" w:color="auto"/>
              <w:left w:val="nil"/>
              <w:bottom w:val="single" w:sz="4" w:space="0" w:color="auto"/>
              <w:right w:val="dotted" w:sz="4" w:space="0" w:color="auto"/>
            </w:tcBorders>
            <w:shd w:val="clear" w:color="000000" w:fill="D3C5D7"/>
            <w:noWrap/>
            <w:vAlign w:val="center"/>
            <w:hideMark/>
          </w:tcPr>
          <w:p w14:paraId="6EC5D8C8" w14:textId="77777777" w:rsidR="00DA3375" w:rsidRPr="00ED27E8" w:rsidRDefault="00DA3375" w:rsidP="009C7082">
            <w:pPr>
              <w:spacing w:after="0" w:line="240" w:lineRule="auto"/>
              <w:jc w:val="right"/>
              <w:rPr>
                <w:rFonts w:eastAsia="Times New Roman" w:cs="Arial"/>
                <w:b/>
                <w:bCs/>
                <w:color w:val="000000"/>
                <w:sz w:val="20"/>
                <w:szCs w:val="20"/>
              </w:rPr>
            </w:pPr>
            <w:r w:rsidRPr="00ED27E8">
              <w:rPr>
                <w:rFonts w:eastAsia="Times New Roman" w:cs="Arial"/>
                <w:b/>
                <w:bCs/>
                <w:color w:val="000000"/>
                <w:sz w:val="20"/>
                <w:szCs w:val="20"/>
              </w:rPr>
              <w:t>0.26%</w:t>
            </w:r>
          </w:p>
        </w:tc>
        <w:tc>
          <w:tcPr>
            <w:tcW w:w="924" w:type="dxa"/>
            <w:tcBorders>
              <w:top w:val="single" w:sz="4" w:space="0" w:color="auto"/>
              <w:left w:val="dotted" w:sz="4" w:space="0" w:color="auto"/>
              <w:bottom w:val="single" w:sz="4" w:space="0" w:color="auto"/>
              <w:right w:val="nil"/>
            </w:tcBorders>
            <w:shd w:val="clear" w:color="000000" w:fill="D3C5D7"/>
            <w:noWrap/>
            <w:vAlign w:val="center"/>
            <w:hideMark/>
          </w:tcPr>
          <w:p w14:paraId="371A74C1" w14:textId="77777777" w:rsidR="00DA3375" w:rsidRPr="00ED27E8" w:rsidRDefault="00DA3375" w:rsidP="009C7082">
            <w:pPr>
              <w:spacing w:after="0" w:line="240" w:lineRule="auto"/>
              <w:jc w:val="right"/>
              <w:rPr>
                <w:rFonts w:eastAsia="Times New Roman" w:cs="Arial"/>
                <w:b/>
                <w:bCs/>
                <w:color w:val="000000"/>
                <w:sz w:val="20"/>
                <w:szCs w:val="20"/>
              </w:rPr>
            </w:pPr>
            <w:r w:rsidRPr="00ED27E8">
              <w:rPr>
                <w:rFonts w:eastAsia="Times New Roman" w:cs="Arial"/>
                <w:b/>
                <w:bCs/>
                <w:color w:val="000000"/>
                <w:sz w:val="20"/>
                <w:szCs w:val="20"/>
              </w:rPr>
              <w:t>1.15%</w:t>
            </w:r>
          </w:p>
        </w:tc>
        <w:tc>
          <w:tcPr>
            <w:tcW w:w="924" w:type="dxa"/>
            <w:tcBorders>
              <w:top w:val="single" w:sz="4" w:space="0" w:color="auto"/>
              <w:left w:val="nil"/>
              <w:bottom w:val="single" w:sz="4" w:space="0" w:color="auto"/>
              <w:right w:val="dotted" w:sz="4" w:space="0" w:color="auto"/>
            </w:tcBorders>
            <w:shd w:val="clear" w:color="000000" w:fill="D3C5D7"/>
            <w:noWrap/>
            <w:vAlign w:val="center"/>
            <w:hideMark/>
          </w:tcPr>
          <w:p w14:paraId="0CFDF2F2" w14:textId="77777777" w:rsidR="00DA3375" w:rsidRPr="00ED27E8" w:rsidRDefault="00DA3375" w:rsidP="009C7082">
            <w:pPr>
              <w:spacing w:after="0" w:line="240" w:lineRule="auto"/>
              <w:jc w:val="right"/>
              <w:rPr>
                <w:rFonts w:eastAsia="Times New Roman" w:cs="Arial"/>
                <w:b/>
                <w:bCs/>
                <w:color w:val="000000"/>
                <w:sz w:val="20"/>
                <w:szCs w:val="20"/>
              </w:rPr>
            </w:pPr>
            <w:r w:rsidRPr="00ED27E8">
              <w:rPr>
                <w:rFonts w:eastAsia="Times New Roman" w:cs="Arial"/>
                <w:b/>
                <w:bCs/>
                <w:color w:val="000000"/>
                <w:sz w:val="20"/>
                <w:szCs w:val="20"/>
              </w:rPr>
              <w:t>1.49%</w:t>
            </w:r>
          </w:p>
        </w:tc>
        <w:tc>
          <w:tcPr>
            <w:tcW w:w="924" w:type="dxa"/>
            <w:tcBorders>
              <w:top w:val="single" w:sz="4" w:space="0" w:color="auto"/>
              <w:left w:val="dotted" w:sz="4" w:space="0" w:color="auto"/>
              <w:bottom w:val="single" w:sz="4" w:space="0" w:color="auto"/>
              <w:right w:val="nil"/>
            </w:tcBorders>
            <w:shd w:val="clear" w:color="000000" w:fill="D3C5D7"/>
            <w:noWrap/>
            <w:vAlign w:val="center"/>
            <w:hideMark/>
          </w:tcPr>
          <w:p w14:paraId="055DF7CC" w14:textId="77777777" w:rsidR="00DA3375" w:rsidRPr="00ED27E8" w:rsidRDefault="00DA3375" w:rsidP="009C7082">
            <w:pPr>
              <w:spacing w:after="0" w:line="240" w:lineRule="auto"/>
              <w:jc w:val="right"/>
              <w:rPr>
                <w:rFonts w:eastAsia="Times New Roman" w:cs="Arial"/>
                <w:b/>
                <w:bCs/>
                <w:color w:val="000000"/>
                <w:sz w:val="20"/>
                <w:szCs w:val="20"/>
              </w:rPr>
            </w:pPr>
            <w:r w:rsidRPr="00ED27E8">
              <w:rPr>
                <w:rFonts w:eastAsia="Times New Roman" w:cs="Arial"/>
                <w:b/>
                <w:bCs/>
                <w:color w:val="000000"/>
                <w:sz w:val="20"/>
                <w:szCs w:val="20"/>
              </w:rPr>
              <w:t>1.37%</w:t>
            </w:r>
          </w:p>
        </w:tc>
      </w:tr>
    </w:tbl>
    <w:p w14:paraId="45CB05B3" w14:textId="77777777" w:rsidR="00DA3375" w:rsidRDefault="00DA3375" w:rsidP="00DA3375">
      <w:pPr>
        <w:rPr>
          <w:rFonts w:cs="Arial"/>
        </w:rPr>
      </w:pPr>
    </w:p>
    <w:p w14:paraId="18A66F2F" w14:textId="77777777" w:rsidR="00DA3375" w:rsidRDefault="00DA3375" w:rsidP="00DA3375">
      <w:pPr>
        <w:pStyle w:val="Figures"/>
      </w:pPr>
      <w:r>
        <w:lastRenderedPageBreak/>
        <w:t>Figure</w:t>
      </w:r>
      <w:r w:rsidR="000D71B7">
        <w:t xml:space="preserve"> I</w:t>
      </w:r>
      <w:r w:rsidR="00911A3E">
        <w:t>.</w:t>
      </w:r>
      <w:fldSimple w:instr=" SEQ Figure \* ARABIC \s 2 ">
        <w:r w:rsidR="00B13170">
          <w:rPr>
            <w:noProof/>
          </w:rPr>
          <w:t>2</w:t>
        </w:r>
      </w:fldSimple>
      <w:r>
        <w:t xml:space="preserve">: </w:t>
      </w:r>
      <w:r w:rsidRPr="009F237B">
        <w:t>Actual vs expected base rates of participants leaving the Scheme and revised selections by age group</w:t>
      </w:r>
    </w:p>
    <w:p w14:paraId="44042422" w14:textId="77777777" w:rsidR="00DA3375" w:rsidRDefault="00B81877" w:rsidP="00DA3375">
      <w:r>
        <w:rPr>
          <w:noProof/>
          <w:lang w:eastAsia="en-AU"/>
        </w:rPr>
        <w:drawing>
          <wp:inline distT="0" distB="0" distL="0" distR="0" wp14:anchorId="245D146E" wp14:editId="21E597B4">
            <wp:extent cx="5724000" cy="2979386"/>
            <wp:effectExtent l="0" t="0" r="0" b="0"/>
            <wp:docPr id="453" name="Picture 453" descr="The graph is showing actual vs expected overall base rates of participant leaving the Scheme and revised selections by age group. &#10;Actual rates are 1.51% for age 0 to 6, 1.99% for age 7 to 14, 0.50% for age 15 to 18, 0.56% for age 19 to 24, 0.27% for age 25 to 34, 0.21% for age 35 to 44, 0.19% for age 45 to 54, 0.18% for age 55 to 64 and 1.10% for age 65+. &#10;Expected long term rate from the 2020-21 AFSR are 4.01% for age 0 to 6, 2.85% for age 7 to 14, 1.01% for age 15 to 18, 0.97% for age 19 to 24, 0.64% for age 25 to 34, 0.75% for age 35 to 44, 0.93% for age 45 to 54, 1.08% for age 55 to 64 and 3.05% for age 65+. &#10;Revised selections are 3.21% for age 0 to 6, 2.23% for age 7 to 14, 0.72% for age 15 to 18, 0.70% for age 19 to 24, 0.43% for age 25 to 34, 0.51% for age 35 to 44, 0.60% for age 45 to 54, 0.67% for age 55 to 64 and 2.07% for age 65+. " title="Figure I.2: Actual vs expected base rates of participants leaving the Scheme and revised selections by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24000" cy="2979386"/>
                    </a:xfrm>
                    <a:prstGeom prst="rect">
                      <a:avLst/>
                    </a:prstGeom>
                    <a:noFill/>
                  </pic:spPr>
                </pic:pic>
              </a:graphicData>
            </a:graphic>
          </wp:inline>
        </w:drawing>
      </w:r>
    </w:p>
    <w:p w14:paraId="6DEAFFD2" w14:textId="77777777" w:rsidR="00DA3375" w:rsidRPr="00754E7D" w:rsidRDefault="00DA3375" w:rsidP="00DA3F73">
      <w:pPr>
        <w:pStyle w:val="FSRHeading6"/>
      </w:pPr>
      <w:bookmarkStart w:id="1199" w:name="_Toc104291123"/>
      <w:r w:rsidRPr="0047087C">
        <w:t>Adjustments for Development Delay</w:t>
      </w:r>
      <w:bookmarkEnd w:id="1199"/>
    </w:p>
    <w:p w14:paraId="6B650277" w14:textId="77777777" w:rsidR="00DA3375" w:rsidRDefault="00DA3375" w:rsidP="00DA3375">
      <w:pPr>
        <w:pStyle w:val="FSRnormal"/>
      </w:pPr>
      <w:r>
        <w:t xml:space="preserve">Adjustment to rates of participants leaving the Scheme for development delay are made after the re-mapping of </w:t>
      </w:r>
      <w:r w:rsidR="003105ED">
        <w:t xml:space="preserve">reported </w:t>
      </w:r>
      <w:r>
        <w:t xml:space="preserve">level of function from </w:t>
      </w:r>
      <w:r w:rsidR="003105ED">
        <w:t xml:space="preserve">the </w:t>
      </w:r>
      <w:r>
        <w:t xml:space="preserve">normalised assessment score (0 to 15) to AFSR specific level of function. DEL_1 includes participants with </w:t>
      </w:r>
      <w:r w:rsidR="00392E4F">
        <w:t>d</w:t>
      </w:r>
      <w:r w:rsidR="001475A6">
        <w:t xml:space="preserve">evelopmental </w:t>
      </w:r>
      <w:r w:rsidR="00392E4F">
        <w:t>d</w:t>
      </w:r>
      <w:r w:rsidR="001475A6">
        <w:t xml:space="preserve">elay with </w:t>
      </w:r>
      <w:r>
        <w:t xml:space="preserve">normalised assessment score 1 to 8, while DEL_2 includes participants with </w:t>
      </w:r>
      <w:r w:rsidR="00392E4F">
        <w:t>d</w:t>
      </w:r>
      <w:r w:rsidR="001475A6">
        <w:t xml:space="preserve">evelopmental </w:t>
      </w:r>
      <w:r w:rsidR="00392E4F">
        <w:t>d</w:t>
      </w:r>
      <w:r w:rsidR="001475A6">
        <w:t xml:space="preserve">elay with </w:t>
      </w:r>
      <w:r>
        <w:t>normalised assessment score 9 to 15.</w:t>
      </w:r>
    </w:p>
    <w:p w14:paraId="1D1C6DB8" w14:textId="77777777" w:rsidR="00DA3375" w:rsidRDefault="00DA3375" w:rsidP="00DA3375">
      <w:pPr>
        <w:pStyle w:val="FSRnormal"/>
      </w:pPr>
      <w:r>
        <w:t>Actual rates of participants leaving by individual ages for age 0 to 14 are very volatile for both DEL_1 and DEL_2. These rates have been smoothed by pooling the experience of specific age groups, ensuring that the average rates increase with age, while retaining the overall shape of the actual experience.</w:t>
      </w:r>
    </w:p>
    <w:p w14:paraId="66A9E144" w14:textId="77777777" w:rsidR="00DA3375" w:rsidRDefault="00DA3375" w:rsidP="00DA3375">
      <w:pPr>
        <w:pStyle w:val="FSRnormal"/>
      </w:pPr>
      <w:r>
        <w:t xml:space="preserve">The smoothed rates </w:t>
      </w:r>
      <w:r w:rsidR="00626F55">
        <w:t xml:space="preserve">of participants leaving </w:t>
      </w:r>
      <w:r>
        <w:t xml:space="preserve">are then blended with previous assumptions, with 50% credibility assigned to the actual experience. </w:t>
      </w:r>
      <w:r w:rsidR="00CA7EAB">
        <w:t>Tables I.3 and I.4</w:t>
      </w:r>
      <w:r>
        <w:t xml:space="preserve"> show the rates used in this process for ages 0 to 14.</w:t>
      </w:r>
    </w:p>
    <w:p w14:paraId="1E33DB1A" w14:textId="77777777" w:rsidR="00DA3375" w:rsidRDefault="00626F55" w:rsidP="00DA3375">
      <w:pPr>
        <w:pStyle w:val="FSRnormal"/>
      </w:pPr>
      <w:r>
        <w:t>R</w:t>
      </w:r>
      <w:r w:rsidR="00DA3375">
        <w:t>ates</w:t>
      </w:r>
      <w:r>
        <w:t xml:space="preserve"> of participants leaving the Scheme</w:t>
      </w:r>
      <w:r w:rsidR="00DA3375">
        <w:t xml:space="preserve"> for several ages above 14 have also been adjusted to ensure that the rates increase with age.</w:t>
      </w:r>
    </w:p>
    <w:p w14:paraId="46692F6A" w14:textId="77777777" w:rsidR="00852969" w:rsidRDefault="00852969">
      <w:pPr>
        <w:spacing w:after="160" w:line="259" w:lineRule="auto"/>
        <w:rPr>
          <w:rFonts w:eastAsiaTheme="minorHAnsi"/>
          <w:b/>
          <w:bCs/>
          <w:szCs w:val="18"/>
          <w:lang w:eastAsia="en-US"/>
        </w:rPr>
      </w:pPr>
      <w:r>
        <w:br w:type="page"/>
      </w:r>
    </w:p>
    <w:p w14:paraId="4C4CCD79" w14:textId="77777777" w:rsidR="00DA3375" w:rsidRDefault="00DA3375">
      <w:pPr>
        <w:pStyle w:val="Tables"/>
      </w:pPr>
      <w:r>
        <w:lastRenderedPageBreak/>
        <w:t xml:space="preserve">Table </w:t>
      </w:r>
      <w:r w:rsidR="000D71B7">
        <w:t>I</w:t>
      </w:r>
      <w:r w:rsidR="00A87896">
        <w:t>.</w:t>
      </w:r>
      <w:fldSimple w:instr=" SEQ Table \* ARABIC \s 2 ">
        <w:r w:rsidR="00A87896">
          <w:rPr>
            <w:noProof/>
          </w:rPr>
          <w:t>3</w:t>
        </w:r>
      </w:fldSimple>
      <w:r>
        <w:t xml:space="preserve">: </w:t>
      </w:r>
      <w:r w:rsidRPr="009F237B">
        <w:t>Adjustments for Developmental Delay (age 0 to 14) for DEL_1, excluding duration 0-1 year</w:t>
      </w:r>
    </w:p>
    <w:tbl>
      <w:tblPr>
        <w:tblW w:w="5000" w:type="pct"/>
        <w:tblLayout w:type="fixed"/>
        <w:tblLook w:val="04A0" w:firstRow="1" w:lastRow="0" w:firstColumn="1" w:lastColumn="0" w:noHBand="0" w:noVBand="1"/>
      </w:tblPr>
      <w:tblGrid>
        <w:gridCol w:w="905"/>
        <w:gridCol w:w="1145"/>
        <w:gridCol w:w="1251"/>
        <w:gridCol w:w="1155"/>
        <w:gridCol w:w="1321"/>
        <w:gridCol w:w="1520"/>
        <w:gridCol w:w="1729"/>
      </w:tblGrid>
      <w:tr w:rsidR="000605EB" w:rsidRPr="002256A4" w14:paraId="2801D414" w14:textId="77777777" w:rsidTr="00F830E6">
        <w:trPr>
          <w:trHeight w:val="308"/>
          <w:tblHeader/>
        </w:trPr>
        <w:tc>
          <w:tcPr>
            <w:tcW w:w="501" w:type="pct"/>
            <w:tcBorders>
              <w:top w:val="nil"/>
              <w:left w:val="nil"/>
              <w:bottom w:val="nil"/>
              <w:right w:val="nil"/>
            </w:tcBorders>
            <w:shd w:val="clear" w:color="000000" w:fill="6B2976"/>
            <w:vAlign w:val="center"/>
            <w:hideMark/>
          </w:tcPr>
          <w:p w14:paraId="39737E3D" w14:textId="77777777" w:rsidR="000605EB" w:rsidRPr="00F830E6" w:rsidRDefault="000605EB" w:rsidP="009C7082">
            <w:pPr>
              <w:spacing w:after="0" w:line="240" w:lineRule="auto"/>
              <w:rPr>
                <w:rFonts w:eastAsia="Times New Roman" w:cs="Arial"/>
                <w:b/>
                <w:bCs/>
                <w:color w:val="FFFFFF"/>
                <w:sz w:val="18"/>
                <w:szCs w:val="18"/>
              </w:rPr>
            </w:pPr>
            <w:r w:rsidRPr="00F830E6">
              <w:rPr>
                <w:rFonts w:eastAsia="Times New Roman" w:cs="Arial"/>
                <w:b/>
                <w:bCs/>
                <w:color w:val="FFFFFF"/>
                <w:sz w:val="18"/>
                <w:szCs w:val="18"/>
              </w:rPr>
              <w:t>DEL_1</w:t>
            </w:r>
          </w:p>
        </w:tc>
        <w:tc>
          <w:tcPr>
            <w:tcW w:w="1327" w:type="pct"/>
            <w:gridSpan w:val="2"/>
            <w:tcBorders>
              <w:top w:val="nil"/>
              <w:left w:val="nil"/>
              <w:bottom w:val="single" w:sz="4" w:space="0" w:color="FFFFFF"/>
              <w:right w:val="nil"/>
            </w:tcBorders>
            <w:shd w:val="clear" w:color="000000" w:fill="6B2976"/>
            <w:noWrap/>
            <w:vAlign w:val="center"/>
            <w:hideMark/>
          </w:tcPr>
          <w:p w14:paraId="1EBEB77D" w14:textId="77777777" w:rsidR="000605EB" w:rsidRPr="00F830E6" w:rsidRDefault="000605EB" w:rsidP="009C7082">
            <w:pPr>
              <w:spacing w:after="0" w:line="240" w:lineRule="auto"/>
              <w:jc w:val="center"/>
              <w:rPr>
                <w:rFonts w:eastAsia="Times New Roman" w:cs="Arial"/>
                <w:b/>
                <w:bCs/>
                <w:color w:val="FFFFFF"/>
                <w:sz w:val="18"/>
                <w:szCs w:val="18"/>
              </w:rPr>
            </w:pPr>
            <w:r w:rsidRPr="00F830E6">
              <w:rPr>
                <w:rFonts w:eastAsia="Times New Roman" w:cs="Arial"/>
                <w:b/>
                <w:bCs/>
                <w:color w:val="FFFFFF"/>
                <w:sz w:val="18"/>
                <w:szCs w:val="18"/>
              </w:rPr>
              <w:t>Rates of Leaving the Scheme</w:t>
            </w:r>
          </w:p>
        </w:tc>
        <w:tc>
          <w:tcPr>
            <w:tcW w:w="1372" w:type="pct"/>
            <w:gridSpan w:val="2"/>
            <w:tcBorders>
              <w:top w:val="nil"/>
              <w:left w:val="nil"/>
              <w:bottom w:val="single" w:sz="4" w:space="0" w:color="FFFFFF"/>
              <w:right w:val="nil"/>
            </w:tcBorders>
            <w:shd w:val="clear" w:color="000000" w:fill="6B2976"/>
            <w:noWrap/>
            <w:vAlign w:val="center"/>
            <w:hideMark/>
          </w:tcPr>
          <w:p w14:paraId="1591FB46" w14:textId="77777777" w:rsidR="000605EB" w:rsidRPr="00F830E6" w:rsidRDefault="000605EB" w:rsidP="009C7082">
            <w:pPr>
              <w:spacing w:after="0" w:line="240" w:lineRule="auto"/>
              <w:jc w:val="center"/>
              <w:rPr>
                <w:rFonts w:eastAsia="Times New Roman" w:cs="Arial"/>
                <w:b/>
                <w:bCs/>
                <w:color w:val="FFFFFF"/>
                <w:sz w:val="18"/>
                <w:szCs w:val="18"/>
              </w:rPr>
            </w:pPr>
            <w:r w:rsidRPr="00F830E6">
              <w:rPr>
                <w:rFonts w:eastAsia="Times New Roman" w:cs="Arial"/>
                <w:b/>
                <w:bCs/>
                <w:color w:val="FFFFFF"/>
                <w:sz w:val="18"/>
                <w:szCs w:val="18"/>
              </w:rPr>
              <w:t>Difference</w:t>
            </w:r>
          </w:p>
        </w:tc>
        <w:tc>
          <w:tcPr>
            <w:tcW w:w="842" w:type="pct"/>
            <w:vMerge w:val="restart"/>
            <w:tcBorders>
              <w:top w:val="nil"/>
              <w:left w:val="nil"/>
              <w:right w:val="nil"/>
            </w:tcBorders>
            <w:shd w:val="clear" w:color="000000" w:fill="6B2976"/>
            <w:vAlign w:val="center"/>
            <w:hideMark/>
          </w:tcPr>
          <w:p w14:paraId="1C615D23" w14:textId="77777777" w:rsidR="000605EB" w:rsidRPr="00F830E6" w:rsidRDefault="000605EB" w:rsidP="009C7082">
            <w:pPr>
              <w:spacing w:after="0" w:line="240" w:lineRule="auto"/>
              <w:jc w:val="right"/>
              <w:rPr>
                <w:rFonts w:eastAsia="Times New Roman" w:cs="Arial"/>
                <w:b/>
                <w:bCs/>
                <w:color w:val="FFFFFF"/>
                <w:sz w:val="18"/>
                <w:szCs w:val="18"/>
              </w:rPr>
            </w:pPr>
            <w:r w:rsidRPr="00F830E6">
              <w:rPr>
                <w:rFonts w:eastAsia="Times New Roman" w:cs="Arial"/>
                <w:b/>
                <w:bCs/>
                <w:color w:val="FFFFFF"/>
                <w:sz w:val="18"/>
                <w:szCs w:val="18"/>
              </w:rPr>
              <w:t>Pooled Actual Rate</w:t>
            </w:r>
          </w:p>
        </w:tc>
        <w:tc>
          <w:tcPr>
            <w:tcW w:w="959" w:type="pct"/>
            <w:vMerge w:val="restart"/>
            <w:tcBorders>
              <w:top w:val="nil"/>
              <w:left w:val="nil"/>
              <w:right w:val="nil"/>
            </w:tcBorders>
            <w:shd w:val="clear" w:color="000000" w:fill="6B2976"/>
            <w:vAlign w:val="center"/>
            <w:hideMark/>
          </w:tcPr>
          <w:p w14:paraId="5E3EBDBD" w14:textId="77777777" w:rsidR="000605EB" w:rsidRPr="00F830E6" w:rsidRDefault="000605EB" w:rsidP="009C7082">
            <w:pPr>
              <w:spacing w:after="0" w:line="240" w:lineRule="auto"/>
              <w:jc w:val="right"/>
              <w:rPr>
                <w:rFonts w:eastAsia="Times New Roman" w:cs="Arial"/>
                <w:b/>
                <w:bCs/>
                <w:color w:val="FFFFFF"/>
                <w:sz w:val="18"/>
                <w:szCs w:val="18"/>
              </w:rPr>
            </w:pPr>
            <w:r w:rsidRPr="00F830E6">
              <w:rPr>
                <w:rFonts w:eastAsia="Times New Roman" w:cs="Arial"/>
                <w:b/>
                <w:bCs/>
                <w:color w:val="FFFFFF"/>
                <w:sz w:val="18"/>
                <w:szCs w:val="18"/>
              </w:rPr>
              <w:t>2021-22 AFSR Assumption</w:t>
            </w:r>
          </w:p>
        </w:tc>
      </w:tr>
      <w:tr w:rsidR="000605EB" w:rsidRPr="002256A4" w14:paraId="7C3A4586" w14:textId="77777777" w:rsidTr="00F830E6">
        <w:trPr>
          <w:trHeight w:val="308"/>
          <w:tblHeader/>
        </w:trPr>
        <w:tc>
          <w:tcPr>
            <w:tcW w:w="501" w:type="pct"/>
            <w:tcBorders>
              <w:top w:val="nil"/>
              <w:left w:val="nil"/>
              <w:bottom w:val="nil"/>
              <w:right w:val="nil"/>
            </w:tcBorders>
            <w:shd w:val="clear" w:color="000000" w:fill="6B2976"/>
            <w:vAlign w:val="center"/>
            <w:hideMark/>
          </w:tcPr>
          <w:p w14:paraId="6931C3A0" w14:textId="77777777" w:rsidR="000605EB" w:rsidRPr="00F830E6" w:rsidRDefault="000605EB" w:rsidP="009C7082">
            <w:pPr>
              <w:spacing w:after="0" w:line="240" w:lineRule="auto"/>
              <w:rPr>
                <w:rFonts w:eastAsia="Times New Roman" w:cs="Arial"/>
                <w:b/>
                <w:bCs/>
                <w:color w:val="FFFFFF"/>
                <w:sz w:val="18"/>
                <w:szCs w:val="18"/>
              </w:rPr>
            </w:pPr>
            <w:r w:rsidRPr="00F830E6">
              <w:rPr>
                <w:rFonts w:eastAsia="Times New Roman" w:cs="Arial"/>
                <w:b/>
                <w:bCs/>
                <w:color w:val="FFFFFF"/>
                <w:sz w:val="18"/>
                <w:szCs w:val="18"/>
              </w:rPr>
              <w:t>Age</w:t>
            </w:r>
          </w:p>
        </w:tc>
        <w:tc>
          <w:tcPr>
            <w:tcW w:w="634" w:type="pct"/>
            <w:tcBorders>
              <w:top w:val="nil"/>
              <w:left w:val="nil"/>
              <w:bottom w:val="nil"/>
              <w:right w:val="nil"/>
            </w:tcBorders>
            <w:shd w:val="clear" w:color="000000" w:fill="6B2976"/>
            <w:vAlign w:val="center"/>
            <w:hideMark/>
          </w:tcPr>
          <w:p w14:paraId="352AD274" w14:textId="77777777" w:rsidR="000605EB" w:rsidRPr="00F830E6" w:rsidRDefault="000605EB" w:rsidP="009C7082">
            <w:pPr>
              <w:spacing w:after="0" w:line="240" w:lineRule="auto"/>
              <w:jc w:val="right"/>
              <w:rPr>
                <w:rFonts w:eastAsia="Times New Roman" w:cs="Arial"/>
                <w:b/>
                <w:bCs/>
                <w:color w:val="FFFFFF"/>
                <w:sz w:val="18"/>
                <w:szCs w:val="18"/>
              </w:rPr>
            </w:pPr>
            <w:r w:rsidRPr="00F830E6">
              <w:rPr>
                <w:rFonts w:eastAsia="Times New Roman" w:cs="Arial"/>
                <w:b/>
                <w:bCs/>
                <w:color w:val="FFFFFF"/>
                <w:sz w:val="18"/>
                <w:szCs w:val="18"/>
              </w:rPr>
              <w:t>Actual</w:t>
            </w:r>
          </w:p>
        </w:tc>
        <w:tc>
          <w:tcPr>
            <w:tcW w:w="693" w:type="pct"/>
            <w:tcBorders>
              <w:top w:val="nil"/>
              <w:left w:val="nil"/>
              <w:bottom w:val="nil"/>
              <w:right w:val="nil"/>
            </w:tcBorders>
            <w:shd w:val="clear" w:color="000000" w:fill="6B2976"/>
            <w:vAlign w:val="center"/>
            <w:hideMark/>
          </w:tcPr>
          <w:p w14:paraId="46D8733F" w14:textId="77777777" w:rsidR="000605EB" w:rsidRPr="00F830E6" w:rsidRDefault="000605EB" w:rsidP="009C7082">
            <w:pPr>
              <w:spacing w:after="0" w:line="240" w:lineRule="auto"/>
              <w:jc w:val="right"/>
              <w:rPr>
                <w:rFonts w:eastAsia="Times New Roman" w:cs="Arial"/>
                <w:b/>
                <w:bCs/>
                <w:color w:val="FFFFFF"/>
                <w:sz w:val="18"/>
                <w:szCs w:val="18"/>
              </w:rPr>
            </w:pPr>
            <w:r w:rsidRPr="00F830E6">
              <w:rPr>
                <w:rFonts w:eastAsia="Times New Roman" w:cs="Arial"/>
                <w:b/>
                <w:bCs/>
                <w:color w:val="FFFFFF"/>
                <w:sz w:val="18"/>
                <w:szCs w:val="18"/>
              </w:rPr>
              <w:t>Expected (2020-21 AFSR)</w:t>
            </w:r>
          </w:p>
        </w:tc>
        <w:tc>
          <w:tcPr>
            <w:tcW w:w="640" w:type="pct"/>
            <w:tcBorders>
              <w:top w:val="nil"/>
              <w:left w:val="nil"/>
              <w:bottom w:val="nil"/>
              <w:right w:val="nil"/>
            </w:tcBorders>
            <w:shd w:val="clear" w:color="000000" w:fill="6B2976"/>
            <w:vAlign w:val="center"/>
            <w:hideMark/>
          </w:tcPr>
          <w:p w14:paraId="78CA202F" w14:textId="77777777" w:rsidR="000605EB" w:rsidRPr="00F830E6" w:rsidRDefault="000605EB" w:rsidP="009C7082">
            <w:pPr>
              <w:spacing w:after="0" w:line="240" w:lineRule="auto"/>
              <w:jc w:val="right"/>
              <w:rPr>
                <w:rFonts w:eastAsia="Times New Roman" w:cs="Arial"/>
                <w:b/>
                <w:bCs/>
                <w:color w:val="FFFFFF"/>
                <w:sz w:val="18"/>
                <w:szCs w:val="18"/>
              </w:rPr>
            </w:pPr>
            <w:r w:rsidRPr="00F830E6">
              <w:rPr>
                <w:rFonts w:eastAsia="Times New Roman" w:cs="Arial"/>
                <w:b/>
                <w:bCs/>
                <w:color w:val="FFFFFF"/>
                <w:sz w:val="18"/>
                <w:szCs w:val="18"/>
              </w:rPr>
              <w:t>%</w:t>
            </w:r>
          </w:p>
        </w:tc>
        <w:tc>
          <w:tcPr>
            <w:tcW w:w="732" w:type="pct"/>
            <w:tcBorders>
              <w:top w:val="nil"/>
              <w:left w:val="nil"/>
              <w:bottom w:val="nil"/>
              <w:right w:val="nil"/>
            </w:tcBorders>
            <w:shd w:val="clear" w:color="000000" w:fill="6B2976"/>
            <w:vAlign w:val="center"/>
            <w:hideMark/>
          </w:tcPr>
          <w:p w14:paraId="7D41A547" w14:textId="77777777" w:rsidR="000605EB" w:rsidRPr="00F830E6" w:rsidRDefault="000605EB" w:rsidP="009C7082">
            <w:pPr>
              <w:spacing w:after="0" w:line="240" w:lineRule="auto"/>
              <w:jc w:val="right"/>
              <w:rPr>
                <w:rFonts w:eastAsia="Times New Roman" w:cs="Arial"/>
                <w:b/>
                <w:bCs/>
                <w:color w:val="FFFFFF"/>
                <w:sz w:val="18"/>
                <w:szCs w:val="18"/>
              </w:rPr>
            </w:pPr>
            <w:r w:rsidRPr="00F830E6">
              <w:rPr>
                <w:rFonts w:eastAsia="Times New Roman" w:cs="Arial"/>
                <w:b/>
                <w:bCs/>
                <w:color w:val="FFFFFF"/>
                <w:sz w:val="18"/>
                <w:szCs w:val="18"/>
              </w:rPr>
              <w:t>% Change</w:t>
            </w:r>
          </w:p>
        </w:tc>
        <w:tc>
          <w:tcPr>
            <w:tcW w:w="842" w:type="pct"/>
            <w:vMerge/>
            <w:tcBorders>
              <w:left w:val="nil"/>
              <w:bottom w:val="nil"/>
              <w:right w:val="nil"/>
            </w:tcBorders>
            <w:vAlign w:val="center"/>
            <w:hideMark/>
          </w:tcPr>
          <w:p w14:paraId="5A6E9EE2" w14:textId="77777777" w:rsidR="000605EB" w:rsidRPr="00F830E6" w:rsidRDefault="000605EB" w:rsidP="00DA3375">
            <w:pPr>
              <w:spacing w:after="0" w:line="240" w:lineRule="auto"/>
              <w:rPr>
                <w:rFonts w:eastAsia="Times New Roman" w:cs="Arial"/>
                <w:b/>
                <w:bCs/>
                <w:color w:val="FFFFFF"/>
                <w:sz w:val="18"/>
                <w:szCs w:val="18"/>
              </w:rPr>
            </w:pPr>
          </w:p>
        </w:tc>
        <w:tc>
          <w:tcPr>
            <w:tcW w:w="959" w:type="pct"/>
            <w:vMerge/>
            <w:tcBorders>
              <w:left w:val="nil"/>
              <w:bottom w:val="nil"/>
              <w:right w:val="nil"/>
            </w:tcBorders>
            <w:vAlign w:val="center"/>
            <w:hideMark/>
          </w:tcPr>
          <w:p w14:paraId="60D23B50" w14:textId="77777777" w:rsidR="000605EB" w:rsidRPr="00F830E6" w:rsidRDefault="000605EB" w:rsidP="00DA3375">
            <w:pPr>
              <w:spacing w:after="0" w:line="240" w:lineRule="auto"/>
              <w:rPr>
                <w:rFonts w:eastAsia="Times New Roman" w:cs="Arial"/>
                <w:b/>
                <w:bCs/>
                <w:color w:val="FFFFFF"/>
                <w:sz w:val="18"/>
                <w:szCs w:val="18"/>
              </w:rPr>
            </w:pPr>
          </w:p>
        </w:tc>
      </w:tr>
      <w:tr w:rsidR="002256A4" w:rsidRPr="002256A4" w14:paraId="0141C5BE" w14:textId="77777777" w:rsidTr="002256A4">
        <w:trPr>
          <w:trHeight w:val="292"/>
        </w:trPr>
        <w:tc>
          <w:tcPr>
            <w:tcW w:w="501" w:type="pct"/>
            <w:tcBorders>
              <w:top w:val="nil"/>
              <w:left w:val="nil"/>
              <w:bottom w:val="nil"/>
              <w:right w:val="nil"/>
            </w:tcBorders>
            <w:shd w:val="clear" w:color="auto" w:fill="auto"/>
            <w:noWrap/>
            <w:vAlign w:val="center"/>
            <w:hideMark/>
          </w:tcPr>
          <w:p w14:paraId="628A213C"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0</w:t>
            </w:r>
          </w:p>
        </w:tc>
        <w:tc>
          <w:tcPr>
            <w:tcW w:w="634" w:type="pct"/>
            <w:tcBorders>
              <w:top w:val="nil"/>
              <w:left w:val="single" w:sz="4" w:space="0" w:color="auto"/>
              <w:bottom w:val="nil"/>
              <w:right w:val="nil"/>
            </w:tcBorders>
            <w:shd w:val="clear" w:color="auto" w:fill="auto"/>
            <w:noWrap/>
            <w:vAlign w:val="bottom"/>
            <w:hideMark/>
          </w:tcPr>
          <w:p w14:paraId="6829E8DD" w14:textId="77777777" w:rsidR="000605EB" w:rsidRPr="00F830E6" w:rsidRDefault="000605EB" w:rsidP="00DA3375">
            <w:pPr>
              <w:spacing w:after="0" w:line="240" w:lineRule="auto"/>
              <w:rPr>
                <w:rFonts w:eastAsia="Times New Roman" w:cs="Arial"/>
                <w:color w:val="000000"/>
                <w:sz w:val="18"/>
                <w:szCs w:val="18"/>
              </w:rPr>
            </w:pPr>
            <w:r w:rsidRPr="00F830E6">
              <w:rPr>
                <w:rFonts w:eastAsia="Times New Roman" w:cs="Arial"/>
                <w:color w:val="000000"/>
                <w:sz w:val="18"/>
                <w:szCs w:val="18"/>
              </w:rPr>
              <w:t> </w:t>
            </w:r>
          </w:p>
        </w:tc>
        <w:tc>
          <w:tcPr>
            <w:tcW w:w="693" w:type="pct"/>
            <w:tcBorders>
              <w:top w:val="nil"/>
              <w:left w:val="nil"/>
              <w:bottom w:val="nil"/>
              <w:right w:val="single" w:sz="4" w:space="0" w:color="auto"/>
            </w:tcBorders>
            <w:shd w:val="clear" w:color="auto" w:fill="auto"/>
            <w:noWrap/>
            <w:vAlign w:val="bottom"/>
            <w:hideMark/>
          </w:tcPr>
          <w:p w14:paraId="2AD75FF8" w14:textId="77777777" w:rsidR="000605EB" w:rsidRPr="00F830E6" w:rsidRDefault="000605EB" w:rsidP="00DA3375">
            <w:pPr>
              <w:spacing w:after="0" w:line="240" w:lineRule="auto"/>
              <w:rPr>
                <w:rFonts w:eastAsia="Times New Roman" w:cs="Arial"/>
                <w:color w:val="000000"/>
                <w:sz w:val="18"/>
                <w:szCs w:val="18"/>
              </w:rPr>
            </w:pPr>
            <w:r w:rsidRPr="00F830E6">
              <w:rPr>
                <w:rFonts w:eastAsia="Times New Roman" w:cs="Arial"/>
                <w:color w:val="000000"/>
                <w:sz w:val="18"/>
                <w:szCs w:val="18"/>
              </w:rPr>
              <w:t> </w:t>
            </w:r>
          </w:p>
        </w:tc>
        <w:tc>
          <w:tcPr>
            <w:tcW w:w="640" w:type="pct"/>
            <w:tcBorders>
              <w:top w:val="nil"/>
              <w:left w:val="nil"/>
              <w:bottom w:val="nil"/>
              <w:right w:val="nil"/>
            </w:tcBorders>
            <w:shd w:val="clear" w:color="auto" w:fill="auto"/>
            <w:noWrap/>
            <w:vAlign w:val="bottom"/>
            <w:hideMark/>
          </w:tcPr>
          <w:p w14:paraId="23898656" w14:textId="77777777" w:rsidR="000605EB" w:rsidRPr="00F830E6" w:rsidRDefault="000605EB" w:rsidP="00DA3375">
            <w:pPr>
              <w:spacing w:after="0" w:line="240" w:lineRule="auto"/>
              <w:rPr>
                <w:rFonts w:eastAsia="Times New Roman" w:cs="Arial"/>
                <w:color w:val="000000"/>
                <w:sz w:val="18"/>
                <w:szCs w:val="18"/>
              </w:rPr>
            </w:pPr>
            <w:r w:rsidRPr="00F830E6">
              <w:rPr>
                <w:rFonts w:eastAsia="Times New Roman" w:cs="Arial"/>
                <w:color w:val="000000"/>
                <w:sz w:val="18"/>
                <w:szCs w:val="18"/>
              </w:rPr>
              <w:t> </w:t>
            </w:r>
          </w:p>
        </w:tc>
        <w:tc>
          <w:tcPr>
            <w:tcW w:w="732" w:type="pct"/>
            <w:tcBorders>
              <w:top w:val="nil"/>
              <w:left w:val="nil"/>
              <w:bottom w:val="nil"/>
              <w:right w:val="single" w:sz="4" w:space="0" w:color="auto"/>
            </w:tcBorders>
            <w:shd w:val="clear" w:color="auto" w:fill="auto"/>
            <w:noWrap/>
            <w:vAlign w:val="bottom"/>
            <w:hideMark/>
          </w:tcPr>
          <w:p w14:paraId="6DF35187" w14:textId="77777777" w:rsidR="000605EB" w:rsidRPr="00F830E6" w:rsidRDefault="000605EB" w:rsidP="00DA3375">
            <w:pPr>
              <w:spacing w:after="0" w:line="240" w:lineRule="auto"/>
              <w:rPr>
                <w:rFonts w:eastAsia="Times New Roman" w:cs="Arial"/>
                <w:color w:val="000000"/>
                <w:sz w:val="18"/>
                <w:szCs w:val="18"/>
              </w:rPr>
            </w:pPr>
            <w:r w:rsidRPr="00F830E6">
              <w:rPr>
                <w:rFonts w:eastAsia="Times New Roman" w:cs="Arial"/>
                <w:color w:val="000000"/>
                <w:sz w:val="18"/>
                <w:szCs w:val="18"/>
              </w:rPr>
              <w:t> </w:t>
            </w:r>
          </w:p>
        </w:tc>
        <w:tc>
          <w:tcPr>
            <w:tcW w:w="842" w:type="pct"/>
            <w:tcBorders>
              <w:top w:val="nil"/>
              <w:left w:val="nil"/>
              <w:bottom w:val="nil"/>
              <w:right w:val="nil"/>
            </w:tcBorders>
            <w:shd w:val="clear" w:color="auto" w:fill="auto"/>
            <w:noWrap/>
            <w:vAlign w:val="center"/>
            <w:hideMark/>
          </w:tcPr>
          <w:p w14:paraId="2A8BA267"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0.8%</w:t>
            </w:r>
          </w:p>
        </w:tc>
        <w:tc>
          <w:tcPr>
            <w:tcW w:w="959" w:type="pct"/>
            <w:tcBorders>
              <w:top w:val="nil"/>
              <w:left w:val="nil"/>
              <w:bottom w:val="nil"/>
              <w:right w:val="nil"/>
            </w:tcBorders>
            <w:shd w:val="clear" w:color="auto" w:fill="auto"/>
            <w:noWrap/>
            <w:vAlign w:val="center"/>
            <w:hideMark/>
          </w:tcPr>
          <w:p w14:paraId="49E214B8"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2.6%</w:t>
            </w:r>
          </w:p>
        </w:tc>
      </w:tr>
      <w:tr w:rsidR="002256A4" w:rsidRPr="002256A4" w14:paraId="465BC482" w14:textId="77777777" w:rsidTr="002256A4">
        <w:trPr>
          <w:trHeight w:val="292"/>
        </w:trPr>
        <w:tc>
          <w:tcPr>
            <w:tcW w:w="501" w:type="pct"/>
            <w:tcBorders>
              <w:top w:val="nil"/>
              <w:left w:val="nil"/>
              <w:bottom w:val="nil"/>
              <w:right w:val="nil"/>
            </w:tcBorders>
            <w:shd w:val="clear" w:color="000000" w:fill="BFBFBF"/>
            <w:noWrap/>
            <w:vAlign w:val="center"/>
            <w:hideMark/>
          </w:tcPr>
          <w:p w14:paraId="534BB6E8"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1</w:t>
            </w:r>
          </w:p>
        </w:tc>
        <w:tc>
          <w:tcPr>
            <w:tcW w:w="634" w:type="pct"/>
            <w:tcBorders>
              <w:top w:val="nil"/>
              <w:left w:val="single" w:sz="4" w:space="0" w:color="auto"/>
              <w:bottom w:val="nil"/>
              <w:right w:val="nil"/>
            </w:tcBorders>
            <w:shd w:val="clear" w:color="000000" w:fill="BFBFBF"/>
            <w:noWrap/>
            <w:vAlign w:val="center"/>
            <w:hideMark/>
          </w:tcPr>
          <w:p w14:paraId="1AB4B48E"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1.4%</w:t>
            </w:r>
          </w:p>
        </w:tc>
        <w:tc>
          <w:tcPr>
            <w:tcW w:w="693" w:type="pct"/>
            <w:tcBorders>
              <w:top w:val="nil"/>
              <w:left w:val="nil"/>
              <w:bottom w:val="nil"/>
              <w:right w:val="single" w:sz="4" w:space="0" w:color="auto"/>
            </w:tcBorders>
            <w:shd w:val="clear" w:color="000000" w:fill="BFBFBF"/>
            <w:noWrap/>
            <w:vAlign w:val="center"/>
            <w:hideMark/>
          </w:tcPr>
          <w:p w14:paraId="217F7B76"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4.4%</w:t>
            </w:r>
          </w:p>
        </w:tc>
        <w:tc>
          <w:tcPr>
            <w:tcW w:w="640" w:type="pct"/>
            <w:tcBorders>
              <w:top w:val="nil"/>
              <w:left w:val="nil"/>
              <w:bottom w:val="nil"/>
              <w:right w:val="nil"/>
            </w:tcBorders>
            <w:shd w:val="clear" w:color="000000" w:fill="BFBFBF"/>
            <w:noWrap/>
            <w:vAlign w:val="center"/>
            <w:hideMark/>
          </w:tcPr>
          <w:p w14:paraId="32B02979"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-3.0%</w:t>
            </w:r>
          </w:p>
        </w:tc>
        <w:tc>
          <w:tcPr>
            <w:tcW w:w="732" w:type="pct"/>
            <w:tcBorders>
              <w:top w:val="nil"/>
              <w:left w:val="nil"/>
              <w:bottom w:val="nil"/>
              <w:right w:val="single" w:sz="4" w:space="0" w:color="auto"/>
            </w:tcBorders>
            <w:shd w:val="clear" w:color="000000" w:fill="BFBFBF"/>
            <w:noWrap/>
            <w:vAlign w:val="center"/>
            <w:hideMark/>
          </w:tcPr>
          <w:p w14:paraId="2B33C500"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-68.5%</w:t>
            </w:r>
          </w:p>
        </w:tc>
        <w:tc>
          <w:tcPr>
            <w:tcW w:w="842" w:type="pct"/>
            <w:tcBorders>
              <w:top w:val="nil"/>
              <w:left w:val="nil"/>
              <w:bottom w:val="nil"/>
              <w:right w:val="nil"/>
            </w:tcBorders>
            <w:shd w:val="clear" w:color="000000" w:fill="BFBFBF"/>
            <w:noWrap/>
            <w:vAlign w:val="center"/>
            <w:hideMark/>
          </w:tcPr>
          <w:p w14:paraId="7C1953C2"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0.8%</w:t>
            </w:r>
          </w:p>
        </w:tc>
        <w:tc>
          <w:tcPr>
            <w:tcW w:w="959" w:type="pct"/>
            <w:tcBorders>
              <w:top w:val="nil"/>
              <w:left w:val="nil"/>
              <w:bottom w:val="nil"/>
              <w:right w:val="nil"/>
            </w:tcBorders>
            <w:shd w:val="clear" w:color="000000" w:fill="BFBFBF"/>
            <w:noWrap/>
            <w:vAlign w:val="center"/>
            <w:hideMark/>
          </w:tcPr>
          <w:p w14:paraId="72AF339B"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2.6%</w:t>
            </w:r>
          </w:p>
        </w:tc>
      </w:tr>
      <w:tr w:rsidR="002256A4" w:rsidRPr="002256A4" w14:paraId="6011D338" w14:textId="77777777" w:rsidTr="002256A4">
        <w:trPr>
          <w:trHeight w:val="292"/>
        </w:trPr>
        <w:tc>
          <w:tcPr>
            <w:tcW w:w="501" w:type="pct"/>
            <w:tcBorders>
              <w:top w:val="nil"/>
              <w:left w:val="nil"/>
              <w:bottom w:val="nil"/>
              <w:right w:val="nil"/>
            </w:tcBorders>
            <w:shd w:val="clear" w:color="auto" w:fill="auto"/>
            <w:noWrap/>
            <w:vAlign w:val="center"/>
            <w:hideMark/>
          </w:tcPr>
          <w:p w14:paraId="498E8B2A"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2</w:t>
            </w:r>
          </w:p>
        </w:tc>
        <w:tc>
          <w:tcPr>
            <w:tcW w:w="634" w:type="pct"/>
            <w:tcBorders>
              <w:top w:val="nil"/>
              <w:left w:val="single" w:sz="4" w:space="0" w:color="auto"/>
              <w:bottom w:val="nil"/>
              <w:right w:val="nil"/>
            </w:tcBorders>
            <w:shd w:val="clear" w:color="auto" w:fill="auto"/>
            <w:noWrap/>
            <w:vAlign w:val="center"/>
            <w:hideMark/>
          </w:tcPr>
          <w:p w14:paraId="7C7D9F39"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0.8%</w:t>
            </w:r>
          </w:p>
        </w:tc>
        <w:tc>
          <w:tcPr>
            <w:tcW w:w="693" w:type="pct"/>
            <w:tcBorders>
              <w:top w:val="nil"/>
              <w:left w:val="nil"/>
              <w:bottom w:val="nil"/>
              <w:right w:val="single" w:sz="4" w:space="0" w:color="auto"/>
            </w:tcBorders>
            <w:shd w:val="clear" w:color="auto" w:fill="auto"/>
            <w:noWrap/>
            <w:vAlign w:val="center"/>
            <w:hideMark/>
          </w:tcPr>
          <w:p w14:paraId="7A524D28"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4.4%</w:t>
            </w:r>
          </w:p>
        </w:tc>
        <w:tc>
          <w:tcPr>
            <w:tcW w:w="640" w:type="pct"/>
            <w:tcBorders>
              <w:top w:val="nil"/>
              <w:left w:val="nil"/>
              <w:bottom w:val="nil"/>
              <w:right w:val="nil"/>
            </w:tcBorders>
            <w:shd w:val="clear" w:color="auto" w:fill="auto"/>
            <w:noWrap/>
            <w:vAlign w:val="center"/>
            <w:hideMark/>
          </w:tcPr>
          <w:p w14:paraId="4266F6AF"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-3.6%</w:t>
            </w:r>
          </w:p>
        </w:tc>
        <w:tc>
          <w:tcPr>
            <w:tcW w:w="732" w:type="pct"/>
            <w:tcBorders>
              <w:top w:val="nil"/>
              <w:left w:val="nil"/>
              <w:bottom w:val="nil"/>
              <w:right w:val="single" w:sz="4" w:space="0" w:color="auto"/>
            </w:tcBorders>
            <w:shd w:val="clear" w:color="auto" w:fill="auto"/>
            <w:noWrap/>
            <w:vAlign w:val="center"/>
            <w:hideMark/>
          </w:tcPr>
          <w:p w14:paraId="03127ADC"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-80.8%</w:t>
            </w:r>
          </w:p>
        </w:tc>
        <w:tc>
          <w:tcPr>
            <w:tcW w:w="842" w:type="pct"/>
            <w:tcBorders>
              <w:top w:val="nil"/>
              <w:left w:val="nil"/>
              <w:bottom w:val="nil"/>
              <w:right w:val="nil"/>
            </w:tcBorders>
            <w:shd w:val="clear" w:color="auto" w:fill="auto"/>
            <w:noWrap/>
            <w:vAlign w:val="center"/>
            <w:hideMark/>
          </w:tcPr>
          <w:p w14:paraId="76FFF0E2"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0.8%</w:t>
            </w:r>
          </w:p>
        </w:tc>
        <w:tc>
          <w:tcPr>
            <w:tcW w:w="959" w:type="pct"/>
            <w:tcBorders>
              <w:top w:val="nil"/>
              <w:left w:val="nil"/>
              <w:bottom w:val="nil"/>
              <w:right w:val="nil"/>
            </w:tcBorders>
            <w:shd w:val="clear" w:color="auto" w:fill="auto"/>
            <w:noWrap/>
            <w:vAlign w:val="center"/>
            <w:hideMark/>
          </w:tcPr>
          <w:p w14:paraId="53C8F953"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2.6%</w:t>
            </w:r>
          </w:p>
        </w:tc>
      </w:tr>
      <w:tr w:rsidR="002256A4" w:rsidRPr="002256A4" w14:paraId="2CA29B0C" w14:textId="77777777" w:rsidTr="002256A4">
        <w:trPr>
          <w:trHeight w:val="292"/>
        </w:trPr>
        <w:tc>
          <w:tcPr>
            <w:tcW w:w="501" w:type="pct"/>
            <w:tcBorders>
              <w:top w:val="nil"/>
              <w:left w:val="nil"/>
              <w:bottom w:val="nil"/>
              <w:right w:val="nil"/>
            </w:tcBorders>
            <w:shd w:val="clear" w:color="000000" w:fill="BFBFBF"/>
            <w:noWrap/>
            <w:vAlign w:val="center"/>
            <w:hideMark/>
          </w:tcPr>
          <w:p w14:paraId="26E10507"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3</w:t>
            </w:r>
          </w:p>
        </w:tc>
        <w:tc>
          <w:tcPr>
            <w:tcW w:w="634" w:type="pct"/>
            <w:tcBorders>
              <w:top w:val="nil"/>
              <w:left w:val="single" w:sz="4" w:space="0" w:color="auto"/>
              <w:bottom w:val="nil"/>
              <w:right w:val="nil"/>
            </w:tcBorders>
            <w:shd w:val="clear" w:color="000000" w:fill="BFBFBF"/>
            <w:noWrap/>
            <w:vAlign w:val="center"/>
            <w:hideMark/>
          </w:tcPr>
          <w:p w14:paraId="218AB6C9"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1.6%</w:t>
            </w:r>
          </w:p>
        </w:tc>
        <w:tc>
          <w:tcPr>
            <w:tcW w:w="693" w:type="pct"/>
            <w:tcBorders>
              <w:top w:val="nil"/>
              <w:left w:val="nil"/>
              <w:bottom w:val="nil"/>
              <w:right w:val="single" w:sz="4" w:space="0" w:color="auto"/>
            </w:tcBorders>
            <w:shd w:val="clear" w:color="000000" w:fill="BFBFBF"/>
            <w:noWrap/>
            <w:vAlign w:val="center"/>
            <w:hideMark/>
          </w:tcPr>
          <w:p w14:paraId="6192FD4E"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4.4%</w:t>
            </w:r>
          </w:p>
        </w:tc>
        <w:tc>
          <w:tcPr>
            <w:tcW w:w="640" w:type="pct"/>
            <w:tcBorders>
              <w:top w:val="nil"/>
              <w:left w:val="nil"/>
              <w:bottom w:val="nil"/>
              <w:right w:val="nil"/>
            </w:tcBorders>
            <w:shd w:val="clear" w:color="000000" w:fill="BFBFBF"/>
            <w:noWrap/>
            <w:vAlign w:val="center"/>
            <w:hideMark/>
          </w:tcPr>
          <w:p w14:paraId="5F0C93B1"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-2.9%</w:t>
            </w:r>
          </w:p>
        </w:tc>
        <w:tc>
          <w:tcPr>
            <w:tcW w:w="732" w:type="pct"/>
            <w:tcBorders>
              <w:top w:val="nil"/>
              <w:left w:val="nil"/>
              <w:bottom w:val="nil"/>
              <w:right w:val="single" w:sz="4" w:space="0" w:color="auto"/>
            </w:tcBorders>
            <w:shd w:val="clear" w:color="000000" w:fill="BFBFBF"/>
            <w:noWrap/>
            <w:vAlign w:val="center"/>
            <w:hideMark/>
          </w:tcPr>
          <w:p w14:paraId="008ADEE5"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-64.6%</w:t>
            </w:r>
          </w:p>
        </w:tc>
        <w:tc>
          <w:tcPr>
            <w:tcW w:w="842" w:type="pct"/>
            <w:tcBorders>
              <w:top w:val="nil"/>
              <w:left w:val="nil"/>
              <w:bottom w:val="nil"/>
              <w:right w:val="nil"/>
            </w:tcBorders>
            <w:shd w:val="clear" w:color="000000" w:fill="BFBFBF"/>
            <w:noWrap/>
            <w:vAlign w:val="center"/>
            <w:hideMark/>
          </w:tcPr>
          <w:p w14:paraId="6A95B8C0"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0.8%</w:t>
            </w:r>
          </w:p>
        </w:tc>
        <w:tc>
          <w:tcPr>
            <w:tcW w:w="959" w:type="pct"/>
            <w:tcBorders>
              <w:top w:val="nil"/>
              <w:left w:val="nil"/>
              <w:bottom w:val="nil"/>
              <w:right w:val="nil"/>
            </w:tcBorders>
            <w:shd w:val="clear" w:color="000000" w:fill="BFBFBF"/>
            <w:noWrap/>
            <w:vAlign w:val="center"/>
            <w:hideMark/>
          </w:tcPr>
          <w:p w14:paraId="0CDD9B7C"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2.6%</w:t>
            </w:r>
          </w:p>
        </w:tc>
      </w:tr>
      <w:tr w:rsidR="002256A4" w:rsidRPr="002256A4" w14:paraId="4F3A4CA1" w14:textId="77777777" w:rsidTr="002256A4">
        <w:trPr>
          <w:trHeight w:val="292"/>
        </w:trPr>
        <w:tc>
          <w:tcPr>
            <w:tcW w:w="501" w:type="pct"/>
            <w:tcBorders>
              <w:top w:val="nil"/>
              <w:left w:val="nil"/>
              <w:bottom w:val="nil"/>
              <w:right w:val="nil"/>
            </w:tcBorders>
            <w:shd w:val="clear" w:color="auto" w:fill="auto"/>
            <w:noWrap/>
            <w:vAlign w:val="center"/>
            <w:hideMark/>
          </w:tcPr>
          <w:p w14:paraId="7522DB45"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4</w:t>
            </w:r>
          </w:p>
        </w:tc>
        <w:tc>
          <w:tcPr>
            <w:tcW w:w="634" w:type="pct"/>
            <w:tcBorders>
              <w:top w:val="nil"/>
              <w:left w:val="single" w:sz="4" w:space="0" w:color="auto"/>
              <w:bottom w:val="nil"/>
              <w:right w:val="nil"/>
            </w:tcBorders>
            <w:shd w:val="clear" w:color="auto" w:fill="auto"/>
            <w:noWrap/>
            <w:vAlign w:val="center"/>
            <w:hideMark/>
          </w:tcPr>
          <w:p w14:paraId="5542E3F2"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0.5%</w:t>
            </w:r>
          </w:p>
        </w:tc>
        <w:tc>
          <w:tcPr>
            <w:tcW w:w="693" w:type="pct"/>
            <w:tcBorders>
              <w:top w:val="nil"/>
              <w:left w:val="nil"/>
              <w:bottom w:val="nil"/>
              <w:right w:val="single" w:sz="4" w:space="0" w:color="auto"/>
            </w:tcBorders>
            <w:shd w:val="clear" w:color="auto" w:fill="auto"/>
            <w:noWrap/>
            <w:vAlign w:val="center"/>
            <w:hideMark/>
          </w:tcPr>
          <w:p w14:paraId="022F9AC0"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4.4%</w:t>
            </w:r>
          </w:p>
        </w:tc>
        <w:tc>
          <w:tcPr>
            <w:tcW w:w="640" w:type="pct"/>
            <w:tcBorders>
              <w:top w:val="nil"/>
              <w:left w:val="nil"/>
              <w:bottom w:val="nil"/>
              <w:right w:val="nil"/>
            </w:tcBorders>
            <w:shd w:val="clear" w:color="auto" w:fill="auto"/>
            <w:noWrap/>
            <w:vAlign w:val="center"/>
            <w:hideMark/>
          </w:tcPr>
          <w:p w14:paraId="77507770"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-3.9%</w:t>
            </w:r>
          </w:p>
        </w:tc>
        <w:tc>
          <w:tcPr>
            <w:tcW w:w="732" w:type="pct"/>
            <w:tcBorders>
              <w:top w:val="nil"/>
              <w:left w:val="nil"/>
              <w:bottom w:val="nil"/>
              <w:right w:val="single" w:sz="4" w:space="0" w:color="auto"/>
            </w:tcBorders>
            <w:shd w:val="clear" w:color="auto" w:fill="auto"/>
            <w:noWrap/>
            <w:vAlign w:val="center"/>
            <w:hideMark/>
          </w:tcPr>
          <w:p w14:paraId="6502ECAA"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-87.7%</w:t>
            </w:r>
          </w:p>
        </w:tc>
        <w:tc>
          <w:tcPr>
            <w:tcW w:w="842" w:type="pct"/>
            <w:tcBorders>
              <w:top w:val="nil"/>
              <w:left w:val="nil"/>
              <w:bottom w:val="nil"/>
              <w:right w:val="nil"/>
            </w:tcBorders>
            <w:shd w:val="clear" w:color="auto" w:fill="auto"/>
            <w:noWrap/>
            <w:vAlign w:val="center"/>
            <w:hideMark/>
          </w:tcPr>
          <w:p w14:paraId="3C3E1298"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0.8%</w:t>
            </w:r>
          </w:p>
        </w:tc>
        <w:tc>
          <w:tcPr>
            <w:tcW w:w="959" w:type="pct"/>
            <w:tcBorders>
              <w:top w:val="nil"/>
              <w:left w:val="nil"/>
              <w:bottom w:val="nil"/>
              <w:right w:val="nil"/>
            </w:tcBorders>
            <w:shd w:val="clear" w:color="auto" w:fill="auto"/>
            <w:noWrap/>
            <w:vAlign w:val="center"/>
            <w:hideMark/>
          </w:tcPr>
          <w:p w14:paraId="345C2D15"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2.6%</w:t>
            </w:r>
          </w:p>
        </w:tc>
      </w:tr>
      <w:tr w:rsidR="002256A4" w:rsidRPr="002256A4" w14:paraId="4010241D" w14:textId="77777777" w:rsidTr="002256A4">
        <w:trPr>
          <w:trHeight w:val="292"/>
        </w:trPr>
        <w:tc>
          <w:tcPr>
            <w:tcW w:w="501" w:type="pct"/>
            <w:tcBorders>
              <w:top w:val="nil"/>
              <w:left w:val="nil"/>
              <w:bottom w:val="nil"/>
              <w:right w:val="nil"/>
            </w:tcBorders>
            <w:shd w:val="clear" w:color="000000" w:fill="BFBFBF"/>
            <w:noWrap/>
            <w:vAlign w:val="center"/>
            <w:hideMark/>
          </w:tcPr>
          <w:p w14:paraId="0A9A99B4"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5</w:t>
            </w:r>
          </w:p>
        </w:tc>
        <w:tc>
          <w:tcPr>
            <w:tcW w:w="634" w:type="pct"/>
            <w:tcBorders>
              <w:top w:val="nil"/>
              <w:left w:val="single" w:sz="4" w:space="0" w:color="auto"/>
              <w:bottom w:val="nil"/>
              <w:right w:val="nil"/>
            </w:tcBorders>
            <w:shd w:val="clear" w:color="000000" w:fill="BFBFBF"/>
            <w:noWrap/>
            <w:vAlign w:val="center"/>
            <w:hideMark/>
          </w:tcPr>
          <w:p w14:paraId="6807405E"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0.8%</w:t>
            </w:r>
          </w:p>
        </w:tc>
        <w:tc>
          <w:tcPr>
            <w:tcW w:w="693" w:type="pct"/>
            <w:tcBorders>
              <w:top w:val="nil"/>
              <w:left w:val="nil"/>
              <w:bottom w:val="nil"/>
              <w:right w:val="single" w:sz="4" w:space="0" w:color="auto"/>
            </w:tcBorders>
            <w:shd w:val="clear" w:color="000000" w:fill="BFBFBF"/>
            <w:noWrap/>
            <w:vAlign w:val="center"/>
            <w:hideMark/>
          </w:tcPr>
          <w:p w14:paraId="793D35E7"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4.4%</w:t>
            </w:r>
          </w:p>
        </w:tc>
        <w:tc>
          <w:tcPr>
            <w:tcW w:w="640" w:type="pct"/>
            <w:tcBorders>
              <w:top w:val="nil"/>
              <w:left w:val="nil"/>
              <w:bottom w:val="nil"/>
              <w:right w:val="nil"/>
            </w:tcBorders>
            <w:shd w:val="clear" w:color="000000" w:fill="BFBFBF"/>
            <w:noWrap/>
            <w:vAlign w:val="center"/>
            <w:hideMark/>
          </w:tcPr>
          <w:p w14:paraId="3C49E45E"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-3.6%</w:t>
            </w:r>
          </w:p>
        </w:tc>
        <w:tc>
          <w:tcPr>
            <w:tcW w:w="732" w:type="pct"/>
            <w:tcBorders>
              <w:top w:val="nil"/>
              <w:left w:val="nil"/>
              <w:bottom w:val="nil"/>
              <w:right w:val="single" w:sz="4" w:space="0" w:color="auto"/>
            </w:tcBorders>
            <w:shd w:val="clear" w:color="000000" w:fill="BFBFBF"/>
            <w:noWrap/>
            <w:vAlign w:val="center"/>
            <w:hideMark/>
          </w:tcPr>
          <w:p w14:paraId="79CAB0F4"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-81.9%</w:t>
            </w:r>
          </w:p>
        </w:tc>
        <w:tc>
          <w:tcPr>
            <w:tcW w:w="842" w:type="pct"/>
            <w:tcBorders>
              <w:top w:val="nil"/>
              <w:left w:val="nil"/>
              <w:bottom w:val="nil"/>
              <w:right w:val="nil"/>
            </w:tcBorders>
            <w:shd w:val="clear" w:color="000000" w:fill="BFBFBF"/>
            <w:noWrap/>
            <w:vAlign w:val="center"/>
            <w:hideMark/>
          </w:tcPr>
          <w:p w14:paraId="6FF3736E"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0.8%</w:t>
            </w:r>
          </w:p>
        </w:tc>
        <w:tc>
          <w:tcPr>
            <w:tcW w:w="959" w:type="pct"/>
            <w:tcBorders>
              <w:top w:val="nil"/>
              <w:left w:val="nil"/>
              <w:bottom w:val="nil"/>
              <w:right w:val="nil"/>
            </w:tcBorders>
            <w:shd w:val="clear" w:color="000000" w:fill="BFBFBF"/>
            <w:noWrap/>
            <w:vAlign w:val="center"/>
            <w:hideMark/>
          </w:tcPr>
          <w:p w14:paraId="69A0274A"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2.6%</w:t>
            </w:r>
          </w:p>
        </w:tc>
      </w:tr>
      <w:tr w:rsidR="002256A4" w:rsidRPr="002256A4" w14:paraId="5F1588C7" w14:textId="77777777" w:rsidTr="002256A4">
        <w:trPr>
          <w:trHeight w:val="292"/>
        </w:trPr>
        <w:tc>
          <w:tcPr>
            <w:tcW w:w="501" w:type="pct"/>
            <w:tcBorders>
              <w:top w:val="nil"/>
              <w:left w:val="nil"/>
              <w:bottom w:val="nil"/>
              <w:right w:val="nil"/>
            </w:tcBorders>
            <w:shd w:val="clear" w:color="auto" w:fill="auto"/>
            <w:noWrap/>
            <w:vAlign w:val="center"/>
            <w:hideMark/>
          </w:tcPr>
          <w:p w14:paraId="46464B65"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6</w:t>
            </w:r>
          </w:p>
        </w:tc>
        <w:tc>
          <w:tcPr>
            <w:tcW w:w="634" w:type="pct"/>
            <w:tcBorders>
              <w:top w:val="nil"/>
              <w:left w:val="single" w:sz="4" w:space="0" w:color="auto"/>
              <w:bottom w:val="nil"/>
              <w:right w:val="nil"/>
            </w:tcBorders>
            <w:shd w:val="clear" w:color="auto" w:fill="auto"/>
            <w:noWrap/>
            <w:vAlign w:val="center"/>
            <w:hideMark/>
          </w:tcPr>
          <w:p w14:paraId="11C739E3"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9.4%</w:t>
            </w:r>
          </w:p>
        </w:tc>
        <w:tc>
          <w:tcPr>
            <w:tcW w:w="693" w:type="pct"/>
            <w:tcBorders>
              <w:top w:val="nil"/>
              <w:left w:val="nil"/>
              <w:bottom w:val="nil"/>
              <w:right w:val="single" w:sz="4" w:space="0" w:color="auto"/>
            </w:tcBorders>
            <w:shd w:val="clear" w:color="auto" w:fill="auto"/>
            <w:noWrap/>
            <w:vAlign w:val="center"/>
            <w:hideMark/>
          </w:tcPr>
          <w:p w14:paraId="230464ED"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28.6%</w:t>
            </w:r>
          </w:p>
        </w:tc>
        <w:tc>
          <w:tcPr>
            <w:tcW w:w="640" w:type="pct"/>
            <w:tcBorders>
              <w:top w:val="nil"/>
              <w:left w:val="nil"/>
              <w:bottom w:val="nil"/>
              <w:right w:val="nil"/>
            </w:tcBorders>
            <w:shd w:val="clear" w:color="auto" w:fill="auto"/>
            <w:noWrap/>
            <w:vAlign w:val="center"/>
            <w:hideMark/>
          </w:tcPr>
          <w:p w14:paraId="7AA0990F"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-19.2%</w:t>
            </w:r>
          </w:p>
        </w:tc>
        <w:tc>
          <w:tcPr>
            <w:tcW w:w="732" w:type="pct"/>
            <w:tcBorders>
              <w:top w:val="nil"/>
              <w:left w:val="nil"/>
              <w:bottom w:val="nil"/>
              <w:right w:val="single" w:sz="4" w:space="0" w:color="auto"/>
            </w:tcBorders>
            <w:shd w:val="clear" w:color="auto" w:fill="auto"/>
            <w:noWrap/>
            <w:vAlign w:val="center"/>
            <w:hideMark/>
          </w:tcPr>
          <w:p w14:paraId="7E1CC0CB"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-67.2%</w:t>
            </w:r>
          </w:p>
        </w:tc>
        <w:tc>
          <w:tcPr>
            <w:tcW w:w="842" w:type="pct"/>
            <w:tcBorders>
              <w:top w:val="nil"/>
              <w:left w:val="nil"/>
              <w:bottom w:val="nil"/>
              <w:right w:val="nil"/>
            </w:tcBorders>
            <w:shd w:val="clear" w:color="auto" w:fill="auto"/>
            <w:noWrap/>
            <w:vAlign w:val="center"/>
            <w:hideMark/>
          </w:tcPr>
          <w:p w14:paraId="301D1EC3"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17.8%</w:t>
            </w:r>
          </w:p>
        </w:tc>
        <w:tc>
          <w:tcPr>
            <w:tcW w:w="959" w:type="pct"/>
            <w:tcBorders>
              <w:top w:val="nil"/>
              <w:left w:val="nil"/>
              <w:bottom w:val="nil"/>
              <w:right w:val="nil"/>
            </w:tcBorders>
            <w:shd w:val="clear" w:color="auto" w:fill="auto"/>
            <w:noWrap/>
            <w:vAlign w:val="center"/>
            <w:hideMark/>
          </w:tcPr>
          <w:p w14:paraId="6831F1C9"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23.2%</w:t>
            </w:r>
          </w:p>
        </w:tc>
      </w:tr>
      <w:tr w:rsidR="002256A4" w:rsidRPr="002256A4" w14:paraId="472895E6" w14:textId="77777777" w:rsidTr="002256A4">
        <w:trPr>
          <w:trHeight w:val="292"/>
        </w:trPr>
        <w:tc>
          <w:tcPr>
            <w:tcW w:w="501" w:type="pct"/>
            <w:tcBorders>
              <w:top w:val="nil"/>
              <w:left w:val="nil"/>
              <w:bottom w:val="nil"/>
              <w:right w:val="nil"/>
            </w:tcBorders>
            <w:shd w:val="clear" w:color="000000" w:fill="BFBFBF"/>
            <w:noWrap/>
            <w:vAlign w:val="center"/>
            <w:hideMark/>
          </w:tcPr>
          <w:p w14:paraId="582D358D"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7</w:t>
            </w:r>
          </w:p>
        </w:tc>
        <w:tc>
          <w:tcPr>
            <w:tcW w:w="634" w:type="pct"/>
            <w:tcBorders>
              <w:top w:val="nil"/>
              <w:left w:val="single" w:sz="4" w:space="0" w:color="auto"/>
              <w:bottom w:val="nil"/>
              <w:right w:val="nil"/>
            </w:tcBorders>
            <w:shd w:val="clear" w:color="000000" w:fill="BFBFBF"/>
            <w:noWrap/>
            <w:vAlign w:val="center"/>
            <w:hideMark/>
          </w:tcPr>
          <w:p w14:paraId="596C3458"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31.7%</w:t>
            </w:r>
          </w:p>
        </w:tc>
        <w:tc>
          <w:tcPr>
            <w:tcW w:w="693" w:type="pct"/>
            <w:tcBorders>
              <w:top w:val="nil"/>
              <w:left w:val="nil"/>
              <w:bottom w:val="nil"/>
              <w:right w:val="single" w:sz="4" w:space="0" w:color="auto"/>
            </w:tcBorders>
            <w:shd w:val="clear" w:color="000000" w:fill="BFBFBF"/>
            <w:noWrap/>
            <w:vAlign w:val="center"/>
            <w:hideMark/>
          </w:tcPr>
          <w:p w14:paraId="2720F0CF"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40.7%</w:t>
            </w:r>
          </w:p>
        </w:tc>
        <w:tc>
          <w:tcPr>
            <w:tcW w:w="640" w:type="pct"/>
            <w:tcBorders>
              <w:top w:val="nil"/>
              <w:left w:val="nil"/>
              <w:bottom w:val="nil"/>
              <w:right w:val="nil"/>
            </w:tcBorders>
            <w:shd w:val="clear" w:color="000000" w:fill="BFBFBF"/>
            <w:noWrap/>
            <w:vAlign w:val="center"/>
            <w:hideMark/>
          </w:tcPr>
          <w:p w14:paraId="35C2EAB3"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-9.0%</w:t>
            </w:r>
          </w:p>
        </w:tc>
        <w:tc>
          <w:tcPr>
            <w:tcW w:w="732" w:type="pct"/>
            <w:tcBorders>
              <w:top w:val="nil"/>
              <w:left w:val="nil"/>
              <w:bottom w:val="nil"/>
              <w:right w:val="single" w:sz="4" w:space="0" w:color="auto"/>
            </w:tcBorders>
            <w:shd w:val="clear" w:color="000000" w:fill="BFBFBF"/>
            <w:noWrap/>
            <w:vAlign w:val="center"/>
            <w:hideMark/>
          </w:tcPr>
          <w:p w14:paraId="11B2A308"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-22.1%</w:t>
            </w:r>
          </w:p>
        </w:tc>
        <w:tc>
          <w:tcPr>
            <w:tcW w:w="842" w:type="pct"/>
            <w:tcBorders>
              <w:top w:val="nil"/>
              <w:left w:val="nil"/>
              <w:bottom w:val="nil"/>
              <w:right w:val="nil"/>
            </w:tcBorders>
            <w:shd w:val="clear" w:color="000000" w:fill="BFBFBF"/>
            <w:noWrap/>
            <w:vAlign w:val="center"/>
            <w:hideMark/>
          </w:tcPr>
          <w:p w14:paraId="0D2520C2"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17.8%</w:t>
            </w:r>
          </w:p>
        </w:tc>
        <w:tc>
          <w:tcPr>
            <w:tcW w:w="959" w:type="pct"/>
            <w:tcBorders>
              <w:top w:val="nil"/>
              <w:left w:val="nil"/>
              <w:bottom w:val="nil"/>
              <w:right w:val="nil"/>
            </w:tcBorders>
            <w:shd w:val="clear" w:color="000000" w:fill="BFBFBF"/>
            <w:noWrap/>
            <w:vAlign w:val="center"/>
            <w:hideMark/>
          </w:tcPr>
          <w:p w14:paraId="64666474"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29.3%</w:t>
            </w:r>
          </w:p>
        </w:tc>
      </w:tr>
      <w:tr w:rsidR="002256A4" w:rsidRPr="002256A4" w14:paraId="547E116D" w14:textId="77777777" w:rsidTr="002256A4">
        <w:trPr>
          <w:trHeight w:val="292"/>
        </w:trPr>
        <w:tc>
          <w:tcPr>
            <w:tcW w:w="501" w:type="pct"/>
            <w:tcBorders>
              <w:top w:val="nil"/>
              <w:left w:val="nil"/>
              <w:bottom w:val="nil"/>
              <w:right w:val="nil"/>
            </w:tcBorders>
            <w:shd w:val="clear" w:color="auto" w:fill="auto"/>
            <w:noWrap/>
            <w:vAlign w:val="center"/>
            <w:hideMark/>
          </w:tcPr>
          <w:p w14:paraId="7B0B77A3"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8</w:t>
            </w:r>
          </w:p>
        </w:tc>
        <w:tc>
          <w:tcPr>
            <w:tcW w:w="634" w:type="pct"/>
            <w:tcBorders>
              <w:top w:val="nil"/>
              <w:left w:val="single" w:sz="4" w:space="0" w:color="auto"/>
              <w:bottom w:val="nil"/>
              <w:right w:val="nil"/>
            </w:tcBorders>
            <w:shd w:val="clear" w:color="auto" w:fill="auto"/>
            <w:noWrap/>
            <w:vAlign w:val="center"/>
            <w:hideMark/>
          </w:tcPr>
          <w:p w14:paraId="01F99551"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29.7%</w:t>
            </w:r>
          </w:p>
        </w:tc>
        <w:tc>
          <w:tcPr>
            <w:tcW w:w="693" w:type="pct"/>
            <w:tcBorders>
              <w:top w:val="nil"/>
              <w:left w:val="nil"/>
              <w:bottom w:val="nil"/>
              <w:right w:val="single" w:sz="4" w:space="0" w:color="auto"/>
            </w:tcBorders>
            <w:shd w:val="clear" w:color="auto" w:fill="auto"/>
            <w:noWrap/>
            <w:vAlign w:val="center"/>
            <w:hideMark/>
          </w:tcPr>
          <w:p w14:paraId="5EE1E385"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40.7%</w:t>
            </w:r>
          </w:p>
        </w:tc>
        <w:tc>
          <w:tcPr>
            <w:tcW w:w="640" w:type="pct"/>
            <w:tcBorders>
              <w:top w:val="nil"/>
              <w:left w:val="nil"/>
              <w:bottom w:val="nil"/>
              <w:right w:val="nil"/>
            </w:tcBorders>
            <w:shd w:val="clear" w:color="auto" w:fill="auto"/>
            <w:noWrap/>
            <w:vAlign w:val="center"/>
            <w:hideMark/>
          </w:tcPr>
          <w:p w14:paraId="1AE24DC5"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-11.1%</w:t>
            </w:r>
          </w:p>
        </w:tc>
        <w:tc>
          <w:tcPr>
            <w:tcW w:w="732" w:type="pct"/>
            <w:tcBorders>
              <w:top w:val="nil"/>
              <w:left w:val="nil"/>
              <w:bottom w:val="nil"/>
              <w:right w:val="single" w:sz="4" w:space="0" w:color="auto"/>
            </w:tcBorders>
            <w:shd w:val="clear" w:color="auto" w:fill="auto"/>
            <w:noWrap/>
            <w:vAlign w:val="center"/>
            <w:hideMark/>
          </w:tcPr>
          <w:p w14:paraId="76CE50FC"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-27.2%</w:t>
            </w:r>
          </w:p>
        </w:tc>
        <w:tc>
          <w:tcPr>
            <w:tcW w:w="842" w:type="pct"/>
            <w:tcBorders>
              <w:top w:val="nil"/>
              <w:left w:val="nil"/>
              <w:bottom w:val="nil"/>
              <w:right w:val="nil"/>
            </w:tcBorders>
            <w:shd w:val="clear" w:color="auto" w:fill="auto"/>
            <w:noWrap/>
            <w:vAlign w:val="center"/>
            <w:hideMark/>
          </w:tcPr>
          <w:p w14:paraId="6405CC41"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24.9%</w:t>
            </w:r>
          </w:p>
        </w:tc>
        <w:tc>
          <w:tcPr>
            <w:tcW w:w="959" w:type="pct"/>
            <w:tcBorders>
              <w:top w:val="nil"/>
              <w:left w:val="nil"/>
              <w:bottom w:val="nil"/>
              <w:right w:val="nil"/>
            </w:tcBorders>
            <w:shd w:val="clear" w:color="auto" w:fill="auto"/>
            <w:noWrap/>
            <w:vAlign w:val="center"/>
            <w:hideMark/>
          </w:tcPr>
          <w:p w14:paraId="4D79CB6E"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32.8%</w:t>
            </w:r>
          </w:p>
        </w:tc>
      </w:tr>
      <w:tr w:rsidR="002256A4" w:rsidRPr="002256A4" w14:paraId="38D36C73" w14:textId="77777777" w:rsidTr="002256A4">
        <w:trPr>
          <w:trHeight w:val="292"/>
        </w:trPr>
        <w:tc>
          <w:tcPr>
            <w:tcW w:w="501" w:type="pct"/>
            <w:tcBorders>
              <w:top w:val="nil"/>
              <w:left w:val="nil"/>
              <w:bottom w:val="nil"/>
              <w:right w:val="nil"/>
            </w:tcBorders>
            <w:shd w:val="clear" w:color="000000" w:fill="BFBFBF"/>
            <w:noWrap/>
            <w:vAlign w:val="center"/>
            <w:hideMark/>
          </w:tcPr>
          <w:p w14:paraId="036F73F8"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9</w:t>
            </w:r>
          </w:p>
        </w:tc>
        <w:tc>
          <w:tcPr>
            <w:tcW w:w="634" w:type="pct"/>
            <w:tcBorders>
              <w:top w:val="nil"/>
              <w:left w:val="single" w:sz="4" w:space="0" w:color="auto"/>
              <w:bottom w:val="nil"/>
              <w:right w:val="nil"/>
            </w:tcBorders>
            <w:shd w:val="clear" w:color="000000" w:fill="BFBFBF"/>
            <w:noWrap/>
            <w:vAlign w:val="center"/>
            <w:hideMark/>
          </w:tcPr>
          <w:p w14:paraId="65C09DC0"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20.3%</w:t>
            </w:r>
          </w:p>
        </w:tc>
        <w:tc>
          <w:tcPr>
            <w:tcW w:w="693" w:type="pct"/>
            <w:tcBorders>
              <w:top w:val="nil"/>
              <w:left w:val="nil"/>
              <w:bottom w:val="nil"/>
              <w:right w:val="single" w:sz="4" w:space="0" w:color="auto"/>
            </w:tcBorders>
            <w:shd w:val="clear" w:color="000000" w:fill="BFBFBF"/>
            <w:noWrap/>
            <w:vAlign w:val="center"/>
            <w:hideMark/>
          </w:tcPr>
          <w:p w14:paraId="2970B27B"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40.7%</w:t>
            </w:r>
          </w:p>
        </w:tc>
        <w:tc>
          <w:tcPr>
            <w:tcW w:w="640" w:type="pct"/>
            <w:tcBorders>
              <w:top w:val="nil"/>
              <w:left w:val="nil"/>
              <w:bottom w:val="nil"/>
              <w:right w:val="nil"/>
            </w:tcBorders>
            <w:shd w:val="clear" w:color="000000" w:fill="BFBFBF"/>
            <w:noWrap/>
            <w:vAlign w:val="center"/>
            <w:hideMark/>
          </w:tcPr>
          <w:p w14:paraId="637BE974"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-20.4%</w:t>
            </w:r>
          </w:p>
        </w:tc>
        <w:tc>
          <w:tcPr>
            <w:tcW w:w="732" w:type="pct"/>
            <w:tcBorders>
              <w:top w:val="nil"/>
              <w:left w:val="nil"/>
              <w:bottom w:val="nil"/>
              <w:right w:val="single" w:sz="4" w:space="0" w:color="auto"/>
            </w:tcBorders>
            <w:shd w:val="clear" w:color="000000" w:fill="BFBFBF"/>
            <w:noWrap/>
            <w:vAlign w:val="center"/>
            <w:hideMark/>
          </w:tcPr>
          <w:p w14:paraId="23B80001"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-50.2%</w:t>
            </w:r>
          </w:p>
        </w:tc>
        <w:tc>
          <w:tcPr>
            <w:tcW w:w="842" w:type="pct"/>
            <w:tcBorders>
              <w:top w:val="nil"/>
              <w:left w:val="nil"/>
              <w:bottom w:val="nil"/>
              <w:right w:val="nil"/>
            </w:tcBorders>
            <w:shd w:val="clear" w:color="000000" w:fill="BFBFBF"/>
            <w:noWrap/>
            <w:vAlign w:val="center"/>
            <w:hideMark/>
          </w:tcPr>
          <w:p w14:paraId="64E4D950"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24.9%</w:t>
            </w:r>
          </w:p>
        </w:tc>
        <w:tc>
          <w:tcPr>
            <w:tcW w:w="959" w:type="pct"/>
            <w:tcBorders>
              <w:top w:val="nil"/>
              <w:left w:val="nil"/>
              <w:bottom w:val="nil"/>
              <w:right w:val="nil"/>
            </w:tcBorders>
            <w:shd w:val="clear" w:color="000000" w:fill="BFBFBF"/>
            <w:noWrap/>
            <w:vAlign w:val="center"/>
            <w:hideMark/>
          </w:tcPr>
          <w:p w14:paraId="3A71BFAF"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32.8%</w:t>
            </w:r>
          </w:p>
        </w:tc>
      </w:tr>
      <w:tr w:rsidR="002256A4" w:rsidRPr="002256A4" w14:paraId="0EC0C832" w14:textId="77777777" w:rsidTr="002256A4">
        <w:trPr>
          <w:trHeight w:val="292"/>
        </w:trPr>
        <w:tc>
          <w:tcPr>
            <w:tcW w:w="501" w:type="pct"/>
            <w:tcBorders>
              <w:top w:val="nil"/>
              <w:left w:val="nil"/>
              <w:bottom w:val="nil"/>
              <w:right w:val="nil"/>
            </w:tcBorders>
            <w:shd w:val="clear" w:color="auto" w:fill="auto"/>
            <w:noWrap/>
            <w:vAlign w:val="center"/>
            <w:hideMark/>
          </w:tcPr>
          <w:p w14:paraId="21F44362"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10</w:t>
            </w:r>
          </w:p>
        </w:tc>
        <w:tc>
          <w:tcPr>
            <w:tcW w:w="634" w:type="pct"/>
            <w:tcBorders>
              <w:top w:val="nil"/>
              <w:left w:val="single" w:sz="4" w:space="0" w:color="auto"/>
              <w:bottom w:val="nil"/>
              <w:right w:val="nil"/>
            </w:tcBorders>
            <w:shd w:val="clear" w:color="auto" w:fill="auto"/>
            <w:noWrap/>
            <w:vAlign w:val="center"/>
            <w:hideMark/>
          </w:tcPr>
          <w:p w14:paraId="32C9C4A5"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17.6%</w:t>
            </w:r>
          </w:p>
        </w:tc>
        <w:tc>
          <w:tcPr>
            <w:tcW w:w="693" w:type="pct"/>
            <w:tcBorders>
              <w:top w:val="nil"/>
              <w:left w:val="nil"/>
              <w:bottom w:val="nil"/>
              <w:right w:val="single" w:sz="4" w:space="0" w:color="auto"/>
            </w:tcBorders>
            <w:shd w:val="clear" w:color="auto" w:fill="auto"/>
            <w:noWrap/>
            <w:vAlign w:val="center"/>
            <w:hideMark/>
          </w:tcPr>
          <w:p w14:paraId="0189B0B5"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40.7%</w:t>
            </w:r>
          </w:p>
        </w:tc>
        <w:tc>
          <w:tcPr>
            <w:tcW w:w="640" w:type="pct"/>
            <w:tcBorders>
              <w:top w:val="nil"/>
              <w:left w:val="nil"/>
              <w:bottom w:val="nil"/>
              <w:right w:val="nil"/>
            </w:tcBorders>
            <w:shd w:val="clear" w:color="auto" w:fill="auto"/>
            <w:noWrap/>
            <w:vAlign w:val="center"/>
            <w:hideMark/>
          </w:tcPr>
          <w:p w14:paraId="1A4CBD2A"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-23.1%</w:t>
            </w:r>
          </w:p>
        </w:tc>
        <w:tc>
          <w:tcPr>
            <w:tcW w:w="732" w:type="pct"/>
            <w:tcBorders>
              <w:top w:val="nil"/>
              <w:left w:val="nil"/>
              <w:bottom w:val="nil"/>
              <w:right w:val="single" w:sz="4" w:space="0" w:color="auto"/>
            </w:tcBorders>
            <w:shd w:val="clear" w:color="auto" w:fill="auto"/>
            <w:noWrap/>
            <w:vAlign w:val="center"/>
            <w:hideMark/>
          </w:tcPr>
          <w:p w14:paraId="0D01AA96"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-56.7%</w:t>
            </w:r>
          </w:p>
        </w:tc>
        <w:tc>
          <w:tcPr>
            <w:tcW w:w="842" w:type="pct"/>
            <w:tcBorders>
              <w:top w:val="nil"/>
              <w:left w:val="nil"/>
              <w:bottom w:val="nil"/>
              <w:right w:val="nil"/>
            </w:tcBorders>
            <w:shd w:val="clear" w:color="auto" w:fill="auto"/>
            <w:noWrap/>
            <w:vAlign w:val="center"/>
            <w:hideMark/>
          </w:tcPr>
          <w:p w14:paraId="13F9EF8F"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24.9%</w:t>
            </w:r>
          </w:p>
        </w:tc>
        <w:tc>
          <w:tcPr>
            <w:tcW w:w="959" w:type="pct"/>
            <w:tcBorders>
              <w:top w:val="nil"/>
              <w:left w:val="nil"/>
              <w:bottom w:val="nil"/>
              <w:right w:val="nil"/>
            </w:tcBorders>
            <w:shd w:val="clear" w:color="auto" w:fill="auto"/>
            <w:noWrap/>
            <w:vAlign w:val="center"/>
            <w:hideMark/>
          </w:tcPr>
          <w:p w14:paraId="7667FF79"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32.8%</w:t>
            </w:r>
          </w:p>
        </w:tc>
      </w:tr>
      <w:tr w:rsidR="002256A4" w:rsidRPr="002256A4" w14:paraId="1E1C8C8F" w14:textId="77777777" w:rsidTr="002256A4">
        <w:trPr>
          <w:trHeight w:val="292"/>
        </w:trPr>
        <w:tc>
          <w:tcPr>
            <w:tcW w:w="501" w:type="pct"/>
            <w:tcBorders>
              <w:top w:val="nil"/>
              <w:left w:val="nil"/>
              <w:bottom w:val="nil"/>
              <w:right w:val="nil"/>
            </w:tcBorders>
            <w:shd w:val="clear" w:color="000000" w:fill="BFBFBF"/>
            <w:noWrap/>
            <w:vAlign w:val="center"/>
            <w:hideMark/>
          </w:tcPr>
          <w:p w14:paraId="14CCF25E"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11</w:t>
            </w:r>
          </w:p>
        </w:tc>
        <w:tc>
          <w:tcPr>
            <w:tcW w:w="634" w:type="pct"/>
            <w:tcBorders>
              <w:top w:val="nil"/>
              <w:left w:val="single" w:sz="4" w:space="0" w:color="auto"/>
              <w:bottom w:val="nil"/>
              <w:right w:val="nil"/>
            </w:tcBorders>
            <w:shd w:val="clear" w:color="000000" w:fill="BFBFBF"/>
            <w:noWrap/>
            <w:vAlign w:val="center"/>
            <w:hideMark/>
          </w:tcPr>
          <w:p w14:paraId="157ACF93"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16.3%</w:t>
            </w:r>
          </w:p>
        </w:tc>
        <w:tc>
          <w:tcPr>
            <w:tcW w:w="693" w:type="pct"/>
            <w:tcBorders>
              <w:top w:val="nil"/>
              <w:left w:val="nil"/>
              <w:bottom w:val="nil"/>
              <w:right w:val="single" w:sz="4" w:space="0" w:color="auto"/>
            </w:tcBorders>
            <w:shd w:val="clear" w:color="000000" w:fill="BFBFBF"/>
            <w:noWrap/>
            <w:vAlign w:val="center"/>
            <w:hideMark/>
          </w:tcPr>
          <w:p w14:paraId="237A028F"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43.6%</w:t>
            </w:r>
          </w:p>
        </w:tc>
        <w:tc>
          <w:tcPr>
            <w:tcW w:w="640" w:type="pct"/>
            <w:tcBorders>
              <w:top w:val="nil"/>
              <w:left w:val="nil"/>
              <w:bottom w:val="nil"/>
              <w:right w:val="nil"/>
            </w:tcBorders>
            <w:shd w:val="clear" w:color="000000" w:fill="BFBFBF"/>
            <w:noWrap/>
            <w:vAlign w:val="center"/>
            <w:hideMark/>
          </w:tcPr>
          <w:p w14:paraId="1AC0FEB8"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-27.3%</w:t>
            </w:r>
          </w:p>
        </w:tc>
        <w:tc>
          <w:tcPr>
            <w:tcW w:w="732" w:type="pct"/>
            <w:tcBorders>
              <w:top w:val="nil"/>
              <w:left w:val="nil"/>
              <w:bottom w:val="nil"/>
              <w:right w:val="single" w:sz="4" w:space="0" w:color="auto"/>
            </w:tcBorders>
            <w:shd w:val="clear" w:color="000000" w:fill="BFBFBF"/>
            <w:noWrap/>
            <w:vAlign w:val="center"/>
            <w:hideMark/>
          </w:tcPr>
          <w:p w14:paraId="78F8995B"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-62.7%</w:t>
            </w:r>
          </w:p>
        </w:tc>
        <w:tc>
          <w:tcPr>
            <w:tcW w:w="842" w:type="pct"/>
            <w:tcBorders>
              <w:top w:val="nil"/>
              <w:left w:val="nil"/>
              <w:bottom w:val="nil"/>
              <w:right w:val="nil"/>
            </w:tcBorders>
            <w:shd w:val="clear" w:color="000000" w:fill="BFBFBF"/>
            <w:noWrap/>
            <w:vAlign w:val="center"/>
            <w:hideMark/>
          </w:tcPr>
          <w:p w14:paraId="742020F5"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24.9%</w:t>
            </w:r>
          </w:p>
        </w:tc>
        <w:tc>
          <w:tcPr>
            <w:tcW w:w="959" w:type="pct"/>
            <w:tcBorders>
              <w:top w:val="nil"/>
              <w:left w:val="nil"/>
              <w:bottom w:val="nil"/>
              <w:right w:val="nil"/>
            </w:tcBorders>
            <w:shd w:val="clear" w:color="000000" w:fill="BFBFBF"/>
            <w:noWrap/>
            <w:vAlign w:val="center"/>
            <w:hideMark/>
          </w:tcPr>
          <w:p w14:paraId="0F9D3C3C"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34.3%</w:t>
            </w:r>
          </w:p>
        </w:tc>
      </w:tr>
      <w:tr w:rsidR="002256A4" w:rsidRPr="002256A4" w14:paraId="5905BC34" w14:textId="77777777" w:rsidTr="002256A4">
        <w:trPr>
          <w:trHeight w:val="292"/>
        </w:trPr>
        <w:tc>
          <w:tcPr>
            <w:tcW w:w="501" w:type="pct"/>
            <w:tcBorders>
              <w:top w:val="nil"/>
              <w:left w:val="nil"/>
              <w:bottom w:val="nil"/>
              <w:right w:val="nil"/>
            </w:tcBorders>
            <w:shd w:val="clear" w:color="auto" w:fill="auto"/>
            <w:noWrap/>
            <w:vAlign w:val="center"/>
            <w:hideMark/>
          </w:tcPr>
          <w:p w14:paraId="48491DB8"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12</w:t>
            </w:r>
          </w:p>
        </w:tc>
        <w:tc>
          <w:tcPr>
            <w:tcW w:w="634" w:type="pct"/>
            <w:tcBorders>
              <w:top w:val="nil"/>
              <w:left w:val="single" w:sz="4" w:space="0" w:color="auto"/>
              <w:bottom w:val="nil"/>
              <w:right w:val="nil"/>
            </w:tcBorders>
            <w:shd w:val="clear" w:color="auto" w:fill="auto"/>
            <w:noWrap/>
            <w:vAlign w:val="center"/>
            <w:hideMark/>
          </w:tcPr>
          <w:p w14:paraId="3805F888"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11.3%</w:t>
            </w:r>
          </w:p>
        </w:tc>
        <w:tc>
          <w:tcPr>
            <w:tcW w:w="693" w:type="pct"/>
            <w:tcBorders>
              <w:top w:val="nil"/>
              <w:left w:val="nil"/>
              <w:bottom w:val="nil"/>
              <w:right w:val="single" w:sz="4" w:space="0" w:color="auto"/>
            </w:tcBorders>
            <w:shd w:val="clear" w:color="auto" w:fill="auto"/>
            <w:noWrap/>
            <w:vAlign w:val="center"/>
            <w:hideMark/>
          </w:tcPr>
          <w:p w14:paraId="581C4755"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61.4%</w:t>
            </w:r>
          </w:p>
        </w:tc>
        <w:tc>
          <w:tcPr>
            <w:tcW w:w="640" w:type="pct"/>
            <w:tcBorders>
              <w:top w:val="nil"/>
              <w:left w:val="nil"/>
              <w:bottom w:val="nil"/>
              <w:right w:val="nil"/>
            </w:tcBorders>
            <w:shd w:val="clear" w:color="auto" w:fill="auto"/>
            <w:noWrap/>
            <w:vAlign w:val="center"/>
            <w:hideMark/>
          </w:tcPr>
          <w:p w14:paraId="4FE95E1F"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-50.0%</w:t>
            </w:r>
          </w:p>
        </w:tc>
        <w:tc>
          <w:tcPr>
            <w:tcW w:w="732" w:type="pct"/>
            <w:tcBorders>
              <w:top w:val="nil"/>
              <w:left w:val="nil"/>
              <w:bottom w:val="nil"/>
              <w:right w:val="single" w:sz="4" w:space="0" w:color="auto"/>
            </w:tcBorders>
            <w:shd w:val="clear" w:color="auto" w:fill="auto"/>
            <w:noWrap/>
            <w:vAlign w:val="center"/>
            <w:hideMark/>
          </w:tcPr>
          <w:p w14:paraId="46CCA7B9"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-81.5%</w:t>
            </w:r>
          </w:p>
        </w:tc>
        <w:tc>
          <w:tcPr>
            <w:tcW w:w="842" w:type="pct"/>
            <w:tcBorders>
              <w:top w:val="nil"/>
              <w:left w:val="nil"/>
              <w:bottom w:val="nil"/>
              <w:right w:val="nil"/>
            </w:tcBorders>
            <w:shd w:val="clear" w:color="auto" w:fill="auto"/>
            <w:noWrap/>
            <w:vAlign w:val="center"/>
            <w:hideMark/>
          </w:tcPr>
          <w:p w14:paraId="344B4397"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24.9%</w:t>
            </w:r>
          </w:p>
        </w:tc>
        <w:tc>
          <w:tcPr>
            <w:tcW w:w="959" w:type="pct"/>
            <w:tcBorders>
              <w:top w:val="nil"/>
              <w:left w:val="nil"/>
              <w:bottom w:val="nil"/>
              <w:right w:val="nil"/>
            </w:tcBorders>
            <w:shd w:val="clear" w:color="auto" w:fill="auto"/>
            <w:noWrap/>
            <w:vAlign w:val="center"/>
            <w:hideMark/>
          </w:tcPr>
          <w:p w14:paraId="466CDA76"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43.2%</w:t>
            </w:r>
          </w:p>
        </w:tc>
      </w:tr>
      <w:tr w:rsidR="002256A4" w:rsidRPr="002256A4" w14:paraId="7B5CE7AC" w14:textId="77777777" w:rsidTr="002256A4">
        <w:trPr>
          <w:trHeight w:val="292"/>
        </w:trPr>
        <w:tc>
          <w:tcPr>
            <w:tcW w:w="501" w:type="pct"/>
            <w:tcBorders>
              <w:top w:val="nil"/>
              <w:left w:val="nil"/>
              <w:bottom w:val="nil"/>
              <w:right w:val="nil"/>
            </w:tcBorders>
            <w:shd w:val="clear" w:color="000000" w:fill="BFBFBF"/>
            <w:noWrap/>
            <w:vAlign w:val="center"/>
            <w:hideMark/>
          </w:tcPr>
          <w:p w14:paraId="4C1200D7"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13</w:t>
            </w:r>
          </w:p>
        </w:tc>
        <w:tc>
          <w:tcPr>
            <w:tcW w:w="634" w:type="pct"/>
            <w:tcBorders>
              <w:top w:val="nil"/>
              <w:left w:val="single" w:sz="4" w:space="0" w:color="auto"/>
              <w:bottom w:val="nil"/>
              <w:right w:val="nil"/>
            </w:tcBorders>
            <w:shd w:val="clear" w:color="000000" w:fill="BFBFBF"/>
            <w:noWrap/>
            <w:vAlign w:val="center"/>
            <w:hideMark/>
          </w:tcPr>
          <w:p w14:paraId="69B70BCC"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0.0%</w:t>
            </w:r>
          </w:p>
        </w:tc>
        <w:tc>
          <w:tcPr>
            <w:tcW w:w="693" w:type="pct"/>
            <w:tcBorders>
              <w:top w:val="nil"/>
              <w:left w:val="nil"/>
              <w:bottom w:val="nil"/>
              <w:right w:val="single" w:sz="4" w:space="0" w:color="auto"/>
            </w:tcBorders>
            <w:shd w:val="clear" w:color="000000" w:fill="BFBFBF"/>
            <w:noWrap/>
            <w:vAlign w:val="center"/>
            <w:hideMark/>
          </w:tcPr>
          <w:p w14:paraId="2E4C8D31"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61.3%</w:t>
            </w:r>
          </w:p>
        </w:tc>
        <w:tc>
          <w:tcPr>
            <w:tcW w:w="640" w:type="pct"/>
            <w:tcBorders>
              <w:top w:val="nil"/>
              <w:left w:val="nil"/>
              <w:bottom w:val="nil"/>
              <w:right w:val="nil"/>
            </w:tcBorders>
            <w:shd w:val="clear" w:color="000000" w:fill="BFBFBF"/>
            <w:noWrap/>
            <w:vAlign w:val="center"/>
            <w:hideMark/>
          </w:tcPr>
          <w:p w14:paraId="49D162D9"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-61.3%</w:t>
            </w:r>
          </w:p>
        </w:tc>
        <w:tc>
          <w:tcPr>
            <w:tcW w:w="732" w:type="pct"/>
            <w:tcBorders>
              <w:top w:val="nil"/>
              <w:left w:val="nil"/>
              <w:bottom w:val="nil"/>
              <w:right w:val="single" w:sz="4" w:space="0" w:color="auto"/>
            </w:tcBorders>
            <w:shd w:val="clear" w:color="000000" w:fill="BFBFBF"/>
            <w:noWrap/>
            <w:vAlign w:val="center"/>
            <w:hideMark/>
          </w:tcPr>
          <w:p w14:paraId="00C9F4B4"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-100.0%</w:t>
            </w:r>
          </w:p>
        </w:tc>
        <w:tc>
          <w:tcPr>
            <w:tcW w:w="842" w:type="pct"/>
            <w:tcBorders>
              <w:top w:val="nil"/>
              <w:left w:val="nil"/>
              <w:bottom w:val="nil"/>
              <w:right w:val="nil"/>
            </w:tcBorders>
            <w:shd w:val="clear" w:color="000000" w:fill="BFBFBF"/>
            <w:noWrap/>
            <w:vAlign w:val="center"/>
            <w:hideMark/>
          </w:tcPr>
          <w:p w14:paraId="5EBD5702"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24.9%</w:t>
            </w:r>
          </w:p>
        </w:tc>
        <w:tc>
          <w:tcPr>
            <w:tcW w:w="959" w:type="pct"/>
            <w:tcBorders>
              <w:top w:val="nil"/>
              <w:left w:val="nil"/>
              <w:bottom w:val="nil"/>
              <w:right w:val="nil"/>
            </w:tcBorders>
            <w:shd w:val="clear" w:color="000000" w:fill="BFBFBF"/>
            <w:noWrap/>
            <w:vAlign w:val="center"/>
            <w:hideMark/>
          </w:tcPr>
          <w:p w14:paraId="20BFDBB8"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43.2%</w:t>
            </w:r>
          </w:p>
        </w:tc>
      </w:tr>
      <w:tr w:rsidR="002256A4" w:rsidRPr="002256A4" w14:paraId="3AE8C99E" w14:textId="77777777" w:rsidTr="002256A4">
        <w:trPr>
          <w:trHeight w:val="292"/>
        </w:trPr>
        <w:tc>
          <w:tcPr>
            <w:tcW w:w="501" w:type="pct"/>
            <w:tcBorders>
              <w:top w:val="nil"/>
              <w:left w:val="nil"/>
              <w:bottom w:val="single" w:sz="4" w:space="0" w:color="auto"/>
              <w:right w:val="nil"/>
            </w:tcBorders>
            <w:shd w:val="clear" w:color="auto" w:fill="auto"/>
            <w:noWrap/>
            <w:vAlign w:val="center"/>
            <w:hideMark/>
          </w:tcPr>
          <w:p w14:paraId="3630BCC7"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14</w:t>
            </w:r>
          </w:p>
        </w:tc>
        <w:tc>
          <w:tcPr>
            <w:tcW w:w="634" w:type="pct"/>
            <w:tcBorders>
              <w:top w:val="nil"/>
              <w:left w:val="single" w:sz="4" w:space="0" w:color="auto"/>
              <w:bottom w:val="single" w:sz="4" w:space="0" w:color="auto"/>
              <w:right w:val="nil"/>
            </w:tcBorders>
            <w:shd w:val="clear" w:color="auto" w:fill="auto"/>
            <w:noWrap/>
            <w:vAlign w:val="center"/>
            <w:hideMark/>
          </w:tcPr>
          <w:p w14:paraId="06C6EB8C"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14.1%</w:t>
            </w:r>
          </w:p>
        </w:tc>
        <w:tc>
          <w:tcPr>
            <w:tcW w:w="693" w:type="pct"/>
            <w:tcBorders>
              <w:top w:val="nil"/>
              <w:left w:val="nil"/>
              <w:bottom w:val="single" w:sz="4" w:space="0" w:color="auto"/>
              <w:right w:val="single" w:sz="4" w:space="0" w:color="auto"/>
            </w:tcBorders>
            <w:shd w:val="clear" w:color="auto" w:fill="auto"/>
            <w:noWrap/>
            <w:vAlign w:val="center"/>
            <w:hideMark/>
          </w:tcPr>
          <w:p w14:paraId="184717C1"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61.3%</w:t>
            </w:r>
          </w:p>
        </w:tc>
        <w:tc>
          <w:tcPr>
            <w:tcW w:w="640" w:type="pct"/>
            <w:tcBorders>
              <w:top w:val="nil"/>
              <w:left w:val="nil"/>
              <w:bottom w:val="single" w:sz="4" w:space="0" w:color="auto"/>
              <w:right w:val="nil"/>
            </w:tcBorders>
            <w:shd w:val="clear" w:color="auto" w:fill="auto"/>
            <w:noWrap/>
            <w:vAlign w:val="center"/>
            <w:hideMark/>
          </w:tcPr>
          <w:p w14:paraId="7A66FBEF"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-47.3%</w:t>
            </w:r>
          </w:p>
        </w:tc>
        <w:tc>
          <w:tcPr>
            <w:tcW w:w="732" w:type="pct"/>
            <w:tcBorders>
              <w:top w:val="nil"/>
              <w:left w:val="nil"/>
              <w:bottom w:val="single" w:sz="4" w:space="0" w:color="auto"/>
              <w:right w:val="single" w:sz="4" w:space="0" w:color="auto"/>
            </w:tcBorders>
            <w:shd w:val="clear" w:color="auto" w:fill="auto"/>
            <w:noWrap/>
            <w:vAlign w:val="center"/>
            <w:hideMark/>
          </w:tcPr>
          <w:p w14:paraId="5BDC0233"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-77.1%</w:t>
            </w:r>
          </w:p>
        </w:tc>
        <w:tc>
          <w:tcPr>
            <w:tcW w:w="842" w:type="pct"/>
            <w:tcBorders>
              <w:top w:val="nil"/>
              <w:left w:val="nil"/>
              <w:bottom w:val="single" w:sz="4" w:space="0" w:color="auto"/>
              <w:right w:val="nil"/>
            </w:tcBorders>
            <w:shd w:val="clear" w:color="auto" w:fill="auto"/>
            <w:noWrap/>
            <w:vAlign w:val="center"/>
            <w:hideMark/>
          </w:tcPr>
          <w:p w14:paraId="224D3A77"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24.9%</w:t>
            </w:r>
          </w:p>
        </w:tc>
        <w:tc>
          <w:tcPr>
            <w:tcW w:w="959" w:type="pct"/>
            <w:tcBorders>
              <w:top w:val="nil"/>
              <w:left w:val="nil"/>
              <w:bottom w:val="single" w:sz="4" w:space="0" w:color="auto"/>
              <w:right w:val="nil"/>
            </w:tcBorders>
            <w:shd w:val="clear" w:color="auto" w:fill="auto"/>
            <w:noWrap/>
            <w:vAlign w:val="center"/>
            <w:hideMark/>
          </w:tcPr>
          <w:p w14:paraId="07C8BC34"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43.2%</w:t>
            </w:r>
          </w:p>
        </w:tc>
      </w:tr>
    </w:tbl>
    <w:p w14:paraId="0F8B8B1E" w14:textId="77777777" w:rsidR="00DA3375" w:rsidRPr="00934B46" w:rsidRDefault="00DA3375" w:rsidP="00DA3F73">
      <w:pPr>
        <w:pStyle w:val="Tables"/>
        <w:spacing w:before="240"/>
      </w:pPr>
      <w:r w:rsidRPr="00934B46">
        <w:t>Table</w:t>
      </w:r>
      <w:r w:rsidR="000D71B7">
        <w:t xml:space="preserve"> I</w:t>
      </w:r>
      <w:r w:rsidR="00A87896">
        <w:t>.</w:t>
      </w:r>
      <w:fldSimple w:instr=" SEQ Table \* ARABIC \s 2 ">
        <w:r w:rsidR="00A87896">
          <w:rPr>
            <w:noProof/>
          </w:rPr>
          <w:t>4</w:t>
        </w:r>
      </w:fldSimple>
      <w:r>
        <w:t>:</w:t>
      </w:r>
      <w:r w:rsidRPr="00934B46">
        <w:t xml:space="preserve"> </w:t>
      </w:r>
      <w:r w:rsidRPr="009F237B">
        <w:t>Adjustments for Developmental Delay (age 0 to 14) for DEL_2,</w:t>
      </w:r>
      <w:r w:rsidRPr="00812DF7">
        <w:t xml:space="preserve"> excluding duration 0-1 year</w:t>
      </w:r>
    </w:p>
    <w:tbl>
      <w:tblPr>
        <w:tblW w:w="5000" w:type="pct"/>
        <w:tblLayout w:type="fixed"/>
        <w:tblLook w:val="04A0" w:firstRow="1" w:lastRow="0" w:firstColumn="1" w:lastColumn="0" w:noHBand="0" w:noVBand="1"/>
      </w:tblPr>
      <w:tblGrid>
        <w:gridCol w:w="901"/>
        <w:gridCol w:w="1141"/>
        <w:gridCol w:w="1247"/>
        <w:gridCol w:w="1152"/>
        <w:gridCol w:w="1316"/>
        <w:gridCol w:w="1538"/>
        <w:gridCol w:w="1731"/>
      </w:tblGrid>
      <w:tr w:rsidR="000605EB" w:rsidRPr="002256A4" w14:paraId="48BE1255" w14:textId="77777777" w:rsidTr="00F830E6">
        <w:trPr>
          <w:trHeight w:val="303"/>
          <w:tblHeader/>
        </w:trPr>
        <w:tc>
          <w:tcPr>
            <w:tcW w:w="499" w:type="pct"/>
            <w:tcBorders>
              <w:top w:val="nil"/>
              <w:left w:val="nil"/>
              <w:bottom w:val="nil"/>
              <w:right w:val="nil"/>
            </w:tcBorders>
            <w:shd w:val="clear" w:color="000000" w:fill="6B2976"/>
            <w:vAlign w:val="center"/>
            <w:hideMark/>
          </w:tcPr>
          <w:p w14:paraId="7764B3C5" w14:textId="77777777" w:rsidR="000605EB" w:rsidRPr="00F830E6" w:rsidRDefault="000605EB" w:rsidP="009C7082">
            <w:pPr>
              <w:spacing w:after="0" w:line="240" w:lineRule="auto"/>
              <w:rPr>
                <w:rFonts w:eastAsia="Times New Roman" w:cs="Arial"/>
                <w:b/>
                <w:bCs/>
                <w:color w:val="FFFFFF"/>
                <w:sz w:val="18"/>
                <w:szCs w:val="18"/>
              </w:rPr>
            </w:pPr>
            <w:r w:rsidRPr="00F830E6">
              <w:rPr>
                <w:rFonts w:eastAsia="Times New Roman" w:cs="Arial"/>
                <w:b/>
                <w:bCs/>
                <w:color w:val="FFFFFF"/>
                <w:sz w:val="18"/>
                <w:szCs w:val="18"/>
              </w:rPr>
              <w:t>DEL_2</w:t>
            </w:r>
          </w:p>
        </w:tc>
        <w:tc>
          <w:tcPr>
            <w:tcW w:w="1322" w:type="pct"/>
            <w:gridSpan w:val="2"/>
            <w:tcBorders>
              <w:top w:val="nil"/>
              <w:left w:val="nil"/>
              <w:bottom w:val="single" w:sz="4" w:space="0" w:color="FFFFFF"/>
              <w:right w:val="nil"/>
            </w:tcBorders>
            <w:shd w:val="clear" w:color="000000" w:fill="6B2976"/>
            <w:noWrap/>
            <w:vAlign w:val="center"/>
            <w:hideMark/>
          </w:tcPr>
          <w:p w14:paraId="6D517D68" w14:textId="77777777" w:rsidR="000605EB" w:rsidRPr="00F830E6" w:rsidRDefault="000605EB" w:rsidP="009C7082">
            <w:pPr>
              <w:spacing w:after="0" w:line="240" w:lineRule="auto"/>
              <w:jc w:val="center"/>
              <w:rPr>
                <w:rFonts w:eastAsia="Times New Roman" w:cs="Arial"/>
                <w:b/>
                <w:bCs/>
                <w:color w:val="FFFFFF"/>
                <w:sz w:val="18"/>
                <w:szCs w:val="18"/>
              </w:rPr>
            </w:pPr>
            <w:r w:rsidRPr="00F830E6">
              <w:rPr>
                <w:rFonts w:eastAsia="Times New Roman" w:cs="Arial"/>
                <w:b/>
                <w:bCs/>
                <w:color w:val="FFFFFF"/>
                <w:sz w:val="18"/>
                <w:szCs w:val="18"/>
              </w:rPr>
              <w:t>Rates of Leaving the Scheme</w:t>
            </w:r>
          </w:p>
        </w:tc>
        <w:tc>
          <w:tcPr>
            <w:tcW w:w="1367" w:type="pct"/>
            <w:gridSpan w:val="2"/>
            <w:tcBorders>
              <w:top w:val="nil"/>
              <w:left w:val="nil"/>
              <w:bottom w:val="single" w:sz="4" w:space="0" w:color="FFFFFF"/>
              <w:right w:val="nil"/>
            </w:tcBorders>
            <w:shd w:val="clear" w:color="000000" w:fill="6B2976"/>
            <w:noWrap/>
            <w:vAlign w:val="center"/>
            <w:hideMark/>
          </w:tcPr>
          <w:p w14:paraId="6A44EDE6" w14:textId="77777777" w:rsidR="000605EB" w:rsidRPr="00F830E6" w:rsidRDefault="000605EB" w:rsidP="009C7082">
            <w:pPr>
              <w:spacing w:after="0" w:line="240" w:lineRule="auto"/>
              <w:jc w:val="center"/>
              <w:rPr>
                <w:rFonts w:eastAsia="Times New Roman" w:cs="Arial"/>
                <w:b/>
                <w:bCs/>
                <w:color w:val="FFFFFF"/>
                <w:sz w:val="18"/>
                <w:szCs w:val="18"/>
              </w:rPr>
            </w:pPr>
            <w:r w:rsidRPr="00F830E6">
              <w:rPr>
                <w:rFonts w:eastAsia="Times New Roman" w:cs="Arial"/>
                <w:b/>
                <w:bCs/>
                <w:color w:val="FFFFFF"/>
                <w:sz w:val="18"/>
                <w:szCs w:val="18"/>
              </w:rPr>
              <w:t>Difference</w:t>
            </w:r>
          </w:p>
        </w:tc>
        <w:tc>
          <w:tcPr>
            <w:tcW w:w="852" w:type="pct"/>
            <w:vMerge w:val="restart"/>
            <w:tcBorders>
              <w:top w:val="nil"/>
              <w:left w:val="nil"/>
              <w:right w:val="nil"/>
            </w:tcBorders>
            <w:shd w:val="clear" w:color="000000" w:fill="6B2976"/>
            <w:vAlign w:val="center"/>
            <w:hideMark/>
          </w:tcPr>
          <w:p w14:paraId="716778C7" w14:textId="77777777" w:rsidR="000605EB" w:rsidRPr="00F830E6" w:rsidRDefault="000605EB" w:rsidP="009C7082">
            <w:pPr>
              <w:spacing w:after="0" w:line="240" w:lineRule="auto"/>
              <w:jc w:val="right"/>
              <w:rPr>
                <w:rFonts w:eastAsia="Times New Roman" w:cs="Arial"/>
                <w:b/>
                <w:bCs/>
                <w:color w:val="FFFFFF"/>
                <w:sz w:val="18"/>
                <w:szCs w:val="18"/>
              </w:rPr>
            </w:pPr>
            <w:r w:rsidRPr="00F830E6">
              <w:rPr>
                <w:rFonts w:eastAsia="Times New Roman" w:cs="Arial"/>
                <w:b/>
                <w:bCs/>
                <w:color w:val="FFFFFF"/>
                <w:sz w:val="18"/>
                <w:szCs w:val="18"/>
              </w:rPr>
              <w:t>Pooled Actual Rate</w:t>
            </w:r>
          </w:p>
        </w:tc>
        <w:tc>
          <w:tcPr>
            <w:tcW w:w="959" w:type="pct"/>
            <w:vMerge w:val="restart"/>
            <w:tcBorders>
              <w:top w:val="nil"/>
              <w:left w:val="nil"/>
              <w:right w:val="nil"/>
            </w:tcBorders>
            <w:shd w:val="clear" w:color="000000" w:fill="6B2976"/>
            <w:vAlign w:val="center"/>
            <w:hideMark/>
          </w:tcPr>
          <w:p w14:paraId="29915D89" w14:textId="77777777" w:rsidR="000605EB" w:rsidRPr="00F830E6" w:rsidRDefault="000605EB" w:rsidP="009C7082">
            <w:pPr>
              <w:spacing w:after="0" w:line="240" w:lineRule="auto"/>
              <w:jc w:val="right"/>
              <w:rPr>
                <w:rFonts w:eastAsia="Times New Roman" w:cs="Arial"/>
                <w:b/>
                <w:bCs/>
                <w:color w:val="FFFFFF"/>
                <w:sz w:val="18"/>
                <w:szCs w:val="18"/>
              </w:rPr>
            </w:pPr>
            <w:r w:rsidRPr="00F830E6">
              <w:rPr>
                <w:rFonts w:eastAsia="Times New Roman" w:cs="Arial"/>
                <w:b/>
                <w:bCs/>
                <w:color w:val="FFFFFF"/>
                <w:sz w:val="18"/>
                <w:szCs w:val="18"/>
              </w:rPr>
              <w:t>2021-22 AFSR Assumption</w:t>
            </w:r>
          </w:p>
        </w:tc>
      </w:tr>
      <w:tr w:rsidR="000605EB" w:rsidRPr="002256A4" w14:paraId="00405A0B" w14:textId="77777777" w:rsidTr="00F830E6">
        <w:trPr>
          <w:trHeight w:val="303"/>
          <w:tblHeader/>
        </w:trPr>
        <w:tc>
          <w:tcPr>
            <w:tcW w:w="499" w:type="pct"/>
            <w:tcBorders>
              <w:top w:val="nil"/>
              <w:left w:val="nil"/>
              <w:bottom w:val="nil"/>
              <w:right w:val="nil"/>
            </w:tcBorders>
            <w:shd w:val="clear" w:color="000000" w:fill="6B2976"/>
            <w:vAlign w:val="center"/>
            <w:hideMark/>
          </w:tcPr>
          <w:p w14:paraId="3ED21E3F" w14:textId="77777777" w:rsidR="000605EB" w:rsidRPr="00F830E6" w:rsidRDefault="000605EB" w:rsidP="009C7082">
            <w:pPr>
              <w:spacing w:after="0" w:line="240" w:lineRule="auto"/>
              <w:rPr>
                <w:rFonts w:eastAsia="Times New Roman" w:cs="Arial"/>
                <w:b/>
                <w:bCs/>
                <w:color w:val="FFFFFF"/>
                <w:sz w:val="18"/>
                <w:szCs w:val="18"/>
              </w:rPr>
            </w:pPr>
            <w:r w:rsidRPr="00F830E6">
              <w:rPr>
                <w:rFonts w:eastAsia="Times New Roman" w:cs="Arial"/>
                <w:b/>
                <w:bCs/>
                <w:color w:val="FFFFFF"/>
                <w:sz w:val="18"/>
                <w:szCs w:val="18"/>
              </w:rPr>
              <w:t>Age</w:t>
            </w:r>
          </w:p>
        </w:tc>
        <w:tc>
          <w:tcPr>
            <w:tcW w:w="632" w:type="pct"/>
            <w:tcBorders>
              <w:top w:val="nil"/>
              <w:left w:val="nil"/>
              <w:bottom w:val="nil"/>
              <w:right w:val="nil"/>
            </w:tcBorders>
            <w:shd w:val="clear" w:color="000000" w:fill="6B2976"/>
            <w:vAlign w:val="center"/>
            <w:hideMark/>
          </w:tcPr>
          <w:p w14:paraId="1DDF28C9" w14:textId="77777777" w:rsidR="000605EB" w:rsidRPr="00F830E6" w:rsidRDefault="000605EB" w:rsidP="009C7082">
            <w:pPr>
              <w:spacing w:after="0" w:line="240" w:lineRule="auto"/>
              <w:jc w:val="right"/>
              <w:rPr>
                <w:rFonts w:eastAsia="Times New Roman" w:cs="Arial"/>
                <w:b/>
                <w:bCs/>
                <w:color w:val="FFFFFF"/>
                <w:sz w:val="18"/>
                <w:szCs w:val="18"/>
              </w:rPr>
            </w:pPr>
            <w:r w:rsidRPr="00F830E6">
              <w:rPr>
                <w:rFonts w:eastAsia="Times New Roman" w:cs="Arial"/>
                <w:b/>
                <w:bCs/>
                <w:color w:val="FFFFFF"/>
                <w:sz w:val="18"/>
                <w:szCs w:val="18"/>
              </w:rPr>
              <w:t>Actual</w:t>
            </w:r>
          </w:p>
        </w:tc>
        <w:tc>
          <w:tcPr>
            <w:tcW w:w="691" w:type="pct"/>
            <w:tcBorders>
              <w:top w:val="nil"/>
              <w:left w:val="nil"/>
              <w:bottom w:val="nil"/>
              <w:right w:val="nil"/>
            </w:tcBorders>
            <w:shd w:val="clear" w:color="000000" w:fill="6B2976"/>
            <w:vAlign w:val="center"/>
            <w:hideMark/>
          </w:tcPr>
          <w:p w14:paraId="152C6EF4" w14:textId="77777777" w:rsidR="000605EB" w:rsidRPr="00F830E6" w:rsidRDefault="000605EB" w:rsidP="00F1235C">
            <w:pPr>
              <w:spacing w:after="0" w:line="240" w:lineRule="auto"/>
              <w:jc w:val="right"/>
              <w:rPr>
                <w:rFonts w:eastAsia="Times New Roman" w:cs="Arial"/>
                <w:b/>
                <w:bCs/>
                <w:color w:val="FFFFFF"/>
                <w:sz w:val="18"/>
                <w:szCs w:val="18"/>
              </w:rPr>
            </w:pPr>
            <w:r w:rsidRPr="00F830E6">
              <w:rPr>
                <w:rFonts w:eastAsia="Times New Roman" w:cs="Arial"/>
                <w:b/>
                <w:bCs/>
                <w:color w:val="FFFFFF"/>
                <w:sz w:val="18"/>
                <w:szCs w:val="18"/>
              </w:rPr>
              <w:t>Expected (2020-21 AFSR)</w:t>
            </w:r>
          </w:p>
        </w:tc>
        <w:tc>
          <w:tcPr>
            <w:tcW w:w="638" w:type="pct"/>
            <w:tcBorders>
              <w:top w:val="nil"/>
              <w:left w:val="nil"/>
              <w:bottom w:val="nil"/>
              <w:right w:val="nil"/>
            </w:tcBorders>
            <w:shd w:val="clear" w:color="000000" w:fill="6B2976"/>
            <w:vAlign w:val="center"/>
            <w:hideMark/>
          </w:tcPr>
          <w:p w14:paraId="64A94880" w14:textId="77777777" w:rsidR="000605EB" w:rsidRPr="00F830E6" w:rsidRDefault="000605EB" w:rsidP="009C7082">
            <w:pPr>
              <w:spacing w:after="0" w:line="240" w:lineRule="auto"/>
              <w:jc w:val="right"/>
              <w:rPr>
                <w:rFonts w:eastAsia="Times New Roman" w:cs="Arial"/>
                <w:b/>
                <w:bCs/>
                <w:color w:val="FFFFFF"/>
                <w:sz w:val="18"/>
                <w:szCs w:val="18"/>
              </w:rPr>
            </w:pPr>
            <w:r w:rsidRPr="00F830E6">
              <w:rPr>
                <w:rFonts w:eastAsia="Times New Roman" w:cs="Arial"/>
                <w:b/>
                <w:bCs/>
                <w:color w:val="FFFFFF"/>
                <w:sz w:val="18"/>
                <w:szCs w:val="18"/>
              </w:rPr>
              <w:t>%</w:t>
            </w:r>
          </w:p>
        </w:tc>
        <w:tc>
          <w:tcPr>
            <w:tcW w:w="729" w:type="pct"/>
            <w:tcBorders>
              <w:top w:val="nil"/>
              <w:left w:val="nil"/>
              <w:bottom w:val="nil"/>
              <w:right w:val="nil"/>
            </w:tcBorders>
            <w:shd w:val="clear" w:color="000000" w:fill="6B2976"/>
            <w:vAlign w:val="center"/>
            <w:hideMark/>
          </w:tcPr>
          <w:p w14:paraId="4D4F49BD" w14:textId="77777777" w:rsidR="000605EB" w:rsidRPr="00F830E6" w:rsidRDefault="000605EB" w:rsidP="009C7082">
            <w:pPr>
              <w:spacing w:after="0" w:line="240" w:lineRule="auto"/>
              <w:jc w:val="right"/>
              <w:rPr>
                <w:rFonts w:eastAsia="Times New Roman" w:cs="Arial"/>
                <w:b/>
                <w:bCs/>
                <w:color w:val="FFFFFF"/>
                <w:sz w:val="18"/>
                <w:szCs w:val="18"/>
              </w:rPr>
            </w:pPr>
            <w:r w:rsidRPr="00F830E6">
              <w:rPr>
                <w:rFonts w:eastAsia="Times New Roman" w:cs="Arial"/>
                <w:b/>
                <w:bCs/>
                <w:color w:val="FFFFFF"/>
                <w:sz w:val="18"/>
                <w:szCs w:val="18"/>
              </w:rPr>
              <w:t>% Change</w:t>
            </w:r>
          </w:p>
        </w:tc>
        <w:tc>
          <w:tcPr>
            <w:tcW w:w="852" w:type="pct"/>
            <w:vMerge/>
            <w:tcBorders>
              <w:left w:val="nil"/>
              <w:bottom w:val="nil"/>
              <w:right w:val="nil"/>
            </w:tcBorders>
            <w:vAlign w:val="center"/>
            <w:hideMark/>
          </w:tcPr>
          <w:p w14:paraId="75CCBF6F" w14:textId="77777777" w:rsidR="000605EB" w:rsidRPr="00F830E6" w:rsidRDefault="000605EB" w:rsidP="00DA3375">
            <w:pPr>
              <w:spacing w:after="0" w:line="240" w:lineRule="auto"/>
              <w:rPr>
                <w:rFonts w:eastAsia="Times New Roman" w:cs="Arial"/>
                <w:b/>
                <w:bCs/>
                <w:color w:val="FFFFFF"/>
                <w:sz w:val="18"/>
                <w:szCs w:val="18"/>
              </w:rPr>
            </w:pPr>
          </w:p>
        </w:tc>
        <w:tc>
          <w:tcPr>
            <w:tcW w:w="959" w:type="pct"/>
            <w:vMerge/>
            <w:tcBorders>
              <w:left w:val="nil"/>
              <w:bottom w:val="nil"/>
              <w:right w:val="nil"/>
            </w:tcBorders>
            <w:vAlign w:val="center"/>
            <w:hideMark/>
          </w:tcPr>
          <w:p w14:paraId="4AD8F51E" w14:textId="77777777" w:rsidR="000605EB" w:rsidRPr="00F830E6" w:rsidRDefault="000605EB" w:rsidP="00DA3375">
            <w:pPr>
              <w:spacing w:after="0" w:line="240" w:lineRule="auto"/>
              <w:rPr>
                <w:rFonts w:eastAsia="Times New Roman" w:cs="Arial"/>
                <w:b/>
                <w:bCs/>
                <w:color w:val="FFFFFF"/>
                <w:sz w:val="18"/>
                <w:szCs w:val="18"/>
              </w:rPr>
            </w:pPr>
          </w:p>
        </w:tc>
      </w:tr>
      <w:tr w:rsidR="00F830E6" w:rsidRPr="002256A4" w14:paraId="2961C1B8" w14:textId="77777777" w:rsidTr="00F830E6">
        <w:trPr>
          <w:trHeight w:val="303"/>
        </w:trPr>
        <w:tc>
          <w:tcPr>
            <w:tcW w:w="499" w:type="pct"/>
            <w:tcBorders>
              <w:top w:val="nil"/>
              <w:left w:val="nil"/>
              <w:bottom w:val="nil"/>
              <w:right w:val="nil"/>
            </w:tcBorders>
            <w:shd w:val="clear" w:color="auto" w:fill="auto"/>
            <w:noWrap/>
            <w:vAlign w:val="center"/>
            <w:hideMark/>
          </w:tcPr>
          <w:p w14:paraId="3FCAF8D1"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0</w:t>
            </w:r>
          </w:p>
        </w:tc>
        <w:tc>
          <w:tcPr>
            <w:tcW w:w="632" w:type="pct"/>
            <w:tcBorders>
              <w:top w:val="nil"/>
              <w:left w:val="single" w:sz="4" w:space="0" w:color="auto"/>
              <w:bottom w:val="nil"/>
              <w:right w:val="nil"/>
            </w:tcBorders>
            <w:shd w:val="clear" w:color="auto" w:fill="auto"/>
            <w:noWrap/>
            <w:vAlign w:val="center"/>
            <w:hideMark/>
          </w:tcPr>
          <w:p w14:paraId="68B832D5"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 </w:t>
            </w:r>
          </w:p>
        </w:tc>
        <w:tc>
          <w:tcPr>
            <w:tcW w:w="691" w:type="pct"/>
            <w:tcBorders>
              <w:top w:val="nil"/>
              <w:left w:val="nil"/>
              <w:bottom w:val="nil"/>
              <w:right w:val="single" w:sz="4" w:space="0" w:color="auto"/>
            </w:tcBorders>
            <w:shd w:val="clear" w:color="auto" w:fill="auto"/>
            <w:noWrap/>
            <w:vAlign w:val="center"/>
            <w:hideMark/>
          </w:tcPr>
          <w:p w14:paraId="7D82F37C"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 </w:t>
            </w:r>
          </w:p>
        </w:tc>
        <w:tc>
          <w:tcPr>
            <w:tcW w:w="638" w:type="pct"/>
            <w:tcBorders>
              <w:top w:val="nil"/>
              <w:left w:val="nil"/>
              <w:bottom w:val="nil"/>
              <w:right w:val="nil"/>
            </w:tcBorders>
            <w:shd w:val="clear" w:color="auto" w:fill="auto"/>
            <w:noWrap/>
            <w:vAlign w:val="center"/>
            <w:hideMark/>
          </w:tcPr>
          <w:p w14:paraId="23C3E1A5"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 </w:t>
            </w:r>
          </w:p>
        </w:tc>
        <w:tc>
          <w:tcPr>
            <w:tcW w:w="729" w:type="pct"/>
            <w:tcBorders>
              <w:top w:val="nil"/>
              <w:left w:val="nil"/>
              <w:bottom w:val="nil"/>
              <w:right w:val="single" w:sz="4" w:space="0" w:color="auto"/>
            </w:tcBorders>
            <w:shd w:val="clear" w:color="auto" w:fill="auto"/>
            <w:noWrap/>
            <w:vAlign w:val="center"/>
            <w:hideMark/>
          </w:tcPr>
          <w:p w14:paraId="2CB44BB0"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 </w:t>
            </w:r>
          </w:p>
        </w:tc>
        <w:tc>
          <w:tcPr>
            <w:tcW w:w="852" w:type="pct"/>
            <w:tcBorders>
              <w:top w:val="nil"/>
              <w:left w:val="nil"/>
              <w:bottom w:val="nil"/>
              <w:right w:val="nil"/>
            </w:tcBorders>
            <w:shd w:val="clear" w:color="auto" w:fill="auto"/>
            <w:noWrap/>
            <w:vAlign w:val="center"/>
            <w:hideMark/>
          </w:tcPr>
          <w:p w14:paraId="1BC86320"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0.7%</w:t>
            </w:r>
          </w:p>
        </w:tc>
        <w:tc>
          <w:tcPr>
            <w:tcW w:w="959" w:type="pct"/>
            <w:tcBorders>
              <w:top w:val="nil"/>
              <w:left w:val="nil"/>
              <w:bottom w:val="nil"/>
              <w:right w:val="nil"/>
            </w:tcBorders>
            <w:shd w:val="clear" w:color="auto" w:fill="auto"/>
            <w:noWrap/>
            <w:vAlign w:val="center"/>
            <w:hideMark/>
          </w:tcPr>
          <w:p w14:paraId="718F8156"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1.9%</w:t>
            </w:r>
          </w:p>
        </w:tc>
      </w:tr>
      <w:tr w:rsidR="00F830E6" w:rsidRPr="002256A4" w14:paraId="42B23EAF" w14:textId="77777777" w:rsidTr="00F830E6">
        <w:trPr>
          <w:trHeight w:val="303"/>
        </w:trPr>
        <w:tc>
          <w:tcPr>
            <w:tcW w:w="499" w:type="pct"/>
            <w:tcBorders>
              <w:top w:val="nil"/>
              <w:left w:val="nil"/>
              <w:bottom w:val="nil"/>
              <w:right w:val="nil"/>
            </w:tcBorders>
            <w:shd w:val="clear" w:color="000000" w:fill="BFBFBF"/>
            <w:noWrap/>
            <w:vAlign w:val="center"/>
            <w:hideMark/>
          </w:tcPr>
          <w:p w14:paraId="265184E4"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1</w:t>
            </w:r>
          </w:p>
        </w:tc>
        <w:tc>
          <w:tcPr>
            <w:tcW w:w="632" w:type="pct"/>
            <w:tcBorders>
              <w:top w:val="nil"/>
              <w:left w:val="single" w:sz="4" w:space="0" w:color="auto"/>
              <w:bottom w:val="nil"/>
              <w:right w:val="nil"/>
            </w:tcBorders>
            <w:shd w:val="clear" w:color="000000" w:fill="BFBFBF"/>
            <w:noWrap/>
            <w:vAlign w:val="center"/>
            <w:hideMark/>
          </w:tcPr>
          <w:p w14:paraId="2063D886"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0.0%</w:t>
            </w:r>
          </w:p>
        </w:tc>
        <w:tc>
          <w:tcPr>
            <w:tcW w:w="691" w:type="pct"/>
            <w:tcBorders>
              <w:top w:val="nil"/>
              <w:left w:val="nil"/>
              <w:bottom w:val="nil"/>
              <w:right w:val="single" w:sz="4" w:space="0" w:color="auto"/>
            </w:tcBorders>
            <w:shd w:val="clear" w:color="000000" w:fill="BFBFBF"/>
            <w:noWrap/>
            <w:vAlign w:val="center"/>
            <w:hideMark/>
          </w:tcPr>
          <w:p w14:paraId="31766146"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3.0%</w:t>
            </w:r>
          </w:p>
        </w:tc>
        <w:tc>
          <w:tcPr>
            <w:tcW w:w="638" w:type="pct"/>
            <w:tcBorders>
              <w:top w:val="nil"/>
              <w:left w:val="nil"/>
              <w:bottom w:val="nil"/>
              <w:right w:val="nil"/>
            </w:tcBorders>
            <w:shd w:val="clear" w:color="000000" w:fill="BFBFBF"/>
            <w:noWrap/>
            <w:vAlign w:val="center"/>
            <w:hideMark/>
          </w:tcPr>
          <w:p w14:paraId="257E970B"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-3.0%</w:t>
            </w:r>
          </w:p>
        </w:tc>
        <w:tc>
          <w:tcPr>
            <w:tcW w:w="729" w:type="pct"/>
            <w:tcBorders>
              <w:top w:val="nil"/>
              <w:left w:val="nil"/>
              <w:bottom w:val="nil"/>
              <w:right w:val="single" w:sz="4" w:space="0" w:color="auto"/>
            </w:tcBorders>
            <w:shd w:val="clear" w:color="000000" w:fill="BFBFBF"/>
            <w:noWrap/>
            <w:vAlign w:val="center"/>
            <w:hideMark/>
          </w:tcPr>
          <w:p w14:paraId="047547F5"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-100.0%</w:t>
            </w:r>
          </w:p>
        </w:tc>
        <w:tc>
          <w:tcPr>
            <w:tcW w:w="852" w:type="pct"/>
            <w:tcBorders>
              <w:top w:val="nil"/>
              <w:left w:val="nil"/>
              <w:bottom w:val="nil"/>
              <w:right w:val="nil"/>
            </w:tcBorders>
            <w:shd w:val="clear" w:color="000000" w:fill="BFBFBF"/>
            <w:noWrap/>
            <w:vAlign w:val="center"/>
            <w:hideMark/>
          </w:tcPr>
          <w:p w14:paraId="22563602"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0.7%</w:t>
            </w:r>
          </w:p>
        </w:tc>
        <w:tc>
          <w:tcPr>
            <w:tcW w:w="959" w:type="pct"/>
            <w:tcBorders>
              <w:top w:val="nil"/>
              <w:left w:val="nil"/>
              <w:bottom w:val="nil"/>
              <w:right w:val="nil"/>
            </w:tcBorders>
            <w:shd w:val="clear" w:color="000000" w:fill="BFBFBF"/>
            <w:noWrap/>
            <w:vAlign w:val="center"/>
            <w:hideMark/>
          </w:tcPr>
          <w:p w14:paraId="6062A073"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1.9%</w:t>
            </w:r>
          </w:p>
        </w:tc>
      </w:tr>
      <w:tr w:rsidR="00F830E6" w:rsidRPr="002256A4" w14:paraId="0DD341B3" w14:textId="77777777" w:rsidTr="00F830E6">
        <w:trPr>
          <w:trHeight w:val="303"/>
        </w:trPr>
        <w:tc>
          <w:tcPr>
            <w:tcW w:w="499" w:type="pct"/>
            <w:tcBorders>
              <w:top w:val="nil"/>
              <w:left w:val="nil"/>
              <w:bottom w:val="nil"/>
              <w:right w:val="nil"/>
            </w:tcBorders>
            <w:shd w:val="clear" w:color="auto" w:fill="auto"/>
            <w:noWrap/>
            <w:vAlign w:val="center"/>
            <w:hideMark/>
          </w:tcPr>
          <w:p w14:paraId="4B1B906C"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2</w:t>
            </w:r>
          </w:p>
        </w:tc>
        <w:tc>
          <w:tcPr>
            <w:tcW w:w="632" w:type="pct"/>
            <w:tcBorders>
              <w:top w:val="nil"/>
              <w:left w:val="single" w:sz="4" w:space="0" w:color="auto"/>
              <w:bottom w:val="nil"/>
              <w:right w:val="nil"/>
            </w:tcBorders>
            <w:shd w:val="clear" w:color="auto" w:fill="auto"/>
            <w:noWrap/>
            <w:vAlign w:val="center"/>
            <w:hideMark/>
          </w:tcPr>
          <w:p w14:paraId="7B8058B2"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0.0%</w:t>
            </w:r>
          </w:p>
        </w:tc>
        <w:tc>
          <w:tcPr>
            <w:tcW w:w="691" w:type="pct"/>
            <w:tcBorders>
              <w:top w:val="nil"/>
              <w:left w:val="nil"/>
              <w:bottom w:val="nil"/>
              <w:right w:val="single" w:sz="4" w:space="0" w:color="auto"/>
            </w:tcBorders>
            <w:shd w:val="clear" w:color="auto" w:fill="auto"/>
            <w:noWrap/>
            <w:vAlign w:val="center"/>
            <w:hideMark/>
          </w:tcPr>
          <w:p w14:paraId="05D7A03A"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3.0%</w:t>
            </w:r>
          </w:p>
        </w:tc>
        <w:tc>
          <w:tcPr>
            <w:tcW w:w="638" w:type="pct"/>
            <w:tcBorders>
              <w:top w:val="nil"/>
              <w:left w:val="nil"/>
              <w:bottom w:val="nil"/>
              <w:right w:val="nil"/>
            </w:tcBorders>
            <w:shd w:val="clear" w:color="auto" w:fill="auto"/>
            <w:noWrap/>
            <w:vAlign w:val="center"/>
            <w:hideMark/>
          </w:tcPr>
          <w:p w14:paraId="3C2A726A"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-3.0%</w:t>
            </w:r>
          </w:p>
        </w:tc>
        <w:tc>
          <w:tcPr>
            <w:tcW w:w="729" w:type="pct"/>
            <w:tcBorders>
              <w:top w:val="nil"/>
              <w:left w:val="nil"/>
              <w:bottom w:val="nil"/>
              <w:right w:val="single" w:sz="4" w:space="0" w:color="auto"/>
            </w:tcBorders>
            <w:shd w:val="clear" w:color="auto" w:fill="auto"/>
            <w:noWrap/>
            <w:vAlign w:val="center"/>
            <w:hideMark/>
          </w:tcPr>
          <w:p w14:paraId="43741FD4"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-100.0%</w:t>
            </w:r>
          </w:p>
        </w:tc>
        <w:tc>
          <w:tcPr>
            <w:tcW w:w="852" w:type="pct"/>
            <w:tcBorders>
              <w:top w:val="nil"/>
              <w:left w:val="nil"/>
              <w:bottom w:val="nil"/>
              <w:right w:val="nil"/>
            </w:tcBorders>
            <w:shd w:val="clear" w:color="auto" w:fill="auto"/>
            <w:noWrap/>
            <w:vAlign w:val="center"/>
            <w:hideMark/>
          </w:tcPr>
          <w:p w14:paraId="58F5E141"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0.7%</w:t>
            </w:r>
          </w:p>
        </w:tc>
        <w:tc>
          <w:tcPr>
            <w:tcW w:w="959" w:type="pct"/>
            <w:tcBorders>
              <w:top w:val="nil"/>
              <w:left w:val="nil"/>
              <w:bottom w:val="nil"/>
              <w:right w:val="nil"/>
            </w:tcBorders>
            <w:shd w:val="clear" w:color="auto" w:fill="auto"/>
            <w:noWrap/>
            <w:vAlign w:val="center"/>
            <w:hideMark/>
          </w:tcPr>
          <w:p w14:paraId="6BCF6143"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1.9%</w:t>
            </w:r>
          </w:p>
        </w:tc>
      </w:tr>
      <w:tr w:rsidR="00F830E6" w:rsidRPr="002256A4" w14:paraId="775CB388" w14:textId="77777777" w:rsidTr="00F830E6">
        <w:trPr>
          <w:trHeight w:val="303"/>
        </w:trPr>
        <w:tc>
          <w:tcPr>
            <w:tcW w:w="499" w:type="pct"/>
            <w:tcBorders>
              <w:top w:val="nil"/>
              <w:left w:val="nil"/>
              <w:bottom w:val="nil"/>
              <w:right w:val="nil"/>
            </w:tcBorders>
            <w:shd w:val="clear" w:color="000000" w:fill="BFBFBF"/>
            <w:noWrap/>
            <w:vAlign w:val="center"/>
            <w:hideMark/>
          </w:tcPr>
          <w:p w14:paraId="7C8C3B54"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3</w:t>
            </w:r>
          </w:p>
        </w:tc>
        <w:tc>
          <w:tcPr>
            <w:tcW w:w="632" w:type="pct"/>
            <w:tcBorders>
              <w:top w:val="nil"/>
              <w:left w:val="single" w:sz="4" w:space="0" w:color="auto"/>
              <w:bottom w:val="nil"/>
              <w:right w:val="nil"/>
            </w:tcBorders>
            <w:shd w:val="clear" w:color="000000" w:fill="BFBFBF"/>
            <w:noWrap/>
            <w:vAlign w:val="center"/>
            <w:hideMark/>
          </w:tcPr>
          <w:p w14:paraId="2ACCF469"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0.0%</w:t>
            </w:r>
          </w:p>
        </w:tc>
        <w:tc>
          <w:tcPr>
            <w:tcW w:w="691" w:type="pct"/>
            <w:tcBorders>
              <w:top w:val="nil"/>
              <w:left w:val="nil"/>
              <w:bottom w:val="nil"/>
              <w:right w:val="single" w:sz="4" w:space="0" w:color="auto"/>
            </w:tcBorders>
            <w:shd w:val="clear" w:color="000000" w:fill="BFBFBF"/>
            <w:noWrap/>
            <w:vAlign w:val="center"/>
            <w:hideMark/>
          </w:tcPr>
          <w:p w14:paraId="13C93365"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3.0%</w:t>
            </w:r>
          </w:p>
        </w:tc>
        <w:tc>
          <w:tcPr>
            <w:tcW w:w="638" w:type="pct"/>
            <w:tcBorders>
              <w:top w:val="nil"/>
              <w:left w:val="nil"/>
              <w:bottom w:val="nil"/>
              <w:right w:val="nil"/>
            </w:tcBorders>
            <w:shd w:val="clear" w:color="000000" w:fill="BFBFBF"/>
            <w:noWrap/>
            <w:vAlign w:val="center"/>
            <w:hideMark/>
          </w:tcPr>
          <w:p w14:paraId="28C5559A"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-3.0%</w:t>
            </w:r>
          </w:p>
        </w:tc>
        <w:tc>
          <w:tcPr>
            <w:tcW w:w="729" w:type="pct"/>
            <w:tcBorders>
              <w:top w:val="nil"/>
              <w:left w:val="nil"/>
              <w:bottom w:val="nil"/>
              <w:right w:val="single" w:sz="4" w:space="0" w:color="auto"/>
            </w:tcBorders>
            <w:shd w:val="clear" w:color="000000" w:fill="BFBFBF"/>
            <w:noWrap/>
            <w:vAlign w:val="center"/>
            <w:hideMark/>
          </w:tcPr>
          <w:p w14:paraId="3571B95B"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-100.0%</w:t>
            </w:r>
          </w:p>
        </w:tc>
        <w:tc>
          <w:tcPr>
            <w:tcW w:w="852" w:type="pct"/>
            <w:tcBorders>
              <w:top w:val="nil"/>
              <w:left w:val="nil"/>
              <w:bottom w:val="nil"/>
              <w:right w:val="nil"/>
            </w:tcBorders>
            <w:shd w:val="clear" w:color="000000" w:fill="BFBFBF"/>
            <w:noWrap/>
            <w:vAlign w:val="center"/>
            <w:hideMark/>
          </w:tcPr>
          <w:p w14:paraId="66E0ABAD"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0.7%</w:t>
            </w:r>
          </w:p>
        </w:tc>
        <w:tc>
          <w:tcPr>
            <w:tcW w:w="959" w:type="pct"/>
            <w:tcBorders>
              <w:top w:val="nil"/>
              <w:left w:val="nil"/>
              <w:bottom w:val="nil"/>
              <w:right w:val="nil"/>
            </w:tcBorders>
            <w:shd w:val="clear" w:color="000000" w:fill="BFBFBF"/>
            <w:noWrap/>
            <w:vAlign w:val="center"/>
            <w:hideMark/>
          </w:tcPr>
          <w:p w14:paraId="542700F6"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1.9%</w:t>
            </w:r>
          </w:p>
        </w:tc>
      </w:tr>
      <w:tr w:rsidR="00F830E6" w:rsidRPr="002256A4" w14:paraId="2AF4C906" w14:textId="77777777" w:rsidTr="00F830E6">
        <w:trPr>
          <w:trHeight w:val="303"/>
        </w:trPr>
        <w:tc>
          <w:tcPr>
            <w:tcW w:w="499" w:type="pct"/>
            <w:tcBorders>
              <w:top w:val="nil"/>
              <w:left w:val="nil"/>
              <w:bottom w:val="nil"/>
              <w:right w:val="nil"/>
            </w:tcBorders>
            <w:shd w:val="clear" w:color="auto" w:fill="auto"/>
            <w:noWrap/>
            <w:vAlign w:val="center"/>
            <w:hideMark/>
          </w:tcPr>
          <w:p w14:paraId="3A606443"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4</w:t>
            </w:r>
          </w:p>
        </w:tc>
        <w:tc>
          <w:tcPr>
            <w:tcW w:w="632" w:type="pct"/>
            <w:tcBorders>
              <w:top w:val="nil"/>
              <w:left w:val="single" w:sz="4" w:space="0" w:color="auto"/>
              <w:bottom w:val="nil"/>
              <w:right w:val="nil"/>
            </w:tcBorders>
            <w:shd w:val="clear" w:color="auto" w:fill="auto"/>
            <w:noWrap/>
            <w:vAlign w:val="center"/>
            <w:hideMark/>
          </w:tcPr>
          <w:p w14:paraId="1EF341EC"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0.0%</w:t>
            </w:r>
          </w:p>
        </w:tc>
        <w:tc>
          <w:tcPr>
            <w:tcW w:w="691" w:type="pct"/>
            <w:tcBorders>
              <w:top w:val="nil"/>
              <w:left w:val="nil"/>
              <w:bottom w:val="nil"/>
              <w:right w:val="single" w:sz="4" w:space="0" w:color="auto"/>
            </w:tcBorders>
            <w:shd w:val="clear" w:color="auto" w:fill="auto"/>
            <w:noWrap/>
            <w:vAlign w:val="center"/>
            <w:hideMark/>
          </w:tcPr>
          <w:p w14:paraId="7534BD91"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3.0%</w:t>
            </w:r>
          </w:p>
        </w:tc>
        <w:tc>
          <w:tcPr>
            <w:tcW w:w="638" w:type="pct"/>
            <w:tcBorders>
              <w:top w:val="nil"/>
              <w:left w:val="nil"/>
              <w:bottom w:val="nil"/>
              <w:right w:val="nil"/>
            </w:tcBorders>
            <w:shd w:val="clear" w:color="auto" w:fill="auto"/>
            <w:noWrap/>
            <w:vAlign w:val="center"/>
            <w:hideMark/>
          </w:tcPr>
          <w:p w14:paraId="035964C8"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-3.0%</w:t>
            </w:r>
          </w:p>
        </w:tc>
        <w:tc>
          <w:tcPr>
            <w:tcW w:w="729" w:type="pct"/>
            <w:tcBorders>
              <w:top w:val="nil"/>
              <w:left w:val="nil"/>
              <w:bottom w:val="nil"/>
              <w:right w:val="single" w:sz="4" w:space="0" w:color="auto"/>
            </w:tcBorders>
            <w:shd w:val="clear" w:color="auto" w:fill="auto"/>
            <w:noWrap/>
            <w:vAlign w:val="center"/>
            <w:hideMark/>
          </w:tcPr>
          <w:p w14:paraId="177BFEF0"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-100.0%</w:t>
            </w:r>
          </w:p>
        </w:tc>
        <w:tc>
          <w:tcPr>
            <w:tcW w:w="852" w:type="pct"/>
            <w:tcBorders>
              <w:top w:val="nil"/>
              <w:left w:val="nil"/>
              <w:bottom w:val="nil"/>
              <w:right w:val="nil"/>
            </w:tcBorders>
            <w:shd w:val="clear" w:color="auto" w:fill="auto"/>
            <w:noWrap/>
            <w:vAlign w:val="center"/>
            <w:hideMark/>
          </w:tcPr>
          <w:p w14:paraId="0AEFEC19"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0.7%</w:t>
            </w:r>
          </w:p>
        </w:tc>
        <w:tc>
          <w:tcPr>
            <w:tcW w:w="959" w:type="pct"/>
            <w:tcBorders>
              <w:top w:val="nil"/>
              <w:left w:val="nil"/>
              <w:bottom w:val="nil"/>
              <w:right w:val="nil"/>
            </w:tcBorders>
            <w:shd w:val="clear" w:color="auto" w:fill="auto"/>
            <w:noWrap/>
            <w:vAlign w:val="center"/>
            <w:hideMark/>
          </w:tcPr>
          <w:p w14:paraId="31412352"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1.9%</w:t>
            </w:r>
          </w:p>
        </w:tc>
      </w:tr>
      <w:tr w:rsidR="00F830E6" w:rsidRPr="002256A4" w14:paraId="2E37E8EE" w14:textId="77777777" w:rsidTr="00F830E6">
        <w:trPr>
          <w:trHeight w:val="303"/>
        </w:trPr>
        <w:tc>
          <w:tcPr>
            <w:tcW w:w="499" w:type="pct"/>
            <w:tcBorders>
              <w:top w:val="nil"/>
              <w:left w:val="nil"/>
              <w:bottom w:val="nil"/>
              <w:right w:val="nil"/>
            </w:tcBorders>
            <w:shd w:val="clear" w:color="000000" w:fill="BFBFBF"/>
            <w:noWrap/>
            <w:vAlign w:val="center"/>
            <w:hideMark/>
          </w:tcPr>
          <w:p w14:paraId="0BD0A28E"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5</w:t>
            </w:r>
          </w:p>
        </w:tc>
        <w:tc>
          <w:tcPr>
            <w:tcW w:w="632" w:type="pct"/>
            <w:tcBorders>
              <w:top w:val="nil"/>
              <w:left w:val="single" w:sz="4" w:space="0" w:color="auto"/>
              <w:bottom w:val="nil"/>
              <w:right w:val="nil"/>
            </w:tcBorders>
            <w:shd w:val="clear" w:color="000000" w:fill="BFBFBF"/>
            <w:noWrap/>
            <w:vAlign w:val="center"/>
            <w:hideMark/>
          </w:tcPr>
          <w:p w14:paraId="5DF8DDFA"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0.0%</w:t>
            </w:r>
          </w:p>
        </w:tc>
        <w:tc>
          <w:tcPr>
            <w:tcW w:w="691" w:type="pct"/>
            <w:tcBorders>
              <w:top w:val="nil"/>
              <w:left w:val="nil"/>
              <w:bottom w:val="nil"/>
              <w:right w:val="single" w:sz="4" w:space="0" w:color="auto"/>
            </w:tcBorders>
            <w:shd w:val="clear" w:color="000000" w:fill="BFBFBF"/>
            <w:noWrap/>
            <w:vAlign w:val="center"/>
            <w:hideMark/>
          </w:tcPr>
          <w:p w14:paraId="2F68A919"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3.0%</w:t>
            </w:r>
          </w:p>
        </w:tc>
        <w:tc>
          <w:tcPr>
            <w:tcW w:w="638" w:type="pct"/>
            <w:tcBorders>
              <w:top w:val="nil"/>
              <w:left w:val="nil"/>
              <w:bottom w:val="nil"/>
              <w:right w:val="nil"/>
            </w:tcBorders>
            <w:shd w:val="clear" w:color="000000" w:fill="BFBFBF"/>
            <w:noWrap/>
            <w:vAlign w:val="center"/>
            <w:hideMark/>
          </w:tcPr>
          <w:p w14:paraId="5D2BDF6C"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-3.0%</w:t>
            </w:r>
          </w:p>
        </w:tc>
        <w:tc>
          <w:tcPr>
            <w:tcW w:w="729" w:type="pct"/>
            <w:tcBorders>
              <w:top w:val="nil"/>
              <w:left w:val="nil"/>
              <w:bottom w:val="nil"/>
              <w:right w:val="single" w:sz="4" w:space="0" w:color="auto"/>
            </w:tcBorders>
            <w:shd w:val="clear" w:color="000000" w:fill="BFBFBF"/>
            <w:noWrap/>
            <w:vAlign w:val="center"/>
            <w:hideMark/>
          </w:tcPr>
          <w:p w14:paraId="77272D0A"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-100.0%</w:t>
            </w:r>
          </w:p>
        </w:tc>
        <w:tc>
          <w:tcPr>
            <w:tcW w:w="852" w:type="pct"/>
            <w:tcBorders>
              <w:top w:val="nil"/>
              <w:left w:val="nil"/>
              <w:bottom w:val="nil"/>
              <w:right w:val="nil"/>
            </w:tcBorders>
            <w:shd w:val="clear" w:color="000000" w:fill="BFBFBF"/>
            <w:noWrap/>
            <w:vAlign w:val="center"/>
            <w:hideMark/>
          </w:tcPr>
          <w:p w14:paraId="34F7CDAC"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0.7%</w:t>
            </w:r>
          </w:p>
        </w:tc>
        <w:tc>
          <w:tcPr>
            <w:tcW w:w="959" w:type="pct"/>
            <w:tcBorders>
              <w:top w:val="nil"/>
              <w:left w:val="nil"/>
              <w:bottom w:val="nil"/>
              <w:right w:val="nil"/>
            </w:tcBorders>
            <w:shd w:val="clear" w:color="000000" w:fill="BFBFBF"/>
            <w:noWrap/>
            <w:vAlign w:val="center"/>
            <w:hideMark/>
          </w:tcPr>
          <w:p w14:paraId="219A0ED6"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1.9%</w:t>
            </w:r>
          </w:p>
        </w:tc>
      </w:tr>
      <w:tr w:rsidR="00F830E6" w:rsidRPr="002256A4" w14:paraId="090327A6" w14:textId="77777777" w:rsidTr="00F830E6">
        <w:trPr>
          <w:trHeight w:val="303"/>
        </w:trPr>
        <w:tc>
          <w:tcPr>
            <w:tcW w:w="499" w:type="pct"/>
            <w:tcBorders>
              <w:top w:val="nil"/>
              <w:left w:val="nil"/>
              <w:bottom w:val="nil"/>
              <w:right w:val="nil"/>
            </w:tcBorders>
            <w:shd w:val="clear" w:color="auto" w:fill="auto"/>
            <w:noWrap/>
            <w:vAlign w:val="center"/>
            <w:hideMark/>
          </w:tcPr>
          <w:p w14:paraId="31EFCD5A"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6</w:t>
            </w:r>
          </w:p>
        </w:tc>
        <w:tc>
          <w:tcPr>
            <w:tcW w:w="632" w:type="pct"/>
            <w:tcBorders>
              <w:top w:val="nil"/>
              <w:left w:val="single" w:sz="4" w:space="0" w:color="auto"/>
              <w:bottom w:val="nil"/>
              <w:right w:val="nil"/>
            </w:tcBorders>
            <w:shd w:val="clear" w:color="auto" w:fill="auto"/>
            <w:noWrap/>
            <w:vAlign w:val="center"/>
            <w:hideMark/>
          </w:tcPr>
          <w:p w14:paraId="57A5B5D5"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3.8%</w:t>
            </w:r>
          </w:p>
        </w:tc>
        <w:tc>
          <w:tcPr>
            <w:tcW w:w="691" w:type="pct"/>
            <w:tcBorders>
              <w:top w:val="nil"/>
              <w:left w:val="nil"/>
              <w:bottom w:val="nil"/>
              <w:right w:val="single" w:sz="4" w:space="0" w:color="auto"/>
            </w:tcBorders>
            <w:shd w:val="clear" w:color="auto" w:fill="auto"/>
            <w:noWrap/>
            <w:vAlign w:val="center"/>
            <w:hideMark/>
          </w:tcPr>
          <w:p w14:paraId="0B3D98CE"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8.6%</w:t>
            </w:r>
          </w:p>
        </w:tc>
        <w:tc>
          <w:tcPr>
            <w:tcW w:w="638" w:type="pct"/>
            <w:tcBorders>
              <w:top w:val="nil"/>
              <w:left w:val="nil"/>
              <w:bottom w:val="nil"/>
              <w:right w:val="nil"/>
            </w:tcBorders>
            <w:shd w:val="clear" w:color="auto" w:fill="auto"/>
            <w:noWrap/>
            <w:vAlign w:val="center"/>
            <w:hideMark/>
          </w:tcPr>
          <w:p w14:paraId="551BC3F1"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-4.8%</w:t>
            </w:r>
          </w:p>
        </w:tc>
        <w:tc>
          <w:tcPr>
            <w:tcW w:w="729" w:type="pct"/>
            <w:tcBorders>
              <w:top w:val="nil"/>
              <w:left w:val="nil"/>
              <w:bottom w:val="nil"/>
              <w:right w:val="single" w:sz="4" w:space="0" w:color="auto"/>
            </w:tcBorders>
            <w:shd w:val="clear" w:color="auto" w:fill="auto"/>
            <w:noWrap/>
            <w:vAlign w:val="center"/>
            <w:hideMark/>
          </w:tcPr>
          <w:p w14:paraId="2538DBBB"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-55.7%</w:t>
            </w:r>
          </w:p>
        </w:tc>
        <w:tc>
          <w:tcPr>
            <w:tcW w:w="852" w:type="pct"/>
            <w:tcBorders>
              <w:top w:val="nil"/>
              <w:left w:val="nil"/>
              <w:bottom w:val="nil"/>
              <w:right w:val="nil"/>
            </w:tcBorders>
            <w:shd w:val="clear" w:color="auto" w:fill="auto"/>
            <w:noWrap/>
            <w:vAlign w:val="center"/>
            <w:hideMark/>
          </w:tcPr>
          <w:p w14:paraId="11524CFC"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0.7%</w:t>
            </w:r>
          </w:p>
        </w:tc>
        <w:tc>
          <w:tcPr>
            <w:tcW w:w="959" w:type="pct"/>
            <w:tcBorders>
              <w:top w:val="nil"/>
              <w:left w:val="nil"/>
              <w:bottom w:val="nil"/>
              <w:right w:val="nil"/>
            </w:tcBorders>
            <w:shd w:val="clear" w:color="auto" w:fill="auto"/>
            <w:noWrap/>
            <w:vAlign w:val="center"/>
            <w:hideMark/>
          </w:tcPr>
          <w:p w14:paraId="1D600DEE"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4.7%</w:t>
            </w:r>
          </w:p>
        </w:tc>
      </w:tr>
      <w:tr w:rsidR="00F830E6" w:rsidRPr="002256A4" w14:paraId="7D4B7EC1" w14:textId="77777777" w:rsidTr="00F830E6">
        <w:trPr>
          <w:trHeight w:val="303"/>
        </w:trPr>
        <w:tc>
          <w:tcPr>
            <w:tcW w:w="499" w:type="pct"/>
            <w:tcBorders>
              <w:top w:val="nil"/>
              <w:left w:val="nil"/>
              <w:bottom w:val="nil"/>
              <w:right w:val="nil"/>
            </w:tcBorders>
            <w:shd w:val="clear" w:color="000000" w:fill="BFBFBF"/>
            <w:noWrap/>
            <w:vAlign w:val="center"/>
            <w:hideMark/>
          </w:tcPr>
          <w:p w14:paraId="5914CA05"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7</w:t>
            </w:r>
          </w:p>
        </w:tc>
        <w:tc>
          <w:tcPr>
            <w:tcW w:w="632" w:type="pct"/>
            <w:tcBorders>
              <w:top w:val="nil"/>
              <w:left w:val="single" w:sz="4" w:space="0" w:color="auto"/>
              <w:bottom w:val="nil"/>
              <w:right w:val="nil"/>
            </w:tcBorders>
            <w:shd w:val="clear" w:color="000000" w:fill="BFBFBF"/>
            <w:noWrap/>
            <w:vAlign w:val="center"/>
            <w:hideMark/>
          </w:tcPr>
          <w:p w14:paraId="0D96FCEF"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11.9%</w:t>
            </w:r>
          </w:p>
        </w:tc>
        <w:tc>
          <w:tcPr>
            <w:tcW w:w="691" w:type="pct"/>
            <w:tcBorders>
              <w:top w:val="nil"/>
              <w:left w:val="nil"/>
              <w:bottom w:val="nil"/>
              <w:right w:val="single" w:sz="4" w:space="0" w:color="auto"/>
            </w:tcBorders>
            <w:shd w:val="clear" w:color="000000" w:fill="BFBFBF"/>
            <w:noWrap/>
            <w:vAlign w:val="center"/>
            <w:hideMark/>
          </w:tcPr>
          <w:p w14:paraId="74720B80"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8.6%</w:t>
            </w:r>
          </w:p>
        </w:tc>
        <w:tc>
          <w:tcPr>
            <w:tcW w:w="638" w:type="pct"/>
            <w:tcBorders>
              <w:top w:val="nil"/>
              <w:left w:val="nil"/>
              <w:bottom w:val="nil"/>
              <w:right w:val="nil"/>
            </w:tcBorders>
            <w:shd w:val="clear" w:color="000000" w:fill="BFBFBF"/>
            <w:noWrap/>
            <w:vAlign w:val="center"/>
            <w:hideMark/>
          </w:tcPr>
          <w:p w14:paraId="563033EC"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3.4%</w:t>
            </w:r>
          </w:p>
        </w:tc>
        <w:tc>
          <w:tcPr>
            <w:tcW w:w="729" w:type="pct"/>
            <w:tcBorders>
              <w:top w:val="nil"/>
              <w:left w:val="nil"/>
              <w:bottom w:val="nil"/>
              <w:right w:val="single" w:sz="4" w:space="0" w:color="auto"/>
            </w:tcBorders>
            <w:shd w:val="clear" w:color="000000" w:fill="BFBFBF"/>
            <w:noWrap/>
            <w:vAlign w:val="center"/>
            <w:hideMark/>
          </w:tcPr>
          <w:p w14:paraId="1244B97B"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39.5%</w:t>
            </w:r>
          </w:p>
        </w:tc>
        <w:tc>
          <w:tcPr>
            <w:tcW w:w="852" w:type="pct"/>
            <w:tcBorders>
              <w:top w:val="nil"/>
              <w:left w:val="nil"/>
              <w:bottom w:val="nil"/>
              <w:right w:val="nil"/>
            </w:tcBorders>
            <w:shd w:val="clear" w:color="000000" w:fill="BFBFBF"/>
            <w:noWrap/>
            <w:vAlign w:val="center"/>
            <w:hideMark/>
          </w:tcPr>
          <w:p w14:paraId="718C67DE"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9.0%</w:t>
            </w:r>
          </w:p>
        </w:tc>
        <w:tc>
          <w:tcPr>
            <w:tcW w:w="959" w:type="pct"/>
            <w:tcBorders>
              <w:top w:val="nil"/>
              <w:left w:val="nil"/>
              <w:bottom w:val="nil"/>
              <w:right w:val="nil"/>
            </w:tcBorders>
            <w:shd w:val="clear" w:color="000000" w:fill="BFBFBF"/>
            <w:noWrap/>
            <w:vAlign w:val="center"/>
            <w:hideMark/>
          </w:tcPr>
          <w:p w14:paraId="327994BA"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8.8%</w:t>
            </w:r>
          </w:p>
        </w:tc>
      </w:tr>
      <w:tr w:rsidR="00F830E6" w:rsidRPr="002256A4" w14:paraId="735E63D1" w14:textId="77777777" w:rsidTr="00F830E6">
        <w:trPr>
          <w:trHeight w:val="303"/>
        </w:trPr>
        <w:tc>
          <w:tcPr>
            <w:tcW w:w="499" w:type="pct"/>
            <w:tcBorders>
              <w:top w:val="nil"/>
              <w:left w:val="nil"/>
              <w:bottom w:val="nil"/>
              <w:right w:val="nil"/>
            </w:tcBorders>
            <w:shd w:val="clear" w:color="auto" w:fill="auto"/>
            <w:noWrap/>
            <w:vAlign w:val="center"/>
            <w:hideMark/>
          </w:tcPr>
          <w:p w14:paraId="544AB47D"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8</w:t>
            </w:r>
          </w:p>
        </w:tc>
        <w:tc>
          <w:tcPr>
            <w:tcW w:w="632" w:type="pct"/>
            <w:tcBorders>
              <w:top w:val="nil"/>
              <w:left w:val="single" w:sz="4" w:space="0" w:color="auto"/>
              <w:bottom w:val="nil"/>
              <w:right w:val="nil"/>
            </w:tcBorders>
            <w:shd w:val="clear" w:color="auto" w:fill="auto"/>
            <w:noWrap/>
            <w:vAlign w:val="center"/>
            <w:hideMark/>
          </w:tcPr>
          <w:p w14:paraId="50FAFB59"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8.7%</w:t>
            </w:r>
          </w:p>
        </w:tc>
        <w:tc>
          <w:tcPr>
            <w:tcW w:w="691" w:type="pct"/>
            <w:tcBorders>
              <w:top w:val="nil"/>
              <w:left w:val="nil"/>
              <w:bottom w:val="nil"/>
              <w:right w:val="single" w:sz="4" w:space="0" w:color="auto"/>
            </w:tcBorders>
            <w:shd w:val="clear" w:color="auto" w:fill="auto"/>
            <w:noWrap/>
            <w:vAlign w:val="center"/>
            <w:hideMark/>
          </w:tcPr>
          <w:p w14:paraId="47895A4D"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9.5%</w:t>
            </w:r>
          </w:p>
        </w:tc>
        <w:tc>
          <w:tcPr>
            <w:tcW w:w="638" w:type="pct"/>
            <w:tcBorders>
              <w:top w:val="nil"/>
              <w:left w:val="nil"/>
              <w:bottom w:val="nil"/>
              <w:right w:val="nil"/>
            </w:tcBorders>
            <w:shd w:val="clear" w:color="auto" w:fill="auto"/>
            <w:noWrap/>
            <w:vAlign w:val="center"/>
            <w:hideMark/>
          </w:tcPr>
          <w:p w14:paraId="7B5A150F"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-0.8%</w:t>
            </w:r>
          </w:p>
        </w:tc>
        <w:tc>
          <w:tcPr>
            <w:tcW w:w="729" w:type="pct"/>
            <w:tcBorders>
              <w:top w:val="nil"/>
              <w:left w:val="nil"/>
              <w:bottom w:val="nil"/>
              <w:right w:val="single" w:sz="4" w:space="0" w:color="auto"/>
            </w:tcBorders>
            <w:shd w:val="clear" w:color="auto" w:fill="auto"/>
            <w:noWrap/>
            <w:vAlign w:val="center"/>
            <w:hideMark/>
          </w:tcPr>
          <w:p w14:paraId="49E6DF87"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-8.0%</w:t>
            </w:r>
          </w:p>
        </w:tc>
        <w:tc>
          <w:tcPr>
            <w:tcW w:w="852" w:type="pct"/>
            <w:tcBorders>
              <w:top w:val="nil"/>
              <w:left w:val="nil"/>
              <w:bottom w:val="nil"/>
              <w:right w:val="nil"/>
            </w:tcBorders>
            <w:shd w:val="clear" w:color="auto" w:fill="auto"/>
            <w:noWrap/>
            <w:vAlign w:val="center"/>
            <w:hideMark/>
          </w:tcPr>
          <w:p w14:paraId="391A1A48"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9.0%</w:t>
            </w:r>
          </w:p>
        </w:tc>
        <w:tc>
          <w:tcPr>
            <w:tcW w:w="959" w:type="pct"/>
            <w:tcBorders>
              <w:top w:val="nil"/>
              <w:left w:val="nil"/>
              <w:bottom w:val="nil"/>
              <w:right w:val="nil"/>
            </w:tcBorders>
            <w:shd w:val="clear" w:color="auto" w:fill="auto"/>
            <w:noWrap/>
            <w:vAlign w:val="center"/>
            <w:hideMark/>
          </w:tcPr>
          <w:p w14:paraId="396F06A3"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9.3%</w:t>
            </w:r>
          </w:p>
        </w:tc>
      </w:tr>
      <w:tr w:rsidR="00F830E6" w:rsidRPr="002256A4" w14:paraId="2F9DBCBB" w14:textId="77777777" w:rsidTr="00F830E6">
        <w:trPr>
          <w:trHeight w:val="303"/>
        </w:trPr>
        <w:tc>
          <w:tcPr>
            <w:tcW w:w="499" w:type="pct"/>
            <w:tcBorders>
              <w:top w:val="nil"/>
              <w:left w:val="nil"/>
              <w:bottom w:val="nil"/>
              <w:right w:val="nil"/>
            </w:tcBorders>
            <w:shd w:val="clear" w:color="000000" w:fill="BFBFBF"/>
            <w:noWrap/>
            <w:vAlign w:val="center"/>
            <w:hideMark/>
          </w:tcPr>
          <w:p w14:paraId="07284982"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9</w:t>
            </w:r>
          </w:p>
        </w:tc>
        <w:tc>
          <w:tcPr>
            <w:tcW w:w="632" w:type="pct"/>
            <w:tcBorders>
              <w:top w:val="nil"/>
              <w:left w:val="single" w:sz="4" w:space="0" w:color="auto"/>
              <w:bottom w:val="nil"/>
              <w:right w:val="nil"/>
            </w:tcBorders>
            <w:shd w:val="clear" w:color="000000" w:fill="BFBFBF"/>
            <w:noWrap/>
            <w:vAlign w:val="center"/>
            <w:hideMark/>
          </w:tcPr>
          <w:p w14:paraId="2F98A804"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4.9%</w:t>
            </w:r>
          </w:p>
        </w:tc>
        <w:tc>
          <w:tcPr>
            <w:tcW w:w="691" w:type="pct"/>
            <w:tcBorders>
              <w:top w:val="nil"/>
              <w:left w:val="nil"/>
              <w:bottom w:val="nil"/>
              <w:right w:val="single" w:sz="4" w:space="0" w:color="auto"/>
            </w:tcBorders>
            <w:shd w:val="clear" w:color="000000" w:fill="BFBFBF"/>
            <w:noWrap/>
            <w:vAlign w:val="center"/>
            <w:hideMark/>
          </w:tcPr>
          <w:p w14:paraId="0E72663E"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12.9%</w:t>
            </w:r>
          </w:p>
        </w:tc>
        <w:tc>
          <w:tcPr>
            <w:tcW w:w="638" w:type="pct"/>
            <w:tcBorders>
              <w:top w:val="nil"/>
              <w:left w:val="nil"/>
              <w:bottom w:val="nil"/>
              <w:right w:val="nil"/>
            </w:tcBorders>
            <w:shd w:val="clear" w:color="000000" w:fill="BFBFBF"/>
            <w:noWrap/>
            <w:vAlign w:val="center"/>
            <w:hideMark/>
          </w:tcPr>
          <w:p w14:paraId="55C90242"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-8.0%</w:t>
            </w:r>
          </w:p>
        </w:tc>
        <w:tc>
          <w:tcPr>
            <w:tcW w:w="729" w:type="pct"/>
            <w:tcBorders>
              <w:top w:val="nil"/>
              <w:left w:val="nil"/>
              <w:bottom w:val="nil"/>
              <w:right w:val="single" w:sz="4" w:space="0" w:color="auto"/>
            </w:tcBorders>
            <w:shd w:val="clear" w:color="000000" w:fill="BFBFBF"/>
            <w:noWrap/>
            <w:vAlign w:val="center"/>
            <w:hideMark/>
          </w:tcPr>
          <w:p w14:paraId="1B687E7D"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-61.8%</w:t>
            </w:r>
          </w:p>
        </w:tc>
        <w:tc>
          <w:tcPr>
            <w:tcW w:w="852" w:type="pct"/>
            <w:tcBorders>
              <w:top w:val="nil"/>
              <w:left w:val="nil"/>
              <w:bottom w:val="nil"/>
              <w:right w:val="nil"/>
            </w:tcBorders>
            <w:shd w:val="clear" w:color="000000" w:fill="BFBFBF"/>
            <w:noWrap/>
            <w:vAlign w:val="center"/>
            <w:hideMark/>
          </w:tcPr>
          <w:p w14:paraId="12C93317"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9.0%</w:t>
            </w:r>
          </w:p>
        </w:tc>
        <w:tc>
          <w:tcPr>
            <w:tcW w:w="959" w:type="pct"/>
            <w:tcBorders>
              <w:top w:val="nil"/>
              <w:left w:val="nil"/>
              <w:bottom w:val="nil"/>
              <w:right w:val="nil"/>
            </w:tcBorders>
            <w:shd w:val="clear" w:color="000000" w:fill="BFBFBF"/>
            <w:noWrap/>
            <w:vAlign w:val="center"/>
            <w:hideMark/>
          </w:tcPr>
          <w:p w14:paraId="4BB9BD3D"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11.0%</w:t>
            </w:r>
          </w:p>
        </w:tc>
      </w:tr>
      <w:tr w:rsidR="00F830E6" w:rsidRPr="002256A4" w14:paraId="0D551CCC" w14:textId="77777777" w:rsidTr="00F830E6">
        <w:trPr>
          <w:trHeight w:val="303"/>
        </w:trPr>
        <w:tc>
          <w:tcPr>
            <w:tcW w:w="499" w:type="pct"/>
            <w:tcBorders>
              <w:top w:val="nil"/>
              <w:left w:val="nil"/>
              <w:bottom w:val="nil"/>
              <w:right w:val="nil"/>
            </w:tcBorders>
            <w:shd w:val="clear" w:color="auto" w:fill="auto"/>
            <w:noWrap/>
            <w:vAlign w:val="center"/>
            <w:hideMark/>
          </w:tcPr>
          <w:p w14:paraId="515E172B"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10</w:t>
            </w:r>
          </w:p>
        </w:tc>
        <w:tc>
          <w:tcPr>
            <w:tcW w:w="632" w:type="pct"/>
            <w:tcBorders>
              <w:top w:val="nil"/>
              <w:left w:val="single" w:sz="4" w:space="0" w:color="auto"/>
              <w:bottom w:val="nil"/>
              <w:right w:val="nil"/>
            </w:tcBorders>
            <w:shd w:val="clear" w:color="auto" w:fill="auto"/>
            <w:noWrap/>
            <w:vAlign w:val="center"/>
            <w:hideMark/>
          </w:tcPr>
          <w:p w14:paraId="21ABA02B"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5.1%</w:t>
            </w:r>
          </w:p>
        </w:tc>
        <w:tc>
          <w:tcPr>
            <w:tcW w:w="691" w:type="pct"/>
            <w:tcBorders>
              <w:top w:val="nil"/>
              <w:left w:val="nil"/>
              <w:bottom w:val="nil"/>
              <w:right w:val="single" w:sz="4" w:space="0" w:color="auto"/>
            </w:tcBorders>
            <w:shd w:val="clear" w:color="auto" w:fill="auto"/>
            <w:noWrap/>
            <w:vAlign w:val="center"/>
            <w:hideMark/>
          </w:tcPr>
          <w:p w14:paraId="502C5967"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12.9%</w:t>
            </w:r>
          </w:p>
        </w:tc>
        <w:tc>
          <w:tcPr>
            <w:tcW w:w="638" w:type="pct"/>
            <w:tcBorders>
              <w:top w:val="nil"/>
              <w:left w:val="nil"/>
              <w:bottom w:val="nil"/>
              <w:right w:val="nil"/>
            </w:tcBorders>
            <w:shd w:val="clear" w:color="auto" w:fill="auto"/>
            <w:noWrap/>
            <w:vAlign w:val="center"/>
            <w:hideMark/>
          </w:tcPr>
          <w:p w14:paraId="506E9EB5"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-7.8%</w:t>
            </w:r>
          </w:p>
        </w:tc>
        <w:tc>
          <w:tcPr>
            <w:tcW w:w="729" w:type="pct"/>
            <w:tcBorders>
              <w:top w:val="nil"/>
              <w:left w:val="nil"/>
              <w:bottom w:val="nil"/>
              <w:right w:val="single" w:sz="4" w:space="0" w:color="auto"/>
            </w:tcBorders>
            <w:shd w:val="clear" w:color="auto" w:fill="auto"/>
            <w:noWrap/>
            <w:vAlign w:val="center"/>
            <w:hideMark/>
          </w:tcPr>
          <w:p w14:paraId="3ECB5ADF"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-60.3%</w:t>
            </w:r>
          </w:p>
        </w:tc>
        <w:tc>
          <w:tcPr>
            <w:tcW w:w="852" w:type="pct"/>
            <w:tcBorders>
              <w:top w:val="nil"/>
              <w:left w:val="nil"/>
              <w:bottom w:val="nil"/>
              <w:right w:val="nil"/>
            </w:tcBorders>
            <w:shd w:val="clear" w:color="auto" w:fill="auto"/>
            <w:noWrap/>
            <w:vAlign w:val="center"/>
            <w:hideMark/>
          </w:tcPr>
          <w:p w14:paraId="1A6A040A"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9.0%</w:t>
            </w:r>
          </w:p>
        </w:tc>
        <w:tc>
          <w:tcPr>
            <w:tcW w:w="959" w:type="pct"/>
            <w:tcBorders>
              <w:top w:val="nil"/>
              <w:left w:val="nil"/>
              <w:bottom w:val="nil"/>
              <w:right w:val="nil"/>
            </w:tcBorders>
            <w:shd w:val="clear" w:color="auto" w:fill="auto"/>
            <w:noWrap/>
            <w:vAlign w:val="center"/>
            <w:hideMark/>
          </w:tcPr>
          <w:p w14:paraId="7029C41A"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11.0%</w:t>
            </w:r>
          </w:p>
        </w:tc>
      </w:tr>
      <w:tr w:rsidR="00F830E6" w:rsidRPr="002256A4" w14:paraId="6216608D" w14:textId="77777777" w:rsidTr="00F830E6">
        <w:trPr>
          <w:trHeight w:val="303"/>
        </w:trPr>
        <w:tc>
          <w:tcPr>
            <w:tcW w:w="499" w:type="pct"/>
            <w:tcBorders>
              <w:top w:val="nil"/>
              <w:left w:val="nil"/>
              <w:bottom w:val="nil"/>
              <w:right w:val="nil"/>
            </w:tcBorders>
            <w:shd w:val="clear" w:color="000000" w:fill="BFBFBF"/>
            <w:noWrap/>
            <w:vAlign w:val="center"/>
            <w:hideMark/>
          </w:tcPr>
          <w:p w14:paraId="153E819F"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11</w:t>
            </w:r>
          </w:p>
        </w:tc>
        <w:tc>
          <w:tcPr>
            <w:tcW w:w="632" w:type="pct"/>
            <w:tcBorders>
              <w:top w:val="nil"/>
              <w:left w:val="single" w:sz="4" w:space="0" w:color="auto"/>
              <w:bottom w:val="nil"/>
              <w:right w:val="nil"/>
            </w:tcBorders>
            <w:shd w:val="clear" w:color="000000" w:fill="BFBFBF"/>
            <w:noWrap/>
            <w:vAlign w:val="center"/>
            <w:hideMark/>
          </w:tcPr>
          <w:p w14:paraId="19FF7D7E"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27.0%</w:t>
            </w:r>
          </w:p>
        </w:tc>
        <w:tc>
          <w:tcPr>
            <w:tcW w:w="691" w:type="pct"/>
            <w:tcBorders>
              <w:top w:val="nil"/>
              <w:left w:val="nil"/>
              <w:bottom w:val="nil"/>
              <w:right w:val="single" w:sz="4" w:space="0" w:color="auto"/>
            </w:tcBorders>
            <w:shd w:val="clear" w:color="000000" w:fill="BFBFBF"/>
            <w:noWrap/>
            <w:vAlign w:val="center"/>
            <w:hideMark/>
          </w:tcPr>
          <w:p w14:paraId="797DFE3F"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12.9%</w:t>
            </w:r>
          </w:p>
        </w:tc>
        <w:tc>
          <w:tcPr>
            <w:tcW w:w="638" w:type="pct"/>
            <w:tcBorders>
              <w:top w:val="nil"/>
              <w:left w:val="nil"/>
              <w:bottom w:val="nil"/>
              <w:right w:val="nil"/>
            </w:tcBorders>
            <w:shd w:val="clear" w:color="000000" w:fill="BFBFBF"/>
            <w:noWrap/>
            <w:vAlign w:val="center"/>
            <w:hideMark/>
          </w:tcPr>
          <w:p w14:paraId="718FAEEB"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14.1%</w:t>
            </w:r>
          </w:p>
        </w:tc>
        <w:tc>
          <w:tcPr>
            <w:tcW w:w="729" w:type="pct"/>
            <w:tcBorders>
              <w:top w:val="nil"/>
              <w:left w:val="nil"/>
              <w:bottom w:val="nil"/>
              <w:right w:val="single" w:sz="4" w:space="0" w:color="auto"/>
            </w:tcBorders>
            <w:shd w:val="clear" w:color="000000" w:fill="BFBFBF"/>
            <w:noWrap/>
            <w:vAlign w:val="center"/>
            <w:hideMark/>
          </w:tcPr>
          <w:p w14:paraId="30366D46"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108.8%</w:t>
            </w:r>
          </w:p>
        </w:tc>
        <w:tc>
          <w:tcPr>
            <w:tcW w:w="852" w:type="pct"/>
            <w:tcBorders>
              <w:top w:val="nil"/>
              <w:left w:val="nil"/>
              <w:bottom w:val="nil"/>
              <w:right w:val="nil"/>
            </w:tcBorders>
            <w:shd w:val="clear" w:color="000000" w:fill="BFBFBF"/>
            <w:noWrap/>
            <w:vAlign w:val="center"/>
            <w:hideMark/>
          </w:tcPr>
          <w:p w14:paraId="330AF2AB"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21.8%</w:t>
            </w:r>
          </w:p>
        </w:tc>
        <w:tc>
          <w:tcPr>
            <w:tcW w:w="959" w:type="pct"/>
            <w:tcBorders>
              <w:top w:val="nil"/>
              <w:left w:val="nil"/>
              <w:bottom w:val="nil"/>
              <w:right w:val="nil"/>
            </w:tcBorders>
            <w:shd w:val="clear" w:color="000000" w:fill="BFBFBF"/>
            <w:noWrap/>
            <w:vAlign w:val="center"/>
            <w:hideMark/>
          </w:tcPr>
          <w:p w14:paraId="460C549A"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17.4%</w:t>
            </w:r>
          </w:p>
        </w:tc>
      </w:tr>
      <w:tr w:rsidR="00F830E6" w:rsidRPr="002256A4" w14:paraId="10975635" w14:textId="77777777" w:rsidTr="00F830E6">
        <w:trPr>
          <w:trHeight w:val="303"/>
        </w:trPr>
        <w:tc>
          <w:tcPr>
            <w:tcW w:w="499" w:type="pct"/>
            <w:tcBorders>
              <w:top w:val="nil"/>
              <w:left w:val="nil"/>
              <w:bottom w:val="nil"/>
              <w:right w:val="nil"/>
            </w:tcBorders>
            <w:shd w:val="clear" w:color="auto" w:fill="auto"/>
            <w:noWrap/>
            <w:vAlign w:val="center"/>
            <w:hideMark/>
          </w:tcPr>
          <w:p w14:paraId="0F82DB71"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12</w:t>
            </w:r>
          </w:p>
        </w:tc>
        <w:tc>
          <w:tcPr>
            <w:tcW w:w="632" w:type="pct"/>
            <w:tcBorders>
              <w:top w:val="nil"/>
              <w:left w:val="single" w:sz="4" w:space="0" w:color="auto"/>
              <w:bottom w:val="nil"/>
              <w:right w:val="nil"/>
            </w:tcBorders>
            <w:shd w:val="clear" w:color="auto" w:fill="auto"/>
            <w:noWrap/>
            <w:vAlign w:val="center"/>
            <w:hideMark/>
          </w:tcPr>
          <w:p w14:paraId="2A2925D7"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23.1%</w:t>
            </w:r>
          </w:p>
        </w:tc>
        <w:tc>
          <w:tcPr>
            <w:tcW w:w="691" w:type="pct"/>
            <w:tcBorders>
              <w:top w:val="nil"/>
              <w:left w:val="nil"/>
              <w:bottom w:val="nil"/>
              <w:right w:val="single" w:sz="4" w:space="0" w:color="auto"/>
            </w:tcBorders>
            <w:shd w:val="clear" w:color="auto" w:fill="auto"/>
            <w:noWrap/>
            <w:vAlign w:val="center"/>
            <w:hideMark/>
          </w:tcPr>
          <w:p w14:paraId="079D6DE5"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12.9%</w:t>
            </w:r>
          </w:p>
        </w:tc>
        <w:tc>
          <w:tcPr>
            <w:tcW w:w="638" w:type="pct"/>
            <w:tcBorders>
              <w:top w:val="nil"/>
              <w:left w:val="nil"/>
              <w:bottom w:val="nil"/>
              <w:right w:val="nil"/>
            </w:tcBorders>
            <w:shd w:val="clear" w:color="auto" w:fill="auto"/>
            <w:noWrap/>
            <w:vAlign w:val="center"/>
            <w:hideMark/>
          </w:tcPr>
          <w:p w14:paraId="3D8D93ED"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10.1%</w:t>
            </w:r>
          </w:p>
        </w:tc>
        <w:tc>
          <w:tcPr>
            <w:tcW w:w="729" w:type="pct"/>
            <w:tcBorders>
              <w:top w:val="nil"/>
              <w:left w:val="nil"/>
              <w:bottom w:val="nil"/>
              <w:right w:val="single" w:sz="4" w:space="0" w:color="auto"/>
            </w:tcBorders>
            <w:shd w:val="clear" w:color="auto" w:fill="auto"/>
            <w:noWrap/>
            <w:vAlign w:val="center"/>
            <w:hideMark/>
          </w:tcPr>
          <w:p w14:paraId="7B70CB9A"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78.4%</w:t>
            </w:r>
          </w:p>
        </w:tc>
        <w:tc>
          <w:tcPr>
            <w:tcW w:w="852" w:type="pct"/>
            <w:tcBorders>
              <w:top w:val="nil"/>
              <w:left w:val="nil"/>
              <w:bottom w:val="nil"/>
              <w:right w:val="nil"/>
            </w:tcBorders>
            <w:shd w:val="clear" w:color="auto" w:fill="auto"/>
            <w:noWrap/>
            <w:vAlign w:val="center"/>
            <w:hideMark/>
          </w:tcPr>
          <w:p w14:paraId="313FD15A"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21.8%</w:t>
            </w:r>
          </w:p>
        </w:tc>
        <w:tc>
          <w:tcPr>
            <w:tcW w:w="959" w:type="pct"/>
            <w:tcBorders>
              <w:top w:val="nil"/>
              <w:left w:val="nil"/>
              <w:bottom w:val="nil"/>
              <w:right w:val="nil"/>
            </w:tcBorders>
            <w:shd w:val="clear" w:color="auto" w:fill="auto"/>
            <w:noWrap/>
            <w:vAlign w:val="center"/>
            <w:hideMark/>
          </w:tcPr>
          <w:p w14:paraId="784F2DA7"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17.4%</w:t>
            </w:r>
          </w:p>
        </w:tc>
      </w:tr>
      <w:tr w:rsidR="00F830E6" w:rsidRPr="002256A4" w14:paraId="41999CF7" w14:textId="77777777" w:rsidTr="00F830E6">
        <w:trPr>
          <w:trHeight w:val="303"/>
        </w:trPr>
        <w:tc>
          <w:tcPr>
            <w:tcW w:w="499" w:type="pct"/>
            <w:tcBorders>
              <w:top w:val="nil"/>
              <w:left w:val="nil"/>
              <w:bottom w:val="nil"/>
              <w:right w:val="nil"/>
            </w:tcBorders>
            <w:shd w:val="clear" w:color="000000" w:fill="BFBFBF"/>
            <w:noWrap/>
            <w:vAlign w:val="center"/>
            <w:hideMark/>
          </w:tcPr>
          <w:p w14:paraId="18D2F085"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13</w:t>
            </w:r>
          </w:p>
        </w:tc>
        <w:tc>
          <w:tcPr>
            <w:tcW w:w="632" w:type="pct"/>
            <w:tcBorders>
              <w:top w:val="nil"/>
              <w:left w:val="single" w:sz="4" w:space="0" w:color="auto"/>
              <w:bottom w:val="nil"/>
              <w:right w:val="nil"/>
            </w:tcBorders>
            <w:shd w:val="clear" w:color="000000" w:fill="BFBFBF"/>
            <w:noWrap/>
            <w:vAlign w:val="center"/>
            <w:hideMark/>
          </w:tcPr>
          <w:p w14:paraId="6F61D9CF"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13.6%</w:t>
            </w:r>
          </w:p>
        </w:tc>
        <w:tc>
          <w:tcPr>
            <w:tcW w:w="691" w:type="pct"/>
            <w:tcBorders>
              <w:top w:val="nil"/>
              <w:left w:val="nil"/>
              <w:bottom w:val="nil"/>
              <w:right w:val="single" w:sz="4" w:space="0" w:color="auto"/>
            </w:tcBorders>
            <w:shd w:val="clear" w:color="000000" w:fill="BFBFBF"/>
            <w:noWrap/>
            <w:vAlign w:val="center"/>
            <w:hideMark/>
          </w:tcPr>
          <w:p w14:paraId="17EDBC95"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12.9%</w:t>
            </w:r>
          </w:p>
        </w:tc>
        <w:tc>
          <w:tcPr>
            <w:tcW w:w="638" w:type="pct"/>
            <w:tcBorders>
              <w:top w:val="nil"/>
              <w:left w:val="nil"/>
              <w:bottom w:val="nil"/>
              <w:right w:val="nil"/>
            </w:tcBorders>
            <w:shd w:val="clear" w:color="000000" w:fill="BFBFBF"/>
            <w:noWrap/>
            <w:vAlign w:val="center"/>
            <w:hideMark/>
          </w:tcPr>
          <w:p w14:paraId="166866A4"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0.7%</w:t>
            </w:r>
          </w:p>
        </w:tc>
        <w:tc>
          <w:tcPr>
            <w:tcW w:w="729" w:type="pct"/>
            <w:tcBorders>
              <w:top w:val="nil"/>
              <w:left w:val="nil"/>
              <w:bottom w:val="nil"/>
              <w:right w:val="single" w:sz="4" w:space="0" w:color="auto"/>
            </w:tcBorders>
            <w:shd w:val="clear" w:color="000000" w:fill="BFBFBF"/>
            <w:noWrap/>
            <w:vAlign w:val="center"/>
            <w:hideMark/>
          </w:tcPr>
          <w:p w14:paraId="3E365222"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5.6%</w:t>
            </w:r>
          </w:p>
        </w:tc>
        <w:tc>
          <w:tcPr>
            <w:tcW w:w="852" w:type="pct"/>
            <w:tcBorders>
              <w:top w:val="nil"/>
              <w:left w:val="nil"/>
              <w:bottom w:val="nil"/>
              <w:right w:val="nil"/>
            </w:tcBorders>
            <w:shd w:val="clear" w:color="000000" w:fill="BFBFBF"/>
            <w:noWrap/>
            <w:vAlign w:val="center"/>
            <w:hideMark/>
          </w:tcPr>
          <w:p w14:paraId="44F9B0CD"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21.8%</w:t>
            </w:r>
          </w:p>
        </w:tc>
        <w:tc>
          <w:tcPr>
            <w:tcW w:w="959" w:type="pct"/>
            <w:tcBorders>
              <w:top w:val="nil"/>
              <w:left w:val="nil"/>
              <w:bottom w:val="nil"/>
              <w:right w:val="nil"/>
            </w:tcBorders>
            <w:shd w:val="clear" w:color="000000" w:fill="BFBFBF"/>
            <w:noWrap/>
            <w:vAlign w:val="center"/>
            <w:hideMark/>
          </w:tcPr>
          <w:p w14:paraId="3A008921"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17.4%</w:t>
            </w:r>
          </w:p>
        </w:tc>
      </w:tr>
      <w:tr w:rsidR="00F830E6" w:rsidRPr="002256A4" w14:paraId="359B7548" w14:textId="77777777" w:rsidTr="00F830E6">
        <w:trPr>
          <w:trHeight w:val="303"/>
        </w:trPr>
        <w:tc>
          <w:tcPr>
            <w:tcW w:w="499" w:type="pct"/>
            <w:tcBorders>
              <w:top w:val="nil"/>
              <w:left w:val="nil"/>
              <w:bottom w:val="single" w:sz="4" w:space="0" w:color="auto"/>
              <w:right w:val="nil"/>
            </w:tcBorders>
            <w:shd w:val="clear" w:color="auto" w:fill="auto"/>
            <w:noWrap/>
            <w:vAlign w:val="center"/>
            <w:hideMark/>
          </w:tcPr>
          <w:p w14:paraId="3D2791BD" w14:textId="77777777" w:rsidR="000605EB" w:rsidRPr="00F830E6" w:rsidRDefault="000605EB" w:rsidP="009C7082">
            <w:pPr>
              <w:spacing w:after="0" w:line="240" w:lineRule="auto"/>
              <w:rPr>
                <w:rFonts w:eastAsia="Times New Roman" w:cs="Arial"/>
                <w:color w:val="000000"/>
                <w:sz w:val="18"/>
                <w:szCs w:val="18"/>
              </w:rPr>
            </w:pPr>
            <w:r w:rsidRPr="00F830E6">
              <w:rPr>
                <w:rFonts w:eastAsia="Times New Roman" w:cs="Arial"/>
                <w:color w:val="000000"/>
                <w:sz w:val="18"/>
                <w:szCs w:val="18"/>
              </w:rPr>
              <w:t>14</w:t>
            </w:r>
          </w:p>
        </w:tc>
        <w:tc>
          <w:tcPr>
            <w:tcW w:w="632" w:type="pct"/>
            <w:tcBorders>
              <w:top w:val="nil"/>
              <w:left w:val="single" w:sz="4" w:space="0" w:color="auto"/>
              <w:bottom w:val="single" w:sz="4" w:space="0" w:color="auto"/>
              <w:right w:val="nil"/>
            </w:tcBorders>
            <w:shd w:val="clear" w:color="auto" w:fill="auto"/>
            <w:noWrap/>
            <w:vAlign w:val="center"/>
            <w:hideMark/>
          </w:tcPr>
          <w:p w14:paraId="320EC99E"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25.6%</w:t>
            </w:r>
          </w:p>
        </w:tc>
        <w:tc>
          <w:tcPr>
            <w:tcW w:w="691" w:type="pct"/>
            <w:tcBorders>
              <w:top w:val="nil"/>
              <w:left w:val="nil"/>
              <w:bottom w:val="single" w:sz="4" w:space="0" w:color="auto"/>
              <w:right w:val="single" w:sz="4" w:space="0" w:color="auto"/>
            </w:tcBorders>
            <w:shd w:val="clear" w:color="auto" w:fill="auto"/>
            <w:noWrap/>
            <w:vAlign w:val="center"/>
            <w:hideMark/>
          </w:tcPr>
          <w:p w14:paraId="7C597096"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12.9%</w:t>
            </w:r>
          </w:p>
        </w:tc>
        <w:tc>
          <w:tcPr>
            <w:tcW w:w="638" w:type="pct"/>
            <w:tcBorders>
              <w:top w:val="nil"/>
              <w:left w:val="nil"/>
              <w:bottom w:val="single" w:sz="4" w:space="0" w:color="auto"/>
              <w:right w:val="nil"/>
            </w:tcBorders>
            <w:shd w:val="clear" w:color="auto" w:fill="auto"/>
            <w:noWrap/>
            <w:vAlign w:val="center"/>
            <w:hideMark/>
          </w:tcPr>
          <w:p w14:paraId="0E41218E"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12.7%</w:t>
            </w:r>
          </w:p>
        </w:tc>
        <w:tc>
          <w:tcPr>
            <w:tcW w:w="729" w:type="pct"/>
            <w:tcBorders>
              <w:top w:val="nil"/>
              <w:left w:val="nil"/>
              <w:bottom w:val="single" w:sz="4" w:space="0" w:color="auto"/>
              <w:right w:val="single" w:sz="4" w:space="0" w:color="auto"/>
            </w:tcBorders>
            <w:shd w:val="clear" w:color="auto" w:fill="auto"/>
            <w:noWrap/>
            <w:vAlign w:val="center"/>
            <w:hideMark/>
          </w:tcPr>
          <w:p w14:paraId="73B11030"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98.2%</w:t>
            </w:r>
          </w:p>
        </w:tc>
        <w:tc>
          <w:tcPr>
            <w:tcW w:w="852" w:type="pct"/>
            <w:tcBorders>
              <w:top w:val="nil"/>
              <w:left w:val="nil"/>
              <w:bottom w:val="single" w:sz="4" w:space="0" w:color="auto"/>
              <w:right w:val="nil"/>
            </w:tcBorders>
            <w:shd w:val="clear" w:color="auto" w:fill="auto"/>
            <w:noWrap/>
            <w:vAlign w:val="center"/>
            <w:hideMark/>
          </w:tcPr>
          <w:p w14:paraId="6AC6E5D7"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21.8%</w:t>
            </w:r>
          </w:p>
        </w:tc>
        <w:tc>
          <w:tcPr>
            <w:tcW w:w="959" w:type="pct"/>
            <w:tcBorders>
              <w:top w:val="nil"/>
              <w:left w:val="nil"/>
              <w:bottom w:val="single" w:sz="4" w:space="0" w:color="auto"/>
              <w:right w:val="nil"/>
            </w:tcBorders>
            <w:shd w:val="clear" w:color="auto" w:fill="auto"/>
            <w:noWrap/>
            <w:vAlign w:val="center"/>
            <w:hideMark/>
          </w:tcPr>
          <w:p w14:paraId="6B6C523A" w14:textId="77777777" w:rsidR="000605EB" w:rsidRPr="00F830E6" w:rsidRDefault="000605EB" w:rsidP="009C7082">
            <w:pPr>
              <w:spacing w:after="0" w:line="240" w:lineRule="auto"/>
              <w:jc w:val="right"/>
              <w:rPr>
                <w:rFonts w:eastAsia="Times New Roman" w:cs="Arial"/>
                <w:color w:val="000000"/>
                <w:sz w:val="18"/>
                <w:szCs w:val="18"/>
              </w:rPr>
            </w:pPr>
            <w:r w:rsidRPr="00F830E6">
              <w:rPr>
                <w:rFonts w:eastAsia="Times New Roman" w:cs="Arial"/>
                <w:color w:val="000000"/>
                <w:sz w:val="18"/>
                <w:szCs w:val="18"/>
              </w:rPr>
              <w:t>17.4%</w:t>
            </w:r>
          </w:p>
        </w:tc>
      </w:tr>
    </w:tbl>
    <w:p w14:paraId="27EF0886" w14:textId="77777777" w:rsidR="00DA3375" w:rsidRPr="00754E7D" w:rsidRDefault="00DA3375" w:rsidP="00DA3F73">
      <w:pPr>
        <w:pStyle w:val="FSRHeading6"/>
      </w:pPr>
      <w:bookmarkStart w:id="1200" w:name="_Toc104291124"/>
      <w:r w:rsidRPr="0047087C">
        <w:t>Scaling for new entrants</w:t>
      </w:r>
      <w:bookmarkEnd w:id="1200"/>
    </w:p>
    <w:p w14:paraId="1826CD75" w14:textId="77777777" w:rsidR="00DA3375" w:rsidRDefault="00DA3375" w:rsidP="000D46A1">
      <w:pPr>
        <w:pStyle w:val="FSRnormal"/>
      </w:pPr>
      <w:r>
        <w:t xml:space="preserve">Participants who have recently entered the Scheme are less likely to leave than those who have been in the Scheme for longer. The base rates of participants leaving the Scheme set </w:t>
      </w:r>
      <w:r>
        <w:lastRenderedPageBreak/>
        <w:t>out in</w:t>
      </w:r>
      <w:r w:rsidR="00FB668A">
        <w:t xml:space="preserve"> the</w:t>
      </w:r>
      <w:r>
        <w:t xml:space="preserve"> sections above are used to project the numbers of participants who have been in the Scheme for more than one year (or mature participants). A scaling factor is applied to those base rates to arrive at assumed rates of participants leaving who are in their first year. This scaling factor was 20% in the 2020-21 AFSR.</w:t>
      </w:r>
      <w:r w:rsidR="000D46A1">
        <w:t xml:space="preserve"> This is based on the observed </w:t>
      </w:r>
      <w:r>
        <w:t>rate of participants leaving with a duration of 0 to 1 years fluctuati</w:t>
      </w:r>
      <w:r w:rsidR="000D46A1">
        <w:t>ng</w:t>
      </w:r>
      <w:r>
        <w:t xml:space="preserve"> between 1</w:t>
      </w:r>
      <w:r w:rsidR="001B3EFF">
        <w:t>9</w:t>
      </w:r>
      <w:r>
        <w:t>% and 3</w:t>
      </w:r>
      <w:r w:rsidR="001B3EFF">
        <w:t>0</w:t>
      </w:r>
      <w:r>
        <w:t>% since 201</w:t>
      </w:r>
      <w:r w:rsidR="001B3EFF">
        <w:t>7</w:t>
      </w:r>
      <w:r>
        <w:t xml:space="preserve">. </w:t>
      </w:r>
    </w:p>
    <w:p w14:paraId="23A4ADA4" w14:textId="77777777" w:rsidR="00DA3375" w:rsidRDefault="00DA3375" w:rsidP="00DA3375">
      <w:pPr>
        <w:pStyle w:val="Tables"/>
      </w:pPr>
      <w:r>
        <w:t>Table</w:t>
      </w:r>
      <w:r w:rsidR="000D71B7">
        <w:t xml:space="preserve"> I</w:t>
      </w:r>
      <w:r w:rsidR="00A87896">
        <w:t>.</w:t>
      </w:r>
      <w:fldSimple w:instr=" SEQ Table \* ARABIC \s 2 ">
        <w:r w:rsidR="00A87896">
          <w:rPr>
            <w:noProof/>
          </w:rPr>
          <w:t>5</w:t>
        </w:r>
      </w:fldSimple>
      <w:r>
        <w:t xml:space="preserve">: </w:t>
      </w:r>
      <w:r w:rsidRPr="009F237B">
        <w:t>Rates of participants leaving by duration in the Scheme and scaling factor for first year rate of participants leaving</w:t>
      </w:r>
    </w:p>
    <w:tbl>
      <w:tblPr>
        <w:tblW w:w="0" w:type="auto"/>
        <w:tblLook w:val="04A0" w:firstRow="1" w:lastRow="0" w:firstColumn="1" w:lastColumn="0" w:noHBand="0" w:noVBand="1"/>
      </w:tblPr>
      <w:tblGrid>
        <w:gridCol w:w="1482"/>
        <w:gridCol w:w="1167"/>
        <w:gridCol w:w="1167"/>
        <w:gridCol w:w="1167"/>
        <w:gridCol w:w="1167"/>
        <w:gridCol w:w="1167"/>
        <w:gridCol w:w="827"/>
      </w:tblGrid>
      <w:tr w:rsidR="00DA3375" w:rsidRPr="009B4009" w14:paraId="166DA900" w14:textId="77777777" w:rsidTr="009C7082">
        <w:trPr>
          <w:trHeight w:val="397"/>
        </w:trPr>
        <w:tc>
          <w:tcPr>
            <w:tcW w:w="0" w:type="auto"/>
            <w:tcBorders>
              <w:top w:val="nil"/>
              <w:left w:val="nil"/>
              <w:bottom w:val="nil"/>
              <w:right w:val="nil"/>
            </w:tcBorders>
            <w:shd w:val="clear" w:color="000000" w:fill="6B2976"/>
            <w:vAlign w:val="center"/>
            <w:hideMark/>
          </w:tcPr>
          <w:p w14:paraId="7FA61F87" w14:textId="77777777" w:rsidR="00DA3375" w:rsidRPr="009B4009" w:rsidRDefault="00DA3375" w:rsidP="009C7082">
            <w:pPr>
              <w:spacing w:after="0" w:line="240" w:lineRule="auto"/>
              <w:rPr>
                <w:rFonts w:eastAsia="Times New Roman" w:cs="Arial"/>
                <w:b/>
                <w:bCs/>
                <w:color w:val="FFFFFF"/>
                <w:sz w:val="18"/>
                <w:szCs w:val="18"/>
              </w:rPr>
            </w:pPr>
            <w:r w:rsidRPr="009B4009">
              <w:rPr>
                <w:rFonts w:eastAsia="Times New Roman" w:cs="Arial"/>
                <w:b/>
                <w:bCs/>
                <w:color w:val="FFFFFF"/>
                <w:sz w:val="18"/>
                <w:szCs w:val="18"/>
              </w:rPr>
              <w:t>Duration</w:t>
            </w:r>
          </w:p>
        </w:tc>
        <w:tc>
          <w:tcPr>
            <w:tcW w:w="0" w:type="auto"/>
            <w:tcBorders>
              <w:top w:val="nil"/>
              <w:left w:val="nil"/>
              <w:bottom w:val="nil"/>
              <w:right w:val="nil"/>
            </w:tcBorders>
            <w:shd w:val="clear" w:color="000000" w:fill="6B2976"/>
            <w:vAlign w:val="center"/>
            <w:hideMark/>
          </w:tcPr>
          <w:p w14:paraId="23146BAA" w14:textId="77777777" w:rsidR="00DA3375" w:rsidRPr="009B4009" w:rsidRDefault="00DA3375" w:rsidP="009C7082">
            <w:pPr>
              <w:spacing w:after="0" w:line="240" w:lineRule="auto"/>
              <w:jc w:val="right"/>
              <w:rPr>
                <w:rFonts w:eastAsia="Times New Roman" w:cs="Arial"/>
                <w:b/>
                <w:bCs/>
                <w:color w:val="FFFFFF"/>
                <w:sz w:val="18"/>
                <w:szCs w:val="18"/>
              </w:rPr>
            </w:pPr>
            <w:r w:rsidRPr="009B4009">
              <w:rPr>
                <w:rFonts w:eastAsia="Times New Roman" w:cs="Arial"/>
                <w:b/>
                <w:bCs/>
                <w:color w:val="FFFFFF"/>
                <w:sz w:val="18"/>
                <w:szCs w:val="18"/>
              </w:rPr>
              <w:t>Jan-Dec 17</w:t>
            </w:r>
          </w:p>
        </w:tc>
        <w:tc>
          <w:tcPr>
            <w:tcW w:w="0" w:type="auto"/>
            <w:tcBorders>
              <w:top w:val="nil"/>
              <w:left w:val="nil"/>
              <w:bottom w:val="nil"/>
              <w:right w:val="nil"/>
            </w:tcBorders>
            <w:shd w:val="clear" w:color="000000" w:fill="6B2976"/>
            <w:vAlign w:val="center"/>
            <w:hideMark/>
          </w:tcPr>
          <w:p w14:paraId="617328B4" w14:textId="77777777" w:rsidR="00DA3375" w:rsidRPr="009B4009" w:rsidRDefault="00DA3375" w:rsidP="009C7082">
            <w:pPr>
              <w:spacing w:after="0" w:line="240" w:lineRule="auto"/>
              <w:jc w:val="right"/>
              <w:rPr>
                <w:rFonts w:eastAsia="Times New Roman" w:cs="Arial"/>
                <w:b/>
                <w:bCs/>
                <w:color w:val="FFFFFF"/>
                <w:sz w:val="18"/>
                <w:szCs w:val="18"/>
              </w:rPr>
            </w:pPr>
            <w:r w:rsidRPr="009B4009">
              <w:rPr>
                <w:rFonts w:eastAsia="Times New Roman" w:cs="Arial"/>
                <w:b/>
                <w:bCs/>
                <w:color w:val="FFFFFF"/>
                <w:sz w:val="18"/>
                <w:szCs w:val="18"/>
              </w:rPr>
              <w:t>Jan-Dec 18</w:t>
            </w:r>
          </w:p>
        </w:tc>
        <w:tc>
          <w:tcPr>
            <w:tcW w:w="0" w:type="auto"/>
            <w:tcBorders>
              <w:top w:val="nil"/>
              <w:left w:val="nil"/>
              <w:bottom w:val="nil"/>
              <w:right w:val="nil"/>
            </w:tcBorders>
            <w:shd w:val="clear" w:color="000000" w:fill="6B2976"/>
            <w:vAlign w:val="center"/>
            <w:hideMark/>
          </w:tcPr>
          <w:p w14:paraId="19ED7A54" w14:textId="77777777" w:rsidR="00DA3375" w:rsidRPr="009B4009" w:rsidRDefault="00DA3375" w:rsidP="009C7082">
            <w:pPr>
              <w:spacing w:after="0" w:line="240" w:lineRule="auto"/>
              <w:jc w:val="right"/>
              <w:rPr>
                <w:rFonts w:eastAsia="Times New Roman" w:cs="Arial"/>
                <w:b/>
                <w:bCs/>
                <w:color w:val="FFFFFF"/>
                <w:sz w:val="18"/>
                <w:szCs w:val="18"/>
              </w:rPr>
            </w:pPr>
            <w:r w:rsidRPr="009B4009">
              <w:rPr>
                <w:rFonts w:eastAsia="Times New Roman" w:cs="Arial"/>
                <w:b/>
                <w:bCs/>
                <w:color w:val="FFFFFF"/>
                <w:sz w:val="18"/>
                <w:szCs w:val="18"/>
              </w:rPr>
              <w:t>Jan-Dec 19</w:t>
            </w:r>
          </w:p>
        </w:tc>
        <w:tc>
          <w:tcPr>
            <w:tcW w:w="0" w:type="auto"/>
            <w:tcBorders>
              <w:top w:val="nil"/>
              <w:left w:val="nil"/>
              <w:bottom w:val="nil"/>
              <w:right w:val="nil"/>
            </w:tcBorders>
            <w:shd w:val="clear" w:color="000000" w:fill="6B2976"/>
            <w:vAlign w:val="center"/>
            <w:hideMark/>
          </w:tcPr>
          <w:p w14:paraId="467AA26F" w14:textId="77777777" w:rsidR="00DA3375" w:rsidRPr="009B4009" w:rsidRDefault="00DA3375" w:rsidP="009C7082">
            <w:pPr>
              <w:spacing w:after="0" w:line="240" w:lineRule="auto"/>
              <w:jc w:val="right"/>
              <w:rPr>
                <w:rFonts w:eastAsia="Times New Roman" w:cs="Arial"/>
                <w:b/>
                <w:bCs/>
                <w:color w:val="FFFFFF"/>
                <w:sz w:val="18"/>
                <w:szCs w:val="18"/>
              </w:rPr>
            </w:pPr>
            <w:r w:rsidRPr="009B4009">
              <w:rPr>
                <w:rFonts w:eastAsia="Times New Roman" w:cs="Arial"/>
                <w:b/>
                <w:bCs/>
                <w:color w:val="FFFFFF"/>
                <w:sz w:val="18"/>
                <w:szCs w:val="18"/>
              </w:rPr>
              <w:t>Jan-Dec 20</w:t>
            </w:r>
          </w:p>
        </w:tc>
        <w:tc>
          <w:tcPr>
            <w:tcW w:w="0" w:type="auto"/>
            <w:tcBorders>
              <w:top w:val="nil"/>
              <w:left w:val="nil"/>
              <w:bottom w:val="nil"/>
              <w:right w:val="nil"/>
            </w:tcBorders>
            <w:shd w:val="clear" w:color="000000" w:fill="6B2976"/>
            <w:vAlign w:val="center"/>
            <w:hideMark/>
          </w:tcPr>
          <w:p w14:paraId="69B665D2" w14:textId="77777777" w:rsidR="00DA3375" w:rsidRPr="009B4009" w:rsidRDefault="00DA3375" w:rsidP="009C7082">
            <w:pPr>
              <w:spacing w:after="0" w:line="240" w:lineRule="auto"/>
              <w:jc w:val="right"/>
              <w:rPr>
                <w:rFonts w:eastAsia="Times New Roman" w:cs="Arial"/>
                <w:b/>
                <w:bCs/>
                <w:color w:val="FFFFFF"/>
                <w:sz w:val="18"/>
                <w:szCs w:val="18"/>
              </w:rPr>
            </w:pPr>
            <w:r w:rsidRPr="009B4009">
              <w:rPr>
                <w:rFonts w:eastAsia="Times New Roman" w:cs="Arial"/>
                <w:b/>
                <w:bCs/>
                <w:color w:val="FFFFFF"/>
                <w:sz w:val="18"/>
                <w:szCs w:val="18"/>
              </w:rPr>
              <w:t>Jan-Sep 21</w:t>
            </w:r>
          </w:p>
        </w:tc>
        <w:tc>
          <w:tcPr>
            <w:tcW w:w="0" w:type="auto"/>
            <w:tcBorders>
              <w:top w:val="nil"/>
              <w:left w:val="nil"/>
              <w:bottom w:val="nil"/>
              <w:right w:val="nil"/>
            </w:tcBorders>
            <w:shd w:val="clear" w:color="000000" w:fill="6B2976"/>
            <w:vAlign w:val="center"/>
            <w:hideMark/>
          </w:tcPr>
          <w:p w14:paraId="156D1FE7" w14:textId="77777777" w:rsidR="00DA3375" w:rsidRPr="009B4009" w:rsidRDefault="00DA3375" w:rsidP="009C7082">
            <w:pPr>
              <w:spacing w:after="0" w:line="240" w:lineRule="auto"/>
              <w:jc w:val="right"/>
              <w:rPr>
                <w:rFonts w:eastAsia="Times New Roman" w:cs="Arial"/>
                <w:b/>
                <w:bCs/>
                <w:color w:val="FFFFFF"/>
                <w:sz w:val="18"/>
                <w:szCs w:val="18"/>
              </w:rPr>
            </w:pPr>
            <w:r w:rsidRPr="009B4009">
              <w:rPr>
                <w:rFonts w:eastAsia="Times New Roman" w:cs="Arial"/>
                <w:b/>
                <w:bCs/>
                <w:color w:val="FFFFFF"/>
                <w:sz w:val="18"/>
                <w:szCs w:val="18"/>
              </w:rPr>
              <w:t>Overall</w:t>
            </w:r>
          </w:p>
        </w:tc>
      </w:tr>
      <w:tr w:rsidR="00DA3375" w:rsidRPr="009B4009" w14:paraId="05FF51EC" w14:textId="77777777" w:rsidTr="009C7082">
        <w:trPr>
          <w:trHeight w:val="301"/>
        </w:trPr>
        <w:tc>
          <w:tcPr>
            <w:tcW w:w="0" w:type="auto"/>
            <w:tcBorders>
              <w:top w:val="nil"/>
              <w:left w:val="nil"/>
              <w:bottom w:val="nil"/>
              <w:right w:val="nil"/>
            </w:tcBorders>
            <w:shd w:val="clear" w:color="auto" w:fill="auto"/>
            <w:noWrap/>
            <w:vAlign w:val="bottom"/>
            <w:hideMark/>
          </w:tcPr>
          <w:p w14:paraId="07F934CD" w14:textId="77777777" w:rsidR="00DA3375" w:rsidRPr="009B4009" w:rsidRDefault="00DA3375" w:rsidP="00DA3375">
            <w:pPr>
              <w:spacing w:after="0" w:line="240" w:lineRule="auto"/>
              <w:rPr>
                <w:rFonts w:eastAsia="Times New Roman" w:cs="Arial"/>
                <w:b/>
                <w:bCs/>
                <w:color w:val="000000"/>
                <w:sz w:val="18"/>
                <w:szCs w:val="18"/>
              </w:rPr>
            </w:pPr>
            <w:r w:rsidRPr="009B4009">
              <w:rPr>
                <w:rFonts w:eastAsia="Times New Roman" w:cs="Arial"/>
                <w:b/>
                <w:bCs/>
                <w:color w:val="000000"/>
                <w:sz w:val="18"/>
                <w:szCs w:val="18"/>
              </w:rPr>
              <w:t>0 to 1 year</w:t>
            </w:r>
          </w:p>
        </w:tc>
        <w:tc>
          <w:tcPr>
            <w:tcW w:w="0" w:type="auto"/>
            <w:tcBorders>
              <w:top w:val="nil"/>
              <w:left w:val="single" w:sz="4" w:space="0" w:color="auto"/>
              <w:bottom w:val="nil"/>
              <w:right w:val="nil"/>
            </w:tcBorders>
            <w:shd w:val="clear" w:color="auto" w:fill="auto"/>
            <w:noWrap/>
            <w:vAlign w:val="center"/>
            <w:hideMark/>
          </w:tcPr>
          <w:p w14:paraId="7E6B611A"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0.25%</w:t>
            </w:r>
          </w:p>
        </w:tc>
        <w:tc>
          <w:tcPr>
            <w:tcW w:w="0" w:type="auto"/>
            <w:tcBorders>
              <w:top w:val="nil"/>
              <w:left w:val="nil"/>
              <w:bottom w:val="nil"/>
              <w:right w:val="nil"/>
            </w:tcBorders>
            <w:shd w:val="clear" w:color="auto" w:fill="auto"/>
            <w:noWrap/>
            <w:vAlign w:val="center"/>
            <w:hideMark/>
          </w:tcPr>
          <w:p w14:paraId="78793155"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0.30%</w:t>
            </w:r>
          </w:p>
        </w:tc>
        <w:tc>
          <w:tcPr>
            <w:tcW w:w="0" w:type="auto"/>
            <w:tcBorders>
              <w:top w:val="nil"/>
              <w:left w:val="nil"/>
              <w:bottom w:val="nil"/>
              <w:right w:val="nil"/>
            </w:tcBorders>
            <w:shd w:val="clear" w:color="auto" w:fill="auto"/>
            <w:noWrap/>
            <w:vAlign w:val="center"/>
            <w:hideMark/>
          </w:tcPr>
          <w:p w14:paraId="5C6672B4"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0.19%</w:t>
            </w:r>
          </w:p>
        </w:tc>
        <w:tc>
          <w:tcPr>
            <w:tcW w:w="0" w:type="auto"/>
            <w:tcBorders>
              <w:top w:val="nil"/>
              <w:left w:val="nil"/>
              <w:bottom w:val="nil"/>
              <w:right w:val="nil"/>
            </w:tcBorders>
            <w:shd w:val="clear" w:color="auto" w:fill="auto"/>
            <w:noWrap/>
            <w:vAlign w:val="center"/>
            <w:hideMark/>
          </w:tcPr>
          <w:p w14:paraId="614B41B9"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0.19%</w:t>
            </w:r>
          </w:p>
        </w:tc>
        <w:tc>
          <w:tcPr>
            <w:tcW w:w="0" w:type="auto"/>
            <w:tcBorders>
              <w:top w:val="nil"/>
              <w:left w:val="nil"/>
              <w:bottom w:val="nil"/>
              <w:right w:val="single" w:sz="4" w:space="0" w:color="auto"/>
            </w:tcBorders>
            <w:shd w:val="clear" w:color="auto" w:fill="auto"/>
            <w:noWrap/>
            <w:vAlign w:val="center"/>
            <w:hideMark/>
          </w:tcPr>
          <w:p w14:paraId="1F254A59"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0.19%</w:t>
            </w:r>
          </w:p>
        </w:tc>
        <w:tc>
          <w:tcPr>
            <w:tcW w:w="0" w:type="auto"/>
            <w:tcBorders>
              <w:top w:val="nil"/>
              <w:left w:val="nil"/>
              <w:bottom w:val="nil"/>
              <w:right w:val="nil"/>
            </w:tcBorders>
            <w:shd w:val="clear" w:color="auto" w:fill="auto"/>
            <w:noWrap/>
            <w:vAlign w:val="center"/>
            <w:hideMark/>
          </w:tcPr>
          <w:p w14:paraId="74A200A3"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0.22%</w:t>
            </w:r>
          </w:p>
        </w:tc>
      </w:tr>
      <w:tr w:rsidR="00DA3375" w:rsidRPr="009B4009" w14:paraId="4A066CFD" w14:textId="77777777" w:rsidTr="009C7082">
        <w:trPr>
          <w:trHeight w:val="301"/>
        </w:trPr>
        <w:tc>
          <w:tcPr>
            <w:tcW w:w="0" w:type="auto"/>
            <w:tcBorders>
              <w:top w:val="nil"/>
              <w:left w:val="nil"/>
              <w:bottom w:val="nil"/>
              <w:right w:val="nil"/>
            </w:tcBorders>
            <w:shd w:val="clear" w:color="000000" w:fill="BFBFBF"/>
            <w:noWrap/>
            <w:vAlign w:val="bottom"/>
            <w:hideMark/>
          </w:tcPr>
          <w:p w14:paraId="2EF68302" w14:textId="77777777" w:rsidR="00DA3375" w:rsidRPr="009B4009" w:rsidRDefault="00DA3375" w:rsidP="00DA3375">
            <w:pPr>
              <w:spacing w:after="0" w:line="240" w:lineRule="auto"/>
              <w:rPr>
                <w:rFonts w:eastAsia="Times New Roman" w:cs="Arial"/>
                <w:b/>
                <w:bCs/>
                <w:color w:val="000000"/>
                <w:sz w:val="18"/>
                <w:szCs w:val="18"/>
              </w:rPr>
            </w:pPr>
            <w:r w:rsidRPr="009B4009">
              <w:rPr>
                <w:rFonts w:eastAsia="Times New Roman" w:cs="Arial"/>
                <w:b/>
                <w:bCs/>
                <w:color w:val="000000"/>
                <w:sz w:val="18"/>
                <w:szCs w:val="18"/>
              </w:rPr>
              <w:t>1+ years</w:t>
            </w:r>
          </w:p>
        </w:tc>
        <w:tc>
          <w:tcPr>
            <w:tcW w:w="0" w:type="auto"/>
            <w:tcBorders>
              <w:top w:val="nil"/>
              <w:left w:val="single" w:sz="4" w:space="0" w:color="auto"/>
              <w:bottom w:val="nil"/>
              <w:right w:val="nil"/>
            </w:tcBorders>
            <w:shd w:val="clear" w:color="000000" w:fill="BFBFBF"/>
            <w:noWrap/>
            <w:vAlign w:val="center"/>
            <w:hideMark/>
          </w:tcPr>
          <w:p w14:paraId="420CA703"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2.05%</w:t>
            </w:r>
          </w:p>
        </w:tc>
        <w:tc>
          <w:tcPr>
            <w:tcW w:w="0" w:type="auto"/>
            <w:tcBorders>
              <w:top w:val="nil"/>
              <w:left w:val="nil"/>
              <w:bottom w:val="nil"/>
              <w:right w:val="nil"/>
            </w:tcBorders>
            <w:shd w:val="clear" w:color="000000" w:fill="BFBFBF"/>
            <w:noWrap/>
            <w:vAlign w:val="center"/>
            <w:hideMark/>
          </w:tcPr>
          <w:p w14:paraId="7A6FFC45"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1.65%</w:t>
            </w:r>
          </w:p>
        </w:tc>
        <w:tc>
          <w:tcPr>
            <w:tcW w:w="0" w:type="auto"/>
            <w:tcBorders>
              <w:top w:val="nil"/>
              <w:left w:val="nil"/>
              <w:bottom w:val="nil"/>
              <w:right w:val="nil"/>
            </w:tcBorders>
            <w:shd w:val="clear" w:color="000000" w:fill="BFBFBF"/>
            <w:noWrap/>
            <w:vAlign w:val="center"/>
            <w:hideMark/>
          </w:tcPr>
          <w:p w14:paraId="352DEFA2"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0.57%</w:t>
            </w:r>
          </w:p>
        </w:tc>
        <w:tc>
          <w:tcPr>
            <w:tcW w:w="0" w:type="auto"/>
            <w:tcBorders>
              <w:top w:val="nil"/>
              <w:left w:val="nil"/>
              <w:bottom w:val="nil"/>
              <w:right w:val="nil"/>
            </w:tcBorders>
            <w:shd w:val="clear" w:color="000000" w:fill="BFBFBF"/>
            <w:noWrap/>
            <w:vAlign w:val="center"/>
            <w:hideMark/>
          </w:tcPr>
          <w:p w14:paraId="3E4EEA66"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0.68%</w:t>
            </w:r>
          </w:p>
        </w:tc>
        <w:tc>
          <w:tcPr>
            <w:tcW w:w="0" w:type="auto"/>
            <w:tcBorders>
              <w:top w:val="nil"/>
              <w:left w:val="nil"/>
              <w:bottom w:val="nil"/>
              <w:right w:val="single" w:sz="4" w:space="0" w:color="auto"/>
            </w:tcBorders>
            <w:shd w:val="clear" w:color="000000" w:fill="BFBFBF"/>
            <w:noWrap/>
            <w:vAlign w:val="center"/>
            <w:hideMark/>
          </w:tcPr>
          <w:p w14:paraId="74832F02"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1.04%</w:t>
            </w:r>
          </w:p>
        </w:tc>
        <w:tc>
          <w:tcPr>
            <w:tcW w:w="0" w:type="auto"/>
            <w:tcBorders>
              <w:top w:val="nil"/>
              <w:left w:val="nil"/>
              <w:bottom w:val="nil"/>
              <w:right w:val="nil"/>
            </w:tcBorders>
            <w:shd w:val="clear" w:color="000000" w:fill="BFBFBF"/>
            <w:noWrap/>
            <w:vAlign w:val="center"/>
            <w:hideMark/>
          </w:tcPr>
          <w:p w14:paraId="67AF4567"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0.93%</w:t>
            </w:r>
          </w:p>
        </w:tc>
      </w:tr>
      <w:tr w:rsidR="00DA3375" w:rsidRPr="009B4009" w14:paraId="542F0BDE" w14:textId="77777777" w:rsidTr="009C7082">
        <w:trPr>
          <w:trHeight w:val="301"/>
        </w:trPr>
        <w:tc>
          <w:tcPr>
            <w:tcW w:w="0" w:type="auto"/>
            <w:tcBorders>
              <w:top w:val="nil"/>
              <w:left w:val="nil"/>
              <w:bottom w:val="nil"/>
              <w:right w:val="nil"/>
            </w:tcBorders>
            <w:shd w:val="clear" w:color="auto" w:fill="auto"/>
            <w:noWrap/>
            <w:vAlign w:val="bottom"/>
            <w:hideMark/>
          </w:tcPr>
          <w:p w14:paraId="73900750" w14:textId="77777777" w:rsidR="00DA3375" w:rsidRPr="009B4009" w:rsidRDefault="00DA3375" w:rsidP="00DA3375">
            <w:pPr>
              <w:spacing w:after="0" w:line="240" w:lineRule="auto"/>
              <w:rPr>
                <w:rFonts w:eastAsia="Times New Roman" w:cs="Arial"/>
                <w:b/>
                <w:bCs/>
                <w:color w:val="000000"/>
                <w:sz w:val="18"/>
                <w:szCs w:val="18"/>
              </w:rPr>
            </w:pPr>
            <w:r w:rsidRPr="009B4009">
              <w:rPr>
                <w:rFonts w:eastAsia="Times New Roman" w:cs="Arial"/>
                <w:b/>
                <w:bCs/>
                <w:color w:val="000000"/>
                <w:sz w:val="18"/>
                <w:szCs w:val="18"/>
              </w:rPr>
              <w:t>Overall</w:t>
            </w:r>
          </w:p>
        </w:tc>
        <w:tc>
          <w:tcPr>
            <w:tcW w:w="0" w:type="auto"/>
            <w:tcBorders>
              <w:top w:val="nil"/>
              <w:left w:val="single" w:sz="4" w:space="0" w:color="auto"/>
              <w:bottom w:val="nil"/>
              <w:right w:val="nil"/>
            </w:tcBorders>
            <w:shd w:val="clear" w:color="auto" w:fill="auto"/>
            <w:noWrap/>
            <w:vAlign w:val="center"/>
            <w:hideMark/>
          </w:tcPr>
          <w:p w14:paraId="77758D5B"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0.88%</w:t>
            </w:r>
          </w:p>
        </w:tc>
        <w:tc>
          <w:tcPr>
            <w:tcW w:w="0" w:type="auto"/>
            <w:tcBorders>
              <w:top w:val="nil"/>
              <w:left w:val="nil"/>
              <w:bottom w:val="nil"/>
              <w:right w:val="nil"/>
            </w:tcBorders>
            <w:shd w:val="clear" w:color="auto" w:fill="auto"/>
            <w:noWrap/>
            <w:vAlign w:val="center"/>
            <w:hideMark/>
          </w:tcPr>
          <w:p w14:paraId="73BCE1A7"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1.00%</w:t>
            </w:r>
          </w:p>
        </w:tc>
        <w:tc>
          <w:tcPr>
            <w:tcW w:w="0" w:type="auto"/>
            <w:tcBorders>
              <w:top w:val="nil"/>
              <w:left w:val="nil"/>
              <w:bottom w:val="nil"/>
              <w:right w:val="nil"/>
            </w:tcBorders>
            <w:shd w:val="clear" w:color="auto" w:fill="auto"/>
            <w:noWrap/>
            <w:vAlign w:val="center"/>
            <w:hideMark/>
          </w:tcPr>
          <w:p w14:paraId="3029BEC7"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0.42%</w:t>
            </w:r>
          </w:p>
        </w:tc>
        <w:tc>
          <w:tcPr>
            <w:tcW w:w="0" w:type="auto"/>
            <w:tcBorders>
              <w:top w:val="nil"/>
              <w:left w:val="nil"/>
              <w:bottom w:val="nil"/>
              <w:right w:val="nil"/>
            </w:tcBorders>
            <w:shd w:val="clear" w:color="auto" w:fill="auto"/>
            <w:noWrap/>
            <w:vAlign w:val="center"/>
            <w:hideMark/>
          </w:tcPr>
          <w:p w14:paraId="4C889C8D"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0.54%</w:t>
            </w:r>
          </w:p>
        </w:tc>
        <w:tc>
          <w:tcPr>
            <w:tcW w:w="0" w:type="auto"/>
            <w:tcBorders>
              <w:top w:val="nil"/>
              <w:left w:val="nil"/>
              <w:bottom w:val="nil"/>
              <w:right w:val="single" w:sz="4" w:space="0" w:color="auto"/>
            </w:tcBorders>
            <w:shd w:val="clear" w:color="auto" w:fill="auto"/>
            <w:noWrap/>
            <w:vAlign w:val="center"/>
            <w:hideMark/>
          </w:tcPr>
          <w:p w14:paraId="2FEAB945"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0.88%</w:t>
            </w:r>
          </w:p>
        </w:tc>
        <w:tc>
          <w:tcPr>
            <w:tcW w:w="0" w:type="auto"/>
            <w:tcBorders>
              <w:top w:val="nil"/>
              <w:left w:val="nil"/>
              <w:bottom w:val="nil"/>
              <w:right w:val="nil"/>
            </w:tcBorders>
            <w:shd w:val="clear" w:color="auto" w:fill="auto"/>
            <w:noWrap/>
            <w:vAlign w:val="center"/>
            <w:hideMark/>
          </w:tcPr>
          <w:p w14:paraId="5AD2630F"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0.69%</w:t>
            </w:r>
          </w:p>
        </w:tc>
      </w:tr>
      <w:tr w:rsidR="00DA3375" w:rsidRPr="009B4009" w14:paraId="17B37CE5" w14:textId="77777777" w:rsidTr="009C7082">
        <w:trPr>
          <w:trHeight w:val="301"/>
        </w:trPr>
        <w:tc>
          <w:tcPr>
            <w:tcW w:w="0" w:type="auto"/>
            <w:tcBorders>
              <w:top w:val="single" w:sz="4" w:space="0" w:color="auto"/>
              <w:left w:val="nil"/>
              <w:bottom w:val="single" w:sz="4" w:space="0" w:color="auto"/>
              <w:right w:val="nil"/>
            </w:tcBorders>
            <w:shd w:val="clear" w:color="000000" w:fill="BFBFBF"/>
            <w:noWrap/>
            <w:vAlign w:val="bottom"/>
            <w:hideMark/>
          </w:tcPr>
          <w:p w14:paraId="2BE72030" w14:textId="77777777" w:rsidR="00DA3375" w:rsidRPr="009B4009" w:rsidRDefault="00DA3375" w:rsidP="00DA3375">
            <w:pPr>
              <w:spacing w:after="0" w:line="240" w:lineRule="auto"/>
              <w:rPr>
                <w:rFonts w:eastAsia="Times New Roman" w:cs="Arial"/>
                <w:b/>
                <w:bCs/>
                <w:color w:val="000000"/>
                <w:sz w:val="18"/>
                <w:szCs w:val="18"/>
              </w:rPr>
            </w:pPr>
            <w:r w:rsidRPr="009B4009">
              <w:rPr>
                <w:rFonts w:eastAsia="Times New Roman" w:cs="Arial"/>
                <w:b/>
                <w:bCs/>
                <w:color w:val="000000"/>
                <w:sz w:val="18"/>
                <w:szCs w:val="18"/>
              </w:rPr>
              <w:t>0 to 1 / 1+ ratio</w:t>
            </w:r>
          </w:p>
        </w:tc>
        <w:tc>
          <w:tcPr>
            <w:tcW w:w="0" w:type="auto"/>
            <w:tcBorders>
              <w:top w:val="single" w:sz="4" w:space="0" w:color="auto"/>
              <w:left w:val="single" w:sz="4" w:space="0" w:color="auto"/>
              <w:bottom w:val="single" w:sz="4" w:space="0" w:color="auto"/>
              <w:right w:val="nil"/>
            </w:tcBorders>
            <w:shd w:val="clear" w:color="000000" w:fill="BFBFBF"/>
            <w:noWrap/>
            <w:vAlign w:val="center"/>
            <w:hideMark/>
          </w:tcPr>
          <w:p w14:paraId="5CCA916D"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12.44%</w:t>
            </w:r>
          </w:p>
        </w:tc>
        <w:tc>
          <w:tcPr>
            <w:tcW w:w="0" w:type="auto"/>
            <w:tcBorders>
              <w:top w:val="single" w:sz="4" w:space="0" w:color="auto"/>
              <w:left w:val="nil"/>
              <w:bottom w:val="single" w:sz="4" w:space="0" w:color="auto"/>
              <w:right w:val="nil"/>
            </w:tcBorders>
            <w:shd w:val="clear" w:color="000000" w:fill="BFBFBF"/>
            <w:noWrap/>
            <w:vAlign w:val="center"/>
            <w:hideMark/>
          </w:tcPr>
          <w:p w14:paraId="6239E115"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18.05%</w:t>
            </w:r>
          </w:p>
        </w:tc>
        <w:tc>
          <w:tcPr>
            <w:tcW w:w="0" w:type="auto"/>
            <w:tcBorders>
              <w:top w:val="single" w:sz="4" w:space="0" w:color="auto"/>
              <w:left w:val="nil"/>
              <w:bottom w:val="single" w:sz="4" w:space="0" w:color="auto"/>
              <w:right w:val="nil"/>
            </w:tcBorders>
            <w:shd w:val="clear" w:color="000000" w:fill="BFBFBF"/>
            <w:noWrap/>
            <w:vAlign w:val="center"/>
            <w:hideMark/>
          </w:tcPr>
          <w:p w14:paraId="617CBE57"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33.12%</w:t>
            </w:r>
          </w:p>
        </w:tc>
        <w:tc>
          <w:tcPr>
            <w:tcW w:w="0" w:type="auto"/>
            <w:tcBorders>
              <w:top w:val="single" w:sz="4" w:space="0" w:color="auto"/>
              <w:left w:val="nil"/>
              <w:bottom w:val="single" w:sz="4" w:space="0" w:color="auto"/>
              <w:right w:val="nil"/>
            </w:tcBorders>
            <w:shd w:val="clear" w:color="000000" w:fill="BFBFBF"/>
            <w:noWrap/>
            <w:vAlign w:val="center"/>
            <w:hideMark/>
          </w:tcPr>
          <w:p w14:paraId="099EF609"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27.39%</w:t>
            </w:r>
          </w:p>
        </w:tc>
        <w:tc>
          <w:tcPr>
            <w:tcW w:w="0" w:type="auto"/>
            <w:tcBorders>
              <w:top w:val="single" w:sz="4" w:space="0" w:color="auto"/>
              <w:left w:val="nil"/>
              <w:bottom w:val="single" w:sz="4" w:space="0" w:color="auto"/>
              <w:right w:val="single" w:sz="4" w:space="0" w:color="auto"/>
            </w:tcBorders>
            <w:shd w:val="clear" w:color="000000" w:fill="BFBFBF"/>
            <w:noWrap/>
            <w:vAlign w:val="center"/>
            <w:hideMark/>
          </w:tcPr>
          <w:p w14:paraId="3251765C"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17.98%</w:t>
            </w:r>
          </w:p>
        </w:tc>
        <w:tc>
          <w:tcPr>
            <w:tcW w:w="0" w:type="auto"/>
            <w:tcBorders>
              <w:top w:val="single" w:sz="4" w:space="0" w:color="auto"/>
              <w:left w:val="nil"/>
              <w:bottom w:val="single" w:sz="4" w:space="0" w:color="auto"/>
              <w:right w:val="nil"/>
            </w:tcBorders>
            <w:shd w:val="clear" w:color="000000" w:fill="BFBFBF"/>
            <w:noWrap/>
            <w:vAlign w:val="center"/>
            <w:hideMark/>
          </w:tcPr>
          <w:p w14:paraId="7A367F03"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23.46%</w:t>
            </w:r>
          </w:p>
        </w:tc>
      </w:tr>
      <w:tr w:rsidR="00DA3375" w:rsidRPr="009B4009" w14:paraId="5D20AE04" w14:textId="77777777" w:rsidTr="009C7082">
        <w:trPr>
          <w:trHeight w:val="301"/>
        </w:trPr>
        <w:tc>
          <w:tcPr>
            <w:tcW w:w="0" w:type="auto"/>
            <w:tcBorders>
              <w:top w:val="nil"/>
              <w:left w:val="nil"/>
              <w:bottom w:val="single" w:sz="4" w:space="0" w:color="auto"/>
              <w:right w:val="nil"/>
            </w:tcBorders>
            <w:shd w:val="clear" w:color="auto" w:fill="auto"/>
            <w:noWrap/>
            <w:vAlign w:val="bottom"/>
            <w:hideMark/>
          </w:tcPr>
          <w:p w14:paraId="5BCB18C2" w14:textId="77777777" w:rsidR="00DA3375" w:rsidRPr="009B4009" w:rsidRDefault="00DA3375" w:rsidP="00DA3375">
            <w:pPr>
              <w:spacing w:after="0" w:line="240" w:lineRule="auto"/>
              <w:rPr>
                <w:rFonts w:eastAsia="Times New Roman" w:cs="Arial"/>
                <w:b/>
                <w:bCs/>
                <w:color w:val="000000"/>
                <w:sz w:val="18"/>
                <w:szCs w:val="18"/>
              </w:rPr>
            </w:pPr>
            <w:r w:rsidRPr="009B4009">
              <w:rPr>
                <w:rFonts w:eastAsia="Times New Roman" w:cs="Arial"/>
                <w:b/>
                <w:bCs/>
                <w:color w:val="000000"/>
                <w:sz w:val="18"/>
                <w:szCs w:val="18"/>
              </w:rPr>
              <w:t>Selected ratio</w:t>
            </w:r>
          </w:p>
        </w:tc>
        <w:tc>
          <w:tcPr>
            <w:tcW w:w="0" w:type="auto"/>
            <w:tcBorders>
              <w:top w:val="nil"/>
              <w:left w:val="single" w:sz="4" w:space="0" w:color="auto"/>
              <w:bottom w:val="single" w:sz="4" w:space="0" w:color="auto"/>
              <w:right w:val="nil"/>
            </w:tcBorders>
            <w:shd w:val="clear" w:color="auto" w:fill="auto"/>
            <w:noWrap/>
            <w:vAlign w:val="center"/>
            <w:hideMark/>
          </w:tcPr>
          <w:p w14:paraId="1981B3D4"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 </w:t>
            </w:r>
          </w:p>
        </w:tc>
        <w:tc>
          <w:tcPr>
            <w:tcW w:w="0" w:type="auto"/>
            <w:tcBorders>
              <w:top w:val="nil"/>
              <w:left w:val="nil"/>
              <w:bottom w:val="single" w:sz="4" w:space="0" w:color="auto"/>
              <w:right w:val="nil"/>
            </w:tcBorders>
            <w:shd w:val="clear" w:color="auto" w:fill="auto"/>
            <w:noWrap/>
            <w:vAlign w:val="center"/>
            <w:hideMark/>
          </w:tcPr>
          <w:p w14:paraId="1FDC8E54"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 </w:t>
            </w:r>
          </w:p>
        </w:tc>
        <w:tc>
          <w:tcPr>
            <w:tcW w:w="0" w:type="auto"/>
            <w:tcBorders>
              <w:top w:val="nil"/>
              <w:left w:val="nil"/>
              <w:bottom w:val="single" w:sz="4" w:space="0" w:color="auto"/>
              <w:right w:val="nil"/>
            </w:tcBorders>
            <w:shd w:val="clear" w:color="auto" w:fill="auto"/>
            <w:noWrap/>
            <w:vAlign w:val="center"/>
            <w:hideMark/>
          </w:tcPr>
          <w:p w14:paraId="6B4CFCD6"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 </w:t>
            </w:r>
          </w:p>
        </w:tc>
        <w:tc>
          <w:tcPr>
            <w:tcW w:w="0" w:type="auto"/>
            <w:tcBorders>
              <w:top w:val="nil"/>
              <w:left w:val="nil"/>
              <w:bottom w:val="single" w:sz="4" w:space="0" w:color="auto"/>
              <w:right w:val="nil"/>
            </w:tcBorders>
            <w:shd w:val="clear" w:color="auto" w:fill="auto"/>
            <w:noWrap/>
            <w:vAlign w:val="center"/>
            <w:hideMark/>
          </w:tcPr>
          <w:p w14:paraId="038C9329"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center"/>
            <w:hideMark/>
          </w:tcPr>
          <w:p w14:paraId="42F63149" w14:textId="77777777" w:rsidR="00DA3375" w:rsidRPr="009B4009" w:rsidRDefault="00DA3375" w:rsidP="009C7082">
            <w:pPr>
              <w:spacing w:after="0" w:line="240" w:lineRule="auto"/>
              <w:jc w:val="right"/>
              <w:rPr>
                <w:rFonts w:eastAsia="Times New Roman" w:cs="Arial"/>
                <w:color w:val="000000"/>
                <w:sz w:val="18"/>
                <w:szCs w:val="18"/>
              </w:rPr>
            </w:pPr>
            <w:r w:rsidRPr="009B4009">
              <w:rPr>
                <w:rFonts w:eastAsia="Times New Roman" w:cs="Arial"/>
                <w:color w:val="000000"/>
                <w:sz w:val="18"/>
                <w:szCs w:val="18"/>
              </w:rPr>
              <w:t> </w:t>
            </w:r>
          </w:p>
        </w:tc>
        <w:tc>
          <w:tcPr>
            <w:tcW w:w="0" w:type="auto"/>
            <w:tcBorders>
              <w:top w:val="nil"/>
              <w:left w:val="nil"/>
              <w:bottom w:val="single" w:sz="4" w:space="0" w:color="auto"/>
              <w:right w:val="nil"/>
            </w:tcBorders>
            <w:shd w:val="clear" w:color="auto" w:fill="auto"/>
            <w:noWrap/>
            <w:vAlign w:val="center"/>
            <w:hideMark/>
          </w:tcPr>
          <w:p w14:paraId="79CD897E" w14:textId="77777777" w:rsidR="00DA3375" w:rsidRPr="009B4009" w:rsidRDefault="00DA3375" w:rsidP="009C7082">
            <w:pPr>
              <w:spacing w:after="0" w:line="240" w:lineRule="auto"/>
              <w:jc w:val="right"/>
              <w:rPr>
                <w:rFonts w:eastAsia="Times New Roman" w:cs="Arial"/>
                <w:b/>
                <w:bCs/>
                <w:color w:val="000000"/>
                <w:sz w:val="18"/>
                <w:szCs w:val="18"/>
              </w:rPr>
            </w:pPr>
            <w:r w:rsidRPr="009B4009">
              <w:rPr>
                <w:rFonts w:eastAsia="Times New Roman" w:cs="Arial"/>
                <w:b/>
                <w:bCs/>
                <w:color w:val="000000"/>
                <w:sz w:val="18"/>
                <w:szCs w:val="18"/>
              </w:rPr>
              <w:t>20.00%</w:t>
            </w:r>
          </w:p>
        </w:tc>
      </w:tr>
    </w:tbl>
    <w:p w14:paraId="49C0CA69" w14:textId="77777777" w:rsidR="005B555C" w:rsidRPr="005339EE" w:rsidRDefault="005B555C" w:rsidP="005B555C">
      <w:pPr>
        <w:pStyle w:val="Tables"/>
        <w:spacing w:before="240"/>
        <w:rPr>
          <w:rFonts w:eastAsiaTheme="minorEastAsia"/>
          <w:b w:val="0"/>
          <w:bCs w:val="0"/>
          <w:szCs w:val="24"/>
          <w:lang w:eastAsia="ja-JP"/>
        </w:rPr>
      </w:pPr>
      <w:r>
        <w:rPr>
          <w:rFonts w:eastAsiaTheme="minorEastAsia"/>
          <w:b w:val="0"/>
          <w:bCs w:val="0"/>
          <w:szCs w:val="24"/>
          <w:lang w:eastAsia="ja-JP"/>
        </w:rPr>
        <w:t xml:space="preserve">In Table I.6, </w:t>
      </w:r>
      <w:r w:rsidRPr="005339EE">
        <w:rPr>
          <w:rFonts w:eastAsiaTheme="minorEastAsia"/>
          <w:b w:val="0"/>
          <w:bCs w:val="0"/>
          <w:szCs w:val="24"/>
          <w:lang w:eastAsia="ja-JP"/>
        </w:rPr>
        <w:t xml:space="preserve">the change in </w:t>
      </w:r>
      <w:r>
        <w:rPr>
          <w:rFonts w:eastAsiaTheme="minorEastAsia"/>
          <w:b w:val="0"/>
          <w:bCs w:val="0"/>
          <w:szCs w:val="24"/>
          <w:lang w:eastAsia="ja-JP"/>
        </w:rPr>
        <w:t>the selected</w:t>
      </w:r>
      <w:r w:rsidRPr="005339EE">
        <w:rPr>
          <w:rFonts w:eastAsiaTheme="minorEastAsia"/>
          <w:b w:val="0"/>
          <w:bCs w:val="0"/>
          <w:szCs w:val="24"/>
          <w:lang w:eastAsia="ja-JP"/>
        </w:rPr>
        <w:t xml:space="preserve"> rate of participants leaving the Scheme is driven by the change in mix </w:t>
      </w:r>
      <w:r>
        <w:rPr>
          <w:rFonts w:eastAsiaTheme="minorEastAsia"/>
          <w:b w:val="0"/>
          <w:bCs w:val="0"/>
          <w:szCs w:val="24"/>
          <w:lang w:eastAsia="ja-JP"/>
        </w:rPr>
        <w:t xml:space="preserve">of participants in their first year </w:t>
      </w:r>
      <w:r w:rsidRPr="005339EE">
        <w:rPr>
          <w:rFonts w:eastAsiaTheme="minorEastAsia"/>
          <w:b w:val="0"/>
          <w:bCs w:val="0"/>
          <w:szCs w:val="24"/>
          <w:lang w:eastAsia="ja-JP"/>
        </w:rPr>
        <w:t>over time.</w:t>
      </w:r>
    </w:p>
    <w:p w14:paraId="0421FAC3" w14:textId="77777777" w:rsidR="00DA3375" w:rsidRDefault="00DA3375" w:rsidP="00DA3F73">
      <w:pPr>
        <w:pStyle w:val="Tables"/>
        <w:spacing w:before="240"/>
      </w:pPr>
      <w:r>
        <w:t>Table</w:t>
      </w:r>
      <w:r w:rsidR="000D71B7">
        <w:t xml:space="preserve"> I</w:t>
      </w:r>
      <w:r w:rsidR="0022056B">
        <w:t>.</w:t>
      </w:r>
      <w:fldSimple w:instr=" SEQ Table \* ARABIC \s 2 ">
        <w:r w:rsidR="00A87896">
          <w:rPr>
            <w:noProof/>
          </w:rPr>
          <w:t>6</w:t>
        </w:r>
      </w:fldSimple>
      <w:r>
        <w:t xml:space="preserve">: </w:t>
      </w:r>
      <w:r w:rsidRPr="009F237B">
        <w:t>Actual vs selected rates of participants leaving the Scheme</w:t>
      </w:r>
      <w:r w:rsidR="007D4BB9">
        <w:t xml:space="preserve"> in their first year</w:t>
      </w:r>
    </w:p>
    <w:tbl>
      <w:tblPr>
        <w:tblW w:w="8949" w:type="dxa"/>
        <w:tblLook w:val="04A0" w:firstRow="1" w:lastRow="0" w:firstColumn="1" w:lastColumn="0" w:noHBand="0" w:noVBand="1"/>
      </w:tblPr>
      <w:tblGrid>
        <w:gridCol w:w="1843"/>
        <w:gridCol w:w="1248"/>
        <w:gridCol w:w="1244"/>
        <w:gridCol w:w="1244"/>
        <w:gridCol w:w="1244"/>
        <w:gridCol w:w="1244"/>
        <w:gridCol w:w="882"/>
      </w:tblGrid>
      <w:tr w:rsidR="00DA3375" w:rsidRPr="009B4009" w14:paraId="70AD906D" w14:textId="77777777" w:rsidTr="009B4009">
        <w:trPr>
          <w:trHeight w:val="397"/>
        </w:trPr>
        <w:tc>
          <w:tcPr>
            <w:tcW w:w="1843" w:type="dxa"/>
            <w:tcBorders>
              <w:top w:val="nil"/>
              <w:left w:val="nil"/>
              <w:bottom w:val="nil"/>
              <w:right w:val="nil"/>
            </w:tcBorders>
            <w:shd w:val="clear" w:color="000000" w:fill="6B2976"/>
            <w:vAlign w:val="center"/>
            <w:hideMark/>
          </w:tcPr>
          <w:p w14:paraId="269DAB6F" w14:textId="77777777" w:rsidR="00DA3375" w:rsidRPr="009B4009" w:rsidRDefault="00DA3375" w:rsidP="009B4009">
            <w:pPr>
              <w:spacing w:after="0" w:line="240" w:lineRule="auto"/>
              <w:rPr>
                <w:rFonts w:eastAsia="Times New Roman" w:cs="Arial"/>
                <w:b/>
                <w:bCs/>
                <w:color w:val="FFFFFF"/>
                <w:sz w:val="18"/>
                <w:szCs w:val="18"/>
              </w:rPr>
            </w:pPr>
            <w:r w:rsidRPr="009B4009">
              <w:rPr>
                <w:rFonts w:eastAsia="Times New Roman" w:cs="Arial"/>
                <w:b/>
                <w:bCs/>
                <w:color w:val="FFFFFF"/>
                <w:sz w:val="18"/>
                <w:szCs w:val="18"/>
              </w:rPr>
              <w:t>Rates for 0-1 year</w:t>
            </w:r>
          </w:p>
        </w:tc>
        <w:tc>
          <w:tcPr>
            <w:tcW w:w="1248" w:type="dxa"/>
            <w:tcBorders>
              <w:top w:val="nil"/>
              <w:left w:val="nil"/>
              <w:bottom w:val="nil"/>
              <w:right w:val="nil"/>
            </w:tcBorders>
            <w:shd w:val="clear" w:color="000000" w:fill="6B2976"/>
            <w:vAlign w:val="center"/>
            <w:hideMark/>
          </w:tcPr>
          <w:p w14:paraId="09C69BB1" w14:textId="77777777" w:rsidR="00DA3375" w:rsidRPr="009B4009" w:rsidRDefault="00DA3375" w:rsidP="009B4009">
            <w:pPr>
              <w:spacing w:after="0" w:line="240" w:lineRule="auto"/>
              <w:jc w:val="right"/>
              <w:rPr>
                <w:rFonts w:eastAsia="Times New Roman" w:cs="Arial"/>
                <w:b/>
                <w:bCs/>
                <w:color w:val="FFFFFF"/>
                <w:sz w:val="18"/>
                <w:szCs w:val="18"/>
              </w:rPr>
            </w:pPr>
            <w:r w:rsidRPr="009B4009">
              <w:rPr>
                <w:rFonts w:eastAsia="Times New Roman" w:cs="Arial"/>
                <w:b/>
                <w:bCs/>
                <w:color w:val="FFFFFF"/>
                <w:sz w:val="18"/>
                <w:szCs w:val="18"/>
              </w:rPr>
              <w:t>Jan-Dec 17</w:t>
            </w:r>
          </w:p>
        </w:tc>
        <w:tc>
          <w:tcPr>
            <w:tcW w:w="0" w:type="auto"/>
            <w:tcBorders>
              <w:top w:val="nil"/>
              <w:left w:val="nil"/>
              <w:bottom w:val="nil"/>
              <w:right w:val="nil"/>
            </w:tcBorders>
            <w:shd w:val="clear" w:color="000000" w:fill="6B2976"/>
            <w:vAlign w:val="center"/>
            <w:hideMark/>
          </w:tcPr>
          <w:p w14:paraId="234F8B07" w14:textId="77777777" w:rsidR="00DA3375" w:rsidRPr="009B4009" w:rsidRDefault="00DA3375" w:rsidP="009B4009">
            <w:pPr>
              <w:spacing w:after="0" w:line="240" w:lineRule="auto"/>
              <w:jc w:val="right"/>
              <w:rPr>
                <w:rFonts w:eastAsia="Times New Roman" w:cs="Arial"/>
                <w:b/>
                <w:bCs/>
                <w:color w:val="FFFFFF"/>
                <w:sz w:val="18"/>
                <w:szCs w:val="18"/>
              </w:rPr>
            </w:pPr>
            <w:r w:rsidRPr="009B4009">
              <w:rPr>
                <w:rFonts w:eastAsia="Times New Roman" w:cs="Arial"/>
                <w:b/>
                <w:bCs/>
                <w:color w:val="FFFFFF"/>
                <w:sz w:val="18"/>
                <w:szCs w:val="18"/>
              </w:rPr>
              <w:t>Jan-Dec 18</w:t>
            </w:r>
          </w:p>
        </w:tc>
        <w:tc>
          <w:tcPr>
            <w:tcW w:w="0" w:type="auto"/>
            <w:tcBorders>
              <w:top w:val="nil"/>
              <w:left w:val="nil"/>
              <w:bottom w:val="nil"/>
              <w:right w:val="nil"/>
            </w:tcBorders>
            <w:shd w:val="clear" w:color="000000" w:fill="6B2976"/>
            <w:vAlign w:val="center"/>
            <w:hideMark/>
          </w:tcPr>
          <w:p w14:paraId="3D954816" w14:textId="77777777" w:rsidR="00DA3375" w:rsidRPr="009B4009" w:rsidRDefault="00DA3375" w:rsidP="009B4009">
            <w:pPr>
              <w:spacing w:after="0" w:line="240" w:lineRule="auto"/>
              <w:jc w:val="right"/>
              <w:rPr>
                <w:rFonts w:eastAsia="Times New Roman" w:cs="Arial"/>
                <w:b/>
                <w:bCs/>
                <w:color w:val="FFFFFF"/>
                <w:sz w:val="18"/>
                <w:szCs w:val="18"/>
              </w:rPr>
            </w:pPr>
            <w:r w:rsidRPr="009B4009">
              <w:rPr>
                <w:rFonts w:eastAsia="Times New Roman" w:cs="Arial"/>
                <w:b/>
                <w:bCs/>
                <w:color w:val="FFFFFF"/>
                <w:sz w:val="18"/>
                <w:szCs w:val="18"/>
              </w:rPr>
              <w:t>Jan-Dec 19</w:t>
            </w:r>
          </w:p>
        </w:tc>
        <w:tc>
          <w:tcPr>
            <w:tcW w:w="0" w:type="auto"/>
            <w:tcBorders>
              <w:top w:val="nil"/>
              <w:left w:val="nil"/>
              <w:bottom w:val="nil"/>
              <w:right w:val="nil"/>
            </w:tcBorders>
            <w:shd w:val="clear" w:color="000000" w:fill="6B2976"/>
            <w:vAlign w:val="center"/>
            <w:hideMark/>
          </w:tcPr>
          <w:p w14:paraId="22FB44D8" w14:textId="77777777" w:rsidR="00DA3375" w:rsidRPr="009B4009" w:rsidRDefault="00DA3375" w:rsidP="009B4009">
            <w:pPr>
              <w:spacing w:after="0" w:line="240" w:lineRule="auto"/>
              <w:jc w:val="right"/>
              <w:rPr>
                <w:rFonts w:eastAsia="Times New Roman" w:cs="Arial"/>
                <w:b/>
                <w:bCs/>
                <w:color w:val="FFFFFF"/>
                <w:sz w:val="18"/>
                <w:szCs w:val="18"/>
              </w:rPr>
            </w:pPr>
            <w:r w:rsidRPr="009B4009">
              <w:rPr>
                <w:rFonts w:eastAsia="Times New Roman" w:cs="Arial"/>
                <w:b/>
                <w:bCs/>
                <w:color w:val="FFFFFF"/>
                <w:sz w:val="18"/>
                <w:szCs w:val="18"/>
              </w:rPr>
              <w:t>Jan-Dec 20</w:t>
            </w:r>
          </w:p>
        </w:tc>
        <w:tc>
          <w:tcPr>
            <w:tcW w:w="0" w:type="auto"/>
            <w:tcBorders>
              <w:top w:val="nil"/>
              <w:left w:val="nil"/>
              <w:bottom w:val="nil"/>
              <w:right w:val="nil"/>
            </w:tcBorders>
            <w:shd w:val="clear" w:color="000000" w:fill="6B2976"/>
            <w:vAlign w:val="center"/>
            <w:hideMark/>
          </w:tcPr>
          <w:p w14:paraId="1C8CC593" w14:textId="77777777" w:rsidR="00DA3375" w:rsidRPr="009B4009" w:rsidRDefault="00DA3375" w:rsidP="009B4009">
            <w:pPr>
              <w:spacing w:after="0" w:line="240" w:lineRule="auto"/>
              <w:jc w:val="right"/>
              <w:rPr>
                <w:rFonts w:eastAsia="Times New Roman" w:cs="Arial"/>
                <w:b/>
                <w:bCs/>
                <w:color w:val="FFFFFF"/>
                <w:sz w:val="18"/>
                <w:szCs w:val="18"/>
              </w:rPr>
            </w:pPr>
            <w:r w:rsidRPr="009B4009">
              <w:rPr>
                <w:rFonts w:eastAsia="Times New Roman" w:cs="Arial"/>
                <w:b/>
                <w:bCs/>
                <w:color w:val="FFFFFF"/>
                <w:sz w:val="18"/>
                <w:szCs w:val="18"/>
              </w:rPr>
              <w:t>Jan-Sep 21</w:t>
            </w:r>
          </w:p>
        </w:tc>
        <w:tc>
          <w:tcPr>
            <w:tcW w:w="0" w:type="auto"/>
            <w:tcBorders>
              <w:top w:val="nil"/>
              <w:left w:val="nil"/>
              <w:bottom w:val="nil"/>
              <w:right w:val="nil"/>
            </w:tcBorders>
            <w:shd w:val="clear" w:color="000000" w:fill="6B2976"/>
            <w:vAlign w:val="center"/>
            <w:hideMark/>
          </w:tcPr>
          <w:p w14:paraId="5F84473B" w14:textId="77777777" w:rsidR="00DA3375" w:rsidRPr="009B4009" w:rsidRDefault="00DA3375" w:rsidP="009B4009">
            <w:pPr>
              <w:spacing w:after="0" w:line="240" w:lineRule="auto"/>
              <w:jc w:val="right"/>
              <w:rPr>
                <w:rFonts w:eastAsia="Times New Roman" w:cs="Arial"/>
                <w:b/>
                <w:bCs/>
                <w:color w:val="FFFFFF"/>
                <w:sz w:val="18"/>
                <w:szCs w:val="18"/>
              </w:rPr>
            </w:pPr>
            <w:r w:rsidRPr="009B4009">
              <w:rPr>
                <w:rFonts w:eastAsia="Times New Roman" w:cs="Arial"/>
                <w:b/>
                <w:bCs/>
                <w:color w:val="FFFFFF"/>
                <w:sz w:val="18"/>
                <w:szCs w:val="18"/>
              </w:rPr>
              <w:t>Overall</w:t>
            </w:r>
          </w:p>
        </w:tc>
      </w:tr>
      <w:tr w:rsidR="00DA3375" w:rsidRPr="009B4009" w14:paraId="6F093437" w14:textId="77777777" w:rsidTr="009B4009">
        <w:trPr>
          <w:trHeight w:val="301"/>
        </w:trPr>
        <w:tc>
          <w:tcPr>
            <w:tcW w:w="1843" w:type="dxa"/>
            <w:tcBorders>
              <w:top w:val="nil"/>
              <w:left w:val="nil"/>
              <w:bottom w:val="nil"/>
              <w:right w:val="nil"/>
            </w:tcBorders>
            <w:shd w:val="clear" w:color="auto" w:fill="auto"/>
            <w:noWrap/>
            <w:vAlign w:val="center"/>
            <w:hideMark/>
          </w:tcPr>
          <w:p w14:paraId="4D8A9850" w14:textId="77777777" w:rsidR="00DA3375" w:rsidRPr="009B4009" w:rsidRDefault="00DA3375" w:rsidP="009B4009">
            <w:pPr>
              <w:spacing w:after="0" w:line="240" w:lineRule="auto"/>
              <w:rPr>
                <w:rFonts w:eastAsia="Times New Roman" w:cs="Arial"/>
                <w:b/>
                <w:bCs/>
                <w:color w:val="000000"/>
                <w:sz w:val="18"/>
                <w:szCs w:val="18"/>
              </w:rPr>
            </w:pPr>
            <w:r w:rsidRPr="009B4009">
              <w:rPr>
                <w:rFonts w:eastAsia="Times New Roman" w:cs="Arial"/>
                <w:b/>
                <w:bCs/>
                <w:color w:val="000000"/>
                <w:sz w:val="18"/>
                <w:szCs w:val="18"/>
              </w:rPr>
              <w:t>Actual</w:t>
            </w:r>
          </w:p>
        </w:tc>
        <w:tc>
          <w:tcPr>
            <w:tcW w:w="1248" w:type="dxa"/>
            <w:tcBorders>
              <w:top w:val="nil"/>
              <w:left w:val="single" w:sz="4" w:space="0" w:color="auto"/>
              <w:bottom w:val="nil"/>
              <w:right w:val="nil"/>
            </w:tcBorders>
            <w:shd w:val="clear" w:color="auto" w:fill="auto"/>
            <w:noWrap/>
            <w:vAlign w:val="center"/>
            <w:hideMark/>
          </w:tcPr>
          <w:p w14:paraId="5902127F"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0.25%</w:t>
            </w:r>
          </w:p>
        </w:tc>
        <w:tc>
          <w:tcPr>
            <w:tcW w:w="0" w:type="auto"/>
            <w:tcBorders>
              <w:top w:val="nil"/>
              <w:left w:val="nil"/>
              <w:bottom w:val="nil"/>
              <w:right w:val="nil"/>
            </w:tcBorders>
            <w:shd w:val="clear" w:color="auto" w:fill="auto"/>
            <w:noWrap/>
            <w:vAlign w:val="center"/>
            <w:hideMark/>
          </w:tcPr>
          <w:p w14:paraId="3F8C7F62"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0.30%</w:t>
            </w:r>
          </w:p>
        </w:tc>
        <w:tc>
          <w:tcPr>
            <w:tcW w:w="0" w:type="auto"/>
            <w:tcBorders>
              <w:top w:val="nil"/>
              <w:left w:val="nil"/>
              <w:bottom w:val="nil"/>
              <w:right w:val="nil"/>
            </w:tcBorders>
            <w:shd w:val="clear" w:color="auto" w:fill="auto"/>
            <w:noWrap/>
            <w:vAlign w:val="center"/>
            <w:hideMark/>
          </w:tcPr>
          <w:p w14:paraId="0BFFA600"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0.19%</w:t>
            </w:r>
          </w:p>
        </w:tc>
        <w:tc>
          <w:tcPr>
            <w:tcW w:w="0" w:type="auto"/>
            <w:tcBorders>
              <w:top w:val="nil"/>
              <w:left w:val="nil"/>
              <w:bottom w:val="nil"/>
              <w:right w:val="nil"/>
            </w:tcBorders>
            <w:shd w:val="clear" w:color="auto" w:fill="auto"/>
            <w:noWrap/>
            <w:vAlign w:val="center"/>
            <w:hideMark/>
          </w:tcPr>
          <w:p w14:paraId="699007D8"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0.19%</w:t>
            </w:r>
          </w:p>
        </w:tc>
        <w:tc>
          <w:tcPr>
            <w:tcW w:w="0" w:type="auto"/>
            <w:tcBorders>
              <w:top w:val="nil"/>
              <w:left w:val="nil"/>
              <w:bottom w:val="nil"/>
              <w:right w:val="single" w:sz="4" w:space="0" w:color="auto"/>
            </w:tcBorders>
            <w:shd w:val="clear" w:color="auto" w:fill="auto"/>
            <w:noWrap/>
            <w:vAlign w:val="center"/>
            <w:hideMark/>
          </w:tcPr>
          <w:p w14:paraId="5589CC00"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0.19%</w:t>
            </w:r>
          </w:p>
        </w:tc>
        <w:tc>
          <w:tcPr>
            <w:tcW w:w="0" w:type="auto"/>
            <w:tcBorders>
              <w:top w:val="nil"/>
              <w:left w:val="nil"/>
              <w:bottom w:val="nil"/>
              <w:right w:val="nil"/>
            </w:tcBorders>
            <w:shd w:val="clear" w:color="auto" w:fill="auto"/>
            <w:noWrap/>
            <w:vAlign w:val="center"/>
            <w:hideMark/>
          </w:tcPr>
          <w:p w14:paraId="2263F05F"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0.22%</w:t>
            </w:r>
          </w:p>
        </w:tc>
      </w:tr>
      <w:tr w:rsidR="00DA3375" w:rsidRPr="009B4009" w14:paraId="69B4B819" w14:textId="77777777" w:rsidTr="009B4009">
        <w:trPr>
          <w:trHeight w:val="301"/>
        </w:trPr>
        <w:tc>
          <w:tcPr>
            <w:tcW w:w="1843" w:type="dxa"/>
            <w:tcBorders>
              <w:top w:val="nil"/>
              <w:left w:val="nil"/>
              <w:bottom w:val="nil"/>
              <w:right w:val="nil"/>
            </w:tcBorders>
            <w:shd w:val="clear" w:color="000000" w:fill="BFBFBF"/>
            <w:noWrap/>
            <w:vAlign w:val="center"/>
            <w:hideMark/>
          </w:tcPr>
          <w:p w14:paraId="4F251BAA" w14:textId="77777777" w:rsidR="00DA3375" w:rsidRPr="009B4009" w:rsidRDefault="00DA3375" w:rsidP="009B4009">
            <w:pPr>
              <w:spacing w:after="0" w:line="240" w:lineRule="auto"/>
              <w:rPr>
                <w:rFonts w:eastAsia="Times New Roman" w:cs="Arial"/>
                <w:b/>
                <w:bCs/>
                <w:color w:val="000000"/>
                <w:sz w:val="18"/>
                <w:szCs w:val="18"/>
              </w:rPr>
            </w:pPr>
            <w:r w:rsidRPr="009B4009">
              <w:rPr>
                <w:rFonts w:eastAsia="Times New Roman" w:cs="Arial"/>
                <w:b/>
                <w:bCs/>
                <w:color w:val="000000"/>
                <w:sz w:val="18"/>
                <w:szCs w:val="18"/>
              </w:rPr>
              <w:t>Selected</w:t>
            </w:r>
          </w:p>
        </w:tc>
        <w:tc>
          <w:tcPr>
            <w:tcW w:w="1248" w:type="dxa"/>
            <w:tcBorders>
              <w:top w:val="nil"/>
              <w:left w:val="single" w:sz="4" w:space="0" w:color="auto"/>
              <w:bottom w:val="nil"/>
              <w:right w:val="nil"/>
            </w:tcBorders>
            <w:shd w:val="clear" w:color="000000" w:fill="BFBFBF"/>
            <w:noWrap/>
            <w:vAlign w:val="center"/>
            <w:hideMark/>
          </w:tcPr>
          <w:p w14:paraId="5DA321FF"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0.41%</w:t>
            </w:r>
          </w:p>
        </w:tc>
        <w:tc>
          <w:tcPr>
            <w:tcW w:w="0" w:type="auto"/>
            <w:tcBorders>
              <w:top w:val="nil"/>
              <w:left w:val="nil"/>
              <w:bottom w:val="nil"/>
              <w:right w:val="nil"/>
            </w:tcBorders>
            <w:shd w:val="clear" w:color="000000" w:fill="BFBFBF"/>
            <w:noWrap/>
            <w:vAlign w:val="center"/>
            <w:hideMark/>
          </w:tcPr>
          <w:p w14:paraId="565C1A4A"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0.33%</w:t>
            </w:r>
          </w:p>
        </w:tc>
        <w:tc>
          <w:tcPr>
            <w:tcW w:w="0" w:type="auto"/>
            <w:tcBorders>
              <w:top w:val="nil"/>
              <w:left w:val="nil"/>
              <w:bottom w:val="nil"/>
              <w:right w:val="nil"/>
            </w:tcBorders>
            <w:shd w:val="clear" w:color="000000" w:fill="BFBFBF"/>
            <w:noWrap/>
            <w:vAlign w:val="center"/>
            <w:hideMark/>
          </w:tcPr>
          <w:p w14:paraId="26695CE1"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0.11%</w:t>
            </w:r>
          </w:p>
        </w:tc>
        <w:tc>
          <w:tcPr>
            <w:tcW w:w="0" w:type="auto"/>
            <w:tcBorders>
              <w:top w:val="nil"/>
              <w:left w:val="nil"/>
              <w:bottom w:val="nil"/>
              <w:right w:val="nil"/>
            </w:tcBorders>
            <w:shd w:val="clear" w:color="000000" w:fill="BFBFBF"/>
            <w:noWrap/>
            <w:vAlign w:val="center"/>
            <w:hideMark/>
          </w:tcPr>
          <w:p w14:paraId="331CEEF8"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0.14%</w:t>
            </w:r>
          </w:p>
        </w:tc>
        <w:tc>
          <w:tcPr>
            <w:tcW w:w="0" w:type="auto"/>
            <w:tcBorders>
              <w:top w:val="nil"/>
              <w:left w:val="nil"/>
              <w:bottom w:val="nil"/>
              <w:right w:val="single" w:sz="4" w:space="0" w:color="auto"/>
            </w:tcBorders>
            <w:shd w:val="clear" w:color="000000" w:fill="BFBFBF"/>
            <w:noWrap/>
            <w:vAlign w:val="center"/>
            <w:hideMark/>
          </w:tcPr>
          <w:p w14:paraId="780861A7"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0.21%</w:t>
            </w:r>
          </w:p>
        </w:tc>
        <w:tc>
          <w:tcPr>
            <w:tcW w:w="0" w:type="auto"/>
            <w:tcBorders>
              <w:top w:val="nil"/>
              <w:left w:val="nil"/>
              <w:bottom w:val="nil"/>
              <w:right w:val="nil"/>
            </w:tcBorders>
            <w:shd w:val="clear" w:color="000000" w:fill="BFBFBF"/>
            <w:noWrap/>
            <w:vAlign w:val="center"/>
            <w:hideMark/>
          </w:tcPr>
          <w:p w14:paraId="74974165"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0.19%</w:t>
            </w:r>
          </w:p>
        </w:tc>
      </w:tr>
      <w:tr w:rsidR="00DA3375" w:rsidRPr="009B4009" w14:paraId="418FFD65" w14:textId="77777777" w:rsidTr="009B4009">
        <w:trPr>
          <w:trHeight w:val="301"/>
        </w:trPr>
        <w:tc>
          <w:tcPr>
            <w:tcW w:w="1843" w:type="dxa"/>
            <w:tcBorders>
              <w:top w:val="single" w:sz="4" w:space="0" w:color="auto"/>
              <w:left w:val="nil"/>
              <w:bottom w:val="single" w:sz="4" w:space="0" w:color="auto"/>
              <w:right w:val="nil"/>
            </w:tcBorders>
            <w:shd w:val="clear" w:color="auto" w:fill="auto"/>
            <w:noWrap/>
            <w:vAlign w:val="center"/>
            <w:hideMark/>
          </w:tcPr>
          <w:p w14:paraId="55079363" w14:textId="77777777" w:rsidR="00DA3375" w:rsidRPr="009B4009" w:rsidRDefault="00DA3375" w:rsidP="009B4009">
            <w:pPr>
              <w:spacing w:after="0" w:line="240" w:lineRule="auto"/>
              <w:rPr>
                <w:rFonts w:eastAsia="Times New Roman" w:cs="Arial"/>
                <w:b/>
                <w:bCs/>
                <w:color w:val="000000"/>
                <w:sz w:val="18"/>
                <w:szCs w:val="18"/>
              </w:rPr>
            </w:pPr>
            <w:r w:rsidRPr="009B4009">
              <w:rPr>
                <w:rFonts w:eastAsia="Times New Roman" w:cs="Arial"/>
                <w:b/>
                <w:bCs/>
                <w:color w:val="000000"/>
                <w:sz w:val="18"/>
                <w:szCs w:val="18"/>
              </w:rPr>
              <w:t>Difference</w:t>
            </w:r>
          </w:p>
        </w:tc>
        <w:tc>
          <w:tcPr>
            <w:tcW w:w="1248" w:type="dxa"/>
            <w:tcBorders>
              <w:top w:val="single" w:sz="4" w:space="0" w:color="auto"/>
              <w:left w:val="single" w:sz="4" w:space="0" w:color="auto"/>
              <w:bottom w:val="single" w:sz="4" w:space="0" w:color="auto"/>
              <w:right w:val="nil"/>
            </w:tcBorders>
            <w:shd w:val="clear" w:color="auto" w:fill="auto"/>
            <w:noWrap/>
            <w:vAlign w:val="center"/>
            <w:hideMark/>
          </w:tcPr>
          <w:p w14:paraId="1EAE23EB"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-0.16%</w:t>
            </w:r>
          </w:p>
        </w:tc>
        <w:tc>
          <w:tcPr>
            <w:tcW w:w="0" w:type="auto"/>
            <w:tcBorders>
              <w:top w:val="single" w:sz="4" w:space="0" w:color="auto"/>
              <w:left w:val="nil"/>
              <w:bottom w:val="single" w:sz="4" w:space="0" w:color="auto"/>
              <w:right w:val="nil"/>
            </w:tcBorders>
            <w:shd w:val="clear" w:color="auto" w:fill="auto"/>
            <w:noWrap/>
            <w:vAlign w:val="center"/>
            <w:hideMark/>
          </w:tcPr>
          <w:p w14:paraId="19A4B7E1"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-0.03%</w:t>
            </w:r>
          </w:p>
        </w:tc>
        <w:tc>
          <w:tcPr>
            <w:tcW w:w="0" w:type="auto"/>
            <w:tcBorders>
              <w:top w:val="single" w:sz="4" w:space="0" w:color="auto"/>
              <w:left w:val="nil"/>
              <w:bottom w:val="single" w:sz="4" w:space="0" w:color="auto"/>
              <w:right w:val="nil"/>
            </w:tcBorders>
            <w:shd w:val="clear" w:color="auto" w:fill="auto"/>
            <w:noWrap/>
            <w:vAlign w:val="center"/>
            <w:hideMark/>
          </w:tcPr>
          <w:p w14:paraId="5F2EED7B"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0.07%</w:t>
            </w:r>
          </w:p>
        </w:tc>
        <w:tc>
          <w:tcPr>
            <w:tcW w:w="0" w:type="auto"/>
            <w:tcBorders>
              <w:top w:val="single" w:sz="4" w:space="0" w:color="auto"/>
              <w:left w:val="nil"/>
              <w:bottom w:val="single" w:sz="4" w:space="0" w:color="auto"/>
              <w:right w:val="nil"/>
            </w:tcBorders>
            <w:shd w:val="clear" w:color="auto" w:fill="auto"/>
            <w:noWrap/>
            <w:vAlign w:val="center"/>
            <w:hideMark/>
          </w:tcPr>
          <w:p w14:paraId="2659711C"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0.05%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0550873"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-0.02%</w:t>
            </w:r>
          </w:p>
        </w:tc>
        <w:tc>
          <w:tcPr>
            <w:tcW w:w="0" w:type="auto"/>
            <w:tcBorders>
              <w:top w:val="single" w:sz="4" w:space="0" w:color="auto"/>
              <w:left w:val="nil"/>
              <w:bottom w:val="single" w:sz="4" w:space="0" w:color="auto"/>
              <w:right w:val="nil"/>
            </w:tcBorders>
            <w:shd w:val="clear" w:color="auto" w:fill="auto"/>
            <w:noWrap/>
            <w:vAlign w:val="center"/>
            <w:hideMark/>
          </w:tcPr>
          <w:p w14:paraId="69321657" w14:textId="77777777" w:rsidR="00DA3375" w:rsidRPr="009B4009" w:rsidRDefault="00DA3375" w:rsidP="009B4009">
            <w:pPr>
              <w:spacing w:after="0" w:line="240" w:lineRule="auto"/>
              <w:jc w:val="right"/>
              <w:rPr>
                <w:rFonts w:eastAsia="Times New Roman" w:cs="Arial"/>
                <w:color w:val="000000"/>
                <w:sz w:val="18"/>
                <w:szCs w:val="18"/>
              </w:rPr>
            </w:pPr>
            <w:r w:rsidRPr="009B4009">
              <w:rPr>
                <w:rFonts w:eastAsia="Times New Roman" w:cs="Arial"/>
                <w:color w:val="000000"/>
                <w:sz w:val="18"/>
                <w:szCs w:val="18"/>
              </w:rPr>
              <w:t>0.03%</w:t>
            </w:r>
          </w:p>
        </w:tc>
      </w:tr>
    </w:tbl>
    <w:p w14:paraId="4BF8D3D9" w14:textId="77777777" w:rsidR="00DA3375" w:rsidRPr="00754E7D" w:rsidRDefault="00DA3375" w:rsidP="00DA3F73">
      <w:pPr>
        <w:pStyle w:val="FSRHeading6"/>
      </w:pPr>
      <w:bookmarkStart w:id="1201" w:name="_Toc104291125"/>
      <w:bookmarkStart w:id="1202" w:name="_Ref93490295"/>
      <w:r w:rsidRPr="0047087C">
        <w:t>Proposed rates vs previous assumptions</w:t>
      </w:r>
      <w:bookmarkEnd w:id="1201"/>
    </w:p>
    <w:p w14:paraId="23E4029A" w14:textId="77777777" w:rsidR="00DA3375" w:rsidRDefault="00DA3375" w:rsidP="00DA3375">
      <w:pPr>
        <w:pStyle w:val="FSRnormal"/>
      </w:pPr>
      <w:r>
        <w:t xml:space="preserve">Taking into account the recommended assumptions (excluding new entrants), the overall rate of participants leaving assumption </w:t>
      </w:r>
      <w:r w:rsidR="003473BF">
        <w:t xml:space="preserve">has </w:t>
      </w:r>
      <w:r>
        <w:t>decrease</w:t>
      </w:r>
      <w:r w:rsidR="003473BF">
        <w:t>d</w:t>
      </w:r>
      <w:r>
        <w:t xml:space="preserve"> from 1.67% to 1.19% </w:t>
      </w:r>
      <w:r w:rsidR="00D067C5">
        <w:t>per annum</w:t>
      </w:r>
      <w:r>
        <w:t>, a reduction of 29%</w:t>
      </w:r>
      <w:r w:rsidR="003473BF">
        <w:t xml:space="preserve">, based on </w:t>
      </w:r>
      <w:r>
        <w:t xml:space="preserve">the participant mix at June 2021. The proposed assumption is broadly consistent with the experience in the September 2021 </w:t>
      </w:r>
      <w:r w:rsidR="00B23988">
        <w:t>and December</w:t>
      </w:r>
      <w:r w:rsidR="00504BEC">
        <w:t xml:space="preserve"> 2021</w:t>
      </w:r>
      <w:r w:rsidR="00B23988">
        <w:t xml:space="preserve"> </w:t>
      </w:r>
      <w:r>
        <w:t>quarter</w:t>
      </w:r>
      <w:r w:rsidR="00B23988">
        <w:t>s</w:t>
      </w:r>
      <w:r>
        <w:t xml:space="preserve">, where the volume of participants </w:t>
      </w:r>
      <w:r w:rsidRPr="00503583">
        <w:t xml:space="preserve">leaving </w:t>
      </w:r>
      <w:r w:rsidRPr="00ED27E8">
        <w:t xml:space="preserve">increased as </w:t>
      </w:r>
      <w:r w:rsidRPr="00503583">
        <w:t>the</w:t>
      </w:r>
      <w:r>
        <w:t xml:space="preserve"> clearing of backlogs progressed.</w:t>
      </w:r>
    </w:p>
    <w:p w14:paraId="7D448E75" w14:textId="77777777" w:rsidR="00DA3375" w:rsidRPr="001A6051" w:rsidRDefault="00DA3375" w:rsidP="00DA3375">
      <w:pPr>
        <w:pStyle w:val="Figures"/>
        <w:rPr>
          <w:i/>
        </w:rPr>
      </w:pPr>
      <w:bookmarkStart w:id="1203" w:name="_Ref114565028"/>
      <w:r>
        <w:lastRenderedPageBreak/>
        <w:t>Figure</w:t>
      </w:r>
      <w:r w:rsidR="000D71B7">
        <w:t xml:space="preserve"> I</w:t>
      </w:r>
      <w:r>
        <w:t>.</w:t>
      </w:r>
      <w:fldSimple w:instr=" SEQ Figure \* ARABIC \s 2 ">
        <w:r w:rsidR="00933D6B">
          <w:rPr>
            <w:noProof/>
          </w:rPr>
          <w:t>3</w:t>
        </w:r>
      </w:fldSimple>
      <w:bookmarkEnd w:id="1203"/>
      <w:r>
        <w:t xml:space="preserve">: </w:t>
      </w:r>
      <w:r w:rsidRPr="00577D5B">
        <w:t>Proposed rate</w:t>
      </w:r>
      <w:r>
        <w:t>s</w:t>
      </w:r>
      <w:r w:rsidRPr="00577D5B">
        <w:t xml:space="preserve"> </w:t>
      </w:r>
      <w:r>
        <w:t xml:space="preserve">of participants leaving the Scheme </w:t>
      </w:r>
      <w:r w:rsidRPr="00577D5B">
        <w:t>(all ages)</w:t>
      </w:r>
    </w:p>
    <w:p w14:paraId="4A1A0767" w14:textId="77777777" w:rsidR="00DA3375" w:rsidRDefault="001B41AC" w:rsidP="00DA3375">
      <w:r>
        <w:rPr>
          <w:noProof/>
          <w:lang w:eastAsia="en-AU"/>
        </w:rPr>
        <w:drawing>
          <wp:inline distT="0" distB="0" distL="0" distR="0" wp14:anchorId="7FF9A2C3" wp14:editId="26E612E5">
            <wp:extent cx="5724000" cy="2542534"/>
            <wp:effectExtent l="0" t="0" r="0" b="0"/>
            <wp:docPr id="454" name="Picture 454" descr="The graph shows quarterly rates of participants leaving the Scheme by calendar quarter from the quarter ended 31/03/2017 to 28/02/2022 for all ages. &#10;Actual quarterly rates are 0.02% in the quarter ended 31/03/2017, 0.70% in the quarter ended 30/06/2017, 1.10% in the quarter ended 30/09/2017, 1.23% in the quarter ended 31/12/2017, 1.13% in the quarter ended 31/03/2018, 1.15% in the quarter ended 30/06/2018, 0.84% in the quarter ended 30/09/2018, 0.90% in the quarter ended 31/12/2018, 0.61% in the quarter ended 31/03/2019, 0.41% in the quarter ended 30/06/2019, 0.31% in the quarter ended 30/09/2019, 0.33% in the quarter ended 31/12/2019, 0.73% in the quarter ended 31/03/2020, 0.59% in the quarter ended 30/06/2020, 0.42% in the quarter ended 30/09/2020, 0.44% in the quarter ended 31/12/2020, 0.74% in the quarter ended 31/03/2021, 0.79% in the quarter ended 30/06/2021, 1.04% in the quarter ended 30/09/2021, 1.28% in the quarter ended 31/12/2021 and 1.72% in the quarter ended 28/02/2022. &#10;Expected rate based on 2021-22 AFSR is 1.19%. &#10;Expected rate based on 2020-21 AFSR is 1.67%. " title="Figure I.3: Proposed rates of participants leaving the Scheme (all 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24000" cy="2542534"/>
                    </a:xfrm>
                    <a:prstGeom prst="rect">
                      <a:avLst/>
                    </a:prstGeom>
                    <a:noFill/>
                  </pic:spPr>
                </pic:pic>
              </a:graphicData>
            </a:graphic>
          </wp:inline>
        </w:drawing>
      </w:r>
    </w:p>
    <w:p w14:paraId="639ADFA5" w14:textId="77777777" w:rsidR="00DA3375" w:rsidRDefault="00FE1796" w:rsidP="00DA3375">
      <w:pPr>
        <w:pStyle w:val="FSRnormal"/>
      </w:pPr>
      <w:r>
        <w:t>Figure I.</w:t>
      </w:r>
      <w:r w:rsidR="00933D6B">
        <w:rPr>
          <w:noProof/>
        </w:rPr>
        <w:t>4</w:t>
      </w:r>
      <w:r w:rsidR="00DA3375">
        <w:t xml:space="preserve"> and</w:t>
      </w:r>
      <w:r w:rsidR="00B11EB8">
        <w:t xml:space="preserve"> </w:t>
      </w:r>
      <w:r>
        <w:t>Figure I.</w:t>
      </w:r>
      <w:r w:rsidR="00933D6B">
        <w:rPr>
          <w:noProof/>
        </w:rPr>
        <w:t>5</w:t>
      </w:r>
      <w:r w:rsidR="00B11EB8">
        <w:t xml:space="preserve"> </w:t>
      </w:r>
      <w:r w:rsidR="00DA3375">
        <w:t xml:space="preserve">show the quarterly experience and overall assumed rates separately for </w:t>
      </w:r>
      <w:r w:rsidR="00B23988">
        <w:t xml:space="preserve">participants aged </w:t>
      </w:r>
      <w:r w:rsidR="00DA3375">
        <w:t xml:space="preserve">0 to 6 year, and those aged 7 and over respectively. The proposed rate for </w:t>
      </w:r>
      <w:r w:rsidR="00B23988">
        <w:t xml:space="preserve">those </w:t>
      </w:r>
      <w:r w:rsidR="00DA3375">
        <w:t>age</w:t>
      </w:r>
      <w:r w:rsidR="00B23988">
        <w:t>d</w:t>
      </w:r>
      <w:r w:rsidR="00DA3375">
        <w:t xml:space="preserve"> 0 to 6 is slightly higher than the September 2021 quarter experience, while that </w:t>
      </w:r>
      <w:r w:rsidR="00C1389E">
        <w:t>for</w:t>
      </w:r>
      <w:r w:rsidR="00DA3375">
        <w:t xml:space="preserve"> age 7 or above is very close to the September 2021 quarter experience. </w:t>
      </w:r>
    </w:p>
    <w:p w14:paraId="4782A5FE" w14:textId="77777777" w:rsidR="00DA3375" w:rsidRPr="00577D5B" w:rsidRDefault="00DA3375" w:rsidP="00DA3375">
      <w:pPr>
        <w:pStyle w:val="Figures"/>
      </w:pPr>
      <w:bookmarkStart w:id="1204" w:name="_Ref114565115"/>
      <w:bookmarkEnd w:id="1202"/>
      <w:r>
        <w:t xml:space="preserve">Figure </w:t>
      </w:r>
      <w:r w:rsidR="000D71B7">
        <w:t>I</w:t>
      </w:r>
      <w:r w:rsidR="00911A3E">
        <w:t>.</w:t>
      </w:r>
      <w:fldSimple w:instr=" SEQ Figure \* ARABIC \s 2 ">
        <w:r w:rsidR="00933D6B">
          <w:rPr>
            <w:noProof/>
          </w:rPr>
          <w:t>4</w:t>
        </w:r>
      </w:fldSimple>
      <w:bookmarkEnd w:id="1204"/>
      <w:r>
        <w:t xml:space="preserve">: </w:t>
      </w:r>
      <w:r w:rsidRPr="00577D5B">
        <w:t xml:space="preserve">Proposed </w:t>
      </w:r>
      <w:r>
        <w:t>r</w:t>
      </w:r>
      <w:r w:rsidRPr="00577D5B">
        <w:t>ate</w:t>
      </w:r>
      <w:r>
        <w:t>s of participants leaving the Scheme (a</w:t>
      </w:r>
      <w:r w:rsidRPr="00577D5B">
        <w:t>ge 0</w:t>
      </w:r>
      <w:r>
        <w:t xml:space="preserve"> to </w:t>
      </w:r>
      <w:r w:rsidRPr="00577D5B">
        <w:t>6)</w:t>
      </w:r>
    </w:p>
    <w:p w14:paraId="7A26CE12" w14:textId="77777777" w:rsidR="00DA3375" w:rsidRDefault="006E2297" w:rsidP="00DA3375">
      <w:r>
        <w:rPr>
          <w:noProof/>
          <w:lang w:eastAsia="en-AU"/>
        </w:rPr>
        <w:drawing>
          <wp:inline distT="0" distB="0" distL="0" distR="0" wp14:anchorId="636F9F00" wp14:editId="4C33AB99">
            <wp:extent cx="5724000" cy="2542534"/>
            <wp:effectExtent l="0" t="0" r="0" b="0"/>
            <wp:docPr id="455" name="Picture 455" descr="The graph shows quarterly rates of participants leaving the Scheme by calendar quarter from the quarter ended 31/03/2017 to 28/02/2022 for age 0 to 6. &#10;Actual quarterly rates are 0.00% in the quarter ended 31/03/2017, 2.29% in the quarter ended 30/06/2017, 2.36% in the quarter ended 30/09/2017, 1.83% in the quarter ended 31/12/2017, 2.31% in the quarter ended 31/03/2018, 2.22% in the quarter ended 30/06/2018, 1.58% in the quarter ended 30/09/2018, 1.20% in the quarter ended 31/12/2018, 0.95% in the quarter ended 31/03/2019, 0.79% in the quarter ended 30/06/2019, 0.48% in the quarter ended 30/09/2019, 0.48% in the quarter ended 31/12/2019, 0.51% in the quarter ended 31/03/2020, 0.33% in the quarter ended 30/06/2020, 0.77% in the quarter ended 30/09/2020, 0.60% in the quarter ended 31/12/2020, 0.67% in the quarter ended 31/03/2021, 0.91% in the quarter ended 30/06/2021, 1.56% in the quarter ended 30/09/2021, 2.19% in the quarter ended 31/12/2021 and 2.56% in the quarter ended 28/02/2022. &#10;Expected rate based on 2021-22 AFSR is 2.29%. &#10;Expected rate based on 2020-21 AFSR is 3.09%. " title="Figure I.4: Proposed rates of participants leaving the Scheme (age 0 to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24000" cy="2542534"/>
                    </a:xfrm>
                    <a:prstGeom prst="rect">
                      <a:avLst/>
                    </a:prstGeom>
                    <a:noFill/>
                  </pic:spPr>
                </pic:pic>
              </a:graphicData>
            </a:graphic>
          </wp:inline>
        </w:drawing>
      </w:r>
    </w:p>
    <w:p w14:paraId="3DBC8FB6" w14:textId="77777777" w:rsidR="00DA3375" w:rsidRPr="00577D5B" w:rsidRDefault="00DA3375" w:rsidP="00DA3375">
      <w:pPr>
        <w:pStyle w:val="Figures"/>
        <w:rPr>
          <w:i/>
        </w:rPr>
      </w:pPr>
      <w:bookmarkStart w:id="1205" w:name="_Ref114565126"/>
      <w:r>
        <w:lastRenderedPageBreak/>
        <w:t xml:space="preserve">Figure </w:t>
      </w:r>
      <w:r w:rsidR="000D71B7">
        <w:t>I</w:t>
      </w:r>
      <w:r w:rsidR="00447AA1">
        <w:t>.</w:t>
      </w:r>
      <w:fldSimple w:instr=" SEQ Figure \* ARABIC \s 2 ">
        <w:r w:rsidR="00933D6B">
          <w:rPr>
            <w:noProof/>
          </w:rPr>
          <w:t>5</w:t>
        </w:r>
      </w:fldSimple>
      <w:bookmarkEnd w:id="1205"/>
      <w:r>
        <w:t>: P</w:t>
      </w:r>
      <w:r w:rsidRPr="00577D5B">
        <w:t xml:space="preserve">roposed </w:t>
      </w:r>
      <w:r>
        <w:t>r</w:t>
      </w:r>
      <w:r w:rsidRPr="00577D5B">
        <w:t>ate</w:t>
      </w:r>
      <w:r>
        <w:t>s of participants leaving the Scheme</w:t>
      </w:r>
      <w:r w:rsidRPr="00E272E4">
        <w:t xml:space="preserve"> </w:t>
      </w:r>
      <w:r w:rsidRPr="00577D5B">
        <w:t>(age 7+)</w:t>
      </w:r>
    </w:p>
    <w:p w14:paraId="05E206AC" w14:textId="77777777" w:rsidR="00DA3375" w:rsidRDefault="00505398" w:rsidP="00DA3375">
      <w:r>
        <w:rPr>
          <w:noProof/>
          <w:lang w:eastAsia="en-AU"/>
        </w:rPr>
        <w:drawing>
          <wp:inline distT="0" distB="0" distL="0" distR="0" wp14:anchorId="754AFC4C" wp14:editId="58BDE924">
            <wp:extent cx="5724000" cy="2582627"/>
            <wp:effectExtent l="0" t="0" r="0" b="8255"/>
            <wp:docPr id="456" name="Picture 456" descr="The graph shows quarterly rates of participants leaving the Scheme by calendar quarter from the quarter ended 31/03/2017 to 28/02/2022 for age 7+. &#10;Actual quarterly rates are 0.03% in the quarter ended 31/03/2017, 0.45% in the quarter ended 30/06/2017, 0.91% in the quarter ended 30/09/2017, 1.15% in the quarter ended 31/12/2017, 0.96% in the quarter ended 31/03/2018, 0.99% in the quarter ended 30/06/2018, 0.72% in the quarter ended 30/09/2018, 0.85% in the quarter ended 31/12/2018, 0.56% in the quarter ended 31/03/2019, 0.36% in the quarter ended 30/06/2019, 0.28% in the quarter ended 30/09/2019, 0.30% in the quarter ended 31/12/2019, 0.76% in the quarter ended 31/03/2020, 0.64% in the quarter ended 30/06/2020, 0.36% in the quarter ended 30/09/2020, 0.41% in the quarter ended 31/12/2020, 0.75% in the quarter ended 31/03/2021, 0.76% in the quarter ended 30/06/2021, 0.95% in the quarter ended 30/09/2021, 1.11% in the quarter ended 31/12/2021 and 1.57% in the quarter ended 28/02/2022. &#10;Expected rate based on 2021-22 AFSR is 0.99%. &#10;Expected rate based on 2020-21 AFSR is 1.41%. " title="Figure I.5: Proposed rates of participants leaving the Scheme (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24000" cy="2582627"/>
                    </a:xfrm>
                    <a:prstGeom prst="rect">
                      <a:avLst/>
                    </a:prstGeom>
                    <a:noFill/>
                  </pic:spPr>
                </pic:pic>
              </a:graphicData>
            </a:graphic>
          </wp:inline>
        </w:drawing>
      </w:r>
    </w:p>
    <w:p w14:paraId="4B26A7E3" w14:textId="77777777" w:rsidR="00DA3375" w:rsidRDefault="00DA3375" w:rsidP="00DA3375">
      <w:pPr>
        <w:pStyle w:val="FSRnormal"/>
      </w:pPr>
      <w:r>
        <w:t>The increase in actual rate of participants leaving the Scheme in the September 2021 quarter for age 0 to 6 is more significant than that f</w:t>
      </w:r>
      <w:r w:rsidR="003A5DF8">
        <w:t>or</w:t>
      </w:r>
      <w:r>
        <w:t xml:space="preserve"> age 7 and above. This is because the overall increase is driven largely by ERs which have been conducted for participants who met access requirements for early intervention. </w:t>
      </w:r>
    </w:p>
    <w:p w14:paraId="25037A2C" w14:textId="77777777" w:rsidR="0069361D" w:rsidRDefault="00C87EF3" w:rsidP="00DA3375">
      <w:pPr>
        <w:pStyle w:val="FSRHeading4"/>
      </w:pPr>
      <w:bookmarkStart w:id="1206" w:name="_Toc104291126"/>
      <w:r>
        <w:t>Discussion of e</w:t>
      </w:r>
      <w:r w:rsidR="00DA3375" w:rsidRPr="00672263">
        <w:t>xperience subsequent to September 2021</w:t>
      </w:r>
      <w:bookmarkEnd w:id="1206"/>
    </w:p>
    <w:p w14:paraId="1172A123" w14:textId="77777777" w:rsidR="00DA3375" w:rsidRDefault="00DA3375" w:rsidP="00DA3375">
      <w:pPr>
        <w:pStyle w:val="FSRnormal"/>
      </w:pPr>
      <w:r>
        <w:t>This section reviews the five months of additional experience</w:t>
      </w:r>
      <w:r w:rsidR="00466F94">
        <w:t xml:space="preserve"> to 28 February 2022</w:t>
      </w:r>
      <w:r>
        <w:t xml:space="preserve">, since completion of the preliminary recommendations based on experience to 30 September 2021 and assesses the soundness of these recommendations relative to the </w:t>
      </w:r>
      <w:r w:rsidR="00A208A4">
        <w:t xml:space="preserve">more </w:t>
      </w:r>
      <w:r>
        <w:t>recent experience.</w:t>
      </w:r>
    </w:p>
    <w:p w14:paraId="759C6333" w14:textId="77777777" w:rsidR="00DA3375" w:rsidRDefault="00DA3375" w:rsidP="00DA3375">
      <w:pPr>
        <w:pStyle w:val="FSRnormal"/>
      </w:pPr>
      <w:r>
        <w:t xml:space="preserve">Actual rates of participants leaving the Scheme have increased materially since September 2021. </w:t>
      </w:r>
      <w:r w:rsidR="00FE1796">
        <w:t xml:space="preserve">Figure </w:t>
      </w:r>
      <w:r w:rsidR="00FE1796">
        <w:rPr>
          <w:noProof/>
        </w:rPr>
        <w:t>I</w:t>
      </w:r>
      <w:r w:rsidR="00FE1796">
        <w:t>.</w:t>
      </w:r>
      <w:r w:rsidR="00865888">
        <w:rPr>
          <w:noProof/>
        </w:rPr>
        <w:t>6</w:t>
      </w:r>
      <w:r>
        <w:t xml:space="preserve"> sets out quarterly actual rates of participants leaving up to February 2022 and compares this with the long</w:t>
      </w:r>
      <w:r w:rsidR="00040594">
        <w:t>-</w:t>
      </w:r>
      <w:r>
        <w:t>term assumption in the 2020-21 AFSR based on the average participant mix for the year to 30 June 2021 (</w:t>
      </w:r>
      <w:r w:rsidR="00B72386">
        <w:t>dotted</w:t>
      </w:r>
      <w:r w:rsidR="00F159F3">
        <w:t xml:space="preserve"> orange</w:t>
      </w:r>
      <w:r w:rsidR="00B72386">
        <w:t xml:space="preserve"> </w:t>
      </w:r>
      <w:r>
        <w:t>line) as well as the rate</w:t>
      </w:r>
      <w:r w:rsidR="003A5DF8">
        <w:t xml:space="preserve"> adopted at</w:t>
      </w:r>
      <w:r>
        <w:t xml:space="preserve"> this review based on the </w:t>
      </w:r>
      <w:r w:rsidR="003A5DF8">
        <w:t xml:space="preserve">same </w:t>
      </w:r>
      <w:r>
        <w:t>average participant mix (</w:t>
      </w:r>
      <w:r w:rsidR="00B72386">
        <w:t>solid</w:t>
      </w:r>
      <w:r w:rsidR="00F159F3">
        <w:t xml:space="preserve"> orange</w:t>
      </w:r>
      <w:r>
        <w:t xml:space="preserve"> line). </w:t>
      </w:r>
    </w:p>
    <w:p w14:paraId="0B96912B" w14:textId="77777777" w:rsidR="00DA3375" w:rsidRDefault="00DA3375" w:rsidP="00DA3375">
      <w:pPr>
        <w:pStyle w:val="FSRnormal"/>
      </w:pPr>
      <w:r>
        <w:t>There was a moderate increase in rate of participants leaving from 1.04%</w:t>
      </w:r>
      <w:r w:rsidR="00504BEC">
        <w:t xml:space="preserve"> </w:t>
      </w:r>
      <w:r w:rsidR="00D067C5">
        <w:t>per annum</w:t>
      </w:r>
      <w:r>
        <w:t xml:space="preserve"> to 1.28%</w:t>
      </w:r>
      <w:r w:rsidR="00504BEC">
        <w:t xml:space="preserve"> </w:t>
      </w:r>
      <w:r w:rsidR="00D067C5">
        <w:t>per annum</w:t>
      </w:r>
      <w:r>
        <w:t xml:space="preserve"> over the December 2021 quarter, with further increase over the next two months to 1.72%</w:t>
      </w:r>
      <w:r w:rsidR="00504BEC">
        <w:t xml:space="preserve"> </w:t>
      </w:r>
      <w:r w:rsidR="00D067C5">
        <w:t>per annum.</w:t>
      </w:r>
      <w:r>
        <w:t xml:space="preserve"> </w:t>
      </w:r>
    </w:p>
    <w:p w14:paraId="2A4BD8FE" w14:textId="77777777" w:rsidR="00DA3375" w:rsidRDefault="00DA3375" w:rsidP="00DA3375">
      <w:pPr>
        <w:pStyle w:val="Figures"/>
      </w:pPr>
      <w:bookmarkStart w:id="1207" w:name="_Ref114565285"/>
      <w:bookmarkStart w:id="1208" w:name="_Ref104291443"/>
      <w:r>
        <w:lastRenderedPageBreak/>
        <w:t>Figure</w:t>
      </w:r>
      <w:r w:rsidR="000D71B7">
        <w:t xml:space="preserve"> I</w:t>
      </w:r>
      <w:r w:rsidR="00911A3E">
        <w:t>.</w:t>
      </w:r>
      <w:fldSimple w:instr=" SEQ Figure \* ARABIC \s 2 ">
        <w:r w:rsidR="00865888">
          <w:rPr>
            <w:noProof/>
          </w:rPr>
          <w:t>6</w:t>
        </w:r>
      </w:fldSimple>
      <w:bookmarkEnd w:id="1207"/>
      <w:r>
        <w:t>:</w:t>
      </w:r>
      <w:bookmarkEnd w:id="1208"/>
      <w:r>
        <w:t xml:space="preserve"> Rates of participants leaving the Scheme up to February 2022 (all ages)</w:t>
      </w:r>
      <w:r>
        <w:rPr>
          <w:rStyle w:val="FootnoteReference"/>
        </w:rPr>
        <w:footnoteReference w:id="159"/>
      </w:r>
    </w:p>
    <w:p w14:paraId="3AD04EDB" w14:textId="77777777" w:rsidR="00DA3375" w:rsidRDefault="00AD3DD5" w:rsidP="00DA3375">
      <w:r>
        <w:rPr>
          <w:noProof/>
          <w:lang w:eastAsia="en-AU"/>
        </w:rPr>
        <w:drawing>
          <wp:inline distT="0" distB="0" distL="0" distR="0" wp14:anchorId="08A5FBE6" wp14:editId="62BD56A8">
            <wp:extent cx="5724000" cy="2585459"/>
            <wp:effectExtent l="0" t="0" r="0" b="5715"/>
            <wp:docPr id="457" name="Picture 457" descr="The graph shows quarterly rates of participants leaving the Scheme by calendar quarter by reason from the quarter ended 31/03/2017 to 28/02/2022 for all ages. &#10;Actual quarterly rates due to participant initiated are 0.01% in the quarter ended 31/03/2017, 0.35% in the quarter ended 30/06/2017, 0.31% in the quarter ended 30/09/2017, 0.41% in the quarter ended 31/12/2017, 0.47% in the quarter ended 31/03/2018, 0.39% in the quarter ended 30/06/2018, 0.36% in the quarter ended 30/09/2018, 0.39% in the quarter ended 31/12/2018, 0.45% in the quarter ended 31/03/2019, 0.36% in the quarter ended 30/06/2019, 0.27% in the quarter ended 30/09/2019, 0.29% in the quarter ended 31/12/2019, 0.28% in the quarter ended 31/03/2020, 0.17% in the quarter ended 30/06/2020, 0.24% in the quarter ended 30/09/2020, 0.28% in the quarter ended 31/12/2020, 0.24% in the quarter ended 31/03/2021, 0.25% in the quarter ended 30/06/2021, 0.24% in the quarter ended 30/09/2021, 0.36% in the quarter ended 31/12/2021 and 0.26% in the quarter ended 28/02/2022. &#10;Actual quarterly rates due to scheme initiated are 0.00% in the quarter ended 31/03/2017, 0.27% in the quarter ended 30/06/2017, 0.69% in the quarter ended 30/09/2017, 0.67% in the quarter ended 31/12/2017, 0.54% in the quarter ended 31/03/2018, 0.65% in the quarter ended 30/06/2018, 0.38% in the quarter ended 30/09/2018, 0.41% in the quarter ended 31/12/2018, 0.10% in the quarter ended 31/03/2019, 0.02% in the quarter ended 30/06/2019, 0.00% in the quarter ended 30/09/2019, 0.00% in the quarter ended 31/12/2019, 0.38% in the quarter ended 31/03/2020, 0.36% in the quarter ended 30/06/2020, 0.14% in the quarter ended 30/09/2020, 0.13% in the quarter ended 31/12/2020, 0.44% in the quarter ended 31/03/2021, 0.49% in the quarter ended 30/06/2021, 0.75% in the quarter ended 30/09/2021, 0.87% in the quarter ended 31/12/2021 and 1.40% in the quarter ended 28/02/2022. &#10;Actual quarterly rates due to not-recorded reasons are 0.02% in the quarter ended 31/03/2017, 0.09% in the quarter ended 30/06/2017, 0.10% in the quarter ended 30/09/2017, 0.14% in the quarter ended 31/12/2017, 0.12% in the quarter ended 31/03/2018, 0.11% in the quarter ended 30/06/2018, 0.10% in the quarter ended 30/09/2018, 0.09% in the quarter ended 31/12/2018, 0.05% in the quarter ended 31/03/2019, 0.04% in the quarter ended 30/06/2019, 0.04% in the quarter ended 30/09/2019, 0.03% in the quarter ended 31/12/2019, 0.06% in the quarter ended 31/03/2020, 0.06% in the quarter ended 30/06/2020, 0.05% in the quarter ended 30/09/2020, 0.03% in the quarter ended 31/12/2020, 0.06% in the quarter ended 31/03/2021, 0.05% in the quarter ended 30/06/2021, 0.05% in the quarter ended 30/09/2021, 0.05% in the quarter ended 31/12/2021 and 0.06% in the quarter ended 28/02/2022. &#10;Expected rate based on 2021-22 AFSR is 1.19%. &#10;Expected rate based on 2020-21 AFSR is 1.67%. " title="Figure I.6: Rates of participants leaving the Scheme up to February 2022 (all 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24000" cy="2585459"/>
                    </a:xfrm>
                    <a:prstGeom prst="rect">
                      <a:avLst/>
                    </a:prstGeom>
                    <a:noFill/>
                  </pic:spPr>
                </pic:pic>
              </a:graphicData>
            </a:graphic>
          </wp:inline>
        </w:drawing>
      </w:r>
    </w:p>
    <w:p w14:paraId="646E0571" w14:textId="77777777" w:rsidR="00DA3375" w:rsidRDefault="003A5DF8" w:rsidP="00DA3375">
      <w:pPr>
        <w:pStyle w:val="FSRnormal"/>
      </w:pPr>
      <w:r>
        <w:t xml:space="preserve">The appropriateness </w:t>
      </w:r>
      <w:r w:rsidR="00DA3375">
        <w:t xml:space="preserve">of the proposed assumptions depends on the extent to which the higher </w:t>
      </w:r>
      <w:r w:rsidR="000D6001">
        <w:t xml:space="preserve">rates </w:t>
      </w:r>
      <w:r w:rsidR="00DA3375">
        <w:t xml:space="preserve">of </w:t>
      </w:r>
      <w:r w:rsidR="000D6001">
        <w:t>participants leaving the Scheme</w:t>
      </w:r>
      <w:r w:rsidR="00DA3375">
        <w:t xml:space="preserve"> in the months since September 2021 are likely to reflect a permanent increase to the underlying rates, or whether they are driven by short</w:t>
      </w:r>
      <w:r w:rsidR="00C74C3B">
        <w:t>-</w:t>
      </w:r>
      <w:r w:rsidR="00DA3375">
        <w:t>term factors.</w:t>
      </w:r>
    </w:p>
    <w:p w14:paraId="6BD3B0BE" w14:textId="77777777" w:rsidR="00DA3375" w:rsidRDefault="00DA3375" w:rsidP="00DA3375">
      <w:pPr>
        <w:pStyle w:val="FSRnormal"/>
      </w:pPr>
      <w:r>
        <w:t xml:space="preserve">Advice </w:t>
      </w:r>
      <w:r w:rsidR="003A5DF8">
        <w:t>provided by N</w:t>
      </w:r>
      <w:r>
        <w:t>ational Access and Review B</w:t>
      </w:r>
      <w:r w:rsidR="00F1427A">
        <w:t>ranch</w:t>
      </w:r>
      <w:r>
        <w:t xml:space="preserve"> (NARB)</w:t>
      </w:r>
      <w:r w:rsidR="006966CA">
        <w:rPr>
          <w:rStyle w:val="FootnoteReference"/>
        </w:rPr>
        <w:footnoteReference w:id="160"/>
      </w:r>
      <w:r>
        <w:t xml:space="preserve"> is that the level of participants leaving the Scheme in the early months of 2022 will not be maintained, based on the following: </w:t>
      </w:r>
    </w:p>
    <w:p w14:paraId="33304A0F" w14:textId="77777777" w:rsidR="00DA3375" w:rsidRDefault="00DA3375" w:rsidP="00DA3375">
      <w:pPr>
        <w:pStyle w:val="FSRlist"/>
      </w:pPr>
      <w:r>
        <w:t>Since Eligibility Reassessments (ERs) were relaunched in March 2020, extra resources have been deployed in clearing the backlogs of scheduled ERs. The rate of progress in working through backlogs has varied with the Agency’s capacity to undertake ERs, which in turn has been impacted by responses to COVID-19 and other high priority initiatives;</w:t>
      </w:r>
    </w:p>
    <w:p w14:paraId="5E95DD9D" w14:textId="77777777" w:rsidR="00DA3375" w:rsidRDefault="00DA3375" w:rsidP="00DA3375">
      <w:pPr>
        <w:pStyle w:val="FSRlist"/>
      </w:pPr>
      <w:r>
        <w:t xml:space="preserve">The increased level of </w:t>
      </w:r>
      <w:r w:rsidR="00325AD7">
        <w:t xml:space="preserve">participants leaving </w:t>
      </w:r>
      <w:r>
        <w:t>in January and February 2022 was primarily a catch-up from a pause in operations over the shutdown period in December 2021; and</w:t>
      </w:r>
    </w:p>
    <w:p w14:paraId="3663CAC5" w14:textId="77777777" w:rsidR="00DA3375" w:rsidRDefault="00DA3375" w:rsidP="00DA3375">
      <w:pPr>
        <w:pStyle w:val="FSRlist"/>
      </w:pPr>
      <w:r>
        <w:t xml:space="preserve">The lower numbers of requests for access received in January and February 2022 has allowed for a greater focus on ERs, leading to an increase in the rate of </w:t>
      </w:r>
      <w:r w:rsidR="00E27904">
        <w:t xml:space="preserve">participants leaving the </w:t>
      </w:r>
      <w:r>
        <w:t>Scheme.</w:t>
      </w:r>
    </w:p>
    <w:p w14:paraId="2D66AF46" w14:textId="77777777" w:rsidR="00DA3375" w:rsidRDefault="00504BEC" w:rsidP="00DA3375">
      <w:pPr>
        <w:pStyle w:val="FSRnormal"/>
      </w:pPr>
      <w:r>
        <w:t>Given</w:t>
      </w:r>
      <w:r w:rsidR="00DA3375">
        <w:t xml:space="preserve"> the various factors with the potential to impact the level of future participants leaving the Scheme, it is </w:t>
      </w:r>
      <w:r w:rsidR="003A5DF8">
        <w:t>considered reasonable</w:t>
      </w:r>
      <w:r w:rsidR="00DA3375">
        <w:t xml:space="preserve"> that the assumptions selected for the 2021-22 </w:t>
      </w:r>
      <w:r w:rsidR="00DA3375">
        <w:lastRenderedPageBreak/>
        <w:t>AFSR are higher than the experience in the 12 months to September 2021 but lower than the ‘spike’ in experience observed in early 2022.</w:t>
      </w:r>
    </w:p>
    <w:p w14:paraId="575EE3C0" w14:textId="77777777" w:rsidR="00DA3375" w:rsidRDefault="00FE1796" w:rsidP="00DA3375">
      <w:pPr>
        <w:pStyle w:val="FSRnormal"/>
      </w:pPr>
      <w:r>
        <w:t xml:space="preserve">Figure </w:t>
      </w:r>
      <w:r>
        <w:rPr>
          <w:noProof/>
        </w:rPr>
        <w:t>I</w:t>
      </w:r>
      <w:r>
        <w:t>.</w:t>
      </w:r>
      <w:r w:rsidR="00D228E6">
        <w:rPr>
          <w:noProof/>
        </w:rPr>
        <w:t>7</w:t>
      </w:r>
      <w:r w:rsidR="00DA3375" w:rsidRPr="00491AEA">
        <w:t xml:space="preserve"> </w:t>
      </w:r>
      <w:r w:rsidR="00DA3375" w:rsidRPr="00DA3F73">
        <w:t xml:space="preserve">and </w:t>
      </w:r>
      <w:r w:rsidRPr="00900E22">
        <w:t xml:space="preserve">Figure </w:t>
      </w:r>
      <w:r>
        <w:t>I.</w:t>
      </w:r>
      <w:r w:rsidR="00D228E6">
        <w:rPr>
          <w:noProof/>
        </w:rPr>
        <w:t>8</w:t>
      </w:r>
      <w:r w:rsidR="00DA3375" w:rsidRPr="00900E22">
        <w:rPr>
          <w:color w:val="ED7D31" w:themeColor="accent2"/>
        </w:rPr>
        <w:t xml:space="preserve"> </w:t>
      </w:r>
      <w:r w:rsidR="00DA3375">
        <w:t xml:space="preserve">show </w:t>
      </w:r>
      <w:r w:rsidR="00D040C3">
        <w:t xml:space="preserve">similar </w:t>
      </w:r>
      <w:r w:rsidR="00DA3375">
        <w:t xml:space="preserve">detail as </w:t>
      </w:r>
      <w:r>
        <w:t>Figure I.</w:t>
      </w:r>
      <w:r w:rsidR="00D228E6">
        <w:rPr>
          <w:noProof/>
        </w:rPr>
        <w:t>6</w:t>
      </w:r>
      <w:r w:rsidR="00DA3375">
        <w:t xml:space="preserve"> above, separated for participants aged 0 to 6 and those aged 7 and over, respectively.</w:t>
      </w:r>
      <w:r w:rsidR="003A5DF8">
        <w:t xml:space="preserve"> T</w:t>
      </w:r>
      <w:r w:rsidR="00DA3375">
        <w:t xml:space="preserve">he experience since September 2021 is </w:t>
      </w:r>
      <w:r w:rsidR="003A5DF8">
        <w:t xml:space="preserve">broadly </w:t>
      </w:r>
      <w:r w:rsidR="00DA3375">
        <w:t>similar for both groups, although the increase attributable to ‘</w:t>
      </w:r>
      <w:r w:rsidR="00267153">
        <w:t>Scheme initiated</w:t>
      </w:r>
      <w:r w:rsidR="00DA3375">
        <w:t>’</w:t>
      </w:r>
      <w:r w:rsidR="00403747">
        <w:t xml:space="preserve"> cases</w:t>
      </w:r>
      <w:r w:rsidR="00DA3375">
        <w:t xml:space="preserve"> for participants aged 7 or above is larger than that for </w:t>
      </w:r>
      <w:r w:rsidR="00D040C3">
        <w:t xml:space="preserve">participants </w:t>
      </w:r>
      <w:r w:rsidR="00DA3375">
        <w:t>age</w:t>
      </w:r>
      <w:r w:rsidR="00D040C3">
        <w:t>d</w:t>
      </w:r>
      <w:r w:rsidR="00DA3375">
        <w:t xml:space="preserve"> 0 to 6. </w:t>
      </w:r>
    </w:p>
    <w:p w14:paraId="6E5415FD" w14:textId="77777777" w:rsidR="00DA3375" w:rsidRDefault="00DA3375" w:rsidP="00DA3375">
      <w:pPr>
        <w:pStyle w:val="Figures"/>
      </w:pPr>
      <w:bookmarkStart w:id="1209" w:name="_Ref99553127"/>
      <w:r>
        <w:t xml:space="preserve">Figure </w:t>
      </w:r>
      <w:r w:rsidR="000D71B7">
        <w:t>I</w:t>
      </w:r>
      <w:r w:rsidR="00911A3E">
        <w:t>.</w:t>
      </w:r>
      <w:fldSimple w:instr=" SEQ Figure \* ARABIC \s 2 ">
        <w:r w:rsidR="001C34BD">
          <w:rPr>
            <w:noProof/>
          </w:rPr>
          <w:t>7</w:t>
        </w:r>
      </w:fldSimple>
      <w:r>
        <w:t>:</w:t>
      </w:r>
      <w:bookmarkEnd w:id="1209"/>
      <w:r>
        <w:t xml:space="preserve"> Rates of participants leaving up to February 2022 (age 0 to 6)</w:t>
      </w:r>
    </w:p>
    <w:p w14:paraId="2ADC7190" w14:textId="77777777" w:rsidR="00DA3375" w:rsidRDefault="00610F4D" w:rsidP="00DA3375">
      <w:r>
        <w:rPr>
          <w:noProof/>
          <w:lang w:eastAsia="en-AU"/>
        </w:rPr>
        <w:drawing>
          <wp:inline distT="0" distB="0" distL="0" distR="0" wp14:anchorId="14B25C67" wp14:editId="198F8814">
            <wp:extent cx="5724000" cy="2582627"/>
            <wp:effectExtent l="0" t="0" r="0" b="8255"/>
            <wp:docPr id="458" name="Picture 458" descr="The graph shows quarterly rates of participants leaving the Scheme by calendar quarter by reason from the quarter ended 31/03/2017 to 28/02/2022 for age 0 to 6. &#10;Actual quarterly rates due to participant initiated are 0.00% in the quarter ended 31/03/2017, 1.31% in the quarter ended 30/06/2017, 0.94% in the quarter ended 30/09/2017, 0.81% in the quarter ended 31/12/2017, 1.15% in the quarter ended 31/03/2018, 0.78% in the quarter ended 30/06/2018, 0.81% in the quarter ended 30/09/2018, 0.55% in the quarter ended 31/12/2018, 0.81% in the quarter ended 31/03/2019, 0.78% in the quarter ended 30/06/2019, 0.45% in the quarter ended 30/09/2019, 0.48% in the quarter ended 31/12/2019, 0.37% in the quarter ended 31/03/2020, 0.22% in the quarter ended 30/06/2020, 0.38% in the quarter ended 30/09/2020, 0.47% in the quarter ended 31/12/2020, 0.37% in the quarter ended 31/03/2021, 0.52% in the quarter ended 30/06/2021, 0.51% in the quarter ended 30/09/2021, 0.75% in the quarter ended 31/12/2021 and 0.62% in the quarter ended 28/02/2022. &#10;Actual quarterly rates due to scheme initiated are 0.00% in the quarter ended 31/03/2017, 0.69% in the quarter ended 30/06/2017, 1.27% in the quarter ended 30/09/2017, 0.97% in the quarter ended 31/12/2017, 0.97% in the quarter ended 31/03/2018, 1.34% in the quarter ended 30/06/2018, 0.63% in the quarter ended 30/09/2018, 0.58% in the quarter ended 31/12/2018, 0.11% in the quarter ended 31/03/2019, 0.01% in the quarter ended 30/06/2019, 0.01% in the quarter ended 30/09/2019, 0.00% in the quarter ended 31/12/2019, 0.13% in the quarter ended 31/03/2020, 0.08% in the quarter ended 30/06/2020, 0.36% in the quarter ended 30/09/2020, 0.12% in the quarter ended 31/12/2020, 0.29% in the quarter ended 31/03/2021, 0.38% in the quarter ended 30/06/2021, 1.02% in the quarter ended 30/09/2021, 1.42% in the quarter ended 31/12/2021 and 1.89% in the quarter ended 28/02/2022. &#10;Actual quarterly rates due to not-recorded reasons are 0.00% in the quarter ended 31/03/2017, 0.29% in the quarter ended 30/06/2017, 0.15% in the quarter ended 30/09/2017, 0.05% in the quarter ended 31/12/2017, 0.18% in the quarter ended 31/03/2018, 0.10% in the quarter ended 30/06/2018, 0.13% in the quarter ended 30/09/2018, 0.06% in the quarter ended 31/12/2018, 0.04% in the quarter ended 31/03/2019, 0.00% in the quarter ended 30/06/2019, 0.02% in the quarter ended 30/09/2019, 0.00% in the quarter ended 31/12/2019, 0.01% in the quarter ended 31/03/2020, 0.03% in the quarter ended 30/06/2020, 0.02% in the quarter ended 30/09/2020, 0.01% in the quarter ended 31/12/2020, 0.02% in the quarter ended 31/03/2021, 0.01% in the quarter ended 30/06/2021, 0.03% in the quarter ended 30/09/2021, 0.03% in the quarter ended 31/12/2021 and 0.05% in the quarter ended 28/02/2022. &#10;Expected rate based on 2021-22 AFSR is 2.29%. &#10;Expected rate based on 2020-21 AFSR is 3.09%. " title="Figure I.7: Rates of participants leaving up to February 2022 (age 0 to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24000" cy="2582627"/>
                    </a:xfrm>
                    <a:prstGeom prst="rect">
                      <a:avLst/>
                    </a:prstGeom>
                    <a:noFill/>
                  </pic:spPr>
                </pic:pic>
              </a:graphicData>
            </a:graphic>
          </wp:inline>
        </w:drawing>
      </w:r>
    </w:p>
    <w:p w14:paraId="65FD7574" w14:textId="77777777" w:rsidR="00DA3375" w:rsidRDefault="00DA3375" w:rsidP="00DA3375">
      <w:pPr>
        <w:pStyle w:val="Figures"/>
      </w:pPr>
      <w:bookmarkStart w:id="1210" w:name="_Ref114565250"/>
      <w:bookmarkStart w:id="1211" w:name="_Ref99553763"/>
      <w:r w:rsidRPr="00900E22">
        <w:t xml:space="preserve">Figure </w:t>
      </w:r>
      <w:r w:rsidR="000D71B7">
        <w:t>I</w:t>
      </w:r>
      <w:r w:rsidR="00911A3E">
        <w:t>.</w:t>
      </w:r>
      <w:fldSimple w:instr=" SEQ Figure \* ARABIC \s 2 ">
        <w:r w:rsidR="001C34BD">
          <w:rPr>
            <w:noProof/>
          </w:rPr>
          <w:t>8</w:t>
        </w:r>
      </w:fldSimple>
      <w:bookmarkEnd w:id="1210"/>
      <w:r>
        <w:t>:</w:t>
      </w:r>
      <w:bookmarkEnd w:id="1211"/>
      <w:r>
        <w:t xml:space="preserve"> </w:t>
      </w:r>
      <w:r w:rsidRPr="00ED27E8">
        <w:t>Rates of participants leaving up to February 2022 (age 7+)</w:t>
      </w:r>
    </w:p>
    <w:p w14:paraId="478FE2AB" w14:textId="77777777" w:rsidR="00DA3375" w:rsidRDefault="004E5370" w:rsidP="00DA3375">
      <w:r>
        <w:rPr>
          <w:noProof/>
          <w:lang w:eastAsia="en-AU"/>
        </w:rPr>
        <w:drawing>
          <wp:inline distT="0" distB="0" distL="0" distR="0" wp14:anchorId="326424A2" wp14:editId="46DE2BA0">
            <wp:extent cx="5724000" cy="2582627"/>
            <wp:effectExtent l="0" t="0" r="0" b="8255"/>
            <wp:docPr id="459" name="Picture 459" descr="The graph shows quarterly rates of participants leaving the Scheme by calendar quarter by reason from the quarter ended 31/03/2017 to 28/02/2022 for age7+. &#10;Actual quarterly rates due to participant initiated are 0.01% in the quarter ended 31/03/2017, 0.19% in the quarter ended 30/06/2017, 0.22% in the quarter ended 30/09/2017, 0.36% in the quarter ended 31/12/2017, 0.37% in the quarter ended 31/03/2018, 0.33% in the quarter ended 30/06/2018, 0.29% in the quarter ended 30/09/2018, 0.37% in the quarter ended 31/12/2018, 0.40% in the quarter ended 31/03/2019, 0.30% in the quarter ended 30/06/2019, 0.24% in the quarter ended 30/09/2019, 0.26% in the quarter ended 31/12/2019, 0.26% in the quarter ended 31/03/2020, 0.16% in the quarter ended 30/06/2020, 0.21% in the quarter ended 30/09/2020, 0.24% in the quarter ended 31/12/2020, 0.22% in the quarter ended 31/03/2021, 0.20% in the quarter ended 30/06/2021, 0.19% in the quarter ended 30/09/2021, 0.29% in the quarter ended 31/12/2021 and 0.19% in the quarter ended 28/02/2022. &#10;Actual quarterly rates due to scheme initiated are 0.00% in the quarter ended 31/03/2017, 0.20% in the quarter ended 30/06/2017, 0.60% in the quarter ended 30/09/2017, 0.63% in the quarter ended 31/12/2017, 0.48% in the quarter ended 31/03/2018, 0.55% in the quarter ended 30/06/2018, 0.34% in the quarter ended 30/09/2018, 0.39% in the quarter ended 31/12/2018, 0.10% in the quarter ended 31/03/2019, 0.02% in the quarter ended 30/06/2019, 0.00% in the quarter ended 30/09/2019, 0.00% in the quarter ended 31/12/2019, 0.43% in the quarter ended 31/03/2020, 0.41% in the quarter ended 30/06/2020, 0.09% in the quarter ended 30/09/2020, 0.13% in the quarter ended 31/12/2020, 0.47% in the quarter ended 31/03/2021, 0.51% in the quarter ended 30/06/2021, 0.70% in the quarter ended 30/09/2021, 0.77% in the quarter ended 31/12/2021 and 1.32% in the quarter ended 28/02/2022. &#10;Actual quarterly rates due to not-recorded reasons are 0.02% in the quarter ended 31/03/2017, 0.05% in the quarter ended 30/06/2017, 0.09% in the quarter ended 30/09/2017, 0.16% in the quarter ended 31/12/2017, 0.11% in the quarter ended 31/03/2018, 0.11% in the quarter ended 30/06/2018, 0.09% in the quarter ended 30/09/2018, 0.10% in the quarter ended 31/12/2018, 0.05% in the quarter ended 31/03/2019, 0.04% in the quarter ended 30/06/2019, 0.04% in the quarter ended 30/09/2019, 0.04% in the quarter ended 31/12/2019, 0.07% in the quarter ended 31/03/2020, 0.06% in the quarter ended 30/06/2020, 0.05% in the quarter ended 30/09/2020, 0.04% in the quarter ended 31/12/2020, 0.07% in the quarter ended 31/03/2021, 0.05% in the quarter ended 30/06/2021, 0.06% in the quarter ended 30/09/2021, 0.06% in the quarter ended 31/12/2021 and 0.06% in the quarter ended 28/02/2022. &#10;Expected rate based on 2021-22 AFSR is 0.99%. &#10;Expected rate based on 2020-21 AFSR is 1.41%. " title="Figure I.8: Rates of participants leaving up to February 2022 (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24000" cy="2582627"/>
                    </a:xfrm>
                    <a:prstGeom prst="rect">
                      <a:avLst/>
                    </a:prstGeom>
                    <a:noFill/>
                  </pic:spPr>
                </pic:pic>
              </a:graphicData>
            </a:graphic>
          </wp:inline>
        </w:drawing>
      </w:r>
    </w:p>
    <w:p w14:paraId="75F799CD" w14:textId="77777777" w:rsidR="001E361A" w:rsidRDefault="001E361A" w:rsidP="00DA3F73">
      <w:pPr>
        <w:pStyle w:val="FSRHeading4"/>
      </w:pPr>
      <w:bookmarkStart w:id="1212" w:name="_Ref97622906"/>
      <w:bookmarkStart w:id="1213" w:name="_Toc104291127"/>
      <w:r w:rsidRPr="001E361A">
        <w:t>Impact of Change</w:t>
      </w:r>
      <w:r w:rsidR="008B7375">
        <w:t>s</w:t>
      </w:r>
      <w:r w:rsidRPr="001E361A">
        <w:t xml:space="preserve"> </w:t>
      </w:r>
      <w:r w:rsidR="001303BC">
        <w:t>to</w:t>
      </w:r>
      <w:r w:rsidRPr="001E361A">
        <w:t xml:space="preserve"> Assumptions</w:t>
      </w:r>
    </w:p>
    <w:bookmarkEnd w:id="1212"/>
    <w:bookmarkEnd w:id="1213"/>
    <w:p w14:paraId="36D44BF4" w14:textId="77777777" w:rsidR="000F4035" w:rsidRDefault="00B11EB8" w:rsidP="00F830E6">
      <w:pPr>
        <w:pStyle w:val="FSRnormal"/>
        <w:rPr>
          <w:rFonts w:eastAsiaTheme="minorHAnsi"/>
          <w:b/>
          <w:bCs/>
          <w:szCs w:val="18"/>
          <w:lang w:eastAsia="en-US"/>
        </w:rPr>
      </w:pPr>
      <w:r>
        <w:t>Table I.</w:t>
      </w:r>
      <w:r>
        <w:rPr>
          <w:noProof/>
        </w:rPr>
        <w:t>7</w:t>
      </w:r>
      <w:r w:rsidR="00DA3375">
        <w:t xml:space="preserve"> show</w:t>
      </w:r>
      <w:r w:rsidR="00D228E6">
        <w:t>s</w:t>
      </w:r>
      <w:r w:rsidR="00DA3375">
        <w:t xml:space="preserve"> the impact of adopting the new assumptions of participants leaving the Scheme on projected participant numbers</w:t>
      </w:r>
      <w:r w:rsidR="003A5DF8">
        <w:t xml:space="preserve"> (with other assumptions based on the 2020-21 AFSR).  It shows</w:t>
      </w:r>
      <w:r w:rsidR="00DA3375">
        <w:t xml:space="preserve"> a small reduction in participant numbers at </w:t>
      </w:r>
      <w:r w:rsidR="00DA1160">
        <w:t xml:space="preserve">June </w:t>
      </w:r>
      <w:r w:rsidR="00DA3375">
        <w:t xml:space="preserve">2023 but increases from </w:t>
      </w:r>
      <w:r w:rsidR="00DA1160">
        <w:t xml:space="preserve">June </w:t>
      </w:r>
      <w:r w:rsidR="00DA3375">
        <w:t xml:space="preserve">2024 onwards. </w:t>
      </w:r>
      <w:bookmarkStart w:id="1214" w:name="_Ref114211517"/>
    </w:p>
    <w:p w14:paraId="09729A7F" w14:textId="77777777" w:rsidR="00DA3375" w:rsidRDefault="00B81B5F" w:rsidP="00DA3F73">
      <w:pPr>
        <w:pStyle w:val="Tables"/>
      </w:pPr>
      <w:r>
        <w:lastRenderedPageBreak/>
        <w:t>Table I</w:t>
      </w:r>
      <w:r w:rsidR="00A87896">
        <w:t>.</w:t>
      </w:r>
      <w:fldSimple w:instr=" SEQ Table \* ARABIC \s 2 ">
        <w:r w:rsidR="00A87896">
          <w:rPr>
            <w:noProof/>
          </w:rPr>
          <w:t>7</w:t>
        </w:r>
      </w:fldSimple>
      <w:r w:rsidR="00033B57">
        <w:t>:</w:t>
      </w:r>
      <w:bookmarkEnd w:id="1214"/>
      <w:r w:rsidR="00DA3375">
        <w:t xml:space="preserve"> </w:t>
      </w:r>
      <w:r w:rsidR="00DA3375" w:rsidRPr="005F450B">
        <w:t>Impact on projected participant number</w:t>
      </w:r>
      <w:r w:rsidR="00AF091C">
        <w:t>s</w:t>
      </w:r>
      <w:r w:rsidR="00DA3375" w:rsidRPr="005F450B">
        <w:t xml:space="preserve"> of </w:t>
      </w:r>
      <w:r w:rsidR="00B622F0">
        <w:t xml:space="preserve">adopting </w:t>
      </w:r>
      <w:r w:rsidR="00DA3375" w:rsidRPr="005F450B">
        <w:t xml:space="preserve">new assumptions </w:t>
      </w:r>
      <w:r w:rsidR="00B622F0">
        <w:t>for</w:t>
      </w:r>
      <w:r w:rsidR="00B622F0" w:rsidRPr="005F450B">
        <w:t xml:space="preserve"> </w:t>
      </w:r>
      <w:r w:rsidR="00DA3375" w:rsidRPr="005F450B">
        <w:t>participants leaving the Scheme</w:t>
      </w:r>
      <w:r w:rsidR="00DA3375" w:rsidRPr="005F450B" w:rsidDel="005F450B">
        <w:t xml:space="preserve"> </w:t>
      </w:r>
    </w:p>
    <w:tbl>
      <w:tblPr>
        <w:tblStyle w:val="FSRtable"/>
        <w:tblW w:w="4947" w:type="pct"/>
        <w:tblInd w:w="0" w:type="dxa"/>
        <w:tblLayout w:type="fixed"/>
        <w:tblLook w:val="04A0" w:firstRow="1" w:lastRow="0" w:firstColumn="1" w:lastColumn="0" w:noHBand="0" w:noVBand="1"/>
      </w:tblPr>
      <w:tblGrid>
        <w:gridCol w:w="3260"/>
        <w:gridCol w:w="1418"/>
        <w:gridCol w:w="1134"/>
        <w:gridCol w:w="1134"/>
        <w:gridCol w:w="993"/>
        <w:gridCol w:w="991"/>
      </w:tblGrid>
      <w:tr w:rsidR="008116E1" w:rsidRPr="00051941" w14:paraId="7A94FA72" w14:textId="77777777" w:rsidTr="008116E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25" w:type="pct"/>
            <w:vMerge w:val="restart"/>
            <w:tcBorders>
              <w:top w:val="nil"/>
            </w:tcBorders>
            <w:noWrap/>
            <w:hideMark/>
          </w:tcPr>
          <w:p w14:paraId="0C9DBF39" w14:textId="77777777" w:rsidR="008116E1" w:rsidRPr="00DA3F73" w:rsidRDefault="008116E1" w:rsidP="008116E1">
            <w:pPr>
              <w:spacing w:after="0" w:line="240" w:lineRule="auto"/>
              <w:rPr>
                <w:rFonts w:eastAsia="Times New Roman"/>
                <w:b w:val="0"/>
                <w:bCs/>
                <w:color w:val="FFFFFF"/>
                <w:sz w:val="18"/>
                <w:szCs w:val="18"/>
                <w:lang w:eastAsia="en-AU"/>
              </w:rPr>
            </w:pPr>
            <w:r w:rsidRPr="00DA3F73">
              <w:rPr>
                <w:rFonts w:eastAsia="Times New Roman"/>
                <w:bCs/>
                <w:color w:val="FFFFFF"/>
                <w:sz w:val="18"/>
                <w:szCs w:val="18"/>
                <w:lang w:eastAsia="en-AU"/>
              </w:rPr>
              <w:t>Impact</w:t>
            </w:r>
          </w:p>
        </w:tc>
        <w:tc>
          <w:tcPr>
            <w:tcW w:w="3175" w:type="pct"/>
            <w:gridSpan w:val="5"/>
            <w:tcBorders>
              <w:bottom w:val="single" w:sz="4" w:space="0" w:color="FFFFFF" w:themeColor="background1"/>
            </w:tcBorders>
            <w:noWrap/>
            <w:hideMark/>
          </w:tcPr>
          <w:p w14:paraId="1ABDB351" w14:textId="77777777" w:rsidR="008116E1" w:rsidRPr="00DA3F73" w:rsidRDefault="008116E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18"/>
                <w:szCs w:val="18"/>
                <w:lang w:eastAsia="en-AU"/>
              </w:rPr>
            </w:pPr>
            <w:r w:rsidRPr="00DA3F73">
              <w:rPr>
                <w:rFonts w:eastAsia="Times New Roman"/>
                <w:bCs/>
                <w:color w:val="FFFFFF"/>
                <w:sz w:val="18"/>
                <w:szCs w:val="18"/>
                <w:lang w:eastAsia="en-AU"/>
              </w:rPr>
              <w:t>Participant</w:t>
            </w:r>
            <w:r>
              <w:rPr>
                <w:rFonts w:eastAsia="Times New Roman"/>
                <w:bCs/>
                <w:color w:val="FFFFFF"/>
                <w:sz w:val="18"/>
                <w:szCs w:val="18"/>
                <w:lang w:eastAsia="en-AU"/>
              </w:rPr>
              <w:t>s</w:t>
            </w:r>
            <w:r w:rsidRPr="00DA3F73">
              <w:rPr>
                <w:rFonts w:eastAsia="Times New Roman"/>
                <w:bCs/>
                <w:color w:val="FFFFFF"/>
                <w:sz w:val="18"/>
                <w:szCs w:val="18"/>
                <w:lang w:eastAsia="en-AU"/>
              </w:rPr>
              <w:t xml:space="preserve"> </w:t>
            </w:r>
            <w:r>
              <w:rPr>
                <w:rFonts w:eastAsia="Times New Roman"/>
                <w:bCs/>
                <w:color w:val="FFFFFF"/>
                <w:sz w:val="18"/>
                <w:szCs w:val="18"/>
                <w:lang w:eastAsia="en-AU"/>
              </w:rPr>
              <w:t>at</w:t>
            </w:r>
            <w:r w:rsidRPr="00DA3F73">
              <w:rPr>
                <w:rFonts w:eastAsia="Times New Roman"/>
                <w:bCs/>
                <w:color w:val="FFFFFF"/>
                <w:sz w:val="18"/>
                <w:szCs w:val="18"/>
                <w:lang w:eastAsia="en-AU"/>
              </w:rPr>
              <w:t xml:space="preserve"> 30 June</w:t>
            </w:r>
          </w:p>
        </w:tc>
      </w:tr>
      <w:tr w:rsidR="008116E1" w:rsidRPr="00051941" w14:paraId="49DB48F7" w14:textId="77777777" w:rsidTr="008116E1">
        <w:trPr>
          <w:trHeight w:val="397"/>
        </w:trPr>
        <w:tc>
          <w:tcPr>
            <w:cnfStyle w:val="001000000000" w:firstRow="0" w:lastRow="0" w:firstColumn="1" w:lastColumn="0" w:oddVBand="0" w:evenVBand="0" w:oddHBand="0" w:evenHBand="0" w:firstRowFirstColumn="0" w:firstRowLastColumn="0" w:lastRowFirstColumn="0" w:lastRowLastColumn="0"/>
            <w:tcW w:w="1825" w:type="pct"/>
            <w:vMerge/>
            <w:tcBorders>
              <w:bottom w:val="nil"/>
            </w:tcBorders>
            <w:shd w:val="clear" w:color="auto" w:fill="6B2976"/>
            <w:noWrap/>
            <w:hideMark/>
          </w:tcPr>
          <w:p w14:paraId="4058E751" w14:textId="77777777" w:rsidR="008116E1" w:rsidRPr="00DA3F73" w:rsidRDefault="008116E1">
            <w:pPr>
              <w:spacing w:after="0" w:line="240" w:lineRule="auto"/>
              <w:rPr>
                <w:rFonts w:eastAsia="Times New Roman" w:cs="Arial"/>
                <w:b/>
                <w:bCs/>
                <w:color w:val="FFFFFF"/>
                <w:sz w:val="18"/>
                <w:szCs w:val="18"/>
                <w:lang w:eastAsia="en-AU"/>
              </w:rPr>
            </w:pPr>
          </w:p>
        </w:tc>
        <w:tc>
          <w:tcPr>
            <w:tcW w:w="794" w:type="pct"/>
            <w:tcBorders>
              <w:top w:val="single" w:sz="4" w:space="0" w:color="FFFFFF" w:themeColor="background1"/>
              <w:bottom w:val="nil"/>
            </w:tcBorders>
            <w:shd w:val="clear" w:color="auto" w:fill="6B2976"/>
            <w:noWrap/>
            <w:hideMark/>
          </w:tcPr>
          <w:p w14:paraId="2DAEEAAA" w14:textId="77777777" w:rsidR="008116E1" w:rsidRPr="00DA3F73" w:rsidRDefault="008116E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sz w:val="18"/>
                <w:szCs w:val="18"/>
                <w:lang w:eastAsia="en-AU"/>
              </w:rPr>
            </w:pPr>
            <w:r w:rsidRPr="00DA3F73">
              <w:rPr>
                <w:rFonts w:eastAsia="Times New Roman" w:cs="Arial"/>
                <w:b/>
                <w:bCs/>
                <w:color w:val="FFFFFF"/>
                <w:sz w:val="18"/>
                <w:szCs w:val="18"/>
                <w:lang w:eastAsia="en-AU"/>
              </w:rPr>
              <w:t>2023</w:t>
            </w:r>
          </w:p>
        </w:tc>
        <w:tc>
          <w:tcPr>
            <w:tcW w:w="635" w:type="pct"/>
            <w:tcBorders>
              <w:top w:val="single" w:sz="4" w:space="0" w:color="FFFFFF" w:themeColor="background1"/>
              <w:bottom w:val="nil"/>
            </w:tcBorders>
            <w:shd w:val="clear" w:color="auto" w:fill="6B2976"/>
            <w:noWrap/>
            <w:hideMark/>
          </w:tcPr>
          <w:p w14:paraId="2A6D463D" w14:textId="77777777" w:rsidR="008116E1" w:rsidRPr="00DA3F73" w:rsidRDefault="008116E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sz w:val="18"/>
                <w:szCs w:val="18"/>
                <w:lang w:eastAsia="en-AU"/>
              </w:rPr>
            </w:pPr>
            <w:r w:rsidRPr="00DA3F73">
              <w:rPr>
                <w:rFonts w:eastAsia="Times New Roman" w:cs="Arial"/>
                <w:b/>
                <w:bCs/>
                <w:color w:val="FFFFFF"/>
                <w:sz w:val="18"/>
                <w:szCs w:val="18"/>
                <w:lang w:eastAsia="en-AU"/>
              </w:rPr>
              <w:t>2024</w:t>
            </w:r>
          </w:p>
        </w:tc>
        <w:tc>
          <w:tcPr>
            <w:tcW w:w="635" w:type="pct"/>
            <w:tcBorders>
              <w:top w:val="single" w:sz="4" w:space="0" w:color="FFFFFF" w:themeColor="background1"/>
              <w:bottom w:val="nil"/>
            </w:tcBorders>
            <w:shd w:val="clear" w:color="auto" w:fill="6B2976"/>
            <w:noWrap/>
            <w:hideMark/>
          </w:tcPr>
          <w:p w14:paraId="3D2C5AC4" w14:textId="77777777" w:rsidR="008116E1" w:rsidRPr="00DA3F73" w:rsidRDefault="008116E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sz w:val="18"/>
                <w:szCs w:val="18"/>
                <w:lang w:eastAsia="en-AU"/>
              </w:rPr>
            </w:pPr>
            <w:r w:rsidRPr="00DA3F73">
              <w:rPr>
                <w:rFonts w:eastAsia="Times New Roman" w:cs="Arial"/>
                <w:b/>
                <w:bCs/>
                <w:color w:val="FFFFFF"/>
                <w:sz w:val="18"/>
                <w:szCs w:val="18"/>
                <w:lang w:eastAsia="en-AU"/>
              </w:rPr>
              <w:t>2025</w:t>
            </w:r>
          </w:p>
        </w:tc>
        <w:tc>
          <w:tcPr>
            <w:tcW w:w="556" w:type="pct"/>
            <w:tcBorders>
              <w:top w:val="single" w:sz="4" w:space="0" w:color="FFFFFF" w:themeColor="background1"/>
              <w:bottom w:val="nil"/>
              <w:right w:val="dashSmallGap" w:sz="4" w:space="0" w:color="auto"/>
            </w:tcBorders>
            <w:shd w:val="clear" w:color="auto" w:fill="6B2976"/>
            <w:noWrap/>
            <w:hideMark/>
          </w:tcPr>
          <w:p w14:paraId="69A2EB6A" w14:textId="77777777" w:rsidR="008116E1" w:rsidRPr="00DA3F73" w:rsidRDefault="008116E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sz w:val="18"/>
                <w:szCs w:val="18"/>
                <w:lang w:eastAsia="en-AU"/>
              </w:rPr>
            </w:pPr>
            <w:r w:rsidRPr="00DA3F73">
              <w:rPr>
                <w:rFonts w:eastAsia="Times New Roman" w:cs="Arial"/>
                <w:b/>
                <w:bCs/>
                <w:color w:val="FFFFFF"/>
                <w:sz w:val="18"/>
                <w:szCs w:val="18"/>
                <w:lang w:eastAsia="en-AU"/>
              </w:rPr>
              <w:t>2026</w:t>
            </w:r>
          </w:p>
        </w:tc>
        <w:tc>
          <w:tcPr>
            <w:tcW w:w="555" w:type="pct"/>
            <w:tcBorders>
              <w:top w:val="single" w:sz="4" w:space="0" w:color="FFFFFF" w:themeColor="background1"/>
              <w:left w:val="dashSmallGap" w:sz="4" w:space="0" w:color="auto"/>
              <w:bottom w:val="nil"/>
            </w:tcBorders>
            <w:shd w:val="clear" w:color="auto" w:fill="6B2976"/>
            <w:noWrap/>
            <w:hideMark/>
          </w:tcPr>
          <w:p w14:paraId="2A2E3606" w14:textId="77777777" w:rsidR="008116E1" w:rsidRPr="00DA3F73" w:rsidRDefault="008116E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color w:val="FFFFFF"/>
                <w:sz w:val="18"/>
                <w:szCs w:val="18"/>
                <w:lang w:eastAsia="en-AU"/>
              </w:rPr>
            </w:pPr>
            <w:r w:rsidRPr="00DA3F73">
              <w:rPr>
                <w:rFonts w:eastAsia="Times New Roman" w:cs="Arial"/>
                <w:b/>
                <w:bCs/>
                <w:color w:val="FFFFFF"/>
                <w:sz w:val="18"/>
                <w:szCs w:val="18"/>
                <w:lang w:eastAsia="en-AU"/>
              </w:rPr>
              <w:t>2032</w:t>
            </w:r>
          </w:p>
        </w:tc>
      </w:tr>
      <w:tr w:rsidR="00F830E6" w:rsidRPr="00051941" w14:paraId="0989EFA1"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tcBorders>
              <w:top w:val="nil"/>
            </w:tcBorders>
            <w:hideMark/>
          </w:tcPr>
          <w:p w14:paraId="7C8AFBD3" w14:textId="77777777" w:rsidR="00051941" w:rsidRPr="00DA3F73" w:rsidRDefault="00051941">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Baseline projection from 2020-21 AFSR</w:t>
            </w:r>
          </w:p>
        </w:tc>
        <w:tc>
          <w:tcPr>
            <w:tcW w:w="0" w:type="pct"/>
            <w:tcBorders>
              <w:top w:val="nil"/>
            </w:tcBorders>
            <w:noWrap/>
            <w:hideMark/>
          </w:tcPr>
          <w:p w14:paraId="7AEBD485" w14:textId="77777777" w:rsidR="00051941" w:rsidRPr="00DA3F73" w:rsidRDefault="0005194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586,433</w:t>
            </w:r>
          </w:p>
        </w:tc>
        <w:tc>
          <w:tcPr>
            <w:tcW w:w="0" w:type="pct"/>
            <w:tcBorders>
              <w:top w:val="nil"/>
            </w:tcBorders>
            <w:noWrap/>
            <w:hideMark/>
          </w:tcPr>
          <w:p w14:paraId="4444F0B8" w14:textId="77777777" w:rsidR="00051941" w:rsidRPr="00DA3F73" w:rsidRDefault="0005194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630,327</w:t>
            </w:r>
          </w:p>
        </w:tc>
        <w:tc>
          <w:tcPr>
            <w:tcW w:w="0" w:type="pct"/>
            <w:tcBorders>
              <w:top w:val="nil"/>
            </w:tcBorders>
            <w:noWrap/>
            <w:hideMark/>
          </w:tcPr>
          <w:p w14:paraId="23D3AD2B" w14:textId="77777777" w:rsidR="00051941" w:rsidRPr="00DA3F73" w:rsidRDefault="0005194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670,400</w:t>
            </w:r>
          </w:p>
        </w:tc>
        <w:tc>
          <w:tcPr>
            <w:tcW w:w="0" w:type="pct"/>
            <w:tcBorders>
              <w:top w:val="nil"/>
              <w:right w:val="dashSmallGap" w:sz="4" w:space="0" w:color="auto"/>
            </w:tcBorders>
            <w:noWrap/>
            <w:hideMark/>
          </w:tcPr>
          <w:p w14:paraId="0AA71ACC" w14:textId="77777777" w:rsidR="00051941" w:rsidRPr="00DA3F73" w:rsidRDefault="0005194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709,645</w:t>
            </w:r>
          </w:p>
        </w:tc>
        <w:tc>
          <w:tcPr>
            <w:tcW w:w="0" w:type="pct"/>
            <w:tcBorders>
              <w:top w:val="nil"/>
              <w:left w:val="dashSmallGap" w:sz="4" w:space="0" w:color="auto"/>
              <w:bottom w:val="nil"/>
            </w:tcBorders>
            <w:noWrap/>
            <w:hideMark/>
          </w:tcPr>
          <w:p w14:paraId="47BBC539" w14:textId="77777777" w:rsidR="00051941" w:rsidRPr="00DA3F73" w:rsidRDefault="0005194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931,591</w:t>
            </w:r>
          </w:p>
        </w:tc>
      </w:tr>
      <w:tr w:rsidR="00F830E6" w:rsidRPr="00051941" w14:paraId="3D3408D6" w14:textId="77777777" w:rsidTr="00F830E6">
        <w:trPr>
          <w:trHeight w:val="301"/>
        </w:trPr>
        <w:tc>
          <w:tcPr>
            <w:cnfStyle w:val="001000000000" w:firstRow="0" w:lastRow="0" w:firstColumn="1" w:lastColumn="0" w:oddVBand="0" w:evenVBand="0" w:oddHBand="0" w:evenHBand="0" w:firstRowFirstColumn="0" w:firstRowLastColumn="0" w:lastRowFirstColumn="0" w:lastRowLastColumn="0"/>
            <w:tcW w:w="0" w:type="pct"/>
            <w:shd w:val="clear" w:color="auto" w:fill="auto"/>
            <w:hideMark/>
          </w:tcPr>
          <w:p w14:paraId="0BBAB7C0" w14:textId="77777777" w:rsidR="00051941" w:rsidRPr="00DA3F73" w:rsidRDefault="00051941">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Change in participant numbers</w:t>
            </w:r>
          </w:p>
        </w:tc>
        <w:tc>
          <w:tcPr>
            <w:tcW w:w="0" w:type="pct"/>
            <w:shd w:val="clear" w:color="auto" w:fill="auto"/>
            <w:noWrap/>
            <w:hideMark/>
          </w:tcPr>
          <w:p w14:paraId="15280670" w14:textId="77777777" w:rsidR="00051941" w:rsidRPr="00DA3F73" w:rsidRDefault="0005194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-631</w:t>
            </w:r>
          </w:p>
        </w:tc>
        <w:tc>
          <w:tcPr>
            <w:tcW w:w="0" w:type="pct"/>
            <w:shd w:val="clear" w:color="auto" w:fill="auto"/>
            <w:noWrap/>
            <w:hideMark/>
          </w:tcPr>
          <w:p w14:paraId="3B8BA751" w14:textId="77777777" w:rsidR="00051941" w:rsidRPr="00DA3F73" w:rsidRDefault="0005194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1,064</w:t>
            </w:r>
          </w:p>
        </w:tc>
        <w:tc>
          <w:tcPr>
            <w:tcW w:w="0" w:type="pct"/>
            <w:shd w:val="clear" w:color="auto" w:fill="auto"/>
            <w:noWrap/>
            <w:hideMark/>
          </w:tcPr>
          <w:p w14:paraId="779EA3D7" w14:textId="77777777" w:rsidR="00051941" w:rsidRPr="00DA3F73" w:rsidRDefault="0005194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5,197</w:t>
            </w:r>
          </w:p>
        </w:tc>
        <w:tc>
          <w:tcPr>
            <w:tcW w:w="0" w:type="pct"/>
            <w:tcBorders>
              <w:right w:val="dashSmallGap" w:sz="4" w:space="0" w:color="auto"/>
            </w:tcBorders>
            <w:shd w:val="clear" w:color="auto" w:fill="auto"/>
            <w:noWrap/>
            <w:hideMark/>
          </w:tcPr>
          <w:p w14:paraId="1C007202" w14:textId="77777777" w:rsidR="00051941" w:rsidRPr="00DA3F73" w:rsidRDefault="0005194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9,095</w:t>
            </w:r>
          </w:p>
        </w:tc>
        <w:tc>
          <w:tcPr>
            <w:tcW w:w="0" w:type="pct"/>
            <w:tcBorders>
              <w:top w:val="nil"/>
              <w:left w:val="dashSmallGap" w:sz="4" w:space="0" w:color="auto"/>
              <w:bottom w:val="single" w:sz="4" w:space="0" w:color="auto"/>
            </w:tcBorders>
            <w:shd w:val="clear" w:color="auto" w:fill="auto"/>
            <w:noWrap/>
            <w:hideMark/>
          </w:tcPr>
          <w:p w14:paraId="582276CA" w14:textId="77777777" w:rsidR="00051941" w:rsidRPr="00DA3F73" w:rsidRDefault="00051941">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33,634</w:t>
            </w:r>
          </w:p>
        </w:tc>
      </w:tr>
      <w:tr w:rsidR="00F830E6" w:rsidRPr="00051941" w14:paraId="1A563D2A" w14:textId="77777777" w:rsidTr="00F830E6">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0" w:type="pct"/>
            <w:hideMark/>
          </w:tcPr>
          <w:p w14:paraId="1043D156" w14:textId="77777777" w:rsidR="00051941" w:rsidRPr="00DA3F73" w:rsidRDefault="00051941">
            <w:pPr>
              <w:spacing w:after="0" w:line="240" w:lineRule="auto"/>
              <w:rPr>
                <w:rFonts w:eastAsia="Times New Roman" w:cs="Arial"/>
                <w:color w:val="000000"/>
                <w:sz w:val="18"/>
                <w:szCs w:val="18"/>
                <w:lang w:eastAsia="en-AU"/>
              </w:rPr>
            </w:pPr>
            <w:r w:rsidRPr="00DA3F73">
              <w:rPr>
                <w:rFonts w:eastAsia="Times New Roman" w:cs="Arial"/>
                <w:color w:val="000000"/>
                <w:sz w:val="18"/>
                <w:szCs w:val="18"/>
                <w:lang w:eastAsia="en-AU"/>
              </w:rPr>
              <w:t>%Change in participant numbers</w:t>
            </w:r>
          </w:p>
        </w:tc>
        <w:tc>
          <w:tcPr>
            <w:tcW w:w="0" w:type="pct"/>
            <w:noWrap/>
            <w:hideMark/>
          </w:tcPr>
          <w:p w14:paraId="14C290AF" w14:textId="77777777" w:rsidR="00051941" w:rsidRPr="00DA3F73" w:rsidRDefault="0005194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-0.1%</w:t>
            </w:r>
          </w:p>
        </w:tc>
        <w:tc>
          <w:tcPr>
            <w:tcW w:w="0" w:type="pct"/>
            <w:noWrap/>
            <w:hideMark/>
          </w:tcPr>
          <w:p w14:paraId="07354525" w14:textId="77777777" w:rsidR="00051941" w:rsidRPr="00DA3F73" w:rsidRDefault="0005194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0.2%</w:t>
            </w:r>
          </w:p>
        </w:tc>
        <w:tc>
          <w:tcPr>
            <w:tcW w:w="0" w:type="pct"/>
            <w:noWrap/>
            <w:hideMark/>
          </w:tcPr>
          <w:p w14:paraId="21AA5F6E" w14:textId="77777777" w:rsidR="00051941" w:rsidRPr="00DA3F73" w:rsidRDefault="0005194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0.8%</w:t>
            </w:r>
          </w:p>
        </w:tc>
        <w:tc>
          <w:tcPr>
            <w:tcW w:w="0" w:type="pct"/>
            <w:noWrap/>
            <w:hideMark/>
          </w:tcPr>
          <w:p w14:paraId="201BC146" w14:textId="77777777" w:rsidR="00051941" w:rsidRPr="00DA3F73" w:rsidRDefault="0005194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1.3%</w:t>
            </w:r>
          </w:p>
        </w:tc>
        <w:tc>
          <w:tcPr>
            <w:tcW w:w="0" w:type="pct"/>
            <w:tcBorders>
              <w:top w:val="single" w:sz="4" w:space="0" w:color="auto"/>
            </w:tcBorders>
            <w:noWrap/>
            <w:hideMark/>
          </w:tcPr>
          <w:p w14:paraId="63D26AC0" w14:textId="77777777" w:rsidR="00051941" w:rsidRPr="00DA3F73" w:rsidRDefault="00051941">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18"/>
                <w:szCs w:val="18"/>
                <w:lang w:eastAsia="en-AU"/>
              </w:rPr>
            </w:pPr>
            <w:r w:rsidRPr="00DA3F73">
              <w:rPr>
                <w:rFonts w:eastAsia="Times New Roman" w:cs="Arial"/>
                <w:color w:val="000000"/>
                <w:sz w:val="18"/>
                <w:szCs w:val="18"/>
                <w:lang w:eastAsia="en-AU"/>
              </w:rPr>
              <w:t>3.6%</w:t>
            </w:r>
          </w:p>
        </w:tc>
      </w:tr>
    </w:tbl>
    <w:p w14:paraId="79753FEF" w14:textId="77777777" w:rsidR="004A5D62" w:rsidRDefault="004A5D62">
      <w:pPr>
        <w:spacing w:after="160" w:line="259" w:lineRule="auto"/>
      </w:pPr>
      <w:r>
        <w:br w:type="page"/>
      </w:r>
    </w:p>
    <w:p w14:paraId="22229F33" w14:textId="77777777" w:rsidR="008B36E6" w:rsidRDefault="004A5D62" w:rsidP="00DA3F73">
      <w:pPr>
        <w:pStyle w:val="Heading2"/>
        <w:numPr>
          <w:ilvl w:val="0"/>
          <w:numId w:val="0"/>
        </w:numPr>
        <w:ind w:left="2835" w:hanging="2835"/>
      </w:pPr>
      <w:bookmarkStart w:id="1215" w:name="_Toc118460233"/>
      <w:r>
        <w:lastRenderedPageBreak/>
        <w:t>Appendix J:</w:t>
      </w:r>
      <w:r>
        <w:tab/>
      </w:r>
      <w:r w:rsidR="00805B82">
        <w:t xml:space="preserve">Analysis of </w:t>
      </w:r>
      <w:r w:rsidR="003A5DF8">
        <w:t xml:space="preserve">Scheme </w:t>
      </w:r>
      <w:r w:rsidR="00805B82">
        <w:t>m</w:t>
      </w:r>
      <w:r>
        <w:t xml:space="preserve">ortality </w:t>
      </w:r>
      <w:r w:rsidR="00805B82">
        <w:t>experience</w:t>
      </w:r>
      <w:bookmarkEnd w:id="1215"/>
    </w:p>
    <w:p w14:paraId="2542263F" w14:textId="77777777" w:rsidR="004A5D62" w:rsidRPr="00754E7D" w:rsidRDefault="004A5D62" w:rsidP="00DA3F73">
      <w:pPr>
        <w:pStyle w:val="FSRHeading4"/>
      </w:pPr>
      <w:bookmarkStart w:id="1216" w:name="_Toc106809767"/>
      <w:r>
        <w:t>Purpose</w:t>
      </w:r>
      <w:bookmarkEnd w:id="1216"/>
    </w:p>
    <w:p w14:paraId="75C1F3A2" w14:textId="77777777" w:rsidR="004A5D62" w:rsidRPr="002A1656" w:rsidRDefault="004A5D62" w:rsidP="00F830E6">
      <w:pPr>
        <w:pStyle w:val="FSRnormal"/>
      </w:pPr>
      <w:r w:rsidRPr="00B62A8A">
        <w:t xml:space="preserve">This appendix sets out the </w:t>
      </w:r>
      <w:r w:rsidR="003A5DF8" w:rsidRPr="00B62A8A">
        <w:t xml:space="preserve">analysis of Scheme </w:t>
      </w:r>
      <w:r w:rsidRPr="00B62A8A">
        <w:t xml:space="preserve">mortality experience </w:t>
      </w:r>
      <w:r w:rsidR="003A5DF8" w:rsidRPr="00F1235C">
        <w:t xml:space="preserve">and the </w:t>
      </w:r>
      <w:r w:rsidRPr="00F1235C">
        <w:t>select</w:t>
      </w:r>
      <w:r w:rsidR="003A5DF8" w:rsidRPr="00F1235C">
        <w:t>ion of mortality</w:t>
      </w:r>
      <w:r w:rsidRPr="00F1235C">
        <w:t xml:space="preserve"> assumptions used in the 2021-22 AFSR projections.</w:t>
      </w:r>
    </w:p>
    <w:p w14:paraId="2CAC8943" w14:textId="77777777" w:rsidR="004A5D62" w:rsidRDefault="004A5D62" w:rsidP="00DA3F73">
      <w:pPr>
        <w:pStyle w:val="FSRnormal"/>
      </w:pPr>
      <w:r>
        <w:t>More specifically, t</w:t>
      </w:r>
      <w:r w:rsidRPr="003A49DA">
        <w:t xml:space="preserve">his </w:t>
      </w:r>
      <w:r w:rsidR="005222B1">
        <w:t>appendix</w:t>
      </w:r>
      <w:r>
        <w:t>:</w:t>
      </w:r>
    </w:p>
    <w:p w14:paraId="721A891B" w14:textId="77777777" w:rsidR="004A5D62" w:rsidRDefault="004A5D62" w:rsidP="00DA3F73">
      <w:pPr>
        <w:pStyle w:val="FSRlist"/>
      </w:pPr>
      <w:r w:rsidRPr="003A49DA">
        <w:t>outlines the data available for analysis as well as the limitations of the data</w:t>
      </w:r>
      <w:r>
        <w:t>;</w:t>
      </w:r>
    </w:p>
    <w:p w14:paraId="7F0AD2BB" w14:textId="77777777" w:rsidR="004A5D62" w:rsidRDefault="004A5D62" w:rsidP="00DA3F73">
      <w:pPr>
        <w:pStyle w:val="FSRlist"/>
      </w:pPr>
      <w:r w:rsidRPr="003A49DA">
        <w:t xml:space="preserve">describes the modelling approach adopted for recalibration of </w:t>
      </w:r>
      <w:r>
        <w:t>mortality</w:t>
      </w:r>
      <w:r w:rsidRPr="003A49DA">
        <w:t xml:space="preserve"> assumptions</w:t>
      </w:r>
      <w:r>
        <w:t>;</w:t>
      </w:r>
    </w:p>
    <w:p w14:paraId="5D434EF0" w14:textId="77777777" w:rsidR="004A5D62" w:rsidRDefault="004A5D62" w:rsidP="00DA3F73">
      <w:pPr>
        <w:pStyle w:val="FSRlist"/>
      </w:pPr>
      <w:r w:rsidRPr="003A49DA">
        <w:t>analyses actual experience against expectations</w:t>
      </w:r>
      <w:r>
        <w:t>;</w:t>
      </w:r>
    </w:p>
    <w:p w14:paraId="7A382287" w14:textId="77777777" w:rsidR="004A5D62" w:rsidRDefault="004A5D62" w:rsidP="00DA3F73">
      <w:pPr>
        <w:pStyle w:val="FSRlist"/>
      </w:pPr>
      <w:r w:rsidRPr="003A49DA">
        <w:t>presents the high-level results from the analysis and modelling</w:t>
      </w:r>
      <w:r>
        <w:t xml:space="preserve">; </w:t>
      </w:r>
    </w:p>
    <w:p w14:paraId="569190F9" w14:textId="77777777" w:rsidR="004A5D62" w:rsidRPr="00F80D19" w:rsidRDefault="004A5D62" w:rsidP="00DA3F73">
      <w:pPr>
        <w:pStyle w:val="FSRnormal"/>
      </w:pPr>
      <w:r>
        <w:t>T</w:t>
      </w:r>
      <w:r w:rsidRPr="00F80D19">
        <w:t>h</w:t>
      </w:r>
      <w:r w:rsidR="00B62A8A">
        <w:t>e</w:t>
      </w:r>
      <w:r w:rsidRPr="00F80D19">
        <w:t xml:space="preserve"> </w:t>
      </w:r>
      <w:r w:rsidR="00E665F8">
        <w:t xml:space="preserve">analysis documented in this </w:t>
      </w:r>
      <w:r>
        <w:t>appendix</w:t>
      </w:r>
      <w:r w:rsidRPr="00F80D19">
        <w:t xml:space="preserve"> will </w:t>
      </w:r>
      <w:r>
        <w:t xml:space="preserve">continue to </w:t>
      </w:r>
      <w:r w:rsidRPr="00F80D19">
        <w:t xml:space="preserve">be updated </w:t>
      </w:r>
      <w:r w:rsidR="00540098">
        <w:t>regularly</w:t>
      </w:r>
      <w:r w:rsidR="0046646B">
        <w:rPr>
          <w:rStyle w:val="FootnoteReference"/>
        </w:rPr>
        <w:footnoteReference w:id="161"/>
      </w:r>
      <w:r w:rsidRPr="00F80D19">
        <w:t xml:space="preserve"> to </w:t>
      </w:r>
      <w:r>
        <w:t>monitor</w:t>
      </w:r>
      <w:r w:rsidRPr="00F80D19">
        <w:t xml:space="preserve"> the </w:t>
      </w:r>
      <w:r>
        <w:t>mortality experience and adopted assumptions for AFSR purposes.</w:t>
      </w:r>
    </w:p>
    <w:p w14:paraId="29738B15" w14:textId="77777777" w:rsidR="004A5D62" w:rsidRDefault="004A5D62" w:rsidP="00DA3F73">
      <w:pPr>
        <w:pStyle w:val="FSRHeading4"/>
      </w:pPr>
      <w:bookmarkStart w:id="1217" w:name="_Toc106809773"/>
      <w:r>
        <w:t>Modelling approach</w:t>
      </w:r>
      <w:bookmarkEnd w:id="1217"/>
    </w:p>
    <w:p w14:paraId="50AB6A50" w14:textId="77777777" w:rsidR="004A5D62" w:rsidRDefault="00305193" w:rsidP="00DA3F73">
      <w:pPr>
        <w:pStyle w:val="FSRnormal"/>
      </w:pPr>
      <w:r>
        <w:t>As was</w:t>
      </w:r>
      <w:r w:rsidR="004A5D62">
        <w:t xml:space="preserve"> the </w:t>
      </w:r>
      <w:r>
        <w:t xml:space="preserve">case with </w:t>
      </w:r>
      <w:r w:rsidR="004A5D62">
        <w:t>previous reviews, a</w:t>
      </w:r>
      <w:r w:rsidR="004A5D62" w:rsidRPr="00EB7344">
        <w:t>n experience</w:t>
      </w:r>
      <w:r w:rsidR="004A5D62" w:rsidRPr="00EB7344">
        <w:noBreakHyphen/>
        <w:t xml:space="preserve">based model is used to project mortality </w:t>
      </w:r>
      <w:r w:rsidR="00983CD6">
        <w:t>of participants in</w:t>
      </w:r>
      <w:r w:rsidR="004A5D62" w:rsidRPr="00EB7344">
        <w:t xml:space="preserve"> the Scheme, drawing on the experience during </w:t>
      </w:r>
      <w:r w:rsidR="00E665F8" w:rsidRPr="00EB7344">
        <w:t>1</w:t>
      </w:r>
      <w:r w:rsidR="00E665F8">
        <w:t>3</w:t>
      </w:r>
      <w:r w:rsidR="00E665F8" w:rsidRPr="00EB7344">
        <w:t xml:space="preserve"> </w:t>
      </w:r>
      <w:r w:rsidR="004A5D62" w:rsidRPr="00EB7344">
        <w:t>months to February 202</w:t>
      </w:r>
      <w:r w:rsidR="004A5D62">
        <w:t>2.</w:t>
      </w:r>
    </w:p>
    <w:p w14:paraId="5B1A560E" w14:textId="77777777" w:rsidR="004A5D62" w:rsidRDefault="004A5D62" w:rsidP="00DA3F73">
      <w:pPr>
        <w:pStyle w:val="FSRnormal"/>
      </w:pPr>
      <w:r w:rsidRPr="004E393F">
        <w:t xml:space="preserve">The initial mortality assumptions outlined in the 2016-17 Annual Financial Sustainability Report (AFSR) were </w:t>
      </w:r>
      <w:r>
        <w:t xml:space="preserve">with reference to </w:t>
      </w:r>
      <w:r w:rsidRPr="004E393F">
        <w:t>epidemiological data, the ABS SDAC</w:t>
      </w:r>
      <w:r w:rsidRPr="004E393F">
        <w:rPr>
          <w:rStyle w:val="FootnoteReference"/>
        </w:rPr>
        <w:footnoteReference w:id="162"/>
      </w:r>
      <w:r w:rsidRPr="004E393F">
        <w:t xml:space="preserve"> and data from the Commonwealth aged care system.</w:t>
      </w:r>
      <w:r>
        <w:t xml:space="preserve"> These assumptions </w:t>
      </w:r>
      <w:r w:rsidR="00B131C7">
        <w:t xml:space="preserve">have been </w:t>
      </w:r>
      <w:r>
        <w:t>updated subsequently at each review based on the actual experience of the Scheme and the level of credibility assigned to the data used.</w:t>
      </w:r>
    </w:p>
    <w:p w14:paraId="1C642C82" w14:textId="77777777" w:rsidR="003E1EEF" w:rsidRDefault="003E1EEF" w:rsidP="00DA3F73">
      <w:pPr>
        <w:pStyle w:val="FSRnormal"/>
      </w:pPr>
      <w:r>
        <w:t xml:space="preserve">The 2020-21 AFSR mortality assumptions were </w:t>
      </w:r>
      <w:r w:rsidR="007503ED">
        <w:t xml:space="preserve">calibrated by </w:t>
      </w:r>
      <w:r w:rsidR="001230F4">
        <w:t xml:space="preserve">taking </w:t>
      </w:r>
      <w:r w:rsidR="00B228B4">
        <w:t xml:space="preserve">standard </w:t>
      </w:r>
      <w:r w:rsidR="00ED5689">
        <w:t>population</w:t>
      </w:r>
      <w:r w:rsidR="001230F4">
        <w:t xml:space="preserve"> mortality rates from</w:t>
      </w:r>
      <w:r w:rsidR="007503ED">
        <w:t xml:space="preserve"> </w:t>
      </w:r>
      <w:r>
        <w:t>the Australian Life Table 201</w:t>
      </w:r>
      <w:r w:rsidR="00915332">
        <w:t>6</w:t>
      </w:r>
      <w:r>
        <w:t>-1</w:t>
      </w:r>
      <w:r w:rsidR="00915332">
        <w:t>8</w:t>
      </w:r>
      <w:r>
        <w:t xml:space="preserve"> (ALT1</w:t>
      </w:r>
      <w:r w:rsidR="00915332">
        <w:t>6</w:t>
      </w:r>
      <w:r>
        <w:t>-1</w:t>
      </w:r>
      <w:r w:rsidR="00915332">
        <w:t>8</w:t>
      </w:r>
      <w:r>
        <w:t>)</w:t>
      </w:r>
      <w:r>
        <w:rPr>
          <w:rStyle w:val="FootnoteReference"/>
        </w:rPr>
        <w:footnoteReference w:id="163"/>
      </w:r>
      <w:r w:rsidR="007048D9">
        <w:t xml:space="preserve"> a</w:t>
      </w:r>
      <w:r w:rsidR="001230F4">
        <w:t>nd using disability</w:t>
      </w:r>
      <w:r w:rsidR="00B14F96">
        <w:t xml:space="preserve"> specific loadings to arrive </w:t>
      </w:r>
      <w:r w:rsidR="008D7B09">
        <w:t xml:space="preserve">at rates </w:t>
      </w:r>
      <w:r w:rsidR="00F90270">
        <w:t>in line with</w:t>
      </w:r>
      <w:r w:rsidR="008D7B09">
        <w:t xml:space="preserve"> future expectations of Scheme experience. The Australian Life Table 2018-20 (ALT18-20)</w:t>
      </w:r>
      <w:r w:rsidR="008D7B09">
        <w:rPr>
          <w:rStyle w:val="FootnoteReference"/>
        </w:rPr>
        <w:footnoteReference w:id="164"/>
      </w:r>
      <w:r w:rsidR="008D7B09">
        <w:t xml:space="preserve"> was published by the Australian Bureau of Statistics in late 2021.</w:t>
      </w:r>
      <w:r w:rsidR="00742F91">
        <w:t xml:space="preserve"> </w:t>
      </w:r>
      <w:r w:rsidR="001A0464">
        <w:t xml:space="preserve">The rates </w:t>
      </w:r>
      <w:r w:rsidR="00103F3D">
        <w:t xml:space="preserve">based on the new ALT18-20 are marginally lower than </w:t>
      </w:r>
      <w:r w:rsidR="00103F3D">
        <w:lastRenderedPageBreak/>
        <w:t>those from ALT1</w:t>
      </w:r>
      <w:r w:rsidR="00915332">
        <w:t>6</w:t>
      </w:r>
      <w:r w:rsidR="00103F3D">
        <w:t>-1</w:t>
      </w:r>
      <w:r w:rsidR="00915332">
        <w:t>8</w:t>
      </w:r>
      <w:r w:rsidR="00103F3D">
        <w:t>, reflecting mortality improvements in the general population over time</w:t>
      </w:r>
      <w:r w:rsidR="006952CF" w:rsidRPr="006952CF">
        <w:t xml:space="preserve"> </w:t>
      </w:r>
      <w:r w:rsidR="006952CF">
        <w:t>because of better public health and advance</w:t>
      </w:r>
      <w:r w:rsidR="00F41DCC">
        <w:t>s</w:t>
      </w:r>
      <w:r w:rsidR="006952CF">
        <w:t xml:space="preserve"> in medical science</w:t>
      </w:r>
      <w:r w:rsidR="00103F3D">
        <w:t xml:space="preserve">. </w:t>
      </w:r>
      <w:r w:rsidR="00F41DCC">
        <w:t>M</w:t>
      </w:r>
      <w:r w:rsidR="00742F91">
        <w:t xml:space="preserve">ortality assumptions </w:t>
      </w:r>
      <w:r w:rsidR="00F41DCC">
        <w:t xml:space="preserve">adopted at this review </w:t>
      </w:r>
      <w:r w:rsidR="00742F91">
        <w:t xml:space="preserve">were </w:t>
      </w:r>
      <w:r w:rsidR="00F41DCC">
        <w:t>based on</w:t>
      </w:r>
      <w:r w:rsidR="00742F91">
        <w:t xml:space="preserve"> the new ALT18-20</w:t>
      </w:r>
      <w:r w:rsidR="00ED5689">
        <w:t>,</w:t>
      </w:r>
      <w:r w:rsidR="00B809A8">
        <w:t xml:space="preserve"> as described below</w:t>
      </w:r>
      <w:r w:rsidR="00742F91">
        <w:t>.</w:t>
      </w:r>
    </w:p>
    <w:p w14:paraId="4A0C2D66" w14:textId="77777777" w:rsidR="004A5D62" w:rsidRPr="00EB7344" w:rsidRDefault="004A5D62" w:rsidP="00DA3F73">
      <w:pPr>
        <w:pStyle w:val="FSRnormal"/>
      </w:pPr>
      <w:r w:rsidRPr="00EB7344">
        <w:t>Separate mortality rate assumptions are selected by primary disability</w:t>
      </w:r>
      <w:r>
        <w:t>,</w:t>
      </w:r>
      <w:r w:rsidRPr="00EB7344">
        <w:t xml:space="preserve"> gender, level of function</w:t>
      </w:r>
      <w:r>
        <w:t xml:space="preserve"> </w:t>
      </w:r>
      <w:r w:rsidRPr="00EB7344">
        <w:t xml:space="preserve">and </w:t>
      </w:r>
      <w:r>
        <w:t xml:space="preserve">age group. The level of function </w:t>
      </w:r>
      <w:r w:rsidR="00F41DCC">
        <w:t xml:space="preserve">grouping used </w:t>
      </w:r>
      <w:r w:rsidR="00B131C7">
        <w:t xml:space="preserve">are </w:t>
      </w:r>
      <w:r>
        <w:t xml:space="preserve">consistent with </w:t>
      </w:r>
      <w:r w:rsidR="00B131C7">
        <w:t xml:space="preserve">those used in the </w:t>
      </w:r>
      <w:r>
        <w:t xml:space="preserve">projection </w:t>
      </w:r>
      <w:r w:rsidR="00B131C7">
        <w:t>of participants</w:t>
      </w:r>
      <w:r>
        <w:t>.</w:t>
      </w:r>
    </w:p>
    <w:p w14:paraId="50368868" w14:textId="77777777" w:rsidR="004A5D62" w:rsidRDefault="00302B42" w:rsidP="004A5D62">
      <w:r>
        <w:t>The</w:t>
      </w:r>
      <w:r w:rsidR="004A5D62" w:rsidRPr="00EB7344">
        <w:t xml:space="preserve"> approach adopted to </w:t>
      </w:r>
      <w:r w:rsidR="00746616">
        <w:t>select</w:t>
      </w:r>
      <w:r w:rsidR="004A5D62" w:rsidRPr="00EB7344">
        <w:t xml:space="preserve"> the mortality assumptions</w:t>
      </w:r>
      <w:r w:rsidR="00746616">
        <w:t xml:space="preserve"> is as follows</w:t>
      </w:r>
      <w:r w:rsidR="004A5D62">
        <w:t>:</w:t>
      </w:r>
    </w:p>
    <w:p w14:paraId="571BDC44" w14:textId="77777777" w:rsidR="004A5D62" w:rsidRDefault="004A5D62" w:rsidP="00DA3F73">
      <w:pPr>
        <w:pStyle w:val="FSRlist"/>
      </w:pPr>
      <w:r>
        <w:t>T</w:t>
      </w:r>
      <w:r w:rsidRPr="00EB7344">
        <w:t xml:space="preserve">he actual versus expected experience (where expected is based on the assumptions adopted in </w:t>
      </w:r>
      <w:r w:rsidR="003D48D5">
        <w:t>the 2020-</w:t>
      </w:r>
      <w:r w:rsidRPr="00EB7344">
        <w:t>21 AFSR) is determined for each primary disability type.</w:t>
      </w:r>
    </w:p>
    <w:p w14:paraId="62DDF86A" w14:textId="77777777" w:rsidR="004A5D62" w:rsidRDefault="004A5D62" w:rsidP="00DA3F73">
      <w:pPr>
        <w:pStyle w:val="FSRlist"/>
      </w:pPr>
      <w:r>
        <w:t xml:space="preserve">The </w:t>
      </w:r>
      <w:r w:rsidR="00AC7FC3">
        <w:t xml:space="preserve">variation between experience and expected mortality rates is measured </w:t>
      </w:r>
      <w:r>
        <w:t xml:space="preserve">and </w:t>
      </w:r>
      <w:r w:rsidRPr="00EB7344">
        <w:t xml:space="preserve">explicitly allowed for in the mortality model through a credibility approach, applied at the </w:t>
      </w:r>
      <w:r>
        <w:t xml:space="preserve">level of </w:t>
      </w:r>
      <w:r w:rsidRPr="00EB7344">
        <w:t>primary disability</w:t>
      </w:r>
      <w:r>
        <w:t>,</w:t>
      </w:r>
      <w:r w:rsidRPr="00EB7344">
        <w:t xml:space="preserve"> </w:t>
      </w:r>
      <w:r>
        <w:t>gender and</w:t>
      </w:r>
      <w:r w:rsidRPr="00EB7344">
        <w:t xml:space="preserve"> </w:t>
      </w:r>
      <w:r>
        <w:t xml:space="preserve">AFSR </w:t>
      </w:r>
      <w:r w:rsidRPr="00EB7344">
        <w:t>level of function</w:t>
      </w:r>
      <w:r w:rsidRPr="00EB7344">
        <w:rPr>
          <w:rStyle w:val="FootnoteReference"/>
        </w:rPr>
        <w:footnoteReference w:id="165"/>
      </w:r>
    </w:p>
    <w:p w14:paraId="788FE0EF" w14:textId="77777777" w:rsidR="0000239B" w:rsidRDefault="004A5D62" w:rsidP="00971A5C">
      <w:pPr>
        <w:pStyle w:val="FSRlist"/>
      </w:pPr>
      <w:r>
        <w:t xml:space="preserve">This impact </w:t>
      </w:r>
      <w:r w:rsidR="00913A9C">
        <w:t xml:space="preserve">of experience variation </w:t>
      </w:r>
      <w:r w:rsidR="00436260">
        <w:t xml:space="preserve">at </w:t>
      </w:r>
      <w:r w:rsidR="000953E4">
        <w:t>disability</w:t>
      </w:r>
      <w:r w:rsidR="00E665F8">
        <w:t>,</w:t>
      </w:r>
      <w:r w:rsidR="000953E4">
        <w:t xml:space="preserve"> gender</w:t>
      </w:r>
      <w:r w:rsidR="00915332">
        <w:t xml:space="preserve"> </w:t>
      </w:r>
      <w:r w:rsidR="00E665F8">
        <w:t>and</w:t>
      </w:r>
      <w:r w:rsidR="000953E4">
        <w:t xml:space="preserve"> level of function level </w:t>
      </w:r>
      <w:r>
        <w:t xml:space="preserve">is </w:t>
      </w:r>
      <w:r w:rsidR="000953E4">
        <w:t>spread across</w:t>
      </w:r>
      <w:r>
        <w:t xml:space="preserve"> age groups </w:t>
      </w:r>
      <w:r w:rsidRPr="00EB7344">
        <w:t xml:space="preserve">based on </w:t>
      </w:r>
      <w:r>
        <w:t>size of the variations</w:t>
      </w:r>
      <w:r w:rsidRPr="00915332">
        <w:rPr>
          <w:rStyle w:val="FootnoteReference"/>
        </w:rPr>
        <w:footnoteReference w:id="166"/>
      </w:r>
      <w:r>
        <w:t xml:space="preserve"> and corresponding participant exposure years</w:t>
      </w:r>
      <w:r w:rsidRPr="00915332">
        <w:rPr>
          <w:rStyle w:val="FootnoteReference"/>
        </w:rPr>
        <w:footnoteReference w:id="167"/>
      </w:r>
      <w:r w:rsidRPr="00EB7344">
        <w:t>.</w:t>
      </w:r>
    </w:p>
    <w:p w14:paraId="42B51647" w14:textId="77777777" w:rsidR="0000239B" w:rsidRDefault="00AC54DB" w:rsidP="0000239B">
      <w:pPr>
        <w:pStyle w:val="FSRlist"/>
        <w:numPr>
          <w:ilvl w:val="0"/>
          <w:numId w:val="0"/>
        </w:numPr>
        <w:ind w:left="720"/>
      </w:pPr>
      <w:r>
        <w:t>Recent experience for groups with more participants and higher mortality rates were given greater weighing</w:t>
      </w:r>
      <w:r w:rsidR="004A5D62" w:rsidRPr="00EB7344">
        <w:t xml:space="preserve"> </w:t>
      </w:r>
      <w:r>
        <w:t xml:space="preserve">when selecting initial mortality rates. </w:t>
      </w:r>
      <w:r w:rsidR="004A5D62" w:rsidRPr="00EB7344">
        <w:t>The</w:t>
      </w:r>
      <w:r w:rsidR="004A5D62">
        <w:t xml:space="preserve"> resulting</w:t>
      </w:r>
      <w:r w:rsidR="004A5D62" w:rsidRPr="00EB7344">
        <w:t xml:space="preserve"> mortality rates </w:t>
      </w:r>
      <w:r w:rsidR="004A5D62">
        <w:t>by age groups from the above steps are</w:t>
      </w:r>
      <w:r w:rsidR="004A5D62" w:rsidRPr="00EB7344">
        <w:t xml:space="preserve"> then smoothed </w:t>
      </w:r>
      <w:r w:rsidR="004A5D62">
        <w:t>(</w:t>
      </w:r>
      <w:r w:rsidR="004A5D62" w:rsidRPr="00EB7344">
        <w:t>and recalibrated, if necessary</w:t>
      </w:r>
      <w:r w:rsidR="004A5D62">
        <w:t>)</w:t>
      </w:r>
      <w:r w:rsidR="004A5D62" w:rsidRPr="00EB7344">
        <w:t xml:space="preserve"> to ensure consistency between age groups, gender and level of function.</w:t>
      </w:r>
    </w:p>
    <w:p w14:paraId="38247989" w14:textId="77777777" w:rsidR="004A5D62" w:rsidRDefault="004A5D62" w:rsidP="00252EAF">
      <w:pPr>
        <w:pStyle w:val="FSRlist"/>
      </w:pPr>
      <w:r>
        <w:t>C</w:t>
      </w:r>
      <w:r w:rsidRPr="00641B08">
        <w:t xml:space="preserve">onsistency checks </w:t>
      </w:r>
      <w:r>
        <w:t>are</w:t>
      </w:r>
      <w:r w:rsidRPr="00641B08">
        <w:t xml:space="preserve"> performed </w:t>
      </w:r>
      <w:r>
        <w:t>and adjustments are made</w:t>
      </w:r>
      <w:r w:rsidRPr="00641B08">
        <w:t xml:space="preserve"> within each </w:t>
      </w:r>
      <w:r>
        <w:t>participant</w:t>
      </w:r>
      <w:r w:rsidRPr="00641B08">
        <w:t xml:space="preserve"> group. For example, mortality rates </w:t>
      </w:r>
      <w:r w:rsidR="006969D2">
        <w:t>are generally</w:t>
      </w:r>
      <w:r w:rsidRPr="00641B08">
        <w:t xml:space="preserve"> expected to increase by level of function for each age, increase by age for adults, and be higher for males compared to females.</w:t>
      </w:r>
      <w:r w:rsidR="00BB647E">
        <w:t xml:space="preserve"> </w:t>
      </w:r>
      <w:r w:rsidR="000A4DF9">
        <w:t xml:space="preserve">Adjustments may be made to </w:t>
      </w:r>
      <w:r w:rsidR="0017388A">
        <w:t xml:space="preserve">ensure the adopted mortality rates </w:t>
      </w:r>
      <w:r w:rsidR="00DC649E">
        <w:t>preserve these broad expectations.</w:t>
      </w:r>
    </w:p>
    <w:p w14:paraId="6A574B24" w14:textId="77777777" w:rsidR="004A5D62" w:rsidRPr="004A5D62" w:rsidRDefault="004A5D62" w:rsidP="00DA3F73">
      <w:pPr>
        <w:pStyle w:val="FSRlist"/>
      </w:pPr>
      <w:r w:rsidRPr="004A5D62">
        <w:t xml:space="preserve">The ratio of the smoothed mortality rates by age groups to those in the previous review are applied to the previous mortality rates by single year of age </w:t>
      </w:r>
      <w:r w:rsidR="00D54828">
        <w:t>to derive</w:t>
      </w:r>
      <w:r w:rsidR="00D54828" w:rsidRPr="004A5D62">
        <w:t xml:space="preserve"> </w:t>
      </w:r>
      <w:r w:rsidRPr="004A5D62">
        <w:t xml:space="preserve">an initial </w:t>
      </w:r>
      <w:r w:rsidR="00D54828">
        <w:t>set of selected</w:t>
      </w:r>
      <w:r w:rsidRPr="004A5D62">
        <w:t xml:space="preserve"> mortality rates.</w:t>
      </w:r>
    </w:p>
    <w:p w14:paraId="31EAA422" w14:textId="77777777" w:rsidR="000D5A30" w:rsidRPr="00915332" w:rsidRDefault="000D5A30" w:rsidP="00DA3F73">
      <w:pPr>
        <w:pStyle w:val="FSRlist"/>
      </w:pPr>
      <w:r w:rsidRPr="00915332">
        <w:t xml:space="preserve">The </w:t>
      </w:r>
      <w:r w:rsidR="00D54828" w:rsidRPr="00915332">
        <w:t>initial selected</w:t>
      </w:r>
      <w:r w:rsidRPr="00915332">
        <w:t xml:space="preserve"> rates are updated </w:t>
      </w:r>
      <w:r w:rsidR="00396791" w:rsidRPr="00915332">
        <w:t>by replacing the base mortality tables from the ALT1</w:t>
      </w:r>
      <w:r w:rsidR="00915332" w:rsidRPr="00252EAF">
        <w:t>6</w:t>
      </w:r>
      <w:r w:rsidR="00396791" w:rsidRPr="00915332">
        <w:t>-1</w:t>
      </w:r>
      <w:r w:rsidR="00915332" w:rsidRPr="00252EAF">
        <w:t>8</w:t>
      </w:r>
      <w:r w:rsidR="00396791" w:rsidRPr="00915332">
        <w:t xml:space="preserve"> to those from the ALT18-20. </w:t>
      </w:r>
    </w:p>
    <w:p w14:paraId="11A77017" w14:textId="77777777" w:rsidR="004A5D62" w:rsidRPr="004A5D62" w:rsidRDefault="004A5D62" w:rsidP="00DA3F73">
      <w:pPr>
        <w:pStyle w:val="FSRlist"/>
      </w:pPr>
      <w:r w:rsidRPr="004A5D62">
        <w:lastRenderedPageBreak/>
        <w:t>These initial estimates are then smoothed and fine-tuned using a number of methods, including cubic smoothing of divided differences across age and moving averages across age.</w:t>
      </w:r>
    </w:p>
    <w:p w14:paraId="5F83DD9F" w14:textId="77777777" w:rsidR="004A5D62" w:rsidRPr="004A5D62" w:rsidRDefault="0017750C" w:rsidP="00252EAF">
      <w:pPr>
        <w:pStyle w:val="FSRlist"/>
      </w:pPr>
      <w:r>
        <w:t>Further c</w:t>
      </w:r>
      <w:r w:rsidR="004A5D62" w:rsidRPr="004A5D62">
        <w:t xml:space="preserve">onsistency checks and adjustments are </w:t>
      </w:r>
      <w:r>
        <w:t>applied</w:t>
      </w:r>
      <w:r w:rsidRPr="004A5D62">
        <w:t xml:space="preserve"> </w:t>
      </w:r>
      <w:r w:rsidR="004A5D62" w:rsidRPr="004A5D62">
        <w:t xml:space="preserve">again after smoothing, but at the single year of age instead of age groups. </w:t>
      </w:r>
    </w:p>
    <w:p w14:paraId="60DA1099" w14:textId="77777777" w:rsidR="004A5D62" w:rsidRPr="005E3F51" w:rsidRDefault="004A5D62" w:rsidP="00DA3F73">
      <w:pPr>
        <w:pStyle w:val="FSRHeading4"/>
      </w:pPr>
      <w:bookmarkStart w:id="1218" w:name="_Ref28078296"/>
      <w:bookmarkStart w:id="1219" w:name="_Toc106809774"/>
      <w:r w:rsidRPr="005E3F51">
        <w:t>Analysis</w:t>
      </w:r>
      <w:bookmarkEnd w:id="1218"/>
      <w:bookmarkEnd w:id="1219"/>
      <w:r w:rsidRPr="005E3F51">
        <w:t xml:space="preserve"> </w:t>
      </w:r>
      <w:r w:rsidR="00EB630E">
        <w:t>of Recent Experience</w:t>
      </w:r>
    </w:p>
    <w:p w14:paraId="28BBB6BE" w14:textId="77777777" w:rsidR="00512A4E" w:rsidRDefault="004A5D62" w:rsidP="005B15D1">
      <w:pPr>
        <w:pStyle w:val="FSRnormal"/>
      </w:pPr>
      <w:r>
        <w:t xml:space="preserve">This section presents </w:t>
      </w:r>
      <w:r w:rsidR="004D2F7D">
        <w:t>actual and expected mortality rates</w:t>
      </w:r>
      <w:r>
        <w:t xml:space="preserve"> by </w:t>
      </w:r>
      <w:r w:rsidR="004D2F7D">
        <w:t xml:space="preserve">the </w:t>
      </w:r>
      <w:r>
        <w:t>participant characteristics model</w:t>
      </w:r>
      <w:r w:rsidR="004D2F7D">
        <w:t>led in the AFSR</w:t>
      </w:r>
      <w:r>
        <w:t xml:space="preserve">. </w:t>
      </w:r>
      <w:r w:rsidR="007B72B5">
        <w:t xml:space="preserve">The expected </w:t>
      </w:r>
      <w:r w:rsidR="00DE0227">
        <w:t xml:space="preserve">mortality rates are based on those from the 2020-21 AFSR for all years analysed, noting that the </w:t>
      </w:r>
      <w:r w:rsidR="00781D55">
        <w:t xml:space="preserve">expected rates vary over time due to changes in the mix of participants. </w:t>
      </w:r>
    </w:p>
    <w:p w14:paraId="445E65D9" w14:textId="77777777" w:rsidR="004A5D62" w:rsidRDefault="004A5D62" w:rsidP="00DA3F73">
      <w:pPr>
        <w:pStyle w:val="FSRnormal"/>
      </w:pPr>
      <w:r>
        <w:t>Overall</w:t>
      </w:r>
      <w:r w:rsidR="004D2F7D">
        <w:t>, the</w:t>
      </w:r>
      <w:r>
        <w:t xml:space="preserve"> actual mortality rate decreased by 0.05% from 0.99% (expected: 0.95%) in 2020 to 0.94% (expected: 0.93%) in 2021; predominantly driven by mortality improvement for male participants aged 45 to 64</w:t>
      </w:r>
      <w:r w:rsidR="00D560A9">
        <w:t>,</w:t>
      </w:r>
      <w:r>
        <w:t xml:space="preserve"> especially those with medium and low level</w:t>
      </w:r>
      <w:r w:rsidR="00D560A9">
        <w:t>s</w:t>
      </w:r>
      <w:r>
        <w:t xml:space="preserve"> of function.</w:t>
      </w:r>
    </w:p>
    <w:p w14:paraId="747612F7" w14:textId="77777777" w:rsidR="004A5D62" w:rsidRDefault="003822F3" w:rsidP="00EE1402">
      <w:pPr>
        <w:pStyle w:val="FSRnormal"/>
      </w:pPr>
      <w:r>
        <w:t>As noted</w:t>
      </w:r>
      <w:r w:rsidR="00092F77">
        <w:t xml:space="preserve"> above, the expected rates vary between years due to changes in participant mix</w:t>
      </w:r>
      <w:r w:rsidR="00993F3D">
        <w:t>,</w:t>
      </w:r>
      <w:r w:rsidR="00092F77">
        <w:t xml:space="preserve"> although the </w:t>
      </w:r>
      <w:r w:rsidR="004D65F1">
        <w:t xml:space="preserve">differences are generally </w:t>
      </w:r>
      <w:r w:rsidR="00EE1402">
        <w:t>minor</w:t>
      </w:r>
      <w:r w:rsidR="004D65F1">
        <w:t>.</w:t>
      </w:r>
      <w:r w:rsidR="009B00D5">
        <w:t xml:space="preserve"> A higher degree of variability in experience from expected was observed for small</w:t>
      </w:r>
      <w:r w:rsidR="00993F3D">
        <w:t xml:space="preserve"> participant cohorts.</w:t>
      </w:r>
      <w:r w:rsidR="00EE1402" w:rsidDel="00EE1402">
        <w:t xml:space="preserve"> </w:t>
      </w:r>
    </w:p>
    <w:p w14:paraId="70C28577" w14:textId="77777777" w:rsidR="00873FDC" w:rsidRDefault="00A35224" w:rsidP="00A35224">
      <w:pPr>
        <w:sectPr w:rsidR="00873FDC" w:rsidSect="008B3C25">
          <w:footerReference w:type="default" r:id="rId94"/>
          <w:pgSz w:w="11906" w:h="16838"/>
          <w:pgMar w:top="1440" w:right="1440" w:bottom="1440" w:left="1440" w:header="708" w:footer="708" w:gutter="0"/>
          <w:cols w:space="708"/>
          <w:docGrid w:linePitch="360"/>
        </w:sectPr>
      </w:pPr>
      <w:r>
        <w:t xml:space="preserve">The tables and charts </w:t>
      </w:r>
      <w:r w:rsidR="00DC09AE">
        <w:t xml:space="preserve">in the sections </w:t>
      </w:r>
      <w:r>
        <w:t xml:space="preserve">below show actual and expected mortality rates by calendar year and by </w:t>
      </w:r>
      <w:r w:rsidR="00DC09AE">
        <w:t>each participant characteristic analysed.</w:t>
      </w:r>
      <w:r w:rsidR="004D2F7D">
        <w:rPr>
          <w:rStyle w:val="FootnoteReference"/>
        </w:rPr>
        <w:footnoteReference w:id="168"/>
      </w:r>
    </w:p>
    <w:p w14:paraId="71870A42" w14:textId="77777777" w:rsidR="004A5D62" w:rsidRDefault="004A5D62" w:rsidP="00DA3F73">
      <w:pPr>
        <w:pStyle w:val="FSRHeading6"/>
      </w:pPr>
      <w:bookmarkStart w:id="1220" w:name="_Toc106809775"/>
      <w:r w:rsidRPr="00DA3F73">
        <w:lastRenderedPageBreak/>
        <w:t>Age group</w:t>
      </w:r>
      <w:bookmarkEnd w:id="1220"/>
    </w:p>
    <w:p w14:paraId="64A172B2" w14:textId="77777777" w:rsidR="004A5D62" w:rsidRDefault="004A5D62" w:rsidP="00DA3F73">
      <w:pPr>
        <w:pStyle w:val="Tables"/>
      </w:pPr>
      <w:r w:rsidRPr="007A7686">
        <w:t>Table</w:t>
      </w:r>
      <w:r>
        <w:t xml:space="preserve"> J</w:t>
      </w:r>
      <w:r w:rsidR="00A87896">
        <w:t>.</w:t>
      </w:r>
      <w:fldSimple w:instr=" SEQ Table \* ARABIC \s 2 ">
        <w:r w:rsidR="00A87896">
          <w:rPr>
            <w:noProof/>
          </w:rPr>
          <w:t>1</w:t>
        </w:r>
      </w:fldSimple>
      <w:r>
        <w:t>:</w:t>
      </w:r>
      <w:r w:rsidRPr="007A7686">
        <w:t xml:space="preserve"> </w:t>
      </w:r>
      <w:r w:rsidRPr="00895D00">
        <w:t>Actual vs expected mortality rates by age group</w:t>
      </w:r>
    </w:p>
    <w:tbl>
      <w:tblPr>
        <w:tblW w:w="0" w:type="auto"/>
        <w:tblLook w:val="04A0" w:firstRow="1" w:lastRow="0" w:firstColumn="1" w:lastColumn="0" w:noHBand="0" w:noVBand="1"/>
      </w:tblPr>
      <w:tblGrid>
        <w:gridCol w:w="917"/>
        <w:gridCol w:w="1167"/>
        <w:gridCol w:w="1167"/>
        <w:gridCol w:w="1167"/>
        <w:gridCol w:w="1167"/>
        <w:gridCol w:w="1167"/>
        <w:gridCol w:w="1157"/>
        <w:gridCol w:w="827"/>
      </w:tblGrid>
      <w:tr w:rsidR="003B7C93" w:rsidRPr="008116E1" w14:paraId="52D7BFAB" w14:textId="77777777" w:rsidTr="00F830E6">
        <w:trPr>
          <w:trHeight w:val="397"/>
        </w:trPr>
        <w:tc>
          <w:tcPr>
            <w:tcW w:w="0" w:type="auto"/>
            <w:vMerge w:val="restart"/>
            <w:tcBorders>
              <w:top w:val="nil"/>
              <w:left w:val="nil"/>
              <w:bottom w:val="nil"/>
              <w:right w:val="nil"/>
            </w:tcBorders>
            <w:shd w:val="clear" w:color="000000" w:fill="6B2976"/>
            <w:noWrap/>
            <w:vAlign w:val="center"/>
            <w:hideMark/>
          </w:tcPr>
          <w:p w14:paraId="20BA0616" w14:textId="77777777" w:rsidR="003B7C93" w:rsidRPr="00F830E6" w:rsidRDefault="003B7C93" w:rsidP="00F830E6">
            <w:pPr>
              <w:spacing w:after="0" w:line="240" w:lineRule="auto"/>
              <w:rPr>
                <w:rFonts w:eastAsia="Times New Roman" w:cs="Arial"/>
                <w:b/>
                <w:bCs/>
                <w:color w:val="FFFFFF"/>
                <w:sz w:val="18"/>
                <w:szCs w:val="18"/>
                <w:lang w:eastAsia="zh-CN"/>
              </w:rPr>
            </w:pPr>
            <w:r w:rsidRPr="00F830E6">
              <w:rPr>
                <w:rFonts w:eastAsia="Times New Roman" w:cs="Arial"/>
                <w:b/>
                <w:bCs/>
                <w:color w:val="FFFFFF"/>
                <w:sz w:val="18"/>
                <w:szCs w:val="18"/>
                <w:lang w:eastAsia="zh-CN"/>
              </w:rPr>
              <w:t>Age</w:t>
            </w:r>
          </w:p>
        </w:tc>
        <w:tc>
          <w:tcPr>
            <w:tcW w:w="0" w:type="auto"/>
            <w:gridSpan w:val="7"/>
            <w:tcBorders>
              <w:top w:val="nil"/>
              <w:left w:val="nil"/>
              <w:bottom w:val="single" w:sz="4" w:space="0" w:color="FFFFFF"/>
              <w:right w:val="nil"/>
            </w:tcBorders>
            <w:shd w:val="clear" w:color="000000" w:fill="6B2976"/>
            <w:vAlign w:val="center"/>
            <w:hideMark/>
          </w:tcPr>
          <w:p w14:paraId="1B88314B" w14:textId="77777777" w:rsidR="003B7C93" w:rsidRPr="00F830E6" w:rsidRDefault="003B7C93" w:rsidP="008116E1">
            <w:pPr>
              <w:spacing w:after="0" w:line="240" w:lineRule="auto"/>
              <w:jc w:val="center"/>
              <w:rPr>
                <w:rFonts w:eastAsia="Times New Roman" w:cs="Arial"/>
                <w:b/>
                <w:bCs/>
                <w:color w:val="FFFFFF"/>
                <w:sz w:val="18"/>
                <w:szCs w:val="18"/>
                <w:lang w:eastAsia="zh-CN"/>
              </w:rPr>
            </w:pPr>
            <w:r w:rsidRPr="00F830E6">
              <w:rPr>
                <w:rFonts w:eastAsia="Times New Roman" w:cs="Arial"/>
                <w:b/>
                <w:bCs/>
                <w:color w:val="FFFFFF"/>
                <w:sz w:val="18"/>
                <w:szCs w:val="18"/>
                <w:lang w:eastAsia="zh-CN"/>
              </w:rPr>
              <w:t>Actual</w:t>
            </w:r>
          </w:p>
        </w:tc>
      </w:tr>
      <w:tr w:rsidR="00F830E6" w:rsidRPr="008116E1" w14:paraId="0121945F" w14:textId="77777777" w:rsidTr="00F830E6">
        <w:trPr>
          <w:trHeight w:val="397"/>
        </w:trPr>
        <w:tc>
          <w:tcPr>
            <w:tcW w:w="0" w:type="auto"/>
            <w:vMerge/>
            <w:tcBorders>
              <w:top w:val="nil"/>
              <w:left w:val="nil"/>
              <w:right w:val="nil"/>
            </w:tcBorders>
            <w:vAlign w:val="center"/>
            <w:hideMark/>
          </w:tcPr>
          <w:p w14:paraId="39E0F084" w14:textId="77777777" w:rsidR="003B7C93" w:rsidRPr="00F830E6" w:rsidRDefault="003B7C93">
            <w:pPr>
              <w:spacing w:after="0" w:line="240" w:lineRule="auto"/>
              <w:rPr>
                <w:rFonts w:eastAsia="Times New Roman" w:cs="Arial"/>
                <w:b/>
                <w:bCs/>
                <w:color w:val="FFFFFF"/>
                <w:sz w:val="18"/>
                <w:szCs w:val="18"/>
                <w:lang w:eastAsia="zh-CN"/>
              </w:rPr>
            </w:pPr>
          </w:p>
        </w:tc>
        <w:tc>
          <w:tcPr>
            <w:tcW w:w="0" w:type="auto"/>
            <w:tcBorders>
              <w:top w:val="nil"/>
              <w:left w:val="nil"/>
              <w:bottom w:val="nil"/>
              <w:right w:val="nil"/>
            </w:tcBorders>
            <w:shd w:val="clear" w:color="000000" w:fill="6B2976"/>
            <w:vAlign w:val="center"/>
            <w:hideMark/>
          </w:tcPr>
          <w:p w14:paraId="0577D94A"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17</w:t>
            </w:r>
          </w:p>
        </w:tc>
        <w:tc>
          <w:tcPr>
            <w:tcW w:w="0" w:type="auto"/>
            <w:tcBorders>
              <w:top w:val="nil"/>
              <w:left w:val="nil"/>
              <w:bottom w:val="nil"/>
              <w:right w:val="nil"/>
            </w:tcBorders>
            <w:shd w:val="clear" w:color="000000" w:fill="6B2976"/>
            <w:vAlign w:val="center"/>
            <w:hideMark/>
          </w:tcPr>
          <w:p w14:paraId="61D79D7C"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18</w:t>
            </w:r>
          </w:p>
        </w:tc>
        <w:tc>
          <w:tcPr>
            <w:tcW w:w="0" w:type="auto"/>
            <w:tcBorders>
              <w:top w:val="nil"/>
              <w:left w:val="nil"/>
              <w:bottom w:val="nil"/>
              <w:right w:val="nil"/>
            </w:tcBorders>
            <w:shd w:val="clear" w:color="000000" w:fill="6B2976"/>
            <w:vAlign w:val="center"/>
            <w:hideMark/>
          </w:tcPr>
          <w:p w14:paraId="27C18154"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19</w:t>
            </w:r>
          </w:p>
        </w:tc>
        <w:tc>
          <w:tcPr>
            <w:tcW w:w="0" w:type="auto"/>
            <w:tcBorders>
              <w:top w:val="nil"/>
              <w:left w:val="nil"/>
              <w:bottom w:val="nil"/>
              <w:right w:val="nil"/>
            </w:tcBorders>
            <w:shd w:val="clear" w:color="000000" w:fill="6B2976"/>
            <w:vAlign w:val="center"/>
            <w:hideMark/>
          </w:tcPr>
          <w:p w14:paraId="458B40D7"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20</w:t>
            </w:r>
          </w:p>
        </w:tc>
        <w:tc>
          <w:tcPr>
            <w:tcW w:w="0" w:type="auto"/>
            <w:tcBorders>
              <w:top w:val="nil"/>
              <w:left w:val="nil"/>
              <w:bottom w:val="nil"/>
              <w:right w:val="nil"/>
            </w:tcBorders>
            <w:shd w:val="clear" w:color="000000" w:fill="6B2976"/>
            <w:vAlign w:val="center"/>
            <w:hideMark/>
          </w:tcPr>
          <w:p w14:paraId="0A436355"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21</w:t>
            </w:r>
          </w:p>
        </w:tc>
        <w:tc>
          <w:tcPr>
            <w:tcW w:w="0" w:type="auto"/>
            <w:tcBorders>
              <w:top w:val="nil"/>
              <w:left w:val="nil"/>
              <w:right w:val="nil"/>
            </w:tcBorders>
            <w:shd w:val="clear" w:color="000000" w:fill="6B2976"/>
            <w:vAlign w:val="center"/>
            <w:hideMark/>
          </w:tcPr>
          <w:p w14:paraId="56466495"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Jan-Feb 22</w:t>
            </w:r>
          </w:p>
        </w:tc>
        <w:tc>
          <w:tcPr>
            <w:tcW w:w="0" w:type="auto"/>
            <w:tcBorders>
              <w:top w:val="nil"/>
              <w:left w:val="nil"/>
              <w:bottom w:val="nil"/>
              <w:right w:val="nil"/>
            </w:tcBorders>
            <w:shd w:val="clear" w:color="000000" w:fill="6B2976"/>
            <w:vAlign w:val="center"/>
            <w:hideMark/>
          </w:tcPr>
          <w:p w14:paraId="658D8483"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Overall</w:t>
            </w:r>
          </w:p>
        </w:tc>
      </w:tr>
      <w:tr w:rsidR="003B7C93" w:rsidRPr="008116E1" w14:paraId="5BCDDF18" w14:textId="77777777" w:rsidTr="00F830E6">
        <w:trPr>
          <w:trHeight w:val="285"/>
        </w:trPr>
        <w:tc>
          <w:tcPr>
            <w:tcW w:w="0" w:type="auto"/>
            <w:tcBorders>
              <w:top w:val="nil"/>
              <w:left w:val="nil"/>
              <w:bottom w:val="nil"/>
              <w:right w:val="dotted" w:sz="4" w:space="0" w:color="auto"/>
            </w:tcBorders>
            <w:shd w:val="clear" w:color="auto" w:fill="auto"/>
            <w:noWrap/>
            <w:vAlign w:val="center"/>
            <w:hideMark/>
          </w:tcPr>
          <w:p w14:paraId="0045C0E1"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0 to 6 </w:t>
            </w:r>
          </w:p>
        </w:tc>
        <w:tc>
          <w:tcPr>
            <w:tcW w:w="0" w:type="auto"/>
            <w:tcBorders>
              <w:top w:val="nil"/>
              <w:left w:val="dotted" w:sz="4" w:space="0" w:color="auto"/>
              <w:bottom w:val="nil"/>
              <w:right w:val="nil"/>
            </w:tcBorders>
            <w:shd w:val="clear" w:color="auto" w:fill="auto"/>
            <w:noWrap/>
            <w:vAlign w:val="center"/>
            <w:hideMark/>
          </w:tcPr>
          <w:p w14:paraId="0F052C58"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0.07%</w:t>
            </w:r>
          </w:p>
        </w:tc>
        <w:tc>
          <w:tcPr>
            <w:tcW w:w="0" w:type="auto"/>
            <w:tcBorders>
              <w:top w:val="nil"/>
              <w:left w:val="nil"/>
              <w:bottom w:val="nil"/>
              <w:right w:val="nil"/>
            </w:tcBorders>
            <w:shd w:val="clear" w:color="auto" w:fill="auto"/>
            <w:noWrap/>
            <w:vAlign w:val="center"/>
            <w:hideMark/>
          </w:tcPr>
          <w:p w14:paraId="5482D836"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0.10%</w:t>
            </w:r>
          </w:p>
        </w:tc>
        <w:tc>
          <w:tcPr>
            <w:tcW w:w="0" w:type="auto"/>
            <w:tcBorders>
              <w:top w:val="nil"/>
              <w:left w:val="nil"/>
              <w:bottom w:val="nil"/>
              <w:right w:val="nil"/>
            </w:tcBorders>
            <w:shd w:val="clear" w:color="auto" w:fill="auto"/>
            <w:noWrap/>
            <w:vAlign w:val="center"/>
            <w:hideMark/>
          </w:tcPr>
          <w:p w14:paraId="3AAD7273"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0.16%</w:t>
            </w:r>
          </w:p>
        </w:tc>
        <w:tc>
          <w:tcPr>
            <w:tcW w:w="0" w:type="auto"/>
            <w:tcBorders>
              <w:top w:val="nil"/>
              <w:left w:val="nil"/>
              <w:bottom w:val="nil"/>
              <w:right w:val="nil"/>
            </w:tcBorders>
            <w:shd w:val="clear" w:color="auto" w:fill="auto"/>
            <w:noWrap/>
            <w:vAlign w:val="center"/>
            <w:hideMark/>
          </w:tcPr>
          <w:p w14:paraId="2B0C6FA9"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0.10%</w:t>
            </w:r>
          </w:p>
        </w:tc>
        <w:tc>
          <w:tcPr>
            <w:tcW w:w="0" w:type="auto"/>
            <w:tcBorders>
              <w:top w:val="nil"/>
              <w:left w:val="nil"/>
              <w:bottom w:val="nil"/>
              <w:right w:val="nil"/>
            </w:tcBorders>
            <w:shd w:val="clear" w:color="auto" w:fill="auto"/>
            <w:noWrap/>
            <w:vAlign w:val="center"/>
            <w:hideMark/>
          </w:tcPr>
          <w:p w14:paraId="17245D9F"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0.09%</w:t>
            </w:r>
          </w:p>
        </w:tc>
        <w:tc>
          <w:tcPr>
            <w:tcW w:w="0" w:type="auto"/>
            <w:tcBorders>
              <w:top w:val="nil"/>
              <w:left w:val="nil"/>
              <w:bottom w:val="nil"/>
              <w:right w:val="dotted" w:sz="4" w:space="0" w:color="auto"/>
            </w:tcBorders>
            <w:shd w:val="clear" w:color="auto" w:fill="auto"/>
            <w:noWrap/>
            <w:vAlign w:val="center"/>
            <w:hideMark/>
          </w:tcPr>
          <w:p w14:paraId="69284B37"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0.09%</w:t>
            </w:r>
          </w:p>
        </w:tc>
        <w:tc>
          <w:tcPr>
            <w:tcW w:w="0" w:type="auto"/>
            <w:tcBorders>
              <w:top w:val="nil"/>
              <w:left w:val="dotted" w:sz="4" w:space="0" w:color="auto"/>
              <w:bottom w:val="nil"/>
              <w:right w:val="nil"/>
            </w:tcBorders>
            <w:shd w:val="clear" w:color="auto" w:fill="auto"/>
            <w:noWrap/>
            <w:vAlign w:val="center"/>
            <w:hideMark/>
          </w:tcPr>
          <w:p w14:paraId="49DA6E7F"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0.11%</w:t>
            </w:r>
          </w:p>
        </w:tc>
      </w:tr>
      <w:tr w:rsidR="00F830E6" w:rsidRPr="008116E1" w14:paraId="75AEFAC7" w14:textId="77777777" w:rsidTr="00F830E6">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03F47736"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7 to 14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548DFDC6"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0.13%</w:t>
            </w:r>
          </w:p>
        </w:tc>
        <w:tc>
          <w:tcPr>
            <w:tcW w:w="0" w:type="auto"/>
            <w:tcBorders>
              <w:top w:val="nil"/>
              <w:left w:val="nil"/>
              <w:bottom w:val="nil"/>
              <w:right w:val="nil"/>
            </w:tcBorders>
            <w:shd w:val="clear" w:color="auto" w:fill="BFBFBF" w:themeFill="background1" w:themeFillShade="BF"/>
            <w:noWrap/>
            <w:vAlign w:val="center"/>
            <w:hideMark/>
          </w:tcPr>
          <w:p w14:paraId="664D86BE"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0.09%</w:t>
            </w:r>
          </w:p>
        </w:tc>
        <w:tc>
          <w:tcPr>
            <w:tcW w:w="0" w:type="auto"/>
            <w:tcBorders>
              <w:top w:val="nil"/>
              <w:left w:val="nil"/>
              <w:bottom w:val="nil"/>
              <w:right w:val="nil"/>
            </w:tcBorders>
            <w:shd w:val="clear" w:color="auto" w:fill="BFBFBF" w:themeFill="background1" w:themeFillShade="BF"/>
            <w:noWrap/>
            <w:vAlign w:val="center"/>
            <w:hideMark/>
          </w:tcPr>
          <w:p w14:paraId="473723DB"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0.10%</w:t>
            </w:r>
          </w:p>
        </w:tc>
        <w:tc>
          <w:tcPr>
            <w:tcW w:w="0" w:type="auto"/>
            <w:tcBorders>
              <w:top w:val="nil"/>
              <w:left w:val="nil"/>
              <w:bottom w:val="nil"/>
              <w:right w:val="nil"/>
            </w:tcBorders>
            <w:shd w:val="clear" w:color="auto" w:fill="BFBFBF" w:themeFill="background1" w:themeFillShade="BF"/>
            <w:noWrap/>
            <w:vAlign w:val="center"/>
            <w:hideMark/>
          </w:tcPr>
          <w:p w14:paraId="29675390"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0.05%</w:t>
            </w:r>
          </w:p>
        </w:tc>
        <w:tc>
          <w:tcPr>
            <w:tcW w:w="0" w:type="auto"/>
            <w:tcBorders>
              <w:top w:val="nil"/>
              <w:left w:val="nil"/>
              <w:bottom w:val="nil"/>
              <w:right w:val="nil"/>
            </w:tcBorders>
            <w:shd w:val="clear" w:color="auto" w:fill="BFBFBF" w:themeFill="background1" w:themeFillShade="BF"/>
            <w:noWrap/>
            <w:vAlign w:val="center"/>
            <w:hideMark/>
          </w:tcPr>
          <w:p w14:paraId="7BFD8E54"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0.06%</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494A369C"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0.05%</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3F1DCF85"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0.07%</w:t>
            </w:r>
          </w:p>
        </w:tc>
      </w:tr>
      <w:tr w:rsidR="003B7C93" w:rsidRPr="008116E1" w14:paraId="322B65C1" w14:textId="77777777" w:rsidTr="00F830E6">
        <w:trPr>
          <w:trHeight w:val="285"/>
        </w:trPr>
        <w:tc>
          <w:tcPr>
            <w:tcW w:w="0" w:type="auto"/>
            <w:tcBorders>
              <w:top w:val="nil"/>
              <w:left w:val="nil"/>
              <w:bottom w:val="nil"/>
              <w:right w:val="dotted" w:sz="4" w:space="0" w:color="auto"/>
            </w:tcBorders>
            <w:shd w:val="clear" w:color="auto" w:fill="auto"/>
            <w:noWrap/>
            <w:vAlign w:val="center"/>
            <w:hideMark/>
          </w:tcPr>
          <w:p w14:paraId="54D79FD9"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15 to 18 </w:t>
            </w:r>
          </w:p>
        </w:tc>
        <w:tc>
          <w:tcPr>
            <w:tcW w:w="0" w:type="auto"/>
            <w:tcBorders>
              <w:top w:val="nil"/>
              <w:left w:val="dotted" w:sz="4" w:space="0" w:color="auto"/>
              <w:bottom w:val="nil"/>
              <w:right w:val="nil"/>
            </w:tcBorders>
            <w:shd w:val="clear" w:color="auto" w:fill="auto"/>
            <w:noWrap/>
            <w:vAlign w:val="center"/>
            <w:hideMark/>
          </w:tcPr>
          <w:p w14:paraId="6F1C35E6"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0.29%</w:t>
            </w:r>
          </w:p>
        </w:tc>
        <w:tc>
          <w:tcPr>
            <w:tcW w:w="0" w:type="auto"/>
            <w:tcBorders>
              <w:top w:val="nil"/>
              <w:left w:val="nil"/>
              <w:bottom w:val="nil"/>
              <w:right w:val="nil"/>
            </w:tcBorders>
            <w:shd w:val="clear" w:color="auto" w:fill="auto"/>
            <w:noWrap/>
            <w:vAlign w:val="center"/>
            <w:hideMark/>
          </w:tcPr>
          <w:p w14:paraId="284CB23D"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0.20%</w:t>
            </w:r>
          </w:p>
        </w:tc>
        <w:tc>
          <w:tcPr>
            <w:tcW w:w="0" w:type="auto"/>
            <w:tcBorders>
              <w:top w:val="nil"/>
              <w:left w:val="nil"/>
              <w:bottom w:val="nil"/>
              <w:right w:val="nil"/>
            </w:tcBorders>
            <w:shd w:val="clear" w:color="auto" w:fill="auto"/>
            <w:noWrap/>
            <w:vAlign w:val="center"/>
            <w:hideMark/>
          </w:tcPr>
          <w:p w14:paraId="215EA767"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0.17%</w:t>
            </w:r>
          </w:p>
        </w:tc>
        <w:tc>
          <w:tcPr>
            <w:tcW w:w="0" w:type="auto"/>
            <w:tcBorders>
              <w:top w:val="nil"/>
              <w:left w:val="nil"/>
              <w:bottom w:val="nil"/>
              <w:right w:val="nil"/>
            </w:tcBorders>
            <w:shd w:val="clear" w:color="auto" w:fill="auto"/>
            <w:noWrap/>
            <w:vAlign w:val="center"/>
            <w:hideMark/>
          </w:tcPr>
          <w:p w14:paraId="4748DAB5"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0.18%</w:t>
            </w:r>
          </w:p>
        </w:tc>
        <w:tc>
          <w:tcPr>
            <w:tcW w:w="0" w:type="auto"/>
            <w:tcBorders>
              <w:top w:val="nil"/>
              <w:left w:val="nil"/>
              <w:bottom w:val="nil"/>
              <w:right w:val="nil"/>
            </w:tcBorders>
            <w:shd w:val="clear" w:color="auto" w:fill="auto"/>
            <w:noWrap/>
            <w:vAlign w:val="center"/>
            <w:hideMark/>
          </w:tcPr>
          <w:p w14:paraId="50FB25BF"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0.14%</w:t>
            </w:r>
          </w:p>
        </w:tc>
        <w:tc>
          <w:tcPr>
            <w:tcW w:w="0" w:type="auto"/>
            <w:tcBorders>
              <w:top w:val="nil"/>
              <w:left w:val="nil"/>
              <w:bottom w:val="nil"/>
              <w:right w:val="dotted" w:sz="4" w:space="0" w:color="auto"/>
            </w:tcBorders>
            <w:shd w:val="clear" w:color="auto" w:fill="auto"/>
            <w:noWrap/>
            <w:vAlign w:val="center"/>
            <w:hideMark/>
          </w:tcPr>
          <w:p w14:paraId="4DE401FA"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0.20%</w:t>
            </w:r>
          </w:p>
        </w:tc>
        <w:tc>
          <w:tcPr>
            <w:tcW w:w="0" w:type="auto"/>
            <w:tcBorders>
              <w:top w:val="nil"/>
              <w:left w:val="dotted" w:sz="4" w:space="0" w:color="auto"/>
              <w:bottom w:val="nil"/>
              <w:right w:val="nil"/>
            </w:tcBorders>
            <w:shd w:val="clear" w:color="auto" w:fill="auto"/>
            <w:noWrap/>
            <w:vAlign w:val="center"/>
            <w:hideMark/>
          </w:tcPr>
          <w:p w14:paraId="3F2CBBBF"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0.18%</w:t>
            </w:r>
          </w:p>
        </w:tc>
      </w:tr>
      <w:tr w:rsidR="00F830E6" w:rsidRPr="008116E1" w14:paraId="0F6F3B5E" w14:textId="77777777" w:rsidTr="00F830E6">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45EB6F03"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19 to 24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740E8E05"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0.34%</w:t>
            </w:r>
          </w:p>
        </w:tc>
        <w:tc>
          <w:tcPr>
            <w:tcW w:w="0" w:type="auto"/>
            <w:tcBorders>
              <w:top w:val="nil"/>
              <w:left w:val="nil"/>
              <w:bottom w:val="nil"/>
              <w:right w:val="nil"/>
            </w:tcBorders>
            <w:shd w:val="clear" w:color="auto" w:fill="BFBFBF" w:themeFill="background1" w:themeFillShade="BF"/>
            <w:noWrap/>
            <w:vAlign w:val="center"/>
            <w:hideMark/>
          </w:tcPr>
          <w:p w14:paraId="6D6B3E0A"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0.25%</w:t>
            </w:r>
          </w:p>
        </w:tc>
        <w:tc>
          <w:tcPr>
            <w:tcW w:w="0" w:type="auto"/>
            <w:tcBorders>
              <w:top w:val="nil"/>
              <w:left w:val="nil"/>
              <w:bottom w:val="nil"/>
              <w:right w:val="nil"/>
            </w:tcBorders>
            <w:shd w:val="clear" w:color="auto" w:fill="BFBFBF" w:themeFill="background1" w:themeFillShade="BF"/>
            <w:noWrap/>
            <w:vAlign w:val="center"/>
            <w:hideMark/>
          </w:tcPr>
          <w:p w14:paraId="4637F8F3"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0.31%</w:t>
            </w:r>
          </w:p>
        </w:tc>
        <w:tc>
          <w:tcPr>
            <w:tcW w:w="0" w:type="auto"/>
            <w:tcBorders>
              <w:top w:val="nil"/>
              <w:left w:val="nil"/>
              <w:bottom w:val="nil"/>
              <w:right w:val="nil"/>
            </w:tcBorders>
            <w:shd w:val="clear" w:color="auto" w:fill="BFBFBF" w:themeFill="background1" w:themeFillShade="BF"/>
            <w:noWrap/>
            <w:vAlign w:val="center"/>
            <w:hideMark/>
          </w:tcPr>
          <w:p w14:paraId="6C564ABB"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0.21%</w:t>
            </w:r>
          </w:p>
        </w:tc>
        <w:tc>
          <w:tcPr>
            <w:tcW w:w="0" w:type="auto"/>
            <w:tcBorders>
              <w:top w:val="nil"/>
              <w:left w:val="nil"/>
              <w:bottom w:val="nil"/>
              <w:right w:val="nil"/>
            </w:tcBorders>
            <w:shd w:val="clear" w:color="auto" w:fill="BFBFBF" w:themeFill="background1" w:themeFillShade="BF"/>
            <w:noWrap/>
            <w:vAlign w:val="center"/>
            <w:hideMark/>
          </w:tcPr>
          <w:p w14:paraId="457DDA93"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0.19%</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08370FF3"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0.24%</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436B88E3"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0.24%</w:t>
            </w:r>
          </w:p>
        </w:tc>
      </w:tr>
      <w:tr w:rsidR="003B7C93" w:rsidRPr="008116E1" w14:paraId="73B15B59" w14:textId="77777777" w:rsidTr="00F830E6">
        <w:trPr>
          <w:trHeight w:val="285"/>
        </w:trPr>
        <w:tc>
          <w:tcPr>
            <w:tcW w:w="0" w:type="auto"/>
            <w:tcBorders>
              <w:top w:val="nil"/>
              <w:left w:val="nil"/>
              <w:bottom w:val="nil"/>
              <w:right w:val="dotted" w:sz="4" w:space="0" w:color="auto"/>
            </w:tcBorders>
            <w:shd w:val="clear" w:color="auto" w:fill="auto"/>
            <w:noWrap/>
            <w:vAlign w:val="center"/>
            <w:hideMark/>
          </w:tcPr>
          <w:p w14:paraId="394542E4"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25 to 34 </w:t>
            </w:r>
          </w:p>
        </w:tc>
        <w:tc>
          <w:tcPr>
            <w:tcW w:w="0" w:type="auto"/>
            <w:tcBorders>
              <w:top w:val="nil"/>
              <w:left w:val="dotted" w:sz="4" w:space="0" w:color="auto"/>
              <w:bottom w:val="nil"/>
              <w:right w:val="nil"/>
            </w:tcBorders>
            <w:shd w:val="clear" w:color="auto" w:fill="auto"/>
            <w:noWrap/>
            <w:vAlign w:val="center"/>
            <w:hideMark/>
          </w:tcPr>
          <w:p w14:paraId="3123F215"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0.54%</w:t>
            </w:r>
          </w:p>
        </w:tc>
        <w:tc>
          <w:tcPr>
            <w:tcW w:w="0" w:type="auto"/>
            <w:tcBorders>
              <w:top w:val="nil"/>
              <w:left w:val="nil"/>
              <w:bottom w:val="nil"/>
              <w:right w:val="nil"/>
            </w:tcBorders>
            <w:shd w:val="clear" w:color="auto" w:fill="auto"/>
            <w:noWrap/>
            <w:vAlign w:val="center"/>
            <w:hideMark/>
          </w:tcPr>
          <w:p w14:paraId="4B0ACD85"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0.49%</w:t>
            </w:r>
          </w:p>
        </w:tc>
        <w:tc>
          <w:tcPr>
            <w:tcW w:w="0" w:type="auto"/>
            <w:tcBorders>
              <w:top w:val="nil"/>
              <w:left w:val="nil"/>
              <w:bottom w:val="nil"/>
              <w:right w:val="nil"/>
            </w:tcBorders>
            <w:shd w:val="clear" w:color="auto" w:fill="auto"/>
            <w:noWrap/>
            <w:vAlign w:val="center"/>
            <w:hideMark/>
          </w:tcPr>
          <w:p w14:paraId="787B4280"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0.51%</w:t>
            </w:r>
          </w:p>
        </w:tc>
        <w:tc>
          <w:tcPr>
            <w:tcW w:w="0" w:type="auto"/>
            <w:tcBorders>
              <w:top w:val="nil"/>
              <w:left w:val="nil"/>
              <w:bottom w:val="nil"/>
              <w:right w:val="nil"/>
            </w:tcBorders>
            <w:shd w:val="clear" w:color="auto" w:fill="auto"/>
            <w:noWrap/>
            <w:vAlign w:val="center"/>
            <w:hideMark/>
          </w:tcPr>
          <w:p w14:paraId="2BB32AE0"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0.47%</w:t>
            </w:r>
          </w:p>
        </w:tc>
        <w:tc>
          <w:tcPr>
            <w:tcW w:w="0" w:type="auto"/>
            <w:tcBorders>
              <w:top w:val="nil"/>
              <w:left w:val="nil"/>
              <w:bottom w:val="nil"/>
              <w:right w:val="nil"/>
            </w:tcBorders>
            <w:shd w:val="clear" w:color="auto" w:fill="auto"/>
            <w:noWrap/>
            <w:vAlign w:val="center"/>
            <w:hideMark/>
          </w:tcPr>
          <w:p w14:paraId="1380AF51"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0.47%</w:t>
            </w:r>
          </w:p>
        </w:tc>
        <w:tc>
          <w:tcPr>
            <w:tcW w:w="0" w:type="auto"/>
            <w:tcBorders>
              <w:top w:val="nil"/>
              <w:left w:val="nil"/>
              <w:bottom w:val="nil"/>
              <w:right w:val="dotted" w:sz="4" w:space="0" w:color="auto"/>
            </w:tcBorders>
            <w:shd w:val="clear" w:color="auto" w:fill="auto"/>
            <w:noWrap/>
            <w:vAlign w:val="center"/>
            <w:hideMark/>
          </w:tcPr>
          <w:p w14:paraId="4AD26508"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0.61%</w:t>
            </w:r>
          </w:p>
        </w:tc>
        <w:tc>
          <w:tcPr>
            <w:tcW w:w="0" w:type="auto"/>
            <w:tcBorders>
              <w:top w:val="nil"/>
              <w:left w:val="dotted" w:sz="4" w:space="0" w:color="auto"/>
              <w:bottom w:val="nil"/>
              <w:right w:val="nil"/>
            </w:tcBorders>
            <w:shd w:val="clear" w:color="auto" w:fill="auto"/>
            <w:noWrap/>
            <w:vAlign w:val="center"/>
            <w:hideMark/>
          </w:tcPr>
          <w:p w14:paraId="047ABD00"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0.49%</w:t>
            </w:r>
          </w:p>
        </w:tc>
      </w:tr>
      <w:tr w:rsidR="00F830E6" w:rsidRPr="008116E1" w14:paraId="25A25E32" w14:textId="77777777" w:rsidTr="00F830E6">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760A67EE"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35 to 44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08420662"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0.87%</w:t>
            </w:r>
          </w:p>
        </w:tc>
        <w:tc>
          <w:tcPr>
            <w:tcW w:w="0" w:type="auto"/>
            <w:tcBorders>
              <w:top w:val="nil"/>
              <w:left w:val="nil"/>
              <w:bottom w:val="nil"/>
              <w:right w:val="nil"/>
            </w:tcBorders>
            <w:shd w:val="clear" w:color="auto" w:fill="BFBFBF" w:themeFill="background1" w:themeFillShade="BF"/>
            <w:noWrap/>
            <w:vAlign w:val="center"/>
            <w:hideMark/>
          </w:tcPr>
          <w:p w14:paraId="67FB86E3"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0.94%</w:t>
            </w:r>
          </w:p>
        </w:tc>
        <w:tc>
          <w:tcPr>
            <w:tcW w:w="0" w:type="auto"/>
            <w:tcBorders>
              <w:top w:val="nil"/>
              <w:left w:val="nil"/>
              <w:bottom w:val="nil"/>
              <w:right w:val="nil"/>
            </w:tcBorders>
            <w:shd w:val="clear" w:color="auto" w:fill="BFBFBF" w:themeFill="background1" w:themeFillShade="BF"/>
            <w:noWrap/>
            <w:vAlign w:val="center"/>
            <w:hideMark/>
          </w:tcPr>
          <w:p w14:paraId="37728F87"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0.92%</w:t>
            </w:r>
          </w:p>
        </w:tc>
        <w:tc>
          <w:tcPr>
            <w:tcW w:w="0" w:type="auto"/>
            <w:tcBorders>
              <w:top w:val="nil"/>
              <w:left w:val="nil"/>
              <w:bottom w:val="nil"/>
              <w:right w:val="nil"/>
            </w:tcBorders>
            <w:shd w:val="clear" w:color="auto" w:fill="BFBFBF" w:themeFill="background1" w:themeFillShade="BF"/>
            <w:noWrap/>
            <w:vAlign w:val="center"/>
            <w:hideMark/>
          </w:tcPr>
          <w:p w14:paraId="40F8F872"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0.94%</w:t>
            </w:r>
          </w:p>
        </w:tc>
        <w:tc>
          <w:tcPr>
            <w:tcW w:w="0" w:type="auto"/>
            <w:tcBorders>
              <w:top w:val="nil"/>
              <w:left w:val="nil"/>
              <w:bottom w:val="nil"/>
              <w:right w:val="nil"/>
            </w:tcBorders>
            <w:shd w:val="clear" w:color="auto" w:fill="BFBFBF" w:themeFill="background1" w:themeFillShade="BF"/>
            <w:noWrap/>
            <w:vAlign w:val="center"/>
            <w:hideMark/>
          </w:tcPr>
          <w:p w14:paraId="2A60156B"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0.87%</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432261D8"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0.82%</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1910693F"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0.91%</w:t>
            </w:r>
          </w:p>
        </w:tc>
      </w:tr>
      <w:tr w:rsidR="003B7C93" w:rsidRPr="008116E1" w14:paraId="23425BFD" w14:textId="77777777" w:rsidTr="00F830E6">
        <w:trPr>
          <w:trHeight w:val="285"/>
        </w:trPr>
        <w:tc>
          <w:tcPr>
            <w:tcW w:w="0" w:type="auto"/>
            <w:tcBorders>
              <w:top w:val="nil"/>
              <w:left w:val="nil"/>
              <w:bottom w:val="nil"/>
              <w:right w:val="dotted" w:sz="4" w:space="0" w:color="auto"/>
            </w:tcBorders>
            <w:shd w:val="clear" w:color="auto" w:fill="auto"/>
            <w:noWrap/>
            <w:vAlign w:val="center"/>
            <w:hideMark/>
          </w:tcPr>
          <w:p w14:paraId="61046281"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45 to 54 </w:t>
            </w:r>
          </w:p>
        </w:tc>
        <w:tc>
          <w:tcPr>
            <w:tcW w:w="0" w:type="auto"/>
            <w:tcBorders>
              <w:top w:val="nil"/>
              <w:left w:val="dotted" w:sz="4" w:space="0" w:color="auto"/>
              <w:bottom w:val="nil"/>
              <w:right w:val="nil"/>
            </w:tcBorders>
            <w:shd w:val="clear" w:color="auto" w:fill="auto"/>
            <w:noWrap/>
            <w:vAlign w:val="center"/>
            <w:hideMark/>
          </w:tcPr>
          <w:p w14:paraId="0043CD80"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1.61%</w:t>
            </w:r>
          </w:p>
        </w:tc>
        <w:tc>
          <w:tcPr>
            <w:tcW w:w="0" w:type="auto"/>
            <w:tcBorders>
              <w:top w:val="nil"/>
              <w:left w:val="nil"/>
              <w:bottom w:val="nil"/>
              <w:right w:val="nil"/>
            </w:tcBorders>
            <w:shd w:val="clear" w:color="auto" w:fill="auto"/>
            <w:noWrap/>
            <w:vAlign w:val="center"/>
            <w:hideMark/>
          </w:tcPr>
          <w:p w14:paraId="442F6AC9"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1.74%</w:t>
            </w:r>
          </w:p>
        </w:tc>
        <w:tc>
          <w:tcPr>
            <w:tcW w:w="0" w:type="auto"/>
            <w:tcBorders>
              <w:top w:val="nil"/>
              <w:left w:val="nil"/>
              <w:bottom w:val="nil"/>
              <w:right w:val="nil"/>
            </w:tcBorders>
            <w:shd w:val="clear" w:color="auto" w:fill="auto"/>
            <w:noWrap/>
            <w:vAlign w:val="center"/>
            <w:hideMark/>
          </w:tcPr>
          <w:p w14:paraId="6A207F34"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1.75%</w:t>
            </w:r>
          </w:p>
        </w:tc>
        <w:tc>
          <w:tcPr>
            <w:tcW w:w="0" w:type="auto"/>
            <w:tcBorders>
              <w:top w:val="nil"/>
              <w:left w:val="nil"/>
              <w:bottom w:val="nil"/>
              <w:right w:val="nil"/>
            </w:tcBorders>
            <w:shd w:val="clear" w:color="auto" w:fill="auto"/>
            <w:noWrap/>
            <w:vAlign w:val="center"/>
            <w:hideMark/>
          </w:tcPr>
          <w:p w14:paraId="7BBCE27A"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1.98%</w:t>
            </w:r>
          </w:p>
        </w:tc>
        <w:tc>
          <w:tcPr>
            <w:tcW w:w="0" w:type="auto"/>
            <w:tcBorders>
              <w:top w:val="nil"/>
              <w:left w:val="nil"/>
              <w:bottom w:val="nil"/>
              <w:right w:val="nil"/>
            </w:tcBorders>
            <w:shd w:val="clear" w:color="auto" w:fill="auto"/>
            <w:noWrap/>
            <w:vAlign w:val="center"/>
            <w:hideMark/>
          </w:tcPr>
          <w:p w14:paraId="18495470"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1.81%</w:t>
            </w:r>
          </w:p>
        </w:tc>
        <w:tc>
          <w:tcPr>
            <w:tcW w:w="0" w:type="auto"/>
            <w:tcBorders>
              <w:top w:val="nil"/>
              <w:left w:val="nil"/>
              <w:bottom w:val="nil"/>
              <w:right w:val="dotted" w:sz="4" w:space="0" w:color="auto"/>
            </w:tcBorders>
            <w:shd w:val="clear" w:color="auto" w:fill="auto"/>
            <w:noWrap/>
            <w:vAlign w:val="center"/>
            <w:hideMark/>
          </w:tcPr>
          <w:p w14:paraId="503918BD"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2.02%</w:t>
            </w:r>
          </w:p>
        </w:tc>
        <w:tc>
          <w:tcPr>
            <w:tcW w:w="0" w:type="auto"/>
            <w:tcBorders>
              <w:top w:val="nil"/>
              <w:left w:val="dotted" w:sz="4" w:space="0" w:color="auto"/>
              <w:bottom w:val="nil"/>
              <w:right w:val="nil"/>
            </w:tcBorders>
            <w:shd w:val="clear" w:color="auto" w:fill="auto"/>
            <w:noWrap/>
            <w:vAlign w:val="center"/>
            <w:hideMark/>
          </w:tcPr>
          <w:p w14:paraId="3976F283"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1.83%</w:t>
            </w:r>
          </w:p>
        </w:tc>
      </w:tr>
      <w:tr w:rsidR="00F830E6" w:rsidRPr="008116E1" w14:paraId="198653B3" w14:textId="77777777" w:rsidTr="00F830E6">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43CFCEEE"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55 to 64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16424805"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3.23%</w:t>
            </w:r>
          </w:p>
        </w:tc>
        <w:tc>
          <w:tcPr>
            <w:tcW w:w="0" w:type="auto"/>
            <w:tcBorders>
              <w:top w:val="nil"/>
              <w:left w:val="nil"/>
              <w:bottom w:val="nil"/>
              <w:right w:val="nil"/>
            </w:tcBorders>
            <w:shd w:val="clear" w:color="auto" w:fill="BFBFBF" w:themeFill="background1" w:themeFillShade="BF"/>
            <w:noWrap/>
            <w:vAlign w:val="center"/>
            <w:hideMark/>
          </w:tcPr>
          <w:p w14:paraId="07D1AD34"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3.47%</w:t>
            </w:r>
          </w:p>
        </w:tc>
        <w:tc>
          <w:tcPr>
            <w:tcW w:w="0" w:type="auto"/>
            <w:tcBorders>
              <w:top w:val="nil"/>
              <w:left w:val="nil"/>
              <w:bottom w:val="nil"/>
              <w:right w:val="nil"/>
            </w:tcBorders>
            <w:shd w:val="clear" w:color="auto" w:fill="BFBFBF" w:themeFill="background1" w:themeFillShade="BF"/>
            <w:noWrap/>
            <w:vAlign w:val="center"/>
            <w:hideMark/>
          </w:tcPr>
          <w:p w14:paraId="11EE5F03"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3.45%</w:t>
            </w:r>
          </w:p>
        </w:tc>
        <w:tc>
          <w:tcPr>
            <w:tcW w:w="0" w:type="auto"/>
            <w:tcBorders>
              <w:top w:val="nil"/>
              <w:left w:val="nil"/>
              <w:bottom w:val="nil"/>
              <w:right w:val="nil"/>
            </w:tcBorders>
            <w:shd w:val="clear" w:color="auto" w:fill="BFBFBF" w:themeFill="background1" w:themeFillShade="BF"/>
            <w:noWrap/>
            <w:vAlign w:val="center"/>
            <w:hideMark/>
          </w:tcPr>
          <w:p w14:paraId="00BFB5A2"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3.82%</w:t>
            </w:r>
          </w:p>
        </w:tc>
        <w:tc>
          <w:tcPr>
            <w:tcW w:w="0" w:type="auto"/>
            <w:tcBorders>
              <w:top w:val="nil"/>
              <w:left w:val="nil"/>
              <w:bottom w:val="nil"/>
              <w:right w:val="nil"/>
            </w:tcBorders>
            <w:shd w:val="clear" w:color="auto" w:fill="BFBFBF" w:themeFill="background1" w:themeFillShade="BF"/>
            <w:noWrap/>
            <w:vAlign w:val="center"/>
            <w:hideMark/>
          </w:tcPr>
          <w:p w14:paraId="55A7BC86"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3.47%</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1EF8551F"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3.91%</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37E64F8B"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3.57%</w:t>
            </w:r>
          </w:p>
        </w:tc>
      </w:tr>
      <w:tr w:rsidR="003B7C93" w:rsidRPr="008116E1" w14:paraId="564212F5" w14:textId="77777777" w:rsidTr="00F830E6">
        <w:trPr>
          <w:trHeight w:val="285"/>
        </w:trPr>
        <w:tc>
          <w:tcPr>
            <w:tcW w:w="0" w:type="auto"/>
            <w:tcBorders>
              <w:top w:val="nil"/>
              <w:left w:val="nil"/>
              <w:bottom w:val="single" w:sz="4" w:space="0" w:color="auto"/>
              <w:right w:val="dotted" w:sz="4" w:space="0" w:color="auto"/>
            </w:tcBorders>
            <w:shd w:val="clear" w:color="auto" w:fill="auto"/>
            <w:noWrap/>
            <w:vAlign w:val="center"/>
            <w:hideMark/>
          </w:tcPr>
          <w:p w14:paraId="5145C973"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65+ </w:t>
            </w:r>
          </w:p>
        </w:tc>
        <w:tc>
          <w:tcPr>
            <w:tcW w:w="0" w:type="auto"/>
            <w:tcBorders>
              <w:top w:val="nil"/>
              <w:left w:val="dotted" w:sz="4" w:space="0" w:color="auto"/>
              <w:bottom w:val="single" w:sz="4" w:space="0" w:color="auto"/>
              <w:right w:val="nil"/>
            </w:tcBorders>
            <w:shd w:val="clear" w:color="auto" w:fill="auto"/>
            <w:noWrap/>
            <w:vAlign w:val="center"/>
            <w:hideMark/>
          </w:tcPr>
          <w:p w14:paraId="7D4E2F4B"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4.61%</w:t>
            </w:r>
          </w:p>
        </w:tc>
        <w:tc>
          <w:tcPr>
            <w:tcW w:w="0" w:type="auto"/>
            <w:tcBorders>
              <w:top w:val="nil"/>
              <w:left w:val="nil"/>
              <w:bottom w:val="single" w:sz="4" w:space="0" w:color="auto"/>
              <w:right w:val="nil"/>
            </w:tcBorders>
            <w:shd w:val="clear" w:color="auto" w:fill="auto"/>
            <w:noWrap/>
            <w:vAlign w:val="center"/>
            <w:hideMark/>
          </w:tcPr>
          <w:p w14:paraId="3B794D61"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3.67%</w:t>
            </w:r>
          </w:p>
        </w:tc>
        <w:tc>
          <w:tcPr>
            <w:tcW w:w="0" w:type="auto"/>
            <w:tcBorders>
              <w:top w:val="nil"/>
              <w:left w:val="nil"/>
              <w:bottom w:val="single" w:sz="4" w:space="0" w:color="auto"/>
              <w:right w:val="nil"/>
            </w:tcBorders>
            <w:shd w:val="clear" w:color="auto" w:fill="auto"/>
            <w:noWrap/>
            <w:vAlign w:val="center"/>
            <w:hideMark/>
          </w:tcPr>
          <w:p w14:paraId="379A42E7"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4.92%</w:t>
            </w:r>
          </w:p>
        </w:tc>
        <w:tc>
          <w:tcPr>
            <w:tcW w:w="0" w:type="auto"/>
            <w:tcBorders>
              <w:top w:val="nil"/>
              <w:left w:val="nil"/>
              <w:bottom w:val="single" w:sz="4" w:space="0" w:color="auto"/>
              <w:right w:val="nil"/>
            </w:tcBorders>
            <w:shd w:val="clear" w:color="auto" w:fill="auto"/>
            <w:noWrap/>
            <w:vAlign w:val="center"/>
            <w:hideMark/>
          </w:tcPr>
          <w:p w14:paraId="34056864"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4.43%</w:t>
            </w:r>
          </w:p>
        </w:tc>
        <w:tc>
          <w:tcPr>
            <w:tcW w:w="0" w:type="auto"/>
            <w:tcBorders>
              <w:top w:val="nil"/>
              <w:left w:val="nil"/>
              <w:bottom w:val="single" w:sz="4" w:space="0" w:color="auto"/>
              <w:right w:val="nil"/>
            </w:tcBorders>
            <w:shd w:val="clear" w:color="auto" w:fill="auto"/>
            <w:noWrap/>
            <w:vAlign w:val="center"/>
            <w:hideMark/>
          </w:tcPr>
          <w:p w14:paraId="4E82A150"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4.90%</w:t>
            </w:r>
          </w:p>
        </w:tc>
        <w:tc>
          <w:tcPr>
            <w:tcW w:w="0" w:type="auto"/>
            <w:tcBorders>
              <w:top w:val="nil"/>
              <w:left w:val="nil"/>
              <w:bottom w:val="single" w:sz="4" w:space="0" w:color="auto"/>
              <w:right w:val="dotted" w:sz="4" w:space="0" w:color="auto"/>
            </w:tcBorders>
            <w:shd w:val="clear" w:color="auto" w:fill="auto"/>
            <w:noWrap/>
            <w:vAlign w:val="center"/>
            <w:hideMark/>
          </w:tcPr>
          <w:p w14:paraId="047363DD"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4.50%</w:t>
            </w:r>
          </w:p>
        </w:tc>
        <w:tc>
          <w:tcPr>
            <w:tcW w:w="0" w:type="auto"/>
            <w:tcBorders>
              <w:top w:val="nil"/>
              <w:left w:val="dotted" w:sz="4" w:space="0" w:color="auto"/>
              <w:bottom w:val="single" w:sz="4" w:space="0" w:color="auto"/>
              <w:right w:val="nil"/>
            </w:tcBorders>
            <w:shd w:val="clear" w:color="auto" w:fill="auto"/>
            <w:noWrap/>
            <w:vAlign w:val="center"/>
            <w:hideMark/>
          </w:tcPr>
          <w:p w14:paraId="59CADB0B"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4.64%</w:t>
            </w:r>
          </w:p>
        </w:tc>
      </w:tr>
      <w:tr w:rsidR="00F830E6" w:rsidRPr="008116E1" w14:paraId="231C7130" w14:textId="77777777" w:rsidTr="00F830E6">
        <w:trPr>
          <w:trHeight w:val="285"/>
        </w:trPr>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3FDE124D" w14:textId="77777777" w:rsidR="003B7C93" w:rsidRPr="00F830E6" w:rsidRDefault="003B7C93">
            <w:pPr>
              <w:spacing w:after="0" w:line="240" w:lineRule="auto"/>
              <w:rPr>
                <w:rFonts w:eastAsia="Times New Roman" w:cs="Arial"/>
                <w:b/>
                <w:bCs/>
                <w:color w:val="000000"/>
                <w:sz w:val="18"/>
                <w:szCs w:val="18"/>
                <w:lang w:eastAsia="zh-CN"/>
              </w:rPr>
            </w:pPr>
            <w:r w:rsidRPr="00F830E6">
              <w:rPr>
                <w:rFonts w:eastAsia="Times New Roman" w:cs="Arial"/>
                <w:b/>
                <w:bCs/>
                <w:color w:val="000000"/>
                <w:sz w:val="18"/>
                <w:szCs w:val="18"/>
                <w:lang w:eastAsia="zh-CN"/>
              </w:rPr>
              <w:t>Overall</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4570F0E2" w14:textId="77777777" w:rsidR="003B7C93" w:rsidRPr="00F830E6" w:rsidRDefault="003B7C93"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0.81%</w:t>
            </w:r>
          </w:p>
        </w:tc>
        <w:tc>
          <w:tcPr>
            <w:tcW w:w="0" w:type="auto"/>
            <w:tcBorders>
              <w:top w:val="single" w:sz="4" w:space="0" w:color="auto"/>
              <w:left w:val="nil"/>
              <w:bottom w:val="single" w:sz="4" w:space="0" w:color="auto"/>
              <w:right w:val="nil"/>
            </w:tcBorders>
            <w:shd w:val="clear" w:color="auto" w:fill="D3C5D7"/>
            <w:noWrap/>
            <w:vAlign w:val="center"/>
            <w:hideMark/>
          </w:tcPr>
          <w:p w14:paraId="18D5F0EF" w14:textId="77777777" w:rsidR="003B7C93" w:rsidRPr="00F830E6" w:rsidRDefault="003B7C93"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0.89%</w:t>
            </w:r>
          </w:p>
        </w:tc>
        <w:tc>
          <w:tcPr>
            <w:tcW w:w="0" w:type="auto"/>
            <w:tcBorders>
              <w:top w:val="single" w:sz="4" w:space="0" w:color="auto"/>
              <w:left w:val="nil"/>
              <w:bottom w:val="single" w:sz="4" w:space="0" w:color="auto"/>
              <w:right w:val="nil"/>
            </w:tcBorders>
            <w:shd w:val="clear" w:color="auto" w:fill="D3C5D7"/>
            <w:noWrap/>
            <w:vAlign w:val="center"/>
            <w:hideMark/>
          </w:tcPr>
          <w:p w14:paraId="6288CAB4" w14:textId="77777777" w:rsidR="003B7C93" w:rsidRPr="00F830E6" w:rsidRDefault="003B7C93"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0.97%</w:t>
            </w:r>
          </w:p>
        </w:tc>
        <w:tc>
          <w:tcPr>
            <w:tcW w:w="0" w:type="auto"/>
            <w:tcBorders>
              <w:top w:val="single" w:sz="4" w:space="0" w:color="auto"/>
              <w:left w:val="nil"/>
              <w:bottom w:val="single" w:sz="4" w:space="0" w:color="auto"/>
              <w:right w:val="nil"/>
            </w:tcBorders>
            <w:shd w:val="clear" w:color="auto" w:fill="D3C5D7"/>
            <w:noWrap/>
            <w:vAlign w:val="center"/>
            <w:hideMark/>
          </w:tcPr>
          <w:p w14:paraId="34D538FA" w14:textId="77777777" w:rsidR="003B7C93" w:rsidRPr="00F830E6" w:rsidRDefault="003B7C93"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0.99%</w:t>
            </w:r>
          </w:p>
        </w:tc>
        <w:tc>
          <w:tcPr>
            <w:tcW w:w="0" w:type="auto"/>
            <w:tcBorders>
              <w:top w:val="single" w:sz="4" w:space="0" w:color="auto"/>
              <w:left w:val="nil"/>
              <w:bottom w:val="single" w:sz="4" w:space="0" w:color="auto"/>
              <w:right w:val="nil"/>
            </w:tcBorders>
            <w:shd w:val="clear" w:color="auto" w:fill="D3C5D7"/>
            <w:noWrap/>
            <w:vAlign w:val="center"/>
            <w:hideMark/>
          </w:tcPr>
          <w:p w14:paraId="72F7A3A3" w14:textId="77777777" w:rsidR="003B7C93" w:rsidRPr="00F830E6" w:rsidRDefault="003B7C93"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0.94%</w:t>
            </w:r>
          </w:p>
        </w:tc>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214D95BC" w14:textId="77777777" w:rsidR="003B7C93" w:rsidRPr="00F830E6" w:rsidRDefault="003B7C93"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1.01%</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387607F7" w14:textId="77777777" w:rsidR="003B7C93" w:rsidRPr="00F830E6" w:rsidRDefault="003B7C93"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0.95%</w:t>
            </w:r>
          </w:p>
        </w:tc>
      </w:tr>
    </w:tbl>
    <w:p w14:paraId="152F0BD7" w14:textId="77777777" w:rsidR="004A5D62" w:rsidRDefault="004A5D62" w:rsidP="00E365B4"/>
    <w:tbl>
      <w:tblPr>
        <w:tblW w:w="0" w:type="auto"/>
        <w:tblLook w:val="04A0" w:firstRow="1" w:lastRow="0" w:firstColumn="1" w:lastColumn="0" w:noHBand="0" w:noVBand="1"/>
      </w:tblPr>
      <w:tblGrid>
        <w:gridCol w:w="917"/>
        <w:gridCol w:w="1167"/>
        <w:gridCol w:w="1167"/>
        <w:gridCol w:w="1167"/>
        <w:gridCol w:w="1167"/>
        <w:gridCol w:w="1167"/>
        <w:gridCol w:w="1157"/>
        <w:gridCol w:w="827"/>
      </w:tblGrid>
      <w:tr w:rsidR="00A01BF1" w:rsidRPr="008116E1" w14:paraId="3E192B54" w14:textId="77777777" w:rsidTr="00F830E6">
        <w:trPr>
          <w:trHeight w:val="397"/>
        </w:trPr>
        <w:tc>
          <w:tcPr>
            <w:tcW w:w="0" w:type="auto"/>
            <w:vMerge w:val="restart"/>
            <w:tcBorders>
              <w:top w:val="nil"/>
              <w:left w:val="nil"/>
              <w:bottom w:val="nil"/>
              <w:right w:val="nil"/>
            </w:tcBorders>
            <w:shd w:val="clear" w:color="000000" w:fill="6B2976"/>
            <w:noWrap/>
            <w:vAlign w:val="center"/>
            <w:hideMark/>
          </w:tcPr>
          <w:p w14:paraId="48E602EF" w14:textId="77777777" w:rsidR="00A01BF1" w:rsidRPr="00F830E6" w:rsidRDefault="00A01BF1" w:rsidP="00F830E6">
            <w:pPr>
              <w:spacing w:after="0" w:line="240" w:lineRule="auto"/>
              <w:rPr>
                <w:rFonts w:eastAsia="Times New Roman" w:cs="Arial"/>
                <w:b/>
                <w:bCs/>
                <w:color w:val="FFFFFF"/>
                <w:sz w:val="18"/>
                <w:szCs w:val="18"/>
                <w:lang w:eastAsia="zh-CN"/>
              </w:rPr>
            </w:pPr>
            <w:r w:rsidRPr="00F830E6">
              <w:rPr>
                <w:rFonts w:eastAsia="Times New Roman" w:cs="Arial"/>
                <w:b/>
                <w:bCs/>
                <w:color w:val="FFFFFF"/>
                <w:sz w:val="18"/>
                <w:szCs w:val="18"/>
                <w:lang w:eastAsia="zh-CN"/>
              </w:rPr>
              <w:t>Age</w:t>
            </w:r>
          </w:p>
        </w:tc>
        <w:tc>
          <w:tcPr>
            <w:tcW w:w="0" w:type="auto"/>
            <w:gridSpan w:val="7"/>
            <w:tcBorders>
              <w:top w:val="nil"/>
              <w:left w:val="nil"/>
              <w:bottom w:val="single" w:sz="4" w:space="0" w:color="FFFFFF"/>
              <w:right w:val="nil"/>
            </w:tcBorders>
            <w:shd w:val="clear" w:color="000000" w:fill="6B2976"/>
            <w:vAlign w:val="center"/>
            <w:hideMark/>
          </w:tcPr>
          <w:p w14:paraId="3B0B5DC5" w14:textId="77777777" w:rsidR="00A01BF1" w:rsidRPr="00F830E6" w:rsidRDefault="00A01BF1" w:rsidP="008116E1">
            <w:pPr>
              <w:spacing w:after="0" w:line="240" w:lineRule="auto"/>
              <w:jc w:val="center"/>
              <w:rPr>
                <w:rFonts w:eastAsia="Times New Roman" w:cs="Arial"/>
                <w:b/>
                <w:bCs/>
                <w:color w:val="FFFFFF"/>
                <w:sz w:val="18"/>
                <w:szCs w:val="18"/>
                <w:lang w:eastAsia="zh-CN"/>
              </w:rPr>
            </w:pPr>
            <w:r w:rsidRPr="00F830E6">
              <w:rPr>
                <w:rFonts w:eastAsia="Times New Roman" w:cs="Arial"/>
                <w:b/>
                <w:bCs/>
                <w:color w:val="FFFFFF"/>
                <w:sz w:val="18"/>
                <w:szCs w:val="18"/>
                <w:lang w:eastAsia="zh-CN"/>
              </w:rPr>
              <w:t>Expected</w:t>
            </w:r>
          </w:p>
        </w:tc>
      </w:tr>
      <w:tr w:rsidR="00A01BF1" w:rsidRPr="008116E1" w14:paraId="1CA54634" w14:textId="77777777" w:rsidTr="00F830E6">
        <w:trPr>
          <w:trHeight w:val="397"/>
        </w:trPr>
        <w:tc>
          <w:tcPr>
            <w:tcW w:w="0" w:type="auto"/>
            <w:vMerge/>
            <w:tcBorders>
              <w:top w:val="nil"/>
              <w:left w:val="nil"/>
              <w:right w:val="nil"/>
            </w:tcBorders>
            <w:vAlign w:val="center"/>
            <w:hideMark/>
          </w:tcPr>
          <w:p w14:paraId="66A00A68" w14:textId="77777777" w:rsidR="00A01BF1" w:rsidRPr="00F830E6" w:rsidRDefault="00A01BF1">
            <w:pPr>
              <w:spacing w:after="0" w:line="240" w:lineRule="auto"/>
              <w:rPr>
                <w:rFonts w:eastAsia="Times New Roman" w:cs="Arial"/>
                <w:b/>
                <w:bCs/>
                <w:color w:val="FFFFFF"/>
                <w:sz w:val="18"/>
                <w:szCs w:val="18"/>
                <w:lang w:eastAsia="zh-CN"/>
              </w:rPr>
            </w:pPr>
          </w:p>
        </w:tc>
        <w:tc>
          <w:tcPr>
            <w:tcW w:w="0" w:type="auto"/>
            <w:tcBorders>
              <w:top w:val="nil"/>
              <w:left w:val="nil"/>
              <w:bottom w:val="nil"/>
              <w:right w:val="nil"/>
            </w:tcBorders>
            <w:shd w:val="clear" w:color="000000" w:fill="6B2976"/>
            <w:vAlign w:val="center"/>
            <w:hideMark/>
          </w:tcPr>
          <w:p w14:paraId="24BC3045" w14:textId="77777777" w:rsidR="00A01BF1" w:rsidRPr="00F830E6" w:rsidRDefault="00A01BF1"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17</w:t>
            </w:r>
          </w:p>
        </w:tc>
        <w:tc>
          <w:tcPr>
            <w:tcW w:w="0" w:type="auto"/>
            <w:tcBorders>
              <w:top w:val="nil"/>
              <w:left w:val="nil"/>
              <w:bottom w:val="nil"/>
              <w:right w:val="nil"/>
            </w:tcBorders>
            <w:shd w:val="clear" w:color="000000" w:fill="6B2976"/>
            <w:vAlign w:val="center"/>
            <w:hideMark/>
          </w:tcPr>
          <w:p w14:paraId="62947D8A" w14:textId="77777777" w:rsidR="00A01BF1" w:rsidRPr="00F830E6" w:rsidRDefault="00A01BF1"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18</w:t>
            </w:r>
          </w:p>
        </w:tc>
        <w:tc>
          <w:tcPr>
            <w:tcW w:w="0" w:type="auto"/>
            <w:tcBorders>
              <w:top w:val="nil"/>
              <w:left w:val="nil"/>
              <w:bottom w:val="nil"/>
              <w:right w:val="nil"/>
            </w:tcBorders>
            <w:shd w:val="clear" w:color="000000" w:fill="6B2976"/>
            <w:vAlign w:val="center"/>
            <w:hideMark/>
          </w:tcPr>
          <w:p w14:paraId="75A0F2FE" w14:textId="77777777" w:rsidR="00A01BF1" w:rsidRPr="00F830E6" w:rsidRDefault="00A01BF1"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19</w:t>
            </w:r>
          </w:p>
        </w:tc>
        <w:tc>
          <w:tcPr>
            <w:tcW w:w="0" w:type="auto"/>
            <w:tcBorders>
              <w:top w:val="nil"/>
              <w:left w:val="nil"/>
              <w:bottom w:val="nil"/>
              <w:right w:val="nil"/>
            </w:tcBorders>
            <w:shd w:val="clear" w:color="000000" w:fill="6B2976"/>
            <w:vAlign w:val="center"/>
            <w:hideMark/>
          </w:tcPr>
          <w:p w14:paraId="3A96EEA3" w14:textId="77777777" w:rsidR="00A01BF1" w:rsidRPr="00F830E6" w:rsidRDefault="00A01BF1"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20</w:t>
            </w:r>
          </w:p>
        </w:tc>
        <w:tc>
          <w:tcPr>
            <w:tcW w:w="0" w:type="auto"/>
            <w:tcBorders>
              <w:top w:val="nil"/>
              <w:left w:val="nil"/>
              <w:bottom w:val="nil"/>
              <w:right w:val="nil"/>
            </w:tcBorders>
            <w:shd w:val="clear" w:color="000000" w:fill="6B2976"/>
            <w:vAlign w:val="center"/>
            <w:hideMark/>
          </w:tcPr>
          <w:p w14:paraId="4B4DC080" w14:textId="77777777" w:rsidR="00A01BF1" w:rsidRPr="00F830E6" w:rsidRDefault="00A01BF1"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21</w:t>
            </w:r>
          </w:p>
        </w:tc>
        <w:tc>
          <w:tcPr>
            <w:tcW w:w="0" w:type="auto"/>
            <w:tcBorders>
              <w:top w:val="nil"/>
              <w:left w:val="nil"/>
              <w:right w:val="nil"/>
            </w:tcBorders>
            <w:shd w:val="clear" w:color="000000" w:fill="6B2976"/>
            <w:vAlign w:val="center"/>
            <w:hideMark/>
          </w:tcPr>
          <w:p w14:paraId="00DECDD0" w14:textId="77777777" w:rsidR="00A01BF1" w:rsidRPr="00F830E6" w:rsidRDefault="00A01BF1"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Jan-Feb 22</w:t>
            </w:r>
          </w:p>
        </w:tc>
        <w:tc>
          <w:tcPr>
            <w:tcW w:w="0" w:type="auto"/>
            <w:tcBorders>
              <w:top w:val="nil"/>
              <w:left w:val="nil"/>
              <w:bottom w:val="nil"/>
              <w:right w:val="nil"/>
            </w:tcBorders>
            <w:shd w:val="clear" w:color="000000" w:fill="6B2976"/>
            <w:vAlign w:val="center"/>
            <w:hideMark/>
          </w:tcPr>
          <w:p w14:paraId="7E8A59D5" w14:textId="77777777" w:rsidR="00A01BF1" w:rsidRPr="00F830E6" w:rsidRDefault="00A01BF1"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Overall</w:t>
            </w:r>
          </w:p>
        </w:tc>
      </w:tr>
      <w:tr w:rsidR="00A01BF1" w:rsidRPr="008116E1" w14:paraId="559579F3" w14:textId="77777777" w:rsidTr="00F830E6">
        <w:trPr>
          <w:trHeight w:val="301"/>
        </w:trPr>
        <w:tc>
          <w:tcPr>
            <w:tcW w:w="0" w:type="auto"/>
            <w:tcBorders>
              <w:top w:val="nil"/>
              <w:left w:val="nil"/>
              <w:bottom w:val="nil"/>
              <w:right w:val="dotted" w:sz="4" w:space="0" w:color="auto"/>
            </w:tcBorders>
            <w:shd w:val="clear" w:color="auto" w:fill="auto"/>
            <w:noWrap/>
            <w:vAlign w:val="center"/>
            <w:hideMark/>
          </w:tcPr>
          <w:p w14:paraId="0B8307A5" w14:textId="77777777" w:rsidR="00A01BF1" w:rsidRPr="00F830E6" w:rsidRDefault="00A01BF1">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0 to 6 </w:t>
            </w:r>
          </w:p>
        </w:tc>
        <w:tc>
          <w:tcPr>
            <w:tcW w:w="0" w:type="auto"/>
            <w:tcBorders>
              <w:top w:val="nil"/>
              <w:left w:val="dotted" w:sz="4" w:space="0" w:color="auto"/>
              <w:bottom w:val="nil"/>
              <w:right w:val="nil"/>
            </w:tcBorders>
            <w:shd w:val="clear" w:color="auto" w:fill="auto"/>
            <w:noWrap/>
            <w:vAlign w:val="center"/>
            <w:hideMark/>
          </w:tcPr>
          <w:p w14:paraId="3CC8F4BF"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0.10%</w:t>
            </w:r>
          </w:p>
        </w:tc>
        <w:tc>
          <w:tcPr>
            <w:tcW w:w="0" w:type="auto"/>
            <w:tcBorders>
              <w:top w:val="nil"/>
              <w:left w:val="nil"/>
              <w:bottom w:val="nil"/>
              <w:right w:val="nil"/>
            </w:tcBorders>
            <w:shd w:val="clear" w:color="auto" w:fill="auto"/>
            <w:noWrap/>
            <w:vAlign w:val="center"/>
            <w:hideMark/>
          </w:tcPr>
          <w:p w14:paraId="046218E2"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0.09%</w:t>
            </w:r>
          </w:p>
        </w:tc>
        <w:tc>
          <w:tcPr>
            <w:tcW w:w="0" w:type="auto"/>
            <w:tcBorders>
              <w:top w:val="nil"/>
              <w:left w:val="nil"/>
              <w:bottom w:val="nil"/>
              <w:right w:val="nil"/>
            </w:tcBorders>
            <w:shd w:val="clear" w:color="auto" w:fill="auto"/>
            <w:noWrap/>
            <w:vAlign w:val="center"/>
            <w:hideMark/>
          </w:tcPr>
          <w:p w14:paraId="4261533E"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0.09%</w:t>
            </w:r>
          </w:p>
        </w:tc>
        <w:tc>
          <w:tcPr>
            <w:tcW w:w="0" w:type="auto"/>
            <w:tcBorders>
              <w:top w:val="nil"/>
              <w:left w:val="nil"/>
              <w:bottom w:val="nil"/>
              <w:right w:val="nil"/>
            </w:tcBorders>
            <w:shd w:val="clear" w:color="auto" w:fill="auto"/>
            <w:noWrap/>
            <w:vAlign w:val="center"/>
            <w:hideMark/>
          </w:tcPr>
          <w:p w14:paraId="2AC353C2"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0.10%</w:t>
            </w:r>
          </w:p>
        </w:tc>
        <w:tc>
          <w:tcPr>
            <w:tcW w:w="0" w:type="auto"/>
            <w:tcBorders>
              <w:top w:val="nil"/>
              <w:left w:val="nil"/>
              <w:bottom w:val="nil"/>
              <w:right w:val="nil"/>
            </w:tcBorders>
            <w:shd w:val="clear" w:color="auto" w:fill="auto"/>
            <w:noWrap/>
            <w:vAlign w:val="center"/>
            <w:hideMark/>
          </w:tcPr>
          <w:p w14:paraId="2270F1FA"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0.10%</w:t>
            </w:r>
          </w:p>
        </w:tc>
        <w:tc>
          <w:tcPr>
            <w:tcW w:w="0" w:type="auto"/>
            <w:tcBorders>
              <w:top w:val="nil"/>
              <w:left w:val="nil"/>
              <w:bottom w:val="nil"/>
              <w:right w:val="dotted" w:sz="4" w:space="0" w:color="auto"/>
            </w:tcBorders>
            <w:shd w:val="clear" w:color="auto" w:fill="auto"/>
            <w:noWrap/>
            <w:vAlign w:val="center"/>
            <w:hideMark/>
          </w:tcPr>
          <w:p w14:paraId="61FFB5A5"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0.11%</w:t>
            </w:r>
          </w:p>
        </w:tc>
        <w:tc>
          <w:tcPr>
            <w:tcW w:w="0" w:type="auto"/>
            <w:tcBorders>
              <w:top w:val="nil"/>
              <w:left w:val="dotted" w:sz="4" w:space="0" w:color="auto"/>
              <w:bottom w:val="nil"/>
              <w:right w:val="nil"/>
            </w:tcBorders>
            <w:shd w:val="clear" w:color="auto" w:fill="auto"/>
            <w:noWrap/>
            <w:vAlign w:val="center"/>
            <w:hideMark/>
          </w:tcPr>
          <w:p w14:paraId="29E87321"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0.10%</w:t>
            </w:r>
          </w:p>
        </w:tc>
      </w:tr>
      <w:tr w:rsidR="00F830E6" w:rsidRPr="008116E1" w14:paraId="6863B85A" w14:textId="77777777" w:rsidTr="00F830E6">
        <w:trPr>
          <w:trHeight w:val="301"/>
        </w:trPr>
        <w:tc>
          <w:tcPr>
            <w:tcW w:w="0" w:type="auto"/>
            <w:tcBorders>
              <w:top w:val="nil"/>
              <w:left w:val="nil"/>
              <w:bottom w:val="nil"/>
              <w:right w:val="dotted" w:sz="4" w:space="0" w:color="auto"/>
            </w:tcBorders>
            <w:shd w:val="clear" w:color="000000" w:fill="BFBFBF"/>
            <w:noWrap/>
            <w:vAlign w:val="center"/>
            <w:hideMark/>
          </w:tcPr>
          <w:p w14:paraId="62744B9F" w14:textId="77777777" w:rsidR="00A01BF1" w:rsidRPr="00F830E6" w:rsidRDefault="00A01BF1">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7 to 14 </w:t>
            </w:r>
          </w:p>
        </w:tc>
        <w:tc>
          <w:tcPr>
            <w:tcW w:w="0" w:type="auto"/>
            <w:tcBorders>
              <w:top w:val="nil"/>
              <w:left w:val="dotted" w:sz="4" w:space="0" w:color="auto"/>
              <w:bottom w:val="nil"/>
              <w:right w:val="nil"/>
            </w:tcBorders>
            <w:shd w:val="clear" w:color="000000" w:fill="BFBFBF"/>
            <w:noWrap/>
            <w:vAlign w:val="center"/>
            <w:hideMark/>
          </w:tcPr>
          <w:p w14:paraId="228605A1"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0.11%</w:t>
            </w:r>
          </w:p>
        </w:tc>
        <w:tc>
          <w:tcPr>
            <w:tcW w:w="0" w:type="auto"/>
            <w:tcBorders>
              <w:top w:val="nil"/>
              <w:left w:val="nil"/>
              <w:bottom w:val="nil"/>
              <w:right w:val="nil"/>
            </w:tcBorders>
            <w:shd w:val="clear" w:color="000000" w:fill="BFBFBF"/>
            <w:noWrap/>
            <w:vAlign w:val="center"/>
            <w:hideMark/>
          </w:tcPr>
          <w:p w14:paraId="0A92B66D"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0.10%</w:t>
            </w:r>
          </w:p>
        </w:tc>
        <w:tc>
          <w:tcPr>
            <w:tcW w:w="0" w:type="auto"/>
            <w:tcBorders>
              <w:top w:val="nil"/>
              <w:left w:val="nil"/>
              <w:bottom w:val="nil"/>
              <w:right w:val="nil"/>
            </w:tcBorders>
            <w:shd w:val="clear" w:color="000000" w:fill="BFBFBF"/>
            <w:noWrap/>
            <w:vAlign w:val="center"/>
            <w:hideMark/>
          </w:tcPr>
          <w:p w14:paraId="396D2B45"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0.09%</w:t>
            </w:r>
          </w:p>
        </w:tc>
        <w:tc>
          <w:tcPr>
            <w:tcW w:w="0" w:type="auto"/>
            <w:tcBorders>
              <w:top w:val="nil"/>
              <w:left w:val="nil"/>
              <w:bottom w:val="nil"/>
              <w:right w:val="nil"/>
            </w:tcBorders>
            <w:shd w:val="clear" w:color="000000" w:fill="BFBFBF"/>
            <w:noWrap/>
            <w:vAlign w:val="center"/>
            <w:hideMark/>
          </w:tcPr>
          <w:p w14:paraId="2C21CE55"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0.08%</w:t>
            </w:r>
          </w:p>
        </w:tc>
        <w:tc>
          <w:tcPr>
            <w:tcW w:w="0" w:type="auto"/>
            <w:tcBorders>
              <w:top w:val="nil"/>
              <w:left w:val="nil"/>
              <w:bottom w:val="nil"/>
              <w:right w:val="nil"/>
            </w:tcBorders>
            <w:shd w:val="clear" w:color="000000" w:fill="BFBFBF"/>
            <w:noWrap/>
            <w:vAlign w:val="center"/>
            <w:hideMark/>
          </w:tcPr>
          <w:p w14:paraId="27F56BAC"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0.07%</w:t>
            </w:r>
          </w:p>
        </w:tc>
        <w:tc>
          <w:tcPr>
            <w:tcW w:w="0" w:type="auto"/>
            <w:tcBorders>
              <w:top w:val="nil"/>
              <w:left w:val="nil"/>
              <w:bottom w:val="nil"/>
              <w:right w:val="dotted" w:sz="4" w:space="0" w:color="auto"/>
            </w:tcBorders>
            <w:shd w:val="clear" w:color="000000" w:fill="BFBFBF"/>
            <w:noWrap/>
            <w:vAlign w:val="center"/>
            <w:hideMark/>
          </w:tcPr>
          <w:p w14:paraId="0D306254"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0.07%</w:t>
            </w:r>
          </w:p>
        </w:tc>
        <w:tc>
          <w:tcPr>
            <w:tcW w:w="0" w:type="auto"/>
            <w:tcBorders>
              <w:top w:val="nil"/>
              <w:left w:val="dotted" w:sz="4" w:space="0" w:color="auto"/>
              <w:bottom w:val="nil"/>
              <w:right w:val="nil"/>
            </w:tcBorders>
            <w:shd w:val="clear" w:color="000000" w:fill="BFBFBF"/>
            <w:noWrap/>
            <w:vAlign w:val="center"/>
            <w:hideMark/>
          </w:tcPr>
          <w:p w14:paraId="1438F6E0"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0.08%</w:t>
            </w:r>
          </w:p>
        </w:tc>
      </w:tr>
      <w:tr w:rsidR="00A01BF1" w:rsidRPr="008116E1" w14:paraId="2FBE8591" w14:textId="77777777" w:rsidTr="00F830E6">
        <w:trPr>
          <w:trHeight w:val="301"/>
        </w:trPr>
        <w:tc>
          <w:tcPr>
            <w:tcW w:w="0" w:type="auto"/>
            <w:tcBorders>
              <w:top w:val="nil"/>
              <w:left w:val="nil"/>
              <w:bottom w:val="nil"/>
              <w:right w:val="dotted" w:sz="4" w:space="0" w:color="auto"/>
            </w:tcBorders>
            <w:shd w:val="clear" w:color="auto" w:fill="auto"/>
            <w:noWrap/>
            <w:vAlign w:val="center"/>
            <w:hideMark/>
          </w:tcPr>
          <w:p w14:paraId="54A451C0" w14:textId="77777777" w:rsidR="00A01BF1" w:rsidRPr="00F830E6" w:rsidRDefault="00A01BF1">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15 to 18 </w:t>
            </w:r>
          </w:p>
        </w:tc>
        <w:tc>
          <w:tcPr>
            <w:tcW w:w="0" w:type="auto"/>
            <w:tcBorders>
              <w:top w:val="nil"/>
              <w:left w:val="dotted" w:sz="4" w:space="0" w:color="auto"/>
              <w:bottom w:val="nil"/>
              <w:right w:val="nil"/>
            </w:tcBorders>
            <w:shd w:val="clear" w:color="auto" w:fill="auto"/>
            <w:noWrap/>
            <w:vAlign w:val="center"/>
            <w:hideMark/>
          </w:tcPr>
          <w:p w14:paraId="3EE112A9"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0.21%</w:t>
            </w:r>
          </w:p>
        </w:tc>
        <w:tc>
          <w:tcPr>
            <w:tcW w:w="0" w:type="auto"/>
            <w:tcBorders>
              <w:top w:val="nil"/>
              <w:left w:val="nil"/>
              <w:bottom w:val="nil"/>
              <w:right w:val="nil"/>
            </w:tcBorders>
            <w:shd w:val="clear" w:color="auto" w:fill="auto"/>
            <w:noWrap/>
            <w:vAlign w:val="center"/>
            <w:hideMark/>
          </w:tcPr>
          <w:p w14:paraId="5B95A40D"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0.20%</w:t>
            </w:r>
          </w:p>
        </w:tc>
        <w:tc>
          <w:tcPr>
            <w:tcW w:w="0" w:type="auto"/>
            <w:tcBorders>
              <w:top w:val="nil"/>
              <w:left w:val="nil"/>
              <w:bottom w:val="nil"/>
              <w:right w:val="nil"/>
            </w:tcBorders>
            <w:shd w:val="clear" w:color="auto" w:fill="auto"/>
            <w:noWrap/>
            <w:vAlign w:val="center"/>
            <w:hideMark/>
          </w:tcPr>
          <w:p w14:paraId="16C36B94"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0.19%</w:t>
            </w:r>
          </w:p>
        </w:tc>
        <w:tc>
          <w:tcPr>
            <w:tcW w:w="0" w:type="auto"/>
            <w:tcBorders>
              <w:top w:val="nil"/>
              <w:left w:val="nil"/>
              <w:bottom w:val="nil"/>
              <w:right w:val="nil"/>
            </w:tcBorders>
            <w:shd w:val="clear" w:color="auto" w:fill="auto"/>
            <w:noWrap/>
            <w:vAlign w:val="center"/>
            <w:hideMark/>
          </w:tcPr>
          <w:p w14:paraId="6202D2F9"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0.16%</w:t>
            </w:r>
          </w:p>
        </w:tc>
        <w:tc>
          <w:tcPr>
            <w:tcW w:w="0" w:type="auto"/>
            <w:tcBorders>
              <w:top w:val="nil"/>
              <w:left w:val="nil"/>
              <w:bottom w:val="nil"/>
              <w:right w:val="nil"/>
            </w:tcBorders>
            <w:shd w:val="clear" w:color="auto" w:fill="auto"/>
            <w:noWrap/>
            <w:vAlign w:val="center"/>
            <w:hideMark/>
          </w:tcPr>
          <w:p w14:paraId="21647BDE"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0.15%</w:t>
            </w:r>
          </w:p>
        </w:tc>
        <w:tc>
          <w:tcPr>
            <w:tcW w:w="0" w:type="auto"/>
            <w:tcBorders>
              <w:top w:val="nil"/>
              <w:left w:val="nil"/>
              <w:bottom w:val="nil"/>
              <w:right w:val="dotted" w:sz="4" w:space="0" w:color="auto"/>
            </w:tcBorders>
            <w:shd w:val="clear" w:color="auto" w:fill="auto"/>
            <w:noWrap/>
            <w:vAlign w:val="center"/>
            <w:hideMark/>
          </w:tcPr>
          <w:p w14:paraId="26F0AC39"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0.14%</w:t>
            </w:r>
          </w:p>
        </w:tc>
        <w:tc>
          <w:tcPr>
            <w:tcW w:w="0" w:type="auto"/>
            <w:tcBorders>
              <w:top w:val="nil"/>
              <w:left w:val="dotted" w:sz="4" w:space="0" w:color="auto"/>
              <w:bottom w:val="nil"/>
              <w:right w:val="nil"/>
            </w:tcBorders>
            <w:shd w:val="clear" w:color="auto" w:fill="auto"/>
            <w:noWrap/>
            <w:vAlign w:val="center"/>
            <w:hideMark/>
          </w:tcPr>
          <w:p w14:paraId="7A0BBF80"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0.17%</w:t>
            </w:r>
          </w:p>
        </w:tc>
      </w:tr>
      <w:tr w:rsidR="00F830E6" w:rsidRPr="008116E1" w14:paraId="605C8725" w14:textId="77777777" w:rsidTr="00F830E6">
        <w:trPr>
          <w:trHeight w:val="301"/>
        </w:trPr>
        <w:tc>
          <w:tcPr>
            <w:tcW w:w="0" w:type="auto"/>
            <w:tcBorders>
              <w:top w:val="nil"/>
              <w:left w:val="nil"/>
              <w:bottom w:val="nil"/>
              <w:right w:val="dotted" w:sz="4" w:space="0" w:color="auto"/>
            </w:tcBorders>
            <w:shd w:val="clear" w:color="000000" w:fill="BFBFBF"/>
            <w:noWrap/>
            <w:vAlign w:val="center"/>
            <w:hideMark/>
          </w:tcPr>
          <w:p w14:paraId="3B16CD17" w14:textId="77777777" w:rsidR="00A01BF1" w:rsidRPr="00F830E6" w:rsidRDefault="00A01BF1">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19 to 24 </w:t>
            </w:r>
          </w:p>
        </w:tc>
        <w:tc>
          <w:tcPr>
            <w:tcW w:w="0" w:type="auto"/>
            <w:tcBorders>
              <w:top w:val="nil"/>
              <w:left w:val="dotted" w:sz="4" w:space="0" w:color="auto"/>
              <w:bottom w:val="nil"/>
              <w:right w:val="nil"/>
            </w:tcBorders>
            <w:shd w:val="clear" w:color="000000" w:fill="BFBFBF"/>
            <w:noWrap/>
            <w:vAlign w:val="center"/>
            <w:hideMark/>
          </w:tcPr>
          <w:p w14:paraId="74C6B4C8"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0.29%</w:t>
            </w:r>
          </w:p>
        </w:tc>
        <w:tc>
          <w:tcPr>
            <w:tcW w:w="0" w:type="auto"/>
            <w:tcBorders>
              <w:top w:val="nil"/>
              <w:left w:val="nil"/>
              <w:bottom w:val="nil"/>
              <w:right w:val="nil"/>
            </w:tcBorders>
            <w:shd w:val="clear" w:color="000000" w:fill="BFBFBF"/>
            <w:noWrap/>
            <w:vAlign w:val="center"/>
            <w:hideMark/>
          </w:tcPr>
          <w:p w14:paraId="06125D2A"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0.29%</w:t>
            </w:r>
          </w:p>
        </w:tc>
        <w:tc>
          <w:tcPr>
            <w:tcW w:w="0" w:type="auto"/>
            <w:tcBorders>
              <w:top w:val="nil"/>
              <w:left w:val="nil"/>
              <w:bottom w:val="nil"/>
              <w:right w:val="nil"/>
            </w:tcBorders>
            <w:shd w:val="clear" w:color="000000" w:fill="BFBFBF"/>
            <w:noWrap/>
            <w:vAlign w:val="center"/>
            <w:hideMark/>
          </w:tcPr>
          <w:p w14:paraId="098CB528"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0.28%</w:t>
            </w:r>
          </w:p>
        </w:tc>
        <w:tc>
          <w:tcPr>
            <w:tcW w:w="0" w:type="auto"/>
            <w:tcBorders>
              <w:top w:val="nil"/>
              <w:left w:val="nil"/>
              <w:bottom w:val="nil"/>
              <w:right w:val="nil"/>
            </w:tcBorders>
            <w:shd w:val="clear" w:color="000000" w:fill="BFBFBF"/>
            <w:noWrap/>
            <w:vAlign w:val="center"/>
            <w:hideMark/>
          </w:tcPr>
          <w:p w14:paraId="760E690A"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0.26%</w:t>
            </w:r>
          </w:p>
        </w:tc>
        <w:tc>
          <w:tcPr>
            <w:tcW w:w="0" w:type="auto"/>
            <w:tcBorders>
              <w:top w:val="nil"/>
              <w:left w:val="nil"/>
              <w:bottom w:val="nil"/>
              <w:right w:val="nil"/>
            </w:tcBorders>
            <w:shd w:val="clear" w:color="000000" w:fill="BFBFBF"/>
            <w:noWrap/>
            <w:vAlign w:val="center"/>
            <w:hideMark/>
          </w:tcPr>
          <w:p w14:paraId="21E0969A"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0.24%</w:t>
            </w:r>
          </w:p>
        </w:tc>
        <w:tc>
          <w:tcPr>
            <w:tcW w:w="0" w:type="auto"/>
            <w:tcBorders>
              <w:top w:val="nil"/>
              <w:left w:val="nil"/>
              <w:bottom w:val="nil"/>
              <w:right w:val="dotted" w:sz="4" w:space="0" w:color="auto"/>
            </w:tcBorders>
            <w:shd w:val="clear" w:color="000000" w:fill="BFBFBF"/>
            <w:noWrap/>
            <w:vAlign w:val="center"/>
            <w:hideMark/>
          </w:tcPr>
          <w:p w14:paraId="3FFE5010"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0.23%</w:t>
            </w:r>
          </w:p>
        </w:tc>
        <w:tc>
          <w:tcPr>
            <w:tcW w:w="0" w:type="auto"/>
            <w:tcBorders>
              <w:top w:val="nil"/>
              <w:left w:val="dotted" w:sz="4" w:space="0" w:color="auto"/>
              <w:bottom w:val="nil"/>
              <w:right w:val="nil"/>
            </w:tcBorders>
            <w:shd w:val="clear" w:color="000000" w:fill="BFBFBF"/>
            <w:noWrap/>
            <w:vAlign w:val="center"/>
            <w:hideMark/>
          </w:tcPr>
          <w:p w14:paraId="1A523F8B"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0.26%</w:t>
            </w:r>
          </w:p>
        </w:tc>
      </w:tr>
      <w:tr w:rsidR="00A01BF1" w:rsidRPr="008116E1" w14:paraId="0A09BB04" w14:textId="77777777" w:rsidTr="00F830E6">
        <w:trPr>
          <w:trHeight w:val="301"/>
        </w:trPr>
        <w:tc>
          <w:tcPr>
            <w:tcW w:w="0" w:type="auto"/>
            <w:tcBorders>
              <w:top w:val="nil"/>
              <w:left w:val="nil"/>
              <w:bottom w:val="nil"/>
              <w:right w:val="dotted" w:sz="4" w:space="0" w:color="auto"/>
            </w:tcBorders>
            <w:shd w:val="clear" w:color="auto" w:fill="auto"/>
            <w:noWrap/>
            <w:vAlign w:val="center"/>
            <w:hideMark/>
          </w:tcPr>
          <w:p w14:paraId="58B97380" w14:textId="77777777" w:rsidR="00A01BF1" w:rsidRPr="00F830E6" w:rsidRDefault="00A01BF1">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25 to 34 </w:t>
            </w:r>
          </w:p>
        </w:tc>
        <w:tc>
          <w:tcPr>
            <w:tcW w:w="0" w:type="auto"/>
            <w:tcBorders>
              <w:top w:val="nil"/>
              <w:left w:val="dotted" w:sz="4" w:space="0" w:color="auto"/>
              <w:bottom w:val="nil"/>
              <w:right w:val="nil"/>
            </w:tcBorders>
            <w:shd w:val="clear" w:color="auto" w:fill="auto"/>
            <w:noWrap/>
            <w:vAlign w:val="center"/>
            <w:hideMark/>
          </w:tcPr>
          <w:p w14:paraId="5D90E644"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0.51%</w:t>
            </w:r>
          </w:p>
        </w:tc>
        <w:tc>
          <w:tcPr>
            <w:tcW w:w="0" w:type="auto"/>
            <w:tcBorders>
              <w:top w:val="nil"/>
              <w:left w:val="nil"/>
              <w:bottom w:val="nil"/>
              <w:right w:val="nil"/>
            </w:tcBorders>
            <w:shd w:val="clear" w:color="auto" w:fill="auto"/>
            <w:noWrap/>
            <w:vAlign w:val="center"/>
            <w:hideMark/>
          </w:tcPr>
          <w:p w14:paraId="1ADEA6B5"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0.49%</w:t>
            </w:r>
          </w:p>
        </w:tc>
        <w:tc>
          <w:tcPr>
            <w:tcW w:w="0" w:type="auto"/>
            <w:tcBorders>
              <w:top w:val="nil"/>
              <w:left w:val="nil"/>
              <w:bottom w:val="nil"/>
              <w:right w:val="nil"/>
            </w:tcBorders>
            <w:shd w:val="clear" w:color="auto" w:fill="auto"/>
            <w:noWrap/>
            <w:vAlign w:val="center"/>
            <w:hideMark/>
          </w:tcPr>
          <w:p w14:paraId="6AAE25B9"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0.49%</w:t>
            </w:r>
          </w:p>
        </w:tc>
        <w:tc>
          <w:tcPr>
            <w:tcW w:w="0" w:type="auto"/>
            <w:tcBorders>
              <w:top w:val="nil"/>
              <w:left w:val="nil"/>
              <w:bottom w:val="nil"/>
              <w:right w:val="nil"/>
            </w:tcBorders>
            <w:shd w:val="clear" w:color="auto" w:fill="auto"/>
            <w:noWrap/>
            <w:vAlign w:val="center"/>
            <w:hideMark/>
          </w:tcPr>
          <w:p w14:paraId="35EA1E59"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0.47%</w:t>
            </w:r>
          </w:p>
        </w:tc>
        <w:tc>
          <w:tcPr>
            <w:tcW w:w="0" w:type="auto"/>
            <w:tcBorders>
              <w:top w:val="nil"/>
              <w:left w:val="nil"/>
              <w:bottom w:val="nil"/>
              <w:right w:val="nil"/>
            </w:tcBorders>
            <w:shd w:val="clear" w:color="auto" w:fill="auto"/>
            <w:noWrap/>
            <w:vAlign w:val="center"/>
            <w:hideMark/>
          </w:tcPr>
          <w:p w14:paraId="719B04A3"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0.45%</w:t>
            </w:r>
          </w:p>
        </w:tc>
        <w:tc>
          <w:tcPr>
            <w:tcW w:w="0" w:type="auto"/>
            <w:tcBorders>
              <w:top w:val="nil"/>
              <w:left w:val="nil"/>
              <w:bottom w:val="nil"/>
              <w:right w:val="dotted" w:sz="4" w:space="0" w:color="auto"/>
            </w:tcBorders>
            <w:shd w:val="clear" w:color="auto" w:fill="auto"/>
            <w:noWrap/>
            <w:vAlign w:val="center"/>
            <w:hideMark/>
          </w:tcPr>
          <w:p w14:paraId="630DC5EB"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0.44%</w:t>
            </w:r>
          </w:p>
        </w:tc>
        <w:tc>
          <w:tcPr>
            <w:tcW w:w="0" w:type="auto"/>
            <w:tcBorders>
              <w:top w:val="nil"/>
              <w:left w:val="dotted" w:sz="4" w:space="0" w:color="auto"/>
              <w:bottom w:val="nil"/>
              <w:right w:val="nil"/>
            </w:tcBorders>
            <w:shd w:val="clear" w:color="auto" w:fill="auto"/>
            <w:noWrap/>
            <w:vAlign w:val="center"/>
            <w:hideMark/>
          </w:tcPr>
          <w:p w14:paraId="226EA702"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0.47%</w:t>
            </w:r>
          </w:p>
        </w:tc>
      </w:tr>
      <w:tr w:rsidR="00F830E6" w:rsidRPr="008116E1" w14:paraId="6D90022C" w14:textId="77777777" w:rsidTr="00F830E6">
        <w:trPr>
          <w:trHeight w:val="301"/>
        </w:trPr>
        <w:tc>
          <w:tcPr>
            <w:tcW w:w="0" w:type="auto"/>
            <w:tcBorders>
              <w:top w:val="nil"/>
              <w:left w:val="nil"/>
              <w:bottom w:val="nil"/>
              <w:right w:val="dotted" w:sz="4" w:space="0" w:color="auto"/>
            </w:tcBorders>
            <w:shd w:val="clear" w:color="000000" w:fill="BFBFBF"/>
            <w:noWrap/>
            <w:vAlign w:val="center"/>
            <w:hideMark/>
          </w:tcPr>
          <w:p w14:paraId="32584047" w14:textId="77777777" w:rsidR="00A01BF1" w:rsidRPr="00F830E6" w:rsidRDefault="00A01BF1">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35 to 44 </w:t>
            </w:r>
          </w:p>
        </w:tc>
        <w:tc>
          <w:tcPr>
            <w:tcW w:w="0" w:type="auto"/>
            <w:tcBorders>
              <w:top w:val="nil"/>
              <w:left w:val="dotted" w:sz="4" w:space="0" w:color="auto"/>
              <w:bottom w:val="nil"/>
              <w:right w:val="nil"/>
            </w:tcBorders>
            <w:shd w:val="clear" w:color="000000" w:fill="BFBFBF"/>
            <w:noWrap/>
            <w:vAlign w:val="center"/>
            <w:hideMark/>
          </w:tcPr>
          <w:p w14:paraId="7EA6A3A1"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0.95%</w:t>
            </w:r>
          </w:p>
        </w:tc>
        <w:tc>
          <w:tcPr>
            <w:tcW w:w="0" w:type="auto"/>
            <w:tcBorders>
              <w:top w:val="nil"/>
              <w:left w:val="nil"/>
              <w:bottom w:val="nil"/>
              <w:right w:val="nil"/>
            </w:tcBorders>
            <w:shd w:val="clear" w:color="000000" w:fill="BFBFBF"/>
            <w:noWrap/>
            <w:vAlign w:val="center"/>
            <w:hideMark/>
          </w:tcPr>
          <w:p w14:paraId="59E04E66"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0.93%</w:t>
            </w:r>
          </w:p>
        </w:tc>
        <w:tc>
          <w:tcPr>
            <w:tcW w:w="0" w:type="auto"/>
            <w:tcBorders>
              <w:top w:val="nil"/>
              <w:left w:val="nil"/>
              <w:bottom w:val="nil"/>
              <w:right w:val="nil"/>
            </w:tcBorders>
            <w:shd w:val="clear" w:color="000000" w:fill="BFBFBF"/>
            <w:noWrap/>
            <w:vAlign w:val="center"/>
            <w:hideMark/>
          </w:tcPr>
          <w:p w14:paraId="0D2C8316"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0.93%</w:t>
            </w:r>
          </w:p>
        </w:tc>
        <w:tc>
          <w:tcPr>
            <w:tcW w:w="0" w:type="auto"/>
            <w:tcBorders>
              <w:top w:val="nil"/>
              <w:left w:val="nil"/>
              <w:bottom w:val="nil"/>
              <w:right w:val="nil"/>
            </w:tcBorders>
            <w:shd w:val="clear" w:color="000000" w:fill="BFBFBF"/>
            <w:noWrap/>
            <w:vAlign w:val="center"/>
            <w:hideMark/>
          </w:tcPr>
          <w:p w14:paraId="7FADA945"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0.92%</w:t>
            </w:r>
          </w:p>
        </w:tc>
        <w:tc>
          <w:tcPr>
            <w:tcW w:w="0" w:type="auto"/>
            <w:tcBorders>
              <w:top w:val="nil"/>
              <w:left w:val="nil"/>
              <w:bottom w:val="nil"/>
              <w:right w:val="nil"/>
            </w:tcBorders>
            <w:shd w:val="clear" w:color="000000" w:fill="BFBFBF"/>
            <w:noWrap/>
            <w:vAlign w:val="center"/>
            <w:hideMark/>
          </w:tcPr>
          <w:p w14:paraId="4443CACE"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0.89%</w:t>
            </w:r>
          </w:p>
        </w:tc>
        <w:tc>
          <w:tcPr>
            <w:tcW w:w="0" w:type="auto"/>
            <w:tcBorders>
              <w:top w:val="nil"/>
              <w:left w:val="nil"/>
              <w:bottom w:val="nil"/>
              <w:right w:val="dotted" w:sz="4" w:space="0" w:color="auto"/>
            </w:tcBorders>
            <w:shd w:val="clear" w:color="000000" w:fill="BFBFBF"/>
            <w:noWrap/>
            <w:vAlign w:val="center"/>
            <w:hideMark/>
          </w:tcPr>
          <w:p w14:paraId="77C81BB9"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0.86%</w:t>
            </w:r>
          </w:p>
        </w:tc>
        <w:tc>
          <w:tcPr>
            <w:tcW w:w="0" w:type="auto"/>
            <w:tcBorders>
              <w:top w:val="nil"/>
              <w:left w:val="dotted" w:sz="4" w:space="0" w:color="auto"/>
              <w:bottom w:val="nil"/>
              <w:right w:val="nil"/>
            </w:tcBorders>
            <w:shd w:val="clear" w:color="000000" w:fill="BFBFBF"/>
            <w:noWrap/>
            <w:vAlign w:val="center"/>
            <w:hideMark/>
          </w:tcPr>
          <w:p w14:paraId="52DC6EB5"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0.91%</w:t>
            </w:r>
          </w:p>
        </w:tc>
      </w:tr>
      <w:tr w:rsidR="00A01BF1" w:rsidRPr="008116E1" w14:paraId="4C3E01A4" w14:textId="77777777" w:rsidTr="00F830E6">
        <w:trPr>
          <w:trHeight w:val="301"/>
        </w:trPr>
        <w:tc>
          <w:tcPr>
            <w:tcW w:w="0" w:type="auto"/>
            <w:tcBorders>
              <w:top w:val="nil"/>
              <w:left w:val="nil"/>
              <w:bottom w:val="nil"/>
              <w:right w:val="dotted" w:sz="4" w:space="0" w:color="auto"/>
            </w:tcBorders>
            <w:shd w:val="clear" w:color="auto" w:fill="auto"/>
            <w:noWrap/>
            <w:vAlign w:val="center"/>
            <w:hideMark/>
          </w:tcPr>
          <w:p w14:paraId="48B04BD1" w14:textId="77777777" w:rsidR="00A01BF1" w:rsidRPr="00F830E6" w:rsidRDefault="00A01BF1">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45 to 54 </w:t>
            </w:r>
          </w:p>
        </w:tc>
        <w:tc>
          <w:tcPr>
            <w:tcW w:w="0" w:type="auto"/>
            <w:tcBorders>
              <w:top w:val="nil"/>
              <w:left w:val="dotted" w:sz="4" w:space="0" w:color="auto"/>
              <w:bottom w:val="nil"/>
              <w:right w:val="nil"/>
            </w:tcBorders>
            <w:shd w:val="clear" w:color="auto" w:fill="auto"/>
            <w:noWrap/>
            <w:vAlign w:val="center"/>
            <w:hideMark/>
          </w:tcPr>
          <w:p w14:paraId="2E597841"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1.91%</w:t>
            </w:r>
          </w:p>
        </w:tc>
        <w:tc>
          <w:tcPr>
            <w:tcW w:w="0" w:type="auto"/>
            <w:tcBorders>
              <w:top w:val="nil"/>
              <w:left w:val="nil"/>
              <w:bottom w:val="nil"/>
              <w:right w:val="nil"/>
            </w:tcBorders>
            <w:shd w:val="clear" w:color="auto" w:fill="auto"/>
            <w:noWrap/>
            <w:vAlign w:val="center"/>
            <w:hideMark/>
          </w:tcPr>
          <w:p w14:paraId="39671B99"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1.89%</w:t>
            </w:r>
          </w:p>
        </w:tc>
        <w:tc>
          <w:tcPr>
            <w:tcW w:w="0" w:type="auto"/>
            <w:tcBorders>
              <w:top w:val="nil"/>
              <w:left w:val="nil"/>
              <w:bottom w:val="nil"/>
              <w:right w:val="nil"/>
            </w:tcBorders>
            <w:shd w:val="clear" w:color="auto" w:fill="auto"/>
            <w:noWrap/>
            <w:vAlign w:val="center"/>
            <w:hideMark/>
          </w:tcPr>
          <w:p w14:paraId="439A8915"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1.87%</w:t>
            </w:r>
          </w:p>
        </w:tc>
        <w:tc>
          <w:tcPr>
            <w:tcW w:w="0" w:type="auto"/>
            <w:tcBorders>
              <w:top w:val="nil"/>
              <w:left w:val="nil"/>
              <w:bottom w:val="nil"/>
              <w:right w:val="nil"/>
            </w:tcBorders>
            <w:shd w:val="clear" w:color="auto" w:fill="auto"/>
            <w:noWrap/>
            <w:vAlign w:val="center"/>
            <w:hideMark/>
          </w:tcPr>
          <w:p w14:paraId="1A89D5EE"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1.84%</w:t>
            </w:r>
          </w:p>
        </w:tc>
        <w:tc>
          <w:tcPr>
            <w:tcW w:w="0" w:type="auto"/>
            <w:tcBorders>
              <w:top w:val="nil"/>
              <w:left w:val="nil"/>
              <w:bottom w:val="nil"/>
              <w:right w:val="nil"/>
            </w:tcBorders>
            <w:shd w:val="clear" w:color="auto" w:fill="auto"/>
            <w:noWrap/>
            <w:vAlign w:val="center"/>
            <w:hideMark/>
          </w:tcPr>
          <w:p w14:paraId="34E0C322"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1.79%</w:t>
            </w:r>
          </w:p>
        </w:tc>
        <w:tc>
          <w:tcPr>
            <w:tcW w:w="0" w:type="auto"/>
            <w:tcBorders>
              <w:top w:val="nil"/>
              <w:left w:val="nil"/>
              <w:bottom w:val="nil"/>
              <w:right w:val="dotted" w:sz="4" w:space="0" w:color="auto"/>
            </w:tcBorders>
            <w:shd w:val="clear" w:color="auto" w:fill="auto"/>
            <w:noWrap/>
            <w:vAlign w:val="center"/>
            <w:hideMark/>
          </w:tcPr>
          <w:p w14:paraId="2DAAC79E"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1.75%</w:t>
            </w:r>
          </w:p>
        </w:tc>
        <w:tc>
          <w:tcPr>
            <w:tcW w:w="0" w:type="auto"/>
            <w:tcBorders>
              <w:top w:val="nil"/>
              <w:left w:val="dotted" w:sz="4" w:space="0" w:color="auto"/>
              <w:bottom w:val="nil"/>
              <w:right w:val="nil"/>
            </w:tcBorders>
            <w:shd w:val="clear" w:color="auto" w:fill="auto"/>
            <w:noWrap/>
            <w:vAlign w:val="center"/>
            <w:hideMark/>
          </w:tcPr>
          <w:p w14:paraId="0BB8D131"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1.84%</w:t>
            </w:r>
          </w:p>
        </w:tc>
      </w:tr>
      <w:tr w:rsidR="00F830E6" w:rsidRPr="008116E1" w14:paraId="380CCB0C" w14:textId="77777777" w:rsidTr="00F830E6">
        <w:trPr>
          <w:trHeight w:val="301"/>
        </w:trPr>
        <w:tc>
          <w:tcPr>
            <w:tcW w:w="0" w:type="auto"/>
            <w:tcBorders>
              <w:top w:val="nil"/>
              <w:left w:val="nil"/>
              <w:bottom w:val="nil"/>
              <w:right w:val="dotted" w:sz="4" w:space="0" w:color="auto"/>
            </w:tcBorders>
            <w:shd w:val="clear" w:color="000000" w:fill="BFBFBF"/>
            <w:noWrap/>
            <w:vAlign w:val="center"/>
            <w:hideMark/>
          </w:tcPr>
          <w:p w14:paraId="01D1DD4E" w14:textId="77777777" w:rsidR="00A01BF1" w:rsidRPr="00F830E6" w:rsidRDefault="00A01BF1">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55 to 64 </w:t>
            </w:r>
          </w:p>
        </w:tc>
        <w:tc>
          <w:tcPr>
            <w:tcW w:w="0" w:type="auto"/>
            <w:tcBorders>
              <w:top w:val="nil"/>
              <w:left w:val="dotted" w:sz="4" w:space="0" w:color="auto"/>
              <w:bottom w:val="nil"/>
              <w:right w:val="nil"/>
            </w:tcBorders>
            <w:shd w:val="clear" w:color="000000" w:fill="BFBFBF"/>
            <w:noWrap/>
            <w:vAlign w:val="center"/>
            <w:hideMark/>
          </w:tcPr>
          <w:p w14:paraId="6B239BF3"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3.55%</w:t>
            </w:r>
          </w:p>
        </w:tc>
        <w:tc>
          <w:tcPr>
            <w:tcW w:w="0" w:type="auto"/>
            <w:tcBorders>
              <w:top w:val="nil"/>
              <w:left w:val="nil"/>
              <w:bottom w:val="nil"/>
              <w:right w:val="nil"/>
            </w:tcBorders>
            <w:shd w:val="clear" w:color="000000" w:fill="BFBFBF"/>
            <w:noWrap/>
            <w:vAlign w:val="center"/>
            <w:hideMark/>
          </w:tcPr>
          <w:p w14:paraId="5022B656"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3.57%</w:t>
            </w:r>
          </w:p>
        </w:tc>
        <w:tc>
          <w:tcPr>
            <w:tcW w:w="0" w:type="auto"/>
            <w:tcBorders>
              <w:top w:val="nil"/>
              <w:left w:val="nil"/>
              <w:bottom w:val="nil"/>
              <w:right w:val="nil"/>
            </w:tcBorders>
            <w:shd w:val="clear" w:color="000000" w:fill="BFBFBF"/>
            <w:noWrap/>
            <w:vAlign w:val="center"/>
            <w:hideMark/>
          </w:tcPr>
          <w:p w14:paraId="5EB9D1CA"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3.54%</w:t>
            </w:r>
          </w:p>
        </w:tc>
        <w:tc>
          <w:tcPr>
            <w:tcW w:w="0" w:type="auto"/>
            <w:tcBorders>
              <w:top w:val="nil"/>
              <w:left w:val="nil"/>
              <w:bottom w:val="nil"/>
              <w:right w:val="nil"/>
            </w:tcBorders>
            <w:shd w:val="clear" w:color="000000" w:fill="BFBFBF"/>
            <w:noWrap/>
            <w:vAlign w:val="center"/>
            <w:hideMark/>
          </w:tcPr>
          <w:p w14:paraId="19B21657"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3.50%</w:t>
            </w:r>
          </w:p>
        </w:tc>
        <w:tc>
          <w:tcPr>
            <w:tcW w:w="0" w:type="auto"/>
            <w:tcBorders>
              <w:top w:val="nil"/>
              <w:left w:val="nil"/>
              <w:bottom w:val="nil"/>
              <w:right w:val="nil"/>
            </w:tcBorders>
            <w:shd w:val="clear" w:color="000000" w:fill="BFBFBF"/>
            <w:noWrap/>
            <w:vAlign w:val="center"/>
            <w:hideMark/>
          </w:tcPr>
          <w:p w14:paraId="600FC6EB"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3.39%</w:t>
            </w:r>
          </w:p>
        </w:tc>
        <w:tc>
          <w:tcPr>
            <w:tcW w:w="0" w:type="auto"/>
            <w:tcBorders>
              <w:top w:val="nil"/>
              <w:left w:val="nil"/>
              <w:bottom w:val="nil"/>
              <w:right w:val="dotted" w:sz="4" w:space="0" w:color="auto"/>
            </w:tcBorders>
            <w:shd w:val="clear" w:color="000000" w:fill="BFBFBF"/>
            <w:noWrap/>
            <w:vAlign w:val="center"/>
            <w:hideMark/>
          </w:tcPr>
          <w:p w14:paraId="584F11DE"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3.32%</w:t>
            </w:r>
          </w:p>
        </w:tc>
        <w:tc>
          <w:tcPr>
            <w:tcW w:w="0" w:type="auto"/>
            <w:tcBorders>
              <w:top w:val="nil"/>
              <w:left w:val="dotted" w:sz="4" w:space="0" w:color="auto"/>
              <w:bottom w:val="nil"/>
              <w:right w:val="nil"/>
            </w:tcBorders>
            <w:shd w:val="clear" w:color="000000" w:fill="BFBFBF"/>
            <w:noWrap/>
            <w:vAlign w:val="center"/>
            <w:hideMark/>
          </w:tcPr>
          <w:p w14:paraId="6C6D4C16"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3.47%</w:t>
            </w:r>
          </w:p>
        </w:tc>
      </w:tr>
      <w:tr w:rsidR="00A01BF1" w:rsidRPr="008116E1" w14:paraId="2BAB7BC1" w14:textId="77777777" w:rsidTr="00F830E6">
        <w:trPr>
          <w:trHeight w:val="301"/>
        </w:trPr>
        <w:tc>
          <w:tcPr>
            <w:tcW w:w="0" w:type="auto"/>
            <w:tcBorders>
              <w:top w:val="nil"/>
              <w:left w:val="nil"/>
              <w:bottom w:val="nil"/>
              <w:right w:val="dotted" w:sz="4" w:space="0" w:color="auto"/>
            </w:tcBorders>
            <w:shd w:val="clear" w:color="auto" w:fill="auto"/>
            <w:noWrap/>
            <w:vAlign w:val="center"/>
            <w:hideMark/>
          </w:tcPr>
          <w:p w14:paraId="5DD66A4B" w14:textId="77777777" w:rsidR="00A01BF1" w:rsidRPr="00F830E6" w:rsidRDefault="00A01BF1">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65+ </w:t>
            </w:r>
          </w:p>
        </w:tc>
        <w:tc>
          <w:tcPr>
            <w:tcW w:w="0" w:type="auto"/>
            <w:tcBorders>
              <w:top w:val="nil"/>
              <w:left w:val="dotted" w:sz="4" w:space="0" w:color="auto"/>
              <w:bottom w:val="nil"/>
              <w:right w:val="nil"/>
            </w:tcBorders>
            <w:shd w:val="clear" w:color="auto" w:fill="auto"/>
            <w:noWrap/>
            <w:vAlign w:val="center"/>
            <w:hideMark/>
          </w:tcPr>
          <w:p w14:paraId="05B89E69"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4.50%</w:t>
            </w:r>
          </w:p>
        </w:tc>
        <w:tc>
          <w:tcPr>
            <w:tcW w:w="0" w:type="auto"/>
            <w:tcBorders>
              <w:top w:val="nil"/>
              <w:left w:val="nil"/>
              <w:bottom w:val="nil"/>
              <w:right w:val="nil"/>
            </w:tcBorders>
            <w:shd w:val="clear" w:color="auto" w:fill="auto"/>
            <w:noWrap/>
            <w:vAlign w:val="center"/>
            <w:hideMark/>
          </w:tcPr>
          <w:p w14:paraId="16A1C97C"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4.69%</w:t>
            </w:r>
          </w:p>
        </w:tc>
        <w:tc>
          <w:tcPr>
            <w:tcW w:w="0" w:type="auto"/>
            <w:tcBorders>
              <w:top w:val="nil"/>
              <w:left w:val="nil"/>
              <w:bottom w:val="nil"/>
              <w:right w:val="nil"/>
            </w:tcBorders>
            <w:shd w:val="clear" w:color="auto" w:fill="auto"/>
            <w:noWrap/>
            <w:vAlign w:val="center"/>
            <w:hideMark/>
          </w:tcPr>
          <w:p w14:paraId="57BB5B62"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4.74%</w:t>
            </w:r>
          </w:p>
        </w:tc>
        <w:tc>
          <w:tcPr>
            <w:tcW w:w="0" w:type="auto"/>
            <w:tcBorders>
              <w:top w:val="nil"/>
              <w:left w:val="nil"/>
              <w:bottom w:val="nil"/>
              <w:right w:val="nil"/>
            </w:tcBorders>
            <w:shd w:val="clear" w:color="auto" w:fill="auto"/>
            <w:noWrap/>
            <w:vAlign w:val="center"/>
            <w:hideMark/>
          </w:tcPr>
          <w:p w14:paraId="49ADA76D"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4.75%</w:t>
            </w:r>
          </w:p>
        </w:tc>
        <w:tc>
          <w:tcPr>
            <w:tcW w:w="0" w:type="auto"/>
            <w:tcBorders>
              <w:top w:val="nil"/>
              <w:left w:val="nil"/>
              <w:bottom w:val="nil"/>
              <w:right w:val="nil"/>
            </w:tcBorders>
            <w:shd w:val="clear" w:color="auto" w:fill="auto"/>
            <w:noWrap/>
            <w:vAlign w:val="center"/>
            <w:hideMark/>
          </w:tcPr>
          <w:p w14:paraId="25FCDEDC"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4.75%</w:t>
            </w:r>
          </w:p>
        </w:tc>
        <w:tc>
          <w:tcPr>
            <w:tcW w:w="0" w:type="auto"/>
            <w:tcBorders>
              <w:top w:val="nil"/>
              <w:left w:val="nil"/>
              <w:bottom w:val="nil"/>
              <w:right w:val="dotted" w:sz="4" w:space="0" w:color="auto"/>
            </w:tcBorders>
            <w:shd w:val="clear" w:color="auto" w:fill="auto"/>
            <w:noWrap/>
            <w:vAlign w:val="center"/>
            <w:hideMark/>
          </w:tcPr>
          <w:p w14:paraId="70FE64BA"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4.73%</w:t>
            </w:r>
          </w:p>
        </w:tc>
        <w:tc>
          <w:tcPr>
            <w:tcW w:w="0" w:type="auto"/>
            <w:tcBorders>
              <w:top w:val="nil"/>
              <w:left w:val="dotted" w:sz="4" w:space="0" w:color="auto"/>
              <w:bottom w:val="nil"/>
              <w:right w:val="nil"/>
            </w:tcBorders>
            <w:shd w:val="clear" w:color="auto" w:fill="auto"/>
            <w:noWrap/>
            <w:vAlign w:val="center"/>
            <w:hideMark/>
          </w:tcPr>
          <w:p w14:paraId="6A6B265C"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4.73%</w:t>
            </w:r>
          </w:p>
        </w:tc>
      </w:tr>
      <w:tr w:rsidR="00F830E6" w:rsidRPr="008116E1" w14:paraId="21CA4D4F" w14:textId="77777777" w:rsidTr="00F830E6">
        <w:trPr>
          <w:trHeight w:val="301"/>
        </w:trPr>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6CB756E7" w14:textId="77777777" w:rsidR="00A01BF1" w:rsidRPr="00F830E6" w:rsidRDefault="00A01BF1">
            <w:pPr>
              <w:spacing w:after="0" w:line="240" w:lineRule="auto"/>
              <w:rPr>
                <w:rFonts w:eastAsia="Times New Roman" w:cs="Arial"/>
                <w:b/>
                <w:bCs/>
                <w:color w:val="000000"/>
                <w:sz w:val="18"/>
                <w:szCs w:val="18"/>
                <w:lang w:eastAsia="zh-CN"/>
              </w:rPr>
            </w:pPr>
            <w:r w:rsidRPr="00F830E6">
              <w:rPr>
                <w:rFonts w:eastAsia="Times New Roman" w:cs="Arial"/>
                <w:b/>
                <w:bCs/>
                <w:color w:val="000000"/>
                <w:sz w:val="18"/>
                <w:szCs w:val="18"/>
                <w:lang w:eastAsia="zh-CN"/>
              </w:rPr>
              <w:t>Overall</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508DDA2C" w14:textId="77777777" w:rsidR="00A01BF1" w:rsidRPr="00F830E6" w:rsidRDefault="00A01BF1"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0.87%</w:t>
            </w:r>
          </w:p>
        </w:tc>
        <w:tc>
          <w:tcPr>
            <w:tcW w:w="0" w:type="auto"/>
            <w:tcBorders>
              <w:top w:val="single" w:sz="4" w:space="0" w:color="auto"/>
              <w:left w:val="nil"/>
              <w:bottom w:val="single" w:sz="4" w:space="0" w:color="auto"/>
              <w:right w:val="nil"/>
            </w:tcBorders>
            <w:shd w:val="clear" w:color="000000" w:fill="D3C5D7"/>
            <w:noWrap/>
            <w:vAlign w:val="center"/>
            <w:hideMark/>
          </w:tcPr>
          <w:p w14:paraId="6CF7A65E" w14:textId="77777777" w:rsidR="00A01BF1" w:rsidRPr="00F830E6" w:rsidRDefault="00A01BF1"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0.94%</w:t>
            </w:r>
          </w:p>
        </w:tc>
        <w:tc>
          <w:tcPr>
            <w:tcW w:w="0" w:type="auto"/>
            <w:tcBorders>
              <w:top w:val="single" w:sz="4" w:space="0" w:color="auto"/>
              <w:left w:val="nil"/>
              <w:bottom w:val="single" w:sz="4" w:space="0" w:color="auto"/>
              <w:right w:val="nil"/>
            </w:tcBorders>
            <w:shd w:val="clear" w:color="000000" w:fill="D3C5D7"/>
            <w:noWrap/>
            <w:vAlign w:val="center"/>
            <w:hideMark/>
          </w:tcPr>
          <w:p w14:paraId="73B662ED" w14:textId="77777777" w:rsidR="00A01BF1" w:rsidRPr="00F830E6" w:rsidRDefault="00A01BF1"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0.98%</w:t>
            </w:r>
          </w:p>
        </w:tc>
        <w:tc>
          <w:tcPr>
            <w:tcW w:w="0" w:type="auto"/>
            <w:tcBorders>
              <w:top w:val="single" w:sz="4" w:space="0" w:color="auto"/>
              <w:left w:val="nil"/>
              <w:bottom w:val="single" w:sz="4" w:space="0" w:color="auto"/>
              <w:right w:val="nil"/>
            </w:tcBorders>
            <w:shd w:val="clear" w:color="000000" w:fill="D3C5D7"/>
            <w:noWrap/>
            <w:vAlign w:val="center"/>
            <w:hideMark/>
          </w:tcPr>
          <w:p w14:paraId="36FE04D3" w14:textId="77777777" w:rsidR="00A01BF1" w:rsidRPr="00F830E6" w:rsidRDefault="00A01BF1"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0.95%</w:t>
            </w:r>
          </w:p>
        </w:tc>
        <w:tc>
          <w:tcPr>
            <w:tcW w:w="0" w:type="auto"/>
            <w:tcBorders>
              <w:top w:val="single" w:sz="4" w:space="0" w:color="auto"/>
              <w:left w:val="nil"/>
              <w:bottom w:val="single" w:sz="4" w:space="0" w:color="auto"/>
              <w:right w:val="nil"/>
            </w:tcBorders>
            <w:shd w:val="clear" w:color="000000" w:fill="D3C5D7"/>
            <w:noWrap/>
            <w:vAlign w:val="center"/>
            <w:hideMark/>
          </w:tcPr>
          <w:p w14:paraId="4A0BEDB1" w14:textId="77777777" w:rsidR="00A01BF1" w:rsidRPr="00F830E6" w:rsidRDefault="00A01BF1"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0.93%</w:t>
            </w:r>
          </w:p>
        </w:tc>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46AA6D60" w14:textId="77777777" w:rsidR="00A01BF1" w:rsidRPr="00F830E6" w:rsidRDefault="00A01BF1"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0.92%</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1332E00F" w14:textId="77777777" w:rsidR="00A01BF1" w:rsidRPr="00F830E6" w:rsidRDefault="00A01BF1"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0.94%</w:t>
            </w:r>
          </w:p>
        </w:tc>
      </w:tr>
    </w:tbl>
    <w:p w14:paraId="69048977" w14:textId="77777777" w:rsidR="00A01BF1" w:rsidRDefault="00A01BF1" w:rsidP="00A01BF1">
      <w:pPr>
        <w:pStyle w:val="Tables"/>
      </w:pPr>
    </w:p>
    <w:p w14:paraId="6E1A9C27" w14:textId="77777777" w:rsidR="00A01BF1" w:rsidRPr="007A7686" w:rsidRDefault="00A01BF1" w:rsidP="00E365B4"/>
    <w:p w14:paraId="0DE58306" w14:textId="77777777" w:rsidR="004A5D62" w:rsidRDefault="0048278E" w:rsidP="00DA3F73">
      <w:pPr>
        <w:pStyle w:val="Figures"/>
      </w:pPr>
      <w:r>
        <w:lastRenderedPageBreak/>
        <w:t>Figure J</w:t>
      </w:r>
      <w:r w:rsidR="00911A3E">
        <w:t>.</w:t>
      </w:r>
      <w:fldSimple w:instr=" SEQ Figure \* ARABIC \s 2 ">
        <w:r w:rsidR="00447AA1">
          <w:rPr>
            <w:noProof/>
          </w:rPr>
          <w:t>1</w:t>
        </w:r>
      </w:fldSimple>
      <w:r w:rsidR="004A5D62">
        <w:t xml:space="preserve">: </w:t>
      </w:r>
      <w:r w:rsidR="004A5D62" w:rsidRPr="00895D00">
        <w:t>Actual vs expected mortality rate by calendar year by age group</w:t>
      </w:r>
    </w:p>
    <w:p w14:paraId="38E04496" w14:textId="77777777" w:rsidR="003B7C93" w:rsidRDefault="007E386D" w:rsidP="00DA3F73">
      <w:pPr>
        <w:pStyle w:val="Figures"/>
      </w:pPr>
      <w:r>
        <w:rPr>
          <w:noProof/>
          <w:lang w:eastAsia="en-AU"/>
        </w:rPr>
        <w:drawing>
          <wp:inline distT="0" distB="0" distL="0" distR="0" wp14:anchorId="543C6B9F" wp14:editId="2CF98C14">
            <wp:extent cx="5724000" cy="3736315"/>
            <wp:effectExtent l="0" t="0" r="0" b="0"/>
            <wp:docPr id="464" name="Picture 464" descr="Graph is showing actual vs expected mortality rate by calendar year by age group. &#10;Actual mortality rates for calendar year 2017 are 0.07% for 0 to 6, 0.13% for 7 to 14, 0.29% for 15 to 18, 0.34% for 19 to 24, 0.54% for 25 to 34, 0.87% for 35 to 44, 1.61% for 45 to 54, 3.23% for 55 to 64 and 4.61% for 65+. &#10;Actual mortality rates for calendar year 2018 are 0.10% for 0 to 6, 0.09% for 7 to 14, 0.20% for 15 to 18, 0.25% for 19 to 24, 0.49% for 25 to 34, 0.94% for 35 to 44, 1.74% for 45 to 54, 3.47% for 55 to 64 and 3.67% for 65+. &#10;Actual mortality rates for calendar year 2019 are 0.16% for 0 to 6, 0.10% for 7 to 14, 0.17% for 15 to 18, 0.31% for 19 to 24, 0.51% for 25 to 34, 0.92% for 35 to 44, 1.75% for 45 to 54, 3.45% for 55 to 64 and 4.92% for 65+. &#10;Actual mortality rates for calendar year 2020 are 0.09% for 0 to 6, 0.06% for 7 to 14, 0.14% for 15 to 18, 0.19% for 19 to 24, 0.47% for 25 to 34, 0.87% for 35 to 44, 1.81% for 45 to 54, 3.47% for 55 to 64 and 4.90% for 65+. &#10;Actual mortality rates for calendar year 2021 are 0.09% for 0 to 6, 0.05% for 7 to 14, 0.20% for 15 to 18, 0.24% for 19 to 24, 0.61% for 25 to 34, 0.82% for 35 to 44, 2.02% for 45 to 54, 3.91% for 55 to 64 and 4.50% for 65+. &#10;Expected mortality rates for calendar year 2017 are 0.10% for 0 to 6, 0.11% for 7 to 14, 0.21% for 15 to 18, 0.29% for 19 to 24, 0.51% for 25 to 34, 0.95% for 35 to 44, 1.91% for 45 to 54, 3.55% for 55 to 64 and 4.50% for 65+. &#10;Expected mortality rates for calendar year 2018 are 0.09% for 0 to 6, 0.10% for 7 to 14, 0.20% for 15 to 18, 0.29% for 19 to 24, 0.49% for 25 to 34, 0.93% for 35 to 44, 1.89% for 45 to 54, 3.57% for 55 to 64 and 4.69% for 65+. &#10;Expected mortality rates for calendar year 2019 are 0.09% for 0 to 6, 0.09% for 7 to 14, 0.19% for 15 to 18, 0.28% for 19 to 24, 0.49% for 25 to 34, 0.93% for 35 to 44, 1.87% for 45 to 54, 3.54% for 55 to 64 and 4.74% for 65+. &#10;Expected mortality rates for calendar year 2020 are 0.10% for 0 to 6, 0.07% for 7 to 14, 0.15% for 15 to 18, 0.24% for 19 to 24, 0.45% for 25 to 34, 0.89% for 35 to 44, 1.79% for 45 to 54, 3.39% for 55 to 64 and 4.75% for 65+. &#10;Expected mortality rates for calendar year 2021 are 0.11% for 0 to 6, 0.07% for 7 to 14, 0.14% for 15 to 18, 0.23% for 19 to 24, 0.44% for 25 to 34, 0.86% for 35 to 44, 1.75% for 45 to 54, 3.32% for 55 to 64 and 4.73% for 65+." title="Figure J.1: Actual vs expected mortality rate by calendar year by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24000" cy="3736315"/>
                    </a:xfrm>
                    <a:prstGeom prst="rect">
                      <a:avLst/>
                    </a:prstGeom>
                    <a:noFill/>
                  </pic:spPr>
                </pic:pic>
              </a:graphicData>
            </a:graphic>
          </wp:inline>
        </w:drawing>
      </w:r>
    </w:p>
    <w:p w14:paraId="0EB40C4E" w14:textId="77777777" w:rsidR="008116E1" w:rsidRDefault="008116E1">
      <w:pPr>
        <w:spacing w:after="160" w:line="259" w:lineRule="auto"/>
        <w:rPr>
          <w:rFonts w:eastAsiaTheme="minorHAnsi"/>
          <w:b/>
          <w:bCs/>
          <w:szCs w:val="18"/>
          <w:lang w:eastAsia="en-US"/>
        </w:rPr>
      </w:pPr>
      <w:r>
        <w:br w:type="page"/>
      </w:r>
    </w:p>
    <w:p w14:paraId="2C48CFB3" w14:textId="77777777" w:rsidR="004A5D62" w:rsidRDefault="004A5D62" w:rsidP="00DA3F73">
      <w:pPr>
        <w:pStyle w:val="Tables"/>
        <w:spacing w:before="120"/>
      </w:pPr>
      <w:r>
        <w:lastRenderedPageBreak/>
        <w:t>Table J</w:t>
      </w:r>
      <w:r w:rsidR="00A87896">
        <w:t>.</w:t>
      </w:r>
      <w:fldSimple w:instr=" SEQ Table \* ARABIC \s 2 ">
        <w:r w:rsidR="00194B14">
          <w:rPr>
            <w:noProof/>
          </w:rPr>
          <w:t>2</w:t>
        </w:r>
      </w:fldSimple>
      <w:r>
        <w:t xml:space="preserve">: </w:t>
      </w:r>
      <w:r w:rsidRPr="00895D00">
        <w:t>Actual exposure by age group</w:t>
      </w:r>
      <w:r w:rsidR="000B3A31">
        <w:t xml:space="preserve">, measured by </w:t>
      </w:r>
      <w:r w:rsidR="00997E84">
        <w:t xml:space="preserve">the number of </w:t>
      </w:r>
      <w:r w:rsidR="00F12F21">
        <w:t>years participants were active in the Scheme</w:t>
      </w:r>
    </w:p>
    <w:tbl>
      <w:tblPr>
        <w:tblW w:w="0" w:type="auto"/>
        <w:tblLook w:val="04A0" w:firstRow="1" w:lastRow="0" w:firstColumn="1" w:lastColumn="0" w:noHBand="0" w:noVBand="1"/>
      </w:tblPr>
      <w:tblGrid>
        <w:gridCol w:w="917"/>
        <w:gridCol w:w="1167"/>
        <w:gridCol w:w="1167"/>
        <w:gridCol w:w="1167"/>
        <w:gridCol w:w="1167"/>
        <w:gridCol w:w="1167"/>
        <w:gridCol w:w="1157"/>
        <w:gridCol w:w="1017"/>
      </w:tblGrid>
      <w:tr w:rsidR="003B7C93" w:rsidRPr="008116E1" w14:paraId="1D15E5A7" w14:textId="77777777" w:rsidTr="00F830E6">
        <w:trPr>
          <w:trHeight w:val="397"/>
        </w:trPr>
        <w:tc>
          <w:tcPr>
            <w:tcW w:w="0" w:type="auto"/>
            <w:vMerge w:val="restart"/>
            <w:tcBorders>
              <w:top w:val="nil"/>
              <w:left w:val="nil"/>
              <w:bottom w:val="nil"/>
              <w:right w:val="nil"/>
            </w:tcBorders>
            <w:shd w:val="clear" w:color="000000" w:fill="6B2976"/>
            <w:noWrap/>
            <w:vAlign w:val="center"/>
            <w:hideMark/>
          </w:tcPr>
          <w:p w14:paraId="0054C4D2" w14:textId="77777777" w:rsidR="003B7C93" w:rsidRPr="00F830E6" w:rsidRDefault="003B7C93" w:rsidP="00F830E6">
            <w:pPr>
              <w:spacing w:after="0" w:line="240" w:lineRule="auto"/>
              <w:rPr>
                <w:rFonts w:eastAsia="Times New Roman" w:cs="Arial"/>
                <w:b/>
                <w:bCs/>
                <w:color w:val="FFFFFF"/>
                <w:sz w:val="18"/>
                <w:szCs w:val="18"/>
                <w:lang w:eastAsia="zh-CN"/>
              </w:rPr>
            </w:pPr>
            <w:r w:rsidRPr="00F830E6">
              <w:rPr>
                <w:rFonts w:eastAsia="Times New Roman" w:cs="Arial"/>
                <w:b/>
                <w:bCs/>
                <w:color w:val="FFFFFF"/>
                <w:sz w:val="18"/>
                <w:szCs w:val="18"/>
                <w:lang w:eastAsia="zh-CN"/>
              </w:rPr>
              <w:t>Age</w:t>
            </w:r>
          </w:p>
        </w:tc>
        <w:tc>
          <w:tcPr>
            <w:tcW w:w="0" w:type="auto"/>
            <w:gridSpan w:val="7"/>
            <w:tcBorders>
              <w:top w:val="nil"/>
              <w:left w:val="nil"/>
              <w:bottom w:val="single" w:sz="4" w:space="0" w:color="FFFFFF"/>
            </w:tcBorders>
            <w:shd w:val="clear" w:color="000000" w:fill="6B2976"/>
            <w:vAlign w:val="center"/>
            <w:hideMark/>
          </w:tcPr>
          <w:p w14:paraId="4F0F6802" w14:textId="77777777" w:rsidR="003B7C93" w:rsidRPr="00F830E6" w:rsidRDefault="003B7C93" w:rsidP="008116E1">
            <w:pPr>
              <w:spacing w:after="0" w:line="240" w:lineRule="auto"/>
              <w:jc w:val="center"/>
              <w:rPr>
                <w:rFonts w:eastAsia="Times New Roman" w:cs="Arial"/>
                <w:b/>
                <w:bCs/>
                <w:color w:val="FFFFFF"/>
                <w:sz w:val="18"/>
                <w:szCs w:val="18"/>
                <w:lang w:eastAsia="zh-CN"/>
              </w:rPr>
            </w:pPr>
            <w:r w:rsidRPr="00F830E6">
              <w:rPr>
                <w:rFonts w:eastAsia="Times New Roman" w:cs="Arial"/>
                <w:b/>
                <w:bCs/>
                <w:color w:val="FFFFFF"/>
                <w:sz w:val="18"/>
                <w:szCs w:val="18"/>
                <w:lang w:eastAsia="zh-CN"/>
              </w:rPr>
              <w:t>Actual Exposure</w:t>
            </w:r>
          </w:p>
        </w:tc>
      </w:tr>
      <w:tr w:rsidR="00F830E6" w:rsidRPr="008116E1" w14:paraId="3684F961" w14:textId="77777777" w:rsidTr="00F830E6">
        <w:trPr>
          <w:trHeight w:val="397"/>
        </w:trPr>
        <w:tc>
          <w:tcPr>
            <w:tcW w:w="0" w:type="auto"/>
            <w:vMerge/>
            <w:tcBorders>
              <w:top w:val="nil"/>
              <w:left w:val="nil"/>
              <w:right w:val="nil"/>
            </w:tcBorders>
            <w:vAlign w:val="center"/>
            <w:hideMark/>
          </w:tcPr>
          <w:p w14:paraId="6C18001F" w14:textId="77777777" w:rsidR="003B7C93" w:rsidRPr="00F830E6" w:rsidRDefault="003B7C93">
            <w:pPr>
              <w:spacing w:after="0" w:line="240" w:lineRule="auto"/>
              <w:rPr>
                <w:rFonts w:eastAsia="Times New Roman" w:cs="Arial"/>
                <w:b/>
                <w:bCs/>
                <w:color w:val="FFFFFF"/>
                <w:sz w:val="18"/>
                <w:szCs w:val="18"/>
                <w:lang w:eastAsia="zh-CN"/>
              </w:rPr>
            </w:pPr>
          </w:p>
        </w:tc>
        <w:tc>
          <w:tcPr>
            <w:tcW w:w="0" w:type="auto"/>
            <w:tcBorders>
              <w:top w:val="nil"/>
              <w:left w:val="nil"/>
              <w:bottom w:val="nil"/>
              <w:right w:val="nil"/>
            </w:tcBorders>
            <w:shd w:val="clear" w:color="000000" w:fill="6B2976"/>
            <w:vAlign w:val="center"/>
            <w:hideMark/>
          </w:tcPr>
          <w:p w14:paraId="6FC997E6"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17</w:t>
            </w:r>
          </w:p>
        </w:tc>
        <w:tc>
          <w:tcPr>
            <w:tcW w:w="0" w:type="auto"/>
            <w:tcBorders>
              <w:top w:val="nil"/>
              <w:left w:val="nil"/>
              <w:bottom w:val="nil"/>
              <w:right w:val="nil"/>
            </w:tcBorders>
            <w:shd w:val="clear" w:color="000000" w:fill="6B2976"/>
            <w:vAlign w:val="center"/>
            <w:hideMark/>
          </w:tcPr>
          <w:p w14:paraId="23D54F76"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18</w:t>
            </w:r>
          </w:p>
        </w:tc>
        <w:tc>
          <w:tcPr>
            <w:tcW w:w="0" w:type="auto"/>
            <w:tcBorders>
              <w:top w:val="nil"/>
              <w:left w:val="nil"/>
              <w:bottom w:val="nil"/>
              <w:right w:val="nil"/>
            </w:tcBorders>
            <w:shd w:val="clear" w:color="000000" w:fill="6B2976"/>
            <w:vAlign w:val="center"/>
            <w:hideMark/>
          </w:tcPr>
          <w:p w14:paraId="495633EA"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19</w:t>
            </w:r>
          </w:p>
        </w:tc>
        <w:tc>
          <w:tcPr>
            <w:tcW w:w="0" w:type="auto"/>
            <w:tcBorders>
              <w:top w:val="nil"/>
              <w:left w:val="nil"/>
              <w:bottom w:val="nil"/>
              <w:right w:val="nil"/>
            </w:tcBorders>
            <w:shd w:val="clear" w:color="000000" w:fill="6B2976"/>
            <w:vAlign w:val="center"/>
            <w:hideMark/>
          </w:tcPr>
          <w:p w14:paraId="0B126DE1"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20</w:t>
            </w:r>
          </w:p>
        </w:tc>
        <w:tc>
          <w:tcPr>
            <w:tcW w:w="0" w:type="auto"/>
            <w:tcBorders>
              <w:top w:val="nil"/>
              <w:left w:val="nil"/>
              <w:bottom w:val="nil"/>
              <w:right w:val="nil"/>
            </w:tcBorders>
            <w:shd w:val="clear" w:color="000000" w:fill="6B2976"/>
            <w:vAlign w:val="center"/>
            <w:hideMark/>
          </w:tcPr>
          <w:p w14:paraId="5D0E0A5B"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21</w:t>
            </w:r>
          </w:p>
        </w:tc>
        <w:tc>
          <w:tcPr>
            <w:tcW w:w="0" w:type="auto"/>
            <w:tcBorders>
              <w:top w:val="nil"/>
              <w:left w:val="nil"/>
              <w:right w:val="nil"/>
            </w:tcBorders>
            <w:shd w:val="clear" w:color="000000" w:fill="6B2976"/>
            <w:vAlign w:val="center"/>
            <w:hideMark/>
          </w:tcPr>
          <w:p w14:paraId="7EB0390B"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Jan-Feb 22</w:t>
            </w:r>
          </w:p>
        </w:tc>
        <w:tc>
          <w:tcPr>
            <w:tcW w:w="0" w:type="auto"/>
            <w:tcBorders>
              <w:top w:val="nil"/>
              <w:left w:val="nil"/>
              <w:bottom w:val="nil"/>
            </w:tcBorders>
            <w:shd w:val="clear" w:color="000000" w:fill="6B2976"/>
            <w:vAlign w:val="center"/>
            <w:hideMark/>
          </w:tcPr>
          <w:p w14:paraId="49896217"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Overall</w:t>
            </w:r>
          </w:p>
        </w:tc>
      </w:tr>
      <w:tr w:rsidR="003B7C93" w:rsidRPr="008116E1" w14:paraId="2B6C2E8F" w14:textId="77777777" w:rsidTr="00F830E6">
        <w:trPr>
          <w:trHeight w:val="301"/>
        </w:trPr>
        <w:tc>
          <w:tcPr>
            <w:tcW w:w="0" w:type="auto"/>
            <w:tcBorders>
              <w:top w:val="nil"/>
              <w:left w:val="nil"/>
              <w:bottom w:val="nil"/>
              <w:right w:val="dotted" w:sz="4" w:space="0" w:color="auto"/>
            </w:tcBorders>
            <w:shd w:val="clear" w:color="auto" w:fill="auto"/>
            <w:noWrap/>
            <w:vAlign w:val="center"/>
            <w:hideMark/>
          </w:tcPr>
          <w:p w14:paraId="265FBCBB"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0 to 6 </w:t>
            </w:r>
          </w:p>
        </w:tc>
        <w:tc>
          <w:tcPr>
            <w:tcW w:w="0" w:type="auto"/>
            <w:tcBorders>
              <w:top w:val="nil"/>
              <w:left w:val="dotted" w:sz="4" w:space="0" w:color="auto"/>
              <w:bottom w:val="nil"/>
              <w:right w:val="nil"/>
            </w:tcBorders>
            <w:shd w:val="clear" w:color="auto" w:fill="auto"/>
            <w:noWrap/>
            <w:vAlign w:val="center"/>
            <w:hideMark/>
          </w:tcPr>
          <w:p w14:paraId="41D81824"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12,348</w:t>
            </w:r>
          </w:p>
        </w:tc>
        <w:tc>
          <w:tcPr>
            <w:tcW w:w="0" w:type="auto"/>
            <w:tcBorders>
              <w:top w:val="nil"/>
              <w:left w:val="nil"/>
              <w:bottom w:val="nil"/>
              <w:right w:val="nil"/>
            </w:tcBorders>
            <w:shd w:val="clear" w:color="auto" w:fill="auto"/>
            <w:noWrap/>
            <w:vAlign w:val="center"/>
            <w:hideMark/>
          </w:tcPr>
          <w:p w14:paraId="1A22FE7D"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22,471</w:t>
            </w:r>
          </w:p>
        </w:tc>
        <w:tc>
          <w:tcPr>
            <w:tcW w:w="0" w:type="auto"/>
            <w:tcBorders>
              <w:top w:val="nil"/>
              <w:left w:val="nil"/>
              <w:bottom w:val="nil"/>
              <w:right w:val="nil"/>
            </w:tcBorders>
            <w:shd w:val="clear" w:color="auto" w:fill="auto"/>
            <w:noWrap/>
            <w:vAlign w:val="center"/>
            <w:hideMark/>
          </w:tcPr>
          <w:p w14:paraId="4B89B9FB"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38,756</w:t>
            </w:r>
          </w:p>
        </w:tc>
        <w:tc>
          <w:tcPr>
            <w:tcW w:w="0" w:type="auto"/>
            <w:tcBorders>
              <w:top w:val="nil"/>
              <w:left w:val="nil"/>
              <w:bottom w:val="nil"/>
              <w:right w:val="nil"/>
            </w:tcBorders>
            <w:shd w:val="clear" w:color="auto" w:fill="auto"/>
            <w:noWrap/>
            <w:vAlign w:val="center"/>
            <w:hideMark/>
          </w:tcPr>
          <w:p w14:paraId="7DB0B157"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60,994</w:t>
            </w:r>
          </w:p>
        </w:tc>
        <w:tc>
          <w:tcPr>
            <w:tcW w:w="0" w:type="auto"/>
            <w:tcBorders>
              <w:top w:val="nil"/>
              <w:left w:val="nil"/>
              <w:bottom w:val="nil"/>
              <w:right w:val="nil"/>
            </w:tcBorders>
            <w:shd w:val="clear" w:color="auto" w:fill="auto"/>
            <w:noWrap/>
            <w:vAlign w:val="center"/>
            <w:hideMark/>
          </w:tcPr>
          <w:p w14:paraId="7E904AAA"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72,643</w:t>
            </w:r>
          </w:p>
        </w:tc>
        <w:tc>
          <w:tcPr>
            <w:tcW w:w="0" w:type="auto"/>
            <w:tcBorders>
              <w:top w:val="nil"/>
              <w:left w:val="nil"/>
              <w:bottom w:val="nil"/>
              <w:right w:val="dotted" w:sz="4" w:space="0" w:color="auto"/>
            </w:tcBorders>
            <w:shd w:val="clear" w:color="auto" w:fill="auto"/>
            <w:noWrap/>
            <w:vAlign w:val="center"/>
            <w:hideMark/>
          </w:tcPr>
          <w:p w14:paraId="008D69E7"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12,653</w:t>
            </w:r>
          </w:p>
        </w:tc>
        <w:tc>
          <w:tcPr>
            <w:tcW w:w="0" w:type="auto"/>
            <w:tcBorders>
              <w:top w:val="nil"/>
              <w:left w:val="dotted" w:sz="4" w:space="0" w:color="auto"/>
              <w:bottom w:val="nil"/>
            </w:tcBorders>
            <w:shd w:val="clear" w:color="auto" w:fill="auto"/>
            <w:noWrap/>
            <w:vAlign w:val="center"/>
            <w:hideMark/>
          </w:tcPr>
          <w:p w14:paraId="4C24660F"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219,866</w:t>
            </w:r>
          </w:p>
        </w:tc>
      </w:tr>
      <w:tr w:rsidR="00F830E6" w:rsidRPr="008116E1" w14:paraId="5BD20525" w14:textId="77777777" w:rsidTr="00F830E6">
        <w:trPr>
          <w:trHeight w:val="301"/>
        </w:trPr>
        <w:tc>
          <w:tcPr>
            <w:tcW w:w="0" w:type="auto"/>
            <w:tcBorders>
              <w:top w:val="nil"/>
              <w:left w:val="nil"/>
              <w:bottom w:val="nil"/>
              <w:right w:val="dotted" w:sz="4" w:space="0" w:color="auto"/>
            </w:tcBorders>
            <w:shd w:val="clear" w:color="000000" w:fill="BFBFBF"/>
            <w:noWrap/>
            <w:vAlign w:val="center"/>
            <w:hideMark/>
          </w:tcPr>
          <w:p w14:paraId="7042F279"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7 to 14 </w:t>
            </w:r>
          </w:p>
        </w:tc>
        <w:tc>
          <w:tcPr>
            <w:tcW w:w="0" w:type="auto"/>
            <w:tcBorders>
              <w:top w:val="nil"/>
              <w:left w:val="dotted" w:sz="4" w:space="0" w:color="auto"/>
              <w:bottom w:val="nil"/>
              <w:right w:val="nil"/>
            </w:tcBorders>
            <w:shd w:val="clear" w:color="000000" w:fill="BFBFBF"/>
            <w:noWrap/>
            <w:vAlign w:val="center"/>
            <w:hideMark/>
          </w:tcPr>
          <w:p w14:paraId="535CF395"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25,330</w:t>
            </w:r>
          </w:p>
        </w:tc>
        <w:tc>
          <w:tcPr>
            <w:tcW w:w="0" w:type="auto"/>
            <w:tcBorders>
              <w:top w:val="nil"/>
              <w:left w:val="nil"/>
              <w:bottom w:val="nil"/>
              <w:right w:val="nil"/>
            </w:tcBorders>
            <w:shd w:val="clear" w:color="000000" w:fill="BFBFBF"/>
            <w:noWrap/>
            <w:vAlign w:val="center"/>
            <w:hideMark/>
          </w:tcPr>
          <w:p w14:paraId="2FF97D10"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43,687</w:t>
            </w:r>
          </w:p>
        </w:tc>
        <w:tc>
          <w:tcPr>
            <w:tcW w:w="0" w:type="auto"/>
            <w:tcBorders>
              <w:top w:val="nil"/>
              <w:left w:val="nil"/>
              <w:bottom w:val="nil"/>
              <w:right w:val="nil"/>
            </w:tcBorders>
            <w:shd w:val="clear" w:color="000000" w:fill="BFBFBF"/>
            <w:noWrap/>
            <w:vAlign w:val="center"/>
            <w:hideMark/>
          </w:tcPr>
          <w:p w14:paraId="113F91CD"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70,491</w:t>
            </w:r>
          </w:p>
        </w:tc>
        <w:tc>
          <w:tcPr>
            <w:tcW w:w="0" w:type="auto"/>
            <w:tcBorders>
              <w:top w:val="nil"/>
              <w:left w:val="nil"/>
              <w:bottom w:val="nil"/>
              <w:right w:val="nil"/>
            </w:tcBorders>
            <w:shd w:val="clear" w:color="000000" w:fill="BFBFBF"/>
            <w:noWrap/>
            <w:vAlign w:val="center"/>
            <w:hideMark/>
          </w:tcPr>
          <w:p w14:paraId="4EC927C9"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97,696</w:t>
            </w:r>
          </w:p>
        </w:tc>
        <w:tc>
          <w:tcPr>
            <w:tcW w:w="0" w:type="auto"/>
            <w:tcBorders>
              <w:top w:val="nil"/>
              <w:left w:val="nil"/>
              <w:bottom w:val="nil"/>
              <w:right w:val="nil"/>
            </w:tcBorders>
            <w:shd w:val="clear" w:color="000000" w:fill="BFBFBF"/>
            <w:noWrap/>
            <w:vAlign w:val="center"/>
            <w:hideMark/>
          </w:tcPr>
          <w:p w14:paraId="16081A58"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120,572</w:t>
            </w:r>
          </w:p>
        </w:tc>
        <w:tc>
          <w:tcPr>
            <w:tcW w:w="0" w:type="auto"/>
            <w:tcBorders>
              <w:top w:val="nil"/>
              <w:left w:val="nil"/>
              <w:bottom w:val="nil"/>
              <w:right w:val="dotted" w:sz="4" w:space="0" w:color="auto"/>
            </w:tcBorders>
            <w:shd w:val="clear" w:color="000000" w:fill="BFBFBF"/>
            <w:noWrap/>
            <w:vAlign w:val="center"/>
            <w:hideMark/>
          </w:tcPr>
          <w:p w14:paraId="4FE77104"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21,314</w:t>
            </w:r>
          </w:p>
        </w:tc>
        <w:tc>
          <w:tcPr>
            <w:tcW w:w="0" w:type="auto"/>
            <w:tcBorders>
              <w:top w:val="nil"/>
              <w:left w:val="dotted" w:sz="4" w:space="0" w:color="auto"/>
              <w:bottom w:val="nil"/>
            </w:tcBorders>
            <w:shd w:val="clear" w:color="000000" w:fill="BFBFBF"/>
            <w:noWrap/>
            <w:vAlign w:val="center"/>
            <w:hideMark/>
          </w:tcPr>
          <w:p w14:paraId="7CE7987E"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379,090</w:t>
            </w:r>
          </w:p>
        </w:tc>
      </w:tr>
      <w:tr w:rsidR="003B7C93" w:rsidRPr="008116E1" w14:paraId="2E0C4D62" w14:textId="77777777" w:rsidTr="00F830E6">
        <w:trPr>
          <w:trHeight w:val="301"/>
        </w:trPr>
        <w:tc>
          <w:tcPr>
            <w:tcW w:w="0" w:type="auto"/>
            <w:tcBorders>
              <w:top w:val="nil"/>
              <w:left w:val="nil"/>
              <w:bottom w:val="nil"/>
              <w:right w:val="dotted" w:sz="4" w:space="0" w:color="auto"/>
            </w:tcBorders>
            <w:shd w:val="clear" w:color="auto" w:fill="auto"/>
            <w:noWrap/>
            <w:vAlign w:val="center"/>
            <w:hideMark/>
          </w:tcPr>
          <w:p w14:paraId="231C4186"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15 to 18 </w:t>
            </w:r>
          </w:p>
        </w:tc>
        <w:tc>
          <w:tcPr>
            <w:tcW w:w="0" w:type="auto"/>
            <w:tcBorders>
              <w:top w:val="nil"/>
              <w:left w:val="dotted" w:sz="4" w:space="0" w:color="auto"/>
              <w:bottom w:val="nil"/>
              <w:right w:val="nil"/>
            </w:tcBorders>
            <w:shd w:val="clear" w:color="auto" w:fill="auto"/>
            <w:noWrap/>
            <w:vAlign w:val="center"/>
            <w:hideMark/>
          </w:tcPr>
          <w:p w14:paraId="0E0A666F"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8,179</w:t>
            </w:r>
          </w:p>
        </w:tc>
        <w:tc>
          <w:tcPr>
            <w:tcW w:w="0" w:type="auto"/>
            <w:tcBorders>
              <w:top w:val="nil"/>
              <w:left w:val="nil"/>
              <w:bottom w:val="nil"/>
              <w:right w:val="nil"/>
            </w:tcBorders>
            <w:shd w:val="clear" w:color="auto" w:fill="auto"/>
            <w:noWrap/>
            <w:vAlign w:val="center"/>
            <w:hideMark/>
          </w:tcPr>
          <w:p w14:paraId="40085F01"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14,245</w:t>
            </w:r>
          </w:p>
        </w:tc>
        <w:tc>
          <w:tcPr>
            <w:tcW w:w="0" w:type="auto"/>
            <w:tcBorders>
              <w:top w:val="nil"/>
              <w:left w:val="nil"/>
              <w:bottom w:val="nil"/>
              <w:right w:val="nil"/>
            </w:tcBorders>
            <w:shd w:val="clear" w:color="auto" w:fill="auto"/>
            <w:noWrap/>
            <w:vAlign w:val="center"/>
            <w:hideMark/>
          </w:tcPr>
          <w:p w14:paraId="1C31896D"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21,591</w:t>
            </w:r>
          </w:p>
        </w:tc>
        <w:tc>
          <w:tcPr>
            <w:tcW w:w="0" w:type="auto"/>
            <w:tcBorders>
              <w:top w:val="nil"/>
              <w:left w:val="nil"/>
              <w:bottom w:val="nil"/>
              <w:right w:val="nil"/>
            </w:tcBorders>
            <w:shd w:val="clear" w:color="auto" w:fill="auto"/>
            <w:noWrap/>
            <w:vAlign w:val="center"/>
            <w:hideMark/>
          </w:tcPr>
          <w:p w14:paraId="3371C8D4"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29,017</w:t>
            </w:r>
          </w:p>
        </w:tc>
        <w:tc>
          <w:tcPr>
            <w:tcW w:w="0" w:type="auto"/>
            <w:tcBorders>
              <w:top w:val="nil"/>
              <w:left w:val="nil"/>
              <w:bottom w:val="nil"/>
              <w:right w:val="nil"/>
            </w:tcBorders>
            <w:shd w:val="clear" w:color="auto" w:fill="auto"/>
            <w:noWrap/>
            <w:vAlign w:val="center"/>
            <w:hideMark/>
          </w:tcPr>
          <w:p w14:paraId="2F3249A1"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35,909</w:t>
            </w:r>
          </w:p>
        </w:tc>
        <w:tc>
          <w:tcPr>
            <w:tcW w:w="0" w:type="auto"/>
            <w:tcBorders>
              <w:top w:val="nil"/>
              <w:left w:val="nil"/>
              <w:bottom w:val="nil"/>
              <w:right w:val="dotted" w:sz="4" w:space="0" w:color="auto"/>
            </w:tcBorders>
            <w:shd w:val="clear" w:color="auto" w:fill="auto"/>
            <w:noWrap/>
            <w:vAlign w:val="center"/>
            <w:hideMark/>
          </w:tcPr>
          <w:p w14:paraId="373F6C72"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6,524</w:t>
            </w:r>
          </w:p>
        </w:tc>
        <w:tc>
          <w:tcPr>
            <w:tcW w:w="0" w:type="auto"/>
            <w:tcBorders>
              <w:top w:val="nil"/>
              <w:left w:val="dotted" w:sz="4" w:space="0" w:color="auto"/>
              <w:bottom w:val="nil"/>
            </w:tcBorders>
            <w:shd w:val="clear" w:color="auto" w:fill="auto"/>
            <w:noWrap/>
            <w:vAlign w:val="center"/>
            <w:hideMark/>
          </w:tcPr>
          <w:p w14:paraId="17302BC8"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115,465</w:t>
            </w:r>
          </w:p>
        </w:tc>
      </w:tr>
      <w:tr w:rsidR="00F830E6" w:rsidRPr="008116E1" w14:paraId="50732A8A" w14:textId="77777777" w:rsidTr="00F830E6">
        <w:trPr>
          <w:trHeight w:val="301"/>
        </w:trPr>
        <w:tc>
          <w:tcPr>
            <w:tcW w:w="0" w:type="auto"/>
            <w:tcBorders>
              <w:top w:val="nil"/>
              <w:left w:val="nil"/>
              <w:bottom w:val="nil"/>
              <w:right w:val="dotted" w:sz="4" w:space="0" w:color="auto"/>
            </w:tcBorders>
            <w:shd w:val="clear" w:color="000000" w:fill="BFBFBF"/>
            <w:noWrap/>
            <w:vAlign w:val="center"/>
            <w:hideMark/>
          </w:tcPr>
          <w:p w14:paraId="29016525"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19 to 24 </w:t>
            </w:r>
          </w:p>
        </w:tc>
        <w:tc>
          <w:tcPr>
            <w:tcW w:w="0" w:type="auto"/>
            <w:tcBorders>
              <w:top w:val="nil"/>
              <w:left w:val="dotted" w:sz="4" w:space="0" w:color="auto"/>
              <w:bottom w:val="nil"/>
              <w:right w:val="nil"/>
            </w:tcBorders>
            <w:shd w:val="clear" w:color="000000" w:fill="BFBFBF"/>
            <w:noWrap/>
            <w:vAlign w:val="center"/>
            <w:hideMark/>
          </w:tcPr>
          <w:p w14:paraId="35920D4A"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8,765</w:t>
            </w:r>
          </w:p>
        </w:tc>
        <w:tc>
          <w:tcPr>
            <w:tcW w:w="0" w:type="auto"/>
            <w:tcBorders>
              <w:top w:val="nil"/>
              <w:left w:val="nil"/>
              <w:bottom w:val="nil"/>
              <w:right w:val="nil"/>
            </w:tcBorders>
            <w:shd w:val="clear" w:color="000000" w:fill="BFBFBF"/>
            <w:noWrap/>
            <w:vAlign w:val="center"/>
            <w:hideMark/>
          </w:tcPr>
          <w:p w14:paraId="3F14A959"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16,928</w:t>
            </w:r>
          </w:p>
        </w:tc>
        <w:tc>
          <w:tcPr>
            <w:tcW w:w="0" w:type="auto"/>
            <w:tcBorders>
              <w:top w:val="nil"/>
              <w:left w:val="nil"/>
              <w:bottom w:val="nil"/>
              <w:right w:val="nil"/>
            </w:tcBorders>
            <w:shd w:val="clear" w:color="000000" w:fill="BFBFBF"/>
            <w:noWrap/>
            <w:vAlign w:val="center"/>
            <w:hideMark/>
          </w:tcPr>
          <w:p w14:paraId="16B19087"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25,990</w:t>
            </w:r>
          </w:p>
        </w:tc>
        <w:tc>
          <w:tcPr>
            <w:tcW w:w="0" w:type="auto"/>
            <w:tcBorders>
              <w:top w:val="nil"/>
              <w:left w:val="nil"/>
              <w:bottom w:val="nil"/>
              <w:right w:val="nil"/>
            </w:tcBorders>
            <w:shd w:val="clear" w:color="000000" w:fill="BFBFBF"/>
            <w:noWrap/>
            <w:vAlign w:val="center"/>
            <w:hideMark/>
          </w:tcPr>
          <w:p w14:paraId="350252AD"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32,892</w:t>
            </w:r>
          </w:p>
        </w:tc>
        <w:tc>
          <w:tcPr>
            <w:tcW w:w="0" w:type="auto"/>
            <w:tcBorders>
              <w:top w:val="nil"/>
              <w:left w:val="nil"/>
              <w:bottom w:val="nil"/>
              <w:right w:val="nil"/>
            </w:tcBorders>
            <w:shd w:val="clear" w:color="000000" w:fill="BFBFBF"/>
            <w:noWrap/>
            <w:vAlign w:val="center"/>
            <w:hideMark/>
          </w:tcPr>
          <w:p w14:paraId="352A8333"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38,461</w:t>
            </w:r>
          </w:p>
        </w:tc>
        <w:tc>
          <w:tcPr>
            <w:tcW w:w="0" w:type="auto"/>
            <w:tcBorders>
              <w:top w:val="nil"/>
              <w:left w:val="nil"/>
              <w:bottom w:val="nil"/>
              <w:right w:val="dotted" w:sz="4" w:space="0" w:color="auto"/>
            </w:tcBorders>
            <w:shd w:val="clear" w:color="000000" w:fill="BFBFBF"/>
            <w:noWrap/>
            <w:vAlign w:val="center"/>
            <w:hideMark/>
          </w:tcPr>
          <w:p w14:paraId="3AF818E3"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6,740</w:t>
            </w:r>
          </w:p>
        </w:tc>
        <w:tc>
          <w:tcPr>
            <w:tcW w:w="0" w:type="auto"/>
            <w:tcBorders>
              <w:top w:val="nil"/>
              <w:left w:val="dotted" w:sz="4" w:space="0" w:color="auto"/>
              <w:bottom w:val="nil"/>
            </w:tcBorders>
            <w:shd w:val="clear" w:color="000000" w:fill="BFBFBF"/>
            <w:noWrap/>
            <w:vAlign w:val="center"/>
            <w:hideMark/>
          </w:tcPr>
          <w:p w14:paraId="5ADFA2BE"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129,775</w:t>
            </w:r>
          </w:p>
        </w:tc>
      </w:tr>
      <w:tr w:rsidR="003B7C93" w:rsidRPr="008116E1" w14:paraId="082F7511" w14:textId="77777777" w:rsidTr="00F830E6">
        <w:trPr>
          <w:trHeight w:val="301"/>
        </w:trPr>
        <w:tc>
          <w:tcPr>
            <w:tcW w:w="0" w:type="auto"/>
            <w:tcBorders>
              <w:top w:val="nil"/>
              <w:left w:val="nil"/>
              <w:bottom w:val="nil"/>
              <w:right w:val="dotted" w:sz="4" w:space="0" w:color="auto"/>
            </w:tcBorders>
            <w:shd w:val="clear" w:color="auto" w:fill="auto"/>
            <w:noWrap/>
            <w:vAlign w:val="center"/>
            <w:hideMark/>
          </w:tcPr>
          <w:p w14:paraId="6D33CFF7"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25 to 34 </w:t>
            </w:r>
          </w:p>
        </w:tc>
        <w:tc>
          <w:tcPr>
            <w:tcW w:w="0" w:type="auto"/>
            <w:tcBorders>
              <w:top w:val="nil"/>
              <w:left w:val="dotted" w:sz="4" w:space="0" w:color="auto"/>
              <w:bottom w:val="nil"/>
              <w:right w:val="nil"/>
            </w:tcBorders>
            <w:shd w:val="clear" w:color="auto" w:fill="auto"/>
            <w:noWrap/>
            <w:vAlign w:val="center"/>
            <w:hideMark/>
          </w:tcPr>
          <w:p w14:paraId="77BE1CC8"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8,528</w:t>
            </w:r>
          </w:p>
        </w:tc>
        <w:tc>
          <w:tcPr>
            <w:tcW w:w="0" w:type="auto"/>
            <w:tcBorders>
              <w:top w:val="nil"/>
              <w:left w:val="nil"/>
              <w:bottom w:val="nil"/>
              <w:right w:val="nil"/>
            </w:tcBorders>
            <w:shd w:val="clear" w:color="auto" w:fill="auto"/>
            <w:noWrap/>
            <w:vAlign w:val="center"/>
            <w:hideMark/>
          </w:tcPr>
          <w:p w14:paraId="53630DC8"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17,107</w:t>
            </w:r>
          </w:p>
        </w:tc>
        <w:tc>
          <w:tcPr>
            <w:tcW w:w="0" w:type="auto"/>
            <w:tcBorders>
              <w:top w:val="nil"/>
              <w:left w:val="nil"/>
              <w:bottom w:val="nil"/>
              <w:right w:val="nil"/>
            </w:tcBorders>
            <w:shd w:val="clear" w:color="auto" w:fill="auto"/>
            <w:noWrap/>
            <w:vAlign w:val="center"/>
            <w:hideMark/>
          </w:tcPr>
          <w:p w14:paraId="1A148581"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27,435</w:t>
            </w:r>
          </w:p>
        </w:tc>
        <w:tc>
          <w:tcPr>
            <w:tcW w:w="0" w:type="auto"/>
            <w:tcBorders>
              <w:top w:val="nil"/>
              <w:left w:val="nil"/>
              <w:bottom w:val="nil"/>
              <w:right w:val="nil"/>
            </w:tcBorders>
            <w:shd w:val="clear" w:color="auto" w:fill="auto"/>
            <w:noWrap/>
            <w:vAlign w:val="center"/>
            <w:hideMark/>
          </w:tcPr>
          <w:p w14:paraId="20526328"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35,321</w:t>
            </w:r>
          </w:p>
        </w:tc>
        <w:tc>
          <w:tcPr>
            <w:tcW w:w="0" w:type="auto"/>
            <w:tcBorders>
              <w:top w:val="nil"/>
              <w:left w:val="nil"/>
              <w:bottom w:val="nil"/>
              <w:right w:val="nil"/>
            </w:tcBorders>
            <w:shd w:val="clear" w:color="auto" w:fill="auto"/>
            <w:noWrap/>
            <w:vAlign w:val="center"/>
            <w:hideMark/>
          </w:tcPr>
          <w:p w14:paraId="13B2BF57"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41,614</w:t>
            </w:r>
          </w:p>
        </w:tc>
        <w:tc>
          <w:tcPr>
            <w:tcW w:w="0" w:type="auto"/>
            <w:tcBorders>
              <w:top w:val="nil"/>
              <w:left w:val="nil"/>
              <w:bottom w:val="nil"/>
              <w:right w:val="dotted" w:sz="4" w:space="0" w:color="auto"/>
            </w:tcBorders>
            <w:shd w:val="clear" w:color="auto" w:fill="auto"/>
            <w:noWrap/>
            <w:vAlign w:val="center"/>
            <w:hideMark/>
          </w:tcPr>
          <w:p w14:paraId="4B631CDC"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7,253</w:t>
            </w:r>
          </w:p>
        </w:tc>
        <w:tc>
          <w:tcPr>
            <w:tcW w:w="0" w:type="auto"/>
            <w:tcBorders>
              <w:top w:val="nil"/>
              <w:left w:val="dotted" w:sz="4" w:space="0" w:color="auto"/>
              <w:bottom w:val="nil"/>
            </w:tcBorders>
            <w:shd w:val="clear" w:color="auto" w:fill="auto"/>
            <w:noWrap/>
            <w:vAlign w:val="center"/>
            <w:hideMark/>
          </w:tcPr>
          <w:p w14:paraId="3456FCDD"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137,258</w:t>
            </w:r>
          </w:p>
        </w:tc>
      </w:tr>
      <w:tr w:rsidR="00F830E6" w:rsidRPr="008116E1" w14:paraId="4D253ACD" w14:textId="77777777" w:rsidTr="00F830E6">
        <w:trPr>
          <w:trHeight w:val="301"/>
        </w:trPr>
        <w:tc>
          <w:tcPr>
            <w:tcW w:w="0" w:type="auto"/>
            <w:tcBorders>
              <w:top w:val="nil"/>
              <w:left w:val="nil"/>
              <w:bottom w:val="nil"/>
              <w:right w:val="dotted" w:sz="4" w:space="0" w:color="auto"/>
            </w:tcBorders>
            <w:shd w:val="clear" w:color="000000" w:fill="BFBFBF"/>
            <w:noWrap/>
            <w:vAlign w:val="center"/>
            <w:hideMark/>
          </w:tcPr>
          <w:p w14:paraId="1FAACB4B"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35 to 44 </w:t>
            </w:r>
          </w:p>
        </w:tc>
        <w:tc>
          <w:tcPr>
            <w:tcW w:w="0" w:type="auto"/>
            <w:tcBorders>
              <w:top w:val="nil"/>
              <w:left w:val="dotted" w:sz="4" w:space="0" w:color="auto"/>
              <w:bottom w:val="nil"/>
              <w:right w:val="nil"/>
            </w:tcBorders>
            <w:shd w:val="clear" w:color="000000" w:fill="BFBFBF"/>
            <w:noWrap/>
            <w:vAlign w:val="center"/>
            <w:hideMark/>
          </w:tcPr>
          <w:p w14:paraId="7645C5F9"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7,948</w:t>
            </w:r>
          </w:p>
        </w:tc>
        <w:tc>
          <w:tcPr>
            <w:tcW w:w="0" w:type="auto"/>
            <w:tcBorders>
              <w:top w:val="nil"/>
              <w:left w:val="nil"/>
              <w:bottom w:val="nil"/>
              <w:right w:val="nil"/>
            </w:tcBorders>
            <w:shd w:val="clear" w:color="000000" w:fill="BFBFBF"/>
            <w:noWrap/>
            <w:vAlign w:val="center"/>
            <w:hideMark/>
          </w:tcPr>
          <w:p w14:paraId="6DC8D777"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15,802</w:t>
            </w:r>
          </w:p>
        </w:tc>
        <w:tc>
          <w:tcPr>
            <w:tcW w:w="0" w:type="auto"/>
            <w:tcBorders>
              <w:top w:val="nil"/>
              <w:left w:val="nil"/>
              <w:bottom w:val="nil"/>
              <w:right w:val="nil"/>
            </w:tcBorders>
            <w:shd w:val="clear" w:color="000000" w:fill="BFBFBF"/>
            <w:noWrap/>
            <w:vAlign w:val="center"/>
            <w:hideMark/>
          </w:tcPr>
          <w:p w14:paraId="4CFEF3BB"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25,741</w:t>
            </w:r>
          </w:p>
        </w:tc>
        <w:tc>
          <w:tcPr>
            <w:tcW w:w="0" w:type="auto"/>
            <w:tcBorders>
              <w:top w:val="nil"/>
              <w:left w:val="nil"/>
              <w:bottom w:val="nil"/>
              <w:right w:val="nil"/>
            </w:tcBorders>
            <w:shd w:val="clear" w:color="000000" w:fill="BFBFBF"/>
            <w:noWrap/>
            <w:vAlign w:val="center"/>
            <w:hideMark/>
          </w:tcPr>
          <w:p w14:paraId="6BD91E61"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33,099</w:t>
            </w:r>
          </w:p>
        </w:tc>
        <w:tc>
          <w:tcPr>
            <w:tcW w:w="0" w:type="auto"/>
            <w:tcBorders>
              <w:top w:val="nil"/>
              <w:left w:val="nil"/>
              <w:bottom w:val="nil"/>
              <w:right w:val="nil"/>
            </w:tcBorders>
            <w:shd w:val="clear" w:color="000000" w:fill="BFBFBF"/>
            <w:noWrap/>
            <w:vAlign w:val="center"/>
            <w:hideMark/>
          </w:tcPr>
          <w:p w14:paraId="036F5A17"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38,649</w:t>
            </w:r>
          </w:p>
        </w:tc>
        <w:tc>
          <w:tcPr>
            <w:tcW w:w="0" w:type="auto"/>
            <w:tcBorders>
              <w:top w:val="nil"/>
              <w:left w:val="nil"/>
              <w:bottom w:val="nil"/>
              <w:right w:val="dotted" w:sz="4" w:space="0" w:color="auto"/>
            </w:tcBorders>
            <w:shd w:val="clear" w:color="000000" w:fill="BFBFBF"/>
            <w:noWrap/>
            <w:vAlign w:val="center"/>
            <w:hideMark/>
          </w:tcPr>
          <w:p w14:paraId="61DFD8BB"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6,699</w:t>
            </w:r>
          </w:p>
        </w:tc>
        <w:tc>
          <w:tcPr>
            <w:tcW w:w="0" w:type="auto"/>
            <w:tcBorders>
              <w:top w:val="nil"/>
              <w:left w:val="dotted" w:sz="4" w:space="0" w:color="auto"/>
              <w:bottom w:val="nil"/>
            </w:tcBorders>
            <w:shd w:val="clear" w:color="000000" w:fill="BFBFBF"/>
            <w:noWrap/>
            <w:vAlign w:val="center"/>
            <w:hideMark/>
          </w:tcPr>
          <w:p w14:paraId="638A567F"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127,939</w:t>
            </w:r>
          </w:p>
        </w:tc>
      </w:tr>
      <w:tr w:rsidR="003B7C93" w:rsidRPr="008116E1" w14:paraId="10912029" w14:textId="77777777" w:rsidTr="00F830E6">
        <w:trPr>
          <w:trHeight w:val="301"/>
        </w:trPr>
        <w:tc>
          <w:tcPr>
            <w:tcW w:w="0" w:type="auto"/>
            <w:tcBorders>
              <w:top w:val="nil"/>
              <w:left w:val="nil"/>
              <w:bottom w:val="nil"/>
              <w:right w:val="dotted" w:sz="4" w:space="0" w:color="auto"/>
            </w:tcBorders>
            <w:shd w:val="clear" w:color="auto" w:fill="auto"/>
            <w:noWrap/>
            <w:vAlign w:val="center"/>
            <w:hideMark/>
          </w:tcPr>
          <w:p w14:paraId="284D9D32"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45 to 54 </w:t>
            </w:r>
          </w:p>
        </w:tc>
        <w:tc>
          <w:tcPr>
            <w:tcW w:w="0" w:type="auto"/>
            <w:tcBorders>
              <w:top w:val="nil"/>
              <w:left w:val="dotted" w:sz="4" w:space="0" w:color="auto"/>
              <w:bottom w:val="nil"/>
              <w:right w:val="nil"/>
            </w:tcBorders>
            <w:shd w:val="clear" w:color="auto" w:fill="auto"/>
            <w:noWrap/>
            <w:vAlign w:val="center"/>
            <w:hideMark/>
          </w:tcPr>
          <w:p w14:paraId="44944F05"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9,758</w:t>
            </w:r>
          </w:p>
        </w:tc>
        <w:tc>
          <w:tcPr>
            <w:tcW w:w="0" w:type="auto"/>
            <w:tcBorders>
              <w:top w:val="nil"/>
              <w:left w:val="nil"/>
              <w:bottom w:val="nil"/>
              <w:right w:val="nil"/>
            </w:tcBorders>
            <w:shd w:val="clear" w:color="auto" w:fill="auto"/>
            <w:noWrap/>
            <w:vAlign w:val="center"/>
            <w:hideMark/>
          </w:tcPr>
          <w:p w14:paraId="08A85414"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19,452</w:t>
            </w:r>
          </w:p>
        </w:tc>
        <w:tc>
          <w:tcPr>
            <w:tcW w:w="0" w:type="auto"/>
            <w:tcBorders>
              <w:top w:val="nil"/>
              <w:left w:val="nil"/>
              <w:bottom w:val="nil"/>
              <w:right w:val="nil"/>
            </w:tcBorders>
            <w:shd w:val="clear" w:color="auto" w:fill="auto"/>
            <w:noWrap/>
            <w:vAlign w:val="center"/>
            <w:hideMark/>
          </w:tcPr>
          <w:p w14:paraId="3CAE2DE6"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32,220</w:t>
            </w:r>
          </w:p>
        </w:tc>
        <w:tc>
          <w:tcPr>
            <w:tcW w:w="0" w:type="auto"/>
            <w:tcBorders>
              <w:top w:val="nil"/>
              <w:left w:val="nil"/>
              <w:bottom w:val="nil"/>
              <w:right w:val="nil"/>
            </w:tcBorders>
            <w:shd w:val="clear" w:color="auto" w:fill="auto"/>
            <w:noWrap/>
            <w:vAlign w:val="center"/>
            <w:hideMark/>
          </w:tcPr>
          <w:p w14:paraId="0123B7F6"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41,178</w:t>
            </w:r>
          </w:p>
        </w:tc>
        <w:tc>
          <w:tcPr>
            <w:tcW w:w="0" w:type="auto"/>
            <w:tcBorders>
              <w:top w:val="nil"/>
              <w:left w:val="nil"/>
              <w:bottom w:val="nil"/>
              <w:right w:val="nil"/>
            </w:tcBorders>
            <w:shd w:val="clear" w:color="auto" w:fill="auto"/>
            <w:noWrap/>
            <w:vAlign w:val="center"/>
            <w:hideMark/>
          </w:tcPr>
          <w:p w14:paraId="5254FEF4"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47,253</w:t>
            </w:r>
          </w:p>
        </w:tc>
        <w:tc>
          <w:tcPr>
            <w:tcW w:w="0" w:type="auto"/>
            <w:tcBorders>
              <w:top w:val="nil"/>
              <w:left w:val="nil"/>
              <w:bottom w:val="nil"/>
              <w:right w:val="dotted" w:sz="4" w:space="0" w:color="auto"/>
            </w:tcBorders>
            <w:shd w:val="clear" w:color="auto" w:fill="auto"/>
            <w:noWrap/>
            <w:vAlign w:val="center"/>
            <w:hideMark/>
          </w:tcPr>
          <w:p w14:paraId="21C5C563"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8,084</w:t>
            </w:r>
          </w:p>
        </w:tc>
        <w:tc>
          <w:tcPr>
            <w:tcW w:w="0" w:type="auto"/>
            <w:tcBorders>
              <w:top w:val="nil"/>
              <w:left w:val="dotted" w:sz="4" w:space="0" w:color="auto"/>
              <w:bottom w:val="nil"/>
            </w:tcBorders>
            <w:shd w:val="clear" w:color="auto" w:fill="auto"/>
            <w:noWrap/>
            <w:vAlign w:val="center"/>
            <w:hideMark/>
          </w:tcPr>
          <w:p w14:paraId="3B3237BD"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157,945</w:t>
            </w:r>
          </w:p>
        </w:tc>
      </w:tr>
      <w:tr w:rsidR="00F830E6" w:rsidRPr="008116E1" w14:paraId="7B14C179" w14:textId="77777777" w:rsidTr="00F830E6">
        <w:trPr>
          <w:trHeight w:val="301"/>
        </w:trPr>
        <w:tc>
          <w:tcPr>
            <w:tcW w:w="0" w:type="auto"/>
            <w:tcBorders>
              <w:top w:val="nil"/>
              <w:left w:val="nil"/>
              <w:bottom w:val="nil"/>
              <w:right w:val="dotted" w:sz="4" w:space="0" w:color="auto"/>
            </w:tcBorders>
            <w:shd w:val="clear" w:color="000000" w:fill="BFBFBF"/>
            <w:noWrap/>
            <w:vAlign w:val="center"/>
            <w:hideMark/>
          </w:tcPr>
          <w:p w14:paraId="2A8B77D9"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55 to 64 </w:t>
            </w:r>
          </w:p>
        </w:tc>
        <w:tc>
          <w:tcPr>
            <w:tcW w:w="0" w:type="auto"/>
            <w:tcBorders>
              <w:top w:val="nil"/>
              <w:left w:val="dotted" w:sz="4" w:space="0" w:color="auto"/>
              <w:bottom w:val="nil"/>
              <w:right w:val="nil"/>
            </w:tcBorders>
            <w:shd w:val="clear" w:color="000000" w:fill="BFBFBF"/>
            <w:noWrap/>
            <w:vAlign w:val="center"/>
            <w:hideMark/>
          </w:tcPr>
          <w:p w14:paraId="43818717"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9,829</w:t>
            </w:r>
          </w:p>
        </w:tc>
        <w:tc>
          <w:tcPr>
            <w:tcW w:w="0" w:type="auto"/>
            <w:tcBorders>
              <w:top w:val="nil"/>
              <w:left w:val="nil"/>
              <w:bottom w:val="nil"/>
              <w:right w:val="nil"/>
            </w:tcBorders>
            <w:shd w:val="clear" w:color="000000" w:fill="BFBFBF"/>
            <w:noWrap/>
            <w:vAlign w:val="center"/>
            <w:hideMark/>
          </w:tcPr>
          <w:p w14:paraId="5B284D3A"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20,882</w:t>
            </w:r>
          </w:p>
        </w:tc>
        <w:tc>
          <w:tcPr>
            <w:tcW w:w="0" w:type="auto"/>
            <w:tcBorders>
              <w:top w:val="nil"/>
              <w:left w:val="nil"/>
              <w:bottom w:val="nil"/>
              <w:right w:val="nil"/>
            </w:tcBorders>
            <w:shd w:val="clear" w:color="000000" w:fill="BFBFBF"/>
            <w:noWrap/>
            <w:vAlign w:val="center"/>
            <w:hideMark/>
          </w:tcPr>
          <w:p w14:paraId="34279C0A"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35,652</w:t>
            </w:r>
          </w:p>
        </w:tc>
        <w:tc>
          <w:tcPr>
            <w:tcW w:w="0" w:type="auto"/>
            <w:tcBorders>
              <w:top w:val="nil"/>
              <w:left w:val="nil"/>
              <w:bottom w:val="nil"/>
              <w:right w:val="nil"/>
            </w:tcBorders>
            <w:shd w:val="clear" w:color="000000" w:fill="BFBFBF"/>
            <w:noWrap/>
            <w:vAlign w:val="center"/>
            <w:hideMark/>
          </w:tcPr>
          <w:p w14:paraId="6E99E9AC"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47,236</w:t>
            </w:r>
          </w:p>
        </w:tc>
        <w:tc>
          <w:tcPr>
            <w:tcW w:w="0" w:type="auto"/>
            <w:tcBorders>
              <w:top w:val="nil"/>
              <w:left w:val="nil"/>
              <w:bottom w:val="nil"/>
              <w:right w:val="nil"/>
            </w:tcBorders>
            <w:shd w:val="clear" w:color="000000" w:fill="BFBFBF"/>
            <w:noWrap/>
            <w:vAlign w:val="center"/>
            <w:hideMark/>
          </w:tcPr>
          <w:p w14:paraId="21A6549C"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55,463</w:t>
            </w:r>
          </w:p>
        </w:tc>
        <w:tc>
          <w:tcPr>
            <w:tcW w:w="0" w:type="auto"/>
            <w:tcBorders>
              <w:top w:val="nil"/>
              <w:left w:val="nil"/>
              <w:bottom w:val="nil"/>
              <w:right w:val="dotted" w:sz="4" w:space="0" w:color="auto"/>
            </w:tcBorders>
            <w:shd w:val="clear" w:color="000000" w:fill="BFBFBF"/>
            <w:noWrap/>
            <w:vAlign w:val="center"/>
            <w:hideMark/>
          </w:tcPr>
          <w:p w14:paraId="0508B885"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9,537</w:t>
            </w:r>
          </w:p>
        </w:tc>
        <w:tc>
          <w:tcPr>
            <w:tcW w:w="0" w:type="auto"/>
            <w:tcBorders>
              <w:top w:val="nil"/>
              <w:left w:val="dotted" w:sz="4" w:space="0" w:color="auto"/>
              <w:bottom w:val="nil"/>
            </w:tcBorders>
            <w:shd w:val="clear" w:color="000000" w:fill="BFBFBF"/>
            <w:noWrap/>
            <w:vAlign w:val="center"/>
            <w:hideMark/>
          </w:tcPr>
          <w:p w14:paraId="3A9B839C"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178,598</w:t>
            </w:r>
          </w:p>
        </w:tc>
      </w:tr>
      <w:tr w:rsidR="003B7C93" w:rsidRPr="008116E1" w14:paraId="77D83BA4" w14:textId="77777777" w:rsidTr="00F830E6">
        <w:trPr>
          <w:trHeight w:val="301"/>
        </w:trPr>
        <w:tc>
          <w:tcPr>
            <w:tcW w:w="0" w:type="auto"/>
            <w:tcBorders>
              <w:top w:val="nil"/>
              <w:left w:val="nil"/>
              <w:bottom w:val="nil"/>
              <w:right w:val="dotted" w:sz="4" w:space="0" w:color="auto"/>
            </w:tcBorders>
            <w:shd w:val="clear" w:color="auto" w:fill="auto"/>
            <w:noWrap/>
            <w:vAlign w:val="center"/>
            <w:hideMark/>
          </w:tcPr>
          <w:p w14:paraId="664F3BEF"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65+ </w:t>
            </w:r>
          </w:p>
        </w:tc>
        <w:tc>
          <w:tcPr>
            <w:tcW w:w="0" w:type="auto"/>
            <w:tcBorders>
              <w:top w:val="nil"/>
              <w:left w:val="dotted" w:sz="4" w:space="0" w:color="auto"/>
              <w:bottom w:val="nil"/>
              <w:right w:val="nil"/>
            </w:tcBorders>
            <w:shd w:val="clear" w:color="auto" w:fill="auto"/>
            <w:noWrap/>
            <w:vAlign w:val="center"/>
            <w:hideMark/>
          </w:tcPr>
          <w:p w14:paraId="08BB3F22"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1,343</w:t>
            </w:r>
          </w:p>
        </w:tc>
        <w:tc>
          <w:tcPr>
            <w:tcW w:w="0" w:type="auto"/>
            <w:tcBorders>
              <w:top w:val="nil"/>
              <w:left w:val="nil"/>
              <w:bottom w:val="nil"/>
              <w:right w:val="nil"/>
            </w:tcBorders>
            <w:shd w:val="clear" w:color="auto" w:fill="auto"/>
            <w:noWrap/>
            <w:vAlign w:val="center"/>
            <w:hideMark/>
          </w:tcPr>
          <w:p w14:paraId="12719FC5"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3,355</w:t>
            </w:r>
          </w:p>
        </w:tc>
        <w:tc>
          <w:tcPr>
            <w:tcW w:w="0" w:type="auto"/>
            <w:tcBorders>
              <w:top w:val="nil"/>
              <w:left w:val="nil"/>
              <w:bottom w:val="nil"/>
              <w:right w:val="nil"/>
            </w:tcBorders>
            <w:shd w:val="clear" w:color="auto" w:fill="auto"/>
            <w:noWrap/>
            <w:vAlign w:val="center"/>
            <w:hideMark/>
          </w:tcPr>
          <w:p w14:paraId="2C0B06AF"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6,978</w:t>
            </w:r>
          </w:p>
        </w:tc>
        <w:tc>
          <w:tcPr>
            <w:tcW w:w="0" w:type="auto"/>
            <w:tcBorders>
              <w:top w:val="nil"/>
              <w:left w:val="nil"/>
              <w:bottom w:val="nil"/>
              <w:right w:val="nil"/>
            </w:tcBorders>
            <w:shd w:val="clear" w:color="auto" w:fill="auto"/>
            <w:noWrap/>
            <w:vAlign w:val="center"/>
            <w:hideMark/>
          </w:tcPr>
          <w:p w14:paraId="3E0C314E"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11,459</w:t>
            </w:r>
          </w:p>
        </w:tc>
        <w:tc>
          <w:tcPr>
            <w:tcW w:w="0" w:type="auto"/>
            <w:tcBorders>
              <w:top w:val="nil"/>
              <w:left w:val="nil"/>
              <w:bottom w:val="nil"/>
              <w:right w:val="nil"/>
            </w:tcBorders>
            <w:shd w:val="clear" w:color="auto" w:fill="auto"/>
            <w:noWrap/>
            <w:vAlign w:val="center"/>
            <w:hideMark/>
          </w:tcPr>
          <w:p w14:paraId="74CC4CFB"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16,660</w:t>
            </w:r>
          </w:p>
        </w:tc>
        <w:tc>
          <w:tcPr>
            <w:tcW w:w="0" w:type="auto"/>
            <w:tcBorders>
              <w:top w:val="nil"/>
              <w:left w:val="nil"/>
              <w:bottom w:val="nil"/>
              <w:right w:val="dotted" w:sz="4" w:space="0" w:color="auto"/>
            </w:tcBorders>
            <w:shd w:val="clear" w:color="auto" w:fill="auto"/>
            <w:noWrap/>
            <w:vAlign w:val="center"/>
            <w:hideMark/>
          </w:tcPr>
          <w:p w14:paraId="5CB23C9B"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3,198</w:t>
            </w:r>
          </w:p>
        </w:tc>
        <w:tc>
          <w:tcPr>
            <w:tcW w:w="0" w:type="auto"/>
            <w:tcBorders>
              <w:top w:val="nil"/>
              <w:left w:val="dotted" w:sz="4" w:space="0" w:color="auto"/>
              <w:bottom w:val="nil"/>
            </w:tcBorders>
            <w:shd w:val="clear" w:color="auto" w:fill="auto"/>
            <w:noWrap/>
            <w:vAlign w:val="center"/>
            <w:hideMark/>
          </w:tcPr>
          <w:p w14:paraId="3CCBF73A"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42,994</w:t>
            </w:r>
          </w:p>
        </w:tc>
      </w:tr>
      <w:tr w:rsidR="00F830E6" w:rsidRPr="008116E1" w14:paraId="0E0DE69C" w14:textId="77777777" w:rsidTr="00F830E6">
        <w:trPr>
          <w:trHeight w:val="301"/>
        </w:trPr>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3D74FF09" w14:textId="77777777" w:rsidR="003B7C93" w:rsidRPr="00F830E6" w:rsidRDefault="003B7C93">
            <w:pPr>
              <w:spacing w:after="0" w:line="240" w:lineRule="auto"/>
              <w:rPr>
                <w:rFonts w:eastAsia="Times New Roman" w:cs="Arial"/>
                <w:b/>
                <w:bCs/>
                <w:color w:val="000000"/>
                <w:sz w:val="18"/>
                <w:szCs w:val="18"/>
                <w:lang w:eastAsia="zh-CN"/>
              </w:rPr>
            </w:pPr>
            <w:r w:rsidRPr="00F830E6">
              <w:rPr>
                <w:rFonts w:eastAsia="Times New Roman" w:cs="Arial"/>
                <w:b/>
                <w:bCs/>
                <w:color w:val="000000"/>
                <w:sz w:val="18"/>
                <w:szCs w:val="18"/>
                <w:lang w:eastAsia="zh-CN"/>
              </w:rPr>
              <w:t>Total</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4C68CADE" w14:textId="77777777" w:rsidR="003B7C93" w:rsidRPr="00F830E6" w:rsidRDefault="003B7C93"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92,030</w:t>
            </w:r>
          </w:p>
        </w:tc>
        <w:tc>
          <w:tcPr>
            <w:tcW w:w="0" w:type="auto"/>
            <w:tcBorders>
              <w:top w:val="single" w:sz="4" w:space="0" w:color="auto"/>
              <w:left w:val="nil"/>
              <w:bottom w:val="single" w:sz="4" w:space="0" w:color="auto"/>
              <w:right w:val="nil"/>
            </w:tcBorders>
            <w:shd w:val="clear" w:color="000000" w:fill="D3C5D7"/>
            <w:noWrap/>
            <w:vAlign w:val="center"/>
            <w:hideMark/>
          </w:tcPr>
          <w:p w14:paraId="6B3B953E" w14:textId="77777777" w:rsidR="003B7C93" w:rsidRPr="00F830E6" w:rsidRDefault="003B7C93"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173,927</w:t>
            </w:r>
          </w:p>
        </w:tc>
        <w:tc>
          <w:tcPr>
            <w:tcW w:w="0" w:type="auto"/>
            <w:tcBorders>
              <w:top w:val="single" w:sz="4" w:space="0" w:color="auto"/>
              <w:left w:val="nil"/>
              <w:bottom w:val="single" w:sz="4" w:space="0" w:color="auto"/>
              <w:right w:val="nil"/>
            </w:tcBorders>
            <w:shd w:val="clear" w:color="000000" w:fill="D3C5D7"/>
            <w:noWrap/>
            <w:vAlign w:val="center"/>
            <w:hideMark/>
          </w:tcPr>
          <w:p w14:paraId="67D94942" w14:textId="77777777" w:rsidR="003B7C93" w:rsidRPr="00F830E6" w:rsidRDefault="003B7C93"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284,854</w:t>
            </w:r>
          </w:p>
        </w:tc>
        <w:tc>
          <w:tcPr>
            <w:tcW w:w="0" w:type="auto"/>
            <w:tcBorders>
              <w:top w:val="single" w:sz="4" w:space="0" w:color="auto"/>
              <w:left w:val="nil"/>
              <w:bottom w:val="single" w:sz="4" w:space="0" w:color="auto"/>
              <w:right w:val="nil"/>
            </w:tcBorders>
            <w:shd w:val="clear" w:color="000000" w:fill="D3C5D7"/>
            <w:noWrap/>
            <w:vAlign w:val="center"/>
            <w:hideMark/>
          </w:tcPr>
          <w:p w14:paraId="15DC4BCF" w14:textId="77777777" w:rsidR="003B7C93" w:rsidRPr="00F830E6" w:rsidRDefault="003B7C93"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388,893</w:t>
            </w:r>
          </w:p>
        </w:tc>
        <w:tc>
          <w:tcPr>
            <w:tcW w:w="0" w:type="auto"/>
            <w:tcBorders>
              <w:top w:val="single" w:sz="4" w:space="0" w:color="auto"/>
              <w:left w:val="nil"/>
              <w:bottom w:val="single" w:sz="4" w:space="0" w:color="auto"/>
              <w:right w:val="nil"/>
            </w:tcBorders>
            <w:shd w:val="clear" w:color="000000" w:fill="D3C5D7"/>
            <w:noWrap/>
            <w:vAlign w:val="center"/>
            <w:hideMark/>
          </w:tcPr>
          <w:p w14:paraId="3F550E14" w14:textId="77777777" w:rsidR="003B7C93" w:rsidRPr="00F830E6" w:rsidRDefault="003B7C93"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467,224</w:t>
            </w:r>
          </w:p>
        </w:tc>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3D09F2DA" w14:textId="77777777" w:rsidR="003B7C93" w:rsidRPr="00F830E6" w:rsidRDefault="003B7C93"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82,003</w:t>
            </w:r>
          </w:p>
        </w:tc>
        <w:tc>
          <w:tcPr>
            <w:tcW w:w="0" w:type="auto"/>
            <w:tcBorders>
              <w:top w:val="single" w:sz="4" w:space="0" w:color="auto"/>
              <w:left w:val="dotted" w:sz="4" w:space="0" w:color="auto"/>
              <w:bottom w:val="single" w:sz="4" w:space="0" w:color="auto"/>
            </w:tcBorders>
            <w:shd w:val="clear" w:color="000000" w:fill="D3C5D7"/>
            <w:noWrap/>
            <w:vAlign w:val="center"/>
            <w:hideMark/>
          </w:tcPr>
          <w:p w14:paraId="41B66A04" w14:textId="77777777" w:rsidR="003B7C93" w:rsidRPr="00F830E6" w:rsidRDefault="003B7C93"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1,488,931</w:t>
            </w:r>
          </w:p>
        </w:tc>
      </w:tr>
    </w:tbl>
    <w:p w14:paraId="4654A944" w14:textId="77777777" w:rsidR="003B7C93" w:rsidRDefault="003B7C93" w:rsidP="003B7C93">
      <w:pPr>
        <w:pStyle w:val="Tables"/>
        <w:spacing w:before="120"/>
      </w:pPr>
    </w:p>
    <w:tbl>
      <w:tblPr>
        <w:tblW w:w="0" w:type="auto"/>
        <w:tblLook w:val="04A0" w:firstRow="1" w:lastRow="0" w:firstColumn="1" w:lastColumn="0" w:noHBand="0" w:noVBand="1"/>
      </w:tblPr>
      <w:tblGrid>
        <w:gridCol w:w="917"/>
        <w:gridCol w:w="1167"/>
        <w:gridCol w:w="1167"/>
        <w:gridCol w:w="1167"/>
        <w:gridCol w:w="1167"/>
        <w:gridCol w:w="1167"/>
        <w:gridCol w:w="1157"/>
        <w:gridCol w:w="927"/>
      </w:tblGrid>
      <w:tr w:rsidR="003B7C93" w:rsidRPr="008116E1" w14:paraId="7B25D99A" w14:textId="77777777" w:rsidTr="00F830E6">
        <w:trPr>
          <w:trHeight w:val="397"/>
          <w:tblHeader/>
        </w:trPr>
        <w:tc>
          <w:tcPr>
            <w:tcW w:w="0" w:type="auto"/>
            <w:vMerge w:val="restart"/>
            <w:tcBorders>
              <w:top w:val="nil"/>
              <w:left w:val="nil"/>
              <w:bottom w:val="nil"/>
              <w:right w:val="nil"/>
            </w:tcBorders>
            <w:shd w:val="clear" w:color="000000" w:fill="6B2976"/>
            <w:noWrap/>
            <w:vAlign w:val="center"/>
            <w:hideMark/>
          </w:tcPr>
          <w:p w14:paraId="38EE7131" w14:textId="77777777" w:rsidR="003B7C93" w:rsidRPr="00F830E6" w:rsidRDefault="003B7C93" w:rsidP="00F830E6">
            <w:pPr>
              <w:spacing w:after="0" w:line="240" w:lineRule="auto"/>
              <w:rPr>
                <w:rFonts w:eastAsia="Times New Roman" w:cs="Arial"/>
                <w:b/>
                <w:bCs/>
                <w:color w:val="FFFFFF"/>
                <w:sz w:val="18"/>
                <w:szCs w:val="18"/>
                <w:lang w:eastAsia="zh-CN"/>
              </w:rPr>
            </w:pPr>
            <w:r w:rsidRPr="00F830E6">
              <w:rPr>
                <w:rFonts w:eastAsia="Times New Roman" w:cs="Arial"/>
                <w:b/>
                <w:bCs/>
                <w:color w:val="FFFFFF"/>
                <w:sz w:val="18"/>
                <w:szCs w:val="18"/>
                <w:lang w:eastAsia="zh-CN"/>
              </w:rPr>
              <w:t>Age</w:t>
            </w:r>
          </w:p>
        </w:tc>
        <w:tc>
          <w:tcPr>
            <w:tcW w:w="0" w:type="auto"/>
            <w:gridSpan w:val="7"/>
            <w:tcBorders>
              <w:top w:val="nil"/>
              <w:left w:val="nil"/>
              <w:bottom w:val="single" w:sz="4" w:space="0" w:color="FFFFFF"/>
              <w:right w:val="nil"/>
            </w:tcBorders>
            <w:shd w:val="clear" w:color="000000" w:fill="6B2976"/>
            <w:vAlign w:val="center"/>
            <w:hideMark/>
          </w:tcPr>
          <w:p w14:paraId="2E793653" w14:textId="77777777" w:rsidR="003B7C93" w:rsidRPr="00F830E6" w:rsidRDefault="003B7C93" w:rsidP="008116E1">
            <w:pPr>
              <w:spacing w:after="0" w:line="240" w:lineRule="auto"/>
              <w:jc w:val="center"/>
              <w:rPr>
                <w:rFonts w:eastAsia="Times New Roman" w:cs="Arial"/>
                <w:b/>
                <w:bCs/>
                <w:color w:val="FFFFFF"/>
                <w:sz w:val="18"/>
                <w:szCs w:val="18"/>
                <w:lang w:eastAsia="zh-CN"/>
              </w:rPr>
            </w:pPr>
            <w:r w:rsidRPr="00F830E6">
              <w:rPr>
                <w:rFonts w:eastAsia="Times New Roman" w:cs="Arial"/>
                <w:b/>
                <w:bCs/>
                <w:color w:val="FFFFFF"/>
                <w:sz w:val="18"/>
                <w:szCs w:val="18"/>
                <w:lang w:eastAsia="zh-CN"/>
              </w:rPr>
              <w:t>Actual % Exposure</w:t>
            </w:r>
          </w:p>
        </w:tc>
      </w:tr>
      <w:tr w:rsidR="00F830E6" w:rsidRPr="008116E1" w14:paraId="7B605159" w14:textId="77777777" w:rsidTr="00F830E6">
        <w:trPr>
          <w:trHeight w:val="397"/>
          <w:tblHeader/>
        </w:trPr>
        <w:tc>
          <w:tcPr>
            <w:tcW w:w="0" w:type="auto"/>
            <w:vMerge/>
            <w:tcBorders>
              <w:top w:val="nil"/>
              <w:left w:val="nil"/>
              <w:right w:val="nil"/>
            </w:tcBorders>
            <w:vAlign w:val="center"/>
            <w:hideMark/>
          </w:tcPr>
          <w:p w14:paraId="7619E5C6" w14:textId="77777777" w:rsidR="003B7C93" w:rsidRPr="00F830E6" w:rsidRDefault="003B7C93">
            <w:pPr>
              <w:spacing w:after="0" w:line="240" w:lineRule="auto"/>
              <w:rPr>
                <w:rFonts w:eastAsia="Times New Roman" w:cs="Arial"/>
                <w:b/>
                <w:bCs/>
                <w:color w:val="FFFFFF"/>
                <w:sz w:val="18"/>
                <w:szCs w:val="18"/>
                <w:lang w:eastAsia="zh-CN"/>
              </w:rPr>
            </w:pPr>
          </w:p>
        </w:tc>
        <w:tc>
          <w:tcPr>
            <w:tcW w:w="0" w:type="auto"/>
            <w:tcBorders>
              <w:top w:val="nil"/>
              <w:left w:val="nil"/>
              <w:bottom w:val="nil"/>
              <w:right w:val="nil"/>
            </w:tcBorders>
            <w:shd w:val="clear" w:color="000000" w:fill="6B2976"/>
            <w:vAlign w:val="center"/>
            <w:hideMark/>
          </w:tcPr>
          <w:p w14:paraId="5A90CE72"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17</w:t>
            </w:r>
          </w:p>
        </w:tc>
        <w:tc>
          <w:tcPr>
            <w:tcW w:w="0" w:type="auto"/>
            <w:tcBorders>
              <w:top w:val="nil"/>
              <w:left w:val="nil"/>
              <w:bottom w:val="nil"/>
              <w:right w:val="nil"/>
            </w:tcBorders>
            <w:shd w:val="clear" w:color="000000" w:fill="6B2976"/>
            <w:vAlign w:val="center"/>
            <w:hideMark/>
          </w:tcPr>
          <w:p w14:paraId="004CCC73"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18</w:t>
            </w:r>
          </w:p>
        </w:tc>
        <w:tc>
          <w:tcPr>
            <w:tcW w:w="0" w:type="auto"/>
            <w:tcBorders>
              <w:top w:val="nil"/>
              <w:left w:val="nil"/>
              <w:bottom w:val="nil"/>
              <w:right w:val="nil"/>
            </w:tcBorders>
            <w:shd w:val="clear" w:color="000000" w:fill="6B2976"/>
            <w:vAlign w:val="center"/>
            <w:hideMark/>
          </w:tcPr>
          <w:p w14:paraId="1D4C13DF"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19</w:t>
            </w:r>
          </w:p>
        </w:tc>
        <w:tc>
          <w:tcPr>
            <w:tcW w:w="0" w:type="auto"/>
            <w:tcBorders>
              <w:top w:val="nil"/>
              <w:left w:val="nil"/>
              <w:bottom w:val="nil"/>
              <w:right w:val="nil"/>
            </w:tcBorders>
            <w:shd w:val="clear" w:color="000000" w:fill="6B2976"/>
            <w:vAlign w:val="center"/>
            <w:hideMark/>
          </w:tcPr>
          <w:p w14:paraId="0AA31F6B"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20</w:t>
            </w:r>
          </w:p>
        </w:tc>
        <w:tc>
          <w:tcPr>
            <w:tcW w:w="0" w:type="auto"/>
            <w:tcBorders>
              <w:top w:val="nil"/>
              <w:left w:val="nil"/>
              <w:bottom w:val="nil"/>
              <w:right w:val="nil"/>
            </w:tcBorders>
            <w:shd w:val="clear" w:color="000000" w:fill="6B2976"/>
            <w:vAlign w:val="center"/>
            <w:hideMark/>
          </w:tcPr>
          <w:p w14:paraId="2EF8FFB9"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21</w:t>
            </w:r>
          </w:p>
        </w:tc>
        <w:tc>
          <w:tcPr>
            <w:tcW w:w="0" w:type="auto"/>
            <w:tcBorders>
              <w:top w:val="nil"/>
              <w:left w:val="nil"/>
              <w:right w:val="nil"/>
            </w:tcBorders>
            <w:shd w:val="clear" w:color="000000" w:fill="6B2976"/>
            <w:vAlign w:val="center"/>
            <w:hideMark/>
          </w:tcPr>
          <w:p w14:paraId="21772A5C"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Jan-Feb 22</w:t>
            </w:r>
          </w:p>
        </w:tc>
        <w:tc>
          <w:tcPr>
            <w:tcW w:w="0" w:type="auto"/>
            <w:tcBorders>
              <w:top w:val="nil"/>
              <w:left w:val="nil"/>
              <w:bottom w:val="nil"/>
              <w:right w:val="nil"/>
            </w:tcBorders>
            <w:shd w:val="clear" w:color="000000" w:fill="6B2976"/>
            <w:vAlign w:val="center"/>
            <w:hideMark/>
          </w:tcPr>
          <w:p w14:paraId="73A0D034"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Overall</w:t>
            </w:r>
          </w:p>
        </w:tc>
      </w:tr>
      <w:tr w:rsidR="003B7C93" w:rsidRPr="008116E1" w14:paraId="6AB8A3AE" w14:textId="77777777" w:rsidTr="00F830E6">
        <w:trPr>
          <w:trHeight w:val="285"/>
        </w:trPr>
        <w:tc>
          <w:tcPr>
            <w:tcW w:w="0" w:type="auto"/>
            <w:tcBorders>
              <w:top w:val="nil"/>
              <w:left w:val="nil"/>
              <w:bottom w:val="nil"/>
              <w:right w:val="dotted" w:sz="4" w:space="0" w:color="auto"/>
            </w:tcBorders>
            <w:shd w:val="clear" w:color="auto" w:fill="auto"/>
            <w:noWrap/>
            <w:vAlign w:val="center"/>
            <w:hideMark/>
          </w:tcPr>
          <w:p w14:paraId="391DCA47"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0 to 6 </w:t>
            </w:r>
          </w:p>
        </w:tc>
        <w:tc>
          <w:tcPr>
            <w:tcW w:w="0" w:type="auto"/>
            <w:tcBorders>
              <w:top w:val="nil"/>
              <w:left w:val="dotted" w:sz="4" w:space="0" w:color="auto"/>
              <w:bottom w:val="nil"/>
              <w:right w:val="nil"/>
            </w:tcBorders>
            <w:shd w:val="clear" w:color="auto" w:fill="auto"/>
            <w:noWrap/>
            <w:vAlign w:val="center"/>
            <w:hideMark/>
          </w:tcPr>
          <w:p w14:paraId="46E5E4E0"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13.42%</w:t>
            </w:r>
          </w:p>
        </w:tc>
        <w:tc>
          <w:tcPr>
            <w:tcW w:w="0" w:type="auto"/>
            <w:tcBorders>
              <w:top w:val="nil"/>
              <w:left w:val="nil"/>
              <w:bottom w:val="nil"/>
              <w:right w:val="nil"/>
            </w:tcBorders>
            <w:shd w:val="clear" w:color="auto" w:fill="auto"/>
            <w:noWrap/>
            <w:vAlign w:val="center"/>
            <w:hideMark/>
          </w:tcPr>
          <w:p w14:paraId="7C8A5278"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12.92%</w:t>
            </w:r>
          </w:p>
        </w:tc>
        <w:tc>
          <w:tcPr>
            <w:tcW w:w="0" w:type="auto"/>
            <w:tcBorders>
              <w:top w:val="nil"/>
              <w:left w:val="nil"/>
              <w:bottom w:val="nil"/>
              <w:right w:val="nil"/>
            </w:tcBorders>
            <w:shd w:val="clear" w:color="auto" w:fill="auto"/>
            <w:noWrap/>
            <w:vAlign w:val="center"/>
            <w:hideMark/>
          </w:tcPr>
          <w:p w14:paraId="618AB16A"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13.61%</w:t>
            </w:r>
          </w:p>
        </w:tc>
        <w:tc>
          <w:tcPr>
            <w:tcW w:w="0" w:type="auto"/>
            <w:tcBorders>
              <w:top w:val="nil"/>
              <w:left w:val="nil"/>
              <w:bottom w:val="nil"/>
              <w:right w:val="nil"/>
            </w:tcBorders>
            <w:shd w:val="clear" w:color="auto" w:fill="auto"/>
            <w:noWrap/>
            <w:vAlign w:val="center"/>
            <w:hideMark/>
          </w:tcPr>
          <w:p w14:paraId="20C51809"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15.68%</w:t>
            </w:r>
          </w:p>
        </w:tc>
        <w:tc>
          <w:tcPr>
            <w:tcW w:w="0" w:type="auto"/>
            <w:tcBorders>
              <w:top w:val="nil"/>
              <w:left w:val="nil"/>
              <w:bottom w:val="nil"/>
              <w:right w:val="nil"/>
            </w:tcBorders>
            <w:shd w:val="clear" w:color="auto" w:fill="auto"/>
            <w:noWrap/>
            <w:vAlign w:val="center"/>
            <w:hideMark/>
          </w:tcPr>
          <w:p w14:paraId="4437D3A8"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15.55%</w:t>
            </w:r>
          </w:p>
        </w:tc>
        <w:tc>
          <w:tcPr>
            <w:tcW w:w="0" w:type="auto"/>
            <w:tcBorders>
              <w:top w:val="nil"/>
              <w:left w:val="nil"/>
              <w:bottom w:val="nil"/>
              <w:right w:val="dotted" w:sz="4" w:space="0" w:color="auto"/>
            </w:tcBorders>
            <w:shd w:val="clear" w:color="auto" w:fill="auto"/>
            <w:noWrap/>
            <w:vAlign w:val="center"/>
            <w:hideMark/>
          </w:tcPr>
          <w:p w14:paraId="2CBFAB53"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15.43%</w:t>
            </w:r>
          </w:p>
        </w:tc>
        <w:tc>
          <w:tcPr>
            <w:tcW w:w="0" w:type="auto"/>
            <w:tcBorders>
              <w:top w:val="nil"/>
              <w:left w:val="dotted" w:sz="4" w:space="0" w:color="auto"/>
              <w:bottom w:val="nil"/>
              <w:right w:val="nil"/>
            </w:tcBorders>
            <w:shd w:val="clear" w:color="auto" w:fill="auto"/>
            <w:noWrap/>
            <w:vAlign w:val="center"/>
            <w:hideMark/>
          </w:tcPr>
          <w:p w14:paraId="501C5A14"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14.77%</w:t>
            </w:r>
          </w:p>
        </w:tc>
      </w:tr>
      <w:tr w:rsidR="00F830E6" w:rsidRPr="008116E1" w14:paraId="2671E534" w14:textId="77777777" w:rsidTr="00F830E6">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486C3210"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7 to 14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79C96035"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27.52%</w:t>
            </w:r>
          </w:p>
        </w:tc>
        <w:tc>
          <w:tcPr>
            <w:tcW w:w="0" w:type="auto"/>
            <w:tcBorders>
              <w:top w:val="nil"/>
              <w:left w:val="nil"/>
              <w:bottom w:val="nil"/>
              <w:right w:val="nil"/>
            </w:tcBorders>
            <w:shd w:val="clear" w:color="auto" w:fill="BFBFBF" w:themeFill="background1" w:themeFillShade="BF"/>
            <w:noWrap/>
            <w:vAlign w:val="center"/>
            <w:hideMark/>
          </w:tcPr>
          <w:p w14:paraId="3D7CCDA3"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25.12%</w:t>
            </w:r>
          </w:p>
        </w:tc>
        <w:tc>
          <w:tcPr>
            <w:tcW w:w="0" w:type="auto"/>
            <w:tcBorders>
              <w:top w:val="nil"/>
              <w:left w:val="nil"/>
              <w:bottom w:val="nil"/>
              <w:right w:val="nil"/>
            </w:tcBorders>
            <w:shd w:val="clear" w:color="auto" w:fill="BFBFBF" w:themeFill="background1" w:themeFillShade="BF"/>
            <w:noWrap/>
            <w:vAlign w:val="center"/>
            <w:hideMark/>
          </w:tcPr>
          <w:p w14:paraId="77E9ADC5"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24.75%</w:t>
            </w:r>
          </w:p>
        </w:tc>
        <w:tc>
          <w:tcPr>
            <w:tcW w:w="0" w:type="auto"/>
            <w:tcBorders>
              <w:top w:val="nil"/>
              <w:left w:val="nil"/>
              <w:bottom w:val="nil"/>
              <w:right w:val="nil"/>
            </w:tcBorders>
            <w:shd w:val="clear" w:color="auto" w:fill="BFBFBF" w:themeFill="background1" w:themeFillShade="BF"/>
            <w:noWrap/>
            <w:vAlign w:val="center"/>
            <w:hideMark/>
          </w:tcPr>
          <w:p w14:paraId="5ABC4A50"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25.12%</w:t>
            </w:r>
          </w:p>
        </w:tc>
        <w:tc>
          <w:tcPr>
            <w:tcW w:w="0" w:type="auto"/>
            <w:tcBorders>
              <w:top w:val="nil"/>
              <w:left w:val="nil"/>
              <w:bottom w:val="nil"/>
              <w:right w:val="nil"/>
            </w:tcBorders>
            <w:shd w:val="clear" w:color="auto" w:fill="BFBFBF" w:themeFill="background1" w:themeFillShade="BF"/>
            <w:noWrap/>
            <w:vAlign w:val="center"/>
            <w:hideMark/>
          </w:tcPr>
          <w:p w14:paraId="047BC0B3"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25.81%</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1A9C3A24"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25.99%</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766F49DF"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25.46%</w:t>
            </w:r>
          </w:p>
        </w:tc>
      </w:tr>
      <w:tr w:rsidR="003B7C93" w:rsidRPr="008116E1" w14:paraId="33F43DD4" w14:textId="77777777" w:rsidTr="00F830E6">
        <w:trPr>
          <w:trHeight w:val="285"/>
        </w:trPr>
        <w:tc>
          <w:tcPr>
            <w:tcW w:w="0" w:type="auto"/>
            <w:tcBorders>
              <w:top w:val="nil"/>
              <w:left w:val="nil"/>
              <w:bottom w:val="nil"/>
              <w:right w:val="dotted" w:sz="4" w:space="0" w:color="auto"/>
            </w:tcBorders>
            <w:shd w:val="clear" w:color="auto" w:fill="auto"/>
            <w:noWrap/>
            <w:vAlign w:val="center"/>
            <w:hideMark/>
          </w:tcPr>
          <w:p w14:paraId="7A72B2A9"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15 to 18 </w:t>
            </w:r>
          </w:p>
        </w:tc>
        <w:tc>
          <w:tcPr>
            <w:tcW w:w="0" w:type="auto"/>
            <w:tcBorders>
              <w:top w:val="nil"/>
              <w:left w:val="dotted" w:sz="4" w:space="0" w:color="auto"/>
              <w:bottom w:val="nil"/>
              <w:right w:val="nil"/>
            </w:tcBorders>
            <w:shd w:val="clear" w:color="auto" w:fill="auto"/>
            <w:noWrap/>
            <w:vAlign w:val="center"/>
            <w:hideMark/>
          </w:tcPr>
          <w:p w14:paraId="1D3CF522"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8.89%</w:t>
            </w:r>
          </w:p>
        </w:tc>
        <w:tc>
          <w:tcPr>
            <w:tcW w:w="0" w:type="auto"/>
            <w:tcBorders>
              <w:top w:val="nil"/>
              <w:left w:val="nil"/>
              <w:bottom w:val="nil"/>
              <w:right w:val="nil"/>
            </w:tcBorders>
            <w:shd w:val="clear" w:color="auto" w:fill="auto"/>
            <w:noWrap/>
            <w:vAlign w:val="center"/>
            <w:hideMark/>
          </w:tcPr>
          <w:p w14:paraId="4694D704"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8.19%</w:t>
            </w:r>
          </w:p>
        </w:tc>
        <w:tc>
          <w:tcPr>
            <w:tcW w:w="0" w:type="auto"/>
            <w:tcBorders>
              <w:top w:val="nil"/>
              <w:left w:val="nil"/>
              <w:bottom w:val="nil"/>
              <w:right w:val="nil"/>
            </w:tcBorders>
            <w:shd w:val="clear" w:color="auto" w:fill="auto"/>
            <w:noWrap/>
            <w:vAlign w:val="center"/>
            <w:hideMark/>
          </w:tcPr>
          <w:p w14:paraId="5709A119"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7.58%</w:t>
            </w:r>
          </w:p>
        </w:tc>
        <w:tc>
          <w:tcPr>
            <w:tcW w:w="0" w:type="auto"/>
            <w:tcBorders>
              <w:top w:val="nil"/>
              <w:left w:val="nil"/>
              <w:bottom w:val="nil"/>
              <w:right w:val="nil"/>
            </w:tcBorders>
            <w:shd w:val="clear" w:color="auto" w:fill="auto"/>
            <w:noWrap/>
            <w:vAlign w:val="center"/>
            <w:hideMark/>
          </w:tcPr>
          <w:p w14:paraId="27762475"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7.46%</w:t>
            </w:r>
          </w:p>
        </w:tc>
        <w:tc>
          <w:tcPr>
            <w:tcW w:w="0" w:type="auto"/>
            <w:tcBorders>
              <w:top w:val="nil"/>
              <w:left w:val="nil"/>
              <w:bottom w:val="nil"/>
              <w:right w:val="nil"/>
            </w:tcBorders>
            <w:shd w:val="clear" w:color="auto" w:fill="auto"/>
            <w:noWrap/>
            <w:vAlign w:val="center"/>
            <w:hideMark/>
          </w:tcPr>
          <w:p w14:paraId="7A617750"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7.69%</w:t>
            </w:r>
          </w:p>
        </w:tc>
        <w:tc>
          <w:tcPr>
            <w:tcW w:w="0" w:type="auto"/>
            <w:tcBorders>
              <w:top w:val="nil"/>
              <w:left w:val="nil"/>
              <w:bottom w:val="nil"/>
              <w:right w:val="dotted" w:sz="4" w:space="0" w:color="auto"/>
            </w:tcBorders>
            <w:shd w:val="clear" w:color="auto" w:fill="auto"/>
            <w:noWrap/>
            <w:vAlign w:val="center"/>
            <w:hideMark/>
          </w:tcPr>
          <w:p w14:paraId="082B3DF7"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7.96%</w:t>
            </w:r>
          </w:p>
        </w:tc>
        <w:tc>
          <w:tcPr>
            <w:tcW w:w="0" w:type="auto"/>
            <w:tcBorders>
              <w:top w:val="nil"/>
              <w:left w:val="dotted" w:sz="4" w:space="0" w:color="auto"/>
              <w:bottom w:val="nil"/>
              <w:right w:val="nil"/>
            </w:tcBorders>
            <w:shd w:val="clear" w:color="auto" w:fill="auto"/>
            <w:noWrap/>
            <w:vAlign w:val="center"/>
            <w:hideMark/>
          </w:tcPr>
          <w:p w14:paraId="7DF4D09E"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7.75%</w:t>
            </w:r>
          </w:p>
        </w:tc>
      </w:tr>
      <w:tr w:rsidR="00F830E6" w:rsidRPr="008116E1" w14:paraId="5061E9C3" w14:textId="77777777" w:rsidTr="00F830E6">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3BF4AE61"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19 to 24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34D29A34"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9.52%</w:t>
            </w:r>
          </w:p>
        </w:tc>
        <w:tc>
          <w:tcPr>
            <w:tcW w:w="0" w:type="auto"/>
            <w:tcBorders>
              <w:top w:val="nil"/>
              <w:left w:val="nil"/>
              <w:bottom w:val="nil"/>
              <w:right w:val="nil"/>
            </w:tcBorders>
            <w:shd w:val="clear" w:color="auto" w:fill="BFBFBF" w:themeFill="background1" w:themeFillShade="BF"/>
            <w:noWrap/>
            <w:vAlign w:val="center"/>
            <w:hideMark/>
          </w:tcPr>
          <w:p w14:paraId="0E728400"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9.73%</w:t>
            </w:r>
          </w:p>
        </w:tc>
        <w:tc>
          <w:tcPr>
            <w:tcW w:w="0" w:type="auto"/>
            <w:tcBorders>
              <w:top w:val="nil"/>
              <w:left w:val="nil"/>
              <w:bottom w:val="nil"/>
              <w:right w:val="nil"/>
            </w:tcBorders>
            <w:shd w:val="clear" w:color="auto" w:fill="BFBFBF" w:themeFill="background1" w:themeFillShade="BF"/>
            <w:noWrap/>
            <w:vAlign w:val="center"/>
            <w:hideMark/>
          </w:tcPr>
          <w:p w14:paraId="5A3EB5F0"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9.12%</w:t>
            </w:r>
          </w:p>
        </w:tc>
        <w:tc>
          <w:tcPr>
            <w:tcW w:w="0" w:type="auto"/>
            <w:tcBorders>
              <w:top w:val="nil"/>
              <w:left w:val="nil"/>
              <w:bottom w:val="nil"/>
              <w:right w:val="nil"/>
            </w:tcBorders>
            <w:shd w:val="clear" w:color="auto" w:fill="BFBFBF" w:themeFill="background1" w:themeFillShade="BF"/>
            <w:noWrap/>
            <w:vAlign w:val="center"/>
            <w:hideMark/>
          </w:tcPr>
          <w:p w14:paraId="32D68C09"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8.46%</w:t>
            </w:r>
          </w:p>
        </w:tc>
        <w:tc>
          <w:tcPr>
            <w:tcW w:w="0" w:type="auto"/>
            <w:tcBorders>
              <w:top w:val="nil"/>
              <w:left w:val="nil"/>
              <w:bottom w:val="nil"/>
              <w:right w:val="nil"/>
            </w:tcBorders>
            <w:shd w:val="clear" w:color="auto" w:fill="BFBFBF" w:themeFill="background1" w:themeFillShade="BF"/>
            <w:noWrap/>
            <w:vAlign w:val="center"/>
            <w:hideMark/>
          </w:tcPr>
          <w:p w14:paraId="6BC6F28F"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8.23%</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4A54481E"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8.22%</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1E5F7D98"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8.72%</w:t>
            </w:r>
          </w:p>
        </w:tc>
      </w:tr>
      <w:tr w:rsidR="003B7C93" w:rsidRPr="008116E1" w14:paraId="64D4FF5F" w14:textId="77777777" w:rsidTr="00F830E6">
        <w:trPr>
          <w:trHeight w:val="285"/>
        </w:trPr>
        <w:tc>
          <w:tcPr>
            <w:tcW w:w="0" w:type="auto"/>
            <w:tcBorders>
              <w:top w:val="nil"/>
              <w:left w:val="nil"/>
              <w:bottom w:val="nil"/>
              <w:right w:val="dotted" w:sz="4" w:space="0" w:color="auto"/>
            </w:tcBorders>
            <w:shd w:val="clear" w:color="auto" w:fill="auto"/>
            <w:noWrap/>
            <w:vAlign w:val="center"/>
            <w:hideMark/>
          </w:tcPr>
          <w:p w14:paraId="5751CADC"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25 to 34 </w:t>
            </w:r>
          </w:p>
        </w:tc>
        <w:tc>
          <w:tcPr>
            <w:tcW w:w="0" w:type="auto"/>
            <w:tcBorders>
              <w:top w:val="nil"/>
              <w:left w:val="dotted" w:sz="4" w:space="0" w:color="auto"/>
              <w:bottom w:val="nil"/>
              <w:right w:val="nil"/>
            </w:tcBorders>
            <w:shd w:val="clear" w:color="auto" w:fill="auto"/>
            <w:noWrap/>
            <w:vAlign w:val="center"/>
            <w:hideMark/>
          </w:tcPr>
          <w:p w14:paraId="77E03EC6"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9.27%</w:t>
            </w:r>
          </w:p>
        </w:tc>
        <w:tc>
          <w:tcPr>
            <w:tcW w:w="0" w:type="auto"/>
            <w:tcBorders>
              <w:top w:val="nil"/>
              <w:left w:val="nil"/>
              <w:bottom w:val="nil"/>
              <w:right w:val="nil"/>
            </w:tcBorders>
            <w:shd w:val="clear" w:color="auto" w:fill="auto"/>
            <w:noWrap/>
            <w:vAlign w:val="center"/>
            <w:hideMark/>
          </w:tcPr>
          <w:p w14:paraId="70D51E80"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9.84%</w:t>
            </w:r>
          </w:p>
        </w:tc>
        <w:tc>
          <w:tcPr>
            <w:tcW w:w="0" w:type="auto"/>
            <w:tcBorders>
              <w:top w:val="nil"/>
              <w:left w:val="nil"/>
              <w:bottom w:val="nil"/>
              <w:right w:val="nil"/>
            </w:tcBorders>
            <w:shd w:val="clear" w:color="auto" w:fill="auto"/>
            <w:noWrap/>
            <w:vAlign w:val="center"/>
            <w:hideMark/>
          </w:tcPr>
          <w:p w14:paraId="3AFFF5FB"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9.63%</w:t>
            </w:r>
          </w:p>
        </w:tc>
        <w:tc>
          <w:tcPr>
            <w:tcW w:w="0" w:type="auto"/>
            <w:tcBorders>
              <w:top w:val="nil"/>
              <w:left w:val="nil"/>
              <w:bottom w:val="nil"/>
              <w:right w:val="nil"/>
            </w:tcBorders>
            <w:shd w:val="clear" w:color="auto" w:fill="auto"/>
            <w:noWrap/>
            <w:vAlign w:val="center"/>
            <w:hideMark/>
          </w:tcPr>
          <w:p w14:paraId="088C842A"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9.08%</w:t>
            </w:r>
          </w:p>
        </w:tc>
        <w:tc>
          <w:tcPr>
            <w:tcW w:w="0" w:type="auto"/>
            <w:tcBorders>
              <w:top w:val="nil"/>
              <w:left w:val="nil"/>
              <w:bottom w:val="nil"/>
              <w:right w:val="nil"/>
            </w:tcBorders>
            <w:shd w:val="clear" w:color="auto" w:fill="auto"/>
            <w:noWrap/>
            <w:vAlign w:val="center"/>
            <w:hideMark/>
          </w:tcPr>
          <w:p w14:paraId="11B6FAE7"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8.91%</w:t>
            </w:r>
          </w:p>
        </w:tc>
        <w:tc>
          <w:tcPr>
            <w:tcW w:w="0" w:type="auto"/>
            <w:tcBorders>
              <w:top w:val="nil"/>
              <w:left w:val="nil"/>
              <w:bottom w:val="nil"/>
              <w:right w:val="dotted" w:sz="4" w:space="0" w:color="auto"/>
            </w:tcBorders>
            <w:shd w:val="clear" w:color="auto" w:fill="auto"/>
            <w:noWrap/>
            <w:vAlign w:val="center"/>
            <w:hideMark/>
          </w:tcPr>
          <w:p w14:paraId="33C439E0"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8.85%</w:t>
            </w:r>
          </w:p>
        </w:tc>
        <w:tc>
          <w:tcPr>
            <w:tcW w:w="0" w:type="auto"/>
            <w:tcBorders>
              <w:top w:val="nil"/>
              <w:left w:val="dotted" w:sz="4" w:space="0" w:color="auto"/>
              <w:bottom w:val="nil"/>
              <w:right w:val="nil"/>
            </w:tcBorders>
            <w:shd w:val="clear" w:color="auto" w:fill="auto"/>
            <w:noWrap/>
            <w:vAlign w:val="center"/>
            <w:hideMark/>
          </w:tcPr>
          <w:p w14:paraId="09ED0492"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9.22%</w:t>
            </w:r>
          </w:p>
        </w:tc>
      </w:tr>
      <w:tr w:rsidR="00F830E6" w:rsidRPr="008116E1" w14:paraId="6364D52B" w14:textId="77777777" w:rsidTr="00F830E6">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5A55D167"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35 to 44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294F39DB"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8.64%</w:t>
            </w:r>
          </w:p>
        </w:tc>
        <w:tc>
          <w:tcPr>
            <w:tcW w:w="0" w:type="auto"/>
            <w:tcBorders>
              <w:top w:val="nil"/>
              <w:left w:val="nil"/>
              <w:bottom w:val="nil"/>
              <w:right w:val="nil"/>
            </w:tcBorders>
            <w:shd w:val="clear" w:color="auto" w:fill="BFBFBF" w:themeFill="background1" w:themeFillShade="BF"/>
            <w:noWrap/>
            <w:vAlign w:val="center"/>
            <w:hideMark/>
          </w:tcPr>
          <w:p w14:paraId="5F6B4D70"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9.09%</w:t>
            </w:r>
          </w:p>
        </w:tc>
        <w:tc>
          <w:tcPr>
            <w:tcW w:w="0" w:type="auto"/>
            <w:tcBorders>
              <w:top w:val="nil"/>
              <w:left w:val="nil"/>
              <w:bottom w:val="nil"/>
              <w:right w:val="nil"/>
            </w:tcBorders>
            <w:shd w:val="clear" w:color="auto" w:fill="BFBFBF" w:themeFill="background1" w:themeFillShade="BF"/>
            <w:noWrap/>
            <w:vAlign w:val="center"/>
            <w:hideMark/>
          </w:tcPr>
          <w:p w14:paraId="3286BB72"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9.04%</w:t>
            </w:r>
          </w:p>
        </w:tc>
        <w:tc>
          <w:tcPr>
            <w:tcW w:w="0" w:type="auto"/>
            <w:tcBorders>
              <w:top w:val="nil"/>
              <w:left w:val="nil"/>
              <w:bottom w:val="nil"/>
              <w:right w:val="nil"/>
            </w:tcBorders>
            <w:shd w:val="clear" w:color="auto" w:fill="BFBFBF" w:themeFill="background1" w:themeFillShade="BF"/>
            <w:noWrap/>
            <w:vAlign w:val="center"/>
            <w:hideMark/>
          </w:tcPr>
          <w:p w14:paraId="75D1E49E"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8.51%</w:t>
            </w:r>
          </w:p>
        </w:tc>
        <w:tc>
          <w:tcPr>
            <w:tcW w:w="0" w:type="auto"/>
            <w:tcBorders>
              <w:top w:val="nil"/>
              <w:left w:val="nil"/>
              <w:bottom w:val="nil"/>
              <w:right w:val="nil"/>
            </w:tcBorders>
            <w:shd w:val="clear" w:color="auto" w:fill="BFBFBF" w:themeFill="background1" w:themeFillShade="BF"/>
            <w:noWrap/>
            <w:vAlign w:val="center"/>
            <w:hideMark/>
          </w:tcPr>
          <w:p w14:paraId="103C8A4C"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8.27%</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7D9233B0"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8.17%</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6CD5DBF9"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8.59%</w:t>
            </w:r>
          </w:p>
        </w:tc>
      </w:tr>
      <w:tr w:rsidR="003B7C93" w:rsidRPr="008116E1" w14:paraId="1357F570" w14:textId="77777777" w:rsidTr="00F830E6">
        <w:trPr>
          <w:trHeight w:val="285"/>
        </w:trPr>
        <w:tc>
          <w:tcPr>
            <w:tcW w:w="0" w:type="auto"/>
            <w:tcBorders>
              <w:top w:val="nil"/>
              <w:left w:val="nil"/>
              <w:bottom w:val="nil"/>
              <w:right w:val="dotted" w:sz="4" w:space="0" w:color="auto"/>
            </w:tcBorders>
            <w:shd w:val="clear" w:color="auto" w:fill="auto"/>
            <w:noWrap/>
            <w:vAlign w:val="center"/>
            <w:hideMark/>
          </w:tcPr>
          <w:p w14:paraId="2E52BA40"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45 to 54 </w:t>
            </w:r>
          </w:p>
        </w:tc>
        <w:tc>
          <w:tcPr>
            <w:tcW w:w="0" w:type="auto"/>
            <w:tcBorders>
              <w:top w:val="nil"/>
              <w:left w:val="dotted" w:sz="4" w:space="0" w:color="auto"/>
              <w:bottom w:val="nil"/>
              <w:right w:val="nil"/>
            </w:tcBorders>
            <w:shd w:val="clear" w:color="auto" w:fill="auto"/>
            <w:noWrap/>
            <w:vAlign w:val="center"/>
            <w:hideMark/>
          </w:tcPr>
          <w:p w14:paraId="36BFE4BE"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10.60%</w:t>
            </w:r>
          </w:p>
        </w:tc>
        <w:tc>
          <w:tcPr>
            <w:tcW w:w="0" w:type="auto"/>
            <w:tcBorders>
              <w:top w:val="nil"/>
              <w:left w:val="nil"/>
              <w:bottom w:val="nil"/>
              <w:right w:val="nil"/>
            </w:tcBorders>
            <w:shd w:val="clear" w:color="auto" w:fill="auto"/>
            <w:noWrap/>
            <w:vAlign w:val="center"/>
            <w:hideMark/>
          </w:tcPr>
          <w:p w14:paraId="7AB72F67"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11.18%</w:t>
            </w:r>
          </w:p>
        </w:tc>
        <w:tc>
          <w:tcPr>
            <w:tcW w:w="0" w:type="auto"/>
            <w:tcBorders>
              <w:top w:val="nil"/>
              <w:left w:val="nil"/>
              <w:bottom w:val="nil"/>
              <w:right w:val="nil"/>
            </w:tcBorders>
            <w:shd w:val="clear" w:color="auto" w:fill="auto"/>
            <w:noWrap/>
            <w:vAlign w:val="center"/>
            <w:hideMark/>
          </w:tcPr>
          <w:p w14:paraId="60A26F36"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11.31%</w:t>
            </w:r>
          </w:p>
        </w:tc>
        <w:tc>
          <w:tcPr>
            <w:tcW w:w="0" w:type="auto"/>
            <w:tcBorders>
              <w:top w:val="nil"/>
              <w:left w:val="nil"/>
              <w:bottom w:val="nil"/>
              <w:right w:val="nil"/>
            </w:tcBorders>
            <w:shd w:val="clear" w:color="auto" w:fill="auto"/>
            <w:noWrap/>
            <w:vAlign w:val="center"/>
            <w:hideMark/>
          </w:tcPr>
          <w:p w14:paraId="529160EE"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10.59%</w:t>
            </w:r>
          </w:p>
        </w:tc>
        <w:tc>
          <w:tcPr>
            <w:tcW w:w="0" w:type="auto"/>
            <w:tcBorders>
              <w:top w:val="nil"/>
              <w:left w:val="nil"/>
              <w:bottom w:val="nil"/>
              <w:right w:val="nil"/>
            </w:tcBorders>
            <w:shd w:val="clear" w:color="auto" w:fill="auto"/>
            <w:noWrap/>
            <w:vAlign w:val="center"/>
            <w:hideMark/>
          </w:tcPr>
          <w:p w14:paraId="2E405D09"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10.11%</w:t>
            </w:r>
          </w:p>
        </w:tc>
        <w:tc>
          <w:tcPr>
            <w:tcW w:w="0" w:type="auto"/>
            <w:tcBorders>
              <w:top w:val="nil"/>
              <w:left w:val="nil"/>
              <w:bottom w:val="nil"/>
              <w:right w:val="dotted" w:sz="4" w:space="0" w:color="auto"/>
            </w:tcBorders>
            <w:shd w:val="clear" w:color="auto" w:fill="auto"/>
            <w:noWrap/>
            <w:vAlign w:val="center"/>
            <w:hideMark/>
          </w:tcPr>
          <w:p w14:paraId="763DDC30"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9.86%</w:t>
            </w:r>
          </w:p>
        </w:tc>
        <w:tc>
          <w:tcPr>
            <w:tcW w:w="0" w:type="auto"/>
            <w:tcBorders>
              <w:top w:val="nil"/>
              <w:left w:val="dotted" w:sz="4" w:space="0" w:color="auto"/>
              <w:bottom w:val="nil"/>
              <w:right w:val="nil"/>
            </w:tcBorders>
            <w:shd w:val="clear" w:color="auto" w:fill="auto"/>
            <w:noWrap/>
            <w:vAlign w:val="center"/>
            <w:hideMark/>
          </w:tcPr>
          <w:p w14:paraId="3E3506F0"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10.61%</w:t>
            </w:r>
          </w:p>
        </w:tc>
      </w:tr>
      <w:tr w:rsidR="00F830E6" w:rsidRPr="008116E1" w14:paraId="3B28C63E" w14:textId="77777777" w:rsidTr="00F830E6">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306F91C5"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55 to 64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4338025D"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10.68%</w:t>
            </w:r>
          </w:p>
        </w:tc>
        <w:tc>
          <w:tcPr>
            <w:tcW w:w="0" w:type="auto"/>
            <w:tcBorders>
              <w:top w:val="nil"/>
              <w:left w:val="nil"/>
              <w:bottom w:val="nil"/>
              <w:right w:val="nil"/>
            </w:tcBorders>
            <w:shd w:val="clear" w:color="auto" w:fill="BFBFBF" w:themeFill="background1" w:themeFillShade="BF"/>
            <w:noWrap/>
            <w:vAlign w:val="center"/>
            <w:hideMark/>
          </w:tcPr>
          <w:p w14:paraId="56BF94C8"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12.01%</w:t>
            </w:r>
          </w:p>
        </w:tc>
        <w:tc>
          <w:tcPr>
            <w:tcW w:w="0" w:type="auto"/>
            <w:tcBorders>
              <w:top w:val="nil"/>
              <w:left w:val="nil"/>
              <w:bottom w:val="nil"/>
              <w:right w:val="nil"/>
            </w:tcBorders>
            <w:shd w:val="clear" w:color="auto" w:fill="BFBFBF" w:themeFill="background1" w:themeFillShade="BF"/>
            <w:noWrap/>
            <w:vAlign w:val="center"/>
            <w:hideMark/>
          </w:tcPr>
          <w:p w14:paraId="0EBBA52F"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12.52%</w:t>
            </w:r>
          </w:p>
        </w:tc>
        <w:tc>
          <w:tcPr>
            <w:tcW w:w="0" w:type="auto"/>
            <w:tcBorders>
              <w:top w:val="nil"/>
              <w:left w:val="nil"/>
              <w:bottom w:val="nil"/>
              <w:right w:val="nil"/>
            </w:tcBorders>
            <w:shd w:val="clear" w:color="auto" w:fill="BFBFBF" w:themeFill="background1" w:themeFillShade="BF"/>
            <w:noWrap/>
            <w:vAlign w:val="center"/>
            <w:hideMark/>
          </w:tcPr>
          <w:p w14:paraId="4FBCBE76"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12.15%</w:t>
            </w:r>
          </w:p>
        </w:tc>
        <w:tc>
          <w:tcPr>
            <w:tcW w:w="0" w:type="auto"/>
            <w:tcBorders>
              <w:top w:val="nil"/>
              <w:left w:val="nil"/>
              <w:bottom w:val="nil"/>
              <w:right w:val="nil"/>
            </w:tcBorders>
            <w:shd w:val="clear" w:color="auto" w:fill="BFBFBF" w:themeFill="background1" w:themeFillShade="BF"/>
            <w:noWrap/>
            <w:vAlign w:val="center"/>
            <w:hideMark/>
          </w:tcPr>
          <w:p w14:paraId="16E38C29"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11.87%</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3284CBD3"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11.63%</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2B8C29B5"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12.00%</w:t>
            </w:r>
          </w:p>
        </w:tc>
      </w:tr>
      <w:tr w:rsidR="003B7C93" w:rsidRPr="008116E1" w14:paraId="1FDB65D8" w14:textId="77777777" w:rsidTr="00F830E6">
        <w:trPr>
          <w:trHeight w:val="285"/>
        </w:trPr>
        <w:tc>
          <w:tcPr>
            <w:tcW w:w="0" w:type="auto"/>
            <w:tcBorders>
              <w:top w:val="nil"/>
              <w:left w:val="nil"/>
              <w:bottom w:val="single" w:sz="4" w:space="0" w:color="auto"/>
              <w:right w:val="dotted" w:sz="4" w:space="0" w:color="auto"/>
            </w:tcBorders>
            <w:shd w:val="clear" w:color="auto" w:fill="auto"/>
            <w:noWrap/>
            <w:vAlign w:val="center"/>
            <w:hideMark/>
          </w:tcPr>
          <w:p w14:paraId="264A08EC"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65+ </w:t>
            </w:r>
          </w:p>
        </w:tc>
        <w:tc>
          <w:tcPr>
            <w:tcW w:w="0" w:type="auto"/>
            <w:tcBorders>
              <w:top w:val="nil"/>
              <w:left w:val="dotted" w:sz="4" w:space="0" w:color="auto"/>
              <w:bottom w:val="single" w:sz="4" w:space="0" w:color="auto"/>
              <w:right w:val="nil"/>
            </w:tcBorders>
            <w:shd w:val="clear" w:color="auto" w:fill="auto"/>
            <w:noWrap/>
            <w:vAlign w:val="center"/>
            <w:hideMark/>
          </w:tcPr>
          <w:p w14:paraId="01451BC2"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1.46%</w:t>
            </w:r>
          </w:p>
        </w:tc>
        <w:tc>
          <w:tcPr>
            <w:tcW w:w="0" w:type="auto"/>
            <w:tcBorders>
              <w:top w:val="nil"/>
              <w:left w:val="nil"/>
              <w:bottom w:val="single" w:sz="4" w:space="0" w:color="auto"/>
              <w:right w:val="nil"/>
            </w:tcBorders>
            <w:shd w:val="clear" w:color="auto" w:fill="auto"/>
            <w:noWrap/>
            <w:vAlign w:val="center"/>
            <w:hideMark/>
          </w:tcPr>
          <w:p w14:paraId="534682AB"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1.93%</w:t>
            </w:r>
          </w:p>
        </w:tc>
        <w:tc>
          <w:tcPr>
            <w:tcW w:w="0" w:type="auto"/>
            <w:tcBorders>
              <w:top w:val="nil"/>
              <w:left w:val="nil"/>
              <w:bottom w:val="single" w:sz="4" w:space="0" w:color="auto"/>
              <w:right w:val="nil"/>
            </w:tcBorders>
            <w:shd w:val="clear" w:color="auto" w:fill="auto"/>
            <w:noWrap/>
            <w:vAlign w:val="center"/>
            <w:hideMark/>
          </w:tcPr>
          <w:p w14:paraId="530FC5DE"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2.45%</w:t>
            </w:r>
          </w:p>
        </w:tc>
        <w:tc>
          <w:tcPr>
            <w:tcW w:w="0" w:type="auto"/>
            <w:tcBorders>
              <w:top w:val="nil"/>
              <w:left w:val="nil"/>
              <w:bottom w:val="single" w:sz="4" w:space="0" w:color="auto"/>
              <w:right w:val="nil"/>
            </w:tcBorders>
            <w:shd w:val="clear" w:color="auto" w:fill="auto"/>
            <w:noWrap/>
            <w:vAlign w:val="center"/>
            <w:hideMark/>
          </w:tcPr>
          <w:p w14:paraId="1F26C299"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2.95%</w:t>
            </w:r>
          </w:p>
        </w:tc>
        <w:tc>
          <w:tcPr>
            <w:tcW w:w="0" w:type="auto"/>
            <w:tcBorders>
              <w:top w:val="nil"/>
              <w:left w:val="nil"/>
              <w:bottom w:val="single" w:sz="4" w:space="0" w:color="auto"/>
              <w:right w:val="nil"/>
            </w:tcBorders>
            <w:shd w:val="clear" w:color="auto" w:fill="auto"/>
            <w:noWrap/>
            <w:vAlign w:val="center"/>
            <w:hideMark/>
          </w:tcPr>
          <w:p w14:paraId="2D041F1B"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3.57%</w:t>
            </w:r>
          </w:p>
        </w:tc>
        <w:tc>
          <w:tcPr>
            <w:tcW w:w="0" w:type="auto"/>
            <w:tcBorders>
              <w:top w:val="nil"/>
              <w:left w:val="nil"/>
              <w:bottom w:val="single" w:sz="4" w:space="0" w:color="auto"/>
              <w:right w:val="dotted" w:sz="4" w:space="0" w:color="auto"/>
            </w:tcBorders>
            <w:shd w:val="clear" w:color="auto" w:fill="auto"/>
            <w:noWrap/>
            <w:vAlign w:val="center"/>
            <w:hideMark/>
          </w:tcPr>
          <w:p w14:paraId="122A1924"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3.90%</w:t>
            </w:r>
          </w:p>
        </w:tc>
        <w:tc>
          <w:tcPr>
            <w:tcW w:w="0" w:type="auto"/>
            <w:tcBorders>
              <w:top w:val="nil"/>
              <w:left w:val="dotted" w:sz="4" w:space="0" w:color="auto"/>
              <w:bottom w:val="single" w:sz="4" w:space="0" w:color="auto"/>
              <w:right w:val="nil"/>
            </w:tcBorders>
            <w:shd w:val="clear" w:color="auto" w:fill="auto"/>
            <w:noWrap/>
            <w:vAlign w:val="center"/>
            <w:hideMark/>
          </w:tcPr>
          <w:p w14:paraId="741334BE"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2.89%</w:t>
            </w:r>
          </w:p>
        </w:tc>
      </w:tr>
      <w:tr w:rsidR="00F830E6" w:rsidRPr="008116E1" w14:paraId="1F09F044" w14:textId="77777777" w:rsidTr="00F830E6">
        <w:trPr>
          <w:trHeight w:val="285"/>
        </w:trPr>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3EDEDD05" w14:textId="77777777" w:rsidR="003B7C93" w:rsidRPr="00F830E6" w:rsidRDefault="003B7C93">
            <w:pPr>
              <w:spacing w:after="0" w:line="240" w:lineRule="auto"/>
              <w:rPr>
                <w:rFonts w:eastAsia="Times New Roman" w:cs="Arial"/>
                <w:b/>
                <w:bCs/>
                <w:color w:val="000000"/>
                <w:sz w:val="18"/>
                <w:szCs w:val="18"/>
                <w:lang w:eastAsia="zh-CN"/>
              </w:rPr>
            </w:pPr>
            <w:r w:rsidRPr="00F830E6">
              <w:rPr>
                <w:rFonts w:eastAsia="Times New Roman" w:cs="Arial"/>
                <w:b/>
                <w:bCs/>
                <w:color w:val="000000"/>
                <w:sz w:val="18"/>
                <w:szCs w:val="18"/>
                <w:lang w:eastAsia="zh-CN"/>
              </w:rPr>
              <w:t>Total</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06D1E296" w14:textId="77777777" w:rsidR="003B7C93" w:rsidRPr="00F830E6" w:rsidRDefault="003B7C93" w:rsidP="00F830E6">
            <w:pPr>
              <w:spacing w:after="0" w:line="240" w:lineRule="auto"/>
              <w:jc w:val="right"/>
              <w:rPr>
                <w:rFonts w:eastAsia="Times New Roman" w:cs="Arial"/>
                <w:b/>
                <w:bCs/>
                <w:sz w:val="18"/>
                <w:szCs w:val="18"/>
                <w:lang w:eastAsia="zh-CN"/>
              </w:rPr>
            </w:pPr>
            <w:r w:rsidRPr="00F830E6">
              <w:rPr>
                <w:rFonts w:eastAsia="Times New Roman" w:cs="Arial"/>
                <w:b/>
                <w:bCs/>
                <w:sz w:val="18"/>
                <w:szCs w:val="18"/>
                <w:lang w:eastAsia="zh-CN"/>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3CEE38D5" w14:textId="77777777" w:rsidR="003B7C93" w:rsidRPr="00F830E6" w:rsidRDefault="003B7C93" w:rsidP="00F830E6">
            <w:pPr>
              <w:spacing w:after="0" w:line="240" w:lineRule="auto"/>
              <w:jc w:val="right"/>
              <w:rPr>
                <w:rFonts w:eastAsia="Times New Roman" w:cs="Arial"/>
                <w:b/>
                <w:bCs/>
                <w:sz w:val="18"/>
                <w:szCs w:val="18"/>
                <w:lang w:eastAsia="zh-CN"/>
              </w:rPr>
            </w:pPr>
            <w:r w:rsidRPr="00F830E6">
              <w:rPr>
                <w:rFonts w:eastAsia="Times New Roman" w:cs="Arial"/>
                <w:b/>
                <w:bCs/>
                <w:sz w:val="18"/>
                <w:szCs w:val="18"/>
                <w:lang w:eastAsia="zh-CN"/>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1A0720E4" w14:textId="77777777" w:rsidR="003B7C93" w:rsidRPr="00F830E6" w:rsidRDefault="003B7C93" w:rsidP="00F830E6">
            <w:pPr>
              <w:spacing w:after="0" w:line="240" w:lineRule="auto"/>
              <w:jc w:val="right"/>
              <w:rPr>
                <w:rFonts w:eastAsia="Times New Roman" w:cs="Arial"/>
                <w:b/>
                <w:bCs/>
                <w:sz w:val="18"/>
                <w:szCs w:val="18"/>
                <w:lang w:eastAsia="zh-CN"/>
              </w:rPr>
            </w:pPr>
            <w:r w:rsidRPr="00F830E6">
              <w:rPr>
                <w:rFonts w:eastAsia="Times New Roman" w:cs="Arial"/>
                <w:b/>
                <w:bCs/>
                <w:sz w:val="18"/>
                <w:szCs w:val="18"/>
                <w:lang w:eastAsia="zh-CN"/>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1E8598AE" w14:textId="77777777" w:rsidR="003B7C93" w:rsidRPr="00F830E6" w:rsidRDefault="003B7C93" w:rsidP="00F830E6">
            <w:pPr>
              <w:spacing w:after="0" w:line="240" w:lineRule="auto"/>
              <w:jc w:val="right"/>
              <w:rPr>
                <w:rFonts w:eastAsia="Times New Roman" w:cs="Arial"/>
                <w:b/>
                <w:bCs/>
                <w:sz w:val="18"/>
                <w:szCs w:val="18"/>
                <w:lang w:eastAsia="zh-CN"/>
              </w:rPr>
            </w:pPr>
            <w:r w:rsidRPr="00F830E6">
              <w:rPr>
                <w:rFonts w:eastAsia="Times New Roman" w:cs="Arial"/>
                <w:b/>
                <w:bCs/>
                <w:sz w:val="18"/>
                <w:szCs w:val="18"/>
                <w:lang w:eastAsia="zh-CN"/>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063F1A7D" w14:textId="77777777" w:rsidR="003B7C93" w:rsidRPr="00F830E6" w:rsidRDefault="003B7C93" w:rsidP="00F830E6">
            <w:pPr>
              <w:spacing w:after="0" w:line="240" w:lineRule="auto"/>
              <w:jc w:val="right"/>
              <w:rPr>
                <w:rFonts w:eastAsia="Times New Roman" w:cs="Arial"/>
                <w:b/>
                <w:bCs/>
                <w:sz w:val="18"/>
                <w:szCs w:val="18"/>
                <w:lang w:eastAsia="zh-CN"/>
              </w:rPr>
            </w:pPr>
            <w:r w:rsidRPr="00F830E6">
              <w:rPr>
                <w:rFonts w:eastAsia="Times New Roman" w:cs="Arial"/>
                <w:b/>
                <w:bCs/>
                <w:sz w:val="18"/>
                <w:szCs w:val="18"/>
                <w:lang w:eastAsia="zh-CN"/>
              </w:rPr>
              <w:t>100.00%</w:t>
            </w:r>
          </w:p>
        </w:tc>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3DE7E7A1" w14:textId="77777777" w:rsidR="003B7C93" w:rsidRPr="00F830E6" w:rsidRDefault="003B7C93" w:rsidP="00F830E6">
            <w:pPr>
              <w:spacing w:after="0" w:line="240" w:lineRule="auto"/>
              <w:jc w:val="right"/>
              <w:rPr>
                <w:rFonts w:eastAsia="Times New Roman" w:cs="Arial"/>
                <w:b/>
                <w:bCs/>
                <w:sz w:val="18"/>
                <w:szCs w:val="18"/>
                <w:lang w:eastAsia="zh-CN"/>
              </w:rPr>
            </w:pPr>
            <w:r w:rsidRPr="00F830E6">
              <w:rPr>
                <w:rFonts w:eastAsia="Times New Roman" w:cs="Arial"/>
                <w:b/>
                <w:bCs/>
                <w:sz w:val="18"/>
                <w:szCs w:val="18"/>
                <w:lang w:eastAsia="zh-CN"/>
              </w:rPr>
              <w:t>100.00%</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04ADEA80" w14:textId="77777777" w:rsidR="003B7C93" w:rsidRPr="00F830E6" w:rsidRDefault="003B7C93" w:rsidP="00F830E6">
            <w:pPr>
              <w:spacing w:after="0" w:line="240" w:lineRule="auto"/>
              <w:jc w:val="right"/>
              <w:rPr>
                <w:rFonts w:eastAsia="Times New Roman" w:cs="Arial"/>
                <w:b/>
                <w:bCs/>
                <w:sz w:val="18"/>
                <w:szCs w:val="18"/>
                <w:lang w:eastAsia="zh-CN"/>
              </w:rPr>
            </w:pPr>
            <w:r w:rsidRPr="00F830E6">
              <w:rPr>
                <w:rFonts w:eastAsia="Times New Roman" w:cs="Arial"/>
                <w:b/>
                <w:bCs/>
                <w:sz w:val="18"/>
                <w:szCs w:val="18"/>
                <w:lang w:eastAsia="zh-CN"/>
              </w:rPr>
              <w:t>100.00%</w:t>
            </w:r>
          </w:p>
        </w:tc>
      </w:tr>
    </w:tbl>
    <w:p w14:paraId="5B532A48" w14:textId="77777777" w:rsidR="004A5D62" w:rsidRDefault="004D2F7D" w:rsidP="00DA3F73">
      <w:pPr>
        <w:pStyle w:val="FSRnormal"/>
      </w:pPr>
      <w:r>
        <w:t>The previous analysis shows that m</w:t>
      </w:r>
      <w:r w:rsidR="004A5D62">
        <w:t>ortality rates generally increased with age (after the age of 6).</w:t>
      </w:r>
    </w:p>
    <w:p w14:paraId="2089F43C" w14:textId="77777777" w:rsidR="004A5D62" w:rsidRDefault="004A5D62" w:rsidP="00DA3F73">
      <w:pPr>
        <w:pStyle w:val="FSRnormal"/>
      </w:pPr>
      <w:r>
        <w:t>Between 2020 and 2021, decreases were observed in actual mortality rates for all age band</w:t>
      </w:r>
      <w:r w:rsidR="00194B14">
        <w:t>s</w:t>
      </w:r>
      <w:r>
        <w:t xml:space="preserve"> except age bands 7 to 14 and 65+. Age band</w:t>
      </w:r>
      <w:r w:rsidR="009D138C">
        <w:t>s</w:t>
      </w:r>
      <w:r>
        <w:t xml:space="preserve"> 45</w:t>
      </w:r>
      <w:r w:rsidR="00281972">
        <w:t xml:space="preserve"> to 54 and 55 to </w:t>
      </w:r>
      <w:r>
        <w:t>64 w</w:t>
      </w:r>
      <w:r w:rsidR="00281972">
        <w:t>ere</w:t>
      </w:r>
      <w:r>
        <w:t xml:space="preserve"> the largest contributor</w:t>
      </w:r>
      <w:r w:rsidR="00281972">
        <w:t>s</w:t>
      </w:r>
      <w:r>
        <w:t xml:space="preserve"> to the overall decrease in mortality rates.</w:t>
      </w:r>
    </w:p>
    <w:p w14:paraId="676B60BC" w14:textId="77777777" w:rsidR="004A5D62" w:rsidRDefault="004A5D62" w:rsidP="00DA3F73">
      <w:pPr>
        <w:pStyle w:val="FSRnormal"/>
      </w:pPr>
      <w:r>
        <w:t xml:space="preserve">The general trend (with exceptions) of marginally lower than expected rates in the younger participants (age 24 or below) and slightly higher than expected rates in the older participants (age 45 to 64) in 2020 prevailed in 2021, although </w:t>
      </w:r>
      <w:r w:rsidR="00546B5F">
        <w:t xml:space="preserve">rates </w:t>
      </w:r>
      <w:r>
        <w:t xml:space="preserve">for the older participants were </w:t>
      </w:r>
      <w:r w:rsidR="00E90FE5">
        <w:t>closer to expected in 2021</w:t>
      </w:r>
      <w:r>
        <w:t xml:space="preserve">. Actual rates for participants 65 or above switched from </w:t>
      </w:r>
      <w:r w:rsidR="00DF4694">
        <w:t xml:space="preserve">being </w:t>
      </w:r>
      <w:r>
        <w:t>higher than expected in 2020 to lower than expected in 2021.</w:t>
      </w:r>
    </w:p>
    <w:p w14:paraId="1D6AFC51" w14:textId="77777777" w:rsidR="005D4D9E" w:rsidRDefault="005D4D9E">
      <w:pPr>
        <w:spacing w:after="160" w:line="259" w:lineRule="auto"/>
        <w:rPr>
          <w:b/>
          <w:color w:val="6B2976"/>
        </w:rPr>
      </w:pPr>
      <w:r>
        <w:br w:type="page"/>
      </w:r>
    </w:p>
    <w:p w14:paraId="2C5E781C" w14:textId="77777777" w:rsidR="004A5D62" w:rsidRDefault="004A5D62" w:rsidP="00DA3F73">
      <w:pPr>
        <w:pStyle w:val="FSRHeading6"/>
      </w:pPr>
      <w:bookmarkStart w:id="1221" w:name="_Toc106809776"/>
      <w:r w:rsidRPr="00DA3F73">
        <w:lastRenderedPageBreak/>
        <w:t>Gender</w:t>
      </w:r>
      <w:bookmarkEnd w:id="1221"/>
    </w:p>
    <w:p w14:paraId="3F3284FE" w14:textId="77777777" w:rsidR="004A5D62" w:rsidRDefault="004A5D62" w:rsidP="00DA3F73">
      <w:pPr>
        <w:pStyle w:val="Tables"/>
      </w:pPr>
      <w:r w:rsidRPr="007A7686">
        <w:t xml:space="preserve">Table </w:t>
      </w:r>
      <w:r w:rsidR="0048278E">
        <w:t>J</w:t>
      </w:r>
      <w:r w:rsidR="00A87896">
        <w:t>.</w:t>
      </w:r>
      <w:fldSimple w:instr=" SEQ Table \* ARABIC \s 2 ">
        <w:r w:rsidR="005877B6">
          <w:rPr>
            <w:noProof/>
          </w:rPr>
          <w:t>3</w:t>
        </w:r>
      </w:fldSimple>
      <w:r w:rsidR="0048278E">
        <w:t>:</w:t>
      </w:r>
      <w:r w:rsidRPr="007A7686">
        <w:t xml:space="preserve"> Actual vs expected mortality rates by gender</w:t>
      </w:r>
    </w:p>
    <w:tbl>
      <w:tblPr>
        <w:tblW w:w="0" w:type="auto"/>
        <w:tblLook w:val="04A0" w:firstRow="1" w:lastRow="0" w:firstColumn="1" w:lastColumn="0" w:noHBand="0" w:noVBand="1"/>
      </w:tblPr>
      <w:tblGrid>
        <w:gridCol w:w="867"/>
        <w:gridCol w:w="1167"/>
        <w:gridCol w:w="1167"/>
        <w:gridCol w:w="1167"/>
        <w:gridCol w:w="1167"/>
        <w:gridCol w:w="1167"/>
        <w:gridCol w:w="1157"/>
        <w:gridCol w:w="827"/>
      </w:tblGrid>
      <w:tr w:rsidR="003B7C93" w:rsidRPr="008116E1" w14:paraId="1F5C13B7" w14:textId="77777777" w:rsidTr="00F830E6">
        <w:trPr>
          <w:trHeight w:val="397"/>
        </w:trPr>
        <w:tc>
          <w:tcPr>
            <w:tcW w:w="0" w:type="auto"/>
            <w:vMerge w:val="restart"/>
            <w:tcBorders>
              <w:top w:val="nil"/>
              <w:left w:val="nil"/>
              <w:bottom w:val="nil"/>
              <w:right w:val="nil"/>
            </w:tcBorders>
            <w:shd w:val="clear" w:color="000000" w:fill="6B2976"/>
            <w:noWrap/>
            <w:vAlign w:val="center"/>
            <w:hideMark/>
          </w:tcPr>
          <w:p w14:paraId="1024CE4E" w14:textId="77777777" w:rsidR="003B7C93" w:rsidRPr="00F830E6" w:rsidRDefault="003B7C93" w:rsidP="00F830E6">
            <w:pPr>
              <w:spacing w:after="0" w:line="240" w:lineRule="auto"/>
              <w:rPr>
                <w:rFonts w:eastAsia="Times New Roman" w:cs="Arial"/>
                <w:b/>
                <w:bCs/>
                <w:color w:val="FFFFFF"/>
                <w:sz w:val="18"/>
                <w:szCs w:val="18"/>
                <w:lang w:eastAsia="zh-CN"/>
              </w:rPr>
            </w:pPr>
            <w:r w:rsidRPr="00F830E6">
              <w:rPr>
                <w:rFonts w:eastAsia="Times New Roman" w:cs="Arial"/>
                <w:b/>
                <w:bCs/>
                <w:color w:val="FFFFFF"/>
                <w:sz w:val="18"/>
                <w:szCs w:val="18"/>
                <w:lang w:eastAsia="zh-CN"/>
              </w:rPr>
              <w:t>Gender</w:t>
            </w:r>
          </w:p>
        </w:tc>
        <w:tc>
          <w:tcPr>
            <w:tcW w:w="0" w:type="auto"/>
            <w:gridSpan w:val="7"/>
            <w:tcBorders>
              <w:top w:val="nil"/>
              <w:left w:val="nil"/>
              <w:bottom w:val="single" w:sz="4" w:space="0" w:color="FFFFFF"/>
              <w:right w:val="nil"/>
            </w:tcBorders>
            <w:shd w:val="clear" w:color="000000" w:fill="6B2976"/>
            <w:vAlign w:val="center"/>
            <w:hideMark/>
          </w:tcPr>
          <w:p w14:paraId="6F0B4B7E" w14:textId="77777777" w:rsidR="003B7C93" w:rsidRPr="00F830E6" w:rsidRDefault="003B7C93" w:rsidP="008116E1">
            <w:pPr>
              <w:spacing w:after="0" w:line="240" w:lineRule="auto"/>
              <w:jc w:val="center"/>
              <w:rPr>
                <w:rFonts w:eastAsia="Times New Roman" w:cs="Arial"/>
                <w:b/>
                <w:bCs/>
                <w:color w:val="FFFFFF"/>
                <w:sz w:val="18"/>
                <w:szCs w:val="18"/>
                <w:lang w:eastAsia="zh-CN"/>
              </w:rPr>
            </w:pPr>
            <w:r w:rsidRPr="00F830E6">
              <w:rPr>
                <w:rFonts w:eastAsia="Times New Roman" w:cs="Arial"/>
                <w:b/>
                <w:bCs/>
                <w:color w:val="FFFFFF"/>
                <w:sz w:val="18"/>
                <w:szCs w:val="18"/>
                <w:lang w:eastAsia="zh-CN"/>
              </w:rPr>
              <w:t>Actual</w:t>
            </w:r>
          </w:p>
        </w:tc>
      </w:tr>
      <w:tr w:rsidR="003B7C93" w:rsidRPr="008116E1" w14:paraId="443B1E20" w14:textId="77777777" w:rsidTr="00F830E6">
        <w:trPr>
          <w:trHeight w:val="397"/>
        </w:trPr>
        <w:tc>
          <w:tcPr>
            <w:tcW w:w="0" w:type="auto"/>
            <w:vMerge/>
            <w:tcBorders>
              <w:top w:val="nil"/>
              <w:left w:val="nil"/>
              <w:right w:val="nil"/>
            </w:tcBorders>
            <w:vAlign w:val="center"/>
            <w:hideMark/>
          </w:tcPr>
          <w:p w14:paraId="2A6D1F89" w14:textId="77777777" w:rsidR="003B7C93" w:rsidRPr="00F830E6" w:rsidRDefault="003B7C93">
            <w:pPr>
              <w:spacing w:after="0" w:line="240" w:lineRule="auto"/>
              <w:rPr>
                <w:rFonts w:eastAsia="Times New Roman" w:cs="Arial"/>
                <w:b/>
                <w:bCs/>
                <w:color w:val="FFFFFF"/>
                <w:sz w:val="18"/>
                <w:szCs w:val="18"/>
                <w:lang w:eastAsia="zh-CN"/>
              </w:rPr>
            </w:pPr>
          </w:p>
        </w:tc>
        <w:tc>
          <w:tcPr>
            <w:tcW w:w="0" w:type="auto"/>
            <w:tcBorders>
              <w:top w:val="nil"/>
              <w:left w:val="nil"/>
              <w:bottom w:val="nil"/>
              <w:right w:val="nil"/>
            </w:tcBorders>
            <w:shd w:val="clear" w:color="000000" w:fill="6B2976"/>
            <w:vAlign w:val="center"/>
            <w:hideMark/>
          </w:tcPr>
          <w:p w14:paraId="375F8C42"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17</w:t>
            </w:r>
          </w:p>
        </w:tc>
        <w:tc>
          <w:tcPr>
            <w:tcW w:w="0" w:type="auto"/>
            <w:tcBorders>
              <w:top w:val="nil"/>
              <w:left w:val="nil"/>
              <w:bottom w:val="nil"/>
              <w:right w:val="nil"/>
            </w:tcBorders>
            <w:shd w:val="clear" w:color="000000" w:fill="6B2976"/>
            <w:vAlign w:val="center"/>
            <w:hideMark/>
          </w:tcPr>
          <w:p w14:paraId="6794905F"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18</w:t>
            </w:r>
          </w:p>
        </w:tc>
        <w:tc>
          <w:tcPr>
            <w:tcW w:w="0" w:type="auto"/>
            <w:tcBorders>
              <w:top w:val="nil"/>
              <w:left w:val="nil"/>
              <w:bottom w:val="nil"/>
              <w:right w:val="nil"/>
            </w:tcBorders>
            <w:shd w:val="clear" w:color="000000" w:fill="6B2976"/>
            <w:vAlign w:val="center"/>
            <w:hideMark/>
          </w:tcPr>
          <w:p w14:paraId="497388E4"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19</w:t>
            </w:r>
          </w:p>
        </w:tc>
        <w:tc>
          <w:tcPr>
            <w:tcW w:w="0" w:type="auto"/>
            <w:tcBorders>
              <w:top w:val="nil"/>
              <w:left w:val="nil"/>
              <w:bottom w:val="nil"/>
              <w:right w:val="nil"/>
            </w:tcBorders>
            <w:shd w:val="clear" w:color="000000" w:fill="6B2976"/>
            <w:vAlign w:val="center"/>
            <w:hideMark/>
          </w:tcPr>
          <w:p w14:paraId="705780BF"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20</w:t>
            </w:r>
          </w:p>
        </w:tc>
        <w:tc>
          <w:tcPr>
            <w:tcW w:w="0" w:type="auto"/>
            <w:tcBorders>
              <w:top w:val="nil"/>
              <w:left w:val="nil"/>
              <w:bottom w:val="nil"/>
              <w:right w:val="nil"/>
            </w:tcBorders>
            <w:shd w:val="clear" w:color="000000" w:fill="6B2976"/>
            <w:vAlign w:val="center"/>
            <w:hideMark/>
          </w:tcPr>
          <w:p w14:paraId="67F30B22"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21</w:t>
            </w:r>
          </w:p>
        </w:tc>
        <w:tc>
          <w:tcPr>
            <w:tcW w:w="0" w:type="auto"/>
            <w:tcBorders>
              <w:top w:val="nil"/>
              <w:left w:val="nil"/>
              <w:right w:val="nil"/>
            </w:tcBorders>
            <w:shd w:val="clear" w:color="000000" w:fill="6B2976"/>
            <w:vAlign w:val="center"/>
            <w:hideMark/>
          </w:tcPr>
          <w:p w14:paraId="71FEF8FB"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Jan-Feb 22</w:t>
            </w:r>
          </w:p>
        </w:tc>
        <w:tc>
          <w:tcPr>
            <w:tcW w:w="0" w:type="auto"/>
            <w:tcBorders>
              <w:top w:val="nil"/>
              <w:left w:val="nil"/>
              <w:right w:val="nil"/>
            </w:tcBorders>
            <w:shd w:val="clear" w:color="000000" w:fill="6B2976"/>
            <w:vAlign w:val="center"/>
            <w:hideMark/>
          </w:tcPr>
          <w:p w14:paraId="5DA2A905"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Overall</w:t>
            </w:r>
          </w:p>
        </w:tc>
      </w:tr>
      <w:tr w:rsidR="003B7C93" w:rsidRPr="008116E1" w14:paraId="3894BBC0" w14:textId="77777777" w:rsidTr="00F830E6">
        <w:trPr>
          <w:trHeight w:val="285"/>
        </w:trPr>
        <w:tc>
          <w:tcPr>
            <w:tcW w:w="0" w:type="auto"/>
            <w:tcBorders>
              <w:top w:val="nil"/>
              <w:left w:val="nil"/>
              <w:bottom w:val="nil"/>
              <w:right w:val="dotted" w:sz="4" w:space="0" w:color="auto"/>
            </w:tcBorders>
            <w:shd w:val="clear" w:color="auto" w:fill="auto"/>
            <w:noWrap/>
            <w:vAlign w:val="center"/>
            <w:hideMark/>
          </w:tcPr>
          <w:p w14:paraId="2AFF8E63"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Female </w:t>
            </w:r>
          </w:p>
        </w:tc>
        <w:tc>
          <w:tcPr>
            <w:tcW w:w="0" w:type="auto"/>
            <w:tcBorders>
              <w:top w:val="nil"/>
              <w:left w:val="dotted" w:sz="4" w:space="0" w:color="auto"/>
              <w:bottom w:val="nil"/>
              <w:right w:val="nil"/>
            </w:tcBorders>
            <w:shd w:val="clear" w:color="auto" w:fill="auto"/>
            <w:noWrap/>
            <w:vAlign w:val="center"/>
            <w:hideMark/>
          </w:tcPr>
          <w:p w14:paraId="290640DC"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0.95%</w:t>
            </w:r>
          </w:p>
        </w:tc>
        <w:tc>
          <w:tcPr>
            <w:tcW w:w="0" w:type="auto"/>
            <w:tcBorders>
              <w:top w:val="nil"/>
              <w:left w:val="nil"/>
              <w:bottom w:val="nil"/>
              <w:right w:val="nil"/>
            </w:tcBorders>
            <w:shd w:val="clear" w:color="auto" w:fill="auto"/>
            <w:noWrap/>
            <w:vAlign w:val="center"/>
            <w:hideMark/>
          </w:tcPr>
          <w:p w14:paraId="6FF30A0A"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1.04%</w:t>
            </w:r>
          </w:p>
        </w:tc>
        <w:tc>
          <w:tcPr>
            <w:tcW w:w="0" w:type="auto"/>
            <w:tcBorders>
              <w:top w:val="nil"/>
              <w:left w:val="nil"/>
              <w:bottom w:val="nil"/>
              <w:right w:val="nil"/>
            </w:tcBorders>
            <w:shd w:val="clear" w:color="auto" w:fill="auto"/>
            <w:noWrap/>
            <w:vAlign w:val="center"/>
            <w:hideMark/>
          </w:tcPr>
          <w:p w14:paraId="59D524D5"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1.04%</w:t>
            </w:r>
          </w:p>
        </w:tc>
        <w:tc>
          <w:tcPr>
            <w:tcW w:w="0" w:type="auto"/>
            <w:tcBorders>
              <w:top w:val="nil"/>
              <w:left w:val="nil"/>
              <w:bottom w:val="nil"/>
              <w:right w:val="nil"/>
            </w:tcBorders>
            <w:shd w:val="clear" w:color="auto" w:fill="auto"/>
            <w:noWrap/>
            <w:vAlign w:val="center"/>
            <w:hideMark/>
          </w:tcPr>
          <w:p w14:paraId="60F2DB50"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1.08%</w:t>
            </w:r>
          </w:p>
        </w:tc>
        <w:tc>
          <w:tcPr>
            <w:tcW w:w="0" w:type="auto"/>
            <w:tcBorders>
              <w:top w:val="nil"/>
              <w:left w:val="nil"/>
              <w:bottom w:val="nil"/>
              <w:right w:val="nil"/>
            </w:tcBorders>
            <w:shd w:val="clear" w:color="auto" w:fill="auto"/>
            <w:noWrap/>
            <w:vAlign w:val="center"/>
            <w:hideMark/>
          </w:tcPr>
          <w:p w14:paraId="5FD48765"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1.06%</w:t>
            </w:r>
          </w:p>
        </w:tc>
        <w:tc>
          <w:tcPr>
            <w:tcW w:w="0" w:type="auto"/>
            <w:tcBorders>
              <w:top w:val="nil"/>
              <w:left w:val="nil"/>
              <w:bottom w:val="nil"/>
              <w:right w:val="dotted" w:sz="4" w:space="0" w:color="auto"/>
            </w:tcBorders>
            <w:shd w:val="clear" w:color="auto" w:fill="auto"/>
            <w:noWrap/>
            <w:vAlign w:val="center"/>
            <w:hideMark/>
          </w:tcPr>
          <w:p w14:paraId="775B06C7"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1.08%</w:t>
            </w:r>
          </w:p>
        </w:tc>
        <w:tc>
          <w:tcPr>
            <w:tcW w:w="0" w:type="auto"/>
            <w:tcBorders>
              <w:top w:val="nil"/>
              <w:left w:val="dotted" w:sz="4" w:space="0" w:color="auto"/>
              <w:bottom w:val="nil"/>
            </w:tcBorders>
            <w:shd w:val="clear" w:color="auto" w:fill="auto"/>
            <w:noWrap/>
            <w:vAlign w:val="center"/>
            <w:hideMark/>
          </w:tcPr>
          <w:p w14:paraId="7A1FFF5E"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1.05%</w:t>
            </w:r>
          </w:p>
        </w:tc>
      </w:tr>
      <w:tr w:rsidR="00F830E6" w:rsidRPr="008116E1" w14:paraId="34FEBAA2" w14:textId="77777777" w:rsidTr="00F830E6">
        <w:trPr>
          <w:trHeight w:val="285"/>
        </w:trPr>
        <w:tc>
          <w:tcPr>
            <w:tcW w:w="0" w:type="auto"/>
            <w:tcBorders>
              <w:top w:val="nil"/>
              <w:left w:val="nil"/>
              <w:bottom w:val="single" w:sz="4" w:space="0" w:color="auto"/>
              <w:right w:val="dotted" w:sz="4" w:space="0" w:color="auto"/>
            </w:tcBorders>
            <w:shd w:val="clear" w:color="auto" w:fill="BFBFBF" w:themeFill="background1" w:themeFillShade="BF"/>
            <w:noWrap/>
            <w:vAlign w:val="center"/>
            <w:hideMark/>
          </w:tcPr>
          <w:p w14:paraId="3CF37F4E" w14:textId="77777777" w:rsidR="003B7C93" w:rsidRPr="00F830E6" w:rsidRDefault="003B7C93">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Male </w:t>
            </w:r>
          </w:p>
        </w:tc>
        <w:tc>
          <w:tcPr>
            <w:tcW w:w="0" w:type="auto"/>
            <w:tcBorders>
              <w:top w:val="nil"/>
              <w:left w:val="dotted" w:sz="4" w:space="0" w:color="auto"/>
              <w:bottom w:val="single" w:sz="4" w:space="0" w:color="auto"/>
              <w:right w:val="nil"/>
            </w:tcBorders>
            <w:shd w:val="clear" w:color="auto" w:fill="BFBFBF" w:themeFill="background1" w:themeFillShade="BF"/>
            <w:noWrap/>
            <w:vAlign w:val="center"/>
            <w:hideMark/>
          </w:tcPr>
          <w:p w14:paraId="6467A2E8"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0.73%</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76E19ABC"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0.80%</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47FA132F"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0.93%</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5FBED9B3"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0.93%</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37B289E2"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0.87%</w:t>
            </w:r>
          </w:p>
        </w:tc>
        <w:tc>
          <w:tcPr>
            <w:tcW w:w="0" w:type="auto"/>
            <w:tcBorders>
              <w:top w:val="nil"/>
              <w:left w:val="nil"/>
              <w:bottom w:val="single" w:sz="4" w:space="0" w:color="auto"/>
              <w:right w:val="dotted" w:sz="4" w:space="0" w:color="auto"/>
            </w:tcBorders>
            <w:shd w:val="clear" w:color="auto" w:fill="BFBFBF" w:themeFill="background1" w:themeFillShade="BF"/>
            <w:noWrap/>
            <w:vAlign w:val="center"/>
            <w:hideMark/>
          </w:tcPr>
          <w:p w14:paraId="5760857B"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0.97%</w:t>
            </w:r>
          </w:p>
        </w:tc>
        <w:tc>
          <w:tcPr>
            <w:tcW w:w="0" w:type="auto"/>
            <w:tcBorders>
              <w:top w:val="nil"/>
              <w:left w:val="dotted" w:sz="4" w:space="0" w:color="auto"/>
              <w:bottom w:val="single" w:sz="4" w:space="0" w:color="auto"/>
            </w:tcBorders>
            <w:shd w:val="clear" w:color="auto" w:fill="BFBFBF" w:themeFill="background1" w:themeFillShade="BF"/>
            <w:noWrap/>
            <w:vAlign w:val="center"/>
            <w:hideMark/>
          </w:tcPr>
          <w:p w14:paraId="2CEDAC7B"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0.89%</w:t>
            </w:r>
          </w:p>
        </w:tc>
      </w:tr>
      <w:tr w:rsidR="00F830E6" w:rsidRPr="008116E1" w14:paraId="08C142B9" w14:textId="77777777" w:rsidTr="00F830E6">
        <w:trPr>
          <w:trHeight w:val="285"/>
        </w:trPr>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2B4AAB6D" w14:textId="77777777" w:rsidR="003B7C93" w:rsidRPr="00F830E6" w:rsidRDefault="003B7C93">
            <w:pPr>
              <w:spacing w:after="0" w:line="240" w:lineRule="auto"/>
              <w:rPr>
                <w:rFonts w:eastAsia="Times New Roman" w:cs="Arial"/>
                <w:b/>
                <w:bCs/>
                <w:color w:val="000000"/>
                <w:sz w:val="18"/>
                <w:szCs w:val="18"/>
                <w:lang w:eastAsia="zh-CN"/>
              </w:rPr>
            </w:pPr>
            <w:r w:rsidRPr="00F830E6">
              <w:rPr>
                <w:rFonts w:eastAsia="Times New Roman" w:cs="Arial"/>
                <w:b/>
                <w:bCs/>
                <w:color w:val="000000"/>
                <w:sz w:val="18"/>
                <w:szCs w:val="18"/>
                <w:lang w:eastAsia="zh-CN"/>
              </w:rPr>
              <w:t>Overall</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6A9F2E84" w14:textId="77777777" w:rsidR="003B7C93" w:rsidRPr="00F830E6" w:rsidRDefault="003B7C93" w:rsidP="00F830E6">
            <w:pPr>
              <w:spacing w:after="0" w:line="240" w:lineRule="auto"/>
              <w:jc w:val="right"/>
              <w:rPr>
                <w:rFonts w:eastAsia="Times New Roman" w:cs="Arial"/>
                <w:b/>
                <w:bCs/>
                <w:sz w:val="18"/>
                <w:szCs w:val="18"/>
                <w:lang w:eastAsia="zh-CN"/>
              </w:rPr>
            </w:pPr>
            <w:r w:rsidRPr="00F830E6">
              <w:rPr>
                <w:rFonts w:eastAsia="Times New Roman" w:cs="Arial"/>
                <w:b/>
                <w:bCs/>
                <w:sz w:val="18"/>
                <w:szCs w:val="18"/>
                <w:lang w:eastAsia="zh-CN"/>
              </w:rPr>
              <w:t>0.81%</w:t>
            </w:r>
          </w:p>
        </w:tc>
        <w:tc>
          <w:tcPr>
            <w:tcW w:w="0" w:type="auto"/>
            <w:tcBorders>
              <w:top w:val="single" w:sz="4" w:space="0" w:color="auto"/>
              <w:left w:val="nil"/>
              <w:bottom w:val="single" w:sz="4" w:space="0" w:color="auto"/>
              <w:right w:val="nil"/>
            </w:tcBorders>
            <w:shd w:val="clear" w:color="auto" w:fill="D3C5D7"/>
            <w:noWrap/>
            <w:vAlign w:val="center"/>
            <w:hideMark/>
          </w:tcPr>
          <w:p w14:paraId="77C86773" w14:textId="77777777" w:rsidR="003B7C93" w:rsidRPr="00F830E6" w:rsidRDefault="003B7C93" w:rsidP="00F830E6">
            <w:pPr>
              <w:spacing w:after="0" w:line="240" w:lineRule="auto"/>
              <w:jc w:val="right"/>
              <w:rPr>
                <w:rFonts w:eastAsia="Times New Roman" w:cs="Arial"/>
                <w:b/>
                <w:bCs/>
                <w:sz w:val="18"/>
                <w:szCs w:val="18"/>
                <w:lang w:eastAsia="zh-CN"/>
              </w:rPr>
            </w:pPr>
            <w:r w:rsidRPr="00F830E6">
              <w:rPr>
                <w:rFonts w:eastAsia="Times New Roman" w:cs="Arial"/>
                <w:b/>
                <w:bCs/>
                <w:sz w:val="18"/>
                <w:szCs w:val="18"/>
                <w:lang w:eastAsia="zh-CN"/>
              </w:rPr>
              <w:t>0.89%</w:t>
            </w:r>
          </w:p>
        </w:tc>
        <w:tc>
          <w:tcPr>
            <w:tcW w:w="0" w:type="auto"/>
            <w:tcBorders>
              <w:top w:val="single" w:sz="4" w:space="0" w:color="auto"/>
              <w:left w:val="nil"/>
              <w:bottom w:val="single" w:sz="4" w:space="0" w:color="auto"/>
              <w:right w:val="nil"/>
            </w:tcBorders>
            <w:shd w:val="clear" w:color="auto" w:fill="D3C5D7"/>
            <w:noWrap/>
            <w:vAlign w:val="center"/>
            <w:hideMark/>
          </w:tcPr>
          <w:p w14:paraId="5E359D63" w14:textId="77777777" w:rsidR="003B7C93" w:rsidRPr="00F830E6" w:rsidRDefault="003B7C93" w:rsidP="00F830E6">
            <w:pPr>
              <w:spacing w:after="0" w:line="240" w:lineRule="auto"/>
              <w:jc w:val="right"/>
              <w:rPr>
                <w:rFonts w:eastAsia="Times New Roman" w:cs="Arial"/>
                <w:b/>
                <w:bCs/>
                <w:sz w:val="18"/>
                <w:szCs w:val="18"/>
                <w:lang w:eastAsia="zh-CN"/>
              </w:rPr>
            </w:pPr>
            <w:r w:rsidRPr="00F830E6">
              <w:rPr>
                <w:rFonts w:eastAsia="Times New Roman" w:cs="Arial"/>
                <w:b/>
                <w:bCs/>
                <w:sz w:val="18"/>
                <w:szCs w:val="18"/>
                <w:lang w:eastAsia="zh-CN"/>
              </w:rPr>
              <w:t>0.97%</w:t>
            </w:r>
          </w:p>
        </w:tc>
        <w:tc>
          <w:tcPr>
            <w:tcW w:w="0" w:type="auto"/>
            <w:tcBorders>
              <w:top w:val="single" w:sz="4" w:space="0" w:color="auto"/>
              <w:left w:val="nil"/>
              <w:bottom w:val="single" w:sz="4" w:space="0" w:color="auto"/>
              <w:right w:val="nil"/>
            </w:tcBorders>
            <w:shd w:val="clear" w:color="auto" w:fill="D3C5D7"/>
            <w:noWrap/>
            <w:vAlign w:val="center"/>
            <w:hideMark/>
          </w:tcPr>
          <w:p w14:paraId="49E3CD7C" w14:textId="77777777" w:rsidR="003B7C93" w:rsidRPr="00F830E6" w:rsidRDefault="003B7C93" w:rsidP="00F830E6">
            <w:pPr>
              <w:spacing w:after="0" w:line="240" w:lineRule="auto"/>
              <w:jc w:val="right"/>
              <w:rPr>
                <w:rFonts w:eastAsia="Times New Roman" w:cs="Arial"/>
                <w:b/>
                <w:bCs/>
                <w:sz w:val="18"/>
                <w:szCs w:val="18"/>
                <w:lang w:eastAsia="zh-CN"/>
              </w:rPr>
            </w:pPr>
            <w:r w:rsidRPr="00F830E6">
              <w:rPr>
                <w:rFonts w:eastAsia="Times New Roman" w:cs="Arial"/>
                <w:b/>
                <w:bCs/>
                <w:sz w:val="18"/>
                <w:szCs w:val="18"/>
                <w:lang w:eastAsia="zh-CN"/>
              </w:rPr>
              <w:t>0.99%</w:t>
            </w:r>
          </w:p>
        </w:tc>
        <w:tc>
          <w:tcPr>
            <w:tcW w:w="0" w:type="auto"/>
            <w:tcBorders>
              <w:top w:val="single" w:sz="4" w:space="0" w:color="auto"/>
              <w:left w:val="nil"/>
              <w:bottom w:val="single" w:sz="4" w:space="0" w:color="auto"/>
              <w:right w:val="nil"/>
            </w:tcBorders>
            <w:shd w:val="clear" w:color="auto" w:fill="D3C5D7"/>
            <w:noWrap/>
            <w:vAlign w:val="center"/>
            <w:hideMark/>
          </w:tcPr>
          <w:p w14:paraId="434EE4D0" w14:textId="77777777" w:rsidR="003B7C93" w:rsidRPr="00F830E6" w:rsidRDefault="003B7C93" w:rsidP="00F830E6">
            <w:pPr>
              <w:spacing w:after="0" w:line="240" w:lineRule="auto"/>
              <w:jc w:val="right"/>
              <w:rPr>
                <w:rFonts w:eastAsia="Times New Roman" w:cs="Arial"/>
                <w:b/>
                <w:bCs/>
                <w:sz w:val="18"/>
                <w:szCs w:val="18"/>
                <w:lang w:eastAsia="zh-CN"/>
              </w:rPr>
            </w:pPr>
            <w:r w:rsidRPr="00F830E6">
              <w:rPr>
                <w:rFonts w:eastAsia="Times New Roman" w:cs="Arial"/>
                <w:b/>
                <w:bCs/>
                <w:sz w:val="18"/>
                <w:szCs w:val="18"/>
                <w:lang w:eastAsia="zh-CN"/>
              </w:rPr>
              <w:t>0.94%</w:t>
            </w:r>
          </w:p>
        </w:tc>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44ACE670" w14:textId="77777777" w:rsidR="003B7C93" w:rsidRPr="00F830E6" w:rsidRDefault="003B7C93" w:rsidP="00F830E6">
            <w:pPr>
              <w:spacing w:after="0" w:line="240" w:lineRule="auto"/>
              <w:jc w:val="right"/>
              <w:rPr>
                <w:rFonts w:eastAsia="Times New Roman" w:cs="Arial"/>
                <w:b/>
                <w:bCs/>
                <w:sz w:val="18"/>
                <w:szCs w:val="18"/>
                <w:lang w:eastAsia="zh-CN"/>
              </w:rPr>
            </w:pPr>
            <w:r w:rsidRPr="00F830E6">
              <w:rPr>
                <w:rFonts w:eastAsia="Times New Roman" w:cs="Arial"/>
                <w:b/>
                <w:bCs/>
                <w:sz w:val="18"/>
                <w:szCs w:val="18"/>
                <w:lang w:eastAsia="zh-CN"/>
              </w:rPr>
              <w:t>1.01%</w:t>
            </w:r>
          </w:p>
        </w:tc>
        <w:tc>
          <w:tcPr>
            <w:tcW w:w="0" w:type="auto"/>
            <w:tcBorders>
              <w:top w:val="single" w:sz="4" w:space="0" w:color="auto"/>
              <w:left w:val="dotted" w:sz="4" w:space="0" w:color="auto"/>
              <w:bottom w:val="single" w:sz="4" w:space="0" w:color="auto"/>
            </w:tcBorders>
            <w:shd w:val="clear" w:color="auto" w:fill="D3C5D7"/>
            <w:noWrap/>
            <w:vAlign w:val="center"/>
            <w:hideMark/>
          </w:tcPr>
          <w:p w14:paraId="38113F97" w14:textId="77777777" w:rsidR="003B7C93" w:rsidRPr="00F830E6" w:rsidRDefault="003B7C93" w:rsidP="00F830E6">
            <w:pPr>
              <w:spacing w:after="0" w:line="240" w:lineRule="auto"/>
              <w:jc w:val="right"/>
              <w:rPr>
                <w:rFonts w:eastAsia="Times New Roman" w:cs="Arial"/>
                <w:b/>
                <w:bCs/>
                <w:sz w:val="18"/>
                <w:szCs w:val="18"/>
                <w:lang w:eastAsia="zh-CN"/>
              </w:rPr>
            </w:pPr>
            <w:r w:rsidRPr="00F830E6">
              <w:rPr>
                <w:rFonts w:eastAsia="Times New Roman" w:cs="Arial"/>
                <w:b/>
                <w:bCs/>
                <w:sz w:val="18"/>
                <w:szCs w:val="18"/>
                <w:lang w:eastAsia="zh-CN"/>
              </w:rPr>
              <w:t>0.95%</w:t>
            </w:r>
          </w:p>
        </w:tc>
      </w:tr>
    </w:tbl>
    <w:p w14:paraId="792975E4" w14:textId="77777777" w:rsidR="00A01BF1" w:rsidRDefault="00A01BF1" w:rsidP="004A5D62">
      <w:pPr>
        <w:keepNext/>
        <w:spacing w:after="160" w:line="259" w:lineRule="auto"/>
        <w:ind w:left="-709"/>
      </w:pPr>
    </w:p>
    <w:tbl>
      <w:tblPr>
        <w:tblW w:w="0" w:type="auto"/>
        <w:tblLook w:val="04A0" w:firstRow="1" w:lastRow="0" w:firstColumn="1" w:lastColumn="0" w:noHBand="0" w:noVBand="1"/>
      </w:tblPr>
      <w:tblGrid>
        <w:gridCol w:w="867"/>
        <w:gridCol w:w="1167"/>
        <w:gridCol w:w="1167"/>
        <w:gridCol w:w="1167"/>
        <w:gridCol w:w="1167"/>
        <w:gridCol w:w="1167"/>
        <w:gridCol w:w="1157"/>
        <w:gridCol w:w="827"/>
      </w:tblGrid>
      <w:tr w:rsidR="00A01BF1" w:rsidRPr="008116E1" w14:paraId="7FF86E0C" w14:textId="77777777" w:rsidTr="00F830E6">
        <w:trPr>
          <w:trHeight w:val="397"/>
        </w:trPr>
        <w:tc>
          <w:tcPr>
            <w:tcW w:w="0" w:type="auto"/>
            <w:vMerge w:val="restart"/>
            <w:tcBorders>
              <w:top w:val="nil"/>
              <w:left w:val="nil"/>
              <w:bottom w:val="nil"/>
              <w:right w:val="nil"/>
            </w:tcBorders>
            <w:shd w:val="clear" w:color="000000" w:fill="6B2976"/>
            <w:noWrap/>
            <w:vAlign w:val="center"/>
            <w:hideMark/>
          </w:tcPr>
          <w:p w14:paraId="469C9EFE" w14:textId="77777777" w:rsidR="00A01BF1" w:rsidRPr="00F830E6" w:rsidRDefault="00A01BF1" w:rsidP="00F830E6">
            <w:pPr>
              <w:spacing w:after="0" w:line="240" w:lineRule="auto"/>
              <w:rPr>
                <w:rFonts w:eastAsia="Times New Roman" w:cs="Arial"/>
                <w:b/>
                <w:bCs/>
                <w:color w:val="FFFFFF"/>
                <w:sz w:val="18"/>
                <w:szCs w:val="18"/>
                <w:lang w:eastAsia="zh-CN"/>
              </w:rPr>
            </w:pPr>
            <w:r w:rsidRPr="00F830E6">
              <w:rPr>
                <w:rFonts w:eastAsia="Times New Roman" w:cs="Arial"/>
                <w:b/>
                <w:bCs/>
                <w:color w:val="FFFFFF"/>
                <w:sz w:val="18"/>
                <w:szCs w:val="18"/>
                <w:lang w:eastAsia="zh-CN"/>
              </w:rPr>
              <w:t>Gender</w:t>
            </w:r>
          </w:p>
        </w:tc>
        <w:tc>
          <w:tcPr>
            <w:tcW w:w="0" w:type="auto"/>
            <w:gridSpan w:val="7"/>
            <w:tcBorders>
              <w:top w:val="nil"/>
              <w:left w:val="nil"/>
              <w:bottom w:val="single" w:sz="4" w:space="0" w:color="FFFFFF"/>
              <w:right w:val="nil"/>
            </w:tcBorders>
            <w:shd w:val="clear" w:color="000000" w:fill="6B2976"/>
            <w:vAlign w:val="center"/>
            <w:hideMark/>
          </w:tcPr>
          <w:p w14:paraId="018C5729" w14:textId="77777777" w:rsidR="00A01BF1" w:rsidRPr="00F830E6" w:rsidRDefault="00A01BF1" w:rsidP="008116E1">
            <w:pPr>
              <w:spacing w:after="0" w:line="240" w:lineRule="auto"/>
              <w:jc w:val="center"/>
              <w:rPr>
                <w:rFonts w:eastAsia="Times New Roman" w:cs="Arial"/>
                <w:b/>
                <w:bCs/>
                <w:color w:val="FFFFFF"/>
                <w:sz w:val="18"/>
                <w:szCs w:val="18"/>
                <w:lang w:eastAsia="zh-CN"/>
              </w:rPr>
            </w:pPr>
            <w:r w:rsidRPr="00F830E6">
              <w:rPr>
                <w:rFonts w:eastAsia="Times New Roman" w:cs="Arial"/>
                <w:b/>
                <w:bCs/>
                <w:color w:val="FFFFFF"/>
                <w:sz w:val="18"/>
                <w:szCs w:val="18"/>
                <w:lang w:eastAsia="zh-CN"/>
              </w:rPr>
              <w:t>Expected</w:t>
            </w:r>
          </w:p>
        </w:tc>
      </w:tr>
      <w:tr w:rsidR="00A01BF1" w:rsidRPr="008116E1" w14:paraId="0C51CC0E" w14:textId="77777777" w:rsidTr="00F830E6">
        <w:trPr>
          <w:trHeight w:val="397"/>
        </w:trPr>
        <w:tc>
          <w:tcPr>
            <w:tcW w:w="0" w:type="auto"/>
            <w:vMerge/>
            <w:tcBorders>
              <w:top w:val="nil"/>
              <w:left w:val="nil"/>
              <w:right w:val="nil"/>
            </w:tcBorders>
            <w:vAlign w:val="center"/>
            <w:hideMark/>
          </w:tcPr>
          <w:p w14:paraId="78A2BE5D" w14:textId="77777777" w:rsidR="00A01BF1" w:rsidRPr="00F830E6" w:rsidRDefault="00A01BF1">
            <w:pPr>
              <w:spacing w:after="0" w:line="240" w:lineRule="auto"/>
              <w:rPr>
                <w:rFonts w:eastAsia="Times New Roman" w:cs="Arial"/>
                <w:b/>
                <w:bCs/>
                <w:color w:val="FFFFFF"/>
                <w:sz w:val="18"/>
                <w:szCs w:val="18"/>
                <w:lang w:eastAsia="zh-CN"/>
              </w:rPr>
            </w:pPr>
          </w:p>
        </w:tc>
        <w:tc>
          <w:tcPr>
            <w:tcW w:w="0" w:type="auto"/>
            <w:tcBorders>
              <w:top w:val="nil"/>
              <w:left w:val="nil"/>
              <w:bottom w:val="nil"/>
              <w:right w:val="nil"/>
            </w:tcBorders>
            <w:shd w:val="clear" w:color="000000" w:fill="6B2976"/>
            <w:vAlign w:val="center"/>
            <w:hideMark/>
          </w:tcPr>
          <w:p w14:paraId="166DF2D8" w14:textId="77777777" w:rsidR="00A01BF1" w:rsidRPr="00F830E6" w:rsidRDefault="00A01BF1"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17</w:t>
            </w:r>
          </w:p>
        </w:tc>
        <w:tc>
          <w:tcPr>
            <w:tcW w:w="0" w:type="auto"/>
            <w:tcBorders>
              <w:top w:val="nil"/>
              <w:left w:val="nil"/>
              <w:bottom w:val="nil"/>
              <w:right w:val="nil"/>
            </w:tcBorders>
            <w:shd w:val="clear" w:color="000000" w:fill="6B2976"/>
            <w:vAlign w:val="center"/>
            <w:hideMark/>
          </w:tcPr>
          <w:p w14:paraId="130A0217" w14:textId="77777777" w:rsidR="00A01BF1" w:rsidRPr="00F830E6" w:rsidRDefault="00A01BF1"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18</w:t>
            </w:r>
          </w:p>
        </w:tc>
        <w:tc>
          <w:tcPr>
            <w:tcW w:w="0" w:type="auto"/>
            <w:tcBorders>
              <w:top w:val="nil"/>
              <w:left w:val="nil"/>
              <w:bottom w:val="nil"/>
              <w:right w:val="nil"/>
            </w:tcBorders>
            <w:shd w:val="clear" w:color="000000" w:fill="6B2976"/>
            <w:vAlign w:val="center"/>
            <w:hideMark/>
          </w:tcPr>
          <w:p w14:paraId="01FEF9FC" w14:textId="77777777" w:rsidR="00A01BF1" w:rsidRPr="00F830E6" w:rsidRDefault="00A01BF1"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19</w:t>
            </w:r>
          </w:p>
        </w:tc>
        <w:tc>
          <w:tcPr>
            <w:tcW w:w="0" w:type="auto"/>
            <w:tcBorders>
              <w:top w:val="nil"/>
              <w:left w:val="nil"/>
              <w:bottom w:val="nil"/>
              <w:right w:val="nil"/>
            </w:tcBorders>
            <w:shd w:val="clear" w:color="000000" w:fill="6B2976"/>
            <w:vAlign w:val="center"/>
            <w:hideMark/>
          </w:tcPr>
          <w:p w14:paraId="2DC8F2EB" w14:textId="77777777" w:rsidR="00A01BF1" w:rsidRPr="00F830E6" w:rsidRDefault="00A01BF1"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20</w:t>
            </w:r>
          </w:p>
        </w:tc>
        <w:tc>
          <w:tcPr>
            <w:tcW w:w="0" w:type="auto"/>
            <w:tcBorders>
              <w:top w:val="nil"/>
              <w:left w:val="nil"/>
              <w:bottom w:val="nil"/>
              <w:right w:val="nil"/>
            </w:tcBorders>
            <w:shd w:val="clear" w:color="000000" w:fill="6B2976"/>
            <w:vAlign w:val="center"/>
            <w:hideMark/>
          </w:tcPr>
          <w:p w14:paraId="111BE7F6" w14:textId="77777777" w:rsidR="00A01BF1" w:rsidRPr="00F830E6" w:rsidRDefault="00A01BF1"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21</w:t>
            </w:r>
          </w:p>
        </w:tc>
        <w:tc>
          <w:tcPr>
            <w:tcW w:w="0" w:type="auto"/>
            <w:tcBorders>
              <w:top w:val="nil"/>
              <w:left w:val="nil"/>
              <w:right w:val="nil"/>
            </w:tcBorders>
            <w:shd w:val="clear" w:color="000000" w:fill="6B2976"/>
            <w:vAlign w:val="center"/>
            <w:hideMark/>
          </w:tcPr>
          <w:p w14:paraId="769E7087" w14:textId="77777777" w:rsidR="00A01BF1" w:rsidRPr="00F830E6" w:rsidRDefault="00A01BF1"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Jan-Feb 22</w:t>
            </w:r>
          </w:p>
        </w:tc>
        <w:tc>
          <w:tcPr>
            <w:tcW w:w="0" w:type="auto"/>
            <w:tcBorders>
              <w:top w:val="nil"/>
              <w:left w:val="nil"/>
              <w:bottom w:val="nil"/>
              <w:right w:val="nil"/>
            </w:tcBorders>
            <w:shd w:val="clear" w:color="000000" w:fill="6B2976"/>
            <w:vAlign w:val="center"/>
            <w:hideMark/>
          </w:tcPr>
          <w:p w14:paraId="374FD2AB" w14:textId="77777777" w:rsidR="00A01BF1" w:rsidRPr="00F830E6" w:rsidRDefault="00A01BF1"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Overall</w:t>
            </w:r>
          </w:p>
        </w:tc>
      </w:tr>
      <w:tr w:rsidR="00A01BF1" w:rsidRPr="008116E1" w14:paraId="0CA3CF70" w14:textId="77777777" w:rsidTr="00F830E6">
        <w:trPr>
          <w:trHeight w:val="301"/>
        </w:trPr>
        <w:tc>
          <w:tcPr>
            <w:tcW w:w="0" w:type="auto"/>
            <w:tcBorders>
              <w:top w:val="nil"/>
              <w:left w:val="nil"/>
              <w:bottom w:val="nil"/>
              <w:right w:val="dotted" w:sz="4" w:space="0" w:color="auto"/>
            </w:tcBorders>
            <w:shd w:val="clear" w:color="auto" w:fill="auto"/>
            <w:noWrap/>
            <w:vAlign w:val="center"/>
            <w:hideMark/>
          </w:tcPr>
          <w:p w14:paraId="390DF813" w14:textId="77777777" w:rsidR="00A01BF1" w:rsidRPr="00F830E6" w:rsidRDefault="00A01BF1">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Female </w:t>
            </w:r>
          </w:p>
        </w:tc>
        <w:tc>
          <w:tcPr>
            <w:tcW w:w="0" w:type="auto"/>
            <w:tcBorders>
              <w:top w:val="nil"/>
              <w:left w:val="dotted" w:sz="4" w:space="0" w:color="auto"/>
              <w:bottom w:val="nil"/>
              <w:right w:val="nil"/>
            </w:tcBorders>
            <w:shd w:val="clear" w:color="auto" w:fill="auto"/>
            <w:noWrap/>
            <w:vAlign w:val="center"/>
            <w:hideMark/>
          </w:tcPr>
          <w:p w14:paraId="67F2B336"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0.97%</w:t>
            </w:r>
          </w:p>
        </w:tc>
        <w:tc>
          <w:tcPr>
            <w:tcW w:w="0" w:type="auto"/>
            <w:tcBorders>
              <w:top w:val="nil"/>
              <w:left w:val="nil"/>
              <w:bottom w:val="nil"/>
              <w:right w:val="nil"/>
            </w:tcBorders>
            <w:shd w:val="clear" w:color="auto" w:fill="auto"/>
            <w:noWrap/>
            <w:vAlign w:val="center"/>
            <w:hideMark/>
          </w:tcPr>
          <w:p w14:paraId="64D2154D"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1.03%</w:t>
            </w:r>
          </w:p>
        </w:tc>
        <w:tc>
          <w:tcPr>
            <w:tcW w:w="0" w:type="auto"/>
            <w:tcBorders>
              <w:top w:val="nil"/>
              <w:left w:val="nil"/>
              <w:bottom w:val="nil"/>
              <w:right w:val="nil"/>
            </w:tcBorders>
            <w:shd w:val="clear" w:color="auto" w:fill="auto"/>
            <w:noWrap/>
            <w:vAlign w:val="center"/>
            <w:hideMark/>
          </w:tcPr>
          <w:p w14:paraId="6A882062"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1.06%</w:t>
            </w:r>
          </w:p>
        </w:tc>
        <w:tc>
          <w:tcPr>
            <w:tcW w:w="0" w:type="auto"/>
            <w:tcBorders>
              <w:top w:val="nil"/>
              <w:left w:val="nil"/>
              <w:bottom w:val="nil"/>
              <w:right w:val="nil"/>
            </w:tcBorders>
            <w:shd w:val="clear" w:color="auto" w:fill="auto"/>
            <w:noWrap/>
            <w:vAlign w:val="center"/>
            <w:hideMark/>
          </w:tcPr>
          <w:p w14:paraId="034F41A5"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1.03%</w:t>
            </w:r>
          </w:p>
        </w:tc>
        <w:tc>
          <w:tcPr>
            <w:tcW w:w="0" w:type="auto"/>
            <w:tcBorders>
              <w:top w:val="nil"/>
              <w:left w:val="nil"/>
              <w:bottom w:val="nil"/>
              <w:right w:val="nil"/>
            </w:tcBorders>
            <w:shd w:val="clear" w:color="auto" w:fill="auto"/>
            <w:noWrap/>
            <w:vAlign w:val="center"/>
            <w:hideMark/>
          </w:tcPr>
          <w:p w14:paraId="12961BF4"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1.01%</w:t>
            </w:r>
          </w:p>
        </w:tc>
        <w:tc>
          <w:tcPr>
            <w:tcW w:w="0" w:type="auto"/>
            <w:tcBorders>
              <w:top w:val="nil"/>
              <w:left w:val="nil"/>
              <w:bottom w:val="nil"/>
              <w:right w:val="dotted" w:sz="4" w:space="0" w:color="auto"/>
            </w:tcBorders>
            <w:shd w:val="clear" w:color="auto" w:fill="auto"/>
            <w:noWrap/>
            <w:vAlign w:val="center"/>
            <w:hideMark/>
          </w:tcPr>
          <w:p w14:paraId="23BB1E49"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0.99%</w:t>
            </w:r>
          </w:p>
        </w:tc>
        <w:tc>
          <w:tcPr>
            <w:tcW w:w="0" w:type="auto"/>
            <w:tcBorders>
              <w:top w:val="nil"/>
              <w:left w:val="dotted" w:sz="4" w:space="0" w:color="auto"/>
              <w:bottom w:val="nil"/>
              <w:right w:val="nil"/>
            </w:tcBorders>
            <w:shd w:val="clear" w:color="auto" w:fill="auto"/>
            <w:noWrap/>
            <w:vAlign w:val="center"/>
            <w:hideMark/>
          </w:tcPr>
          <w:p w14:paraId="5C859B4D"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1.02%</w:t>
            </w:r>
          </w:p>
        </w:tc>
      </w:tr>
      <w:tr w:rsidR="00F830E6" w:rsidRPr="008116E1" w14:paraId="292341D9" w14:textId="77777777" w:rsidTr="00F830E6">
        <w:trPr>
          <w:trHeight w:val="301"/>
        </w:trPr>
        <w:tc>
          <w:tcPr>
            <w:tcW w:w="0" w:type="auto"/>
            <w:tcBorders>
              <w:top w:val="nil"/>
              <w:left w:val="nil"/>
              <w:bottom w:val="nil"/>
              <w:right w:val="dotted" w:sz="4" w:space="0" w:color="auto"/>
            </w:tcBorders>
            <w:shd w:val="clear" w:color="000000" w:fill="BFBFBF"/>
            <w:noWrap/>
            <w:vAlign w:val="center"/>
            <w:hideMark/>
          </w:tcPr>
          <w:p w14:paraId="0359B5D6" w14:textId="77777777" w:rsidR="00A01BF1" w:rsidRPr="00F830E6" w:rsidRDefault="00A01BF1">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Male </w:t>
            </w:r>
          </w:p>
        </w:tc>
        <w:tc>
          <w:tcPr>
            <w:tcW w:w="0" w:type="auto"/>
            <w:tcBorders>
              <w:top w:val="nil"/>
              <w:left w:val="dotted" w:sz="4" w:space="0" w:color="auto"/>
              <w:bottom w:val="nil"/>
              <w:right w:val="nil"/>
            </w:tcBorders>
            <w:shd w:val="clear" w:color="000000" w:fill="BFBFBF"/>
            <w:noWrap/>
            <w:vAlign w:val="center"/>
            <w:hideMark/>
          </w:tcPr>
          <w:p w14:paraId="23A1846C"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0.81%</w:t>
            </w:r>
          </w:p>
        </w:tc>
        <w:tc>
          <w:tcPr>
            <w:tcW w:w="0" w:type="auto"/>
            <w:tcBorders>
              <w:top w:val="nil"/>
              <w:left w:val="nil"/>
              <w:bottom w:val="nil"/>
              <w:right w:val="nil"/>
            </w:tcBorders>
            <w:shd w:val="clear" w:color="000000" w:fill="BFBFBF"/>
            <w:noWrap/>
            <w:vAlign w:val="center"/>
            <w:hideMark/>
          </w:tcPr>
          <w:p w14:paraId="0661E720"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0.90%</w:t>
            </w:r>
          </w:p>
        </w:tc>
        <w:tc>
          <w:tcPr>
            <w:tcW w:w="0" w:type="auto"/>
            <w:tcBorders>
              <w:top w:val="nil"/>
              <w:left w:val="nil"/>
              <w:bottom w:val="nil"/>
              <w:right w:val="nil"/>
            </w:tcBorders>
            <w:shd w:val="clear" w:color="000000" w:fill="BFBFBF"/>
            <w:noWrap/>
            <w:vAlign w:val="center"/>
            <w:hideMark/>
          </w:tcPr>
          <w:p w14:paraId="74EC5977"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0.93%</w:t>
            </w:r>
          </w:p>
        </w:tc>
        <w:tc>
          <w:tcPr>
            <w:tcW w:w="0" w:type="auto"/>
            <w:tcBorders>
              <w:top w:val="nil"/>
              <w:left w:val="nil"/>
              <w:bottom w:val="nil"/>
              <w:right w:val="nil"/>
            </w:tcBorders>
            <w:shd w:val="clear" w:color="000000" w:fill="BFBFBF"/>
            <w:noWrap/>
            <w:vAlign w:val="center"/>
            <w:hideMark/>
          </w:tcPr>
          <w:p w14:paraId="2A3115D4"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0.90%</w:t>
            </w:r>
          </w:p>
        </w:tc>
        <w:tc>
          <w:tcPr>
            <w:tcW w:w="0" w:type="auto"/>
            <w:tcBorders>
              <w:top w:val="nil"/>
              <w:left w:val="nil"/>
              <w:bottom w:val="nil"/>
              <w:right w:val="nil"/>
            </w:tcBorders>
            <w:shd w:val="clear" w:color="000000" w:fill="BFBFBF"/>
            <w:noWrap/>
            <w:vAlign w:val="center"/>
            <w:hideMark/>
          </w:tcPr>
          <w:p w14:paraId="381F3990"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0.89%</w:t>
            </w:r>
          </w:p>
        </w:tc>
        <w:tc>
          <w:tcPr>
            <w:tcW w:w="0" w:type="auto"/>
            <w:tcBorders>
              <w:top w:val="nil"/>
              <w:left w:val="nil"/>
              <w:bottom w:val="nil"/>
              <w:right w:val="dotted" w:sz="4" w:space="0" w:color="auto"/>
            </w:tcBorders>
            <w:shd w:val="clear" w:color="000000" w:fill="BFBFBF"/>
            <w:noWrap/>
            <w:vAlign w:val="center"/>
            <w:hideMark/>
          </w:tcPr>
          <w:p w14:paraId="20F01119"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0.87%</w:t>
            </w:r>
          </w:p>
        </w:tc>
        <w:tc>
          <w:tcPr>
            <w:tcW w:w="0" w:type="auto"/>
            <w:tcBorders>
              <w:top w:val="nil"/>
              <w:left w:val="dotted" w:sz="4" w:space="0" w:color="auto"/>
              <w:bottom w:val="nil"/>
              <w:right w:val="nil"/>
            </w:tcBorders>
            <w:shd w:val="clear" w:color="000000" w:fill="BFBFBF"/>
            <w:noWrap/>
            <w:vAlign w:val="center"/>
            <w:hideMark/>
          </w:tcPr>
          <w:p w14:paraId="34CCA002" w14:textId="77777777" w:rsidR="00A01BF1" w:rsidRPr="00F830E6" w:rsidRDefault="00A01BF1"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0.89%</w:t>
            </w:r>
          </w:p>
        </w:tc>
      </w:tr>
      <w:tr w:rsidR="00F830E6" w:rsidRPr="008116E1" w14:paraId="246DDFBB" w14:textId="77777777" w:rsidTr="00F830E6">
        <w:trPr>
          <w:trHeight w:val="301"/>
        </w:trPr>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48A1E27F" w14:textId="77777777" w:rsidR="00A01BF1" w:rsidRPr="00F830E6" w:rsidRDefault="00A01BF1">
            <w:pPr>
              <w:spacing w:after="0" w:line="240" w:lineRule="auto"/>
              <w:rPr>
                <w:rFonts w:eastAsia="Times New Roman" w:cs="Arial"/>
                <w:b/>
                <w:bCs/>
                <w:color w:val="000000"/>
                <w:sz w:val="18"/>
                <w:szCs w:val="18"/>
                <w:lang w:eastAsia="zh-CN"/>
              </w:rPr>
            </w:pPr>
            <w:r w:rsidRPr="00F830E6">
              <w:rPr>
                <w:rFonts w:eastAsia="Times New Roman" w:cs="Arial"/>
                <w:b/>
                <w:bCs/>
                <w:color w:val="000000"/>
                <w:sz w:val="18"/>
                <w:szCs w:val="18"/>
                <w:lang w:eastAsia="zh-CN"/>
              </w:rPr>
              <w:t>Overall</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057AF29D" w14:textId="77777777" w:rsidR="00A01BF1" w:rsidRPr="00F830E6" w:rsidRDefault="00A01BF1"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0.87%</w:t>
            </w:r>
          </w:p>
        </w:tc>
        <w:tc>
          <w:tcPr>
            <w:tcW w:w="0" w:type="auto"/>
            <w:tcBorders>
              <w:top w:val="single" w:sz="4" w:space="0" w:color="auto"/>
              <w:left w:val="nil"/>
              <w:bottom w:val="single" w:sz="4" w:space="0" w:color="auto"/>
              <w:right w:val="nil"/>
            </w:tcBorders>
            <w:shd w:val="clear" w:color="000000" w:fill="D3C5D7"/>
            <w:noWrap/>
            <w:vAlign w:val="center"/>
            <w:hideMark/>
          </w:tcPr>
          <w:p w14:paraId="58BA27A8" w14:textId="77777777" w:rsidR="00A01BF1" w:rsidRPr="00F830E6" w:rsidRDefault="00A01BF1"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0.94%</w:t>
            </w:r>
          </w:p>
        </w:tc>
        <w:tc>
          <w:tcPr>
            <w:tcW w:w="0" w:type="auto"/>
            <w:tcBorders>
              <w:top w:val="single" w:sz="4" w:space="0" w:color="auto"/>
              <w:left w:val="nil"/>
              <w:bottom w:val="single" w:sz="4" w:space="0" w:color="auto"/>
              <w:right w:val="nil"/>
            </w:tcBorders>
            <w:shd w:val="clear" w:color="000000" w:fill="D3C5D7"/>
            <w:noWrap/>
            <w:vAlign w:val="center"/>
            <w:hideMark/>
          </w:tcPr>
          <w:p w14:paraId="789041D4" w14:textId="77777777" w:rsidR="00A01BF1" w:rsidRPr="00F830E6" w:rsidRDefault="00A01BF1"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0.98%</w:t>
            </w:r>
          </w:p>
        </w:tc>
        <w:tc>
          <w:tcPr>
            <w:tcW w:w="0" w:type="auto"/>
            <w:tcBorders>
              <w:top w:val="single" w:sz="4" w:space="0" w:color="auto"/>
              <w:left w:val="nil"/>
              <w:bottom w:val="single" w:sz="4" w:space="0" w:color="auto"/>
              <w:right w:val="nil"/>
            </w:tcBorders>
            <w:shd w:val="clear" w:color="000000" w:fill="D3C5D7"/>
            <w:noWrap/>
            <w:vAlign w:val="center"/>
            <w:hideMark/>
          </w:tcPr>
          <w:p w14:paraId="513A4E23" w14:textId="77777777" w:rsidR="00A01BF1" w:rsidRPr="00F830E6" w:rsidRDefault="00A01BF1"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0.95%</w:t>
            </w:r>
          </w:p>
        </w:tc>
        <w:tc>
          <w:tcPr>
            <w:tcW w:w="0" w:type="auto"/>
            <w:tcBorders>
              <w:top w:val="single" w:sz="4" w:space="0" w:color="auto"/>
              <w:left w:val="nil"/>
              <w:bottom w:val="single" w:sz="4" w:space="0" w:color="auto"/>
              <w:right w:val="nil"/>
            </w:tcBorders>
            <w:shd w:val="clear" w:color="000000" w:fill="D3C5D7"/>
            <w:noWrap/>
            <w:vAlign w:val="center"/>
            <w:hideMark/>
          </w:tcPr>
          <w:p w14:paraId="44D472C0" w14:textId="77777777" w:rsidR="00A01BF1" w:rsidRPr="00F830E6" w:rsidRDefault="00A01BF1"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0.93%</w:t>
            </w:r>
          </w:p>
        </w:tc>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25430804" w14:textId="77777777" w:rsidR="00A01BF1" w:rsidRPr="00F830E6" w:rsidRDefault="00A01BF1"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0.92%</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17975A3F" w14:textId="77777777" w:rsidR="00A01BF1" w:rsidRPr="00F830E6" w:rsidRDefault="00A01BF1"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0.94%</w:t>
            </w:r>
          </w:p>
        </w:tc>
      </w:tr>
    </w:tbl>
    <w:p w14:paraId="262CCF4B" w14:textId="77777777" w:rsidR="004A5D62" w:rsidRDefault="004A5D62" w:rsidP="004A5D62">
      <w:pPr>
        <w:keepNext/>
        <w:spacing w:after="160" w:line="259" w:lineRule="auto"/>
        <w:ind w:left="-709"/>
      </w:pPr>
    </w:p>
    <w:p w14:paraId="2019393B" w14:textId="77777777" w:rsidR="004A5D62" w:rsidRDefault="004A5D62" w:rsidP="00DA3F73">
      <w:pPr>
        <w:pStyle w:val="Figures"/>
      </w:pPr>
      <w:r>
        <w:t>Figure J</w:t>
      </w:r>
      <w:r w:rsidR="00911A3E">
        <w:t>.</w:t>
      </w:r>
      <w:fldSimple w:instr=" SEQ Figure \* ARABIC \s 2 ">
        <w:r w:rsidR="00447AA1">
          <w:rPr>
            <w:noProof/>
          </w:rPr>
          <w:t>2</w:t>
        </w:r>
      </w:fldSimple>
      <w:r>
        <w:t xml:space="preserve">: </w:t>
      </w:r>
      <w:r w:rsidRPr="00895D00">
        <w:t>Actual vs expected mortality rate by calendar year by gender</w:t>
      </w:r>
    </w:p>
    <w:p w14:paraId="02B53CC4" w14:textId="77777777" w:rsidR="003B7C93" w:rsidRDefault="007E386D" w:rsidP="00DA3F73">
      <w:pPr>
        <w:pStyle w:val="Figures"/>
      </w:pPr>
      <w:r>
        <w:rPr>
          <w:noProof/>
          <w:lang w:eastAsia="en-AU"/>
        </w:rPr>
        <w:drawing>
          <wp:inline distT="0" distB="0" distL="0" distR="0" wp14:anchorId="7C7FA285" wp14:editId="478ABE8E">
            <wp:extent cx="5724000" cy="2897791"/>
            <wp:effectExtent l="0" t="0" r="0" b="0"/>
            <wp:docPr id="467" name="Picture 467" descr="The graph is showing actual vs expected mortality rate by calendar year by gender. &#10;Actual mortality rates for calendar year 2017 are 0.95% for Female and  0.73% for Male. &#10;Actual mortality rates for calendar year 2018 are 1.04% for Female and  0.80% for Male. &#10;Actual mortality rates for calendar year 2019 are 1.04% for Female and  0.93% for Male. &#10;Actual mortality rates for calendar year 2020 are 1.06% for Female and  0.87% for Male. &#10;Actual mortality rates for calendar year 2021 are 1.08% for Female and  0.97% for Male. &#10;Expected mortality rates for calendar year 2017 are 0.97% for Female and  0.81% for Male. &#10;Expected mortality rates for calendar year 2018 are 1.03% for Female and  0.90% for Male. &#10;Expected mortality rates for calendar year 2019 are 1.06% for Female and  0.93% for Male. &#10;Expected mortality rates for calendar year 2020 are 1.01% for Female and  0.89% for Male. &#10;Expected mortality rates for calendar year 2021 are 0.99% for Female and  0.87% for Male. " title="Figure J.2: Actual vs expected mortality rate by calendar year by g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24000" cy="2897791"/>
                    </a:xfrm>
                    <a:prstGeom prst="rect">
                      <a:avLst/>
                    </a:prstGeom>
                    <a:noFill/>
                  </pic:spPr>
                </pic:pic>
              </a:graphicData>
            </a:graphic>
          </wp:inline>
        </w:drawing>
      </w:r>
    </w:p>
    <w:p w14:paraId="7DE8E4BF" w14:textId="77777777" w:rsidR="004A5D62" w:rsidRDefault="004A5D62" w:rsidP="004A5D62">
      <w:pPr>
        <w:keepNext/>
        <w:spacing w:after="160" w:line="259" w:lineRule="auto"/>
      </w:pPr>
    </w:p>
    <w:p w14:paraId="6A9C6068" w14:textId="77777777" w:rsidR="008116E1" w:rsidRDefault="008116E1" w:rsidP="00DA3F73">
      <w:pPr>
        <w:pStyle w:val="Tables"/>
      </w:pPr>
    </w:p>
    <w:p w14:paraId="0C2B71A4" w14:textId="77777777" w:rsidR="008116E1" w:rsidRDefault="008116E1">
      <w:pPr>
        <w:spacing w:after="160" w:line="259" w:lineRule="auto"/>
        <w:rPr>
          <w:rFonts w:eastAsiaTheme="minorHAnsi"/>
          <w:b/>
          <w:bCs/>
          <w:szCs w:val="18"/>
          <w:lang w:eastAsia="en-US"/>
        </w:rPr>
      </w:pPr>
      <w:r>
        <w:br w:type="page"/>
      </w:r>
    </w:p>
    <w:p w14:paraId="79B35DB7" w14:textId="77777777" w:rsidR="004A5D62" w:rsidRDefault="004A5D62" w:rsidP="00DA3F73">
      <w:pPr>
        <w:pStyle w:val="Tables"/>
      </w:pPr>
      <w:r>
        <w:lastRenderedPageBreak/>
        <w:t>Table J</w:t>
      </w:r>
      <w:r w:rsidR="00994C5F">
        <w:t>.</w:t>
      </w:r>
      <w:fldSimple w:instr=" SEQ Table \* ARABIC \s 2 ">
        <w:r w:rsidR="005877B6">
          <w:rPr>
            <w:noProof/>
          </w:rPr>
          <w:t>4</w:t>
        </w:r>
      </w:fldSimple>
      <w:r>
        <w:t xml:space="preserve">: </w:t>
      </w:r>
      <w:r w:rsidRPr="00FF6383">
        <w:t>Actual exposure by gender</w:t>
      </w:r>
      <w:r w:rsidR="00D65630">
        <w:t>, measured by the number of years participants were active in the Scheme</w:t>
      </w:r>
      <w:r w:rsidR="00CB3C7A">
        <w:rPr>
          <w:rStyle w:val="FootnoteReference"/>
        </w:rPr>
        <w:footnoteReference w:id="169"/>
      </w:r>
    </w:p>
    <w:tbl>
      <w:tblPr>
        <w:tblW w:w="0" w:type="auto"/>
        <w:tblLook w:val="04A0" w:firstRow="1" w:lastRow="0" w:firstColumn="1" w:lastColumn="0" w:noHBand="0" w:noVBand="1"/>
      </w:tblPr>
      <w:tblGrid>
        <w:gridCol w:w="867"/>
        <w:gridCol w:w="1167"/>
        <w:gridCol w:w="1167"/>
        <w:gridCol w:w="1167"/>
        <w:gridCol w:w="1167"/>
        <w:gridCol w:w="1167"/>
        <w:gridCol w:w="1157"/>
        <w:gridCol w:w="1017"/>
      </w:tblGrid>
      <w:tr w:rsidR="003B7C93" w:rsidRPr="002F7422" w14:paraId="695A19F9" w14:textId="77777777" w:rsidTr="00F830E6">
        <w:trPr>
          <w:trHeight w:val="397"/>
          <w:tblHeader/>
        </w:trPr>
        <w:tc>
          <w:tcPr>
            <w:tcW w:w="0" w:type="auto"/>
            <w:vMerge w:val="restart"/>
            <w:tcBorders>
              <w:top w:val="nil"/>
              <w:left w:val="nil"/>
              <w:bottom w:val="nil"/>
              <w:right w:val="nil"/>
            </w:tcBorders>
            <w:shd w:val="clear" w:color="000000" w:fill="6B2976"/>
            <w:noWrap/>
            <w:vAlign w:val="center"/>
            <w:hideMark/>
          </w:tcPr>
          <w:p w14:paraId="711F3E12" w14:textId="77777777" w:rsidR="003B7C93" w:rsidRPr="00F830E6" w:rsidRDefault="003B7C93" w:rsidP="00925D5C">
            <w:pPr>
              <w:spacing w:after="0" w:line="240" w:lineRule="auto"/>
              <w:rPr>
                <w:rFonts w:eastAsia="Times New Roman" w:cs="Arial"/>
                <w:b/>
                <w:bCs/>
                <w:color w:val="FFFFFF"/>
                <w:sz w:val="18"/>
                <w:szCs w:val="18"/>
                <w:lang w:eastAsia="zh-CN"/>
              </w:rPr>
            </w:pPr>
            <w:r w:rsidRPr="00F830E6">
              <w:rPr>
                <w:rFonts w:eastAsia="Times New Roman" w:cs="Arial"/>
                <w:b/>
                <w:bCs/>
                <w:color w:val="FFFFFF"/>
                <w:sz w:val="18"/>
                <w:szCs w:val="18"/>
                <w:lang w:eastAsia="zh-CN"/>
              </w:rPr>
              <w:t>Gender</w:t>
            </w:r>
          </w:p>
        </w:tc>
        <w:tc>
          <w:tcPr>
            <w:tcW w:w="0" w:type="auto"/>
            <w:gridSpan w:val="7"/>
            <w:tcBorders>
              <w:top w:val="nil"/>
              <w:left w:val="nil"/>
              <w:bottom w:val="single" w:sz="4" w:space="0" w:color="FFFFFF"/>
              <w:right w:val="nil"/>
            </w:tcBorders>
            <w:shd w:val="clear" w:color="000000" w:fill="6B2976"/>
            <w:vAlign w:val="center"/>
            <w:hideMark/>
          </w:tcPr>
          <w:p w14:paraId="569D3DD6" w14:textId="77777777" w:rsidR="003B7C93" w:rsidRPr="00F830E6" w:rsidRDefault="003B7C93" w:rsidP="008116E1">
            <w:pPr>
              <w:spacing w:after="0" w:line="240" w:lineRule="auto"/>
              <w:jc w:val="center"/>
              <w:rPr>
                <w:rFonts w:eastAsia="Times New Roman" w:cs="Arial"/>
                <w:b/>
                <w:bCs/>
                <w:color w:val="FFFFFF"/>
                <w:sz w:val="18"/>
                <w:szCs w:val="18"/>
                <w:lang w:eastAsia="zh-CN"/>
              </w:rPr>
            </w:pPr>
            <w:r w:rsidRPr="00F830E6">
              <w:rPr>
                <w:rFonts w:eastAsia="Times New Roman" w:cs="Arial"/>
                <w:b/>
                <w:bCs/>
                <w:color w:val="FFFFFF"/>
                <w:sz w:val="18"/>
                <w:szCs w:val="18"/>
                <w:lang w:eastAsia="zh-CN"/>
              </w:rPr>
              <w:t>Actual Exposure</w:t>
            </w:r>
          </w:p>
        </w:tc>
      </w:tr>
      <w:tr w:rsidR="00F830E6" w:rsidRPr="002F7422" w14:paraId="304B5BA9" w14:textId="77777777" w:rsidTr="00F830E6">
        <w:trPr>
          <w:trHeight w:val="397"/>
          <w:tblHeader/>
        </w:trPr>
        <w:tc>
          <w:tcPr>
            <w:tcW w:w="0" w:type="auto"/>
            <w:vMerge/>
            <w:tcBorders>
              <w:top w:val="nil"/>
              <w:left w:val="nil"/>
              <w:right w:val="nil"/>
            </w:tcBorders>
            <w:vAlign w:val="center"/>
            <w:hideMark/>
          </w:tcPr>
          <w:p w14:paraId="40A3607D" w14:textId="77777777" w:rsidR="003B7C93" w:rsidRPr="00F830E6" w:rsidRDefault="003B7C93" w:rsidP="00925D5C">
            <w:pPr>
              <w:spacing w:after="0" w:line="240" w:lineRule="auto"/>
              <w:rPr>
                <w:rFonts w:eastAsia="Times New Roman" w:cs="Arial"/>
                <w:b/>
                <w:bCs/>
                <w:color w:val="FFFFFF"/>
                <w:sz w:val="18"/>
                <w:szCs w:val="18"/>
                <w:lang w:eastAsia="zh-CN"/>
              </w:rPr>
            </w:pPr>
          </w:p>
        </w:tc>
        <w:tc>
          <w:tcPr>
            <w:tcW w:w="0" w:type="auto"/>
            <w:tcBorders>
              <w:top w:val="nil"/>
              <w:left w:val="nil"/>
              <w:bottom w:val="nil"/>
              <w:right w:val="nil"/>
            </w:tcBorders>
            <w:shd w:val="clear" w:color="000000" w:fill="6B2976"/>
            <w:vAlign w:val="center"/>
            <w:hideMark/>
          </w:tcPr>
          <w:p w14:paraId="56B97EFD"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17</w:t>
            </w:r>
          </w:p>
        </w:tc>
        <w:tc>
          <w:tcPr>
            <w:tcW w:w="0" w:type="auto"/>
            <w:tcBorders>
              <w:top w:val="nil"/>
              <w:left w:val="nil"/>
              <w:bottom w:val="nil"/>
              <w:right w:val="nil"/>
            </w:tcBorders>
            <w:shd w:val="clear" w:color="000000" w:fill="6B2976"/>
            <w:vAlign w:val="center"/>
            <w:hideMark/>
          </w:tcPr>
          <w:p w14:paraId="2549991D"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18</w:t>
            </w:r>
          </w:p>
        </w:tc>
        <w:tc>
          <w:tcPr>
            <w:tcW w:w="0" w:type="auto"/>
            <w:tcBorders>
              <w:top w:val="nil"/>
              <w:left w:val="nil"/>
              <w:bottom w:val="nil"/>
              <w:right w:val="nil"/>
            </w:tcBorders>
            <w:shd w:val="clear" w:color="000000" w:fill="6B2976"/>
            <w:vAlign w:val="center"/>
            <w:hideMark/>
          </w:tcPr>
          <w:p w14:paraId="1383A1EA"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19</w:t>
            </w:r>
          </w:p>
        </w:tc>
        <w:tc>
          <w:tcPr>
            <w:tcW w:w="0" w:type="auto"/>
            <w:tcBorders>
              <w:top w:val="nil"/>
              <w:left w:val="nil"/>
              <w:bottom w:val="nil"/>
              <w:right w:val="nil"/>
            </w:tcBorders>
            <w:shd w:val="clear" w:color="000000" w:fill="6B2976"/>
            <w:vAlign w:val="center"/>
            <w:hideMark/>
          </w:tcPr>
          <w:p w14:paraId="3BE74036"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20</w:t>
            </w:r>
          </w:p>
        </w:tc>
        <w:tc>
          <w:tcPr>
            <w:tcW w:w="0" w:type="auto"/>
            <w:tcBorders>
              <w:top w:val="nil"/>
              <w:left w:val="nil"/>
              <w:bottom w:val="nil"/>
              <w:right w:val="nil"/>
            </w:tcBorders>
            <w:shd w:val="clear" w:color="000000" w:fill="6B2976"/>
            <w:vAlign w:val="center"/>
            <w:hideMark/>
          </w:tcPr>
          <w:p w14:paraId="319725EB"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21</w:t>
            </w:r>
          </w:p>
        </w:tc>
        <w:tc>
          <w:tcPr>
            <w:tcW w:w="0" w:type="auto"/>
            <w:tcBorders>
              <w:top w:val="nil"/>
              <w:left w:val="nil"/>
              <w:right w:val="nil"/>
            </w:tcBorders>
            <w:shd w:val="clear" w:color="000000" w:fill="6B2976"/>
            <w:vAlign w:val="center"/>
            <w:hideMark/>
          </w:tcPr>
          <w:p w14:paraId="0E967B18"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Jan-Feb 22</w:t>
            </w:r>
          </w:p>
        </w:tc>
        <w:tc>
          <w:tcPr>
            <w:tcW w:w="0" w:type="auto"/>
            <w:tcBorders>
              <w:top w:val="nil"/>
              <w:left w:val="nil"/>
              <w:bottom w:val="nil"/>
            </w:tcBorders>
            <w:shd w:val="clear" w:color="000000" w:fill="6B2976"/>
            <w:vAlign w:val="center"/>
            <w:hideMark/>
          </w:tcPr>
          <w:p w14:paraId="3DFD0F93" w14:textId="77777777" w:rsidR="003B7C93" w:rsidRPr="00F830E6" w:rsidRDefault="003B7C93" w:rsidP="00F830E6">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Overall</w:t>
            </w:r>
          </w:p>
        </w:tc>
      </w:tr>
      <w:tr w:rsidR="003B7C93" w:rsidRPr="002F7422" w14:paraId="76155A03" w14:textId="77777777" w:rsidTr="00F830E6">
        <w:trPr>
          <w:trHeight w:val="301"/>
        </w:trPr>
        <w:tc>
          <w:tcPr>
            <w:tcW w:w="0" w:type="auto"/>
            <w:tcBorders>
              <w:top w:val="nil"/>
              <w:left w:val="nil"/>
              <w:bottom w:val="nil"/>
              <w:right w:val="dotted" w:sz="4" w:space="0" w:color="auto"/>
            </w:tcBorders>
            <w:shd w:val="clear" w:color="auto" w:fill="auto"/>
            <w:noWrap/>
            <w:vAlign w:val="center"/>
            <w:hideMark/>
          </w:tcPr>
          <w:p w14:paraId="56083364" w14:textId="77777777" w:rsidR="003B7C93" w:rsidRPr="00F830E6" w:rsidRDefault="003B7C93" w:rsidP="00925D5C">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Female </w:t>
            </w:r>
          </w:p>
        </w:tc>
        <w:tc>
          <w:tcPr>
            <w:tcW w:w="0" w:type="auto"/>
            <w:tcBorders>
              <w:top w:val="nil"/>
              <w:left w:val="dotted" w:sz="4" w:space="0" w:color="auto"/>
              <w:bottom w:val="nil"/>
              <w:right w:val="nil"/>
            </w:tcBorders>
            <w:shd w:val="clear" w:color="auto" w:fill="auto"/>
            <w:noWrap/>
            <w:vAlign w:val="center"/>
            <w:hideMark/>
          </w:tcPr>
          <w:p w14:paraId="13A86ABB"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33,572</w:t>
            </w:r>
          </w:p>
        </w:tc>
        <w:tc>
          <w:tcPr>
            <w:tcW w:w="0" w:type="auto"/>
            <w:tcBorders>
              <w:top w:val="nil"/>
              <w:left w:val="nil"/>
              <w:bottom w:val="nil"/>
              <w:right w:val="nil"/>
            </w:tcBorders>
            <w:shd w:val="clear" w:color="auto" w:fill="auto"/>
            <w:noWrap/>
            <w:vAlign w:val="center"/>
            <w:hideMark/>
          </w:tcPr>
          <w:p w14:paraId="3F1354E3"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64,024</w:t>
            </w:r>
          </w:p>
        </w:tc>
        <w:tc>
          <w:tcPr>
            <w:tcW w:w="0" w:type="auto"/>
            <w:tcBorders>
              <w:top w:val="nil"/>
              <w:left w:val="nil"/>
              <w:bottom w:val="nil"/>
              <w:right w:val="nil"/>
            </w:tcBorders>
            <w:shd w:val="clear" w:color="auto" w:fill="auto"/>
            <w:noWrap/>
            <w:vAlign w:val="center"/>
            <w:hideMark/>
          </w:tcPr>
          <w:p w14:paraId="63AC50D8"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105,623</w:t>
            </w:r>
          </w:p>
        </w:tc>
        <w:tc>
          <w:tcPr>
            <w:tcW w:w="0" w:type="auto"/>
            <w:tcBorders>
              <w:top w:val="nil"/>
              <w:left w:val="nil"/>
              <w:bottom w:val="nil"/>
              <w:right w:val="nil"/>
            </w:tcBorders>
            <w:shd w:val="clear" w:color="auto" w:fill="auto"/>
            <w:noWrap/>
            <w:vAlign w:val="center"/>
            <w:hideMark/>
          </w:tcPr>
          <w:p w14:paraId="64A65A24"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144,051</w:t>
            </w:r>
          </w:p>
        </w:tc>
        <w:tc>
          <w:tcPr>
            <w:tcW w:w="0" w:type="auto"/>
            <w:tcBorders>
              <w:top w:val="nil"/>
              <w:left w:val="nil"/>
              <w:bottom w:val="nil"/>
              <w:right w:val="nil"/>
            </w:tcBorders>
            <w:shd w:val="clear" w:color="auto" w:fill="auto"/>
            <w:noWrap/>
            <w:vAlign w:val="center"/>
            <w:hideMark/>
          </w:tcPr>
          <w:p w14:paraId="5CDCF197"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173,884</w:t>
            </w:r>
          </w:p>
        </w:tc>
        <w:tc>
          <w:tcPr>
            <w:tcW w:w="0" w:type="auto"/>
            <w:tcBorders>
              <w:top w:val="nil"/>
              <w:left w:val="nil"/>
              <w:bottom w:val="nil"/>
              <w:right w:val="dotted" w:sz="4" w:space="0" w:color="auto"/>
            </w:tcBorders>
            <w:shd w:val="clear" w:color="auto" w:fill="auto"/>
            <w:noWrap/>
            <w:vAlign w:val="center"/>
            <w:hideMark/>
          </w:tcPr>
          <w:p w14:paraId="232D17E2"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30,590</w:t>
            </w:r>
          </w:p>
        </w:tc>
        <w:tc>
          <w:tcPr>
            <w:tcW w:w="0" w:type="auto"/>
            <w:tcBorders>
              <w:top w:val="nil"/>
              <w:left w:val="dotted" w:sz="4" w:space="0" w:color="auto"/>
              <w:bottom w:val="nil"/>
            </w:tcBorders>
            <w:shd w:val="clear" w:color="auto" w:fill="auto"/>
            <w:noWrap/>
            <w:vAlign w:val="center"/>
            <w:hideMark/>
          </w:tcPr>
          <w:p w14:paraId="13F9ED68"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551,744</w:t>
            </w:r>
          </w:p>
        </w:tc>
      </w:tr>
      <w:tr w:rsidR="00F830E6" w:rsidRPr="002F7422" w14:paraId="314ED0DC" w14:textId="77777777" w:rsidTr="00F830E6">
        <w:trPr>
          <w:trHeight w:val="301"/>
        </w:trPr>
        <w:tc>
          <w:tcPr>
            <w:tcW w:w="0" w:type="auto"/>
            <w:tcBorders>
              <w:top w:val="nil"/>
              <w:left w:val="nil"/>
              <w:bottom w:val="nil"/>
              <w:right w:val="dotted" w:sz="4" w:space="0" w:color="auto"/>
            </w:tcBorders>
            <w:shd w:val="clear" w:color="000000" w:fill="BFBFBF"/>
            <w:noWrap/>
            <w:vAlign w:val="center"/>
            <w:hideMark/>
          </w:tcPr>
          <w:p w14:paraId="2C2B1DE0" w14:textId="77777777" w:rsidR="003B7C93" w:rsidRPr="00F830E6" w:rsidRDefault="003B7C93" w:rsidP="00925D5C">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Male </w:t>
            </w:r>
          </w:p>
        </w:tc>
        <w:tc>
          <w:tcPr>
            <w:tcW w:w="0" w:type="auto"/>
            <w:tcBorders>
              <w:top w:val="nil"/>
              <w:left w:val="dotted" w:sz="4" w:space="0" w:color="auto"/>
              <w:bottom w:val="nil"/>
              <w:right w:val="nil"/>
            </w:tcBorders>
            <w:shd w:val="clear" w:color="000000" w:fill="BFBFBF"/>
            <w:noWrap/>
            <w:vAlign w:val="center"/>
            <w:hideMark/>
          </w:tcPr>
          <w:p w14:paraId="0D25ECBA"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58,097</w:t>
            </w:r>
          </w:p>
        </w:tc>
        <w:tc>
          <w:tcPr>
            <w:tcW w:w="0" w:type="auto"/>
            <w:tcBorders>
              <w:top w:val="nil"/>
              <w:left w:val="nil"/>
              <w:bottom w:val="nil"/>
              <w:right w:val="nil"/>
            </w:tcBorders>
            <w:shd w:val="clear" w:color="000000" w:fill="BFBFBF"/>
            <w:noWrap/>
            <w:vAlign w:val="center"/>
            <w:hideMark/>
          </w:tcPr>
          <w:p w14:paraId="02F74097"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108,338</w:t>
            </w:r>
          </w:p>
        </w:tc>
        <w:tc>
          <w:tcPr>
            <w:tcW w:w="0" w:type="auto"/>
            <w:tcBorders>
              <w:top w:val="nil"/>
              <w:left w:val="nil"/>
              <w:bottom w:val="nil"/>
              <w:right w:val="nil"/>
            </w:tcBorders>
            <w:shd w:val="clear" w:color="000000" w:fill="BFBFBF"/>
            <w:noWrap/>
            <w:vAlign w:val="center"/>
            <w:hideMark/>
          </w:tcPr>
          <w:p w14:paraId="627589FD"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176,411</w:t>
            </w:r>
          </w:p>
        </w:tc>
        <w:tc>
          <w:tcPr>
            <w:tcW w:w="0" w:type="auto"/>
            <w:tcBorders>
              <w:top w:val="nil"/>
              <w:left w:val="nil"/>
              <w:bottom w:val="nil"/>
              <w:right w:val="nil"/>
            </w:tcBorders>
            <w:shd w:val="clear" w:color="000000" w:fill="BFBFBF"/>
            <w:noWrap/>
            <w:vAlign w:val="center"/>
            <w:hideMark/>
          </w:tcPr>
          <w:p w14:paraId="523BA466"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240,840</w:t>
            </w:r>
          </w:p>
        </w:tc>
        <w:tc>
          <w:tcPr>
            <w:tcW w:w="0" w:type="auto"/>
            <w:tcBorders>
              <w:top w:val="nil"/>
              <w:left w:val="nil"/>
              <w:bottom w:val="nil"/>
              <w:right w:val="nil"/>
            </w:tcBorders>
            <w:shd w:val="clear" w:color="000000" w:fill="BFBFBF"/>
            <w:noWrap/>
            <w:vAlign w:val="center"/>
            <w:hideMark/>
          </w:tcPr>
          <w:p w14:paraId="551EC6B4"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288,301</w:t>
            </w:r>
          </w:p>
        </w:tc>
        <w:tc>
          <w:tcPr>
            <w:tcW w:w="0" w:type="auto"/>
            <w:tcBorders>
              <w:top w:val="nil"/>
              <w:left w:val="nil"/>
              <w:bottom w:val="nil"/>
              <w:right w:val="dotted" w:sz="4" w:space="0" w:color="auto"/>
            </w:tcBorders>
            <w:shd w:val="clear" w:color="000000" w:fill="BFBFBF"/>
            <w:noWrap/>
            <w:vAlign w:val="center"/>
            <w:hideMark/>
          </w:tcPr>
          <w:p w14:paraId="18B9C594"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50,490</w:t>
            </w:r>
          </w:p>
        </w:tc>
        <w:tc>
          <w:tcPr>
            <w:tcW w:w="0" w:type="auto"/>
            <w:tcBorders>
              <w:top w:val="nil"/>
              <w:left w:val="dotted" w:sz="4" w:space="0" w:color="auto"/>
              <w:bottom w:val="nil"/>
            </w:tcBorders>
            <w:shd w:val="clear" w:color="000000" w:fill="BFBFBF"/>
            <w:noWrap/>
            <w:vAlign w:val="center"/>
            <w:hideMark/>
          </w:tcPr>
          <w:p w14:paraId="29DD7E9B"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922,477</w:t>
            </w:r>
          </w:p>
        </w:tc>
      </w:tr>
      <w:tr w:rsidR="003B7C93" w:rsidRPr="002F7422" w14:paraId="26D05E48" w14:textId="77777777" w:rsidTr="00F830E6">
        <w:trPr>
          <w:trHeight w:val="301"/>
        </w:trPr>
        <w:tc>
          <w:tcPr>
            <w:tcW w:w="0" w:type="auto"/>
            <w:tcBorders>
              <w:top w:val="nil"/>
              <w:left w:val="nil"/>
              <w:bottom w:val="nil"/>
              <w:right w:val="dotted" w:sz="4" w:space="0" w:color="auto"/>
            </w:tcBorders>
            <w:shd w:val="clear" w:color="auto" w:fill="auto"/>
            <w:noWrap/>
            <w:vAlign w:val="center"/>
            <w:hideMark/>
          </w:tcPr>
          <w:p w14:paraId="37AF4584" w14:textId="77777777" w:rsidR="003B7C93" w:rsidRPr="00F830E6" w:rsidRDefault="003B7C93" w:rsidP="00925D5C">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Other </w:t>
            </w:r>
          </w:p>
        </w:tc>
        <w:tc>
          <w:tcPr>
            <w:tcW w:w="0" w:type="auto"/>
            <w:tcBorders>
              <w:top w:val="nil"/>
              <w:left w:val="dotted" w:sz="4" w:space="0" w:color="auto"/>
              <w:bottom w:val="nil"/>
              <w:right w:val="nil"/>
            </w:tcBorders>
            <w:shd w:val="clear" w:color="auto" w:fill="auto"/>
            <w:noWrap/>
            <w:vAlign w:val="center"/>
            <w:hideMark/>
          </w:tcPr>
          <w:p w14:paraId="5A0A9844"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361</w:t>
            </w:r>
          </w:p>
        </w:tc>
        <w:tc>
          <w:tcPr>
            <w:tcW w:w="0" w:type="auto"/>
            <w:tcBorders>
              <w:top w:val="nil"/>
              <w:left w:val="nil"/>
              <w:bottom w:val="nil"/>
              <w:right w:val="nil"/>
            </w:tcBorders>
            <w:shd w:val="clear" w:color="auto" w:fill="auto"/>
            <w:noWrap/>
            <w:vAlign w:val="center"/>
            <w:hideMark/>
          </w:tcPr>
          <w:p w14:paraId="63805533"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1,566</w:t>
            </w:r>
          </w:p>
        </w:tc>
        <w:tc>
          <w:tcPr>
            <w:tcW w:w="0" w:type="auto"/>
            <w:tcBorders>
              <w:top w:val="nil"/>
              <w:left w:val="nil"/>
              <w:bottom w:val="nil"/>
              <w:right w:val="nil"/>
            </w:tcBorders>
            <w:shd w:val="clear" w:color="auto" w:fill="auto"/>
            <w:noWrap/>
            <w:vAlign w:val="center"/>
            <w:hideMark/>
          </w:tcPr>
          <w:p w14:paraId="4D515FF7"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2,820</w:t>
            </w:r>
          </w:p>
        </w:tc>
        <w:tc>
          <w:tcPr>
            <w:tcW w:w="0" w:type="auto"/>
            <w:tcBorders>
              <w:top w:val="nil"/>
              <w:left w:val="nil"/>
              <w:bottom w:val="nil"/>
              <w:right w:val="nil"/>
            </w:tcBorders>
            <w:shd w:val="clear" w:color="auto" w:fill="auto"/>
            <w:noWrap/>
            <w:vAlign w:val="center"/>
            <w:hideMark/>
          </w:tcPr>
          <w:p w14:paraId="45DB69C9"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4,002</w:t>
            </w:r>
          </w:p>
        </w:tc>
        <w:tc>
          <w:tcPr>
            <w:tcW w:w="0" w:type="auto"/>
            <w:tcBorders>
              <w:top w:val="nil"/>
              <w:left w:val="nil"/>
              <w:bottom w:val="nil"/>
              <w:right w:val="nil"/>
            </w:tcBorders>
            <w:shd w:val="clear" w:color="auto" w:fill="auto"/>
            <w:noWrap/>
            <w:vAlign w:val="center"/>
            <w:hideMark/>
          </w:tcPr>
          <w:p w14:paraId="0D7622CF"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5,040</w:t>
            </w:r>
          </w:p>
        </w:tc>
        <w:tc>
          <w:tcPr>
            <w:tcW w:w="0" w:type="auto"/>
            <w:tcBorders>
              <w:top w:val="nil"/>
              <w:left w:val="nil"/>
              <w:bottom w:val="nil"/>
              <w:right w:val="dotted" w:sz="4" w:space="0" w:color="auto"/>
            </w:tcBorders>
            <w:shd w:val="clear" w:color="auto" w:fill="auto"/>
            <w:noWrap/>
            <w:vAlign w:val="center"/>
            <w:hideMark/>
          </w:tcPr>
          <w:p w14:paraId="08220A10"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923</w:t>
            </w:r>
          </w:p>
        </w:tc>
        <w:tc>
          <w:tcPr>
            <w:tcW w:w="0" w:type="auto"/>
            <w:tcBorders>
              <w:top w:val="nil"/>
              <w:left w:val="dotted" w:sz="4" w:space="0" w:color="auto"/>
              <w:bottom w:val="nil"/>
            </w:tcBorders>
            <w:shd w:val="clear" w:color="auto" w:fill="auto"/>
            <w:noWrap/>
            <w:vAlign w:val="center"/>
            <w:hideMark/>
          </w:tcPr>
          <w:p w14:paraId="1CE8B765" w14:textId="77777777" w:rsidR="003B7C93" w:rsidRPr="00F830E6" w:rsidRDefault="003B7C93" w:rsidP="00F830E6">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14,710</w:t>
            </w:r>
          </w:p>
        </w:tc>
      </w:tr>
      <w:tr w:rsidR="00F830E6" w:rsidRPr="002F7422" w14:paraId="39E5741E" w14:textId="77777777" w:rsidTr="00F830E6">
        <w:trPr>
          <w:trHeight w:val="301"/>
        </w:trPr>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22BDB9AA" w14:textId="77777777" w:rsidR="003B7C93" w:rsidRPr="00F830E6" w:rsidRDefault="003B7C93" w:rsidP="00925D5C">
            <w:pPr>
              <w:spacing w:after="0" w:line="240" w:lineRule="auto"/>
              <w:rPr>
                <w:rFonts w:eastAsia="Times New Roman" w:cs="Arial"/>
                <w:b/>
                <w:bCs/>
                <w:color w:val="000000"/>
                <w:sz w:val="18"/>
                <w:szCs w:val="18"/>
                <w:lang w:eastAsia="zh-CN"/>
              </w:rPr>
            </w:pPr>
            <w:r w:rsidRPr="00F830E6">
              <w:rPr>
                <w:rFonts w:eastAsia="Times New Roman" w:cs="Arial"/>
                <w:b/>
                <w:bCs/>
                <w:color w:val="000000"/>
                <w:sz w:val="18"/>
                <w:szCs w:val="18"/>
                <w:lang w:eastAsia="zh-CN"/>
              </w:rPr>
              <w:t>Total</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63886980" w14:textId="77777777" w:rsidR="003B7C93" w:rsidRPr="00F830E6" w:rsidRDefault="003B7C93"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92,030</w:t>
            </w:r>
          </w:p>
        </w:tc>
        <w:tc>
          <w:tcPr>
            <w:tcW w:w="0" w:type="auto"/>
            <w:tcBorders>
              <w:top w:val="single" w:sz="4" w:space="0" w:color="auto"/>
              <w:left w:val="nil"/>
              <w:bottom w:val="single" w:sz="4" w:space="0" w:color="auto"/>
              <w:right w:val="nil"/>
            </w:tcBorders>
            <w:shd w:val="clear" w:color="000000" w:fill="D3C5D7"/>
            <w:noWrap/>
            <w:vAlign w:val="center"/>
            <w:hideMark/>
          </w:tcPr>
          <w:p w14:paraId="03443CEE" w14:textId="77777777" w:rsidR="003B7C93" w:rsidRPr="00F830E6" w:rsidRDefault="003B7C93"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173,927</w:t>
            </w:r>
          </w:p>
        </w:tc>
        <w:tc>
          <w:tcPr>
            <w:tcW w:w="0" w:type="auto"/>
            <w:tcBorders>
              <w:top w:val="single" w:sz="4" w:space="0" w:color="auto"/>
              <w:left w:val="nil"/>
              <w:bottom w:val="single" w:sz="4" w:space="0" w:color="auto"/>
              <w:right w:val="nil"/>
            </w:tcBorders>
            <w:shd w:val="clear" w:color="000000" w:fill="D3C5D7"/>
            <w:noWrap/>
            <w:vAlign w:val="center"/>
            <w:hideMark/>
          </w:tcPr>
          <w:p w14:paraId="6BE21960" w14:textId="77777777" w:rsidR="003B7C93" w:rsidRPr="00F830E6" w:rsidRDefault="003B7C93"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284,854</w:t>
            </w:r>
          </w:p>
        </w:tc>
        <w:tc>
          <w:tcPr>
            <w:tcW w:w="0" w:type="auto"/>
            <w:tcBorders>
              <w:top w:val="single" w:sz="4" w:space="0" w:color="auto"/>
              <w:left w:val="nil"/>
              <w:bottom w:val="single" w:sz="4" w:space="0" w:color="auto"/>
              <w:right w:val="nil"/>
            </w:tcBorders>
            <w:shd w:val="clear" w:color="000000" w:fill="D3C5D7"/>
            <w:noWrap/>
            <w:vAlign w:val="center"/>
            <w:hideMark/>
          </w:tcPr>
          <w:p w14:paraId="5BF46A71" w14:textId="77777777" w:rsidR="003B7C93" w:rsidRPr="00F830E6" w:rsidRDefault="003B7C93"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388,893</w:t>
            </w:r>
          </w:p>
        </w:tc>
        <w:tc>
          <w:tcPr>
            <w:tcW w:w="0" w:type="auto"/>
            <w:tcBorders>
              <w:top w:val="single" w:sz="4" w:space="0" w:color="auto"/>
              <w:left w:val="nil"/>
              <w:bottom w:val="single" w:sz="4" w:space="0" w:color="auto"/>
              <w:right w:val="nil"/>
            </w:tcBorders>
            <w:shd w:val="clear" w:color="000000" w:fill="D3C5D7"/>
            <w:noWrap/>
            <w:vAlign w:val="center"/>
            <w:hideMark/>
          </w:tcPr>
          <w:p w14:paraId="4AA4577A" w14:textId="77777777" w:rsidR="003B7C93" w:rsidRPr="00F830E6" w:rsidRDefault="003B7C93"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467,224</w:t>
            </w:r>
          </w:p>
        </w:tc>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1DBCC8C7" w14:textId="77777777" w:rsidR="003B7C93" w:rsidRPr="00F830E6" w:rsidRDefault="003B7C93"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82,003</w:t>
            </w:r>
          </w:p>
        </w:tc>
        <w:tc>
          <w:tcPr>
            <w:tcW w:w="0" w:type="auto"/>
            <w:tcBorders>
              <w:top w:val="single" w:sz="4" w:space="0" w:color="auto"/>
              <w:left w:val="dotted" w:sz="4" w:space="0" w:color="auto"/>
              <w:bottom w:val="single" w:sz="4" w:space="0" w:color="auto"/>
            </w:tcBorders>
            <w:shd w:val="clear" w:color="000000" w:fill="D3C5D7"/>
            <w:noWrap/>
            <w:vAlign w:val="center"/>
            <w:hideMark/>
          </w:tcPr>
          <w:p w14:paraId="6E6F2B85" w14:textId="77777777" w:rsidR="003B7C93" w:rsidRPr="00F830E6" w:rsidRDefault="003B7C93" w:rsidP="00F830E6">
            <w:pPr>
              <w:spacing w:after="0" w:line="240" w:lineRule="auto"/>
              <w:jc w:val="right"/>
              <w:rPr>
                <w:rFonts w:eastAsia="Times New Roman" w:cs="Arial"/>
                <w:b/>
                <w:bCs/>
                <w:color w:val="000000"/>
                <w:sz w:val="18"/>
                <w:szCs w:val="18"/>
                <w:lang w:eastAsia="zh-CN"/>
              </w:rPr>
            </w:pPr>
            <w:r w:rsidRPr="00F830E6">
              <w:rPr>
                <w:rFonts w:eastAsia="Times New Roman" w:cs="Arial"/>
                <w:b/>
                <w:bCs/>
                <w:color w:val="000000"/>
                <w:sz w:val="18"/>
                <w:szCs w:val="18"/>
                <w:lang w:eastAsia="zh-CN"/>
              </w:rPr>
              <w:t>1,488,931</w:t>
            </w:r>
          </w:p>
        </w:tc>
      </w:tr>
    </w:tbl>
    <w:p w14:paraId="32A484D5" w14:textId="77777777" w:rsidR="003B7C93" w:rsidRDefault="003B7C93" w:rsidP="003B7C93">
      <w:pPr>
        <w:pStyle w:val="Tables"/>
      </w:pPr>
    </w:p>
    <w:tbl>
      <w:tblPr>
        <w:tblW w:w="0" w:type="auto"/>
        <w:tblLook w:val="04A0" w:firstRow="1" w:lastRow="0" w:firstColumn="1" w:lastColumn="0" w:noHBand="0" w:noVBand="1"/>
      </w:tblPr>
      <w:tblGrid>
        <w:gridCol w:w="867"/>
        <w:gridCol w:w="1167"/>
        <w:gridCol w:w="1167"/>
        <w:gridCol w:w="1167"/>
        <w:gridCol w:w="1167"/>
        <w:gridCol w:w="1167"/>
        <w:gridCol w:w="1157"/>
        <w:gridCol w:w="927"/>
      </w:tblGrid>
      <w:tr w:rsidR="003B7C93" w:rsidRPr="002F7422" w14:paraId="64D02943" w14:textId="77777777" w:rsidTr="00925D5C">
        <w:trPr>
          <w:trHeight w:val="397"/>
        </w:trPr>
        <w:tc>
          <w:tcPr>
            <w:tcW w:w="0" w:type="auto"/>
            <w:vMerge w:val="restart"/>
            <w:tcBorders>
              <w:top w:val="nil"/>
              <w:left w:val="nil"/>
              <w:bottom w:val="nil"/>
              <w:right w:val="nil"/>
            </w:tcBorders>
            <w:shd w:val="clear" w:color="000000" w:fill="6B2976"/>
            <w:noWrap/>
            <w:vAlign w:val="center"/>
            <w:hideMark/>
          </w:tcPr>
          <w:p w14:paraId="6C88A25D" w14:textId="77777777" w:rsidR="003B7C93" w:rsidRPr="00F830E6" w:rsidRDefault="003B7C93" w:rsidP="00925D5C">
            <w:pPr>
              <w:spacing w:after="0" w:line="240" w:lineRule="auto"/>
              <w:rPr>
                <w:rFonts w:eastAsia="Times New Roman" w:cs="Arial"/>
                <w:b/>
                <w:bCs/>
                <w:color w:val="FFFFFF"/>
                <w:sz w:val="18"/>
                <w:szCs w:val="18"/>
                <w:lang w:eastAsia="zh-CN"/>
              </w:rPr>
            </w:pPr>
            <w:r w:rsidRPr="00F830E6">
              <w:rPr>
                <w:rFonts w:eastAsia="Times New Roman" w:cs="Arial"/>
                <w:b/>
                <w:bCs/>
                <w:color w:val="FFFFFF"/>
                <w:sz w:val="18"/>
                <w:szCs w:val="18"/>
                <w:lang w:eastAsia="zh-CN"/>
              </w:rPr>
              <w:t>Gender</w:t>
            </w:r>
          </w:p>
        </w:tc>
        <w:tc>
          <w:tcPr>
            <w:tcW w:w="0" w:type="auto"/>
            <w:gridSpan w:val="7"/>
            <w:tcBorders>
              <w:top w:val="nil"/>
              <w:left w:val="nil"/>
              <w:bottom w:val="single" w:sz="4" w:space="0" w:color="FFFFFF"/>
              <w:right w:val="nil"/>
            </w:tcBorders>
            <w:shd w:val="clear" w:color="000000" w:fill="6B2976"/>
            <w:vAlign w:val="center"/>
            <w:hideMark/>
          </w:tcPr>
          <w:p w14:paraId="50C9B276" w14:textId="77777777" w:rsidR="003B7C93" w:rsidRPr="00F830E6" w:rsidRDefault="003B7C93" w:rsidP="008116E1">
            <w:pPr>
              <w:spacing w:after="0" w:line="240" w:lineRule="auto"/>
              <w:jc w:val="center"/>
              <w:rPr>
                <w:rFonts w:eastAsia="Times New Roman" w:cs="Arial"/>
                <w:b/>
                <w:bCs/>
                <w:color w:val="FFFFFF"/>
                <w:sz w:val="18"/>
                <w:szCs w:val="18"/>
                <w:lang w:eastAsia="zh-CN"/>
              </w:rPr>
            </w:pPr>
            <w:r w:rsidRPr="00F830E6">
              <w:rPr>
                <w:rFonts w:eastAsia="Times New Roman" w:cs="Arial"/>
                <w:b/>
                <w:bCs/>
                <w:color w:val="FFFFFF"/>
                <w:sz w:val="18"/>
                <w:szCs w:val="18"/>
                <w:lang w:eastAsia="zh-CN"/>
              </w:rPr>
              <w:t>Actual % Exposure</w:t>
            </w:r>
          </w:p>
        </w:tc>
      </w:tr>
      <w:tr w:rsidR="003B7C93" w:rsidRPr="002F7422" w14:paraId="623AEB27" w14:textId="77777777" w:rsidTr="00925D5C">
        <w:trPr>
          <w:trHeight w:val="397"/>
        </w:trPr>
        <w:tc>
          <w:tcPr>
            <w:tcW w:w="0" w:type="auto"/>
            <w:vMerge/>
            <w:tcBorders>
              <w:top w:val="nil"/>
              <w:left w:val="nil"/>
              <w:right w:val="nil"/>
            </w:tcBorders>
            <w:vAlign w:val="center"/>
            <w:hideMark/>
          </w:tcPr>
          <w:p w14:paraId="20CBEBB9" w14:textId="77777777" w:rsidR="003B7C93" w:rsidRPr="00F830E6" w:rsidRDefault="003B7C93" w:rsidP="00925D5C">
            <w:pPr>
              <w:spacing w:after="0" w:line="240" w:lineRule="auto"/>
              <w:rPr>
                <w:rFonts w:eastAsia="Times New Roman" w:cs="Arial"/>
                <w:b/>
                <w:bCs/>
                <w:color w:val="FFFFFF"/>
                <w:sz w:val="18"/>
                <w:szCs w:val="18"/>
                <w:lang w:eastAsia="zh-CN"/>
              </w:rPr>
            </w:pPr>
          </w:p>
        </w:tc>
        <w:tc>
          <w:tcPr>
            <w:tcW w:w="0" w:type="auto"/>
            <w:tcBorders>
              <w:top w:val="nil"/>
              <w:left w:val="nil"/>
              <w:bottom w:val="nil"/>
              <w:right w:val="nil"/>
            </w:tcBorders>
            <w:shd w:val="clear" w:color="000000" w:fill="6B2976"/>
            <w:vAlign w:val="center"/>
            <w:hideMark/>
          </w:tcPr>
          <w:p w14:paraId="4A1EDFC3" w14:textId="77777777" w:rsidR="003B7C93" w:rsidRPr="00F830E6" w:rsidRDefault="003B7C93" w:rsidP="00925D5C">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17</w:t>
            </w:r>
          </w:p>
        </w:tc>
        <w:tc>
          <w:tcPr>
            <w:tcW w:w="0" w:type="auto"/>
            <w:tcBorders>
              <w:top w:val="nil"/>
              <w:left w:val="nil"/>
              <w:bottom w:val="nil"/>
              <w:right w:val="nil"/>
            </w:tcBorders>
            <w:shd w:val="clear" w:color="000000" w:fill="6B2976"/>
            <w:vAlign w:val="center"/>
            <w:hideMark/>
          </w:tcPr>
          <w:p w14:paraId="1D7B2797" w14:textId="77777777" w:rsidR="003B7C93" w:rsidRPr="00F830E6" w:rsidRDefault="003B7C93" w:rsidP="00925D5C">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18</w:t>
            </w:r>
          </w:p>
        </w:tc>
        <w:tc>
          <w:tcPr>
            <w:tcW w:w="0" w:type="auto"/>
            <w:tcBorders>
              <w:top w:val="nil"/>
              <w:left w:val="nil"/>
              <w:bottom w:val="nil"/>
              <w:right w:val="nil"/>
            </w:tcBorders>
            <w:shd w:val="clear" w:color="000000" w:fill="6B2976"/>
            <w:vAlign w:val="center"/>
            <w:hideMark/>
          </w:tcPr>
          <w:p w14:paraId="18AA86FA" w14:textId="77777777" w:rsidR="003B7C93" w:rsidRPr="00F830E6" w:rsidRDefault="003B7C93" w:rsidP="00925D5C">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19</w:t>
            </w:r>
          </w:p>
        </w:tc>
        <w:tc>
          <w:tcPr>
            <w:tcW w:w="0" w:type="auto"/>
            <w:tcBorders>
              <w:top w:val="nil"/>
              <w:left w:val="nil"/>
              <w:bottom w:val="nil"/>
              <w:right w:val="nil"/>
            </w:tcBorders>
            <w:shd w:val="clear" w:color="000000" w:fill="6B2976"/>
            <w:vAlign w:val="center"/>
            <w:hideMark/>
          </w:tcPr>
          <w:p w14:paraId="6108E45C" w14:textId="77777777" w:rsidR="003B7C93" w:rsidRPr="00F830E6" w:rsidRDefault="003B7C93" w:rsidP="00925D5C">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20</w:t>
            </w:r>
          </w:p>
        </w:tc>
        <w:tc>
          <w:tcPr>
            <w:tcW w:w="0" w:type="auto"/>
            <w:tcBorders>
              <w:top w:val="nil"/>
              <w:left w:val="nil"/>
              <w:bottom w:val="nil"/>
              <w:right w:val="nil"/>
            </w:tcBorders>
            <w:shd w:val="clear" w:color="000000" w:fill="6B2976"/>
            <w:vAlign w:val="center"/>
            <w:hideMark/>
          </w:tcPr>
          <w:p w14:paraId="2D2D7876" w14:textId="77777777" w:rsidR="003B7C93" w:rsidRPr="00F830E6" w:rsidRDefault="003B7C93" w:rsidP="00925D5C">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Jan-Dec 21</w:t>
            </w:r>
          </w:p>
        </w:tc>
        <w:tc>
          <w:tcPr>
            <w:tcW w:w="0" w:type="auto"/>
            <w:tcBorders>
              <w:top w:val="nil"/>
              <w:left w:val="nil"/>
              <w:right w:val="nil"/>
            </w:tcBorders>
            <w:shd w:val="clear" w:color="000000" w:fill="6B2976"/>
            <w:vAlign w:val="center"/>
            <w:hideMark/>
          </w:tcPr>
          <w:p w14:paraId="447314F1" w14:textId="77777777" w:rsidR="003B7C93" w:rsidRPr="00F830E6" w:rsidRDefault="003B7C93" w:rsidP="00925D5C">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Jan-Feb 22</w:t>
            </w:r>
          </w:p>
        </w:tc>
        <w:tc>
          <w:tcPr>
            <w:tcW w:w="0" w:type="auto"/>
            <w:tcBorders>
              <w:top w:val="nil"/>
              <w:left w:val="nil"/>
              <w:bottom w:val="nil"/>
              <w:right w:val="nil"/>
            </w:tcBorders>
            <w:shd w:val="clear" w:color="000000" w:fill="6B2976"/>
            <w:vAlign w:val="center"/>
            <w:hideMark/>
          </w:tcPr>
          <w:p w14:paraId="0DF745BC" w14:textId="77777777" w:rsidR="003B7C93" w:rsidRPr="00F830E6" w:rsidRDefault="003B7C93" w:rsidP="00925D5C">
            <w:pPr>
              <w:spacing w:after="0" w:line="240" w:lineRule="auto"/>
              <w:jc w:val="right"/>
              <w:rPr>
                <w:rFonts w:eastAsia="Times New Roman" w:cs="Arial"/>
                <w:b/>
                <w:bCs/>
                <w:color w:val="FFFFFF"/>
                <w:sz w:val="18"/>
                <w:szCs w:val="18"/>
                <w:lang w:eastAsia="zh-CN"/>
              </w:rPr>
            </w:pPr>
            <w:r w:rsidRPr="00F830E6">
              <w:rPr>
                <w:rFonts w:eastAsia="Times New Roman" w:cs="Arial"/>
                <w:b/>
                <w:bCs/>
                <w:color w:val="FFFFFF"/>
                <w:sz w:val="18"/>
                <w:szCs w:val="18"/>
                <w:lang w:eastAsia="zh-CN"/>
              </w:rPr>
              <w:t>Overall</w:t>
            </w:r>
          </w:p>
        </w:tc>
      </w:tr>
      <w:tr w:rsidR="003B7C93" w:rsidRPr="002F7422" w14:paraId="257B6D93"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095C174E" w14:textId="77777777" w:rsidR="003B7C93" w:rsidRPr="00F830E6" w:rsidRDefault="003B7C93" w:rsidP="00925D5C">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Female </w:t>
            </w:r>
          </w:p>
        </w:tc>
        <w:tc>
          <w:tcPr>
            <w:tcW w:w="0" w:type="auto"/>
            <w:tcBorders>
              <w:top w:val="nil"/>
              <w:left w:val="dotted" w:sz="4" w:space="0" w:color="auto"/>
              <w:bottom w:val="nil"/>
              <w:right w:val="nil"/>
            </w:tcBorders>
            <w:shd w:val="clear" w:color="auto" w:fill="auto"/>
            <w:noWrap/>
            <w:vAlign w:val="center"/>
            <w:hideMark/>
          </w:tcPr>
          <w:p w14:paraId="2CF6C089" w14:textId="77777777" w:rsidR="003B7C93" w:rsidRPr="00F830E6" w:rsidRDefault="003B7C93" w:rsidP="00925D5C">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36.48%</w:t>
            </w:r>
          </w:p>
        </w:tc>
        <w:tc>
          <w:tcPr>
            <w:tcW w:w="0" w:type="auto"/>
            <w:tcBorders>
              <w:top w:val="nil"/>
              <w:left w:val="nil"/>
              <w:bottom w:val="nil"/>
              <w:right w:val="nil"/>
            </w:tcBorders>
            <w:shd w:val="clear" w:color="auto" w:fill="auto"/>
            <w:noWrap/>
            <w:vAlign w:val="center"/>
            <w:hideMark/>
          </w:tcPr>
          <w:p w14:paraId="11452043" w14:textId="77777777" w:rsidR="003B7C93" w:rsidRPr="00F830E6" w:rsidRDefault="003B7C93" w:rsidP="00925D5C">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36.81%</w:t>
            </w:r>
          </w:p>
        </w:tc>
        <w:tc>
          <w:tcPr>
            <w:tcW w:w="0" w:type="auto"/>
            <w:tcBorders>
              <w:top w:val="nil"/>
              <w:left w:val="nil"/>
              <w:bottom w:val="nil"/>
              <w:right w:val="nil"/>
            </w:tcBorders>
            <w:shd w:val="clear" w:color="auto" w:fill="auto"/>
            <w:noWrap/>
            <w:vAlign w:val="center"/>
            <w:hideMark/>
          </w:tcPr>
          <w:p w14:paraId="23F371AC" w14:textId="77777777" w:rsidR="003B7C93" w:rsidRPr="00F830E6" w:rsidRDefault="003B7C93" w:rsidP="00925D5C">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37.08%</w:t>
            </w:r>
          </w:p>
        </w:tc>
        <w:tc>
          <w:tcPr>
            <w:tcW w:w="0" w:type="auto"/>
            <w:tcBorders>
              <w:top w:val="nil"/>
              <w:left w:val="nil"/>
              <w:bottom w:val="nil"/>
              <w:right w:val="nil"/>
            </w:tcBorders>
            <w:shd w:val="clear" w:color="auto" w:fill="auto"/>
            <w:noWrap/>
            <w:vAlign w:val="center"/>
            <w:hideMark/>
          </w:tcPr>
          <w:p w14:paraId="4D5CAA53" w14:textId="77777777" w:rsidR="003B7C93" w:rsidRPr="00F830E6" w:rsidRDefault="003B7C93" w:rsidP="00925D5C">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37.04%</w:t>
            </w:r>
          </w:p>
        </w:tc>
        <w:tc>
          <w:tcPr>
            <w:tcW w:w="0" w:type="auto"/>
            <w:tcBorders>
              <w:top w:val="nil"/>
              <w:left w:val="nil"/>
              <w:bottom w:val="nil"/>
              <w:right w:val="nil"/>
            </w:tcBorders>
            <w:shd w:val="clear" w:color="auto" w:fill="auto"/>
            <w:noWrap/>
            <w:vAlign w:val="center"/>
            <w:hideMark/>
          </w:tcPr>
          <w:p w14:paraId="76FF1FFF" w14:textId="77777777" w:rsidR="003B7C93" w:rsidRPr="00F830E6" w:rsidRDefault="003B7C93" w:rsidP="00925D5C">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37.22%</w:t>
            </w:r>
          </w:p>
        </w:tc>
        <w:tc>
          <w:tcPr>
            <w:tcW w:w="0" w:type="auto"/>
            <w:tcBorders>
              <w:top w:val="nil"/>
              <w:left w:val="nil"/>
              <w:bottom w:val="nil"/>
              <w:right w:val="dotted" w:sz="4" w:space="0" w:color="auto"/>
            </w:tcBorders>
            <w:shd w:val="clear" w:color="auto" w:fill="auto"/>
            <w:noWrap/>
            <w:vAlign w:val="center"/>
            <w:hideMark/>
          </w:tcPr>
          <w:p w14:paraId="347B5E6B" w14:textId="77777777" w:rsidR="003B7C93" w:rsidRPr="00F830E6" w:rsidRDefault="003B7C93" w:rsidP="00925D5C">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37.30%</w:t>
            </w:r>
          </w:p>
        </w:tc>
        <w:tc>
          <w:tcPr>
            <w:tcW w:w="0" w:type="auto"/>
            <w:tcBorders>
              <w:top w:val="nil"/>
              <w:left w:val="dotted" w:sz="4" w:space="0" w:color="auto"/>
              <w:bottom w:val="nil"/>
              <w:right w:val="nil"/>
            </w:tcBorders>
            <w:shd w:val="clear" w:color="auto" w:fill="auto"/>
            <w:noWrap/>
            <w:vAlign w:val="center"/>
            <w:hideMark/>
          </w:tcPr>
          <w:p w14:paraId="7BE1EE2F" w14:textId="77777777" w:rsidR="003B7C93" w:rsidRPr="00F830E6" w:rsidRDefault="003B7C93" w:rsidP="00925D5C">
            <w:pPr>
              <w:spacing w:after="0" w:line="240" w:lineRule="auto"/>
              <w:jc w:val="right"/>
              <w:rPr>
                <w:rFonts w:eastAsia="Times New Roman" w:cs="Arial"/>
                <w:sz w:val="18"/>
                <w:szCs w:val="18"/>
                <w:lang w:eastAsia="zh-CN"/>
              </w:rPr>
            </w:pPr>
            <w:r w:rsidRPr="00F830E6">
              <w:rPr>
                <w:rFonts w:eastAsia="Times New Roman" w:cs="Arial"/>
                <w:sz w:val="18"/>
                <w:szCs w:val="18"/>
                <w:lang w:eastAsia="zh-CN"/>
              </w:rPr>
              <w:t>37.06%</w:t>
            </w:r>
          </w:p>
        </w:tc>
      </w:tr>
      <w:tr w:rsidR="003B7C93" w:rsidRPr="002F7422" w14:paraId="1412CE4C" w14:textId="77777777" w:rsidTr="00925D5C">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0B27547B" w14:textId="77777777" w:rsidR="003B7C93" w:rsidRPr="00F830E6" w:rsidRDefault="003B7C93" w:rsidP="00925D5C">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Male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7EE0AF5F" w14:textId="77777777" w:rsidR="003B7C93" w:rsidRPr="00F830E6" w:rsidRDefault="003B7C93" w:rsidP="00925D5C">
            <w:pPr>
              <w:spacing w:after="0" w:line="240" w:lineRule="auto"/>
              <w:jc w:val="right"/>
              <w:rPr>
                <w:rFonts w:eastAsia="Times New Roman" w:cs="Arial"/>
                <w:sz w:val="18"/>
                <w:szCs w:val="18"/>
                <w:lang w:eastAsia="zh-CN"/>
              </w:rPr>
            </w:pPr>
            <w:r w:rsidRPr="00F830E6">
              <w:rPr>
                <w:rFonts w:eastAsia="Times New Roman" w:cs="Arial"/>
                <w:sz w:val="18"/>
                <w:szCs w:val="18"/>
                <w:lang w:eastAsia="zh-CN"/>
              </w:rPr>
              <w:t>63.13%</w:t>
            </w:r>
          </w:p>
        </w:tc>
        <w:tc>
          <w:tcPr>
            <w:tcW w:w="0" w:type="auto"/>
            <w:tcBorders>
              <w:top w:val="nil"/>
              <w:left w:val="nil"/>
              <w:bottom w:val="nil"/>
              <w:right w:val="nil"/>
            </w:tcBorders>
            <w:shd w:val="clear" w:color="auto" w:fill="BFBFBF" w:themeFill="background1" w:themeFillShade="BF"/>
            <w:noWrap/>
            <w:vAlign w:val="center"/>
            <w:hideMark/>
          </w:tcPr>
          <w:p w14:paraId="0CB4D4AA" w14:textId="77777777" w:rsidR="003B7C93" w:rsidRPr="00F830E6" w:rsidRDefault="003B7C93" w:rsidP="00925D5C">
            <w:pPr>
              <w:spacing w:after="0" w:line="240" w:lineRule="auto"/>
              <w:jc w:val="right"/>
              <w:rPr>
                <w:rFonts w:eastAsia="Times New Roman" w:cs="Arial"/>
                <w:sz w:val="18"/>
                <w:szCs w:val="18"/>
                <w:lang w:eastAsia="zh-CN"/>
              </w:rPr>
            </w:pPr>
            <w:r w:rsidRPr="00F830E6">
              <w:rPr>
                <w:rFonts w:eastAsia="Times New Roman" w:cs="Arial"/>
                <w:sz w:val="18"/>
                <w:szCs w:val="18"/>
                <w:lang w:eastAsia="zh-CN"/>
              </w:rPr>
              <w:t>62.29%</w:t>
            </w:r>
          </w:p>
        </w:tc>
        <w:tc>
          <w:tcPr>
            <w:tcW w:w="0" w:type="auto"/>
            <w:tcBorders>
              <w:top w:val="nil"/>
              <w:left w:val="nil"/>
              <w:bottom w:val="nil"/>
              <w:right w:val="nil"/>
            </w:tcBorders>
            <w:shd w:val="clear" w:color="auto" w:fill="BFBFBF" w:themeFill="background1" w:themeFillShade="BF"/>
            <w:noWrap/>
            <w:vAlign w:val="center"/>
            <w:hideMark/>
          </w:tcPr>
          <w:p w14:paraId="104F28B2" w14:textId="77777777" w:rsidR="003B7C93" w:rsidRPr="00F830E6" w:rsidRDefault="003B7C93" w:rsidP="00925D5C">
            <w:pPr>
              <w:spacing w:after="0" w:line="240" w:lineRule="auto"/>
              <w:jc w:val="right"/>
              <w:rPr>
                <w:rFonts w:eastAsia="Times New Roman" w:cs="Arial"/>
                <w:sz w:val="18"/>
                <w:szCs w:val="18"/>
                <w:lang w:eastAsia="zh-CN"/>
              </w:rPr>
            </w:pPr>
            <w:r w:rsidRPr="00F830E6">
              <w:rPr>
                <w:rFonts w:eastAsia="Times New Roman" w:cs="Arial"/>
                <w:sz w:val="18"/>
                <w:szCs w:val="18"/>
                <w:lang w:eastAsia="zh-CN"/>
              </w:rPr>
              <w:t>61.93%</w:t>
            </w:r>
          </w:p>
        </w:tc>
        <w:tc>
          <w:tcPr>
            <w:tcW w:w="0" w:type="auto"/>
            <w:tcBorders>
              <w:top w:val="nil"/>
              <w:left w:val="nil"/>
              <w:bottom w:val="nil"/>
              <w:right w:val="nil"/>
            </w:tcBorders>
            <w:shd w:val="clear" w:color="auto" w:fill="BFBFBF" w:themeFill="background1" w:themeFillShade="BF"/>
            <w:noWrap/>
            <w:vAlign w:val="center"/>
            <w:hideMark/>
          </w:tcPr>
          <w:p w14:paraId="47D8EB36" w14:textId="77777777" w:rsidR="003B7C93" w:rsidRPr="00F830E6" w:rsidRDefault="003B7C93" w:rsidP="00925D5C">
            <w:pPr>
              <w:spacing w:after="0" w:line="240" w:lineRule="auto"/>
              <w:jc w:val="right"/>
              <w:rPr>
                <w:rFonts w:eastAsia="Times New Roman" w:cs="Arial"/>
                <w:sz w:val="18"/>
                <w:szCs w:val="18"/>
                <w:lang w:eastAsia="zh-CN"/>
              </w:rPr>
            </w:pPr>
            <w:r w:rsidRPr="00F830E6">
              <w:rPr>
                <w:rFonts w:eastAsia="Times New Roman" w:cs="Arial"/>
                <w:sz w:val="18"/>
                <w:szCs w:val="18"/>
                <w:lang w:eastAsia="zh-CN"/>
              </w:rPr>
              <w:t>61.93%</w:t>
            </w:r>
          </w:p>
        </w:tc>
        <w:tc>
          <w:tcPr>
            <w:tcW w:w="0" w:type="auto"/>
            <w:tcBorders>
              <w:top w:val="nil"/>
              <w:left w:val="nil"/>
              <w:bottom w:val="nil"/>
              <w:right w:val="nil"/>
            </w:tcBorders>
            <w:shd w:val="clear" w:color="auto" w:fill="BFBFBF" w:themeFill="background1" w:themeFillShade="BF"/>
            <w:noWrap/>
            <w:vAlign w:val="center"/>
            <w:hideMark/>
          </w:tcPr>
          <w:p w14:paraId="67C45972" w14:textId="77777777" w:rsidR="003B7C93" w:rsidRPr="00F830E6" w:rsidRDefault="003B7C93" w:rsidP="00925D5C">
            <w:pPr>
              <w:spacing w:after="0" w:line="240" w:lineRule="auto"/>
              <w:jc w:val="right"/>
              <w:rPr>
                <w:rFonts w:eastAsia="Times New Roman" w:cs="Arial"/>
                <w:sz w:val="18"/>
                <w:szCs w:val="18"/>
                <w:lang w:eastAsia="zh-CN"/>
              </w:rPr>
            </w:pPr>
            <w:r w:rsidRPr="00F830E6">
              <w:rPr>
                <w:rFonts w:eastAsia="Times New Roman" w:cs="Arial"/>
                <w:sz w:val="18"/>
                <w:szCs w:val="18"/>
                <w:lang w:eastAsia="zh-CN"/>
              </w:rPr>
              <w:t>61.70%</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72A85AA7" w14:textId="77777777" w:rsidR="003B7C93" w:rsidRPr="00F830E6" w:rsidRDefault="003B7C93" w:rsidP="00925D5C">
            <w:pPr>
              <w:spacing w:after="0" w:line="240" w:lineRule="auto"/>
              <w:jc w:val="right"/>
              <w:rPr>
                <w:rFonts w:eastAsia="Times New Roman" w:cs="Arial"/>
                <w:sz w:val="18"/>
                <w:szCs w:val="18"/>
                <w:lang w:eastAsia="zh-CN"/>
              </w:rPr>
            </w:pPr>
            <w:r w:rsidRPr="00F830E6">
              <w:rPr>
                <w:rFonts w:eastAsia="Times New Roman" w:cs="Arial"/>
                <w:sz w:val="18"/>
                <w:szCs w:val="18"/>
                <w:lang w:eastAsia="zh-CN"/>
              </w:rPr>
              <w:t>61.57%</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3FAABC9E" w14:textId="77777777" w:rsidR="003B7C93" w:rsidRPr="00F830E6" w:rsidRDefault="003B7C93" w:rsidP="00925D5C">
            <w:pPr>
              <w:spacing w:after="0" w:line="240" w:lineRule="auto"/>
              <w:jc w:val="right"/>
              <w:rPr>
                <w:rFonts w:eastAsia="Times New Roman" w:cs="Arial"/>
                <w:sz w:val="18"/>
                <w:szCs w:val="18"/>
                <w:lang w:eastAsia="zh-CN"/>
              </w:rPr>
            </w:pPr>
            <w:r w:rsidRPr="00F830E6">
              <w:rPr>
                <w:rFonts w:eastAsia="Times New Roman" w:cs="Arial"/>
                <w:sz w:val="18"/>
                <w:szCs w:val="18"/>
                <w:lang w:eastAsia="zh-CN"/>
              </w:rPr>
              <w:t>61.96%</w:t>
            </w:r>
          </w:p>
        </w:tc>
      </w:tr>
      <w:tr w:rsidR="003B7C93" w:rsidRPr="002F7422" w14:paraId="006FFA17" w14:textId="77777777" w:rsidTr="00925D5C">
        <w:trPr>
          <w:trHeight w:val="285"/>
        </w:trPr>
        <w:tc>
          <w:tcPr>
            <w:tcW w:w="0" w:type="auto"/>
            <w:tcBorders>
              <w:top w:val="nil"/>
              <w:left w:val="nil"/>
              <w:bottom w:val="single" w:sz="4" w:space="0" w:color="auto"/>
              <w:right w:val="dotted" w:sz="4" w:space="0" w:color="auto"/>
            </w:tcBorders>
            <w:shd w:val="clear" w:color="auto" w:fill="auto"/>
            <w:noWrap/>
            <w:vAlign w:val="center"/>
            <w:hideMark/>
          </w:tcPr>
          <w:p w14:paraId="3080E55E" w14:textId="77777777" w:rsidR="003B7C93" w:rsidRPr="00F830E6" w:rsidRDefault="003B7C93" w:rsidP="00925D5C">
            <w:pPr>
              <w:spacing w:after="0" w:line="240" w:lineRule="auto"/>
              <w:rPr>
                <w:rFonts w:eastAsia="Times New Roman" w:cs="Arial"/>
                <w:color w:val="000000"/>
                <w:sz w:val="18"/>
                <w:szCs w:val="18"/>
                <w:lang w:eastAsia="zh-CN"/>
              </w:rPr>
            </w:pPr>
            <w:r w:rsidRPr="00F830E6">
              <w:rPr>
                <w:rFonts w:eastAsia="Times New Roman" w:cs="Arial"/>
                <w:color w:val="000000"/>
                <w:sz w:val="18"/>
                <w:szCs w:val="18"/>
                <w:lang w:eastAsia="zh-CN"/>
              </w:rPr>
              <w:t xml:space="preserve"> Other </w:t>
            </w:r>
          </w:p>
        </w:tc>
        <w:tc>
          <w:tcPr>
            <w:tcW w:w="0" w:type="auto"/>
            <w:tcBorders>
              <w:top w:val="nil"/>
              <w:left w:val="dotted" w:sz="4" w:space="0" w:color="auto"/>
              <w:bottom w:val="single" w:sz="4" w:space="0" w:color="auto"/>
              <w:right w:val="nil"/>
            </w:tcBorders>
            <w:shd w:val="clear" w:color="auto" w:fill="auto"/>
            <w:noWrap/>
            <w:vAlign w:val="center"/>
            <w:hideMark/>
          </w:tcPr>
          <w:p w14:paraId="5BEC23FC" w14:textId="77777777" w:rsidR="003B7C93" w:rsidRPr="00F830E6" w:rsidRDefault="003B7C93" w:rsidP="00925D5C">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0.39%</w:t>
            </w:r>
          </w:p>
        </w:tc>
        <w:tc>
          <w:tcPr>
            <w:tcW w:w="0" w:type="auto"/>
            <w:tcBorders>
              <w:top w:val="nil"/>
              <w:left w:val="nil"/>
              <w:bottom w:val="single" w:sz="4" w:space="0" w:color="auto"/>
              <w:right w:val="nil"/>
            </w:tcBorders>
            <w:shd w:val="clear" w:color="auto" w:fill="auto"/>
            <w:noWrap/>
            <w:vAlign w:val="center"/>
            <w:hideMark/>
          </w:tcPr>
          <w:p w14:paraId="0D2D566A" w14:textId="77777777" w:rsidR="003B7C93" w:rsidRPr="00F830E6" w:rsidRDefault="003B7C93" w:rsidP="00925D5C">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0.90%</w:t>
            </w:r>
          </w:p>
        </w:tc>
        <w:tc>
          <w:tcPr>
            <w:tcW w:w="0" w:type="auto"/>
            <w:tcBorders>
              <w:top w:val="nil"/>
              <w:left w:val="nil"/>
              <w:bottom w:val="single" w:sz="4" w:space="0" w:color="auto"/>
              <w:right w:val="nil"/>
            </w:tcBorders>
            <w:shd w:val="clear" w:color="auto" w:fill="auto"/>
            <w:noWrap/>
            <w:vAlign w:val="center"/>
            <w:hideMark/>
          </w:tcPr>
          <w:p w14:paraId="1F58C826" w14:textId="77777777" w:rsidR="003B7C93" w:rsidRPr="00F830E6" w:rsidRDefault="003B7C93" w:rsidP="00925D5C">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0.99%</w:t>
            </w:r>
          </w:p>
        </w:tc>
        <w:tc>
          <w:tcPr>
            <w:tcW w:w="0" w:type="auto"/>
            <w:tcBorders>
              <w:top w:val="nil"/>
              <w:left w:val="nil"/>
              <w:bottom w:val="single" w:sz="4" w:space="0" w:color="auto"/>
              <w:right w:val="nil"/>
            </w:tcBorders>
            <w:shd w:val="clear" w:color="auto" w:fill="auto"/>
            <w:noWrap/>
            <w:vAlign w:val="center"/>
            <w:hideMark/>
          </w:tcPr>
          <w:p w14:paraId="2C0310A7" w14:textId="77777777" w:rsidR="003B7C93" w:rsidRPr="00F830E6" w:rsidRDefault="003B7C93" w:rsidP="00925D5C">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1.03%</w:t>
            </w:r>
          </w:p>
        </w:tc>
        <w:tc>
          <w:tcPr>
            <w:tcW w:w="0" w:type="auto"/>
            <w:tcBorders>
              <w:top w:val="nil"/>
              <w:left w:val="nil"/>
              <w:bottom w:val="single" w:sz="4" w:space="0" w:color="auto"/>
              <w:right w:val="nil"/>
            </w:tcBorders>
            <w:shd w:val="clear" w:color="auto" w:fill="auto"/>
            <w:noWrap/>
            <w:vAlign w:val="center"/>
            <w:hideMark/>
          </w:tcPr>
          <w:p w14:paraId="0CA2AF03" w14:textId="77777777" w:rsidR="003B7C93" w:rsidRPr="00F830E6" w:rsidRDefault="003B7C93" w:rsidP="00925D5C">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1.08%</w:t>
            </w:r>
          </w:p>
        </w:tc>
        <w:tc>
          <w:tcPr>
            <w:tcW w:w="0" w:type="auto"/>
            <w:tcBorders>
              <w:top w:val="nil"/>
              <w:left w:val="nil"/>
              <w:bottom w:val="single" w:sz="4" w:space="0" w:color="auto"/>
              <w:right w:val="dotted" w:sz="4" w:space="0" w:color="auto"/>
            </w:tcBorders>
            <w:shd w:val="clear" w:color="auto" w:fill="auto"/>
            <w:noWrap/>
            <w:vAlign w:val="center"/>
            <w:hideMark/>
          </w:tcPr>
          <w:p w14:paraId="5820BF7C" w14:textId="77777777" w:rsidR="003B7C93" w:rsidRPr="00F830E6" w:rsidRDefault="003B7C93" w:rsidP="00925D5C">
            <w:pPr>
              <w:spacing w:after="0" w:line="240" w:lineRule="auto"/>
              <w:jc w:val="right"/>
              <w:rPr>
                <w:rFonts w:eastAsia="Times New Roman" w:cs="Arial"/>
                <w:sz w:val="18"/>
                <w:szCs w:val="18"/>
                <w:lang w:eastAsia="zh-CN"/>
              </w:rPr>
            </w:pPr>
            <w:r w:rsidRPr="00F830E6">
              <w:rPr>
                <w:rFonts w:eastAsia="Times New Roman" w:cs="Arial"/>
                <w:sz w:val="18"/>
                <w:szCs w:val="18"/>
                <w:lang w:eastAsia="zh-CN"/>
              </w:rPr>
              <w:t>1.13%</w:t>
            </w:r>
          </w:p>
        </w:tc>
        <w:tc>
          <w:tcPr>
            <w:tcW w:w="0" w:type="auto"/>
            <w:tcBorders>
              <w:top w:val="nil"/>
              <w:left w:val="dotted" w:sz="4" w:space="0" w:color="auto"/>
              <w:bottom w:val="single" w:sz="4" w:space="0" w:color="auto"/>
              <w:right w:val="nil"/>
            </w:tcBorders>
            <w:shd w:val="clear" w:color="auto" w:fill="auto"/>
            <w:noWrap/>
            <w:vAlign w:val="center"/>
            <w:hideMark/>
          </w:tcPr>
          <w:p w14:paraId="7B5ED721" w14:textId="77777777" w:rsidR="003B7C93" w:rsidRPr="00F830E6" w:rsidRDefault="003B7C93" w:rsidP="00925D5C">
            <w:pPr>
              <w:spacing w:after="0" w:line="240" w:lineRule="auto"/>
              <w:jc w:val="right"/>
              <w:rPr>
                <w:rFonts w:eastAsia="Times New Roman" w:cs="Arial"/>
                <w:sz w:val="18"/>
                <w:szCs w:val="18"/>
                <w:lang w:eastAsia="zh-CN"/>
              </w:rPr>
            </w:pPr>
            <w:r w:rsidRPr="00F830E6">
              <w:rPr>
                <w:rFonts w:eastAsia="Times New Roman" w:cs="Arial"/>
                <w:sz w:val="18"/>
                <w:szCs w:val="18"/>
                <w:lang w:eastAsia="zh-CN"/>
              </w:rPr>
              <w:t>0.99%</w:t>
            </w:r>
          </w:p>
        </w:tc>
      </w:tr>
      <w:tr w:rsidR="003B7C93" w:rsidRPr="002F7422" w14:paraId="22FB0802" w14:textId="77777777" w:rsidTr="00925D5C">
        <w:trPr>
          <w:trHeight w:val="285"/>
        </w:trPr>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62D9E373" w14:textId="77777777" w:rsidR="003B7C93" w:rsidRPr="00F830E6" w:rsidRDefault="003B7C93" w:rsidP="00925D5C">
            <w:pPr>
              <w:spacing w:after="0" w:line="240" w:lineRule="auto"/>
              <w:rPr>
                <w:rFonts w:eastAsia="Times New Roman" w:cs="Arial"/>
                <w:b/>
                <w:bCs/>
                <w:color w:val="000000"/>
                <w:sz w:val="18"/>
                <w:szCs w:val="18"/>
                <w:lang w:eastAsia="zh-CN"/>
              </w:rPr>
            </w:pPr>
            <w:r w:rsidRPr="00F830E6">
              <w:rPr>
                <w:rFonts w:eastAsia="Times New Roman" w:cs="Arial"/>
                <w:b/>
                <w:bCs/>
                <w:color w:val="000000"/>
                <w:sz w:val="18"/>
                <w:szCs w:val="18"/>
                <w:lang w:eastAsia="zh-CN"/>
              </w:rPr>
              <w:t>Total</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5BF79B3A" w14:textId="77777777" w:rsidR="003B7C93" w:rsidRPr="00F830E6" w:rsidRDefault="003B7C93" w:rsidP="00925D5C">
            <w:pPr>
              <w:spacing w:after="0" w:line="240" w:lineRule="auto"/>
              <w:jc w:val="right"/>
              <w:rPr>
                <w:rFonts w:eastAsia="Times New Roman" w:cs="Arial"/>
                <w:b/>
                <w:bCs/>
                <w:sz w:val="18"/>
                <w:szCs w:val="18"/>
                <w:lang w:eastAsia="zh-CN"/>
              </w:rPr>
            </w:pPr>
            <w:r w:rsidRPr="00F830E6">
              <w:rPr>
                <w:rFonts w:eastAsia="Times New Roman" w:cs="Arial"/>
                <w:b/>
                <w:bCs/>
                <w:sz w:val="18"/>
                <w:szCs w:val="18"/>
                <w:lang w:eastAsia="zh-CN"/>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450AED51" w14:textId="77777777" w:rsidR="003B7C93" w:rsidRPr="00F830E6" w:rsidRDefault="003B7C93" w:rsidP="00925D5C">
            <w:pPr>
              <w:spacing w:after="0" w:line="240" w:lineRule="auto"/>
              <w:jc w:val="right"/>
              <w:rPr>
                <w:rFonts w:eastAsia="Times New Roman" w:cs="Arial"/>
                <w:b/>
                <w:bCs/>
                <w:sz w:val="18"/>
                <w:szCs w:val="18"/>
                <w:lang w:eastAsia="zh-CN"/>
              </w:rPr>
            </w:pPr>
            <w:r w:rsidRPr="00F830E6">
              <w:rPr>
                <w:rFonts w:eastAsia="Times New Roman" w:cs="Arial"/>
                <w:b/>
                <w:bCs/>
                <w:sz w:val="18"/>
                <w:szCs w:val="18"/>
                <w:lang w:eastAsia="zh-CN"/>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4F3F0FD2" w14:textId="77777777" w:rsidR="003B7C93" w:rsidRPr="00F830E6" w:rsidRDefault="003B7C93" w:rsidP="00925D5C">
            <w:pPr>
              <w:spacing w:after="0" w:line="240" w:lineRule="auto"/>
              <w:jc w:val="right"/>
              <w:rPr>
                <w:rFonts w:eastAsia="Times New Roman" w:cs="Arial"/>
                <w:b/>
                <w:bCs/>
                <w:sz w:val="18"/>
                <w:szCs w:val="18"/>
                <w:lang w:eastAsia="zh-CN"/>
              </w:rPr>
            </w:pPr>
            <w:r w:rsidRPr="00F830E6">
              <w:rPr>
                <w:rFonts w:eastAsia="Times New Roman" w:cs="Arial"/>
                <w:b/>
                <w:bCs/>
                <w:sz w:val="18"/>
                <w:szCs w:val="18"/>
                <w:lang w:eastAsia="zh-CN"/>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414ECB7F" w14:textId="77777777" w:rsidR="003B7C93" w:rsidRPr="00F830E6" w:rsidRDefault="003B7C93" w:rsidP="00925D5C">
            <w:pPr>
              <w:spacing w:after="0" w:line="240" w:lineRule="auto"/>
              <w:jc w:val="right"/>
              <w:rPr>
                <w:rFonts w:eastAsia="Times New Roman" w:cs="Arial"/>
                <w:b/>
                <w:bCs/>
                <w:sz w:val="18"/>
                <w:szCs w:val="18"/>
                <w:lang w:eastAsia="zh-CN"/>
              </w:rPr>
            </w:pPr>
            <w:r w:rsidRPr="00F830E6">
              <w:rPr>
                <w:rFonts w:eastAsia="Times New Roman" w:cs="Arial"/>
                <w:b/>
                <w:bCs/>
                <w:sz w:val="18"/>
                <w:szCs w:val="18"/>
                <w:lang w:eastAsia="zh-CN"/>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06E1A9AC" w14:textId="77777777" w:rsidR="003B7C93" w:rsidRPr="00F830E6" w:rsidRDefault="003B7C93" w:rsidP="00925D5C">
            <w:pPr>
              <w:spacing w:after="0" w:line="240" w:lineRule="auto"/>
              <w:jc w:val="right"/>
              <w:rPr>
                <w:rFonts w:eastAsia="Times New Roman" w:cs="Arial"/>
                <w:b/>
                <w:bCs/>
                <w:sz w:val="18"/>
                <w:szCs w:val="18"/>
                <w:lang w:eastAsia="zh-CN"/>
              </w:rPr>
            </w:pPr>
            <w:r w:rsidRPr="00F830E6">
              <w:rPr>
                <w:rFonts w:eastAsia="Times New Roman" w:cs="Arial"/>
                <w:b/>
                <w:bCs/>
                <w:sz w:val="18"/>
                <w:szCs w:val="18"/>
                <w:lang w:eastAsia="zh-CN"/>
              </w:rPr>
              <w:t>100.00%</w:t>
            </w:r>
          </w:p>
        </w:tc>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1A36D97E" w14:textId="77777777" w:rsidR="003B7C93" w:rsidRPr="00F830E6" w:rsidRDefault="003B7C93" w:rsidP="00925D5C">
            <w:pPr>
              <w:spacing w:after="0" w:line="240" w:lineRule="auto"/>
              <w:jc w:val="right"/>
              <w:rPr>
                <w:rFonts w:eastAsia="Times New Roman" w:cs="Arial"/>
                <w:b/>
                <w:bCs/>
                <w:sz w:val="18"/>
                <w:szCs w:val="18"/>
                <w:lang w:eastAsia="zh-CN"/>
              </w:rPr>
            </w:pPr>
            <w:r w:rsidRPr="00F830E6">
              <w:rPr>
                <w:rFonts w:eastAsia="Times New Roman" w:cs="Arial"/>
                <w:b/>
                <w:bCs/>
                <w:sz w:val="18"/>
                <w:szCs w:val="18"/>
                <w:lang w:eastAsia="zh-CN"/>
              </w:rPr>
              <w:t>100.00%</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45427E7B" w14:textId="77777777" w:rsidR="003B7C93" w:rsidRPr="00F830E6" w:rsidRDefault="003B7C93" w:rsidP="00925D5C">
            <w:pPr>
              <w:spacing w:after="0" w:line="240" w:lineRule="auto"/>
              <w:jc w:val="right"/>
              <w:rPr>
                <w:rFonts w:eastAsia="Times New Roman" w:cs="Arial"/>
                <w:b/>
                <w:bCs/>
                <w:sz w:val="18"/>
                <w:szCs w:val="18"/>
                <w:lang w:eastAsia="zh-CN"/>
              </w:rPr>
            </w:pPr>
            <w:r w:rsidRPr="00F830E6">
              <w:rPr>
                <w:rFonts w:eastAsia="Times New Roman" w:cs="Arial"/>
                <w:b/>
                <w:bCs/>
                <w:sz w:val="18"/>
                <w:szCs w:val="18"/>
                <w:lang w:eastAsia="zh-CN"/>
              </w:rPr>
              <w:t>100.00%</w:t>
            </w:r>
          </w:p>
        </w:tc>
      </w:tr>
    </w:tbl>
    <w:p w14:paraId="136EE79B" w14:textId="77777777" w:rsidR="004A5D62" w:rsidRDefault="00447F08" w:rsidP="00DA3F73">
      <w:pPr>
        <w:pStyle w:val="FSRnormal"/>
      </w:pPr>
      <w:r>
        <w:t>T</w:t>
      </w:r>
      <w:r w:rsidR="004A5D62">
        <w:t xml:space="preserve">he </w:t>
      </w:r>
      <w:r>
        <w:t xml:space="preserve">overall </w:t>
      </w:r>
      <w:r w:rsidR="004A5D62">
        <w:t xml:space="preserve">actual mortality rates of female participants </w:t>
      </w:r>
      <w:r w:rsidR="007B16D2">
        <w:t>are consistently</w:t>
      </w:r>
      <w:r w:rsidR="004A5D62">
        <w:t xml:space="preserve"> higher than those of male participants (1.05% vs 0.89%). </w:t>
      </w:r>
      <w:r w:rsidR="004A5D62" w:rsidRPr="003F6A85">
        <w:t xml:space="preserve">This is </w:t>
      </w:r>
      <w:r>
        <w:t xml:space="preserve">primarily </w:t>
      </w:r>
      <w:r w:rsidR="004A5D62" w:rsidRPr="003F6A85">
        <w:t xml:space="preserve">driven by </w:t>
      </w:r>
      <w:r w:rsidR="004A5D62">
        <w:t>a larger</w:t>
      </w:r>
      <w:r w:rsidR="004A5D62" w:rsidRPr="003F6A85">
        <w:t xml:space="preserve"> </w:t>
      </w:r>
      <w:r w:rsidR="004A5D62">
        <w:t xml:space="preserve">proportion of female participants being in participant groups with </w:t>
      </w:r>
      <w:r>
        <w:t xml:space="preserve">very </w:t>
      </w:r>
      <w:r w:rsidR="004A5D62">
        <w:t xml:space="preserve">high mortality </w:t>
      </w:r>
      <w:r>
        <w:t xml:space="preserve">rates </w:t>
      </w:r>
      <w:r w:rsidR="004A5D62">
        <w:t xml:space="preserve">(and often at the lowest levels of function), e.g. </w:t>
      </w:r>
      <w:r w:rsidR="00CB3C7A">
        <w:t>o</w:t>
      </w:r>
      <w:r w:rsidR="004A5D62" w:rsidRPr="003F6A85">
        <w:t xml:space="preserve">ther </w:t>
      </w:r>
      <w:r w:rsidR="00CB3C7A">
        <w:t>n</w:t>
      </w:r>
      <w:r w:rsidR="004A5D62" w:rsidRPr="003F6A85">
        <w:t>eurological</w:t>
      </w:r>
      <w:r w:rsidR="004A5D62">
        <w:t xml:space="preserve">, </w:t>
      </w:r>
      <w:r w:rsidR="00CB3C7A">
        <w:t>i</w:t>
      </w:r>
      <w:r w:rsidR="004A5D62">
        <w:t xml:space="preserve">ntellectual </w:t>
      </w:r>
      <w:r w:rsidR="00CB3C7A">
        <w:t>d</w:t>
      </w:r>
      <w:r w:rsidR="004A5D62">
        <w:t xml:space="preserve">isability, </w:t>
      </w:r>
      <w:r w:rsidR="00CB3C7A">
        <w:t>o</w:t>
      </w:r>
      <w:r w:rsidR="004A5D62">
        <w:t xml:space="preserve">ther </w:t>
      </w:r>
      <w:r w:rsidR="00CB3C7A">
        <w:t>p</w:t>
      </w:r>
      <w:r w:rsidR="004A5D62">
        <w:t xml:space="preserve">hysical, </w:t>
      </w:r>
      <w:r w:rsidR="00CB3C7A">
        <w:t>o</w:t>
      </w:r>
      <w:r w:rsidR="004A5D62">
        <w:t>ther</w:t>
      </w:r>
      <w:r w:rsidR="00CB3C7A">
        <w:t xml:space="preserve"> disabilities</w:t>
      </w:r>
      <w:r w:rsidR="004A5D62">
        <w:t xml:space="preserve">, </w:t>
      </w:r>
      <w:r w:rsidR="00CB3C7A">
        <w:t>p</w:t>
      </w:r>
      <w:r w:rsidR="004A5D62" w:rsidRPr="003F6A85">
        <w:t xml:space="preserve">sychosocial </w:t>
      </w:r>
      <w:r w:rsidR="00CB3C7A">
        <w:t>d</w:t>
      </w:r>
      <w:r w:rsidR="004A5D62" w:rsidRPr="003F6A85">
        <w:t>isability</w:t>
      </w:r>
      <w:r w:rsidR="004A5D62">
        <w:t xml:space="preserve"> and </w:t>
      </w:r>
      <w:r w:rsidR="00CB3C7A">
        <w:t>m</w:t>
      </w:r>
      <w:r w:rsidR="004A5D62" w:rsidRPr="003F6A85">
        <w:t xml:space="preserve">ultiple </w:t>
      </w:r>
      <w:r w:rsidR="00CB3C7A">
        <w:t>s</w:t>
      </w:r>
      <w:r w:rsidR="004A5D62" w:rsidRPr="003F6A85">
        <w:t>clerosis</w:t>
      </w:r>
      <w:r w:rsidR="00CB3C7A">
        <w:t>.</w:t>
      </w:r>
      <w:r>
        <w:t xml:space="preserve"> </w:t>
      </w:r>
      <w:r w:rsidR="00CB3C7A">
        <w:t xml:space="preserve">For </w:t>
      </w:r>
      <w:r w:rsidR="004A5D62">
        <w:t xml:space="preserve">other </w:t>
      </w:r>
      <w:r w:rsidR="00CB3C7A">
        <w:t>disability types, mortality rates for males in the cohort</w:t>
      </w:r>
      <w:r w:rsidR="004A5D62">
        <w:t xml:space="preserve"> are higher than those of female</w:t>
      </w:r>
      <w:r w:rsidR="00CB3C7A">
        <w:t xml:space="preserve"> in the same cohort</w:t>
      </w:r>
      <w:r w:rsidR="004A5D62">
        <w:t>.</w:t>
      </w:r>
      <w:r>
        <w:t xml:space="preserve"> The change in age distribution as a result of ageing and the longer life expectancy of females </w:t>
      </w:r>
      <w:r w:rsidR="00CB3C7A">
        <w:t>in</w:t>
      </w:r>
      <w:r>
        <w:t xml:space="preserve"> the Australian general population also contribute</w:t>
      </w:r>
      <w:r w:rsidR="00CB3C7A">
        <w:t>s to higher rates of mortality for females</w:t>
      </w:r>
      <w:r>
        <w:t>.</w:t>
      </w:r>
    </w:p>
    <w:p w14:paraId="20B7E599" w14:textId="77777777" w:rsidR="004A5D62" w:rsidRDefault="004A5D62" w:rsidP="00DA3F73">
      <w:pPr>
        <w:pStyle w:val="FSRnormal"/>
      </w:pPr>
      <w:r>
        <w:t xml:space="preserve">The actual mortality rate for female participants decreased slightly from 1.08% in 2020 to 1.06% in 2021. </w:t>
      </w:r>
      <w:r w:rsidRPr="00A7564F">
        <w:t xml:space="preserve"> </w:t>
      </w:r>
      <w:r w:rsidR="00873FDC">
        <w:t xml:space="preserve">The mortality </w:t>
      </w:r>
      <w:r>
        <w:t xml:space="preserve">rate in 2021 </w:t>
      </w:r>
      <w:r w:rsidR="00873FDC">
        <w:t xml:space="preserve">was </w:t>
      </w:r>
      <w:r>
        <w:t>0.05% higher than expected</w:t>
      </w:r>
      <w:r w:rsidR="00873FDC">
        <w:t xml:space="preserve">, </w:t>
      </w:r>
      <w:r w:rsidR="008F69A0">
        <w:t xml:space="preserve">a </w:t>
      </w:r>
      <w:r>
        <w:t xml:space="preserve">similar variation </w:t>
      </w:r>
      <w:r w:rsidR="00873FDC">
        <w:t xml:space="preserve">to </w:t>
      </w:r>
      <w:r>
        <w:t xml:space="preserve">2020. </w:t>
      </w:r>
    </w:p>
    <w:p w14:paraId="49EFF294" w14:textId="77777777" w:rsidR="004A5D62" w:rsidRDefault="004A5D62" w:rsidP="00DA3F73">
      <w:pPr>
        <w:pStyle w:val="FSRnormal"/>
      </w:pPr>
      <w:r>
        <w:t>Mortality rate</w:t>
      </w:r>
      <w:r w:rsidR="0010131C">
        <w:t>s</w:t>
      </w:r>
      <w:r>
        <w:t xml:space="preserve"> for </w:t>
      </w:r>
      <w:r w:rsidR="0010131C">
        <w:t>males</w:t>
      </w:r>
      <w:r>
        <w:t xml:space="preserve"> decreased from 0.93% in 2020 to 0.87% in 2021; 0.02% lower than expected as compared with 0.03% higher than expected in 2020. </w:t>
      </w:r>
    </w:p>
    <w:p w14:paraId="1539E2FF" w14:textId="77777777" w:rsidR="004A5D62" w:rsidRDefault="004A5D62">
      <w:pPr>
        <w:spacing w:after="160" w:line="259" w:lineRule="auto"/>
      </w:pPr>
      <w:r>
        <w:br w:type="page"/>
      </w:r>
    </w:p>
    <w:p w14:paraId="68C61232" w14:textId="77777777" w:rsidR="004A5D62" w:rsidRDefault="004A5D62" w:rsidP="00DA3F73">
      <w:pPr>
        <w:pStyle w:val="FSRHeading6"/>
      </w:pPr>
      <w:bookmarkStart w:id="1222" w:name="_Toc106809777"/>
      <w:r w:rsidRPr="00DA3F73">
        <w:lastRenderedPageBreak/>
        <w:t>Disability type</w:t>
      </w:r>
      <w:bookmarkEnd w:id="1222"/>
    </w:p>
    <w:p w14:paraId="11B505E6" w14:textId="77777777" w:rsidR="004A5D62" w:rsidRDefault="004A5D62" w:rsidP="00DA3F73">
      <w:pPr>
        <w:pStyle w:val="Tables"/>
      </w:pPr>
      <w:r>
        <w:t>Table</w:t>
      </w:r>
      <w:r w:rsidR="0048278E">
        <w:t xml:space="preserve"> J</w:t>
      </w:r>
      <w:r w:rsidR="00A87896">
        <w:t>.</w:t>
      </w:r>
      <w:fldSimple w:instr=" SEQ Table \* ARABIC \s 2 ">
        <w:r w:rsidR="005877B6">
          <w:rPr>
            <w:noProof/>
          </w:rPr>
          <w:t>5</w:t>
        </w:r>
      </w:fldSimple>
      <w:r w:rsidR="0048278E">
        <w:t>:</w:t>
      </w:r>
      <w:r>
        <w:t xml:space="preserve"> </w:t>
      </w:r>
      <w:r w:rsidRPr="00FF6383">
        <w:t>Actual vs expected mortality rates by primary disability</w:t>
      </w:r>
    </w:p>
    <w:tbl>
      <w:tblPr>
        <w:tblW w:w="0" w:type="auto"/>
        <w:tblLook w:val="04A0" w:firstRow="1" w:lastRow="0" w:firstColumn="1" w:lastColumn="0" w:noHBand="0" w:noVBand="1"/>
      </w:tblPr>
      <w:tblGrid>
        <w:gridCol w:w="1880"/>
        <w:gridCol w:w="1061"/>
        <w:gridCol w:w="1061"/>
        <w:gridCol w:w="1061"/>
        <w:gridCol w:w="1061"/>
        <w:gridCol w:w="1061"/>
        <w:gridCol w:w="1052"/>
        <w:gridCol w:w="759"/>
      </w:tblGrid>
      <w:tr w:rsidR="003B7C93" w:rsidRPr="00925D5C" w14:paraId="7DE37EBE" w14:textId="77777777" w:rsidTr="00925D5C">
        <w:trPr>
          <w:trHeight w:val="397"/>
        </w:trPr>
        <w:tc>
          <w:tcPr>
            <w:tcW w:w="0" w:type="auto"/>
            <w:vMerge w:val="restart"/>
            <w:tcBorders>
              <w:top w:val="nil"/>
              <w:left w:val="nil"/>
              <w:bottom w:val="nil"/>
              <w:right w:val="nil"/>
            </w:tcBorders>
            <w:shd w:val="clear" w:color="000000" w:fill="6B2976"/>
            <w:noWrap/>
            <w:vAlign w:val="center"/>
            <w:hideMark/>
          </w:tcPr>
          <w:p w14:paraId="68AFF416" w14:textId="77777777" w:rsidR="003B7C93" w:rsidRPr="00925D5C" w:rsidRDefault="003B7C93" w:rsidP="00925D5C">
            <w:pPr>
              <w:spacing w:after="0" w:line="240" w:lineRule="auto"/>
              <w:rPr>
                <w:rFonts w:eastAsia="Times New Roman" w:cs="Arial"/>
                <w:b/>
                <w:bCs/>
                <w:color w:val="FFFFFF"/>
                <w:sz w:val="16"/>
                <w:szCs w:val="16"/>
                <w:lang w:eastAsia="zh-CN"/>
              </w:rPr>
            </w:pPr>
            <w:r w:rsidRPr="00925D5C">
              <w:rPr>
                <w:rFonts w:eastAsia="Times New Roman" w:cs="Arial"/>
                <w:b/>
                <w:bCs/>
                <w:color w:val="FFFFFF"/>
                <w:sz w:val="16"/>
                <w:szCs w:val="16"/>
                <w:lang w:eastAsia="zh-CN"/>
              </w:rPr>
              <w:t>Disability</w:t>
            </w:r>
          </w:p>
        </w:tc>
        <w:tc>
          <w:tcPr>
            <w:tcW w:w="0" w:type="auto"/>
            <w:gridSpan w:val="7"/>
            <w:tcBorders>
              <w:top w:val="nil"/>
              <w:left w:val="nil"/>
              <w:bottom w:val="single" w:sz="4" w:space="0" w:color="FFFFFF"/>
              <w:right w:val="nil"/>
            </w:tcBorders>
            <w:shd w:val="clear" w:color="000000" w:fill="6B2976"/>
            <w:vAlign w:val="center"/>
            <w:hideMark/>
          </w:tcPr>
          <w:p w14:paraId="4133DE49" w14:textId="77777777" w:rsidR="003B7C93" w:rsidRPr="00925D5C" w:rsidRDefault="003B7C93" w:rsidP="008116E1">
            <w:pPr>
              <w:spacing w:after="0" w:line="240" w:lineRule="auto"/>
              <w:jc w:val="center"/>
              <w:rPr>
                <w:rFonts w:eastAsia="Times New Roman" w:cs="Arial"/>
                <w:b/>
                <w:bCs/>
                <w:color w:val="FFFFFF"/>
                <w:sz w:val="16"/>
                <w:szCs w:val="16"/>
                <w:lang w:eastAsia="zh-CN"/>
              </w:rPr>
            </w:pPr>
            <w:r w:rsidRPr="00925D5C">
              <w:rPr>
                <w:rFonts w:eastAsia="Times New Roman" w:cs="Arial"/>
                <w:b/>
                <w:bCs/>
                <w:color w:val="FFFFFF"/>
                <w:sz w:val="16"/>
                <w:szCs w:val="16"/>
                <w:lang w:eastAsia="zh-CN"/>
              </w:rPr>
              <w:t>Expected</w:t>
            </w:r>
          </w:p>
        </w:tc>
      </w:tr>
      <w:tr w:rsidR="003B7C93" w:rsidRPr="00925D5C" w14:paraId="3FE2766D" w14:textId="77777777" w:rsidTr="00925D5C">
        <w:trPr>
          <w:trHeight w:val="397"/>
        </w:trPr>
        <w:tc>
          <w:tcPr>
            <w:tcW w:w="0" w:type="auto"/>
            <w:vMerge/>
            <w:tcBorders>
              <w:top w:val="nil"/>
              <w:left w:val="nil"/>
              <w:right w:val="nil"/>
            </w:tcBorders>
            <w:vAlign w:val="center"/>
            <w:hideMark/>
          </w:tcPr>
          <w:p w14:paraId="1B823244" w14:textId="77777777" w:rsidR="003B7C93" w:rsidRPr="00925D5C" w:rsidRDefault="003B7C93" w:rsidP="00925D5C">
            <w:pPr>
              <w:spacing w:after="0" w:line="240" w:lineRule="auto"/>
              <w:rPr>
                <w:rFonts w:eastAsia="Times New Roman" w:cs="Arial"/>
                <w:b/>
                <w:bCs/>
                <w:color w:val="FFFFFF"/>
                <w:sz w:val="16"/>
                <w:szCs w:val="16"/>
                <w:lang w:eastAsia="zh-CN"/>
              </w:rPr>
            </w:pPr>
          </w:p>
        </w:tc>
        <w:tc>
          <w:tcPr>
            <w:tcW w:w="0" w:type="auto"/>
            <w:tcBorders>
              <w:top w:val="nil"/>
              <w:left w:val="nil"/>
              <w:bottom w:val="nil"/>
              <w:right w:val="nil"/>
            </w:tcBorders>
            <w:shd w:val="clear" w:color="000000" w:fill="6B2976"/>
            <w:vAlign w:val="center"/>
            <w:hideMark/>
          </w:tcPr>
          <w:p w14:paraId="6CCF1C43" w14:textId="77777777" w:rsidR="003B7C93" w:rsidRPr="00925D5C" w:rsidRDefault="003B7C93" w:rsidP="00925D5C">
            <w:pPr>
              <w:spacing w:after="0" w:line="240" w:lineRule="auto"/>
              <w:jc w:val="right"/>
              <w:rPr>
                <w:rFonts w:eastAsia="Times New Roman" w:cs="Arial"/>
                <w:b/>
                <w:bCs/>
                <w:color w:val="FFFFFF"/>
                <w:sz w:val="16"/>
                <w:szCs w:val="16"/>
                <w:lang w:eastAsia="zh-CN"/>
              </w:rPr>
            </w:pPr>
            <w:r w:rsidRPr="00925D5C">
              <w:rPr>
                <w:rFonts w:eastAsia="Times New Roman" w:cs="Arial"/>
                <w:b/>
                <w:bCs/>
                <w:color w:val="FFFFFF"/>
                <w:sz w:val="16"/>
                <w:szCs w:val="16"/>
                <w:lang w:eastAsia="zh-CN"/>
              </w:rPr>
              <w:t>Jan-Dec 17</w:t>
            </w:r>
          </w:p>
        </w:tc>
        <w:tc>
          <w:tcPr>
            <w:tcW w:w="0" w:type="auto"/>
            <w:tcBorders>
              <w:top w:val="nil"/>
              <w:left w:val="nil"/>
              <w:bottom w:val="nil"/>
              <w:right w:val="nil"/>
            </w:tcBorders>
            <w:shd w:val="clear" w:color="000000" w:fill="6B2976"/>
            <w:vAlign w:val="center"/>
            <w:hideMark/>
          </w:tcPr>
          <w:p w14:paraId="607C3411" w14:textId="77777777" w:rsidR="003B7C93" w:rsidRPr="00925D5C" w:rsidRDefault="003B7C93" w:rsidP="00925D5C">
            <w:pPr>
              <w:spacing w:after="0" w:line="240" w:lineRule="auto"/>
              <w:jc w:val="right"/>
              <w:rPr>
                <w:rFonts w:eastAsia="Times New Roman" w:cs="Arial"/>
                <w:b/>
                <w:bCs/>
                <w:color w:val="FFFFFF"/>
                <w:sz w:val="16"/>
                <w:szCs w:val="16"/>
                <w:lang w:eastAsia="zh-CN"/>
              </w:rPr>
            </w:pPr>
            <w:r w:rsidRPr="00925D5C">
              <w:rPr>
                <w:rFonts w:eastAsia="Times New Roman" w:cs="Arial"/>
                <w:b/>
                <w:bCs/>
                <w:color w:val="FFFFFF"/>
                <w:sz w:val="16"/>
                <w:szCs w:val="16"/>
                <w:lang w:eastAsia="zh-CN"/>
              </w:rPr>
              <w:t>Jan-Dec 18</w:t>
            </w:r>
          </w:p>
        </w:tc>
        <w:tc>
          <w:tcPr>
            <w:tcW w:w="0" w:type="auto"/>
            <w:tcBorders>
              <w:top w:val="nil"/>
              <w:left w:val="nil"/>
              <w:bottom w:val="nil"/>
              <w:right w:val="nil"/>
            </w:tcBorders>
            <w:shd w:val="clear" w:color="000000" w:fill="6B2976"/>
            <w:vAlign w:val="center"/>
            <w:hideMark/>
          </w:tcPr>
          <w:p w14:paraId="17E66897" w14:textId="77777777" w:rsidR="003B7C93" w:rsidRPr="00925D5C" w:rsidRDefault="003B7C93" w:rsidP="00925D5C">
            <w:pPr>
              <w:spacing w:after="0" w:line="240" w:lineRule="auto"/>
              <w:jc w:val="right"/>
              <w:rPr>
                <w:rFonts w:eastAsia="Times New Roman" w:cs="Arial"/>
                <w:b/>
                <w:bCs/>
                <w:color w:val="FFFFFF"/>
                <w:sz w:val="16"/>
                <w:szCs w:val="16"/>
                <w:lang w:eastAsia="zh-CN"/>
              </w:rPr>
            </w:pPr>
            <w:r w:rsidRPr="00925D5C">
              <w:rPr>
                <w:rFonts w:eastAsia="Times New Roman" w:cs="Arial"/>
                <w:b/>
                <w:bCs/>
                <w:color w:val="FFFFFF"/>
                <w:sz w:val="16"/>
                <w:szCs w:val="16"/>
                <w:lang w:eastAsia="zh-CN"/>
              </w:rPr>
              <w:t>Jan-Dec 19</w:t>
            </w:r>
          </w:p>
        </w:tc>
        <w:tc>
          <w:tcPr>
            <w:tcW w:w="0" w:type="auto"/>
            <w:tcBorders>
              <w:top w:val="nil"/>
              <w:left w:val="nil"/>
              <w:bottom w:val="nil"/>
              <w:right w:val="nil"/>
            </w:tcBorders>
            <w:shd w:val="clear" w:color="000000" w:fill="6B2976"/>
            <w:vAlign w:val="center"/>
            <w:hideMark/>
          </w:tcPr>
          <w:p w14:paraId="7D47185B" w14:textId="77777777" w:rsidR="003B7C93" w:rsidRPr="00925D5C" w:rsidRDefault="003B7C93" w:rsidP="00925D5C">
            <w:pPr>
              <w:spacing w:after="0" w:line="240" w:lineRule="auto"/>
              <w:jc w:val="right"/>
              <w:rPr>
                <w:rFonts w:eastAsia="Times New Roman" w:cs="Arial"/>
                <w:b/>
                <w:bCs/>
                <w:color w:val="FFFFFF"/>
                <w:sz w:val="16"/>
                <w:szCs w:val="16"/>
                <w:lang w:eastAsia="zh-CN"/>
              </w:rPr>
            </w:pPr>
            <w:r w:rsidRPr="00925D5C">
              <w:rPr>
                <w:rFonts w:eastAsia="Times New Roman" w:cs="Arial"/>
                <w:b/>
                <w:bCs/>
                <w:color w:val="FFFFFF"/>
                <w:sz w:val="16"/>
                <w:szCs w:val="16"/>
                <w:lang w:eastAsia="zh-CN"/>
              </w:rPr>
              <w:t>Jan-Dec 20</w:t>
            </w:r>
          </w:p>
        </w:tc>
        <w:tc>
          <w:tcPr>
            <w:tcW w:w="0" w:type="auto"/>
            <w:tcBorders>
              <w:top w:val="nil"/>
              <w:left w:val="nil"/>
              <w:bottom w:val="nil"/>
              <w:right w:val="nil"/>
            </w:tcBorders>
            <w:shd w:val="clear" w:color="000000" w:fill="6B2976"/>
            <w:vAlign w:val="center"/>
            <w:hideMark/>
          </w:tcPr>
          <w:p w14:paraId="2B7E6168" w14:textId="77777777" w:rsidR="003B7C93" w:rsidRPr="00925D5C" w:rsidRDefault="003B7C93" w:rsidP="00925D5C">
            <w:pPr>
              <w:spacing w:after="0" w:line="240" w:lineRule="auto"/>
              <w:jc w:val="right"/>
              <w:rPr>
                <w:rFonts w:eastAsia="Times New Roman" w:cs="Arial"/>
                <w:b/>
                <w:bCs/>
                <w:color w:val="FFFFFF"/>
                <w:sz w:val="16"/>
                <w:szCs w:val="16"/>
                <w:lang w:eastAsia="zh-CN"/>
              </w:rPr>
            </w:pPr>
            <w:r w:rsidRPr="00925D5C">
              <w:rPr>
                <w:rFonts w:eastAsia="Times New Roman" w:cs="Arial"/>
                <w:b/>
                <w:bCs/>
                <w:color w:val="FFFFFF"/>
                <w:sz w:val="16"/>
                <w:szCs w:val="16"/>
                <w:lang w:eastAsia="zh-CN"/>
              </w:rPr>
              <w:t>Jan-Dec 21</w:t>
            </w:r>
          </w:p>
        </w:tc>
        <w:tc>
          <w:tcPr>
            <w:tcW w:w="0" w:type="auto"/>
            <w:tcBorders>
              <w:top w:val="nil"/>
              <w:left w:val="nil"/>
              <w:right w:val="nil"/>
            </w:tcBorders>
            <w:shd w:val="clear" w:color="000000" w:fill="6B2976"/>
            <w:vAlign w:val="center"/>
            <w:hideMark/>
          </w:tcPr>
          <w:p w14:paraId="2A6BA07C" w14:textId="77777777" w:rsidR="003B7C93" w:rsidRPr="00925D5C" w:rsidRDefault="003B7C93" w:rsidP="00925D5C">
            <w:pPr>
              <w:spacing w:after="0" w:line="240" w:lineRule="auto"/>
              <w:jc w:val="right"/>
              <w:rPr>
                <w:rFonts w:eastAsia="Times New Roman" w:cs="Arial"/>
                <w:b/>
                <w:bCs/>
                <w:color w:val="FFFFFF"/>
                <w:sz w:val="16"/>
                <w:szCs w:val="16"/>
                <w:lang w:eastAsia="zh-CN"/>
              </w:rPr>
            </w:pPr>
            <w:r w:rsidRPr="00925D5C">
              <w:rPr>
                <w:rFonts w:eastAsia="Times New Roman" w:cs="Arial"/>
                <w:b/>
                <w:bCs/>
                <w:color w:val="FFFFFF"/>
                <w:sz w:val="16"/>
                <w:szCs w:val="16"/>
                <w:lang w:eastAsia="zh-CN"/>
              </w:rPr>
              <w:t>Jan-Feb 22</w:t>
            </w:r>
          </w:p>
        </w:tc>
        <w:tc>
          <w:tcPr>
            <w:tcW w:w="0" w:type="auto"/>
            <w:tcBorders>
              <w:top w:val="nil"/>
              <w:left w:val="nil"/>
              <w:bottom w:val="nil"/>
              <w:right w:val="nil"/>
            </w:tcBorders>
            <w:shd w:val="clear" w:color="000000" w:fill="6B2976"/>
            <w:vAlign w:val="center"/>
            <w:hideMark/>
          </w:tcPr>
          <w:p w14:paraId="7DF87662" w14:textId="77777777" w:rsidR="003B7C93" w:rsidRPr="00925D5C" w:rsidRDefault="003B7C93" w:rsidP="00925D5C">
            <w:pPr>
              <w:spacing w:after="0" w:line="240" w:lineRule="auto"/>
              <w:jc w:val="right"/>
              <w:rPr>
                <w:rFonts w:eastAsia="Times New Roman" w:cs="Arial"/>
                <w:b/>
                <w:bCs/>
                <w:color w:val="FFFFFF"/>
                <w:sz w:val="16"/>
                <w:szCs w:val="16"/>
                <w:lang w:eastAsia="zh-CN"/>
              </w:rPr>
            </w:pPr>
            <w:r w:rsidRPr="00925D5C">
              <w:rPr>
                <w:rFonts w:eastAsia="Times New Roman" w:cs="Arial"/>
                <w:b/>
                <w:bCs/>
                <w:color w:val="FFFFFF"/>
                <w:sz w:val="16"/>
                <w:szCs w:val="16"/>
                <w:lang w:eastAsia="zh-CN"/>
              </w:rPr>
              <w:t>Overall</w:t>
            </w:r>
          </w:p>
        </w:tc>
      </w:tr>
      <w:tr w:rsidR="003B7C93" w:rsidRPr="00925D5C" w14:paraId="0EEF1432"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6DE611EE"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Acquired brain injury </w:t>
            </w:r>
          </w:p>
        </w:tc>
        <w:tc>
          <w:tcPr>
            <w:tcW w:w="0" w:type="auto"/>
            <w:tcBorders>
              <w:top w:val="nil"/>
              <w:left w:val="dotted" w:sz="4" w:space="0" w:color="auto"/>
              <w:bottom w:val="nil"/>
              <w:right w:val="nil"/>
            </w:tcBorders>
            <w:shd w:val="clear" w:color="auto" w:fill="auto"/>
            <w:noWrap/>
            <w:vAlign w:val="center"/>
            <w:hideMark/>
          </w:tcPr>
          <w:p w14:paraId="2E4ACB9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2.31%</w:t>
            </w:r>
          </w:p>
        </w:tc>
        <w:tc>
          <w:tcPr>
            <w:tcW w:w="0" w:type="auto"/>
            <w:tcBorders>
              <w:top w:val="nil"/>
              <w:left w:val="nil"/>
              <w:bottom w:val="nil"/>
              <w:right w:val="nil"/>
            </w:tcBorders>
            <w:shd w:val="clear" w:color="auto" w:fill="auto"/>
            <w:noWrap/>
            <w:vAlign w:val="center"/>
            <w:hideMark/>
          </w:tcPr>
          <w:p w14:paraId="06719B68"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2.50%</w:t>
            </w:r>
          </w:p>
        </w:tc>
        <w:tc>
          <w:tcPr>
            <w:tcW w:w="0" w:type="auto"/>
            <w:tcBorders>
              <w:top w:val="nil"/>
              <w:left w:val="nil"/>
              <w:bottom w:val="nil"/>
              <w:right w:val="nil"/>
            </w:tcBorders>
            <w:shd w:val="clear" w:color="auto" w:fill="auto"/>
            <w:noWrap/>
            <w:vAlign w:val="center"/>
            <w:hideMark/>
          </w:tcPr>
          <w:p w14:paraId="4F638AB2"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2.61%</w:t>
            </w:r>
          </w:p>
        </w:tc>
        <w:tc>
          <w:tcPr>
            <w:tcW w:w="0" w:type="auto"/>
            <w:tcBorders>
              <w:top w:val="nil"/>
              <w:left w:val="nil"/>
              <w:bottom w:val="nil"/>
              <w:right w:val="nil"/>
            </w:tcBorders>
            <w:shd w:val="clear" w:color="auto" w:fill="auto"/>
            <w:noWrap/>
            <w:vAlign w:val="center"/>
            <w:hideMark/>
          </w:tcPr>
          <w:p w14:paraId="38CCA50F"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2.66%</w:t>
            </w:r>
          </w:p>
        </w:tc>
        <w:tc>
          <w:tcPr>
            <w:tcW w:w="0" w:type="auto"/>
            <w:tcBorders>
              <w:top w:val="nil"/>
              <w:left w:val="nil"/>
              <w:bottom w:val="nil"/>
              <w:right w:val="nil"/>
            </w:tcBorders>
            <w:shd w:val="clear" w:color="auto" w:fill="auto"/>
            <w:noWrap/>
            <w:vAlign w:val="center"/>
            <w:hideMark/>
          </w:tcPr>
          <w:p w14:paraId="1DE4F47D"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2.69%</w:t>
            </w:r>
          </w:p>
        </w:tc>
        <w:tc>
          <w:tcPr>
            <w:tcW w:w="0" w:type="auto"/>
            <w:tcBorders>
              <w:top w:val="nil"/>
              <w:left w:val="nil"/>
              <w:bottom w:val="nil"/>
              <w:right w:val="dotted" w:sz="4" w:space="0" w:color="auto"/>
            </w:tcBorders>
            <w:shd w:val="clear" w:color="auto" w:fill="auto"/>
            <w:noWrap/>
            <w:vAlign w:val="center"/>
            <w:hideMark/>
          </w:tcPr>
          <w:p w14:paraId="7384103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2.71%</w:t>
            </w:r>
          </w:p>
        </w:tc>
        <w:tc>
          <w:tcPr>
            <w:tcW w:w="0" w:type="auto"/>
            <w:tcBorders>
              <w:top w:val="nil"/>
              <w:left w:val="dotted" w:sz="4" w:space="0" w:color="auto"/>
              <w:bottom w:val="nil"/>
              <w:right w:val="nil"/>
            </w:tcBorders>
            <w:shd w:val="clear" w:color="auto" w:fill="auto"/>
            <w:noWrap/>
            <w:vAlign w:val="center"/>
            <w:hideMark/>
          </w:tcPr>
          <w:p w14:paraId="2C6DE4C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2.62%</w:t>
            </w:r>
          </w:p>
        </w:tc>
      </w:tr>
      <w:tr w:rsidR="003B7C93" w:rsidRPr="00925D5C" w14:paraId="0A2F60B1" w14:textId="77777777" w:rsidTr="00925D5C">
        <w:trPr>
          <w:trHeight w:val="285"/>
        </w:trPr>
        <w:tc>
          <w:tcPr>
            <w:tcW w:w="0" w:type="auto"/>
            <w:tcBorders>
              <w:top w:val="nil"/>
              <w:left w:val="nil"/>
              <w:bottom w:val="nil"/>
              <w:right w:val="dotted" w:sz="4" w:space="0" w:color="auto"/>
            </w:tcBorders>
            <w:shd w:val="clear" w:color="000000" w:fill="BFBFBF"/>
            <w:noWrap/>
            <w:vAlign w:val="center"/>
            <w:hideMark/>
          </w:tcPr>
          <w:p w14:paraId="04E66A7B"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Autism </w:t>
            </w:r>
          </w:p>
        </w:tc>
        <w:tc>
          <w:tcPr>
            <w:tcW w:w="0" w:type="auto"/>
            <w:tcBorders>
              <w:top w:val="nil"/>
              <w:left w:val="dotted" w:sz="4" w:space="0" w:color="auto"/>
              <w:bottom w:val="nil"/>
              <w:right w:val="nil"/>
            </w:tcBorders>
            <w:shd w:val="clear" w:color="000000" w:fill="BFBFBF"/>
            <w:noWrap/>
            <w:vAlign w:val="center"/>
            <w:hideMark/>
          </w:tcPr>
          <w:p w14:paraId="168F9986"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0.06%</w:t>
            </w:r>
          </w:p>
        </w:tc>
        <w:tc>
          <w:tcPr>
            <w:tcW w:w="0" w:type="auto"/>
            <w:tcBorders>
              <w:top w:val="nil"/>
              <w:left w:val="nil"/>
              <w:bottom w:val="nil"/>
              <w:right w:val="nil"/>
            </w:tcBorders>
            <w:shd w:val="clear" w:color="000000" w:fill="BFBFBF"/>
            <w:noWrap/>
            <w:vAlign w:val="center"/>
            <w:hideMark/>
          </w:tcPr>
          <w:p w14:paraId="1E015CEF"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0.06%</w:t>
            </w:r>
          </w:p>
        </w:tc>
        <w:tc>
          <w:tcPr>
            <w:tcW w:w="0" w:type="auto"/>
            <w:tcBorders>
              <w:top w:val="nil"/>
              <w:left w:val="nil"/>
              <w:bottom w:val="nil"/>
              <w:right w:val="nil"/>
            </w:tcBorders>
            <w:shd w:val="clear" w:color="000000" w:fill="BFBFBF"/>
            <w:noWrap/>
            <w:vAlign w:val="center"/>
            <w:hideMark/>
          </w:tcPr>
          <w:p w14:paraId="3556F998"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0.06%</w:t>
            </w:r>
          </w:p>
        </w:tc>
        <w:tc>
          <w:tcPr>
            <w:tcW w:w="0" w:type="auto"/>
            <w:tcBorders>
              <w:top w:val="nil"/>
              <w:left w:val="nil"/>
              <w:bottom w:val="nil"/>
              <w:right w:val="nil"/>
            </w:tcBorders>
            <w:shd w:val="clear" w:color="000000" w:fill="BFBFBF"/>
            <w:noWrap/>
            <w:vAlign w:val="center"/>
            <w:hideMark/>
          </w:tcPr>
          <w:p w14:paraId="64B1FB9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0.06%</w:t>
            </w:r>
          </w:p>
        </w:tc>
        <w:tc>
          <w:tcPr>
            <w:tcW w:w="0" w:type="auto"/>
            <w:tcBorders>
              <w:top w:val="nil"/>
              <w:left w:val="nil"/>
              <w:bottom w:val="nil"/>
              <w:right w:val="nil"/>
            </w:tcBorders>
            <w:shd w:val="clear" w:color="000000" w:fill="BFBFBF"/>
            <w:noWrap/>
            <w:vAlign w:val="center"/>
            <w:hideMark/>
          </w:tcPr>
          <w:p w14:paraId="1B0E5CC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0.06%</w:t>
            </w:r>
          </w:p>
        </w:tc>
        <w:tc>
          <w:tcPr>
            <w:tcW w:w="0" w:type="auto"/>
            <w:tcBorders>
              <w:top w:val="nil"/>
              <w:left w:val="nil"/>
              <w:bottom w:val="nil"/>
              <w:right w:val="dotted" w:sz="4" w:space="0" w:color="auto"/>
            </w:tcBorders>
            <w:shd w:val="clear" w:color="000000" w:fill="BFBFBF"/>
            <w:noWrap/>
            <w:vAlign w:val="center"/>
            <w:hideMark/>
          </w:tcPr>
          <w:p w14:paraId="1109EE4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0.06%</w:t>
            </w:r>
          </w:p>
        </w:tc>
        <w:tc>
          <w:tcPr>
            <w:tcW w:w="0" w:type="auto"/>
            <w:tcBorders>
              <w:top w:val="nil"/>
              <w:left w:val="dotted" w:sz="4" w:space="0" w:color="auto"/>
              <w:bottom w:val="nil"/>
              <w:right w:val="nil"/>
            </w:tcBorders>
            <w:shd w:val="clear" w:color="000000" w:fill="BFBFBF"/>
            <w:noWrap/>
            <w:vAlign w:val="center"/>
            <w:hideMark/>
          </w:tcPr>
          <w:p w14:paraId="4505CA5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0.06%</w:t>
            </w:r>
          </w:p>
        </w:tc>
      </w:tr>
      <w:tr w:rsidR="003B7C93" w:rsidRPr="00925D5C" w14:paraId="09DDC84E"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569D22EB"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Cerebral Palsy </w:t>
            </w:r>
          </w:p>
        </w:tc>
        <w:tc>
          <w:tcPr>
            <w:tcW w:w="0" w:type="auto"/>
            <w:tcBorders>
              <w:top w:val="nil"/>
              <w:left w:val="dotted" w:sz="4" w:space="0" w:color="auto"/>
              <w:bottom w:val="nil"/>
              <w:right w:val="nil"/>
            </w:tcBorders>
            <w:shd w:val="clear" w:color="auto" w:fill="auto"/>
            <w:noWrap/>
            <w:vAlign w:val="center"/>
            <w:hideMark/>
          </w:tcPr>
          <w:p w14:paraId="6551692F"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0.71%</w:t>
            </w:r>
          </w:p>
        </w:tc>
        <w:tc>
          <w:tcPr>
            <w:tcW w:w="0" w:type="auto"/>
            <w:tcBorders>
              <w:top w:val="nil"/>
              <w:left w:val="nil"/>
              <w:bottom w:val="nil"/>
              <w:right w:val="nil"/>
            </w:tcBorders>
            <w:shd w:val="clear" w:color="auto" w:fill="auto"/>
            <w:noWrap/>
            <w:vAlign w:val="center"/>
            <w:hideMark/>
          </w:tcPr>
          <w:p w14:paraId="7F3D2BC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0.71%</w:t>
            </w:r>
          </w:p>
        </w:tc>
        <w:tc>
          <w:tcPr>
            <w:tcW w:w="0" w:type="auto"/>
            <w:tcBorders>
              <w:top w:val="nil"/>
              <w:left w:val="nil"/>
              <w:bottom w:val="nil"/>
              <w:right w:val="nil"/>
            </w:tcBorders>
            <w:shd w:val="clear" w:color="auto" w:fill="auto"/>
            <w:noWrap/>
            <w:vAlign w:val="center"/>
            <w:hideMark/>
          </w:tcPr>
          <w:p w14:paraId="68C56D3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0.73%</w:t>
            </w:r>
          </w:p>
        </w:tc>
        <w:tc>
          <w:tcPr>
            <w:tcW w:w="0" w:type="auto"/>
            <w:tcBorders>
              <w:top w:val="nil"/>
              <w:left w:val="nil"/>
              <w:bottom w:val="nil"/>
              <w:right w:val="nil"/>
            </w:tcBorders>
            <w:shd w:val="clear" w:color="auto" w:fill="auto"/>
            <w:noWrap/>
            <w:vAlign w:val="center"/>
            <w:hideMark/>
          </w:tcPr>
          <w:p w14:paraId="78FC0E54"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0.71%</w:t>
            </w:r>
          </w:p>
        </w:tc>
        <w:tc>
          <w:tcPr>
            <w:tcW w:w="0" w:type="auto"/>
            <w:tcBorders>
              <w:top w:val="nil"/>
              <w:left w:val="nil"/>
              <w:bottom w:val="nil"/>
              <w:right w:val="nil"/>
            </w:tcBorders>
            <w:shd w:val="clear" w:color="auto" w:fill="auto"/>
            <w:noWrap/>
            <w:vAlign w:val="center"/>
            <w:hideMark/>
          </w:tcPr>
          <w:p w14:paraId="78BE988F"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0.71%</w:t>
            </w:r>
          </w:p>
        </w:tc>
        <w:tc>
          <w:tcPr>
            <w:tcW w:w="0" w:type="auto"/>
            <w:tcBorders>
              <w:top w:val="nil"/>
              <w:left w:val="nil"/>
              <w:bottom w:val="nil"/>
              <w:right w:val="dotted" w:sz="4" w:space="0" w:color="auto"/>
            </w:tcBorders>
            <w:shd w:val="clear" w:color="auto" w:fill="auto"/>
            <w:noWrap/>
            <w:vAlign w:val="center"/>
            <w:hideMark/>
          </w:tcPr>
          <w:p w14:paraId="42EFA374"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0.71%</w:t>
            </w:r>
          </w:p>
        </w:tc>
        <w:tc>
          <w:tcPr>
            <w:tcW w:w="0" w:type="auto"/>
            <w:tcBorders>
              <w:top w:val="nil"/>
              <w:left w:val="dotted" w:sz="4" w:space="0" w:color="auto"/>
              <w:bottom w:val="nil"/>
              <w:right w:val="nil"/>
            </w:tcBorders>
            <w:shd w:val="clear" w:color="auto" w:fill="auto"/>
            <w:noWrap/>
            <w:vAlign w:val="center"/>
            <w:hideMark/>
          </w:tcPr>
          <w:p w14:paraId="7E5E7C9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0.71%</w:t>
            </w:r>
          </w:p>
        </w:tc>
      </w:tr>
      <w:tr w:rsidR="003B7C93" w:rsidRPr="00925D5C" w14:paraId="54F3012B" w14:textId="77777777" w:rsidTr="00925D5C">
        <w:trPr>
          <w:trHeight w:val="285"/>
        </w:trPr>
        <w:tc>
          <w:tcPr>
            <w:tcW w:w="0" w:type="auto"/>
            <w:tcBorders>
              <w:top w:val="nil"/>
              <w:left w:val="nil"/>
              <w:bottom w:val="nil"/>
              <w:right w:val="dotted" w:sz="4" w:space="0" w:color="auto"/>
            </w:tcBorders>
            <w:shd w:val="clear" w:color="000000" w:fill="BFBFBF"/>
            <w:noWrap/>
            <w:vAlign w:val="center"/>
            <w:hideMark/>
          </w:tcPr>
          <w:p w14:paraId="1C5A151B"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Developmental delay </w:t>
            </w:r>
          </w:p>
        </w:tc>
        <w:tc>
          <w:tcPr>
            <w:tcW w:w="0" w:type="auto"/>
            <w:tcBorders>
              <w:top w:val="nil"/>
              <w:left w:val="dotted" w:sz="4" w:space="0" w:color="auto"/>
              <w:bottom w:val="nil"/>
              <w:right w:val="nil"/>
            </w:tcBorders>
            <w:shd w:val="clear" w:color="000000" w:fill="BFBFBF"/>
            <w:noWrap/>
            <w:vAlign w:val="center"/>
            <w:hideMark/>
          </w:tcPr>
          <w:p w14:paraId="46E86C33"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0.31%</w:t>
            </w:r>
          </w:p>
        </w:tc>
        <w:tc>
          <w:tcPr>
            <w:tcW w:w="0" w:type="auto"/>
            <w:tcBorders>
              <w:top w:val="nil"/>
              <w:left w:val="nil"/>
              <w:bottom w:val="nil"/>
              <w:right w:val="nil"/>
            </w:tcBorders>
            <w:shd w:val="clear" w:color="000000" w:fill="BFBFBF"/>
            <w:noWrap/>
            <w:vAlign w:val="center"/>
            <w:hideMark/>
          </w:tcPr>
          <w:p w14:paraId="5D8BADA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0.37%</w:t>
            </w:r>
          </w:p>
        </w:tc>
        <w:tc>
          <w:tcPr>
            <w:tcW w:w="0" w:type="auto"/>
            <w:tcBorders>
              <w:top w:val="nil"/>
              <w:left w:val="nil"/>
              <w:bottom w:val="nil"/>
              <w:right w:val="nil"/>
            </w:tcBorders>
            <w:shd w:val="clear" w:color="000000" w:fill="BFBFBF"/>
            <w:noWrap/>
            <w:vAlign w:val="center"/>
            <w:hideMark/>
          </w:tcPr>
          <w:p w14:paraId="5290CFCE"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0.21%</w:t>
            </w:r>
          </w:p>
        </w:tc>
        <w:tc>
          <w:tcPr>
            <w:tcW w:w="0" w:type="auto"/>
            <w:tcBorders>
              <w:top w:val="nil"/>
              <w:left w:val="nil"/>
              <w:bottom w:val="nil"/>
              <w:right w:val="nil"/>
            </w:tcBorders>
            <w:shd w:val="clear" w:color="000000" w:fill="BFBFBF"/>
            <w:noWrap/>
            <w:vAlign w:val="center"/>
            <w:hideMark/>
          </w:tcPr>
          <w:p w14:paraId="1880F54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0.14%</w:t>
            </w:r>
          </w:p>
        </w:tc>
        <w:tc>
          <w:tcPr>
            <w:tcW w:w="0" w:type="auto"/>
            <w:tcBorders>
              <w:top w:val="nil"/>
              <w:left w:val="nil"/>
              <w:bottom w:val="nil"/>
              <w:right w:val="nil"/>
            </w:tcBorders>
            <w:shd w:val="clear" w:color="000000" w:fill="BFBFBF"/>
            <w:noWrap/>
            <w:vAlign w:val="center"/>
            <w:hideMark/>
          </w:tcPr>
          <w:p w14:paraId="264E0CF8"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0.07%</w:t>
            </w:r>
          </w:p>
        </w:tc>
        <w:tc>
          <w:tcPr>
            <w:tcW w:w="0" w:type="auto"/>
            <w:tcBorders>
              <w:top w:val="nil"/>
              <w:left w:val="nil"/>
              <w:bottom w:val="nil"/>
              <w:right w:val="dotted" w:sz="4" w:space="0" w:color="auto"/>
            </w:tcBorders>
            <w:shd w:val="clear" w:color="000000" w:fill="BFBFBF"/>
            <w:noWrap/>
            <w:vAlign w:val="center"/>
            <w:hideMark/>
          </w:tcPr>
          <w:p w14:paraId="1B5442B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0.02%</w:t>
            </w:r>
          </w:p>
        </w:tc>
        <w:tc>
          <w:tcPr>
            <w:tcW w:w="0" w:type="auto"/>
            <w:tcBorders>
              <w:top w:val="nil"/>
              <w:left w:val="dotted" w:sz="4" w:space="0" w:color="auto"/>
              <w:bottom w:val="nil"/>
              <w:right w:val="nil"/>
            </w:tcBorders>
            <w:shd w:val="clear" w:color="000000" w:fill="BFBFBF"/>
            <w:noWrap/>
            <w:vAlign w:val="center"/>
            <w:hideMark/>
          </w:tcPr>
          <w:p w14:paraId="0A9017F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0.12%</w:t>
            </w:r>
          </w:p>
        </w:tc>
      </w:tr>
      <w:tr w:rsidR="003B7C93" w:rsidRPr="00925D5C" w14:paraId="646F1C28"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0980A431"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Hearing Impairment </w:t>
            </w:r>
          </w:p>
        </w:tc>
        <w:tc>
          <w:tcPr>
            <w:tcW w:w="0" w:type="auto"/>
            <w:tcBorders>
              <w:top w:val="nil"/>
              <w:left w:val="dotted" w:sz="4" w:space="0" w:color="auto"/>
              <w:bottom w:val="nil"/>
              <w:right w:val="nil"/>
            </w:tcBorders>
            <w:shd w:val="clear" w:color="auto" w:fill="auto"/>
            <w:noWrap/>
            <w:vAlign w:val="center"/>
            <w:hideMark/>
          </w:tcPr>
          <w:p w14:paraId="2727AFE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0.29%</w:t>
            </w:r>
          </w:p>
        </w:tc>
        <w:tc>
          <w:tcPr>
            <w:tcW w:w="0" w:type="auto"/>
            <w:tcBorders>
              <w:top w:val="nil"/>
              <w:left w:val="nil"/>
              <w:bottom w:val="nil"/>
              <w:right w:val="nil"/>
            </w:tcBorders>
            <w:shd w:val="clear" w:color="auto" w:fill="auto"/>
            <w:noWrap/>
            <w:vAlign w:val="center"/>
            <w:hideMark/>
          </w:tcPr>
          <w:p w14:paraId="38945BC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0.34%</w:t>
            </w:r>
          </w:p>
        </w:tc>
        <w:tc>
          <w:tcPr>
            <w:tcW w:w="0" w:type="auto"/>
            <w:tcBorders>
              <w:top w:val="nil"/>
              <w:left w:val="nil"/>
              <w:bottom w:val="nil"/>
              <w:right w:val="nil"/>
            </w:tcBorders>
            <w:shd w:val="clear" w:color="auto" w:fill="auto"/>
            <w:noWrap/>
            <w:vAlign w:val="center"/>
            <w:hideMark/>
          </w:tcPr>
          <w:p w14:paraId="2E90DA5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0.19%</w:t>
            </w:r>
          </w:p>
        </w:tc>
        <w:tc>
          <w:tcPr>
            <w:tcW w:w="0" w:type="auto"/>
            <w:tcBorders>
              <w:top w:val="nil"/>
              <w:left w:val="nil"/>
              <w:bottom w:val="nil"/>
              <w:right w:val="nil"/>
            </w:tcBorders>
            <w:shd w:val="clear" w:color="auto" w:fill="auto"/>
            <w:noWrap/>
            <w:vAlign w:val="center"/>
            <w:hideMark/>
          </w:tcPr>
          <w:p w14:paraId="06155D0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0.26%</w:t>
            </w:r>
          </w:p>
        </w:tc>
        <w:tc>
          <w:tcPr>
            <w:tcW w:w="0" w:type="auto"/>
            <w:tcBorders>
              <w:top w:val="nil"/>
              <w:left w:val="nil"/>
              <w:bottom w:val="nil"/>
              <w:right w:val="nil"/>
            </w:tcBorders>
            <w:shd w:val="clear" w:color="auto" w:fill="auto"/>
            <w:noWrap/>
            <w:vAlign w:val="center"/>
            <w:hideMark/>
          </w:tcPr>
          <w:p w14:paraId="7C9DAC94"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0.27%</w:t>
            </w:r>
          </w:p>
        </w:tc>
        <w:tc>
          <w:tcPr>
            <w:tcW w:w="0" w:type="auto"/>
            <w:tcBorders>
              <w:top w:val="nil"/>
              <w:left w:val="nil"/>
              <w:bottom w:val="nil"/>
              <w:right w:val="dotted" w:sz="4" w:space="0" w:color="auto"/>
            </w:tcBorders>
            <w:shd w:val="clear" w:color="auto" w:fill="auto"/>
            <w:noWrap/>
            <w:vAlign w:val="center"/>
            <w:hideMark/>
          </w:tcPr>
          <w:p w14:paraId="47F292F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0.18%</w:t>
            </w:r>
          </w:p>
        </w:tc>
        <w:tc>
          <w:tcPr>
            <w:tcW w:w="0" w:type="auto"/>
            <w:tcBorders>
              <w:top w:val="nil"/>
              <w:left w:val="dotted" w:sz="4" w:space="0" w:color="auto"/>
              <w:bottom w:val="nil"/>
              <w:right w:val="nil"/>
            </w:tcBorders>
            <w:shd w:val="clear" w:color="auto" w:fill="auto"/>
            <w:noWrap/>
            <w:vAlign w:val="center"/>
            <w:hideMark/>
          </w:tcPr>
          <w:p w14:paraId="3FFCE878"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0.25%</w:t>
            </w:r>
          </w:p>
        </w:tc>
      </w:tr>
      <w:tr w:rsidR="003B7C93" w:rsidRPr="00925D5C" w14:paraId="5E4607CB" w14:textId="77777777" w:rsidTr="00925D5C">
        <w:trPr>
          <w:trHeight w:val="285"/>
        </w:trPr>
        <w:tc>
          <w:tcPr>
            <w:tcW w:w="0" w:type="auto"/>
            <w:tcBorders>
              <w:top w:val="nil"/>
              <w:left w:val="nil"/>
              <w:bottom w:val="nil"/>
              <w:right w:val="dotted" w:sz="4" w:space="0" w:color="auto"/>
            </w:tcBorders>
            <w:shd w:val="clear" w:color="000000" w:fill="BFBFBF"/>
            <w:noWrap/>
            <w:vAlign w:val="center"/>
            <w:hideMark/>
          </w:tcPr>
          <w:p w14:paraId="15981F33"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Intellectual Disability </w:t>
            </w:r>
          </w:p>
        </w:tc>
        <w:tc>
          <w:tcPr>
            <w:tcW w:w="0" w:type="auto"/>
            <w:tcBorders>
              <w:top w:val="nil"/>
              <w:left w:val="dotted" w:sz="4" w:space="0" w:color="auto"/>
              <w:bottom w:val="nil"/>
              <w:right w:val="nil"/>
            </w:tcBorders>
            <w:shd w:val="clear" w:color="000000" w:fill="BFBFBF"/>
            <w:noWrap/>
            <w:vAlign w:val="center"/>
            <w:hideMark/>
          </w:tcPr>
          <w:p w14:paraId="07F193E3"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0.69%</w:t>
            </w:r>
          </w:p>
        </w:tc>
        <w:tc>
          <w:tcPr>
            <w:tcW w:w="0" w:type="auto"/>
            <w:tcBorders>
              <w:top w:val="nil"/>
              <w:left w:val="nil"/>
              <w:bottom w:val="nil"/>
              <w:right w:val="nil"/>
            </w:tcBorders>
            <w:shd w:val="clear" w:color="000000" w:fill="BFBFBF"/>
            <w:noWrap/>
            <w:vAlign w:val="center"/>
            <w:hideMark/>
          </w:tcPr>
          <w:p w14:paraId="59C33352"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0.73%</w:t>
            </w:r>
          </w:p>
        </w:tc>
        <w:tc>
          <w:tcPr>
            <w:tcW w:w="0" w:type="auto"/>
            <w:tcBorders>
              <w:top w:val="nil"/>
              <w:left w:val="nil"/>
              <w:bottom w:val="nil"/>
              <w:right w:val="nil"/>
            </w:tcBorders>
            <w:shd w:val="clear" w:color="000000" w:fill="BFBFBF"/>
            <w:noWrap/>
            <w:vAlign w:val="center"/>
            <w:hideMark/>
          </w:tcPr>
          <w:p w14:paraId="3094B20C"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0.77%</w:t>
            </w:r>
          </w:p>
        </w:tc>
        <w:tc>
          <w:tcPr>
            <w:tcW w:w="0" w:type="auto"/>
            <w:tcBorders>
              <w:top w:val="nil"/>
              <w:left w:val="nil"/>
              <w:bottom w:val="nil"/>
              <w:right w:val="nil"/>
            </w:tcBorders>
            <w:shd w:val="clear" w:color="000000" w:fill="BFBFBF"/>
            <w:noWrap/>
            <w:vAlign w:val="center"/>
            <w:hideMark/>
          </w:tcPr>
          <w:p w14:paraId="537F475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0.77%</w:t>
            </w:r>
          </w:p>
        </w:tc>
        <w:tc>
          <w:tcPr>
            <w:tcW w:w="0" w:type="auto"/>
            <w:tcBorders>
              <w:top w:val="nil"/>
              <w:left w:val="nil"/>
              <w:bottom w:val="nil"/>
              <w:right w:val="nil"/>
            </w:tcBorders>
            <w:shd w:val="clear" w:color="000000" w:fill="BFBFBF"/>
            <w:noWrap/>
            <w:vAlign w:val="center"/>
            <w:hideMark/>
          </w:tcPr>
          <w:p w14:paraId="54E1557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0.77%</w:t>
            </w:r>
          </w:p>
        </w:tc>
        <w:tc>
          <w:tcPr>
            <w:tcW w:w="0" w:type="auto"/>
            <w:tcBorders>
              <w:top w:val="nil"/>
              <w:left w:val="nil"/>
              <w:bottom w:val="nil"/>
              <w:right w:val="dotted" w:sz="4" w:space="0" w:color="auto"/>
            </w:tcBorders>
            <w:shd w:val="clear" w:color="000000" w:fill="BFBFBF"/>
            <w:noWrap/>
            <w:vAlign w:val="center"/>
            <w:hideMark/>
          </w:tcPr>
          <w:p w14:paraId="63985CD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0.80%</w:t>
            </w:r>
          </w:p>
        </w:tc>
        <w:tc>
          <w:tcPr>
            <w:tcW w:w="0" w:type="auto"/>
            <w:tcBorders>
              <w:top w:val="nil"/>
              <w:left w:val="dotted" w:sz="4" w:space="0" w:color="auto"/>
              <w:bottom w:val="nil"/>
              <w:right w:val="nil"/>
            </w:tcBorders>
            <w:shd w:val="clear" w:color="000000" w:fill="BFBFBF"/>
            <w:noWrap/>
            <w:vAlign w:val="center"/>
            <w:hideMark/>
          </w:tcPr>
          <w:p w14:paraId="672DACA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0.76%</w:t>
            </w:r>
          </w:p>
        </w:tc>
      </w:tr>
      <w:tr w:rsidR="003B7C93" w:rsidRPr="00925D5C" w14:paraId="5504E0B3"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3FA5D143"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Multiple Sclerosis </w:t>
            </w:r>
          </w:p>
        </w:tc>
        <w:tc>
          <w:tcPr>
            <w:tcW w:w="0" w:type="auto"/>
            <w:tcBorders>
              <w:top w:val="nil"/>
              <w:left w:val="dotted" w:sz="4" w:space="0" w:color="auto"/>
              <w:bottom w:val="nil"/>
              <w:right w:val="nil"/>
            </w:tcBorders>
            <w:shd w:val="clear" w:color="auto" w:fill="auto"/>
            <w:noWrap/>
            <w:vAlign w:val="center"/>
            <w:hideMark/>
          </w:tcPr>
          <w:p w14:paraId="5759BB0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1.31%</w:t>
            </w:r>
          </w:p>
        </w:tc>
        <w:tc>
          <w:tcPr>
            <w:tcW w:w="0" w:type="auto"/>
            <w:tcBorders>
              <w:top w:val="nil"/>
              <w:left w:val="nil"/>
              <w:bottom w:val="nil"/>
              <w:right w:val="nil"/>
            </w:tcBorders>
            <w:shd w:val="clear" w:color="auto" w:fill="auto"/>
            <w:noWrap/>
            <w:vAlign w:val="center"/>
            <w:hideMark/>
          </w:tcPr>
          <w:p w14:paraId="2867C9A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1.35%</w:t>
            </w:r>
          </w:p>
        </w:tc>
        <w:tc>
          <w:tcPr>
            <w:tcW w:w="0" w:type="auto"/>
            <w:tcBorders>
              <w:top w:val="nil"/>
              <w:left w:val="nil"/>
              <w:bottom w:val="nil"/>
              <w:right w:val="nil"/>
            </w:tcBorders>
            <w:shd w:val="clear" w:color="auto" w:fill="auto"/>
            <w:noWrap/>
            <w:vAlign w:val="center"/>
            <w:hideMark/>
          </w:tcPr>
          <w:p w14:paraId="30B0505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1.39%</w:t>
            </w:r>
          </w:p>
        </w:tc>
        <w:tc>
          <w:tcPr>
            <w:tcW w:w="0" w:type="auto"/>
            <w:tcBorders>
              <w:top w:val="nil"/>
              <w:left w:val="nil"/>
              <w:bottom w:val="nil"/>
              <w:right w:val="nil"/>
            </w:tcBorders>
            <w:shd w:val="clear" w:color="auto" w:fill="auto"/>
            <w:noWrap/>
            <w:vAlign w:val="center"/>
            <w:hideMark/>
          </w:tcPr>
          <w:p w14:paraId="7707857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1.43%</w:t>
            </w:r>
          </w:p>
        </w:tc>
        <w:tc>
          <w:tcPr>
            <w:tcW w:w="0" w:type="auto"/>
            <w:tcBorders>
              <w:top w:val="nil"/>
              <w:left w:val="nil"/>
              <w:bottom w:val="nil"/>
              <w:right w:val="nil"/>
            </w:tcBorders>
            <w:shd w:val="clear" w:color="auto" w:fill="auto"/>
            <w:noWrap/>
            <w:vAlign w:val="center"/>
            <w:hideMark/>
          </w:tcPr>
          <w:p w14:paraId="7698920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1.46%</w:t>
            </w:r>
          </w:p>
        </w:tc>
        <w:tc>
          <w:tcPr>
            <w:tcW w:w="0" w:type="auto"/>
            <w:tcBorders>
              <w:top w:val="nil"/>
              <w:left w:val="nil"/>
              <w:bottom w:val="nil"/>
              <w:right w:val="dotted" w:sz="4" w:space="0" w:color="auto"/>
            </w:tcBorders>
            <w:shd w:val="clear" w:color="auto" w:fill="auto"/>
            <w:noWrap/>
            <w:vAlign w:val="center"/>
            <w:hideMark/>
          </w:tcPr>
          <w:p w14:paraId="5627085C"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1.47%</w:t>
            </w:r>
          </w:p>
        </w:tc>
        <w:tc>
          <w:tcPr>
            <w:tcW w:w="0" w:type="auto"/>
            <w:tcBorders>
              <w:top w:val="nil"/>
              <w:left w:val="dotted" w:sz="4" w:space="0" w:color="auto"/>
              <w:bottom w:val="nil"/>
              <w:right w:val="nil"/>
            </w:tcBorders>
            <w:shd w:val="clear" w:color="auto" w:fill="auto"/>
            <w:noWrap/>
            <w:vAlign w:val="center"/>
            <w:hideMark/>
          </w:tcPr>
          <w:p w14:paraId="327887F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1.41%</w:t>
            </w:r>
          </w:p>
        </w:tc>
      </w:tr>
      <w:tr w:rsidR="003B7C93" w:rsidRPr="00925D5C" w14:paraId="48BDE44C" w14:textId="77777777" w:rsidTr="00925D5C">
        <w:trPr>
          <w:trHeight w:val="285"/>
        </w:trPr>
        <w:tc>
          <w:tcPr>
            <w:tcW w:w="0" w:type="auto"/>
            <w:tcBorders>
              <w:top w:val="nil"/>
              <w:left w:val="nil"/>
              <w:bottom w:val="nil"/>
              <w:right w:val="dotted" w:sz="4" w:space="0" w:color="auto"/>
            </w:tcBorders>
            <w:shd w:val="clear" w:color="000000" w:fill="BFBFBF"/>
            <w:noWrap/>
            <w:vAlign w:val="center"/>
            <w:hideMark/>
          </w:tcPr>
          <w:p w14:paraId="372D284A"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Psychosocial disability </w:t>
            </w:r>
          </w:p>
        </w:tc>
        <w:tc>
          <w:tcPr>
            <w:tcW w:w="0" w:type="auto"/>
            <w:tcBorders>
              <w:top w:val="nil"/>
              <w:left w:val="dotted" w:sz="4" w:space="0" w:color="auto"/>
              <w:bottom w:val="nil"/>
              <w:right w:val="nil"/>
            </w:tcBorders>
            <w:shd w:val="clear" w:color="000000" w:fill="BFBFBF"/>
            <w:noWrap/>
            <w:vAlign w:val="center"/>
            <w:hideMark/>
          </w:tcPr>
          <w:p w14:paraId="5A6F82FC"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0.96%</w:t>
            </w:r>
          </w:p>
        </w:tc>
        <w:tc>
          <w:tcPr>
            <w:tcW w:w="0" w:type="auto"/>
            <w:tcBorders>
              <w:top w:val="nil"/>
              <w:left w:val="nil"/>
              <w:bottom w:val="nil"/>
              <w:right w:val="nil"/>
            </w:tcBorders>
            <w:shd w:val="clear" w:color="000000" w:fill="BFBFBF"/>
            <w:noWrap/>
            <w:vAlign w:val="center"/>
            <w:hideMark/>
          </w:tcPr>
          <w:p w14:paraId="0300F12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1.02%</w:t>
            </w:r>
          </w:p>
        </w:tc>
        <w:tc>
          <w:tcPr>
            <w:tcW w:w="0" w:type="auto"/>
            <w:tcBorders>
              <w:top w:val="nil"/>
              <w:left w:val="nil"/>
              <w:bottom w:val="nil"/>
              <w:right w:val="nil"/>
            </w:tcBorders>
            <w:shd w:val="clear" w:color="000000" w:fill="BFBFBF"/>
            <w:noWrap/>
            <w:vAlign w:val="center"/>
            <w:hideMark/>
          </w:tcPr>
          <w:p w14:paraId="56309626"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1.05%</w:t>
            </w:r>
          </w:p>
        </w:tc>
        <w:tc>
          <w:tcPr>
            <w:tcW w:w="0" w:type="auto"/>
            <w:tcBorders>
              <w:top w:val="nil"/>
              <w:left w:val="nil"/>
              <w:bottom w:val="nil"/>
              <w:right w:val="nil"/>
            </w:tcBorders>
            <w:shd w:val="clear" w:color="000000" w:fill="BFBFBF"/>
            <w:noWrap/>
            <w:vAlign w:val="center"/>
            <w:hideMark/>
          </w:tcPr>
          <w:p w14:paraId="20FD0AFF"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1.07%</w:t>
            </w:r>
          </w:p>
        </w:tc>
        <w:tc>
          <w:tcPr>
            <w:tcW w:w="0" w:type="auto"/>
            <w:tcBorders>
              <w:top w:val="nil"/>
              <w:left w:val="nil"/>
              <w:bottom w:val="nil"/>
              <w:right w:val="nil"/>
            </w:tcBorders>
            <w:shd w:val="clear" w:color="000000" w:fill="BFBFBF"/>
            <w:noWrap/>
            <w:vAlign w:val="center"/>
            <w:hideMark/>
          </w:tcPr>
          <w:p w14:paraId="269BA54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1.09%</w:t>
            </w:r>
          </w:p>
        </w:tc>
        <w:tc>
          <w:tcPr>
            <w:tcW w:w="0" w:type="auto"/>
            <w:tcBorders>
              <w:top w:val="nil"/>
              <w:left w:val="nil"/>
              <w:bottom w:val="nil"/>
              <w:right w:val="dotted" w:sz="4" w:space="0" w:color="auto"/>
            </w:tcBorders>
            <w:shd w:val="clear" w:color="000000" w:fill="BFBFBF"/>
            <w:noWrap/>
            <w:vAlign w:val="center"/>
            <w:hideMark/>
          </w:tcPr>
          <w:p w14:paraId="3C20DAC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1.10%</w:t>
            </w:r>
          </w:p>
        </w:tc>
        <w:tc>
          <w:tcPr>
            <w:tcW w:w="0" w:type="auto"/>
            <w:tcBorders>
              <w:top w:val="nil"/>
              <w:left w:val="dotted" w:sz="4" w:space="0" w:color="auto"/>
              <w:bottom w:val="nil"/>
              <w:right w:val="nil"/>
            </w:tcBorders>
            <w:shd w:val="clear" w:color="000000" w:fill="BFBFBF"/>
            <w:noWrap/>
            <w:vAlign w:val="center"/>
            <w:hideMark/>
          </w:tcPr>
          <w:p w14:paraId="5374F3E8"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1.06%</w:t>
            </w:r>
          </w:p>
        </w:tc>
      </w:tr>
      <w:tr w:rsidR="003B7C93" w:rsidRPr="00925D5C" w14:paraId="4770D63B"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37EC095B"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Spinal Cord Injury </w:t>
            </w:r>
          </w:p>
        </w:tc>
        <w:tc>
          <w:tcPr>
            <w:tcW w:w="0" w:type="auto"/>
            <w:tcBorders>
              <w:top w:val="nil"/>
              <w:left w:val="dotted" w:sz="4" w:space="0" w:color="auto"/>
              <w:bottom w:val="nil"/>
              <w:right w:val="nil"/>
            </w:tcBorders>
            <w:shd w:val="clear" w:color="auto" w:fill="auto"/>
            <w:noWrap/>
            <w:vAlign w:val="center"/>
            <w:hideMark/>
          </w:tcPr>
          <w:p w14:paraId="752FC86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1.70%</w:t>
            </w:r>
          </w:p>
        </w:tc>
        <w:tc>
          <w:tcPr>
            <w:tcW w:w="0" w:type="auto"/>
            <w:tcBorders>
              <w:top w:val="nil"/>
              <w:left w:val="nil"/>
              <w:bottom w:val="nil"/>
              <w:right w:val="nil"/>
            </w:tcBorders>
            <w:shd w:val="clear" w:color="auto" w:fill="auto"/>
            <w:noWrap/>
            <w:vAlign w:val="center"/>
            <w:hideMark/>
          </w:tcPr>
          <w:p w14:paraId="45287AF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1.74%</w:t>
            </w:r>
          </w:p>
        </w:tc>
        <w:tc>
          <w:tcPr>
            <w:tcW w:w="0" w:type="auto"/>
            <w:tcBorders>
              <w:top w:val="nil"/>
              <w:left w:val="nil"/>
              <w:bottom w:val="nil"/>
              <w:right w:val="nil"/>
            </w:tcBorders>
            <w:shd w:val="clear" w:color="auto" w:fill="auto"/>
            <w:noWrap/>
            <w:vAlign w:val="center"/>
            <w:hideMark/>
          </w:tcPr>
          <w:p w14:paraId="3D029506"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1.75%</w:t>
            </w:r>
          </w:p>
        </w:tc>
        <w:tc>
          <w:tcPr>
            <w:tcW w:w="0" w:type="auto"/>
            <w:tcBorders>
              <w:top w:val="nil"/>
              <w:left w:val="nil"/>
              <w:bottom w:val="nil"/>
              <w:right w:val="nil"/>
            </w:tcBorders>
            <w:shd w:val="clear" w:color="auto" w:fill="auto"/>
            <w:noWrap/>
            <w:vAlign w:val="center"/>
            <w:hideMark/>
          </w:tcPr>
          <w:p w14:paraId="271BD69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1.77%</w:t>
            </w:r>
          </w:p>
        </w:tc>
        <w:tc>
          <w:tcPr>
            <w:tcW w:w="0" w:type="auto"/>
            <w:tcBorders>
              <w:top w:val="nil"/>
              <w:left w:val="nil"/>
              <w:bottom w:val="nil"/>
              <w:right w:val="nil"/>
            </w:tcBorders>
            <w:shd w:val="clear" w:color="auto" w:fill="auto"/>
            <w:noWrap/>
            <w:vAlign w:val="center"/>
            <w:hideMark/>
          </w:tcPr>
          <w:p w14:paraId="7204C076"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1.80%</w:t>
            </w:r>
          </w:p>
        </w:tc>
        <w:tc>
          <w:tcPr>
            <w:tcW w:w="0" w:type="auto"/>
            <w:tcBorders>
              <w:top w:val="nil"/>
              <w:left w:val="nil"/>
              <w:bottom w:val="nil"/>
              <w:right w:val="dotted" w:sz="4" w:space="0" w:color="auto"/>
            </w:tcBorders>
            <w:shd w:val="clear" w:color="auto" w:fill="auto"/>
            <w:noWrap/>
            <w:vAlign w:val="center"/>
            <w:hideMark/>
          </w:tcPr>
          <w:p w14:paraId="3B586C0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1.81%</w:t>
            </w:r>
          </w:p>
        </w:tc>
        <w:tc>
          <w:tcPr>
            <w:tcW w:w="0" w:type="auto"/>
            <w:tcBorders>
              <w:top w:val="nil"/>
              <w:left w:val="dotted" w:sz="4" w:space="0" w:color="auto"/>
              <w:bottom w:val="nil"/>
              <w:right w:val="nil"/>
            </w:tcBorders>
            <w:shd w:val="clear" w:color="auto" w:fill="auto"/>
            <w:noWrap/>
            <w:vAlign w:val="center"/>
            <w:hideMark/>
          </w:tcPr>
          <w:p w14:paraId="4A33FCA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1.77%</w:t>
            </w:r>
          </w:p>
        </w:tc>
      </w:tr>
      <w:tr w:rsidR="003B7C93" w:rsidRPr="00925D5C" w14:paraId="71FE82F4" w14:textId="77777777" w:rsidTr="00925D5C">
        <w:trPr>
          <w:trHeight w:val="285"/>
        </w:trPr>
        <w:tc>
          <w:tcPr>
            <w:tcW w:w="0" w:type="auto"/>
            <w:tcBorders>
              <w:top w:val="nil"/>
              <w:left w:val="nil"/>
              <w:bottom w:val="nil"/>
              <w:right w:val="dotted" w:sz="4" w:space="0" w:color="auto"/>
            </w:tcBorders>
            <w:shd w:val="clear" w:color="000000" w:fill="BFBFBF"/>
            <w:noWrap/>
            <w:vAlign w:val="center"/>
            <w:hideMark/>
          </w:tcPr>
          <w:p w14:paraId="4ED7726B"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Stroke </w:t>
            </w:r>
          </w:p>
        </w:tc>
        <w:tc>
          <w:tcPr>
            <w:tcW w:w="0" w:type="auto"/>
            <w:tcBorders>
              <w:top w:val="nil"/>
              <w:left w:val="dotted" w:sz="4" w:space="0" w:color="auto"/>
              <w:bottom w:val="nil"/>
              <w:right w:val="nil"/>
            </w:tcBorders>
            <w:shd w:val="clear" w:color="000000" w:fill="BFBFBF"/>
            <w:noWrap/>
            <w:vAlign w:val="center"/>
            <w:hideMark/>
          </w:tcPr>
          <w:p w14:paraId="3A4D5CAC"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2.59%</w:t>
            </w:r>
          </w:p>
        </w:tc>
        <w:tc>
          <w:tcPr>
            <w:tcW w:w="0" w:type="auto"/>
            <w:tcBorders>
              <w:top w:val="nil"/>
              <w:left w:val="nil"/>
              <w:bottom w:val="nil"/>
              <w:right w:val="nil"/>
            </w:tcBorders>
            <w:shd w:val="clear" w:color="000000" w:fill="BFBFBF"/>
            <w:noWrap/>
            <w:vAlign w:val="center"/>
            <w:hideMark/>
          </w:tcPr>
          <w:p w14:paraId="44E8F83E"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2.62%</w:t>
            </w:r>
          </w:p>
        </w:tc>
        <w:tc>
          <w:tcPr>
            <w:tcW w:w="0" w:type="auto"/>
            <w:tcBorders>
              <w:top w:val="nil"/>
              <w:left w:val="nil"/>
              <w:bottom w:val="nil"/>
              <w:right w:val="nil"/>
            </w:tcBorders>
            <w:shd w:val="clear" w:color="000000" w:fill="BFBFBF"/>
            <w:noWrap/>
            <w:vAlign w:val="center"/>
            <w:hideMark/>
          </w:tcPr>
          <w:p w14:paraId="3888407C"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2.65%</w:t>
            </w:r>
          </w:p>
        </w:tc>
        <w:tc>
          <w:tcPr>
            <w:tcW w:w="0" w:type="auto"/>
            <w:tcBorders>
              <w:top w:val="nil"/>
              <w:left w:val="nil"/>
              <w:bottom w:val="nil"/>
              <w:right w:val="nil"/>
            </w:tcBorders>
            <w:shd w:val="clear" w:color="000000" w:fill="BFBFBF"/>
            <w:noWrap/>
            <w:vAlign w:val="center"/>
            <w:hideMark/>
          </w:tcPr>
          <w:p w14:paraId="5E1EA658"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2.71%</w:t>
            </w:r>
          </w:p>
        </w:tc>
        <w:tc>
          <w:tcPr>
            <w:tcW w:w="0" w:type="auto"/>
            <w:tcBorders>
              <w:top w:val="nil"/>
              <w:left w:val="nil"/>
              <w:bottom w:val="nil"/>
              <w:right w:val="nil"/>
            </w:tcBorders>
            <w:shd w:val="clear" w:color="000000" w:fill="BFBFBF"/>
            <w:noWrap/>
            <w:vAlign w:val="center"/>
            <w:hideMark/>
          </w:tcPr>
          <w:p w14:paraId="58E05AE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2.77%</w:t>
            </w:r>
          </w:p>
        </w:tc>
        <w:tc>
          <w:tcPr>
            <w:tcW w:w="0" w:type="auto"/>
            <w:tcBorders>
              <w:top w:val="nil"/>
              <w:left w:val="nil"/>
              <w:bottom w:val="nil"/>
              <w:right w:val="dotted" w:sz="4" w:space="0" w:color="auto"/>
            </w:tcBorders>
            <w:shd w:val="clear" w:color="000000" w:fill="BFBFBF"/>
            <w:noWrap/>
            <w:vAlign w:val="center"/>
            <w:hideMark/>
          </w:tcPr>
          <w:p w14:paraId="320B4C92"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2.79%</w:t>
            </w:r>
          </w:p>
        </w:tc>
        <w:tc>
          <w:tcPr>
            <w:tcW w:w="0" w:type="auto"/>
            <w:tcBorders>
              <w:top w:val="nil"/>
              <w:left w:val="dotted" w:sz="4" w:space="0" w:color="auto"/>
              <w:bottom w:val="nil"/>
              <w:right w:val="nil"/>
            </w:tcBorders>
            <w:shd w:val="clear" w:color="000000" w:fill="BFBFBF"/>
            <w:noWrap/>
            <w:vAlign w:val="center"/>
            <w:hideMark/>
          </w:tcPr>
          <w:p w14:paraId="768546E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2.71%</w:t>
            </w:r>
          </w:p>
        </w:tc>
      </w:tr>
      <w:tr w:rsidR="003B7C93" w:rsidRPr="00925D5C" w14:paraId="3D170489"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4BF2C5E6"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Visual Impairment </w:t>
            </w:r>
          </w:p>
        </w:tc>
        <w:tc>
          <w:tcPr>
            <w:tcW w:w="0" w:type="auto"/>
            <w:tcBorders>
              <w:top w:val="nil"/>
              <w:left w:val="dotted" w:sz="4" w:space="0" w:color="auto"/>
              <w:bottom w:val="nil"/>
              <w:right w:val="nil"/>
            </w:tcBorders>
            <w:shd w:val="clear" w:color="auto" w:fill="auto"/>
            <w:noWrap/>
            <w:vAlign w:val="center"/>
            <w:hideMark/>
          </w:tcPr>
          <w:p w14:paraId="3B9EDAC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0.88%</w:t>
            </w:r>
          </w:p>
        </w:tc>
        <w:tc>
          <w:tcPr>
            <w:tcW w:w="0" w:type="auto"/>
            <w:tcBorders>
              <w:top w:val="nil"/>
              <w:left w:val="nil"/>
              <w:bottom w:val="nil"/>
              <w:right w:val="nil"/>
            </w:tcBorders>
            <w:shd w:val="clear" w:color="auto" w:fill="auto"/>
            <w:noWrap/>
            <w:vAlign w:val="center"/>
            <w:hideMark/>
          </w:tcPr>
          <w:p w14:paraId="583ADB8E"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0.96%</w:t>
            </w:r>
          </w:p>
        </w:tc>
        <w:tc>
          <w:tcPr>
            <w:tcW w:w="0" w:type="auto"/>
            <w:tcBorders>
              <w:top w:val="nil"/>
              <w:left w:val="nil"/>
              <w:bottom w:val="nil"/>
              <w:right w:val="nil"/>
            </w:tcBorders>
            <w:shd w:val="clear" w:color="auto" w:fill="auto"/>
            <w:noWrap/>
            <w:vAlign w:val="center"/>
            <w:hideMark/>
          </w:tcPr>
          <w:p w14:paraId="6505AE53"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1.03%</w:t>
            </w:r>
          </w:p>
        </w:tc>
        <w:tc>
          <w:tcPr>
            <w:tcW w:w="0" w:type="auto"/>
            <w:tcBorders>
              <w:top w:val="nil"/>
              <w:left w:val="nil"/>
              <w:bottom w:val="nil"/>
              <w:right w:val="nil"/>
            </w:tcBorders>
            <w:shd w:val="clear" w:color="auto" w:fill="auto"/>
            <w:noWrap/>
            <w:vAlign w:val="center"/>
            <w:hideMark/>
          </w:tcPr>
          <w:p w14:paraId="25FD9AE4"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1.09%</w:t>
            </w:r>
          </w:p>
        </w:tc>
        <w:tc>
          <w:tcPr>
            <w:tcW w:w="0" w:type="auto"/>
            <w:tcBorders>
              <w:top w:val="nil"/>
              <w:left w:val="nil"/>
              <w:bottom w:val="nil"/>
              <w:right w:val="nil"/>
            </w:tcBorders>
            <w:shd w:val="clear" w:color="auto" w:fill="auto"/>
            <w:noWrap/>
            <w:vAlign w:val="center"/>
            <w:hideMark/>
          </w:tcPr>
          <w:p w14:paraId="0D2BF68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1.16%</w:t>
            </w:r>
          </w:p>
        </w:tc>
        <w:tc>
          <w:tcPr>
            <w:tcW w:w="0" w:type="auto"/>
            <w:tcBorders>
              <w:top w:val="nil"/>
              <w:left w:val="nil"/>
              <w:bottom w:val="nil"/>
              <w:right w:val="dotted" w:sz="4" w:space="0" w:color="auto"/>
            </w:tcBorders>
            <w:shd w:val="clear" w:color="auto" w:fill="auto"/>
            <w:noWrap/>
            <w:vAlign w:val="center"/>
            <w:hideMark/>
          </w:tcPr>
          <w:p w14:paraId="6A9D100D"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1.20%</w:t>
            </w:r>
          </w:p>
        </w:tc>
        <w:tc>
          <w:tcPr>
            <w:tcW w:w="0" w:type="auto"/>
            <w:tcBorders>
              <w:top w:val="nil"/>
              <w:left w:val="dotted" w:sz="4" w:space="0" w:color="auto"/>
              <w:bottom w:val="nil"/>
              <w:right w:val="nil"/>
            </w:tcBorders>
            <w:shd w:val="clear" w:color="auto" w:fill="auto"/>
            <w:noWrap/>
            <w:vAlign w:val="center"/>
            <w:hideMark/>
          </w:tcPr>
          <w:p w14:paraId="267DA45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1.07%</w:t>
            </w:r>
          </w:p>
        </w:tc>
      </w:tr>
      <w:tr w:rsidR="003B7C93" w:rsidRPr="00925D5C" w14:paraId="34215A8A" w14:textId="77777777" w:rsidTr="00925D5C">
        <w:trPr>
          <w:trHeight w:val="285"/>
        </w:trPr>
        <w:tc>
          <w:tcPr>
            <w:tcW w:w="0" w:type="auto"/>
            <w:tcBorders>
              <w:top w:val="nil"/>
              <w:left w:val="nil"/>
              <w:bottom w:val="nil"/>
              <w:right w:val="dotted" w:sz="4" w:space="0" w:color="auto"/>
            </w:tcBorders>
            <w:shd w:val="clear" w:color="000000" w:fill="BFBFBF"/>
            <w:noWrap/>
            <w:vAlign w:val="center"/>
            <w:hideMark/>
          </w:tcPr>
          <w:p w14:paraId="3715CE91"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Other Neurological </w:t>
            </w:r>
          </w:p>
        </w:tc>
        <w:tc>
          <w:tcPr>
            <w:tcW w:w="0" w:type="auto"/>
            <w:tcBorders>
              <w:top w:val="nil"/>
              <w:left w:val="dotted" w:sz="4" w:space="0" w:color="auto"/>
              <w:bottom w:val="nil"/>
              <w:right w:val="nil"/>
            </w:tcBorders>
            <w:shd w:val="clear" w:color="000000" w:fill="BFBFBF"/>
            <w:noWrap/>
            <w:vAlign w:val="center"/>
            <w:hideMark/>
          </w:tcPr>
          <w:p w14:paraId="5AA25F8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4.48%</w:t>
            </w:r>
          </w:p>
        </w:tc>
        <w:tc>
          <w:tcPr>
            <w:tcW w:w="0" w:type="auto"/>
            <w:tcBorders>
              <w:top w:val="nil"/>
              <w:left w:val="nil"/>
              <w:bottom w:val="nil"/>
              <w:right w:val="nil"/>
            </w:tcBorders>
            <w:shd w:val="clear" w:color="000000" w:fill="BFBFBF"/>
            <w:noWrap/>
            <w:vAlign w:val="center"/>
            <w:hideMark/>
          </w:tcPr>
          <w:p w14:paraId="22368EA3"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4.98%</w:t>
            </w:r>
          </w:p>
        </w:tc>
        <w:tc>
          <w:tcPr>
            <w:tcW w:w="0" w:type="auto"/>
            <w:tcBorders>
              <w:top w:val="nil"/>
              <w:left w:val="nil"/>
              <w:bottom w:val="nil"/>
              <w:right w:val="nil"/>
            </w:tcBorders>
            <w:shd w:val="clear" w:color="000000" w:fill="BFBFBF"/>
            <w:noWrap/>
            <w:vAlign w:val="center"/>
            <w:hideMark/>
          </w:tcPr>
          <w:p w14:paraId="220AD49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5.17%</w:t>
            </w:r>
          </w:p>
        </w:tc>
        <w:tc>
          <w:tcPr>
            <w:tcW w:w="0" w:type="auto"/>
            <w:tcBorders>
              <w:top w:val="nil"/>
              <w:left w:val="nil"/>
              <w:bottom w:val="nil"/>
              <w:right w:val="nil"/>
            </w:tcBorders>
            <w:shd w:val="clear" w:color="000000" w:fill="BFBFBF"/>
            <w:noWrap/>
            <w:vAlign w:val="center"/>
            <w:hideMark/>
          </w:tcPr>
          <w:p w14:paraId="148A626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5.24%</w:t>
            </w:r>
          </w:p>
        </w:tc>
        <w:tc>
          <w:tcPr>
            <w:tcW w:w="0" w:type="auto"/>
            <w:tcBorders>
              <w:top w:val="nil"/>
              <w:left w:val="nil"/>
              <w:bottom w:val="nil"/>
              <w:right w:val="nil"/>
            </w:tcBorders>
            <w:shd w:val="clear" w:color="000000" w:fill="BFBFBF"/>
            <w:noWrap/>
            <w:vAlign w:val="center"/>
            <w:hideMark/>
          </w:tcPr>
          <w:p w14:paraId="1BECB53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5.22%</w:t>
            </w:r>
          </w:p>
        </w:tc>
        <w:tc>
          <w:tcPr>
            <w:tcW w:w="0" w:type="auto"/>
            <w:tcBorders>
              <w:top w:val="nil"/>
              <w:left w:val="nil"/>
              <w:bottom w:val="nil"/>
              <w:right w:val="dotted" w:sz="4" w:space="0" w:color="auto"/>
            </w:tcBorders>
            <w:shd w:val="clear" w:color="000000" w:fill="BFBFBF"/>
            <w:noWrap/>
            <w:vAlign w:val="center"/>
            <w:hideMark/>
          </w:tcPr>
          <w:p w14:paraId="62F115F6"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5.16%</w:t>
            </w:r>
          </w:p>
        </w:tc>
        <w:tc>
          <w:tcPr>
            <w:tcW w:w="0" w:type="auto"/>
            <w:tcBorders>
              <w:top w:val="nil"/>
              <w:left w:val="dotted" w:sz="4" w:space="0" w:color="auto"/>
              <w:bottom w:val="nil"/>
              <w:right w:val="nil"/>
            </w:tcBorders>
            <w:shd w:val="clear" w:color="000000" w:fill="BFBFBF"/>
            <w:noWrap/>
            <w:vAlign w:val="center"/>
            <w:hideMark/>
          </w:tcPr>
          <w:p w14:paraId="55E4586E"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5.13%</w:t>
            </w:r>
          </w:p>
        </w:tc>
      </w:tr>
      <w:tr w:rsidR="003B7C93" w:rsidRPr="00925D5C" w14:paraId="0A2C92C1"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7E9B2D28"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Other Physical </w:t>
            </w:r>
          </w:p>
        </w:tc>
        <w:tc>
          <w:tcPr>
            <w:tcW w:w="0" w:type="auto"/>
            <w:tcBorders>
              <w:top w:val="nil"/>
              <w:left w:val="dotted" w:sz="4" w:space="0" w:color="auto"/>
              <w:bottom w:val="nil"/>
              <w:right w:val="nil"/>
            </w:tcBorders>
            <w:shd w:val="clear" w:color="auto" w:fill="auto"/>
            <w:noWrap/>
            <w:vAlign w:val="center"/>
            <w:hideMark/>
          </w:tcPr>
          <w:p w14:paraId="22204D3F"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3.63%</w:t>
            </w:r>
          </w:p>
        </w:tc>
        <w:tc>
          <w:tcPr>
            <w:tcW w:w="0" w:type="auto"/>
            <w:tcBorders>
              <w:top w:val="nil"/>
              <w:left w:val="nil"/>
              <w:bottom w:val="nil"/>
              <w:right w:val="nil"/>
            </w:tcBorders>
            <w:shd w:val="clear" w:color="auto" w:fill="auto"/>
            <w:noWrap/>
            <w:vAlign w:val="center"/>
            <w:hideMark/>
          </w:tcPr>
          <w:p w14:paraId="4C402B26"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3.71%</w:t>
            </w:r>
          </w:p>
        </w:tc>
        <w:tc>
          <w:tcPr>
            <w:tcW w:w="0" w:type="auto"/>
            <w:tcBorders>
              <w:top w:val="nil"/>
              <w:left w:val="nil"/>
              <w:bottom w:val="nil"/>
              <w:right w:val="nil"/>
            </w:tcBorders>
            <w:shd w:val="clear" w:color="auto" w:fill="auto"/>
            <w:noWrap/>
            <w:vAlign w:val="center"/>
            <w:hideMark/>
          </w:tcPr>
          <w:p w14:paraId="54C432A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3.74%</w:t>
            </w:r>
          </w:p>
        </w:tc>
        <w:tc>
          <w:tcPr>
            <w:tcW w:w="0" w:type="auto"/>
            <w:tcBorders>
              <w:top w:val="nil"/>
              <w:left w:val="nil"/>
              <w:bottom w:val="nil"/>
              <w:right w:val="nil"/>
            </w:tcBorders>
            <w:shd w:val="clear" w:color="auto" w:fill="auto"/>
            <w:noWrap/>
            <w:vAlign w:val="center"/>
            <w:hideMark/>
          </w:tcPr>
          <w:p w14:paraId="05D85FC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3.84%</w:t>
            </w:r>
          </w:p>
        </w:tc>
        <w:tc>
          <w:tcPr>
            <w:tcW w:w="0" w:type="auto"/>
            <w:tcBorders>
              <w:top w:val="nil"/>
              <w:left w:val="nil"/>
              <w:bottom w:val="nil"/>
              <w:right w:val="nil"/>
            </w:tcBorders>
            <w:shd w:val="clear" w:color="auto" w:fill="auto"/>
            <w:noWrap/>
            <w:vAlign w:val="center"/>
            <w:hideMark/>
          </w:tcPr>
          <w:p w14:paraId="58DF1BB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3.90%</w:t>
            </w:r>
          </w:p>
        </w:tc>
        <w:tc>
          <w:tcPr>
            <w:tcW w:w="0" w:type="auto"/>
            <w:tcBorders>
              <w:top w:val="nil"/>
              <w:left w:val="nil"/>
              <w:bottom w:val="nil"/>
              <w:right w:val="dotted" w:sz="4" w:space="0" w:color="auto"/>
            </w:tcBorders>
            <w:shd w:val="clear" w:color="auto" w:fill="auto"/>
            <w:noWrap/>
            <w:vAlign w:val="center"/>
            <w:hideMark/>
          </w:tcPr>
          <w:p w14:paraId="02377E86"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3.90%</w:t>
            </w:r>
          </w:p>
        </w:tc>
        <w:tc>
          <w:tcPr>
            <w:tcW w:w="0" w:type="auto"/>
            <w:tcBorders>
              <w:top w:val="nil"/>
              <w:left w:val="dotted" w:sz="4" w:space="0" w:color="auto"/>
              <w:bottom w:val="nil"/>
              <w:right w:val="nil"/>
            </w:tcBorders>
            <w:shd w:val="clear" w:color="auto" w:fill="auto"/>
            <w:noWrap/>
            <w:vAlign w:val="center"/>
            <w:hideMark/>
          </w:tcPr>
          <w:p w14:paraId="25FD86E4"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3.82%</w:t>
            </w:r>
          </w:p>
        </w:tc>
      </w:tr>
      <w:tr w:rsidR="003B7C93" w:rsidRPr="00925D5C" w14:paraId="4176062A" w14:textId="77777777" w:rsidTr="00925D5C">
        <w:trPr>
          <w:trHeight w:val="285"/>
        </w:trPr>
        <w:tc>
          <w:tcPr>
            <w:tcW w:w="0" w:type="auto"/>
            <w:tcBorders>
              <w:top w:val="nil"/>
              <w:left w:val="nil"/>
              <w:bottom w:val="nil"/>
              <w:right w:val="dotted" w:sz="4" w:space="0" w:color="auto"/>
            </w:tcBorders>
            <w:shd w:val="clear" w:color="000000" w:fill="BFBFBF"/>
            <w:noWrap/>
            <w:vAlign w:val="center"/>
            <w:hideMark/>
          </w:tcPr>
          <w:p w14:paraId="6B06A9E3"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Other Sensory/Speech </w:t>
            </w:r>
          </w:p>
        </w:tc>
        <w:tc>
          <w:tcPr>
            <w:tcW w:w="0" w:type="auto"/>
            <w:tcBorders>
              <w:top w:val="nil"/>
              <w:left w:val="dotted" w:sz="4" w:space="0" w:color="auto"/>
              <w:bottom w:val="nil"/>
              <w:right w:val="nil"/>
            </w:tcBorders>
            <w:shd w:val="clear" w:color="000000" w:fill="BFBFBF"/>
            <w:noWrap/>
            <w:vAlign w:val="center"/>
            <w:hideMark/>
          </w:tcPr>
          <w:p w14:paraId="79B05702"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0.16%</w:t>
            </w:r>
          </w:p>
        </w:tc>
        <w:tc>
          <w:tcPr>
            <w:tcW w:w="0" w:type="auto"/>
            <w:tcBorders>
              <w:top w:val="nil"/>
              <w:left w:val="nil"/>
              <w:bottom w:val="nil"/>
              <w:right w:val="nil"/>
            </w:tcBorders>
            <w:shd w:val="clear" w:color="000000" w:fill="BFBFBF"/>
            <w:noWrap/>
            <w:vAlign w:val="center"/>
            <w:hideMark/>
          </w:tcPr>
          <w:p w14:paraId="7D06D724"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0.16%</w:t>
            </w:r>
          </w:p>
        </w:tc>
        <w:tc>
          <w:tcPr>
            <w:tcW w:w="0" w:type="auto"/>
            <w:tcBorders>
              <w:top w:val="nil"/>
              <w:left w:val="nil"/>
              <w:bottom w:val="nil"/>
              <w:right w:val="nil"/>
            </w:tcBorders>
            <w:shd w:val="clear" w:color="000000" w:fill="BFBFBF"/>
            <w:noWrap/>
            <w:vAlign w:val="center"/>
            <w:hideMark/>
          </w:tcPr>
          <w:p w14:paraId="0A78842E"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0.17%</w:t>
            </w:r>
          </w:p>
        </w:tc>
        <w:tc>
          <w:tcPr>
            <w:tcW w:w="0" w:type="auto"/>
            <w:tcBorders>
              <w:top w:val="nil"/>
              <w:left w:val="nil"/>
              <w:bottom w:val="nil"/>
              <w:right w:val="nil"/>
            </w:tcBorders>
            <w:shd w:val="clear" w:color="000000" w:fill="BFBFBF"/>
            <w:noWrap/>
            <w:vAlign w:val="center"/>
            <w:hideMark/>
          </w:tcPr>
          <w:p w14:paraId="4C73952D"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0.17%</w:t>
            </w:r>
          </w:p>
        </w:tc>
        <w:tc>
          <w:tcPr>
            <w:tcW w:w="0" w:type="auto"/>
            <w:tcBorders>
              <w:top w:val="nil"/>
              <w:left w:val="nil"/>
              <w:bottom w:val="nil"/>
              <w:right w:val="nil"/>
            </w:tcBorders>
            <w:shd w:val="clear" w:color="000000" w:fill="BFBFBF"/>
            <w:noWrap/>
            <w:vAlign w:val="center"/>
            <w:hideMark/>
          </w:tcPr>
          <w:p w14:paraId="092ECF98"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0.17%</w:t>
            </w:r>
          </w:p>
        </w:tc>
        <w:tc>
          <w:tcPr>
            <w:tcW w:w="0" w:type="auto"/>
            <w:tcBorders>
              <w:top w:val="nil"/>
              <w:left w:val="nil"/>
              <w:bottom w:val="nil"/>
              <w:right w:val="dotted" w:sz="4" w:space="0" w:color="auto"/>
            </w:tcBorders>
            <w:shd w:val="clear" w:color="000000" w:fill="BFBFBF"/>
            <w:noWrap/>
            <w:vAlign w:val="center"/>
            <w:hideMark/>
          </w:tcPr>
          <w:p w14:paraId="63DEB17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0.18%</w:t>
            </w:r>
          </w:p>
        </w:tc>
        <w:tc>
          <w:tcPr>
            <w:tcW w:w="0" w:type="auto"/>
            <w:tcBorders>
              <w:top w:val="nil"/>
              <w:left w:val="dotted" w:sz="4" w:space="0" w:color="auto"/>
              <w:bottom w:val="nil"/>
              <w:right w:val="nil"/>
            </w:tcBorders>
            <w:shd w:val="clear" w:color="000000" w:fill="BFBFBF"/>
            <w:noWrap/>
            <w:vAlign w:val="center"/>
            <w:hideMark/>
          </w:tcPr>
          <w:p w14:paraId="714A10DE"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0.17%</w:t>
            </w:r>
          </w:p>
        </w:tc>
      </w:tr>
      <w:tr w:rsidR="003B7C93" w:rsidRPr="00925D5C" w14:paraId="7B669BF1"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67D75A4A"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Other </w:t>
            </w:r>
          </w:p>
        </w:tc>
        <w:tc>
          <w:tcPr>
            <w:tcW w:w="0" w:type="auto"/>
            <w:tcBorders>
              <w:top w:val="nil"/>
              <w:left w:val="dotted" w:sz="4" w:space="0" w:color="auto"/>
              <w:bottom w:val="nil"/>
              <w:right w:val="nil"/>
            </w:tcBorders>
            <w:shd w:val="clear" w:color="auto" w:fill="auto"/>
            <w:noWrap/>
            <w:vAlign w:val="center"/>
            <w:hideMark/>
          </w:tcPr>
          <w:p w14:paraId="4BAFAB5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1.72%</w:t>
            </w:r>
          </w:p>
        </w:tc>
        <w:tc>
          <w:tcPr>
            <w:tcW w:w="0" w:type="auto"/>
            <w:tcBorders>
              <w:top w:val="nil"/>
              <w:left w:val="nil"/>
              <w:bottom w:val="nil"/>
              <w:right w:val="nil"/>
            </w:tcBorders>
            <w:shd w:val="clear" w:color="auto" w:fill="auto"/>
            <w:noWrap/>
            <w:vAlign w:val="center"/>
            <w:hideMark/>
          </w:tcPr>
          <w:p w14:paraId="2D4CF602"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1.88%</w:t>
            </w:r>
          </w:p>
        </w:tc>
        <w:tc>
          <w:tcPr>
            <w:tcW w:w="0" w:type="auto"/>
            <w:tcBorders>
              <w:top w:val="nil"/>
              <w:left w:val="nil"/>
              <w:bottom w:val="nil"/>
              <w:right w:val="nil"/>
            </w:tcBorders>
            <w:shd w:val="clear" w:color="auto" w:fill="auto"/>
            <w:noWrap/>
            <w:vAlign w:val="center"/>
            <w:hideMark/>
          </w:tcPr>
          <w:p w14:paraId="7C86768D"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1.93%</w:t>
            </w:r>
          </w:p>
        </w:tc>
        <w:tc>
          <w:tcPr>
            <w:tcW w:w="0" w:type="auto"/>
            <w:tcBorders>
              <w:top w:val="nil"/>
              <w:left w:val="nil"/>
              <w:bottom w:val="nil"/>
              <w:right w:val="nil"/>
            </w:tcBorders>
            <w:shd w:val="clear" w:color="auto" w:fill="auto"/>
            <w:noWrap/>
            <w:vAlign w:val="center"/>
            <w:hideMark/>
          </w:tcPr>
          <w:p w14:paraId="4D7EF888"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2.12%</w:t>
            </w:r>
          </w:p>
        </w:tc>
        <w:tc>
          <w:tcPr>
            <w:tcW w:w="0" w:type="auto"/>
            <w:tcBorders>
              <w:top w:val="nil"/>
              <w:left w:val="nil"/>
              <w:bottom w:val="nil"/>
              <w:right w:val="nil"/>
            </w:tcBorders>
            <w:shd w:val="clear" w:color="auto" w:fill="auto"/>
            <w:noWrap/>
            <w:vAlign w:val="center"/>
            <w:hideMark/>
          </w:tcPr>
          <w:p w14:paraId="1B11563F"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2.46%</w:t>
            </w:r>
          </w:p>
        </w:tc>
        <w:tc>
          <w:tcPr>
            <w:tcW w:w="0" w:type="auto"/>
            <w:tcBorders>
              <w:top w:val="nil"/>
              <w:left w:val="nil"/>
              <w:bottom w:val="nil"/>
              <w:right w:val="dotted" w:sz="4" w:space="0" w:color="auto"/>
            </w:tcBorders>
            <w:shd w:val="clear" w:color="auto" w:fill="auto"/>
            <w:noWrap/>
            <w:vAlign w:val="center"/>
            <w:hideMark/>
          </w:tcPr>
          <w:p w14:paraId="03266464"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2.58%</w:t>
            </w:r>
          </w:p>
        </w:tc>
        <w:tc>
          <w:tcPr>
            <w:tcW w:w="0" w:type="auto"/>
            <w:tcBorders>
              <w:top w:val="nil"/>
              <w:left w:val="dotted" w:sz="4" w:space="0" w:color="auto"/>
              <w:bottom w:val="nil"/>
              <w:right w:val="nil"/>
            </w:tcBorders>
            <w:shd w:val="clear" w:color="auto" w:fill="auto"/>
            <w:noWrap/>
            <w:vAlign w:val="center"/>
            <w:hideMark/>
          </w:tcPr>
          <w:p w14:paraId="72E5F7F6"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2.24%</w:t>
            </w:r>
          </w:p>
        </w:tc>
      </w:tr>
      <w:tr w:rsidR="003B7C93" w:rsidRPr="00925D5C" w14:paraId="2E53E5C7" w14:textId="77777777" w:rsidTr="00925D5C">
        <w:trPr>
          <w:trHeight w:val="285"/>
        </w:trPr>
        <w:tc>
          <w:tcPr>
            <w:tcW w:w="0" w:type="auto"/>
            <w:tcBorders>
              <w:top w:val="nil"/>
              <w:left w:val="nil"/>
              <w:bottom w:val="nil"/>
              <w:right w:val="dotted" w:sz="4" w:space="0" w:color="auto"/>
            </w:tcBorders>
            <w:shd w:val="clear" w:color="000000" w:fill="BFBFBF"/>
            <w:noWrap/>
            <w:vAlign w:val="center"/>
            <w:hideMark/>
          </w:tcPr>
          <w:p w14:paraId="2A795BF9"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Missing </w:t>
            </w:r>
          </w:p>
        </w:tc>
        <w:tc>
          <w:tcPr>
            <w:tcW w:w="0" w:type="auto"/>
            <w:tcBorders>
              <w:top w:val="nil"/>
              <w:left w:val="dotted" w:sz="4" w:space="0" w:color="auto"/>
              <w:bottom w:val="nil"/>
              <w:right w:val="nil"/>
            </w:tcBorders>
            <w:shd w:val="clear" w:color="000000" w:fill="BFBFBF"/>
            <w:noWrap/>
            <w:vAlign w:val="center"/>
            <w:hideMark/>
          </w:tcPr>
          <w:p w14:paraId="0CCA16D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0.01%</w:t>
            </w:r>
          </w:p>
        </w:tc>
        <w:tc>
          <w:tcPr>
            <w:tcW w:w="0" w:type="auto"/>
            <w:tcBorders>
              <w:top w:val="nil"/>
              <w:left w:val="nil"/>
              <w:bottom w:val="nil"/>
              <w:right w:val="nil"/>
            </w:tcBorders>
            <w:shd w:val="clear" w:color="000000" w:fill="BFBFBF"/>
            <w:noWrap/>
            <w:vAlign w:val="center"/>
            <w:hideMark/>
          </w:tcPr>
          <w:p w14:paraId="3FDAA5C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0.00%</w:t>
            </w:r>
          </w:p>
        </w:tc>
        <w:tc>
          <w:tcPr>
            <w:tcW w:w="0" w:type="auto"/>
            <w:tcBorders>
              <w:top w:val="nil"/>
              <w:left w:val="nil"/>
              <w:bottom w:val="nil"/>
              <w:right w:val="nil"/>
            </w:tcBorders>
            <w:shd w:val="clear" w:color="000000" w:fill="BFBFBF"/>
            <w:noWrap/>
            <w:vAlign w:val="center"/>
            <w:hideMark/>
          </w:tcPr>
          <w:p w14:paraId="42165FD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0.00%</w:t>
            </w:r>
          </w:p>
        </w:tc>
        <w:tc>
          <w:tcPr>
            <w:tcW w:w="0" w:type="auto"/>
            <w:tcBorders>
              <w:top w:val="nil"/>
              <w:left w:val="nil"/>
              <w:bottom w:val="nil"/>
              <w:right w:val="nil"/>
            </w:tcBorders>
            <w:shd w:val="clear" w:color="000000" w:fill="BFBFBF"/>
            <w:noWrap/>
            <w:vAlign w:val="center"/>
            <w:hideMark/>
          </w:tcPr>
          <w:p w14:paraId="6F679CCF"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0.00%</w:t>
            </w:r>
          </w:p>
        </w:tc>
        <w:tc>
          <w:tcPr>
            <w:tcW w:w="0" w:type="auto"/>
            <w:tcBorders>
              <w:top w:val="nil"/>
              <w:left w:val="nil"/>
              <w:bottom w:val="nil"/>
              <w:right w:val="nil"/>
            </w:tcBorders>
            <w:shd w:val="clear" w:color="000000" w:fill="BFBFBF"/>
            <w:noWrap/>
            <w:vAlign w:val="center"/>
            <w:hideMark/>
          </w:tcPr>
          <w:p w14:paraId="74F7AC0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0.00%</w:t>
            </w:r>
          </w:p>
        </w:tc>
        <w:tc>
          <w:tcPr>
            <w:tcW w:w="0" w:type="auto"/>
            <w:tcBorders>
              <w:top w:val="nil"/>
              <w:left w:val="nil"/>
              <w:bottom w:val="nil"/>
              <w:right w:val="dotted" w:sz="4" w:space="0" w:color="auto"/>
            </w:tcBorders>
            <w:shd w:val="clear" w:color="000000" w:fill="BFBFBF"/>
            <w:noWrap/>
            <w:vAlign w:val="center"/>
            <w:hideMark/>
          </w:tcPr>
          <w:p w14:paraId="5C8E977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0.00%</w:t>
            </w:r>
          </w:p>
        </w:tc>
        <w:tc>
          <w:tcPr>
            <w:tcW w:w="0" w:type="auto"/>
            <w:tcBorders>
              <w:top w:val="nil"/>
              <w:left w:val="dotted" w:sz="4" w:space="0" w:color="auto"/>
              <w:bottom w:val="nil"/>
              <w:right w:val="nil"/>
            </w:tcBorders>
            <w:shd w:val="clear" w:color="000000" w:fill="BFBFBF"/>
            <w:noWrap/>
            <w:vAlign w:val="center"/>
            <w:hideMark/>
          </w:tcPr>
          <w:p w14:paraId="6555F99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0.01%</w:t>
            </w:r>
          </w:p>
        </w:tc>
      </w:tr>
      <w:tr w:rsidR="003B7C93" w:rsidRPr="00925D5C" w14:paraId="1A539E44" w14:textId="77777777" w:rsidTr="00925D5C">
        <w:trPr>
          <w:trHeight w:val="285"/>
        </w:trPr>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63A2BC50" w14:textId="77777777" w:rsidR="003B7C93" w:rsidRPr="00925D5C" w:rsidRDefault="003B7C93" w:rsidP="00925D5C">
            <w:pPr>
              <w:spacing w:after="0" w:line="240" w:lineRule="auto"/>
              <w:rPr>
                <w:rFonts w:eastAsia="Times New Roman" w:cs="Arial"/>
                <w:b/>
                <w:bCs/>
                <w:color w:val="000000"/>
                <w:sz w:val="16"/>
                <w:szCs w:val="16"/>
                <w:lang w:eastAsia="zh-CN"/>
              </w:rPr>
            </w:pPr>
            <w:r w:rsidRPr="00925D5C">
              <w:rPr>
                <w:rFonts w:eastAsia="Times New Roman" w:cs="Arial"/>
                <w:b/>
                <w:bCs/>
                <w:color w:val="000000"/>
                <w:sz w:val="16"/>
                <w:szCs w:val="16"/>
                <w:lang w:eastAsia="zh-CN"/>
              </w:rPr>
              <w:t>Overall</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751F2BAA" w14:textId="77777777" w:rsidR="003B7C93" w:rsidRPr="00925D5C" w:rsidRDefault="003B7C93" w:rsidP="00925D5C">
            <w:pPr>
              <w:spacing w:after="0" w:line="240" w:lineRule="auto"/>
              <w:jc w:val="right"/>
              <w:rPr>
                <w:rFonts w:eastAsia="Times New Roman" w:cs="Arial"/>
                <w:b/>
                <w:bCs/>
                <w:color w:val="000000"/>
                <w:sz w:val="16"/>
                <w:szCs w:val="16"/>
                <w:lang w:eastAsia="zh-CN"/>
              </w:rPr>
            </w:pPr>
            <w:r w:rsidRPr="00925D5C">
              <w:rPr>
                <w:rFonts w:eastAsia="Times New Roman" w:cs="Arial"/>
                <w:b/>
                <w:bCs/>
                <w:color w:val="000000"/>
                <w:sz w:val="16"/>
                <w:szCs w:val="16"/>
                <w:lang w:eastAsia="zh-CN"/>
              </w:rPr>
              <w:t>0.85%</w:t>
            </w:r>
          </w:p>
        </w:tc>
        <w:tc>
          <w:tcPr>
            <w:tcW w:w="0" w:type="auto"/>
            <w:tcBorders>
              <w:top w:val="single" w:sz="4" w:space="0" w:color="auto"/>
              <w:left w:val="nil"/>
              <w:bottom w:val="single" w:sz="4" w:space="0" w:color="auto"/>
              <w:right w:val="nil"/>
            </w:tcBorders>
            <w:shd w:val="clear" w:color="000000" w:fill="D3C5D7"/>
            <w:noWrap/>
            <w:vAlign w:val="center"/>
            <w:hideMark/>
          </w:tcPr>
          <w:p w14:paraId="47DB1A75" w14:textId="77777777" w:rsidR="003B7C93" w:rsidRPr="00925D5C" w:rsidRDefault="003B7C93" w:rsidP="00925D5C">
            <w:pPr>
              <w:spacing w:after="0" w:line="240" w:lineRule="auto"/>
              <w:jc w:val="right"/>
              <w:rPr>
                <w:rFonts w:eastAsia="Times New Roman" w:cs="Arial"/>
                <w:b/>
                <w:bCs/>
                <w:color w:val="000000"/>
                <w:sz w:val="16"/>
                <w:szCs w:val="16"/>
                <w:lang w:eastAsia="zh-CN"/>
              </w:rPr>
            </w:pPr>
            <w:r w:rsidRPr="00925D5C">
              <w:rPr>
                <w:rFonts w:eastAsia="Times New Roman" w:cs="Arial"/>
                <w:b/>
                <w:bCs/>
                <w:color w:val="000000"/>
                <w:sz w:val="16"/>
                <w:szCs w:val="16"/>
                <w:lang w:eastAsia="zh-CN"/>
              </w:rPr>
              <w:t>0.94%</w:t>
            </w:r>
          </w:p>
        </w:tc>
        <w:tc>
          <w:tcPr>
            <w:tcW w:w="0" w:type="auto"/>
            <w:tcBorders>
              <w:top w:val="single" w:sz="4" w:space="0" w:color="auto"/>
              <w:left w:val="nil"/>
              <w:bottom w:val="single" w:sz="4" w:space="0" w:color="auto"/>
              <w:right w:val="nil"/>
            </w:tcBorders>
            <w:shd w:val="clear" w:color="000000" w:fill="D3C5D7"/>
            <w:noWrap/>
            <w:vAlign w:val="center"/>
            <w:hideMark/>
          </w:tcPr>
          <w:p w14:paraId="3B92E487" w14:textId="77777777" w:rsidR="003B7C93" w:rsidRPr="00925D5C" w:rsidRDefault="003B7C93" w:rsidP="00925D5C">
            <w:pPr>
              <w:spacing w:after="0" w:line="240" w:lineRule="auto"/>
              <w:jc w:val="right"/>
              <w:rPr>
                <w:rFonts w:eastAsia="Times New Roman" w:cs="Arial"/>
                <w:b/>
                <w:bCs/>
                <w:color w:val="000000"/>
                <w:sz w:val="16"/>
                <w:szCs w:val="16"/>
                <w:lang w:eastAsia="zh-CN"/>
              </w:rPr>
            </w:pPr>
            <w:r w:rsidRPr="00925D5C">
              <w:rPr>
                <w:rFonts w:eastAsia="Times New Roman" w:cs="Arial"/>
                <w:b/>
                <w:bCs/>
                <w:color w:val="000000"/>
                <w:sz w:val="16"/>
                <w:szCs w:val="16"/>
                <w:lang w:eastAsia="zh-CN"/>
              </w:rPr>
              <w:t>0.97%</w:t>
            </w:r>
          </w:p>
        </w:tc>
        <w:tc>
          <w:tcPr>
            <w:tcW w:w="0" w:type="auto"/>
            <w:tcBorders>
              <w:top w:val="single" w:sz="4" w:space="0" w:color="auto"/>
              <w:left w:val="nil"/>
              <w:bottom w:val="single" w:sz="4" w:space="0" w:color="auto"/>
              <w:right w:val="nil"/>
            </w:tcBorders>
            <w:shd w:val="clear" w:color="000000" w:fill="D3C5D7"/>
            <w:noWrap/>
            <w:vAlign w:val="center"/>
            <w:hideMark/>
          </w:tcPr>
          <w:p w14:paraId="0D55E9B6" w14:textId="77777777" w:rsidR="003B7C93" w:rsidRPr="00925D5C" w:rsidRDefault="003B7C93" w:rsidP="00925D5C">
            <w:pPr>
              <w:spacing w:after="0" w:line="240" w:lineRule="auto"/>
              <w:jc w:val="right"/>
              <w:rPr>
                <w:rFonts w:eastAsia="Times New Roman" w:cs="Arial"/>
                <w:b/>
                <w:bCs/>
                <w:color w:val="000000"/>
                <w:sz w:val="16"/>
                <w:szCs w:val="16"/>
                <w:lang w:eastAsia="zh-CN"/>
              </w:rPr>
            </w:pPr>
            <w:r w:rsidRPr="00925D5C">
              <w:rPr>
                <w:rFonts w:eastAsia="Times New Roman" w:cs="Arial"/>
                <w:b/>
                <w:bCs/>
                <w:color w:val="000000"/>
                <w:sz w:val="16"/>
                <w:szCs w:val="16"/>
                <w:lang w:eastAsia="zh-CN"/>
              </w:rPr>
              <w:t>0.94%</w:t>
            </w:r>
          </w:p>
        </w:tc>
        <w:tc>
          <w:tcPr>
            <w:tcW w:w="0" w:type="auto"/>
            <w:tcBorders>
              <w:top w:val="single" w:sz="4" w:space="0" w:color="auto"/>
              <w:left w:val="nil"/>
              <w:bottom w:val="single" w:sz="4" w:space="0" w:color="auto"/>
              <w:right w:val="nil"/>
            </w:tcBorders>
            <w:shd w:val="clear" w:color="000000" w:fill="D3C5D7"/>
            <w:noWrap/>
            <w:vAlign w:val="center"/>
            <w:hideMark/>
          </w:tcPr>
          <w:p w14:paraId="33F3965A" w14:textId="77777777" w:rsidR="003B7C93" w:rsidRPr="00925D5C" w:rsidRDefault="003B7C93" w:rsidP="00925D5C">
            <w:pPr>
              <w:spacing w:after="0" w:line="240" w:lineRule="auto"/>
              <w:jc w:val="right"/>
              <w:rPr>
                <w:rFonts w:eastAsia="Times New Roman" w:cs="Arial"/>
                <w:b/>
                <w:bCs/>
                <w:color w:val="000000"/>
                <w:sz w:val="16"/>
                <w:szCs w:val="16"/>
                <w:lang w:eastAsia="zh-CN"/>
              </w:rPr>
            </w:pPr>
            <w:r w:rsidRPr="00925D5C">
              <w:rPr>
                <w:rFonts w:eastAsia="Times New Roman" w:cs="Arial"/>
                <w:b/>
                <w:bCs/>
                <w:color w:val="000000"/>
                <w:sz w:val="16"/>
                <w:szCs w:val="16"/>
                <w:lang w:eastAsia="zh-CN"/>
              </w:rPr>
              <w:t>0.92%</w:t>
            </w:r>
          </w:p>
        </w:tc>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22DBCD1E" w14:textId="77777777" w:rsidR="003B7C93" w:rsidRPr="00925D5C" w:rsidRDefault="003B7C93" w:rsidP="00925D5C">
            <w:pPr>
              <w:spacing w:after="0" w:line="240" w:lineRule="auto"/>
              <w:jc w:val="right"/>
              <w:rPr>
                <w:rFonts w:eastAsia="Times New Roman" w:cs="Arial"/>
                <w:b/>
                <w:bCs/>
                <w:color w:val="000000"/>
                <w:sz w:val="16"/>
                <w:szCs w:val="16"/>
                <w:lang w:eastAsia="zh-CN"/>
              </w:rPr>
            </w:pPr>
            <w:r w:rsidRPr="00925D5C">
              <w:rPr>
                <w:rFonts w:eastAsia="Times New Roman" w:cs="Arial"/>
                <w:b/>
                <w:bCs/>
                <w:color w:val="000000"/>
                <w:sz w:val="16"/>
                <w:szCs w:val="16"/>
                <w:lang w:eastAsia="zh-CN"/>
              </w:rPr>
              <w:t>0.90%</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6558CA3E" w14:textId="77777777" w:rsidR="003B7C93" w:rsidRPr="00925D5C" w:rsidRDefault="003B7C93" w:rsidP="00925D5C">
            <w:pPr>
              <w:spacing w:after="0" w:line="240" w:lineRule="auto"/>
              <w:jc w:val="right"/>
              <w:rPr>
                <w:rFonts w:eastAsia="Times New Roman" w:cs="Arial"/>
                <w:b/>
                <w:bCs/>
                <w:color w:val="000000"/>
                <w:sz w:val="16"/>
                <w:szCs w:val="16"/>
                <w:lang w:eastAsia="zh-CN"/>
              </w:rPr>
            </w:pPr>
            <w:r w:rsidRPr="00925D5C">
              <w:rPr>
                <w:rFonts w:eastAsia="Times New Roman" w:cs="Arial"/>
                <w:b/>
                <w:bCs/>
                <w:color w:val="000000"/>
                <w:sz w:val="16"/>
                <w:szCs w:val="16"/>
                <w:lang w:eastAsia="zh-CN"/>
              </w:rPr>
              <w:t>0.93%</w:t>
            </w:r>
          </w:p>
        </w:tc>
      </w:tr>
    </w:tbl>
    <w:p w14:paraId="14EB6634" w14:textId="77777777" w:rsidR="003B7C93" w:rsidRDefault="003B7C93" w:rsidP="003B7C93">
      <w:pPr>
        <w:pStyle w:val="Tables"/>
      </w:pPr>
    </w:p>
    <w:tbl>
      <w:tblPr>
        <w:tblW w:w="0" w:type="auto"/>
        <w:tblLook w:val="04A0" w:firstRow="1" w:lastRow="0" w:firstColumn="1" w:lastColumn="0" w:noHBand="0" w:noVBand="1"/>
      </w:tblPr>
      <w:tblGrid>
        <w:gridCol w:w="1880"/>
        <w:gridCol w:w="1061"/>
        <w:gridCol w:w="1061"/>
        <w:gridCol w:w="1061"/>
        <w:gridCol w:w="1061"/>
        <w:gridCol w:w="1061"/>
        <w:gridCol w:w="1052"/>
        <w:gridCol w:w="759"/>
      </w:tblGrid>
      <w:tr w:rsidR="003B7C93" w:rsidRPr="00925D5C" w14:paraId="2E20CA56" w14:textId="77777777" w:rsidTr="00925D5C">
        <w:trPr>
          <w:trHeight w:val="397"/>
        </w:trPr>
        <w:tc>
          <w:tcPr>
            <w:tcW w:w="0" w:type="auto"/>
            <w:vMerge w:val="restart"/>
            <w:tcBorders>
              <w:top w:val="nil"/>
              <w:left w:val="nil"/>
              <w:bottom w:val="nil"/>
              <w:right w:val="nil"/>
            </w:tcBorders>
            <w:shd w:val="clear" w:color="000000" w:fill="6B2976"/>
            <w:noWrap/>
            <w:vAlign w:val="center"/>
            <w:hideMark/>
          </w:tcPr>
          <w:p w14:paraId="25BCA804" w14:textId="77777777" w:rsidR="003B7C93" w:rsidRPr="00925D5C" w:rsidRDefault="003B7C93" w:rsidP="00925D5C">
            <w:pPr>
              <w:spacing w:after="0" w:line="240" w:lineRule="auto"/>
              <w:rPr>
                <w:rFonts w:eastAsia="Times New Roman" w:cs="Arial"/>
                <w:b/>
                <w:bCs/>
                <w:color w:val="FFFFFF"/>
                <w:sz w:val="16"/>
                <w:szCs w:val="16"/>
                <w:lang w:eastAsia="zh-CN"/>
              </w:rPr>
            </w:pPr>
            <w:r w:rsidRPr="00925D5C">
              <w:rPr>
                <w:rFonts w:eastAsia="Times New Roman" w:cs="Arial"/>
                <w:b/>
                <w:bCs/>
                <w:color w:val="FFFFFF"/>
                <w:sz w:val="16"/>
                <w:szCs w:val="16"/>
                <w:lang w:eastAsia="zh-CN"/>
              </w:rPr>
              <w:t>Disability</w:t>
            </w:r>
          </w:p>
        </w:tc>
        <w:tc>
          <w:tcPr>
            <w:tcW w:w="0" w:type="auto"/>
            <w:gridSpan w:val="7"/>
            <w:tcBorders>
              <w:top w:val="nil"/>
              <w:left w:val="nil"/>
              <w:bottom w:val="single" w:sz="4" w:space="0" w:color="FFFFFF"/>
              <w:right w:val="nil"/>
            </w:tcBorders>
            <w:shd w:val="clear" w:color="000000" w:fill="6B2976"/>
            <w:vAlign w:val="center"/>
            <w:hideMark/>
          </w:tcPr>
          <w:p w14:paraId="51867419" w14:textId="77777777" w:rsidR="003B7C93" w:rsidRPr="00925D5C" w:rsidRDefault="003B7C93" w:rsidP="008116E1">
            <w:pPr>
              <w:spacing w:after="0" w:line="240" w:lineRule="auto"/>
              <w:jc w:val="center"/>
              <w:rPr>
                <w:rFonts w:eastAsia="Times New Roman" w:cs="Arial"/>
                <w:b/>
                <w:bCs/>
                <w:color w:val="FFFFFF"/>
                <w:sz w:val="16"/>
                <w:szCs w:val="16"/>
                <w:lang w:eastAsia="zh-CN"/>
              </w:rPr>
            </w:pPr>
            <w:r w:rsidRPr="00925D5C">
              <w:rPr>
                <w:rFonts w:eastAsia="Times New Roman" w:cs="Arial"/>
                <w:b/>
                <w:bCs/>
                <w:color w:val="FFFFFF"/>
                <w:sz w:val="16"/>
                <w:szCs w:val="16"/>
                <w:lang w:eastAsia="zh-CN"/>
              </w:rPr>
              <w:t>Actual</w:t>
            </w:r>
          </w:p>
        </w:tc>
      </w:tr>
      <w:tr w:rsidR="003B7C93" w:rsidRPr="00925D5C" w14:paraId="121AAD29" w14:textId="77777777" w:rsidTr="00925D5C">
        <w:trPr>
          <w:trHeight w:val="397"/>
        </w:trPr>
        <w:tc>
          <w:tcPr>
            <w:tcW w:w="0" w:type="auto"/>
            <w:vMerge/>
            <w:tcBorders>
              <w:top w:val="nil"/>
              <w:left w:val="nil"/>
              <w:right w:val="nil"/>
            </w:tcBorders>
            <w:vAlign w:val="center"/>
            <w:hideMark/>
          </w:tcPr>
          <w:p w14:paraId="3AFF0442" w14:textId="77777777" w:rsidR="003B7C93" w:rsidRPr="00925D5C" w:rsidRDefault="003B7C93" w:rsidP="00925D5C">
            <w:pPr>
              <w:spacing w:after="0" w:line="240" w:lineRule="auto"/>
              <w:rPr>
                <w:rFonts w:eastAsia="Times New Roman" w:cs="Arial"/>
                <w:b/>
                <w:bCs/>
                <w:color w:val="FFFFFF"/>
                <w:sz w:val="16"/>
                <w:szCs w:val="16"/>
                <w:lang w:eastAsia="zh-CN"/>
              </w:rPr>
            </w:pPr>
          </w:p>
        </w:tc>
        <w:tc>
          <w:tcPr>
            <w:tcW w:w="0" w:type="auto"/>
            <w:tcBorders>
              <w:top w:val="nil"/>
              <w:left w:val="nil"/>
              <w:bottom w:val="nil"/>
              <w:right w:val="nil"/>
            </w:tcBorders>
            <w:shd w:val="clear" w:color="000000" w:fill="6B2976"/>
            <w:vAlign w:val="center"/>
            <w:hideMark/>
          </w:tcPr>
          <w:p w14:paraId="64532899" w14:textId="77777777" w:rsidR="003B7C93" w:rsidRPr="00925D5C" w:rsidRDefault="003B7C93" w:rsidP="00925D5C">
            <w:pPr>
              <w:spacing w:after="0" w:line="240" w:lineRule="auto"/>
              <w:jc w:val="right"/>
              <w:rPr>
                <w:rFonts w:eastAsia="Times New Roman" w:cs="Arial"/>
                <w:b/>
                <w:bCs/>
                <w:color w:val="FFFFFF"/>
                <w:sz w:val="16"/>
                <w:szCs w:val="16"/>
                <w:lang w:eastAsia="zh-CN"/>
              </w:rPr>
            </w:pPr>
            <w:r w:rsidRPr="00925D5C">
              <w:rPr>
                <w:rFonts w:eastAsia="Times New Roman" w:cs="Arial"/>
                <w:b/>
                <w:bCs/>
                <w:color w:val="FFFFFF"/>
                <w:sz w:val="16"/>
                <w:szCs w:val="16"/>
                <w:lang w:eastAsia="zh-CN"/>
              </w:rPr>
              <w:t>Jan-Dec 17</w:t>
            </w:r>
          </w:p>
        </w:tc>
        <w:tc>
          <w:tcPr>
            <w:tcW w:w="0" w:type="auto"/>
            <w:tcBorders>
              <w:top w:val="nil"/>
              <w:left w:val="nil"/>
              <w:bottom w:val="nil"/>
              <w:right w:val="nil"/>
            </w:tcBorders>
            <w:shd w:val="clear" w:color="000000" w:fill="6B2976"/>
            <w:vAlign w:val="center"/>
            <w:hideMark/>
          </w:tcPr>
          <w:p w14:paraId="65496081" w14:textId="77777777" w:rsidR="003B7C93" w:rsidRPr="00925D5C" w:rsidRDefault="003B7C93" w:rsidP="00925D5C">
            <w:pPr>
              <w:spacing w:after="0" w:line="240" w:lineRule="auto"/>
              <w:jc w:val="right"/>
              <w:rPr>
                <w:rFonts w:eastAsia="Times New Roman" w:cs="Arial"/>
                <w:b/>
                <w:bCs/>
                <w:color w:val="FFFFFF"/>
                <w:sz w:val="16"/>
                <w:szCs w:val="16"/>
                <w:lang w:eastAsia="zh-CN"/>
              </w:rPr>
            </w:pPr>
            <w:r w:rsidRPr="00925D5C">
              <w:rPr>
                <w:rFonts w:eastAsia="Times New Roman" w:cs="Arial"/>
                <w:b/>
                <w:bCs/>
                <w:color w:val="FFFFFF"/>
                <w:sz w:val="16"/>
                <w:szCs w:val="16"/>
                <w:lang w:eastAsia="zh-CN"/>
              </w:rPr>
              <w:t>Jan-Dec 18</w:t>
            </w:r>
          </w:p>
        </w:tc>
        <w:tc>
          <w:tcPr>
            <w:tcW w:w="0" w:type="auto"/>
            <w:tcBorders>
              <w:top w:val="nil"/>
              <w:left w:val="nil"/>
              <w:bottom w:val="nil"/>
              <w:right w:val="nil"/>
            </w:tcBorders>
            <w:shd w:val="clear" w:color="000000" w:fill="6B2976"/>
            <w:vAlign w:val="center"/>
            <w:hideMark/>
          </w:tcPr>
          <w:p w14:paraId="4B08166B" w14:textId="77777777" w:rsidR="003B7C93" w:rsidRPr="00925D5C" w:rsidRDefault="003B7C93" w:rsidP="00925D5C">
            <w:pPr>
              <w:spacing w:after="0" w:line="240" w:lineRule="auto"/>
              <w:jc w:val="right"/>
              <w:rPr>
                <w:rFonts w:eastAsia="Times New Roman" w:cs="Arial"/>
                <w:b/>
                <w:bCs/>
                <w:color w:val="FFFFFF"/>
                <w:sz w:val="16"/>
                <w:szCs w:val="16"/>
                <w:lang w:eastAsia="zh-CN"/>
              </w:rPr>
            </w:pPr>
            <w:r w:rsidRPr="00925D5C">
              <w:rPr>
                <w:rFonts w:eastAsia="Times New Roman" w:cs="Arial"/>
                <w:b/>
                <w:bCs/>
                <w:color w:val="FFFFFF"/>
                <w:sz w:val="16"/>
                <w:szCs w:val="16"/>
                <w:lang w:eastAsia="zh-CN"/>
              </w:rPr>
              <w:t>Jan-Dec 19</w:t>
            </w:r>
          </w:p>
        </w:tc>
        <w:tc>
          <w:tcPr>
            <w:tcW w:w="0" w:type="auto"/>
            <w:tcBorders>
              <w:top w:val="nil"/>
              <w:left w:val="nil"/>
              <w:bottom w:val="nil"/>
              <w:right w:val="nil"/>
            </w:tcBorders>
            <w:shd w:val="clear" w:color="000000" w:fill="6B2976"/>
            <w:vAlign w:val="center"/>
            <w:hideMark/>
          </w:tcPr>
          <w:p w14:paraId="1050F3BF" w14:textId="77777777" w:rsidR="003B7C93" w:rsidRPr="00925D5C" w:rsidRDefault="003B7C93" w:rsidP="00925D5C">
            <w:pPr>
              <w:spacing w:after="0" w:line="240" w:lineRule="auto"/>
              <w:jc w:val="right"/>
              <w:rPr>
                <w:rFonts w:eastAsia="Times New Roman" w:cs="Arial"/>
                <w:b/>
                <w:bCs/>
                <w:color w:val="FFFFFF"/>
                <w:sz w:val="16"/>
                <w:szCs w:val="16"/>
                <w:lang w:eastAsia="zh-CN"/>
              </w:rPr>
            </w:pPr>
            <w:r w:rsidRPr="00925D5C">
              <w:rPr>
                <w:rFonts w:eastAsia="Times New Roman" w:cs="Arial"/>
                <w:b/>
                <w:bCs/>
                <w:color w:val="FFFFFF"/>
                <w:sz w:val="16"/>
                <w:szCs w:val="16"/>
                <w:lang w:eastAsia="zh-CN"/>
              </w:rPr>
              <w:t>Jan-Dec 20</w:t>
            </w:r>
          </w:p>
        </w:tc>
        <w:tc>
          <w:tcPr>
            <w:tcW w:w="0" w:type="auto"/>
            <w:tcBorders>
              <w:top w:val="nil"/>
              <w:left w:val="nil"/>
              <w:bottom w:val="nil"/>
              <w:right w:val="nil"/>
            </w:tcBorders>
            <w:shd w:val="clear" w:color="000000" w:fill="6B2976"/>
            <w:vAlign w:val="center"/>
            <w:hideMark/>
          </w:tcPr>
          <w:p w14:paraId="0CA396F2" w14:textId="77777777" w:rsidR="003B7C93" w:rsidRPr="00925D5C" w:rsidRDefault="003B7C93" w:rsidP="00925D5C">
            <w:pPr>
              <w:spacing w:after="0" w:line="240" w:lineRule="auto"/>
              <w:jc w:val="right"/>
              <w:rPr>
                <w:rFonts w:eastAsia="Times New Roman" w:cs="Arial"/>
                <w:b/>
                <w:bCs/>
                <w:color w:val="FFFFFF"/>
                <w:sz w:val="16"/>
                <w:szCs w:val="16"/>
                <w:lang w:eastAsia="zh-CN"/>
              </w:rPr>
            </w:pPr>
            <w:r w:rsidRPr="00925D5C">
              <w:rPr>
                <w:rFonts w:eastAsia="Times New Roman" w:cs="Arial"/>
                <w:b/>
                <w:bCs/>
                <w:color w:val="FFFFFF"/>
                <w:sz w:val="16"/>
                <w:szCs w:val="16"/>
                <w:lang w:eastAsia="zh-CN"/>
              </w:rPr>
              <w:t>Jan-Dec 21</w:t>
            </w:r>
          </w:p>
        </w:tc>
        <w:tc>
          <w:tcPr>
            <w:tcW w:w="0" w:type="auto"/>
            <w:tcBorders>
              <w:top w:val="nil"/>
              <w:left w:val="nil"/>
              <w:right w:val="nil"/>
            </w:tcBorders>
            <w:shd w:val="clear" w:color="000000" w:fill="6B2976"/>
            <w:vAlign w:val="center"/>
            <w:hideMark/>
          </w:tcPr>
          <w:p w14:paraId="7AE269FF" w14:textId="77777777" w:rsidR="003B7C93" w:rsidRPr="00925D5C" w:rsidRDefault="003B7C93" w:rsidP="00925D5C">
            <w:pPr>
              <w:spacing w:after="0" w:line="240" w:lineRule="auto"/>
              <w:jc w:val="right"/>
              <w:rPr>
                <w:rFonts w:eastAsia="Times New Roman" w:cs="Arial"/>
                <w:b/>
                <w:bCs/>
                <w:color w:val="FFFFFF"/>
                <w:sz w:val="16"/>
                <w:szCs w:val="16"/>
                <w:lang w:eastAsia="zh-CN"/>
              </w:rPr>
            </w:pPr>
            <w:r w:rsidRPr="00925D5C">
              <w:rPr>
                <w:rFonts w:eastAsia="Times New Roman" w:cs="Arial"/>
                <w:b/>
                <w:bCs/>
                <w:color w:val="FFFFFF"/>
                <w:sz w:val="16"/>
                <w:szCs w:val="16"/>
                <w:lang w:eastAsia="zh-CN"/>
              </w:rPr>
              <w:t>Jan-Feb 22</w:t>
            </w:r>
          </w:p>
        </w:tc>
        <w:tc>
          <w:tcPr>
            <w:tcW w:w="0" w:type="auto"/>
            <w:tcBorders>
              <w:top w:val="nil"/>
              <w:left w:val="nil"/>
              <w:right w:val="nil"/>
            </w:tcBorders>
            <w:shd w:val="clear" w:color="000000" w:fill="6B2976"/>
            <w:vAlign w:val="center"/>
            <w:hideMark/>
          </w:tcPr>
          <w:p w14:paraId="5B0962A8" w14:textId="77777777" w:rsidR="003B7C93" w:rsidRPr="00925D5C" w:rsidRDefault="003B7C93" w:rsidP="00925D5C">
            <w:pPr>
              <w:spacing w:after="0" w:line="240" w:lineRule="auto"/>
              <w:jc w:val="right"/>
              <w:rPr>
                <w:rFonts w:eastAsia="Times New Roman" w:cs="Arial"/>
                <w:b/>
                <w:bCs/>
                <w:color w:val="FFFFFF"/>
                <w:sz w:val="16"/>
                <w:szCs w:val="16"/>
                <w:lang w:eastAsia="zh-CN"/>
              </w:rPr>
            </w:pPr>
            <w:r w:rsidRPr="00925D5C">
              <w:rPr>
                <w:rFonts w:eastAsia="Times New Roman" w:cs="Arial"/>
                <w:b/>
                <w:bCs/>
                <w:color w:val="FFFFFF"/>
                <w:sz w:val="16"/>
                <w:szCs w:val="16"/>
                <w:lang w:eastAsia="zh-CN"/>
              </w:rPr>
              <w:t>Overall</w:t>
            </w:r>
          </w:p>
        </w:tc>
      </w:tr>
      <w:tr w:rsidR="003B7C93" w:rsidRPr="00925D5C" w14:paraId="05474789"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2471C77A"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Acquired brain injury </w:t>
            </w:r>
          </w:p>
        </w:tc>
        <w:tc>
          <w:tcPr>
            <w:tcW w:w="0" w:type="auto"/>
            <w:tcBorders>
              <w:top w:val="nil"/>
              <w:left w:val="dotted" w:sz="4" w:space="0" w:color="auto"/>
              <w:bottom w:val="nil"/>
              <w:right w:val="nil"/>
            </w:tcBorders>
            <w:shd w:val="clear" w:color="auto" w:fill="auto"/>
            <w:noWrap/>
            <w:vAlign w:val="center"/>
            <w:hideMark/>
          </w:tcPr>
          <w:p w14:paraId="3BFE5508"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1.68%</w:t>
            </w:r>
          </w:p>
        </w:tc>
        <w:tc>
          <w:tcPr>
            <w:tcW w:w="0" w:type="auto"/>
            <w:tcBorders>
              <w:top w:val="nil"/>
              <w:left w:val="nil"/>
              <w:bottom w:val="nil"/>
              <w:right w:val="nil"/>
            </w:tcBorders>
            <w:shd w:val="clear" w:color="auto" w:fill="auto"/>
            <w:noWrap/>
            <w:vAlign w:val="center"/>
            <w:hideMark/>
          </w:tcPr>
          <w:p w14:paraId="2710F936"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2.30%</w:t>
            </w:r>
          </w:p>
        </w:tc>
        <w:tc>
          <w:tcPr>
            <w:tcW w:w="0" w:type="auto"/>
            <w:tcBorders>
              <w:top w:val="nil"/>
              <w:left w:val="nil"/>
              <w:bottom w:val="nil"/>
              <w:right w:val="nil"/>
            </w:tcBorders>
            <w:shd w:val="clear" w:color="auto" w:fill="auto"/>
            <w:noWrap/>
            <w:vAlign w:val="center"/>
            <w:hideMark/>
          </w:tcPr>
          <w:p w14:paraId="5135564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2.10%</w:t>
            </w:r>
          </w:p>
        </w:tc>
        <w:tc>
          <w:tcPr>
            <w:tcW w:w="0" w:type="auto"/>
            <w:tcBorders>
              <w:top w:val="nil"/>
              <w:left w:val="nil"/>
              <w:bottom w:val="nil"/>
              <w:right w:val="nil"/>
            </w:tcBorders>
            <w:shd w:val="clear" w:color="auto" w:fill="auto"/>
            <w:noWrap/>
            <w:vAlign w:val="center"/>
            <w:hideMark/>
          </w:tcPr>
          <w:p w14:paraId="063B841D"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2.44%</w:t>
            </w:r>
          </w:p>
        </w:tc>
        <w:tc>
          <w:tcPr>
            <w:tcW w:w="0" w:type="auto"/>
            <w:tcBorders>
              <w:top w:val="nil"/>
              <w:left w:val="nil"/>
              <w:bottom w:val="nil"/>
              <w:right w:val="nil"/>
            </w:tcBorders>
            <w:shd w:val="clear" w:color="auto" w:fill="auto"/>
            <w:noWrap/>
            <w:vAlign w:val="center"/>
            <w:hideMark/>
          </w:tcPr>
          <w:p w14:paraId="3448075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2.62%</w:t>
            </w:r>
          </w:p>
        </w:tc>
        <w:tc>
          <w:tcPr>
            <w:tcW w:w="0" w:type="auto"/>
            <w:tcBorders>
              <w:top w:val="nil"/>
              <w:left w:val="nil"/>
              <w:bottom w:val="nil"/>
              <w:right w:val="dotted" w:sz="4" w:space="0" w:color="auto"/>
            </w:tcBorders>
            <w:shd w:val="clear" w:color="auto" w:fill="auto"/>
            <w:noWrap/>
            <w:vAlign w:val="center"/>
            <w:hideMark/>
          </w:tcPr>
          <w:p w14:paraId="4A4EF816"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3.16%</w:t>
            </w:r>
          </w:p>
        </w:tc>
        <w:tc>
          <w:tcPr>
            <w:tcW w:w="0" w:type="auto"/>
            <w:tcBorders>
              <w:top w:val="nil"/>
              <w:left w:val="dotted" w:sz="4" w:space="0" w:color="auto"/>
              <w:bottom w:val="nil"/>
            </w:tcBorders>
            <w:shd w:val="clear" w:color="auto" w:fill="auto"/>
            <w:noWrap/>
            <w:vAlign w:val="center"/>
            <w:hideMark/>
          </w:tcPr>
          <w:p w14:paraId="52904F83"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2.40%</w:t>
            </w:r>
          </w:p>
        </w:tc>
      </w:tr>
      <w:tr w:rsidR="003B7C93" w:rsidRPr="00925D5C" w14:paraId="414BE3A6" w14:textId="77777777" w:rsidTr="00925D5C">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1A8FF850"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Autism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2035C89E"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0.06%</w:t>
            </w:r>
          </w:p>
        </w:tc>
        <w:tc>
          <w:tcPr>
            <w:tcW w:w="0" w:type="auto"/>
            <w:tcBorders>
              <w:top w:val="nil"/>
              <w:left w:val="nil"/>
              <w:bottom w:val="nil"/>
              <w:right w:val="nil"/>
            </w:tcBorders>
            <w:shd w:val="clear" w:color="auto" w:fill="BFBFBF" w:themeFill="background1" w:themeFillShade="BF"/>
            <w:noWrap/>
            <w:vAlign w:val="center"/>
            <w:hideMark/>
          </w:tcPr>
          <w:p w14:paraId="4A5E07AD"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0.04%</w:t>
            </w:r>
          </w:p>
        </w:tc>
        <w:tc>
          <w:tcPr>
            <w:tcW w:w="0" w:type="auto"/>
            <w:tcBorders>
              <w:top w:val="nil"/>
              <w:left w:val="nil"/>
              <w:bottom w:val="nil"/>
              <w:right w:val="nil"/>
            </w:tcBorders>
            <w:shd w:val="clear" w:color="auto" w:fill="BFBFBF" w:themeFill="background1" w:themeFillShade="BF"/>
            <w:noWrap/>
            <w:vAlign w:val="center"/>
            <w:hideMark/>
          </w:tcPr>
          <w:p w14:paraId="14594D1E"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0.05%</w:t>
            </w:r>
          </w:p>
        </w:tc>
        <w:tc>
          <w:tcPr>
            <w:tcW w:w="0" w:type="auto"/>
            <w:tcBorders>
              <w:top w:val="nil"/>
              <w:left w:val="nil"/>
              <w:bottom w:val="nil"/>
              <w:right w:val="nil"/>
            </w:tcBorders>
            <w:shd w:val="clear" w:color="auto" w:fill="BFBFBF" w:themeFill="background1" w:themeFillShade="BF"/>
            <w:noWrap/>
            <w:vAlign w:val="center"/>
            <w:hideMark/>
          </w:tcPr>
          <w:p w14:paraId="40F0468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0.05%</w:t>
            </w:r>
          </w:p>
        </w:tc>
        <w:tc>
          <w:tcPr>
            <w:tcW w:w="0" w:type="auto"/>
            <w:tcBorders>
              <w:top w:val="nil"/>
              <w:left w:val="nil"/>
              <w:bottom w:val="nil"/>
              <w:right w:val="nil"/>
            </w:tcBorders>
            <w:shd w:val="clear" w:color="auto" w:fill="BFBFBF" w:themeFill="background1" w:themeFillShade="BF"/>
            <w:noWrap/>
            <w:vAlign w:val="center"/>
            <w:hideMark/>
          </w:tcPr>
          <w:p w14:paraId="5CCD64B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0.04%</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4E9E37A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0.05%</w:t>
            </w:r>
          </w:p>
        </w:tc>
        <w:tc>
          <w:tcPr>
            <w:tcW w:w="0" w:type="auto"/>
            <w:tcBorders>
              <w:top w:val="nil"/>
              <w:left w:val="dotted" w:sz="4" w:space="0" w:color="auto"/>
              <w:bottom w:val="nil"/>
            </w:tcBorders>
            <w:shd w:val="clear" w:color="auto" w:fill="BFBFBF" w:themeFill="background1" w:themeFillShade="BF"/>
            <w:noWrap/>
            <w:vAlign w:val="center"/>
            <w:hideMark/>
          </w:tcPr>
          <w:p w14:paraId="26CA7DE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0.05%</w:t>
            </w:r>
          </w:p>
        </w:tc>
      </w:tr>
      <w:tr w:rsidR="003B7C93" w:rsidRPr="00925D5C" w14:paraId="7E41FCD5"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17693904"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Cerebral Palsy </w:t>
            </w:r>
          </w:p>
        </w:tc>
        <w:tc>
          <w:tcPr>
            <w:tcW w:w="0" w:type="auto"/>
            <w:tcBorders>
              <w:top w:val="nil"/>
              <w:left w:val="dotted" w:sz="4" w:space="0" w:color="auto"/>
              <w:bottom w:val="nil"/>
              <w:right w:val="nil"/>
            </w:tcBorders>
            <w:shd w:val="clear" w:color="auto" w:fill="auto"/>
            <w:noWrap/>
            <w:vAlign w:val="center"/>
            <w:hideMark/>
          </w:tcPr>
          <w:p w14:paraId="3ABCFC8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0.74%</w:t>
            </w:r>
          </w:p>
        </w:tc>
        <w:tc>
          <w:tcPr>
            <w:tcW w:w="0" w:type="auto"/>
            <w:tcBorders>
              <w:top w:val="nil"/>
              <w:left w:val="nil"/>
              <w:bottom w:val="nil"/>
              <w:right w:val="nil"/>
            </w:tcBorders>
            <w:shd w:val="clear" w:color="auto" w:fill="auto"/>
            <w:noWrap/>
            <w:vAlign w:val="center"/>
            <w:hideMark/>
          </w:tcPr>
          <w:p w14:paraId="7F30E27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0.62%</w:t>
            </w:r>
          </w:p>
        </w:tc>
        <w:tc>
          <w:tcPr>
            <w:tcW w:w="0" w:type="auto"/>
            <w:tcBorders>
              <w:top w:val="nil"/>
              <w:left w:val="nil"/>
              <w:bottom w:val="nil"/>
              <w:right w:val="nil"/>
            </w:tcBorders>
            <w:shd w:val="clear" w:color="auto" w:fill="auto"/>
            <w:noWrap/>
            <w:vAlign w:val="center"/>
            <w:hideMark/>
          </w:tcPr>
          <w:p w14:paraId="116BFE9E"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0.83%</w:t>
            </w:r>
          </w:p>
        </w:tc>
        <w:tc>
          <w:tcPr>
            <w:tcW w:w="0" w:type="auto"/>
            <w:tcBorders>
              <w:top w:val="nil"/>
              <w:left w:val="nil"/>
              <w:bottom w:val="nil"/>
              <w:right w:val="nil"/>
            </w:tcBorders>
            <w:shd w:val="clear" w:color="auto" w:fill="auto"/>
            <w:noWrap/>
            <w:vAlign w:val="center"/>
            <w:hideMark/>
          </w:tcPr>
          <w:p w14:paraId="7713A6B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0.57%</w:t>
            </w:r>
          </w:p>
        </w:tc>
        <w:tc>
          <w:tcPr>
            <w:tcW w:w="0" w:type="auto"/>
            <w:tcBorders>
              <w:top w:val="nil"/>
              <w:left w:val="nil"/>
              <w:bottom w:val="nil"/>
              <w:right w:val="nil"/>
            </w:tcBorders>
            <w:shd w:val="clear" w:color="auto" w:fill="auto"/>
            <w:noWrap/>
            <w:vAlign w:val="center"/>
            <w:hideMark/>
          </w:tcPr>
          <w:p w14:paraId="47EFF14E"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0.82%</w:t>
            </w:r>
          </w:p>
        </w:tc>
        <w:tc>
          <w:tcPr>
            <w:tcW w:w="0" w:type="auto"/>
            <w:tcBorders>
              <w:top w:val="nil"/>
              <w:left w:val="nil"/>
              <w:bottom w:val="nil"/>
              <w:right w:val="dotted" w:sz="4" w:space="0" w:color="auto"/>
            </w:tcBorders>
            <w:shd w:val="clear" w:color="auto" w:fill="auto"/>
            <w:noWrap/>
            <w:vAlign w:val="center"/>
            <w:hideMark/>
          </w:tcPr>
          <w:p w14:paraId="5B091EF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1.06%</w:t>
            </w:r>
          </w:p>
        </w:tc>
        <w:tc>
          <w:tcPr>
            <w:tcW w:w="0" w:type="auto"/>
            <w:tcBorders>
              <w:top w:val="nil"/>
              <w:left w:val="dotted" w:sz="4" w:space="0" w:color="auto"/>
              <w:bottom w:val="nil"/>
            </w:tcBorders>
            <w:shd w:val="clear" w:color="auto" w:fill="auto"/>
            <w:noWrap/>
            <w:vAlign w:val="center"/>
            <w:hideMark/>
          </w:tcPr>
          <w:p w14:paraId="07F5DD93"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0.73%</w:t>
            </w:r>
          </w:p>
        </w:tc>
      </w:tr>
      <w:tr w:rsidR="003B7C93" w:rsidRPr="00925D5C" w14:paraId="7E7E744E" w14:textId="77777777" w:rsidTr="00925D5C">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448D6C91"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Developmental delay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008AD3D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0.31%</w:t>
            </w:r>
          </w:p>
        </w:tc>
        <w:tc>
          <w:tcPr>
            <w:tcW w:w="0" w:type="auto"/>
            <w:tcBorders>
              <w:top w:val="nil"/>
              <w:left w:val="nil"/>
              <w:bottom w:val="nil"/>
              <w:right w:val="nil"/>
            </w:tcBorders>
            <w:shd w:val="clear" w:color="auto" w:fill="BFBFBF" w:themeFill="background1" w:themeFillShade="BF"/>
            <w:noWrap/>
            <w:vAlign w:val="center"/>
            <w:hideMark/>
          </w:tcPr>
          <w:p w14:paraId="68ECA3EF"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0.37%</w:t>
            </w:r>
          </w:p>
        </w:tc>
        <w:tc>
          <w:tcPr>
            <w:tcW w:w="0" w:type="auto"/>
            <w:tcBorders>
              <w:top w:val="nil"/>
              <w:left w:val="nil"/>
              <w:bottom w:val="nil"/>
              <w:right w:val="nil"/>
            </w:tcBorders>
            <w:shd w:val="clear" w:color="auto" w:fill="BFBFBF" w:themeFill="background1" w:themeFillShade="BF"/>
            <w:noWrap/>
            <w:vAlign w:val="center"/>
            <w:hideMark/>
          </w:tcPr>
          <w:p w14:paraId="5959EBB4"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0.21%</w:t>
            </w:r>
          </w:p>
        </w:tc>
        <w:tc>
          <w:tcPr>
            <w:tcW w:w="0" w:type="auto"/>
            <w:tcBorders>
              <w:top w:val="nil"/>
              <w:left w:val="nil"/>
              <w:bottom w:val="nil"/>
              <w:right w:val="nil"/>
            </w:tcBorders>
            <w:shd w:val="clear" w:color="auto" w:fill="BFBFBF" w:themeFill="background1" w:themeFillShade="BF"/>
            <w:noWrap/>
            <w:vAlign w:val="center"/>
            <w:hideMark/>
          </w:tcPr>
          <w:p w14:paraId="69B4429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0.14%</w:t>
            </w:r>
          </w:p>
        </w:tc>
        <w:tc>
          <w:tcPr>
            <w:tcW w:w="0" w:type="auto"/>
            <w:tcBorders>
              <w:top w:val="nil"/>
              <w:left w:val="nil"/>
              <w:bottom w:val="nil"/>
              <w:right w:val="nil"/>
            </w:tcBorders>
            <w:shd w:val="clear" w:color="auto" w:fill="BFBFBF" w:themeFill="background1" w:themeFillShade="BF"/>
            <w:noWrap/>
            <w:vAlign w:val="center"/>
            <w:hideMark/>
          </w:tcPr>
          <w:p w14:paraId="436A76E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0.07%</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6660B85C"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0.02%</w:t>
            </w:r>
          </w:p>
        </w:tc>
        <w:tc>
          <w:tcPr>
            <w:tcW w:w="0" w:type="auto"/>
            <w:tcBorders>
              <w:top w:val="nil"/>
              <w:left w:val="dotted" w:sz="4" w:space="0" w:color="auto"/>
              <w:bottom w:val="nil"/>
            </w:tcBorders>
            <w:shd w:val="clear" w:color="auto" w:fill="BFBFBF" w:themeFill="background1" w:themeFillShade="BF"/>
            <w:noWrap/>
            <w:vAlign w:val="center"/>
            <w:hideMark/>
          </w:tcPr>
          <w:p w14:paraId="278D9AF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0.12%</w:t>
            </w:r>
          </w:p>
        </w:tc>
      </w:tr>
      <w:tr w:rsidR="003B7C93" w:rsidRPr="00925D5C" w14:paraId="3C4B83EA"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5440C33B"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Hearing Impairment </w:t>
            </w:r>
          </w:p>
        </w:tc>
        <w:tc>
          <w:tcPr>
            <w:tcW w:w="0" w:type="auto"/>
            <w:tcBorders>
              <w:top w:val="nil"/>
              <w:left w:val="dotted" w:sz="4" w:space="0" w:color="auto"/>
              <w:bottom w:val="nil"/>
              <w:right w:val="nil"/>
            </w:tcBorders>
            <w:shd w:val="clear" w:color="auto" w:fill="auto"/>
            <w:noWrap/>
            <w:vAlign w:val="center"/>
            <w:hideMark/>
          </w:tcPr>
          <w:p w14:paraId="538E81AE"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0.29%</w:t>
            </w:r>
          </w:p>
        </w:tc>
        <w:tc>
          <w:tcPr>
            <w:tcW w:w="0" w:type="auto"/>
            <w:tcBorders>
              <w:top w:val="nil"/>
              <w:left w:val="nil"/>
              <w:bottom w:val="nil"/>
              <w:right w:val="nil"/>
            </w:tcBorders>
            <w:shd w:val="clear" w:color="auto" w:fill="auto"/>
            <w:noWrap/>
            <w:vAlign w:val="center"/>
            <w:hideMark/>
          </w:tcPr>
          <w:p w14:paraId="1D11C27C"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0.34%</w:t>
            </w:r>
          </w:p>
        </w:tc>
        <w:tc>
          <w:tcPr>
            <w:tcW w:w="0" w:type="auto"/>
            <w:tcBorders>
              <w:top w:val="nil"/>
              <w:left w:val="nil"/>
              <w:bottom w:val="nil"/>
              <w:right w:val="nil"/>
            </w:tcBorders>
            <w:shd w:val="clear" w:color="auto" w:fill="auto"/>
            <w:noWrap/>
            <w:vAlign w:val="center"/>
            <w:hideMark/>
          </w:tcPr>
          <w:p w14:paraId="4D5ED37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0.19%</w:t>
            </w:r>
          </w:p>
        </w:tc>
        <w:tc>
          <w:tcPr>
            <w:tcW w:w="0" w:type="auto"/>
            <w:tcBorders>
              <w:top w:val="nil"/>
              <w:left w:val="nil"/>
              <w:bottom w:val="nil"/>
              <w:right w:val="nil"/>
            </w:tcBorders>
            <w:shd w:val="clear" w:color="auto" w:fill="auto"/>
            <w:noWrap/>
            <w:vAlign w:val="center"/>
            <w:hideMark/>
          </w:tcPr>
          <w:p w14:paraId="49E3032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0.26%</w:t>
            </w:r>
          </w:p>
        </w:tc>
        <w:tc>
          <w:tcPr>
            <w:tcW w:w="0" w:type="auto"/>
            <w:tcBorders>
              <w:top w:val="nil"/>
              <w:left w:val="nil"/>
              <w:bottom w:val="nil"/>
              <w:right w:val="nil"/>
            </w:tcBorders>
            <w:shd w:val="clear" w:color="auto" w:fill="auto"/>
            <w:noWrap/>
            <w:vAlign w:val="center"/>
            <w:hideMark/>
          </w:tcPr>
          <w:p w14:paraId="24FBB16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0.27%</w:t>
            </w:r>
          </w:p>
        </w:tc>
        <w:tc>
          <w:tcPr>
            <w:tcW w:w="0" w:type="auto"/>
            <w:tcBorders>
              <w:top w:val="nil"/>
              <w:left w:val="nil"/>
              <w:bottom w:val="nil"/>
              <w:right w:val="dotted" w:sz="4" w:space="0" w:color="auto"/>
            </w:tcBorders>
            <w:shd w:val="clear" w:color="auto" w:fill="auto"/>
            <w:noWrap/>
            <w:vAlign w:val="center"/>
            <w:hideMark/>
          </w:tcPr>
          <w:p w14:paraId="66D0860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0.18%</w:t>
            </w:r>
          </w:p>
        </w:tc>
        <w:tc>
          <w:tcPr>
            <w:tcW w:w="0" w:type="auto"/>
            <w:tcBorders>
              <w:top w:val="nil"/>
              <w:left w:val="dotted" w:sz="4" w:space="0" w:color="auto"/>
              <w:bottom w:val="nil"/>
            </w:tcBorders>
            <w:shd w:val="clear" w:color="auto" w:fill="auto"/>
            <w:noWrap/>
            <w:vAlign w:val="center"/>
            <w:hideMark/>
          </w:tcPr>
          <w:p w14:paraId="68B3297D"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0.25%</w:t>
            </w:r>
          </w:p>
        </w:tc>
      </w:tr>
      <w:tr w:rsidR="003B7C93" w:rsidRPr="00925D5C" w14:paraId="68BDBC0C" w14:textId="77777777" w:rsidTr="00925D5C">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38108A3D"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Intellectual Disability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6D942504"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0.69%</w:t>
            </w:r>
          </w:p>
        </w:tc>
        <w:tc>
          <w:tcPr>
            <w:tcW w:w="0" w:type="auto"/>
            <w:tcBorders>
              <w:top w:val="nil"/>
              <w:left w:val="nil"/>
              <w:bottom w:val="nil"/>
              <w:right w:val="nil"/>
            </w:tcBorders>
            <w:shd w:val="clear" w:color="auto" w:fill="BFBFBF" w:themeFill="background1" w:themeFillShade="BF"/>
            <w:noWrap/>
            <w:vAlign w:val="center"/>
            <w:hideMark/>
          </w:tcPr>
          <w:p w14:paraId="675D090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0.73%</w:t>
            </w:r>
          </w:p>
        </w:tc>
        <w:tc>
          <w:tcPr>
            <w:tcW w:w="0" w:type="auto"/>
            <w:tcBorders>
              <w:top w:val="nil"/>
              <w:left w:val="nil"/>
              <w:bottom w:val="nil"/>
              <w:right w:val="nil"/>
            </w:tcBorders>
            <w:shd w:val="clear" w:color="auto" w:fill="BFBFBF" w:themeFill="background1" w:themeFillShade="BF"/>
            <w:noWrap/>
            <w:vAlign w:val="center"/>
            <w:hideMark/>
          </w:tcPr>
          <w:p w14:paraId="772F639F"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0.77%</w:t>
            </w:r>
          </w:p>
        </w:tc>
        <w:tc>
          <w:tcPr>
            <w:tcW w:w="0" w:type="auto"/>
            <w:tcBorders>
              <w:top w:val="nil"/>
              <w:left w:val="nil"/>
              <w:bottom w:val="nil"/>
              <w:right w:val="nil"/>
            </w:tcBorders>
            <w:shd w:val="clear" w:color="auto" w:fill="BFBFBF" w:themeFill="background1" w:themeFillShade="BF"/>
            <w:noWrap/>
            <w:vAlign w:val="center"/>
            <w:hideMark/>
          </w:tcPr>
          <w:p w14:paraId="700DB90E"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0.77%</w:t>
            </w:r>
          </w:p>
        </w:tc>
        <w:tc>
          <w:tcPr>
            <w:tcW w:w="0" w:type="auto"/>
            <w:tcBorders>
              <w:top w:val="nil"/>
              <w:left w:val="nil"/>
              <w:bottom w:val="nil"/>
              <w:right w:val="nil"/>
            </w:tcBorders>
            <w:shd w:val="clear" w:color="auto" w:fill="BFBFBF" w:themeFill="background1" w:themeFillShade="BF"/>
            <w:noWrap/>
            <w:vAlign w:val="center"/>
            <w:hideMark/>
          </w:tcPr>
          <w:p w14:paraId="5981364F"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0.77%</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4D0D6803"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0.80%</w:t>
            </w:r>
          </w:p>
        </w:tc>
        <w:tc>
          <w:tcPr>
            <w:tcW w:w="0" w:type="auto"/>
            <w:tcBorders>
              <w:top w:val="nil"/>
              <w:left w:val="dotted" w:sz="4" w:space="0" w:color="auto"/>
              <w:bottom w:val="nil"/>
            </w:tcBorders>
            <w:shd w:val="clear" w:color="auto" w:fill="BFBFBF" w:themeFill="background1" w:themeFillShade="BF"/>
            <w:noWrap/>
            <w:vAlign w:val="center"/>
            <w:hideMark/>
          </w:tcPr>
          <w:p w14:paraId="165C29D6"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0.76%</w:t>
            </w:r>
          </w:p>
        </w:tc>
      </w:tr>
      <w:tr w:rsidR="003B7C93" w:rsidRPr="00925D5C" w14:paraId="38918AE9"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51E4193C"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Multiple Sclerosis </w:t>
            </w:r>
          </w:p>
        </w:tc>
        <w:tc>
          <w:tcPr>
            <w:tcW w:w="0" w:type="auto"/>
            <w:tcBorders>
              <w:top w:val="nil"/>
              <w:left w:val="dotted" w:sz="4" w:space="0" w:color="auto"/>
              <w:bottom w:val="nil"/>
              <w:right w:val="nil"/>
            </w:tcBorders>
            <w:shd w:val="clear" w:color="auto" w:fill="auto"/>
            <w:noWrap/>
            <w:vAlign w:val="center"/>
            <w:hideMark/>
          </w:tcPr>
          <w:p w14:paraId="36A8FCD2"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1.16%</w:t>
            </w:r>
          </w:p>
        </w:tc>
        <w:tc>
          <w:tcPr>
            <w:tcW w:w="0" w:type="auto"/>
            <w:tcBorders>
              <w:top w:val="nil"/>
              <w:left w:val="nil"/>
              <w:bottom w:val="nil"/>
              <w:right w:val="nil"/>
            </w:tcBorders>
            <w:shd w:val="clear" w:color="auto" w:fill="auto"/>
            <w:noWrap/>
            <w:vAlign w:val="center"/>
            <w:hideMark/>
          </w:tcPr>
          <w:p w14:paraId="0BF7DEF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1.25%</w:t>
            </w:r>
          </w:p>
        </w:tc>
        <w:tc>
          <w:tcPr>
            <w:tcW w:w="0" w:type="auto"/>
            <w:tcBorders>
              <w:top w:val="nil"/>
              <w:left w:val="nil"/>
              <w:bottom w:val="nil"/>
              <w:right w:val="nil"/>
            </w:tcBorders>
            <w:shd w:val="clear" w:color="auto" w:fill="auto"/>
            <w:noWrap/>
            <w:vAlign w:val="center"/>
            <w:hideMark/>
          </w:tcPr>
          <w:p w14:paraId="3F31083D"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1.26%</w:t>
            </w:r>
          </w:p>
        </w:tc>
        <w:tc>
          <w:tcPr>
            <w:tcW w:w="0" w:type="auto"/>
            <w:tcBorders>
              <w:top w:val="nil"/>
              <w:left w:val="nil"/>
              <w:bottom w:val="nil"/>
              <w:right w:val="nil"/>
            </w:tcBorders>
            <w:shd w:val="clear" w:color="auto" w:fill="auto"/>
            <w:noWrap/>
            <w:vAlign w:val="center"/>
            <w:hideMark/>
          </w:tcPr>
          <w:p w14:paraId="5715DE9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1.07%</w:t>
            </w:r>
          </w:p>
        </w:tc>
        <w:tc>
          <w:tcPr>
            <w:tcW w:w="0" w:type="auto"/>
            <w:tcBorders>
              <w:top w:val="nil"/>
              <w:left w:val="nil"/>
              <w:bottom w:val="nil"/>
              <w:right w:val="nil"/>
            </w:tcBorders>
            <w:shd w:val="clear" w:color="auto" w:fill="auto"/>
            <w:noWrap/>
            <w:vAlign w:val="center"/>
            <w:hideMark/>
          </w:tcPr>
          <w:p w14:paraId="7D08CC7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1.18%</w:t>
            </w:r>
          </w:p>
        </w:tc>
        <w:tc>
          <w:tcPr>
            <w:tcW w:w="0" w:type="auto"/>
            <w:tcBorders>
              <w:top w:val="nil"/>
              <w:left w:val="nil"/>
              <w:bottom w:val="nil"/>
              <w:right w:val="dotted" w:sz="4" w:space="0" w:color="auto"/>
            </w:tcBorders>
            <w:shd w:val="clear" w:color="auto" w:fill="auto"/>
            <w:noWrap/>
            <w:vAlign w:val="center"/>
            <w:hideMark/>
          </w:tcPr>
          <w:p w14:paraId="55992FB2"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1.15%</w:t>
            </w:r>
          </w:p>
        </w:tc>
        <w:tc>
          <w:tcPr>
            <w:tcW w:w="0" w:type="auto"/>
            <w:tcBorders>
              <w:top w:val="nil"/>
              <w:left w:val="dotted" w:sz="4" w:space="0" w:color="auto"/>
              <w:bottom w:val="nil"/>
            </w:tcBorders>
            <w:shd w:val="clear" w:color="auto" w:fill="auto"/>
            <w:noWrap/>
            <w:vAlign w:val="center"/>
            <w:hideMark/>
          </w:tcPr>
          <w:p w14:paraId="70C7B5AC"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1.17%</w:t>
            </w:r>
          </w:p>
        </w:tc>
      </w:tr>
      <w:tr w:rsidR="003B7C93" w:rsidRPr="00925D5C" w14:paraId="34F61986" w14:textId="77777777" w:rsidTr="00925D5C">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428AD733"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Psychosocial disability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636E8F1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0.88%</w:t>
            </w:r>
          </w:p>
        </w:tc>
        <w:tc>
          <w:tcPr>
            <w:tcW w:w="0" w:type="auto"/>
            <w:tcBorders>
              <w:top w:val="nil"/>
              <w:left w:val="nil"/>
              <w:bottom w:val="nil"/>
              <w:right w:val="nil"/>
            </w:tcBorders>
            <w:shd w:val="clear" w:color="auto" w:fill="BFBFBF" w:themeFill="background1" w:themeFillShade="BF"/>
            <w:noWrap/>
            <w:vAlign w:val="center"/>
            <w:hideMark/>
          </w:tcPr>
          <w:p w14:paraId="2374AE8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1.00%</w:t>
            </w:r>
          </w:p>
        </w:tc>
        <w:tc>
          <w:tcPr>
            <w:tcW w:w="0" w:type="auto"/>
            <w:tcBorders>
              <w:top w:val="nil"/>
              <w:left w:val="nil"/>
              <w:bottom w:val="nil"/>
              <w:right w:val="nil"/>
            </w:tcBorders>
            <w:shd w:val="clear" w:color="auto" w:fill="BFBFBF" w:themeFill="background1" w:themeFillShade="BF"/>
            <w:noWrap/>
            <w:vAlign w:val="center"/>
            <w:hideMark/>
          </w:tcPr>
          <w:p w14:paraId="4E58B2A8"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1.13%</w:t>
            </w:r>
          </w:p>
        </w:tc>
        <w:tc>
          <w:tcPr>
            <w:tcW w:w="0" w:type="auto"/>
            <w:tcBorders>
              <w:top w:val="nil"/>
              <w:left w:val="nil"/>
              <w:bottom w:val="nil"/>
              <w:right w:val="nil"/>
            </w:tcBorders>
            <w:shd w:val="clear" w:color="auto" w:fill="BFBFBF" w:themeFill="background1" w:themeFillShade="BF"/>
            <w:noWrap/>
            <w:vAlign w:val="center"/>
            <w:hideMark/>
          </w:tcPr>
          <w:p w14:paraId="3BCABEA8"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1.45%</w:t>
            </w:r>
          </w:p>
        </w:tc>
        <w:tc>
          <w:tcPr>
            <w:tcW w:w="0" w:type="auto"/>
            <w:tcBorders>
              <w:top w:val="nil"/>
              <w:left w:val="nil"/>
              <w:bottom w:val="nil"/>
              <w:right w:val="nil"/>
            </w:tcBorders>
            <w:shd w:val="clear" w:color="auto" w:fill="BFBFBF" w:themeFill="background1" w:themeFillShade="BF"/>
            <w:noWrap/>
            <w:vAlign w:val="center"/>
            <w:hideMark/>
          </w:tcPr>
          <w:p w14:paraId="6C0114E3"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1.23%</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008B2AD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1.32%</w:t>
            </w:r>
          </w:p>
        </w:tc>
        <w:tc>
          <w:tcPr>
            <w:tcW w:w="0" w:type="auto"/>
            <w:tcBorders>
              <w:top w:val="nil"/>
              <w:left w:val="dotted" w:sz="4" w:space="0" w:color="auto"/>
              <w:bottom w:val="nil"/>
            </w:tcBorders>
            <w:shd w:val="clear" w:color="auto" w:fill="BFBFBF" w:themeFill="background1" w:themeFillShade="BF"/>
            <w:noWrap/>
            <w:vAlign w:val="center"/>
            <w:hideMark/>
          </w:tcPr>
          <w:p w14:paraId="75F78D56"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1.23%</w:t>
            </w:r>
          </w:p>
        </w:tc>
      </w:tr>
      <w:tr w:rsidR="003B7C93" w:rsidRPr="00925D5C" w14:paraId="4CF9FEAA"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603E03AB"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Spinal Cord Injury </w:t>
            </w:r>
          </w:p>
        </w:tc>
        <w:tc>
          <w:tcPr>
            <w:tcW w:w="0" w:type="auto"/>
            <w:tcBorders>
              <w:top w:val="nil"/>
              <w:left w:val="dotted" w:sz="4" w:space="0" w:color="auto"/>
              <w:bottom w:val="nil"/>
              <w:right w:val="nil"/>
            </w:tcBorders>
            <w:shd w:val="clear" w:color="auto" w:fill="auto"/>
            <w:noWrap/>
            <w:vAlign w:val="center"/>
            <w:hideMark/>
          </w:tcPr>
          <w:p w14:paraId="461F96B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1.15%</w:t>
            </w:r>
          </w:p>
        </w:tc>
        <w:tc>
          <w:tcPr>
            <w:tcW w:w="0" w:type="auto"/>
            <w:tcBorders>
              <w:top w:val="nil"/>
              <w:left w:val="nil"/>
              <w:bottom w:val="nil"/>
              <w:right w:val="nil"/>
            </w:tcBorders>
            <w:shd w:val="clear" w:color="auto" w:fill="auto"/>
            <w:noWrap/>
            <w:vAlign w:val="center"/>
            <w:hideMark/>
          </w:tcPr>
          <w:p w14:paraId="44E6551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1.55%</w:t>
            </w:r>
          </w:p>
        </w:tc>
        <w:tc>
          <w:tcPr>
            <w:tcW w:w="0" w:type="auto"/>
            <w:tcBorders>
              <w:top w:val="nil"/>
              <w:left w:val="nil"/>
              <w:bottom w:val="nil"/>
              <w:right w:val="nil"/>
            </w:tcBorders>
            <w:shd w:val="clear" w:color="auto" w:fill="auto"/>
            <w:noWrap/>
            <w:vAlign w:val="center"/>
            <w:hideMark/>
          </w:tcPr>
          <w:p w14:paraId="535AD59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2.15%</w:t>
            </w:r>
          </w:p>
        </w:tc>
        <w:tc>
          <w:tcPr>
            <w:tcW w:w="0" w:type="auto"/>
            <w:tcBorders>
              <w:top w:val="nil"/>
              <w:left w:val="nil"/>
              <w:bottom w:val="nil"/>
              <w:right w:val="nil"/>
            </w:tcBorders>
            <w:shd w:val="clear" w:color="auto" w:fill="auto"/>
            <w:noWrap/>
            <w:vAlign w:val="center"/>
            <w:hideMark/>
          </w:tcPr>
          <w:p w14:paraId="5EC16004"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2.01%</w:t>
            </w:r>
          </w:p>
        </w:tc>
        <w:tc>
          <w:tcPr>
            <w:tcW w:w="0" w:type="auto"/>
            <w:tcBorders>
              <w:top w:val="nil"/>
              <w:left w:val="nil"/>
              <w:bottom w:val="nil"/>
              <w:right w:val="nil"/>
            </w:tcBorders>
            <w:shd w:val="clear" w:color="auto" w:fill="auto"/>
            <w:noWrap/>
            <w:vAlign w:val="center"/>
            <w:hideMark/>
          </w:tcPr>
          <w:p w14:paraId="3B8D68F2"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2.13%</w:t>
            </w:r>
          </w:p>
        </w:tc>
        <w:tc>
          <w:tcPr>
            <w:tcW w:w="0" w:type="auto"/>
            <w:tcBorders>
              <w:top w:val="nil"/>
              <w:left w:val="nil"/>
              <w:bottom w:val="nil"/>
              <w:right w:val="dotted" w:sz="4" w:space="0" w:color="auto"/>
            </w:tcBorders>
            <w:shd w:val="clear" w:color="auto" w:fill="auto"/>
            <w:noWrap/>
            <w:vAlign w:val="center"/>
            <w:hideMark/>
          </w:tcPr>
          <w:p w14:paraId="3AFFF08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2.64%</w:t>
            </w:r>
          </w:p>
        </w:tc>
        <w:tc>
          <w:tcPr>
            <w:tcW w:w="0" w:type="auto"/>
            <w:tcBorders>
              <w:top w:val="nil"/>
              <w:left w:val="dotted" w:sz="4" w:space="0" w:color="auto"/>
              <w:bottom w:val="nil"/>
            </w:tcBorders>
            <w:shd w:val="clear" w:color="auto" w:fill="auto"/>
            <w:noWrap/>
            <w:vAlign w:val="center"/>
            <w:hideMark/>
          </w:tcPr>
          <w:p w14:paraId="07BBDC2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1.99%</w:t>
            </w:r>
          </w:p>
        </w:tc>
      </w:tr>
      <w:tr w:rsidR="003B7C93" w:rsidRPr="00925D5C" w14:paraId="68FC08EE" w14:textId="77777777" w:rsidTr="00925D5C">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2DAB9D92"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Stroke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2BC8AD6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2.56%</w:t>
            </w:r>
          </w:p>
        </w:tc>
        <w:tc>
          <w:tcPr>
            <w:tcW w:w="0" w:type="auto"/>
            <w:tcBorders>
              <w:top w:val="nil"/>
              <w:left w:val="nil"/>
              <w:bottom w:val="nil"/>
              <w:right w:val="nil"/>
            </w:tcBorders>
            <w:shd w:val="clear" w:color="auto" w:fill="BFBFBF" w:themeFill="background1" w:themeFillShade="BF"/>
            <w:noWrap/>
            <w:vAlign w:val="center"/>
            <w:hideMark/>
          </w:tcPr>
          <w:p w14:paraId="4CB1073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2.21%</w:t>
            </w:r>
          </w:p>
        </w:tc>
        <w:tc>
          <w:tcPr>
            <w:tcW w:w="0" w:type="auto"/>
            <w:tcBorders>
              <w:top w:val="nil"/>
              <w:left w:val="nil"/>
              <w:bottom w:val="nil"/>
              <w:right w:val="nil"/>
            </w:tcBorders>
            <w:shd w:val="clear" w:color="auto" w:fill="BFBFBF" w:themeFill="background1" w:themeFillShade="BF"/>
            <w:noWrap/>
            <w:vAlign w:val="center"/>
            <w:hideMark/>
          </w:tcPr>
          <w:p w14:paraId="3E6E5E56"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3.05%</w:t>
            </w:r>
          </w:p>
        </w:tc>
        <w:tc>
          <w:tcPr>
            <w:tcW w:w="0" w:type="auto"/>
            <w:tcBorders>
              <w:top w:val="nil"/>
              <w:left w:val="nil"/>
              <w:bottom w:val="nil"/>
              <w:right w:val="nil"/>
            </w:tcBorders>
            <w:shd w:val="clear" w:color="auto" w:fill="BFBFBF" w:themeFill="background1" w:themeFillShade="BF"/>
            <w:noWrap/>
            <w:vAlign w:val="center"/>
            <w:hideMark/>
          </w:tcPr>
          <w:p w14:paraId="2B25DA2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3.20%</w:t>
            </w:r>
          </w:p>
        </w:tc>
        <w:tc>
          <w:tcPr>
            <w:tcW w:w="0" w:type="auto"/>
            <w:tcBorders>
              <w:top w:val="nil"/>
              <w:left w:val="nil"/>
              <w:bottom w:val="nil"/>
              <w:right w:val="nil"/>
            </w:tcBorders>
            <w:shd w:val="clear" w:color="auto" w:fill="BFBFBF" w:themeFill="background1" w:themeFillShade="BF"/>
            <w:noWrap/>
            <w:vAlign w:val="center"/>
            <w:hideMark/>
          </w:tcPr>
          <w:p w14:paraId="662F5DB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3.07%</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422A206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3.71%</w:t>
            </w:r>
          </w:p>
        </w:tc>
        <w:tc>
          <w:tcPr>
            <w:tcW w:w="0" w:type="auto"/>
            <w:tcBorders>
              <w:top w:val="nil"/>
              <w:left w:val="dotted" w:sz="4" w:space="0" w:color="auto"/>
              <w:bottom w:val="nil"/>
            </w:tcBorders>
            <w:shd w:val="clear" w:color="auto" w:fill="BFBFBF" w:themeFill="background1" w:themeFillShade="BF"/>
            <w:noWrap/>
            <w:vAlign w:val="center"/>
            <w:hideMark/>
          </w:tcPr>
          <w:p w14:paraId="6528CAE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3.02%</w:t>
            </w:r>
          </w:p>
        </w:tc>
      </w:tr>
      <w:tr w:rsidR="003B7C93" w:rsidRPr="00925D5C" w14:paraId="0FD2C770"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27EF8195"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Visual Impairment </w:t>
            </w:r>
          </w:p>
        </w:tc>
        <w:tc>
          <w:tcPr>
            <w:tcW w:w="0" w:type="auto"/>
            <w:tcBorders>
              <w:top w:val="nil"/>
              <w:left w:val="dotted" w:sz="4" w:space="0" w:color="auto"/>
              <w:bottom w:val="nil"/>
              <w:right w:val="nil"/>
            </w:tcBorders>
            <w:shd w:val="clear" w:color="auto" w:fill="auto"/>
            <w:noWrap/>
            <w:vAlign w:val="center"/>
            <w:hideMark/>
          </w:tcPr>
          <w:p w14:paraId="2A4AF2E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1.00%</w:t>
            </w:r>
          </w:p>
        </w:tc>
        <w:tc>
          <w:tcPr>
            <w:tcW w:w="0" w:type="auto"/>
            <w:tcBorders>
              <w:top w:val="nil"/>
              <w:left w:val="nil"/>
              <w:bottom w:val="nil"/>
              <w:right w:val="nil"/>
            </w:tcBorders>
            <w:shd w:val="clear" w:color="auto" w:fill="auto"/>
            <w:noWrap/>
            <w:vAlign w:val="center"/>
            <w:hideMark/>
          </w:tcPr>
          <w:p w14:paraId="1855E748"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0.98%</w:t>
            </w:r>
          </w:p>
        </w:tc>
        <w:tc>
          <w:tcPr>
            <w:tcW w:w="0" w:type="auto"/>
            <w:tcBorders>
              <w:top w:val="nil"/>
              <w:left w:val="nil"/>
              <w:bottom w:val="nil"/>
              <w:right w:val="nil"/>
            </w:tcBorders>
            <w:shd w:val="clear" w:color="auto" w:fill="auto"/>
            <w:noWrap/>
            <w:vAlign w:val="center"/>
            <w:hideMark/>
          </w:tcPr>
          <w:p w14:paraId="32967AB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1.15%</w:t>
            </w:r>
          </w:p>
        </w:tc>
        <w:tc>
          <w:tcPr>
            <w:tcW w:w="0" w:type="auto"/>
            <w:tcBorders>
              <w:top w:val="nil"/>
              <w:left w:val="nil"/>
              <w:bottom w:val="nil"/>
              <w:right w:val="nil"/>
            </w:tcBorders>
            <w:shd w:val="clear" w:color="auto" w:fill="auto"/>
            <w:noWrap/>
            <w:vAlign w:val="center"/>
            <w:hideMark/>
          </w:tcPr>
          <w:p w14:paraId="51EDA15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1.22%</w:t>
            </w:r>
          </w:p>
        </w:tc>
        <w:tc>
          <w:tcPr>
            <w:tcW w:w="0" w:type="auto"/>
            <w:tcBorders>
              <w:top w:val="nil"/>
              <w:left w:val="nil"/>
              <w:bottom w:val="nil"/>
              <w:right w:val="nil"/>
            </w:tcBorders>
            <w:shd w:val="clear" w:color="auto" w:fill="auto"/>
            <w:noWrap/>
            <w:vAlign w:val="center"/>
            <w:hideMark/>
          </w:tcPr>
          <w:p w14:paraId="2453FDB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1.14%</w:t>
            </w:r>
          </w:p>
        </w:tc>
        <w:tc>
          <w:tcPr>
            <w:tcW w:w="0" w:type="auto"/>
            <w:tcBorders>
              <w:top w:val="nil"/>
              <w:left w:val="nil"/>
              <w:bottom w:val="nil"/>
              <w:right w:val="dotted" w:sz="4" w:space="0" w:color="auto"/>
            </w:tcBorders>
            <w:shd w:val="clear" w:color="auto" w:fill="auto"/>
            <w:noWrap/>
            <w:vAlign w:val="center"/>
            <w:hideMark/>
          </w:tcPr>
          <w:p w14:paraId="453957A2"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0.79%</w:t>
            </w:r>
          </w:p>
        </w:tc>
        <w:tc>
          <w:tcPr>
            <w:tcW w:w="0" w:type="auto"/>
            <w:tcBorders>
              <w:top w:val="nil"/>
              <w:left w:val="dotted" w:sz="4" w:space="0" w:color="auto"/>
              <w:bottom w:val="nil"/>
            </w:tcBorders>
            <w:shd w:val="clear" w:color="auto" w:fill="auto"/>
            <w:noWrap/>
            <w:vAlign w:val="center"/>
            <w:hideMark/>
          </w:tcPr>
          <w:p w14:paraId="43E3A8E2"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1.12%</w:t>
            </w:r>
          </w:p>
        </w:tc>
      </w:tr>
      <w:tr w:rsidR="003B7C93" w:rsidRPr="00925D5C" w14:paraId="6F8CA54C" w14:textId="77777777" w:rsidTr="00925D5C">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2439C54B"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Other Neurological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57528B2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3.80%</w:t>
            </w:r>
          </w:p>
        </w:tc>
        <w:tc>
          <w:tcPr>
            <w:tcW w:w="0" w:type="auto"/>
            <w:tcBorders>
              <w:top w:val="nil"/>
              <w:left w:val="nil"/>
              <w:bottom w:val="nil"/>
              <w:right w:val="nil"/>
            </w:tcBorders>
            <w:shd w:val="clear" w:color="auto" w:fill="BFBFBF" w:themeFill="background1" w:themeFillShade="BF"/>
            <w:noWrap/>
            <w:vAlign w:val="center"/>
            <w:hideMark/>
          </w:tcPr>
          <w:p w14:paraId="14B19796"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4.52%</w:t>
            </w:r>
          </w:p>
        </w:tc>
        <w:tc>
          <w:tcPr>
            <w:tcW w:w="0" w:type="auto"/>
            <w:tcBorders>
              <w:top w:val="nil"/>
              <w:left w:val="nil"/>
              <w:bottom w:val="nil"/>
              <w:right w:val="nil"/>
            </w:tcBorders>
            <w:shd w:val="clear" w:color="auto" w:fill="BFBFBF" w:themeFill="background1" w:themeFillShade="BF"/>
            <w:noWrap/>
            <w:vAlign w:val="center"/>
            <w:hideMark/>
          </w:tcPr>
          <w:p w14:paraId="7C111A5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5.18%</w:t>
            </w:r>
          </w:p>
        </w:tc>
        <w:tc>
          <w:tcPr>
            <w:tcW w:w="0" w:type="auto"/>
            <w:tcBorders>
              <w:top w:val="nil"/>
              <w:left w:val="nil"/>
              <w:bottom w:val="nil"/>
              <w:right w:val="nil"/>
            </w:tcBorders>
            <w:shd w:val="clear" w:color="auto" w:fill="BFBFBF" w:themeFill="background1" w:themeFillShade="BF"/>
            <w:noWrap/>
            <w:vAlign w:val="center"/>
            <w:hideMark/>
          </w:tcPr>
          <w:p w14:paraId="372CC5C3"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5.12%</w:t>
            </w:r>
          </w:p>
        </w:tc>
        <w:tc>
          <w:tcPr>
            <w:tcW w:w="0" w:type="auto"/>
            <w:tcBorders>
              <w:top w:val="nil"/>
              <w:left w:val="nil"/>
              <w:bottom w:val="nil"/>
              <w:right w:val="nil"/>
            </w:tcBorders>
            <w:shd w:val="clear" w:color="auto" w:fill="BFBFBF" w:themeFill="background1" w:themeFillShade="BF"/>
            <w:noWrap/>
            <w:vAlign w:val="center"/>
            <w:hideMark/>
          </w:tcPr>
          <w:p w14:paraId="4BABA66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4.83%</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131A973B"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6.06%</w:t>
            </w:r>
          </w:p>
        </w:tc>
        <w:tc>
          <w:tcPr>
            <w:tcW w:w="0" w:type="auto"/>
            <w:tcBorders>
              <w:top w:val="nil"/>
              <w:left w:val="dotted" w:sz="4" w:space="0" w:color="auto"/>
              <w:bottom w:val="nil"/>
            </w:tcBorders>
            <w:shd w:val="clear" w:color="auto" w:fill="BFBFBF" w:themeFill="background1" w:themeFillShade="BF"/>
            <w:noWrap/>
            <w:vAlign w:val="center"/>
            <w:hideMark/>
          </w:tcPr>
          <w:p w14:paraId="7E286A8D"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4.94%</w:t>
            </w:r>
          </w:p>
        </w:tc>
      </w:tr>
      <w:tr w:rsidR="003B7C93" w:rsidRPr="00925D5C" w14:paraId="216AB9FC"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01AE3B0A"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Other Physical </w:t>
            </w:r>
          </w:p>
        </w:tc>
        <w:tc>
          <w:tcPr>
            <w:tcW w:w="0" w:type="auto"/>
            <w:tcBorders>
              <w:top w:val="nil"/>
              <w:left w:val="dotted" w:sz="4" w:space="0" w:color="auto"/>
              <w:bottom w:val="nil"/>
              <w:right w:val="nil"/>
            </w:tcBorders>
            <w:shd w:val="clear" w:color="auto" w:fill="auto"/>
            <w:noWrap/>
            <w:vAlign w:val="center"/>
            <w:hideMark/>
          </w:tcPr>
          <w:p w14:paraId="141BADCD"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4.23%</w:t>
            </w:r>
          </w:p>
        </w:tc>
        <w:tc>
          <w:tcPr>
            <w:tcW w:w="0" w:type="auto"/>
            <w:tcBorders>
              <w:top w:val="nil"/>
              <w:left w:val="nil"/>
              <w:bottom w:val="nil"/>
              <w:right w:val="nil"/>
            </w:tcBorders>
            <w:shd w:val="clear" w:color="auto" w:fill="auto"/>
            <w:noWrap/>
            <w:vAlign w:val="center"/>
            <w:hideMark/>
          </w:tcPr>
          <w:p w14:paraId="04E749AD"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3.68%</w:t>
            </w:r>
          </w:p>
        </w:tc>
        <w:tc>
          <w:tcPr>
            <w:tcW w:w="0" w:type="auto"/>
            <w:tcBorders>
              <w:top w:val="nil"/>
              <w:left w:val="nil"/>
              <w:bottom w:val="nil"/>
              <w:right w:val="nil"/>
            </w:tcBorders>
            <w:shd w:val="clear" w:color="auto" w:fill="auto"/>
            <w:noWrap/>
            <w:vAlign w:val="center"/>
            <w:hideMark/>
          </w:tcPr>
          <w:p w14:paraId="38021ECE"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3.76%</w:t>
            </w:r>
          </w:p>
        </w:tc>
        <w:tc>
          <w:tcPr>
            <w:tcW w:w="0" w:type="auto"/>
            <w:tcBorders>
              <w:top w:val="nil"/>
              <w:left w:val="nil"/>
              <w:bottom w:val="nil"/>
              <w:right w:val="nil"/>
            </w:tcBorders>
            <w:shd w:val="clear" w:color="auto" w:fill="auto"/>
            <w:noWrap/>
            <w:vAlign w:val="center"/>
            <w:hideMark/>
          </w:tcPr>
          <w:p w14:paraId="44649E13"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4.19%</w:t>
            </w:r>
          </w:p>
        </w:tc>
        <w:tc>
          <w:tcPr>
            <w:tcW w:w="0" w:type="auto"/>
            <w:tcBorders>
              <w:top w:val="nil"/>
              <w:left w:val="nil"/>
              <w:bottom w:val="nil"/>
              <w:right w:val="nil"/>
            </w:tcBorders>
            <w:shd w:val="clear" w:color="auto" w:fill="auto"/>
            <w:noWrap/>
            <w:vAlign w:val="center"/>
            <w:hideMark/>
          </w:tcPr>
          <w:p w14:paraId="6311258D"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3.73%</w:t>
            </w:r>
          </w:p>
        </w:tc>
        <w:tc>
          <w:tcPr>
            <w:tcW w:w="0" w:type="auto"/>
            <w:tcBorders>
              <w:top w:val="nil"/>
              <w:left w:val="nil"/>
              <w:bottom w:val="nil"/>
              <w:right w:val="dotted" w:sz="4" w:space="0" w:color="auto"/>
            </w:tcBorders>
            <w:shd w:val="clear" w:color="auto" w:fill="auto"/>
            <w:noWrap/>
            <w:vAlign w:val="center"/>
            <w:hideMark/>
          </w:tcPr>
          <w:p w14:paraId="23DA8C9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3.66%</w:t>
            </w:r>
          </w:p>
        </w:tc>
        <w:tc>
          <w:tcPr>
            <w:tcW w:w="0" w:type="auto"/>
            <w:tcBorders>
              <w:top w:val="nil"/>
              <w:left w:val="dotted" w:sz="4" w:space="0" w:color="auto"/>
              <w:bottom w:val="nil"/>
            </w:tcBorders>
            <w:shd w:val="clear" w:color="auto" w:fill="auto"/>
            <w:noWrap/>
            <w:vAlign w:val="center"/>
            <w:hideMark/>
          </w:tcPr>
          <w:p w14:paraId="124FFB5C"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3.88%</w:t>
            </w:r>
          </w:p>
        </w:tc>
      </w:tr>
      <w:tr w:rsidR="003B7C93" w:rsidRPr="00925D5C" w14:paraId="3010FD6F" w14:textId="77777777" w:rsidTr="00925D5C">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166DCFEB"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Other Sensory/Speech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0DCE15E8"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0.24%</w:t>
            </w:r>
          </w:p>
        </w:tc>
        <w:tc>
          <w:tcPr>
            <w:tcW w:w="0" w:type="auto"/>
            <w:tcBorders>
              <w:top w:val="nil"/>
              <w:left w:val="nil"/>
              <w:bottom w:val="nil"/>
              <w:right w:val="nil"/>
            </w:tcBorders>
            <w:shd w:val="clear" w:color="auto" w:fill="BFBFBF" w:themeFill="background1" w:themeFillShade="BF"/>
            <w:noWrap/>
            <w:vAlign w:val="center"/>
            <w:hideMark/>
          </w:tcPr>
          <w:p w14:paraId="362B2D37"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0.10%</w:t>
            </w:r>
          </w:p>
        </w:tc>
        <w:tc>
          <w:tcPr>
            <w:tcW w:w="0" w:type="auto"/>
            <w:tcBorders>
              <w:top w:val="nil"/>
              <w:left w:val="nil"/>
              <w:bottom w:val="nil"/>
              <w:right w:val="nil"/>
            </w:tcBorders>
            <w:shd w:val="clear" w:color="auto" w:fill="BFBFBF" w:themeFill="background1" w:themeFillShade="BF"/>
            <w:noWrap/>
            <w:vAlign w:val="center"/>
            <w:hideMark/>
          </w:tcPr>
          <w:p w14:paraId="317258D8"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0.13%</w:t>
            </w:r>
          </w:p>
        </w:tc>
        <w:tc>
          <w:tcPr>
            <w:tcW w:w="0" w:type="auto"/>
            <w:tcBorders>
              <w:top w:val="nil"/>
              <w:left w:val="nil"/>
              <w:bottom w:val="nil"/>
              <w:right w:val="nil"/>
            </w:tcBorders>
            <w:shd w:val="clear" w:color="auto" w:fill="BFBFBF" w:themeFill="background1" w:themeFillShade="BF"/>
            <w:noWrap/>
            <w:vAlign w:val="center"/>
            <w:hideMark/>
          </w:tcPr>
          <w:p w14:paraId="0AC7235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0.23%</w:t>
            </w:r>
          </w:p>
        </w:tc>
        <w:tc>
          <w:tcPr>
            <w:tcW w:w="0" w:type="auto"/>
            <w:tcBorders>
              <w:top w:val="nil"/>
              <w:left w:val="nil"/>
              <w:bottom w:val="nil"/>
              <w:right w:val="nil"/>
            </w:tcBorders>
            <w:shd w:val="clear" w:color="auto" w:fill="BFBFBF" w:themeFill="background1" w:themeFillShade="BF"/>
            <w:noWrap/>
            <w:vAlign w:val="center"/>
            <w:hideMark/>
          </w:tcPr>
          <w:p w14:paraId="14A3CEBF"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0.19%</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6B3F3ED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0.00%</w:t>
            </w:r>
          </w:p>
        </w:tc>
        <w:tc>
          <w:tcPr>
            <w:tcW w:w="0" w:type="auto"/>
            <w:tcBorders>
              <w:top w:val="nil"/>
              <w:left w:val="dotted" w:sz="4" w:space="0" w:color="auto"/>
              <w:bottom w:val="nil"/>
            </w:tcBorders>
            <w:shd w:val="clear" w:color="auto" w:fill="BFBFBF" w:themeFill="background1" w:themeFillShade="BF"/>
            <w:noWrap/>
            <w:vAlign w:val="center"/>
            <w:hideMark/>
          </w:tcPr>
          <w:p w14:paraId="7459B21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0.17%</w:t>
            </w:r>
          </w:p>
        </w:tc>
      </w:tr>
      <w:tr w:rsidR="003B7C93" w:rsidRPr="00925D5C" w14:paraId="3A905687" w14:textId="77777777" w:rsidTr="00925D5C">
        <w:trPr>
          <w:trHeight w:val="285"/>
        </w:trPr>
        <w:tc>
          <w:tcPr>
            <w:tcW w:w="0" w:type="auto"/>
            <w:tcBorders>
              <w:top w:val="nil"/>
              <w:left w:val="nil"/>
              <w:bottom w:val="nil"/>
              <w:right w:val="dotted" w:sz="4" w:space="0" w:color="auto"/>
            </w:tcBorders>
            <w:shd w:val="clear" w:color="auto" w:fill="auto"/>
            <w:noWrap/>
            <w:vAlign w:val="center"/>
            <w:hideMark/>
          </w:tcPr>
          <w:p w14:paraId="16D75B47"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Other </w:t>
            </w:r>
          </w:p>
        </w:tc>
        <w:tc>
          <w:tcPr>
            <w:tcW w:w="0" w:type="auto"/>
            <w:tcBorders>
              <w:top w:val="nil"/>
              <w:left w:val="dotted" w:sz="4" w:space="0" w:color="auto"/>
              <w:bottom w:val="nil"/>
              <w:right w:val="nil"/>
            </w:tcBorders>
            <w:shd w:val="clear" w:color="auto" w:fill="auto"/>
            <w:noWrap/>
            <w:vAlign w:val="center"/>
            <w:hideMark/>
          </w:tcPr>
          <w:p w14:paraId="5ED55F0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1.10%</w:t>
            </w:r>
          </w:p>
        </w:tc>
        <w:tc>
          <w:tcPr>
            <w:tcW w:w="0" w:type="auto"/>
            <w:tcBorders>
              <w:top w:val="nil"/>
              <w:left w:val="nil"/>
              <w:bottom w:val="nil"/>
              <w:right w:val="nil"/>
            </w:tcBorders>
            <w:shd w:val="clear" w:color="auto" w:fill="auto"/>
            <w:noWrap/>
            <w:vAlign w:val="center"/>
            <w:hideMark/>
          </w:tcPr>
          <w:p w14:paraId="3AAA6349"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1.75%</w:t>
            </w:r>
          </w:p>
        </w:tc>
        <w:tc>
          <w:tcPr>
            <w:tcW w:w="0" w:type="auto"/>
            <w:tcBorders>
              <w:top w:val="nil"/>
              <w:left w:val="nil"/>
              <w:bottom w:val="nil"/>
              <w:right w:val="nil"/>
            </w:tcBorders>
            <w:shd w:val="clear" w:color="auto" w:fill="auto"/>
            <w:noWrap/>
            <w:vAlign w:val="center"/>
            <w:hideMark/>
          </w:tcPr>
          <w:p w14:paraId="35AFAAA8"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1.70%</w:t>
            </w:r>
          </w:p>
        </w:tc>
        <w:tc>
          <w:tcPr>
            <w:tcW w:w="0" w:type="auto"/>
            <w:tcBorders>
              <w:top w:val="nil"/>
              <w:left w:val="nil"/>
              <w:bottom w:val="nil"/>
              <w:right w:val="nil"/>
            </w:tcBorders>
            <w:shd w:val="clear" w:color="auto" w:fill="auto"/>
            <w:noWrap/>
            <w:vAlign w:val="center"/>
            <w:hideMark/>
          </w:tcPr>
          <w:p w14:paraId="2F32BF48"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3.08%</w:t>
            </w:r>
          </w:p>
        </w:tc>
        <w:tc>
          <w:tcPr>
            <w:tcW w:w="0" w:type="auto"/>
            <w:tcBorders>
              <w:top w:val="nil"/>
              <w:left w:val="nil"/>
              <w:bottom w:val="nil"/>
              <w:right w:val="nil"/>
            </w:tcBorders>
            <w:shd w:val="clear" w:color="auto" w:fill="auto"/>
            <w:noWrap/>
            <w:vAlign w:val="center"/>
            <w:hideMark/>
          </w:tcPr>
          <w:p w14:paraId="48E0F53D"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5.48%</w:t>
            </w:r>
          </w:p>
        </w:tc>
        <w:tc>
          <w:tcPr>
            <w:tcW w:w="0" w:type="auto"/>
            <w:tcBorders>
              <w:top w:val="nil"/>
              <w:left w:val="nil"/>
              <w:bottom w:val="nil"/>
              <w:right w:val="dotted" w:sz="4" w:space="0" w:color="auto"/>
            </w:tcBorders>
            <w:shd w:val="clear" w:color="auto" w:fill="auto"/>
            <w:noWrap/>
            <w:vAlign w:val="center"/>
            <w:hideMark/>
          </w:tcPr>
          <w:p w14:paraId="792CF4F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5.36%</w:t>
            </w:r>
          </w:p>
        </w:tc>
        <w:tc>
          <w:tcPr>
            <w:tcW w:w="0" w:type="auto"/>
            <w:tcBorders>
              <w:top w:val="nil"/>
              <w:left w:val="dotted" w:sz="4" w:space="0" w:color="auto"/>
              <w:bottom w:val="nil"/>
            </w:tcBorders>
            <w:shd w:val="clear" w:color="auto" w:fill="auto"/>
            <w:noWrap/>
            <w:vAlign w:val="center"/>
            <w:hideMark/>
          </w:tcPr>
          <w:p w14:paraId="4CBE4600"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3.90%</w:t>
            </w:r>
          </w:p>
        </w:tc>
      </w:tr>
      <w:tr w:rsidR="003B7C93" w:rsidRPr="00925D5C" w14:paraId="3BFEA956" w14:textId="77777777" w:rsidTr="00925D5C">
        <w:trPr>
          <w:trHeight w:val="285"/>
        </w:trPr>
        <w:tc>
          <w:tcPr>
            <w:tcW w:w="0" w:type="auto"/>
            <w:tcBorders>
              <w:top w:val="nil"/>
              <w:left w:val="nil"/>
              <w:bottom w:val="single" w:sz="4" w:space="0" w:color="auto"/>
              <w:right w:val="dotted" w:sz="4" w:space="0" w:color="auto"/>
            </w:tcBorders>
            <w:shd w:val="clear" w:color="auto" w:fill="BFBFBF" w:themeFill="background1" w:themeFillShade="BF"/>
            <w:noWrap/>
            <w:vAlign w:val="center"/>
            <w:hideMark/>
          </w:tcPr>
          <w:p w14:paraId="4E543B6E" w14:textId="77777777" w:rsidR="003B7C93" w:rsidRPr="00925D5C" w:rsidRDefault="003B7C93" w:rsidP="00925D5C">
            <w:pPr>
              <w:spacing w:after="0" w:line="240" w:lineRule="auto"/>
              <w:rPr>
                <w:rFonts w:eastAsia="Times New Roman" w:cs="Arial"/>
                <w:color w:val="000000"/>
                <w:sz w:val="16"/>
                <w:szCs w:val="16"/>
                <w:lang w:eastAsia="zh-CN"/>
              </w:rPr>
            </w:pPr>
            <w:r w:rsidRPr="00925D5C">
              <w:rPr>
                <w:rFonts w:eastAsia="Times New Roman" w:cs="Arial"/>
                <w:color w:val="000000"/>
                <w:sz w:val="16"/>
                <w:szCs w:val="16"/>
                <w:lang w:eastAsia="zh-CN"/>
              </w:rPr>
              <w:t xml:space="preserve"> Missing </w:t>
            </w:r>
          </w:p>
        </w:tc>
        <w:tc>
          <w:tcPr>
            <w:tcW w:w="0" w:type="auto"/>
            <w:tcBorders>
              <w:top w:val="nil"/>
              <w:left w:val="dotted" w:sz="4" w:space="0" w:color="auto"/>
              <w:bottom w:val="single" w:sz="4" w:space="0" w:color="auto"/>
              <w:right w:val="nil"/>
            </w:tcBorders>
            <w:shd w:val="clear" w:color="auto" w:fill="BFBFBF" w:themeFill="background1" w:themeFillShade="BF"/>
            <w:noWrap/>
            <w:vAlign w:val="center"/>
            <w:hideMark/>
          </w:tcPr>
          <w:p w14:paraId="1078C241"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0.00%</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03C1028C"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0.00%</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1E8B5A8D"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0.00%</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631D94B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0.00%</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00DEDA85"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0.00%</w:t>
            </w:r>
          </w:p>
        </w:tc>
        <w:tc>
          <w:tcPr>
            <w:tcW w:w="0" w:type="auto"/>
            <w:tcBorders>
              <w:top w:val="nil"/>
              <w:left w:val="nil"/>
              <w:bottom w:val="single" w:sz="4" w:space="0" w:color="auto"/>
              <w:right w:val="dotted" w:sz="4" w:space="0" w:color="auto"/>
            </w:tcBorders>
            <w:shd w:val="clear" w:color="auto" w:fill="BFBFBF" w:themeFill="background1" w:themeFillShade="BF"/>
            <w:noWrap/>
            <w:vAlign w:val="center"/>
            <w:hideMark/>
          </w:tcPr>
          <w:p w14:paraId="0071CFFA"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0.00%</w:t>
            </w:r>
          </w:p>
        </w:tc>
        <w:tc>
          <w:tcPr>
            <w:tcW w:w="0" w:type="auto"/>
            <w:tcBorders>
              <w:top w:val="nil"/>
              <w:left w:val="dotted" w:sz="4" w:space="0" w:color="auto"/>
              <w:bottom w:val="single" w:sz="4" w:space="0" w:color="auto"/>
            </w:tcBorders>
            <w:shd w:val="clear" w:color="auto" w:fill="BFBFBF" w:themeFill="background1" w:themeFillShade="BF"/>
            <w:noWrap/>
            <w:vAlign w:val="center"/>
            <w:hideMark/>
          </w:tcPr>
          <w:p w14:paraId="29444B04" w14:textId="77777777" w:rsidR="003B7C93" w:rsidRPr="00925D5C" w:rsidRDefault="003B7C93" w:rsidP="00925D5C">
            <w:pPr>
              <w:spacing w:after="0" w:line="240" w:lineRule="auto"/>
              <w:jc w:val="right"/>
              <w:rPr>
                <w:rFonts w:eastAsia="Times New Roman" w:cs="Arial"/>
                <w:sz w:val="16"/>
                <w:szCs w:val="16"/>
                <w:lang w:eastAsia="zh-CN"/>
              </w:rPr>
            </w:pPr>
            <w:r w:rsidRPr="00925D5C">
              <w:rPr>
                <w:rFonts w:eastAsia="Times New Roman" w:cs="Arial"/>
                <w:sz w:val="16"/>
                <w:szCs w:val="16"/>
                <w:lang w:eastAsia="zh-CN"/>
              </w:rPr>
              <w:t>0.00%</w:t>
            </w:r>
          </w:p>
        </w:tc>
      </w:tr>
      <w:tr w:rsidR="003B7C93" w:rsidRPr="00925D5C" w14:paraId="7CCEBF71" w14:textId="77777777" w:rsidTr="00925D5C">
        <w:trPr>
          <w:trHeight w:val="300"/>
        </w:trPr>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33B3215F" w14:textId="77777777" w:rsidR="003B7C93" w:rsidRPr="00925D5C" w:rsidRDefault="003B7C93" w:rsidP="00925D5C">
            <w:pPr>
              <w:spacing w:after="0" w:line="240" w:lineRule="auto"/>
              <w:rPr>
                <w:rFonts w:eastAsia="Times New Roman" w:cs="Arial"/>
                <w:b/>
                <w:bCs/>
                <w:color w:val="000000"/>
                <w:sz w:val="16"/>
                <w:szCs w:val="16"/>
                <w:lang w:eastAsia="zh-CN"/>
              </w:rPr>
            </w:pPr>
            <w:r w:rsidRPr="00925D5C">
              <w:rPr>
                <w:rFonts w:eastAsia="Times New Roman" w:cs="Arial"/>
                <w:b/>
                <w:bCs/>
                <w:color w:val="000000"/>
                <w:sz w:val="16"/>
                <w:szCs w:val="16"/>
                <w:lang w:eastAsia="zh-CN"/>
              </w:rPr>
              <w:t>Overall</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7A14027D" w14:textId="77777777" w:rsidR="003B7C93" w:rsidRPr="00925D5C" w:rsidRDefault="003B7C93" w:rsidP="00925D5C">
            <w:pPr>
              <w:spacing w:after="0" w:line="240" w:lineRule="auto"/>
              <w:jc w:val="right"/>
              <w:rPr>
                <w:rFonts w:eastAsia="Times New Roman" w:cs="Arial"/>
                <w:b/>
                <w:bCs/>
                <w:sz w:val="16"/>
                <w:szCs w:val="16"/>
                <w:lang w:eastAsia="zh-CN"/>
              </w:rPr>
            </w:pPr>
            <w:r w:rsidRPr="00925D5C">
              <w:rPr>
                <w:rFonts w:eastAsia="Times New Roman" w:cs="Arial"/>
                <w:b/>
                <w:bCs/>
                <w:sz w:val="16"/>
                <w:szCs w:val="16"/>
                <w:lang w:eastAsia="zh-CN"/>
              </w:rPr>
              <w:t>0.81%</w:t>
            </w:r>
          </w:p>
        </w:tc>
        <w:tc>
          <w:tcPr>
            <w:tcW w:w="0" w:type="auto"/>
            <w:tcBorders>
              <w:top w:val="single" w:sz="4" w:space="0" w:color="auto"/>
              <w:left w:val="nil"/>
              <w:bottom w:val="single" w:sz="4" w:space="0" w:color="auto"/>
              <w:right w:val="nil"/>
            </w:tcBorders>
            <w:shd w:val="clear" w:color="auto" w:fill="D3C5D7"/>
            <w:noWrap/>
            <w:vAlign w:val="center"/>
            <w:hideMark/>
          </w:tcPr>
          <w:p w14:paraId="6CB07277" w14:textId="77777777" w:rsidR="003B7C93" w:rsidRPr="00925D5C" w:rsidRDefault="003B7C93" w:rsidP="00925D5C">
            <w:pPr>
              <w:spacing w:after="0" w:line="240" w:lineRule="auto"/>
              <w:jc w:val="right"/>
              <w:rPr>
                <w:rFonts w:eastAsia="Times New Roman" w:cs="Arial"/>
                <w:b/>
                <w:bCs/>
                <w:sz w:val="16"/>
                <w:szCs w:val="16"/>
                <w:lang w:eastAsia="zh-CN"/>
              </w:rPr>
            </w:pPr>
            <w:r w:rsidRPr="00925D5C">
              <w:rPr>
                <w:rFonts w:eastAsia="Times New Roman" w:cs="Arial"/>
                <w:b/>
                <w:bCs/>
                <w:sz w:val="16"/>
                <w:szCs w:val="16"/>
                <w:lang w:eastAsia="zh-CN"/>
              </w:rPr>
              <w:t>0.89%</w:t>
            </w:r>
          </w:p>
        </w:tc>
        <w:tc>
          <w:tcPr>
            <w:tcW w:w="0" w:type="auto"/>
            <w:tcBorders>
              <w:top w:val="single" w:sz="4" w:space="0" w:color="auto"/>
              <w:left w:val="nil"/>
              <w:bottom w:val="single" w:sz="4" w:space="0" w:color="auto"/>
              <w:right w:val="nil"/>
            </w:tcBorders>
            <w:shd w:val="clear" w:color="auto" w:fill="D3C5D7"/>
            <w:noWrap/>
            <w:vAlign w:val="center"/>
            <w:hideMark/>
          </w:tcPr>
          <w:p w14:paraId="48241F37" w14:textId="77777777" w:rsidR="003B7C93" w:rsidRPr="00925D5C" w:rsidRDefault="003B7C93" w:rsidP="00925D5C">
            <w:pPr>
              <w:spacing w:after="0" w:line="240" w:lineRule="auto"/>
              <w:jc w:val="right"/>
              <w:rPr>
                <w:rFonts w:eastAsia="Times New Roman" w:cs="Arial"/>
                <w:b/>
                <w:bCs/>
                <w:sz w:val="16"/>
                <w:szCs w:val="16"/>
                <w:lang w:eastAsia="zh-CN"/>
              </w:rPr>
            </w:pPr>
            <w:r w:rsidRPr="00925D5C">
              <w:rPr>
                <w:rFonts w:eastAsia="Times New Roman" w:cs="Arial"/>
                <w:b/>
                <w:bCs/>
                <w:sz w:val="16"/>
                <w:szCs w:val="16"/>
                <w:lang w:eastAsia="zh-CN"/>
              </w:rPr>
              <w:t>0.97%</w:t>
            </w:r>
          </w:p>
        </w:tc>
        <w:tc>
          <w:tcPr>
            <w:tcW w:w="0" w:type="auto"/>
            <w:tcBorders>
              <w:top w:val="single" w:sz="4" w:space="0" w:color="auto"/>
              <w:left w:val="nil"/>
              <w:bottom w:val="single" w:sz="4" w:space="0" w:color="auto"/>
              <w:right w:val="nil"/>
            </w:tcBorders>
            <w:shd w:val="clear" w:color="auto" w:fill="D3C5D7"/>
            <w:noWrap/>
            <w:vAlign w:val="center"/>
            <w:hideMark/>
          </w:tcPr>
          <w:p w14:paraId="2CCE4EAF" w14:textId="77777777" w:rsidR="003B7C93" w:rsidRPr="00925D5C" w:rsidRDefault="003B7C93" w:rsidP="00925D5C">
            <w:pPr>
              <w:spacing w:after="0" w:line="240" w:lineRule="auto"/>
              <w:jc w:val="right"/>
              <w:rPr>
                <w:rFonts w:eastAsia="Times New Roman" w:cs="Arial"/>
                <w:b/>
                <w:bCs/>
                <w:sz w:val="16"/>
                <w:szCs w:val="16"/>
                <w:lang w:eastAsia="zh-CN"/>
              </w:rPr>
            </w:pPr>
            <w:r w:rsidRPr="00925D5C">
              <w:rPr>
                <w:rFonts w:eastAsia="Times New Roman" w:cs="Arial"/>
                <w:b/>
                <w:bCs/>
                <w:sz w:val="16"/>
                <w:szCs w:val="16"/>
                <w:lang w:eastAsia="zh-CN"/>
              </w:rPr>
              <w:t>0.99%</w:t>
            </w:r>
          </w:p>
        </w:tc>
        <w:tc>
          <w:tcPr>
            <w:tcW w:w="0" w:type="auto"/>
            <w:tcBorders>
              <w:top w:val="single" w:sz="4" w:space="0" w:color="auto"/>
              <w:left w:val="nil"/>
              <w:bottom w:val="single" w:sz="4" w:space="0" w:color="auto"/>
              <w:right w:val="nil"/>
            </w:tcBorders>
            <w:shd w:val="clear" w:color="auto" w:fill="D3C5D7"/>
            <w:noWrap/>
            <w:vAlign w:val="center"/>
            <w:hideMark/>
          </w:tcPr>
          <w:p w14:paraId="01AD50EA" w14:textId="77777777" w:rsidR="003B7C93" w:rsidRPr="00925D5C" w:rsidRDefault="003B7C93" w:rsidP="00925D5C">
            <w:pPr>
              <w:spacing w:after="0" w:line="240" w:lineRule="auto"/>
              <w:jc w:val="right"/>
              <w:rPr>
                <w:rFonts w:eastAsia="Times New Roman" w:cs="Arial"/>
                <w:b/>
                <w:bCs/>
                <w:sz w:val="16"/>
                <w:szCs w:val="16"/>
                <w:lang w:eastAsia="zh-CN"/>
              </w:rPr>
            </w:pPr>
            <w:r w:rsidRPr="00925D5C">
              <w:rPr>
                <w:rFonts w:eastAsia="Times New Roman" w:cs="Arial"/>
                <w:b/>
                <w:bCs/>
                <w:sz w:val="16"/>
                <w:szCs w:val="16"/>
                <w:lang w:eastAsia="zh-CN"/>
              </w:rPr>
              <w:t>0.94%</w:t>
            </w:r>
          </w:p>
        </w:tc>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7105E377" w14:textId="77777777" w:rsidR="003B7C93" w:rsidRPr="00925D5C" w:rsidRDefault="003B7C93" w:rsidP="00925D5C">
            <w:pPr>
              <w:spacing w:after="0" w:line="240" w:lineRule="auto"/>
              <w:jc w:val="right"/>
              <w:rPr>
                <w:rFonts w:eastAsia="Times New Roman" w:cs="Arial"/>
                <w:b/>
                <w:bCs/>
                <w:sz w:val="16"/>
                <w:szCs w:val="16"/>
                <w:lang w:eastAsia="zh-CN"/>
              </w:rPr>
            </w:pPr>
            <w:r w:rsidRPr="00925D5C">
              <w:rPr>
                <w:rFonts w:eastAsia="Times New Roman" w:cs="Arial"/>
                <w:b/>
                <w:bCs/>
                <w:sz w:val="16"/>
                <w:szCs w:val="16"/>
                <w:lang w:eastAsia="zh-CN"/>
              </w:rPr>
              <w:t>1.01%</w:t>
            </w:r>
          </w:p>
        </w:tc>
        <w:tc>
          <w:tcPr>
            <w:tcW w:w="0" w:type="auto"/>
            <w:tcBorders>
              <w:top w:val="single" w:sz="4" w:space="0" w:color="auto"/>
              <w:left w:val="dotted" w:sz="4" w:space="0" w:color="auto"/>
              <w:bottom w:val="single" w:sz="4" w:space="0" w:color="auto"/>
            </w:tcBorders>
            <w:shd w:val="clear" w:color="auto" w:fill="D3C5D7"/>
            <w:noWrap/>
            <w:vAlign w:val="center"/>
            <w:hideMark/>
          </w:tcPr>
          <w:p w14:paraId="09F450DC" w14:textId="77777777" w:rsidR="003B7C93" w:rsidRPr="00925D5C" w:rsidRDefault="003B7C93" w:rsidP="00925D5C">
            <w:pPr>
              <w:spacing w:after="0" w:line="240" w:lineRule="auto"/>
              <w:jc w:val="right"/>
              <w:rPr>
                <w:rFonts w:eastAsia="Times New Roman" w:cs="Arial"/>
                <w:b/>
                <w:bCs/>
                <w:sz w:val="16"/>
                <w:szCs w:val="16"/>
                <w:lang w:eastAsia="zh-CN"/>
              </w:rPr>
            </w:pPr>
            <w:r w:rsidRPr="00925D5C">
              <w:rPr>
                <w:rFonts w:eastAsia="Times New Roman" w:cs="Arial"/>
                <w:b/>
                <w:bCs/>
                <w:sz w:val="16"/>
                <w:szCs w:val="16"/>
                <w:lang w:eastAsia="zh-CN"/>
              </w:rPr>
              <w:t>0.95%</w:t>
            </w:r>
          </w:p>
        </w:tc>
      </w:tr>
    </w:tbl>
    <w:p w14:paraId="229342BF" w14:textId="77777777" w:rsidR="004A5D62" w:rsidRDefault="004A5D62" w:rsidP="00DA3F73">
      <w:pPr>
        <w:pStyle w:val="Figures"/>
      </w:pPr>
      <w:r>
        <w:lastRenderedPageBreak/>
        <w:t xml:space="preserve">Figure </w:t>
      </w:r>
      <w:r w:rsidR="0048278E">
        <w:t>J</w:t>
      </w:r>
      <w:r w:rsidR="00447AA1">
        <w:t>.</w:t>
      </w:r>
      <w:fldSimple w:instr=" SEQ Figure \* ARABIC \s 2 ">
        <w:r w:rsidR="00447AA1">
          <w:rPr>
            <w:noProof/>
          </w:rPr>
          <w:t>3</w:t>
        </w:r>
      </w:fldSimple>
      <w:r w:rsidR="0048278E">
        <w:t>:</w:t>
      </w:r>
      <w:r>
        <w:t xml:space="preserve"> </w:t>
      </w:r>
      <w:r w:rsidRPr="00FF6383">
        <w:t>Actual vs expected mortality rate by calendar year by primary disability</w:t>
      </w:r>
    </w:p>
    <w:p w14:paraId="0674540F" w14:textId="77777777" w:rsidR="003B7C93" w:rsidRDefault="00AD33B4" w:rsidP="00DA3F73">
      <w:pPr>
        <w:pStyle w:val="Figures"/>
      </w:pPr>
      <w:r>
        <w:rPr>
          <w:noProof/>
          <w:lang w:eastAsia="en-AU"/>
        </w:rPr>
        <w:drawing>
          <wp:inline distT="0" distB="0" distL="0" distR="0" wp14:anchorId="30BD1957" wp14:editId="6181EA95">
            <wp:extent cx="5724000" cy="4674078"/>
            <wp:effectExtent l="0" t="0" r="0" b="0"/>
            <wp:docPr id="468" name="Picture 468" descr="Graph is showing actual vs expected mortality rate by calendar year by primary disability. &#10;Actual mortality rates for calendar year 2017 are 1.68% for Acquired brain injury, 0.06% for Autism, 0.74% for Cerebral Palsy, 0.15% for Developmental delay, 0.60% for Down Syndrome, 0.96% for Global developmental delay, 0.29% for Hearing Impairment, 0.70% for Intellectual Disability, 1.16% for Multiple Sclerosis, 0.88% for Psychosocial disability, 1.15% for Spinal Cord Injury, 2.56% for Stroke, 1.00% for Visual Impairment, 3.80% for Other Neurological, 4.23% for Other Physical, 0.24% for Other Sensory/Speech and 1.10% for Other. &#10;Actual mortality rates for calendar year 2018 are 2.30% for Acquired brain injury, 0.04% for Autism, 0.62% for Cerebral Palsy, 0.33% for Developmental delay, 0.96% for Down Syndrome, 0.48% for Global developmental delay, 0.34% for Hearing Impairment, 0.69% for Intellectual Disability, 1.25% for Multiple Sclerosis, 1.00% for Psychosocial disability, 1.55% for Spinal Cord Injury, 2.21% for Stroke, 0.98% for Visual Impairment, 4.52% for Other Neurological, 3.68% for Other Physical, 0.10% for Other Sensory/Speech and 1.75% for Other. &#10;Actual mortality rates for calendar year 2019 are 2.10% for Acquired brain injury, 0.05% for Autism, 0.83% for Cerebral Palsy, 0.20% for Developmental delay, 0.92% for Down Syndrome, 0.23% for Global developmental delay, 0.19% for Hearing Impairment, 0.74% for Intellectual Disability, 1.26% for Multiple Sclerosis, 1.13% for Psychosocial disability, 2.15% for Spinal Cord Injury, 3.05% for Stroke, 1.15% for Visual Impairment, 5.18% for Other Neurological, 3.76% for Other Physical, 0.13% for Other Sensory/Speech and 1.70% for Other. &#10;Actual mortality rates for calendar year 2020 are 2.62% for Acquired brain injury, 0.04% for Autism, 0.82% for Cerebral Palsy, 0.05% for Developmental delay, 1.09% for Down Syndrome, 0.15% for Global developmental delay, 0.27% for Hearing Impairment, 0.73% for Intellectual Disability, 1.18% for Multiple Sclerosis, 1.23% for Psychosocial disability, 2.13% for Spinal Cord Injury, 3.07% for Stroke, 1.14% for Visual Impairment, 4.83% for Other Neurological, 3.73% for Other Physical, 0.19% for Other Sensory/Speech and 5.48% for Other. &#10;Actual mortality rates for calendar year 2021 are 3.16% for Acquired brain injury, 0.05% for Autism, 1.06% for Cerebral Palsy, 0.01% for Developmental delay, 1.18% for Down Syndrome, 0.06% for Global developmental delay, 0.18% for Hearing Impairment, 0.74% for Intellectual Disability, 1.15% for Multiple Sclerosis, 1.32% for Psychosocial disability, 2.64% for Spinal Cord Injury, 3.71% for Stroke, 0.79% for Visual Impairment, 6.06% for Other Neurological, 3.66% for Other Physical, 0.00% for Other Sensory/Speech and 5.36% for Other. &#10;Expected mortality rates for calendar year 2017 are 2.31% for Acquired brain injury, 0.06% for Autism, 0.71% for Cerebral Palsy, 0.14% for Developmental delay, 0.79% for Down Syndrome, 0.18% for Global developmental delay, 0.26% for Hearing Impairment, 0.74% for Intellectual Disability, 1.31% for Multiple Sclerosis, 0.96% for Psychosocial disability, 1.70% for Spinal Cord Injury, 2.59% for Stroke, 0.88% for Visual Impairment, 4.48% for Other Neurological, 3.63% for Other Physical, 0.16% for Other Sensory/Speech and 1.72% for Other. &#10;Expected mortality rates for calendar year 2018 are 2.50% for Acquired brain injury, 0.06% for Autism, 0.71% for Cerebral Palsy, 0.14% for Developmental delay, 0.80% for Down Syndrome, 0.17% for Global developmental delay, 0.26% for Hearing Impairment, 0.76% for Intellectual Disability, 1.35% for Multiple Sclerosis, 1.02% for Psychosocial disability, 1.74% for Spinal Cord Injury, 2.62% for Stroke, 0.96% for Visual Impairment, 4.98% for Other Neurological, 3.71% for Other Physical, 0.16% for Other Sensory/Speech and 1.88% for Other. &#10;Expected mortality rates for calendar year 2019 are 2.61% for Acquired brain injury, 0.06% for Autism, 0.73% for Cerebral Palsy, 0.14% for Developmental delay, 0.82% for Down Syndrome, 0.17% for Global developmental delay, 0.26% for Hearing Impairment, 0.80% for Intellectual Disability, 1.39% for Multiple Sclerosis, 1.05% for Psychosocial disability, 1.75% for Spinal Cord Injury, 2.65% for Stroke, 1.03% for Visual Impairment, 5.17% for Other Neurological, 3.74% for Other Physical, 0.17% for Other Sensory/Speech and 1.93% for Other. &#10;Expected mortality rates for calendar year 2020 are 2.69% for Acquired brain injury, 0.06% for Autism, 0.71% for Cerebral Palsy, 0.14% for Developmental delay, 0.82% for Down Syndrome, 0.15% for Global developmental delay, 0.24% for Hearing Impairment, 0.80% for Intellectual Disability, 1.46% for Multiple Sclerosis, 1.09% for Psychosocial disability, 1.80% for Spinal Cord Injury, 2.77% for Stroke, 1.16% for Visual Impairment, 5.22% for Other Neurological, 3.90% for Other Physical, 0.17% for Other Sensory/Speech and 2.46% for Other. &#10;Expected mortality rates for calendar year 2021 are 2.71% for Acquired brain injury, 0.06% for Autism, 0.71% for Cerebral Palsy, 0.14% for Developmental delay, 0.82% for Down Syndrome, 0.15% for Global developmental delay, 0.25% for Hearing Impairment, 0.81% for Intellectual Disability, 1.47% for Multiple Sclerosis, 1.10% for Psychosocial disability, 1.81% for Spinal Cord Injury, 2.79% for Stroke, 1.20% for Visual Impairment, 5.16% for Other Neurological, 3.90% for Other Physical, 0.18% for Other Sensory/Speech and 2.58% for Other. " title="Figure J.3: Actual vs expected mortality rate by calendar year by primary 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724000" cy="4674078"/>
                    </a:xfrm>
                    <a:prstGeom prst="rect">
                      <a:avLst/>
                    </a:prstGeom>
                    <a:noFill/>
                  </pic:spPr>
                </pic:pic>
              </a:graphicData>
            </a:graphic>
          </wp:inline>
        </w:drawing>
      </w:r>
    </w:p>
    <w:p w14:paraId="37C97F8B" w14:textId="77777777" w:rsidR="0048278E" w:rsidRDefault="0048278E" w:rsidP="00F830E6">
      <w:pPr>
        <w:rPr>
          <w:b/>
          <w:iCs/>
          <w:color w:val="000000" w:themeColor="text1"/>
          <w:szCs w:val="18"/>
        </w:rPr>
      </w:pPr>
      <w:r>
        <w:br w:type="page"/>
      </w:r>
    </w:p>
    <w:p w14:paraId="482EC4E6" w14:textId="77777777" w:rsidR="004A5D62" w:rsidRDefault="004A5D62" w:rsidP="004A5D62">
      <w:pPr>
        <w:ind w:left="-709"/>
      </w:pPr>
    </w:p>
    <w:p w14:paraId="45447762" w14:textId="77777777" w:rsidR="004A5D62" w:rsidRDefault="004A5D62" w:rsidP="00DA3F73">
      <w:pPr>
        <w:pStyle w:val="Tables"/>
      </w:pPr>
      <w:r>
        <w:t>Table</w:t>
      </w:r>
      <w:r w:rsidR="0048278E">
        <w:t xml:space="preserve"> J</w:t>
      </w:r>
      <w:r w:rsidR="00A87896">
        <w:t>.</w:t>
      </w:r>
      <w:fldSimple w:instr=" SEQ Table \* ARABIC \s 2 ">
        <w:r w:rsidR="005877B6">
          <w:rPr>
            <w:noProof/>
          </w:rPr>
          <w:t>6</w:t>
        </w:r>
      </w:fldSimple>
      <w:r w:rsidR="0048278E">
        <w:t>:</w:t>
      </w:r>
      <w:r>
        <w:t xml:space="preserve"> </w:t>
      </w:r>
      <w:r w:rsidRPr="00FF6383">
        <w:t>Actual exposure by primary disability</w:t>
      </w:r>
      <w:r w:rsidR="00D638F7">
        <w:t>, measured by the number of years participants were active in the Scheme</w:t>
      </w:r>
    </w:p>
    <w:tbl>
      <w:tblPr>
        <w:tblW w:w="9437" w:type="dxa"/>
        <w:tblLook w:val="04A0" w:firstRow="1" w:lastRow="0" w:firstColumn="1" w:lastColumn="0" w:noHBand="0" w:noVBand="1"/>
      </w:tblPr>
      <w:tblGrid>
        <w:gridCol w:w="1880"/>
        <w:gridCol w:w="1064"/>
        <w:gridCol w:w="1064"/>
        <w:gridCol w:w="1064"/>
        <w:gridCol w:w="1154"/>
        <w:gridCol w:w="1125"/>
        <w:gridCol w:w="1138"/>
        <w:gridCol w:w="948"/>
      </w:tblGrid>
      <w:tr w:rsidR="003B7C93" w:rsidRPr="00D04387" w14:paraId="7E3B28CD" w14:textId="77777777" w:rsidTr="00CE2452">
        <w:trPr>
          <w:trHeight w:val="397"/>
          <w:tblHeader/>
        </w:trPr>
        <w:tc>
          <w:tcPr>
            <w:tcW w:w="0" w:type="auto"/>
            <w:vMerge w:val="restart"/>
            <w:tcBorders>
              <w:top w:val="nil"/>
              <w:left w:val="nil"/>
              <w:bottom w:val="nil"/>
              <w:right w:val="nil"/>
            </w:tcBorders>
            <w:shd w:val="clear" w:color="000000" w:fill="6B2976"/>
            <w:noWrap/>
            <w:vAlign w:val="center"/>
            <w:hideMark/>
          </w:tcPr>
          <w:p w14:paraId="6EA4BD8B" w14:textId="77777777" w:rsidR="003B7C93" w:rsidRPr="00D04387" w:rsidRDefault="003B7C93" w:rsidP="00BE04BB">
            <w:pPr>
              <w:spacing w:after="0" w:line="240" w:lineRule="auto"/>
              <w:rPr>
                <w:rFonts w:eastAsia="Times New Roman" w:cs="Arial"/>
                <w:b/>
                <w:bCs/>
                <w:color w:val="FFFFFF"/>
                <w:sz w:val="16"/>
                <w:szCs w:val="16"/>
                <w:lang w:eastAsia="zh-CN"/>
              </w:rPr>
            </w:pPr>
            <w:r w:rsidRPr="00D04387">
              <w:rPr>
                <w:rFonts w:eastAsia="Times New Roman" w:cs="Arial"/>
                <w:b/>
                <w:bCs/>
                <w:color w:val="FFFFFF"/>
                <w:sz w:val="16"/>
                <w:szCs w:val="16"/>
                <w:lang w:eastAsia="zh-CN"/>
              </w:rPr>
              <w:t>Disability</w:t>
            </w:r>
          </w:p>
        </w:tc>
        <w:tc>
          <w:tcPr>
            <w:tcW w:w="7557" w:type="dxa"/>
            <w:gridSpan w:val="7"/>
            <w:tcBorders>
              <w:top w:val="nil"/>
              <w:left w:val="nil"/>
              <w:bottom w:val="single" w:sz="4" w:space="0" w:color="FFFFFF"/>
              <w:right w:val="nil"/>
            </w:tcBorders>
            <w:shd w:val="clear" w:color="000000" w:fill="6B2976"/>
            <w:vAlign w:val="center"/>
            <w:hideMark/>
          </w:tcPr>
          <w:p w14:paraId="4108809F" w14:textId="77777777" w:rsidR="003B7C93" w:rsidRPr="00D04387" w:rsidRDefault="003B7C93" w:rsidP="008116E1">
            <w:pPr>
              <w:spacing w:after="0" w:line="240" w:lineRule="auto"/>
              <w:jc w:val="center"/>
              <w:rPr>
                <w:rFonts w:eastAsia="Times New Roman" w:cs="Arial"/>
                <w:b/>
                <w:bCs/>
                <w:color w:val="FFFFFF"/>
                <w:sz w:val="16"/>
                <w:szCs w:val="16"/>
                <w:lang w:eastAsia="zh-CN"/>
              </w:rPr>
            </w:pPr>
            <w:r w:rsidRPr="00D04387">
              <w:rPr>
                <w:rFonts w:eastAsia="Times New Roman" w:cs="Arial"/>
                <w:b/>
                <w:bCs/>
                <w:color w:val="FFFFFF"/>
                <w:sz w:val="16"/>
                <w:szCs w:val="16"/>
                <w:lang w:eastAsia="zh-CN"/>
              </w:rPr>
              <w:t>Actual Exposure</w:t>
            </w:r>
          </w:p>
        </w:tc>
      </w:tr>
      <w:tr w:rsidR="003B7C93" w:rsidRPr="00D04387" w14:paraId="0661444B" w14:textId="77777777" w:rsidTr="00CE2452">
        <w:trPr>
          <w:trHeight w:val="397"/>
          <w:tblHeader/>
        </w:trPr>
        <w:tc>
          <w:tcPr>
            <w:tcW w:w="0" w:type="auto"/>
            <w:vMerge/>
            <w:tcBorders>
              <w:top w:val="nil"/>
              <w:left w:val="nil"/>
              <w:right w:val="nil"/>
            </w:tcBorders>
            <w:vAlign w:val="center"/>
            <w:hideMark/>
          </w:tcPr>
          <w:p w14:paraId="3E9946E5" w14:textId="77777777" w:rsidR="003B7C93" w:rsidRPr="00D04387" w:rsidRDefault="003B7C93" w:rsidP="00BE04BB">
            <w:pPr>
              <w:spacing w:after="0" w:line="240" w:lineRule="auto"/>
              <w:rPr>
                <w:rFonts w:eastAsia="Times New Roman" w:cs="Arial"/>
                <w:b/>
                <w:bCs/>
                <w:color w:val="FFFFFF"/>
                <w:sz w:val="16"/>
                <w:szCs w:val="16"/>
                <w:lang w:eastAsia="zh-CN"/>
              </w:rPr>
            </w:pPr>
          </w:p>
        </w:tc>
        <w:tc>
          <w:tcPr>
            <w:tcW w:w="0" w:type="auto"/>
            <w:tcBorders>
              <w:top w:val="nil"/>
              <w:left w:val="nil"/>
              <w:bottom w:val="nil"/>
              <w:right w:val="nil"/>
            </w:tcBorders>
            <w:shd w:val="clear" w:color="000000" w:fill="6B2976"/>
            <w:vAlign w:val="center"/>
            <w:hideMark/>
          </w:tcPr>
          <w:p w14:paraId="194193F0" w14:textId="77777777" w:rsidR="003B7C93" w:rsidRPr="00D04387" w:rsidRDefault="003B7C93" w:rsidP="00BE04BB">
            <w:pPr>
              <w:spacing w:after="0" w:line="240" w:lineRule="auto"/>
              <w:jc w:val="right"/>
              <w:rPr>
                <w:rFonts w:eastAsia="Times New Roman" w:cs="Arial"/>
                <w:b/>
                <w:bCs/>
                <w:color w:val="FFFFFF"/>
                <w:sz w:val="16"/>
                <w:szCs w:val="16"/>
                <w:lang w:eastAsia="zh-CN"/>
              </w:rPr>
            </w:pPr>
            <w:r w:rsidRPr="00D04387">
              <w:rPr>
                <w:rFonts w:eastAsia="Times New Roman" w:cs="Arial"/>
                <w:b/>
                <w:bCs/>
                <w:color w:val="FFFFFF"/>
                <w:sz w:val="16"/>
                <w:szCs w:val="16"/>
                <w:lang w:eastAsia="zh-CN"/>
              </w:rPr>
              <w:t>Jan-Dec 17</w:t>
            </w:r>
          </w:p>
        </w:tc>
        <w:tc>
          <w:tcPr>
            <w:tcW w:w="0" w:type="auto"/>
            <w:tcBorders>
              <w:top w:val="nil"/>
              <w:left w:val="nil"/>
              <w:bottom w:val="nil"/>
              <w:right w:val="nil"/>
            </w:tcBorders>
            <w:shd w:val="clear" w:color="000000" w:fill="6B2976"/>
            <w:vAlign w:val="center"/>
            <w:hideMark/>
          </w:tcPr>
          <w:p w14:paraId="03D52260" w14:textId="77777777" w:rsidR="003B7C93" w:rsidRPr="00D04387" w:rsidRDefault="003B7C93" w:rsidP="00BE04BB">
            <w:pPr>
              <w:spacing w:after="0" w:line="240" w:lineRule="auto"/>
              <w:jc w:val="right"/>
              <w:rPr>
                <w:rFonts w:eastAsia="Times New Roman" w:cs="Arial"/>
                <w:b/>
                <w:bCs/>
                <w:color w:val="FFFFFF"/>
                <w:sz w:val="16"/>
                <w:szCs w:val="16"/>
                <w:lang w:eastAsia="zh-CN"/>
              </w:rPr>
            </w:pPr>
            <w:r w:rsidRPr="00D04387">
              <w:rPr>
                <w:rFonts w:eastAsia="Times New Roman" w:cs="Arial"/>
                <w:b/>
                <w:bCs/>
                <w:color w:val="FFFFFF"/>
                <w:sz w:val="16"/>
                <w:szCs w:val="16"/>
                <w:lang w:eastAsia="zh-CN"/>
              </w:rPr>
              <w:t>Jan-Dec 18</w:t>
            </w:r>
          </w:p>
        </w:tc>
        <w:tc>
          <w:tcPr>
            <w:tcW w:w="0" w:type="auto"/>
            <w:tcBorders>
              <w:top w:val="nil"/>
              <w:left w:val="nil"/>
              <w:bottom w:val="nil"/>
              <w:right w:val="nil"/>
            </w:tcBorders>
            <w:shd w:val="clear" w:color="000000" w:fill="6B2976"/>
            <w:vAlign w:val="center"/>
            <w:hideMark/>
          </w:tcPr>
          <w:p w14:paraId="22947B98" w14:textId="77777777" w:rsidR="003B7C93" w:rsidRPr="00D04387" w:rsidRDefault="003B7C93" w:rsidP="00BE04BB">
            <w:pPr>
              <w:spacing w:after="0" w:line="240" w:lineRule="auto"/>
              <w:jc w:val="right"/>
              <w:rPr>
                <w:rFonts w:eastAsia="Times New Roman" w:cs="Arial"/>
                <w:b/>
                <w:bCs/>
                <w:color w:val="FFFFFF"/>
                <w:sz w:val="16"/>
                <w:szCs w:val="16"/>
                <w:lang w:eastAsia="zh-CN"/>
              </w:rPr>
            </w:pPr>
            <w:r w:rsidRPr="00D04387">
              <w:rPr>
                <w:rFonts w:eastAsia="Times New Roman" w:cs="Arial"/>
                <w:b/>
                <w:bCs/>
                <w:color w:val="FFFFFF"/>
                <w:sz w:val="16"/>
                <w:szCs w:val="16"/>
                <w:lang w:eastAsia="zh-CN"/>
              </w:rPr>
              <w:t>Jan-Dec 19</w:t>
            </w:r>
          </w:p>
        </w:tc>
        <w:tc>
          <w:tcPr>
            <w:tcW w:w="1150" w:type="dxa"/>
            <w:tcBorders>
              <w:top w:val="nil"/>
              <w:left w:val="nil"/>
              <w:bottom w:val="nil"/>
              <w:right w:val="nil"/>
            </w:tcBorders>
            <w:shd w:val="clear" w:color="000000" w:fill="6B2976"/>
            <w:vAlign w:val="center"/>
            <w:hideMark/>
          </w:tcPr>
          <w:p w14:paraId="35562AF8" w14:textId="77777777" w:rsidR="003B7C93" w:rsidRPr="00D04387" w:rsidRDefault="003B7C93" w:rsidP="00BE04BB">
            <w:pPr>
              <w:spacing w:after="0" w:line="240" w:lineRule="auto"/>
              <w:jc w:val="right"/>
              <w:rPr>
                <w:rFonts w:eastAsia="Times New Roman" w:cs="Arial"/>
                <w:b/>
                <w:bCs/>
                <w:color w:val="FFFFFF"/>
                <w:sz w:val="16"/>
                <w:szCs w:val="16"/>
                <w:lang w:eastAsia="zh-CN"/>
              </w:rPr>
            </w:pPr>
            <w:r w:rsidRPr="00D04387">
              <w:rPr>
                <w:rFonts w:eastAsia="Times New Roman" w:cs="Arial"/>
                <w:b/>
                <w:bCs/>
                <w:color w:val="FFFFFF"/>
                <w:sz w:val="16"/>
                <w:szCs w:val="16"/>
                <w:lang w:eastAsia="zh-CN"/>
              </w:rPr>
              <w:t>Jan-Dec 20</w:t>
            </w:r>
          </w:p>
        </w:tc>
        <w:tc>
          <w:tcPr>
            <w:tcW w:w="1121" w:type="dxa"/>
            <w:tcBorders>
              <w:top w:val="nil"/>
              <w:left w:val="nil"/>
              <w:bottom w:val="nil"/>
              <w:right w:val="nil"/>
            </w:tcBorders>
            <w:shd w:val="clear" w:color="000000" w:fill="6B2976"/>
            <w:vAlign w:val="center"/>
            <w:hideMark/>
          </w:tcPr>
          <w:p w14:paraId="45BB4123" w14:textId="77777777" w:rsidR="003B7C93" w:rsidRPr="00D04387" w:rsidRDefault="003B7C93" w:rsidP="00BE04BB">
            <w:pPr>
              <w:spacing w:after="0" w:line="240" w:lineRule="auto"/>
              <w:jc w:val="right"/>
              <w:rPr>
                <w:rFonts w:eastAsia="Times New Roman" w:cs="Arial"/>
                <w:b/>
                <w:bCs/>
                <w:color w:val="FFFFFF"/>
                <w:sz w:val="16"/>
                <w:szCs w:val="16"/>
                <w:lang w:eastAsia="zh-CN"/>
              </w:rPr>
            </w:pPr>
            <w:r w:rsidRPr="00D04387">
              <w:rPr>
                <w:rFonts w:eastAsia="Times New Roman" w:cs="Arial"/>
                <w:b/>
                <w:bCs/>
                <w:color w:val="FFFFFF"/>
                <w:sz w:val="16"/>
                <w:szCs w:val="16"/>
                <w:lang w:eastAsia="zh-CN"/>
              </w:rPr>
              <w:t>Jan-Dec 21</w:t>
            </w:r>
          </w:p>
        </w:tc>
        <w:tc>
          <w:tcPr>
            <w:tcW w:w="1134" w:type="dxa"/>
            <w:tcBorders>
              <w:top w:val="nil"/>
              <w:left w:val="nil"/>
              <w:right w:val="nil"/>
            </w:tcBorders>
            <w:shd w:val="clear" w:color="000000" w:fill="6B2976"/>
            <w:vAlign w:val="center"/>
            <w:hideMark/>
          </w:tcPr>
          <w:p w14:paraId="3BBEBBC6" w14:textId="77777777" w:rsidR="003B7C93" w:rsidRPr="00D04387" w:rsidRDefault="003B7C93" w:rsidP="00BE04BB">
            <w:pPr>
              <w:spacing w:after="0" w:line="240" w:lineRule="auto"/>
              <w:jc w:val="right"/>
              <w:rPr>
                <w:rFonts w:eastAsia="Times New Roman" w:cs="Arial"/>
                <w:b/>
                <w:bCs/>
                <w:color w:val="FFFFFF"/>
                <w:sz w:val="16"/>
                <w:szCs w:val="16"/>
                <w:lang w:eastAsia="zh-CN"/>
              </w:rPr>
            </w:pPr>
            <w:r w:rsidRPr="00D04387">
              <w:rPr>
                <w:rFonts w:eastAsia="Times New Roman" w:cs="Arial"/>
                <w:b/>
                <w:bCs/>
                <w:color w:val="FFFFFF"/>
                <w:sz w:val="16"/>
                <w:szCs w:val="16"/>
                <w:lang w:eastAsia="zh-CN"/>
              </w:rPr>
              <w:t>Jan-Feb 22</w:t>
            </w:r>
          </w:p>
        </w:tc>
        <w:tc>
          <w:tcPr>
            <w:tcW w:w="945" w:type="dxa"/>
            <w:tcBorders>
              <w:top w:val="nil"/>
              <w:left w:val="nil"/>
              <w:right w:val="nil"/>
            </w:tcBorders>
            <w:shd w:val="clear" w:color="000000" w:fill="6B2976"/>
            <w:vAlign w:val="center"/>
            <w:hideMark/>
          </w:tcPr>
          <w:p w14:paraId="1F366F87" w14:textId="77777777" w:rsidR="003B7C93" w:rsidRPr="00D04387" w:rsidRDefault="003B7C93" w:rsidP="00BE04BB">
            <w:pPr>
              <w:spacing w:after="0" w:line="240" w:lineRule="auto"/>
              <w:jc w:val="right"/>
              <w:rPr>
                <w:rFonts w:eastAsia="Times New Roman" w:cs="Arial"/>
                <w:b/>
                <w:bCs/>
                <w:color w:val="FFFFFF"/>
                <w:sz w:val="16"/>
                <w:szCs w:val="16"/>
                <w:lang w:eastAsia="zh-CN"/>
              </w:rPr>
            </w:pPr>
            <w:r w:rsidRPr="00D04387">
              <w:rPr>
                <w:rFonts w:eastAsia="Times New Roman" w:cs="Arial"/>
                <w:b/>
                <w:bCs/>
                <w:color w:val="FFFFFF"/>
                <w:sz w:val="16"/>
                <w:szCs w:val="16"/>
                <w:lang w:eastAsia="zh-CN"/>
              </w:rPr>
              <w:t>Overall</w:t>
            </w:r>
          </w:p>
        </w:tc>
      </w:tr>
      <w:tr w:rsidR="003B7C93" w:rsidRPr="00D04387" w14:paraId="274AABFE"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5C85B834"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Acquired brain injury </w:t>
            </w:r>
          </w:p>
        </w:tc>
        <w:tc>
          <w:tcPr>
            <w:tcW w:w="0" w:type="auto"/>
            <w:tcBorders>
              <w:top w:val="nil"/>
              <w:left w:val="dotted" w:sz="4" w:space="0" w:color="auto"/>
              <w:bottom w:val="nil"/>
              <w:right w:val="nil"/>
            </w:tcBorders>
            <w:shd w:val="clear" w:color="auto" w:fill="auto"/>
            <w:noWrap/>
            <w:vAlign w:val="center"/>
            <w:hideMark/>
          </w:tcPr>
          <w:p w14:paraId="10F87D42"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3,040</w:t>
            </w:r>
          </w:p>
        </w:tc>
        <w:tc>
          <w:tcPr>
            <w:tcW w:w="0" w:type="auto"/>
            <w:tcBorders>
              <w:top w:val="nil"/>
              <w:left w:val="nil"/>
              <w:bottom w:val="nil"/>
              <w:right w:val="nil"/>
            </w:tcBorders>
            <w:shd w:val="clear" w:color="auto" w:fill="auto"/>
            <w:noWrap/>
            <w:vAlign w:val="center"/>
            <w:hideMark/>
          </w:tcPr>
          <w:p w14:paraId="27EA02B4"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6,204</w:t>
            </w:r>
          </w:p>
        </w:tc>
        <w:tc>
          <w:tcPr>
            <w:tcW w:w="0" w:type="auto"/>
            <w:tcBorders>
              <w:top w:val="nil"/>
              <w:left w:val="nil"/>
              <w:bottom w:val="nil"/>
              <w:right w:val="nil"/>
            </w:tcBorders>
            <w:shd w:val="clear" w:color="auto" w:fill="auto"/>
            <w:noWrap/>
            <w:vAlign w:val="center"/>
            <w:hideMark/>
          </w:tcPr>
          <w:p w14:paraId="57766FEE"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10,275</w:t>
            </w:r>
          </w:p>
        </w:tc>
        <w:tc>
          <w:tcPr>
            <w:tcW w:w="1150" w:type="dxa"/>
            <w:tcBorders>
              <w:top w:val="nil"/>
              <w:left w:val="nil"/>
              <w:bottom w:val="nil"/>
              <w:right w:val="nil"/>
            </w:tcBorders>
            <w:shd w:val="clear" w:color="auto" w:fill="auto"/>
            <w:noWrap/>
            <w:vAlign w:val="center"/>
            <w:hideMark/>
          </w:tcPr>
          <w:p w14:paraId="75B0F4AB"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13,057</w:t>
            </w:r>
          </w:p>
        </w:tc>
        <w:tc>
          <w:tcPr>
            <w:tcW w:w="1121" w:type="dxa"/>
            <w:tcBorders>
              <w:top w:val="nil"/>
              <w:left w:val="nil"/>
              <w:bottom w:val="nil"/>
              <w:right w:val="nil"/>
            </w:tcBorders>
            <w:shd w:val="clear" w:color="auto" w:fill="auto"/>
            <w:noWrap/>
            <w:vAlign w:val="center"/>
            <w:hideMark/>
          </w:tcPr>
          <w:p w14:paraId="20A743F3"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15,060</w:t>
            </w:r>
          </w:p>
        </w:tc>
        <w:tc>
          <w:tcPr>
            <w:tcW w:w="1134" w:type="dxa"/>
            <w:tcBorders>
              <w:top w:val="nil"/>
              <w:left w:val="nil"/>
              <w:bottom w:val="nil"/>
              <w:right w:val="dotted" w:sz="4" w:space="0" w:color="auto"/>
            </w:tcBorders>
            <w:shd w:val="clear" w:color="auto" w:fill="auto"/>
            <w:noWrap/>
            <w:vAlign w:val="center"/>
            <w:hideMark/>
          </w:tcPr>
          <w:p w14:paraId="4BE6969F"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2,595</w:t>
            </w:r>
          </w:p>
        </w:tc>
        <w:tc>
          <w:tcPr>
            <w:tcW w:w="945" w:type="dxa"/>
            <w:tcBorders>
              <w:top w:val="nil"/>
              <w:left w:val="dotted" w:sz="4" w:space="0" w:color="auto"/>
              <w:bottom w:val="nil"/>
            </w:tcBorders>
            <w:shd w:val="clear" w:color="auto" w:fill="auto"/>
            <w:noWrap/>
            <w:vAlign w:val="center"/>
            <w:hideMark/>
          </w:tcPr>
          <w:p w14:paraId="682D2754"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50,232</w:t>
            </w:r>
          </w:p>
        </w:tc>
      </w:tr>
      <w:tr w:rsidR="003B7C93" w:rsidRPr="00D04387" w14:paraId="31A349F5" w14:textId="77777777" w:rsidTr="00CE2452">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76B4E704"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Autism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150F8A0E"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29,765</w:t>
            </w:r>
          </w:p>
        </w:tc>
        <w:tc>
          <w:tcPr>
            <w:tcW w:w="0" w:type="auto"/>
            <w:tcBorders>
              <w:top w:val="nil"/>
              <w:left w:val="nil"/>
              <w:bottom w:val="nil"/>
              <w:right w:val="nil"/>
            </w:tcBorders>
            <w:shd w:val="clear" w:color="auto" w:fill="BFBFBF" w:themeFill="background1" w:themeFillShade="BF"/>
            <w:noWrap/>
            <w:vAlign w:val="center"/>
            <w:hideMark/>
          </w:tcPr>
          <w:p w14:paraId="102FE978"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55,541</w:t>
            </w:r>
          </w:p>
        </w:tc>
        <w:tc>
          <w:tcPr>
            <w:tcW w:w="0" w:type="auto"/>
            <w:tcBorders>
              <w:top w:val="nil"/>
              <w:left w:val="nil"/>
              <w:bottom w:val="nil"/>
              <w:right w:val="nil"/>
            </w:tcBorders>
            <w:shd w:val="clear" w:color="auto" w:fill="BFBFBF" w:themeFill="background1" w:themeFillShade="BF"/>
            <w:noWrap/>
            <w:vAlign w:val="center"/>
            <w:hideMark/>
          </w:tcPr>
          <w:p w14:paraId="191C64C8"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92,705</w:t>
            </w:r>
          </w:p>
        </w:tc>
        <w:tc>
          <w:tcPr>
            <w:tcW w:w="1150" w:type="dxa"/>
            <w:tcBorders>
              <w:top w:val="nil"/>
              <w:left w:val="nil"/>
              <w:bottom w:val="nil"/>
              <w:right w:val="nil"/>
            </w:tcBorders>
            <w:shd w:val="clear" w:color="auto" w:fill="BFBFBF" w:themeFill="background1" w:themeFillShade="BF"/>
            <w:noWrap/>
            <w:vAlign w:val="center"/>
            <w:hideMark/>
          </w:tcPr>
          <w:p w14:paraId="71530B5E"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130,503</w:t>
            </w:r>
          </w:p>
        </w:tc>
        <w:tc>
          <w:tcPr>
            <w:tcW w:w="1121" w:type="dxa"/>
            <w:tcBorders>
              <w:top w:val="nil"/>
              <w:left w:val="nil"/>
              <w:bottom w:val="nil"/>
              <w:right w:val="nil"/>
            </w:tcBorders>
            <w:shd w:val="clear" w:color="auto" w:fill="BFBFBF" w:themeFill="background1" w:themeFillShade="BF"/>
            <w:noWrap/>
            <w:vAlign w:val="center"/>
            <w:hideMark/>
          </w:tcPr>
          <w:p w14:paraId="19E816A1"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156,672</w:t>
            </w:r>
          </w:p>
        </w:tc>
        <w:tc>
          <w:tcPr>
            <w:tcW w:w="1134" w:type="dxa"/>
            <w:tcBorders>
              <w:top w:val="nil"/>
              <w:left w:val="nil"/>
              <w:bottom w:val="nil"/>
              <w:right w:val="dotted" w:sz="4" w:space="0" w:color="auto"/>
            </w:tcBorders>
            <w:shd w:val="clear" w:color="auto" w:fill="BFBFBF" w:themeFill="background1" w:themeFillShade="BF"/>
            <w:noWrap/>
            <w:vAlign w:val="center"/>
            <w:hideMark/>
          </w:tcPr>
          <w:p w14:paraId="77B8CD2A"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27,490</w:t>
            </w:r>
          </w:p>
        </w:tc>
        <w:tc>
          <w:tcPr>
            <w:tcW w:w="945" w:type="dxa"/>
            <w:tcBorders>
              <w:top w:val="nil"/>
              <w:left w:val="dotted" w:sz="4" w:space="0" w:color="auto"/>
              <w:bottom w:val="nil"/>
            </w:tcBorders>
            <w:shd w:val="clear" w:color="auto" w:fill="BFBFBF" w:themeFill="background1" w:themeFillShade="BF"/>
            <w:noWrap/>
            <w:vAlign w:val="center"/>
            <w:hideMark/>
          </w:tcPr>
          <w:p w14:paraId="07A3CAAF"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492,674</w:t>
            </w:r>
          </w:p>
        </w:tc>
      </w:tr>
      <w:tr w:rsidR="003B7C93" w:rsidRPr="00D04387" w14:paraId="6FB855C5"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60590030"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Cerebral Palsy </w:t>
            </w:r>
          </w:p>
        </w:tc>
        <w:tc>
          <w:tcPr>
            <w:tcW w:w="0" w:type="auto"/>
            <w:tcBorders>
              <w:top w:val="nil"/>
              <w:left w:val="dotted" w:sz="4" w:space="0" w:color="auto"/>
              <w:bottom w:val="nil"/>
              <w:right w:val="nil"/>
            </w:tcBorders>
            <w:shd w:val="clear" w:color="auto" w:fill="auto"/>
            <w:noWrap/>
            <w:vAlign w:val="center"/>
            <w:hideMark/>
          </w:tcPr>
          <w:p w14:paraId="51691684"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5,154</w:t>
            </w:r>
          </w:p>
        </w:tc>
        <w:tc>
          <w:tcPr>
            <w:tcW w:w="0" w:type="auto"/>
            <w:tcBorders>
              <w:top w:val="nil"/>
              <w:left w:val="nil"/>
              <w:bottom w:val="nil"/>
              <w:right w:val="nil"/>
            </w:tcBorders>
            <w:shd w:val="clear" w:color="auto" w:fill="auto"/>
            <w:noWrap/>
            <w:vAlign w:val="center"/>
            <w:hideMark/>
          </w:tcPr>
          <w:p w14:paraId="4791A111"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9,134</w:t>
            </w:r>
          </w:p>
        </w:tc>
        <w:tc>
          <w:tcPr>
            <w:tcW w:w="0" w:type="auto"/>
            <w:tcBorders>
              <w:top w:val="nil"/>
              <w:left w:val="nil"/>
              <w:bottom w:val="nil"/>
              <w:right w:val="nil"/>
            </w:tcBorders>
            <w:shd w:val="clear" w:color="auto" w:fill="auto"/>
            <w:noWrap/>
            <w:vAlign w:val="center"/>
            <w:hideMark/>
          </w:tcPr>
          <w:p w14:paraId="38DCDE38"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13,583</w:t>
            </w:r>
          </w:p>
        </w:tc>
        <w:tc>
          <w:tcPr>
            <w:tcW w:w="1150" w:type="dxa"/>
            <w:tcBorders>
              <w:top w:val="nil"/>
              <w:left w:val="nil"/>
              <w:bottom w:val="nil"/>
              <w:right w:val="nil"/>
            </w:tcBorders>
            <w:shd w:val="clear" w:color="auto" w:fill="auto"/>
            <w:noWrap/>
            <w:vAlign w:val="center"/>
            <w:hideMark/>
          </w:tcPr>
          <w:p w14:paraId="0C45EA68"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15,738</w:t>
            </w:r>
          </w:p>
        </w:tc>
        <w:tc>
          <w:tcPr>
            <w:tcW w:w="1121" w:type="dxa"/>
            <w:tcBorders>
              <w:top w:val="nil"/>
              <w:left w:val="nil"/>
              <w:bottom w:val="nil"/>
              <w:right w:val="nil"/>
            </w:tcBorders>
            <w:shd w:val="clear" w:color="auto" w:fill="auto"/>
            <w:noWrap/>
            <w:vAlign w:val="center"/>
            <w:hideMark/>
          </w:tcPr>
          <w:p w14:paraId="713E4602"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16,676</w:t>
            </w:r>
          </w:p>
        </w:tc>
        <w:tc>
          <w:tcPr>
            <w:tcW w:w="1134" w:type="dxa"/>
            <w:tcBorders>
              <w:top w:val="nil"/>
              <w:left w:val="nil"/>
              <w:bottom w:val="nil"/>
              <w:right w:val="dotted" w:sz="4" w:space="0" w:color="auto"/>
            </w:tcBorders>
            <w:shd w:val="clear" w:color="auto" w:fill="auto"/>
            <w:noWrap/>
            <w:vAlign w:val="center"/>
            <w:hideMark/>
          </w:tcPr>
          <w:p w14:paraId="7D10BDB3"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2,744</w:t>
            </w:r>
          </w:p>
        </w:tc>
        <w:tc>
          <w:tcPr>
            <w:tcW w:w="945" w:type="dxa"/>
            <w:tcBorders>
              <w:top w:val="nil"/>
              <w:left w:val="dotted" w:sz="4" w:space="0" w:color="auto"/>
              <w:bottom w:val="nil"/>
            </w:tcBorders>
            <w:shd w:val="clear" w:color="auto" w:fill="auto"/>
            <w:noWrap/>
            <w:vAlign w:val="center"/>
            <w:hideMark/>
          </w:tcPr>
          <w:p w14:paraId="064A695A"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63,029</w:t>
            </w:r>
          </w:p>
        </w:tc>
      </w:tr>
      <w:tr w:rsidR="003B7C93" w:rsidRPr="00D04387" w14:paraId="536E4745" w14:textId="77777777" w:rsidTr="00CE2452">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0DBF49A0"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Developmental delay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7E7837B1"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2,547</w:t>
            </w:r>
          </w:p>
        </w:tc>
        <w:tc>
          <w:tcPr>
            <w:tcW w:w="0" w:type="auto"/>
            <w:tcBorders>
              <w:top w:val="nil"/>
              <w:left w:val="nil"/>
              <w:bottom w:val="nil"/>
              <w:right w:val="nil"/>
            </w:tcBorders>
            <w:shd w:val="clear" w:color="auto" w:fill="BFBFBF" w:themeFill="background1" w:themeFillShade="BF"/>
            <w:noWrap/>
            <w:vAlign w:val="center"/>
            <w:hideMark/>
          </w:tcPr>
          <w:p w14:paraId="64FD86D2"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4,638</w:t>
            </w:r>
          </w:p>
        </w:tc>
        <w:tc>
          <w:tcPr>
            <w:tcW w:w="0" w:type="auto"/>
            <w:tcBorders>
              <w:top w:val="nil"/>
              <w:left w:val="nil"/>
              <w:bottom w:val="nil"/>
              <w:right w:val="nil"/>
            </w:tcBorders>
            <w:shd w:val="clear" w:color="auto" w:fill="BFBFBF" w:themeFill="background1" w:themeFillShade="BF"/>
            <w:noWrap/>
            <w:vAlign w:val="center"/>
            <w:hideMark/>
          </w:tcPr>
          <w:p w14:paraId="6D2A1A80"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10,198</w:t>
            </w:r>
          </w:p>
        </w:tc>
        <w:tc>
          <w:tcPr>
            <w:tcW w:w="1150" w:type="dxa"/>
            <w:tcBorders>
              <w:top w:val="nil"/>
              <w:left w:val="nil"/>
              <w:bottom w:val="nil"/>
              <w:right w:val="nil"/>
            </w:tcBorders>
            <w:shd w:val="clear" w:color="auto" w:fill="BFBFBF" w:themeFill="background1" w:themeFillShade="BF"/>
            <w:noWrap/>
            <w:vAlign w:val="center"/>
            <w:hideMark/>
          </w:tcPr>
          <w:p w14:paraId="03479624"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24,248</w:t>
            </w:r>
          </w:p>
        </w:tc>
        <w:tc>
          <w:tcPr>
            <w:tcW w:w="1121" w:type="dxa"/>
            <w:tcBorders>
              <w:top w:val="nil"/>
              <w:left w:val="nil"/>
              <w:bottom w:val="nil"/>
              <w:right w:val="nil"/>
            </w:tcBorders>
            <w:shd w:val="clear" w:color="auto" w:fill="BFBFBF" w:themeFill="background1" w:themeFillShade="BF"/>
            <w:noWrap/>
            <w:vAlign w:val="center"/>
            <w:hideMark/>
          </w:tcPr>
          <w:p w14:paraId="6C579D72"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41,833</w:t>
            </w:r>
          </w:p>
        </w:tc>
        <w:tc>
          <w:tcPr>
            <w:tcW w:w="1134" w:type="dxa"/>
            <w:tcBorders>
              <w:top w:val="nil"/>
              <w:left w:val="nil"/>
              <w:bottom w:val="nil"/>
              <w:right w:val="dotted" w:sz="4" w:space="0" w:color="auto"/>
            </w:tcBorders>
            <w:shd w:val="clear" w:color="auto" w:fill="BFBFBF" w:themeFill="background1" w:themeFillShade="BF"/>
            <w:noWrap/>
            <w:vAlign w:val="center"/>
            <w:hideMark/>
          </w:tcPr>
          <w:p w14:paraId="78400B5C"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8,581</w:t>
            </w:r>
          </w:p>
        </w:tc>
        <w:tc>
          <w:tcPr>
            <w:tcW w:w="945" w:type="dxa"/>
            <w:tcBorders>
              <w:top w:val="nil"/>
              <w:left w:val="dotted" w:sz="4" w:space="0" w:color="auto"/>
              <w:bottom w:val="nil"/>
            </w:tcBorders>
            <w:shd w:val="clear" w:color="auto" w:fill="BFBFBF" w:themeFill="background1" w:themeFillShade="BF"/>
            <w:noWrap/>
            <w:vAlign w:val="center"/>
            <w:hideMark/>
          </w:tcPr>
          <w:p w14:paraId="4C00BD62"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92,045</w:t>
            </w:r>
          </w:p>
        </w:tc>
      </w:tr>
      <w:tr w:rsidR="003B7C93" w:rsidRPr="00D04387" w14:paraId="66AF4843"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48B106C5"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Hearing Impairment </w:t>
            </w:r>
          </w:p>
        </w:tc>
        <w:tc>
          <w:tcPr>
            <w:tcW w:w="0" w:type="auto"/>
            <w:tcBorders>
              <w:top w:val="nil"/>
              <w:left w:val="dotted" w:sz="4" w:space="0" w:color="auto"/>
              <w:bottom w:val="nil"/>
              <w:right w:val="nil"/>
            </w:tcBorders>
            <w:shd w:val="clear" w:color="auto" w:fill="auto"/>
            <w:noWrap/>
            <w:vAlign w:val="center"/>
            <w:hideMark/>
          </w:tcPr>
          <w:p w14:paraId="4A5D9233"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2,381</w:t>
            </w:r>
          </w:p>
        </w:tc>
        <w:tc>
          <w:tcPr>
            <w:tcW w:w="0" w:type="auto"/>
            <w:tcBorders>
              <w:top w:val="nil"/>
              <w:left w:val="nil"/>
              <w:bottom w:val="nil"/>
              <w:right w:val="nil"/>
            </w:tcBorders>
            <w:shd w:val="clear" w:color="auto" w:fill="auto"/>
            <w:noWrap/>
            <w:vAlign w:val="center"/>
            <w:hideMark/>
          </w:tcPr>
          <w:p w14:paraId="02BE982E"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5,239</w:t>
            </w:r>
          </w:p>
        </w:tc>
        <w:tc>
          <w:tcPr>
            <w:tcW w:w="0" w:type="auto"/>
            <w:tcBorders>
              <w:top w:val="nil"/>
              <w:left w:val="nil"/>
              <w:bottom w:val="nil"/>
              <w:right w:val="nil"/>
            </w:tcBorders>
            <w:shd w:val="clear" w:color="auto" w:fill="auto"/>
            <w:noWrap/>
            <w:vAlign w:val="center"/>
            <w:hideMark/>
          </w:tcPr>
          <w:p w14:paraId="64E0D488"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10,852</w:t>
            </w:r>
          </w:p>
        </w:tc>
        <w:tc>
          <w:tcPr>
            <w:tcW w:w="1150" w:type="dxa"/>
            <w:tcBorders>
              <w:top w:val="nil"/>
              <w:left w:val="nil"/>
              <w:bottom w:val="nil"/>
              <w:right w:val="nil"/>
            </w:tcBorders>
            <w:shd w:val="clear" w:color="auto" w:fill="auto"/>
            <w:noWrap/>
            <w:vAlign w:val="center"/>
            <w:hideMark/>
          </w:tcPr>
          <w:p w14:paraId="20464B9D"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18,372</w:t>
            </w:r>
          </w:p>
        </w:tc>
        <w:tc>
          <w:tcPr>
            <w:tcW w:w="1121" w:type="dxa"/>
            <w:tcBorders>
              <w:top w:val="nil"/>
              <w:left w:val="nil"/>
              <w:bottom w:val="nil"/>
              <w:right w:val="nil"/>
            </w:tcBorders>
            <w:shd w:val="clear" w:color="auto" w:fill="auto"/>
            <w:noWrap/>
            <w:vAlign w:val="center"/>
            <w:hideMark/>
          </w:tcPr>
          <w:p w14:paraId="43CF8739"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22,176</w:t>
            </w:r>
          </w:p>
        </w:tc>
        <w:tc>
          <w:tcPr>
            <w:tcW w:w="1134" w:type="dxa"/>
            <w:tcBorders>
              <w:top w:val="nil"/>
              <w:left w:val="nil"/>
              <w:bottom w:val="nil"/>
              <w:right w:val="dotted" w:sz="4" w:space="0" w:color="auto"/>
            </w:tcBorders>
            <w:shd w:val="clear" w:color="auto" w:fill="auto"/>
            <w:noWrap/>
            <w:vAlign w:val="center"/>
            <w:hideMark/>
          </w:tcPr>
          <w:p w14:paraId="0B837099"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3,836</w:t>
            </w:r>
          </w:p>
        </w:tc>
        <w:tc>
          <w:tcPr>
            <w:tcW w:w="945" w:type="dxa"/>
            <w:tcBorders>
              <w:top w:val="nil"/>
              <w:left w:val="dotted" w:sz="4" w:space="0" w:color="auto"/>
              <w:bottom w:val="nil"/>
            </w:tcBorders>
            <w:shd w:val="clear" w:color="auto" w:fill="auto"/>
            <w:noWrap/>
            <w:vAlign w:val="center"/>
            <w:hideMark/>
          </w:tcPr>
          <w:p w14:paraId="4C835DB8"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62,856</w:t>
            </w:r>
          </w:p>
        </w:tc>
      </w:tr>
      <w:tr w:rsidR="003B7C93" w:rsidRPr="00D04387" w14:paraId="1A53492F" w14:textId="77777777" w:rsidTr="00CE2452">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6D742C2C"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Intellectual Disability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1CCF7B2A"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27,052</w:t>
            </w:r>
          </w:p>
        </w:tc>
        <w:tc>
          <w:tcPr>
            <w:tcW w:w="0" w:type="auto"/>
            <w:tcBorders>
              <w:top w:val="nil"/>
              <w:left w:val="nil"/>
              <w:bottom w:val="nil"/>
              <w:right w:val="nil"/>
            </w:tcBorders>
            <w:shd w:val="clear" w:color="auto" w:fill="BFBFBF" w:themeFill="background1" w:themeFillShade="BF"/>
            <w:noWrap/>
            <w:vAlign w:val="center"/>
            <w:hideMark/>
          </w:tcPr>
          <w:p w14:paraId="5EB4B261"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49,226</w:t>
            </w:r>
          </w:p>
        </w:tc>
        <w:tc>
          <w:tcPr>
            <w:tcW w:w="0" w:type="auto"/>
            <w:tcBorders>
              <w:top w:val="nil"/>
              <w:left w:val="nil"/>
              <w:bottom w:val="nil"/>
              <w:right w:val="nil"/>
            </w:tcBorders>
            <w:shd w:val="clear" w:color="auto" w:fill="BFBFBF" w:themeFill="background1" w:themeFillShade="BF"/>
            <w:noWrap/>
            <w:vAlign w:val="center"/>
            <w:hideMark/>
          </w:tcPr>
          <w:p w14:paraId="552C0EF3"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72,811</w:t>
            </w:r>
          </w:p>
        </w:tc>
        <w:tc>
          <w:tcPr>
            <w:tcW w:w="1150" w:type="dxa"/>
            <w:tcBorders>
              <w:top w:val="nil"/>
              <w:left w:val="nil"/>
              <w:bottom w:val="nil"/>
              <w:right w:val="nil"/>
            </w:tcBorders>
            <w:shd w:val="clear" w:color="auto" w:fill="BFBFBF" w:themeFill="background1" w:themeFillShade="BF"/>
            <w:noWrap/>
            <w:vAlign w:val="center"/>
            <w:hideMark/>
          </w:tcPr>
          <w:p w14:paraId="164666B5"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85,120</w:t>
            </w:r>
          </w:p>
        </w:tc>
        <w:tc>
          <w:tcPr>
            <w:tcW w:w="1121" w:type="dxa"/>
            <w:tcBorders>
              <w:top w:val="nil"/>
              <w:left w:val="nil"/>
              <w:bottom w:val="nil"/>
              <w:right w:val="nil"/>
            </w:tcBorders>
            <w:shd w:val="clear" w:color="auto" w:fill="BFBFBF" w:themeFill="background1" w:themeFillShade="BF"/>
            <w:noWrap/>
            <w:vAlign w:val="center"/>
            <w:hideMark/>
          </w:tcPr>
          <w:p w14:paraId="25DEECD8"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91,744</w:t>
            </w:r>
          </w:p>
        </w:tc>
        <w:tc>
          <w:tcPr>
            <w:tcW w:w="1134" w:type="dxa"/>
            <w:tcBorders>
              <w:top w:val="nil"/>
              <w:left w:val="nil"/>
              <w:bottom w:val="nil"/>
              <w:right w:val="dotted" w:sz="4" w:space="0" w:color="auto"/>
            </w:tcBorders>
            <w:shd w:val="clear" w:color="auto" w:fill="BFBFBF" w:themeFill="background1" w:themeFillShade="BF"/>
            <w:noWrap/>
            <w:vAlign w:val="center"/>
            <w:hideMark/>
          </w:tcPr>
          <w:p w14:paraId="7430F20F"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15,285</w:t>
            </w:r>
          </w:p>
        </w:tc>
        <w:tc>
          <w:tcPr>
            <w:tcW w:w="945" w:type="dxa"/>
            <w:tcBorders>
              <w:top w:val="nil"/>
              <w:left w:val="dotted" w:sz="4" w:space="0" w:color="auto"/>
              <w:bottom w:val="nil"/>
            </w:tcBorders>
            <w:shd w:val="clear" w:color="auto" w:fill="BFBFBF" w:themeFill="background1" w:themeFillShade="BF"/>
            <w:noWrap/>
            <w:vAlign w:val="center"/>
            <w:hideMark/>
          </w:tcPr>
          <w:p w14:paraId="14C31041"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341,238</w:t>
            </w:r>
          </w:p>
        </w:tc>
      </w:tr>
      <w:tr w:rsidR="003B7C93" w:rsidRPr="00D04387" w14:paraId="1D08ED52"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082B5310"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Multiple Sclerosis </w:t>
            </w:r>
          </w:p>
        </w:tc>
        <w:tc>
          <w:tcPr>
            <w:tcW w:w="0" w:type="auto"/>
            <w:tcBorders>
              <w:top w:val="nil"/>
              <w:left w:val="dotted" w:sz="4" w:space="0" w:color="auto"/>
              <w:bottom w:val="nil"/>
              <w:right w:val="nil"/>
            </w:tcBorders>
            <w:shd w:val="clear" w:color="auto" w:fill="auto"/>
            <w:noWrap/>
            <w:vAlign w:val="center"/>
            <w:hideMark/>
          </w:tcPr>
          <w:p w14:paraId="011E4F21"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1,897</w:t>
            </w:r>
          </w:p>
        </w:tc>
        <w:tc>
          <w:tcPr>
            <w:tcW w:w="0" w:type="auto"/>
            <w:tcBorders>
              <w:top w:val="nil"/>
              <w:left w:val="nil"/>
              <w:bottom w:val="nil"/>
              <w:right w:val="nil"/>
            </w:tcBorders>
            <w:shd w:val="clear" w:color="auto" w:fill="auto"/>
            <w:noWrap/>
            <w:vAlign w:val="center"/>
            <w:hideMark/>
          </w:tcPr>
          <w:p w14:paraId="02CE4EF4"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3,759</w:t>
            </w:r>
          </w:p>
        </w:tc>
        <w:tc>
          <w:tcPr>
            <w:tcW w:w="0" w:type="auto"/>
            <w:tcBorders>
              <w:top w:val="nil"/>
              <w:left w:val="nil"/>
              <w:bottom w:val="nil"/>
              <w:right w:val="nil"/>
            </w:tcBorders>
            <w:shd w:val="clear" w:color="auto" w:fill="auto"/>
            <w:noWrap/>
            <w:vAlign w:val="center"/>
            <w:hideMark/>
          </w:tcPr>
          <w:p w14:paraId="3FB78F54"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6,047</w:t>
            </w:r>
          </w:p>
        </w:tc>
        <w:tc>
          <w:tcPr>
            <w:tcW w:w="1150" w:type="dxa"/>
            <w:tcBorders>
              <w:top w:val="nil"/>
              <w:left w:val="nil"/>
              <w:bottom w:val="nil"/>
              <w:right w:val="nil"/>
            </w:tcBorders>
            <w:shd w:val="clear" w:color="auto" w:fill="auto"/>
            <w:noWrap/>
            <w:vAlign w:val="center"/>
            <w:hideMark/>
          </w:tcPr>
          <w:p w14:paraId="000260B2"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7,490</w:t>
            </w:r>
          </w:p>
        </w:tc>
        <w:tc>
          <w:tcPr>
            <w:tcW w:w="1121" w:type="dxa"/>
            <w:tcBorders>
              <w:top w:val="nil"/>
              <w:left w:val="nil"/>
              <w:bottom w:val="nil"/>
              <w:right w:val="nil"/>
            </w:tcBorders>
            <w:shd w:val="clear" w:color="auto" w:fill="auto"/>
            <w:noWrap/>
            <w:vAlign w:val="center"/>
            <w:hideMark/>
          </w:tcPr>
          <w:p w14:paraId="7644495A"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8,567</w:t>
            </w:r>
          </w:p>
        </w:tc>
        <w:tc>
          <w:tcPr>
            <w:tcW w:w="1134" w:type="dxa"/>
            <w:tcBorders>
              <w:top w:val="nil"/>
              <w:left w:val="nil"/>
              <w:bottom w:val="nil"/>
              <w:right w:val="dotted" w:sz="4" w:space="0" w:color="auto"/>
            </w:tcBorders>
            <w:shd w:val="clear" w:color="auto" w:fill="auto"/>
            <w:noWrap/>
            <w:vAlign w:val="center"/>
            <w:hideMark/>
          </w:tcPr>
          <w:p w14:paraId="34BF06D8"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1,482</w:t>
            </w:r>
          </w:p>
        </w:tc>
        <w:tc>
          <w:tcPr>
            <w:tcW w:w="945" w:type="dxa"/>
            <w:tcBorders>
              <w:top w:val="nil"/>
              <w:left w:val="dotted" w:sz="4" w:space="0" w:color="auto"/>
              <w:bottom w:val="nil"/>
            </w:tcBorders>
            <w:shd w:val="clear" w:color="auto" w:fill="auto"/>
            <w:noWrap/>
            <w:vAlign w:val="center"/>
            <w:hideMark/>
          </w:tcPr>
          <w:p w14:paraId="1F766B8E"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29,242</w:t>
            </w:r>
          </w:p>
        </w:tc>
      </w:tr>
      <w:tr w:rsidR="003B7C93" w:rsidRPr="00D04387" w14:paraId="0D6C1522" w14:textId="77777777" w:rsidTr="00CE2452">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7A85283F"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Psychosocial disability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6165E156"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6,700</w:t>
            </w:r>
          </w:p>
        </w:tc>
        <w:tc>
          <w:tcPr>
            <w:tcW w:w="0" w:type="auto"/>
            <w:tcBorders>
              <w:top w:val="nil"/>
              <w:left w:val="nil"/>
              <w:bottom w:val="nil"/>
              <w:right w:val="nil"/>
            </w:tcBorders>
            <w:shd w:val="clear" w:color="auto" w:fill="BFBFBF" w:themeFill="background1" w:themeFillShade="BF"/>
            <w:noWrap/>
            <w:vAlign w:val="center"/>
            <w:hideMark/>
          </w:tcPr>
          <w:p w14:paraId="1C82822D"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14,207</w:t>
            </w:r>
          </w:p>
        </w:tc>
        <w:tc>
          <w:tcPr>
            <w:tcW w:w="0" w:type="auto"/>
            <w:tcBorders>
              <w:top w:val="nil"/>
              <w:left w:val="nil"/>
              <w:bottom w:val="nil"/>
              <w:right w:val="nil"/>
            </w:tcBorders>
            <w:shd w:val="clear" w:color="auto" w:fill="BFBFBF" w:themeFill="background1" w:themeFillShade="BF"/>
            <w:noWrap/>
            <w:vAlign w:val="center"/>
            <w:hideMark/>
          </w:tcPr>
          <w:p w14:paraId="55C8BB55"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25,520</w:t>
            </w:r>
          </w:p>
        </w:tc>
        <w:tc>
          <w:tcPr>
            <w:tcW w:w="1150" w:type="dxa"/>
            <w:tcBorders>
              <w:top w:val="nil"/>
              <w:left w:val="nil"/>
              <w:bottom w:val="nil"/>
              <w:right w:val="nil"/>
            </w:tcBorders>
            <w:shd w:val="clear" w:color="auto" w:fill="BFBFBF" w:themeFill="background1" w:themeFillShade="BF"/>
            <w:noWrap/>
            <w:vAlign w:val="center"/>
            <w:hideMark/>
          </w:tcPr>
          <w:p w14:paraId="10C7948F"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37,773</w:t>
            </w:r>
          </w:p>
        </w:tc>
        <w:tc>
          <w:tcPr>
            <w:tcW w:w="1121" w:type="dxa"/>
            <w:tcBorders>
              <w:top w:val="nil"/>
              <w:left w:val="nil"/>
              <w:bottom w:val="nil"/>
              <w:right w:val="nil"/>
            </w:tcBorders>
            <w:shd w:val="clear" w:color="auto" w:fill="BFBFBF" w:themeFill="background1" w:themeFillShade="BF"/>
            <w:noWrap/>
            <w:vAlign w:val="center"/>
            <w:hideMark/>
          </w:tcPr>
          <w:p w14:paraId="539ADBE8"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48,512</w:t>
            </w:r>
          </w:p>
        </w:tc>
        <w:tc>
          <w:tcPr>
            <w:tcW w:w="1134" w:type="dxa"/>
            <w:tcBorders>
              <w:top w:val="nil"/>
              <w:left w:val="nil"/>
              <w:bottom w:val="nil"/>
              <w:right w:val="dotted" w:sz="4" w:space="0" w:color="auto"/>
            </w:tcBorders>
            <w:shd w:val="clear" w:color="auto" w:fill="BFBFBF" w:themeFill="background1" w:themeFillShade="BF"/>
            <w:noWrap/>
            <w:vAlign w:val="center"/>
            <w:hideMark/>
          </w:tcPr>
          <w:p w14:paraId="76F348B1"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8,666</w:t>
            </w:r>
          </w:p>
        </w:tc>
        <w:tc>
          <w:tcPr>
            <w:tcW w:w="945" w:type="dxa"/>
            <w:tcBorders>
              <w:top w:val="nil"/>
              <w:left w:val="dotted" w:sz="4" w:space="0" w:color="auto"/>
              <w:bottom w:val="nil"/>
            </w:tcBorders>
            <w:shd w:val="clear" w:color="auto" w:fill="BFBFBF" w:themeFill="background1" w:themeFillShade="BF"/>
            <w:noWrap/>
            <w:vAlign w:val="center"/>
            <w:hideMark/>
          </w:tcPr>
          <w:p w14:paraId="6E38A057"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141,378</w:t>
            </w:r>
          </w:p>
        </w:tc>
      </w:tr>
      <w:tr w:rsidR="003B7C93" w:rsidRPr="00D04387" w14:paraId="60BC15D7"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06735FA5"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Spinal Cord Injury </w:t>
            </w:r>
          </w:p>
        </w:tc>
        <w:tc>
          <w:tcPr>
            <w:tcW w:w="0" w:type="auto"/>
            <w:tcBorders>
              <w:top w:val="nil"/>
              <w:left w:val="dotted" w:sz="4" w:space="0" w:color="auto"/>
              <w:bottom w:val="nil"/>
              <w:right w:val="nil"/>
            </w:tcBorders>
            <w:shd w:val="clear" w:color="auto" w:fill="auto"/>
            <w:noWrap/>
            <w:vAlign w:val="center"/>
            <w:hideMark/>
          </w:tcPr>
          <w:p w14:paraId="1328E974"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1,130</w:t>
            </w:r>
          </w:p>
        </w:tc>
        <w:tc>
          <w:tcPr>
            <w:tcW w:w="0" w:type="auto"/>
            <w:tcBorders>
              <w:top w:val="nil"/>
              <w:left w:val="nil"/>
              <w:bottom w:val="nil"/>
              <w:right w:val="nil"/>
            </w:tcBorders>
            <w:shd w:val="clear" w:color="auto" w:fill="auto"/>
            <w:noWrap/>
            <w:vAlign w:val="center"/>
            <w:hideMark/>
          </w:tcPr>
          <w:p w14:paraId="2390B693"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2,323</w:t>
            </w:r>
          </w:p>
        </w:tc>
        <w:tc>
          <w:tcPr>
            <w:tcW w:w="0" w:type="auto"/>
            <w:tcBorders>
              <w:top w:val="nil"/>
              <w:left w:val="nil"/>
              <w:bottom w:val="nil"/>
              <w:right w:val="nil"/>
            </w:tcBorders>
            <w:shd w:val="clear" w:color="auto" w:fill="auto"/>
            <w:noWrap/>
            <w:vAlign w:val="center"/>
            <w:hideMark/>
          </w:tcPr>
          <w:p w14:paraId="01B8D80F"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3,818</w:t>
            </w:r>
          </w:p>
        </w:tc>
        <w:tc>
          <w:tcPr>
            <w:tcW w:w="1150" w:type="dxa"/>
            <w:tcBorders>
              <w:top w:val="nil"/>
              <w:left w:val="nil"/>
              <w:bottom w:val="nil"/>
              <w:right w:val="nil"/>
            </w:tcBorders>
            <w:shd w:val="clear" w:color="auto" w:fill="auto"/>
            <w:noWrap/>
            <w:vAlign w:val="center"/>
            <w:hideMark/>
          </w:tcPr>
          <w:p w14:paraId="2B4562D6"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4,685</w:t>
            </w:r>
          </w:p>
        </w:tc>
        <w:tc>
          <w:tcPr>
            <w:tcW w:w="1121" w:type="dxa"/>
            <w:tcBorders>
              <w:top w:val="nil"/>
              <w:left w:val="nil"/>
              <w:bottom w:val="nil"/>
              <w:right w:val="nil"/>
            </w:tcBorders>
            <w:shd w:val="clear" w:color="auto" w:fill="auto"/>
            <w:noWrap/>
            <w:vAlign w:val="center"/>
            <w:hideMark/>
          </w:tcPr>
          <w:p w14:paraId="1FED65BE"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5,156</w:t>
            </w:r>
          </w:p>
        </w:tc>
        <w:tc>
          <w:tcPr>
            <w:tcW w:w="1134" w:type="dxa"/>
            <w:tcBorders>
              <w:top w:val="nil"/>
              <w:left w:val="nil"/>
              <w:bottom w:val="nil"/>
              <w:right w:val="dotted" w:sz="4" w:space="0" w:color="auto"/>
            </w:tcBorders>
            <w:shd w:val="clear" w:color="auto" w:fill="auto"/>
            <w:noWrap/>
            <w:vAlign w:val="center"/>
            <w:hideMark/>
          </w:tcPr>
          <w:p w14:paraId="7164E4C4"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870</w:t>
            </w:r>
          </w:p>
        </w:tc>
        <w:tc>
          <w:tcPr>
            <w:tcW w:w="945" w:type="dxa"/>
            <w:tcBorders>
              <w:top w:val="nil"/>
              <w:left w:val="dotted" w:sz="4" w:space="0" w:color="auto"/>
              <w:bottom w:val="nil"/>
            </w:tcBorders>
            <w:shd w:val="clear" w:color="auto" w:fill="auto"/>
            <w:noWrap/>
            <w:vAlign w:val="center"/>
            <w:hideMark/>
          </w:tcPr>
          <w:p w14:paraId="46A91CA1"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17,983</w:t>
            </w:r>
          </w:p>
        </w:tc>
      </w:tr>
      <w:tr w:rsidR="003B7C93" w:rsidRPr="00D04387" w14:paraId="6F0FD394" w14:textId="77777777" w:rsidTr="00CE2452">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2A9ED2A4"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Stroke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2A03A8E2"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1,131</w:t>
            </w:r>
          </w:p>
        </w:tc>
        <w:tc>
          <w:tcPr>
            <w:tcW w:w="0" w:type="auto"/>
            <w:tcBorders>
              <w:top w:val="nil"/>
              <w:left w:val="nil"/>
              <w:bottom w:val="nil"/>
              <w:right w:val="nil"/>
            </w:tcBorders>
            <w:shd w:val="clear" w:color="auto" w:fill="BFBFBF" w:themeFill="background1" w:themeFillShade="BF"/>
            <w:noWrap/>
            <w:vAlign w:val="center"/>
            <w:hideMark/>
          </w:tcPr>
          <w:p w14:paraId="6972AEA1"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2,398</w:t>
            </w:r>
          </w:p>
        </w:tc>
        <w:tc>
          <w:tcPr>
            <w:tcW w:w="0" w:type="auto"/>
            <w:tcBorders>
              <w:top w:val="nil"/>
              <w:left w:val="nil"/>
              <w:bottom w:val="nil"/>
              <w:right w:val="nil"/>
            </w:tcBorders>
            <w:shd w:val="clear" w:color="auto" w:fill="BFBFBF" w:themeFill="background1" w:themeFillShade="BF"/>
            <w:noWrap/>
            <w:vAlign w:val="center"/>
            <w:hideMark/>
          </w:tcPr>
          <w:p w14:paraId="6FA25018"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4,062</w:t>
            </w:r>
          </w:p>
        </w:tc>
        <w:tc>
          <w:tcPr>
            <w:tcW w:w="1150" w:type="dxa"/>
            <w:tcBorders>
              <w:top w:val="nil"/>
              <w:left w:val="nil"/>
              <w:bottom w:val="nil"/>
              <w:right w:val="nil"/>
            </w:tcBorders>
            <w:shd w:val="clear" w:color="auto" w:fill="BFBFBF" w:themeFill="background1" w:themeFillShade="BF"/>
            <w:noWrap/>
            <w:vAlign w:val="center"/>
            <w:hideMark/>
          </w:tcPr>
          <w:p w14:paraId="40E7A15B"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5,682</w:t>
            </w:r>
          </w:p>
        </w:tc>
        <w:tc>
          <w:tcPr>
            <w:tcW w:w="1121" w:type="dxa"/>
            <w:tcBorders>
              <w:top w:val="nil"/>
              <w:left w:val="nil"/>
              <w:bottom w:val="nil"/>
              <w:right w:val="nil"/>
            </w:tcBorders>
            <w:shd w:val="clear" w:color="auto" w:fill="BFBFBF" w:themeFill="background1" w:themeFillShade="BF"/>
            <w:noWrap/>
            <w:vAlign w:val="center"/>
            <w:hideMark/>
          </w:tcPr>
          <w:p w14:paraId="1125E49F"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7,001</w:t>
            </w:r>
          </w:p>
        </w:tc>
        <w:tc>
          <w:tcPr>
            <w:tcW w:w="1134" w:type="dxa"/>
            <w:tcBorders>
              <w:top w:val="nil"/>
              <w:left w:val="nil"/>
              <w:bottom w:val="nil"/>
              <w:right w:val="dotted" w:sz="4" w:space="0" w:color="auto"/>
            </w:tcBorders>
            <w:shd w:val="clear" w:color="auto" w:fill="BFBFBF" w:themeFill="background1" w:themeFillShade="BF"/>
            <w:noWrap/>
            <w:vAlign w:val="center"/>
            <w:hideMark/>
          </w:tcPr>
          <w:p w14:paraId="75C062F4"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1,240</w:t>
            </w:r>
          </w:p>
        </w:tc>
        <w:tc>
          <w:tcPr>
            <w:tcW w:w="945" w:type="dxa"/>
            <w:tcBorders>
              <w:top w:val="nil"/>
              <w:left w:val="dotted" w:sz="4" w:space="0" w:color="auto"/>
              <w:bottom w:val="nil"/>
            </w:tcBorders>
            <w:shd w:val="clear" w:color="auto" w:fill="BFBFBF" w:themeFill="background1" w:themeFillShade="BF"/>
            <w:noWrap/>
            <w:vAlign w:val="center"/>
            <w:hideMark/>
          </w:tcPr>
          <w:p w14:paraId="70A11782"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21,513</w:t>
            </w:r>
          </w:p>
        </w:tc>
      </w:tr>
      <w:tr w:rsidR="003B7C93" w:rsidRPr="00D04387" w14:paraId="6ECFF130"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4D34D09F"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Visual Impairment </w:t>
            </w:r>
          </w:p>
        </w:tc>
        <w:tc>
          <w:tcPr>
            <w:tcW w:w="0" w:type="auto"/>
            <w:tcBorders>
              <w:top w:val="nil"/>
              <w:left w:val="dotted" w:sz="4" w:space="0" w:color="auto"/>
              <w:bottom w:val="nil"/>
              <w:right w:val="nil"/>
            </w:tcBorders>
            <w:shd w:val="clear" w:color="auto" w:fill="auto"/>
            <w:noWrap/>
            <w:vAlign w:val="center"/>
            <w:hideMark/>
          </w:tcPr>
          <w:p w14:paraId="7E344757"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1,899</w:t>
            </w:r>
          </w:p>
        </w:tc>
        <w:tc>
          <w:tcPr>
            <w:tcW w:w="0" w:type="auto"/>
            <w:tcBorders>
              <w:top w:val="nil"/>
              <w:left w:val="nil"/>
              <w:bottom w:val="nil"/>
              <w:right w:val="nil"/>
            </w:tcBorders>
            <w:shd w:val="clear" w:color="auto" w:fill="auto"/>
            <w:noWrap/>
            <w:vAlign w:val="center"/>
            <w:hideMark/>
          </w:tcPr>
          <w:p w14:paraId="36A1BDCE"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3,998</w:t>
            </w:r>
          </w:p>
        </w:tc>
        <w:tc>
          <w:tcPr>
            <w:tcW w:w="0" w:type="auto"/>
            <w:tcBorders>
              <w:top w:val="nil"/>
              <w:left w:val="nil"/>
              <w:bottom w:val="nil"/>
              <w:right w:val="nil"/>
            </w:tcBorders>
            <w:shd w:val="clear" w:color="auto" w:fill="auto"/>
            <w:noWrap/>
            <w:vAlign w:val="center"/>
            <w:hideMark/>
          </w:tcPr>
          <w:p w14:paraId="75FB6292"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6,586</w:t>
            </w:r>
          </w:p>
        </w:tc>
        <w:tc>
          <w:tcPr>
            <w:tcW w:w="1150" w:type="dxa"/>
            <w:tcBorders>
              <w:top w:val="nil"/>
              <w:left w:val="nil"/>
              <w:bottom w:val="nil"/>
              <w:right w:val="nil"/>
            </w:tcBorders>
            <w:shd w:val="clear" w:color="auto" w:fill="auto"/>
            <w:noWrap/>
            <w:vAlign w:val="center"/>
            <w:hideMark/>
          </w:tcPr>
          <w:p w14:paraId="480179F8"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8,144</w:t>
            </w:r>
          </w:p>
        </w:tc>
        <w:tc>
          <w:tcPr>
            <w:tcW w:w="1121" w:type="dxa"/>
            <w:tcBorders>
              <w:top w:val="nil"/>
              <w:left w:val="nil"/>
              <w:bottom w:val="nil"/>
              <w:right w:val="nil"/>
            </w:tcBorders>
            <w:shd w:val="clear" w:color="auto" w:fill="auto"/>
            <w:noWrap/>
            <w:vAlign w:val="center"/>
            <w:hideMark/>
          </w:tcPr>
          <w:p w14:paraId="7BB0ED8A"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8,999</w:t>
            </w:r>
          </w:p>
        </w:tc>
        <w:tc>
          <w:tcPr>
            <w:tcW w:w="1134" w:type="dxa"/>
            <w:tcBorders>
              <w:top w:val="nil"/>
              <w:left w:val="nil"/>
              <w:bottom w:val="nil"/>
              <w:right w:val="dotted" w:sz="4" w:space="0" w:color="auto"/>
            </w:tcBorders>
            <w:shd w:val="clear" w:color="auto" w:fill="auto"/>
            <w:noWrap/>
            <w:vAlign w:val="center"/>
            <w:hideMark/>
          </w:tcPr>
          <w:p w14:paraId="4D95CE27"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1,519</w:t>
            </w:r>
          </w:p>
        </w:tc>
        <w:tc>
          <w:tcPr>
            <w:tcW w:w="945" w:type="dxa"/>
            <w:tcBorders>
              <w:top w:val="nil"/>
              <w:left w:val="dotted" w:sz="4" w:space="0" w:color="auto"/>
              <w:bottom w:val="nil"/>
            </w:tcBorders>
            <w:shd w:val="clear" w:color="auto" w:fill="auto"/>
            <w:noWrap/>
            <w:vAlign w:val="center"/>
            <w:hideMark/>
          </w:tcPr>
          <w:p w14:paraId="0712944D"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31,144</w:t>
            </w:r>
          </w:p>
        </w:tc>
      </w:tr>
      <w:tr w:rsidR="003B7C93" w:rsidRPr="00D04387" w14:paraId="717BABA9" w14:textId="77777777" w:rsidTr="00CE2452">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3A64A683"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Other Neurological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4254D4F8"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3,997</w:t>
            </w:r>
          </w:p>
        </w:tc>
        <w:tc>
          <w:tcPr>
            <w:tcW w:w="0" w:type="auto"/>
            <w:tcBorders>
              <w:top w:val="nil"/>
              <w:left w:val="nil"/>
              <w:bottom w:val="nil"/>
              <w:right w:val="nil"/>
            </w:tcBorders>
            <w:shd w:val="clear" w:color="auto" w:fill="BFBFBF" w:themeFill="background1" w:themeFillShade="BF"/>
            <w:noWrap/>
            <w:vAlign w:val="center"/>
            <w:hideMark/>
          </w:tcPr>
          <w:p w14:paraId="4B7AFEB7"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8,028</w:t>
            </w:r>
          </w:p>
        </w:tc>
        <w:tc>
          <w:tcPr>
            <w:tcW w:w="0" w:type="auto"/>
            <w:tcBorders>
              <w:top w:val="nil"/>
              <w:left w:val="nil"/>
              <w:bottom w:val="nil"/>
              <w:right w:val="nil"/>
            </w:tcBorders>
            <w:shd w:val="clear" w:color="auto" w:fill="BFBFBF" w:themeFill="background1" w:themeFillShade="BF"/>
            <w:noWrap/>
            <w:vAlign w:val="center"/>
            <w:hideMark/>
          </w:tcPr>
          <w:p w14:paraId="488A9D67"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13,211</w:t>
            </w:r>
          </w:p>
        </w:tc>
        <w:tc>
          <w:tcPr>
            <w:tcW w:w="1150" w:type="dxa"/>
            <w:tcBorders>
              <w:top w:val="nil"/>
              <w:left w:val="nil"/>
              <w:bottom w:val="nil"/>
              <w:right w:val="nil"/>
            </w:tcBorders>
            <w:shd w:val="clear" w:color="auto" w:fill="BFBFBF" w:themeFill="background1" w:themeFillShade="BF"/>
            <w:noWrap/>
            <w:vAlign w:val="center"/>
            <w:hideMark/>
          </w:tcPr>
          <w:p w14:paraId="08C559FA"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17,046</w:t>
            </w:r>
          </w:p>
        </w:tc>
        <w:tc>
          <w:tcPr>
            <w:tcW w:w="1121" w:type="dxa"/>
            <w:tcBorders>
              <w:top w:val="nil"/>
              <w:left w:val="nil"/>
              <w:bottom w:val="nil"/>
              <w:right w:val="nil"/>
            </w:tcBorders>
            <w:shd w:val="clear" w:color="auto" w:fill="BFBFBF" w:themeFill="background1" w:themeFillShade="BF"/>
            <w:noWrap/>
            <w:vAlign w:val="center"/>
            <w:hideMark/>
          </w:tcPr>
          <w:p w14:paraId="16199255"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19,459</w:t>
            </w:r>
          </w:p>
        </w:tc>
        <w:tc>
          <w:tcPr>
            <w:tcW w:w="1134" w:type="dxa"/>
            <w:tcBorders>
              <w:top w:val="nil"/>
              <w:left w:val="nil"/>
              <w:bottom w:val="nil"/>
              <w:right w:val="dotted" w:sz="4" w:space="0" w:color="auto"/>
            </w:tcBorders>
            <w:shd w:val="clear" w:color="auto" w:fill="BFBFBF" w:themeFill="background1" w:themeFillShade="BF"/>
            <w:noWrap/>
            <w:vAlign w:val="center"/>
            <w:hideMark/>
          </w:tcPr>
          <w:p w14:paraId="6E0F776E"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3,315</w:t>
            </w:r>
          </w:p>
        </w:tc>
        <w:tc>
          <w:tcPr>
            <w:tcW w:w="945" w:type="dxa"/>
            <w:tcBorders>
              <w:top w:val="nil"/>
              <w:left w:val="dotted" w:sz="4" w:space="0" w:color="auto"/>
              <w:bottom w:val="nil"/>
            </w:tcBorders>
            <w:shd w:val="clear" w:color="auto" w:fill="BFBFBF" w:themeFill="background1" w:themeFillShade="BF"/>
            <w:noWrap/>
            <w:vAlign w:val="center"/>
            <w:hideMark/>
          </w:tcPr>
          <w:p w14:paraId="6265ABC6"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65,057</w:t>
            </w:r>
          </w:p>
        </w:tc>
      </w:tr>
      <w:tr w:rsidR="003B7C93" w:rsidRPr="00D04387" w14:paraId="7FA69673"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30755F57"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Other Physical </w:t>
            </w:r>
          </w:p>
        </w:tc>
        <w:tc>
          <w:tcPr>
            <w:tcW w:w="0" w:type="auto"/>
            <w:tcBorders>
              <w:top w:val="nil"/>
              <w:left w:val="dotted" w:sz="4" w:space="0" w:color="auto"/>
              <w:bottom w:val="nil"/>
              <w:right w:val="nil"/>
            </w:tcBorders>
            <w:shd w:val="clear" w:color="auto" w:fill="auto"/>
            <w:noWrap/>
            <w:vAlign w:val="center"/>
            <w:hideMark/>
          </w:tcPr>
          <w:p w14:paraId="21D76AA5"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3,216</w:t>
            </w:r>
          </w:p>
        </w:tc>
        <w:tc>
          <w:tcPr>
            <w:tcW w:w="0" w:type="auto"/>
            <w:tcBorders>
              <w:top w:val="nil"/>
              <w:left w:val="nil"/>
              <w:bottom w:val="nil"/>
              <w:right w:val="nil"/>
            </w:tcBorders>
            <w:shd w:val="clear" w:color="auto" w:fill="auto"/>
            <w:noWrap/>
            <w:vAlign w:val="center"/>
            <w:hideMark/>
          </w:tcPr>
          <w:p w14:paraId="6022EDD8"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6,339</w:t>
            </w:r>
          </w:p>
        </w:tc>
        <w:tc>
          <w:tcPr>
            <w:tcW w:w="0" w:type="auto"/>
            <w:tcBorders>
              <w:top w:val="nil"/>
              <w:left w:val="nil"/>
              <w:bottom w:val="nil"/>
              <w:right w:val="nil"/>
            </w:tcBorders>
            <w:shd w:val="clear" w:color="auto" w:fill="auto"/>
            <w:noWrap/>
            <w:vAlign w:val="center"/>
            <w:hideMark/>
          </w:tcPr>
          <w:p w14:paraId="370B5042"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11,364</w:t>
            </w:r>
          </w:p>
        </w:tc>
        <w:tc>
          <w:tcPr>
            <w:tcW w:w="1150" w:type="dxa"/>
            <w:tcBorders>
              <w:top w:val="nil"/>
              <w:left w:val="nil"/>
              <w:bottom w:val="nil"/>
              <w:right w:val="nil"/>
            </w:tcBorders>
            <w:shd w:val="clear" w:color="auto" w:fill="auto"/>
            <w:noWrap/>
            <w:vAlign w:val="center"/>
            <w:hideMark/>
          </w:tcPr>
          <w:p w14:paraId="4812D72E"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16,074</w:t>
            </w:r>
          </w:p>
        </w:tc>
        <w:tc>
          <w:tcPr>
            <w:tcW w:w="1121" w:type="dxa"/>
            <w:tcBorders>
              <w:top w:val="nil"/>
              <w:left w:val="nil"/>
              <w:bottom w:val="nil"/>
              <w:right w:val="nil"/>
            </w:tcBorders>
            <w:shd w:val="clear" w:color="auto" w:fill="auto"/>
            <w:noWrap/>
            <w:vAlign w:val="center"/>
            <w:hideMark/>
          </w:tcPr>
          <w:p w14:paraId="15D5EC6F"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18,390</w:t>
            </w:r>
          </w:p>
        </w:tc>
        <w:tc>
          <w:tcPr>
            <w:tcW w:w="1134" w:type="dxa"/>
            <w:tcBorders>
              <w:top w:val="nil"/>
              <w:left w:val="nil"/>
              <w:bottom w:val="nil"/>
              <w:right w:val="dotted" w:sz="4" w:space="0" w:color="auto"/>
            </w:tcBorders>
            <w:shd w:val="clear" w:color="auto" w:fill="auto"/>
            <w:noWrap/>
            <w:vAlign w:val="center"/>
            <w:hideMark/>
          </w:tcPr>
          <w:p w14:paraId="4ADC274E"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3,086</w:t>
            </w:r>
          </w:p>
        </w:tc>
        <w:tc>
          <w:tcPr>
            <w:tcW w:w="945" w:type="dxa"/>
            <w:tcBorders>
              <w:top w:val="nil"/>
              <w:left w:val="dotted" w:sz="4" w:space="0" w:color="auto"/>
              <w:bottom w:val="nil"/>
            </w:tcBorders>
            <w:shd w:val="clear" w:color="auto" w:fill="auto"/>
            <w:noWrap/>
            <w:vAlign w:val="center"/>
            <w:hideMark/>
          </w:tcPr>
          <w:p w14:paraId="7ADCB206"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58,470</w:t>
            </w:r>
          </w:p>
        </w:tc>
      </w:tr>
      <w:tr w:rsidR="003B7C93" w:rsidRPr="00D04387" w14:paraId="5B7E63F5" w14:textId="77777777" w:rsidTr="00CE2452">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34E6A6CD"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Other Sensory/Speech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0F99C50B"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1,662</w:t>
            </w:r>
          </w:p>
        </w:tc>
        <w:tc>
          <w:tcPr>
            <w:tcW w:w="0" w:type="auto"/>
            <w:tcBorders>
              <w:top w:val="nil"/>
              <w:left w:val="nil"/>
              <w:bottom w:val="nil"/>
              <w:right w:val="nil"/>
            </w:tcBorders>
            <w:shd w:val="clear" w:color="auto" w:fill="BFBFBF" w:themeFill="background1" w:themeFillShade="BF"/>
            <w:noWrap/>
            <w:vAlign w:val="center"/>
            <w:hideMark/>
          </w:tcPr>
          <w:p w14:paraId="1928DDD0"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2,034</w:t>
            </w:r>
          </w:p>
        </w:tc>
        <w:tc>
          <w:tcPr>
            <w:tcW w:w="0" w:type="auto"/>
            <w:tcBorders>
              <w:top w:val="nil"/>
              <w:left w:val="nil"/>
              <w:bottom w:val="nil"/>
              <w:right w:val="nil"/>
            </w:tcBorders>
            <w:shd w:val="clear" w:color="auto" w:fill="BFBFBF" w:themeFill="background1" w:themeFillShade="BF"/>
            <w:noWrap/>
            <w:vAlign w:val="center"/>
            <w:hideMark/>
          </w:tcPr>
          <w:p w14:paraId="4FD22B7C"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2,353</w:t>
            </w:r>
          </w:p>
        </w:tc>
        <w:tc>
          <w:tcPr>
            <w:tcW w:w="1150" w:type="dxa"/>
            <w:tcBorders>
              <w:top w:val="nil"/>
              <w:left w:val="nil"/>
              <w:bottom w:val="nil"/>
              <w:right w:val="nil"/>
            </w:tcBorders>
            <w:shd w:val="clear" w:color="auto" w:fill="BFBFBF" w:themeFill="background1" w:themeFillShade="BF"/>
            <w:noWrap/>
            <w:vAlign w:val="center"/>
            <w:hideMark/>
          </w:tcPr>
          <w:p w14:paraId="4CDB135B"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2,623</w:t>
            </w:r>
          </w:p>
        </w:tc>
        <w:tc>
          <w:tcPr>
            <w:tcW w:w="1121" w:type="dxa"/>
            <w:tcBorders>
              <w:top w:val="nil"/>
              <w:left w:val="nil"/>
              <w:bottom w:val="nil"/>
              <w:right w:val="nil"/>
            </w:tcBorders>
            <w:shd w:val="clear" w:color="auto" w:fill="BFBFBF" w:themeFill="background1" w:themeFillShade="BF"/>
            <w:noWrap/>
            <w:vAlign w:val="center"/>
            <w:hideMark/>
          </w:tcPr>
          <w:p w14:paraId="0B8265B3"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2,604</w:t>
            </w:r>
          </w:p>
        </w:tc>
        <w:tc>
          <w:tcPr>
            <w:tcW w:w="1134" w:type="dxa"/>
            <w:tcBorders>
              <w:top w:val="nil"/>
              <w:left w:val="nil"/>
              <w:bottom w:val="nil"/>
              <w:right w:val="dotted" w:sz="4" w:space="0" w:color="auto"/>
            </w:tcBorders>
            <w:shd w:val="clear" w:color="auto" w:fill="BFBFBF" w:themeFill="background1" w:themeFillShade="BF"/>
            <w:noWrap/>
            <w:vAlign w:val="center"/>
            <w:hideMark/>
          </w:tcPr>
          <w:p w14:paraId="24843D20"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398</w:t>
            </w:r>
          </w:p>
        </w:tc>
        <w:tc>
          <w:tcPr>
            <w:tcW w:w="945" w:type="dxa"/>
            <w:tcBorders>
              <w:top w:val="nil"/>
              <w:left w:val="dotted" w:sz="4" w:space="0" w:color="auto"/>
              <w:bottom w:val="nil"/>
            </w:tcBorders>
            <w:shd w:val="clear" w:color="auto" w:fill="BFBFBF" w:themeFill="background1" w:themeFillShade="BF"/>
            <w:noWrap/>
            <w:vAlign w:val="center"/>
            <w:hideMark/>
          </w:tcPr>
          <w:p w14:paraId="0029B7D7"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11,673</w:t>
            </w:r>
          </w:p>
        </w:tc>
      </w:tr>
      <w:tr w:rsidR="003B7C93" w:rsidRPr="00D04387" w14:paraId="519D7FE5"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1ACD9855"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Other </w:t>
            </w:r>
          </w:p>
        </w:tc>
        <w:tc>
          <w:tcPr>
            <w:tcW w:w="0" w:type="auto"/>
            <w:tcBorders>
              <w:top w:val="nil"/>
              <w:left w:val="dotted" w:sz="4" w:space="0" w:color="auto"/>
              <w:bottom w:val="nil"/>
              <w:right w:val="nil"/>
            </w:tcBorders>
            <w:shd w:val="clear" w:color="auto" w:fill="auto"/>
            <w:noWrap/>
            <w:vAlign w:val="center"/>
            <w:hideMark/>
          </w:tcPr>
          <w:p w14:paraId="5C59AD13"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454</w:t>
            </w:r>
          </w:p>
        </w:tc>
        <w:tc>
          <w:tcPr>
            <w:tcW w:w="0" w:type="auto"/>
            <w:tcBorders>
              <w:top w:val="nil"/>
              <w:left w:val="nil"/>
              <w:bottom w:val="nil"/>
              <w:right w:val="nil"/>
            </w:tcBorders>
            <w:shd w:val="clear" w:color="auto" w:fill="auto"/>
            <w:noWrap/>
            <w:vAlign w:val="center"/>
            <w:hideMark/>
          </w:tcPr>
          <w:p w14:paraId="77519494"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859</w:t>
            </w:r>
          </w:p>
        </w:tc>
        <w:tc>
          <w:tcPr>
            <w:tcW w:w="0" w:type="auto"/>
            <w:tcBorders>
              <w:top w:val="nil"/>
              <w:left w:val="nil"/>
              <w:bottom w:val="nil"/>
              <w:right w:val="nil"/>
            </w:tcBorders>
            <w:shd w:val="clear" w:color="auto" w:fill="auto"/>
            <w:noWrap/>
            <w:vAlign w:val="center"/>
            <w:hideMark/>
          </w:tcPr>
          <w:p w14:paraId="0FBDFA70"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1,470</w:t>
            </w:r>
          </w:p>
        </w:tc>
        <w:tc>
          <w:tcPr>
            <w:tcW w:w="1150" w:type="dxa"/>
            <w:tcBorders>
              <w:top w:val="nil"/>
              <w:left w:val="nil"/>
              <w:bottom w:val="nil"/>
              <w:right w:val="nil"/>
            </w:tcBorders>
            <w:shd w:val="clear" w:color="auto" w:fill="auto"/>
            <w:noWrap/>
            <w:vAlign w:val="center"/>
            <w:hideMark/>
          </w:tcPr>
          <w:p w14:paraId="063D5A28"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2,338</w:t>
            </w:r>
          </w:p>
        </w:tc>
        <w:tc>
          <w:tcPr>
            <w:tcW w:w="1121" w:type="dxa"/>
            <w:tcBorders>
              <w:top w:val="nil"/>
              <w:left w:val="nil"/>
              <w:bottom w:val="nil"/>
              <w:right w:val="nil"/>
            </w:tcBorders>
            <w:shd w:val="clear" w:color="auto" w:fill="auto"/>
            <w:noWrap/>
            <w:vAlign w:val="center"/>
            <w:hideMark/>
          </w:tcPr>
          <w:p w14:paraId="7AB85E3C"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4,378</w:t>
            </w:r>
          </w:p>
        </w:tc>
        <w:tc>
          <w:tcPr>
            <w:tcW w:w="1134" w:type="dxa"/>
            <w:tcBorders>
              <w:top w:val="nil"/>
              <w:left w:val="nil"/>
              <w:bottom w:val="nil"/>
              <w:right w:val="dotted" w:sz="4" w:space="0" w:color="auto"/>
            </w:tcBorders>
            <w:shd w:val="clear" w:color="auto" w:fill="auto"/>
            <w:noWrap/>
            <w:vAlign w:val="center"/>
            <w:hideMark/>
          </w:tcPr>
          <w:p w14:paraId="0E041C5C"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896</w:t>
            </w:r>
          </w:p>
        </w:tc>
        <w:tc>
          <w:tcPr>
            <w:tcW w:w="945" w:type="dxa"/>
            <w:tcBorders>
              <w:top w:val="nil"/>
              <w:left w:val="dotted" w:sz="4" w:space="0" w:color="auto"/>
              <w:bottom w:val="nil"/>
            </w:tcBorders>
            <w:shd w:val="clear" w:color="auto" w:fill="auto"/>
            <w:noWrap/>
            <w:vAlign w:val="center"/>
            <w:hideMark/>
          </w:tcPr>
          <w:p w14:paraId="4EC0B2F0"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10,395</w:t>
            </w:r>
          </w:p>
        </w:tc>
      </w:tr>
      <w:tr w:rsidR="003B7C93" w:rsidRPr="00D04387" w14:paraId="416B79FF" w14:textId="77777777" w:rsidTr="00CE2452">
        <w:trPr>
          <w:trHeight w:val="285"/>
        </w:trPr>
        <w:tc>
          <w:tcPr>
            <w:tcW w:w="0" w:type="auto"/>
            <w:tcBorders>
              <w:top w:val="nil"/>
              <w:left w:val="nil"/>
              <w:bottom w:val="single" w:sz="4" w:space="0" w:color="auto"/>
              <w:right w:val="dotted" w:sz="4" w:space="0" w:color="auto"/>
            </w:tcBorders>
            <w:shd w:val="clear" w:color="auto" w:fill="BFBFBF" w:themeFill="background1" w:themeFillShade="BF"/>
            <w:noWrap/>
            <w:vAlign w:val="center"/>
            <w:hideMark/>
          </w:tcPr>
          <w:p w14:paraId="224064D0" w14:textId="77777777" w:rsidR="003B7C93" w:rsidRPr="00D04387" w:rsidRDefault="003B7C93" w:rsidP="00BE04BB">
            <w:pPr>
              <w:spacing w:after="0" w:line="240" w:lineRule="auto"/>
              <w:rPr>
                <w:rFonts w:eastAsia="Times New Roman" w:cs="Arial"/>
                <w:color w:val="000000"/>
                <w:sz w:val="16"/>
                <w:szCs w:val="16"/>
                <w:lang w:eastAsia="zh-CN"/>
              </w:rPr>
            </w:pPr>
            <w:r w:rsidRPr="00D04387">
              <w:rPr>
                <w:rFonts w:eastAsia="Times New Roman" w:cs="Arial"/>
                <w:color w:val="000000"/>
                <w:sz w:val="16"/>
                <w:szCs w:val="16"/>
                <w:lang w:eastAsia="zh-CN"/>
              </w:rPr>
              <w:t xml:space="preserve"> Missing </w:t>
            </w:r>
          </w:p>
        </w:tc>
        <w:tc>
          <w:tcPr>
            <w:tcW w:w="0" w:type="auto"/>
            <w:tcBorders>
              <w:top w:val="nil"/>
              <w:left w:val="dotted" w:sz="4" w:space="0" w:color="auto"/>
              <w:bottom w:val="single" w:sz="4" w:space="0" w:color="auto"/>
              <w:right w:val="nil"/>
            </w:tcBorders>
            <w:shd w:val="clear" w:color="auto" w:fill="BFBFBF" w:themeFill="background1" w:themeFillShade="BF"/>
            <w:noWrap/>
            <w:vAlign w:val="center"/>
            <w:hideMark/>
          </w:tcPr>
          <w:p w14:paraId="1B683344"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078377EC"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0</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599C3F65"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0</w:t>
            </w:r>
          </w:p>
        </w:tc>
        <w:tc>
          <w:tcPr>
            <w:tcW w:w="1150" w:type="dxa"/>
            <w:tcBorders>
              <w:top w:val="nil"/>
              <w:left w:val="nil"/>
              <w:bottom w:val="single" w:sz="4" w:space="0" w:color="auto"/>
              <w:right w:val="nil"/>
            </w:tcBorders>
            <w:shd w:val="clear" w:color="auto" w:fill="BFBFBF" w:themeFill="background1" w:themeFillShade="BF"/>
            <w:noWrap/>
            <w:vAlign w:val="center"/>
            <w:hideMark/>
          </w:tcPr>
          <w:p w14:paraId="5A38FB67"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0</w:t>
            </w:r>
          </w:p>
        </w:tc>
        <w:tc>
          <w:tcPr>
            <w:tcW w:w="1121" w:type="dxa"/>
            <w:tcBorders>
              <w:top w:val="nil"/>
              <w:left w:val="nil"/>
              <w:bottom w:val="single" w:sz="4" w:space="0" w:color="auto"/>
              <w:right w:val="nil"/>
            </w:tcBorders>
            <w:shd w:val="clear" w:color="auto" w:fill="BFBFBF" w:themeFill="background1" w:themeFillShade="BF"/>
            <w:noWrap/>
            <w:vAlign w:val="center"/>
            <w:hideMark/>
          </w:tcPr>
          <w:p w14:paraId="571185F8"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0</w:t>
            </w:r>
          </w:p>
        </w:tc>
        <w:tc>
          <w:tcPr>
            <w:tcW w:w="1134" w:type="dxa"/>
            <w:tcBorders>
              <w:top w:val="nil"/>
              <w:left w:val="nil"/>
              <w:bottom w:val="single" w:sz="4" w:space="0" w:color="auto"/>
              <w:right w:val="dotted" w:sz="4" w:space="0" w:color="auto"/>
            </w:tcBorders>
            <w:shd w:val="clear" w:color="auto" w:fill="BFBFBF" w:themeFill="background1" w:themeFillShade="BF"/>
            <w:noWrap/>
            <w:vAlign w:val="center"/>
            <w:hideMark/>
          </w:tcPr>
          <w:p w14:paraId="564D55FB"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0</w:t>
            </w:r>
          </w:p>
        </w:tc>
        <w:tc>
          <w:tcPr>
            <w:tcW w:w="945" w:type="dxa"/>
            <w:tcBorders>
              <w:top w:val="nil"/>
              <w:left w:val="dotted" w:sz="4" w:space="0" w:color="auto"/>
              <w:bottom w:val="single" w:sz="4" w:space="0" w:color="auto"/>
            </w:tcBorders>
            <w:shd w:val="clear" w:color="auto" w:fill="BFBFBF" w:themeFill="background1" w:themeFillShade="BF"/>
            <w:noWrap/>
            <w:vAlign w:val="center"/>
            <w:hideMark/>
          </w:tcPr>
          <w:p w14:paraId="6FE864AF" w14:textId="77777777" w:rsidR="003B7C93" w:rsidRPr="00D04387" w:rsidRDefault="003B7C93" w:rsidP="00BE04BB">
            <w:pPr>
              <w:spacing w:after="0" w:line="240" w:lineRule="auto"/>
              <w:jc w:val="right"/>
              <w:rPr>
                <w:rFonts w:eastAsia="Times New Roman" w:cs="Arial"/>
                <w:sz w:val="16"/>
                <w:szCs w:val="16"/>
                <w:lang w:eastAsia="zh-CN"/>
              </w:rPr>
            </w:pPr>
            <w:r w:rsidRPr="00D04387">
              <w:rPr>
                <w:rFonts w:eastAsia="Times New Roman" w:cs="Arial"/>
                <w:sz w:val="16"/>
                <w:szCs w:val="16"/>
                <w:lang w:eastAsia="zh-CN"/>
              </w:rPr>
              <w:t>2</w:t>
            </w:r>
          </w:p>
        </w:tc>
      </w:tr>
      <w:tr w:rsidR="003B7C93" w:rsidRPr="00D04387" w14:paraId="554FBF22" w14:textId="77777777" w:rsidTr="00CE2452">
        <w:trPr>
          <w:trHeight w:val="300"/>
        </w:trPr>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5333FF2E" w14:textId="77777777" w:rsidR="003B7C93" w:rsidRPr="00D04387" w:rsidRDefault="003B7C93" w:rsidP="00BE04BB">
            <w:pPr>
              <w:spacing w:after="0" w:line="240" w:lineRule="auto"/>
              <w:rPr>
                <w:rFonts w:eastAsia="Times New Roman" w:cs="Arial"/>
                <w:b/>
                <w:bCs/>
                <w:color w:val="000000"/>
                <w:sz w:val="16"/>
                <w:szCs w:val="16"/>
                <w:lang w:eastAsia="zh-CN"/>
              </w:rPr>
            </w:pPr>
            <w:r w:rsidRPr="00D04387">
              <w:rPr>
                <w:rFonts w:eastAsia="Times New Roman" w:cs="Arial"/>
                <w:b/>
                <w:bCs/>
                <w:color w:val="000000"/>
                <w:sz w:val="16"/>
                <w:szCs w:val="16"/>
                <w:lang w:eastAsia="zh-CN"/>
              </w:rPr>
              <w:t>Total</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0CD175DC" w14:textId="77777777" w:rsidR="003B7C93" w:rsidRPr="00D04387" w:rsidRDefault="003B7C93" w:rsidP="00BE04BB">
            <w:pPr>
              <w:spacing w:after="0" w:line="240" w:lineRule="auto"/>
              <w:jc w:val="right"/>
              <w:rPr>
                <w:rFonts w:eastAsia="Times New Roman" w:cs="Arial"/>
                <w:b/>
                <w:bCs/>
                <w:sz w:val="16"/>
                <w:szCs w:val="16"/>
                <w:lang w:eastAsia="zh-CN"/>
              </w:rPr>
            </w:pPr>
            <w:r w:rsidRPr="00D04387">
              <w:rPr>
                <w:rFonts w:eastAsia="Times New Roman" w:cs="Arial"/>
                <w:b/>
                <w:bCs/>
                <w:sz w:val="16"/>
                <w:szCs w:val="16"/>
                <w:lang w:eastAsia="zh-CN"/>
              </w:rPr>
              <w:t>92,030</w:t>
            </w:r>
          </w:p>
        </w:tc>
        <w:tc>
          <w:tcPr>
            <w:tcW w:w="0" w:type="auto"/>
            <w:tcBorders>
              <w:top w:val="single" w:sz="4" w:space="0" w:color="auto"/>
              <w:left w:val="nil"/>
              <w:bottom w:val="single" w:sz="4" w:space="0" w:color="auto"/>
              <w:right w:val="nil"/>
            </w:tcBorders>
            <w:shd w:val="clear" w:color="auto" w:fill="D3C5D7"/>
            <w:noWrap/>
            <w:vAlign w:val="center"/>
            <w:hideMark/>
          </w:tcPr>
          <w:p w14:paraId="5AA32CD9" w14:textId="77777777" w:rsidR="003B7C93" w:rsidRPr="00D04387" w:rsidRDefault="003B7C93" w:rsidP="00BE04BB">
            <w:pPr>
              <w:spacing w:after="0" w:line="240" w:lineRule="auto"/>
              <w:jc w:val="right"/>
              <w:rPr>
                <w:rFonts w:eastAsia="Times New Roman" w:cs="Arial"/>
                <w:b/>
                <w:bCs/>
                <w:sz w:val="16"/>
                <w:szCs w:val="16"/>
                <w:lang w:eastAsia="zh-CN"/>
              </w:rPr>
            </w:pPr>
            <w:r w:rsidRPr="00D04387">
              <w:rPr>
                <w:rFonts w:eastAsia="Times New Roman" w:cs="Arial"/>
                <w:b/>
                <w:bCs/>
                <w:sz w:val="16"/>
                <w:szCs w:val="16"/>
                <w:lang w:eastAsia="zh-CN"/>
              </w:rPr>
              <w:t>173,927</w:t>
            </w:r>
          </w:p>
        </w:tc>
        <w:tc>
          <w:tcPr>
            <w:tcW w:w="0" w:type="auto"/>
            <w:tcBorders>
              <w:top w:val="single" w:sz="4" w:space="0" w:color="auto"/>
              <w:left w:val="nil"/>
              <w:bottom w:val="single" w:sz="4" w:space="0" w:color="auto"/>
              <w:right w:val="nil"/>
            </w:tcBorders>
            <w:shd w:val="clear" w:color="auto" w:fill="D3C5D7"/>
            <w:noWrap/>
            <w:vAlign w:val="center"/>
            <w:hideMark/>
          </w:tcPr>
          <w:p w14:paraId="40FC55F3" w14:textId="77777777" w:rsidR="003B7C93" w:rsidRPr="00D04387" w:rsidRDefault="003B7C93" w:rsidP="00BE04BB">
            <w:pPr>
              <w:spacing w:after="0" w:line="240" w:lineRule="auto"/>
              <w:jc w:val="right"/>
              <w:rPr>
                <w:rFonts w:eastAsia="Times New Roman" w:cs="Arial"/>
                <w:b/>
                <w:bCs/>
                <w:sz w:val="16"/>
                <w:szCs w:val="16"/>
                <w:lang w:eastAsia="zh-CN"/>
              </w:rPr>
            </w:pPr>
            <w:r w:rsidRPr="00D04387">
              <w:rPr>
                <w:rFonts w:eastAsia="Times New Roman" w:cs="Arial"/>
                <w:b/>
                <w:bCs/>
                <w:sz w:val="16"/>
                <w:szCs w:val="16"/>
                <w:lang w:eastAsia="zh-CN"/>
              </w:rPr>
              <w:t>284,854</w:t>
            </w:r>
          </w:p>
        </w:tc>
        <w:tc>
          <w:tcPr>
            <w:tcW w:w="1150" w:type="dxa"/>
            <w:tcBorders>
              <w:top w:val="single" w:sz="4" w:space="0" w:color="auto"/>
              <w:left w:val="nil"/>
              <w:bottom w:val="single" w:sz="4" w:space="0" w:color="auto"/>
              <w:right w:val="nil"/>
            </w:tcBorders>
            <w:shd w:val="clear" w:color="auto" w:fill="D3C5D7"/>
            <w:noWrap/>
            <w:vAlign w:val="center"/>
            <w:hideMark/>
          </w:tcPr>
          <w:p w14:paraId="2B7A324E" w14:textId="77777777" w:rsidR="003B7C93" w:rsidRPr="00D04387" w:rsidRDefault="003B7C93" w:rsidP="00BE04BB">
            <w:pPr>
              <w:spacing w:after="0" w:line="240" w:lineRule="auto"/>
              <w:jc w:val="right"/>
              <w:rPr>
                <w:rFonts w:eastAsia="Times New Roman" w:cs="Arial"/>
                <w:b/>
                <w:bCs/>
                <w:sz w:val="16"/>
                <w:szCs w:val="16"/>
                <w:lang w:eastAsia="zh-CN"/>
              </w:rPr>
            </w:pPr>
            <w:r w:rsidRPr="00D04387">
              <w:rPr>
                <w:rFonts w:eastAsia="Times New Roman" w:cs="Arial"/>
                <w:b/>
                <w:bCs/>
                <w:sz w:val="16"/>
                <w:szCs w:val="16"/>
                <w:lang w:eastAsia="zh-CN"/>
              </w:rPr>
              <w:t>388,893</w:t>
            </w:r>
          </w:p>
        </w:tc>
        <w:tc>
          <w:tcPr>
            <w:tcW w:w="1121" w:type="dxa"/>
            <w:tcBorders>
              <w:top w:val="single" w:sz="4" w:space="0" w:color="auto"/>
              <w:left w:val="nil"/>
              <w:bottom w:val="single" w:sz="4" w:space="0" w:color="auto"/>
              <w:right w:val="nil"/>
            </w:tcBorders>
            <w:shd w:val="clear" w:color="auto" w:fill="D3C5D7"/>
            <w:noWrap/>
            <w:vAlign w:val="center"/>
            <w:hideMark/>
          </w:tcPr>
          <w:p w14:paraId="09E8AAD0" w14:textId="77777777" w:rsidR="003B7C93" w:rsidRPr="00D04387" w:rsidRDefault="003B7C93" w:rsidP="00BE04BB">
            <w:pPr>
              <w:spacing w:after="0" w:line="240" w:lineRule="auto"/>
              <w:jc w:val="right"/>
              <w:rPr>
                <w:rFonts w:eastAsia="Times New Roman" w:cs="Arial"/>
                <w:b/>
                <w:bCs/>
                <w:sz w:val="16"/>
                <w:szCs w:val="16"/>
                <w:lang w:eastAsia="zh-CN"/>
              </w:rPr>
            </w:pPr>
            <w:r w:rsidRPr="00D04387">
              <w:rPr>
                <w:rFonts w:eastAsia="Times New Roman" w:cs="Arial"/>
                <w:b/>
                <w:bCs/>
                <w:sz w:val="16"/>
                <w:szCs w:val="16"/>
                <w:lang w:eastAsia="zh-CN"/>
              </w:rPr>
              <w:t>467,224</w:t>
            </w:r>
          </w:p>
        </w:tc>
        <w:tc>
          <w:tcPr>
            <w:tcW w:w="1134" w:type="dxa"/>
            <w:tcBorders>
              <w:top w:val="single" w:sz="4" w:space="0" w:color="auto"/>
              <w:left w:val="nil"/>
              <w:bottom w:val="single" w:sz="4" w:space="0" w:color="auto"/>
              <w:right w:val="dotted" w:sz="4" w:space="0" w:color="auto"/>
            </w:tcBorders>
            <w:shd w:val="clear" w:color="auto" w:fill="D3C5D7"/>
            <w:noWrap/>
            <w:vAlign w:val="center"/>
            <w:hideMark/>
          </w:tcPr>
          <w:p w14:paraId="3DEDA430" w14:textId="77777777" w:rsidR="003B7C93" w:rsidRPr="00D04387" w:rsidRDefault="003B7C93" w:rsidP="00BE04BB">
            <w:pPr>
              <w:spacing w:after="0" w:line="240" w:lineRule="auto"/>
              <w:jc w:val="right"/>
              <w:rPr>
                <w:rFonts w:eastAsia="Times New Roman" w:cs="Arial"/>
                <w:b/>
                <w:bCs/>
                <w:sz w:val="16"/>
                <w:szCs w:val="16"/>
                <w:lang w:eastAsia="zh-CN"/>
              </w:rPr>
            </w:pPr>
            <w:r w:rsidRPr="00D04387">
              <w:rPr>
                <w:rFonts w:eastAsia="Times New Roman" w:cs="Arial"/>
                <w:b/>
                <w:bCs/>
                <w:sz w:val="16"/>
                <w:szCs w:val="16"/>
                <w:lang w:eastAsia="zh-CN"/>
              </w:rPr>
              <w:t>82,003</w:t>
            </w:r>
          </w:p>
        </w:tc>
        <w:tc>
          <w:tcPr>
            <w:tcW w:w="945" w:type="dxa"/>
            <w:tcBorders>
              <w:top w:val="single" w:sz="4" w:space="0" w:color="auto"/>
              <w:left w:val="dotted" w:sz="4" w:space="0" w:color="auto"/>
              <w:bottom w:val="single" w:sz="4" w:space="0" w:color="auto"/>
            </w:tcBorders>
            <w:shd w:val="clear" w:color="auto" w:fill="D3C5D7"/>
            <w:noWrap/>
            <w:vAlign w:val="center"/>
            <w:hideMark/>
          </w:tcPr>
          <w:p w14:paraId="60C088DF" w14:textId="77777777" w:rsidR="003B7C93" w:rsidRPr="00D04387" w:rsidRDefault="003B7C93" w:rsidP="00BE04BB">
            <w:pPr>
              <w:spacing w:after="0" w:line="240" w:lineRule="auto"/>
              <w:jc w:val="right"/>
              <w:rPr>
                <w:rFonts w:eastAsia="Times New Roman" w:cs="Arial"/>
                <w:b/>
                <w:bCs/>
                <w:sz w:val="16"/>
                <w:szCs w:val="16"/>
                <w:lang w:eastAsia="zh-CN"/>
              </w:rPr>
            </w:pPr>
            <w:r w:rsidRPr="00D04387">
              <w:rPr>
                <w:rFonts w:eastAsia="Times New Roman" w:cs="Arial"/>
                <w:b/>
                <w:bCs/>
                <w:sz w:val="16"/>
                <w:szCs w:val="16"/>
                <w:lang w:eastAsia="zh-CN"/>
              </w:rPr>
              <w:t>1,488,931</w:t>
            </w:r>
          </w:p>
        </w:tc>
      </w:tr>
    </w:tbl>
    <w:p w14:paraId="6F64594F" w14:textId="77777777" w:rsidR="003B7C93" w:rsidRDefault="003B7C93" w:rsidP="00CE2452">
      <w:pPr>
        <w:pStyle w:val="FSRnormal"/>
        <w:spacing w:before="0" w:after="120"/>
      </w:pPr>
    </w:p>
    <w:tbl>
      <w:tblPr>
        <w:tblW w:w="9435" w:type="dxa"/>
        <w:tblLook w:val="04A0" w:firstRow="1" w:lastRow="0" w:firstColumn="1" w:lastColumn="0" w:noHBand="0" w:noVBand="1"/>
      </w:tblPr>
      <w:tblGrid>
        <w:gridCol w:w="1880"/>
        <w:gridCol w:w="1097"/>
        <w:gridCol w:w="1134"/>
        <w:gridCol w:w="1134"/>
        <w:gridCol w:w="1134"/>
        <w:gridCol w:w="1134"/>
        <w:gridCol w:w="1074"/>
        <w:gridCol w:w="848"/>
      </w:tblGrid>
      <w:tr w:rsidR="003B7C93" w:rsidRPr="00CE2452" w14:paraId="1E7C48A8" w14:textId="77777777" w:rsidTr="002E0749">
        <w:trPr>
          <w:trHeight w:val="397"/>
        </w:trPr>
        <w:tc>
          <w:tcPr>
            <w:tcW w:w="0" w:type="auto"/>
            <w:vMerge w:val="restart"/>
            <w:tcBorders>
              <w:top w:val="nil"/>
              <w:left w:val="nil"/>
              <w:bottom w:val="nil"/>
              <w:right w:val="nil"/>
            </w:tcBorders>
            <w:shd w:val="clear" w:color="000000" w:fill="6B2976"/>
            <w:noWrap/>
            <w:vAlign w:val="center"/>
            <w:hideMark/>
          </w:tcPr>
          <w:p w14:paraId="77C3235B" w14:textId="77777777" w:rsidR="003B7C93" w:rsidRPr="00CE2452" w:rsidRDefault="003B7C93" w:rsidP="00CE2452">
            <w:pPr>
              <w:spacing w:after="0" w:line="240" w:lineRule="auto"/>
              <w:rPr>
                <w:rFonts w:eastAsia="Times New Roman" w:cs="Arial"/>
                <w:b/>
                <w:bCs/>
                <w:color w:val="FFFFFF"/>
                <w:sz w:val="16"/>
                <w:szCs w:val="16"/>
                <w:lang w:eastAsia="zh-CN"/>
              </w:rPr>
            </w:pPr>
            <w:r w:rsidRPr="00CE2452">
              <w:rPr>
                <w:rFonts w:eastAsia="Times New Roman" w:cs="Arial"/>
                <w:b/>
                <w:bCs/>
                <w:color w:val="FFFFFF"/>
                <w:sz w:val="16"/>
                <w:szCs w:val="16"/>
                <w:lang w:eastAsia="zh-CN"/>
              </w:rPr>
              <w:t>Disability</w:t>
            </w:r>
          </w:p>
        </w:tc>
        <w:tc>
          <w:tcPr>
            <w:tcW w:w="7555" w:type="dxa"/>
            <w:gridSpan w:val="7"/>
            <w:tcBorders>
              <w:top w:val="nil"/>
              <w:left w:val="nil"/>
              <w:bottom w:val="single" w:sz="4" w:space="0" w:color="FFFFFF"/>
              <w:right w:val="nil"/>
            </w:tcBorders>
            <w:shd w:val="clear" w:color="000000" w:fill="6B2976"/>
            <w:vAlign w:val="center"/>
            <w:hideMark/>
          </w:tcPr>
          <w:p w14:paraId="14305D69" w14:textId="77777777" w:rsidR="003B7C93" w:rsidRPr="00CE2452" w:rsidRDefault="003B7C93" w:rsidP="008116E1">
            <w:pPr>
              <w:spacing w:after="0" w:line="240" w:lineRule="auto"/>
              <w:jc w:val="center"/>
              <w:rPr>
                <w:rFonts w:eastAsia="Times New Roman" w:cs="Arial"/>
                <w:b/>
                <w:bCs/>
                <w:color w:val="FFFFFF"/>
                <w:sz w:val="16"/>
                <w:szCs w:val="16"/>
                <w:lang w:eastAsia="zh-CN"/>
              </w:rPr>
            </w:pPr>
            <w:r w:rsidRPr="00CE2452">
              <w:rPr>
                <w:rFonts w:eastAsia="Times New Roman" w:cs="Arial"/>
                <w:b/>
                <w:bCs/>
                <w:color w:val="FFFFFF"/>
                <w:sz w:val="16"/>
                <w:szCs w:val="16"/>
                <w:lang w:eastAsia="zh-CN"/>
              </w:rPr>
              <w:t>Actual % Exposure</w:t>
            </w:r>
          </w:p>
        </w:tc>
      </w:tr>
      <w:tr w:rsidR="003B7C93" w:rsidRPr="00CE2452" w14:paraId="1936500E" w14:textId="77777777" w:rsidTr="002E0749">
        <w:trPr>
          <w:trHeight w:val="397"/>
        </w:trPr>
        <w:tc>
          <w:tcPr>
            <w:tcW w:w="0" w:type="auto"/>
            <w:vMerge/>
            <w:tcBorders>
              <w:top w:val="nil"/>
              <w:left w:val="nil"/>
              <w:right w:val="nil"/>
            </w:tcBorders>
            <w:vAlign w:val="center"/>
            <w:hideMark/>
          </w:tcPr>
          <w:p w14:paraId="20FC21C3" w14:textId="77777777" w:rsidR="003B7C93" w:rsidRPr="00CE2452" w:rsidRDefault="003B7C93" w:rsidP="00CE2452">
            <w:pPr>
              <w:spacing w:after="0" w:line="240" w:lineRule="auto"/>
              <w:rPr>
                <w:rFonts w:eastAsia="Times New Roman" w:cs="Arial"/>
                <w:b/>
                <w:bCs/>
                <w:color w:val="FFFFFF"/>
                <w:sz w:val="16"/>
                <w:szCs w:val="16"/>
                <w:lang w:eastAsia="zh-CN"/>
              </w:rPr>
            </w:pPr>
          </w:p>
        </w:tc>
        <w:tc>
          <w:tcPr>
            <w:tcW w:w="1097" w:type="dxa"/>
            <w:tcBorders>
              <w:top w:val="nil"/>
              <w:left w:val="nil"/>
              <w:bottom w:val="nil"/>
              <w:right w:val="nil"/>
            </w:tcBorders>
            <w:shd w:val="clear" w:color="000000" w:fill="6B2976"/>
            <w:vAlign w:val="center"/>
            <w:hideMark/>
          </w:tcPr>
          <w:p w14:paraId="03A7E952" w14:textId="77777777" w:rsidR="003B7C93" w:rsidRPr="00CE2452" w:rsidRDefault="003B7C93" w:rsidP="00CE2452">
            <w:pPr>
              <w:spacing w:after="0" w:line="240" w:lineRule="auto"/>
              <w:jc w:val="right"/>
              <w:rPr>
                <w:rFonts w:eastAsia="Times New Roman" w:cs="Arial"/>
                <w:b/>
                <w:bCs/>
                <w:color w:val="FFFFFF"/>
                <w:sz w:val="16"/>
                <w:szCs w:val="16"/>
                <w:lang w:eastAsia="zh-CN"/>
              </w:rPr>
            </w:pPr>
            <w:r w:rsidRPr="00CE2452">
              <w:rPr>
                <w:rFonts w:eastAsia="Times New Roman" w:cs="Arial"/>
                <w:b/>
                <w:bCs/>
                <w:color w:val="FFFFFF"/>
                <w:sz w:val="16"/>
                <w:szCs w:val="16"/>
                <w:lang w:eastAsia="zh-CN"/>
              </w:rPr>
              <w:t>Jan-Dec 17</w:t>
            </w:r>
          </w:p>
        </w:tc>
        <w:tc>
          <w:tcPr>
            <w:tcW w:w="1134" w:type="dxa"/>
            <w:tcBorders>
              <w:top w:val="nil"/>
              <w:left w:val="nil"/>
              <w:bottom w:val="nil"/>
              <w:right w:val="nil"/>
            </w:tcBorders>
            <w:shd w:val="clear" w:color="000000" w:fill="6B2976"/>
            <w:vAlign w:val="center"/>
            <w:hideMark/>
          </w:tcPr>
          <w:p w14:paraId="5BAE9A19" w14:textId="77777777" w:rsidR="003B7C93" w:rsidRPr="00CE2452" w:rsidRDefault="003B7C93" w:rsidP="00CE2452">
            <w:pPr>
              <w:spacing w:after="0" w:line="240" w:lineRule="auto"/>
              <w:jc w:val="right"/>
              <w:rPr>
                <w:rFonts w:eastAsia="Times New Roman" w:cs="Arial"/>
                <w:b/>
                <w:bCs/>
                <w:color w:val="FFFFFF"/>
                <w:sz w:val="16"/>
                <w:szCs w:val="16"/>
                <w:lang w:eastAsia="zh-CN"/>
              </w:rPr>
            </w:pPr>
            <w:r w:rsidRPr="00CE2452">
              <w:rPr>
                <w:rFonts w:eastAsia="Times New Roman" w:cs="Arial"/>
                <w:b/>
                <w:bCs/>
                <w:color w:val="FFFFFF"/>
                <w:sz w:val="16"/>
                <w:szCs w:val="16"/>
                <w:lang w:eastAsia="zh-CN"/>
              </w:rPr>
              <w:t>Jan-Dec 18</w:t>
            </w:r>
          </w:p>
        </w:tc>
        <w:tc>
          <w:tcPr>
            <w:tcW w:w="1134" w:type="dxa"/>
            <w:tcBorders>
              <w:top w:val="nil"/>
              <w:left w:val="nil"/>
              <w:bottom w:val="nil"/>
              <w:right w:val="nil"/>
            </w:tcBorders>
            <w:shd w:val="clear" w:color="000000" w:fill="6B2976"/>
            <w:vAlign w:val="center"/>
            <w:hideMark/>
          </w:tcPr>
          <w:p w14:paraId="545A8A78" w14:textId="77777777" w:rsidR="003B7C93" w:rsidRPr="00CE2452" w:rsidRDefault="003B7C93" w:rsidP="00CE2452">
            <w:pPr>
              <w:spacing w:after="0" w:line="240" w:lineRule="auto"/>
              <w:jc w:val="right"/>
              <w:rPr>
                <w:rFonts w:eastAsia="Times New Roman" w:cs="Arial"/>
                <w:b/>
                <w:bCs/>
                <w:color w:val="FFFFFF"/>
                <w:sz w:val="16"/>
                <w:szCs w:val="16"/>
                <w:lang w:eastAsia="zh-CN"/>
              </w:rPr>
            </w:pPr>
            <w:r w:rsidRPr="00CE2452">
              <w:rPr>
                <w:rFonts w:eastAsia="Times New Roman" w:cs="Arial"/>
                <w:b/>
                <w:bCs/>
                <w:color w:val="FFFFFF"/>
                <w:sz w:val="16"/>
                <w:szCs w:val="16"/>
                <w:lang w:eastAsia="zh-CN"/>
              </w:rPr>
              <w:t>Jan-Dec 19</w:t>
            </w:r>
          </w:p>
        </w:tc>
        <w:tc>
          <w:tcPr>
            <w:tcW w:w="1134" w:type="dxa"/>
            <w:tcBorders>
              <w:top w:val="nil"/>
              <w:left w:val="nil"/>
              <w:bottom w:val="nil"/>
              <w:right w:val="nil"/>
            </w:tcBorders>
            <w:shd w:val="clear" w:color="000000" w:fill="6B2976"/>
            <w:vAlign w:val="center"/>
            <w:hideMark/>
          </w:tcPr>
          <w:p w14:paraId="307F122F" w14:textId="77777777" w:rsidR="003B7C93" w:rsidRPr="00CE2452" w:rsidRDefault="003B7C93" w:rsidP="00CE2452">
            <w:pPr>
              <w:spacing w:after="0" w:line="240" w:lineRule="auto"/>
              <w:jc w:val="right"/>
              <w:rPr>
                <w:rFonts w:eastAsia="Times New Roman" w:cs="Arial"/>
                <w:b/>
                <w:bCs/>
                <w:color w:val="FFFFFF"/>
                <w:sz w:val="16"/>
                <w:szCs w:val="16"/>
                <w:lang w:eastAsia="zh-CN"/>
              </w:rPr>
            </w:pPr>
            <w:r w:rsidRPr="00CE2452">
              <w:rPr>
                <w:rFonts w:eastAsia="Times New Roman" w:cs="Arial"/>
                <w:b/>
                <w:bCs/>
                <w:color w:val="FFFFFF"/>
                <w:sz w:val="16"/>
                <w:szCs w:val="16"/>
                <w:lang w:eastAsia="zh-CN"/>
              </w:rPr>
              <w:t>Jan-Dec 20</w:t>
            </w:r>
          </w:p>
        </w:tc>
        <w:tc>
          <w:tcPr>
            <w:tcW w:w="1134" w:type="dxa"/>
            <w:tcBorders>
              <w:top w:val="nil"/>
              <w:left w:val="nil"/>
              <w:bottom w:val="nil"/>
              <w:right w:val="nil"/>
            </w:tcBorders>
            <w:shd w:val="clear" w:color="000000" w:fill="6B2976"/>
            <w:vAlign w:val="center"/>
            <w:hideMark/>
          </w:tcPr>
          <w:p w14:paraId="15E960D4" w14:textId="77777777" w:rsidR="003B7C93" w:rsidRPr="00CE2452" w:rsidRDefault="003B7C93" w:rsidP="00CE2452">
            <w:pPr>
              <w:spacing w:after="0" w:line="240" w:lineRule="auto"/>
              <w:jc w:val="right"/>
              <w:rPr>
                <w:rFonts w:eastAsia="Times New Roman" w:cs="Arial"/>
                <w:b/>
                <w:bCs/>
                <w:color w:val="FFFFFF"/>
                <w:sz w:val="16"/>
                <w:szCs w:val="16"/>
                <w:lang w:eastAsia="zh-CN"/>
              </w:rPr>
            </w:pPr>
            <w:r w:rsidRPr="00CE2452">
              <w:rPr>
                <w:rFonts w:eastAsia="Times New Roman" w:cs="Arial"/>
                <w:b/>
                <w:bCs/>
                <w:color w:val="FFFFFF"/>
                <w:sz w:val="16"/>
                <w:szCs w:val="16"/>
                <w:lang w:eastAsia="zh-CN"/>
              </w:rPr>
              <w:t>Jan-Dec 21</w:t>
            </w:r>
          </w:p>
        </w:tc>
        <w:tc>
          <w:tcPr>
            <w:tcW w:w="1074" w:type="dxa"/>
            <w:tcBorders>
              <w:top w:val="nil"/>
              <w:left w:val="nil"/>
              <w:right w:val="nil"/>
            </w:tcBorders>
            <w:shd w:val="clear" w:color="000000" w:fill="6B2976"/>
            <w:vAlign w:val="center"/>
            <w:hideMark/>
          </w:tcPr>
          <w:p w14:paraId="353470FE" w14:textId="77777777" w:rsidR="003B7C93" w:rsidRPr="00CE2452" w:rsidRDefault="003B7C93" w:rsidP="00CE2452">
            <w:pPr>
              <w:spacing w:after="0" w:line="240" w:lineRule="auto"/>
              <w:jc w:val="right"/>
              <w:rPr>
                <w:rFonts w:eastAsia="Times New Roman" w:cs="Arial"/>
                <w:b/>
                <w:bCs/>
                <w:color w:val="FFFFFF"/>
                <w:sz w:val="16"/>
                <w:szCs w:val="16"/>
                <w:lang w:eastAsia="zh-CN"/>
              </w:rPr>
            </w:pPr>
            <w:r w:rsidRPr="00CE2452">
              <w:rPr>
                <w:rFonts w:eastAsia="Times New Roman" w:cs="Arial"/>
                <w:b/>
                <w:bCs/>
                <w:color w:val="FFFFFF"/>
                <w:sz w:val="16"/>
                <w:szCs w:val="16"/>
                <w:lang w:eastAsia="zh-CN"/>
              </w:rPr>
              <w:t>Jan-Feb 22</w:t>
            </w:r>
          </w:p>
        </w:tc>
        <w:tc>
          <w:tcPr>
            <w:tcW w:w="848" w:type="dxa"/>
            <w:tcBorders>
              <w:top w:val="nil"/>
              <w:left w:val="nil"/>
              <w:bottom w:val="nil"/>
              <w:right w:val="nil"/>
            </w:tcBorders>
            <w:shd w:val="clear" w:color="000000" w:fill="6B2976"/>
            <w:vAlign w:val="center"/>
            <w:hideMark/>
          </w:tcPr>
          <w:p w14:paraId="37DFA128" w14:textId="77777777" w:rsidR="003B7C93" w:rsidRPr="00CE2452" w:rsidRDefault="003B7C93" w:rsidP="00CE2452">
            <w:pPr>
              <w:spacing w:after="0" w:line="240" w:lineRule="auto"/>
              <w:jc w:val="right"/>
              <w:rPr>
                <w:rFonts w:eastAsia="Times New Roman" w:cs="Arial"/>
                <w:b/>
                <w:bCs/>
                <w:color w:val="FFFFFF"/>
                <w:sz w:val="16"/>
                <w:szCs w:val="16"/>
                <w:lang w:eastAsia="zh-CN"/>
              </w:rPr>
            </w:pPr>
            <w:r w:rsidRPr="00CE2452">
              <w:rPr>
                <w:rFonts w:eastAsia="Times New Roman" w:cs="Arial"/>
                <w:b/>
                <w:bCs/>
                <w:color w:val="FFFFFF"/>
                <w:sz w:val="16"/>
                <w:szCs w:val="16"/>
                <w:lang w:eastAsia="zh-CN"/>
              </w:rPr>
              <w:t>Overall</w:t>
            </w:r>
          </w:p>
        </w:tc>
      </w:tr>
      <w:tr w:rsidR="003B7C93" w:rsidRPr="00CE2452" w14:paraId="2B020683"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53A9D85D"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Acquired brain injury </w:t>
            </w:r>
          </w:p>
        </w:tc>
        <w:tc>
          <w:tcPr>
            <w:tcW w:w="1097" w:type="dxa"/>
            <w:tcBorders>
              <w:top w:val="nil"/>
              <w:left w:val="dotted" w:sz="4" w:space="0" w:color="auto"/>
              <w:bottom w:val="nil"/>
              <w:right w:val="nil"/>
            </w:tcBorders>
            <w:shd w:val="clear" w:color="auto" w:fill="auto"/>
            <w:noWrap/>
            <w:vAlign w:val="center"/>
            <w:hideMark/>
          </w:tcPr>
          <w:p w14:paraId="35DE593A"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3.30%</w:t>
            </w:r>
          </w:p>
        </w:tc>
        <w:tc>
          <w:tcPr>
            <w:tcW w:w="1134" w:type="dxa"/>
            <w:tcBorders>
              <w:top w:val="nil"/>
              <w:left w:val="nil"/>
              <w:bottom w:val="nil"/>
              <w:right w:val="nil"/>
            </w:tcBorders>
            <w:shd w:val="clear" w:color="auto" w:fill="auto"/>
            <w:noWrap/>
            <w:vAlign w:val="center"/>
            <w:hideMark/>
          </w:tcPr>
          <w:p w14:paraId="2E11E010"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3.57%</w:t>
            </w:r>
          </w:p>
        </w:tc>
        <w:tc>
          <w:tcPr>
            <w:tcW w:w="1134" w:type="dxa"/>
            <w:tcBorders>
              <w:top w:val="nil"/>
              <w:left w:val="nil"/>
              <w:bottom w:val="nil"/>
              <w:right w:val="nil"/>
            </w:tcBorders>
            <w:shd w:val="clear" w:color="auto" w:fill="auto"/>
            <w:noWrap/>
            <w:vAlign w:val="center"/>
            <w:hideMark/>
          </w:tcPr>
          <w:p w14:paraId="7ECD7F0E"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3.61%</w:t>
            </w:r>
          </w:p>
        </w:tc>
        <w:tc>
          <w:tcPr>
            <w:tcW w:w="1134" w:type="dxa"/>
            <w:tcBorders>
              <w:top w:val="nil"/>
              <w:left w:val="nil"/>
              <w:bottom w:val="nil"/>
              <w:right w:val="nil"/>
            </w:tcBorders>
            <w:shd w:val="clear" w:color="auto" w:fill="auto"/>
            <w:noWrap/>
            <w:vAlign w:val="center"/>
            <w:hideMark/>
          </w:tcPr>
          <w:p w14:paraId="2C903399"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3.36%</w:t>
            </w:r>
          </w:p>
        </w:tc>
        <w:tc>
          <w:tcPr>
            <w:tcW w:w="1134" w:type="dxa"/>
            <w:tcBorders>
              <w:top w:val="nil"/>
              <w:left w:val="nil"/>
              <w:bottom w:val="nil"/>
              <w:right w:val="nil"/>
            </w:tcBorders>
            <w:shd w:val="clear" w:color="auto" w:fill="auto"/>
            <w:noWrap/>
            <w:vAlign w:val="center"/>
            <w:hideMark/>
          </w:tcPr>
          <w:p w14:paraId="331843A2"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3.22%</w:t>
            </w:r>
          </w:p>
        </w:tc>
        <w:tc>
          <w:tcPr>
            <w:tcW w:w="1074" w:type="dxa"/>
            <w:tcBorders>
              <w:top w:val="nil"/>
              <w:left w:val="nil"/>
              <w:bottom w:val="nil"/>
              <w:right w:val="dotted" w:sz="4" w:space="0" w:color="auto"/>
            </w:tcBorders>
            <w:shd w:val="clear" w:color="auto" w:fill="auto"/>
            <w:noWrap/>
            <w:vAlign w:val="center"/>
            <w:hideMark/>
          </w:tcPr>
          <w:p w14:paraId="44E76987"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3.16%</w:t>
            </w:r>
          </w:p>
        </w:tc>
        <w:tc>
          <w:tcPr>
            <w:tcW w:w="848" w:type="dxa"/>
            <w:tcBorders>
              <w:top w:val="nil"/>
              <w:left w:val="dotted" w:sz="4" w:space="0" w:color="auto"/>
              <w:bottom w:val="nil"/>
              <w:right w:val="nil"/>
            </w:tcBorders>
            <w:shd w:val="clear" w:color="auto" w:fill="auto"/>
            <w:noWrap/>
            <w:vAlign w:val="center"/>
            <w:hideMark/>
          </w:tcPr>
          <w:p w14:paraId="7CC84B69"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3.37%</w:t>
            </w:r>
          </w:p>
        </w:tc>
      </w:tr>
      <w:tr w:rsidR="003B7C93" w:rsidRPr="00CE2452" w14:paraId="5AD3E9F8" w14:textId="77777777" w:rsidTr="00CE2452">
        <w:trPr>
          <w:trHeight w:val="285"/>
        </w:trPr>
        <w:tc>
          <w:tcPr>
            <w:tcW w:w="0" w:type="auto"/>
            <w:tcBorders>
              <w:top w:val="nil"/>
              <w:left w:val="nil"/>
              <w:bottom w:val="nil"/>
              <w:right w:val="dotted" w:sz="4" w:space="0" w:color="auto"/>
            </w:tcBorders>
            <w:shd w:val="clear" w:color="000000" w:fill="BFBFBF"/>
            <w:noWrap/>
            <w:vAlign w:val="center"/>
            <w:hideMark/>
          </w:tcPr>
          <w:p w14:paraId="07C0A3BD"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Autism </w:t>
            </w:r>
          </w:p>
        </w:tc>
        <w:tc>
          <w:tcPr>
            <w:tcW w:w="1097" w:type="dxa"/>
            <w:tcBorders>
              <w:top w:val="nil"/>
              <w:left w:val="dotted" w:sz="4" w:space="0" w:color="auto"/>
              <w:bottom w:val="nil"/>
              <w:right w:val="nil"/>
            </w:tcBorders>
            <w:shd w:val="clear" w:color="000000" w:fill="BFBFBF"/>
            <w:noWrap/>
            <w:vAlign w:val="center"/>
            <w:hideMark/>
          </w:tcPr>
          <w:p w14:paraId="04563C77"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32.34%</w:t>
            </w:r>
          </w:p>
        </w:tc>
        <w:tc>
          <w:tcPr>
            <w:tcW w:w="1134" w:type="dxa"/>
            <w:tcBorders>
              <w:top w:val="nil"/>
              <w:left w:val="nil"/>
              <w:bottom w:val="nil"/>
              <w:right w:val="nil"/>
            </w:tcBorders>
            <w:shd w:val="clear" w:color="000000" w:fill="BFBFBF"/>
            <w:noWrap/>
            <w:vAlign w:val="center"/>
            <w:hideMark/>
          </w:tcPr>
          <w:p w14:paraId="7B5A5A8C"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31.93%</w:t>
            </w:r>
          </w:p>
        </w:tc>
        <w:tc>
          <w:tcPr>
            <w:tcW w:w="1134" w:type="dxa"/>
            <w:tcBorders>
              <w:top w:val="nil"/>
              <w:left w:val="nil"/>
              <w:bottom w:val="nil"/>
              <w:right w:val="nil"/>
            </w:tcBorders>
            <w:shd w:val="clear" w:color="000000" w:fill="BFBFBF"/>
            <w:noWrap/>
            <w:vAlign w:val="center"/>
            <w:hideMark/>
          </w:tcPr>
          <w:p w14:paraId="5450AB56"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32.54%</w:t>
            </w:r>
          </w:p>
        </w:tc>
        <w:tc>
          <w:tcPr>
            <w:tcW w:w="1134" w:type="dxa"/>
            <w:tcBorders>
              <w:top w:val="nil"/>
              <w:left w:val="nil"/>
              <w:bottom w:val="nil"/>
              <w:right w:val="nil"/>
            </w:tcBorders>
            <w:shd w:val="clear" w:color="000000" w:fill="BFBFBF"/>
            <w:noWrap/>
            <w:vAlign w:val="center"/>
            <w:hideMark/>
          </w:tcPr>
          <w:p w14:paraId="35C9F376"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33.56%</w:t>
            </w:r>
          </w:p>
        </w:tc>
        <w:tc>
          <w:tcPr>
            <w:tcW w:w="1134" w:type="dxa"/>
            <w:tcBorders>
              <w:top w:val="nil"/>
              <w:left w:val="nil"/>
              <w:bottom w:val="nil"/>
              <w:right w:val="nil"/>
            </w:tcBorders>
            <w:shd w:val="clear" w:color="000000" w:fill="BFBFBF"/>
            <w:noWrap/>
            <w:vAlign w:val="center"/>
            <w:hideMark/>
          </w:tcPr>
          <w:p w14:paraId="1F8DBAF4"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33.53%</w:t>
            </w:r>
          </w:p>
        </w:tc>
        <w:tc>
          <w:tcPr>
            <w:tcW w:w="1074" w:type="dxa"/>
            <w:tcBorders>
              <w:top w:val="nil"/>
              <w:left w:val="nil"/>
              <w:bottom w:val="nil"/>
              <w:right w:val="dotted" w:sz="4" w:space="0" w:color="auto"/>
            </w:tcBorders>
            <w:shd w:val="clear" w:color="000000" w:fill="BFBFBF"/>
            <w:noWrap/>
            <w:vAlign w:val="center"/>
            <w:hideMark/>
          </w:tcPr>
          <w:p w14:paraId="1B49E840"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33.52%</w:t>
            </w:r>
          </w:p>
        </w:tc>
        <w:tc>
          <w:tcPr>
            <w:tcW w:w="848" w:type="dxa"/>
            <w:tcBorders>
              <w:top w:val="nil"/>
              <w:left w:val="dotted" w:sz="4" w:space="0" w:color="auto"/>
              <w:bottom w:val="nil"/>
              <w:right w:val="nil"/>
            </w:tcBorders>
            <w:shd w:val="clear" w:color="000000" w:fill="BFBFBF"/>
            <w:noWrap/>
            <w:vAlign w:val="center"/>
            <w:hideMark/>
          </w:tcPr>
          <w:p w14:paraId="7D5FAF45"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33.09%</w:t>
            </w:r>
          </w:p>
        </w:tc>
      </w:tr>
      <w:tr w:rsidR="003B7C93" w:rsidRPr="00CE2452" w14:paraId="05556444"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0EC3AB55"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Cerebral Palsy </w:t>
            </w:r>
          </w:p>
        </w:tc>
        <w:tc>
          <w:tcPr>
            <w:tcW w:w="1097" w:type="dxa"/>
            <w:tcBorders>
              <w:top w:val="nil"/>
              <w:left w:val="dotted" w:sz="4" w:space="0" w:color="auto"/>
              <w:bottom w:val="nil"/>
              <w:right w:val="nil"/>
            </w:tcBorders>
            <w:shd w:val="clear" w:color="auto" w:fill="auto"/>
            <w:noWrap/>
            <w:vAlign w:val="center"/>
            <w:hideMark/>
          </w:tcPr>
          <w:p w14:paraId="0390A65D"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5.60%</w:t>
            </w:r>
          </w:p>
        </w:tc>
        <w:tc>
          <w:tcPr>
            <w:tcW w:w="1134" w:type="dxa"/>
            <w:tcBorders>
              <w:top w:val="nil"/>
              <w:left w:val="nil"/>
              <w:bottom w:val="nil"/>
              <w:right w:val="nil"/>
            </w:tcBorders>
            <w:shd w:val="clear" w:color="auto" w:fill="auto"/>
            <w:noWrap/>
            <w:vAlign w:val="center"/>
            <w:hideMark/>
          </w:tcPr>
          <w:p w14:paraId="5F4AE007"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5.25%</w:t>
            </w:r>
          </w:p>
        </w:tc>
        <w:tc>
          <w:tcPr>
            <w:tcW w:w="1134" w:type="dxa"/>
            <w:tcBorders>
              <w:top w:val="nil"/>
              <w:left w:val="nil"/>
              <w:bottom w:val="nil"/>
              <w:right w:val="nil"/>
            </w:tcBorders>
            <w:shd w:val="clear" w:color="auto" w:fill="auto"/>
            <w:noWrap/>
            <w:vAlign w:val="center"/>
            <w:hideMark/>
          </w:tcPr>
          <w:p w14:paraId="568146C1"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4.77%</w:t>
            </w:r>
          </w:p>
        </w:tc>
        <w:tc>
          <w:tcPr>
            <w:tcW w:w="1134" w:type="dxa"/>
            <w:tcBorders>
              <w:top w:val="nil"/>
              <w:left w:val="nil"/>
              <w:bottom w:val="nil"/>
              <w:right w:val="nil"/>
            </w:tcBorders>
            <w:shd w:val="clear" w:color="auto" w:fill="auto"/>
            <w:noWrap/>
            <w:vAlign w:val="center"/>
            <w:hideMark/>
          </w:tcPr>
          <w:p w14:paraId="38844EA1"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4.05%</w:t>
            </w:r>
          </w:p>
        </w:tc>
        <w:tc>
          <w:tcPr>
            <w:tcW w:w="1134" w:type="dxa"/>
            <w:tcBorders>
              <w:top w:val="nil"/>
              <w:left w:val="nil"/>
              <w:bottom w:val="nil"/>
              <w:right w:val="nil"/>
            </w:tcBorders>
            <w:shd w:val="clear" w:color="auto" w:fill="auto"/>
            <w:noWrap/>
            <w:vAlign w:val="center"/>
            <w:hideMark/>
          </w:tcPr>
          <w:p w14:paraId="46C93B46"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3.57%</w:t>
            </w:r>
          </w:p>
        </w:tc>
        <w:tc>
          <w:tcPr>
            <w:tcW w:w="1074" w:type="dxa"/>
            <w:tcBorders>
              <w:top w:val="nil"/>
              <w:left w:val="nil"/>
              <w:bottom w:val="nil"/>
              <w:right w:val="dotted" w:sz="4" w:space="0" w:color="auto"/>
            </w:tcBorders>
            <w:shd w:val="clear" w:color="auto" w:fill="auto"/>
            <w:noWrap/>
            <w:vAlign w:val="center"/>
            <w:hideMark/>
          </w:tcPr>
          <w:p w14:paraId="30F3BC87"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3.35%</w:t>
            </w:r>
          </w:p>
        </w:tc>
        <w:tc>
          <w:tcPr>
            <w:tcW w:w="848" w:type="dxa"/>
            <w:tcBorders>
              <w:top w:val="nil"/>
              <w:left w:val="dotted" w:sz="4" w:space="0" w:color="auto"/>
              <w:bottom w:val="nil"/>
              <w:right w:val="nil"/>
            </w:tcBorders>
            <w:shd w:val="clear" w:color="auto" w:fill="auto"/>
            <w:noWrap/>
            <w:vAlign w:val="center"/>
            <w:hideMark/>
          </w:tcPr>
          <w:p w14:paraId="1194678E"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4.23%</w:t>
            </w:r>
          </w:p>
        </w:tc>
      </w:tr>
      <w:tr w:rsidR="003B7C93" w:rsidRPr="00CE2452" w14:paraId="5DF07B83" w14:textId="77777777" w:rsidTr="00CE2452">
        <w:trPr>
          <w:trHeight w:val="285"/>
        </w:trPr>
        <w:tc>
          <w:tcPr>
            <w:tcW w:w="0" w:type="auto"/>
            <w:tcBorders>
              <w:top w:val="nil"/>
              <w:left w:val="nil"/>
              <w:bottom w:val="nil"/>
              <w:right w:val="dotted" w:sz="4" w:space="0" w:color="auto"/>
            </w:tcBorders>
            <w:shd w:val="clear" w:color="000000" w:fill="BFBFBF"/>
            <w:noWrap/>
            <w:vAlign w:val="center"/>
            <w:hideMark/>
          </w:tcPr>
          <w:p w14:paraId="37F44897"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Developmental delay </w:t>
            </w:r>
          </w:p>
        </w:tc>
        <w:tc>
          <w:tcPr>
            <w:tcW w:w="1097" w:type="dxa"/>
            <w:tcBorders>
              <w:top w:val="nil"/>
              <w:left w:val="dotted" w:sz="4" w:space="0" w:color="auto"/>
              <w:bottom w:val="nil"/>
              <w:right w:val="nil"/>
            </w:tcBorders>
            <w:shd w:val="clear" w:color="000000" w:fill="BFBFBF"/>
            <w:noWrap/>
            <w:vAlign w:val="center"/>
            <w:hideMark/>
          </w:tcPr>
          <w:p w14:paraId="31919210"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2.77%</w:t>
            </w:r>
          </w:p>
        </w:tc>
        <w:tc>
          <w:tcPr>
            <w:tcW w:w="1134" w:type="dxa"/>
            <w:tcBorders>
              <w:top w:val="nil"/>
              <w:left w:val="nil"/>
              <w:bottom w:val="nil"/>
              <w:right w:val="nil"/>
            </w:tcBorders>
            <w:shd w:val="clear" w:color="000000" w:fill="BFBFBF"/>
            <w:noWrap/>
            <w:vAlign w:val="center"/>
            <w:hideMark/>
          </w:tcPr>
          <w:p w14:paraId="389D350C"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2.67%</w:t>
            </w:r>
          </w:p>
        </w:tc>
        <w:tc>
          <w:tcPr>
            <w:tcW w:w="1134" w:type="dxa"/>
            <w:tcBorders>
              <w:top w:val="nil"/>
              <w:left w:val="nil"/>
              <w:bottom w:val="nil"/>
              <w:right w:val="nil"/>
            </w:tcBorders>
            <w:shd w:val="clear" w:color="000000" w:fill="BFBFBF"/>
            <w:noWrap/>
            <w:vAlign w:val="center"/>
            <w:hideMark/>
          </w:tcPr>
          <w:p w14:paraId="0208E0E9"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3.58%</w:t>
            </w:r>
          </w:p>
        </w:tc>
        <w:tc>
          <w:tcPr>
            <w:tcW w:w="1134" w:type="dxa"/>
            <w:tcBorders>
              <w:top w:val="nil"/>
              <w:left w:val="nil"/>
              <w:bottom w:val="nil"/>
              <w:right w:val="nil"/>
            </w:tcBorders>
            <w:shd w:val="clear" w:color="000000" w:fill="BFBFBF"/>
            <w:noWrap/>
            <w:vAlign w:val="center"/>
            <w:hideMark/>
          </w:tcPr>
          <w:p w14:paraId="29A8EC10"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6.24%</w:t>
            </w:r>
          </w:p>
        </w:tc>
        <w:tc>
          <w:tcPr>
            <w:tcW w:w="1134" w:type="dxa"/>
            <w:tcBorders>
              <w:top w:val="nil"/>
              <w:left w:val="nil"/>
              <w:bottom w:val="nil"/>
              <w:right w:val="nil"/>
            </w:tcBorders>
            <w:shd w:val="clear" w:color="000000" w:fill="BFBFBF"/>
            <w:noWrap/>
            <w:vAlign w:val="center"/>
            <w:hideMark/>
          </w:tcPr>
          <w:p w14:paraId="5074FC1A"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8.95%</w:t>
            </w:r>
          </w:p>
        </w:tc>
        <w:tc>
          <w:tcPr>
            <w:tcW w:w="1074" w:type="dxa"/>
            <w:tcBorders>
              <w:top w:val="nil"/>
              <w:left w:val="nil"/>
              <w:bottom w:val="nil"/>
              <w:right w:val="dotted" w:sz="4" w:space="0" w:color="auto"/>
            </w:tcBorders>
            <w:shd w:val="clear" w:color="000000" w:fill="BFBFBF"/>
            <w:noWrap/>
            <w:vAlign w:val="center"/>
            <w:hideMark/>
          </w:tcPr>
          <w:p w14:paraId="32F85D91"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10.46%</w:t>
            </w:r>
          </w:p>
        </w:tc>
        <w:tc>
          <w:tcPr>
            <w:tcW w:w="848" w:type="dxa"/>
            <w:tcBorders>
              <w:top w:val="nil"/>
              <w:left w:val="dotted" w:sz="4" w:space="0" w:color="auto"/>
              <w:bottom w:val="nil"/>
              <w:right w:val="nil"/>
            </w:tcBorders>
            <w:shd w:val="clear" w:color="000000" w:fill="BFBFBF"/>
            <w:noWrap/>
            <w:vAlign w:val="center"/>
            <w:hideMark/>
          </w:tcPr>
          <w:p w14:paraId="7D2A61A2"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6.18%</w:t>
            </w:r>
          </w:p>
        </w:tc>
      </w:tr>
      <w:tr w:rsidR="003B7C93" w:rsidRPr="00CE2452" w14:paraId="53D954F8"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6DBF2D93"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Hearing Impairment </w:t>
            </w:r>
          </w:p>
        </w:tc>
        <w:tc>
          <w:tcPr>
            <w:tcW w:w="1097" w:type="dxa"/>
            <w:tcBorders>
              <w:top w:val="nil"/>
              <w:left w:val="dotted" w:sz="4" w:space="0" w:color="auto"/>
              <w:bottom w:val="nil"/>
              <w:right w:val="nil"/>
            </w:tcBorders>
            <w:shd w:val="clear" w:color="auto" w:fill="auto"/>
            <w:noWrap/>
            <w:vAlign w:val="center"/>
            <w:hideMark/>
          </w:tcPr>
          <w:p w14:paraId="5A444A33"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2.59%</w:t>
            </w:r>
          </w:p>
        </w:tc>
        <w:tc>
          <w:tcPr>
            <w:tcW w:w="1134" w:type="dxa"/>
            <w:tcBorders>
              <w:top w:val="nil"/>
              <w:left w:val="nil"/>
              <w:bottom w:val="nil"/>
              <w:right w:val="nil"/>
            </w:tcBorders>
            <w:shd w:val="clear" w:color="auto" w:fill="auto"/>
            <w:noWrap/>
            <w:vAlign w:val="center"/>
            <w:hideMark/>
          </w:tcPr>
          <w:p w14:paraId="08DF72A7"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3.01%</w:t>
            </w:r>
          </w:p>
        </w:tc>
        <w:tc>
          <w:tcPr>
            <w:tcW w:w="1134" w:type="dxa"/>
            <w:tcBorders>
              <w:top w:val="nil"/>
              <w:left w:val="nil"/>
              <w:bottom w:val="nil"/>
              <w:right w:val="nil"/>
            </w:tcBorders>
            <w:shd w:val="clear" w:color="auto" w:fill="auto"/>
            <w:noWrap/>
            <w:vAlign w:val="center"/>
            <w:hideMark/>
          </w:tcPr>
          <w:p w14:paraId="7F3E2843"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3.81%</w:t>
            </w:r>
          </w:p>
        </w:tc>
        <w:tc>
          <w:tcPr>
            <w:tcW w:w="1134" w:type="dxa"/>
            <w:tcBorders>
              <w:top w:val="nil"/>
              <w:left w:val="nil"/>
              <w:bottom w:val="nil"/>
              <w:right w:val="nil"/>
            </w:tcBorders>
            <w:shd w:val="clear" w:color="auto" w:fill="auto"/>
            <w:noWrap/>
            <w:vAlign w:val="center"/>
            <w:hideMark/>
          </w:tcPr>
          <w:p w14:paraId="0E9B8A01"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4.72%</w:t>
            </w:r>
          </w:p>
        </w:tc>
        <w:tc>
          <w:tcPr>
            <w:tcW w:w="1134" w:type="dxa"/>
            <w:tcBorders>
              <w:top w:val="nil"/>
              <w:left w:val="nil"/>
              <w:bottom w:val="nil"/>
              <w:right w:val="nil"/>
            </w:tcBorders>
            <w:shd w:val="clear" w:color="auto" w:fill="auto"/>
            <w:noWrap/>
            <w:vAlign w:val="center"/>
            <w:hideMark/>
          </w:tcPr>
          <w:p w14:paraId="0009FEFE"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4.75%</w:t>
            </w:r>
          </w:p>
        </w:tc>
        <w:tc>
          <w:tcPr>
            <w:tcW w:w="1074" w:type="dxa"/>
            <w:tcBorders>
              <w:top w:val="nil"/>
              <w:left w:val="nil"/>
              <w:bottom w:val="nil"/>
              <w:right w:val="dotted" w:sz="4" w:space="0" w:color="auto"/>
            </w:tcBorders>
            <w:shd w:val="clear" w:color="auto" w:fill="auto"/>
            <w:noWrap/>
            <w:vAlign w:val="center"/>
            <w:hideMark/>
          </w:tcPr>
          <w:p w14:paraId="1A87F359"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4.68%</w:t>
            </w:r>
          </w:p>
        </w:tc>
        <w:tc>
          <w:tcPr>
            <w:tcW w:w="848" w:type="dxa"/>
            <w:tcBorders>
              <w:top w:val="nil"/>
              <w:left w:val="dotted" w:sz="4" w:space="0" w:color="auto"/>
              <w:bottom w:val="nil"/>
              <w:right w:val="nil"/>
            </w:tcBorders>
            <w:shd w:val="clear" w:color="auto" w:fill="auto"/>
            <w:noWrap/>
            <w:vAlign w:val="center"/>
            <w:hideMark/>
          </w:tcPr>
          <w:p w14:paraId="6C8F6317"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4.22%</w:t>
            </w:r>
          </w:p>
        </w:tc>
      </w:tr>
      <w:tr w:rsidR="003B7C93" w:rsidRPr="00CE2452" w14:paraId="7AC5106E" w14:textId="77777777" w:rsidTr="00CE2452">
        <w:trPr>
          <w:trHeight w:val="285"/>
        </w:trPr>
        <w:tc>
          <w:tcPr>
            <w:tcW w:w="0" w:type="auto"/>
            <w:tcBorders>
              <w:top w:val="nil"/>
              <w:left w:val="nil"/>
              <w:bottom w:val="nil"/>
              <w:right w:val="dotted" w:sz="4" w:space="0" w:color="auto"/>
            </w:tcBorders>
            <w:shd w:val="clear" w:color="000000" w:fill="BFBFBF"/>
            <w:noWrap/>
            <w:vAlign w:val="center"/>
            <w:hideMark/>
          </w:tcPr>
          <w:p w14:paraId="539DA035"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Intellectual Disability </w:t>
            </w:r>
          </w:p>
        </w:tc>
        <w:tc>
          <w:tcPr>
            <w:tcW w:w="1097" w:type="dxa"/>
            <w:tcBorders>
              <w:top w:val="nil"/>
              <w:left w:val="dotted" w:sz="4" w:space="0" w:color="auto"/>
              <w:bottom w:val="nil"/>
              <w:right w:val="nil"/>
            </w:tcBorders>
            <w:shd w:val="clear" w:color="000000" w:fill="BFBFBF"/>
            <w:noWrap/>
            <w:vAlign w:val="center"/>
            <w:hideMark/>
          </w:tcPr>
          <w:p w14:paraId="61180398"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29.39%</w:t>
            </w:r>
          </w:p>
        </w:tc>
        <w:tc>
          <w:tcPr>
            <w:tcW w:w="1134" w:type="dxa"/>
            <w:tcBorders>
              <w:top w:val="nil"/>
              <w:left w:val="nil"/>
              <w:bottom w:val="nil"/>
              <w:right w:val="nil"/>
            </w:tcBorders>
            <w:shd w:val="clear" w:color="000000" w:fill="BFBFBF"/>
            <w:noWrap/>
            <w:vAlign w:val="center"/>
            <w:hideMark/>
          </w:tcPr>
          <w:p w14:paraId="714EBF19"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28.30%</w:t>
            </w:r>
          </w:p>
        </w:tc>
        <w:tc>
          <w:tcPr>
            <w:tcW w:w="1134" w:type="dxa"/>
            <w:tcBorders>
              <w:top w:val="nil"/>
              <w:left w:val="nil"/>
              <w:bottom w:val="nil"/>
              <w:right w:val="nil"/>
            </w:tcBorders>
            <w:shd w:val="clear" w:color="000000" w:fill="BFBFBF"/>
            <w:noWrap/>
            <w:vAlign w:val="center"/>
            <w:hideMark/>
          </w:tcPr>
          <w:p w14:paraId="75061CF6"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25.56%</w:t>
            </w:r>
          </w:p>
        </w:tc>
        <w:tc>
          <w:tcPr>
            <w:tcW w:w="1134" w:type="dxa"/>
            <w:tcBorders>
              <w:top w:val="nil"/>
              <w:left w:val="nil"/>
              <w:bottom w:val="nil"/>
              <w:right w:val="nil"/>
            </w:tcBorders>
            <w:shd w:val="clear" w:color="000000" w:fill="BFBFBF"/>
            <w:noWrap/>
            <w:vAlign w:val="center"/>
            <w:hideMark/>
          </w:tcPr>
          <w:p w14:paraId="06920561"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21.89%</w:t>
            </w:r>
          </w:p>
        </w:tc>
        <w:tc>
          <w:tcPr>
            <w:tcW w:w="1134" w:type="dxa"/>
            <w:tcBorders>
              <w:top w:val="nil"/>
              <w:left w:val="nil"/>
              <w:bottom w:val="nil"/>
              <w:right w:val="nil"/>
            </w:tcBorders>
            <w:shd w:val="clear" w:color="000000" w:fill="BFBFBF"/>
            <w:noWrap/>
            <w:vAlign w:val="center"/>
            <w:hideMark/>
          </w:tcPr>
          <w:p w14:paraId="2AE4FF08"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19.64%</w:t>
            </w:r>
          </w:p>
        </w:tc>
        <w:tc>
          <w:tcPr>
            <w:tcW w:w="1074" w:type="dxa"/>
            <w:tcBorders>
              <w:top w:val="nil"/>
              <w:left w:val="nil"/>
              <w:bottom w:val="nil"/>
              <w:right w:val="dotted" w:sz="4" w:space="0" w:color="auto"/>
            </w:tcBorders>
            <w:shd w:val="clear" w:color="000000" w:fill="BFBFBF"/>
            <w:noWrap/>
            <w:vAlign w:val="center"/>
            <w:hideMark/>
          </w:tcPr>
          <w:p w14:paraId="2E189080"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18.64%</w:t>
            </w:r>
          </w:p>
        </w:tc>
        <w:tc>
          <w:tcPr>
            <w:tcW w:w="848" w:type="dxa"/>
            <w:tcBorders>
              <w:top w:val="nil"/>
              <w:left w:val="dotted" w:sz="4" w:space="0" w:color="auto"/>
              <w:bottom w:val="nil"/>
              <w:right w:val="nil"/>
            </w:tcBorders>
            <w:shd w:val="clear" w:color="000000" w:fill="BFBFBF"/>
            <w:noWrap/>
            <w:vAlign w:val="center"/>
            <w:hideMark/>
          </w:tcPr>
          <w:p w14:paraId="7F6C59FC"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22.92%</w:t>
            </w:r>
          </w:p>
        </w:tc>
      </w:tr>
      <w:tr w:rsidR="003B7C93" w:rsidRPr="00CE2452" w14:paraId="41242EBC"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75143DC6"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Multiple Sclerosis </w:t>
            </w:r>
          </w:p>
        </w:tc>
        <w:tc>
          <w:tcPr>
            <w:tcW w:w="1097" w:type="dxa"/>
            <w:tcBorders>
              <w:top w:val="nil"/>
              <w:left w:val="dotted" w:sz="4" w:space="0" w:color="auto"/>
              <w:bottom w:val="nil"/>
              <w:right w:val="nil"/>
            </w:tcBorders>
            <w:shd w:val="clear" w:color="auto" w:fill="auto"/>
            <w:noWrap/>
            <w:vAlign w:val="center"/>
            <w:hideMark/>
          </w:tcPr>
          <w:p w14:paraId="2492D1D6"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2.06%</w:t>
            </w:r>
          </w:p>
        </w:tc>
        <w:tc>
          <w:tcPr>
            <w:tcW w:w="1134" w:type="dxa"/>
            <w:tcBorders>
              <w:top w:val="nil"/>
              <w:left w:val="nil"/>
              <w:bottom w:val="nil"/>
              <w:right w:val="nil"/>
            </w:tcBorders>
            <w:shd w:val="clear" w:color="auto" w:fill="auto"/>
            <w:noWrap/>
            <w:vAlign w:val="center"/>
            <w:hideMark/>
          </w:tcPr>
          <w:p w14:paraId="2F88D0CA"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2.16%</w:t>
            </w:r>
          </w:p>
        </w:tc>
        <w:tc>
          <w:tcPr>
            <w:tcW w:w="1134" w:type="dxa"/>
            <w:tcBorders>
              <w:top w:val="nil"/>
              <w:left w:val="nil"/>
              <w:bottom w:val="nil"/>
              <w:right w:val="nil"/>
            </w:tcBorders>
            <w:shd w:val="clear" w:color="auto" w:fill="auto"/>
            <w:noWrap/>
            <w:vAlign w:val="center"/>
            <w:hideMark/>
          </w:tcPr>
          <w:p w14:paraId="2EBEAB41"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2.12%</w:t>
            </w:r>
          </w:p>
        </w:tc>
        <w:tc>
          <w:tcPr>
            <w:tcW w:w="1134" w:type="dxa"/>
            <w:tcBorders>
              <w:top w:val="nil"/>
              <w:left w:val="nil"/>
              <w:bottom w:val="nil"/>
              <w:right w:val="nil"/>
            </w:tcBorders>
            <w:shd w:val="clear" w:color="auto" w:fill="auto"/>
            <w:noWrap/>
            <w:vAlign w:val="center"/>
            <w:hideMark/>
          </w:tcPr>
          <w:p w14:paraId="63BC963B"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1.93%</w:t>
            </w:r>
          </w:p>
        </w:tc>
        <w:tc>
          <w:tcPr>
            <w:tcW w:w="1134" w:type="dxa"/>
            <w:tcBorders>
              <w:top w:val="nil"/>
              <w:left w:val="nil"/>
              <w:bottom w:val="nil"/>
              <w:right w:val="nil"/>
            </w:tcBorders>
            <w:shd w:val="clear" w:color="auto" w:fill="auto"/>
            <w:noWrap/>
            <w:vAlign w:val="center"/>
            <w:hideMark/>
          </w:tcPr>
          <w:p w14:paraId="54DC496C"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1.83%</w:t>
            </w:r>
          </w:p>
        </w:tc>
        <w:tc>
          <w:tcPr>
            <w:tcW w:w="1074" w:type="dxa"/>
            <w:tcBorders>
              <w:top w:val="nil"/>
              <w:left w:val="nil"/>
              <w:bottom w:val="nil"/>
              <w:right w:val="dotted" w:sz="4" w:space="0" w:color="auto"/>
            </w:tcBorders>
            <w:shd w:val="clear" w:color="auto" w:fill="auto"/>
            <w:noWrap/>
            <w:vAlign w:val="center"/>
            <w:hideMark/>
          </w:tcPr>
          <w:p w14:paraId="21F994F8"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1.81%</w:t>
            </w:r>
          </w:p>
        </w:tc>
        <w:tc>
          <w:tcPr>
            <w:tcW w:w="848" w:type="dxa"/>
            <w:tcBorders>
              <w:top w:val="nil"/>
              <w:left w:val="dotted" w:sz="4" w:space="0" w:color="auto"/>
              <w:bottom w:val="nil"/>
              <w:right w:val="nil"/>
            </w:tcBorders>
            <w:shd w:val="clear" w:color="auto" w:fill="auto"/>
            <w:noWrap/>
            <w:vAlign w:val="center"/>
            <w:hideMark/>
          </w:tcPr>
          <w:p w14:paraId="7ED4B4AC"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1.96%</w:t>
            </w:r>
          </w:p>
        </w:tc>
      </w:tr>
      <w:tr w:rsidR="003B7C93" w:rsidRPr="00CE2452" w14:paraId="38F7B306" w14:textId="77777777" w:rsidTr="00CE2452">
        <w:trPr>
          <w:trHeight w:val="285"/>
        </w:trPr>
        <w:tc>
          <w:tcPr>
            <w:tcW w:w="0" w:type="auto"/>
            <w:tcBorders>
              <w:top w:val="nil"/>
              <w:left w:val="nil"/>
              <w:bottom w:val="nil"/>
              <w:right w:val="dotted" w:sz="4" w:space="0" w:color="auto"/>
            </w:tcBorders>
            <w:shd w:val="clear" w:color="000000" w:fill="BFBFBF"/>
            <w:noWrap/>
            <w:vAlign w:val="center"/>
            <w:hideMark/>
          </w:tcPr>
          <w:p w14:paraId="2421ACB4"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Psychosocial disability </w:t>
            </w:r>
          </w:p>
        </w:tc>
        <w:tc>
          <w:tcPr>
            <w:tcW w:w="1097" w:type="dxa"/>
            <w:tcBorders>
              <w:top w:val="nil"/>
              <w:left w:val="dotted" w:sz="4" w:space="0" w:color="auto"/>
              <w:bottom w:val="nil"/>
              <w:right w:val="nil"/>
            </w:tcBorders>
            <w:shd w:val="clear" w:color="000000" w:fill="BFBFBF"/>
            <w:noWrap/>
            <w:vAlign w:val="center"/>
            <w:hideMark/>
          </w:tcPr>
          <w:p w14:paraId="3AEB3707"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7.28%</w:t>
            </w:r>
          </w:p>
        </w:tc>
        <w:tc>
          <w:tcPr>
            <w:tcW w:w="1134" w:type="dxa"/>
            <w:tcBorders>
              <w:top w:val="nil"/>
              <w:left w:val="nil"/>
              <w:bottom w:val="nil"/>
              <w:right w:val="nil"/>
            </w:tcBorders>
            <w:shd w:val="clear" w:color="000000" w:fill="BFBFBF"/>
            <w:noWrap/>
            <w:vAlign w:val="center"/>
            <w:hideMark/>
          </w:tcPr>
          <w:p w14:paraId="6CAAE5E0"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8.17%</w:t>
            </w:r>
          </w:p>
        </w:tc>
        <w:tc>
          <w:tcPr>
            <w:tcW w:w="1134" w:type="dxa"/>
            <w:tcBorders>
              <w:top w:val="nil"/>
              <w:left w:val="nil"/>
              <w:bottom w:val="nil"/>
              <w:right w:val="nil"/>
            </w:tcBorders>
            <w:shd w:val="clear" w:color="000000" w:fill="BFBFBF"/>
            <w:noWrap/>
            <w:vAlign w:val="center"/>
            <w:hideMark/>
          </w:tcPr>
          <w:p w14:paraId="7341B683"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8.96%</w:t>
            </w:r>
          </w:p>
        </w:tc>
        <w:tc>
          <w:tcPr>
            <w:tcW w:w="1134" w:type="dxa"/>
            <w:tcBorders>
              <w:top w:val="nil"/>
              <w:left w:val="nil"/>
              <w:bottom w:val="nil"/>
              <w:right w:val="nil"/>
            </w:tcBorders>
            <w:shd w:val="clear" w:color="000000" w:fill="BFBFBF"/>
            <w:noWrap/>
            <w:vAlign w:val="center"/>
            <w:hideMark/>
          </w:tcPr>
          <w:p w14:paraId="3B03AE69"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9.71%</w:t>
            </w:r>
          </w:p>
        </w:tc>
        <w:tc>
          <w:tcPr>
            <w:tcW w:w="1134" w:type="dxa"/>
            <w:tcBorders>
              <w:top w:val="nil"/>
              <w:left w:val="nil"/>
              <w:bottom w:val="nil"/>
              <w:right w:val="nil"/>
            </w:tcBorders>
            <w:shd w:val="clear" w:color="000000" w:fill="BFBFBF"/>
            <w:noWrap/>
            <w:vAlign w:val="center"/>
            <w:hideMark/>
          </w:tcPr>
          <w:p w14:paraId="1746BE80"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10.38%</w:t>
            </w:r>
          </w:p>
        </w:tc>
        <w:tc>
          <w:tcPr>
            <w:tcW w:w="1074" w:type="dxa"/>
            <w:tcBorders>
              <w:top w:val="nil"/>
              <w:left w:val="nil"/>
              <w:bottom w:val="nil"/>
              <w:right w:val="dotted" w:sz="4" w:space="0" w:color="auto"/>
            </w:tcBorders>
            <w:shd w:val="clear" w:color="000000" w:fill="BFBFBF"/>
            <w:noWrap/>
            <w:vAlign w:val="center"/>
            <w:hideMark/>
          </w:tcPr>
          <w:p w14:paraId="1006EB80"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10.57%</w:t>
            </w:r>
          </w:p>
        </w:tc>
        <w:tc>
          <w:tcPr>
            <w:tcW w:w="848" w:type="dxa"/>
            <w:tcBorders>
              <w:top w:val="nil"/>
              <w:left w:val="dotted" w:sz="4" w:space="0" w:color="auto"/>
              <w:bottom w:val="nil"/>
              <w:right w:val="nil"/>
            </w:tcBorders>
            <w:shd w:val="clear" w:color="000000" w:fill="BFBFBF"/>
            <w:noWrap/>
            <w:vAlign w:val="center"/>
            <w:hideMark/>
          </w:tcPr>
          <w:p w14:paraId="74854D69"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9.50%</w:t>
            </w:r>
          </w:p>
        </w:tc>
      </w:tr>
      <w:tr w:rsidR="003B7C93" w:rsidRPr="00CE2452" w14:paraId="59B3F665"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119BCD04"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Spinal Cord Injury </w:t>
            </w:r>
          </w:p>
        </w:tc>
        <w:tc>
          <w:tcPr>
            <w:tcW w:w="1097" w:type="dxa"/>
            <w:tcBorders>
              <w:top w:val="nil"/>
              <w:left w:val="dotted" w:sz="4" w:space="0" w:color="auto"/>
              <w:bottom w:val="nil"/>
              <w:right w:val="nil"/>
            </w:tcBorders>
            <w:shd w:val="clear" w:color="auto" w:fill="auto"/>
            <w:noWrap/>
            <w:vAlign w:val="center"/>
            <w:hideMark/>
          </w:tcPr>
          <w:p w14:paraId="2114D225"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1.23%</w:t>
            </w:r>
          </w:p>
        </w:tc>
        <w:tc>
          <w:tcPr>
            <w:tcW w:w="1134" w:type="dxa"/>
            <w:tcBorders>
              <w:top w:val="nil"/>
              <w:left w:val="nil"/>
              <w:bottom w:val="nil"/>
              <w:right w:val="nil"/>
            </w:tcBorders>
            <w:shd w:val="clear" w:color="auto" w:fill="auto"/>
            <w:noWrap/>
            <w:vAlign w:val="center"/>
            <w:hideMark/>
          </w:tcPr>
          <w:p w14:paraId="36CE980E"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1.34%</w:t>
            </w:r>
          </w:p>
        </w:tc>
        <w:tc>
          <w:tcPr>
            <w:tcW w:w="1134" w:type="dxa"/>
            <w:tcBorders>
              <w:top w:val="nil"/>
              <w:left w:val="nil"/>
              <w:bottom w:val="nil"/>
              <w:right w:val="nil"/>
            </w:tcBorders>
            <w:shd w:val="clear" w:color="auto" w:fill="auto"/>
            <w:noWrap/>
            <w:vAlign w:val="center"/>
            <w:hideMark/>
          </w:tcPr>
          <w:p w14:paraId="2EAC16EC"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1.34%</w:t>
            </w:r>
          </w:p>
        </w:tc>
        <w:tc>
          <w:tcPr>
            <w:tcW w:w="1134" w:type="dxa"/>
            <w:tcBorders>
              <w:top w:val="nil"/>
              <w:left w:val="nil"/>
              <w:bottom w:val="nil"/>
              <w:right w:val="nil"/>
            </w:tcBorders>
            <w:shd w:val="clear" w:color="auto" w:fill="auto"/>
            <w:noWrap/>
            <w:vAlign w:val="center"/>
            <w:hideMark/>
          </w:tcPr>
          <w:p w14:paraId="1AF81A4D"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1.20%</w:t>
            </w:r>
          </w:p>
        </w:tc>
        <w:tc>
          <w:tcPr>
            <w:tcW w:w="1134" w:type="dxa"/>
            <w:tcBorders>
              <w:top w:val="nil"/>
              <w:left w:val="nil"/>
              <w:bottom w:val="nil"/>
              <w:right w:val="nil"/>
            </w:tcBorders>
            <w:shd w:val="clear" w:color="auto" w:fill="auto"/>
            <w:noWrap/>
            <w:vAlign w:val="center"/>
            <w:hideMark/>
          </w:tcPr>
          <w:p w14:paraId="3B15C926"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1.10%</w:t>
            </w:r>
          </w:p>
        </w:tc>
        <w:tc>
          <w:tcPr>
            <w:tcW w:w="1074" w:type="dxa"/>
            <w:tcBorders>
              <w:top w:val="nil"/>
              <w:left w:val="nil"/>
              <w:bottom w:val="nil"/>
              <w:right w:val="dotted" w:sz="4" w:space="0" w:color="auto"/>
            </w:tcBorders>
            <w:shd w:val="clear" w:color="auto" w:fill="auto"/>
            <w:noWrap/>
            <w:vAlign w:val="center"/>
            <w:hideMark/>
          </w:tcPr>
          <w:p w14:paraId="4DD29417"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1.06%</w:t>
            </w:r>
          </w:p>
        </w:tc>
        <w:tc>
          <w:tcPr>
            <w:tcW w:w="848" w:type="dxa"/>
            <w:tcBorders>
              <w:top w:val="nil"/>
              <w:left w:val="dotted" w:sz="4" w:space="0" w:color="auto"/>
              <w:bottom w:val="nil"/>
              <w:right w:val="nil"/>
            </w:tcBorders>
            <w:shd w:val="clear" w:color="auto" w:fill="auto"/>
            <w:noWrap/>
            <w:vAlign w:val="center"/>
            <w:hideMark/>
          </w:tcPr>
          <w:p w14:paraId="228815AB"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1.21%</w:t>
            </w:r>
          </w:p>
        </w:tc>
      </w:tr>
      <w:tr w:rsidR="003B7C93" w:rsidRPr="00CE2452" w14:paraId="256C30AF" w14:textId="77777777" w:rsidTr="00CE2452">
        <w:trPr>
          <w:trHeight w:val="285"/>
        </w:trPr>
        <w:tc>
          <w:tcPr>
            <w:tcW w:w="0" w:type="auto"/>
            <w:tcBorders>
              <w:top w:val="nil"/>
              <w:left w:val="nil"/>
              <w:bottom w:val="nil"/>
              <w:right w:val="dotted" w:sz="4" w:space="0" w:color="auto"/>
            </w:tcBorders>
            <w:shd w:val="clear" w:color="000000" w:fill="BFBFBF"/>
            <w:noWrap/>
            <w:vAlign w:val="center"/>
            <w:hideMark/>
          </w:tcPr>
          <w:p w14:paraId="68006026"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Stroke </w:t>
            </w:r>
          </w:p>
        </w:tc>
        <w:tc>
          <w:tcPr>
            <w:tcW w:w="1097" w:type="dxa"/>
            <w:tcBorders>
              <w:top w:val="nil"/>
              <w:left w:val="dotted" w:sz="4" w:space="0" w:color="auto"/>
              <w:bottom w:val="nil"/>
              <w:right w:val="nil"/>
            </w:tcBorders>
            <w:shd w:val="clear" w:color="000000" w:fill="BFBFBF"/>
            <w:noWrap/>
            <w:vAlign w:val="center"/>
            <w:hideMark/>
          </w:tcPr>
          <w:p w14:paraId="71757B60"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1.23%</w:t>
            </w:r>
          </w:p>
        </w:tc>
        <w:tc>
          <w:tcPr>
            <w:tcW w:w="1134" w:type="dxa"/>
            <w:tcBorders>
              <w:top w:val="nil"/>
              <w:left w:val="nil"/>
              <w:bottom w:val="nil"/>
              <w:right w:val="nil"/>
            </w:tcBorders>
            <w:shd w:val="clear" w:color="000000" w:fill="BFBFBF"/>
            <w:noWrap/>
            <w:vAlign w:val="center"/>
            <w:hideMark/>
          </w:tcPr>
          <w:p w14:paraId="430B0F74"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1.38%</w:t>
            </w:r>
          </w:p>
        </w:tc>
        <w:tc>
          <w:tcPr>
            <w:tcW w:w="1134" w:type="dxa"/>
            <w:tcBorders>
              <w:top w:val="nil"/>
              <w:left w:val="nil"/>
              <w:bottom w:val="nil"/>
              <w:right w:val="nil"/>
            </w:tcBorders>
            <w:shd w:val="clear" w:color="000000" w:fill="BFBFBF"/>
            <w:noWrap/>
            <w:vAlign w:val="center"/>
            <w:hideMark/>
          </w:tcPr>
          <w:p w14:paraId="1A5CBF77"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1.43%</w:t>
            </w:r>
          </w:p>
        </w:tc>
        <w:tc>
          <w:tcPr>
            <w:tcW w:w="1134" w:type="dxa"/>
            <w:tcBorders>
              <w:top w:val="nil"/>
              <w:left w:val="nil"/>
              <w:bottom w:val="nil"/>
              <w:right w:val="nil"/>
            </w:tcBorders>
            <w:shd w:val="clear" w:color="000000" w:fill="BFBFBF"/>
            <w:noWrap/>
            <w:vAlign w:val="center"/>
            <w:hideMark/>
          </w:tcPr>
          <w:p w14:paraId="732A0867"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1.46%</w:t>
            </w:r>
          </w:p>
        </w:tc>
        <w:tc>
          <w:tcPr>
            <w:tcW w:w="1134" w:type="dxa"/>
            <w:tcBorders>
              <w:top w:val="nil"/>
              <w:left w:val="nil"/>
              <w:bottom w:val="nil"/>
              <w:right w:val="nil"/>
            </w:tcBorders>
            <w:shd w:val="clear" w:color="000000" w:fill="BFBFBF"/>
            <w:noWrap/>
            <w:vAlign w:val="center"/>
            <w:hideMark/>
          </w:tcPr>
          <w:p w14:paraId="2E913EE5"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1.50%</w:t>
            </w:r>
          </w:p>
        </w:tc>
        <w:tc>
          <w:tcPr>
            <w:tcW w:w="1074" w:type="dxa"/>
            <w:tcBorders>
              <w:top w:val="nil"/>
              <w:left w:val="nil"/>
              <w:bottom w:val="nil"/>
              <w:right w:val="dotted" w:sz="4" w:space="0" w:color="auto"/>
            </w:tcBorders>
            <w:shd w:val="clear" w:color="000000" w:fill="BFBFBF"/>
            <w:noWrap/>
            <w:vAlign w:val="center"/>
            <w:hideMark/>
          </w:tcPr>
          <w:p w14:paraId="1526AB30"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1.51%</w:t>
            </w:r>
          </w:p>
        </w:tc>
        <w:tc>
          <w:tcPr>
            <w:tcW w:w="848" w:type="dxa"/>
            <w:tcBorders>
              <w:top w:val="nil"/>
              <w:left w:val="dotted" w:sz="4" w:space="0" w:color="auto"/>
              <w:bottom w:val="nil"/>
              <w:right w:val="nil"/>
            </w:tcBorders>
            <w:shd w:val="clear" w:color="000000" w:fill="BFBFBF"/>
            <w:noWrap/>
            <w:vAlign w:val="center"/>
            <w:hideMark/>
          </w:tcPr>
          <w:p w14:paraId="07821BAB"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1.44%</w:t>
            </w:r>
          </w:p>
        </w:tc>
      </w:tr>
      <w:tr w:rsidR="003B7C93" w:rsidRPr="00CE2452" w14:paraId="6C7C8485"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429480F1"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Visual Impairment </w:t>
            </w:r>
          </w:p>
        </w:tc>
        <w:tc>
          <w:tcPr>
            <w:tcW w:w="1097" w:type="dxa"/>
            <w:tcBorders>
              <w:top w:val="nil"/>
              <w:left w:val="dotted" w:sz="4" w:space="0" w:color="auto"/>
              <w:bottom w:val="nil"/>
              <w:right w:val="nil"/>
            </w:tcBorders>
            <w:shd w:val="clear" w:color="auto" w:fill="auto"/>
            <w:noWrap/>
            <w:vAlign w:val="center"/>
            <w:hideMark/>
          </w:tcPr>
          <w:p w14:paraId="56236F72"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2.06%</w:t>
            </w:r>
          </w:p>
        </w:tc>
        <w:tc>
          <w:tcPr>
            <w:tcW w:w="1134" w:type="dxa"/>
            <w:tcBorders>
              <w:top w:val="nil"/>
              <w:left w:val="nil"/>
              <w:bottom w:val="nil"/>
              <w:right w:val="nil"/>
            </w:tcBorders>
            <w:shd w:val="clear" w:color="auto" w:fill="auto"/>
            <w:noWrap/>
            <w:vAlign w:val="center"/>
            <w:hideMark/>
          </w:tcPr>
          <w:p w14:paraId="287756B6"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2.30%</w:t>
            </w:r>
          </w:p>
        </w:tc>
        <w:tc>
          <w:tcPr>
            <w:tcW w:w="1134" w:type="dxa"/>
            <w:tcBorders>
              <w:top w:val="nil"/>
              <w:left w:val="nil"/>
              <w:bottom w:val="nil"/>
              <w:right w:val="nil"/>
            </w:tcBorders>
            <w:shd w:val="clear" w:color="auto" w:fill="auto"/>
            <w:noWrap/>
            <w:vAlign w:val="center"/>
            <w:hideMark/>
          </w:tcPr>
          <w:p w14:paraId="054645FC"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2.31%</w:t>
            </w:r>
          </w:p>
        </w:tc>
        <w:tc>
          <w:tcPr>
            <w:tcW w:w="1134" w:type="dxa"/>
            <w:tcBorders>
              <w:top w:val="nil"/>
              <w:left w:val="nil"/>
              <w:bottom w:val="nil"/>
              <w:right w:val="nil"/>
            </w:tcBorders>
            <w:shd w:val="clear" w:color="auto" w:fill="auto"/>
            <w:noWrap/>
            <w:vAlign w:val="center"/>
            <w:hideMark/>
          </w:tcPr>
          <w:p w14:paraId="73F77B0F"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2.09%</w:t>
            </w:r>
          </w:p>
        </w:tc>
        <w:tc>
          <w:tcPr>
            <w:tcW w:w="1134" w:type="dxa"/>
            <w:tcBorders>
              <w:top w:val="nil"/>
              <w:left w:val="nil"/>
              <w:bottom w:val="nil"/>
              <w:right w:val="nil"/>
            </w:tcBorders>
            <w:shd w:val="clear" w:color="auto" w:fill="auto"/>
            <w:noWrap/>
            <w:vAlign w:val="center"/>
            <w:hideMark/>
          </w:tcPr>
          <w:p w14:paraId="7838D639"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1.93%</w:t>
            </w:r>
          </w:p>
        </w:tc>
        <w:tc>
          <w:tcPr>
            <w:tcW w:w="1074" w:type="dxa"/>
            <w:tcBorders>
              <w:top w:val="nil"/>
              <w:left w:val="nil"/>
              <w:bottom w:val="nil"/>
              <w:right w:val="dotted" w:sz="4" w:space="0" w:color="auto"/>
            </w:tcBorders>
            <w:shd w:val="clear" w:color="auto" w:fill="auto"/>
            <w:noWrap/>
            <w:vAlign w:val="center"/>
            <w:hideMark/>
          </w:tcPr>
          <w:p w14:paraId="377F3893"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1.85%</w:t>
            </w:r>
          </w:p>
        </w:tc>
        <w:tc>
          <w:tcPr>
            <w:tcW w:w="848" w:type="dxa"/>
            <w:tcBorders>
              <w:top w:val="nil"/>
              <w:left w:val="dotted" w:sz="4" w:space="0" w:color="auto"/>
              <w:bottom w:val="nil"/>
              <w:right w:val="nil"/>
            </w:tcBorders>
            <w:shd w:val="clear" w:color="auto" w:fill="auto"/>
            <w:noWrap/>
            <w:vAlign w:val="center"/>
            <w:hideMark/>
          </w:tcPr>
          <w:p w14:paraId="26AA4096"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2.09%</w:t>
            </w:r>
          </w:p>
        </w:tc>
      </w:tr>
      <w:tr w:rsidR="003B7C93" w:rsidRPr="00CE2452" w14:paraId="20AC6C4D" w14:textId="77777777" w:rsidTr="00CE2452">
        <w:trPr>
          <w:trHeight w:val="285"/>
        </w:trPr>
        <w:tc>
          <w:tcPr>
            <w:tcW w:w="0" w:type="auto"/>
            <w:tcBorders>
              <w:top w:val="nil"/>
              <w:left w:val="nil"/>
              <w:bottom w:val="nil"/>
              <w:right w:val="dotted" w:sz="4" w:space="0" w:color="auto"/>
            </w:tcBorders>
            <w:shd w:val="clear" w:color="000000" w:fill="BFBFBF"/>
            <w:noWrap/>
            <w:vAlign w:val="center"/>
            <w:hideMark/>
          </w:tcPr>
          <w:p w14:paraId="7FF4CDD6"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Other Neurological </w:t>
            </w:r>
          </w:p>
        </w:tc>
        <w:tc>
          <w:tcPr>
            <w:tcW w:w="1097" w:type="dxa"/>
            <w:tcBorders>
              <w:top w:val="nil"/>
              <w:left w:val="dotted" w:sz="4" w:space="0" w:color="auto"/>
              <w:bottom w:val="nil"/>
              <w:right w:val="nil"/>
            </w:tcBorders>
            <w:shd w:val="clear" w:color="000000" w:fill="BFBFBF"/>
            <w:noWrap/>
            <w:vAlign w:val="center"/>
            <w:hideMark/>
          </w:tcPr>
          <w:p w14:paraId="6D897DC1"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4.34%</w:t>
            </w:r>
          </w:p>
        </w:tc>
        <w:tc>
          <w:tcPr>
            <w:tcW w:w="1134" w:type="dxa"/>
            <w:tcBorders>
              <w:top w:val="nil"/>
              <w:left w:val="nil"/>
              <w:bottom w:val="nil"/>
              <w:right w:val="nil"/>
            </w:tcBorders>
            <w:shd w:val="clear" w:color="000000" w:fill="BFBFBF"/>
            <w:noWrap/>
            <w:vAlign w:val="center"/>
            <w:hideMark/>
          </w:tcPr>
          <w:p w14:paraId="4EAA4E6C"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4.62%</w:t>
            </w:r>
          </w:p>
        </w:tc>
        <w:tc>
          <w:tcPr>
            <w:tcW w:w="1134" w:type="dxa"/>
            <w:tcBorders>
              <w:top w:val="nil"/>
              <w:left w:val="nil"/>
              <w:bottom w:val="nil"/>
              <w:right w:val="nil"/>
            </w:tcBorders>
            <w:shd w:val="clear" w:color="000000" w:fill="BFBFBF"/>
            <w:noWrap/>
            <w:vAlign w:val="center"/>
            <w:hideMark/>
          </w:tcPr>
          <w:p w14:paraId="768F6211"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4.64%</w:t>
            </w:r>
          </w:p>
        </w:tc>
        <w:tc>
          <w:tcPr>
            <w:tcW w:w="1134" w:type="dxa"/>
            <w:tcBorders>
              <w:top w:val="nil"/>
              <w:left w:val="nil"/>
              <w:bottom w:val="nil"/>
              <w:right w:val="nil"/>
            </w:tcBorders>
            <w:shd w:val="clear" w:color="000000" w:fill="BFBFBF"/>
            <w:noWrap/>
            <w:vAlign w:val="center"/>
            <w:hideMark/>
          </w:tcPr>
          <w:p w14:paraId="75B22866"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4.38%</w:t>
            </w:r>
          </w:p>
        </w:tc>
        <w:tc>
          <w:tcPr>
            <w:tcW w:w="1134" w:type="dxa"/>
            <w:tcBorders>
              <w:top w:val="nil"/>
              <w:left w:val="nil"/>
              <w:bottom w:val="nil"/>
              <w:right w:val="nil"/>
            </w:tcBorders>
            <w:shd w:val="clear" w:color="000000" w:fill="BFBFBF"/>
            <w:noWrap/>
            <w:vAlign w:val="center"/>
            <w:hideMark/>
          </w:tcPr>
          <w:p w14:paraId="4EC4C591"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4.16%</w:t>
            </w:r>
          </w:p>
        </w:tc>
        <w:tc>
          <w:tcPr>
            <w:tcW w:w="1074" w:type="dxa"/>
            <w:tcBorders>
              <w:top w:val="nil"/>
              <w:left w:val="nil"/>
              <w:bottom w:val="nil"/>
              <w:right w:val="dotted" w:sz="4" w:space="0" w:color="auto"/>
            </w:tcBorders>
            <w:shd w:val="clear" w:color="000000" w:fill="BFBFBF"/>
            <w:noWrap/>
            <w:vAlign w:val="center"/>
            <w:hideMark/>
          </w:tcPr>
          <w:p w14:paraId="6DDC36E5"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4.04%</w:t>
            </w:r>
          </w:p>
        </w:tc>
        <w:tc>
          <w:tcPr>
            <w:tcW w:w="848" w:type="dxa"/>
            <w:tcBorders>
              <w:top w:val="nil"/>
              <w:left w:val="dotted" w:sz="4" w:space="0" w:color="auto"/>
              <w:bottom w:val="nil"/>
              <w:right w:val="nil"/>
            </w:tcBorders>
            <w:shd w:val="clear" w:color="000000" w:fill="BFBFBF"/>
            <w:noWrap/>
            <w:vAlign w:val="center"/>
            <w:hideMark/>
          </w:tcPr>
          <w:p w14:paraId="3432EC9F"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4.37%</w:t>
            </w:r>
          </w:p>
        </w:tc>
      </w:tr>
      <w:tr w:rsidR="003B7C93" w:rsidRPr="00CE2452" w14:paraId="130815FD"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11C385F7"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Other Physical </w:t>
            </w:r>
          </w:p>
        </w:tc>
        <w:tc>
          <w:tcPr>
            <w:tcW w:w="1097" w:type="dxa"/>
            <w:tcBorders>
              <w:top w:val="nil"/>
              <w:left w:val="dotted" w:sz="4" w:space="0" w:color="auto"/>
              <w:bottom w:val="nil"/>
              <w:right w:val="nil"/>
            </w:tcBorders>
            <w:shd w:val="clear" w:color="auto" w:fill="auto"/>
            <w:noWrap/>
            <w:vAlign w:val="center"/>
            <w:hideMark/>
          </w:tcPr>
          <w:p w14:paraId="14F70CDB"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3.49%</w:t>
            </w:r>
          </w:p>
        </w:tc>
        <w:tc>
          <w:tcPr>
            <w:tcW w:w="1134" w:type="dxa"/>
            <w:tcBorders>
              <w:top w:val="nil"/>
              <w:left w:val="nil"/>
              <w:bottom w:val="nil"/>
              <w:right w:val="nil"/>
            </w:tcBorders>
            <w:shd w:val="clear" w:color="auto" w:fill="auto"/>
            <w:noWrap/>
            <w:vAlign w:val="center"/>
            <w:hideMark/>
          </w:tcPr>
          <w:p w14:paraId="64B4E2E8"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3.64%</w:t>
            </w:r>
          </w:p>
        </w:tc>
        <w:tc>
          <w:tcPr>
            <w:tcW w:w="1134" w:type="dxa"/>
            <w:tcBorders>
              <w:top w:val="nil"/>
              <w:left w:val="nil"/>
              <w:bottom w:val="nil"/>
              <w:right w:val="nil"/>
            </w:tcBorders>
            <w:shd w:val="clear" w:color="auto" w:fill="auto"/>
            <w:noWrap/>
            <w:vAlign w:val="center"/>
            <w:hideMark/>
          </w:tcPr>
          <w:p w14:paraId="0A71C4B6"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3.99%</w:t>
            </w:r>
          </w:p>
        </w:tc>
        <w:tc>
          <w:tcPr>
            <w:tcW w:w="1134" w:type="dxa"/>
            <w:tcBorders>
              <w:top w:val="nil"/>
              <w:left w:val="nil"/>
              <w:bottom w:val="nil"/>
              <w:right w:val="nil"/>
            </w:tcBorders>
            <w:shd w:val="clear" w:color="auto" w:fill="auto"/>
            <w:noWrap/>
            <w:vAlign w:val="center"/>
            <w:hideMark/>
          </w:tcPr>
          <w:p w14:paraId="49943935"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4.13%</w:t>
            </w:r>
          </w:p>
        </w:tc>
        <w:tc>
          <w:tcPr>
            <w:tcW w:w="1134" w:type="dxa"/>
            <w:tcBorders>
              <w:top w:val="nil"/>
              <w:left w:val="nil"/>
              <w:bottom w:val="nil"/>
              <w:right w:val="nil"/>
            </w:tcBorders>
            <w:shd w:val="clear" w:color="auto" w:fill="auto"/>
            <w:noWrap/>
            <w:vAlign w:val="center"/>
            <w:hideMark/>
          </w:tcPr>
          <w:p w14:paraId="56637DD8"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3.94%</w:t>
            </w:r>
          </w:p>
        </w:tc>
        <w:tc>
          <w:tcPr>
            <w:tcW w:w="1074" w:type="dxa"/>
            <w:tcBorders>
              <w:top w:val="nil"/>
              <w:left w:val="nil"/>
              <w:bottom w:val="nil"/>
              <w:right w:val="dotted" w:sz="4" w:space="0" w:color="auto"/>
            </w:tcBorders>
            <w:shd w:val="clear" w:color="auto" w:fill="auto"/>
            <w:noWrap/>
            <w:vAlign w:val="center"/>
            <w:hideMark/>
          </w:tcPr>
          <w:p w14:paraId="41DFAE45"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3.76%</w:t>
            </w:r>
          </w:p>
        </w:tc>
        <w:tc>
          <w:tcPr>
            <w:tcW w:w="848" w:type="dxa"/>
            <w:tcBorders>
              <w:top w:val="nil"/>
              <w:left w:val="dotted" w:sz="4" w:space="0" w:color="auto"/>
              <w:bottom w:val="nil"/>
              <w:right w:val="nil"/>
            </w:tcBorders>
            <w:shd w:val="clear" w:color="auto" w:fill="auto"/>
            <w:noWrap/>
            <w:vAlign w:val="center"/>
            <w:hideMark/>
          </w:tcPr>
          <w:p w14:paraId="3D2D6F00"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3.93%</w:t>
            </w:r>
          </w:p>
        </w:tc>
      </w:tr>
      <w:tr w:rsidR="003B7C93" w:rsidRPr="00CE2452" w14:paraId="085A44A9" w14:textId="77777777" w:rsidTr="00CE2452">
        <w:trPr>
          <w:trHeight w:val="285"/>
        </w:trPr>
        <w:tc>
          <w:tcPr>
            <w:tcW w:w="0" w:type="auto"/>
            <w:tcBorders>
              <w:top w:val="nil"/>
              <w:left w:val="nil"/>
              <w:bottom w:val="nil"/>
              <w:right w:val="dotted" w:sz="4" w:space="0" w:color="auto"/>
            </w:tcBorders>
            <w:shd w:val="clear" w:color="000000" w:fill="BFBFBF"/>
            <w:noWrap/>
            <w:vAlign w:val="center"/>
            <w:hideMark/>
          </w:tcPr>
          <w:p w14:paraId="38404D39"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Other Sensory/Speech </w:t>
            </w:r>
          </w:p>
        </w:tc>
        <w:tc>
          <w:tcPr>
            <w:tcW w:w="1097" w:type="dxa"/>
            <w:tcBorders>
              <w:top w:val="nil"/>
              <w:left w:val="dotted" w:sz="4" w:space="0" w:color="auto"/>
              <w:bottom w:val="nil"/>
              <w:right w:val="nil"/>
            </w:tcBorders>
            <w:shd w:val="clear" w:color="000000" w:fill="BFBFBF"/>
            <w:noWrap/>
            <w:vAlign w:val="center"/>
            <w:hideMark/>
          </w:tcPr>
          <w:p w14:paraId="15DF5408"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1.81%</w:t>
            </w:r>
          </w:p>
        </w:tc>
        <w:tc>
          <w:tcPr>
            <w:tcW w:w="1134" w:type="dxa"/>
            <w:tcBorders>
              <w:top w:val="nil"/>
              <w:left w:val="nil"/>
              <w:bottom w:val="nil"/>
              <w:right w:val="nil"/>
            </w:tcBorders>
            <w:shd w:val="clear" w:color="000000" w:fill="BFBFBF"/>
            <w:noWrap/>
            <w:vAlign w:val="center"/>
            <w:hideMark/>
          </w:tcPr>
          <w:p w14:paraId="33A785F5"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1.17%</w:t>
            </w:r>
          </w:p>
        </w:tc>
        <w:tc>
          <w:tcPr>
            <w:tcW w:w="1134" w:type="dxa"/>
            <w:tcBorders>
              <w:top w:val="nil"/>
              <w:left w:val="nil"/>
              <w:bottom w:val="nil"/>
              <w:right w:val="nil"/>
            </w:tcBorders>
            <w:shd w:val="clear" w:color="000000" w:fill="BFBFBF"/>
            <w:noWrap/>
            <w:vAlign w:val="center"/>
            <w:hideMark/>
          </w:tcPr>
          <w:p w14:paraId="3CCAD3AF"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0.83%</w:t>
            </w:r>
          </w:p>
        </w:tc>
        <w:tc>
          <w:tcPr>
            <w:tcW w:w="1134" w:type="dxa"/>
            <w:tcBorders>
              <w:top w:val="nil"/>
              <w:left w:val="nil"/>
              <w:bottom w:val="nil"/>
              <w:right w:val="nil"/>
            </w:tcBorders>
            <w:shd w:val="clear" w:color="000000" w:fill="BFBFBF"/>
            <w:noWrap/>
            <w:vAlign w:val="center"/>
            <w:hideMark/>
          </w:tcPr>
          <w:p w14:paraId="4C27A595"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0.67%</w:t>
            </w:r>
          </w:p>
        </w:tc>
        <w:tc>
          <w:tcPr>
            <w:tcW w:w="1134" w:type="dxa"/>
            <w:tcBorders>
              <w:top w:val="nil"/>
              <w:left w:val="nil"/>
              <w:bottom w:val="nil"/>
              <w:right w:val="nil"/>
            </w:tcBorders>
            <w:shd w:val="clear" w:color="000000" w:fill="BFBFBF"/>
            <w:noWrap/>
            <w:vAlign w:val="center"/>
            <w:hideMark/>
          </w:tcPr>
          <w:p w14:paraId="28082A22"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0.56%</w:t>
            </w:r>
          </w:p>
        </w:tc>
        <w:tc>
          <w:tcPr>
            <w:tcW w:w="1074" w:type="dxa"/>
            <w:tcBorders>
              <w:top w:val="nil"/>
              <w:left w:val="nil"/>
              <w:bottom w:val="nil"/>
              <w:right w:val="dotted" w:sz="4" w:space="0" w:color="auto"/>
            </w:tcBorders>
            <w:shd w:val="clear" w:color="000000" w:fill="BFBFBF"/>
            <w:noWrap/>
            <w:vAlign w:val="center"/>
            <w:hideMark/>
          </w:tcPr>
          <w:p w14:paraId="5C452E7F"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0.49%</w:t>
            </w:r>
          </w:p>
        </w:tc>
        <w:tc>
          <w:tcPr>
            <w:tcW w:w="848" w:type="dxa"/>
            <w:tcBorders>
              <w:top w:val="nil"/>
              <w:left w:val="dotted" w:sz="4" w:space="0" w:color="auto"/>
              <w:bottom w:val="nil"/>
              <w:right w:val="nil"/>
            </w:tcBorders>
            <w:shd w:val="clear" w:color="000000" w:fill="BFBFBF"/>
            <w:noWrap/>
            <w:vAlign w:val="center"/>
            <w:hideMark/>
          </w:tcPr>
          <w:p w14:paraId="6515974D"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0.78%</w:t>
            </w:r>
          </w:p>
        </w:tc>
      </w:tr>
      <w:tr w:rsidR="003B7C93" w:rsidRPr="00CE2452" w14:paraId="51A9375C" w14:textId="77777777" w:rsidTr="00CE2452">
        <w:trPr>
          <w:trHeight w:val="285"/>
        </w:trPr>
        <w:tc>
          <w:tcPr>
            <w:tcW w:w="0" w:type="auto"/>
            <w:tcBorders>
              <w:top w:val="nil"/>
              <w:left w:val="nil"/>
              <w:bottom w:val="nil"/>
              <w:right w:val="dotted" w:sz="4" w:space="0" w:color="auto"/>
            </w:tcBorders>
            <w:shd w:val="clear" w:color="auto" w:fill="auto"/>
            <w:noWrap/>
            <w:vAlign w:val="center"/>
            <w:hideMark/>
          </w:tcPr>
          <w:p w14:paraId="0A08B927"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Other </w:t>
            </w:r>
          </w:p>
        </w:tc>
        <w:tc>
          <w:tcPr>
            <w:tcW w:w="1097" w:type="dxa"/>
            <w:tcBorders>
              <w:top w:val="nil"/>
              <w:left w:val="dotted" w:sz="4" w:space="0" w:color="auto"/>
              <w:bottom w:val="nil"/>
              <w:right w:val="nil"/>
            </w:tcBorders>
            <w:shd w:val="clear" w:color="auto" w:fill="auto"/>
            <w:noWrap/>
            <w:vAlign w:val="center"/>
            <w:hideMark/>
          </w:tcPr>
          <w:p w14:paraId="0BB3B1A9"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0.49%</w:t>
            </w:r>
          </w:p>
        </w:tc>
        <w:tc>
          <w:tcPr>
            <w:tcW w:w="1134" w:type="dxa"/>
            <w:tcBorders>
              <w:top w:val="nil"/>
              <w:left w:val="nil"/>
              <w:bottom w:val="nil"/>
              <w:right w:val="nil"/>
            </w:tcBorders>
            <w:shd w:val="clear" w:color="auto" w:fill="auto"/>
            <w:noWrap/>
            <w:vAlign w:val="center"/>
            <w:hideMark/>
          </w:tcPr>
          <w:p w14:paraId="07B3657B"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0.49%</w:t>
            </w:r>
          </w:p>
        </w:tc>
        <w:tc>
          <w:tcPr>
            <w:tcW w:w="1134" w:type="dxa"/>
            <w:tcBorders>
              <w:top w:val="nil"/>
              <w:left w:val="nil"/>
              <w:bottom w:val="nil"/>
              <w:right w:val="nil"/>
            </w:tcBorders>
            <w:shd w:val="clear" w:color="auto" w:fill="auto"/>
            <w:noWrap/>
            <w:vAlign w:val="center"/>
            <w:hideMark/>
          </w:tcPr>
          <w:p w14:paraId="0848E54C"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0.52%</w:t>
            </w:r>
          </w:p>
        </w:tc>
        <w:tc>
          <w:tcPr>
            <w:tcW w:w="1134" w:type="dxa"/>
            <w:tcBorders>
              <w:top w:val="nil"/>
              <w:left w:val="nil"/>
              <w:bottom w:val="nil"/>
              <w:right w:val="nil"/>
            </w:tcBorders>
            <w:shd w:val="clear" w:color="auto" w:fill="auto"/>
            <w:noWrap/>
            <w:vAlign w:val="center"/>
            <w:hideMark/>
          </w:tcPr>
          <w:p w14:paraId="6F913E44"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0.60%</w:t>
            </w:r>
          </w:p>
        </w:tc>
        <w:tc>
          <w:tcPr>
            <w:tcW w:w="1134" w:type="dxa"/>
            <w:tcBorders>
              <w:top w:val="nil"/>
              <w:left w:val="nil"/>
              <w:bottom w:val="nil"/>
              <w:right w:val="nil"/>
            </w:tcBorders>
            <w:shd w:val="clear" w:color="auto" w:fill="auto"/>
            <w:noWrap/>
            <w:vAlign w:val="center"/>
            <w:hideMark/>
          </w:tcPr>
          <w:p w14:paraId="320EB69B"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0.94%</w:t>
            </w:r>
          </w:p>
        </w:tc>
        <w:tc>
          <w:tcPr>
            <w:tcW w:w="1074" w:type="dxa"/>
            <w:tcBorders>
              <w:top w:val="nil"/>
              <w:left w:val="nil"/>
              <w:bottom w:val="nil"/>
              <w:right w:val="dotted" w:sz="4" w:space="0" w:color="auto"/>
            </w:tcBorders>
            <w:shd w:val="clear" w:color="auto" w:fill="auto"/>
            <w:noWrap/>
            <w:vAlign w:val="center"/>
            <w:hideMark/>
          </w:tcPr>
          <w:p w14:paraId="7980348B"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1.09%</w:t>
            </w:r>
          </w:p>
        </w:tc>
        <w:tc>
          <w:tcPr>
            <w:tcW w:w="848" w:type="dxa"/>
            <w:tcBorders>
              <w:top w:val="nil"/>
              <w:left w:val="dotted" w:sz="4" w:space="0" w:color="auto"/>
              <w:bottom w:val="nil"/>
              <w:right w:val="nil"/>
            </w:tcBorders>
            <w:shd w:val="clear" w:color="auto" w:fill="auto"/>
            <w:noWrap/>
            <w:vAlign w:val="center"/>
            <w:hideMark/>
          </w:tcPr>
          <w:p w14:paraId="466CA957"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0.70%</w:t>
            </w:r>
          </w:p>
        </w:tc>
      </w:tr>
      <w:tr w:rsidR="003B7C93" w:rsidRPr="00CE2452" w14:paraId="6A4D5264" w14:textId="77777777" w:rsidTr="00CE2452">
        <w:trPr>
          <w:trHeight w:val="285"/>
        </w:trPr>
        <w:tc>
          <w:tcPr>
            <w:tcW w:w="0" w:type="auto"/>
            <w:tcBorders>
              <w:top w:val="nil"/>
              <w:left w:val="nil"/>
              <w:bottom w:val="nil"/>
              <w:right w:val="dotted" w:sz="4" w:space="0" w:color="auto"/>
            </w:tcBorders>
            <w:shd w:val="clear" w:color="000000" w:fill="BFBFBF"/>
            <w:noWrap/>
            <w:vAlign w:val="center"/>
            <w:hideMark/>
          </w:tcPr>
          <w:p w14:paraId="63BDAC92" w14:textId="77777777" w:rsidR="003B7C93" w:rsidRPr="00CE2452" w:rsidRDefault="003B7C93" w:rsidP="00CE2452">
            <w:pPr>
              <w:spacing w:after="0" w:line="240" w:lineRule="auto"/>
              <w:rPr>
                <w:rFonts w:eastAsia="Times New Roman" w:cs="Arial"/>
                <w:color w:val="000000"/>
                <w:sz w:val="16"/>
                <w:szCs w:val="16"/>
                <w:lang w:eastAsia="zh-CN"/>
              </w:rPr>
            </w:pPr>
            <w:r w:rsidRPr="00CE2452">
              <w:rPr>
                <w:rFonts w:eastAsia="Times New Roman" w:cs="Arial"/>
                <w:color w:val="000000"/>
                <w:sz w:val="16"/>
                <w:szCs w:val="16"/>
                <w:lang w:eastAsia="zh-CN"/>
              </w:rPr>
              <w:t xml:space="preserve"> Missing </w:t>
            </w:r>
          </w:p>
        </w:tc>
        <w:tc>
          <w:tcPr>
            <w:tcW w:w="1097" w:type="dxa"/>
            <w:tcBorders>
              <w:top w:val="nil"/>
              <w:left w:val="dotted" w:sz="4" w:space="0" w:color="auto"/>
              <w:bottom w:val="nil"/>
              <w:right w:val="nil"/>
            </w:tcBorders>
            <w:shd w:val="clear" w:color="000000" w:fill="BFBFBF"/>
            <w:noWrap/>
            <w:vAlign w:val="center"/>
            <w:hideMark/>
          </w:tcPr>
          <w:p w14:paraId="7E92494F"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0.00%</w:t>
            </w:r>
          </w:p>
        </w:tc>
        <w:tc>
          <w:tcPr>
            <w:tcW w:w="1134" w:type="dxa"/>
            <w:tcBorders>
              <w:top w:val="nil"/>
              <w:left w:val="nil"/>
              <w:bottom w:val="nil"/>
              <w:right w:val="nil"/>
            </w:tcBorders>
            <w:shd w:val="clear" w:color="000000" w:fill="BFBFBF"/>
            <w:noWrap/>
            <w:vAlign w:val="center"/>
            <w:hideMark/>
          </w:tcPr>
          <w:p w14:paraId="4D134798"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0.00%</w:t>
            </w:r>
          </w:p>
        </w:tc>
        <w:tc>
          <w:tcPr>
            <w:tcW w:w="1134" w:type="dxa"/>
            <w:tcBorders>
              <w:top w:val="nil"/>
              <w:left w:val="nil"/>
              <w:bottom w:val="nil"/>
              <w:right w:val="nil"/>
            </w:tcBorders>
            <w:shd w:val="clear" w:color="000000" w:fill="BFBFBF"/>
            <w:noWrap/>
            <w:vAlign w:val="center"/>
            <w:hideMark/>
          </w:tcPr>
          <w:p w14:paraId="77AE81A2"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0.00%</w:t>
            </w:r>
          </w:p>
        </w:tc>
        <w:tc>
          <w:tcPr>
            <w:tcW w:w="1134" w:type="dxa"/>
            <w:tcBorders>
              <w:top w:val="nil"/>
              <w:left w:val="nil"/>
              <w:bottom w:val="nil"/>
              <w:right w:val="nil"/>
            </w:tcBorders>
            <w:shd w:val="clear" w:color="000000" w:fill="BFBFBF"/>
            <w:noWrap/>
            <w:vAlign w:val="center"/>
            <w:hideMark/>
          </w:tcPr>
          <w:p w14:paraId="7CB027DF"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0.00%</w:t>
            </w:r>
          </w:p>
        </w:tc>
        <w:tc>
          <w:tcPr>
            <w:tcW w:w="1134" w:type="dxa"/>
            <w:tcBorders>
              <w:top w:val="nil"/>
              <w:left w:val="nil"/>
              <w:bottom w:val="nil"/>
              <w:right w:val="nil"/>
            </w:tcBorders>
            <w:shd w:val="clear" w:color="000000" w:fill="BFBFBF"/>
            <w:noWrap/>
            <w:vAlign w:val="center"/>
            <w:hideMark/>
          </w:tcPr>
          <w:p w14:paraId="0CF69851"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0.00%</w:t>
            </w:r>
          </w:p>
        </w:tc>
        <w:tc>
          <w:tcPr>
            <w:tcW w:w="1074" w:type="dxa"/>
            <w:tcBorders>
              <w:top w:val="nil"/>
              <w:left w:val="nil"/>
              <w:bottom w:val="nil"/>
              <w:right w:val="dotted" w:sz="4" w:space="0" w:color="auto"/>
            </w:tcBorders>
            <w:shd w:val="clear" w:color="000000" w:fill="BFBFBF"/>
            <w:noWrap/>
            <w:vAlign w:val="center"/>
            <w:hideMark/>
          </w:tcPr>
          <w:p w14:paraId="6B3E0A1B"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0.00%</w:t>
            </w:r>
          </w:p>
        </w:tc>
        <w:tc>
          <w:tcPr>
            <w:tcW w:w="848" w:type="dxa"/>
            <w:tcBorders>
              <w:top w:val="nil"/>
              <w:left w:val="dotted" w:sz="4" w:space="0" w:color="auto"/>
              <w:bottom w:val="nil"/>
              <w:right w:val="nil"/>
            </w:tcBorders>
            <w:shd w:val="clear" w:color="000000" w:fill="BFBFBF"/>
            <w:noWrap/>
            <w:vAlign w:val="center"/>
            <w:hideMark/>
          </w:tcPr>
          <w:p w14:paraId="46168DDE" w14:textId="77777777" w:rsidR="003B7C93" w:rsidRPr="00CE2452" w:rsidRDefault="003B7C93" w:rsidP="00CE2452">
            <w:pPr>
              <w:spacing w:after="0" w:line="240" w:lineRule="auto"/>
              <w:jc w:val="right"/>
              <w:rPr>
                <w:rFonts w:eastAsia="Times New Roman" w:cs="Arial"/>
                <w:sz w:val="16"/>
                <w:szCs w:val="16"/>
                <w:lang w:eastAsia="zh-CN"/>
              </w:rPr>
            </w:pPr>
            <w:r w:rsidRPr="00CE2452">
              <w:rPr>
                <w:rFonts w:eastAsia="Times New Roman" w:cs="Arial"/>
                <w:sz w:val="16"/>
                <w:szCs w:val="16"/>
                <w:lang w:eastAsia="zh-CN"/>
              </w:rPr>
              <w:t>0.00%</w:t>
            </w:r>
          </w:p>
        </w:tc>
      </w:tr>
      <w:tr w:rsidR="003B7C93" w:rsidRPr="00CE2452" w14:paraId="3731CBC1" w14:textId="77777777" w:rsidTr="00CE2452">
        <w:trPr>
          <w:trHeight w:val="285"/>
        </w:trPr>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335EB0E1" w14:textId="77777777" w:rsidR="003B7C93" w:rsidRPr="00CE2452" w:rsidRDefault="003B7C93" w:rsidP="00CE2452">
            <w:pPr>
              <w:spacing w:after="0" w:line="240" w:lineRule="auto"/>
              <w:rPr>
                <w:rFonts w:eastAsia="Times New Roman" w:cs="Arial"/>
                <w:b/>
                <w:bCs/>
                <w:color w:val="000000"/>
                <w:sz w:val="16"/>
                <w:szCs w:val="16"/>
                <w:lang w:eastAsia="zh-CN"/>
              </w:rPr>
            </w:pPr>
            <w:r w:rsidRPr="00CE2452">
              <w:rPr>
                <w:rFonts w:eastAsia="Times New Roman" w:cs="Arial"/>
                <w:b/>
                <w:bCs/>
                <w:color w:val="000000"/>
                <w:sz w:val="16"/>
                <w:szCs w:val="16"/>
                <w:lang w:eastAsia="zh-CN"/>
              </w:rPr>
              <w:t>Total</w:t>
            </w:r>
          </w:p>
        </w:tc>
        <w:tc>
          <w:tcPr>
            <w:tcW w:w="1097" w:type="dxa"/>
            <w:tcBorders>
              <w:top w:val="single" w:sz="4" w:space="0" w:color="auto"/>
              <w:left w:val="dotted" w:sz="4" w:space="0" w:color="auto"/>
              <w:bottom w:val="single" w:sz="4" w:space="0" w:color="auto"/>
              <w:right w:val="nil"/>
            </w:tcBorders>
            <w:shd w:val="clear" w:color="000000" w:fill="D3C5D7"/>
            <w:noWrap/>
            <w:vAlign w:val="center"/>
            <w:hideMark/>
          </w:tcPr>
          <w:p w14:paraId="52B46674" w14:textId="77777777" w:rsidR="003B7C93" w:rsidRPr="00CE2452" w:rsidRDefault="003B7C93" w:rsidP="00CE2452">
            <w:pPr>
              <w:spacing w:after="0" w:line="240" w:lineRule="auto"/>
              <w:jc w:val="right"/>
              <w:rPr>
                <w:rFonts w:eastAsia="Times New Roman" w:cs="Arial"/>
                <w:b/>
                <w:bCs/>
                <w:color w:val="000000"/>
                <w:sz w:val="16"/>
                <w:szCs w:val="16"/>
                <w:lang w:eastAsia="zh-CN"/>
              </w:rPr>
            </w:pPr>
            <w:r w:rsidRPr="00CE2452">
              <w:rPr>
                <w:rFonts w:eastAsia="Times New Roman" w:cs="Arial"/>
                <w:b/>
                <w:bCs/>
                <w:color w:val="000000"/>
                <w:sz w:val="16"/>
                <w:szCs w:val="16"/>
                <w:lang w:eastAsia="zh-CN"/>
              </w:rPr>
              <w:t>100.00%</w:t>
            </w:r>
          </w:p>
        </w:tc>
        <w:tc>
          <w:tcPr>
            <w:tcW w:w="1134" w:type="dxa"/>
            <w:tcBorders>
              <w:top w:val="single" w:sz="4" w:space="0" w:color="auto"/>
              <w:left w:val="nil"/>
              <w:bottom w:val="single" w:sz="4" w:space="0" w:color="auto"/>
              <w:right w:val="nil"/>
            </w:tcBorders>
            <w:shd w:val="clear" w:color="000000" w:fill="D3C5D7"/>
            <w:noWrap/>
            <w:vAlign w:val="center"/>
            <w:hideMark/>
          </w:tcPr>
          <w:p w14:paraId="6DCB4B40" w14:textId="77777777" w:rsidR="003B7C93" w:rsidRPr="00CE2452" w:rsidRDefault="003B7C93" w:rsidP="00CE2452">
            <w:pPr>
              <w:spacing w:after="0" w:line="240" w:lineRule="auto"/>
              <w:jc w:val="right"/>
              <w:rPr>
                <w:rFonts w:eastAsia="Times New Roman" w:cs="Arial"/>
                <w:b/>
                <w:bCs/>
                <w:color w:val="000000"/>
                <w:sz w:val="16"/>
                <w:szCs w:val="16"/>
                <w:lang w:eastAsia="zh-CN"/>
              </w:rPr>
            </w:pPr>
            <w:r w:rsidRPr="00CE2452">
              <w:rPr>
                <w:rFonts w:eastAsia="Times New Roman" w:cs="Arial"/>
                <w:b/>
                <w:bCs/>
                <w:color w:val="000000"/>
                <w:sz w:val="16"/>
                <w:szCs w:val="16"/>
                <w:lang w:eastAsia="zh-CN"/>
              </w:rPr>
              <w:t>100.00%</w:t>
            </w:r>
          </w:p>
        </w:tc>
        <w:tc>
          <w:tcPr>
            <w:tcW w:w="1134" w:type="dxa"/>
            <w:tcBorders>
              <w:top w:val="single" w:sz="4" w:space="0" w:color="auto"/>
              <w:left w:val="nil"/>
              <w:bottom w:val="single" w:sz="4" w:space="0" w:color="auto"/>
              <w:right w:val="nil"/>
            </w:tcBorders>
            <w:shd w:val="clear" w:color="000000" w:fill="D3C5D7"/>
            <w:noWrap/>
            <w:vAlign w:val="center"/>
            <w:hideMark/>
          </w:tcPr>
          <w:p w14:paraId="2B12D1A9" w14:textId="77777777" w:rsidR="003B7C93" w:rsidRPr="00CE2452" w:rsidRDefault="003B7C93" w:rsidP="00CE2452">
            <w:pPr>
              <w:spacing w:after="0" w:line="240" w:lineRule="auto"/>
              <w:jc w:val="right"/>
              <w:rPr>
                <w:rFonts w:eastAsia="Times New Roman" w:cs="Arial"/>
                <w:b/>
                <w:bCs/>
                <w:color w:val="000000"/>
                <w:sz w:val="16"/>
                <w:szCs w:val="16"/>
                <w:lang w:eastAsia="zh-CN"/>
              </w:rPr>
            </w:pPr>
            <w:r w:rsidRPr="00CE2452">
              <w:rPr>
                <w:rFonts w:eastAsia="Times New Roman" w:cs="Arial"/>
                <w:b/>
                <w:bCs/>
                <w:color w:val="000000"/>
                <w:sz w:val="16"/>
                <w:szCs w:val="16"/>
                <w:lang w:eastAsia="zh-CN"/>
              </w:rPr>
              <w:t>100.00%</w:t>
            </w:r>
          </w:p>
        </w:tc>
        <w:tc>
          <w:tcPr>
            <w:tcW w:w="1134" w:type="dxa"/>
            <w:tcBorders>
              <w:top w:val="single" w:sz="4" w:space="0" w:color="auto"/>
              <w:left w:val="nil"/>
              <w:bottom w:val="single" w:sz="4" w:space="0" w:color="auto"/>
              <w:right w:val="nil"/>
            </w:tcBorders>
            <w:shd w:val="clear" w:color="000000" w:fill="D3C5D7"/>
            <w:noWrap/>
            <w:vAlign w:val="center"/>
            <w:hideMark/>
          </w:tcPr>
          <w:p w14:paraId="0C01FA2B" w14:textId="77777777" w:rsidR="003B7C93" w:rsidRPr="00CE2452" w:rsidRDefault="003B7C93" w:rsidP="00CE2452">
            <w:pPr>
              <w:spacing w:after="0" w:line="240" w:lineRule="auto"/>
              <w:jc w:val="right"/>
              <w:rPr>
                <w:rFonts w:eastAsia="Times New Roman" w:cs="Arial"/>
                <w:b/>
                <w:bCs/>
                <w:color w:val="000000"/>
                <w:sz w:val="16"/>
                <w:szCs w:val="16"/>
                <w:lang w:eastAsia="zh-CN"/>
              </w:rPr>
            </w:pPr>
            <w:r w:rsidRPr="00CE2452">
              <w:rPr>
                <w:rFonts w:eastAsia="Times New Roman" w:cs="Arial"/>
                <w:b/>
                <w:bCs/>
                <w:color w:val="000000"/>
                <w:sz w:val="16"/>
                <w:szCs w:val="16"/>
                <w:lang w:eastAsia="zh-CN"/>
              </w:rPr>
              <w:t>100.00%</w:t>
            </w:r>
          </w:p>
        </w:tc>
        <w:tc>
          <w:tcPr>
            <w:tcW w:w="1134" w:type="dxa"/>
            <w:tcBorders>
              <w:top w:val="single" w:sz="4" w:space="0" w:color="auto"/>
              <w:left w:val="nil"/>
              <w:bottom w:val="single" w:sz="4" w:space="0" w:color="auto"/>
              <w:right w:val="nil"/>
            </w:tcBorders>
            <w:shd w:val="clear" w:color="000000" w:fill="D3C5D7"/>
            <w:noWrap/>
            <w:vAlign w:val="center"/>
            <w:hideMark/>
          </w:tcPr>
          <w:p w14:paraId="42E6F8D2" w14:textId="77777777" w:rsidR="003B7C93" w:rsidRPr="00CE2452" w:rsidRDefault="003B7C93" w:rsidP="00CE2452">
            <w:pPr>
              <w:spacing w:after="0" w:line="240" w:lineRule="auto"/>
              <w:jc w:val="right"/>
              <w:rPr>
                <w:rFonts w:eastAsia="Times New Roman" w:cs="Arial"/>
                <w:b/>
                <w:bCs/>
                <w:color w:val="000000"/>
                <w:sz w:val="16"/>
                <w:szCs w:val="16"/>
                <w:lang w:eastAsia="zh-CN"/>
              </w:rPr>
            </w:pPr>
            <w:r w:rsidRPr="00CE2452">
              <w:rPr>
                <w:rFonts w:eastAsia="Times New Roman" w:cs="Arial"/>
                <w:b/>
                <w:bCs/>
                <w:color w:val="000000"/>
                <w:sz w:val="16"/>
                <w:szCs w:val="16"/>
                <w:lang w:eastAsia="zh-CN"/>
              </w:rPr>
              <w:t>100.00%</w:t>
            </w:r>
          </w:p>
        </w:tc>
        <w:tc>
          <w:tcPr>
            <w:tcW w:w="1074" w:type="dxa"/>
            <w:tcBorders>
              <w:top w:val="single" w:sz="4" w:space="0" w:color="auto"/>
              <w:left w:val="nil"/>
              <w:bottom w:val="single" w:sz="4" w:space="0" w:color="auto"/>
              <w:right w:val="dotted" w:sz="4" w:space="0" w:color="auto"/>
            </w:tcBorders>
            <w:shd w:val="clear" w:color="000000" w:fill="D3C5D7"/>
            <w:noWrap/>
            <w:vAlign w:val="center"/>
            <w:hideMark/>
          </w:tcPr>
          <w:p w14:paraId="31E468C8" w14:textId="77777777" w:rsidR="003B7C93" w:rsidRPr="00CE2452" w:rsidRDefault="003B7C93" w:rsidP="00CE2452">
            <w:pPr>
              <w:spacing w:after="0" w:line="240" w:lineRule="auto"/>
              <w:jc w:val="right"/>
              <w:rPr>
                <w:rFonts w:eastAsia="Times New Roman" w:cs="Arial"/>
                <w:b/>
                <w:bCs/>
                <w:color w:val="000000"/>
                <w:sz w:val="16"/>
                <w:szCs w:val="16"/>
                <w:lang w:eastAsia="zh-CN"/>
              </w:rPr>
            </w:pPr>
            <w:r w:rsidRPr="00CE2452">
              <w:rPr>
                <w:rFonts w:eastAsia="Times New Roman" w:cs="Arial"/>
                <w:b/>
                <w:bCs/>
                <w:color w:val="000000"/>
                <w:sz w:val="16"/>
                <w:szCs w:val="16"/>
                <w:lang w:eastAsia="zh-CN"/>
              </w:rPr>
              <w:t>100.00%</w:t>
            </w:r>
          </w:p>
        </w:tc>
        <w:tc>
          <w:tcPr>
            <w:tcW w:w="848" w:type="dxa"/>
            <w:tcBorders>
              <w:top w:val="single" w:sz="4" w:space="0" w:color="auto"/>
              <w:left w:val="dotted" w:sz="4" w:space="0" w:color="auto"/>
              <w:bottom w:val="single" w:sz="4" w:space="0" w:color="auto"/>
              <w:right w:val="nil"/>
            </w:tcBorders>
            <w:shd w:val="clear" w:color="000000" w:fill="D3C5D7"/>
            <w:noWrap/>
            <w:vAlign w:val="center"/>
            <w:hideMark/>
          </w:tcPr>
          <w:p w14:paraId="229487FD" w14:textId="77777777" w:rsidR="003B7C93" w:rsidRPr="00CE2452" w:rsidRDefault="003B7C93" w:rsidP="00CE2452">
            <w:pPr>
              <w:spacing w:after="0" w:line="240" w:lineRule="auto"/>
              <w:jc w:val="right"/>
              <w:rPr>
                <w:rFonts w:eastAsia="Times New Roman" w:cs="Arial"/>
                <w:b/>
                <w:bCs/>
                <w:color w:val="000000"/>
                <w:sz w:val="16"/>
                <w:szCs w:val="16"/>
                <w:lang w:eastAsia="zh-CN"/>
              </w:rPr>
            </w:pPr>
            <w:r w:rsidRPr="00CE2452">
              <w:rPr>
                <w:rFonts w:eastAsia="Times New Roman" w:cs="Arial"/>
                <w:b/>
                <w:bCs/>
                <w:color w:val="000000"/>
                <w:sz w:val="16"/>
                <w:szCs w:val="16"/>
                <w:lang w:eastAsia="zh-CN"/>
              </w:rPr>
              <w:t>100.00%</w:t>
            </w:r>
          </w:p>
        </w:tc>
      </w:tr>
    </w:tbl>
    <w:p w14:paraId="0C627299" w14:textId="77777777" w:rsidR="004A5D62" w:rsidRDefault="004A5D62" w:rsidP="00DA3F73">
      <w:pPr>
        <w:pStyle w:val="FSRnormal"/>
      </w:pPr>
      <w:r>
        <w:t xml:space="preserve">There </w:t>
      </w:r>
      <w:r w:rsidR="009D64DD">
        <w:t>are fifteen</w:t>
      </w:r>
      <w:r>
        <w:t xml:space="preserve"> primary disability groups and mortality experience varies significantly by primary disability</w:t>
      </w:r>
      <w:r w:rsidR="00CF68AF">
        <w:t xml:space="preserve"> due to </w:t>
      </w:r>
      <w:r w:rsidR="00C90196">
        <w:t>differences in age and functional distributions</w:t>
      </w:r>
      <w:r>
        <w:t xml:space="preserve">. </w:t>
      </w:r>
    </w:p>
    <w:p w14:paraId="37D31600" w14:textId="77777777" w:rsidR="004A5D62" w:rsidRDefault="004A5D62" w:rsidP="00DA3F73">
      <w:pPr>
        <w:pStyle w:val="FSRnormal"/>
      </w:pPr>
      <w:r>
        <w:lastRenderedPageBreak/>
        <w:t xml:space="preserve">By exposure, </w:t>
      </w:r>
      <w:r w:rsidR="0031758E">
        <w:t>the primary disability types of a</w:t>
      </w:r>
      <w:r>
        <w:t xml:space="preserve">utism, </w:t>
      </w:r>
      <w:r w:rsidR="0031758E">
        <w:t>i</w:t>
      </w:r>
      <w:r>
        <w:t xml:space="preserve">ntellectual </w:t>
      </w:r>
      <w:r w:rsidR="0031758E">
        <w:t>d</w:t>
      </w:r>
      <w:r>
        <w:t xml:space="preserve">isability, </w:t>
      </w:r>
      <w:r w:rsidR="0031758E">
        <w:t>p</w:t>
      </w:r>
      <w:r>
        <w:t xml:space="preserve">sychosocial </w:t>
      </w:r>
      <w:r w:rsidR="0031758E">
        <w:t>d</w:t>
      </w:r>
      <w:r>
        <w:t xml:space="preserve">isability and </w:t>
      </w:r>
      <w:r w:rsidR="0031758E">
        <w:t>d</w:t>
      </w:r>
      <w:r>
        <w:t xml:space="preserve">evelopmental </w:t>
      </w:r>
      <w:r w:rsidR="0031758E">
        <w:t>d</w:t>
      </w:r>
      <w:r>
        <w:t xml:space="preserve">elay are the largest categories, accounting for over 70% of all participants. However, </w:t>
      </w:r>
      <w:r w:rsidR="0031758E">
        <w:t xml:space="preserve">the </w:t>
      </w:r>
      <w:r>
        <w:t xml:space="preserve">primary disability </w:t>
      </w:r>
      <w:r w:rsidR="0031758E">
        <w:t>types</w:t>
      </w:r>
      <w:r>
        <w:t xml:space="preserve"> </w:t>
      </w:r>
      <w:r w:rsidR="00E23667">
        <w:t xml:space="preserve">of </w:t>
      </w:r>
      <w:r w:rsidR="0031758E">
        <w:t>o</w:t>
      </w:r>
      <w:r>
        <w:t xml:space="preserve">ther </w:t>
      </w:r>
      <w:r w:rsidR="0031758E">
        <w:t>n</w:t>
      </w:r>
      <w:r>
        <w:t xml:space="preserve">eurological, </w:t>
      </w:r>
      <w:r w:rsidR="0031758E">
        <w:t>o</w:t>
      </w:r>
      <w:r>
        <w:t xml:space="preserve">ther </w:t>
      </w:r>
      <w:r w:rsidR="0031758E">
        <w:t>p</w:t>
      </w:r>
      <w:r>
        <w:t xml:space="preserve">hysical and </w:t>
      </w:r>
      <w:r w:rsidR="0031758E">
        <w:t>s</w:t>
      </w:r>
      <w:r>
        <w:t xml:space="preserve">troke (and others) have the highest mortality rates in 2021; </w:t>
      </w:r>
      <w:r w:rsidR="00202EB2">
        <w:t>approximately</w:t>
      </w:r>
      <w:r>
        <w:t xml:space="preserve"> </w:t>
      </w:r>
      <w:r w:rsidR="00333606">
        <w:t>three</w:t>
      </w:r>
      <w:r>
        <w:t xml:space="preserve"> times the overall mortality rate. </w:t>
      </w:r>
      <w:r w:rsidR="00202EB2">
        <w:t xml:space="preserve">This is driven by the older age profile and lower average level of function for these </w:t>
      </w:r>
      <w:r w:rsidR="00333606">
        <w:t>participant groups</w:t>
      </w:r>
      <w:r w:rsidR="00202EB2">
        <w:t>.</w:t>
      </w:r>
    </w:p>
    <w:p w14:paraId="37FFBD3E" w14:textId="77777777" w:rsidR="004A5D62" w:rsidRDefault="004A5D62" w:rsidP="00DA3F73">
      <w:pPr>
        <w:pStyle w:val="FSRnormal"/>
      </w:pPr>
      <w:r>
        <w:t xml:space="preserve">Between 2020 and 2021, there was mortality improvement in most disability types, partly offset by the deterioration in </w:t>
      </w:r>
      <w:r w:rsidR="000328CC">
        <w:t>o</w:t>
      </w:r>
      <w:r>
        <w:t xml:space="preserve">ther and </w:t>
      </w:r>
      <w:r w:rsidR="000328CC">
        <w:t>c</w:t>
      </w:r>
      <w:r>
        <w:t xml:space="preserve">erebral </w:t>
      </w:r>
      <w:r w:rsidR="000328CC">
        <w:t>p</w:t>
      </w:r>
      <w:r>
        <w:t xml:space="preserve">alsy. When compared to other </w:t>
      </w:r>
      <w:r w:rsidR="00205E36">
        <w:t xml:space="preserve">participant characteristics </w:t>
      </w:r>
      <w:r w:rsidR="00BA50AA">
        <w:t>(e</w:t>
      </w:r>
      <w:r w:rsidR="00333606">
        <w:t>.</w:t>
      </w:r>
      <w:r w:rsidR="00BA50AA">
        <w:t>g</w:t>
      </w:r>
      <w:r w:rsidR="00333606">
        <w:t>.</w:t>
      </w:r>
      <w:r w:rsidR="00BA50AA">
        <w:t xml:space="preserve"> age groups, gender or level of function groups) </w:t>
      </w:r>
      <w:r>
        <w:t xml:space="preserve">used for mortality analysis, mortality experience by primary disability </w:t>
      </w:r>
      <w:r w:rsidR="00A97845">
        <w:t>type is</w:t>
      </w:r>
      <w:r>
        <w:t xml:space="preserve"> more varied </w:t>
      </w:r>
      <w:r w:rsidR="00A97845">
        <w:t xml:space="preserve">due to the </w:t>
      </w:r>
      <w:r w:rsidR="004A4543">
        <w:t>higher number of categories</w:t>
      </w:r>
      <w:r>
        <w:t xml:space="preserve"> (and hence statistically </w:t>
      </w:r>
      <w:r w:rsidR="004A4543">
        <w:t xml:space="preserve">lower </w:t>
      </w:r>
      <w:r>
        <w:t>exposure and number of deaths</w:t>
      </w:r>
      <w:r w:rsidR="004A4543">
        <w:t xml:space="preserve"> per typical cohort</w:t>
      </w:r>
      <w:r>
        <w:t xml:space="preserve">). </w:t>
      </w:r>
    </w:p>
    <w:p w14:paraId="690BB2B0" w14:textId="77777777" w:rsidR="004A5D62" w:rsidRDefault="004A5D62" w:rsidP="00DA3F73">
      <w:pPr>
        <w:pStyle w:val="FSRHeading6"/>
      </w:pPr>
      <w:bookmarkStart w:id="1223" w:name="_Toc106809778"/>
      <w:r w:rsidRPr="00DA3F73">
        <w:t>Level of function</w:t>
      </w:r>
      <w:bookmarkEnd w:id="1223"/>
      <w:r w:rsidR="00BF1DA7">
        <w:t xml:space="preserve"> (reported level based on normalised assessment score)</w:t>
      </w:r>
    </w:p>
    <w:p w14:paraId="00D2E880" w14:textId="77777777" w:rsidR="004A5D62" w:rsidRDefault="004A5D62" w:rsidP="00DA3F73">
      <w:pPr>
        <w:pStyle w:val="Tables"/>
      </w:pPr>
      <w:r>
        <w:t>Table</w:t>
      </w:r>
      <w:r w:rsidR="00894497">
        <w:t xml:space="preserve"> J</w:t>
      </w:r>
      <w:r w:rsidR="00A87896">
        <w:t>.</w:t>
      </w:r>
      <w:fldSimple w:instr=" SEQ Table \* ARABIC \s 2 ">
        <w:r w:rsidR="00C437E1">
          <w:rPr>
            <w:noProof/>
          </w:rPr>
          <w:t>7</w:t>
        </w:r>
      </w:fldSimple>
      <w:r w:rsidR="00894497">
        <w:t>:</w:t>
      </w:r>
      <w:r>
        <w:t xml:space="preserve"> </w:t>
      </w:r>
      <w:r w:rsidRPr="00FF6383">
        <w:t>Actual vs expected mortality rates by level of function</w:t>
      </w:r>
    </w:p>
    <w:tbl>
      <w:tblPr>
        <w:tblW w:w="0" w:type="auto"/>
        <w:tblLook w:val="04A0" w:firstRow="1" w:lastRow="0" w:firstColumn="1" w:lastColumn="0" w:noHBand="0" w:noVBand="1"/>
      </w:tblPr>
      <w:tblGrid>
        <w:gridCol w:w="1496"/>
        <w:gridCol w:w="1061"/>
        <w:gridCol w:w="1061"/>
        <w:gridCol w:w="1061"/>
        <w:gridCol w:w="1061"/>
        <w:gridCol w:w="1061"/>
        <w:gridCol w:w="1052"/>
        <w:gridCol w:w="759"/>
      </w:tblGrid>
      <w:tr w:rsidR="00A01BF1" w:rsidRPr="00706E8E" w14:paraId="7D0BEEB9" w14:textId="77777777" w:rsidTr="00706E8E">
        <w:trPr>
          <w:trHeight w:val="397"/>
        </w:trPr>
        <w:tc>
          <w:tcPr>
            <w:tcW w:w="0" w:type="auto"/>
            <w:vMerge w:val="restart"/>
            <w:tcBorders>
              <w:top w:val="nil"/>
              <w:left w:val="nil"/>
              <w:bottom w:val="nil"/>
              <w:right w:val="nil"/>
            </w:tcBorders>
            <w:shd w:val="clear" w:color="000000" w:fill="6B2976"/>
            <w:vAlign w:val="center"/>
            <w:hideMark/>
          </w:tcPr>
          <w:p w14:paraId="362E32D1" w14:textId="77777777" w:rsidR="00A01BF1" w:rsidRPr="00706E8E" w:rsidRDefault="00A01BF1" w:rsidP="00706E8E">
            <w:pPr>
              <w:spacing w:after="0" w:line="240" w:lineRule="auto"/>
              <w:rPr>
                <w:rFonts w:eastAsia="Times New Roman" w:cs="Arial"/>
                <w:b/>
                <w:bCs/>
                <w:color w:val="FFFFFF"/>
                <w:sz w:val="16"/>
                <w:szCs w:val="16"/>
                <w:lang w:eastAsia="zh-CN"/>
              </w:rPr>
            </w:pPr>
            <w:r w:rsidRPr="00706E8E">
              <w:rPr>
                <w:rFonts w:eastAsia="Times New Roman" w:cs="Arial"/>
                <w:b/>
                <w:bCs/>
                <w:color w:val="FFFFFF"/>
                <w:sz w:val="16"/>
                <w:szCs w:val="16"/>
                <w:lang w:eastAsia="zh-CN"/>
              </w:rPr>
              <w:t>Level of function</w:t>
            </w:r>
          </w:p>
        </w:tc>
        <w:tc>
          <w:tcPr>
            <w:tcW w:w="0" w:type="auto"/>
            <w:gridSpan w:val="7"/>
            <w:tcBorders>
              <w:top w:val="nil"/>
              <w:left w:val="nil"/>
              <w:bottom w:val="single" w:sz="4" w:space="0" w:color="FFFFFF"/>
              <w:right w:val="nil"/>
            </w:tcBorders>
            <w:shd w:val="clear" w:color="000000" w:fill="6B2976"/>
            <w:vAlign w:val="center"/>
            <w:hideMark/>
          </w:tcPr>
          <w:p w14:paraId="25605E3C" w14:textId="77777777" w:rsidR="00A01BF1" w:rsidRPr="00706E8E" w:rsidRDefault="00A01BF1" w:rsidP="008116E1">
            <w:pPr>
              <w:spacing w:after="0" w:line="240" w:lineRule="auto"/>
              <w:jc w:val="center"/>
              <w:rPr>
                <w:rFonts w:eastAsia="Times New Roman" w:cs="Arial"/>
                <w:b/>
                <w:bCs/>
                <w:color w:val="FFFFFF"/>
                <w:sz w:val="16"/>
                <w:szCs w:val="16"/>
                <w:lang w:eastAsia="zh-CN"/>
              </w:rPr>
            </w:pPr>
            <w:r w:rsidRPr="00706E8E">
              <w:rPr>
                <w:rFonts w:eastAsia="Times New Roman" w:cs="Arial"/>
                <w:b/>
                <w:bCs/>
                <w:color w:val="FFFFFF"/>
                <w:sz w:val="16"/>
                <w:szCs w:val="16"/>
                <w:lang w:eastAsia="zh-CN"/>
              </w:rPr>
              <w:t>Actual</w:t>
            </w:r>
          </w:p>
        </w:tc>
      </w:tr>
      <w:tr w:rsidR="00A01BF1" w:rsidRPr="00706E8E" w14:paraId="204D197A" w14:textId="77777777" w:rsidTr="00706E8E">
        <w:trPr>
          <w:trHeight w:val="397"/>
        </w:trPr>
        <w:tc>
          <w:tcPr>
            <w:tcW w:w="0" w:type="auto"/>
            <w:vMerge/>
            <w:tcBorders>
              <w:top w:val="nil"/>
              <w:left w:val="nil"/>
              <w:right w:val="nil"/>
            </w:tcBorders>
            <w:vAlign w:val="center"/>
            <w:hideMark/>
          </w:tcPr>
          <w:p w14:paraId="4DD2219F" w14:textId="77777777" w:rsidR="00A01BF1" w:rsidRPr="00706E8E" w:rsidRDefault="00A01BF1" w:rsidP="00706E8E">
            <w:pPr>
              <w:spacing w:after="0" w:line="240" w:lineRule="auto"/>
              <w:rPr>
                <w:rFonts w:eastAsia="Times New Roman" w:cs="Arial"/>
                <w:b/>
                <w:bCs/>
                <w:color w:val="FFFFFF"/>
                <w:sz w:val="16"/>
                <w:szCs w:val="16"/>
                <w:lang w:eastAsia="zh-CN"/>
              </w:rPr>
            </w:pPr>
          </w:p>
        </w:tc>
        <w:tc>
          <w:tcPr>
            <w:tcW w:w="0" w:type="auto"/>
            <w:tcBorders>
              <w:top w:val="nil"/>
              <w:left w:val="nil"/>
              <w:bottom w:val="nil"/>
              <w:right w:val="nil"/>
            </w:tcBorders>
            <w:shd w:val="clear" w:color="000000" w:fill="6B2976"/>
            <w:vAlign w:val="center"/>
            <w:hideMark/>
          </w:tcPr>
          <w:p w14:paraId="1160B8B1" w14:textId="77777777" w:rsidR="00A01BF1" w:rsidRPr="00706E8E" w:rsidRDefault="00A01BF1"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17</w:t>
            </w:r>
          </w:p>
        </w:tc>
        <w:tc>
          <w:tcPr>
            <w:tcW w:w="0" w:type="auto"/>
            <w:tcBorders>
              <w:top w:val="nil"/>
              <w:left w:val="nil"/>
              <w:bottom w:val="nil"/>
              <w:right w:val="nil"/>
            </w:tcBorders>
            <w:shd w:val="clear" w:color="000000" w:fill="6B2976"/>
            <w:vAlign w:val="center"/>
            <w:hideMark/>
          </w:tcPr>
          <w:p w14:paraId="469A0F4E" w14:textId="77777777" w:rsidR="00A01BF1" w:rsidRPr="00706E8E" w:rsidRDefault="00A01BF1"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18</w:t>
            </w:r>
          </w:p>
        </w:tc>
        <w:tc>
          <w:tcPr>
            <w:tcW w:w="0" w:type="auto"/>
            <w:tcBorders>
              <w:top w:val="nil"/>
              <w:left w:val="nil"/>
              <w:bottom w:val="nil"/>
              <w:right w:val="nil"/>
            </w:tcBorders>
            <w:shd w:val="clear" w:color="000000" w:fill="6B2976"/>
            <w:vAlign w:val="center"/>
            <w:hideMark/>
          </w:tcPr>
          <w:p w14:paraId="1F49F53C" w14:textId="77777777" w:rsidR="00A01BF1" w:rsidRPr="00706E8E" w:rsidRDefault="00A01BF1"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19</w:t>
            </w:r>
          </w:p>
        </w:tc>
        <w:tc>
          <w:tcPr>
            <w:tcW w:w="0" w:type="auto"/>
            <w:tcBorders>
              <w:top w:val="nil"/>
              <w:left w:val="nil"/>
              <w:bottom w:val="nil"/>
              <w:right w:val="nil"/>
            </w:tcBorders>
            <w:shd w:val="clear" w:color="000000" w:fill="6B2976"/>
            <w:vAlign w:val="center"/>
            <w:hideMark/>
          </w:tcPr>
          <w:p w14:paraId="7351C6BA" w14:textId="77777777" w:rsidR="00A01BF1" w:rsidRPr="00706E8E" w:rsidRDefault="00A01BF1"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20</w:t>
            </w:r>
          </w:p>
        </w:tc>
        <w:tc>
          <w:tcPr>
            <w:tcW w:w="0" w:type="auto"/>
            <w:tcBorders>
              <w:top w:val="nil"/>
              <w:left w:val="nil"/>
              <w:bottom w:val="nil"/>
              <w:right w:val="nil"/>
            </w:tcBorders>
            <w:shd w:val="clear" w:color="000000" w:fill="6B2976"/>
            <w:vAlign w:val="center"/>
            <w:hideMark/>
          </w:tcPr>
          <w:p w14:paraId="2341B5CC" w14:textId="77777777" w:rsidR="00A01BF1" w:rsidRPr="00706E8E" w:rsidRDefault="00A01BF1"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21</w:t>
            </w:r>
          </w:p>
        </w:tc>
        <w:tc>
          <w:tcPr>
            <w:tcW w:w="0" w:type="auto"/>
            <w:tcBorders>
              <w:top w:val="nil"/>
              <w:left w:val="nil"/>
              <w:right w:val="nil"/>
            </w:tcBorders>
            <w:shd w:val="clear" w:color="000000" w:fill="6B2976"/>
            <w:vAlign w:val="center"/>
            <w:hideMark/>
          </w:tcPr>
          <w:p w14:paraId="2AE82010" w14:textId="77777777" w:rsidR="00A01BF1" w:rsidRPr="00706E8E" w:rsidRDefault="00A01BF1"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Jan-Feb 22</w:t>
            </w:r>
          </w:p>
        </w:tc>
        <w:tc>
          <w:tcPr>
            <w:tcW w:w="0" w:type="auto"/>
            <w:tcBorders>
              <w:top w:val="nil"/>
              <w:left w:val="nil"/>
              <w:right w:val="nil"/>
            </w:tcBorders>
            <w:shd w:val="clear" w:color="000000" w:fill="6B2976"/>
            <w:vAlign w:val="center"/>
            <w:hideMark/>
          </w:tcPr>
          <w:p w14:paraId="2622CE32" w14:textId="77777777" w:rsidR="00A01BF1" w:rsidRPr="00706E8E" w:rsidRDefault="00A01BF1"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Overall</w:t>
            </w:r>
          </w:p>
        </w:tc>
      </w:tr>
      <w:tr w:rsidR="00A01BF1" w:rsidRPr="002E0749" w14:paraId="18BB789C" w14:textId="77777777" w:rsidTr="00706E8E">
        <w:trPr>
          <w:trHeight w:val="285"/>
        </w:trPr>
        <w:tc>
          <w:tcPr>
            <w:tcW w:w="0" w:type="auto"/>
            <w:tcBorders>
              <w:top w:val="nil"/>
              <w:left w:val="nil"/>
              <w:bottom w:val="nil"/>
              <w:right w:val="dotted" w:sz="4" w:space="0" w:color="auto"/>
            </w:tcBorders>
            <w:shd w:val="clear" w:color="auto" w:fill="auto"/>
            <w:noWrap/>
            <w:vAlign w:val="center"/>
            <w:hideMark/>
          </w:tcPr>
          <w:p w14:paraId="48D71178" w14:textId="77777777" w:rsidR="00A01BF1" w:rsidRPr="002E0749" w:rsidRDefault="00A01BF1" w:rsidP="00706E8E">
            <w:pPr>
              <w:spacing w:after="0" w:line="240" w:lineRule="auto"/>
              <w:rPr>
                <w:rFonts w:eastAsia="Times New Roman" w:cs="Arial"/>
                <w:color w:val="000000"/>
                <w:sz w:val="18"/>
                <w:szCs w:val="18"/>
                <w:lang w:eastAsia="zh-CN"/>
              </w:rPr>
            </w:pPr>
            <w:r w:rsidRPr="002E0749">
              <w:rPr>
                <w:rFonts w:eastAsia="Times New Roman" w:cs="Arial"/>
                <w:color w:val="000000"/>
                <w:sz w:val="18"/>
                <w:szCs w:val="18"/>
                <w:lang w:eastAsia="zh-CN"/>
              </w:rPr>
              <w:t xml:space="preserve"> High </w:t>
            </w:r>
          </w:p>
        </w:tc>
        <w:tc>
          <w:tcPr>
            <w:tcW w:w="0" w:type="auto"/>
            <w:tcBorders>
              <w:top w:val="nil"/>
              <w:left w:val="dotted" w:sz="4" w:space="0" w:color="auto"/>
              <w:bottom w:val="nil"/>
              <w:right w:val="nil"/>
            </w:tcBorders>
            <w:shd w:val="clear" w:color="auto" w:fill="auto"/>
            <w:noWrap/>
            <w:vAlign w:val="center"/>
            <w:hideMark/>
          </w:tcPr>
          <w:p w14:paraId="7DC6129D"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0.45%</w:t>
            </w:r>
          </w:p>
        </w:tc>
        <w:tc>
          <w:tcPr>
            <w:tcW w:w="0" w:type="auto"/>
            <w:tcBorders>
              <w:top w:val="nil"/>
              <w:left w:val="nil"/>
              <w:bottom w:val="nil"/>
              <w:right w:val="nil"/>
            </w:tcBorders>
            <w:shd w:val="clear" w:color="auto" w:fill="auto"/>
            <w:noWrap/>
            <w:vAlign w:val="center"/>
            <w:hideMark/>
          </w:tcPr>
          <w:p w14:paraId="32C51210"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0.26%</w:t>
            </w:r>
          </w:p>
        </w:tc>
        <w:tc>
          <w:tcPr>
            <w:tcW w:w="0" w:type="auto"/>
            <w:tcBorders>
              <w:top w:val="nil"/>
              <w:left w:val="nil"/>
              <w:bottom w:val="nil"/>
              <w:right w:val="nil"/>
            </w:tcBorders>
            <w:shd w:val="clear" w:color="auto" w:fill="auto"/>
            <w:noWrap/>
            <w:vAlign w:val="center"/>
            <w:hideMark/>
          </w:tcPr>
          <w:p w14:paraId="4D52C18F"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0.26%</w:t>
            </w:r>
          </w:p>
        </w:tc>
        <w:tc>
          <w:tcPr>
            <w:tcW w:w="0" w:type="auto"/>
            <w:tcBorders>
              <w:top w:val="nil"/>
              <w:left w:val="nil"/>
              <w:bottom w:val="nil"/>
              <w:right w:val="nil"/>
            </w:tcBorders>
            <w:shd w:val="clear" w:color="auto" w:fill="auto"/>
            <w:noWrap/>
            <w:vAlign w:val="center"/>
            <w:hideMark/>
          </w:tcPr>
          <w:p w14:paraId="7AD86B4E"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0.20%</w:t>
            </w:r>
          </w:p>
        </w:tc>
        <w:tc>
          <w:tcPr>
            <w:tcW w:w="0" w:type="auto"/>
            <w:tcBorders>
              <w:top w:val="nil"/>
              <w:left w:val="nil"/>
              <w:bottom w:val="nil"/>
              <w:right w:val="nil"/>
            </w:tcBorders>
            <w:shd w:val="clear" w:color="auto" w:fill="auto"/>
            <w:noWrap/>
            <w:vAlign w:val="center"/>
            <w:hideMark/>
          </w:tcPr>
          <w:p w14:paraId="5B997FCD"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0.18%</w:t>
            </w:r>
          </w:p>
        </w:tc>
        <w:tc>
          <w:tcPr>
            <w:tcW w:w="0" w:type="auto"/>
            <w:tcBorders>
              <w:top w:val="nil"/>
              <w:left w:val="nil"/>
              <w:bottom w:val="nil"/>
              <w:right w:val="dotted" w:sz="4" w:space="0" w:color="auto"/>
            </w:tcBorders>
            <w:shd w:val="clear" w:color="auto" w:fill="auto"/>
            <w:noWrap/>
            <w:vAlign w:val="center"/>
            <w:hideMark/>
          </w:tcPr>
          <w:p w14:paraId="2AC8CE0A"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0.20%</w:t>
            </w:r>
          </w:p>
        </w:tc>
        <w:tc>
          <w:tcPr>
            <w:tcW w:w="0" w:type="auto"/>
            <w:tcBorders>
              <w:top w:val="nil"/>
              <w:left w:val="dotted" w:sz="4" w:space="0" w:color="auto"/>
              <w:bottom w:val="nil"/>
            </w:tcBorders>
            <w:shd w:val="clear" w:color="auto" w:fill="auto"/>
            <w:noWrap/>
            <w:vAlign w:val="center"/>
            <w:hideMark/>
          </w:tcPr>
          <w:p w14:paraId="7495250E"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0.22%</w:t>
            </w:r>
          </w:p>
        </w:tc>
      </w:tr>
      <w:tr w:rsidR="00A01BF1" w:rsidRPr="002E0749" w14:paraId="3E60B0B8" w14:textId="77777777" w:rsidTr="00706E8E">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6B0EA926" w14:textId="77777777" w:rsidR="00A01BF1" w:rsidRPr="002E0749" w:rsidRDefault="00A01BF1" w:rsidP="00706E8E">
            <w:pPr>
              <w:spacing w:after="0" w:line="240" w:lineRule="auto"/>
              <w:rPr>
                <w:rFonts w:eastAsia="Times New Roman" w:cs="Arial"/>
                <w:color w:val="000000"/>
                <w:sz w:val="18"/>
                <w:szCs w:val="18"/>
                <w:lang w:eastAsia="zh-CN"/>
              </w:rPr>
            </w:pPr>
            <w:r w:rsidRPr="002E0749">
              <w:rPr>
                <w:rFonts w:eastAsia="Times New Roman" w:cs="Arial"/>
                <w:color w:val="000000"/>
                <w:sz w:val="18"/>
                <w:szCs w:val="18"/>
                <w:lang w:eastAsia="zh-CN"/>
              </w:rPr>
              <w:t xml:space="preserve"> Medium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2C7C04A7"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0.51%</w:t>
            </w:r>
          </w:p>
        </w:tc>
        <w:tc>
          <w:tcPr>
            <w:tcW w:w="0" w:type="auto"/>
            <w:tcBorders>
              <w:top w:val="nil"/>
              <w:left w:val="nil"/>
              <w:bottom w:val="nil"/>
              <w:right w:val="nil"/>
            </w:tcBorders>
            <w:shd w:val="clear" w:color="auto" w:fill="BFBFBF" w:themeFill="background1" w:themeFillShade="BF"/>
            <w:noWrap/>
            <w:vAlign w:val="center"/>
            <w:hideMark/>
          </w:tcPr>
          <w:p w14:paraId="2CCB393C"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0.57%</w:t>
            </w:r>
          </w:p>
        </w:tc>
        <w:tc>
          <w:tcPr>
            <w:tcW w:w="0" w:type="auto"/>
            <w:tcBorders>
              <w:top w:val="nil"/>
              <w:left w:val="nil"/>
              <w:bottom w:val="nil"/>
              <w:right w:val="nil"/>
            </w:tcBorders>
            <w:shd w:val="clear" w:color="auto" w:fill="BFBFBF" w:themeFill="background1" w:themeFillShade="BF"/>
            <w:noWrap/>
            <w:vAlign w:val="center"/>
            <w:hideMark/>
          </w:tcPr>
          <w:p w14:paraId="0B5F7FFA"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0.54%</w:t>
            </w:r>
          </w:p>
        </w:tc>
        <w:tc>
          <w:tcPr>
            <w:tcW w:w="0" w:type="auto"/>
            <w:tcBorders>
              <w:top w:val="nil"/>
              <w:left w:val="nil"/>
              <w:bottom w:val="nil"/>
              <w:right w:val="nil"/>
            </w:tcBorders>
            <w:shd w:val="clear" w:color="auto" w:fill="BFBFBF" w:themeFill="background1" w:themeFillShade="BF"/>
            <w:noWrap/>
            <w:vAlign w:val="center"/>
            <w:hideMark/>
          </w:tcPr>
          <w:p w14:paraId="69BD50BE"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0.61%</w:t>
            </w:r>
          </w:p>
        </w:tc>
        <w:tc>
          <w:tcPr>
            <w:tcW w:w="0" w:type="auto"/>
            <w:tcBorders>
              <w:top w:val="nil"/>
              <w:left w:val="nil"/>
              <w:bottom w:val="nil"/>
              <w:right w:val="nil"/>
            </w:tcBorders>
            <w:shd w:val="clear" w:color="auto" w:fill="BFBFBF" w:themeFill="background1" w:themeFillShade="BF"/>
            <w:noWrap/>
            <w:vAlign w:val="center"/>
            <w:hideMark/>
          </w:tcPr>
          <w:p w14:paraId="1ECF6856"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0.55%</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15E26085"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0.56%</w:t>
            </w:r>
          </w:p>
        </w:tc>
        <w:tc>
          <w:tcPr>
            <w:tcW w:w="0" w:type="auto"/>
            <w:tcBorders>
              <w:top w:val="nil"/>
              <w:left w:val="dotted" w:sz="4" w:space="0" w:color="auto"/>
              <w:bottom w:val="nil"/>
            </w:tcBorders>
            <w:shd w:val="clear" w:color="auto" w:fill="BFBFBF" w:themeFill="background1" w:themeFillShade="BF"/>
            <w:noWrap/>
            <w:vAlign w:val="center"/>
            <w:hideMark/>
          </w:tcPr>
          <w:p w14:paraId="289D876A"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0.56%</w:t>
            </w:r>
          </w:p>
        </w:tc>
      </w:tr>
      <w:tr w:rsidR="00A01BF1" w:rsidRPr="002E0749" w14:paraId="31044B8F" w14:textId="77777777" w:rsidTr="00706E8E">
        <w:trPr>
          <w:trHeight w:val="285"/>
        </w:trPr>
        <w:tc>
          <w:tcPr>
            <w:tcW w:w="0" w:type="auto"/>
            <w:tcBorders>
              <w:top w:val="nil"/>
              <w:left w:val="nil"/>
              <w:bottom w:val="nil"/>
              <w:right w:val="dotted" w:sz="4" w:space="0" w:color="auto"/>
            </w:tcBorders>
            <w:shd w:val="clear" w:color="auto" w:fill="auto"/>
            <w:noWrap/>
            <w:vAlign w:val="center"/>
            <w:hideMark/>
          </w:tcPr>
          <w:p w14:paraId="1E685A10" w14:textId="77777777" w:rsidR="00A01BF1" w:rsidRPr="002E0749" w:rsidRDefault="00A01BF1" w:rsidP="00706E8E">
            <w:pPr>
              <w:spacing w:after="0" w:line="240" w:lineRule="auto"/>
              <w:rPr>
                <w:rFonts w:eastAsia="Times New Roman" w:cs="Arial"/>
                <w:color w:val="000000"/>
                <w:sz w:val="18"/>
                <w:szCs w:val="18"/>
                <w:lang w:eastAsia="zh-CN"/>
              </w:rPr>
            </w:pPr>
            <w:r w:rsidRPr="002E0749">
              <w:rPr>
                <w:rFonts w:eastAsia="Times New Roman" w:cs="Arial"/>
                <w:color w:val="000000"/>
                <w:sz w:val="18"/>
                <w:szCs w:val="18"/>
                <w:lang w:eastAsia="zh-CN"/>
              </w:rPr>
              <w:t xml:space="preserve"> Low </w:t>
            </w:r>
          </w:p>
        </w:tc>
        <w:tc>
          <w:tcPr>
            <w:tcW w:w="0" w:type="auto"/>
            <w:tcBorders>
              <w:top w:val="nil"/>
              <w:left w:val="dotted" w:sz="4" w:space="0" w:color="auto"/>
              <w:bottom w:val="nil"/>
              <w:right w:val="nil"/>
            </w:tcBorders>
            <w:shd w:val="clear" w:color="auto" w:fill="auto"/>
            <w:noWrap/>
            <w:vAlign w:val="center"/>
            <w:hideMark/>
          </w:tcPr>
          <w:p w14:paraId="2453DBC6"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1.13%</w:t>
            </w:r>
          </w:p>
        </w:tc>
        <w:tc>
          <w:tcPr>
            <w:tcW w:w="0" w:type="auto"/>
            <w:tcBorders>
              <w:top w:val="nil"/>
              <w:left w:val="nil"/>
              <w:bottom w:val="nil"/>
              <w:right w:val="nil"/>
            </w:tcBorders>
            <w:shd w:val="clear" w:color="auto" w:fill="auto"/>
            <w:noWrap/>
            <w:vAlign w:val="center"/>
            <w:hideMark/>
          </w:tcPr>
          <w:p w14:paraId="40230B1A"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1.64%</w:t>
            </w:r>
          </w:p>
        </w:tc>
        <w:tc>
          <w:tcPr>
            <w:tcW w:w="0" w:type="auto"/>
            <w:tcBorders>
              <w:top w:val="nil"/>
              <w:left w:val="nil"/>
              <w:bottom w:val="nil"/>
              <w:right w:val="nil"/>
            </w:tcBorders>
            <w:shd w:val="clear" w:color="auto" w:fill="auto"/>
            <w:noWrap/>
            <w:vAlign w:val="center"/>
            <w:hideMark/>
          </w:tcPr>
          <w:p w14:paraId="1B6DCBED"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2.01%</w:t>
            </w:r>
          </w:p>
        </w:tc>
        <w:tc>
          <w:tcPr>
            <w:tcW w:w="0" w:type="auto"/>
            <w:tcBorders>
              <w:top w:val="nil"/>
              <w:left w:val="nil"/>
              <w:bottom w:val="nil"/>
              <w:right w:val="nil"/>
            </w:tcBorders>
            <w:shd w:val="clear" w:color="auto" w:fill="auto"/>
            <w:noWrap/>
            <w:vAlign w:val="center"/>
            <w:hideMark/>
          </w:tcPr>
          <w:p w14:paraId="5E34F0A7"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2.20%</w:t>
            </w:r>
          </w:p>
        </w:tc>
        <w:tc>
          <w:tcPr>
            <w:tcW w:w="0" w:type="auto"/>
            <w:tcBorders>
              <w:top w:val="nil"/>
              <w:left w:val="nil"/>
              <w:bottom w:val="nil"/>
              <w:right w:val="nil"/>
            </w:tcBorders>
            <w:shd w:val="clear" w:color="auto" w:fill="auto"/>
            <w:noWrap/>
            <w:vAlign w:val="center"/>
            <w:hideMark/>
          </w:tcPr>
          <w:p w14:paraId="3001214B"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2.33%</w:t>
            </w:r>
          </w:p>
        </w:tc>
        <w:tc>
          <w:tcPr>
            <w:tcW w:w="0" w:type="auto"/>
            <w:tcBorders>
              <w:top w:val="nil"/>
              <w:left w:val="nil"/>
              <w:bottom w:val="nil"/>
              <w:right w:val="dotted" w:sz="4" w:space="0" w:color="auto"/>
            </w:tcBorders>
            <w:shd w:val="clear" w:color="auto" w:fill="auto"/>
            <w:noWrap/>
            <w:vAlign w:val="center"/>
            <w:hideMark/>
          </w:tcPr>
          <w:p w14:paraId="3666FFEE"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2.67%</w:t>
            </w:r>
          </w:p>
        </w:tc>
        <w:tc>
          <w:tcPr>
            <w:tcW w:w="0" w:type="auto"/>
            <w:tcBorders>
              <w:top w:val="nil"/>
              <w:left w:val="dotted" w:sz="4" w:space="0" w:color="auto"/>
              <w:bottom w:val="nil"/>
            </w:tcBorders>
            <w:shd w:val="clear" w:color="auto" w:fill="auto"/>
            <w:noWrap/>
            <w:vAlign w:val="center"/>
            <w:hideMark/>
          </w:tcPr>
          <w:p w14:paraId="28752474"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2.07%</w:t>
            </w:r>
          </w:p>
        </w:tc>
      </w:tr>
      <w:tr w:rsidR="00A01BF1" w:rsidRPr="002E0749" w14:paraId="38174A30" w14:textId="77777777" w:rsidTr="00706E8E">
        <w:trPr>
          <w:trHeight w:val="285"/>
        </w:trPr>
        <w:tc>
          <w:tcPr>
            <w:tcW w:w="0" w:type="auto"/>
            <w:tcBorders>
              <w:top w:val="nil"/>
              <w:left w:val="nil"/>
              <w:bottom w:val="single" w:sz="4" w:space="0" w:color="auto"/>
              <w:right w:val="dotted" w:sz="4" w:space="0" w:color="auto"/>
            </w:tcBorders>
            <w:shd w:val="clear" w:color="auto" w:fill="BFBFBF" w:themeFill="background1" w:themeFillShade="BF"/>
            <w:noWrap/>
            <w:vAlign w:val="center"/>
            <w:hideMark/>
          </w:tcPr>
          <w:p w14:paraId="0CD3897D" w14:textId="77777777" w:rsidR="00A01BF1" w:rsidRPr="002E0749" w:rsidRDefault="00A01BF1" w:rsidP="00706E8E">
            <w:pPr>
              <w:spacing w:after="0" w:line="240" w:lineRule="auto"/>
              <w:rPr>
                <w:rFonts w:eastAsia="Times New Roman" w:cs="Arial"/>
                <w:color w:val="000000"/>
                <w:sz w:val="18"/>
                <w:szCs w:val="18"/>
                <w:lang w:eastAsia="zh-CN"/>
              </w:rPr>
            </w:pPr>
            <w:r w:rsidRPr="002E0749">
              <w:rPr>
                <w:rFonts w:eastAsia="Times New Roman" w:cs="Arial"/>
                <w:color w:val="000000"/>
                <w:sz w:val="18"/>
                <w:szCs w:val="18"/>
                <w:lang w:eastAsia="zh-CN"/>
              </w:rPr>
              <w:t xml:space="preserve"> Missing </w:t>
            </w:r>
          </w:p>
        </w:tc>
        <w:tc>
          <w:tcPr>
            <w:tcW w:w="0" w:type="auto"/>
            <w:tcBorders>
              <w:top w:val="nil"/>
              <w:left w:val="dotted" w:sz="4" w:space="0" w:color="auto"/>
              <w:bottom w:val="single" w:sz="4" w:space="0" w:color="auto"/>
              <w:right w:val="nil"/>
            </w:tcBorders>
            <w:shd w:val="clear" w:color="auto" w:fill="BFBFBF" w:themeFill="background1" w:themeFillShade="BF"/>
            <w:noWrap/>
            <w:vAlign w:val="center"/>
            <w:hideMark/>
          </w:tcPr>
          <w:p w14:paraId="2A4E4067"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12.35%</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1709678B"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7.11%</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5ED5F4D8"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2.43%</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511EE8E5"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1.30%</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29D97EA5"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0.00%</w:t>
            </w:r>
          </w:p>
        </w:tc>
        <w:tc>
          <w:tcPr>
            <w:tcW w:w="0" w:type="auto"/>
            <w:tcBorders>
              <w:top w:val="nil"/>
              <w:left w:val="nil"/>
              <w:bottom w:val="single" w:sz="4" w:space="0" w:color="auto"/>
              <w:right w:val="dotted" w:sz="4" w:space="0" w:color="auto"/>
            </w:tcBorders>
            <w:shd w:val="clear" w:color="auto" w:fill="BFBFBF" w:themeFill="background1" w:themeFillShade="BF"/>
            <w:noWrap/>
            <w:vAlign w:val="center"/>
            <w:hideMark/>
          </w:tcPr>
          <w:p w14:paraId="17DC5789"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0.00%</w:t>
            </w:r>
          </w:p>
        </w:tc>
        <w:tc>
          <w:tcPr>
            <w:tcW w:w="0" w:type="auto"/>
            <w:tcBorders>
              <w:top w:val="nil"/>
              <w:left w:val="dotted" w:sz="4" w:space="0" w:color="auto"/>
              <w:bottom w:val="single" w:sz="4" w:space="0" w:color="auto"/>
            </w:tcBorders>
            <w:shd w:val="clear" w:color="auto" w:fill="BFBFBF" w:themeFill="background1" w:themeFillShade="BF"/>
            <w:noWrap/>
            <w:vAlign w:val="center"/>
            <w:hideMark/>
          </w:tcPr>
          <w:p w14:paraId="7B16E334" w14:textId="77777777" w:rsidR="00A01BF1" w:rsidRPr="002E0749" w:rsidRDefault="00A01BF1" w:rsidP="00706E8E">
            <w:pPr>
              <w:spacing w:after="0" w:line="240" w:lineRule="auto"/>
              <w:jc w:val="right"/>
              <w:rPr>
                <w:rFonts w:eastAsia="Times New Roman" w:cs="Arial"/>
                <w:sz w:val="18"/>
                <w:szCs w:val="18"/>
                <w:lang w:eastAsia="zh-CN"/>
              </w:rPr>
            </w:pPr>
            <w:r w:rsidRPr="002E0749">
              <w:rPr>
                <w:rFonts w:eastAsia="Times New Roman" w:cs="Arial"/>
                <w:sz w:val="18"/>
                <w:szCs w:val="18"/>
                <w:lang w:eastAsia="zh-CN"/>
              </w:rPr>
              <w:t>6.23%</w:t>
            </w:r>
          </w:p>
        </w:tc>
      </w:tr>
      <w:tr w:rsidR="00A01BF1" w:rsidRPr="002E0749" w14:paraId="510083D8" w14:textId="77777777" w:rsidTr="00706E8E">
        <w:trPr>
          <w:trHeight w:val="300"/>
        </w:trPr>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7085D67F" w14:textId="77777777" w:rsidR="00A01BF1" w:rsidRPr="002E0749" w:rsidRDefault="00A01BF1" w:rsidP="00706E8E">
            <w:pPr>
              <w:spacing w:after="0" w:line="240" w:lineRule="auto"/>
              <w:rPr>
                <w:rFonts w:eastAsia="Times New Roman" w:cs="Arial"/>
                <w:b/>
                <w:bCs/>
                <w:color w:val="000000"/>
                <w:sz w:val="18"/>
                <w:szCs w:val="18"/>
                <w:lang w:eastAsia="zh-CN"/>
              </w:rPr>
            </w:pPr>
            <w:r w:rsidRPr="002E0749">
              <w:rPr>
                <w:rFonts w:eastAsia="Times New Roman" w:cs="Arial"/>
                <w:b/>
                <w:bCs/>
                <w:color w:val="000000"/>
                <w:sz w:val="18"/>
                <w:szCs w:val="18"/>
                <w:lang w:eastAsia="zh-CN"/>
              </w:rPr>
              <w:t>Overall</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5982B5C7" w14:textId="77777777" w:rsidR="00A01BF1" w:rsidRPr="002E0749" w:rsidRDefault="00A01BF1" w:rsidP="00706E8E">
            <w:pPr>
              <w:spacing w:after="0" w:line="240" w:lineRule="auto"/>
              <w:jc w:val="right"/>
              <w:rPr>
                <w:rFonts w:eastAsia="Times New Roman" w:cs="Arial"/>
                <w:b/>
                <w:bCs/>
                <w:color w:val="000000"/>
                <w:sz w:val="18"/>
                <w:szCs w:val="18"/>
                <w:lang w:eastAsia="zh-CN"/>
              </w:rPr>
            </w:pPr>
            <w:r w:rsidRPr="002E0749">
              <w:rPr>
                <w:rFonts w:eastAsia="Times New Roman" w:cs="Arial"/>
                <w:b/>
                <w:bCs/>
                <w:color w:val="000000"/>
                <w:sz w:val="18"/>
                <w:szCs w:val="18"/>
                <w:lang w:eastAsia="zh-CN"/>
              </w:rPr>
              <w:t>0.81%</w:t>
            </w:r>
          </w:p>
        </w:tc>
        <w:tc>
          <w:tcPr>
            <w:tcW w:w="0" w:type="auto"/>
            <w:tcBorders>
              <w:top w:val="single" w:sz="4" w:space="0" w:color="auto"/>
              <w:left w:val="nil"/>
              <w:bottom w:val="single" w:sz="4" w:space="0" w:color="auto"/>
              <w:right w:val="nil"/>
            </w:tcBorders>
            <w:shd w:val="clear" w:color="auto" w:fill="D3C5D7"/>
            <w:noWrap/>
            <w:vAlign w:val="center"/>
            <w:hideMark/>
          </w:tcPr>
          <w:p w14:paraId="06848603" w14:textId="77777777" w:rsidR="00A01BF1" w:rsidRPr="002E0749" w:rsidRDefault="00A01BF1" w:rsidP="00706E8E">
            <w:pPr>
              <w:spacing w:after="0" w:line="240" w:lineRule="auto"/>
              <w:jc w:val="right"/>
              <w:rPr>
                <w:rFonts w:eastAsia="Times New Roman" w:cs="Arial"/>
                <w:b/>
                <w:bCs/>
                <w:color w:val="000000"/>
                <w:sz w:val="18"/>
                <w:szCs w:val="18"/>
                <w:lang w:eastAsia="zh-CN"/>
              </w:rPr>
            </w:pPr>
            <w:r w:rsidRPr="002E0749">
              <w:rPr>
                <w:rFonts w:eastAsia="Times New Roman" w:cs="Arial"/>
                <w:b/>
                <w:bCs/>
                <w:color w:val="000000"/>
                <w:sz w:val="18"/>
                <w:szCs w:val="18"/>
                <w:lang w:eastAsia="zh-CN"/>
              </w:rPr>
              <w:t>0.89%</w:t>
            </w:r>
          </w:p>
        </w:tc>
        <w:tc>
          <w:tcPr>
            <w:tcW w:w="0" w:type="auto"/>
            <w:tcBorders>
              <w:top w:val="single" w:sz="4" w:space="0" w:color="auto"/>
              <w:left w:val="nil"/>
              <w:bottom w:val="single" w:sz="4" w:space="0" w:color="auto"/>
              <w:right w:val="nil"/>
            </w:tcBorders>
            <w:shd w:val="clear" w:color="auto" w:fill="D3C5D7"/>
            <w:noWrap/>
            <w:vAlign w:val="center"/>
            <w:hideMark/>
          </w:tcPr>
          <w:p w14:paraId="2515D817" w14:textId="77777777" w:rsidR="00A01BF1" w:rsidRPr="002E0749" w:rsidRDefault="00A01BF1" w:rsidP="00706E8E">
            <w:pPr>
              <w:spacing w:after="0" w:line="240" w:lineRule="auto"/>
              <w:jc w:val="right"/>
              <w:rPr>
                <w:rFonts w:eastAsia="Times New Roman" w:cs="Arial"/>
                <w:b/>
                <w:bCs/>
                <w:color w:val="000000"/>
                <w:sz w:val="18"/>
                <w:szCs w:val="18"/>
                <w:lang w:eastAsia="zh-CN"/>
              </w:rPr>
            </w:pPr>
            <w:r w:rsidRPr="002E0749">
              <w:rPr>
                <w:rFonts w:eastAsia="Times New Roman" w:cs="Arial"/>
                <w:b/>
                <w:bCs/>
                <w:color w:val="000000"/>
                <w:sz w:val="18"/>
                <w:szCs w:val="18"/>
                <w:lang w:eastAsia="zh-CN"/>
              </w:rPr>
              <w:t>0.97%</w:t>
            </w:r>
          </w:p>
        </w:tc>
        <w:tc>
          <w:tcPr>
            <w:tcW w:w="0" w:type="auto"/>
            <w:tcBorders>
              <w:top w:val="single" w:sz="4" w:space="0" w:color="auto"/>
              <w:left w:val="nil"/>
              <w:bottom w:val="single" w:sz="4" w:space="0" w:color="auto"/>
              <w:right w:val="nil"/>
            </w:tcBorders>
            <w:shd w:val="clear" w:color="auto" w:fill="D3C5D7"/>
            <w:noWrap/>
            <w:vAlign w:val="center"/>
            <w:hideMark/>
          </w:tcPr>
          <w:p w14:paraId="520FAA45" w14:textId="77777777" w:rsidR="00A01BF1" w:rsidRPr="002E0749" w:rsidRDefault="00A01BF1" w:rsidP="00706E8E">
            <w:pPr>
              <w:spacing w:after="0" w:line="240" w:lineRule="auto"/>
              <w:jc w:val="right"/>
              <w:rPr>
                <w:rFonts w:eastAsia="Times New Roman" w:cs="Arial"/>
                <w:b/>
                <w:bCs/>
                <w:color w:val="000000"/>
                <w:sz w:val="18"/>
                <w:szCs w:val="18"/>
                <w:lang w:eastAsia="zh-CN"/>
              </w:rPr>
            </w:pPr>
            <w:r w:rsidRPr="002E0749">
              <w:rPr>
                <w:rFonts w:eastAsia="Times New Roman" w:cs="Arial"/>
                <w:b/>
                <w:bCs/>
                <w:color w:val="000000"/>
                <w:sz w:val="18"/>
                <w:szCs w:val="18"/>
                <w:lang w:eastAsia="zh-CN"/>
              </w:rPr>
              <w:t>0.99%</w:t>
            </w:r>
          </w:p>
        </w:tc>
        <w:tc>
          <w:tcPr>
            <w:tcW w:w="0" w:type="auto"/>
            <w:tcBorders>
              <w:top w:val="single" w:sz="4" w:space="0" w:color="auto"/>
              <w:left w:val="nil"/>
              <w:bottom w:val="single" w:sz="4" w:space="0" w:color="auto"/>
              <w:right w:val="nil"/>
            </w:tcBorders>
            <w:shd w:val="clear" w:color="auto" w:fill="D3C5D7"/>
            <w:noWrap/>
            <w:vAlign w:val="center"/>
            <w:hideMark/>
          </w:tcPr>
          <w:p w14:paraId="3E03F095" w14:textId="77777777" w:rsidR="00A01BF1" w:rsidRPr="002E0749" w:rsidRDefault="00A01BF1" w:rsidP="00706E8E">
            <w:pPr>
              <w:spacing w:after="0" w:line="240" w:lineRule="auto"/>
              <w:jc w:val="right"/>
              <w:rPr>
                <w:rFonts w:eastAsia="Times New Roman" w:cs="Arial"/>
                <w:b/>
                <w:bCs/>
                <w:color w:val="000000"/>
                <w:sz w:val="18"/>
                <w:szCs w:val="18"/>
                <w:lang w:eastAsia="zh-CN"/>
              </w:rPr>
            </w:pPr>
            <w:r w:rsidRPr="002E0749">
              <w:rPr>
                <w:rFonts w:eastAsia="Times New Roman" w:cs="Arial"/>
                <w:b/>
                <w:bCs/>
                <w:color w:val="000000"/>
                <w:sz w:val="18"/>
                <w:szCs w:val="18"/>
                <w:lang w:eastAsia="zh-CN"/>
              </w:rPr>
              <w:t>0.94%</w:t>
            </w:r>
          </w:p>
        </w:tc>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383163F7" w14:textId="77777777" w:rsidR="00A01BF1" w:rsidRPr="002E0749" w:rsidRDefault="00A01BF1" w:rsidP="00706E8E">
            <w:pPr>
              <w:spacing w:after="0" w:line="240" w:lineRule="auto"/>
              <w:jc w:val="right"/>
              <w:rPr>
                <w:rFonts w:eastAsia="Times New Roman" w:cs="Arial"/>
                <w:b/>
                <w:bCs/>
                <w:color w:val="000000"/>
                <w:sz w:val="18"/>
                <w:szCs w:val="18"/>
                <w:lang w:eastAsia="zh-CN"/>
              </w:rPr>
            </w:pPr>
            <w:r w:rsidRPr="002E0749">
              <w:rPr>
                <w:rFonts w:eastAsia="Times New Roman" w:cs="Arial"/>
                <w:b/>
                <w:bCs/>
                <w:color w:val="000000"/>
                <w:sz w:val="18"/>
                <w:szCs w:val="18"/>
                <w:lang w:eastAsia="zh-CN"/>
              </w:rPr>
              <w:t>1.01%</w:t>
            </w:r>
          </w:p>
        </w:tc>
        <w:tc>
          <w:tcPr>
            <w:tcW w:w="0" w:type="auto"/>
            <w:tcBorders>
              <w:top w:val="single" w:sz="4" w:space="0" w:color="auto"/>
              <w:left w:val="dotted" w:sz="4" w:space="0" w:color="auto"/>
              <w:bottom w:val="single" w:sz="4" w:space="0" w:color="auto"/>
            </w:tcBorders>
            <w:shd w:val="clear" w:color="auto" w:fill="D3C5D7"/>
            <w:noWrap/>
            <w:vAlign w:val="center"/>
            <w:hideMark/>
          </w:tcPr>
          <w:p w14:paraId="59D4BA6B" w14:textId="77777777" w:rsidR="00A01BF1" w:rsidRPr="002E0749" w:rsidRDefault="00A01BF1" w:rsidP="00706E8E">
            <w:pPr>
              <w:spacing w:after="0" w:line="240" w:lineRule="auto"/>
              <w:jc w:val="right"/>
              <w:rPr>
                <w:rFonts w:eastAsia="Times New Roman" w:cs="Arial"/>
                <w:b/>
                <w:bCs/>
                <w:color w:val="000000"/>
                <w:sz w:val="18"/>
                <w:szCs w:val="18"/>
                <w:lang w:eastAsia="zh-CN"/>
              </w:rPr>
            </w:pPr>
            <w:r w:rsidRPr="002E0749">
              <w:rPr>
                <w:rFonts w:eastAsia="Times New Roman" w:cs="Arial"/>
                <w:b/>
                <w:bCs/>
                <w:color w:val="000000"/>
                <w:sz w:val="18"/>
                <w:szCs w:val="18"/>
                <w:lang w:eastAsia="zh-CN"/>
              </w:rPr>
              <w:t>0.95%</w:t>
            </w:r>
          </w:p>
        </w:tc>
      </w:tr>
    </w:tbl>
    <w:p w14:paraId="1BCEE1AB" w14:textId="77777777" w:rsidR="00A01BF1" w:rsidRDefault="00A01BF1" w:rsidP="00DA3F73">
      <w:pPr>
        <w:pStyle w:val="Tables"/>
      </w:pPr>
    </w:p>
    <w:tbl>
      <w:tblPr>
        <w:tblW w:w="0" w:type="auto"/>
        <w:tblLook w:val="04A0" w:firstRow="1" w:lastRow="0" w:firstColumn="1" w:lastColumn="0" w:noHBand="0" w:noVBand="1"/>
      </w:tblPr>
      <w:tblGrid>
        <w:gridCol w:w="1496"/>
        <w:gridCol w:w="1061"/>
        <w:gridCol w:w="1061"/>
        <w:gridCol w:w="1061"/>
        <w:gridCol w:w="1061"/>
        <w:gridCol w:w="1061"/>
        <w:gridCol w:w="1052"/>
        <w:gridCol w:w="759"/>
      </w:tblGrid>
      <w:tr w:rsidR="003B7C93" w:rsidRPr="00706E8E" w14:paraId="2D52C1D3" w14:textId="77777777" w:rsidTr="00706E8E">
        <w:trPr>
          <w:trHeight w:val="397"/>
        </w:trPr>
        <w:tc>
          <w:tcPr>
            <w:tcW w:w="0" w:type="auto"/>
            <w:vMerge w:val="restart"/>
            <w:tcBorders>
              <w:top w:val="nil"/>
              <w:left w:val="nil"/>
              <w:bottom w:val="nil"/>
              <w:right w:val="nil"/>
            </w:tcBorders>
            <w:shd w:val="clear" w:color="000000" w:fill="6B2976"/>
            <w:vAlign w:val="center"/>
            <w:hideMark/>
          </w:tcPr>
          <w:p w14:paraId="6AB41BAF" w14:textId="77777777" w:rsidR="003B7C93" w:rsidRPr="00706E8E" w:rsidRDefault="003B7C93" w:rsidP="00706E8E">
            <w:pPr>
              <w:spacing w:after="0" w:line="240" w:lineRule="auto"/>
              <w:rPr>
                <w:rFonts w:eastAsia="Times New Roman" w:cs="Arial"/>
                <w:b/>
                <w:bCs/>
                <w:color w:val="FFFFFF"/>
                <w:sz w:val="16"/>
                <w:szCs w:val="16"/>
                <w:lang w:eastAsia="zh-CN"/>
              </w:rPr>
            </w:pPr>
            <w:r w:rsidRPr="00706E8E">
              <w:rPr>
                <w:rFonts w:eastAsia="Times New Roman" w:cs="Arial"/>
                <w:b/>
                <w:bCs/>
                <w:color w:val="FFFFFF"/>
                <w:sz w:val="16"/>
                <w:szCs w:val="16"/>
                <w:lang w:eastAsia="zh-CN"/>
              </w:rPr>
              <w:t>Level of function</w:t>
            </w:r>
          </w:p>
        </w:tc>
        <w:tc>
          <w:tcPr>
            <w:tcW w:w="0" w:type="auto"/>
            <w:gridSpan w:val="7"/>
            <w:tcBorders>
              <w:top w:val="nil"/>
              <w:left w:val="nil"/>
              <w:bottom w:val="single" w:sz="4" w:space="0" w:color="FFFFFF"/>
              <w:right w:val="nil"/>
            </w:tcBorders>
            <w:shd w:val="clear" w:color="000000" w:fill="6B2976"/>
            <w:vAlign w:val="center"/>
            <w:hideMark/>
          </w:tcPr>
          <w:p w14:paraId="1A96FC1E" w14:textId="77777777" w:rsidR="003B7C93" w:rsidRPr="00706E8E" w:rsidRDefault="003B7C93" w:rsidP="008116E1">
            <w:pPr>
              <w:spacing w:after="0" w:line="240" w:lineRule="auto"/>
              <w:jc w:val="center"/>
              <w:rPr>
                <w:rFonts w:eastAsia="Times New Roman" w:cs="Arial"/>
                <w:b/>
                <w:bCs/>
                <w:color w:val="FFFFFF"/>
                <w:sz w:val="16"/>
                <w:szCs w:val="16"/>
                <w:lang w:eastAsia="zh-CN"/>
              </w:rPr>
            </w:pPr>
            <w:r w:rsidRPr="00706E8E">
              <w:rPr>
                <w:rFonts w:eastAsia="Times New Roman" w:cs="Arial"/>
                <w:b/>
                <w:bCs/>
                <w:color w:val="FFFFFF"/>
                <w:sz w:val="16"/>
                <w:szCs w:val="16"/>
                <w:lang w:eastAsia="zh-CN"/>
              </w:rPr>
              <w:t>Expected</w:t>
            </w:r>
          </w:p>
        </w:tc>
      </w:tr>
      <w:tr w:rsidR="00F830E6" w:rsidRPr="00706E8E" w14:paraId="382D076C" w14:textId="77777777" w:rsidTr="00F830E6">
        <w:trPr>
          <w:trHeight w:val="397"/>
        </w:trPr>
        <w:tc>
          <w:tcPr>
            <w:tcW w:w="0" w:type="auto"/>
            <w:vMerge/>
            <w:tcBorders>
              <w:top w:val="nil"/>
              <w:left w:val="nil"/>
              <w:right w:val="nil"/>
            </w:tcBorders>
            <w:vAlign w:val="center"/>
            <w:hideMark/>
          </w:tcPr>
          <w:p w14:paraId="5AE27499" w14:textId="77777777" w:rsidR="003B7C93" w:rsidRPr="00706E8E" w:rsidRDefault="003B7C93" w:rsidP="00706E8E">
            <w:pPr>
              <w:spacing w:after="0" w:line="240" w:lineRule="auto"/>
              <w:rPr>
                <w:rFonts w:eastAsia="Times New Roman" w:cs="Arial"/>
                <w:b/>
                <w:bCs/>
                <w:color w:val="FFFFFF"/>
                <w:sz w:val="16"/>
                <w:szCs w:val="16"/>
                <w:lang w:eastAsia="zh-CN"/>
              </w:rPr>
            </w:pPr>
          </w:p>
        </w:tc>
        <w:tc>
          <w:tcPr>
            <w:tcW w:w="0" w:type="auto"/>
            <w:tcBorders>
              <w:top w:val="nil"/>
              <w:left w:val="nil"/>
              <w:bottom w:val="nil"/>
              <w:right w:val="nil"/>
            </w:tcBorders>
            <w:shd w:val="clear" w:color="000000" w:fill="6B2976"/>
            <w:vAlign w:val="center"/>
            <w:hideMark/>
          </w:tcPr>
          <w:p w14:paraId="3C9FED38"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17</w:t>
            </w:r>
          </w:p>
        </w:tc>
        <w:tc>
          <w:tcPr>
            <w:tcW w:w="0" w:type="auto"/>
            <w:tcBorders>
              <w:top w:val="nil"/>
              <w:left w:val="nil"/>
              <w:bottom w:val="nil"/>
              <w:right w:val="nil"/>
            </w:tcBorders>
            <w:shd w:val="clear" w:color="000000" w:fill="6B2976"/>
            <w:vAlign w:val="center"/>
            <w:hideMark/>
          </w:tcPr>
          <w:p w14:paraId="5E5C5CCD"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18</w:t>
            </w:r>
          </w:p>
        </w:tc>
        <w:tc>
          <w:tcPr>
            <w:tcW w:w="0" w:type="auto"/>
            <w:tcBorders>
              <w:top w:val="nil"/>
              <w:left w:val="nil"/>
              <w:bottom w:val="nil"/>
              <w:right w:val="nil"/>
            </w:tcBorders>
            <w:shd w:val="clear" w:color="000000" w:fill="6B2976"/>
            <w:vAlign w:val="center"/>
            <w:hideMark/>
          </w:tcPr>
          <w:p w14:paraId="18610E0D"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19</w:t>
            </w:r>
          </w:p>
        </w:tc>
        <w:tc>
          <w:tcPr>
            <w:tcW w:w="0" w:type="auto"/>
            <w:tcBorders>
              <w:top w:val="nil"/>
              <w:left w:val="nil"/>
              <w:bottom w:val="nil"/>
              <w:right w:val="nil"/>
            </w:tcBorders>
            <w:shd w:val="clear" w:color="000000" w:fill="6B2976"/>
            <w:vAlign w:val="center"/>
            <w:hideMark/>
          </w:tcPr>
          <w:p w14:paraId="5E64B993"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20</w:t>
            </w:r>
          </w:p>
        </w:tc>
        <w:tc>
          <w:tcPr>
            <w:tcW w:w="0" w:type="auto"/>
            <w:tcBorders>
              <w:top w:val="nil"/>
              <w:left w:val="nil"/>
              <w:bottom w:val="nil"/>
              <w:right w:val="nil"/>
            </w:tcBorders>
            <w:shd w:val="clear" w:color="000000" w:fill="6B2976"/>
            <w:vAlign w:val="center"/>
            <w:hideMark/>
          </w:tcPr>
          <w:p w14:paraId="593026B9"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21</w:t>
            </w:r>
          </w:p>
        </w:tc>
        <w:tc>
          <w:tcPr>
            <w:tcW w:w="0" w:type="auto"/>
            <w:tcBorders>
              <w:top w:val="nil"/>
              <w:left w:val="nil"/>
              <w:right w:val="nil"/>
            </w:tcBorders>
            <w:shd w:val="clear" w:color="000000" w:fill="6B2976"/>
            <w:vAlign w:val="center"/>
            <w:hideMark/>
          </w:tcPr>
          <w:p w14:paraId="274A7DBF"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Jan-Feb 22</w:t>
            </w:r>
          </w:p>
        </w:tc>
        <w:tc>
          <w:tcPr>
            <w:tcW w:w="0" w:type="auto"/>
            <w:tcBorders>
              <w:top w:val="nil"/>
              <w:left w:val="nil"/>
              <w:bottom w:val="nil"/>
              <w:right w:val="nil"/>
            </w:tcBorders>
            <w:shd w:val="clear" w:color="000000" w:fill="6B2976"/>
            <w:vAlign w:val="center"/>
            <w:hideMark/>
          </w:tcPr>
          <w:p w14:paraId="6FC6C97F"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Overall</w:t>
            </w:r>
          </w:p>
        </w:tc>
      </w:tr>
      <w:tr w:rsidR="00AB1ED8" w:rsidRPr="00706E8E" w14:paraId="3E326699" w14:textId="77777777" w:rsidTr="00F830E6">
        <w:trPr>
          <w:trHeight w:val="285"/>
        </w:trPr>
        <w:tc>
          <w:tcPr>
            <w:tcW w:w="0" w:type="auto"/>
            <w:tcBorders>
              <w:top w:val="nil"/>
              <w:left w:val="nil"/>
              <w:bottom w:val="nil"/>
              <w:right w:val="dotted" w:sz="4" w:space="0" w:color="auto"/>
            </w:tcBorders>
            <w:shd w:val="clear" w:color="auto" w:fill="auto"/>
            <w:noWrap/>
            <w:vAlign w:val="center"/>
            <w:hideMark/>
          </w:tcPr>
          <w:p w14:paraId="32827E7F" w14:textId="77777777" w:rsidR="003B7C93" w:rsidRPr="00706E8E" w:rsidRDefault="003B7C93" w:rsidP="00706E8E">
            <w:pPr>
              <w:spacing w:after="0" w:line="240" w:lineRule="auto"/>
              <w:rPr>
                <w:rFonts w:eastAsia="Times New Roman" w:cs="Arial"/>
                <w:color w:val="000000"/>
                <w:sz w:val="16"/>
                <w:szCs w:val="16"/>
                <w:lang w:eastAsia="zh-CN"/>
              </w:rPr>
            </w:pPr>
            <w:r w:rsidRPr="00706E8E">
              <w:rPr>
                <w:rFonts w:eastAsia="Times New Roman" w:cs="Arial"/>
                <w:color w:val="000000"/>
                <w:sz w:val="16"/>
                <w:szCs w:val="16"/>
                <w:lang w:eastAsia="zh-CN"/>
              </w:rPr>
              <w:t xml:space="preserve"> High </w:t>
            </w:r>
          </w:p>
        </w:tc>
        <w:tc>
          <w:tcPr>
            <w:tcW w:w="0" w:type="auto"/>
            <w:tcBorders>
              <w:top w:val="nil"/>
              <w:left w:val="dotted" w:sz="4" w:space="0" w:color="auto"/>
              <w:bottom w:val="nil"/>
              <w:right w:val="nil"/>
            </w:tcBorders>
            <w:shd w:val="clear" w:color="auto" w:fill="auto"/>
            <w:noWrap/>
            <w:vAlign w:val="center"/>
            <w:hideMark/>
          </w:tcPr>
          <w:p w14:paraId="533B93D2"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0.25%</w:t>
            </w:r>
          </w:p>
        </w:tc>
        <w:tc>
          <w:tcPr>
            <w:tcW w:w="0" w:type="auto"/>
            <w:tcBorders>
              <w:top w:val="nil"/>
              <w:left w:val="nil"/>
              <w:bottom w:val="nil"/>
              <w:right w:val="nil"/>
            </w:tcBorders>
            <w:shd w:val="clear" w:color="auto" w:fill="auto"/>
            <w:noWrap/>
            <w:vAlign w:val="center"/>
            <w:hideMark/>
          </w:tcPr>
          <w:p w14:paraId="2FA2B648"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0.27%</w:t>
            </w:r>
          </w:p>
        </w:tc>
        <w:tc>
          <w:tcPr>
            <w:tcW w:w="0" w:type="auto"/>
            <w:tcBorders>
              <w:top w:val="nil"/>
              <w:left w:val="nil"/>
              <w:bottom w:val="nil"/>
              <w:right w:val="nil"/>
            </w:tcBorders>
            <w:shd w:val="clear" w:color="auto" w:fill="auto"/>
            <w:noWrap/>
            <w:vAlign w:val="center"/>
            <w:hideMark/>
          </w:tcPr>
          <w:p w14:paraId="1037BD94"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0.28%</w:t>
            </w:r>
          </w:p>
        </w:tc>
        <w:tc>
          <w:tcPr>
            <w:tcW w:w="0" w:type="auto"/>
            <w:tcBorders>
              <w:top w:val="nil"/>
              <w:left w:val="nil"/>
              <w:bottom w:val="nil"/>
              <w:right w:val="nil"/>
            </w:tcBorders>
            <w:shd w:val="clear" w:color="auto" w:fill="auto"/>
            <w:noWrap/>
            <w:vAlign w:val="center"/>
            <w:hideMark/>
          </w:tcPr>
          <w:p w14:paraId="45708CF0"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0.27%</w:t>
            </w:r>
          </w:p>
        </w:tc>
        <w:tc>
          <w:tcPr>
            <w:tcW w:w="0" w:type="auto"/>
            <w:tcBorders>
              <w:top w:val="nil"/>
              <w:left w:val="nil"/>
              <w:bottom w:val="nil"/>
              <w:right w:val="nil"/>
            </w:tcBorders>
            <w:shd w:val="clear" w:color="auto" w:fill="auto"/>
            <w:noWrap/>
            <w:vAlign w:val="center"/>
            <w:hideMark/>
          </w:tcPr>
          <w:p w14:paraId="09DBB98B"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0.26%</w:t>
            </w:r>
          </w:p>
        </w:tc>
        <w:tc>
          <w:tcPr>
            <w:tcW w:w="0" w:type="auto"/>
            <w:tcBorders>
              <w:top w:val="nil"/>
              <w:left w:val="nil"/>
              <w:bottom w:val="nil"/>
              <w:right w:val="dotted" w:sz="4" w:space="0" w:color="auto"/>
            </w:tcBorders>
            <w:shd w:val="clear" w:color="auto" w:fill="auto"/>
            <w:noWrap/>
            <w:vAlign w:val="center"/>
            <w:hideMark/>
          </w:tcPr>
          <w:p w14:paraId="4D69C19E"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0.26%</w:t>
            </w:r>
          </w:p>
        </w:tc>
        <w:tc>
          <w:tcPr>
            <w:tcW w:w="0" w:type="auto"/>
            <w:tcBorders>
              <w:top w:val="nil"/>
              <w:left w:val="dotted" w:sz="4" w:space="0" w:color="auto"/>
              <w:bottom w:val="nil"/>
              <w:right w:val="nil"/>
            </w:tcBorders>
            <w:shd w:val="clear" w:color="auto" w:fill="auto"/>
            <w:noWrap/>
            <w:vAlign w:val="center"/>
            <w:hideMark/>
          </w:tcPr>
          <w:p w14:paraId="6D35A61C"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0.27%</w:t>
            </w:r>
          </w:p>
        </w:tc>
      </w:tr>
      <w:tr w:rsidR="00F830E6" w:rsidRPr="00706E8E" w14:paraId="668868B6" w14:textId="77777777" w:rsidTr="00F830E6">
        <w:trPr>
          <w:trHeight w:val="285"/>
        </w:trPr>
        <w:tc>
          <w:tcPr>
            <w:tcW w:w="0" w:type="auto"/>
            <w:tcBorders>
              <w:top w:val="nil"/>
              <w:left w:val="nil"/>
              <w:bottom w:val="nil"/>
              <w:right w:val="dotted" w:sz="4" w:space="0" w:color="auto"/>
            </w:tcBorders>
            <w:shd w:val="clear" w:color="000000" w:fill="BFBFBF"/>
            <w:noWrap/>
            <w:vAlign w:val="center"/>
            <w:hideMark/>
          </w:tcPr>
          <w:p w14:paraId="2E96E11C" w14:textId="77777777" w:rsidR="003B7C93" w:rsidRPr="00706E8E" w:rsidRDefault="003B7C93" w:rsidP="00706E8E">
            <w:pPr>
              <w:spacing w:after="0" w:line="240" w:lineRule="auto"/>
              <w:rPr>
                <w:rFonts w:eastAsia="Times New Roman" w:cs="Arial"/>
                <w:color w:val="000000"/>
                <w:sz w:val="16"/>
                <w:szCs w:val="16"/>
                <w:lang w:eastAsia="zh-CN"/>
              </w:rPr>
            </w:pPr>
            <w:r w:rsidRPr="00706E8E">
              <w:rPr>
                <w:rFonts w:eastAsia="Times New Roman" w:cs="Arial"/>
                <w:color w:val="000000"/>
                <w:sz w:val="16"/>
                <w:szCs w:val="16"/>
                <w:lang w:eastAsia="zh-CN"/>
              </w:rPr>
              <w:t xml:space="preserve"> Medium </w:t>
            </w:r>
          </w:p>
        </w:tc>
        <w:tc>
          <w:tcPr>
            <w:tcW w:w="0" w:type="auto"/>
            <w:tcBorders>
              <w:top w:val="nil"/>
              <w:left w:val="dotted" w:sz="4" w:space="0" w:color="auto"/>
              <w:bottom w:val="nil"/>
              <w:right w:val="nil"/>
            </w:tcBorders>
            <w:shd w:val="clear" w:color="000000" w:fill="BFBFBF"/>
            <w:noWrap/>
            <w:vAlign w:val="center"/>
            <w:hideMark/>
          </w:tcPr>
          <w:p w14:paraId="6D46CDBB"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0.47%</w:t>
            </w:r>
          </w:p>
        </w:tc>
        <w:tc>
          <w:tcPr>
            <w:tcW w:w="0" w:type="auto"/>
            <w:tcBorders>
              <w:top w:val="nil"/>
              <w:left w:val="nil"/>
              <w:bottom w:val="nil"/>
              <w:right w:val="nil"/>
            </w:tcBorders>
            <w:shd w:val="clear" w:color="000000" w:fill="BFBFBF"/>
            <w:noWrap/>
            <w:vAlign w:val="center"/>
            <w:hideMark/>
          </w:tcPr>
          <w:p w14:paraId="504F619D"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0.50%</w:t>
            </w:r>
          </w:p>
        </w:tc>
        <w:tc>
          <w:tcPr>
            <w:tcW w:w="0" w:type="auto"/>
            <w:tcBorders>
              <w:top w:val="nil"/>
              <w:left w:val="nil"/>
              <w:bottom w:val="nil"/>
              <w:right w:val="nil"/>
            </w:tcBorders>
            <w:shd w:val="clear" w:color="000000" w:fill="BFBFBF"/>
            <w:noWrap/>
            <w:vAlign w:val="center"/>
            <w:hideMark/>
          </w:tcPr>
          <w:p w14:paraId="1060A66B"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0.53%</w:t>
            </w:r>
          </w:p>
        </w:tc>
        <w:tc>
          <w:tcPr>
            <w:tcW w:w="0" w:type="auto"/>
            <w:tcBorders>
              <w:top w:val="nil"/>
              <w:left w:val="nil"/>
              <w:bottom w:val="nil"/>
              <w:right w:val="nil"/>
            </w:tcBorders>
            <w:shd w:val="clear" w:color="000000" w:fill="BFBFBF"/>
            <w:noWrap/>
            <w:vAlign w:val="center"/>
            <w:hideMark/>
          </w:tcPr>
          <w:p w14:paraId="66DD1D4D"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0.54%</w:t>
            </w:r>
          </w:p>
        </w:tc>
        <w:tc>
          <w:tcPr>
            <w:tcW w:w="0" w:type="auto"/>
            <w:tcBorders>
              <w:top w:val="nil"/>
              <w:left w:val="nil"/>
              <w:bottom w:val="nil"/>
              <w:right w:val="nil"/>
            </w:tcBorders>
            <w:shd w:val="clear" w:color="000000" w:fill="BFBFBF"/>
            <w:noWrap/>
            <w:vAlign w:val="center"/>
            <w:hideMark/>
          </w:tcPr>
          <w:p w14:paraId="4BBA0949"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0.56%</w:t>
            </w:r>
          </w:p>
        </w:tc>
        <w:tc>
          <w:tcPr>
            <w:tcW w:w="0" w:type="auto"/>
            <w:tcBorders>
              <w:top w:val="nil"/>
              <w:left w:val="nil"/>
              <w:bottom w:val="nil"/>
              <w:right w:val="dotted" w:sz="4" w:space="0" w:color="auto"/>
            </w:tcBorders>
            <w:shd w:val="clear" w:color="000000" w:fill="BFBFBF"/>
            <w:noWrap/>
            <w:vAlign w:val="center"/>
            <w:hideMark/>
          </w:tcPr>
          <w:p w14:paraId="3B030817"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0.57%</w:t>
            </w:r>
          </w:p>
        </w:tc>
        <w:tc>
          <w:tcPr>
            <w:tcW w:w="0" w:type="auto"/>
            <w:tcBorders>
              <w:top w:val="nil"/>
              <w:left w:val="dotted" w:sz="4" w:space="0" w:color="auto"/>
              <w:bottom w:val="nil"/>
              <w:right w:val="nil"/>
            </w:tcBorders>
            <w:shd w:val="clear" w:color="000000" w:fill="BFBFBF"/>
            <w:noWrap/>
            <w:vAlign w:val="center"/>
            <w:hideMark/>
          </w:tcPr>
          <w:p w14:paraId="7E5A3AA3"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0.54%</w:t>
            </w:r>
          </w:p>
        </w:tc>
      </w:tr>
      <w:tr w:rsidR="00AB1ED8" w:rsidRPr="00706E8E" w14:paraId="361E0FE0" w14:textId="77777777" w:rsidTr="00F830E6">
        <w:trPr>
          <w:trHeight w:val="285"/>
        </w:trPr>
        <w:tc>
          <w:tcPr>
            <w:tcW w:w="0" w:type="auto"/>
            <w:tcBorders>
              <w:top w:val="nil"/>
              <w:left w:val="nil"/>
              <w:bottom w:val="nil"/>
              <w:right w:val="dotted" w:sz="4" w:space="0" w:color="auto"/>
            </w:tcBorders>
            <w:shd w:val="clear" w:color="auto" w:fill="auto"/>
            <w:noWrap/>
            <w:vAlign w:val="center"/>
            <w:hideMark/>
          </w:tcPr>
          <w:p w14:paraId="1A2604BB" w14:textId="77777777" w:rsidR="003B7C93" w:rsidRPr="00706E8E" w:rsidRDefault="003B7C93" w:rsidP="00706E8E">
            <w:pPr>
              <w:spacing w:after="0" w:line="240" w:lineRule="auto"/>
              <w:rPr>
                <w:rFonts w:eastAsia="Times New Roman" w:cs="Arial"/>
                <w:color w:val="000000"/>
                <w:sz w:val="16"/>
                <w:szCs w:val="16"/>
                <w:lang w:eastAsia="zh-CN"/>
              </w:rPr>
            </w:pPr>
            <w:r w:rsidRPr="00706E8E">
              <w:rPr>
                <w:rFonts w:eastAsia="Times New Roman" w:cs="Arial"/>
                <w:color w:val="000000"/>
                <w:sz w:val="16"/>
                <w:szCs w:val="16"/>
                <w:lang w:eastAsia="zh-CN"/>
              </w:rPr>
              <w:t xml:space="preserve"> Low </w:t>
            </w:r>
          </w:p>
        </w:tc>
        <w:tc>
          <w:tcPr>
            <w:tcW w:w="0" w:type="auto"/>
            <w:tcBorders>
              <w:top w:val="nil"/>
              <w:left w:val="dotted" w:sz="4" w:space="0" w:color="auto"/>
              <w:bottom w:val="nil"/>
              <w:right w:val="nil"/>
            </w:tcBorders>
            <w:shd w:val="clear" w:color="auto" w:fill="auto"/>
            <w:noWrap/>
            <w:vAlign w:val="center"/>
            <w:hideMark/>
          </w:tcPr>
          <w:p w14:paraId="3F904204"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1.73%</w:t>
            </w:r>
          </w:p>
        </w:tc>
        <w:tc>
          <w:tcPr>
            <w:tcW w:w="0" w:type="auto"/>
            <w:tcBorders>
              <w:top w:val="nil"/>
              <w:left w:val="nil"/>
              <w:bottom w:val="nil"/>
              <w:right w:val="nil"/>
            </w:tcBorders>
            <w:shd w:val="clear" w:color="auto" w:fill="auto"/>
            <w:noWrap/>
            <w:vAlign w:val="center"/>
            <w:hideMark/>
          </w:tcPr>
          <w:p w14:paraId="1C416341"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1.92%</w:t>
            </w:r>
          </w:p>
        </w:tc>
        <w:tc>
          <w:tcPr>
            <w:tcW w:w="0" w:type="auto"/>
            <w:tcBorders>
              <w:top w:val="nil"/>
              <w:left w:val="nil"/>
              <w:bottom w:val="nil"/>
              <w:right w:val="nil"/>
            </w:tcBorders>
            <w:shd w:val="clear" w:color="auto" w:fill="auto"/>
            <w:noWrap/>
            <w:vAlign w:val="center"/>
            <w:hideMark/>
          </w:tcPr>
          <w:p w14:paraId="13897940"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2.04%</w:t>
            </w:r>
          </w:p>
        </w:tc>
        <w:tc>
          <w:tcPr>
            <w:tcW w:w="0" w:type="auto"/>
            <w:tcBorders>
              <w:top w:val="nil"/>
              <w:left w:val="nil"/>
              <w:bottom w:val="nil"/>
              <w:right w:val="nil"/>
            </w:tcBorders>
            <w:shd w:val="clear" w:color="auto" w:fill="auto"/>
            <w:noWrap/>
            <w:vAlign w:val="center"/>
            <w:hideMark/>
          </w:tcPr>
          <w:p w14:paraId="1BFD4E6A"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2.13%</w:t>
            </w:r>
          </w:p>
        </w:tc>
        <w:tc>
          <w:tcPr>
            <w:tcW w:w="0" w:type="auto"/>
            <w:tcBorders>
              <w:top w:val="nil"/>
              <w:left w:val="nil"/>
              <w:bottom w:val="nil"/>
              <w:right w:val="nil"/>
            </w:tcBorders>
            <w:shd w:val="clear" w:color="auto" w:fill="auto"/>
            <w:noWrap/>
            <w:vAlign w:val="center"/>
            <w:hideMark/>
          </w:tcPr>
          <w:p w14:paraId="5FB5FAE5"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2.20%</w:t>
            </w:r>
          </w:p>
        </w:tc>
        <w:tc>
          <w:tcPr>
            <w:tcW w:w="0" w:type="auto"/>
            <w:tcBorders>
              <w:top w:val="nil"/>
              <w:left w:val="nil"/>
              <w:bottom w:val="nil"/>
              <w:right w:val="dotted" w:sz="4" w:space="0" w:color="auto"/>
            </w:tcBorders>
            <w:shd w:val="clear" w:color="auto" w:fill="auto"/>
            <w:noWrap/>
            <w:vAlign w:val="center"/>
            <w:hideMark/>
          </w:tcPr>
          <w:p w14:paraId="6366FA7B"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2.22%</w:t>
            </w:r>
          </w:p>
        </w:tc>
        <w:tc>
          <w:tcPr>
            <w:tcW w:w="0" w:type="auto"/>
            <w:tcBorders>
              <w:top w:val="nil"/>
              <w:left w:val="dotted" w:sz="4" w:space="0" w:color="auto"/>
              <w:bottom w:val="nil"/>
              <w:right w:val="nil"/>
            </w:tcBorders>
            <w:shd w:val="clear" w:color="auto" w:fill="auto"/>
            <w:noWrap/>
            <w:vAlign w:val="center"/>
            <w:hideMark/>
          </w:tcPr>
          <w:p w14:paraId="00A431FB"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2.08%</w:t>
            </w:r>
          </w:p>
        </w:tc>
      </w:tr>
      <w:tr w:rsidR="00F830E6" w:rsidRPr="00706E8E" w14:paraId="3C21E59F" w14:textId="77777777" w:rsidTr="00F830E6">
        <w:trPr>
          <w:trHeight w:val="285"/>
        </w:trPr>
        <w:tc>
          <w:tcPr>
            <w:tcW w:w="0" w:type="auto"/>
            <w:tcBorders>
              <w:top w:val="nil"/>
              <w:left w:val="nil"/>
              <w:bottom w:val="nil"/>
              <w:right w:val="dotted" w:sz="4" w:space="0" w:color="auto"/>
            </w:tcBorders>
            <w:shd w:val="clear" w:color="000000" w:fill="BFBFBF"/>
            <w:noWrap/>
            <w:vAlign w:val="center"/>
            <w:hideMark/>
          </w:tcPr>
          <w:p w14:paraId="3A53C5DD" w14:textId="77777777" w:rsidR="003B7C93" w:rsidRPr="00706E8E" w:rsidRDefault="003B7C93" w:rsidP="00706E8E">
            <w:pPr>
              <w:spacing w:after="0" w:line="240" w:lineRule="auto"/>
              <w:rPr>
                <w:rFonts w:eastAsia="Times New Roman" w:cs="Arial"/>
                <w:color w:val="000000"/>
                <w:sz w:val="16"/>
                <w:szCs w:val="16"/>
                <w:lang w:eastAsia="zh-CN"/>
              </w:rPr>
            </w:pPr>
            <w:r w:rsidRPr="00706E8E">
              <w:rPr>
                <w:rFonts w:eastAsia="Times New Roman" w:cs="Arial"/>
                <w:color w:val="000000"/>
                <w:sz w:val="16"/>
                <w:szCs w:val="16"/>
                <w:lang w:eastAsia="zh-CN"/>
              </w:rPr>
              <w:t xml:space="preserve"> Missing </w:t>
            </w:r>
          </w:p>
        </w:tc>
        <w:tc>
          <w:tcPr>
            <w:tcW w:w="0" w:type="auto"/>
            <w:tcBorders>
              <w:top w:val="nil"/>
              <w:left w:val="dotted" w:sz="4" w:space="0" w:color="auto"/>
              <w:bottom w:val="nil"/>
              <w:right w:val="nil"/>
            </w:tcBorders>
            <w:shd w:val="clear" w:color="000000" w:fill="BFBFBF"/>
            <w:noWrap/>
            <w:vAlign w:val="center"/>
            <w:hideMark/>
          </w:tcPr>
          <w:p w14:paraId="3ADA8B26"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0.72%</w:t>
            </w:r>
          </w:p>
        </w:tc>
        <w:tc>
          <w:tcPr>
            <w:tcW w:w="0" w:type="auto"/>
            <w:tcBorders>
              <w:top w:val="nil"/>
              <w:left w:val="nil"/>
              <w:bottom w:val="nil"/>
              <w:right w:val="nil"/>
            </w:tcBorders>
            <w:shd w:val="clear" w:color="000000" w:fill="BFBFBF"/>
            <w:noWrap/>
            <w:vAlign w:val="center"/>
            <w:hideMark/>
          </w:tcPr>
          <w:p w14:paraId="6D18FECD"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0.62%</w:t>
            </w:r>
          </w:p>
        </w:tc>
        <w:tc>
          <w:tcPr>
            <w:tcW w:w="0" w:type="auto"/>
            <w:tcBorders>
              <w:top w:val="nil"/>
              <w:left w:val="nil"/>
              <w:bottom w:val="nil"/>
              <w:right w:val="nil"/>
            </w:tcBorders>
            <w:shd w:val="clear" w:color="000000" w:fill="BFBFBF"/>
            <w:noWrap/>
            <w:vAlign w:val="center"/>
            <w:hideMark/>
          </w:tcPr>
          <w:p w14:paraId="72F4020B"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0.60%</w:t>
            </w:r>
          </w:p>
        </w:tc>
        <w:tc>
          <w:tcPr>
            <w:tcW w:w="0" w:type="auto"/>
            <w:tcBorders>
              <w:top w:val="nil"/>
              <w:left w:val="nil"/>
              <w:bottom w:val="nil"/>
              <w:right w:val="nil"/>
            </w:tcBorders>
            <w:shd w:val="clear" w:color="000000" w:fill="BFBFBF"/>
            <w:noWrap/>
            <w:vAlign w:val="center"/>
            <w:hideMark/>
          </w:tcPr>
          <w:p w14:paraId="15FF5EB4"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0.58%</w:t>
            </w:r>
          </w:p>
        </w:tc>
        <w:tc>
          <w:tcPr>
            <w:tcW w:w="0" w:type="auto"/>
            <w:tcBorders>
              <w:top w:val="nil"/>
              <w:left w:val="nil"/>
              <w:bottom w:val="nil"/>
              <w:right w:val="nil"/>
            </w:tcBorders>
            <w:shd w:val="clear" w:color="000000" w:fill="BFBFBF"/>
            <w:noWrap/>
            <w:vAlign w:val="center"/>
            <w:hideMark/>
          </w:tcPr>
          <w:p w14:paraId="00E0D8DD"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0.62%</w:t>
            </w:r>
          </w:p>
        </w:tc>
        <w:tc>
          <w:tcPr>
            <w:tcW w:w="0" w:type="auto"/>
            <w:tcBorders>
              <w:top w:val="nil"/>
              <w:left w:val="nil"/>
              <w:bottom w:val="nil"/>
              <w:right w:val="dotted" w:sz="4" w:space="0" w:color="auto"/>
            </w:tcBorders>
            <w:shd w:val="clear" w:color="000000" w:fill="BFBFBF"/>
            <w:noWrap/>
            <w:vAlign w:val="center"/>
            <w:hideMark/>
          </w:tcPr>
          <w:p w14:paraId="4CEC55F9"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0.64%</w:t>
            </w:r>
          </w:p>
        </w:tc>
        <w:tc>
          <w:tcPr>
            <w:tcW w:w="0" w:type="auto"/>
            <w:tcBorders>
              <w:top w:val="nil"/>
              <w:left w:val="dotted" w:sz="4" w:space="0" w:color="auto"/>
              <w:bottom w:val="nil"/>
              <w:right w:val="nil"/>
            </w:tcBorders>
            <w:shd w:val="clear" w:color="000000" w:fill="BFBFBF"/>
            <w:noWrap/>
            <w:vAlign w:val="center"/>
            <w:hideMark/>
          </w:tcPr>
          <w:p w14:paraId="21AB1A6F"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0.65%</w:t>
            </w:r>
          </w:p>
        </w:tc>
      </w:tr>
      <w:tr w:rsidR="00F830E6" w:rsidRPr="00706E8E" w14:paraId="5EBAF899" w14:textId="77777777" w:rsidTr="00F830E6">
        <w:trPr>
          <w:trHeight w:val="300"/>
        </w:trPr>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7B72E1AB" w14:textId="77777777" w:rsidR="003B7C93" w:rsidRPr="00706E8E" w:rsidRDefault="003B7C93" w:rsidP="00706E8E">
            <w:pPr>
              <w:spacing w:after="0" w:line="240" w:lineRule="auto"/>
              <w:rPr>
                <w:rFonts w:eastAsia="Times New Roman" w:cs="Arial"/>
                <w:b/>
                <w:bCs/>
                <w:color w:val="000000"/>
                <w:sz w:val="16"/>
                <w:szCs w:val="16"/>
                <w:lang w:eastAsia="zh-CN"/>
              </w:rPr>
            </w:pPr>
            <w:r w:rsidRPr="00706E8E">
              <w:rPr>
                <w:rFonts w:eastAsia="Times New Roman" w:cs="Arial"/>
                <w:b/>
                <w:bCs/>
                <w:color w:val="000000"/>
                <w:sz w:val="16"/>
                <w:szCs w:val="16"/>
                <w:lang w:eastAsia="zh-CN"/>
              </w:rPr>
              <w:t>Overall</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01486652"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0.87%</w:t>
            </w:r>
          </w:p>
        </w:tc>
        <w:tc>
          <w:tcPr>
            <w:tcW w:w="0" w:type="auto"/>
            <w:tcBorders>
              <w:top w:val="single" w:sz="4" w:space="0" w:color="auto"/>
              <w:left w:val="nil"/>
              <w:bottom w:val="single" w:sz="4" w:space="0" w:color="auto"/>
              <w:right w:val="nil"/>
            </w:tcBorders>
            <w:shd w:val="clear" w:color="000000" w:fill="D3C5D7"/>
            <w:noWrap/>
            <w:vAlign w:val="center"/>
            <w:hideMark/>
          </w:tcPr>
          <w:p w14:paraId="5189FB61"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0.94%</w:t>
            </w:r>
          </w:p>
        </w:tc>
        <w:tc>
          <w:tcPr>
            <w:tcW w:w="0" w:type="auto"/>
            <w:tcBorders>
              <w:top w:val="single" w:sz="4" w:space="0" w:color="auto"/>
              <w:left w:val="nil"/>
              <w:bottom w:val="single" w:sz="4" w:space="0" w:color="auto"/>
              <w:right w:val="nil"/>
            </w:tcBorders>
            <w:shd w:val="clear" w:color="000000" w:fill="D3C5D7"/>
            <w:noWrap/>
            <w:vAlign w:val="center"/>
            <w:hideMark/>
          </w:tcPr>
          <w:p w14:paraId="357D9CCB"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0.98%</w:t>
            </w:r>
          </w:p>
        </w:tc>
        <w:tc>
          <w:tcPr>
            <w:tcW w:w="0" w:type="auto"/>
            <w:tcBorders>
              <w:top w:val="single" w:sz="4" w:space="0" w:color="auto"/>
              <w:left w:val="nil"/>
              <w:bottom w:val="single" w:sz="4" w:space="0" w:color="auto"/>
              <w:right w:val="nil"/>
            </w:tcBorders>
            <w:shd w:val="clear" w:color="000000" w:fill="D3C5D7"/>
            <w:noWrap/>
            <w:vAlign w:val="center"/>
            <w:hideMark/>
          </w:tcPr>
          <w:p w14:paraId="2EF4F3E9"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0.95%</w:t>
            </w:r>
          </w:p>
        </w:tc>
        <w:tc>
          <w:tcPr>
            <w:tcW w:w="0" w:type="auto"/>
            <w:tcBorders>
              <w:top w:val="single" w:sz="4" w:space="0" w:color="auto"/>
              <w:left w:val="nil"/>
              <w:bottom w:val="single" w:sz="4" w:space="0" w:color="auto"/>
              <w:right w:val="nil"/>
            </w:tcBorders>
            <w:shd w:val="clear" w:color="000000" w:fill="D3C5D7"/>
            <w:noWrap/>
            <w:vAlign w:val="center"/>
            <w:hideMark/>
          </w:tcPr>
          <w:p w14:paraId="063DF529"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0.93%</w:t>
            </w:r>
          </w:p>
        </w:tc>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11F2CC43"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0.92%</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2A92D9D1"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0.94%</w:t>
            </w:r>
          </w:p>
        </w:tc>
      </w:tr>
    </w:tbl>
    <w:p w14:paraId="45DFDEF9" w14:textId="77777777" w:rsidR="004A5D62" w:rsidRDefault="004A5D62" w:rsidP="003B7C93"/>
    <w:p w14:paraId="3879C4AF" w14:textId="77777777" w:rsidR="004A5D62" w:rsidRDefault="004A5D62" w:rsidP="00DA3F73">
      <w:pPr>
        <w:pStyle w:val="Figures"/>
      </w:pPr>
      <w:r>
        <w:lastRenderedPageBreak/>
        <w:t>Figure</w:t>
      </w:r>
      <w:r w:rsidR="00894497">
        <w:t xml:space="preserve"> J</w:t>
      </w:r>
      <w:r w:rsidR="00447AA1">
        <w:t>.</w:t>
      </w:r>
      <w:fldSimple w:instr=" SEQ Figure \* ARABIC \s 2 ">
        <w:r w:rsidR="00447AA1">
          <w:rPr>
            <w:noProof/>
          </w:rPr>
          <w:t>4</w:t>
        </w:r>
      </w:fldSimple>
      <w:r w:rsidR="00894497">
        <w:t>:</w:t>
      </w:r>
      <w:r>
        <w:t xml:space="preserve"> </w:t>
      </w:r>
      <w:r w:rsidRPr="00FF6383">
        <w:t>Actual vs expected mortality rate by calendar year by level of function</w:t>
      </w:r>
    </w:p>
    <w:p w14:paraId="327B3954" w14:textId="77777777" w:rsidR="004A5D62" w:rsidRDefault="00F079E9" w:rsidP="004A5D62">
      <w:r>
        <w:rPr>
          <w:noProof/>
          <w:lang w:eastAsia="en-AU"/>
        </w:rPr>
        <w:drawing>
          <wp:inline distT="0" distB="0" distL="0" distR="0" wp14:anchorId="50113703" wp14:editId="3F78429C">
            <wp:extent cx="5724000" cy="2053638"/>
            <wp:effectExtent l="0" t="0" r="0" b="3810"/>
            <wp:docPr id="469" name="Picture 469" descr="Graph is showing actual vs expected mortality rate by calendar year by level of function. &#10;Actual mortality rates for calendar year 2017 are 0.45% for High, 0.51% for Medium and 1.13% for Low. &#10;Actual mortality rates for calendar year 2018 are 0.26% for High, 0.57% for Medium and 1.64% for Low. &#10;Actual mortality rates for calendar year 2019 are 0.26% for High, 0.54% for Medium and 2.01% for Low. &#10;Actual mortality rates for calendar year 2020 are 0.18% for High, 0.55% for Medium and 2.33% for Low. &#10;Actual mortality rates for calendar year 2021 are 0.20% for High, 0.56% for Medium and 2.67% for Low. &#10;Expected mortality rates for calendar year 2017 are 0.25% for High, 0.47% for Medium and 1.73% for Low. &#10;Expected mortality rates for calendar year 2018 are 0.27% for High, 0.50% for Medium and 1.92% for Low. &#10;Expected mortality rates for calendar year 2019 are 0.28% for High, 0.53% for Medium and 2.04% for Low. &#10;Expected mortality rates for calendar year 2020 are 0.26% for High, 0.56% for Medium and 2.20% for Low. &#10;Expected mortality rates for calendar year 2021 are 0.26% for High, 0.57% for Medium and 2.22% for Low." title="Figure J.4: Actual vs expected mortality rate by calendar year by level of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724000" cy="2053638"/>
                    </a:xfrm>
                    <a:prstGeom prst="rect">
                      <a:avLst/>
                    </a:prstGeom>
                    <a:noFill/>
                  </pic:spPr>
                </pic:pic>
              </a:graphicData>
            </a:graphic>
          </wp:inline>
        </w:drawing>
      </w:r>
    </w:p>
    <w:p w14:paraId="3C53177E" w14:textId="77777777" w:rsidR="004A5D62" w:rsidRDefault="004A5D62" w:rsidP="004A5D62">
      <w:pPr>
        <w:ind w:left="-709"/>
      </w:pPr>
    </w:p>
    <w:p w14:paraId="5AB91DA8" w14:textId="77777777" w:rsidR="004A5D62" w:rsidRDefault="004A5D62" w:rsidP="00DA3F73">
      <w:pPr>
        <w:pStyle w:val="Tables"/>
      </w:pPr>
      <w:r>
        <w:t>Table</w:t>
      </w:r>
      <w:r w:rsidR="00894497">
        <w:t xml:space="preserve"> J</w:t>
      </w:r>
      <w:r w:rsidR="00994C5F">
        <w:t>.</w:t>
      </w:r>
      <w:fldSimple w:instr=" SEQ Table \* ARABIC \s 2 ">
        <w:r w:rsidR="00C437E1">
          <w:rPr>
            <w:noProof/>
          </w:rPr>
          <w:t>8</w:t>
        </w:r>
      </w:fldSimple>
      <w:r w:rsidR="00894497">
        <w:t>:</w:t>
      </w:r>
      <w:r>
        <w:t xml:space="preserve"> </w:t>
      </w:r>
      <w:r w:rsidRPr="00FF6383">
        <w:t>Actual exposure by level of function</w:t>
      </w:r>
      <w:r w:rsidR="00D323EB">
        <w:t>, measured by the number of years participants were active in the Scheme</w:t>
      </w:r>
    </w:p>
    <w:tbl>
      <w:tblPr>
        <w:tblW w:w="0" w:type="auto"/>
        <w:tblLook w:val="04A0" w:firstRow="1" w:lastRow="0" w:firstColumn="1" w:lastColumn="0" w:noHBand="0" w:noVBand="1"/>
      </w:tblPr>
      <w:tblGrid>
        <w:gridCol w:w="1496"/>
        <w:gridCol w:w="1061"/>
        <w:gridCol w:w="1061"/>
        <w:gridCol w:w="1061"/>
        <w:gridCol w:w="1061"/>
        <w:gridCol w:w="1061"/>
        <w:gridCol w:w="1052"/>
        <w:gridCol w:w="928"/>
      </w:tblGrid>
      <w:tr w:rsidR="003B7C93" w:rsidRPr="00706E8E" w14:paraId="6AE1C7B9" w14:textId="77777777" w:rsidTr="00706E8E">
        <w:trPr>
          <w:trHeight w:val="397"/>
          <w:tblHeader/>
        </w:trPr>
        <w:tc>
          <w:tcPr>
            <w:tcW w:w="0" w:type="auto"/>
            <w:vMerge w:val="restart"/>
            <w:tcBorders>
              <w:top w:val="nil"/>
              <w:left w:val="nil"/>
              <w:bottom w:val="nil"/>
              <w:right w:val="nil"/>
            </w:tcBorders>
            <w:shd w:val="clear" w:color="000000" w:fill="6B2976"/>
            <w:vAlign w:val="center"/>
            <w:hideMark/>
          </w:tcPr>
          <w:p w14:paraId="0AB38A8E" w14:textId="77777777" w:rsidR="003B7C93" w:rsidRPr="00706E8E" w:rsidRDefault="003B7C93" w:rsidP="00706E8E">
            <w:pPr>
              <w:spacing w:after="0" w:line="240" w:lineRule="auto"/>
              <w:rPr>
                <w:rFonts w:eastAsia="Times New Roman" w:cs="Arial"/>
                <w:b/>
                <w:bCs/>
                <w:color w:val="FFFFFF"/>
                <w:sz w:val="16"/>
                <w:szCs w:val="16"/>
                <w:lang w:eastAsia="zh-CN"/>
              </w:rPr>
            </w:pPr>
            <w:r w:rsidRPr="00706E8E">
              <w:rPr>
                <w:rFonts w:eastAsia="Times New Roman" w:cs="Arial"/>
                <w:b/>
                <w:bCs/>
                <w:color w:val="FFFFFF"/>
                <w:sz w:val="16"/>
                <w:szCs w:val="16"/>
                <w:lang w:eastAsia="zh-CN"/>
              </w:rPr>
              <w:t>Level of function</w:t>
            </w:r>
          </w:p>
        </w:tc>
        <w:tc>
          <w:tcPr>
            <w:tcW w:w="0" w:type="auto"/>
            <w:gridSpan w:val="7"/>
            <w:tcBorders>
              <w:top w:val="nil"/>
              <w:left w:val="nil"/>
              <w:bottom w:val="single" w:sz="4" w:space="0" w:color="FFFFFF"/>
              <w:right w:val="nil"/>
            </w:tcBorders>
            <w:shd w:val="clear" w:color="000000" w:fill="6B2976"/>
            <w:vAlign w:val="center"/>
            <w:hideMark/>
          </w:tcPr>
          <w:p w14:paraId="24D718DE" w14:textId="77777777" w:rsidR="003B7C93" w:rsidRPr="00706E8E" w:rsidRDefault="003B7C93" w:rsidP="008116E1">
            <w:pPr>
              <w:spacing w:after="0" w:line="240" w:lineRule="auto"/>
              <w:jc w:val="center"/>
              <w:rPr>
                <w:rFonts w:eastAsia="Times New Roman" w:cs="Arial"/>
                <w:b/>
                <w:bCs/>
                <w:color w:val="FFFFFF"/>
                <w:sz w:val="16"/>
                <w:szCs w:val="16"/>
                <w:lang w:eastAsia="zh-CN"/>
              </w:rPr>
            </w:pPr>
            <w:r w:rsidRPr="00706E8E">
              <w:rPr>
                <w:rFonts w:eastAsia="Times New Roman" w:cs="Arial"/>
                <w:b/>
                <w:bCs/>
                <w:color w:val="FFFFFF"/>
                <w:sz w:val="16"/>
                <w:szCs w:val="16"/>
                <w:lang w:eastAsia="zh-CN"/>
              </w:rPr>
              <w:t>Actual Exposure</w:t>
            </w:r>
          </w:p>
        </w:tc>
      </w:tr>
      <w:tr w:rsidR="00F830E6" w:rsidRPr="00706E8E" w14:paraId="6A6D0EC8" w14:textId="77777777" w:rsidTr="00F830E6">
        <w:trPr>
          <w:trHeight w:val="397"/>
          <w:tblHeader/>
        </w:trPr>
        <w:tc>
          <w:tcPr>
            <w:tcW w:w="0" w:type="auto"/>
            <w:vMerge/>
            <w:tcBorders>
              <w:top w:val="nil"/>
              <w:left w:val="nil"/>
              <w:right w:val="nil"/>
            </w:tcBorders>
            <w:vAlign w:val="center"/>
            <w:hideMark/>
          </w:tcPr>
          <w:p w14:paraId="72B8048E" w14:textId="77777777" w:rsidR="003B7C93" w:rsidRPr="00706E8E" w:rsidRDefault="003B7C93" w:rsidP="00706E8E">
            <w:pPr>
              <w:spacing w:after="0" w:line="240" w:lineRule="auto"/>
              <w:rPr>
                <w:rFonts w:eastAsia="Times New Roman" w:cs="Arial"/>
                <w:b/>
                <w:bCs/>
                <w:color w:val="FFFFFF"/>
                <w:sz w:val="16"/>
                <w:szCs w:val="16"/>
                <w:lang w:eastAsia="zh-CN"/>
              </w:rPr>
            </w:pPr>
          </w:p>
        </w:tc>
        <w:tc>
          <w:tcPr>
            <w:tcW w:w="0" w:type="auto"/>
            <w:tcBorders>
              <w:top w:val="nil"/>
              <w:left w:val="nil"/>
              <w:bottom w:val="nil"/>
              <w:right w:val="nil"/>
            </w:tcBorders>
            <w:shd w:val="clear" w:color="000000" w:fill="6B2976"/>
            <w:vAlign w:val="center"/>
            <w:hideMark/>
          </w:tcPr>
          <w:p w14:paraId="1893C1A3"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17</w:t>
            </w:r>
          </w:p>
        </w:tc>
        <w:tc>
          <w:tcPr>
            <w:tcW w:w="0" w:type="auto"/>
            <w:tcBorders>
              <w:top w:val="nil"/>
              <w:left w:val="nil"/>
              <w:bottom w:val="nil"/>
              <w:right w:val="nil"/>
            </w:tcBorders>
            <w:shd w:val="clear" w:color="000000" w:fill="6B2976"/>
            <w:vAlign w:val="center"/>
            <w:hideMark/>
          </w:tcPr>
          <w:p w14:paraId="77783C0A"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18</w:t>
            </w:r>
          </w:p>
        </w:tc>
        <w:tc>
          <w:tcPr>
            <w:tcW w:w="0" w:type="auto"/>
            <w:tcBorders>
              <w:top w:val="nil"/>
              <w:left w:val="nil"/>
              <w:bottom w:val="nil"/>
              <w:right w:val="nil"/>
            </w:tcBorders>
            <w:shd w:val="clear" w:color="000000" w:fill="6B2976"/>
            <w:vAlign w:val="center"/>
            <w:hideMark/>
          </w:tcPr>
          <w:p w14:paraId="5AA443D1"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19</w:t>
            </w:r>
          </w:p>
        </w:tc>
        <w:tc>
          <w:tcPr>
            <w:tcW w:w="0" w:type="auto"/>
            <w:tcBorders>
              <w:top w:val="nil"/>
              <w:left w:val="nil"/>
              <w:bottom w:val="nil"/>
              <w:right w:val="nil"/>
            </w:tcBorders>
            <w:shd w:val="clear" w:color="000000" w:fill="6B2976"/>
            <w:vAlign w:val="center"/>
            <w:hideMark/>
          </w:tcPr>
          <w:p w14:paraId="6ACA9040"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20</w:t>
            </w:r>
          </w:p>
        </w:tc>
        <w:tc>
          <w:tcPr>
            <w:tcW w:w="0" w:type="auto"/>
            <w:tcBorders>
              <w:top w:val="nil"/>
              <w:left w:val="nil"/>
              <w:bottom w:val="nil"/>
              <w:right w:val="nil"/>
            </w:tcBorders>
            <w:shd w:val="clear" w:color="000000" w:fill="6B2976"/>
            <w:vAlign w:val="center"/>
            <w:hideMark/>
          </w:tcPr>
          <w:p w14:paraId="780CD398"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21</w:t>
            </w:r>
          </w:p>
        </w:tc>
        <w:tc>
          <w:tcPr>
            <w:tcW w:w="0" w:type="auto"/>
            <w:tcBorders>
              <w:top w:val="nil"/>
              <w:left w:val="nil"/>
              <w:right w:val="nil"/>
            </w:tcBorders>
            <w:shd w:val="clear" w:color="000000" w:fill="6B2976"/>
            <w:vAlign w:val="center"/>
            <w:hideMark/>
          </w:tcPr>
          <w:p w14:paraId="1F1E613C"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Jan-Feb 22</w:t>
            </w:r>
          </w:p>
        </w:tc>
        <w:tc>
          <w:tcPr>
            <w:tcW w:w="0" w:type="auto"/>
            <w:tcBorders>
              <w:top w:val="nil"/>
              <w:left w:val="nil"/>
              <w:bottom w:val="nil"/>
            </w:tcBorders>
            <w:shd w:val="clear" w:color="000000" w:fill="6B2976"/>
            <w:vAlign w:val="center"/>
            <w:hideMark/>
          </w:tcPr>
          <w:p w14:paraId="6B850DBD"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Overall</w:t>
            </w:r>
          </w:p>
        </w:tc>
      </w:tr>
      <w:tr w:rsidR="000D2E27" w:rsidRPr="00706E8E" w14:paraId="1F06CA09" w14:textId="77777777" w:rsidTr="00F830E6">
        <w:trPr>
          <w:trHeight w:val="285"/>
        </w:trPr>
        <w:tc>
          <w:tcPr>
            <w:tcW w:w="0" w:type="auto"/>
            <w:tcBorders>
              <w:top w:val="nil"/>
              <w:left w:val="nil"/>
              <w:bottom w:val="nil"/>
              <w:right w:val="dotted" w:sz="4" w:space="0" w:color="auto"/>
            </w:tcBorders>
            <w:shd w:val="clear" w:color="auto" w:fill="auto"/>
            <w:noWrap/>
            <w:vAlign w:val="center"/>
            <w:hideMark/>
          </w:tcPr>
          <w:p w14:paraId="74DD0A0F" w14:textId="77777777" w:rsidR="003B7C93" w:rsidRPr="00706E8E" w:rsidRDefault="003B7C93" w:rsidP="00706E8E">
            <w:pPr>
              <w:spacing w:after="0" w:line="240" w:lineRule="auto"/>
              <w:rPr>
                <w:rFonts w:eastAsia="Times New Roman" w:cs="Arial"/>
                <w:color w:val="000000"/>
                <w:sz w:val="16"/>
                <w:szCs w:val="16"/>
                <w:lang w:eastAsia="zh-CN"/>
              </w:rPr>
            </w:pPr>
            <w:r w:rsidRPr="00706E8E">
              <w:rPr>
                <w:rFonts w:eastAsia="Times New Roman" w:cs="Arial"/>
                <w:color w:val="000000"/>
                <w:sz w:val="16"/>
                <w:szCs w:val="16"/>
                <w:lang w:eastAsia="zh-CN"/>
              </w:rPr>
              <w:t xml:space="preserve"> High </w:t>
            </w:r>
          </w:p>
        </w:tc>
        <w:tc>
          <w:tcPr>
            <w:tcW w:w="0" w:type="auto"/>
            <w:tcBorders>
              <w:top w:val="nil"/>
              <w:left w:val="dotted" w:sz="4" w:space="0" w:color="auto"/>
              <w:bottom w:val="nil"/>
              <w:right w:val="nil"/>
            </w:tcBorders>
            <w:shd w:val="clear" w:color="auto" w:fill="auto"/>
            <w:noWrap/>
            <w:vAlign w:val="center"/>
            <w:hideMark/>
          </w:tcPr>
          <w:p w14:paraId="5ED7E7DE"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19,959</w:t>
            </w:r>
          </w:p>
        </w:tc>
        <w:tc>
          <w:tcPr>
            <w:tcW w:w="0" w:type="auto"/>
            <w:tcBorders>
              <w:top w:val="nil"/>
              <w:left w:val="nil"/>
              <w:bottom w:val="nil"/>
              <w:right w:val="nil"/>
            </w:tcBorders>
            <w:shd w:val="clear" w:color="auto" w:fill="auto"/>
            <w:noWrap/>
            <w:vAlign w:val="center"/>
            <w:hideMark/>
          </w:tcPr>
          <w:p w14:paraId="1BE72AC2"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36,988</w:t>
            </w:r>
          </w:p>
        </w:tc>
        <w:tc>
          <w:tcPr>
            <w:tcW w:w="0" w:type="auto"/>
            <w:tcBorders>
              <w:top w:val="nil"/>
              <w:left w:val="nil"/>
              <w:bottom w:val="nil"/>
              <w:right w:val="nil"/>
            </w:tcBorders>
            <w:shd w:val="clear" w:color="auto" w:fill="auto"/>
            <w:noWrap/>
            <w:vAlign w:val="center"/>
            <w:hideMark/>
          </w:tcPr>
          <w:p w14:paraId="0E6018AA"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61,650</w:t>
            </w:r>
          </w:p>
        </w:tc>
        <w:tc>
          <w:tcPr>
            <w:tcW w:w="0" w:type="auto"/>
            <w:tcBorders>
              <w:top w:val="nil"/>
              <w:left w:val="nil"/>
              <w:bottom w:val="nil"/>
              <w:right w:val="nil"/>
            </w:tcBorders>
            <w:shd w:val="clear" w:color="auto" w:fill="auto"/>
            <w:noWrap/>
            <w:vAlign w:val="center"/>
            <w:hideMark/>
          </w:tcPr>
          <w:p w14:paraId="179EF07A"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94,914</w:t>
            </w:r>
          </w:p>
        </w:tc>
        <w:tc>
          <w:tcPr>
            <w:tcW w:w="0" w:type="auto"/>
            <w:tcBorders>
              <w:top w:val="nil"/>
              <w:left w:val="nil"/>
              <w:bottom w:val="nil"/>
              <w:right w:val="nil"/>
            </w:tcBorders>
            <w:shd w:val="clear" w:color="auto" w:fill="auto"/>
            <w:noWrap/>
            <w:vAlign w:val="center"/>
            <w:hideMark/>
          </w:tcPr>
          <w:p w14:paraId="477C2D12"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124,774</w:t>
            </w:r>
          </w:p>
        </w:tc>
        <w:tc>
          <w:tcPr>
            <w:tcW w:w="0" w:type="auto"/>
            <w:tcBorders>
              <w:top w:val="nil"/>
              <w:left w:val="nil"/>
              <w:bottom w:val="nil"/>
              <w:right w:val="dotted" w:sz="4" w:space="0" w:color="auto"/>
            </w:tcBorders>
            <w:shd w:val="clear" w:color="auto" w:fill="auto"/>
            <w:noWrap/>
            <w:vAlign w:val="center"/>
            <w:hideMark/>
          </w:tcPr>
          <w:p w14:paraId="01D9E096"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22,939</w:t>
            </w:r>
          </w:p>
        </w:tc>
        <w:tc>
          <w:tcPr>
            <w:tcW w:w="0" w:type="auto"/>
            <w:tcBorders>
              <w:top w:val="nil"/>
              <w:left w:val="dotted" w:sz="4" w:space="0" w:color="auto"/>
              <w:bottom w:val="nil"/>
            </w:tcBorders>
            <w:shd w:val="clear" w:color="auto" w:fill="auto"/>
            <w:noWrap/>
            <w:vAlign w:val="center"/>
            <w:hideMark/>
          </w:tcPr>
          <w:p w14:paraId="1E899430"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361,224</w:t>
            </w:r>
          </w:p>
        </w:tc>
      </w:tr>
      <w:tr w:rsidR="00F830E6" w:rsidRPr="00706E8E" w14:paraId="751E5CFF" w14:textId="77777777" w:rsidTr="00F830E6">
        <w:trPr>
          <w:trHeight w:val="285"/>
        </w:trPr>
        <w:tc>
          <w:tcPr>
            <w:tcW w:w="0" w:type="auto"/>
            <w:tcBorders>
              <w:top w:val="nil"/>
              <w:left w:val="nil"/>
              <w:bottom w:val="nil"/>
              <w:right w:val="dotted" w:sz="4" w:space="0" w:color="auto"/>
            </w:tcBorders>
            <w:shd w:val="clear" w:color="000000" w:fill="BFBFBF"/>
            <w:noWrap/>
            <w:vAlign w:val="center"/>
            <w:hideMark/>
          </w:tcPr>
          <w:p w14:paraId="62818885" w14:textId="77777777" w:rsidR="003B7C93" w:rsidRPr="00706E8E" w:rsidRDefault="003B7C93" w:rsidP="00706E8E">
            <w:pPr>
              <w:spacing w:after="0" w:line="240" w:lineRule="auto"/>
              <w:rPr>
                <w:rFonts w:eastAsia="Times New Roman" w:cs="Arial"/>
                <w:color w:val="000000"/>
                <w:sz w:val="16"/>
                <w:szCs w:val="16"/>
                <w:lang w:eastAsia="zh-CN"/>
              </w:rPr>
            </w:pPr>
            <w:r w:rsidRPr="00706E8E">
              <w:rPr>
                <w:rFonts w:eastAsia="Times New Roman" w:cs="Arial"/>
                <w:color w:val="000000"/>
                <w:sz w:val="16"/>
                <w:szCs w:val="16"/>
                <w:lang w:eastAsia="zh-CN"/>
              </w:rPr>
              <w:t xml:space="preserve"> Medium </w:t>
            </w:r>
          </w:p>
        </w:tc>
        <w:tc>
          <w:tcPr>
            <w:tcW w:w="0" w:type="auto"/>
            <w:tcBorders>
              <w:top w:val="nil"/>
              <w:left w:val="dotted" w:sz="4" w:space="0" w:color="auto"/>
              <w:bottom w:val="nil"/>
              <w:right w:val="nil"/>
            </w:tcBorders>
            <w:shd w:val="clear" w:color="000000" w:fill="BFBFBF"/>
            <w:noWrap/>
            <w:vAlign w:val="center"/>
            <w:hideMark/>
          </w:tcPr>
          <w:p w14:paraId="1E5F3A93"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38,943</w:t>
            </w:r>
          </w:p>
        </w:tc>
        <w:tc>
          <w:tcPr>
            <w:tcW w:w="0" w:type="auto"/>
            <w:tcBorders>
              <w:top w:val="nil"/>
              <w:left w:val="nil"/>
              <w:bottom w:val="nil"/>
              <w:right w:val="nil"/>
            </w:tcBorders>
            <w:shd w:val="clear" w:color="000000" w:fill="BFBFBF"/>
            <w:noWrap/>
            <w:vAlign w:val="center"/>
            <w:hideMark/>
          </w:tcPr>
          <w:p w14:paraId="4656CE3A"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76,535</w:t>
            </w:r>
          </w:p>
        </w:tc>
        <w:tc>
          <w:tcPr>
            <w:tcW w:w="0" w:type="auto"/>
            <w:tcBorders>
              <w:top w:val="nil"/>
              <w:left w:val="nil"/>
              <w:bottom w:val="nil"/>
              <w:right w:val="nil"/>
            </w:tcBorders>
            <w:shd w:val="clear" w:color="000000" w:fill="BFBFBF"/>
            <w:noWrap/>
            <w:vAlign w:val="center"/>
            <w:hideMark/>
          </w:tcPr>
          <w:p w14:paraId="0B326316"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128,426</w:t>
            </w:r>
          </w:p>
        </w:tc>
        <w:tc>
          <w:tcPr>
            <w:tcW w:w="0" w:type="auto"/>
            <w:tcBorders>
              <w:top w:val="nil"/>
              <w:left w:val="nil"/>
              <w:bottom w:val="nil"/>
              <w:right w:val="nil"/>
            </w:tcBorders>
            <w:shd w:val="clear" w:color="000000" w:fill="BFBFBF"/>
            <w:noWrap/>
            <w:vAlign w:val="center"/>
            <w:hideMark/>
          </w:tcPr>
          <w:p w14:paraId="270FF891"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177,092</w:t>
            </w:r>
          </w:p>
        </w:tc>
        <w:tc>
          <w:tcPr>
            <w:tcW w:w="0" w:type="auto"/>
            <w:tcBorders>
              <w:top w:val="nil"/>
              <w:left w:val="nil"/>
              <w:bottom w:val="nil"/>
              <w:right w:val="nil"/>
            </w:tcBorders>
            <w:shd w:val="clear" w:color="000000" w:fill="BFBFBF"/>
            <w:noWrap/>
            <w:vAlign w:val="center"/>
            <w:hideMark/>
          </w:tcPr>
          <w:p w14:paraId="2ABFA7A5"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213,510</w:t>
            </w:r>
          </w:p>
        </w:tc>
        <w:tc>
          <w:tcPr>
            <w:tcW w:w="0" w:type="auto"/>
            <w:tcBorders>
              <w:top w:val="nil"/>
              <w:left w:val="nil"/>
              <w:bottom w:val="nil"/>
              <w:right w:val="dotted" w:sz="4" w:space="0" w:color="auto"/>
            </w:tcBorders>
            <w:shd w:val="clear" w:color="000000" w:fill="BFBFBF"/>
            <w:noWrap/>
            <w:vAlign w:val="center"/>
            <w:hideMark/>
          </w:tcPr>
          <w:p w14:paraId="158F3E09"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37,527</w:t>
            </w:r>
          </w:p>
        </w:tc>
        <w:tc>
          <w:tcPr>
            <w:tcW w:w="0" w:type="auto"/>
            <w:tcBorders>
              <w:top w:val="nil"/>
              <w:left w:val="dotted" w:sz="4" w:space="0" w:color="auto"/>
              <w:bottom w:val="nil"/>
            </w:tcBorders>
            <w:shd w:val="clear" w:color="000000" w:fill="BFBFBF"/>
            <w:noWrap/>
            <w:vAlign w:val="center"/>
            <w:hideMark/>
          </w:tcPr>
          <w:p w14:paraId="334B919F"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672,033</w:t>
            </w:r>
          </w:p>
        </w:tc>
      </w:tr>
      <w:tr w:rsidR="000D2E27" w:rsidRPr="00706E8E" w14:paraId="1778AAAD" w14:textId="77777777" w:rsidTr="00F830E6">
        <w:trPr>
          <w:trHeight w:val="285"/>
        </w:trPr>
        <w:tc>
          <w:tcPr>
            <w:tcW w:w="0" w:type="auto"/>
            <w:tcBorders>
              <w:top w:val="nil"/>
              <w:left w:val="nil"/>
              <w:bottom w:val="nil"/>
              <w:right w:val="dotted" w:sz="4" w:space="0" w:color="auto"/>
            </w:tcBorders>
            <w:shd w:val="clear" w:color="auto" w:fill="auto"/>
            <w:noWrap/>
            <w:vAlign w:val="center"/>
            <w:hideMark/>
          </w:tcPr>
          <w:p w14:paraId="28E2937B" w14:textId="77777777" w:rsidR="003B7C93" w:rsidRPr="00706E8E" w:rsidRDefault="003B7C93" w:rsidP="00706E8E">
            <w:pPr>
              <w:spacing w:after="0" w:line="240" w:lineRule="auto"/>
              <w:rPr>
                <w:rFonts w:eastAsia="Times New Roman" w:cs="Arial"/>
                <w:color w:val="000000"/>
                <w:sz w:val="16"/>
                <w:szCs w:val="16"/>
                <w:lang w:eastAsia="zh-CN"/>
              </w:rPr>
            </w:pPr>
            <w:r w:rsidRPr="00706E8E">
              <w:rPr>
                <w:rFonts w:eastAsia="Times New Roman" w:cs="Arial"/>
                <w:color w:val="000000"/>
                <w:sz w:val="16"/>
                <w:szCs w:val="16"/>
                <w:lang w:eastAsia="zh-CN"/>
              </w:rPr>
              <w:t xml:space="preserve"> Low </w:t>
            </w:r>
          </w:p>
        </w:tc>
        <w:tc>
          <w:tcPr>
            <w:tcW w:w="0" w:type="auto"/>
            <w:tcBorders>
              <w:top w:val="nil"/>
              <w:left w:val="dotted" w:sz="4" w:space="0" w:color="auto"/>
              <w:bottom w:val="nil"/>
              <w:right w:val="nil"/>
            </w:tcBorders>
            <w:shd w:val="clear" w:color="auto" w:fill="auto"/>
            <w:noWrap/>
            <w:vAlign w:val="center"/>
            <w:hideMark/>
          </w:tcPr>
          <w:p w14:paraId="17409E71"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32,383</w:t>
            </w:r>
          </w:p>
        </w:tc>
        <w:tc>
          <w:tcPr>
            <w:tcW w:w="0" w:type="auto"/>
            <w:tcBorders>
              <w:top w:val="nil"/>
              <w:left w:val="nil"/>
              <w:bottom w:val="nil"/>
              <w:right w:val="nil"/>
            </w:tcBorders>
            <w:shd w:val="clear" w:color="auto" w:fill="auto"/>
            <w:noWrap/>
            <w:vAlign w:val="center"/>
            <w:hideMark/>
          </w:tcPr>
          <w:p w14:paraId="250B16D7"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60,024</w:t>
            </w:r>
          </w:p>
        </w:tc>
        <w:tc>
          <w:tcPr>
            <w:tcW w:w="0" w:type="auto"/>
            <w:tcBorders>
              <w:top w:val="nil"/>
              <w:left w:val="nil"/>
              <w:bottom w:val="nil"/>
              <w:right w:val="nil"/>
            </w:tcBorders>
            <w:shd w:val="clear" w:color="auto" w:fill="auto"/>
            <w:noWrap/>
            <w:vAlign w:val="center"/>
            <w:hideMark/>
          </w:tcPr>
          <w:p w14:paraId="3577FC04"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94,448</w:t>
            </w:r>
          </w:p>
        </w:tc>
        <w:tc>
          <w:tcPr>
            <w:tcW w:w="0" w:type="auto"/>
            <w:tcBorders>
              <w:top w:val="nil"/>
              <w:left w:val="nil"/>
              <w:bottom w:val="nil"/>
              <w:right w:val="nil"/>
            </w:tcBorders>
            <w:shd w:val="clear" w:color="auto" w:fill="auto"/>
            <w:noWrap/>
            <w:vAlign w:val="center"/>
            <w:hideMark/>
          </w:tcPr>
          <w:p w14:paraId="570BEAFC"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116,581</w:t>
            </w:r>
          </w:p>
        </w:tc>
        <w:tc>
          <w:tcPr>
            <w:tcW w:w="0" w:type="auto"/>
            <w:tcBorders>
              <w:top w:val="nil"/>
              <w:left w:val="nil"/>
              <w:bottom w:val="nil"/>
              <w:right w:val="nil"/>
            </w:tcBorders>
            <w:shd w:val="clear" w:color="auto" w:fill="auto"/>
            <w:noWrap/>
            <w:vAlign w:val="center"/>
            <w:hideMark/>
          </w:tcPr>
          <w:p w14:paraId="7F42B4F6"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128,646</w:t>
            </w:r>
          </w:p>
        </w:tc>
        <w:tc>
          <w:tcPr>
            <w:tcW w:w="0" w:type="auto"/>
            <w:tcBorders>
              <w:top w:val="nil"/>
              <w:left w:val="nil"/>
              <w:bottom w:val="nil"/>
              <w:right w:val="dotted" w:sz="4" w:space="0" w:color="auto"/>
            </w:tcBorders>
            <w:shd w:val="clear" w:color="auto" w:fill="auto"/>
            <w:noWrap/>
            <w:vAlign w:val="center"/>
            <w:hideMark/>
          </w:tcPr>
          <w:p w14:paraId="3D254564"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21,489</w:t>
            </w:r>
          </w:p>
        </w:tc>
        <w:tc>
          <w:tcPr>
            <w:tcW w:w="0" w:type="auto"/>
            <w:tcBorders>
              <w:top w:val="nil"/>
              <w:left w:val="dotted" w:sz="4" w:space="0" w:color="auto"/>
              <w:bottom w:val="nil"/>
            </w:tcBorders>
            <w:shd w:val="clear" w:color="auto" w:fill="auto"/>
            <w:noWrap/>
            <w:vAlign w:val="center"/>
            <w:hideMark/>
          </w:tcPr>
          <w:p w14:paraId="59E3E944"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453,572</w:t>
            </w:r>
          </w:p>
        </w:tc>
      </w:tr>
      <w:tr w:rsidR="00F830E6" w:rsidRPr="00706E8E" w14:paraId="417F2B2A" w14:textId="77777777" w:rsidTr="00F830E6">
        <w:trPr>
          <w:trHeight w:val="285"/>
        </w:trPr>
        <w:tc>
          <w:tcPr>
            <w:tcW w:w="0" w:type="auto"/>
            <w:tcBorders>
              <w:top w:val="nil"/>
              <w:left w:val="nil"/>
              <w:bottom w:val="nil"/>
              <w:right w:val="dotted" w:sz="4" w:space="0" w:color="auto"/>
            </w:tcBorders>
            <w:shd w:val="clear" w:color="000000" w:fill="BFBFBF"/>
            <w:noWrap/>
            <w:vAlign w:val="center"/>
            <w:hideMark/>
          </w:tcPr>
          <w:p w14:paraId="0B386194" w14:textId="77777777" w:rsidR="003B7C93" w:rsidRPr="00706E8E" w:rsidRDefault="003B7C93" w:rsidP="00706E8E">
            <w:pPr>
              <w:spacing w:after="0" w:line="240" w:lineRule="auto"/>
              <w:rPr>
                <w:rFonts w:eastAsia="Times New Roman" w:cs="Arial"/>
                <w:color w:val="000000"/>
                <w:sz w:val="16"/>
                <w:szCs w:val="16"/>
                <w:lang w:eastAsia="zh-CN"/>
              </w:rPr>
            </w:pPr>
            <w:r w:rsidRPr="00706E8E">
              <w:rPr>
                <w:rFonts w:eastAsia="Times New Roman" w:cs="Arial"/>
                <w:color w:val="000000"/>
                <w:sz w:val="16"/>
                <w:szCs w:val="16"/>
                <w:lang w:eastAsia="zh-CN"/>
              </w:rPr>
              <w:t xml:space="preserve"> Missing </w:t>
            </w:r>
          </w:p>
        </w:tc>
        <w:tc>
          <w:tcPr>
            <w:tcW w:w="0" w:type="auto"/>
            <w:tcBorders>
              <w:top w:val="nil"/>
              <w:left w:val="dotted" w:sz="4" w:space="0" w:color="auto"/>
              <w:bottom w:val="nil"/>
              <w:right w:val="nil"/>
            </w:tcBorders>
            <w:shd w:val="clear" w:color="000000" w:fill="BFBFBF"/>
            <w:noWrap/>
            <w:vAlign w:val="center"/>
            <w:hideMark/>
          </w:tcPr>
          <w:p w14:paraId="0D041D1F"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745</w:t>
            </w:r>
          </w:p>
        </w:tc>
        <w:tc>
          <w:tcPr>
            <w:tcW w:w="0" w:type="auto"/>
            <w:tcBorders>
              <w:top w:val="nil"/>
              <w:left w:val="nil"/>
              <w:bottom w:val="nil"/>
              <w:right w:val="nil"/>
            </w:tcBorders>
            <w:shd w:val="clear" w:color="000000" w:fill="BFBFBF"/>
            <w:noWrap/>
            <w:vAlign w:val="center"/>
            <w:hideMark/>
          </w:tcPr>
          <w:p w14:paraId="71DDE422"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380</w:t>
            </w:r>
          </w:p>
        </w:tc>
        <w:tc>
          <w:tcPr>
            <w:tcW w:w="0" w:type="auto"/>
            <w:tcBorders>
              <w:top w:val="nil"/>
              <w:left w:val="nil"/>
              <w:bottom w:val="nil"/>
              <w:right w:val="nil"/>
            </w:tcBorders>
            <w:shd w:val="clear" w:color="000000" w:fill="BFBFBF"/>
            <w:noWrap/>
            <w:vAlign w:val="center"/>
            <w:hideMark/>
          </w:tcPr>
          <w:p w14:paraId="6885DD31"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330</w:t>
            </w:r>
          </w:p>
        </w:tc>
        <w:tc>
          <w:tcPr>
            <w:tcW w:w="0" w:type="auto"/>
            <w:tcBorders>
              <w:top w:val="nil"/>
              <w:left w:val="nil"/>
              <w:bottom w:val="nil"/>
              <w:right w:val="nil"/>
            </w:tcBorders>
            <w:shd w:val="clear" w:color="000000" w:fill="BFBFBF"/>
            <w:noWrap/>
            <w:vAlign w:val="center"/>
            <w:hideMark/>
          </w:tcPr>
          <w:p w14:paraId="72838FEB"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307</w:t>
            </w:r>
          </w:p>
        </w:tc>
        <w:tc>
          <w:tcPr>
            <w:tcW w:w="0" w:type="auto"/>
            <w:tcBorders>
              <w:top w:val="nil"/>
              <w:left w:val="nil"/>
              <w:bottom w:val="nil"/>
              <w:right w:val="nil"/>
            </w:tcBorders>
            <w:shd w:val="clear" w:color="000000" w:fill="BFBFBF"/>
            <w:noWrap/>
            <w:vAlign w:val="center"/>
            <w:hideMark/>
          </w:tcPr>
          <w:p w14:paraId="3C351286"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294</w:t>
            </w:r>
          </w:p>
        </w:tc>
        <w:tc>
          <w:tcPr>
            <w:tcW w:w="0" w:type="auto"/>
            <w:tcBorders>
              <w:top w:val="nil"/>
              <w:left w:val="nil"/>
              <w:bottom w:val="nil"/>
              <w:right w:val="dotted" w:sz="4" w:space="0" w:color="auto"/>
            </w:tcBorders>
            <w:shd w:val="clear" w:color="000000" w:fill="BFBFBF"/>
            <w:noWrap/>
            <w:vAlign w:val="center"/>
            <w:hideMark/>
          </w:tcPr>
          <w:p w14:paraId="5B1464BC"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47</w:t>
            </w:r>
          </w:p>
        </w:tc>
        <w:tc>
          <w:tcPr>
            <w:tcW w:w="0" w:type="auto"/>
            <w:tcBorders>
              <w:top w:val="nil"/>
              <w:left w:val="dotted" w:sz="4" w:space="0" w:color="auto"/>
              <w:bottom w:val="nil"/>
            </w:tcBorders>
            <w:shd w:val="clear" w:color="000000" w:fill="BFBFBF"/>
            <w:noWrap/>
            <w:vAlign w:val="center"/>
            <w:hideMark/>
          </w:tcPr>
          <w:p w14:paraId="38697A22"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2,102</w:t>
            </w:r>
          </w:p>
        </w:tc>
      </w:tr>
      <w:tr w:rsidR="00F830E6" w:rsidRPr="00706E8E" w14:paraId="6CD5F1D0" w14:textId="77777777" w:rsidTr="00F830E6">
        <w:trPr>
          <w:trHeight w:val="300"/>
        </w:trPr>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46A7C8AB" w14:textId="77777777" w:rsidR="003B7C93" w:rsidRPr="00706E8E" w:rsidRDefault="003B7C93" w:rsidP="00706E8E">
            <w:pPr>
              <w:spacing w:after="0" w:line="240" w:lineRule="auto"/>
              <w:rPr>
                <w:rFonts w:eastAsia="Times New Roman" w:cs="Arial"/>
                <w:b/>
                <w:bCs/>
                <w:color w:val="000000"/>
                <w:sz w:val="16"/>
                <w:szCs w:val="16"/>
                <w:lang w:eastAsia="zh-CN"/>
              </w:rPr>
            </w:pPr>
            <w:r w:rsidRPr="00706E8E">
              <w:rPr>
                <w:rFonts w:eastAsia="Times New Roman" w:cs="Arial"/>
                <w:b/>
                <w:bCs/>
                <w:color w:val="000000"/>
                <w:sz w:val="16"/>
                <w:szCs w:val="16"/>
                <w:lang w:eastAsia="zh-CN"/>
              </w:rPr>
              <w:t>Total</w:t>
            </w:r>
          </w:p>
        </w:tc>
        <w:tc>
          <w:tcPr>
            <w:tcW w:w="0" w:type="auto"/>
            <w:tcBorders>
              <w:top w:val="single" w:sz="4" w:space="0" w:color="auto"/>
              <w:left w:val="dotted" w:sz="4" w:space="0" w:color="auto"/>
              <w:bottom w:val="single" w:sz="4" w:space="0" w:color="auto"/>
              <w:right w:val="nil"/>
            </w:tcBorders>
            <w:shd w:val="clear" w:color="000000" w:fill="D3C5D7"/>
            <w:noWrap/>
            <w:vAlign w:val="center"/>
            <w:hideMark/>
          </w:tcPr>
          <w:p w14:paraId="2DCA1CDE"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92,030</w:t>
            </w:r>
          </w:p>
        </w:tc>
        <w:tc>
          <w:tcPr>
            <w:tcW w:w="0" w:type="auto"/>
            <w:tcBorders>
              <w:top w:val="single" w:sz="4" w:space="0" w:color="auto"/>
              <w:left w:val="nil"/>
              <w:bottom w:val="single" w:sz="4" w:space="0" w:color="auto"/>
              <w:right w:val="nil"/>
            </w:tcBorders>
            <w:shd w:val="clear" w:color="000000" w:fill="D3C5D7"/>
            <w:noWrap/>
            <w:vAlign w:val="center"/>
            <w:hideMark/>
          </w:tcPr>
          <w:p w14:paraId="3DC234D5"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173,927</w:t>
            </w:r>
          </w:p>
        </w:tc>
        <w:tc>
          <w:tcPr>
            <w:tcW w:w="0" w:type="auto"/>
            <w:tcBorders>
              <w:top w:val="single" w:sz="4" w:space="0" w:color="auto"/>
              <w:left w:val="nil"/>
              <w:bottom w:val="single" w:sz="4" w:space="0" w:color="auto"/>
              <w:right w:val="nil"/>
            </w:tcBorders>
            <w:shd w:val="clear" w:color="000000" w:fill="D3C5D7"/>
            <w:noWrap/>
            <w:vAlign w:val="center"/>
            <w:hideMark/>
          </w:tcPr>
          <w:p w14:paraId="5E71B475"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284,854</w:t>
            </w:r>
          </w:p>
        </w:tc>
        <w:tc>
          <w:tcPr>
            <w:tcW w:w="0" w:type="auto"/>
            <w:tcBorders>
              <w:top w:val="single" w:sz="4" w:space="0" w:color="auto"/>
              <w:left w:val="nil"/>
              <w:bottom w:val="single" w:sz="4" w:space="0" w:color="auto"/>
              <w:right w:val="nil"/>
            </w:tcBorders>
            <w:shd w:val="clear" w:color="000000" w:fill="D3C5D7"/>
            <w:noWrap/>
            <w:vAlign w:val="center"/>
            <w:hideMark/>
          </w:tcPr>
          <w:p w14:paraId="4B24C79E"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388,893</w:t>
            </w:r>
          </w:p>
        </w:tc>
        <w:tc>
          <w:tcPr>
            <w:tcW w:w="0" w:type="auto"/>
            <w:tcBorders>
              <w:top w:val="single" w:sz="4" w:space="0" w:color="auto"/>
              <w:left w:val="nil"/>
              <w:bottom w:val="single" w:sz="4" w:space="0" w:color="auto"/>
              <w:right w:val="nil"/>
            </w:tcBorders>
            <w:shd w:val="clear" w:color="000000" w:fill="D3C5D7"/>
            <w:noWrap/>
            <w:vAlign w:val="center"/>
            <w:hideMark/>
          </w:tcPr>
          <w:p w14:paraId="5D0ACD71"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467,224</w:t>
            </w:r>
          </w:p>
        </w:tc>
        <w:tc>
          <w:tcPr>
            <w:tcW w:w="0" w:type="auto"/>
            <w:tcBorders>
              <w:top w:val="single" w:sz="4" w:space="0" w:color="auto"/>
              <w:left w:val="nil"/>
              <w:bottom w:val="single" w:sz="4" w:space="0" w:color="auto"/>
              <w:right w:val="dotted" w:sz="4" w:space="0" w:color="auto"/>
            </w:tcBorders>
            <w:shd w:val="clear" w:color="000000" w:fill="D3C5D7"/>
            <w:noWrap/>
            <w:vAlign w:val="center"/>
            <w:hideMark/>
          </w:tcPr>
          <w:p w14:paraId="0278481D"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82,003</w:t>
            </w:r>
          </w:p>
        </w:tc>
        <w:tc>
          <w:tcPr>
            <w:tcW w:w="0" w:type="auto"/>
            <w:tcBorders>
              <w:top w:val="single" w:sz="4" w:space="0" w:color="auto"/>
              <w:left w:val="dotted" w:sz="4" w:space="0" w:color="auto"/>
              <w:bottom w:val="single" w:sz="4" w:space="0" w:color="auto"/>
            </w:tcBorders>
            <w:shd w:val="clear" w:color="000000" w:fill="D3C5D7"/>
            <w:noWrap/>
            <w:vAlign w:val="center"/>
            <w:hideMark/>
          </w:tcPr>
          <w:p w14:paraId="5B732EC4"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1,488,931</w:t>
            </w:r>
          </w:p>
        </w:tc>
      </w:tr>
    </w:tbl>
    <w:p w14:paraId="66AABCE2" w14:textId="77777777" w:rsidR="003B7C93" w:rsidRDefault="003B7C93" w:rsidP="003B7C93">
      <w:pPr>
        <w:pStyle w:val="Tables"/>
      </w:pPr>
    </w:p>
    <w:tbl>
      <w:tblPr>
        <w:tblW w:w="0" w:type="auto"/>
        <w:tblLook w:val="04A0" w:firstRow="1" w:lastRow="0" w:firstColumn="1" w:lastColumn="0" w:noHBand="0" w:noVBand="1"/>
      </w:tblPr>
      <w:tblGrid>
        <w:gridCol w:w="1496"/>
        <w:gridCol w:w="1061"/>
        <w:gridCol w:w="1061"/>
        <w:gridCol w:w="1061"/>
        <w:gridCol w:w="1061"/>
        <w:gridCol w:w="1061"/>
        <w:gridCol w:w="1052"/>
        <w:gridCol w:w="848"/>
      </w:tblGrid>
      <w:tr w:rsidR="003B7C93" w:rsidRPr="00706E8E" w14:paraId="435A065D" w14:textId="77777777" w:rsidTr="00706E8E">
        <w:trPr>
          <w:trHeight w:val="397"/>
        </w:trPr>
        <w:tc>
          <w:tcPr>
            <w:tcW w:w="0" w:type="auto"/>
            <w:vMerge w:val="restart"/>
            <w:tcBorders>
              <w:top w:val="nil"/>
              <w:left w:val="nil"/>
              <w:bottom w:val="nil"/>
              <w:right w:val="nil"/>
            </w:tcBorders>
            <w:shd w:val="clear" w:color="000000" w:fill="6B2976"/>
            <w:vAlign w:val="center"/>
            <w:hideMark/>
          </w:tcPr>
          <w:p w14:paraId="3F1D21EA" w14:textId="77777777" w:rsidR="003B7C93" w:rsidRPr="00706E8E" w:rsidRDefault="003B7C93" w:rsidP="00706E8E">
            <w:pPr>
              <w:spacing w:after="0" w:line="240" w:lineRule="auto"/>
              <w:rPr>
                <w:rFonts w:eastAsia="Times New Roman" w:cs="Arial"/>
                <w:b/>
                <w:bCs/>
                <w:color w:val="FFFFFF"/>
                <w:sz w:val="16"/>
                <w:szCs w:val="16"/>
                <w:lang w:eastAsia="zh-CN"/>
              </w:rPr>
            </w:pPr>
            <w:r w:rsidRPr="00706E8E">
              <w:rPr>
                <w:rFonts w:eastAsia="Times New Roman" w:cs="Arial"/>
                <w:b/>
                <w:bCs/>
                <w:color w:val="FFFFFF"/>
                <w:sz w:val="16"/>
                <w:szCs w:val="16"/>
                <w:lang w:eastAsia="zh-CN"/>
              </w:rPr>
              <w:t>Level of function</w:t>
            </w:r>
          </w:p>
        </w:tc>
        <w:tc>
          <w:tcPr>
            <w:tcW w:w="0" w:type="auto"/>
            <w:gridSpan w:val="7"/>
            <w:tcBorders>
              <w:top w:val="nil"/>
              <w:left w:val="nil"/>
              <w:bottom w:val="single" w:sz="4" w:space="0" w:color="FFFFFF"/>
              <w:right w:val="nil"/>
            </w:tcBorders>
            <w:shd w:val="clear" w:color="000000" w:fill="6B2976"/>
            <w:vAlign w:val="center"/>
            <w:hideMark/>
          </w:tcPr>
          <w:p w14:paraId="5BAAD27E" w14:textId="77777777" w:rsidR="003B7C93" w:rsidRPr="00706E8E" w:rsidRDefault="003B7C93" w:rsidP="008116E1">
            <w:pPr>
              <w:spacing w:after="0" w:line="240" w:lineRule="auto"/>
              <w:jc w:val="center"/>
              <w:rPr>
                <w:rFonts w:eastAsia="Times New Roman" w:cs="Arial"/>
                <w:b/>
                <w:bCs/>
                <w:color w:val="FFFFFF"/>
                <w:sz w:val="16"/>
                <w:szCs w:val="16"/>
                <w:lang w:eastAsia="zh-CN"/>
              </w:rPr>
            </w:pPr>
            <w:r w:rsidRPr="00706E8E">
              <w:rPr>
                <w:rFonts w:eastAsia="Times New Roman" w:cs="Arial"/>
                <w:b/>
                <w:bCs/>
                <w:color w:val="FFFFFF"/>
                <w:sz w:val="16"/>
                <w:szCs w:val="16"/>
                <w:lang w:eastAsia="zh-CN"/>
              </w:rPr>
              <w:t>Actual % Exposure</w:t>
            </w:r>
          </w:p>
        </w:tc>
      </w:tr>
      <w:tr w:rsidR="003B7C93" w:rsidRPr="00706E8E" w14:paraId="4E92073E" w14:textId="77777777" w:rsidTr="00706E8E">
        <w:trPr>
          <w:trHeight w:val="397"/>
        </w:trPr>
        <w:tc>
          <w:tcPr>
            <w:tcW w:w="0" w:type="auto"/>
            <w:vMerge/>
            <w:tcBorders>
              <w:top w:val="nil"/>
              <w:left w:val="nil"/>
              <w:right w:val="nil"/>
            </w:tcBorders>
            <w:vAlign w:val="center"/>
            <w:hideMark/>
          </w:tcPr>
          <w:p w14:paraId="6FB2E869" w14:textId="77777777" w:rsidR="003B7C93" w:rsidRPr="00706E8E" w:rsidRDefault="003B7C93" w:rsidP="00706E8E">
            <w:pPr>
              <w:spacing w:after="0" w:line="240" w:lineRule="auto"/>
              <w:rPr>
                <w:rFonts w:eastAsia="Times New Roman" w:cs="Arial"/>
                <w:b/>
                <w:bCs/>
                <w:color w:val="FFFFFF"/>
                <w:sz w:val="16"/>
                <w:szCs w:val="16"/>
                <w:lang w:eastAsia="zh-CN"/>
              </w:rPr>
            </w:pPr>
          </w:p>
        </w:tc>
        <w:tc>
          <w:tcPr>
            <w:tcW w:w="0" w:type="auto"/>
            <w:tcBorders>
              <w:top w:val="nil"/>
              <w:left w:val="nil"/>
              <w:bottom w:val="nil"/>
              <w:right w:val="nil"/>
            </w:tcBorders>
            <w:shd w:val="clear" w:color="000000" w:fill="6B2976"/>
            <w:vAlign w:val="center"/>
            <w:hideMark/>
          </w:tcPr>
          <w:p w14:paraId="3D8B010D"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17</w:t>
            </w:r>
          </w:p>
        </w:tc>
        <w:tc>
          <w:tcPr>
            <w:tcW w:w="0" w:type="auto"/>
            <w:tcBorders>
              <w:top w:val="nil"/>
              <w:left w:val="nil"/>
              <w:bottom w:val="nil"/>
              <w:right w:val="nil"/>
            </w:tcBorders>
            <w:shd w:val="clear" w:color="000000" w:fill="6B2976"/>
            <w:vAlign w:val="center"/>
            <w:hideMark/>
          </w:tcPr>
          <w:p w14:paraId="18B421C6"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18</w:t>
            </w:r>
          </w:p>
        </w:tc>
        <w:tc>
          <w:tcPr>
            <w:tcW w:w="0" w:type="auto"/>
            <w:tcBorders>
              <w:top w:val="nil"/>
              <w:left w:val="nil"/>
              <w:bottom w:val="nil"/>
              <w:right w:val="nil"/>
            </w:tcBorders>
            <w:shd w:val="clear" w:color="000000" w:fill="6B2976"/>
            <w:vAlign w:val="center"/>
            <w:hideMark/>
          </w:tcPr>
          <w:p w14:paraId="5180586F"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19</w:t>
            </w:r>
          </w:p>
        </w:tc>
        <w:tc>
          <w:tcPr>
            <w:tcW w:w="0" w:type="auto"/>
            <w:tcBorders>
              <w:top w:val="nil"/>
              <w:left w:val="nil"/>
              <w:bottom w:val="nil"/>
              <w:right w:val="nil"/>
            </w:tcBorders>
            <w:shd w:val="clear" w:color="000000" w:fill="6B2976"/>
            <w:vAlign w:val="center"/>
            <w:hideMark/>
          </w:tcPr>
          <w:p w14:paraId="43CD7A4F"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20</w:t>
            </w:r>
          </w:p>
        </w:tc>
        <w:tc>
          <w:tcPr>
            <w:tcW w:w="0" w:type="auto"/>
            <w:tcBorders>
              <w:top w:val="nil"/>
              <w:left w:val="nil"/>
              <w:bottom w:val="nil"/>
              <w:right w:val="nil"/>
            </w:tcBorders>
            <w:shd w:val="clear" w:color="000000" w:fill="6B2976"/>
            <w:vAlign w:val="center"/>
            <w:hideMark/>
          </w:tcPr>
          <w:p w14:paraId="3CD9F653"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Jan-Dec 21</w:t>
            </w:r>
          </w:p>
        </w:tc>
        <w:tc>
          <w:tcPr>
            <w:tcW w:w="0" w:type="auto"/>
            <w:tcBorders>
              <w:top w:val="nil"/>
              <w:left w:val="nil"/>
              <w:right w:val="nil"/>
            </w:tcBorders>
            <w:shd w:val="clear" w:color="000000" w:fill="6B2976"/>
            <w:vAlign w:val="center"/>
            <w:hideMark/>
          </w:tcPr>
          <w:p w14:paraId="10CBAEE3"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Jan-Feb 22</w:t>
            </w:r>
          </w:p>
        </w:tc>
        <w:tc>
          <w:tcPr>
            <w:tcW w:w="0" w:type="auto"/>
            <w:tcBorders>
              <w:top w:val="nil"/>
              <w:left w:val="nil"/>
              <w:bottom w:val="nil"/>
              <w:right w:val="nil"/>
            </w:tcBorders>
            <w:shd w:val="clear" w:color="000000" w:fill="6B2976"/>
            <w:vAlign w:val="center"/>
            <w:hideMark/>
          </w:tcPr>
          <w:p w14:paraId="7101010B" w14:textId="77777777" w:rsidR="003B7C93" w:rsidRPr="00706E8E" w:rsidRDefault="003B7C93" w:rsidP="00706E8E">
            <w:pPr>
              <w:spacing w:after="0" w:line="240" w:lineRule="auto"/>
              <w:jc w:val="right"/>
              <w:rPr>
                <w:rFonts w:eastAsia="Times New Roman" w:cs="Arial"/>
                <w:b/>
                <w:bCs/>
                <w:color w:val="FFFFFF"/>
                <w:sz w:val="16"/>
                <w:szCs w:val="16"/>
                <w:lang w:eastAsia="zh-CN"/>
              </w:rPr>
            </w:pPr>
            <w:r w:rsidRPr="00706E8E">
              <w:rPr>
                <w:rFonts w:eastAsia="Times New Roman" w:cs="Arial"/>
                <w:b/>
                <w:bCs/>
                <w:color w:val="FFFFFF"/>
                <w:sz w:val="16"/>
                <w:szCs w:val="16"/>
                <w:lang w:eastAsia="zh-CN"/>
              </w:rPr>
              <w:t>Overall</w:t>
            </w:r>
          </w:p>
        </w:tc>
      </w:tr>
      <w:tr w:rsidR="003B7C93" w:rsidRPr="00706E8E" w14:paraId="12E17708" w14:textId="77777777" w:rsidTr="00706E8E">
        <w:trPr>
          <w:trHeight w:val="285"/>
        </w:trPr>
        <w:tc>
          <w:tcPr>
            <w:tcW w:w="0" w:type="auto"/>
            <w:tcBorders>
              <w:top w:val="nil"/>
              <w:left w:val="nil"/>
              <w:bottom w:val="nil"/>
              <w:right w:val="dotted" w:sz="4" w:space="0" w:color="auto"/>
            </w:tcBorders>
            <w:shd w:val="clear" w:color="auto" w:fill="auto"/>
            <w:noWrap/>
            <w:vAlign w:val="center"/>
            <w:hideMark/>
          </w:tcPr>
          <w:p w14:paraId="532CC64A" w14:textId="77777777" w:rsidR="003B7C93" w:rsidRPr="00706E8E" w:rsidRDefault="003B7C93" w:rsidP="00706E8E">
            <w:pPr>
              <w:spacing w:after="0" w:line="240" w:lineRule="auto"/>
              <w:rPr>
                <w:rFonts w:eastAsia="Times New Roman" w:cs="Arial"/>
                <w:color w:val="000000"/>
                <w:sz w:val="16"/>
                <w:szCs w:val="16"/>
                <w:lang w:eastAsia="zh-CN"/>
              </w:rPr>
            </w:pPr>
            <w:r w:rsidRPr="00706E8E">
              <w:rPr>
                <w:rFonts w:eastAsia="Times New Roman" w:cs="Arial"/>
                <w:color w:val="000000"/>
                <w:sz w:val="16"/>
                <w:szCs w:val="16"/>
                <w:lang w:eastAsia="zh-CN"/>
              </w:rPr>
              <w:t xml:space="preserve"> High </w:t>
            </w:r>
          </w:p>
        </w:tc>
        <w:tc>
          <w:tcPr>
            <w:tcW w:w="0" w:type="auto"/>
            <w:tcBorders>
              <w:top w:val="nil"/>
              <w:left w:val="dotted" w:sz="4" w:space="0" w:color="auto"/>
              <w:bottom w:val="nil"/>
              <w:right w:val="nil"/>
            </w:tcBorders>
            <w:shd w:val="clear" w:color="auto" w:fill="auto"/>
            <w:noWrap/>
            <w:vAlign w:val="center"/>
            <w:hideMark/>
          </w:tcPr>
          <w:p w14:paraId="77BFECE1"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21.69%</w:t>
            </w:r>
          </w:p>
        </w:tc>
        <w:tc>
          <w:tcPr>
            <w:tcW w:w="0" w:type="auto"/>
            <w:tcBorders>
              <w:top w:val="nil"/>
              <w:left w:val="nil"/>
              <w:bottom w:val="nil"/>
              <w:right w:val="nil"/>
            </w:tcBorders>
            <w:shd w:val="clear" w:color="auto" w:fill="auto"/>
            <w:noWrap/>
            <w:vAlign w:val="center"/>
            <w:hideMark/>
          </w:tcPr>
          <w:p w14:paraId="18EF7870"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21.27%</w:t>
            </w:r>
          </w:p>
        </w:tc>
        <w:tc>
          <w:tcPr>
            <w:tcW w:w="0" w:type="auto"/>
            <w:tcBorders>
              <w:top w:val="nil"/>
              <w:left w:val="nil"/>
              <w:bottom w:val="nil"/>
              <w:right w:val="nil"/>
            </w:tcBorders>
            <w:shd w:val="clear" w:color="auto" w:fill="auto"/>
            <w:noWrap/>
            <w:vAlign w:val="center"/>
            <w:hideMark/>
          </w:tcPr>
          <w:p w14:paraId="35EC2E8A"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21.64%</w:t>
            </w:r>
          </w:p>
        </w:tc>
        <w:tc>
          <w:tcPr>
            <w:tcW w:w="0" w:type="auto"/>
            <w:tcBorders>
              <w:top w:val="nil"/>
              <w:left w:val="nil"/>
              <w:bottom w:val="nil"/>
              <w:right w:val="nil"/>
            </w:tcBorders>
            <w:shd w:val="clear" w:color="auto" w:fill="auto"/>
            <w:noWrap/>
            <w:vAlign w:val="center"/>
            <w:hideMark/>
          </w:tcPr>
          <w:p w14:paraId="40C23368"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24.41%</w:t>
            </w:r>
          </w:p>
        </w:tc>
        <w:tc>
          <w:tcPr>
            <w:tcW w:w="0" w:type="auto"/>
            <w:tcBorders>
              <w:top w:val="nil"/>
              <w:left w:val="nil"/>
              <w:bottom w:val="nil"/>
              <w:right w:val="nil"/>
            </w:tcBorders>
            <w:shd w:val="clear" w:color="auto" w:fill="auto"/>
            <w:noWrap/>
            <w:vAlign w:val="center"/>
            <w:hideMark/>
          </w:tcPr>
          <w:p w14:paraId="753AFD5C"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26.71%</w:t>
            </w:r>
          </w:p>
        </w:tc>
        <w:tc>
          <w:tcPr>
            <w:tcW w:w="0" w:type="auto"/>
            <w:tcBorders>
              <w:top w:val="nil"/>
              <w:left w:val="nil"/>
              <w:bottom w:val="nil"/>
              <w:right w:val="dotted" w:sz="4" w:space="0" w:color="auto"/>
            </w:tcBorders>
            <w:shd w:val="clear" w:color="auto" w:fill="auto"/>
            <w:noWrap/>
            <w:vAlign w:val="center"/>
            <w:hideMark/>
          </w:tcPr>
          <w:p w14:paraId="7316B7CB"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27.97%</w:t>
            </w:r>
          </w:p>
        </w:tc>
        <w:tc>
          <w:tcPr>
            <w:tcW w:w="0" w:type="auto"/>
            <w:tcBorders>
              <w:top w:val="nil"/>
              <w:left w:val="dotted" w:sz="4" w:space="0" w:color="auto"/>
              <w:bottom w:val="nil"/>
              <w:right w:val="nil"/>
            </w:tcBorders>
            <w:shd w:val="clear" w:color="auto" w:fill="auto"/>
            <w:noWrap/>
            <w:vAlign w:val="center"/>
            <w:hideMark/>
          </w:tcPr>
          <w:p w14:paraId="4995CCE0"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24.26%</w:t>
            </w:r>
          </w:p>
        </w:tc>
      </w:tr>
      <w:tr w:rsidR="003B7C93" w:rsidRPr="00706E8E" w14:paraId="7FC61BDD" w14:textId="77777777" w:rsidTr="00706E8E">
        <w:trPr>
          <w:trHeight w:val="285"/>
        </w:trPr>
        <w:tc>
          <w:tcPr>
            <w:tcW w:w="0" w:type="auto"/>
            <w:tcBorders>
              <w:top w:val="nil"/>
              <w:left w:val="nil"/>
              <w:bottom w:val="nil"/>
              <w:right w:val="dotted" w:sz="4" w:space="0" w:color="auto"/>
            </w:tcBorders>
            <w:shd w:val="clear" w:color="auto" w:fill="BFBFBF" w:themeFill="background1" w:themeFillShade="BF"/>
            <w:noWrap/>
            <w:vAlign w:val="center"/>
            <w:hideMark/>
          </w:tcPr>
          <w:p w14:paraId="6EA03696" w14:textId="77777777" w:rsidR="003B7C93" w:rsidRPr="00706E8E" w:rsidRDefault="003B7C93" w:rsidP="00706E8E">
            <w:pPr>
              <w:spacing w:after="0" w:line="240" w:lineRule="auto"/>
              <w:rPr>
                <w:rFonts w:eastAsia="Times New Roman" w:cs="Arial"/>
                <w:color w:val="000000"/>
                <w:sz w:val="16"/>
                <w:szCs w:val="16"/>
                <w:lang w:eastAsia="zh-CN"/>
              </w:rPr>
            </w:pPr>
            <w:r w:rsidRPr="00706E8E">
              <w:rPr>
                <w:rFonts w:eastAsia="Times New Roman" w:cs="Arial"/>
                <w:color w:val="000000"/>
                <w:sz w:val="16"/>
                <w:szCs w:val="16"/>
                <w:lang w:eastAsia="zh-CN"/>
              </w:rPr>
              <w:t xml:space="preserve"> Medium </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135AF9AD"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42.32%</w:t>
            </w:r>
          </w:p>
        </w:tc>
        <w:tc>
          <w:tcPr>
            <w:tcW w:w="0" w:type="auto"/>
            <w:tcBorders>
              <w:top w:val="nil"/>
              <w:left w:val="nil"/>
              <w:bottom w:val="nil"/>
              <w:right w:val="nil"/>
            </w:tcBorders>
            <w:shd w:val="clear" w:color="auto" w:fill="BFBFBF" w:themeFill="background1" w:themeFillShade="BF"/>
            <w:noWrap/>
            <w:vAlign w:val="center"/>
            <w:hideMark/>
          </w:tcPr>
          <w:p w14:paraId="24292BF4"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44.00%</w:t>
            </w:r>
          </w:p>
        </w:tc>
        <w:tc>
          <w:tcPr>
            <w:tcW w:w="0" w:type="auto"/>
            <w:tcBorders>
              <w:top w:val="nil"/>
              <w:left w:val="nil"/>
              <w:bottom w:val="nil"/>
              <w:right w:val="nil"/>
            </w:tcBorders>
            <w:shd w:val="clear" w:color="auto" w:fill="BFBFBF" w:themeFill="background1" w:themeFillShade="BF"/>
            <w:noWrap/>
            <w:vAlign w:val="center"/>
            <w:hideMark/>
          </w:tcPr>
          <w:p w14:paraId="5A87FBC4"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45.08%</w:t>
            </w:r>
          </w:p>
        </w:tc>
        <w:tc>
          <w:tcPr>
            <w:tcW w:w="0" w:type="auto"/>
            <w:tcBorders>
              <w:top w:val="nil"/>
              <w:left w:val="nil"/>
              <w:bottom w:val="nil"/>
              <w:right w:val="nil"/>
            </w:tcBorders>
            <w:shd w:val="clear" w:color="auto" w:fill="BFBFBF" w:themeFill="background1" w:themeFillShade="BF"/>
            <w:noWrap/>
            <w:vAlign w:val="center"/>
            <w:hideMark/>
          </w:tcPr>
          <w:p w14:paraId="2DD27D06"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45.54%</w:t>
            </w:r>
          </w:p>
        </w:tc>
        <w:tc>
          <w:tcPr>
            <w:tcW w:w="0" w:type="auto"/>
            <w:tcBorders>
              <w:top w:val="nil"/>
              <w:left w:val="nil"/>
              <w:bottom w:val="nil"/>
              <w:right w:val="nil"/>
            </w:tcBorders>
            <w:shd w:val="clear" w:color="auto" w:fill="BFBFBF" w:themeFill="background1" w:themeFillShade="BF"/>
            <w:noWrap/>
            <w:vAlign w:val="center"/>
            <w:hideMark/>
          </w:tcPr>
          <w:p w14:paraId="7F131B74"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45.70%</w:t>
            </w:r>
          </w:p>
        </w:tc>
        <w:tc>
          <w:tcPr>
            <w:tcW w:w="0" w:type="auto"/>
            <w:tcBorders>
              <w:top w:val="nil"/>
              <w:left w:val="nil"/>
              <w:bottom w:val="nil"/>
              <w:right w:val="dotted" w:sz="4" w:space="0" w:color="auto"/>
            </w:tcBorders>
            <w:shd w:val="clear" w:color="auto" w:fill="BFBFBF" w:themeFill="background1" w:themeFillShade="BF"/>
            <w:noWrap/>
            <w:vAlign w:val="center"/>
            <w:hideMark/>
          </w:tcPr>
          <w:p w14:paraId="1B112DE6"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45.76%</w:t>
            </w:r>
          </w:p>
        </w:tc>
        <w:tc>
          <w:tcPr>
            <w:tcW w:w="0" w:type="auto"/>
            <w:tcBorders>
              <w:top w:val="nil"/>
              <w:left w:val="dotted" w:sz="4" w:space="0" w:color="auto"/>
              <w:bottom w:val="nil"/>
              <w:right w:val="nil"/>
            </w:tcBorders>
            <w:shd w:val="clear" w:color="auto" w:fill="BFBFBF" w:themeFill="background1" w:themeFillShade="BF"/>
            <w:noWrap/>
            <w:vAlign w:val="center"/>
            <w:hideMark/>
          </w:tcPr>
          <w:p w14:paraId="7D1A94A9"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45.14%</w:t>
            </w:r>
          </w:p>
        </w:tc>
      </w:tr>
      <w:tr w:rsidR="003B7C93" w:rsidRPr="00706E8E" w14:paraId="4684554C" w14:textId="77777777" w:rsidTr="00706E8E">
        <w:trPr>
          <w:trHeight w:val="285"/>
        </w:trPr>
        <w:tc>
          <w:tcPr>
            <w:tcW w:w="0" w:type="auto"/>
            <w:tcBorders>
              <w:top w:val="nil"/>
              <w:left w:val="nil"/>
              <w:bottom w:val="nil"/>
              <w:right w:val="dotted" w:sz="4" w:space="0" w:color="auto"/>
            </w:tcBorders>
            <w:shd w:val="clear" w:color="auto" w:fill="auto"/>
            <w:noWrap/>
            <w:vAlign w:val="center"/>
            <w:hideMark/>
          </w:tcPr>
          <w:p w14:paraId="6E27F2E1" w14:textId="77777777" w:rsidR="003B7C93" w:rsidRPr="00706E8E" w:rsidRDefault="003B7C93" w:rsidP="00706E8E">
            <w:pPr>
              <w:spacing w:after="0" w:line="240" w:lineRule="auto"/>
              <w:rPr>
                <w:rFonts w:eastAsia="Times New Roman" w:cs="Arial"/>
                <w:color w:val="000000"/>
                <w:sz w:val="16"/>
                <w:szCs w:val="16"/>
                <w:lang w:eastAsia="zh-CN"/>
              </w:rPr>
            </w:pPr>
            <w:r w:rsidRPr="00706E8E">
              <w:rPr>
                <w:rFonts w:eastAsia="Times New Roman" w:cs="Arial"/>
                <w:color w:val="000000"/>
                <w:sz w:val="16"/>
                <w:szCs w:val="16"/>
                <w:lang w:eastAsia="zh-CN"/>
              </w:rPr>
              <w:t xml:space="preserve"> Low </w:t>
            </w:r>
          </w:p>
        </w:tc>
        <w:tc>
          <w:tcPr>
            <w:tcW w:w="0" w:type="auto"/>
            <w:tcBorders>
              <w:top w:val="nil"/>
              <w:left w:val="dotted" w:sz="4" w:space="0" w:color="auto"/>
              <w:bottom w:val="nil"/>
              <w:right w:val="nil"/>
            </w:tcBorders>
            <w:shd w:val="clear" w:color="auto" w:fill="auto"/>
            <w:noWrap/>
            <w:vAlign w:val="center"/>
            <w:hideMark/>
          </w:tcPr>
          <w:p w14:paraId="0D9D9CD9"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35.19%</w:t>
            </w:r>
          </w:p>
        </w:tc>
        <w:tc>
          <w:tcPr>
            <w:tcW w:w="0" w:type="auto"/>
            <w:tcBorders>
              <w:top w:val="nil"/>
              <w:left w:val="nil"/>
              <w:bottom w:val="nil"/>
              <w:right w:val="nil"/>
            </w:tcBorders>
            <w:shd w:val="clear" w:color="auto" w:fill="auto"/>
            <w:noWrap/>
            <w:vAlign w:val="center"/>
            <w:hideMark/>
          </w:tcPr>
          <w:p w14:paraId="7296F517"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34.51%</w:t>
            </w:r>
          </w:p>
        </w:tc>
        <w:tc>
          <w:tcPr>
            <w:tcW w:w="0" w:type="auto"/>
            <w:tcBorders>
              <w:top w:val="nil"/>
              <w:left w:val="nil"/>
              <w:bottom w:val="nil"/>
              <w:right w:val="nil"/>
            </w:tcBorders>
            <w:shd w:val="clear" w:color="auto" w:fill="auto"/>
            <w:noWrap/>
            <w:vAlign w:val="center"/>
            <w:hideMark/>
          </w:tcPr>
          <w:p w14:paraId="24455F67"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33.16%</w:t>
            </w:r>
          </w:p>
        </w:tc>
        <w:tc>
          <w:tcPr>
            <w:tcW w:w="0" w:type="auto"/>
            <w:tcBorders>
              <w:top w:val="nil"/>
              <w:left w:val="nil"/>
              <w:bottom w:val="nil"/>
              <w:right w:val="nil"/>
            </w:tcBorders>
            <w:shd w:val="clear" w:color="auto" w:fill="auto"/>
            <w:noWrap/>
            <w:vAlign w:val="center"/>
            <w:hideMark/>
          </w:tcPr>
          <w:p w14:paraId="1469C990"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29.98%</w:t>
            </w:r>
          </w:p>
        </w:tc>
        <w:tc>
          <w:tcPr>
            <w:tcW w:w="0" w:type="auto"/>
            <w:tcBorders>
              <w:top w:val="nil"/>
              <w:left w:val="nil"/>
              <w:bottom w:val="nil"/>
              <w:right w:val="nil"/>
            </w:tcBorders>
            <w:shd w:val="clear" w:color="auto" w:fill="auto"/>
            <w:noWrap/>
            <w:vAlign w:val="center"/>
            <w:hideMark/>
          </w:tcPr>
          <w:p w14:paraId="3966564E"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27.53%</w:t>
            </w:r>
          </w:p>
        </w:tc>
        <w:tc>
          <w:tcPr>
            <w:tcW w:w="0" w:type="auto"/>
            <w:tcBorders>
              <w:top w:val="nil"/>
              <w:left w:val="nil"/>
              <w:bottom w:val="nil"/>
              <w:right w:val="dotted" w:sz="4" w:space="0" w:color="auto"/>
            </w:tcBorders>
            <w:shd w:val="clear" w:color="auto" w:fill="auto"/>
            <w:noWrap/>
            <w:vAlign w:val="center"/>
            <w:hideMark/>
          </w:tcPr>
          <w:p w14:paraId="2609C2A2"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26.21%</w:t>
            </w:r>
          </w:p>
        </w:tc>
        <w:tc>
          <w:tcPr>
            <w:tcW w:w="0" w:type="auto"/>
            <w:tcBorders>
              <w:top w:val="nil"/>
              <w:left w:val="dotted" w:sz="4" w:space="0" w:color="auto"/>
              <w:bottom w:val="nil"/>
              <w:right w:val="nil"/>
            </w:tcBorders>
            <w:shd w:val="clear" w:color="auto" w:fill="auto"/>
            <w:noWrap/>
            <w:vAlign w:val="center"/>
            <w:hideMark/>
          </w:tcPr>
          <w:p w14:paraId="5F7C8197"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30.46%</w:t>
            </w:r>
          </w:p>
        </w:tc>
      </w:tr>
      <w:tr w:rsidR="003B7C93" w:rsidRPr="00706E8E" w14:paraId="617B4773" w14:textId="77777777" w:rsidTr="00706E8E">
        <w:trPr>
          <w:trHeight w:val="285"/>
        </w:trPr>
        <w:tc>
          <w:tcPr>
            <w:tcW w:w="0" w:type="auto"/>
            <w:tcBorders>
              <w:top w:val="nil"/>
              <w:left w:val="nil"/>
              <w:bottom w:val="single" w:sz="4" w:space="0" w:color="auto"/>
              <w:right w:val="dotted" w:sz="4" w:space="0" w:color="auto"/>
            </w:tcBorders>
            <w:shd w:val="clear" w:color="auto" w:fill="BFBFBF" w:themeFill="background1" w:themeFillShade="BF"/>
            <w:noWrap/>
            <w:vAlign w:val="center"/>
            <w:hideMark/>
          </w:tcPr>
          <w:p w14:paraId="5DC91D79" w14:textId="77777777" w:rsidR="003B7C93" w:rsidRPr="00706E8E" w:rsidRDefault="003B7C93" w:rsidP="00706E8E">
            <w:pPr>
              <w:spacing w:after="0" w:line="240" w:lineRule="auto"/>
              <w:rPr>
                <w:rFonts w:eastAsia="Times New Roman" w:cs="Arial"/>
                <w:color w:val="000000"/>
                <w:sz w:val="16"/>
                <w:szCs w:val="16"/>
                <w:lang w:eastAsia="zh-CN"/>
              </w:rPr>
            </w:pPr>
            <w:r w:rsidRPr="00706E8E">
              <w:rPr>
                <w:rFonts w:eastAsia="Times New Roman" w:cs="Arial"/>
                <w:color w:val="000000"/>
                <w:sz w:val="16"/>
                <w:szCs w:val="16"/>
                <w:lang w:eastAsia="zh-CN"/>
              </w:rPr>
              <w:t xml:space="preserve"> Missing </w:t>
            </w:r>
          </w:p>
        </w:tc>
        <w:tc>
          <w:tcPr>
            <w:tcW w:w="0" w:type="auto"/>
            <w:tcBorders>
              <w:top w:val="nil"/>
              <w:left w:val="dotted" w:sz="4" w:space="0" w:color="auto"/>
              <w:bottom w:val="single" w:sz="4" w:space="0" w:color="auto"/>
              <w:right w:val="nil"/>
            </w:tcBorders>
            <w:shd w:val="clear" w:color="auto" w:fill="BFBFBF" w:themeFill="background1" w:themeFillShade="BF"/>
            <w:noWrap/>
            <w:vAlign w:val="center"/>
            <w:hideMark/>
          </w:tcPr>
          <w:p w14:paraId="077C9522"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0.81%</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5171FB96"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0.22%</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1CCD9936"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0.12%</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167B7FCA"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0.08%</w:t>
            </w:r>
          </w:p>
        </w:tc>
        <w:tc>
          <w:tcPr>
            <w:tcW w:w="0" w:type="auto"/>
            <w:tcBorders>
              <w:top w:val="nil"/>
              <w:left w:val="nil"/>
              <w:bottom w:val="single" w:sz="4" w:space="0" w:color="auto"/>
              <w:right w:val="nil"/>
            </w:tcBorders>
            <w:shd w:val="clear" w:color="auto" w:fill="BFBFBF" w:themeFill="background1" w:themeFillShade="BF"/>
            <w:noWrap/>
            <w:vAlign w:val="center"/>
            <w:hideMark/>
          </w:tcPr>
          <w:p w14:paraId="1AE233B0"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0.06%</w:t>
            </w:r>
          </w:p>
        </w:tc>
        <w:tc>
          <w:tcPr>
            <w:tcW w:w="0" w:type="auto"/>
            <w:tcBorders>
              <w:top w:val="nil"/>
              <w:left w:val="nil"/>
              <w:bottom w:val="single" w:sz="4" w:space="0" w:color="auto"/>
              <w:right w:val="dotted" w:sz="4" w:space="0" w:color="auto"/>
            </w:tcBorders>
            <w:shd w:val="clear" w:color="auto" w:fill="BFBFBF" w:themeFill="background1" w:themeFillShade="BF"/>
            <w:noWrap/>
            <w:vAlign w:val="center"/>
            <w:hideMark/>
          </w:tcPr>
          <w:p w14:paraId="72E5AF77"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0.06%</w:t>
            </w:r>
          </w:p>
        </w:tc>
        <w:tc>
          <w:tcPr>
            <w:tcW w:w="0" w:type="auto"/>
            <w:tcBorders>
              <w:top w:val="nil"/>
              <w:left w:val="dotted" w:sz="4" w:space="0" w:color="auto"/>
              <w:bottom w:val="single" w:sz="4" w:space="0" w:color="auto"/>
              <w:right w:val="nil"/>
            </w:tcBorders>
            <w:shd w:val="clear" w:color="auto" w:fill="BFBFBF" w:themeFill="background1" w:themeFillShade="BF"/>
            <w:noWrap/>
            <w:vAlign w:val="center"/>
            <w:hideMark/>
          </w:tcPr>
          <w:p w14:paraId="708961D6" w14:textId="77777777" w:rsidR="003B7C93" w:rsidRPr="00706E8E" w:rsidRDefault="003B7C93" w:rsidP="00706E8E">
            <w:pPr>
              <w:spacing w:after="0" w:line="240" w:lineRule="auto"/>
              <w:jc w:val="right"/>
              <w:rPr>
                <w:rFonts w:eastAsia="Times New Roman" w:cs="Arial"/>
                <w:sz w:val="16"/>
                <w:szCs w:val="16"/>
                <w:lang w:eastAsia="zh-CN"/>
              </w:rPr>
            </w:pPr>
            <w:r w:rsidRPr="00706E8E">
              <w:rPr>
                <w:rFonts w:eastAsia="Times New Roman" w:cs="Arial"/>
                <w:sz w:val="16"/>
                <w:szCs w:val="16"/>
                <w:lang w:eastAsia="zh-CN"/>
              </w:rPr>
              <w:t>0.14%</w:t>
            </w:r>
          </w:p>
        </w:tc>
      </w:tr>
      <w:tr w:rsidR="003B7C93" w:rsidRPr="00706E8E" w14:paraId="5900DA00" w14:textId="77777777" w:rsidTr="00706E8E">
        <w:trPr>
          <w:trHeight w:val="300"/>
        </w:trPr>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5170F898" w14:textId="77777777" w:rsidR="003B7C93" w:rsidRPr="00706E8E" w:rsidRDefault="003B7C93" w:rsidP="00706E8E">
            <w:pPr>
              <w:spacing w:after="0" w:line="240" w:lineRule="auto"/>
              <w:rPr>
                <w:rFonts w:eastAsia="Times New Roman" w:cs="Arial"/>
                <w:b/>
                <w:bCs/>
                <w:color w:val="000000"/>
                <w:sz w:val="16"/>
                <w:szCs w:val="16"/>
                <w:lang w:eastAsia="zh-CN"/>
              </w:rPr>
            </w:pPr>
            <w:r w:rsidRPr="00706E8E">
              <w:rPr>
                <w:rFonts w:eastAsia="Times New Roman" w:cs="Arial"/>
                <w:b/>
                <w:bCs/>
                <w:color w:val="000000"/>
                <w:sz w:val="16"/>
                <w:szCs w:val="16"/>
                <w:lang w:eastAsia="zh-CN"/>
              </w:rPr>
              <w:t>Total</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75FDB5AF"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212FEBF1"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467B4FA5"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03AB57A5"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5F4DFB3A"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100.00%</w:t>
            </w:r>
          </w:p>
        </w:tc>
        <w:tc>
          <w:tcPr>
            <w:tcW w:w="0" w:type="auto"/>
            <w:tcBorders>
              <w:top w:val="single" w:sz="4" w:space="0" w:color="auto"/>
              <w:left w:val="nil"/>
              <w:bottom w:val="single" w:sz="4" w:space="0" w:color="auto"/>
              <w:right w:val="dotted" w:sz="4" w:space="0" w:color="auto"/>
            </w:tcBorders>
            <w:shd w:val="clear" w:color="auto" w:fill="D3C5D7"/>
            <w:noWrap/>
            <w:vAlign w:val="center"/>
            <w:hideMark/>
          </w:tcPr>
          <w:p w14:paraId="4DABD94E"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100.00%</w:t>
            </w:r>
          </w:p>
        </w:tc>
        <w:tc>
          <w:tcPr>
            <w:tcW w:w="0" w:type="auto"/>
            <w:tcBorders>
              <w:top w:val="single" w:sz="4" w:space="0" w:color="auto"/>
              <w:left w:val="dotted" w:sz="4" w:space="0" w:color="auto"/>
              <w:bottom w:val="single" w:sz="4" w:space="0" w:color="auto"/>
              <w:right w:val="nil"/>
            </w:tcBorders>
            <w:shd w:val="clear" w:color="auto" w:fill="D3C5D7"/>
            <w:noWrap/>
            <w:vAlign w:val="center"/>
            <w:hideMark/>
          </w:tcPr>
          <w:p w14:paraId="54BC5B21" w14:textId="77777777" w:rsidR="003B7C93" w:rsidRPr="00706E8E" w:rsidRDefault="003B7C93" w:rsidP="00706E8E">
            <w:pPr>
              <w:spacing w:after="0" w:line="240" w:lineRule="auto"/>
              <w:jc w:val="right"/>
              <w:rPr>
                <w:rFonts w:eastAsia="Times New Roman" w:cs="Arial"/>
                <w:b/>
                <w:bCs/>
                <w:color w:val="000000"/>
                <w:sz w:val="16"/>
                <w:szCs w:val="16"/>
                <w:lang w:eastAsia="zh-CN"/>
              </w:rPr>
            </w:pPr>
            <w:r w:rsidRPr="00706E8E">
              <w:rPr>
                <w:rFonts w:eastAsia="Times New Roman" w:cs="Arial"/>
                <w:b/>
                <w:bCs/>
                <w:color w:val="000000"/>
                <w:sz w:val="16"/>
                <w:szCs w:val="16"/>
                <w:lang w:eastAsia="zh-CN"/>
              </w:rPr>
              <w:t>100.00%</w:t>
            </w:r>
          </w:p>
        </w:tc>
      </w:tr>
    </w:tbl>
    <w:p w14:paraId="10B82A1D" w14:textId="77777777" w:rsidR="004A5D62" w:rsidRPr="0027120A" w:rsidRDefault="004A5D62" w:rsidP="00DA3F73">
      <w:pPr>
        <w:pStyle w:val="FSRnormal"/>
      </w:pPr>
      <w:r w:rsidRPr="0027120A">
        <w:t xml:space="preserve">Generally, mortality rates increase with decreasing level of function, reflecting </w:t>
      </w:r>
      <w:r w:rsidR="00333606">
        <w:t>a</w:t>
      </w:r>
      <w:r w:rsidRPr="0027120A">
        <w:t xml:space="preserve"> correlation with severity of disability. There is a shift in exposure from low to high level of function in 2021, and this </w:t>
      </w:r>
      <w:r w:rsidR="00C32176">
        <w:t>contributed to the overall reduction in mortality rates</w:t>
      </w:r>
      <w:r w:rsidRPr="0027120A">
        <w:t>.</w:t>
      </w:r>
    </w:p>
    <w:p w14:paraId="04345489" w14:textId="77777777" w:rsidR="004A5D62" w:rsidRPr="0027120A" w:rsidRDefault="00966B0F" w:rsidP="00DA3F73">
      <w:pPr>
        <w:pStyle w:val="FSRnormal"/>
      </w:pPr>
      <w:r>
        <w:t>The</w:t>
      </w:r>
      <w:r w:rsidRPr="0027120A">
        <w:t xml:space="preserve"> </w:t>
      </w:r>
      <w:r w:rsidR="004A5D62" w:rsidRPr="0027120A">
        <w:t>mortality</w:t>
      </w:r>
      <w:r>
        <w:t xml:space="preserve"> rate</w:t>
      </w:r>
      <w:r w:rsidR="004A5D62" w:rsidRPr="0027120A">
        <w:t xml:space="preserve"> for participants with </w:t>
      </w:r>
      <w:r w:rsidR="008C13AC">
        <w:t xml:space="preserve">a </w:t>
      </w:r>
      <w:r w:rsidR="004A5D62" w:rsidRPr="0027120A">
        <w:t xml:space="preserve">high level of function decreased slightly from 0.20% in 2020 to 0.18% in 2021, 0.08% lower than expected </w:t>
      </w:r>
      <w:r w:rsidR="00456336">
        <w:t xml:space="preserve">in 2021 </w:t>
      </w:r>
      <w:r w:rsidR="004A5D62" w:rsidRPr="0027120A">
        <w:t xml:space="preserve">and a similar variation as in 2020. However, there were approximately 1.50% more participants </w:t>
      </w:r>
      <w:r w:rsidR="00506761">
        <w:t>with a</w:t>
      </w:r>
      <w:r w:rsidR="004A5D62" w:rsidRPr="0027120A">
        <w:t xml:space="preserve"> high level of function in 2021 than 2020. These two effects </w:t>
      </w:r>
      <w:r w:rsidR="00EE6F7C">
        <w:t>broadly offset each other</w:t>
      </w:r>
      <w:r w:rsidR="004A5D62" w:rsidRPr="0027120A">
        <w:t xml:space="preserve">, and thus </w:t>
      </w:r>
      <w:r w:rsidR="00CC0B13">
        <w:t xml:space="preserve">those with high levels of function </w:t>
      </w:r>
      <w:r w:rsidR="004A5D62" w:rsidRPr="0027120A">
        <w:t xml:space="preserve">did not contribute </w:t>
      </w:r>
      <w:r w:rsidR="00D12710">
        <w:t xml:space="preserve">materially </w:t>
      </w:r>
      <w:r w:rsidR="004A5D62" w:rsidRPr="0027120A">
        <w:t>to the change in overall mortality rate.</w:t>
      </w:r>
    </w:p>
    <w:p w14:paraId="669BAF82" w14:textId="77777777" w:rsidR="004A5D62" w:rsidRPr="0027120A" w:rsidRDefault="004A5D62" w:rsidP="00DA3F73">
      <w:pPr>
        <w:pStyle w:val="FSRnormal"/>
      </w:pPr>
      <w:r w:rsidRPr="0027120A">
        <w:t xml:space="preserve">The bulk of the </w:t>
      </w:r>
      <w:r w:rsidR="00810BE6">
        <w:t xml:space="preserve">decrease in </w:t>
      </w:r>
      <w:r w:rsidR="00B271EF">
        <w:t xml:space="preserve">the </w:t>
      </w:r>
      <w:r w:rsidRPr="0027120A">
        <w:t xml:space="preserve">overall </w:t>
      </w:r>
      <w:r w:rsidR="00B271EF">
        <w:t xml:space="preserve">mortality </w:t>
      </w:r>
      <w:r w:rsidRPr="0027120A">
        <w:t>rate</w:t>
      </w:r>
      <w:r w:rsidR="00333606">
        <w:t xml:space="preserve"> arose</w:t>
      </w:r>
      <w:r w:rsidRPr="0027120A">
        <w:t xml:space="preserve"> from participants with </w:t>
      </w:r>
      <w:r w:rsidR="008C13AC">
        <w:t xml:space="preserve">a </w:t>
      </w:r>
      <w:r w:rsidRPr="0027120A">
        <w:t xml:space="preserve">medium level of function. </w:t>
      </w:r>
      <w:r w:rsidR="00DF3EFA">
        <w:t xml:space="preserve">The rate for this cohort </w:t>
      </w:r>
      <w:r w:rsidRPr="0027120A">
        <w:t xml:space="preserve">decreased from 0.61% to 0.55%, </w:t>
      </w:r>
      <w:r w:rsidR="009E40A9">
        <w:t xml:space="preserve">and was </w:t>
      </w:r>
      <w:r w:rsidRPr="0027120A">
        <w:t xml:space="preserve">0.01% lower than expected </w:t>
      </w:r>
      <w:r w:rsidR="00BB67AC">
        <w:t>in 2021</w:t>
      </w:r>
      <w:r w:rsidR="00013213">
        <w:t xml:space="preserve"> compared with 0.07% above expected </w:t>
      </w:r>
      <w:r w:rsidRPr="0027120A">
        <w:t>in 2020.</w:t>
      </w:r>
    </w:p>
    <w:p w14:paraId="7DA900B7" w14:textId="77777777" w:rsidR="004A5D62" w:rsidRPr="0027120A" w:rsidRDefault="00966B0F" w:rsidP="00DA3F73">
      <w:pPr>
        <w:pStyle w:val="FSRnormal"/>
      </w:pPr>
      <w:r>
        <w:lastRenderedPageBreak/>
        <w:t>The mortality rate</w:t>
      </w:r>
      <w:r w:rsidR="004A5D62" w:rsidRPr="0027120A">
        <w:t xml:space="preserve"> for participants with </w:t>
      </w:r>
      <w:r w:rsidR="008C13AC">
        <w:t xml:space="preserve">a </w:t>
      </w:r>
      <w:r w:rsidR="004A5D62" w:rsidRPr="0027120A">
        <w:t xml:space="preserve">low level of function has increased significantly from year to year. It increased from 2.20% in 2020 to 2.33% in 2021, 0.13% higher than expected. However, </w:t>
      </w:r>
      <w:r w:rsidR="00CE2759">
        <w:t xml:space="preserve">across the Scheme </w:t>
      </w:r>
      <w:r w:rsidR="004A5D62" w:rsidRPr="0027120A">
        <w:t>the</w:t>
      </w:r>
      <w:r w:rsidR="00624649">
        <w:t xml:space="preserve"> proportion of participants with a </w:t>
      </w:r>
      <w:r w:rsidR="004A5D62" w:rsidRPr="0027120A">
        <w:t xml:space="preserve">low level of function </w:t>
      </w:r>
      <w:r w:rsidR="00624649">
        <w:t>was approximately 1.50%</w:t>
      </w:r>
      <w:r w:rsidR="00CE2759">
        <w:t xml:space="preserve"> lower </w:t>
      </w:r>
      <w:r w:rsidR="003E3A6F">
        <w:t xml:space="preserve">in 2021 </w:t>
      </w:r>
      <w:r w:rsidR="004A5D62" w:rsidRPr="0027120A">
        <w:t xml:space="preserve">than </w:t>
      </w:r>
      <w:r w:rsidR="00CE2759">
        <w:t xml:space="preserve">in </w:t>
      </w:r>
      <w:r w:rsidR="004A5D62" w:rsidRPr="0027120A">
        <w:t xml:space="preserve">2020. </w:t>
      </w:r>
      <w:r w:rsidR="00BE45F3">
        <w:t xml:space="preserve">In terms of the </w:t>
      </w:r>
      <w:r w:rsidR="000507E4">
        <w:t>aggregate</w:t>
      </w:r>
      <w:r w:rsidR="00BE45F3">
        <w:t xml:space="preserve"> Scheme mortality rate,</w:t>
      </w:r>
      <w:r w:rsidR="00514D6F">
        <w:t xml:space="preserve"> the lower proportion of participants with a low level of function outweighed the increase in mortality rate for the cohort</w:t>
      </w:r>
      <w:r w:rsidR="00D96D27">
        <w:t>,</w:t>
      </w:r>
      <w:r w:rsidR="00AD0573">
        <w:t xml:space="preserve"> </w:t>
      </w:r>
      <w:r w:rsidR="004A5D62" w:rsidRPr="0027120A">
        <w:t xml:space="preserve">thus contributing to the overall </w:t>
      </w:r>
      <w:r w:rsidR="000507E4">
        <w:t>reduction</w:t>
      </w:r>
      <w:r w:rsidR="004A5D62" w:rsidRPr="0027120A">
        <w:t>.</w:t>
      </w:r>
    </w:p>
    <w:p w14:paraId="578D5B4C" w14:textId="77777777" w:rsidR="004A5D62" w:rsidRDefault="0085791A" w:rsidP="00DA3F73">
      <w:pPr>
        <w:pStyle w:val="FSRHeading4"/>
      </w:pPr>
      <w:bookmarkStart w:id="1224" w:name="_Ref28078349"/>
      <w:bookmarkStart w:id="1225" w:name="_Toc106809779"/>
      <w:r>
        <w:t>Selected Assumptions</w:t>
      </w:r>
      <w:bookmarkEnd w:id="1224"/>
      <w:bookmarkEnd w:id="1225"/>
    </w:p>
    <w:p w14:paraId="64F46553" w14:textId="77777777" w:rsidR="004A5D62" w:rsidRDefault="004A5D62" w:rsidP="00DA3F73">
      <w:pPr>
        <w:pStyle w:val="FSRnormal"/>
      </w:pPr>
      <w:r>
        <w:t xml:space="preserve">The section sets out the mortality rates </w:t>
      </w:r>
      <w:r w:rsidR="00A27880">
        <w:t>selected for the</w:t>
      </w:r>
      <w:r>
        <w:t xml:space="preserve"> 202</w:t>
      </w:r>
      <w:r w:rsidR="00AA290E">
        <w:t>1</w:t>
      </w:r>
      <w:r>
        <w:t>-2</w:t>
      </w:r>
      <w:r w:rsidR="00AA290E">
        <w:t>2</w:t>
      </w:r>
      <w:r>
        <w:t xml:space="preserve"> AFSR. </w:t>
      </w:r>
      <w:r w:rsidR="00873F38">
        <w:t>The selected</w:t>
      </w:r>
      <w:r>
        <w:t xml:space="preserve"> rates are presented </w:t>
      </w:r>
      <w:r w:rsidR="00873F38">
        <w:t>as</w:t>
      </w:r>
      <w:r>
        <w:t xml:space="preserve"> one-way summaries </w:t>
      </w:r>
      <w:r w:rsidR="00873F38">
        <w:t>by</w:t>
      </w:r>
      <w:r>
        <w:t xml:space="preserve"> primary disability, gender and age group.</w:t>
      </w:r>
      <w:r w:rsidR="006F51B3">
        <w:t xml:space="preserve"> </w:t>
      </w:r>
      <w:r>
        <w:t>One-way summary at the level of function by AFSR grouping is not possible, since the AFSR grouping</w:t>
      </w:r>
      <w:r w:rsidR="00956E0B">
        <w:t>s</w:t>
      </w:r>
      <w:r>
        <w:t xml:space="preserve"> var</w:t>
      </w:r>
      <w:r w:rsidR="00956E0B">
        <w:t>y</w:t>
      </w:r>
      <w:r>
        <w:t xml:space="preserve"> with disability type</w:t>
      </w:r>
      <w:r w:rsidR="006F51B3">
        <w:t xml:space="preserve"> (with 57 disability type</w:t>
      </w:r>
      <w:r w:rsidR="00277FD1">
        <w:t xml:space="preserve"> and</w:t>
      </w:r>
      <w:r w:rsidR="006F51B3">
        <w:t xml:space="preserve"> level of function cohorts in all)</w:t>
      </w:r>
      <w:r>
        <w:t xml:space="preserve">. </w:t>
      </w:r>
    </w:p>
    <w:p w14:paraId="0EDFFE84" w14:textId="77777777" w:rsidR="004A5D62" w:rsidRDefault="004A5D62" w:rsidP="00DA3F73">
      <w:pPr>
        <w:pStyle w:val="FSRnormal"/>
      </w:pPr>
      <w:r>
        <w:t xml:space="preserve">In each of these one-way summaries, the impact of each step in determining the proposed rates are shown via the contribution to the overall average rate weighted by participant exposure years. There are </w:t>
      </w:r>
      <w:r w:rsidR="006D0D6A">
        <w:t xml:space="preserve">five </w:t>
      </w:r>
      <w:r>
        <w:t>steps in the process:</w:t>
      </w:r>
    </w:p>
    <w:p w14:paraId="4233CDDE" w14:textId="77777777" w:rsidR="004A5D62" w:rsidRDefault="004A5D62" w:rsidP="00DA3F73">
      <w:pPr>
        <w:pStyle w:val="FSRlist"/>
      </w:pPr>
      <w:r w:rsidRPr="007E1A1F">
        <w:rPr>
          <w:b/>
        </w:rPr>
        <w:t>Actual rates</w:t>
      </w:r>
      <w:r>
        <w:t xml:space="preserve"> – The actual rates </w:t>
      </w:r>
      <w:r w:rsidR="00CB50E3">
        <w:t xml:space="preserve">in the </w:t>
      </w:r>
      <w:r>
        <w:t>1</w:t>
      </w:r>
      <w:r w:rsidR="0014365B">
        <w:t>3</w:t>
      </w:r>
      <w:r>
        <w:t xml:space="preserve"> months to February 2022.</w:t>
      </w:r>
    </w:p>
    <w:p w14:paraId="586D952A" w14:textId="77777777" w:rsidR="004A5D62" w:rsidRPr="007E1A1F" w:rsidRDefault="00A36148" w:rsidP="00DA3F73">
      <w:pPr>
        <w:pStyle w:val="FSRlist"/>
      </w:pPr>
      <w:r>
        <w:rPr>
          <w:b/>
        </w:rPr>
        <w:t xml:space="preserve">2020-21 AFSR </w:t>
      </w:r>
      <w:r w:rsidR="004A5D62" w:rsidRPr="007E1A1F">
        <w:rPr>
          <w:b/>
        </w:rPr>
        <w:t>Expected rates</w:t>
      </w:r>
      <w:r w:rsidR="004A5D62">
        <w:t xml:space="preserve"> – The assumption</w:t>
      </w:r>
      <w:r w:rsidR="00DF3C28">
        <w:t>s</w:t>
      </w:r>
      <w:r w:rsidR="004A5D62">
        <w:t xml:space="preserve"> adopted in the previous AFSR.</w:t>
      </w:r>
      <w:r w:rsidR="0003010A">
        <w:rPr>
          <w:rStyle w:val="FootnoteReference"/>
        </w:rPr>
        <w:footnoteReference w:id="170"/>
      </w:r>
    </w:p>
    <w:p w14:paraId="7F004C16" w14:textId="77777777" w:rsidR="004A5D62" w:rsidRDefault="004B12CE" w:rsidP="00604B46">
      <w:pPr>
        <w:pStyle w:val="FSRlist"/>
      </w:pPr>
      <w:r>
        <w:rPr>
          <w:b/>
        </w:rPr>
        <w:t xml:space="preserve">Initial </w:t>
      </w:r>
      <w:r w:rsidR="004A5D62" w:rsidRPr="00A36148">
        <w:rPr>
          <w:b/>
        </w:rPr>
        <w:t>Select</w:t>
      </w:r>
      <w:r>
        <w:rPr>
          <w:b/>
        </w:rPr>
        <w:t>ed rates</w:t>
      </w:r>
      <w:r w:rsidR="004A5D62">
        <w:t xml:space="preserve"> – Raw proposed rates were set at </w:t>
      </w:r>
      <w:r w:rsidR="004A5D62" w:rsidRPr="00EB7344">
        <w:t xml:space="preserve">the </w:t>
      </w:r>
      <w:r w:rsidR="004A5D62">
        <w:t xml:space="preserve">level of </w:t>
      </w:r>
      <w:r w:rsidR="004A5D62" w:rsidRPr="00EB7344">
        <w:t>primary disability</w:t>
      </w:r>
      <w:r w:rsidR="004A5D62">
        <w:t>,</w:t>
      </w:r>
      <w:r w:rsidR="004A5D62" w:rsidRPr="00EB7344">
        <w:t xml:space="preserve"> </w:t>
      </w:r>
      <w:r w:rsidR="004A5D62">
        <w:t>gender</w:t>
      </w:r>
      <w:r w:rsidR="00DF3C28">
        <w:t>,</w:t>
      </w:r>
      <w:r w:rsidR="004A5D62" w:rsidRPr="00EB7344">
        <w:t xml:space="preserve"> </w:t>
      </w:r>
      <w:r w:rsidR="004A5D62">
        <w:t xml:space="preserve">AFSR </w:t>
      </w:r>
      <w:r w:rsidR="004A5D62" w:rsidRPr="00EB7344">
        <w:t>level of function</w:t>
      </w:r>
      <w:r w:rsidR="00DF3C28">
        <w:t xml:space="preserve"> and age</w:t>
      </w:r>
      <w:r w:rsidR="004A5D62">
        <w:t xml:space="preserve">, using the credibility approach described in </w:t>
      </w:r>
      <w:r w:rsidR="00F15F24">
        <w:t xml:space="preserve">the </w:t>
      </w:r>
      <w:r w:rsidR="004A5D62">
        <w:t xml:space="preserve">section </w:t>
      </w:r>
      <w:r w:rsidR="00F15F24">
        <w:t>above</w:t>
      </w:r>
      <w:r w:rsidR="004A5D62">
        <w:t>. Preliminary consistency checks were done at participant group level to minimize changes at smoothing.</w:t>
      </w:r>
    </w:p>
    <w:p w14:paraId="4973F468" w14:textId="77777777" w:rsidR="004A5D62" w:rsidRDefault="00BA5A3D" w:rsidP="00DA3F73">
      <w:pPr>
        <w:pStyle w:val="FSRlist"/>
      </w:pPr>
      <w:r>
        <w:rPr>
          <w:b/>
        </w:rPr>
        <w:t>Selected rates after a</w:t>
      </w:r>
      <w:r w:rsidR="004A5D62" w:rsidRPr="00C32FEB">
        <w:rPr>
          <w:b/>
        </w:rPr>
        <w:t>dopting new life table</w:t>
      </w:r>
      <w:r w:rsidR="004A5D62">
        <w:t xml:space="preserve"> –</w:t>
      </w:r>
      <w:r>
        <w:t xml:space="preserve"> </w:t>
      </w:r>
      <w:r w:rsidR="004A5D62">
        <w:t xml:space="preserve">The </w:t>
      </w:r>
      <w:r w:rsidR="00DE6DA6">
        <w:t xml:space="preserve">initial selected </w:t>
      </w:r>
      <w:r w:rsidR="004A5D62">
        <w:t xml:space="preserve">rates were </w:t>
      </w:r>
      <w:r w:rsidR="001B035F">
        <w:t xml:space="preserve">scaled using </w:t>
      </w:r>
      <w:r w:rsidR="004A5D62">
        <w:t xml:space="preserve">the </w:t>
      </w:r>
      <w:r>
        <w:t xml:space="preserve">ratio of </w:t>
      </w:r>
      <w:r w:rsidR="004A5D62">
        <w:t xml:space="preserve">new </w:t>
      </w:r>
      <w:r>
        <w:t>ALT18-20 to previous ALT1</w:t>
      </w:r>
      <w:r w:rsidR="009E5C07">
        <w:t>6</w:t>
      </w:r>
      <w:r>
        <w:t>-1</w:t>
      </w:r>
      <w:r w:rsidR="009E5C07">
        <w:t>8</w:t>
      </w:r>
      <w:r>
        <w:t xml:space="preserve"> population</w:t>
      </w:r>
      <w:r w:rsidR="004A5D62">
        <w:t xml:space="preserve"> mortality table</w:t>
      </w:r>
      <w:r>
        <w:t xml:space="preserve"> for each age and gender</w:t>
      </w:r>
      <w:r w:rsidR="004A5D62">
        <w:t>.</w:t>
      </w:r>
    </w:p>
    <w:p w14:paraId="007422E9" w14:textId="77777777" w:rsidR="004A5D62" w:rsidRDefault="00BA6DC8" w:rsidP="00DA3F73">
      <w:pPr>
        <w:pStyle w:val="FSRlist"/>
      </w:pPr>
      <w:r>
        <w:rPr>
          <w:b/>
        </w:rPr>
        <w:t>2021-22 AFSR Expected rates after s</w:t>
      </w:r>
      <w:r w:rsidR="004A5D62" w:rsidRPr="00C32FEB">
        <w:rPr>
          <w:b/>
        </w:rPr>
        <w:t>moothing</w:t>
      </w:r>
      <w:r w:rsidR="004A5D62">
        <w:t xml:space="preserve"> – </w:t>
      </w:r>
      <w:r w:rsidR="00C20014">
        <w:t xml:space="preserve">The mortality </w:t>
      </w:r>
      <w:r w:rsidR="004A5D62">
        <w:t xml:space="preserve">rates based on </w:t>
      </w:r>
      <w:r w:rsidR="00C20014">
        <w:t xml:space="preserve">the </w:t>
      </w:r>
      <w:r w:rsidR="004A5D62">
        <w:t>new ALT</w:t>
      </w:r>
      <w:r w:rsidR="00C20014">
        <w:t>18-20</w:t>
      </w:r>
      <w:r w:rsidR="004A5D62">
        <w:t xml:space="preserve"> were first smoothed using cubic functions at selected age ranges, followed by moving averages and manual adjustments to achieve a smooth progression of mortality rates between each individual age.</w:t>
      </w:r>
    </w:p>
    <w:p w14:paraId="026BF20E" w14:textId="77777777" w:rsidR="00635023" w:rsidRPr="00387C0A" w:rsidRDefault="004A5D62" w:rsidP="00635023">
      <w:pPr>
        <w:pStyle w:val="FSRnormal"/>
      </w:pPr>
      <w:r w:rsidRPr="00A15818">
        <w:t>Overall, the average</w:t>
      </w:r>
      <w:r w:rsidR="00027FC0">
        <w:t xml:space="preserve"> expected</w:t>
      </w:r>
      <w:r w:rsidRPr="00A15818">
        <w:t xml:space="preserve"> mortality rate </w:t>
      </w:r>
      <w:r w:rsidR="004475C4">
        <w:t xml:space="preserve">selected for the 2021-22 AFSR is unchanged </w:t>
      </w:r>
      <w:r w:rsidRPr="00A15818">
        <w:t>at 0.</w:t>
      </w:r>
      <w:r>
        <w:t xml:space="preserve">93%. </w:t>
      </w:r>
      <w:r w:rsidR="00635023">
        <w:t xml:space="preserve">Comparing the final rates adopted </w:t>
      </w:r>
      <w:r w:rsidR="00E31D28">
        <w:t xml:space="preserve">for the 2021-22 AFSR </w:t>
      </w:r>
      <w:r w:rsidR="00635023">
        <w:t xml:space="preserve">with those from the previous review, the impact of marginally lower base mortality rates by using the new ALT18-20 was </w:t>
      </w:r>
      <w:r w:rsidR="00E31D28">
        <w:t xml:space="preserve">largely </w:t>
      </w:r>
      <w:r w:rsidR="00635023">
        <w:t xml:space="preserve">offset by the slightly higher than expected experience. </w:t>
      </w:r>
    </w:p>
    <w:p w14:paraId="0231B96A" w14:textId="77777777" w:rsidR="00BA5A3D" w:rsidRDefault="004A5D62" w:rsidP="00F830E6">
      <w:pPr>
        <w:pStyle w:val="FSRnormal"/>
        <w:rPr>
          <w:b/>
          <w:color w:val="6B2976"/>
        </w:rPr>
      </w:pPr>
      <w:r>
        <w:t>The</w:t>
      </w:r>
      <w:r w:rsidR="000A375D">
        <w:t xml:space="preserve">re </w:t>
      </w:r>
      <w:r w:rsidR="00333606">
        <w:t>was</w:t>
      </w:r>
      <w:r w:rsidR="000A375D">
        <w:t xml:space="preserve"> </w:t>
      </w:r>
      <w:r w:rsidR="00E6243F">
        <w:t xml:space="preserve">also </w:t>
      </w:r>
      <w:r w:rsidR="000A375D">
        <w:t>very little</w:t>
      </w:r>
      <w:r>
        <w:t xml:space="preserve"> change in </w:t>
      </w:r>
      <w:r w:rsidR="000A375D">
        <w:t xml:space="preserve">the </w:t>
      </w:r>
      <w:r>
        <w:t xml:space="preserve">contribution </w:t>
      </w:r>
      <w:r w:rsidR="000A375D">
        <w:t>to overall mortality</w:t>
      </w:r>
      <w:r w:rsidR="0030478B">
        <w:t xml:space="preserve"> by disability type, as shown in Table J.1</w:t>
      </w:r>
      <w:r w:rsidR="00F1235C">
        <w:t>0</w:t>
      </w:r>
      <w:r w:rsidR="0030478B">
        <w:t>.</w:t>
      </w:r>
    </w:p>
    <w:p w14:paraId="48A2CA92" w14:textId="77777777" w:rsidR="004A5D62" w:rsidRDefault="004A5D62" w:rsidP="00DA3F73">
      <w:pPr>
        <w:pStyle w:val="FSRHeading6"/>
      </w:pPr>
      <w:r w:rsidRPr="00DA3F73">
        <w:t>By primary disability</w:t>
      </w:r>
    </w:p>
    <w:p w14:paraId="284210F0" w14:textId="77777777" w:rsidR="004A5D62" w:rsidRPr="00CB2AEB" w:rsidRDefault="004A5D62" w:rsidP="00DA3F73">
      <w:pPr>
        <w:pStyle w:val="Tables"/>
      </w:pPr>
      <w:r w:rsidRPr="006D3A4D">
        <w:lastRenderedPageBreak/>
        <w:t xml:space="preserve">Table </w:t>
      </w:r>
      <w:r w:rsidR="0027120A" w:rsidRPr="006D3A4D">
        <w:t>J</w:t>
      </w:r>
      <w:r w:rsidR="00994C5F">
        <w:t>.</w:t>
      </w:r>
      <w:fldSimple w:instr=" SEQ Table \* ARABIC \s 2 ">
        <w:r w:rsidR="00FC79AE">
          <w:rPr>
            <w:noProof/>
          </w:rPr>
          <w:t>9</w:t>
        </w:r>
      </w:fldSimple>
      <w:r w:rsidR="0027120A" w:rsidRPr="00994C5F">
        <w:t>:</w:t>
      </w:r>
      <w:r w:rsidRPr="00994C5F">
        <w:t xml:space="preserve"> </w:t>
      </w:r>
      <w:r w:rsidR="006D0D6A">
        <w:t>Actual and expected</w:t>
      </w:r>
      <w:r w:rsidR="006D0D6A" w:rsidRPr="00994C5F">
        <w:t xml:space="preserve"> </w:t>
      </w:r>
      <w:r w:rsidRPr="00994C5F">
        <w:t>mortality rates by primary disability</w:t>
      </w:r>
    </w:p>
    <w:tbl>
      <w:tblPr>
        <w:tblW w:w="10370" w:type="dxa"/>
        <w:jc w:val="center"/>
        <w:tblLayout w:type="fixed"/>
        <w:tblLook w:val="04A0" w:firstRow="1" w:lastRow="0" w:firstColumn="1" w:lastColumn="0" w:noHBand="0" w:noVBand="1"/>
      </w:tblPr>
      <w:tblGrid>
        <w:gridCol w:w="2127"/>
        <w:gridCol w:w="1197"/>
        <w:gridCol w:w="1212"/>
        <w:gridCol w:w="1367"/>
        <w:gridCol w:w="1367"/>
        <w:gridCol w:w="1593"/>
        <w:gridCol w:w="1507"/>
      </w:tblGrid>
      <w:tr w:rsidR="004A5D62" w:rsidRPr="0027120A" w14:paraId="2BC0CAEF" w14:textId="77777777" w:rsidTr="00706E8E">
        <w:trPr>
          <w:trHeight w:val="405"/>
          <w:tblHeader/>
          <w:jc w:val="center"/>
        </w:trPr>
        <w:tc>
          <w:tcPr>
            <w:tcW w:w="2127" w:type="dxa"/>
            <w:tcBorders>
              <w:top w:val="nil"/>
              <w:left w:val="nil"/>
              <w:right w:val="nil"/>
            </w:tcBorders>
            <w:shd w:val="clear" w:color="auto" w:fill="6B2976"/>
            <w:noWrap/>
            <w:vAlign w:val="bottom"/>
            <w:hideMark/>
          </w:tcPr>
          <w:p w14:paraId="09909604" w14:textId="77777777" w:rsidR="004A5D62" w:rsidRPr="00DA3F73" w:rsidRDefault="004A5D62" w:rsidP="004A5D62">
            <w:pPr>
              <w:spacing w:after="0" w:line="240" w:lineRule="auto"/>
              <w:rPr>
                <w:rFonts w:eastAsia="Times New Roman" w:cs="Arial"/>
                <w:sz w:val="18"/>
                <w:szCs w:val="18"/>
              </w:rPr>
            </w:pPr>
          </w:p>
        </w:tc>
        <w:tc>
          <w:tcPr>
            <w:tcW w:w="1197" w:type="dxa"/>
            <w:tcBorders>
              <w:top w:val="nil"/>
              <w:left w:val="nil"/>
              <w:bottom w:val="single" w:sz="4" w:space="0" w:color="FFFFFF" w:themeColor="background1"/>
              <w:right w:val="nil"/>
            </w:tcBorders>
            <w:shd w:val="clear" w:color="auto" w:fill="6B2976"/>
            <w:noWrap/>
            <w:vAlign w:val="bottom"/>
            <w:hideMark/>
          </w:tcPr>
          <w:p w14:paraId="0AD7CE3B" w14:textId="77777777" w:rsidR="004A5D62" w:rsidRPr="00DA3F73" w:rsidRDefault="004A5D62" w:rsidP="004A5D62">
            <w:pPr>
              <w:spacing w:after="0" w:line="240" w:lineRule="auto"/>
              <w:rPr>
                <w:rFonts w:eastAsia="Times New Roman" w:cs="Arial"/>
                <w:sz w:val="18"/>
                <w:szCs w:val="18"/>
              </w:rPr>
            </w:pPr>
          </w:p>
        </w:tc>
        <w:tc>
          <w:tcPr>
            <w:tcW w:w="7044" w:type="dxa"/>
            <w:gridSpan w:val="5"/>
            <w:tcBorders>
              <w:top w:val="nil"/>
              <w:left w:val="nil"/>
              <w:bottom w:val="single" w:sz="4" w:space="0" w:color="FFFFFF" w:themeColor="background1"/>
              <w:right w:val="nil"/>
            </w:tcBorders>
            <w:shd w:val="clear" w:color="000000" w:fill="6B2976"/>
            <w:noWrap/>
            <w:vAlign w:val="center"/>
            <w:hideMark/>
          </w:tcPr>
          <w:p w14:paraId="140F5872" w14:textId="77777777" w:rsidR="004A5D62" w:rsidRPr="00DA3F73" w:rsidRDefault="004A5D62">
            <w:pPr>
              <w:spacing w:after="0" w:line="240" w:lineRule="auto"/>
              <w:jc w:val="center"/>
              <w:rPr>
                <w:rFonts w:eastAsia="Times New Roman" w:cs="Arial"/>
                <w:b/>
                <w:bCs/>
                <w:color w:val="FFFFFF"/>
                <w:sz w:val="18"/>
                <w:szCs w:val="18"/>
              </w:rPr>
            </w:pPr>
            <w:r w:rsidRPr="00DA3F73">
              <w:rPr>
                <w:rFonts w:eastAsia="Times New Roman" w:cs="Arial"/>
                <w:b/>
                <w:bCs/>
                <w:color w:val="FFFFFF"/>
                <w:sz w:val="18"/>
                <w:szCs w:val="18"/>
              </w:rPr>
              <w:t>Mortality Rates</w:t>
            </w:r>
          </w:p>
        </w:tc>
      </w:tr>
      <w:tr w:rsidR="004A5D62" w:rsidRPr="0027120A" w14:paraId="00E8BCBA" w14:textId="77777777" w:rsidTr="00706E8E">
        <w:trPr>
          <w:trHeight w:val="613"/>
          <w:tblHeader/>
          <w:jc w:val="center"/>
        </w:trPr>
        <w:tc>
          <w:tcPr>
            <w:tcW w:w="2127" w:type="dxa"/>
            <w:tcBorders>
              <w:left w:val="nil"/>
              <w:right w:val="nil"/>
            </w:tcBorders>
            <w:shd w:val="clear" w:color="000000" w:fill="6B2976"/>
            <w:vAlign w:val="center"/>
            <w:hideMark/>
          </w:tcPr>
          <w:p w14:paraId="1E35EB2C" w14:textId="77777777" w:rsidR="004A5D62" w:rsidRPr="00DA3F73" w:rsidRDefault="004A5D62" w:rsidP="00DA3F73">
            <w:pPr>
              <w:spacing w:after="0" w:line="240" w:lineRule="auto"/>
              <w:rPr>
                <w:rFonts w:eastAsia="Times New Roman" w:cs="Arial"/>
                <w:b/>
                <w:bCs/>
                <w:color w:val="FFFFFF"/>
                <w:sz w:val="18"/>
                <w:szCs w:val="18"/>
              </w:rPr>
            </w:pPr>
            <w:r w:rsidRPr="00DA3F73">
              <w:rPr>
                <w:rFonts w:eastAsia="Times New Roman" w:cs="Arial"/>
                <w:b/>
                <w:bCs/>
                <w:color w:val="FFFFFF"/>
                <w:sz w:val="18"/>
                <w:szCs w:val="18"/>
              </w:rPr>
              <w:t>Disability Type</w:t>
            </w:r>
          </w:p>
        </w:tc>
        <w:tc>
          <w:tcPr>
            <w:tcW w:w="1197" w:type="dxa"/>
            <w:tcBorders>
              <w:top w:val="single" w:sz="4" w:space="0" w:color="FFFFFF" w:themeColor="background1"/>
              <w:left w:val="nil"/>
              <w:bottom w:val="nil"/>
              <w:right w:val="nil"/>
            </w:tcBorders>
            <w:shd w:val="clear" w:color="000000" w:fill="6B2976"/>
            <w:vAlign w:val="center"/>
            <w:hideMark/>
          </w:tcPr>
          <w:p w14:paraId="158BC13E" w14:textId="77777777" w:rsidR="004A5D62" w:rsidRPr="00DA3F73" w:rsidRDefault="004A5D62" w:rsidP="00DA3F73">
            <w:pPr>
              <w:spacing w:after="0" w:line="240" w:lineRule="auto"/>
              <w:jc w:val="right"/>
              <w:rPr>
                <w:rFonts w:eastAsia="Times New Roman" w:cs="Arial"/>
                <w:b/>
                <w:bCs/>
                <w:color w:val="FFFFFF"/>
                <w:sz w:val="18"/>
                <w:szCs w:val="18"/>
              </w:rPr>
            </w:pPr>
            <w:r w:rsidRPr="00DA3F73">
              <w:rPr>
                <w:rFonts w:eastAsia="Times New Roman" w:cs="Arial"/>
                <w:b/>
                <w:bCs/>
                <w:color w:val="FFFFFF"/>
                <w:sz w:val="18"/>
                <w:szCs w:val="18"/>
              </w:rPr>
              <w:t>Exposure</w:t>
            </w:r>
            <w:r w:rsidR="00CC17E9">
              <w:rPr>
                <w:rFonts w:eastAsia="Times New Roman" w:cs="Arial"/>
                <w:b/>
                <w:bCs/>
                <w:color w:val="FFFFFF"/>
                <w:sz w:val="18"/>
                <w:szCs w:val="18"/>
              </w:rPr>
              <w:t xml:space="preserve"> (participant years)</w:t>
            </w:r>
          </w:p>
        </w:tc>
        <w:tc>
          <w:tcPr>
            <w:tcW w:w="1212" w:type="dxa"/>
            <w:tcBorders>
              <w:top w:val="single" w:sz="4" w:space="0" w:color="FFFFFF" w:themeColor="background1"/>
              <w:left w:val="nil"/>
              <w:bottom w:val="nil"/>
              <w:right w:val="nil"/>
            </w:tcBorders>
            <w:shd w:val="clear" w:color="000000" w:fill="6B2976"/>
            <w:vAlign w:val="center"/>
            <w:hideMark/>
          </w:tcPr>
          <w:p w14:paraId="2D811B3A" w14:textId="77777777" w:rsidR="004A5D62" w:rsidRPr="00252EAF" w:rsidRDefault="00C210E3" w:rsidP="00DA3F73">
            <w:pPr>
              <w:spacing w:after="0" w:line="240" w:lineRule="auto"/>
              <w:jc w:val="right"/>
              <w:rPr>
                <w:rFonts w:eastAsia="Times New Roman" w:cs="Arial"/>
                <w:b/>
                <w:bCs/>
                <w:color w:val="FFFFFF"/>
                <w:sz w:val="18"/>
                <w:szCs w:val="18"/>
                <w:highlight w:val="yellow"/>
              </w:rPr>
            </w:pPr>
            <w:r>
              <w:rPr>
                <w:rFonts w:eastAsia="Times New Roman" w:cs="Arial"/>
                <w:b/>
                <w:bCs/>
                <w:color w:val="FFFFFF"/>
                <w:sz w:val="18"/>
                <w:szCs w:val="18"/>
              </w:rPr>
              <w:t>Actual</w:t>
            </w:r>
          </w:p>
        </w:tc>
        <w:tc>
          <w:tcPr>
            <w:tcW w:w="1367" w:type="dxa"/>
            <w:tcBorders>
              <w:top w:val="single" w:sz="4" w:space="0" w:color="FFFFFF" w:themeColor="background1"/>
              <w:left w:val="nil"/>
              <w:bottom w:val="nil"/>
              <w:right w:val="nil"/>
            </w:tcBorders>
            <w:shd w:val="clear" w:color="000000" w:fill="6B2976"/>
            <w:vAlign w:val="center"/>
            <w:hideMark/>
          </w:tcPr>
          <w:p w14:paraId="4CFE4049" w14:textId="77777777" w:rsidR="004A5D62" w:rsidRPr="00DA3F73" w:rsidRDefault="00BE40FE" w:rsidP="00DA3F73">
            <w:pPr>
              <w:spacing w:after="0" w:line="240" w:lineRule="auto"/>
              <w:jc w:val="right"/>
              <w:rPr>
                <w:rFonts w:eastAsia="Times New Roman" w:cs="Arial"/>
                <w:b/>
                <w:bCs/>
                <w:color w:val="FFFFFF"/>
                <w:sz w:val="18"/>
                <w:szCs w:val="18"/>
              </w:rPr>
            </w:pPr>
            <w:r>
              <w:rPr>
                <w:rFonts w:eastAsia="Times New Roman" w:cs="Arial"/>
                <w:b/>
                <w:bCs/>
                <w:color w:val="FFFFFF"/>
                <w:sz w:val="18"/>
                <w:szCs w:val="18"/>
              </w:rPr>
              <w:t>2020-21 AFSR Expected</w:t>
            </w:r>
          </w:p>
        </w:tc>
        <w:tc>
          <w:tcPr>
            <w:tcW w:w="1367" w:type="dxa"/>
            <w:tcBorders>
              <w:top w:val="single" w:sz="4" w:space="0" w:color="FFFFFF" w:themeColor="background1"/>
              <w:left w:val="nil"/>
              <w:bottom w:val="nil"/>
              <w:right w:val="nil"/>
            </w:tcBorders>
            <w:shd w:val="clear" w:color="000000" w:fill="6B2976"/>
            <w:vAlign w:val="center"/>
            <w:hideMark/>
          </w:tcPr>
          <w:p w14:paraId="50F4FD8C" w14:textId="77777777" w:rsidR="004A5D62" w:rsidRPr="00DA3F73" w:rsidRDefault="00BA6DC8" w:rsidP="00DA3F73">
            <w:pPr>
              <w:spacing w:after="0" w:line="240" w:lineRule="auto"/>
              <w:jc w:val="right"/>
              <w:rPr>
                <w:rFonts w:eastAsia="Times New Roman" w:cs="Arial"/>
                <w:b/>
                <w:bCs/>
                <w:color w:val="FFFFFF"/>
                <w:sz w:val="18"/>
                <w:szCs w:val="18"/>
              </w:rPr>
            </w:pPr>
            <w:r>
              <w:rPr>
                <w:rFonts w:eastAsia="Times New Roman" w:cs="Arial"/>
                <w:b/>
                <w:bCs/>
                <w:color w:val="FFFFFF"/>
                <w:sz w:val="18"/>
                <w:szCs w:val="18"/>
              </w:rPr>
              <w:t>Selected (Initial)</w:t>
            </w:r>
          </w:p>
        </w:tc>
        <w:tc>
          <w:tcPr>
            <w:tcW w:w="1593" w:type="dxa"/>
            <w:tcBorders>
              <w:top w:val="single" w:sz="4" w:space="0" w:color="FFFFFF" w:themeColor="background1"/>
              <w:left w:val="nil"/>
              <w:bottom w:val="nil"/>
              <w:right w:val="nil"/>
            </w:tcBorders>
            <w:shd w:val="clear" w:color="000000" w:fill="6B2976"/>
            <w:vAlign w:val="center"/>
            <w:hideMark/>
          </w:tcPr>
          <w:p w14:paraId="61AFB335" w14:textId="77777777" w:rsidR="004A5D62" w:rsidRPr="00DA3F73" w:rsidRDefault="00BA6DC8" w:rsidP="00DA3F73">
            <w:pPr>
              <w:spacing w:after="0" w:line="240" w:lineRule="auto"/>
              <w:jc w:val="right"/>
              <w:rPr>
                <w:rFonts w:eastAsia="Times New Roman" w:cs="Arial"/>
                <w:b/>
                <w:bCs/>
                <w:color w:val="FFFFFF"/>
                <w:sz w:val="18"/>
                <w:szCs w:val="18"/>
              </w:rPr>
            </w:pPr>
            <w:r>
              <w:rPr>
                <w:rFonts w:eastAsia="Times New Roman" w:cs="Arial"/>
                <w:b/>
                <w:bCs/>
                <w:color w:val="FFFFFF"/>
                <w:sz w:val="18"/>
                <w:szCs w:val="18"/>
              </w:rPr>
              <w:t>Select</w:t>
            </w:r>
            <w:r w:rsidRPr="00DA3F73">
              <w:rPr>
                <w:rFonts w:eastAsia="Times New Roman" w:cs="Arial"/>
                <w:b/>
                <w:bCs/>
                <w:color w:val="FFFFFF"/>
                <w:sz w:val="18"/>
                <w:szCs w:val="18"/>
              </w:rPr>
              <w:t xml:space="preserve">ed </w:t>
            </w:r>
            <w:r w:rsidR="004A5D62" w:rsidRPr="00DA3F73">
              <w:rPr>
                <w:rFonts w:eastAsia="Times New Roman" w:cs="Arial"/>
                <w:b/>
                <w:bCs/>
                <w:color w:val="FFFFFF"/>
                <w:sz w:val="18"/>
                <w:szCs w:val="18"/>
              </w:rPr>
              <w:br/>
              <w:t>(new ALT)</w:t>
            </w:r>
          </w:p>
        </w:tc>
        <w:tc>
          <w:tcPr>
            <w:tcW w:w="1507" w:type="dxa"/>
            <w:tcBorders>
              <w:top w:val="single" w:sz="4" w:space="0" w:color="FFFFFF" w:themeColor="background1"/>
              <w:left w:val="nil"/>
              <w:bottom w:val="nil"/>
              <w:right w:val="nil"/>
            </w:tcBorders>
            <w:shd w:val="clear" w:color="000000" w:fill="6B2976"/>
            <w:vAlign w:val="center"/>
            <w:hideMark/>
          </w:tcPr>
          <w:p w14:paraId="2C7ADFCE" w14:textId="77777777" w:rsidR="004A5D62" w:rsidRPr="00DA3F73" w:rsidRDefault="00BA6DC8" w:rsidP="00DA3F73">
            <w:pPr>
              <w:spacing w:after="0" w:line="240" w:lineRule="auto"/>
              <w:jc w:val="right"/>
              <w:rPr>
                <w:rFonts w:eastAsia="Times New Roman" w:cs="Arial"/>
                <w:b/>
                <w:bCs/>
                <w:color w:val="FFFFFF"/>
                <w:sz w:val="18"/>
                <w:szCs w:val="18"/>
              </w:rPr>
            </w:pPr>
            <w:r>
              <w:rPr>
                <w:rFonts w:eastAsia="Times New Roman" w:cs="Arial"/>
                <w:b/>
                <w:bCs/>
                <w:color w:val="FFFFFF"/>
                <w:sz w:val="18"/>
                <w:szCs w:val="18"/>
              </w:rPr>
              <w:t>2021-22 AFSR Expected</w:t>
            </w:r>
          </w:p>
        </w:tc>
      </w:tr>
      <w:tr w:rsidR="005A127E" w:rsidRPr="0027120A" w14:paraId="3BE6D7F8" w14:textId="77777777" w:rsidTr="00706E8E">
        <w:trPr>
          <w:trHeight w:val="291"/>
          <w:jc w:val="center"/>
        </w:trPr>
        <w:tc>
          <w:tcPr>
            <w:tcW w:w="2127" w:type="dxa"/>
            <w:tcBorders>
              <w:left w:val="nil"/>
              <w:bottom w:val="nil"/>
              <w:right w:val="nil"/>
            </w:tcBorders>
            <w:shd w:val="clear" w:color="auto" w:fill="auto"/>
            <w:noWrap/>
            <w:vAlign w:val="center"/>
            <w:hideMark/>
          </w:tcPr>
          <w:p w14:paraId="7B9CEBB5"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Acquired brain injury</w:t>
            </w:r>
          </w:p>
        </w:tc>
        <w:tc>
          <w:tcPr>
            <w:tcW w:w="1197" w:type="dxa"/>
            <w:tcBorders>
              <w:top w:val="nil"/>
              <w:left w:val="nil"/>
              <w:bottom w:val="nil"/>
              <w:right w:val="nil"/>
            </w:tcBorders>
            <w:shd w:val="clear" w:color="auto" w:fill="auto"/>
            <w:noWrap/>
            <w:vAlign w:val="center"/>
            <w:hideMark/>
          </w:tcPr>
          <w:p w14:paraId="4E0B6B2D"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16,311</w:t>
            </w:r>
          </w:p>
        </w:tc>
        <w:tc>
          <w:tcPr>
            <w:tcW w:w="1212" w:type="dxa"/>
            <w:tcBorders>
              <w:top w:val="nil"/>
              <w:left w:val="nil"/>
              <w:bottom w:val="nil"/>
              <w:right w:val="nil"/>
            </w:tcBorders>
            <w:shd w:val="clear" w:color="auto" w:fill="auto"/>
            <w:noWrap/>
            <w:vAlign w:val="center"/>
            <w:hideMark/>
          </w:tcPr>
          <w:p w14:paraId="271B7C6F"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2.71%</w:t>
            </w:r>
          </w:p>
        </w:tc>
        <w:tc>
          <w:tcPr>
            <w:tcW w:w="1367" w:type="dxa"/>
            <w:tcBorders>
              <w:top w:val="nil"/>
              <w:left w:val="nil"/>
              <w:bottom w:val="nil"/>
              <w:right w:val="nil"/>
            </w:tcBorders>
            <w:shd w:val="clear" w:color="auto" w:fill="auto"/>
            <w:noWrap/>
            <w:vAlign w:val="center"/>
            <w:hideMark/>
          </w:tcPr>
          <w:p w14:paraId="6481750E"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2.70%</w:t>
            </w:r>
          </w:p>
        </w:tc>
        <w:tc>
          <w:tcPr>
            <w:tcW w:w="1367" w:type="dxa"/>
            <w:tcBorders>
              <w:top w:val="nil"/>
              <w:left w:val="nil"/>
              <w:bottom w:val="nil"/>
              <w:right w:val="nil"/>
            </w:tcBorders>
            <w:shd w:val="clear" w:color="auto" w:fill="auto"/>
            <w:noWrap/>
            <w:vAlign w:val="center"/>
            <w:hideMark/>
          </w:tcPr>
          <w:p w14:paraId="557485E8"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2.71%</w:t>
            </w:r>
          </w:p>
        </w:tc>
        <w:tc>
          <w:tcPr>
            <w:tcW w:w="1593" w:type="dxa"/>
            <w:tcBorders>
              <w:top w:val="nil"/>
              <w:left w:val="nil"/>
              <w:bottom w:val="nil"/>
              <w:right w:val="nil"/>
            </w:tcBorders>
            <w:shd w:val="clear" w:color="auto" w:fill="auto"/>
            <w:noWrap/>
            <w:vAlign w:val="center"/>
            <w:hideMark/>
          </w:tcPr>
          <w:p w14:paraId="7241FDBB"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2.65%</w:t>
            </w:r>
          </w:p>
        </w:tc>
        <w:tc>
          <w:tcPr>
            <w:tcW w:w="1507" w:type="dxa"/>
            <w:tcBorders>
              <w:top w:val="nil"/>
              <w:left w:val="nil"/>
              <w:bottom w:val="nil"/>
              <w:right w:val="nil"/>
            </w:tcBorders>
            <w:shd w:val="clear" w:color="auto" w:fill="auto"/>
            <w:noWrap/>
            <w:vAlign w:val="center"/>
            <w:hideMark/>
          </w:tcPr>
          <w:p w14:paraId="68AFD0B6"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2.69%</w:t>
            </w:r>
          </w:p>
        </w:tc>
      </w:tr>
      <w:tr w:rsidR="005A127E" w:rsidRPr="0027120A" w14:paraId="678A7D8B" w14:textId="77777777" w:rsidTr="00252EAF">
        <w:trPr>
          <w:trHeight w:val="291"/>
          <w:jc w:val="center"/>
        </w:trPr>
        <w:tc>
          <w:tcPr>
            <w:tcW w:w="2127" w:type="dxa"/>
            <w:tcBorders>
              <w:top w:val="nil"/>
              <w:left w:val="nil"/>
              <w:bottom w:val="nil"/>
              <w:right w:val="nil"/>
            </w:tcBorders>
            <w:shd w:val="clear" w:color="000000" w:fill="BFBFBF"/>
            <w:noWrap/>
            <w:vAlign w:val="center"/>
            <w:hideMark/>
          </w:tcPr>
          <w:p w14:paraId="21F8169E"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Autism</w:t>
            </w:r>
          </w:p>
        </w:tc>
        <w:tc>
          <w:tcPr>
            <w:tcW w:w="1197" w:type="dxa"/>
            <w:tcBorders>
              <w:top w:val="nil"/>
              <w:left w:val="nil"/>
              <w:bottom w:val="nil"/>
              <w:right w:val="nil"/>
            </w:tcBorders>
            <w:shd w:val="clear" w:color="000000" w:fill="BFBFBF"/>
            <w:noWrap/>
            <w:vAlign w:val="center"/>
            <w:hideMark/>
          </w:tcPr>
          <w:p w14:paraId="458876DA"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169,244</w:t>
            </w:r>
          </w:p>
        </w:tc>
        <w:tc>
          <w:tcPr>
            <w:tcW w:w="1212" w:type="dxa"/>
            <w:tcBorders>
              <w:top w:val="nil"/>
              <w:left w:val="nil"/>
              <w:bottom w:val="nil"/>
              <w:right w:val="nil"/>
            </w:tcBorders>
            <w:shd w:val="clear" w:color="000000" w:fill="BFBFBF"/>
            <w:noWrap/>
            <w:vAlign w:val="center"/>
            <w:hideMark/>
          </w:tcPr>
          <w:p w14:paraId="1F445FAA"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0.04%</w:t>
            </w:r>
          </w:p>
        </w:tc>
        <w:tc>
          <w:tcPr>
            <w:tcW w:w="1367" w:type="dxa"/>
            <w:tcBorders>
              <w:top w:val="nil"/>
              <w:left w:val="nil"/>
              <w:bottom w:val="nil"/>
              <w:right w:val="nil"/>
            </w:tcBorders>
            <w:shd w:val="clear" w:color="000000" w:fill="BFBFBF"/>
            <w:noWrap/>
            <w:vAlign w:val="center"/>
            <w:hideMark/>
          </w:tcPr>
          <w:p w14:paraId="1D16C7C3"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0.06%</w:t>
            </w:r>
          </w:p>
        </w:tc>
        <w:tc>
          <w:tcPr>
            <w:tcW w:w="1367" w:type="dxa"/>
            <w:tcBorders>
              <w:top w:val="nil"/>
              <w:left w:val="nil"/>
              <w:bottom w:val="nil"/>
              <w:right w:val="nil"/>
            </w:tcBorders>
            <w:shd w:val="clear" w:color="000000" w:fill="BFBFBF"/>
            <w:noWrap/>
            <w:vAlign w:val="center"/>
            <w:hideMark/>
          </w:tcPr>
          <w:p w14:paraId="0DFA56DD"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0.06%</w:t>
            </w:r>
          </w:p>
        </w:tc>
        <w:tc>
          <w:tcPr>
            <w:tcW w:w="1593" w:type="dxa"/>
            <w:tcBorders>
              <w:top w:val="nil"/>
              <w:left w:val="nil"/>
              <w:bottom w:val="nil"/>
              <w:right w:val="nil"/>
            </w:tcBorders>
            <w:shd w:val="clear" w:color="000000" w:fill="BFBFBF"/>
            <w:noWrap/>
            <w:vAlign w:val="center"/>
            <w:hideMark/>
          </w:tcPr>
          <w:p w14:paraId="57E319A6"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0.06%</w:t>
            </w:r>
          </w:p>
        </w:tc>
        <w:tc>
          <w:tcPr>
            <w:tcW w:w="1507" w:type="dxa"/>
            <w:tcBorders>
              <w:top w:val="nil"/>
              <w:left w:val="nil"/>
              <w:bottom w:val="nil"/>
              <w:right w:val="nil"/>
            </w:tcBorders>
            <w:shd w:val="clear" w:color="000000" w:fill="BFBFBF"/>
            <w:noWrap/>
            <w:vAlign w:val="center"/>
            <w:hideMark/>
          </w:tcPr>
          <w:p w14:paraId="3E5BEC71"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0.06%</w:t>
            </w:r>
          </w:p>
        </w:tc>
      </w:tr>
      <w:tr w:rsidR="005A127E" w:rsidRPr="0027120A" w14:paraId="67FF9F92" w14:textId="77777777" w:rsidTr="00252EAF">
        <w:trPr>
          <w:trHeight w:val="291"/>
          <w:jc w:val="center"/>
        </w:trPr>
        <w:tc>
          <w:tcPr>
            <w:tcW w:w="2127" w:type="dxa"/>
            <w:tcBorders>
              <w:top w:val="nil"/>
              <w:left w:val="nil"/>
              <w:bottom w:val="nil"/>
              <w:right w:val="nil"/>
            </w:tcBorders>
            <w:shd w:val="clear" w:color="auto" w:fill="auto"/>
            <w:noWrap/>
            <w:vAlign w:val="center"/>
            <w:hideMark/>
          </w:tcPr>
          <w:p w14:paraId="46FF3D2C"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Cerebral Palsy</w:t>
            </w:r>
          </w:p>
        </w:tc>
        <w:tc>
          <w:tcPr>
            <w:tcW w:w="1197" w:type="dxa"/>
            <w:tcBorders>
              <w:top w:val="nil"/>
              <w:left w:val="nil"/>
              <w:bottom w:val="nil"/>
              <w:right w:val="nil"/>
            </w:tcBorders>
            <w:shd w:val="clear" w:color="auto" w:fill="auto"/>
            <w:noWrap/>
            <w:vAlign w:val="center"/>
            <w:hideMark/>
          </w:tcPr>
          <w:p w14:paraId="48DAAE9B"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17,888</w:t>
            </w:r>
          </w:p>
        </w:tc>
        <w:tc>
          <w:tcPr>
            <w:tcW w:w="1212" w:type="dxa"/>
            <w:tcBorders>
              <w:top w:val="nil"/>
              <w:left w:val="nil"/>
              <w:bottom w:val="nil"/>
              <w:right w:val="nil"/>
            </w:tcBorders>
            <w:shd w:val="clear" w:color="auto" w:fill="auto"/>
            <w:noWrap/>
            <w:vAlign w:val="center"/>
            <w:hideMark/>
          </w:tcPr>
          <w:p w14:paraId="08694030"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0.86%</w:t>
            </w:r>
          </w:p>
        </w:tc>
        <w:tc>
          <w:tcPr>
            <w:tcW w:w="1367" w:type="dxa"/>
            <w:tcBorders>
              <w:top w:val="nil"/>
              <w:left w:val="nil"/>
              <w:bottom w:val="nil"/>
              <w:right w:val="nil"/>
            </w:tcBorders>
            <w:shd w:val="clear" w:color="auto" w:fill="auto"/>
            <w:noWrap/>
            <w:vAlign w:val="center"/>
            <w:hideMark/>
          </w:tcPr>
          <w:p w14:paraId="48D016AD"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0.71%</w:t>
            </w:r>
          </w:p>
        </w:tc>
        <w:tc>
          <w:tcPr>
            <w:tcW w:w="1367" w:type="dxa"/>
            <w:tcBorders>
              <w:top w:val="nil"/>
              <w:left w:val="nil"/>
              <w:bottom w:val="nil"/>
              <w:right w:val="nil"/>
            </w:tcBorders>
            <w:shd w:val="clear" w:color="auto" w:fill="auto"/>
            <w:noWrap/>
            <w:vAlign w:val="center"/>
            <w:hideMark/>
          </w:tcPr>
          <w:p w14:paraId="7202CF40"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0.77%</w:t>
            </w:r>
          </w:p>
        </w:tc>
        <w:tc>
          <w:tcPr>
            <w:tcW w:w="1593" w:type="dxa"/>
            <w:tcBorders>
              <w:top w:val="nil"/>
              <w:left w:val="nil"/>
              <w:bottom w:val="nil"/>
              <w:right w:val="nil"/>
            </w:tcBorders>
            <w:shd w:val="clear" w:color="auto" w:fill="auto"/>
            <w:noWrap/>
            <w:vAlign w:val="center"/>
            <w:hideMark/>
          </w:tcPr>
          <w:p w14:paraId="70D5B35F"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0.75%</w:t>
            </w:r>
          </w:p>
        </w:tc>
        <w:tc>
          <w:tcPr>
            <w:tcW w:w="1507" w:type="dxa"/>
            <w:tcBorders>
              <w:top w:val="nil"/>
              <w:left w:val="nil"/>
              <w:bottom w:val="nil"/>
              <w:right w:val="nil"/>
            </w:tcBorders>
            <w:shd w:val="clear" w:color="auto" w:fill="auto"/>
            <w:noWrap/>
            <w:vAlign w:val="center"/>
            <w:hideMark/>
          </w:tcPr>
          <w:p w14:paraId="514F3DB8"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0.77%</w:t>
            </w:r>
          </w:p>
        </w:tc>
      </w:tr>
      <w:tr w:rsidR="005A127E" w:rsidRPr="0027120A" w14:paraId="46D10CCC" w14:textId="77777777" w:rsidTr="00252EAF">
        <w:trPr>
          <w:trHeight w:val="291"/>
          <w:jc w:val="center"/>
        </w:trPr>
        <w:tc>
          <w:tcPr>
            <w:tcW w:w="2127" w:type="dxa"/>
            <w:tcBorders>
              <w:top w:val="nil"/>
              <w:left w:val="nil"/>
              <w:bottom w:val="nil"/>
              <w:right w:val="nil"/>
            </w:tcBorders>
            <w:shd w:val="clear" w:color="000000" w:fill="BFBFBF"/>
            <w:noWrap/>
            <w:vAlign w:val="center"/>
            <w:hideMark/>
          </w:tcPr>
          <w:p w14:paraId="54999B2D"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Developmental delay</w:t>
            </w:r>
          </w:p>
        </w:tc>
        <w:tc>
          <w:tcPr>
            <w:tcW w:w="1197" w:type="dxa"/>
            <w:tcBorders>
              <w:top w:val="nil"/>
              <w:left w:val="nil"/>
              <w:bottom w:val="nil"/>
              <w:right w:val="nil"/>
            </w:tcBorders>
            <w:shd w:val="clear" w:color="000000" w:fill="BFBFBF"/>
            <w:noWrap/>
            <w:vAlign w:val="center"/>
            <w:hideMark/>
          </w:tcPr>
          <w:p w14:paraId="23E2DFD9"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47,135</w:t>
            </w:r>
          </w:p>
        </w:tc>
        <w:tc>
          <w:tcPr>
            <w:tcW w:w="1212" w:type="dxa"/>
            <w:tcBorders>
              <w:top w:val="nil"/>
              <w:left w:val="nil"/>
              <w:bottom w:val="nil"/>
              <w:right w:val="nil"/>
            </w:tcBorders>
            <w:shd w:val="clear" w:color="000000" w:fill="BFBFBF"/>
            <w:noWrap/>
            <w:vAlign w:val="center"/>
            <w:hideMark/>
          </w:tcPr>
          <w:p w14:paraId="51B23AC8"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0.06%</w:t>
            </w:r>
          </w:p>
        </w:tc>
        <w:tc>
          <w:tcPr>
            <w:tcW w:w="1367" w:type="dxa"/>
            <w:tcBorders>
              <w:top w:val="nil"/>
              <w:left w:val="nil"/>
              <w:bottom w:val="nil"/>
              <w:right w:val="nil"/>
            </w:tcBorders>
            <w:shd w:val="clear" w:color="000000" w:fill="BFBFBF"/>
            <w:noWrap/>
            <w:vAlign w:val="center"/>
            <w:hideMark/>
          </w:tcPr>
          <w:p w14:paraId="3D85F847"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0.14%</w:t>
            </w:r>
          </w:p>
        </w:tc>
        <w:tc>
          <w:tcPr>
            <w:tcW w:w="1367" w:type="dxa"/>
            <w:tcBorders>
              <w:top w:val="nil"/>
              <w:left w:val="nil"/>
              <w:bottom w:val="nil"/>
              <w:right w:val="nil"/>
            </w:tcBorders>
            <w:shd w:val="clear" w:color="000000" w:fill="BFBFBF"/>
            <w:noWrap/>
            <w:vAlign w:val="center"/>
            <w:hideMark/>
          </w:tcPr>
          <w:p w14:paraId="57928BAA"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0.14%</w:t>
            </w:r>
          </w:p>
        </w:tc>
        <w:tc>
          <w:tcPr>
            <w:tcW w:w="1593" w:type="dxa"/>
            <w:tcBorders>
              <w:top w:val="nil"/>
              <w:left w:val="nil"/>
              <w:bottom w:val="nil"/>
              <w:right w:val="nil"/>
            </w:tcBorders>
            <w:shd w:val="clear" w:color="000000" w:fill="BFBFBF"/>
            <w:noWrap/>
            <w:vAlign w:val="center"/>
            <w:hideMark/>
          </w:tcPr>
          <w:p w14:paraId="2C04EABA"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0.13%</w:t>
            </w:r>
          </w:p>
        </w:tc>
        <w:tc>
          <w:tcPr>
            <w:tcW w:w="1507" w:type="dxa"/>
            <w:tcBorders>
              <w:top w:val="nil"/>
              <w:left w:val="nil"/>
              <w:bottom w:val="nil"/>
              <w:right w:val="nil"/>
            </w:tcBorders>
            <w:shd w:val="clear" w:color="000000" w:fill="BFBFBF"/>
            <w:noWrap/>
            <w:vAlign w:val="center"/>
            <w:hideMark/>
          </w:tcPr>
          <w:p w14:paraId="53AD9F9C"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0.13%</w:t>
            </w:r>
          </w:p>
        </w:tc>
      </w:tr>
      <w:tr w:rsidR="005A127E" w:rsidRPr="0027120A" w14:paraId="36F2DA92" w14:textId="77777777" w:rsidTr="00252EAF">
        <w:trPr>
          <w:trHeight w:val="291"/>
          <w:jc w:val="center"/>
        </w:trPr>
        <w:tc>
          <w:tcPr>
            <w:tcW w:w="2127" w:type="dxa"/>
            <w:tcBorders>
              <w:top w:val="nil"/>
              <w:left w:val="nil"/>
              <w:bottom w:val="nil"/>
              <w:right w:val="nil"/>
            </w:tcBorders>
            <w:shd w:val="clear" w:color="auto" w:fill="auto"/>
            <w:noWrap/>
            <w:vAlign w:val="center"/>
            <w:hideMark/>
          </w:tcPr>
          <w:p w14:paraId="5CE4C1E1"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Hearing Impairment</w:t>
            </w:r>
          </w:p>
        </w:tc>
        <w:tc>
          <w:tcPr>
            <w:tcW w:w="1197" w:type="dxa"/>
            <w:tcBorders>
              <w:top w:val="nil"/>
              <w:left w:val="nil"/>
              <w:bottom w:val="nil"/>
              <w:right w:val="nil"/>
            </w:tcBorders>
            <w:shd w:val="clear" w:color="auto" w:fill="auto"/>
            <w:noWrap/>
            <w:vAlign w:val="center"/>
            <w:hideMark/>
          </w:tcPr>
          <w:p w14:paraId="4EEEB16D"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23,894</w:t>
            </w:r>
          </w:p>
        </w:tc>
        <w:tc>
          <w:tcPr>
            <w:tcW w:w="1212" w:type="dxa"/>
            <w:tcBorders>
              <w:top w:val="nil"/>
              <w:left w:val="nil"/>
              <w:bottom w:val="nil"/>
              <w:right w:val="nil"/>
            </w:tcBorders>
            <w:shd w:val="clear" w:color="auto" w:fill="auto"/>
            <w:noWrap/>
            <w:vAlign w:val="center"/>
            <w:hideMark/>
          </w:tcPr>
          <w:p w14:paraId="36197086"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0.26%</w:t>
            </w:r>
          </w:p>
        </w:tc>
        <w:tc>
          <w:tcPr>
            <w:tcW w:w="1367" w:type="dxa"/>
            <w:tcBorders>
              <w:top w:val="nil"/>
              <w:left w:val="nil"/>
              <w:bottom w:val="nil"/>
              <w:right w:val="nil"/>
            </w:tcBorders>
            <w:shd w:val="clear" w:color="auto" w:fill="auto"/>
            <w:noWrap/>
            <w:vAlign w:val="center"/>
            <w:hideMark/>
          </w:tcPr>
          <w:p w14:paraId="08FE9AED"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0.24%</w:t>
            </w:r>
          </w:p>
        </w:tc>
        <w:tc>
          <w:tcPr>
            <w:tcW w:w="1367" w:type="dxa"/>
            <w:tcBorders>
              <w:top w:val="nil"/>
              <w:left w:val="nil"/>
              <w:bottom w:val="nil"/>
              <w:right w:val="nil"/>
            </w:tcBorders>
            <w:shd w:val="clear" w:color="auto" w:fill="auto"/>
            <w:noWrap/>
            <w:vAlign w:val="center"/>
            <w:hideMark/>
          </w:tcPr>
          <w:p w14:paraId="2A8A2C33"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0.24%</w:t>
            </w:r>
          </w:p>
        </w:tc>
        <w:tc>
          <w:tcPr>
            <w:tcW w:w="1593" w:type="dxa"/>
            <w:tcBorders>
              <w:top w:val="nil"/>
              <w:left w:val="nil"/>
              <w:bottom w:val="nil"/>
              <w:right w:val="nil"/>
            </w:tcBorders>
            <w:shd w:val="clear" w:color="auto" w:fill="auto"/>
            <w:noWrap/>
            <w:vAlign w:val="center"/>
            <w:hideMark/>
          </w:tcPr>
          <w:p w14:paraId="11CE598D"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0.24%</w:t>
            </w:r>
          </w:p>
        </w:tc>
        <w:tc>
          <w:tcPr>
            <w:tcW w:w="1507" w:type="dxa"/>
            <w:tcBorders>
              <w:top w:val="nil"/>
              <w:left w:val="nil"/>
              <w:bottom w:val="nil"/>
              <w:right w:val="nil"/>
            </w:tcBorders>
            <w:shd w:val="clear" w:color="auto" w:fill="auto"/>
            <w:noWrap/>
            <w:vAlign w:val="center"/>
            <w:hideMark/>
          </w:tcPr>
          <w:p w14:paraId="344E3277"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0.24%</w:t>
            </w:r>
          </w:p>
        </w:tc>
      </w:tr>
      <w:tr w:rsidR="005A127E" w:rsidRPr="0027120A" w14:paraId="70706CB3" w14:textId="77777777" w:rsidTr="00252EAF">
        <w:trPr>
          <w:trHeight w:val="291"/>
          <w:jc w:val="center"/>
        </w:trPr>
        <w:tc>
          <w:tcPr>
            <w:tcW w:w="2127" w:type="dxa"/>
            <w:tcBorders>
              <w:top w:val="nil"/>
              <w:left w:val="nil"/>
              <w:bottom w:val="nil"/>
              <w:right w:val="nil"/>
            </w:tcBorders>
            <w:shd w:val="clear" w:color="000000" w:fill="BFBFBF"/>
            <w:noWrap/>
            <w:vAlign w:val="center"/>
            <w:hideMark/>
          </w:tcPr>
          <w:p w14:paraId="1DB7D6A0"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Intellectual Disability</w:t>
            </w:r>
          </w:p>
        </w:tc>
        <w:tc>
          <w:tcPr>
            <w:tcW w:w="1197" w:type="dxa"/>
            <w:tcBorders>
              <w:top w:val="nil"/>
              <w:left w:val="nil"/>
              <w:bottom w:val="nil"/>
              <w:right w:val="nil"/>
            </w:tcBorders>
            <w:shd w:val="clear" w:color="000000" w:fill="BFBFBF"/>
            <w:noWrap/>
            <w:vAlign w:val="center"/>
            <w:hideMark/>
          </w:tcPr>
          <w:p w14:paraId="30B18BD2"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98,635</w:t>
            </w:r>
          </w:p>
        </w:tc>
        <w:tc>
          <w:tcPr>
            <w:tcW w:w="1212" w:type="dxa"/>
            <w:tcBorders>
              <w:top w:val="nil"/>
              <w:left w:val="nil"/>
              <w:bottom w:val="nil"/>
              <w:right w:val="nil"/>
            </w:tcBorders>
            <w:shd w:val="clear" w:color="000000" w:fill="BFBFBF"/>
            <w:noWrap/>
            <w:vAlign w:val="center"/>
            <w:hideMark/>
          </w:tcPr>
          <w:p w14:paraId="264DCD02"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0.76%</w:t>
            </w:r>
          </w:p>
        </w:tc>
        <w:tc>
          <w:tcPr>
            <w:tcW w:w="1367" w:type="dxa"/>
            <w:tcBorders>
              <w:top w:val="nil"/>
              <w:left w:val="nil"/>
              <w:bottom w:val="nil"/>
              <w:right w:val="nil"/>
            </w:tcBorders>
            <w:shd w:val="clear" w:color="000000" w:fill="BFBFBF"/>
            <w:noWrap/>
            <w:vAlign w:val="center"/>
            <w:hideMark/>
          </w:tcPr>
          <w:p w14:paraId="11BE97C7"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0.81%</w:t>
            </w:r>
          </w:p>
        </w:tc>
        <w:tc>
          <w:tcPr>
            <w:tcW w:w="1367" w:type="dxa"/>
            <w:tcBorders>
              <w:top w:val="nil"/>
              <w:left w:val="nil"/>
              <w:bottom w:val="nil"/>
              <w:right w:val="nil"/>
            </w:tcBorders>
            <w:shd w:val="clear" w:color="000000" w:fill="BFBFBF"/>
            <w:noWrap/>
            <w:vAlign w:val="center"/>
            <w:hideMark/>
          </w:tcPr>
          <w:p w14:paraId="57D15CCC"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0.80%</w:t>
            </w:r>
          </w:p>
        </w:tc>
        <w:tc>
          <w:tcPr>
            <w:tcW w:w="1593" w:type="dxa"/>
            <w:tcBorders>
              <w:top w:val="nil"/>
              <w:left w:val="nil"/>
              <w:bottom w:val="nil"/>
              <w:right w:val="nil"/>
            </w:tcBorders>
            <w:shd w:val="clear" w:color="000000" w:fill="BFBFBF"/>
            <w:noWrap/>
            <w:vAlign w:val="center"/>
            <w:hideMark/>
          </w:tcPr>
          <w:p w14:paraId="15E1DE18"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0.78%</w:t>
            </w:r>
          </w:p>
        </w:tc>
        <w:tc>
          <w:tcPr>
            <w:tcW w:w="1507" w:type="dxa"/>
            <w:tcBorders>
              <w:top w:val="nil"/>
              <w:left w:val="nil"/>
              <w:bottom w:val="nil"/>
              <w:right w:val="nil"/>
            </w:tcBorders>
            <w:shd w:val="clear" w:color="000000" w:fill="BFBFBF"/>
            <w:noWrap/>
            <w:vAlign w:val="center"/>
            <w:hideMark/>
          </w:tcPr>
          <w:p w14:paraId="15120C59"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0.79%</w:t>
            </w:r>
          </w:p>
        </w:tc>
      </w:tr>
      <w:tr w:rsidR="005A127E" w:rsidRPr="0027120A" w14:paraId="28248952" w14:textId="77777777" w:rsidTr="00252EAF">
        <w:trPr>
          <w:trHeight w:val="291"/>
          <w:jc w:val="center"/>
        </w:trPr>
        <w:tc>
          <w:tcPr>
            <w:tcW w:w="2127" w:type="dxa"/>
            <w:tcBorders>
              <w:top w:val="nil"/>
              <w:left w:val="nil"/>
              <w:bottom w:val="nil"/>
              <w:right w:val="nil"/>
            </w:tcBorders>
            <w:shd w:val="clear" w:color="auto" w:fill="auto"/>
            <w:noWrap/>
            <w:vAlign w:val="center"/>
            <w:hideMark/>
          </w:tcPr>
          <w:p w14:paraId="2406FBFA"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Multiple Sclerosis</w:t>
            </w:r>
          </w:p>
        </w:tc>
        <w:tc>
          <w:tcPr>
            <w:tcW w:w="1197" w:type="dxa"/>
            <w:tcBorders>
              <w:top w:val="nil"/>
              <w:left w:val="nil"/>
              <w:bottom w:val="nil"/>
              <w:right w:val="nil"/>
            </w:tcBorders>
            <w:shd w:val="clear" w:color="auto" w:fill="auto"/>
            <w:noWrap/>
            <w:vAlign w:val="center"/>
            <w:hideMark/>
          </w:tcPr>
          <w:p w14:paraId="3AFD5D7E"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9,269</w:t>
            </w:r>
          </w:p>
        </w:tc>
        <w:tc>
          <w:tcPr>
            <w:tcW w:w="1212" w:type="dxa"/>
            <w:tcBorders>
              <w:top w:val="nil"/>
              <w:left w:val="nil"/>
              <w:bottom w:val="nil"/>
              <w:right w:val="nil"/>
            </w:tcBorders>
            <w:shd w:val="clear" w:color="auto" w:fill="auto"/>
            <w:noWrap/>
            <w:vAlign w:val="center"/>
            <w:hideMark/>
          </w:tcPr>
          <w:p w14:paraId="24F8830A"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1.21%</w:t>
            </w:r>
          </w:p>
        </w:tc>
        <w:tc>
          <w:tcPr>
            <w:tcW w:w="1367" w:type="dxa"/>
            <w:tcBorders>
              <w:top w:val="nil"/>
              <w:left w:val="nil"/>
              <w:bottom w:val="nil"/>
              <w:right w:val="nil"/>
            </w:tcBorders>
            <w:shd w:val="clear" w:color="auto" w:fill="auto"/>
            <w:noWrap/>
            <w:vAlign w:val="center"/>
            <w:hideMark/>
          </w:tcPr>
          <w:p w14:paraId="6CC7EF6C"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1.46%</w:t>
            </w:r>
          </w:p>
        </w:tc>
        <w:tc>
          <w:tcPr>
            <w:tcW w:w="1367" w:type="dxa"/>
            <w:tcBorders>
              <w:top w:val="nil"/>
              <w:left w:val="nil"/>
              <w:bottom w:val="nil"/>
              <w:right w:val="nil"/>
            </w:tcBorders>
            <w:shd w:val="clear" w:color="auto" w:fill="auto"/>
            <w:noWrap/>
            <w:vAlign w:val="center"/>
            <w:hideMark/>
          </w:tcPr>
          <w:p w14:paraId="4D38E570"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1.51%</w:t>
            </w:r>
          </w:p>
        </w:tc>
        <w:tc>
          <w:tcPr>
            <w:tcW w:w="1593" w:type="dxa"/>
            <w:tcBorders>
              <w:top w:val="nil"/>
              <w:left w:val="nil"/>
              <w:bottom w:val="nil"/>
              <w:right w:val="nil"/>
            </w:tcBorders>
            <w:shd w:val="clear" w:color="auto" w:fill="auto"/>
            <w:noWrap/>
            <w:vAlign w:val="center"/>
            <w:hideMark/>
          </w:tcPr>
          <w:p w14:paraId="1AC6E669"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1.46%</w:t>
            </w:r>
          </w:p>
        </w:tc>
        <w:tc>
          <w:tcPr>
            <w:tcW w:w="1507" w:type="dxa"/>
            <w:tcBorders>
              <w:top w:val="nil"/>
              <w:left w:val="nil"/>
              <w:bottom w:val="nil"/>
              <w:right w:val="nil"/>
            </w:tcBorders>
            <w:shd w:val="clear" w:color="auto" w:fill="auto"/>
            <w:noWrap/>
            <w:vAlign w:val="center"/>
            <w:hideMark/>
          </w:tcPr>
          <w:p w14:paraId="5B821320"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1.50%</w:t>
            </w:r>
          </w:p>
        </w:tc>
      </w:tr>
      <w:tr w:rsidR="005A127E" w:rsidRPr="0027120A" w14:paraId="343F89DA" w14:textId="77777777" w:rsidTr="00252EAF">
        <w:trPr>
          <w:trHeight w:val="291"/>
          <w:jc w:val="center"/>
        </w:trPr>
        <w:tc>
          <w:tcPr>
            <w:tcW w:w="2127" w:type="dxa"/>
            <w:tcBorders>
              <w:top w:val="nil"/>
              <w:left w:val="nil"/>
              <w:bottom w:val="nil"/>
              <w:right w:val="nil"/>
            </w:tcBorders>
            <w:shd w:val="clear" w:color="000000" w:fill="BFBFBF"/>
            <w:noWrap/>
            <w:vAlign w:val="center"/>
            <w:hideMark/>
          </w:tcPr>
          <w:p w14:paraId="1CB4C856"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Psychosocial disability</w:t>
            </w:r>
          </w:p>
        </w:tc>
        <w:tc>
          <w:tcPr>
            <w:tcW w:w="1197" w:type="dxa"/>
            <w:tcBorders>
              <w:top w:val="nil"/>
              <w:left w:val="nil"/>
              <w:bottom w:val="nil"/>
              <w:right w:val="nil"/>
            </w:tcBorders>
            <w:shd w:val="clear" w:color="000000" w:fill="BFBFBF"/>
            <w:noWrap/>
            <w:vAlign w:val="center"/>
            <w:hideMark/>
          </w:tcPr>
          <w:p w14:paraId="5E7651E6"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52,765</w:t>
            </w:r>
          </w:p>
        </w:tc>
        <w:tc>
          <w:tcPr>
            <w:tcW w:w="1212" w:type="dxa"/>
            <w:tcBorders>
              <w:top w:val="nil"/>
              <w:left w:val="nil"/>
              <w:bottom w:val="nil"/>
              <w:right w:val="nil"/>
            </w:tcBorders>
            <w:shd w:val="clear" w:color="000000" w:fill="BFBFBF"/>
            <w:noWrap/>
            <w:vAlign w:val="center"/>
            <w:hideMark/>
          </w:tcPr>
          <w:p w14:paraId="7C30C968"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1.27%</w:t>
            </w:r>
          </w:p>
        </w:tc>
        <w:tc>
          <w:tcPr>
            <w:tcW w:w="1367" w:type="dxa"/>
            <w:tcBorders>
              <w:top w:val="nil"/>
              <w:left w:val="nil"/>
              <w:bottom w:val="nil"/>
              <w:right w:val="nil"/>
            </w:tcBorders>
            <w:shd w:val="clear" w:color="000000" w:fill="BFBFBF"/>
            <w:noWrap/>
            <w:vAlign w:val="center"/>
            <w:hideMark/>
          </w:tcPr>
          <w:p w14:paraId="76AB8759"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1.09%</w:t>
            </w:r>
          </w:p>
        </w:tc>
        <w:tc>
          <w:tcPr>
            <w:tcW w:w="1367" w:type="dxa"/>
            <w:tcBorders>
              <w:top w:val="nil"/>
              <w:left w:val="nil"/>
              <w:bottom w:val="nil"/>
              <w:right w:val="nil"/>
            </w:tcBorders>
            <w:shd w:val="clear" w:color="000000" w:fill="BFBFBF"/>
            <w:noWrap/>
            <w:vAlign w:val="center"/>
            <w:hideMark/>
          </w:tcPr>
          <w:p w14:paraId="2D74692E"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1.17%</w:t>
            </w:r>
          </w:p>
        </w:tc>
        <w:tc>
          <w:tcPr>
            <w:tcW w:w="1593" w:type="dxa"/>
            <w:tcBorders>
              <w:top w:val="nil"/>
              <w:left w:val="nil"/>
              <w:bottom w:val="nil"/>
              <w:right w:val="nil"/>
            </w:tcBorders>
            <w:shd w:val="clear" w:color="000000" w:fill="BFBFBF"/>
            <w:noWrap/>
            <w:vAlign w:val="center"/>
            <w:hideMark/>
          </w:tcPr>
          <w:p w14:paraId="65F3C953"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1.14%</w:t>
            </w:r>
          </w:p>
        </w:tc>
        <w:tc>
          <w:tcPr>
            <w:tcW w:w="1507" w:type="dxa"/>
            <w:tcBorders>
              <w:top w:val="nil"/>
              <w:left w:val="nil"/>
              <w:bottom w:val="nil"/>
              <w:right w:val="nil"/>
            </w:tcBorders>
            <w:shd w:val="clear" w:color="000000" w:fill="BFBFBF"/>
            <w:noWrap/>
            <w:vAlign w:val="center"/>
            <w:hideMark/>
          </w:tcPr>
          <w:p w14:paraId="547F5728"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1.11%</w:t>
            </w:r>
          </w:p>
        </w:tc>
      </w:tr>
      <w:tr w:rsidR="005A127E" w:rsidRPr="0027120A" w14:paraId="7D2EC684" w14:textId="77777777" w:rsidTr="00252EAF">
        <w:trPr>
          <w:trHeight w:val="291"/>
          <w:jc w:val="center"/>
        </w:trPr>
        <w:tc>
          <w:tcPr>
            <w:tcW w:w="2127" w:type="dxa"/>
            <w:tcBorders>
              <w:top w:val="nil"/>
              <w:left w:val="nil"/>
              <w:bottom w:val="nil"/>
              <w:right w:val="nil"/>
            </w:tcBorders>
            <w:shd w:val="clear" w:color="auto" w:fill="auto"/>
            <w:noWrap/>
            <w:vAlign w:val="center"/>
            <w:hideMark/>
          </w:tcPr>
          <w:p w14:paraId="04982E64"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Spinal Cord Injury</w:t>
            </w:r>
          </w:p>
        </w:tc>
        <w:tc>
          <w:tcPr>
            <w:tcW w:w="1197" w:type="dxa"/>
            <w:tcBorders>
              <w:top w:val="nil"/>
              <w:left w:val="nil"/>
              <w:bottom w:val="nil"/>
              <w:right w:val="nil"/>
            </w:tcBorders>
            <w:shd w:val="clear" w:color="auto" w:fill="auto"/>
            <w:noWrap/>
            <w:vAlign w:val="center"/>
            <w:hideMark/>
          </w:tcPr>
          <w:p w14:paraId="5D385CA9"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5,531</w:t>
            </w:r>
          </w:p>
        </w:tc>
        <w:tc>
          <w:tcPr>
            <w:tcW w:w="1212" w:type="dxa"/>
            <w:tcBorders>
              <w:top w:val="nil"/>
              <w:left w:val="nil"/>
              <w:bottom w:val="nil"/>
              <w:right w:val="nil"/>
            </w:tcBorders>
            <w:shd w:val="clear" w:color="auto" w:fill="auto"/>
            <w:noWrap/>
            <w:vAlign w:val="center"/>
            <w:hideMark/>
          </w:tcPr>
          <w:p w14:paraId="5647B149"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2.12%</w:t>
            </w:r>
          </w:p>
        </w:tc>
        <w:tc>
          <w:tcPr>
            <w:tcW w:w="1367" w:type="dxa"/>
            <w:tcBorders>
              <w:top w:val="nil"/>
              <w:left w:val="nil"/>
              <w:bottom w:val="nil"/>
              <w:right w:val="nil"/>
            </w:tcBorders>
            <w:shd w:val="clear" w:color="auto" w:fill="auto"/>
            <w:noWrap/>
            <w:vAlign w:val="center"/>
            <w:hideMark/>
          </w:tcPr>
          <w:p w14:paraId="17691AF5"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1.80%</w:t>
            </w:r>
          </w:p>
        </w:tc>
        <w:tc>
          <w:tcPr>
            <w:tcW w:w="1367" w:type="dxa"/>
            <w:tcBorders>
              <w:top w:val="nil"/>
              <w:left w:val="nil"/>
              <w:bottom w:val="nil"/>
              <w:right w:val="nil"/>
            </w:tcBorders>
            <w:shd w:val="clear" w:color="auto" w:fill="auto"/>
            <w:noWrap/>
            <w:vAlign w:val="center"/>
            <w:hideMark/>
          </w:tcPr>
          <w:p w14:paraId="363BEFE3"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1.84%</w:t>
            </w:r>
          </w:p>
        </w:tc>
        <w:tc>
          <w:tcPr>
            <w:tcW w:w="1593" w:type="dxa"/>
            <w:tcBorders>
              <w:top w:val="nil"/>
              <w:left w:val="nil"/>
              <w:bottom w:val="nil"/>
              <w:right w:val="nil"/>
            </w:tcBorders>
            <w:shd w:val="clear" w:color="auto" w:fill="auto"/>
            <w:noWrap/>
            <w:vAlign w:val="center"/>
            <w:hideMark/>
          </w:tcPr>
          <w:p w14:paraId="346EAADC"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1.79%</w:t>
            </w:r>
          </w:p>
        </w:tc>
        <w:tc>
          <w:tcPr>
            <w:tcW w:w="1507" w:type="dxa"/>
            <w:tcBorders>
              <w:top w:val="nil"/>
              <w:left w:val="nil"/>
              <w:bottom w:val="nil"/>
              <w:right w:val="nil"/>
            </w:tcBorders>
            <w:shd w:val="clear" w:color="auto" w:fill="auto"/>
            <w:noWrap/>
            <w:vAlign w:val="center"/>
            <w:hideMark/>
          </w:tcPr>
          <w:p w14:paraId="149D9A22"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1.81%</w:t>
            </w:r>
          </w:p>
        </w:tc>
      </w:tr>
      <w:tr w:rsidR="005A127E" w:rsidRPr="0027120A" w14:paraId="4390A79C" w14:textId="77777777" w:rsidTr="00252EAF">
        <w:trPr>
          <w:trHeight w:val="291"/>
          <w:jc w:val="center"/>
        </w:trPr>
        <w:tc>
          <w:tcPr>
            <w:tcW w:w="2127" w:type="dxa"/>
            <w:tcBorders>
              <w:top w:val="nil"/>
              <w:left w:val="nil"/>
              <w:bottom w:val="nil"/>
              <w:right w:val="nil"/>
            </w:tcBorders>
            <w:shd w:val="clear" w:color="000000" w:fill="BFBFBF"/>
            <w:noWrap/>
            <w:vAlign w:val="center"/>
            <w:hideMark/>
          </w:tcPr>
          <w:p w14:paraId="0682B0B1"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Stroke</w:t>
            </w:r>
          </w:p>
        </w:tc>
        <w:tc>
          <w:tcPr>
            <w:tcW w:w="1197" w:type="dxa"/>
            <w:tcBorders>
              <w:top w:val="nil"/>
              <w:left w:val="nil"/>
              <w:bottom w:val="nil"/>
              <w:right w:val="nil"/>
            </w:tcBorders>
            <w:shd w:val="clear" w:color="000000" w:fill="BFBFBF"/>
            <w:noWrap/>
            <w:vAlign w:val="center"/>
            <w:hideMark/>
          </w:tcPr>
          <w:p w14:paraId="5EC117CB"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7,622</w:t>
            </w:r>
          </w:p>
        </w:tc>
        <w:tc>
          <w:tcPr>
            <w:tcW w:w="1212" w:type="dxa"/>
            <w:tcBorders>
              <w:top w:val="nil"/>
              <w:left w:val="nil"/>
              <w:bottom w:val="nil"/>
              <w:right w:val="nil"/>
            </w:tcBorders>
            <w:shd w:val="clear" w:color="000000" w:fill="BFBFBF"/>
            <w:noWrap/>
            <w:vAlign w:val="center"/>
            <w:hideMark/>
          </w:tcPr>
          <w:p w14:paraId="30BAA801"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3.27%</w:t>
            </w:r>
          </w:p>
        </w:tc>
        <w:tc>
          <w:tcPr>
            <w:tcW w:w="1367" w:type="dxa"/>
            <w:tcBorders>
              <w:top w:val="nil"/>
              <w:left w:val="nil"/>
              <w:bottom w:val="nil"/>
              <w:right w:val="nil"/>
            </w:tcBorders>
            <w:shd w:val="clear" w:color="000000" w:fill="BFBFBF"/>
            <w:noWrap/>
            <w:vAlign w:val="center"/>
            <w:hideMark/>
          </w:tcPr>
          <w:p w14:paraId="03CBFF5D"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2.78%</w:t>
            </w:r>
          </w:p>
        </w:tc>
        <w:tc>
          <w:tcPr>
            <w:tcW w:w="1367" w:type="dxa"/>
            <w:tcBorders>
              <w:top w:val="nil"/>
              <w:left w:val="nil"/>
              <w:bottom w:val="nil"/>
              <w:right w:val="nil"/>
            </w:tcBorders>
            <w:shd w:val="clear" w:color="000000" w:fill="BFBFBF"/>
            <w:noWrap/>
            <w:vAlign w:val="center"/>
            <w:hideMark/>
          </w:tcPr>
          <w:p w14:paraId="441053D3"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2.90%</w:t>
            </w:r>
          </w:p>
        </w:tc>
        <w:tc>
          <w:tcPr>
            <w:tcW w:w="1593" w:type="dxa"/>
            <w:tcBorders>
              <w:top w:val="nil"/>
              <w:left w:val="nil"/>
              <w:bottom w:val="nil"/>
              <w:right w:val="nil"/>
            </w:tcBorders>
            <w:shd w:val="clear" w:color="000000" w:fill="BFBFBF"/>
            <w:noWrap/>
            <w:vAlign w:val="center"/>
            <w:hideMark/>
          </w:tcPr>
          <w:p w14:paraId="416C929B"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2.83%</w:t>
            </w:r>
          </w:p>
        </w:tc>
        <w:tc>
          <w:tcPr>
            <w:tcW w:w="1507" w:type="dxa"/>
            <w:tcBorders>
              <w:top w:val="nil"/>
              <w:left w:val="nil"/>
              <w:bottom w:val="nil"/>
              <w:right w:val="nil"/>
            </w:tcBorders>
            <w:shd w:val="clear" w:color="000000" w:fill="BFBFBF"/>
            <w:noWrap/>
            <w:vAlign w:val="center"/>
            <w:hideMark/>
          </w:tcPr>
          <w:p w14:paraId="7D410CB0"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2.77%</w:t>
            </w:r>
          </w:p>
        </w:tc>
      </w:tr>
      <w:tr w:rsidR="005A127E" w:rsidRPr="0027120A" w14:paraId="06F52F63" w14:textId="77777777" w:rsidTr="00252EAF">
        <w:trPr>
          <w:trHeight w:val="291"/>
          <w:jc w:val="center"/>
        </w:trPr>
        <w:tc>
          <w:tcPr>
            <w:tcW w:w="2127" w:type="dxa"/>
            <w:tcBorders>
              <w:top w:val="nil"/>
              <w:left w:val="nil"/>
              <w:bottom w:val="nil"/>
              <w:right w:val="nil"/>
            </w:tcBorders>
            <w:shd w:val="clear" w:color="auto" w:fill="auto"/>
            <w:noWrap/>
            <w:vAlign w:val="center"/>
            <w:hideMark/>
          </w:tcPr>
          <w:p w14:paraId="1F7AE643"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Visual Impairment</w:t>
            </w:r>
          </w:p>
        </w:tc>
        <w:tc>
          <w:tcPr>
            <w:tcW w:w="1197" w:type="dxa"/>
            <w:tcBorders>
              <w:top w:val="nil"/>
              <w:left w:val="nil"/>
              <w:bottom w:val="nil"/>
              <w:right w:val="nil"/>
            </w:tcBorders>
            <w:shd w:val="clear" w:color="auto" w:fill="auto"/>
            <w:noWrap/>
            <w:vAlign w:val="center"/>
            <w:hideMark/>
          </w:tcPr>
          <w:p w14:paraId="48E062F8"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9,693</w:t>
            </w:r>
          </w:p>
        </w:tc>
        <w:tc>
          <w:tcPr>
            <w:tcW w:w="1212" w:type="dxa"/>
            <w:tcBorders>
              <w:top w:val="nil"/>
              <w:left w:val="nil"/>
              <w:bottom w:val="nil"/>
              <w:right w:val="nil"/>
            </w:tcBorders>
            <w:shd w:val="clear" w:color="auto" w:fill="auto"/>
            <w:noWrap/>
            <w:vAlign w:val="center"/>
            <w:hideMark/>
          </w:tcPr>
          <w:p w14:paraId="63419AA2"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1.05%</w:t>
            </w:r>
          </w:p>
        </w:tc>
        <w:tc>
          <w:tcPr>
            <w:tcW w:w="1367" w:type="dxa"/>
            <w:tcBorders>
              <w:top w:val="nil"/>
              <w:left w:val="nil"/>
              <w:bottom w:val="nil"/>
              <w:right w:val="nil"/>
            </w:tcBorders>
            <w:shd w:val="clear" w:color="auto" w:fill="auto"/>
            <w:noWrap/>
            <w:vAlign w:val="center"/>
            <w:hideMark/>
          </w:tcPr>
          <w:p w14:paraId="66D6312F"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1.16%</w:t>
            </w:r>
          </w:p>
        </w:tc>
        <w:tc>
          <w:tcPr>
            <w:tcW w:w="1367" w:type="dxa"/>
            <w:tcBorders>
              <w:top w:val="nil"/>
              <w:left w:val="nil"/>
              <w:bottom w:val="nil"/>
              <w:right w:val="nil"/>
            </w:tcBorders>
            <w:shd w:val="clear" w:color="auto" w:fill="auto"/>
            <w:noWrap/>
            <w:vAlign w:val="center"/>
            <w:hideMark/>
          </w:tcPr>
          <w:p w14:paraId="4229CD56"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1.16%</w:t>
            </w:r>
          </w:p>
        </w:tc>
        <w:tc>
          <w:tcPr>
            <w:tcW w:w="1593" w:type="dxa"/>
            <w:tcBorders>
              <w:top w:val="nil"/>
              <w:left w:val="nil"/>
              <w:bottom w:val="nil"/>
              <w:right w:val="nil"/>
            </w:tcBorders>
            <w:shd w:val="clear" w:color="auto" w:fill="auto"/>
            <w:noWrap/>
            <w:vAlign w:val="center"/>
            <w:hideMark/>
          </w:tcPr>
          <w:p w14:paraId="58B74058"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1.13%</w:t>
            </w:r>
          </w:p>
        </w:tc>
        <w:tc>
          <w:tcPr>
            <w:tcW w:w="1507" w:type="dxa"/>
            <w:tcBorders>
              <w:top w:val="nil"/>
              <w:left w:val="nil"/>
              <w:bottom w:val="nil"/>
              <w:right w:val="nil"/>
            </w:tcBorders>
            <w:shd w:val="clear" w:color="auto" w:fill="auto"/>
            <w:noWrap/>
            <w:vAlign w:val="center"/>
            <w:hideMark/>
          </w:tcPr>
          <w:p w14:paraId="092C6396"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1.15%</w:t>
            </w:r>
          </w:p>
        </w:tc>
      </w:tr>
      <w:tr w:rsidR="005A127E" w:rsidRPr="0027120A" w14:paraId="42110A4B" w14:textId="77777777" w:rsidTr="00252EAF">
        <w:trPr>
          <w:trHeight w:val="291"/>
          <w:jc w:val="center"/>
        </w:trPr>
        <w:tc>
          <w:tcPr>
            <w:tcW w:w="2127" w:type="dxa"/>
            <w:tcBorders>
              <w:top w:val="nil"/>
              <w:left w:val="nil"/>
              <w:bottom w:val="nil"/>
              <w:right w:val="nil"/>
            </w:tcBorders>
            <w:shd w:val="clear" w:color="000000" w:fill="BFBFBF"/>
            <w:noWrap/>
            <w:vAlign w:val="center"/>
            <w:hideMark/>
          </w:tcPr>
          <w:p w14:paraId="07279DCB"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Other Neurological</w:t>
            </w:r>
          </w:p>
        </w:tc>
        <w:tc>
          <w:tcPr>
            <w:tcW w:w="1197" w:type="dxa"/>
            <w:tcBorders>
              <w:top w:val="nil"/>
              <w:left w:val="nil"/>
              <w:bottom w:val="nil"/>
              <w:right w:val="nil"/>
            </w:tcBorders>
            <w:shd w:val="clear" w:color="000000" w:fill="BFBFBF"/>
            <w:noWrap/>
            <w:vAlign w:val="center"/>
            <w:hideMark/>
          </w:tcPr>
          <w:p w14:paraId="15DD2A66"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21,009</w:t>
            </w:r>
          </w:p>
        </w:tc>
        <w:tc>
          <w:tcPr>
            <w:tcW w:w="1212" w:type="dxa"/>
            <w:tcBorders>
              <w:top w:val="nil"/>
              <w:left w:val="nil"/>
              <w:bottom w:val="nil"/>
              <w:right w:val="nil"/>
            </w:tcBorders>
            <w:shd w:val="clear" w:color="000000" w:fill="BFBFBF"/>
            <w:noWrap/>
            <w:vAlign w:val="center"/>
            <w:hideMark/>
          </w:tcPr>
          <w:p w14:paraId="60B040A0"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5.06%</w:t>
            </w:r>
          </w:p>
        </w:tc>
        <w:tc>
          <w:tcPr>
            <w:tcW w:w="1367" w:type="dxa"/>
            <w:tcBorders>
              <w:top w:val="nil"/>
              <w:left w:val="nil"/>
              <w:bottom w:val="nil"/>
              <w:right w:val="nil"/>
            </w:tcBorders>
            <w:shd w:val="clear" w:color="000000" w:fill="BFBFBF"/>
            <w:noWrap/>
            <w:vAlign w:val="center"/>
            <w:hideMark/>
          </w:tcPr>
          <w:p w14:paraId="64AC3574"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5.21%</w:t>
            </w:r>
          </w:p>
        </w:tc>
        <w:tc>
          <w:tcPr>
            <w:tcW w:w="1367" w:type="dxa"/>
            <w:tcBorders>
              <w:top w:val="nil"/>
              <w:left w:val="nil"/>
              <w:bottom w:val="nil"/>
              <w:right w:val="nil"/>
            </w:tcBorders>
            <w:shd w:val="clear" w:color="000000" w:fill="BFBFBF"/>
            <w:noWrap/>
            <w:vAlign w:val="center"/>
            <w:hideMark/>
          </w:tcPr>
          <w:p w14:paraId="3D8BA298"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5.15%</w:t>
            </w:r>
          </w:p>
        </w:tc>
        <w:tc>
          <w:tcPr>
            <w:tcW w:w="1593" w:type="dxa"/>
            <w:tcBorders>
              <w:top w:val="nil"/>
              <w:left w:val="nil"/>
              <w:bottom w:val="nil"/>
              <w:right w:val="nil"/>
            </w:tcBorders>
            <w:shd w:val="clear" w:color="000000" w:fill="BFBFBF"/>
            <w:noWrap/>
            <w:vAlign w:val="center"/>
            <w:hideMark/>
          </w:tcPr>
          <w:p w14:paraId="30E979EF"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5.07%</w:t>
            </w:r>
          </w:p>
        </w:tc>
        <w:tc>
          <w:tcPr>
            <w:tcW w:w="1507" w:type="dxa"/>
            <w:tcBorders>
              <w:top w:val="nil"/>
              <w:left w:val="nil"/>
              <w:bottom w:val="nil"/>
              <w:right w:val="nil"/>
            </w:tcBorders>
            <w:shd w:val="clear" w:color="000000" w:fill="BFBFBF"/>
            <w:noWrap/>
            <w:vAlign w:val="center"/>
            <w:hideMark/>
          </w:tcPr>
          <w:p w14:paraId="07F7A211"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5.17%</w:t>
            </w:r>
          </w:p>
        </w:tc>
      </w:tr>
      <w:tr w:rsidR="005A127E" w:rsidRPr="0027120A" w14:paraId="10BF8124" w14:textId="77777777" w:rsidTr="00252EAF">
        <w:trPr>
          <w:trHeight w:val="291"/>
          <w:jc w:val="center"/>
        </w:trPr>
        <w:tc>
          <w:tcPr>
            <w:tcW w:w="2127" w:type="dxa"/>
            <w:tcBorders>
              <w:top w:val="nil"/>
              <w:left w:val="nil"/>
              <w:bottom w:val="nil"/>
              <w:right w:val="nil"/>
            </w:tcBorders>
            <w:shd w:val="clear" w:color="auto" w:fill="auto"/>
            <w:noWrap/>
            <w:vAlign w:val="center"/>
            <w:hideMark/>
          </w:tcPr>
          <w:p w14:paraId="22C4A7DB"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Other Physical</w:t>
            </w:r>
          </w:p>
        </w:tc>
        <w:tc>
          <w:tcPr>
            <w:tcW w:w="1197" w:type="dxa"/>
            <w:tcBorders>
              <w:top w:val="nil"/>
              <w:left w:val="nil"/>
              <w:bottom w:val="nil"/>
              <w:right w:val="nil"/>
            </w:tcBorders>
            <w:shd w:val="clear" w:color="auto" w:fill="auto"/>
            <w:noWrap/>
            <w:vAlign w:val="center"/>
            <w:hideMark/>
          </w:tcPr>
          <w:p w14:paraId="6D683068"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19,725</w:t>
            </w:r>
          </w:p>
        </w:tc>
        <w:tc>
          <w:tcPr>
            <w:tcW w:w="1212" w:type="dxa"/>
            <w:tcBorders>
              <w:top w:val="nil"/>
              <w:left w:val="nil"/>
              <w:bottom w:val="nil"/>
              <w:right w:val="nil"/>
            </w:tcBorders>
            <w:shd w:val="clear" w:color="auto" w:fill="auto"/>
            <w:noWrap/>
            <w:vAlign w:val="center"/>
            <w:hideMark/>
          </w:tcPr>
          <w:p w14:paraId="5115FA4B"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3.72%</w:t>
            </w:r>
          </w:p>
        </w:tc>
        <w:tc>
          <w:tcPr>
            <w:tcW w:w="1367" w:type="dxa"/>
            <w:tcBorders>
              <w:top w:val="nil"/>
              <w:left w:val="nil"/>
              <w:bottom w:val="nil"/>
              <w:right w:val="nil"/>
            </w:tcBorders>
            <w:shd w:val="clear" w:color="auto" w:fill="auto"/>
            <w:noWrap/>
            <w:vAlign w:val="center"/>
            <w:hideMark/>
          </w:tcPr>
          <w:p w14:paraId="532FFA78"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3.90%</w:t>
            </w:r>
          </w:p>
        </w:tc>
        <w:tc>
          <w:tcPr>
            <w:tcW w:w="1367" w:type="dxa"/>
            <w:tcBorders>
              <w:top w:val="nil"/>
              <w:left w:val="nil"/>
              <w:bottom w:val="nil"/>
              <w:right w:val="nil"/>
            </w:tcBorders>
            <w:shd w:val="clear" w:color="auto" w:fill="auto"/>
            <w:noWrap/>
            <w:vAlign w:val="center"/>
            <w:hideMark/>
          </w:tcPr>
          <w:p w14:paraId="72A8A4A8"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3.82%</w:t>
            </w:r>
          </w:p>
        </w:tc>
        <w:tc>
          <w:tcPr>
            <w:tcW w:w="1593" w:type="dxa"/>
            <w:tcBorders>
              <w:top w:val="nil"/>
              <w:left w:val="nil"/>
              <w:bottom w:val="nil"/>
              <w:right w:val="nil"/>
            </w:tcBorders>
            <w:shd w:val="clear" w:color="auto" w:fill="auto"/>
            <w:noWrap/>
            <w:vAlign w:val="center"/>
            <w:hideMark/>
          </w:tcPr>
          <w:p w14:paraId="4AC1C3C8"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3.73%</w:t>
            </w:r>
          </w:p>
        </w:tc>
        <w:tc>
          <w:tcPr>
            <w:tcW w:w="1507" w:type="dxa"/>
            <w:tcBorders>
              <w:top w:val="nil"/>
              <w:left w:val="nil"/>
              <w:bottom w:val="nil"/>
              <w:right w:val="nil"/>
            </w:tcBorders>
            <w:shd w:val="clear" w:color="auto" w:fill="auto"/>
            <w:noWrap/>
            <w:vAlign w:val="center"/>
            <w:hideMark/>
          </w:tcPr>
          <w:p w14:paraId="0680A827"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3.79%</w:t>
            </w:r>
          </w:p>
        </w:tc>
      </w:tr>
      <w:tr w:rsidR="005A127E" w:rsidRPr="0027120A" w14:paraId="68DADEDF" w14:textId="77777777" w:rsidTr="00252EAF">
        <w:trPr>
          <w:trHeight w:val="291"/>
          <w:jc w:val="center"/>
        </w:trPr>
        <w:tc>
          <w:tcPr>
            <w:tcW w:w="2127" w:type="dxa"/>
            <w:tcBorders>
              <w:top w:val="nil"/>
              <w:left w:val="nil"/>
              <w:bottom w:val="nil"/>
              <w:right w:val="nil"/>
            </w:tcBorders>
            <w:shd w:val="clear" w:color="000000" w:fill="BFBFBF"/>
            <w:noWrap/>
            <w:vAlign w:val="center"/>
            <w:hideMark/>
          </w:tcPr>
          <w:p w14:paraId="1DC9F28F"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Other Sensory/Speech</w:t>
            </w:r>
          </w:p>
        </w:tc>
        <w:tc>
          <w:tcPr>
            <w:tcW w:w="1197" w:type="dxa"/>
            <w:tcBorders>
              <w:top w:val="nil"/>
              <w:left w:val="nil"/>
              <w:bottom w:val="nil"/>
              <w:right w:val="nil"/>
            </w:tcBorders>
            <w:shd w:val="clear" w:color="000000" w:fill="BFBFBF"/>
            <w:noWrap/>
            <w:vAlign w:val="center"/>
            <w:hideMark/>
          </w:tcPr>
          <w:p w14:paraId="676B1F6E"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2,722</w:t>
            </w:r>
          </w:p>
        </w:tc>
        <w:tc>
          <w:tcPr>
            <w:tcW w:w="1212" w:type="dxa"/>
            <w:tcBorders>
              <w:top w:val="nil"/>
              <w:left w:val="nil"/>
              <w:bottom w:val="nil"/>
              <w:right w:val="nil"/>
            </w:tcBorders>
            <w:shd w:val="clear" w:color="000000" w:fill="BFBFBF"/>
            <w:noWrap/>
            <w:vAlign w:val="center"/>
            <w:hideMark/>
          </w:tcPr>
          <w:p w14:paraId="13A1A3BE"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0.18%</w:t>
            </w:r>
          </w:p>
        </w:tc>
        <w:tc>
          <w:tcPr>
            <w:tcW w:w="1367" w:type="dxa"/>
            <w:tcBorders>
              <w:top w:val="nil"/>
              <w:left w:val="nil"/>
              <w:bottom w:val="nil"/>
              <w:right w:val="nil"/>
            </w:tcBorders>
            <w:shd w:val="clear" w:color="000000" w:fill="BFBFBF"/>
            <w:noWrap/>
            <w:vAlign w:val="center"/>
            <w:hideMark/>
          </w:tcPr>
          <w:p w14:paraId="3B136F43"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0.04%</w:t>
            </w:r>
          </w:p>
        </w:tc>
        <w:tc>
          <w:tcPr>
            <w:tcW w:w="1367" w:type="dxa"/>
            <w:tcBorders>
              <w:top w:val="nil"/>
              <w:left w:val="nil"/>
              <w:bottom w:val="nil"/>
              <w:right w:val="nil"/>
            </w:tcBorders>
            <w:shd w:val="clear" w:color="000000" w:fill="BFBFBF"/>
            <w:noWrap/>
            <w:vAlign w:val="center"/>
            <w:hideMark/>
          </w:tcPr>
          <w:p w14:paraId="73A042DD"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0.04%</w:t>
            </w:r>
          </w:p>
        </w:tc>
        <w:tc>
          <w:tcPr>
            <w:tcW w:w="1593" w:type="dxa"/>
            <w:tcBorders>
              <w:top w:val="nil"/>
              <w:left w:val="nil"/>
              <w:bottom w:val="nil"/>
              <w:right w:val="nil"/>
            </w:tcBorders>
            <w:shd w:val="clear" w:color="000000" w:fill="BFBFBF"/>
            <w:noWrap/>
            <w:vAlign w:val="center"/>
            <w:hideMark/>
          </w:tcPr>
          <w:p w14:paraId="66321D35"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0.06%</w:t>
            </w:r>
          </w:p>
        </w:tc>
        <w:tc>
          <w:tcPr>
            <w:tcW w:w="1507" w:type="dxa"/>
            <w:tcBorders>
              <w:top w:val="nil"/>
              <w:left w:val="nil"/>
              <w:bottom w:val="nil"/>
              <w:right w:val="nil"/>
            </w:tcBorders>
            <w:shd w:val="clear" w:color="000000" w:fill="BFBFBF"/>
            <w:noWrap/>
            <w:vAlign w:val="center"/>
            <w:hideMark/>
          </w:tcPr>
          <w:p w14:paraId="2B975D16"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0.05%</w:t>
            </w:r>
          </w:p>
        </w:tc>
      </w:tr>
      <w:tr w:rsidR="005A127E" w:rsidRPr="0027120A" w14:paraId="27007D72" w14:textId="77777777" w:rsidTr="00252EAF">
        <w:trPr>
          <w:trHeight w:val="291"/>
          <w:jc w:val="center"/>
        </w:trPr>
        <w:tc>
          <w:tcPr>
            <w:tcW w:w="2127" w:type="dxa"/>
            <w:tcBorders>
              <w:top w:val="nil"/>
              <w:left w:val="nil"/>
              <w:bottom w:val="single" w:sz="4" w:space="0" w:color="auto"/>
              <w:right w:val="nil"/>
            </w:tcBorders>
            <w:shd w:val="clear" w:color="auto" w:fill="auto"/>
            <w:noWrap/>
            <w:vAlign w:val="center"/>
            <w:hideMark/>
          </w:tcPr>
          <w:p w14:paraId="2FA4EE99" w14:textId="77777777" w:rsidR="005A127E" w:rsidRPr="00DA3F73" w:rsidRDefault="005A127E" w:rsidP="005A127E">
            <w:pPr>
              <w:spacing w:after="0" w:line="240" w:lineRule="auto"/>
              <w:rPr>
                <w:rFonts w:eastAsia="Times New Roman" w:cs="Arial"/>
                <w:color w:val="000000"/>
                <w:sz w:val="18"/>
                <w:szCs w:val="18"/>
              </w:rPr>
            </w:pPr>
            <w:r w:rsidRPr="00DA3F73">
              <w:rPr>
                <w:rFonts w:eastAsia="Times New Roman" w:cs="Arial"/>
                <w:color w:val="000000"/>
                <w:sz w:val="18"/>
                <w:szCs w:val="18"/>
              </w:rPr>
              <w:t>Other</w:t>
            </w:r>
          </w:p>
        </w:tc>
        <w:tc>
          <w:tcPr>
            <w:tcW w:w="1197" w:type="dxa"/>
            <w:tcBorders>
              <w:top w:val="nil"/>
              <w:left w:val="nil"/>
              <w:bottom w:val="single" w:sz="4" w:space="0" w:color="auto"/>
              <w:right w:val="nil"/>
            </w:tcBorders>
            <w:shd w:val="clear" w:color="auto" w:fill="auto"/>
            <w:noWrap/>
            <w:vAlign w:val="center"/>
            <w:hideMark/>
          </w:tcPr>
          <w:p w14:paraId="65623866"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4,924</w:t>
            </w:r>
          </w:p>
        </w:tc>
        <w:tc>
          <w:tcPr>
            <w:tcW w:w="1212" w:type="dxa"/>
            <w:tcBorders>
              <w:top w:val="nil"/>
              <w:left w:val="nil"/>
              <w:bottom w:val="single" w:sz="4" w:space="0" w:color="auto"/>
              <w:right w:val="nil"/>
            </w:tcBorders>
            <w:shd w:val="clear" w:color="auto" w:fill="auto"/>
            <w:noWrap/>
            <w:vAlign w:val="center"/>
            <w:hideMark/>
          </w:tcPr>
          <w:p w14:paraId="041A9293" w14:textId="77777777" w:rsidR="005A127E" w:rsidRPr="00252EAF" w:rsidRDefault="005A127E" w:rsidP="005A127E">
            <w:pPr>
              <w:spacing w:after="0" w:line="240" w:lineRule="auto"/>
              <w:jc w:val="right"/>
              <w:rPr>
                <w:rFonts w:eastAsia="Times New Roman" w:cs="Arial"/>
                <w:color w:val="000000"/>
                <w:sz w:val="18"/>
                <w:szCs w:val="18"/>
                <w:highlight w:val="yellow"/>
              </w:rPr>
            </w:pPr>
            <w:r w:rsidRPr="00252EAF">
              <w:rPr>
                <w:sz w:val="18"/>
                <w:szCs w:val="18"/>
              </w:rPr>
              <w:t>5.42%</w:t>
            </w:r>
          </w:p>
        </w:tc>
        <w:tc>
          <w:tcPr>
            <w:tcW w:w="1367" w:type="dxa"/>
            <w:tcBorders>
              <w:top w:val="nil"/>
              <w:left w:val="nil"/>
              <w:bottom w:val="single" w:sz="4" w:space="0" w:color="auto"/>
              <w:right w:val="nil"/>
            </w:tcBorders>
            <w:shd w:val="clear" w:color="auto" w:fill="auto"/>
            <w:noWrap/>
            <w:vAlign w:val="center"/>
            <w:hideMark/>
          </w:tcPr>
          <w:p w14:paraId="0A75CC00"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2.49%</w:t>
            </w:r>
          </w:p>
        </w:tc>
        <w:tc>
          <w:tcPr>
            <w:tcW w:w="1367" w:type="dxa"/>
            <w:tcBorders>
              <w:top w:val="nil"/>
              <w:left w:val="nil"/>
              <w:bottom w:val="single" w:sz="4" w:space="0" w:color="auto"/>
              <w:right w:val="nil"/>
            </w:tcBorders>
            <w:shd w:val="clear" w:color="auto" w:fill="auto"/>
            <w:noWrap/>
            <w:vAlign w:val="center"/>
            <w:hideMark/>
          </w:tcPr>
          <w:p w14:paraId="641FD11F"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3.39%</w:t>
            </w:r>
          </w:p>
        </w:tc>
        <w:tc>
          <w:tcPr>
            <w:tcW w:w="1593" w:type="dxa"/>
            <w:tcBorders>
              <w:top w:val="nil"/>
              <w:left w:val="nil"/>
              <w:bottom w:val="single" w:sz="4" w:space="0" w:color="auto"/>
              <w:right w:val="nil"/>
            </w:tcBorders>
            <w:shd w:val="clear" w:color="auto" w:fill="auto"/>
            <w:noWrap/>
            <w:vAlign w:val="center"/>
            <w:hideMark/>
          </w:tcPr>
          <w:p w14:paraId="33A68A26"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3.31%</w:t>
            </w:r>
          </w:p>
        </w:tc>
        <w:tc>
          <w:tcPr>
            <w:tcW w:w="1507" w:type="dxa"/>
            <w:tcBorders>
              <w:top w:val="nil"/>
              <w:left w:val="nil"/>
              <w:bottom w:val="single" w:sz="4" w:space="0" w:color="auto"/>
              <w:right w:val="nil"/>
            </w:tcBorders>
            <w:shd w:val="clear" w:color="auto" w:fill="auto"/>
            <w:noWrap/>
            <w:vAlign w:val="center"/>
            <w:hideMark/>
          </w:tcPr>
          <w:p w14:paraId="170E9F43" w14:textId="77777777" w:rsidR="005A127E" w:rsidRPr="00DA3F73" w:rsidRDefault="005A127E" w:rsidP="005A127E">
            <w:pPr>
              <w:spacing w:after="0" w:line="240" w:lineRule="auto"/>
              <w:jc w:val="right"/>
              <w:rPr>
                <w:rFonts w:eastAsia="Times New Roman" w:cs="Arial"/>
                <w:color w:val="000000"/>
                <w:sz w:val="18"/>
                <w:szCs w:val="18"/>
              </w:rPr>
            </w:pPr>
            <w:r w:rsidRPr="00DA3F73">
              <w:rPr>
                <w:rFonts w:eastAsia="Times New Roman" w:cs="Arial"/>
                <w:color w:val="000000"/>
                <w:sz w:val="18"/>
                <w:szCs w:val="18"/>
              </w:rPr>
              <w:t>3.37%</w:t>
            </w:r>
          </w:p>
        </w:tc>
      </w:tr>
      <w:tr w:rsidR="005A127E" w:rsidRPr="0027120A" w14:paraId="3160BAF7" w14:textId="77777777" w:rsidTr="00252EAF">
        <w:trPr>
          <w:trHeight w:val="306"/>
          <w:jc w:val="center"/>
        </w:trPr>
        <w:tc>
          <w:tcPr>
            <w:tcW w:w="2127" w:type="dxa"/>
            <w:tcBorders>
              <w:top w:val="single" w:sz="4" w:space="0" w:color="auto"/>
              <w:left w:val="nil"/>
              <w:bottom w:val="single" w:sz="4" w:space="0" w:color="auto"/>
              <w:right w:val="nil"/>
            </w:tcBorders>
            <w:shd w:val="clear" w:color="auto" w:fill="D3C5D7"/>
            <w:noWrap/>
            <w:vAlign w:val="center"/>
            <w:hideMark/>
          </w:tcPr>
          <w:p w14:paraId="58D9496B" w14:textId="77777777" w:rsidR="005A127E" w:rsidRPr="00DA3F73" w:rsidRDefault="005A127E" w:rsidP="005A127E">
            <w:pPr>
              <w:spacing w:after="0" w:line="240" w:lineRule="auto"/>
              <w:rPr>
                <w:rFonts w:eastAsia="Times New Roman" w:cs="Arial"/>
                <w:b/>
                <w:bCs/>
                <w:color w:val="000000"/>
                <w:sz w:val="18"/>
                <w:szCs w:val="18"/>
              </w:rPr>
            </w:pPr>
            <w:r w:rsidRPr="00DA3F73">
              <w:rPr>
                <w:rFonts w:eastAsia="Times New Roman" w:cs="Arial"/>
                <w:b/>
                <w:bCs/>
                <w:color w:val="000000"/>
                <w:sz w:val="18"/>
                <w:szCs w:val="18"/>
              </w:rPr>
              <w:t>Total</w:t>
            </w:r>
          </w:p>
        </w:tc>
        <w:tc>
          <w:tcPr>
            <w:tcW w:w="1197" w:type="dxa"/>
            <w:tcBorders>
              <w:top w:val="single" w:sz="4" w:space="0" w:color="auto"/>
              <w:left w:val="nil"/>
              <w:bottom w:val="single" w:sz="4" w:space="0" w:color="auto"/>
              <w:right w:val="nil"/>
            </w:tcBorders>
            <w:shd w:val="clear" w:color="auto" w:fill="D3C5D7"/>
            <w:noWrap/>
            <w:vAlign w:val="center"/>
            <w:hideMark/>
          </w:tcPr>
          <w:p w14:paraId="22E260E5" w14:textId="77777777" w:rsidR="005A127E" w:rsidRPr="00DA3F73" w:rsidRDefault="005A127E" w:rsidP="005A127E">
            <w:pPr>
              <w:spacing w:after="0" w:line="240" w:lineRule="auto"/>
              <w:jc w:val="right"/>
              <w:rPr>
                <w:rFonts w:eastAsia="Times New Roman" w:cs="Arial"/>
                <w:b/>
                <w:bCs/>
                <w:color w:val="000000"/>
                <w:sz w:val="18"/>
                <w:szCs w:val="18"/>
              </w:rPr>
            </w:pPr>
            <w:r w:rsidRPr="00DA3F73">
              <w:rPr>
                <w:rFonts w:eastAsia="Times New Roman" w:cs="Arial"/>
                <w:b/>
                <w:bCs/>
                <w:color w:val="000000"/>
                <w:sz w:val="18"/>
                <w:szCs w:val="18"/>
              </w:rPr>
              <w:t>506,367</w:t>
            </w:r>
          </w:p>
        </w:tc>
        <w:tc>
          <w:tcPr>
            <w:tcW w:w="1212" w:type="dxa"/>
            <w:tcBorders>
              <w:top w:val="single" w:sz="4" w:space="0" w:color="auto"/>
              <w:left w:val="nil"/>
              <w:bottom w:val="single" w:sz="4" w:space="0" w:color="auto"/>
              <w:right w:val="nil"/>
            </w:tcBorders>
            <w:shd w:val="clear" w:color="auto" w:fill="D3C5D7"/>
            <w:noWrap/>
            <w:vAlign w:val="center"/>
            <w:hideMark/>
          </w:tcPr>
          <w:p w14:paraId="61ABEE8E" w14:textId="77777777" w:rsidR="005A127E" w:rsidRPr="00252EAF" w:rsidRDefault="005A127E" w:rsidP="005A127E">
            <w:pPr>
              <w:spacing w:after="0" w:line="240" w:lineRule="auto"/>
              <w:jc w:val="right"/>
              <w:rPr>
                <w:rFonts w:eastAsia="Times New Roman" w:cs="Arial"/>
                <w:b/>
                <w:bCs/>
                <w:color w:val="000000"/>
                <w:sz w:val="18"/>
                <w:szCs w:val="18"/>
                <w:highlight w:val="yellow"/>
              </w:rPr>
            </w:pPr>
            <w:r w:rsidRPr="00252EAF">
              <w:rPr>
                <w:b/>
                <w:sz w:val="18"/>
                <w:szCs w:val="18"/>
              </w:rPr>
              <w:t>0.95%</w:t>
            </w:r>
          </w:p>
        </w:tc>
        <w:tc>
          <w:tcPr>
            <w:tcW w:w="1367" w:type="dxa"/>
            <w:tcBorders>
              <w:top w:val="single" w:sz="4" w:space="0" w:color="auto"/>
              <w:left w:val="nil"/>
              <w:bottom w:val="single" w:sz="4" w:space="0" w:color="auto"/>
              <w:right w:val="nil"/>
            </w:tcBorders>
            <w:shd w:val="clear" w:color="auto" w:fill="D3C5D7"/>
            <w:noWrap/>
            <w:vAlign w:val="center"/>
            <w:hideMark/>
          </w:tcPr>
          <w:p w14:paraId="1BEBB4B9" w14:textId="77777777" w:rsidR="005A127E" w:rsidRPr="00DA3F73" w:rsidRDefault="005A127E" w:rsidP="005A127E">
            <w:pPr>
              <w:spacing w:after="0" w:line="240" w:lineRule="auto"/>
              <w:jc w:val="right"/>
              <w:rPr>
                <w:rFonts w:eastAsia="Times New Roman" w:cs="Arial"/>
                <w:b/>
                <w:bCs/>
                <w:color w:val="000000"/>
                <w:sz w:val="18"/>
                <w:szCs w:val="18"/>
              </w:rPr>
            </w:pPr>
            <w:r w:rsidRPr="00DA3F73">
              <w:rPr>
                <w:rFonts w:eastAsia="Times New Roman" w:cs="Arial"/>
                <w:b/>
                <w:bCs/>
                <w:color w:val="000000"/>
                <w:sz w:val="18"/>
                <w:szCs w:val="18"/>
              </w:rPr>
              <w:t>0.93%</w:t>
            </w:r>
          </w:p>
        </w:tc>
        <w:tc>
          <w:tcPr>
            <w:tcW w:w="1367" w:type="dxa"/>
            <w:tcBorders>
              <w:top w:val="single" w:sz="4" w:space="0" w:color="auto"/>
              <w:left w:val="nil"/>
              <w:bottom w:val="single" w:sz="4" w:space="0" w:color="auto"/>
              <w:right w:val="nil"/>
            </w:tcBorders>
            <w:shd w:val="clear" w:color="auto" w:fill="D3C5D7"/>
            <w:noWrap/>
            <w:vAlign w:val="center"/>
            <w:hideMark/>
          </w:tcPr>
          <w:p w14:paraId="3C80EFB4" w14:textId="77777777" w:rsidR="005A127E" w:rsidRPr="00DA3F73" w:rsidRDefault="005A127E" w:rsidP="005A127E">
            <w:pPr>
              <w:spacing w:after="0" w:line="240" w:lineRule="auto"/>
              <w:jc w:val="right"/>
              <w:rPr>
                <w:rFonts w:eastAsia="Times New Roman" w:cs="Arial"/>
                <w:b/>
                <w:bCs/>
                <w:color w:val="000000"/>
                <w:sz w:val="18"/>
                <w:szCs w:val="18"/>
              </w:rPr>
            </w:pPr>
            <w:r w:rsidRPr="00DA3F73">
              <w:rPr>
                <w:rFonts w:eastAsia="Times New Roman" w:cs="Arial"/>
                <w:b/>
                <w:bCs/>
                <w:color w:val="000000"/>
                <w:sz w:val="18"/>
                <w:szCs w:val="18"/>
              </w:rPr>
              <w:t>0.94%</w:t>
            </w:r>
          </w:p>
        </w:tc>
        <w:tc>
          <w:tcPr>
            <w:tcW w:w="1593" w:type="dxa"/>
            <w:tcBorders>
              <w:top w:val="single" w:sz="4" w:space="0" w:color="auto"/>
              <w:left w:val="nil"/>
              <w:bottom w:val="single" w:sz="4" w:space="0" w:color="auto"/>
              <w:right w:val="nil"/>
            </w:tcBorders>
            <w:shd w:val="clear" w:color="auto" w:fill="D3C5D7"/>
            <w:noWrap/>
            <w:vAlign w:val="center"/>
            <w:hideMark/>
          </w:tcPr>
          <w:p w14:paraId="3978A5B5" w14:textId="77777777" w:rsidR="005A127E" w:rsidRPr="00DA3F73" w:rsidRDefault="005A127E" w:rsidP="005A127E">
            <w:pPr>
              <w:spacing w:after="0" w:line="240" w:lineRule="auto"/>
              <w:jc w:val="right"/>
              <w:rPr>
                <w:rFonts w:eastAsia="Times New Roman" w:cs="Arial"/>
                <w:b/>
                <w:bCs/>
                <w:color w:val="000000"/>
                <w:sz w:val="18"/>
                <w:szCs w:val="18"/>
              </w:rPr>
            </w:pPr>
            <w:r w:rsidRPr="00DA3F73">
              <w:rPr>
                <w:rFonts w:eastAsia="Times New Roman" w:cs="Arial"/>
                <w:b/>
                <w:bCs/>
                <w:color w:val="000000"/>
                <w:sz w:val="18"/>
                <w:szCs w:val="18"/>
              </w:rPr>
              <w:t>0.92%</w:t>
            </w:r>
          </w:p>
        </w:tc>
        <w:tc>
          <w:tcPr>
            <w:tcW w:w="1507" w:type="dxa"/>
            <w:tcBorders>
              <w:top w:val="single" w:sz="4" w:space="0" w:color="auto"/>
              <w:left w:val="nil"/>
              <w:bottom w:val="single" w:sz="4" w:space="0" w:color="auto"/>
              <w:right w:val="nil"/>
            </w:tcBorders>
            <w:shd w:val="clear" w:color="auto" w:fill="D3C5D7"/>
            <w:noWrap/>
            <w:vAlign w:val="center"/>
            <w:hideMark/>
          </w:tcPr>
          <w:p w14:paraId="6479D802" w14:textId="77777777" w:rsidR="005A127E" w:rsidRPr="00DA3F73" w:rsidRDefault="005A127E" w:rsidP="005A127E">
            <w:pPr>
              <w:spacing w:after="0" w:line="240" w:lineRule="auto"/>
              <w:jc w:val="right"/>
              <w:rPr>
                <w:rFonts w:eastAsia="Times New Roman" w:cs="Arial"/>
                <w:b/>
                <w:bCs/>
                <w:color w:val="000000"/>
                <w:sz w:val="18"/>
                <w:szCs w:val="18"/>
              </w:rPr>
            </w:pPr>
            <w:r w:rsidRPr="00DA3F73">
              <w:rPr>
                <w:rFonts w:eastAsia="Times New Roman" w:cs="Arial"/>
                <w:b/>
                <w:bCs/>
                <w:color w:val="000000"/>
                <w:sz w:val="18"/>
                <w:szCs w:val="18"/>
              </w:rPr>
              <w:t>0.93%</w:t>
            </w:r>
          </w:p>
        </w:tc>
      </w:tr>
    </w:tbl>
    <w:p w14:paraId="66F16155" w14:textId="77777777" w:rsidR="004A5D62" w:rsidRDefault="004A5D62" w:rsidP="00DA3F73">
      <w:pPr>
        <w:pStyle w:val="Tables"/>
      </w:pPr>
    </w:p>
    <w:p w14:paraId="552FDE48" w14:textId="77777777" w:rsidR="004A5D62" w:rsidRDefault="004A5D62" w:rsidP="00DA3F73">
      <w:pPr>
        <w:pStyle w:val="Tables"/>
      </w:pPr>
      <w:r>
        <w:t>Table</w:t>
      </w:r>
      <w:r w:rsidR="00C2470E">
        <w:t xml:space="preserve"> J</w:t>
      </w:r>
      <w:r w:rsidR="00A87896">
        <w:t>.</w:t>
      </w:r>
      <w:fldSimple w:instr=" SEQ Table \* ARABIC \s 2 ">
        <w:r w:rsidR="00FC79AE">
          <w:rPr>
            <w:noProof/>
          </w:rPr>
          <w:t>10</w:t>
        </w:r>
      </w:fldSimple>
      <w:r w:rsidR="00C2470E">
        <w:t>:</w:t>
      </w:r>
      <w:r w:rsidRPr="00FF6383">
        <w:t xml:space="preserve"> Contri</w:t>
      </w:r>
      <w:r w:rsidR="00672263">
        <w:t>bu</w:t>
      </w:r>
      <w:r w:rsidRPr="00FF6383">
        <w:t xml:space="preserve">tion to total </w:t>
      </w:r>
      <w:r w:rsidR="006D0D6A">
        <w:t>mortality rate</w:t>
      </w:r>
      <w:r w:rsidR="009F3FC1">
        <w:t>s</w:t>
      </w:r>
      <w:r w:rsidR="006D0D6A">
        <w:t xml:space="preserve"> </w:t>
      </w:r>
      <w:r w:rsidRPr="00FF6383">
        <w:t>by primary disability</w:t>
      </w:r>
    </w:p>
    <w:tbl>
      <w:tblPr>
        <w:tblW w:w="0" w:type="auto"/>
        <w:tblLook w:val="04A0" w:firstRow="1" w:lastRow="0" w:firstColumn="1" w:lastColumn="0" w:noHBand="0" w:noVBand="1"/>
      </w:tblPr>
      <w:tblGrid>
        <w:gridCol w:w="2038"/>
        <w:gridCol w:w="2624"/>
        <w:gridCol w:w="2199"/>
        <w:gridCol w:w="2165"/>
      </w:tblGrid>
      <w:tr w:rsidR="009B261B" w:rsidRPr="00F53AA3" w14:paraId="2425CEF2" w14:textId="77777777" w:rsidTr="00706E8E">
        <w:trPr>
          <w:trHeight w:val="397"/>
          <w:tblHeader/>
        </w:trPr>
        <w:tc>
          <w:tcPr>
            <w:tcW w:w="0" w:type="auto"/>
            <w:tcBorders>
              <w:top w:val="nil"/>
              <w:left w:val="nil"/>
              <w:right w:val="nil"/>
            </w:tcBorders>
            <w:shd w:val="clear" w:color="auto" w:fill="6B2976"/>
            <w:noWrap/>
            <w:vAlign w:val="center"/>
            <w:hideMark/>
          </w:tcPr>
          <w:p w14:paraId="286F5948" w14:textId="77777777" w:rsidR="004A5D62" w:rsidRPr="00252EAF" w:rsidRDefault="004A5D62" w:rsidP="00DA3F73">
            <w:pPr>
              <w:spacing w:after="0" w:line="240" w:lineRule="auto"/>
              <w:jc w:val="center"/>
              <w:rPr>
                <w:rFonts w:eastAsia="Times New Roman" w:cs="Arial"/>
                <w:sz w:val="18"/>
                <w:szCs w:val="18"/>
              </w:rPr>
            </w:pPr>
          </w:p>
        </w:tc>
        <w:tc>
          <w:tcPr>
            <w:tcW w:w="0" w:type="auto"/>
            <w:tcBorders>
              <w:top w:val="nil"/>
              <w:left w:val="nil"/>
              <w:right w:val="nil"/>
            </w:tcBorders>
            <w:shd w:val="clear" w:color="auto" w:fill="6B2976"/>
            <w:noWrap/>
            <w:vAlign w:val="center"/>
            <w:hideMark/>
          </w:tcPr>
          <w:p w14:paraId="52C0F2ED" w14:textId="77777777" w:rsidR="004A5D62" w:rsidRPr="00252EAF" w:rsidRDefault="004A5D62" w:rsidP="00DA3F73">
            <w:pPr>
              <w:spacing w:after="0" w:line="240" w:lineRule="auto"/>
              <w:jc w:val="center"/>
              <w:rPr>
                <w:rFonts w:eastAsia="Times New Roman" w:cs="Arial"/>
                <w:sz w:val="18"/>
                <w:szCs w:val="18"/>
              </w:rPr>
            </w:pPr>
          </w:p>
        </w:tc>
        <w:tc>
          <w:tcPr>
            <w:tcW w:w="0" w:type="auto"/>
            <w:gridSpan w:val="2"/>
            <w:tcBorders>
              <w:top w:val="nil"/>
              <w:left w:val="nil"/>
              <w:bottom w:val="single" w:sz="4" w:space="0" w:color="FFFFFF" w:themeColor="background1"/>
              <w:right w:val="nil"/>
            </w:tcBorders>
            <w:shd w:val="clear" w:color="000000" w:fill="6B2976"/>
            <w:noWrap/>
            <w:vAlign w:val="center"/>
            <w:hideMark/>
          </w:tcPr>
          <w:p w14:paraId="4F344AC9" w14:textId="77777777" w:rsidR="004A5D62" w:rsidRPr="00252EAF" w:rsidRDefault="004A5D62">
            <w:pPr>
              <w:spacing w:after="0" w:line="240" w:lineRule="auto"/>
              <w:jc w:val="center"/>
              <w:rPr>
                <w:rFonts w:eastAsia="Times New Roman" w:cs="Arial"/>
                <w:b/>
                <w:bCs/>
                <w:color w:val="FFFFFF"/>
                <w:sz w:val="18"/>
                <w:szCs w:val="18"/>
              </w:rPr>
            </w:pPr>
            <w:r w:rsidRPr="00252EAF">
              <w:rPr>
                <w:rFonts w:eastAsia="Times New Roman" w:cs="Arial"/>
                <w:b/>
                <w:bCs/>
                <w:color w:val="FFFFFF"/>
                <w:sz w:val="18"/>
                <w:szCs w:val="18"/>
              </w:rPr>
              <w:t xml:space="preserve">Contribution to </w:t>
            </w:r>
            <w:r w:rsidR="001811C7" w:rsidRPr="00252EAF">
              <w:rPr>
                <w:rFonts w:eastAsia="Times New Roman" w:cs="Arial"/>
                <w:b/>
                <w:bCs/>
                <w:color w:val="FFFFFF"/>
                <w:sz w:val="18"/>
                <w:szCs w:val="18"/>
              </w:rPr>
              <w:t>t</w:t>
            </w:r>
            <w:r w:rsidRPr="00252EAF">
              <w:rPr>
                <w:rFonts w:eastAsia="Times New Roman" w:cs="Arial"/>
                <w:b/>
                <w:bCs/>
                <w:color w:val="FFFFFF"/>
                <w:sz w:val="18"/>
                <w:szCs w:val="18"/>
              </w:rPr>
              <w:t>otal</w:t>
            </w:r>
            <w:r w:rsidR="001811C7" w:rsidRPr="00252EAF">
              <w:rPr>
                <w:rFonts w:eastAsia="Times New Roman" w:cs="Arial"/>
                <w:b/>
                <w:bCs/>
                <w:color w:val="FFFFFF"/>
                <w:sz w:val="18"/>
                <w:szCs w:val="18"/>
              </w:rPr>
              <w:t xml:space="preserve"> mortality rate</w:t>
            </w:r>
          </w:p>
        </w:tc>
      </w:tr>
      <w:tr w:rsidR="001811C7" w:rsidRPr="00F53AA3" w14:paraId="4725948D" w14:textId="77777777" w:rsidTr="00706E8E">
        <w:trPr>
          <w:trHeight w:val="397"/>
          <w:tblHeader/>
        </w:trPr>
        <w:tc>
          <w:tcPr>
            <w:tcW w:w="0" w:type="auto"/>
            <w:tcBorders>
              <w:left w:val="nil"/>
              <w:bottom w:val="nil"/>
              <w:right w:val="nil"/>
            </w:tcBorders>
            <w:shd w:val="clear" w:color="000000" w:fill="6B2976"/>
            <w:vAlign w:val="center"/>
            <w:hideMark/>
          </w:tcPr>
          <w:p w14:paraId="5980F028" w14:textId="77777777" w:rsidR="004A5D62" w:rsidRPr="00252EAF" w:rsidRDefault="004A5D62" w:rsidP="00DA3F73">
            <w:pPr>
              <w:spacing w:after="0" w:line="240" w:lineRule="auto"/>
              <w:rPr>
                <w:rFonts w:eastAsia="Times New Roman" w:cs="Arial"/>
                <w:b/>
                <w:bCs/>
                <w:color w:val="FFFFFF"/>
                <w:sz w:val="18"/>
                <w:szCs w:val="18"/>
              </w:rPr>
            </w:pPr>
            <w:r w:rsidRPr="00252EAF">
              <w:rPr>
                <w:rFonts w:eastAsia="Times New Roman" w:cs="Arial"/>
                <w:b/>
                <w:bCs/>
                <w:color w:val="FFFFFF"/>
                <w:sz w:val="18"/>
                <w:szCs w:val="18"/>
              </w:rPr>
              <w:t>Disability Type</w:t>
            </w:r>
          </w:p>
        </w:tc>
        <w:tc>
          <w:tcPr>
            <w:tcW w:w="0" w:type="auto"/>
            <w:tcBorders>
              <w:left w:val="nil"/>
              <w:bottom w:val="nil"/>
              <w:right w:val="nil"/>
            </w:tcBorders>
            <w:shd w:val="clear" w:color="000000" w:fill="6B2976"/>
            <w:vAlign w:val="center"/>
            <w:hideMark/>
          </w:tcPr>
          <w:p w14:paraId="428A0AFE" w14:textId="77777777" w:rsidR="004A5D62" w:rsidRPr="00252EAF" w:rsidRDefault="009B261B" w:rsidP="00DA3F73">
            <w:pPr>
              <w:spacing w:after="0" w:line="240" w:lineRule="auto"/>
              <w:jc w:val="right"/>
              <w:rPr>
                <w:rFonts w:eastAsia="Times New Roman" w:cs="Arial"/>
                <w:b/>
                <w:bCs/>
                <w:color w:val="FFFFFF"/>
                <w:sz w:val="18"/>
                <w:szCs w:val="18"/>
              </w:rPr>
            </w:pPr>
            <w:r w:rsidRPr="00252EAF">
              <w:rPr>
                <w:rFonts w:eastAsia="Times New Roman" w:cs="Arial"/>
                <w:b/>
                <w:bCs/>
                <w:color w:val="FFFFFF"/>
                <w:sz w:val="18"/>
                <w:szCs w:val="18"/>
              </w:rPr>
              <w:t>Exposure (mix of participants)</w:t>
            </w:r>
          </w:p>
        </w:tc>
        <w:tc>
          <w:tcPr>
            <w:tcW w:w="0" w:type="auto"/>
            <w:tcBorders>
              <w:top w:val="single" w:sz="4" w:space="0" w:color="FFFFFF" w:themeColor="background1"/>
              <w:left w:val="nil"/>
              <w:bottom w:val="nil"/>
              <w:right w:val="nil"/>
            </w:tcBorders>
            <w:shd w:val="clear" w:color="000000" w:fill="6B2976"/>
            <w:vAlign w:val="center"/>
            <w:hideMark/>
          </w:tcPr>
          <w:p w14:paraId="44D491A8" w14:textId="77777777" w:rsidR="004A5D62" w:rsidRPr="00252EAF" w:rsidRDefault="006D0D6A" w:rsidP="00DA3F73">
            <w:pPr>
              <w:spacing w:after="0" w:line="240" w:lineRule="auto"/>
              <w:jc w:val="right"/>
              <w:rPr>
                <w:rFonts w:eastAsia="Times New Roman" w:cs="Arial"/>
                <w:b/>
                <w:bCs/>
                <w:color w:val="FFFFFF"/>
                <w:sz w:val="18"/>
                <w:szCs w:val="18"/>
              </w:rPr>
            </w:pPr>
            <w:r w:rsidRPr="00252EAF">
              <w:rPr>
                <w:rFonts w:eastAsia="Times New Roman" w:cs="Arial"/>
                <w:b/>
                <w:bCs/>
                <w:color w:val="FFFFFF"/>
                <w:sz w:val="18"/>
                <w:szCs w:val="18"/>
              </w:rPr>
              <w:t xml:space="preserve">2020-21 AFSR </w:t>
            </w:r>
            <w:r w:rsidR="004A5D62" w:rsidRPr="00252EAF">
              <w:rPr>
                <w:rFonts w:eastAsia="Times New Roman" w:cs="Arial"/>
                <w:b/>
                <w:bCs/>
                <w:color w:val="FFFFFF"/>
                <w:sz w:val="18"/>
                <w:szCs w:val="18"/>
              </w:rPr>
              <w:t>Expected</w:t>
            </w:r>
          </w:p>
        </w:tc>
        <w:tc>
          <w:tcPr>
            <w:tcW w:w="0" w:type="auto"/>
            <w:tcBorders>
              <w:top w:val="single" w:sz="4" w:space="0" w:color="FFFFFF" w:themeColor="background1"/>
              <w:left w:val="nil"/>
              <w:bottom w:val="nil"/>
              <w:right w:val="nil"/>
            </w:tcBorders>
            <w:shd w:val="clear" w:color="000000" w:fill="6B2976"/>
            <w:vAlign w:val="center"/>
            <w:hideMark/>
          </w:tcPr>
          <w:p w14:paraId="29E4BCA3" w14:textId="77777777" w:rsidR="004A5D62" w:rsidRPr="00252EAF" w:rsidRDefault="006D0D6A" w:rsidP="00DA3F73">
            <w:pPr>
              <w:spacing w:after="0" w:line="240" w:lineRule="auto"/>
              <w:jc w:val="right"/>
              <w:rPr>
                <w:rFonts w:eastAsia="Times New Roman" w:cs="Arial"/>
                <w:b/>
                <w:bCs/>
                <w:color w:val="FFFFFF"/>
                <w:sz w:val="18"/>
                <w:szCs w:val="18"/>
              </w:rPr>
            </w:pPr>
            <w:r w:rsidRPr="00252EAF">
              <w:rPr>
                <w:rFonts w:eastAsia="Times New Roman" w:cs="Arial"/>
                <w:b/>
                <w:bCs/>
                <w:color w:val="FFFFFF"/>
                <w:sz w:val="18"/>
                <w:szCs w:val="18"/>
              </w:rPr>
              <w:t>2021-22 AFSR Expected</w:t>
            </w:r>
          </w:p>
        </w:tc>
      </w:tr>
      <w:tr w:rsidR="001811C7" w:rsidRPr="00F53AA3" w14:paraId="7CA49B17" w14:textId="77777777" w:rsidTr="00DA3F73">
        <w:trPr>
          <w:trHeight w:val="283"/>
        </w:trPr>
        <w:tc>
          <w:tcPr>
            <w:tcW w:w="0" w:type="auto"/>
            <w:tcBorders>
              <w:top w:val="nil"/>
              <w:left w:val="nil"/>
              <w:bottom w:val="nil"/>
              <w:right w:val="nil"/>
            </w:tcBorders>
            <w:shd w:val="clear" w:color="auto" w:fill="auto"/>
            <w:noWrap/>
            <w:vAlign w:val="center"/>
            <w:hideMark/>
          </w:tcPr>
          <w:p w14:paraId="07C0CF2D"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Acquired brain injury</w:t>
            </w:r>
          </w:p>
        </w:tc>
        <w:tc>
          <w:tcPr>
            <w:tcW w:w="0" w:type="auto"/>
            <w:tcBorders>
              <w:top w:val="nil"/>
              <w:left w:val="nil"/>
              <w:bottom w:val="nil"/>
              <w:right w:val="nil"/>
            </w:tcBorders>
            <w:shd w:val="clear" w:color="auto" w:fill="auto"/>
            <w:noWrap/>
            <w:vAlign w:val="center"/>
            <w:hideMark/>
          </w:tcPr>
          <w:p w14:paraId="0AD89EAF"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3.22%</w:t>
            </w:r>
          </w:p>
        </w:tc>
        <w:tc>
          <w:tcPr>
            <w:tcW w:w="0" w:type="auto"/>
            <w:tcBorders>
              <w:top w:val="nil"/>
              <w:left w:val="nil"/>
              <w:bottom w:val="nil"/>
              <w:right w:val="nil"/>
            </w:tcBorders>
            <w:shd w:val="clear" w:color="auto" w:fill="auto"/>
            <w:noWrap/>
            <w:vAlign w:val="center"/>
            <w:hideMark/>
          </w:tcPr>
          <w:p w14:paraId="334C4EEE"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0.09%</w:t>
            </w:r>
          </w:p>
        </w:tc>
        <w:tc>
          <w:tcPr>
            <w:tcW w:w="0" w:type="auto"/>
            <w:tcBorders>
              <w:top w:val="nil"/>
              <w:left w:val="nil"/>
              <w:bottom w:val="nil"/>
              <w:right w:val="nil"/>
            </w:tcBorders>
            <w:shd w:val="clear" w:color="auto" w:fill="auto"/>
            <w:noWrap/>
            <w:vAlign w:val="center"/>
            <w:hideMark/>
          </w:tcPr>
          <w:p w14:paraId="117CD283"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0.09%</w:t>
            </w:r>
          </w:p>
        </w:tc>
      </w:tr>
      <w:tr w:rsidR="001811C7" w:rsidRPr="00F53AA3" w14:paraId="1B4229E8" w14:textId="77777777" w:rsidTr="00DA3F73">
        <w:trPr>
          <w:trHeight w:val="283"/>
        </w:trPr>
        <w:tc>
          <w:tcPr>
            <w:tcW w:w="0" w:type="auto"/>
            <w:tcBorders>
              <w:top w:val="nil"/>
              <w:left w:val="nil"/>
              <w:bottom w:val="nil"/>
              <w:right w:val="nil"/>
            </w:tcBorders>
            <w:shd w:val="clear" w:color="000000" w:fill="BFBFBF"/>
            <w:noWrap/>
            <w:vAlign w:val="center"/>
            <w:hideMark/>
          </w:tcPr>
          <w:p w14:paraId="51DEC7B3"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Autism</w:t>
            </w:r>
          </w:p>
        </w:tc>
        <w:tc>
          <w:tcPr>
            <w:tcW w:w="0" w:type="auto"/>
            <w:tcBorders>
              <w:top w:val="nil"/>
              <w:left w:val="nil"/>
              <w:bottom w:val="nil"/>
              <w:right w:val="nil"/>
            </w:tcBorders>
            <w:shd w:val="clear" w:color="000000" w:fill="BFBFBF"/>
            <w:noWrap/>
            <w:vAlign w:val="center"/>
            <w:hideMark/>
          </w:tcPr>
          <w:p w14:paraId="6AA01217"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33.42%</w:t>
            </w:r>
          </w:p>
        </w:tc>
        <w:tc>
          <w:tcPr>
            <w:tcW w:w="0" w:type="auto"/>
            <w:tcBorders>
              <w:top w:val="nil"/>
              <w:left w:val="nil"/>
              <w:bottom w:val="nil"/>
              <w:right w:val="nil"/>
            </w:tcBorders>
            <w:shd w:val="clear" w:color="000000" w:fill="BFBFBF"/>
            <w:noWrap/>
            <w:vAlign w:val="center"/>
            <w:hideMark/>
          </w:tcPr>
          <w:p w14:paraId="19E2E40F"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0.02%</w:t>
            </w:r>
          </w:p>
        </w:tc>
        <w:tc>
          <w:tcPr>
            <w:tcW w:w="0" w:type="auto"/>
            <w:tcBorders>
              <w:top w:val="nil"/>
              <w:left w:val="nil"/>
              <w:bottom w:val="nil"/>
              <w:right w:val="nil"/>
            </w:tcBorders>
            <w:shd w:val="clear" w:color="000000" w:fill="BFBFBF"/>
            <w:noWrap/>
            <w:vAlign w:val="center"/>
            <w:hideMark/>
          </w:tcPr>
          <w:p w14:paraId="3053D5E9"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0.02%</w:t>
            </w:r>
          </w:p>
        </w:tc>
      </w:tr>
      <w:tr w:rsidR="001811C7" w:rsidRPr="00F53AA3" w14:paraId="52F92448" w14:textId="77777777" w:rsidTr="00DA3F73">
        <w:trPr>
          <w:trHeight w:val="283"/>
        </w:trPr>
        <w:tc>
          <w:tcPr>
            <w:tcW w:w="0" w:type="auto"/>
            <w:tcBorders>
              <w:top w:val="nil"/>
              <w:left w:val="nil"/>
              <w:bottom w:val="nil"/>
              <w:right w:val="nil"/>
            </w:tcBorders>
            <w:shd w:val="clear" w:color="auto" w:fill="auto"/>
            <w:noWrap/>
            <w:vAlign w:val="center"/>
            <w:hideMark/>
          </w:tcPr>
          <w:p w14:paraId="544E7016"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Cerebral Palsy</w:t>
            </w:r>
          </w:p>
        </w:tc>
        <w:tc>
          <w:tcPr>
            <w:tcW w:w="0" w:type="auto"/>
            <w:tcBorders>
              <w:top w:val="nil"/>
              <w:left w:val="nil"/>
              <w:bottom w:val="nil"/>
              <w:right w:val="nil"/>
            </w:tcBorders>
            <w:shd w:val="clear" w:color="auto" w:fill="auto"/>
            <w:noWrap/>
            <w:vAlign w:val="center"/>
            <w:hideMark/>
          </w:tcPr>
          <w:p w14:paraId="602EEEC8"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3.53%</w:t>
            </w:r>
          </w:p>
        </w:tc>
        <w:tc>
          <w:tcPr>
            <w:tcW w:w="0" w:type="auto"/>
            <w:tcBorders>
              <w:top w:val="nil"/>
              <w:left w:val="nil"/>
              <w:bottom w:val="nil"/>
              <w:right w:val="nil"/>
            </w:tcBorders>
            <w:shd w:val="clear" w:color="auto" w:fill="auto"/>
            <w:noWrap/>
            <w:vAlign w:val="center"/>
            <w:hideMark/>
          </w:tcPr>
          <w:p w14:paraId="038B52FD"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0.02%</w:t>
            </w:r>
          </w:p>
        </w:tc>
        <w:tc>
          <w:tcPr>
            <w:tcW w:w="0" w:type="auto"/>
            <w:tcBorders>
              <w:top w:val="nil"/>
              <w:left w:val="nil"/>
              <w:bottom w:val="nil"/>
              <w:right w:val="nil"/>
            </w:tcBorders>
            <w:shd w:val="clear" w:color="auto" w:fill="auto"/>
            <w:noWrap/>
            <w:vAlign w:val="center"/>
            <w:hideMark/>
          </w:tcPr>
          <w:p w14:paraId="12FB6FB5"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0.03%</w:t>
            </w:r>
          </w:p>
        </w:tc>
      </w:tr>
      <w:tr w:rsidR="001811C7" w:rsidRPr="00F53AA3" w14:paraId="42CEE20F" w14:textId="77777777" w:rsidTr="00DA3F73">
        <w:trPr>
          <w:trHeight w:val="283"/>
        </w:trPr>
        <w:tc>
          <w:tcPr>
            <w:tcW w:w="0" w:type="auto"/>
            <w:tcBorders>
              <w:top w:val="nil"/>
              <w:left w:val="nil"/>
              <w:bottom w:val="nil"/>
              <w:right w:val="nil"/>
            </w:tcBorders>
            <w:shd w:val="clear" w:color="000000" w:fill="BFBFBF"/>
            <w:noWrap/>
            <w:vAlign w:val="center"/>
            <w:hideMark/>
          </w:tcPr>
          <w:p w14:paraId="3AF1BA78"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Developmental delay</w:t>
            </w:r>
          </w:p>
        </w:tc>
        <w:tc>
          <w:tcPr>
            <w:tcW w:w="0" w:type="auto"/>
            <w:tcBorders>
              <w:top w:val="nil"/>
              <w:left w:val="nil"/>
              <w:bottom w:val="nil"/>
              <w:right w:val="nil"/>
            </w:tcBorders>
            <w:shd w:val="clear" w:color="000000" w:fill="BFBFBF"/>
            <w:noWrap/>
            <w:vAlign w:val="center"/>
            <w:hideMark/>
          </w:tcPr>
          <w:p w14:paraId="668B5F0A"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9.31%</w:t>
            </w:r>
          </w:p>
        </w:tc>
        <w:tc>
          <w:tcPr>
            <w:tcW w:w="0" w:type="auto"/>
            <w:tcBorders>
              <w:top w:val="nil"/>
              <w:left w:val="nil"/>
              <w:bottom w:val="nil"/>
              <w:right w:val="nil"/>
            </w:tcBorders>
            <w:shd w:val="clear" w:color="000000" w:fill="BFBFBF"/>
            <w:noWrap/>
            <w:vAlign w:val="center"/>
            <w:hideMark/>
          </w:tcPr>
          <w:p w14:paraId="0BC9ED7C"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0.01%</w:t>
            </w:r>
          </w:p>
        </w:tc>
        <w:tc>
          <w:tcPr>
            <w:tcW w:w="0" w:type="auto"/>
            <w:tcBorders>
              <w:top w:val="nil"/>
              <w:left w:val="nil"/>
              <w:bottom w:val="nil"/>
              <w:right w:val="nil"/>
            </w:tcBorders>
            <w:shd w:val="clear" w:color="000000" w:fill="BFBFBF"/>
            <w:noWrap/>
            <w:vAlign w:val="center"/>
            <w:hideMark/>
          </w:tcPr>
          <w:p w14:paraId="5CA86245"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0.01%</w:t>
            </w:r>
          </w:p>
        </w:tc>
      </w:tr>
      <w:tr w:rsidR="001811C7" w:rsidRPr="00F53AA3" w14:paraId="48F1CFBF" w14:textId="77777777" w:rsidTr="00DA3F73">
        <w:trPr>
          <w:trHeight w:val="283"/>
        </w:trPr>
        <w:tc>
          <w:tcPr>
            <w:tcW w:w="0" w:type="auto"/>
            <w:tcBorders>
              <w:top w:val="nil"/>
              <w:left w:val="nil"/>
              <w:bottom w:val="nil"/>
              <w:right w:val="nil"/>
            </w:tcBorders>
            <w:shd w:val="clear" w:color="auto" w:fill="auto"/>
            <w:noWrap/>
            <w:vAlign w:val="center"/>
            <w:hideMark/>
          </w:tcPr>
          <w:p w14:paraId="15C32FFF"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Hearing Impairment</w:t>
            </w:r>
          </w:p>
        </w:tc>
        <w:tc>
          <w:tcPr>
            <w:tcW w:w="0" w:type="auto"/>
            <w:tcBorders>
              <w:top w:val="nil"/>
              <w:left w:val="nil"/>
              <w:bottom w:val="nil"/>
              <w:right w:val="nil"/>
            </w:tcBorders>
            <w:shd w:val="clear" w:color="auto" w:fill="auto"/>
            <w:noWrap/>
            <w:vAlign w:val="center"/>
            <w:hideMark/>
          </w:tcPr>
          <w:p w14:paraId="7C14F53E"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4.72%</w:t>
            </w:r>
          </w:p>
        </w:tc>
        <w:tc>
          <w:tcPr>
            <w:tcW w:w="0" w:type="auto"/>
            <w:tcBorders>
              <w:top w:val="nil"/>
              <w:left w:val="nil"/>
              <w:bottom w:val="nil"/>
              <w:right w:val="nil"/>
            </w:tcBorders>
            <w:shd w:val="clear" w:color="auto" w:fill="auto"/>
            <w:noWrap/>
            <w:vAlign w:val="center"/>
            <w:hideMark/>
          </w:tcPr>
          <w:p w14:paraId="4B1140C9"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0.01%</w:t>
            </w:r>
          </w:p>
        </w:tc>
        <w:tc>
          <w:tcPr>
            <w:tcW w:w="0" w:type="auto"/>
            <w:tcBorders>
              <w:top w:val="nil"/>
              <w:left w:val="nil"/>
              <w:bottom w:val="nil"/>
              <w:right w:val="nil"/>
            </w:tcBorders>
            <w:shd w:val="clear" w:color="auto" w:fill="auto"/>
            <w:noWrap/>
            <w:vAlign w:val="center"/>
            <w:hideMark/>
          </w:tcPr>
          <w:p w14:paraId="6FEF4332"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0.01%</w:t>
            </w:r>
          </w:p>
        </w:tc>
      </w:tr>
      <w:tr w:rsidR="001811C7" w:rsidRPr="00F53AA3" w14:paraId="086ABEFB" w14:textId="77777777" w:rsidTr="00DA3F73">
        <w:trPr>
          <w:trHeight w:val="283"/>
        </w:trPr>
        <w:tc>
          <w:tcPr>
            <w:tcW w:w="0" w:type="auto"/>
            <w:tcBorders>
              <w:top w:val="nil"/>
              <w:left w:val="nil"/>
              <w:bottom w:val="nil"/>
              <w:right w:val="nil"/>
            </w:tcBorders>
            <w:shd w:val="clear" w:color="000000" w:fill="BFBFBF"/>
            <w:noWrap/>
            <w:vAlign w:val="center"/>
            <w:hideMark/>
          </w:tcPr>
          <w:p w14:paraId="7FBBB284"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Intellectual Disability</w:t>
            </w:r>
          </w:p>
        </w:tc>
        <w:tc>
          <w:tcPr>
            <w:tcW w:w="0" w:type="auto"/>
            <w:tcBorders>
              <w:top w:val="nil"/>
              <w:left w:val="nil"/>
              <w:bottom w:val="nil"/>
              <w:right w:val="nil"/>
            </w:tcBorders>
            <w:shd w:val="clear" w:color="000000" w:fill="BFBFBF"/>
            <w:noWrap/>
            <w:vAlign w:val="center"/>
            <w:hideMark/>
          </w:tcPr>
          <w:p w14:paraId="5EBC73E1"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19.48%</w:t>
            </w:r>
          </w:p>
        </w:tc>
        <w:tc>
          <w:tcPr>
            <w:tcW w:w="0" w:type="auto"/>
            <w:tcBorders>
              <w:top w:val="nil"/>
              <w:left w:val="nil"/>
              <w:bottom w:val="nil"/>
              <w:right w:val="nil"/>
            </w:tcBorders>
            <w:shd w:val="clear" w:color="000000" w:fill="BFBFBF"/>
            <w:noWrap/>
            <w:vAlign w:val="center"/>
            <w:hideMark/>
          </w:tcPr>
          <w:p w14:paraId="7EB65760"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0.16%</w:t>
            </w:r>
          </w:p>
        </w:tc>
        <w:tc>
          <w:tcPr>
            <w:tcW w:w="0" w:type="auto"/>
            <w:tcBorders>
              <w:top w:val="nil"/>
              <w:left w:val="nil"/>
              <w:bottom w:val="nil"/>
              <w:right w:val="nil"/>
            </w:tcBorders>
            <w:shd w:val="clear" w:color="000000" w:fill="BFBFBF"/>
            <w:noWrap/>
            <w:vAlign w:val="center"/>
            <w:hideMark/>
          </w:tcPr>
          <w:p w14:paraId="3442F982"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0.15%</w:t>
            </w:r>
          </w:p>
        </w:tc>
      </w:tr>
      <w:tr w:rsidR="001811C7" w:rsidRPr="00F53AA3" w14:paraId="657F4CE2" w14:textId="77777777" w:rsidTr="00DA3F73">
        <w:trPr>
          <w:trHeight w:val="283"/>
        </w:trPr>
        <w:tc>
          <w:tcPr>
            <w:tcW w:w="0" w:type="auto"/>
            <w:tcBorders>
              <w:top w:val="nil"/>
              <w:left w:val="nil"/>
              <w:bottom w:val="nil"/>
              <w:right w:val="nil"/>
            </w:tcBorders>
            <w:shd w:val="clear" w:color="auto" w:fill="auto"/>
            <w:noWrap/>
            <w:vAlign w:val="center"/>
            <w:hideMark/>
          </w:tcPr>
          <w:p w14:paraId="022D52FE"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Multiple Sclerosis</w:t>
            </w:r>
          </w:p>
        </w:tc>
        <w:tc>
          <w:tcPr>
            <w:tcW w:w="0" w:type="auto"/>
            <w:tcBorders>
              <w:top w:val="nil"/>
              <w:left w:val="nil"/>
              <w:bottom w:val="nil"/>
              <w:right w:val="nil"/>
            </w:tcBorders>
            <w:shd w:val="clear" w:color="auto" w:fill="auto"/>
            <w:noWrap/>
            <w:vAlign w:val="center"/>
            <w:hideMark/>
          </w:tcPr>
          <w:p w14:paraId="1FD58968"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1.83%</w:t>
            </w:r>
          </w:p>
        </w:tc>
        <w:tc>
          <w:tcPr>
            <w:tcW w:w="0" w:type="auto"/>
            <w:tcBorders>
              <w:top w:val="nil"/>
              <w:left w:val="nil"/>
              <w:bottom w:val="nil"/>
              <w:right w:val="nil"/>
            </w:tcBorders>
            <w:shd w:val="clear" w:color="auto" w:fill="auto"/>
            <w:noWrap/>
            <w:vAlign w:val="center"/>
            <w:hideMark/>
          </w:tcPr>
          <w:p w14:paraId="5E0517EC"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0.03%</w:t>
            </w:r>
          </w:p>
        </w:tc>
        <w:tc>
          <w:tcPr>
            <w:tcW w:w="0" w:type="auto"/>
            <w:tcBorders>
              <w:top w:val="nil"/>
              <w:left w:val="nil"/>
              <w:bottom w:val="nil"/>
              <w:right w:val="nil"/>
            </w:tcBorders>
            <w:shd w:val="clear" w:color="auto" w:fill="auto"/>
            <w:noWrap/>
            <w:vAlign w:val="center"/>
            <w:hideMark/>
          </w:tcPr>
          <w:p w14:paraId="0473B1F9"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0.03%</w:t>
            </w:r>
          </w:p>
        </w:tc>
      </w:tr>
      <w:tr w:rsidR="001811C7" w:rsidRPr="00F53AA3" w14:paraId="3F894965" w14:textId="77777777" w:rsidTr="00DA3F73">
        <w:trPr>
          <w:trHeight w:val="283"/>
        </w:trPr>
        <w:tc>
          <w:tcPr>
            <w:tcW w:w="0" w:type="auto"/>
            <w:tcBorders>
              <w:top w:val="nil"/>
              <w:left w:val="nil"/>
              <w:bottom w:val="nil"/>
              <w:right w:val="nil"/>
            </w:tcBorders>
            <w:shd w:val="clear" w:color="000000" w:fill="BFBFBF"/>
            <w:noWrap/>
            <w:vAlign w:val="center"/>
            <w:hideMark/>
          </w:tcPr>
          <w:p w14:paraId="5FB5797A"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Psychosocial disability</w:t>
            </w:r>
          </w:p>
        </w:tc>
        <w:tc>
          <w:tcPr>
            <w:tcW w:w="0" w:type="auto"/>
            <w:tcBorders>
              <w:top w:val="nil"/>
              <w:left w:val="nil"/>
              <w:bottom w:val="nil"/>
              <w:right w:val="nil"/>
            </w:tcBorders>
            <w:shd w:val="clear" w:color="000000" w:fill="BFBFBF"/>
            <w:noWrap/>
            <w:vAlign w:val="center"/>
            <w:hideMark/>
          </w:tcPr>
          <w:p w14:paraId="5002356E"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10.42%</w:t>
            </w:r>
          </w:p>
        </w:tc>
        <w:tc>
          <w:tcPr>
            <w:tcW w:w="0" w:type="auto"/>
            <w:tcBorders>
              <w:top w:val="nil"/>
              <w:left w:val="nil"/>
              <w:bottom w:val="nil"/>
              <w:right w:val="nil"/>
            </w:tcBorders>
            <w:shd w:val="clear" w:color="000000" w:fill="BFBFBF"/>
            <w:noWrap/>
            <w:vAlign w:val="center"/>
            <w:hideMark/>
          </w:tcPr>
          <w:p w14:paraId="7FC89D51"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0.11%</w:t>
            </w:r>
          </w:p>
        </w:tc>
        <w:tc>
          <w:tcPr>
            <w:tcW w:w="0" w:type="auto"/>
            <w:tcBorders>
              <w:top w:val="nil"/>
              <w:left w:val="nil"/>
              <w:bottom w:val="nil"/>
              <w:right w:val="nil"/>
            </w:tcBorders>
            <w:shd w:val="clear" w:color="000000" w:fill="BFBFBF"/>
            <w:noWrap/>
            <w:vAlign w:val="center"/>
            <w:hideMark/>
          </w:tcPr>
          <w:p w14:paraId="4E481CE5"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0.12%</w:t>
            </w:r>
          </w:p>
        </w:tc>
      </w:tr>
      <w:tr w:rsidR="001811C7" w:rsidRPr="00F53AA3" w14:paraId="4227D670" w14:textId="77777777" w:rsidTr="00DA3F73">
        <w:trPr>
          <w:trHeight w:val="283"/>
        </w:trPr>
        <w:tc>
          <w:tcPr>
            <w:tcW w:w="0" w:type="auto"/>
            <w:tcBorders>
              <w:top w:val="nil"/>
              <w:left w:val="nil"/>
              <w:bottom w:val="nil"/>
              <w:right w:val="nil"/>
            </w:tcBorders>
            <w:shd w:val="clear" w:color="auto" w:fill="auto"/>
            <w:noWrap/>
            <w:vAlign w:val="center"/>
            <w:hideMark/>
          </w:tcPr>
          <w:p w14:paraId="10D1771E"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Spinal Cord Injury</w:t>
            </w:r>
          </w:p>
        </w:tc>
        <w:tc>
          <w:tcPr>
            <w:tcW w:w="0" w:type="auto"/>
            <w:tcBorders>
              <w:top w:val="nil"/>
              <w:left w:val="nil"/>
              <w:bottom w:val="nil"/>
              <w:right w:val="nil"/>
            </w:tcBorders>
            <w:shd w:val="clear" w:color="auto" w:fill="auto"/>
            <w:noWrap/>
            <w:vAlign w:val="center"/>
            <w:hideMark/>
          </w:tcPr>
          <w:p w14:paraId="4ED3820E"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1.09%</w:t>
            </w:r>
          </w:p>
        </w:tc>
        <w:tc>
          <w:tcPr>
            <w:tcW w:w="0" w:type="auto"/>
            <w:tcBorders>
              <w:top w:val="nil"/>
              <w:left w:val="nil"/>
              <w:bottom w:val="nil"/>
              <w:right w:val="nil"/>
            </w:tcBorders>
            <w:shd w:val="clear" w:color="auto" w:fill="auto"/>
            <w:noWrap/>
            <w:vAlign w:val="center"/>
            <w:hideMark/>
          </w:tcPr>
          <w:p w14:paraId="233129DB"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0.02%</w:t>
            </w:r>
          </w:p>
        </w:tc>
        <w:tc>
          <w:tcPr>
            <w:tcW w:w="0" w:type="auto"/>
            <w:tcBorders>
              <w:top w:val="nil"/>
              <w:left w:val="nil"/>
              <w:bottom w:val="nil"/>
              <w:right w:val="nil"/>
            </w:tcBorders>
            <w:shd w:val="clear" w:color="auto" w:fill="auto"/>
            <w:noWrap/>
            <w:vAlign w:val="center"/>
            <w:hideMark/>
          </w:tcPr>
          <w:p w14:paraId="301F7713"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0.02%</w:t>
            </w:r>
          </w:p>
        </w:tc>
      </w:tr>
      <w:tr w:rsidR="001811C7" w:rsidRPr="00F53AA3" w14:paraId="4FD34E00" w14:textId="77777777" w:rsidTr="00DA3F73">
        <w:trPr>
          <w:trHeight w:val="283"/>
        </w:trPr>
        <w:tc>
          <w:tcPr>
            <w:tcW w:w="0" w:type="auto"/>
            <w:tcBorders>
              <w:top w:val="nil"/>
              <w:left w:val="nil"/>
              <w:bottom w:val="nil"/>
              <w:right w:val="nil"/>
            </w:tcBorders>
            <w:shd w:val="clear" w:color="000000" w:fill="BFBFBF"/>
            <w:noWrap/>
            <w:vAlign w:val="center"/>
            <w:hideMark/>
          </w:tcPr>
          <w:p w14:paraId="0D5A6BEB"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Stroke</w:t>
            </w:r>
          </w:p>
        </w:tc>
        <w:tc>
          <w:tcPr>
            <w:tcW w:w="0" w:type="auto"/>
            <w:tcBorders>
              <w:top w:val="nil"/>
              <w:left w:val="nil"/>
              <w:bottom w:val="nil"/>
              <w:right w:val="nil"/>
            </w:tcBorders>
            <w:shd w:val="clear" w:color="000000" w:fill="BFBFBF"/>
            <w:noWrap/>
            <w:vAlign w:val="center"/>
            <w:hideMark/>
          </w:tcPr>
          <w:p w14:paraId="60EAD90E"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1.51%</w:t>
            </w:r>
          </w:p>
        </w:tc>
        <w:tc>
          <w:tcPr>
            <w:tcW w:w="0" w:type="auto"/>
            <w:tcBorders>
              <w:top w:val="nil"/>
              <w:left w:val="nil"/>
              <w:bottom w:val="nil"/>
              <w:right w:val="nil"/>
            </w:tcBorders>
            <w:shd w:val="clear" w:color="000000" w:fill="BFBFBF"/>
            <w:noWrap/>
            <w:vAlign w:val="center"/>
            <w:hideMark/>
          </w:tcPr>
          <w:p w14:paraId="2C95E141"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0.04%</w:t>
            </w:r>
          </w:p>
        </w:tc>
        <w:tc>
          <w:tcPr>
            <w:tcW w:w="0" w:type="auto"/>
            <w:tcBorders>
              <w:top w:val="nil"/>
              <w:left w:val="nil"/>
              <w:bottom w:val="nil"/>
              <w:right w:val="nil"/>
            </w:tcBorders>
            <w:shd w:val="clear" w:color="000000" w:fill="BFBFBF"/>
            <w:noWrap/>
            <w:vAlign w:val="center"/>
            <w:hideMark/>
          </w:tcPr>
          <w:p w14:paraId="0CEF3510"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0.04%</w:t>
            </w:r>
          </w:p>
        </w:tc>
      </w:tr>
      <w:tr w:rsidR="001811C7" w:rsidRPr="00F53AA3" w14:paraId="2F6470C0" w14:textId="77777777" w:rsidTr="00DA3F73">
        <w:trPr>
          <w:trHeight w:val="283"/>
        </w:trPr>
        <w:tc>
          <w:tcPr>
            <w:tcW w:w="0" w:type="auto"/>
            <w:tcBorders>
              <w:top w:val="nil"/>
              <w:left w:val="nil"/>
              <w:bottom w:val="nil"/>
              <w:right w:val="nil"/>
            </w:tcBorders>
            <w:shd w:val="clear" w:color="auto" w:fill="auto"/>
            <w:noWrap/>
            <w:vAlign w:val="center"/>
            <w:hideMark/>
          </w:tcPr>
          <w:p w14:paraId="78642FC3"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Visual Impairment</w:t>
            </w:r>
          </w:p>
        </w:tc>
        <w:tc>
          <w:tcPr>
            <w:tcW w:w="0" w:type="auto"/>
            <w:tcBorders>
              <w:top w:val="nil"/>
              <w:left w:val="nil"/>
              <w:bottom w:val="nil"/>
              <w:right w:val="nil"/>
            </w:tcBorders>
            <w:shd w:val="clear" w:color="auto" w:fill="auto"/>
            <w:noWrap/>
            <w:vAlign w:val="center"/>
            <w:hideMark/>
          </w:tcPr>
          <w:p w14:paraId="36893CE8"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1.91%</w:t>
            </w:r>
          </w:p>
        </w:tc>
        <w:tc>
          <w:tcPr>
            <w:tcW w:w="0" w:type="auto"/>
            <w:tcBorders>
              <w:top w:val="nil"/>
              <w:left w:val="nil"/>
              <w:bottom w:val="nil"/>
              <w:right w:val="nil"/>
            </w:tcBorders>
            <w:shd w:val="clear" w:color="auto" w:fill="auto"/>
            <w:noWrap/>
            <w:vAlign w:val="center"/>
            <w:hideMark/>
          </w:tcPr>
          <w:p w14:paraId="49F26DDE"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0.02%</w:t>
            </w:r>
          </w:p>
        </w:tc>
        <w:tc>
          <w:tcPr>
            <w:tcW w:w="0" w:type="auto"/>
            <w:tcBorders>
              <w:top w:val="nil"/>
              <w:left w:val="nil"/>
              <w:bottom w:val="nil"/>
              <w:right w:val="nil"/>
            </w:tcBorders>
            <w:shd w:val="clear" w:color="auto" w:fill="auto"/>
            <w:noWrap/>
            <w:vAlign w:val="center"/>
            <w:hideMark/>
          </w:tcPr>
          <w:p w14:paraId="746DB277"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0.02%</w:t>
            </w:r>
          </w:p>
        </w:tc>
      </w:tr>
      <w:tr w:rsidR="001811C7" w:rsidRPr="00F53AA3" w14:paraId="6FC31078" w14:textId="77777777" w:rsidTr="00DA3F73">
        <w:trPr>
          <w:trHeight w:val="283"/>
        </w:trPr>
        <w:tc>
          <w:tcPr>
            <w:tcW w:w="0" w:type="auto"/>
            <w:tcBorders>
              <w:top w:val="nil"/>
              <w:left w:val="nil"/>
              <w:bottom w:val="nil"/>
              <w:right w:val="nil"/>
            </w:tcBorders>
            <w:shd w:val="clear" w:color="000000" w:fill="BFBFBF"/>
            <w:noWrap/>
            <w:vAlign w:val="center"/>
            <w:hideMark/>
          </w:tcPr>
          <w:p w14:paraId="3B46306B"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Other Neurological</w:t>
            </w:r>
          </w:p>
        </w:tc>
        <w:tc>
          <w:tcPr>
            <w:tcW w:w="0" w:type="auto"/>
            <w:tcBorders>
              <w:top w:val="nil"/>
              <w:left w:val="nil"/>
              <w:bottom w:val="nil"/>
              <w:right w:val="nil"/>
            </w:tcBorders>
            <w:shd w:val="clear" w:color="000000" w:fill="BFBFBF"/>
            <w:noWrap/>
            <w:vAlign w:val="center"/>
            <w:hideMark/>
          </w:tcPr>
          <w:p w14:paraId="0EBC5B55"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4.15%</w:t>
            </w:r>
          </w:p>
        </w:tc>
        <w:tc>
          <w:tcPr>
            <w:tcW w:w="0" w:type="auto"/>
            <w:tcBorders>
              <w:top w:val="nil"/>
              <w:left w:val="nil"/>
              <w:bottom w:val="nil"/>
              <w:right w:val="nil"/>
            </w:tcBorders>
            <w:shd w:val="clear" w:color="000000" w:fill="BFBFBF"/>
            <w:noWrap/>
            <w:vAlign w:val="center"/>
            <w:hideMark/>
          </w:tcPr>
          <w:p w14:paraId="6B0872EA"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0.22%</w:t>
            </w:r>
          </w:p>
        </w:tc>
        <w:tc>
          <w:tcPr>
            <w:tcW w:w="0" w:type="auto"/>
            <w:tcBorders>
              <w:top w:val="nil"/>
              <w:left w:val="nil"/>
              <w:bottom w:val="nil"/>
              <w:right w:val="nil"/>
            </w:tcBorders>
            <w:shd w:val="clear" w:color="000000" w:fill="BFBFBF"/>
            <w:noWrap/>
            <w:vAlign w:val="center"/>
            <w:hideMark/>
          </w:tcPr>
          <w:p w14:paraId="3E2D6D33"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0.21%</w:t>
            </w:r>
          </w:p>
        </w:tc>
      </w:tr>
      <w:tr w:rsidR="001811C7" w:rsidRPr="00F53AA3" w14:paraId="5BDE340A" w14:textId="77777777" w:rsidTr="00DA3F73">
        <w:trPr>
          <w:trHeight w:val="283"/>
        </w:trPr>
        <w:tc>
          <w:tcPr>
            <w:tcW w:w="0" w:type="auto"/>
            <w:tcBorders>
              <w:top w:val="nil"/>
              <w:left w:val="nil"/>
              <w:bottom w:val="nil"/>
              <w:right w:val="nil"/>
            </w:tcBorders>
            <w:shd w:val="clear" w:color="auto" w:fill="auto"/>
            <w:noWrap/>
            <w:vAlign w:val="center"/>
            <w:hideMark/>
          </w:tcPr>
          <w:p w14:paraId="295BCEB8"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Other Physical</w:t>
            </w:r>
          </w:p>
        </w:tc>
        <w:tc>
          <w:tcPr>
            <w:tcW w:w="0" w:type="auto"/>
            <w:tcBorders>
              <w:top w:val="nil"/>
              <w:left w:val="nil"/>
              <w:bottom w:val="nil"/>
              <w:right w:val="nil"/>
            </w:tcBorders>
            <w:shd w:val="clear" w:color="auto" w:fill="auto"/>
            <w:noWrap/>
            <w:vAlign w:val="center"/>
            <w:hideMark/>
          </w:tcPr>
          <w:p w14:paraId="42163DE3"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3.90%</w:t>
            </w:r>
          </w:p>
        </w:tc>
        <w:tc>
          <w:tcPr>
            <w:tcW w:w="0" w:type="auto"/>
            <w:tcBorders>
              <w:top w:val="nil"/>
              <w:left w:val="nil"/>
              <w:bottom w:val="nil"/>
              <w:right w:val="nil"/>
            </w:tcBorders>
            <w:shd w:val="clear" w:color="auto" w:fill="auto"/>
            <w:noWrap/>
            <w:vAlign w:val="center"/>
            <w:hideMark/>
          </w:tcPr>
          <w:p w14:paraId="6A510D85"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0.15%</w:t>
            </w:r>
          </w:p>
        </w:tc>
        <w:tc>
          <w:tcPr>
            <w:tcW w:w="0" w:type="auto"/>
            <w:tcBorders>
              <w:top w:val="nil"/>
              <w:left w:val="nil"/>
              <w:bottom w:val="nil"/>
              <w:right w:val="nil"/>
            </w:tcBorders>
            <w:shd w:val="clear" w:color="auto" w:fill="auto"/>
            <w:noWrap/>
            <w:vAlign w:val="center"/>
            <w:hideMark/>
          </w:tcPr>
          <w:p w14:paraId="4280A246"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0.15%</w:t>
            </w:r>
          </w:p>
        </w:tc>
      </w:tr>
      <w:tr w:rsidR="001811C7" w:rsidRPr="00F53AA3" w14:paraId="6B78BD33" w14:textId="77777777" w:rsidTr="00DA3F73">
        <w:trPr>
          <w:trHeight w:val="283"/>
        </w:trPr>
        <w:tc>
          <w:tcPr>
            <w:tcW w:w="0" w:type="auto"/>
            <w:tcBorders>
              <w:top w:val="nil"/>
              <w:left w:val="nil"/>
              <w:bottom w:val="nil"/>
              <w:right w:val="nil"/>
            </w:tcBorders>
            <w:shd w:val="clear" w:color="000000" w:fill="BFBFBF"/>
            <w:noWrap/>
            <w:vAlign w:val="center"/>
            <w:hideMark/>
          </w:tcPr>
          <w:p w14:paraId="767F50F3"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Other Sensory/Speech</w:t>
            </w:r>
          </w:p>
        </w:tc>
        <w:tc>
          <w:tcPr>
            <w:tcW w:w="0" w:type="auto"/>
            <w:tcBorders>
              <w:top w:val="nil"/>
              <w:left w:val="nil"/>
              <w:bottom w:val="nil"/>
              <w:right w:val="nil"/>
            </w:tcBorders>
            <w:shd w:val="clear" w:color="000000" w:fill="BFBFBF"/>
            <w:noWrap/>
            <w:vAlign w:val="center"/>
            <w:hideMark/>
          </w:tcPr>
          <w:p w14:paraId="0D517B02"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0.54%</w:t>
            </w:r>
          </w:p>
        </w:tc>
        <w:tc>
          <w:tcPr>
            <w:tcW w:w="0" w:type="auto"/>
            <w:tcBorders>
              <w:top w:val="nil"/>
              <w:left w:val="nil"/>
              <w:bottom w:val="nil"/>
              <w:right w:val="nil"/>
            </w:tcBorders>
            <w:shd w:val="clear" w:color="000000" w:fill="BFBFBF"/>
            <w:noWrap/>
            <w:vAlign w:val="center"/>
            <w:hideMark/>
          </w:tcPr>
          <w:p w14:paraId="09E8B19B"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0.00%</w:t>
            </w:r>
          </w:p>
        </w:tc>
        <w:tc>
          <w:tcPr>
            <w:tcW w:w="0" w:type="auto"/>
            <w:tcBorders>
              <w:top w:val="nil"/>
              <w:left w:val="nil"/>
              <w:bottom w:val="nil"/>
              <w:right w:val="nil"/>
            </w:tcBorders>
            <w:shd w:val="clear" w:color="000000" w:fill="BFBFBF"/>
            <w:noWrap/>
            <w:vAlign w:val="center"/>
            <w:hideMark/>
          </w:tcPr>
          <w:p w14:paraId="3EF22B6D"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0.00%</w:t>
            </w:r>
          </w:p>
        </w:tc>
      </w:tr>
      <w:tr w:rsidR="001811C7" w:rsidRPr="00F53AA3" w14:paraId="480D3636" w14:textId="77777777" w:rsidTr="00DA3F73">
        <w:trPr>
          <w:trHeight w:val="283"/>
        </w:trPr>
        <w:tc>
          <w:tcPr>
            <w:tcW w:w="0" w:type="auto"/>
            <w:tcBorders>
              <w:top w:val="nil"/>
              <w:left w:val="nil"/>
              <w:bottom w:val="single" w:sz="4" w:space="0" w:color="auto"/>
              <w:right w:val="nil"/>
            </w:tcBorders>
            <w:shd w:val="clear" w:color="auto" w:fill="auto"/>
            <w:noWrap/>
            <w:vAlign w:val="center"/>
            <w:hideMark/>
          </w:tcPr>
          <w:p w14:paraId="11FF4E1C" w14:textId="77777777" w:rsidR="004A5D62" w:rsidRPr="00252EAF" w:rsidRDefault="004A5D62">
            <w:pPr>
              <w:spacing w:after="0" w:line="240" w:lineRule="auto"/>
              <w:rPr>
                <w:rFonts w:eastAsia="Times New Roman" w:cs="Arial"/>
                <w:color w:val="000000"/>
                <w:sz w:val="18"/>
                <w:szCs w:val="18"/>
              </w:rPr>
            </w:pPr>
            <w:r w:rsidRPr="00252EAF">
              <w:rPr>
                <w:rFonts w:eastAsia="Times New Roman" w:cs="Arial"/>
                <w:color w:val="000000"/>
                <w:sz w:val="18"/>
                <w:szCs w:val="18"/>
              </w:rPr>
              <w:t>Other</w:t>
            </w:r>
          </w:p>
        </w:tc>
        <w:tc>
          <w:tcPr>
            <w:tcW w:w="0" w:type="auto"/>
            <w:tcBorders>
              <w:top w:val="nil"/>
              <w:left w:val="nil"/>
              <w:bottom w:val="single" w:sz="4" w:space="0" w:color="auto"/>
              <w:right w:val="nil"/>
            </w:tcBorders>
            <w:shd w:val="clear" w:color="auto" w:fill="auto"/>
            <w:noWrap/>
            <w:vAlign w:val="center"/>
            <w:hideMark/>
          </w:tcPr>
          <w:p w14:paraId="0A642FF6"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0.97%</w:t>
            </w:r>
          </w:p>
        </w:tc>
        <w:tc>
          <w:tcPr>
            <w:tcW w:w="0" w:type="auto"/>
            <w:tcBorders>
              <w:top w:val="nil"/>
              <w:left w:val="nil"/>
              <w:bottom w:val="single" w:sz="4" w:space="0" w:color="auto"/>
              <w:right w:val="nil"/>
            </w:tcBorders>
            <w:shd w:val="clear" w:color="auto" w:fill="auto"/>
            <w:noWrap/>
            <w:vAlign w:val="center"/>
            <w:hideMark/>
          </w:tcPr>
          <w:p w14:paraId="4090B527"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0.02%</w:t>
            </w:r>
          </w:p>
        </w:tc>
        <w:tc>
          <w:tcPr>
            <w:tcW w:w="0" w:type="auto"/>
            <w:tcBorders>
              <w:top w:val="nil"/>
              <w:left w:val="nil"/>
              <w:bottom w:val="single" w:sz="4" w:space="0" w:color="auto"/>
              <w:right w:val="nil"/>
            </w:tcBorders>
            <w:shd w:val="clear" w:color="auto" w:fill="auto"/>
            <w:noWrap/>
            <w:vAlign w:val="center"/>
            <w:hideMark/>
          </w:tcPr>
          <w:p w14:paraId="0A826945" w14:textId="77777777" w:rsidR="004A5D62" w:rsidRPr="00252EAF" w:rsidRDefault="004A5D62">
            <w:pPr>
              <w:spacing w:after="0" w:line="240" w:lineRule="auto"/>
              <w:jc w:val="right"/>
              <w:rPr>
                <w:rFonts w:eastAsia="Times New Roman" w:cs="Arial"/>
                <w:color w:val="000000"/>
                <w:sz w:val="18"/>
                <w:szCs w:val="18"/>
              </w:rPr>
            </w:pPr>
            <w:r w:rsidRPr="00252EAF">
              <w:rPr>
                <w:rFonts w:eastAsia="Times New Roman" w:cs="Arial"/>
                <w:color w:val="000000"/>
                <w:sz w:val="18"/>
                <w:szCs w:val="18"/>
              </w:rPr>
              <w:t>0.03%</w:t>
            </w:r>
          </w:p>
        </w:tc>
      </w:tr>
      <w:tr w:rsidR="001811C7" w:rsidRPr="00F53AA3" w14:paraId="07824F5D" w14:textId="77777777" w:rsidTr="00DA3F73">
        <w:trPr>
          <w:trHeight w:val="283"/>
        </w:trPr>
        <w:tc>
          <w:tcPr>
            <w:tcW w:w="0" w:type="auto"/>
            <w:tcBorders>
              <w:top w:val="single" w:sz="4" w:space="0" w:color="auto"/>
              <w:left w:val="nil"/>
              <w:bottom w:val="single" w:sz="4" w:space="0" w:color="auto"/>
              <w:right w:val="nil"/>
            </w:tcBorders>
            <w:shd w:val="clear" w:color="auto" w:fill="D3C5D7"/>
            <w:noWrap/>
            <w:vAlign w:val="center"/>
            <w:hideMark/>
          </w:tcPr>
          <w:p w14:paraId="3DE58DA9" w14:textId="77777777" w:rsidR="004A5D62" w:rsidRPr="00252EAF" w:rsidRDefault="004A5D62">
            <w:pPr>
              <w:spacing w:after="0" w:line="240" w:lineRule="auto"/>
              <w:rPr>
                <w:rFonts w:eastAsia="Times New Roman" w:cs="Arial"/>
                <w:b/>
                <w:bCs/>
                <w:color w:val="000000"/>
                <w:sz w:val="18"/>
                <w:szCs w:val="18"/>
              </w:rPr>
            </w:pPr>
            <w:r w:rsidRPr="00252EAF">
              <w:rPr>
                <w:rFonts w:eastAsia="Times New Roman" w:cs="Arial"/>
                <w:b/>
                <w:bCs/>
                <w:color w:val="000000"/>
                <w:sz w:val="18"/>
                <w:szCs w:val="18"/>
              </w:rPr>
              <w:t>Total</w:t>
            </w:r>
          </w:p>
        </w:tc>
        <w:tc>
          <w:tcPr>
            <w:tcW w:w="0" w:type="auto"/>
            <w:tcBorders>
              <w:top w:val="single" w:sz="4" w:space="0" w:color="auto"/>
              <w:left w:val="nil"/>
              <w:bottom w:val="single" w:sz="4" w:space="0" w:color="auto"/>
              <w:right w:val="nil"/>
            </w:tcBorders>
            <w:shd w:val="clear" w:color="auto" w:fill="D3C5D7"/>
            <w:noWrap/>
            <w:vAlign w:val="center"/>
            <w:hideMark/>
          </w:tcPr>
          <w:p w14:paraId="2A785048" w14:textId="77777777" w:rsidR="004A5D62" w:rsidRPr="00252EAF" w:rsidRDefault="004A5D62">
            <w:pPr>
              <w:spacing w:after="0" w:line="240" w:lineRule="auto"/>
              <w:jc w:val="right"/>
              <w:rPr>
                <w:rFonts w:eastAsia="Times New Roman" w:cs="Arial"/>
                <w:b/>
                <w:bCs/>
                <w:color w:val="000000"/>
                <w:sz w:val="18"/>
                <w:szCs w:val="18"/>
              </w:rPr>
            </w:pPr>
            <w:r w:rsidRPr="00252EAF">
              <w:rPr>
                <w:rFonts w:eastAsia="Times New Roman" w:cs="Arial"/>
                <w:b/>
                <w:bCs/>
                <w:color w:val="000000"/>
                <w:sz w:val="18"/>
                <w:szCs w:val="18"/>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64ACA35C" w14:textId="77777777" w:rsidR="004A5D62" w:rsidRPr="00252EAF" w:rsidRDefault="004A5D62">
            <w:pPr>
              <w:spacing w:after="0" w:line="240" w:lineRule="auto"/>
              <w:jc w:val="right"/>
              <w:rPr>
                <w:rFonts w:eastAsia="Times New Roman" w:cs="Arial"/>
                <w:b/>
                <w:bCs/>
                <w:color w:val="000000"/>
                <w:sz w:val="18"/>
                <w:szCs w:val="18"/>
              </w:rPr>
            </w:pPr>
            <w:r w:rsidRPr="00252EAF">
              <w:rPr>
                <w:rFonts w:eastAsia="Times New Roman" w:cs="Arial"/>
                <w:b/>
                <w:bCs/>
                <w:color w:val="000000"/>
                <w:sz w:val="18"/>
                <w:szCs w:val="18"/>
              </w:rPr>
              <w:t>0.93%</w:t>
            </w:r>
          </w:p>
        </w:tc>
        <w:tc>
          <w:tcPr>
            <w:tcW w:w="0" w:type="auto"/>
            <w:tcBorders>
              <w:top w:val="single" w:sz="4" w:space="0" w:color="auto"/>
              <w:left w:val="nil"/>
              <w:bottom w:val="single" w:sz="4" w:space="0" w:color="auto"/>
              <w:right w:val="nil"/>
            </w:tcBorders>
            <w:shd w:val="clear" w:color="auto" w:fill="D3C5D7"/>
            <w:noWrap/>
            <w:vAlign w:val="center"/>
            <w:hideMark/>
          </w:tcPr>
          <w:p w14:paraId="4E03EC05" w14:textId="77777777" w:rsidR="004A5D62" w:rsidRPr="00252EAF" w:rsidRDefault="004A5D62">
            <w:pPr>
              <w:spacing w:after="0" w:line="240" w:lineRule="auto"/>
              <w:jc w:val="right"/>
              <w:rPr>
                <w:rFonts w:eastAsia="Times New Roman" w:cs="Arial"/>
                <w:b/>
                <w:bCs/>
                <w:color w:val="000000"/>
                <w:sz w:val="18"/>
                <w:szCs w:val="18"/>
              </w:rPr>
            </w:pPr>
            <w:r w:rsidRPr="00252EAF">
              <w:rPr>
                <w:rFonts w:eastAsia="Times New Roman" w:cs="Arial"/>
                <w:b/>
                <w:bCs/>
                <w:color w:val="000000"/>
                <w:sz w:val="18"/>
                <w:szCs w:val="18"/>
              </w:rPr>
              <w:t>0.93%</w:t>
            </w:r>
          </w:p>
        </w:tc>
      </w:tr>
    </w:tbl>
    <w:p w14:paraId="2D2B6A91" w14:textId="77777777" w:rsidR="004A5D62" w:rsidRDefault="004A5D62" w:rsidP="00DA3F73">
      <w:pPr>
        <w:pStyle w:val="FSRnormal"/>
      </w:pPr>
      <w:r>
        <w:t>Mortality rates var</w:t>
      </w:r>
      <w:r w:rsidR="0014365B">
        <w:t>y</w:t>
      </w:r>
      <w:r>
        <w:t xml:space="preserve"> significantly across disability types, with </w:t>
      </w:r>
      <w:r w:rsidR="001811C7">
        <w:t>o</w:t>
      </w:r>
      <w:r>
        <w:t xml:space="preserve">ther </w:t>
      </w:r>
      <w:r w:rsidR="001811C7">
        <w:t>n</w:t>
      </w:r>
      <w:r>
        <w:t xml:space="preserve">eurological, </w:t>
      </w:r>
      <w:r w:rsidR="001811C7">
        <w:t>o</w:t>
      </w:r>
      <w:r>
        <w:t xml:space="preserve">ther </w:t>
      </w:r>
      <w:r w:rsidR="001811C7">
        <w:t>p</w:t>
      </w:r>
      <w:r>
        <w:t xml:space="preserve">hysical, </w:t>
      </w:r>
      <w:r w:rsidR="001811C7">
        <w:t>o</w:t>
      </w:r>
      <w:r>
        <w:t xml:space="preserve">ther and </w:t>
      </w:r>
      <w:r w:rsidR="001811C7">
        <w:t>s</w:t>
      </w:r>
      <w:r>
        <w:t>t</w:t>
      </w:r>
      <w:r w:rsidR="001811C7">
        <w:t>r</w:t>
      </w:r>
      <w:r>
        <w:t>oke having the highest rates</w:t>
      </w:r>
      <w:r w:rsidR="0014365B">
        <w:t xml:space="preserve"> due to the age profile </w:t>
      </w:r>
      <w:r w:rsidR="001F384E">
        <w:t>and average level of function of these participant cohorts</w:t>
      </w:r>
      <w:r>
        <w:t xml:space="preserve">. </w:t>
      </w:r>
      <w:r w:rsidR="00B560B3">
        <w:t>This</w:t>
      </w:r>
      <w:r w:rsidR="006B2214">
        <w:t xml:space="preserve"> is partly driven by the older age profile of participants in these cohorts</w:t>
      </w:r>
      <w:r w:rsidR="00151BE2">
        <w:t xml:space="preserve"> as well as lower levels of function on average.</w:t>
      </w:r>
    </w:p>
    <w:p w14:paraId="75A416F6" w14:textId="77777777" w:rsidR="004A5D62" w:rsidRDefault="00C57EC7" w:rsidP="00DA3F73">
      <w:pPr>
        <w:pStyle w:val="FSRnormal"/>
      </w:pPr>
      <w:r>
        <w:lastRenderedPageBreak/>
        <w:t>The largest cohorts in terms of numbers of participants are</w:t>
      </w:r>
      <w:r w:rsidR="004A5D62">
        <w:t xml:space="preserve"> </w:t>
      </w:r>
      <w:r w:rsidR="001811C7">
        <w:t>a</w:t>
      </w:r>
      <w:r w:rsidR="004A5D62">
        <w:t xml:space="preserve">utism, </w:t>
      </w:r>
      <w:r w:rsidR="001811C7">
        <w:t>i</w:t>
      </w:r>
      <w:r w:rsidR="004A5D62">
        <w:t xml:space="preserve">ntellectual </w:t>
      </w:r>
      <w:r w:rsidR="001811C7">
        <w:t>d</w:t>
      </w:r>
      <w:r w:rsidR="004A5D62">
        <w:t xml:space="preserve">isability, </w:t>
      </w:r>
      <w:r w:rsidR="001811C7">
        <w:t>ps</w:t>
      </w:r>
      <w:r w:rsidR="004A5D62">
        <w:t xml:space="preserve">ychosocial </w:t>
      </w:r>
      <w:r w:rsidR="001811C7">
        <w:t>d</w:t>
      </w:r>
      <w:r w:rsidR="004A5D62">
        <w:t xml:space="preserve">isability and </w:t>
      </w:r>
      <w:r w:rsidR="001811C7">
        <w:t>d</w:t>
      </w:r>
      <w:r w:rsidR="004A5D62">
        <w:t xml:space="preserve">evelopmental </w:t>
      </w:r>
      <w:r w:rsidR="001811C7">
        <w:t>d</w:t>
      </w:r>
      <w:r w:rsidR="004A5D62">
        <w:t xml:space="preserve">elay </w:t>
      </w:r>
      <w:r w:rsidR="00CF279F">
        <w:t xml:space="preserve">and each of these groups have lower mortality than </w:t>
      </w:r>
      <w:r w:rsidR="005B2C28">
        <w:t>the Scheme</w:t>
      </w:r>
      <w:r w:rsidR="00CF279F">
        <w:t xml:space="preserve"> average</w:t>
      </w:r>
      <w:r w:rsidR="005B2C28">
        <w:t xml:space="preserve"> except for psychosocial disability</w:t>
      </w:r>
      <w:r w:rsidR="004A5D62">
        <w:t>.</w:t>
      </w:r>
    </w:p>
    <w:p w14:paraId="3311D6DA" w14:textId="77777777" w:rsidR="004A5D62" w:rsidRDefault="004A5D62" w:rsidP="00DA3F73">
      <w:pPr>
        <w:pStyle w:val="FSRnormal"/>
      </w:pPr>
      <w:r>
        <w:t>T</w:t>
      </w:r>
      <w:r w:rsidR="003F3DA5">
        <w:t>he contribut</w:t>
      </w:r>
      <w:r w:rsidR="00785459">
        <w:t>i</w:t>
      </w:r>
      <w:r w:rsidR="003F3DA5">
        <w:t xml:space="preserve">on to </w:t>
      </w:r>
      <w:r w:rsidR="00785459">
        <w:t>Scheme</w:t>
      </w:r>
      <w:r w:rsidR="003F3DA5">
        <w:t xml:space="preserve"> mortality </w:t>
      </w:r>
      <w:r w:rsidR="00785459">
        <w:t>takes</w:t>
      </w:r>
      <w:r>
        <w:t xml:space="preserve"> both </w:t>
      </w:r>
      <w:r w:rsidR="003E3A92">
        <w:t xml:space="preserve">the </w:t>
      </w:r>
      <w:r w:rsidR="004B0C26">
        <w:t>average</w:t>
      </w:r>
      <w:r>
        <w:t xml:space="preserve"> rates </w:t>
      </w:r>
      <w:r w:rsidR="004B0C26">
        <w:t xml:space="preserve">of mortality </w:t>
      </w:r>
      <w:r>
        <w:t xml:space="preserve">and participant </w:t>
      </w:r>
      <w:r w:rsidR="004B0C26">
        <w:t>mix</w:t>
      </w:r>
      <w:r w:rsidR="00785459">
        <w:t xml:space="preserve"> into account. T</w:t>
      </w:r>
      <w:r>
        <w:t xml:space="preserve">he largest </w:t>
      </w:r>
      <w:r w:rsidR="0030138A">
        <w:t xml:space="preserve">expected </w:t>
      </w:r>
      <w:r>
        <w:t xml:space="preserve">impact </w:t>
      </w:r>
      <w:r w:rsidR="0030138A">
        <w:t>(number of participant deaths) is for participants with a primary disability of o</w:t>
      </w:r>
      <w:r>
        <w:t xml:space="preserve">ther </w:t>
      </w:r>
      <w:r w:rsidR="0030138A">
        <w:t>n</w:t>
      </w:r>
      <w:r>
        <w:t xml:space="preserve">eurological, </w:t>
      </w:r>
      <w:r w:rsidR="0030138A">
        <w:t>o</w:t>
      </w:r>
      <w:r>
        <w:t xml:space="preserve">ther </w:t>
      </w:r>
      <w:r w:rsidR="0030138A">
        <w:t>p</w:t>
      </w:r>
      <w:r>
        <w:t xml:space="preserve">hysical, </w:t>
      </w:r>
      <w:r w:rsidR="0030138A">
        <w:t>i</w:t>
      </w:r>
      <w:r>
        <w:t xml:space="preserve">ntellectual </w:t>
      </w:r>
      <w:r w:rsidR="0030138A">
        <w:t>d</w:t>
      </w:r>
      <w:r>
        <w:t xml:space="preserve">isability, </w:t>
      </w:r>
      <w:r w:rsidR="0030138A">
        <w:t>p</w:t>
      </w:r>
      <w:r>
        <w:t xml:space="preserve">sychosocial </w:t>
      </w:r>
      <w:r w:rsidR="0030138A">
        <w:t>d</w:t>
      </w:r>
      <w:r>
        <w:t xml:space="preserve">isability and </w:t>
      </w:r>
      <w:r w:rsidR="0030138A">
        <w:t>a</w:t>
      </w:r>
      <w:r>
        <w:t xml:space="preserve">cquired </w:t>
      </w:r>
      <w:r w:rsidR="0030138A">
        <w:t>b</w:t>
      </w:r>
      <w:r>
        <w:t xml:space="preserve">rain </w:t>
      </w:r>
      <w:r w:rsidR="0030138A">
        <w:t>i</w:t>
      </w:r>
      <w:r>
        <w:t>njury.</w:t>
      </w:r>
    </w:p>
    <w:p w14:paraId="4E6C29DC" w14:textId="77777777" w:rsidR="004A5D62" w:rsidRDefault="004A5D62" w:rsidP="00DA3F73">
      <w:pPr>
        <w:pStyle w:val="FSRHeading6"/>
      </w:pPr>
      <w:r w:rsidRPr="00DA3F73">
        <w:t>By gender</w:t>
      </w:r>
    </w:p>
    <w:p w14:paraId="268EAD66" w14:textId="77777777" w:rsidR="004A5D62" w:rsidRDefault="004A5D62" w:rsidP="00DA3F73">
      <w:pPr>
        <w:pStyle w:val="Tables"/>
      </w:pPr>
      <w:r>
        <w:t>Table</w:t>
      </w:r>
      <w:r w:rsidR="00451D06">
        <w:t xml:space="preserve"> J</w:t>
      </w:r>
      <w:r w:rsidR="00994C5F">
        <w:t>.</w:t>
      </w:r>
      <w:fldSimple w:instr=" SEQ Table \* ARABIC \s 2 ">
        <w:r w:rsidR="00FC79AE">
          <w:rPr>
            <w:noProof/>
          </w:rPr>
          <w:t>11</w:t>
        </w:r>
      </w:fldSimple>
      <w:r w:rsidR="00451D06">
        <w:t>:</w:t>
      </w:r>
      <w:r>
        <w:t xml:space="preserve"> </w:t>
      </w:r>
      <w:r w:rsidR="007A7E7B">
        <w:t>Actual and expected</w:t>
      </w:r>
      <w:r w:rsidR="007A7E7B" w:rsidRPr="000A6F27">
        <w:t xml:space="preserve"> </w:t>
      </w:r>
      <w:r w:rsidRPr="000A6F27">
        <w:t>mortality rates by gender</w:t>
      </w:r>
    </w:p>
    <w:tbl>
      <w:tblPr>
        <w:tblW w:w="9026" w:type="dxa"/>
        <w:tblLook w:val="04A0" w:firstRow="1" w:lastRow="0" w:firstColumn="1" w:lastColumn="0" w:noHBand="0" w:noVBand="1"/>
      </w:tblPr>
      <w:tblGrid>
        <w:gridCol w:w="917"/>
        <w:gridCol w:w="2016"/>
        <w:gridCol w:w="953"/>
        <w:gridCol w:w="1068"/>
        <w:gridCol w:w="1319"/>
        <w:gridCol w:w="1030"/>
        <w:gridCol w:w="1723"/>
      </w:tblGrid>
      <w:tr w:rsidR="004A5D62" w:rsidRPr="00451D06" w14:paraId="4BB6CFC6" w14:textId="77777777" w:rsidTr="007768B5">
        <w:trPr>
          <w:trHeight w:val="422"/>
          <w:tblHeader/>
        </w:trPr>
        <w:tc>
          <w:tcPr>
            <w:tcW w:w="0" w:type="auto"/>
            <w:tcBorders>
              <w:top w:val="nil"/>
              <w:left w:val="nil"/>
              <w:bottom w:val="nil"/>
              <w:right w:val="nil"/>
            </w:tcBorders>
            <w:shd w:val="clear" w:color="auto" w:fill="6B2976"/>
            <w:noWrap/>
            <w:vAlign w:val="center"/>
            <w:hideMark/>
          </w:tcPr>
          <w:p w14:paraId="4A9ED8AD" w14:textId="77777777" w:rsidR="004A5D62" w:rsidRPr="00DA3F73" w:rsidRDefault="004A5D62" w:rsidP="00DA3F73">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6B2976"/>
            <w:noWrap/>
            <w:vAlign w:val="center"/>
            <w:hideMark/>
          </w:tcPr>
          <w:p w14:paraId="4AEB4EA5" w14:textId="77777777" w:rsidR="004A5D62" w:rsidRPr="00451D06" w:rsidRDefault="004A5D62" w:rsidP="00DA3F73">
            <w:pPr>
              <w:spacing w:after="0" w:line="240" w:lineRule="auto"/>
              <w:jc w:val="center"/>
              <w:rPr>
                <w:rFonts w:ascii="Times New Roman" w:eastAsia="Times New Roman" w:hAnsi="Times New Roman" w:cs="Times New Roman"/>
                <w:sz w:val="20"/>
                <w:szCs w:val="20"/>
              </w:rPr>
            </w:pPr>
          </w:p>
        </w:tc>
        <w:tc>
          <w:tcPr>
            <w:tcW w:w="0" w:type="auto"/>
            <w:gridSpan w:val="5"/>
            <w:tcBorders>
              <w:top w:val="nil"/>
              <w:left w:val="nil"/>
              <w:bottom w:val="single" w:sz="4" w:space="0" w:color="FFFFFF" w:themeColor="background1"/>
              <w:right w:val="nil"/>
            </w:tcBorders>
            <w:shd w:val="clear" w:color="000000" w:fill="6B2976"/>
            <w:noWrap/>
            <w:vAlign w:val="center"/>
            <w:hideMark/>
          </w:tcPr>
          <w:p w14:paraId="4034FC10" w14:textId="77777777" w:rsidR="004A5D62" w:rsidRPr="00DA3F73" w:rsidRDefault="004A5D62">
            <w:pPr>
              <w:spacing w:after="0" w:line="240" w:lineRule="auto"/>
              <w:jc w:val="center"/>
              <w:rPr>
                <w:rFonts w:eastAsia="Times New Roman" w:cs="Arial"/>
                <w:b/>
                <w:bCs/>
                <w:color w:val="FFFFFF"/>
                <w:sz w:val="20"/>
                <w:szCs w:val="20"/>
              </w:rPr>
            </w:pPr>
            <w:r w:rsidRPr="00DA3F73">
              <w:rPr>
                <w:rFonts w:eastAsia="Times New Roman" w:cs="Arial"/>
                <w:b/>
                <w:bCs/>
                <w:color w:val="FFFFFF"/>
                <w:sz w:val="20"/>
                <w:szCs w:val="20"/>
              </w:rPr>
              <w:t>Mortality Rates</w:t>
            </w:r>
          </w:p>
        </w:tc>
      </w:tr>
      <w:tr w:rsidR="007768B5" w:rsidRPr="00451D06" w14:paraId="09DA1F56" w14:textId="77777777" w:rsidTr="00C210E3">
        <w:trPr>
          <w:trHeight w:val="639"/>
          <w:tblHeader/>
        </w:trPr>
        <w:tc>
          <w:tcPr>
            <w:tcW w:w="0" w:type="auto"/>
            <w:tcBorders>
              <w:top w:val="nil"/>
              <w:left w:val="nil"/>
              <w:bottom w:val="nil"/>
              <w:right w:val="nil"/>
            </w:tcBorders>
            <w:shd w:val="clear" w:color="000000" w:fill="6B2976"/>
            <w:vAlign w:val="center"/>
            <w:hideMark/>
          </w:tcPr>
          <w:p w14:paraId="3F4DB03A" w14:textId="77777777" w:rsidR="007768B5" w:rsidRPr="00DA3F73" w:rsidRDefault="007768B5" w:rsidP="007768B5">
            <w:pPr>
              <w:spacing w:after="0" w:line="240" w:lineRule="auto"/>
              <w:rPr>
                <w:rFonts w:eastAsia="Times New Roman" w:cs="Arial"/>
                <w:b/>
                <w:bCs/>
                <w:color w:val="FFFFFF"/>
                <w:sz w:val="20"/>
                <w:szCs w:val="20"/>
              </w:rPr>
            </w:pPr>
            <w:r w:rsidRPr="00DA3F73">
              <w:rPr>
                <w:rFonts w:eastAsia="Times New Roman" w:cs="Arial"/>
                <w:b/>
                <w:bCs/>
                <w:color w:val="FFFFFF"/>
                <w:sz w:val="20"/>
                <w:szCs w:val="20"/>
              </w:rPr>
              <w:t>Gender</w:t>
            </w:r>
          </w:p>
        </w:tc>
        <w:tc>
          <w:tcPr>
            <w:tcW w:w="0" w:type="auto"/>
            <w:tcBorders>
              <w:top w:val="nil"/>
              <w:left w:val="nil"/>
              <w:bottom w:val="nil"/>
              <w:right w:val="nil"/>
            </w:tcBorders>
            <w:shd w:val="clear" w:color="000000" w:fill="6B2976"/>
            <w:vAlign w:val="center"/>
            <w:hideMark/>
          </w:tcPr>
          <w:p w14:paraId="226E7DFC" w14:textId="77777777" w:rsidR="007768B5" w:rsidRPr="00DA3F73" w:rsidRDefault="007768B5" w:rsidP="007768B5">
            <w:pPr>
              <w:spacing w:after="0" w:line="240" w:lineRule="auto"/>
              <w:jc w:val="right"/>
              <w:rPr>
                <w:rFonts w:eastAsia="Times New Roman" w:cs="Arial"/>
                <w:b/>
                <w:bCs/>
                <w:color w:val="FFFFFF"/>
                <w:sz w:val="20"/>
                <w:szCs w:val="20"/>
              </w:rPr>
            </w:pPr>
            <w:r w:rsidRPr="00DA3F73">
              <w:rPr>
                <w:rFonts w:eastAsia="Times New Roman" w:cs="Arial"/>
                <w:b/>
                <w:bCs/>
                <w:color w:val="FFFFFF"/>
                <w:sz w:val="18"/>
                <w:szCs w:val="18"/>
              </w:rPr>
              <w:t>Exposure</w:t>
            </w:r>
            <w:r>
              <w:rPr>
                <w:rFonts w:eastAsia="Times New Roman" w:cs="Arial"/>
                <w:b/>
                <w:bCs/>
                <w:color w:val="FFFFFF"/>
                <w:sz w:val="18"/>
                <w:szCs w:val="18"/>
              </w:rPr>
              <w:t xml:space="preserve"> (participant years)</w:t>
            </w:r>
          </w:p>
        </w:tc>
        <w:tc>
          <w:tcPr>
            <w:tcW w:w="953" w:type="dxa"/>
            <w:tcBorders>
              <w:top w:val="single" w:sz="4" w:space="0" w:color="FFFFFF" w:themeColor="background1"/>
              <w:left w:val="nil"/>
              <w:bottom w:val="nil"/>
              <w:right w:val="nil"/>
            </w:tcBorders>
            <w:shd w:val="clear" w:color="000000" w:fill="6B2976"/>
            <w:vAlign w:val="center"/>
            <w:hideMark/>
          </w:tcPr>
          <w:p w14:paraId="03E3E905" w14:textId="77777777" w:rsidR="007768B5" w:rsidRPr="00252EAF" w:rsidRDefault="00C210E3" w:rsidP="007768B5">
            <w:pPr>
              <w:spacing w:after="0" w:line="240" w:lineRule="auto"/>
              <w:jc w:val="right"/>
              <w:rPr>
                <w:rFonts w:eastAsia="Times New Roman" w:cs="Arial"/>
                <w:b/>
                <w:bCs/>
                <w:color w:val="FFFFFF"/>
                <w:sz w:val="18"/>
                <w:szCs w:val="18"/>
              </w:rPr>
            </w:pPr>
            <w:r w:rsidRPr="00252EAF">
              <w:rPr>
                <w:rFonts w:eastAsia="Times New Roman" w:cs="Arial"/>
                <w:b/>
                <w:bCs/>
                <w:color w:val="FFFFFF"/>
                <w:sz w:val="18"/>
                <w:szCs w:val="18"/>
              </w:rPr>
              <w:t>Actual</w:t>
            </w:r>
          </w:p>
        </w:tc>
        <w:tc>
          <w:tcPr>
            <w:tcW w:w="1068" w:type="dxa"/>
            <w:tcBorders>
              <w:top w:val="single" w:sz="4" w:space="0" w:color="FFFFFF" w:themeColor="background1"/>
              <w:left w:val="nil"/>
              <w:bottom w:val="nil"/>
              <w:right w:val="nil"/>
            </w:tcBorders>
            <w:shd w:val="clear" w:color="000000" w:fill="6B2976"/>
            <w:vAlign w:val="center"/>
            <w:hideMark/>
          </w:tcPr>
          <w:p w14:paraId="596F0855" w14:textId="77777777" w:rsidR="007768B5" w:rsidRPr="00DA3F73" w:rsidRDefault="007768B5" w:rsidP="007768B5">
            <w:pPr>
              <w:spacing w:after="0" w:line="240" w:lineRule="auto"/>
              <w:jc w:val="right"/>
              <w:rPr>
                <w:rFonts w:eastAsia="Times New Roman" w:cs="Arial"/>
                <w:b/>
                <w:bCs/>
                <w:color w:val="FFFFFF"/>
                <w:sz w:val="20"/>
                <w:szCs w:val="20"/>
              </w:rPr>
            </w:pPr>
            <w:r>
              <w:rPr>
                <w:rFonts w:eastAsia="Times New Roman" w:cs="Arial"/>
                <w:b/>
                <w:bCs/>
                <w:color w:val="FFFFFF"/>
                <w:sz w:val="18"/>
                <w:szCs w:val="18"/>
              </w:rPr>
              <w:t>2020-21 AFSR Expected</w:t>
            </w:r>
          </w:p>
        </w:tc>
        <w:tc>
          <w:tcPr>
            <w:tcW w:w="0" w:type="auto"/>
            <w:tcBorders>
              <w:top w:val="single" w:sz="4" w:space="0" w:color="FFFFFF" w:themeColor="background1"/>
              <w:left w:val="nil"/>
              <w:bottom w:val="nil"/>
              <w:right w:val="nil"/>
            </w:tcBorders>
            <w:shd w:val="clear" w:color="000000" w:fill="6B2976"/>
            <w:vAlign w:val="center"/>
            <w:hideMark/>
          </w:tcPr>
          <w:p w14:paraId="139F8278" w14:textId="77777777" w:rsidR="007768B5" w:rsidRPr="00DA3F73" w:rsidRDefault="007768B5" w:rsidP="007768B5">
            <w:pPr>
              <w:spacing w:after="0" w:line="240" w:lineRule="auto"/>
              <w:jc w:val="right"/>
              <w:rPr>
                <w:rFonts w:eastAsia="Times New Roman" w:cs="Arial"/>
                <w:b/>
                <w:bCs/>
                <w:color w:val="FFFFFF"/>
                <w:sz w:val="20"/>
                <w:szCs w:val="20"/>
              </w:rPr>
            </w:pPr>
            <w:r>
              <w:rPr>
                <w:rFonts w:eastAsia="Times New Roman" w:cs="Arial"/>
                <w:b/>
                <w:bCs/>
                <w:color w:val="FFFFFF"/>
                <w:sz w:val="18"/>
                <w:szCs w:val="18"/>
              </w:rPr>
              <w:t>Selected (Initial)</w:t>
            </w:r>
          </w:p>
        </w:tc>
        <w:tc>
          <w:tcPr>
            <w:tcW w:w="0" w:type="auto"/>
            <w:tcBorders>
              <w:top w:val="single" w:sz="4" w:space="0" w:color="FFFFFF" w:themeColor="background1"/>
              <w:left w:val="nil"/>
              <w:bottom w:val="nil"/>
              <w:right w:val="nil"/>
            </w:tcBorders>
            <w:shd w:val="clear" w:color="000000" w:fill="6B2976"/>
            <w:vAlign w:val="center"/>
            <w:hideMark/>
          </w:tcPr>
          <w:p w14:paraId="695CE40C" w14:textId="77777777" w:rsidR="007768B5" w:rsidRPr="00DA3F73" w:rsidRDefault="007768B5" w:rsidP="007768B5">
            <w:pPr>
              <w:spacing w:after="0" w:line="240" w:lineRule="auto"/>
              <w:jc w:val="right"/>
              <w:rPr>
                <w:rFonts w:eastAsia="Times New Roman" w:cs="Arial"/>
                <w:b/>
                <w:bCs/>
                <w:color w:val="FFFFFF"/>
                <w:sz w:val="20"/>
                <w:szCs w:val="20"/>
              </w:rPr>
            </w:pPr>
            <w:r>
              <w:rPr>
                <w:rFonts w:eastAsia="Times New Roman" w:cs="Arial"/>
                <w:b/>
                <w:bCs/>
                <w:color w:val="FFFFFF"/>
                <w:sz w:val="18"/>
                <w:szCs w:val="18"/>
              </w:rPr>
              <w:t>Select</w:t>
            </w:r>
            <w:r w:rsidRPr="00DA3F73">
              <w:rPr>
                <w:rFonts w:eastAsia="Times New Roman" w:cs="Arial"/>
                <w:b/>
                <w:bCs/>
                <w:color w:val="FFFFFF"/>
                <w:sz w:val="18"/>
                <w:szCs w:val="18"/>
              </w:rPr>
              <w:t xml:space="preserve">ed </w:t>
            </w:r>
            <w:r w:rsidRPr="00DA3F73">
              <w:rPr>
                <w:rFonts w:eastAsia="Times New Roman" w:cs="Arial"/>
                <w:b/>
                <w:bCs/>
                <w:color w:val="FFFFFF"/>
                <w:sz w:val="18"/>
                <w:szCs w:val="18"/>
              </w:rPr>
              <w:br/>
              <w:t>(new ALT)</w:t>
            </w:r>
          </w:p>
        </w:tc>
        <w:tc>
          <w:tcPr>
            <w:tcW w:w="0" w:type="auto"/>
            <w:tcBorders>
              <w:top w:val="single" w:sz="4" w:space="0" w:color="FFFFFF" w:themeColor="background1"/>
              <w:left w:val="nil"/>
              <w:bottom w:val="nil"/>
              <w:right w:val="nil"/>
            </w:tcBorders>
            <w:shd w:val="clear" w:color="000000" w:fill="6B2976"/>
            <w:vAlign w:val="center"/>
            <w:hideMark/>
          </w:tcPr>
          <w:p w14:paraId="2BA591E1" w14:textId="77777777" w:rsidR="007768B5" w:rsidRPr="00DA3F73" w:rsidRDefault="007768B5" w:rsidP="007768B5">
            <w:pPr>
              <w:spacing w:after="0" w:line="240" w:lineRule="auto"/>
              <w:jc w:val="right"/>
              <w:rPr>
                <w:rFonts w:eastAsia="Times New Roman" w:cs="Arial"/>
                <w:b/>
                <w:bCs/>
                <w:color w:val="FFFFFF"/>
                <w:sz w:val="20"/>
                <w:szCs w:val="20"/>
              </w:rPr>
            </w:pPr>
            <w:r>
              <w:rPr>
                <w:rFonts w:eastAsia="Times New Roman" w:cs="Arial"/>
                <w:b/>
                <w:bCs/>
                <w:color w:val="FFFFFF"/>
                <w:sz w:val="18"/>
                <w:szCs w:val="18"/>
              </w:rPr>
              <w:t>2021-22 AFSR Expected</w:t>
            </w:r>
          </w:p>
        </w:tc>
      </w:tr>
      <w:tr w:rsidR="00C210E3" w:rsidRPr="00451D06" w14:paraId="433AADE2" w14:textId="77777777" w:rsidTr="00252EAF">
        <w:trPr>
          <w:trHeight w:val="303"/>
        </w:trPr>
        <w:tc>
          <w:tcPr>
            <w:tcW w:w="0" w:type="auto"/>
            <w:tcBorders>
              <w:top w:val="nil"/>
              <w:left w:val="nil"/>
              <w:bottom w:val="nil"/>
              <w:right w:val="nil"/>
            </w:tcBorders>
            <w:shd w:val="clear" w:color="auto" w:fill="auto"/>
            <w:noWrap/>
            <w:vAlign w:val="center"/>
            <w:hideMark/>
          </w:tcPr>
          <w:p w14:paraId="0FF0DB5F" w14:textId="77777777" w:rsidR="00C210E3" w:rsidRPr="00DA3F73" w:rsidRDefault="00C210E3" w:rsidP="00C210E3">
            <w:pPr>
              <w:spacing w:after="0" w:line="240" w:lineRule="auto"/>
              <w:rPr>
                <w:rFonts w:eastAsia="Times New Roman" w:cs="Arial"/>
                <w:color w:val="000000"/>
                <w:sz w:val="20"/>
                <w:szCs w:val="20"/>
              </w:rPr>
            </w:pPr>
            <w:r w:rsidRPr="00DA3F73">
              <w:rPr>
                <w:rFonts w:eastAsia="Times New Roman" w:cs="Arial"/>
                <w:color w:val="000000"/>
                <w:sz w:val="20"/>
                <w:szCs w:val="20"/>
              </w:rPr>
              <w:t>Female</w:t>
            </w:r>
          </w:p>
        </w:tc>
        <w:tc>
          <w:tcPr>
            <w:tcW w:w="0" w:type="auto"/>
            <w:tcBorders>
              <w:top w:val="nil"/>
              <w:left w:val="nil"/>
              <w:bottom w:val="nil"/>
              <w:right w:val="nil"/>
            </w:tcBorders>
            <w:shd w:val="clear" w:color="auto" w:fill="auto"/>
            <w:noWrap/>
            <w:vAlign w:val="center"/>
            <w:hideMark/>
          </w:tcPr>
          <w:p w14:paraId="261C76AC" w14:textId="77777777" w:rsidR="00C210E3" w:rsidRPr="00DA3F73" w:rsidRDefault="00C210E3" w:rsidP="00C210E3">
            <w:pPr>
              <w:spacing w:after="0" w:line="240" w:lineRule="auto"/>
              <w:jc w:val="right"/>
              <w:rPr>
                <w:rFonts w:eastAsia="Times New Roman" w:cs="Arial"/>
                <w:color w:val="000000"/>
                <w:sz w:val="20"/>
                <w:szCs w:val="20"/>
              </w:rPr>
            </w:pPr>
            <w:r w:rsidRPr="00DA3F73">
              <w:rPr>
                <w:rFonts w:eastAsia="Times New Roman" w:cs="Arial"/>
                <w:color w:val="000000"/>
                <w:sz w:val="20"/>
                <w:szCs w:val="20"/>
              </w:rPr>
              <w:t>190,649</w:t>
            </w:r>
          </w:p>
        </w:tc>
        <w:tc>
          <w:tcPr>
            <w:tcW w:w="953" w:type="dxa"/>
            <w:tcBorders>
              <w:top w:val="nil"/>
              <w:left w:val="nil"/>
              <w:bottom w:val="nil"/>
              <w:right w:val="nil"/>
            </w:tcBorders>
            <w:shd w:val="clear" w:color="auto" w:fill="auto"/>
            <w:noWrap/>
            <w:vAlign w:val="center"/>
            <w:hideMark/>
          </w:tcPr>
          <w:p w14:paraId="2D016FF0" w14:textId="77777777" w:rsidR="00C210E3" w:rsidRPr="00252EAF" w:rsidRDefault="00C210E3" w:rsidP="00C210E3">
            <w:pPr>
              <w:spacing w:after="0" w:line="240" w:lineRule="auto"/>
              <w:jc w:val="right"/>
              <w:rPr>
                <w:rFonts w:eastAsia="Times New Roman" w:cs="Arial"/>
                <w:color w:val="000000"/>
                <w:sz w:val="20"/>
                <w:szCs w:val="20"/>
                <w:highlight w:val="yellow"/>
              </w:rPr>
            </w:pPr>
            <w:r w:rsidRPr="00252EAF">
              <w:rPr>
                <w:sz w:val="20"/>
                <w:szCs w:val="20"/>
              </w:rPr>
              <w:t>1.06%</w:t>
            </w:r>
          </w:p>
        </w:tc>
        <w:tc>
          <w:tcPr>
            <w:tcW w:w="1068" w:type="dxa"/>
            <w:tcBorders>
              <w:top w:val="nil"/>
              <w:left w:val="nil"/>
              <w:bottom w:val="nil"/>
              <w:right w:val="nil"/>
            </w:tcBorders>
            <w:shd w:val="clear" w:color="auto" w:fill="auto"/>
            <w:noWrap/>
            <w:vAlign w:val="center"/>
            <w:hideMark/>
          </w:tcPr>
          <w:p w14:paraId="2B3020A8" w14:textId="77777777" w:rsidR="00C210E3" w:rsidRPr="00DA3F73" w:rsidRDefault="00C210E3" w:rsidP="00C210E3">
            <w:pPr>
              <w:spacing w:after="0" w:line="240" w:lineRule="auto"/>
              <w:jc w:val="right"/>
              <w:rPr>
                <w:rFonts w:eastAsia="Times New Roman" w:cs="Arial"/>
                <w:color w:val="000000"/>
                <w:sz w:val="20"/>
                <w:szCs w:val="20"/>
              </w:rPr>
            </w:pPr>
            <w:r w:rsidRPr="00DA3F73">
              <w:rPr>
                <w:rFonts w:eastAsia="Times New Roman" w:cs="Arial"/>
                <w:color w:val="000000"/>
                <w:sz w:val="20"/>
                <w:szCs w:val="20"/>
              </w:rPr>
              <w:t>1.01%</w:t>
            </w:r>
          </w:p>
        </w:tc>
        <w:tc>
          <w:tcPr>
            <w:tcW w:w="0" w:type="auto"/>
            <w:tcBorders>
              <w:top w:val="nil"/>
              <w:left w:val="nil"/>
              <w:bottom w:val="nil"/>
              <w:right w:val="nil"/>
            </w:tcBorders>
            <w:shd w:val="clear" w:color="auto" w:fill="auto"/>
            <w:noWrap/>
            <w:vAlign w:val="center"/>
            <w:hideMark/>
          </w:tcPr>
          <w:p w14:paraId="70619808" w14:textId="77777777" w:rsidR="00C210E3" w:rsidRPr="00DA3F73" w:rsidRDefault="00C210E3" w:rsidP="00C210E3">
            <w:pPr>
              <w:spacing w:after="0" w:line="240" w:lineRule="auto"/>
              <w:jc w:val="right"/>
              <w:rPr>
                <w:rFonts w:eastAsia="Times New Roman" w:cs="Arial"/>
                <w:color w:val="000000"/>
                <w:sz w:val="20"/>
                <w:szCs w:val="20"/>
              </w:rPr>
            </w:pPr>
            <w:r w:rsidRPr="00DA3F73">
              <w:rPr>
                <w:rFonts w:eastAsia="Times New Roman" w:cs="Arial"/>
                <w:color w:val="000000"/>
                <w:sz w:val="20"/>
                <w:szCs w:val="20"/>
              </w:rPr>
              <w:t>1.03%</w:t>
            </w:r>
          </w:p>
        </w:tc>
        <w:tc>
          <w:tcPr>
            <w:tcW w:w="0" w:type="auto"/>
            <w:tcBorders>
              <w:top w:val="nil"/>
              <w:left w:val="nil"/>
              <w:bottom w:val="nil"/>
              <w:right w:val="nil"/>
            </w:tcBorders>
            <w:shd w:val="clear" w:color="auto" w:fill="auto"/>
            <w:noWrap/>
            <w:vAlign w:val="center"/>
            <w:hideMark/>
          </w:tcPr>
          <w:p w14:paraId="6B12644A" w14:textId="77777777" w:rsidR="00C210E3" w:rsidRPr="00DA3F73" w:rsidRDefault="00C210E3" w:rsidP="00C210E3">
            <w:pPr>
              <w:spacing w:after="0" w:line="240" w:lineRule="auto"/>
              <w:jc w:val="right"/>
              <w:rPr>
                <w:rFonts w:eastAsia="Times New Roman" w:cs="Arial"/>
                <w:color w:val="000000"/>
                <w:sz w:val="20"/>
                <w:szCs w:val="20"/>
              </w:rPr>
            </w:pPr>
            <w:r w:rsidRPr="00DA3F73">
              <w:rPr>
                <w:rFonts w:eastAsia="Times New Roman" w:cs="Arial"/>
                <w:color w:val="000000"/>
                <w:sz w:val="20"/>
                <w:szCs w:val="20"/>
              </w:rPr>
              <w:t>1.00%</w:t>
            </w:r>
          </w:p>
        </w:tc>
        <w:tc>
          <w:tcPr>
            <w:tcW w:w="0" w:type="auto"/>
            <w:tcBorders>
              <w:top w:val="nil"/>
              <w:left w:val="nil"/>
              <w:bottom w:val="nil"/>
              <w:right w:val="nil"/>
            </w:tcBorders>
            <w:shd w:val="clear" w:color="auto" w:fill="auto"/>
            <w:noWrap/>
            <w:vAlign w:val="center"/>
            <w:hideMark/>
          </w:tcPr>
          <w:p w14:paraId="3B9E4E9D" w14:textId="77777777" w:rsidR="00C210E3" w:rsidRPr="00DA3F73" w:rsidRDefault="00C210E3" w:rsidP="00C210E3">
            <w:pPr>
              <w:spacing w:after="0" w:line="240" w:lineRule="auto"/>
              <w:jc w:val="right"/>
              <w:rPr>
                <w:rFonts w:eastAsia="Times New Roman" w:cs="Arial"/>
                <w:color w:val="000000"/>
                <w:sz w:val="20"/>
                <w:szCs w:val="20"/>
              </w:rPr>
            </w:pPr>
            <w:r w:rsidRPr="00DA3F73">
              <w:rPr>
                <w:rFonts w:eastAsia="Times New Roman" w:cs="Arial"/>
                <w:color w:val="000000"/>
                <w:sz w:val="20"/>
                <w:szCs w:val="20"/>
              </w:rPr>
              <w:t>1.03%</w:t>
            </w:r>
          </w:p>
        </w:tc>
      </w:tr>
      <w:tr w:rsidR="00C210E3" w:rsidRPr="00451D06" w14:paraId="089BEF6F" w14:textId="77777777" w:rsidTr="00252EAF">
        <w:trPr>
          <w:trHeight w:val="303"/>
        </w:trPr>
        <w:tc>
          <w:tcPr>
            <w:tcW w:w="0" w:type="auto"/>
            <w:tcBorders>
              <w:top w:val="nil"/>
              <w:left w:val="nil"/>
              <w:bottom w:val="single" w:sz="4" w:space="0" w:color="auto"/>
              <w:right w:val="nil"/>
            </w:tcBorders>
            <w:shd w:val="clear" w:color="000000" w:fill="BFBFBF"/>
            <w:noWrap/>
            <w:vAlign w:val="center"/>
            <w:hideMark/>
          </w:tcPr>
          <w:p w14:paraId="3D2D9091" w14:textId="77777777" w:rsidR="00C210E3" w:rsidRPr="00DA3F73" w:rsidRDefault="00C210E3" w:rsidP="00C210E3">
            <w:pPr>
              <w:spacing w:after="0" w:line="240" w:lineRule="auto"/>
              <w:rPr>
                <w:rFonts w:eastAsia="Times New Roman" w:cs="Arial"/>
                <w:color w:val="000000"/>
                <w:sz w:val="20"/>
                <w:szCs w:val="20"/>
              </w:rPr>
            </w:pPr>
            <w:r w:rsidRPr="00DA3F73">
              <w:rPr>
                <w:rFonts w:eastAsia="Times New Roman" w:cs="Arial"/>
                <w:color w:val="000000"/>
                <w:sz w:val="20"/>
                <w:szCs w:val="20"/>
              </w:rPr>
              <w:t>Male</w:t>
            </w:r>
          </w:p>
        </w:tc>
        <w:tc>
          <w:tcPr>
            <w:tcW w:w="0" w:type="auto"/>
            <w:tcBorders>
              <w:top w:val="nil"/>
              <w:left w:val="nil"/>
              <w:bottom w:val="single" w:sz="4" w:space="0" w:color="auto"/>
              <w:right w:val="nil"/>
            </w:tcBorders>
            <w:shd w:val="clear" w:color="000000" w:fill="BFBFBF"/>
            <w:noWrap/>
            <w:vAlign w:val="center"/>
            <w:hideMark/>
          </w:tcPr>
          <w:p w14:paraId="180FDFDF" w14:textId="77777777" w:rsidR="00C210E3" w:rsidRPr="00DA3F73" w:rsidRDefault="00C210E3" w:rsidP="00C210E3">
            <w:pPr>
              <w:spacing w:after="0" w:line="240" w:lineRule="auto"/>
              <w:jc w:val="right"/>
              <w:rPr>
                <w:rFonts w:eastAsia="Times New Roman" w:cs="Arial"/>
                <w:color w:val="000000"/>
                <w:sz w:val="20"/>
                <w:szCs w:val="20"/>
              </w:rPr>
            </w:pPr>
            <w:r w:rsidRPr="00DA3F73">
              <w:rPr>
                <w:rFonts w:eastAsia="Times New Roman" w:cs="Arial"/>
                <w:color w:val="000000"/>
                <w:sz w:val="20"/>
                <w:szCs w:val="20"/>
              </w:rPr>
              <w:t>315,719</w:t>
            </w:r>
          </w:p>
        </w:tc>
        <w:tc>
          <w:tcPr>
            <w:tcW w:w="953" w:type="dxa"/>
            <w:tcBorders>
              <w:top w:val="nil"/>
              <w:left w:val="nil"/>
              <w:bottom w:val="single" w:sz="4" w:space="0" w:color="auto"/>
              <w:right w:val="nil"/>
            </w:tcBorders>
            <w:shd w:val="clear" w:color="000000" w:fill="BFBFBF"/>
            <w:noWrap/>
            <w:vAlign w:val="center"/>
            <w:hideMark/>
          </w:tcPr>
          <w:p w14:paraId="340C35A5" w14:textId="77777777" w:rsidR="00C210E3" w:rsidRPr="00252EAF" w:rsidRDefault="00C210E3" w:rsidP="00C210E3">
            <w:pPr>
              <w:spacing w:after="0" w:line="240" w:lineRule="auto"/>
              <w:jc w:val="right"/>
              <w:rPr>
                <w:rFonts w:eastAsia="Times New Roman" w:cs="Arial"/>
                <w:color w:val="000000"/>
                <w:sz w:val="20"/>
                <w:szCs w:val="20"/>
                <w:highlight w:val="yellow"/>
              </w:rPr>
            </w:pPr>
            <w:r w:rsidRPr="00252EAF">
              <w:rPr>
                <w:sz w:val="20"/>
                <w:szCs w:val="20"/>
              </w:rPr>
              <w:t>0.89%</w:t>
            </w:r>
          </w:p>
        </w:tc>
        <w:tc>
          <w:tcPr>
            <w:tcW w:w="1068" w:type="dxa"/>
            <w:tcBorders>
              <w:top w:val="nil"/>
              <w:left w:val="nil"/>
              <w:bottom w:val="single" w:sz="4" w:space="0" w:color="auto"/>
              <w:right w:val="nil"/>
            </w:tcBorders>
            <w:shd w:val="clear" w:color="000000" w:fill="BFBFBF"/>
            <w:noWrap/>
            <w:vAlign w:val="center"/>
            <w:hideMark/>
          </w:tcPr>
          <w:p w14:paraId="5372C74B" w14:textId="77777777" w:rsidR="00C210E3" w:rsidRPr="00DA3F73" w:rsidRDefault="00C210E3" w:rsidP="00C210E3">
            <w:pPr>
              <w:spacing w:after="0" w:line="240" w:lineRule="auto"/>
              <w:jc w:val="right"/>
              <w:rPr>
                <w:rFonts w:eastAsia="Times New Roman" w:cs="Arial"/>
                <w:color w:val="000000"/>
                <w:sz w:val="20"/>
                <w:szCs w:val="20"/>
              </w:rPr>
            </w:pPr>
            <w:r w:rsidRPr="00DA3F73">
              <w:rPr>
                <w:rFonts w:eastAsia="Times New Roman" w:cs="Arial"/>
                <w:color w:val="000000"/>
                <w:sz w:val="20"/>
                <w:szCs w:val="20"/>
              </w:rPr>
              <w:t>0.88%</w:t>
            </w:r>
          </w:p>
        </w:tc>
        <w:tc>
          <w:tcPr>
            <w:tcW w:w="0" w:type="auto"/>
            <w:tcBorders>
              <w:top w:val="nil"/>
              <w:left w:val="nil"/>
              <w:bottom w:val="single" w:sz="4" w:space="0" w:color="auto"/>
              <w:right w:val="nil"/>
            </w:tcBorders>
            <w:shd w:val="clear" w:color="000000" w:fill="BFBFBF"/>
            <w:noWrap/>
            <w:vAlign w:val="center"/>
            <w:hideMark/>
          </w:tcPr>
          <w:p w14:paraId="7554659B" w14:textId="77777777" w:rsidR="00C210E3" w:rsidRPr="00DA3F73" w:rsidRDefault="00C210E3" w:rsidP="00C210E3">
            <w:pPr>
              <w:spacing w:after="0" w:line="240" w:lineRule="auto"/>
              <w:jc w:val="right"/>
              <w:rPr>
                <w:rFonts w:eastAsia="Times New Roman" w:cs="Arial"/>
                <w:color w:val="000000"/>
                <w:sz w:val="20"/>
                <w:szCs w:val="20"/>
              </w:rPr>
            </w:pPr>
            <w:r w:rsidRPr="00DA3F73">
              <w:rPr>
                <w:rFonts w:eastAsia="Times New Roman" w:cs="Arial"/>
                <w:color w:val="000000"/>
                <w:sz w:val="20"/>
                <w:szCs w:val="20"/>
              </w:rPr>
              <w:t>0.89%</w:t>
            </w:r>
          </w:p>
        </w:tc>
        <w:tc>
          <w:tcPr>
            <w:tcW w:w="0" w:type="auto"/>
            <w:tcBorders>
              <w:top w:val="nil"/>
              <w:left w:val="nil"/>
              <w:bottom w:val="single" w:sz="4" w:space="0" w:color="auto"/>
              <w:right w:val="nil"/>
            </w:tcBorders>
            <w:shd w:val="clear" w:color="000000" w:fill="BFBFBF"/>
            <w:noWrap/>
            <w:vAlign w:val="center"/>
            <w:hideMark/>
          </w:tcPr>
          <w:p w14:paraId="41CAD196" w14:textId="77777777" w:rsidR="00C210E3" w:rsidRPr="00DA3F73" w:rsidRDefault="00C210E3" w:rsidP="00C210E3">
            <w:pPr>
              <w:spacing w:after="0" w:line="240" w:lineRule="auto"/>
              <w:jc w:val="right"/>
              <w:rPr>
                <w:rFonts w:eastAsia="Times New Roman" w:cs="Arial"/>
                <w:color w:val="000000"/>
                <w:sz w:val="20"/>
                <w:szCs w:val="20"/>
              </w:rPr>
            </w:pPr>
            <w:r w:rsidRPr="00DA3F73">
              <w:rPr>
                <w:rFonts w:eastAsia="Times New Roman" w:cs="Arial"/>
                <w:color w:val="000000"/>
                <w:sz w:val="20"/>
                <w:szCs w:val="20"/>
              </w:rPr>
              <w:t>0.87%</w:t>
            </w:r>
          </w:p>
        </w:tc>
        <w:tc>
          <w:tcPr>
            <w:tcW w:w="0" w:type="auto"/>
            <w:tcBorders>
              <w:top w:val="nil"/>
              <w:left w:val="nil"/>
              <w:bottom w:val="single" w:sz="4" w:space="0" w:color="auto"/>
              <w:right w:val="nil"/>
            </w:tcBorders>
            <w:shd w:val="clear" w:color="000000" w:fill="BFBFBF"/>
            <w:noWrap/>
            <w:vAlign w:val="center"/>
            <w:hideMark/>
          </w:tcPr>
          <w:p w14:paraId="1CD73F16" w14:textId="77777777" w:rsidR="00C210E3" w:rsidRPr="00DA3F73" w:rsidRDefault="00C210E3" w:rsidP="00C210E3">
            <w:pPr>
              <w:spacing w:after="0" w:line="240" w:lineRule="auto"/>
              <w:jc w:val="right"/>
              <w:rPr>
                <w:rFonts w:eastAsia="Times New Roman" w:cs="Arial"/>
                <w:color w:val="000000"/>
                <w:sz w:val="20"/>
                <w:szCs w:val="20"/>
              </w:rPr>
            </w:pPr>
            <w:r w:rsidRPr="00DA3F73">
              <w:rPr>
                <w:rFonts w:eastAsia="Times New Roman" w:cs="Arial"/>
                <w:color w:val="000000"/>
                <w:sz w:val="20"/>
                <w:szCs w:val="20"/>
              </w:rPr>
              <w:t>0.88%</w:t>
            </w:r>
          </w:p>
        </w:tc>
      </w:tr>
      <w:tr w:rsidR="00C210E3" w:rsidRPr="00451D06" w14:paraId="19A8BCEC" w14:textId="77777777" w:rsidTr="00252EAF">
        <w:trPr>
          <w:trHeight w:val="319"/>
        </w:trPr>
        <w:tc>
          <w:tcPr>
            <w:tcW w:w="0" w:type="auto"/>
            <w:tcBorders>
              <w:top w:val="single" w:sz="4" w:space="0" w:color="auto"/>
              <w:left w:val="nil"/>
              <w:bottom w:val="single" w:sz="4" w:space="0" w:color="auto"/>
              <w:right w:val="nil"/>
            </w:tcBorders>
            <w:shd w:val="clear" w:color="auto" w:fill="D3C5D7"/>
            <w:noWrap/>
            <w:vAlign w:val="center"/>
            <w:hideMark/>
          </w:tcPr>
          <w:p w14:paraId="613D30E4" w14:textId="77777777" w:rsidR="00C210E3" w:rsidRPr="00DA3F73" w:rsidRDefault="00C210E3" w:rsidP="00C210E3">
            <w:pPr>
              <w:spacing w:after="0" w:line="240" w:lineRule="auto"/>
              <w:rPr>
                <w:rFonts w:eastAsia="Times New Roman" w:cs="Arial"/>
                <w:b/>
                <w:bCs/>
                <w:color w:val="000000"/>
                <w:sz w:val="20"/>
                <w:szCs w:val="20"/>
              </w:rPr>
            </w:pPr>
            <w:r w:rsidRPr="00DA3F73">
              <w:rPr>
                <w:rFonts w:eastAsia="Times New Roman" w:cs="Arial"/>
                <w:b/>
                <w:bCs/>
                <w:color w:val="000000"/>
                <w:sz w:val="20"/>
                <w:szCs w:val="20"/>
              </w:rPr>
              <w:t>Total</w:t>
            </w:r>
          </w:p>
        </w:tc>
        <w:tc>
          <w:tcPr>
            <w:tcW w:w="0" w:type="auto"/>
            <w:tcBorders>
              <w:top w:val="single" w:sz="4" w:space="0" w:color="auto"/>
              <w:left w:val="nil"/>
              <w:bottom w:val="single" w:sz="4" w:space="0" w:color="auto"/>
              <w:right w:val="nil"/>
            </w:tcBorders>
            <w:shd w:val="clear" w:color="auto" w:fill="D3C5D7"/>
            <w:noWrap/>
            <w:vAlign w:val="center"/>
            <w:hideMark/>
          </w:tcPr>
          <w:p w14:paraId="0389842E" w14:textId="77777777" w:rsidR="00C210E3" w:rsidRPr="00DA3F73" w:rsidRDefault="00C210E3" w:rsidP="00C210E3">
            <w:pPr>
              <w:spacing w:after="0" w:line="240" w:lineRule="auto"/>
              <w:jc w:val="right"/>
              <w:rPr>
                <w:rFonts w:eastAsia="Times New Roman" w:cs="Arial"/>
                <w:b/>
                <w:bCs/>
                <w:color w:val="000000"/>
                <w:sz w:val="20"/>
                <w:szCs w:val="20"/>
              </w:rPr>
            </w:pPr>
            <w:r w:rsidRPr="00DA3F73">
              <w:rPr>
                <w:rFonts w:eastAsia="Times New Roman" w:cs="Arial"/>
                <w:b/>
                <w:bCs/>
                <w:color w:val="000000"/>
                <w:sz w:val="20"/>
                <w:szCs w:val="20"/>
              </w:rPr>
              <w:t>506,367</w:t>
            </w:r>
          </w:p>
        </w:tc>
        <w:tc>
          <w:tcPr>
            <w:tcW w:w="953" w:type="dxa"/>
            <w:tcBorders>
              <w:top w:val="single" w:sz="4" w:space="0" w:color="auto"/>
              <w:left w:val="nil"/>
              <w:bottom w:val="single" w:sz="4" w:space="0" w:color="auto"/>
              <w:right w:val="nil"/>
            </w:tcBorders>
            <w:shd w:val="clear" w:color="auto" w:fill="D3C5D7"/>
            <w:noWrap/>
            <w:vAlign w:val="center"/>
            <w:hideMark/>
          </w:tcPr>
          <w:p w14:paraId="4DA09B06" w14:textId="77777777" w:rsidR="00C210E3" w:rsidRPr="00252EAF" w:rsidRDefault="00C210E3" w:rsidP="00C210E3">
            <w:pPr>
              <w:spacing w:after="0" w:line="240" w:lineRule="auto"/>
              <w:jc w:val="right"/>
              <w:rPr>
                <w:rFonts w:eastAsia="Times New Roman" w:cs="Arial"/>
                <w:b/>
                <w:bCs/>
                <w:color w:val="000000"/>
                <w:sz w:val="20"/>
                <w:szCs w:val="20"/>
                <w:highlight w:val="yellow"/>
              </w:rPr>
            </w:pPr>
            <w:r w:rsidRPr="00252EAF">
              <w:rPr>
                <w:b/>
                <w:sz w:val="20"/>
                <w:szCs w:val="20"/>
              </w:rPr>
              <w:t>0.95%</w:t>
            </w:r>
          </w:p>
        </w:tc>
        <w:tc>
          <w:tcPr>
            <w:tcW w:w="1068" w:type="dxa"/>
            <w:tcBorders>
              <w:top w:val="single" w:sz="4" w:space="0" w:color="auto"/>
              <w:left w:val="nil"/>
              <w:bottom w:val="single" w:sz="4" w:space="0" w:color="auto"/>
              <w:right w:val="nil"/>
            </w:tcBorders>
            <w:shd w:val="clear" w:color="auto" w:fill="D3C5D7"/>
            <w:noWrap/>
            <w:vAlign w:val="center"/>
            <w:hideMark/>
          </w:tcPr>
          <w:p w14:paraId="25680581" w14:textId="77777777" w:rsidR="00C210E3" w:rsidRPr="00DA3F73" w:rsidRDefault="00C210E3" w:rsidP="00C210E3">
            <w:pPr>
              <w:spacing w:after="0" w:line="240" w:lineRule="auto"/>
              <w:jc w:val="right"/>
              <w:rPr>
                <w:rFonts w:eastAsia="Times New Roman" w:cs="Arial"/>
                <w:b/>
                <w:bCs/>
                <w:color w:val="000000"/>
                <w:sz w:val="20"/>
                <w:szCs w:val="20"/>
              </w:rPr>
            </w:pPr>
            <w:r w:rsidRPr="00DA3F73">
              <w:rPr>
                <w:rFonts w:eastAsia="Times New Roman" w:cs="Arial"/>
                <w:b/>
                <w:bCs/>
                <w:color w:val="000000"/>
                <w:sz w:val="20"/>
                <w:szCs w:val="20"/>
              </w:rPr>
              <w:t>0.93%</w:t>
            </w:r>
          </w:p>
        </w:tc>
        <w:tc>
          <w:tcPr>
            <w:tcW w:w="0" w:type="auto"/>
            <w:tcBorders>
              <w:top w:val="single" w:sz="4" w:space="0" w:color="auto"/>
              <w:left w:val="nil"/>
              <w:bottom w:val="single" w:sz="4" w:space="0" w:color="auto"/>
              <w:right w:val="nil"/>
            </w:tcBorders>
            <w:shd w:val="clear" w:color="auto" w:fill="D3C5D7"/>
            <w:noWrap/>
            <w:vAlign w:val="center"/>
            <w:hideMark/>
          </w:tcPr>
          <w:p w14:paraId="22A7F4EA" w14:textId="77777777" w:rsidR="00C210E3" w:rsidRPr="00DA3F73" w:rsidRDefault="00C210E3" w:rsidP="00C210E3">
            <w:pPr>
              <w:spacing w:after="0" w:line="240" w:lineRule="auto"/>
              <w:jc w:val="right"/>
              <w:rPr>
                <w:rFonts w:eastAsia="Times New Roman" w:cs="Arial"/>
                <w:b/>
                <w:bCs/>
                <w:color w:val="000000"/>
                <w:sz w:val="20"/>
                <w:szCs w:val="20"/>
              </w:rPr>
            </w:pPr>
            <w:r w:rsidRPr="00DA3F73">
              <w:rPr>
                <w:rFonts w:eastAsia="Times New Roman" w:cs="Arial"/>
                <w:b/>
                <w:bCs/>
                <w:color w:val="000000"/>
                <w:sz w:val="20"/>
                <w:szCs w:val="20"/>
              </w:rPr>
              <w:t>0.94%</w:t>
            </w:r>
          </w:p>
        </w:tc>
        <w:tc>
          <w:tcPr>
            <w:tcW w:w="0" w:type="auto"/>
            <w:tcBorders>
              <w:top w:val="single" w:sz="4" w:space="0" w:color="auto"/>
              <w:left w:val="nil"/>
              <w:bottom w:val="single" w:sz="4" w:space="0" w:color="auto"/>
              <w:right w:val="nil"/>
            </w:tcBorders>
            <w:shd w:val="clear" w:color="auto" w:fill="D3C5D7"/>
            <w:noWrap/>
            <w:vAlign w:val="center"/>
            <w:hideMark/>
          </w:tcPr>
          <w:p w14:paraId="206B80B0" w14:textId="77777777" w:rsidR="00C210E3" w:rsidRPr="00DA3F73" w:rsidRDefault="00C210E3" w:rsidP="00C210E3">
            <w:pPr>
              <w:spacing w:after="0" w:line="240" w:lineRule="auto"/>
              <w:jc w:val="right"/>
              <w:rPr>
                <w:rFonts w:eastAsia="Times New Roman" w:cs="Arial"/>
                <w:b/>
                <w:bCs/>
                <w:color w:val="000000"/>
                <w:sz w:val="20"/>
                <w:szCs w:val="20"/>
              </w:rPr>
            </w:pPr>
            <w:r w:rsidRPr="00DA3F73">
              <w:rPr>
                <w:rFonts w:eastAsia="Times New Roman" w:cs="Arial"/>
                <w:b/>
                <w:bCs/>
                <w:color w:val="000000"/>
                <w:sz w:val="20"/>
                <w:szCs w:val="20"/>
              </w:rPr>
              <w:t>0.92%</w:t>
            </w:r>
          </w:p>
        </w:tc>
        <w:tc>
          <w:tcPr>
            <w:tcW w:w="0" w:type="auto"/>
            <w:tcBorders>
              <w:top w:val="single" w:sz="4" w:space="0" w:color="auto"/>
              <w:left w:val="nil"/>
              <w:bottom w:val="single" w:sz="4" w:space="0" w:color="auto"/>
              <w:right w:val="nil"/>
            </w:tcBorders>
            <w:shd w:val="clear" w:color="auto" w:fill="D3C5D7"/>
            <w:noWrap/>
            <w:vAlign w:val="center"/>
            <w:hideMark/>
          </w:tcPr>
          <w:p w14:paraId="5734A4F2" w14:textId="77777777" w:rsidR="00C210E3" w:rsidRPr="00DA3F73" w:rsidRDefault="00C210E3" w:rsidP="00C210E3">
            <w:pPr>
              <w:spacing w:after="0" w:line="240" w:lineRule="auto"/>
              <w:jc w:val="right"/>
              <w:rPr>
                <w:rFonts w:eastAsia="Times New Roman" w:cs="Arial"/>
                <w:b/>
                <w:bCs/>
                <w:color w:val="000000"/>
                <w:sz w:val="20"/>
                <w:szCs w:val="20"/>
              </w:rPr>
            </w:pPr>
            <w:r w:rsidRPr="00DA3F73">
              <w:rPr>
                <w:rFonts w:eastAsia="Times New Roman" w:cs="Arial"/>
                <w:b/>
                <w:bCs/>
                <w:color w:val="000000"/>
                <w:sz w:val="20"/>
                <w:szCs w:val="20"/>
              </w:rPr>
              <w:t>0.93%</w:t>
            </w:r>
          </w:p>
        </w:tc>
      </w:tr>
    </w:tbl>
    <w:p w14:paraId="79645783" w14:textId="77777777" w:rsidR="004A5D62" w:rsidRDefault="004A5D62" w:rsidP="00DA3F73">
      <w:pPr>
        <w:pStyle w:val="Tables"/>
        <w:spacing w:before="240"/>
      </w:pPr>
      <w:r>
        <w:t xml:space="preserve">Table </w:t>
      </w:r>
      <w:r w:rsidR="00451D06">
        <w:t>J</w:t>
      </w:r>
      <w:r w:rsidR="00A87896">
        <w:t>.</w:t>
      </w:r>
      <w:fldSimple w:instr=" SEQ Table \* ARABIC \s 2 ">
        <w:r w:rsidR="00FC79AE">
          <w:rPr>
            <w:noProof/>
          </w:rPr>
          <w:t>12</w:t>
        </w:r>
      </w:fldSimple>
      <w:r w:rsidR="00451D06">
        <w:t>:</w:t>
      </w:r>
      <w:r>
        <w:t xml:space="preserve"> </w:t>
      </w:r>
      <w:r w:rsidRPr="000A6F27">
        <w:t>Contri</w:t>
      </w:r>
      <w:r w:rsidR="00325EAA">
        <w:t>bu</w:t>
      </w:r>
      <w:r w:rsidRPr="000A6F27">
        <w:t xml:space="preserve">tion to total </w:t>
      </w:r>
      <w:r w:rsidR="009F3FC1">
        <w:t xml:space="preserve">mortality rates </w:t>
      </w:r>
      <w:r w:rsidRPr="000A6F27">
        <w:t>by gender</w:t>
      </w:r>
    </w:p>
    <w:tbl>
      <w:tblPr>
        <w:tblW w:w="0" w:type="auto"/>
        <w:tblLook w:val="04A0" w:firstRow="1" w:lastRow="0" w:firstColumn="1" w:lastColumn="0" w:noHBand="0" w:noVBand="1"/>
      </w:tblPr>
      <w:tblGrid>
        <w:gridCol w:w="917"/>
        <w:gridCol w:w="3095"/>
        <w:gridCol w:w="2495"/>
        <w:gridCol w:w="2495"/>
      </w:tblGrid>
      <w:tr w:rsidR="004A5D62" w:rsidRPr="00451D06" w14:paraId="53520585" w14:textId="77777777" w:rsidTr="00DA3F73">
        <w:trPr>
          <w:trHeight w:val="397"/>
        </w:trPr>
        <w:tc>
          <w:tcPr>
            <w:tcW w:w="0" w:type="auto"/>
            <w:tcBorders>
              <w:top w:val="nil"/>
              <w:left w:val="nil"/>
              <w:bottom w:val="nil"/>
              <w:right w:val="nil"/>
            </w:tcBorders>
            <w:shd w:val="clear" w:color="auto" w:fill="6B2976"/>
            <w:noWrap/>
            <w:vAlign w:val="center"/>
            <w:hideMark/>
          </w:tcPr>
          <w:p w14:paraId="197E3C1F" w14:textId="77777777" w:rsidR="004A5D62" w:rsidRPr="00DA3F73" w:rsidRDefault="004A5D62" w:rsidP="00FF0738">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6B2976"/>
            <w:noWrap/>
            <w:vAlign w:val="center"/>
            <w:hideMark/>
          </w:tcPr>
          <w:p w14:paraId="1AD52ABC" w14:textId="77777777" w:rsidR="004A5D62" w:rsidRPr="00451D06" w:rsidRDefault="004A5D62" w:rsidP="00FF0738">
            <w:pPr>
              <w:spacing w:after="0" w:line="240" w:lineRule="auto"/>
              <w:jc w:val="center"/>
              <w:rPr>
                <w:rFonts w:ascii="Times New Roman" w:eastAsia="Times New Roman" w:hAnsi="Times New Roman" w:cs="Times New Roman"/>
                <w:sz w:val="20"/>
                <w:szCs w:val="20"/>
              </w:rPr>
            </w:pPr>
          </w:p>
        </w:tc>
        <w:tc>
          <w:tcPr>
            <w:tcW w:w="0" w:type="auto"/>
            <w:gridSpan w:val="2"/>
            <w:tcBorders>
              <w:top w:val="nil"/>
              <w:left w:val="nil"/>
              <w:bottom w:val="single" w:sz="4" w:space="0" w:color="FFFFFF" w:themeColor="background1"/>
              <w:right w:val="nil"/>
            </w:tcBorders>
            <w:shd w:val="clear" w:color="auto" w:fill="6B2976"/>
            <w:noWrap/>
            <w:vAlign w:val="center"/>
            <w:hideMark/>
          </w:tcPr>
          <w:p w14:paraId="7ED52DFB" w14:textId="77777777" w:rsidR="004A5D62" w:rsidRPr="00DA3F73" w:rsidRDefault="004A5D62" w:rsidP="00FF0738">
            <w:pPr>
              <w:spacing w:after="0" w:line="240" w:lineRule="auto"/>
              <w:jc w:val="center"/>
              <w:rPr>
                <w:rFonts w:eastAsia="Times New Roman" w:cs="Arial"/>
                <w:b/>
                <w:bCs/>
                <w:color w:val="FFFFFF"/>
                <w:sz w:val="20"/>
                <w:szCs w:val="20"/>
              </w:rPr>
            </w:pPr>
            <w:r w:rsidRPr="00DA3F73">
              <w:rPr>
                <w:rFonts w:eastAsia="Times New Roman" w:cs="Arial"/>
                <w:b/>
                <w:bCs/>
                <w:color w:val="FFFFFF"/>
                <w:sz w:val="20"/>
                <w:szCs w:val="20"/>
              </w:rPr>
              <w:t xml:space="preserve">Contribution to </w:t>
            </w:r>
            <w:r w:rsidR="007768B5">
              <w:rPr>
                <w:rFonts w:eastAsia="Times New Roman" w:cs="Arial"/>
                <w:b/>
                <w:bCs/>
                <w:color w:val="FFFFFF"/>
                <w:sz w:val="20"/>
                <w:szCs w:val="20"/>
              </w:rPr>
              <w:t>t</w:t>
            </w:r>
            <w:r w:rsidRPr="00DA3F73">
              <w:rPr>
                <w:rFonts w:eastAsia="Times New Roman" w:cs="Arial"/>
                <w:b/>
                <w:bCs/>
                <w:color w:val="FFFFFF"/>
                <w:sz w:val="20"/>
                <w:szCs w:val="20"/>
              </w:rPr>
              <w:t>otal</w:t>
            </w:r>
            <w:r w:rsidR="007768B5">
              <w:rPr>
                <w:rFonts w:eastAsia="Times New Roman" w:cs="Arial"/>
                <w:b/>
                <w:bCs/>
                <w:color w:val="FFFFFF"/>
                <w:sz w:val="20"/>
                <w:szCs w:val="20"/>
              </w:rPr>
              <w:t xml:space="preserve"> mortality rate</w:t>
            </w:r>
          </w:p>
        </w:tc>
      </w:tr>
      <w:tr w:rsidR="007768B5" w:rsidRPr="00451D06" w14:paraId="72C96520" w14:textId="77777777" w:rsidTr="00DA3F73">
        <w:trPr>
          <w:trHeight w:val="397"/>
        </w:trPr>
        <w:tc>
          <w:tcPr>
            <w:tcW w:w="0" w:type="auto"/>
            <w:tcBorders>
              <w:top w:val="nil"/>
              <w:left w:val="nil"/>
              <w:bottom w:val="nil"/>
              <w:right w:val="nil"/>
            </w:tcBorders>
            <w:shd w:val="clear" w:color="000000" w:fill="6B2976"/>
            <w:vAlign w:val="center"/>
            <w:hideMark/>
          </w:tcPr>
          <w:p w14:paraId="0CAAAB97" w14:textId="77777777" w:rsidR="007768B5" w:rsidRPr="00DA3F73" w:rsidRDefault="007768B5" w:rsidP="007768B5">
            <w:pPr>
              <w:spacing w:after="0" w:line="240" w:lineRule="auto"/>
              <w:rPr>
                <w:rFonts w:eastAsia="Times New Roman" w:cs="Arial"/>
                <w:b/>
                <w:bCs/>
                <w:color w:val="FFFFFF"/>
                <w:sz w:val="20"/>
                <w:szCs w:val="20"/>
              </w:rPr>
            </w:pPr>
            <w:r w:rsidRPr="00DA3F73">
              <w:rPr>
                <w:rFonts w:eastAsia="Times New Roman" w:cs="Arial"/>
                <w:b/>
                <w:bCs/>
                <w:color w:val="FFFFFF"/>
                <w:sz w:val="20"/>
                <w:szCs w:val="20"/>
              </w:rPr>
              <w:t>Gender</w:t>
            </w:r>
          </w:p>
        </w:tc>
        <w:tc>
          <w:tcPr>
            <w:tcW w:w="0" w:type="auto"/>
            <w:tcBorders>
              <w:top w:val="nil"/>
              <w:left w:val="nil"/>
              <w:bottom w:val="nil"/>
              <w:right w:val="nil"/>
            </w:tcBorders>
            <w:shd w:val="clear" w:color="000000" w:fill="6B2976"/>
            <w:vAlign w:val="center"/>
            <w:hideMark/>
          </w:tcPr>
          <w:p w14:paraId="0A858564" w14:textId="77777777" w:rsidR="007768B5" w:rsidRPr="00DA3F73" w:rsidRDefault="007768B5" w:rsidP="007768B5">
            <w:pPr>
              <w:spacing w:after="0" w:line="240" w:lineRule="auto"/>
              <w:jc w:val="right"/>
              <w:rPr>
                <w:rFonts w:eastAsia="Times New Roman" w:cs="Arial"/>
                <w:b/>
                <w:bCs/>
                <w:color w:val="FFFFFF"/>
                <w:sz w:val="20"/>
                <w:szCs w:val="20"/>
              </w:rPr>
            </w:pPr>
            <w:r>
              <w:rPr>
                <w:rFonts w:eastAsia="Times New Roman" w:cs="Arial"/>
                <w:b/>
                <w:bCs/>
                <w:color w:val="FFFFFF"/>
                <w:sz w:val="20"/>
                <w:szCs w:val="20"/>
              </w:rPr>
              <w:t>Exposure (mix of participants)</w:t>
            </w:r>
          </w:p>
        </w:tc>
        <w:tc>
          <w:tcPr>
            <w:tcW w:w="0" w:type="auto"/>
            <w:tcBorders>
              <w:top w:val="single" w:sz="4" w:space="0" w:color="FFFFFF" w:themeColor="background1"/>
              <w:left w:val="nil"/>
              <w:bottom w:val="nil"/>
              <w:right w:val="nil"/>
            </w:tcBorders>
            <w:shd w:val="clear" w:color="000000" w:fill="6B2976"/>
            <w:vAlign w:val="center"/>
            <w:hideMark/>
          </w:tcPr>
          <w:p w14:paraId="3F5B1662" w14:textId="77777777" w:rsidR="007768B5" w:rsidRPr="00DA3F73" w:rsidRDefault="007768B5" w:rsidP="007768B5">
            <w:pPr>
              <w:spacing w:after="0" w:line="240" w:lineRule="auto"/>
              <w:jc w:val="right"/>
              <w:rPr>
                <w:rFonts w:eastAsia="Times New Roman" w:cs="Arial"/>
                <w:b/>
                <w:bCs/>
                <w:color w:val="FFFFFF"/>
                <w:sz w:val="20"/>
                <w:szCs w:val="20"/>
              </w:rPr>
            </w:pPr>
            <w:r>
              <w:rPr>
                <w:rFonts w:eastAsia="Times New Roman" w:cs="Arial"/>
                <w:b/>
                <w:bCs/>
                <w:color w:val="FFFFFF"/>
                <w:sz w:val="20"/>
                <w:szCs w:val="20"/>
              </w:rPr>
              <w:t xml:space="preserve">2020-21 AFSR </w:t>
            </w:r>
            <w:r w:rsidRPr="00DA3F73">
              <w:rPr>
                <w:rFonts w:eastAsia="Times New Roman" w:cs="Arial"/>
                <w:b/>
                <w:bCs/>
                <w:color w:val="FFFFFF"/>
                <w:sz w:val="20"/>
                <w:szCs w:val="20"/>
              </w:rPr>
              <w:t>Expected</w:t>
            </w:r>
          </w:p>
        </w:tc>
        <w:tc>
          <w:tcPr>
            <w:tcW w:w="0" w:type="auto"/>
            <w:tcBorders>
              <w:top w:val="single" w:sz="4" w:space="0" w:color="FFFFFF" w:themeColor="background1"/>
              <w:left w:val="nil"/>
              <w:bottom w:val="nil"/>
              <w:right w:val="nil"/>
            </w:tcBorders>
            <w:shd w:val="clear" w:color="000000" w:fill="6B2976"/>
            <w:vAlign w:val="center"/>
            <w:hideMark/>
          </w:tcPr>
          <w:p w14:paraId="24768B44" w14:textId="77777777" w:rsidR="007768B5" w:rsidRPr="00DA3F73" w:rsidRDefault="007768B5" w:rsidP="007768B5">
            <w:pPr>
              <w:spacing w:after="0" w:line="240" w:lineRule="auto"/>
              <w:jc w:val="right"/>
              <w:rPr>
                <w:rFonts w:eastAsia="Times New Roman" w:cs="Arial"/>
                <w:b/>
                <w:bCs/>
                <w:color w:val="FFFFFF"/>
                <w:sz w:val="20"/>
                <w:szCs w:val="20"/>
              </w:rPr>
            </w:pPr>
            <w:r>
              <w:rPr>
                <w:rFonts w:eastAsia="Times New Roman" w:cs="Arial"/>
                <w:b/>
                <w:bCs/>
                <w:color w:val="FFFFFF"/>
                <w:sz w:val="20"/>
                <w:szCs w:val="20"/>
              </w:rPr>
              <w:t>2021-22 AFSR Expected</w:t>
            </w:r>
          </w:p>
        </w:tc>
      </w:tr>
      <w:tr w:rsidR="004A5D62" w:rsidRPr="00451D06" w14:paraId="78495A28" w14:textId="77777777" w:rsidTr="00DA3F73">
        <w:trPr>
          <w:trHeight w:val="283"/>
        </w:trPr>
        <w:tc>
          <w:tcPr>
            <w:tcW w:w="0" w:type="auto"/>
            <w:tcBorders>
              <w:top w:val="nil"/>
              <w:left w:val="nil"/>
              <w:bottom w:val="nil"/>
              <w:right w:val="nil"/>
            </w:tcBorders>
            <w:shd w:val="clear" w:color="auto" w:fill="auto"/>
            <w:noWrap/>
            <w:vAlign w:val="center"/>
            <w:hideMark/>
          </w:tcPr>
          <w:p w14:paraId="33396A05" w14:textId="77777777" w:rsidR="004A5D62" w:rsidRPr="00DA3F73" w:rsidRDefault="004A5D62" w:rsidP="00FF0738">
            <w:pPr>
              <w:spacing w:after="0" w:line="240" w:lineRule="auto"/>
              <w:rPr>
                <w:rFonts w:eastAsia="Times New Roman" w:cs="Arial"/>
                <w:color w:val="000000"/>
                <w:sz w:val="20"/>
                <w:szCs w:val="20"/>
              </w:rPr>
            </w:pPr>
            <w:r w:rsidRPr="00DA3F73">
              <w:rPr>
                <w:rFonts w:eastAsia="Times New Roman" w:cs="Arial"/>
                <w:color w:val="000000"/>
                <w:sz w:val="20"/>
                <w:szCs w:val="20"/>
              </w:rPr>
              <w:t>Female</w:t>
            </w:r>
          </w:p>
        </w:tc>
        <w:tc>
          <w:tcPr>
            <w:tcW w:w="0" w:type="auto"/>
            <w:tcBorders>
              <w:top w:val="nil"/>
              <w:left w:val="nil"/>
              <w:bottom w:val="nil"/>
              <w:right w:val="nil"/>
            </w:tcBorders>
            <w:shd w:val="clear" w:color="auto" w:fill="auto"/>
            <w:noWrap/>
            <w:vAlign w:val="center"/>
            <w:hideMark/>
          </w:tcPr>
          <w:p w14:paraId="3CA52326" w14:textId="77777777" w:rsidR="004A5D62" w:rsidRPr="00DA3F73" w:rsidRDefault="004A5D62" w:rsidP="00FF0738">
            <w:pPr>
              <w:spacing w:after="0" w:line="240" w:lineRule="auto"/>
              <w:jc w:val="right"/>
              <w:rPr>
                <w:rFonts w:eastAsia="Times New Roman" w:cs="Arial"/>
                <w:color w:val="000000"/>
                <w:sz w:val="20"/>
                <w:szCs w:val="20"/>
              </w:rPr>
            </w:pPr>
            <w:r w:rsidRPr="00DA3F73">
              <w:rPr>
                <w:rFonts w:eastAsia="Times New Roman" w:cs="Arial"/>
                <w:color w:val="000000"/>
                <w:sz w:val="20"/>
                <w:szCs w:val="20"/>
              </w:rPr>
              <w:t>37.65%</w:t>
            </w:r>
          </w:p>
        </w:tc>
        <w:tc>
          <w:tcPr>
            <w:tcW w:w="0" w:type="auto"/>
            <w:tcBorders>
              <w:top w:val="nil"/>
              <w:left w:val="nil"/>
              <w:bottom w:val="nil"/>
              <w:right w:val="nil"/>
            </w:tcBorders>
            <w:shd w:val="clear" w:color="auto" w:fill="auto"/>
            <w:noWrap/>
            <w:vAlign w:val="center"/>
            <w:hideMark/>
          </w:tcPr>
          <w:p w14:paraId="264240C6" w14:textId="77777777" w:rsidR="004A5D62" w:rsidRPr="00DA3F73" w:rsidRDefault="004A5D62" w:rsidP="00FF0738">
            <w:pPr>
              <w:spacing w:after="0" w:line="240" w:lineRule="auto"/>
              <w:jc w:val="right"/>
              <w:rPr>
                <w:rFonts w:eastAsia="Times New Roman" w:cs="Arial"/>
                <w:color w:val="000000"/>
                <w:sz w:val="20"/>
                <w:szCs w:val="20"/>
              </w:rPr>
            </w:pPr>
            <w:r w:rsidRPr="00DA3F73">
              <w:rPr>
                <w:rFonts w:eastAsia="Times New Roman" w:cs="Arial"/>
                <w:color w:val="000000"/>
                <w:sz w:val="20"/>
                <w:szCs w:val="20"/>
              </w:rPr>
              <w:t>0.38%</w:t>
            </w:r>
          </w:p>
        </w:tc>
        <w:tc>
          <w:tcPr>
            <w:tcW w:w="0" w:type="auto"/>
            <w:tcBorders>
              <w:top w:val="nil"/>
              <w:left w:val="nil"/>
              <w:bottom w:val="nil"/>
              <w:right w:val="nil"/>
            </w:tcBorders>
            <w:shd w:val="clear" w:color="auto" w:fill="auto"/>
            <w:noWrap/>
            <w:vAlign w:val="center"/>
            <w:hideMark/>
          </w:tcPr>
          <w:p w14:paraId="56BBA8D8" w14:textId="77777777" w:rsidR="004A5D62" w:rsidRPr="00DA3F73" w:rsidRDefault="004A5D62" w:rsidP="00FF0738">
            <w:pPr>
              <w:spacing w:after="0" w:line="240" w:lineRule="auto"/>
              <w:jc w:val="right"/>
              <w:rPr>
                <w:rFonts w:eastAsia="Times New Roman" w:cs="Arial"/>
                <w:color w:val="000000"/>
                <w:sz w:val="20"/>
                <w:szCs w:val="20"/>
              </w:rPr>
            </w:pPr>
            <w:r w:rsidRPr="00DA3F73">
              <w:rPr>
                <w:rFonts w:eastAsia="Times New Roman" w:cs="Arial"/>
                <w:color w:val="000000"/>
                <w:sz w:val="20"/>
                <w:szCs w:val="20"/>
              </w:rPr>
              <w:t>0.39%</w:t>
            </w:r>
          </w:p>
        </w:tc>
      </w:tr>
      <w:tr w:rsidR="004A5D62" w:rsidRPr="00451D06" w14:paraId="5E3ABCCE" w14:textId="77777777" w:rsidTr="008E5330">
        <w:trPr>
          <w:trHeight w:val="283"/>
        </w:trPr>
        <w:tc>
          <w:tcPr>
            <w:tcW w:w="0" w:type="auto"/>
            <w:tcBorders>
              <w:top w:val="nil"/>
              <w:left w:val="nil"/>
              <w:bottom w:val="single" w:sz="4" w:space="0" w:color="auto"/>
              <w:right w:val="nil"/>
            </w:tcBorders>
            <w:shd w:val="clear" w:color="000000" w:fill="BFBFBF"/>
            <w:noWrap/>
            <w:vAlign w:val="center"/>
            <w:hideMark/>
          </w:tcPr>
          <w:p w14:paraId="31149BC1" w14:textId="77777777" w:rsidR="004A5D62" w:rsidRPr="00DA3F73" w:rsidRDefault="004A5D62" w:rsidP="00FF0738">
            <w:pPr>
              <w:spacing w:after="0" w:line="240" w:lineRule="auto"/>
              <w:rPr>
                <w:rFonts w:eastAsia="Times New Roman" w:cs="Arial"/>
                <w:color w:val="000000"/>
                <w:sz w:val="20"/>
                <w:szCs w:val="20"/>
              </w:rPr>
            </w:pPr>
            <w:r w:rsidRPr="00DA3F73">
              <w:rPr>
                <w:rFonts w:eastAsia="Times New Roman" w:cs="Arial"/>
                <w:color w:val="000000"/>
                <w:sz w:val="20"/>
                <w:szCs w:val="20"/>
              </w:rPr>
              <w:t>Male</w:t>
            </w:r>
          </w:p>
        </w:tc>
        <w:tc>
          <w:tcPr>
            <w:tcW w:w="0" w:type="auto"/>
            <w:tcBorders>
              <w:top w:val="nil"/>
              <w:left w:val="nil"/>
              <w:bottom w:val="single" w:sz="4" w:space="0" w:color="auto"/>
              <w:right w:val="nil"/>
            </w:tcBorders>
            <w:shd w:val="clear" w:color="000000" w:fill="BFBFBF"/>
            <w:noWrap/>
            <w:vAlign w:val="center"/>
            <w:hideMark/>
          </w:tcPr>
          <w:p w14:paraId="7EA81240" w14:textId="77777777" w:rsidR="004A5D62" w:rsidRPr="00DA3F73" w:rsidRDefault="004A5D62" w:rsidP="00FF0738">
            <w:pPr>
              <w:spacing w:after="0" w:line="240" w:lineRule="auto"/>
              <w:jc w:val="right"/>
              <w:rPr>
                <w:rFonts w:eastAsia="Times New Roman" w:cs="Arial"/>
                <w:color w:val="000000"/>
                <w:sz w:val="20"/>
                <w:szCs w:val="20"/>
              </w:rPr>
            </w:pPr>
            <w:r w:rsidRPr="00DA3F73">
              <w:rPr>
                <w:rFonts w:eastAsia="Times New Roman" w:cs="Arial"/>
                <w:color w:val="000000"/>
                <w:sz w:val="20"/>
                <w:szCs w:val="20"/>
              </w:rPr>
              <w:t>62.35%</w:t>
            </w:r>
          </w:p>
        </w:tc>
        <w:tc>
          <w:tcPr>
            <w:tcW w:w="0" w:type="auto"/>
            <w:tcBorders>
              <w:top w:val="nil"/>
              <w:left w:val="nil"/>
              <w:bottom w:val="single" w:sz="4" w:space="0" w:color="auto"/>
              <w:right w:val="nil"/>
            </w:tcBorders>
            <w:shd w:val="clear" w:color="000000" w:fill="BFBFBF"/>
            <w:noWrap/>
            <w:vAlign w:val="center"/>
            <w:hideMark/>
          </w:tcPr>
          <w:p w14:paraId="10D12AF9" w14:textId="77777777" w:rsidR="004A5D62" w:rsidRPr="00DA3F73" w:rsidRDefault="004A5D62" w:rsidP="00FF0738">
            <w:pPr>
              <w:spacing w:after="0" w:line="240" w:lineRule="auto"/>
              <w:jc w:val="right"/>
              <w:rPr>
                <w:rFonts w:eastAsia="Times New Roman" w:cs="Arial"/>
                <w:color w:val="000000"/>
                <w:sz w:val="20"/>
                <w:szCs w:val="20"/>
              </w:rPr>
            </w:pPr>
            <w:r w:rsidRPr="00DA3F73">
              <w:rPr>
                <w:rFonts w:eastAsia="Times New Roman" w:cs="Arial"/>
                <w:color w:val="000000"/>
                <w:sz w:val="20"/>
                <w:szCs w:val="20"/>
              </w:rPr>
              <w:t>0.55%</w:t>
            </w:r>
          </w:p>
        </w:tc>
        <w:tc>
          <w:tcPr>
            <w:tcW w:w="0" w:type="auto"/>
            <w:tcBorders>
              <w:top w:val="nil"/>
              <w:left w:val="nil"/>
              <w:bottom w:val="single" w:sz="4" w:space="0" w:color="auto"/>
              <w:right w:val="nil"/>
            </w:tcBorders>
            <w:shd w:val="clear" w:color="000000" w:fill="BFBFBF"/>
            <w:noWrap/>
            <w:vAlign w:val="center"/>
            <w:hideMark/>
          </w:tcPr>
          <w:p w14:paraId="436A408A" w14:textId="77777777" w:rsidR="004A5D62" w:rsidRPr="00DA3F73" w:rsidRDefault="004A5D62" w:rsidP="00FF0738">
            <w:pPr>
              <w:spacing w:after="0" w:line="240" w:lineRule="auto"/>
              <w:jc w:val="right"/>
              <w:rPr>
                <w:rFonts w:eastAsia="Times New Roman" w:cs="Arial"/>
                <w:color w:val="000000"/>
                <w:sz w:val="20"/>
                <w:szCs w:val="20"/>
              </w:rPr>
            </w:pPr>
            <w:r w:rsidRPr="00DA3F73">
              <w:rPr>
                <w:rFonts w:eastAsia="Times New Roman" w:cs="Arial"/>
                <w:color w:val="000000"/>
                <w:sz w:val="20"/>
                <w:szCs w:val="20"/>
              </w:rPr>
              <w:t>0.55%</w:t>
            </w:r>
          </w:p>
        </w:tc>
      </w:tr>
      <w:tr w:rsidR="004A5D62" w:rsidRPr="00451D06" w14:paraId="455B0177" w14:textId="77777777" w:rsidTr="008E5330">
        <w:trPr>
          <w:trHeight w:val="283"/>
        </w:trPr>
        <w:tc>
          <w:tcPr>
            <w:tcW w:w="0" w:type="auto"/>
            <w:tcBorders>
              <w:top w:val="single" w:sz="4" w:space="0" w:color="auto"/>
              <w:left w:val="nil"/>
              <w:bottom w:val="single" w:sz="4" w:space="0" w:color="auto"/>
              <w:right w:val="nil"/>
            </w:tcBorders>
            <w:shd w:val="clear" w:color="auto" w:fill="D3C5D7"/>
            <w:noWrap/>
            <w:vAlign w:val="center"/>
            <w:hideMark/>
          </w:tcPr>
          <w:p w14:paraId="0E6A2067" w14:textId="77777777" w:rsidR="004A5D62" w:rsidRPr="00DA3F73" w:rsidRDefault="004A5D62" w:rsidP="00FF0738">
            <w:pPr>
              <w:spacing w:after="0" w:line="240" w:lineRule="auto"/>
              <w:rPr>
                <w:rFonts w:eastAsia="Times New Roman" w:cs="Arial"/>
                <w:b/>
                <w:bCs/>
                <w:color w:val="000000"/>
                <w:sz w:val="20"/>
                <w:szCs w:val="20"/>
              </w:rPr>
            </w:pPr>
            <w:r w:rsidRPr="00DA3F73">
              <w:rPr>
                <w:rFonts w:eastAsia="Times New Roman" w:cs="Arial"/>
                <w:b/>
                <w:bCs/>
                <w:color w:val="000000"/>
                <w:sz w:val="20"/>
                <w:szCs w:val="20"/>
              </w:rPr>
              <w:t>Total</w:t>
            </w:r>
          </w:p>
        </w:tc>
        <w:tc>
          <w:tcPr>
            <w:tcW w:w="0" w:type="auto"/>
            <w:tcBorders>
              <w:top w:val="single" w:sz="4" w:space="0" w:color="auto"/>
              <w:left w:val="nil"/>
              <w:bottom w:val="single" w:sz="4" w:space="0" w:color="auto"/>
              <w:right w:val="nil"/>
            </w:tcBorders>
            <w:shd w:val="clear" w:color="auto" w:fill="D3C5D7"/>
            <w:noWrap/>
            <w:vAlign w:val="center"/>
            <w:hideMark/>
          </w:tcPr>
          <w:p w14:paraId="1869C2AC" w14:textId="77777777" w:rsidR="004A5D62" w:rsidRPr="00DA3F73" w:rsidRDefault="004A5D62" w:rsidP="00FF0738">
            <w:pPr>
              <w:spacing w:after="0" w:line="240" w:lineRule="auto"/>
              <w:jc w:val="right"/>
              <w:rPr>
                <w:rFonts w:eastAsia="Times New Roman" w:cs="Arial"/>
                <w:b/>
                <w:bCs/>
                <w:color w:val="000000"/>
                <w:sz w:val="20"/>
                <w:szCs w:val="20"/>
              </w:rPr>
            </w:pPr>
            <w:r w:rsidRPr="00DA3F73">
              <w:rPr>
                <w:rFonts w:eastAsia="Times New Roman" w:cs="Arial"/>
                <w:b/>
                <w:bCs/>
                <w:color w:val="000000"/>
                <w:sz w:val="20"/>
                <w:szCs w:val="20"/>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2C5DFD41" w14:textId="77777777" w:rsidR="004A5D62" w:rsidRPr="00DA3F73" w:rsidRDefault="004A5D62" w:rsidP="00FF0738">
            <w:pPr>
              <w:spacing w:after="0" w:line="240" w:lineRule="auto"/>
              <w:jc w:val="right"/>
              <w:rPr>
                <w:rFonts w:eastAsia="Times New Roman" w:cs="Arial"/>
                <w:b/>
                <w:bCs/>
                <w:color w:val="000000"/>
                <w:sz w:val="20"/>
                <w:szCs w:val="20"/>
              </w:rPr>
            </w:pPr>
            <w:r w:rsidRPr="00DA3F73">
              <w:rPr>
                <w:rFonts w:eastAsia="Times New Roman" w:cs="Arial"/>
                <w:b/>
                <w:bCs/>
                <w:color w:val="000000"/>
                <w:sz w:val="20"/>
                <w:szCs w:val="20"/>
              </w:rPr>
              <w:t>0.93%</w:t>
            </w:r>
          </w:p>
        </w:tc>
        <w:tc>
          <w:tcPr>
            <w:tcW w:w="0" w:type="auto"/>
            <w:tcBorders>
              <w:top w:val="single" w:sz="4" w:space="0" w:color="auto"/>
              <w:left w:val="nil"/>
              <w:bottom w:val="single" w:sz="4" w:space="0" w:color="auto"/>
              <w:right w:val="nil"/>
            </w:tcBorders>
            <w:shd w:val="clear" w:color="auto" w:fill="D3C5D7"/>
            <w:noWrap/>
            <w:vAlign w:val="center"/>
            <w:hideMark/>
          </w:tcPr>
          <w:p w14:paraId="2CC96601" w14:textId="77777777" w:rsidR="004A5D62" w:rsidRPr="00DA3F73" w:rsidRDefault="004A5D62" w:rsidP="00FF0738">
            <w:pPr>
              <w:spacing w:after="0" w:line="240" w:lineRule="auto"/>
              <w:jc w:val="right"/>
              <w:rPr>
                <w:rFonts w:eastAsia="Times New Roman" w:cs="Arial"/>
                <w:b/>
                <w:bCs/>
                <w:color w:val="000000"/>
                <w:sz w:val="20"/>
                <w:szCs w:val="20"/>
              </w:rPr>
            </w:pPr>
            <w:r w:rsidRPr="00DA3F73">
              <w:rPr>
                <w:rFonts w:eastAsia="Times New Roman" w:cs="Arial"/>
                <w:b/>
                <w:bCs/>
                <w:color w:val="000000"/>
                <w:sz w:val="20"/>
                <w:szCs w:val="20"/>
              </w:rPr>
              <w:t>0.93%</w:t>
            </w:r>
          </w:p>
        </w:tc>
      </w:tr>
    </w:tbl>
    <w:p w14:paraId="4F54088C" w14:textId="77777777" w:rsidR="004A5D62" w:rsidRDefault="004A5D62" w:rsidP="00DA3F73">
      <w:pPr>
        <w:pStyle w:val="FSRnormal"/>
      </w:pPr>
      <w:r>
        <w:t xml:space="preserve">The mortality rates </w:t>
      </w:r>
      <w:r w:rsidR="00F5429E">
        <w:t>for females selected for the 2021-22 AFSR are again</w:t>
      </w:r>
      <w:r>
        <w:t xml:space="preserve"> higher than those </w:t>
      </w:r>
      <w:r w:rsidR="00FA6F25">
        <w:t>for</w:t>
      </w:r>
      <w:r>
        <w:t xml:space="preserve"> male</w:t>
      </w:r>
      <w:r w:rsidR="00FA6F25">
        <w:t>s</w:t>
      </w:r>
      <w:r>
        <w:t>, reflecting the high</w:t>
      </w:r>
      <w:r w:rsidR="00FA6F25">
        <w:t>er</w:t>
      </w:r>
      <w:r>
        <w:t xml:space="preserve"> proportion of female</w:t>
      </w:r>
      <w:r w:rsidR="00FA6F25">
        <w:t>s</w:t>
      </w:r>
      <w:r>
        <w:t xml:space="preserve"> being in </w:t>
      </w:r>
      <w:r w:rsidR="002E5522">
        <w:t>disability type and level of function cohorts with</w:t>
      </w:r>
      <w:r>
        <w:t xml:space="preserve"> </w:t>
      </w:r>
      <w:r w:rsidR="002E5522">
        <w:t xml:space="preserve">relatively </w:t>
      </w:r>
      <w:r>
        <w:t>high</w:t>
      </w:r>
      <w:r w:rsidR="002E5522">
        <w:t xml:space="preserve"> mortality</w:t>
      </w:r>
      <w:r>
        <w:t xml:space="preserve"> rates. Both the actual and percentage changes were very small for both male and female.</w:t>
      </w:r>
    </w:p>
    <w:p w14:paraId="65D8C64A" w14:textId="77777777" w:rsidR="004A5D62" w:rsidRDefault="004A5D62" w:rsidP="00DA3F73">
      <w:pPr>
        <w:pStyle w:val="FSRnormal"/>
      </w:pPr>
      <w:r>
        <w:t>Male</w:t>
      </w:r>
      <w:r w:rsidR="00724889">
        <w:t>s</w:t>
      </w:r>
      <w:r>
        <w:t xml:space="preserve"> continue to </w:t>
      </w:r>
      <w:r w:rsidR="00333606">
        <w:t xml:space="preserve">comprise </w:t>
      </w:r>
      <w:r>
        <w:t xml:space="preserve">a larger </w:t>
      </w:r>
      <w:r w:rsidR="00333606">
        <w:t>proportion of expected</w:t>
      </w:r>
      <w:r w:rsidR="00724889">
        <w:t xml:space="preserve"> Scheme mortality </w:t>
      </w:r>
      <w:r w:rsidR="00333606">
        <w:t xml:space="preserve">as they represent a greater number of </w:t>
      </w:r>
      <w:r w:rsidR="009F3FC1">
        <w:t>participants</w:t>
      </w:r>
      <w:r>
        <w:t>.</w:t>
      </w:r>
    </w:p>
    <w:p w14:paraId="483BE025" w14:textId="77777777" w:rsidR="00451D06" w:rsidRDefault="00451D06">
      <w:pPr>
        <w:spacing w:after="160" w:line="259" w:lineRule="auto"/>
        <w:rPr>
          <w:b/>
          <w:i/>
          <w:color w:val="F26322"/>
          <w:sz w:val="24"/>
        </w:rPr>
      </w:pPr>
      <w:r>
        <w:br w:type="page"/>
      </w:r>
    </w:p>
    <w:p w14:paraId="3C12CE6C" w14:textId="77777777" w:rsidR="004A5D62" w:rsidRDefault="004A5D62" w:rsidP="00DA3F73">
      <w:pPr>
        <w:pStyle w:val="FSRHeading6"/>
      </w:pPr>
      <w:r w:rsidRPr="00DA3F73">
        <w:lastRenderedPageBreak/>
        <w:t>By age group</w:t>
      </w:r>
    </w:p>
    <w:p w14:paraId="3885DD0D" w14:textId="77777777" w:rsidR="004A5D62" w:rsidRDefault="004A5D62" w:rsidP="00DA3F73">
      <w:pPr>
        <w:pStyle w:val="Tables"/>
      </w:pPr>
      <w:r>
        <w:t>Table</w:t>
      </w:r>
      <w:r w:rsidR="00451D06">
        <w:t xml:space="preserve"> J</w:t>
      </w:r>
      <w:r w:rsidR="00A87896">
        <w:t>.</w:t>
      </w:r>
      <w:fldSimple w:instr=" SEQ Table \* ARABIC \s 2 ">
        <w:r w:rsidR="00FC79AE">
          <w:rPr>
            <w:noProof/>
          </w:rPr>
          <w:t>13</w:t>
        </w:r>
      </w:fldSimple>
      <w:r w:rsidR="00451D06">
        <w:t>:</w:t>
      </w:r>
      <w:r>
        <w:t xml:space="preserve"> </w:t>
      </w:r>
      <w:r w:rsidR="007A7E7B">
        <w:t>Actual and expected</w:t>
      </w:r>
      <w:r w:rsidR="007A7E7B" w:rsidRPr="000A6F27">
        <w:t xml:space="preserve"> </w:t>
      </w:r>
      <w:r w:rsidRPr="000A6F27">
        <w:t>mortality rates by age group</w:t>
      </w:r>
    </w:p>
    <w:tbl>
      <w:tblPr>
        <w:tblW w:w="9026" w:type="dxa"/>
        <w:tblLayout w:type="fixed"/>
        <w:tblLook w:val="04A0" w:firstRow="1" w:lastRow="0" w:firstColumn="1" w:lastColumn="0" w:noHBand="0" w:noVBand="1"/>
      </w:tblPr>
      <w:tblGrid>
        <w:gridCol w:w="1134"/>
        <w:gridCol w:w="1418"/>
        <w:gridCol w:w="984"/>
        <w:gridCol w:w="1500"/>
        <w:gridCol w:w="1439"/>
        <w:gridCol w:w="1284"/>
        <w:gridCol w:w="1267"/>
      </w:tblGrid>
      <w:tr w:rsidR="004A5D62" w:rsidRPr="00925A85" w14:paraId="23497240" w14:textId="77777777" w:rsidTr="00252EAF">
        <w:trPr>
          <w:trHeight w:val="408"/>
          <w:tblHeader/>
        </w:trPr>
        <w:tc>
          <w:tcPr>
            <w:tcW w:w="1134" w:type="dxa"/>
            <w:tcBorders>
              <w:top w:val="nil"/>
              <w:left w:val="nil"/>
              <w:bottom w:val="nil"/>
              <w:right w:val="nil"/>
            </w:tcBorders>
            <w:shd w:val="clear" w:color="auto" w:fill="6B2976"/>
            <w:noWrap/>
            <w:vAlign w:val="bottom"/>
            <w:hideMark/>
          </w:tcPr>
          <w:p w14:paraId="027E1112" w14:textId="77777777" w:rsidR="004A5D62" w:rsidRPr="00925A85" w:rsidRDefault="004A5D62" w:rsidP="004A5D62">
            <w:pPr>
              <w:spacing w:after="0" w:line="240" w:lineRule="auto"/>
              <w:rPr>
                <w:rFonts w:eastAsia="Times New Roman" w:cs="Arial"/>
                <w:sz w:val="20"/>
                <w:szCs w:val="20"/>
              </w:rPr>
            </w:pPr>
          </w:p>
        </w:tc>
        <w:tc>
          <w:tcPr>
            <w:tcW w:w="1418" w:type="dxa"/>
            <w:tcBorders>
              <w:top w:val="nil"/>
              <w:left w:val="nil"/>
              <w:bottom w:val="nil"/>
              <w:right w:val="nil"/>
            </w:tcBorders>
            <w:shd w:val="clear" w:color="auto" w:fill="6B2976"/>
            <w:noWrap/>
            <w:vAlign w:val="bottom"/>
            <w:hideMark/>
          </w:tcPr>
          <w:p w14:paraId="39618EBF" w14:textId="77777777" w:rsidR="004A5D62" w:rsidRPr="00925A85" w:rsidRDefault="004A5D62" w:rsidP="004A5D62">
            <w:pPr>
              <w:spacing w:after="0" w:line="240" w:lineRule="auto"/>
              <w:rPr>
                <w:rFonts w:eastAsia="Times New Roman" w:cs="Arial"/>
                <w:sz w:val="20"/>
                <w:szCs w:val="20"/>
              </w:rPr>
            </w:pPr>
          </w:p>
        </w:tc>
        <w:tc>
          <w:tcPr>
            <w:tcW w:w="6474" w:type="dxa"/>
            <w:gridSpan w:val="5"/>
            <w:tcBorders>
              <w:top w:val="nil"/>
              <w:left w:val="nil"/>
              <w:bottom w:val="single" w:sz="4" w:space="0" w:color="FFFFFF" w:themeColor="background1"/>
              <w:right w:val="nil"/>
            </w:tcBorders>
            <w:shd w:val="clear" w:color="auto" w:fill="6B2976"/>
            <w:noWrap/>
            <w:vAlign w:val="center"/>
            <w:hideMark/>
          </w:tcPr>
          <w:p w14:paraId="6EADF97F" w14:textId="77777777" w:rsidR="004A5D62" w:rsidRPr="00925A85" w:rsidRDefault="004A5D62">
            <w:pPr>
              <w:spacing w:after="0" w:line="240" w:lineRule="auto"/>
              <w:jc w:val="center"/>
              <w:rPr>
                <w:rFonts w:eastAsia="Times New Roman" w:cs="Arial"/>
                <w:b/>
                <w:bCs/>
                <w:color w:val="FFFFFF"/>
                <w:sz w:val="20"/>
                <w:szCs w:val="20"/>
              </w:rPr>
            </w:pPr>
            <w:r w:rsidRPr="00925A85">
              <w:rPr>
                <w:rFonts w:eastAsia="Times New Roman" w:cs="Arial"/>
                <w:b/>
                <w:bCs/>
                <w:color w:val="FFFFFF"/>
                <w:sz w:val="20"/>
                <w:szCs w:val="20"/>
              </w:rPr>
              <w:t>Mortality Rates</w:t>
            </w:r>
          </w:p>
        </w:tc>
      </w:tr>
      <w:tr w:rsidR="007768B5" w:rsidRPr="00925A85" w14:paraId="72A392B9" w14:textId="77777777" w:rsidTr="00252EAF">
        <w:trPr>
          <w:trHeight w:val="617"/>
          <w:tblHeader/>
        </w:trPr>
        <w:tc>
          <w:tcPr>
            <w:tcW w:w="1134" w:type="dxa"/>
            <w:tcBorders>
              <w:top w:val="nil"/>
              <w:left w:val="nil"/>
              <w:bottom w:val="nil"/>
              <w:right w:val="nil"/>
            </w:tcBorders>
            <w:shd w:val="clear" w:color="000000" w:fill="6B2976"/>
            <w:vAlign w:val="center"/>
            <w:hideMark/>
          </w:tcPr>
          <w:p w14:paraId="53B0D77E" w14:textId="77777777" w:rsidR="007768B5" w:rsidRPr="00925A85" w:rsidRDefault="007768B5" w:rsidP="007768B5">
            <w:pPr>
              <w:spacing w:after="0" w:line="240" w:lineRule="auto"/>
              <w:rPr>
                <w:rFonts w:eastAsia="Times New Roman" w:cs="Arial"/>
                <w:b/>
                <w:bCs/>
                <w:color w:val="FFFFFF"/>
                <w:sz w:val="20"/>
                <w:szCs w:val="20"/>
              </w:rPr>
            </w:pPr>
            <w:r w:rsidRPr="00925A85">
              <w:rPr>
                <w:rFonts w:eastAsia="Times New Roman" w:cs="Arial"/>
                <w:b/>
                <w:bCs/>
                <w:color w:val="FFFFFF"/>
                <w:sz w:val="20"/>
                <w:szCs w:val="20"/>
              </w:rPr>
              <w:t>Age</w:t>
            </w:r>
          </w:p>
        </w:tc>
        <w:tc>
          <w:tcPr>
            <w:tcW w:w="1418" w:type="dxa"/>
            <w:tcBorders>
              <w:top w:val="nil"/>
              <w:left w:val="nil"/>
              <w:bottom w:val="nil"/>
              <w:right w:val="nil"/>
            </w:tcBorders>
            <w:shd w:val="clear" w:color="000000" w:fill="6B2976"/>
            <w:vAlign w:val="center"/>
            <w:hideMark/>
          </w:tcPr>
          <w:p w14:paraId="4247D93C" w14:textId="77777777" w:rsidR="007768B5" w:rsidRPr="00925A85" w:rsidRDefault="007768B5" w:rsidP="007768B5">
            <w:pPr>
              <w:spacing w:after="0" w:line="240" w:lineRule="auto"/>
              <w:jc w:val="right"/>
              <w:rPr>
                <w:rFonts w:eastAsia="Times New Roman" w:cs="Arial"/>
                <w:b/>
                <w:bCs/>
                <w:color w:val="FFFFFF"/>
                <w:sz w:val="20"/>
                <w:szCs w:val="20"/>
              </w:rPr>
            </w:pPr>
            <w:r w:rsidRPr="00252EAF">
              <w:rPr>
                <w:rFonts w:eastAsia="Times New Roman" w:cs="Arial"/>
                <w:b/>
                <w:bCs/>
                <w:color w:val="FFFFFF"/>
                <w:sz w:val="20"/>
                <w:szCs w:val="20"/>
              </w:rPr>
              <w:t>Exposure (participant years)</w:t>
            </w:r>
          </w:p>
        </w:tc>
        <w:tc>
          <w:tcPr>
            <w:tcW w:w="984" w:type="dxa"/>
            <w:tcBorders>
              <w:top w:val="single" w:sz="4" w:space="0" w:color="FFFFFF" w:themeColor="background1"/>
              <w:left w:val="nil"/>
              <w:bottom w:val="nil"/>
              <w:right w:val="nil"/>
            </w:tcBorders>
            <w:shd w:val="clear" w:color="000000" w:fill="6B2976"/>
            <w:vAlign w:val="center"/>
            <w:hideMark/>
          </w:tcPr>
          <w:p w14:paraId="5965B22E" w14:textId="77777777" w:rsidR="007768B5" w:rsidRPr="00925A85" w:rsidRDefault="00C210E3" w:rsidP="007768B5">
            <w:pPr>
              <w:spacing w:after="0" w:line="240" w:lineRule="auto"/>
              <w:jc w:val="right"/>
              <w:rPr>
                <w:rFonts w:eastAsia="Times New Roman" w:cs="Arial"/>
                <w:b/>
                <w:bCs/>
                <w:color w:val="FFFFFF"/>
                <w:sz w:val="20"/>
                <w:szCs w:val="20"/>
              </w:rPr>
            </w:pPr>
            <w:r w:rsidRPr="00252EAF">
              <w:rPr>
                <w:rFonts w:eastAsia="Times New Roman" w:cs="Arial"/>
                <w:b/>
                <w:bCs/>
                <w:color w:val="FFFFFF"/>
                <w:sz w:val="20"/>
                <w:szCs w:val="20"/>
              </w:rPr>
              <w:t>Actual</w:t>
            </w:r>
          </w:p>
        </w:tc>
        <w:tc>
          <w:tcPr>
            <w:tcW w:w="1500" w:type="dxa"/>
            <w:tcBorders>
              <w:top w:val="single" w:sz="4" w:space="0" w:color="FFFFFF" w:themeColor="background1"/>
              <w:left w:val="nil"/>
              <w:bottom w:val="nil"/>
              <w:right w:val="nil"/>
            </w:tcBorders>
            <w:shd w:val="clear" w:color="000000" w:fill="6B2976"/>
            <w:vAlign w:val="center"/>
            <w:hideMark/>
          </w:tcPr>
          <w:p w14:paraId="2D717151" w14:textId="77777777" w:rsidR="007768B5" w:rsidRPr="00925A85" w:rsidRDefault="007768B5" w:rsidP="007768B5">
            <w:pPr>
              <w:spacing w:after="0" w:line="240" w:lineRule="auto"/>
              <w:jc w:val="right"/>
              <w:rPr>
                <w:rFonts w:eastAsia="Times New Roman" w:cs="Arial"/>
                <w:b/>
                <w:bCs/>
                <w:color w:val="FFFFFF"/>
                <w:sz w:val="20"/>
                <w:szCs w:val="20"/>
              </w:rPr>
            </w:pPr>
            <w:r w:rsidRPr="00252EAF">
              <w:rPr>
                <w:rFonts w:eastAsia="Times New Roman" w:cs="Arial"/>
                <w:b/>
                <w:bCs/>
                <w:color w:val="FFFFFF"/>
                <w:sz w:val="20"/>
                <w:szCs w:val="20"/>
              </w:rPr>
              <w:t>2020-21 AFSR Expected</w:t>
            </w:r>
          </w:p>
        </w:tc>
        <w:tc>
          <w:tcPr>
            <w:tcW w:w="1439" w:type="dxa"/>
            <w:tcBorders>
              <w:top w:val="single" w:sz="4" w:space="0" w:color="FFFFFF" w:themeColor="background1"/>
              <w:left w:val="nil"/>
              <w:bottom w:val="nil"/>
              <w:right w:val="nil"/>
            </w:tcBorders>
            <w:shd w:val="clear" w:color="000000" w:fill="6B2976"/>
            <w:vAlign w:val="center"/>
            <w:hideMark/>
          </w:tcPr>
          <w:p w14:paraId="74150BC3" w14:textId="77777777" w:rsidR="007768B5" w:rsidRPr="00925A85" w:rsidRDefault="007768B5" w:rsidP="007768B5">
            <w:pPr>
              <w:spacing w:after="0" w:line="240" w:lineRule="auto"/>
              <w:jc w:val="right"/>
              <w:rPr>
                <w:rFonts w:eastAsia="Times New Roman" w:cs="Arial"/>
                <w:b/>
                <w:bCs/>
                <w:color w:val="FFFFFF"/>
                <w:sz w:val="20"/>
                <w:szCs w:val="20"/>
              </w:rPr>
            </w:pPr>
            <w:r w:rsidRPr="00252EAF">
              <w:rPr>
                <w:rFonts w:eastAsia="Times New Roman" w:cs="Arial"/>
                <w:b/>
                <w:bCs/>
                <w:color w:val="FFFFFF"/>
                <w:sz w:val="20"/>
                <w:szCs w:val="20"/>
              </w:rPr>
              <w:t>Selected (Initial)</w:t>
            </w:r>
          </w:p>
        </w:tc>
        <w:tc>
          <w:tcPr>
            <w:tcW w:w="1284" w:type="dxa"/>
            <w:tcBorders>
              <w:top w:val="single" w:sz="4" w:space="0" w:color="FFFFFF" w:themeColor="background1"/>
              <w:left w:val="nil"/>
              <w:bottom w:val="nil"/>
              <w:right w:val="nil"/>
            </w:tcBorders>
            <w:shd w:val="clear" w:color="000000" w:fill="6B2976"/>
            <w:vAlign w:val="center"/>
            <w:hideMark/>
          </w:tcPr>
          <w:p w14:paraId="667121C9" w14:textId="77777777" w:rsidR="007768B5" w:rsidRPr="00925A85" w:rsidRDefault="007768B5" w:rsidP="007768B5">
            <w:pPr>
              <w:spacing w:after="0" w:line="240" w:lineRule="auto"/>
              <w:jc w:val="right"/>
              <w:rPr>
                <w:rFonts w:eastAsia="Times New Roman" w:cs="Arial"/>
                <w:b/>
                <w:bCs/>
                <w:color w:val="FFFFFF"/>
                <w:sz w:val="20"/>
                <w:szCs w:val="20"/>
              </w:rPr>
            </w:pPr>
            <w:r w:rsidRPr="00252EAF">
              <w:rPr>
                <w:rFonts w:eastAsia="Times New Roman" w:cs="Arial"/>
                <w:b/>
                <w:bCs/>
                <w:color w:val="FFFFFF"/>
                <w:sz w:val="20"/>
                <w:szCs w:val="20"/>
              </w:rPr>
              <w:t xml:space="preserve">Selected </w:t>
            </w:r>
            <w:r w:rsidRPr="00252EAF">
              <w:rPr>
                <w:rFonts w:eastAsia="Times New Roman" w:cs="Arial"/>
                <w:b/>
                <w:bCs/>
                <w:color w:val="FFFFFF"/>
                <w:sz w:val="20"/>
                <w:szCs w:val="20"/>
              </w:rPr>
              <w:br/>
              <w:t>(new ALT)</w:t>
            </w:r>
          </w:p>
        </w:tc>
        <w:tc>
          <w:tcPr>
            <w:tcW w:w="1267" w:type="dxa"/>
            <w:tcBorders>
              <w:top w:val="single" w:sz="4" w:space="0" w:color="FFFFFF" w:themeColor="background1"/>
              <w:left w:val="nil"/>
              <w:bottom w:val="nil"/>
              <w:right w:val="nil"/>
            </w:tcBorders>
            <w:shd w:val="clear" w:color="000000" w:fill="6B2976"/>
            <w:vAlign w:val="center"/>
            <w:hideMark/>
          </w:tcPr>
          <w:p w14:paraId="1D2A163B" w14:textId="77777777" w:rsidR="007768B5" w:rsidRPr="00925A85" w:rsidRDefault="007768B5" w:rsidP="007768B5">
            <w:pPr>
              <w:spacing w:after="0" w:line="240" w:lineRule="auto"/>
              <w:jc w:val="right"/>
              <w:rPr>
                <w:rFonts w:eastAsia="Times New Roman" w:cs="Arial"/>
                <w:b/>
                <w:bCs/>
                <w:color w:val="FFFFFF"/>
                <w:sz w:val="20"/>
                <w:szCs w:val="20"/>
              </w:rPr>
            </w:pPr>
            <w:r w:rsidRPr="00252EAF">
              <w:rPr>
                <w:rFonts w:eastAsia="Times New Roman" w:cs="Arial"/>
                <w:b/>
                <w:bCs/>
                <w:color w:val="FFFFFF"/>
                <w:sz w:val="20"/>
                <w:szCs w:val="20"/>
              </w:rPr>
              <w:t>2021-22 AFSR Expected</w:t>
            </w:r>
          </w:p>
        </w:tc>
      </w:tr>
      <w:tr w:rsidR="00C210E3" w:rsidRPr="00925A85" w14:paraId="4507CEA1" w14:textId="77777777" w:rsidTr="00252EAF">
        <w:trPr>
          <w:trHeight w:val="293"/>
        </w:trPr>
        <w:tc>
          <w:tcPr>
            <w:tcW w:w="1134" w:type="dxa"/>
            <w:tcBorders>
              <w:top w:val="nil"/>
              <w:left w:val="nil"/>
              <w:bottom w:val="nil"/>
              <w:right w:val="nil"/>
            </w:tcBorders>
            <w:shd w:val="clear" w:color="auto" w:fill="auto"/>
            <w:noWrap/>
            <w:vAlign w:val="center"/>
            <w:hideMark/>
          </w:tcPr>
          <w:p w14:paraId="0840B361" w14:textId="77777777" w:rsidR="00C210E3" w:rsidRPr="00925A85" w:rsidRDefault="00C210E3" w:rsidP="00C210E3">
            <w:pPr>
              <w:spacing w:after="0" w:line="240" w:lineRule="auto"/>
              <w:rPr>
                <w:rFonts w:eastAsia="Times New Roman" w:cs="Arial"/>
                <w:color w:val="000000"/>
                <w:sz w:val="20"/>
                <w:szCs w:val="20"/>
              </w:rPr>
            </w:pPr>
            <w:r w:rsidRPr="00925A85">
              <w:rPr>
                <w:rFonts w:eastAsia="Times New Roman" w:cs="Arial"/>
                <w:color w:val="000000"/>
                <w:sz w:val="20"/>
                <w:szCs w:val="20"/>
              </w:rPr>
              <w:t>0 to 6</w:t>
            </w:r>
          </w:p>
        </w:tc>
        <w:tc>
          <w:tcPr>
            <w:tcW w:w="1418" w:type="dxa"/>
            <w:tcBorders>
              <w:top w:val="nil"/>
              <w:left w:val="nil"/>
              <w:bottom w:val="nil"/>
              <w:right w:val="nil"/>
            </w:tcBorders>
            <w:shd w:val="clear" w:color="auto" w:fill="auto"/>
            <w:noWrap/>
            <w:vAlign w:val="center"/>
            <w:hideMark/>
          </w:tcPr>
          <w:p w14:paraId="352E4091"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78,864</w:t>
            </w:r>
          </w:p>
        </w:tc>
        <w:tc>
          <w:tcPr>
            <w:tcW w:w="984" w:type="dxa"/>
            <w:tcBorders>
              <w:top w:val="nil"/>
              <w:left w:val="nil"/>
              <w:bottom w:val="nil"/>
              <w:right w:val="nil"/>
            </w:tcBorders>
            <w:shd w:val="clear" w:color="auto" w:fill="auto"/>
            <w:noWrap/>
            <w:vAlign w:val="center"/>
            <w:hideMark/>
          </w:tcPr>
          <w:p w14:paraId="4A6FDA95" w14:textId="77777777" w:rsidR="00C210E3" w:rsidRPr="00252EAF" w:rsidRDefault="00C210E3" w:rsidP="00C210E3">
            <w:pPr>
              <w:spacing w:after="0" w:line="240" w:lineRule="auto"/>
              <w:jc w:val="right"/>
              <w:rPr>
                <w:rFonts w:eastAsia="Times New Roman" w:cs="Arial"/>
                <w:color w:val="000000"/>
                <w:sz w:val="20"/>
                <w:szCs w:val="20"/>
                <w:highlight w:val="yellow"/>
              </w:rPr>
            </w:pPr>
            <w:r w:rsidRPr="00252EAF">
              <w:rPr>
                <w:rFonts w:cs="Arial"/>
                <w:sz w:val="20"/>
                <w:szCs w:val="20"/>
              </w:rPr>
              <w:t>0.09%</w:t>
            </w:r>
          </w:p>
        </w:tc>
        <w:tc>
          <w:tcPr>
            <w:tcW w:w="1500" w:type="dxa"/>
            <w:tcBorders>
              <w:top w:val="nil"/>
              <w:left w:val="nil"/>
              <w:bottom w:val="nil"/>
              <w:right w:val="nil"/>
            </w:tcBorders>
            <w:shd w:val="clear" w:color="auto" w:fill="auto"/>
            <w:noWrap/>
            <w:vAlign w:val="center"/>
            <w:hideMark/>
          </w:tcPr>
          <w:p w14:paraId="40217326"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0.11%</w:t>
            </w:r>
          </w:p>
        </w:tc>
        <w:tc>
          <w:tcPr>
            <w:tcW w:w="1439" w:type="dxa"/>
            <w:tcBorders>
              <w:top w:val="nil"/>
              <w:left w:val="nil"/>
              <w:bottom w:val="nil"/>
              <w:right w:val="nil"/>
            </w:tcBorders>
            <w:shd w:val="clear" w:color="auto" w:fill="auto"/>
            <w:noWrap/>
            <w:vAlign w:val="center"/>
            <w:hideMark/>
          </w:tcPr>
          <w:p w14:paraId="5E4B5DA8"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0.11%</w:t>
            </w:r>
          </w:p>
        </w:tc>
        <w:tc>
          <w:tcPr>
            <w:tcW w:w="1284" w:type="dxa"/>
            <w:tcBorders>
              <w:top w:val="nil"/>
              <w:left w:val="nil"/>
              <w:bottom w:val="nil"/>
              <w:right w:val="nil"/>
            </w:tcBorders>
            <w:shd w:val="clear" w:color="auto" w:fill="auto"/>
            <w:noWrap/>
            <w:vAlign w:val="center"/>
            <w:hideMark/>
          </w:tcPr>
          <w:p w14:paraId="0C54E29B"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0.10%</w:t>
            </w:r>
          </w:p>
        </w:tc>
        <w:tc>
          <w:tcPr>
            <w:tcW w:w="1267" w:type="dxa"/>
            <w:tcBorders>
              <w:top w:val="nil"/>
              <w:left w:val="nil"/>
              <w:bottom w:val="nil"/>
              <w:right w:val="nil"/>
            </w:tcBorders>
            <w:shd w:val="clear" w:color="auto" w:fill="auto"/>
            <w:noWrap/>
            <w:vAlign w:val="center"/>
            <w:hideMark/>
          </w:tcPr>
          <w:p w14:paraId="2F860F5A"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0.10%</w:t>
            </w:r>
          </w:p>
        </w:tc>
      </w:tr>
      <w:tr w:rsidR="00C210E3" w:rsidRPr="00925A85" w14:paraId="0A4D05B6" w14:textId="77777777" w:rsidTr="00252EAF">
        <w:trPr>
          <w:trHeight w:val="293"/>
        </w:trPr>
        <w:tc>
          <w:tcPr>
            <w:tcW w:w="1134" w:type="dxa"/>
            <w:tcBorders>
              <w:top w:val="nil"/>
              <w:left w:val="nil"/>
              <w:bottom w:val="nil"/>
              <w:right w:val="nil"/>
            </w:tcBorders>
            <w:shd w:val="clear" w:color="000000" w:fill="BFBFBF"/>
            <w:noWrap/>
            <w:vAlign w:val="center"/>
            <w:hideMark/>
          </w:tcPr>
          <w:p w14:paraId="578ED5A5" w14:textId="77777777" w:rsidR="00C210E3" w:rsidRPr="00925A85" w:rsidRDefault="00C210E3" w:rsidP="00C210E3">
            <w:pPr>
              <w:spacing w:after="0" w:line="240" w:lineRule="auto"/>
              <w:rPr>
                <w:rFonts w:eastAsia="Times New Roman" w:cs="Arial"/>
                <w:color w:val="000000"/>
                <w:sz w:val="20"/>
                <w:szCs w:val="20"/>
              </w:rPr>
            </w:pPr>
            <w:r w:rsidRPr="00925A85">
              <w:rPr>
                <w:rFonts w:eastAsia="Times New Roman" w:cs="Arial"/>
                <w:color w:val="000000"/>
                <w:sz w:val="20"/>
                <w:szCs w:val="20"/>
              </w:rPr>
              <w:t>7 to 14</w:t>
            </w:r>
          </w:p>
        </w:tc>
        <w:tc>
          <w:tcPr>
            <w:tcW w:w="1418" w:type="dxa"/>
            <w:tcBorders>
              <w:top w:val="nil"/>
              <w:left w:val="nil"/>
              <w:bottom w:val="nil"/>
              <w:right w:val="nil"/>
            </w:tcBorders>
            <w:shd w:val="clear" w:color="000000" w:fill="BFBFBF"/>
            <w:noWrap/>
            <w:vAlign w:val="center"/>
            <w:hideMark/>
          </w:tcPr>
          <w:p w14:paraId="1DA70F02"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130,463</w:t>
            </w:r>
          </w:p>
        </w:tc>
        <w:tc>
          <w:tcPr>
            <w:tcW w:w="984" w:type="dxa"/>
            <w:tcBorders>
              <w:top w:val="nil"/>
              <w:left w:val="nil"/>
              <w:bottom w:val="nil"/>
              <w:right w:val="nil"/>
            </w:tcBorders>
            <w:shd w:val="clear" w:color="000000" w:fill="BFBFBF"/>
            <w:noWrap/>
            <w:vAlign w:val="center"/>
            <w:hideMark/>
          </w:tcPr>
          <w:p w14:paraId="2CF78111" w14:textId="77777777" w:rsidR="00C210E3" w:rsidRPr="00252EAF" w:rsidRDefault="00C210E3" w:rsidP="00C210E3">
            <w:pPr>
              <w:spacing w:after="0" w:line="240" w:lineRule="auto"/>
              <w:jc w:val="right"/>
              <w:rPr>
                <w:rFonts w:eastAsia="Times New Roman" w:cs="Arial"/>
                <w:color w:val="000000"/>
                <w:sz w:val="20"/>
                <w:szCs w:val="20"/>
                <w:highlight w:val="yellow"/>
              </w:rPr>
            </w:pPr>
            <w:r w:rsidRPr="00252EAF">
              <w:rPr>
                <w:rFonts w:cs="Arial"/>
                <w:sz w:val="20"/>
                <w:szCs w:val="20"/>
              </w:rPr>
              <w:t>0.06%</w:t>
            </w:r>
          </w:p>
        </w:tc>
        <w:tc>
          <w:tcPr>
            <w:tcW w:w="1500" w:type="dxa"/>
            <w:tcBorders>
              <w:top w:val="nil"/>
              <w:left w:val="nil"/>
              <w:bottom w:val="nil"/>
              <w:right w:val="nil"/>
            </w:tcBorders>
            <w:shd w:val="clear" w:color="000000" w:fill="BFBFBF"/>
            <w:noWrap/>
            <w:vAlign w:val="center"/>
            <w:hideMark/>
          </w:tcPr>
          <w:p w14:paraId="2E1F2BA3"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0.07%</w:t>
            </w:r>
          </w:p>
        </w:tc>
        <w:tc>
          <w:tcPr>
            <w:tcW w:w="1439" w:type="dxa"/>
            <w:tcBorders>
              <w:top w:val="nil"/>
              <w:left w:val="nil"/>
              <w:bottom w:val="nil"/>
              <w:right w:val="nil"/>
            </w:tcBorders>
            <w:shd w:val="clear" w:color="000000" w:fill="BFBFBF"/>
            <w:noWrap/>
            <w:vAlign w:val="center"/>
            <w:hideMark/>
          </w:tcPr>
          <w:p w14:paraId="7CD9EA79"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0.07%</w:t>
            </w:r>
          </w:p>
        </w:tc>
        <w:tc>
          <w:tcPr>
            <w:tcW w:w="1284" w:type="dxa"/>
            <w:tcBorders>
              <w:top w:val="nil"/>
              <w:left w:val="nil"/>
              <w:bottom w:val="nil"/>
              <w:right w:val="nil"/>
            </w:tcBorders>
            <w:shd w:val="clear" w:color="000000" w:fill="BFBFBF"/>
            <w:noWrap/>
            <w:vAlign w:val="center"/>
            <w:hideMark/>
          </w:tcPr>
          <w:p w14:paraId="4F051121"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0.06%</w:t>
            </w:r>
          </w:p>
        </w:tc>
        <w:tc>
          <w:tcPr>
            <w:tcW w:w="1267" w:type="dxa"/>
            <w:tcBorders>
              <w:top w:val="nil"/>
              <w:left w:val="nil"/>
              <w:bottom w:val="nil"/>
              <w:right w:val="nil"/>
            </w:tcBorders>
            <w:shd w:val="clear" w:color="000000" w:fill="BFBFBF"/>
            <w:noWrap/>
            <w:vAlign w:val="center"/>
            <w:hideMark/>
          </w:tcPr>
          <w:p w14:paraId="106EEB7E"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0.07%</w:t>
            </w:r>
          </w:p>
        </w:tc>
      </w:tr>
      <w:tr w:rsidR="00C210E3" w:rsidRPr="00925A85" w14:paraId="2D538792" w14:textId="77777777" w:rsidTr="00252EAF">
        <w:trPr>
          <w:trHeight w:val="293"/>
        </w:trPr>
        <w:tc>
          <w:tcPr>
            <w:tcW w:w="1134" w:type="dxa"/>
            <w:tcBorders>
              <w:top w:val="nil"/>
              <w:left w:val="nil"/>
              <w:bottom w:val="nil"/>
              <w:right w:val="nil"/>
            </w:tcBorders>
            <w:shd w:val="clear" w:color="auto" w:fill="auto"/>
            <w:noWrap/>
            <w:vAlign w:val="center"/>
            <w:hideMark/>
          </w:tcPr>
          <w:p w14:paraId="47E0CECA" w14:textId="77777777" w:rsidR="00C210E3" w:rsidRPr="00925A85" w:rsidRDefault="00C210E3" w:rsidP="00C210E3">
            <w:pPr>
              <w:spacing w:after="0" w:line="240" w:lineRule="auto"/>
              <w:rPr>
                <w:rFonts w:eastAsia="Times New Roman" w:cs="Arial"/>
                <w:color w:val="000000"/>
                <w:sz w:val="20"/>
                <w:szCs w:val="20"/>
              </w:rPr>
            </w:pPr>
            <w:r w:rsidRPr="00925A85">
              <w:rPr>
                <w:rFonts w:eastAsia="Times New Roman" w:cs="Arial"/>
                <w:color w:val="000000"/>
                <w:sz w:val="20"/>
                <w:szCs w:val="20"/>
              </w:rPr>
              <w:t>15 to 18</w:t>
            </w:r>
          </w:p>
        </w:tc>
        <w:tc>
          <w:tcPr>
            <w:tcW w:w="1418" w:type="dxa"/>
            <w:tcBorders>
              <w:top w:val="nil"/>
              <w:left w:val="nil"/>
              <w:bottom w:val="nil"/>
              <w:right w:val="nil"/>
            </w:tcBorders>
            <w:shd w:val="clear" w:color="auto" w:fill="auto"/>
            <w:noWrap/>
            <w:vAlign w:val="center"/>
            <w:hideMark/>
          </w:tcPr>
          <w:p w14:paraId="1669F3A7"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39,145</w:t>
            </w:r>
          </w:p>
        </w:tc>
        <w:tc>
          <w:tcPr>
            <w:tcW w:w="984" w:type="dxa"/>
            <w:tcBorders>
              <w:top w:val="nil"/>
              <w:left w:val="nil"/>
              <w:bottom w:val="nil"/>
              <w:right w:val="nil"/>
            </w:tcBorders>
            <w:shd w:val="clear" w:color="auto" w:fill="auto"/>
            <w:noWrap/>
            <w:vAlign w:val="center"/>
            <w:hideMark/>
          </w:tcPr>
          <w:p w14:paraId="79B50017" w14:textId="77777777" w:rsidR="00C210E3" w:rsidRPr="00252EAF" w:rsidRDefault="00C210E3" w:rsidP="00C210E3">
            <w:pPr>
              <w:spacing w:after="0" w:line="240" w:lineRule="auto"/>
              <w:jc w:val="right"/>
              <w:rPr>
                <w:rFonts w:eastAsia="Times New Roman" w:cs="Arial"/>
                <w:color w:val="000000"/>
                <w:sz w:val="20"/>
                <w:szCs w:val="20"/>
                <w:highlight w:val="yellow"/>
              </w:rPr>
            </w:pPr>
            <w:r w:rsidRPr="00252EAF">
              <w:rPr>
                <w:rFonts w:cs="Arial"/>
                <w:sz w:val="20"/>
                <w:szCs w:val="20"/>
              </w:rPr>
              <w:t>0.14%</w:t>
            </w:r>
          </w:p>
        </w:tc>
        <w:tc>
          <w:tcPr>
            <w:tcW w:w="1500" w:type="dxa"/>
            <w:tcBorders>
              <w:top w:val="nil"/>
              <w:left w:val="nil"/>
              <w:bottom w:val="nil"/>
              <w:right w:val="nil"/>
            </w:tcBorders>
            <w:shd w:val="clear" w:color="auto" w:fill="auto"/>
            <w:noWrap/>
            <w:vAlign w:val="center"/>
            <w:hideMark/>
          </w:tcPr>
          <w:p w14:paraId="2FD17BED"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0.14%</w:t>
            </w:r>
          </w:p>
        </w:tc>
        <w:tc>
          <w:tcPr>
            <w:tcW w:w="1439" w:type="dxa"/>
            <w:tcBorders>
              <w:top w:val="nil"/>
              <w:left w:val="nil"/>
              <w:bottom w:val="nil"/>
              <w:right w:val="nil"/>
            </w:tcBorders>
            <w:shd w:val="clear" w:color="auto" w:fill="auto"/>
            <w:noWrap/>
            <w:vAlign w:val="center"/>
            <w:hideMark/>
          </w:tcPr>
          <w:p w14:paraId="128BF975"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0.15%</w:t>
            </w:r>
          </w:p>
        </w:tc>
        <w:tc>
          <w:tcPr>
            <w:tcW w:w="1284" w:type="dxa"/>
            <w:tcBorders>
              <w:top w:val="nil"/>
              <w:left w:val="nil"/>
              <w:bottom w:val="nil"/>
              <w:right w:val="nil"/>
            </w:tcBorders>
            <w:shd w:val="clear" w:color="auto" w:fill="auto"/>
            <w:noWrap/>
            <w:vAlign w:val="center"/>
            <w:hideMark/>
          </w:tcPr>
          <w:p w14:paraId="1EEDC67D"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0.15%</w:t>
            </w:r>
          </w:p>
        </w:tc>
        <w:tc>
          <w:tcPr>
            <w:tcW w:w="1267" w:type="dxa"/>
            <w:tcBorders>
              <w:top w:val="nil"/>
              <w:left w:val="nil"/>
              <w:bottom w:val="nil"/>
              <w:right w:val="nil"/>
            </w:tcBorders>
            <w:shd w:val="clear" w:color="auto" w:fill="auto"/>
            <w:noWrap/>
            <w:vAlign w:val="center"/>
            <w:hideMark/>
          </w:tcPr>
          <w:p w14:paraId="22E459BE"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0.14%</w:t>
            </w:r>
          </w:p>
        </w:tc>
      </w:tr>
      <w:tr w:rsidR="00C210E3" w:rsidRPr="00925A85" w14:paraId="3084715D" w14:textId="77777777" w:rsidTr="00252EAF">
        <w:trPr>
          <w:trHeight w:val="293"/>
        </w:trPr>
        <w:tc>
          <w:tcPr>
            <w:tcW w:w="1134" w:type="dxa"/>
            <w:tcBorders>
              <w:top w:val="nil"/>
              <w:left w:val="nil"/>
              <w:bottom w:val="nil"/>
              <w:right w:val="nil"/>
            </w:tcBorders>
            <w:shd w:val="clear" w:color="000000" w:fill="BFBFBF"/>
            <w:noWrap/>
            <w:vAlign w:val="center"/>
            <w:hideMark/>
          </w:tcPr>
          <w:p w14:paraId="7884B2B1" w14:textId="77777777" w:rsidR="00C210E3" w:rsidRPr="00925A85" w:rsidRDefault="00C210E3" w:rsidP="00C210E3">
            <w:pPr>
              <w:spacing w:after="0" w:line="240" w:lineRule="auto"/>
              <w:rPr>
                <w:rFonts w:eastAsia="Times New Roman" w:cs="Arial"/>
                <w:color w:val="000000"/>
                <w:sz w:val="20"/>
                <w:szCs w:val="20"/>
              </w:rPr>
            </w:pPr>
            <w:r w:rsidRPr="00925A85">
              <w:rPr>
                <w:rFonts w:eastAsia="Times New Roman" w:cs="Arial"/>
                <w:color w:val="000000"/>
                <w:sz w:val="20"/>
                <w:szCs w:val="20"/>
              </w:rPr>
              <w:t>19 to 24</w:t>
            </w:r>
          </w:p>
        </w:tc>
        <w:tc>
          <w:tcPr>
            <w:tcW w:w="1418" w:type="dxa"/>
            <w:tcBorders>
              <w:top w:val="nil"/>
              <w:left w:val="nil"/>
              <w:bottom w:val="nil"/>
              <w:right w:val="nil"/>
            </w:tcBorders>
            <w:shd w:val="clear" w:color="000000" w:fill="BFBFBF"/>
            <w:noWrap/>
            <w:vAlign w:val="center"/>
            <w:hideMark/>
          </w:tcPr>
          <w:p w14:paraId="15C83B85"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41,618</w:t>
            </w:r>
          </w:p>
        </w:tc>
        <w:tc>
          <w:tcPr>
            <w:tcW w:w="984" w:type="dxa"/>
            <w:tcBorders>
              <w:top w:val="nil"/>
              <w:left w:val="nil"/>
              <w:bottom w:val="nil"/>
              <w:right w:val="nil"/>
            </w:tcBorders>
            <w:shd w:val="clear" w:color="000000" w:fill="BFBFBF"/>
            <w:noWrap/>
            <w:vAlign w:val="center"/>
            <w:hideMark/>
          </w:tcPr>
          <w:p w14:paraId="3DA023AD" w14:textId="77777777" w:rsidR="00C210E3" w:rsidRPr="00252EAF" w:rsidRDefault="00C210E3" w:rsidP="00C210E3">
            <w:pPr>
              <w:spacing w:after="0" w:line="240" w:lineRule="auto"/>
              <w:jc w:val="right"/>
              <w:rPr>
                <w:rFonts w:eastAsia="Times New Roman" w:cs="Arial"/>
                <w:color w:val="000000"/>
                <w:sz w:val="20"/>
                <w:szCs w:val="20"/>
                <w:highlight w:val="yellow"/>
              </w:rPr>
            </w:pPr>
            <w:r w:rsidRPr="00252EAF">
              <w:rPr>
                <w:rFonts w:cs="Arial"/>
                <w:sz w:val="20"/>
                <w:szCs w:val="20"/>
              </w:rPr>
              <w:t>0.20%</w:t>
            </w:r>
          </w:p>
        </w:tc>
        <w:tc>
          <w:tcPr>
            <w:tcW w:w="1500" w:type="dxa"/>
            <w:tcBorders>
              <w:top w:val="nil"/>
              <w:left w:val="nil"/>
              <w:bottom w:val="nil"/>
              <w:right w:val="nil"/>
            </w:tcBorders>
            <w:shd w:val="clear" w:color="000000" w:fill="BFBFBF"/>
            <w:noWrap/>
            <w:vAlign w:val="center"/>
            <w:hideMark/>
          </w:tcPr>
          <w:p w14:paraId="43856CD4"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0.24%</w:t>
            </w:r>
          </w:p>
        </w:tc>
        <w:tc>
          <w:tcPr>
            <w:tcW w:w="1439" w:type="dxa"/>
            <w:tcBorders>
              <w:top w:val="nil"/>
              <w:left w:val="nil"/>
              <w:bottom w:val="nil"/>
              <w:right w:val="nil"/>
            </w:tcBorders>
            <w:shd w:val="clear" w:color="000000" w:fill="BFBFBF"/>
            <w:noWrap/>
            <w:vAlign w:val="center"/>
            <w:hideMark/>
          </w:tcPr>
          <w:p w14:paraId="70ACD7B4"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0.24%</w:t>
            </w:r>
          </w:p>
        </w:tc>
        <w:tc>
          <w:tcPr>
            <w:tcW w:w="1284" w:type="dxa"/>
            <w:tcBorders>
              <w:top w:val="nil"/>
              <w:left w:val="nil"/>
              <w:bottom w:val="nil"/>
              <w:right w:val="nil"/>
            </w:tcBorders>
            <w:shd w:val="clear" w:color="000000" w:fill="BFBFBF"/>
            <w:noWrap/>
            <w:vAlign w:val="center"/>
            <w:hideMark/>
          </w:tcPr>
          <w:p w14:paraId="31DC1AAA"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0.25%</w:t>
            </w:r>
          </w:p>
        </w:tc>
        <w:tc>
          <w:tcPr>
            <w:tcW w:w="1267" w:type="dxa"/>
            <w:tcBorders>
              <w:top w:val="nil"/>
              <w:left w:val="nil"/>
              <w:bottom w:val="nil"/>
              <w:right w:val="nil"/>
            </w:tcBorders>
            <w:shd w:val="clear" w:color="000000" w:fill="BFBFBF"/>
            <w:noWrap/>
            <w:vAlign w:val="center"/>
            <w:hideMark/>
          </w:tcPr>
          <w:p w14:paraId="63F7B26A"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0.24%</w:t>
            </w:r>
          </w:p>
        </w:tc>
      </w:tr>
      <w:tr w:rsidR="00C210E3" w:rsidRPr="00925A85" w14:paraId="00F32EAF" w14:textId="77777777" w:rsidTr="00252EAF">
        <w:trPr>
          <w:trHeight w:val="293"/>
        </w:trPr>
        <w:tc>
          <w:tcPr>
            <w:tcW w:w="1134" w:type="dxa"/>
            <w:tcBorders>
              <w:top w:val="nil"/>
              <w:left w:val="nil"/>
              <w:bottom w:val="nil"/>
              <w:right w:val="nil"/>
            </w:tcBorders>
            <w:shd w:val="clear" w:color="auto" w:fill="auto"/>
            <w:noWrap/>
            <w:vAlign w:val="center"/>
            <w:hideMark/>
          </w:tcPr>
          <w:p w14:paraId="63FDC2FE" w14:textId="77777777" w:rsidR="00C210E3" w:rsidRPr="00925A85" w:rsidRDefault="00C210E3" w:rsidP="00C210E3">
            <w:pPr>
              <w:spacing w:after="0" w:line="240" w:lineRule="auto"/>
              <w:rPr>
                <w:rFonts w:eastAsia="Times New Roman" w:cs="Arial"/>
                <w:color w:val="000000"/>
                <w:sz w:val="20"/>
                <w:szCs w:val="20"/>
              </w:rPr>
            </w:pPr>
            <w:r w:rsidRPr="00925A85">
              <w:rPr>
                <w:rFonts w:eastAsia="Times New Roman" w:cs="Arial"/>
                <w:color w:val="000000"/>
                <w:sz w:val="20"/>
                <w:szCs w:val="20"/>
              </w:rPr>
              <w:t>25 to 34</w:t>
            </w:r>
          </w:p>
        </w:tc>
        <w:tc>
          <w:tcPr>
            <w:tcW w:w="1418" w:type="dxa"/>
            <w:tcBorders>
              <w:top w:val="nil"/>
              <w:left w:val="nil"/>
              <w:bottom w:val="nil"/>
              <w:right w:val="nil"/>
            </w:tcBorders>
            <w:shd w:val="clear" w:color="auto" w:fill="auto"/>
            <w:noWrap/>
            <w:vAlign w:val="center"/>
            <w:hideMark/>
          </w:tcPr>
          <w:p w14:paraId="192E6BAF"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45,041</w:t>
            </w:r>
          </w:p>
        </w:tc>
        <w:tc>
          <w:tcPr>
            <w:tcW w:w="984" w:type="dxa"/>
            <w:tcBorders>
              <w:top w:val="nil"/>
              <w:left w:val="nil"/>
              <w:bottom w:val="nil"/>
              <w:right w:val="nil"/>
            </w:tcBorders>
            <w:shd w:val="clear" w:color="auto" w:fill="auto"/>
            <w:noWrap/>
            <w:vAlign w:val="center"/>
            <w:hideMark/>
          </w:tcPr>
          <w:p w14:paraId="24E5D126" w14:textId="77777777" w:rsidR="00C210E3" w:rsidRPr="00252EAF" w:rsidRDefault="00C210E3" w:rsidP="00C210E3">
            <w:pPr>
              <w:spacing w:after="0" w:line="240" w:lineRule="auto"/>
              <w:jc w:val="right"/>
              <w:rPr>
                <w:rFonts w:eastAsia="Times New Roman" w:cs="Arial"/>
                <w:color w:val="000000"/>
                <w:sz w:val="20"/>
                <w:szCs w:val="20"/>
                <w:highlight w:val="yellow"/>
              </w:rPr>
            </w:pPr>
            <w:r w:rsidRPr="00252EAF">
              <w:rPr>
                <w:rFonts w:cs="Arial"/>
                <w:sz w:val="20"/>
                <w:szCs w:val="20"/>
              </w:rPr>
              <w:t>0.49%</w:t>
            </w:r>
          </w:p>
        </w:tc>
        <w:tc>
          <w:tcPr>
            <w:tcW w:w="1500" w:type="dxa"/>
            <w:tcBorders>
              <w:top w:val="nil"/>
              <w:left w:val="nil"/>
              <w:bottom w:val="nil"/>
              <w:right w:val="nil"/>
            </w:tcBorders>
            <w:shd w:val="clear" w:color="auto" w:fill="auto"/>
            <w:noWrap/>
            <w:vAlign w:val="center"/>
            <w:hideMark/>
          </w:tcPr>
          <w:p w14:paraId="1F95579A"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0.45%</w:t>
            </w:r>
          </w:p>
        </w:tc>
        <w:tc>
          <w:tcPr>
            <w:tcW w:w="1439" w:type="dxa"/>
            <w:tcBorders>
              <w:top w:val="nil"/>
              <w:left w:val="nil"/>
              <w:bottom w:val="nil"/>
              <w:right w:val="nil"/>
            </w:tcBorders>
            <w:shd w:val="clear" w:color="auto" w:fill="auto"/>
            <w:noWrap/>
            <w:vAlign w:val="center"/>
            <w:hideMark/>
          </w:tcPr>
          <w:p w14:paraId="3F4E7CA5"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0.45%</w:t>
            </w:r>
          </w:p>
        </w:tc>
        <w:tc>
          <w:tcPr>
            <w:tcW w:w="1284" w:type="dxa"/>
            <w:tcBorders>
              <w:top w:val="nil"/>
              <w:left w:val="nil"/>
              <w:bottom w:val="nil"/>
              <w:right w:val="nil"/>
            </w:tcBorders>
            <w:shd w:val="clear" w:color="auto" w:fill="auto"/>
            <w:noWrap/>
            <w:vAlign w:val="center"/>
            <w:hideMark/>
          </w:tcPr>
          <w:p w14:paraId="4110ADA4"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0.44%</w:t>
            </w:r>
          </w:p>
        </w:tc>
        <w:tc>
          <w:tcPr>
            <w:tcW w:w="1267" w:type="dxa"/>
            <w:tcBorders>
              <w:top w:val="nil"/>
              <w:left w:val="nil"/>
              <w:bottom w:val="nil"/>
              <w:right w:val="nil"/>
            </w:tcBorders>
            <w:shd w:val="clear" w:color="auto" w:fill="auto"/>
            <w:noWrap/>
            <w:vAlign w:val="center"/>
            <w:hideMark/>
          </w:tcPr>
          <w:p w14:paraId="37E25567"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0.44%</w:t>
            </w:r>
          </w:p>
        </w:tc>
      </w:tr>
      <w:tr w:rsidR="00C210E3" w:rsidRPr="00925A85" w14:paraId="2A0D8443" w14:textId="77777777" w:rsidTr="00252EAF">
        <w:trPr>
          <w:trHeight w:val="293"/>
        </w:trPr>
        <w:tc>
          <w:tcPr>
            <w:tcW w:w="1134" w:type="dxa"/>
            <w:tcBorders>
              <w:top w:val="nil"/>
              <w:left w:val="nil"/>
              <w:bottom w:val="nil"/>
              <w:right w:val="nil"/>
            </w:tcBorders>
            <w:shd w:val="clear" w:color="000000" w:fill="BFBFBF"/>
            <w:noWrap/>
            <w:vAlign w:val="center"/>
            <w:hideMark/>
          </w:tcPr>
          <w:p w14:paraId="0C529006" w14:textId="77777777" w:rsidR="00C210E3" w:rsidRPr="00925A85" w:rsidRDefault="00C210E3" w:rsidP="00C210E3">
            <w:pPr>
              <w:spacing w:after="0" w:line="240" w:lineRule="auto"/>
              <w:rPr>
                <w:rFonts w:eastAsia="Times New Roman" w:cs="Arial"/>
                <w:color w:val="000000"/>
                <w:sz w:val="20"/>
                <w:szCs w:val="20"/>
              </w:rPr>
            </w:pPr>
            <w:r w:rsidRPr="00925A85">
              <w:rPr>
                <w:rFonts w:eastAsia="Times New Roman" w:cs="Arial"/>
                <w:color w:val="000000"/>
                <w:sz w:val="20"/>
                <w:szCs w:val="20"/>
              </w:rPr>
              <w:t>35 to 44</w:t>
            </w:r>
          </w:p>
        </w:tc>
        <w:tc>
          <w:tcPr>
            <w:tcW w:w="1418" w:type="dxa"/>
            <w:tcBorders>
              <w:top w:val="nil"/>
              <w:left w:val="nil"/>
              <w:bottom w:val="nil"/>
              <w:right w:val="nil"/>
            </w:tcBorders>
            <w:shd w:val="clear" w:color="000000" w:fill="BFBFBF"/>
            <w:noWrap/>
            <w:vAlign w:val="center"/>
            <w:hideMark/>
          </w:tcPr>
          <w:p w14:paraId="566BDC3E"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41,809</w:t>
            </w:r>
          </w:p>
        </w:tc>
        <w:tc>
          <w:tcPr>
            <w:tcW w:w="984" w:type="dxa"/>
            <w:tcBorders>
              <w:top w:val="nil"/>
              <w:left w:val="nil"/>
              <w:bottom w:val="nil"/>
              <w:right w:val="nil"/>
            </w:tcBorders>
            <w:shd w:val="clear" w:color="000000" w:fill="BFBFBF"/>
            <w:noWrap/>
            <w:vAlign w:val="center"/>
            <w:hideMark/>
          </w:tcPr>
          <w:p w14:paraId="02ED265C" w14:textId="77777777" w:rsidR="00C210E3" w:rsidRPr="00252EAF" w:rsidRDefault="00C210E3" w:rsidP="00C210E3">
            <w:pPr>
              <w:spacing w:after="0" w:line="240" w:lineRule="auto"/>
              <w:jc w:val="right"/>
              <w:rPr>
                <w:rFonts w:eastAsia="Times New Roman" w:cs="Arial"/>
                <w:color w:val="000000"/>
                <w:sz w:val="20"/>
                <w:szCs w:val="20"/>
                <w:highlight w:val="yellow"/>
              </w:rPr>
            </w:pPr>
            <w:r w:rsidRPr="00252EAF">
              <w:rPr>
                <w:rFonts w:cs="Arial"/>
                <w:sz w:val="20"/>
                <w:szCs w:val="20"/>
              </w:rPr>
              <w:t>0.86%</w:t>
            </w:r>
          </w:p>
        </w:tc>
        <w:tc>
          <w:tcPr>
            <w:tcW w:w="1500" w:type="dxa"/>
            <w:tcBorders>
              <w:top w:val="nil"/>
              <w:left w:val="nil"/>
              <w:bottom w:val="nil"/>
              <w:right w:val="nil"/>
            </w:tcBorders>
            <w:shd w:val="clear" w:color="000000" w:fill="BFBFBF"/>
            <w:noWrap/>
            <w:vAlign w:val="center"/>
            <w:hideMark/>
          </w:tcPr>
          <w:p w14:paraId="5EE53B89"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0.88%</w:t>
            </w:r>
          </w:p>
        </w:tc>
        <w:tc>
          <w:tcPr>
            <w:tcW w:w="1439" w:type="dxa"/>
            <w:tcBorders>
              <w:top w:val="nil"/>
              <w:left w:val="nil"/>
              <w:bottom w:val="nil"/>
              <w:right w:val="nil"/>
            </w:tcBorders>
            <w:shd w:val="clear" w:color="000000" w:fill="BFBFBF"/>
            <w:noWrap/>
            <w:vAlign w:val="center"/>
            <w:hideMark/>
          </w:tcPr>
          <w:p w14:paraId="1B29E5BE"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0.88%</w:t>
            </w:r>
          </w:p>
        </w:tc>
        <w:tc>
          <w:tcPr>
            <w:tcW w:w="1284" w:type="dxa"/>
            <w:tcBorders>
              <w:top w:val="nil"/>
              <w:left w:val="nil"/>
              <w:bottom w:val="nil"/>
              <w:right w:val="nil"/>
            </w:tcBorders>
            <w:shd w:val="clear" w:color="000000" w:fill="BFBFBF"/>
            <w:noWrap/>
            <w:vAlign w:val="center"/>
            <w:hideMark/>
          </w:tcPr>
          <w:p w14:paraId="315F74E1"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0.85%</w:t>
            </w:r>
          </w:p>
        </w:tc>
        <w:tc>
          <w:tcPr>
            <w:tcW w:w="1267" w:type="dxa"/>
            <w:tcBorders>
              <w:top w:val="nil"/>
              <w:left w:val="nil"/>
              <w:bottom w:val="nil"/>
              <w:right w:val="nil"/>
            </w:tcBorders>
            <w:shd w:val="clear" w:color="000000" w:fill="BFBFBF"/>
            <w:noWrap/>
            <w:vAlign w:val="center"/>
            <w:hideMark/>
          </w:tcPr>
          <w:p w14:paraId="3613A0D3"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0.86%</w:t>
            </w:r>
          </w:p>
        </w:tc>
      </w:tr>
      <w:tr w:rsidR="00C210E3" w:rsidRPr="00925A85" w14:paraId="6D159E40" w14:textId="77777777" w:rsidTr="00252EAF">
        <w:trPr>
          <w:trHeight w:val="293"/>
        </w:trPr>
        <w:tc>
          <w:tcPr>
            <w:tcW w:w="1134" w:type="dxa"/>
            <w:tcBorders>
              <w:top w:val="nil"/>
              <w:left w:val="nil"/>
              <w:bottom w:val="nil"/>
              <w:right w:val="nil"/>
            </w:tcBorders>
            <w:shd w:val="clear" w:color="auto" w:fill="auto"/>
            <w:noWrap/>
            <w:vAlign w:val="center"/>
            <w:hideMark/>
          </w:tcPr>
          <w:p w14:paraId="6397CE5D" w14:textId="77777777" w:rsidR="00C210E3" w:rsidRPr="00925A85" w:rsidRDefault="00C210E3" w:rsidP="00C210E3">
            <w:pPr>
              <w:spacing w:after="0" w:line="240" w:lineRule="auto"/>
              <w:rPr>
                <w:rFonts w:eastAsia="Times New Roman" w:cs="Arial"/>
                <w:color w:val="000000"/>
                <w:sz w:val="20"/>
                <w:szCs w:val="20"/>
              </w:rPr>
            </w:pPr>
            <w:r w:rsidRPr="00925A85">
              <w:rPr>
                <w:rFonts w:eastAsia="Times New Roman" w:cs="Arial"/>
                <w:color w:val="000000"/>
                <w:sz w:val="20"/>
                <w:szCs w:val="20"/>
              </w:rPr>
              <w:t>45 to 54</w:t>
            </w:r>
          </w:p>
        </w:tc>
        <w:tc>
          <w:tcPr>
            <w:tcW w:w="1418" w:type="dxa"/>
            <w:tcBorders>
              <w:top w:val="nil"/>
              <w:left w:val="nil"/>
              <w:bottom w:val="nil"/>
              <w:right w:val="nil"/>
            </w:tcBorders>
            <w:shd w:val="clear" w:color="auto" w:fill="auto"/>
            <w:noWrap/>
            <w:vAlign w:val="center"/>
            <w:hideMark/>
          </w:tcPr>
          <w:p w14:paraId="51D49F53"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50,999</w:t>
            </w:r>
          </w:p>
        </w:tc>
        <w:tc>
          <w:tcPr>
            <w:tcW w:w="984" w:type="dxa"/>
            <w:tcBorders>
              <w:top w:val="nil"/>
              <w:left w:val="nil"/>
              <w:bottom w:val="nil"/>
              <w:right w:val="nil"/>
            </w:tcBorders>
            <w:shd w:val="clear" w:color="auto" w:fill="auto"/>
            <w:noWrap/>
            <w:vAlign w:val="center"/>
            <w:hideMark/>
          </w:tcPr>
          <w:p w14:paraId="64F10F50" w14:textId="77777777" w:rsidR="00C210E3" w:rsidRPr="00252EAF" w:rsidRDefault="00C210E3" w:rsidP="00C210E3">
            <w:pPr>
              <w:spacing w:after="0" w:line="240" w:lineRule="auto"/>
              <w:jc w:val="right"/>
              <w:rPr>
                <w:rFonts w:eastAsia="Times New Roman" w:cs="Arial"/>
                <w:color w:val="000000"/>
                <w:sz w:val="20"/>
                <w:szCs w:val="20"/>
                <w:highlight w:val="yellow"/>
              </w:rPr>
            </w:pPr>
            <w:r w:rsidRPr="00252EAF">
              <w:rPr>
                <w:rFonts w:cs="Arial"/>
                <w:sz w:val="20"/>
                <w:szCs w:val="20"/>
              </w:rPr>
              <w:t>1.84%</w:t>
            </w:r>
          </w:p>
        </w:tc>
        <w:tc>
          <w:tcPr>
            <w:tcW w:w="1500" w:type="dxa"/>
            <w:tcBorders>
              <w:top w:val="nil"/>
              <w:left w:val="nil"/>
              <w:bottom w:val="nil"/>
              <w:right w:val="nil"/>
            </w:tcBorders>
            <w:shd w:val="clear" w:color="auto" w:fill="auto"/>
            <w:noWrap/>
            <w:vAlign w:val="center"/>
            <w:hideMark/>
          </w:tcPr>
          <w:p w14:paraId="0EE559F1"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1.78%</w:t>
            </w:r>
          </w:p>
        </w:tc>
        <w:tc>
          <w:tcPr>
            <w:tcW w:w="1439" w:type="dxa"/>
            <w:tcBorders>
              <w:top w:val="nil"/>
              <w:left w:val="nil"/>
              <w:bottom w:val="nil"/>
              <w:right w:val="nil"/>
            </w:tcBorders>
            <w:shd w:val="clear" w:color="auto" w:fill="auto"/>
            <w:noWrap/>
            <w:vAlign w:val="center"/>
            <w:hideMark/>
          </w:tcPr>
          <w:p w14:paraId="0FB818EB"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1.81%</w:t>
            </w:r>
          </w:p>
        </w:tc>
        <w:tc>
          <w:tcPr>
            <w:tcW w:w="1284" w:type="dxa"/>
            <w:tcBorders>
              <w:top w:val="nil"/>
              <w:left w:val="nil"/>
              <w:bottom w:val="nil"/>
              <w:right w:val="nil"/>
            </w:tcBorders>
            <w:shd w:val="clear" w:color="auto" w:fill="auto"/>
            <w:noWrap/>
            <w:vAlign w:val="center"/>
            <w:hideMark/>
          </w:tcPr>
          <w:p w14:paraId="24A0A2D9"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1.76%</w:t>
            </w:r>
          </w:p>
        </w:tc>
        <w:tc>
          <w:tcPr>
            <w:tcW w:w="1267" w:type="dxa"/>
            <w:tcBorders>
              <w:top w:val="nil"/>
              <w:left w:val="nil"/>
              <w:bottom w:val="nil"/>
              <w:right w:val="nil"/>
            </w:tcBorders>
            <w:shd w:val="clear" w:color="auto" w:fill="auto"/>
            <w:noWrap/>
            <w:vAlign w:val="center"/>
            <w:hideMark/>
          </w:tcPr>
          <w:p w14:paraId="41943081"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1.77%</w:t>
            </w:r>
          </w:p>
        </w:tc>
      </w:tr>
      <w:tr w:rsidR="00C210E3" w:rsidRPr="00925A85" w14:paraId="755853BE" w14:textId="77777777" w:rsidTr="00252EAF">
        <w:trPr>
          <w:trHeight w:val="293"/>
        </w:trPr>
        <w:tc>
          <w:tcPr>
            <w:tcW w:w="1134" w:type="dxa"/>
            <w:tcBorders>
              <w:top w:val="nil"/>
              <w:left w:val="nil"/>
              <w:bottom w:val="nil"/>
              <w:right w:val="nil"/>
            </w:tcBorders>
            <w:shd w:val="clear" w:color="000000" w:fill="BFBFBF"/>
            <w:noWrap/>
            <w:vAlign w:val="center"/>
            <w:hideMark/>
          </w:tcPr>
          <w:p w14:paraId="7164F1D6" w14:textId="77777777" w:rsidR="00C210E3" w:rsidRPr="00925A85" w:rsidRDefault="00C210E3" w:rsidP="00C210E3">
            <w:pPr>
              <w:spacing w:after="0" w:line="240" w:lineRule="auto"/>
              <w:rPr>
                <w:rFonts w:eastAsia="Times New Roman" w:cs="Arial"/>
                <w:color w:val="000000"/>
                <w:sz w:val="20"/>
                <w:szCs w:val="20"/>
              </w:rPr>
            </w:pPr>
            <w:r w:rsidRPr="00925A85">
              <w:rPr>
                <w:rFonts w:eastAsia="Times New Roman" w:cs="Arial"/>
                <w:color w:val="000000"/>
                <w:sz w:val="20"/>
                <w:szCs w:val="20"/>
              </w:rPr>
              <w:t>55 to 64</w:t>
            </w:r>
          </w:p>
        </w:tc>
        <w:tc>
          <w:tcPr>
            <w:tcW w:w="1418" w:type="dxa"/>
            <w:tcBorders>
              <w:top w:val="nil"/>
              <w:left w:val="nil"/>
              <w:bottom w:val="nil"/>
              <w:right w:val="nil"/>
            </w:tcBorders>
            <w:shd w:val="clear" w:color="000000" w:fill="BFBFBF"/>
            <w:noWrap/>
            <w:vAlign w:val="center"/>
            <w:hideMark/>
          </w:tcPr>
          <w:p w14:paraId="489E90DC"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59,966</w:t>
            </w:r>
          </w:p>
        </w:tc>
        <w:tc>
          <w:tcPr>
            <w:tcW w:w="984" w:type="dxa"/>
            <w:tcBorders>
              <w:top w:val="nil"/>
              <w:left w:val="nil"/>
              <w:bottom w:val="nil"/>
              <w:right w:val="nil"/>
            </w:tcBorders>
            <w:shd w:val="clear" w:color="000000" w:fill="BFBFBF"/>
            <w:noWrap/>
            <w:vAlign w:val="center"/>
            <w:hideMark/>
          </w:tcPr>
          <w:p w14:paraId="062813FA" w14:textId="77777777" w:rsidR="00C210E3" w:rsidRPr="00252EAF" w:rsidRDefault="00C210E3" w:rsidP="00C210E3">
            <w:pPr>
              <w:spacing w:after="0" w:line="240" w:lineRule="auto"/>
              <w:jc w:val="right"/>
              <w:rPr>
                <w:rFonts w:eastAsia="Times New Roman" w:cs="Arial"/>
                <w:color w:val="000000"/>
                <w:sz w:val="20"/>
                <w:szCs w:val="20"/>
                <w:highlight w:val="yellow"/>
              </w:rPr>
            </w:pPr>
            <w:r w:rsidRPr="00252EAF">
              <w:rPr>
                <w:rFonts w:cs="Arial"/>
                <w:sz w:val="20"/>
                <w:szCs w:val="20"/>
              </w:rPr>
              <w:t>3.54%</w:t>
            </w:r>
          </w:p>
        </w:tc>
        <w:tc>
          <w:tcPr>
            <w:tcW w:w="1500" w:type="dxa"/>
            <w:tcBorders>
              <w:top w:val="nil"/>
              <w:left w:val="nil"/>
              <w:bottom w:val="nil"/>
              <w:right w:val="nil"/>
            </w:tcBorders>
            <w:shd w:val="clear" w:color="000000" w:fill="BFBFBF"/>
            <w:noWrap/>
            <w:vAlign w:val="center"/>
            <w:hideMark/>
          </w:tcPr>
          <w:p w14:paraId="4A931F4F"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3.37%</w:t>
            </w:r>
          </w:p>
        </w:tc>
        <w:tc>
          <w:tcPr>
            <w:tcW w:w="1439" w:type="dxa"/>
            <w:tcBorders>
              <w:top w:val="nil"/>
              <w:left w:val="nil"/>
              <w:bottom w:val="nil"/>
              <w:right w:val="nil"/>
            </w:tcBorders>
            <w:shd w:val="clear" w:color="000000" w:fill="BFBFBF"/>
            <w:noWrap/>
            <w:vAlign w:val="center"/>
            <w:hideMark/>
          </w:tcPr>
          <w:p w14:paraId="0924EA1A"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3.43%</w:t>
            </w:r>
          </w:p>
        </w:tc>
        <w:tc>
          <w:tcPr>
            <w:tcW w:w="1284" w:type="dxa"/>
            <w:tcBorders>
              <w:top w:val="nil"/>
              <w:left w:val="nil"/>
              <w:bottom w:val="nil"/>
              <w:right w:val="nil"/>
            </w:tcBorders>
            <w:shd w:val="clear" w:color="000000" w:fill="BFBFBF"/>
            <w:noWrap/>
            <w:vAlign w:val="center"/>
            <w:hideMark/>
          </w:tcPr>
          <w:p w14:paraId="68359719"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3.37%</w:t>
            </w:r>
          </w:p>
        </w:tc>
        <w:tc>
          <w:tcPr>
            <w:tcW w:w="1267" w:type="dxa"/>
            <w:tcBorders>
              <w:top w:val="nil"/>
              <w:left w:val="nil"/>
              <w:bottom w:val="nil"/>
              <w:right w:val="nil"/>
            </w:tcBorders>
            <w:shd w:val="clear" w:color="000000" w:fill="BFBFBF"/>
            <w:noWrap/>
            <w:vAlign w:val="center"/>
            <w:hideMark/>
          </w:tcPr>
          <w:p w14:paraId="6AF28800"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3.41%</w:t>
            </w:r>
          </w:p>
        </w:tc>
      </w:tr>
      <w:tr w:rsidR="00C210E3" w:rsidRPr="00925A85" w14:paraId="6EC73851" w14:textId="77777777" w:rsidTr="00252EAF">
        <w:trPr>
          <w:trHeight w:val="293"/>
        </w:trPr>
        <w:tc>
          <w:tcPr>
            <w:tcW w:w="1134" w:type="dxa"/>
            <w:tcBorders>
              <w:top w:val="nil"/>
              <w:left w:val="nil"/>
              <w:bottom w:val="single" w:sz="4" w:space="0" w:color="auto"/>
              <w:right w:val="nil"/>
            </w:tcBorders>
            <w:shd w:val="clear" w:color="auto" w:fill="auto"/>
            <w:noWrap/>
            <w:vAlign w:val="center"/>
            <w:hideMark/>
          </w:tcPr>
          <w:p w14:paraId="5891A804" w14:textId="77777777" w:rsidR="00C210E3" w:rsidRPr="00925A85" w:rsidRDefault="00C210E3" w:rsidP="00C210E3">
            <w:pPr>
              <w:spacing w:after="0" w:line="240" w:lineRule="auto"/>
              <w:rPr>
                <w:rFonts w:eastAsia="Times New Roman" w:cs="Arial"/>
                <w:color w:val="000000"/>
                <w:sz w:val="20"/>
                <w:szCs w:val="20"/>
              </w:rPr>
            </w:pPr>
            <w:r w:rsidRPr="00925A85">
              <w:rPr>
                <w:rFonts w:eastAsia="Times New Roman" w:cs="Arial"/>
                <w:color w:val="000000"/>
                <w:sz w:val="20"/>
                <w:szCs w:val="20"/>
              </w:rPr>
              <w:t>65+</w:t>
            </w:r>
          </w:p>
        </w:tc>
        <w:tc>
          <w:tcPr>
            <w:tcW w:w="1418" w:type="dxa"/>
            <w:tcBorders>
              <w:top w:val="nil"/>
              <w:left w:val="nil"/>
              <w:bottom w:val="single" w:sz="4" w:space="0" w:color="auto"/>
              <w:right w:val="nil"/>
            </w:tcBorders>
            <w:shd w:val="clear" w:color="auto" w:fill="auto"/>
            <w:noWrap/>
            <w:vAlign w:val="center"/>
            <w:hideMark/>
          </w:tcPr>
          <w:p w14:paraId="66E7955D"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18,462</w:t>
            </w:r>
          </w:p>
        </w:tc>
        <w:tc>
          <w:tcPr>
            <w:tcW w:w="984" w:type="dxa"/>
            <w:tcBorders>
              <w:top w:val="nil"/>
              <w:left w:val="nil"/>
              <w:bottom w:val="single" w:sz="4" w:space="0" w:color="auto"/>
              <w:right w:val="nil"/>
            </w:tcBorders>
            <w:shd w:val="clear" w:color="auto" w:fill="auto"/>
            <w:noWrap/>
            <w:vAlign w:val="center"/>
            <w:hideMark/>
          </w:tcPr>
          <w:p w14:paraId="5D5A10E9" w14:textId="77777777" w:rsidR="00C210E3" w:rsidRPr="00252EAF" w:rsidRDefault="00C210E3" w:rsidP="00C210E3">
            <w:pPr>
              <w:spacing w:after="0" w:line="240" w:lineRule="auto"/>
              <w:jc w:val="right"/>
              <w:rPr>
                <w:rFonts w:eastAsia="Times New Roman" w:cs="Arial"/>
                <w:color w:val="000000"/>
                <w:sz w:val="20"/>
                <w:szCs w:val="20"/>
                <w:highlight w:val="yellow"/>
              </w:rPr>
            </w:pPr>
            <w:r w:rsidRPr="00252EAF">
              <w:rPr>
                <w:rFonts w:cs="Arial"/>
                <w:sz w:val="20"/>
                <w:szCs w:val="20"/>
              </w:rPr>
              <w:t>4.90%</w:t>
            </w:r>
          </w:p>
        </w:tc>
        <w:tc>
          <w:tcPr>
            <w:tcW w:w="1500" w:type="dxa"/>
            <w:tcBorders>
              <w:top w:val="nil"/>
              <w:left w:val="nil"/>
              <w:bottom w:val="single" w:sz="4" w:space="0" w:color="auto"/>
              <w:right w:val="nil"/>
            </w:tcBorders>
            <w:shd w:val="clear" w:color="auto" w:fill="auto"/>
            <w:noWrap/>
            <w:vAlign w:val="center"/>
            <w:hideMark/>
          </w:tcPr>
          <w:p w14:paraId="6347ABB6"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4.74%</w:t>
            </w:r>
          </w:p>
        </w:tc>
        <w:tc>
          <w:tcPr>
            <w:tcW w:w="1439" w:type="dxa"/>
            <w:tcBorders>
              <w:top w:val="nil"/>
              <w:left w:val="nil"/>
              <w:bottom w:val="single" w:sz="4" w:space="0" w:color="auto"/>
              <w:right w:val="nil"/>
            </w:tcBorders>
            <w:shd w:val="clear" w:color="auto" w:fill="auto"/>
            <w:noWrap/>
            <w:vAlign w:val="center"/>
            <w:hideMark/>
          </w:tcPr>
          <w:p w14:paraId="4F9342A1"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4.86%</w:t>
            </w:r>
          </w:p>
        </w:tc>
        <w:tc>
          <w:tcPr>
            <w:tcW w:w="1284" w:type="dxa"/>
            <w:tcBorders>
              <w:top w:val="nil"/>
              <w:left w:val="nil"/>
              <w:bottom w:val="single" w:sz="4" w:space="0" w:color="auto"/>
              <w:right w:val="nil"/>
            </w:tcBorders>
            <w:shd w:val="clear" w:color="auto" w:fill="auto"/>
            <w:noWrap/>
            <w:vAlign w:val="center"/>
            <w:hideMark/>
          </w:tcPr>
          <w:p w14:paraId="5F6FE856"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4.73%</w:t>
            </w:r>
          </w:p>
        </w:tc>
        <w:tc>
          <w:tcPr>
            <w:tcW w:w="1267" w:type="dxa"/>
            <w:tcBorders>
              <w:top w:val="nil"/>
              <w:left w:val="nil"/>
              <w:bottom w:val="single" w:sz="4" w:space="0" w:color="auto"/>
              <w:right w:val="nil"/>
            </w:tcBorders>
            <w:shd w:val="clear" w:color="auto" w:fill="auto"/>
            <w:noWrap/>
            <w:vAlign w:val="center"/>
            <w:hideMark/>
          </w:tcPr>
          <w:p w14:paraId="633120E1" w14:textId="77777777" w:rsidR="00C210E3" w:rsidRPr="00925A85" w:rsidRDefault="00C210E3" w:rsidP="00C210E3">
            <w:pPr>
              <w:spacing w:after="0" w:line="240" w:lineRule="auto"/>
              <w:jc w:val="right"/>
              <w:rPr>
                <w:rFonts w:eastAsia="Times New Roman" w:cs="Arial"/>
                <w:color w:val="000000"/>
                <w:sz w:val="20"/>
                <w:szCs w:val="20"/>
              </w:rPr>
            </w:pPr>
            <w:r w:rsidRPr="00925A85">
              <w:rPr>
                <w:rFonts w:eastAsia="Times New Roman" w:cs="Arial"/>
                <w:color w:val="000000"/>
                <w:sz w:val="20"/>
                <w:szCs w:val="20"/>
              </w:rPr>
              <w:t>4.82%</w:t>
            </w:r>
          </w:p>
        </w:tc>
      </w:tr>
      <w:tr w:rsidR="00C210E3" w:rsidRPr="00925A85" w14:paraId="2CA8DF37" w14:textId="77777777" w:rsidTr="00252EAF">
        <w:trPr>
          <w:trHeight w:val="308"/>
        </w:trPr>
        <w:tc>
          <w:tcPr>
            <w:tcW w:w="1134" w:type="dxa"/>
            <w:tcBorders>
              <w:top w:val="single" w:sz="4" w:space="0" w:color="auto"/>
              <w:left w:val="nil"/>
              <w:bottom w:val="single" w:sz="4" w:space="0" w:color="auto"/>
              <w:right w:val="nil"/>
            </w:tcBorders>
            <w:shd w:val="clear" w:color="auto" w:fill="D3C5D7"/>
            <w:noWrap/>
            <w:vAlign w:val="center"/>
            <w:hideMark/>
          </w:tcPr>
          <w:p w14:paraId="6BC880CC" w14:textId="77777777" w:rsidR="00C210E3" w:rsidRPr="00925A85" w:rsidRDefault="00C210E3" w:rsidP="00C210E3">
            <w:pPr>
              <w:spacing w:after="0" w:line="240" w:lineRule="auto"/>
              <w:rPr>
                <w:rFonts w:eastAsia="Times New Roman" w:cs="Arial"/>
                <w:b/>
                <w:bCs/>
                <w:color w:val="000000"/>
                <w:sz w:val="20"/>
                <w:szCs w:val="20"/>
              </w:rPr>
            </w:pPr>
            <w:r w:rsidRPr="00925A85">
              <w:rPr>
                <w:rFonts w:eastAsia="Times New Roman" w:cs="Arial"/>
                <w:b/>
                <w:bCs/>
                <w:color w:val="000000"/>
                <w:sz w:val="20"/>
                <w:szCs w:val="20"/>
              </w:rPr>
              <w:t>Total</w:t>
            </w:r>
          </w:p>
        </w:tc>
        <w:tc>
          <w:tcPr>
            <w:tcW w:w="1418" w:type="dxa"/>
            <w:tcBorders>
              <w:top w:val="single" w:sz="4" w:space="0" w:color="auto"/>
              <w:left w:val="nil"/>
              <w:bottom w:val="single" w:sz="4" w:space="0" w:color="auto"/>
              <w:right w:val="nil"/>
            </w:tcBorders>
            <w:shd w:val="clear" w:color="auto" w:fill="D3C5D7"/>
            <w:noWrap/>
            <w:vAlign w:val="center"/>
            <w:hideMark/>
          </w:tcPr>
          <w:p w14:paraId="0601F83E" w14:textId="77777777" w:rsidR="00C210E3" w:rsidRPr="00925A85" w:rsidRDefault="00C210E3" w:rsidP="00C210E3">
            <w:pPr>
              <w:spacing w:after="0" w:line="240" w:lineRule="auto"/>
              <w:jc w:val="right"/>
              <w:rPr>
                <w:rFonts w:eastAsia="Times New Roman" w:cs="Arial"/>
                <w:b/>
                <w:bCs/>
                <w:color w:val="000000"/>
                <w:sz w:val="20"/>
                <w:szCs w:val="20"/>
              </w:rPr>
            </w:pPr>
            <w:r w:rsidRPr="00925A85">
              <w:rPr>
                <w:rFonts w:eastAsia="Times New Roman" w:cs="Arial"/>
                <w:b/>
                <w:bCs/>
                <w:color w:val="000000"/>
                <w:sz w:val="20"/>
                <w:szCs w:val="20"/>
              </w:rPr>
              <w:t>506,367</w:t>
            </w:r>
          </w:p>
        </w:tc>
        <w:tc>
          <w:tcPr>
            <w:tcW w:w="984" w:type="dxa"/>
            <w:tcBorders>
              <w:top w:val="single" w:sz="4" w:space="0" w:color="auto"/>
              <w:left w:val="nil"/>
              <w:bottom w:val="single" w:sz="4" w:space="0" w:color="auto"/>
              <w:right w:val="nil"/>
            </w:tcBorders>
            <w:shd w:val="clear" w:color="auto" w:fill="D3C5D7"/>
            <w:noWrap/>
            <w:vAlign w:val="center"/>
            <w:hideMark/>
          </w:tcPr>
          <w:p w14:paraId="149D05D1" w14:textId="77777777" w:rsidR="00C210E3" w:rsidRPr="00252EAF" w:rsidRDefault="00C210E3" w:rsidP="00C210E3">
            <w:pPr>
              <w:spacing w:after="0" w:line="240" w:lineRule="auto"/>
              <w:jc w:val="right"/>
              <w:rPr>
                <w:rFonts w:eastAsia="Times New Roman" w:cs="Arial"/>
                <w:b/>
                <w:bCs/>
                <w:color w:val="000000"/>
                <w:sz w:val="20"/>
                <w:szCs w:val="20"/>
                <w:highlight w:val="yellow"/>
              </w:rPr>
            </w:pPr>
            <w:r w:rsidRPr="00252EAF">
              <w:rPr>
                <w:rFonts w:cs="Arial"/>
                <w:b/>
                <w:sz w:val="20"/>
                <w:szCs w:val="20"/>
              </w:rPr>
              <w:t>0.95%</w:t>
            </w:r>
          </w:p>
        </w:tc>
        <w:tc>
          <w:tcPr>
            <w:tcW w:w="1500" w:type="dxa"/>
            <w:tcBorders>
              <w:top w:val="single" w:sz="4" w:space="0" w:color="auto"/>
              <w:left w:val="nil"/>
              <w:bottom w:val="single" w:sz="4" w:space="0" w:color="auto"/>
              <w:right w:val="nil"/>
            </w:tcBorders>
            <w:shd w:val="clear" w:color="auto" w:fill="D3C5D7"/>
            <w:noWrap/>
            <w:vAlign w:val="center"/>
            <w:hideMark/>
          </w:tcPr>
          <w:p w14:paraId="66F4EB9B" w14:textId="77777777" w:rsidR="00C210E3" w:rsidRPr="00925A85" w:rsidRDefault="00C210E3" w:rsidP="00C210E3">
            <w:pPr>
              <w:spacing w:after="0" w:line="240" w:lineRule="auto"/>
              <w:jc w:val="right"/>
              <w:rPr>
                <w:rFonts w:eastAsia="Times New Roman" w:cs="Arial"/>
                <w:b/>
                <w:bCs/>
                <w:color w:val="000000"/>
                <w:sz w:val="20"/>
                <w:szCs w:val="20"/>
              </w:rPr>
            </w:pPr>
            <w:r w:rsidRPr="00925A85">
              <w:rPr>
                <w:rFonts w:eastAsia="Times New Roman" w:cs="Arial"/>
                <w:b/>
                <w:bCs/>
                <w:color w:val="000000"/>
                <w:sz w:val="20"/>
                <w:szCs w:val="20"/>
              </w:rPr>
              <w:t>0.93%</w:t>
            </w:r>
          </w:p>
        </w:tc>
        <w:tc>
          <w:tcPr>
            <w:tcW w:w="1439" w:type="dxa"/>
            <w:tcBorders>
              <w:top w:val="single" w:sz="4" w:space="0" w:color="auto"/>
              <w:left w:val="nil"/>
              <w:bottom w:val="single" w:sz="4" w:space="0" w:color="auto"/>
              <w:right w:val="nil"/>
            </w:tcBorders>
            <w:shd w:val="clear" w:color="auto" w:fill="D3C5D7"/>
            <w:noWrap/>
            <w:vAlign w:val="center"/>
            <w:hideMark/>
          </w:tcPr>
          <w:p w14:paraId="5CFF7A7D" w14:textId="77777777" w:rsidR="00C210E3" w:rsidRPr="00925A85" w:rsidRDefault="00C210E3" w:rsidP="00C210E3">
            <w:pPr>
              <w:spacing w:after="0" w:line="240" w:lineRule="auto"/>
              <w:jc w:val="right"/>
              <w:rPr>
                <w:rFonts w:eastAsia="Times New Roman" w:cs="Arial"/>
                <w:b/>
                <w:bCs/>
                <w:color w:val="000000"/>
                <w:sz w:val="20"/>
                <w:szCs w:val="20"/>
              </w:rPr>
            </w:pPr>
            <w:r w:rsidRPr="00925A85">
              <w:rPr>
                <w:rFonts w:eastAsia="Times New Roman" w:cs="Arial"/>
                <w:b/>
                <w:bCs/>
                <w:color w:val="000000"/>
                <w:sz w:val="20"/>
                <w:szCs w:val="20"/>
              </w:rPr>
              <w:t>0.94%</w:t>
            </w:r>
          </w:p>
        </w:tc>
        <w:tc>
          <w:tcPr>
            <w:tcW w:w="1284" w:type="dxa"/>
            <w:tcBorders>
              <w:top w:val="single" w:sz="4" w:space="0" w:color="auto"/>
              <w:left w:val="nil"/>
              <w:bottom w:val="single" w:sz="4" w:space="0" w:color="auto"/>
              <w:right w:val="nil"/>
            </w:tcBorders>
            <w:shd w:val="clear" w:color="auto" w:fill="D3C5D7"/>
            <w:noWrap/>
            <w:vAlign w:val="center"/>
            <w:hideMark/>
          </w:tcPr>
          <w:p w14:paraId="500AFDCD" w14:textId="77777777" w:rsidR="00C210E3" w:rsidRPr="00925A85" w:rsidRDefault="00C210E3" w:rsidP="00C210E3">
            <w:pPr>
              <w:spacing w:after="0" w:line="240" w:lineRule="auto"/>
              <w:jc w:val="right"/>
              <w:rPr>
                <w:rFonts w:eastAsia="Times New Roman" w:cs="Arial"/>
                <w:b/>
                <w:bCs/>
                <w:color w:val="000000"/>
                <w:sz w:val="20"/>
                <w:szCs w:val="20"/>
              </w:rPr>
            </w:pPr>
            <w:r w:rsidRPr="00925A85">
              <w:rPr>
                <w:rFonts w:eastAsia="Times New Roman" w:cs="Arial"/>
                <w:b/>
                <w:bCs/>
                <w:color w:val="000000"/>
                <w:sz w:val="20"/>
                <w:szCs w:val="20"/>
              </w:rPr>
              <w:t>0.92%</w:t>
            </w:r>
          </w:p>
        </w:tc>
        <w:tc>
          <w:tcPr>
            <w:tcW w:w="1267" w:type="dxa"/>
            <w:tcBorders>
              <w:top w:val="single" w:sz="4" w:space="0" w:color="auto"/>
              <w:left w:val="nil"/>
              <w:bottom w:val="single" w:sz="4" w:space="0" w:color="auto"/>
              <w:right w:val="nil"/>
            </w:tcBorders>
            <w:shd w:val="clear" w:color="auto" w:fill="D3C5D7"/>
            <w:noWrap/>
            <w:vAlign w:val="center"/>
            <w:hideMark/>
          </w:tcPr>
          <w:p w14:paraId="50B78CFE" w14:textId="77777777" w:rsidR="00C210E3" w:rsidRPr="00925A85" w:rsidRDefault="00C210E3" w:rsidP="00C210E3">
            <w:pPr>
              <w:spacing w:after="0" w:line="240" w:lineRule="auto"/>
              <w:jc w:val="right"/>
              <w:rPr>
                <w:rFonts w:eastAsia="Times New Roman" w:cs="Arial"/>
                <w:b/>
                <w:bCs/>
                <w:color w:val="000000"/>
                <w:sz w:val="20"/>
                <w:szCs w:val="20"/>
              </w:rPr>
            </w:pPr>
            <w:r w:rsidRPr="00925A85">
              <w:rPr>
                <w:rFonts w:eastAsia="Times New Roman" w:cs="Arial"/>
                <w:b/>
                <w:bCs/>
                <w:color w:val="000000"/>
                <w:sz w:val="20"/>
                <w:szCs w:val="20"/>
              </w:rPr>
              <w:t>0.93%</w:t>
            </w:r>
          </w:p>
        </w:tc>
      </w:tr>
    </w:tbl>
    <w:p w14:paraId="65880CE2" w14:textId="77777777" w:rsidR="00C27AE9" w:rsidRDefault="00C27AE9" w:rsidP="00DA3F73">
      <w:pPr>
        <w:pStyle w:val="Tables"/>
      </w:pPr>
    </w:p>
    <w:p w14:paraId="2F631404" w14:textId="77777777" w:rsidR="004A5D62" w:rsidRPr="007A7686" w:rsidRDefault="004A5D62" w:rsidP="00DA3F73">
      <w:pPr>
        <w:pStyle w:val="Tables"/>
      </w:pPr>
      <w:r w:rsidRPr="007A7686">
        <w:t xml:space="preserve">Table </w:t>
      </w:r>
      <w:r w:rsidR="00A270E7">
        <w:t>J</w:t>
      </w:r>
      <w:r w:rsidR="00A87896">
        <w:t>.</w:t>
      </w:r>
      <w:fldSimple w:instr=" SEQ Table \* ARABIC \s 2 ">
        <w:r w:rsidR="00FC79AE">
          <w:rPr>
            <w:noProof/>
          </w:rPr>
          <w:t>14</w:t>
        </w:r>
      </w:fldSimple>
      <w:r w:rsidR="00925A85">
        <w:t>:</w:t>
      </w:r>
      <w:r w:rsidRPr="007A7686">
        <w:t xml:space="preserve"> Contri</w:t>
      </w:r>
      <w:r w:rsidR="00B23841">
        <w:t>bu</w:t>
      </w:r>
      <w:r w:rsidRPr="007A7686">
        <w:t>tion to total by age group</w:t>
      </w:r>
    </w:p>
    <w:tbl>
      <w:tblPr>
        <w:tblW w:w="0" w:type="auto"/>
        <w:tblLook w:val="04A0" w:firstRow="1" w:lastRow="0" w:firstColumn="1" w:lastColumn="0" w:noHBand="0" w:noVBand="1"/>
      </w:tblPr>
      <w:tblGrid>
        <w:gridCol w:w="939"/>
        <w:gridCol w:w="3095"/>
        <w:gridCol w:w="2495"/>
        <w:gridCol w:w="2495"/>
      </w:tblGrid>
      <w:tr w:rsidR="009B6791" w:rsidRPr="009B6791" w14:paraId="427E64D2" w14:textId="77777777" w:rsidTr="00DA3F73">
        <w:trPr>
          <w:trHeight w:val="397"/>
        </w:trPr>
        <w:tc>
          <w:tcPr>
            <w:tcW w:w="0" w:type="auto"/>
            <w:tcBorders>
              <w:top w:val="nil"/>
              <w:left w:val="nil"/>
              <w:bottom w:val="nil"/>
              <w:right w:val="nil"/>
            </w:tcBorders>
            <w:shd w:val="clear" w:color="auto" w:fill="6B2976"/>
            <w:noWrap/>
            <w:vAlign w:val="bottom"/>
            <w:hideMark/>
          </w:tcPr>
          <w:p w14:paraId="0703B619" w14:textId="77777777" w:rsidR="009B6791" w:rsidRPr="00DA3F73" w:rsidRDefault="009B6791" w:rsidP="009B6791">
            <w:pPr>
              <w:spacing w:after="0" w:line="240" w:lineRule="auto"/>
              <w:rPr>
                <w:rFonts w:eastAsia="Times New Roman" w:cs="Arial"/>
                <w:sz w:val="20"/>
                <w:szCs w:val="20"/>
                <w:lang w:eastAsia="zh-CN"/>
              </w:rPr>
            </w:pPr>
          </w:p>
        </w:tc>
        <w:tc>
          <w:tcPr>
            <w:tcW w:w="0" w:type="auto"/>
            <w:tcBorders>
              <w:top w:val="nil"/>
              <w:left w:val="nil"/>
              <w:bottom w:val="nil"/>
              <w:right w:val="nil"/>
            </w:tcBorders>
            <w:shd w:val="clear" w:color="auto" w:fill="6B2976"/>
            <w:noWrap/>
            <w:vAlign w:val="bottom"/>
            <w:hideMark/>
          </w:tcPr>
          <w:p w14:paraId="346D8BFD" w14:textId="77777777" w:rsidR="009B6791" w:rsidRPr="00DA3F73" w:rsidRDefault="009B6791" w:rsidP="009B6791">
            <w:pPr>
              <w:spacing w:after="0" w:line="240" w:lineRule="auto"/>
              <w:rPr>
                <w:rFonts w:eastAsia="Times New Roman" w:cs="Arial"/>
                <w:sz w:val="20"/>
                <w:szCs w:val="20"/>
                <w:lang w:eastAsia="zh-CN"/>
              </w:rPr>
            </w:pPr>
          </w:p>
        </w:tc>
        <w:tc>
          <w:tcPr>
            <w:tcW w:w="0" w:type="auto"/>
            <w:gridSpan w:val="2"/>
            <w:tcBorders>
              <w:top w:val="nil"/>
              <w:left w:val="nil"/>
              <w:bottom w:val="single" w:sz="4" w:space="0" w:color="FFFFFF" w:themeColor="background1"/>
              <w:right w:val="nil"/>
            </w:tcBorders>
            <w:shd w:val="clear" w:color="000000" w:fill="6B2976"/>
            <w:noWrap/>
            <w:vAlign w:val="center"/>
            <w:hideMark/>
          </w:tcPr>
          <w:p w14:paraId="69A03782" w14:textId="77777777" w:rsidR="009B6791" w:rsidRPr="00DA3F73" w:rsidRDefault="009B6791" w:rsidP="00FF0738">
            <w:pPr>
              <w:spacing w:after="0" w:line="240" w:lineRule="auto"/>
              <w:jc w:val="center"/>
              <w:rPr>
                <w:rFonts w:eastAsia="Times New Roman" w:cs="Arial"/>
                <w:b/>
                <w:bCs/>
                <w:color w:val="FFFFFF"/>
                <w:sz w:val="20"/>
                <w:szCs w:val="20"/>
                <w:lang w:eastAsia="zh-CN"/>
              </w:rPr>
            </w:pPr>
            <w:r w:rsidRPr="00DA3F73">
              <w:rPr>
                <w:rFonts w:eastAsia="Times New Roman" w:cs="Arial"/>
                <w:b/>
                <w:bCs/>
                <w:color w:val="FFFFFF"/>
                <w:sz w:val="20"/>
                <w:szCs w:val="20"/>
                <w:lang w:eastAsia="zh-CN"/>
              </w:rPr>
              <w:t xml:space="preserve">Contribution to </w:t>
            </w:r>
            <w:r w:rsidR="007768B5">
              <w:rPr>
                <w:rFonts w:eastAsia="Times New Roman" w:cs="Arial"/>
                <w:b/>
                <w:bCs/>
                <w:color w:val="FFFFFF"/>
                <w:sz w:val="20"/>
                <w:szCs w:val="20"/>
                <w:lang w:eastAsia="zh-CN"/>
              </w:rPr>
              <w:t>t</w:t>
            </w:r>
            <w:r w:rsidRPr="00DA3F73">
              <w:rPr>
                <w:rFonts w:eastAsia="Times New Roman" w:cs="Arial"/>
                <w:b/>
                <w:bCs/>
                <w:color w:val="FFFFFF"/>
                <w:sz w:val="20"/>
                <w:szCs w:val="20"/>
                <w:lang w:eastAsia="zh-CN"/>
              </w:rPr>
              <w:t>otal</w:t>
            </w:r>
            <w:r w:rsidR="007768B5">
              <w:rPr>
                <w:rFonts w:eastAsia="Times New Roman" w:cs="Arial"/>
                <w:b/>
                <w:bCs/>
                <w:color w:val="FFFFFF"/>
                <w:sz w:val="20"/>
                <w:szCs w:val="20"/>
                <w:lang w:eastAsia="zh-CN"/>
              </w:rPr>
              <w:t xml:space="preserve"> mortality rate</w:t>
            </w:r>
          </w:p>
        </w:tc>
      </w:tr>
      <w:tr w:rsidR="007768B5" w:rsidRPr="009B6791" w14:paraId="424CF5D4" w14:textId="77777777" w:rsidTr="00DA3F73">
        <w:trPr>
          <w:trHeight w:val="397"/>
        </w:trPr>
        <w:tc>
          <w:tcPr>
            <w:tcW w:w="0" w:type="auto"/>
            <w:tcBorders>
              <w:top w:val="nil"/>
              <w:left w:val="nil"/>
              <w:bottom w:val="nil"/>
              <w:right w:val="nil"/>
            </w:tcBorders>
            <w:shd w:val="clear" w:color="000000" w:fill="6B2976"/>
            <w:vAlign w:val="center"/>
            <w:hideMark/>
          </w:tcPr>
          <w:p w14:paraId="05EEAA07" w14:textId="77777777" w:rsidR="007768B5" w:rsidRPr="00DA3F73" w:rsidRDefault="007768B5" w:rsidP="007768B5">
            <w:pPr>
              <w:spacing w:after="0" w:line="240" w:lineRule="auto"/>
              <w:rPr>
                <w:rFonts w:eastAsia="Times New Roman" w:cs="Arial"/>
                <w:b/>
                <w:bCs/>
                <w:color w:val="FFFFFF"/>
                <w:sz w:val="20"/>
                <w:szCs w:val="20"/>
                <w:lang w:eastAsia="zh-CN"/>
              </w:rPr>
            </w:pPr>
            <w:r w:rsidRPr="00DA3F73">
              <w:rPr>
                <w:rFonts w:eastAsia="Times New Roman" w:cs="Arial"/>
                <w:b/>
                <w:bCs/>
                <w:color w:val="FFFFFF"/>
                <w:sz w:val="20"/>
                <w:szCs w:val="20"/>
                <w:lang w:eastAsia="zh-CN"/>
              </w:rPr>
              <w:t>Age</w:t>
            </w:r>
          </w:p>
        </w:tc>
        <w:tc>
          <w:tcPr>
            <w:tcW w:w="0" w:type="auto"/>
            <w:tcBorders>
              <w:top w:val="nil"/>
              <w:left w:val="nil"/>
              <w:bottom w:val="nil"/>
              <w:right w:val="nil"/>
            </w:tcBorders>
            <w:shd w:val="clear" w:color="000000" w:fill="6B2976"/>
            <w:vAlign w:val="center"/>
            <w:hideMark/>
          </w:tcPr>
          <w:p w14:paraId="2FFD8AF0" w14:textId="77777777" w:rsidR="007768B5" w:rsidRPr="00DA3F73" w:rsidRDefault="007768B5" w:rsidP="007768B5">
            <w:pPr>
              <w:spacing w:after="0" w:line="240" w:lineRule="auto"/>
              <w:jc w:val="right"/>
              <w:rPr>
                <w:rFonts w:eastAsia="Times New Roman" w:cs="Arial"/>
                <w:b/>
                <w:bCs/>
                <w:color w:val="FFFFFF"/>
                <w:sz w:val="20"/>
                <w:szCs w:val="20"/>
                <w:lang w:eastAsia="zh-CN"/>
              </w:rPr>
            </w:pPr>
            <w:r>
              <w:rPr>
                <w:rFonts w:eastAsia="Times New Roman" w:cs="Arial"/>
                <w:b/>
                <w:bCs/>
                <w:color w:val="FFFFFF"/>
                <w:sz w:val="20"/>
                <w:szCs w:val="20"/>
              </w:rPr>
              <w:t>Exposure (mix of participants)</w:t>
            </w:r>
          </w:p>
        </w:tc>
        <w:tc>
          <w:tcPr>
            <w:tcW w:w="0" w:type="auto"/>
            <w:tcBorders>
              <w:top w:val="single" w:sz="4" w:space="0" w:color="FFFFFF" w:themeColor="background1"/>
              <w:left w:val="nil"/>
              <w:bottom w:val="nil"/>
              <w:right w:val="nil"/>
            </w:tcBorders>
            <w:shd w:val="clear" w:color="000000" w:fill="6B2976"/>
            <w:vAlign w:val="center"/>
            <w:hideMark/>
          </w:tcPr>
          <w:p w14:paraId="2CC7DC1A" w14:textId="77777777" w:rsidR="007768B5" w:rsidRPr="00DA3F73" w:rsidRDefault="007768B5" w:rsidP="007768B5">
            <w:pPr>
              <w:spacing w:after="0" w:line="240" w:lineRule="auto"/>
              <w:jc w:val="right"/>
              <w:rPr>
                <w:rFonts w:eastAsia="Times New Roman" w:cs="Arial"/>
                <w:b/>
                <w:bCs/>
                <w:color w:val="FFFFFF"/>
                <w:sz w:val="20"/>
                <w:szCs w:val="20"/>
                <w:lang w:eastAsia="zh-CN"/>
              </w:rPr>
            </w:pPr>
            <w:r>
              <w:rPr>
                <w:rFonts w:eastAsia="Times New Roman" w:cs="Arial"/>
                <w:b/>
                <w:bCs/>
                <w:color w:val="FFFFFF"/>
                <w:sz w:val="20"/>
                <w:szCs w:val="20"/>
              </w:rPr>
              <w:t xml:space="preserve">2020-21 AFSR </w:t>
            </w:r>
            <w:r w:rsidRPr="00DA3F73">
              <w:rPr>
                <w:rFonts w:eastAsia="Times New Roman" w:cs="Arial"/>
                <w:b/>
                <w:bCs/>
                <w:color w:val="FFFFFF"/>
                <w:sz w:val="20"/>
                <w:szCs w:val="20"/>
              </w:rPr>
              <w:t>Expected</w:t>
            </w:r>
          </w:p>
        </w:tc>
        <w:tc>
          <w:tcPr>
            <w:tcW w:w="0" w:type="auto"/>
            <w:tcBorders>
              <w:top w:val="single" w:sz="4" w:space="0" w:color="FFFFFF" w:themeColor="background1"/>
              <w:left w:val="nil"/>
              <w:bottom w:val="nil"/>
              <w:right w:val="nil"/>
            </w:tcBorders>
            <w:shd w:val="clear" w:color="000000" w:fill="6B2976"/>
            <w:vAlign w:val="center"/>
            <w:hideMark/>
          </w:tcPr>
          <w:p w14:paraId="0A538CCB" w14:textId="77777777" w:rsidR="007768B5" w:rsidRPr="00DA3F73" w:rsidRDefault="007768B5" w:rsidP="007768B5">
            <w:pPr>
              <w:spacing w:after="0" w:line="240" w:lineRule="auto"/>
              <w:jc w:val="right"/>
              <w:rPr>
                <w:rFonts w:eastAsia="Times New Roman" w:cs="Arial"/>
                <w:b/>
                <w:bCs/>
                <w:color w:val="FFFFFF"/>
                <w:sz w:val="20"/>
                <w:szCs w:val="20"/>
                <w:lang w:eastAsia="zh-CN"/>
              </w:rPr>
            </w:pPr>
            <w:r>
              <w:rPr>
                <w:rFonts w:eastAsia="Times New Roman" w:cs="Arial"/>
                <w:b/>
                <w:bCs/>
                <w:color w:val="FFFFFF"/>
                <w:sz w:val="20"/>
                <w:szCs w:val="20"/>
              </w:rPr>
              <w:t>2021-22 AFSR Expected</w:t>
            </w:r>
          </w:p>
        </w:tc>
      </w:tr>
      <w:tr w:rsidR="009B6791" w:rsidRPr="009B6791" w14:paraId="24199383" w14:textId="77777777" w:rsidTr="00D219F1">
        <w:trPr>
          <w:trHeight w:val="283"/>
        </w:trPr>
        <w:tc>
          <w:tcPr>
            <w:tcW w:w="0" w:type="auto"/>
            <w:tcBorders>
              <w:top w:val="nil"/>
              <w:left w:val="nil"/>
              <w:bottom w:val="nil"/>
              <w:right w:val="nil"/>
            </w:tcBorders>
            <w:shd w:val="clear" w:color="auto" w:fill="auto"/>
            <w:noWrap/>
            <w:vAlign w:val="center"/>
            <w:hideMark/>
          </w:tcPr>
          <w:p w14:paraId="1D7F94B1" w14:textId="77777777" w:rsidR="009B6791" w:rsidRPr="00DA3F73" w:rsidRDefault="009B6791" w:rsidP="00D219F1">
            <w:pPr>
              <w:spacing w:after="0" w:line="240" w:lineRule="auto"/>
              <w:rPr>
                <w:rFonts w:eastAsia="Times New Roman" w:cs="Arial"/>
                <w:color w:val="000000"/>
                <w:sz w:val="20"/>
                <w:szCs w:val="20"/>
                <w:lang w:eastAsia="zh-CN"/>
              </w:rPr>
            </w:pPr>
            <w:r w:rsidRPr="00DA3F73">
              <w:rPr>
                <w:rFonts w:eastAsia="Times New Roman" w:cs="Arial"/>
                <w:color w:val="000000"/>
                <w:sz w:val="20"/>
                <w:szCs w:val="20"/>
                <w:lang w:eastAsia="zh-CN"/>
              </w:rPr>
              <w:t>0 to 6</w:t>
            </w:r>
          </w:p>
        </w:tc>
        <w:tc>
          <w:tcPr>
            <w:tcW w:w="0" w:type="auto"/>
            <w:tcBorders>
              <w:top w:val="nil"/>
              <w:left w:val="nil"/>
              <w:bottom w:val="nil"/>
              <w:right w:val="nil"/>
            </w:tcBorders>
            <w:shd w:val="clear" w:color="auto" w:fill="auto"/>
            <w:noWrap/>
            <w:vAlign w:val="center"/>
            <w:hideMark/>
          </w:tcPr>
          <w:p w14:paraId="42781980"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15.57%</w:t>
            </w:r>
          </w:p>
        </w:tc>
        <w:tc>
          <w:tcPr>
            <w:tcW w:w="0" w:type="auto"/>
            <w:tcBorders>
              <w:top w:val="nil"/>
              <w:left w:val="nil"/>
              <w:bottom w:val="nil"/>
              <w:right w:val="nil"/>
            </w:tcBorders>
            <w:shd w:val="clear" w:color="auto" w:fill="auto"/>
            <w:noWrap/>
            <w:vAlign w:val="center"/>
            <w:hideMark/>
          </w:tcPr>
          <w:p w14:paraId="14771D1E"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0.02%</w:t>
            </w:r>
          </w:p>
        </w:tc>
        <w:tc>
          <w:tcPr>
            <w:tcW w:w="0" w:type="auto"/>
            <w:tcBorders>
              <w:top w:val="nil"/>
              <w:left w:val="nil"/>
              <w:bottom w:val="nil"/>
              <w:right w:val="nil"/>
            </w:tcBorders>
            <w:shd w:val="clear" w:color="auto" w:fill="auto"/>
            <w:noWrap/>
            <w:vAlign w:val="center"/>
            <w:hideMark/>
          </w:tcPr>
          <w:p w14:paraId="38A4C4AB"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0.02%</w:t>
            </w:r>
          </w:p>
        </w:tc>
      </w:tr>
      <w:tr w:rsidR="009B6791" w:rsidRPr="009B6791" w14:paraId="031467ED" w14:textId="77777777" w:rsidTr="00D219F1">
        <w:trPr>
          <w:trHeight w:val="283"/>
        </w:trPr>
        <w:tc>
          <w:tcPr>
            <w:tcW w:w="0" w:type="auto"/>
            <w:tcBorders>
              <w:top w:val="nil"/>
              <w:left w:val="nil"/>
              <w:bottom w:val="nil"/>
              <w:right w:val="nil"/>
            </w:tcBorders>
            <w:shd w:val="clear" w:color="000000" w:fill="BFBFBF"/>
            <w:noWrap/>
            <w:vAlign w:val="center"/>
            <w:hideMark/>
          </w:tcPr>
          <w:p w14:paraId="043CD5B2" w14:textId="77777777" w:rsidR="009B6791" w:rsidRPr="00DA3F73" w:rsidRDefault="009B6791" w:rsidP="00D219F1">
            <w:pPr>
              <w:spacing w:after="0" w:line="240" w:lineRule="auto"/>
              <w:rPr>
                <w:rFonts w:eastAsia="Times New Roman" w:cs="Arial"/>
                <w:color w:val="000000"/>
                <w:sz w:val="20"/>
                <w:szCs w:val="20"/>
                <w:lang w:eastAsia="zh-CN"/>
              </w:rPr>
            </w:pPr>
            <w:r w:rsidRPr="00DA3F73">
              <w:rPr>
                <w:rFonts w:eastAsia="Times New Roman" w:cs="Arial"/>
                <w:color w:val="000000"/>
                <w:sz w:val="20"/>
                <w:szCs w:val="20"/>
                <w:lang w:eastAsia="zh-CN"/>
              </w:rPr>
              <w:t>7 to 14</w:t>
            </w:r>
          </w:p>
        </w:tc>
        <w:tc>
          <w:tcPr>
            <w:tcW w:w="0" w:type="auto"/>
            <w:tcBorders>
              <w:top w:val="nil"/>
              <w:left w:val="nil"/>
              <w:bottom w:val="nil"/>
              <w:right w:val="nil"/>
            </w:tcBorders>
            <w:shd w:val="clear" w:color="000000" w:fill="BFBFBF"/>
            <w:noWrap/>
            <w:vAlign w:val="center"/>
            <w:hideMark/>
          </w:tcPr>
          <w:p w14:paraId="2CDEBD9F"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25.76%</w:t>
            </w:r>
          </w:p>
        </w:tc>
        <w:tc>
          <w:tcPr>
            <w:tcW w:w="0" w:type="auto"/>
            <w:tcBorders>
              <w:top w:val="nil"/>
              <w:left w:val="nil"/>
              <w:bottom w:val="nil"/>
              <w:right w:val="nil"/>
            </w:tcBorders>
            <w:shd w:val="clear" w:color="000000" w:fill="BFBFBF"/>
            <w:noWrap/>
            <w:vAlign w:val="center"/>
            <w:hideMark/>
          </w:tcPr>
          <w:p w14:paraId="781D39D3"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0.02%</w:t>
            </w:r>
          </w:p>
        </w:tc>
        <w:tc>
          <w:tcPr>
            <w:tcW w:w="0" w:type="auto"/>
            <w:tcBorders>
              <w:top w:val="nil"/>
              <w:left w:val="nil"/>
              <w:bottom w:val="nil"/>
              <w:right w:val="nil"/>
            </w:tcBorders>
            <w:shd w:val="clear" w:color="000000" w:fill="BFBFBF"/>
            <w:noWrap/>
            <w:vAlign w:val="center"/>
            <w:hideMark/>
          </w:tcPr>
          <w:p w14:paraId="14405548"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0.02%</w:t>
            </w:r>
          </w:p>
        </w:tc>
      </w:tr>
      <w:tr w:rsidR="009B6791" w:rsidRPr="009B6791" w14:paraId="70CECDC2" w14:textId="77777777" w:rsidTr="00D219F1">
        <w:trPr>
          <w:trHeight w:val="283"/>
        </w:trPr>
        <w:tc>
          <w:tcPr>
            <w:tcW w:w="0" w:type="auto"/>
            <w:tcBorders>
              <w:top w:val="nil"/>
              <w:left w:val="nil"/>
              <w:bottom w:val="nil"/>
              <w:right w:val="nil"/>
            </w:tcBorders>
            <w:shd w:val="clear" w:color="auto" w:fill="auto"/>
            <w:noWrap/>
            <w:vAlign w:val="center"/>
            <w:hideMark/>
          </w:tcPr>
          <w:p w14:paraId="40E3AE7D" w14:textId="77777777" w:rsidR="009B6791" w:rsidRPr="00DA3F73" w:rsidRDefault="009B6791" w:rsidP="00D219F1">
            <w:pPr>
              <w:spacing w:after="0" w:line="240" w:lineRule="auto"/>
              <w:rPr>
                <w:rFonts w:eastAsia="Times New Roman" w:cs="Arial"/>
                <w:color w:val="000000"/>
                <w:sz w:val="20"/>
                <w:szCs w:val="20"/>
                <w:lang w:eastAsia="zh-CN"/>
              </w:rPr>
            </w:pPr>
            <w:r w:rsidRPr="00DA3F73">
              <w:rPr>
                <w:rFonts w:eastAsia="Times New Roman" w:cs="Arial"/>
                <w:color w:val="000000"/>
                <w:sz w:val="20"/>
                <w:szCs w:val="20"/>
                <w:lang w:eastAsia="zh-CN"/>
              </w:rPr>
              <w:t>15 to 18</w:t>
            </w:r>
          </w:p>
        </w:tc>
        <w:tc>
          <w:tcPr>
            <w:tcW w:w="0" w:type="auto"/>
            <w:tcBorders>
              <w:top w:val="nil"/>
              <w:left w:val="nil"/>
              <w:bottom w:val="nil"/>
              <w:right w:val="nil"/>
            </w:tcBorders>
            <w:shd w:val="clear" w:color="auto" w:fill="auto"/>
            <w:noWrap/>
            <w:vAlign w:val="center"/>
            <w:hideMark/>
          </w:tcPr>
          <w:p w14:paraId="79A9BE83"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7.73%</w:t>
            </w:r>
          </w:p>
        </w:tc>
        <w:tc>
          <w:tcPr>
            <w:tcW w:w="0" w:type="auto"/>
            <w:tcBorders>
              <w:top w:val="nil"/>
              <w:left w:val="nil"/>
              <w:bottom w:val="nil"/>
              <w:right w:val="nil"/>
            </w:tcBorders>
            <w:shd w:val="clear" w:color="auto" w:fill="auto"/>
            <w:noWrap/>
            <w:vAlign w:val="center"/>
            <w:hideMark/>
          </w:tcPr>
          <w:p w14:paraId="7FFE94E8"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0.01%</w:t>
            </w:r>
          </w:p>
        </w:tc>
        <w:tc>
          <w:tcPr>
            <w:tcW w:w="0" w:type="auto"/>
            <w:tcBorders>
              <w:top w:val="nil"/>
              <w:left w:val="nil"/>
              <w:bottom w:val="nil"/>
              <w:right w:val="nil"/>
            </w:tcBorders>
            <w:shd w:val="clear" w:color="auto" w:fill="auto"/>
            <w:noWrap/>
            <w:vAlign w:val="center"/>
            <w:hideMark/>
          </w:tcPr>
          <w:p w14:paraId="64A38915"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0.01%</w:t>
            </w:r>
          </w:p>
        </w:tc>
      </w:tr>
      <w:tr w:rsidR="009B6791" w:rsidRPr="009B6791" w14:paraId="3EC100E7" w14:textId="77777777" w:rsidTr="00D219F1">
        <w:trPr>
          <w:trHeight w:val="283"/>
        </w:trPr>
        <w:tc>
          <w:tcPr>
            <w:tcW w:w="0" w:type="auto"/>
            <w:tcBorders>
              <w:top w:val="nil"/>
              <w:left w:val="nil"/>
              <w:bottom w:val="nil"/>
              <w:right w:val="nil"/>
            </w:tcBorders>
            <w:shd w:val="clear" w:color="000000" w:fill="BFBFBF"/>
            <w:noWrap/>
            <w:vAlign w:val="center"/>
            <w:hideMark/>
          </w:tcPr>
          <w:p w14:paraId="48B8713B" w14:textId="77777777" w:rsidR="009B6791" w:rsidRPr="00DA3F73" w:rsidRDefault="009B6791" w:rsidP="00D219F1">
            <w:pPr>
              <w:spacing w:after="0" w:line="240" w:lineRule="auto"/>
              <w:rPr>
                <w:rFonts w:eastAsia="Times New Roman" w:cs="Arial"/>
                <w:color w:val="000000"/>
                <w:sz w:val="20"/>
                <w:szCs w:val="20"/>
                <w:lang w:eastAsia="zh-CN"/>
              </w:rPr>
            </w:pPr>
            <w:r w:rsidRPr="00DA3F73">
              <w:rPr>
                <w:rFonts w:eastAsia="Times New Roman" w:cs="Arial"/>
                <w:color w:val="000000"/>
                <w:sz w:val="20"/>
                <w:szCs w:val="20"/>
                <w:lang w:eastAsia="zh-CN"/>
              </w:rPr>
              <w:t>19 to 24</w:t>
            </w:r>
          </w:p>
        </w:tc>
        <w:tc>
          <w:tcPr>
            <w:tcW w:w="0" w:type="auto"/>
            <w:tcBorders>
              <w:top w:val="nil"/>
              <w:left w:val="nil"/>
              <w:bottom w:val="nil"/>
              <w:right w:val="nil"/>
            </w:tcBorders>
            <w:shd w:val="clear" w:color="000000" w:fill="BFBFBF"/>
            <w:noWrap/>
            <w:vAlign w:val="center"/>
            <w:hideMark/>
          </w:tcPr>
          <w:p w14:paraId="66DCB1AF"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8.22%</w:t>
            </w:r>
          </w:p>
        </w:tc>
        <w:tc>
          <w:tcPr>
            <w:tcW w:w="0" w:type="auto"/>
            <w:tcBorders>
              <w:top w:val="nil"/>
              <w:left w:val="nil"/>
              <w:bottom w:val="nil"/>
              <w:right w:val="nil"/>
            </w:tcBorders>
            <w:shd w:val="clear" w:color="000000" w:fill="BFBFBF"/>
            <w:noWrap/>
            <w:vAlign w:val="center"/>
            <w:hideMark/>
          </w:tcPr>
          <w:p w14:paraId="3B996AD4"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0.02%</w:t>
            </w:r>
          </w:p>
        </w:tc>
        <w:tc>
          <w:tcPr>
            <w:tcW w:w="0" w:type="auto"/>
            <w:tcBorders>
              <w:top w:val="nil"/>
              <w:left w:val="nil"/>
              <w:bottom w:val="nil"/>
              <w:right w:val="nil"/>
            </w:tcBorders>
            <w:shd w:val="clear" w:color="000000" w:fill="BFBFBF"/>
            <w:noWrap/>
            <w:vAlign w:val="center"/>
            <w:hideMark/>
          </w:tcPr>
          <w:p w14:paraId="07A42235"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0.02%</w:t>
            </w:r>
          </w:p>
        </w:tc>
      </w:tr>
      <w:tr w:rsidR="009B6791" w:rsidRPr="009B6791" w14:paraId="02C8B06B" w14:textId="77777777" w:rsidTr="00D219F1">
        <w:trPr>
          <w:trHeight w:val="283"/>
        </w:trPr>
        <w:tc>
          <w:tcPr>
            <w:tcW w:w="0" w:type="auto"/>
            <w:tcBorders>
              <w:top w:val="nil"/>
              <w:left w:val="nil"/>
              <w:bottom w:val="nil"/>
              <w:right w:val="nil"/>
            </w:tcBorders>
            <w:shd w:val="clear" w:color="auto" w:fill="auto"/>
            <w:noWrap/>
            <w:vAlign w:val="center"/>
            <w:hideMark/>
          </w:tcPr>
          <w:p w14:paraId="0D4C79DC" w14:textId="77777777" w:rsidR="009B6791" w:rsidRPr="00DA3F73" w:rsidRDefault="009B6791" w:rsidP="00D219F1">
            <w:pPr>
              <w:spacing w:after="0" w:line="240" w:lineRule="auto"/>
              <w:rPr>
                <w:rFonts w:eastAsia="Times New Roman" w:cs="Arial"/>
                <w:color w:val="000000"/>
                <w:sz w:val="20"/>
                <w:szCs w:val="20"/>
                <w:lang w:eastAsia="zh-CN"/>
              </w:rPr>
            </w:pPr>
            <w:r w:rsidRPr="00DA3F73">
              <w:rPr>
                <w:rFonts w:eastAsia="Times New Roman" w:cs="Arial"/>
                <w:color w:val="000000"/>
                <w:sz w:val="20"/>
                <w:szCs w:val="20"/>
                <w:lang w:eastAsia="zh-CN"/>
              </w:rPr>
              <w:t>25 to 34</w:t>
            </w:r>
          </w:p>
        </w:tc>
        <w:tc>
          <w:tcPr>
            <w:tcW w:w="0" w:type="auto"/>
            <w:tcBorders>
              <w:top w:val="nil"/>
              <w:left w:val="nil"/>
              <w:bottom w:val="nil"/>
              <w:right w:val="nil"/>
            </w:tcBorders>
            <w:shd w:val="clear" w:color="auto" w:fill="auto"/>
            <w:noWrap/>
            <w:vAlign w:val="center"/>
            <w:hideMark/>
          </w:tcPr>
          <w:p w14:paraId="49EB9B87"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8.90%</w:t>
            </w:r>
          </w:p>
        </w:tc>
        <w:tc>
          <w:tcPr>
            <w:tcW w:w="0" w:type="auto"/>
            <w:tcBorders>
              <w:top w:val="nil"/>
              <w:left w:val="nil"/>
              <w:bottom w:val="nil"/>
              <w:right w:val="nil"/>
            </w:tcBorders>
            <w:shd w:val="clear" w:color="auto" w:fill="auto"/>
            <w:noWrap/>
            <w:vAlign w:val="center"/>
            <w:hideMark/>
          </w:tcPr>
          <w:p w14:paraId="6EBA6321"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0.04%</w:t>
            </w:r>
          </w:p>
        </w:tc>
        <w:tc>
          <w:tcPr>
            <w:tcW w:w="0" w:type="auto"/>
            <w:tcBorders>
              <w:top w:val="nil"/>
              <w:left w:val="nil"/>
              <w:bottom w:val="nil"/>
              <w:right w:val="nil"/>
            </w:tcBorders>
            <w:shd w:val="clear" w:color="auto" w:fill="auto"/>
            <w:noWrap/>
            <w:vAlign w:val="center"/>
            <w:hideMark/>
          </w:tcPr>
          <w:p w14:paraId="7F79E810"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0.04%</w:t>
            </w:r>
          </w:p>
        </w:tc>
      </w:tr>
      <w:tr w:rsidR="009B6791" w:rsidRPr="009B6791" w14:paraId="6D822F84" w14:textId="77777777" w:rsidTr="00D219F1">
        <w:trPr>
          <w:trHeight w:val="283"/>
        </w:trPr>
        <w:tc>
          <w:tcPr>
            <w:tcW w:w="0" w:type="auto"/>
            <w:tcBorders>
              <w:top w:val="nil"/>
              <w:left w:val="nil"/>
              <w:bottom w:val="nil"/>
              <w:right w:val="nil"/>
            </w:tcBorders>
            <w:shd w:val="clear" w:color="000000" w:fill="BFBFBF"/>
            <w:noWrap/>
            <w:vAlign w:val="center"/>
            <w:hideMark/>
          </w:tcPr>
          <w:p w14:paraId="68249D0F" w14:textId="77777777" w:rsidR="009B6791" w:rsidRPr="00DA3F73" w:rsidRDefault="009B6791" w:rsidP="00D219F1">
            <w:pPr>
              <w:spacing w:after="0" w:line="240" w:lineRule="auto"/>
              <w:rPr>
                <w:rFonts w:eastAsia="Times New Roman" w:cs="Arial"/>
                <w:color w:val="000000"/>
                <w:sz w:val="20"/>
                <w:szCs w:val="20"/>
                <w:lang w:eastAsia="zh-CN"/>
              </w:rPr>
            </w:pPr>
            <w:r w:rsidRPr="00DA3F73">
              <w:rPr>
                <w:rFonts w:eastAsia="Times New Roman" w:cs="Arial"/>
                <w:color w:val="000000"/>
                <w:sz w:val="20"/>
                <w:szCs w:val="20"/>
                <w:lang w:eastAsia="zh-CN"/>
              </w:rPr>
              <w:t>35 to 44</w:t>
            </w:r>
          </w:p>
        </w:tc>
        <w:tc>
          <w:tcPr>
            <w:tcW w:w="0" w:type="auto"/>
            <w:tcBorders>
              <w:top w:val="nil"/>
              <w:left w:val="nil"/>
              <w:bottom w:val="nil"/>
              <w:right w:val="nil"/>
            </w:tcBorders>
            <w:shd w:val="clear" w:color="000000" w:fill="BFBFBF"/>
            <w:noWrap/>
            <w:vAlign w:val="center"/>
            <w:hideMark/>
          </w:tcPr>
          <w:p w14:paraId="5FAA3E63"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8.26%</w:t>
            </w:r>
          </w:p>
        </w:tc>
        <w:tc>
          <w:tcPr>
            <w:tcW w:w="0" w:type="auto"/>
            <w:tcBorders>
              <w:top w:val="nil"/>
              <w:left w:val="nil"/>
              <w:bottom w:val="nil"/>
              <w:right w:val="nil"/>
            </w:tcBorders>
            <w:shd w:val="clear" w:color="000000" w:fill="BFBFBF"/>
            <w:noWrap/>
            <w:vAlign w:val="center"/>
            <w:hideMark/>
          </w:tcPr>
          <w:p w14:paraId="21284910"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0.07%</w:t>
            </w:r>
          </w:p>
        </w:tc>
        <w:tc>
          <w:tcPr>
            <w:tcW w:w="0" w:type="auto"/>
            <w:tcBorders>
              <w:top w:val="nil"/>
              <w:left w:val="nil"/>
              <w:bottom w:val="nil"/>
              <w:right w:val="nil"/>
            </w:tcBorders>
            <w:shd w:val="clear" w:color="000000" w:fill="BFBFBF"/>
            <w:noWrap/>
            <w:vAlign w:val="center"/>
            <w:hideMark/>
          </w:tcPr>
          <w:p w14:paraId="2187B046"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0.07%</w:t>
            </w:r>
          </w:p>
        </w:tc>
      </w:tr>
      <w:tr w:rsidR="009B6791" w:rsidRPr="009B6791" w14:paraId="3DE012BF" w14:textId="77777777" w:rsidTr="00D219F1">
        <w:trPr>
          <w:trHeight w:val="283"/>
        </w:trPr>
        <w:tc>
          <w:tcPr>
            <w:tcW w:w="0" w:type="auto"/>
            <w:tcBorders>
              <w:top w:val="nil"/>
              <w:left w:val="nil"/>
              <w:bottom w:val="nil"/>
              <w:right w:val="nil"/>
            </w:tcBorders>
            <w:shd w:val="clear" w:color="auto" w:fill="auto"/>
            <w:noWrap/>
            <w:vAlign w:val="center"/>
            <w:hideMark/>
          </w:tcPr>
          <w:p w14:paraId="3665BCBC" w14:textId="77777777" w:rsidR="009B6791" w:rsidRPr="00DA3F73" w:rsidRDefault="009B6791" w:rsidP="00D219F1">
            <w:pPr>
              <w:spacing w:after="0" w:line="240" w:lineRule="auto"/>
              <w:rPr>
                <w:rFonts w:eastAsia="Times New Roman" w:cs="Arial"/>
                <w:color w:val="000000"/>
                <w:sz w:val="20"/>
                <w:szCs w:val="20"/>
                <w:lang w:eastAsia="zh-CN"/>
              </w:rPr>
            </w:pPr>
            <w:r w:rsidRPr="00DA3F73">
              <w:rPr>
                <w:rFonts w:eastAsia="Times New Roman" w:cs="Arial"/>
                <w:color w:val="000000"/>
                <w:sz w:val="20"/>
                <w:szCs w:val="20"/>
                <w:lang w:eastAsia="zh-CN"/>
              </w:rPr>
              <w:t>45 to 54</w:t>
            </w:r>
          </w:p>
        </w:tc>
        <w:tc>
          <w:tcPr>
            <w:tcW w:w="0" w:type="auto"/>
            <w:tcBorders>
              <w:top w:val="nil"/>
              <w:left w:val="nil"/>
              <w:bottom w:val="nil"/>
              <w:right w:val="nil"/>
            </w:tcBorders>
            <w:shd w:val="clear" w:color="auto" w:fill="auto"/>
            <w:noWrap/>
            <w:vAlign w:val="center"/>
            <w:hideMark/>
          </w:tcPr>
          <w:p w14:paraId="780653C8"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10.07%</w:t>
            </w:r>
          </w:p>
        </w:tc>
        <w:tc>
          <w:tcPr>
            <w:tcW w:w="0" w:type="auto"/>
            <w:tcBorders>
              <w:top w:val="nil"/>
              <w:left w:val="nil"/>
              <w:bottom w:val="nil"/>
              <w:right w:val="nil"/>
            </w:tcBorders>
            <w:shd w:val="clear" w:color="auto" w:fill="auto"/>
            <w:noWrap/>
            <w:vAlign w:val="center"/>
            <w:hideMark/>
          </w:tcPr>
          <w:p w14:paraId="25C9178B"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0.18%</w:t>
            </w:r>
          </w:p>
        </w:tc>
        <w:tc>
          <w:tcPr>
            <w:tcW w:w="0" w:type="auto"/>
            <w:tcBorders>
              <w:top w:val="nil"/>
              <w:left w:val="nil"/>
              <w:bottom w:val="nil"/>
              <w:right w:val="nil"/>
            </w:tcBorders>
            <w:shd w:val="clear" w:color="auto" w:fill="auto"/>
            <w:noWrap/>
            <w:vAlign w:val="center"/>
            <w:hideMark/>
          </w:tcPr>
          <w:p w14:paraId="2E98FAF3"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0.18%</w:t>
            </w:r>
          </w:p>
        </w:tc>
      </w:tr>
      <w:tr w:rsidR="009B6791" w:rsidRPr="009B6791" w14:paraId="2278B3FE" w14:textId="77777777" w:rsidTr="00D219F1">
        <w:trPr>
          <w:trHeight w:val="283"/>
        </w:trPr>
        <w:tc>
          <w:tcPr>
            <w:tcW w:w="0" w:type="auto"/>
            <w:tcBorders>
              <w:top w:val="nil"/>
              <w:left w:val="nil"/>
              <w:bottom w:val="nil"/>
              <w:right w:val="nil"/>
            </w:tcBorders>
            <w:shd w:val="clear" w:color="000000" w:fill="BFBFBF"/>
            <w:noWrap/>
            <w:vAlign w:val="center"/>
            <w:hideMark/>
          </w:tcPr>
          <w:p w14:paraId="583BF464" w14:textId="77777777" w:rsidR="009B6791" w:rsidRPr="00DA3F73" w:rsidRDefault="009B6791" w:rsidP="00D219F1">
            <w:pPr>
              <w:spacing w:after="0" w:line="240" w:lineRule="auto"/>
              <w:rPr>
                <w:rFonts w:eastAsia="Times New Roman" w:cs="Arial"/>
                <w:color w:val="000000"/>
                <w:sz w:val="20"/>
                <w:szCs w:val="20"/>
                <w:lang w:eastAsia="zh-CN"/>
              </w:rPr>
            </w:pPr>
            <w:r w:rsidRPr="00DA3F73">
              <w:rPr>
                <w:rFonts w:eastAsia="Times New Roman" w:cs="Arial"/>
                <w:color w:val="000000"/>
                <w:sz w:val="20"/>
                <w:szCs w:val="20"/>
                <w:lang w:eastAsia="zh-CN"/>
              </w:rPr>
              <w:t>55 to 64</w:t>
            </w:r>
          </w:p>
        </w:tc>
        <w:tc>
          <w:tcPr>
            <w:tcW w:w="0" w:type="auto"/>
            <w:tcBorders>
              <w:top w:val="nil"/>
              <w:left w:val="nil"/>
              <w:bottom w:val="nil"/>
              <w:right w:val="nil"/>
            </w:tcBorders>
            <w:shd w:val="clear" w:color="000000" w:fill="BFBFBF"/>
            <w:noWrap/>
            <w:vAlign w:val="center"/>
            <w:hideMark/>
          </w:tcPr>
          <w:p w14:paraId="0F1B735A"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11.84%</w:t>
            </w:r>
          </w:p>
        </w:tc>
        <w:tc>
          <w:tcPr>
            <w:tcW w:w="0" w:type="auto"/>
            <w:tcBorders>
              <w:top w:val="nil"/>
              <w:left w:val="nil"/>
              <w:bottom w:val="nil"/>
              <w:right w:val="nil"/>
            </w:tcBorders>
            <w:shd w:val="clear" w:color="000000" w:fill="BFBFBF"/>
            <w:noWrap/>
            <w:vAlign w:val="center"/>
            <w:hideMark/>
          </w:tcPr>
          <w:p w14:paraId="2B250110"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0.40%</w:t>
            </w:r>
          </w:p>
        </w:tc>
        <w:tc>
          <w:tcPr>
            <w:tcW w:w="0" w:type="auto"/>
            <w:tcBorders>
              <w:top w:val="nil"/>
              <w:left w:val="nil"/>
              <w:bottom w:val="nil"/>
              <w:right w:val="nil"/>
            </w:tcBorders>
            <w:shd w:val="clear" w:color="000000" w:fill="BFBFBF"/>
            <w:noWrap/>
            <w:vAlign w:val="center"/>
            <w:hideMark/>
          </w:tcPr>
          <w:p w14:paraId="45A69396"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0.40%</w:t>
            </w:r>
          </w:p>
        </w:tc>
      </w:tr>
      <w:tr w:rsidR="009B6791" w:rsidRPr="009B6791" w14:paraId="225431F1" w14:textId="77777777" w:rsidTr="00DA3F73">
        <w:trPr>
          <w:trHeight w:val="283"/>
        </w:trPr>
        <w:tc>
          <w:tcPr>
            <w:tcW w:w="0" w:type="auto"/>
            <w:tcBorders>
              <w:top w:val="nil"/>
              <w:left w:val="nil"/>
              <w:bottom w:val="single" w:sz="4" w:space="0" w:color="auto"/>
              <w:right w:val="nil"/>
            </w:tcBorders>
            <w:shd w:val="clear" w:color="auto" w:fill="auto"/>
            <w:noWrap/>
            <w:vAlign w:val="center"/>
            <w:hideMark/>
          </w:tcPr>
          <w:p w14:paraId="0B9DCA3A" w14:textId="77777777" w:rsidR="009B6791" w:rsidRPr="00DA3F73" w:rsidRDefault="009B6791" w:rsidP="00D219F1">
            <w:pPr>
              <w:spacing w:after="0" w:line="240" w:lineRule="auto"/>
              <w:rPr>
                <w:rFonts w:eastAsia="Times New Roman" w:cs="Arial"/>
                <w:color w:val="000000"/>
                <w:sz w:val="20"/>
                <w:szCs w:val="20"/>
                <w:lang w:eastAsia="zh-CN"/>
              </w:rPr>
            </w:pPr>
            <w:r w:rsidRPr="00DA3F73">
              <w:rPr>
                <w:rFonts w:eastAsia="Times New Roman" w:cs="Arial"/>
                <w:color w:val="000000"/>
                <w:sz w:val="20"/>
                <w:szCs w:val="20"/>
                <w:lang w:eastAsia="zh-CN"/>
              </w:rPr>
              <w:t>65+</w:t>
            </w:r>
          </w:p>
        </w:tc>
        <w:tc>
          <w:tcPr>
            <w:tcW w:w="0" w:type="auto"/>
            <w:tcBorders>
              <w:top w:val="nil"/>
              <w:left w:val="nil"/>
              <w:bottom w:val="single" w:sz="4" w:space="0" w:color="auto"/>
              <w:right w:val="nil"/>
            </w:tcBorders>
            <w:shd w:val="clear" w:color="auto" w:fill="auto"/>
            <w:noWrap/>
            <w:vAlign w:val="center"/>
            <w:hideMark/>
          </w:tcPr>
          <w:p w14:paraId="3F63DA54"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3.65%</w:t>
            </w:r>
          </w:p>
        </w:tc>
        <w:tc>
          <w:tcPr>
            <w:tcW w:w="0" w:type="auto"/>
            <w:tcBorders>
              <w:top w:val="nil"/>
              <w:left w:val="nil"/>
              <w:bottom w:val="single" w:sz="4" w:space="0" w:color="auto"/>
              <w:right w:val="nil"/>
            </w:tcBorders>
            <w:shd w:val="clear" w:color="auto" w:fill="auto"/>
            <w:noWrap/>
            <w:vAlign w:val="center"/>
            <w:hideMark/>
          </w:tcPr>
          <w:p w14:paraId="74BB9863"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0.17%</w:t>
            </w:r>
          </w:p>
        </w:tc>
        <w:tc>
          <w:tcPr>
            <w:tcW w:w="0" w:type="auto"/>
            <w:tcBorders>
              <w:top w:val="nil"/>
              <w:left w:val="nil"/>
              <w:bottom w:val="single" w:sz="4" w:space="0" w:color="auto"/>
              <w:right w:val="nil"/>
            </w:tcBorders>
            <w:shd w:val="clear" w:color="auto" w:fill="auto"/>
            <w:noWrap/>
            <w:vAlign w:val="center"/>
            <w:hideMark/>
          </w:tcPr>
          <w:p w14:paraId="5BD1FFEE" w14:textId="77777777" w:rsidR="009B6791" w:rsidRPr="00DA3F73" w:rsidRDefault="009B6791" w:rsidP="00D219F1">
            <w:pPr>
              <w:spacing w:after="0" w:line="240" w:lineRule="auto"/>
              <w:jc w:val="right"/>
              <w:rPr>
                <w:rFonts w:eastAsia="Times New Roman" w:cs="Arial"/>
                <w:color w:val="000000"/>
                <w:sz w:val="20"/>
                <w:szCs w:val="20"/>
                <w:lang w:eastAsia="zh-CN"/>
              </w:rPr>
            </w:pPr>
            <w:r w:rsidRPr="00DA3F73">
              <w:rPr>
                <w:rFonts w:eastAsia="Times New Roman" w:cs="Arial"/>
                <w:color w:val="000000"/>
                <w:sz w:val="20"/>
                <w:szCs w:val="20"/>
                <w:lang w:eastAsia="zh-CN"/>
              </w:rPr>
              <w:t>0.18%</w:t>
            </w:r>
          </w:p>
        </w:tc>
      </w:tr>
      <w:tr w:rsidR="009B6791" w:rsidRPr="009B6791" w14:paraId="5E300001" w14:textId="77777777" w:rsidTr="00D219F1">
        <w:trPr>
          <w:trHeight w:val="283"/>
        </w:trPr>
        <w:tc>
          <w:tcPr>
            <w:tcW w:w="0" w:type="auto"/>
            <w:tcBorders>
              <w:top w:val="single" w:sz="4" w:space="0" w:color="auto"/>
              <w:left w:val="nil"/>
              <w:bottom w:val="single" w:sz="4" w:space="0" w:color="auto"/>
              <w:right w:val="nil"/>
            </w:tcBorders>
            <w:shd w:val="clear" w:color="auto" w:fill="D3C5D7"/>
            <w:noWrap/>
            <w:vAlign w:val="center"/>
            <w:hideMark/>
          </w:tcPr>
          <w:p w14:paraId="130CB449" w14:textId="77777777" w:rsidR="009B6791" w:rsidRPr="00DA3F73" w:rsidRDefault="009B6791" w:rsidP="00D219F1">
            <w:pPr>
              <w:spacing w:after="0" w:line="240" w:lineRule="auto"/>
              <w:rPr>
                <w:rFonts w:eastAsia="Times New Roman" w:cs="Arial"/>
                <w:b/>
                <w:bCs/>
                <w:color w:val="000000"/>
                <w:sz w:val="20"/>
                <w:szCs w:val="20"/>
                <w:lang w:eastAsia="zh-CN"/>
              </w:rPr>
            </w:pPr>
            <w:r w:rsidRPr="00DA3F73">
              <w:rPr>
                <w:rFonts w:eastAsia="Times New Roman" w:cs="Arial"/>
                <w:b/>
                <w:bCs/>
                <w:color w:val="000000"/>
                <w:sz w:val="20"/>
                <w:szCs w:val="20"/>
                <w:lang w:eastAsia="zh-CN"/>
              </w:rPr>
              <w:t>Total</w:t>
            </w:r>
          </w:p>
        </w:tc>
        <w:tc>
          <w:tcPr>
            <w:tcW w:w="0" w:type="auto"/>
            <w:tcBorders>
              <w:top w:val="single" w:sz="4" w:space="0" w:color="auto"/>
              <w:left w:val="nil"/>
              <w:bottom w:val="single" w:sz="4" w:space="0" w:color="auto"/>
              <w:right w:val="nil"/>
            </w:tcBorders>
            <w:shd w:val="clear" w:color="auto" w:fill="D3C5D7"/>
            <w:noWrap/>
            <w:vAlign w:val="center"/>
            <w:hideMark/>
          </w:tcPr>
          <w:p w14:paraId="696CFDCE" w14:textId="77777777" w:rsidR="009B6791" w:rsidRPr="00DA3F73" w:rsidRDefault="009B6791" w:rsidP="00D219F1">
            <w:pPr>
              <w:spacing w:after="0" w:line="240" w:lineRule="auto"/>
              <w:jc w:val="right"/>
              <w:rPr>
                <w:rFonts w:eastAsia="Times New Roman" w:cs="Arial"/>
                <w:b/>
                <w:bCs/>
                <w:color w:val="000000"/>
                <w:sz w:val="20"/>
                <w:szCs w:val="20"/>
                <w:lang w:eastAsia="zh-CN"/>
              </w:rPr>
            </w:pPr>
            <w:r w:rsidRPr="00DA3F73">
              <w:rPr>
                <w:rFonts w:eastAsia="Times New Roman" w:cs="Arial"/>
                <w:b/>
                <w:bCs/>
                <w:color w:val="000000"/>
                <w:sz w:val="20"/>
                <w:szCs w:val="20"/>
                <w:lang w:eastAsia="zh-CN"/>
              </w:rPr>
              <w:t>100.00%</w:t>
            </w:r>
          </w:p>
        </w:tc>
        <w:tc>
          <w:tcPr>
            <w:tcW w:w="0" w:type="auto"/>
            <w:tcBorders>
              <w:top w:val="single" w:sz="4" w:space="0" w:color="auto"/>
              <w:left w:val="nil"/>
              <w:bottom w:val="single" w:sz="4" w:space="0" w:color="auto"/>
              <w:right w:val="nil"/>
            </w:tcBorders>
            <w:shd w:val="clear" w:color="auto" w:fill="D3C5D7"/>
            <w:noWrap/>
            <w:vAlign w:val="center"/>
            <w:hideMark/>
          </w:tcPr>
          <w:p w14:paraId="1551A4E6" w14:textId="77777777" w:rsidR="009B6791" w:rsidRPr="00DA3F73" w:rsidRDefault="009B6791" w:rsidP="00D219F1">
            <w:pPr>
              <w:spacing w:after="0" w:line="240" w:lineRule="auto"/>
              <w:jc w:val="right"/>
              <w:rPr>
                <w:rFonts w:eastAsia="Times New Roman" w:cs="Arial"/>
                <w:b/>
                <w:bCs/>
                <w:color w:val="000000"/>
                <w:sz w:val="20"/>
                <w:szCs w:val="20"/>
                <w:lang w:eastAsia="zh-CN"/>
              </w:rPr>
            </w:pPr>
            <w:r w:rsidRPr="00DA3F73">
              <w:rPr>
                <w:rFonts w:eastAsia="Times New Roman" w:cs="Arial"/>
                <w:b/>
                <w:bCs/>
                <w:color w:val="000000"/>
                <w:sz w:val="20"/>
                <w:szCs w:val="20"/>
                <w:lang w:eastAsia="zh-CN"/>
              </w:rPr>
              <w:t>0.93%</w:t>
            </w:r>
          </w:p>
        </w:tc>
        <w:tc>
          <w:tcPr>
            <w:tcW w:w="0" w:type="auto"/>
            <w:tcBorders>
              <w:top w:val="single" w:sz="4" w:space="0" w:color="auto"/>
              <w:left w:val="nil"/>
              <w:bottom w:val="single" w:sz="4" w:space="0" w:color="auto"/>
              <w:right w:val="nil"/>
            </w:tcBorders>
            <w:shd w:val="clear" w:color="auto" w:fill="D3C5D7"/>
            <w:noWrap/>
            <w:vAlign w:val="center"/>
            <w:hideMark/>
          </w:tcPr>
          <w:p w14:paraId="782FD5F5" w14:textId="77777777" w:rsidR="009B6791" w:rsidRPr="00DA3F73" w:rsidRDefault="009B6791" w:rsidP="00D219F1">
            <w:pPr>
              <w:spacing w:after="0" w:line="240" w:lineRule="auto"/>
              <w:jc w:val="right"/>
              <w:rPr>
                <w:rFonts w:eastAsia="Times New Roman" w:cs="Arial"/>
                <w:b/>
                <w:bCs/>
                <w:color w:val="000000"/>
                <w:sz w:val="20"/>
                <w:szCs w:val="20"/>
                <w:lang w:eastAsia="zh-CN"/>
              </w:rPr>
            </w:pPr>
            <w:r w:rsidRPr="00DA3F73">
              <w:rPr>
                <w:rFonts w:eastAsia="Times New Roman" w:cs="Arial"/>
                <w:b/>
                <w:bCs/>
                <w:color w:val="000000"/>
                <w:sz w:val="20"/>
                <w:szCs w:val="20"/>
                <w:lang w:eastAsia="zh-CN"/>
              </w:rPr>
              <w:t>0.93%</w:t>
            </w:r>
          </w:p>
        </w:tc>
      </w:tr>
    </w:tbl>
    <w:p w14:paraId="727D04B2" w14:textId="77777777" w:rsidR="004A5D62" w:rsidRDefault="00325EAA" w:rsidP="00DA3F73">
      <w:pPr>
        <w:pStyle w:val="FSRnormal"/>
      </w:pPr>
      <w:r>
        <w:t>A</w:t>
      </w:r>
      <w:r w:rsidR="004A5D62">
        <w:t xml:space="preserve">s expected, mortality rates increase with age group except for </w:t>
      </w:r>
      <w:r w:rsidR="009F60AE">
        <w:t xml:space="preserve">ages 7 to 14 having a marginally lower rate of mortality compared with </w:t>
      </w:r>
      <w:r w:rsidR="004A5D62">
        <w:t>age</w:t>
      </w:r>
      <w:r w:rsidR="009F60AE">
        <w:t>s</w:t>
      </w:r>
      <w:r w:rsidR="004A5D62">
        <w:t xml:space="preserve"> 0 to 6. While </w:t>
      </w:r>
      <w:r w:rsidR="00666B6A">
        <w:t xml:space="preserve">a large proportion of participants are </w:t>
      </w:r>
      <w:r w:rsidR="004A5D62">
        <w:t>age</w:t>
      </w:r>
      <w:r w:rsidR="00666B6A">
        <w:t>d</w:t>
      </w:r>
      <w:r w:rsidR="004A5D62">
        <w:t xml:space="preserve"> 0 to 14 </w:t>
      </w:r>
      <w:r w:rsidR="00666B6A">
        <w:t>compared with</w:t>
      </w:r>
      <w:r w:rsidR="004A5D62">
        <w:t xml:space="preserve"> other age groups, higher </w:t>
      </w:r>
      <w:r w:rsidR="00666B6A">
        <w:t xml:space="preserve">mortality </w:t>
      </w:r>
      <w:r w:rsidR="004A5D62">
        <w:t xml:space="preserve">rates at older ages </w:t>
      </w:r>
      <w:r w:rsidR="00333606">
        <w:t>mean that the majority of expected mortality arises from participants aged 45 and older</w:t>
      </w:r>
      <w:r w:rsidR="004A5D62">
        <w:t>.</w:t>
      </w:r>
    </w:p>
    <w:p w14:paraId="412A14CE" w14:textId="77777777" w:rsidR="00815209" w:rsidRDefault="001F384E" w:rsidP="0011266C">
      <w:pPr>
        <w:pStyle w:val="FSRHeading4"/>
      </w:pPr>
      <w:r>
        <w:t>Discussion of e</w:t>
      </w:r>
      <w:r w:rsidR="00815209">
        <w:t>xperience subsequent to February 2022</w:t>
      </w:r>
    </w:p>
    <w:p w14:paraId="066CEB4C" w14:textId="77777777" w:rsidR="00815209" w:rsidRDefault="00815209" w:rsidP="00815209">
      <w:pPr>
        <w:pStyle w:val="FSRnormal"/>
      </w:pPr>
      <w:r>
        <w:t xml:space="preserve">There were more deaths than expected from March 22 to June 22, </w:t>
      </w:r>
      <w:r w:rsidR="00333606">
        <w:t xml:space="preserve">contributing </w:t>
      </w:r>
      <w:r>
        <w:t xml:space="preserve">to an overall higher number of deaths </w:t>
      </w:r>
      <w:r w:rsidR="00EF1E88">
        <w:t>for the full financial year of</w:t>
      </w:r>
      <w:r>
        <w:t xml:space="preserve"> 2021-22. Despite this variation compared with historic experience, it is arising from a period of only four months, and therefore no adjustment was made to the selected assumptions which were based on the review of experience to the end of February 2022. Mortality experience will </w:t>
      </w:r>
      <w:r w:rsidR="00333606">
        <w:t xml:space="preserve">continue to </w:t>
      </w:r>
      <w:r>
        <w:t>be monitor</w:t>
      </w:r>
      <w:r w:rsidR="00333606">
        <w:t>ed</w:t>
      </w:r>
      <w:r>
        <w:t xml:space="preserve"> closely going forward.</w:t>
      </w:r>
    </w:p>
    <w:p w14:paraId="1B8B6887" w14:textId="77777777" w:rsidR="0011266C" w:rsidRDefault="0011266C" w:rsidP="0011266C">
      <w:pPr>
        <w:pStyle w:val="FSRHeading4"/>
      </w:pPr>
      <w:r w:rsidRPr="001E361A">
        <w:lastRenderedPageBreak/>
        <w:t>Impacts of Change</w:t>
      </w:r>
      <w:r w:rsidR="008B7375">
        <w:t>s</w:t>
      </w:r>
      <w:r w:rsidRPr="001E361A">
        <w:t xml:space="preserve"> </w:t>
      </w:r>
      <w:r w:rsidR="008B7375">
        <w:t>to</w:t>
      </w:r>
      <w:r w:rsidRPr="001E361A">
        <w:t xml:space="preserve"> Assumptions</w:t>
      </w:r>
    </w:p>
    <w:p w14:paraId="4E35B312" w14:textId="77777777" w:rsidR="004A5D62" w:rsidRDefault="00FC79AE" w:rsidP="00DA3F73">
      <w:pPr>
        <w:pStyle w:val="FSRnormal"/>
      </w:pPr>
      <w:r>
        <w:t xml:space="preserve">Table </w:t>
      </w:r>
      <w:r>
        <w:rPr>
          <w:noProof/>
        </w:rPr>
        <w:t>J.15</w:t>
      </w:r>
      <w:r>
        <w:t xml:space="preserve"> shows the impact of adopting the new assumptions of participants leaving the Scheme on the projected participant numbers.</w:t>
      </w:r>
    </w:p>
    <w:p w14:paraId="7D23A3EF" w14:textId="77777777" w:rsidR="004A5D62" w:rsidRDefault="004A5D62" w:rsidP="00DA3F73">
      <w:pPr>
        <w:pStyle w:val="Tables"/>
      </w:pPr>
      <w:bookmarkStart w:id="1226" w:name="_Ref114230838"/>
      <w:bookmarkStart w:id="1227" w:name="_Ref114230824"/>
      <w:r>
        <w:t>Table</w:t>
      </w:r>
      <w:r w:rsidR="00325EAA">
        <w:t xml:space="preserve"> J</w:t>
      </w:r>
      <w:r w:rsidR="00A87896">
        <w:t>.</w:t>
      </w:r>
      <w:fldSimple w:instr=" SEQ Table \* ARABIC \s 2 ">
        <w:r w:rsidR="00FC79AE">
          <w:rPr>
            <w:noProof/>
          </w:rPr>
          <w:t>15</w:t>
        </w:r>
      </w:fldSimple>
      <w:bookmarkEnd w:id="1226"/>
      <w:r w:rsidR="00325EAA">
        <w:t>:</w:t>
      </w:r>
      <w:r>
        <w:t xml:space="preserve"> </w:t>
      </w:r>
      <w:r w:rsidRPr="000A6F27">
        <w:t>Impact on projected participant number</w:t>
      </w:r>
      <w:r w:rsidR="00AF091C">
        <w:t>s</w:t>
      </w:r>
      <w:r w:rsidRPr="000A6F27">
        <w:t xml:space="preserve"> of </w:t>
      </w:r>
      <w:r w:rsidR="00B622F0">
        <w:t xml:space="preserve">adopting </w:t>
      </w:r>
      <w:r w:rsidRPr="000A6F27">
        <w:t>new mortality assumptions</w:t>
      </w:r>
      <w:bookmarkEnd w:id="1227"/>
    </w:p>
    <w:tbl>
      <w:tblPr>
        <w:tblW w:w="5000" w:type="pct"/>
        <w:tblLook w:val="04A0" w:firstRow="1" w:lastRow="0" w:firstColumn="1" w:lastColumn="0" w:noHBand="0" w:noVBand="1"/>
      </w:tblPr>
      <w:tblGrid>
        <w:gridCol w:w="3394"/>
        <w:gridCol w:w="867"/>
        <w:gridCol w:w="1153"/>
        <w:gridCol w:w="1153"/>
        <w:gridCol w:w="1225"/>
        <w:gridCol w:w="1234"/>
      </w:tblGrid>
      <w:tr w:rsidR="00B23841" w:rsidRPr="00B23841" w14:paraId="70DA012D" w14:textId="77777777" w:rsidTr="00DA3F73">
        <w:trPr>
          <w:trHeight w:val="397"/>
        </w:trPr>
        <w:tc>
          <w:tcPr>
            <w:tcW w:w="1885" w:type="pct"/>
            <w:tcBorders>
              <w:top w:val="nil"/>
              <w:left w:val="nil"/>
              <w:bottom w:val="nil"/>
              <w:right w:val="nil"/>
            </w:tcBorders>
            <w:shd w:val="clear" w:color="000000" w:fill="6B2976"/>
            <w:noWrap/>
            <w:vAlign w:val="center"/>
            <w:hideMark/>
          </w:tcPr>
          <w:p w14:paraId="5B550554" w14:textId="77777777" w:rsidR="00B23841" w:rsidRPr="00DA3F73" w:rsidRDefault="00B23841" w:rsidP="00DA3F73">
            <w:pPr>
              <w:spacing w:after="0" w:line="240" w:lineRule="auto"/>
              <w:jc w:val="center"/>
              <w:rPr>
                <w:rFonts w:eastAsia="Times New Roman" w:cs="Arial"/>
                <w:b/>
                <w:bCs/>
                <w:color w:val="FFFFFF"/>
                <w:sz w:val="18"/>
                <w:szCs w:val="18"/>
              </w:rPr>
            </w:pPr>
            <w:bookmarkStart w:id="1228" w:name="_Ref114230846"/>
          </w:p>
        </w:tc>
        <w:tc>
          <w:tcPr>
            <w:tcW w:w="3115" w:type="pct"/>
            <w:gridSpan w:val="5"/>
            <w:tcBorders>
              <w:top w:val="nil"/>
              <w:left w:val="nil"/>
              <w:bottom w:val="single" w:sz="4" w:space="0" w:color="FFFFFF"/>
              <w:right w:val="nil"/>
            </w:tcBorders>
            <w:shd w:val="clear" w:color="000000" w:fill="6B2976"/>
            <w:noWrap/>
            <w:vAlign w:val="center"/>
            <w:hideMark/>
          </w:tcPr>
          <w:p w14:paraId="67BA4AF2" w14:textId="77777777" w:rsidR="00B23841" w:rsidRPr="00DA3F73" w:rsidRDefault="00B23841">
            <w:pPr>
              <w:spacing w:after="0" w:line="240" w:lineRule="auto"/>
              <w:jc w:val="center"/>
              <w:rPr>
                <w:rFonts w:eastAsia="Times New Roman" w:cs="Arial"/>
                <w:b/>
                <w:bCs/>
                <w:color w:val="FFFFFF"/>
                <w:sz w:val="18"/>
                <w:szCs w:val="18"/>
              </w:rPr>
            </w:pPr>
            <w:r w:rsidRPr="00DA3F73">
              <w:rPr>
                <w:rFonts w:eastAsia="Times New Roman" w:cs="Arial"/>
                <w:b/>
                <w:bCs/>
                <w:color w:val="FFFFFF"/>
                <w:sz w:val="18"/>
                <w:szCs w:val="18"/>
              </w:rPr>
              <w:t>Participant</w:t>
            </w:r>
            <w:r w:rsidR="00A16BB1">
              <w:rPr>
                <w:rFonts w:eastAsia="Times New Roman" w:cs="Arial"/>
                <w:b/>
                <w:bCs/>
                <w:color w:val="FFFFFF"/>
                <w:sz w:val="18"/>
                <w:szCs w:val="18"/>
              </w:rPr>
              <w:t>s</w:t>
            </w:r>
            <w:r w:rsidRPr="00DA3F73">
              <w:rPr>
                <w:rFonts w:eastAsia="Times New Roman" w:cs="Arial"/>
                <w:b/>
                <w:bCs/>
                <w:color w:val="FFFFFF"/>
                <w:sz w:val="18"/>
                <w:szCs w:val="18"/>
              </w:rPr>
              <w:t xml:space="preserve"> </w:t>
            </w:r>
            <w:r w:rsidR="00A16BB1">
              <w:rPr>
                <w:rFonts w:eastAsia="Times New Roman" w:cs="Arial"/>
                <w:b/>
                <w:bCs/>
                <w:color w:val="FFFFFF"/>
                <w:sz w:val="18"/>
                <w:szCs w:val="18"/>
              </w:rPr>
              <w:t>at</w:t>
            </w:r>
            <w:r w:rsidRPr="00DA3F73">
              <w:rPr>
                <w:rFonts w:eastAsia="Times New Roman" w:cs="Arial"/>
                <w:b/>
                <w:bCs/>
                <w:color w:val="FFFFFF"/>
                <w:sz w:val="18"/>
                <w:szCs w:val="18"/>
              </w:rPr>
              <w:t xml:space="preserve"> 30 June</w:t>
            </w:r>
          </w:p>
        </w:tc>
      </w:tr>
      <w:tr w:rsidR="00B23841" w:rsidRPr="00B23841" w14:paraId="0C6FA70E" w14:textId="77777777" w:rsidTr="00B23841">
        <w:trPr>
          <w:trHeight w:val="397"/>
        </w:trPr>
        <w:tc>
          <w:tcPr>
            <w:tcW w:w="1885" w:type="pct"/>
            <w:tcBorders>
              <w:top w:val="nil"/>
              <w:left w:val="nil"/>
              <w:bottom w:val="nil"/>
              <w:right w:val="nil"/>
            </w:tcBorders>
            <w:shd w:val="clear" w:color="000000" w:fill="6B2976"/>
            <w:noWrap/>
            <w:vAlign w:val="center"/>
            <w:hideMark/>
          </w:tcPr>
          <w:p w14:paraId="766BFE53" w14:textId="77777777" w:rsidR="00B23841" w:rsidRPr="00DA3F73" w:rsidRDefault="00B23841">
            <w:pPr>
              <w:spacing w:after="0" w:line="240" w:lineRule="auto"/>
              <w:rPr>
                <w:rFonts w:eastAsia="Times New Roman" w:cs="Arial"/>
                <w:b/>
                <w:bCs/>
                <w:color w:val="FFFFFF"/>
                <w:sz w:val="18"/>
                <w:szCs w:val="18"/>
              </w:rPr>
            </w:pPr>
            <w:r w:rsidRPr="00DA3F73">
              <w:rPr>
                <w:rFonts w:eastAsia="Times New Roman" w:cs="Arial"/>
                <w:b/>
                <w:bCs/>
                <w:color w:val="FFFFFF"/>
                <w:sz w:val="18"/>
                <w:szCs w:val="18"/>
              </w:rPr>
              <w:t>Impact</w:t>
            </w:r>
          </w:p>
        </w:tc>
        <w:tc>
          <w:tcPr>
            <w:tcW w:w="458" w:type="pct"/>
            <w:tcBorders>
              <w:top w:val="nil"/>
              <w:left w:val="nil"/>
              <w:bottom w:val="nil"/>
              <w:right w:val="nil"/>
            </w:tcBorders>
            <w:shd w:val="clear" w:color="000000" w:fill="6B2976"/>
            <w:noWrap/>
            <w:vAlign w:val="center"/>
            <w:hideMark/>
          </w:tcPr>
          <w:p w14:paraId="2808B469" w14:textId="77777777" w:rsidR="00B23841" w:rsidRPr="00DA3F73" w:rsidRDefault="00B23841">
            <w:pPr>
              <w:spacing w:after="0" w:line="240" w:lineRule="auto"/>
              <w:jc w:val="right"/>
              <w:rPr>
                <w:rFonts w:eastAsia="Times New Roman" w:cs="Arial"/>
                <w:b/>
                <w:bCs/>
                <w:color w:val="FFFFFF"/>
                <w:sz w:val="18"/>
                <w:szCs w:val="18"/>
              </w:rPr>
            </w:pPr>
            <w:r w:rsidRPr="00DA3F73">
              <w:rPr>
                <w:rFonts w:eastAsia="Times New Roman" w:cs="Arial"/>
                <w:b/>
                <w:bCs/>
                <w:color w:val="FFFFFF"/>
                <w:sz w:val="18"/>
                <w:szCs w:val="18"/>
              </w:rPr>
              <w:t>2023</w:t>
            </w:r>
          </w:p>
        </w:tc>
        <w:tc>
          <w:tcPr>
            <w:tcW w:w="643" w:type="pct"/>
            <w:tcBorders>
              <w:top w:val="nil"/>
              <w:left w:val="nil"/>
              <w:bottom w:val="nil"/>
              <w:right w:val="nil"/>
            </w:tcBorders>
            <w:shd w:val="clear" w:color="000000" w:fill="6B2976"/>
            <w:noWrap/>
            <w:vAlign w:val="center"/>
            <w:hideMark/>
          </w:tcPr>
          <w:p w14:paraId="70FDD62A" w14:textId="77777777" w:rsidR="00B23841" w:rsidRPr="00DA3F73" w:rsidRDefault="00B23841">
            <w:pPr>
              <w:spacing w:after="0" w:line="240" w:lineRule="auto"/>
              <w:jc w:val="right"/>
              <w:rPr>
                <w:rFonts w:eastAsia="Times New Roman" w:cs="Arial"/>
                <w:b/>
                <w:bCs/>
                <w:color w:val="FFFFFF"/>
                <w:sz w:val="18"/>
                <w:szCs w:val="18"/>
              </w:rPr>
            </w:pPr>
            <w:r w:rsidRPr="00DA3F73">
              <w:rPr>
                <w:rFonts w:eastAsia="Times New Roman" w:cs="Arial"/>
                <w:b/>
                <w:bCs/>
                <w:color w:val="FFFFFF"/>
                <w:sz w:val="18"/>
                <w:szCs w:val="18"/>
              </w:rPr>
              <w:t>2024</w:t>
            </w:r>
          </w:p>
        </w:tc>
        <w:tc>
          <w:tcPr>
            <w:tcW w:w="643" w:type="pct"/>
            <w:tcBorders>
              <w:top w:val="nil"/>
              <w:left w:val="nil"/>
              <w:bottom w:val="nil"/>
              <w:right w:val="nil"/>
            </w:tcBorders>
            <w:shd w:val="clear" w:color="000000" w:fill="6B2976"/>
            <w:noWrap/>
            <w:vAlign w:val="center"/>
            <w:hideMark/>
          </w:tcPr>
          <w:p w14:paraId="550E0809" w14:textId="77777777" w:rsidR="00B23841" w:rsidRPr="00DA3F73" w:rsidRDefault="00B23841">
            <w:pPr>
              <w:spacing w:after="0" w:line="240" w:lineRule="auto"/>
              <w:jc w:val="right"/>
              <w:rPr>
                <w:rFonts w:eastAsia="Times New Roman" w:cs="Arial"/>
                <w:b/>
                <w:bCs/>
                <w:color w:val="FFFFFF"/>
                <w:sz w:val="18"/>
                <w:szCs w:val="18"/>
              </w:rPr>
            </w:pPr>
            <w:r w:rsidRPr="00DA3F73">
              <w:rPr>
                <w:rFonts w:eastAsia="Times New Roman" w:cs="Arial"/>
                <w:b/>
                <w:bCs/>
                <w:color w:val="FFFFFF"/>
                <w:sz w:val="18"/>
                <w:szCs w:val="18"/>
              </w:rPr>
              <w:t>2025</w:t>
            </w:r>
          </w:p>
        </w:tc>
        <w:tc>
          <w:tcPr>
            <w:tcW w:w="683" w:type="pct"/>
            <w:tcBorders>
              <w:top w:val="nil"/>
              <w:left w:val="nil"/>
              <w:bottom w:val="nil"/>
              <w:right w:val="dotted" w:sz="4" w:space="0" w:color="auto"/>
            </w:tcBorders>
            <w:shd w:val="clear" w:color="000000" w:fill="6B2976"/>
            <w:noWrap/>
            <w:vAlign w:val="center"/>
            <w:hideMark/>
          </w:tcPr>
          <w:p w14:paraId="16572800" w14:textId="77777777" w:rsidR="00B23841" w:rsidRPr="00DA3F73" w:rsidRDefault="00B23841">
            <w:pPr>
              <w:spacing w:after="0" w:line="240" w:lineRule="auto"/>
              <w:jc w:val="right"/>
              <w:rPr>
                <w:rFonts w:eastAsia="Times New Roman" w:cs="Arial"/>
                <w:b/>
                <w:bCs/>
                <w:color w:val="FFFFFF"/>
                <w:sz w:val="18"/>
                <w:szCs w:val="18"/>
              </w:rPr>
            </w:pPr>
            <w:r w:rsidRPr="00DA3F73">
              <w:rPr>
                <w:rFonts w:eastAsia="Times New Roman" w:cs="Arial"/>
                <w:b/>
                <w:bCs/>
                <w:color w:val="FFFFFF"/>
                <w:sz w:val="18"/>
                <w:szCs w:val="18"/>
              </w:rPr>
              <w:t>2026</w:t>
            </w:r>
          </w:p>
        </w:tc>
        <w:tc>
          <w:tcPr>
            <w:tcW w:w="688" w:type="pct"/>
            <w:tcBorders>
              <w:top w:val="nil"/>
              <w:left w:val="dotted" w:sz="4" w:space="0" w:color="auto"/>
              <w:bottom w:val="nil"/>
              <w:right w:val="nil"/>
            </w:tcBorders>
            <w:shd w:val="clear" w:color="000000" w:fill="6B2976"/>
            <w:noWrap/>
            <w:vAlign w:val="center"/>
            <w:hideMark/>
          </w:tcPr>
          <w:p w14:paraId="28A63C9A" w14:textId="77777777" w:rsidR="00B23841" w:rsidRPr="00DA3F73" w:rsidRDefault="00B23841">
            <w:pPr>
              <w:spacing w:after="0" w:line="240" w:lineRule="auto"/>
              <w:jc w:val="right"/>
              <w:rPr>
                <w:rFonts w:eastAsia="Times New Roman" w:cs="Arial"/>
                <w:b/>
                <w:bCs/>
                <w:color w:val="FFFFFF"/>
                <w:sz w:val="18"/>
                <w:szCs w:val="18"/>
              </w:rPr>
            </w:pPr>
            <w:r w:rsidRPr="00DA3F73">
              <w:rPr>
                <w:rFonts w:eastAsia="Times New Roman" w:cs="Arial"/>
                <w:b/>
                <w:bCs/>
                <w:color w:val="FFFFFF"/>
                <w:sz w:val="18"/>
                <w:szCs w:val="18"/>
              </w:rPr>
              <w:t>2032</w:t>
            </w:r>
          </w:p>
        </w:tc>
      </w:tr>
      <w:tr w:rsidR="00B23841" w:rsidRPr="00B23841" w14:paraId="28393387" w14:textId="77777777" w:rsidTr="00DA3F73">
        <w:trPr>
          <w:trHeight w:val="301"/>
        </w:trPr>
        <w:tc>
          <w:tcPr>
            <w:tcW w:w="1885" w:type="pct"/>
            <w:tcBorders>
              <w:top w:val="nil"/>
              <w:left w:val="nil"/>
              <w:bottom w:val="nil"/>
              <w:right w:val="nil"/>
            </w:tcBorders>
            <w:shd w:val="clear" w:color="auto" w:fill="BFBFBF" w:themeFill="background1" w:themeFillShade="BF"/>
            <w:vAlign w:val="center"/>
          </w:tcPr>
          <w:p w14:paraId="32688606" w14:textId="77777777" w:rsidR="00B23841" w:rsidRPr="00DA3F73" w:rsidRDefault="00B23841">
            <w:pPr>
              <w:spacing w:after="0" w:line="240" w:lineRule="auto"/>
              <w:rPr>
                <w:rFonts w:eastAsia="Times New Roman" w:cs="Arial"/>
                <w:color w:val="000000"/>
                <w:sz w:val="18"/>
                <w:szCs w:val="18"/>
              </w:rPr>
            </w:pPr>
            <w:r w:rsidRPr="00DA3F73">
              <w:rPr>
                <w:rFonts w:eastAsia="Times New Roman" w:cs="Arial"/>
                <w:color w:val="000000"/>
                <w:sz w:val="18"/>
                <w:szCs w:val="18"/>
              </w:rPr>
              <w:t>Baseline projection from 2020-21 AFSR</w:t>
            </w:r>
          </w:p>
        </w:tc>
        <w:tc>
          <w:tcPr>
            <w:tcW w:w="458" w:type="pct"/>
            <w:tcBorders>
              <w:top w:val="nil"/>
              <w:left w:val="nil"/>
              <w:bottom w:val="nil"/>
              <w:right w:val="nil"/>
            </w:tcBorders>
            <w:shd w:val="clear" w:color="auto" w:fill="BFBFBF" w:themeFill="background1" w:themeFillShade="BF"/>
            <w:noWrap/>
            <w:vAlign w:val="center"/>
          </w:tcPr>
          <w:p w14:paraId="6EEA6806"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586,433</w:t>
            </w:r>
          </w:p>
        </w:tc>
        <w:tc>
          <w:tcPr>
            <w:tcW w:w="643" w:type="pct"/>
            <w:tcBorders>
              <w:top w:val="nil"/>
              <w:left w:val="nil"/>
              <w:bottom w:val="nil"/>
              <w:right w:val="nil"/>
            </w:tcBorders>
            <w:shd w:val="clear" w:color="auto" w:fill="BFBFBF" w:themeFill="background1" w:themeFillShade="BF"/>
            <w:noWrap/>
            <w:vAlign w:val="center"/>
          </w:tcPr>
          <w:p w14:paraId="31A591D6"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630,327</w:t>
            </w:r>
          </w:p>
        </w:tc>
        <w:tc>
          <w:tcPr>
            <w:tcW w:w="643" w:type="pct"/>
            <w:tcBorders>
              <w:top w:val="nil"/>
              <w:left w:val="nil"/>
              <w:bottom w:val="nil"/>
              <w:right w:val="nil"/>
            </w:tcBorders>
            <w:shd w:val="clear" w:color="auto" w:fill="BFBFBF" w:themeFill="background1" w:themeFillShade="BF"/>
            <w:noWrap/>
            <w:vAlign w:val="center"/>
          </w:tcPr>
          <w:p w14:paraId="37D888B2"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670,400</w:t>
            </w:r>
          </w:p>
        </w:tc>
        <w:tc>
          <w:tcPr>
            <w:tcW w:w="683" w:type="pct"/>
            <w:tcBorders>
              <w:top w:val="nil"/>
              <w:left w:val="nil"/>
              <w:bottom w:val="nil"/>
              <w:right w:val="dotted" w:sz="4" w:space="0" w:color="auto"/>
            </w:tcBorders>
            <w:shd w:val="clear" w:color="auto" w:fill="BFBFBF" w:themeFill="background1" w:themeFillShade="BF"/>
            <w:noWrap/>
            <w:vAlign w:val="center"/>
          </w:tcPr>
          <w:p w14:paraId="0900F939"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709,645</w:t>
            </w:r>
          </w:p>
        </w:tc>
        <w:tc>
          <w:tcPr>
            <w:tcW w:w="688" w:type="pct"/>
            <w:tcBorders>
              <w:top w:val="nil"/>
              <w:left w:val="dotted" w:sz="4" w:space="0" w:color="auto"/>
              <w:bottom w:val="nil"/>
              <w:right w:val="nil"/>
            </w:tcBorders>
            <w:shd w:val="clear" w:color="auto" w:fill="BFBFBF" w:themeFill="background1" w:themeFillShade="BF"/>
            <w:noWrap/>
            <w:vAlign w:val="center"/>
          </w:tcPr>
          <w:p w14:paraId="0565AA0C"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931,591</w:t>
            </w:r>
          </w:p>
        </w:tc>
      </w:tr>
      <w:tr w:rsidR="00B23841" w:rsidRPr="00B23841" w14:paraId="024199A7" w14:textId="77777777" w:rsidTr="00DA3F73">
        <w:trPr>
          <w:trHeight w:val="301"/>
        </w:trPr>
        <w:tc>
          <w:tcPr>
            <w:tcW w:w="1885" w:type="pct"/>
            <w:tcBorders>
              <w:top w:val="nil"/>
              <w:left w:val="nil"/>
              <w:bottom w:val="nil"/>
              <w:right w:val="nil"/>
            </w:tcBorders>
            <w:shd w:val="clear" w:color="auto" w:fill="auto"/>
            <w:vAlign w:val="center"/>
            <w:hideMark/>
          </w:tcPr>
          <w:p w14:paraId="357A791E" w14:textId="77777777" w:rsidR="00B23841" w:rsidRPr="00DA3F73" w:rsidRDefault="00B23841">
            <w:pPr>
              <w:spacing w:after="0" w:line="240" w:lineRule="auto"/>
              <w:rPr>
                <w:rFonts w:eastAsia="Times New Roman" w:cs="Arial"/>
                <w:color w:val="000000"/>
                <w:sz w:val="18"/>
                <w:szCs w:val="18"/>
              </w:rPr>
            </w:pPr>
            <w:r w:rsidRPr="00DA3F73">
              <w:rPr>
                <w:rFonts w:eastAsia="Times New Roman" w:cs="Arial"/>
                <w:color w:val="000000"/>
                <w:sz w:val="18"/>
                <w:szCs w:val="18"/>
              </w:rPr>
              <w:t>Change in participant numbers</w:t>
            </w:r>
          </w:p>
        </w:tc>
        <w:tc>
          <w:tcPr>
            <w:tcW w:w="458" w:type="pct"/>
            <w:tcBorders>
              <w:top w:val="nil"/>
              <w:left w:val="nil"/>
              <w:bottom w:val="nil"/>
              <w:right w:val="nil"/>
            </w:tcBorders>
            <w:shd w:val="clear" w:color="auto" w:fill="auto"/>
            <w:noWrap/>
            <w:vAlign w:val="center"/>
            <w:hideMark/>
          </w:tcPr>
          <w:p w14:paraId="36853AC8"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-267</w:t>
            </w:r>
          </w:p>
        </w:tc>
        <w:tc>
          <w:tcPr>
            <w:tcW w:w="643" w:type="pct"/>
            <w:tcBorders>
              <w:top w:val="nil"/>
              <w:left w:val="nil"/>
              <w:bottom w:val="nil"/>
              <w:right w:val="nil"/>
            </w:tcBorders>
            <w:shd w:val="clear" w:color="auto" w:fill="auto"/>
            <w:noWrap/>
            <w:vAlign w:val="center"/>
            <w:hideMark/>
          </w:tcPr>
          <w:p w14:paraId="302CDE0D"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-553</w:t>
            </w:r>
          </w:p>
        </w:tc>
        <w:tc>
          <w:tcPr>
            <w:tcW w:w="643" w:type="pct"/>
            <w:tcBorders>
              <w:top w:val="nil"/>
              <w:left w:val="nil"/>
              <w:bottom w:val="nil"/>
              <w:right w:val="nil"/>
            </w:tcBorders>
            <w:shd w:val="clear" w:color="auto" w:fill="auto"/>
            <w:noWrap/>
            <w:vAlign w:val="center"/>
            <w:hideMark/>
          </w:tcPr>
          <w:p w14:paraId="444F78EE"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-848</w:t>
            </w:r>
          </w:p>
        </w:tc>
        <w:tc>
          <w:tcPr>
            <w:tcW w:w="683" w:type="pct"/>
            <w:tcBorders>
              <w:top w:val="nil"/>
              <w:left w:val="nil"/>
              <w:bottom w:val="nil"/>
              <w:right w:val="dotted" w:sz="4" w:space="0" w:color="auto"/>
            </w:tcBorders>
            <w:shd w:val="clear" w:color="auto" w:fill="auto"/>
            <w:noWrap/>
            <w:vAlign w:val="center"/>
            <w:hideMark/>
          </w:tcPr>
          <w:p w14:paraId="37DF24FE"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-1,150</w:t>
            </w:r>
          </w:p>
        </w:tc>
        <w:tc>
          <w:tcPr>
            <w:tcW w:w="688" w:type="pct"/>
            <w:tcBorders>
              <w:top w:val="nil"/>
              <w:left w:val="dotted" w:sz="4" w:space="0" w:color="auto"/>
              <w:bottom w:val="nil"/>
              <w:right w:val="nil"/>
            </w:tcBorders>
            <w:shd w:val="clear" w:color="auto" w:fill="auto"/>
            <w:noWrap/>
            <w:vAlign w:val="center"/>
            <w:hideMark/>
          </w:tcPr>
          <w:p w14:paraId="069AF8A6"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-2,997</w:t>
            </w:r>
          </w:p>
        </w:tc>
      </w:tr>
      <w:tr w:rsidR="00B23841" w:rsidRPr="00B23841" w14:paraId="3AB31BE8" w14:textId="77777777" w:rsidTr="00DA3F73">
        <w:trPr>
          <w:trHeight w:val="301"/>
        </w:trPr>
        <w:tc>
          <w:tcPr>
            <w:tcW w:w="1885" w:type="pct"/>
            <w:tcBorders>
              <w:top w:val="nil"/>
              <w:left w:val="nil"/>
              <w:bottom w:val="single" w:sz="4" w:space="0" w:color="auto"/>
              <w:right w:val="nil"/>
            </w:tcBorders>
            <w:shd w:val="clear" w:color="000000" w:fill="BFBFBF"/>
            <w:noWrap/>
            <w:vAlign w:val="center"/>
            <w:hideMark/>
          </w:tcPr>
          <w:p w14:paraId="29B048A0" w14:textId="77777777" w:rsidR="00B23841" w:rsidRPr="00DA3F73" w:rsidRDefault="00B23841">
            <w:pPr>
              <w:spacing w:after="0" w:line="240" w:lineRule="auto"/>
              <w:rPr>
                <w:rFonts w:eastAsia="Times New Roman" w:cs="Arial"/>
                <w:color w:val="000000"/>
                <w:sz w:val="18"/>
                <w:szCs w:val="18"/>
              </w:rPr>
            </w:pPr>
            <w:r w:rsidRPr="00DA3F73">
              <w:rPr>
                <w:rFonts w:eastAsia="Times New Roman" w:cs="Arial"/>
                <w:color w:val="000000"/>
                <w:sz w:val="18"/>
                <w:szCs w:val="18"/>
              </w:rPr>
              <w:t>%Change in participant numbers</w:t>
            </w:r>
          </w:p>
        </w:tc>
        <w:tc>
          <w:tcPr>
            <w:tcW w:w="458" w:type="pct"/>
            <w:tcBorders>
              <w:top w:val="nil"/>
              <w:left w:val="nil"/>
              <w:bottom w:val="single" w:sz="4" w:space="0" w:color="auto"/>
              <w:right w:val="nil"/>
            </w:tcBorders>
            <w:shd w:val="clear" w:color="000000" w:fill="BFBFBF"/>
            <w:noWrap/>
            <w:vAlign w:val="center"/>
            <w:hideMark/>
          </w:tcPr>
          <w:p w14:paraId="6ADEFB5D"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0.0%</w:t>
            </w:r>
          </w:p>
        </w:tc>
        <w:tc>
          <w:tcPr>
            <w:tcW w:w="643" w:type="pct"/>
            <w:tcBorders>
              <w:top w:val="nil"/>
              <w:left w:val="nil"/>
              <w:bottom w:val="single" w:sz="4" w:space="0" w:color="auto"/>
              <w:right w:val="nil"/>
            </w:tcBorders>
            <w:shd w:val="clear" w:color="000000" w:fill="BFBFBF"/>
            <w:noWrap/>
            <w:vAlign w:val="center"/>
            <w:hideMark/>
          </w:tcPr>
          <w:p w14:paraId="075E1C72"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-0.1%</w:t>
            </w:r>
          </w:p>
        </w:tc>
        <w:tc>
          <w:tcPr>
            <w:tcW w:w="643" w:type="pct"/>
            <w:tcBorders>
              <w:top w:val="nil"/>
              <w:left w:val="nil"/>
              <w:bottom w:val="single" w:sz="4" w:space="0" w:color="auto"/>
              <w:right w:val="nil"/>
            </w:tcBorders>
            <w:shd w:val="clear" w:color="000000" w:fill="BFBFBF"/>
            <w:noWrap/>
            <w:vAlign w:val="center"/>
            <w:hideMark/>
          </w:tcPr>
          <w:p w14:paraId="4075E60E"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-0.1%</w:t>
            </w:r>
          </w:p>
        </w:tc>
        <w:tc>
          <w:tcPr>
            <w:tcW w:w="683" w:type="pct"/>
            <w:tcBorders>
              <w:top w:val="nil"/>
              <w:left w:val="nil"/>
              <w:bottom w:val="single" w:sz="4" w:space="0" w:color="auto"/>
              <w:right w:val="dotted" w:sz="4" w:space="0" w:color="auto"/>
            </w:tcBorders>
            <w:shd w:val="clear" w:color="000000" w:fill="BFBFBF"/>
            <w:noWrap/>
            <w:vAlign w:val="center"/>
            <w:hideMark/>
          </w:tcPr>
          <w:p w14:paraId="06077A1C"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-0.2%</w:t>
            </w:r>
          </w:p>
        </w:tc>
        <w:tc>
          <w:tcPr>
            <w:tcW w:w="688" w:type="pct"/>
            <w:tcBorders>
              <w:top w:val="nil"/>
              <w:left w:val="dotted" w:sz="4" w:space="0" w:color="auto"/>
              <w:bottom w:val="single" w:sz="4" w:space="0" w:color="auto"/>
              <w:right w:val="nil"/>
            </w:tcBorders>
            <w:shd w:val="clear" w:color="000000" w:fill="BFBFBF"/>
            <w:noWrap/>
            <w:vAlign w:val="center"/>
            <w:hideMark/>
          </w:tcPr>
          <w:p w14:paraId="67E44189" w14:textId="77777777" w:rsidR="00B23841" w:rsidRPr="00DA3F73" w:rsidRDefault="00B23841">
            <w:pPr>
              <w:spacing w:after="0" w:line="240" w:lineRule="auto"/>
              <w:jc w:val="right"/>
              <w:rPr>
                <w:rFonts w:eastAsia="Times New Roman" w:cs="Arial"/>
                <w:color w:val="000000"/>
                <w:sz w:val="18"/>
                <w:szCs w:val="18"/>
              </w:rPr>
            </w:pPr>
            <w:r w:rsidRPr="00DA3F73">
              <w:rPr>
                <w:rFonts w:eastAsia="Times New Roman" w:cs="Arial"/>
                <w:color w:val="000000"/>
                <w:sz w:val="18"/>
                <w:szCs w:val="18"/>
              </w:rPr>
              <w:t>-0.3%</w:t>
            </w:r>
          </w:p>
        </w:tc>
      </w:tr>
    </w:tbl>
    <w:bookmarkEnd w:id="1228"/>
    <w:p w14:paraId="044265C8" w14:textId="77777777" w:rsidR="004A5D62" w:rsidRDefault="00FC79AE" w:rsidP="00DA3F73">
      <w:pPr>
        <w:pStyle w:val="FSRnormal"/>
      </w:pPr>
      <w:r>
        <w:t>T</w:t>
      </w:r>
      <w:r w:rsidR="004A5D62" w:rsidRPr="00B20A43">
        <w:t xml:space="preserve">he projected participant numbers </w:t>
      </w:r>
      <w:r w:rsidR="00A2700F">
        <w:t>reduce</w:t>
      </w:r>
      <w:r w:rsidR="004A5D62" w:rsidRPr="00B20A43">
        <w:t xml:space="preserve"> marginally over time. While the overall mortality rates remain largely the same as 2020-21 AFSR, rate changes among different participant groups (i</w:t>
      </w:r>
      <w:r w:rsidR="00BF1DA7">
        <w:t>.</w:t>
      </w:r>
      <w:r w:rsidR="004A5D62" w:rsidRPr="00B20A43">
        <w:t>e</w:t>
      </w:r>
      <w:r w:rsidR="00BF1DA7">
        <w:t>.</w:t>
      </w:r>
      <w:r w:rsidR="004A5D62" w:rsidRPr="00B20A43">
        <w:t xml:space="preserve"> disability, gender, level of function, age group) do vary. The marginal increase in projected participant numbers and Scheme expenses are driven by this change of participant mix.</w:t>
      </w:r>
    </w:p>
    <w:p w14:paraId="02475C9D" w14:textId="77777777" w:rsidR="004A5D62" w:rsidRDefault="004A5D62" w:rsidP="004A5D62">
      <w:pPr>
        <w:pStyle w:val="FSRnormal"/>
      </w:pPr>
      <w:bookmarkStart w:id="1229" w:name="_Toc33729076"/>
      <w:bookmarkEnd w:id="1229"/>
    </w:p>
    <w:p w14:paraId="06B893EF" w14:textId="77777777" w:rsidR="003734E1" w:rsidRDefault="003734E1">
      <w:pPr>
        <w:spacing w:after="160" w:line="259" w:lineRule="auto"/>
      </w:pPr>
      <w:r>
        <w:br w:type="page"/>
      </w:r>
    </w:p>
    <w:p w14:paraId="720FE156" w14:textId="77777777" w:rsidR="003734E1" w:rsidRDefault="003734E1" w:rsidP="00DA3F73">
      <w:pPr>
        <w:pStyle w:val="Heading2"/>
        <w:numPr>
          <w:ilvl w:val="0"/>
          <w:numId w:val="0"/>
        </w:numPr>
        <w:ind w:left="2835" w:hanging="2835"/>
      </w:pPr>
      <w:bookmarkStart w:id="1230" w:name="_Toc118460234"/>
      <w:r>
        <w:lastRenderedPageBreak/>
        <w:t>Appendix K:</w:t>
      </w:r>
      <w:r>
        <w:tab/>
        <w:t xml:space="preserve">Investment </w:t>
      </w:r>
      <w:r w:rsidR="008246FE">
        <w:t>E</w:t>
      </w:r>
      <w:r>
        <w:t xml:space="preserve">ffectiveness </w:t>
      </w:r>
      <w:r w:rsidR="008246FE">
        <w:t>P</w:t>
      </w:r>
      <w:r>
        <w:t>rogram</w:t>
      </w:r>
      <w:bookmarkEnd w:id="1230"/>
    </w:p>
    <w:p w14:paraId="664482D6" w14:textId="77777777" w:rsidR="003734E1" w:rsidRDefault="003734E1" w:rsidP="003734E1">
      <w:pPr>
        <w:pStyle w:val="FSRnormal"/>
      </w:pPr>
      <w:r>
        <w:t xml:space="preserve">Since the Scheme's commencement, the Agency has undertaken considerable work to understand and </w:t>
      </w:r>
      <w:r w:rsidR="00333606">
        <w:t>projected</w:t>
      </w:r>
      <w:r>
        <w:t xml:space="preserve"> NDIS expenditure. The Agency also analyses the outcomes</w:t>
      </w:r>
      <w:r w:rsidDel="001D2833">
        <w:t xml:space="preserve"> of participants and their families and carers </w:t>
      </w:r>
      <w:r>
        <w:t xml:space="preserve">using comprehensive questionnaire data as described in section 7 of this report. While existing outcomes reporting has considered the relationship between certain types of </w:t>
      </w:r>
      <w:r w:rsidR="008B69C2">
        <w:t>S</w:t>
      </w:r>
      <w:r>
        <w:t>cheme expenditure and outcomes</w:t>
      </w:r>
      <w:r>
        <w:rPr>
          <w:rStyle w:val="FootnoteReference"/>
        </w:rPr>
        <w:footnoteReference w:id="171"/>
      </w:r>
      <w:r>
        <w:t xml:space="preserve"> further work is needed to comprehensively explain the causal link between a broader range of outcomes and funding types. The Investment Effectiveness Program (IEP) has been undertaken to understand the relationship between funding and outcome attainment.</w:t>
      </w:r>
    </w:p>
    <w:p w14:paraId="6D5C3E4E" w14:textId="77777777" w:rsidR="003734E1" w:rsidRDefault="003734E1" w:rsidP="003734E1">
      <w:pPr>
        <w:pStyle w:val="FSRnormal"/>
      </w:pPr>
      <w:r>
        <w:t>Developing a deeper understanding of participant outcomes has the potential to generate important insights into both the overall impact of Government investment in the Scheme and to inform participants and planners on the types of supports that are most likely to support them to achieve their goals. Extensive longitudinal data has been collected over the life of the NDIS which (through detailed analysis) can be used to make sense of the complex links between a diverse cohort of partic</w:t>
      </w:r>
      <w:r w:rsidR="009D2883">
        <w:t>ipants, their budgets, and long-</w:t>
      </w:r>
      <w:r>
        <w:t>term outcomes. This understanding is critical to the continuous improvement of the Scheme, and it can guide the Agency’s efforts to fund the most effective supports, build confidence in the Scheme and help ensure its long-term sustainability.</w:t>
      </w:r>
    </w:p>
    <w:p w14:paraId="06CF2C21" w14:textId="77777777" w:rsidR="003734E1" w:rsidRDefault="003734E1" w:rsidP="003734E1">
      <w:pPr>
        <w:pStyle w:val="FSRnormal"/>
      </w:pPr>
      <w:r>
        <w:t>The IEP responds in part to the 2020-21 AFSR, which identified that further work was required to measure the impact of different supports on participant outcomes, recommending “the NDIA should continue work on prioritising, implementing and measuring the impact of initiatives that aim to improve participant outcomes.”</w:t>
      </w:r>
      <w:r>
        <w:rPr>
          <w:rStyle w:val="FootnoteReference"/>
        </w:rPr>
        <w:footnoteReference w:id="172"/>
      </w:r>
      <w:r>
        <w:t> As more participants enter the Scheme, it becomes increasingly important for the Agency to demonstrate how the NDIS is successfully supporting participants to maintain and increase their independence and economic and social participation.</w:t>
      </w:r>
    </w:p>
    <w:p w14:paraId="54DC8FC8" w14:textId="77777777" w:rsidR="00962EB4" w:rsidRPr="00D841F8" w:rsidRDefault="00962EB4" w:rsidP="00962EB4">
      <w:pPr>
        <w:pStyle w:val="FSRnormal"/>
      </w:pPr>
      <w:r w:rsidRPr="00D841F8">
        <w:t>This appendix introduces basic descriptive statistics for selected outcomes, comparing median payments and changes in outcomes for participants across the Scheme. The next step</w:t>
      </w:r>
      <w:r>
        <w:t>,</w:t>
      </w:r>
      <w:r w:rsidRPr="00D841F8">
        <w:t xml:space="preserve"> which is now in progress</w:t>
      </w:r>
      <w:r>
        <w:t>,</w:t>
      </w:r>
      <w:r w:rsidRPr="00D841F8">
        <w:t xml:space="preserve"> </w:t>
      </w:r>
      <w:r>
        <w:t xml:space="preserve">is </w:t>
      </w:r>
      <w:r w:rsidRPr="00D841F8">
        <w:t>to demonstrate how the relationship between these two elements might be better understood</w:t>
      </w:r>
      <w:r>
        <w:t xml:space="preserve">. This will be conducted through statistical </w:t>
      </w:r>
      <w:r w:rsidRPr="00D841F8">
        <w:t>modelling for a pilot cohort</w:t>
      </w:r>
      <w:r>
        <w:t xml:space="preserve">, </w:t>
      </w:r>
      <w:r w:rsidRPr="00D841F8">
        <w:t>quantifying the marginal effect of funding on outcomes while controlling for a range of other factors.</w:t>
      </w:r>
    </w:p>
    <w:p w14:paraId="2C84C26D" w14:textId="77777777" w:rsidR="00C5603C" w:rsidRDefault="00C5603C">
      <w:pPr>
        <w:spacing w:after="160" w:line="259" w:lineRule="auto"/>
        <w:rPr>
          <w:b/>
          <w:i/>
          <w:color w:val="F26322"/>
          <w:sz w:val="24"/>
        </w:rPr>
      </w:pPr>
      <w:r>
        <w:br w:type="page"/>
      </w:r>
    </w:p>
    <w:p w14:paraId="7C23901C" w14:textId="77777777" w:rsidR="003734E1" w:rsidRDefault="0047087C" w:rsidP="00DA3F73">
      <w:pPr>
        <w:pStyle w:val="FSRHeading4"/>
      </w:pPr>
      <w:r>
        <w:lastRenderedPageBreak/>
        <w:t>Comparisons of funding and outcomes - Overview</w:t>
      </w:r>
    </w:p>
    <w:p w14:paraId="7B5C6B11" w14:textId="77777777" w:rsidR="003734E1" w:rsidRPr="007445F4" w:rsidRDefault="003734E1" w:rsidP="003734E1">
      <w:r>
        <w:t>The following section presents a series of summary data tables comparing median participant payment data (by age and disability cohort) with outcome attainment at two points in time: from Scheme entry</w:t>
      </w:r>
      <w:r>
        <w:rPr>
          <w:rStyle w:val="FootnoteReference"/>
        </w:rPr>
        <w:footnoteReference w:id="173"/>
      </w:r>
      <w:r>
        <w:t xml:space="preserve"> (baseline) to latest plan review. </w:t>
      </w:r>
      <w:r w:rsidRPr="00552946">
        <w:t>These tables intend to demonstrate a basis for the IEP going forward.</w:t>
      </w:r>
      <w:r>
        <w:t xml:space="preserve"> They allow the reader to gauge current levels of funded supports and outcome trends side-by-side, with the caveat that (as yet) a causal connection cannot be made between the two. Throughout the course of the IEP, the project aims to answer the question of what this causal relationship is for different cohorts and ultimately to provide meaningful information to participants, their family and carers, planners, policymakers, and the Australian community.</w:t>
      </w:r>
    </w:p>
    <w:p w14:paraId="238476C5" w14:textId="77777777" w:rsidR="003734E1" w:rsidRDefault="003734E1" w:rsidP="003734E1">
      <w:pPr>
        <w:rPr>
          <w:rFonts w:eastAsia="DengXian" w:cs="Cordia New"/>
          <w:lang w:val="en-US"/>
        </w:rPr>
      </w:pPr>
      <w:r>
        <w:t>Data in this section concerning participant outcomes is derived from the Short Form outcomes questionnaire</w:t>
      </w:r>
      <w:r w:rsidR="006A3785">
        <w:t xml:space="preserve"> (SFOF)</w:t>
      </w:r>
      <w:r>
        <w:t>, asked by planners at each participant plan review point (including at Scheme entry to establish a baseline for measuring progress).</w:t>
      </w:r>
      <w:r>
        <w:rPr>
          <w:rStyle w:val="FootnoteReference"/>
        </w:rPr>
        <w:footnoteReference w:id="174"/>
      </w:r>
      <w:r>
        <w:t xml:space="preserve"> Further details on the Short Form outcomes questionnaire can be found in Section 7 of this report. </w:t>
      </w:r>
      <w:r w:rsidRPr="3CE06EF0">
        <w:rPr>
          <w:lang w:val="en-US"/>
        </w:rPr>
        <w:t>Data concerning participant payments includes NDIS support payments made to participants or service providers and in-kind payments for existing state/territory programs.</w:t>
      </w:r>
    </w:p>
    <w:p w14:paraId="2BCD2654" w14:textId="77777777" w:rsidR="003734E1" w:rsidRDefault="0047087C" w:rsidP="00DA3F73">
      <w:pPr>
        <w:pStyle w:val="FSRHeading4"/>
      </w:pPr>
      <w:r>
        <w:t xml:space="preserve">Comparisons of funding and outcomes - </w:t>
      </w:r>
      <w:r w:rsidR="003734E1">
        <w:t>Results</w:t>
      </w:r>
    </w:p>
    <w:p w14:paraId="78443848" w14:textId="77777777" w:rsidR="00962EB4" w:rsidRPr="00D841F8" w:rsidRDefault="00962EB4" w:rsidP="00962EB4">
      <w:pPr>
        <w:pStyle w:val="FSRnormal"/>
        <w:rPr>
          <w:rFonts w:eastAsia="DengXian" w:cs="Cordia New"/>
        </w:rPr>
      </w:pPr>
      <w:r w:rsidRPr="00D841F8">
        <w:t>Outcomes selected for inclusion in this report are intended to demonstrate the central objectives of the Scheme and the types of outcomes where changes in funding are more likely to lead to changes in participant outcomes. While the tables below provide useful insights into the Scheme, there is limited operational or policy value in the comparisons made above without further context, investigation, and analysis due to the existence of confounding factors.</w:t>
      </w:r>
    </w:p>
    <w:p w14:paraId="6C302534" w14:textId="77777777" w:rsidR="003734E1" w:rsidRDefault="003734E1" w:rsidP="003734E1">
      <w:pPr>
        <w:rPr>
          <w:rFonts w:eastAsia="Arial" w:cs="Arial"/>
        </w:rPr>
      </w:pPr>
      <w:r>
        <w:t>The tables</w:t>
      </w:r>
      <w:r w:rsidRPr="0A61E739">
        <w:rPr>
          <w:rStyle w:val="FootnoteReference"/>
          <w:rFonts w:eastAsia="Arial" w:cs="Arial"/>
        </w:rPr>
        <w:footnoteReference w:id="175"/>
      </w:r>
      <w:r>
        <w:t xml:space="preserve"> show the percentage of participants with the outcome at baseline and at latest plan review, as well as the change between the two time points. </w:t>
      </w:r>
      <w:r w:rsidRPr="0A61E739">
        <w:rPr>
          <w:rFonts w:eastAsia="Arial" w:cs="Arial"/>
        </w:rPr>
        <w:t xml:space="preserve">The overall change is also split by baseline outcome status, showing the percentage with the outcome at latest review </w:t>
      </w:r>
      <w:r w:rsidRPr="0A61E739">
        <w:rPr>
          <w:rFonts w:eastAsia="Arial" w:cs="Arial"/>
        </w:rPr>
        <w:lastRenderedPageBreak/>
        <w:t xml:space="preserve">separately for those who had the outcome at baseline (“maintenance”) and for those who did not have the outcome at baseline (“improvement”). </w:t>
      </w:r>
    </w:p>
    <w:p w14:paraId="0E103042" w14:textId="77777777" w:rsidR="003734E1" w:rsidRDefault="003734E1" w:rsidP="003734E1">
      <w:pPr>
        <w:rPr>
          <w:rFonts w:eastAsia="DengXian" w:cs="Cordia New"/>
          <w:szCs w:val="22"/>
        </w:rPr>
      </w:pPr>
      <w:r w:rsidRPr="7F01AB38">
        <w:rPr>
          <w:rFonts w:eastAsia="Arial" w:cs="Arial"/>
          <w:szCs w:val="22"/>
        </w:rPr>
        <w:t>The results below are impacted by a range of participant factors that will be crucial to inspect for the purposes of IEP modelling. For example, an important factor influencing participant outcomes is the time they spend in the NDIS and the role of average annualised payments over varying periods of time. Going forward, IEP modelling will explore these factors in greater depth to accurately determine their relationship to participant outcomes.</w:t>
      </w:r>
    </w:p>
    <w:p w14:paraId="1E180AE7" w14:textId="77777777" w:rsidR="003734E1" w:rsidRPr="00DA3F73" w:rsidRDefault="003734E1" w:rsidP="00DA3F73">
      <w:pPr>
        <w:pStyle w:val="FSRHeading6"/>
      </w:pPr>
      <w:r w:rsidRPr="006D3A4D">
        <w:t>Participants currently working in a paid job</w:t>
      </w:r>
    </w:p>
    <w:p w14:paraId="1B66F8DE" w14:textId="77777777" w:rsidR="003734E1" w:rsidRDefault="003734E1" w:rsidP="003734E1">
      <w:pPr>
        <w:pStyle w:val="FSRnormal"/>
      </w:pPr>
      <w:r w:rsidRPr="00FA7679">
        <w:t xml:space="preserve">Employment </w:t>
      </w:r>
      <w:r>
        <w:t>has</w:t>
      </w:r>
      <w:r w:rsidRPr="00FA7679">
        <w:t xml:space="preserve"> a </w:t>
      </w:r>
      <w:r>
        <w:t xml:space="preserve">significant impact on the overall wellbeing of participants and overcoming barriers to employment can lead to positive changes in many aspects of life including social participation, economic security and mental wellbeing. However not all participants of working age are actively seeking work. The data in </w:t>
      </w:r>
      <w:r w:rsidR="00A270E7" w:rsidRPr="00B175B3">
        <w:t>Table K.</w:t>
      </w:r>
      <w:r w:rsidR="00A270E7" w:rsidRPr="00B175B3">
        <w:rPr>
          <w:noProof/>
        </w:rPr>
        <w:t>1</w:t>
      </w:r>
      <w:r>
        <w:t xml:space="preserve"> includes all participants asked about their employment status in the SFOF, whether or not they are actively seeking work. The 15-24 year old age group were selected for inclusion in this report to reflect the important transitional nature of this time in life, and indeed a time when many participants will first start seeking work and utilising Scheme funding to achieve this goal.</w:t>
      </w:r>
    </w:p>
    <w:p w14:paraId="586611EC" w14:textId="77777777" w:rsidR="003734E1" w:rsidRDefault="003734E1" w:rsidP="003734E1">
      <w:pPr>
        <w:pStyle w:val="Caption"/>
        <w:keepNext/>
      </w:pPr>
      <w:bookmarkStart w:id="1231" w:name="_Ref114482625"/>
      <w:r>
        <w:t>Table</w:t>
      </w:r>
      <w:r w:rsidR="00B46D9E">
        <w:t xml:space="preserve"> K.</w:t>
      </w:r>
      <w:fldSimple w:instr=" SEQ Table \* ARABIC \s 2 ">
        <w:r w:rsidR="00A87896">
          <w:rPr>
            <w:noProof/>
          </w:rPr>
          <w:t>1</w:t>
        </w:r>
      </w:fldSimple>
      <w:bookmarkEnd w:id="1231"/>
      <w:r w:rsidR="00B46D9E">
        <w:t>:</w:t>
      </w:r>
      <w:r>
        <w:t xml:space="preserve"> </w:t>
      </w:r>
      <w:r w:rsidRPr="0013387E">
        <w:t>%</w:t>
      </w:r>
      <w:r>
        <w:t xml:space="preserve"> participants 15-24 years old</w:t>
      </w:r>
      <w:r w:rsidRPr="0013387E">
        <w:t xml:space="preserve"> who are currently working in a paid </w:t>
      </w:r>
      <w:r>
        <w:t>job</w:t>
      </w:r>
      <w:r w:rsidRPr="0DC174EF">
        <w:rPr>
          <w:rStyle w:val="FootnoteReference"/>
        </w:rPr>
        <w:footnoteReference w:id="176"/>
      </w:r>
    </w:p>
    <w:tbl>
      <w:tblPr>
        <w:tblW w:w="0" w:type="auto"/>
        <w:tblLook w:val="04A0" w:firstRow="1" w:lastRow="0" w:firstColumn="1" w:lastColumn="0" w:noHBand="0" w:noVBand="1"/>
      </w:tblPr>
      <w:tblGrid>
        <w:gridCol w:w="1249"/>
        <w:gridCol w:w="1153"/>
        <w:gridCol w:w="908"/>
        <w:gridCol w:w="895"/>
        <w:gridCol w:w="1151"/>
        <w:gridCol w:w="1155"/>
        <w:gridCol w:w="1229"/>
        <w:gridCol w:w="1266"/>
      </w:tblGrid>
      <w:tr w:rsidR="003734E1" w:rsidRPr="00402715" w14:paraId="37825FB6" w14:textId="77777777" w:rsidTr="0027120A">
        <w:trPr>
          <w:trHeight w:val="1166"/>
        </w:trPr>
        <w:tc>
          <w:tcPr>
            <w:tcW w:w="0" w:type="auto"/>
            <w:tcBorders>
              <w:top w:val="single" w:sz="8" w:space="0" w:color="auto"/>
              <w:left w:val="single" w:sz="8" w:space="0" w:color="auto"/>
              <w:bottom w:val="single" w:sz="8" w:space="0" w:color="auto"/>
              <w:right w:val="single" w:sz="8" w:space="0" w:color="auto"/>
            </w:tcBorders>
            <w:shd w:val="clear" w:color="000000" w:fill="660066"/>
            <w:vAlign w:val="center"/>
            <w:hideMark/>
          </w:tcPr>
          <w:p w14:paraId="5ECA6A31" w14:textId="77777777" w:rsidR="003734E1" w:rsidRPr="00A5680E" w:rsidRDefault="003734E1" w:rsidP="0027120A">
            <w:pPr>
              <w:spacing w:after="0" w:line="240" w:lineRule="auto"/>
              <w:rPr>
                <w:rFonts w:eastAsia="Times New Roman" w:cs="Arial"/>
                <w:b/>
                <w:bCs/>
                <w:color w:val="FFFFFF"/>
                <w:sz w:val="16"/>
                <w:szCs w:val="16"/>
                <w:lang w:eastAsia="zh-CN" w:bidi="th-TH"/>
              </w:rPr>
            </w:pPr>
            <w:r w:rsidRPr="00A5680E">
              <w:rPr>
                <w:rFonts w:eastAsia="Times New Roman" w:cs="Arial"/>
                <w:b/>
                <w:bCs/>
                <w:color w:val="FFFFFF"/>
                <w:sz w:val="16"/>
                <w:szCs w:val="16"/>
                <w:lang w:eastAsia="zh-CN" w:bidi="th-TH"/>
              </w:rPr>
              <w:t>Disability group</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1658C361" w14:textId="77777777" w:rsidR="003734E1" w:rsidRPr="00A5680E" w:rsidRDefault="003734E1" w:rsidP="0027120A">
            <w:pPr>
              <w:spacing w:after="0" w:line="240" w:lineRule="auto"/>
              <w:rPr>
                <w:rFonts w:eastAsia="Times New Roman" w:cs="Arial"/>
                <w:b/>
                <w:bCs/>
                <w:color w:val="FFFFFF"/>
                <w:sz w:val="16"/>
                <w:szCs w:val="16"/>
                <w:lang w:eastAsia="zh-CN" w:bidi="th-TH"/>
              </w:rPr>
            </w:pPr>
            <w:r w:rsidRPr="00A5680E">
              <w:rPr>
                <w:rFonts w:eastAsia="Times New Roman" w:cs="Arial"/>
                <w:b/>
                <w:bCs/>
                <w:color w:val="FFFFFF"/>
                <w:sz w:val="16"/>
                <w:szCs w:val="16"/>
                <w:lang w:eastAsia="zh-CN" w:bidi="th-TH"/>
              </w:rPr>
              <w:t>Number of participants in baseline cohort</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664C1117" w14:textId="77777777" w:rsidR="003734E1" w:rsidRPr="00A5680E" w:rsidRDefault="003734E1" w:rsidP="0027120A">
            <w:pPr>
              <w:spacing w:after="0" w:line="240" w:lineRule="auto"/>
              <w:rPr>
                <w:rFonts w:eastAsia="Times New Roman" w:cs="Arial"/>
                <w:b/>
                <w:bCs/>
                <w:color w:val="FFFFFF"/>
                <w:sz w:val="16"/>
                <w:szCs w:val="16"/>
                <w:lang w:eastAsia="zh-CN" w:bidi="th-TH"/>
              </w:rPr>
            </w:pPr>
            <w:r w:rsidRPr="00A5680E">
              <w:rPr>
                <w:rFonts w:eastAsia="Times New Roman" w:cs="Arial"/>
                <w:b/>
                <w:bCs/>
                <w:color w:val="FFFFFF"/>
                <w:sz w:val="16"/>
                <w:szCs w:val="16"/>
                <w:lang w:eastAsia="zh-CN" w:bidi="th-TH"/>
              </w:rPr>
              <w:t xml:space="preserve"> Median capacity building payment (yearly) </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0F3889AF" w14:textId="77777777" w:rsidR="003734E1" w:rsidRPr="00A5680E" w:rsidRDefault="003734E1" w:rsidP="0027120A">
            <w:pPr>
              <w:spacing w:after="0" w:line="240" w:lineRule="auto"/>
              <w:rPr>
                <w:rFonts w:eastAsia="Times New Roman" w:cs="Arial"/>
                <w:b/>
                <w:bCs/>
                <w:color w:val="FFFFFF"/>
                <w:sz w:val="16"/>
                <w:szCs w:val="16"/>
                <w:lang w:eastAsia="zh-CN" w:bidi="th-TH"/>
              </w:rPr>
            </w:pPr>
            <w:r w:rsidRPr="00A5680E">
              <w:rPr>
                <w:rFonts w:eastAsia="Times New Roman" w:cs="Arial"/>
                <w:b/>
                <w:bCs/>
                <w:color w:val="FFFFFF"/>
                <w:sz w:val="16"/>
                <w:szCs w:val="16"/>
                <w:lang w:eastAsia="zh-CN" w:bidi="th-TH"/>
              </w:rPr>
              <w:t xml:space="preserve">Median total payment (yearly) </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0706A863" w14:textId="77777777" w:rsidR="003734E1" w:rsidRPr="00A5680E" w:rsidRDefault="003734E1" w:rsidP="0027120A">
            <w:pPr>
              <w:spacing w:after="0" w:line="240" w:lineRule="auto"/>
              <w:jc w:val="center"/>
              <w:rPr>
                <w:rFonts w:eastAsia="Times New Roman" w:cs="Arial"/>
                <w:b/>
                <w:bCs/>
                <w:color w:val="FFFFFF"/>
                <w:sz w:val="16"/>
                <w:szCs w:val="16"/>
                <w:lang w:eastAsia="zh-CN" w:bidi="th-TH"/>
              </w:rPr>
            </w:pPr>
            <w:r w:rsidRPr="00A5680E">
              <w:rPr>
                <w:rFonts w:eastAsia="Times New Roman" w:cs="Arial"/>
                <w:b/>
                <w:bCs/>
                <w:color w:val="FFFFFF"/>
                <w:sz w:val="16"/>
                <w:szCs w:val="16"/>
                <w:lang w:eastAsia="zh-CN" w:bidi="th-TH"/>
              </w:rPr>
              <w:t>% participants with outcome at baseline</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25769F14" w14:textId="77777777" w:rsidR="003734E1" w:rsidRPr="00A5680E" w:rsidRDefault="003734E1" w:rsidP="0027120A">
            <w:pPr>
              <w:spacing w:after="0" w:line="240" w:lineRule="auto"/>
              <w:rPr>
                <w:rFonts w:eastAsia="Times New Roman" w:cs="Arial"/>
                <w:b/>
                <w:bCs/>
                <w:color w:val="FFFFFF"/>
                <w:sz w:val="16"/>
                <w:szCs w:val="16"/>
                <w:lang w:eastAsia="zh-CN" w:bidi="th-TH"/>
              </w:rPr>
            </w:pPr>
            <w:r w:rsidRPr="00A5680E">
              <w:rPr>
                <w:rFonts w:eastAsia="Times New Roman" w:cs="Arial"/>
                <w:b/>
                <w:bCs/>
                <w:color w:val="FFFFFF"/>
                <w:sz w:val="16"/>
                <w:szCs w:val="16"/>
                <w:lang w:eastAsia="zh-CN" w:bidi="th-TH"/>
              </w:rPr>
              <w:t>% participants with outcome at latest review</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52C1962F" w14:textId="77777777" w:rsidR="003734E1" w:rsidRPr="00A5680E" w:rsidRDefault="003734E1" w:rsidP="0027120A">
            <w:pPr>
              <w:spacing w:after="0" w:line="240" w:lineRule="auto"/>
              <w:rPr>
                <w:rFonts w:eastAsia="Times New Roman" w:cs="Arial"/>
                <w:b/>
                <w:bCs/>
                <w:color w:val="FFFFFF"/>
                <w:sz w:val="16"/>
                <w:szCs w:val="16"/>
                <w:lang w:eastAsia="zh-CN" w:bidi="th-TH"/>
              </w:rPr>
            </w:pPr>
            <w:r w:rsidRPr="00A5680E">
              <w:rPr>
                <w:rFonts w:eastAsia="Times New Roman" w:cs="Arial"/>
                <w:b/>
                <w:bCs/>
                <w:color w:val="FFFFFF"/>
                <w:sz w:val="16"/>
                <w:szCs w:val="16"/>
                <w:lang w:eastAsia="zh-CN" w:bidi="th-TH"/>
              </w:rPr>
              <w:t>Maintenance of 'yes' response: baseline to latest review</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67AB73B2" w14:textId="77777777" w:rsidR="003734E1" w:rsidRPr="00A5680E" w:rsidRDefault="003734E1" w:rsidP="0027120A">
            <w:pPr>
              <w:spacing w:after="0" w:line="240" w:lineRule="auto"/>
              <w:rPr>
                <w:rFonts w:eastAsia="Times New Roman" w:cs="Arial"/>
                <w:b/>
                <w:bCs/>
                <w:color w:val="FFFFFF"/>
                <w:sz w:val="16"/>
                <w:szCs w:val="16"/>
                <w:lang w:eastAsia="zh-CN" w:bidi="th-TH"/>
              </w:rPr>
            </w:pPr>
            <w:r w:rsidRPr="00A5680E">
              <w:rPr>
                <w:rFonts w:eastAsia="Times New Roman" w:cs="Arial"/>
                <w:b/>
                <w:bCs/>
                <w:color w:val="FFFFFF"/>
                <w:sz w:val="16"/>
                <w:szCs w:val="16"/>
                <w:lang w:eastAsia="zh-CN" w:bidi="th-TH"/>
              </w:rPr>
              <w:t>Improvement from 'no' response: baseline to latest review</w:t>
            </w:r>
          </w:p>
        </w:tc>
      </w:tr>
      <w:tr w:rsidR="003734E1" w:rsidRPr="00402715" w14:paraId="5EB0DC30"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1F9EA01C" w14:textId="77777777" w:rsidR="003734E1" w:rsidRPr="00A5680E" w:rsidRDefault="003734E1" w:rsidP="0027120A">
            <w:pPr>
              <w:spacing w:after="0" w:line="240" w:lineRule="auto"/>
              <w:rPr>
                <w:rFonts w:eastAsia="Times New Roman" w:cs="Arial"/>
                <w:b/>
                <w:bCs/>
                <w:color w:val="000000"/>
                <w:sz w:val="16"/>
                <w:szCs w:val="16"/>
                <w:lang w:eastAsia="zh-CN" w:bidi="th-TH"/>
              </w:rPr>
            </w:pPr>
            <w:r w:rsidRPr="00A5680E">
              <w:rPr>
                <w:rFonts w:eastAsia="Times New Roman" w:cs="Arial"/>
                <w:b/>
                <w:bCs/>
                <w:color w:val="000000"/>
                <w:sz w:val="16"/>
                <w:szCs w:val="16"/>
                <w:lang w:eastAsia="zh-CN" w:bidi="th-TH"/>
              </w:rPr>
              <w:t>Autism</w:t>
            </w:r>
          </w:p>
        </w:tc>
        <w:tc>
          <w:tcPr>
            <w:tcW w:w="0" w:type="auto"/>
            <w:tcBorders>
              <w:top w:val="nil"/>
              <w:left w:val="nil"/>
              <w:bottom w:val="nil"/>
              <w:right w:val="single" w:sz="8" w:space="0" w:color="auto"/>
            </w:tcBorders>
            <w:shd w:val="clear" w:color="000000" w:fill="FFFFFF"/>
            <w:vAlign w:val="center"/>
            <w:hideMark/>
          </w:tcPr>
          <w:p w14:paraId="23712798"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 xml:space="preserve">       16,066 </w:t>
            </w:r>
          </w:p>
        </w:tc>
        <w:tc>
          <w:tcPr>
            <w:tcW w:w="0" w:type="auto"/>
            <w:tcBorders>
              <w:top w:val="nil"/>
              <w:left w:val="nil"/>
              <w:bottom w:val="nil"/>
              <w:right w:val="single" w:sz="8" w:space="0" w:color="auto"/>
            </w:tcBorders>
            <w:shd w:val="clear" w:color="000000" w:fill="FFFFFF"/>
            <w:vAlign w:val="center"/>
            <w:hideMark/>
          </w:tcPr>
          <w:p w14:paraId="4708A864"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$8.0k</w:t>
            </w:r>
          </w:p>
        </w:tc>
        <w:tc>
          <w:tcPr>
            <w:tcW w:w="0" w:type="auto"/>
            <w:tcBorders>
              <w:top w:val="nil"/>
              <w:left w:val="nil"/>
              <w:bottom w:val="nil"/>
              <w:right w:val="single" w:sz="8" w:space="0" w:color="auto"/>
            </w:tcBorders>
            <w:shd w:val="clear" w:color="000000" w:fill="FFFFFF"/>
            <w:vAlign w:val="center"/>
            <w:hideMark/>
          </w:tcPr>
          <w:p w14:paraId="3230EAAE"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$21.2k</w:t>
            </w:r>
          </w:p>
        </w:tc>
        <w:tc>
          <w:tcPr>
            <w:tcW w:w="0" w:type="auto"/>
            <w:tcBorders>
              <w:top w:val="nil"/>
              <w:left w:val="nil"/>
              <w:bottom w:val="nil"/>
              <w:right w:val="single" w:sz="8" w:space="0" w:color="auto"/>
            </w:tcBorders>
            <w:shd w:val="clear" w:color="000000" w:fill="FFFFFF"/>
            <w:vAlign w:val="center"/>
            <w:hideMark/>
          </w:tcPr>
          <w:p w14:paraId="19A7F3B3"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14.5%</w:t>
            </w:r>
          </w:p>
        </w:tc>
        <w:tc>
          <w:tcPr>
            <w:tcW w:w="0" w:type="auto"/>
            <w:tcBorders>
              <w:top w:val="nil"/>
              <w:left w:val="nil"/>
              <w:bottom w:val="nil"/>
              <w:right w:val="single" w:sz="8" w:space="0" w:color="auto"/>
            </w:tcBorders>
            <w:shd w:val="clear" w:color="000000" w:fill="FFFFFF"/>
            <w:vAlign w:val="center"/>
            <w:hideMark/>
          </w:tcPr>
          <w:p w14:paraId="5B3CCF60"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20.6% (+6.1%)</w:t>
            </w:r>
          </w:p>
        </w:tc>
        <w:tc>
          <w:tcPr>
            <w:tcW w:w="0" w:type="auto"/>
            <w:tcBorders>
              <w:top w:val="nil"/>
              <w:left w:val="nil"/>
              <w:bottom w:val="nil"/>
              <w:right w:val="single" w:sz="8" w:space="0" w:color="auto"/>
            </w:tcBorders>
            <w:shd w:val="clear" w:color="000000" w:fill="F3FEFF"/>
            <w:vAlign w:val="center"/>
            <w:hideMark/>
          </w:tcPr>
          <w:p w14:paraId="46EC7C4D"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73.8%</w:t>
            </w:r>
          </w:p>
        </w:tc>
        <w:tc>
          <w:tcPr>
            <w:tcW w:w="0" w:type="auto"/>
            <w:tcBorders>
              <w:top w:val="nil"/>
              <w:left w:val="nil"/>
              <w:bottom w:val="nil"/>
              <w:right w:val="single" w:sz="8" w:space="0" w:color="auto"/>
            </w:tcBorders>
            <w:shd w:val="clear" w:color="000000" w:fill="F3FEFF"/>
            <w:vAlign w:val="center"/>
            <w:hideMark/>
          </w:tcPr>
          <w:p w14:paraId="79697B6C"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12.9%</w:t>
            </w:r>
          </w:p>
        </w:tc>
      </w:tr>
      <w:tr w:rsidR="003734E1" w:rsidRPr="00402715" w14:paraId="74FF7B2C"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41FC0450" w14:textId="77777777" w:rsidR="003734E1" w:rsidRPr="00A5680E" w:rsidRDefault="003734E1" w:rsidP="0027120A">
            <w:pPr>
              <w:spacing w:after="0" w:line="240" w:lineRule="auto"/>
              <w:rPr>
                <w:rFonts w:eastAsia="Times New Roman" w:cs="Arial"/>
                <w:b/>
                <w:bCs/>
                <w:color w:val="000000"/>
                <w:sz w:val="16"/>
                <w:szCs w:val="16"/>
                <w:lang w:eastAsia="zh-CN" w:bidi="th-TH"/>
              </w:rPr>
            </w:pPr>
            <w:r w:rsidRPr="00A5680E">
              <w:rPr>
                <w:rFonts w:eastAsia="Times New Roman" w:cs="Arial"/>
                <w:b/>
                <w:bCs/>
                <w:color w:val="000000"/>
                <w:sz w:val="16"/>
                <w:szCs w:val="16"/>
                <w:lang w:eastAsia="zh-CN" w:bidi="th-TH"/>
              </w:rPr>
              <w:t>Intellectual Disability</w:t>
            </w:r>
          </w:p>
        </w:tc>
        <w:tc>
          <w:tcPr>
            <w:tcW w:w="0" w:type="auto"/>
            <w:tcBorders>
              <w:top w:val="nil"/>
              <w:left w:val="nil"/>
              <w:bottom w:val="nil"/>
              <w:right w:val="single" w:sz="8" w:space="0" w:color="auto"/>
            </w:tcBorders>
            <w:shd w:val="clear" w:color="000000" w:fill="FFFFFF"/>
            <w:vAlign w:val="center"/>
            <w:hideMark/>
          </w:tcPr>
          <w:p w14:paraId="7C3E59F5"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 xml:space="preserve">       14,336 </w:t>
            </w:r>
          </w:p>
        </w:tc>
        <w:tc>
          <w:tcPr>
            <w:tcW w:w="0" w:type="auto"/>
            <w:tcBorders>
              <w:top w:val="nil"/>
              <w:left w:val="nil"/>
              <w:bottom w:val="nil"/>
              <w:right w:val="single" w:sz="8" w:space="0" w:color="auto"/>
            </w:tcBorders>
            <w:shd w:val="clear" w:color="000000" w:fill="FFFFFF"/>
            <w:vAlign w:val="center"/>
            <w:hideMark/>
          </w:tcPr>
          <w:p w14:paraId="7F0E1797"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$8.9k</w:t>
            </w:r>
          </w:p>
        </w:tc>
        <w:tc>
          <w:tcPr>
            <w:tcW w:w="0" w:type="auto"/>
            <w:tcBorders>
              <w:top w:val="nil"/>
              <w:left w:val="nil"/>
              <w:bottom w:val="nil"/>
              <w:right w:val="single" w:sz="8" w:space="0" w:color="auto"/>
            </w:tcBorders>
            <w:shd w:val="clear" w:color="000000" w:fill="FFFFFF"/>
            <w:vAlign w:val="center"/>
            <w:hideMark/>
          </w:tcPr>
          <w:p w14:paraId="5AAC0B58"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$30.6k</w:t>
            </w:r>
          </w:p>
        </w:tc>
        <w:tc>
          <w:tcPr>
            <w:tcW w:w="0" w:type="auto"/>
            <w:tcBorders>
              <w:top w:val="nil"/>
              <w:left w:val="nil"/>
              <w:bottom w:val="nil"/>
              <w:right w:val="single" w:sz="8" w:space="0" w:color="auto"/>
            </w:tcBorders>
            <w:shd w:val="clear" w:color="000000" w:fill="FFFFFF"/>
            <w:vAlign w:val="center"/>
            <w:hideMark/>
          </w:tcPr>
          <w:p w14:paraId="153C02D1"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16.8%</w:t>
            </w:r>
          </w:p>
        </w:tc>
        <w:tc>
          <w:tcPr>
            <w:tcW w:w="0" w:type="auto"/>
            <w:tcBorders>
              <w:top w:val="nil"/>
              <w:left w:val="nil"/>
              <w:bottom w:val="nil"/>
              <w:right w:val="single" w:sz="8" w:space="0" w:color="auto"/>
            </w:tcBorders>
            <w:shd w:val="clear" w:color="000000" w:fill="FFFFFF"/>
            <w:vAlign w:val="center"/>
            <w:hideMark/>
          </w:tcPr>
          <w:p w14:paraId="3A44C938"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20.9% (+4.1%)</w:t>
            </w:r>
          </w:p>
        </w:tc>
        <w:tc>
          <w:tcPr>
            <w:tcW w:w="0" w:type="auto"/>
            <w:tcBorders>
              <w:top w:val="single" w:sz="8" w:space="0" w:color="auto"/>
              <w:left w:val="nil"/>
              <w:bottom w:val="nil"/>
              <w:right w:val="single" w:sz="8" w:space="0" w:color="auto"/>
            </w:tcBorders>
            <w:shd w:val="clear" w:color="000000" w:fill="F3FEFF"/>
            <w:vAlign w:val="center"/>
            <w:hideMark/>
          </w:tcPr>
          <w:p w14:paraId="7BE83325"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73.7%</w:t>
            </w:r>
          </w:p>
        </w:tc>
        <w:tc>
          <w:tcPr>
            <w:tcW w:w="0" w:type="auto"/>
            <w:tcBorders>
              <w:top w:val="single" w:sz="8" w:space="0" w:color="auto"/>
              <w:left w:val="nil"/>
              <w:bottom w:val="nil"/>
              <w:right w:val="single" w:sz="8" w:space="0" w:color="auto"/>
            </w:tcBorders>
            <w:shd w:val="clear" w:color="000000" w:fill="F3FEFF"/>
            <w:vAlign w:val="center"/>
            <w:hideMark/>
          </w:tcPr>
          <w:p w14:paraId="15FF0F6D"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12.5%</w:t>
            </w:r>
          </w:p>
        </w:tc>
      </w:tr>
      <w:tr w:rsidR="003734E1" w:rsidRPr="00402715" w14:paraId="066BF619"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08253821" w14:textId="77777777" w:rsidR="003734E1" w:rsidRPr="00A5680E" w:rsidRDefault="003734E1" w:rsidP="0027120A">
            <w:pPr>
              <w:spacing w:after="0" w:line="240" w:lineRule="auto"/>
              <w:rPr>
                <w:rFonts w:eastAsia="Times New Roman" w:cs="Arial"/>
                <w:b/>
                <w:bCs/>
                <w:color w:val="000000"/>
                <w:sz w:val="16"/>
                <w:szCs w:val="16"/>
                <w:lang w:eastAsia="zh-CN" w:bidi="th-TH"/>
              </w:rPr>
            </w:pPr>
            <w:r w:rsidRPr="00A5680E">
              <w:rPr>
                <w:rFonts w:eastAsia="Times New Roman" w:cs="Arial"/>
                <w:b/>
                <w:bCs/>
                <w:color w:val="000000"/>
                <w:sz w:val="16"/>
                <w:szCs w:val="16"/>
                <w:lang w:eastAsia="zh-CN" w:bidi="th-TH"/>
              </w:rPr>
              <w:t>Psychosocial disability</w:t>
            </w:r>
          </w:p>
        </w:tc>
        <w:tc>
          <w:tcPr>
            <w:tcW w:w="0" w:type="auto"/>
            <w:tcBorders>
              <w:top w:val="nil"/>
              <w:left w:val="nil"/>
              <w:bottom w:val="nil"/>
              <w:right w:val="single" w:sz="8" w:space="0" w:color="auto"/>
            </w:tcBorders>
            <w:shd w:val="clear" w:color="000000" w:fill="FFFFFF"/>
            <w:vAlign w:val="center"/>
            <w:hideMark/>
          </w:tcPr>
          <w:p w14:paraId="16E70842"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 xml:space="preserve">         1,837 </w:t>
            </w:r>
          </w:p>
        </w:tc>
        <w:tc>
          <w:tcPr>
            <w:tcW w:w="0" w:type="auto"/>
            <w:tcBorders>
              <w:top w:val="nil"/>
              <w:left w:val="nil"/>
              <w:bottom w:val="nil"/>
              <w:right w:val="single" w:sz="8" w:space="0" w:color="auto"/>
            </w:tcBorders>
            <w:shd w:val="clear" w:color="000000" w:fill="FFFFFF"/>
            <w:vAlign w:val="center"/>
            <w:hideMark/>
          </w:tcPr>
          <w:p w14:paraId="38347D48"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$8.8k</w:t>
            </w:r>
          </w:p>
        </w:tc>
        <w:tc>
          <w:tcPr>
            <w:tcW w:w="0" w:type="auto"/>
            <w:tcBorders>
              <w:top w:val="nil"/>
              <w:left w:val="nil"/>
              <w:bottom w:val="nil"/>
              <w:right w:val="single" w:sz="8" w:space="0" w:color="auto"/>
            </w:tcBorders>
            <w:shd w:val="clear" w:color="000000" w:fill="FFFFFF"/>
            <w:vAlign w:val="center"/>
            <w:hideMark/>
          </w:tcPr>
          <w:p w14:paraId="50B6FA90"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$21.1k</w:t>
            </w:r>
          </w:p>
        </w:tc>
        <w:tc>
          <w:tcPr>
            <w:tcW w:w="0" w:type="auto"/>
            <w:tcBorders>
              <w:top w:val="nil"/>
              <w:left w:val="nil"/>
              <w:bottom w:val="nil"/>
              <w:right w:val="single" w:sz="8" w:space="0" w:color="auto"/>
            </w:tcBorders>
            <w:shd w:val="clear" w:color="000000" w:fill="FFFFFF"/>
            <w:vAlign w:val="center"/>
            <w:hideMark/>
          </w:tcPr>
          <w:p w14:paraId="16B74420"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10.9%</w:t>
            </w:r>
          </w:p>
        </w:tc>
        <w:tc>
          <w:tcPr>
            <w:tcW w:w="0" w:type="auto"/>
            <w:tcBorders>
              <w:top w:val="nil"/>
              <w:left w:val="nil"/>
              <w:bottom w:val="nil"/>
              <w:right w:val="single" w:sz="8" w:space="0" w:color="auto"/>
            </w:tcBorders>
            <w:shd w:val="clear" w:color="000000" w:fill="FFFFFF"/>
            <w:vAlign w:val="center"/>
            <w:hideMark/>
          </w:tcPr>
          <w:p w14:paraId="0FBD42FD"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13.1% (+2.2%)</w:t>
            </w:r>
          </w:p>
        </w:tc>
        <w:tc>
          <w:tcPr>
            <w:tcW w:w="0" w:type="auto"/>
            <w:tcBorders>
              <w:top w:val="single" w:sz="8" w:space="0" w:color="auto"/>
              <w:left w:val="nil"/>
              <w:bottom w:val="nil"/>
              <w:right w:val="single" w:sz="8" w:space="0" w:color="auto"/>
            </w:tcBorders>
            <w:shd w:val="clear" w:color="000000" w:fill="F3FEFF"/>
            <w:vAlign w:val="center"/>
            <w:hideMark/>
          </w:tcPr>
          <w:p w14:paraId="6ABFA2B3"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60.0%</w:t>
            </w:r>
          </w:p>
        </w:tc>
        <w:tc>
          <w:tcPr>
            <w:tcW w:w="0" w:type="auto"/>
            <w:tcBorders>
              <w:top w:val="single" w:sz="8" w:space="0" w:color="auto"/>
              <w:left w:val="nil"/>
              <w:bottom w:val="nil"/>
              <w:right w:val="single" w:sz="8" w:space="0" w:color="auto"/>
            </w:tcBorders>
            <w:shd w:val="clear" w:color="000000" w:fill="F3FEFF"/>
            <w:vAlign w:val="center"/>
            <w:hideMark/>
          </w:tcPr>
          <w:p w14:paraId="54D18F1C"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8.2%</w:t>
            </w:r>
          </w:p>
        </w:tc>
      </w:tr>
      <w:tr w:rsidR="003734E1" w:rsidRPr="00402715" w14:paraId="1DA214E1"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76CCD726" w14:textId="77777777" w:rsidR="003734E1" w:rsidRPr="00A5680E" w:rsidRDefault="003734E1" w:rsidP="0027120A">
            <w:pPr>
              <w:spacing w:after="0" w:line="240" w:lineRule="auto"/>
              <w:rPr>
                <w:rFonts w:eastAsia="Times New Roman" w:cs="Arial"/>
                <w:b/>
                <w:bCs/>
                <w:color w:val="000000"/>
                <w:sz w:val="16"/>
                <w:szCs w:val="16"/>
                <w:lang w:eastAsia="zh-CN" w:bidi="th-TH"/>
              </w:rPr>
            </w:pPr>
            <w:r w:rsidRPr="00A5680E">
              <w:rPr>
                <w:rFonts w:eastAsia="Times New Roman" w:cs="Arial"/>
                <w:b/>
                <w:bCs/>
                <w:color w:val="000000"/>
                <w:sz w:val="16"/>
                <w:szCs w:val="16"/>
                <w:lang w:eastAsia="zh-CN" w:bidi="th-TH"/>
              </w:rPr>
              <w:t>Sensory disability</w:t>
            </w:r>
          </w:p>
        </w:tc>
        <w:tc>
          <w:tcPr>
            <w:tcW w:w="0" w:type="auto"/>
            <w:tcBorders>
              <w:top w:val="nil"/>
              <w:left w:val="nil"/>
              <w:bottom w:val="nil"/>
              <w:right w:val="single" w:sz="8" w:space="0" w:color="auto"/>
            </w:tcBorders>
            <w:shd w:val="clear" w:color="000000" w:fill="FFFFFF"/>
            <w:vAlign w:val="center"/>
            <w:hideMark/>
          </w:tcPr>
          <w:p w14:paraId="2B66C43E"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 xml:space="preserve">         2,856 </w:t>
            </w:r>
          </w:p>
        </w:tc>
        <w:tc>
          <w:tcPr>
            <w:tcW w:w="0" w:type="auto"/>
            <w:tcBorders>
              <w:top w:val="nil"/>
              <w:left w:val="nil"/>
              <w:bottom w:val="nil"/>
              <w:right w:val="single" w:sz="8" w:space="0" w:color="auto"/>
            </w:tcBorders>
            <w:shd w:val="clear" w:color="000000" w:fill="FFFFFF"/>
            <w:vAlign w:val="center"/>
            <w:hideMark/>
          </w:tcPr>
          <w:p w14:paraId="208346AE"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$3.5k</w:t>
            </w:r>
          </w:p>
        </w:tc>
        <w:tc>
          <w:tcPr>
            <w:tcW w:w="0" w:type="auto"/>
            <w:tcBorders>
              <w:top w:val="nil"/>
              <w:left w:val="nil"/>
              <w:bottom w:val="nil"/>
              <w:right w:val="single" w:sz="8" w:space="0" w:color="auto"/>
            </w:tcBorders>
            <w:shd w:val="clear" w:color="000000" w:fill="FFFFFF"/>
            <w:vAlign w:val="center"/>
            <w:hideMark/>
          </w:tcPr>
          <w:p w14:paraId="673B57FA"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$6.2k</w:t>
            </w:r>
          </w:p>
        </w:tc>
        <w:tc>
          <w:tcPr>
            <w:tcW w:w="0" w:type="auto"/>
            <w:tcBorders>
              <w:top w:val="nil"/>
              <w:left w:val="nil"/>
              <w:bottom w:val="nil"/>
              <w:right w:val="single" w:sz="8" w:space="0" w:color="auto"/>
            </w:tcBorders>
            <w:shd w:val="clear" w:color="000000" w:fill="FFFFFF"/>
            <w:vAlign w:val="center"/>
            <w:hideMark/>
          </w:tcPr>
          <w:p w14:paraId="6AAAF8B2"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42.0%</w:t>
            </w:r>
          </w:p>
        </w:tc>
        <w:tc>
          <w:tcPr>
            <w:tcW w:w="0" w:type="auto"/>
            <w:tcBorders>
              <w:top w:val="nil"/>
              <w:left w:val="nil"/>
              <w:bottom w:val="nil"/>
              <w:right w:val="single" w:sz="8" w:space="0" w:color="auto"/>
            </w:tcBorders>
            <w:shd w:val="clear" w:color="000000" w:fill="FFFFFF"/>
            <w:vAlign w:val="center"/>
            <w:hideMark/>
          </w:tcPr>
          <w:p w14:paraId="3C13AD90"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48.2% (+6.3%)</w:t>
            </w:r>
          </w:p>
        </w:tc>
        <w:tc>
          <w:tcPr>
            <w:tcW w:w="0" w:type="auto"/>
            <w:tcBorders>
              <w:top w:val="single" w:sz="8" w:space="0" w:color="auto"/>
              <w:left w:val="nil"/>
              <w:bottom w:val="nil"/>
              <w:right w:val="single" w:sz="8" w:space="0" w:color="auto"/>
            </w:tcBorders>
            <w:shd w:val="clear" w:color="000000" w:fill="F3FEFF"/>
            <w:vAlign w:val="center"/>
            <w:hideMark/>
          </w:tcPr>
          <w:p w14:paraId="59F6528A"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87.0%</w:t>
            </w:r>
          </w:p>
        </w:tc>
        <w:tc>
          <w:tcPr>
            <w:tcW w:w="0" w:type="auto"/>
            <w:tcBorders>
              <w:top w:val="single" w:sz="8" w:space="0" w:color="auto"/>
              <w:left w:val="nil"/>
              <w:bottom w:val="nil"/>
              <w:right w:val="single" w:sz="8" w:space="0" w:color="auto"/>
            </w:tcBorders>
            <w:shd w:val="clear" w:color="000000" w:fill="F3FEFF"/>
            <w:vAlign w:val="center"/>
            <w:hideMark/>
          </w:tcPr>
          <w:p w14:paraId="59C9612E"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22.7%</w:t>
            </w:r>
          </w:p>
        </w:tc>
      </w:tr>
      <w:tr w:rsidR="003734E1" w:rsidRPr="00402715" w14:paraId="04A9995F"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6E07B62E" w14:textId="77777777" w:rsidR="003734E1" w:rsidRPr="00A5680E" w:rsidRDefault="003734E1" w:rsidP="0027120A">
            <w:pPr>
              <w:spacing w:after="0" w:line="240" w:lineRule="auto"/>
              <w:rPr>
                <w:rFonts w:eastAsia="Times New Roman" w:cs="Arial"/>
                <w:b/>
                <w:bCs/>
                <w:color w:val="000000"/>
                <w:sz w:val="16"/>
                <w:szCs w:val="16"/>
                <w:lang w:eastAsia="zh-CN" w:bidi="th-TH"/>
              </w:rPr>
            </w:pPr>
            <w:r w:rsidRPr="00A5680E">
              <w:rPr>
                <w:rFonts w:eastAsia="Times New Roman" w:cs="Arial"/>
                <w:b/>
                <w:bCs/>
                <w:color w:val="000000"/>
                <w:sz w:val="16"/>
                <w:szCs w:val="16"/>
                <w:lang w:eastAsia="zh-CN" w:bidi="th-TH"/>
              </w:rPr>
              <w:t>Other</w:t>
            </w:r>
          </w:p>
        </w:tc>
        <w:tc>
          <w:tcPr>
            <w:tcW w:w="0" w:type="auto"/>
            <w:tcBorders>
              <w:top w:val="nil"/>
              <w:left w:val="nil"/>
              <w:bottom w:val="nil"/>
              <w:right w:val="single" w:sz="8" w:space="0" w:color="auto"/>
            </w:tcBorders>
            <w:shd w:val="clear" w:color="000000" w:fill="FFFFFF"/>
            <w:vAlign w:val="center"/>
            <w:hideMark/>
          </w:tcPr>
          <w:p w14:paraId="38E4F6A0"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 xml:space="preserve">         6,603 </w:t>
            </w:r>
          </w:p>
        </w:tc>
        <w:tc>
          <w:tcPr>
            <w:tcW w:w="0" w:type="auto"/>
            <w:tcBorders>
              <w:top w:val="nil"/>
              <w:left w:val="nil"/>
              <w:bottom w:val="nil"/>
              <w:right w:val="single" w:sz="8" w:space="0" w:color="auto"/>
            </w:tcBorders>
            <w:shd w:val="clear" w:color="000000" w:fill="FFFFFF"/>
            <w:vAlign w:val="center"/>
            <w:hideMark/>
          </w:tcPr>
          <w:p w14:paraId="42D631F7"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$8.5k</w:t>
            </w:r>
          </w:p>
        </w:tc>
        <w:tc>
          <w:tcPr>
            <w:tcW w:w="0" w:type="auto"/>
            <w:tcBorders>
              <w:top w:val="nil"/>
              <w:left w:val="nil"/>
              <w:bottom w:val="nil"/>
              <w:right w:val="single" w:sz="8" w:space="0" w:color="auto"/>
            </w:tcBorders>
            <w:shd w:val="clear" w:color="000000" w:fill="FFFFFF"/>
            <w:vAlign w:val="center"/>
            <w:hideMark/>
          </w:tcPr>
          <w:p w14:paraId="2E47A267"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$43.6k</w:t>
            </w:r>
          </w:p>
        </w:tc>
        <w:tc>
          <w:tcPr>
            <w:tcW w:w="0" w:type="auto"/>
            <w:tcBorders>
              <w:top w:val="nil"/>
              <w:left w:val="nil"/>
              <w:bottom w:val="nil"/>
              <w:right w:val="single" w:sz="8" w:space="0" w:color="auto"/>
            </w:tcBorders>
            <w:shd w:val="clear" w:color="000000" w:fill="FFFFFF"/>
            <w:vAlign w:val="center"/>
            <w:hideMark/>
          </w:tcPr>
          <w:p w14:paraId="0D2E22D0"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15.6%</w:t>
            </w:r>
          </w:p>
        </w:tc>
        <w:tc>
          <w:tcPr>
            <w:tcW w:w="0" w:type="auto"/>
            <w:tcBorders>
              <w:top w:val="nil"/>
              <w:left w:val="nil"/>
              <w:bottom w:val="nil"/>
              <w:right w:val="single" w:sz="8" w:space="0" w:color="auto"/>
            </w:tcBorders>
            <w:shd w:val="clear" w:color="000000" w:fill="FFFFFF"/>
            <w:vAlign w:val="center"/>
            <w:hideMark/>
          </w:tcPr>
          <w:p w14:paraId="3DFA2D6D"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19.5% (+3.9%)</w:t>
            </w:r>
          </w:p>
        </w:tc>
        <w:tc>
          <w:tcPr>
            <w:tcW w:w="0" w:type="auto"/>
            <w:tcBorders>
              <w:top w:val="single" w:sz="8" w:space="0" w:color="auto"/>
              <w:left w:val="nil"/>
              <w:bottom w:val="nil"/>
              <w:right w:val="single" w:sz="8" w:space="0" w:color="auto"/>
            </w:tcBorders>
            <w:shd w:val="clear" w:color="000000" w:fill="F3FEFF"/>
            <w:vAlign w:val="center"/>
            <w:hideMark/>
          </w:tcPr>
          <w:p w14:paraId="41AD7A5A"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81.3%</w:t>
            </w:r>
          </w:p>
        </w:tc>
        <w:tc>
          <w:tcPr>
            <w:tcW w:w="0" w:type="auto"/>
            <w:tcBorders>
              <w:top w:val="single" w:sz="8" w:space="0" w:color="auto"/>
              <w:left w:val="nil"/>
              <w:bottom w:val="nil"/>
              <w:right w:val="single" w:sz="8" w:space="0" w:color="auto"/>
            </w:tcBorders>
            <w:shd w:val="clear" w:color="000000" w:fill="F3FEFF"/>
            <w:vAlign w:val="center"/>
            <w:hideMark/>
          </w:tcPr>
          <w:p w14:paraId="373B9AAC" w14:textId="77777777" w:rsidR="003734E1" w:rsidRPr="00A5680E" w:rsidRDefault="003734E1" w:rsidP="0027120A">
            <w:pPr>
              <w:spacing w:after="0" w:line="240" w:lineRule="auto"/>
              <w:jc w:val="center"/>
              <w:rPr>
                <w:rFonts w:eastAsia="Times New Roman" w:cs="Arial"/>
                <w:color w:val="000000"/>
                <w:sz w:val="16"/>
                <w:szCs w:val="16"/>
                <w:lang w:eastAsia="zh-CN" w:bidi="th-TH"/>
              </w:rPr>
            </w:pPr>
            <w:r w:rsidRPr="00A5680E">
              <w:rPr>
                <w:rFonts w:eastAsia="Times New Roman" w:cs="Arial"/>
                <w:color w:val="000000"/>
                <w:sz w:val="16"/>
                <w:szCs w:val="16"/>
                <w:lang w:eastAsia="zh-CN" w:bidi="th-TH"/>
              </w:rPr>
              <w:t>10.6%</w:t>
            </w:r>
          </w:p>
        </w:tc>
      </w:tr>
      <w:tr w:rsidR="003734E1" w:rsidRPr="00402715" w14:paraId="14CD26F5" w14:textId="77777777" w:rsidTr="0027120A">
        <w:trPr>
          <w:trHeight w:val="315"/>
        </w:trPr>
        <w:tc>
          <w:tcPr>
            <w:tcW w:w="0" w:type="auto"/>
            <w:tcBorders>
              <w:top w:val="single" w:sz="8" w:space="0" w:color="auto"/>
              <w:left w:val="single" w:sz="8" w:space="0" w:color="auto"/>
              <w:bottom w:val="single" w:sz="8" w:space="0" w:color="auto"/>
              <w:right w:val="single" w:sz="8" w:space="0" w:color="auto"/>
            </w:tcBorders>
            <w:shd w:val="clear" w:color="000000" w:fill="F2F2F2"/>
            <w:vAlign w:val="center"/>
            <w:hideMark/>
          </w:tcPr>
          <w:p w14:paraId="796D7FAA" w14:textId="77777777" w:rsidR="003734E1" w:rsidRPr="00F830E6" w:rsidRDefault="003734E1" w:rsidP="0027120A">
            <w:pPr>
              <w:spacing w:after="0" w:line="240" w:lineRule="auto"/>
              <w:rPr>
                <w:rFonts w:eastAsia="Times New Roman" w:cs="Arial"/>
                <w:b/>
                <w:bCs/>
                <w:color w:val="007985"/>
                <w:sz w:val="16"/>
                <w:szCs w:val="16"/>
                <w:lang w:eastAsia="zh-CN" w:bidi="th-TH"/>
              </w:rPr>
            </w:pPr>
            <w:r w:rsidRPr="00F830E6">
              <w:rPr>
                <w:rFonts w:eastAsia="Times New Roman" w:cs="Arial"/>
                <w:b/>
                <w:bCs/>
                <w:color w:val="007985"/>
                <w:sz w:val="16"/>
                <w:szCs w:val="16"/>
                <w:lang w:eastAsia="zh-CN" w:bidi="th-TH"/>
              </w:rPr>
              <w:t>Total</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78C798C3" w14:textId="77777777" w:rsidR="003734E1" w:rsidRPr="00A5680E" w:rsidRDefault="003734E1" w:rsidP="0027120A">
            <w:pPr>
              <w:spacing w:after="0" w:line="240" w:lineRule="auto"/>
              <w:jc w:val="center"/>
              <w:rPr>
                <w:rFonts w:eastAsia="Times New Roman" w:cs="Arial"/>
                <w:b/>
                <w:bCs/>
                <w:color w:val="000000"/>
                <w:sz w:val="16"/>
                <w:szCs w:val="16"/>
                <w:lang w:eastAsia="zh-CN" w:bidi="th-TH"/>
              </w:rPr>
            </w:pPr>
            <w:r w:rsidRPr="00A5680E">
              <w:rPr>
                <w:rFonts w:eastAsia="Times New Roman" w:cs="Arial"/>
                <w:b/>
                <w:bCs/>
                <w:color w:val="000000"/>
                <w:sz w:val="16"/>
                <w:szCs w:val="16"/>
                <w:lang w:eastAsia="zh-CN" w:bidi="th-TH"/>
              </w:rPr>
              <w:t xml:space="preserve">       41,698 </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1C3C625C" w14:textId="77777777" w:rsidR="003734E1" w:rsidRPr="00A5680E" w:rsidRDefault="003734E1" w:rsidP="0027120A">
            <w:pPr>
              <w:spacing w:after="0" w:line="240" w:lineRule="auto"/>
              <w:jc w:val="center"/>
              <w:rPr>
                <w:rFonts w:eastAsia="Times New Roman" w:cs="Arial"/>
                <w:b/>
                <w:bCs/>
                <w:color w:val="000000"/>
                <w:sz w:val="16"/>
                <w:szCs w:val="16"/>
                <w:lang w:eastAsia="zh-CN" w:bidi="th-TH"/>
              </w:rPr>
            </w:pPr>
            <w:r w:rsidRPr="00A5680E">
              <w:rPr>
                <w:rFonts w:eastAsia="Times New Roman" w:cs="Arial"/>
                <w:b/>
                <w:bCs/>
                <w:color w:val="000000"/>
                <w:sz w:val="16"/>
                <w:szCs w:val="16"/>
                <w:lang w:eastAsia="zh-CN" w:bidi="th-TH"/>
              </w:rPr>
              <w:t>$8.2k</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53961E17" w14:textId="77777777" w:rsidR="003734E1" w:rsidRPr="00A5680E" w:rsidRDefault="003734E1" w:rsidP="0027120A">
            <w:pPr>
              <w:spacing w:after="0" w:line="240" w:lineRule="auto"/>
              <w:jc w:val="center"/>
              <w:rPr>
                <w:rFonts w:eastAsia="Times New Roman" w:cs="Arial"/>
                <w:b/>
                <w:bCs/>
                <w:color w:val="000000"/>
                <w:sz w:val="16"/>
                <w:szCs w:val="16"/>
                <w:lang w:eastAsia="zh-CN" w:bidi="th-TH"/>
              </w:rPr>
            </w:pPr>
            <w:r w:rsidRPr="00A5680E">
              <w:rPr>
                <w:rFonts w:eastAsia="Times New Roman" w:cs="Arial"/>
                <w:b/>
                <w:bCs/>
                <w:color w:val="000000"/>
                <w:sz w:val="16"/>
                <w:szCs w:val="16"/>
                <w:lang w:eastAsia="zh-CN" w:bidi="th-TH"/>
              </w:rPr>
              <w:t>$26.0k</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410D3AD0" w14:textId="77777777" w:rsidR="003734E1" w:rsidRPr="00A5680E" w:rsidRDefault="003734E1" w:rsidP="0027120A">
            <w:pPr>
              <w:spacing w:after="0" w:line="240" w:lineRule="auto"/>
              <w:jc w:val="center"/>
              <w:rPr>
                <w:rFonts w:eastAsia="Times New Roman" w:cs="Arial"/>
                <w:b/>
                <w:bCs/>
                <w:color w:val="000000"/>
                <w:sz w:val="16"/>
                <w:szCs w:val="16"/>
                <w:lang w:eastAsia="zh-CN" w:bidi="th-TH"/>
              </w:rPr>
            </w:pPr>
            <w:r w:rsidRPr="00A5680E">
              <w:rPr>
                <w:rFonts w:eastAsia="Times New Roman" w:cs="Arial"/>
                <w:b/>
                <w:bCs/>
                <w:color w:val="000000"/>
                <w:sz w:val="16"/>
                <w:szCs w:val="16"/>
                <w:lang w:eastAsia="zh-CN" w:bidi="th-TH"/>
              </w:rPr>
              <w:t>17.2%</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33960AF7" w14:textId="77777777" w:rsidR="003734E1" w:rsidRPr="00A5680E" w:rsidRDefault="003734E1" w:rsidP="0027120A">
            <w:pPr>
              <w:spacing w:after="0" w:line="240" w:lineRule="auto"/>
              <w:jc w:val="center"/>
              <w:rPr>
                <w:rFonts w:eastAsia="Times New Roman" w:cs="Arial"/>
                <w:b/>
                <w:bCs/>
                <w:color w:val="000000"/>
                <w:sz w:val="16"/>
                <w:szCs w:val="16"/>
                <w:lang w:eastAsia="zh-CN" w:bidi="th-TH"/>
              </w:rPr>
            </w:pPr>
            <w:r w:rsidRPr="00A5680E">
              <w:rPr>
                <w:rFonts w:eastAsia="Times New Roman" w:cs="Arial"/>
                <w:b/>
                <w:bCs/>
                <w:color w:val="000000"/>
                <w:sz w:val="16"/>
                <w:szCs w:val="16"/>
                <w:lang w:eastAsia="zh-CN" w:bidi="th-TH"/>
              </w:rPr>
              <w:t>22.1% (+4.9%)</w:t>
            </w:r>
          </w:p>
        </w:tc>
        <w:tc>
          <w:tcPr>
            <w:tcW w:w="0" w:type="auto"/>
            <w:tcBorders>
              <w:top w:val="single" w:sz="8" w:space="0" w:color="auto"/>
              <w:left w:val="nil"/>
              <w:bottom w:val="single" w:sz="8" w:space="0" w:color="auto"/>
              <w:right w:val="single" w:sz="8" w:space="0" w:color="auto"/>
            </w:tcBorders>
            <w:shd w:val="clear" w:color="000000" w:fill="F3FEFF"/>
            <w:vAlign w:val="center"/>
            <w:hideMark/>
          </w:tcPr>
          <w:p w14:paraId="1E2F718F" w14:textId="77777777" w:rsidR="003734E1" w:rsidRPr="00A5680E" w:rsidRDefault="003734E1" w:rsidP="0027120A">
            <w:pPr>
              <w:spacing w:after="0" w:line="240" w:lineRule="auto"/>
              <w:jc w:val="center"/>
              <w:rPr>
                <w:rFonts w:eastAsia="Times New Roman" w:cs="Arial"/>
                <w:b/>
                <w:bCs/>
                <w:color w:val="000000"/>
                <w:sz w:val="16"/>
                <w:szCs w:val="16"/>
                <w:lang w:eastAsia="zh-CN" w:bidi="th-TH"/>
              </w:rPr>
            </w:pPr>
            <w:r w:rsidRPr="00A5680E">
              <w:rPr>
                <w:rFonts w:eastAsia="Times New Roman" w:cs="Arial"/>
                <w:b/>
                <w:bCs/>
                <w:color w:val="000000"/>
                <w:sz w:val="16"/>
                <w:szCs w:val="16"/>
                <w:lang w:eastAsia="zh-CN" w:bidi="th-TH"/>
              </w:rPr>
              <w:t>76.7%</w:t>
            </w:r>
          </w:p>
        </w:tc>
        <w:tc>
          <w:tcPr>
            <w:tcW w:w="0" w:type="auto"/>
            <w:tcBorders>
              <w:top w:val="single" w:sz="8" w:space="0" w:color="auto"/>
              <w:left w:val="nil"/>
              <w:bottom w:val="single" w:sz="8" w:space="0" w:color="auto"/>
              <w:right w:val="single" w:sz="8" w:space="0" w:color="auto"/>
            </w:tcBorders>
            <w:shd w:val="clear" w:color="000000" w:fill="F3FEFF"/>
            <w:vAlign w:val="center"/>
            <w:hideMark/>
          </w:tcPr>
          <w:p w14:paraId="1D244DE6" w14:textId="77777777" w:rsidR="003734E1" w:rsidRPr="00A5680E" w:rsidRDefault="003734E1" w:rsidP="0027120A">
            <w:pPr>
              <w:spacing w:after="0" w:line="240" w:lineRule="auto"/>
              <w:jc w:val="center"/>
              <w:rPr>
                <w:rFonts w:eastAsia="Times New Roman" w:cs="Arial"/>
                <w:b/>
                <w:bCs/>
                <w:color w:val="000000"/>
                <w:sz w:val="16"/>
                <w:szCs w:val="16"/>
                <w:lang w:eastAsia="zh-CN" w:bidi="th-TH"/>
              </w:rPr>
            </w:pPr>
            <w:r w:rsidRPr="00A5680E">
              <w:rPr>
                <w:rFonts w:eastAsia="Times New Roman" w:cs="Arial"/>
                <w:b/>
                <w:bCs/>
                <w:color w:val="000000"/>
                <w:sz w:val="16"/>
                <w:szCs w:val="16"/>
                <w:lang w:eastAsia="zh-CN" w:bidi="th-TH"/>
              </w:rPr>
              <w:t>12.6%</w:t>
            </w:r>
          </w:p>
        </w:tc>
      </w:tr>
    </w:tbl>
    <w:p w14:paraId="1D5C3389" w14:textId="77777777" w:rsidR="00C5603C" w:rsidRDefault="00C5603C" w:rsidP="00C5603C">
      <w:pPr>
        <w:pStyle w:val="FSRHeading4"/>
      </w:pPr>
    </w:p>
    <w:p w14:paraId="7531E0E3" w14:textId="77777777" w:rsidR="00C5603C" w:rsidRDefault="00C5603C">
      <w:pPr>
        <w:spacing w:after="160" w:line="259" w:lineRule="auto"/>
        <w:rPr>
          <w:b/>
          <w:color w:val="6B2976"/>
          <w:sz w:val="25"/>
        </w:rPr>
      </w:pPr>
      <w:r>
        <w:br w:type="page"/>
      </w:r>
    </w:p>
    <w:p w14:paraId="158D67AB" w14:textId="77777777" w:rsidR="003734E1" w:rsidRPr="000E0278" w:rsidRDefault="003734E1" w:rsidP="00DA3F73">
      <w:pPr>
        <w:pStyle w:val="FSRHeading6"/>
        <w:rPr>
          <w:sz w:val="24"/>
        </w:rPr>
      </w:pPr>
      <w:r w:rsidRPr="000E0278">
        <w:lastRenderedPageBreak/>
        <w:t>Participants choose what they do each day</w:t>
      </w:r>
    </w:p>
    <w:p w14:paraId="6CCEC0B1" w14:textId="77777777" w:rsidR="003734E1" w:rsidRPr="001437BA" w:rsidRDefault="003734E1" w:rsidP="003734E1">
      <w:pPr>
        <w:pStyle w:val="FSRnormal"/>
      </w:pPr>
      <w:r>
        <w:t>Individual choice and self-determination are central objectives of the Scheme. Maintenance and attainment of outcomes looking at choice are good indicators that funded supports provide participants at any age with the flexibility and time to exercise choice.</w:t>
      </w:r>
    </w:p>
    <w:p w14:paraId="52C341A2" w14:textId="77777777" w:rsidR="003734E1" w:rsidRPr="003228E5" w:rsidRDefault="003734E1" w:rsidP="003734E1">
      <w:pPr>
        <w:pStyle w:val="Caption"/>
        <w:keepNext/>
      </w:pPr>
      <w:r w:rsidRPr="003228E5">
        <w:t>Table</w:t>
      </w:r>
      <w:r w:rsidR="00B46D9E">
        <w:t xml:space="preserve"> K</w:t>
      </w:r>
      <w:r w:rsidR="00A87896">
        <w:t>.</w:t>
      </w:r>
      <w:fldSimple w:instr=" SEQ Table \* ARABIC \s 2 ">
        <w:r w:rsidR="00A87896">
          <w:rPr>
            <w:noProof/>
          </w:rPr>
          <w:t>2</w:t>
        </w:r>
      </w:fldSimple>
      <w:r w:rsidR="00B46D9E">
        <w:t>:</w:t>
      </w:r>
      <w:r w:rsidRPr="003228E5">
        <w:t xml:space="preserve"> % 15–24 year-old participants who choose what they do each day</w:t>
      </w:r>
    </w:p>
    <w:tbl>
      <w:tblPr>
        <w:tblW w:w="0" w:type="auto"/>
        <w:tblLook w:val="04A0" w:firstRow="1" w:lastRow="0" w:firstColumn="1" w:lastColumn="0" w:noHBand="0" w:noVBand="1"/>
      </w:tblPr>
      <w:tblGrid>
        <w:gridCol w:w="1249"/>
        <w:gridCol w:w="1153"/>
        <w:gridCol w:w="908"/>
        <w:gridCol w:w="895"/>
        <w:gridCol w:w="1151"/>
        <w:gridCol w:w="1155"/>
        <w:gridCol w:w="1229"/>
        <w:gridCol w:w="1266"/>
      </w:tblGrid>
      <w:tr w:rsidR="003734E1" w:rsidRPr="000F58FD" w14:paraId="408A3A5C" w14:textId="77777777" w:rsidTr="0027120A">
        <w:trPr>
          <w:trHeight w:val="384"/>
        </w:trPr>
        <w:tc>
          <w:tcPr>
            <w:tcW w:w="0" w:type="auto"/>
            <w:tcBorders>
              <w:top w:val="single" w:sz="8" w:space="0" w:color="auto"/>
              <w:left w:val="single" w:sz="8" w:space="0" w:color="auto"/>
              <w:bottom w:val="single" w:sz="8" w:space="0" w:color="auto"/>
              <w:right w:val="single" w:sz="8" w:space="0" w:color="auto"/>
            </w:tcBorders>
            <w:shd w:val="clear" w:color="000000" w:fill="660066"/>
            <w:vAlign w:val="center"/>
            <w:hideMark/>
          </w:tcPr>
          <w:p w14:paraId="27B9BD18" w14:textId="77777777" w:rsidR="003734E1" w:rsidRPr="000F58FD" w:rsidRDefault="003734E1" w:rsidP="0027120A">
            <w:pPr>
              <w:spacing w:after="0" w:line="240" w:lineRule="auto"/>
              <w:rPr>
                <w:rFonts w:eastAsia="Times New Roman" w:cs="Arial"/>
                <w:b/>
                <w:bCs/>
                <w:color w:val="FFFFFF"/>
                <w:sz w:val="16"/>
                <w:szCs w:val="16"/>
                <w:lang w:eastAsia="zh-CN" w:bidi="th-TH"/>
              </w:rPr>
            </w:pPr>
            <w:r w:rsidRPr="000F58FD">
              <w:rPr>
                <w:rFonts w:eastAsia="Times New Roman" w:cs="Arial"/>
                <w:b/>
                <w:bCs/>
                <w:color w:val="FFFFFF"/>
                <w:sz w:val="16"/>
                <w:szCs w:val="16"/>
                <w:lang w:eastAsia="zh-CN" w:bidi="th-TH"/>
              </w:rPr>
              <w:t>Disability group</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1B980203" w14:textId="77777777" w:rsidR="003734E1" w:rsidRPr="000F58FD" w:rsidRDefault="003734E1" w:rsidP="0027120A">
            <w:pPr>
              <w:spacing w:after="0" w:line="240" w:lineRule="auto"/>
              <w:rPr>
                <w:rFonts w:eastAsia="Times New Roman" w:cs="Arial"/>
                <w:b/>
                <w:bCs/>
                <w:color w:val="FFFFFF"/>
                <w:sz w:val="16"/>
                <w:szCs w:val="16"/>
                <w:lang w:eastAsia="zh-CN" w:bidi="th-TH"/>
              </w:rPr>
            </w:pPr>
            <w:r w:rsidRPr="000F58FD">
              <w:rPr>
                <w:rFonts w:eastAsia="Times New Roman" w:cs="Arial"/>
                <w:b/>
                <w:bCs/>
                <w:color w:val="FFFFFF"/>
                <w:sz w:val="16"/>
                <w:szCs w:val="16"/>
                <w:lang w:eastAsia="zh-CN" w:bidi="th-TH"/>
              </w:rPr>
              <w:t>Number of participants in baseline cohort</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3191DAB9" w14:textId="77777777" w:rsidR="003734E1" w:rsidRPr="000F58FD" w:rsidRDefault="003734E1" w:rsidP="0027120A">
            <w:pPr>
              <w:spacing w:after="0" w:line="240" w:lineRule="auto"/>
              <w:rPr>
                <w:rFonts w:eastAsia="Times New Roman" w:cs="Arial"/>
                <w:b/>
                <w:bCs/>
                <w:color w:val="FFFFFF"/>
                <w:sz w:val="16"/>
                <w:szCs w:val="16"/>
                <w:lang w:eastAsia="zh-CN" w:bidi="th-TH"/>
              </w:rPr>
            </w:pPr>
            <w:r w:rsidRPr="000F58FD">
              <w:rPr>
                <w:rFonts w:eastAsia="Times New Roman" w:cs="Arial"/>
                <w:b/>
                <w:bCs/>
                <w:color w:val="FFFFFF"/>
                <w:sz w:val="16"/>
                <w:szCs w:val="16"/>
                <w:lang w:eastAsia="zh-CN" w:bidi="th-TH"/>
              </w:rPr>
              <w:t xml:space="preserve"> Median capacity building payment (yearly) </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4380B66F" w14:textId="77777777" w:rsidR="003734E1" w:rsidRPr="000F58FD" w:rsidRDefault="003734E1" w:rsidP="0027120A">
            <w:pPr>
              <w:spacing w:after="0" w:line="240" w:lineRule="auto"/>
              <w:rPr>
                <w:rFonts w:eastAsia="Times New Roman" w:cs="Arial"/>
                <w:b/>
                <w:bCs/>
                <w:color w:val="FFFFFF"/>
                <w:sz w:val="16"/>
                <w:szCs w:val="16"/>
                <w:lang w:eastAsia="zh-CN" w:bidi="th-TH"/>
              </w:rPr>
            </w:pPr>
            <w:r w:rsidRPr="000F58FD">
              <w:rPr>
                <w:rFonts w:eastAsia="Times New Roman" w:cs="Arial"/>
                <w:b/>
                <w:bCs/>
                <w:color w:val="FFFFFF"/>
                <w:sz w:val="16"/>
                <w:szCs w:val="16"/>
                <w:lang w:eastAsia="zh-CN" w:bidi="th-TH"/>
              </w:rPr>
              <w:t xml:space="preserve">Median total payment (yearly) </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3BE3A840" w14:textId="77777777" w:rsidR="003734E1" w:rsidRPr="000F58FD" w:rsidRDefault="003734E1" w:rsidP="0027120A">
            <w:pPr>
              <w:spacing w:after="0" w:line="240" w:lineRule="auto"/>
              <w:jc w:val="center"/>
              <w:rPr>
                <w:rFonts w:eastAsia="Times New Roman" w:cs="Arial"/>
                <w:b/>
                <w:bCs/>
                <w:color w:val="FFFFFF"/>
                <w:sz w:val="16"/>
                <w:szCs w:val="16"/>
                <w:lang w:eastAsia="zh-CN" w:bidi="th-TH"/>
              </w:rPr>
            </w:pPr>
            <w:r w:rsidRPr="000F58FD">
              <w:rPr>
                <w:rFonts w:eastAsia="Times New Roman" w:cs="Arial"/>
                <w:b/>
                <w:bCs/>
                <w:color w:val="FFFFFF"/>
                <w:sz w:val="16"/>
                <w:szCs w:val="16"/>
                <w:lang w:eastAsia="zh-CN" w:bidi="th-TH"/>
              </w:rPr>
              <w:t>% participants with outcome at baseline</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27BA769E" w14:textId="77777777" w:rsidR="003734E1" w:rsidRPr="000F58FD" w:rsidRDefault="003734E1" w:rsidP="0027120A">
            <w:pPr>
              <w:spacing w:after="0" w:line="240" w:lineRule="auto"/>
              <w:rPr>
                <w:rFonts w:eastAsia="Times New Roman" w:cs="Arial"/>
                <w:b/>
                <w:bCs/>
                <w:color w:val="FFFFFF"/>
                <w:sz w:val="16"/>
                <w:szCs w:val="16"/>
                <w:lang w:eastAsia="zh-CN" w:bidi="th-TH"/>
              </w:rPr>
            </w:pPr>
            <w:r w:rsidRPr="000F58FD">
              <w:rPr>
                <w:rFonts w:eastAsia="Times New Roman" w:cs="Arial"/>
                <w:b/>
                <w:bCs/>
                <w:color w:val="FFFFFF"/>
                <w:sz w:val="16"/>
                <w:szCs w:val="16"/>
                <w:lang w:eastAsia="zh-CN" w:bidi="th-TH"/>
              </w:rPr>
              <w:t>% participants with outcome at latest review</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37655D4C" w14:textId="77777777" w:rsidR="003734E1" w:rsidRPr="000F58FD" w:rsidRDefault="003734E1" w:rsidP="0027120A">
            <w:pPr>
              <w:spacing w:after="0" w:line="240" w:lineRule="auto"/>
              <w:rPr>
                <w:rFonts w:eastAsia="Times New Roman" w:cs="Arial"/>
                <w:b/>
                <w:bCs/>
                <w:color w:val="FFFFFF"/>
                <w:sz w:val="16"/>
                <w:szCs w:val="16"/>
                <w:lang w:eastAsia="zh-CN" w:bidi="th-TH"/>
              </w:rPr>
            </w:pPr>
            <w:r w:rsidRPr="000F58FD">
              <w:rPr>
                <w:rFonts w:eastAsia="Times New Roman" w:cs="Arial"/>
                <w:b/>
                <w:bCs/>
                <w:color w:val="FFFFFF"/>
                <w:sz w:val="16"/>
                <w:szCs w:val="16"/>
                <w:lang w:eastAsia="zh-CN" w:bidi="th-TH"/>
              </w:rPr>
              <w:t>Maintenance of 'yes' response: baseline to latest review</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46B8F48A" w14:textId="77777777" w:rsidR="003734E1" w:rsidRPr="000F58FD" w:rsidRDefault="003734E1" w:rsidP="0027120A">
            <w:pPr>
              <w:spacing w:after="0" w:line="240" w:lineRule="auto"/>
              <w:rPr>
                <w:rFonts w:eastAsia="Times New Roman" w:cs="Arial"/>
                <w:b/>
                <w:bCs/>
                <w:color w:val="FFFFFF"/>
                <w:sz w:val="16"/>
                <w:szCs w:val="16"/>
                <w:lang w:eastAsia="zh-CN" w:bidi="th-TH"/>
              </w:rPr>
            </w:pPr>
            <w:r w:rsidRPr="000F58FD">
              <w:rPr>
                <w:rFonts w:eastAsia="Times New Roman" w:cs="Arial"/>
                <w:b/>
                <w:bCs/>
                <w:color w:val="FFFFFF"/>
                <w:sz w:val="16"/>
                <w:szCs w:val="16"/>
                <w:lang w:eastAsia="zh-CN" w:bidi="th-TH"/>
              </w:rPr>
              <w:t>Improvement from 'no' response: baseline to latest review</w:t>
            </w:r>
          </w:p>
        </w:tc>
      </w:tr>
      <w:tr w:rsidR="003734E1" w:rsidRPr="000F58FD" w14:paraId="532BABB0"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11EDA84D" w14:textId="77777777" w:rsidR="003734E1" w:rsidRPr="000F58FD" w:rsidRDefault="003734E1" w:rsidP="0027120A">
            <w:pPr>
              <w:spacing w:after="0" w:line="240" w:lineRule="auto"/>
              <w:rPr>
                <w:rFonts w:eastAsia="Times New Roman" w:cs="Arial"/>
                <w:b/>
                <w:bCs/>
                <w:color w:val="000000"/>
                <w:sz w:val="16"/>
                <w:szCs w:val="16"/>
                <w:lang w:eastAsia="zh-CN" w:bidi="th-TH"/>
              </w:rPr>
            </w:pPr>
            <w:r w:rsidRPr="000F58FD">
              <w:rPr>
                <w:rFonts w:eastAsia="Times New Roman" w:cs="Arial"/>
                <w:b/>
                <w:bCs/>
                <w:color w:val="000000"/>
                <w:sz w:val="16"/>
                <w:szCs w:val="16"/>
                <w:lang w:eastAsia="zh-CN" w:bidi="th-TH"/>
              </w:rPr>
              <w:t>Autism</w:t>
            </w:r>
          </w:p>
        </w:tc>
        <w:tc>
          <w:tcPr>
            <w:tcW w:w="0" w:type="auto"/>
            <w:tcBorders>
              <w:top w:val="nil"/>
              <w:left w:val="nil"/>
              <w:bottom w:val="nil"/>
              <w:right w:val="single" w:sz="8" w:space="0" w:color="auto"/>
            </w:tcBorders>
            <w:shd w:val="clear" w:color="000000" w:fill="FFFFFF"/>
            <w:vAlign w:val="center"/>
            <w:hideMark/>
          </w:tcPr>
          <w:p w14:paraId="655E5362"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 xml:space="preserve">       16,597 </w:t>
            </w:r>
          </w:p>
        </w:tc>
        <w:tc>
          <w:tcPr>
            <w:tcW w:w="0" w:type="auto"/>
            <w:tcBorders>
              <w:top w:val="nil"/>
              <w:left w:val="nil"/>
              <w:bottom w:val="nil"/>
              <w:right w:val="single" w:sz="8" w:space="0" w:color="auto"/>
            </w:tcBorders>
            <w:shd w:val="clear" w:color="000000" w:fill="FFFFFF"/>
            <w:vAlign w:val="center"/>
            <w:hideMark/>
          </w:tcPr>
          <w:p w14:paraId="6EB1C664"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$8.0k</w:t>
            </w:r>
          </w:p>
        </w:tc>
        <w:tc>
          <w:tcPr>
            <w:tcW w:w="0" w:type="auto"/>
            <w:tcBorders>
              <w:top w:val="nil"/>
              <w:left w:val="nil"/>
              <w:bottom w:val="nil"/>
              <w:right w:val="single" w:sz="8" w:space="0" w:color="auto"/>
            </w:tcBorders>
            <w:shd w:val="clear" w:color="000000" w:fill="FFFFFF"/>
            <w:vAlign w:val="center"/>
            <w:hideMark/>
          </w:tcPr>
          <w:p w14:paraId="3514EAD5"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$21.2k</w:t>
            </w:r>
          </w:p>
        </w:tc>
        <w:tc>
          <w:tcPr>
            <w:tcW w:w="0" w:type="auto"/>
            <w:tcBorders>
              <w:top w:val="nil"/>
              <w:left w:val="nil"/>
              <w:bottom w:val="nil"/>
              <w:right w:val="single" w:sz="8" w:space="0" w:color="auto"/>
            </w:tcBorders>
            <w:shd w:val="clear" w:color="000000" w:fill="FFFFFF"/>
            <w:vAlign w:val="center"/>
            <w:hideMark/>
          </w:tcPr>
          <w:p w14:paraId="7E81B4A2"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43.8%</w:t>
            </w:r>
          </w:p>
        </w:tc>
        <w:tc>
          <w:tcPr>
            <w:tcW w:w="0" w:type="auto"/>
            <w:tcBorders>
              <w:top w:val="nil"/>
              <w:left w:val="nil"/>
              <w:bottom w:val="nil"/>
              <w:right w:val="single" w:sz="8" w:space="0" w:color="auto"/>
            </w:tcBorders>
            <w:shd w:val="clear" w:color="000000" w:fill="FFFFFF"/>
            <w:vAlign w:val="center"/>
            <w:hideMark/>
          </w:tcPr>
          <w:p w14:paraId="50FBA116"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45.8% (+2.0%)</w:t>
            </w:r>
          </w:p>
        </w:tc>
        <w:tc>
          <w:tcPr>
            <w:tcW w:w="0" w:type="auto"/>
            <w:tcBorders>
              <w:top w:val="nil"/>
              <w:left w:val="nil"/>
              <w:bottom w:val="nil"/>
              <w:right w:val="single" w:sz="8" w:space="0" w:color="auto"/>
            </w:tcBorders>
            <w:shd w:val="clear" w:color="000000" w:fill="F3FEFF"/>
            <w:vAlign w:val="center"/>
            <w:hideMark/>
          </w:tcPr>
          <w:p w14:paraId="605FBB1B"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88.4%</w:t>
            </w:r>
          </w:p>
        </w:tc>
        <w:tc>
          <w:tcPr>
            <w:tcW w:w="0" w:type="auto"/>
            <w:tcBorders>
              <w:top w:val="nil"/>
              <w:left w:val="nil"/>
              <w:bottom w:val="nil"/>
              <w:right w:val="single" w:sz="8" w:space="0" w:color="auto"/>
            </w:tcBorders>
            <w:shd w:val="clear" w:color="000000" w:fill="F3FEFF"/>
            <w:vAlign w:val="center"/>
            <w:hideMark/>
          </w:tcPr>
          <w:p w14:paraId="5399ED26"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14.2%</w:t>
            </w:r>
          </w:p>
        </w:tc>
      </w:tr>
      <w:tr w:rsidR="003734E1" w:rsidRPr="000F58FD" w14:paraId="2AC185C0"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4D665375" w14:textId="77777777" w:rsidR="003734E1" w:rsidRPr="000F58FD" w:rsidRDefault="003734E1" w:rsidP="0027120A">
            <w:pPr>
              <w:spacing w:after="0" w:line="240" w:lineRule="auto"/>
              <w:rPr>
                <w:rFonts w:eastAsia="Times New Roman" w:cs="Arial"/>
                <w:b/>
                <w:bCs/>
                <w:color w:val="000000"/>
                <w:sz w:val="16"/>
                <w:szCs w:val="16"/>
                <w:lang w:eastAsia="zh-CN" w:bidi="th-TH"/>
              </w:rPr>
            </w:pPr>
            <w:r w:rsidRPr="000F58FD">
              <w:rPr>
                <w:rFonts w:eastAsia="Times New Roman" w:cs="Arial"/>
                <w:b/>
                <w:bCs/>
                <w:color w:val="000000"/>
                <w:sz w:val="16"/>
                <w:szCs w:val="16"/>
                <w:lang w:eastAsia="zh-CN" w:bidi="th-TH"/>
              </w:rPr>
              <w:t>Intellectual Disability</w:t>
            </w:r>
          </w:p>
        </w:tc>
        <w:tc>
          <w:tcPr>
            <w:tcW w:w="0" w:type="auto"/>
            <w:tcBorders>
              <w:top w:val="nil"/>
              <w:left w:val="nil"/>
              <w:bottom w:val="nil"/>
              <w:right w:val="single" w:sz="8" w:space="0" w:color="auto"/>
            </w:tcBorders>
            <w:shd w:val="clear" w:color="000000" w:fill="FFFFFF"/>
            <w:vAlign w:val="center"/>
            <w:hideMark/>
          </w:tcPr>
          <w:p w14:paraId="699C8525"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 xml:space="preserve">       14,858 </w:t>
            </w:r>
          </w:p>
        </w:tc>
        <w:tc>
          <w:tcPr>
            <w:tcW w:w="0" w:type="auto"/>
            <w:tcBorders>
              <w:top w:val="nil"/>
              <w:left w:val="nil"/>
              <w:bottom w:val="nil"/>
              <w:right w:val="single" w:sz="8" w:space="0" w:color="auto"/>
            </w:tcBorders>
            <w:shd w:val="clear" w:color="000000" w:fill="FFFFFF"/>
            <w:vAlign w:val="center"/>
            <w:hideMark/>
          </w:tcPr>
          <w:p w14:paraId="34ACCDE2"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$8.9k</w:t>
            </w:r>
          </w:p>
        </w:tc>
        <w:tc>
          <w:tcPr>
            <w:tcW w:w="0" w:type="auto"/>
            <w:tcBorders>
              <w:top w:val="nil"/>
              <w:left w:val="nil"/>
              <w:bottom w:val="nil"/>
              <w:right w:val="single" w:sz="8" w:space="0" w:color="auto"/>
            </w:tcBorders>
            <w:shd w:val="clear" w:color="000000" w:fill="FFFFFF"/>
            <w:vAlign w:val="center"/>
            <w:hideMark/>
          </w:tcPr>
          <w:p w14:paraId="64633117"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$30.6k</w:t>
            </w:r>
          </w:p>
        </w:tc>
        <w:tc>
          <w:tcPr>
            <w:tcW w:w="0" w:type="auto"/>
            <w:tcBorders>
              <w:top w:val="nil"/>
              <w:left w:val="nil"/>
              <w:bottom w:val="nil"/>
              <w:right w:val="single" w:sz="8" w:space="0" w:color="auto"/>
            </w:tcBorders>
            <w:shd w:val="clear" w:color="000000" w:fill="FFFFFF"/>
            <w:vAlign w:val="center"/>
            <w:hideMark/>
          </w:tcPr>
          <w:p w14:paraId="4C5F1EF7"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39.5%</w:t>
            </w:r>
          </w:p>
        </w:tc>
        <w:tc>
          <w:tcPr>
            <w:tcW w:w="0" w:type="auto"/>
            <w:tcBorders>
              <w:top w:val="nil"/>
              <w:left w:val="nil"/>
              <w:bottom w:val="nil"/>
              <w:right w:val="single" w:sz="8" w:space="0" w:color="auto"/>
            </w:tcBorders>
            <w:shd w:val="clear" w:color="000000" w:fill="FFFFFF"/>
            <w:vAlign w:val="center"/>
            <w:hideMark/>
          </w:tcPr>
          <w:p w14:paraId="7833BAE0"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40.4% (+0.9%)</w:t>
            </w:r>
          </w:p>
        </w:tc>
        <w:tc>
          <w:tcPr>
            <w:tcW w:w="0" w:type="auto"/>
            <w:tcBorders>
              <w:top w:val="single" w:sz="8" w:space="0" w:color="auto"/>
              <w:left w:val="nil"/>
              <w:bottom w:val="nil"/>
              <w:right w:val="single" w:sz="8" w:space="0" w:color="auto"/>
            </w:tcBorders>
            <w:shd w:val="clear" w:color="000000" w:fill="F3FEFF"/>
            <w:vAlign w:val="center"/>
            <w:hideMark/>
          </w:tcPr>
          <w:p w14:paraId="739518B6"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85.6%</w:t>
            </w:r>
          </w:p>
        </w:tc>
        <w:tc>
          <w:tcPr>
            <w:tcW w:w="0" w:type="auto"/>
            <w:tcBorders>
              <w:top w:val="single" w:sz="8" w:space="0" w:color="auto"/>
              <w:left w:val="nil"/>
              <w:bottom w:val="nil"/>
              <w:right w:val="single" w:sz="8" w:space="0" w:color="auto"/>
            </w:tcBorders>
            <w:shd w:val="clear" w:color="000000" w:fill="F3FEFF"/>
            <w:vAlign w:val="center"/>
            <w:hideMark/>
          </w:tcPr>
          <w:p w14:paraId="39E1E957"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12.9%</w:t>
            </w:r>
          </w:p>
        </w:tc>
      </w:tr>
      <w:tr w:rsidR="003734E1" w:rsidRPr="000F58FD" w14:paraId="07B783A3" w14:textId="77777777" w:rsidTr="0027120A">
        <w:trPr>
          <w:trHeight w:val="330"/>
        </w:trPr>
        <w:tc>
          <w:tcPr>
            <w:tcW w:w="0" w:type="auto"/>
            <w:tcBorders>
              <w:top w:val="nil"/>
              <w:left w:val="single" w:sz="8" w:space="0" w:color="auto"/>
              <w:bottom w:val="nil"/>
              <w:right w:val="single" w:sz="8" w:space="0" w:color="auto"/>
            </w:tcBorders>
            <w:shd w:val="clear" w:color="000000" w:fill="FFFFFF"/>
            <w:vAlign w:val="center"/>
            <w:hideMark/>
          </w:tcPr>
          <w:p w14:paraId="5D34D3BD" w14:textId="77777777" w:rsidR="003734E1" w:rsidRPr="000F58FD" w:rsidRDefault="003734E1" w:rsidP="0027120A">
            <w:pPr>
              <w:spacing w:after="0" w:line="240" w:lineRule="auto"/>
              <w:rPr>
                <w:rFonts w:eastAsia="Times New Roman" w:cs="Arial"/>
                <w:b/>
                <w:bCs/>
                <w:color w:val="000000"/>
                <w:sz w:val="16"/>
                <w:szCs w:val="16"/>
                <w:lang w:eastAsia="zh-CN" w:bidi="th-TH"/>
              </w:rPr>
            </w:pPr>
            <w:r w:rsidRPr="000F58FD">
              <w:rPr>
                <w:rFonts w:eastAsia="Times New Roman" w:cs="Arial"/>
                <w:b/>
                <w:bCs/>
                <w:color w:val="000000"/>
                <w:sz w:val="16"/>
                <w:szCs w:val="16"/>
                <w:lang w:eastAsia="zh-CN" w:bidi="th-TH"/>
              </w:rPr>
              <w:t>Psychosocial disability</w:t>
            </w:r>
          </w:p>
        </w:tc>
        <w:tc>
          <w:tcPr>
            <w:tcW w:w="0" w:type="auto"/>
            <w:tcBorders>
              <w:top w:val="nil"/>
              <w:left w:val="nil"/>
              <w:bottom w:val="nil"/>
              <w:right w:val="single" w:sz="8" w:space="0" w:color="auto"/>
            </w:tcBorders>
            <w:shd w:val="clear" w:color="000000" w:fill="FFFFFF"/>
            <w:vAlign w:val="center"/>
            <w:hideMark/>
          </w:tcPr>
          <w:p w14:paraId="4EABF451"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 xml:space="preserve">         1,875 </w:t>
            </w:r>
          </w:p>
        </w:tc>
        <w:tc>
          <w:tcPr>
            <w:tcW w:w="0" w:type="auto"/>
            <w:tcBorders>
              <w:top w:val="nil"/>
              <w:left w:val="nil"/>
              <w:bottom w:val="nil"/>
              <w:right w:val="single" w:sz="8" w:space="0" w:color="auto"/>
            </w:tcBorders>
            <w:shd w:val="clear" w:color="000000" w:fill="FFFFFF"/>
            <w:vAlign w:val="center"/>
            <w:hideMark/>
          </w:tcPr>
          <w:p w14:paraId="35C8AE87"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$8.8k</w:t>
            </w:r>
          </w:p>
        </w:tc>
        <w:tc>
          <w:tcPr>
            <w:tcW w:w="0" w:type="auto"/>
            <w:tcBorders>
              <w:top w:val="nil"/>
              <w:left w:val="nil"/>
              <w:bottom w:val="nil"/>
              <w:right w:val="single" w:sz="8" w:space="0" w:color="auto"/>
            </w:tcBorders>
            <w:shd w:val="clear" w:color="000000" w:fill="FFFFFF"/>
            <w:vAlign w:val="center"/>
            <w:hideMark/>
          </w:tcPr>
          <w:p w14:paraId="6EDC487B"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$21.1k</w:t>
            </w:r>
          </w:p>
        </w:tc>
        <w:tc>
          <w:tcPr>
            <w:tcW w:w="0" w:type="auto"/>
            <w:tcBorders>
              <w:top w:val="nil"/>
              <w:left w:val="nil"/>
              <w:bottom w:val="nil"/>
              <w:right w:val="single" w:sz="8" w:space="0" w:color="auto"/>
            </w:tcBorders>
            <w:shd w:val="clear" w:color="000000" w:fill="FFFFFF"/>
            <w:vAlign w:val="center"/>
            <w:hideMark/>
          </w:tcPr>
          <w:p w14:paraId="13D595EA"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62.8%</w:t>
            </w:r>
          </w:p>
        </w:tc>
        <w:tc>
          <w:tcPr>
            <w:tcW w:w="0" w:type="auto"/>
            <w:tcBorders>
              <w:top w:val="nil"/>
              <w:left w:val="nil"/>
              <w:bottom w:val="nil"/>
              <w:right w:val="single" w:sz="8" w:space="0" w:color="auto"/>
            </w:tcBorders>
            <w:shd w:val="clear" w:color="000000" w:fill="FFFFFF"/>
            <w:vAlign w:val="center"/>
            <w:hideMark/>
          </w:tcPr>
          <w:p w14:paraId="03E4F5F9"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62.4% (-0.4%)</w:t>
            </w:r>
          </w:p>
        </w:tc>
        <w:tc>
          <w:tcPr>
            <w:tcW w:w="0" w:type="auto"/>
            <w:tcBorders>
              <w:top w:val="single" w:sz="8" w:space="0" w:color="auto"/>
              <w:left w:val="nil"/>
              <w:bottom w:val="nil"/>
              <w:right w:val="single" w:sz="8" w:space="0" w:color="auto"/>
            </w:tcBorders>
            <w:shd w:val="clear" w:color="000000" w:fill="F3FEFF"/>
            <w:vAlign w:val="center"/>
            <w:hideMark/>
          </w:tcPr>
          <w:p w14:paraId="01BCFB45"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90.2%</w:t>
            </w:r>
          </w:p>
        </w:tc>
        <w:tc>
          <w:tcPr>
            <w:tcW w:w="0" w:type="auto"/>
            <w:tcBorders>
              <w:top w:val="single" w:sz="8" w:space="0" w:color="auto"/>
              <w:left w:val="nil"/>
              <w:bottom w:val="nil"/>
              <w:right w:val="single" w:sz="8" w:space="0" w:color="auto"/>
            </w:tcBorders>
            <w:shd w:val="clear" w:color="000000" w:fill="F3FEFF"/>
            <w:vAlign w:val="center"/>
            <w:hideMark/>
          </w:tcPr>
          <w:p w14:paraId="4A00472E"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20.9%</w:t>
            </w:r>
          </w:p>
        </w:tc>
      </w:tr>
      <w:tr w:rsidR="003734E1" w:rsidRPr="000F58FD" w14:paraId="0ACAB0FA"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2641B91E" w14:textId="77777777" w:rsidR="003734E1" w:rsidRPr="000F58FD" w:rsidRDefault="003734E1" w:rsidP="0027120A">
            <w:pPr>
              <w:spacing w:after="0" w:line="240" w:lineRule="auto"/>
              <w:rPr>
                <w:rFonts w:eastAsia="Times New Roman" w:cs="Arial"/>
                <w:b/>
                <w:bCs/>
                <w:color w:val="000000"/>
                <w:sz w:val="16"/>
                <w:szCs w:val="16"/>
                <w:lang w:eastAsia="zh-CN" w:bidi="th-TH"/>
              </w:rPr>
            </w:pPr>
            <w:r w:rsidRPr="000F58FD">
              <w:rPr>
                <w:rFonts w:eastAsia="Times New Roman" w:cs="Arial"/>
                <w:b/>
                <w:bCs/>
                <w:color w:val="000000"/>
                <w:sz w:val="16"/>
                <w:szCs w:val="16"/>
                <w:lang w:eastAsia="zh-CN" w:bidi="th-TH"/>
              </w:rPr>
              <w:t>Sensory disability</w:t>
            </w:r>
          </w:p>
        </w:tc>
        <w:tc>
          <w:tcPr>
            <w:tcW w:w="0" w:type="auto"/>
            <w:tcBorders>
              <w:top w:val="nil"/>
              <w:left w:val="nil"/>
              <w:bottom w:val="nil"/>
              <w:right w:val="single" w:sz="8" w:space="0" w:color="auto"/>
            </w:tcBorders>
            <w:shd w:val="clear" w:color="000000" w:fill="FFFFFF"/>
            <w:vAlign w:val="center"/>
            <w:hideMark/>
          </w:tcPr>
          <w:p w14:paraId="42677084"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 xml:space="preserve">         2,922 </w:t>
            </w:r>
          </w:p>
        </w:tc>
        <w:tc>
          <w:tcPr>
            <w:tcW w:w="0" w:type="auto"/>
            <w:tcBorders>
              <w:top w:val="nil"/>
              <w:left w:val="nil"/>
              <w:bottom w:val="nil"/>
              <w:right w:val="single" w:sz="8" w:space="0" w:color="auto"/>
            </w:tcBorders>
            <w:shd w:val="clear" w:color="000000" w:fill="FFFFFF"/>
            <w:vAlign w:val="center"/>
            <w:hideMark/>
          </w:tcPr>
          <w:p w14:paraId="15544FC6"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$3.5k</w:t>
            </w:r>
          </w:p>
        </w:tc>
        <w:tc>
          <w:tcPr>
            <w:tcW w:w="0" w:type="auto"/>
            <w:tcBorders>
              <w:top w:val="nil"/>
              <w:left w:val="nil"/>
              <w:bottom w:val="nil"/>
              <w:right w:val="single" w:sz="8" w:space="0" w:color="auto"/>
            </w:tcBorders>
            <w:shd w:val="clear" w:color="000000" w:fill="FFFFFF"/>
            <w:vAlign w:val="center"/>
            <w:hideMark/>
          </w:tcPr>
          <w:p w14:paraId="5E850DE8"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$6.2k</w:t>
            </w:r>
          </w:p>
        </w:tc>
        <w:tc>
          <w:tcPr>
            <w:tcW w:w="0" w:type="auto"/>
            <w:tcBorders>
              <w:top w:val="nil"/>
              <w:left w:val="nil"/>
              <w:bottom w:val="nil"/>
              <w:right w:val="single" w:sz="8" w:space="0" w:color="auto"/>
            </w:tcBorders>
            <w:shd w:val="clear" w:color="000000" w:fill="FFFFFF"/>
            <w:vAlign w:val="center"/>
            <w:hideMark/>
          </w:tcPr>
          <w:p w14:paraId="31737937"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79.1%</w:t>
            </w:r>
          </w:p>
        </w:tc>
        <w:tc>
          <w:tcPr>
            <w:tcW w:w="0" w:type="auto"/>
            <w:tcBorders>
              <w:top w:val="nil"/>
              <w:left w:val="nil"/>
              <w:bottom w:val="nil"/>
              <w:right w:val="single" w:sz="8" w:space="0" w:color="auto"/>
            </w:tcBorders>
            <w:shd w:val="clear" w:color="000000" w:fill="FFFFFF"/>
            <w:vAlign w:val="center"/>
            <w:hideMark/>
          </w:tcPr>
          <w:p w14:paraId="35FDF717"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83.5% (+4.4%)</w:t>
            </w:r>
          </w:p>
        </w:tc>
        <w:tc>
          <w:tcPr>
            <w:tcW w:w="0" w:type="auto"/>
            <w:tcBorders>
              <w:top w:val="single" w:sz="8" w:space="0" w:color="auto"/>
              <w:left w:val="nil"/>
              <w:bottom w:val="nil"/>
              <w:right w:val="single" w:sz="8" w:space="0" w:color="auto"/>
            </w:tcBorders>
            <w:shd w:val="clear" w:color="000000" w:fill="F3FEFF"/>
            <w:vAlign w:val="center"/>
            <w:hideMark/>
          </w:tcPr>
          <w:p w14:paraId="6AFD0B77"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97.6%</w:t>
            </w:r>
          </w:p>
        </w:tc>
        <w:tc>
          <w:tcPr>
            <w:tcW w:w="0" w:type="auto"/>
            <w:tcBorders>
              <w:top w:val="single" w:sz="8" w:space="0" w:color="auto"/>
              <w:left w:val="nil"/>
              <w:bottom w:val="nil"/>
              <w:right w:val="single" w:sz="8" w:space="0" w:color="auto"/>
            </w:tcBorders>
            <w:shd w:val="clear" w:color="000000" w:fill="F3FEFF"/>
            <w:vAlign w:val="center"/>
            <w:hideMark/>
          </w:tcPr>
          <w:p w14:paraId="08ADB378"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30.9%</w:t>
            </w:r>
          </w:p>
        </w:tc>
      </w:tr>
      <w:tr w:rsidR="003734E1" w:rsidRPr="000F58FD" w14:paraId="31B87282"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1CF42B02" w14:textId="77777777" w:rsidR="003734E1" w:rsidRPr="000F58FD" w:rsidRDefault="003734E1" w:rsidP="0027120A">
            <w:pPr>
              <w:spacing w:after="0" w:line="240" w:lineRule="auto"/>
              <w:rPr>
                <w:rFonts w:eastAsia="Times New Roman" w:cs="Arial"/>
                <w:b/>
                <w:bCs/>
                <w:color w:val="000000"/>
                <w:sz w:val="16"/>
                <w:szCs w:val="16"/>
                <w:lang w:eastAsia="zh-CN" w:bidi="th-TH"/>
              </w:rPr>
            </w:pPr>
            <w:r w:rsidRPr="000F58FD">
              <w:rPr>
                <w:rFonts w:eastAsia="Times New Roman" w:cs="Arial"/>
                <w:b/>
                <w:bCs/>
                <w:color w:val="000000"/>
                <w:sz w:val="16"/>
                <w:szCs w:val="16"/>
                <w:lang w:eastAsia="zh-CN" w:bidi="th-TH"/>
              </w:rPr>
              <w:t>Other</w:t>
            </w:r>
          </w:p>
        </w:tc>
        <w:tc>
          <w:tcPr>
            <w:tcW w:w="0" w:type="auto"/>
            <w:tcBorders>
              <w:top w:val="nil"/>
              <w:left w:val="nil"/>
              <w:bottom w:val="nil"/>
              <w:right w:val="single" w:sz="8" w:space="0" w:color="auto"/>
            </w:tcBorders>
            <w:shd w:val="clear" w:color="000000" w:fill="FFFFFF"/>
            <w:vAlign w:val="center"/>
            <w:hideMark/>
          </w:tcPr>
          <w:p w14:paraId="5E22AA71"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 xml:space="preserve">         6,851 </w:t>
            </w:r>
          </w:p>
        </w:tc>
        <w:tc>
          <w:tcPr>
            <w:tcW w:w="0" w:type="auto"/>
            <w:tcBorders>
              <w:top w:val="nil"/>
              <w:left w:val="nil"/>
              <w:bottom w:val="nil"/>
              <w:right w:val="single" w:sz="8" w:space="0" w:color="auto"/>
            </w:tcBorders>
            <w:shd w:val="clear" w:color="000000" w:fill="FFFFFF"/>
            <w:vAlign w:val="center"/>
            <w:hideMark/>
          </w:tcPr>
          <w:p w14:paraId="72F18C29"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$8.5k</w:t>
            </w:r>
          </w:p>
        </w:tc>
        <w:tc>
          <w:tcPr>
            <w:tcW w:w="0" w:type="auto"/>
            <w:tcBorders>
              <w:top w:val="nil"/>
              <w:left w:val="nil"/>
              <w:bottom w:val="nil"/>
              <w:right w:val="single" w:sz="8" w:space="0" w:color="auto"/>
            </w:tcBorders>
            <w:shd w:val="clear" w:color="000000" w:fill="FFFFFF"/>
            <w:vAlign w:val="center"/>
            <w:hideMark/>
          </w:tcPr>
          <w:p w14:paraId="379AFC4D"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$43.8k</w:t>
            </w:r>
          </w:p>
        </w:tc>
        <w:tc>
          <w:tcPr>
            <w:tcW w:w="0" w:type="auto"/>
            <w:tcBorders>
              <w:top w:val="nil"/>
              <w:left w:val="nil"/>
              <w:bottom w:val="nil"/>
              <w:right w:val="single" w:sz="8" w:space="0" w:color="auto"/>
            </w:tcBorders>
            <w:shd w:val="clear" w:color="000000" w:fill="FFFFFF"/>
            <w:vAlign w:val="center"/>
            <w:hideMark/>
          </w:tcPr>
          <w:p w14:paraId="4FCDF61B"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43.2%</w:t>
            </w:r>
          </w:p>
        </w:tc>
        <w:tc>
          <w:tcPr>
            <w:tcW w:w="0" w:type="auto"/>
            <w:tcBorders>
              <w:top w:val="nil"/>
              <w:left w:val="nil"/>
              <w:bottom w:val="nil"/>
              <w:right w:val="single" w:sz="8" w:space="0" w:color="auto"/>
            </w:tcBorders>
            <w:shd w:val="clear" w:color="000000" w:fill="FFFFFF"/>
            <w:vAlign w:val="center"/>
            <w:hideMark/>
          </w:tcPr>
          <w:p w14:paraId="2B67455F"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44.2% (+1.0%)</w:t>
            </w:r>
          </w:p>
        </w:tc>
        <w:tc>
          <w:tcPr>
            <w:tcW w:w="0" w:type="auto"/>
            <w:tcBorders>
              <w:top w:val="single" w:sz="8" w:space="0" w:color="auto"/>
              <w:left w:val="nil"/>
              <w:bottom w:val="nil"/>
              <w:right w:val="single" w:sz="8" w:space="0" w:color="auto"/>
            </w:tcBorders>
            <w:shd w:val="clear" w:color="000000" w:fill="F3FEFF"/>
            <w:vAlign w:val="center"/>
            <w:hideMark/>
          </w:tcPr>
          <w:p w14:paraId="33DD2601"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89.2%</w:t>
            </w:r>
          </w:p>
        </w:tc>
        <w:tc>
          <w:tcPr>
            <w:tcW w:w="0" w:type="auto"/>
            <w:tcBorders>
              <w:top w:val="single" w:sz="8" w:space="0" w:color="auto"/>
              <w:left w:val="nil"/>
              <w:bottom w:val="nil"/>
              <w:right w:val="single" w:sz="8" w:space="0" w:color="auto"/>
            </w:tcBorders>
            <w:shd w:val="clear" w:color="000000" w:fill="F3FEFF"/>
            <w:vAlign w:val="center"/>
            <w:hideMark/>
          </w:tcPr>
          <w:p w14:paraId="4607BBB2" w14:textId="77777777" w:rsidR="003734E1" w:rsidRPr="000F58FD" w:rsidRDefault="003734E1" w:rsidP="0027120A">
            <w:pPr>
              <w:spacing w:after="0" w:line="240" w:lineRule="auto"/>
              <w:jc w:val="center"/>
              <w:rPr>
                <w:rFonts w:eastAsia="Times New Roman" w:cs="Arial"/>
                <w:color w:val="000000"/>
                <w:sz w:val="16"/>
                <w:szCs w:val="16"/>
                <w:lang w:eastAsia="zh-CN" w:bidi="th-TH"/>
              </w:rPr>
            </w:pPr>
            <w:r w:rsidRPr="000F58FD">
              <w:rPr>
                <w:rFonts w:eastAsia="Times New Roman" w:cs="Arial"/>
                <w:color w:val="000000"/>
                <w:sz w:val="16"/>
                <w:szCs w:val="16"/>
                <w:lang w:eastAsia="zh-CN" w:bidi="th-TH"/>
              </w:rPr>
              <w:t>12.3%</w:t>
            </w:r>
          </w:p>
        </w:tc>
      </w:tr>
      <w:tr w:rsidR="003734E1" w:rsidRPr="000F58FD" w14:paraId="4D80110C" w14:textId="77777777" w:rsidTr="0027120A">
        <w:trPr>
          <w:trHeight w:val="315"/>
        </w:trPr>
        <w:tc>
          <w:tcPr>
            <w:tcW w:w="0" w:type="auto"/>
            <w:tcBorders>
              <w:top w:val="single" w:sz="8" w:space="0" w:color="auto"/>
              <w:left w:val="single" w:sz="8" w:space="0" w:color="auto"/>
              <w:bottom w:val="single" w:sz="8" w:space="0" w:color="auto"/>
              <w:right w:val="single" w:sz="8" w:space="0" w:color="auto"/>
            </w:tcBorders>
            <w:shd w:val="clear" w:color="000000" w:fill="F2F2F2"/>
            <w:vAlign w:val="center"/>
            <w:hideMark/>
          </w:tcPr>
          <w:p w14:paraId="0C0DACB6" w14:textId="77777777" w:rsidR="003734E1" w:rsidRPr="00F830E6" w:rsidRDefault="003734E1" w:rsidP="0027120A">
            <w:pPr>
              <w:spacing w:after="0" w:line="240" w:lineRule="auto"/>
              <w:rPr>
                <w:rFonts w:eastAsia="Times New Roman" w:cs="Arial"/>
                <w:b/>
                <w:bCs/>
                <w:color w:val="007985"/>
                <w:sz w:val="16"/>
                <w:szCs w:val="16"/>
                <w:lang w:eastAsia="zh-CN" w:bidi="th-TH"/>
              </w:rPr>
            </w:pPr>
            <w:r w:rsidRPr="00F830E6">
              <w:rPr>
                <w:rFonts w:eastAsia="Times New Roman" w:cs="Arial"/>
                <w:b/>
                <w:bCs/>
                <w:color w:val="007985"/>
                <w:sz w:val="16"/>
                <w:szCs w:val="16"/>
                <w:lang w:eastAsia="zh-CN" w:bidi="th-TH"/>
              </w:rPr>
              <w:t>Total</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03A78089" w14:textId="77777777" w:rsidR="003734E1" w:rsidRPr="000F58FD" w:rsidRDefault="003734E1" w:rsidP="0027120A">
            <w:pPr>
              <w:spacing w:after="0" w:line="240" w:lineRule="auto"/>
              <w:jc w:val="center"/>
              <w:rPr>
                <w:rFonts w:eastAsia="Times New Roman" w:cs="Arial"/>
                <w:b/>
                <w:bCs/>
                <w:color w:val="000000"/>
                <w:sz w:val="16"/>
                <w:szCs w:val="16"/>
                <w:lang w:eastAsia="zh-CN" w:bidi="th-TH"/>
              </w:rPr>
            </w:pPr>
            <w:r w:rsidRPr="000F58FD">
              <w:rPr>
                <w:rFonts w:eastAsia="Times New Roman" w:cs="Arial"/>
                <w:b/>
                <w:bCs/>
                <w:color w:val="000000"/>
                <w:sz w:val="16"/>
                <w:szCs w:val="16"/>
                <w:lang w:eastAsia="zh-CN" w:bidi="th-TH"/>
              </w:rPr>
              <w:t xml:space="preserve">       43,103 </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4BFAC702" w14:textId="77777777" w:rsidR="003734E1" w:rsidRPr="000F58FD" w:rsidRDefault="003734E1" w:rsidP="0027120A">
            <w:pPr>
              <w:spacing w:after="0" w:line="240" w:lineRule="auto"/>
              <w:jc w:val="center"/>
              <w:rPr>
                <w:rFonts w:eastAsia="Times New Roman" w:cs="Arial"/>
                <w:b/>
                <w:bCs/>
                <w:color w:val="000000"/>
                <w:sz w:val="16"/>
                <w:szCs w:val="16"/>
                <w:lang w:eastAsia="zh-CN" w:bidi="th-TH"/>
              </w:rPr>
            </w:pPr>
            <w:r w:rsidRPr="000F58FD">
              <w:rPr>
                <w:rFonts w:eastAsia="Times New Roman" w:cs="Arial"/>
                <w:b/>
                <w:bCs/>
                <w:color w:val="000000"/>
                <w:sz w:val="16"/>
                <w:szCs w:val="16"/>
                <w:lang w:eastAsia="zh-CN" w:bidi="th-TH"/>
              </w:rPr>
              <w:t>$8.2k</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6EB17D40" w14:textId="77777777" w:rsidR="003734E1" w:rsidRPr="000F58FD" w:rsidRDefault="003734E1" w:rsidP="0027120A">
            <w:pPr>
              <w:spacing w:after="0" w:line="240" w:lineRule="auto"/>
              <w:jc w:val="center"/>
              <w:rPr>
                <w:rFonts w:eastAsia="Times New Roman" w:cs="Arial"/>
                <w:b/>
                <w:bCs/>
                <w:color w:val="000000"/>
                <w:sz w:val="16"/>
                <w:szCs w:val="16"/>
                <w:lang w:eastAsia="zh-CN" w:bidi="th-TH"/>
              </w:rPr>
            </w:pPr>
            <w:r w:rsidRPr="000F58FD">
              <w:rPr>
                <w:rFonts w:eastAsia="Times New Roman" w:cs="Arial"/>
                <w:b/>
                <w:bCs/>
                <w:color w:val="000000"/>
                <w:sz w:val="16"/>
                <w:szCs w:val="16"/>
                <w:lang w:eastAsia="zh-CN" w:bidi="th-TH"/>
              </w:rPr>
              <w:t>$26.0k</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2A1F052D" w14:textId="77777777" w:rsidR="003734E1" w:rsidRPr="000F58FD" w:rsidRDefault="003734E1" w:rsidP="0027120A">
            <w:pPr>
              <w:spacing w:after="0" w:line="240" w:lineRule="auto"/>
              <w:jc w:val="center"/>
              <w:rPr>
                <w:rFonts w:eastAsia="Times New Roman" w:cs="Arial"/>
                <w:b/>
                <w:bCs/>
                <w:color w:val="000000"/>
                <w:sz w:val="16"/>
                <w:szCs w:val="16"/>
                <w:lang w:eastAsia="zh-CN" w:bidi="th-TH"/>
              </w:rPr>
            </w:pPr>
            <w:r w:rsidRPr="000F58FD">
              <w:rPr>
                <w:rFonts w:eastAsia="Times New Roman" w:cs="Arial"/>
                <w:b/>
                <w:bCs/>
                <w:color w:val="000000"/>
                <w:sz w:val="16"/>
                <w:szCs w:val="16"/>
                <w:lang w:eastAsia="zh-CN" w:bidi="th-TH"/>
              </w:rPr>
              <w:t>45.4%</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03164BD2" w14:textId="77777777" w:rsidR="003734E1" w:rsidRPr="000F58FD" w:rsidRDefault="003734E1" w:rsidP="0027120A">
            <w:pPr>
              <w:spacing w:after="0" w:line="240" w:lineRule="auto"/>
              <w:jc w:val="center"/>
              <w:rPr>
                <w:rFonts w:eastAsia="Times New Roman" w:cs="Arial"/>
                <w:b/>
                <w:bCs/>
                <w:color w:val="000000"/>
                <w:sz w:val="16"/>
                <w:szCs w:val="16"/>
                <w:lang w:eastAsia="zh-CN" w:bidi="th-TH"/>
              </w:rPr>
            </w:pPr>
            <w:r w:rsidRPr="000F58FD">
              <w:rPr>
                <w:rFonts w:eastAsia="Times New Roman" w:cs="Arial"/>
                <w:b/>
                <w:bCs/>
                <w:color w:val="000000"/>
                <w:sz w:val="16"/>
                <w:szCs w:val="16"/>
                <w:lang w:eastAsia="zh-CN" w:bidi="th-TH"/>
              </w:rPr>
              <w:t>46.9% (+1.5%)</w:t>
            </w:r>
          </w:p>
        </w:tc>
        <w:tc>
          <w:tcPr>
            <w:tcW w:w="0" w:type="auto"/>
            <w:tcBorders>
              <w:top w:val="single" w:sz="8" w:space="0" w:color="auto"/>
              <w:left w:val="nil"/>
              <w:bottom w:val="single" w:sz="8" w:space="0" w:color="auto"/>
              <w:right w:val="single" w:sz="8" w:space="0" w:color="auto"/>
            </w:tcBorders>
            <w:shd w:val="clear" w:color="000000" w:fill="F3FEFF"/>
            <w:vAlign w:val="center"/>
            <w:hideMark/>
          </w:tcPr>
          <w:p w14:paraId="09675ACF" w14:textId="77777777" w:rsidR="003734E1" w:rsidRPr="000F58FD" w:rsidRDefault="003734E1" w:rsidP="0027120A">
            <w:pPr>
              <w:spacing w:after="0" w:line="240" w:lineRule="auto"/>
              <w:jc w:val="center"/>
              <w:rPr>
                <w:rFonts w:eastAsia="Times New Roman" w:cs="Arial"/>
                <w:b/>
                <w:bCs/>
                <w:color w:val="000000"/>
                <w:sz w:val="16"/>
                <w:szCs w:val="16"/>
                <w:lang w:eastAsia="zh-CN" w:bidi="th-TH"/>
              </w:rPr>
            </w:pPr>
            <w:r w:rsidRPr="000F58FD">
              <w:rPr>
                <w:rFonts w:eastAsia="Times New Roman" w:cs="Arial"/>
                <w:b/>
                <w:bCs/>
                <w:color w:val="000000"/>
                <w:sz w:val="16"/>
                <w:szCs w:val="16"/>
                <w:lang w:eastAsia="zh-CN" w:bidi="th-TH"/>
              </w:rPr>
              <w:t>88.9%</w:t>
            </w:r>
          </w:p>
        </w:tc>
        <w:tc>
          <w:tcPr>
            <w:tcW w:w="0" w:type="auto"/>
            <w:tcBorders>
              <w:top w:val="single" w:sz="8" w:space="0" w:color="auto"/>
              <w:left w:val="nil"/>
              <w:bottom w:val="single" w:sz="8" w:space="0" w:color="auto"/>
              <w:right w:val="single" w:sz="8" w:space="0" w:color="auto"/>
            </w:tcBorders>
            <w:shd w:val="clear" w:color="000000" w:fill="F3FEFF"/>
            <w:vAlign w:val="center"/>
            <w:hideMark/>
          </w:tcPr>
          <w:p w14:paraId="5D136E6C" w14:textId="77777777" w:rsidR="003734E1" w:rsidRPr="000F58FD" w:rsidRDefault="003734E1" w:rsidP="0027120A">
            <w:pPr>
              <w:spacing w:after="0" w:line="240" w:lineRule="auto"/>
              <w:jc w:val="center"/>
              <w:rPr>
                <w:rFonts w:eastAsia="Times New Roman" w:cs="Arial"/>
                <w:b/>
                <w:bCs/>
                <w:color w:val="000000"/>
                <w:sz w:val="16"/>
                <w:szCs w:val="16"/>
                <w:lang w:eastAsia="zh-CN" w:bidi="th-TH"/>
              </w:rPr>
            </w:pPr>
            <w:r w:rsidRPr="000F58FD">
              <w:rPr>
                <w:rFonts w:eastAsia="Times New Roman" w:cs="Arial"/>
                <w:b/>
                <w:bCs/>
                <w:color w:val="000000"/>
                <w:sz w:val="16"/>
                <w:szCs w:val="16"/>
                <w:lang w:eastAsia="zh-CN" w:bidi="th-TH"/>
              </w:rPr>
              <w:t>14.0%</w:t>
            </w:r>
          </w:p>
        </w:tc>
      </w:tr>
    </w:tbl>
    <w:p w14:paraId="451AD286" w14:textId="77777777" w:rsidR="003734E1" w:rsidRPr="00DA3F73" w:rsidRDefault="003734E1" w:rsidP="00DA3F73">
      <w:pPr>
        <w:pStyle w:val="FSRHeading6"/>
      </w:pPr>
      <w:r w:rsidRPr="006D3A4D">
        <w:t>NDIS helped with daily living</w:t>
      </w:r>
    </w:p>
    <w:p w14:paraId="310B3E5D" w14:textId="77777777" w:rsidR="003734E1" w:rsidRDefault="003734E1" w:rsidP="003734E1">
      <w:pPr>
        <w:pStyle w:val="FSRnormal"/>
      </w:pPr>
      <w:r>
        <w:t xml:space="preserve">Outcomes shown in </w:t>
      </w:r>
      <w:r w:rsidR="00B175B3" w:rsidRPr="00B175B3">
        <w:t>Table K.</w:t>
      </w:r>
      <w:r w:rsidR="00B175B3" w:rsidRPr="00B175B3">
        <w:rPr>
          <w:noProof/>
        </w:rPr>
        <w:t>3</w:t>
      </w:r>
      <w:r w:rsidR="00B175B3" w:rsidRPr="00B175B3">
        <w:rPr>
          <w:i/>
          <w:iCs/>
        </w:rPr>
        <w:t xml:space="preserve">, </w:t>
      </w:r>
      <w:r w:rsidR="00B175B3" w:rsidRPr="00B175B3">
        <w:t>Table K.</w:t>
      </w:r>
      <w:r w:rsidR="00B175B3" w:rsidRPr="00B175B3">
        <w:rPr>
          <w:noProof/>
        </w:rPr>
        <w:t>4</w:t>
      </w:r>
      <w:r w:rsidR="00B175B3">
        <w:rPr>
          <w:iCs/>
        </w:rPr>
        <w:t xml:space="preserve"> and </w:t>
      </w:r>
      <w:r w:rsidR="00B175B3">
        <w:t>Table K.</w:t>
      </w:r>
      <w:r w:rsidR="00B175B3">
        <w:rPr>
          <w:noProof/>
        </w:rPr>
        <w:t>5</w:t>
      </w:r>
      <w:r w:rsidR="00B175B3">
        <w:rPr>
          <w:i/>
          <w:iCs/>
        </w:rPr>
        <w:t xml:space="preserve"> </w:t>
      </w:r>
      <w:r>
        <w:t>were selected for their importance in understanding the direct impact of the NDIS on improving typical daily activities. Early on in life, participants may draw upon funded specialist services for children to gradually acquire the knowledge and skills to function in different settings and cope with daily activities. As people gain independence through life, the Scheme may play a more practical role in supporting participants with daily living activities – for example through assistive technology, individual support, counselling and advice.</w:t>
      </w:r>
    </w:p>
    <w:p w14:paraId="17644DE7" w14:textId="77777777" w:rsidR="003734E1" w:rsidRDefault="003734E1" w:rsidP="003734E1">
      <w:pPr>
        <w:pStyle w:val="Caption"/>
        <w:keepNext/>
      </w:pPr>
      <w:bookmarkStart w:id="1232" w:name="_Ref114567856"/>
      <w:r>
        <w:t xml:space="preserve">Table </w:t>
      </w:r>
      <w:r w:rsidR="00415177">
        <w:t>K</w:t>
      </w:r>
      <w:r w:rsidR="00A87896">
        <w:t>.</w:t>
      </w:r>
      <w:fldSimple w:instr=" SEQ Table \* ARABIC \s 2 ">
        <w:r w:rsidR="00A87896">
          <w:rPr>
            <w:noProof/>
          </w:rPr>
          <w:t>3</w:t>
        </w:r>
      </w:fldSimple>
      <w:bookmarkEnd w:id="1232"/>
      <w:r w:rsidR="00415177">
        <w:t>:</w:t>
      </w:r>
      <w:r>
        <w:t xml:space="preserve"> % of parents/carers of children (birth to school-aged) who say that specialist services help their child gain skills she/he needs to participate in everyday life</w:t>
      </w:r>
    </w:p>
    <w:tbl>
      <w:tblPr>
        <w:tblW w:w="0" w:type="auto"/>
        <w:tblLook w:val="04A0" w:firstRow="1" w:lastRow="0" w:firstColumn="1" w:lastColumn="0" w:noHBand="0" w:noVBand="1"/>
      </w:tblPr>
      <w:tblGrid>
        <w:gridCol w:w="1358"/>
        <w:gridCol w:w="1139"/>
        <w:gridCol w:w="892"/>
        <w:gridCol w:w="885"/>
        <w:gridCol w:w="1138"/>
        <w:gridCol w:w="1140"/>
        <w:gridCol w:w="1209"/>
        <w:gridCol w:w="1245"/>
      </w:tblGrid>
      <w:tr w:rsidR="003734E1" w:rsidRPr="00031B4D" w14:paraId="37EC05EA" w14:textId="77777777" w:rsidTr="0027120A">
        <w:trPr>
          <w:trHeight w:val="882"/>
        </w:trPr>
        <w:tc>
          <w:tcPr>
            <w:tcW w:w="0" w:type="auto"/>
            <w:tcBorders>
              <w:top w:val="single" w:sz="8" w:space="0" w:color="auto"/>
              <w:left w:val="single" w:sz="8" w:space="0" w:color="auto"/>
              <w:bottom w:val="single" w:sz="8" w:space="0" w:color="auto"/>
              <w:right w:val="single" w:sz="8" w:space="0" w:color="auto"/>
            </w:tcBorders>
            <w:shd w:val="clear" w:color="000000" w:fill="660066"/>
            <w:vAlign w:val="bottom"/>
            <w:hideMark/>
          </w:tcPr>
          <w:p w14:paraId="7E0D61C5" w14:textId="77777777" w:rsidR="003734E1" w:rsidRPr="00031B4D" w:rsidRDefault="003734E1" w:rsidP="0027120A">
            <w:pPr>
              <w:spacing w:after="0" w:line="240" w:lineRule="auto"/>
              <w:rPr>
                <w:rFonts w:eastAsia="Times New Roman" w:cs="Arial"/>
                <w:b/>
                <w:bCs/>
                <w:color w:val="FFFFFF"/>
                <w:sz w:val="16"/>
                <w:szCs w:val="16"/>
                <w:lang w:eastAsia="zh-CN" w:bidi="th-TH"/>
              </w:rPr>
            </w:pPr>
            <w:r w:rsidRPr="00031B4D">
              <w:rPr>
                <w:rFonts w:eastAsia="Times New Roman" w:cs="Arial"/>
                <w:b/>
                <w:bCs/>
                <w:color w:val="FFFFFF"/>
                <w:sz w:val="16"/>
                <w:szCs w:val="16"/>
                <w:lang w:eastAsia="zh-CN" w:bidi="th-TH"/>
              </w:rPr>
              <w:t>Disability group</w:t>
            </w:r>
          </w:p>
        </w:tc>
        <w:tc>
          <w:tcPr>
            <w:tcW w:w="0" w:type="auto"/>
            <w:tcBorders>
              <w:top w:val="single" w:sz="8" w:space="0" w:color="auto"/>
              <w:left w:val="nil"/>
              <w:bottom w:val="single" w:sz="8" w:space="0" w:color="auto"/>
              <w:right w:val="single" w:sz="8" w:space="0" w:color="auto"/>
            </w:tcBorders>
            <w:shd w:val="clear" w:color="000000" w:fill="660066"/>
            <w:vAlign w:val="bottom"/>
            <w:hideMark/>
          </w:tcPr>
          <w:p w14:paraId="626CAE03" w14:textId="77777777" w:rsidR="003734E1" w:rsidRPr="00031B4D" w:rsidRDefault="003734E1" w:rsidP="0027120A">
            <w:pPr>
              <w:spacing w:after="0" w:line="240" w:lineRule="auto"/>
              <w:rPr>
                <w:rFonts w:eastAsia="Times New Roman" w:cs="Arial"/>
                <w:b/>
                <w:bCs/>
                <w:color w:val="FFFFFF"/>
                <w:sz w:val="16"/>
                <w:szCs w:val="16"/>
                <w:lang w:eastAsia="zh-CN" w:bidi="th-TH"/>
              </w:rPr>
            </w:pPr>
            <w:r w:rsidRPr="00031B4D">
              <w:rPr>
                <w:rFonts w:eastAsia="Times New Roman" w:cs="Arial"/>
                <w:b/>
                <w:bCs/>
                <w:color w:val="FFFFFF"/>
                <w:sz w:val="16"/>
                <w:szCs w:val="16"/>
                <w:lang w:eastAsia="zh-CN" w:bidi="th-TH"/>
              </w:rPr>
              <w:t>Number of participants in baseline cohort</w:t>
            </w:r>
          </w:p>
        </w:tc>
        <w:tc>
          <w:tcPr>
            <w:tcW w:w="0" w:type="auto"/>
            <w:tcBorders>
              <w:top w:val="single" w:sz="8" w:space="0" w:color="auto"/>
              <w:left w:val="nil"/>
              <w:bottom w:val="single" w:sz="8" w:space="0" w:color="auto"/>
              <w:right w:val="single" w:sz="8" w:space="0" w:color="auto"/>
            </w:tcBorders>
            <w:shd w:val="clear" w:color="000000" w:fill="660066"/>
            <w:vAlign w:val="bottom"/>
            <w:hideMark/>
          </w:tcPr>
          <w:p w14:paraId="7E5C9535" w14:textId="77777777" w:rsidR="003734E1" w:rsidRPr="00031B4D" w:rsidRDefault="003734E1" w:rsidP="0027120A">
            <w:pPr>
              <w:spacing w:after="0" w:line="240" w:lineRule="auto"/>
              <w:rPr>
                <w:rFonts w:eastAsia="Times New Roman" w:cs="Arial"/>
                <w:b/>
                <w:bCs/>
                <w:color w:val="FFFFFF"/>
                <w:sz w:val="16"/>
                <w:szCs w:val="16"/>
                <w:lang w:eastAsia="zh-CN" w:bidi="th-TH"/>
              </w:rPr>
            </w:pPr>
            <w:r w:rsidRPr="00031B4D">
              <w:rPr>
                <w:rFonts w:eastAsia="Times New Roman" w:cs="Arial"/>
                <w:b/>
                <w:bCs/>
                <w:color w:val="FFFFFF"/>
                <w:sz w:val="16"/>
                <w:szCs w:val="16"/>
                <w:lang w:eastAsia="zh-CN" w:bidi="th-TH"/>
              </w:rPr>
              <w:t xml:space="preserve"> Median capacity building payment (yearly) </w:t>
            </w:r>
          </w:p>
        </w:tc>
        <w:tc>
          <w:tcPr>
            <w:tcW w:w="0" w:type="auto"/>
            <w:tcBorders>
              <w:top w:val="single" w:sz="8" w:space="0" w:color="auto"/>
              <w:left w:val="nil"/>
              <w:bottom w:val="single" w:sz="8" w:space="0" w:color="auto"/>
              <w:right w:val="single" w:sz="8" w:space="0" w:color="auto"/>
            </w:tcBorders>
            <w:shd w:val="clear" w:color="000000" w:fill="660066"/>
            <w:vAlign w:val="bottom"/>
            <w:hideMark/>
          </w:tcPr>
          <w:p w14:paraId="40D51694" w14:textId="77777777" w:rsidR="003734E1" w:rsidRPr="00031B4D" w:rsidRDefault="003734E1" w:rsidP="0027120A">
            <w:pPr>
              <w:spacing w:after="0" w:line="240" w:lineRule="auto"/>
              <w:rPr>
                <w:rFonts w:eastAsia="Times New Roman" w:cs="Arial"/>
                <w:b/>
                <w:bCs/>
                <w:color w:val="FFFFFF"/>
                <w:sz w:val="16"/>
                <w:szCs w:val="16"/>
                <w:lang w:eastAsia="zh-CN" w:bidi="th-TH"/>
              </w:rPr>
            </w:pPr>
            <w:r w:rsidRPr="00031B4D">
              <w:rPr>
                <w:rFonts w:eastAsia="Times New Roman" w:cs="Arial"/>
                <w:b/>
                <w:bCs/>
                <w:color w:val="FFFFFF"/>
                <w:sz w:val="16"/>
                <w:szCs w:val="16"/>
                <w:lang w:eastAsia="zh-CN" w:bidi="th-TH"/>
              </w:rPr>
              <w:t xml:space="preserve"> Median total payment (yearly) </w:t>
            </w:r>
          </w:p>
        </w:tc>
        <w:tc>
          <w:tcPr>
            <w:tcW w:w="0" w:type="auto"/>
            <w:tcBorders>
              <w:top w:val="single" w:sz="8" w:space="0" w:color="auto"/>
              <w:left w:val="nil"/>
              <w:bottom w:val="single" w:sz="8" w:space="0" w:color="auto"/>
              <w:right w:val="single" w:sz="8" w:space="0" w:color="auto"/>
            </w:tcBorders>
            <w:shd w:val="clear" w:color="000000" w:fill="660066"/>
            <w:vAlign w:val="bottom"/>
            <w:hideMark/>
          </w:tcPr>
          <w:p w14:paraId="49CFFD36" w14:textId="77777777" w:rsidR="003734E1" w:rsidRPr="00031B4D" w:rsidRDefault="003734E1" w:rsidP="0027120A">
            <w:pPr>
              <w:spacing w:after="0" w:line="240" w:lineRule="auto"/>
              <w:rPr>
                <w:rFonts w:eastAsia="Times New Roman" w:cs="Arial"/>
                <w:b/>
                <w:bCs/>
                <w:color w:val="FFFFFF"/>
                <w:sz w:val="16"/>
                <w:szCs w:val="16"/>
                <w:lang w:eastAsia="zh-CN" w:bidi="th-TH"/>
              </w:rPr>
            </w:pPr>
            <w:r w:rsidRPr="00031B4D">
              <w:rPr>
                <w:rFonts w:eastAsia="Times New Roman" w:cs="Arial"/>
                <w:b/>
                <w:bCs/>
                <w:color w:val="FFFFFF"/>
                <w:sz w:val="16"/>
                <w:szCs w:val="16"/>
                <w:lang w:eastAsia="zh-CN" w:bidi="th-TH"/>
              </w:rPr>
              <w:t>% participants with outcome at baseline</w:t>
            </w:r>
          </w:p>
        </w:tc>
        <w:tc>
          <w:tcPr>
            <w:tcW w:w="0" w:type="auto"/>
            <w:tcBorders>
              <w:top w:val="single" w:sz="8" w:space="0" w:color="auto"/>
              <w:left w:val="nil"/>
              <w:bottom w:val="single" w:sz="8" w:space="0" w:color="auto"/>
              <w:right w:val="single" w:sz="8" w:space="0" w:color="auto"/>
            </w:tcBorders>
            <w:shd w:val="clear" w:color="000000" w:fill="660066"/>
            <w:vAlign w:val="bottom"/>
            <w:hideMark/>
          </w:tcPr>
          <w:p w14:paraId="4B31EB77" w14:textId="77777777" w:rsidR="003734E1" w:rsidRPr="00031B4D" w:rsidRDefault="003734E1" w:rsidP="0027120A">
            <w:pPr>
              <w:spacing w:after="0" w:line="240" w:lineRule="auto"/>
              <w:rPr>
                <w:rFonts w:eastAsia="Times New Roman" w:cs="Arial"/>
                <w:b/>
                <w:bCs/>
                <w:color w:val="FFFFFF"/>
                <w:sz w:val="16"/>
                <w:szCs w:val="16"/>
                <w:lang w:eastAsia="zh-CN" w:bidi="th-TH"/>
              </w:rPr>
            </w:pPr>
            <w:r w:rsidRPr="00031B4D">
              <w:rPr>
                <w:rFonts w:eastAsia="Times New Roman" w:cs="Arial"/>
                <w:b/>
                <w:bCs/>
                <w:color w:val="FFFFFF"/>
                <w:sz w:val="16"/>
                <w:szCs w:val="16"/>
                <w:lang w:eastAsia="zh-CN" w:bidi="th-TH"/>
              </w:rPr>
              <w:t>% participants with outcome at latest review</w:t>
            </w:r>
          </w:p>
        </w:tc>
        <w:tc>
          <w:tcPr>
            <w:tcW w:w="0" w:type="auto"/>
            <w:tcBorders>
              <w:top w:val="single" w:sz="8" w:space="0" w:color="auto"/>
              <w:left w:val="nil"/>
              <w:bottom w:val="single" w:sz="8" w:space="0" w:color="auto"/>
              <w:right w:val="single" w:sz="8" w:space="0" w:color="auto"/>
            </w:tcBorders>
            <w:shd w:val="clear" w:color="000000" w:fill="660066"/>
            <w:vAlign w:val="bottom"/>
            <w:hideMark/>
          </w:tcPr>
          <w:p w14:paraId="55230ED1" w14:textId="77777777" w:rsidR="003734E1" w:rsidRPr="00031B4D" w:rsidRDefault="003734E1" w:rsidP="0027120A">
            <w:pPr>
              <w:spacing w:after="0" w:line="240" w:lineRule="auto"/>
              <w:rPr>
                <w:rFonts w:eastAsia="Times New Roman" w:cs="Arial"/>
                <w:b/>
                <w:bCs/>
                <w:color w:val="FFFFFF"/>
                <w:sz w:val="16"/>
                <w:szCs w:val="16"/>
                <w:lang w:eastAsia="zh-CN" w:bidi="th-TH"/>
              </w:rPr>
            </w:pPr>
            <w:r w:rsidRPr="00031B4D">
              <w:rPr>
                <w:rFonts w:eastAsia="Times New Roman" w:cs="Arial"/>
                <w:b/>
                <w:bCs/>
                <w:color w:val="FFFFFF"/>
                <w:sz w:val="16"/>
                <w:szCs w:val="16"/>
                <w:lang w:eastAsia="zh-CN" w:bidi="th-TH"/>
              </w:rPr>
              <w:t>Maintenance of 'yes' response: baseline to latest review</w:t>
            </w:r>
          </w:p>
        </w:tc>
        <w:tc>
          <w:tcPr>
            <w:tcW w:w="0" w:type="auto"/>
            <w:tcBorders>
              <w:top w:val="single" w:sz="8" w:space="0" w:color="auto"/>
              <w:left w:val="nil"/>
              <w:bottom w:val="single" w:sz="8" w:space="0" w:color="auto"/>
              <w:right w:val="single" w:sz="8" w:space="0" w:color="auto"/>
            </w:tcBorders>
            <w:shd w:val="clear" w:color="000000" w:fill="660066"/>
            <w:vAlign w:val="bottom"/>
            <w:hideMark/>
          </w:tcPr>
          <w:p w14:paraId="3CFC58EB" w14:textId="77777777" w:rsidR="003734E1" w:rsidRPr="00031B4D" w:rsidRDefault="003734E1" w:rsidP="0027120A">
            <w:pPr>
              <w:spacing w:after="0" w:line="240" w:lineRule="auto"/>
              <w:rPr>
                <w:rFonts w:eastAsia="Times New Roman" w:cs="Arial"/>
                <w:b/>
                <w:bCs/>
                <w:color w:val="FFFFFF"/>
                <w:sz w:val="16"/>
                <w:szCs w:val="16"/>
                <w:lang w:eastAsia="zh-CN" w:bidi="th-TH"/>
              </w:rPr>
            </w:pPr>
            <w:r w:rsidRPr="00031B4D">
              <w:rPr>
                <w:rFonts w:eastAsia="Times New Roman" w:cs="Arial"/>
                <w:b/>
                <w:bCs/>
                <w:color w:val="FFFFFF"/>
                <w:sz w:val="16"/>
                <w:szCs w:val="16"/>
                <w:lang w:eastAsia="zh-CN" w:bidi="th-TH"/>
              </w:rPr>
              <w:t>Improvement from 'no' response: baseline to latest review</w:t>
            </w:r>
          </w:p>
        </w:tc>
      </w:tr>
      <w:tr w:rsidR="003734E1" w:rsidRPr="00031B4D" w14:paraId="7DA32C13"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74ABB3FA" w14:textId="77777777" w:rsidR="003734E1" w:rsidRPr="00031B4D" w:rsidRDefault="003734E1" w:rsidP="0027120A">
            <w:pPr>
              <w:spacing w:after="0" w:line="240" w:lineRule="auto"/>
              <w:rPr>
                <w:rFonts w:eastAsia="Times New Roman" w:cs="Arial"/>
                <w:b/>
                <w:bCs/>
                <w:color w:val="000000"/>
                <w:sz w:val="16"/>
                <w:szCs w:val="16"/>
                <w:lang w:eastAsia="zh-CN" w:bidi="th-TH"/>
              </w:rPr>
            </w:pPr>
            <w:r w:rsidRPr="00031B4D">
              <w:rPr>
                <w:rFonts w:eastAsia="Times New Roman" w:cs="Arial"/>
                <w:b/>
                <w:bCs/>
                <w:color w:val="000000"/>
                <w:sz w:val="16"/>
                <w:szCs w:val="16"/>
                <w:lang w:eastAsia="zh-CN" w:bidi="th-TH"/>
              </w:rPr>
              <w:t>Autism</w:t>
            </w:r>
          </w:p>
        </w:tc>
        <w:tc>
          <w:tcPr>
            <w:tcW w:w="0" w:type="auto"/>
            <w:tcBorders>
              <w:top w:val="nil"/>
              <w:left w:val="nil"/>
              <w:bottom w:val="nil"/>
              <w:right w:val="single" w:sz="8" w:space="0" w:color="auto"/>
            </w:tcBorders>
            <w:shd w:val="clear" w:color="000000" w:fill="FFFFFF"/>
            <w:vAlign w:val="center"/>
            <w:hideMark/>
          </w:tcPr>
          <w:p w14:paraId="7A247314"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 xml:space="preserve">       12,848 </w:t>
            </w:r>
          </w:p>
        </w:tc>
        <w:tc>
          <w:tcPr>
            <w:tcW w:w="0" w:type="auto"/>
            <w:tcBorders>
              <w:top w:val="nil"/>
              <w:left w:val="nil"/>
              <w:bottom w:val="nil"/>
              <w:right w:val="single" w:sz="8" w:space="0" w:color="auto"/>
            </w:tcBorders>
            <w:shd w:val="clear" w:color="000000" w:fill="FFFFFF"/>
            <w:vAlign w:val="center"/>
            <w:hideMark/>
          </w:tcPr>
          <w:p w14:paraId="635FD0CE"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$12.2k</w:t>
            </w:r>
          </w:p>
        </w:tc>
        <w:tc>
          <w:tcPr>
            <w:tcW w:w="0" w:type="auto"/>
            <w:tcBorders>
              <w:top w:val="nil"/>
              <w:left w:val="nil"/>
              <w:bottom w:val="nil"/>
              <w:right w:val="single" w:sz="8" w:space="0" w:color="auto"/>
            </w:tcBorders>
            <w:shd w:val="clear" w:color="000000" w:fill="FFFFFF"/>
            <w:vAlign w:val="center"/>
            <w:hideMark/>
          </w:tcPr>
          <w:p w14:paraId="6DDA697E"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$14.3k</w:t>
            </w:r>
          </w:p>
        </w:tc>
        <w:tc>
          <w:tcPr>
            <w:tcW w:w="0" w:type="auto"/>
            <w:tcBorders>
              <w:top w:val="nil"/>
              <w:left w:val="nil"/>
              <w:bottom w:val="nil"/>
              <w:right w:val="single" w:sz="8" w:space="0" w:color="auto"/>
            </w:tcBorders>
            <w:shd w:val="clear" w:color="000000" w:fill="FFFFFF"/>
            <w:vAlign w:val="center"/>
            <w:hideMark/>
          </w:tcPr>
          <w:p w14:paraId="6F0DEDDF"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90.1%</w:t>
            </w:r>
          </w:p>
        </w:tc>
        <w:tc>
          <w:tcPr>
            <w:tcW w:w="0" w:type="auto"/>
            <w:tcBorders>
              <w:top w:val="nil"/>
              <w:left w:val="nil"/>
              <w:bottom w:val="nil"/>
              <w:right w:val="single" w:sz="8" w:space="0" w:color="auto"/>
            </w:tcBorders>
            <w:shd w:val="clear" w:color="000000" w:fill="FFFFFF"/>
            <w:vAlign w:val="center"/>
            <w:hideMark/>
          </w:tcPr>
          <w:p w14:paraId="046B81D2"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93.8% (+3.8%)</w:t>
            </w:r>
          </w:p>
        </w:tc>
        <w:tc>
          <w:tcPr>
            <w:tcW w:w="0" w:type="auto"/>
            <w:tcBorders>
              <w:top w:val="nil"/>
              <w:left w:val="nil"/>
              <w:bottom w:val="nil"/>
              <w:right w:val="single" w:sz="8" w:space="0" w:color="auto"/>
            </w:tcBorders>
            <w:shd w:val="clear" w:color="000000" w:fill="F3FEFF"/>
            <w:vAlign w:val="center"/>
            <w:hideMark/>
          </w:tcPr>
          <w:p w14:paraId="2B6007DE"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99.1%</w:t>
            </w:r>
          </w:p>
        </w:tc>
        <w:tc>
          <w:tcPr>
            <w:tcW w:w="0" w:type="auto"/>
            <w:tcBorders>
              <w:top w:val="nil"/>
              <w:left w:val="nil"/>
              <w:bottom w:val="nil"/>
              <w:right w:val="single" w:sz="8" w:space="0" w:color="auto"/>
            </w:tcBorders>
            <w:shd w:val="clear" w:color="000000" w:fill="F3FEFF"/>
            <w:vAlign w:val="center"/>
            <w:hideMark/>
          </w:tcPr>
          <w:p w14:paraId="1E1A9A6E"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62.7%</w:t>
            </w:r>
          </w:p>
        </w:tc>
      </w:tr>
      <w:tr w:rsidR="003734E1" w:rsidRPr="00031B4D" w14:paraId="35705407" w14:textId="77777777" w:rsidTr="0027120A">
        <w:trPr>
          <w:trHeight w:val="525"/>
        </w:trPr>
        <w:tc>
          <w:tcPr>
            <w:tcW w:w="0" w:type="auto"/>
            <w:tcBorders>
              <w:top w:val="nil"/>
              <w:left w:val="single" w:sz="8" w:space="0" w:color="auto"/>
              <w:bottom w:val="nil"/>
              <w:right w:val="single" w:sz="8" w:space="0" w:color="auto"/>
            </w:tcBorders>
            <w:shd w:val="clear" w:color="000000" w:fill="FFFFFF"/>
            <w:vAlign w:val="center"/>
            <w:hideMark/>
          </w:tcPr>
          <w:p w14:paraId="77DEC4FE" w14:textId="77777777" w:rsidR="003734E1" w:rsidRPr="00031B4D" w:rsidRDefault="003734E1" w:rsidP="0027120A">
            <w:pPr>
              <w:spacing w:after="0" w:line="240" w:lineRule="auto"/>
              <w:rPr>
                <w:rFonts w:eastAsia="Times New Roman" w:cs="Arial"/>
                <w:b/>
                <w:bCs/>
                <w:color w:val="000000"/>
                <w:sz w:val="16"/>
                <w:szCs w:val="16"/>
                <w:lang w:eastAsia="zh-CN" w:bidi="th-TH"/>
              </w:rPr>
            </w:pPr>
            <w:r w:rsidRPr="00031B4D">
              <w:rPr>
                <w:rFonts w:eastAsia="Times New Roman" w:cs="Arial"/>
                <w:b/>
                <w:bCs/>
                <w:color w:val="000000"/>
                <w:sz w:val="16"/>
                <w:szCs w:val="16"/>
                <w:lang w:eastAsia="zh-CN" w:bidi="th-TH"/>
              </w:rPr>
              <w:t>Developmental delay*</w:t>
            </w:r>
          </w:p>
        </w:tc>
        <w:tc>
          <w:tcPr>
            <w:tcW w:w="0" w:type="auto"/>
            <w:tcBorders>
              <w:top w:val="nil"/>
              <w:left w:val="nil"/>
              <w:bottom w:val="nil"/>
              <w:right w:val="single" w:sz="8" w:space="0" w:color="auto"/>
            </w:tcBorders>
            <w:shd w:val="clear" w:color="000000" w:fill="FFFFFF"/>
            <w:vAlign w:val="center"/>
            <w:hideMark/>
          </w:tcPr>
          <w:p w14:paraId="38383A49"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 xml:space="preserve">       16,707 </w:t>
            </w:r>
          </w:p>
        </w:tc>
        <w:tc>
          <w:tcPr>
            <w:tcW w:w="0" w:type="auto"/>
            <w:tcBorders>
              <w:top w:val="nil"/>
              <w:left w:val="nil"/>
              <w:bottom w:val="nil"/>
              <w:right w:val="single" w:sz="8" w:space="0" w:color="auto"/>
            </w:tcBorders>
            <w:shd w:val="clear" w:color="000000" w:fill="FFFFFF"/>
            <w:vAlign w:val="center"/>
            <w:hideMark/>
          </w:tcPr>
          <w:p w14:paraId="6020DFA7"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$10.8k</w:t>
            </w:r>
          </w:p>
        </w:tc>
        <w:tc>
          <w:tcPr>
            <w:tcW w:w="0" w:type="auto"/>
            <w:tcBorders>
              <w:top w:val="nil"/>
              <w:left w:val="nil"/>
              <w:bottom w:val="nil"/>
              <w:right w:val="single" w:sz="8" w:space="0" w:color="auto"/>
            </w:tcBorders>
            <w:shd w:val="clear" w:color="000000" w:fill="FFFFFF"/>
            <w:vAlign w:val="center"/>
            <w:hideMark/>
          </w:tcPr>
          <w:p w14:paraId="68310167"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$11.6k</w:t>
            </w:r>
          </w:p>
        </w:tc>
        <w:tc>
          <w:tcPr>
            <w:tcW w:w="0" w:type="auto"/>
            <w:tcBorders>
              <w:top w:val="nil"/>
              <w:left w:val="nil"/>
              <w:bottom w:val="nil"/>
              <w:right w:val="single" w:sz="8" w:space="0" w:color="auto"/>
            </w:tcBorders>
            <w:shd w:val="clear" w:color="000000" w:fill="FFFFFF"/>
            <w:vAlign w:val="center"/>
            <w:hideMark/>
          </w:tcPr>
          <w:p w14:paraId="3B0FB04C"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87.1%</w:t>
            </w:r>
          </w:p>
        </w:tc>
        <w:tc>
          <w:tcPr>
            <w:tcW w:w="0" w:type="auto"/>
            <w:tcBorders>
              <w:top w:val="nil"/>
              <w:left w:val="nil"/>
              <w:bottom w:val="nil"/>
              <w:right w:val="single" w:sz="8" w:space="0" w:color="auto"/>
            </w:tcBorders>
            <w:shd w:val="clear" w:color="000000" w:fill="FFFFFF"/>
            <w:vAlign w:val="center"/>
            <w:hideMark/>
          </w:tcPr>
          <w:p w14:paraId="63EB3251"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93.1% (+6.1%)</w:t>
            </w:r>
          </w:p>
        </w:tc>
        <w:tc>
          <w:tcPr>
            <w:tcW w:w="0" w:type="auto"/>
            <w:tcBorders>
              <w:top w:val="single" w:sz="8" w:space="0" w:color="auto"/>
              <w:left w:val="nil"/>
              <w:bottom w:val="single" w:sz="8" w:space="0" w:color="auto"/>
              <w:right w:val="single" w:sz="8" w:space="0" w:color="auto"/>
            </w:tcBorders>
            <w:shd w:val="clear" w:color="000000" w:fill="F3FEFF"/>
            <w:vAlign w:val="center"/>
            <w:hideMark/>
          </w:tcPr>
          <w:p w14:paraId="50F63E0B"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98.8%</w:t>
            </w:r>
          </w:p>
        </w:tc>
        <w:tc>
          <w:tcPr>
            <w:tcW w:w="0" w:type="auto"/>
            <w:tcBorders>
              <w:top w:val="single" w:sz="8" w:space="0" w:color="auto"/>
              <w:left w:val="nil"/>
              <w:bottom w:val="single" w:sz="8" w:space="0" w:color="auto"/>
              <w:right w:val="single" w:sz="8" w:space="0" w:color="auto"/>
            </w:tcBorders>
            <w:shd w:val="clear" w:color="000000" w:fill="F3FEFF"/>
            <w:vAlign w:val="center"/>
            <w:hideMark/>
          </w:tcPr>
          <w:p w14:paraId="11B70610"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53.1%</w:t>
            </w:r>
          </w:p>
        </w:tc>
      </w:tr>
      <w:tr w:rsidR="003734E1" w:rsidRPr="00031B4D" w14:paraId="41E8DCA1"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31545D92" w14:textId="77777777" w:rsidR="003734E1" w:rsidRPr="00031B4D" w:rsidRDefault="003734E1" w:rsidP="0027120A">
            <w:pPr>
              <w:spacing w:after="0" w:line="240" w:lineRule="auto"/>
              <w:rPr>
                <w:rFonts w:eastAsia="Times New Roman" w:cs="Arial"/>
                <w:b/>
                <w:bCs/>
                <w:color w:val="000000"/>
                <w:sz w:val="16"/>
                <w:szCs w:val="16"/>
                <w:lang w:eastAsia="zh-CN" w:bidi="th-TH"/>
              </w:rPr>
            </w:pPr>
            <w:r w:rsidRPr="00031B4D">
              <w:rPr>
                <w:rFonts w:eastAsia="Times New Roman" w:cs="Arial"/>
                <w:b/>
                <w:bCs/>
                <w:color w:val="000000"/>
                <w:sz w:val="16"/>
                <w:szCs w:val="16"/>
                <w:lang w:eastAsia="zh-CN" w:bidi="th-TH"/>
              </w:rPr>
              <w:t>Intellectual Disability</w:t>
            </w:r>
          </w:p>
        </w:tc>
        <w:tc>
          <w:tcPr>
            <w:tcW w:w="0" w:type="auto"/>
            <w:tcBorders>
              <w:top w:val="nil"/>
              <w:left w:val="nil"/>
              <w:bottom w:val="nil"/>
              <w:right w:val="single" w:sz="8" w:space="0" w:color="auto"/>
            </w:tcBorders>
            <w:shd w:val="clear" w:color="000000" w:fill="FFFFFF"/>
            <w:vAlign w:val="center"/>
            <w:hideMark/>
          </w:tcPr>
          <w:p w14:paraId="0C967964"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 xml:space="preserve">         1,463 </w:t>
            </w:r>
          </w:p>
        </w:tc>
        <w:tc>
          <w:tcPr>
            <w:tcW w:w="0" w:type="auto"/>
            <w:tcBorders>
              <w:top w:val="nil"/>
              <w:left w:val="nil"/>
              <w:bottom w:val="nil"/>
              <w:right w:val="single" w:sz="8" w:space="0" w:color="auto"/>
            </w:tcBorders>
            <w:shd w:val="clear" w:color="000000" w:fill="FFFFFF"/>
            <w:vAlign w:val="center"/>
            <w:hideMark/>
          </w:tcPr>
          <w:p w14:paraId="03BBB285"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$11.6k</w:t>
            </w:r>
          </w:p>
        </w:tc>
        <w:tc>
          <w:tcPr>
            <w:tcW w:w="0" w:type="auto"/>
            <w:tcBorders>
              <w:top w:val="nil"/>
              <w:left w:val="nil"/>
              <w:bottom w:val="nil"/>
              <w:right w:val="single" w:sz="8" w:space="0" w:color="auto"/>
            </w:tcBorders>
            <w:shd w:val="clear" w:color="000000" w:fill="FFFFFF"/>
            <w:vAlign w:val="center"/>
            <w:hideMark/>
          </w:tcPr>
          <w:p w14:paraId="52BC4CD7"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$14.6k</w:t>
            </w:r>
          </w:p>
        </w:tc>
        <w:tc>
          <w:tcPr>
            <w:tcW w:w="0" w:type="auto"/>
            <w:tcBorders>
              <w:top w:val="nil"/>
              <w:left w:val="nil"/>
              <w:bottom w:val="nil"/>
              <w:right w:val="single" w:sz="8" w:space="0" w:color="auto"/>
            </w:tcBorders>
            <w:shd w:val="clear" w:color="000000" w:fill="FFFFFF"/>
            <w:vAlign w:val="center"/>
            <w:hideMark/>
          </w:tcPr>
          <w:p w14:paraId="1CDCBA9C"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89.5%</w:t>
            </w:r>
          </w:p>
        </w:tc>
        <w:tc>
          <w:tcPr>
            <w:tcW w:w="0" w:type="auto"/>
            <w:tcBorders>
              <w:top w:val="nil"/>
              <w:left w:val="nil"/>
              <w:bottom w:val="nil"/>
              <w:right w:val="single" w:sz="8" w:space="0" w:color="auto"/>
            </w:tcBorders>
            <w:shd w:val="clear" w:color="000000" w:fill="FFFFFF"/>
            <w:vAlign w:val="center"/>
            <w:hideMark/>
          </w:tcPr>
          <w:p w14:paraId="5AEFB8BA"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93.7% (+4.2%)</w:t>
            </w:r>
          </w:p>
        </w:tc>
        <w:tc>
          <w:tcPr>
            <w:tcW w:w="0" w:type="auto"/>
            <w:tcBorders>
              <w:top w:val="nil"/>
              <w:left w:val="nil"/>
              <w:bottom w:val="nil"/>
              <w:right w:val="single" w:sz="8" w:space="0" w:color="auto"/>
            </w:tcBorders>
            <w:shd w:val="clear" w:color="000000" w:fill="F3FEFF"/>
            <w:vAlign w:val="center"/>
            <w:hideMark/>
          </w:tcPr>
          <w:p w14:paraId="398EB168"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98.2%</w:t>
            </w:r>
          </w:p>
        </w:tc>
        <w:tc>
          <w:tcPr>
            <w:tcW w:w="0" w:type="auto"/>
            <w:tcBorders>
              <w:top w:val="nil"/>
              <w:left w:val="nil"/>
              <w:bottom w:val="nil"/>
              <w:right w:val="single" w:sz="8" w:space="0" w:color="auto"/>
            </w:tcBorders>
            <w:shd w:val="clear" w:color="000000" w:fill="F3FEFF"/>
            <w:vAlign w:val="center"/>
            <w:hideMark/>
          </w:tcPr>
          <w:p w14:paraId="3238A398"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65.6%</w:t>
            </w:r>
          </w:p>
        </w:tc>
      </w:tr>
      <w:tr w:rsidR="003734E1" w:rsidRPr="00031B4D" w14:paraId="535D7500"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1D64E13C" w14:textId="77777777" w:rsidR="003734E1" w:rsidRPr="00031B4D" w:rsidRDefault="003734E1" w:rsidP="0027120A">
            <w:pPr>
              <w:spacing w:after="0" w:line="240" w:lineRule="auto"/>
              <w:rPr>
                <w:rFonts w:eastAsia="Times New Roman" w:cs="Arial"/>
                <w:b/>
                <w:bCs/>
                <w:color w:val="000000"/>
                <w:sz w:val="16"/>
                <w:szCs w:val="16"/>
                <w:lang w:eastAsia="zh-CN" w:bidi="th-TH"/>
              </w:rPr>
            </w:pPr>
            <w:r w:rsidRPr="00031B4D">
              <w:rPr>
                <w:rFonts w:eastAsia="Times New Roman" w:cs="Arial"/>
                <w:b/>
                <w:bCs/>
                <w:color w:val="000000"/>
                <w:sz w:val="16"/>
                <w:szCs w:val="16"/>
                <w:lang w:eastAsia="zh-CN" w:bidi="th-TH"/>
              </w:rPr>
              <w:t>Sensory disability</w:t>
            </w:r>
          </w:p>
        </w:tc>
        <w:tc>
          <w:tcPr>
            <w:tcW w:w="0" w:type="auto"/>
            <w:tcBorders>
              <w:top w:val="nil"/>
              <w:left w:val="nil"/>
              <w:bottom w:val="nil"/>
              <w:right w:val="single" w:sz="8" w:space="0" w:color="auto"/>
            </w:tcBorders>
            <w:shd w:val="clear" w:color="000000" w:fill="FFFFFF"/>
            <w:vAlign w:val="center"/>
            <w:hideMark/>
          </w:tcPr>
          <w:p w14:paraId="42217EFB"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 xml:space="preserve">         2,689 </w:t>
            </w:r>
          </w:p>
        </w:tc>
        <w:tc>
          <w:tcPr>
            <w:tcW w:w="0" w:type="auto"/>
            <w:tcBorders>
              <w:top w:val="nil"/>
              <w:left w:val="nil"/>
              <w:bottom w:val="nil"/>
              <w:right w:val="single" w:sz="8" w:space="0" w:color="auto"/>
            </w:tcBorders>
            <w:shd w:val="clear" w:color="000000" w:fill="FFFFFF"/>
            <w:vAlign w:val="center"/>
            <w:hideMark/>
          </w:tcPr>
          <w:p w14:paraId="1A114844"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$8.5k</w:t>
            </w:r>
          </w:p>
        </w:tc>
        <w:tc>
          <w:tcPr>
            <w:tcW w:w="0" w:type="auto"/>
            <w:tcBorders>
              <w:top w:val="nil"/>
              <w:left w:val="nil"/>
              <w:bottom w:val="nil"/>
              <w:right w:val="single" w:sz="8" w:space="0" w:color="auto"/>
            </w:tcBorders>
            <w:shd w:val="clear" w:color="000000" w:fill="FFFFFF"/>
            <w:vAlign w:val="center"/>
            <w:hideMark/>
          </w:tcPr>
          <w:p w14:paraId="240E0D74"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$9.4k</w:t>
            </w:r>
          </w:p>
        </w:tc>
        <w:tc>
          <w:tcPr>
            <w:tcW w:w="0" w:type="auto"/>
            <w:tcBorders>
              <w:top w:val="nil"/>
              <w:left w:val="nil"/>
              <w:bottom w:val="nil"/>
              <w:right w:val="single" w:sz="8" w:space="0" w:color="auto"/>
            </w:tcBorders>
            <w:shd w:val="clear" w:color="000000" w:fill="FFFFFF"/>
            <w:vAlign w:val="center"/>
            <w:hideMark/>
          </w:tcPr>
          <w:p w14:paraId="4A26F02F"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89.4%</w:t>
            </w:r>
          </w:p>
        </w:tc>
        <w:tc>
          <w:tcPr>
            <w:tcW w:w="0" w:type="auto"/>
            <w:tcBorders>
              <w:top w:val="nil"/>
              <w:left w:val="nil"/>
              <w:bottom w:val="nil"/>
              <w:right w:val="single" w:sz="8" w:space="0" w:color="auto"/>
            </w:tcBorders>
            <w:shd w:val="clear" w:color="000000" w:fill="FFFFFF"/>
            <w:vAlign w:val="center"/>
            <w:hideMark/>
          </w:tcPr>
          <w:p w14:paraId="52D91B22"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95.1% (+5.7%)</w:t>
            </w:r>
          </w:p>
        </w:tc>
        <w:tc>
          <w:tcPr>
            <w:tcW w:w="0" w:type="auto"/>
            <w:tcBorders>
              <w:top w:val="single" w:sz="8" w:space="0" w:color="auto"/>
              <w:left w:val="nil"/>
              <w:bottom w:val="nil"/>
              <w:right w:val="single" w:sz="8" w:space="0" w:color="auto"/>
            </w:tcBorders>
            <w:shd w:val="clear" w:color="000000" w:fill="F3FEFF"/>
            <w:vAlign w:val="center"/>
            <w:hideMark/>
          </w:tcPr>
          <w:p w14:paraId="6DF2BBF1"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96.6%</w:t>
            </w:r>
          </w:p>
        </w:tc>
        <w:tc>
          <w:tcPr>
            <w:tcW w:w="0" w:type="auto"/>
            <w:tcBorders>
              <w:top w:val="single" w:sz="8" w:space="0" w:color="auto"/>
              <w:left w:val="nil"/>
              <w:bottom w:val="nil"/>
              <w:right w:val="single" w:sz="8" w:space="0" w:color="auto"/>
            </w:tcBorders>
            <w:shd w:val="clear" w:color="000000" w:fill="F3FEFF"/>
            <w:vAlign w:val="center"/>
            <w:hideMark/>
          </w:tcPr>
          <w:p w14:paraId="14210F87"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64.3%</w:t>
            </w:r>
          </w:p>
        </w:tc>
      </w:tr>
      <w:tr w:rsidR="003734E1" w:rsidRPr="00031B4D" w14:paraId="3150963A"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435E5B5D" w14:textId="77777777" w:rsidR="003734E1" w:rsidRPr="00031B4D" w:rsidRDefault="003734E1" w:rsidP="0027120A">
            <w:pPr>
              <w:spacing w:after="0" w:line="240" w:lineRule="auto"/>
              <w:rPr>
                <w:rFonts w:eastAsia="Times New Roman" w:cs="Arial"/>
                <w:b/>
                <w:bCs/>
                <w:color w:val="000000"/>
                <w:sz w:val="16"/>
                <w:szCs w:val="16"/>
                <w:lang w:eastAsia="zh-CN" w:bidi="th-TH"/>
              </w:rPr>
            </w:pPr>
            <w:r w:rsidRPr="00031B4D">
              <w:rPr>
                <w:rFonts w:eastAsia="Times New Roman" w:cs="Arial"/>
                <w:b/>
                <w:bCs/>
                <w:color w:val="000000"/>
                <w:sz w:val="16"/>
                <w:szCs w:val="16"/>
                <w:lang w:eastAsia="zh-CN" w:bidi="th-TH"/>
              </w:rPr>
              <w:t>Other</w:t>
            </w:r>
          </w:p>
        </w:tc>
        <w:tc>
          <w:tcPr>
            <w:tcW w:w="0" w:type="auto"/>
            <w:tcBorders>
              <w:top w:val="nil"/>
              <w:left w:val="nil"/>
              <w:bottom w:val="nil"/>
              <w:right w:val="single" w:sz="8" w:space="0" w:color="auto"/>
            </w:tcBorders>
            <w:shd w:val="clear" w:color="000000" w:fill="FFFFFF"/>
            <w:vAlign w:val="center"/>
            <w:hideMark/>
          </w:tcPr>
          <w:p w14:paraId="15E3DAE0"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 xml:space="preserve">         3,738 </w:t>
            </w:r>
          </w:p>
        </w:tc>
        <w:tc>
          <w:tcPr>
            <w:tcW w:w="0" w:type="auto"/>
            <w:tcBorders>
              <w:top w:val="nil"/>
              <w:left w:val="nil"/>
              <w:bottom w:val="nil"/>
              <w:right w:val="single" w:sz="8" w:space="0" w:color="auto"/>
            </w:tcBorders>
            <w:shd w:val="clear" w:color="000000" w:fill="FFFFFF"/>
            <w:vAlign w:val="center"/>
            <w:hideMark/>
          </w:tcPr>
          <w:p w14:paraId="61507FEA"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$11.9k</w:t>
            </w:r>
          </w:p>
        </w:tc>
        <w:tc>
          <w:tcPr>
            <w:tcW w:w="0" w:type="auto"/>
            <w:tcBorders>
              <w:top w:val="nil"/>
              <w:left w:val="nil"/>
              <w:bottom w:val="nil"/>
              <w:right w:val="single" w:sz="8" w:space="0" w:color="auto"/>
            </w:tcBorders>
            <w:shd w:val="clear" w:color="000000" w:fill="FFFFFF"/>
            <w:vAlign w:val="center"/>
            <w:hideMark/>
          </w:tcPr>
          <w:p w14:paraId="68482B37"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$15.4k</w:t>
            </w:r>
          </w:p>
        </w:tc>
        <w:tc>
          <w:tcPr>
            <w:tcW w:w="0" w:type="auto"/>
            <w:tcBorders>
              <w:top w:val="nil"/>
              <w:left w:val="nil"/>
              <w:bottom w:val="nil"/>
              <w:right w:val="single" w:sz="8" w:space="0" w:color="auto"/>
            </w:tcBorders>
            <w:shd w:val="clear" w:color="000000" w:fill="FFFFFF"/>
            <w:vAlign w:val="center"/>
            <w:hideMark/>
          </w:tcPr>
          <w:p w14:paraId="33AEDCCF"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89.9%</w:t>
            </w:r>
          </w:p>
        </w:tc>
        <w:tc>
          <w:tcPr>
            <w:tcW w:w="0" w:type="auto"/>
            <w:tcBorders>
              <w:top w:val="nil"/>
              <w:left w:val="nil"/>
              <w:bottom w:val="nil"/>
              <w:right w:val="single" w:sz="8" w:space="0" w:color="auto"/>
            </w:tcBorders>
            <w:shd w:val="clear" w:color="000000" w:fill="FFFFFF"/>
            <w:vAlign w:val="center"/>
            <w:hideMark/>
          </w:tcPr>
          <w:p w14:paraId="5659C664"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94.7% (+4.8%)</w:t>
            </w:r>
          </w:p>
        </w:tc>
        <w:tc>
          <w:tcPr>
            <w:tcW w:w="0" w:type="auto"/>
            <w:tcBorders>
              <w:top w:val="single" w:sz="8" w:space="0" w:color="auto"/>
              <w:left w:val="nil"/>
              <w:bottom w:val="nil"/>
              <w:right w:val="single" w:sz="8" w:space="0" w:color="auto"/>
            </w:tcBorders>
            <w:shd w:val="clear" w:color="000000" w:fill="F3FEFF"/>
            <w:vAlign w:val="center"/>
            <w:hideMark/>
          </w:tcPr>
          <w:p w14:paraId="4D1CD853"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98.8%</w:t>
            </w:r>
          </w:p>
        </w:tc>
        <w:tc>
          <w:tcPr>
            <w:tcW w:w="0" w:type="auto"/>
            <w:tcBorders>
              <w:top w:val="single" w:sz="8" w:space="0" w:color="auto"/>
              <w:left w:val="nil"/>
              <w:bottom w:val="nil"/>
              <w:right w:val="single" w:sz="8" w:space="0" w:color="auto"/>
            </w:tcBorders>
            <w:shd w:val="clear" w:color="000000" w:fill="F3FEFF"/>
            <w:vAlign w:val="center"/>
            <w:hideMark/>
          </w:tcPr>
          <w:p w14:paraId="66A3B481" w14:textId="77777777" w:rsidR="003734E1" w:rsidRPr="00031B4D" w:rsidRDefault="003734E1" w:rsidP="0027120A">
            <w:pPr>
              <w:spacing w:after="0" w:line="240" w:lineRule="auto"/>
              <w:jc w:val="center"/>
              <w:rPr>
                <w:rFonts w:eastAsia="Times New Roman" w:cs="Arial"/>
                <w:color w:val="000000"/>
                <w:sz w:val="16"/>
                <w:szCs w:val="16"/>
                <w:lang w:eastAsia="zh-CN" w:bidi="th-TH"/>
              </w:rPr>
            </w:pPr>
            <w:r w:rsidRPr="00031B4D">
              <w:rPr>
                <w:rFonts w:eastAsia="Times New Roman" w:cs="Arial"/>
                <w:color w:val="000000"/>
                <w:sz w:val="16"/>
                <w:szCs w:val="16"/>
                <w:lang w:eastAsia="zh-CN" w:bidi="th-TH"/>
              </w:rPr>
              <w:t>62.6%</w:t>
            </w:r>
          </w:p>
        </w:tc>
      </w:tr>
      <w:tr w:rsidR="003734E1" w:rsidRPr="00031B4D" w14:paraId="17A760EA" w14:textId="77777777" w:rsidTr="0027120A">
        <w:trPr>
          <w:trHeight w:val="315"/>
        </w:trPr>
        <w:tc>
          <w:tcPr>
            <w:tcW w:w="0" w:type="auto"/>
            <w:tcBorders>
              <w:top w:val="single" w:sz="8" w:space="0" w:color="auto"/>
              <w:left w:val="single" w:sz="8" w:space="0" w:color="auto"/>
              <w:bottom w:val="single" w:sz="8" w:space="0" w:color="auto"/>
              <w:right w:val="single" w:sz="8" w:space="0" w:color="auto"/>
            </w:tcBorders>
            <w:shd w:val="clear" w:color="000000" w:fill="F2F2F2"/>
            <w:vAlign w:val="center"/>
            <w:hideMark/>
          </w:tcPr>
          <w:p w14:paraId="7B9FEEFB" w14:textId="77777777" w:rsidR="003734E1" w:rsidRPr="00F830E6" w:rsidRDefault="003734E1" w:rsidP="0027120A">
            <w:pPr>
              <w:spacing w:after="0" w:line="240" w:lineRule="auto"/>
              <w:rPr>
                <w:rFonts w:eastAsia="Times New Roman" w:cs="Arial"/>
                <w:b/>
                <w:bCs/>
                <w:color w:val="007985"/>
                <w:sz w:val="16"/>
                <w:szCs w:val="16"/>
                <w:lang w:eastAsia="zh-CN" w:bidi="th-TH"/>
              </w:rPr>
            </w:pPr>
            <w:r w:rsidRPr="00F830E6">
              <w:rPr>
                <w:rFonts w:eastAsia="Times New Roman" w:cs="Arial"/>
                <w:b/>
                <w:bCs/>
                <w:color w:val="007985"/>
                <w:sz w:val="16"/>
                <w:szCs w:val="16"/>
                <w:lang w:eastAsia="zh-CN" w:bidi="th-TH"/>
              </w:rPr>
              <w:t>Total</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41A01110" w14:textId="77777777" w:rsidR="003734E1" w:rsidRPr="00031B4D" w:rsidRDefault="003734E1" w:rsidP="0027120A">
            <w:pPr>
              <w:spacing w:after="0" w:line="240" w:lineRule="auto"/>
              <w:jc w:val="center"/>
              <w:rPr>
                <w:rFonts w:eastAsia="Times New Roman" w:cs="Arial"/>
                <w:b/>
                <w:bCs/>
                <w:color w:val="000000"/>
                <w:sz w:val="16"/>
                <w:szCs w:val="16"/>
                <w:lang w:eastAsia="zh-CN" w:bidi="th-TH"/>
              </w:rPr>
            </w:pPr>
            <w:r w:rsidRPr="00031B4D">
              <w:rPr>
                <w:rFonts w:eastAsia="Times New Roman" w:cs="Arial"/>
                <w:b/>
                <w:bCs/>
                <w:color w:val="000000"/>
                <w:sz w:val="16"/>
                <w:szCs w:val="16"/>
                <w:lang w:eastAsia="zh-CN" w:bidi="th-TH"/>
              </w:rPr>
              <w:t xml:space="preserve">       37,445 </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34BB72A6" w14:textId="77777777" w:rsidR="003734E1" w:rsidRPr="00031B4D" w:rsidRDefault="003734E1" w:rsidP="0027120A">
            <w:pPr>
              <w:spacing w:after="0" w:line="240" w:lineRule="auto"/>
              <w:jc w:val="center"/>
              <w:rPr>
                <w:rFonts w:eastAsia="Times New Roman" w:cs="Arial"/>
                <w:b/>
                <w:bCs/>
                <w:color w:val="000000"/>
                <w:sz w:val="16"/>
                <w:szCs w:val="16"/>
                <w:lang w:eastAsia="zh-CN" w:bidi="th-TH"/>
              </w:rPr>
            </w:pPr>
            <w:r w:rsidRPr="00031B4D">
              <w:rPr>
                <w:rFonts w:eastAsia="Times New Roman" w:cs="Arial"/>
                <w:b/>
                <w:bCs/>
                <w:color w:val="000000"/>
                <w:sz w:val="16"/>
                <w:szCs w:val="16"/>
                <w:lang w:eastAsia="zh-CN" w:bidi="th-TH"/>
              </w:rPr>
              <w:t>$11.2k</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162A09FF" w14:textId="77777777" w:rsidR="003734E1" w:rsidRPr="00031B4D" w:rsidRDefault="003734E1" w:rsidP="0027120A">
            <w:pPr>
              <w:spacing w:after="0" w:line="240" w:lineRule="auto"/>
              <w:jc w:val="center"/>
              <w:rPr>
                <w:rFonts w:eastAsia="Times New Roman" w:cs="Arial"/>
                <w:b/>
                <w:bCs/>
                <w:color w:val="000000"/>
                <w:sz w:val="16"/>
                <w:szCs w:val="16"/>
                <w:lang w:eastAsia="zh-CN" w:bidi="th-TH"/>
              </w:rPr>
            </w:pPr>
            <w:r w:rsidRPr="00031B4D">
              <w:rPr>
                <w:rFonts w:eastAsia="Times New Roman" w:cs="Arial"/>
                <w:b/>
                <w:bCs/>
                <w:color w:val="000000"/>
                <w:sz w:val="16"/>
                <w:szCs w:val="16"/>
                <w:lang w:eastAsia="zh-CN" w:bidi="th-TH"/>
              </w:rPr>
              <w:t>$12.7k</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65CE3E3F" w14:textId="77777777" w:rsidR="003734E1" w:rsidRPr="00031B4D" w:rsidRDefault="003734E1" w:rsidP="0027120A">
            <w:pPr>
              <w:spacing w:after="0" w:line="240" w:lineRule="auto"/>
              <w:jc w:val="center"/>
              <w:rPr>
                <w:rFonts w:eastAsia="Times New Roman" w:cs="Arial"/>
                <w:b/>
                <w:bCs/>
                <w:color w:val="000000"/>
                <w:sz w:val="16"/>
                <w:szCs w:val="16"/>
                <w:lang w:eastAsia="zh-CN" w:bidi="th-TH"/>
              </w:rPr>
            </w:pPr>
            <w:r w:rsidRPr="00031B4D">
              <w:rPr>
                <w:rFonts w:eastAsia="Times New Roman" w:cs="Arial"/>
                <w:b/>
                <w:bCs/>
                <w:color w:val="000000"/>
                <w:sz w:val="16"/>
                <w:szCs w:val="16"/>
                <w:lang w:eastAsia="zh-CN" w:bidi="th-TH"/>
              </w:rPr>
              <w:t>88.6%</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3436E316" w14:textId="77777777" w:rsidR="003734E1" w:rsidRPr="00031B4D" w:rsidRDefault="003734E1" w:rsidP="0027120A">
            <w:pPr>
              <w:spacing w:after="0" w:line="240" w:lineRule="auto"/>
              <w:jc w:val="center"/>
              <w:rPr>
                <w:rFonts w:eastAsia="Times New Roman" w:cs="Arial"/>
                <w:b/>
                <w:bCs/>
                <w:color w:val="000000"/>
                <w:sz w:val="16"/>
                <w:szCs w:val="16"/>
                <w:lang w:eastAsia="zh-CN" w:bidi="th-TH"/>
              </w:rPr>
            </w:pPr>
            <w:r w:rsidRPr="00031B4D">
              <w:rPr>
                <w:rFonts w:eastAsia="Times New Roman" w:cs="Arial"/>
                <w:b/>
                <w:bCs/>
                <w:color w:val="000000"/>
                <w:sz w:val="16"/>
                <w:szCs w:val="16"/>
                <w:lang w:eastAsia="zh-CN" w:bidi="th-TH"/>
              </w:rPr>
              <w:t>93.7% (+5.1%)</w:t>
            </w:r>
          </w:p>
        </w:tc>
        <w:tc>
          <w:tcPr>
            <w:tcW w:w="0" w:type="auto"/>
            <w:tcBorders>
              <w:top w:val="single" w:sz="8" w:space="0" w:color="auto"/>
              <w:left w:val="nil"/>
              <w:bottom w:val="single" w:sz="8" w:space="0" w:color="auto"/>
              <w:right w:val="single" w:sz="8" w:space="0" w:color="auto"/>
            </w:tcBorders>
            <w:shd w:val="clear" w:color="000000" w:fill="F3FEFF"/>
            <w:vAlign w:val="center"/>
            <w:hideMark/>
          </w:tcPr>
          <w:p w14:paraId="38B2818F" w14:textId="77777777" w:rsidR="003734E1" w:rsidRPr="00031B4D" w:rsidRDefault="003734E1" w:rsidP="0027120A">
            <w:pPr>
              <w:spacing w:after="0" w:line="240" w:lineRule="auto"/>
              <w:jc w:val="center"/>
              <w:rPr>
                <w:rFonts w:eastAsia="Times New Roman" w:cs="Arial"/>
                <w:b/>
                <w:bCs/>
                <w:color w:val="000000"/>
                <w:sz w:val="16"/>
                <w:szCs w:val="16"/>
                <w:lang w:eastAsia="zh-CN" w:bidi="th-TH"/>
              </w:rPr>
            </w:pPr>
            <w:r w:rsidRPr="00031B4D">
              <w:rPr>
                <w:rFonts w:eastAsia="Times New Roman" w:cs="Arial"/>
                <w:b/>
                <w:bCs/>
                <w:color w:val="000000"/>
                <w:sz w:val="16"/>
                <w:szCs w:val="16"/>
                <w:lang w:eastAsia="zh-CN" w:bidi="th-TH"/>
              </w:rPr>
              <w:t>98.7%</w:t>
            </w:r>
          </w:p>
        </w:tc>
        <w:tc>
          <w:tcPr>
            <w:tcW w:w="0" w:type="auto"/>
            <w:tcBorders>
              <w:top w:val="single" w:sz="8" w:space="0" w:color="auto"/>
              <w:left w:val="nil"/>
              <w:bottom w:val="single" w:sz="8" w:space="0" w:color="auto"/>
              <w:right w:val="single" w:sz="8" w:space="0" w:color="auto"/>
            </w:tcBorders>
            <w:shd w:val="clear" w:color="000000" w:fill="F3FEFF"/>
            <w:vAlign w:val="center"/>
            <w:hideMark/>
          </w:tcPr>
          <w:p w14:paraId="33211820" w14:textId="77777777" w:rsidR="003734E1" w:rsidRPr="00031B4D" w:rsidRDefault="003734E1" w:rsidP="0027120A">
            <w:pPr>
              <w:spacing w:after="0" w:line="240" w:lineRule="auto"/>
              <w:jc w:val="center"/>
              <w:rPr>
                <w:rFonts w:eastAsia="Times New Roman" w:cs="Arial"/>
                <w:b/>
                <w:bCs/>
                <w:color w:val="000000"/>
                <w:sz w:val="16"/>
                <w:szCs w:val="16"/>
                <w:lang w:eastAsia="zh-CN" w:bidi="th-TH"/>
              </w:rPr>
            </w:pPr>
            <w:r w:rsidRPr="00031B4D">
              <w:rPr>
                <w:rFonts w:eastAsia="Times New Roman" w:cs="Arial"/>
                <w:b/>
                <w:bCs/>
                <w:color w:val="000000"/>
                <w:sz w:val="16"/>
                <w:szCs w:val="16"/>
                <w:lang w:eastAsia="zh-CN" w:bidi="th-TH"/>
              </w:rPr>
              <w:t>58.7%</w:t>
            </w:r>
          </w:p>
        </w:tc>
      </w:tr>
    </w:tbl>
    <w:p w14:paraId="0B3DA9F5" w14:textId="77777777" w:rsidR="003734E1" w:rsidRPr="00E74189" w:rsidRDefault="003734E1" w:rsidP="003734E1">
      <w:pPr>
        <w:pStyle w:val="FSRnormal"/>
        <w:spacing w:before="20" w:after="40"/>
        <w:rPr>
          <w:sz w:val="16"/>
          <w:szCs w:val="16"/>
        </w:rPr>
      </w:pPr>
      <w:r w:rsidRPr="00E74189">
        <w:rPr>
          <w:sz w:val="16"/>
          <w:szCs w:val="16"/>
          <w:vertAlign w:val="superscript"/>
        </w:rPr>
        <w:t>*</w:t>
      </w:r>
      <w:r>
        <w:rPr>
          <w:sz w:val="16"/>
          <w:szCs w:val="16"/>
        </w:rPr>
        <w:t>Includes Global Developmental Delay</w:t>
      </w:r>
    </w:p>
    <w:p w14:paraId="57ADD147" w14:textId="77777777" w:rsidR="003734E1" w:rsidRPr="00AF3A44" w:rsidRDefault="003734E1" w:rsidP="003734E1">
      <w:pPr>
        <w:pStyle w:val="FSRnormal"/>
        <w:rPr>
          <w:i/>
          <w:iCs/>
        </w:rPr>
      </w:pPr>
      <w:r>
        <w:lastRenderedPageBreak/>
        <w:t xml:space="preserve">Participants completing the SFOF are only asked if the NDIS helped them with daily living activities at first and subsequent reviews (since the Scheme has not had an opportunity to help at Scheme entry). For age cohorts 15 and over presented in </w:t>
      </w:r>
      <w:r w:rsidR="00707715">
        <w:t>Table K.</w:t>
      </w:r>
      <w:r w:rsidR="00707715">
        <w:rPr>
          <w:noProof/>
        </w:rPr>
        <w:t>4</w:t>
      </w:r>
      <w:r w:rsidR="00303757" w:rsidRPr="00DA3F73">
        <w:rPr>
          <w:iCs/>
        </w:rPr>
        <w:t xml:space="preserve"> and </w:t>
      </w:r>
      <w:r w:rsidR="00707715">
        <w:t>Table K.</w:t>
      </w:r>
      <w:r w:rsidR="00707715">
        <w:rPr>
          <w:noProof/>
        </w:rPr>
        <w:t>5</w:t>
      </w:r>
      <w:r>
        <w:t xml:space="preserve"> (where aggregate responses to these questions are presented) the first review response effectively takes the role of “baseline”. This explains the smaller numbers of participants in baseline cohorts compared to elsewhere in this section.</w:t>
      </w:r>
    </w:p>
    <w:p w14:paraId="42427040" w14:textId="77777777" w:rsidR="003734E1" w:rsidRDefault="003734E1" w:rsidP="003734E1">
      <w:pPr>
        <w:pStyle w:val="Caption"/>
        <w:keepNext/>
      </w:pPr>
      <w:bookmarkStart w:id="1233" w:name="_Ref114567658"/>
      <w:r>
        <w:t>Table</w:t>
      </w:r>
      <w:r w:rsidR="00415177">
        <w:t xml:space="preserve"> K</w:t>
      </w:r>
      <w:r w:rsidR="00A87896">
        <w:t>.</w:t>
      </w:r>
      <w:fldSimple w:instr=" SEQ Table \* ARABIC \s 2 ">
        <w:r w:rsidR="00A87896">
          <w:rPr>
            <w:noProof/>
          </w:rPr>
          <w:t>4</w:t>
        </w:r>
      </w:fldSimple>
      <w:bookmarkEnd w:id="1233"/>
      <w:r w:rsidR="00415177">
        <w:t>:</w:t>
      </w:r>
      <w:r>
        <w:t xml:space="preserve"> </w:t>
      </w:r>
      <w:r w:rsidRPr="002A7F95">
        <w:t xml:space="preserve">% </w:t>
      </w:r>
      <w:r>
        <w:t xml:space="preserve">participants 15-24 years old </w:t>
      </w:r>
      <w:r w:rsidRPr="002A7F95">
        <w:t>who say the NDIS helped them with daily living activities</w:t>
      </w:r>
    </w:p>
    <w:tbl>
      <w:tblPr>
        <w:tblW w:w="0" w:type="auto"/>
        <w:tblLook w:val="04A0" w:firstRow="1" w:lastRow="0" w:firstColumn="1" w:lastColumn="0" w:noHBand="0" w:noVBand="1"/>
      </w:tblPr>
      <w:tblGrid>
        <w:gridCol w:w="1249"/>
        <w:gridCol w:w="1152"/>
        <w:gridCol w:w="908"/>
        <w:gridCol w:w="895"/>
        <w:gridCol w:w="1153"/>
        <w:gridCol w:w="1155"/>
        <w:gridCol w:w="1229"/>
        <w:gridCol w:w="1265"/>
      </w:tblGrid>
      <w:tr w:rsidR="003734E1" w:rsidRPr="00494465" w14:paraId="68BE97B5" w14:textId="77777777" w:rsidTr="0027120A">
        <w:trPr>
          <w:trHeight w:val="1022"/>
        </w:trPr>
        <w:tc>
          <w:tcPr>
            <w:tcW w:w="0" w:type="auto"/>
            <w:tcBorders>
              <w:top w:val="single" w:sz="8" w:space="0" w:color="auto"/>
              <w:left w:val="single" w:sz="8" w:space="0" w:color="auto"/>
              <w:bottom w:val="single" w:sz="8" w:space="0" w:color="auto"/>
              <w:right w:val="single" w:sz="8" w:space="0" w:color="auto"/>
            </w:tcBorders>
            <w:shd w:val="clear" w:color="000000" w:fill="660066"/>
            <w:vAlign w:val="center"/>
            <w:hideMark/>
          </w:tcPr>
          <w:p w14:paraId="09D930D4" w14:textId="77777777" w:rsidR="003734E1" w:rsidRPr="00494465" w:rsidRDefault="003734E1" w:rsidP="0027120A">
            <w:pPr>
              <w:spacing w:after="0" w:line="240" w:lineRule="auto"/>
              <w:rPr>
                <w:rFonts w:eastAsia="Times New Roman" w:cs="Arial"/>
                <w:b/>
                <w:bCs/>
                <w:color w:val="FFFFFF"/>
                <w:sz w:val="16"/>
                <w:szCs w:val="16"/>
                <w:lang w:eastAsia="zh-CN" w:bidi="th-TH"/>
              </w:rPr>
            </w:pPr>
            <w:r w:rsidRPr="00494465">
              <w:rPr>
                <w:rFonts w:eastAsia="Times New Roman" w:cs="Arial"/>
                <w:b/>
                <w:bCs/>
                <w:color w:val="FFFFFF"/>
                <w:sz w:val="16"/>
                <w:szCs w:val="16"/>
                <w:lang w:eastAsia="zh-CN" w:bidi="th-TH"/>
              </w:rPr>
              <w:t>Disability group</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6C32E5DE" w14:textId="77777777" w:rsidR="003734E1" w:rsidRPr="00494465" w:rsidRDefault="003734E1" w:rsidP="0027120A">
            <w:pPr>
              <w:spacing w:after="0" w:line="240" w:lineRule="auto"/>
              <w:rPr>
                <w:rFonts w:eastAsia="Times New Roman" w:cs="Arial"/>
                <w:b/>
                <w:bCs/>
                <w:color w:val="FFFFFF"/>
                <w:sz w:val="16"/>
                <w:szCs w:val="16"/>
                <w:lang w:eastAsia="zh-CN" w:bidi="th-TH"/>
              </w:rPr>
            </w:pPr>
            <w:r w:rsidRPr="00494465">
              <w:rPr>
                <w:rFonts w:eastAsia="Times New Roman" w:cs="Arial"/>
                <w:b/>
                <w:bCs/>
                <w:color w:val="FFFFFF"/>
                <w:sz w:val="16"/>
                <w:szCs w:val="16"/>
                <w:lang w:eastAsia="zh-CN" w:bidi="th-TH"/>
              </w:rPr>
              <w:t>Number of participants in baseline cohort</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77A95FF8" w14:textId="77777777" w:rsidR="003734E1" w:rsidRPr="00494465" w:rsidRDefault="003734E1" w:rsidP="0027120A">
            <w:pPr>
              <w:spacing w:after="0" w:line="240" w:lineRule="auto"/>
              <w:rPr>
                <w:rFonts w:eastAsia="Times New Roman" w:cs="Arial"/>
                <w:b/>
                <w:bCs/>
                <w:color w:val="FFFFFF"/>
                <w:sz w:val="16"/>
                <w:szCs w:val="16"/>
                <w:lang w:eastAsia="zh-CN" w:bidi="th-TH"/>
              </w:rPr>
            </w:pPr>
            <w:r w:rsidRPr="00494465">
              <w:rPr>
                <w:rFonts w:eastAsia="Times New Roman" w:cs="Arial"/>
                <w:b/>
                <w:bCs/>
                <w:color w:val="FFFFFF"/>
                <w:sz w:val="16"/>
                <w:szCs w:val="16"/>
                <w:lang w:eastAsia="zh-CN" w:bidi="th-TH"/>
              </w:rPr>
              <w:t xml:space="preserve"> Median capacity building payment (yearly) </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37D3A3B5" w14:textId="77777777" w:rsidR="003734E1" w:rsidRPr="00494465" w:rsidRDefault="003734E1" w:rsidP="0027120A">
            <w:pPr>
              <w:spacing w:after="0" w:line="240" w:lineRule="auto"/>
              <w:rPr>
                <w:rFonts w:eastAsia="Times New Roman" w:cs="Arial"/>
                <w:b/>
                <w:bCs/>
                <w:color w:val="FFFFFF"/>
                <w:sz w:val="16"/>
                <w:szCs w:val="16"/>
                <w:lang w:eastAsia="zh-CN" w:bidi="th-TH"/>
              </w:rPr>
            </w:pPr>
            <w:r w:rsidRPr="00494465">
              <w:rPr>
                <w:rFonts w:eastAsia="Times New Roman" w:cs="Arial"/>
                <w:b/>
                <w:bCs/>
                <w:color w:val="FFFFFF"/>
                <w:sz w:val="16"/>
                <w:szCs w:val="16"/>
                <w:lang w:eastAsia="zh-CN" w:bidi="th-TH"/>
              </w:rPr>
              <w:t xml:space="preserve"> Median total payment (yearly) </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4D3C1EE9" w14:textId="77777777" w:rsidR="003734E1" w:rsidRPr="00494465" w:rsidRDefault="003734E1" w:rsidP="0027120A">
            <w:pPr>
              <w:spacing w:after="0" w:line="240" w:lineRule="auto"/>
              <w:jc w:val="center"/>
              <w:rPr>
                <w:rFonts w:eastAsia="Times New Roman" w:cs="Arial"/>
                <w:b/>
                <w:bCs/>
                <w:color w:val="FFFFFF"/>
                <w:sz w:val="16"/>
                <w:szCs w:val="16"/>
                <w:lang w:eastAsia="zh-CN" w:bidi="th-TH"/>
              </w:rPr>
            </w:pPr>
            <w:r w:rsidRPr="00494465">
              <w:rPr>
                <w:rFonts w:eastAsia="Times New Roman" w:cs="Arial"/>
                <w:b/>
                <w:bCs/>
                <w:color w:val="FFFFFF"/>
                <w:sz w:val="16"/>
                <w:szCs w:val="16"/>
                <w:lang w:eastAsia="zh-CN" w:bidi="th-TH"/>
              </w:rPr>
              <w:t xml:space="preserve">% participants with outcome at </w:t>
            </w:r>
            <w:r>
              <w:rPr>
                <w:rFonts w:eastAsia="Times New Roman" w:cs="Arial"/>
                <w:b/>
                <w:bCs/>
                <w:color w:val="FFFFFF"/>
                <w:sz w:val="16"/>
                <w:szCs w:val="16"/>
                <w:lang w:eastAsia="zh-CN" w:bidi="th-TH"/>
              </w:rPr>
              <w:t>first review</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167AA76A" w14:textId="77777777" w:rsidR="003734E1" w:rsidRPr="00494465" w:rsidRDefault="003734E1" w:rsidP="0027120A">
            <w:pPr>
              <w:spacing w:after="0" w:line="240" w:lineRule="auto"/>
              <w:rPr>
                <w:rFonts w:eastAsia="Times New Roman" w:cs="Arial"/>
                <w:b/>
                <w:bCs/>
                <w:color w:val="FFFFFF"/>
                <w:sz w:val="16"/>
                <w:szCs w:val="16"/>
                <w:lang w:eastAsia="zh-CN" w:bidi="th-TH"/>
              </w:rPr>
            </w:pPr>
            <w:r w:rsidRPr="00494465">
              <w:rPr>
                <w:rFonts w:eastAsia="Times New Roman" w:cs="Arial"/>
                <w:b/>
                <w:bCs/>
                <w:color w:val="FFFFFF"/>
                <w:sz w:val="16"/>
                <w:szCs w:val="16"/>
                <w:lang w:eastAsia="zh-CN" w:bidi="th-TH"/>
              </w:rPr>
              <w:t>% participants with outcome at latest review</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7A754E05" w14:textId="77777777" w:rsidR="003734E1" w:rsidRPr="00494465" w:rsidRDefault="003734E1" w:rsidP="0027120A">
            <w:pPr>
              <w:spacing w:after="0" w:line="240" w:lineRule="auto"/>
              <w:rPr>
                <w:rFonts w:eastAsia="Times New Roman" w:cs="Arial"/>
                <w:b/>
                <w:bCs/>
                <w:color w:val="FFFFFF"/>
                <w:sz w:val="16"/>
                <w:szCs w:val="16"/>
                <w:lang w:eastAsia="zh-CN" w:bidi="th-TH"/>
              </w:rPr>
            </w:pPr>
            <w:r w:rsidRPr="00494465">
              <w:rPr>
                <w:rFonts w:eastAsia="Times New Roman" w:cs="Arial"/>
                <w:b/>
                <w:bCs/>
                <w:color w:val="FFFFFF"/>
                <w:sz w:val="16"/>
                <w:szCs w:val="16"/>
                <w:lang w:eastAsia="zh-CN" w:bidi="th-TH"/>
              </w:rPr>
              <w:t>Maintenance of 'yes' response: baseline to latest review</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013EFEB8" w14:textId="77777777" w:rsidR="003734E1" w:rsidRPr="00494465" w:rsidRDefault="003734E1" w:rsidP="0027120A">
            <w:pPr>
              <w:spacing w:after="0" w:line="240" w:lineRule="auto"/>
              <w:rPr>
                <w:rFonts w:eastAsia="Times New Roman" w:cs="Arial"/>
                <w:b/>
                <w:bCs/>
                <w:color w:val="FFFFFF"/>
                <w:sz w:val="16"/>
                <w:szCs w:val="16"/>
                <w:lang w:eastAsia="zh-CN" w:bidi="th-TH"/>
              </w:rPr>
            </w:pPr>
            <w:r w:rsidRPr="00494465">
              <w:rPr>
                <w:rFonts w:eastAsia="Times New Roman" w:cs="Arial"/>
                <w:b/>
                <w:bCs/>
                <w:color w:val="FFFFFF"/>
                <w:sz w:val="16"/>
                <w:szCs w:val="16"/>
                <w:lang w:eastAsia="zh-CN" w:bidi="th-TH"/>
              </w:rPr>
              <w:t>Improvement from 'no' response: baseline to latest review</w:t>
            </w:r>
          </w:p>
        </w:tc>
      </w:tr>
      <w:tr w:rsidR="003734E1" w:rsidRPr="00494465" w14:paraId="1A88CAAC"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72CEE3CD" w14:textId="77777777" w:rsidR="003734E1" w:rsidRPr="00494465" w:rsidRDefault="003734E1" w:rsidP="0027120A">
            <w:pPr>
              <w:spacing w:after="0" w:line="240" w:lineRule="auto"/>
              <w:rPr>
                <w:rFonts w:eastAsia="Times New Roman" w:cs="Arial"/>
                <w:b/>
                <w:bCs/>
                <w:color w:val="000000"/>
                <w:sz w:val="16"/>
                <w:szCs w:val="16"/>
                <w:lang w:eastAsia="zh-CN" w:bidi="th-TH"/>
              </w:rPr>
            </w:pPr>
            <w:r w:rsidRPr="00494465">
              <w:rPr>
                <w:rFonts w:eastAsia="Times New Roman" w:cs="Arial"/>
                <w:b/>
                <w:bCs/>
                <w:color w:val="000000"/>
                <w:sz w:val="16"/>
                <w:szCs w:val="16"/>
                <w:lang w:eastAsia="zh-CN" w:bidi="th-TH"/>
              </w:rPr>
              <w:t>Autism</w:t>
            </w:r>
          </w:p>
        </w:tc>
        <w:tc>
          <w:tcPr>
            <w:tcW w:w="0" w:type="auto"/>
            <w:tcBorders>
              <w:top w:val="nil"/>
              <w:left w:val="nil"/>
              <w:bottom w:val="nil"/>
              <w:right w:val="single" w:sz="8" w:space="0" w:color="auto"/>
            </w:tcBorders>
            <w:shd w:val="clear" w:color="000000" w:fill="FFFFFF"/>
            <w:vAlign w:val="center"/>
            <w:hideMark/>
          </w:tcPr>
          <w:p w14:paraId="06062E1B"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 xml:space="preserve">       11,595 </w:t>
            </w:r>
          </w:p>
        </w:tc>
        <w:tc>
          <w:tcPr>
            <w:tcW w:w="0" w:type="auto"/>
            <w:tcBorders>
              <w:top w:val="nil"/>
              <w:left w:val="nil"/>
              <w:bottom w:val="nil"/>
              <w:right w:val="single" w:sz="8" w:space="0" w:color="auto"/>
            </w:tcBorders>
            <w:shd w:val="clear" w:color="000000" w:fill="FFFFFF"/>
            <w:vAlign w:val="center"/>
            <w:hideMark/>
          </w:tcPr>
          <w:p w14:paraId="36237463"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$8.9k</w:t>
            </w:r>
          </w:p>
        </w:tc>
        <w:tc>
          <w:tcPr>
            <w:tcW w:w="0" w:type="auto"/>
            <w:tcBorders>
              <w:top w:val="nil"/>
              <w:left w:val="nil"/>
              <w:bottom w:val="nil"/>
              <w:right w:val="single" w:sz="8" w:space="0" w:color="auto"/>
            </w:tcBorders>
            <w:shd w:val="clear" w:color="000000" w:fill="FFFFFF"/>
            <w:vAlign w:val="center"/>
            <w:hideMark/>
          </w:tcPr>
          <w:p w14:paraId="0934C4BF"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$24.6k</w:t>
            </w:r>
          </w:p>
        </w:tc>
        <w:tc>
          <w:tcPr>
            <w:tcW w:w="0" w:type="auto"/>
            <w:tcBorders>
              <w:top w:val="nil"/>
              <w:left w:val="nil"/>
              <w:bottom w:val="nil"/>
              <w:right w:val="single" w:sz="8" w:space="0" w:color="auto"/>
            </w:tcBorders>
            <w:shd w:val="clear" w:color="000000" w:fill="FFFFFF"/>
            <w:vAlign w:val="center"/>
            <w:hideMark/>
          </w:tcPr>
          <w:p w14:paraId="486C9181"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66.1%</w:t>
            </w:r>
          </w:p>
        </w:tc>
        <w:tc>
          <w:tcPr>
            <w:tcW w:w="0" w:type="auto"/>
            <w:tcBorders>
              <w:top w:val="nil"/>
              <w:left w:val="nil"/>
              <w:bottom w:val="nil"/>
              <w:right w:val="single" w:sz="8" w:space="0" w:color="auto"/>
            </w:tcBorders>
            <w:shd w:val="clear" w:color="000000" w:fill="FFFFFF"/>
            <w:vAlign w:val="center"/>
            <w:hideMark/>
          </w:tcPr>
          <w:p w14:paraId="0816CB99"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69.1% (+2.9%)</w:t>
            </w:r>
          </w:p>
        </w:tc>
        <w:tc>
          <w:tcPr>
            <w:tcW w:w="0" w:type="auto"/>
            <w:tcBorders>
              <w:top w:val="nil"/>
              <w:left w:val="nil"/>
              <w:bottom w:val="nil"/>
              <w:right w:val="single" w:sz="8" w:space="0" w:color="auto"/>
            </w:tcBorders>
            <w:shd w:val="clear" w:color="000000" w:fill="F3FEFF"/>
            <w:vAlign w:val="center"/>
            <w:hideMark/>
          </w:tcPr>
          <w:p w14:paraId="6D8D55DD"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94.6%</w:t>
            </w:r>
          </w:p>
        </w:tc>
        <w:tc>
          <w:tcPr>
            <w:tcW w:w="0" w:type="auto"/>
            <w:tcBorders>
              <w:top w:val="nil"/>
              <w:left w:val="nil"/>
              <w:bottom w:val="nil"/>
              <w:right w:val="single" w:sz="8" w:space="0" w:color="auto"/>
            </w:tcBorders>
            <w:shd w:val="clear" w:color="000000" w:fill="F3FEFF"/>
            <w:vAlign w:val="center"/>
            <w:hideMark/>
          </w:tcPr>
          <w:p w14:paraId="622402B5"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37.9%</w:t>
            </w:r>
          </w:p>
        </w:tc>
      </w:tr>
      <w:tr w:rsidR="003734E1" w:rsidRPr="00494465" w14:paraId="337A4852"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0CD3F810" w14:textId="77777777" w:rsidR="003734E1" w:rsidRPr="00494465" w:rsidRDefault="003734E1" w:rsidP="0027120A">
            <w:pPr>
              <w:spacing w:after="0" w:line="240" w:lineRule="auto"/>
              <w:rPr>
                <w:rFonts w:eastAsia="Times New Roman" w:cs="Arial"/>
                <w:b/>
                <w:bCs/>
                <w:color w:val="000000"/>
                <w:sz w:val="16"/>
                <w:szCs w:val="16"/>
                <w:lang w:eastAsia="zh-CN" w:bidi="th-TH"/>
              </w:rPr>
            </w:pPr>
            <w:r w:rsidRPr="00494465">
              <w:rPr>
                <w:rFonts w:eastAsia="Times New Roman" w:cs="Arial"/>
                <w:b/>
                <w:bCs/>
                <w:color w:val="000000"/>
                <w:sz w:val="16"/>
                <w:szCs w:val="16"/>
                <w:lang w:eastAsia="zh-CN" w:bidi="th-TH"/>
              </w:rPr>
              <w:t>Intellectual Disability</w:t>
            </w:r>
          </w:p>
        </w:tc>
        <w:tc>
          <w:tcPr>
            <w:tcW w:w="0" w:type="auto"/>
            <w:tcBorders>
              <w:top w:val="nil"/>
              <w:left w:val="nil"/>
              <w:bottom w:val="nil"/>
              <w:right w:val="single" w:sz="8" w:space="0" w:color="auto"/>
            </w:tcBorders>
            <w:shd w:val="clear" w:color="000000" w:fill="FFFFFF"/>
            <w:vAlign w:val="center"/>
            <w:hideMark/>
          </w:tcPr>
          <w:p w14:paraId="3AE02D8B"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 xml:space="preserve">         9,614 </w:t>
            </w:r>
          </w:p>
        </w:tc>
        <w:tc>
          <w:tcPr>
            <w:tcW w:w="0" w:type="auto"/>
            <w:tcBorders>
              <w:top w:val="nil"/>
              <w:left w:val="nil"/>
              <w:bottom w:val="nil"/>
              <w:right w:val="single" w:sz="8" w:space="0" w:color="auto"/>
            </w:tcBorders>
            <w:shd w:val="clear" w:color="000000" w:fill="FFFFFF"/>
            <w:vAlign w:val="center"/>
            <w:hideMark/>
          </w:tcPr>
          <w:p w14:paraId="453FFC05"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$10.0k</w:t>
            </w:r>
          </w:p>
        </w:tc>
        <w:tc>
          <w:tcPr>
            <w:tcW w:w="0" w:type="auto"/>
            <w:tcBorders>
              <w:top w:val="nil"/>
              <w:left w:val="nil"/>
              <w:bottom w:val="nil"/>
              <w:right w:val="single" w:sz="8" w:space="0" w:color="auto"/>
            </w:tcBorders>
            <w:shd w:val="clear" w:color="000000" w:fill="FFFFFF"/>
            <w:vAlign w:val="center"/>
            <w:hideMark/>
          </w:tcPr>
          <w:p w14:paraId="42B43371"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$35.2k</w:t>
            </w:r>
          </w:p>
        </w:tc>
        <w:tc>
          <w:tcPr>
            <w:tcW w:w="0" w:type="auto"/>
            <w:tcBorders>
              <w:top w:val="nil"/>
              <w:left w:val="nil"/>
              <w:bottom w:val="nil"/>
              <w:right w:val="single" w:sz="8" w:space="0" w:color="auto"/>
            </w:tcBorders>
            <w:shd w:val="clear" w:color="000000" w:fill="FFFFFF"/>
            <w:vAlign w:val="center"/>
            <w:hideMark/>
          </w:tcPr>
          <w:p w14:paraId="162657E9"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66.8%</w:t>
            </w:r>
          </w:p>
        </w:tc>
        <w:tc>
          <w:tcPr>
            <w:tcW w:w="0" w:type="auto"/>
            <w:tcBorders>
              <w:top w:val="nil"/>
              <w:left w:val="nil"/>
              <w:bottom w:val="nil"/>
              <w:right w:val="single" w:sz="8" w:space="0" w:color="auto"/>
            </w:tcBorders>
            <w:shd w:val="clear" w:color="000000" w:fill="FFFFFF"/>
            <w:vAlign w:val="center"/>
            <w:hideMark/>
          </w:tcPr>
          <w:p w14:paraId="580741A9"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69.9% (+3.0%)</w:t>
            </w:r>
          </w:p>
        </w:tc>
        <w:tc>
          <w:tcPr>
            <w:tcW w:w="0" w:type="auto"/>
            <w:tcBorders>
              <w:top w:val="single" w:sz="8" w:space="0" w:color="auto"/>
              <w:left w:val="nil"/>
              <w:bottom w:val="nil"/>
              <w:right w:val="single" w:sz="8" w:space="0" w:color="auto"/>
            </w:tcBorders>
            <w:shd w:val="clear" w:color="000000" w:fill="F3FEFF"/>
            <w:vAlign w:val="center"/>
            <w:hideMark/>
          </w:tcPr>
          <w:p w14:paraId="296EDD31"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94.7%</w:t>
            </w:r>
          </w:p>
        </w:tc>
        <w:tc>
          <w:tcPr>
            <w:tcW w:w="0" w:type="auto"/>
            <w:tcBorders>
              <w:top w:val="single" w:sz="8" w:space="0" w:color="auto"/>
              <w:left w:val="nil"/>
              <w:bottom w:val="nil"/>
              <w:right w:val="single" w:sz="8" w:space="0" w:color="auto"/>
            </w:tcBorders>
            <w:shd w:val="clear" w:color="000000" w:fill="F3FEFF"/>
            <w:vAlign w:val="center"/>
            <w:hideMark/>
          </w:tcPr>
          <w:p w14:paraId="1D2870C0"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40.4%</w:t>
            </w:r>
          </w:p>
        </w:tc>
      </w:tr>
      <w:tr w:rsidR="003734E1" w:rsidRPr="00494465" w14:paraId="158D5F4B" w14:textId="77777777" w:rsidTr="0027120A">
        <w:trPr>
          <w:trHeight w:val="300"/>
        </w:trPr>
        <w:tc>
          <w:tcPr>
            <w:tcW w:w="0" w:type="auto"/>
            <w:tcBorders>
              <w:top w:val="nil"/>
              <w:left w:val="single" w:sz="8" w:space="0" w:color="auto"/>
              <w:bottom w:val="nil"/>
              <w:right w:val="single" w:sz="8" w:space="0" w:color="auto"/>
            </w:tcBorders>
            <w:shd w:val="clear" w:color="000000" w:fill="FFFFFF"/>
            <w:vAlign w:val="center"/>
            <w:hideMark/>
          </w:tcPr>
          <w:p w14:paraId="75355212" w14:textId="77777777" w:rsidR="003734E1" w:rsidRPr="00494465" w:rsidRDefault="003734E1" w:rsidP="0027120A">
            <w:pPr>
              <w:spacing w:after="0" w:line="240" w:lineRule="auto"/>
              <w:rPr>
                <w:rFonts w:eastAsia="Times New Roman" w:cs="Arial"/>
                <w:b/>
                <w:bCs/>
                <w:color w:val="000000"/>
                <w:sz w:val="16"/>
                <w:szCs w:val="16"/>
                <w:lang w:eastAsia="zh-CN" w:bidi="th-TH"/>
              </w:rPr>
            </w:pPr>
            <w:r w:rsidRPr="00494465">
              <w:rPr>
                <w:rFonts w:eastAsia="Times New Roman" w:cs="Arial"/>
                <w:b/>
                <w:bCs/>
                <w:color w:val="000000"/>
                <w:sz w:val="16"/>
                <w:szCs w:val="16"/>
                <w:lang w:eastAsia="zh-CN" w:bidi="th-TH"/>
              </w:rPr>
              <w:t>Psychosocial disability</w:t>
            </w:r>
          </w:p>
        </w:tc>
        <w:tc>
          <w:tcPr>
            <w:tcW w:w="0" w:type="auto"/>
            <w:tcBorders>
              <w:top w:val="nil"/>
              <w:left w:val="nil"/>
              <w:bottom w:val="nil"/>
              <w:right w:val="single" w:sz="8" w:space="0" w:color="auto"/>
            </w:tcBorders>
            <w:shd w:val="clear" w:color="000000" w:fill="FFFFFF"/>
            <w:vAlign w:val="center"/>
            <w:hideMark/>
          </w:tcPr>
          <w:p w14:paraId="199A660A"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 xml:space="preserve">            854 </w:t>
            </w:r>
          </w:p>
        </w:tc>
        <w:tc>
          <w:tcPr>
            <w:tcW w:w="0" w:type="auto"/>
            <w:tcBorders>
              <w:top w:val="nil"/>
              <w:left w:val="nil"/>
              <w:bottom w:val="nil"/>
              <w:right w:val="single" w:sz="8" w:space="0" w:color="auto"/>
            </w:tcBorders>
            <w:shd w:val="clear" w:color="000000" w:fill="FFFFFF"/>
            <w:vAlign w:val="center"/>
            <w:hideMark/>
          </w:tcPr>
          <w:p w14:paraId="53495DE1"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$9.9k</w:t>
            </w:r>
          </w:p>
        </w:tc>
        <w:tc>
          <w:tcPr>
            <w:tcW w:w="0" w:type="auto"/>
            <w:tcBorders>
              <w:top w:val="nil"/>
              <w:left w:val="nil"/>
              <w:bottom w:val="nil"/>
              <w:right w:val="single" w:sz="8" w:space="0" w:color="auto"/>
            </w:tcBorders>
            <w:shd w:val="clear" w:color="000000" w:fill="FFFFFF"/>
            <w:vAlign w:val="center"/>
            <w:hideMark/>
          </w:tcPr>
          <w:p w14:paraId="40A36F2F"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$27.0k</w:t>
            </w:r>
          </w:p>
        </w:tc>
        <w:tc>
          <w:tcPr>
            <w:tcW w:w="0" w:type="auto"/>
            <w:tcBorders>
              <w:top w:val="nil"/>
              <w:left w:val="nil"/>
              <w:bottom w:val="nil"/>
              <w:right w:val="single" w:sz="8" w:space="0" w:color="auto"/>
            </w:tcBorders>
            <w:shd w:val="clear" w:color="000000" w:fill="FFFFFF"/>
            <w:vAlign w:val="center"/>
            <w:hideMark/>
          </w:tcPr>
          <w:p w14:paraId="58ED2DDF"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61.8%</w:t>
            </w:r>
          </w:p>
        </w:tc>
        <w:tc>
          <w:tcPr>
            <w:tcW w:w="0" w:type="auto"/>
            <w:tcBorders>
              <w:top w:val="nil"/>
              <w:left w:val="nil"/>
              <w:bottom w:val="nil"/>
              <w:right w:val="single" w:sz="8" w:space="0" w:color="auto"/>
            </w:tcBorders>
            <w:shd w:val="clear" w:color="000000" w:fill="FFFFFF"/>
            <w:vAlign w:val="center"/>
            <w:hideMark/>
          </w:tcPr>
          <w:p w14:paraId="1E05AF03"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64.9% (+3.0%)</w:t>
            </w:r>
          </w:p>
        </w:tc>
        <w:tc>
          <w:tcPr>
            <w:tcW w:w="0" w:type="auto"/>
            <w:tcBorders>
              <w:top w:val="single" w:sz="8" w:space="0" w:color="auto"/>
              <w:left w:val="nil"/>
              <w:bottom w:val="nil"/>
              <w:right w:val="single" w:sz="8" w:space="0" w:color="auto"/>
            </w:tcBorders>
            <w:shd w:val="clear" w:color="000000" w:fill="F3FEFF"/>
            <w:vAlign w:val="center"/>
            <w:hideMark/>
          </w:tcPr>
          <w:p w14:paraId="5B17C840"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93.7%</w:t>
            </w:r>
          </w:p>
        </w:tc>
        <w:tc>
          <w:tcPr>
            <w:tcW w:w="0" w:type="auto"/>
            <w:tcBorders>
              <w:top w:val="single" w:sz="8" w:space="0" w:color="auto"/>
              <w:left w:val="nil"/>
              <w:bottom w:val="nil"/>
              <w:right w:val="single" w:sz="8" w:space="0" w:color="auto"/>
            </w:tcBorders>
            <w:shd w:val="clear" w:color="000000" w:fill="F3FEFF"/>
            <w:vAlign w:val="center"/>
            <w:hideMark/>
          </w:tcPr>
          <w:p w14:paraId="3A6A2800"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37.1%</w:t>
            </w:r>
          </w:p>
        </w:tc>
      </w:tr>
      <w:tr w:rsidR="003734E1" w:rsidRPr="00494465" w14:paraId="5FE3E941"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6B8D8B2C" w14:textId="77777777" w:rsidR="003734E1" w:rsidRPr="00494465" w:rsidRDefault="003734E1" w:rsidP="0027120A">
            <w:pPr>
              <w:spacing w:after="0" w:line="240" w:lineRule="auto"/>
              <w:rPr>
                <w:rFonts w:eastAsia="Times New Roman" w:cs="Arial"/>
                <w:b/>
                <w:bCs/>
                <w:color w:val="000000"/>
                <w:sz w:val="16"/>
                <w:szCs w:val="16"/>
                <w:lang w:eastAsia="zh-CN" w:bidi="th-TH"/>
              </w:rPr>
            </w:pPr>
            <w:r w:rsidRPr="00494465">
              <w:rPr>
                <w:rFonts w:eastAsia="Times New Roman" w:cs="Arial"/>
                <w:b/>
                <w:bCs/>
                <w:color w:val="000000"/>
                <w:sz w:val="16"/>
                <w:szCs w:val="16"/>
                <w:lang w:eastAsia="zh-CN" w:bidi="th-TH"/>
              </w:rPr>
              <w:t>Sensory disability</w:t>
            </w:r>
          </w:p>
        </w:tc>
        <w:tc>
          <w:tcPr>
            <w:tcW w:w="0" w:type="auto"/>
            <w:tcBorders>
              <w:top w:val="nil"/>
              <w:left w:val="nil"/>
              <w:bottom w:val="nil"/>
              <w:right w:val="single" w:sz="8" w:space="0" w:color="auto"/>
            </w:tcBorders>
            <w:shd w:val="clear" w:color="000000" w:fill="FFFFFF"/>
            <w:vAlign w:val="center"/>
            <w:hideMark/>
          </w:tcPr>
          <w:p w14:paraId="30210967"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 xml:space="preserve">         1,457 </w:t>
            </w:r>
          </w:p>
        </w:tc>
        <w:tc>
          <w:tcPr>
            <w:tcW w:w="0" w:type="auto"/>
            <w:tcBorders>
              <w:top w:val="nil"/>
              <w:left w:val="nil"/>
              <w:bottom w:val="nil"/>
              <w:right w:val="single" w:sz="8" w:space="0" w:color="auto"/>
            </w:tcBorders>
            <w:shd w:val="clear" w:color="000000" w:fill="FFFFFF"/>
            <w:vAlign w:val="center"/>
            <w:hideMark/>
          </w:tcPr>
          <w:p w14:paraId="7E7275FA"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$4.5k</w:t>
            </w:r>
          </w:p>
        </w:tc>
        <w:tc>
          <w:tcPr>
            <w:tcW w:w="0" w:type="auto"/>
            <w:tcBorders>
              <w:top w:val="nil"/>
              <w:left w:val="nil"/>
              <w:bottom w:val="nil"/>
              <w:right w:val="single" w:sz="8" w:space="0" w:color="auto"/>
            </w:tcBorders>
            <w:shd w:val="clear" w:color="000000" w:fill="FFFFFF"/>
            <w:vAlign w:val="center"/>
            <w:hideMark/>
          </w:tcPr>
          <w:p w14:paraId="0824F58E"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$8.4k</w:t>
            </w:r>
          </w:p>
        </w:tc>
        <w:tc>
          <w:tcPr>
            <w:tcW w:w="0" w:type="auto"/>
            <w:tcBorders>
              <w:top w:val="nil"/>
              <w:left w:val="nil"/>
              <w:bottom w:val="nil"/>
              <w:right w:val="single" w:sz="8" w:space="0" w:color="auto"/>
            </w:tcBorders>
            <w:shd w:val="clear" w:color="000000" w:fill="FFFFFF"/>
            <w:vAlign w:val="center"/>
            <w:hideMark/>
          </w:tcPr>
          <w:p w14:paraId="0CECF446"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57.8%</w:t>
            </w:r>
          </w:p>
        </w:tc>
        <w:tc>
          <w:tcPr>
            <w:tcW w:w="0" w:type="auto"/>
            <w:tcBorders>
              <w:top w:val="nil"/>
              <w:left w:val="nil"/>
              <w:bottom w:val="nil"/>
              <w:right w:val="single" w:sz="8" w:space="0" w:color="auto"/>
            </w:tcBorders>
            <w:shd w:val="clear" w:color="000000" w:fill="FFFFFF"/>
            <w:vAlign w:val="center"/>
            <w:hideMark/>
          </w:tcPr>
          <w:p w14:paraId="7963D0EE"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57.6% (-0.2%)</w:t>
            </w:r>
          </w:p>
        </w:tc>
        <w:tc>
          <w:tcPr>
            <w:tcW w:w="0" w:type="auto"/>
            <w:tcBorders>
              <w:top w:val="single" w:sz="8" w:space="0" w:color="auto"/>
              <w:left w:val="nil"/>
              <w:bottom w:val="nil"/>
              <w:right w:val="single" w:sz="8" w:space="0" w:color="auto"/>
            </w:tcBorders>
            <w:shd w:val="clear" w:color="000000" w:fill="F3FEFF"/>
            <w:vAlign w:val="center"/>
            <w:hideMark/>
          </w:tcPr>
          <w:p w14:paraId="055340D0"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92.7%</w:t>
            </w:r>
          </w:p>
        </w:tc>
        <w:tc>
          <w:tcPr>
            <w:tcW w:w="0" w:type="auto"/>
            <w:tcBorders>
              <w:top w:val="single" w:sz="8" w:space="0" w:color="auto"/>
              <w:left w:val="nil"/>
              <w:bottom w:val="nil"/>
              <w:right w:val="single" w:sz="8" w:space="0" w:color="auto"/>
            </w:tcBorders>
            <w:shd w:val="clear" w:color="000000" w:fill="F3FEFF"/>
            <w:vAlign w:val="center"/>
            <w:hideMark/>
          </w:tcPr>
          <w:p w14:paraId="65EA12E6"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29.8%</w:t>
            </w:r>
          </w:p>
        </w:tc>
      </w:tr>
      <w:tr w:rsidR="003734E1" w:rsidRPr="00494465" w14:paraId="2DDE8126"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45784B70" w14:textId="77777777" w:rsidR="003734E1" w:rsidRPr="00494465" w:rsidRDefault="003734E1" w:rsidP="0027120A">
            <w:pPr>
              <w:spacing w:after="0" w:line="240" w:lineRule="auto"/>
              <w:rPr>
                <w:rFonts w:eastAsia="Times New Roman" w:cs="Arial"/>
                <w:b/>
                <w:bCs/>
                <w:color w:val="000000"/>
                <w:sz w:val="16"/>
                <w:szCs w:val="16"/>
                <w:lang w:eastAsia="zh-CN" w:bidi="th-TH"/>
              </w:rPr>
            </w:pPr>
            <w:r w:rsidRPr="00494465">
              <w:rPr>
                <w:rFonts w:eastAsia="Times New Roman" w:cs="Arial"/>
                <w:b/>
                <w:bCs/>
                <w:color w:val="000000"/>
                <w:sz w:val="16"/>
                <w:szCs w:val="16"/>
                <w:lang w:eastAsia="zh-CN" w:bidi="th-TH"/>
              </w:rPr>
              <w:t>Other</w:t>
            </w:r>
          </w:p>
        </w:tc>
        <w:tc>
          <w:tcPr>
            <w:tcW w:w="0" w:type="auto"/>
            <w:tcBorders>
              <w:top w:val="nil"/>
              <w:left w:val="nil"/>
              <w:bottom w:val="nil"/>
              <w:right w:val="single" w:sz="8" w:space="0" w:color="auto"/>
            </w:tcBorders>
            <w:shd w:val="clear" w:color="000000" w:fill="FFFFFF"/>
            <w:vAlign w:val="center"/>
            <w:hideMark/>
          </w:tcPr>
          <w:p w14:paraId="32F2E5F3"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 xml:space="preserve">         4,635 </w:t>
            </w:r>
          </w:p>
        </w:tc>
        <w:tc>
          <w:tcPr>
            <w:tcW w:w="0" w:type="auto"/>
            <w:tcBorders>
              <w:top w:val="nil"/>
              <w:left w:val="nil"/>
              <w:bottom w:val="nil"/>
              <w:right w:val="single" w:sz="8" w:space="0" w:color="auto"/>
            </w:tcBorders>
            <w:shd w:val="clear" w:color="000000" w:fill="FFFFFF"/>
            <w:vAlign w:val="center"/>
            <w:hideMark/>
          </w:tcPr>
          <w:p w14:paraId="2B6C6216"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$9.7k</w:t>
            </w:r>
          </w:p>
        </w:tc>
        <w:tc>
          <w:tcPr>
            <w:tcW w:w="0" w:type="auto"/>
            <w:tcBorders>
              <w:top w:val="nil"/>
              <w:left w:val="nil"/>
              <w:bottom w:val="nil"/>
              <w:right w:val="single" w:sz="8" w:space="0" w:color="auto"/>
            </w:tcBorders>
            <w:shd w:val="clear" w:color="000000" w:fill="FFFFFF"/>
            <w:vAlign w:val="center"/>
            <w:hideMark/>
          </w:tcPr>
          <w:p w14:paraId="77FBB26A"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$49.7k</w:t>
            </w:r>
          </w:p>
        </w:tc>
        <w:tc>
          <w:tcPr>
            <w:tcW w:w="0" w:type="auto"/>
            <w:tcBorders>
              <w:top w:val="nil"/>
              <w:left w:val="nil"/>
              <w:bottom w:val="nil"/>
              <w:right w:val="single" w:sz="8" w:space="0" w:color="auto"/>
            </w:tcBorders>
            <w:shd w:val="clear" w:color="000000" w:fill="FFFFFF"/>
            <w:vAlign w:val="center"/>
            <w:hideMark/>
          </w:tcPr>
          <w:p w14:paraId="0DF89734"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71.5%</w:t>
            </w:r>
          </w:p>
        </w:tc>
        <w:tc>
          <w:tcPr>
            <w:tcW w:w="0" w:type="auto"/>
            <w:tcBorders>
              <w:top w:val="nil"/>
              <w:left w:val="nil"/>
              <w:bottom w:val="nil"/>
              <w:right w:val="single" w:sz="8" w:space="0" w:color="auto"/>
            </w:tcBorders>
            <w:shd w:val="clear" w:color="000000" w:fill="FFFFFF"/>
            <w:vAlign w:val="center"/>
            <w:hideMark/>
          </w:tcPr>
          <w:p w14:paraId="14CD61C3"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76.3% (+4.8%)</w:t>
            </w:r>
          </w:p>
        </w:tc>
        <w:tc>
          <w:tcPr>
            <w:tcW w:w="0" w:type="auto"/>
            <w:tcBorders>
              <w:top w:val="single" w:sz="8" w:space="0" w:color="auto"/>
              <w:left w:val="nil"/>
              <w:bottom w:val="nil"/>
              <w:right w:val="single" w:sz="8" w:space="0" w:color="auto"/>
            </w:tcBorders>
            <w:shd w:val="clear" w:color="000000" w:fill="F3FEFF"/>
            <w:vAlign w:val="center"/>
            <w:hideMark/>
          </w:tcPr>
          <w:p w14:paraId="262C2E56"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96.1%</w:t>
            </w:r>
          </w:p>
        </w:tc>
        <w:tc>
          <w:tcPr>
            <w:tcW w:w="0" w:type="auto"/>
            <w:tcBorders>
              <w:top w:val="single" w:sz="8" w:space="0" w:color="auto"/>
              <w:left w:val="nil"/>
              <w:bottom w:val="nil"/>
              <w:right w:val="single" w:sz="8" w:space="0" w:color="auto"/>
            </w:tcBorders>
            <w:shd w:val="clear" w:color="000000" w:fill="F3FEFF"/>
            <w:vAlign w:val="center"/>
            <w:hideMark/>
          </w:tcPr>
          <w:p w14:paraId="07FA7170" w14:textId="77777777" w:rsidR="003734E1" w:rsidRPr="00494465" w:rsidRDefault="003734E1" w:rsidP="0027120A">
            <w:pPr>
              <w:spacing w:after="0" w:line="240" w:lineRule="auto"/>
              <w:jc w:val="center"/>
              <w:rPr>
                <w:rFonts w:eastAsia="Times New Roman" w:cs="Arial"/>
                <w:color w:val="000000"/>
                <w:sz w:val="16"/>
                <w:szCs w:val="16"/>
                <w:lang w:eastAsia="zh-CN" w:bidi="th-TH"/>
              </w:rPr>
            </w:pPr>
            <w:r w:rsidRPr="00494465">
              <w:rPr>
                <w:rFonts w:eastAsia="Times New Roman" w:cs="Arial"/>
                <w:color w:val="000000"/>
                <w:sz w:val="16"/>
                <w:szCs w:val="16"/>
                <w:lang w:eastAsia="zh-CN" w:bidi="th-TH"/>
              </w:rPr>
              <w:t>44.9%</w:t>
            </w:r>
          </w:p>
        </w:tc>
      </w:tr>
      <w:tr w:rsidR="003734E1" w:rsidRPr="00494465" w14:paraId="3EBD1096" w14:textId="77777777" w:rsidTr="0027120A">
        <w:trPr>
          <w:trHeight w:val="315"/>
        </w:trPr>
        <w:tc>
          <w:tcPr>
            <w:tcW w:w="0" w:type="auto"/>
            <w:tcBorders>
              <w:top w:val="single" w:sz="8" w:space="0" w:color="auto"/>
              <w:left w:val="single" w:sz="8" w:space="0" w:color="auto"/>
              <w:bottom w:val="single" w:sz="8" w:space="0" w:color="auto"/>
              <w:right w:val="single" w:sz="8" w:space="0" w:color="auto"/>
            </w:tcBorders>
            <w:shd w:val="clear" w:color="000000" w:fill="F2F2F2"/>
            <w:vAlign w:val="center"/>
            <w:hideMark/>
          </w:tcPr>
          <w:p w14:paraId="4C0D4FC4" w14:textId="77777777" w:rsidR="003734E1" w:rsidRPr="00F830E6" w:rsidRDefault="003734E1" w:rsidP="0027120A">
            <w:pPr>
              <w:spacing w:after="0" w:line="240" w:lineRule="auto"/>
              <w:rPr>
                <w:rFonts w:eastAsia="Times New Roman" w:cs="Arial"/>
                <w:b/>
                <w:bCs/>
                <w:color w:val="007985"/>
                <w:sz w:val="16"/>
                <w:szCs w:val="16"/>
                <w:lang w:eastAsia="zh-CN" w:bidi="th-TH"/>
              </w:rPr>
            </w:pPr>
            <w:r w:rsidRPr="00F830E6">
              <w:rPr>
                <w:rFonts w:eastAsia="Times New Roman" w:cs="Arial"/>
                <w:b/>
                <w:bCs/>
                <w:color w:val="007985"/>
                <w:sz w:val="16"/>
                <w:szCs w:val="16"/>
                <w:lang w:eastAsia="zh-CN" w:bidi="th-TH"/>
              </w:rPr>
              <w:t>Total</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35B9FE8D" w14:textId="77777777" w:rsidR="003734E1" w:rsidRPr="00494465" w:rsidRDefault="003734E1" w:rsidP="0027120A">
            <w:pPr>
              <w:spacing w:after="0" w:line="240" w:lineRule="auto"/>
              <w:jc w:val="center"/>
              <w:rPr>
                <w:rFonts w:eastAsia="Times New Roman" w:cs="Arial"/>
                <w:b/>
                <w:bCs/>
                <w:color w:val="000000"/>
                <w:sz w:val="16"/>
                <w:szCs w:val="16"/>
                <w:lang w:eastAsia="zh-CN" w:bidi="th-TH"/>
              </w:rPr>
            </w:pPr>
            <w:r w:rsidRPr="00494465">
              <w:rPr>
                <w:rFonts w:eastAsia="Times New Roman" w:cs="Arial"/>
                <w:b/>
                <w:bCs/>
                <w:color w:val="000000"/>
                <w:sz w:val="16"/>
                <w:szCs w:val="16"/>
                <w:lang w:eastAsia="zh-CN" w:bidi="th-TH"/>
              </w:rPr>
              <w:t xml:space="preserve">       28,155 </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3B6733BA" w14:textId="77777777" w:rsidR="003734E1" w:rsidRPr="00494465" w:rsidRDefault="003734E1" w:rsidP="0027120A">
            <w:pPr>
              <w:spacing w:after="0" w:line="240" w:lineRule="auto"/>
              <w:jc w:val="center"/>
              <w:rPr>
                <w:rFonts w:eastAsia="Times New Roman" w:cs="Arial"/>
                <w:b/>
                <w:bCs/>
                <w:color w:val="000000"/>
                <w:sz w:val="16"/>
                <w:szCs w:val="16"/>
                <w:lang w:eastAsia="zh-CN" w:bidi="th-TH"/>
              </w:rPr>
            </w:pPr>
            <w:r w:rsidRPr="00494465">
              <w:rPr>
                <w:rFonts w:eastAsia="Times New Roman" w:cs="Arial"/>
                <w:b/>
                <w:bCs/>
                <w:color w:val="000000"/>
                <w:sz w:val="16"/>
                <w:szCs w:val="16"/>
                <w:lang w:eastAsia="zh-CN" w:bidi="th-TH"/>
              </w:rPr>
              <w:t>$9.2k</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01382B82" w14:textId="77777777" w:rsidR="003734E1" w:rsidRPr="00494465" w:rsidRDefault="003734E1" w:rsidP="0027120A">
            <w:pPr>
              <w:spacing w:after="0" w:line="240" w:lineRule="auto"/>
              <w:jc w:val="center"/>
              <w:rPr>
                <w:rFonts w:eastAsia="Times New Roman" w:cs="Arial"/>
                <w:b/>
                <w:bCs/>
                <w:color w:val="000000"/>
                <w:sz w:val="16"/>
                <w:szCs w:val="16"/>
                <w:lang w:eastAsia="zh-CN" w:bidi="th-TH"/>
              </w:rPr>
            </w:pPr>
            <w:r w:rsidRPr="00494465">
              <w:rPr>
                <w:rFonts w:eastAsia="Times New Roman" w:cs="Arial"/>
                <w:b/>
                <w:bCs/>
                <w:color w:val="000000"/>
                <w:sz w:val="16"/>
                <w:szCs w:val="16"/>
                <w:lang w:eastAsia="zh-CN" w:bidi="th-TH"/>
              </w:rPr>
              <w:t>$30.3k</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62E9D1E5" w14:textId="77777777" w:rsidR="003734E1" w:rsidRPr="00494465" w:rsidRDefault="003734E1" w:rsidP="0027120A">
            <w:pPr>
              <w:spacing w:after="0" w:line="240" w:lineRule="auto"/>
              <w:jc w:val="center"/>
              <w:rPr>
                <w:rFonts w:eastAsia="Times New Roman" w:cs="Arial"/>
                <w:b/>
                <w:bCs/>
                <w:color w:val="000000"/>
                <w:sz w:val="16"/>
                <w:szCs w:val="16"/>
                <w:lang w:eastAsia="zh-CN" w:bidi="th-TH"/>
              </w:rPr>
            </w:pPr>
            <w:r w:rsidRPr="00494465">
              <w:rPr>
                <w:rFonts w:eastAsia="Times New Roman" w:cs="Arial"/>
                <w:b/>
                <w:bCs/>
                <w:color w:val="000000"/>
                <w:sz w:val="16"/>
                <w:szCs w:val="16"/>
                <w:lang w:eastAsia="zh-CN" w:bidi="th-TH"/>
              </w:rPr>
              <w:t>66.7%</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3F263CD2" w14:textId="77777777" w:rsidR="003734E1" w:rsidRPr="00494465" w:rsidRDefault="003734E1" w:rsidP="0027120A">
            <w:pPr>
              <w:spacing w:after="0" w:line="240" w:lineRule="auto"/>
              <w:jc w:val="center"/>
              <w:rPr>
                <w:rFonts w:eastAsia="Times New Roman" w:cs="Arial"/>
                <w:b/>
                <w:bCs/>
                <w:color w:val="000000"/>
                <w:sz w:val="16"/>
                <w:szCs w:val="16"/>
                <w:lang w:eastAsia="zh-CN" w:bidi="th-TH"/>
              </w:rPr>
            </w:pPr>
            <w:r w:rsidRPr="00494465">
              <w:rPr>
                <w:rFonts w:eastAsia="Times New Roman" w:cs="Arial"/>
                <w:b/>
                <w:bCs/>
                <w:color w:val="000000"/>
                <w:sz w:val="16"/>
                <w:szCs w:val="16"/>
                <w:lang w:eastAsia="zh-CN" w:bidi="th-TH"/>
              </w:rPr>
              <w:t>69.5% (+2.9%)</w:t>
            </w:r>
          </w:p>
        </w:tc>
        <w:tc>
          <w:tcPr>
            <w:tcW w:w="0" w:type="auto"/>
            <w:tcBorders>
              <w:top w:val="single" w:sz="8" w:space="0" w:color="auto"/>
              <w:left w:val="nil"/>
              <w:bottom w:val="single" w:sz="8" w:space="0" w:color="auto"/>
              <w:right w:val="single" w:sz="8" w:space="0" w:color="auto"/>
            </w:tcBorders>
            <w:shd w:val="clear" w:color="000000" w:fill="F3FEFF"/>
            <w:vAlign w:val="center"/>
            <w:hideMark/>
          </w:tcPr>
          <w:p w14:paraId="38F8288B" w14:textId="77777777" w:rsidR="003734E1" w:rsidRPr="00494465" w:rsidRDefault="003734E1" w:rsidP="0027120A">
            <w:pPr>
              <w:spacing w:after="0" w:line="240" w:lineRule="auto"/>
              <w:jc w:val="center"/>
              <w:rPr>
                <w:rFonts w:eastAsia="Times New Roman" w:cs="Arial"/>
                <w:b/>
                <w:bCs/>
                <w:color w:val="000000"/>
                <w:sz w:val="16"/>
                <w:szCs w:val="16"/>
                <w:lang w:eastAsia="zh-CN" w:bidi="th-TH"/>
              </w:rPr>
            </w:pPr>
            <w:r w:rsidRPr="00494465">
              <w:rPr>
                <w:rFonts w:eastAsia="Times New Roman" w:cs="Arial"/>
                <w:b/>
                <w:bCs/>
                <w:color w:val="000000"/>
                <w:sz w:val="16"/>
                <w:szCs w:val="16"/>
                <w:lang w:eastAsia="zh-CN" w:bidi="th-TH"/>
              </w:rPr>
              <w:t>94.7%</w:t>
            </w:r>
          </w:p>
        </w:tc>
        <w:tc>
          <w:tcPr>
            <w:tcW w:w="0" w:type="auto"/>
            <w:tcBorders>
              <w:top w:val="single" w:sz="8" w:space="0" w:color="auto"/>
              <w:left w:val="nil"/>
              <w:bottom w:val="single" w:sz="8" w:space="0" w:color="auto"/>
              <w:right w:val="single" w:sz="8" w:space="0" w:color="auto"/>
            </w:tcBorders>
            <w:shd w:val="clear" w:color="000000" w:fill="F3FEFF"/>
            <w:vAlign w:val="center"/>
            <w:hideMark/>
          </w:tcPr>
          <w:p w14:paraId="233837B0" w14:textId="77777777" w:rsidR="003734E1" w:rsidRPr="00494465" w:rsidRDefault="003734E1" w:rsidP="0027120A">
            <w:pPr>
              <w:spacing w:after="0" w:line="240" w:lineRule="auto"/>
              <w:jc w:val="center"/>
              <w:rPr>
                <w:rFonts w:eastAsia="Times New Roman" w:cs="Arial"/>
                <w:b/>
                <w:bCs/>
                <w:color w:val="000000"/>
                <w:sz w:val="16"/>
                <w:szCs w:val="16"/>
                <w:lang w:eastAsia="zh-CN" w:bidi="th-TH"/>
              </w:rPr>
            </w:pPr>
            <w:r w:rsidRPr="00494465">
              <w:rPr>
                <w:rFonts w:eastAsia="Times New Roman" w:cs="Arial"/>
                <w:b/>
                <w:bCs/>
                <w:color w:val="000000"/>
                <w:sz w:val="16"/>
                <w:szCs w:val="16"/>
                <w:lang w:eastAsia="zh-CN" w:bidi="th-TH"/>
              </w:rPr>
              <w:t>39.2%</w:t>
            </w:r>
          </w:p>
        </w:tc>
      </w:tr>
    </w:tbl>
    <w:p w14:paraId="7632266D" w14:textId="77777777" w:rsidR="003734E1" w:rsidRDefault="003734E1" w:rsidP="003734E1">
      <w:pPr>
        <w:pStyle w:val="Caption"/>
        <w:keepNext/>
      </w:pPr>
    </w:p>
    <w:p w14:paraId="7CF91EED" w14:textId="77777777" w:rsidR="003734E1" w:rsidRDefault="003734E1" w:rsidP="003734E1">
      <w:pPr>
        <w:pStyle w:val="Caption"/>
        <w:keepNext/>
      </w:pPr>
      <w:bookmarkStart w:id="1234" w:name="_Ref114567750"/>
      <w:r>
        <w:t xml:space="preserve">Table </w:t>
      </w:r>
      <w:r w:rsidR="00415177">
        <w:t>K</w:t>
      </w:r>
      <w:r w:rsidR="00A87896">
        <w:t>.</w:t>
      </w:r>
      <w:fldSimple w:instr=" SEQ Table \* ARABIC \s 2 ">
        <w:r w:rsidR="00A87896">
          <w:rPr>
            <w:noProof/>
          </w:rPr>
          <w:t>5</w:t>
        </w:r>
      </w:fldSimple>
      <w:bookmarkEnd w:id="1234"/>
      <w:r w:rsidR="00415177">
        <w:t>:</w:t>
      </w:r>
      <w:r>
        <w:t xml:space="preserve"> </w:t>
      </w:r>
      <w:r w:rsidRPr="00C01F6E">
        <w:rPr>
          <w:noProof/>
        </w:rPr>
        <w:t>%</w:t>
      </w:r>
      <w:r>
        <w:rPr>
          <w:noProof/>
        </w:rPr>
        <w:t xml:space="preserve"> participants 25 years and over</w:t>
      </w:r>
      <w:r w:rsidRPr="00C01F6E">
        <w:rPr>
          <w:noProof/>
        </w:rPr>
        <w:t xml:space="preserve"> who say the NDIS helped them with daily living activities</w:t>
      </w:r>
    </w:p>
    <w:tbl>
      <w:tblPr>
        <w:tblW w:w="0" w:type="auto"/>
        <w:tblLook w:val="04A0" w:firstRow="1" w:lastRow="0" w:firstColumn="1" w:lastColumn="0" w:noHBand="0" w:noVBand="1"/>
      </w:tblPr>
      <w:tblGrid>
        <w:gridCol w:w="1249"/>
        <w:gridCol w:w="1152"/>
        <w:gridCol w:w="908"/>
        <w:gridCol w:w="895"/>
        <w:gridCol w:w="1153"/>
        <w:gridCol w:w="1155"/>
        <w:gridCol w:w="1229"/>
        <w:gridCol w:w="1265"/>
      </w:tblGrid>
      <w:tr w:rsidR="003734E1" w:rsidRPr="000E6D56" w14:paraId="05A4D5B3" w14:textId="77777777" w:rsidTr="0027120A">
        <w:trPr>
          <w:trHeight w:val="1202"/>
        </w:trPr>
        <w:tc>
          <w:tcPr>
            <w:tcW w:w="0" w:type="auto"/>
            <w:tcBorders>
              <w:top w:val="single" w:sz="8" w:space="0" w:color="auto"/>
              <w:left w:val="single" w:sz="8" w:space="0" w:color="auto"/>
              <w:bottom w:val="single" w:sz="8" w:space="0" w:color="auto"/>
              <w:right w:val="single" w:sz="8" w:space="0" w:color="auto"/>
            </w:tcBorders>
            <w:shd w:val="clear" w:color="000000" w:fill="660066"/>
            <w:vAlign w:val="center"/>
            <w:hideMark/>
          </w:tcPr>
          <w:p w14:paraId="7C2469B2" w14:textId="77777777" w:rsidR="003734E1" w:rsidRPr="000E6D56" w:rsidRDefault="003734E1" w:rsidP="0027120A">
            <w:pPr>
              <w:spacing w:after="0" w:line="240" w:lineRule="auto"/>
              <w:rPr>
                <w:rFonts w:eastAsia="Times New Roman" w:cs="Arial"/>
                <w:b/>
                <w:bCs/>
                <w:color w:val="FFFFFF"/>
                <w:sz w:val="16"/>
                <w:szCs w:val="16"/>
                <w:lang w:eastAsia="zh-CN" w:bidi="th-TH"/>
              </w:rPr>
            </w:pPr>
            <w:r w:rsidRPr="000E6D56">
              <w:rPr>
                <w:rFonts w:eastAsia="Times New Roman" w:cs="Arial"/>
                <w:b/>
                <w:bCs/>
                <w:color w:val="FFFFFF"/>
                <w:sz w:val="16"/>
                <w:szCs w:val="16"/>
                <w:lang w:eastAsia="zh-CN" w:bidi="th-TH"/>
              </w:rPr>
              <w:t>Disability group</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1BF7DEC2" w14:textId="77777777" w:rsidR="003734E1" w:rsidRPr="000E6D56" w:rsidRDefault="003734E1" w:rsidP="0027120A">
            <w:pPr>
              <w:spacing w:after="0" w:line="240" w:lineRule="auto"/>
              <w:rPr>
                <w:rFonts w:eastAsia="Times New Roman" w:cs="Arial"/>
                <w:b/>
                <w:bCs/>
                <w:color w:val="FFFFFF"/>
                <w:sz w:val="16"/>
                <w:szCs w:val="16"/>
                <w:lang w:eastAsia="zh-CN" w:bidi="th-TH"/>
              </w:rPr>
            </w:pPr>
            <w:r w:rsidRPr="000E6D56">
              <w:rPr>
                <w:rFonts w:eastAsia="Times New Roman" w:cs="Arial"/>
                <w:b/>
                <w:bCs/>
                <w:color w:val="FFFFFF"/>
                <w:sz w:val="16"/>
                <w:szCs w:val="16"/>
                <w:lang w:eastAsia="zh-CN" w:bidi="th-TH"/>
              </w:rPr>
              <w:t>Number of participants in baseline cohort</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0F296D28" w14:textId="77777777" w:rsidR="003734E1" w:rsidRPr="000E6D56" w:rsidRDefault="003734E1" w:rsidP="0027120A">
            <w:pPr>
              <w:spacing w:after="0" w:line="240" w:lineRule="auto"/>
              <w:rPr>
                <w:rFonts w:eastAsia="Times New Roman" w:cs="Arial"/>
                <w:b/>
                <w:bCs/>
                <w:color w:val="FFFFFF"/>
                <w:sz w:val="16"/>
                <w:szCs w:val="16"/>
                <w:lang w:eastAsia="zh-CN" w:bidi="th-TH"/>
              </w:rPr>
            </w:pPr>
            <w:r w:rsidRPr="000E6D56">
              <w:rPr>
                <w:rFonts w:eastAsia="Times New Roman" w:cs="Arial"/>
                <w:b/>
                <w:bCs/>
                <w:color w:val="FFFFFF"/>
                <w:sz w:val="16"/>
                <w:szCs w:val="16"/>
                <w:lang w:eastAsia="zh-CN" w:bidi="th-TH"/>
              </w:rPr>
              <w:t xml:space="preserve"> Median capacity building payment (yearly) </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434D3F3E" w14:textId="77777777" w:rsidR="003734E1" w:rsidRPr="000E6D56" w:rsidRDefault="003734E1" w:rsidP="0027120A">
            <w:pPr>
              <w:spacing w:after="0" w:line="240" w:lineRule="auto"/>
              <w:rPr>
                <w:rFonts w:eastAsia="Times New Roman" w:cs="Arial"/>
                <w:b/>
                <w:bCs/>
                <w:color w:val="FFFFFF"/>
                <w:sz w:val="16"/>
                <w:szCs w:val="16"/>
                <w:lang w:eastAsia="zh-CN" w:bidi="th-TH"/>
              </w:rPr>
            </w:pPr>
            <w:r w:rsidRPr="000E6D56">
              <w:rPr>
                <w:rFonts w:eastAsia="Times New Roman" w:cs="Arial"/>
                <w:b/>
                <w:bCs/>
                <w:color w:val="FFFFFF"/>
                <w:sz w:val="16"/>
                <w:szCs w:val="16"/>
                <w:lang w:eastAsia="zh-CN" w:bidi="th-TH"/>
              </w:rPr>
              <w:t xml:space="preserve"> Median total payment (yearly) </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058011B5" w14:textId="77777777" w:rsidR="003734E1" w:rsidRPr="000E6D56" w:rsidRDefault="003734E1" w:rsidP="0027120A">
            <w:pPr>
              <w:spacing w:after="0" w:line="240" w:lineRule="auto"/>
              <w:jc w:val="center"/>
              <w:rPr>
                <w:rFonts w:eastAsia="Times New Roman" w:cs="Arial"/>
                <w:b/>
                <w:bCs/>
                <w:color w:val="FFFFFF"/>
                <w:sz w:val="16"/>
                <w:szCs w:val="16"/>
                <w:lang w:eastAsia="zh-CN" w:bidi="th-TH"/>
              </w:rPr>
            </w:pPr>
            <w:r w:rsidRPr="000E6D56">
              <w:rPr>
                <w:rFonts w:eastAsia="Times New Roman" w:cs="Arial"/>
                <w:b/>
                <w:bCs/>
                <w:color w:val="FFFFFF"/>
                <w:sz w:val="16"/>
                <w:szCs w:val="16"/>
                <w:lang w:eastAsia="zh-CN" w:bidi="th-TH"/>
              </w:rPr>
              <w:t xml:space="preserve">% participants with outcome at </w:t>
            </w:r>
            <w:r>
              <w:rPr>
                <w:rFonts w:eastAsia="Times New Roman" w:cs="Arial"/>
                <w:b/>
                <w:bCs/>
                <w:color w:val="FFFFFF"/>
                <w:sz w:val="16"/>
                <w:szCs w:val="16"/>
                <w:lang w:eastAsia="zh-CN" w:bidi="th-TH"/>
              </w:rPr>
              <w:t>first review</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1D33FA9D" w14:textId="77777777" w:rsidR="003734E1" w:rsidRPr="000E6D56" w:rsidRDefault="003734E1" w:rsidP="0027120A">
            <w:pPr>
              <w:spacing w:after="0" w:line="240" w:lineRule="auto"/>
              <w:rPr>
                <w:rFonts w:eastAsia="Times New Roman" w:cs="Arial"/>
                <w:b/>
                <w:bCs/>
                <w:color w:val="FFFFFF"/>
                <w:sz w:val="16"/>
                <w:szCs w:val="16"/>
                <w:lang w:eastAsia="zh-CN" w:bidi="th-TH"/>
              </w:rPr>
            </w:pPr>
            <w:r w:rsidRPr="000E6D56">
              <w:rPr>
                <w:rFonts w:eastAsia="Times New Roman" w:cs="Arial"/>
                <w:b/>
                <w:bCs/>
                <w:color w:val="FFFFFF"/>
                <w:sz w:val="16"/>
                <w:szCs w:val="16"/>
                <w:lang w:eastAsia="zh-CN" w:bidi="th-TH"/>
              </w:rPr>
              <w:t>% participants with outcome at latest review</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6E2212CD" w14:textId="77777777" w:rsidR="003734E1" w:rsidRPr="000E6D56" w:rsidRDefault="003734E1" w:rsidP="0027120A">
            <w:pPr>
              <w:spacing w:after="0" w:line="240" w:lineRule="auto"/>
              <w:rPr>
                <w:rFonts w:eastAsia="Times New Roman" w:cs="Arial"/>
                <w:b/>
                <w:bCs/>
                <w:color w:val="FFFFFF"/>
                <w:sz w:val="16"/>
                <w:szCs w:val="16"/>
                <w:lang w:eastAsia="zh-CN" w:bidi="th-TH"/>
              </w:rPr>
            </w:pPr>
            <w:r w:rsidRPr="000E6D56">
              <w:rPr>
                <w:rFonts w:eastAsia="Times New Roman" w:cs="Arial"/>
                <w:b/>
                <w:bCs/>
                <w:color w:val="FFFFFF"/>
                <w:sz w:val="16"/>
                <w:szCs w:val="16"/>
                <w:lang w:eastAsia="zh-CN" w:bidi="th-TH"/>
              </w:rPr>
              <w:t>Maintenance of 'yes' response: baseline to latest review</w:t>
            </w:r>
          </w:p>
        </w:tc>
        <w:tc>
          <w:tcPr>
            <w:tcW w:w="0" w:type="auto"/>
            <w:tcBorders>
              <w:top w:val="single" w:sz="8" w:space="0" w:color="auto"/>
              <w:left w:val="nil"/>
              <w:bottom w:val="single" w:sz="8" w:space="0" w:color="auto"/>
              <w:right w:val="single" w:sz="8" w:space="0" w:color="auto"/>
            </w:tcBorders>
            <w:shd w:val="clear" w:color="000000" w:fill="660066"/>
            <w:vAlign w:val="center"/>
            <w:hideMark/>
          </w:tcPr>
          <w:p w14:paraId="2C384466" w14:textId="77777777" w:rsidR="003734E1" w:rsidRPr="000E6D56" w:rsidRDefault="003734E1" w:rsidP="0027120A">
            <w:pPr>
              <w:spacing w:after="0" w:line="240" w:lineRule="auto"/>
              <w:rPr>
                <w:rFonts w:eastAsia="Times New Roman" w:cs="Arial"/>
                <w:b/>
                <w:bCs/>
                <w:color w:val="FFFFFF"/>
                <w:sz w:val="16"/>
                <w:szCs w:val="16"/>
                <w:lang w:eastAsia="zh-CN" w:bidi="th-TH"/>
              </w:rPr>
            </w:pPr>
            <w:r w:rsidRPr="000E6D56">
              <w:rPr>
                <w:rFonts w:eastAsia="Times New Roman" w:cs="Arial"/>
                <w:b/>
                <w:bCs/>
                <w:color w:val="FFFFFF"/>
                <w:sz w:val="16"/>
                <w:szCs w:val="16"/>
                <w:lang w:eastAsia="zh-CN" w:bidi="th-TH"/>
              </w:rPr>
              <w:t>Improvement from 'no' response: baseline to latest review</w:t>
            </w:r>
          </w:p>
        </w:tc>
      </w:tr>
      <w:tr w:rsidR="003734E1" w:rsidRPr="000E6D56" w14:paraId="7CA6134A"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1FA6E2EF" w14:textId="77777777" w:rsidR="003734E1" w:rsidRPr="000E6D56" w:rsidRDefault="003734E1" w:rsidP="0027120A">
            <w:pPr>
              <w:spacing w:after="0" w:line="240" w:lineRule="auto"/>
              <w:rPr>
                <w:rFonts w:eastAsia="Times New Roman" w:cs="Arial"/>
                <w:b/>
                <w:bCs/>
                <w:color w:val="000000"/>
                <w:sz w:val="16"/>
                <w:szCs w:val="16"/>
                <w:lang w:eastAsia="zh-CN" w:bidi="th-TH"/>
              </w:rPr>
            </w:pPr>
            <w:r w:rsidRPr="000E6D56">
              <w:rPr>
                <w:rFonts w:eastAsia="Times New Roman" w:cs="Arial"/>
                <w:b/>
                <w:bCs/>
                <w:color w:val="000000"/>
                <w:sz w:val="16"/>
                <w:szCs w:val="16"/>
                <w:lang w:eastAsia="zh-CN" w:bidi="th-TH"/>
              </w:rPr>
              <w:t>Autism</w:t>
            </w:r>
          </w:p>
        </w:tc>
        <w:tc>
          <w:tcPr>
            <w:tcW w:w="0" w:type="auto"/>
            <w:tcBorders>
              <w:top w:val="nil"/>
              <w:left w:val="nil"/>
              <w:bottom w:val="nil"/>
              <w:right w:val="single" w:sz="8" w:space="0" w:color="auto"/>
            </w:tcBorders>
            <w:shd w:val="clear" w:color="000000" w:fill="FFFFFF"/>
            <w:vAlign w:val="center"/>
            <w:hideMark/>
          </w:tcPr>
          <w:p w14:paraId="605CB96C"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 xml:space="preserve">         3,788 </w:t>
            </w:r>
          </w:p>
        </w:tc>
        <w:tc>
          <w:tcPr>
            <w:tcW w:w="0" w:type="auto"/>
            <w:tcBorders>
              <w:top w:val="nil"/>
              <w:left w:val="nil"/>
              <w:bottom w:val="nil"/>
              <w:right w:val="single" w:sz="8" w:space="0" w:color="auto"/>
            </w:tcBorders>
            <w:shd w:val="clear" w:color="000000" w:fill="FFFFFF"/>
            <w:vAlign w:val="center"/>
            <w:hideMark/>
          </w:tcPr>
          <w:p w14:paraId="604252D4"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$10.2k</w:t>
            </w:r>
          </w:p>
        </w:tc>
        <w:tc>
          <w:tcPr>
            <w:tcW w:w="0" w:type="auto"/>
            <w:tcBorders>
              <w:top w:val="nil"/>
              <w:left w:val="nil"/>
              <w:bottom w:val="nil"/>
              <w:right w:val="single" w:sz="8" w:space="0" w:color="auto"/>
            </w:tcBorders>
            <w:shd w:val="clear" w:color="000000" w:fill="FFFFFF"/>
            <w:vAlign w:val="center"/>
            <w:hideMark/>
          </w:tcPr>
          <w:p w14:paraId="6B706CC0"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$50.4k</w:t>
            </w:r>
          </w:p>
        </w:tc>
        <w:tc>
          <w:tcPr>
            <w:tcW w:w="0" w:type="auto"/>
            <w:tcBorders>
              <w:top w:val="nil"/>
              <w:left w:val="nil"/>
              <w:bottom w:val="nil"/>
              <w:right w:val="single" w:sz="8" w:space="0" w:color="auto"/>
            </w:tcBorders>
            <w:shd w:val="clear" w:color="000000" w:fill="FFFFFF"/>
            <w:vAlign w:val="center"/>
            <w:hideMark/>
          </w:tcPr>
          <w:p w14:paraId="5308E481"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76.3%</w:t>
            </w:r>
          </w:p>
        </w:tc>
        <w:tc>
          <w:tcPr>
            <w:tcW w:w="0" w:type="auto"/>
            <w:tcBorders>
              <w:top w:val="nil"/>
              <w:left w:val="nil"/>
              <w:bottom w:val="nil"/>
              <w:right w:val="single" w:sz="8" w:space="0" w:color="auto"/>
            </w:tcBorders>
            <w:shd w:val="clear" w:color="000000" w:fill="FFFFFF"/>
            <w:vAlign w:val="center"/>
            <w:hideMark/>
          </w:tcPr>
          <w:p w14:paraId="1733124A"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79.1% (+2.8%)</w:t>
            </w:r>
          </w:p>
        </w:tc>
        <w:tc>
          <w:tcPr>
            <w:tcW w:w="0" w:type="auto"/>
            <w:tcBorders>
              <w:top w:val="nil"/>
              <w:left w:val="nil"/>
              <w:bottom w:val="nil"/>
              <w:right w:val="single" w:sz="8" w:space="0" w:color="auto"/>
            </w:tcBorders>
            <w:shd w:val="clear" w:color="000000" w:fill="F3FEFF"/>
            <w:vAlign w:val="center"/>
            <w:hideMark/>
          </w:tcPr>
          <w:p w14:paraId="1D516A2A"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93.3%</w:t>
            </w:r>
          </w:p>
        </w:tc>
        <w:tc>
          <w:tcPr>
            <w:tcW w:w="0" w:type="auto"/>
            <w:tcBorders>
              <w:top w:val="nil"/>
              <w:left w:val="nil"/>
              <w:bottom w:val="nil"/>
              <w:right w:val="single" w:sz="8" w:space="0" w:color="auto"/>
            </w:tcBorders>
            <w:shd w:val="clear" w:color="000000" w:fill="F3FEFF"/>
            <w:vAlign w:val="center"/>
            <w:hideMark/>
          </w:tcPr>
          <w:p w14:paraId="57629975"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51.1%</w:t>
            </w:r>
          </w:p>
        </w:tc>
      </w:tr>
      <w:tr w:rsidR="003734E1" w:rsidRPr="000E6D56" w14:paraId="5B1CF4E5"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0A3EEC68" w14:textId="77777777" w:rsidR="003734E1" w:rsidRPr="000E6D56" w:rsidRDefault="003734E1" w:rsidP="0027120A">
            <w:pPr>
              <w:spacing w:after="0" w:line="240" w:lineRule="auto"/>
              <w:rPr>
                <w:rFonts w:eastAsia="Times New Roman" w:cs="Arial"/>
                <w:b/>
                <w:bCs/>
                <w:color w:val="000000"/>
                <w:sz w:val="16"/>
                <w:szCs w:val="16"/>
                <w:lang w:eastAsia="zh-CN" w:bidi="th-TH"/>
              </w:rPr>
            </w:pPr>
            <w:r w:rsidRPr="000E6D56">
              <w:rPr>
                <w:rFonts w:eastAsia="Times New Roman" w:cs="Arial"/>
                <w:b/>
                <w:bCs/>
                <w:color w:val="000000"/>
                <w:sz w:val="16"/>
                <w:szCs w:val="16"/>
                <w:lang w:eastAsia="zh-CN" w:bidi="th-TH"/>
              </w:rPr>
              <w:t>Intellectual Disability</w:t>
            </w:r>
          </w:p>
        </w:tc>
        <w:tc>
          <w:tcPr>
            <w:tcW w:w="0" w:type="auto"/>
            <w:tcBorders>
              <w:top w:val="nil"/>
              <w:left w:val="nil"/>
              <w:bottom w:val="nil"/>
              <w:right w:val="single" w:sz="8" w:space="0" w:color="auto"/>
            </w:tcBorders>
            <w:shd w:val="clear" w:color="000000" w:fill="FFFFFF"/>
            <w:vAlign w:val="center"/>
            <w:hideMark/>
          </w:tcPr>
          <w:p w14:paraId="2B000243"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 xml:space="preserve">       17,800 </w:t>
            </w:r>
          </w:p>
        </w:tc>
        <w:tc>
          <w:tcPr>
            <w:tcW w:w="0" w:type="auto"/>
            <w:tcBorders>
              <w:top w:val="nil"/>
              <w:left w:val="nil"/>
              <w:bottom w:val="nil"/>
              <w:right w:val="single" w:sz="8" w:space="0" w:color="auto"/>
            </w:tcBorders>
            <w:shd w:val="clear" w:color="000000" w:fill="FFFFFF"/>
            <w:vAlign w:val="center"/>
            <w:hideMark/>
          </w:tcPr>
          <w:p w14:paraId="3A638BD2"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$10.2k</w:t>
            </w:r>
          </w:p>
        </w:tc>
        <w:tc>
          <w:tcPr>
            <w:tcW w:w="0" w:type="auto"/>
            <w:tcBorders>
              <w:top w:val="nil"/>
              <w:left w:val="nil"/>
              <w:bottom w:val="nil"/>
              <w:right w:val="single" w:sz="8" w:space="0" w:color="auto"/>
            </w:tcBorders>
            <w:shd w:val="clear" w:color="000000" w:fill="FFFFFF"/>
            <w:vAlign w:val="center"/>
            <w:hideMark/>
          </w:tcPr>
          <w:p w14:paraId="17F7DC12"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$67.2k</w:t>
            </w:r>
          </w:p>
        </w:tc>
        <w:tc>
          <w:tcPr>
            <w:tcW w:w="0" w:type="auto"/>
            <w:tcBorders>
              <w:top w:val="nil"/>
              <w:left w:val="nil"/>
              <w:bottom w:val="nil"/>
              <w:right w:val="single" w:sz="8" w:space="0" w:color="auto"/>
            </w:tcBorders>
            <w:shd w:val="clear" w:color="000000" w:fill="FFFFFF"/>
            <w:vAlign w:val="center"/>
            <w:hideMark/>
          </w:tcPr>
          <w:p w14:paraId="1AC25DC8"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78.5%</w:t>
            </w:r>
          </w:p>
        </w:tc>
        <w:tc>
          <w:tcPr>
            <w:tcW w:w="0" w:type="auto"/>
            <w:tcBorders>
              <w:top w:val="nil"/>
              <w:left w:val="nil"/>
              <w:bottom w:val="nil"/>
              <w:right w:val="single" w:sz="8" w:space="0" w:color="auto"/>
            </w:tcBorders>
            <w:shd w:val="clear" w:color="000000" w:fill="FFFFFF"/>
            <w:vAlign w:val="center"/>
            <w:hideMark/>
          </w:tcPr>
          <w:p w14:paraId="2D9480D2"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81.9% (+3.4%)</w:t>
            </w:r>
          </w:p>
        </w:tc>
        <w:tc>
          <w:tcPr>
            <w:tcW w:w="0" w:type="auto"/>
            <w:tcBorders>
              <w:top w:val="single" w:sz="8" w:space="0" w:color="auto"/>
              <w:left w:val="nil"/>
              <w:bottom w:val="nil"/>
              <w:right w:val="single" w:sz="8" w:space="0" w:color="auto"/>
            </w:tcBorders>
            <w:shd w:val="clear" w:color="000000" w:fill="F3FEFF"/>
            <w:vAlign w:val="center"/>
            <w:hideMark/>
          </w:tcPr>
          <w:p w14:paraId="351ED6D9"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96.3%</w:t>
            </w:r>
          </w:p>
        </w:tc>
        <w:tc>
          <w:tcPr>
            <w:tcW w:w="0" w:type="auto"/>
            <w:tcBorders>
              <w:top w:val="single" w:sz="8" w:space="0" w:color="auto"/>
              <w:left w:val="nil"/>
              <w:bottom w:val="nil"/>
              <w:right w:val="single" w:sz="8" w:space="0" w:color="auto"/>
            </w:tcBorders>
            <w:shd w:val="clear" w:color="000000" w:fill="F3FEFF"/>
            <w:vAlign w:val="center"/>
            <w:hideMark/>
          </w:tcPr>
          <w:p w14:paraId="7B252582"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50.4%</w:t>
            </w:r>
          </w:p>
        </w:tc>
      </w:tr>
      <w:tr w:rsidR="003734E1" w:rsidRPr="000E6D56" w14:paraId="7AC8DA9A" w14:textId="77777777" w:rsidTr="0027120A">
        <w:trPr>
          <w:trHeight w:val="345"/>
        </w:trPr>
        <w:tc>
          <w:tcPr>
            <w:tcW w:w="0" w:type="auto"/>
            <w:tcBorders>
              <w:top w:val="nil"/>
              <w:left w:val="single" w:sz="8" w:space="0" w:color="auto"/>
              <w:bottom w:val="nil"/>
              <w:right w:val="single" w:sz="8" w:space="0" w:color="auto"/>
            </w:tcBorders>
            <w:shd w:val="clear" w:color="000000" w:fill="FFFFFF"/>
            <w:vAlign w:val="center"/>
            <w:hideMark/>
          </w:tcPr>
          <w:p w14:paraId="00EBDB06" w14:textId="77777777" w:rsidR="003734E1" w:rsidRPr="000E6D56" w:rsidRDefault="003734E1" w:rsidP="0027120A">
            <w:pPr>
              <w:spacing w:after="0" w:line="240" w:lineRule="auto"/>
              <w:rPr>
                <w:rFonts w:eastAsia="Times New Roman" w:cs="Arial"/>
                <w:b/>
                <w:bCs/>
                <w:color w:val="000000"/>
                <w:sz w:val="16"/>
                <w:szCs w:val="16"/>
                <w:lang w:eastAsia="zh-CN" w:bidi="th-TH"/>
              </w:rPr>
            </w:pPr>
            <w:r w:rsidRPr="000E6D56">
              <w:rPr>
                <w:rFonts w:eastAsia="Times New Roman" w:cs="Arial"/>
                <w:b/>
                <w:bCs/>
                <w:color w:val="000000"/>
                <w:sz w:val="16"/>
                <w:szCs w:val="16"/>
                <w:lang w:eastAsia="zh-CN" w:bidi="th-TH"/>
              </w:rPr>
              <w:t>Psychosocial disability</w:t>
            </w:r>
          </w:p>
        </w:tc>
        <w:tc>
          <w:tcPr>
            <w:tcW w:w="0" w:type="auto"/>
            <w:tcBorders>
              <w:top w:val="nil"/>
              <w:left w:val="nil"/>
              <w:bottom w:val="nil"/>
              <w:right w:val="single" w:sz="8" w:space="0" w:color="auto"/>
            </w:tcBorders>
            <w:shd w:val="clear" w:color="000000" w:fill="FFFFFF"/>
            <w:vAlign w:val="center"/>
            <w:hideMark/>
          </w:tcPr>
          <w:p w14:paraId="733E22E2"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 xml:space="preserve">       12,196 </w:t>
            </w:r>
          </w:p>
        </w:tc>
        <w:tc>
          <w:tcPr>
            <w:tcW w:w="0" w:type="auto"/>
            <w:tcBorders>
              <w:top w:val="nil"/>
              <w:left w:val="nil"/>
              <w:bottom w:val="nil"/>
              <w:right w:val="single" w:sz="8" w:space="0" w:color="auto"/>
            </w:tcBorders>
            <w:shd w:val="clear" w:color="000000" w:fill="FFFFFF"/>
            <w:vAlign w:val="center"/>
            <w:hideMark/>
          </w:tcPr>
          <w:p w14:paraId="31CD30AA"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$8.9k</w:t>
            </w:r>
          </w:p>
        </w:tc>
        <w:tc>
          <w:tcPr>
            <w:tcW w:w="0" w:type="auto"/>
            <w:tcBorders>
              <w:top w:val="nil"/>
              <w:left w:val="nil"/>
              <w:bottom w:val="nil"/>
              <w:right w:val="single" w:sz="8" w:space="0" w:color="auto"/>
            </w:tcBorders>
            <w:shd w:val="clear" w:color="000000" w:fill="FFFFFF"/>
            <w:vAlign w:val="center"/>
            <w:hideMark/>
          </w:tcPr>
          <w:p w14:paraId="27D0B2D1"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$34.1k</w:t>
            </w:r>
          </w:p>
        </w:tc>
        <w:tc>
          <w:tcPr>
            <w:tcW w:w="0" w:type="auto"/>
            <w:tcBorders>
              <w:top w:val="nil"/>
              <w:left w:val="nil"/>
              <w:bottom w:val="nil"/>
              <w:right w:val="single" w:sz="8" w:space="0" w:color="auto"/>
            </w:tcBorders>
            <w:shd w:val="clear" w:color="000000" w:fill="FFFFFF"/>
            <w:vAlign w:val="center"/>
            <w:hideMark/>
          </w:tcPr>
          <w:p w14:paraId="0C68B33A"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75.9%</w:t>
            </w:r>
          </w:p>
        </w:tc>
        <w:tc>
          <w:tcPr>
            <w:tcW w:w="0" w:type="auto"/>
            <w:tcBorders>
              <w:top w:val="nil"/>
              <w:left w:val="nil"/>
              <w:bottom w:val="nil"/>
              <w:right w:val="single" w:sz="8" w:space="0" w:color="auto"/>
            </w:tcBorders>
            <w:shd w:val="clear" w:color="000000" w:fill="FFFFFF"/>
            <w:vAlign w:val="center"/>
            <w:hideMark/>
          </w:tcPr>
          <w:p w14:paraId="27B06D7F"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78.9% (+3.0%)</w:t>
            </w:r>
          </w:p>
        </w:tc>
        <w:tc>
          <w:tcPr>
            <w:tcW w:w="0" w:type="auto"/>
            <w:tcBorders>
              <w:top w:val="single" w:sz="8" w:space="0" w:color="auto"/>
              <w:left w:val="nil"/>
              <w:bottom w:val="nil"/>
              <w:right w:val="single" w:sz="8" w:space="0" w:color="auto"/>
            </w:tcBorders>
            <w:shd w:val="clear" w:color="000000" w:fill="F3FEFF"/>
            <w:vAlign w:val="center"/>
            <w:hideMark/>
          </w:tcPr>
          <w:p w14:paraId="3665682B"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96.4%</w:t>
            </w:r>
          </w:p>
        </w:tc>
        <w:tc>
          <w:tcPr>
            <w:tcW w:w="0" w:type="auto"/>
            <w:tcBorders>
              <w:top w:val="single" w:sz="8" w:space="0" w:color="auto"/>
              <w:left w:val="nil"/>
              <w:bottom w:val="nil"/>
              <w:right w:val="single" w:sz="8" w:space="0" w:color="auto"/>
            </w:tcBorders>
            <w:shd w:val="clear" w:color="000000" w:fill="F3FEFF"/>
            <w:vAlign w:val="center"/>
            <w:hideMark/>
          </w:tcPr>
          <w:p w14:paraId="6B5A1AF3"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43.7%</w:t>
            </w:r>
          </w:p>
        </w:tc>
      </w:tr>
      <w:tr w:rsidR="003734E1" w:rsidRPr="000E6D56" w14:paraId="18FC451D"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06774FBE" w14:textId="77777777" w:rsidR="003734E1" w:rsidRPr="000E6D56" w:rsidRDefault="003734E1" w:rsidP="0027120A">
            <w:pPr>
              <w:spacing w:after="0" w:line="240" w:lineRule="auto"/>
              <w:rPr>
                <w:rFonts w:eastAsia="Times New Roman" w:cs="Arial"/>
                <w:b/>
                <w:bCs/>
                <w:color w:val="000000"/>
                <w:sz w:val="16"/>
                <w:szCs w:val="16"/>
                <w:lang w:eastAsia="zh-CN" w:bidi="th-TH"/>
              </w:rPr>
            </w:pPr>
            <w:r w:rsidRPr="000E6D56">
              <w:rPr>
                <w:rFonts w:eastAsia="Times New Roman" w:cs="Arial"/>
                <w:b/>
                <w:bCs/>
                <w:color w:val="000000"/>
                <w:sz w:val="16"/>
                <w:szCs w:val="16"/>
                <w:lang w:eastAsia="zh-CN" w:bidi="th-TH"/>
              </w:rPr>
              <w:t>Sensory disability</w:t>
            </w:r>
          </w:p>
        </w:tc>
        <w:tc>
          <w:tcPr>
            <w:tcW w:w="0" w:type="auto"/>
            <w:tcBorders>
              <w:top w:val="nil"/>
              <w:left w:val="nil"/>
              <w:bottom w:val="nil"/>
              <w:right w:val="single" w:sz="8" w:space="0" w:color="auto"/>
            </w:tcBorders>
            <w:shd w:val="clear" w:color="000000" w:fill="FFFFFF"/>
            <w:vAlign w:val="center"/>
            <w:hideMark/>
          </w:tcPr>
          <w:p w14:paraId="2A3AE100"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 xml:space="preserve">         5,931 </w:t>
            </w:r>
          </w:p>
        </w:tc>
        <w:tc>
          <w:tcPr>
            <w:tcW w:w="0" w:type="auto"/>
            <w:tcBorders>
              <w:top w:val="nil"/>
              <w:left w:val="nil"/>
              <w:bottom w:val="nil"/>
              <w:right w:val="single" w:sz="8" w:space="0" w:color="auto"/>
            </w:tcBorders>
            <w:shd w:val="clear" w:color="000000" w:fill="FFFFFF"/>
            <w:vAlign w:val="center"/>
            <w:hideMark/>
          </w:tcPr>
          <w:p w14:paraId="2FD68096"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$4.0k</w:t>
            </w:r>
          </w:p>
        </w:tc>
        <w:tc>
          <w:tcPr>
            <w:tcW w:w="0" w:type="auto"/>
            <w:tcBorders>
              <w:top w:val="nil"/>
              <w:left w:val="nil"/>
              <w:bottom w:val="nil"/>
              <w:right w:val="single" w:sz="8" w:space="0" w:color="auto"/>
            </w:tcBorders>
            <w:shd w:val="clear" w:color="000000" w:fill="FFFFFF"/>
            <w:vAlign w:val="center"/>
            <w:hideMark/>
          </w:tcPr>
          <w:p w14:paraId="530FCE30"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$13.8k</w:t>
            </w:r>
          </w:p>
        </w:tc>
        <w:tc>
          <w:tcPr>
            <w:tcW w:w="0" w:type="auto"/>
            <w:tcBorders>
              <w:top w:val="nil"/>
              <w:left w:val="nil"/>
              <w:bottom w:val="nil"/>
              <w:right w:val="single" w:sz="8" w:space="0" w:color="auto"/>
            </w:tcBorders>
            <w:shd w:val="clear" w:color="000000" w:fill="FFFFFF"/>
            <w:vAlign w:val="center"/>
            <w:hideMark/>
          </w:tcPr>
          <w:p w14:paraId="2065DD28"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67.4%</w:t>
            </w:r>
          </w:p>
        </w:tc>
        <w:tc>
          <w:tcPr>
            <w:tcW w:w="0" w:type="auto"/>
            <w:tcBorders>
              <w:top w:val="nil"/>
              <w:left w:val="nil"/>
              <w:bottom w:val="nil"/>
              <w:right w:val="single" w:sz="8" w:space="0" w:color="auto"/>
            </w:tcBorders>
            <w:shd w:val="clear" w:color="000000" w:fill="FFFFFF"/>
            <w:vAlign w:val="center"/>
            <w:hideMark/>
          </w:tcPr>
          <w:p w14:paraId="7EE21993"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70.1% (+2.7%)</w:t>
            </w:r>
          </w:p>
        </w:tc>
        <w:tc>
          <w:tcPr>
            <w:tcW w:w="0" w:type="auto"/>
            <w:tcBorders>
              <w:top w:val="single" w:sz="8" w:space="0" w:color="auto"/>
              <w:left w:val="nil"/>
              <w:bottom w:val="nil"/>
              <w:right w:val="single" w:sz="8" w:space="0" w:color="auto"/>
            </w:tcBorders>
            <w:shd w:val="clear" w:color="000000" w:fill="F3FEFF"/>
            <w:vAlign w:val="center"/>
            <w:hideMark/>
          </w:tcPr>
          <w:p w14:paraId="42FC18A2"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95.3%</w:t>
            </w:r>
          </w:p>
        </w:tc>
        <w:tc>
          <w:tcPr>
            <w:tcW w:w="0" w:type="auto"/>
            <w:tcBorders>
              <w:top w:val="single" w:sz="8" w:space="0" w:color="auto"/>
              <w:left w:val="nil"/>
              <w:bottom w:val="nil"/>
              <w:right w:val="single" w:sz="8" w:space="0" w:color="auto"/>
            </w:tcBorders>
            <w:shd w:val="clear" w:color="000000" w:fill="F3FEFF"/>
            <w:vAlign w:val="center"/>
            <w:hideMark/>
          </w:tcPr>
          <w:p w14:paraId="5C49DEFC"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36.6%</w:t>
            </w:r>
          </w:p>
        </w:tc>
      </w:tr>
      <w:tr w:rsidR="003734E1" w:rsidRPr="000E6D56" w14:paraId="5C8E62F3"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20F41BAA" w14:textId="77777777" w:rsidR="003734E1" w:rsidRPr="000E6D56" w:rsidRDefault="003734E1" w:rsidP="0027120A">
            <w:pPr>
              <w:spacing w:after="0" w:line="240" w:lineRule="auto"/>
              <w:rPr>
                <w:rFonts w:eastAsia="Times New Roman" w:cs="Arial"/>
                <w:b/>
                <w:bCs/>
                <w:color w:val="000000"/>
                <w:sz w:val="16"/>
                <w:szCs w:val="16"/>
                <w:lang w:eastAsia="zh-CN" w:bidi="th-TH"/>
              </w:rPr>
            </w:pPr>
            <w:r w:rsidRPr="000E6D56">
              <w:rPr>
                <w:rFonts w:eastAsia="Times New Roman" w:cs="Arial"/>
                <w:b/>
                <w:bCs/>
                <w:color w:val="000000"/>
                <w:sz w:val="16"/>
                <w:szCs w:val="16"/>
                <w:lang w:eastAsia="zh-CN" w:bidi="th-TH"/>
              </w:rPr>
              <w:t>Other</w:t>
            </w:r>
          </w:p>
        </w:tc>
        <w:tc>
          <w:tcPr>
            <w:tcW w:w="0" w:type="auto"/>
            <w:tcBorders>
              <w:top w:val="nil"/>
              <w:left w:val="nil"/>
              <w:bottom w:val="nil"/>
              <w:right w:val="single" w:sz="8" w:space="0" w:color="auto"/>
            </w:tcBorders>
            <w:shd w:val="clear" w:color="000000" w:fill="FFFFFF"/>
            <w:vAlign w:val="center"/>
            <w:hideMark/>
          </w:tcPr>
          <w:p w14:paraId="4FD61017"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 xml:space="preserve">       28,616 </w:t>
            </w:r>
          </w:p>
        </w:tc>
        <w:tc>
          <w:tcPr>
            <w:tcW w:w="0" w:type="auto"/>
            <w:tcBorders>
              <w:top w:val="nil"/>
              <w:left w:val="nil"/>
              <w:bottom w:val="nil"/>
              <w:right w:val="single" w:sz="8" w:space="0" w:color="auto"/>
            </w:tcBorders>
            <w:shd w:val="clear" w:color="000000" w:fill="FFFFFF"/>
            <w:vAlign w:val="center"/>
            <w:hideMark/>
          </w:tcPr>
          <w:p w14:paraId="62341932"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$9.5k</w:t>
            </w:r>
          </w:p>
        </w:tc>
        <w:tc>
          <w:tcPr>
            <w:tcW w:w="0" w:type="auto"/>
            <w:tcBorders>
              <w:top w:val="nil"/>
              <w:left w:val="nil"/>
              <w:bottom w:val="nil"/>
              <w:right w:val="single" w:sz="8" w:space="0" w:color="auto"/>
            </w:tcBorders>
            <w:shd w:val="clear" w:color="000000" w:fill="FFFFFF"/>
            <w:vAlign w:val="center"/>
            <w:hideMark/>
          </w:tcPr>
          <w:p w14:paraId="03B78103"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$66.6k</w:t>
            </w:r>
          </w:p>
        </w:tc>
        <w:tc>
          <w:tcPr>
            <w:tcW w:w="0" w:type="auto"/>
            <w:tcBorders>
              <w:top w:val="nil"/>
              <w:left w:val="nil"/>
              <w:bottom w:val="nil"/>
              <w:right w:val="single" w:sz="8" w:space="0" w:color="auto"/>
            </w:tcBorders>
            <w:shd w:val="clear" w:color="000000" w:fill="FFFFFF"/>
            <w:vAlign w:val="center"/>
            <w:hideMark/>
          </w:tcPr>
          <w:p w14:paraId="31DD0E82"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81.2%</w:t>
            </w:r>
          </w:p>
        </w:tc>
        <w:tc>
          <w:tcPr>
            <w:tcW w:w="0" w:type="auto"/>
            <w:tcBorders>
              <w:top w:val="nil"/>
              <w:left w:val="nil"/>
              <w:bottom w:val="nil"/>
              <w:right w:val="single" w:sz="8" w:space="0" w:color="auto"/>
            </w:tcBorders>
            <w:shd w:val="clear" w:color="000000" w:fill="FFFFFF"/>
            <w:vAlign w:val="center"/>
            <w:hideMark/>
          </w:tcPr>
          <w:p w14:paraId="08825078"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84.5% (+3.3%)</w:t>
            </w:r>
          </w:p>
        </w:tc>
        <w:tc>
          <w:tcPr>
            <w:tcW w:w="0" w:type="auto"/>
            <w:tcBorders>
              <w:top w:val="single" w:sz="8" w:space="0" w:color="auto"/>
              <w:left w:val="nil"/>
              <w:bottom w:val="nil"/>
              <w:right w:val="single" w:sz="8" w:space="0" w:color="auto"/>
            </w:tcBorders>
            <w:shd w:val="clear" w:color="000000" w:fill="F3FEFF"/>
            <w:vAlign w:val="center"/>
            <w:hideMark/>
          </w:tcPr>
          <w:p w14:paraId="0A55CAC3"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97.6%</w:t>
            </w:r>
          </w:p>
        </w:tc>
        <w:tc>
          <w:tcPr>
            <w:tcW w:w="0" w:type="auto"/>
            <w:tcBorders>
              <w:top w:val="single" w:sz="8" w:space="0" w:color="auto"/>
              <w:left w:val="nil"/>
              <w:bottom w:val="nil"/>
              <w:right w:val="single" w:sz="8" w:space="0" w:color="auto"/>
            </w:tcBorders>
            <w:shd w:val="clear" w:color="000000" w:fill="F3FEFF"/>
            <w:vAlign w:val="center"/>
            <w:hideMark/>
          </w:tcPr>
          <w:p w14:paraId="1850530A" w14:textId="77777777" w:rsidR="003734E1" w:rsidRPr="000E6D56" w:rsidRDefault="003734E1" w:rsidP="0027120A">
            <w:pPr>
              <w:spacing w:after="0" w:line="240" w:lineRule="auto"/>
              <w:jc w:val="center"/>
              <w:rPr>
                <w:rFonts w:eastAsia="Times New Roman" w:cs="Arial"/>
                <w:color w:val="000000"/>
                <w:sz w:val="16"/>
                <w:szCs w:val="16"/>
                <w:lang w:eastAsia="zh-CN" w:bidi="th-TH"/>
              </w:rPr>
            </w:pPr>
            <w:r w:rsidRPr="000E6D56">
              <w:rPr>
                <w:rFonts w:eastAsia="Times New Roman" w:cs="Arial"/>
                <w:color w:val="000000"/>
                <w:sz w:val="16"/>
                <w:szCs w:val="16"/>
                <w:lang w:eastAsia="zh-CN" w:bidi="th-TH"/>
              </w:rPr>
              <w:t>50.9%</w:t>
            </w:r>
          </w:p>
        </w:tc>
      </w:tr>
      <w:tr w:rsidR="003734E1" w:rsidRPr="000E6D56" w14:paraId="26925C18" w14:textId="77777777" w:rsidTr="0027120A">
        <w:trPr>
          <w:trHeight w:val="315"/>
        </w:trPr>
        <w:tc>
          <w:tcPr>
            <w:tcW w:w="0" w:type="auto"/>
            <w:tcBorders>
              <w:top w:val="single" w:sz="8" w:space="0" w:color="auto"/>
              <w:left w:val="single" w:sz="8" w:space="0" w:color="auto"/>
              <w:bottom w:val="single" w:sz="8" w:space="0" w:color="auto"/>
              <w:right w:val="single" w:sz="8" w:space="0" w:color="auto"/>
            </w:tcBorders>
            <w:shd w:val="clear" w:color="000000" w:fill="F2F2F2"/>
            <w:vAlign w:val="center"/>
            <w:hideMark/>
          </w:tcPr>
          <w:p w14:paraId="5D76E695" w14:textId="77777777" w:rsidR="003734E1" w:rsidRPr="00F830E6" w:rsidRDefault="003734E1" w:rsidP="0027120A">
            <w:pPr>
              <w:spacing w:after="0" w:line="240" w:lineRule="auto"/>
              <w:rPr>
                <w:rFonts w:eastAsia="Times New Roman" w:cs="Arial"/>
                <w:b/>
                <w:bCs/>
                <w:color w:val="007985"/>
                <w:sz w:val="16"/>
                <w:szCs w:val="16"/>
                <w:lang w:eastAsia="zh-CN" w:bidi="th-TH"/>
              </w:rPr>
            </w:pPr>
            <w:r w:rsidRPr="00F830E6">
              <w:rPr>
                <w:rFonts w:eastAsia="Times New Roman" w:cs="Arial"/>
                <w:b/>
                <w:bCs/>
                <w:color w:val="007985"/>
                <w:sz w:val="16"/>
                <w:szCs w:val="16"/>
                <w:lang w:eastAsia="zh-CN" w:bidi="th-TH"/>
              </w:rPr>
              <w:t>Total</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3578C7F5" w14:textId="77777777" w:rsidR="003734E1" w:rsidRPr="00F830E6" w:rsidRDefault="003734E1" w:rsidP="0027120A">
            <w:pPr>
              <w:spacing w:after="0" w:line="240" w:lineRule="auto"/>
              <w:jc w:val="center"/>
              <w:rPr>
                <w:rFonts w:eastAsia="Times New Roman" w:cs="Arial"/>
                <w:b/>
                <w:bCs/>
                <w:color w:val="000000"/>
                <w:sz w:val="16"/>
                <w:szCs w:val="16"/>
                <w:lang w:eastAsia="zh-CN" w:bidi="th-TH"/>
              </w:rPr>
            </w:pPr>
            <w:r w:rsidRPr="00F830E6">
              <w:rPr>
                <w:rFonts w:eastAsia="Times New Roman" w:cs="Arial"/>
                <w:b/>
                <w:bCs/>
                <w:color w:val="000000"/>
                <w:sz w:val="16"/>
                <w:szCs w:val="16"/>
                <w:lang w:eastAsia="zh-CN" w:bidi="th-TH"/>
              </w:rPr>
              <w:t xml:space="preserve">       68,331 </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759BD612" w14:textId="77777777" w:rsidR="003734E1" w:rsidRPr="00F830E6" w:rsidRDefault="003734E1" w:rsidP="0027120A">
            <w:pPr>
              <w:spacing w:after="0" w:line="240" w:lineRule="auto"/>
              <w:jc w:val="center"/>
              <w:rPr>
                <w:rFonts w:eastAsia="Times New Roman" w:cs="Arial"/>
                <w:b/>
                <w:bCs/>
                <w:color w:val="000000"/>
                <w:sz w:val="16"/>
                <w:szCs w:val="16"/>
                <w:lang w:eastAsia="zh-CN" w:bidi="th-TH"/>
              </w:rPr>
            </w:pPr>
            <w:r w:rsidRPr="00F830E6">
              <w:rPr>
                <w:rFonts w:eastAsia="Times New Roman" w:cs="Arial"/>
                <w:b/>
                <w:bCs/>
                <w:color w:val="000000"/>
                <w:sz w:val="16"/>
                <w:szCs w:val="16"/>
                <w:lang w:eastAsia="zh-CN" w:bidi="th-TH"/>
              </w:rPr>
              <w:t>$9.2k</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76706918" w14:textId="77777777" w:rsidR="003734E1" w:rsidRPr="00F830E6" w:rsidRDefault="003734E1" w:rsidP="0027120A">
            <w:pPr>
              <w:spacing w:after="0" w:line="240" w:lineRule="auto"/>
              <w:jc w:val="center"/>
              <w:rPr>
                <w:rFonts w:eastAsia="Times New Roman" w:cs="Arial"/>
                <w:b/>
                <w:bCs/>
                <w:color w:val="000000"/>
                <w:sz w:val="16"/>
                <w:szCs w:val="16"/>
                <w:lang w:eastAsia="zh-CN" w:bidi="th-TH"/>
              </w:rPr>
            </w:pPr>
            <w:r w:rsidRPr="00F830E6">
              <w:rPr>
                <w:rFonts w:eastAsia="Times New Roman" w:cs="Arial"/>
                <w:b/>
                <w:bCs/>
                <w:color w:val="000000"/>
                <w:sz w:val="16"/>
                <w:szCs w:val="16"/>
                <w:lang w:eastAsia="zh-CN" w:bidi="th-TH"/>
              </w:rPr>
              <w:t>$51.2k</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517CC7F6" w14:textId="77777777" w:rsidR="003734E1" w:rsidRPr="00F830E6" w:rsidRDefault="003734E1" w:rsidP="0027120A">
            <w:pPr>
              <w:spacing w:after="0" w:line="240" w:lineRule="auto"/>
              <w:jc w:val="center"/>
              <w:rPr>
                <w:rFonts w:eastAsia="Times New Roman" w:cs="Arial"/>
                <w:b/>
                <w:bCs/>
                <w:color w:val="000000"/>
                <w:sz w:val="16"/>
                <w:szCs w:val="16"/>
                <w:lang w:eastAsia="zh-CN" w:bidi="th-TH"/>
              </w:rPr>
            </w:pPr>
            <w:r w:rsidRPr="00F830E6">
              <w:rPr>
                <w:rFonts w:eastAsia="Times New Roman" w:cs="Arial"/>
                <w:b/>
                <w:bCs/>
                <w:color w:val="000000"/>
                <w:sz w:val="16"/>
                <w:szCs w:val="16"/>
                <w:lang w:eastAsia="zh-CN" w:bidi="th-TH"/>
              </w:rPr>
              <w:t>78.1%</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3B100727" w14:textId="77777777" w:rsidR="003734E1" w:rsidRPr="00F830E6" w:rsidRDefault="003734E1" w:rsidP="0027120A">
            <w:pPr>
              <w:spacing w:after="0" w:line="240" w:lineRule="auto"/>
              <w:jc w:val="center"/>
              <w:rPr>
                <w:rFonts w:eastAsia="Times New Roman" w:cs="Arial"/>
                <w:b/>
                <w:bCs/>
                <w:color w:val="000000"/>
                <w:sz w:val="16"/>
                <w:szCs w:val="16"/>
                <w:lang w:eastAsia="zh-CN" w:bidi="th-TH"/>
              </w:rPr>
            </w:pPr>
            <w:r w:rsidRPr="00F830E6">
              <w:rPr>
                <w:rFonts w:eastAsia="Times New Roman" w:cs="Arial"/>
                <w:b/>
                <w:bCs/>
                <w:color w:val="000000"/>
                <w:sz w:val="16"/>
                <w:szCs w:val="16"/>
                <w:lang w:eastAsia="zh-CN" w:bidi="th-TH"/>
              </w:rPr>
              <w:t>81.1% (+3.0%)</w:t>
            </w:r>
          </w:p>
        </w:tc>
        <w:tc>
          <w:tcPr>
            <w:tcW w:w="0" w:type="auto"/>
            <w:tcBorders>
              <w:top w:val="single" w:sz="8" w:space="0" w:color="auto"/>
              <w:left w:val="nil"/>
              <w:bottom w:val="single" w:sz="8" w:space="0" w:color="auto"/>
              <w:right w:val="single" w:sz="8" w:space="0" w:color="auto"/>
            </w:tcBorders>
            <w:shd w:val="clear" w:color="000000" w:fill="F3FEFF"/>
            <w:vAlign w:val="center"/>
            <w:hideMark/>
          </w:tcPr>
          <w:p w14:paraId="70EF3463" w14:textId="77777777" w:rsidR="003734E1" w:rsidRPr="00F830E6" w:rsidRDefault="003734E1" w:rsidP="0027120A">
            <w:pPr>
              <w:spacing w:after="0" w:line="240" w:lineRule="auto"/>
              <w:jc w:val="center"/>
              <w:rPr>
                <w:rFonts w:eastAsia="Times New Roman" w:cs="Arial"/>
                <w:b/>
                <w:bCs/>
                <w:color w:val="000000"/>
                <w:sz w:val="16"/>
                <w:szCs w:val="16"/>
                <w:lang w:eastAsia="zh-CN" w:bidi="th-TH"/>
              </w:rPr>
            </w:pPr>
            <w:r w:rsidRPr="00F830E6">
              <w:rPr>
                <w:rFonts w:eastAsia="Times New Roman" w:cs="Arial"/>
                <w:b/>
                <w:bCs/>
                <w:color w:val="000000"/>
                <w:sz w:val="16"/>
                <w:szCs w:val="16"/>
                <w:lang w:eastAsia="zh-CN" w:bidi="th-TH"/>
              </w:rPr>
              <w:t>96.6%</w:t>
            </w:r>
          </w:p>
        </w:tc>
        <w:tc>
          <w:tcPr>
            <w:tcW w:w="0" w:type="auto"/>
            <w:tcBorders>
              <w:top w:val="single" w:sz="8" w:space="0" w:color="auto"/>
              <w:left w:val="nil"/>
              <w:bottom w:val="single" w:sz="8" w:space="0" w:color="auto"/>
              <w:right w:val="single" w:sz="8" w:space="0" w:color="auto"/>
            </w:tcBorders>
            <w:shd w:val="clear" w:color="000000" w:fill="F3FEFF"/>
            <w:vAlign w:val="center"/>
            <w:hideMark/>
          </w:tcPr>
          <w:p w14:paraId="23B9B646" w14:textId="77777777" w:rsidR="003734E1" w:rsidRPr="00F830E6" w:rsidRDefault="003734E1" w:rsidP="0027120A">
            <w:pPr>
              <w:spacing w:after="0" w:line="240" w:lineRule="auto"/>
              <w:jc w:val="center"/>
              <w:rPr>
                <w:rFonts w:eastAsia="Times New Roman" w:cs="Arial"/>
                <w:b/>
                <w:bCs/>
                <w:color w:val="000000"/>
                <w:sz w:val="16"/>
                <w:szCs w:val="16"/>
                <w:lang w:eastAsia="zh-CN" w:bidi="th-TH"/>
              </w:rPr>
            </w:pPr>
            <w:r w:rsidRPr="00F830E6">
              <w:rPr>
                <w:rFonts w:eastAsia="Times New Roman" w:cs="Arial"/>
                <w:b/>
                <w:bCs/>
                <w:color w:val="000000"/>
                <w:sz w:val="16"/>
                <w:szCs w:val="16"/>
                <w:lang w:eastAsia="zh-CN" w:bidi="th-TH"/>
              </w:rPr>
              <w:t>47.9%</w:t>
            </w:r>
          </w:p>
        </w:tc>
      </w:tr>
    </w:tbl>
    <w:p w14:paraId="57E3D531" w14:textId="77777777" w:rsidR="00C5603C" w:rsidRDefault="00C5603C" w:rsidP="003734E1">
      <w:pPr>
        <w:pStyle w:val="FSRHeading4"/>
      </w:pPr>
    </w:p>
    <w:p w14:paraId="5A7695C9" w14:textId="77777777" w:rsidR="00C5603C" w:rsidRDefault="00C5603C">
      <w:pPr>
        <w:spacing w:after="160" w:line="259" w:lineRule="auto"/>
        <w:rPr>
          <w:b/>
          <w:color w:val="6B2976"/>
          <w:sz w:val="25"/>
        </w:rPr>
      </w:pPr>
      <w:r>
        <w:br w:type="page"/>
      </w:r>
    </w:p>
    <w:p w14:paraId="125D29D2" w14:textId="77777777" w:rsidR="003734E1" w:rsidRPr="00DA3F73" w:rsidRDefault="003734E1" w:rsidP="00DA3F73">
      <w:pPr>
        <w:pStyle w:val="FSRHeading6"/>
      </w:pPr>
      <w:r w:rsidRPr="00C5603C">
        <w:lastRenderedPageBreak/>
        <w:t>Relationships</w:t>
      </w:r>
    </w:p>
    <w:p w14:paraId="1B1A230D" w14:textId="77777777" w:rsidR="003734E1" w:rsidRPr="00902470" w:rsidRDefault="003734E1" w:rsidP="003734E1">
      <w:pPr>
        <w:pStyle w:val="FSRnormal"/>
        <w:keepNext/>
      </w:pPr>
      <w:r>
        <w:t xml:space="preserve">The NDIS plays an important role in enabling young participants to participate socially with the supports needed to engage, learn and build important social bonds that typically form at this time. </w:t>
      </w:r>
      <w:r w:rsidR="00707715">
        <w:t>Table K.</w:t>
      </w:r>
      <w:r w:rsidR="00707715">
        <w:rPr>
          <w:noProof/>
        </w:rPr>
        <w:t>6</w:t>
      </w:r>
      <w:r>
        <w:rPr>
          <w:i/>
          <w:iCs/>
        </w:rPr>
        <w:t xml:space="preserve"> </w:t>
      </w:r>
      <w:r>
        <w:t>looks at median funding provided to participants in this age group and whether they have friends they enjoy playing with.</w:t>
      </w:r>
    </w:p>
    <w:p w14:paraId="54BF6152" w14:textId="77777777" w:rsidR="003734E1" w:rsidRDefault="003734E1" w:rsidP="003734E1">
      <w:pPr>
        <w:pStyle w:val="Caption"/>
        <w:keepNext/>
      </w:pPr>
      <w:bookmarkStart w:id="1235" w:name="_Ref114567790"/>
      <w:r>
        <w:t>Table</w:t>
      </w:r>
      <w:r w:rsidR="00415177">
        <w:t xml:space="preserve"> K</w:t>
      </w:r>
      <w:r w:rsidR="00A87896">
        <w:t>.</w:t>
      </w:r>
      <w:fldSimple w:instr=" SEQ Table \* ARABIC \s 2 ">
        <w:r w:rsidR="00A87896">
          <w:rPr>
            <w:noProof/>
          </w:rPr>
          <w:t>6</w:t>
        </w:r>
      </w:fldSimple>
      <w:bookmarkEnd w:id="1235"/>
      <w:r w:rsidR="00415177">
        <w:t>:</w:t>
      </w:r>
      <w:r>
        <w:t xml:space="preserve"> </w:t>
      </w:r>
      <w:r w:rsidRPr="00192781">
        <w:t>% children</w:t>
      </w:r>
      <w:r>
        <w:t xml:space="preserve"> (birth to school-aged)</w:t>
      </w:r>
      <w:r w:rsidRPr="00192781">
        <w:t xml:space="preserve"> who have friends that he/she enjoys playing with</w:t>
      </w:r>
      <w:r>
        <w:rPr>
          <w:rStyle w:val="FootnoteReference"/>
        </w:rPr>
        <w:footnoteReference w:id="177"/>
      </w:r>
    </w:p>
    <w:tbl>
      <w:tblPr>
        <w:tblW w:w="0" w:type="auto"/>
        <w:tblLook w:val="04A0" w:firstRow="1" w:lastRow="0" w:firstColumn="1" w:lastColumn="0" w:noHBand="0" w:noVBand="1"/>
      </w:tblPr>
      <w:tblGrid>
        <w:gridCol w:w="1358"/>
        <w:gridCol w:w="1139"/>
        <w:gridCol w:w="892"/>
        <w:gridCol w:w="885"/>
        <w:gridCol w:w="1138"/>
        <w:gridCol w:w="1140"/>
        <w:gridCol w:w="1209"/>
        <w:gridCol w:w="1245"/>
      </w:tblGrid>
      <w:tr w:rsidR="003734E1" w:rsidRPr="001B1387" w14:paraId="2591EC99" w14:textId="77777777" w:rsidTr="0027120A">
        <w:trPr>
          <w:trHeight w:val="1022"/>
        </w:trPr>
        <w:tc>
          <w:tcPr>
            <w:tcW w:w="0" w:type="auto"/>
            <w:tcBorders>
              <w:top w:val="single" w:sz="8" w:space="0" w:color="auto"/>
              <w:left w:val="single" w:sz="8" w:space="0" w:color="auto"/>
              <w:bottom w:val="nil"/>
              <w:right w:val="single" w:sz="8" w:space="0" w:color="auto"/>
            </w:tcBorders>
            <w:shd w:val="clear" w:color="000000" w:fill="660066"/>
            <w:vAlign w:val="center"/>
            <w:hideMark/>
          </w:tcPr>
          <w:p w14:paraId="4D055816" w14:textId="77777777" w:rsidR="003734E1" w:rsidRPr="001B1387" w:rsidRDefault="003734E1" w:rsidP="0027120A">
            <w:pPr>
              <w:spacing w:after="0" w:line="240" w:lineRule="auto"/>
              <w:rPr>
                <w:rFonts w:eastAsia="Times New Roman" w:cs="Arial"/>
                <w:b/>
                <w:bCs/>
                <w:color w:val="FFFFFF"/>
                <w:sz w:val="16"/>
                <w:szCs w:val="16"/>
                <w:lang w:eastAsia="zh-CN" w:bidi="th-TH"/>
              </w:rPr>
            </w:pPr>
            <w:r w:rsidRPr="001B1387">
              <w:rPr>
                <w:rFonts w:eastAsia="Times New Roman" w:cs="Arial"/>
                <w:b/>
                <w:bCs/>
                <w:color w:val="FFFFFF"/>
                <w:sz w:val="16"/>
                <w:szCs w:val="16"/>
                <w:lang w:eastAsia="zh-CN" w:bidi="th-TH"/>
              </w:rPr>
              <w:t>Disability group</w:t>
            </w:r>
          </w:p>
        </w:tc>
        <w:tc>
          <w:tcPr>
            <w:tcW w:w="0" w:type="auto"/>
            <w:tcBorders>
              <w:top w:val="single" w:sz="8" w:space="0" w:color="auto"/>
              <w:left w:val="nil"/>
              <w:bottom w:val="nil"/>
              <w:right w:val="single" w:sz="8" w:space="0" w:color="auto"/>
            </w:tcBorders>
            <w:shd w:val="clear" w:color="000000" w:fill="660066"/>
            <w:vAlign w:val="center"/>
            <w:hideMark/>
          </w:tcPr>
          <w:p w14:paraId="611120E7" w14:textId="77777777" w:rsidR="003734E1" w:rsidRPr="001B1387" w:rsidRDefault="003734E1" w:rsidP="0027120A">
            <w:pPr>
              <w:spacing w:after="0" w:line="240" w:lineRule="auto"/>
              <w:rPr>
                <w:rFonts w:eastAsia="Times New Roman" w:cs="Arial"/>
                <w:b/>
                <w:bCs/>
                <w:color w:val="FFFFFF"/>
                <w:sz w:val="16"/>
                <w:szCs w:val="16"/>
                <w:lang w:eastAsia="zh-CN" w:bidi="th-TH"/>
              </w:rPr>
            </w:pPr>
            <w:r w:rsidRPr="001B1387">
              <w:rPr>
                <w:rFonts w:eastAsia="Times New Roman" w:cs="Arial"/>
                <w:b/>
                <w:bCs/>
                <w:color w:val="FFFFFF"/>
                <w:sz w:val="16"/>
                <w:szCs w:val="16"/>
                <w:lang w:eastAsia="zh-CN" w:bidi="th-TH"/>
              </w:rPr>
              <w:t>Number of participants in baseline cohort</w:t>
            </w:r>
          </w:p>
        </w:tc>
        <w:tc>
          <w:tcPr>
            <w:tcW w:w="0" w:type="auto"/>
            <w:tcBorders>
              <w:top w:val="single" w:sz="8" w:space="0" w:color="auto"/>
              <w:left w:val="nil"/>
              <w:bottom w:val="nil"/>
              <w:right w:val="single" w:sz="8" w:space="0" w:color="auto"/>
            </w:tcBorders>
            <w:shd w:val="clear" w:color="000000" w:fill="660066"/>
            <w:vAlign w:val="center"/>
            <w:hideMark/>
          </w:tcPr>
          <w:p w14:paraId="692820BF" w14:textId="77777777" w:rsidR="003734E1" w:rsidRPr="001B1387" w:rsidRDefault="003734E1" w:rsidP="0027120A">
            <w:pPr>
              <w:spacing w:after="0" w:line="240" w:lineRule="auto"/>
              <w:rPr>
                <w:rFonts w:eastAsia="Times New Roman" w:cs="Arial"/>
                <w:b/>
                <w:bCs/>
                <w:color w:val="FFFFFF"/>
                <w:sz w:val="16"/>
                <w:szCs w:val="16"/>
                <w:lang w:eastAsia="zh-CN" w:bidi="th-TH"/>
              </w:rPr>
            </w:pPr>
            <w:r w:rsidRPr="001B1387">
              <w:rPr>
                <w:rFonts w:eastAsia="Times New Roman" w:cs="Arial"/>
                <w:b/>
                <w:bCs/>
                <w:color w:val="FFFFFF"/>
                <w:sz w:val="16"/>
                <w:szCs w:val="16"/>
                <w:lang w:eastAsia="zh-CN" w:bidi="th-TH"/>
              </w:rPr>
              <w:t xml:space="preserve"> Median capacity building payment (yearly) </w:t>
            </w:r>
          </w:p>
        </w:tc>
        <w:tc>
          <w:tcPr>
            <w:tcW w:w="0" w:type="auto"/>
            <w:tcBorders>
              <w:top w:val="single" w:sz="8" w:space="0" w:color="auto"/>
              <w:left w:val="nil"/>
              <w:bottom w:val="nil"/>
              <w:right w:val="single" w:sz="8" w:space="0" w:color="auto"/>
            </w:tcBorders>
            <w:shd w:val="clear" w:color="000000" w:fill="660066"/>
            <w:vAlign w:val="center"/>
            <w:hideMark/>
          </w:tcPr>
          <w:p w14:paraId="437D2FA1" w14:textId="77777777" w:rsidR="003734E1" w:rsidRPr="001B1387" w:rsidRDefault="003734E1" w:rsidP="0027120A">
            <w:pPr>
              <w:spacing w:after="0" w:line="240" w:lineRule="auto"/>
              <w:rPr>
                <w:rFonts w:eastAsia="Times New Roman" w:cs="Arial"/>
                <w:b/>
                <w:bCs/>
                <w:color w:val="FFFFFF"/>
                <w:sz w:val="16"/>
                <w:szCs w:val="16"/>
                <w:lang w:eastAsia="zh-CN" w:bidi="th-TH"/>
              </w:rPr>
            </w:pPr>
            <w:r w:rsidRPr="001B1387">
              <w:rPr>
                <w:rFonts w:eastAsia="Times New Roman" w:cs="Arial"/>
                <w:b/>
                <w:bCs/>
                <w:color w:val="FFFFFF"/>
                <w:sz w:val="16"/>
                <w:szCs w:val="16"/>
                <w:lang w:eastAsia="zh-CN" w:bidi="th-TH"/>
              </w:rPr>
              <w:t xml:space="preserve"> Median total payment (yearly) </w:t>
            </w:r>
          </w:p>
        </w:tc>
        <w:tc>
          <w:tcPr>
            <w:tcW w:w="0" w:type="auto"/>
            <w:tcBorders>
              <w:top w:val="single" w:sz="8" w:space="0" w:color="auto"/>
              <w:left w:val="nil"/>
              <w:bottom w:val="nil"/>
              <w:right w:val="single" w:sz="8" w:space="0" w:color="auto"/>
            </w:tcBorders>
            <w:shd w:val="clear" w:color="000000" w:fill="660066"/>
            <w:vAlign w:val="center"/>
            <w:hideMark/>
          </w:tcPr>
          <w:p w14:paraId="34991113" w14:textId="77777777" w:rsidR="003734E1" w:rsidRPr="001B1387" w:rsidRDefault="003734E1" w:rsidP="0027120A">
            <w:pPr>
              <w:spacing w:after="0" w:line="240" w:lineRule="auto"/>
              <w:jc w:val="center"/>
              <w:rPr>
                <w:rFonts w:eastAsia="Times New Roman" w:cs="Arial"/>
                <w:b/>
                <w:bCs/>
                <w:color w:val="FFFFFF"/>
                <w:sz w:val="16"/>
                <w:szCs w:val="16"/>
                <w:lang w:eastAsia="zh-CN" w:bidi="th-TH"/>
              </w:rPr>
            </w:pPr>
            <w:r w:rsidRPr="001B1387">
              <w:rPr>
                <w:rFonts w:eastAsia="Times New Roman" w:cs="Arial"/>
                <w:b/>
                <w:bCs/>
                <w:color w:val="FFFFFF"/>
                <w:sz w:val="16"/>
                <w:szCs w:val="16"/>
                <w:lang w:eastAsia="zh-CN" w:bidi="th-TH"/>
              </w:rPr>
              <w:t>% participants with outcome at baseline</w:t>
            </w:r>
          </w:p>
        </w:tc>
        <w:tc>
          <w:tcPr>
            <w:tcW w:w="0" w:type="auto"/>
            <w:tcBorders>
              <w:top w:val="single" w:sz="8" w:space="0" w:color="auto"/>
              <w:left w:val="nil"/>
              <w:bottom w:val="nil"/>
              <w:right w:val="single" w:sz="8" w:space="0" w:color="auto"/>
            </w:tcBorders>
            <w:shd w:val="clear" w:color="000000" w:fill="660066"/>
            <w:vAlign w:val="center"/>
            <w:hideMark/>
          </w:tcPr>
          <w:p w14:paraId="6F30DAB8" w14:textId="77777777" w:rsidR="003734E1" w:rsidRPr="001B1387" w:rsidRDefault="003734E1" w:rsidP="0027120A">
            <w:pPr>
              <w:spacing w:after="0" w:line="240" w:lineRule="auto"/>
              <w:rPr>
                <w:rFonts w:eastAsia="Times New Roman" w:cs="Arial"/>
                <w:b/>
                <w:bCs/>
                <w:color w:val="FFFFFF"/>
                <w:sz w:val="16"/>
                <w:szCs w:val="16"/>
                <w:lang w:eastAsia="zh-CN" w:bidi="th-TH"/>
              </w:rPr>
            </w:pPr>
            <w:r w:rsidRPr="001B1387">
              <w:rPr>
                <w:rFonts w:eastAsia="Times New Roman" w:cs="Arial"/>
                <w:b/>
                <w:bCs/>
                <w:color w:val="FFFFFF"/>
                <w:sz w:val="16"/>
                <w:szCs w:val="16"/>
                <w:lang w:eastAsia="zh-CN" w:bidi="th-TH"/>
              </w:rPr>
              <w:t>% participants with outcome at latest review</w:t>
            </w:r>
          </w:p>
        </w:tc>
        <w:tc>
          <w:tcPr>
            <w:tcW w:w="0" w:type="auto"/>
            <w:tcBorders>
              <w:top w:val="single" w:sz="8" w:space="0" w:color="auto"/>
              <w:left w:val="nil"/>
              <w:bottom w:val="nil"/>
              <w:right w:val="single" w:sz="8" w:space="0" w:color="auto"/>
            </w:tcBorders>
            <w:shd w:val="clear" w:color="000000" w:fill="660066"/>
            <w:vAlign w:val="center"/>
            <w:hideMark/>
          </w:tcPr>
          <w:p w14:paraId="4043B65C" w14:textId="77777777" w:rsidR="003734E1" w:rsidRPr="001B1387" w:rsidRDefault="003734E1" w:rsidP="0027120A">
            <w:pPr>
              <w:spacing w:after="0" w:line="240" w:lineRule="auto"/>
              <w:rPr>
                <w:rFonts w:eastAsia="Times New Roman" w:cs="Arial"/>
                <w:b/>
                <w:bCs/>
                <w:color w:val="FFFFFF"/>
                <w:sz w:val="16"/>
                <w:szCs w:val="16"/>
                <w:lang w:eastAsia="zh-CN" w:bidi="th-TH"/>
              </w:rPr>
            </w:pPr>
            <w:r w:rsidRPr="001B1387">
              <w:rPr>
                <w:rFonts w:eastAsia="Times New Roman" w:cs="Arial"/>
                <w:b/>
                <w:bCs/>
                <w:color w:val="FFFFFF"/>
                <w:sz w:val="16"/>
                <w:szCs w:val="16"/>
                <w:lang w:eastAsia="zh-CN" w:bidi="th-TH"/>
              </w:rPr>
              <w:t>Maintenance of 'yes' response: baseline to latest review</w:t>
            </w:r>
          </w:p>
        </w:tc>
        <w:tc>
          <w:tcPr>
            <w:tcW w:w="0" w:type="auto"/>
            <w:tcBorders>
              <w:top w:val="single" w:sz="8" w:space="0" w:color="auto"/>
              <w:left w:val="nil"/>
              <w:bottom w:val="nil"/>
              <w:right w:val="single" w:sz="8" w:space="0" w:color="auto"/>
            </w:tcBorders>
            <w:shd w:val="clear" w:color="000000" w:fill="660066"/>
            <w:vAlign w:val="center"/>
            <w:hideMark/>
          </w:tcPr>
          <w:p w14:paraId="00B7C875" w14:textId="77777777" w:rsidR="003734E1" w:rsidRPr="001B1387" w:rsidRDefault="003734E1" w:rsidP="0027120A">
            <w:pPr>
              <w:spacing w:after="0" w:line="240" w:lineRule="auto"/>
              <w:rPr>
                <w:rFonts w:eastAsia="Times New Roman" w:cs="Arial"/>
                <w:b/>
                <w:bCs/>
                <w:color w:val="FFFFFF"/>
                <w:sz w:val="16"/>
                <w:szCs w:val="16"/>
                <w:lang w:eastAsia="zh-CN" w:bidi="th-TH"/>
              </w:rPr>
            </w:pPr>
            <w:r w:rsidRPr="001B1387">
              <w:rPr>
                <w:rFonts w:eastAsia="Times New Roman" w:cs="Arial"/>
                <w:b/>
                <w:bCs/>
                <w:color w:val="FFFFFF"/>
                <w:sz w:val="16"/>
                <w:szCs w:val="16"/>
                <w:lang w:eastAsia="zh-CN" w:bidi="th-TH"/>
              </w:rPr>
              <w:t>Improvement from 'no' response: baseline to latest review</w:t>
            </w:r>
          </w:p>
        </w:tc>
      </w:tr>
      <w:tr w:rsidR="003734E1" w:rsidRPr="001B1387" w14:paraId="729124BC" w14:textId="77777777" w:rsidTr="0027120A">
        <w:trPr>
          <w:trHeight w:val="315"/>
        </w:trPr>
        <w:tc>
          <w:tcPr>
            <w:tcW w:w="0" w:type="auto"/>
            <w:tcBorders>
              <w:top w:val="single" w:sz="8" w:space="0" w:color="auto"/>
              <w:left w:val="single" w:sz="8" w:space="0" w:color="auto"/>
              <w:bottom w:val="nil"/>
              <w:right w:val="single" w:sz="8" w:space="0" w:color="auto"/>
            </w:tcBorders>
            <w:shd w:val="clear" w:color="000000" w:fill="FFFFFF"/>
            <w:vAlign w:val="center"/>
            <w:hideMark/>
          </w:tcPr>
          <w:p w14:paraId="6A2E76FB" w14:textId="77777777" w:rsidR="003734E1" w:rsidRPr="001B1387" w:rsidRDefault="003734E1" w:rsidP="0027120A">
            <w:pPr>
              <w:spacing w:after="0" w:line="240" w:lineRule="auto"/>
              <w:rPr>
                <w:rFonts w:eastAsia="Times New Roman" w:cs="Arial"/>
                <w:b/>
                <w:bCs/>
                <w:color w:val="000000"/>
                <w:sz w:val="16"/>
                <w:szCs w:val="16"/>
                <w:lang w:eastAsia="zh-CN" w:bidi="th-TH"/>
              </w:rPr>
            </w:pPr>
            <w:r w:rsidRPr="001B1387">
              <w:rPr>
                <w:rFonts w:eastAsia="Times New Roman" w:cs="Arial"/>
                <w:b/>
                <w:bCs/>
                <w:color w:val="000000"/>
                <w:sz w:val="16"/>
                <w:szCs w:val="16"/>
                <w:lang w:eastAsia="zh-CN" w:bidi="th-TH"/>
              </w:rPr>
              <w:t>Autism</w:t>
            </w:r>
          </w:p>
        </w:tc>
        <w:tc>
          <w:tcPr>
            <w:tcW w:w="0" w:type="auto"/>
            <w:tcBorders>
              <w:top w:val="single" w:sz="8" w:space="0" w:color="auto"/>
              <w:left w:val="nil"/>
              <w:bottom w:val="nil"/>
              <w:right w:val="single" w:sz="8" w:space="0" w:color="auto"/>
            </w:tcBorders>
            <w:shd w:val="clear" w:color="000000" w:fill="FFFFFF"/>
            <w:vAlign w:val="center"/>
            <w:hideMark/>
          </w:tcPr>
          <w:p w14:paraId="139778E1"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 xml:space="preserve">       18,092 </w:t>
            </w:r>
          </w:p>
        </w:tc>
        <w:tc>
          <w:tcPr>
            <w:tcW w:w="0" w:type="auto"/>
            <w:tcBorders>
              <w:top w:val="single" w:sz="8" w:space="0" w:color="auto"/>
              <w:left w:val="nil"/>
              <w:bottom w:val="nil"/>
              <w:right w:val="single" w:sz="8" w:space="0" w:color="auto"/>
            </w:tcBorders>
            <w:shd w:val="clear" w:color="000000" w:fill="FFFFFF"/>
            <w:vAlign w:val="center"/>
            <w:hideMark/>
          </w:tcPr>
          <w:p w14:paraId="35050AEF"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$11.9k</w:t>
            </w:r>
          </w:p>
        </w:tc>
        <w:tc>
          <w:tcPr>
            <w:tcW w:w="0" w:type="auto"/>
            <w:tcBorders>
              <w:top w:val="single" w:sz="8" w:space="0" w:color="auto"/>
              <w:left w:val="nil"/>
              <w:bottom w:val="nil"/>
              <w:right w:val="single" w:sz="8" w:space="0" w:color="auto"/>
            </w:tcBorders>
            <w:shd w:val="clear" w:color="000000" w:fill="FFFFFF"/>
            <w:vAlign w:val="center"/>
            <w:hideMark/>
          </w:tcPr>
          <w:p w14:paraId="1D813956"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$13.7k</w:t>
            </w:r>
          </w:p>
        </w:tc>
        <w:tc>
          <w:tcPr>
            <w:tcW w:w="0" w:type="auto"/>
            <w:tcBorders>
              <w:top w:val="single" w:sz="8" w:space="0" w:color="auto"/>
              <w:left w:val="nil"/>
              <w:bottom w:val="nil"/>
              <w:right w:val="single" w:sz="8" w:space="0" w:color="auto"/>
            </w:tcBorders>
            <w:shd w:val="clear" w:color="000000" w:fill="FFFFFF"/>
            <w:vAlign w:val="center"/>
            <w:hideMark/>
          </w:tcPr>
          <w:p w14:paraId="018148CD"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36.3%</w:t>
            </w:r>
          </w:p>
        </w:tc>
        <w:tc>
          <w:tcPr>
            <w:tcW w:w="0" w:type="auto"/>
            <w:tcBorders>
              <w:top w:val="single" w:sz="8" w:space="0" w:color="auto"/>
              <w:left w:val="nil"/>
              <w:bottom w:val="nil"/>
              <w:right w:val="single" w:sz="8" w:space="0" w:color="auto"/>
            </w:tcBorders>
            <w:shd w:val="clear" w:color="000000" w:fill="FFFFFF"/>
            <w:vAlign w:val="center"/>
            <w:hideMark/>
          </w:tcPr>
          <w:p w14:paraId="57D2888F"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30.3% (-6.1%)</w:t>
            </w:r>
          </w:p>
        </w:tc>
        <w:tc>
          <w:tcPr>
            <w:tcW w:w="0" w:type="auto"/>
            <w:tcBorders>
              <w:top w:val="single" w:sz="8" w:space="0" w:color="auto"/>
              <w:left w:val="nil"/>
              <w:bottom w:val="nil"/>
              <w:right w:val="single" w:sz="8" w:space="0" w:color="auto"/>
            </w:tcBorders>
            <w:shd w:val="clear" w:color="000000" w:fill="F3FEFF"/>
            <w:vAlign w:val="center"/>
            <w:hideMark/>
          </w:tcPr>
          <w:p w14:paraId="42CDB69C"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89.8%</w:t>
            </w:r>
          </w:p>
        </w:tc>
        <w:tc>
          <w:tcPr>
            <w:tcW w:w="0" w:type="auto"/>
            <w:tcBorders>
              <w:top w:val="single" w:sz="8" w:space="0" w:color="auto"/>
              <w:left w:val="nil"/>
              <w:bottom w:val="nil"/>
              <w:right w:val="single" w:sz="8" w:space="0" w:color="auto"/>
            </w:tcBorders>
            <w:shd w:val="clear" w:color="000000" w:fill="F3FEFF"/>
            <w:vAlign w:val="center"/>
            <w:hideMark/>
          </w:tcPr>
          <w:p w14:paraId="68E349BF"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13.2%</w:t>
            </w:r>
          </w:p>
        </w:tc>
      </w:tr>
      <w:tr w:rsidR="003734E1" w:rsidRPr="001B1387" w14:paraId="372B735C" w14:textId="77777777" w:rsidTr="0027120A">
        <w:trPr>
          <w:trHeight w:val="525"/>
        </w:trPr>
        <w:tc>
          <w:tcPr>
            <w:tcW w:w="0" w:type="auto"/>
            <w:tcBorders>
              <w:top w:val="nil"/>
              <w:left w:val="single" w:sz="8" w:space="0" w:color="auto"/>
              <w:bottom w:val="nil"/>
              <w:right w:val="single" w:sz="8" w:space="0" w:color="auto"/>
            </w:tcBorders>
            <w:shd w:val="clear" w:color="000000" w:fill="FFFFFF"/>
            <w:vAlign w:val="center"/>
            <w:hideMark/>
          </w:tcPr>
          <w:p w14:paraId="453B4645" w14:textId="77777777" w:rsidR="003734E1" w:rsidRPr="001B1387" w:rsidRDefault="003734E1" w:rsidP="0027120A">
            <w:pPr>
              <w:spacing w:after="0" w:line="240" w:lineRule="auto"/>
              <w:rPr>
                <w:rFonts w:eastAsia="Times New Roman" w:cs="Arial"/>
                <w:b/>
                <w:bCs/>
                <w:color w:val="000000"/>
                <w:sz w:val="16"/>
                <w:szCs w:val="16"/>
                <w:lang w:eastAsia="zh-CN" w:bidi="th-TH"/>
              </w:rPr>
            </w:pPr>
            <w:r w:rsidRPr="001B1387">
              <w:rPr>
                <w:rFonts w:eastAsia="Times New Roman" w:cs="Arial"/>
                <w:b/>
                <w:bCs/>
                <w:color w:val="000000"/>
                <w:sz w:val="16"/>
                <w:szCs w:val="16"/>
                <w:lang w:eastAsia="zh-CN" w:bidi="th-TH"/>
              </w:rPr>
              <w:t>Developmental delay*</w:t>
            </w:r>
          </w:p>
        </w:tc>
        <w:tc>
          <w:tcPr>
            <w:tcW w:w="0" w:type="auto"/>
            <w:tcBorders>
              <w:top w:val="nil"/>
              <w:left w:val="nil"/>
              <w:bottom w:val="nil"/>
              <w:right w:val="single" w:sz="8" w:space="0" w:color="auto"/>
            </w:tcBorders>
            <w:shd w:val="clear" w:color="000000" w:fill="FFFFFF"/>
            <w:vAlign w:val="center"/>
            <w:hideMark/>
          </w:tcPr>
          <w:p w14:paraId="0E039638"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 xml:space="preserve">       32,918 </w:t>
            </w:r>
          </w:p>
        </w:tc>
        <w:tc>
          <w:tcPr>
            <w:tcW w:w="0" w:type="auto"/>
            <w:tcBorders>
              <w:top w:val="nil"/>
              <w:left w:val="nil"/>
              <w:bottom w:val="nil"/>
              <w:right w:val="single" w:sz="8" w:space="0" w:color="auto"/>
            </w:tcBorders>
            <w:shd w:val="clear" w:color="000000" w:fill="FFFFFF"/>
            <w:vAlign w:val="center"/>
            <w:hideMark/>
          </w:tcPr>
          <w:p w14:paraId="3AA68AF5"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$10.2k</w:t>
            </w:r>
          </w:p>
        </w:tc>
        <w:tc>
          <w:tcPr>
            <w:tcW w:w="0" w:type="auto"/>
            <w:tcBorders>
              <w:top w:val="nil"/>
              <w:left w:val="nil"/>
              <w:bottom w:val="nil"/>
              <w:right w:val="single" w:sz="8" w:space="0" w:color="auto"/>
            </w:tcBorders>
            <w:shd w:val="clear" w:color="000000" w:fill="FFFFFF"/>
            <w:vAlign w:val="center"/>
            <w:hideMark/>
          </w:tcPr>
          <w:p w14:paraId="222D9DB7"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$10.8k</w:t>
            </w:r>
          </w:p>
        </w:tc>
        <w:tc>
          <w:tcPr>
            <w:tcW w:w="0" w:type="auto"/>
            <w:tcBorders>
              <w:top w:val="nil"/>
              <w:left w:val="nil"/>
              <w:bottom w:val="nil"/>
              <w:right w:val="single" w:sz="8" w:space="0" w:color="auto"/>
            </w:tcBorders>
            <w:shd w:val="clear" w:color="000000" w:fill="FFFFFF"/>
            <w:vAlign w:val="center"/>
            <w:hideMark/>
          </w:tcPr>
          <w:p w14:paraId="4B083E9C"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41.6%</w:t>
            </w:r>
          </w:p>
        </w:tc>
        <w:tc>
          <w:tcPr>
            <w:tcW w:w="0" w:type="auto"/>
            <w:tcBorders>
              <w:top w:val="nil"/>
              <w:left w:val="nil"/>
              <w:bottom w:val="nil"/>
              <w:right w:val="single" w:sz="8" w:space="0" w:color="auto"/>
            </w:tcBorders>
            <w:shd w:val="clear" w:color="000000" w:fill="FFFFFF"/>
            <w:vAlign w:val="center"/>
            <w:hideMark/>
          </w:tcPr>
          <w:p w14:paraId="1656CB4E"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43.6% (+2.0%)</w:t>
            </w:r>
          </w:p>
        </w:tc>
        <w:tc>
          <w:tcPr>
            <w:tcW w:w="0" w:type="auto"/>
            <w:tcBorders>
              <w:top w:val="single" w:sz="8" w:space="0" w:color="auto"/>
              <w:left w:val="nil"/>
              <w:bottom w:val="nil"/>
              <w:right w:val="single" w:sz="8" w:space="0" w:color="auto"/>
            </w:tcBorders>
            <w:shd w:val="clear" w:color="000000" w:fill="F3FEFF"/>
            <w:vAlign w:val="center"/>
            <w:hideMark/>
          </w:tcPr>
          <w:p w14:paraId="1AC220A4"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94.8%</w:t>
            </w:r>
          </w:p>
        </w:tc>
        <w:tc>
          <w:tcPr>
            <w:tcW w:w="0" w:type="auto"/>
            <w:tcBorders>
              <w:top w:val="single" w:sz="8" w:space="0" w:color="auto"/>
              <w:left w:val="nil"/>
              <w:bottom w:val="nil"/>
              <w:right w:val="single" w:sz="8" w:space="0" w:color="auto"/>
            </w:tcBorders>
            <w:shd w:val="clear" w:color="000000" w:fill="F3FEFF"/>
            <w:vAlign w:val="center"/>
            <w:hideMark/>
          </w:tcPr>
          <w:p w14:paraId="246AFAFD"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16.2%</w:t>
            </w:r>
          </w:p>
        </w:tc>
      </w:tr>
      <w:tr w:rsidR="003734E1" w:rsidRPr="001B1387" w14:paraId="3378D537"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18F553C9" w14:textId="77777777" w:rsidR="003734E1" w:rsidRPr="001B1387" w:rsidRDefault="003734E1" w:rsidP="0027120A">
            <w:pPr>
              <w:spacing w:after="0" w:line="240" w:lineRule="auto"/>
              <w:rPr>
                <w:rFonts w:eastAsia="Times New Roman" w:cs="Arial"/>
                <w:b/>
                <w:bCs/>
                <w:color w:val="000000"/>
                <w:sz w:val="16"/>
                <w:szCs w:val="16"/>
                <w:lang w:eastAsia="zh-CN" w:bidi="th-TH"/>
              </w:rPr>
            </w:pPr>
            <w:r w:rsidRPr="001B1387">
              <w:rPr>
                <w:rFonts w:eastAsia="Times New Roman" w:cs="Arial"/>
                <w:b/>
                <w:bCs/>
                <w:color w:val="000000"/>
                <w:sz w:val="16"/>
                <w:szCs w:val="16"/>
                <w:lang w:eastAsia="zh-CN" w:bidi="th-TH"/>
              </w:rPr>
              <w:t>Intellectual Disability</w:t>
            </w:r>
          </w:p>
        </w:tc>
        <w:tc>
          <w:tcPr>
            <w:tcW w:w="0" w:type="auto"/>
            <w:tcBorders>
              <w:top w:val="nil"/>
              <w:left w:val="nil"/>
              <w:bottom w:val="nil"/>
              <w:right w:val="single" w:sz="8" w:space="0" w:color="auto"/>
            </w:tcBorders>
            <w:shd w:val="clear" w:color="000000" w:fill="FFFFFF"/>
            <w:vAlign w:val="center"/>
            <w:hideMark/>
          </w:tcPr>
          <w:p w14:paraId="169C04D0"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 xml:space="preserve">         2,059 </w:t>
            </w:r>
          </w:p>
        </w:tc>
        <w:tc>
          <w:tcPr>
            <w:tcW w:w="0" w:type="auto"/>
            <w:tcBorders>
              <w:top w:val="nil"/>
              <w:left w:val="nil"/>
              <w:bottom w:val="nil"/>
              <w:right w:val="single" w:sz="8" w:space="0" w:color="auto"/>
            </w:tcBorders>
            <w:shd w:val="clear" w:color="000000" w:fill="FFFFFF"/>
            <w:vAlign w:val="center"/>
            <w:hideMark/>
          </w:tcPr>
          <w:p w14:paraId="7A715B47"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$10.9k</w:t>
            </w:r>
          </w:p>
        </w:tc>
        <w:tc>
          <w:tcPr>
            <w:tcW w:w="0" w:type="auto"/>
            <w:tcBorders>
              <w:top w:val="nil"/>
              <w:left w:val="nil"/>
              <w:bottom w:val="nil"/>
              <w:right w:val="single" w:sz="8" w:space="0" w:color="auto"/>
            </w:tcBorders>
            <w:shd w:val="clear" w:color="000000" w:fill="FFFFFF"/>
            <w:vAlign w:val="center"/>
            <w:hideMark/>
          </w:tcPr>
          <w:p w14:paraId="69C7AA14"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$13.7k</w:t>
            </w:r>
          </w:p>
        </w:tc>
        <w:tc>
          <w:tcPr>
            <w:tcW w:w="0" w:type="auto"/>
            <w:tcBorders>
              <w:top w:val="nil"/>
              <w:left w:val="nil"/>
              <w:bottom w:val="nil"/>
              <w:right w:val="single" w:sz="8" w:space="0" w:color="auto"/>
            </w:tcBorders>
            <w:shd w:val="clear" w:color="000000" w:fill="FFFFFF"/>
            <w:vAlign w:val="center"/>
            <w:hideMark/>
          </w:tcPr>
          <w:p w14:paraId="2BD4A1B3"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44.6%</w:t>
            </w:r>
          </w:p>
        </w:tc>
        <w:tc>
          <w:tcPr>
            <w:tcW w:w="0" w:type="auto"/>
            <w:tcBorders>
              <w:top w:val="nil"/>
              <w:left w:val="nil"/>
              <w:bottom w:val="nil"/>
              <w:right w:val="single" w:sz="8" w:space="0" w:color="auto"/>
            </w:tcBorders>
            <w:shd w:val="clear" w:color="000000" w:fill="FFFFFF"/>
            <w:vAlign w:val="center"/>
            <w:hideMark/>
          </w:tcPr>
          <w:p w14:paraId="174C211A"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40.5% (-4.2%)</w:t>
            </w:r>
          </w:p>
        </w:tc>
        <w:tc>
          <w:tcPr>
            <w:tcW w:w="0" w:type="auto"/>
            <w:tcBorders>
              <w:top w:val="single" w:sz="8" w:space="0" w:color="auto"/>
              <w:left w:val="nil"/>
              <w:bottom w:val="nil"/>
              <w:right w:val="single" w:sz="8" w:space="0" w:color="auto"/>
            </w:tcBorders>
            <w:shd w:val="clear" w:color="000000" w:fill="F3FEFF"/>
            <w:vAlign w:val="center"/>
            <w:hideMark/>
          </w:tcPr>
          <w:p w14:paraId="5E9EAA73"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89.3%</w:t>
            </w:r>
          </w:p>
        </w:tc>
        <w:tc>
          <w:tcPr>
            <w:tcW w:w="0" w:type="auto"/>
            <w:tcBorders>
              <w:top w:val="single" w:sz="8" w:space="0" w:color="auto"/>
              <w:left w:val="nil"/>
              <w:bottom w:val="nil"/>
              <w:right w:val="single" w:sz="8" w:space="0" w:color="auto"/>
            </w:tcBorders>
            <w:shd w:val="clear" w:color="000000" w:fill="F3FEFF"/>
            <w:vAlign w:val="center"/>
            <w:hideMark/>
          </w:tcPr>
          <w:p w14:paraId="07FDECFA"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20.4%</w:t>
            </w:r>
          </w:p>
        </w:tc>
      </w:tr>
      <w:tr w:rsidR="003734E1" w:rsidRPr="001B1387" w14:paraId="39FE6BCC" w14:textId="77777777" w:rsidTr="0027120A">
        <w:trPr>
          <w:trHeight w:val="315"/>
        </w:trPr>
        <w:tc>
          <w:tcPr>
            <w:tcW w:w="0" w:type="auto"/>
            <w:tcBorders>
              <w:top w:val="nil"/>
              <w:left w:val="single" w:sz="8" w:space="0" w:color="auto"/>
              <w:bottom w:val="nil"/>
              <w:right w:val="single" w:sz="8" w:space="0" w:color="auto"/>
            </w:tcBorders>
            <w:shd w:val="clear" w:color="000000" w:fill="FFFFFF"/>
            <w:vAlign w:val="center"/>
            <w:hideMark/>
          </w:tcPr>
          <w:p w14:paraId="3D9860C5" w14:textId="77777777" w:rsidR="003734E1" w:rsidRPr="001B1387" w:rsidRDefault="003734E1" w:rsidP="0027120A">
            <w:pPr>
              <w:spacing w:after="0" w:line="240" w:lineRule="auto"/>
              <w:rPr>
                <w:rFonts w:eastAsia="Times New Roman" w:cs="Arial"/>
                <w:b/>
                <w:bCs/>
                <w:color w:val="000000"/>
                <w:sz w:val="16"/>
                <w:szCs w:val="16"/>
                <w:lang w:eastAsia="zh-CN" w:bidi="th-TH"/>
              </w:rPr>
            </w:pPr>
            <w:r w:rsidRPr="001B1387">
              <w:rPr>
                <w:rFonts w:eastAsia="Times New Roman" w:cs="Arial"/>
                <w:b/>
                <w:bCs/>
                <w:color w:val="000000"/>
                <w:sz w:val="16"/>
                <w:szCs w:val="16"/>
                <w:lang w:eastAsia="zh-CN" w:bidi="th-TH"/>
              </w:rPr>
              <w:t>Sensory disability</w:t>
            </w:r>
          </w:p>
        </w:tc>
        <w:tc>
          <w:tcPr>
            <w:tcW w:w="0" w:type="auto"/>
            <w:tcBorders>
              <w:top w:val="nil"/>
              <w:left w:val="nil"/>
              <w:bottom w:val="nil"/>
              <w:right w:val="single" w:sz="8" w:space="0" w:color="auto"/>
            </w:tcBorders>
            <w:shd w:val="clear" w:color="000000" w:fill="FFFFFF"/>
            <w:vAlign w:val="center"/>
            <w:hideMark/>
          </w:tcPr>
          <w:p w14:paraId="19C52B7A"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 xml:space="preserve">         4,797 </w:t>
            </w:r>
          </w:p>
        </w:tc>
        <w:tc>
          <w:tcPr>
            <w:tcW w:w="0" w:type="auto"/>
            <w:tcBorders>
              <w:top w:val="nil"/>
              <w:left w:val="nil"/>
              <w:bottom w:val="nil"/>
              <w:right w:val="single" w:sz="8" w:space="0" w:color="auto"/>
            </w:tcBorders>
            <w:shd w:val="clear" w:color="000000" w:fill="FFFFFF"/>
            <w:vAlign w:val="center"/>
            <w:hideMark/>
          </w:tcPr>
          <w:p w14:paraId="3C21ACDB"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$7.5k</w:t>
            </w:r>
          </w:p>
        </w:tc>
        <w:tc>
          <w:tcPr>
            <w:tcW w:w="0" w:type="auto"/>
            <w:tcBorders>
              <w:top w:val="nil"/>
              <w:left w:val="nil"/>
              <w:bottom w:val="nil"/>
              <w:right w:val="single" w:sz="8" w:space="0" w:color="auto"/>
            </w:tcBorders>
            <w:shd w:val="clear" w:color="000000" w:fill="FFFFFF"/>
            <w:vAlign w:val="center"/>
            <w:hideMark/>
          </w:tcPr>
          <w:p w14:paraId="72F1169C"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$8.3k</w:t>
            </w:r>
          </w:p>
        </w:tc>
        <w:tc>
          <w:tcPr>
            <w:tcW w:w="0" w:type="auto"/>
            <w:tcBorders>
              <w:top w:val="nil"/>
              <w:left w:val="nil"/>
              <w:bottom w:val="nil"/>
              <w:right w:val="single" w:sz="8" w:space="0" w:color="auto"/>
            </w:tcBorders>
            <w:shd w:val="clear" w:color="000000" w:fill="FFFFFF"/>
            <w:vAlign w:val="center"/>
            <w:hideMark/>
          </w:tcPr>
          <w:p w14:paraId="25FD62B3"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51.4%</w:t>
            </w:r>
          </w:p>
        </w:tc>
        <w:tc>
          <w:tcPr>
            <w:tcW w:w="0" w:type="auto"/>
            <w:tcBorders>
              <w:top w:val="nil"/>
              <w:left w:val="nil"/>
              <w:bottom w:val="nil"/>
              <w:right w:val="single" w:sz="8" w:space="0" w:color="auto"/>
            </w:tcBorders>
            <w:shd w:val="clear" w:color="000000" w:fill="FFFFFF"/>
            <w:vAlign w:val="center"/>
            <w:hideMark/>
          </w:tcPr>
          <w:p w14:paraId="04C0229B"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53.9% (+2.5%)</w:t>
            </w:r>
          </w:p>
        </w:tc>
        <w:tc>
          <w:tcPr>
            <w:tcW w:w="0" w:type="auto"/>
            <w:tcBorders>
              <w:top w:val="single" w:sz="8" w:space="0" w:color="auto"/>
              <w:left w:val="nil"/>
              <w:bottom w:val="nil"/>
              <w:right w:val="single" w:sz="8" w:space="0" w:color="auto"/>
            </w:tcBorders>
            <w:shd w:val="clear" w:color="000000" w:fill="F3FEFF"/>
            <w:vAlign w:val="center"/>
            <w:hideMark/>
          </w:tcPr>
          <w:p w14:paraId="59FC42EA"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95.7%</w:t>
            </w:r>
          </w:p>
        </w:tc>
        <w:tc>
          <w:tcPr>
            <w:tcW w:w="0" w:type="auto"/>
            <w:tcBorders>
              <w:top w:val="single" w:sz="8" w:space="0" w:color="auto"/>
              <w:left w:val="nil"/>
              <w:bottom w:val="nil"/>
              <w:right w:val="single" w:sz="8" w:space="0" w:color="auto"/>
            </w:tcBorders>
            <w:shd w:val="clear" w:color="000000" w:fill="F3FEFF"/>
            <w:vAlign w:val="center"/>
            <w:hideMark/>
          </w:tcPr>
          <w:p w14:paraId="3D9FE419"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31.2%</w:t>
            </w:r>
          </w:p>
        </w:tc>
      </w:tr>
      <w:tr w:rsidR="003734E1" w:rsidRPr="001B1387" w14:paraId="57722916" w14:textId="77777777" w:rsidTr="0027120A">
        <w:trPr>
          <w:trHeight w:val="315"/>
        </w:trPr>
        <w:tc>
          <w:tcPr>
            <w:tcW w:w="0" w:type="auto"/>
            <w:tcBorders>
              <w:top w:val="nil"/>
              <w:left w:val="single" w:sz="8" w:space="0" w:color="auto"/>
              <w:bottom w:val="single" w:sz="8" w:space="0" w:color="auto"/>
              <w:right w:val="single" w:sz="8" w:space="0" w:color="auto"/>
            </w:tcBorders>
            <w:shd w:val="clear" w:color="000000" w:fill="FFFFFF"/>
            <w:vAlign w:val="center"/>
            <w:hideMark/>
          </w:tcPr>
          <w:p w14:paraId="707A4D58" w14:textId="77777777" w:rsidR="003734E1" w:rsidRPr="001B1387" w:rsidRDefault="003734E1" w:rsidP="0027120A">
            <w:pPr>
              <w:spacing w:after="0" w:line="240" w:lineRule="auto"/>
              <w:rPr>
                <w:rFonts w:eastAsia="Times New Roman" w:cs="Arial"/>
                <w:b/>
                <w:bCs/>
                <w:color w:val="000000"/>
                <w:sz w:val="16"/>
                <w:szCs w:val="16"/>
                <w:lang w:eastAsia="zh-CN" w:bidi="th-TH"/>
              </w:rPr>
            </w:pPr>
            <w:r w:rsidRPr="001B1387">
              <w:rPr>
                <w:rFonts w:eastAsia="Times New Roman" w:cs="Arial"/>
                <w:b/>
                <w:bCs/>
                <w:color w:val="000000"/>
                <w:sz w:val="16"/>
                <w:szCs w:val="16"/>
                <w:lang w:eastAsia="zh-CN" w:bidi="th-TH"/>
              </w:rPr>
              <w:t>Other</w:t>
            </w:r>
          </w:p>
        </w:tc>
        <w:tc>
          <w:tcPr>
            <w:tcW w:w="0" w:type="auto"/>
            <w:tcBorders>
              <w:top w:val="nil"/>
              <w:left w:val="nil"/>
              <w:bottom w:val="single" w:sz="8" w:space="0" w:color="auto"/>
              <w:right w:val="single" w:sz="8" w:space="0" w:color="auto"/>
            </w:tcBorders>
            <w:shd w:val="clear" w:color="000000" w:fill="FFFFFF"/>
            <w:vAlign w:val="center"/>
            <w:hideMark/>
          </w:tcPr>
          <w:p w14:paraId="1EF619D0"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 xml:space="preserve">         4,791 </w:t>
            </w:r>
          </w:p>
        </w:tc>
        <w:tc>
          <w:tcPr>
            <w:tcW w:w="0" w:type="auto"/>
            <w:tcBorders>
              <w:top w:val="nil"/>
              <w:left w:val="nil"/>
              <w:bottom w:val="single" w:sz="8" w:space="0" w:color="auto"/>
              <w:right w:val="single" w:sz="8" w:space="0" w:color="auto"/>
            </w:tcBorders>
            <w:shd w:val="clear" w:color="000000" w:fill="FFFFFF"/>
            <w:vAlign w:val="center"/>
            <w:hideMark/>
          </w:tcPr>
          <w:p w14:paraId="62490951"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$11.3k</w:t>
            </w:r>
          </w:p>
        </w:tc>
        <w:tc>
          <w:tcPr>
            <w:tcW w:w="0" w:type="auto"/>
            <w:tcBorders>
              <w:top w:val="nil"/>
              <w:left w:val="nil"/>
              <w:bottom w:val="single" w:sz="8" w:space="0" w:color="auto"/>
              <w:right w:val="single" w:sz="8" w:space="0" w:color="auto"/>
            </w:tcBorders>
            <w:shd w:val="clear" w:color="000000" w:fill="FFFFFF"/>
            <w:vAlign w:val="center"/>
            <w:hideMark/>
          </w:tcPr>
          <w:p w14:paraId="26F75094"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$14.4k</w:t>
            </w:r>
          </w:p>
        </w:tc>
        <w:tc>
          <w:tcPr>
            <w:tcW w:w="0" w:type="auto"/>
            <w:tcBorders>
              <w:top w:val="nil"/>
              <w:left w:val="nil"/>
              <w:bottom w:val="single" w:sz="8" w:space="0" w:color="auto"/>
              <w:right w:val="single" w:sz="8" w:space="0" w:color="auto"/>
            </w:tcBorders>
            <w:shd w:val="clear" w:color="000000" w:fill="FFFFFF"/>
            <w:vAlign w:val="center"/>
            <w:hideMark/>
          </w:tcPr>
          <w:p w14:paraId="78DB03AC"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46.8%</w:t>
            </w:r>
          </w:p>
        </w:tc>
        <w:tc>
          <w:tcPr>
            <w:tcW w:w="0" w:type="auto"/>
            <w:tcBorders>
              <w:top w:val="nil"/>
              <w:left w:val="nil"/>
              <w:bottom w:val="single" w:sz="8" w:space="0" w:color="auto"/>
              <w:right w:val="single" w:sz="8" w:space="0" w:color="auto"/>
            </w:tcBorders>
            <w:shd w:val="clear" w:color="000000" w:fill="FFFFFF"/>
            <w:vAlign w:val="center"/>
            <w:hideMark/>
          </w:tcPr>
          <w:p w14:paraId="0528C963"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42.2% (-4.6%)</w:t>
            </w:r>
          </w:p>
        </w:tc>
        <w:tc>
          <w:tcPr>
            <w:tcW w:w="0" w:type="auto"/>
            <w:tcBorders>
              <w:top w:val="single" w:sz="8" w:space="0" w:color="auto"/>
              <w:left w:val="nil"/>
              <w:bottom w:val="single" w:sz="8" w:space="0" w:color="auto"/>
              <w:right w:val="single" w:sz="8" w:space="0" w:color="auto"/>
            </w:tcBorders>
            <w:shd w:val="clear" w:color="000000" w:fill="F3FEFF"/>
            <w:vAlign w:val="center"/>
            <w:hideMark/>
          </w:tcPr>
          <w:p w14:paraId="08C27DA9"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90.8%</w:t>
            </w:r>
          </w:p>
        </w:tc>
        <w:tc>
          <w:tcPr>
            <w:tcW w:w="0" w:type="auto"/>
            <w:tcBorders>
              <w:top w:val="single" w:sz="8" w:space="0" w:color="auto"/>
              <w:left w:val="nil"/>
              <w:bottom w:val="single" w:sz="8" w:space="0" w:color="auto"/>
              <w:right w:val="single" w:sz="8" w:space="0" w:color="auto"/>
            </w:tcBorders>
            <w:shd w:val="clear" w:color="000000" w:fill="F3FEFF"/>
            <w:vAlign w:val="center"/>
            <w:hideMark/>
          </w:tcPr>
          <w:p w14:paraId="285B73B2" w14:textId="77777777" w:rsidR="003734E1" w:rsidRPr="001B1387" w:rsidRDefault="003734E1" w:rsidP="0027120A">
            <w:pPr>
              <w:spacing w:after="0" w:line="240" w:lineRule="auto"/>
              <w:jc w:val="center"/>
              <w:rPr>
                <w:rFonts w:eastAsia="Times New Roman" w:cs="Arial"/>
                <w:color w:val="000000"/>
                <w:sz w:val="16"/>
                <w:szCs w:val="16"/>
                <w:lang w:eastAsia="zh-CN" w:bidi="th-TH"/>
              </w:rPr>
            </w:pPr>
            <w:r w:rsidRPr="001B1387">
              <w:rPr>
                <w:rFonts w:eastAsia="Times New Roman" w:cs="Arial"/>
                <w:color w:val="000000"/>
                <w:sz w:val="16"/>
                <w:szCs w:val="16"/>
                <w:lang w:eastAsia="zh-CN" w:bidi="th-TH"/>
              </w:rPr>
              <w:t>20.4%</w:t>
            </w:r>
          </w:p>
        </w:tc>
      </w:tr>
      <w:tr w:rsidR="003734E1" w:rsidRPr="001B1387" w14:paraId="51CDD3CF" w14:textId="77777777" w:rsidTr="0027120A">
        <w:trPr>
          <w:trHeight w:val="315"/>
        </w:trPr>
        <w:tc>
          <w:tcPr>
            <w:tcW w:w="0" w:type="auto"/>
            <w:tcBorders>
              <w:top w:val="nil"/>
              <w:left w:val="single" w:sz="8" w:space="0" w:color="auto"/>
              <w:bottom w:val="single" w:sz="8" w:space="0" w:color="auto"/>
              <w:right w:val="single" w:sz="8" w:space="0" w:color="auto"/>
            </w:tcBorders>
            <w:shd w:val="clear" w:color="000000" w:fill="F2F2F2"/>
            <w:vAlign w:val="center"/>
            <w:hideMark/>
          </w:tcPr>
          <w:p w14:paraId="519F1E63" w14:textId="77777777" w:rsidR="003734E1" w:rsidRPr="00F830E6" w:rsidRDefault="003734E1" w:rsidP="0027120A">
            <w:pPr>
              <w:spacing w:after="0" w:line="240" w:lineRule="auto"/>
              <w:rPr>
                <w:rFonts w:eastAsia="Times New Roman" w:cs="Arial"/>
                <w:b/>
                <w:bCs/>
                <w:color w:val="007985"/>
                <w:sz w:val="16"/>
                <w:szCs w:val="16"/>
                <w:lang w:eastAsia="zh-CN" w:bidi="th-TH"/>
              </w:rPr>
            </w:pPr>
            <w:r w:rsidRPr="00F830E6">
              <w:rPr>
                <w:rFonts w:eastAsia="Times New Roman" w:cs="Arial"/>
                <w:b/>
                <w:bCs/>
                <w:color w:val="007985"/>
                <w:sz w:val="16"/>
                <w:szCs w:val="16"/>
                <w:lang w:eastAsia="zh-CN" w:bidi="th-TH"/>
              </w:rPr>
              <w:t>Total</w:t>
            </w:r>
          </w:p>
        </w:tc>
        <w:tc>
          <w:tcPr>
            <w:tcW w:w="0" w:type="auto"/>
            <w:tcBorders>
              <w:top w:val="nil"/>
              <w:left w:val="nil"/>
              <w:bottom w:val="single" w:sz="8" w:space="0" w:color="auto"/>
              <w:right w:val="single" w:sz="8" w:space="0" w:color="auto"/>
            </w:tcBorders>
            <w:shd w:val="clear" w:color="000000" w:fill="FFFFFF"/>
            <w:vAlign w:val="center"/>
            <w:hideMark/>
          </w:tcPr>
          <w:p w14:paraId="605D9D4C" w14:textId="77777777" w:rsidR="003734E1" w:rsidRPr="00F830E6" w:rsidRDefault="003734E1" w:rsidP="0027120A">
            <w:pPr>
              <w:spacing w:after="0" w:line="240" w:lineRule="auto"/>
              <w:jc w:val="center"/>
              <w:rPr>
                <w:rFonts w:eastAsia="Times New Roman" w:cs="Arial"/>
                <w:b/>
                <w:bCs/>
                <w:color w:val="000000"/>
                <w:sz w:val="16"/>
                <w:szCs w:val="16"/>
                <w:lang w:eastAsia="zh-CN" w:bidi="th-TH"/>
              </w:rPr>
            </w:pPr>
            <w:r w:rsidRPr="00F830E6">
              <w:rPr>
                <w:rFonts w:eastAsia="Times New Roman" w:cs="Arial"/>
                <w:b/>
                <w:bCs/>
                <w:color w:val="000000"/>
                <w:sz w:val="16"/>
                <w:szCs w:val="16"/>
                <w:lang w:eastAsia="zh-CN" w:bidi="th-TH"/>
              </w:rPr>
              <w:t xml:space="preserve">       62,657 </w:t>
            </w:r>
          </w:p>
        </w:tc>
        <w:tc>
          <w:tcPr>
            <w:tcW w:w="0" w:type="auto"/>
            <w:tcBorders>
              <w:top w:val="nil"/>
              <w:left w:val="nil"/>
              <w:bottom w:val="single" w:sz="8" w:space="0" w:color="auto"/>
              <w:right w:val="single" w:sz="8" w:space="0" w:color="auto"/>
            </w:tcBorders>
            <w:shd w:val="clear" w:color="000000" w:fill="FFFFFF"/>
            <w:vAlign w:val="center"/>
            <w:hideMark/>
          </w:tcPr>
          <w:p w14:paraId="02684494" w14:textId="77777777" w:rsidR="003734E1" w:rsidRPr="00F830E6" w:rsidRDefault="003734E1" w:rsidP="0027120A">
            <w:pPr>
              <w:spacing w:after="0" w:line="240" w:lineRule="auto"/>
              <w:jc w:val="center"/>
              <w:rPr>
                <w:rFonts w:eastAsia="Times New Roman" w:cs="Arial"/>
                <w:b/>
                <w:bCs/>
                <w:color w:val="000000"/>
                <w:sz w:val="16"/>
                <w:szCs w:val="16"/>
                <w:lang w:eastAsia="zh-CN" w:bidi="th-TH"/>
              </w:rPr>
            </w:pPr>
            <w:r w:rsidRPr="00F830E6">
              <w:rPr>
                <w:rFonts w:eastAsia="Times New Roman" w:cs="Arial"/>
                <w:b/>
                <w:bCs/>
                <w:color w:val="000000"/>
                <w:sz w:val="16"/>
                <w:szCs w:val="16"/>
                <w:lang w:eastAsia="zh-CN" w:bidi="th-TH"/>
              </w:rPr>
              <w:t>$10.6k</w:t>
            </w:r>
          </w:p>
        </w:tc>
        <w:tc>
          <w:tcPr>
            <w:tcW w:w="0" w:type="auto"/>
            <w:tcBorders>
              <w:top w:val="nil"/>
              <w:left w:val="nil"/>
              <w:bottom w:val="single" w:sz="8" w:space="0" w:color="auto"/>
              <w:right w:val="single" w:sz="8" w:space="0" w:color="auto"/>
            </w:tcBorders>
            <w:shd w:val="clear" w:color="000000" w:fill="FFFFFF"/>
            <w:vAlign w:val="center"/>
            <w:hideMark/>
          </w:tcPr>
          <w:p w14:paraId="751B9EAE" w14:textId="77777777" w:rsidR="003734E1" w:rsidRPr="00F830E6" w:rsidRDefault="003734E1" w:rsidP="0027120A">
            <w:pPr>
              <w:spacing w:after="0" w:line="240" w:lineRule="auto"/>
              <w:jc w:val="center"/>
              <w:rPr>
                <w:rFonts w:eastAsia="Times New Roman" w:cs="Arial"/>
                <w:b/>
                <w:bCs/>
                <w:color w:val="000000"/>
                <w:sz w:val="16"/>
                <w:szCs w:val="16"/>
                <w:lang w:eastAsia="zh-CN" w:bidi="th-TH"/>
              </w:rPr>
            </w:pPr>
            <w:r w:rsidRPr="00F830E6">
              <w:rPr>
                <w:rFonts w:eastAsia="Times New Roman" w:cs="Arial"/>
                <w:b/>
                <w:bCs/>
                <w:color w:val="000000"/>
                <w:sz w:val="16"/>
                <w:szCs w:val="16"/>
                <w:lang w:eastAsia="zh-CN" w:bidi="th-TH"/>
              </w:rPr>
              <w:t>$11.7k</w:t>
            </w:r>
          </w:p>
        </w:tc>
        <w:tc>
          <w:tcPr>
            <w:tcW w:w="0" w:type="auto"/>
            <w:tcBorders>
              <w:top w:val="nil"/>
              <w:left w:val="nil"/>
              <w:bottom w:val="single" w:sz="8" w:space="0" w:color="auto"/>
              <w:right w:val="single" w:sz="8" w:space="0" w:color="auto"/>
            </w:tcBorders>
            <w:shd w:val="clear" w:color="000000" w:fill="FFFFFF"/>
            <w:vAlign w:val="center"/>
            <w:hideMark/>
          </w:tcPr>
          <w:p w14:paraId="3FA36CE7" w14:textId="77777777" w:rsidR="003734E1" w:rsidRPr="00F830E6" w:rsidRDefault="003734E1" w:rsidP="0027120A">
            <w:pPr>
              <w:spacing w:after="0" w:line="240" w:lineRule="auto"/>
              <w:jc w:val="center"/>
              <w:rPr>
                <w:rFonts w:eastAsia="Times New Roman" w:cs="Arial"/>
                <w:b/>
                <w:bCs/>
                <w:color w:val="000000"/>
                <w:sz w:val="16"/>
                <w:szCs w:val="16"/>
                <w:lang w:eastAsia="zh-CN" w:bidi="th-TH"/>
              </w:rPr>
            </w:pPr>
            <w:r w:rsidRPr="00F830E6">
              <w:rPr>
                <w:rFonts w:eastAsia="Times New Roman" w:cs="Arial"/>
                <w:b/>
                <w:bCs/>
                <w:color w:val="000000"/>
                <w:sz w:val="16"/>
                <w:szCs w:val="16"/>
                <w:lang w:eastAsia="zh-CN" w:bidi="th-TH"/>
              </w:rPr>
              <w:t>41.3%</w:t>
            </w:r>
          </w:p>
        </w:tc>
        <w:tc>
          <w:tcPr>
            <w:tcW w:w="0" w:type="auto"/>
            <w:tcBorders>
              <w:top w:val="nil"/>
              <w:left w:val="nil"/>
              <w:bottom w:val="single" w:sz="8" w:space="0" w:color="auto"/>
              <w:right w:val="single" w:sz="8" w:space="0" w:color="auto"/>
            </w:tcBorders>
            <w:shd w:val="clear" w:color="000000" w:fill="FFFFFF"/>
            <w:vAlign w:val="center"/>
            <w:hideMark/>
          </w:tcPr>
          <w:p w14:paraId="7B95B5DA" w14:textId="77777777" w:rsidR="003734E1" w:rsidRPr="00F830E6" w:rsidRDefault="003734E1" w:rsidP="0027120A">
            <w:pPr>
              <w:spacing w:after="0" w:line="240" w:lineRule="auto"/>
              <w:jc w:val="center"/>
              <w:rPr>
                <w:rFonts w:eastAsia="Times New Roman" w:cs="Arial"/>
                <w:b/>
                <w:bCs/>
                <w:color w:val="000000"/>
                <w:sz w:val="16"/>
                <w:szCs w:val="16"/>
                <w:lang w:eastAsia="zh-CN" w:bidi="th-TH"/>
              </w:rPr>
            </w:pPr>
            <w:r w:rsidRPr="00F830E6">
              <w:rPr>
                <w:rFonts w:eastAsia="Times New Roman" w:cs="Arial"/>
                <w:b/>
                <w:bCs/>
                <w:color w:val="000000"/>
                <w:sz w:val="16"/>
                <w:szCs w:val="16"/>
                <w:lang w:eastAsia="zh-CN" w:bidi="th-TH"/>
              </w:rPr>
              <w:t>40.8% (-0.6%)</w:t>
            </w:r>
          </w:p>
        </w:tc>
        <w:tc>
          <w:tcPr>
            <w:tcW w:w="0" w:type="auto"/>
            <w:tcBorders>
              <w:top w:val="nil"/>
              <w:left w:val="nil"/>
              <w:bottom w:val="single" w:sz="8" w:space="0" w:color="auto"/>
              <w:right w:val="single" w:sz="8" w:space="0" w:color="auto"/>
            </w:tcBorders>
            <w:shd w:val="clear" w:color="000000" w:fill="F3FEFF"/>
            <w:vAlign w:val="center"/>
            <w:hideMark/>
          </w:tcPr>
          <w:p w14:paraId="396E6787" w14:textId="77777777" w:rsidR="003734E1" w:rsidRPr="00F830E6" w:rsidRDefault="003734E1" w:rsidP="0027120A">
            <w:pPr>
              <w:spacing w:after="0" w:line="240" w:lineRule="auto"/>
              <w:jc w:val="center"/>
              <w:rPr>
                <w:rFonts w:eastAsia="Times New Roman" w:cs="Arial"/>
                <w:b/>
                <w:bCs/>
                <w:color w:val="000000"/>
                <w:sz w:val="16"/>
                <w:szCs w:val="16"/>
                <w:lang w:eastAsia="zh-CN" w:bidi="th-TH"/>
              </w:rPr>
            </w:pPr>
            <w:r w:rsidRPr="00F830E6">
              <w:rPr>
                <w:rFonts w:eastAsia="Times New Roman" w:cs="Arial"/>
                <w:b/>
                <w:bCs/>
                <w:color w:val="000000"/>
                <w:sz w:val="16"/>
                <w:szCs w:val="16"/>
                <w:lang w:eastAsia="zh-CN" w:bidi="th-TH"/>
              </w:rPr>
              <w:t>93.4%</w:t>
            </w:r>
          </w:p>
        </w:tc>
        <w:tc>
          <w:tcPr>
            <w:tcW w:w="0" w:type="auto"/>
            <w:tcBorders>
              <w:top w:val="nil"/>
              <w:left w:val="nil"/>
              <w:bottom w:val="single" w:sz="8" w:space="0" w:color="auto"/>
              <w:right w:val="single" w:sz="8" w:space="0" w:color="auto"/>
            </w:tcBorders>
            <w:shd w:val="clear" w:color="000000" w:fill="F3FEFF"/>
            <w:vAlign w:val="center"/>
            <w:hideMark/>
          </w:tcPr>
          <w:p w14:paraId="5B867F48" w14:textId="77777777" w:rsidR="003734E1" w:rsidRPr="00F830E6" w:rsidRDefault="003734E1" w:rsidP="0027120A">
            <w:pPr>
              <w:spacing w:after="0" w:line="240" w:lineRule="auto"/>
              <w:jc w:val="center"/>
              <w:rPr>
                <w:rFonts w:eastAsia="Times New Roman" w:cs="Arial"/>
                <w:b/>
                <w:bCs/>
                <w:color w:val="000000"/>
                <w:sz w:val="16"/>
                <w:szCs w:val="16"/>
                <w:lang w:eastAsia="zh-CN" w:bidi="th-TH"/>
              </w:rPr>
            </w:pPr>
            <w:r w:rsidRPr="00F830E6">
              <w:rPr>
                <w:rFonts w:eastAsia="Times New Roman" w:cs="Arial"/>
                <w:b/>
                <w:bCs/>
                <w:color w:val="000000"/>
                <w:sz w:val="16"/>
                <w:szCs w:val="16"/>
                <w:lang w:eastAsia="zh-CN" w:bidi="th-TH"/>
              </w:rPr>
              <w:t>17.1%</w:t>
            </w:r>
          </w:p>
        </w:tc>
      </w:tr>
    </w:tbl>
    <w:p w14:paraId="60438031" w14:textId="77777777" w:rsidR="003734E1" w:rsidRPr="00E74189" w:rsidRDefault="003734E1" w:rsidP="003734E1">
      <w:pPr>
        <w:pStyle w:val="FSRnormal"/>
        <w:spacing w:before="20" w:after="40"/>
        <w:rPr>
          <w:sz w:val="16"/>
          <w:szCs w:val="16"/>
        </w:rPr>
      </w:pPr>
      <w:r w:rsidRPr="00E74189">
        <w:rPr>
          <w:sz w:val="16"/>
          <w:szCs w:val="16"/>
          <w:vertAlign w:val="superscript"/>
        </w:rPr>
        <w:t>*</w:t>
      </w:r>
      <w:r>
        <w:rPr>
          <w:sz w:val="16"/>
          <w:szCs w:val="16"/>
        </w:rPr>
        <w:t>Includes Global Developmental Delay</w:t>
      </w:r>
    </w:p>
    <w:p w14:paraId="1899C965" w14:textId="77777777" w:rsidR="003734E1" w:rsidRDefault="003734E1" w:rsidP="004A5D62">
      <w:pPr>
        <w:pStyle w:val="FSRnormal"/>
      </w:pPr>
    </w:p>
    <w:p w14:paraId="5ECFE941" w14:textId="77777777" w:rsidR="004A5D62" w:rsidRPr="007A7686" w:rsidRDefault="004A5D62" w:rsidP="004A5D62">
      <w:pPr>
        <w:pStyle w:val="FSRHeading4"/>
        <w:rPr>
          <w:b w:val="0"/>
          <w:color w:val="auto"/>
          <w:sz w:val="22"/>
        </w:rPr>
      </w:pPr>
    </w:p>
    <w:p w14:paraId="693439FA" w14:textId="77777777" w:rsidR="004A5D62" w:rsidRDefault="004A5D62" w:rsidP="004A5D62">
      <w:pPr>
        <w:pStyle w:val="FSRnormal"/>
      </w:pPr>
    </w:p>
    <w:p w14:paraId="13A12415" w14:textId="77777777" w:rsidR="004A5D62" w:rsidRPr="004A5D62" w:rsidRDefault="004A5D62" w:rsidP="00DA3F73"/>
    <w:sectPr w:rsidR="004A5D62" w:rsidRPr="004A5D62" w:rsidSect="006D3A4D">
      <w:footerReference w:type="default" r:id="rId9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A79063" w14:textId="77777777" w:rsidR="006D0068" w:rsidRDefault="006D0068" w:rsidP="00BD4A22">
      <w:pPr>
        <w:spacing w:after="0" w:line="240" w:lineRule="auto"/>
      </w:pPr>
      <w:r>
        <w:separator/>
      </w:r>
    </w:p>
  </w:endnote>
  <w:endnote w:type="continuationSeparator" w:id="0">
    <w:p w14:paraId="2C55EE14" w14:textId="77777777" w:rsidR="006D0068" w:rsidRDefault="006D0068" w:rsidP="00BD4A22">
      <w:pPr>
        <w:spacing w:after="0" w:line="240" w:lineRule="auto"/>
      </w:pPr>
      <w:r>
        <w:continuationSeparator/>
      </w:r>
    </w:p>
  </w:endnote>
  <w:endnote w:type="continuationNotice" w:id="1">
    <w:p w14:paraId="1C506F52" w14:textId="77777777" w:rsidR="006D0068" w:rsidRDefault="006D00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MS Mincho">
    <w:altName w:val="Yu Gothic UI"/>
    <w:panose1 w:val="02020609040205080304"/>
    <w:charset w:val="80"/>
    <w:family w:val="modern"/>
    <w:pitch w:val="fixed"/>
    <w:sig w:usb0="E00002FF" w:usb1="6AC7FDFB" w:usb2="08000012" w:usb3="00000000" w:csb0="0002009F" w:csb1="00000000"/>
  </w:font>
  <w:font w:name="FSMe-Bol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S Me">
    <w:altName w:val="Calibri"/>
    <w:panose1 w:val="00000000000000000000"/>
    <w:charset w:val="00"/>
    <w:family w:val="modern"/>
    <w:notTrueType/>
    <w:pitch w:val="variable"/>
    <w:sig w:usb0="800000AF" w:usb1="4000204A" w:usb2="00000000" w:usb3="00000000" w:csb0="0000009B" w:csb1="00000000"/>
  </w:font>
  <w:font w:name="Yu Mincho">
    <w:charset w:val="80"/>
    <w:family w:val="roman"/>
    <w:pitch w:val="variable"/>
    <w:sig w:usb0="800002E7" w:usb1="2AC7FCFF" w:usb2="00000012" w:usb3="00000000" w:csb0="0002009F" w:csb1="00000000"/>
  </w:font>
  <w:font w:name="FS Me Light">
    <w:panose1 w:val="00000000000000000000"/>
    <w:charset w:val="00"/>
    <w:family w:val="modern"/>
    <w:notTrueType/>
    <w:pitch w:val="variable"/>
    <w:sig w:usb0="A00000AF" w:usb1="4000204A" w:usb2="00000000" w:usb3="00000000" w:csb0="0000009B"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AAF5C" w14:textId="77777777" w:rsidR="00583012" w:rsidRDefault="00583012" w:rsidP="00B17C79">
    <w:pPr>
      <w:pStyle w:val="Footer"/>
      <w:pBdr>
        <w:top w:val="single" w:sz="4" w:space="1" w:color="E7E6E6" w:themeColor="background2"/>
      </w:pBdr>
    </w:pPr>
  </w:p>
  <w:p w14:paraId="01A64AA5" w14:textId="62F0F0E9" w:rsidR="00583012" w:rsidRDefault="00583012" w:rsidP="00B17C79">
    <w:pPr>
      <w:pStyle w:val="Footer"/>
      <w:pBdr>
        <w:top w:val="single" w:sz="4" w:space="1" w:color="E7E6E6" w:themeColor="background2"/>
      </w:pBdr>
    </w:pPr>
    <w:r>
      <w:t>National Disability Insurance Scheme: Annual Financial Sustainability Report 2021-22</w:t>
    </w:r>
    <w:r>
      <w:tab/>
    </w:r>
    <w:r>
      <w:fldChar w:fldCharType="begin"/>
    </w:r>
    <w:r>
      <w:instrText xml:space="preserve"> PAGE   \* MERGEFORMAT </w:instrText>
    </w:r>
    <w:r>
      <w:fldChar w:fldCharType="separate"/>
    </w:r>
    <w:r w:rsidR="007F30D6">
      <w:rPr>
        <w:noProof/>
      </w:rPr>
      <w:t>3</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2" w:type="dxa"/>
      <w:tblLayout w:type="fixed"/>
      <w:tblLook w:val="04A0" w:firstRow="1" w:lastRow="0" w:firstColumn="1" w:lastColumn="0" w:noHBand="0" w:noVBand="1"/>
    </w:tblPr>
    <w:tblGrid>
      <w:gridCol w:w="8393"/>
      <w:gridCol w:w="793"/>
      <w:gridCol w:w="1586"/>
    </w:tblGrid>
    <w:tr w:rsidR="00583012" w:rsidRPr="003E1AAD" w14:paraId="5A99C071" w14:textId="77777777" w:rsidTr="004C434C">
      <w:trPr>
        <w:trHeight w:val="57"/>
      </w:trPr>
      <w:tc>
        <w:tcPr>
          <w:tcW w:w="8393" w:type="dxa"/>
          <w:tcBorders>
            <w:top w:val="nil"/>
            <w:left w:val="nil"/>
            <w:bottom w:val="nil"/>
            <w:right w:val="nil"/>
          </w:tcBorders>
          <w:vAlign w:val="center"/>
        </w:tcPr>
        <w:p w14:paraId="175830FB" w14:textId="77777777" w:rsidR="00583012" w:rsidRPr="003E1AAD" w:rsidRDefault="00583012" w:rsidP="004C434C">
          <w:pPr>
            <w:spacing w:after="0"/>
            <w:ind w:right="-390"/>
            <w:rPr>
              <w:rFonts w:cs="Arial"/>
              <w:color w:val="000000"/>
              <w:sz w:val="15"/>
              <w:szCs w:val="15"/>
            </w:rPr>
          </w:pPr>
        </w:p>
      </w:tc>
      <w:tc>
        <w:tcPr>
          <w:tcW w:w="793" w:type="dxa"/>
          <w:tcBorders>
            <w:top w:val="nil"/>
            <w:left w:val="nil"/>
            <w:bottom w:val="nil"/>
            <w:right w:val="nil"/>
          </w:tcBorders>
          <w:shd w:val="clear" w:color="auto" w:fill="auto"/>
          <w:noWrap/>
          <w:vAlign w:val="center"/>
        </w:tcPr>
        <w:p w14:paraId="2D5BC4DB" w14:textId="77777777" w:rsidR="00583012" w:rsidRPr="003E1AAD" w:rsidRDefault="00583012" w:rsidP="004C434C">
          <w:pPr>
            <w:spacing w:after="0"/>
            <w:rPr>
              <w:rFonts w:cs="Arial"/>
              <w:color w:val="000000"/>
              <w:sz w:val="15"/>
              <w:szCs w:val="15"/>
            </w:rPr>
          </w:pPr>
        </w:p>
      </w:tc>
      <w:tc>
        <w:tcPr>
          <w:tcW w:w="1586" w:type="dxa"/>
          <w:tcBorders>
            <w:top w:val="nil"/>
            <w:left w:val="nil"/>
            <w:bottom w:val="nil"/>
            <w:right w:val="nil"/>
          </w:tcBorders>
          <w:shd w:val="clear" w:color="auto" w:fill="auto"/>
          <w:noWrap/>
          <w:vAlign w:val="center"/>
        </w:tcPr>
        <w:p w14:paraId="349BDDD3" w14:textId="77777777" w:rsidR="00583012" w:rsidRPr="003E1AAD" w:rsidRDefault="00583012" w:rsidP="004C434C">
          <w:pPr>
            <w:spacing w:after="0"/>
            <w:jc w:val="right"/>
            <w:rPr>
              <w:rFonts w:cs="Arial"/>
              <w:sz w:val="15"/>
              <w:szCs w:val="15"/>
            </w:rPr>
          </w:pPr>
        </w:p>
      </w:tc>
    </w:tr>
  </w:tbl>
  <w:p w14:paraId="57789241" w14:textId="5BE67F25" w:rsidR="00583012" w:rsidRDefault="00583012" w:rsidP="00252EAF">
    <w:pPr>
      <w:pStyle w:val="Footer"/>
      <w:pBdr>
        <w:top w:val="single" w:sz="4" w:space="1" w:color="E7E6E6" w:themeColor="background2"/>
      </w:pBdr>
      <w:tabs>
        <w:tab w:val="clear" w:pos="9026"/>
        <w:tab w:val="left" w:pos="13041"/>
      </w:tabs>
    </w:pPr>
    <w:r>
      <w:t>National Disability Insurance Scheme: Annual Financial Sustainability Report 2021-22</w:t>
    </w:r>
    <w:r>
      <w:tab/>
    </w:r>
    <w:r>
      <w:fldChar w:fldCharType="begin"/>
    </w:r>
    <w:r>
      <w:instrText xml:space="preserve"> PAGE   \* MERGEFORMAT </w:instrText>
    </w:r>
    <w:r>
      <w:fldChar w:fldCharType="separate"/>
    </w:r>
    <w:r w:rsidR="007F30D6">
      <w:rPr>
        <w:noProof/>
      </w:rPr>
      <w:t>35</w:t>
    </w:r>
    <w:r>
      <w:rPr>
        <w:noProof/>
      </w:rPr>
      <w:fldChar w:fldCharType="end"/>
    </w:r>
  </w:p>
  <w:p w14:paraId="478FB456" w14:textId="77777777" w:rsidR="00583012" w:rsidRDefault="005830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93166" w14:textId="5B7CCAB0" w:rsidR="00583012" w:rsidRDefault="00583012" w:rsidP="001B72CB">
    <w:pPr>
      <w:pStyle w:val="Footer"/>
      <w:pBdr>
        <w:top w:val="single" w:sz="4" w:space="1" w:color="E7E6E6" w:themeColor="background2"/>
      </w:pBdr>
    </w:pPr>
    <w:r>
      <w:t xml:space="preserve">National Disability Insurance Scheme: Annual Financial Sustainability Report 2021-22 </w:t>
    </w:r>
    <w:r>
      <w:tab/>
    </w:r>
    <w:r>
      <w:fldChar w:fldCharType="begin"/>
    </w:r>
    <w:r>
      <w:instrText xml:space="preserve"> PAGE   \* MERGEFORMAT </w:instrText>
    </w:r>
    <w:r>
      <w:fldChar w:fldCharType="separate"/>
    </w:r>
    <w:r w:rsidR="007F30D6">
      <w:rPr>
        <w:noProof/>
      </w:rPr>
      <w:t>162</w:t>
    </w:r>
    <w:r>
      <w:rPr>
        <w:noProof/>
      </w:rPr>
      <w:fldChar w:fldCharType="end"/>
    </w:r>
  </w:p>
  <w:p w14:paraId="33D8F60A" w14:textId="77777777" w:rsidR="00583012" w:rsidRDefault="0058301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DE3B5" w14:textId="0884DC3C" w:rsidR="00583012" w:rsidRDefault="00583012" w:rsidP="00252EAF">
    <w:pPr>
      <w:pStyle w:val="Footer"/>
      <w:pBdr>
        <w:top w:val="single" w:sz="4" w:space="1" w:color="E7E6E6" w:themeColor="background2"/>
      </w:pBdr>
      <w:tabs>
        <w:tab w:val="clear" w:pos="9026"/>
        <w:tab w:val="left" w:pos="8647"/>
        <w:tab w:val="left" w:pos="12900"/>
      </w:tabs>
    </w:pPr>
    <w:r>
      <w:t>National Disability Insurance Scheme: Annual Financial Sustainability Report 2021</w:t>
    </w:r>
    <w:r>
      <w:tab/>
    </w:r>
    <w:r>
      <w:fldChar w:fldCharType="begin"/>
    </w:r>
    <w:r>
      <w:instrText xml:space="preserve"> PAGE   \* MERGEFORMAT </w:instrText>
    </w:r>
    <w:r>
      <w:fldChar w:fldCharType="separate"/>
    </w:r>
    <w:r w:rsidR="007F30D6">
      <w:rPr>
        <w:noProof/>
      </w:rPr>
      <w:t>239</w:t>
    </w:r>
    <w:r>
      <w:rPr>
        <w:noProof/>
      </w:rPr>
      <w:fldChar w:fldCharType="end"/>
    </w:r>
  </w:p>
  <w:p w14:paraId="590583B3" w14:textId="77777777" w:rsidR="00583012" w:rsidRDefault="005830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03052" w14:textId="77777777" w:rsidR="006D0068" w:rsidRDefault="006D0068" w:rsidP="00BD4A22">
      <w:pPr>
        <w:spacing w:after="0" w:line="240" w:lineRule="auto"/>
      </w:pPr>
      <w:r>
        <w:separator/>
      </w:r>
    </w:p>
  </w:footnote>
  <w:footnote w:type="continuationSeparator" w:id="0">
    <w:p w14:paraId="12B854DB" w14:textId="77777777" w:rsidR="006D0068" w:rsidRDefault="006D0068" w:rsidP="00BD4A22">
      <w:pPr>
        <w:spacing w:after="0" w:line="240" w:lineRule="auto"/>
      </w:pPr>
      <w:r>
        <w:continuationSeparator/>
      </w:r>
    </w:p>
  </w:footnote>
  <w:footnote w:type="continuationNotice" w:id="1">
    <w:p w14:paraId="31F0C5FC" w14:textId="77777777" w:rsidR="006D0068" w:rsidRDefault="006D0068">
      <w:pPr>
        <w:spacing w:after="0" w:line="240" w:lineRule="auto"/>
      </w:pPr>
    </w:p>
  </w:footnote>
  <w:footnote w:id="2">
    <w:p w14:paraId="1660533D" w14:textId="77777777" w:rsidR="00583012" w:rsidRPr="00252EAF" w:rsidRDefault="00583012" w:rsidP="00892048">
      <w:pPr>
        <w:pStyle w:val="FootnoteText"/>
      </w:pPr>
      <w:r>
        <w:rPr>
          <w:rStyle w:val="FootnoteReference"/>
        </w:rPr>
        <w:footnoteRef/>
      </w:r>
      <w:r>
        <w:t xml:space="preserve"> </w:t>
      </w:r>
      <w:hyperlink r:id="rId1" w:anchor="afsr" w:history="1">
        <w:r w:rsidRPr="00DB43C0">
          <w:rPr>
            <w:rStyle w:val="Hyperlink"/>
          </w:rPr>
          <w:t>NDIS Publications</w:t>
        </w:r>
      </w:hyperlink>
    </w:p>
  </w:footnote>
  <w:footnote w:id="3">
    <w:p w14:paraId="08660635" w14:textId="77777777" w:rsidR="00583012" w:rsidRPr="00645F49" w:rsidRDefault="00583012" w:rsidP="00892048">
      <w:pPr>
        <w:pStyle w:val="FootnoteText"/>
      </w:pPr>
      <w:r>
        <w:rPr>
          <w:rStyle w:val="FootnoteReference"/>
        </w:rPr>
        <w:footnoteRef/>
      </w:r>
      <w:r>
        <w:t xml:space="preserve"> </w:t>
      </w:r>
      <w:hyperlink r:id="rId2" w:history="1">
        <w:r w:rsidRPr="003753B2">
          <w:rPr>
            <w:rStyle w:val="Hyperlink"/>
          </w:rPr>
          <w:t>Insurance Principles and Financial Sustainability Manual (PDF Download)</w:t>
        </w:r>
      </w:hyperlink>
    </w:p>
  </w:footnote>
  <w:footnote w:id="4">
    <w:p w14:paraId="4D08D7D3" w14:textId="77777777" w:rsidR="00583012" w:rsidRDefault="00583012" w:rsidP="00892048">
      <w:pPr>
        <w:pStyle w:val="FootnoteText"/>
      </w:pPr>
      <w:r>
        <w:rPr>
          <w:rStyle w:val="FootnoteReference"/>
        </w:rPr>
        <w:footnoteRef/>
      </w:r>
      <w:r>
        <w:t xml:space="preserve"> Scheme expenses relate to the payments made for participant supports and does not include operating expenses. It</w:t>
      </w:r>
      <w:r w:rsidRPr="00921CFB">
        <w:t xml:space="preserve"> is based on when the service was provided to the participant recognising some services are paid f</w:t>
      </w:r>
      <w:r>
        <w:t>or after the end of the period.</w:t>
      </w:r>
    </w:p>
  </w:footnote>
  <w:footnote w:id="5">
    <w:p w14:paraId="674C98CF" w14:textId="77777777" w:rsidR="00583012" w:rsidRDefault="00583012" w:rsidP="00892048">
      <w:pPr>
        <w:pStyle w:val="FootnoteText"/>
      </w:pPr>
      <w:r>
        <w:rPr>
          <w:rStyle w:val="FootnoteReference"/>
        </w:rPr>
        <w:footnoteRef/>
      </w:r>
      <w:r>
        <w:t xml:space="preserve"> The projected Scheme expenses for 2029-30 on an accrual basis are projected to be $</w:t>
      </w:r>
      <w:r w:rsidRPr="00AB02C2">
        <w:t>74.</w:t>
      </w:r>
      <w:r>
        <w:t>1 billion, in comparison with $59.3 billion reported in the 2020-21 AFSR.</w:t>
      </w:r>
    </w:p>
  </w:footnote>
  <w:footnote w:id="6">
    <w:p w14:paraId="008F3144" w14:textId="77777777" w:rsidR="00583012" w:rsidRPr="00770BE4" w:rsidRDefault="00583012">
      <w:pPr>
        <w:pStyle w:val="FootnoteText"/>
      </w:pPr>
      <w:r>
        <w:rPr>
          <w:rStyle w:val="FootnoteReference"/>
        </w:rPr>
        <w:footnoteRef/>
      </w:r>
      <w:r>
        <w:t xml:space="preserve"> </w:t>
      </w:r>
      <w:r w:rsidRPr="00252EAF">
        <w:t>A stochastic model is used to estimate probability distributions of potential outcomes by allowing for random variation in one or more inputs over time. In this case, the inputs which are varied are the assumptions and risks which are most uncertain in the projection of Scheme expenses.</w:t>
      </w:r>
    </w:p>
  </w:footnote>
  <w:footnote w:id="7">
    <w:p w14:paraId="1061BF0B" w14:textId="77777777" w:rsidR="00583012" w:rsidRDefault="00583012" w:rsidP="00892048">
      <w:pPr>
        <w:pStyle w:val="FootnoteText"/>
      </w:pPr>
      <w:r>
        <w:rPr>
          <w:rStyle w:val="FootnoteReference"/>
        </w:rPr>
        <w:footnoteRef/>
      </w:r>
      <w:r>
        <w:t xml:space="preserve"> </w:t>
      </w:r>
      <w:r w:rsidRPr="001715DB">
        <w:t>The 2020-21 AFSR was adopted in the 2022-23 P</w:t>
      </w:r>
      <w:r>
        <w:t xml:space="preserve">ortfolio </w:t>
      </w:r>
      <w:r w:rsidRPr="001715DB">
        <w:t>B</w:t>
      </w:r>
      <w:r>
        <w:t xml:space="preserve">udget </w:t>
      </w:r>
      <w:r w:rsidRPr="001715DB">
        <w:t>S</w:t>
      </w:r>
      <w:r>
        <w:t>tatement</w:t>
      </w:r>
      <w:r w:rsidRPr="001715DB">
        <w:t xml:space="preserve"> estimates</w:t>
      </w:r>
      <w:r>
        <w:t xml:space="preserve"> (PBS)</w:t>
      </w:r>
      <w:r w:rsidRPr="001715DB">
        <w:t xml:space="preserve"> and therefore reflects the most recent budget estimates. Hence, no separate comparison with the PBS is shown.</w:t>
      </w:r>
    </w:p>
  </w:footnote>
  <w:footnote w:id="8">
    <w:p w14:paraId="10EACB76" w14:textId="77777777" w:rsidR="00583012" w:rsidRDefault="00583012" w:rsidP="00892048">
      <w:pPr>
        <w:pStyle w:val="FootnoteText"/>
      </w:pPr>
      <w:r>
        <w:rPr>
          <w:rStyle w:val="FootnoteReference"/>
        </w:rPr>
        <w:footnoteRef/>
      </w:r>
      <w:r>
        <w:t>At the previous review, additional inflation was referred to as “superimposed inflation”.</w:t>
      </w:r>
    </w:p>
  </w:footnote>
  <w:footnote w:id="9">
    <w:p w14:paraId="1A8C3145" w14:textId="77777777" w:rsidR="00583012" w:rsidRPr="00A233A2" w:rsidRDefault="00583012" w:rsidP="00F81CCC">
      <w:pPr>
        <w:pStyle w:val="FootnoteText"/>
      </w:pPr>
      <w:r>
        <w:rPr>
          <w:rStyle w:val="FootnoteReference"/>
        </w:rPr>
        <w:footnoteRef/>
      </w:r>
      <w:r>
        <w:t xml:space="preserve"> SAP is a software company that makes enterprise software. Also known as </w:t>
      </w:r>
      <w:r w:rsidRPr="002708E6">
        <w:t>Systems, Applications and Products</w:t>
      </w:r>
      <w:r>
        <w:t xml:space="preserve"> in Data Processing.</w:t>
      </w:r>
    </w:p>
  </w:footnote>
  <w:footnote w:id="10">
    <w:p w14:paraId="0F4AD32A" w14:textId="77777777" w:rsidR="00583012" w:rsidRPr="006309AA" w:rsidRDefault="00583012" w:rsidP="00892048">
      <w:pPr>
        <w:pStyle w:val="FootnoteText"/>
        <w:rPr>
          <w:rFonts w:cs="Arial"/>
          <w:sz w:val="19"/>
          <w:szCs w:val="19"/>
        </w:rPr>
      </w:pPr>
      <w:r w:rsidRPr="006309AA">
        <w:rPr>
          <w:rStyle w:val="FootnoteReference"/>
          <w:rFonts w:cs="Arial"/>
          <w:sz w:val="19"/>
          <w:szCs w:val="19"/>
        </w:rPr>
        <w:footnoteRef/>
      </w:r>
      <w:r w:rsidRPr="006309AA">
        <w:rPr>
          <w:rFonts w:cs="Arial"/>
          <w:sz w:val="19"/>
          <w:szCs w:val="19"/>
        </w:rPr>
        <w:t xml:space="preserve"> </w:t>
      </w:r>
      <w:r w:rsidRPr="00C53CDC">
        <w:rPr>
          <w:rFonts w:cs="Arial"/>
        </w:rPr>
        <w:t xml:space="preserve">Participant cohorts </w:t>
      </w:r>
      <w:r>
        <w:rPr>
          <w:rFonts w:cs="Arial"/>
        </w:rPr>
        <w:t xml:space="preserve">are </w:t>
      </w:r>
      <w:r w:rsidRPr="00C53CDC">
        <w:rPr>
          <w:rFonts w:cs="Arial"/>
        </w:rPr>
        <w:t>based on age, primary disability type, recorded level of function, gender, whether a participant is in supported independent living arrangements, and duration in the Scheme.</w:t>
      </w:r>
    </w:p>
  </w:footnote>
  <w:footnote w:id="11">
    <w:p w14:paraId="449398BC" w14:textId="77777777" w:rsidR="00583012" w:rsidRDefault="00583012" w:rsidP="00892048">
      <w:pPr>
        <w:pStyle w:val="FootnoteText"/>
      </w:pPr>
      <w:r>
        <w:rPr>
          <w:rStyle w:val="FootnoteReference"/>
        </w:rPr>
        <w:footnoteRef/>
      </w:r>
      <w:r>
        <w:t xml:space="preserve"> </w:t>
      </w:r>
      <w:r>
        <w:rPr>
          <w:rFonts w:cs="Arial"/>
          <w:color w:val="202124"/>
          <w:shd w:val="clear" w:color="auto" w:fill="FFFFFF"/>
        </w:rPr>
        <w:t>A stochastic model is </w:t>
      </w:r>
      <w:r>
        <w:rPr>
          <w:rFonts w:cs="Arial"/>
          <w:bCs/>
          <w:color w:val="202124"/>
          <w:shd w:val="clear" w:color="auto" w:fill="FFFFFF"/>
        </w:rPr>
        <w:t>used to</w:t>
      </w:r>
      <w:r w:rsidRPr="0065210D">
        <w:rPr>
          <w:rFonts w:cs="Arial"/>
          <w:bCs/>
          <w:color w:val="202124"/>
          <w:shd w:val="clear" w:color="auto" w:fill="FFFFFF"/>
        </w:rPr>
        <w:t xml:space="preserve"> estimat</w:t>
      </w:r>
      <w:r>
        <w:rPr>
          <w:rFonts w:cs="Arial"/>
          <w:bCs/>
          <w:color w:val="202124"/>
          <w:shd w:val="clear" w:color="auto" w:fill="FFFFFF"/>
        </w:rPr>
        <w:t>e</w:t>
      </w:r>
      <w:r w:rsidRPr="0065210D">
        <w:rPr>
          <w:rFonts w:cs="Arial"/>
          <w:bCs/>
          <w:color w:val="202124"/>
          <w:shd w:val="clear" w:color="auto" w:fill="FFFFFF"/>
        </w:rPr>
        <w:t xml:space="preserve"> probability distributions of potential outcomes by allowing for random variation in one or more inputs over time</w:t>
      </w:r>
      <w:r>
        <w:rPr>
          <w:rFonts w:cs="Arial"/>
          <w:color w:val="202124"/>
          <w:shd w:val="clear" w:color="auto" w:fill="FFFFFF"/>
        </w:rPr>
        <w:t xml:space="preserve">. In this case, the inputs which are varied are the assumptions and risks which are most uncertain in the projection of Scheme expenses. </w:t>
      </w:r>
    </w:p>
  </w:footnote>
  <w:footnote w:id="12">
    <w:p w14:paraId="6D573568" w14:textId="77777777" w:rsidR="00583012" w:rsidRPr="000F7384" w:rsidRDefault="00583012" w:rsidP="00892048">
      <w:pPr>
        <w:pStyle w:val="FootnoteText"/>
        <w:rPr>
          <w:rFonts w:cs="Arial"/>
        </w:rPr>
      </w:pPr>
      <w:r>
        <w:rPr>
          <w:rStyle w:val="FootnoteReference"/>
        </w:rPr>
        <w:footnoteRef/>
      </w:r>
      <w:r>
        <w:t xml:space="preserve"> </w:t>
      </w:r>
      <w:r w:rsidRPr="008A5B71">
        <w:rPr>
          <w:rFonts w:eastAsia="Calibri" w:cs="Arial"/>
        </w:rPr>
        <w:t xml:space="preserve">No new </w:t>
      </w:r>
      <w:r>
        <w:rPr>
          <w:rFonts w:eastAsia="Calibri" w:cs="Arial"/>
        </w:rPr>
        <w:t>entrant</w:t>
      </w:r>
      <w:r w:rsidRPr="008A5B71">
        <w:rPr>
          <w:rFonts w:eastAsia="Calibri" w:cs="Arial"/>
        </w:rPr>
        <w:t xml:space="preserve"> rate is shown for the 2016 year as no geographic region phased into the Scheme in that year.</w:t>
      </w:r>
    </w:p>
  </w:footnote>
  <w:footnote w:id="13">
    <w:p w14:paraId="45A8B57E" w14:textId="77777777" w:rsidR="00583012" w:rsidRDefault="00583012">
      <w:pPr>
        <w:pStyle w:val="FootnoteText"/>
      </w:pPr>
      <w:r>
        <w:rPr>
          <w:rStyle w:val="FootnoteReference"/>
        </w:rPr>
        <w:footnoteRef/>
      </w:r>
      <w:r>
        <w:t xml:space="preserve"> </w:t>
      </w:r>
      <w:r w:rsidRPr="003A191D">
        <w:t>The ongoing process of reviewing participant eligibility to the Scheme</w:t>
      </w:r>
      <w:r>
        <w:t>.</w:t>
      </w:r>
    </w:p>
  </w:footnote>
  <w:footnote w:id="14">
    <w:p w14:paraId="74476D06" w14:textId="77777777" w:rsidR="00583012" w:rsidRDefault="00583012">
      <w:pPr>
        <w:pStyle w:val="FootnoteText"/>
      </w:pPr>
      <w:r>
        <w:rPr>
          <w:rStyle w:val="FootnoteReference"/>
        </w:rPr>
        <w:footnoteRef/>
      </w:r>
      <w:r>
        <w:t xml:space="preserve"> </w:t>
      </w:r>
      <w:r w:rsidRPr="003A191D">
        <w:t>Due to operational changes since July 2020, there has been a known issue with identifying participants with SIL. From May 2022 onwards, an automated and a more accurate method has been applied in identifying participants with SIL, leading to restatement of both the actual and expected number of participants with SIL from July 2020 to April 2022. This issue is now resolved; therefore no further restatement is expected going forward.</w:t>
      </w:r>
    </w:p>
  </w:footnote>
  <w:footnote w:id="15">
    <w:p w14:paraId="732E7F9B" w14:textId="77777777" w:rsidR="00583012" w:rsidRDefault="00583012" w:rsidP="00892048">
      <w:pPr>
        <w:pStyle w:val="FootnoteText"/>
      </w:pPr>
      <w:r>
        <w:rPr>
          <w:rStyle w:val="FootnoteReference"/>
        </w:rPr>
        <w:footnoteRef/>
      </w:r>
      <w:r>
        <w:t xml:space="preserve"> Participants new to SIL supports includes both new entrants to the Scheme with SIL supports and existing participants who transitioned to SIL arrangements during the period. The numbers of participants new to SIL supports up to 2020-21 are based on the previous method to identifying participants with SIL. The number for 2021-22 is based on the new method used from May 2022 and so includes a restatement of the prior periods to 2021-22. </w:t>
      </w:r>
    </w:p>
  </w:footnote>
  <w:footnote w:id="16">
    <w:p w14:paraId="59E24409" w14:textId="77777777" w:rsidR="00583012" w:rsidRDefault="00583012" w:rsidP="00892048">
      <w:pPr>
        <w:pStyle w:val="FootnoteText"/>
      </w:pPr>
      <w:r>
        <w:rPr>
          <w:rStyle w:val="FootnoteReference"/>
        </w:rPr>
        <w:footnoteRef/>
      </w:r>
      <w:r>
        <w:t xml:space="preserve"> Payments on an accrual basis include an expense of $476m for one-off provider payments and $91m for the cost of residential aged care.</w:t>
      </w:r>
    </w:p>
  </w:footnote>
  <w:footnote w:id="17">
    <w:p w14:paraId="5858E84E" w14:textId="77777777" w:rsidR="00583012" w:rsidRDefault="00583012" w:rsidP="00822F2F">
      <w:pPr>
        <w:pStyle w:val="FootnoteText"/>
      </w:pPr>
      <w:r>
        <w:rPr>
          <w:rStyle w:val="FootnoteReference"/>
        </w:rPr>
        <w:footnoteRef/>
      </w:r>
      <w:r>
        <w:t xml:space="preserve"> Calculated as $126m minus $15m or 10% minus 1%</w:t>
      </w:r>
    </w:p>
  </w:footnote>
  <w:footnote w:id="18">
    <w:p w14:paraId="65D4ECC6" w14:textId="77777777" w:rsidR="00583012" w:rsidRDefault="00583012" w:rsidP="00892048">
      <w:pPr>
        <w:pStyle w:val="FootnoteText"/>
      </w:pPr>
      <w:r>
        <w:rPr>
          <w:rStyle w:val="FootnoteReference"/>
        </w:rPr>
        <w:footnoteRef/>
      </w:r>
      <w:r>
        <w:t xml:space="preserve"> Average annualised payments have been calculated on a cash basis using the 12 months over each year ending 30 June.</w:t>
      </w:r>
    </w:p>
  </w:footnote>
  <w:footnote w:id="19">
    <w:p w14:paraId="348C4C1C" w14:textId="77777777" w:rsidR="00583012" w:rsidRDefault="00583012" w:rsidP="00892048">
      <w:pPr>
        <w:pStyle w:val="FootnoteText"/>
      </w:pPr>
      <w:r>
        <w:rPr>
          <w:rStyle w:val="FootnoteReference"/>
        </w:rPr>
        <w:footnoteRef/>
      </w:r>
      <w:r>
        <w:t xml:space="preserve"> The result for additional inflation in 2018-19 may be impacted by the high number of new entrants in the Scheme during transition.</w:t>
      </w:r>
    </w:p>
  </w:footnote>
  <w:footnote w:id="20">
    <w:p w14:paraId="0550A265" w14:textId="77777777" w:rsidR="00583012" w:rsidRDefault="00583012" w:rsidP="00F73307">
      <w:pPr>
        <w:pStyle w:val="FootnoteText"/>
      </w:pPr>
      <w:r>
        <w:rPr>
          <w:rStyle w:val="FootnoteReference"/>
        </w:rPr>
        <w:footnoteRef/>
      </w:r>
      <w:r>
        <w:t xml:space="preserve"> Change in mix refers to the impact on inflation of changes in the profile of the participant population (i.e. more new entrants in cohorts with a lower than average payment per participant would lead to a negative impact) rather than changes in the average payment per participant within specific cohorts. This is excluded from additional inflation as it is explicitly modelled in the AFSR. In this table, change in mix excludes the inflation impact of change in reported level of function over time. This impact is included in additional inflation.</w:t>
      </w:r>
    </w:p>
  </w:footnote>
  <w:footnote w:id="21">
    <w:p w14:paraId="0172B677" w14:textId="77777777" w:rsidR="00583012" w:rsidRDefault="00583012" w:rsidP="00F73307">
      <w:pPr>
        <w:pStyle w:val="FootnoteText"/>
      </w:pPr>
      <w:r>
        <w:rPr>
          <w:rStyle w:val="FootnoteReference"/>
        </w:rPr>
        <w:footnoteRef/>
      </w:r>
      <w:r>
        <w:t xml:space="preserve"> Additional inflation in 2021-22 has been impacted by COVID-19 and by workforce shortages and the supply of disability support workers.</w:t>
      </w:r>
    </w:p>
  </w:footnote>
  <w:footnote w:id="22">
    <w:p w14:paraId="28CEA86E" w14:textId="77777777" w:rsidR="00583012" w:rsidRDefault="00583012" w:rsidP="00892048">
      <w:pPr>
        <w:pStyle w:val="FootnoteText"/>
      </w:pPr>
      <w:r>
        <w:rPr>
          <w:rStyle w:val="FootnoteReference"/>
        </w:rPr>
        <w:footnoteRef/>
      </w:r>
      <w:r>
        <w:t xml:space="preserve"> </w:t>
      </w:r>
      <w:r w:rsidRPr="50E79919">
        <w:rPr>
          <w:rFonts w:eastAsia="Yu Mincho" w:cs="Arial"/>
        </w:rPr>
        <w:t>Under the NDIS legislation amendments, from 1 July 2022 ’plan review’ will be referred to as ’plan reassessment’. An internal review of decisions at the request of a participant will continue to use the word ’review’. The terminology as it applied up until 30 June 2022 is used in this report.</w:t>
      </w:r>
    </w:p>
  </w:footnote>
  <w:footnote w:id="23">
    <w:p w14:paraId="1B205C74" w14:textId="77777777" w:rsidR="00583012" w:rsidRDefault="00583012" w:rsidP="00892048">
      <w:pPr>
        <w:pStyle w:val="FootnoteText"/>
      </w:pPr>
      <w:r>
        <w:rPr>
          <w:rStyle w:val="FootnoteReference"/>
        </w:rPr>
        <w:footnoteRef/>
      </w:r>
      <w:r>
        <w:t xml:space="preserve"> Intraplan inflation tends to occur when a participant’s needs and situation change before a plan is due to be renewed. Often the plan is ended early and a new plan is put in place, and if the participant has spent more than expected, the value of the first plan is adjusted retrospectively. Intraplan inflation can also occur when the expected cost of a high value capital item is used in a plan but is then updated with an actual quote.</w:t>
      </w:r>
    </w:p>
  </w:footnote>
  <w:footnote w:id="24">
    <w:p w14:paraId="4387A0F9" w14:textId="77777777" w:rsidR="00583012" w:rsidRDefault="00583012" w:rsidP="00892048">
      <w:pPr>
        <w:pStyle w:val="FootnoteText"/>
      </w:pPr>
      <w:r>
        <w:rPr>
          <w:rStyle w:val="FootnoteReference"/>
        </w:rPr>
        <w:footnoteRef/>
      </w:r>
      <w:r>
        <w:t xml:space="preserve"> This result was partly driven by plan indexation of approximately 11.9% applied in July 2019 to reflect NDIS price increases.</w:t>
      </w:r>
    </w:p>
  </w:footnote>
  <w:footnote w:id="25">
    <w:p w14:paraId="453755F3" w14:textId="77777777" w:rsidR="00583012" w:rsidRDefault="00583012" w:rsidP="00892048">
      <w:pPr>
        <w:pStyle w:val="FootnoteText"/>
      </w:pPr>
      <w:r>
        <w:rPr>
          <w:rStyle w:val="FootnoteReference"/>
        </w:rPr>
        <w:footnoteRef/>
      </w:r>
      <w:r>
        <w:t xml:space="preserve"> An example is the ACC (Accident Compensation Corporation) in New Zealand (</w:t>
      </w:r>
      <w:r w:rsidRPr="008D3E69">
        <w:t>https://www.acc.co.nz/assets/corporate-documents/3360178450/financial-condition-report-2012.pdf</w:t>
      </w:r>
      <w:r>
        <w:t>).</w:t>
      </w:r>
    </w:p>
  </w:footnote>
  <w:footnote w:id="26">
    <w:p w14:paraId="76E91335" w14:textId="77777777" w:rsidR="00583012" w:rsidRDefault="00583012" w:rsidP="00892048">
      <w:pPr>
        <w:pStyle w:val="FootnoteText"/>
      </w:pPr>
      <w:r>
        <w:rPr>
          <w:rStyle w:val="FootnoteReference"/>
        </w:rPr>
        <w:footnoteRef/>
      </w:r>
      <w:r>
        <w:t xml:space="preserve"> </w:t>
      </w:r>
      <w:hyperlink r:id="rId3" w:history="1">
        <w:r w:rsidRPr="00CA6EAC">
          <w:rPr>
            <w:rStyle w:val="Hyperlink"/>
          </w:rPr>
          <w:t>https://www.rba.gov.au/publications/smp/2022/aug/economic-outlook.html</w:t>
        </w:r>
      </w:hyperlink>
    </w:p>
  </w:footnote>
  <w:footnote w:id="27">
    <w:p w14:paraId="6692C07A" w14:textId="77777777" w:rsidR="00583012" w:rsidRDefault="00583012" w:rsidP="00892048">
      <w:pPr>
        <w:pStyle w:val="FootnoteText"/>
      </w:pPr>
      <w:r>
        <w:rPr>
          <w:rStyle w:val="FootnoteReference"/>
        </w:rPr>
        <w:footnoteRef/>
      </w:r>
      <w:r>
        <w:t xml:space="preserve"> Total expected inflation shown is lower than normal inflation plus additional inflation because the change in mix of participants is expected to lead to reductions in average payment per participant (before allowing for normal inflation and additional inflation)</w:t>
      </w:r>
      <w:r w:rsidRPr="004D5319">
        <w:t>.</w:t>
      </w:r>
      <w:r>
        <w:t xml:space="preserve"> The historic average shown implicitly includes change in mix, and so the most appropriate comparison to experience is the total including change in mix.</w:t>
      </w:r>
    </w:p>
  </w:footnote>
  <w:footnote w:id="28">
    <w:p w14:paraId="26EEFBA3" w14:textId="77777777" w:rsidR="00583012" w:rsidRDefault="00583012">
      <w:pPr>
        <w:pStyle w:val="FootnoteText"/>
      </w:pPr>
      <w:r>
        <w:rPr>
          <w:rStyle w:val="FootnoteReference"/>
        </w:rPr>
        <w:footnoteRef/>
      </w:r>
      <w:r>
        <w:t xml:space="preserve"> </w:t>
      </w:r>
      <w:hyperlink r:id="rId4" w:history="1">
        <w:r w:rsidRPr="00AB06AF">
          <w:rPr>
            <w:rStyle w:val="Hyperlink"/>
          </w:rPr>
          <w:t>https://www.dss.gov.au/sites/default/files/documents/01_2022/review-ndia-actuarial-forecast-model-and-drivers-scheme-costs.pdf</w:t>
        </w:r>
      </w:hyperlink>
    </w:p>
    <w:p w14:paraId="39386499" w14:textId="77777777" w:rsidR="00583012" w:rsidRDefault="00583012">
      <w:pPr>
        <w:pStyle w:val="FootnoteText"/>
      </w:pPr>
    </w:p>
  </w:footnote>
  <w:footnote w:id="29">
    <w:p w14:paraId="437806E4" w14:textId="77777777" w:rsidR="00583012" w:rsidRDefault="00583012" w:rsidP="00D1131C">
      <w:pPr>
        <w:pStyle w:val="FootnoteText"/>
      </w:pPr>
      <w:r>
        <w:rPr>
          <w:rStyle w:val="FootnoteReference"/>
        </w:rPr>
        <w:footnoteRef/>
      </w:r>
      <w:r>
        <w:t xml:space="preserve"> Productivity Commission 2017, </w:t>
      </w:r>
      <w:r>
        <w:rPr>
          <w:i/>
        </w:rPr>
        <w:t xml:space="preserve">National Disability Insurance Scheme (NDIS) Costs, Study Report, </w:t>
      </w:r>
      <w:r w:rsidRPr="00550448">
        <w:t>Canberra (page 412).</w:t>
      </w:r>
    </w:p>
  </w:footnote>
  <w:footnote w:id="30">
    <w:p w14:paraId="6EAD3357" w14:textId="77777777" w:rsidR="00583012" w:rsidRDefault="00583012" w:rsidP="00892048">
      <w:pPr>
        <w:pStyle w:val="FootnoteText"/>
      </w:pPr>
      <w:r>
        <w:rPr>
          <w:rStyle w:val="FootnoteReference"/>
        </w:rPr>
        <w:footnoteRef/>
      </w:r>
      <w:r>
        <w:t xml:space="preserve"> Model specification risk is the risk that the inputs and parameters of the model used to estimate future experience is not a true representation of Scheme processes or participant behaviour, and that this leads to biases in the projections.</w:t>
      </w:r>
      <w:r w:rsidRPr="00346E54">
        <w:t xml:space="preserve"> </w:t>
      </w:r>
      <w:r w:rsidRPr="003F6C39">
        <w:t>This risk is high at this review, given the NDIS processes are still evolving, meaning a limited history for assumption setting, as well as some limitations in the data available for analysis. </w:t>
      </w:r>
    </w:p>
  </w:footnote>
  <w:footnote w:id="31">
    <w:p w14:paraId="05977AA2" w14:textId="77777777" w:rsidR="00583012" w:rsidRPr="00261C7C" w:rsidRDefault="00583012" w:rsidP="00854323">
      <w:pPr>
        <w:pStyle w:val="FootnoteText"/>
      </w:pPr>
      <w:r>
        <w:rPr>
          <w:rStyle w:val="FootnoteReference"/>
        </w:rPr>
        <w:footnoteRef/>
      </w:r>
      <w:r>
        <w:t xml:space="preserve"> </w:t>
      </w:r>
      <w:hyperlink r:id="rId5" w:history="1">
        <w:r w:rsidRPr="00971B18">
          <w:rPr>
            <w:rStyle w:val="Hyperlink"/>
          </w:rPr>
          <w:t>Corporate Plan | NDIS</w:t>
        </w:r>
      </w:hyperlink>
      <w:r>
        <w:t xml:space="preserve"> - </w:t>
      </w:r>
      <w:r w:rsidRPr="00252EAF">
        <w:t>The NDIS Corporate Plan 2022-26 has also been released and includes the same Aspiration 1. However, the 2021-25 version is referenced in this report, as it includes targets for 2021-22 on outcomes-based performance metrics against which experience for the 2021-22 year can be measured.</w:t>
      </w:r>
    </w:p>
  </w:footnote>
  <w:footnote w:id="32">
    <w:p w14:paraId="1F484D3B" w14:textId="77777777" w:rsidR="00583012" w:rsidRDefault="00583012" w:rsidP="00BE242A">
      <w:pPr>
        <w:pStyle w:val="FootnoteText"/>
      </w:pPr>
      <w:r>
        <w:rPr>
          <w:rStyle w:val="FootnoteReference"/>
        </w:rPr>
        <w:footnoteRef/>
      </w:r>
      <w:r>
        <w:t xml:space="preserve">  </w:t>
      </w:r>
      <w:hyperlink r:id="rId6" w:history="1">
        <w:r w:rsidRPr="0073718C">
          <w:rPr>
            <w:rStyle w:val="Hyperlink"/>
          </w:rPr>
          <w:t>Insurance Principles and Financial Sustainability Manual (PDF Download)</w:t>
        </w:r>
      </w:hyperlink>
    </w:p>
  </w:footnote>
  <w:footnote w:id="33">
    <w:p w14:paraId="33C782A3" w14:textId="77777777" w:rsidR="00583012" w:rsidRDefault="00583012">
      <w:pPr>
        <w:pStyle w:val="FootnoteText"/>
      </w:pPr>
      <w:r>
        <w:rPr>
          <w:rStyle w:val="FootnoteReference"/>
        </w:rPr>
        <w:footnoteRef/>
      </w:r>
      <w:r>
        <w:t xml:space="preserve"> </w:t>
      </w:r>
      <w:hyperlink r:id="rId7" w:history="1">
        <w:r>
          <w:rPr>
            <w:rStyle w:val="Hyperlink"/>
          </w:rPr>
          <w:t>Quarterly Reports | NDIS</w:t>
        </w:r>
      </w:hyperlink>
    </w:p>
  </w:footnote>
  <w:footnote w:id="34">
    <w:p w14:paraId="07EB7585" w14:textId="77777777" w:rsidR="00583012" w:rsidRDefault="00583012" w:rsidP="00BE242A">
      <w:pPr>
        <w:pStyle w:val="FootnoteText"/>
      </w:pPr>
      <w:r>
        <w:rPr>
          <w:rStyle w:val="FootnoteReference"/>
        </w:rPr>
        <w:footnoteRef/>
      </w:r>
      <w:r>
        <w:t xml:space="preserve"> </w:t>
      </w:r>
      <w:hyperlink r:id="rId8" w:history="1">
        <w:r w:rsidRPr="005932FC">
          <w:rPr>
            <w:rStyle w:val="Hyperlink"/>
          </w:rPr>
          <w:t>NDIS outcomes and goals</w:t>
        </w:r>
      </w:hyperlink>
      <w:r>
        <w:t xml:space="preserve"> </w:t>
      </w:r>
    </w:p>
  </w:footnote>
  <w:footnote w:id="35">
    <w:p w14:paraId="6F081BAC" w14:textId="77777777" w:rsidR="00583012" w:rsidRDefault="00583012" w:rsidP="00BE242A">
      <w:pPr>
        <w:pStyle w:val="FootnoteText"/>
        <w:rPr>
          <w:rFonts w:eastAsia="Yu Mincho" w:cs="Arial"/>
        </w:rPr>
      </w:pPr>
      <w:r w:rsidRPr="11461FFC">
        <w:rPr>
          <w:rStyle w:val="FootnoteReference"/>
          <w:rFonts w:eastAsia="Yu Mincho" w:cs="Arial"/>
        </w:rPr>
        <w:footnoteRef/>
      </w:r>
      <w:r w:rsidRPr="11461FFC">
        <w:rPr>
          <w:rFonts w:eastAsia="Yu Mincho" w:cs="Arial"/>
        </w:rPr>
        <w:t xml:space="preserve"> </w:t>
      </w:r>
      <w:hyperlink r:id="rId9">
        <w:r w:rsidRPr="11461FFC">
          <w:rPr>
            <w:rStyle w:val="Hyperlink"/>
          </w:rPr>
          <w:t>Service charter | NDIS</w:t>
        </w:r>
      </w:hyperlink>
    </w:p>
  </w:footnote>
  <w:footnote w:id="36">
    <w:p w14:paraId="251A83B5" w14:textId="77777777" w:rsidR="00583012" w:rsidRDefault="00583012" w:rsidP="00BE242A">
      <w:pPr>
        <w:pStyle w:val="FootnoteText"/>
        <w:rPr>
          <w:rFonts w:eastAsia="Yu Mincho" w:cs="Arial"/>
        </w:rPr>
      </w:pPr>
      <w:r w:rsidRPr="11461FFC">
        <w:rPr>
          <w:rStyle w:val="FootnoteReference"/>
          <w:rFonts w:eastAsia="Yu Mincho" w:cs="Arial"/>
        </w:rPr>
        <w:footnoteRef/>
      </w:r>
      <w:r w:rsidRPr="11461FFC">
        <w:rPr>
          <w:rFonts w:eastAsia="Yu Mincho" w:cs="Arial"/>
        </w:rPr>
        <w:t xml:space="preserve"> </w:t>
      </w:r>
      <w:hyperlink r:id="rId10">
        <w:r w:rsidRPr="11461FFC">
          <w:rPr>
            <w:rStyle w:val="Hyperlink"/>
          </w:rPr>
          <w:t>Participant Service Improvement Plan | NDIS</w:t>
        </w:r>
      </w:hyperlink>
    </w:p>
  </w:footnote>
  <w:footnote w:id="37">
    <w:p w14:paraId="053B71BA" w14:textId="77777777" w:rsidR="00583012" w:rsidRDefault="00583012" w:rsidP="00BE242A">
      <w:pPr>
        <w:pStyle w:val="FootnoteText"/>
      </w:pPr>
      <w:r>
        <w:rPr>
          <w:rStyle w:val="FootnoteReference"/>
        </w:rPr>
        <w:footnoteRef/>
      </w:r>
      <w:r>
        <w:t xml:space="preserve"> </w:t>
      </w:r>
      <w:hyperlink r:id="rId11" w:history="1">
        <w:r w:rsidRPr="00B65393">
          <w:rPr>
            <w:rStyle w:val="Hyperlink"/>
          </w:rPr>
          <w:t>NDIA Data and Insights Website</w:t>
        </w:r>
      </w:hyperlink>
    </w:p>
  </w:footnote>
  <w:footnote w:id="38">
    <w:p w14:paraId="54869E2C" w14:textId="77777777" w:rsidR="00583012" w:rsidRDefault="00583012">
      <w:pPr>
        <w:pStyle w:val="FootnoteText"/>
      </w:pPr>
      <w:r>
        <w:rPr>
          <w:rStyle w:val="FootnoteReference"/>
        </w:rPr>
        <w:footnoteRef/>
      </w:r>
      <w:r>
        <w:t xml:space="preserve"> </w:t>
      </w:r>
      <w:r w:rsidRPr="50E79919">
        <w:rPr>
          <w:rFonts w:eastAsia="Yu Mincho" w:cs="Arial"/>
        </w:rPr>
        <w:t>Under the NDIS legislation amendments, from 1 July 2022 ’plan review’ will be referred to as ’plan reassessment’. An internal review of decisions at the request of a participant will continue to use the word ’review’. The terminology as it applied up until 30 June 2022 is used in this report.</w:t>
      </w:r>
    </w:p>
  </w:footnote>
  <w:footnote w:id="39">
    <w:p w14:paraId="4B6EE144" w14:textId="77777777" w:rsidR="00583012" w:rsidRPr="00351D79" w:rsidRDefault="00583012" w:rsidP="00E315E1">
      <w:pPr>
        <w:pStyle w:val="FootnoteText"/>
      </w:pPr>
      <w:r w:rsidRPr="00923CCE">
        <w:rPr>
          <w:rStyle w:val="FootnoteReference"/>
        </w:rPr>
        <w:footnoteRef/>
      </w:r>
      <w:r w:rsidRPr="00923CCE">
        <w:t xml:space="preserve"> </w:t>
      </w:r>
      <w:r>
        <w:rPr>
          <w:rFonts w:cs="Arial"/>
          <w:szCs w:val="22"/>
        </w:rPr>
        <w:t>At</w:t>
      </w:r>
      <w:r w:rsidRPr="00923CCE">
        <w:rPr>
          <w:rFonts w:cs="Arial"/>
          <w:szCs w:val="22"/>
        </w:rPr>
        <w:t xml:space="preserve"> 30 June 202</w:t>
      </w:r>
      <w:r>
        <w:rPr>
          <w:rFonts w:cs="Arial"/>
          <w:szCs w:val="22"/>
        </w:rPr>
        <w:t>2</w:t>
      </w:r>
      <w:r w:rsidRPr="00923CCE">
        <w:rPr>
          <w:rFonts w:cs="Arial"/>
          <w:szCs w:val="22"/>
        </w:rPr>
        <w:t xml:space="preserve">, it is estimated that </w:t>
      </w:r>
      <w:r>
        <w:rPr>
          <w:rFonts w:cs="Arial"/>
          <w:szCs w:val="22"/>
        </w:rPr>
        <w:t>2</w:t>
      </w:r>
      <w:r w:rsidRPr="00923CCE">
        <w:rPr>
          <w:rFonts w:cs="Arial"/>
          <w:szCs w:val="22"/>
        </w:rPr>
        <w:t>% of participants who have ever had an approved plan have a missing or default level of function.</w:t>
      </w:r>
    </w:p>
  </w:footnote>
  <w:footnote w:id="40">
    <w:p w14:paraId="77C4BB07" w14:textId="77777777" w:rsidR="00583012" w:rsidRPr="00A233A2" w:rsidRDefault="00583012" w:rsidP="00E315E1">
      <w:pPr>
        <w:pStyle w:val="FootnoteText"/>
      </w:pPr>
      <w:r>
        <w:rPr>
          <w:rStyle w:val="FootnoteReference"/>
        </w:rPr>
        <w:footnoteRef/>
      </w:r>
      <w:r>
        <w:t xml:space="preserve"> SAP is a software company that makes enterprise software. Also known as </w:t>
      </w:r>
      <w:r w:rsidRPr="002708E6">
        <w:t>Systems, Applications and Products</w:t>
      </w:r>
      <w:r>
        <w:t xml:space="preserve"> in Data Processing.</w:t>
      </w:r>
    </w:p>
  </w:footnote>
  <w:footnote w:id="41">
    <w:p w14:paraId="5147E6C4" w14:textId="77777777" w:rsidR="00583012" w:rsidRPr="006309AA" w:rsidRDefault="00583012" w:rsidP="00886760">
      <w:pPr>
        <w:pStyle w:val="FootnoteText"/>
        <w:rPr>
          <w:rFonts w:cs="Arial"/>
          <w:sz w:val="19"/>
          <w:szCs w:val="19"/>
        </w:rPr>
      </w:pPr>
      <w:r w:rsidRPr="006309AA">
        <w:rPr>
          <w:rStyle w:val="FootnoteReference"/>
          <w:rFonts w:cs="Arial"/>
          <w:sz w:val="19"/>
          <w:szCs w:val="19"/>
        </w:rPr>
        <w:footnoteRef/>
      </w:r>
      <w:r w:rsidRPr="006309AA">
        <w:rPr>
          <w:rFonts w:cs="Arial"/>
          <w:sz w:val="19"/>
          <w:szCs w:val="19"/>
        </w:rPr>
        <w:t xml:space="preserve"> Participant cohorts </w:t>
      </w:r>
      <w:r>
        <w:rPr>
          <w:rFonts w:cs="Arial"/>
          <w:sz w:val="19"/>
          <w:szCs w:val="19"/>
        </w:rPr>
        <w:t xml:space="preserve">are </w:t>
      </w:r>
      <w:r w:rsidRPr="006309AA">
        <w:rPr>
          <w:rFonts w:cs="Arial"/>
          <w:sz w:val="19"/>
          <w:szCs w:val="19"/>
        </w:rPr>
        <w:t>based on age, primary disability type, recorded level of function, gender, whether a participant is in supported independent living arrangements, and duration in the Scheme.</w:t>
      </w:r>
    </w:p>
  </w:footnote>
  <w:footnote w:id="42">
    <w:p w14:paraId="4E6CC458" w14:textId="77777777" w:rsidR="00583012" w:rsidRDefault="00583012">
      <w:pPr>
        <w:pStyle w:val="FootnoteText"/>
      </w:pPr>
      <w:r>
        <w:rPr>
          <w:rStyle w:val="FootnoteReference"/>
        </w:rPr>
        <w:footnoteRef/>
      </w:r>
      <w:r>
        <w:t xml:space="preserve"> </w:t>
      </w:r>
      <w:r>
        <w:rPr>
          <w:rFonts w:cs="Arial"/>
          <w:color w:val="202124"/>
          <w:shd w:val="clear" w:color="auto" w:fill="FFFFFF"/>
        </w:rPr>
        <w:t>A stochastic model is </w:t>
      </w:r>
      <w:r>
        <w:rPr>
          <w:rFonts w:cs="Arial"/>
          <w:bCs/>
          <w:color w:val="202124"/>
          <w:shd w:val="clear" w:color="auto" w:fill="FFFFFF"/>
        </w:rPr>
        <w:t>used to</w:t>
      </w:r>
      <w:r w:rsidRPr="0065210D">
        <w:rPr>
          <w:rFonts w:cs="Arial"/>
          <w:bCs/>
          <w:color w:val="202124"/>
          <w:shd w:val="clear" w:color="auto" w:fill="FFFFFF"/>
        </w:rPr>
        <w:t xml:space="preserve"> estimat</w:t>
      </w:r>
      <w:r>
        <w:rPr>
          <w:rFonts w:cs="Arial"/>
          <w:bCs/>
          <w:color w:val="202124"/>
          <w:shd w:val="clear" w:color="auto" w:fill="FFFFFF"/>
        </w:rPr>
        <w:t>e</w:t>
      </w:r>
      <w:r w:rsidRPr="0065210D">
        <w:rPr>
          <w:rFonts w:cs="Arial"/>
          <w:bCs/>
          <w:color w:val="202124"/>
          <w:shd w:val="clear" w:color="auto" w:fill="FFFFFF"/>
        </w:rPr>
        <w:t xml:space="preserve"> probability distributions of potential outcomes by allowing for random variation in one or more inputs over time</w:t>
      </w:r>
      <w:r>
        <w:rPr>
          <w:rFonts w:cs="Arial"/>
          <w:color w:val="202124"/>
          <w:shd w:val="clear" w:color="auto" w:fill="FFFFFF"/>
        </w:rPr>
        <w:t>. In this case, the inputs which are varied are the assumptions and risks which are most uncertain in the projection of Scheme expenses.</w:t>
      </w:r>
    </w:p>
  </w:footnote>
  <w:footnote w:id="43">
    <w:p w14:paraId="3DB54753" w14:textId="77777777" w:rsidR="00583012" w:rsidRDefault="00583012" w:rsidP="00804520">
      <w:pPr>
        <w:pStyle w:val="FootnoteText"/>
      </w:pPr>
      <w:r>
        <w:rPr>
          <w:rStyle w:val="FootnoteReference"/>
        </w:rPr>
        <w:footnoteRef/>
      </w:r>
      <w:r>
        <w:t xml:space="preserve"> P</w:t>
      </w:r>
      <w:r w:rsidRPr="00EF2594">
        <w:t>articipants who acquired their disability some years prior who only accessed the Scheme recently (for various reasons)</w:t>
      </w:r>
      <w:r>
        <w:t>.</w:t>
      </w:r>
    </w:p>
  </w:footnote>
  <w:footnote w:id="44">
    <w:p w14:paraId="6E7E0F72" w14:textId="77777777" w:rsidR="00583012" w:rsidRPr="0072428B" w:rsidRDefault="00583012" w:rsidP="002477C3">
      <w:pPr>
        <w:pStyle w:val="FootnoteText"/>
      </w:pPr>
      <w:r>
        <w:rPr>
          <w:rStyle w:val="FootnoteReference"/>
        </w:rPr>
        <w:footnoteRef/>
      </w:r>
      <w:r>
        <w:t xml:space="preserve"> </w:t>
      </w:r>
      <w:r w:rsidRPr="00F43C49">
        <w:t xml:space="preserve">The </w:t>
      </w:r>
      <w:r>
        <w:t xml:space="preserve">estimated future date at which </w:t>
      </w:r>
      <w:r w:rsidRPr="00F43C49">
        <w:t xml:space="preserve">point in time where participant intake primarily represents </w:t>
      </w:r>
      <w:r>
        <w:t>new incidence to disability (in other words when all participants with previously unmet needs have entered the Scheme).</w:t>
      </w:r>
    </w:p>
  </w:footnote>
  <w:footnote w:id="45">
    <w:p w14:paraId="75236F83" w14:textId="77777777" w:rsidR="00583012" w:rsidRPr="00031A84" w:rsidRDefault="00583012" w:rsidP="00886760">
      <w:pPr>
        <w:pStyle w:val="FootnoteText"/>
      </w:pPr>
      <w:r>
        <w:rPr>
          <w:rStyle w:val="FootnoteReference"/>
        </w:rPr>
        <w:footnoteRef/>
      </w:r>
      <w:r>
        <w:t xml:space="preserve"> </w:t>
      </w:r>
      <w:r w:rsidRPr="000C309D">
        <w:t>Plan budgets represent the dollar amount of support that has been made available to participants in their plan. The proportion of plan budgets which are used is referred to as the ‘utilisation rate’</w:t>
      </w:r>
      <w:r>
        <w:t xml:space="preserve">, and the dollar amount of </w:t>
      </w:r>
      <w:r w:rsidRPr="00031A84">
        <w:t xml:space="preserve">the plan budget used is referred to as ‘payments’. Payments are modelled as this is the actual cost to the Scheme. </w:t>
      </w:r>
    </w:p>
  </w:footnote>
  <w:footnote w:id="46">
    <w:p w14:paraId="6B79F264" w14:textId="77777777" w:rsidR="00583012" w:rsidRDefault="00583012" w:rsidP="00886760">
      <w:pPr>
        <w:pStyle w:val="FootnoteText"/>
      </w:pPr>
      <w:r w:rsidRPr="00031A84">
        <w:rPr>
          <w:rStyle w:val="FootnoteReference"/>
        </w:rPr>
        <w:footnoteRef/>
      </w:r>
      <w:r w:rsidRPr="00031A84">
        <w:t xml:space="preserve"> The 15 support categories include four core support categories (Transport, Consumables, Daily Activities and Social Community Civic), two capital support categories (Assistive Technology and Home Modifications) and nine cap</w:t>
      </w:r>
      <w:r>
        <w:t>acity</w:t>
      </w:r>
      <w:r w:rsidRPr="00031A84">
        <w:t xml:space="preserve"> building (CB) support categories (Support Coordination, CB Relationships, CB Lifelong</w:t>
      </w:r>
      <w:r>
        <w:t xml:space="preserve"> Learning, CB Home Living, CB Health and Wellbeing, CB Employment, CB Daily Activities, CB Choice and Control and CB Social Community Civic).</w:t>
      </w:r>
    </w:p>
  </w:footnote>
  <w:footnote w:id="47">
    <w:p w14:paraId="4054E5A2" w14:textId="77777777" w:rsidR="00583012" w:rsidRPr="00D80E22" w:rsidRDefault="00583012" w:rsidP="008D1F3D">
      <w:pPr>
        <w:pStyle w:val="FootnoteText"/>
      </w:pPr>
      <w:r>
        <w:rPr>
          <w:rStyle w:val="FootnoteReference"/>
        </w:rPr>
        <w:footnoteRef/>
      </w:r>
      <w:r>
        <w:t xml:space="preserve"> The expected number of participants in this comparison is based on the estimates from the previous review.</w:t>
      </w:r>
    </w:p>
  </w:footnote>
  <w:footnote w:id="48">
    <w:p w14:paraId="13FA42B5" w14:textId="77777777" w:rsidR="00583012" w:rsidRDefault="00583012" w:rsidP="0093332E">
      <w:pPr>
        <w:pStyle w:val="FootnoteText"/>
      </w:pPr>
      <w:r>
        <w:rPr>
          <w:rStyle w:val="FootnoteReference"/>
        </w:rPr>
        <w:footnoteRef/>
      </w:r>
      <w:r>
        <w:t xml:space="preserve"> </w:t>
      </w:r>
      <w:r w:rsidRPr="00702847">
        <w:t xml:space="preserve">As a result, the actual number </w:t>
      </w:r>
      <w:r>
        <w:t>at</w:t>
      </w:r>
      <w:r w:rsidRPr="00702847">
        <w:t xml:space="preserve"> June 2021, as well as the projected number (from the previous review) of participants with SIL at both June 2021 and 2022 have been adjusted downwards by 778 to reflect the updated identification method implemented in May 2022. There is no change to the difference between the actual and expected experience as both actual and expected for both June 2021 and 2022 were adjusted by the same amount.</w:t>
      </w:r>
    </w:p>
  </w:footnote>
  <w:footnote w:id="49">
    <w:p w14:paraId="02DDDED8" w14:textId="77777777" w:rsidR="00583012" w:rsidRDefault="00583012" w:rsidP="0093332E">
      <w:pPr>
        <w:pStyle w:val="FootnoteText"/>
      </w:pPr>
      <w:r>
        <w:rPr>
          <w:rStyle w:val="FootnoteReference"/>
        </w:rPr>
        <w:footnoteRef/>
      </w:r>
      <w:r>
        <w:t xml:space="preserve"> </w:t>
      </w:r>
      <w:r w:rsidRPr="008D0FEC">
        <w:t xml:space="preserve">For further information, refer to </w:t>
      </w:r>
      <w:hyperlink r:id="rId12" w:history="1">
        <w:r w:rsidRPr="00537CFA">
          <w:rPr>
            <w:rStyle w:val="Hyperlink"/>
          </w:rPr>
          <w:t>Addendum 1 to NDIA’s Quarterly Report to Disability Ministers at 30 June 2021</w:t>
        </w:r>
      </w:hyperlink>
    </w:p>
  </w:footnote>
  <w:footnote w:id="50">
    <w:p w14:paraId="14BAA3B8" w14:textId="77777777" w:rsidR="00583012" w:rsidRDefault="00583012" w:rsidP="0093332E">
      <w:pPr>
        <w:pStyle w:val="FootnoteText"/>
      </w:pPr>
      <w:r>
        <w:rPr>
          <w:rStyle w:val="FootnoteReference"/>
        </w:rPr>
        <w:footnoteRef/>
      </w:r>
      <w:r>
        <w:t xml:space="preserve"> This </w:t>
      </w:r>
      <w:r w:rsidRPr="008D0FEC">
        <w:t>chart only considers participants that were active at 30 June 2017. For further information, refer to Addendum 1 to NDIA’s Quarterly Report to Disability Ministers at 30 June 2021</w:t>
      </w:r>
      <w:r>
        <w:t xml:space="preserve">: </w:t>
      </w:r>
      <w:r w:rsidRPr="006A3718">
        <w:t>https://www.ndis.gov.au/media/3476/download?attachment</w:t>
      </w:r>
    </w:p>
  </w:footnote>
  <w:footnote w:id="51">
    <w:p w14:paraId="57277381" w14:textId="77777777" w:rsidR="00583012" w:rsidRDefault="00583012" w:rsidP="000878B6">
      <w:pPr>
        <w:pStyle w:val="FootnoteText"/>
      </w:pPr>
      <w:r>
        <w:rPr>
          <w:rStyle w:val="FootnoteReference"/>
        </w:rPr>
        <w:footnoteRef/>
      </w:r>
      <w:r>
        <w:t xml:space="preserve"> The number of new SIL participants shown in 2020-21 implicitly includes a reduction of 778 participants due to a reclassification of certain participants from SIL to non-SIL. </w:t>
      </w:r>
    </w:p>
  </w:footnote>
  <w:footnote w:id="52">
    <w:p w14:paraId="1F870C68" w14:textId="77777777" w:rsidR="00583012" w:rsidRDefault="00583012" w:rsidP="0093332E">
      <w:pPr>
        <w:pStyle w:val="FootnoteText"/>
      </w:pPr>
      <w:r>
        <w:rPr>
          <w:rStyle w:val="FootnoteReference"/>
        </w:rPr>
        <w:footnoteRef/>
      </w:r>
      <w:r>
        <w:t xml:space="preserve"> T</w:t>
      </w:r>
      <w:r w:rsidRPr="00E02F3C">
        <w:t xml:space="preserve">he negative </w:t>
      </w:r>
      <w:r>
        <w:t xml:space="preserve">expected </w:t>
      </w:r>
      <w:r w:rsidRPr="00E02F3C">
        <w:t xml:space="preserve">net increase for ages 45 to 54 is the result of offsetting movements due to age increases, </w:t>
      </w:r>
      <w:r>
        <w:t xml:space="preserve">leaving, dying </w:t>
      </w:r>
      <w:r w:rsidRPr="00E02F3C">
        <w:t>and transitions into SIL</w:t>
      </w:r>
      <w:r>
        <w:t xml:space="preserve"> arrangements</w:t>
      </w:r>
      <w:r w:rsidRPr="00E02F3C">
        <w:t>.</w:t>
      </w:r>
    </w:p>
  </w:footnote>
  <w:footnote w:id="53">
    <w:p w14:paraId="1AF3C4E1" w14:textId="77777777" w:rsidR="00583012" w:rsidRPr="00D16790" w:rsidRDefault="00583012" w:rsidP="00D71E73">
      <w:pPr>
        <w:pStyle w:val="FootnoteText"/>
      </w:pPr>
      <w:r>
        <w:rPr>
          <w:rStyle w:val="FootnoteReference"/>
        </w:rPr>
        <w:footnoteRef/>
      </w:r>
      <w:r>
        <w:t xml:space="preserve"> </w:t>
      </w:r>
      <w:r w:rsidRPr="1E2CB30F">
        <w:rPr>
          <w:rFonts w:eastAsia="DengXian" w:cs="Arial"/>
        </w:rPr>
        <w:t>Participation rate refers to the proportion of general population that are NDIS participants.</w:t>
      </w:r>
      <w:r>
        <w:t xml:space="preserve"> Prevalence is defined as the proportion of the general population that have a disability, regardless of whether they are participants of the NDIS.</w:t>
      </w:r>
    </w:p>
  </w:footnote>
  <w:footnote w:id="54">
    <w:p w14:paraId="14D4B013" w14:textId="77777777" w:rsidR="00583012" w:rsidRPr="00A233A2" w:rsidRDefault="00583012" w:rsidP="00D71E73">
      <w:pPr>
        <w:pStyle w:val="FootnoteText"/>
      </w:pPr>
      <w:r>
        <w:rPr>
          <w:rStyle w:val="FootnoteReference"/>
        </w:rPr>
        <w:footnoteRef/>
      </w:r>
      <w:r>
        <w:t xml:space="preserve"> The regions that commenced phasing during the Scheme’s trial and early transition period.</w:t>
      </w:r>
    </w:p>
  </w:footnote>
  <w:footnote w:id="55">
    <w:p w14:paraId="3E73958E" w14:textId="77777777" w:rsidR="00583012" w:rsidRDefault="00583012" w:rsidP="0093332E">
      <w:pPr>
        <w:pStyle w:val="FootnoteText"/>
      </w:pPr>
      <w:r>
        <w:rPr>
          <w:rStyle w:val="FootnoteReference"/>
        </w:rPr>
        <w:footnoteRef/>
      </w:r>
      <w:r>
        <w:t xml:space="preserve"> Time period relates to when the payment was made, rather than when the support was provided.</w:t>
      </w:r>
    </w:p>
  </w:footnote>
  <w:footnote w:id="56">
    <w:p w14:paraId="733D3B74" w14:textId="77777777" w:rsidR="00583012" w:rsidRDefault="00583012" w:rsidP="0093332E">
      <w:pPr>
        <w:pStyle w:val="FootnoteText"/>
      </w:pPr>
      <w:r>
        <w:rPr>
          <w:rStyle w:val="FootnoteReference"/>
        </w:rPr>
        <w:footnoteRef/>
      </w:r>
      <w:r>
        <w:t xml:space="preserve"> Payments on an accrual basis include an expense of $476m for one-off provider payments and $91m for the cost of residential aged care as well as an increase in the allowance for payments yet to be made for services already received.</w:t>
      </w:r>
    </w:p>
  </w:footnote>
  <w:footnote w:id="57">
    <w:p w14:paraId="0F1ECD4D" w14:textId="77777777" w:rsidR="00583012" w:rsidRDefault="00583012">
      <w:pPr>
        <w:pStyle w:val="FootnoteText"/>
      </w:pPr>
      <w:r>
        <w:rPr>
          <w:rStyle w:val="FootnoteReference"/>
        </w:rPr>
        <w:footnoteRef/>
      </w:r>
      <w:r>
        <w:t xml:space="preserve"> Expected payments are based on the 2020-21 AFSR.</w:t>
      </w:r>
    </w:p>
  </w:footnote>
  <w:footnote w:id="58">
    <w:p w14:paraId="2BB6B5B3" w14:textId="77777777" w:rsidR="00583012" w:rsidRDefault="00583012">
      <w:pPr>
        <w:pStyle w:val="FootnoteText"/>
      </w:pPr>
      <w:r>
        <w:rPr>
          <w:rStyle w:val="FootnoteReference"/>
        </w:rPr>
        <w:footnoteRef/>
      </w:r>
      <w:r>
        <w:t xml:space="preserve"> Expected payments are based on the 2020-21 AFSR.</w:t>
      </w:r>
    </w:p>
  </w:footnote>
  <w:footnote w:id="59">
    <w:p w14:paraId="1B656CBF" w14:textId="77777777" w:rsidR="00583012" w:rsidRDefault="00583012" w:rsidP="0093332E">
      <w:pPr>
        <w:pStyle w:val="FootnoteText"/>
      </w:pPr>
      <w:r>
        <w:rPr>
          <w:rStyle w:val="FootnoteReference"/>
        </w:rPr>
        <w:footnoteRef/>
      </w:r>
      <w:r>
        <w:t xml:space="preserve"> These characteristics are </w:t>
      </w:r>
      <w:r w:rsidRPr="00562F0B">
        <w:t>first or subsequent year in the Scheme, SIL status, age group, level of function and primary disability</w:t>
      </w:r>
      <w:r>
        <w:t>.</w:t>
      </w:r>
    </w:p>
  </w:footnote>
  <w:footnote w:id="60">
    <w:p w14:paraId="1D099143" w14:textId="77777777" w:rsidR="00583012" w:rsidRDefault="00583012" w:rsidP="0093332E">
      <w:pPr>
        <w:pStyle w:val="FootnoteText"/>
      </w:pPr>
      <w:r>
        <w:rPr>
          <w:rStyle w:val="FootnoteReference"/>
        </w:rPr>
        <w:footnoteRef/>
      </w:r>
      <w:r>
        <w:t xml:space="preserve"> </w:t>
      </w:r>
      <w:r w:rsidRPr="00DC5E78">
        <w:rPr>
          <w:lang w:val="en-US"/>
        </w:rPr>
        <w:t>This impact is measured by comparing average annualised payments on a mix-adjusted and unadjusted basis.</w:t>
      </w:r>
      <w:r w:rsidRPr="002A721A">
        <w:t xml:space="preserve"> </w:t>
      </w:r>
      <w:r>
        <w:t>Mix-adjusting standardises expected payments to the actual mix of participant characteristics observed over the financial year.</w:t>
      </w:r>
    </w:p>
  </w:footnote>
  <w:footnote w:id="61">
    <w:p w14:paraId="131681D2" w14:textId="77777777" w:rsidR="00583012" w:rsidRDefault="00583012" w:rsidP="0093332E">
      <w:pPr>
        <w:pStyle w:val="FootnoteText"/>
      </w:pPr>
      <w:r>
        <w:rPr>
          <w:rStyle w:val="FootnoteReference"/>
        </w:rPr>
        <w:footnoteRef/>
      </w:r>
      <w:r>
        <w:t xml:space="preserve"> An auto regressive integrated moving average (ARIMA) model is a forecasting algorithm that predicts future values of a time series variable based on its past values.</w:t>
      </w:r>
    </w:p>
  </w:footnote>
  <w:footnote w:id="62">
    <w:p w14:paraId="617F1DE5" w14:textId="77777777" w:rsidR="00583012" w:rsidRDefault="00583012" w:rsidP="00E07C5F">
      <w:pPr>
        <w:pStyle w:val="FootnoteText"/>
      </w:pPr>
      <w:r>
        <w:rPr>
          <w:rStyle w:val="FootnoteReference"/>
        </w:rPr>
        <w:footnoteRef/>
      </w:r>
      <w:r>
        <w:t xml:space="preserve"> 50</w:t>
      </w:r>
      <w:r w:rsidRPr="00406B02">
        <w:rPr>
          <w:vertAlign w:val="superscript"/>
        </w:rPr>
        <w:t xml:space="preserve">th </w:t>
      </w:r>
      <w:r>
        <w:t>percentile means mid-range of the estimated range and 80</w:t>
      </w:r>
      <w:r w:rsidRPr="00A252B7">
        <w:rPr>
          <w:vertAlign w:val="superscript"/>
        </w:rPr>
        <w:t>th</w:t>
      </w:r>
      <w:r>
        <w:t xml:space="preserve"> percentile means the upper end of the estimated range.</w:t>
      </w:r>
    </w:p>
    <w:p w14:paraId="64AAB467" w14:textId="77777777" w:rsidR="00583012" w:rsidRDefault="00583012" w:rsidP="00E07C5F">
      <w:pPr>
        <w:pStyle w:val="FootnoteText"/>
      </w:pPr>
    </w:p>
  </w:footnote>
  <w:footnote w:id="63">
    <w:p w14:paraId="03D7C7EF" w14:textId="77777777" w:rsidR="00583012" w:rsidRPr="00AF2D4F" w:rsidRDefault="00583012" w:rsidP="0093332E">
      <w:pPr>
        <w:pStyle w:val="FootnoteText"/>
        <w:rPr>
          <w:highlight w:val="darkGray"/>
        </w:rPr>
      </w:pPr>
      <w:r w:rsidRPr="000E6D8A">
        <w:rPr>
          <w:rStyle w:val="FootnoteReference"/>
        </w:rPr>
        <w:footnoteRef/>
      </w:r>
      <w:r w:rsidRPr="000E6D8A">
        <w:t xml:space="preserve"> Average annualised payments have been calculated on a cash basis using the 12 months over each year ending 30 June.</w:t>
      </w:r>
    </w:p>
  </w:footnote>
  <w:footnote w:id="64">
    <w:p w14:paraId="081DE09D" w14:textId="77777777" w:rsidR="00583012" w:rsidRPr="00AF2D4F" w:rsidRDefault="00583012" w:rsidP="0093332E">
      <w:pPr>
        <w:pStyle w:val="FootnoteText"/>
        <w:rPr>
          <w:highlight w:val="darkGray"/>
        </w:rPr>
      </w:pPr>
      <w:r w:rsidRPr="000E6D8A">
        <w:rPr>
          <w:rStyle w:val="FootnoteReference"/>
        </w:rPr>
        <w:footnoteRef/>
      </w:r>
      <w:r w:rsidRPr="000E6D8A">
        <w:t xml:space="preserve"> Average annualised payments have been calculated on a cash basis using the 12 months over each year ending 30 June.</w:t>
      </w:r>
    </w:p>
  </w:footnote>
  <w:footnote w:id="65">
    <w:p w14:paraId="7D3E90C4" w14:textId="77777777" w:rsidR="00583012" w:rsidRDefault="00583012">
      <w:pPr>
        <w:pStyle w:val="FootnoteText"/>
      </w:pPr>
      <w:r>
        <w:rPr>
          <w:rStyle w:val="FootnoteReference"/>
        </w:rPr>
        <w:footnoteRef/>
      </w:r>
      <w:r>
        <w:t xml:space="preserve"> 11% for 25-34, 17% for 35 to 44, 21% for 45-54 and 25% for 55 to 64.</w:t>
      </w:r>
    </w:p>
  </w:footnote>
  <w:footnote w:id="66">
    <w:p w14:paraId="6444B612" w14:textId="77777777" w:rsidR="00583012" w:rsidRPr="00AF2D4F" w:rsidRDefault="00583012" w:rsidP="0093332E">
      <w:pPr>
        <w:pStyle w:val="FootnoteText"/>
        <w:rPr>
          <w:highlight w:val="darkGray"/>
        </w:rPr>
      </w:pPr>
      <w:r w:rsidRPr="006A6180">
        <w:rPr>
          <w:rStyle w:val="FootnoteReference"/>
        </w:rPr>
        <w:footnoteRef/>
      </w:r>
      <w:r w:rsidRPr="006A6180">
        <w:rPr>
          <w:vertAlign w:val="superscript"/>
        </w:rPr>
        <w:t xml:space="preserve"> </w:t>
      </w:r>
      <w:r w:rsidRPr="00D90406">
        <w:t>Average annualised payments have been calculated on a cash basis using the 12 months over each year ending 30 June.</w:t>
      </w:r>
    </w:p>
  </w:footnote>
  <w:footnote w:id="67">
    <w:p w14:paraId="3B09CEF2" w14:textId="77777777" w:rsidR="00583012" w:rsidRDefault="00583012" w:rsidP="0093332E">
      <w:pPr>
        <w:pStyle w:val="FootnoteText"/>
      </w:pPr>
      <w:r>
        <w:rPr>
          <w:rStyle w:val="FootnoteReference"/>
        </w:rPr>
        <w:footnoteRef/>
      </w:r>
      <w:r>
        <w:t xml:space="preserve"> </w:t>
      </w:r>
      <w:r w:rsidRPr="00D90406">
        <w:t>The mix-adjusted average payment shows the average payment for each cohort on a comparable basis, i.e., based on a consistent mix of participants by age, disability type and level of function. The variance in average payment between all participants and recent entrants therefore relates purely to lower payments per participant, and not due to any change in mix</w:t>
      </w:r>
      <w:r>
        <w:t xml:space="preserve">. </w:t>
      </w:r>
    </w:p>
  </w:footnote>
  <w:footnote w:id="68">
    <w:p w14:paraId="0254DDCE" w14:textId="77777777" w:rsidR="00583012" w:rsidRDefault="00583012" w:rsidP="0093332E">
      <w:pPr>
        <w:pStyle w:val="FootnoteText"/>
      </w:pPr>
      <w:r>
        <w:rPr>
          <w:rStyle w:val="FootnoteReference"/>
        </w:rPr>
        <w:footnoteRef/>
      </w:r>
      <w:r>
        <w:t xml:space="preserve"> Change in mix refers to the impact on inflation of changes in the profile of the participant population (i.e., more new entrants in cohorts with lower expected payments per participant would lead to a reduction). In this table, change in mix excludes the inflation impact of change in reported level of function over time. This impact is included in additional inflation.</w:t>
      </w:r>
    </w:p>
  </w:footnote>
  <w:footnote w:id="69">
    <w:p w14:paraId="0CCDCAAE" w14:textId="77777777" w:rsidR="00583012" w:rsidRPr="00C53CDC" w:rsidRDefault="00583012" w:rsidP="0093332E">
      <w:pPr>
        <w:pStyle w:val="FootnoteText"/>
        <w:rPr>
          <w:rFonts w:cs="Arial"/>
        </w:rPr>
      </w:pPr>
      <w:r w:rsidRPr="006309AA">
        <w:rPr>
          <w:rStyle w:val="FootnoteReference"/>
          <w:rFonts w:cs="Arial"/>
          <w:sz w:val="19"/>
          <w:szCs w:val="19"/>
        </w:rPr>
        <w:footnoteRef/>
      </w:r>
      <w:r w:rsidRPr="006309AA">
        <w:rPr>
          <w:rFonts w:cs="Arial"/>
          <w:sz w:val="19"/>
          <w:szCs w:val="19"/>
        </w:rPr>
        <w:t xml:space="preserve"> </w:t>
      </w:r>
      <w:r w:rsidRPr="00F830E6">
        <w:rPr>
          <w:rFonts w:cs="Arial"/>
        </w:rPr>
        <w:t xml:space="preserve">Additional </w:t>
      </w:r>
      <w:r w:rsidRPr="00C53CDC">
        <w:rPr>
          <w:rFonts w:cs="Arial"/>
        </w:rPr>
        <w:t xml:space="preserve">inflation refers to inflation other than normal inflation. Normal inflation refers to the increases in the prices paid for supports and reflects both average increases to wage inflation and CPI over the period analysed. Additional increases in prices paid for NDIS supports due to changes in price limits over time are allowed for in the ‘Pricing impacts’ item and not in </w:t>
      </w:r>
      <w:r>
        <w:rPr>
          <w:rFonts w:cs="Arial"/>
        </w:rPr>
        <w:t xml:space="preserve">additional </w:t>
      </w:r>
      <w:r w:rsidRPr="00C53CDC">
        <w:rPr>
          <w:rFonts w:cs="Arial"/>
        </w:rPr>
        <w:t xml:space="preserve">inflation. Inflation due to change in mix has also been excluded from </w:t>
      </w:r>
      <w:r>
        <w:rPr>
          <w:rFonts w:cs="Arial"/>
        </w:rPr>
        <w:t>additional</w:t>
      </w:r>
      <w:r w:rsidRPr="00C53CDC">
        <w:rPr>
          <w:rFonts w:cs="Arial"/>
        </w:rPr>
        <w:t xml:space="preserve"> inflation as it is accounted for in the projection model.</w:t>
      </w:r>
    </w:p>
  </w:footnote>
  <w:footnote w:id="70">
    <w:p w14:paraId="4DE53A72" w14:textId="77777777" w:rsidR="00583012" w:rsidRPr="00C53CDC" w:rsidRDefault="00583012" w:rsidP="002B79D9">
      <w:pPr>
        <w:pStyle w:val="FootnoteText"/>
        <w:rPr>
          <w:rFonts w:cs="Arial"/>
        </w:rPr>
      </w:pPr>
      <w:r w:rsidRPr="00C53CDC">
        <w:rPr>
          <w:rStyle w:val="FootnoteReference"/>
          <w:rFonts w:cs="Arial"/>
        </w:rPr>
        <w:footnoteRef/>
      </w:r>
      <w:r w:rsidRPr="00C53CDC">
        <w:rPr>
          <w:rFonts w:cs="Arial"/>
        </w:rPr>
        <w:t xml:space="preserve"> The results in this table are calculated as rates of inflation of average payments for the given support category or categories, whereas the results numbered </w:t>
      </w:r>
      <w:r>
        <w:rPr>
          <w:rFonts w:cs="Arial"/>
        </w:rPr>
        <w:t>3-5</w:t>
      </w:r>
      <w:r w:rsidRPr="00C53CDC">
        <w:rPr>
          <w:rFonts w:cs="Arial"/>
        </w:rPr>
        <w:t xml:space="preserve"> in the previous table are calculated as the contribution of the given support category to the overall inflation rate. </w:t>
      </w:r>
    </w:p>
  </w:footnote>
  <w:footnote w:id="71">
    <w:p w14:paraId="6E0011F3" w14:textId="77777777" w:rsidR="00583012" w:rsidRDefault="00583012" w:rsidP="0093332E">
      <w:pPr>
        <w:pStyle w:val="FootnoteText"/>
      </w:pPr>
      <w:r w:rsidRPr="00DB611D">
        <w:rPr>
          <w:rStyle w:val="FootnoteReference"/>
        </w:rPr>
        <w:footnoteRef/>
      </w:r>
      <w:r w:rsidRPr="00DB611D">
        <w:t xml:space="preserve"> </w:t>
      </w:r>
      <w:r w:rsidRPr="00C53CDC">
        <w:rPr>
          <w:rFonts w:cs="Arial"/>
        </w:rPr>
        <w:t>By types of support, price increases at 1 July 2022 consist of 9.05% for attendant care (mainly core daily activities and social, community and civic participation), 5.1% for transport, consumables and capital items, and 0% for Therapy and other capacity building supports.</w:t>
      </w:r>
    </w:p>
  </w:footnote>
  <w:footnote w:id="72">
    <w:p w14:paraId="13BD9370" w14:textId="77777777" w:rsidR="00583012" w:rsidRPr="006309AA" w:rsidRDefault="00583012" w:rsidP="0093332E">
      <w:pPr>
        <w:pStyle w:val="FootnoteText"/>
        <w:rPr>
          <w:rFonts w:cs="Arial"/>
          <w:sz w:val="19"/>
          <w:szCs w:val="19"/>
        </w:rPr>
      </w:pPr>
      <w:r w:rsidRPr="006309AA">
        <w:rPr>
          <w:rStyle w:val="FootnoteReference"/>
          <w:rFonts w:cs="Arial"/>
          <w:sz w:val="19"/>
          <w:szCs w:val="19"/>
        </w:rPr>
        <w:footnoteRef/>
      </w:r>
      <w:r w:rsidRPr="006309AA">
        <w:rPr>
          <w:rFonts w:cs="Arial"/>
          <w:sz w:val="19"/>
          <w:szCs w:val="19"/>
        </w:rPr>
        <w:t xml:space="preserve"> The reduced average annualised </w:t>
      </w:r>
      <w:r>
        <w:rPr>
          <w:rFonts w:cs="Arial"/>
          <w:sz w:val="19"/>
          <w:szCs w:val="19"/>
        </w:rPr>
        <w:t>payment</w:t>
      </w:r>
      <w:r w:rsidRPr="006309AA">
        <w:rPr>
          <w:rFonts w:cs="Arial"/>
          <w:sz w:val="19"/>
          <w:szCs w:val="19"/>
        </w:rPr>
        <w:t xml:space="preserve"> is anticipated in the AFSR projection model due to the relatively higher number of children assumed to enter the Scheme over the period and the entry of participants with a previously unmet need </w:t>
      </w:r>
      <w:r>
        <w:rPr>
          <w:rFonts w:cs="Arial"/>
          <w:sz w:val="19"/>
          <w:szCs w:val="19"/>
        </w:rPr>
        <w:t>for</w:t>
      </w:r>
      <w:r w:rsidRPr="006309AA">
        <w:rPr>
          <w:rFonts w:cs="Arial"/>
          <w:sz w:val="19"/>
          <w:szCs w:val="19"/>
        </w:rPr>
        <w:t xml:space="preserve"> funded disability supports who are relatively higher functioning (and hence </w:t>
      </w:r>
      <w:r>
        <w:rPr>
          <w:rFonts w:cs="Arial"/>
          <w:sz w:val="19"/>
          <w:szCs w:val="19"/>
        </w:rPr>
        <w:t xml:space="preserve">have a </w:t>
      </w:r>
      <w:r w:rsidRPr="006309AA">
        <w:rPr>
          <w:rFonts w:cs="Arial"/>
          <w:sz w:val="19"/>
          <w:szCs w:val="19"/>
        </w:rPr>
        <w:t xml:space="preserve">lower </w:t>
      </w:r>
      <w:r>
        <w:rPr>
          <w:rFonts w:cs="Arial"/>
          <w:sz w:val="19"/>
          <w:szCs w:val="19"/>
        </w:rPr>
        <w:t xml:space="preserve">expected </w:t>
      </w:r>
      <w:r w:rsidRPr="006309AA">
        <w:rPr>
          <w:rFonts w:cs="Arial"/>
          <w:sz w:val="19"/>
          <w:szCs w:val="19"/>
        </w:rPr>
        <w:t xml:space="preserve">average </w:t>
      </w:r>
      <w:r>
        <w:rPr>
          <w:rFonts w:cs="Arial"/>
          <w:sz w:val="19"/>
          <w:szCs w:val="19"/>
        </w:rPr>
        <w:t>payment</w:t>
      </w:r>
      <w:r w:rsidRPr="006309AA">
        <w:rPr>
          <w:rFonts w:cs="Arial"/>
          <w:sz w:val="19"/>
          <w:szCs w:val="19"/>
        </w:rPr>
        <w:t>) than those currently in the Scheme</w:t>
      </w:r>
      <w:r>
        <w:rPr>
          <w:rFonts w:cs="Arial"/>
          <w:sz w:val="19"/>
          <w:szCs w:val="19"/>
        </w:rPr>
        <w:t>.</w:t>
      </w:r>
    </w:p>
  </w:footnote>
  <w:footnote w:id="73">
    <w:p w14:paraId="6ACDE269" w14:textId="77777777" w:rsidR="00583012" w:rsidRDefault="00583012" w:rsidP="0093332E">
      <w:pPr>
        <w:pStyle w:val="FootnoteText"/>
      </w:pPr>
      <w:r>
        <w:rPr>
          <w:rStyle w:val="FootnoteReference"/>
        </w:rPr>
        <w:footnoteRef/>
      </w:r>
      <w:r>
        <w:t xml:space="preserve"> </w:t>
      </w:r>
      <w:r w:rsidRPr="00A1376F">
        <w:t>This result was partly driven by plan indexation of approximately 11.9% applied in July 2019 to reflect NDIS price increases.</w:t>
      </w:r>
    </w:p>
  </w:footnote>
  <w:footnote w:id="74">
    <w:p w14:paraId="7773D538" w14:textId="77777777" w:rsidR="00583012" w:rsidRDefault="00583012" w:rsidP="0093332E">
      <w:pPr>
        <w:pStyle w:val="FootnoteText"/>
      </w:pPr>
      <w:r>
        <w:rPr>
          <w:rStyle w:val="FootnoteReference"/>
        </w:rPr>
        <w:footnoteRef/>
      </w:r>
      <w:r>
        <w:t xml:space="preserve"> Total inflation consists of intraplan inflation and interplan inflation. Intraplan inflation refers to a change in plan budget that occurs within a plan between reviews, while interplan inflation refers to a change of plan budget that occurs at plan review. </w:t>
      </w:r>
    </w:p>
  </w:footnote>
  <w:footnote w:id="75">
    <w:p w14:paraId="31C7C7F2" w14:textId="77777777" w:rsidR="00583012" w:rsidRDefault="00583012" w:rsidP="0093332E">
      <w:pPr>
        <w:pStyle w:val="FootnoteText"/>
      </w:pPr>
      <w:r>
        <w:rPr>
          <w:rStyle w:val="FootnoteReference"/>
        </w:rPr>
        <w:footnoteRef/>
      </w:r>
      <w:r>
        <w:t xml:space="preserve"> </w:t>
      </w:r>
      <w:r w:rsidRPr="50E79919">
        <w:rPr>
          <w:rFonts w:eastAsia="Yu Mincho" w:cs="Arial"/>
        </w:rPr>
        <w:t>Under the NDIS legislation amendments, from 1 July 2022 ’plan review’ will be referred to as ’plan reassessment’. An internal review of decisions at the request of a participant will continue to use the word ’review’. The terminology as it applied up until 30 June 2022 is used in this report.</w:t>
      </w:r>
    </w:p>
  </w:footnote>
  <w:footnote w:id="76">
    <w:p w14:paraId="584E5977" w14:textId="77777777" w:rsidR="00583012" w:rsidRDefault="00583012" w:rsidP="0093332E">
      <w:pPr>
        <w:pStyle w:val="FootnoteText"/>
      </w:pPr>
      <w:r>
        <w:rPr>
          <w:rStyle w:val="FootnoteReference"/>
        </w:rPr>
        <w:footnoteRef/>
      </w:r>
      <w:r>
        <w:t xml:space="preserve"> </w:t>
      </w:r>
      <w:hyperlink r:id="rId13" w:history="1">
        <w:r>
          <w:rPr>
            <w:rStyle w:val="Hyperlink"/>
          </w:rPr>
          <w:t>Changing your plan | NDIS</w:t>
        </w:r>
      </w:hyperlink>
    </w:p>
  </w:footnote>
  <w:footnote w:id="77">
    <w:p w14:paraId="50CB202B" w14:textId="77777777" w:rsidR="00583012" w:rsidRDefault="00583012">
      <w:pPr>
        <w:pStyle w:val="FootnoteText"/>
      </w:pPr>
      <w:r>
        <w:rPr>
          <w:rStyle w:val="FootnoteReference"/>
        </w:rPr>
        <w:footnoteRef/>
      </w:r>
      <w:r>
        <w:t xml:space="preserve"> An example is the ACC (Accident Compensation Corporation) in New Zealand (</w:t>
      </w:r>
      <w:r w:rsidRPr="008D3E69">
        <w:t>https://www.acc.co.nz/assets/corporate-documents/3360178450/financial-condition-report-2012.pdf</w:t>
      </w:r>
      <w:r>
        <w:t>).</w:t>
      </w:r>
    </w:p>
  </w:footnote>
  <w:footnote w:id="78">
    <w:p w14:paraId="1B9DE7B7" w14:textId="77777777" w:rsidR="00583012" w:rsidRDefault="00583012" w:rsidP="0093332E">
      <w:pPr>
        <w:pStyle w:val="FootnoteText"/>
      </w:pPr>
      <w:r>
        <w:rPr>
          <w:rStyle w:val="FootnoteReference"/>
        </w:rPr>
        <w:footnoteRef/>
      </w:r>
      <w:r>
        <w:t xml:space="preserve"> The utilisation rates shown are based on payments to date (i.e., payments </w:t>
      </w:r>
      <w:r w:rsidRPr="00B90E7D">
        <w:t>already made</w:t>
      </w:r>
      <w:r>
        <w:t>)</w:t>
      </w:r>
      <w:r w:rsidRPr="00B90E7D">
        <w:t xml:space="preserve"> and plan budgets</w:t>
      </w:r>
      <w:r>
        <w:t xml:space="preserve"> to date</w:t>
      </w:r>
      <w:r w:rsidRPr="00B90E7D">
        <w:t>.</w:t>
      </w:r>
    </w:p>
  </w:footnote>
  <w:footnote w:id="79">
    <w:p w14:paraId="13CF2602" w14:textId="77777777" w:rsidR="00583012" w:rsidRDefault="00583012" w:rsidP="0093332E">
      <w:pPr>
        <w:pStyle w:val="FootnoteText"/>
      </w:pPr>
      <w:r>
        <w:rPr>
          <w:rStyle w:val="FootnoteReference"/>
        </w:rPr>
        <w:footnoteRef/>
      </w:r>
      <w:r>
        <w:t xml:space="preserve"> That is, a utilisation rate of 71% across all plans, in relation to </w:t>
      </w:r>
      <w:r w:rsidRPr="00507602">
        <w:t>Scheme e</w:t>
      </w:r>
      <w:r>
        <w:t>xperience between 1 October 2020</w:t>
      </w:r>
      <w:r w:rsidRPr="00507602">
        <w:t xml:space="preserve"> and 31 March 202</w:t>
      </w:r>
      <w:r>
        <w:t>1 (based on data to 30 June 2021</w:t>
      </w:r>
      <w:r w:rsidRPr="00507602">
        <w:t>)</w:t>
      </w:r>
    </w:p>
  </w:footnote>
  <w:footnote w:id="80">
    <w:p w14:paraId="0CF1DBFE" w14:textId="77777777" w:rsidR="00583012" w:rsidRPr="00C21473" w:rsidRDefault="00583012" w:rsidP="0093332E">
      <w:pPr>
        <w:pStyle w:val="FootnoteText"/>
      </w:pPr>
      <w:r>
        <w:rPr>
          <w:rStyle w:val="FootnoteReference"/>
        </w:rPr>
        <w:footnoteRef/>
      </w:r>
      <w:r>
        <w:t xml:space="preserve"> </w:t>
      </w:r>
      <w:r w:rsidRPr="00C21473">
        <w:t>Utilisation for all plans include both cash and in-kind supports. However, the calculation of utilisation by plan number excludes participants with in-kind supports as it is not possible to accurate separate in-kind payments and plan budgets between plans. Only utilisation of plan budgets between 1</w:t>
      </w:r>
      <w:r>
        <w:t> </w:t>
      </w:r>
      <w:r w:rsidRPr="00C21473">
        <w:t>October 202</w:t>
      </w:r>
      <w:r>
        <w:t>1</w:t>
      </w:r>
      <w:r w:rsidRPr="00C21473">
        <w:t xml:space="preserve"> </w:t>
      </w:r>
      <w:r>
        <w:t>and</w:t>
      </w:r>
      <w:r w:rsidRPr="00C21473">
        <w:t xml:space="preserve"> 31 March 202</w:t>
      </w:r>
      <w:r>
        <w:t>2</w:t>
      </w:r>
      <w:r w:rsidRPr="00C21473">
        <w:t xml:space="preserve"> is shown, as experience in the most recent quarter is still emerging.</w:t>
      </w:r>
    </w:p>
    <w:p w14:paraId="35915AC4" w14:textId="77777777" w:rsidR="00583012" w:rsidRPr="00C21473" w:rsidRDefault="00583012" w:rsidP="0093332E">
      <w:pPr>
        <w:pStyle w:val="FootnoteText"/>
      </w:pPr>
    </w:p>
  </w:footnote>
  <w:footnote w:id="81">
    <w:p w14:paraId="2453F396" w14:textId="77777777" w:rsidR="00583012" w:rsidRDefault="00583012" w:rsidP="00BF7697">
      <w:pPr>
        <w:pStyle w:val="FootnoteText"/>
      </w:pPr>
      <w:r>
        <w:rPr>
          <w:rStyle w:val="FootnoteReference"/>
        </w:rPr>
        <w:footnoteRef/>
      </w:r>
      <w:r>
        <w:t xml:space="preserve"> </w:t>
      </w:r>
      <w:r w:rsidRPr="00F43C49">
        <w:t xml:space="preserve">The </w:t>
      </w:r>
      <w:r>
        <w:t xml:space="preserve">estimated future date at which </w:t>
      </w:r>
      <w:r w:rsidRPr="00F43C49">
        <w:t xml:space="preserve">point in time where participant intake primarily represents </w:t>
      </w:r>
      <w:r>
        <w:t>true new incidence (in other words when all participants with previously unmet needs have entered the Scheme).</w:t>
      </w:r>
      <w:r w:rsidRPr="008458F2">
        <w:t xml:space="preserve"> For this report 30 June 202</w:t>
      </w:r>
      <w:r w:rsidRPr="009E66B2">
        <w:t>4</w:t>
      </w:r>
      <w:r w:rsidRPr="008458F2">
        <w:t xml:space="preserve"> has been assumed.</w:t>
      </w:r>
      <w:r w:rsidRPr="00631BB8">
        <w:t xml:space="preserve"> </w:t>
      </w:r>
    </w:p>
  </w:footnote>
  <w:footnote w:id="82">
    <w:p w14:paraId="43B487ED" w14:textId="77777777" w:rsidR="00583012" w:rsidRDefault="00583012" w:rsidP="00BF7697">
      <w:pPr>
        <w:pStyle w:val="FootnoteText"/>
      </w:pPr>
      <w:r>
        <w:rPr>
          <w:rStyle w:val="FootnoteReference"/>
        </w:rPr>
        <w:footnoteRef/>
      </w:r>
      <w:r>
        <w:t xml:space="preserve"> </w:t>
      </w:r>
      <w:r w:rsidRPr="00AC163C">
        <w:t>The 2020-21 AFSR was adopted in the 2022-23 PBS estimates and therefore reflects the most recent budget estimates. Hence, no separate comparison with the PBS is shown.</w:t>
      </w:r>
      <w:r>
        <w:t xml:space="preserve">  </w:t>
      </w:r>
    </w:p>
  </w:footnote>
  <w:footnote w:id="83">
    <w:p w14:paraId="7FCF5F0B" w14:textId="77777777" w:rsidR="00583012" w:rsidRDefault="00583012">
      <w:pPr>
        <w:pStyle w:val="FootnoteText"/>
      </w:pPr>
      <w:r>
        <w:rPr>
          <w:rStyle w:val="FootnoteReference"/>
        </w:rPr>
        <w:footnoteRef/>
      </w:r>
      <w:r>
        <w:t xml:space="preserve"> </w:t>
      </w:r>
      <w:r w:rsidRPr="0043040B">
        <w:t xml:space="preserve">Higher new </w:t>
      </w:r>
      <w:r>
        <w:t>entrant rate</w:t>
      </w:r>
      <w:r w:rsidRPr="0043040B">
        <w:t xml:space="preserve"> assumptions </w:t>
      </w:r>
      <w:r>
        <w:t xml:space="preserve">compounded with a lower </w:t>
      </w:r>
      <w:r w:rsidRPr="0043040B">
        <w:t xml:space="preserve">rate </w:t>
      </w:r>
      <w:r>
        <w:t xml:space="preserve">of participants leaving the Scheme </w:t>
      </w:r>
      <w:r w:rsidRPr="0043040B">
        <w:t>assumptions lead</w:t>
      </w:r>
      <w:r>
        <w:t>s</w:t>
      </w:r>
      <w:r w:rsidRPr="0043040B">
        <w:t xml:space="preserve"> to </w:t>
      </w:r>
      <w:r>
        <w:t>increases</w:t>
      </w:r>
      <w:r w:rsidRPr="0043040B">
        <w:t xml:space="preserve"> in the </w:t>
      </w:r>
      <w:r>
        <w:t xml:space="preserve">Scheme expense </w:t>
      </w:r>
      <w:r w:rsidRPr="0043040B">
        <w:t>projection</w:t>
      </w:r>
    </w:p>
  </w:footnote>
  <w:footnote w:id="84">
    <w:p w14:paraId="517E21EE" w14:textId="77777777" w:rsidR="00583012" w:rsidRDefault="00583012">
      <w:pPr>
        <w:pStyle w:val="FootnoteText"/>
      </w:pPr>
      <w:r>
        <w:rPr>
          <w:rStyle w:val="FootnoteReference"/>
        </w:rPr>
        <w:footnoteRef/>
      </w:r>
      <w:r>
        <w:t xml:space="preserve"> The implied growth rate is the percentage change in average plan budget across all Scheme participants.</w:t>
      </w:r>
    </w:p>
  </w:footnote>
  <w:footnote w:id="85">
    <w:p w14:paraId="6EE887E4" w14:textId="77777777" w:rsidR="00583012" w:rsidRDefault="00583012">
      <w:pPr>
        <w:pStyle w:val="FootnoteText"/>
      </w:pPr>
      <w:r>
        <w:rPr>
          <w:rStyle w:val="FootnoteReference"/>
        </w:rPr>
        <w:footnoteRef/>
      </w:r>
      <w:r>
        <w:t xml:space="preserve"> The assumed inflation rate is effectively the percentage change in average plan budget which would occur if the mix of participants in the Scheme did not change from year to year. It is higher than the implied growth rate because there is an increasing proportion of Scheme participants who are children or are high functioning over time and these cohorts tend to have lower than average plan budgets.</w:t>
      </w:r>
    </w:p>
  </w:footnote>
  <w:footnote w:id="86">
    <w:p w14:paraId="69B22D43" w14:textId="77777777" w:rsidR="00583012" w:rsidRDefault="00583012" w:rsidP="00DB7181">
      <w:pPr>
        <w:pStyle w:val="FootnoteText"/>
      </w:pPr>
      <w:r>
        <w:rPr>
          <w:rStyle w:val="FootnoteReference"/>
        </w:rPr>
        <w:footnoteRef/>
      </w:r>
      <w:r>
        <w:t xml:space="preserve"> </w:t>
      </w:r>
      <w:r w:rsidRPr="00F830E6">
        <w:t>Figures</w:t>
      </w:r>
      <w:r>
        <w:t xml:space="preserve"> are</w:t>
      </w:r>
      <w:r w:rsidRPr="00F830E6">
        <w:t xml:space="preserve"> shown to the nearest hundred dollars. Blanks mean there are no or few participants in that age/disability cohort</w:t>
      </w:r>
      <w:r>
        <w:rPr>
          <w:sz w:val="16"/>
          <w:szCs w:val="16"/>
        </w:rPr>
        <w:t>.</w:t>
      </w:r>
    </w:p>
  </w:footnote>
  <w:footnote w:id="87">
    <w:p w14:paraId="737F51DB" w14:textId="77777777" w:rsidR="00583012" w:rsidRDefault="00583012" w:rsidP="00DB7181">
      <w:pPr>
        <w:pStyle w:val="FootnoteText"/>
      </w:pPr>
      <w:r>
        <w:rPr>
          <w:rStyle w:val="FootnoteReference"/>
        </w:rPr>
        <w:footnoteRef/>
      </w:r>
      <w:r>
        <w:t xml:space="preserve"> </w:t>
      </w:r>
      <w:r w:rsidRPr="00F830E6">
        <w:t>In particular, participants with spinal cord injury, cerebral palsy and acquired brain injury.</w:t>
      </w:r>
    </w:p>
  </w:footnote>
  <w:footnote w:id="88">
    <w:p w14:paraId="76743BB0" w14:textId="77777777" w:rsidR="00583012" w:rsidRDefault="00583012" w:rsidP="00DB7181">
      <w:pPr>
        <w:pStyle w:val="FootnoteText"/>
      </w:pPr>
      <w:r>
        <w:rPr>
          <w:rStyle w:val="FootnoteReference"/>
        </w:rPr>
        <w:footnoteRef/>
      </w:r>
      <w:r>
        <w:t xml:space="preserve"> </w:t>
      </w:r>
      <w:r w:rsidRPr="00F830E6">
        <w:t>This includes hearing impairment, visual impairment and other sensory/speech disabilities.</w:t>
      </w:r>
    </w:p>
  </w:footnote>
  <w:footnote w:id="89">
    <w:p w14:paraId="6422B5F6" w14:textId="77777777" w:rsidR="00583012" w:rsidRPr="00E726CB" w:rsidRDefault="00583012" w:rsidP="00DB7181">
      <w:pPr>
        <w:pStyle w:val="FootnoteText"/>
        <w:rPr>
          <w:sz w:val="16"/>
          <w:szCs w:val="16"/>
        </w:rPr>
      </w:pPr>
      <w:r w:rsidRPr="00E726CB">
        <w:rPr>
          <w:rStyle w:val="FootnoteReference"/>
          <w:sz w:val="16"/>
          <w:szCs w:val="16"/>
        </w:rPr>
        <w:footnoteRef/>
      </w:r>
      <w:r w:rsidRPr="00E726CB">
        <w:rPr>
          <w:sz w:val="16"/>
          <w:szCs w:val="16"/>
        </w:rPr>
        <w:t xml:space="preserve"> </w:t>
      </w:r>
      <w:r w:rsidRPr="00F830E6">
        <w:t>Note, the utilisation rate for 2021-22 includes estimates of payments for supports which were received during the 12 month period but were not yet paid for as at 30 June 2022. It also includes an estimate of how plan budget amounts 2021-22 may change retrospectively.</w:t>
      </w:r>
    </w:p>
  </w:footnote>
  <w:footnote w:id="90">
    <w:p w14:paraId="22AB9548" w14:textId="77777777" w:rsidR="00583012" w:rsidRPr="00C53CDC" w:rsidRDefault="00583012">
      <w:pPr>
        <w:pStyle w:val="FootnoteText"/>
        <w:rPr>
          <w:lang w:val="en-US"/>
        </w:rPr>
      </w:pPr>
      <w:r>
        <w:rPr>
          <w:rStyle w:val="FootnoteReference"/>
        </w:rPr>
        <w:footnoteRef/>
      </w:r>
      <w:r>
        <w:t xml:space="preserve"> The i</w:t>
      </w:r>
      <w:r w:rsidRPr="00323DD5">
        <w:t>ndirect method</w:t>
      </w:r>
      <w:r>
        <w:t xml:space="preserve"> </w:t>
      </w:r>
      <w:r w:rsidRPr="00323DD5">
        <w:t>utilise</w:t>
      </w:r>
      <w:r>
        <w:t>d</w:t>
      </w:r>
      <w:r w:rsidRPr="00323DD5">
        <w:t xml:space="preserve"> participation rates, which are defined as the proportion of the general population who have an existing disability and are in the Scheme. The indirect method presume</w:t>
      </w:r>
      <w:r>
        <w:t>d</w:t>
      </w:r>
      <w:r w:rsidRPr="00323DD5">
        <w:t xml:space="preserve"> that the participation rate for any age (say X) is equal to the participation rate at the previous age (X-1), plus the new </w:t>
      </w:r>
      <w:r>
        <w:t>entrant</w:t>
      </w:r>
      <w:r w:rsidRPr="00323DD5">
        <w:t xml:space="preserve"> rate (for age X), minus the rate </w:t>
      </w:r>
      <w:r>
        <w:t xml:space="preserve">of leaving or dying </w:t>
      </w:r>
      <w:r w:rsidRPr="00323DD5">
        <w:t xml:space="preserve">(for age X). From this relationship, an indirect estimate of the new </w:t>
      </w:r>
      <w:r>
        <w:t xml:space="preserve">entrant </w:t>
      </w:r>
      <w:r w:rsidRPr="00323DD5">
        <w:t>rate for each age can be calculated.</w:t>
      </w:r>
    </w:p>
  </w:footnote>
  <w:footnote w:id="91">
    <w:p w14:paraId="2B8AA8C0" w14:textId="77777777" w:rsidR="00583012" w:rsidRDefault="00583012">
      <w:pPr>
        <w:pStyle w:val="FootnoteText"/>
      </w:pPr>
      <w:r>
        <w:rPr>
          <w:rStyle w:val="FootnoteReference"/>
        </w:rPr>
        <w:footnoteRef/>
      </w:r>
      <w:r>
        <w:t xml:space="preserve"> New entrants are new to disability supports if they have not transferred from existing State/ Territory or Commonwealth disability programs.</w:t>
      </w:r>
    </w:p>
  </w:footnote>
  <w:footnote w:id="92">
    <w:p w14:paraId="01788D12" w14:textId="77777777" w:rsidR="00583012" w:rsidRPr="00E45FE3" w:rsidRDefault="00583012" w:rsidP="00BF7697">
      <w:pPr>
        <w:spacing w:line="264" w:lineRule="auto"/>
        <w:rPr>
          <w:rStyle w:val="FootnoteTextChar"/>
        </w:rPr>
      </w:pPr>
      <w:r w:rsidRPr="00533CCA">
        <w:rPr>
          <w:rStyle w:val="FootnoteReference"/>
        </w:rPr>
        <w:footnoteRef/>
      </w:r>
      <w:r w:rsidRPr="00533CCA">
        <w:t xml:space="preserve"> </w:t>
      </w:r>
      <w:r w:rsidRPr="00E45FE3">
        <w:rPr>
          <w:rStyle w:val="FootnoteTextChar"/>
        </w:rPr>
        <w:t xml:space="preserve">No new </w:t>
      </w:r>
      <w:r>
        <w:rPr>
          <w:rStyle w:val="FootnoteTextChar"/>
        </w:rPr>
        <w:t xml:space="preserve">entrant </w:t>
      </w:r>
      <w:r w:rsidRPr="00E45FE3">
        <w:rPr>
          <w:rStyle w:val="FootnoteTextChar"/>
        </w:rPr>
        <w:t>rate is shown for the 2016 year as no geographic region phased into the Scheme in that year.</w:t>
      </w:r>
    </w:p>
    <w:p w14:paraId="08C88B50" w14:textId="77777777" w:rsidR="00583012" w:rsidRDefault="00583012" w:rsidP="00BF7697">
      <w:pPr>
        <w:pStyle w:val="FootnoteText"/>
      </w:pPr>
    </w:p>
  </w:footnote>
  <w:footnote w:id="93">
    <w:p w14:paraId="10953024" w14:textId="77777777" w:rsidR="00583012" w:rsidRPr="00E45FE3" w:rsidRDefault="00583012" w:rsidP="008D18FF">
      <w:pPr>
        <w:spacing w:line="264" w:lineRule="auto"/>
        <w:rPr>
          <w:rStyle w:val="FootnoteTextChar"/>
        </w:rPr>
      </w:pPr>
      <w:r w:rsidRPr="00533CCA">
        <w:rPr>
          <w:rStyle w:val="FootnoteReference"/>
        </w:rPr>
        <w:footnoteRef/>
      </w:r>
      <w:r w:rsidRPr="00533CCA">
        <w:t xml:space="preserve"> </w:t>
      </w:r>
      <w:r w:rsidRPr="008D18FF">
        <w:rPr>
          <w:rStyle w:val="FootnoteTextChar"/>
        </w:rPr>
        <w:t>Increased prevalence rates of autism in Australia are reported by the Australian Institute of Health and Welfare (https://www.aihw.gov.au/reports/disability/autism-in-australia/contents/autism), whilst increased prevalence rates of autism in the United States of America are reported by the Centers for Disease Control and Prevention (https://www.cdc.gov/ncbddd/autism/data.html).</w:t>
      </w:r>
    </w:p>
    <w:p w14:paraId="46649D45" w14:textId="77777777" w:rsidR="00583012" w:rsidRDefault="00583012" w:rsidP="008D18FF">
      <w:pPr>
        <w:pStyle w:val="FootnoteText"/>
      </w:pPr>
    </w:p>
  </w:footnote>
  <w:footnote w:id="94">
    <w:p w14:paraId="1CF24D80" w14:textId="77777777" w:rsidR="00583012" w:rsidRDefault="00583012" w:rsidP="00BF7697">
      <w:pPr>
        <w:pStyle w:val="FootnoteText"/>
      </w:pPr>
      <w:r w:rsidRPr="00860FF4">
        <w:rPr>
          <w:rStyle w:val="FootnoteReference"/>
        </w:rPr>
        <w:footnoteRef/>
      </w:r>
      <w:r w:rsidRPr="00860FF4">
        <w:t xml:space="preserve"> </w:t>
      </w:r>
      <w:r w:rsidRPr="00DB2902">
        <w:t xml:space="preserve">It is noted that the new entrant numbers in this chart are for years ended 30 June, whereas those in </w:t>
      </w:r>
      <w:r w:rsidRPr="00252EAF">
        <w:t>Figure 5.</w:t>
      </w:r>
      <w:r>
        <w:t>3</w:t>
      </w:r>
      <w:r w:rsidRPr="00DB2902">
        <w:t xml:space="preserve"> are for years ended 31 March.</w:t>
      </w:r>
    </w:p>
  </w:footnote>
  <w:footnote w:id="95">
    <w:p w14:paraId="1693F92D" w14:textId="77777777" w:rsidR="00583012" w:rsidRDefault="00583012" w:rsidP="007876CD">
      <w:pPr>
        <w:pStyle w:val="FootnoteText"/>
      </w:pPr>
      <w:r>
        <w:rPr>
          <w:rStyle w:val="FootnoteReference"/>
        </w:rPr>
        <w:footnoteRef/>
      </w:r>
      <w:r>
        <w:t xml:space="preserve"> At the previous review differential assumptions were adopted for people leaving the Scheme in the short and long term.</w:t>
      </w:r>
    </w:p>
  </w:footnote>
  <w:footnote w:id="96">
    <w:p w14:paraId="45CAE660" w14:textId="77777777" w:rsidR="00583012" w:rsidRDefault="00583012">
      <w:pPr>
        <w:pStyle w:val="FootnoteText"/>
      </w:pPr>
      <w:r>
        <w:rPr>
          <w:rStyle w:val="FootnoteReference"/>
        </w:rPr>
        <w:footnoteRef/>
      </w:r>
      <w:r>
        <w:t xml:space="preserve"> Life tables are produced to show the probabilities of an individual living or dying at a particular age, based on the experience over the period analysed. The Australian Life Table 2018-20 (ALT18-20) is based on mortality experience in Australia over the period 2018 to 2020.</w:t>
      </w:r>
    </w:p>
  </w:footnote>
  <w:footnote w:id="97">
    <w:p w14:paraId="13F4BF1A" w14:textId="77777777" w:rsidR="00583012" w:rsidRDefault="00583012">
      <w:pPr>
        <w:pStyle w:val="FootnoteText"/>
      </w:pPr>
      <w:r>
        <w:rPr>
          <w:rStyle w:val="FootnoteReference"/>
        </w:rPr>
        <w:footnoteRef/>
      </w:r>
      <w:r>
        <w:t xml:space="preserve"> </w:t>
      </w:r>
      <w:hyperlink r:id="rId14" w:history="1">
        <w:r>
          <w:rPr>
            <w:rStyle w:val="Hyperlink"/>
          </w:rPr>
          <w:t>Life tables, 2018 - 2020 | Australian Bureau of Statistics (abs.gov.au)</w:t>
        </w:r>
      </w:hyperlink>
    </w:p>
  </w:footnote>
  <w:footnote w:id="98">
    <w:p w14:paraId="2F541433" w14:textId="77777777" w:rsidR="00583012" w:rsidRDefault="00583012">
      <w:pPr>
        <w:pStyle w:val="FootnoteText"/>
      </w:pPr>
      <w:r>
        <w:rPr>
          <w:rStyle w:val="FootnoteReference"/>
        </w:rPr>
        <w:footnoteRef/>
      </w:r>
      <w:r>
        <w:t xml:space="preserve"> Participants new to SIL supports includes both new entrants to the Scheme with SIL supports and existing participants who transitioned to SIL arrangements during the period. The numbers of participants new to SIL supports up to 2020-21 are based on the previous method to identifying participants with SIL. The number for 2021-22 is based on the new method used from May 2022 and so includes a restatement of the prior periods to 2021-22.</w:t>
      </w:r>
    </w:p>
  </w:footnote>
  <w:footnote w:id="99">
    <w:p w14:paraId="4797B481" w14:textId="77777777" w:rsidR="00583012" w:rsidRPr="009A3610" w:rsidRDefault="00583012" w:rsidP="00BF7697">
      <w:pPr>
        <w:pStyle w:val="FootnoteText"/>
      </w:pPr>
      <w:r w:rsidRPr="009A3610">
        <w:rPr>
          <w:rStyle w:val="FootnoteReference"/>
        </w:rPr>
        <w:footnoteRef/>
      </w:r>
      <w:r w:rsidRPr="009A3610">
        <w:t xml:space="preserve"> </w:t>
      </w:r>
      <w:r w:rsidRPr="00C53CDC">
        <w:t>In particular, participants with spinal cord injury, cerebral palsy and acquired brain injury.</w:t>
      </w:r>
    </w:p>
  </w:footnote>
  <w:footnote w:id="100">
    <w:p w14:paraId="21F499BF" w14:textId="77777777" w:rsidR="00583012" w:rsidRDefault="00583012" w:rsidP="00BF7697">
      <w:pPr>
        <w:pStyle w:val="FootnoteText"/>
      </w:pPr>
      <w:r w:rsidRPr="009A3610">
        <w:rPr>
          <w:rStyle w:val="FootnoteReference"/>
        </w:rPr>
        <w:footnoteRef/>
      </w:r>
      <w:r w:rsidRPr="009A3610">
        <w:t xml:space="preserve"> </w:t>
      </w:r>
      <w:r w:rsidRPr="00C53CDC">
        <w:t>This includes hearing impairment, visual impairment and other sensory/speech disabilities.</w:t>
      </w:r>
    </w:p>
  </w:footnote>
  <w:footnote w:id="101">
    <w:p w14:paraId="3FBB08E8" w14:textId="77777777" w:rsidR="00583012" w:rsidRDefault="00583012">
      <w:pPr>
        <w:pStyle w:val="FootnoteText"/>
      </w:pPr>
      <w:r>
        <w:rPr>
          <w:rStyle w:val="FootnoteReference"/>
        </w:rPr>
        <w:footnoteRef/>
      </w:r>
      <w:r>
        <w:t xml:space="preserve"> </w:t>
      </w:r>
      <w:r w:rsidRPr="0009429D">
        <w:t>Figures</w:t>
      </w:r>
      <w:r>
        <w:t xml:space="preserve"> are</w:t>
      </w:r>
      <w:r w:rsidRPr="0009429D">
        <w:t xml:space="preserve"> shown to the nearest hundred dollars. Blanks mean there are no or few participants in that age/</w:t>
      </w:r>
      <w:r>
        <w:t xml:space="preserve"> </w:t>
      </w:r>
      <w:r w:rsidRPr="0009429D">
        <w:t>disability cohort</w:t>
      </w:r>
      <w:r>
        <w:rPr>
          <w:sz w:val="16"/>
          <w:szCs w:val="16"/>
        </w:rPr>
        <w:t>.</w:t>
      </w:r>
    </w:p>
  </w:footnote>
  <w:footnote w:id="102">
    <w:p w14:paraId="055181EE" w14:textId="77777777" w:rsidR="00583012" w:rsidRDefault="00583012">
      <w:pPr>
        <w:pStyle w:val="FootnoteText"/>
      </w:pPr>
      <w:r>
        <w:rPr>
          <w:rStyle w:val="FootnoteReference"/>
        </w:rPr>
        <w:footnoteRef/>
      </w:r>
      <w:r>
        <w:t xml:space="preserve"> </w:t>
      </w:r>
      <w:r w:rsidRPr="00E45FE3">
        <w:t>Figures shown the nearest hundreds. Blanks mean averages are lower than 100</w:t>
      </w:r>
      <w:r>
        <w:t>.</w:t>
      </w:r>
    </w:p>
  </w:footnote>
  <w:footnote w:id="103">
    <w:p w14:paraId="22F22C2E" w14:textId="77777777" w:rsidR="00583012" w:rsidRDefault="00583012" w:rsidP="00C20533">
      <w:pPr>
        <w:pStyle w:val="FootnoteText"/>
      </w:pPr>
      <w:r>
        <w:rPr>
          <w:rStyle w:val="FootnoteReference"/>
        </w:rPr>
        <w:footnoteRef/>
      </w:r>
      <w:r>
        <w:t xml:space="preserve"> At the previous review, additional inflation was referred to as “superimposed inflation”.</w:t>
      </w:r>
    </w:p>
  </w:footnote>
  <w:footnote w:id="104">
    <w:p w14:paraId="3F959456" w14:textId="77777777" w:rsidR="00583012" w:rsidRDefault="00583012" w:rsidP="003D2FA4">
      <w:pPr>
        <w:pStyle w:val="FootnoteText"/>
      </w:pPr>
      <w:r>
        <w:rPr>
          <w:rStyle w:val="FootnoteReference"/>
        </w:rPr>
        <w:footnoteRef/>
      </w:r>
      <w:r>
        <w:t xml:space="preserve"> This includes CB Choice and Control, CB Daily Activities, CB Employment, CB Health Wellbeing, CB Relationships and Support Coordination.</w:t>
      </w:r>
    </w:p>
  </w:footnote>
  <w:footnote w:id="105">
    <w:p w14:paraId="686886D9" w14:textId="77777777" w:rsidR="00583012" w:rsidRDefault="00583012" w:rsidP="003D2FA4">
      <w:pPr>
        <w:pStyle w:val="FootnoteText"/>
      </w:pPr>
      <w:r>
        <w:rPr>
          <w:rStyle w:val="FootnoteReference"/>
        </w:rPr>
        <w:footnoteRef/>
      </w:r>
      <w:r w:rsidRPr="00E45FE3">
        <w:rPr>
          <w:vertAlign w:val="superscript"/>
        </w:rPr>
        <w:t xml:space="preserve"> </w:t>
      </w:r>
      <w:r>
        <w:t>Other Supports include Consumables, Transport, Assistive Technology and Home Modifications</w:t>
      </w:r>
    </w:p>
  </w:footnote>
  <w:footnote w:id="106">
    <w:p w14:paraId="0D0A2A59" w14:textId="77777777" w:rsidR="00583012" w:rsidRPr="00FD1CC7" w:rsidRDefault="00583012" w:rsidP="00BF7697">
      <w:pPr>
        <w:pStyle w:val="FootnoteText"/>
        <w:rPr>
          <w:rFonts w:cs="Arial"/>
          <w:sz w:val="19"/>
          <w:szCs w:val="19"/>
        </w:rPr>
      </w:pPr>
      <w:r w:rsidRPr="00FD1CC7">
        <w:rPr>
          <w:rStyle w:val="FootnoteReference"/>
          <w:rFonts w:cs="Arial"/>
          <w:sz w:val="19"/>
          <w:szCs w:val="19"/>
        </w:rPr>
        <w:footnoteRef/>
      </w:r>
      <w:r w:rsidRPr="00FD1CC7">
        <w:rPr>
          <w:rFonts w:cs="Arial"/>
          <w:sz w:val="19"/>
          <w:szCs w:val="19"/>
        </w:rPr>
        <w:t xml:space="preserve"> Inflation associated with increased use of attendant care is primarily applied to Core Daily Activities and Social, Community and Civic Participation. Inflation associated with increased use of </w:t>
      </w:r>
      <w:r>
        <w:rPr>
          <w:rFonts w:cs="Arial"/>
          <w:sz w:val="19"/>
          <w:szCs w:val="19"/>
        </w:rPr>
        <w:t>t</w:t>
      </w:r>
      <w:r w:rsidRPr="00FD1CC7">
        <w:rPr>
          <w:rFonts w:cs="Arial"/>
          <w:sz w:val="19"/>
          <w:szCs w:val="19"/>
        </w:rPr>
        <w:t>herapies is applied to Capacity Building Daily Activities. ‘Other supports’ includes Consumables, Transport and capital items.</w:t>
      </w:r>
    </w:p>
  </w:footnote>
  <w:footnote w:id="107">
    <w:p w14:paraId="5A0740F1" w14:textId="77777777" w:rsidR="00583012" w:rsidRDefault="00583012" w:rsidP="00BF7697">
      <w:pPr>
        <w:pStyle w:val="FootnoteText"/>
      </w:pPr>
      <w:r>
        <w:rPr>
          <w:rStyle w:val="FootnoteReference"/>
        </w:rPr>
        <w:footnoteRef/>
      </w:r>
      <w:r>
        <w:t xml:space="preserve"> Total expected inflation shown is lower than normal inflation plus additional inflation because the change in mix of participants is expected to lead to reductions in average payment per participant (before allowing for normal inflation and additional inflation)</w:t>
      </w:r>
      <w:r w:rsidRPr="004D5319">
        <w:t>.</w:t>
      </w:r>
      <w:r>
        <w:t xml:space="preserve"> The historic average shown implicitly includes change in mix, and so the most appropriate comparison to experience is the total including change in mix.</w:t>
      </w:r>
    </w:p>
  </w:footnote>
  <w:footnote w:id="108">
    <w:p w14:paraId="6353489F" w14:textId="77777777" w:rsidR="00583012" w:rsidRDefault="00583012" w:rsidP="00BF7697">
      <w:pPr>
        <w:pStyle w:val="FootnoteText"/>
      </w:pPr>
      <w:r w:rsidRPr="00CC0E7B">
        <w:rPr>
          <w:rStyle w:val="FootnoteReference"/>
        </w:rPr>
        <w:footnoteRef/>
      </w:r>
      <w:r>
        <w:t xml:space="preserve"> </w:t>
      </w:r>
      <w:r w:rsidRPr="00CC0E7B">
        <w:t>In particular, participants with spinal cord injury, cerebral palsy and acquired brain injury.</w:t>
      </w:r>
    </w:p>
  </w:footnote>
  <w:footnote w:id="109">
    <w:p w14:paraId="0D15EB42" w14:textId="77777777" w:rsidR="00583012" w:rsidRDefault="00583012" w:rsidP="00BF7697">
      <w:pPr>
        <w:pStyle w:val="FootnoteText"/>
      </w:pPr>
      <w:r w:rsidRPr="00CC0E7B">
        <w:rPr>
          <w:rStyle w:val="FootnoteReference"/>
        </w:rPr>
        <w:footnoteRef/>
      </w:r>
      <w:r>
        <w:t xml:space="preserve"> </w:t>
      </w:r>
      <w:r w:rsidRPr="00CC0E7B">
        <w:t>This includes hearing impairment, visual impairment and other sensory/speech disabilities.</w:t>
      </w:r>
    </w:p>
  </w:footnote>
  <w:footnote w:id="110">
    <w:p w14:paraId="1CEF013F" w14:textId="77777777" w:rsidR="00583012" w:rsidRDefault="00583012" w:rsidP="00BF7697">
      <w:pPr>
        <w:pStyle w:val="FootnoteText"/>
      </w:pPr>
      <w:r>
        <w:rPr>
          <w:rStyle w:val="FootnoteReference"/>
        </w:rPr>
        <w:footnoteRef/>
      </w:r>
      <w:r>
        <w:t xml:space="preserve"> </w:t>
      </w:r>
      <w:r w:rsidRPr="00F830E6">
        <w:t xml:space="preserve">Figures </w:t>
      </w:r>
      <w:r>
        <w:t xml:space="preserve">are </w:t>
      </w:r>
      <w:r w:rsidRPr="00F830E6">
        <w:t>shown to the nearest hundred dollars. Blanks mean there are no or few participants in that age/disability cohort.</w:t>
      </w:r>
    </w:p>
  </w:footnote>
  <w:footnote w:id="111">
    <w:p w14:paraId="180F7F31" w14:textId="77777777" w:rsidR="00583012" w:rsidRDefault="00583012" w:rsidP="00BF7697">
      <w:pPr>
        <w:pStyle w:val="FootnoteText"/>
      </w:pPr>
      <w:r>
        <w:rPr>
          <w:rStyle w:val="FootnoteReference"/>
        </w:rPr>
        <w:footnoteRef/>
      </w:r>
      <w:r>
        <w:t xml:space="preserve"> </w:t>
      </w:r>
      <w:r w:rsidRPr="00CE35C5">
        <w:t xml:space="preserve">Figures shown </w:t>
      </w:r>
      <w:r>
        <w:t xml:space="preserve">are to </w:t>
      </w:r>
      <w:r w:rsidRPr="00CE35C5">
        <w:t>the nearest hundred</w:t>
      </w:r>
      <w:r>
        <w:t xml:space="preserve"> dollars</w:t>
      </w:r>
      <w:r w:rsidRPr="00CE35C5">
        <w:t>. Blanks mean averages are lower than 100</w:t>
      </w:r>
      <w:r>
        <w:t>.</w:t>
      </w:r>
    </w:p>
  </w:footnote>
  <w:footnote w:id="112">
    <w:p w14:paraId="258F4236" w14:textId="77777777" w:rsidR="00583012" w:rsidRDefault="00583012" w:rsidP="00BF7697">
      <w:pPr>
        <w:pStyle w:val="FootnoteText"/>
      </w:pPr>
      <w:r>
        <w:rPr>
          <w:rStyle w:val="FootnoteReference"/>
        </w:rPr>
        <w:footnoteRef/>
      </w:r>
      <w:r>
        <w:t xml:space="preserve"> </w:t>
      </w:r>
      <w:r w:rsidRPr="00036D6E">
        <w:t xml:space="preserve">Productivity Commission 2017, </w:t>
      </w:r>
      <w:r w:rsidRPr="00036D6E">
        <w:rPr>
          <w:i/>
        </w:rPr>
        <w:t>National Disability Insurance Scheme (NDIS) Costs</w:t>
      </w:r>
      <w:r w:rsidRPr="00036D6E">
        <w:t>, St</w:t>
      </w:r>
      <w:r>
        <w:t>udy Report, Canberra (Page 412)</w:t>
      </w:r>
      <w:r w:rsidRPr="00036D6E">
        <w:t>.</w:t>
      </w:r>
    </w:p>
  </w:footnote>
  <w:footnote w:id="113">
    <w:p w14:paraId="03EBC911" w14:textId="77777777" w:rsidR="00583012" w:rsidRDefault="00583012" w:rsidP="00BF7697">
      <w:pPr>
        <w:pStyle w:val="FootnoteText"/>
      </w:pPr>
      <w:r>
        <w:rPr>
          <w:rStyle w:val="FootnoteReference"/>
        </w:rPr>
        <w:footnoteRef/>
      </w:r>
      <w:r>
        <w:t xml:space="preserve"> </w:t>
      </w:r>
      <w:r w:rsidRPr="00AA44C0">
        <w:t xml:space="preserve">There is considerable uncertainty in the calculation of lifetime </w:t>
      </w:r>
      <w:r>
        <w:t>expense</w:t>
      </w:r>
      <w:r w:rsidRPr="00AA44C0">
        <w:t xml:space="preserve"> estimates in this section. There is limited longitudinal experience within the Scheme to inform assumptions, with most participants having been in the Scheme for </w:t>
      </w:r>
      <w:r>
        <w:t xml:space="preserve">five </w:t>
      </w:r>
      <w:r w:rsidRPr="00AA44C0">
        <w:t xml:space="preserve">years or less. These estimates therefore reflect emerging experience, assuming the same </w:t>
      </w:r>
      <w:r>
        <w:t xml:space="preserve">average payments </w:t>
      </w:r>
      <w:r w:rsidRPr="00AA44C0">
        <w:t xml:space="preserve">and rates </w:t>
      </w:r>
      <w:r>
        <w:t xml:space="preserve">of leaving and mortality </w:t>
      </w:r>
      <w:r w:rsidRPr="00AA44C0">
        <w:t>were to continue over the lifetime of participants.</w:t>
      </w:r>
    </w:p>
  </w:footnote>
  <w:footnote w:id="114">
    <w:p w14:paraId="078D548A" w14:textId="77777777" w:rsidR="00583012" w:rsidRDefault="00583012" w:rsidP="00BF7697">
      <w:pPr>
        <w:pStyle w:val="FootnoteText"/>
      </w:pPr>
      <w:r>
        <w:rPr>
          <w:rStyle w:val="FootnoteReference"/>
        </w:rPr>
        <w:footnoteRef/>
      </w:r>
      <w:r>
        <w:t xml:space="preserve"> The adopted long-term </w:t>
      </w:r>
      <w:r w:rsidRPr="00AA44C0">
        <w:t xml:space="preserve">discount rate </w:t>
      </w:r>
      <w:r>
        <w:t xml:space="preserve">of 5.0% corresponds to the long-term expectation for nominal GDP growth, which is the combination of </w:t>
      </w:r>
      <w:r w:rsidRPr="00DC34C9">
        <w:t>average long</w:t>
      </w:r>
      <w:r>
        <w:t>-</w:t>
      </w:r>
      <w:r w:rsidRPr="00DC34C9">
        <w:t>term productivity growth of 1 per cent per annum, employment growth of 1.5 per cent per annum (noting employment growth is expected to fall over time due to the impact of ageing and slowing population growth on the labo</w:t>
      </w:r>
      <w:r>
        <w:t>u</w:t>
      </w:r>
      <w:r w:rsidRPr="00DC34C9">
        <w:t xml:space="preserve">r force) and price inflation of 2.5 per cent per annum. </w:t>
      </w:r>
      <w:r>
        <w:t>This assumption is consistent with the long-term discount rate used for Australian government superannuation liability valuations.</w:t>
      </w:r>
    </w:p>
  </w:footnote>
  <w:footnote w:id="115">
    <w:p w14:paraId="53F0F0EC" w14:textId="77777777" w:rsidR="00583012" w:rsidRDefault="00583012">
      <w:pPr>
        <w:pStyle w:val="FootnoteText"/>
      </w:pPr>
      <w:r>
        <w:rPr>
          <w:rStyle w:val="FootnoteReference"/>
        </w:rPr>
        <w:footnoteRef/>
      </w:r>
      <w:r>
        <w:t xml:space="preserve"> </w:t>
      </w:r>
      <w:r>
        <w:rPr>
          <w:rFonts w:cs="Arial"/>
          <w:color w:val="202124"/>
          <w:shd w:val="clear" w:color="auto" w:fill="FFFFFF"/>
        </w:rPr>
        <w:t>A stochastic model is </w:t>
      </w:r>
      <w:r>
        <w:rPr>
          <w:rFonts w:cs="Arial"/>
          <w:bCs/>
          <w:color w:val="202124"/>
          <w:shd w:val="clear" w:color="auto" w:fill="FFFFFF"/>
        </w:rPr>
        <w:t>used to</w:t>
      </w:r>
      <w:r w:rsidRPr="0065210D">
        <w:rPr>
          <w:rFonts w:cs="Arial"/>
          <w:bCs/>
          <w:color w:val="202124"/>
          <w:shd w:val="clear" w:color="auto" w:fill="FFFFFF"/>
        </w:rPr>
        <w:t xml:space="preserve"> estimat</w:t>
      </w:r>
      <w:r>
        <w:rPr>
          <w:rFonts w:cs="Arial"/>
          <w:bCs/>
          <w:color w:val="202124"/>
          <w:shd w:val="clear" w:color="auto" w:fill="FFFFFF"/>
        </w:rPr>
        <w:t>e</w:t>
      </w:r>
      <w:r w:rsidRPr="0065210D">
        <w:rPr>
          <w:rFonts w:cs="Arial"/>
          <w:bCs/>
          <w:color w:val="202124"/>
          <w:shd w:val="clear" w:color="auto" w:fill="FFFFFF"/>
        </w:rPr>
        <w:t xml:space="preserve"> probability distributions of potential outcomes by allowing for random variation in one or more inputs over time</w:t>
      </w:r>
      <w:r>
        <w:rPr>
          <w:rFonts w:cs="Arial"/>
          <w:color w:val="202124"/>
          <w:shd w:val="clear" w:color="auto" w:fill="FFFFFF"/>
        </w:rPr>
        <w:t>. In this case, the inputs which are varied are the assumptions and risks which are most uncertain in the projection of Scheme expenses.</w:t>
      </w:r>
    </w:p>
  </w:footnote>
  <w:footnote w:id="116">
    <w:p w14:paraId="5D576FD0" w14:textId="77777777" w:rsidR="00583012" w:rsidRDefault="00583012" w:rsidP="00BC498F">
      <w:pPr>
        <w:pStyle w:val="FootnoteText"/>
        <w:rPr>
          <w:rFonts w:eastAsia="Yu Mincho" w:cs="Arial"/>
        </w:rPr>
      </w:pPr>
      <w:r w:rsidRPr="3A4B990F">
        <w:rPr>
          <w:rStyle w:val="FootnoteReference"/>
          <w:rFonts w:eastAsia="Yu Mincho" w:cs="Arial"/>
        </w:rPr>
        <w:footnoteRef/>
      </w:r>
      <w:r w:rsidRPr="3A4B990F">
        <w:rPr>
          <w:rFonts w:eastAsia="Yu Mincho" w:cs="Arial"/>
        </w:rPr>
        <w:t xml:space="preserve"> High level analysis indicates that the ongoing </w:t>
      </w:r>
      <w:r>
        <w:rPr>
          <w:rFonts w:eastAsia="Yu Mincho" w:cs="Arial"/>
        </w:rPr>
        <w:t xml:space="preserve">Scheme expense in respect </w:t>
      </w:r>
      <w:r w:rsidRPr="3A4B990F">
        <w:rPr>
          <w:rFonts w:eastAsia="Yu Mincho" w:cs="Arial"/>
        </w:rPr>
        <w:t>of new entrants is approximately 17% lower than of existing participants, after allowing for difference in participant mix. A credibility weighting of 50% is applied to this figure to arrive at the baseline assumption of 8.4%, due to the high level of uncertainty regarding future experience.</w:t>
      </w:r>
    </w:p>
  </w:footnote>
  <w:footnote w:id="117">
    <w:p w14:paraId="7E6975D8" w14:textId="77777777" w:rsidR="00583012" w:rsidRDefault="00583012">
      <w:pPr>
        <w:pStyle w:val="FootnoteText"/>
      </w:pPr>
      <w:r>
        <w:rPr>
          <w:rStyle w:val="FootnoteReference"/>
        </w:rPr>
        <w:footnoteRef/>
      </w:r>
      <w:r>
        <w:t xml:space="preserve"> </w:t>
      </w:r>
      <w:r w:rsidRPr="00FD1CC7">
        <w:rPr>
          <w:rFonts w:cs="Arial"/>
          <w:sz w:val="19"/>
          <w:szCs w:val="19"/>
        </w:rPr>
        <w:t>Coefficient of variation (CoV) has been used to measure</w:t>
      </w:r>
      <w:r>
        <w:rPr>
          <w:rFonts w:cs="Arial"/>
          <w:sz w:val="19"/>
          <w:szCs w:val="19"/>
        </w:rPr>
        <w:t xml:space="preserve"> uncertainty</w:t>
      </w:r>
      <w:r w:rsidRPr="00FD1CC7">
        <w:rPr>
          <w:rFonts w:cs="Arial"/>
          <w:sz w:val="19"/>
          <w:szCs w:val="19"/>
        </w:rPr>
        <w:t xml:space="preserve">. It is defined as the standard deviation divided by the mean of a distribution. </w:t>
      </w:r>
      <w:r>
        <w:rPr>
          <w:rFonts w:cs="Arial"/>
          <w:sz w:val="19"/>
          <w:szCs w:val="19"/>
        </w:rPr>
        <w:t xml:space="preserve">A </w:t>
      </w:r>
      <w:r w:rsidRPr="00FD1CC7">
        <w:rPr>
          <w:rFonts w:cs="Arial"/>
          <w:sz w:val="19"/>
          <w:szCs w:val="19"/>
        </w:rPr>
        <w:t>higher CoV</w:t>
      </w:r>
      <w:r>
        <w:rPr>
          <w:rFonts w:cs="Arial"/>
          <w:sz w:val="19"/>
          <w:szCs w:val="19"/>
        </w:rPr>
        <w:t xml:space="preserve"> implies a </w:t>
      </w:r>
      <w:r w:rsidRPr="00FD1CC7">
        <w:rPr>
          <w:rFonts w:cs="Arial"/>
          <w:sz w:val="19"/>
          <w:szCs w:val="19"/>
        </w:rPr>
        <w:t>higher level of uncertainty</w:t>
      </w:r>
      <w:r w:rsidRPr="000979BD">
        <w:rPr>
          <w:rFonts w:cs="Arial"/>
          <w:sz w:val="18"/>
          <w:szCs w:val="18"/>
        </w:rPr>
        <w:t>.</w:t>
      </w:r>
    </w:p>
  </w:footnote>
  <w:footnote w:id="118">
    <w:p w14:paraId="2EDAE644" w14:textId="77777777" w:rsidR="00583012" w:rsidRDefault="00583012" w:rsidP="00282975">
      <w:pPr>
        <w:pStyle w:val="FootnoteText"/>
      </w:pPr>
      <w:r>
        <w:rPr>
          <w:rStyle w:val="FootnoteReference"/>
        </w:rPr>
        <w:footnoteRef/>
      </w:r>
      <w:r>
        <w:t xml:space="preserve"> </w:t>
      </w:r>
      <w:r w:rsidRPr="00DC4977">
        <w:t xml:space="preserve">The 2020-21 AFSR was adopted in the 2022-23 PBS estimates and therefore reflects the most recent budget estimates. Hence, no separate comparison with the PBS is shown.                                                                                                                                                </w:t>
      </w:r>
    </w:p>
  </w:footnote>
  <w:footnote w:id="119">
    <w:p w14:paraId="1EC08FDA" w14:textId="77777777" w:rsidR="00583012" w:rsidRDefault="00583012" w:rsidP="00282975">
      <w:pPr>
        <w:pStyle w:val="FootnoteText"/>
      </w:pPr>
      <w:r>
        <w:rPr>
          <w:rStyle w:val="FootnoteReference"/>
        </w:rPr>
        <w:footnoteRef/>
      </w:r>
      <w:r>
        <w:t xml:space="preserve"> </w:t>
      </w:r>
      <w:r w:rsidRPr="00DC4977">
        <w:t>Released on 3 July 2021</w:t>
      </w:r>
    </w:p>
  </w:footnote>
  <w:footnote w:id="120">
    <w:p w14:paraId="5C5B6D2B" w14:textId="77777777" w:rsidR="00583012" w:rsidRDefault="00583012" w:rsidP="00282975">
      <w:pPr>
        <w:pStyle w:val="FootnoteText"/>
      </w:pPr>
      <w:r>
        <w:rPr>
          <w:rStyle w:val="FootnoteReference"/>
        </w:rPr>
        <w:footnoteRef/>
      </w:r>
      <w:r>
        <w:t xml:space="preserve"> </w:t>
      </w:r>
      <w:r w:rsidRPr="00DC4977">
        <w:t>Projections have been adjusted from a cash basis to an accrual basis using accrual factors from the 30 June 2019 AFSR</w:t>
      </w:r>
    </w:p>
  </w:footnote>
  <w:footnote w:id="121">
    <w:p w14:paraId="3A77F5B2" w14:textId="77777777" w:rsidR="00583012" w:rsidRPr="00043824" w:rsidRDefault="00583012" w:rsidP="00532B54">
      <w:pPr>
        <w:pStyle w:val="FootnoteText"/>
      </w:pPr>
      <w:r w:rsidRPr="00043824">
        <w:rPr>
          <w:rStyle w:val="FootnoteReference"/>
        </w:rPr>
        <w:footnoteRef/>
      </w:r>
      <w:r w:rsidRPr="00043824">
        <w:t xml:space="preserve"> </w:t>
      </w:r>
      <w:hyperlink r:id="rId15" w:history="1">
        <w:r w:rsidRPr="00043824">
          <w:rPr>
            <w:rStyle w:val="Hyperlink"/>
          </w:rPr>
          <w:t>http://www.comlaw.gov.au/Details/C2019C00332/Download</w:t>
        </w:r>
      </w:hyperlink>
      <w:r w:rsidRPr="00043824">
        <w:t xml:space="preserve"> </w:t>
      </w:r>
    </w:p>
  </w:footnote>
  <w:footnote w:id="122">
    <w:p w14:paraId="271976CC" w14:textId="77777777" w:rsidR="00583012" w:rsidRDefault="00583012" w:rsidP="00532B54">
      <w:pPr>
        <w:pStyle w:val="FootnoteText"/>
      </w:pPr>
      <w:r>
        <w:rPr>
          <w:rStyle w:val="FootnoteReference"/>
        </w:rPr>
        <w:footnoteRef/>
      </w:r>
      <w:r>
        <w:t xml:space="preserve"> Part 2, section 4, (11).</w:t>
      </w:r>
    </w:p>
  </w:footnote>
  <w:footnote w:id="123">
    <w:p w14:paraId="16EF2E61" w14:textId="77777777" w:rsidR="00583012" w:rsidRDefault="00583012" w:rsidP="00532B54">
      <w:pPr>
        <w:pStyle w:val="FootnoteText"/>
      </w:pPr>
      <w:r>
        <w:rPr>
          <w:rStyle w:val="FootnoteReference"/>
        </w:rPr>
        <w:footnoteRef/>
      </w:r>
      <w:r>
        <w:t xml:space="preserve"> Further, the National Disability Insurance Scheme forms part of the broader Australia’s Disability Strategy 2021-2031. The strategy is a commitment from all governments to a </w:t>
      </w:r>
      <w:r w:rsidRPr="007475B4">
        <w:t xml:space="preserve">shared vision </w:t>
      </w:r>
      <w:r>
        <w:t xml:space="preserve">of </w:t>
      </w:r>
      <w:r w:rsidRPr="007475B4">
        <w:t>an inclusive Australian society that enables people with disability to fulfil their potential as equal citizens.</w:t>
      </w:r>
      <w:r>
        <w:t xml:space="preserve"> In particular, the strategy emphasises the need for </w:t>
      </w:r>
      <w:r w:rsidRPr="007475B4">
        <w:t>improved performance of mainstream services in delivering outcomes for people with disability</w:t>
      </w:r>
      <w:r>
        <w:t>.</w:t>
      </w:r>
    </w:p>
    <w:p w14:paraId="70D2F08A" w14:textId="77777777" w:rsidR="00583012" w:rsidRDefault="00583012" w:rsidP="00532B54">
      <w:pPr>
        <w:pStyle w:val="FootnoteText"/>
      </w:pPr>
      <w:r>
        <w:t xml:space="preserve"> </w:t>
      </w:r>
    </w:p>
  </w:footnote>
  <w:footnote w:id="124">
    <w:p w14:paraId="6762CBE7" w14:textId="77777777" w:rsidR="00583012" w:rsidRDefault="00583012" w:rsidP="00532B54">
      <w:pPr>
        <w:pStyle w:val="FootnoteText"/>
      </w:pPr>
      <w:r>
        <w:rPr>
          <w:rStyle w:val="FootnoteReference"/>
        </w:rPr>
        <w:footnoteRef/>
      </w:r>
      <w:r>
        <w:t xml:space="preserve"> Part 2, section 4, (12) and (12A).</w:t>
      </w:r>
    </w:p>
  </w:footnote>
  <w:footnote w:id="125">
    <w:p w14:paraId="54353ACD" w14:textId="77777777" w:rsidR="00583012" w:rsidRDefault="00583012" w:rsidP="00532B54">
      <w:pPr>
        <w:pStyle w:val="FootnoteText"/>
      </w:pPr>
      <w:r>
        <w:rPr>
          <w:rStyle w:val="FootnoteReference"/>
        </w:rPr>
        <w:footnoteRef/>
      </w:r>
      <w:r>
        <w:t xml:space="preserve"> </w:t>
      </w:r>
      <w:hyperlink r:id="rId16" w:history="1">
        <w:r>
          <w:rPr>
            <w:rStyle w:val="Hyperlink"/>
          </w:rPr>
          <w:t>Outcomes Framework Pilot Study: Summary Report 2015 | NDIS</w:t>
        </w:r>
      </w:hyperlink>
    </w:p>
  </w:footnote>
  <w:footnote w:id="126">
    <w:p w14:paraId="191DBB2B" w14:textId="77777777" w:rsidR="00583012" w:rsidRPr="00EC620B" w:rsidRDefault="00583012" w:rsidP="00532B54">
      <w:pPr>
        <w:pStyle w:val="FootnoteText"/>
      </w:pPr>
      <w:r>
        <w:rPr>
          <w:rStyle w:val="FootnoteReference"/>
        </w:rPr>
        <w:footnoteRef/>
      </w:r>
      <w:r>
        <w:t xml:space="preserve"> </w:t>
      </w:r>
      <w:hyperlink r:id="rId17" w:history="1">
        <w:r w:rsidRPr="00EC620B">
          <w:rPr>
            <w:rStyle w:val="Hyperlink"/>
          </w:rPr>
          <w:t>Participant and family/carer outcomes: COVID-19 impact | Executive summary, to 30 June 2020</w:t>
        </w:r>
      </w:hyperlink>
    </w:p>
  </w:footnote>
  <w:footnote w:id="127">
    <w:p w14:paraId="24A21B4B" w14:textId="77777777" w:rsidR="00583012" w:rsidRDefault="00583012" w:rsidP="00532B54">
      <w:pPr>
        <w:pStyle w:val="FootnoteText"/>
      </w:pPr>
      <w:r>
        <w:rPr>
          <w:rStyle w:val="FootnoteReference"/>
        </w:rPr>
        <w:footnoteRef/>
      </w:r>
      <w:r>
        <w:t xml:space="preserve"> </w:t>
      </w:r>
      <w:hyperlink r:id="rId18" w:history="1">
        <w:r>
          <w:rPr>
            <w:rStyle w:val="Hyperlink"/>
          </w:rPr>
          <w:t>Employment outcomes - participants, their families and carers | NDIS</w:t>
        </w:r>
      </w:hyperlink>
    </w:p>
  </w:footnote>
  <w:footnote w:id="128">
    <w:p w14:paraId="79FDC856" w14:textId="77777777" w:rsidR="00583012" w:rsidRDefault="00583012" w:rsidP="00532B54">
      <w:pPr>
        <w:pStyle w:val="FootnoteText"/>
      </w:pPr>
      <w:r>
        <w:rPr>
          <w:rStyle w:val="FootnoteReference"/>
        </w:rPr>
        <w:footnoteRef/>
      </w:r>
      <w:r>
        <w:t xml:space="preserve"> </w:t>
      </w:r>
      <w:hyperlink r:id="rId19" w:history="1">
        <w:r>
          <w:rPr>
            <w:rStyle w:val="Hyperlink"/>
          </w:rPr>
          <w:t>Corporate Plan | NDIS</w:t>
        </w:r>
      </w:hyperlink>
      <w:r>
        <w:rPr>
          <w:rStyle w:val="Hyperlink"/>
        </w:rPr>
        <w:t xml:space="preserve"> </w:t>
      </w:r>
      <w:r w:rsidRPr="00F830E6">
        <w:rPr>
          <w:rStyle w:val="Hyperlink"/>
          <w:color w:val="auto"/>
          <w:u w:val="none"/>
        </w:rPr>
        <w:t>The NDIS Corporate Plan 2021-25</w:t>
      </w:r>
      <w:r>
        <w:rPr>
          <w:rStyle w:val="Hyperlink"/>
          <w:color w:val="auto"/>
          <w:u w:val="none"/>
        </w:rPr>
        <w:t xml:space="preserve"> also includes the same Aspiration 1. The</w:t>
      </w:r>
      <w:r w:rsidRPr="00F830E6">
        <w:rPr>
          <w:rStyle w:val="Hyperlink"/>
          <w:color w:val="auto"/>
          <w:u w:val="none"/>
        </w:rPr>
        <w:t xml:space="preserve"> targets for 2021-22</w:t>
      </w:r>
      <w:r>
        <w:rPr>
          <w:rStyle w:val="Hyperlink"/>
          <w:color w:val="auto"/>
          <w:u w:val="none"/>
        </w:rPr>
        <w:t xml:space="preserve"> set out</w:t>
      </w:r>
      <w:r w:rsidRPr="00F830E6">
        <w:rPr>
          <w:rStyle w:val="Hyperlink"/>
          <w:color w:val="auto"/>
          <w:u w:val="none"/>
        </w:rPr>
        <w:t xml:space="preserve"> </w:t>
      </w:r>
      <w:r>
        <w:rPr>
          <w:rStyle w:val="Hyperlink"/>
          <w:color w:val="auto"/>
          <w:u w:val="none"/>
        </w:rPr>
        <w:t>in this report are from the 2021-25 version.</w:t>
      </w:r>
    </w:p>
  </w:footnote>
  <w:footnote w:id="129">
    <w:p w14:paraId="17FB7F02" w14:textId="77777777" w:rsidR="00583012" w:rsidRPr="00665AF1" w:rsidRDefault="00583012" w:rsidP="00532B54">
      <w:pPr>
        <w:pStyle w:val="FootnoteText"/>
      </w:pPr>
      <w:r w:rsidRPr="000D6ECE">
        <w:rPr>
          <w:rStyle w:val="FootnoteReference"/>
        </w:rPr>
        <w:footnoteRef/>
      </w:r>
      <w:r w:rsidRPr="000D6ECE">
        <w:t xml:space="preserve"> More details can be found here:</w:t>
      </w:r>
      <w:r w:rsidRPr="008A123C">
        <w:t xml:space="preserve"> </w:t>
      </w:r>
      <w:hyperlink r:id="rId20" w:history="1">
        <w:r w:rsidRPr="00A439CE">
          <w:rPr>
            <w:rStyle w:val="Hyperlink"/>
          </w:rPr>
          <w:t>The NDIS Participant Employment Strategy 2019-22</w:t>
        </w:r>
      </w:hyperlink>
      <w:r w:rsidRPr="00665AF1">
        <w:t xml:space="preserve"> </w:t>
      </w:r>
    </w:p>
  </w:footnote>
  <w:footnote w:id="130">
    <w:p w14:paraId="26443BA1" w14:textId="77777777" w:rsidR="00583012" w:rsidRDefault="00583012" w:rsidP="00532B54">
      <w:pPr>
        <w:pStyle w:val="FootnoteText"/>
      </w:pPr>
      <w:r>
        <w:rPr>
          <w:rStyle w:val="FootnoteReference"/>
        </w:rPr>
        <w:footnoteRef/>
      </w:r>
      <w:r>
        <w:t xml:space="preserve"> Also available on the same webpage as the NDIS Participant Employment Strategy 2019-22</w:t>
      </w:r>
    </w:p>
  </w:footnote>
  <w:footnote w:id="131">
    <w:p w14:paraId="22B06968" w14:textId="77777777" w:rsidR="00583012" w:rsidRDefault="00583012" w:rsidP="00532B54">
      <w:pPr>
        <w:pStyle w:val="FootnoteText"/>
        <w:rPr>
          <w:rFonts w:eastAsia="Yu Mincho" w:cs="Arial"/>
        </w:rPr>
      </w:pPr>
      <w:r w:rsidRPr="3BF97D5B">
        <w:rPr>
          <w:rStyle w:val="FootnoteReference"/>
          <w:rFonts w:eastAsia="Yu Mincho" w:cs="Arial"/>
        </w:rPr>
        <w:footnoteRef/>
      </w:r>
      <w:r w:rsidRPr="3BF97D5B">
        <w:rPr>
          <w:rFonts w:eastAsia="Yu Mincho" w:cs="Arial"/>
        </w:rPr>
        <w:t xml:space="preserve"> </w:t>
      </w:r>
      <w:r w:rsidRPr="50E79919">
        <w:rPr>
          <w:rFonts w:eastAsia="Yu Mincho" w:cs="Arial"/>
        </w:rPr>
        <w:t>Under the NDIS legislation amendments, from 1 July 2022 ’plan review’ will be referred to as ’plan reassessment’. An internal review of decisions at the request of a participant will continue to use the word ’review’. The terminology as it applied up until 30 June 2022 is used in this report.</w:t>
      </w:r>
    </w:p>
  </w:footnote>
  <w:footnote w:id="132">
    <w:p w14:paraId="64C86D0E" w14:textId="77777777" w:rsidR="00583012" w:rsidRDefault="00583012" w:rsidP="00532B54">
      <w:pPr>
        <w:pStyle w:val="FootnoteText"/>
      </w:pPr>
      <w:r>
        <w:rPr>
          <w:rStyle w:val="FootnoteReference"/>
        </w:rPr>
        <w:footnoteRef/>
      </w:r>
      <w:r>
        <w:t xml:space="preserve"> </w:t>
      </w:r>
      <w:hyperlink r:id="rId21" w:history="1">
        <w:r>
          <w:rPr>
            <w:rStyle w:val="Hyperlink"/>
          </w:rPr>
          <w:t>Employment outcomes - participants, their families and carers | NDIS</w:t>
        </w:r>
      </w:hyperlink>
    </w:p>
  </w:footnote>
  <w:footnote w:id="133">
    <w:p w14:paraId="780CADB7" w14:textId="77777777" w:rsidR="00583012" w:rsidRDefault="00583012" w:rsidP="00532B54">
      <w:pPr>
        <w:pStyle w:val="FootnoteText"/>
      </w:pPr>
      <w:r>
        <w:rPr>
          <w:rStyle w:val="FootnoteReference"/>
        </w:rPr>
        <w:footnoteRef/>
      </w:r>
      <w:r>
        <w:t xml:space="preserve"> </w:t>
      </w:r>
      <w:hyperlink r:id="rId22" w:history="1">
        <w:r>
          <w:rPr>
            <w:rStyle w:val="Hyperlink"/>
          </w:rPr>
          <w:t>Social inclusion and community access - our research | NDIS</w:t>
        </w:r>
      </w:hyperlink>
    </w:p>
  </w:footnote>
  <w:footnote w:id="134">
    <w:p w14:paraId="19713A72" w14:textId="77777777" w:rsidR="00583012" w:rsidRDefault="00583012">
      <w:pPr>
        <w:pStyle w:val="FootnoteText"/>
      </w:pPr>
      <w:r>
        <w:rPr>
          <w:rStyle w:val="FootnoteReference"/>
        </w:rPr>
        <w:footnoteRef/>
      </w:r>
      <w:r>
        <w:t xml:space="preserve"> Figures in this section have been rounded to the nearest whole percentage.</w:t>
      </w:r>
    </w:p>
  </w:footnote>
  <w:footnote w:id="135">
    <w:p w14:paraId="27DBEFB9" w14:textId="77777777" w:rsidR="00583012" w:rsidRDefault="00583012" w:rsidP="00532B54">
      <w:pPr>
        <w:pStyle w:val="FootnoteText"/>
      </w:pPr>
      <w:r>
        <w:rPr>
          <w:rStyle w:val="FootnoteReference"/>
        </w:rPr>
        <w:footnoteRef/>
      </w:r>
      <w:r>
        <w:t xml:space="preserve"> Noting that the education and housing systems have a major role to play in the lifelong learning and home domains.</w:t>
      </w:r>
    </w:p>
  </w:footnote>
  <w:footnote w:id="136">
    <w:p w14:paraId="3B884A8C" w14:textId="77777777" w:rsidR="00583012" w:rsidRDefault="00583012" w:rsidP="00532B54">
      <w:pPr>
        <w:pStyle w:val="FootnoteText"/>
      </w:pPr>
      <w:r>
        <w:rPr>
          <w:rStyle w:val="FootnoteReference"/>
        </w:rPr>
        <w:footnoteRef/>
      </w:r>
      <w:r>
        <w:t xml:space="preserve"> Noting that the education and housing systems have a major role to play in the lifelong learning and home domains.</w:t>
      </w:r>
    </w:p>
  </w:footnote>
  <w:footnote w:id="137">
    <w:p w14:paraId="76A0BB7E" w14:textId="77777777" w:rsidR="00583012" w:rsidRDefault="00583012" w:rsidP="00532B54">
      <w:pPr>
        <w:pStyle w:val="FootnoteText"/>
      </w:pPr>
      <w:r>
        <w:rPr>
          <w:rStyle w:val="FootnoteReference"/>
        </w:rPr>
        <w:footnoteRef/>
      </w:r>
      <w:r>
        <w:t xml:space="preserve"> </w:t>
      </w:r>
      <w:hyperlink r:id="rId23" w:history="1">
        <w:r>
          <w:rPr>
            <w:rStyle w:val="Hyperlink"/>
          </w:rPr>
          <w:t>Family and Carer Outcomes 30 June 2020 | NDIS</w:t>
        </w:r>
      </w:hyperlink>
    </w:p>
  </w:footnote>
  <w:footnote w:id="138">
    <w:p w14:paraId="0F45BA6D" w14:textId="77777777" w:rsidR="00583012" w:rsidRPr="000D6ECE" w:rsidRDefault="00583012" w:rsidP="00532B54">
      <w:pPr>
        <w:pStyle w:val="FootnoteText"/>
        <w:rPr>
          <w:highlight w:val="red"/>
        </w:rPr>
      </w:pPr>
      <w:r w:rsidRPr="000D6ECE">
        <w:rPr>
          <w:rStyle w:val="FootnoteReference"/>
        </w:rPr>
        <w:footnoteRef/>
      </w:r>
      <w:r w:rsidRPr="000D6ECE">
        <w:t xml:space="preserve"> </w:t>
      </w:r>
      <w:r>
        <w:t xml:space="preserve">See also </w:t>
      </w:r>
      <w:hyperlink r:id="rId24" w:history="1">
        <w:r>
          <w:rPr>
            <w:rStyle w:val="Hyperlink"/>
          </w:rPr>
          <w:t>Volume 1 - Inquiry report - Disability Care and Support (pc.gov.au)</w:t>
        </w:r>
      </w:hyperlink>
      <w:r w:rsidRPr="000D6ECE">
        <w:t xml:space="preserve"> pp. 54-55,131</w:t>
      </w:r>
    </w:p>
  </w:footnote>
  <w:footnote w:id="139">
    <w:p w14:paraId="010D9F93" w14:textId="77777777" w:rsidR="00583012" w:rsidRDefault="00583012">
      <w:pPr>
        <w:pStyle w:val="FootnoteText"/>
      </w:pPr>
      <w:r>
        <w:rPr>
          <w:rStyle w:val="FootnoteReference"/>
        </w:rPr>
        <w:footnoteRef/>
      </w:r>
      <w:r>
        <w:t xml:space="preserve"> From paragraph 8b of the Rules for the Scheme Actuary. </w:t>
      </w:r>
      <w:hyperlink r:id="rId25" w:history="1">
        <w:r>
          <w:rPr>
            <w:rStyle w:val="Hyperlink"/>
          </w:rPr>
          <w:t>National Disability Insurance Scheme—Rules for the Scheme Actuary 2013 (legislation.gov.au)</w:t>
        </w:r>
      </w:hyperlink>
      <w:r>
        <w:t xml:space="preserve">. </w:t>
      </w:r>
    </w:p>
  </w:footnote>
  <w:footnote w:id="140">
    <w:p w14:paraId="02AF71D2" w14:textId="77777777" w:rsidR="00583012" w:rsidRDefault="00583012">
      <w:pPr>
        <w:pStyle w:val="FootnoteText"/>
      </w:pPr>
      <w:r>
        <w:rPr>
          <w:rStyle w:val="FootnoteReference"/>
        </w:rPr>
        <w:footnoteRef/>
      </w:r>
      <w:r>
        <w:t xml:space="preserve"> </w:t>
      </w:r>
      <w:hyperlink r:id="rId26" w:history="1">
        <w:r w:rsidRPr="003753B2">
          <w:rPr>
            <w:rStyle w:val="Hyperlink"/>
          </w:rPr>
          <w:t>Insurance Principles and Financial Sustainability Manual (PDF Download)</w:t>
        </w:r>
      </w:hyperlink>
    </w:p>
  </w:footnote>
  <w:footnote w:id="141">
    <w:p w14:paraId="1FAE273C" w14:textId="77777777" w:rsidR="00583012" w:rsidRDefault="00583012">
      <w:pPr>
        <w:pStyle w:val="FootnoteText"/>
      </w:pPr>
      <w:r>
        <w:rPr>
          <w:rStyle w:val="FootnoteReference"/>
        </w:rPr>
        <w:footnoteRef/>
      </w:r>
      <w:r>
        <w:t xml:space="preserve"> </w:t>
      </w:r>
      <w:hyperlink r:id="rId27" w:history="1">
        <w:r>
          <w:rPr>
            <w:rStyle w:val="Hyperlink"/>
          </w:rPr>
          <w:t>Would we fund it | NDIS</w:t>
        </w:r>
      </w:hyperlink>
    </w:p>
  </w:footnote>
  <w:footnote w:id="142">
    <w:p w14:paraId="7723F2A2" w14:textId="77777777" w:rsidR="00583012" w:rsidRDefault="00583012">
      <w:pPr>
        <w:pStyle w:val="FootnoteText"/>
      </w:pPr>
      <w:r>
        <w:rPr>
          <w:rStyle w:val="FootnoteReference"/>
        </w:rPr>
        <w:footnoteRef/>
      </w:r>
      <w:r>
        <w:t xml:space="preserve"> </w:t>
      </w:r>
      <w:hyperlink r:id="rId28" w:history="1">
        <w:r>
          <w:rPr>
            <w:rStyle w:val="Hyperlink"/>
          </w:rPr>
          <w:t>Reasonable and necessary supports | NDIS</w:t>
        </w:r>
      </w:hyperlink>
    </w:p>
  </w:footnote>
  <w:footnote w:id="143">
    <w:p w14:paraId="39202D7F" w14:textId="77777777" w:rsidR="00583012" w:rsidRDefault="00583012">
      <w:pPr>
        <w:pStyle w:val="FootnoteText"/>
      </w:pPr>
      <w:r>
        <w:rPr>
          <w:rStyle w:val="FootnoteReference"/>
        </w:rPr>
        <w:footnoteRef/>
      </w:r>
      <w:r>
        <w:t xml:space="preserve"> </w:t>
      </w:r>
      <w:hyperlink r:id="rId29" w:history="1">
        <w:r>
          <w:rPr>
            <w:rStyle w:val="Hyperlink"/>
          </w:rPr>
          <w:t>Home and living supporting evidence form | NDIS</w:t>
        </w:r>
      </w:hyperlink>
    </w:p>
  </w:footnote>
  <w:footnote w:id="144">
    <w:p w14:paraId="227E2DF1" w14:textId="77777777" w:rsidR="00583012" w:rsidRPr="00D2672A" w:rsidRDefault="00583012" w:rsidP="002C11DC">
      <w:pPr>
        <w:pStyle w:val="FootnoteText"/>
        <w:rPr>
          <w:highlight w:val="yellow"/>
        </w:rPr>
      </w:pPr>
      <w:r w:rsidRPr="00422110">
        <w:rPr>
          <w:rStyle w:val="FootnoteReference"/>
        </w:rPr>
        <w:footnoteRef/>
      </w:r>
      <w:r w:rsidRPr="00422110">
        <w:t xml:space="preserve"> This approach was taken to remove any timing bias related to payments, given that there is a general lag between when supports are provided and when data is received from States/Territory and Commonwealth governments.</w:t>
      </w:r>
    </w:p>
  </w:footnote>
  <w:footnote w:id="145">
    <w:p w14:paraId="5DB530FE" w14:textId="77777777" w:rsidR="00583012" w:rsidRPr="008F2328" w:rsidRDefault="00583012" w:rsidP="002C11DC">
      <w:pPr>
        <w:pStyle w:val="FootnoteText"/>
      </w:pPr>
      <w:r w:rsidRPr="00E172BB">
        <w:rPr>
          <w:rStyle w:val="FootnoteReference"/>
        </w:rPr>
        <w:footnoteRef/>
      </w:r>
      <w:r w:rsidRPr="00E172BB">
        <w:t xml:space="preserve"> “Mature participants” are defined as those who were</w:t>
      </w:r>
      <w:r>
        <w:t xml:space="preserve"> active at both 28 February 2022 and 31 May 2022</w:t>
      </w:r>
      <w:r w:rsidRPr="00E172BB">
        <w:t>, and had their first plan approved on or prior to 2</w:t>
      </w:r>
      <w:r>
        <w:t>8 February 2021</w:t>
      </w:r>
      <w:r w:rsidRPr="00E172BB">
        <w:t>.</w:t>
      </w:r>
    </w:p>
  </w:footnote>
  <w:footnote w:id="146">
    <w:p w14:paraId="0B257431" w14:textId="77777777" w:rsidR="00583012" w:rsidRPr="00422110" w:rsidRDefault="00583012" w:rsidP="002C11DC">
      <w:pPr>
        <w:pStyle w:val="FootnoteText"/>
      </w:pPr>
      <w:r w:rsidRPr="00422110">
        <w:rPr>
          <w:rStyle w:val="FootnoteReference"/>
        </w:rPr>
        <w:footnoteRef/>
      </w:r>
      <w:r w:rsidRPr="00422110">
        <w:t xml:space="preserve"> Separate projections are performed for primary disability, level of function, age</w:t>
      </w:r>
      <w:r>
        <w:t>, gender</w:t>
      </w:r>
      <w:r w:rsidRPr="00422110">
        <w:t xml:space="preserve"> and whether or not a participant </w:t>
      </w:r>
      <w:r>
        <w:t>has</w:t>
      </w:r>
      <w:r w:rsidRPr="00422110">
        <w:t xml:space="preserve"> SIL</w:t>
      </w:r>
      <w:r>
        <w:t xml:space="preserve"> supports</w:t>
      </w:r>
      <w:r w:rsidRPr="00422110">
        <w:t>.</w:t>
      </w:r>
    </w:p>
  </w:footnote>
  <w:footnote w:id="147">
    <w:p w14:paraId="36E72F34" w14:textId="77777777" w:rsidR="00583012" w:rsidRPr="00D2672A" w:rsidRDefault="00583012" w:rsidP="002C11DC">
      <w:pPr>
        <w:pStyle w:val="FootnoteText"/>
        <w:rPr>
          <w:highlight w:val="yellow"/>
        </w:rPr>
      </w:pPr>
      <w:r w:rsidRPr="00422110">
        <w:rPr>
          <w:rStyle w:val="FootnoteReference"/>
        </w:rPr>
        <w:footnoteRef/>
      </w:r>
      <w:r w:rsidRPr="00422110">
        <w:t xml:space="preserve"> For example, payments tend to exhibit a higher peak during May and June. This is likely to be due to providers finalising accounts in the lead up to the end of the financial year.</w:t>
      </w:r>
    </w:p>
  </w:footnote>
  <w:footnote w:id="148">
    <w:p w14:paraId="5E0AA898" w14:textId="77777777" w:rsidR="00583012" w:rsidRPr="00EB51DF" w:rsidRDefault="00583012" w:rsidP="002C11DC">
      <w:pPr>
        <w:pStyle w:val="FootnoteText"/>
      </w:pPr>
      <w:r w:rsidRPr="00422110">
        <w:rPr>
          <w:rStyle w:val="FootnoteReference"/>
        </w:rPr>
        <w:footnoteRef/>
      </w:r>
      <w:r w:rsidRPr="00422110">
        <w:t xml:space="preserve"> Payment relativity is defined as average annualised payments for the period relative to the overall average annualised payments for the financial year.</w:t>
      </w:r>
    </w:p>
  </w:footnote>
  <w:footnote w:id="149">
    <w:p w14:paraId="59F2ACBA" w14:textId="77777777" w:rsidR="00583012" w:rsidRDefault="00583012" w:rsidP="002C11DC">
      <w:pPr>
        <w:pStyle w:val="FootnoteText"/>
      </w:pPr>
      <w:r>
        <w:rPr>
          <w:rStyle w:val="FootnoteReference"/>
        </w:rPr>
        <w:footnoteRef/>
      </w:r>
      <w:r>
        <w:t xml:space="preserve"> Those participants who </w:t>
      </w:r>
      <w:r w:rsidRPr="000E6D8A">
        <w:t>had been in the Scheme for at l</w:t>
      </w:r>
      <w:r>
        <w:t>east one year as at 30 June 2021</w:t>
      </w:r>
    </w:p>
  </w:footnote>
  <w:footnote w:id="150">
    <w:p w14:paraId="4DD94FC9" w14:textId="77777777" w:rsidR="00583012" w:rsidRDefault="00583012" w:rsidP="002C11DC">
      <w:pPr>
        <w:pStyle w:val="FootnoteText"/>
      </w:pPr>
      <w:r>
        <w:rPr>
          <w:rStyle w:val="FootnoteReference"/>
        </w:rPr>
        <w:footnoteRef/>
      </w:r>
      <w:r>
        <w:t xml:space="preserve"> The top 10% is equivalent to ventiles 19 and 20</w:t>
      </w:r>
    </w:p>
  </w:footnote>
  <w:footnote w:id="151">
    <w:p w14:paraId="24D6A14C" w14:textId="77777777" w:rsidR="00583012" w:rsidRDefault="00583012" w:rsidP="002C11DC">
      <w:pPr>
        <w:pStyle w:val="FootnoteText"/>
      </w:pPr>
      <w:r>
        <w:rPr>
          <w:rStyle w:val="FootnoteReference"/>
        </w:rPr>
        <w:footnoteRef/>
      </w:r>
      <w:r>
        <w:t xml:space="preserve"> The bottom 40% is equivalent to ventiles 1 to 8</w:t>
      </w:r>
    </w:p>
  </w:footnote>
  <w:footnote w:id="152">
    <w:p w14:paraId="58F69AD4" w14:textId="77777777" w:rsidR="00583012" w:rsidRDefault="00583012">
      <w:pPr>
        <w:pStyle w:val="FootnoteText"/>
      </w:pPr>
      <w:r>
        <w:rPr>
          <w:rStyle w:val="FootnoteReference"/>
        </w:rPr>
        <w:footnoteRef/>
      </w:r>
      <w:r>
        <w:t xml:space="preserve"> The reduction in projected Scheme expenses for Capacity Building Employment is because some employment related supports have been reclassified under Core supports since the 2020-21 AFSR.</w:t>
      </w:r>
    </w:p>
  </w:footnote>
  <w:footnote w:id="153">
    <w:p w14:paraId="079E9607" w14:textId="77777777" w:rsidR="00583012" w:rsidRDefault="00583012" w:rsidP="00E9788C">
      <w:pPr>
        <w:pStyle w:val="FootnoteText"/>
      </w:pPr>
      <w:r>
        <w:rPr>
          <w:rStyle w:val="FootnoteReference"/>
        </w:rPr>
        <w:footnoteRef/>
      </w:r>
      <w:r>
        <w:t xml:space="preserve"> The percentages are calculated using the projected GDP at the time of each review.</w:t>
      </w:r>
    </w:p>
  </w:footnote>
  <w:footnote w:id="154">
    <w:p w14:paraId="69EE4A4E" w14:textId="77777777" w:rsidR="00583012" w:rsidRDefault="00583012">
      <w:pPr>
        <w:pStyle w:val="FootnoteText"/>
      </w:pPr>
      <w:r>
        <w:rPr>
          <w:rStyle w:val="FootnoteReference"/>
        </w:rPr>
        <w:footnoteRef/>
      </w:r>
      <w:r>
        <w:t xml:space="preserve"> The assumption relating to new entrant rates is </w:t>
      </w:r>
      <w:r w:rsidRPr="00966299">
        <w:t>15% higher than those assumed in the baseline projections</w:t>
      </w:r>
      <w:r>
        <w:t>, whilst the projected number of previously unmet need participants remains unchanged from the baseline projections</w:t>
      </w:r>
      <w:r w:rsidRPr="00966299">
        <w:t>.</w:t>
      </w:r>
      <w:r>
        <w:t xml:space="preserve"> For this reason, the change in new participant numbers shown here is less than 15%.</w:t>
      </w:r>
    </w:p>
  </w:footnote>
  <w:footnote w:id="155">
    <w:p w14:paraId="75A58247" w14:textId="77777777" w:rsidR="00583012" w:rsidRDefault="00583012">
      <w:pPr>
        <w:pStyle w:val="FootnoteText"/>
      </w:pPr>
      <w:r>
        <w:rPr>
          <w:rStyle w:val="FootnoteReference"/>
        </w:rPr>
        <w:footnoteRef/>
      </w:r>
      <w:r>
        <w:t xml:space="preserve"> T</w:t>
      </w:r>
      <w:r>
        <w:rPr>
          <w:rFonts w:cs="Arial"/>
        </w:rPr>
        <w:t>he quoted new entrant rate in the 2020-21 AFSR of 267.3 participants per 100,000 population excluded the new entrant rate for the other disability type, despite it being included in the projections shown in that report. The new entrant rate adopted in the 2020-21 AFSR (including the other disability type) was 271.6 participants per 100,000 population.</w:t>
      </w:r>
    </w:p>
  </w:footnote>
  <w:footnote w:id="156">
    <w:p w14:paraId="6983C5DE" w14:textId="77777777" w:rsidR="00583012" w:rsidRDefault="00583012" w:rsidP="00994C5F">
      <w:pPr>
        <w:pStyle w:val="FootnoteText"/>
      </w:pPr>
      <w:r>
        <w:rPr>
          <w:rStyle w:val="FootnoteReference"/>
        </w:rPr>
        <w:footnoteRef/>
      </w:r>
      <w:r>
        <w:t xml:space="preserve"> No new entrant rate is shown for the 2016 year as no geographic region phased into the Scheme in that year.</w:t>
      </w:r>
    </w:p>
  </w:footnote>
  <w:footnote w:id="157">
    <w:p w14:paraId="7F4ABB06" w14:textId="77777777" w:rsidR="00583012" w:rsidRDefault="00583012">
      <w:pPr>
        <w:pStyle w:val="FootnoteText"/>
      </w:pPr>
      <w:r>
        <w:rPr>
          <w:rStyle w:val="FootnoteReference"/>
        </w:rPr>
        <w:footnoteRef/>
      </w:r>
      <w:r>
        <w:t xml:space="preserve"> While the intention would be to conduct a review of participants leaving the Scheme annually, the actual period between reviews may be more or less than 12 months depending on factors such as upcoming changes to data definitions, changes to operational process or unanticipated changes in the emerging experience.</w:t>
      </w:r>
    </w:p>
  </w:footnote>
  <w:footnote w:id="158">
    <w:p w14:paraId="70F5CC2A" w14:textId="77777777" w:rsidR="00583012" w:rsidRPr="0073409B" w:rsidRDefault="00583012" w:rsidP="00DA3375">
      <w:pPr>
        <w:pStyle w:val="FootnoteText"/>
      </w:pPr>
      <w:r>
        <w:rPr>
          <w:rStyle w:val="FootnoteReference"/>
        </w:rPr>
        <w:footnoteRef/>
      </w:r>
      <w:r>
        <w:t xml:space="preserve"> This report also addresses the recommendation made by Taylor Fry in their independent review of the AFSR model to undertake comprehensive reviews of the experience of participants leaving the Scheme.</w:t>
      </w:r>
    </w:p>
  </w:footnote>
  <w:footnote w:id="159">
    <w:p w14:paraId="20A6522F" w14:textId="77777777" w:rsidR="00583012" w:rsidRPr="00900E22" w:rsidRDefault="00583012" w:rsidP="00DA3375">
      <w:pPr>
        <w:pStyle w:val="FootnoteText"/>
      </w:pPr>
      <w:r w:rsidRPr="0003482C">
        <w:rPr>
          <w:rStyle w:val="FootnoteReference"/>
        </w:rPr>
        <w:footnoteRef/>
      </w:r>
      <w:r w:rsidRPr="0003482C">
        <w:t xml:space="preserve"> There are small differences between the rates of participants leaving shown in Figure </w:t>
      </w:r>
      <w:r>
        <w:t>I.6</w:t>
      </w:r>
      <w:r w:rsidRPr="0003482C">
        <w:t xml:space="preserve">, which is based on data as at 28 February 2022, and Figure </w:t>
      </w:r>
      <w:r>
        <w:t>I.3</w:t>
      </w:r>
      <w:r w:rsidRPr="0003482C">
        <w:t xml:space="preserve">, due to retrospective changes and corrections to data since 30 September 2021. This also applies to Figure </w:t>
      </w:r>
      <w:r>
        <w:t>I.7</w:t>
      </w:r>
      <w:r w:rsidRPr="0003482C">
        <w:t xml:space="preserve"> and Figure </w:t>
      </w:r>
      <w:r>
        <w:t>I.8</w:t>
      </w:r>
      <w:r w:rsidRPr="0003482C">
        <w:t xml:space="preserve"> compared with Figure </w:t>
      </w:r>
      <w:r>
        <w:t>I.4</w:t>
      </w:r>
      <w:r w:rsidRPr="0003482C">
        <w:t xml:space="preserve"> and Figure </w:t>
      </w:r>
      <w:r>
        <w:t>I.5</w:t>
      </w:r>
      <w:r w:rsidRPr="0003482C">
        <w:t xml:space="preserve"> respectively.</w:t>
      </w:r>
    </w:p>
  </w:footnote>
  <w:footnote w:id="160">
    <w:p w14:paraId="27AB9058" w14:textId="77777777" w:rsidR="00583012" w:rsidRDefault="00583012">
      <w:pPr>
        <w:pStyle w:val="FootnoteText"/>
      </w:pPr>
      <w:r>
        <w:rPr>
          <w:rStyle w:val="FootnoteReference"/>
        </w:rPr>
        <w:footnoteRef/>
      </w:r>
      <w:r>
        <w:t xml:space="preserve"> Since this advice was provided the NARB has been renamed as the ‘National Access and Reassessment Branch’ in line with </w:t>
      </w:r>
      <w:r w:rsidRPr="50E79919">
        <w:rPr>
          <w:rFonts w:eastAsia="Yu Mincho" w:cs="Arial"/>
        </w:rPr>
        <w:t>NDIS legislation amendments</w:t>
      </w:r>
      <w:r>
        <w:rPr>
          <w:rFonts w:eastAsia="Yu Mincho" w:cs="Arial"/>
        </w:rPr>
        <w:t xml:space="preserve"> which came into effect </w:t>
      </w:r>
      <w:r w:rsidRPr="50E79919">
        <w:rPr>
          <w:rFonts w:eastAsia="Yu Mincho" w:cs="Arial"/>
        </w:rPr>
        <w:t>from 1 July 2022.</w:t>
      </w:r>
    </w:p>
  </w:footnote>
  <w:footnote w:id="161">
    <w:p w14:paraId="7BCD4D71" w14:textId="77777777" w:rsidR="00583012" w:rsidRDefault="00583012">
      <w:pPr>
        <w:pStyle w:val="FootnoteText"/>
      </w:pPr>
      <w:r>
        <w:rPr>
          <w:rStyle w:val="FootnoteReference"/>
        </w:rPr>
        <w:footnoteRef/>
      </w:r>
      <w:r>
        <w:t xml:space="preserve"> While the intention would be to conduct a review of the mortality of Scheme participants annually, the actual period between reviews may be more or less than 12 months depending on factors such as upcoming changes to data definitions, changes to operational process or unanticipated changes in the emerging experience.</w:t>
      </w:r>
    </w:p>
  </w:footnote>
  <w:footnote w:id="162">
    <w:p w14:paraId="0E20E137" w14:textId="77777777" w:rsidR="00583012" w:rsidRPr="00A1078C" w:rsidRDefault="00583012" w:rsidP="004A5D62">
      <w:pPr>
        <w:pStyle w:val="FootnoteText"/>
        <w:spacing w:after="100"/>
      </w:pPr>
      <w:r>
        <w:rPr>
          <w:rStyle w:val="FootnoteReference"/>
        </w:rPr>
        <w:footnoteRef/>
      </w:r>
      <w:r>
        <w:t xml:space="preserve"> Australian Bureau of Statistics Survey of Disability, Ageing and Caring (ABS SDAC) </w:t>
      </w:r>
    </w:p>
  </w:footnote>
  <w:footnote w:id="163">
    <w:p w14:paraId="1E6CA385" w14:textId="77777777" w:rsidR="00583012" w:rsidRDefault="00583012" w:rsidP="003E1EEF">
      <w:pPr>
        <w:pStyle w:val="FootnoteText"/>
      </w:pPr>
      <w:r>
        <w:rPr>
          <w:rStyle w:val="FootnoteReference"/>
        </w:rPr>
        <w:footnoteRef/>
      </w:r>
      <w:r>
        <w:t xml:space="preserve"> </w:t>
      </w:r>
      <w:hyperlink r:id="rId30" w:anchor=":~:text=Data%20downloads-,Key%20statistics,the%20highest%20female%20life%20expectancy." w:history="1">
        <w:r>
          <w:rPr>
            <w:rStyle w:val="Hyperlink"/>
          </w:rPr>
          <w:t>Life Tables 2016</w:t>
        </w:r>
        <w:r>
          <w:rPr>
            <w:rStyle w:val="Hyperlink"/>
          </w:rPr>
          <w:noBreakHyphen/>
          <w:t xml:space="preserve">18 | Australian </w:t>
        </w:r>
        <w:r w:rsidRPr="00915332">
          <w:rPr>
            <w:rStyle w:val="Hyperlink"/>
          </w:rPr>
          <w:t>Bureau of Statistics (abs.gov.au)</w:t>
        </w:r>
      </w:hyperlink>
      <w:r>
        <w:t xml:space="preserve"> Life tables are produced to show the probabilities of an individual living or dying at a particular age, based on the experience over the period analysed. The Australian Life Table 2016-18 (ALT16-18) is based on mortality experience in Australia over the period 2016 to 2018. </w:t>
      </w:r>
    </w:p>
  </w:footnote>
  <w:footnote w:id="164">
    <w:p w14:paraId="48C9E30F" w14:textId="77777777" w:rsidR="00583012" w:rsidRDefault="00583012" w:rsidP="008D7B09">
      <w:pPr>
        <w:pStyle w:val="FootnoteText"/>
      </w:pPr>
      <w:r>
        <w:rPr>
          <w:rStyle w:val="FootnoteReference"/>
        </w:rPr>
        <w:footnoteRef/>
      </w:r>
      <w:r>
        <w:t xml:space="preserve"> </w:t>
      </w:r>
      <w:hyperlink r:id="rId31" w:history="1">
        <w:r>
          <w:rPr>
            <w:rStyle w:val="Hyperlink"/>
          </w:rPr>
          <w:t>Life tables, 2018 - 2020 | Australian Bureau of Statistics (abs.gov.au)</w:t>
        </w:r>
      </w:hyperlink>
    </w:p>
  </w:footnote>
  <w:footnote w:id="165">
    <w:p w14:paraId="041883B4" w14:textId="77777777" w:rsidR="00583012" w:rsidRPr="00152133" w:rsidRDefault="00583012" w:rsidP="004A5D62">
      <w:pPr>
        <w:pStyle w:val="FootnoteText"/>
        <w:spacing w:after="100"/>
      </w:pPr>
      <w:r w:rsidRPr="00152133">
        <w:rPr>
          <w:rStyle w:val="FootnoteReference"/>
        </w:rPr>
        <w:footnoteRef/>
      </w:r>
      <w:r w:rsidRPr="00152133">
        <w:t xml:space="preserve"> The Limited Fluctuation method was </w:t>
      </w:r>
      <w:r>
        <w:t>applied to number of deaths</w:t>
      </w:r>
      <w:r w:rsidRPr="00152133">
        <w:t xml:space="preserve">, where the credibility (Z) of an estimate is defined by the probability (P) that it is within a tolerance (k) of the true value. The selected value of P was 95% and k was 5%. Based on this, the number of </w:t>
      </w:r>
      <w:r>
        <w:t>deaths</w:t>
      </w:r>
      <w:r w:rsidRPr="00152133">
        <w:t xml:space="preserve"> require</w:t>
      </w:r>
      <w:r>
        <w:t xml:space="preserve">d for full credibility within each group </w:t>
      </w:r>
      <w:r w:rsidRPr="00152133">
        <w:t>is 1,537. To calculate the credibility factor, the “square root rule” was used</w:t>
      </w:r>
      <w:r>
        <w:t>; this formula is</w:t>
      </w:r>
      <w:r w:rsidRPr="00152133">
        <w:t xml:space="preserve"> Z = SQRT(N/1</w:t>
      </w:r>
      <w:r>
        <w:t>537</w:t>
      </w:r>
      <w:r w:rsidRPr="00152133">
        <w:t xml:space="preserve">) where N is the observed number of </w:t>
      </w:r>
      <w:r>
        <w:t>deaths</w:t>
      </w:r>
      <w:r w:rsidRPr="00152133">
        <w:t>.</w:t>
      </w:r>
    </w:p>
  </w:footnote>
  <w:footnote w:id="166">
    <w:p w14:paraId="3B814E48" w14:textId="77777777" w:rsidR="00583012" w:rsidRPr="009A6458" w:rsidRDefault="00583012" w:rsidP="004A5D62">
      <w:pPr>
        <w:pStyle w:val="FootnoteText"/>
        <w:spacing w:after="100"/>
      </w:pPr>
      <w:r>
        <w:rPr>
          <w:rStyle w:val="FootnoteReference"/>
        </w:rPr>
        <w:footnoteRef/>
      </w:r>
      <w:r>
        <w:t xml:space="preserve"> </w:t>
      </w:r>
      <w:r w:rsidRPr="009A6458">
        <w:t>Due to small number of deaths, credibility factors are determined at level of function groups (i</w:t>
      </w:r>
      <w:r>
        <w:t>.</w:t>
      </w:r>
      <w:r w:rsidRPr="009A6458">
        <w:t>e</w:t>
      </w:r>
      <w:r>
        <w:t>.</w:t>
      </w:r>
      <w:r w:rsidRPr="009A6458">
        <w:t xml:space="preserve"> including all ages). </w:t>
      </w:r>
    </w:p>
  </w:footnote>
  <w:footnote w:id="167">
    <w:p w14:paraId="6AA4FB57" w14:textId="77777777" w:rsidR="00583012" w:rsidRPr="00BE2F7C" w:rsidRDefault="00583012" w:rsidP="004A5D62">
      <w:pPr>
        <w:pStyle w:val="FootnoteText"/>
        <w:spacing w:after="100"/>
      </w:pPr>
      <w:r>
        <w:rPr>
          <w:rStyle w:val="FootnoteReference"/>
        </w:rPr>
        <w:footnoteRef/>
      </w:r>
      <w:r>
        <w:t xml:space="preserve"> However, no credibility has been given to the actual experience for small participant groups (by </w:t>
      </w:r>
      <w:r w:rsidRPr="00CC0533">
        <w:t>age</w:t>
      </w:r>
      <w:r>
        <w:t xml:space="preserve"> group</w:t>
      </w:r>
      <w:r w:rsidRPr="00CC0533">
        <w:t>, gender, primary disability and level of function</w:t>
      </w:r>
      <w:r>
        <w:t>) with less than 10 exposure years.</w:t>
      </w:r>
    </w:p>
  </w:footnote>
  <w:footnote w:id="168">
    <w:p w14:paraId="564B3AFB" w14:textId="77777777" w:rsidR="00583012" w:rsidRDefault="00583012">
      <w:pPr>
        <w:pStyle w:val="FootnoteText"/>
      </w:pPr>
      <w:r>
        <w:rPr>
          <w:rStyle w:val="FootnoteReference"/>
        </w:rPr>
        <w:footnoteRef/>
      </w:r>
      <w:r>
        <w:t xml:space="preserve"> </w:t>
      </w:r>
      <w:r w:rsidRPr="00CF467F">
        <w:t>Each chart includes bars showing the actual number of deaths and dots showing the expected number of deaths. Results are presented by calendar year. For 2022, only the data for the first two months of 2022 have been considered and, as is normal, significant levels of random fluctuations in experience occur over such a short period. Accordingly, calendar years 2020 and 2021 are referred to as recent experience at the review date.</w:t>
      </w:r>
      <w:r>
        <w:t xml:space="preserve"> The reported level of function in regular monitoring is grouped in High / Medium / Low based on the normalised assessment scores of the participants, and the results shown here follow this grouping.</w:t>
      </w:r>
    </w:p>
  </w:footnote>
  <w:footnote w:id="169">
    <w:p w14:paraId="1F228B1F" w14:textId="77777777" w:rsidR="00583012" w:rsidRDefault="00583012" w:rsidP="00F830E6">
      <w:pPr>
        <w:pStyle w:val="FSRnormal"/>
      </w:pPr>
      <w:r>
        <w:rPr>
          <w:rStyle w:val="FootnoteReference"/>
        </w:rPr>
        <w:footnoteRef/>
      </w:r>
      <w:r>
        <w:t xml:space="preserve"> </w:t>
      </w:r>
      <w:r w:rsidRPr="00CB3C7A">
        <w:rPr>
          <w:sz w:val="20"/>
          <w:szCs w:val="20"/>
        </w:rPr>
        <w:t>Comparison of actual and expected mortality experience also includes participants whose gender is recorded as “other”, however this group has a very small exposure and has not been studied in greater detail.</w:t>
      </w:r>
    </w:p>
  </w:footnote>
  <w:footnote w:id="170">
    <w:p w14:paraId="0B3FF93C" w14:textId="77777777" w:rsidR="00583012" w:rsidRDefault="00583012">
      <w:pPr>
        <w:pStyle w:val="FootnoteText"/>
      </w:pPr>
      <w:r>
        <w:rPr>
          <w:rStyle w:val="FootnoteReference"/>
        </w:rPr>
        <w:footnoteRef/>
      </w:r>
      <w:r>
        <w:t xml:space="preserve"> Note this includes a revision to the rates for male participants with a primary disability type of other sensory/ speech which was applied incorrectly in the 2020-21 AFSR. This had an immaterial impact on the 2020-21 AFSR projection results.</w:t>
      </w:r>
    </w:p>
  </w:footnote>
  <w:footnote w:id="171">
    <w:p w14:paraId="30492586" w14:textId="77777777" w:rsidR="00583012" w:rsidRPr="00552946" w:rsidRDefault="00583012" w:rsidP="003734E1">
      <w:pPr>
        <w:pStyle w:val="FootnoteText"/>
      </w:pPr>
      <w:r w:rsidRPr="00552946">
        <w:rPr>
          <w:rStyle w:val="FootnoteReference"/>
        </w:rPr>
        <w:footnoteRef/>
      </w:r>
      <w:r w:rsidRPr="00552946">
        <w:t xml:space="preserve"> </w:t>
      </w:r>
      <w:r>
        <w:t>NDIS,</w:t>
      </w:r>
      <w:r w:rsidRPr="00552946">
        <w:t xml:space="preserve"> </w:t>
      </w:r>
      <w:r w:rsidRPr="00776EA4">
        <w:rPr>
          <w:i/>
          <w:iCs/>
        </w:rPr>
        <w:t>Employment outcomes for NDIS participants as at 31 December 2020</w:t>
      </w:r>
      <w:r>
        <w:t xml:space="preserve">.  </w:t>
      </w:r>
      <w:r w:rsidRPr="001409E8">
        <w:t>https://data.ndis.gov.au/media/2815/download?attachment</w:t>
      </w:r>
    </w:p>
  </w:footnote>
  <w:footnote w:id="172">
    <w:p w14:paraId="01315E66" w14:textId="77777777" w:rsidR="00583012" w:rsidRDefault="00583012" w:rsidP="003734E1">
      <w:pPr>
        <w:pStyle w:val="FootnoteText"/>
        <w:spacing w:after="40"/>
      </w:pPr>
      <w:r w:rsidRPr="00552946">
        <w:rPr>
          <w:rStyle w:val="FootnoteReference"/>
        </w:rPr>
        <w:footnoteRef/>
      </w:r>
      <w:r w:rsidRPr="00552946">
        <w:t xml:space="preserve"> </w:t>
      </w:r>
      <w:r w:rsidRPr="00776EA4">
        <w:t>NDIS</w:t>
      </w:r>
      <w:r>
        <w:t xml:space="preserve">, </w:t>
      </w:r>
      <w:r>
        <w:rPr>
          <w:i/>
          <w:iCs/>
        </w:rPr>
        <w:t>Annual Financial Sustainability Report 2020-21</w:t>
      </w:r>
      <w:r w:rsidRPr="00776EA4">
        <w:t xml:space="preserve">, </w:t>
      </w:r>
      <w:r>
        <w:t>p</w:t>
      </w:r>
      <w:r w:rsidRPr="00776EA4">
        <w:t>99</w:t>
      </w:r>
      <w:r>
        <w:t xml:space="preserve">-100. </w:t>
      </w:r>
      <w:r w:rsidRPr="00F50A5F">
        <w:t>https://www.ndis.gov.au/about-us/publications/annual-financial-sustainability-reports</w:t>
      </w:r>
    </w:p>
  </w:footnote>
  <w:footnote w:id="173">
    <w:p w14:paraId="5DFF24ED" w14:textId="77777777" w:rsidR="00583012" w:rsidRDefault="00583012" w:rsidP="003734E1">
      <w:pPr>
        <w:pStyle w:val="FootnoteText"/>
        <w:spacing w:after="40"/>
      </w:pPr>
      <w:r>
        <w:rPr>
          <w:rStyle w:val="FootnoteReference"/>
        </w:rPr>
        <w:footnoteRef/>
      </w:r>
      <w:r>
        <w:t xml:space="preserve"> This does not apply to questions asking how the NDIS has helped participants. For these questions, responses are collected from participants at first review and compared over time when asked at subsequent plan reviews.</w:t>
      </w:r>
    </w:p>
  </w:footnote>
  <w:footnote w:id="174">
    <w:p w14:paraId="203888F1" w14:textId="77777777" w:rsidR="00583012" w:rsidRDefault="00583012" w:rsidP="003734E1">
      <w:pPr>
        <w:pStyle w:val="FootnoteText"/>
        <w:spacing w:after="40"/>
      </w:pPr>
      <w:r>
        <w:rPr>
          <w:rStyle w:val="FootnoteReference"/>
        </w:rPr>
        <w:footnoteRef/>
      </w:r>
      <w:r>
        <w:t xml:space="preserve"> More about the Short Form and Long Form outcomes questionnaires can be found on this page: </w:t>
      </w:r>
      <w:r w:rsidRPr="00B42401">
        <w:t>https://</w:t>
      </w:r>
      <w:r w:rsidRPr="002411D4">
        <w:t>data</w:t>
      </w:r>
      <w:r w:rsidRPr="00B42401">
        <w:t>.ndis.gov.au/</w:t>
      </w:r>
      <w:r w:rsidRPr="002411D4">
        <w:t>reports-and-analyses/</w:t>
      </w:r>
      <w:r w:rsidRPr="00B42401">
        <w:t>outcomes-</w:t>
      </w:r>
      <w:r w:rsidRPr="002411D4">
        <w:t>and-goals</w:t>
      </w:r>
    </w:p>
  </w:footnote>
  <w:footnote w:id="175">
    <w:p w14:paraId="33EA599F" w14:textId="77777777" w:rsidR="00583012" w:rsidRPr="00CD362F" w:rsidRDefault="00583012" w:rsidP="003734E1">
      <w:pPr>
        <w:pStyle w:val="FootnoteText"/>
      </w:pPr>
      <w:r>
        <w:rPr>
          <w:rStyle w:val="FootnoteReference"/>
        </w:rPr>
        <w:footnoteRef/>
      </w:r>
      <w:r>
        <w:t xml:space="preserve"> Outcomes metrics presented in Section 8 may vary slightly from that presented in Section 7 of this report. This is due to minor differences in methodology.</w:t>
      </w:r>
    </w:p>
    <w:p w14:paraId="407CFAF5" w14:textId="77777777" w:rsidR="00583012" w:rsidRDefault="00583012" w:rsidP="003734E1">
      <w:pPr>
        <w:pStyle w:val="FootnoteText"/>
      </w:pPr>
      <w:r>
        <w:t>Participants who have mismatched ages and questionnaire forms by more than two years (e.g. the participant's age is 12 and their answered questionnaire form is "15 to 24") are omitted.</w:t>
      </w:r>
    </w:p>
    <w:p w14:paraId="15B46CD0" w14:textId="77777777" w:rsidR="00583012" w:rsidRDefault="00583012" w:rsidP="003734E1">
      <w:pPr>
        <w:pStyle w:val="FootnoteText"/>
      </w:pPr>
      <w:r>
        <w:t>Results shown (excluding the ‘NDIS helped’ questions) compare outcomes at baseline to the latest review.</w:t>
      </w:r>
    </w:p>
    <w:p w14:paraId="45BF18F1" w14:textId="77777777" w:rsidR="00583012" w:rsidRDefault="00583012" w:rsidP="003734E1">
      <w:pPr>
        <w:pStyle w:val="FootnoteText"/>
      </w:pPr>
      <w:r>
        <w:t>‘NDIS helped’ questions are compared from first review to the latest review, instead of baseline to the latest review.</w:t>
      </w:r>
    </w:p>
    <w:p w14:paraId="4F2CA3ED" w14:textId="77777777" w:rsidR="00583012" w:rsidRPr="008B6B4F" w:rsidRDefault="00583012" w:rsidP="003734E1">
      <w:pPr>
        <w:pStyle w:val="FootnoteText"/>
      </w:pPr>
      <w:r w:rsidRPr="00D25FFF">
        <w:t xml:space="preserve">Median payments data are calculated only for participants with complete responses a question presented in the table. </w:t>
      </w:r>
      <w:r>
        <w:t>Of this subset, they represent</w:t>
      </w:r>
      <w:r w:rsidRPr="008B6B4F">
        <w:t xml:space="preserve"> the annualised average </w:t>
      </w:r>
      <w:r>
        <w:t xml:space="preserve">payment </w:t>
      </w:r>
      <w:r w:rsidRPr="008B6B4F">
        <w:t xml:space="preserve">over the participant’s time </w:t>
      </w:r>
      <w:r>
        <w:t>in the Scheme</w:t>
      </w:r>
      <w:r w:rsidRPr="008B6B4F">
        <w:t xml:space="preserve"> from baseline to latest review</w:t>
      </w:r>
      <w:r>
        <w:t xml:space="preserve">, </w:t>
      </w:r>
      <w:r w:rsidRPr="008B6B4F">
        <w:t>lagged to account for payment and outcome recording timings</w:t>
      </w:r>
      <w:r>
        <w:t>.</w:t>
      </w:r>
    </w:p>
  </w:footnote>
  <w:footnote w:id="176">
    <w:p w14:paraId="7E9994C9" w14:textId="77777777" w:rsidR="00583012" w:rsidRDefault="00583012" w:rsidP="003734E1">
      <w:pPr>
        <w:pStyle w:val="FootnoteText"/>
      </w:pPr>
      <w:r w:rsidRPr="0DC174EF">
        <w:rPr>
          <w:rStyle w:val="FootnoteReference"/>
          <w:rFonts w:eastAsia="DengXian" w:cs="Cordia New"/>
        </w:rPr>
        <w:footnoteRef/>
      </w:r>
      <w:r w:rsidRPr="0DC174EF">
        <w:rPr>
          <w:rFonts w:eastAsia="DengXian" w:cs="Cordia New"/>
        </w:rPr>
        <w:t xml:space="preserve"> </w:t>
      </w:r>
      <w:r w:rsidRPr="577605B9">
        <w:rPr>
          <w:rFonts w:eastAsia="DengXian" w:cs="Cordia New"/>
        </w:rPr>
        <w:t>Percentages</w:t>
      </w:r>
      <w:r w:rsidRPr="5C1CAC2B">
        <w:rPr>
          <w:rFonts w:eastAsia="DengXian" w:cs="Cordia New"/>
        </w:rPr>
        <w:t xml:space="preserve"> indicate </w:t>
      </w:r>
      <w:r w:rsidRPr="5C05E1AE">
        <w:rPr>
          <w:rFonts w:eastAsia="DengXian" w:cs="Cordia New"/>
        </w:rPr>
        <w:t xml:space="preserve">both participants in open employment as well as </w:t>
      </w:r>
      <w:r w:rsidRPr="5C1CAC2B">
        <w:rPr>
          <w:rFonts w:eastAsia="DengXian" w:cs="Cordia New"/>
        </w:rPr>
        <w:t>Australian Disability Enterprises (ADE</w:t>
      </w:r>
      <w:r w:rsidRPr="577605B9">
        <w:rPr>
          <w:rFonts w:eastAsia="DengXian" w:cs="Cordia New"/>
        </w:rPr>
        <w:t>).</w:t>
      </w:r>
    </w:p>
  </w:footnote>
  <w:footnote w:id="177">
    <w:p w14:paraId="64EDCD1E" w14:textId="77777777" w:rsidR="00583012" w:rsidRDefault="00583012" w:rsidP="003734E1">
      <w:pPr>
        <w:pStyle w:val="FootnoteText"/>
      </w:pPr>
      <w:r>
        <w:rPr>
          <w:rStyle w:val="FootnoteReference"/>
        </w:rPr>
        <w:footnoteRef/>
      </w:r>
      <w:r>
        <w:t xml:space="preserve"> </w:t>
      </w:r>
      <w:r w:rsidRPr="00D504F2">
        <w:rPr>
          <w:sz w:val="18"/>
          <w:szCs w:val="18"/>
        </w:rPr>
        <w:t>It is important to note that outcomes for children such as those in the relationships domain will improve due to normal age-related development</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590D3" w14:textId="77777777" w:rsidR="00583012" w:rsidRDefault="00583012">
    <w:pPr>
      <w:pStyle w:val="Header"/>
    </w:pPr>
    <w:r>
      <w:rPr>
        <w:noProof/>
        <w:lang w:eastAsia="en-AU"/>
      </w:rPr>
      <mc:AlternateContent>
        <mc:Choice Requires="wps">
          <w:drawing>
            <wp:inline distT="0" distB="0" distL="0" distR="0" wp14:anchorId="6617E60E" wp14:editId="3DE18A4B">
              <wp:extent cx="5772150" cy="2308860"/>
              <wp:effectExtent l="0" t="0" r="0" b="0"/>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wps:spPr>
                    <wps:txbx>
                      <w:txbxContent>
                        <w:p w14:paraId="46C003E2" w14:textId="77777777" w:rsidR="00583012" w:rsidRDefault="00583012" w:rsidP="00B17C79">
                          <w:pPr>
                            <w:pStyle w:val="NormalWeb"/>
                            <w:spacing w:before="0" w:beforeAutospacing="0" w:after="0" w:afterAutospacing="0"/>
                            <w:jc w:val="center"/>
                          </w:pPr>
                          <w:r w:rsidRPr="00AF2D4F">
                            <w:rPr>
                              <w:rFonts w:ascii="Arial" w:hAnsi="Arial" w:cs="Arial"/>
                              <w:color w:val="C0C0C0"/>
                              <w:sz w:val="2"/>
                              <w:szCs w:val="2"/>
                            </w:rPr>
                            <w:t>DRAFT</w:t>
                          </w:r>
                        </w:p>
                      </w:txbxContent>
                    </wps:txbx>
                    <wps:bodyPr wrap="square" numCol="1" fromWordArt="1">
                      <a:prstTxWarp prst="textPlain">
                        <a:avLst>
                          <a:gd name="adj" fmla="val 50000"/>
                        </a:avLst>
                      </a:prstTxWarp>
                      <a:sp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C8A8601" id="_x0000_t202" coordsize="21600,21600" o:spt="202" path="m,l,21600r21600,l21600,xe">
              <v:stroke joinstyle="miter"/>
              <v:path gradientshapeok="t" o:connecttype="rect"/>
            </v:shapetype>
            <v:shape id="Text Box 14" o:spid="_x0000_s1026" type="#_x0000_t202" style="width:454.5pt;height:181.8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" filled="f" stroked="f">
              <o:lock v:ext="edit" shapetype="t"/>
              <v:textbox style="mso-fit-shape-to-text:t">
                <w:txbxContent>
                  <w:p w:rsidR="00583012" w:rsidRDefault="00583012" w:rsidP="00B17C79">
                    <w:pPr>
                      <w:pStyle w:val="NormalWeb"/>
                      <w:spacing w:before="0" w:beforeAutospacing="0" w:after="0" w:afterAutospacing="0"/>
                      <w:jc w:val="center"/>
                    </w:pPr>
                    <w:r w:rsidRPr="00AF2D4F">
                      <w:rPr>
                        <w:rFonts w:ascii="Arial" w:hAnsi="Arial" w:cs="Arial"/>
                        <w:color w:val="C0C0C0"/>
                        <w:sz w:val="2"/>
                        <w:szCs w:val="2"/>
                      </w:rPr>
                      <w:t>DRAFT</w:t>
                    </w:r>
                  </w:p>
                </w:txbxContent>
              </v:textbox>
              <w10:anchorlock/>
            </v:shape>
          </w:pict>
        </mc:Fallback>
      </mc:AlternateContent>
    </w:r>
    <w:r>
      <w:rPr>
        <w:noProof/>
        <w:lang w:eastAsia="en-AU"/>
      </w:rPr>
      <mc:AlternateContent>
        <mc:Choice Requires="wps">
          <w:drawing>
            <wp:inline distT="0" distB="0" distL="0" distR="0" wp14:anchorId="1083259B" wp14:editId="1246744B">
              <wp:extent cx="5772150" cy="2308860"/>
              <wp:effectExtent l="0" t="0" r="0" b="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wps:spPr>
                    <wps:txbx>
                      <w:txbxContent>
                        <w:p w14:paraId="753E9160" w14:textId="77777777" w:rsidR="00583012" w:rsidRDefault="00583012" w:rsidP="00B17C79">
                          <w:pPr>
                            <w:pStyle w:val="NormalWeb"/>
                            <w:spacing w:before="0" w:beforeAutospacing="0" w:after="0" w:afterAutospacing="0"/>
                            <w:jc w:val="center"/>
                          </w:pPr>
                          <w:r w:rsidRPr="00AF2D4F">
                            <w:rPr>
                              <w:rFonts w:ascii="Arial" w:hAnsi="Arial" w:cs="Arial"/>
                              <w:color w:val="C0C0C0"/>
                              <w:sz w:val="2"/>
                              <w:szCs w:val="2"/>
                            </w:rPr>
                            <w:t>DRAFT</w:t>
                          </w:r>
                        </w:p>
                      </w:txbxContent>
                    </wps:txbx>
                    <wps:bodyPr wrap="square" numCol="1" fromWordArt="1">
                      <a:prstTxWarp prst="textPlain">
                        <a:avLst>
                          <a:gd name="adj" fmla="val 50000"/>
                        </a:avLst>
                      </a:prstTxWarp>
                      <a:sp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DE0551" id="Text Box 10" o:spid="_x0000_s1027" type="#_x0000_t202" style="width:454.5pt;height:181.8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" filled="f" stroked="f">
              <o:lock v:ext="edit" shapetype="t"/>
              <v:textbox style="mso-fit-shape-to-text:t">
                <w:txbxContent>
                  <w:p w:rsidR="00583012" w:rsidRDefault="00583012" w:rsidP="00B17C79">
                    <w:pPr>
                      <w:pStyle w:val="NormalWeb"/>
                      <w:spacing w:before="0" w:beforeAutospacing="0" w:after="0" w:afterAutospacing="0"/>
                      <w:jc w:val="center"/>
                    </w:pPr>
                    <w:r w:rsidRPr="00AF2D4F">
                      <w:rPr>
                        <w:rFonts w:ascii="Arial" w:hAnsi="Arial" w:cs="Arial"/>
                        <w:color w:val="C0C0C0"/>
                        <w:sz w:val="2"/>
                        <w:szCs w:val="2"/>
                      </w:rPr>
                      <w:t>DRAFT</w:t>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220BE" w14:textId="77777777" w:rsidR="00583012" w:rsidRDefault="00583012">
    <w:pPr>
      <w:pStyle w:val="Header"/>
    </w:pPr>
    <w:r>
      <w:rPr>
        <w:noProof/>
        <w:lang w:eastAsia="en-AU"/>
      </w:rPr>
      <mc:AlternateContent>
        <mc:Choice Requires="wps">
          <w:drawing>
            <wp:inline distT="0" distB="0" distL="0" distR="0" wp14:anchorId="33E81193" wp14:editId="68F7144F">
              <wp:extent cx="5772150" cy="2308860"/>
              <wp:effectExtent l="0" t="0" r="0" b="0"/>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wps:spPr>
                    <wps:txbx>
                      <w:txbxContent>
                        <w:p w14:paraId="73601B52" w14:textId="77777777" w:rsidR="00583012" w:rsidRDefault="00583012" w:rsidP="00B17C79">
                          <w:pPr>
                            <w:pStyle w:val="NormalWeb"/>
                            <w:spacing w:before="0" w:beforeAutospacing="0" w:after="0" w:afterAutospacing="0"/>
                            <w:jc w:val="center"/>
                          </w:pPr>
                          <w:r w:rsidRPr="00AF2D4F">
                            <w:rPr>
                              <w:rFonts w:ascii="Arial" w:hAnsi="Arial" w:cs="Arial"/>
                              <w:color w:val="C0C0C0"/>
                              <w:sz w:val="2"/>
                              <w:szCs w:val="2"/>
                            </w:rPr>
                            <w:t>DRAFT</w:t>
                          </w:r>
                        </w:p>
                      </w:txbxContent>
                    </wps:txbx>
                    <wps:bodyPr wrap="square" numCol="1" fromWordArt="1">
                      <a:prstTxWarp prst="textPlain">
                        <a:avLst>
                          <a:gd name="adj" fmla="val 50000"/>
                        </a:avLst>
                      </a:prstTxWarp>
                      <a:sp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B3DB516" id="_x0000_t202" coordsize="21600,21600" o:spt="202" path="m,l,21600r21600,l21600,xe">
              <v:stroke joinstyle="miter"/>
              <v:path gradientshapeok="t" o:connecttype="rect"/>
            </v:shapetype>
            <v:shape id="Text Box 8" o:spid="_x0000_s1028" type="#_x0000_t202" style="width:454.5pt;height:181.8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" filled="f" stroked="f">
              <o:lock v:ext="edit" shapetype="t"/>
              <v:textbox style="mso-fit-shape-to-text:t">
                <w:txbxContent>
                  <w:p w:rsidR="00583012" w:rsidRDefault="00583012" w:rsidP="00B17C79">
                    <w:pPr>
                      <w:pStyle w:val="NormalWeb"/>
                      <w:spacing w:before="0" w:beforeAutospacing="0" w:after="0" w:afterAutospacing="0"/>
                      <w:jc w:val="center"/>
                    </w:pPr>
                    <w:r w:rsidRPr="00AF2D4F">
                      <w:rPr>
                        <w:rFonts w:ascii="Arial" w:hAnsi="Arial" w:cs="Arial"/>
                        <w:color w:val="C0C0C0"/>
                        <w:sz w:val="2"/>
                        <w:szCs w:val="2"/>
                      </w:rPr>
                      <w:t>DRAFT</w:t>
                    </w:r>
                  </w:p>
                </w:txbxContent>
              </v:textbox>
              <w10:anchorlock/>
            </v:shape>
          </w:pict>
        </mc:Fallback>
      </mc:AlternateContent>
    </w:r>
    <w:r>
      <w:rPr>
        <w:noProof/>
        <w:lang w:eastAsia="en-AU"/>
      </w:rPr>
      <mc:AlternateContent>
        <mc:Choice Requires="wps">
          <w:drawing>
            <wp:inline distT="0" distB="0" distL="0" distR="0" wp14:anchorId="69D307B8" wp14:editId="5FDC02B2">
              <wp:extent cx="5772150" cy="2308860"/>
              <wp:effectExtent l="0" t="0" r="0" b="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wps:spPr>
                    <wps:txbx>
                      <w:txbxContent>
                        <w:p w14:paraId="606C3EBF" w14:textId="77777777" w:rsidR="00583012" w:rsidRDefault="00583012" w:rsidP="00B17C79">
                          <w:pPr>
                            <w:pStyle w:val="NormalWeb"/>
                            <w:spacing w:before="0" w:beforeAutospacing="0" w:after="0" w:afterAutospacing="0"/>
                            <w:jc w:val="center"/>
                          </w:pPr>
                          <w:r w:rsidRPr="00AF2D4F">
                            <w:rPr>
                              <w:rFonts w:ascii="Arial" w:hAnsi="Arial" w:cs="Arial"/>
                              <w:color w:val="C0C0C0"/>
                              <w:sz w:val="2"/>
                              <w:szCs w:val="2"/>
                            </w:rPr>
                            <w:t>DRAFT</w:t>
                          </w:r>
                        </w:p>
                      </w:txbxContent>
                    </wps:txbx>
                    <wps:bodyPr wrap="square" numCol="1" fromWordArt="1">
                      <a:prstTxWarp prst="textPlain">
                        <a:avLst>
                          <a:gd name="adj" fmla="val 50000"/>
                        </a:avLst>
                      </a:prstTxWarp>
                      <a:sp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AAD5E9" id="Text Box 3" o:spid="_x0000_s1029" type="#_x0000_t202" style="width:454.5pt;height:181.8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" filled="f" stroked="f">
              <o:lock v:ext="edit" shapetype="t"/>
              <v:textbox style="mso-fit-shape-to-text:t">
                <w:txbxContent>
                  <w:p w:rsidR="00583012" w:rsidRDefault="00583012" w:rsidP="00B17C79">
                    <w:pPr>
                      <w:pStyle w:val="NormalWeb"/>
                      <w:spacing w:before="0" w:beforeAutospacing="0" w:after="0" w:afterAutospacing="0"/>
                      <w:jc w:val="center"/>
                    </w:pPr>
                    <w:r w:rsidRPr="00AF2D4F">
                      <w:rPr>
                        <w:rFonts w:ascii="Arial" w:hAnsi="Arial" w:cs="Arial"/>
                        <w:color w:val="C0C0C0"/>
                        <w:sz w:val="2"/>
                        <w:szCs w:val="2"/>
                      </w:rPr>
                      <w:t>DRAFT</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1B44A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204353"/>
    <w:multiLevelType w:val="hybridMultilevel"/>
    <w:tmpl w:val="B6709B3E"/>
    <w:lvl w:ilvl="0" w:tplc="C28E4274">
      <w:start w:val="1"/>
      <w:numFmt w:val="bullet"/>
      <w:lvlText w:val="-"/>
      <w:lvlJc w:val="left"/>
      <w:pPr>
        <w:ind w:left="720" w:hanging="360"/>
      </w:pPr>
      <w:rPr>
        <w:rFonts w:ascii="Arial" w:hAnsi="Arial" w:hint="default"/>
      </w:rPr>
    </w:lvl>
    <w:lvl w:ilvl="1" w:tplc="56DE1598">
      <w:start w:val="1"/>
      <w:numFmt w:val="bullet"/>
      <w:pStyle w:val="FSRsublist"/>
      <w:lvlText w:val="-"/>
      <w:lvlJc w:val="left"/>
      <w:pPr>
        <w:ind w:left="1440" w:hanging="360"/>
      </w:pPr>
      <w:rPr>
        <w:rFonts w:ascii="Courier New" w:hAnsi="Courier New" w:hint="default"/>
      </w:rPr>
    </w:lvl>
    <w:lvl w:ilvl="2" w:tplc="0C09001B">
      <w:start w:val="1"/>
      <w:numFmt w:val="lowerRoman"/>
      <w:lvlText w:val="%3."/>
      <w:lvlJc w:val="right"/>
      <w:pPr>
        <w:ind w:left="2160" w:hanging="180"/>
      </w:pPr>
    </w:lvl>
    <w:lvl w:ilvl="3" w:tplc="7E9A7F8E">
      <w:start w:val="1"/>
      <w:numFmt w:val="decimal"/>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BB3CB5"/>
    <w:multiLevelType w:val="hybridMultilevel"/>
    <w:tmpl w:val="5F965C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0842BB"/>
    <w:multiLevelType w:val="hybridMultilevel"/>
    <w:tmpl w:val="7FB274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B642F48"/>
    <w:multiLevelType w:val="hybridMultilevel"/>
    <w:tmpl w:val="589269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C14978"/>
    <w:multiLevelType w:val="hybridMultilevel"/>
    <w:tmpl w:val="79588F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E034A7B"/>
    <w:multiLevelType w:val="multilevel"/>
    <w:tmpl w:val="F93E438E"/>
    <w:lvl w:ilvl="0">
      <w:start w:val="1"/>
      <w:numFmt w:val="decimal"/>
      <w:lvlText w:val="%1"/>
      <w:lvlJc w:val="left"/>
      <w:pPr>
        <w:ind w:left="432" w:hanging="432"/>
      </w:pPr>
      <w:rPr>
        <w:rFonts w:hint="default"/>
      </w:rPr>
    </w:lvl>
    <w:lvl w:ilvl="1">
      <w:start w:val="1"/>
      <w:numFmt w:val="decimal"/>
      <w:lvlRestart w:val="0"/>
      <w:lvlText w:val="6.%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F5A257A"/>
    <w:multiLevelType w:val="hybridMultilevel"/>
    <w:tmpl w:val="C406AA58"/>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F5D1383"/>
    <w:multiLevelType w:val="hybridMultilevel"/>
    <w:tmpl w:val="9B3A73A6"/>
    <w:lvl w:ilvl="0" w:tplc="10D06E32">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B012BF"/>
    <w:multiLevelType w:val="hybridMultilevel"/>
    <w:tmpl w:val="A796B85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AEC14A4"/>
    <w:multiLevelType w:val="hybridMultilevel"/>
    <w:tmpl w:val="F55417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0376A7"/>
    <w:multiLevelType w:val="hybridMultilevel"/>
    <w:tmpl w:val="5AF02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8558D1"/>
    <w:multiLevelType w:val="hybridMultilevel"/>
    <w:tmpl w:val="1B140E5E"/>
    <w:lvl w:ilvl="0" w:tplc="920C78A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7AF216C8">
      <w:start w:val="1"/>
      <w:numFmt w:val="lowerRoman"/>
      <w:lvlText w:val="%4)"/>
      <w:lvlJc w:val="left"/>
      <w:pPr>
        <w:ind w:left="3240" w:hanging="720"/>
      </w:pPr>
      <w:rPr>
        <w:rFonts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5B7544"/>
    <w:multiLevelType w:val="hybridMultilevel"/>
    <w:tmpl w:val="1862D9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88123C"/>
    <w:multiLevelType w:val="multilevel"/>
    <w:tmpl w:val="31C4A18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D91A3F"/>
    <w:multiLevelType w:val="hybridMultilevel"/>
    <w:tmpl w:val="4E0474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0150CF4"/>
    <w:multiLevelType w:val="hybridMultilevel"/>
    <w:tmpl w:val="590A6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3866CB"/>
    <w:multiLevelType w:val="hybridMultilevel"/>
    <w:tmpl w:val="68CA85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EE4050"/>
    <w:multiLevelType w:val="hybridMultilevel"/>
    <w:tmpl w:val="732838BE"/>
    <w:lvl w:ilvl="0" w:tplc="FDB6D420">
      <w:start w:val="3"/>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8B6123E"/>
    <w:multiLevelType w:val="hybridMultilevel"/>
    <w:tmpl w:val="0C3807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9C35679"/>
    <w:multiLevelType w:val="hybridMultilevel"/>
    <w:tmpl w:val="539E3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AF66D94"/>
    <w:multiLevelType w:val="hybridMultilevel"/>
    <w:tmpl w:val="46967FF8"/>
    <w:lvl w:ilvl="0" w:tplc="E8CC80F8">
      <w:numFmt w:val="bullet"/>
      <w:lvlText w:val="-"/>
      <w:lvlJc w:val="left"/>
      <w:pPr>
        <w:ind w:left="413" w:hanging="360"/>
      </w:pPr>
      <w:rPr>
        <w:rFonts w:ascii="Arial" w:eastAsiaTheme="minorEastAsia" w:hAnsi="Arial" w:cs="Arial" w:hint="default"/>
      </w:rPr>
    </w:lvl>
    <w:lvl w:ilvl="1" w:tplc="0C090003" w:tentative="1">
      <w:start w:val="1"/>
      <w:numFmt w:val="bullet"/>
      <w:lvlText w:val="o"/>
      <w:lvlJc w:val="left"/>
      <w:pPr>
        <w:ind w:left="1133" w:hanging="360"/>
      </w:pPr>
      <w:rPr>
        <w:rFonts w:ascii="Courier New" w:hAnsi="Courier New" w:cs="Courier New" w:hint="default"/>
      </w:rPr>
    </w:lvl>
    <w:lvl w:ilvl="2" w:tplc="0C090005" w:tentative="1">
      <w:start w:val="1"/>
      <w:numFmt w:val="bullet"/>
      <w:lvlText w:val=""/>
      <w:lvlJc w:val="left"/>
      <w:pPr>
        <w:ind w:left="1853" w:hanging="360"/>
      </w:pPr>
      <w:rPr>
        <w:rFonts w:ascii="Wingdings" w:hAnsi="Wingdings" w:hint="default"/>
      </w:rPr>
    </w:lvl>
    <w:lvl w:ilvl="3" w:tplc="0C090001" w:tentative="1">
      <w:start w:val="1"/>
      <w:numFmt w:val="bullet"/>
      <w:lvlText w:val=""/>
      <w:lvlJc w:val="left"/>
      <w:pPr>
        <w:ind w:left="2573" w:hanging="360"/>
      </w:pPr>
      <w:rPr>
        <w:rFonts w:ascii="Symbol" w:hAnsi="Symbol" w:hint="default"/>
      </w:rPr>
    </w:lvl>
    <w:lvl w:ilvl="4" w:tplc="0C090003" w:tentative="1">
      <w:start w:val="1"/>
      <w:numFmt w:val="bullet"/>
      <w:lvlText w:val="o"/>
      <w:lvlJc w:val="left"/>
      <w:pPr>
        <w:ind w:left="3293" w:hanging="360"/>
      </w:pPr>
      <w:rPr>
        <w:rFonts w:ascii="Courier New" w:hAnsi="Courier New" w:cs="Courier New" w:hint="default"/>
      </w:rPr>
    </w:lvl>
    <w:lvl w:ilvl="5" w:tplc="0C090005" w:tentative="1">
      <w:start w:val="1"/>
      <w:numFmt w:val="bullet"/>
      <w:lvlText w:val=""/>
      <w:lvlJc w:val="left"/>
      <w:pPr>
        <w:ind w:left="4013" w:hanging="360"/>
      </w:pPr>
      <w:rPr>
        <w:rFonts w:ascii="Wingdings" w:hAnsi="Wingdings" w:hint="default"/>
      </w:rPr>
    </w:lvl>
    <w:lvl w:ilvl="6" w:tplc="0C090001" w:tentative="1">
      <w:start w:val="1"/>
      <w:numFmt w:val="bullet"/>
      <w:lvlText w:val=""/>
      <w:lvlJc w:val="left"/>
      <w:pPr>
        <w:ind w:left="4733" w:hanging="360"/>
      </w:pPr>
      <w:rPr>
        <w:rFonts w:ascii="Symbol" w:hAnsi="Symbol" w:hint="default"/>
      </w:rPr>
    </w:lvl>
    <w:lvl w:ilvl="7" w:tplc="0C090003" w:tentative="1">
      <w:start w:val="1"/>
      <w:numFmt w:val="bullet"/>
      <w:lvlText w:val="o"/>
      <w:lvlJc w:val="left"/>
      <w:pPr>
        <w:ind w:left="5453" w:hanging="360"/>
      </w:pPr>
      <w:rPr>
        <w:rFonts w:ascii="Courier New" w:hAnsi="Courier New" w:cs="Courier New" w:hint="default"/>
      </w:rPr>
    </w:lvl>
    <w:lvl w:ilvl="8" w:tplc="0C090005" w:tentative="1">
      <w:start w:val="1"/>
      <w:numFmt w:val="bullet"/>
      <w:lvlText w:val=""/>
      <w:lvlJc w:val="left"/>
      <w:pPr>
        <w:ind w:left="6173" w:hanging="360"/>
      </w:pPr>
      <w:rPr>
        <w:rFonts w:ascii="Wingdings" w:hAnsi="Wingdings" w:hint="default"/>
      </w:rPr>
    </w:lvl>
  </w:abstractNum>
  <w:abstractNum w:abstractNumId="22" w15:restartNumberingAfterBreak="0">
    <w:nsid w:val="2C365E9B"/>
    <w:multiLevelType w:val="hybridMultilevel"/>
    <w:tmpl w:val="3B0237C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2CDA702D"/>
    <w:multiLevelType w:val="hybridMultilevel"/>
    <w:tmpl w:val="6AE8BFB8"/>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4" w15:restartNumberingAfterBreak="0">
    <w:nsid w:val="2D846461"/>
    <w:multiLevelType w:val="hybridMultilevel"/>
    <w:tmpl w:val="654475C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2EBA4A53"/>
    <w:multiLevelType w:val="hybridMultilevel"/>
    <w:tmpl w:val="30A48FE2"/>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6" w15:restartNumberingAfterBreak="0">
    <w:nsid w:val="30BD0EF5"/>
    <w:multiLevelType w:val="hybridMultilevel"/>
    <w:tmpl w:val="0C2C59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0DE6E4F"/>
    <w:multiLevelType w:val="hybridMultilevel"/>
    <w:tmpl w:val="8A160F90"/>
    <w:lvl w:ilvl="0" w:tplc="0C090001">
      <w:start w:val="1"/>
      <w:numFmt w:val="bullet"/>
      <w:lvlText w:val=""/>
      <w:lvlJc w:val="left"/>
      <w:pPr>
        <w:ind w:left="757" w:hanging="360"/>
      </w:pPr>
      <w:rPr>
        <w:rFonts w:ascii="Symbol" w:hAnsi="Symbol" w:hint="default"/>
      </w:rPr>
    </w:lvl>
    <w:lvl w:ilvl="1" w:tplc="0C090003" w:tentative="1">
      <w:start w:val="1"/>
      <w:numFmt w:val="bullet"/>
      <w:lvlText w:val="o"/>
      <w:lvlJc w:val="left"/>
      <w:pPr>
        <w:ind w:left="1477" w:hanging="360"/>
      </w:pPr>
      <w:rPr>
        <w:rFonts w:ascii="Courier New" w:hAnsi="Courier New" w:cs="Courier New" w:hint="default"/>
      </w:rPr>
    </w:lvl>
    <w:lvl w:ilvl="2" w:tplc="0C090005" w:tentative="1">
      <w:start w:val="1"/>
      <w:numFmt w:val="bullet"/>
      <w:lvlText w:val=""/>
      <w:lvlJc w:val="left"/>
      <w:pPr>
        <w:ind w:left="2197" w:hanging="360"/>
      </w:pPr>
      <w:rPr>
        <w:rFonts w:ascii="Wingdings" w:hAnsi="Wingdings" w:hint="default"/>
      </w:rPr>
    </w:lvl>
    <w:lvl w:ilvl="3" w:tplc="0C090001" w:tentative="1">
      <w:start w:val="1"/>
      <w:numFmt w:val="bullet"/>
      <w:lvlText w:val=""/>
      <w:lvlJc w:val="left"/>
      <w:pPr>
        <w:ind w:left="2917" w:hanging="360"/>
      </w:pPr>
      <w:rPr>
        <w:rFonts w:ascii="Symbol" w:hAnsi="Symbol" w:hint="default"/>
      </w:rPr>
    </w:lvl>
    <w:lvl w:ilvl="4" w:tplc="0C090003" w:tentative="1">
      <w:start w:val="1"/>
      <w:numFmt w:val="bullet"/>
      <w:lvlText w:val="o"/>
      <w:lvlJc w:val="left"/>
      <w:pPr>
        <w:ind w:left="3637" w:hanging="360"/>
      </w:pPr>
      <w:rPr>
        <w:rFonts w:ascii="Courier New" w:hAnsi="Courier New" w:cs="Courier New" w:hint="default"/>
      </w:rPr>
    </w:lvl>
    <w:lvl w:ilvl="5" w:tplc="0C090005" w:tentative="1">
      <w:start w:val="1"/>
      <w:numFmt w:val="bullet"/>
      <w:lvlText w:val=""/>
      <w:lvlJc w:val="left"/>
      <w:pPr>
        <w:ind w:left="4357" w:hanging="360"/>
      </w:pPr>
      <w:rPr>
        <w:rFonts w:ascii="Wingdings" w:hAnsi="Wingdings" w:hint="default"/>
      </w:rPr>
    </w:lvl>
    <w:lvl w:ilvl="6" w:tplc="0C090001" w:tentative="1">
      <w:start w:val="1"/>
      <w:numFmt w:val="bullet"/>
      <w:lvlText w:val=""/>
      <w:lvlJc w:val="left"/>
      <w:pPr>
        <w:ind w:left="5077" w:hanging="360"/>
      </w:pPr>
      <w:rPr>
        <w:rFonts w:ascii="Symbol" w:hAnsi="Symbol" w:hint="default"/>
      </w:rPr>
    </w:lvl>
    <w:lvl w:ilvl="7" w:tplc="0C090003" w:tentative="1">
      <w:start w:val="1"/>
      <w:numFmt w:val="bullet"/>
      <w:lvlText w:val="o"/>
      <w:lvlJc w:val="left"/>
      <w:pPr>
        <w:ind w:left="5797" w:hanging="360"/>
      </w:pPr>
      <w:rPr>
        <w:rFonts w:ascii="Courier New" w:hAnsi="Courier New" w:cs="Courier New" w:hint="default"/>
      </w:rPr>
    </w:lvl>
    <w:lvl w:ilvl="8" w:tplc="0C090005" w:tentative="1">
      <w:start w:val="1"/>
      <w:numFmt w:val="bullet"/>
      <w:lvlText w:val=""/>
      <w:lvlJc w:val="left"/>
      <w:pPr>
        <w:ind w:left="6517" w:hanging="360"/>
      </w:pPr>
      <w:rPr>
        <w:rFonts w:ascii="Wingdings" w:hAnsi="Wingdings" w:hint="default"/>
      </w:rPr>
    </w:lvl>
  </w:abstractNum>
  <w:abstractNum w:abstractNumId="28" w15:restartNumberingAfterBreak="0">
    <w:nsid w:val="313A2D32"/>
    <w:multiLevelType w:val="multilevel"/>
    <w:tmpl w:val="5FA01248"/>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3F4A857"/>
    <w:multiLevelType w:val="hybridMultilevel"/>
    <w:tmpl w:val="CEAC514A"/>
    <w:lvl w:ilvl="0" w:tplc="E5FEF850">
      <w:start w:val="1"/>
      <w:numFmt w:val="bullet"/>
      <w:lvlText w:val="·"/>
      <w:lvlJc w:val="left"/>
      <w:pPr>
        <w:ind w:left="720" w:hanging="360"/>
      </w:pPr>
      <w:rPr>
        <w:rFonts w:ascii="Symbol" w:hAnsi="Symbol" w:hint="default"/>
      </w:rPr>
    </w:lvl>
    <w:lvl w:ilvl="1" w:tplc="9C26DDE6">
      <w:start w:val="1"/>
      <w:numFmt w:val="bullet"/>
      <w:lvlText w:val="o"/>
      <w:lvlJc w:val="left"/>
      <w:pPr>
        <w:ind w:left="1440" w:hanging="360"/>
      </w:pPr>
      <w:rPr>
        <w:rFonts w:ascii="Courier New" w:hAnsi="Courier New" w:hint="default"/>
      </w:rPr>
    </w:lvl>
    <w:lvl w:ilvl="2" w:tplc="7F4CED9A">
      <w:start w:val="1"/>
      <w:numFmt w:val="bullet"/>
      <w:lvlText w:val=""/>
      <w:lvlJc w:val="left"/>
      <w:pPr>
        <w:ind w:left="2160" w:hanging="360"/>
      </w:pPr>
      <w:rPr>
        <w:rFonts w:ascii="Wingdings" w:hAnsi="Wingdings" w:hint="default"/>
      </w:rPr>
    </w:lvl>
    <w:lvl w:ilvl="3" w:tplc="D49E49A4">
      <w:start w:val="1"/>
      <w:numFmt w:val="bullet"/>
      <w:lvlText w:val=""/>
      <w:lvlJc w:val="left"/>
      <w:pPr>
        <w:ind w:left="2880" w:hanging="360"/>
      </w:pPr>
      <w:rPr>
        <w:rFonts w:ascii="Symbol" w:hAnsi="Symbol" w:hint="default"/>
      </w:rPr>
    </w:lvl>
    <w:lvl w:ilvl="4" w:tplc="873229C4">
      <w:start w:val="1"/>
      <w:numFmt w:val="bullet"/>
      <w:lvlText w:val="o"/>
      <w:lvlJc w:val="left"/>
      <w:pPr>
        <w:ind w:left="3600" w:hanging="360"/>
      </w:pPr>
      <w:rPr>
        <w:rFonts w:ascii="Courier New" w:hAnsi="Courier New" w:hint="default"/>
      </w:rPr>
    </w:lvl>
    <w:lvl w:ilvl="5" w:tplc="C666B0E2">
      <w:start w:val="1"/>
      <w:numFmt w:val="bullet"/>
      <w:lvlText w:val=""/>
      <w:lvlJc w:val="left"/>
      <w:pPr>
        <w:ind w:left="4320" w:hanging="360"/>
      </w:pPr>
      <w:rPr>
        <w:rFonts w:ascii="Wingdings" w:hAnsi="Wingdings" w:hint="default"/>
      </w:rPr>
    </w:lvl>
    <w:lvl w:ilvl="6" w:tplc="659EF5C6">
      <w:start w:val="1"/>
      <w:numFmt w:val="bullet"/>
      <w:lvlText w:val=""/>
      <w:lvlJc w:val="left"/>
      <w:pPr>
        <w:ind w:left="5040" w:hanging="360"/>
      </w:pPr>
      <w:rPr>
        <w:rFonts w:ascii="Symbol" w:hAnsi="Symbol" w:hint="default"/>
      </w:rPr>
    </w:lvl>
    <w:lvl w:ilvl="7" w:tplc="387E9BCE">
      <w:start w:val="1"/>
      <w:numFmt w:val="bullet"/>
      <w:lvlText w:val="o"/>
      <w:lvlJc w:val="left"/>
      <w:pPr>
        <w:ind w:left="5760" w:hanging="360"/>
      </w:pPr>
      <w:rPr>
        <w:rFonts w:ascii="Courier New" w:hAnsi="Courier New" w:hint="default"/>
      </w:rPr>
    </w:lvl>
    <w:lvl w:ilvl="8" w:tplc="A4222746">
      <w:start w:val="1"/>
      <w:numFmt w:val="bullet"/>
      <w:lvlText w:val=""/>
      <w:lvlJc w:val="left"/>
      <w:pPr>
        <w:ind w:left="6480" w:hanging="360"/>
      </w:pPr>
      <w:rPr>
        <w:rFonts w:ascii="Wingdings" w:hAnsi="Wingdings" w:hint="default"/>
      </w:rPr>
    </w:lvl>
  </w:abstractNum>
  <w:abstractNum w:abstractNumId="30" w15:restartNumberingAfterBreak="0">
    <w:nsid w:val="34142179"/>
    <w:multiLevelType w:val="hybridMultilevel"/>
    <w:tmpl w:val="B6F8C21C"/>
    <w:lvl w:ilvl="0" w:tplc="920C78AE">
      <w:start w:val="1"/>
      <w:numFmt w:val="bullet"/>
      <w:pStyle w:val="FSRlist"/>
      <w:lvlText w:val=""/>
      <w:lvlJc w:val="left"/>
      <w:pPr>
        <w:ind w:left="720" w:hanging="360"/>
      </w:pPr>
      <w:rPr>
        <w:rFonts w:ascii="Symbol" w:hAnsi="Symbol" w:hint="default"/>
      </w:rPr>
    </w:lvl>
    <w:lvl w:ilvl="1" w:tplc="6592FE5E">
      <w:start w:val="1"/>
      <w:numFmt w:val="lowerLetter"/>
      <w:lvlText w:val="%2)"/>
      <w:lvlJc w:val="left"/>
      <w:pPr>
        <w:ind w:left="1440" w:hanging="360"/>
      </w:pPr>
      <w:rPr>
        <w:rFonts w:ascii="Arial" w:eastAsiaTheme="minorEastAsia" w:hAnsi="Arial" w:cstheme="minorBidi"/>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42E18CA"/>
    <w:multiLevelType w:val="hybridMultilevel"/>
    <w:tmpl w:val="1416CD6E"/>
    <w:lvl w:ilvl="0" w:tplc="10D06E32">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5570076"/>
    <w:multiLevelType w:val="hybridMultilevel"/>
    <w:tmpl w:val="CB1ED1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pStyle w:val="FSRHeading2"/>
      <w:lvlText w:val="o"/>
      <w:lvlJc w:val="left"/>
      <w:pPr>
        <w:ind w:left="1440" w:hanging="360"/>
      </w:pPr>
      <w:rPr>
        <w:rFonts w:ascii="Courier New" w:hAnsi="Courier New" w:cs="Courier New" w:hint="default"/>
      </w:rPr>
    </w:lvl>
    <w:lvl w:ilvl="2" w:tplc="0C090005">
      <w:start w:val="1"/>
      <w:numFmt w:val="bullet"/>
      <w:pStyle w:val="FSRHeading3"/>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6645A9C"/>
    <w:multiLevelType w:val="hybridMultilevel"/>
    <w:tmpl w:val="A836D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7114669"/>
    <w:multiLevelType w:val="hybridMultilevel"/>
    <w:tmpl w:val="E03AA05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6" w15:restartNumberingAfterBreak="0">
    <w:nsid w:val="38210B2F"/>
    <w:multiLevelType w:val="multilevel"/>
    <w:tmpl w:val="797E75F0"/>
    <w:lvl w:ilvl="0">
      <w:start w:val="1"/>
      <w:numFmt w:val="decimal"/>
      <w:pStyle w:val="Heading2"/>
      <w:suff w:val="space"/>
      <w:lvlText w:val="Section %1: "/>
      <w:lvlJc w:val="left"/>
      <w:pPr>
        <w:ind w:left="2835" w:hanging="2835"/>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3"/>
      <w:isLgl/>
      <w:lvlText w:val="%1.%2"/>
      <w:lvlJc w:val="left"/>
      <w:pPr>
        <w:ind w:left="720" w:hanging="720"/>
      </w:pPr>
      <w:rPr>
        <w:rFonts w:hint="default"/>
      </w:rPr>
    </w:lvl>
    <w:lvl w:ilvl="2">
      <w:start w:val="1"/>
      <w:numFmt w:val="decimal"/>
      <w:pStyle w:val="Heading4"/>
      <w:isLgl/>
      <w:lvlText w:val="%1.%2.%3"/>
      <w:lvlJc w:val="left"/>
      <w:pPr>
        <w:ind w:left="36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7" w15:restartNumberingAfterBreak="0">
    <w:nsid w:val="3A767B1B"/>
    <w:multiLevelType w:val="hybridMultilevel"/>
    <w:tmpl w:val="090EC162"/>
    <w:lvl w:ilvl="0" w:tplc="4C2EF174">
      <w:start w:val="1"/>
      <w:numFmt w:val="decimal"/>
      <w:pStyle w:val="1jb"/>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3BC406BE"/>
    <w:multiLevelType w:val="hybridMultilevel"/>
    <w:tmpl w:val="D0887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D1C0AE9"/>
    <w:multiLevelType w:val="hybridMultilevel"/>
    <w:tmpl w:val="86AE2718"/>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40" w15:restartNumberingAfterBreak="0">
    <w:nsid w:val="41510738"/>
    <w:multiLevelType w:val="hybridMultilevel"/>
    <w:tmpl w:val="2AF8E8A4"/>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41" w15:restartNumberingAfterBreak="0">
    <w:nsid w:val="42E03DB9"/>
    <w:multiLevelType w:val="hybridMultilevel"/>
    <w:tmpl w:val="357C5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340368E"/>
    <w:multiLevelType w:val="hybridMultilevel"/>
    <w:tmpl w:val="0A7EDE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3" w15:restartNumberingAfterBreak="0">
    <w:nsid w:val="43460851"/>
    <w:multiLevelType w:val="hybridMultilevel"/>
    <w:tmpl w:val="8DF80DF6"/>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44" w15:restartNumberingAfterBreak="0">
    <w:nsid w:val="47AE16B2"/>
    <w:multiLevelType w:val="hybridMultilevel"/>
    <w:tmpl w:val="DB806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8F63D3E"/>
    <w:multiLevelType w:val="hybridMultilevel"/>
    <w:tmpl w:val="53E86E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90B0191"/>
    <w:multiLevelType w:val="hybridMultilevel"/>
    <w:tmpl w:val="7F7AF0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7" w15:restartNumberingAfterBreak="0">
    <w:nsid w:val="493F3D19"/>
    <w:multiLevelType w:val="hybridMultilevel"/>
    <w:tmpl w:val="9F04C506"/>
    <w:lvl w:ilvl="0" w:tplc="B8A89756">
      <w:start w:val="1"/>
      <w:numFmt w:val="lowerLetter"/>
      <w:pStyle w:val="FSRzlegislation"/>
      <w:lvlText w:val="%1)"/>
      <w:lvlJc w:val="left"/>
      <w:pPr>
        <w:ind w:left="720" w:hanging="360"/>
      </w:pPr>
    </w:lvl>
    <w:lvl w:ilvl="1" w:tplc="FA9A6E08">
      <w:start w:val="1"/>
      <w:numFmt w:val="low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93F4174"/>
    <w:multiLevelType w:val="hybridMultilevel"/>
    <w:tmpl w:val="67081240"/>
    <w:lvl w:ilvl="0" w:tplc="E4029E24">
      <w:start w:val="2018"/>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9" w15:restartNumberingAfterBreak="0">
    <w:nsid w:val="49D81FD0"/>
    <w:multiLevelType w:val="hybridMultilevel"/>
    <w:tmpl w:val="3E6290D2"/>
    <w:lvl w:ilvl="0" w:tplc="0C09000F">
      <w:numFmt w:val="decimal"/>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50" w15:restartNumberingAfterBreak="0">
    <w:nsid w:val="4A2D5E99"/>
    <w:multiLevelType w:val="hybridMultilevel"/>
    <w:tmpl w:val="5BB46522"/>
    <w:lvl w:ilvl="0" w:tplc="0C09000F">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1" w15:restartNumberingAfterBreak="0">
    <w:nsid w:val="4A433E5D"/>
    <w:multiLevelType w:val="hybridMultilevel"/>
    <w:tmpl w:val="58A4F6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4B3E5874"/>
    <w:multiLevelType w:val="hybridMultilevel"/>
    <w:tmpl w:val="2712215C"/>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53" w15:restartNumberingAfterBreak="0">
    <w:nsid w:val="4BB11C93"/>
    <w:multiLevelType w:val="hybridMultilevel"/>
    <w:tmpl w:val="CCD23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4BDA26A4"/>
    <w:multiLevelType w:val="multilevel"/>
    <w:tmpl w:val="4482C6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15:restartNumberingAfterBreak="0">
    <w:nsid w:val="4D6A26CE"/>
    <w:multiLevelType w:val="multilevel"/>
    <w:tmpl w:val="A9D8482A"/>
    <w:lvl w:ilvl="0">
      <w:start w:val="1"/>
      <w:numFmt w:val="none"/>
      <w:suff w:val="space"/>
      <w:lvlText w:val="Section 4:"/>
      <w:lvlJc w:val="left"/>
      <w:pPr>
        <w:ind w:left="2989" w:hanging="2989"/>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4.%2"/>
      <w:lvlJc w:val="left"/>
      <w:pPr>
        <w:ind w:left="3051" w:hanging="3051"/>
      </w:pPr>
      <w:rPr>
        <w:rFonts w:hint="default"/>
      </w:rPr>
    </w:lvl>
    <w:lvl w:ilvl="2">
      <w:numFmt w:val="none"/>
      <w:lvlText w:val=""/>
      <w:lvlJc w:val="left"/>
      <w:pPr>
        <w:ind w:left="2269" w:firstLine="0"/>
      </w:pPr>
      <w:rPr>
        <w:rFonts w:hint="default"/>
      </w:rPr>
    </w:lvl>
    <w:lvl w:ilvl="3">
      <w:start w:val="1"/>
      <w:numFmt w:val="none"/>
      <w:lvlRestart w:val="1"/>
      <w:lvlText w:val="%2"/>
      <w:lvlJc w:val="left"/>
      <w:pPr>
        <w:ind w:left="0" w:firstLine="2269"/>
      </w:pPr>
      <w:rPr>
        <w:rFonts w:hint="default"/>
      </w:rPr>
    </w:lvl>
    <w:lvl w:ilvl="4">
      <w:numFmt w:val="decimal"/>
      <w:lvlText w:val=""/>
      <w:lvlJc w:val="left"/>
      <w:pPr>
        <w:ind w:left="2269" w:firstLine="0"/>
      </w:pPr>
      <w:rPr>
        <w:rFonts w:hint="default"/>
      </w:rPr>
    </w:lvl>
    <w:lvl w:ilvl="5">
      <w:numFmt w:val="decimal"/>
      <w:lvlText w:val=""/>
      <w:lvlJc w:val="left"/>
      <w:pPr>
        <w:ind w:left="2269" w:firstLine="0"/>
      </w:pPr>
      <w:rPr>
        <w:rFonts w:hint="default"/>
      </w:rPr>
    </w:lvl>
    <w:lvl w:ilvl="6">
      <w:numFmt w:val="decimal"/>
      <w:lvlText w:val=""/>
      <w:lvlJc w:val="left"/>
      <w:pPr>
        <w:ind w:left="2269" w:firstLine="0"/>
      </w:pPr>
      <w:rPr>
        <w:rFonts w:hint="default"/>
      </w:rPr>
    </w:lvl>
    <w:lvl w:ilvl="7">
      <w:numFmt w:val="decimal"/>
      <w:lvlText w:val=""/>
      <w:lvlJc w:val="left"/>
      <w:rPr>
        <w:rFonts w:ascii="Wingdings" w:hAnsi="Courier New" w:cs="Courier New" w:hint="default"/>
      </w:rPr>
    </w:lvl>
    <w:lvl w:ilvl="8">
      <w:numFmt w:val="decimal"/>
      <w:lvlText w:val=""/>
      <w:lvlJc w:val="left"/>
      <w:pPr>
        <w:ind w:left="2269" w:firstLine="0"/>
      </w:pPr>
      <w:rPr>
        <w:rFonts w:hint="default"/>
      </w:rPr>
    </w:lvl>
  </w:abstractNum>
  <w:abstractNum w:abstractNumId="56" w15:restartNumberingAfterBreak="0">
    <w:nsid w:val="4E0B3DBC"/>
    <w:multiLevelType w:val="hybridMultilevel"/>
    <w:tmpl w:val="0922B5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E4322DE"/>
    <w:multiLevelType w:val="hybridMultilevel"/>
    <w:tmpl w:val="893649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4EAF494D"/>
    <w:multiLevelType w:val="hybridMultilevel"/>
    <w:tmpl w:val="E47E4F46"/>
    <w:lvl w:ilvl="0" w:tplc="6ABC4EE4">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59" w15:restartNumberingAfterBreak="0">
    <w:nsid w:val="51DE07A8"/>
    <w:multiLevelType w:val="hybridMultilevel"/>
    <w:tmpl w:val="4CFCEDB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526B28E3"/>
    <w:multiLevelType w:val="hybridMultilevel"/>
    <w:tmpl w:val="AC9694D8"/>
    <w:lvl w:ilvl="0" w:tplc="0C090017">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1" w15:restartNumberingAfterBreak="0">
    <w:nsid w:val="53273AFF"/>
    <w:multiLevelType w:val="hybridMultilevel"/>
    <w:tmpl w:val="0442A1BE"/>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62" w15:restartNumberingAfterBreak="0">
    <w:nsid w:val="54FC7D60"/>
    <w:multiLevelType w:val="hybridMultilevel"/>
    <w:tmpl w:val="41E8F1D6"/>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63" w15:restartNumberingAfterBreak="0">
    <w:nsid w:val="55A5509F"/>
    <w:multiLevelType w:val="multilevel"/>
    <w:tmpl w:val="0D888216"/>
    <w:lvl w:ilvl="0">
      <w:start w:val="1"/>
      <w:numFmt w:val="decimal"/>
      <w:lvlText w:val="%1."/>
      <w:lvlJc w:val="left"/>
      <w:pPr>
        <w:ind w:left="720"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20" w:hanging="720"/>
      </w:pPr>
      <w:rPr>
        <w:rFonts w:hint="default"/>
      </w:rPr>
    </w:lvl>
    <w:lvl w:ilvl="2">
      <w:start w:val="1"/>
      <w:numFmt w:val="decimal"/>
      <w:isLgl/>
      <w:lvlText w:val="%1.%2.%3"/>
      <w:lvlJc w:val="left"/>
      <w:pPr>
        <w:ind w:left="36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64" w15:restartNumberingAfterBreak="0">
    <w:nsid w:val="5662462C"/>
    <w:multiLevelType w:val="hybridMultilevel"/>
    <w:tmpl w:val="7CC88D28"/>
    <w:lvl w:ilvl="0" w:tplc="F392CE92">
      <w:start w:val="1"/>
      <w:numFmt w:val="bullet"/>
      <w:pStyle w:val="BalloonTex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57B32A94"/>
    <w:multiLevelType w:val="hybridMultilevel"/>
    <w:tmpl w:val="4FF28FFE"/>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57DE19A2"/>
    <w:multiLevelType w:val="hybridMultilevel"/>
    <w:tmpl w:val="4C46983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36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580F723A"/>
    <w:multiLevelType w:val="hybridMultilevel"/>
    <w:tmpl w:val="C1ECFF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58200DA5"/>
    <w:multiLevelType w:val="hybridMultilevel"/>
    <w:tmpl w:val="37A40320"/>
    <w:lvl w:ilvl="0" w:tplc="F8022EE4">
      <w:start w:val="1"/>
      <w:numFmt w:val="lowerLetter"/>
      <w:lvlText w:val="(%1)"/>
      <w:lvlJc w:val="left"/>
      <w:pPr>
        <w:ind w:left="1808" w:hanging="525"/>
      </w:pPr>
      <w:rPr>
        <w:rFonts w:hint="default"/>
      </w:rPr>
    </w:lvl>
    <w:lvl w:ilvl="1" w:tplc="0C090019" w:tentative="1">
      <w:start w:val="1"/>
      <w:numFmt w:val="lowerLetter"/>
      <w:lvlText w:val="%2."/>
      <w:lvlJc w:val="left"/>
      <w:pPr>
        <w:ind w:left="2363" w:hanging="360"/>
      </w:pPr>
    </w:lvl>
    <w:lvl w:ilvl="2" w:tplc="0C09001B" w:tentative="1">
      <w:start w:val="1"/>
      <w:numFmt w:val="lowerRoman"/>
      <w:lvlText w:val="%3."/>
      <w:lvlJc w:val="right"/>
      <w:pPr>
        <w:ind w:left="3083" w:hanging="180"/>
      </w:pPr>
    </w:lvl>
    <w:lvl w:ilvl="3" w:tplc="0C09000F" w:tentative="1">
      <w:start w:val="1"/>
      <w:numFmt w:val="decimal"/>
      <w:lvlText w:val="%4."/>
      <w:lvlJc w:val="left"/>
      <w:pPr>
        <w:ind w:left="3803" w:hanging="360"/>
      </w:pPr>
    </w:lvl>
    <w:lvl w:ilvl="4" w:tplc="0C090019" w:tentative="1">
      <w:start w:val="1"/>
      <w:numFmt w:val="lowerLetter"/>
      <w:lvlText w:val="%5."/>
      <w:lvlJc w:val="left"/>
      <w:pPr>
        <w:ind w:left="4523" w:hanging="360"/>
      </w:pPr>
    </w:lvl>
    <w:lvl w:ilvl="5" w:tplc="0C09001B" w:tentative="1">
      <w:start w:val="1"/>
      <w:numFmt w:val="lowerRoman"/>
      <w:lvlText w:val="%6."/>
      <w:lvlJc w:val="right"/>
      <w:pPr>
        <w:ind w:left="5243" w:hanging="180"/>
      </w:pPr>
    </w:lvl>
    <w:lvl w:ilvl="6" w:tplc="0C09000F" w:tentative="1">
      <w:start w:val="1"/>
      <w:numFmt w:val="decimal"/>
      <w:lvlText w:val="%7."/>
      <w:lvlJc w:val="left"/>
      <w:pPr>
        <w:ind w:left="5963" w:hanging="360"/>
      </w:pPr>
    </w:lvl>
    <w:lvl w:ilvl="7" w:tplc="0C090019" w:tentative="1">
      <w:start w:val="1"/>
      <w:numFmt w:val="lowerLetter"/>
      <w:lvlText w:val="%8."/>
      <w:lvlJc w:val="left"/>
      <w:pPr>
        <w:ind w:left="6683" w:hanging="360"/>
      </w:pPr>
    </w:lvl>
    <w:lvl w:ilvl="8" w:tplc="0C09001B" w:tentative="1">
      <w:start w:val="1"/>
      <w:numFmt w:val="lowerRoman"/>
      <w:lvlText w:val="%9."/>
      <w:lvlJc w:val="right"/>
      <w:pPr>
        <w:ind w:left="7403" w:hanging="180"/>
      </w:pPr>
    </w:lvl>
  </w:abstractNum>
  <w:abstractNum w:abstractNumId="69" w15:restartNumberingAfterBreak="0">
    <w:nsid w:val="58481571"/>
    <w:multiLevelType w:val="hybridMultilevel"/>
    <w:tmpl w:val="6982363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588B1A0C"/>
    <w:multiLevelType w:val="hybridMultilevel"/>
    <w:tmpl w:val="CEB6AD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59880B86"/>
    <w:multiLevelType w:val="hybridMultilevel"/>
    <w:tmpl w:val="8C10C6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5BA50362"/>
    <w:multiLevelType w:val="hybridMultilevel"/>
    <w:tmpl w:val="F8A21696"/>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73" w15:restartNumberingAfterBreak="0">
    <w:nsid w:val="5C3F2BD0"/>
    <w:multiLevelType w:val="hybridMultilevel"/>
    <w:tmpl w:val="FFCA85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4" w15:restartNumberingAfterBreak="0">
    <w:nsid w:val="5D747D64"/>
    <w:multiLevelType w:val="hybridMultilevel"/>
    <w:tmpl w:val="3014C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5E472408"/>
    <w:multiLevelType w:val="hybridMultilevel"/>
    <w:tmpl w:val="3A9E117A"/>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61DA3377"/>
    <w:multiLevelType w:val="hybridMultilevel"/>
    <w:tmpl w:val="4BF44E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62A05EA6"/>
    <w:multiLevelType w:val="hybridMultilevel"/>
    <w:tmpl w:val="9A089E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3EE6AE7"/>
    <w:multiLevelType w:val="hybridMultilevel"/>
    <w:tmpl w:val="B7524B84"/>
    <w:lvl w:ilvl="0" w:tplc="8EAE1A7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657F1361"/>
    <w:multiLevelType w:val="hybridMultilevel"/>
    <w:tmpl w:val="255245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658F6FB8"/>
    <w:multiLevelType w:val="hybridMultilevel"/>
    <w:tmpl w:val="8DDCC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67C374BB"/>
    <w:multiLevelType w:val="hybridMultilevel"/>
    <w:tmpl w:val="0FB872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680D0215"/>
    <w:multiLevelType w:val="multilevel"/>
    <w:tmpl w:val="56E02F60"/>
    <w:lvl w:ilvl="0">
      <w:start w:val="1"/>
      <w:numFmt w:val="none"/>
      <w:suff w:val="space"/>
      <w:lvlText w:val="Section 4: "/>
      <w:lvlJc w:val="left"/>
      <w:pPr>
        <w:ind w:left="0" w:firstLine="0"/>
      </w:pPr>
      <w:rPr>
        <w:rFonts w:hint="default"/>
      </w:rPr>
    </w:lvl>
    <w:lvl w:ilvl="1">
      <w:start w:val="1"/>
      <w:numFmt w:val="decimal"/>
      <w:suff w:val="nothing"/>
      <w:lvlText w:val="%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3" w15:restartNumberingAfterBreak="0">
    <w:nsid w:val="6960588C"/>
    <w:multiLevelType w:val="hybridMultilevel"/>
    <w:tmpl w:val="6A34CE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6B597B62"/>
    <w:multiLevelType w:val="hybridMultilevel"/>
    <w:tmpl w:val="798689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6D826A51"/>
    <w:multiLevelType w:val="hybridMultilevel"/>
    <w:tmpl w:val="E81C2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6D97076B"/>
    <w:multiLevelType w:val="hybridMultilevel"/>
    <w:tmpl w:val="88B2A52A"/>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7" w15:restartNumberingAfterBreak="0">
    <w:nsid w:val="6F6E2C3C"/>
    <w:multiLevelType w:val="hybridMultilevel"/>
    <w:tmpl w:val="8A3A7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6F6F51A1"/>
    <w:multiLevelType w:val="hybridMultilevel"/>
    <w:tmpl w:val="B40E1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711C1A97"/>
    <w:multiLevelType w:val="hybridMultilevel"/>
    <w:tmpl w:val="FB9E6EB6"/>
    <w:lvl w:ilvl="0" w:tplc="D91A507E">
      <w:start w:val="1"/>
      <w:numFmt w:val="decimal"/>
      <w:pStyle w:val="FSRNumberedList"/>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733049BA"/>
    <w:multiLevelType w:val="hybridMultilevel"/>
    <w:tmpl w:val="5532ED74"/>
    <w:lvl w:ilvl="0" w:tplc="E934F4C2">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74010D5A"/>
    <w:multiLevelType w:val="hybridMultilevel"/>
    <w:tmpl w:val="EC2AC238"/>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2" w15:restartNumberingAfterBreak="0">
    <w:nsid w:val="75563230"/>
    <w:multiLevelType w:val="hybridMultilevel"/>
    <w:tmpl w:val="E7287440"/>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93" w15:restartNumberingAfterBreak="0">
    <w:nsid w:val="75767BF2"/>
    <w:multiLevelType w:val="hybridMultilevel"/>
    <w:tmpl w:val="7A301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76376955"/>
    <w:multiLevelType w:val="hybridMultilevel"/>
    <w:tmpl w:val="471A4532"/>
    <w:lvl w:ilvl="0" w:tplc="0C090017">
      <w:start w:val="1"/>
      <w:numFmt w:val="lowerLetter"/>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95" w15:restartNumberingAfterBreak="0">
    <w:nsid w:val="786C0C84"/>
    <w:multiLevelType w:val="hybridMultilevel"/>
    <w:tmpl w:val="8FDC75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7DA624F8"/>
    <w:multiLevelType w:val="hybridMultilevel"/>
    <w:tmpl w:val="DBB8C0D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7" w15:restartNumberingAfterBreak="0">
    <w:nsid w:val="7F123A5E"/>
    <w:multiLevelType w:val="hybridMultilevel"/>
    <w:tmpl w:val="A96282AC"/>
    <w:lvl w:ilvl="0" w:tplc="24AADF2E">
      <w:start w:val="1"/>
      <w:numFmt w:val="decimal"/>
      <w:pStyle w:val="ParagraphSection"/>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6"/>
  </w:num>
  <w:num w:numId="2">
    <w:abstractNumId w:val="33"/>
  </w:num>
  <w:num w:numId="3">
    <w:abstractNumId w:val="1"/>
  </w:num>
  <w:num w:numId="4">
    <w:abstractNumId w:val="30"/>
  </w:num>
  <w:num w:numId="5">
    <w:abstractNumId w:val="47"/>
  </w:num>
  <w:num w:numId="6">
    <w:abstractNumId w:val="89"/>
  </w:num>
  <w:num w:numId="7">
    <w:abstractNumId w:val="97"/>
  </w:num>
  <w:num w:numId="8">
    <w:abstractNumId w:val="10"/>
  </w:num>
  <w:num w:numId="9">
    <w:abstractNumId w:val="95"/>
  </w:num>
  <w:num w:numId="10">
    <w:abstractNumId w:val="38"/>
  </w:num>
  <w:num w:numId="11">
    <w:abstractNumId w:val="64"/>
  </w:num>
  <w:num w:numId="12">
    <w:abstractNumId w:val="37"/>
  </w:num>
  <w:num w:numId="13">
    <w:abstractNumId w:val="70"/>
  </w:num>
  <w:num w:numId="14">
    <w:abstractNumId w:val="94"/>
  </w:num>
  <w:num w:numId="15">
    <w:abstractNumId w:val="80"/>
  </w:num>
  <w:num w:numId="16">
    <w:abstractNumId w:val="96"/>
  </w:num>
  <w:num w:numId="17">
    <w:abstractNumId w:val="16"/>
  </w:num>
  <w:num w:numId="18">
    <w:abstractNumId w:val="6"/>
  </w:num>
  <w:num w:numId="19">
    <w:abstractNumId w:val="86"/>
  </w:num>
  <w:num w:numId="20">
    <w:abstractNumId w:val="42"/>
  </w:num>
  <w:num w:numId="21">
    <w:abstractNumId w:val="13"/>
  </w:num>
  <w:num w:numId="22">
    <w:abstractNumId w:val="77"/>
  </w:num>
  <w:num w:numId="23">
    <w:abstractNumId w:val="17"/>
  </w:num>
  <w:num w:numId="24">
    <w:abstractNumId w:val="85"/>
  </w:num>
  <w:num w:numId="25">
    <w:abstractNumId w:val="12"/>
  </w:num>
  <w:num w:numId="26">
    <w:abstractNumId w:val="28"/>
    <w:lvlOverride w:ilvl="0">
      <w:lvl w:ilvl="0">
        <w:start w:val="1"/>
        <w:numFmt w:val="decimal"/>
        <w:lvlText w:val="1.%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27">
    <w:abstractNumId w:val="92"/>
  </w:num>
  <w:num w:numId="28">
    <w:abstractNumId w:val="72"/>
  </w:num>
  <w:num w:numId="29">
    <w:abstractNumId w:val="40"/>
  </w:num>
  <w:num w:numId="30">
    <w:abstractNumId w:val="62"/>
  </w:num>
  <w:num w:numId="31">
    <w:abstractNumId w:val="23"/>
  </w:num>
  <w:num w:numId="32">
    <w:abstractNumId w:val="25"/>
  </w:num>
  <w:num w:numId="33">
    <w:abstractNumId w:val="52"/>
  </w:num>
  <w:num w:numId="34">
    <w:abstractNumId w:val="39"/>
  </w:num>
  <w:num w:numId="35">
    <w:abstractNumId w:val="29"/>
  </w:num>
  <w:num w:numId="36">
    <w:abstractNumId w:val="59"/>
  </w:num>
  <w:num w:numId="37">
    <w:abstractNumId w:val="66"/>
  </w:num>
  <w:num w:numId="38">
    <w:abstractNumId w:val="75"/>
  </w:num>
  <w:num w:numId="39">
    <w:abstractNumId w:val="58"/>
  </w:num>
  <w:num w:numId="40">
    <w:abstractNumId w:val="9"/>
  </w:num>
  <w:num w:numId="41">
    <w:abstractNumId w:val="2"/>
  </w:num>
  <w:num w:numId="42">
    <w:abstractNumId w:val="43"/>
  </w:num>
  <w:num w:numId="43">
    <w:abstractNumId w:val="49"/>
  </w:num>
  <w:num w:numId="44">
    <w:abstractNumId w:val="44"/>
  </w:num>
  <w:num w:numId="45">
    <w:abstractNumId w:val="7"/>
  </w:num>
  <w:num w:numId="46">
    <w:abstractNumId w:val="82"/>
  </w:num>
  <w:num w:numId="47">
    <w:abstractNumId w:val="55"/>
  </w:num>
  <w:num w:numId="48">
    <w:abstractNumId w:val="14"/>
  </w:num>
  <w:num w:numId="49">
    <w:abstractNumId w:val="36"/>
  </w:num>
  <w:num w:numId="50">
    <w:abstractNumId w:val="36"/>
  </w:num>
  <w:num w:numId="51">
    <w:abstractNumId w:val="36"/>
  </w:num>
  <w:num w:numId="52">
    <w:abstractNumId w:val="36"/>
  </w:num>
  <w:num w:numId="53">
    <w:abstractNumId w:val="36"/>
  </w:num>
  <w:num w:numId="54">
    <w:abstractNumId w:val="30"/>
  </w:num>
  <w:num w:numId="55">
    <w:abstractNumId w:val="21"/>
  </w:num>
  <w:num w:numId="56">
    <w:abstractNumId w:val="90"/>
  </w:num>
  <w:num w:numId="57">
    <w:abstractNumId w:val="31"/>
  </w:num>
  <w:num w:numId="58">
    <w:abstractNumId w:val="8"/>
  </w:num>
  <w:num w:numId="59">
    <w:abstractNumId w:val="30"/>
  </w:num>
  <w:num w:numId="60">
    <w:abstractNumId w:val="36"/>
  </w:num>
  <w:num w:numId="61">
    <w:abstractNumId w:val="65"/>
  </w:num>
  <w:num w:numId="62">
    <w:abstractNumId w:val="27"/>
  </w:num>
  <w:num w:numId="63">
    <w:abstractNumId w:val="69"/>
  </w:num>
  <w:num w:numId="64">
    <w:abstractNumId w:val="41"/>
  </w:num>
  <w:num w:numId="65">
    <w:abstractNumId w:val="53"/>
  </w:num>
  <w:num w:numId="66">
    <w:abstractNumId w:val="4"/>
  </w:num>
  <w:num w:numId="67">
    <w:abstractNumId w:val="19"/>
  </w:num>
  <w:num w:numId="68">
    <w:abstractNumId w:val="84"/>
  </w:num>
  <w:num w:numId="69">
    <w:abstractNumId w:val="18"/>
  </w:num>
  <w:num w:numId="70">
    <w:abstractNumId w:val="51"/>
  </w:num>
  <w:num w:numId="71">
    <w:abstractNumId w:val="81"/>
  </w:num>
  <w:num w:numId="72">
    <w:abstractNumId w:val="0"/>
  </w:num>
  <w:num w:numId="73">
    <w:abstractNumId w:val="79"/>
  </w:num>
  <w:num w:numId="74">
    <w:abstractNumId w:val="61"/>
  </w:num>
  <w:num w:numId="75">
    <w:abstractNumId w:val="26"/>
  </w:num>
  <w:num w:numId="76">
    <w:abstractNumId w:val="73"/>
  </w:num>
  <w:num w:numId="77">
    <w:abstractNumId w:val="48"/>
  </w:num>
  <w:num w:numId="78">
    <w:abstractNumId w:val="54"/>
  </w:num>
  <w:num w:numId="7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0"/>
  </w:num>
  <w:num w:numId="91">
    <w:abstractNumId w:val="34"/>
  </w:num>
  <w:num w:numId="92">
    <w:abstractNumId w:val="50"/>
  </w:num>
  <w:num w:numId="93">
    <w:abstractNumId w:val="71"/>
  </w:num>
  <w:num w:numId="94">
    <w:abstractNumId w:val="46"/>
  </w:num>
  <w:num w:numId="95">
    <w:abstractNumId w:val="5"/>
  </w:num>
  <w:num w:numId="96">
    <w:abstractNumId w:val="24"/>
  </w:num>
  <w:num w:numId="97">
    <w:abstractNumId w:val="22"/>
  </w:num>
  <w:num w:numId="98">
    <w:abstractNumId w:val="56"/>
  </w:num>
  <w:num w:numId="99">
    <w:abstractNumId w:val="83"/>
  </w:num>
  <w:num w:numId="100">
    <w:abstractNumId w:val="67"/>
  </w:num>
  <w:num w:numId="101">
    <w:abstractNumId w:val="57"/>
  </w:num>
  <w:num w:numId="102">
    <w:abstractNumId w:val="60"/>
  </w:num>
  <w:num w:numId="103">
    <w:abstractNumId w:val="91"/>
  </w:num>
  <w:num w:numId="104">
    <w:abstractNumId w:val="89"/>
    <w:lvlOverride w:ilvl="0">
      <w:startOverride w:val="1"/>
    </w:lvlOverride>
  </w:num>
  <w:num w:numId="105">
    <w:abstractNumId w:val="63"/>
  </w:num>
  <w:num w:numId="106">
    <w:abstractNumId w:val="89"/>
    <w:lvlOverride w:ilvl="0">
      <w:startOverride w:val="1"/>
    </w:lvlOverride>
  </w:num>
  <w:num w:numId="107">
    <w:abstractNumId w:val="89"/>
    <w:lvlOverride w:ilvl="0">
      <w:startOverride w:val="1"/>
    </w:lvlOverride>
  </w:num>
  <w:num w:numId="108">
    <w:abstractNumId w:val="88"/>
  </w:num>
  <w:num w:numId="109">
    <w:abstractNumId w:val="3"/>
  </w:num>
  <w:num w:numId="110">
    <w:abstractNumId w:val="32"/>
  </w:num>
  <w:num w:numId="111">
    <w:abstractNumId w:val="68"/>
  </w:num>
  <w:num w:numId="112">
    <w:abstractNumId w:val="35"/>
  </w:num>
  <w:num w:numId="113">
    <w:abstractNumId w:val="76"/>
  </w:num>
  <w:num w:numId="114">
    <w:abstractNumId w:val="11"/>
  </w:num>
  <w:num w:numId="115">
    <w:abstractNumId w:val="74"/>
  </w:num>
  <w:num w:numId="116">
    <w:abstractNumId w:val="78"/>
  </w:num>
  <w:num w:numId="117">
    <w:abstractNumId w:val="93"/>
  </w:num>
  <w:num w:numId="118">
    <w:abstractNumId w:val="45"/>
  </w:num>
  <w:num w:numId="119">
    <w:abstractNumId w:val="15"/>
  </w:num>
  <w:num w:numId="120">
    <w:abstractNumId w:val="87"/>
  </w:num>
  <w:num w:numId="121">
    <w:abstractNumId w:val="30"/>
  </w:num>
  <w:num w:numId="122">
    <w:abstractNumId w:val="30"/>
  </w:num>
  <w:num w:numId="123">
    <w:abstractNumId w:val="30"/>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A22"/>
    <w:rsid w:val="00000A1C"/>
    <w:rsid w:val="00000C9A"/>
    <w:rsid w:val="000011D0"/>
    <w:rsid w:val="0000158F"/>
    <w:rsid w:val="00001625"/>
    <w:rsid w:val="000021BC"/>
    <w:rsid w:val="000022D5"/>
    <w:rsid w:val="00002362"/>
    <w:rsid w:val="0000239B"/>
    <w:rsid w:val="00002407"/>
    <w:rsid w:val="000028F0"/>
    <w:rsid w:val="0000568D"/>
    <w:rsid w:val="00006792"/>
    <w:rsid w:val="000072D4"/>
    <w:rsid w:val="00007D12"/>
    <w:rsid w:val="00007F16"/>
    <w:rsid w:val="00010605"/>
    <w:rsid w:val="00010F37"/>
    <w:rsid w:val="000115FC"/>
    <w:rsid w:val="000116A9"/>
    <w:rsid w:val="00011CB0"/>
    <w:rsid w:val="00012853"/>
    <w:rsid w:val="00013213"/>
    <w:rsid w:val="0001346E"/>
    <w:rsid w:val="00013A4B"/>
    <w:rsid w:val="00013D66"/>
    <w:rsid w:val="00013EB3"/>
    <w:rsid w:val="000145D4"/>
    <w:rsid w:val="000149AE"/>
    <w:rsid w:val="00014A8B"/>
    <w:rsid w:val="00014BCE"/>
    <w:rsid w:val="0001518D"/>
    <w:rsid w:val="00015400"/>
    <w:rsid w:val="00015973"/>
    <w:rsid w:val="00015B85"/>
    <w:rsid w:val="00015EA1"/>
    <w:rsid w:val="0001602F"/>
    <w:rsid w:val="0001625B"/>
    <w:rsid w:val="0001693F"/>
    <w:rsid w:val="0001737A"/>
    <w:rsid w:val="00017D78"/>
    <w:rsid w:val="000203A1"/>
    <w:rsid w:val="00020594"/>
    <w:rsid w:val="0002088C"/>
    <w:rsid w:val="00020D18"/>
    <w:rsid w:val="00021598"/>
    <w:rsid w:val="00021706"/>
    <w:rsid w:val="00021874"/>
    <w:rsid w:val="000219C6"/>
    <w:rsid w:val="00021A40"/>
    <w:rsid w:val="00021A46"/>
    <w:rsid w:val="00022CEB"/>
    <w:rsid w:val="00025071"/>
    <w:rsid w:val="00025961"/>
    <w:rsid w:val="00026179"/>
    <w:rsid w:val="000261F4"/>
    <w:rsid w:val="00026A54"/>
    <w:rsid w:val="00027666"/>
    <w:rsid w:val="00027E55"/>
    <w:rsid w:val="00027FC0"/>
    <w:rsid w:val="0003010A"/>
    <w:rsid w:val="00030448"/>
    <w:rsid w:val="0003061A"/>
    <w:rsid w:val="00030BEB"/>
    <w:rsid w:val="00030E4E"/>
    <w:rsid w:val="00031A84"/>
    <w:rsid w:val="000328CC"/>
    <w:rsid w:val="000328E7"/>
    <w:rsid w:val="00033202"/>
    <w:rsid w:val="000333E6"/>
    <w:rsid w:val="00033B57"/>
    <w:rsid w:val="000340A5"/>
    <w:rsid w:val="00034278"/>
    <w:rsid w:val="00034529"/>
    <w:rsid w:val="0003482C"/>
    <w:rsid w:val="00035E5D"/>
    <w:rsid w:val="00036C67"/>
    <w:rsid w:val="00036EC1"/>
    <w:rsid w:val="000371CD"/>
    <w:rsid w:val="00037B97"/>
    <w:rsid w:val="00037E5D"/>
    <w:rsid w:val="00037F7A"/>
    <w:rsid w:val="00040012"/>
    <w:rsid w:val="000400E1"/>
    <w:rsid w:val="00040393"/>
    <w:rsid w:val="000404C5"/>
    <w:rsid w:val="00040544"/>
    <w:rsid w:val="00040594"/>
    <w:rsid w:val="00040628"/>
    <w:rsid w:val="000406D9"/>
    <w:rsid w:val="00040D36"/>
    <w:rsid w:val="00040EAF"/>
    <w:rsid w:val="00041172"/>
    <w:rsid w:val="000412BB"/>
    <w:rsid w:val="000412D1"/>
    <w:rsid w:val="000415A5"/>
    <w:rsid w:val="00041A6C"/>
    <w:rsid w:val="00041C9E"/>
    <w:rsid w:val="00042BF3"/>
    <w:rsid w:val="00043001"/>
    <w:rsid w:val="000432BF"/>
    <w:rsid w:val="00043810"/>
    <w:rsid w:val="00044246"/>
    <w:rsid w:val="00044841"/>
    <w:rsid w:val="00044C96"/>
    <w:rsid w:val="00045042"/>
    <w:rsid w:val="00045356"/>
    <w:rsid w:val="000454EF"/>
    <w:rsid w:val="00045BE0"/>
    <w:rsid w:val="0004693C"/>
    <w:rsid w:val="00046B31"/>
    <w:rsid w:val="00046DD5"/>
    <w:rsid w:val="0005067B"/>
    <w:rsid w:val="000507E4"/>
    <w:rsid w:val="00050AA1"/>
    <w:rsid w:val="00051941"/>
    <w:rsid w:val="00051CC5"/>
    <w:rsid w:val="00051EE1"/>
    <w:rsid w:val="00051F22"/>
    <w:rsid w:val="00051F9E"/>
    <w:rsid w:val="0005304B"/>
    <w:rsid w:val="000538C4"/>
    <w:rsid w:val="00053B3D"/>
    <w:rsid w:val="00053EC4"/>
    <w:rsid w:val="000541D8"/>
    <w:rsid w:val="000541FE"/>
    <w:rsid w:val="00054471"/>
    <w:rsid w:val="00055274"/>
    <w:rsid w:val="00055FB0"/>
    <w:rsid w:val="0005623C"/>
    <w:rsid w:val="00056F4F"/>
    <w:rsid w:val="00057B88"/>
    <w:rsid w:val="00060306"/>
    <w:rsid w:val="000605EB"/>
    <w:rsid w:val="00060651"/>
    <w:rsid w:val="00060D40"/>
    <w:rsid w:val="0006118E"/>
    <w:rsid w:val="00062E10"/>
    <w:rsid w:val="000630E7"/>
    <w:rsid w:val="0006316E"/>
    <w:rsid w:val="000631E2"/>
    <w:rsid w:val="00063DAF"/>
    <w:rsid w:val="00063F77"/>
    <w:rsid w:val="00064453"/>
    <w:rsid w:val="00064943"/>
    <w:rsid w:val="00064A93"/>
    <w:rsid w:val="0006587D"/>
    <w:rsid w:val="00065B53"/>
    <w:rsid w:val="00065EDF"/>
    <w:rsid w:val="0006658C"/>
    <w:rsid w:val="00066CE1"/>
    <w:rsid w:val="00066DDD"/>
    <w:rsid w:val="00066EA6"/>
    <w:rsid w:val="00067358"/>
    <w:rsid w:val="0006787C"/>
    <w:rsid w:val="000678BD"/>
    <w:rsid w:val="00067F34"/>
    <w:rsid w:val="00067FDF"/>
    <w:rsid w:val="00070AFB"/>
    <w:rsid w:val="00070BDA"/>
    <w:rsid w:val="00071C2E"/>
    <w:rsid w:val="00072022"/>
    <w:rsid w:val="00072BEB"/>
    <w:rsid w:val="0007342C"/>
    <w:rsid w:val="000735AD"/>
    <w:rsid w:val="000735DB"/>
    <w:rsid w:val="000736D1"/>
    <w:rsid w:val="00073EBB"/>
    <w:rsid w:val="000740D4"/>
    <w:rsid w:val="000745DB"/>
    <w:rsid w:val="00074BDD"/>
    <w:rsid w:val="00076ABF"/>
    <w:rsid w:val="00076CD8"/>
    <w:rsid w:val="0007709A"/>
    <w:rsid w:val="00077796"/>
    <w:rsid w:val="00077850"/>
    <w:rsid w:val="00077A19"/>
    <w:rsid w:val="00077A4C"/>
    <w:rsid w:val="00077BCD"/>
    <w:rsid w:val="00077D22"/>
    <w:rsid w:val="000803B9"/>
    <w:rsid w:val="00080647"/>
    <w:rsid w:val="0008067A"/>
    <w:rsid w:val="00080735"/>
    <w:rsid w:val="000829DC"/>
    <w:rsid w:val="00082A88"/>
    <w:rsid w:val="00082BBF"/>
    <w:rsid w:val="00083070"/>
    <w:rsid w:val="000838EA"/>
    <w:rsid w:val="00083B63"/>
    <w:rsid w:val="00083CB2"/>
    <w:rsid w:val="00083D55"/>
    <w:rsid w:val="00084EDB"/>
    <w:rsid w:val="00086004"/>
    <w:rsid w:val="0008692D"/>
    <w:rsid w:val="000878B6"/>
    <w:rsid w:val="00087AFF"/>
    <w:rsid w:val="00087CD9"/>
    <w:rsid w:val="00090323"/>
    <w:rsid w:val="00090AC5"/>
    <w:rsid w:val="00090F13"/>
    <w:rsid w:val="000913DA"/>
    <w:rsid w:val="00091A3A"/>
    <w:rsid w:val="000923B7"/>
    <w:rsid w:val="000929A3"/>
    <w:rsid w:val="00092F77"/>
    <w:rsid w:val="0009324A"/>
    <w:rsid w:val="00093B05"/>
    <w:rsid w:val="00093EB5"/>
    <w:rsid w:val="00094056"/>
    <w:rsid w:val="00095279"/>
    <w:rsid w:val="000953E4"/>
    <w:rsid w:val="000954A4"/>
    <w:rsid w:val="000955A1"/>
    <w:rsid w:val="00095695"/>
    <w:rsid w:val="000957B1"/>
    <w:rsid w:val="00095A36"/>
    <w:rsid w:val="00095C80"/>
    <w:rsid w:val="0009697F"/>
    <w:rsid w:val="00096D80"/>
    <w:rsid w:val="000A00FB"/>
    <w:rsid w:val="000A04F8"/>
    <w:rsid w:val="000A0D48"/>
    <w:rsid w:val="000A1624"/>
    <w:rsid w:val="000A1ABC"/>
    <w:rsid w:val="000A1E37"/>
    <w:rsid w:val="000A24E2"/>
    <w:rsid w:val="000A2B5A"/>
    <w:rsid w:val="000A32B6"/>
    <w:rsid w:val="000A375D"/>
    <w:rsid w:val="000A3EB4"/>
    <w:rsid w:val="000A3F50"/>
    <w:rsid w:val="000A3FE1"/>
    <w:rsid w:val="000A4DF9"/>
    <w:rsid w:val="000A547C"/>
    <w:rsid w:val="000A56C0"/>
    <w:rsid w:val="000A5D0A"/>
    <w:rsid w:val="000A5E71"/>
    <w:rsid w:val="000A6092"/>
    <w:rsid w:val="000A61C2"/>
    <w:rsid w:val="000A6AB7"/>
    <w:rsid w:val="000A78D3"/>
    <w:rsid w:val="000A7AD5"/>
    <w:rsid w:val="000A7BB1"/>
    <w:rsid w:val="000A7D19"/>
    <w:rsid w:val="000A7DA1"/>
    <w:rsid w:val="000A7E64"/>
    <w:rsid w:val="000B00B9"/>
    <w:rsid w:val="000B03D0"/>
    <w:rsid w:val="000B0D00"/>
    <w:rsid w:val="000B24CB"/>
    <w:rsid w:val="000B2550"/>
    <w:rsid w:val="000B2647"/>
    <w:rsid w:val="000B2768"/>
    <w:rsid w:val="000B2B5D"/>
    <w:rsid w:val="000B3630"/>
    <w:rsid w:val="000B3781"/>
    <w:rsid w:val="000B37DA"/>
    <w:rsid w:val="000B3A31"/>
    <w:rsid w:val="000B4144"/>
    <w:rsid w:val="000B42B3"/>
    <w:rsid w:val="000B42E7"/>
    <w:rsid w:val="000B4795"/>
    <w:rsid w:val="000B5234"/>
    <w:rsid w:val="000B5460"/>
    <w:rsid w:val="000B58C7"/>
    <w:rsid w:val="000B6E74"/>
    <w:rsid w:val="000B7778"/>
    <w:rsid w:val="000C0376"/>
    <w:rsid w:val="000C0AEF"/>
    <w:rsid w:val="000C0B20"/>
    <w:rsid w:val="000C0BC1"/>
    <w:rsid w:val="000C16C5"/>
    <w:rsid w:val="000C1AB3"/>
    <w:rsid w:val="000C1B43"/>
    <w:rsid w:val="000C1EA5"/>
    <w:rsid w:val="000C1EB1"/>
    <w:rsid w:val="000C26A4"/>
    <w:rsid w:val="000C2CE3"/>
    <w:rsid w:val="000C2DAF"/>
    <w:rsid w:val="000C309D"/>
    <w:rsid w:val="000C3459"/>
    <w:rsid w:val="000C3DEA"/>
    <w:rsid w:val="000C3E3C"/>
    <w:rsid w:val="000C3EBA"/>
    <w:rsid w:val="000C3FDD"/>
    <w:rsid w:val="000C47EA"/>
    <w:rsid w:val="000C4A1A"/>
    <w:rsid w:val="000C55BC"/>
    <w:rsid w:val="000C5627"/>
    <w:rsid w:val="000C5D7E"/>
    <w:rsid w:val="000C5D8E"/>
    <w:rsid w:val="000C69A4"/>
    <w:rsid w:val="000C748E"/>
    <w:rsid w:val="000C7743"/>
    <w:rsid w:val="000D0054"/>
    <w:rsid w:val="000D058E"/>
    <w:rsid w:val="000D0CA3"/>
    <w:rsid w:val="000D20C9"/>
    <w:rsid w:val="000D22BD"/>
    <w:rsid w:val="000D2E27"/>
    <w:rsid w:val="000D2FE5"/>
    <w:rsid w:val="000D3921"/>
    <w:rsid w:val="000D3932"/>
    <w:rsid w:val="000D3A9B"/>
    <w:rsid w:val="000D3E3B"/>
    <w:rsid w:val="000D4080"/>
    <w:rsid w:val="000D46A1"/>
    <w:rsid w:val="000D49ED"/>
    <w:rsid w:val="000D4C89"/>
    <w:rsid w:val="000D5A30"/>
    <w:rsid w:val="000D6001"/>
    <w:rsid w:val="000D70F6"/>
    <w:rsid w:val="000D71B7"/>
    <w:rsid w:val="000D7A28"/>
    <w:rsid w:val="000D7C14"/>
    <w:rsid w:val="000E0962"/>
    <w:rsid w:val="000E0964"/>
    <w:rsid w:val="000E0D5B"/>
    <w:rsid w:val="000E120F"/>
    <w:rsid w:val="000E154E"/>
    <w:rsid w:val="000E1B66"/>
    <w:rsid w:val="000E1F25"/>
    <w:rsid w:val="000E2252"/>
    <w:rsid w:val="000E2482"/>
    <w:rsid w:val="000E2F35"/>
    <w:rsid w:val="000E3660"/>
    <w:rsid w:val="000E3C3B"/>
    <w:rsid w:val="000E4606"/>
    <w:rsid w:val="000E6143"/>
    <w:rsid w:val="000E6147"/>
    <w:rsid w:val="000E6645"/>
    <w:rsid w:val="000E736E"/>
    <w:rsid w:val="000F09B6"/>
    <w:rsid w:val="000F1208"/>
    <w:rsid w:val="000F1636"/>
    <w:rsid w:val="000F1B4A"/>
    <w:rsid w:val="000F2269"/>
    <w:rsid w:val="000F2A4E"/>
    <w:rsid w:val="000F3CA8"/>
    <w:rsid w:val="000F4035"/>
    <w:rsid w:val="000F4B83"/>
    <w:rsid w:val="000F4E76"/>
    <w:rsid w:val="000F58D1"/>
    <w:rsid w:val="000F60E7"/>
    <w:rsid w:val="000F6556"/>
    <w:rsid w:val="000F6C12"/>
    <w:rsid w:val="000F7157"/>
    <w:rsid w:val="000F74B9"/>
    <w:rsid w:val="000F7643"/>
    <w:rsid w:val="000F7714"/>
    <w:rsid w:val="000F7D23"/>
    <w:rsid w:val="00100478"/>
    <w:rsid w:val="0010131C"/>
    <w:rsid w:val="00101781"/>
    <w:rsid w:val="00102960"/>
    <w:rsid w:val="00102C0C"/>
    <w:rsid w:val="001032A9"/>
    <w:rsid w:val="0010376F"/>
    <w:rsid w:val="00103D0E"/>
    <w:rsid w:val="00103E7A"/>
    <w:rsid w:val="00103F3D"/>
    <w:rsid w:val="00104AF3"/>
    <w:rsid w:val="001053F1"/>
    <w:rsid w:val="00105BEA"/>
    <w:rsid w:val="00105C2E"/>
    <w:rsid w:val="00105F97"/>
    <w:rsid w:val="00106A8F"/>
    <w:rsid w:val="001070CE"/>
    <w:rsid w:val="001102D8"/>
    <w:rsid w:val="0011059D"/>
    <w:rsid w:val="001106C6"/>
    <w:rsid w:val="00110BAC"/>
    <w:rsid w:val="00110EED"/>
    <w:rsid w:val="00111C08"/>
    <w:rsid w:val="00111CAA"/>
    <w:rsid w:val="00111E4D"/>
    <w:rsid w:val="0011266C"/>
    <w:rsid w:val="001131B7"/>
    <w:rsid w:val="001137BC"/>
    <w:rsid w:val="00113845"/>
    <w:rsid w:val="00113A13"/>
    <w:rsid w:val="00113EB9"/>
    <w:rsid w:val="00115E2B"/>
    <w:rsid w:val="001163DA"/>
    <w:rsid w:val="0011655C"/>
    <w:rsid w:val="001165EE"/>
    <w:rsid w:val="001170BB"/>
    <w:rsid w:val="00117A27"/>
    <w:rsid w:val="00117E64"/>
    <w:rsid w:val="00120747"/>
    <w:rsid w:val="00120EF4"/>
    <w:rsid w:val="00121D04"/>
    <w:rsid w:val="00122909"/>
    <w:rsid w:val="00122EFC"/>
    <w:rsid w:val="00122FE0"/>
    <w:rsid w:val="0012307F"/>
    <w:rsid w:val="001230F4"/>
    <w:rsid w:val="0012345A"/>
    <w:rsid w:val="001234CE"/>
    <w:rsid w:val="00123D0B"/>
    <w:rsid w:val="001241DB"/>
    <w:rsid w:val="00124294"/>
    <w:rsid w:val="00124F80"/>
    <w:rsid w:val="001257A0"/>
    <w:rsid w:val="001257D5"/>
    <w:rsid w:val="00125CD3"/>
    <w:rsid w:val="001265C2"/>
    <w:rsid w:val="00126962"/>
    <w:rsid w:val="00126F49"/>
    <w:rsid w:val="001278CC"/>
    <w:rsid w:val="00127D71"/>
    <w:rsid w:val="001303BC"/>
    <w:rsid w:val="00130A30"/>
    <w:rsid w:val="00130CE0"/>
    <w:rsid w:val="00130D2D"/>
    <w:rsid w:val="00130D4D"/>
    <w:rsid w:val="001314B3"/>
    <w:rsid w:val="00131B14"/>
    <w:rsid w:val="00131BB6"/>
    <w:rsid w:val="00131DF8"/>
    <w:rsid w:val="00131F3A"/>
    <w:rsid w:val="00132846"/>
    <w:rsid w:val="00133A87"/>
    <w:rsid w:val="0013469D"/>
    <w:rsid w:val="00134CEA"/>
    <w:rsid w:val="00135704"/>
    <w:rsid w:val="00135E9E"/>
    <w:rsid w:val="00135F0A"/>
    <w:rsid w:val="001367D6"/>
    <w:rsid w:val="001368A4"/>
    <w:rsid w:val="00136B1B"/>
    <w:rsid w:val="00137573"/>
    <w:rsid w:val="0013773A"/>
    <w:rsid w:val="00140035"/>
    <w:rsid w:val="00140633"/>
    <w:rsid w:val="0014072D"/>
    <w:rsid w:val="00140A44"/>
    <w:rsid w:val="00141946"/>
    <w:rsid w:val="00141B0B"/>
    <w:rsid w:val="00141D6B"/>
    <w:rsid w:val="001422C6"/>
    <w:rsid w:val="0014246F"/>
    <w:rsid w:val="0014282B"/>
    <w:rsid w:val="00143633"/>
    <w:rsid w:val="0014365B"/>
    <w:rsid w:val="00143A40"/>
    <w:rsid w:val="00144189"/>
    <w:rsid w:val="001444E8"/>
    <w:rsid w:val="00144D9C"/>
    <w:rsid w:val="00145306"/>
    <w:rsid w:val="00145410"/>
    <w:rsid w:val="001458E3"/>
    <w:rsid w:val="001475A6"/>
    <w:rsid w:val="00147768"/>
    <w:rsid w:val="00147BB7"/>
    <w:rsid w:val="00147ECF"/>
    <w:rsid w:val="00147FAC"/>
    <w:rsid w:val="0015015D"/>
    <w:rsid w:val="0015058E"/>
    <w:rsid w:val="00151BE2"/>
    <w:rsid w:val="00152134"/>
    <w:rsid w:val="001524C4"/>
    <w:rsid w:val="00152DA3"/>
    <w:rsid w:val="00153C52"/>
    <w:rsid w:val="00153DAF"/>
    <w:rsid w:val="00154447"/>
    <w:rsid w:val="001547D4"/>
    <w:rsid w:val="001548FE"/>
    <w:rsid w:val="00155496"/>
    <w:rsid w:val="0015558B"/>
    <w:rsid w:val="00155941"/>
    <w:rsid w:val="00155B9E"/>
    <w:rsid w:val="00156178"/>
    <w:rsid w:val="0015675D"/>
    <w:rsid w:val="00160109"/>
    <w:rsid w:val="00160375"/>
    <w:rsid w:val="001639A2"/>
    <w:rsid w:val="00163CB4"/>
    <w:rsid w:val="00164A79"/>
    <w:rsid w:val="00164E90"/>
    <w:rsid w:val="0016696D"/>
    <w:rsid w:val="00166AA4"/>
    <w:rsid w:val="00166CB3"/>
    <w:rsid w:val="00166D25"/>
    <w:rsid w:val="00167575"/>
    <w:rsid w:val="001679C9"/>
    <w:rsid w:val="00167E1F"/>
    <w:rsid w:val="00170178"/>
    <w:rsid w:val="0017020C"/>
    <w:rsid w:val="00170890"/>
    <w:rsid w:val="00170ACA"/>
    <w:rsid w:val="00170EB2"/>
    <w:rsid w:val="001712EA"/>
    <w:rsid w:val="00172F51"/>
    <w:rsid w:val="0017301F"/>
    <w:rsid w:val="0017388A"/>
    <w:rsid w:val="0017411B"/>
    <w:rsid w:val="00174854"/>
    <w:rsid w:val="00174860"/>
    <w:rsid w:val="001748EC"/>
    <w:rsid w:val="00174D77"/>
    <w:rsid w:val="00175255"/>
    <w:rsid w:val="0017531D"/>
    <w:rsid w:val="00175BD5"/>
    <w:rsid w:val="001763A4"/>
    <w:rsid w:val="00176685"/>
    <w:rsid w:val="00176C16"/>
    <w:rsid w:val="00176D1B"/>
    <w:rsid w:val="0017750C"/>
    <w:rsid w:val="00177C0C"/>
    <w:rsid w:val="00177F92"/>
    <w:rsid w:val="00180009"/>
    <w:rsid w:val="001806B4"/>
    <w:rsid w:val="001807E3"/>
    <w:rsid w:val="001809D3"/>
    <w:rsid w:val="00180A46"/>
    <w:rsid w:val="00180C52"/>
    <w:rsid w:val="0018109F"/>
    <w:rsid w:val="001811C7"/>
    <w:rsid w:val="00181AA4"/>
    <w:rsid w:val="00181ABA"/>
    <w:rsid w:val="00181C0B"/>
    <w:rsid w:val="00182778"/>
    <w:rsid w:val="00182A15"/>
    <w:rsid w:val="00182B4C"/>
    <w:rsid w:val="00183473"/>
    <w:rsid w:val="001848EA"/>
    <w:rsid w:val="0018570A"/>
    <w:rsid w:val="00185AAE"/>
    <w:rsid w:val="00185D8F"/>
    <w:rsid w:val="00186009"/>
    <w:rsid w:val="00186E22"/>
    <w:rsid w:val="00187295"/>
    <w:rsid w:val="00187763"/>
    <w:rsid w:val="00190EA6"/>
    <w:rsid w:val="00190F52"/>
    <w:rsid w:val="00191697"/>
    <w:rsid w:val="001930DE"/>
    <w:rsid w:val="0019349E"/>
    <w:rsid w:val="00194B14"/>
    <w:rsid w:val="001950C5"/>
    <w:rsid w:val="0019526B"/>
    <w:rsid w:val="00195278"/>
    <w:rsid w:val="00195747"/>
    <w:rsid w:val="00195B0A"/>
    <w:rsid w:val="00195E4B"/>
    <w:rsid w:val="00195F7D"/>
    <w:rsid w:val="00195FE1"/>
    <w:rsid w:val="001962A5"/>
    <w:rsid w:val="0019643C"/>
    <w:rsid w:val="001971BB"/>
    <w:rsid w:val="001972F2"/>
    <w:rsid w:val="00197BF7"/>
    <w:rsid w:val="00197D90"/>
    <w:rsid w:val="001A0136"/>
    <w:rsid w:val="001A0464"/>
    <w:rsid w:val="001A1841"/>
    <w:rsid w:val="001A19AB"/>
    <w:rsid w:val="001A21FC"/>
    <w:rsid w:val="001A2235"/>
    <w:rsid w:val="001A25E4"/>
    <w:rsid w:val="001A27FA"/>
    <w:rsid w:val="001A2EF4"/>
    <w:rsid w:val="001A335A"/>
    <w:rsid w:val="001A33B6"/>
    <w:rsid w:val="001A3915"/>
    <w:rsid w:val="001A4844"/>
    <w:rsid w:val="001A485C"/>
    <w:rsid w:val="001A4A3C"/>
    <w:rsid w:val="001A54BC"/>
    <w:rsid w:val="001A5B0C"/>
    <w:rsid w:val="001A5ECE"/>
    <w:rsid w:val="001A687F"/>
    <w:rsid w:val="001A6F9A"/>
    <w:rsid w:val="001A7165"/>
    <w:rsid w:val="001B035F"/>
    <w:rsid w:val="001B0696"/>
    <w:rsid w:val="001B0D3C"/>
    <w:rsid w:val="001B0E25"/>
    <w:rsid w:val="001B202D"/>
    <w:rsid w:val="001B2F3C"/>
    <w:rsid w:val="001B31A2"/>
    <w:rsid w:val="001B3570"/>
    <w:rsid w:val="001B365F"/>
    <w:rsid w:val="001B36C9"/>
    <w:rsid w:val="001B3D82"/>
    <w:rsid w:val="001B3EFF"/>
    <w:rsid w:val="001B3F25"/>
    <w:rsid w:val="001B41AC"/>
    <w:rsid w:val="001B4564"/>
    <w:rsid w:val="001B58E3"/>
    <w:rsid w:val="001B6081"/>
    <w:rsid w:val="001B60AA"/>
    <w:rsid w:val="001B72CB"/>
    <w:rsid w:val="001B7911"/>
    <w:rsid w:val="001C03B8"/>
    <w:rsid w:val="001C08D8"/>
    <w:rsid w:val="001C0BAE"/>
    <w:rsid w:val="001C139F"/>
    <w:rsid w:val="001C1875"/>
    <w:rsid w:val="001C1D22"/>
    <w:rsid w:val="001C2276"/>
    <w:rsid w:val="001C24D4"/>
    <w:rsid w:val="001C2BE8"/>
    <w:rsid w:val="001C3076"/>
    <w:rsid w:val="001C3350"/>
    <w:rsid w:val="001C34AA"/>
    <w:rsid w:val="001C34BD"/>
    <w:rsid w:val="001C42F9"/>
    <w:rsid w:val="001C46C2"/>
    <w:rsid w:val="001C49BC"/>
    <w:rsid w:val="001C4CBF"/>
    <w:rsid w:val="001C4D1B"/>
    <w:rsid w:val="001C548F"/>
    <w:rsid w:val="001C72E3"/>
    <w:rsid w:val="001C74AF"/>
    <w:rsid w:val="001D07DC"/>
    <w:rsid w:val="001D127F"/>
    <w:rsid w:val="001D18F4"/>
    <w:rsid w:val="001D1D81"/>
    <w:rsid w:val="001D2C43"/>
    <w:rsid w:val="001D4E2A"/>
    <w:rsid w:val="001D508F"/>
    <w:rsid w:val="001D5403"/>
    <w:rsid w:val="001D5A60"/>
    <w:rsid w:val="001D5A77"/>
    <w:rsid w:val="001D6017"/>
    <w:rsid w:val="001D645C"/>
    <w:rsid w:val="001D6893"/>
    <w:rsid w:val="001D6D26"/>
    <w:rsid w:val="001D734E"/>
    <w:rsid w:val="001D7969"/>
    <w:rsid w:val="001D7981"/>
    <w:rsid w:val="001E06EA"/>
    <w:rsid w:val="001E0C52"/>
    <w:rsid w:val="001E0EF1"/>
    <w:rsid w:val="001E108F"/>
    <w:rsid w:val="001E1890"/>
    <w:rsid w:val="001E1A7E"/>
    <w:rsid w:val="001E1FE2"/>
    <w:rsid w:val="001E2219"/>
    <w:rsid w:val="001E3313"/>
    <w:rsid w:val="001E3389"/>
    <w:rsid w:val="001E33CA"/>
    <w:rsid w:val="001E361A"/>
    <w:rsid w:val="001E3857"/>
    <w:rsid w:val="001E42B1"/>
    <w:rsid w:val="001E4682"/>
    <w:rsid w:val="001E494D"/>
    <w:rsid w:val="001E4B3E"/>
    <w:rsid w:val="001E4C5F"/>
    <w:rsid w:val="001E4CEB"/>
    <w:rsid w:val="001E50AA"/>
    <w:rsid w:val="001E5481"/>
    <w:rsid w:val="001E54DA"/>
    <w:rsid w:val="001E575A"/>
    <w:rsid w:val="001E58C3"/>
    <w:rsid w:val="001E5DF7"/>
    <w:rsid w:val="001E5E61"/>
    <w:rsid w:val="001E693C"/>
    <w:rsid w:val="001E6BA6"/>
    <w:rsid w:val="001E6FC7"/>
    <w:rsid w:val="001E7407"/>
    <w:rsid w:val="001E7E7E"/>
    <w:rsid w:val="001F0DDC"/>
    <w:rsid w:val="001F19B8"/>
    <w:rsid w:val="001F1C6E"/>
    <w:rsid w:val="001F2033"/>
    <w:rsid w:val="001F2618"/>
    <w:rsid w:val="001F34AA"/>
    <w:rsid w:val="001F384E"/>
    <w:rsid w:val="001F45D1"/>
    <w:rsid w:val="001F4BD0"/>
    <w:rsid w:val="001F4FAE"/>
    <w:rsid w:val="001F5110"/>
    <w:rsid w:val="001F517B"/>
    <w:rsid w:val="001F5B2A"/>
    <w:rsid w:val="001F5D95"/>
    <w:rsid w:val="001F61B0"/>
    <w:rsid w:val="001F63D4"/>
    <w:rsid w:val="001F6AE5"/>
    <w:rsid w:val="001F6C0C"/>
    <w:rsid w:val="001F74BC"/>
    <w:rsid w:val="001F777D"/>
    <w:rsid w:val="001F79C7"/>
    <w:rsid w:val="001F7F0D"/>
    <w:rsid w:val="0020000B"/>
    <w:rsid w:val="00200584"/>
    <w:rsid w:val="002009FD"/>
    <w:rsid w:val="0020182E"/>
    <w:rsid w:val="00201885"/>
    <w:rsid w:val="00201D54"/>
    <w:rsid w:val="0020222C"/>
    <w:rsid w:val="00202EB2"/>
    <w:rsid w:val="002030DC"/>
    <w:rsid w:val="00203269"/>
    <w:rsid w:val="0020327A"/>
    <w:rsid w:val="00204484"/>
    <w:rsid w:val="002045B3"/>
    <w:rsid w:val="002051A0"/>
    <w:rsid w:val="0020526A"/>
    <w:rsid w:val="00205856"/>
    <w:rsid w:val="00205E36"/>
    <w:rsid w:val="00205ED9"/>
    <w:rsid w:val="00205FD9"/>
    <w:rsid w:val="00206348"/>
    <w:rsid w:val="00206EFE"/>
    <w:rsid w:val="0020705E"/>
    <w:rsid w:val="0020727D"/>
    <w:rsid w:val="00207353"/>
    <w:rsid w:val="00207544"/>
    <w:rsid w:val="00207F06"/>
    <w:rsid w:val="002108E3"/>
    <w:rsid w:val="002108FB"/>
    <w:rsid w:val="00210A61"/>
    <w:rsid w:val="00210F91"/>
    <w:rsid w:val="00211344"/>
    <w:rsid w:val="002118B4"/>
    <w:rsid w:val="00211AA7"/>
    <w:rsid w:val="002121D8"/>
    <w:rsid w:val="0021227A"/>
    <w:rsid w:val="002122C1"/>
    <w:rsid w:val="0021253D"/>
    <w:rsid w:val="002125DD"/>
    <w:rsid w:val="00212603"/>
    <w:rsid w:val="002127C1"/>
    <w:rsid w:val="00212F49"/>
    <w:rsid w:val="00213464"/>
    <w:rsid w:val="00213C19"/>
    <w:rsid w:val="00213C32"/>
    <w:rsid w:val="00213D85"/>
    <w:rsid w:val="002142E4"/>
    <w:rsid w:val="00215823"/>
    <w:rsid w:val="00215829"/>
    <w:rsid w:val="00215E2B"/>
    <w:rsid w:val="00215ED3"/>
    <w:rsid w:val="002166B7"/>
    <w:rsid w:val="00216EF2"/>
    <w:rsid w:val="0021743E"/>
    <w:rsid w:val="00217FF9"/>
    <w:rsid w:val="0022056B"/>
    <w:rsid w:val="00220998"/>
    <w:rsid w:val="00220F77"/>
    <w:rsid w:val="00221197"/>
    <w:rsid w:val="002212A7"/>
    <w:rsid w:val="0022133C"/>
    <w:rsid w:val="002216F2"/>
    <w:rsid w:val="00221F0A"/>
    <w:rsid w:val="002229EC"/>
    <w:rsid w:val="00222C5C"/>
    <w:rsid w:val="00222DAE"/>
    <w:rsid w:val="00222E1B"/>
    <w:rsid w:val="002236EA"/>
    <w:rsid w:val="002239F6"/>
    <w:rsid w:val="00224710"/>
    <w:rsid w:val="00224A45"/>
    <w:rsid w:val="00224EAF"/>
    <w:rsid w:val="00224F0C"/>
    <w:rsid w:val="002256A4"/>
    <w:rsid w:val="0022593A"/>
    <w:rsid w:val="002259DA"/>
    <w:rsid w:val="00225E68"/>
    <w:rsid w:val="00226449"/>
    <w:rsid w:val="0022690B"/>
    <w:rsid w:val="002269A4"/>
    <w:rsid w:val="00226D8F"/>
    <w:rsid w:val="002278CC"/>
    <w:rsid w:val="00227C0A"/>
    <w:rsid w:val="00227F8B"/>
    <w:rsid w:val="00230B99"/>
    <w:rsid w:val="00231C61"/>
    <w:rsid w:val="00231EB3"/>
    <w:rsid w:val="00232683"/>
    <w:rsid w:val="00232B43"/>
    <w:rsid w:val="00232DA7"/>
    <w:rsid w:val="00232E47"/>
    <w:rsid w:val="00234508"/>
    <w:rsid w:val="00235095"/>
    <w:rsid w:val="0023514E"/>
    <w:rsid w:val="0023519B"/>
    <w:rsid w:val="00235A8D"/>
    <w:rsid w:val="002372BD"/>
    <w:rsid w:val="00237D73"/>
    <w:rsid w:val="002400E7"/>
    <w:rsid w:val="002403A4"/>
    <w:rsid w:val="0024088E"/>
    <w:rsid w:val="00240B5B"/>
    <w:rsid w:val="00240FBA"/>
    <w:rsid w:val="002410E7"/>
    <w:rsid w:val="002420AA"/>
    <w:rsid w:val="002423FB"/>
    <w:rsid w:val="00242C69"/>
    <w:rsid w:val="00242FEB"/>
    <w:rsid w:val="002430C2"/>
    <w:rsid w:val="002433F6"/>
    <w:rsid w:val="00243A6E"/>
    <w:rsid w:val="00243F4D"/>
    <w:rsid w:val="00244198"/>
    <w:rsid w:val="002449D1"/>
    <w:rsid w:val="00245123"/>
    <w:rsid w:val="00245E8E"/>
    <w:rsid w:val="002477C3"/>
    <w:rsid w:val="00250433"/>
    <w:rsid w:val="002507F0"/>
    <w:rsid w:val="00250B29"/>
    <w:rsid w:val="002513BD"/>
    <w:rsid w:val="00251501"/>
    <w:rsid w:val="002519BE"/>
    <w:rsid w:val="002519FB"/>
    <w:rsid w:val="00251BCE"/>
    <w:rsid w:val="00251F21"/>
    <w:rsid w:val="00251F6B"/>
    <w:rsid w:val="002522F2"/>
    <w:rsid w:val="00252EAF"/>
    <w:rsid w:val="0025355D"/>
    <w:rsid w:val="00253DE4"/>
    <w:rsid w:val="0025446C"/>
    <w:rsid w:val="00254E48"/>
    <w:rsid w:val="00254F05"/>
    <w:rsid w:val="0025518C"/>
    <w:rsid w:val="0025518E"/>
    <w:rsid w:val="00255A82"/>
    <w:rsid w:val="00255E35"/>
    <w:rsid w:val="00256426"/>
    <w:rsid w:val="0025681E"/>
    <w:rsid w:val="002570AA"/>
    <w:rsid w:val="0025748B"/>
    <w:rsid w:val="002577A5"/>
    <w:rsid w:val="0026004F"/>
    <w:rsid w:val="0026052C"/>
    <w:rsid w:val="002606A8"/>
    <w:rsid w:val="002607BE"/>
    <w:rsid w:val="00260852"/>
    <w:rsid w:val="00261488"/>
    <w:rsid w:val="00261568"/>
    <w:rsid w:val="0026179D"/>
    <w:rsid w:val="00261B00"/>
    <w:rsid w:val="00261C7C"/>
    <w:rsid w:val="00261DEB"/>
    <w:rsid w:val="00262903"/>
    <w:rsid w:val="00262B31"/>
    <w:rsid w:val="0026366A"/>
    <w:rsid w:val="00263EF7"/>
    <w:rsid w:val="002642C0"/>
    <w:rsid w:val="002648CE"/>
    <w:rsid w:val="002654A1"/>
    <w:rsid w:val="00265D29"/>
    <w:rsid w:val="00265F36"/>
    <w:rsid w:val="00267153"/>
    <w:rsid w:val="00267555"/>
    <w:rsid w:val="0026795F"/>
    <w:rsid w:val="00267C95"/>
    <w:rsid w:val="00267DB5"/>
    <w:rsid w:val="00270715"/>
    <w:rsid w:val="00270ACD"/>
    <w:rsid w:val="0027120A"/>
    <w:rsid w:val="00271C33"/>
    <w:rsid w:val="0027334E"/>
    <w:rsid w:val="0027339F"/>
    <w:rsid w:val="002735DF"/>
    <w:rsid w:val="002737A0"/>
    <w:rsid w:val="00273A23"/>
    <w:rsid w:val="00273EB4"/>
    <w:rsid w:val="00274137"/>
    <w:rsid w:val="00274366"/>
    <w:rsid w:val="00274668"/>
    <w:rsid w:val="002753CA"/>
    <w:rsid w:val="0027590C"/>
    <w:rsid w:val="002760D9"/>
    <w:rsid w:val="00276507"/>
    <w:rsid w:val="00276F89"/>
    <w:rsid w:val="0027702C"/>
    <w:rsid w:val="00277B1B"/>
    <w:rsid w:val="00277FD1"/>
    <w:rsid w:val="002814C0"/>
    <w:rsid w:val="00281972"/>
    <w:rsid w:val="00281986"/>
    <w:rsid w:val="0028199D"/>
    <w:rsid w:val="00281A3A"/>
    <w:rsid w:val="00282101"/>
    <w:rsid w:val="002821B1"/>
    <w:rsid w:val="00282494"/>
    <w:rsid w:val="002827A3"/>
    <w:rsid w:val="00282975"/>
    <w:rsid w:val="002831B8"/>
    <w:rsid w:val="00283247"/>
    <w:rsid w:val="002837EC"/>
    <w:rsid w:val="00283CA5"/>
    <w:rsid w:val="00284391"/>
    <w:rsid w:val="00284B29"/>
    <w:rsid w:val="00285583"/>
    <w:rsid w:val="00285A82"/>
    <w:rsid w:val="00285E25"/>
    <w:rsid w:val="00286969"/>
    <w:rsid w:val="00286BED"/>
    <w:rsid w:val="00286D15"/>
    <w:rsid w:val="00287446"/>
    <w:rsid w:val="0028754F"/>
    <w:rsid w:val="00287865"/>
    <w:rsid w:val="00287DDC"/>
    <w:rsid w:val="002909C0"/>
    <w:rsid w:val="00291A55"/>
    <w:rsid w:val="00292A59"/>
    <w:rsid w:val="00292CE6"/>
    <w:rsid w:val="00292EA6"/>
    <w:rsid w:val="00293780"/>
    <w:rsid w:val="00293E60"/>
    <w:rsid w:val="002943E2"/>
    <w:rsid w:val="002948F3"/>
    <w:rsid w:val="0029551F"/>
    <w:rsid w:val="00295826"/>
    <w:rsid w:val="00295C69"/>
    <w:rsid w:val="00295F2A"/>
    <w:rsid w:val="00295FBC"/>
    <w:rsid w:val="002963EC"/>
    <w:rsid w:val="0029669B"/>
    <w:rsid w:val="00296BE1"/>
    <w:rsid w:val="00296DDF"/>
    <w:rsid w:val="00296E67"/>
    <w:rsid w:val="0029700D"/>
    <w:rsid w:val="002A0138"/>
    <w:rsid w:val="002A094A"/>
    <w:rsid w:val="002A0E16"/>
    <w:rsid w:val="002A1072"/>
    <w:rsid w:val="002A16EB"/>
    <w:rsid w:val="002A24D9"/>
    <w:rsid w:val="002A2E3F"/>
    <w:rsid w:val="002A3162"/>
    <w:rsid w:val="002A3231"/>
    <w:rsid w:val="002A32BB"/>
    <w:rsid w:val="002A392D"/>
    <w:rsid w:val="002A3982"/>
    <w:rsid w:val="002A46D3"/>
    <w:rsid w:val="002A4D37"/>
    <w:rsid w:val="002A570A"/>
    <w:rsid w:val="002A5B15"/>
    <w:rsid w:val="002A5BC6"/>
    <w:rsid w:val="002A60BC"/>
    <w:rsid w:val="002A60E9"/>
    <w:rsid w:val="002A6CCF"/>
    <w:rsid w:val="002A721A"/>
    <w:rsid w:val="002A72E2"/>
    <w:rsid w:val="002A7462"/>
    <w:rsid w:val="002A74DE"/>
    <w:rsid w:val="002A7D6D"/>
    <w:rsid w:val="002A7F3C"/>
    <w:rsid w:val="002B03A9"/>
    <w:rsid w:val="002B059E"/>
    <w:rsid w:val="002B0E78"/>
    <w:rsid w:val="002B0EA5"/>
    <w:rsid w:val="002B1DAF"/>
    <w:rsid w:val="002B2081"/>
    <w:rsid w:val="002B27C2"/>
    <w:rsid w:val="002B350B"/>
    <w:rsid w:val="002B3D17"/>
    <w:rsid w:val="002B3FBF"/>
    <w:rsid w:val="002B435A"/>
    <w:rsid w:val="002B4486"/>
    <w:rsid w:val="002B4DD0"/>
    <w:rsid w:val="002B4F29"/>
    <w:rsid w:val="002B5935"/>
    <w:rsid w:val="002B5F05"/>
    <w:rsid w:val="002B670C"/>
    <w:rsid w:val="002B6DAC"/>
    <w:rsid w:val="002B756B"/>
    <w:rsid w:val="002B79D9"/>
    <w:rsid w:val="002B7BE6"/>
    <w:rsid w:val="002C0082"/>
    <w:rsid w:val="002C0354"/>
    <w:rsid w:val="002C11DC"/>
    <w:rsid w:val="002C2168"/>
    <w:rsid w:val="002C276D"/>
    <w:rsid w:val="002C3782"/>
    <w:rsid w:val="002C4379"/>
    <w:rsid w:val="002C5DDF"/>
    <w:rsid w:val="002C64F5"/>
    <w:rsid w:val="002C6633"/>
    <w:rsid w:val="002C6D86"/>
    <w:rsid w:val="002C7CFA"/>
    <w:rsid w:val="002D00F3"/>
    <w:rsid w:val="002D07AB"/>
    <w:rsid w:val="002D0A2F"/>
    <w:rsid w:val="002D155B"/>
    <w:rsid w:val="002D2AC7"/>
    <w:rsid w:val="002D357F"/>
    <w:rsid w:val="002D384C"/>
    <w:rsid w:val="002D3932"/>
    <w:rsid w:val="002D3C33"/>
    <w:rsid w:val="002D4009"/>
    <w:rsid w:val="002D4829"/>
    <w:rsid w:val="002D4EEC"/>
    <w:rsid w:val="002D57A7"/>
    <w:rsid w:val="002D5AB7"/>
    <w:rsid w:val="002D5B71"/>
    <w:rsid w:val="002D5B83"/>
    <w:rsid w:val="002D5E51"/>
    <w:rsid w:val="002D6212"/>
    <w:rsid w:val="002D62C4"/>
    <w:rsid w:val="002D6CF5"/>
    <w:rsid w:val="002D77AC"/>
    <w:rsid w:val="002D7F56"/>
    <w:rsid w:val="002E008A"/>
    <w:rsid w:val="002E0749"/>
    <w:rsid w:val="002E0AAF"/>
    <w:rsid w:val="002E1DE4"/>
    <w:rsid w:val="002E2828"/>
    <w:rsid w:val="002E29B3"/>
    <w:rsid w:val="002E3131"/>
    <w:rsid w:val="002E33E5"/>
    <w:rsid w:val="002E36B0"/>
    <w:rsid w:val="002E4C31"/>
    <w:rsid w:val="002E5092"/>
    <w:rsid w:val="002E5522"/>
    <w:rsid w:val="002E5FA2"/>
    <w:rsid w:val="002E642C"/>
    <w:rsid w:val="002E6EA5"/>
    <w:rsid w:val="002E77D5"/>
    <w:rsid w:val="002E7EB2"/>
    <w:rsid w:val="002E7FDE"/>
    <w:rsid w:val="002F008C"/>
    <w:rsid w:val="002F0AB2"/>
    <w:rsid w:val="002F138B"/>
    <w:rsid w:val="002F2BE2"/>
    <w:rsid w:val="002F2C51"/>
    <w:rsid w:val="002F3038"/>
    <w:rsid w:val="002F30C7"/>
    <w:rsid w:val="002F33A8"/>
    <w:rsid w:val="002F3C46"/>
    <w:rsid w:val="002F3CBE"/>
    <w:rsid w:val="002F3F83"/>
    <w:rsid w:val="002F4552"/>
    <w:rsid w:val="002F4C85"/>
    <w:rsid w:val="002F512A"/>
    <w:rsid w:val="002F58B7"/>
    <w:rsid w:val="002F6850"/>
    <w:rsid w:val="002F69C6"/>
    <w:rsid w:val="002F706C"/>
    <w:rsid w:val="002F7422"/>
    <w:rsid w:val="00300AB2"/>
    <w:rsid w:val="00300D1B"/>
    <w:rsid w:val="0030138A"/>
    <w:rsid w:val="00301831"/>
    <w:rsid w:val="00301CBA"/>
    <w:rsid w:val="00302A20"/>
    <w:rsid w:val="00302B42"/>
    <w:rsid w:val="00302B48"/>
    <w:rsid w:val="00303757"/>
    <w:rsid w:val="00304672"/>
    <w:rsid w:val="0030478B"/>
    <w:rsid w:val="00305060"/>
    <w:rsid w:val="00305193"/>
    <w:rsid w:val="00305358"/>
    <w:rsid w:val="00305F3B"/>
    <w:rsid w:val="003078BE"/>
    <w:rsid w:val="003078FA"/>
    <w:rsid w:val="0031019F"/>
    <w:rsid w:val="003105ED"/>
    <w:rsid w:val="003107BE"/>
    <w:rsid w:val="00310B12"/>
    <w:rsid w:val="00310D83"/>
    <w:rsid w:val="003114F8"/>
    <w:rsid w:val="003116A8"/>
    <w:rsid w:val="003116D1"/>
    <w:rsid w:val="00311C55"/>
    <w:rsid w:val="003120C8"/>
    <w:rsid w:val="00312E88"/>
    <w:rsid w:val="00313154"/>
    <w:rsid w:val="003135C7"/>
    <w:rsid w:val="00313D3D"/>
    <w:rsid w:val="00313FBC"/>
    <w:rsid w:val="0031401C"/>
    <w:rsid w:val="00314090"/>
    <w:rsid w:val="003147BC"/>
    <w:rsid w:val="00314FCF"/>
    <w:rsid w:val="003150ED"/>
    <w:rsid w:val="003156B0"/>
    <w:rsid w:val="00316212"/>
    <w:rsid w:val="003164B2"/>
    <w:rsid w:val="00316A04"/>
    <w:rsid w:val="00316D7C"/>
    <w:rsid w:val="00316F9E"/>
    <w:rsid w:val="0031758E"/>
    <w:rsid w:val="003176DB"/>
    <w:rsid w:val="003177DB"/>
    <w:rsid w:val="003179B3"/>
    <w:rsid w:val="00317E9B"/>
    <w:rsid w:val="0032010A"/>
    <w:rsid w:val="00321034"/>
    <w:rsid w:val="003212A5"/>
    <w:rsid w:val="00321681"/>
    <w:rsid w:val="00321AFB"/>
    <w:rsid w:val="00321FAA"/>
    <w:rsid w:val="003232F1"/>
    <w:rsid w:val="003235C2"/>
    <w:rsid w:val="00323D17"/>
    <w:rsid w:val="00323DD5"/>
    <w:rsid w:val="00323EAB"/>
    <w:rsid w:val="00324195"/>
    <w:rsid w:val="00325011"/>
    <w:rsid w:val="00325424"/>
    <w:rsid w:val="003257F0"/>
    <w:rsid w:val="00325AD7"/>
    <w:rsid w:val="00325CB1"/>
    <w:rsid w:val="00325CCD"/>
    <w:rsid w:val="00325EAA"/>
    <w:rsid w:val="0032650E"/>
    <w:rsid w:val="00326582"/>
    <w:rsid w:val="0032705D"/>
    <w:rsid w:val="00327FBE"/>
    <w:rsid w:val="00330075"/>
    <w:rsid w:val="00330D42"/>
    <w:rsid w:val="003313F0"/>
    <w:rsid w:val="003316F9"/>
    <w:rsid w:val="003321BD"/>
    <w:rsid w:val="003321F4"/>
    <w:rsid w:val="0033225C"/>
    <w:rsid w:val="00332437"/>
    <w:rsid w:val="003330A7"/>
    <w:rsid w:val="00333268"/>
    <w:rsid w:val="00333606"/>
    <w:rsid w:val="00333B87"/>
    <w:rsid w:val="0033457F"/>
    <w:rsid w:val="003349A1"/>
    <w:rsid w:val="003352FB"/>
    <w:rsid w:val="00337169"/>
    <w:rsid w:val="0033735B"/>
    <w:rsid w:val="00337755"/>
    <w:rsid w:val="00340446"/>
    <w:rsid w:val="003405E5"/>
    <w:rsid w:val="003409A9"/>
    <w:rsid w:val="00340A20"/>
    <w:rsid w:val="00340CF4"/>
    <w:rsid w:val="0034112F"/>
    <w:rsid w:val="00341361"/>
    <w:rsid w:val="0034238F"/>
    <w:rsid w:val="0034256E"/>
    <w:rsid w:val="0034261E"/>
    <w:rsid w:val="00342C9C"/>
    <w:rsid w:val="00342FB9"/>
    <w:rsid w:val="0034366D"/>
    <w:rsid w:val="00343E47"/>
    <w:rsid w:val="0034433D"/>
    <w:rsid w:val="0034531A"/>
    <w:rsid w:val="003454BA"/>
    <w:rsid w:val="00345AFA"/>
    <w:rsid w:val="003460C5"/>
    <w:rsid w:val="00346512"/>
    <w:rsid w:val="003467A9"/>
    <w:rsid w:val="00346949"/>
    <w:rsid w:val="00346E54"/>
    <w:rsid w:val="003471D2"/>
    <w:rsid w:val="00347284"/>
    <w:rsid w:val="003473BF"/>
    <w:rsid w:val="00347743"/>
    <w:rsid w:val="003477A5"/>
    <w:rsid w:val="003479BD"/>
    <w:rsid w:val="00347A6E"/>
    <w:rsid w:val="00347D26"/>
    <w:rsid w:val="00351D79"/>
    <w:rsid w:val="00352F3A"/>
    <w:rsid w:val="003534B1"/>
    <w:rsid w:val="00353A74"/>
    <w:rsid w:val="003542B1"/>
    <w:rsid w:val="003542B8"/>
    <w:rsid w:val="00354523"/>
    <w:rsid w:val="003549B9"/>
    <w:rsid w:val="00354AFA"/>
    <w:rsid w:val="00354DA3"/>
    <w:rsid w:val="00355D9B"/>
    <w:rsid w:val="0035689E"/>
    <w:rsid w:val="00356B16"/>
    <w:rsid w:val="00356F12"/>
    <w:rsid w:val="00357223"/>
    <w:rsid w:val="00357750"/>
    <w:rsid w:val="003578D1"/>
    <w:rsid w:val="00357A91"/>
    <w:rsid w:val="00357C08"/>
    <w:rsid w:val="003605F9"/>
    <w:rsid w:val="003607B9"/>
    <w:rsid w:val="0036120B"/>
    <w:rsid w:val="003612AA"/>
    <w:rsid w:val="003617FD"/>
    <w:rsid w:val="00361B2B"/>
    <w:rsid w:val="00361CA7"/>
    <w:rsid w:val="0036211A"/>
    <w:rsid w:val="00362337"/>
    <w:rsid w:val="00362457"/>
    <w:rsid w:val="0036266E"/>
    <w:rsid w:val="00362AB8"/>
    <w:rsid w:val="003631E0"/>
    <w:rsid w:val="00363C5C"/>
    <w:rsid w:val="00363D70"/>
    <w:rsid w:val="00363FAB"/>
    <w:rsid w:val="003653E0"/>
    <w:rsid w:val="00365E36"/>
    <w:rsid w:val="00366451"/>
    <w:rsid w:val="003664EF"/>
    <w:rsid w:val="00366767"/>
    <w:rsid w:val="0036760F"/>
    <w:rsid w:val="0036766A"/>
    <w:rsid w:val="003679C6"/>
    <w:rsid w:val="00367B33"/>
    <w:rsid w:val="00367D0D"/>
    <w:rsid w:val="00367F5D"/>
    <w:rsid w:val="00370415"/>
    <w:rsid w:val="00370754"/>
    <w:rsid w:val="00372462"/>
    <w:rsid w:val="0037249D"/>
    <w:rsid w:val="003724FE"/>
    <w:rsid w:val="003726AA"/>
    <w:rsid w:val="00372C15"/>
    <w:rsid w:val="00373269"/>
    <w:rsid w:val="003734E1"/>
    <w:rsid w:val="003738D0"/>
    <w:rsid w:val="003739BD"/>
    <w:rsid w:val="00374175"/>
    <w:rsid w:val="00374B78"/>
    <w:rsid w:val="00374E1D"/>
    <w:rsid w:val="00375364"/>
    <w:rsid w:val="003754B8"/>
    <w:rsid w:val="003755CA"/>
    <w:rsid w:val="0037563A"/>
    <w:rsid w:val="00376051"/>
    <w:rsid w:val="0037663B"/>
    <w:rsid w:val="003768A5"/>
    <w:rsid w:val="00376AAB"/>
    <w:rsid w:val="0037701B"/>
    <w:rsid w:val="00377695"/>
    <w:rsid w:val="003777C9"/>
    <w:rsid w:val="00377A92"/>
    <w:rsid w:val="00377BC4"/>
    <w:rsid w:val="00381F7D"/>
    <w:rsid w:val="003822F3"/>
    <w:rsid w:val="0038277F"/>
    <w:rsid w:val="00383587"/>
    <w:rsid w:val="00383947"/>
    <w:rsid w:val="003853DF"/>
    <w:rsid w:val="00385821"/>
    <w:rsid w:val="00385BA3"/>
    <w:rsid w:val="003867C4"/>
    <w:rsid w:val="00386CF3"/>
    <w:rsid w:val="003870D7"/>
    <w:rsid w:val="00387556"/>
    <w:rsid w:val="0039004F"/>
    <w:rsid w:val="00390883"/>
    <w:rsid w:val="003909A0"/>
    <w:rsid w:val="00390C88"/>
    <w:rsid w:val="003916F7"/>
    <w:rsid w:val="0039217B"/>
    <w:rsid w:val="003925FC"/>
    <w:rsid w:val="003927D0"/>
    <w:rsid w:val="00392A9A"/>
    <w:rsid w:val="00392E4F"/>
    <w:rsid w:val="00392EB7"/>
    <w:rsid w:val="003934F4"/>
    <w:rsid w:val="00393761"/>
    <w:rsid w:val="00393DE9"/>
    <w:rsid w:val="00393F46"/>
    <w:rsid w:val="00394838"/>
    <w:rsid w:val="00394864"/>
    <w:rsid w:val="0039555F"/>
    <w:rsid w:val="00395837"/>
    <w:rsid w:val="00395CCA"/>
    <w:rsid w:val="00395DFA"/>
    <w:rsid w:val="00396791"/>
    <w:rsid w:val="00396F55"/>
    <w:rsid w:val="00397DC4"/>
    <w:rsid w:val="003A0009"/>
    <w:rsid w:val="003A0509"/>
    <w:rsid w:val="003A0637"/>
    <w:rsid w:val="003A06F4"/>
    <w:rsid w:val="003A0DAE"/>
    <w:rsid w:val="003A1517"/>
    <w:rsid w:val="003A17A2"/>
    <w:rsid w:val="003A191D"/>
    <w:rsid w:val="003A19FF"/>
    <w:rsid w:val="003A1F0A"/>
    <w:rsid w:val="003A1FF9"/>
    <w:rsid w:val="003A32F2"/>
    <w:rsid w:val="003A3F9D"/>
    <w:rsid w:val="003A40C5"/>
    <w:rsid w:val="003A43B5"/>
    <w:rsid w:val="003A46EC"/>
    <w:rsid w:val="003A51B6"/>
    <w:rsid w:val="003A5415"/>
    <w:rsid w:val="003A5918"/>
    <w:rsid w:val="003A5DF8"/>
    <w:rsid w:val="003A6A84"/>
    <w:rsid w:val="003A72FB"/>
    <w:rsid w:val="003A7B0B"/>
    <w:rsid w:val="003A7B55"/>
    <w:rsid w:val="003A7CA6"/>
    <w:rsid w:val="003B0439"/>
    <w:rsid w:val="003B0469"/>
    <w:rsid w:val="003B089D"/>
    <w:rsid w:val="003B0AEC"/>
    <w:rsid w:val="003B155E"/>
    <w:rsid w:val="003B1727"/>
    <w:rsid w:val="003B1DA7"/>
    <w:rsid w:val="003B2009"/>
    <w:rsid w:val="003B24CD"/>
    <w:rsid w:val="003B28E0"/>
    <w:rsid w:val="003B2A44"/>
    <w:rsid w:val="003B2C7D"/>
    <w:rsid w:val="003B3067"/>
    <w:rsid w:val="003B344A"/>
    <w:rsid w:val="003B3E51"/>
    <w:rsid w:val="003B451A"/>
    <w:rsid w:val="003B4E92"/>
    <w:rsid w:val="003B52D7"/>
    <w:rsid w:val="003B5FC4"/>
    <w:rsid w:val="003B5FE5"/>
    <w:rsid w:val="003B6084"/>
    <w:rsid w:val="003B6332"/>
    <w:rsid w:val="003B6FD4"/>
    <w:rsid w:val="003B7C93"/>
    <w:rsid w:val="003B7E7D"/>
    <w:rsid w:val="003C0046"/>
    <w:rsid w:val="003C1060"/>
    <w:rsid w:val="003C12C4"/>
    <w:rsid w:val="003C1776"/>
    <w:rsid w:val="003C21D1"/>
    <w:rsid w:val="003C2604"/>
    <w:rsid w:val="003C2B2C"/>
    <w:rsid w:val="003C2C7C"/>
    <w:rsid w:val="003C2F66"/>
    <w:rsid w:val="003C3578"/>
    <w:rsid w:val="003C37F9"/>
    <w:rsid w:val="003C3C23"/>
    <w:rsid w:val="003C4061"/>
    <w:rsid w:val="003C4335"/>
    <w:rsid w:val="003C4339"/>
    <w:rsid w:val="003C4470"/>
    <w:rsid w:val="003C44D2"/>
    <w:rsid w:val="003C48C0"/>
    <w:rsid w:val="003C4F93"/>
    <w:rsid w:val="003C52B6"/>
    <w:rsid w:val="003C535C"/>
    <w:rsid w:val="003C5AF4"/>
    <w:rsid w:val="003C65E3"/>
    <w:rsid w:val="003C7CF0"/>
    <w:rsid w:val="003C7FB1"/>
    <w:rsid w:val="003D0AA6"/>
    <w:rsid w:val="003D18CE"/>
    <w:rsid w:val="003D1F6C"/>
    <w:rsid w:val="003D2FA4"/>
    <w:rsid w:val="003D35C7"/>
    <w:rsid w:val="003D3ED5"/>
    <w:rsid w:val="003D474F"/>
    <w:rsid w:val="003D4797"/>
    <w:rsid w:val="003D47F8"/>
    <w:rsid w:val="003D48D5"/>
    <w:rsid w:val="003D495A"/>
    <w:rsid w:val="003D4D4F"/>
    <w:rsid w:val="003D4E25"/>
    <w:rsid w:val="003D5A10"/>
    <w:rsid w:val="003D5D1B"/>
    <w:rsid w:val="003D76C2"/>
    <w:rsid w:val="003D7AF0"/>
    <w:rsid w:val="003E0B1E"/>
    <w:rsid w:val="003E0B5D"/>
    <w:rsid w:val="003E0DD4"/>
    <w:rsid w:val="003E1530"/>
    <w:rsid w:val="003E1593"/>
    <w:rsid w:val="003E1EEF"/>
    <w:rsid w:val="003E20A9"/>
    <w:rsid w:val="003E23FE"/>
    <w:rsid w:val="003E2702"/>
    <w:rsid w:val="003E346A"/>
    <w:rsid w:val="003E34E8"/>
    <w:rsid w:val="003E35C2"/>
    <w:rsid w:val="003E3A6F"/>
    <w:rsid w:val="003E3A92"/>
    <w:rsid w:val="003E3DAF"/>
    <w:rsid w:val="003E4A87"/>
    <w:rsid w:val="003E5306"/>
    <w:rsid w:val="003E6CFE"/>
    <w:rsid w:val="003E6DAC"/>
    <w:rsid w:val="003E731A"/>
    <w:rsid w:val="003E776F"/>
    <w:rsid w:val="003E7951"/>
    <w:rsid w:val="003F0121"/>
    <w:rsid w:val="003F020F"/>
    <w:rsid w:val="003F067F"/>
    <w:rsid w:val="003F084D"/>
    <w:rsid w:val="003F1A97"/>
    <w:rsid w:val="003F1CE4"/>
    <w:rsid w:val="003F1D58"/>
    <w:rsid w:val="003F1DEC"/>
    <w:rsid w:val="003F2046"/>
    <w:rsid w:val="003F2117"/>
    <w:rsid w:val="003F222D"/>
    <w:rsid w:val="003F2574"/>
    <w:rsid w:val="003F2641"/>
    <w:rsid w:val="003F2B48"/>
    <w:rsid w:val="003F3003"/>
    <w:rsid w:val="003F3766"/>
    <w:rsid w:val="003F3DA5"/>
    <w:rsid w:val="003F4F11"/>
    <w:rsid w:val="003F4F99"/>
    <w:rsid w:val="003F52E8"/>
    <w:rsid w:val="003F5805"/>
    <w:rsid w:val="003F5959"/>
    <w:rsid w:val="003F5C22"/>
    <w:rsid w:val="003F6492"/>
    <w:rsid w:val="003F68FC"/>
    <w:rsid w:val="003F6941"/>
    <w:rsid w:val="003F698C"/>
    <w:rsid w:val="003F6C39"/>
    <w:rsid w:val="003F7B66"/>
    <w:rsid w:val="00400196"/>
    <w:rsid w:val="00400A10"/>
    <w:rsid w:val="00400A89"/>
    <w:rsid w:val="00400B44"/>
    <w:rsid w:val="00400FB9"/>
    <w:rsid w:val="0040137C"/>
    <w:rsid w:val="00402B65"/>
    <w:rsid w:val="00402BC2"/>
    <w:rsid w:val="00402FCD"/>
    <w:rsid w:val="00403377"/>
    <w:rsid w:val="0040360F"/>
    <w:rsid w:val="00403747"/>
    <w:rsid w:val="004050C5"/>
    <w:rsid w:val="00405177"/>
    <w:rsid w:val="00405305"/>
    <w:rsid w:val="00405376"/>
    <w:rsid w:val="004055EF"/>
    <w:rsid w:val="00405627"/>
    <w:rsid w:val="004057D3"/>
    <w:rsid w:val="00405A88"/>
    <w:rsid w:val="004060E5"/>
    <w:rsid w:val="00406747"/>
    <w:rsid w:val="004067D5"/>
    <w:rsid w:val="00406B12"/>
    <w:rsid w:val="004075AF"/>
    <w:rsid w:val="0040768F"/>
    <w:rsid w:val="00407B92"/>
    <w:rsid w:val="00407BB0"/>
    <w:rsid w:val="00407E1D"/>
    <w:rsid w:val="00410309"/>
    <w:rsid w:val="004107B6"/>
    <w:rsid w:val="004113A1"/>
    <w:rsid w:val="00411614"/>
    <w:rsid w:val="004117B3"/>
    <w:rsid w:val="00411B6F"/>
    <w:rsid w:val="0041387F"/>
    <w:rsid w:val="004138F6"/>
    <w:rsid w:val="00413E0A"/>
    <w:rsid w:val="00414011"/>
    <w:rsid w:val="00414046"/>
    <w:rsid w:val="00414369"/>
    <w:rsid w:val="00414757"/>
    <w:rsid w:val="00414B06"/>
    <w:rsid w:val="00415177"/>
    <w:rsid w:val="004154F5"/>
    <w:rsid w:val="00415C64"/>
    <w:rsid w:val="00415E07"/>
    <w:rsid w:val="00415F03"/>
    <w:rsid w:val="004166BE"/>
    <w:rsid w:val="004177F0"/>
    <w:rsid w:val="00420267"/>
    <w:rsid w:val="00421274"/>
    <w:rsid w:val="0042185C"/>
    <w:rsid w:val="00421971"/>
    <w:rsid w:val="004219F9"/>
    <w:rsid w:val="00421FE5"/>
    <w:rsid w:val="004221ED"/>
    <w:rsid w:val="00422393"/>
    <w:rsid w:val="0042264F"/>
    <w:rsid w:val="0042284A"/>
    <w:rsid w:val="004238FD"/>
    <w:rsid w:val="00423C43"/>
    <w:rsid w:val="00423C62"/>
    <w:rsid w:val="004240A3"/>
    <w:rsid w:val="004243E8"/>
    <w:rsid w:val="004248FF"/>
    <w:rsid w:val="00424BB0"/>
    <w:rsid w:val="004253A0"/>
    <w:rsid w:val="0042566B"/>
    <w:rsid w:val="004260B4"/>
    <w:rsid w:val="00426F94"/>
    <w:rsid w:val="00426FDB"/>
    <w:rsid w:val="00432164"/>
    <w:rsid w:val="00433229"/>
    <w:rsid w:val="004338AD"/>
    <w:rsid w:val="00433A77"/>
    <w:rsid w:val="00433AD7"/>
    <w:rsid w:val="00434AD0"/>
    <w:rsid w:val="00435FEB"/>
    <w:rsid w:val="00436007"/>
    <w:rsid w:val="00436260"/>
    <w:rsid w:val="00436921"/>
    <w:rsid w:val="00437098"/>
    <w:rsid w:val="00437CB7"/>
    <w:rsid w:val="00440413"/>
    <w:rsid w:val="0044051D"/>
    <w:rsid w:val="0044060A"/>
    <w:rsid w:val="0044088D"/>
    <w:rsid w:val="00440B16"/>
    <w:rsid w:val="00440B51"/>
    <w:rsid w:val="00441148"/>
    <w:rsid w:val="00441AD0"/>
    <w:rsid w:val="00441F61"/>
    <w:rsid w:val="004422B4"/>
    <w:rsid w:val="00442781"/>
    <w:rsid w:val="0044290F"/>
    <w:rsid w:val="00442A4C"/>
    <w:rsid w:val="0044369C"/>
    <w:rsid w:val="00443C82"/>
    <w:rsid w:val="00444E58"/>
    <w:rsid w:val="004451E4"/>
    <w:rsid w:val="0044526D"/>
    <w:rsid w:val="00445290"/>
    <w:rsid w:val="004455F7"/>
    <w:rsid w:val="0044570F"/>
    <w:rsid w:val="00445855"/>
    <w:rsid w:val="004459D8"/>
    <w:rsid w:val="00446162"/>
    <w:rsid w:val="004461D2"/>
    <w:rsid w:val="00446247"/>
    <w:rsid w:val="00446336"/>
    <w:rsid w:val="0044635C"/>
    <w:rsid w:val="0044635E"/>
    <w:rsid w:val="00446459"/>
    <w:rsid w:val="004466C6"/>
    <w:rsid w:val="00446804"/>
    <w:rsid w:val="00446AFD"/>
    <w:rsid w:val="00446DD2"/>
    <w:rsid w:val="00446F0B"/>
    <w:rsid w:val="004471A7"/>
    <w:rsid w:val="00447292"/>
    <w:rsid w:val="004475C4"/>
    <w:rsid w:val="00447AA1"/>
    <w:rsid w:val="00447D4E"/>
    <w:rsid w:val="00447E0A"/>
    <w:rsid w:val="00447F08"/>
    <w:rsid w:val="00451082"/>
    <w:rsid w:val="0045118C"/>
    <w:rsid w:val="004512A8"/>
    <w:rsid w:val="00451D06"/>
    <w:rsid w:val="00451E3A"/>
    <w:rsid w:val="00452C0E"/>
    <w:rsid w:val="0045357E"/>
    <w:rsid w:val="004545F3"/>
    <w:rsid w:val="00454B5F"/>
    <w:rsid w:val="004551CB"/>
    <w:rsid w:val="004552FB"/>
    <w:rsid w:val="00455571"/>
    <w:rsid w:val="004555AD"/>
    <w:rsid w:val="00455996"/>
    <w:rsid w:val="00455D60"/>
    <w:rsid w:val="00456336"/>
    <w:rsid w:val="00456EC9"/>
    <w:rsid w:val="00457995"/>
    <w:rsid w:val="004579D6"/>
    <w:rsid w:val="00457C13"/>
    <w:rsid w:val="004609D3"/>
    <w:rsid w:val="004616DD"/>
    <w:rsid w:val="004624FD"/>
    <w:rsid w:val="004627FF"/>
    <w:rsid w:val="00464CEB"/>
    <w:rsid w:val="00465036"/>
    <w:rsid w:val="0046598B"/>
    <w:rsid w:val="00465B9D"/>
    <w:rsid w:val="00465CCD"/>
    <w:rsid w:val="0046646B"/>
    <w:rsid w:val="00466F94"/>
    <w:rsid w:val="00467187"/>
    <w:rsid w:val="00467BA1"/>
    <w:rsid w:val="004707CF"/>
    <w:rsid w:val="0047087C"/>
    <w:rsid w:val="0047113A"/>
    <w:rsid w:val="00471429"/>
    <w:rsid w:val="004715D6"/>
    <w:rsid w:val="00471740"/>
    <w:rsid w:val="0047255C"/>
    <w:rsid w:val="00473C04"/>
    <w:rsid w:val="00475140"/>
    <w:rsid w:val="00475322"/>
    <w:rsid w:val="00476133"/>
    <w:rsid w:val="004761BE"/>
    <w:rsid w:val="004774C3"/>
    <w:rsid w:val="004779EB"/>
    <w:rsid w:val="00477C4D"/>
    <w:rsid w:val="00480A61"/>
    <w:rsid w:val="00480BC1"/>
    <w:rsid w:val="00481243"/>
    <w:rsid w:val="00481558"/>
    <w:rsid w:val="0048163C"/>
    <w:rsid w:val="004817D8"/>
    <w:rsid w:val="00481CFA"/>
    <w:rsid w:val="0048278E"/>
    <w:rsid w:val="00482C6D"/>
    <w:rsid w:val="00483764"/>
    <w:rsid w:val="004840EB"/>
    <w:rsid w:val="0048466F"/>
    <w:rsid w:val="00485C45"/>
    <w:rsid w:val="00486761"/>
    <w:rsid w:val="004869F7"/>
    <w:rsid w:val="00486D72"/>
    <w:rsid w:val="00487473"/>
    <w:rsid w:val="00487517"/>
    <w:rsid w:val="00490922"/>
    <w:rsid w:val="004911E9"/>
    <w:rsid w:val="00491674"/>
    <w:rsid w:val="00491887"/>
    <w:rsid w:val="00491AEA"/>
    <w:rsid w:val="00492172"/>
    <w:rsid w:val="004923C7"/>
    <w:rsid w:val="004938F6"/>
    <w:rsid w:val="00493E4D"/>
    <w:rsid w:val="004940F6"/>
    <w:rsid w:val="0049439A"/>
    <w:rsid w:val="00494D54"/>
    <w:rsid w:val="00495484"/>
    <w:rsid w:val="0049550D"/>
    <w:rsid w:val="004957A2"/>
    <w:rsid w:val="00495F8F"/>
    <w:rsid w:val="0049661C"/>
    <w:rsid w:val="004967C7"/>
    <w:rsid w:val="00496FBB"/>
    <w:rsid w:val="00497663"/>
    <w:rsid w:val="00497F0C"/>
    <w:rsid w:val="004A0155"/>
    <w:rsid w:val="004A0649"/>
    <w:rsid w:val="004A0AD2"/>
    <w:rsid w:val="004A0F1C"/>
    <w:rsid w:val="004A18C0"/>
    <w:rsid w:val="004A286C"/>
    <w:rsid w:val="004A3A87"/>
    <w:rsid w:val="004A3E9D"/>
    <w:rsid w:val="004A4091"/>
    <w:rsid w:val="004A41E6"/>
    <w:rsid w:val="004A4543"/>
    <w:rsid w:val="004A4D3D"/>
    <w:rsid w:val="004A5341"/>
    <w:rsid w:val="004A5D62"/>
    <w:rsid w:val="004A6846"/>
    <w:rsid w:val="004A778B"/>
    <w:rsid w:val="004A7D76"/>
    <w:rsid w:val="004A7D81"/>
    <w:rsid w:val="004B0A21"/>
    <w:rsid w:val="004B0C26"/>
    <w:rsid w:val="004B0D1E"/>
    <w:rsid w:val="004B0E45"/>
    <w:rsid w:val="004B0EC6"/>
    <w:rsid w:val="004B12CE"/>
    <w:rsid w:val="004B1D75"/>
    <w:rsid w:val="004B24A4"/>
    <w:rsid w:val="004B260D"/>
    <w:rsid w:val="004B2F5E"/>
    <w:rsid w:val="004B30C8"/>
    <w:rsid w:val="004B3B25"/>
    <w:rsid w:val="004B4575"/>
    <w:rsid w:val="004B4830"/>
    <w:rsid w:val="004B4D51"/>
    <w:rsid w:val="004B551E"/>
    <w:rsid w:val="004B6491"/>
    <w:rsid w:val="004B67A2"/>
    <w:rsid w:val="004B6909"/>
    <w:rsid w:val="004B6A0C"/>
    <w:rsid w:val="004B7A9F"/>
    <w:rsid w:val="004B7BFF"/>
    <w:rsid w:val="004C02EA"/>
    <w:rsid w:val="004C0597"/>
    <w:rsid w:val="004C07E0"/>
    <w:rsid w:val="004C0812"/>
    <w:rsid w:val="004C0986"/>
    <w:rsid w:val="004C1321"/>
    <w:rsid w:val="004C1E0F"/>
    <w:rsid w:val="004C1E49"/>
    <w:rsid w:val="004C21FD"/>
    <w:rsid w:val="004C2405"/>
    <w:rsid w:val="004C25EE"/>
    <w:rsid w:val="004C26B5"/>
    <w:rsid w:val="004C292C"/>
    <w:rsid w:val="004C2998"/>
    <w:rsid w:val="004C319C"/>
    <w:rsid w:val="004C3DED"/>
    <w:rsid w:val="004C3E20"/>
    <w:rsid w:val="004C3E65"/>
    <w:rsid w:val="004C434C"/>
    <w:rsid w:val="004C43E9"/>
    <w:rsid w:val="004C4A03"/>
    <w:rsid w:val="004C51B3"/>
    <w:rsid w:val="004C59BB"/>
    <w:rsid w:val="004C5B37"/>
    <w:rsid w:val="004C62E9"/>
    <w:rsid w:val="004C6327"/>
    <w:rsid w:val="004C736B"/>
    <w:rsid w:val="004C7587"/>
    <w:rsid w:val="004C7A18"/>
    <w:rsid w:val="004D061D"/>
    <w:rsid w:val="004D08D1"/>
    <w:rsid w:val="004D09C4"/>
    <w:rsid w:val="004D0F42"/>
    <w:rsid w:val="004D14A7"/>
    <w:rsid w:val="004D14D5"/>
    <w:rsid w:val="004D152B"/>
    <w:rsid w:val="004D1DA3"/>
    <w:rsid w:val="004D2F7D"/>
    <w:rsid w:val="004D346F"/>
    <w:rsid w:val="004D387D"/>
    <w:rsid w:val="004D3B49"/>
    <w:rsid w:val="004D453C"/>
    <w:rsid w:val="004D5319"/>
    <w:rsid w:val="004D53FB"/>
    <w:rsid w:val="004D5F44"/>
    <w:rsid w:val="004D6310"/>
    <w:rsid w:val="004D65F1"/>
    <w:rsid w:val="004D6D17"/>
    <w:rsid w:val="004D739C"/>
    <w:rsid w:val="004D7694"/>
    <w:rsid w:val="004D7984"/>
    <w:rsid w:val="004D7B0C"/>
    <w:rsid w:val="004D7C23"/>
    <w:rsid w:val="004E06CC"/>
    <w:rsid w:val="004E104F"/>
    <w:rsid w:val="004E129E"/>
    <w:rsid w:val="004E13A3"/>
    <w:rsid w:val="004E2076"/>
    <w:rsid w:val="004E22FE"/>
    <w:rsid w:val="004E231F"/>
    <w:rsid w:val="004E3017"/>
    <w:rsid w:val="004E3E3D"/>
    <w:rsid w:val="004E3F6F"/>
    <w:rsid w:val="004E5370"/>
    <w:rsid w:val="004E5837"/>
    <w:rsid w:val="004E667E"/>
    <w:rsid w:val="004E66D7"/>
    <w:rsid w:val="004E67C9"/>
    <w:rsid w:val="004E76F3"/>
    <w:rsid w:val="004E76F7"/>
    <w:rsid w:val="004E7810"/>
    <w:rsid w:val="004F0972"/>
    <w:rsid w:val="004F28CB"/>
    <w:rsid w:val="004F31FA"/>
    <w:rsid w:val="004F3250"/>
    <w:rsid w:val="004F32C0"/>
    <w:rsid w:val="004F4111"/>
    <w:rsid w:val="004F452A"/>
    <w:rsid w:val="004F4581"/>
    <w:rsid w:val="004F46A4"/>
    <w:rsid w:val="004F46E9"/>
    <w:rsid w:val="004F4C28"/>
    <w:rsid w:val="004F548E"/>
    <w:rsid w:val="004F58D1"/>
    <w:rsid w:val="004F601A"/>
    <w:rsid w:val="004F6A61"/>
    <w:rsid w:val="004F772F"/>
    <w:rsid w:val="005008EC"/>
    <w:rsid w:val="00500A87"/>
    <w:rsid w:val="00500C71"/>
    <w:rsid w:val="00501506"/>
    <w:rsid w:val="005015FD"/>
    <w:rsid w:val="00502091"/>
    <w:rsid w:val="0050286E"/>
    <w:rsid w:val="00502B9D"/>
    <w:rsid w:val="0050427B"/>
    <w:rsid w:val="005042E7"/>
    <w:rsid w:val="005047B2"/>
    <w:rsid w:val="00504870"/>
    <w:rsid w:val="00504BEC"/>
    <w:rsid w:val="00504EE0"/>
    <w:rsid w:val="0050525B"/>
    <w:rsid w:val="00505398"/>
    <w:rsid w:val="00505733"/>
    <w:rsid w:val="00505765"/>
    <w:rsid w:val="00506761"/>
    <w:rsid w:val="00506C9D"/>
    <w:rsid w:val="00507068"/>
    <w:rsid w:val="00507EE1"/>
    <w:rsid w:val="005106BD"/>
    <w:rsid w:val="005117C2"/>
    <w:rsid w:val="00511C14"/>
    <w:rsid w:val="0051200F"/>
    <w:rsid w:val="00512A4E"/>
    <w:rsid w:val="00512C03"/>
    <w:rsid w:val="00512FF0"/>
    <w:rsid w:val="00513375"/>
    <w:rsid w:val="00513BA7"/>
    <w:rsid w:val="00513DD8"/>
    <w:rsid w:val="005143F1"/>
    <w:rsid w:val="005147B0"/>
    <w:rsid w:val="00514827"/>
    <w:rsid w:val="00514CA5"/>
    <w:rsid w:val="00514D6F"/>
    <w:rsid w:val="00514F7E"/>
    <w:rsid w:val="00515906"/>
    <w:rsid w:val="00515C04"/>
    <w:rsid w:val="00515D6E"/>
    <w:rsid w:val="005165BA"/>
    <w:rsid w:val="0051713D"/>
    <w:rsid w:val="0051740C"/>
    <w:rsid w:val="00517AF7"/>
    <w:rsid w:val="0052081D"/>
    <w:rsid w:val="005213F1"/>
    <w:rsid w:val="00521A3E"/>
    <w:rsid w:val="00521F6C"/>
    <w:rsid w:val="00521F96"/>
    <w:rsid w:val="005222B1"/>
    <w:rsid w:val="00523362"/>
    <w:rsid w:val="005233B0"/>
    <w:rsid w:val="00523F4A"/>
    <w:rsid w:val="005244AF"/>
    <w:rsid w:val="005244BD"/>
    <w:rsid w:val="00524624"/>
    <w:rsid w:val="00524FA4"/>
    <w:rsid w:val="00525333"/>
    <w:rsid w:val="005269FC"/>
    <w:rsid w:val="00526F44"/>
    <w:rsid w:val="00527D1F"/>
    <w:rsid w:val="00527EA0"/>
    <w:rsid w:val="0053042B"/>
    <w:rsid w:val="00530E46"/>
    <w:rsid w:val="005324AE"/>
    <w:rsid w:val="00532923"/>
    <w:rsid w:val="00532B54"/>
    <w:rsid w:val="00533568"/>
    <w:rsid w:val="0053370B"/>
    <w:rsid w:val="00533863"/>
    <w:rsid w:val="00534772"/>
    <w:rsid w:val="00534BB6"/>
    <w:rsid w:val="00535A69"/>
    <w:rsid w:val="005362C8"/>
    <w:rsid w:val="005363CF"/>
    <w:rsid w:val="00536C4D"/>
    <w:rsid w:val="0054000D"/>
    <w:rsid w:val="00540098"/>
    <w:rsid w:val="00540266"/>
    <w:rsid w:val="00540CCD"/>
    <w:rsid w:val="00541BAB"/>
    <w:rsid w:val="00542176"/>
    <w:rsid w:val="005424AC"/>
    <w:rsid w:val="0054481F"/>
    <w:rsid w:val="005449F8"/>
    <w:rsid w:val="00544A95"/>
    <w:rsid w:val="00544AFF"/>
    <w:rsid w:val="00545D09"/>
    <w:rsid w:val="00546077"/>
    <w:rsid w:val="00546104"/>
    <w:rsid w:val="005467B1"/>
    <w:rsid w:val="00546810"/>
    <w:rsid w:val="005469AC"/>
    <w:rsid w:val="00546B5F"/>
    <w:rsid w:val="00546C89"/>
    <w:rsid w:val="00546C8D"/>
    <w:rsid w:val="005478F8"/>
    <w:rsid w:val="00547E2E"/>
    <w:rsid w:val="005504F5"/>
    <w:rsid w:val="00550594"/>
    <w:rsid w:val="00551023"/>
    <w:rsid w:val="0055135F"/>
    <w:rsid w:val="005525A0"/>
    <w:rsid w:val="005526F1"/>
    <w:rsid w:val="005527DF"/>
    <w:rsid w:val="0055291D"/>
    <w:rsid w:val="00552C6A"/>
    <w:rsid w:val="0055303E"/>
    <w:rsid w:val="00553052"/>
    <w:rsid w:val="00553374"/>
    <w:rsid w:val="00553751"/>
    <w:rsid w:val="0055385F"/>
    <w:rsid w:val="00554859"/>
    <w:rsid w:val="00554C96"/>
    <w:rsid w:val="005553BC"/>
    <w:rsid w:val="0055558D"/>
    <w:rsid w:val="00555596"/>
    <w:rsid w:val="0055695A"/>
    <w:rsid w:val="00556A14"/>
    <w:rsid w:val="005571B4"/>
    <w:rsid w:val="00557A9E"/>
    <w:rsid w:val="005601A8"/>
    <w:rsid w:val="00560291"/>
    <w:rsid w:val="005606FD"/>
    <w:rsid w:val="00560FC7"/>
    <w:rsid w:val="00561744"/>
    <w:rsid w:val="0056176F"/>
    <w:rsid w:val="00561A51"/>
    <w:rsid w:val="005620F5"/>
    <w:rsid w:val="005623B8"/>
    <w:rsid w:val="00562467"/>
    <w:rsid w:val="00562550"/>
    <w:rsid w:val="0056256C"/>
    <w:rsid w:val="00562ADB"/>
    <w:rsid w:val="0056309E"/>
    <w:rsid w:val="00563377"/>
    <w:rsid w:val="0056340E"/>
    <w:rsid w:val="00563B38"/>
    <w:rsid w:val="00563DAF"/>
    <w:rsid w:val="00564056"/>
    <w:rsid w:val="005647E6"/>
    <w:rsid w:val="00564D97"/>
    <w:rsid w:val="00564E72"/>
    <w:rsid w:val="00564FA7"/>
    <w:rsid w:val="005651FF"/>
    <w:rsid w:val="00566219"/>
    <w:rsid w:val="00566B3F"/>
    <w:rsid w:val="00567081"/>
    <w:rsid w:val="00570128"/>
    <w:rsid w:val="00570240"/>
    <w:rsid w:val="00570E77"/>
    <w:rsid w:val="005713DE"/>
    <w:rsid w:val="00571522"/>
    <w:rsid w:val="00571F83"/>
    <w:rsid w:val="00572D1D"/>
    <w:rsid w:val="00572E51"/>
    <w:rsid w:val="00573147"/>
    <w:rsid w:val="005734FB"/>
    <w:rsid w:val="005739AF"/>
    <w:rsid w:val="00573E21"/>
    <w:rsid w:val="00574028"/>
    <w:rsid w:val="00574203"/>
    <w:rsid w:val="00574791"/>
    <w:rsid w:val="00574A50"/>
    <w:rsid w:val="00574CA4"/>
    <w:rsid w:val="00574D0D"/>
    <w:rsid w:val="00574EAB"/>
    <w:rsid w:val="00575569"/>
    <w:rsid w:val="00575B5E"/>
    <w:rsid w:val="00576026"/>
    <w:rsid w:val="005770B3"/>
    <w:rsid w:val="0057773B"/>
    <w:rsid w:val="0057778C"/>
    <w:rsid w:val="0057799F"/>
    <w:rsid w:val="00577ECE"/>
    <w:rsid w:val="0058075A"/>
    <w:rsid w:val="005815D0"/>
    <w:rsid w:val="00581745"/>
    <w:rsid w:val="00581784"/>
    <w:rsid w:val="00581B12"/>
    <w:rsid w:val="0058214E"/>
    <w:rsid w:val="00582B48"/>
    <w:rsid w:val="00583012"/>
    <w:rsid w:val="00583961"/>
    <w:rsid w:val="0058439A"/>
    <w:rsid w:val="005843DB"/>
    <w:rsid w:val="00584559"/>
    <w:rsid w:val="00584C46"/>
    <w:rsid w:val="00585859"/>
    <w:rsid w:val="00585AA2"/>
    <w:rsid w:val="00585D08"/>
    <w:rsid w:val="00585ECF"/>
    <w:rsid w:val="005867BA"/>
    <w:rsid w:val="00586806"/>
    <w:rsid w:val="00586977"/>
    <w:rsid w:val="00586D45"/>
    <w:rsid w:val="005877B6"/>
    <w:rsid w:val="00587A7D"/>
    <w:rsid w:val="00587E18"/>
    <w:rsid w:val="0059030D"/>
    <w:rsid w:val="00590547"/>
    <w:rsid w:val="005908CD"/>
    <w:rsid w:val="005909A3"/>
    <w:rsid w:val="005915A7"/>
    <w:rsid w:val="005919B8"/>
    <w:rsid w:val="005921B9"/>
    <w:rsid w:val="0059272B"/>
    <w:rsid w:val="005932FC"/>
    <w:rsid w:val="00593CEF"/>
    <w:rsid w:val="00593E05"/>
    <w:rsid w:val="00593EF1"/>
    <w:rsid w:val="0059487F"/>
    <w:rsid w:val="00594EEA"/>
    <w:rsid w:val="0059579F"/>
    <w:rsid w:val="0059661F"/>
    <w:rsid w:val="00597704"/>
    <w:rsid w:val="00597787"/>
    <w:rsid w:val="005977AE"/>
    <w:rsid w:val="005A0E0F"/>
    <w:rsid w:val="005A0EAA"/>
    <w:rsid w:val="005A127E"/>
    <w:rsid w:val="005A1318"/>
    <w:rsid w:val="005A22E9"/>
    <w:rsid w:val="005A2619"/>
    <w:rsid w:val="005A2EF3"/>
    <w:rsid w:val="005A2F67"/>
    <w:rsid w:val="005A3298"/>
    <w:rsid w:val="005A37E1"/>
    <w:rsid w:val="005A3AF3"/>
    <w:rsid w:val="005A3D10"/>
    <w:rsid w:val="005A4453"/>
    <w:rsid w:val="005A4467"/>
    <w:rsid w:val="005A454A"/>
    <w:rsid w:val="005A4706"/>
    <w:rsid w:val="005A4E2C"/>
    <w:rsid w:val="005A4E5A"/>
    <w:rsid w:val="005A5DE3"/>
    <w:rsid w:val="005A689A"/>
    <w:rsid w:val="005A6BCE"/>
    <w:rsid w:val="005A7245"/>
    <w:rsid w:val="005B077F"/>
    <w:rsid w:val="005B0B8A"/>
    <w:rsid w:val="005B0E4A"/>
    <w:rsid w:val="005B123D"/>
    <w:rsid w:val="005B15D1"/>
    <w:rsid w:val="005B1D1B"/>
    <w:rsid w:val="005B22DD"/>
    <w:rsid w:val="005B261F"/>
    <w:rsid w:val="005B2959"/>
    <w:rsid w:val="005B2C28"/>
    <w:rsid w:val="005B376B"/>
    <w:rsid w:val="005B4667"/>
    <w:rsid w:val="005B46CE"/>
    <w:rsid w:val="005B4ACF"/>
    <w:rsid w:val="005B555C"/>
    <w:rsid w:val="005B62D9"/>
    <w:rsid w:val="005B67A1"/>
    <w:rsid w:val="005B6934"/>
    <w:rsid w:val="005B6D7E"/>
    <w:rsid w:val="005B74ED"/>
    <w:rsid w:val="005B7643"/>
    <w:rsid w:val="005B773D"/>
    <w:rsid w:val="005B7A47"/>
    <w:rsid w:val="005C0AB2"/>
    <w:rsid w:val="005C0E00"/>
    <w:rsid w:val="005C0FE6"/>
    <w:rsid w:val="005C1438"/>
    <w:rsid w:val="005C1EF8"/>
    <w:rsid w:val="005C21DE"/>
    <w:rsid w:val="005C2A7D"/>
    <w:rsid w:val="005C3ADB"/>
    <w:rsid w:val="005C3D41"/>
    <w:rsid w:val="005C4A0A"/>
    <w:rsid w:val="005C4A8E"/>
    <w:rsid w:val="005C4B17"/>
    <w:rsid w:val="005C4DE1"/>
    <w:rsid w:val="005C50AC"/>
    <w:rsid w:val="005C51D6"/>
    <w:rsid w:val="005C5562"/>
    <w:rsid w:val="005C5D5D"/>
    <w:rsid w:val="005C5F6D"/>
    <w:rsid w:val="005C6ECD"/>
    <w:rsid w:val="005C6EEA"/>
    <w:rsid w:val="005D0190"/>
    <w:rsid w:val="005D037C"/>
    <w:rsid w:val="005D06CE"/>
    <w:rsid w:val="005D09B7"/>
    <w:rsid w:val="005D132F"/>
    <w:rsid w:val="005D19CA"/>
    <w:rsid w:val="005D1AFD"/>
    <w:rsid w:val="005D1D06"/>
    <w:rsid w:val="005D207B"/>
    <w:rsid w:val="005D2105"/>
    <w:rsid w:val="005D367F"/>
    <w:rsid w:val="005D3C8B"/>
    <w:rsid w:val="005D446A"/>
    <w:rsid w:val="005D4D9E"/>
    <w:rsid w:val="005D4FA3"/>
    <w:rsid w:val="005D526F"/>
    <w:rsid w:val="005D529D"/>
    <w:rsid w:val="005D5B55"/>
    <w:rsid w:val="005D5DBF"/>
    <w:rsid w:val="005D5FBD"/>
    <w:rsid w:val="005D6F57"/>
    <w:rsid w:val="005D7416"/>
    <w:rsid w:val="005D776F"/>
    <w:rsid w:val="005D7C19"/>
    <w:rsid w:val="005D7D74"/>
    <w:rsid w:val="005E0378"/>
    <w:rsid w:val="005E05EA"/>
    <w:rsid w:val="005E06BA"/>
    <w:rsid w:val="005E0BE6"/>
    <w:rsid w:val="005E0FD3"/>
    <w:rsid w:val="005E173A"/>
    <w:rsid w:val="005E1912"/>
    <w:rsid w:val="005E1FA7"/>
    <w:rsid w:val="005E2A42"/>
    <w:rsid w:val="005E2B5A"/>
    <w:rsid w:val="005E33EA"/>
    <w:rsid w:val="005E3543"/>
    <w:rsid w:val="005E3B1F"/>
    <w:rsid w:val="005E3B80"/>
    <w:rsid w:val="005E3F05"/>
    <w:rsid w:val="005E486D"/>
    <w:rsid w:val="005E4B1E"/>
    <w:rsid w:val="005E5FD2"/>
    <w:rsid w:val="005E6237"/>
    <w:rsid w:val="005E6F34"/>
    <w:rsid w:val="005E7155"/>
    <w:rsid w:val="005E7D65"/>
    <w:rsid w:val="005E7EE3"/>
    <w:rsid w:val="005F0961"/>
    <w:rsid w:val="005F0BBB"/>
    <w:rsid w:val="005F12FE"/>
    <w:rsid w:val="005F152A"/>
    <w:rsid w:val="005F1FC7"/>
    <w:rsid w:val="005F274E"/>
    <w:rsid w:val="005F2778"/>
    <w:rsid w:val="005F2CEF"/>
    <w:rsid w:val="005F2E80"/>
    <w:rsid w:val="005F332D"/>
    <w:rsid w:val="005F37BC"/>
    <w:rsid w:val="005F38F7"/>
    <w:rsid w:val="005F4426"/>
    <w:rsid w:val="005F4774"/>
    <w:rsid w:val="005F5ECC"/>
    <w:rsid w:val="005F674F"/>
    <w:rsid w:val="005F74A7"/>
    <w:rsid w:val="005F7A16"/>
    <w:rsid w:val="005F7A4F"/>
    <w:rsid w:val="00600666"/>
    <w:rsid w:val="00600F50"/>
    <w:rsid w:val="006025BC"/>
    <w:rsid w:val="00602B20"/>
    <w:rsid w:val="00602C17"/>
    <w:rsid w:val="00602C98"/>
    <w:rsid w:val="0060331E"/>
    <w:rsid w:val="006035CE"/>
    <w:rsid w:val="006038A3"/>
    <w:rsid w:val="00603AFF"/>
    <w:rsid w:val="00603C7F"/>
    <w:rsid w:val="00603E3E"/>
    <w:rsid w:val="00603FFD"/>
    <w:rsid w:val="00604441"/>
    <w:rsid w:val="0060456C"/>
    <w:rsid w:val="00604657"/>
    <w:rsid w:val="00604B46"/>
    <w:rsid w:val="00604F1A"/>
    <w:rsid w:val="006053D0"/>
    <w:rsid w:val="006054B9"/>
    <w:rsid w:val="006056B1"/>
    <w:rsid w:val="00605FDE"/>
    <w:rsid w:val="0060616F"/>
    <w:rsid w:val="00606FAB"/>
    <w:rsid w:val="0060727B"/>
    <w:rsid w:val="006076AC"/>
    <w:rsid w:val="00607B6B"/>
    <w:rsid w:val="006108C7"/>
    <w:rsid w:val="00610B81"/>
    <w:rsid w:val="00610D09"/>
    <w:rsid w:val="00610E57"/>
    <w:rsid w:val="00610F4D"/>
    <w:rsid w:val="006115C5"/>
    <w:rsid w:val="0061167E"/>
    <w:rsid w:val="00611F90"/>
    <w:rsid w:val="006121F3"/>
    <w:rsid w:val="00613378"/>
    <w:rsid w:val="00613547"/>
    <w:rsid w:val="0061416E"/>
    <w:rsid w:val="0061422D"/>
    <w:rsid w:val="00614477"/>
    <w:rsid w:val="0061449C"/>
    <w:rsid w:val="0061461D"/>
    <w:rsid w:val="00614987"/>
    <w:rsid w:val="0061567A"/>
    <w:rsid w:val="006164C0"/>
    <w:rsid w:val="006176BC"/>
    <w:rsid w:val="00617851"/>
    <w:rsid w:val="0061785D"/>
    <w:rsid w:val="00620051"/>
    <w:rsid w:val="0062044B"/>
    <w:rsid w:val="006205BE"/>
    <w:rsid w:val="0062129E"/>
    <w:rsid w:val="006212F4"/>
    <w:rsid w:val="00622CB2"/>
    <w:rsid w:val="00622D1C"/>
    <w:rsid w:val="00623A06"/>
    <w:rsid w:val="00623E6B"/>
    <w:rsid w:val="00624440"/>
    <w:rsid w:val="00624649"/>
    <w:rsid w:val="006247DB"/>
    <w:rsid w:val="00624B0C"/>
    <w:rsid w:val="00625B1E"/>
    <w:rsid w:val="00625D6C"/>
    <w:rsid w:val="00626F55"/>
    <w:rsid w:val="00627A74"/>
    <w:rsid w:val="00627A7F"/>
    <w:rsid w:val="00627A92"/>
    <w:rsid w:val="00630510"/>
    <w:rsid w:val="0063111B"/>
    <w:rsid w:val="0063137F"/>
    <w:rsid w:val="006314EA"/>
    <w:rsid w:val="006317C0"/>
    <w:rsid w:val="006318E0"/>
    <w:rsid w:val="00631BB8"/>
    <w:rsid w:val="00631D57"/>
    <w:rsid w:val="00632122"/>
    <w:rsid w:val="006327CE"/>
    <w:rsid w:val="00632BD3"/>
    <w:rsid w:val="00632D15"/>
    <w:rsid w:val="006332EA"/>
    <w:rsid w:val="00633DFE"/>
    <w:rsid w:val="00633F99"/>
    <w:rsid w:val="006344FF"/>
    <w:rsid w:val="00634BC0"/>
    <w:rsid w:val="00634DEA"/>
    <w:rsid w:val="00635023"/>
    <w:rsid w:val="0063504D"/>
    <w:rsid w:val="00635852"/>
    <w:rsid w:val="0063616E"/>
    <w:rsid w:val="0063666A"/>
    <w:rsid w:val="0063695C"/>
    <w:rsid w:val="00637410"/>
    <w:rsid w:val="0064073F"/>
    <w:rsid w:val="00641088"/>
    <w:rsid w:val="0064109A"/>
    <w:rsid w:val="00641190"/>
    <w:rsid w:val="006412F2"/>
    <w:rsid w:val="006416C5"/>
    <w:rsid w:val="006416C7"/>
    <w:rsid w:val="00642105"/>
    <w:rsid w:val="00642D18"/>
    <w:rsid w:val="00642EFC"/>
    <w:rsid w:val="00642FEE"/>
    <w:rsid w:val="00643C59"/>
    <w:rsid w:val="00644226"/>
    <w:rsid w:val="00644349"/>
    <w:rsid w:val="00644369"/>
    <w:rsid w:val="00645477"/>
    <w:rsid w:val="00645F49"/>
    <w:rsid w:val="006461D1"/>
    <w:rsid w:val="00646764"/>
    <w:rsid w:val="006471E5"/>
    <w:rsid w:val="006503C6"/>
    <w:rsid w:val="00650541"/>
    <w:rsid w:val="00650643"/>
    <w:rsid w:val="00650C77"/>
    <w:rsid w:val="006511DB"/>
    <w:rsid w:val="00651284"/>
    <w:rsid w:val="006514A2"/>
    <w:rsid w:val="00651685"/>
    <w:rsid w:val="00651D9F"/>
    <w:rsid w:val="006520F0"/>
    <w:rsid w:val="006521F9"/>
    <w:rsid w:val="00652BB3"/>
    <w:rsid w:val="0065360F"/>
    <w:rsid w:val="00654063"/>
    <w:rsid w:val="00654390"/>
    <w:rsid w:val="00654989"/>
    <w:rsid w:val="00654DF9"/>
    <w:rsid w:val="00655207"/>
    <w:rsid w:val="00655917"/>
    <w:rsid w:val="006560F1"/>
    <w:rsid w:val="0065622E"/>
    <w:rsid w:val="006563C6"/>
    <w:rsid w:val="00656E4D"/>
    <w:rsid w:val="00656F03"/>
    <w:rsid w:val="00657929"/>
    <w:rsid w:val="006579B1"/>
    <w:rsid w:val="00661CBB"/>
    <w:rsid w:val="00662AF5"/>
    <w:rsid w:val="006632E7"/>
    <w:rsid w:val="00663328"/>
    <w:rsid w:val="006633E6"/>
    <w:rsid w:val="006638A4"/>
    <w:rsid w:val="006638EC"/>
    <w:rsid w:val="0066395F"/>
    <w:rsid w:val="00663ED4"/>
    <w:rsid w:val="006646D0"/>
    <w:rsid w:val="00664C9E"/>
    <w:rsid w:val="0066547E"/>
    <w:rsid w:val="00665AF1"/>
    <w:rsid w:val="00665C2A"/>
    <w:rsid w:val="00665DBC"/>
    <w:rsid w:val="006661A1"/>
    <w:rsid w:val="00666455"/>
    <w:rsid w:val="006666FE"/>
    <w:rsid w:val="006669B6"/>
    <w:rsid w:val="00666B6A"/>
    <w:rsid w:val="00666EDF"/>
    <w:rsid w:val="0066734B"/>
    <w:rsid w:val="0066745C"/>
    <w:rsid w:val="00667899"/>
    <w:rsid w:val="006703EB"/>
    <w:rsid w:val="00670801"/>
    <w:rsid w:val="00670BB3"/>
    <w:rsid w:val="00670EA5"/>
    <w:rsid w:val="00670F0E"/>
    <w:rsid w:val="00670F92"/>
    <w:rsid w:val="00671712"/>
    <w:rsid w:val="0067186B"/>
    <w:rsid w:val="00671B5F"/>
    <w:rsid w:val="00672263"/>
    <w:rsid w:val="006728C3"/>
    <w:rsid w:val="00672AD5"/>
    <w:rsid w:val="00672B50"/>
    <w:rsid w:val="00672E08"/>
    <w:rsid w:val="006735F4"/>
    <w:rsid w:val="00673B31"/>
    <w:rsid w:val="00673BE8"/>
    <w:rsid w:val="00674149"/>
    <w:rsid w:val="006742F5"/>
    <w:rsid w:val="00674586"/>
    <w:rsid w:val="00674BA4"/>
    <w:rsid w:val="00675574"/>
    <w:rsid w:val="00675B3A"/>
    <w:rsid w:val="00675D0A"/>
    <w:rsid w:val="006763BE"/>
    <w:rsid w:val="00676A92"/>
    <w:rsid w:val="00676BEA"/>
    <w:rsid w:val="00676CB8"/>
    <w:rsid w:val="0067759C"/>
    <w:rsid w:val="00677638"/>
    <w:rsid w:val="006805F1"/>
    <w:rsid w:val="006806BF"/>
    <w:rsid w:val="00680EE3"/>
    <w:rsid w:val="00681063"/>
    <w:rsid w:val="006815E4"/>
    <w:rsid w:val="006819B3"/>
    <w:rsid w:val="00682A27"/>
    <w:rsid w:val="00682AD4"/>
    <w:rsid w:val="00682F15"/>
    <w:rsid w:val="00684E93"/>
    <w:rsid w:val="0068540D"/>
    <w:rsid w:val="00685DBD"/>
    <w:rsid w:val="0068689E"/>
    <w:rsid w:val="00686AF4"/>
    <w:rsid w:val="00687259"/>
    <w:rsid w:val="00687324"/>
    <w:rsid w:val="00687AB0"/>
    <w:rsid w:val="00687BE9"/>
    <w:rsid w:val="00687DA7"/>
    <w:rsid w:val="00690614"/>
    <w:rsid w:val="00690757"/>
    <w:rsid w:val="00691703"/>
    <w:rsid w:val="00691831"/>
    <w:rsid w:val="006923C3"/>
    <w:rsid w:val="0069361D"/>
    <w:rsid w:val="00693B2D"/>
    <w:rsid w:val="00693F0B"/>
    <w:rsid w:val="00694372"/>
    <w:rsid w:val="00694AEC"/>
    <w:rsid w:val="00694CF4"/>
    <w:rsid w:val="006952CF"/>
    <w:rsid w:val="006954EA"/>
    <w:rsid w:val="0069595D"/>
    <w:rsid w:val="00696076"/>
    <w:rsid w:val="006966CA"/>
    <w:rsid w:val="006969D2"/>
    <w:rsid w:val="00697862"/>
    <w:rsid w:val="006A01ED"/>
    <w:rsid w:val="006A0672"/>
    <w:rsid w:val="006A1320"/>
    <w:rsid w:val="006A13B4"/>
    <w:rsid w:val="006A1A18"/>
    <w:rsid w:val="006A27AD"/>
    <w:rsid w:val="006A34EE"/>
    <w:rsid w:val="006A3718"/>
    <w:rsid w:val="006A3785"/>
    <w:rsid w:val="006A3B89"/>
    <w:rsid w:val="006A3C9A"/>
    <w:rsid w:val="006A425D"/>
    <w:rsid w:val="006A46F9"/>
    <w:rsid w:val="006A4ADD"/>
    <w:rsid w:val="006A4F43"/>
    <w:rsid w:val="006A539D"/>
    <w:rsid w:val="006A5AB2"/>
    <w:rsid w:val="006A62BE"/>
    <w:rsid w:val="006A62ED"/>
    <w:rsid w:val="006A7C8F"/>
    <w:rsid w:val="006B0003"/>
    <w:rsid w:val="006B0463"/>
    <w:rsid w:val="006B0618"/>
    <w:rsid w:val="006B07F6"/>
    <w:rsid w:val="006B081E"/>
    <w:rsid w:val="006B0F83"/>
    <w:rsid w:val="006B124E"/>
    <w:rsid w:val="006B125B"/>
    <w:rsid w:val="006B16DD"/>
    <w:rsid w:val="006B19CA"/>
    <w:rsid w:val="006B1AF7"/>
    <w:rsid w:val="006B1CD4"/>
    <w:rsid w:val="006B2214"/>
    <w:rsid w:val="006B22C2"/>
    <w:rsid w:val="006B2743"/>
    <w:rsid w:val="006B30AF"/>
    <w:rsid w:val="006B33ED"/>
    <w:rsid w:val="006B414D"/>
    <w:rsid w:val="006B42A8"/>
    <w:rsid w:val="006B4AFF"/>
    <w:rsid w:val="006B6225"/>
    <w:rsid w:val="006B6BD1"/>
    <w:rsid w:val="006B7355"/>
    <w:rsid w:val="006B7963"/>
    <w:rsid w:val="006C0178"/>
    <w:rsid w:val="006C0717"/>
    <w:rsid w:val="006C0E59"/>
    <w:rsid w:val="006C1053"/>
    <w:rsid w:val="006C10E2"/>
    <w:rsid w:val="006C12D8"/>
    <w:rsid w:val="006C15A3"/>
    <w:rsid w:val="006C212F"/>
    <w:rsid w:val="006C241E"/>
    <w:rsid w:val="006C2548"/>
    <w:rsid w:val="006C26E9"/>
    <w:rsid w:val="006C2975"/>
    <w:rsid w:val="006C2EB4"/>
    <w:rsid w:val="006C38D9"/>
    <w:rsid w:val="006C498C"/>
    <w:rsid w:val="006C4A57"/>
    <w:rsid w:val="006C4D1D"/>
    <w:rsid w:val="006C4D31"/>
    <w:rsid w:val="006C53B0"/>
    <w:rsid w:val="006C57F0"/>
    <w:rsid w:val="006C60CC"/>
    <w:rsid w:val="006C64D9"/>
    <w:rsid w:val="006C66CC"/>
    <w:rsid w:val="006C693E"/>
    <w:rsid w:val="006C694D"/>
    <w:rsid w:val="006C6AC6"/>
    <w:rsid w:val="006C6EBF"/>
    <w:rsid w:val="006C6F04"/>
    <w:rsid w:val="006C6FDD"/>
    <w:rsid w:val="006C72A3"/>
    <w:rsid w:val="006C7595"/>
    <w:rsid w:val="006C780D"/>
    <w:rsid w:val="006C7DFE"/>
    <w:rsid w:val="006C7FE7"/>
    <w:rsid w:val="006D0036"/>
    <w:rsid w:val="006D0068"/>
    <w:rsid w:val="006D054E"/>
    <w:rsid w:val="006D055A"/>
    <w:rsid w:val="006D0D6A"/>
    <w:rsid w:val="006D0DCE"/>
    <w:rsid w:val="006D0EE0"/>
    <w:rsid w:val="006D11A4"/>
    <w:rsid w:val="006D1C72"/>
    <w:rsid w:val="006D28B2"/>
    <w:rsid w:val="006D2A58"/>
    <w:rsid w:val="006D2E94"/>
    <w:rsid w:val="006D337D"/>
    <w:rsid w:val="006D3A4D"/>
    <w:rsid w:val="006D3C06"/>
    <w:rsid w:val="006D3F42"/>
    <w:rsid w:val="006D3F63"/>
    <w:rsid w:val="006D4384"/>
    <w:rsid w:val="006D46AD"/>
    <w:rsid w:val="006D4FAE"/>
    <w:rsid w:val="006D52C6"/>
    <w:rsid w:val="006D543B"/>
    <w:rsid w:val="006D5A4C"/>
    <w:rsid w:val="006D5C09"/>
    <w:rsid w:val="006D5D24"/>
    <w:rsid w:val="006D5D2E"/>
    <w:rsid w:val="006D5F8B"/>
    <w:rsid w:val="006D63C6"/>
    <w:rsid w:val="006D6B2C"/>
    <w:rsid w:val="006D6B9F"/>
    <w:rsid w:val="006D6FB8"/>
    <w:rsid w:val="006D74A5"/>
    <w:rsid w:val="006E0416"/>
    <w:rsid w:val="006E15AE"/>
    <w:rsid w:val="006E18A0"/>
    <w:rsid w:val="006E19FB"/>
    <w:rsid w:val="006E1BB6"/>
    <w:rsid w:val="006E1E03"/>
    <w:rsid w:val="006E1F81"/>
    <w:rsid w:val="006E2297"/>
    <w:rsid w:val="006E22C3"/>
    <w:rsid w:val="006E2B7D"/>
    <w:rsid w:val="006E2C21"/>
    <w:rsid w:val="006E3194"/>
    <w:rsid w:val="006E3668"/>
    <w:rsid w:val="006E3752"/>
    <w:rsid w:val="006E3C26"/>
    <w:rsid w:val="006E41AC"/>
    <w:rsid w:val="006E4D63"/>
    <w:rsid w:val="006E4DBA"/>
    <w:rsid w:val="006E558F"/>
    <w:rsid w:val="006E5FA1"/>
    <w:rsid w:val="006E6688"/>
    <w:rsid w:val="006E6C66"/>
    <w:rsid w:val="006E6E9F"/>
    <w:rsid w:val="006F026C"/>
    <w:rsid w:val="006F104A"/>
    <w:rsid w:val="006F15BD"/>
    <w:rsid w:val="006F1BBB"/>
    <w:rsid w:val="006F210C"/>
    <w:rsid w:val="006F2165"/>
    <w:rsid w:val="006F2586"/>
    <w:rsid w:val="006F2591"/>
    <w:rsid w:val="006F2884"/>
    <w:rsid w:val="006F4703"/>
    <w:rsid w:val="006F4CBF"/>
    <w:rsid w:val="006F4E92"/>
    <w:rsid w:val="006F4F1A"/>
    <w:rsid w:val="006F4F59"/>
    <w:rsid w:val="006F51B3"/>
    <w:rsid w:val="006F66C6"/>
    <w:rsid w:val="006F68BB"/>
    <w:rsid w:val="006F6962"/>
    <w:rsid w:val="006F6CB1"/>
    <w:rsid w:val="006F6F03"/>
    <w:rsid w:val="006F7473"/>
    <w:rsid w:val="006F76B3"/>
    <w:rsid w:val="006F7994"/>
    <w:rsid w:val="006F7DD2"/>
    <w:rsid w:val="00700608"/>
    <w:rsid w:val="0070173F"/>
    <w:rsid w:val="00701754"/>
    <w:rsid w:val="00701F81"/>
    <w:rsid w:val="00702299"/>
    <w:rsid w:val="0070305B"/>
    <w:rsid w:val="00703224"/>
    <w:rsid w:val="00703AFA"/>
    <w:rsid w:val="00704532"/>
    <w:rsid w:val="00704636"/>
    <w:rsid w:val="00704716"/>
    <w:rsid w:val="007048D9"/>
    <w:rsid w:val="007051A5"/>
    <w:rsid w:val="00705E51"/>
    <w:rsid w:val="00705EEA"/>
    <w:rsid w:val="007068E3"/>
    <w:rsid w:val="007069B8"/>
    <w:rsid w:val="007069BE"/>
    <w:rsid w:val="00706E16"/>
    <w:rsid w:val="00706E67"/>
    <w:rsid w:val="00706E8E"/>
    <w:rsid w:val="00707048"/>
    <w:rsid w:val="00707166"/>
    <w:rsid w:val="00707715"/>
    <w:rsid w:val="00710395"/>
    <w:rsid w:val="007107F9"/>
    <w:rsid w:val="00710C90"/>
    <w:rsid w:val="0071120A"/>
    <w:rsid w:val="0071159D"/>
    <w:rsid w:val="00711C14"/>
    <w:rsid w:val="00711D65"/>
    <w:rsid w:val="00713AF0"/>
    <w:rsid w:val="00713BF8"/>
    <w:rsid w:val="0071445E"/>
    <w:rsid w:val="00715347"/>
    <w:rsid w:val="00715C66"/>
    <w:rsid w:val="00715E17"/>
    <w:rsid w:val="00716BAB"/>
    <w:rsid w:val="00717442"/>
    <w:rsid w:val="00717B82"/>
    <w:rsid w:val="00717D1B"/>
    <w:rsid w:val="0072001E"/>
    <w:rsid w:val="00720502"/>
    <w:rsid w:val="00720D1A"/>
    <w:rsid w:val="0072157D"/>
    <w:rsid w:val="00721812"/>
    <w:rsid w:val="00721CD4"/>
    <w:rsid w:val="0072428B"/>
    <w:rsid w:val="00724311"/>
    <w:rsid w:val="00724889"/>
    <w:rsid w:val="00724955"/>
    <w:rsid w:val="00724FBB"/>
    <w:rsid w:val="00725C2C"/>
    <w:rsid w:val="007264B8"/>
    <w:rsid w:val="00726C21"/>
    <w:rsid w:val="00727135"/>
    <w:rsid w:val="00727421"/>
    <w:rsid w:val="00727A88"/>
    <w:rsid w:val="00727D90"/>
    <w:rsid w:val="007306B8"/>
    <w:rsid w:val="007311B0"/>
    <w:rsid w:val="00731B2E"/>
    <w:rsid w:val="00731FC0"/>
    <w:rsid w:val="00732138"/>
    <w:rsid w:val="00732393"/>
    <w:rsid w:val="0073316F"/>
    <w:rsid w:val="007338D8"/>
    <w:rsid w:val="00734E8B"/>
    <w:rsid w:val="0073543F"/>
    <w:rsid w:val="007357AA"/>
    <w:rsid w:val="00735C1D"/>
    <w:rsid w:val="00735DCA"/>
    <w:rsid w:val="007364CC"/>
    <w:rsid w:val="007364FD"/>
    <w:rsid w:val="007371B7"/>
    <w:rsid w:val="007372C8"/>
    <w:rsid w:val="007374E8"/>
    <w:rsid w:val="00740028"/>
    <w:rsid w:val="007404AC"/>
    <w:rsid w:val="007405B1"/>
    <w:rsid w:val="00741343"/>
    <w:rsid w:val="00741593"/>
    <w:rsid w:val="00741928"/>
    <w:rsid w:val="007425AF"/>
    <w:rsid w:val="00742A41"/>
    <w:rsid w:val="00742D2B"/>
    <w:rsid w:val="00742D5B"/>
    <w:rsid w:val="00742DA0"/>
    <w:rsid w:val="00742F91"/>
    <w:rsid w:val="0074322C"/>
    <w:rsid w:val="0074347B"/>
    <w:rsid w:val="00743489"/>
    <w:rsid w:val="0074383F"/>
    <w:rsid w:val="00744857"/>
    <w:rsid w:val="00744B85"/>
    <w:rsid w:val="00745312"/>
    <w:rsid w:val="00745A46"/>
    <w:rsid w:val="00745BED"/>
    <w:rsid w:val="00746616"/>
    <w:rsid w:val="007466C0"/>
    <w:rsid w:val="007474AB"/>
    <w:rsid w:val="007475CB"/>
    <w:rsid w:val="00747925"/>
    <w:rsid w:val="007479B5"/>
    <w:rsid w:val="00747EE3"/>
    <w:rsid w:val="007503ED"/>
    <w:rsid w:val="00750821"/>
    <w:rsid w:val="0075118C"/>
    <w:rsid w:val="00751236"/>
    <w:rsid w:val="00751408"/>
    <w:rsid w:val="00751751"/>
    <w:rsid w:val="0075176C"/>
    <w:rsid w:val="0075227D"/>
    <w:rsid w:val="007526EB"/>
    <w:rsid w:val="007528B4"/>
    <w:rsid w:val="00753754"/>
    <w:rsid w:val="00754391"/>
    <w:rsid w:val="00754BFA"/>
    <w:rsid w:val="00755059"/>
    <w:rsid w:val="00755082"/>
    <w:rsid w:val="0075594A"/>
    <w:rsid w:val="00756721"/>
    <w:rsid w:val="0075703D"/>
    <w:rsid w:val="00757596"/>
    <w:rsid w:val="00757CFC"/>
    <w:rsid w:val="00760380"/>
    <w:rsid w:val="00760CAB"/>
    <w:rsid w:val="0076148F"/>
    <w:rsid w:val="00761E00"/>
    <w:rsid w:val="00762450"/>
    <w:rsid w:val="00762913"/>
    <w:rsid w:val="00762D95"/>
    <w:rsid w:val="00762E85"/>
    <w:rsid w:val="00762F1E"/>
    <w:rsid w:val="0076365A"/>
    <w:rsid w:val="00763E37"/>
    <w:rsid w:val="00764C0E"/>
    <w:rsid w:val="00765CC5"/>
    <w:rsid w:val="00766441"/>
    <w:rsid w:val="00766AAF"/>
    <w:rsid w:val="00766AEF"/>
    <w:rsid w:val="00766D91"/>
    <w:rsid w:val="00766E40"/>
    <w:rsid w:val="00766F41"/>
    <w:rsid w:val="0076733B"/>
    <w:rsid w:val="0076734E"/>
    <w:rsid w:val="00767561"/>
    <w:rsid w:val="007703B5"/>
    <w:rsid w:val="0077053A"/>
    <w:rsid w:val="00770BE4"/>
    <w:rsid w:val="007716D7"/>
    <w:rsid w:val="00771F1F"/>
    <w:rsid w:val="007721CD"/>
    <w:rsid w:val="00772F99"/>
    <w:rsid w:val="00773395"/>
    <w:rsid w:val="00773546"/>
    <w:rsid w:val="00773810"/>
    <w:rsid w:val="00773CE4"/>
    <w:rsid w:val="0077469C"/>
    <w:rsid w:val="00774C59"/>
    <w:rsid w:val="0077531A"/>
    <w:rsid w:val="00775A87"/>
    <w:rsid w:val="00775C63"/>
    <w:rsid w:val="007768B5"/>
    <w:rsid w:val="00776E58"/>
    <w:rsid w:val="007773F6"/>
    <w:rsid w:val="00777FD5"/>
    <w:rsid w:val="00780037"/>
    <w:rsid w:val="0078031A"/>
    <w:rsid w:val="00781D55"/>
    <w:rsid w:val="007821AC"/>
    <w:rsid w:val="00782256"/>
    <w:rsid w:val="0078245B"/>
    <w:rsid w:val="00782D51"/>
    <w:rsid w:val="00782E8E"/>
    <w:rsid w:val="00783843"/>
    <w:rsid w:val="00783DE5"/>
    <w:rsid w:val="0078412D"/>
    <w:rsid w:val="00784A3F"/>
    <w:rsid w:val="00784A69"/>
    <w:rsid w:val="00784B46"/>
    <w:rsid w:val="00784C04"/>
    <w:rsid w:val="00785459"/>
    <w:rsid w:val="0078552F"/>
    <w:rsid w:val="00785ABB"/>
    <w:rsid w:val="00786AE3"/>
    <w:rsid w:val="007876CD"/>
    <w:rsid w:val="00787A30"/>
    <w:rsid w:val="007902BF"/>
    <w:rsid w:val="00790D34"/>
    <w:rsid w:val="00790E87"/>
    <w:rsid w:val="00790FF1"/>
    <w:rsid w:val="0079311A"/>
    <w:rsid w:val="00794260"/>
    <w:rsid w:val="007944C3"/>
    <w:rsid w:val="00794F2C"/>
    <w:rsid w:val="00795569"/>
    <w:rsid w:val="007959DE"/>
    <w:rsid w:val="00795FBC"/>
    <w:rsid w:val="00796C97"/>
    <w:rsid w:val="00796DB5"/>
    <w:rsid w:val="0079707D"/>
    <w:rsid w:val="007971C7"/>
    <w:rsid w:val="00797503"/>
    <w:rsid w:val="007975AB"/>
    <w:rsid w:val="007A1575"/>
    <w:rsid w:val="007A1C26"/>
    <w:rsid w:val="007A2306"/>
    <w:rsid w:val="007A26FD"/>
    <w:rsid w:val="007A2C86"/>
    <w:rsid w:val="007A2DA6"/>
    <w:rsid w:val="007A34F7"/>
    <w:rsid w:val="007A36EE"/>
    <w:rsid w:val="007A3C73"/>
    <w:rsid w:val="007A3F8C"/>
    <w:rsid w:val="007A4222"/>
    <w:rsid w:val="007A48F5"/>
    <w:rsid w:val="007A4B9C"/>
    <w:rsid w:val="007A50EC"/>
    <w:rsid w:val="007A5421"/>
    <w:rsid w:val="007A577A"/>
    <w:rsid w:val="007A5C17"/>
    <w:rsid w:val="007A6202"/>
    <w:rsid w:val="007A625B"/>
    <w:rsid w:val="007A6393"/>
    <w:rsid w:val="007A67C4"/>
    <w:rsid w:val="007A70DC"/>
    <w:rsid w:val="007A79AC"/>
    <w:rsid w:val="007A7B56"/>
    <w:rsid w:val="007A7E7B"/>
    <w:rsid w:val="007B0AF0"/>
    <w:rsid w:val="007B0C4A"/>
    <w:rsid w:val="007B0FA7"/>
    <w:rsid w:val="007B10E3"/>
    <w:rsid w:val="007B16D2"/>
    <w:rsid w:val="007B1B18"/>
    <w:rsid w:val="007B1C78"/>
    <w:rsid w:val="007B1EE1"/>
    <w:rsid w:val="007B2293"/>
    <w:rsid w:val="007B262D"/>
    <w:rsid w:val="007B39B8"/>
    <w:rsid w:val="007B3C95"/>
    <w:rsid w:val="007B5285"/>
    <w:rsid w:val="007B5914"/>
    <w:rsid w:val="007B5BF4"/>
    <w:rsid w:val="007B69E8"/>
    <w:rsid w:val="007B6B10"/>
    <w:rsid w:val="007B6BC1"/>
    <w:rsid w:val="007B6D00"/>
    <w:rsid w:val="007B72B5"/>
    <w:rsid w:val="007B7CC7"/>
    <w:rsid w:val="007C0242"/>
    <w:rsid w:val="007C060F"/>
    <w:rsid w:val="007C0E87"/>
    <w:rsid w:val="007C1F81"/>
    <w:rsid w:val="007C270E"/>
    <w:rsid w:val="007C2B64"/>
    <w:rsid w:val="007C3170"/>
    <w:rsid w:val="007C36F5"/>
    <w:rsid w:val="007C3AAD"/>
    <w:rsid w:val="007C3EDE"/>
    <w:rsid w:val="007C441E"/>
    <w:rsid w:val="007C4840"/>
    <w:rsid w:val="007C4A4A"/>
    <w:rsid w:val="007C4DCE"/>
    <w:rsid w:val="007C5148"/>
    <w:rsid w:val="007C57B7"/>
    <w:rsid w:val="007C5A1E"/>
    <w:rsid w:val="007C6609"/>
    <w:rsid w:val="007C6939"/>
    <w:rsid w:val="007C69C6"/>
    <w:rsid w:val="007C6B39"/>
    <w:rsid w:val="007C6F3C"/>
    <w:rsid w:val="007C74BA"/>
    <w:rsid w:val="007C7D62"/>
    <w:rsid w:val="007D04A8"/>
    <w:rsid w:val="007D0DD9"/>
    <w:rsid w:val="007D159F"/>
    <w:rsid w:val="007D1BF1"/>
    <w:rsid w:val="007D29AF"/>
    <w:rsid w:val="007D3416"/>
    <w:rsid w:val="007D38E7"/>
    <w:rsid w:val="007D3A5C"/>
    <w:rsid w:val="007D3B67"/>
    <w:rsid w:val="007D46CE"/>
    <w:rsid w:val="007D4B22"/>
    <w:rsid w:val="007D4BB9"/>
    <w:rsid w:val="007D5CC8"/>
    <w:rsid w:val="007D5CD0"/>
    <w:rsid w:val="007D6333"/>
    <w:rsid w:val="007D6763"/>
    <w:rsid w:val="007D693C"/>
    <w:rsid w:val="007D6D37"/>
    <w:rsid w:val="007D705A"/>
    <w:rsid w:val="007D70F6"/>
    <w:rsid w:val="007D7117"/>
    <w:rsid w:val="007D76D3"/>
    <w:rsid w:val="007D7A3F"/>
    <w:rsid w:val="007E0557"/>
    <w:rsid w:val="007E0673"/>
    <w:rsid w:val="007E0BCC"/>
    <w:rsid w:val="007E0E86"/>
    <w:rsid w:val="007E12D9"/>
    <w:rsid w:val="007E250A"/>
    <w:rsid w:val="007E26A6"/>
    <w:rsid w:val="007E2CA5"/>
    <w:rsid w:val="007E2EB3"/>
    <w:rsid w:val="007E2F63"/>
    <w:rsid w:val="007E3443"/>
    <w:rsid w:val="007E386D"/>
    <w:rsid w:val="007E3B59"/>
    <w:rsid w:val="007E44FA"/>
    <w:rsid w:val="007E4E90"/>
    <w:rsid w:val="007E5211"/>
    <w:rsid w:val="007E537E"/>
    <w:rsid w:val="007E5800"/>
    <w:rsid w:val="007E5BA2"/>
    <w:rsid w:val="007E66E1"/>
    <w:rsid w:val="007E6E3A"/>
    <w:rsid w:val="007E6F55"/>
    <w:rsid w:val="007E745D"/>
    <w:rsid w:val="007E75F8"/>
    <w:rsid w:val="007E760F"/>
    <w:rsid w:val="007E7707"/>
    <w:rsid w:val="007E7753"/>
    <w:rsid w:val="007E77C1"/>
    <w:rsid w:val="007F05D1"/>
    <w:rsid w:val="007F1176"/>
    <w:rsid w:val="007F141E"/>
    <w:rsid w:val="007F1A69"/>
    <w:rsid w:val="007F1E0B"/>
    <w:rsid w:val="007F28D5"/>
    <w:rsid w:val="007F2A00"/>
    <w:rsid w:val="007F2B28"/>
    <w:rsid w:val="007F2FEE"/>
    <w:rsid w:val="007F30D6"/>
    <w:rsid w:val="007F34EF"/>
    <w:rsid w:val="007F3C32"/>
    <w:rsid w:val="007F45BC"/>
    <w:rsid w:val="007F46F7"/>
    <w:rsid w:val="007F4FFD"/>
    <w:rsid w:val="007F6120"/>
    <w:rsid w:val="007F6F0E"/>
    <w:rsid w:val="007F70F3"/>
    <w:rsid w:val="007F7608"/>
    <w:rsid w:val="007F7C2E"/>
    <w:rsid w:val="00801665"/>
    <w:rsid w:val="00802104"/>
    <w:rsid w:val="008022C0"/>
    <w:rsid w:val="0080298E"/>
    <w:rsid w:val="008033A6"/>
    <w:rsid w:val="00803717"/>
    <w:rsid w:val="0080387F"/>
    <w:rsid w:val="00804520"/>
    <w:rsid w:val="008048AF"/>
    <w:rsid w:val="00804DF8"/>
    <w:rsid w:val="00804E54"/>
    <w:rsid w:val="00805340"/>
    <w:rsid w:val="00805B82"/>
    <w:rsid w:val="00805BE3"/>
    <w:rsid w:val="00805C85"/>
    <w:rsid w:val="00805E11"/>
    <w:rsid w:val="008065AD"/>
    <w:rsid w:val="00806661"/>
    <w:rsid w:val="00806EEB"/>
    <w:rsid w:val="008070C9"/>
    <w:rsid w:val="00807202"/>
    <w:rsid w:val="0080753C"/>
    <w:rsid w:val="00807A0A"/>
    <w:rsid w:val="00807CB1"/>
    <w:rsid w:val="00807E02"/>
    <w:rsid w:val="008100AC"/>
    <w:rsid w:val="008105DB"/>
    <w:rsid w:val="0081070B"/>
    <w:rsid w:val="00810720"/>
    <w:rsid w:val="00810BE6"/>
    <w:rsid w:val="008116E1"/>
    <w:rsid w:val="0081205F"/>
    <w:rsid w:val="008123CA"/>
    <w:rsid w:val="008125C8"/>
    <w:rsid w:val="0081307F"/>
    <w:rsid w:val="008132D5"/>
    <w:rsid w:val="008132E8"/>
    <w:rsid w:val="00813913"/>
    <w:rsid w:val="00813D58"/>
    <w:rsid w:val="00813F93"/>
    <w:rsid w:val="00815157"/>
    <w:rsid w:val="00815209"/>
    <w:rsid w:val="00815DFA"/>
    <w:rsid w:val="00815E68"/>
    <w:rsid w:val="00817820"/>
    <w:rsid w:val="008208CC"/>
    <w:rsid w:val="00820C4A"/>
    <w:rsid w:val="00820FBF"/>
    <w:rsid w:val="00821094"/>
    <w:rsid w:val="00821722"/>
    <w:rsid w:val="00821A1A"/>
    <w:rsid w:val="00821B8B"/>
    <w:rsid w:val="00821DF0"/>
    <w:rsid w:val="00821FB2"/>
    <w:rsid w:val="008221D3"/>
    <w:rsid w:val="00822F2F"/>
    <w:rsid w:val="00823935"/>
    <w:rsid w:val="00823B67"/>
    <w:rsid w:val="00824402"/>
    <w:rsid w:val="008246FE"/>
    <w:rsid w:val="00825181"/>
    <w:rsid w:val="0082579B"/>
    <w:rsid w:val="00826262"/>
    <w:rsid w:val="008266A1"/>
    <w:rsid w:val="00826B75"/>
    <w:rsid w:val="0082781A"/>
    <w:rsid w:val="008300FA"/>
    <w:rsid w:val="00830523"/>
    <w:rsid w:val="00830971"/>
    <w:rsid w:val="008310C9"/>
    <w:rsid w:val="00831670"/>
    <w:rsid w:val="00832A9D"/>
    <w:rsid w:val="00833315"/>
    <w:rsid w:val="00833532"/>
    <w:rsid w:val="008337F6"/>
    <w:rsid w:val="00833DDD"/>
    <w:rsid w:val="00833F11"/>
    <w:rsid w:val="0083436E"/>
    <w:rsid w:val="00835575"/>
    <w:rsid w:val="00835BEA"/>
    <w:rsid w:val="00836613"/>
    <w:rsid w:val="00836F61"/>
    <w:rsid w:val="008405C6"/>
    <w:rsid w:val="00840975"/>
    <w:rsid w:val="00840AC8"/>
    <w:rsid w:val="0084149B"/>
    <w:rsid w:val="00843242"/>
    <w:rsid w:val="00843815"/>
    <w:rsid w:val="0084381F"/>
    <w:rsid w:val="00843C1C"/>
    <w:rsid w:val="00844529"/>
    <w:rsid w:val="00844E57"/>
    <w:rsid w:val="00845C78"/>
    <w:rsid w:val="00846125"/>
    <w:rsid w:val="008461E8"/>
    <w:rsid w:val="0084640A"/>
    <w:rsid w:val="00846855"/>
    <w:rsid w:val="00847002"/>
    <w:rsid w:val="0084703B"/>
    <w:rsid w:val="0084736D"/>
    <w:rsid w:val="008474A3"/>
    <w:rsid w:val="00847518"/>
    <w:rsid w:val="00847849"/>
    <w:rsid w:val="00847E80"/>
    <w:rsid w:val="0085019C"/>
    <w:rsid w:val="0085026F"/>
    <w:rsid w:val="00850909"/>
    <w:rsid w:val="00850B71"/>
    <w:rsid w:val="00850FE4"/>
    <w:rsid w:val="00851164"/>
    <w:rsid w:val="008518E6"/>
    <w:rsid w:val="00851A31"/>
    <w:rsid w:val="00851BF3"/>
    <w:rsid w:val="008523A0"/>
    <w:rsid w:val="00852969"/>
    <w:rsid w:val="00852A9C"/>
    <w:rsid w:val="00852CF7"/>
    <w:rsid w:val="0085388A"/>
    <w:rsid w:val="00854323"/>
    <w:rsid w:val="00854913"/>
    <w:rsid w:val="008556F8"/>
    <w:rsid w:val="00856347"/>
    <w:rsid w:val="008563F5"/>
    <w:rsid w:val="008566DB"/>
    <w:rsid w:val="00856939"/>
    <w:rsid w:val="00856C6A"/>
    <w:rsid w:val="008577A5"/>
    <w:rsid w:val="008578AB"/>
    <w:rsid w:val="0085791A"/>
    <w:rsid w:val="00860090"/>
    <w:rsid w:val="008603C3"/>
    <w:rsid w:val="00860BEC"/>
    <w:rsid w:val="00860C1E"/>
    <w:rsid w:val="00861340"/>
    <w:rsid w:val="008613C7"/>
    <w:rsid w:val="00861573"/>
    <w:rsid w:val="00861724"/>
    <w:rsid w:val="00862B04"/>
    <w:rsid w:val="008633DC"/>
    <w:rsid w:val="00863AA5"/>
    <w:rsid w:val="008643B1"/>
    <w:rsid w:val="00864DC5"/>
    <w:rsid w:val="00865432"/>
    <w:rsid w:val="00865446"/>
    <w:rsid w:val="00865888"/>
    <w:rsid w:val="00865D11"/>
    <w:rsid w:val="00865FC9"/>
    <w:rsid w:val="008661D5"/>
    <w:rsid w:val="00866351"/>
    <w:rsid w:val="008664B3"/>
    <w:rsid w:val="00866C90"/>
    <w:rsid w:val="00866DE0"/>
    <w:rsid w:val="0086703D"/>
    <w:rsid w:val="00867FDD"/>
    <w:rsid w:val="00871113"/>
    <w:rsid w:val="0087141D"/>
    <w:rsid w:val="0087175F"/>
    <w:rsid w:val="00871852"/>
    <w:rsid w:val="008720AE"/>
    <w:rsid w:val="008727B2"/>
    <w:rsid w:val="00872831"/>
    <w:rsid w:val="00872D75"/>
    <w:rsid w:val="00873F38"/>
    <w:rsid w:val="00873FDC"/>
    <w:rsid w:val="008742B9"/>
    <w:rsid w:val="008744CE"/>
    <w:rsid w:val="00874745"/>
    <w:rsid w:val="00874CC8"/>
    <w:rsid w:val="00874D4B"/>
    <w:rsid w:val="008751BF"/>
    <w:rsid w:val="00875667"/>
    <w:rsid w:val="0087623C"/>
    <w:rsid w:val="0087666A"/>
    <w:rsid w:val="00876CAC"/>
    <w:rsid w:val="008770F9"/>
    <w:rsid w:val="00877242"/>
    <w:rsid w:val="00877586"/>
    <w:rsid w:val="00877654"/>
    <w:rsid w:val="008778A8"/>
    <w:rsid w:val="00877A95"/>
    <w:rsid w:val="00877E43"/>
    <w:rsid w:val="00880187"/>
    <w:rsid w:val="008805C7"/>
    <w:rsid w:val="00880CBA"/>
    <w:rsid w:val="00881107"/>
    <w:rsid w:val="00881231"/>
    <w:rsid w:val="00881712"/>
    <w:rsid w:val="00881861"/>
    <w:rsid w:val="00881893"/>
    <w:rsid w:val="0088189C"/>
    <w:rsid w:val="008823B4"/>
    <w:rsid w:val="00882A7C"/>
    <w:rsid w:val="00883EBA"/>
    <w:rsid w:val="008848EE"/>
    <w:rsid w:val="008856D9"/>
    <w:rsid w:val="0088615C"/>
    <w:rsid w:val="00886760"/>
    <w:rsid w:val="008877DB"/>
    <w:rsid w:val="0089046E"/>
    <w:rsid w:val="008906D1"/>
    <w:rsid w:val="00891EA7"/>
    <w:rsid w:val="00892048"/>
    <w:rsid w:val="008923FE"/>
    <w:rsid w:val="00892A59"/>
    <w:rsid w:val="008931B0"/>
    <w:rsid w:val="008934FD"/>
    <w:rsid w:val="00893F62"/>
    <w:rsid w:val="00894253"/>
    <w:rsid w:val="00894497"/>
    <w:rsid w:val="00895133"/>
    <w:rsid w:val="008954E4"/>
    <w:rsid w:val="0089597B"/>
    <w:rsid w:val="00895BD2"/>
    <w:rsid w:val="00895E84"/>
    <w:rsid w:val="00896549"/>
    <w:rsid w:val="00896884"/>
    <w:rsid w:val="00896C59"/>
    <w:rsid w:val="0089723B"/>
    <w:rsid w:val="008973FE"/>
    <w:rsid w:val="00897630"/>
    <w:rsid w:val="00897B2C"/>
    <w:rsid w:val="00897E2E"/>
    <w:rsid w:val="008A06B6"/>
    <w:rsid w:val="008A0E73"/>
    <w:rsid w:val="008A123C"/>
    <w:rsid w:val="008A14F8"/>
    <w:rsid w:val="008A172D"/>
    <w:rsid w:val="008A191B"/>
    <w:rsid w:val="008A3258"/>
    <w:rsid w:val="008A3924"/>
    <w:rsid w:val="008A42F9"/>
    <w:rsid w:val="008A458F"/>
    <w:rsid w:val="008A5432"/>
    <w:rsid w:val="008A5FAB"/>
    <w:rsid w:val="008B064F"/>
    <w:rsid w:val="008B1FE5"/>
    <w:rsid w:val="008B221C"/>
    <w:rsid w:val="008B2A38"/>
    <w:rsid w:val="008B36E6"/>
    <w:rsid w:val="008B3C25"/>
    <w:rsid w:val="008B3FF0"/>
    <w:rsid w:val="008B4AA1"/>
    <w:rsid w:val="008B524F"/>
    <w:rsid w:val="008B5E6F"/>
    <w:rsid w:val="008B60B4"/>
    <w:rsid w:val="008B626E"/>
    <w:rsid w:val="008B69C2"/>
    <w:rsid w:val="008B7375"/>
    <w:rsid w:val="008B762B"/>
    <w:rsid w:val="008B7A4D"/>
    <w:rsid w:val="008B7B46"/>
    <w:rsid w:val="008C0373"/>
    <w:rsid w:val="008C084C"/>
    <w:rsid w:val="008C0D90"/>
    <w:rsid w:val="008C0E3C"/>
    <w:rsid w:val="008C0E68"/>
    <w:rsid w:val="008C13AC"/>
    <w:rsid w:val="008C1877"/>
    <w:rsid w:val="008C1D17"/>
    <w:rsid w:val="008C21C3"/>
    <w:rsid w:val="008C21F8"/>
    <w:rsid w:val="008C2B7B"/>
    <w:rsid w:val="008C2D7F"/>
    <w:rsid w:val="008C3131"/>
    <w:rsid w:val="008C3CE7"/>
    <w:rsid w:val="008C3E23"/>
    <w:rsid w:val="008C4006"/>
    <w:rsid w:val="008C54FF"/>
    <w:rsid w:val="008C5AB4"/>
    <w:rsid w:val="008C5F56"/>
    <w:rsid w:val="008C6160"/>
    <w:rsid w:val="008C6361"/>
    <w:rsid w:val="008C6687"/>
    <w:rsid w:val="008C6796"/>
    <w:rsid w:val="008C6BBC"/>
    <w:rsid w:val="008C6EA3"/>
    <w:rsid w:val="008C74BE"/>
    <w:rsid w:val="008D07F0"/>
    <w:rsid w:val="008D0A25"/>
    <w:rsid w:val="008D0FEC"/>
    <w:rsid w:val="008D11D0"/>
    <w:rsid w:val="008D18FF"/>
    <w:rsid w:val="008D1EA3"/>
    <w:rsid w:val="008D1F3D"/>
    <w:rsid w:val="008D2154"/>
    <w:rsid w:val="008D2677"/>
    <w:rsid w:val="008D26D0"/>
    <w:rsid w:val="008D2871"/>
    <w:rsid w:val="008D2B9F"/>
    <w:rsid w:val="008D2F1D"/>
    <w:rsid w:val="008D3076"/>
    <w:rsid w:val="008D3450"/>
    <w:rsid w:val="008D3567"/>
    <w:rsid w:val="008D3798"/>
    <w:rsid w:val="008D3CCD"/>
    <w:rsid w:val="008D3E6E"/>
    <w:rsid w:val="008D3F1A"/>
    <w:rsid w:val="008D44E0"/>
    <w:rsid w:val="008D4CCE"/>
    <w:rsid w:val="008D5513"/>
    <w:rsid w:val="008D5F0C"/>
    <w:rsid w:val="008D6049"/>
    <w:rsid w:val="008D62FB"/>
    <w:rsid w:val="008D6361"/>
    <w:rsid w:val="008D6C48"/>
    <w:rsid w:val="008D741B"/>
    <w:rsid w:val="008D7B09"/>
    <w:rsid w:val="008E0641"/>
    <w:rsid w:val="008E0789"/>
    <w:rsid w:val="008E1785"/>
    <w:rsid w:val="008E17A4"/>
    <w:rsid w:val="008E18A2"/>
    <w:rsid w:val="008E1A94"/>
    <w:rsid w:val="008E1FFC"/>
    <w:rsid w:val="008E21F6"/>
    <w:rsid w:val="008E26A9"/>
    <w:rsid w:val="008E26CC"/>
    <w:rsid w:val="008E2CB8"/>
    <w:rsid w:val="008E3324"/>
    <w:rsid w:val="008E35BB"/>
    <w:rsid w:val="008E3FF2"/>
    <w:rsid w:val="008E494D"/>
    <w:rsid w:val="008E49CE"/>
    <w:rsid w:val="008E4E89"/>
    <w:rsid w:val="008E50BF"/>
    <w:rsid w:val="008E5330"/>
    <w:rsid w:val="008E56F0"/>
    <w:rsid w:val="008E57C7"/>
    <w:rsid w:val="008E5A11"/>
    <w:rsid w:val="008E6462"/>
    <w:rsid w:val="008E6EE0"/>
    <w:rsid w:val="008E7437"/>
    <w:rsid w:val="008E748B"/>
    <w:rsid w:val="008E74CA"/>
    <w:rsid w:val="008E7A27"/>
    <w:rsid w:val="008F0A89"/>
    <w:rsid w:val="008F0F5B"/>
    <w:rsid w:val="008F1178"/>
    <w:rsid w:val="008F195E"/>
    <w:rsid w:val="008F19DA"/>
    <w:rsid w:val="008F1EF2"/>
    <w:rsid w:val="008F2328"/>
    <w:rsid w:val="008F3F97"/>
    <w:rsid w:val="008F4095"/>
    <w:rsid w:val="008F4721"/>
    <w:rsid w:val="008F5B42"/>
    <w:rsid w:val="008F61BF"/>
    <w:rsid w:val="008F66F4"/>
    <w:rsid w:val="008F69A0"/>
    <w:rsid w:val="008F74E1"/>
    <w:rsid w:val="008F7618"/>
    <w:rsid w:val="008F7C52"/>
    <w:rsid w:val="008F7FEC"/>
    <w:rsid w:val="00900FCD"/>
    <w:rsid w:val="0090134C"/>
    <w:rsid w:val="00901B2E"/>
    <w:rsid w:val="00902056"/>
    <w:rsid w:val="0090227F"/>
    <w:rsid w:val="00902A83"/>
    <w:rsid w:val="009034B4"/>
    <w:rsid w:val="00903969"/>
    <w:rsid w:val="00903989"/>
    <w:rsid w:val="00903F7D"/>
    <w:rsid w:val="00904B8A"/>
    <w:rsid w:val="009059CC"/>
    <w:rsid w:val="00905DC4"/>
    <w:rsid w:val="00906993"/>
    <w:rsid w:val="009077E5"/>
    <w:rsid w:val="009079E9"/>
    <w:rsid w:val="00910E95"/>
    <w:rsid w:val="00911A3E"/>
    <w:rsid w:val="0091300C"/>
    <w:rsid w:val="00913A9C"/>
    <w:rsid w:val="009145E3"/>
    <w:rsid w:val="00915332"/>
    <w:rsid w:val="00915348"/>
    <w:rsid w:val="009153AB"/>
    <w:rsid w:val="0091542A"/>
    <w:rsid w:val="00915AF6"/>
    <w:rsid w:val="00915CE7"/>
    <w:rsid w:val="00915D7E"/>
    <w:rsid w:val="009161CE"/>
    <w:rsid w:val="0091665B"/>
    <w:rsid w:val="00916C9D"/>
    <w:rsid w:val="00917614"/>
    <w:rsid w:val="00917637"/>
    <w:rsid w:val="00917709"/>
    <w:rsid w:val="00917C41"/>
    <w:rsid w:val="00917ED4"/>
    <w:rsid w:val="0092144E"/>
    <w:rsid w:val="00921CFB"/>
    <w:rsid w:val="00922213"/>
    <w:rsid w:val="009227C3"/>
    <w:rsid w:val="00922837"/>
    <w:rsid w:val="009232A2"/>
    <w:rsid w:val="00923E96"/>
    <w:rsid w:val="00924201"/>
    <w:rsid w:val="00924606"/>
    <w:rsid w:val="00924C53"/>
    <w:rsid w:val="00925A85"/>
    <w:rsid w:val="00925B82"/>
    <w:rsid w:val="00925D5C"/>
    <w:rsid w:val="00925D64"/>
    <w:rsid w:val="00926725"/>
    <w:rsid w:val="00927037"/>
    <w:rsid w:val="0093041F"/>
    <w:rsid w:val="009308D3"/>
    <w:rsid w:val="00930944"/>
    <w:rsid w:val="009309F4"/>
    <w:rsid w:val="0093106C"/>
    <w:rsid w:val="009310FE"/>
    <w:rsid w:val="0093131D"/>
    <w:rsid w:val="009315B1"/>
    <w:rsid w:val="00931694"/>
    <w:rsid w:val="00932460"/>
    <w:rsid w:val="009325D0"/>
    <w:rsid w:val="00933108"/>
    <w:rsid w:val="0093332E"/>
    <w:rsid w:val="00933D6B"/>
    <w:rsid w:val="00933ECA"/>
    <w:rsid w:val="00934852"/>
    <w:rsid w:val="00934A7E"/>
    <w:rsid w:val="00934B7B"/>
    <w:rsid w:val="00934D24"/>
    <w:rsid w:val="009351C9"/>
    <w:rsid w:val="00935E2C"/>
    <w:rsid w:val="00936148"/>
    <w:rsid w:val="009364CD"/>
    <w:rsid w:val="00937392"/>
    <w:rsid w:val="00937394"/>
    <w:rsid w:val="00937909"/>
    <w:rsid w:val="009406C3"/>
    <w:rsid w:val="00940A7A"/>
    <w:rsid w:val="00940EDE"/>
    <w:rsid w:val="00940F87"/>
    <w:rsid w:val="00941AAA"/>
    <w:rsid w:val="00941C64"/>
    <w:rsid w:val="00942311"/>
    <w:rsid w:val="00942654"/>
    <w:rsid w:val="009427EA"/>
    <w:rsid w:val="009435C5"/>
    <w:rsid w:val="00943F64"/>
    <w:rsid w:val="00944E1E"/>
    <w:rsid w:val="009453CC"/>
    <w:rsid w:val="00945DC5"/>
    <w:rsid w:val="00946647"/>
    <w:rsid w:val="00946884"/>
    <w:rsid w:val="009468D0"/>
    <w:rsid w:val="009478F0"/>
    <w:rsid w:val="009517E5"/>
    <w:rsid w:val="00952228"/>
    <w:rsid w:val="00952BB4"/>
    <w:rsid w:val="00952C31"/>
    <w:rsid w:val="00953DDA"/>
    <w:rsid w:val="00954B9E"/>
    <w:rsid w:val="00954E29"/>
    <w:rsid w:val="009550A5"/>
    <w:rsid w:val="00955CD8"/>
    <w:rsid w:val="00956ACB"/>
    <w:rsid w:val="00956C1F"/>
    <w:rsid w:val="00956E0B"/>
    <w:rsid w:val="00957DBE"/>
    <w:rsid w:val="009603EF"/>
    <w:rsid w:val="009605E3"/>
    <w:rsid w:val="00960B8E"/>
    <w:rsid w:val="00962832"/>
    <w:rsid w:val="00962EB4"/>
    <w:rsid w:val="009630FF"/>
    <w:rsid w:val="00963130"/>
    <w:rsid w:val="00963201"/>
    <w:rsid w:val="00963342"/>
    <w:rsid w:val="00964ABE"/>
    <w:rsid w:val="009653EC"/>
    <w:rsid w:val="009655AB"/>
    <w:rsid w:val="0096630E"/>
    <w:rsid w:val="0096655A"/>
    <w:rsid w:val="0096677E"/>
    <w:rsid w:val="00966AFB"/>
    <w:rsid w:val="00966B0F"/>
    <w:rsid w:val="00966BC0"/>
    <w:rsid w:val="009670DA"/>
    <w:rsid w:val="00967CAD"/>
    <w:rsid w:val="00967D70"/>
    <w:rsid w:val="009702BF"/>
    <w:rsid w:val="00970996"/>
    <w:rsid w:val="00970A1E"/>
    <w:rsid w:val="009711CE"/>
    <w:rsid w:val="0097126D"/>
    <w:rsid w:val="009712FC"/>
    <w:rsid w:val="0097185C"/>
    <w:rsid w:val="00971A5C"/>
    <w:rsid w:val="00971B18"/>
    <w:rsid w:val="00971DAE"/>
    <w:rsid w:val="0097203B"/>
    <w:rsid w:val="0097205B"/>
    <w:rsid w:val="009721F6"/>
    <w:rsid w:val="00972256"/>
    <w:rsid w:val="0097267D"/>
    <w:rsid w:val="009729BF"/>
    <w:rsid w:val="00972AE3"/>
    <w:rsid w:val="0097317E"/>
    <w:rsid w:val="00973180"/>
    <w:rsid w:val="009738F2"/>
    <w:rsid w:val="00973AD7"/>
    <w:rsid w:val="009742AB"/>
    <w:rsid w:val="00974545"/>
    <w:rsid w:val="00974696"/>
    <w:rsid w:val="00974989"/>
    <w:rsid w:val="00974B76"/>
    <w:rsid w:val="00975689"/>
    <w:rsid w:val="0097570F"/>
    <w:rsid w:val="00975A51"/>
    <w:rsid w:val="00975FA0"/>
    <w:rsid w:val="00976196"/>
    <w:rsid w:val="009769FE"/>
    <w:rsid w:val="00976F1B"/>
    <w:rsid w:val="00977293"/>
    <w:rsid w:val="009777D8"/>
    <w:rsid w:val="009779C3"/>
    <w:rsid w:val="009779E5"/>
    <w:rsid w:val="0098110B"/>
    <w:rsid w:val="00981333"/>
    <w:rsid w:val="009820C6"/>
    <w:rsid w:val="00982BBE"/>
    <w:rsid w:val="00982D9C"/>
    <w:rsid w:val="00983406"/>
    <w:rsid w:val="00983CD6"/>
    <w:rsid w:val="00983DE2"/>
    <w:rsid w:val="00984604"/>
    <w:rsid w:val="00984644"/>
    <w:rsid w:val="00984D79"/>
    <w:rsid w:val="009856A4"/>
    <w:rsid w:val="00985898"/>
    <w:rsid w:val="009860DD"/>
    <w:rsid w:val="0098613C"/>
    <w:rsid w:val="00986B61"/>
    <w:rsid w:val="00986C33"/>
    <w:rsid w:val="00986C91"/>
    <w:rsid w:val="00986DCC"/>
    <w:rsid w:val="0098770B"/>
    <w:rsid w:val="00987BA9"/>
    <w:rsid w:val="00987CDE"/>
    <w:rsid w:val="00990067"/>
    <w:rsid w:val="00990122"/>
    <w:rsid w:val="0099052A"/>
    <w:rsid w:val="00990EE4"/>
    <w:rsid w:val="009917F0"/>
    <w:rsid w:val="009920FF"/>
    <w:rsid w:val="0099226F"/>
    <w:rsid w:val="00992F57"/>
    <w:rsid w:val="00993749"/>
    <w:rsid w:val="00993F3D"/>
    <w:rsid w:val="00994B26"/>
    <w:rsid w:val="00994B5D"/>
    <w:rsid w:val="00994C5F"/>
    <w:rsid w:val="0099519D"/>
    <w:rsid w:val="009953D7"/>
    <w:rsid w:val="009953EC"/>
    <w:rsid w:val="009956BE"/>
    <w:rsid w:val="0099659B"/>
    <w:rsid w:val="00996904"/>
    <w:rsid w:val="00996C9B"/>
    <w:rsid w:val="00997620"/>
    <w:rsid w:val="0099762B"/>
    <w:rsid w:val="009978C0"/>
    <w:rsid w:val="00997A66"/>
    <w:rsid w:val="00997E84"/>
    <w:rsid w:val="00997FF7"/>
    <w:rsid w:val="009A0BD7"/>
    <w:rsid w:val="009A0E86"/>
    <w:rsid w:val="009A1E12"/>
    <w:rsid w:val="009A2411"/>
    <w:rsid w:val="009A2547"/>
    <w:rsid w:val="009A3610"/>
    <w:rsid w:val="009A4022"/>
    <w:rsid w:val="009A47AC"/>
    <w:rsid w:val="009A5007"/>
    <w:rsid w:val="009A58AA"/>
    <w:rsid w:val="009A6200"/>
    <w:rsid w:val="009A6E6B"/>
    <w:rsid w:val="009A6F2E"/>
    <w:rsid w:val="009A7613"/>
    <w:rsid w:val="009A7936"/>
    <w:rsid w:val="009B00D5"/>
    <w:rsid w:val="009B00E9"/>
    <w:rsid w:val="009B06C4"/>
    <w:rsid w:val="009B1799"/>
    <w:rsid w:val="009B249F"/>
    <w:rsid w:val="009B254B"/>
    <w:rsid w:val="009B261B"/>
    <w:rsid w:val="009B2AA6"/>
    <w:rsid w:val="009B3D07"/>
    <w:rsid w:val="009B4009"/>
    <w:rsid w:val="009B40FE"/>
    <w:rsid w:val="009B4243"/>
    <w:rsid w:val="009B4778"/>
    <w:rsid w:val="009B4B5E"/>
    <w:rsid w:val="009B4BA8"/>
    <w:rsid w:val="009B4CB6"/>
    <w:rsid w:val="009B578E"/>
    <w:rsid w:val="009B6520"/>
    <w:rsid w:val="009B6791"/>
    <w:rsid w:val="009B6B8E"/>
    <w:rsid w:val="009B6CD3"/>
    <w:rsid w:val="009B7487"/>
    <w:rsid w:val="009C0360"/>
    <w:rsid w:val="009C07B9"/>
    <w:rsid w:val="009C08BC"/>
    <w:rsid w:val="009C0B33"/>
    <w:rsid w:val="009C112D"/>
    <w:rsid w:val="009C168C"/>
    <w:rsid w:val="009C183D"/>
    <w:rsid w:val="009C1917"/>
    <w:rsid w:val="009C1C2B"/>
    <w:rsid w:val="009C2DB0"/>
    <w:rsid w:val="009C3D0F"/>
    <w:rsid w:val="009C497A"/>
    <w:rsid w:val="009C5261"/>
    <w:rsid w:val="009C5387"/>
    <w:rsid w:val="009C5687"/>
    <w:rsid w:val="009C5B4E"/>
    <w:rsid w:val="009C6DB7"/>
    <w:rsid w:val="009C7082"/>
    <w:rsid w:val="009D10A4"/>
    <w:rsid w:val="009D1247"/>
    <w:rsid w:val="009D138C"/>
    <w:rsid w:val="009D236E"/>
    <w:rsid w:val="009D279F"/>
    <w:rsid w:val="009D2883"/>
    <w:rsid w:val="009D3315"/>
    <w:rsid w:val="009D3549"/>
    <w:rsid w:val="009D3A1D"/>
    <w:rsid w:val="009D3BB9"/>
    <w:rsid w:val="009D4A8D"/>
    <w:rsid w:val="009D4F9E"/>
    <w:rsid w:val="009D602B"/>
    <w:rsid w:val="009D63C1"/>
    <w:rsid w:val="009D64DD"/>
    <w:rsid w:val="009D659A"/>
    <w:rsid w:val="009D7063"/>
    <w:rsid w:val="009D7F66"/>
    <w:rsid w:val="009E08AB"/>
    <w:rsid w:val="009E11C5"/>
    <w:rsid w:val="009E1218"/>
    <w:rsid w:val="009E1552"/>
    <w:rsid w:val="009E2ADD"/>
    <w:rsid w:val="009E2C22"/>
    <w:rsid w:val="009E2EEE"/>
    <w:rsid w:val="009E30F7"/>
    <w:rsid w:val="009E40A9"/>
    <w:rsid w:val="009E4AEF"/>
    <w:rsid w:val="009E5485"/>
    <w:rsid w:val="009E5C07"/>
    <w:rsid w:val="009E5DD8"/>
    <w:rsid w:val="009E6DE6"/>
    <w:rsid w:val="009E7188"/>
    <w:rsid w:val="009E7A4B"/>
    <w:rsid w:val="009E7EFC"/>
    <w:rsid w:val="009F0C0B"/>
    <w:rsid w:val="009F0F41"/>
    <w:rsid w:val="009F0F83"/>
    <w:rsid w:val="009F14E0"/>
    <w:rsid w:val="009F1B84"/>
    <w:rsid w:val="009F1D03"/>
    <w:rsid w:val="009F25AC"/>
    <w:rsid w:val="009F269F"/>
    <w:rsid w:val="009F2CB7"/>
    <w:rsid w:val="009F3568"/>
    <w:rsid w:val="009F36F0"/>
    <w:rsid w:val="009F3FC1"/>
    <w:rsid w:val="009F45C6"/>
    <w:rsid w:val="009F4E63"/>
    <w:rsid w:val="009F5851"/>
    <w:rsid w:val="009F598D"/>
    <w:rsid w:val="009F5ADA"/>
    <w:rsid w:val="009F60AE"/>
    <w:rsid w:val="009F6439"/>
    <w:rsid w:val="009F6EA8"/>
    <w:rsid w:val="009F6F79"/>
    <w:rsid w:val="009F71FC"/>
    <w:rsid w:val="009F7877"/>
    <w:rsid w:val="009F7A2F"/>
    <w:rsid w:val="009F7C97"/>
    <w:rsid w:val="00A00723"/>
    <w:rsid w:val="00A00E31"/>
    <w:rsid w:val="00A01892"/>
    <w:rsid w:val="00A01966"/>
    <w:rsid w:val="00A01BF1"/>
    <w:rsid w:val="00A01C7E"/>
    <w:rsid w:val="00A02385"/>
    <w:rsid w:val="00A02524"/>
    <w:rsid w:val="00A047C9"/>
    <w:rsid w:val="00A0495A"/>
    <w:rsid w:val="00A052EB"/>
    <w:rsid w:val="00A053E6"/>
    <w:rsid w:val="00A0558B"/>
    <w:rsid w:val="00A05BE2"/>
    <w:rsid w:val="00A05BF6"/>
    <w:rsid w:val="00A07C66"/>
    <w:rsid w:val="00A07E9D"/>
    <w:rsid w:val="00A07F15"/>
    <w:rsid w:val="00A10D58"/>
    <w:rsid w:val="00A11040"/>
    <w:rsid w:val="00A1145E"/>
    <w:rsid w:val="00A11776"/>
    <w:rsid w:val="00A13305"/>
    <w:rsid w:val="00A142E9"/>
    <w:rsid w:val="00A14C38"/>
    <w:rsid w:val="00A15353"/>
    <w:rsid w:val="00A1585C"/>
    <w:rsid w:val="00A158DA"/>
    <w:rsid w:val="00A16607"/>
    <w:rsid w:val="00A16982"/>
    <w:rsid w:val="00A16BB1"/>
    <w:rsid w:val="00A208A4"/>
    <w:rsid w:val="00A2153B"/>
    <w:rsid w:val="00A21E9B"/>
    <w:rsid w:val="00A22B65"/>
    <w:rsid w:val="00A22BB0"/>
    <w:rsid w:val="00A2307F"/>
    <w:rsid w:val="00A233A2"/>
    <w:rsid w:val="00A23449"/>
    <w:rsid w:val="00A252D8"/>
    <w:rsid w:val="00A25612"/>
    <w:rsid w:val="00A2569E"/>
    <w:rsid w:val="00A26698"/>
    <w:rsid w:val="00A26FAD"/>
    <w:rsid w:val="00A26FD8"/>
    <w:rsid w:val="00A2700F"/>
    <w:rsid w:val="00A270E7"/>
    <w:rsid w:val="00A27880"/>
    <w:rsid w:val="00A30125"/>
    <w:rsid w:val="00A30147"/>
    <w:rsid w:val="00A304EE"/>
    <w:rsid w:val="00A3099B"/>
    <w:rsid w:val="00A30FE5"/>
    <w:rsid w:val="00A31502"/>
    <w:rsid w:val="00A31B76"/>
    <w:rsid w:val="00A31C3C"/>
    <w:rsid w:val="00A324F4"/>
    <w:rsid w:val="00A326ED"/>
    <w:rsid w:val="00A32C10"/>
    <w:rsid w:val="00A32CEF"/>
    <w:rsid w:val="00A33F38"/>
    <w:rsid w:val="00A34038"/>
    <w:rsid w:val="00A344C1"/>
    <w:rsid w:val="00A347F4"/>
    <w:rsid w:val="00A35224"/>
    <w:rsid w:val="00A35983"/>
    <w:rsid w:val="00A35D4D"/>
    <w:rsid w:val="00A36010"/>
    <w:rsid w:val="00A36148"/>
    <w:rsid w:val="00A36664"/>
    <w:rsid w:val="00A36821"/>
    <w:rsid w:val="00A3686B"/>
    <w:rsid w:val="00A40552"/>
    <w:rsid w:val="00A405B6"/>
    <w:rsid w:val="00A40775"/>
    <w:rsid w:val="00A4087F"/>
    <w:rsid w:val="00A40B85"/>
    <w:rsid w:val="00A41076"/>
    <w:rsid w:val="00A411BA"/>
    <w:rsid w:val="00A414DE"/>
    <w:rsid w:val="00A416C7"/>
    <w:rsid w:val="00A417D3"/>
    <w:rsid w:val="00A42A5E"/>
    <w:rsid w:val="00A42E25"/>
    <w:rsid w:val="00A432F5"/>
    <w:rsid w:val="00A44B54"/>
    <w:rsid w:val="00A45006"/>
    <w:rsid w:val="00A455B6"/>
    <w:rsid w:val="00A456DE"/>
    <w:rsid w:val="00A45774"/>
    <w:rsid w:val="00A458FF"/>
    <w:rsid w:val="00A463B4"/>
    <w:rsid w:val="00A4666D"/>
    <w:rsid w:val="00A467B6"/>
    <w:rsid w:val="00A46C63"/>
    <w:rsid w:val="00A4710A"/>
    <w:rsid w:val="00A474A5"/>
    <w:rsid w:val="00A47C4E"/>
    <w:rsid w:val="00A47D2D"/>
    <w:rsid w:val="00A47EDA"/>
    <w:rsid w:val="00A509E6"/>
    <w:rsid w:val="00A50A13"/>
    <w:rsid w:val="00A50A83"/>
    <w:rsid w:val="00A50C0E"/>
    <w:rsid w:val="00A50F3B"/>
    <w:rsid w:val="00A515D8"/>
    <w:rsid w:val="00A521EC"/>
    <w:rsid w:val="00A52970"/>
    <w:rsid w:val="00A53A41"/>
    <w:rsid w:val="00A54866"/>
    <w:rsid w:val="00A54A50"/>
    <w:rsid w:val="00A54C1B"/>
    <w:rsid w:val="00A55A6D"/>
    <w:rsid w:val="00A55E0D"/>
    <w:rsid w:val="00A56199"/>
    <w:rsid w:val="00A56944"/>
    <w:rsid w:val="00A56EF6"/>
    <w:rsid w:val="00A57A23"/>
    <w:rsid w:val="00A60FA5"/>
    <w:rsid w:val="00A61C3D"/>
    <w:rsid w:val="00A62211"/>
    <w:rsid w:val="00A62235"/>
    <w:rsid w:val="00A62861"/>
    <w:rsid w:val="00A63550"/>
    <w:rsid w:val="00A641F0"/>
    <w:rsid w:val="00A64326"/>
    <w:rsid w:val="00A64927"/>
    <w:rsid w:val="00A651B6"/>
    <w:rsid w:val="00A654AC"/>
    <w:rsid w:val="00A654E4"/>
    <w:rsid w:val="00A6576C"/>
    <w:rsid w:val="00A65B9D"/>
    <w:rsid w:val="00A65CCD"/>
    <w:rsid w:val="00A66F63"/>
    <w:rsid w:val="00A6715A"/>
    <w:rsid w:val="00A67493"/>
    <w:rsid w:val="00A70848"/>
    <w:rsid w:val="00A70C6E"/>
    <w:rsid w:val="00A71092"/>
    <w:rsid w:val="00A7143A"/>
    <w:rsid w:val="00A717A5"/>
    <w:rsid w:val="00A72AC8"/>
    <w:rsid w:val="00A7363B"/>
    <w:rsid w:val="00A742A6"/>
    <w:rsid w:val="00A74772"/>
    <w:rsid w:val="00A7490B"/>
    <w:rsid w:val="00A74CF1"/>
    <w:rsid w:val="00A75035"/>
    <w:rsid w:val="00A758F3"/>
    <w:rsid w:val="00A7641E"/>
    <w:rsid w:val="00A775BB"/>
    <w:rsid w:val="00A77AF8"/>
    <w:rsid w:val="00A77C52"/>
    <w:rsid w:val="00A802DB"/>
    <w:rsid w:val="00A805E8"/>
    <w:rsid w:val="00A80A46"/>
    <w:rsid w:val="00A81503"/>
    <w:rsid w:val="00A815F9"/>
    <w:rsid w:val="00A81FA3"/>
    <w:rsid w:val="00A821FA"/>
    <w:rsid w:val="00A82995"/>
    <w:rsid w:val="00A82B3F"/>
    <w:rsid w:val="00A84288"/>
    <w:rsid w:val="00A84391"/>
    <w:rsid w:val="00A84A16"/>
    <w:rsid w:val="00A84EFC"/>
    <w:rsid w:val="00A8606C"/>
    <w:rsid w:val="00A86374"/>
    <w:rsid w:val="00A87896"/>
    <w:rsid w:val="00A87D00"/>
    <w:rsid w:val="00A902E9"/>
    <w:rsid w:val="00A9077E"/>
    <w:rsid w:val="00A90CD5"/>
    <w:rsid w:val="00A91252"/>
    <w:rsid w:val="00A914AC"/>
    <w:rsid w:val="00A91835"/>
    <w:rsid w:val="00A91C02"/>
    <w:rsid w:val="00A92484"/>
    <w:rsid w:val="00A92D63"/>
    <w:rsid w:val="00A92E2E"/>
    <w:rsid w:val="00A9421D"/>
    <w:rsid w:val="00A965D9"/>
    <w:rsid w:val="00A96EEA"/>
    <w:rsid w:val="00A97563"/>
    <w:rsid w:val="00A97845"/>
    <w:rsid w:val="00A97B66"/>
    <w:rsid w:val="00AA0050"/>
    <w:rsid w:val="00AA0A0A"/>
    <w:rsid w:val="00AA0F20"/>
    <w:rsid w:val="00AA0F6A"/>
    <w:rsid w:val="00AA1884"/>
    <w:rsid w:val="00AA19F1"/>
    <w:rsid w:val="00AA290E"/>
    <w:rsid w:val="00AA2B85"/>
    <w:rsid w:val="00AA4095"/>
    <w:rsid w:val="00AA4213"/>
    <w:rsid w:val="00AA4FB0"/>
    <w:rsid w:val="00AA5E47"/>
    <w:rsid w:val="00AA61FF"/>
    <w:rsid w:val="00AA6BCA"/>
    <w:rsid w:val="00AA7021"/>
    <w:rsid w:val="00AB0120"/>
    <w:rsid w:val="00AB02C2"/>
    <w:rsid w:val="00AB052B"/>
    <w:rsid w:val="00AB0680"/>
    <w:rsid w:val="00AB0E17"/>
    <w:rsid w:val="00AB1B00"/>
    <w:rsid w:val="00AB1ED8"/>
    <w:rsid w:val="00AB213C"/>
    <w:rsid w:val="00AB221C"/>
    <w:rsid w:val="00AB264C"/>
    <w:rsid w:val="00AB2663"/>
    <w:rsid w:val="00AB4C6F"/>
    <w:rsid w:val="00AB4E2F"/>
    <w:rsid w:val="00AB6147"/>
    <w:rsid w:val="00AB6287"/>
    <w:rsid w:val="00AB64BD"/>
    <w:rsid w:val="00AB6962"/>
    <w:rsid w:val="00AB71F5"/>
    <w:rsid w:val="00AB72E2"/>
    <w:rsid w:val="00AB7914"/>
    <w:rsid w:val="00AB7E0F"/>
    <w:rsid w:val="00AC07D0"/>
    <w:rsid w:val="00AC0BA2"/>
    <w:rsid w:val="00AC139A"/>
    <w:rsid w:val="00AC17A1"/>
    <w:rsid w:val="00AC1A51"/>
    <w:rsid w:val="00AC1BEC"/>
    <w:rsid w:val="00AC1CFD"/>
    <w:rsid w:val="00AC2686"/>
    <w:rsid w:val="00AC36CA"/>
    <w:rsid w:val="00AC36E6"/>
    <w:rsid w:val="00AC3851"/>
    <w:rsid w:val="00AC3DA7"/>
    <w:rsid w:val="00AC4F79"/>
    <w:rsid w:val="00AC54DB"/>
    <w:rsid w:val="00AC5981"/>
    <w:rsid w:val="00AC62A7"/>
    <w:rsid w:val="00AC6ACF"/>
    <w:rsid w:val="00AC6B7A"/>
    <w:rsid w:val="00AC6EE9"/>
    <w:rsid w:val="00AC7010"/>
    <w:rsid w:val="00AC7FC3"/>
    <w:rsid w:val="00AD0573"/>
    <w:rsid w:val="00AD0CE8"/>
    <w:rsid w:val="00AD0F8A"/>
    <w:rsid w:val="00AD10F5"/>
    <w:rsid w:val="00AD1370"/>
    <w:rsid w:val="00AD1D78"/>
    <w:rsid w:val="00AD28DB"/>
    <w:rsid w:val="00AD33B4"/>
    <w:rsid w:val="00AD3DD5"/>
    <w:rsid w:val="00AD5E0E"/>
    <w:rsid w:val="00AD5E58"/>
    <w:rsid w:val="00AD696C"/>
    <w:rsid w:val="00AD69A7"/>
    <w:rsid w:val="00AD7AF9"/>
    <w:rsid w:val="00AD7E39"/>
    <w:rsid w:val="00AD7E7B"/>
    <w:rsid w:val="00AE01BC"/>
    <w:rsid w:val="00AE06CF"/>
    <w:rsid w:val="00AE1CE0"/>
    <w:rsid w:val="00AE211C"/>
    <w:rsid w:val="00AE28E3"/>
    <w:rsid w:val="00AE2FC9"/>
    <w:rsid w:val="00AE3379"/>
    <w:rsid w:val="00AE3E7A"/>
    <w:rsid w:val="00AE3F37"/>
    <w:rsid w:val="00AE4786"/>
    <w:rsid w:val="00AE50D2"/>
    <w:rsid w:val="00AE58F1"/>
    <w:rsid w:val="00AE6E60"/>
    <w:rsid w:val="00AF01F1"/>
    <w:rsid w:val="00AF091C"/>
    <w:rsid w:val="00AF0DCA"/>
    <w:rsid w:val="00AF1402"/>
    <w:rsid w:val="00AF1438"/>
    <w:rsid w:val="00AF1790"/>
    <w:rsid w:val="00AF1F1D"/>
    <w:rsid w:val="00AF20DE"/>
    <w:rsid w:val="00AF272A"/>
    <w:rsid w:val="00AF2D4F"/>
    <w:rsid w:val="00AF31AB"/>
    <w:rsid w:val="00AF33C4"/>
    <w:rsid w:val="00AF3488"/>
    <w:rsid w:val="00AF366D"/>
    <w:rsid w:val="00AF3D46"/>
    <w:rsid w:val="00AF4191"/>
    <w:rsid w:val="00AF4405"/>
    <w:rsid w:val="00AF4DB1"/>
    <w:rsid w:val="00AF59CC"/>
    <w:rsid w:val="00AF6A52"/>
    <w:rsid w:val="00AF780E"/>
    <w:rsid w:val="00AF7979"/>
    <w:rsid w:val="00AF7B19"/>
    <w:rsid w:val="00B00DF5"/>
    <w:rsid w:val="00B00EB2"/>
    <w:rsid w:val="00B012E6"/>
    <w:rsid w:val="00B01BB1"/>
    <w:rsid w:val="00B029DC"/>
    <w:rsid w:val="00B02EB1"/>
    <w:rsid w:val="00B031FB"/>
    <w:rsid w:val="00B0363E"/>
    <w:rsid w:val="00B03878"/>
    <w:rsid w:val="00B03B26"/>
    <w:rsid w:val="00B03D44"/>
    <w:rsid w:val="00B04328"/>
    <w:rsid w:val="00B047D4"/>
    <w:rsid w:val="00B0509F"/>
    <w:rsid w:val="00B056AB"/>
    <w:rsid w:val="00B0570B"/>
    <w:rsid w:val="00B05C46"/>
    <w:rsid w:val="00B0650E"/>
    <w:rsid w:val="00B06649"/>
    <w:rsid w:val="00B066FF"/>
    <w:rsid w:val="00B067F6"/>
    <w:rsid w:val="00B0775F"/>
    <w:rsid w:val="00B078D6"/>
    <w:rsid w:val="00B101C7"/>
    <w:rsid w:val="00B104D7"/>
    <w:rsid w:val="00B1060F"/>
    <w:rsid w:val="00B10792"/>
    <w:rsid w:val="00B10998"/>
    <w:rsid w:val="00B11200"/>
    <w:rsid w:val="00B11800"/>
    <w:rsid w:val="00B11C30"/>
    <w:rsid w:val="00B11EB8"/>
    <w:rsid w:val="00B12836"/>
    <w:rsid w:val="00B12A0D"/>
    <w:rsid w:val="00B12CF7"/>
    <w:rsid w:val="00B130B4"/>
    <w:rsid w:val="00B13170"/>
    <w:rsid w:val="00B131C7"/>
    <w:rsid w:val="00B135C3"/>
    <w:rsid w:val="00B13C8E"/>
    <w:rsid w:val="00B13CB5"/>
    <w:rsid w:val="00B13FAD"/>
    <w:rsid w:val="00B1469D"/>
    <w:rsid w:val="00B14F96"/>
    <w:rsid w:val="00B1512B"/>
    <w:rsid w:val="00B151A5"/>
    <w:rsid w:val="00B15E9E"/>
    <w:rsid w:val="00B15EF2"/>
    <w:rsid w:val="00B16255"/>
    <w:rsid w:val="00B16693"/>
    <w:rsid w:val="00B16763"/>
    <w:rsid w:val="00B16840"/>
    <w:rsid w:val="00B1696D"/>
    <w:rsid w:val="00B1705F"/>
    <w:rsid w:val="00B175B3"/>
    <w:rsid w:val="00B17C79"/>
    <w:rsid w:val="00B209AE"/>
    <w:rsid w:val="00B212FA"/>
    <w:rsid w:val="00B2285B"/>
    <w:rsid w:val="00B228B4"/>
    <w:rsid w:val="00B23703"/>
    <w:rsid w:val="00B23841"/>
    <w:rsid w:val="00B23937"/>
    <w:rsid w:val="00B23988"/>
    <w:rsid w:val="00B23BB5"/>
    <w:rsid w:val="00B23E80"/>
    <w:rsid w:val="00B259E5"/>
    <w:rsid w:val="00B25DA3"/>
    <w:rsid w:val="00B25FD9"/>
    <w:rsid w:val="00B260BB"/>
    <w:rsid w:val="00B271EF"/>
    <w:rsid w:val="00B27415"/>
    <w:rsid w:val="00B27561"/>
    <w:rsid w:val="00B27A24"/>
    <w:rsid w:val="00B30683"/>
    <w:rsid w:val="00B30817"/>
    <w:rsid w:val="00B30DD9"/>
    <w:rsid w:val="00B31449"/>
    <w:rsid w:val="00B3175C"/>
    <w:rsid w:val="00B32EEF"/>
    <w:rsid w:val="00B340F3"/>
    <w:rsid w:val="00B343B1"/>
    <w:rsid w:val="00B3476A"/>
    <w:rsid w:val="00B34833"/>
    <w:rsid w:val="00B35F62"/>
    <w:rsid w:val="00B360A6"/>
    <w:rsid w:val="00B37567"/>
    <w:rsid w:val="00B401D2"/>
    <w:rsid w:val="00B40B58"/>
    <w:rsid w:val="00B41B18"/>
    <w:rsid w:val="00B428FD"/>
    <w:rsid w:val="00B43B63"/>
    <w:rsid w:val="00B43C5C"/>
    <w:rsid w:val="00B4450B"/>
    <w:rsid w:val="00B44978"/>
    <w:rsid w:val="00B44E2A"/>
    <w:rsid w:val="00B44FC4"/>
    <w:rsid w:val="00B45599"/>
    <w:rsid w:val="00B455C0"/>
    <w:rsid w:val="00B45898"/>
    <w:rsid w:val="00B45D2C"/>
    <w:rsid w:val="00B4630D"/>
    <w:rsid w:val="00B463EF"/>
    <w:rsid w:val="00B46ABE"/>
    <w:rsid w:val="00B46D9E"/>
    <w:rsid w:val="00B47157"/>
    <w:rsid w:val="00B474B0"/>
    <w:rsid w:val="00B479B6"/>
    <w:rsid w:val="00B47EA3"/>
    <w:rsid w:val="00B50014"/>
    <w:rsid w:val="00B5064E"/>
    <w:rsid w:val="00B51235"/>
    <w:rsid w:val="00B51B9E"/>
    <w:rsid w:val="00B5200D"/>
    <w:rsid w:val="00B5240F"/>
    <w:rsid w:val="00B52CEC"/>
    <w:rsid w:val="00B52DFD"/>
    <w:rsid w:val="00B52F1C"/>
    <w:rsid w:val="00B5392E"/>
    <w:rsid w:val="00B5473A"/>
    <w:rsid w:val="00B549A8"/>
    <w:rsid w:val="00B55961"/>
    <w:rsid w:val="00B560B3"/>
    <w:rsid w:val="00B568EB"/>
    <w:rsid w:val="00B56B5D"/>
    <w:rsid w:val="00B573C1"/>
    <w:rsid w:val="00B57BC9"/>
    <w:rsid w:val="00B6047B"/>
    <w:rsid w:val="00B605A4"/>
    <w:rsid w:val="00B606C2"/>
    <w:rsid w:val="00B613F8"/>
    <w:rsid w:val="00B61F4E"/>
    <w:rsid w:val="00B622F0"/>
    <w:rsid w:val="00B624C7"/>
    <w:rsid w:val="00B629AC"/>
    <w:rsid w:val="00B62A8A"/>
    <w:rsid w:val="00B63160"/>
    <w:rsid w:val="00B63168"/>
    <w:rsid w:val="00B63732"/>
    <w:rsid w:val="00B63AB4"/>
    <w:rsid w:val="00B63D6B"/>
    <w:rsid w:val="00B63D83"/>
    <w:rsid w:val="00B63DEA"/>
    <w:rsid w:val="00B648E8"/>
    <w:rsid w:val="00B65500"/>
    <w:rsid w:val="00B656EA"/>
    <w:rsid w:val="00B65EF7"/>
    <w:rsid w:val="00B666A9"/>
    <w:rsid w:val="00B67A4F"/>
    <w:rsid w:val="00B67FCA"/>
    <w:rsid w:val="00B70260"/>
    <w:rsid w:val="00B7061A"/>
    <w:rsid w:val="00B70D14"/>
    <w:rsid w:val="00B710A9"/>
    <w:rsid w:val="00B71716"/>
    <w:rsid w:val="00B72386"/>
    <w:rsid w:val="00B72CF9"/>
    <w:rsid w:val="00B73209"/>
    <w:rsid w:val="00B73473"/>
    <w:rsid w:val="00B74435"/>
    <w:rsid w:val="00B74A02"/>
    <w:rsid w:val="00B758AF"/>
    <w:rsid w:val="00B758CF"/>
    <w:rsid w:val="00B75941"/>
    <w:rsid w:val="00B76223"/>
    <w:rsid w:val="00B7653C"/>
    <w:rsid w:val="00B7671C"/>
    <w:rsid w:val="00B76E45"/>
    <w:rsid w:val="00B773FA"/>
    <w:rsid w:val="00B7742B"/>
    <w:rsid w:val="00B779A3"/>
    <w:rsid w:val="00B779C3"/>
    <w:rsid w:val="00B77A09"/>
    <w:rsid w:val="00B77B25"/>
    <w:rsid w:val="00B80005"/>
    <w:rsid w:val="00B80191"/>
    <w:rsid w:val="00B80345"/>
    <w:rsid w:val="00B806B3"/>
    <w:rsid w:val="00B80955"/>
    <w:rsid w:val="00B809A8"/>
    <w:rsid w:val="00B814B4"/>
    <w:rsid w:val="00B81877"/>
    <w:rsid w:val="00B81B5F"/>
    <w:rsid w:val="00B8229F"/>
    <w:rsid w:val="00B82736"/>
    <w:rsid w:val="00B82B8F"/>
    <w:rsid w:val="00B832B6"/>
    <w:rsid w:val="00B836CC"/>
    <w:rsid w:val="00B838FD"/>
    <w:rsid w:val="00B83A93"/>
    <w:rsid w:val="00B83B65"/>
    <w:rsid w:val="00B8441E"/>
    <w:rsid w:val="00B845DD"/>
    <w:rsid w:val="00B8575E"/>
    <w:rsid w:val="00B85C00"/>
    <w:rsid w:val="00B85DA4"/>
    <w:rsid w:val="00B90F67"/>
    <w:rsid w:val="00B92AB4"/>
    <w:rsid w:val="00B92EDD"/>
    <w:rsid w:val="00B93482"/>
    <w:rsid w:val="00B93E39"/>
    <w:rsid w:val="00B95BB0"/>
    <w:rsid w:val="00B9612D"/>
    <w:rsid w:val="00B967F7"/>
    <w:rsid w:val="00B97A2B"/>
    <w:rsid w:val="00BA0742"/>
    <w:rsid w:val="00BA0914"/>
    <w:rsid w:val="00BA12A0"/>
    <w:rsid w:val="00BA1AB4"/>
    <w:rsid w:val="00BA20C9"/>
    <w:rsid w:val="00BA2A81"/>
    <w:rsid w:val="00BA2E05"/>
    <w:rsid w:val="00BA4077"/>
    <w:rsid w:val="00BA4ADE"/>
    <w:rsid w:val="00BA5039"/>
    <w:rsid w:val="00BA5058"/>
    <w:rsid w:val="00BA50AA"/>
    <w:rsid w:val="00BA53B1"/>
    <w:rsid w:val="00BA53BD"/>
    <w:rsid w:val="00BA5A3D"/>
    <w:rsid w:val="00BA5A51"/>
    <w:rsid w:val="00BA5CB3"/>
    <w:rsid w:val="00BA6748"/>
    <w:rsid w:val="00BA68CE"/>
    <w:rsid w:val="00BA6B55"/>
    <w:rsid w:val="00BA6DC8"/>
    <w:rsid w:val="00BA712E"/>
    <w:rsid w:val="00BA7353"/>
    <w:rsid w:val="00BB0CB7"/>
    <w:rsid w:val="00BB1C1C"/>
    <w:rsid w:val="00BB1F98"/>
    <w:rsid w:val="00BB20D0"/>
    <w:rsid w:val="00BB24D6"/>
    <w:rsid w:val="00BB2593"/>
    <w:rsid w:val="00BB2CE6"/>
    <w:rsid w:val="00BB2DE2"/>
    <w:rsid w:val="00BB2F5A"/>
    <w:rsid w:val="00BB32B1"/>
    <w:rsid w:val="00BB393A"/>
    <w:rsid w:val="00BB3A91"/>
    <w:rsid w:val="00BB44E3"/>
    <w:rsid w:val="00BB5243"/>
    <w:rsid w:val="00BB5610"/>
    <w:rsid w:val="00BB5659"/>
    <w:rsid w:val="00BB6420"/>
    <w:rsid w:val="00BB647E"/>
    <w:rsid w:val="00BB657F"/>
    <w:rsid w:val="00BB67AC"/>
    <w:rsid w:val="00BB6B1C"/>
    <w:rsid w:val="00BB70C7"/>
    <w:rsid w:val="00BB7624"/>
    <w:rsid w:val="00BB7F3F"/>
    <w:rsid w:val="00BB7FC3"/>
    <w:rsid w:val="00BC11D9"/>
    <w:rsid w:val="00BC1282"/>
    <w:rsid w:val="00BC1A10"/>
    <w:rsid w:val="00BC3542"/>
    <w:rsid w:val="00BC3D22"/>
    <w:rsid w:val="00BC4110"/>
    <w:rsid w:val="00BC47DE"/>
    <w:rsid w:val="00BC498F"/>
    <w:rsid w:val="00BC5839"/>
    <w:rsid w:val="00BC5AF2"/>
    <w:rsid w:val="00BC5D5D"/>
    <w:rsid w:val="00BC6154"/>
    <w:rsid w:val="00BC7588"/>
    <w:rsid w:val="00BD03E1"/>
    <w:rsid w:val="00BD045E"/>
    <w:rsid w:val="00BD052D"/>
    <w:rsid w:val="00BD0AD6"/>
    <w:rsid w:val="00BD0DBC"/>
    <w:rsid w:val="00BD0E87"/>
    <w:rsid w:val="00BD1160"/>
    <w:rsid w:val="00BD154A"/>
    <w:rsid w:val="00BD1592"/>
    <w:rsid w:val="00BD1603"/>
    <w:rsid w:val="00BD1E69"/>
    <w:rsid w:val="00BD1EFE"/>
    <w:rsid w:val="00BD2A51"/>
    <w:rsid w:val="00BD2ABE"/>
    <w:rsid w:val="00BD31E3"/>
    <w:rsid w:val="00BD3CDC"/>
    <w:rsid w:val="00BD4A22"/>
    <w:rsid w:val="00BD4C00"/>
    <w:rsid w:val="00BD5085"/>
    <w:rsid w:val="00BD5EE2"/>
    <w:rsid w:val="00BD61C9"/>
    <w:rsid w:val="00BD6322"/>
    <w:rsid w:val="00BD6678"/>
    <w:rsid w:val="00BD6BFD"/>
    <w:rsid w:val="00BD6E63"/>
    <w:rsid w:val="00BE0460"/>
    <w:rsid w:val="00BE04BB"/>
    <w:rsid w:val="00BE2305"/>
    <w:rsid w:val="00BE242A"/>
    <w:rsid w:val="00BE2909"/>
    <w:rsid w:val="00BE30A4"/>
    <w:rsid w:val="00BE30C1"/>
    <w:rsid w:val="00BE38FA"/>
    <w:rsid w:val="00BE3A2E"/>
    <w:rsid w:val="00BE3BB0"/>
    <w:rsid w:val="00BE40FE"/>
    <w:rsid w:val="00BE4503"/>
    <w:rsid w:val="00BE4572"/>
    <w:rsid w:val="00BE45E2"/>
    <w:rsid w:val="00BE45F3"/>
    <w:rsid w:val="00BE56C0"/>
    <w:rsid w:val="00BE5E1C"/>
    <w:rsid w:val="00BE6108"/>
    <w:rsid w:val="00BE6823"/>
    <w:rsid w:val="00BE68EA"/>
    <w:rsid w:val="00BE6E74"/>
    <w:rsid w:val="00BE7ABD"/>
    <w:rsid w:val="00BE7D6E"/>
    <w:rsid w:val="00BF0373"/>
    <w:rsid w:val="00BF05A0"/>
    <w:rsid w:val="00BF0625"/>
    <w:rsid w:val="00BF0E38"/>
    <w:rsid w:val="00BF1065"/>
    <w:rsid w:val="00BF1DA7"/>
    <w:rsid w:val="00BF1F38"/>
    <w:rsid w:val="00BF24B2"/>
    <w:rsid w:val="00BF2A63"/>
    <w:rsid w:val="00BF329E"/>
    <w:rsid w:val="00BF3BAD"/>
    <w:rsid w:val="00BF440C"/>
    <w:rsid w:val="00BF4D85"/>
    <w:rsid w:val="00BF50C3"/>
    <w:rsid w:val="00BF5987"/>
    <w:rsid w:val="00BF5D22"/>
    <w:rsid w:val="00BF6D90"/>
    <w:rsid w:val="00BF7566"/>
    <w:rsid w:val="00BF7697"/>
    <w:rsid w:val="00BF7743"/>
    <w:rsid w:val="00C00175"/>
    <w:rsid w:val="00C00575"/>
    <w:rsid w:val="00C00796"/>
    <w:rsid w:val="00C02617"/>
    <w:rsid w:val="00C0328F"/>
    <w:rsid w:val="00C03C73"/>
    <w:rsid w:val="00C03D5F"/>
    <w:rsid w:val="00C045F1"/>
    <w:rsid w:val="00C04E1B"/>
    <w:rsid w:val="00C04EDF"/>
    <w:rsid w:val="00C0588B"/>
    <w:rsid w:val="00C06094"/>
    <w:rsid w:val="00C06730"/>
    <w:rsid w:val="00C067E7"/>
    <w:rsid w:val="00C076D1"/>
    <w:rsid w:val="00C07D74"/>
    <w:rsid w:val="00C1039B"/>
    <w:rsid w:val="00C10AF2"/>
    <w:rsid w:val="00C11646"/>
    <w:rsid w:val="00C1196C"/>
    <w:rsid w:val="00C1254C"/>
    <w:rsid w:val="00C129EB"/>
    <w:rsid w:val="00C12E0C"/>
    <w:rsid w:val="00C12E10"/>
    <w:rsid w:val="00C1389E"/>
    <w:rsid w:val="00C1415F"/>
    <w:rsid w:val="00C14357"/>
    <w:rsid w:val="00C1476C"/>
    <w:rsid w:val="00C15366"/>
    <w:rsid w:val="00C1597E"/>
    <w:rsid w:val="00C17311"/>
    <w:rsid w:val="00C20014"/>
    <w:rsid w:val="00C20533"/>
    <w:rsid w:val="00C205BA"/>
    <w:rsid w:val="00C20979"/>
    <w:rsid w:val="00C20B3F"/>
    <w:rsid w:val="00C210E3"/>
    <w:rsid w:val="00C21473"/>
    <w:rsid w:val="00C218DF"/>
    <w:rsid w:val="00C21A1E"/>
    <w:rsid w:val="00C2208D"/>
    <w:rsid w:val="00C2252C"/>
    <w:rsid w:val="00C225C3"/>
    <w:rsid w:val="00C2368A"/>
    <w:rsid w:val="00C23A4C"/>
    <w:rsid w:val="00C23B1A"/>
    <w:rsid w:val="00C2426C"/>
    <w:rsid w:val="00C2470E"/>
    <w:rsid w:val="00C256DB"/>
    <w:rsid w:val="00C25ED5"/>
    <w:rsid w:val="00C2608B"/>
    <w:rsid w:val="00C27AE9"/>
    <w:rsid w:val="00C27F72"/>
    <w:rsid w:val="00C30443"/>
    <w:rsid w:val="00C308EA"/>
    <w:rsid w:val="00C309D7"/>
    <w:rsid w:val="00C30CCF"/>
    <w:rsid w:val="00C3143B"/>
    <w:rsid w:val="00C31610"/>
    <w:rsid w:val="00C31940"/>
    <w:rsid w:val="00C31C80"/>
    <w:rsid w:val="00C31FB4"/>
    <w:rsid w:val="00C31FF6"/>
    <w:rsid w:val="00C3205C"/>
    <w:rsid w:val="00C32176"/>
    <w:rsid w:val="00C32AA8"/>
    <w:rsid w:val="00C33621"/>
    <w:rsid w:val="00C339A8"/>
    <w:rsid w:val="00C33A15"/>
    <w:rsid w:val="00C33D1E"/>
    <w:rsid w:val="00C352C4"/>
    <w:rsid w:val="00C3583D"/>
    <w:rsid w:val="00C35F61"/>
    <w:rsid w:val="00C3649F"/>
    <w:rsid w:val="00C36885"/>
    <w:rsid w:val="00C37689"/>
    <w:rsid w:val="00C37DC2"/>
    <w:rsid w:val="00C4008F"/>
    <w:rsid w:val="00C405DD"/>
    <w:rsid w:val="00C40839"/>
    <w:rsid w:val="00C40948"/>
    <w:rsid w:val="00C42452"/>
    <w:rsid w:val="00C42D19"/>
    <w:rsid w:val="00C42D3C"/>
    <w:rsid w:val="00C42DC9"/>
    <w:rsid w:val="00C43252"/>
    <w:rsid w:val="00C4332F"/>
    <w:rsid w:val="00C4335D"/>
    <w:rsid w:val="00C434EA"/>
    <w:rsid w:val="00C437E1"/>
    <w:rsid w:val="00C43CC1"/>
    <w:rsid w:val="00C44503"/>
    <w:rsid w:val="00C4508F"/>
    <w:rsid w:val="00C45622"/>
    <w:rsid w:val="00C459A0"/>
    <w:rsid w:val="00C460B1"/>
    <w:rsid w:val="00C46358"/>
    <w:rsid w:val="00C4651E"/>
    <w:rsid w:val="00C467DC"/>
    <w:rsid w:val="00C469B7"/>
    <w:rsid w:val="00C46A0E"/>
    <w:rsid w:val="00C46B98"/>
    <w:rsid w:val="00C4716C"/>
    <w:rsid w:val="00C4730C"/>
    <w:rsid w:val="00C476A5"/>
    <w:rsid w:val="00C47B81"/>
    <w:rsid w:val="00C501DB"/>
    <w:rsid w:val="00C5044A"/>
    <w:rsid w:val="00C505BC"/>
    <w:rsid w:val="00C50D60"/>
    <w:rsid w:val="00C50E75"/>
    <w:rsid w:val="00C515B6"/>
    <w:rsid w:val="00C51AD3"/>
    <w:rsid w:val="00C52AAB"/>
    <w:rsid w:val="00C52D5C"/>
    <w:rsid w:val="00C532C9"/>
    <w:rsid w:val="00C5353A"/>
    <w:rsid w:val="00C5358B"/>
    <w:rsid w:val="00C53988"/>
    <w:rsid w:val="00C53CB5"/>
    <w:rsid w:val="00C53CDC"/>
    <w:rsid w:val="00C54002"/>
    <w:rsid w:val="00C546DB"/>
    <w:rsid w:val="00C547E8"/>
    <w:rsid w:val="00C54D2E"/>
    <w:rsid w:val="00C54F2F"/>
    <w:rsid w:val="00C55166"/>
    <w:rsid w:val="00C55AFE"/>
    <w:rsid w:val="00C55B58"/>
    <w:rsid w:val="00C55B5F"/>
    <w:rsid w:val="00C5603C"/>
    <w:rsid w:val="00C5663A"/>
    <w:rsid w:val="00C566C0"/>
    <w:rsid w:val="00C566C1"/>
    <w:rsid w:val="00C56F77"/>
    <w:rsid w:val="00C578EB"/>
    <w:rsid w:val="00C57EC7"/>
    <w:rsid w:val="00C60273"/>
    <w:rsid w:val="00C60344"/>
    <w:rsid w:val="00C604DC"/>
    <w:rsid w:val="00C60573"/>
    <w:rsid w:val="00C60B5E"/>
    <w:rsid w:val="00C60C51"/>
    <w:rsid w:val="00C60E05"/>
    <w:rsid w:val="00C60EC1"/>
    <w:rsid w:val="00C61120"/>
    <w:rsid w:val="00C6134D"/>
    <w:rsid w:val="00C61CBD"/>
    <w:rsid w:val="00C6298E"/>
    <w:rsid w:val="00C62C4B"/>
    <w:rsid w:val="00C633F1"/>
    <w:rsid w:val="00C64681"/>
    <w:rsid w:val="00C64938"/>
    <w:rsid w:val="00C64C21"/>
    <w:rsid w:val="00C64CF1"/>
    <w:rsid w:val="00C64F0E"/>
    <w:rsid w:val="00C651FB"/>
    <w:rsid w:val="00C6552E"/>
    <w:rsid w:val="00C655FD"/>
    <w:rsid w:val="00C6639F"/>
    <w:rsid w:val="00C666A0"/>
    <w:rsid w:val="00C66A98"/>
    <w:rsid w:val="00C66A9E"/>
    <w:rsid w:val="00C66C89"/>
    <w:rsid w:val="00C675C6"/>
    <w:rsid w:val="00C67B0A"/>
    <w:rsid w:val="00C7002F"/>
    <w:rsid w:val="00C70A4C"/>
    <w:rsid w:val="00C71163"/>
    <w:rsid w:val="00C711E1"/>
    <w:rsid w:val="00C71504"/>
    <w:rsid w:val="00C71597"/>
    <w:rsid w:val="00C71E66"/>
    <w:rsid w:val="00C72969"/>
    <w:rsid w:val="00C72A89"/>
    <w:rsid w:val="00C7373C"/>
    <w:rsid w:val="00C73CA6"/>
    <w:rsid w:val="00C74746"/>
    <w:rsid w:val="00C74C3B"/>
    <w:rsid w:val="00C75D71"/>
    <w:rsid w:val="00C76484"/>
    <w:rsid w:val="00C768C9"/>
    <w:rsid w:val="00C7696E"/>
    <w:rsid w:val="00C8036D"/>
    <w:rsid w:val="00C80A89"/>
    <w:rsid w:val="00C818D5"/>
    <w:rsid w:val="00C82055"/>
    <w:rsid w:val="00C82672"/>
    <w:rsid w:val="00C82804"/>
    <w:rsid w:val="00C82CDF"/>
    <w:rsid w:val="00C82DF9"/>
    <w:rsid w:val="00C82EF5"/>
    <w:rsid w:val="00C82FAB"/>
    <w:rsid w:val="00C83162"/>
    <w:rsid w:val="00C833C9"/>
    <w:rsid w:val="00C840F4"/>
    <w:rsid w:val="00C8471D"/>
    <w:rsid w:val="00C8474E"/>
    <w:rsid w:val="00C847DB"/>
    <w:rsid w:val="00C84A85"/>
    <w:rsid w:val="00C85DB4"/>
    <w:rsid w:val="00C86253"/>
    <w:rsid w:val="00C862FE"/>
    <w:rsid w:val="00C870CA"/>
    <w:rsid w:val="00C87A70"/>
    <w:rsid w:val="00C87EF3"/>
    <w:rsid w:val="00C9017C"/>
    <w:rsid w:val="00C90195"/>
    <w:rsid w:val="00C90196"/>
    <w:rsid w:val="00C9049B"/>
    <w:rsid w:val="00C9084F"/>
    <w:rsid w:val="00C90B4F"/>
    <w:rsid w:val="00C90C05"/>
    <w:rsid w:val="00C90C46"/>
    <w:rsid w:val="00C911D4"/>
    <w:rsid w:val="00C91D02"/>
    <w:rsid w:val="00C91D96"/>
    <w:rsid w:val="00C92165"/>
    <w:rsid w:val="00C922E5"/>
    <w:rsid w:val="00C926D9"/>
    <w:rsid w:val="00C928F3"/>
    <w:rsid w:val="00C92AE0"/>
    <w:rsid w:val="00C9310A"/>
    <w:rsid w:val="00C933B0"/>
    <w:rsid w:val="00C933FE"/>
    <w:rsid w:val="00C934C0"/>
    <w:rsid w:val="00C934D2"/>
    <w:rsid w:val="00C9380F"/>
    <w:rsid w:val="00C93F04"/>
    <w:rsid w:val="00C94C10"/>
    <w:rsid w:val="00C955C1"/>
    <w:rsid w:val="00C956FE"/>
    <w:rsid w:val="00C95827"/>
    <w:rsid w:val="00C95AF6"/>
    <w:rsid w:val="00C95C4F"/>
    <w:rsid w:val="00C95CD7"/>
    <w:rsid w:val="00C964F0"/>
    <w:rsid w:val="00C967DA"/>
    <w:rsid w:val="00C97667"/>
    <w:rsid w:val="00CA0247"/>
    <w:rsid w:val="00CA0809"/>
    <w:rsid w:val="00CA088E"/>
    <w:rsid w:val="00CA13AA"/>
    <w:rsid w:val="00CA16D4"/>
    <w:rsid w:val="00CA29A1"/>
    <w:rsid w:val="00CA31C7"/>
    <w:rsid w:val="00CA322A"/>
    <w:rsid w:val="00CA36D5"/>
    <w:rsid w:val="00CA425F"/>
    <w:rsid w:val="00CA470D"/>
    <w:rsid w:val="00CA4BE8"/>
    <w:rsid w:val="00CA4C50"/>
    <w:rsid w:val="00CA5040"/>
    <w:rsid w:val="00CA54D2"/>
    <w:rsid w:val="00CA5DAB"/>
    <w:rsid w:val="00CA63ED"/>
    <w:rsid w:val="00CA6BAB"/>
    <w:rsid w:val="00CA6D3B"/>
    <w:rsid w:val="00CA724A"/>
    <w:rsid w:val="00CA7EAB"/>
    <w:rsid w:val="00CB0688"/>
    <w:rsid w:val="00CB2324"/>
    <w:rsid w:val="00CB2570"/>
    <w:rsid w:val="00CB2AEB"/>
    <w:rsid w:val="00CB35B9"/>
    <w:rsid w:val="00CB373B"/>
    <w:rsid w:val="00CB37D2"/>
    <w:rsid w:val="00CB3999"/>
    <w:rsid w:val="00CB39DE"/>
    <w:rsid w:val="00CB3C7A"/>
    <w:rsid w:val="00CB4913"/>
    <w:rsid w:val="00CB50E3"/>
    <w:rsid w:val="00CB5225"/>
    <w:rsid w:val="00CB66BA"/>
    <w:rsid w:val="00CB6A88"/>
    <w:rsid w:val="00CB6D96"/>
    <w:rsid w:val="00CB702D"/>
    <w:rsid w:val="00CB7613"/>
    <w:rsid w:val="00CB7DF8"/>
    <w:rsid w:val="00CC0183"/>
    <w:rsid w:val="00CC02CC"/>
    <w:rsid w:val="00CC0681"/>
    <w:rsid w:val="00CC0B13"/>
    <w:rsid w:val="00CC0F59"/>
    <w:rsid w:val="00CC162E"/>
    <w:rsid w:val="00CC17C2"/>
    <w:rsid w:val="00CC17E9"/>
    <w:rsid w:val="00CC1A1F"/>
    <w:rsid w:val="00CC1B30"/>
    <w:rsid w:val="00CC31D5"/>
    <w:rsid w:val="00CC39C7"/>
    <w:rsid w:val="00CC39E3"/>
    <w:rsid w:val="00CC3ACE"/>
    <w:rsid w:val="00CC3B52"/>
    <w:rsid w:val="00CC4389"/>
    <w:rsid w:val="00CC4438"/>
    <w:rsid w:val="00CC4D26"/>
    <w:rsid w:val="00CC5442"/>
    <w:rsid w:val="00CC5460"/>
    <w:rsid w:val="00CC64D3"/>
    <w:rsid w:val="00CC6886"/>
    <w:rsid w:val="00CC7A5F"/>
    <w:rsid w:val="00CC7D1D"/>
    <w:rsid w:val="00CD046D"/>
    <w:rsid w:val="00CD051E"/>
    <w:rsid w:val="00CD0AB6"/>
    <w:rsid w:val="00CD1FC9"/>
    <w:rsid w:val="00CD25E3"/>
    <w:rsid w:val="00CD2A2A"/>
    <w:rsid w:val="00CD306E"/>
    <w:rsid w:val="00CD31A3"/>
    <w:rsid w:val="00CD34AC"/>
    <w:rsid w:val="00CD3808"/>
    <w:rsid w:val="00CD3984"/>
    <w:rsid w:val="00CD4E93"/>
    <w:rsid w:val="00CD504D"/>
    <w:rsid w:val="00CD5914"/>
    <w:rsid w:val="00CD5C86"/>
    <w:rsid w:val="00CD5D16"/>
    <w:rsid w:val="00CD66A3"/>
    <w:rsid w:val="00CD69DC"/>
    <w:rsid w:val="00CD6BE4"/>
    <w:rsid w:val="00CD6F0C"/>
    <w:rsid w:val="00CD75CE"/>
    <w:rsid w:val="00CE05C3"/>
    <w:rsid w:val="00CE08A9"/>
    <w:rsid w:val="00CE12DD"/>
    <w:rsid w:val="00CE16E7"/>
    <w:rsid w:val="00CE2222"/>
    <w:rsid w:val="00CE2452"/>
    <w:rsid w:val="00CE2611"/>
    <w:rsid w:val="00CE2759"/>
    <w:rsid w:val="00CE28F3"/>
    <w:rsid w:val="00CE2F19"/>
    <w:rsid w:val="00CE338D"/>
    <w:rsid w:val="00CE3979"/>
    <w:rsid w:val="00CE3A2A"/>
    <w:rsid w:val="00CE3B6F"/>
    <w:rsid w:val="00CE4152"/>
    <w:rsid w:val="00CE50D9"/>
    <w:rsid w:val="00CE5AE1"/>
    <w:rsid w:val="00CE60BE"/>
    <w:rsid w:val="00CE75AD"/>
    <w:rsid w:val="00CE75CD"/>
    <w:rsid w:val="00CF0628"/>
    <w:rsid w:val="00CF1019"/>
    <w:rsid w:val="00CF1693"/>
    <w:rsid w:val="00CF2128"/>
    <w:rsid w:val="00CF24F4"/>
    <w:rsid w:val="00CF279F"/>
    <w:rsid w:val="00CF287A"/>
    <w:rsid w:val="00CF2893"/>
    <w:rsid w:val="00CF2EAA"/>
    <w:rsid w:val="00CF3407"/>
    <w:rsid w:val="00CF348E"/>
    <w:rsid w:val="00CF3714"/>
    <w:rsid w:val="00CF3A03"/>
    <w:rsid w:val="00CF3E47"/>
    <w:rsid w:val="00CF45C9"/>
    <w:rsid w:val="00CF4652"/>
    <w:rsid w:val="00CF4BBC"/>
    <w:rsid w:val="00CF535A"/>
    <w:rsid w:val="00CF580F"/>
    <w:rsid w:val="00CF5DDC"/>
    <w:rsid w:val="00CF5E6E"/>
    <w:rsid w:val="00CF652F"/>
    <w:rsid w:val="00CF68AF"/>
    <w:rsid w:val="00CF6AA7"/>
    <w:rsid w:val="00CF6C73"/>
    <w:rsid w:val="00CF6D1C"/>
    <w:rsid w:val="00D007C7"/>
    <w:rsid w:val="00D009F7"/>
    <w:rsid w:val="00D01051"/>
    <w:rsid w:val="00D016CA"/>
    <w:rsid w:val="00D018AA"/>
    <w:rsid w:val="00D0193D"/>
    <w:rsid w:val="00D01E2C"/>
    <w:rsid w:val="00D02671"/>
    <w:rsid w:val="00D029AD"/>
    <w:rsid w:val="00D030A0"/>
    <w:rsid w:val="00D034CA"/>
    <w:rsid w:val="00D035B4"/>
    <w:rsid w:val="00D03880"/>
    <w:rsid w:val="00D03B6E"/>
    <w:rsid w:val="00D03C72"/>
    <w:rsid w:val="00D03D78"/>
    <w:rsid w:val="00D040C3"/>
    <w:rsid w:val="00D04387"/>
    <w:rsid w:val="00D04B0B"/>
    <w:rsid w:val="00D056B6"/>
    <w:rsid w:val="00D0596A"/>
    <w:rsid w:val="00D05973"/>
    <w:rsid w:val="00D066F6"/>
    <w:rsid w:val="00D067C5"/>
    <w:rsid w:val="00D06AA7"/>
    <w:rsid w:val="00D06BF3"/>
    <w:rsid w:val="00D10514"/>
    <w:rsid w:val="00D10AF3"/>
    <w:rsid w:val="00D10B5E"/>
    <w:rsid w:val="00D10C3A"/>
    <w:rsid w:val="00D11129"/>
    <w:rsid w:val="00D1131C"/>
    <w:rsid w:val="00D113E5"/>
    <w:rsid w:val="00D114E2"/>
    <w:rsid w:val="00D115DA"/>
    <w:rsid w:val="00D1206E"/>
    <w:rsid w:val="00D124C1"/>
    <w:rsid w:val="00D12710"/>
    <w:rsid w:val="00D12890"/>
    <w:rsid w:val="00D13572"/>
    <w:rsid w:val="00D13A32"/>
    <w:rsid w:val="00D13AFC"/>
    <w:rsid w:val="00D13B60"/>
    <w:rsid w:val="00D15007"/>
    <w:rsid w:val="00D153D6"/>
    <w:rsid w:val="00D153EB"/>
    <w:rsid w:val="00D15F79"/>
    <w:rsid w:val="00D1631F"/>
    <w:rsid w:val="00D16345"/>
    <w:rsid w:val="00D16790"/>
    <w:rsid w:val="00D16F39"/>
    <w:rsid w:val="00D1726D"/>
    <w:rsid w:val="00D17604"/>
    <w:rsid w:val="00D176A8"/>
    <w:rsid w:val="00D208F1"/>
    <w:rsid w:val="00D218DA"/>
    <w:rsid w:val="00D21989"/>
    <w:rsid w:val="00D219F1"/>
    <w:rsid w:val="00D21AB9"/>
    <w:rsid w:val="00D21B1A"/>
    <w:rsid w:val="00D21C8B"/>
    <w:rsid w:val="00D21E37"/>
    <w:rsid w:val="00D220B8"/>
    <w:rsid w:val="00D228E6"/>
    <w:rsid w:val="00D23381"/>
    <w:rsid w:val="00D2383A"/>
    <w:rsid w:val="00D247E3"/>
    <w:rsid w:val="00D248E2"/>
    <w:rsid w:val="00D249FF"/>
    <w:rsid w:val="00D25207"/>
    <w:rsid w:val="00D25820"/>
    <w:rsid w:val="00D25AC3"/>
    <w:rsid w:val="00D26730"/>
    <w:rsid w:val="00D26A60"/>
    <w:rsid w:val="00D26C5B"/>
    <w:rsid w:val="00D272A2"/>
    <w:rsid w:val="00D27747"/>
    <w:rsid w:val="00D30237"/>
    <w:rsid w:val="00D308D5"/>
    <w:rsid w:val="00D30D71"/>
    <w:rsid w:val="00D31463"/>
    <w:rsid w:val="00D314B5"/>
    <w:rsid w:val="00D31577"/>
    <w:rsid w:val="00D31C65"/>
    <w:rsid w:val="00D323D8"/>
    <w:rsid w:val="00D323EB"/>
    <w:rsid w:val="00D32838"/>
    <w:rsid w:val="00D32A27"/>
    <w:rsid w:val="00D32EDC"/>
    <w:rsid w:val="00D341DC"/>
    <w:rsid w:val="00D342AC"/>
    <w:rsid w:val="00D34997"/>
    <w:rsid w:val="00D34A0C"/>
    <w:rsid w:val="00D34B8D"/>
    <w:rsid w:val="00D354CD"/>
    <w:rsid w:val="00D35985"/>
    <w:rsid w:val="00D35B78"/>
    <w:rsid w:val="00D35BBF"/>
    <w:rsid w:val="00D35D9A"/>
    <w:rsid w:val="00D35E83"/>
    <w:rsid w:val="00D37048"/>
    <w:rsid w:val="00D372CF"/>
    <w:rsid w:val="00D3753C"/>
    <w:rsid w:val="00D3767B"/>
    <w:rsid w:val="00D37C22"/>
    <w:rsid w:val="00D400CA"/>
    <w:rsid w:val="00D40247"/>
    <w:rsid w:val="00D402B4"/>
    <w:rsid w:val="00D40483"/>
    <w:rsid w:val="00D405B8"/>
    <w:rsid w:val="00D40AB0"/>
    <w:rsid w:val="00D40BC7"/>
    <w:rsid w:val="00D40CE8"/>
    <w:rsid w:val="00D411DA"/>
    <w:rsid w:val="00D41953"/>
    <w:rsid w:val="00D4199A"/>
    <w:rsid w:val="00D4357D"/>
    <w:rsid w:val="00D43A1A"/>
    <w:rsid w:val="00D43ADC"/>
    <w:rsid w:val="00D43F95"/>
    <w:rsid w:val="00D44B32"/>
    <w:rsid w:val="00D44D36"/>
    <w:rsid w:val="00D44FE3"/>
    <w:rsid w:val="00D45D6E"/>
    <w:rsid w:val="00D468D0"/>
    <w:rsid w:val="00D500BF"/>
    <w:rsid w:val="00D507E9"/>
    <w:rsid w:val="00D51324"/>
    <w:rsid w:val="00D51AF5"/>
    <w:rsid w:val="00D51E78"/>
    <w:rsid w:val="00D53A52"/>
    <w:rsid w:val="00D53C7B"/>
    <w:rsid w:val="00D53FD2"/>
    <w:rsid w:val="00D5480B"/>
    <w:rsid w:val="00D5480D"/>
    <w:rsid w:val="00D54828"/>
    <w:rsid w:val="00D5535B"/>
    <w:rsid w:val="00D55444"/>
    <w:rsid w:val="00D55F80"/>
    <w:rsid w:val="00D560A9"/>
    <w:rsid w:val="00D564E3"/>
    <w:rsid w:val="00D565F5"/>
    <w:rsid w:val="00D5739B"/>
    <w:rsid w:val="00D574F2"/>
    <w:rsid w:val="00D57DF3"/>
    <w:rsid w:val="00D600C5"/>
    <w:rsid w:val="00D6023D"/>
    <w:rsid w:val="00D61214"/>
    <w:rsid w:val="00D61322"/>
    <w:rsid w:val="00D618A6"/>
    <w:rsid w:val="00D61B98"/>
    <w:rsid w:val="00D61D16"/>
    <w:rsid w:val="00D61E7D"/>
    <w:rsid w:val="00D6202A"/>
    <w:rsid w:val="00D621F4"/>
    <w:rsid w:val="00D63182"/>
    <w:rsid w:val="00D638F7"/>
    <w:rsid w:val="00D63DB8"/>
    <w:rsid w:val="00D647DF"/>
    <w:rsid w:val="00D64816"/>
    <w:rsid w:val="00D64A0B"/>
    <w:rsid w:val="00D64DFF"/>
    <w:rsid w:val="00D64ECA"/>
    <w:rsid w:val="00D64EED"/>
    <w:rsid w:val="00D65630"/>
    <w:rsid w:val="00D65CAC"/>
    <w:rsid w:val="00D664A7"/>
    <w:rsid w:val="00D665B2"/>
    <w:rsid w:val="00D66C2E"/>
    <w:rsid w:val="00D66D09"/>
    <w:rsid w:val="00D66F82"/>
    <w:rsid w:val="00D66FB1"/>
    <w:rsid w:val="00D670E6"/>
    <w:rsid w:val="00D67D8E"/>
    <w:rsid w:val="00D67F51"/>
    <w:rsid w:val="00D704BE"/>
    <w:rsid w:val="00D7062C"/>
    <w:rsid w:val="00D71E73"/>
    <w:rsid w:val="00D72216"/>
    <w:rsid w:val="00D72D44"/>
    <w:rsid w:val="00D72D94"/>
    <w:rsid w:val="00D72DB6"/>
    <w:rsid w:val="00D72EDA"/>
    <w:rsid w:val="00D731F8"/>
    <w:rsid w:val="00D73986"/>
    <w:rsid w:val="00D73F04"/>
    <w:rsid w:val="00D745DD"/>
    <w:rsid w:val="00D74855"/>
    <w:rsid w:val="00D74A56"/>
    <w:rsid w:val="00D76FD2"/>
    <w:rsid w:val="00D77220"/>
    <w:rsid w:val="00D7741A"/>
    <w:rsid w:val="00D7762D"/>
    <w:rsid w:val="00D77C2A"/>
    <w:rsid w:val="00D800FE"/>
    <w:rsid w:val="00D81261"/>
    <w:rsid w:val="00D812B7"/>
    <w:rsid w:val="00D8132B"/>
    <w:rsid w:val="00D8178B"/>
    <w:rsid w:val="00D82597"/>
    <w:rsid w:val="00D842A0"/>
    <w:rsid w:val="00D847DE"/>
    <w:rsid w:val="00D84AF7"/>
    <w:rsid w:val="00D851FF"/>
    <w:rsid w:val="00D85C9E"/>
    <w:rsid w:val="00D85F28"/>
    <w:rsid w:val="00D86A5B"/>
    <w:rsid w:val="00D86C32"/>
    <w:rsid w:val="00D9011C"/>
    <w:rsid w:val="00D9035F"/>
    <w:rsid w:val="00D90A99"/>
    <w:rsid w:val="00D91142"/>
    <w:rsid w:val="00D923DF"/>
    <w:rsid w:val="00D925FC"/>
    <w:rsid w:val="00D92B45"/>
    <w:rsid w:val="00D92BD2"/>
    <w:rsid w:val="00D92CFD"/>
    <w:rsid w:val="00D92E3A"/>
    <w:rsid w:val="00D9305B"/>
    <w:rsid w:val="00D9418D"/>
    <w:rsid w:val="00D94C7A"/>
    <w:rsid w:val="00D94E38"/>
    <w:rsid w:val="00D95163"/>
    <w:rsid w:val="00D95198"/>
    <w:rsid w:val="00D954A4"/>
    <w:rsid w:val="00D95A39"/>
    <w:rsid w:val="00D95F8A"/>
    <w:rsid w:val="00D96A67"/>
    <w:rsid w:val="00D96D27"/>
    <w:rsid w:val="00D97017"/>
    <w:rsid w:val="00D9741F"/>
    <w:rsid w:val="00D97AA2"/>
    <w:rsid w:val="00DA07C7"/>
    <w:rsid w:val="00DA1160"/>
    <w:rsid w:val="00DA26ED"/>
    <w:rsid w:val="00DA27EC"/>
    <w:rsid w:val="00DA2D46"/>
    <w:rsid w:val="00DA3375"/>
    <w:rsid w:val="00DA34D6"/>
    <w:rsid w:val="00DA3698"/>
    <w:rsid w:val="00DA38AD"/>
    <w:rsid w:val="00DA3989"/>
    <w:rsid w:val="00DA3F27"/>
    <w:rsid w:val="00DA3F73"/>
    <w:rsid w:val="00DA4720"/>
    <w:rsid w:val="00DA4748"/>
    <w:rsid w:val="00DA4D0E"/>
    <w:rsid w:val="00DA547A"/>
    <w:rsid w:val="00DA64CB"/>
    <w:rsid w:val="00DA7903"/>
    <w:rsid w:val="00DA7B6A"/>
    <w:rsid w:val="00DA7E02"/>
    <w:rsid w:val="00DB0092"/>
    <w:rsid w:val="00DB02B4"/>
    <w:rsid w:val="00DB0954"/>
    <w:rsid w:val="00DB1088"/>
    <w:rsid w:val="00DB1850"/>
    <w:rsid w:val="00DB18AD"/>
    <w:rsid w:val="00DB257D"/>
    <w:rsid w:val="00DB2955"/>
    <w:rsid w:val="00DB2EFE"/>
    <w:rsid w:val="00DB4798"/>
    <w:rsid w:val="00DB4970"/>
    <w:rsid w:val="00DB513D"/>
    <w:rsid w:val="00DB5B76"/>
    <w:rsid w:val="00DB611D"/>
    <w:rsid w:val="00DB66C9"/>
    <w:rsid w:val="00DB696F"/>
    <w:rsid w:val="00DB7181"/>
    <w:rsid w:val="00DB7BDB"/>
    <w:rsid w:val="00DC09AE"/>
    <w:rsid w:val="00DC0B0F"/>
    <w:rsid w:val="00DC1374"/>
    <w:rsid w:val="00DC1595"/>
    <w:rsid w:val="00DC1A0F"/>
    <w:rsid w:val="00DC212E"/>
    <w:rsid w:val="00DC257D"/>
    <w:rsid w:val="00DC33C4"/>
    <w:rsid w:val="00DC3652"/>
    <w:rsid w:val="00DC36CD"/>
    <w:rsid w:val="00DC3E63"/>
    <w:rsid w:val="00DC415A"/>
    <w:rsid w:val="00DC4171"/>
    <w:rsid w:val="00DC4194"/>
    <w:rsid w:val="00DC43C9"/>
    <w:rsid w:val="00DC5625"/>
    <w:rsid w:val="00DC58BB"/>
    <w:rsid w:val="00DC5B65"/>
    <w:rsid w:val="00DC649E"/>
    <w:rsid w:val="00DC6A28"/>
    <w:rsid w:val="00DC6D6D"/>
    <w:rsid w:val="00DC7581"/>
    <w:rsid w:val="00DC7FE3"/>
    <w:rsid w:val="00DD13FE"/>
    <w:rsid w:val="00DD155C"/>
    <w:rsid w:val="00DD1B09"/>
    <w:rsid w:val="00DD2397"/>
    <w:rsid w:val="00DD2949"/>
    <w:rsid w:val="00DD2BA0"/>
    <w:rsid w:val="00DD303D"/>
    <w:rsid w:val="00DD30F5"/>
    <w:rsid w:val="00DD39E9"/>
    <w:rsid w:val="00DD3D36"/>
    <w:rsid w:val="00DD3E11"/>
    <w:rsid w:val="00DD4C5F"/>
    <w:rsid w:val="00DD601D"/>
    <w:rsid w:val="00DD6124"/>
    <w:rsid w:val="00DD6416"/>
    <w:rsid w:val="00DD67CC"/>
    <w:rsid w:val="00DD6EBC"/>
    <w:rsid w:val="00DD7FB6"/>
    <w:rsid w:val="00DE0227"/>
    <w:rsid w:val="00DE072E"/>
    <w:rsid w:val="00DE10A3"/>
    <w:rsid w:val="00DE157A"/>
    <w:rsid w:val="00DE185E"/>
    <w:rsid w:val="00DE1978"/>
    <w:rsid w:val="00DE1B6F"/>
    <w:rsid w:val="00DE1F4E"/>
    <w:rsid w:val="00DE2A3E"/>
    <w:rsid w:val="00DE4175"/>
    <w:rsid w:val="00DE4466"/>
    <w:rsid w:val="00DE5764"/>
    <w:rsid w:val="00DE5FC7"/>
    <w:rsid w:val="00DE6BFC"/>
    <w:rsid w:val="00DE6DA6"/>
    <w:rsid w:val="00DE7168"/>
    <w:rsid w:val="00DE745D"/>
    <w:rsid w:val="00DE7DE4"/>
    <w:rsid w:val="00DF0314"/>
    <w:rsid w:val="00DF04D7"/>
    <w:rsid w:val="00DF070F"/>
    <w:rsid w:val="00DF0A40"/>
    <w:rsid w:val="00DF0DF2"/>
    <w:rsid w:val="00DF0E6A"/>
    <w:rsid w:val="00DF11EC"/>
    <w:rsid w:val="00DF284E"/>
    <w:rsid w:val="00DF2E38"/>
    <w:rsid w:val="00DF372B"/>
    <w:rsid w:val="00DF386C"/>
    <w:rsid w:val="00DF3A0F"/>
    <w:rsid w:val="00DF3C28"/>
    <w:rsid w:val="00DF3EFA"/>
    <w:rsid w:val="00DF4694"/>
    <w:rsid w:val="00DF4B18"/>
    <w:rsid w:val="00DF5173"/>
    <w:rsid w:val="00DF5D1D"/>
    <w:rsid w:val="00DF647A"/>
    <w:rsid w:val="00DF6824"/>
    <w:rsid w:val="00DF69F7"/>
    <w:rsid w:val="00DF6A86"/>
    <w:rsid w:val="00DF7014"/>
    <w:rsid w:val="00DF7052"/>
    <w:rsid w:val="00DF7EA2"/>
    <w:rsid w:val="00E001BA"/>
    <w:rsid w:val="00E002CD"/>
    <w:rsid w:val="00E002F8"/>
    <w:rsid w:val="00E003C0"/>
    <w:rsid w:val="00E00533"/>
    <w:rsid w:val="00E0078B"/>
    <w:rsid w:val="00E00F05"/>
    <w:rsid w:val="00E02754"/>
    <w:rsid w:val="00E037DC"/>
    <w:rsid w:val="00E03D55"/>
    <w:rsid w:val="00E0427B"/>
    <w:rsid w:val="00E04406"/>
    <w:rsid w:val="00E0525B"/>
    <w:rsid w:val="00E05645"/>
    <w:rsid w:val="00E062F2"/>
    <w:rsid w:val="00E073C2"/>
    <w:rsid w:val="00E078FD"/>
    <w:rsid w:val="00E07C5F"/>
    <w:rsid w:val="00E1076D"/>
    <w:rsid w:val="00E10947"/>
    <w:rsid w:val="00E11E4E"/>
    <w:rsid w:val="00E1216C"/>
    <w:rsid w:val="00E12362"/>
    <w:rsid w:val="00E127BA"/>
    <w:rsid w:val="00E12AE6"/>
    <w:rsid w:val="00E12D51"/>
    <w:rsid w:val="00E12E97"/>
    <w:rsid w:val="00E12FAB"/>
    <w:rsid w:val="00E13523"/>
    <w:rsid w:val="00E1485F"/>
    <w:rsid w:val="00E14988"/>
    <w:rsid w:val="00E149E3"/>
    <w:rsid w:val="00E151AE"/>
    <w:rsid w:val="00E155AB"/>
    <w:rsid w:val="00E1567E"/>
    <w:rsid w:val="00E15F44"/>
    <w:rsid w:val="00E162EA"/>
    <w:rsid w:val="00E16436"/>
    <w:rsid w:val="00E16A27"/>
    <w:rsid w:val="00E1727F"/>
    <w:rsid w:val="00E17970"/>
    <w:rsid w:val="00E17CA2"/>
    <w:rsid w:val="00E20348"/>
    <w:rsid w:val="00E207E5"/>
    <w:rsid w:val="00E20B82"/>
    <w:rsid w:val="00E218F6"/>
    <w:rsid w:val="00E21E77"/>
    <w:rsid w:val="00E23228"/>
    <w:rsid w:val="00E234B8"/>
    <w:rsid w:val="00E23667"/>
    <w:rsid w:val="00E24030"/>
    <w:rsid w:val="00E251FB"/>
    <w:rsid w:val="00E254E7"/>
    <w:rsid w:val="00E255CE"/>
    <w:rsid w:val="00E25655"/>
    <w:rsid w:val="00E256CB"/>
    <w:rsid w:val="00E25BF7"/>
    <w:rsid w:val="00E25C12"/>
    <w:rsid w:val="00E264D8"/>
    <w:rsid w:val="00E26531"/>
    <w:rsid w:val="00E26BD7"/>
    <w:rsid w:val="00E26C6A"/>
    <w:rsid w:val="00E270B0"/>
    <w:rsid w:val="00E27451"/>
    <w:rsid w:val="00E27904"/>
    <w:rsid w:val="00E27C92"/>
    <w:rsid w:val="00E30044"/>
    <w:rsid w:val="00E30176"/>
    <w:rsid w:val="00E302C6"/>
    <w:rsid w:val="00E305AB"/>
    <w:rsid w:val="00E30C83"/>
    <w:rsid w:val="00E30E41"/>
    <w:rsid w:val="00E315E1"/>
    <w:rsid w:val="00E31686"/>
    <w:rsid w:val="00E31D28"/>
    <w:rsid w:val="00E31D9B"/>
    <w:rsid w:val="00E31DF3"/>
    <w:rsid w:val="00E324C1"/>
    <w:rsid w:val="00E32918"/>
    <w:rsid w:val="00E3297A"/>
    <w:rsid w:val="00E32F5A"/>
    <w:rsid w:val="00E3352A"/>
    <w:rsid w:val="00E34100"/>
    <w:rsid w:val="00E34EB5"/>
    <w:rsid w:val="00E35866"/>
    <w:rsid w:val="00E358BA"/>
    <w:rsid w:val="00E35F10"/>
    <w:rsid w:val="00E365B4"/>
    <w:rsid w:val="00E37107"/>
    <w:rsid w:val="00E377EE"/>
    <w:rsid w:val="00E37E24"/>
    <w:rsid w:val="00E401CD"/>
    <w:rsid w:val="00E40CDE"/>
    <w:rsid w:val="00E417B2"/>
    <w:rsid w:val="00E41A14"/>
    <w:rsid w:val="00E41CB5"/>
    <w:rsid w:val="00E4253A"/>
    <w:rsid w:val="00E42C69"/>
    <w:rsid w:val="00E43435"/>
    <w:rsid w:val="00E43F74"/>
    <w:rsid w:val="00E440A7"/>
    <w:rsid w:val="00E443EC"/>
    <w:rsid w:val="00E45102"/>
    <w:rsid w:val="00E452D3"/>
    <w:rsid w:val="00E4581D"/>
    <w:rsid w:val="00E45CB1"/>
    <w:rsid w:val="00E46256"/>
    <w:rsid w:val="00E464F5"/>
    <w:rsid w:val="00E47665"/>
    <w:rsid w:val="00E47F63"/>
    <w:rsid w:val="00E50032"/>
    <w:rsid w:val="00E50A8B"/>
    <w:rsid w:val="00E50D06"/>
    <w:rsid w:val="00E51631"/>
    <w:rsid w:val="00E5174F"/>
    <w:rsid w:val="00E5177F"/>
    <w:rsid w:val="00E5208A"/>
    <w:rsid w:val="00E5259C"/>
    <w:rsid w:val="00E52B9A"/>
    <w:rsid w:val="00E52DDF"/>
    <w:rsid w:val="00E533B3"/>
    <w:rsid w:val="00E53540"/>
    <w:rsid w:val="00E540D5"/>
    <w:rsid w:val="00E54926"/>
    <w:rsid w:val="00E54CAA"/>
    <w:rsid w:val="00E559F9"/>
    <w:rsid w:val="00E55A68"/>
    <w:rsid w:val="00E55CF1"/>
    <w:rsid w:val="00E55D8C"/>
    <w:rsid w:val="00E55F60"/>
    <w:rsid w:val="00E55F75"/>
    <w:rsid w:val="00E56052"/>
    <w:rsid w:val="00E56489"/>
    <w:rsid w:val="00E574AD"/>
    <w:rsid w:val="00E5754E"/>
    <w:rsid w:val="00E5758C"/>
    <w:rsid w:val="00E57E5E"/>
    <w:rsid w:val="00E57EBE"/>
    <w:rsid w:val="00E57F24"/>
    <w:rsid w:val="00E60606"/>
    <w:rsid w:val="00E60AF8"/>
    <w:rsid w:val="00E60C85"/>
    <w:rsid w:val="00E60F5F"/>
    <w:rsid w:val="00E6192C"/>
    <w:rsid w:val="00E61FAE"/>
    <w:rsid w:val="00E6243F"/>
    <w:rsid w:val="00E62752"/>
    <w:rsid w:val="00E6285B"/>
    <w:rsid w:val="00E63631"/>
    <w:rsid w:val="00E63A35"/>
    <w:rsid w:val="00E649E3"/>
    <w:rsid w:val="00E64DCC"/>
    <w:rsid w:val="00E64F45"/>
    <w:rsid w:val="00E652B5"/>
    <w:rsid w:val="00E65453"/>
    <w:rsid w:val="00E65B01"/>
    <w:rsid w:val="00E65D77"/>
    <w:rsid w:val="00E665F8"/>
    <w:rsid w:val="00E66868"/>
    <w:rsid w:val="00E6689B"/>
    <w:rsid w:val="00E66FE6"/>
    <w:rsid w:val="00E674AC"/>
    <w:rsid w:val="00E674EE"/>
    <w:rsid w:val="00E67644"/>
    <w:rsid w:val="00E707FE"/>
    <w:rsid w:val="00E70BCA"/>
    <w:rsid w:val="00E70F20"/>
    <w:rsid w:val="00E71159"/>
    <w:rsid w:val="00E719A0"/>
    <w:rsid w:val="00E71DFB"/>
    <w:rsid w:val="00E71EE3"/>
    <w:rsid w:val="00E720A2"/>
    <w:rsid w:val="00E73F21"/>
    <w:rsid w:val="00E73FB3"/>
    <w:rsid w:val="00E740A6"/>
    <w:rsid w:val="00E74A7A"/>
    <w:rsid w:val="00E74D4F"/>
    <w:rsid w:val="00E74E58"/>
    <w:rsid w:val="00E752AB"/>
    <w:rsid w:val="00E753F3"/>
    <w:rsid w:val="00E75D70"/>
    <w:rsid w:val="00E763B6"/>
    <w:rsid w:val="00E76FD3"/>
    <w:rsid w:val="00E779D3"/>
    <w:rsid w:val="00E8009F"/>
    <w:rsid w:val="00E80109"/>
    <w:rsid w:val="00E80354"/>
    <w:rsid w:val="00E80BEE"/>
    <w:rsid w:val="00E80E71"/>
    <w:rsid w:val="00E817A2"/>
    <w:rsid w:val="00E825A2"/>
    <w:rsid w:val="00E82736"/>
    <w:rsid w:val="00E82B5C"/>
    <w:rsid w:val="00E82CD8"/>
    <w:rsid w:val="00E84339"/>
    <w:rsid w:val="00E8435D"/>
    <w:rsid w:val="00E84683"/>
    <w:rsid w:val="00E857EF"/>
    <w:rsid w:val="00E85BBB"/>
    <w:rsid w:val="00E868B7"/>
    <w:rsid w:val="00E86A9E"/>
    <w:rsid w:val="00E86C12"/>
    <w:rsid w:val="00E86D25"/>
    <w:rsid w:val="00E8709A"/>
    <w:rsid w:val="00E87135"/>
    <w:rsid w:val="00E877F2"/>
    <w:rsid w:val="00E87973"/>
    <w:rsid w:val="00E90375"/>
    <w:rsid w:val="00E90FE5"/>
    <w:rsid w:val="00E915F8"/>
    <w:rsid w:val="00E91E60"/>
    <w:rsid w:val="00E92011"/>
    <w:rsid w:val="00E92ABC"/>
    <w:rsid w:val="00E93150"/>
    <w:rsid w:val="00E93269"/>
    <w:rsid w:val="00E934E8"/>
    <w:rsid w:val="00E93598"/>
    <w:rsid w:val="00E93E58"/>
    <w:rsid w:val="00E943C8"/>
    <w:rsid w:val="00E94D35"/>
    <w:rsid w:val="00E95521"/>
    <w:rsid w:val="00E95541"/>
    <w:rsid w:val="00E9597E"/>
    <w:rsid w:val="00E95B73"/>
    <w:rsid w:val="00E96333"/>
    <w:rsid w:val="00E967A9"/>
    <w:rsid w:val="00E97278"/>
    <w:rsid w:val="00E97506"/>
    <w:rsid w:val="00E97649"/>
    <w:rsid w:val="00E9788C"/>
    <w:rsid w:val="00E978BA"/>
    <w:rsid w:val="00E97937"/>
    <w:rsid w:val="00E97A1C"/>
    <w:rsid w:val="00E97EE3"/>
    <w:rsid w:val="00E97F9F"/>
    <w:rsid w:val="00EA022E"/>
    <w:rsid w:val="00EA098D"/>
    <w:rsid w:val="00EA0B5B"/>
    <w:rsid w:val="00EA0CE4"/>
    <w:rsid w:val="00EA0F0E"/>
    <w:rsid w:val="00EA1536"/>
    <w:rsid w:val="00EA1A75"/>
    <w:rsid w:val="00EA1F88"/>
    <w:rsid w:val="00EA20A8"/>
    <w:rsid w:val="00EA210C"/>
    <w:rsid w:val="00EA219A"/>
    <w:rsid w:val="00EA221C"/>
    <w:rsid w:val="00EA26D6"/>
    <w:rsid w:val="00EA3877"/>
    <w:rsid w:val="00EA3DE3"/>
    <w:rsid w:val="00EA4562"/>
    <w:rsid w:val="00EA4887"/>
    <w:rsid w:val="00EA4AFA"/>
    <w:rsid w:val="00EA4DD3"/>
    <w:rsid w:val="00EA5385"/>
    <w:rsid w:val="00EA658F"/>
    <w:rsid w:val="00EA7653"/>
    <w:rsid w:val="00EB0747"/>
    <w:rsid w:val="00EB1218"/>
    <w:rsid w:val="00EB1EE6"/>
    <w:rsid w:val="00EB2A6A"/>
    <w:rsid w:val="00EB30B7"/>
    <w:rsid w:val="00EB32E2"/>
    <w:rsid w:val="00EB3CE1"/>
    <w:rsid w:val="00EB51DF"/>
    <w:rsid w:val="00EB5844"/>
    <w:rsid w:val="00EB5A98"/>
    <w:rsid w:val="00EB5F20"/>
    <w:rsid w:val="00EB630E"/>
    <w:rsid w:val="00EB6338"/>
    <w:rsid w:val="00EB64B4"/>
    <w:rsid w:val="00EB6BFA"/>
    <w:rsid w:val="00EB6C72"/>
    <w:rsid w:val="00EB6DA5"/>
    <w:rsid w:val="00EB72B6"/>
    <w:rsid w:val="00EB73C9"/>
    <w:rsid w:val="00EB77C3"/>
    <w:rsid w:val="00EC1088"/>
    <w:rsid w:val="00EC15F7"/>
    <w:rsid w:val="00EC162E"/>
    <w:rsid w:val="00EC1AFB"/>
    <w:rsid w:val="00EC3015"/>
    <w:rsid w:val="00EC36E8"/>
    <w:rsid w:val="00EC3831"/>
    <w:rsid w:val="00EC3FD2"/>
    <w:rsid w:val="00EC4D02"/>
    <w:rsid w:val="00EC5F1A"/>
    <w:rsid w:val="00EC601B"/>
    <w:rsid w:val="00EC752E"/>
    <w:rsid w:val="00EC7AC7"/>
    <w:rsid w:val="00EC7BED"/>
    <w:rsid w:val="00ED0586"/>
    <w:rsid w:val="00ED11B4"/>
    <w:rsid w:val="00ED1A32"/>
    <w:rsid w:val="00ED1EE1"/>
    <w:rsid w:val="00ED20D3"/>
    <w:rsid w:val="00ED2350"/>
    <w:rsid w:val="00ED2EE9"/>
    <w:rsid w:val="00ED33D6"/>
    <w:rsid w:val="00ED3545"/>
    <w:rsid w:val="00ED3575"/>
    <w:rsid w:val="00ED3EDE"/>
    <w:rsid w:val="00ED4E05"/>
    <w:rsid w:val="00ED5689"/>
    <w:rsid w:val="00ED6370"/>
    <w:rsid w:val="00ED651A"/>
    <w:rsid w:val="00ED7181"/>
    <w:rsid w:val="00ED774F"/>
    <w:rsid w:val="00ED7B8B"/>
    <w:rsid w:val="00ED7E79"/>
    <w:rsid w:val="00EE0279"/>
    <w:rsid w:val="00EE0D91"/>
    <w:rsid w:val="00EE1402"/>
    <w:rsid w:val="00EE183D"/>
    <w:rsid w:val="00EE1B5F"/>
    <w:rsid w:val="00EE2208"/>
    <w:rsid w:val="00EE22AB"/>
    <w:rsid w:val="00EE3135"/>
    <w:rsid w:val="00EE3628"/>
    <w:rsid w:val="00EE462E"/>
    <w:rsid w:val="00EE4630"/>
    <w:rsid w:val="00EE4D6B"/>
    <w:rsid w:val="00EE602E"/>
    <w:rsid w:val="00EE6111"/>
    <w:rsid w:val="00EE66E5"/>
    <w:rsid w:val="00EE67A1"/>
    <w:rsid w:val="00EE68A0"/>
    <w:rsid w:val="00EE6A79"/>
    <w:rsid w:val="00EE6F7C"/>
    <w:rsid w:val="00EE7705"/>
    <w:rsid w:val="00EE79F6"/>
    <w:rsid w:val="00EE7CD6"/>
    <w:rsid w:val="00EF0091"/>
    <w:rsid w:val="00EF0234"/>
    <w:rsid w:val="00EF08AC"/>
    <w:rsid w:val="00EF107E"/>
    <w:rsid w:val="00EF1AD3"/>
    <w:rsid w:val="00EF1E6F"/>
    <w:rsid w:val="00EF1E88"/>
    <w:rsid w:val="00EF1EB9"/>
    <w:rsid w:val="00EF2594"/>
    <w:rsid w:val="00EF2E0C"/>
    <w:rsid w:val="00EF3398"/>
    <w:rsid w:val="00EF33EB"/>
    <w:rsid w:val="00EF3648"/>
    <w:rsid w:val="00EF3E5C"/>
    <w:rsid w:val="00EF3F7C"/>
    <w:rsid w:val="00EF44F7"/>
    <w:rsid w:val="00EF4568"/>
    <w:rsid w:val="00EF4E4D"/>
    <w:rsid w:val="00EF5070"/>
    <w:rsid w:val="00EF59BB"/>
    <w:rsid w:val="00EF5E91"/>
    <w:rsid w:val="00EF601F"/>
    <w:rsid w:val="00EF6ED0"/>
    <w:rsid w:val="00EF729B"/>
    <w:rsid w:val="00EF79E0"/>
    <w:rsid w:val="00F013A9"/>
    <w:rsid w:val="00F01722"/>
    <w:rsid w:val="00F024B9"/>
    <w:rsid w:val="00F024F8"/>
    <w:rsid w:val="00F0292F"/>
    <w:rsid w:val="00F02968"/>
    <w:rsid w:val="00F037C0"/>
    <w:rsid w:val="00F03C96"/>
    <w:rsid w:val="00F04F8D"/>
    <w:rsid w:val="00F066B2"/>
    <w:rsid w:val="00F06BEC"/>
    <w:rsid w:val="00F079E9"/>
    <w:rsid w:val="00F07B54"/>
    <w:rsid w:val="00F11A62"/>
    <w:rsid w:val="00F11E61"/>
    <w:rsid w:val="00F1235C"/>
    <w:rsid w:val="00F1249D"/>
    <w:rsid w:val="00F1290A"/>
    <w:rsid w:val="00F12B2F"/>
    <w:rsid w:val="00F12F21"/>
    <w:rsid w:val="00F13219"/>
    <w:rsid w:val="00F13BCC"/>
    <w:rsid w:val="00F1427A"/>
    <w:rsid w:val="00F14879"/>
    <w:rsid w:val="00F14D4F"/>
    <w:rsid w:val="00F15161"/>
    <w:rsid w:val="00F15447"/>
    <w:rsid w:val="00F159F3"/>
    <w:rsid w:val="00F15F24"/>
    <w:rsid w:val="00F160DD"/>
    <w:rsid w:val="00F1681F"/>
    <w:rsid w:val="00F16D96"/>
    <w:rsid w:val="00F175CA"/>
    <w:rsid w:val="00F17A8A"/>
    <w:rsid w:val="00F206ED"/>
    <w:rsid w:val="00F2072F"/>
    <w:rsid w:val="00F20735"/>
    <w:rsid w:val="00F214AA"/>
    <w:rsid w:val="00F229BD"/>
    <w:rsid w:val="00F2313D"/>
    <w:rsid w:val="00F2387E"/>
    <w:rsid w:val="00F242FE"/>
    <w:rsid w:val="00F256AB"/>
    <w:rsid w:val="00F258B7"/>
    <w:rsid w:val="00F26039"/>
    <w:rsid w:val="00F26697"/>
    <w:rsid w:val="00F268CF"/>
    <w:rsid w:val="00F2690E"/>
    <w:rsid w:val="00F269B5"/>
    <w:rsid w:val="00F26D43"/>
    <w:rsid w:val="00F26F04"/>
    <w:rsid w:val="00F27EF7"/>
    <w:rsid w:val="00F316F5"/>
    <w:rsid w:val="00F31C40"/>
    <w:rsid w:val="00F31EB8"/>
    <w:rsid w:val="00F33333"/>
    <w:rsid w:val="00F3361A"/>
    <w:rsid w:val="00F34175"/>
    <w:rsid w:val="00F342F4"/>
    <w:rsid w:val="00F34334"/>
    <w:rsid w:val="00F34E66"/>
    <w:rsid w:val="00F35320"/>
    <w:rsid w:val="00F3582A"/>
    <w:rsid w:val="00F3591D"/>
    <w:rsid w:val="00F35C58"/>
    <w:rsid w:val="00F35DE6"/>
    <w:rsid w:val="00F36028"/>
    <w:rsid w:val="00F36032"/>
    <w:rsid w:val="00F36219"/>
    <w:rsid w:val="00F36B70"/>
    <w:rsid w:val="00F36D30"/>
    <w:rsid w:val="00F371AA"/>
    <w:rsid w:val="00F40E4D"/>
    <w:rsid w:val="00F4102C"/>
    <w:rsid w:val="00F41B2F"/>
    <w:rsid w:val="00F41B6D"/>
    <w:rsid w:val="00F41C56"/>
    <w:rsid w:val="00F41DCC"/>
    <w:rsid w:val="00F41EE1"/>
    <w:rsid w:val="00F431D4"/>
    <w:rsid w:val="00F43202"/>
    <w:rsid w:val="00F436FC"/>
    <w:rsid w:val="00F4382D"/>
    <w:rsid w:val="00F43852"/>
    <w:rsid w:val="00F43C49"/>
    <w:rsid w:val="00F44FF1"/>
    <w:rsid w:val="00F455C7"/>
    <w:rsid w:val="00F45A57"/>
    <w:rsid w:val="00F46E03"/>
    <w:rsid w:val="00F47086"/>
    <w:rsid w:val="00F47911"/>
    <w:rsid w:val="00F506AF"/>
    <w:rsid w:val="00F50723"/>
    <w:rsid w:val="00F50AF2"/>
    <w:rsid w:val="00F51315"/>
    <w:rsid w:val="00F52552"/>
    <w:rsid w:val="00F52FD0"/>
    <w:rsid w:val="00F53AA3"/>
    <w:rsid w:val="00F5429E"/>
    <w:rsid w:val="00F5435E"/>
    <w:rsid w:val="00F549FE"/>
    <w:rsid w:val="00F54B6E"/>
    <w:rsid w:val="00F55162"/>
    <w:rsid w:val="00F55332"/>
    <w:rsid w:val="00F554B8"/>
    <w:rsid w:val="00F55CD9"/>
    <w:rsid w:val="00F574B3"/>
    <w:rsid w:val="00F5765E"/>
    <w:rsid w:val="00F57889"/>
    <w:rsid w:val="00F57D2B"/>
    <w:rsid w:val="00F57DFD"/>
    <w:rsid w:val="00F60243"/>
    <w:rsid w:val="00F605C2"/>
    <w:rsid w:val="00F60D7C"/>
    <w:rsid w:val="00F6196D"/>
    <w:rsid w:val="00F61C6A"/>
    <w:rsid w:val="00F62C61"/>
    <w:rsid w:val="00F62EF1"/>
    <w:rsid w:val="00F633AF"/>
    <w:rsid w:val="00F633BC"/>
    <w:rsid w:val="00F63708"/>
    <w:rsid w:val="00F64098"/>
    <w:rsid w:val="00F64B9F"/>
    <w:rsid w:val="00F64BE4"/>
    <w:rsid w:val="00F652C8"/>
    <w:rsid w:val="00F658C5"/>
    <w:rsid w:val="00F65B32"/>
    <w:rsid w:val="00F667A9"/>
    <w:rsid w:val="00F66969"/>
    <w:rsid w:val="00F670BA"/>
    <w:rsid w:val="00F6781C"/>
    <w:rsid w:val="00F67AC0"/>
    <w:rsid w:val="00F70113"/>
    <w:rsid w:val="00F704FA"/>
    <w:rsid w:val="00F7129B"/>
    <w:rsid w:val="00F71622"/>
    <w:rsid w:val="00F71800"/>
    <w:rsid w:val="00F71D77"/>
    <w:rsid w:val="00F71F20"/>
    <w:rsid w:val="00F729B0"/>
    <w:rsid w:val="00F72C97"/>
    <w:rsid w:val="00F73307"/>
    <w:rsid w:val="00F7362B"/>
    <w:rsid w:val="00F73C03"/>
    <w:rsid w:val="00F73D08"/>
    <w:rsid w:val="00F73FF7"/>
    <w:rsid w:val="00F74BD6"/>
    <w:rsid w:val="00F754CC"/>
    <w:rsid w:val="00F755A0"/>
    <w:rsid w:val="00F7569D"/>
    <w:rsid w:val="00F75B01"/>
    <w:rsid w:val="00F75BFE"/>
    <w:rsid w:val="00F771E8"/>
    <w:rsid w:val="00F77D17"/>
    <w:rsid w:val="00F77D97"/>
    <w:rsid w:val="00F803EB"/>
    <w:rsid w:val="00F80E83"/>
    <w:rsid w:val="00F815FD"/>
    <w:rsid w:val="00F81CCC"/>
    <w:rsid w:val="00F81F22"/>
    <w:rsid w:val="00F82385"/>
    <w:rsid w:val="00F829C8"/>
    <w:rsid w:val="00F82FB2"/>
    <w:rsid w:val="00F830E6"/>
    <w:rsid w:val="00F83C3E"/>
    <w:rsid w:val="00F8412D"/>
    <w:rsid w:val="00F85C5B"/>
    <w:rsid w:val="00F86219"/>
    <w:rsid w:val="00F8764A"/>
    <w:rsid w:val="00F90118"/>
    <w:rsid w:val="00F90270"/>
    <w:rsid w:val="00F90B17"/>
    <w:rsid w:val="00F90B36"/>
    <w:rsid w:val="00F90CB5"/>
    <w:rsid w:val="00F91A23"/>
    <w:rsid w:val="00F91D06"/>
    <w:rsid w:val="00F92112"/>
    <w:rsid w:val="00F9243D"/>
    <w:rsid w:val="00F925FC"/>
    <w:rsid w:val="00F933BF"/>
    <w:rsid w:val="00F9363A"/>
    <w:rsid w:val="00F9406B"/>
    <w:rsid w:val="00F947CE"/>
    <w:rsid w:val="00F9488C"/>
    <w:rsid w:val="00F948D8"/>
    <w:rsid w:val="00F948E4"/>
    <w:rsid w:val="00F94A22"/>
    <w:rsid w:val="00F94E1C"/>
    <w:rsid w:val="00F958F2"/>
    <w:rsid w:val="00F95C5F"/>
    <w:rsid w:val="00F95DC6"/>
    <w:rsid w:val="00F969F2"/>
    <w:rsid w:val="00F972BA"/>
    <w:rsid w:val="00F97733"/>
    <w:rsid w:val="00FA093C"/>
    <w:rsid w:val="00FA1BC5"/>
    <w:rsid w:val="00FA21DF"/>
    <w:rsid w:val="00FA2C19"/>
    <w:rsid w:val="00FA36F6"/>
    <w:rsid w:val="00FA3715"/>
    <w:rsid w:val="00FA3E21"/>
    <w:rsid w:val="00FA4353"/>
    <w:rsid w:val="00FA494F"/>
    <w:rsid w:val="00FA564B"/>
    <w:rsid w:val="00FA5C9E"/>
    <w:rsid w:val="00FA61D1"/>
    <w:rsid w:val="00FA626F"/>
    <w:rsid w:val="00FA6465"/>
    <w:rsid w:val="00FA6F25"/>
    <w:rsid w:val="00FA7218"/>
    <w:rsid w:val="00FA751D"/>
    <w:rsid w:val="00FA7B83"/>
    <w:rsid w:val="00FA7DF6"/>
    <w:rsid w:val="00FB02FC"/>
    <w:rsid w:val="00FB0322"/>
    <w:rsid w:val="00FB0507"/>
    <w:rsid w:val="00FB23AE"/>
    <w:rsid w:val="00FB2FE5"/>
    <w:rsid w:val="00FB3159"/>
    <w:rsid w:val="00FB3232"/>
    <w:rsid w:val="00FB3E26"/>
    <w:rsid w:val="00FB57A3"/>
    <w:rsid w:val="00FB58E0"/>
    <w:rsid w:val="00FB600A"/>
    <w:rsid w:val="00FB668A"/>
    <w:rsid w:val="00FB6C90"/>
    <w:rsid w:val="00FB6E00"/>
    <w:rsid w:val="00FB6EE4"/>
    <w:rsid w:val="00FB751C"/>
    <w:rsid w:val="00FB7609"/>
    <w:rsid w:val="00FB78BD"/>
    <w:rsid w:val="00FB7B14"/>
    <w:rsid w:val="00FC03E3"/>
    <w:rsid w:val="00FC0A17"/>
    <w:rsid w:val="00FC10AD"/>
    <w:rsid w:val="00FC1199"/>
    <w:rsid w:val="00FC1F73"/>
    <w:rsid w:val="00FC21CC"/>
    <w:rsid w:val="00FC28CC"/>
    <w:rsid w:val="00FC327F"/>
    <w:rsid w:val="00FC33EA"/>
    <w:rsid w:val="00FC3E36"/>
    <w:rsid w:val="00FC3EDC"/>
    <w:rsid w:val="00FC5741"/>
    <w:rsid w:val="00FC5C6C"/>
    <w:rsid w:val="00FC64B1"/>
    <w:rsid w:val="00FC79AE"/>
    <w:rsid w:val="00FD0D9A"/>
    <w:rsid w:val="00FD0E92"/>
    <w:rsid w:val="00FD130B"/>
    <w:rsid w:val="00FD144F"/>
    <w:rsid w:val="00FD1B97"/>
    <w:rsid w:val="00FD2390"/>
    <w:rsid w:val="00FD24F4"/>
    <w:rsid w:val="00FD29E0"/>
    <w:rsid w:val="00FD40C9"/>
    <w:rsid w:val="00FD41AE"/>
    <w:rsid w:val="00FD524B"/>
    <w:rsid w:val="00FD5F73"/>
    <w:rsid w:val="00FD641B"/>
    <w:rsid w:val="00FD68D7"/>
    <w:rsid w:val="00FD6A34"/>
    <w:rsid w:val="00FD7490"/>
    <w:rsid w:val="00FE0A48"/>
    <w:rsid w:val="00FE163D"/>
    <w:rsid w:val="00FE1796"/>
    <w:rsid w:val="00FE1F12"/>
    <w:rsid w:val="00FE263C"/>
    <w:rsid w:val="00FE2931"/>
    <w:rsid w:val="00FE2A26"/>
    <w:rsid w:val="00FE3D83"/>
    <w:rsid w:val="00FE41C8"/>
    <w:rsid w:val="00FE53ED"/>
    <w:rsid w:val="00FE598E"/>
    <w:rsid w:val="00FE6084"/>
    <w:rsid w:val="00FE61AA"/>
    <w:rsid w:val="00FE6A7C"/>
    <w:rsid w:val="00FE6BCA"/>
    <w:rsid w:val="00FE7E77"/>
    <w:rsid w:val="00FF0189"/>
    <w:rsid w:val="00FF0738"/>
    <w:rsid w:val="00FF084B"/>
    <w:rsid w:val="00FF0BD4"/>
    <w:rsid w:val="00FF0DF5"/>
    <w:rsid w:val="00FF1446"/>
    <w:rsid w:val="00FF1929"/>
    <w:rsid w:val="00FF2591"/>
    <w:rsid w:val="00FF2F6D"/>
    <w:rsid w:val="00FF3C35"/>
    <w:rsid w:val="00FF63C1"/>
    <w:rsid w:val="00FF6601"/>
    <w:rsid w:val="00FF6ABF"/>
    <w:rsid w:val="00FF7B8B"/>
    <w:rsid w:val="00FF7CFD"/>
    <w:rsid w:val="00FF7D10"/>
    <w:rsid w:val="4B63D3D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413E17"/>
  <w15:docId w15:val="{C7D18519-2CAF-43AF-BF26-A41E2F605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95AF6"/>
    <w:pPr>
      <w:spacing w:after="200" w:line="288" w:lineRule="auto"/>
    </w:pPr>
    <w:rPr>
      <w:rFonts w:ascii="Arial" w:eastAsiaTheme="minorEastAsia" w:hAnsi="Arial"/>
      <w:szCs w:val="24"/>
      <w:lang w:eastAsia="ja-JP"/>
    </w:rPr>
  </w:style>
  <w:style w:type="paragraph" w:styleId="Heading1">
    <w:name w:val="heading 1"/>
    <w:basedOn w:val="Normal"/>
    <w:next w:val="Normal"/>
    <w:link w:val="Heading1Char"/>
    <w:uiPriority w:val="9"/>
    <w:qFormat/>
    <w:rsid w:val="00CC17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32A9D"/>
    <w:pPr>
      <w:pageBreakBefore/>
      <w:numPr>
        <w:numId w:val="1"/>
      </w:numPr>
      <w:spacing w:before="200" w:after="240"/>
      <w:outlineLvl w:val="1"/>
    </w:pPr>
    <w:rPr>
      <w:rFonts w:eastAsiaTheme="majorEastAsia" w:cstheme="majorBidi"/>
      <w:b/>
      <w:bCs/>
      <w:color w:val="6A2875"/>
      <w:sz w:val="44"/>
      <w:szCs w:val="26"/>
    </w:rPr>
  </w:style>
  <w:style w:type="paragraph" w:styleId="Heading3">
    <w:name w:val="heading 3"/>
    <w:basedOn w:val="Normal"/>
    <w:next w:val="Normal"/>
    <w:link w:val="Heading3Char"/>
    <w:uiPriority w:val="9"/>
    <w:unhideWhenUsed/>
    <w:qFormat/>
    <w:rsid w:val="00BD4A22"/>
    <w:pPr>
      <w:numPr>
        <w:ilvl w:val="1"/>
        <w:numId w:val="1"/>
      </w:numPr>
      <w:outlineLvl w:val="2"/>
    </w:pPr>
    <w:rPr>
      <w:rFonts w:eastAsiaTheme="minorHAnsi"/>
      <w:b/>
      <w:color w:val="6A2875"/>
      <w:sz w:val="36"/>
      <w:szCs w:val="44"/>
    </w:rPr>
  </w:style>
  <w:style w:type="paragraph" w:styleId="Heading4">
    <w:name w:val="heading 4"/>
    <w:basedOn w:val="Heading3"/>
    <w:next w:val="Normal"/>
    <w:link w:val="Heading4Char"/>
    <w:uiPriority w:val="9"/>
    <w:unhideWhenUsed/>
    <w:qFormat/>
    <w:rsid w:val="00BD4A22"/>
    <w:pPr>
      <w:keepNext/>
      <w:numPr>
        <w:ilvl w:val="2"/>
      </w:numPr>
      <w:spacing w:before="240" w:after="240" w:line="269" w:lineRule="auto"/>
      <w:outlineLvl w:val="3"/>
    </w:pPr>
    <w:rPr>
      <w:sz w:val="30"/>
      <w:szCs w:val="30"/>
    </w:rPr>
  </w:style>
  <w:style w:type="paragraph" w:styleId="Heading5">
    <w:name w:val="heading 5"/>
    <w:basedOn w:val="FSRnormal"/>
    <w:next w:val="Normal"/>
    <w:link w:val="Heading5Char"/>
    <w:uiPriority w:val="9"/>
    <w:unhideWhenUsed/>
    <w:qFormat/>
    <w:rsid w:val="00911A3E"/>
    <w:pPr>
      <w:outlineLvl w:val="4"/>
    </w:pPr>
    <w:rPr>
      <w:b/>
      <w:color w:val="6B2976"/>
    </w:rPr>
  </w:style>
  <w:style w:type="paragraph" w:styleId="Heading6">
    <w:name w:val="heading 6"/>
    <w:basedOn w:val="Normal"/>
    <w:next w:val="Normal"/>
    <w:link w:val="Heading6Char"/>
    <w:uiPriority w:val="9"/>
    <w:unhideWhenUsed/>
    <w:qFormat/>
    <w:rsid w:val="004E667E"/>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E667E"/>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E667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E667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32A9D"/>
    <w:rPr>
      <w:rFonts w:ascii="Arial" w:eastAsiaTheme="majorEastAsia" w:hAnsi="Arial" w:cstheme="majorBidi"/>
      <w:b/>
      <w:bCs/>
      <w:color w:val="6A2875"/>
      <w:sz w:val="44"/>
      <w:szCs w:val="26"/>
      <w:lang w:eastAsia="ja-JP"/>
    </w:rPr>
  </w:style>
  <w:style w:type="character" w:customStyle="1" w:styleId="Heading3Char">
    <w:name w:val="Heading 3 Char"/>
    <w:basedOn w:val="DefaultParagraphFont"/>
    <w:link w:val="Heading3"/>
    <w:uiPriority w:val="9"/>
    <w:rsid w:val="00BD4A22"/>
    <w:rPr>
      <w:rFonts w:ascii="Arial" w:hAnsi="Arial"/>
      <w:b/>
      <w:color w:val="6A2875"/>
      <w:sz w:val="36"/>
      <w:szCs w:val="44"/>
      <w:lang w:eastAsia="ja-JP"/>
    </w:rPr>
  </w:style>
  <w:style w:type="character" w:customStyle="1" w:styleId="Heading4Char">
    <w:name w:val="Heading 4 Char"/>
    <w:basedOn w:val="DefaultParagraphFont"/>
    <w:link w:val="Heading4"/>
    <w:uiPriority w:val="9"/>
    <w:rsid w:val="00BD4A22"/>
    <w:rPr>
      <w:rFonts w:ascii="Arial" w:hAnsi="Arial"/>
      <w:b/>
      <w:color w:val="6A2875"/>
      <w:sz w:val="30"/>
      <w:szCs w:val="30"/>
      <w:lang w:eastAsia="ja-JP"/>
    </w:rPr>
  </w:style>
  <w:style w:type="paragraph" w:customStyle="1" w:styleId="BodyText1">
    <w:name w:val="Body Text1"/>
    <w:basedOn w:val="Normal"/>
    <w:link w:val="BodyText1Char"/>
    <w:rsid w:val="00BD4A22"/>
    <w:pPr>
      <w:spacing w:after="120" w:line="240" w:lineRule="auto"/>
    </w:pPr>
    <w:rPr>
      <w:rFonts w:eastAsia="MS Mincho" w:cs="FSMe-Bold"/>
      <w:spacing w:val="-2"/>
      <w:sz w:val="20"/>
      <w:szCs w:val="20"/>
      <w:lang w:eastAsia="en-US"/>
    </w:rPr>
  </w:style>
  <w:style w:type="character" w:styleId="CommentReference">
    <w:name w:val="annotation reference"/>
    <w:basedOn w:val="DefaultParagraphFont"/>
    <w:uiPriority w:val="99"/>
    <w:unhideWhenUsed/>
    <w:rsid w:val="00BD4A22"/>
    <w:rPr>
      <w:sz w:val="16"/>
      <w:szCs w:val="16"/>
    </w:rPr>
  </w:style>
  <w:style w:type="paragraph" w:styleId="CommentText">
    <w:name w:val="annotation text"/>
    <w:basedOn w:val="Normal"/>
    <w:link w:val="CommentTextChar"/>
    <w:uiPriority w:val="99"/>
    <w:unhideWhenUsed/>
    <w:rsid w:val="00BD4A22"/>
    <w:pPr>
      <w:spacing w:line="240" w:lineRule="auto"/>
    </w:pPr>
    <w:rPr>
      <w:sz w:val="20"/>
      <w:szCs w:val="20"/>
    </w:rPr>
  </w:style>
  <w:style w:type="character" w:customStyle="1" w:styleId="CommentTextChar">
    <w:name w:val="Comment Text Char"/>
    <w:basedOn w:val="DefaultParagraphFont"/>
    <w:link w:val="CommentText"/>
    <w:uiPriority w:val="99"/>
    <w:rsid w:val="00BD4A22"/>
    <w:rPr>
      <w:rFonts w:ascii="Arial" w:eastAsiaTheme="minorEastAsia" w:hAnsi="Arial"/>
      <w:sz w:val="20"/>
      <w:szCs w:val="20"/>
      <w:lang w:val="en-US" w:eastAsia="ja-JP"/>
    </w:rPr>
  </w:style>
  <w:style w:type="paragraph" w:customStyle="1" w:styleId="FSRHeading5">
    <w:name w:val="FSR_Heading5"/>
    <w:basedOn w:val="Normal"/>
    <w:link w:val="FSRHeading5Char"/>
    <w:qFormat/>
    <w:rsid w:val="007E5211"/>
    <w:pPr>
      <w:spacing w:before="200"/>
    </w:pPr>
    <w:rPr>
      <w:b/>
      <w:i/>
      <w:color w:val="D04506"/>
      <w:sz w:val="24"/>
    </w:rPr>
  </w:style>
  <w:style w:type="character" w:customStyle="1" w:styleId="FSRHeading5Char">
    <w:name w:val="FSR_Heading5 Char"/>
    <w:basedOn w:val="DefaultParagraphFont"/>
    <w:link w:val="FSRHeading5"/>
    <w:rsid w:val="007E5211"/>
    <w:rPr>
      <w:rFonts w:ascii="Arial" w:eastAsiaTheme="minorEastAsia" w:hAnsi="Arial"/>
      <w:b/>
      <w:i/>
      <w:color w:val="D04506"/>
      <w:sz w:val="24"/>
      <w:szCs w:val="24"/>
      <w:lang w:eastAsia="ja-JP"/>
    </w:rPr>
  </w:style>
  <w:style w:type="character" w:customStyle="1" w:styleId="BodyText1Char">
    <w:name w:val="Body Text1 Char"/>
    <w:basedOn w:val="DefaultParagraphFont"/>
    <w:link w:val="BodyText1"/>
    <w:locked/>
    <w:rsid w:val="00BD4A22"/>
    <w:rPr>
      <w:rFonts w:ascii="Arial" w:eastAsia="MS Mincho" w:hAnsi="Arial" w:cs="FSMe-Bold"/>
      <w:spacing w:val="-2"/>
      <w:sz w:val="20"/>
      <w:szCs w:val="20"/>
      <w:lang w:val="en-US"/>
    </w:rPr>
  </w:style>
  <w:style w:type="paragraph" w:styleId="BalloonText">
    <w:name w:val="Balloon Text"/>
    <w:basedOn w:val="Normal"/>
    <w:link w:val="BalloonTextChar"/>
    <w:uiPriority w:val="99"/>
    <w:unhideWhenUsed/>
    <w:rsid w:val="00BD4A22"/>
    <w:pPr>
      <w:numPr>
        <w:numId w:val="11"/>
      </w:num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D4A22"/>
    <w:rPr>
      <w:rFonts w:ascii="Segoe UI" w:eastAsiaTheme="minorEastAsia" w:hAnsi="Segoe UI" w:cs="Segoe UI"/>
      <w:sz w:val="18"/>
      <w:szCs w:val="18"/>
      <w:lang w:eastAsia="ja-JP"/>
    </w:rPr>
  </w:style>
  <w:style w:type="paragraph" w:styleId="Header">
    <w:name w:val="header"/>
    <w:basedOn w:val="Normal"/>
    <w:link w:val="HeaderChar"/>
    <w:uiPriority w:val="99"/>
    <w:unhideWhenUsed/>
    <w:rsid w:val="00BD4A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4A22"/>
    <w:rPr>
      <w:rFonts w:ascii="Arial" w:eastAsiaTheme="minorEastAsia" w:hAnsi="Arial"/>
      <w:szCs w:val="24"/>
      <w:lang w:val="en-US" w:eastAsia="ja-JP"/>
    </w:rPr>
  </w:style>
  <w:style w:type="paragraph" w:styleId="Footer">
    <w:name w:val="footer"/>
    <w:basedOn w:val="Normal"/>
    <w:link w:val="FooterChar"/>
    <w:uiPriority w:val="99"/>
    <w:unhideWhenUsed/>
    <w:rsid w:val="00BD4A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4A22"/>
    <w:rPr>
      <w:rFonts w:ascii="Arial" w:eastAsiaTheme="minorEastAsia" w:hAnsi="Arial"/>
      <w:szCs w:val="24"/>
      <w:lang w:val="en-US" w:eastAsia="ja-JP"/>
    </w:rPr>
  </w:style>
  <w:style w:type="paragraph" w:styleId="ListParagraph">
    <w:name w:val="List Paragraph"/>
    <w:aliases w:val="Recommendation,List Paragraph1,List Paragraph11,L,Bullet point,List Paragraph111,F5 List Paragraph,Dot pt,CV text,Table text,Medium Grid 1 - Accent 21,Numbered Paragraph,List Paragraph2,NFP GP Bulleted List,FooterText,numbered,列出段,Number"/>
    <w:basedOn w:val="Normal"/>
    <w:link w:val="ListParagraphChar"/>
    <w:uiPriority w:val="34"/>
    <w:qFormat/>
    <w:rsid w:val="00BD4A22"/>
    <w:pPr>
      <w:ind w:left="720"/>
      <w:contextualSpacing/>
    </w:pPr>
  </w:style>
  <w:style w:type="paragraph" w:customStyle="1" w:styleId="tablelistbullet">
    <w:name w:val="table list bullet"/>
    <w:basedOn w:val="ListParagraph"/>
    <w:rsid w:val="00BD4A22"/>
    <w:pPr>
      <w:numPr>
        <w:numId w:val="2"/>
      </w:numPr>
      <w:tabs>
        <w:tab w:val="num" w:pos="360"/>
      </w:tabs>
      <w:spacing w:after="120" w:line="240" w:lineRule="auto"/>
    </w:pPr>
    <w:rPr>
      <w:rFonts w:eastAsia="MS Mincho" w:cs="FSMe-Bold"/>
      <w:spacing w:val="-2"/>
      <w:sz w:val="20"/>
      <w:szCs w:val="20"/>
      <w:lang w:eastAsia="en-US"/>
    </w:rPr>
  </w:style>
  <w:style w:type="character" w:customStyle="1" w:styleId="ListParagraphChar">
    <w:name w:val="List Paragraph Char"/>
    <w:aliases w:val="Recommendation Char,List Paragraph1 Char,List Paragraph11 Char,L Char,Bullet point Char,List Paragraph111 Char,F5 List Paragraph Char,Dot pt Char,CV text Char,Table text Char,Medium Grid 1 - Accent 21 Char,Numbered Paragraph Char"/>
    <w:basedOn w:val="DefaultParagraphFont"/>
    <w:link w:val="ListParagraph"/>
    <w:uiPriority w:val="34"/>
    <w:qFormat/>
    <w:locked/>
    <w:rsid w:val="00BD4A22"/>
    <w:rPr>
      <w:rFonts w:ascii="Arial" w:eastAsiaTheme="minorEastAsia" w:hAnsi="Arial"/>
      <w:szCs w:val="24"/>
      <w:lang w:val="en-US" w:eastAsia="ja-JP"/>
    </w:rPr>
  </w:style>
  <w:style w:type="paragraph" w:customStyle="1" w:styleId="FSRlist">
    <w:name w:val="FSR_list"/>
    <w:basedOn w:val="ListParagraph"/>
    <w:link w:val="FSRlistChar"/>
    <w:qFormat/>
    <w:rsid w:val="00BD4A22"/>
    <w:pPr>
      <w:numPr>
        <w:numId w:val="4"/>
      </w:numPr>
      <w:spacing w:before="120" w:after="120"/>
      <w:contextualSpacing w:val="0"/>
    </w:pPr>
  </w:style>
  <w:style w:type="paragraph" w:customStyle="1" w:styleId="FSRsublist">
    <w:name w:val="FSR_sublist"/>
    <w:basedOn w:val="ListParagraph"/>
    <w:link w:val="FSRsublistChar"/>
    <w:qFormat/>
    <w:rsid w:val="00BD4A22"/>
    <w:pPr>
      <w:numPr>
        <w:ilvl w:val="1"/>
        <w:numId w:val="3"/>
      </w:numPr>
      <w:spacing w:after="0"/>
    </w:pPr>
  </w:style>
  <w:style w:type="character" w:customStyle="1" w:styleId="FSRlistChar">
    <w:name w:val="FSR_list Char"/>
    <w:basedOn w:val="ListParagraphChar"/>
    <w:link w:val="FSRlist"/>
    <w:rsid w:val="00BD4A22"/>
    <w:rPr>
      <w:rFonts w:ascii="Arial" w:eastAsiaTheme="minorEastAsia" w:hAnsi="Arial"/>
      <w:szCs w:val="24"/>
      <w:lang w:val="en-US" w:eastAsia="ja-JP"/>
    </w:rPr>
  </w:style>
  <w:style w:type="paragraph" w:customStyle="1" w:styleId="FSRnormal">
    <w:name w:val="FSR_normal"/>
    <w:basedOn w:val="Normal"/>
    <w:link w:val="FSRnormalChar"/>
    <w:qFormat/>
    <w:rsid w:val="00BD4A22"/>
    <w:pPr>
      <w:spacing w:before="240"/>
    </w:pPr>
  </w:style>
  <w:style w:type="character" w:customStyle="1" w:styleId="FSRnormalChar">
    <w:name w:val="FSR_normal Char"/>
    <w:basedOn w:val="DefaultParagraphFont"/>
    <w:link w:val="FSRnormal"/>
    <w:rsid w:val="00BD4A22"/>
    <w:rPr>
      <w:rFonts w:ascii="Arial" w:eastAsiaTheme="minorEastAsia" w:hAnsi="Arial"/>
      <w:szCs w:val="24"/>
      <w:lang w:val="en-US" w:eastAsia="ja-JP"/>
    </w:rPr>
  </w:style>
  <w:style w:type="paragraph" w:customStyle="1" w:styleId="FSRHeading2">
    <w:name w:val="FSR_Heading2"/>
    <w:basedOn w:val="Heading3"/>
    <w:link w:val="FSRHeading2Char"/>
    <w:qFormat/>
    <w:rsid w:val="00BD4A22"/>
    <w:pPr>
      <w:keepNext/>
      <w:numPr>
        <w:numId w:val="2"/>
      </w:numPr>
      <w:spacing w:before="480" w:after="120"/>
    </w:pPr>
  </w:style>
  <w:style w:type="character" w:customStyle="1" w:styleId="FSRHeading2Char">
    <w:name w:val="FSR_Heading2 Char"/>
    <w:basedOn w:val="Heading3Char"/>
    <w:link w:val="FSRHeading2"/>
    <w:rsid w:val="00BD4A22"/>
    <w:rPr>
      <w:rFonts w:ascii="Arial" w:hAnsi="Arial"/>
      <w:b/>
      <w:color w:val="6A2875"/>
      <w:sz w:val="36"/>
      <w:szCs w:val="44"/>
      <w:lang w:eastAsia="ja-JP"/>
    </w:rPr>
  </w:style>
  <w:style w:type="paragraph" w:customStyle="1" w:styleId="FSRzlegislation">
    <w:name w:val="FSR_zlegislation"/>
    <w:basedOn w:val="FSRsublist"/>
    <w:link w:val="FSRzlegislationChar"/>
    <w:qFormat/>
    <w:rsid w:val="00BD4A22"/>
    <w:pPr>
      <w:numPr>
        <w:ilvl w:val="0"/>
        <w:numId w:val="5"/>
      </w:numPr>
    </w:pPr>
    <w:rPr>
      <w:i/>
    </w:rPr>
  </w:style>
  <w:style w:type="character" w:customStyle="1" w:styleId="FSRzlegislationChar">
    <w:name w:val="FSR_zlegislation Char"/>
    <w:basedOn w:val="DefaultParagraphFont"/>
    <w:link w:val="FSRzlegislation"/>
    <w:rsid w:val="00BD4A22"/>
    <w:rPr>
      <w:rFonts w:ascii="Arial" w:eastAsiaTheme="minorEastAsia" w:hAnsi="Arial"/>
      <w:i/>
      <w:szCs w:val="24"/>
      <w:lang w:eastAsia="ja-JP"/>
    </w:rPr>
  </w:style>
  <w:style w:type="character" w:customStyle="1" w:styleId="Heading1Char">
    <w:name w:val="Heading 1 Char"/>
    <w:basedOn w:val="DefaultParagraphFont"/>
    <w:link w:val="Heading1"/>
    <w:uiPriority w:val="9"/>
    <w:rsid w:val="00CC17C2"/>
    <w:rPr>
      <w:rFonts w:asciiTheme="majorHAnsi" w:eastAsiaTheme="majorEastAsia" w:hAnsiTheme="majorHAnsi" w:cstheme="majorBidi"/>
      <w:color w:val="2E74B5" w:themeColor="accent1" w:themeShade="BF"/>
      <w:sz w:val="32"/>
      <w:szCs w:val="32"/>
      <w:lang w:val="en-US" w:eastAsia="ja-JP"/>
    </w:rPr>
  </w:style>
  <w:style w:type="paragraph" w:styleId="TOCHeading">
    <w:name w:val="TOC Heading"/>
    <w:basedOn w:val="Heading1"/>
    <w:next w:val="Normal"/>
    <w:uiPriority w:val="39"/>
    <w:unhideWhenUsed/>
    <w:qFormat/>
    <w:rsid w:val="00F667A9"/>
    <w:pPr>
      <w:spacing w:line="259" w:lineRule="auto"/>
      <w:outlineLvl w:val="9"/>
    </w:pPr>
    <w:rPr>
      <w:b/>
      <w:color w:val="6A2875"/>
      <w:lang w:eastAsia="en-US"/>
    </w:rPr>
  </w:style>
  <w:style w:type="paragraph" w:styleId="TOC2">
    <w:name w:val="toc 2"/>
    <w:basedOn w:val="Normal"/>
    <w:next w:val="Normal"/>
    <w:autoRedefine/>
    <w:uiPriority w:val="39"/>
    <w:unhideWhenUsed/>
    <w:rsid w:val="008D3CCD"/>
    <w:pPr>
      <w:tabs>
        <w:tab w:val="left" w:pos="660"/>
        <w:tab w:val="left" w:pos="1760"/>
        <w:tab w:val="right" w:leader="dot" w:pos="9016"/>
      </w:tabs>
      <w:spacing w:after="100"/>
      <w:ind w:left="220"/>
    </w:pPr>
  </w:style>
  <w:style w:type="paragraph" w:styleId="TOC3">
    <w:name w:val="toc 3"/>
    <w:basedOn w:val="Normal"/>
    <w:next w:val="Normal"/>
    <w:autoRedefine/>
    <w:uiPriority w:val="39"/>
    <w:unhideWhenUsed/>
    <w:rsid w:val="00260852"/>
    <w:pPr>
      <w:tabs>
        <w:tab w:val="left" w:pos="1100"/>
        <w:tab w:val="right" w:leader="dot" w:pos="9016"/>
      </w:tabs>
      <w:spacing w:after="100"/>
      <w:ind w:left="440"/>
    </w:pPr>
  </w:style>
  <w:style w:type="character" w:styleId="Hyperlink">
    <w:name w:val="Hyperlink"/>
    <w:basedOn w:val="DefaultParagraphFont"/>
    <w:uiPriority w:val="99"/>
    <w:unhideWhenUsed/>
    <w:rsid w:val="00CC17C2"/>
    <w:rPr>
      <w:color w:val="0563C1" w:themeColor="hyperlink"/>
      <w:u w:val="single"/>
    </w:rPr>
  </w:style>
  <w:style w:type="paragraph" w:styleId="FootnoteText">
    <w:name w:val="footnote text"/>
    <w:basedOn w:val="Normal"/>
    <w:link w:val="FootnoteTextChar"/>
    <w:uiPriority w:val="99"/>
    <w:unhideWhenUsed/>
    <w:qFormat/>
    <w:rsid w:val="0078552F"/>
    <w:pPr>
      <w:spacing w:after="0" w:line="240" w:lineRule="auto"/>
    </w:pPr>
    <w:rPr>
      <w:sz w:val="20"/>
      <w:szCs w:val="20"/>
    </w:rPr>
  </w:style>
  <w:style w:type="character" w:customStyle="1" w:styleId="FootnoteTextChar">
    <w:name w:val="Footnote Text Char"/>
    <w:basedOn w:val="DefaultParagraphFont"/>
    <w:link w:val="FootnoteText"/>
    <w:uiPriority w:val="99"/>
    <w:rsid w:val="0078552F"/>
    <w:rPr>
      <w:rFonts w:ascii="Arial" w:eastAsiaTheme="minorEastAsia" w:hAnsi="Arial"/>
      <w:sz w:val="20"/>
      <w:szCs w:val="20"/>
      <w:lang w:val="en-US" w:eastAsia="ja-JP"/>
    </w:rPr>
  </w:style>
  <w:style w:type="character" w:styleId="FootnoteReference">
    <w:name w:val="footnote reference"/>
    <w:basedOn w:val="DefaultParagraphFont"/>
    <w:uiPriority w:val="99"/>
    <w:unhideWhenUsed/>
    <w:rsid w:val="0078552F"/>
    <w:rPr>
      <w:vertAlign w:val="superscript"/>
    </w:rPr>
  </w:style>
  <w:style w:type="paragraph" w:customStyle="1" w:styleId="sectiontext">
    <w:name w:val="sectiontext"/>
    <w:basedOn w:val="Normal"/>
    <w:rsid w:val="00E25BF7"/>
    <w:pPr>
      <w:spacing w:before="100" w:beforeAutospacing="1" w:after="100" w:afterAutospacing="1" w:line="240" w:lineRule="auto"/>
    </w:pPr>
    <w:rPr>
      <w:rFonts w:ascii="Times New Roman" w:eastAsia="Times New Roman" w:hAnsi="Times New Roman" w:cs="Times New Roman"/>
      <w:sz w:val="24"/>
      <w:lang w:eastAsia="en-AU"/>
    </w:rPr>
  </w:style>
  <w:style w:type="paragraph" w:customStyle="1" w:styleId="paragraphtext">
    <w:name w:val="paragraphtext"/>
    <w:basedOn w:val="Normal"/>
    <w:rsid w:val="00E25BF7"/>
    <w:pPr>
      <w:spacing w:before="100" w:beforeAutospacing="1" w:after="100" w:afterAutospacing="1" w:line="240" w:lineRule="auto"/>
    </w:pPr>
    <w:rPr>
      <w:rFonts w:ascii="Times New Roman" w:eastAsia="Times New Roman" w:hAnsi="Times New Roman" w:cs="Times New Roman"/>
      <w:sz w:val="24"/>
      <w:lang w:eastAsia="en-AU"/>
    </w:rPr>
  </w:style>
  <w:style w:type="paragraph" w:customStyle="1" w:styleId="subparagraphtext">
    <w:name w:val="subparagraphtext"/>
    <w:basedOn w:val="Normal"/>
    <w:rsid w:val="00E25BF7"/>
    <w:pPr>
      <w:spacing w:before="100" w:beforeAutospacing="1" w:after="100" w:afterAutospacing="1" w:line="240" w:lineRule="auto"/>
    </w:pPr>
    <w:rPr>
      <w:rFonts w:ascii="Times New Roman" w:eastAsia="Times New Roman" w:hAnsi="Times New Roman" w:cs="Times New Roman"/>
      <w:sz w:val="24"/>
      <w:lang w:eastAsia="en-AU"/>
    </w:rPr>
  </w:style>
  <w:style w:type="paragraph" w:styleId="Caption">
    <w:name w:val="caption"/>
    <w:basedOn w:val="Normal"/>
    <w:next w:val="Normal"/>
    <w:link w:val="CaptionChar"/>
    <w:uiPriority w:val="35"/>
    <w:unhideWhenUsed/>
    <w:qFormat/>
    <w:rsid w:val="006D2A58"/>
    <w:pPr>
      <w:spacing w:line="240" w:lineRule="auto"/>
    </w:pPr>
    <w:rPr>
      <w:b/>
      <w:iCs/>
      <w:color w:val="000000" w:themeColor="text1"/>
      <w:szCs w:val="18"/>
    </w:rPr>
  </w:style>
  <w:style w:type="paragraph" w:customStyle="1" w:styleId="FSRNumberedList">
    <w:name w:val="FSR_NumberedList"/>
    <w:basedOn w:val="FSRlist"/>
    <w:link w:val="FSRNumberedListChar"/>
    <w:qFormat/>
    <w:rsid w:val="006B42A8"/>
    <w:pPr>
      <w:numPr>
        <w:numId w:val="6"/>
      </w:numPr>
    </w:pPr>
    <w:rPr>
      <w:rFonts w:cs="Arial"/>
    </w:rPr>
  </w:style>
  <w:style w:type="character" w:customStyle="1" w:styleId="FSRNumberedListChar">
    <w:name w:val="FSR_NumberedList Char"/>
    <w:basedOn w:val="FSRlistChar"/>
    <w:link w:val="FSRNumberedList"/>
    <w:rsid w:val="006B42A8"/>
    <w:rPr>
      <w:rFonts w:ascii="Arial" w:eastAsiaTheme="minorEastAsia" w:hAnsi="Arial" w:cs="Arial"/>
      <w:szCs w:val="24"/>
      <w:lang w:val="en-US" w:eastAsia="ja-JP"/>
    </w:rPr>
  </w:style>
  <w:style w:type="paragraph" w:styleId="CommentSubject">
    <w:name w:val="annotation subject"/>
    <w:basedOn w:val="CommentText"/>
    <w:next w:val="CommentText"/>
    <w:link w:val="CommentSubjectChar"/>
    <w:uiPriority w:val="99"/>
    <w:semiHidden/>
    <w:unhideWhenUsed/>
    <w:rsid w:val="004555AD"/>
    <w:rPr>
      <w:b/>
      <w:bCs/>
    </w:rPr>
  </w:style>
  <w:style w:type="character" w:customStyle="1" w:styleId="CommentSubjectChar">
    <w:name w:val="Comment Subject Char"/>
    <w:basedOn w:val="CommentTextChar"/>
    <w:link w:val="CommentSubject"/>
    <w:uiPriority w:val="99"/>
    <w:semiHidden/>
    <w:rsid w:val="004555AD"/>
    <w:rPr>
      <w:rFonts w:ascii="Arial" w:eastAsiaTheme="minorEastAsia" w:hAnsi="Arial"/>
      <w:b/>
      <w:bCs/>
      <w:sz w:val="20"/>
      <w:szCs w:val="20"/>
      <w:lang w:val="en-US" w:eastAsia="ja-JP"/>
    </w:rPr>
  </w:style>
  <w:style w:type="paragraph" w:customStyle="1" w:styleId="Tables">
    <w:name w:val="Tables"/>
    <w:basedOn w:val="Caption"/>
    <w:link w:val="TablesChar"/>
    <w:qFormat/>
    <w:rsid w:val="00F60243"/>
    <w:pPr>
      <w:keepNext/>
      <w:spacing w:after="120"/>
    </w:pPr>
    <w:rPr>
      <w:rFonts w:eastAsiaTheme="minorHAnsi"/>
      <w:bCs/>
      <w:iCs w:val="0"/>
      <w:color w:val="auto"/>
      <w:lang w:eastAsia="en-US"/>
    </w:rPr>
  </w:style>
  <w:style w:type="character" w:customStyle="1" w:styleId="TablesChar">
    <w:name w:val="Tables Char"/>
    <w:basedOn w:val="DefaultParagraphFont"/>
    <w:link w:val="Tables"/>
    <w:rsid w:val="00F60243"/>
    <w:rPr>
      <w:rFonts w:ascii="Arial" w:hAnsi="Arial"/>
      <w:b/>
      <w:bCs/>
      <w:szCs w:val="18"/>
    </w:rPr>
  </w:style>
  <w:style w:type="table" w:styleId="TableGrid">
    <w:name w:val="Table Grid"/>
    <w:basedOn w:val="TableNormal"/>
    <w:uiPriority w:val="39"/>
    <w:rsid w:val="00F712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26D8F"/>
    <w:rPr>
      <w:color w:val="954F72" w:themeColor="followedHyperlink"/>
      <w:u w:val="single"/>
    </w:rPr>
  </w:style>
  <w:style w:type="paragraph" w:customStyle="1" w:styleId="FSRHeading4">
    <w:name w:val="FSR_Heading4"/>
    <w:basedOn w:val="Normal"/>
    <w:link w:val="FSRHeading4Char"/>
    <w:qFormat/>
    <w:rsid w:val="00E752AB"/>
    <w:pPr>
      <w:keepNext/>
      <w:spacing w:before="240"/>
    </w:pPr>
    <w:rPr>
      <w:b/>
      <w:color w:val="6B2976"/>
      <w:sz w:val="25"/>
    </w:rPr>
  </w:style>
  <w:style w:type="character" w:customStyle="1" w:styleId="FSRHeading4Char">
    <w:name w:val="FSR_Heading4 Char"/>
    <w:basedOn w:val="DefaultParagraphFont"/>
    <w:link w:val="FSRHeading4"/>
    <w:rsid w:val="00E752AB"/>
    <w:rPr>
      <w:rFonts w:ascii="Arial" w:eastAsiaTheme="minorEastAsia" w:hAnsi="Arial"/>
      <w:b/>
      <w:color w:val="6B2976"/>
      <w:sz w:val="25"/>
      <w:szCs w:val="24"/>
      <w:lang w:eastAsia="ja-JP"/>
    </w:rPr>
  </w:style>
  <w:style w:type="paragraph" w:customStyle="1" w:styleId="FSRHeading3">
    <w:name w:val="FSR_Heading3"/>
    <w:basedOn w:val="Heading4"/>
    <w:link w:val="FSRHeading3Char"/>
    <w:qFormat/>
    <w:rsid w:val="009E1218"/>
    <w:pPr>
      <w:numPr>
        <w:numId w:val="2"/>
      </w:numPr>
      <w:spacing w:before="480"/>
    </w:pPr>
  </w:style>
  <w:style w:type="character" w:customStyle="1" w:styleId="FSRHeading3Char">
    <w:name w:val="FSR_Heading3 Char"/>
    <w:basedOn w:val="Heading4Char"/>
    <w:link w:val="FSRHeading3"/>
    <w:rsid w:val="009E1218"/>
    <w:rPr>
      <w:rFonts w:ascii="Arial" w:hAnsi="Arial"/>
      <w:b/>
      <w:color w:val="6A2875"/>
      <w:sz w:val="30"/>
      <w:szCs w:val="30"/>
      <w:lang w:eastAsia="ja-JP"/>
    </w:rPr>
  </w:style>
  <w:style w:type="paragraph" w:styleId="Revision">
    <w:name w:val="Revision"/>
    <w:hidden/>
    <w:uiPriority w:val="99"/>
    <w:semiHidden/>
    <w:rsid w:val="00D056B6"/>
    <w:pPr>
      <w:spacing w:after="0" w:line="240" w:lineRule="auto"/>
    </w:pPr>
    <w:rPr>
      <w:rFonts w:ascii="Arial" w:eastAsiaTheme="minorEastAsia" w:hAnsi="Arial"/>
      <w:szCs w:val="24"/>
      <w:lang w:val="en-US" w:eastAsia="ja-JP"/>
    </w:rPr>
  </w:style>
  <w:style w:type="character" w:customStyle="1" w:styleId="FSRsublistChar">
    <w:name w:val="FSR_sublist Char"/>
    <w:basedOn w:val="ListParagraphChar"/>
    <w:link w:val="FSRsublist"/>
    <w:rsid w:val="00F02968"/>
    <w:rPr>
      <w:rFonts w:ascii="Arial" w:eastAsiaTheme="minorEastAsia" w:hAnsi="Arial"/>
      <w:szCs w:val="24"/>
      <w:lang w:val="en-US" w:eastAsia="ja-JP"/>
    </w:rPr>
  </w:style>
  <w:style w:type="table" w:styleId="GridTable5Dark-Accent1">
    <w:name w:val="Grid Table 5 Dark Accent 1"/>
    <w:basedOn w:val="TableNormal"/>
    <w:uiPriority w:val="50"/>
    <w:rsid w:val="001548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eGrid1">
    <w:name w:val="Table Grid1"/>
    <w:basedOn w:val="TableNormal"/>
    <w:next w:val="TableGrid"/>
    <w:uiPriority w:val="39"/>
    <w:rsid w:val="00213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s">
    <w:name w:val="Figures"/>
    <w:basedOn w:val="Tables"/>
    <w:link w:val="FiguresChar"/>
    <w:qFormat/>
    <w:rsid w:val="00650643"/>
  </w:style>
  <w:style w:type="character" w:customStyle="1" w:styleId="FiguresChar">
    <w:name w:val="Figures Char"/>
    <w:basedOn w:val="TablesChar"/>
    <w:link w:val="Figures"/>
    <w:rsid w:val="00650643"/>
    <w:rPr>
      <w:rFonts w:ascii="Arial" w:hAnsi="Arial"/>
      <w:b/>
      <w:bCs/>
      <w:szCs w:val="18"/>
    </w:rPr>
  </w:style>
  <w:style w:type="paragraph" w:styleId="NormalWeb">
    <w:name w:val="Normal (Web)"/>
    <w:basedOn w:val="Normal"/>
    <w:uiPriority w:val="99"/>
    <w:semiHidden/>
    <w:unhideWhenUsed/>
    <w:rsid w:val="00650643"/>
    <w:pPr>
      <w:spacing w:before="100" w:beforeAutospacing="1" w:after="100" w:afterAutospacing="1" w:line="240" w:lineRule="auto"/>
    </w:pPr>
    <w:rPr>
      <w:rFonts w:ascii="Times New Roman" w:hAnsi="Times New Roman" w:cs="Times New Roman"/>
      <w:sz w:val="24"/>
      <w:lang w:eastAsia="en-AU"/>
    </w:rPr>
  </w:style>
  <w:style w:type="paragraph" w:styleId="IntenseQuote">
    <w:name w:val="Intense Quote"/>
    <w:basedOn w:val="Normal"/>
    <w:next w:val="Normal"/>
    <w:link w:val="IntenseQuoteChar"/>
    <w:uiPriority w:val="30"/>
    <w:qFormat/>
    <w:rsid w:val="0040768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0768F"/>
    <w:rPr>
      <w:rFonts w:ascii="Arial" w:eastAsiaTheme="minorEastAsia" w:hAnsi="Arial"/>
      <w:b/>
      <w:bCs/>
      <w:i/>
      <w:iCs/>
      <w:szCs w:val="24"/>
      <w:lang w:val="en-US" w:eastAsia="ja-JP"/>
    </w:rPr>
  </w:style>
  <w:style w:type="character" w:customStyle="1" w:styleId="CaptionChar">
    <w:name w:val="Caption Char"/>
    <w:basedOn w:val="DefaultParagraphFont"/>
    <w:link w:val="Caption"/>
    <w:uiPriority w:val="35"/>
    <w:rsid w:val="0040768F"/>
    <w:rPr>
      <w:rFonts w:ascii="Arial" w:eastAsiaTheme="minorEastAsia" w:hAnsi="Arial"/>
      <w:b/>
      <w:iCs/>
      <w:color w:val="000000" w:themeColor="text1"/>
      <w:szCs w:val="18"/>
      <w:lang w:val="en-US" w:eastAsia="ja-JP"/>
    </w:rPr>
  </w:style>
  <w:style w:type="paragraph" w:customStyle="1" w:styleId="Heading1-Nonumbers">
    <w:name w:val="Heading 1 - No numbers"/>
    <w:basedOn w:val="Normal"/>
    <w:link w:val="Heading1-NonumbersChar"/>
    <w:rsid w:val="00FF7CFD"/>
    <w:pPr>
      <w:spacing w:before="480" w:after="320" w:line="276" w:lineRule="auto"/>
      <w:contextualSpacing/>
      <w:outlineLvl w:val="0"/>
    </w:pPr>
    <w:rPr>
      <w:rFonts w:eastAsiaTheme="majorEastAsia" w:cstheme="majorBidi"/>
      <w:b/>
      <w:bCs/>
      <w:color w:val="ED7D31" w:themeColor="accent2"/>
      <w:sz w:val="36"/>
      <w:szCs w:val="36"/>
      <w:lang w:eastAsia="en-US"/>
    </w:rPr>
  </w:style>
  <w:style w:type="character" w:customStyle="1" w:styleId="Heading1-NonumbersChar">
    <w:name w:val="Heading 1 - No numbers Char"/>
    <w:basedOn w:val="DefaultParagraphFont"/>
    <w:link w:val="Heading1-Nonumbers"/>
    <w:rsid w:val="00FF7CFD"/>
    <w:rPr>
      <w:rFonts w:ascii="Arial" w:eastAsiaTheme="majorEastAsia" w:hAnsi="Arial" w:cstheme="majorBidi"/>
      <w:b/>
      <w:bCs/>
      <w:color w:val="ED7D31" w:themeColor="accent2"/>
      <w:sz w:val="36"/>
      <w:szCs w:val="36"/>
    </w:rPr>
  </w:style>
  <w:style w:type="table" w:styleId="GridTable4-Accent6">
    <w:name w:val="Grid Table 4 Accent 6"/>
    <w:basedOn w:val="TableNormal"/>
    <w:uiPriority w:val="49"/>
    <w:rsid w:val="00286D1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5Char">
    <w:name w:val="Heading 5 Char"/>
    <w:basedOn w:val="DefaultParagraphFont"/>
    <w:link w:val="Heading5"/>
    <w:uiPriority w:val="9"/>
    <w:rsid w:val="00911A3E"/>
    <w:rPr>
      <w:rFonts w:ascii="Arial" w:eastAsiaTheme="minorEastAsia" w:hAnsi="Arial"/>
      <w:b/>
      <w:color w:val="6B2976"/>
      <w:szCs w:val="24"/>
      <w:lang w:eastAsia="ja-JP"/>
    </w:rPr>
  </w:style>
  <w:style w:type="paragraph" w:customStyle="1" w:styleId="ParagraphSection">
    <w:name w:val="ParagraphSection"/>
    <w:basedOn w:val="ListParagraph"/>
    <w:qFormat/>
    <w:rsid w:val="002236EA"/>
    <w:pPr>
      <w:numPr>
        <w:numId w:val="7"/>
      </w:numPr>
      <w:spacing w:before="240" w:after="240" w:line="276" w:lineRule="auto"/>
      <w:contextualSpacing w:val="0"/>
    </w:pPr>
  </w:style>
  <w:style w:type="paragraph" w:styleId="Quote">
    <w:name w:val="Quote"/>
    <w:basedOn w:val="Normal"/>
    <w:next w:val="Normal"/>
    <w:link w:val="QuoteChar"/>
    <w:uiPriority w:val="29"/>
    <w:qFormat/>
    <w:rsid w:val="00CB373B"/>
    <w:pPr>
      <w:spacing w:before="200" w:after="0"/>
      <w:ind w:left="360" w:right="360"/>
    </w:pPr>
    <w:rPr>
      <w:i/>
      <w:iCs/>
    </w:rPr>
  </w:style>
  <w:style w:type="character" w:customStyle="1" w:styleId="QuoteChar">
    <w:name w:val="Quote Char"/>
    <w:basedOn w:val="DefaultParagraphFont"/>
    <w:link w:val="Quote"/>
    <w:uiPriority w:val="29"/>
    <w:rsid w:val="00CB373B"/>
    <w:rPr>
      <w:rFonts w:ascii="Arial" w:eastAsiaTheme="minorEastAsia" w:hAnsi="Arial"/>
      <w:i/>
      <w:iCs/>
      <w:szCs w:val="24"/>
      <w:lang w:eastAsia="ja-JP"/>
    </w:rPr>
  </w:style>
  <w:style w:type="character" w:styleId="Strong">
    <w:name w:val="Strong"/>
    <w:aliases w:val="Table &amp; Figure Headings"/>
    <w:basedOn w:val="DefaultParagraphFont"/>
    <w:uiPriority w:val="22"/>
    <w:qFormat/>
    <w:rsid w:val="000A3EB4"/>
    <w:rPr>
      <w:b/>
      <w:bCs/>
    </w:rPr>
  </w:style>
  <w:style w:type="paragraph" w:customStyle="1" w:styleId="1jb">
    <w:name w:val="1 jb"/>
    <w:basedOn w:val="ListParagraph"/>
    <w:link w:val="1jbChar"/>
    <w:qFormat/>
    <w:rsid w:val="00D272A2"/>
    <w:pPr>
      <w:numPr>
        <w:numId w:val="12"/>
      </w:numPr>
      <w:spacing w:after="160" w:line="259" w:lineRule="auto"/>
    </w:pPr>
    <w:rPr>
      <w:rFonts w:asciiTheme="minorHAnsi" w:eastAsiaTheme="minorHAnsi" w:hAnsiTheme="minorHAnsi"/>
      <w:b/>
      <w:szCs w:val="22"/>
      <w:lang w:eastAsia="en-US"/>
    </w:rPr>
  </w:style>
  <w:style w:type="character" w:customStyle="1" w:styleId="1jbChar">
    <w:name w:val="1 jb Char"/>
    <w:basedOn w:val="DefaultParagraphFont"/>
    <w:link w:val="1jb"/>
    <w:rsid w:val="00D272A2"/>
    <w:rPr>
      <w:b/>
    </w:rPr>
  </w:style>
  <w:style w:type="character" w:styleId="PlaceholderText">
    <w:name w:val="Placeholder Text"/>
    <w:basedOn w:val="DefaultParagraphFont"/>
    <w:uiPriority w:val="99"/>
    <w:semiHidden/>
    <w:rsid w:val="000E6147"/>
    <w:rPr>
      <w:color w:val="808080"/>
    </w:rPr>
  </w:style>
  <w:style w:type="paragraph" w:styleId="NoSpacing">
    <w:name w:val="No Spacing"/>
    <w:uiPriority w:val="1"/>
    <w:qFormat/>
    <w:rsid w:val="00292A59"/>
    <w:pPr>
      <w:spacing w:after="0" w:line="240" w:lineRule="auto"/>
    </w:pPr>
    <w:rPr>
      <w:rFonts w:ascii="Arial" w:eastAsiaTheme="minorEastAsia" w:hAnsi="Arial"/>
      <w:szCs w:val="24"/>
      <w:lang w:eastAsia="ja-JP"/>
    </w:rPr>
  </w:style>
  <w:style w:type="character" w:customStyle="1" w:styleId="UnresolvedMention1">
    <w:name w:val="Unresolved Mention1"/>
    <w:basedOn w:val="DefaultParagraphFont"/>
    <w:uiPriority w:val="99"/>
    <w:unhideWhenUsed/>
    <w:rsid w:val="005932FC"/>
    <w:rPr>
      <w:color w:val="605E5C"/>
      <w:shd w:val="clear" w:color="auto" w:fill="E1DFDD"/>
    </w:rPr>
  </w:style>
  <w:style w:type="character" w:customStyle="1" w:styleId="UnresolvedMention2">
    <w:name w:val="Unresolved Mention2"/>
    <w:basedOn w:val="DefaultParagraphFont"/>
    <w:uiPriority w:val="99"/>
    <w:unhideWhenUsed/>
    <w:rsid w:val="00C3649F"/>
    <w:rPr>
      <w:color w:val="605E5C"/>
      <w:shd w:val="clear" w:color="auto" w:fill="E1DFDD"/>
    </w:rPr>
  </w:style>
  <w:style w:type="character" w:customStyle="1" w:styleId="Mention1">
    <w:name w:val="Mention1"/>
    <w:basedOn w:val="DefaultParagraphFont"/>
    <w:uiPriority w:val="99"/>
    <w:unhideWhenUsed/>
    <w:rsid w:val="00C3649F"/>
    <w:rPr>
      <w:color w:val="2B579A"/>
      <w:shd w:val="clear" w:color="auto" w:fill="E1DFDD"/>
    </w:rPr>
  </w:style>
  <w:style w:type="character" w:customStyle="1" w:styleId="normaltextrun">
    <w:name w:val="normaltextrun"/>
    <w:basedOn w:val="DefaultParagraphFont"/>
    <w:rsid w:val="00CD1FC9"/>
  </w:style>
  <w:style w:type="character" w:customStyle="1" w:styleId="A8">
    <w:name w:val="A8"/>
    <w:uiPriority w:val="99"/>
    <w:rsid w:val="00CD1FC9"/>
    <w:rPr>
      <w:rFonts w:cs="FS Me"/>
      <w:color w:val="000000"/>
      <w:sz w:val="22"/>
      <w:szCs w:val="22"/>
    </w:rPr>
  </w:style>
  <w:style w:type="table" w:styleId="GridTable2">
    <w:name w:val="Grid Table 2"/>
    <w:basedOn w:val="TableNormal"/>
    <w:uiPriority w:val="47"/>
    <w:rsid w:val="00CD1F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CD1F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FSRtable">
    <w:name w:val="FSR table"/>
    <w:basedOn w:val="TableNormal"/>
    <w:uiPriority w:val="99"/>
    <w:rsid w:val="00FB3E26"/>
    <w:pPr>
      <w:keepLines/>
      <w:spacing w:after="0" w:line="240" w:lineRule="auto"/>
      <w:jc w:val="right"/>
    </w:pPr>
    <w:rPr>
      <w:rFonts w:ascii="Arial" w:eastAsiaTheme="minorEastAsia" w:hAnsi="Arial"/>
      <w:szCs w:val="28"/>
      <w:lang w:eastAsia="zh-CN" w:bidi="th-TH"/>
    </w:rPr>
    <w:tblPr>
      <w:tblStyleRowBandSize w:val="1"/>
      <w:tblInd w:w="0" w:type="nil"/>
      <w:tblBorders>
        <w:top w:val="single" w:sz="4" w:space="0" w:color="auto"/>
        <w:bottom w:val="single" w:sz="4" w:space="0" w:color="auto"/>
      </w:tblBorders>
    </w:tblPr>
    <w:tcPr>
      <w:vAlign w:val="center"/>
    </w:tcPr>
    <w:tblStylePr w:type="firstRow">
      <w:rPr>
        <w:rFonts w:ascii="Arial" w:hAnsi="Arial" w:cs="Arial" w:hint="default"/>
        <w:b/>
        <w:color w:val="FFFFFF" w:themeColor="background1"/>
      </w:rPr>
      <w:tblPr/>
      <w:tcPr>
        <w:shd w:val="clear" w:color="auto" w:fill="6B2976"/>
      </w:tcPr>
    </w:tblStylePr>
    <w:tblStylePr w:type="firstCol">
      <w:pPr>
        <w:jc w:val="left"/>
      </w:pPr>
    </w:tblStylePr>
    <w:tblStylePr w:type="band2Horz">
      <w:pPr>
        <w:keepLines/>
        <w:widowControl/>
        <w:suppressLineNumbers w:val="0"/>
        <w:wordWrap/>
      </w:pPr>
      <w:tblPr/>
      <w:tcPr>
        <w:shd w:val="clear" w:color="auto" w:fill="C0C0C0"/>
      </w:tcPr>
    </w:tblStylePr>
  </w:style>
  <w:style w:type="table" w:customStyle="1" w:styleId="SustainabilityTable">
    <w:name w:val="Sustainability Table"/>
    <w:basedOn w:val="TableList1"/>
    <w:uiPriority w:val="99"/>
    <w:rsid w:val="00FB3E26"/>
    <w:pPr>
      <w:spacing w:after="0" w:line="240" w:lineRule="auto"/>
    </w:pPr>
    <w:rPr>
      <w:rFonts w:ascii="Arial" w:eastAsiaTheme="minorEastAsia" w:hAnsi="Arial"/>
      <w:sz w:val="20"/>
      <w:szCs w:val="20"/>
      <w:lang w:val="en-US" w:eastAsia="en-AU" w:bidi="th-TH"/>
    </w:rP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B3E26"/>
    <w:pPr>
      <w:spacing w:after="200" w:line="288"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Mention11">
    <w:name w:val="Mention11"/>
    <w:basedOn w:val="DefaultParagraphFont"/>
    <w:uiPriority w:val="99"/>
    <w:unhideWhenUsed/>
    <w:rsid w:val="00FB3E26"/>
    <w:rPr>
      <w:color w:val="2B579A"/>
      <w:shd w:val="clear" w:color="auto" w:fill="E6E6E6"/>
    </w:rPr>
  </w:style>
  <w:style w:type="character" w:customStyle="1" w:styleId="UnresolvedMention21">
    <w:name w:val="Unresolved Mention21"/>
    <w:basedOn w:val="DefaultParagraphFont"/>
    <w:uiPriority w:val="99"/>
    <w:unhideWhenUsed/>
    <w:rsid w:val="00FB3E26"/>
    <w:rPr>
      <w:color w:val="605E5C"/>
      <w:shd w:val="clear" w:color="auto" w:fill="E1DFDD"/>
    </w:rPr>
  </w:style>
  <w:style w:type="character" w:customStyle="1" w:styleId="Mention2">
    <w:name w:val="Mention2"/>
    <w:basedOn w:val="DefaultParagraphFont"/>
    <w:uiPriority w:val="99"/>
    <w:unhideWhenUsed/>
    <w:rsid w:val="00FB3E26"/>
    <w:rPr>
      <w:color w:val="2B579A"/>
      <w:shd w:val="clear" w:color="auto" w:fill="E1DFDD"/>
    </w:rPr>
  </w:style>
  <w:style w:type="character" w:customStyle="1" w:styleId="UnresolvedMention20">
    <w:name w:val="Unresolved Mention20"/>
    <w:basedOn w:val="DefaultParagraphFont"/>
    <w:uiPriority w:val="99"/>
    <w:unhideWhenUsed/>
    <w:rsid w:val="00FB3E26"/>
    <w:rPr>
      <w:color w:val="605E5C"/>
      <w:shd w:val="clear" w:color="auto" w:fill="E1DFDD"/>
    </w:rPr>
  </w:style>
  <w:style w:type="character" w:customStyle="1" w:styleId="Mention20">
    <w:name w:val="Mention20"/>
    <w:basedOn w:val="DefaultParagraphFont"/>
    <w:uiPriority w:val="99"/>
    <w:unhideWhenUsed/>
    <w:rsid w:val="00FB3E26"/>
    <w:rPr>
      <w:color w:val="2B579A"/>
      <w:shd w:val="clear" w:color="auto" w:fill="E1DFDD"/>
    </w:rPr>
  </w:style>
  <w:style w:type="character" w:customStyle="1" w:styleId="UnresolvedMention3">
    <w:name w:val="Unresolved Mention3"/>
    <w:basedOn w:val="DefaultParagraphFont"/>
    <w:uiPriority w:val="99"/>
    <w:unhideWhenUsed/>
    <w:rsid w:val="00FB3E26"/>
    <w:rPr>
      <w:color w:val="605E5C"/>
      <w:shd w:val="clear" w:color="auto" w:fill="E1DFDD"/>
    </w:rPr>
  </w:style>
  <w:style w:type="character" w:customStyle="1" w:styleId="Mention3">
    <w:name w:val="Mention3"/>
    <w:basedOn w:val="DefaultParagraphFont"/>
    <w:uiPriority w:val="99"/>
    <w:unhideWhenUsed/>
    <w:rsid w:val="00FB3E26"/>
    <w:rPr>
      <w:color w:val="2B579A"/>
      <w:shd w:val="clear" w:color="auto" w:fill="E1DFDD"/>
    </w:rPr>
  </w:style>
  <w:style w:type="paragraph" w:customStyle="1" w:styleId="paragraph">
    <w:name w:val="paragraph"/>
    <w:basedOn w:val="Normal"/>
    <w:rsid w:val="00720502"/>
    <w:pPr>
      <w:spacing w:before="100" w:beforeAutospacing="1" w:after="100" w:afterAutospacing="1" w:line="240" w:lineRule="auto"/>
    </w:pPr>
    <w:rPr>
      <w:rFonts w:ascii="Times New Roman" w:eastAsia="Times New Roman" w:hAnsi="Times New Roman" w:cs="Times New Roman"/>
      <w:sz w:val="24"/>
      <w:lang w:eastAsia="en-AU"/>
    </w:rPr>
  </w:style>
  <w:style w:type="character" w:customStyle="1" w:styleId="eop">
    <w:name w:val="eop"/>
    <w:basedOn w:val="DefaultParagraphFont"/>
    <w:rsid w:val="00720502"/>
  </w:style>
  <w:style w:type="character" w:customStyle="1" w:styleId="UnresolvedMention4">
    <w:name w:val="Unresolved Mention4"/>
    <w:basedOn w:val="DefaultParagraphFont"/>
    <w:uiPriority w:val="99"/>
    <w:unhideWhenUsed/>
    <w:rsid w:val="00720502"/>
    <w:rPr>
      <w:color w:val="605E5C"/>
      <w:shd w:val="clear" w:color="auto" w:fill="E1DFDD"/>
    </w:rPr>
  </w:style>
  <w:style w:type="character" w:customStyle="1" w:styleId="UnresolvedMention5">
    <w:name w:val="Unresolved Mention5"/>
    <w:basedOn w:val="DefaultParagraphFont"/>
    <w:uiPriority w:val="99"/>
    <w:unhideWhenUsed/>
    <w:rsid w:val="00720502"/>
    <w:rPr>
      <w:color w:val="605E5C"/>
      <w:shd w:val="clear" w:color="auto" w:fill="E1DFDD"/>
    </w:rPr>
  </w:style>
  <w:style w:type="character" w:customStyle="1" w:styleId="Mention4">
    <w:name w:val="Mention4"/>
    <w:basedOn w:val="DefaultParagraphFont"/>
    <w:uiPriority w:val="99"/>
    <w:unhideWhenUsed/>
    <w:rsid w:val="00720502"/>
    <w:rPr>
      <w:color w:val="2B579A"/>
      <w:shd w:val="clear" w:color="auto" w:fill="E1DFDD"/>
    </w:rPr>
  </w:style>
  <w:style w:type="character" w:customStyle="1" w:styleId="Heading6Char">
    <w:name w:val="Heading 6 Char"/>
    <w:basedOn w:val="DefaultParagraphFont"/>
    <w:link w:val="Heading6"/>
    <w:uiPriority w:val="9"/>
    <w:rsid w:val="004E667E"/>
    <w:rPr>
      <w:rFonts w:asciiTheme="majorHAnsi" w:eastAsiaTheme="majorEastAsia" w:hAnsiTheme="majorHAnsi" w:cstheme="majorBidi"/>
      <w:color w:val="1F4D78" w:themeColor="accent1" w:themeShade="7F"/>
      <w:szCs w:val="24"/>
      <w:lang w:eastAsia="ja-JP"/>
    </w:rPr>
  </w:style>
  <w:style w:type="character" w:customStyle="1" w:styleId="Heading7Char">
    <w:name w:val="Heading 7 Char"/>
    <w:basedOn w:val="DefaultParagraphFont"/>
    <w:link w:val="Heading7"/>
    <w:uiPriority w:val="9"/>
    <w:semiHidden/>
    <w:rsid w:val="004E667E"/>
    <w:rPr>
      <w:rFonts w:asciiTheme="majorHAnsi" w:eastAsiaTheme="majorEastAsia" w:hAnsiTheme="majorHAnsi" w:cstheme="majorBidi"/>
      <w:i/>
      <w:iCs/>
      <w:color w:val="1F4D78" w:themeColor="accent1" w:themeShade="7F"/>
      <w:szCs w:val="24"/>
      <w:lang w:eastAsia="ja-JP"/>
    </w:rPr>
  </w:style>
  <w:style w:type="character" w:customStyle="1" w:styleId="Heading8Char">
    <w:name w:val="Heading 8 Char"/>
    <w:basedOn w:val="DefaultParagraphFont"/>
    <w:link w:val="Heading8"/>
    <w:uiPriority w:val="9"/>
    <w:semiHidden/>
    <w:rsid w:val="004E667E"/>
    <w:rPr>
      <w:rFonts w:asciiTheme="majorHAnsi" w:eastAsiaTheme="majorEastAsia" w:hAnsiTheme="majorHAnsi" w:cstheme="majorBidi"/>
      <w:color w:val="272727" w:themeColor="text1" w:themeTint="D8"/>
      <w:sz w:val="21"/>
      <w:szCs w:val="21"/>
      <w:lang w:eastAsia="ja-JP"/>
    </w:rPr>
  </w:style>
  <w:style w:type="character" w:customStyle="1" w:styleId="Heading9Char">
    <w:name w:val="Heading 9 Char"/>
    <w:basedOn w:val="DefaultParagraphFont"/>
    <w:link w:val="Heading9"/>
    <w:uiPriority w:val="9"/>
    <w:semiHidden/>
    <w:rsid w:val="004E667E"/>
    <w:rPr>
      <w:rFonts w:asciiTheme="majorHAnsi" w:eastAsiaTheme="majorEastAsia" w:hAnsiTheme="majorHAnsi" w:cstheme="majorBidi"/>
      <w:i/>
      <w:iCs/>
      <w:color w:val="272727" w:themeColor="text1" w:themeTint="D8"/>
      <w:sz w:val="21"/>
      <w:szCs w:val="21"/>
      <w:lang w:eastAsia="ja-JP"/>
    </w:rPr>
  </w:style>
  <w:style w:type="table" w:customStyle="1" w:styleId="Style1">
    <w:name w:val="Style1"/>
    <w:basedOn w:val="TableNormal"/>
    <w:uiPriority w:val="99"/>
    <w:rsid w:val="004E667E"/>
    <w:pPr>
      <w:spacing w:after="0" w:line="240" w:lineRule="auto"/>
    </w:pPr>
    <w:rPr>
      <w:rFonts w:eastAsiaTheme="minorEastAsia"/>
      <w:sz w:val="21"/>
      <w:szCs w:val="21"/>
    </w:rPr>
    <w:tblPr/>
  </w:style>
  <w:style w:type="table" w:customStyle="1" w:styleId="NDIS">
    <w:name w:val="NDIS"/>
    <w:basedOn w:val="TableContemporary"/>
    <w:uiPriority w:val="99"/>
    <w:rsid w:val="004E667E"/>
    <w:rPr>
      <w:rFonts w:ascii="Arial" w:eastAsiaTheme="minorEastAsia" w:hAnsi="Arial"/>
      <w:sz w:val="21"/>
      <w:szCs w:val="21"/>
      <w:lang w:val="en-US" w:eastAsia="en-AU" w:bidi="th-TH"/>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ntemporary">
    <w:name w:val="Table Contemporary"/>
    <w:basedOn w:val="TableNormal"/>
    <w:uiPriority w:val="99"/>
    <w:semiHidden/>
    <w:unhideWhenUsed/>
    <w:rsid w:val="004E667E"/>
    <w:pPr>
      <w:spacing w:after="0" w:line="240" w:lineRule="auto"/>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EndnoteText">
    <w:name w:val="endnote text"/>
    <w:basedOn w:val="Normal"/>
    <w:link w:val="EndnoteTextChar"/>
    <w:uiPriority w:val="99"/>
    <w:semiHidden/>
    <w:unhideWhenUsed/>
    <w:rsid w:val="004E667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E667E"/>
    <w:rPr>
      <w:rFonts w:ascii="Arial" w:eastAsiaTheme="minorEastAsia" w:hAnsi="Arial"/>
      <w:sz w:val="20"/>
      <w:szCs w:val="20"/>
      <w:lang w:eastAsia="ja-JP"/>
    </w:rPr>
  </w:style>
  <w:style w:type="character" w:styleId="EndnoteReference">
    <w:name w:val="endnote reference"/>
    <w:basedOn w:val="DefaultParagraphFont"/>
    <w:uiPriority w:val="99"/>
    <w:semiHidden/>
    <w:unhideWhenUsed/>
    <w:rsid w:val="004E667E"/>
    <w:rPr>
      <w:vertAlign w:val="superscript"/>
    </w:rPr>
  </w:style>
  <w:style w:type="character" w:customStyle="1" w:styleId="Mention40">
    <w:name w:val="Mention40"/>
    <w:basedOn w:val="DefaultParagraphFont"/>
    <w:uiPriority w:val="99"/>
    <w:unhideWhenUsed/>
    <w:rsid w:val="004E667E"/>
    <w:rPr>
      <w:color w:val="2B579A"/>
      <w:shd w:val="clear" w:color="auto" w:fill="E6E6E6"/>
    </w:rPr>
  </w:style>
  <w:style w:type="paragraph" w:styleId="TOC1">
    <w:name w:val="toc 1"/>
    <w:basedOn w:val="Normal"/>
    <w:next w:val="Normal"/>
    <w:autoRedefine/>
    <w:uiPriority w:val="39"/>
    <w:unhideWhenUsed/>
    <w:rsid w:val="005233B0"/>
    <w:pPr>
      <w:tabs>
        <w:tab w:val="right" w:leader="dot" w:pos="9016"/>
      </w:tabs>
      <w:spacing w:after="100"/>
    </w:pPr>
  </w:style>
  <w:style w:type="paragraph" w:styleId="TableofFigures">
    <w:name w:val="table of figures"/>
    <w:basedOn w:val="Normal"/>
    <w:next w:val="Normal"/>
    <w:uiPriority w:val="99"/>
    <w:unhideWhenUsed/>
    <w:rsid w:val="00D71E73"/>
    <w:pPr>
      <w:spacing w:after="0"/>
    </w:pPr>
  </w:style>
  <w:style w:type="table" w:styleId="GridTable1Light-Accent6">
    <w:name w:val="Grid Table 1 Light Accent 6"/>
    <w:basedOn w:val="TableNormal"/>
    <w:uiPriority w:val="46"/>
    <w:rsid w:val="00DA3375"/>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ListBullet">
    <w:name w:val="List Bullet"/>
    <w:basedOn w:val="Normal"/>
    <w:uiPriority w:val="99"/>
    <w:unhideWhenUsed/>
    <w:rsid w:val="00DA3375"/>
    <w:pPr>
      <w:numPr>
        <w:numId w:val="72"/>
      </w:numPr>
      <w:contextualSpacing/>
    </w:pPr>
    <w:rPr>
      <w:lang w:val="en-US"/>
    </w:rPr>
  </w:style>
  <w:style w:type="character" w:customStyle="1" w:styleId="Mention5">
    <w:name w:val="Mention5"/>
    <w:basedOn w:val="DefaultParagraphFont"/>
    <w:uiPriority w:val="99"/>
    <w:unhideWhenUsed/>
    <w:rsid w:val="003734E1"/>
    <w:rPr>
      <w:color w:val="2B579A"/>
      <w:shd w:val="clear" w:color="auto" w:fill="E1DFDD"/>
    </w:rPr>
  </w:style>
  <w:style w:type="character" w:customStyle="1" w:styleId="findhit">
    <w:name w:val="findhit"/>
    <w:basedOn w:val="DefaultParagraphFont"/>
    <w:rsid w:val="00BA7353"/>
  </w:style>
  <w:style w:type="paragraph" w:customStyle="1" w:styleId="FSRHeading6">
    <w:name w:val="FSR Heading 6"/>
    <w:link w:val="FSRHeading6Char"/>
    <w:qFormat/>
    <w:rsid w:val="00E752AB"/>
    <w:pPr>
      <w:spacing w:before="240" w:after="200"/>
    </w:pPr>
    <w:rPr>
      <w:rFonts w:ascii="Arial" w:eastAsiaTheme="minorEastAsia" w:hAnsi="Arial"/>
      <w:b/>
      <w:color w:val="6B2976"/>
      <w:szCs w:val="24"/>
      <w:lang w:eastAsia="ja-JP"/>
    </w:rPr>
  </w:style>
  <w:style w:type="character" w:customStyle="1" w:styleId="FSRHeading6Char">
    <w:name w:val="FSR Heading 6 Char"/>
    <w:basedOn w:val="FSRHeading4Char"/>
    <w:link w:val="FSRHeading6"/>
    <w:rsid w:val="00E752AB"/>
    <w:rPr>
      <w:rFonts w:ascii="Arial" w:eastAsiaTheme="minorEastAsia" w:hAnsi="Arial"/>
      <w:b/>
      <w:color w:val="6B2976"/>
      <w:sz w:val="25"/>
      <w:szCs w:val="24"/>
      <w:lang w:eastAsia="ja-JP"/>
    </w:rPr>
  </w:style>
  <w:style w:type="table" w:customStyle="1" w:styleId="FSRtable1">
    <w:name w:val="FSR table1"/>
    <w:basedOn w:val="TableNormal"/>
    <w:uiPriority w:val="99"/>
    <w:rsid w:val="009E7A4B"/>
    <w:pPr>
      <w:keepLines/>
      <w:spacing w:after="0" w:line="240" w:lineRule="auto"/>
      <w:jc w:val="right"/>
    </w:pPr>
    <w:rPr>
      <w:rFonts w:ascii="Arial" w:eastAsiaTheme="minorEastAsia" w:hAnsi="Arial"/>
      <w:szCs w:val="28"/>
      <w:lang w:eastAsia="zh-CN" w:bidi="th-TH"/>
    </w:rPr>
    <w:tblPr>
      <w:tblStyleRowBandSize w:val="1"/>
      <w:tblInd w:w="0" w:type="nil"/>
      <w:tblBorders>
        <w:top w:val="single" w:sz="4" w:space="0" w:color="auto"/>
        <w:bottom w:val="single" w:sz="4" w:space="0" w:color="auto"/>
      </w:tblBorders>
    </w:tblPr>
    <w:tcPr>
      <w:vAlign w:val="center"/>
    </w:tcPr>
    <w:tblStylePr w:type="firstRow">
      <w:rPr>
        <w:rFonts w:ascii="Arial" w:hAnsi="Arial" w:cs="Arial" w:hint="default"/>
        <w:b/>
        <w:color w:val="FFFFFF" w:themeColor="background1"/>
      </w:rPr>
      <w:tblPr/>
      <w:tcPr>
        <w:shd w:val="clear" w:color="auto" w:fill="6B2976"/>
      </w:tcPr>
    </w:tblStylePr>
    <w:tblStylePr w:type="firstCol">
      <w:pPr>
        <w:jc w:val="left"/>
      </w:pPr>
    </w:tblStylePr>
    <w:tblStylePr w:type="band2Horz">
      <w:pPr>
        <w:keepLines/>
        <w:widowControl/>
        <w:suppressLineNumbers w:val="0"/>
        <w:wordWrap/>
      </w:pPr>
      <w:tblPr/>
      <w:tcPr>
        <w:shd w:val="clear" w:color="auto" w:fill="C0C0C0"/>
      </w:tcPr>
    </w:tblStylePr>
  </w:style>
  <w:style w:type="character" w:customStyle="1" w:styleId="cf01">
    <w:name w:val="cf01"/>
    <w:basedOn w:val="DefaultParagraphFont"/>
    <w:rsid w:val="00FE598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0913">
      <w:bodyDiv w:val="1"/>
      <w:marLeft w:val="0"/>
      <w:marRight w:val="0"/>
      <w:marTop w:val="0"/>
      <w:marBottom w:val="0"/>
      <w:divBdr>
        <w:top w:val="none" w:sz="0" w:space="0" w:color="auto"/>
        <w:left w:val="none" w:sz="0" w:space="0" w:color="auto"/>
        <w:bottom w:val="none" w:sz="0" w:space="0" w:color="auto"/>
        <w:right w:val="none" w:sz="0" w:space="0" w:color="auto"/>
      </w:divBdr>
      <w:divsChild>
        <w:div w:id="1086683885">
          <w:marLeft w:val="547"/>
          <w:marRight w:val="0"/>
          <w:marTop w:val="0"/>
          <w:marBottom w:val="0"/>
          <w:divBdr>
            <w:top w:val="none" w:sz="0" w:space="0" w:color="auto"/>
            <w:left w:val="none" w:sz="0" w:space="0" w:color="auto"/>
            <w:bottom w:val="none" w:sz="0" w:space="0" w:color="auto"/>
            <w:right w:val="none" w:sz="0" w:space="0" w:color="auto"/>
          </w:divBdr>
        </w:div>
      </w:divsChild>
    </w:div>
    <w:div w:id="96753899">
      <w:bodyDiv w:val="1"/>
      <w:marLeft w:val="0"/>
      <w:marRight w:val="0"/>
      <w:marTop w:val="0"/>
      <w:marBottom w:val="0"/>
      <w:divBdr>
        <w:top w:val="none" w:sz="0" w:space="0" w:color="auto"/>
        <w:left w:val="none" w:sz="0" w:space="0" w:color="auto"/>
        <w:bottom w:val="none" w:sz="0" w:space="0" w:color="auto"/>
        <w:right w:val="none" w:sz="0" w:space="0" w:color="auto"/>
      </w:divBdr>
    </w:div>
    <w:div w:id="135413999">
      <w:bodyDiv w:val="1"/>
      <w:marLeft w:val="0"/>
      <w:marRight w:val="0"/>
      <w:marTop w:val="0"/>
      <w:marBottom w:val="0"/>
      <w:divBdr>
        <w:top w:val="none" w:sz="0" w:space="0" w:color="auto"/>
        <w:left w:val="none" w:sz="0" w:space="0" w:color="auto"/>
        <w:bottom w:val="none" w:sz="0" w:space="0" w:color="auto"/>
        <w:right w:val="none" w:sz="0" w:space="0" w:color="auto"/>
      </w:divBdr>
    </w:div>
    <w:div w:id="138152127">
      <w:bodyDiv w:val="1"/>
      <w:marLeft w:val="0"/>
      <w:marRight w:val="0"/>
      <w:marTop w:val="0"/>
      <w:marBottom w:val="0"/>
      <w:divBdr>
        <w:top w:val="none" w:sz="0" w:space="0" w:color="auto"/>
        <w:left w:val="none" w:sz="0" w:space="0" w:color="auto"/>
        <w:bottom w:val="none" w:sz="0" w:space="0" w:color="auto"/>
        <w:right w:val="none" w:sz="0" w:space="0" w:color="auto"/>
      </w:divBdr>
    </w:div>
    <w:div w:id="160391455">
      <w:bodyDiv w:val="1"/>
      <w:marLeft w:val="0"/>
      <w:marRight w:val="0"/>
      <w:marTop w:val="0"/>
      <w:marBottom w:val="0"/>
      <w:divBdr>
        <w:top w:val="none" w:sz="0" w:space="0" w:color="auto"/>
        <w:left w:val="none" w:sz="0" w:space="0" w:color="auto"/>
        <w:bottom w:val="none" w:sz="0" w:space="0" w:color="auto"/>
        <w:right w:val="none" w:sz="0" w:space="0" w:color="auto"/>
      </w:divBdr>
    </w:div>
    <w:div w:id="198781338">
      <w:bodyDiv w:val="1"/>
      <w:marLeft w:val="0"/>
      <w:marRight w:val="0"/>
      <w:marTop w:val="0"/>
      <w:marBottom w:val="0"/>
      <w:divBdr>
        <w:top w:val="none" w:sz="0" w:space="0" w:color="auto"/>
        <w:left w:val="none" w:sz="0" w:space="0" w:color="auto"/>
        <w:bottom w:val="none" w:sz="0" w:space="0" w:color="auto"/>
        <w:right w:val="none" w:sz="0" w:space="0" w:color="auto"/>
      </w:divBdr>
    </w:div>
    <w:div w:id="207763081">
      <w:bodyDiv w:val="1"/>
      <w:marLeft w:val="0"/>
      <w:marRight w:val="0"/>
      <w:marTop w:val="0"/>
      <w:marBottom w:val="0"/>
      <w:divBdr>
        <w:top w:val="none" w:sz="0" w:space="0" w:color="auto"/>
        <w:left w:val="none" w:sz="0" w:space="0" w:color="auto"/>
        <w:bottom w:val="none" w:sz="0" w:space="0" w:color="auto"/>
        <w:right w:val="none" w:sz="0" w:space="0" w:color="auto"/>
      </w:divBdr>
    </w:div>
    <w:div w:id="270472749">
      <w:bodyDiv w:val="1"/>
      <w:marLeft w:val="0"/>
      <w:marRight w:val="0"/>
      <w:marTop w:val="0"/>
      <w:marBottom w:val="0"/>
      <w:divBdr>
        <w:top w:val="none" w:sz="0" w:space="0" w:color="auto"/>
        <w:left w:val="none" w:sz="0" w:space="0" w:color="auto"/>
        <w:bottom w:val="none" w:sz="0" w:space="0" w:color="auto"/>
        <w:right w:val="none" w:sz="0" w:space="0" w:color="auto"/>
      </w:divBdr>
      <w:divsChild>
        <w:div w:id="1284506324">
          <w:marLeft w:val="360"/>
          <w:marRight w:val="0"/>
          <w:marTop w:val="0"/>
          <w:marBottom w:val="0"/>
          <w:divBdr>
            <w:top w:val="none" w:sz="0" w:space="0" w:color="auto"/>
            <w:left w:val="none" w:sz="0" w:space="0" w:color="auto"/>
            <w:bottom w:val="none" w:sz="0" w:space="0" w:color="auto"/>
            <w:right w:val="none" w:sz="0" w:space="0" w:color="auto"/>
          </w:divBdr>
        </w:div>
      </w:divsChild>
    </w:div>
    <w:div w:id="277834940">
      <w:bodyDiv w:val="1"/>
      <w:marLeft w:val="0"/>
      <w:marRight w:val="0"/>
      <w:marTop w:val="0"/>
      <w:marBottom w:val="0"/>
      <w:divBdr>
        <w:top w:val="none" w:sz="0" w:space="0" w:color="auto"/>
        <w:left w:val="none" w:sz="0" w:space="0" w:color="auto"/>
        <w:bottom w:val="none" w:sz="0" w:space="0" w:color="auto"/>
        <w:right w:val="none" w:sz="0" w:space="0" w:color="auto"/>
      </w:divBdr>
    </w:div>
    <w:div w:id="413598669">
      <w:bodyDiv w:val="1"/>
      <w:marLeft w:val="0"/>
      <w:marRight w:val="0"/>
      <w:marTop w:val="0"/>
      <w:marBottom w:val="0"/>
      <w:divBdr>
        <w:top w:val="none" w:sz="0" w:space="0" w:color="auto"/>
        <w:left w:val="none" w:sz="0" w:space="0" w:color="auto"/>
        <w:bottom w:val="none" w:sz="0" w:space="0" w:color="auto"/>
        <w:right w:val="none" w:sz="0" w:space="0" w:color="auto"/>
      </w:divBdr>
    </w:div>
    <w:div w:id="455107255">
      <w:bodyDiv w:val="1"/>
      <w:marLeft w:val="0"/>
      <w:marRight w:val="0"/>
      <w:marTop w:val="0"/>
      <w:marBottom w:val="0"/>
      <w:divBdr>
        <w:top w:val="none" w:sz="0" w:space="0" w:color="auto"/>
        <w:left w:val="none" w:sz="0" w:space="0" w:color="auto"/>
        <w:bottom w:val="none" w:sz="0" w:space="0" w:color="auto"/>
        <w:right w:val="none" w:sz="0" w:space="0" w:color="auto"/>
      </w:divBdr>
    </w:div>
    <w:div w:id="527448726">
      <w:bodyDiv w:val="1"/>
      <w:marLeft w:val="0"/>
      <w:marRight w:val="0"/>
      <w:marTop w:val="0"/>
      <w:marBottom w:val="0"/>
      <w:divBdr>
        <w:top w:val="none" w:sz="0" w:space="0" w:color="auto"/>
        <w:left w:val="none" w:sz="0" w:space="0" w:color="auto"/>
        <w:bottom w:val="none" w:sz="0" w:space="0" w:color="auto"/>
        <w:right w:val="none" w:sz="0" w:space="0" w:color="auto"/>
      </w:divBdr>
    </w:div>
    <w:div w:id="540938788">
      <w:bodyDiv w:val="1"/>
      <w:marLeft w:val="0"/>
      <w:marRight w:val="0"/>
      <w:marTop w:val="0"/>
      <w:marBottom w:val="0"/>
      <w:divBdr>
        <w:top w:val="none" w:sz="0" w:space="0" w:color="auto"/>
        <w:left w:val="none" w:sz="0" w:space="0" w:color="auto"/>
        <w:bottom w:val="none" w:sz="0" w:space="0" w:color="auto"/>
        <w:right w:val="none" w:sz="0" w:space="0" w:color="auto"/>
      </w:divBdr>
      <w:divsChild>
        <w:div w:id="1660570623">
          <w:marLeft w:val="0"/>
          <w:marRight w:val="0"/>
          <w:marTop w:val="0"/>
          <w:marBottom w:val="0"/>
          <w:divBdr>
            <w:top w:val="none" w:sz="0" w:space="0" w:color="auto"/>
            <w:left w:val="none" w:sz="0" w:space="0" w:color="auto"/>
            <w:bottom w:val="none" w:sz="0" w:space="0" w:color="auto"/>
            <w:right w:val="none" w:sz="0" w:space="0" w:color="auto"/>
          </w:divBdr>
        </w:div>
      </w:divsChild>
    </w:div>
    <w:div w:id="657222605">
      <w:bodyDiv w:val="1"/>
      <w:marLeft w:val="0"/>
      <w:marRight w:val="0"/>
      <w:marTop w:val="0"/>
      <w:marBottom w:val="0"/>
      <w:divBdr>
        <w:top w:val="none" w:sz="0" w:space="0" w:color="auto"/>
        <w:left w:val="none" w:sz="0" w:space="0" w:color="auto"/>
        <w:bottom w:val="none" w:sz="0" w:space="0" w:color="auto"/>
        <w:right w:val="none" w:sz="0" w:space="0" w:color="auto"/>
      </w:divBdr>
      <w:divsChild>
        <w:div w:id="1141462416">
          <w:marLeft w:val="360"/>
          <w:marRight w:val="0"/>
          <w:marTop w:val="0"/>
          <w:marBottom w:val="0"/>
          <w:divBdr>
            <w:top w:val="none" w:sz="0" w:space="0" w:color="auto"/>
            <w:left w:val="none" w:sz="0" w:space="0" w:color="auto"/>
            <w:bottom w:val="none" w:sz="0" w:space="0" w:color="auto"/>
            <w:right w:val="none" w:sz="0" w:space="0" w:color="auto"/>
          </w:divBdr>
        </w:div>
      </w:divsChild>
    </w:div>
    <w:div w:id="759718470">
      <w:bodyDiv w:val="1"/>
      <w:marLeft w:val="0"/>
      <w:marRight w:val="0"/>
      <w:marTop w:val="0"/>
      <w:marBottom w:val="0"/>
      <w:divBdr>
        <w:top w:val="none" w:sz="0" w:space="0" w:color="auto"/>
        <w:left w:val="none" w:sz="0" w:space="0" w:color="auto"/>
        <w:bottom w:val="none" w:sz="0" w:space="0" w:color="auto"/>
        <w:right w:val="none" w:sz="0" w:space="0" w:color="auto"/>
      </w:divBdr>
    </w:div>
    <w:div w:id="780802631">
      <w:bodyDiv w:val="1"/>
      <w:marLeft w:val="0"/>
      <w:marRight w:val="0"/>
      <w:marTop w:val="0"/>
      <w:marBottom w:val="0"/>
      <w:divBdr>
        <w:top w:val="none" w:sz="0" w:space="0" w:color="auto"/>
        <w:left w:val="none" w:sz="0" w:space="0" w:color="auto"/>
        <w:bottom w:val="none" w:sz="0" w:space="0" w:color="auto"/>
        <w:right w:val="none" w:sz="0" w:space="0" w:color="auto"/>
      </w:divBdr>
    </w:div>
    <w:div w:id="880362820">
      <w:bodyDiv w:val="1"/>
      <w:marLeft w:val="0"/>
      <w:marRight w:val="0"/>
      <w:marTop w:val="0"/>
      <w:marBottom w:val="0"/>
      <w:divBdr>
        <w:top w:val="none" w:sz="0" w:space="0" w:color="auto"/>
        <w:left w:val="none" w:sz="0" w:space="0" w:color="auto"/>
        <w:bottom w:val="none" w:sz="0" w:space="0" w:color="auto"/>
        <w:right w:val="none" w:sz="0" w:space="0" w:color="auto"/>
      </w:divBdr>
    </w:div>
    <w:div w:id="881673558">
      <w:bodyDiv w:val="1"/>
      <w:marLeft w:val="0"/>
      <w:marRight w:val="0"/>
      <w:marTop w:val="0"/>
      <w:marBottom w:val="0"/>
      <w:divBdr>
        <w:top w:val="none" w:sz="0" w:space="0" w:color="auto"/>
        <w:left w:val="none" w:sz="0" w:space="0" w:color="auto"/>
        <w:bottom w:val="none" w:sz="0" w:space="0" w:color="auto"/>
        <w:right w:val="none" w:sz="0" w:space="0" w:color="auto"/>
      </w:divBdr>
    </w:div>
    <w:div w:id="897286103">
      <w:bodyDiv w:val="1"/>
      <w:marLeft w:val="0"/>
      <w:marRight w:val="0"/>
      <w:marTop w:val="0"/>
      <w:marBottom w:val="0"/>
      <w:divBdr>
        <w:top w:val="none" w:sz="0" w:space="0" w:color="auto"/>
        <w:left w:val="none" w:sz="0" w:space="0" w:color="auto"/>
        <w:bottom w:val="none" w:sz="0" w:space="0" w:color="auto"/>
        <w:right w:val="none" w:sz="0" w:space="0" w:color="auto"/>
      </w:divBdr>
    </w:div>
    <w:div w:id="933633152">
      <w:bodyDiv w:val="1"/>
      <w:marLeft w:val="0"/>
      <w:marRight w:val="0"/>
      <w:marTop w:val="0"/>
      <w:marBottom w:val="0"/>
      <w:divBdr>
        <w:top w:val="none" w:sz="0" w:space="0" w:color="auto"/>
        <w:left w:val="none" w:sz="0" w:space="0" w:color="auto"/>
        <w:bottom w:val="none" w:sz="0" w:space="0" w:color="auto"/>
        <w:right w:val="none" w:sz="0" w:space="0" w:color="auto"/>
      </w:divBdr>
    </w:div>
    <w:div w:id="1006714880">
      <w:bodyDiv w:val="1"/>
      <w:marLeft w:val="0"/>
      <w:marRight w:val="0"/>
      <w:marTop w:val="0"/>
      <w:marBottom w:val="0"/>
      <w:divBdr>
        <w:top w:val="none" w:sz="0" w:space="0" w:color="auto"/>
        <w:left w:val="none" w:sz="0" w:space="0" w:color="auto"/>
        <w:bottom w:val="none" w:sz="0" w:space="0" w:color="auto"/>
        <w:right w:val="none" w:sz="0" w:space="0" w:color="auto"/>
      </w:divBdr>
    </w:div>
    <w:div w:id="1045325140">
      <w:bodyDiv w:val="1"/>
      <w:marLeft w:val="0"/>
      <w:marRight w:val="0"/>
      <w:marTop w:val="0"/>
      <w:marBottom w:val="0"/>
      <w:divBdr>
        <w:top w:val="none" w:sz="0" w:space="0" w:color="auto"/>
        <w:left w:val="none" w:sz="0" w:space="0" w:color="auto"/>
        <w:bottom w:val="none" w:sz="0" w:space="0" w:color="auto"/>
        <w:right w:val="none" w:sz="0" w:space="0" w:color="auto"/>
      </w:divBdr>
    </w:div>
    <w:div w:id="1078790419">
      <w:bodyDiv w:val="1"/>
      <w:marLeft w:val="0"/>
      <w:marRight w:val="0"/>
      <w:marTop w:val="0"/>
      <w:marBottom w:val="0"/>
      <w:divBdr>
        <w:top w:val="none" w:sz="0" w:space="0" w:color="auto"/>
        <w:left w:val="none" w:sz="0" w:space="0" w:color="auto"/>
        <w:bottom w:val="none" w:sz="0" w:space="0" w:color="auto"/>
        <w:right w:val="none" w:sz="0" w:space="0" w:color="auto"/>
      </w:divBdr>
    </w:div>
    <w:div w:id="1090392939">
      <w:bodyDiv w:val="1"/>
      <w:marLeft w:val="0"/>
      <w:marRight w:val="0"/>
      <w:marTop w:val="0"/>
      <w:marBottom w:val="0"/>
      <w:divBdr>
        <w:top w:val="none" w:sz="0" w:space="0" w:color="auto"/>
        <w:left w:val="none" w:sz="0" w:space="0" w:color="auto"/>
        <w:bottom w:val="none" w:sz="0" w:space="0" w:color="auto"/>
        <w:right w:val="none" w:sz="0" w:space="0" w:color="auto"/>
      </w:divBdr>
    </w:div>
    <w:div w:id="1091317825">
      <w:bodyDiv w:val="1"/>
      <w:marLeft w:val="0"/>
      <w:marRight w:val="0"/>
      <w:marTop w:val="0"/>
      <w:marBottom w:val="0"/>
      <w:divBdr>
        <w:top w:val="none" w:sz="0" w:space="0" w:color="auto"/>
        <w:left w:val="none" w:sz="0" w:space="0" w:color="auto"/>
        <w:bottom w:val="none" w:sz="0" w:space="0" w:color="auto"/>
        <w:right w:val="none" w:sz="0" w:space="0" w:color="auto"/>
      </w:divBdr>
    </w:div>
    <w:div w:id="1098909866">
      <w:bodyDiv w:val="1"/>
      <w:marLeft w:val="0"/>
      <w:marRight w:val="0"/>
      <w:marTop w:val="0"/>
      <w:marBottom w:val="0"/>
      <w:divBdr>
        <w:top w:val="none" w:sz="0" w:space="0" w:color="auto"/>
        <w:left w:val="none" w:sz="0" w:space="0" w:color="auto"/>
        <w:bottom w:val="none" w:sz="0" w:space="0" w:color="auto"/>
        <w:right w:val="none" w:sz="0" w:space="0" w:color="auto"/>
      </w:divBdr>
    </w:div>
    <w:div w:id="1145395636">
      <w:bodyDiv w:val="1"/>
      <w:marLeft w:val="0"/>
      <w:marRight w:val="0"/>
      <w:marTop w:val="0"/>
      <w:marBottom w:val="0"/>
      <w:divBdr>
        <w:top w:val="none" w:sz="0" w:space="0" w:color="auto"/>
        <w:left w:val="none" w:sz="0" w:space="0" w:color="auto"/>
        <w:bottom w:val="none" w:sz="0" w:space="0" w:color="auto"/>
        <w:right w:val="none" w:sz="0" w:space="0" w:color="auto"/>
      </w:divBdr>
    </w:div>
    <w:div w:id="1155532874">
      <w:bodyDiv w:val="1"/>
      <w:marLeft w:val="0"/>
      <w:marRight w:val="0"/>
      <w:marTop w:val="0"/>
      <w:marBottom w:val="0"/>
      <w:divBdr>
        <w:top w:val="none" w:sz="0" w:space="0" w:color="auto"/>
        <w:left w:val="none" w:sz="0" w:space="0" w:color="auto"/>
        <w:bottom w:val="none" w:sz="0" w:space="0" w:color="auto"/>
        <w:right w:val="none" w:sz="0" w:space="0" w:color="auto"/>
      </w:divBdr>
    </w:div>
    <w:div w:id="1161776949">
      <w:bodyDiv w:val="1"/>
      <w:marLeft w:val="0"/>
      <w:marRight w:val="0"/>
      <w:marTop w:val="0"/>
      <w:marBottom w:val="0"/>
      <w:divBdr>
        <w:top w:val="none" w:sz="0" w:space="0" w:color="auto"/>
        <w:left w:val="none" w:sz="0" w:space="0" w:color="auto"/>
        <w:bottom w:val="none" w:sz="0" w:space="0" w:color="auto"/>
        <w:right w:val="none" w:sz="0" w:space="0" w:color="auto"/>
      </w:divBdr>
    </w:div>
    <w:div w:id="1196692416">
      <w:bodyDiv w:val="1"/>
      <w:marLeft w:val="0"/>
      <w:marRight w:val="0"/>
      <w:marTop w:val="0"/>
      <w:marBottom w:val="0"/>
      <w:divBdr>
        <w:top w:val="none" w:sz="0" w:space="0" w:color="auto"/>
        <w:left w:val="none" w:sz="0" w:space="0" w:color="auto"/>
        <w:bottom w:val="none" w:sz="0" w:space="0" w:color="auto"/>
        <w:right w:val="none" w:sz="0" w:space="0" w:color="auto"/>
      </w:divBdr>
    </w:div>
    <w:div w:id="1209876703">
      <w:bodyDiv w:val="1"/>
      <w:marLeft w:val="0"/>
      <w:marRight w:val="0"/>
      <w:marTop w:val="0"/>
      <w:marBottom w:val="0"/>
      <w:divBdr>
        <w:top w:val="none" w:sz="0" w:space="0" w:color="auto"/>
        <w:left w:val="none" w:sz="0" w:space="0" w:color="auto"/>
        <w:bottom w:val="none" w:sz="0" w:space="0" w:color="auto"/>
        <w:right w:val="none" w:sz="0" w:space="0" w:color="auto"/>
      </w:divBdr>
    </w:div>
    <w:div w:id="1344894740">
      <w:bodyDiv w:val="1"/>
      <w:marLeft w:val="0"/>
      <w:marRight w:val="0"/>
      <w:marTop w:val="0"/>
      <w:marBottom w:val="0"/>
      <w:divBdr>
        <w:top w:val="none" w:sz="0" w:space="0" w:color="auto"/>
        <w:left w:val="none" w:sz="0" w:space="0" w:color="auto"/>
        <w:bottom w:val="none" w:sz="0" w:space="0" w:color="auto"/>
        <w:right w:val="none" w:sz="0" w:space="0" w:color="auto"/>
      </w:divBdr>
    </w:div>
    <w:div w:id="1396778943">
      <w:bodyDiv w:val="1"/>
      <w:marLeft w:val="0"/>
      <w:marRight w:val="0"/>
      <w:marTop w:val="0"/>
      <w:marBottom w:val="0"/>
      <w:divBdr>
        <w:top w:val="none" w:sz="0" w:space="0" w:color="auto"/>
        <w:left w:val="none" w:sz="0" w:space="0" w:color="auto"/>
        <w:bottom w:val="none" w:sz="0" w:space="0" w:color="auto"/>
        <w:right w:val="none" w:sz="0" w:space="0" w:color="auto"/>
      </w:divBdr>
    </w:div>
    <w:div w:id="1416586798">
      <w:bodyDiv w:val="1"/>
      <w:marLeft w:val="0"/>
      <w:marRight w:val="0"/>
      <w:marTop w:val="0"/>
      <w:marBottom w:val="0"/>
      <w:divBdr>
        <w:top w:val="none" w:sz="0" w:space="0" w:color="auto"/>
        <w:left w:val="none" w:sz="0" w:space="0" w:color="auto"/>
        <w:bottom w:val="none" w:sz="0" w:space="0" w:color="auto"/>
        <w:right w:val="none" w:sz="0" w:space="0" w:color="auto"/>
      </w:divBdr>
    </w:div>
    <w:div w:id="1422143951">
      <w:bodyDiv w:val="1"/>
      <w:marLeft w:val="0"/>
      <w:marRight w:val="0"/>
      <w:marTop w:val="0"/>
      <w:marBottom w:val="0"/>
      <w:divBdr>
        <w:top w:val="none" w:sz="0" w:space="0" w:color="auto"/>
        <w:left w:val="none" w:sz="0" w:space="0" w:color="auto"/>
        <w:bottom w:val="none" w:sz="0" w:space="0" w:color="auto"/>
        <w:right w:val="none" w:sz="0" w:space="0" w:color="auto"/>
      </w:divBdr>
    </w:div>
    <w:div w:id="1487668065">
      <w:bodyDiv w:val="1"/>
      <w:marLeft w:val="0"/>
      <w:marRight w:val="0"/>
      <w:marTop w:val="0"/>
      <w:marBottom w:val="0"/>
      <w:divBdr>
        <w:top w:val="none" w:sz="0" w:space="0" w:color="auto"/>
        <w:left w:val="none" w:sz="0" w:space="0" w:color="auto"/>
        <w:bottom w:val="none" w:sz="0" w:space="0" w:color="auto"/>
        <w:right w:val="none" w:sz="0" w:space="0" w:color="auto"/>
      </w:divBdr>
    </w:div>
    <w:div w:id="1535921403">
      <w:bodyDiv w:val="1"/>
      <w:marLeft w:val="0"/>
      <w:marRight w:val="0"/>
      <w:marTop w:val="0"/>
      <w:marBottom w:val="0"/>
      <w:divBdr>
        <w:top w:val="none" w:sz="0" w:space="0" w:color="auto"/>
        <w:left w:val="none" w:sz="0" w:space="0" w:color="auto"/>
        <w:bottom w:val="none" w:sz="0" w:space="0" w:color="auto"/>
        <w:right w:val="none" w:sz="0" w:space="0" w:color="auto"/>
      </w:divBdr>
    </w:div>
    <w:div w:id="1620599459">
      <w:bodyDiv w:val="1"/>
      <w:marLeft w:val="0"/>
      <w:marRight w:val="0"/>
      <w:marTop w:val="0"/>
      <w:marBottom w:val="0"/>
      <w:divBdr>
        <w:top w:val="none" w:sz="0" w:space="0" w:color="auto"/>
        <w:left w:val="none" w:sz="0" w:space="0" w:color="auto"/>
        <w:bottom w:val="none" w:sz="0" w:space="0" w:color="auto"/>
        <w:right w:val="none" w:sz="0" w:space="0" w:color="auto"/>
      </w:divBdr>
    </w:div>
    <w:div w:id="1652514597">
      <w:bodyDiv w:val="1"/>
      <w:marLeft w:val="0"/>
      <w:marRight w:val="0"/>
      <w:marTop w:val="0"/>
      <w:marBottom w:val="0"/>
      <w:divBdr>
        <w:top w:val="none" w:sz="0" w:space="0" w:color="auto"/>
        <w:left w:val="none" w:sz="0" w:space="0" w:color="auto"/>
        <w:bottom w:val="none" w:sz="0" w:space="0" w:color="auto"/>
        <w:right w:val="none" w:sz="0" w:space="0" w:color="auto"/>
      </w:divBdr>
      <w:divsChild>
        <w:div w:id="11761018">
          <w:marLeft w:val="0"/>
          <w:marRight w:val="0"/>
          <w:marTop w:val="0"/>
          <w:marBottom w:val="0"/>
          <w:divBdr>
            <w:top w:val="none" w:sz="0" w:space="0" w:color="auto"/>
            <w:left w:val="none" w:sz="0" w:space="0" w:color="auto"/>
            <w:bottom w:val="none" w:sz="0" w:space="0" w:color="auto"/>
            <w:right w:val="none" w:sz="0" w:space="0" w:color="auto"/>
          </w:divBdr>
        </w:div>
        <w:div w:id="1859193005">
          <w:marLeft w:val="0"/>
          <w:marRight w:val="0"/>
          <w:marTop w:val="0"/>
          <w:marBottom w:val="0"/>
          <w:divBdr>
            <w:top w:val="none" w:sz="0" w:space="0" w:color="auto"/>
            <w:left w:val="none" w:sz="0" w:space="0" w:color="auto"/>
            <w:bottom w:val="none" w:sz="0" w:space="0" w:color="auto"/>
            <w:right w:val="none" w:sz="0" w:space="0" w:color="auto"/>
          </w:divBdr>
        </w:div>
      </w:divsChild>
    </w:div>
    <w:div w:id="1699235451">
      <w:bodyDiv w:val="1"/>
      <w:marLeft w:val="0"/>
      <w:marRight w:val="0"/>
      <w:marTop w:val="0"/>
      <w:marBottom w:val="0"/>
      <w:divBdr>
        <w:top w:val="none" w:sz="0" w:space="0" w:color="auto"/>
        <w:left w:val="none" w:sz="0" w:space="0" w:color="auto"/>
        <w:bottom w:val="none" w:sz="0" w:space="0" w:color="auto"/>
        <w:right w:val="none" w:sz="0" w:space="0" w:color="auto"/>
      </w:divBdr>
    </w:div>
    <w:div w:id="1837573377">
      <w:bodyDiv w:val="1"/>
      <w:marLeft w:val="0"/>
      <w:marRight w:val="0"/>
      <w:marTop w:val="0"/>
      <w:marBottom w:val="0"/>
      <w:divBdr>
        <w:top w:val="none" w:sz="0" w:space="0" w:color="auto"/>
        <w:left w:val="none" w:sz="0" w:space="0" w:color="auto"/>
        <w:bottom w:val="none" w:sz="0" w:space="0" w:color="auto"/>
        <w:right w:val="none" w:sz="0" w:space="0" w:color="auto"/>
      </w:divBdr>
    </w:div>
    <w:div w:id="1839072459">
      <w:bodyDiv w:val="1"/>
      <w:marLeft w:val="0"/>
      <w:marRight w:val="0"/>
      <w:marTop w:val="0"/>
      <w:marBottom w:val="0"/>
      <w:divBdr>
        <w:top w:val="none" w:sz="0" w:space="0" w:color="auto"/>
        <w:left w:val="none" w:sz="0" w:space="0" w:color="auto"/>
        <w:bottom w:val="none" w:sz="0" w:space="0" w:color="auto"/>
        <w:right w:val="none" w:sz="0" w:space="0" w:color="auto"/>
      </w:divBdr>
    </w:div>
    <w:div w:id="1996377574">
      <w:bodyDiv w:val="1"/>
      <w:marLeft w:val="0"/>
      <w:marRight w:val="0"/>
      <w:marTop w:val="0"/>
      <w:marBottom w:val="0"/>
      <w:divBdr>
        <w:top w:val="none" w:sz="0" w:space="0" w:color="auto"/>
        <w:left w:val="none" w:sz="0" w:space="0" w:color="auto"/>
        <w:bottom w:val="none" w:sz="0" w:space="0" w:color="auto"/>
        <w:right w:val="none" w:sz="0" w:space="0" w:color="auto"/>
      </w:divBdr>
    </w:div>
    <w:div w:id="2022734253">
      <w:bodyDiv w:val="1"/>
      <w:marLeft w:val="0"/>
      <w:marRight w:val="0"/>
      <w:marTop w:val="0"/>
      <w:marBottom w:val="0"/>
      <w:divBdr>
        <w:top w:val="none" w:sz="0" w:space="0" w:color="auto"/>
        <w:left w:val="none" w:sz="0" w:space="0" w:color="auto"/>
        <w:bottom w:val="none" w:sz="0" w:space="0" w:color="auto"/>
        <w:right w:val="none" w:sz="0" w:space="0" w:color="auto"/>
      </w:divBdr>
    </w:div>
    <w:div w:id="2122871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2.emf"/><Relationship Id="rId21" Type="http://schemas.openxmlformats.org/officeDocument/2006/relationships/header" Target="header1.xml"/><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63" Type="http://schemas.openxmlformats.org/officeDocument/2006/relationships/hyperlink" Target="https://data.ndis.gov.au/reports-and-analyses/outcomes-and-goals/covid-19-impact-participant-and-familycarer-outcomes-30-june-2020" TargetMode="External"/><Relationship Id="rId68" Type="http://schemas.openxmlformats.org/officeDocument/2006/relationships/image" Target="media/image49.emf"/><Relationship Id="rId76" Type="http://schemas.openxmlformats.org/officeDocument/2006/relationships/image" Target="media/image57.png"/><Relationship Id="rId84" Type="http://schemas.openxmlformats.org/officeDocument/2006/relationships/image" Target="media/image65.png"/><Relationship Id="rId89" Type="http://schemas.openxmlformats.org/officeDocument/2006/relationships/image" Target="media/image70.png"/><Relationship Id="rId97" Type="http://schemas.openxmlformats.org/officeDocument/2006/relationships/image" Target="media/image77.png"/><Relationship Id="rId7" Type="http://schemas.openxmlformats.org/officeDocument/2006/relationships/settings" Target="settings.xml"/><Relationship Id="rId71" Type="http://schemas.openxmlformats.org/officeDocument/2006/relationships/image" Target="media/image52.emf"/><Relationship Id="rId92" Type="http://schemas.openxmlformats.org/officeDocument/2006/relationships/image" Target="media/image73.png"/><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5.png"/><Relationship Id="rId11" Type="http://schemas.openxmlformats.org/officeDocument/2006/relationships/image" Target="media/image1.jpg"/><Relationship Id="rId24" Type="http://schemas.openxmlformats.org/officeDocument/2006/relationships/footer" Target="footer2.xml"/><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png"/><Relationship Id="rId45" Type="http://schemas.openxmlformats.org/officeDocument/2006/relationships/image" Target="media/image31.emf"/><Relationship Id="rId53" Type="http://schemas.openxmlformats.org/officeDocument/2006/relationships/image" Target="media/image39.emf"/><Relationship Id="rId58" Type="http://schemas.openxmlformats.org/officeDocument/2006/relationships/image" Target="media/image44.png"/><Relationship Id="rId66" Type="http://schemas.openxmlformats.org/officeDocument/2006/relationships/image" Target="media/image47.emf"/><Relationship Id="rId74" Type="http://schemas.openxmlformats.org/officeDocument/2006/relationships/image" Target="media/image55.emf"/><Relationship Id="rId79" Type="http://schemas.openxmlformats.org/officeDocument/2006/relationships/image" Target="media/image60.emf"/><Relationship Id="rId87" Type="http://schemas.openxmlformats.org/officeDocument/2006/relationships/image" Target="media/image68.png"/><Relationship Id="rId5" Type="http://schemas.openxmlformats.org/officeDocument/2006/relationships/numbering" Target="numbering.xml"/><Relationship Id="rId61" Type="http://schemas.openxmlformats.org/officeDocument/2006/relationships/hyperlink" Target="https://data.ndis.gov.au/reports-and-analyses/outcomes-and-goals/family-and-carer-outcomes-report" TargetMode="External"/><Relationship Id="rId82" Type="http://schemas.openxmlformats.org/officeDocument/2006/relationships/image" Target="media/image63.png"/><Relationship Id="rId90" Type="http://schemas.openxmlformats.org/officeDocument/2006/relationships/image" Target="media/image71.png"/><Relationship Id="rId95" Type="http://schemas.openxmlformats.org/officeDocument/2006/relationships/image" Target="media/image75.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image" Target="media/image29.png"/><Relationship Id="rId48" Type="http://schemas.openxmlformats.org/officeDocument/2006/relationships/image" Target="media/image34.emf"/><Relationship Id="rId56" Type="http://schemas.openxmlformats.org/officeDocument/2006/relationships/image" Target="media/image42.png"/><Relationship Id="rId64" Type="http://schemas.openxmlformats.org/officeDocument/2006/relationships/image" Target="media/image45.emf"/><Relationship Id="rId69" Type="http://schemas.openxmlformats.org/officeDocument/2006/relationships/image" Target="media/image50.emf"/><Relationship Id="rId77" Type="http://schemas.openxmlformats.org/officeDocument/2006/relationships/image" Target="media/image58.png"/><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7.emf"/><Relationship Id="rId72" Type="http://schemas.openxmlformats.org/officeDocument/2006/relationships/image" Target="media/image53.emf"/><Relationship Id="rId80" Type="http://schemas.openxmlformats.org/officeDocument/2006/relationships/image" Target="media/image61.png"/><Relationship Id="rId85" Type="http://schemas.openxmlformats.org/officeDocument/2006/relationships/image" Target="media/image66.emf"/><Relationship Id="rId93" Type="http://schemas.openxmlformats.org/officeDocument/2006/relationships/image" Target="media/image74.png"/><Relationship Id="rId98" Type="http://schemas.openxmlformats.org/officeDocument/2006/relationships/image" Target="media/image78.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hyperlink" Target="https://www.ndis.gov.au/about-us/publications/quarterly-reports" TargetMode="External"/><Relationship Id="rId67" Type="http://schemas.openxmlformats.org/officeDocument/2006/relationships/image" Target="media/image48.emf"/><Relationship Id="rId20" Type="http://schemas.openxmlformats.org/officeDocument/2006/relationships/image" Target="media/image10.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hyperlink" Target="https://data.ndis.gov.au/reports-and-analyses/outcomes-and-goals/employment-outcomes-participants-their-families-and-carers" TargetMode="External"/><Relationship Id="rId70" Type="http://schemas.openxmlformats.org/officeDocument/2006/relationships/image" Target="media/image51.emf"/><Relationship Id="rId75" Type="http://schemas.openxmlformats.org/officeDocument/2006/relationships/image" Target="media/image56.png"/><Relationship Id="rId83" Type="http://schemas.openxmlformats.org/officeDocument/2006/relationships/image" Target="media/image64.png"/><Relationship Id="rId88" Type="http://schemas.openxmlformats.org/officeDocument/2006/relationships/image" Target="media/image69.png"/><Relationship Id="rId91" Type="http://schemas.openxmlformats.org/officeDocument/2006/relationships/image" Target="media/image72.png"/><Relationship Id="rId96" Type="http://schemas.openxmlformats.org/officeDocument/2006/relationships/image" Target="media/image76.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emf"/><Relationship Id="rId23" Type="http://schemas.openxmlformats.org/officeDocument/2006/relationships/header" Target="header2.xml"/><Relationship Id="rId28" Type="http://schemas.openxmlformats.org/officeDocument/2006/relationships/image" Target="media/image14.emf"/><Relationship Id="rId36" Type="http://schemas.openxmlformats.org/officeDocument/2006/relationships/image" Target="media/image22.emf"/><Relationship Id="rId49" Type="http://schemas.openxmlformats.org/officeDocument/2006/relationships/image" Target="media/image35.emf"/><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17.emf"/><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hyperlink" Target="https://data.ndis.gov.au/reports-and-analyses/outcomes-and-goals/participant-outcomes-report" TargetMode="External"/><Relationship Id="rId65" Type="http://schemas.openxmlformats.org/officeDocument/2006/relationships/image" Target="media/image46.emf"/><Relationship Id="rId73" Type="http://schemas.openxmlformats.org/officeDocument/2006/relationships/image" Target="media/image54.emf"/><Relationship Id="rId78" Type="http://schemas.openxmlformats.org/officeDocument/2006/relationships/image" Target="media/image59.emf"/><Relationship Id="rId81" Type="http://schemas.openxmlformats.org/officeDocument/2006/relationships/image" Target="media/image62.png"/><Relationship Id="rId86" Type="http://schemas.openxmlformats.org/officeDocument/2006/relationships/image" Target="media/image67.emf"/><Relationship Id="rId94" Type="http://schemas.openxmlformats.org/officeDocument/2006/relationships/footer" Target="footer3.xml"/><Relationship Id="rId99" Type="http://schemas.openxmlformats.org/officeDocument/2006/relationships/footer" Target="footer4.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5.png"/></Relationships>
</file>

<file path=word/_rels/footnotes.xml.rels><?xml version="1.0" encoding="UTF-8" standalone="yes"?>
<Relationships xmlns="http://schemas.openxmlformats.org/package/2006/relationships"><Relationship Id="rId8" Type="http://schemas.openxmlformats.org/officeDocument/2006/relationships/hyperlink" Target="https://data.ndis.gov.au/reports-and-analyses/outcomes-and-goals" TargetMode="External"/><Relationship Id="rId13" Type="http://schemas.openxmlformats.org/officeDocument/2006/relationships/hyperlink" Target="https://ourguidelines.ndis.gov.au/your-plan-menu/changing-your-plan" TargetMode="External"/><Relationship Id="rId18" Type="http://schemas.openxmlformats.org/officeDocument/2006/relationships/hyperlink" Target="https://data.ndis.gov.au/reports-and-analyses/outcomes-and-goals/employment-outcomes-participants-their-families-and-carers" TargetMode="External"/><Relationship Id="rId26" Type="http://schemas.openxmlformats.org/officeDocument/2006/relationships/hyperlink" Target="https://www.ndis.gov.au/media/833/download" TargetMode="External"/><Relationship Id="rId3" Type="http://schemas.openxmlformats.org/officeDocument/2006/relationships/hyperlink" Target="https://www.rba.gov.au/publications/smp/2022/aug/economic-outlook.html" TargetMode="External"/><Relationship Id="rId21" Type="http://schemas.openxmlformats.org/officeDocument/2006/relationships/hyperlink" Target="https://data.ndis.gov.au/reports-and-analyses/outcomes-and-goals/employment-outcomes-participants-their-families-and-carers" TargetMode="External"/><Relationship Id="rId7" Type="http://schemas.openxmlformats.org/officeDocument/2006/relationships/hyperlink" Target="https://ndis.gov.au/about-us/publications/quarterly-reports" TargetMode="External"/><Relationship Id="rId12" Type="http://schemas.openxmlformats.org/officeDocument/2006/relationships/hyperlink" Target="https://www.ndis.gov.au/media/3476/download?attachment" TargetMode="External"/><Relationship Id="rId17" Type="http://schemas.openxmlformats.org/officeDocument/2006/relationships/hyperlink" Target="https://data.ndis.gov.au/media/2771/download?attachment" TargetMode="External"/><Relationship Id="rId25" Type="http://schemas.openxmlformats.org/officeDocument/2006/relationships/hyperlink" Target="https://www.legislation.gov.au/Details/F2013L01184" TargetMode="External"/><Relationship Id="rId2" Type="http://schemas.openxmlformats.org/officeDocument/2006/relationships/hyperlink" Target="https://www.ndis.gov.au/media/833/download" TargetMode="External"/><Relationship Id="rId16" Type="http://schemas.openxmlformats.org/officeDocument/2006/relationships/hyperlink" Target="https://www.ndis.gov.au/about-us/publications/outcomes-framework-pilot-study-summary-report-2015" TargetMode="External"/><Relationship Id="rId20" Type="http://schemas.openxmlformats.org/officeDocument/2006/relationships/hyperlink" Target="https://www.ndis.gov.au/about-us/strategies/participant-employment-strategy" TargetMode="External"/><Relationship Id="rId29" Type="http://schemas.openxmlformats.org/officeDocument/2006/relationships/hyperlink" Target="https://www.ndis.gov.au/participants/home-and-living/home-and-living-supporting-evidence-form" TargetMode="External"/><Relationship Id="rId1" Type="http://schemas.openxmlformats.org/officeDocument/2006/relationships/hyperlink" Target="https://www.ndis.gov.au/about-us/publications" TargetMode="External"/><Relationship Id="rId6" Type="http://schemas.openxmlformats.org/officeDocument/2006/relationships/hyperlink" Target="https://www.ndis.gov.au/media/833/download" TargetMode="External"/><Relationship Id="rId11" Type="http://schemas.openxmlformats.org/officeDocument/2006/relationships/hyperlink" Target="https://data.ndis.gov.au/" TargetMode="External"/><Relationship Id="rId24" Type="http://schemas.openxmlformats.org/officeDocument/2006/relationships/hyperlink" Target="https://www.pc.gov.au/inquiries/completed/disability-support/report/disability-support-volume1.pdf" TargetMode="External"/><Relationship Id="rId5" Type="http://schemas.openxmlformats.org/officeDocument/2006/relationships/hyperlink" Target="https://www.ndis.gov.au/about-us/publications/corporate-plan" TargetMode="External"/><Relationship Id="rId15" Type="http://schemas.openxmlformats.org/officeDocument/2006/relationships/hyperlink" Target="http://www.comlaw.gov.au/Details/C2019C00332/Download" TargetMode="External"/><Relationship Id="rId23" Type="http://schemas.openxmlformats.org/officeDocument/2006/relationships/hyperlink" Target="https://data.ndis.gov.au/reports-and-analyses/outcomes-and-goals/family-and-carer-outcomes-report/family-and-carer-outcomes-30-june-2020" TargetMode="External"/><Relationship Id="rId28" Type="http://schemas.openxmlformats.org/officeDocument/2006/relationships/hyperlink" Target="https://www.ndis.gov.au/understanding/supports-funded-ndis/reasonable-and-necessary-supports" TargetMode="External"/><Relationship Id="rId10" Type="http://schemas.openxmlformats.org/officeDocument/2006/relationships/hyperlink" Target="https://www.ndis.gov.au/about-us/policies/service-charter/participant-service-improvement-plan" TargetMode="External"/><Relationship Id="rId19" Type="http://schemas.openxmlformats.org/officeDocument/2006/relationships/hyperlink" Target="https://www.ndis.gov.au/about-us/publications/corporate-plan" TargetMode="External"/><Relationship Id="rId31" Type="http://schemas.openxmlformats.org/officeDocument/2006/relationships/hyperlink" Target="https://www.abs.gov.au/statistics/people/population/life-tables/latest-release" TargetMode="External"/><Relationship Id="rId4" Type="http://schemas.openxmlformats.org/officeDocument/2006/relationships/hyperlink" Target="https://www.dss.gov.au/sites/default/files/documents/01_2022/review-ndia-actuarial-forecast-model-and-drivers-scheme-costs.pdf" TargetMode="External"/><Relationship Id="rId9" Type="http://schemas.openxmlformats.org/officeDocument/2006/relationships/hyperlink" Target="https://www.ndis.gov.au/about-us/policies/service-charter" TargetMode="External"/><Relationship Id="rId14" Type="http://schemas.openxmlformats.org/officeDocument/2006/relationships/hyperlink" Target="https://www.abs.gov.au/statistics/people/population/life-tables/latest-release" TargetMode="External"/><Relationship Id="rId22" Type="http://schemas.openxmlformats.org/officeDocument/2006/relationships/hyperlink" Target="https://www.ndis.gov.au/community/research-and-evaluation/social-inclusion-and-community-access-our-research" TargetMode="External"/><Relationship Id="rId27" Type="http://schemas.openxmlformats.org/officeDocument/2006/relationships/hyperlink" Target="https://ourguidelines.ndis.gov.au/would-we-fund-it" TargetMode="External"/><Relationship Id="rId30" Type="http://schemas.openxmlformats.org/officeDocument/2006/relationships/hyperlink" Target="https://www.abs.gov.au/statistics/people/population/life-tables/2016-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6A46084299634FB6CFA340BB1D2CE7" ma:contentTypeVersion="13" ma:contentTypeDescription="Create a new document." ma:contentTypeScope="" ma:versionID="f87ea89fb7bbd51fc140059bf1b21c3f">
  <xsd:schema xmlns:xsd="http://www.w3.org/2001/XMLSchema" xmlns:xs="http://www.w3.org/2001/XMLSchema" xmlns:p="http://schemas.microsoft.com/office/2006/metadata/properties" xmlns:ns3="c049a6ad-a9bc-4746-961a-2449a2618145" xmlns:ns4="c3057b05-16af-456e-83ec-d6a685a4e3eb" targetNamespace="http://schemas.microsoft.com/office/2006/metadata/properties" ma:root="true" ma:fieldsID="a304c1d3cc7c2a13e86bc491bf5d79a2" ns3:_="" ns4:_="">
    <xsd:import namespace="c049a6ad-a9bc-4746-961a-2449a2618145"/>
    <xsd:import namespace="c3057b05-16af-456e-83ec-d6a685a4e3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49a6ad-a9bc-4746-961a-2449a26181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057b05-16af-456e-83ec-d6a685a4e3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102D5-201C-4FAA-AB63-7FF473E913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49a6ad-a9bc-4746-961a-2449a2618145"/>
    <ds:schemaRef ds:uri="c3057b05-16af-456e-83ec-d6a685a4e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BB7229-436B-4EB5-9302-E1F8E542788F}">
  <ds:schemaRefs>
    <ds:schemaRef ds:uri="http://schemas.microsoft.com/sharepoint/v3/contenttype/forms"/>
  </ds:schemaRefs>
</ds:datastoreItem>
</file>

<file path=customXml/itemProps3.xml><?xml version="1.0" encoding="utf-8"?>
<ds:datastoreItem xmlns:ds="http://schemas.openxmlformats.org/officeDocument/2006/customXml" ds:itemID="{711BDEB1-EF3D-4E51-9BB7-7038384567F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BFDB6B-FEDE-4335-ABB4-B9C84400C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239</Pages>
  <Words>61732</Words>
  <Characters>351876</Characters>
  <Application>Microsoft Office Word</Application>
  <DocSecurity>0</DocSecurity>
  <Lines>2932</Lines>
  <Paragraphs>825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412783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Stephanie</dc:creator>
  <cp:keywords/>
  <dc:description/>
  <cp:lastModifiedBy>Laurie, Craig</cp:lastModifiedBy>
  <cp:revision>3</cp:revision>
  <cp:lastPrinted>2021-10-14T18:54:00Z</cp:lastPrinted>
  <dcterms:created xsi:type="dcterms:W3CDTF">2022-11-04T05:00:00Z</dcterms:created>
  <dcterms:modified xsi:type="dcterms:W3CDTF">2022-11-04T05:10:00Z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0x010100306A46084299634FB6CFA340BB1D2CE7</vt:lpwstr>
  </property>
  <property fmtid="{D5CDD505-2E9C-101B-9397-08002B2CF9AE}" pid="3" name="MSIP_Label_2b83f8d7-e91f-4eee-a336-52a8061c0503_Enabled">
    <vt:lpwstr>true</vt:lpwstr>
  </property>
  <property fmtid="{D5CDD505-2E9C-101B-9397-08002B2CF9AE}" pid="4" name="MSIP_Label_2b83f8d7-e91f-4eee-a336-52a8061c0503_SetDate">
    <vt:lpwstr>2022-07-27T00:45:46Z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b5908ae0-2a25-45ab-8157-4b15fa4b9a10</vt:lpwstr>
  </property>
  <property fmtid="{D5CDD505-2E9C-101B-9397-08002B2CF9AE}" pid="9" name="MSIP_Label_2b83f8d7-e91f-4eee-a336-52a8061c0503_ContentBits">
    <vt:lpwstr>0</vt:lpwstr>
  </property>
  <property fmtid="{D5CDD505-2E9C-101B-9397-08002B2CF9AE}" pid="10" name="MediaServiceImageTags">
    <vt:lpwstr/>
  </property>
</Properties>
</file>